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57B37" w14:textId="4D523A65" w:rsidR="00622FEA" w:rsidRPr="008B05E8" w:rsidRDefault="00217058" w:rsidP="008B05E8">
      <w:pPr>
        <w:pStyle w:val="Textoindependiente"/>
        <w:spacing w:after="0" w:line="240" w:lineRule="auto"/>
        <w:rPr>
          <w:rFonts w:cs="Arial"/>
          <w:b/>
          <w:sz w:val="24"/>
          <w:szCs w:val="24"/>
        </w:rPr>
      </w:pPr>
      <w:r>
        <w:rPr>
          <w:noProof/>
          <w:lang w:val="en-US"/>
        </w:rPr>
        <w:drawing>
          <wp:anchor distT="0" distB="0" distL="114300" distR="114300" simplePos="0" relativeHeight="251658240" behindDoc="0" locked="0" layoutInCell="0" allowOverlap="1" wp14:anchorId="5F9122A6" wp14:editId="2204C2D0">
            <wp:simplePos x="0" y="0"/>
            <wp:positionH relativeFrom="page">
              <wp:align>center</wp:align>
            </wp:positionH>
            <wp:positionV relativeFrom="paragraph">
              <wp:posOffset>11309</wp:posOffset>
            </wp:positionV>
            <wp:extent cx="1990725" cy="933450"/>
            <wp:effectExtent l="0" t="0" r="952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0725"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25CF8E" w14:textId="77777777" w:rsidR="00622FEA" w:rsidRDefault="00622FEA" w:rsidP="00D22441">
      <w:pPr>
        <w:jc w:val="right"/>
        <w:rPr>
          <w:rFonts w:ascii="Arial Narrow" w:hAnsi="Arial Narrow" w:cs="Arial"/>
          <w:b/>
          <w:sz w:val="28"/>
          <w:szCs w:val="28"/>
        </w:rPr>
      </w:pPr>
    </w:p>
    <w:p w14:paraId="54755EBC" w14:textId="77777777" w:rsidR="00622FEA" w:rsidRDefault="00622FEA" w:rsidP="00D22441">
      <w:pPr>
        <w:jc w:val="center"/>
        <w:rPr>
          <w:rFonts w:ascii="Arial Narrow" w:hAnsi="Arial Narrow" w:cs="Arial"/>
          <w:b/>
          <w:sz w:val="28"/>
          <w:szCs w:val="28"/>
        </w:rPr>
      </w:pPr>
    </w:p>
    <w:p w14:paraId="55E2E0F4" w14:textId="31B9C6E3" w:rsidR="00622FEA" w:rsidRDefault="00622FEA" w:rsidP="008B05E8">
      <w:pPr>
        <w:jc w:val="left"/>
        <w:rPr>
          <w:rFonts w:cs="Arial"/>
          <w:b/>
          <w:bCs/>
          <w:spacing w:val="0"/>
          <w:sz w:val="40"/>
          <w:szCs w:val="40"/>
          <w:lang w:val="es-ES_tradnl" w:eastAsia="es-ES"/>
        </w:rPr>
      </w:pPr>
      <w:r w:rsidRPr="008B05E8">
        <w:rPr>
          <w:rFonts w:cs="Arial"/>
          <w:b/>
          <w:bCs/>
          <w:spacing w:val="0"/>
          <w:sz w:val="40"/>
          <w:szCs w:val="40"/>
          <w:lang w:val="es-ES_tradnl" w:eastAsia="es-ES"/>
        </w:rPr>
        <w:t>Por la cual se ordena hacer público un proyecto de resolución de carácter general “Por la cual se señala el porcentaje de la contribución especial que deben pagar las personas prestadoras del servicio de energía eléctrica, gas natural y gas licuado de petróleo (GLP), sometidas a la regulación de la Comisión de Regulación de Energía y Gas en el año 202</w:t>
      </w:r>
      <w:r w:rsidR="009E0A03" w:rsidRPr="008B05E8">
        <w:rPr>
          <w:rFonts w:cs="Arial"/>
          <w:b/>
          <w:bCs/>
          <w:spacing w:val="0"/>
          <w:sz w:val="40"/>
          <w:szCs w:val="40"/>
          <w:lang w:val="es-ES_tradnl" w:eastAsia="es-ES"/>
        </w:rPr>
        <w:t>3</w:t>
      </w:r>
      <w:r w:rsidRPr="008B05E8">
        <w:rPr>
          <w:rFonts w:cs="Arial"/>
          <w:b/>
          <w:bCs/>
          <w:spacing w:val="0"/>
          <w:sz w:val="40"/>
          <w:szCs w:val="40"/>
          <w:lang w:val="es-ES_tradnl" w:eastAsia="es-ES"/>
        </w:rPr>
        <w:t xml:space="preserve"> y se dictan otras disposiciones”.</w:t>
      </w:r>
    </w:p>
    <w:p w14:paraId="26524DDB" w14:textId="77777777" w:rsidR="008B05E8" w:rsidRPr="008B05E8" w:rsidRDefault="008B05E8" w:rsidP="008B05E8">
      <w:pPr>
        <w:jc w:val="left"/>
        <w:rPr>
          <w:rFonts w:cs="Arial"/>
          <w:b/>
          <w:bCs/>
          <w:spacing w:val="0"/>
          <w:sz w:val="40"/>
          <w:szCs w:val="40"/>
          <w:lang w:val="es-ES_tradnl" w:eastAsia="es-ES"/>
        </w:rPr>
      </w:pPr>
    </w:p>
    <w:p w14:paraId="3DE19D8F" w14:textId="586AE4AC" w:rsidR="00217058" w:rsidRDefault="00217058" w:rsidP="00D22441">
      <w:pPr>
        <w:jc w:val="center"/>
        <w:rPr>
          <w:rFonts w:ascii="Arial Narrow" w:hAnsi="Arial Narrow" w:cs="Arial"/>
          <w:b/>
          <w:sz w:val="28"/>
          <w:szCs w:val="28"/>
        </w:rPr>
      </w:pPr>
    </w:p>
    <w:p w14:paraId="6C6E7E26" w14:textId="475A6F75" w:rsidR="00217058" w:rsidRPr="008B05E8" w:rsidRDefault="00217058" w:rsidP="00D22441">
      <w:pPr>
        <w:rPr>
          <w:rFonts w:cs="Arial"/>
          <w:b/>
          <w:caps/>
          <w:spacing w:val="0"/>
          <w:sz w:val="32"/>
          <w:szCs w:val="32"/>
          <w:lang w:val="es-ES" w:eastAsia="es-ES"/>
        </w:rPr>
      </w:pPr>
      <w:r w:rsidRPr="008B05E8">
        <w:rPr>
          <w:rFonts w:cs="Arial"/>
          <w:b/>
          <w:caps/>
          <w:spacing w:val="0"/>
          <w:sz w:val="28"/>
          <w:szCs w:val="22"/>
          <w:lang w:val="es-ES" w:eastAsia="es-ES"/>
        </w:rPr>
        <w:t xml:space="preserve">DOCUMENTO CREG </w:t>
      </w:r>
      <w:proofErr w:type="spellStart"/>
      <w:r w:rsidR="00F44157" w:rsidRPr="008B05E8">
        <w:rPr>
          <w:rFonts w:cs="Arial"/>
          <w:b/>
          <w:caps/>
          <w:spacing w:val="0"/>
          <w:sz w:val="28"/>
          <w:szCs w:val="22"/>
          <w:lang w:val="es-ES" w:eastAsia="es-ES"/>
        </w:rPr>
        <w:t>N°</w:t>
      </w:r>
      <w:proofErr w:type="spellEnd"/>
      <w:r w:rsidR="00F44157" w:rsidRPr="008B05E8">
        <w:rPr>
          <w:rFonts w:cs="Arial"/>
          <w:b/>
          <w:caps/>
          <w:spacing w:val="0"/>
          <w:sz w:val="28"/>
          <w:szCs w:val="22"/>
          <w:lang w:val="es-ES" w:eastAsia="es-ES"/>
        </w:rPr>
        <w:t xml:space="preserve"> </w:t>
      </w:r>
      <w:r w:rsidR="0014055A" w:rsidRPr="008B05E8">
        <w:rPr>
          <w:rFonts w:cs="Arial"/>
          <w:b/>
          <w:caps/>
          <w:spacing w:val="0"/>
          <w:sz w:val="32"/>
          <w:szCs w:val="32"/>
          <w:lang w:val="es-ES" w:eastAsia="es-ES"/>
        </w:rPr>
        <w:t>905</w:t>
      </w:r>
      <w:r w:rsidR="008B05E8" w:rsidRPr="008B05E8">
        <w:rPr>
          <w:rFonts w:cs="Arial"/>
          <w:b/>
          <w:caps/>
          <w:spacing w:val="0"/>
          <w:sz w:val="32"/>
          <w:szCs w:val="32"/>
          <w:lang w:val="es-ES" w:eastAsia="es-ES"/>
        </w:rPr>
        <w:t xml:space="preserve"> </w:t>
      </w:r>
      <w:r w:rsidR="0014055A" w:rsidRPr="008B05E8">
        <w:rPr>
          <w:rFonts w:cs="Arial"/>
          <w:b/>
          <w:caps/>
          <w:spacing w:val="0"/>
          <w:sz w:val="32"/>
          <w:szCs w:val="32"/>
          <w:lang w:val="es-ES" w:eastAsia="es-ES"/>
        </w:rPr>
        <w:t>004</w:t>
      </w:r>
      <w:r w:rsidR="008B05E8" w:rsidRPr="008B05E8">
        <w:rPr>
          <w:rFonts w:cs="Arial"/>
          <w:b/>
          <w:caps/>
          <w:spacing w:val="0"/>
          <w:sz w:val="32"/>
          <w:szCs w:val="32"/>
          <w:lang w:val="es-ES" w:eastAsia="es-ES"/>
        </w:rPr>
        <w:t xml:space="preserve"> de </w:t>
      </w:r>
      <w:r w:rsidR="00F44157" w:rsidRPr="008B05E8">
        <w:rPr>
          <w:rFonts w:cs="Arial"/>
          <w:b/>
          <w:caps/>
          <w:spacing w:val="0"/>
          <w:sz w:val="32"/>
          <w:szCs w:val="32"/>
          <w:lang w:val="es-ES" w:eastAsia="es-ES"/>
        </w:rPr>
        <w:t>202</w:t>
      </w:r>
      <w:r w:rsidR="0053244F" w:rsidRPr="008B05E8">
        <w:rPr>
          <w:rFonts w:cs="Arial"/>
          <w:b/>
          <w:caps/>
          <w:spacing w:val="0"/>
          <w:sz w:val="32"/>
          <w:szCs w:val="32"/>
          <w:lang w:val="es-ES" w:eastAsia="es-ES"/>
        </w:rPr>
        <w:t>3</w:t>
      </w:r>
      <w:r w:rsidR="00632A77" w:rsidRPr="008B05E8">
        <w:rPr>
          <w:rFonts w:cs="Arial"/>
          <w:b/>
          <w:caps/>
          <w:spacing w:val="0"/>
          <w:sz w:val="32"/>
          <w:szCs w:val="32"/>
          <w:lang w:val="es-ES" w:eastAsia="es-ES"/>
        </w:rPr>
        <w:t>.</w:t>
      </w:r>
    </w:p>
    <w:p w14:paraId="65EA78E7" w14:textId="660C908E" w:rsidR="00217058" w:rsidRPr="008B05E8" w:rsidRDefault="0014055A" w:rsidP="00D22441">
      <w:pPr>
        <w:rPr>
          <w:rFonts w:cs="Arial"/>
          <w:b/>
          <w:caps/>
          <w:spacing w:val="0"/>
          <w:sz w:val="24"/>
          <w:szCs w:val="24"/>
          <w:lang w:val="es-ES" w:eastAsia="es-ES"/>
        </w:rPr>
      </w:pPr>
      <w:r w:rsidRPr="008B05E8">
        <w:rPr>
          <w:rFonts w:cs="Arial"/>
          <w:b/>
          <w:caps/>
          <w:spacing w:val="0"/>
          <w:sz w:val="24"/>
          <w:szCs w:val="24"/>
          <w:lang w:val="es-ES" w:eastAsia="es-ES"/>
        </w:rPr>
        <w:t>22</w:t>
      </w:r>
      <w:r w:rsidR="00C735F9" w:rsidRPr="008B05E8">
        <w:rPr>
          <w:rFonts w:cs="Arial"/>
          <w:b/>
          <w:caps/>
          <w:spacing w:val="0"/>
          <w:sz w:val="24"/>
          <w:szCs w:val="24"/>
          <w:lang w:val="es-ES" w:eastAsia="es-ES"/>
        </w:rPr>
        <w:t xml:space="preserve"> de septiembre</w:t>
      </w:r>
      <w:r w:rsidR="00217058" w:rsidRPr="008B05E8">
        <w:rPr>
          <w:rFonts w:cs="Arial"/>
          <w:b/>
          <w:caps/>
          <w:spacing w:val="0"/>
          <w:sz w:val="24"/>
          <w:szCs w:val="24"/>
          <w:lang w:val="es-ES" w:eastAsia="es-ES"/>
        </w:rPr>
        <w:t xml:space="preserve"> de 202</w:t>
      </w:r>
      <w:r w:rsidR="0053244F" w:rsidRPr="008B05E8">
        <w:rPr>
          <w:rFonts w:cs="Arial"/>
          <w:b/>
          <w:caps/>
          <w:spacing w:val="0"/>
          <w:sz w:val="24"/>
          <w:szCs w:val="24"/>
          <w:lang w:val="es-ES" w:eastAsia="es-ES"/>
        </w:rPr>
        <w:t>3</w:t>
      </w:r>
      <w:r w:rsidR="00EA0452" w:rsidRPr="008B05E8">
        <w:rPr>
          <w:rFonts w:cs="Arial"/>
          <w:b/>
          <w:caps/>
          <w:spacing w:val="0"/>
          <w:sz w:val="24"/>
          <w:szCs w:val="24"/>
          <w:lang w:val="es-ES" w:eastAsia="es-ES"/>
        </w:rPr>
        <w:t>.</w:t>
      </w:r>
    </w:p>
    <w:p w14:paraId="6F2D34EB" w14:textId="33963420" w:rsidR="00217058" w:rsidRDefault="00217058" w:rsidP="00D22441">
      <w:pPr>
        <w:pStyle w:val="Encabezado"/>
        <w:ind w:left="5103"/>
        <w:rPr>
          <w:rFonts w:ascii="Arial Narrow" w:hAnsi="Arial Narrow" w:cs="Arial"/>
          <w:color w:val="FF0000"/>
          <w:sz w:val="28"/>
          <w:szCs w:val="28"/>
        </w:rPr>
      </w:pPr>
    </w:p>
    <w:p w14:paraId="245A8BA4" w14:textId="77777777" w:rsidR="00622FEA" w:rsidRDefault="00622FEA" w:rsidP="008B05E8">
      <w:pPr>
        <w:pStyle w:val="Encabezado"/>
        <w:rPr>
          <w:rFonts w:ascii="Arial Narrow" w:hAnsi="Arial Narrow" w:cs="Arial"/>
          <w:color w:val="FF0000"/>
          <w:sz w:val="28"/>
          <w:szCs w:val="28"/>
        </w:rPr>
      </w:pPr>
    </w:p>
    <w:p w14:paraId="0B6B02B6" w14:textId="77777777" w:rsidR="008B05E8" w:rsidRDefault="008B05E8" w:rsidP="00D22441">
      <w:pPr>
        <w:pStyle w:val="Encabezado"/>
        <w:ind w:left="5103"/>
        <w:rPr>
          <w:rFonts w:ascii="Arial Narrow" w:hAnsi="Arial Narrow" w:cs="Arial"/>
          <w:color w:val="FF0000"/>
          <w:sz w:val="28"/>
          <w:szCs w:val="28"/>
        </w:rPr>
      </w:pPr>
    </w:p>
    <w:p w14:paraId="1B21886C" w14:textId="77777777" w:rsidR="008B05E8" w:rsidRPr="00E75376" w:rsidRDefault="008B05E8" w:rsidP="008B05E8">
      <w:pPr>
        <w:pStyle w:val="Encabezado"/>
        <w:ind w:left="4536"/>
        <w:rPr>
          <w:rFonts w:ascii="Arial Narrow" w:hAnsi="Arial Narrow" w:cs="Arial"/>
          <w:b/>
          <w:sz w:val="28"/>
          <w:szCs w:val="28"/>
        </w:rPr>
      </w:pPr>
      <w:r w:rsidRPr="00E75376">
        <w:rPr>
          <w:rFonts w:ascii="Arial Narrow" w:hAnsi="Arial Narrow" w:cs="Arial"/>
          <w:b/>
          <w:sz w:val="28"/>
          <w:szCs w:val="28"/>
        </w:rPr>
        <w:t>MIEMBROS DE LA COMISIÓN DE REGULACIÓN DE ENERGÍA Y GAS</w:t>
      </w:r>
    </w:p>
    <w:p w14:paraId="5DCCF800" w14:textId="77777777" w:rsidR="008B05E8" w:rsidRDefault="008B05E8" w:rsidP="00D22441">
      <w:pPr>
        <w:pStyle w:val="Encabezado"/>
        <w:ind w:left="5103"/>
        <w:rPr>
          <w:rFonts w:ascii="Arial Narrow" w:hAnsi="Arial Narrow" w:cs="Arial"/>
          <w:color w:val="FF0000"/>
          <w:sz w:val="28"/>
          <w:szCs w:val="28"/>
        </w:rPr>
      </w:pPr>
    </w:p>
    <w:p w14:paraId="5A9599F0" w14:textId="77777777" w:rsidR="008B05E8" w:rsidRDefault="008B05E8" w:rsidP="00D22441">
      <w:pPr>
        <w:pStyle w:val="Encabezado"/>
        <w:ind w:left="5103"/>
        <w:rPr>
          <w:rFonts w:ascii="Arial Narrow" w:hAnsi="Arial Narrow" w:cs="Arial"/>
          <w:color w:val="FF0000"/>
          <w:sz w:val="28"/>
          <w:szCs w:val="28"/>
        </w:rPr>
      </w:pPr>
    </w:p>
    <w:p w14:paraId="736ACA03" w14:textId="77777777" w:rsidR="008B05E8" w:rsidRDefault="008B05E8" w:rsidP="00D22441">
      <w:pPr>
        <w:pStyle w:val="Encabezado"/>
        <w:ind w:left="5103"/>
        <w:rPr>
          <w:rFonts w:ascii="Arial Narrow" w:hAnsi="Arial Narrow" w:cs="Arial"/>
          <w:color w:val="FF0000"/>
          <w:sz w:val="28"/>
          <w:szCs w:val="28"/>
        </w:rPr>
      </w:pPr>
    </w:p>
    <w:p w14:paraId="1AF60556" w14:textId="77777777" w:rsidR="008B05E8" w:rsidRDefault="008B05E8" w:rsidP="00D22441">
      <w:pPr>
        <w:pStyle w:val="Encabezado"/>
        <w:ind w:left="5103"/>
        <w:rPr>
          <w:rFonts w:ascii="Arial Narrow" w:hAnsi="Arial Narrow" w:cs="Arial"/>
          <w:color w:val="FF0000"/>
          <w:sz w:val="28"/>
          <w:szCs w:val="28"/>
        </w:rPr>
      </w:pPr>
    </w:p>
    <w:p w14:paraId="69993C38" w14:textId="72101536" w:rsidR="00217058" w:rsidRDefault="00217058" w:rsidP="008B05E8">
      <w:pPr>
        <w:pStyle w:val="Textoindependiente"/>
        <w:spacing w:after="0" w:line="240" w:lineRule="auto"/>
        <w:rPr>
          <w:rFonts w:cs="Arial"/>
          <w:b/>
          <w:sz w:val="24"/>
          <w:szCs w:val="24"/>
        </w:rPr>
        <w:sectPr w:rsidR="00217058" w:rsidSect="00820FF0">
          <w:headerReference w:type="default" r:id="rId12"/>
          <w:footerReference w:type="default" r:id="rId13"/>
          <w:footerReference w:type="first" r:id="rId14"/>
          <w:pgSz w:w="12242" w:h="15842" w:code="1"/>
          <w:pgMar w:top="1701" w:right="1610" w:bottom="1418" w:left="1985" w:header="709" w:footer="862" w:gutter="0"/>
          <w:cols w:space="720"/>
          <w:titlePg/>
          <w:docGrid w:linePitch="272"/>
        </w:sectPr>
      </w:pPr>
    </w:p>
    <w:sdt>
      <w:sdtPr>
        <w:rPr>
          <w:lang w:val="es-ES"/>
        </w:rPr>
        <w:id w:val="1725866660"/>
        <w:docPartObj>
          <w:docPartGallery w:val="Table of Contents"/>
          <w:docPartUnique/>
        </w:docPartObj>
      </w:sdtPr>
      <w:sdtEndPr/>
      <w:sdtContent>
        <w:p w14:paraId="09C0B739" w14:textId="404D650C" w:rsidR="001E6912" w:rsidRDefault="001E6912" w:rsidP="00D22441">
          <w:pPr>
            <w:pStyle w:val="Textoindependiente"/>
            <w:spacing w:after="0" w:line="240" w:lineRule="auto"/>
            <w:jc w:val="center"/>
            <w:rPr>
              <w:rFonts w:cs="Arial"/>
              <w:b/>
              <w:sz w:val="24"/>
              <w:szCs w:val="24"/>
            </w:rPr>
          </w:pPr>
          <w:r>
            <w:rPr>
              <w:rFonts w:cs="Arial"/>
              <w:b/>
              <w:sz w:val="24"/>
              <w:szCs w:val="24"/>
            </w:rPr>
            <w:t>CONTENIDO</w:t>
          </w:r>
        </w:p>
        <w:p w14:paraId="7D66D844" w14:textId="46799709" w:rsidR="001E6912" w:rsidRPr="00131933" w:rsidRDefault="001E6912" w:rsidP="00D22441">
          <w:pPr>
            <w:pStyle w:val="TtuloTDC"/>
            <w:spacing w:before="0"/>
            <w:rPr>
              <w:b/>
              <w:bCs/>
              <w:color w:val="auto"/>
              <w:sz w:val="20"/>
              <w:szCs w:val="20"/>
              <w:lang w:val="es-ES"/>
            </w:rPr>
          </w:pPr>
          <w:r w:rsidRPr="00131933">
            <w:rPr>
              <w:b/>
              <w:bCs/>
              <w:color w:val="auto"/>
              <w:sz w:val="20"/>
              <w:szCs w:val="20"/>
              <w:lang w:val="es-ES"/>
            </w:rPr>
            <w:t xml:space="preserve">                                                                                                                                                                                     </w:t>
          </w:r>
          <w:r w:rsidR="00BF52CE" w:rsidRPr="00131933">
            <w:rPr>
              <w:b/>
              <w:bCs/>
              <w:color w:val="auto"/>
              <w:sz w:val="20"/>
              <w:szCs w:val="20"/>
              <w:lang w:val="es-ES"/>
            </w:rPr>
            <w:t xml:space="preserve">            </w:t>
          </w:r>
          <w:r w:rsidR="00131933" w:rsidRPr="00131933">
            <w:rPr>
              <w:b/>
              <w:bCs/>
              <w:color w:val="auto"/>
              <w:sz w:val="20"/>
              <w:szCs w:val="20"/>
              <w:lang w:val="es-ES"/>
            </w:rPr>
            <w:t xml:space="preserve">      </w:t>
          </w:r>
          <w:r w:rsidR="00BF52CE" w:rsidRPr="00131933">
            <w:rPr>
              <w:b/>
              <w:bCs/>
              <w:color w:val="auto"/>
              <w:sz w:val="20"/>
              <w:szCs w:val="20"/>
              <w:lang w:val="es-ES"/>
            </w:rPr>
            <w:t xml:space="preserve"> </w:t>
          </w:r>
          <w:r w:rsidRPr="00131933">
            <w:rPr>
              <w:b/>
              <w:bCs/>
              <w:color w:val="auto"/>
              <w:sz w:val="20"/>
              <w:szCs w:val="20"/>
              <w:lang w:val="es-ES"/>
            </w:rPr>
            <w:t>Pág.</w:t>
          </w:r>
        </w:p>
        <w:p w14:paraId="6BF357C0" w14:textId="717A5D21" w:rsidR="00131933" w:rsidRPr="00131933" w:rsidRDefault="00131933" w:rsidP="00131933">
          <w:pPr>
            <w:rPr>
              <w:lang w:val="es-ES" w:eastAsia="es-CO"/>
            </w:rPr>
          </w:pPr>
          <w:r>
            <w:rPr>
              <w:lang w:val="es-ES" w:eastAsia="es-CO"/>
            </w:rPr>
            <w:t xml:space="preserve"> </w:t>
          </w:r>
        </w:p>
        <w:p w14:paraId="612C3E2B" w14:textId="33B3EC7D" w:rsidR="00853143" w:rsidRDefault="001E6912">
          <w:pPr>
            <w:pStyle w:val="TDC1"/>
            <w:tabs>
              <w:tab w:val="right" w:leader="dot" w:pos="9396"/>
            </w:tabs>
            <w:rPr>
              <w:rFonts w:asciiTheme="minorHAnsi" w:eastAsiaTheme="minorEastAsia" w:hAnsiTheme="minorHAnsi" w:cstheme="minorBidi"/>
              <w:noProof/>
              <w:spacing w:val="0"/>
              <w:kern w:val="2"/>
              <w:sz w:val="22"/>
              <w:szCs w:val="22"/>
              <w:lang w:eastAsia="es-CO"/>
              <w14:ligatures w14:val="standardContextual"/>
            </w:rPr>
          </w:pPr>
          <w:r w:rsidRPr="00621F8B">
            <w:fldChar w:fldCharType="begin"/>
          </w:r>
          <w:r w:rsidRPr="00621F8B">
            <w:instrText xml:space="preserve"> TOC \o "1-3" \h \z \u </w:instrText>
          </w:r>
          <w:r w:rsidRPr="00621F8B">
            <w:fldChar w:fldCharType="separate"/>
          </w:r>
          <w:hyperlink w:anchor="_Toc147154284" w:history="1">
            <w:r w:rsidR="00853143" w:rsidRPr="00346AF4">
              <w:rPr>
                <w:rStyle w:val="Hipervnculo"/>
                <w:noProof/>
              </w:rPr>
              <w:t>LISTA DE TABLAS</w:t>
            </w:r>
            <w:r w:rsidR="00853143">
              <w:rPr>
                <w:noProof/>
                <w:webHidden/>
              </w:rPr>
              <w:tab/>
            </w:r>
            <w:r w:rsidR="00853143">
              <w:rPr>
                <w:noProof/>
                <w:webHidden/>
              </w:rPr>
              <w:fldChar w:fldCharType="begin"/>
            </w:r>
            <w:r w:rsidR="00853143">
              <w:rPr>
                <w:noProof/>
                <w:webHidden/>
              </w:rPr>
              <w:instrText xml:space="preserve"> PAGEREF _Toc147154284 \h </w:instrText>
            </w:r>
            <w:r w:rsidR="00853143">
              <w:rPr>
                <w:noProof/>
                <w:webHidden/>
              </w:rPr>
            </w:r>
            <w:r w:rsidR="00853143">
              <w:rPr>
                <w:noProof/>
                <w:webHidden/>
              </w:rPr>
              <w:fldChar w:fldCharType="separate"/>
            </w:r>
            <w:r w:rsidR="00853143">
              <w:rPr>
                <w:noProof/>
                <w:webHidden/>
              </w:rPr>
              <w:t>4</w:t>
            </w:r>
            <w:r w:rsidR="00853143">
              <w:rPr>
                <w:noProof/>
                <w:webHidden/>
              </w:rPr>
              <w:fldChar w:fldCharType="end"/>
            </w:r>
          </w:hyperlink>
        </w:p>
        <w:p w14:paraId="7959DB59" w14:textId="12FD7BDB" w:rsidR="00853143" w:rsidRDefault="000D5E7E">
          <w:pPr>
            <w:pStyle w:val="TDC1"/>
            <w:tabs>
              <w:tab w:val="right" w:leader="dot" w:pos="9396"/>
            </w:tabs>
            <w:rPr>
              <w:rFonts w:asciiTheme="minorHAnsi" w:eastAsiaTheme="minorEastAsia" w:hAnsiTheme="minorHAnsi" w:cstheme="minorBidi"/>
              <w:noProof/>
              <w:spacing w:val="0"/>
              <w:kern w:val="2"/>
              <w:sz w:val="22"/>
              <w:szCs w:val="22"/>
              <w:lang w:eastAsia="es-CO"/>
              <w14:ligatures w14:val="standardContextual"/>
            </w:rPr>
          </w:pPr>
          <w:hyperlink w:anchor="_Toc147154285" w:history="1">
            <w:r w:rsidR="00853143" w:rsidRPr="00346AF4">
              <w:rPr>
                <w:rStyle w:val="Hipervnculo"/>
                <w:noProof/>
              </w:rPr>
              <w:t>INTRODUCCIÓN</w:t>
            </w:r>
            <w:r w:rsidR="00853143">
              <w:rPr>
                <w:noProof/>
                <w:webHidden/>
              </w:rPr>
              <w:tab/>
            </w:r>
            <w:r w:rsidR="00853143">
              <w:rPr>
                <w:noProof/>
                <w:webHidden/>
              </w:rPr>
              <w:fldChar w:fldCharType="begin"/>
            </w:r>
            <w:r w:rsidR="00853143">
              <w:rPr>
                <w:noProof/>
                <w:webHidden/>
              </w:rPr>
              <w:instrText xml:space="preserve"> PAGEREF _Toc147154285 \h </w:instrText>
            </w:r>
            <w:r w:rsidR="00853143">
              <w:rPr>
                <w:noProof/>
                <w:webHidden/>
              </w:rPr>
            </w:r>
            <w:r w:rsidR="00853143">
              <w:rPr>
                <w:noProof/>
                <w:webHidden/>
              </w:rPr>
              <w:fldChar w:fldCharType="separate"/>
            </w:r>
            <w:r w:rsidR="00853143">
              <w:rPr>
                <w:noProof/>
                <w:webHidden/>
              </w:rPr>
              <w:t>5</w:t>
            </w:r>
            <w:r w:rsidR="00853143">
              <w:rPr>
                <w:noProof/>
                <w:webHidden/>
              </w:rPr>
              <w:fldChar w:fldCharType="end"/>
            </w:r>
          </w:hyperlink>
        </w:p>
        <w:p w14:paraId="0740DC79" w14:textId="2E13B1A2" w:rsidR="00853143" w:rsidRDefault="000D5E7E">
          <w:pPr>
            <w:pStyle w:val="TDC1"/>
            <w:tabs>
              <w:tab w:val="right" w:leader="dot" w:pos="9396"/>
            </w:tabs>
            <w:rPr>
              <w:rFonts w:asciiTheme="minorHAnsi" w:eastAsiaTheme="minorEastAsia" w:hAnsiTheme="minorHAnsi" w:cstheme="minorBidi"/>
              <w:noProof/>
              <w:spacing w:val="0"/>
              <w:kern w:val="2"/>
              <w:sz w:val="22"/>
              <w:szCs w:val="22"/>
              <w:lang w:eastAsia="es-CO"/>
              <w14:ligatures w14:val="standardContextual"/>
            </w:rPr>
          </w:pPr>
          <w:hyperlink w:anchor="_Toc147154286" w:history="1">
            <w:r w:rsidR="00853143" w:rsidRPr="00346AF4">
              <w:rPr>
                <w:rStyle w:val="Hipervnculo"/>
                <w:noProof/>
              </w:rPr>
              <w:t>ACRÓNIMOS UTILIZADOS</w:t>
            </w:r>
            <w:r w:rsidR="00853143">
              <w:rPr>
                <w:noProof/>
                <w:webHidden/>
              </w:rPr>
              <w:tab/>
            </w:r>
            <w:r w:rsidR="00853143">
              <w:rPr>
                <w:noProof/>
                <w:webHidden/>
              </w:rPr>
              <w:fldChar w:fldCharType="begin"/>
            </w:r>
            <w:r w:rsidR="00853143">
              <w:rPr>
                <w:noProof/>
                <w:webHidden/>
              </w:rPr>
              <w:instrText xml:space="preserve"> PAGEREF _Toc147154286 \h </w:instrText>
            </w:r>
            <w:r w:rsidR="00853143">
              <w:rPr>
                <w:noProof/>
                <w:webHidden/>
              </w:rPr>
            </w:r>
            <w:r w:rsidR="00853143">
              <w:rPr>
                <w:noProof/>
                <w:webHidden/>
              </w:rPr>
              <w:fldChar w:fldCharType="separate"/>
            </w:r>
            <w:r w:rsidR="00853143">
              <w:rPr>
                <w:noProof/>
                <w:webHidden/>
              </w:rPr>
              <w:t>6</w:t>
            </w:r>
            <w:r w:rsidR="00853143">
              <w:rPr>
                <w:noProof/>
                <w:webHidden/>
              </w:rPr>
              <w:fldChar w:fldCharType="end"/>
            </w:r>
          </w:hyperlink>
        </w:p>
        <w:p w14:paraId="5E56BA3D" w14:textId="49AF3C3A" w:rsidR="00853143" w:rsidRDefault="000D5E7E">
          <w:pPr>
            <w:pStyle w:val="TDC1"/>
            <w:tabs>
              <w:tab w:val="left" w:pos="400"/>
              <w:tab w:val="right" w:leader="dot" w:pos="9396"/>
            </w:tabs>
            <w:rPr>
              <w:rFonts w:asciiTheme="minorHAnsi" w:eastAsiaTheme="minorEastAsia" w:hAnsiTheme="minorHAnsi" w:cstheme="minorBidi"/>
              <w:noProof/>
              <w:spacing w:val="0"/>
              <w:kern w:val="2"/>
              <w:sz w:val="22"/>
              <w:szCs w:val="22"/>
              <w:lang w:eastAsia="es-CO"/>
              <w14:ligatures w14:val="standardContextual"/>
            </w:rPr>
          </w:pPr>
          <w:hyperlink w:anchor="_Toc147154287" w:history="1">
            <w:r w:rsidR="00853143" w:rsidRPr="00346AF4">
              <w:rPr>
                <w:rStyle w:val="Hipervnculo"/>
                <w:noProof/>
              </w:rPr>
              <w:t>1.</w:t>
            </w:r>
            <w:r w:rsidR="00853143">
              <w:rPr>
                <w:rFonts w:asciiTheme="minorHAnsi" w:eastAsiaTheme="minorEastAsia" w:hAnsiTheme="minorHAnsi" w:cstheme="minorBidi"/>
                <w:noProof/>
                <w:spacing w:val="0"/>
                <w:kern w:val="2"/>
                <w:sz w:val="22"/>
                <w:szCs w:val="22"/>
                <w:lang w:eastAsia="es-CO"/>
                <w14:ligatures w14:val="standardContextual"/>
              </w:rPr>
              <w:tab/>
            </w:r>
            <w:r w:rsidR="00853143" w:rsidRPr="00346AF4">
              <w:rPr>
                <w:rStyle w:val="Hipervnculo"/>
                <w:noProof/>
              </w:rPr>
              <w:t>PUBLICACIÓN DE RESOLUCIÓN PARA CONSULTA Y COMENTARIOS</w:t>
            </w:r>
            <w:r w:rsidR="00853143">
              <w:rPr>
                <w:noProof/>
                <w:webHidden/>
              </w:rPr>
              <w:tab/>
            </w:r>
            <w:r w:rsidR="00853143">
              <w:rPr>
                <w:noProof/>
                <w:webHidden/>
              </w:rPr>
              <w:fldChar w:fldCharType="begin"/>
            </w:r>
            <w:r w:rsidR="00853143">
              <w:rPr>
                <w:noProof/>
                <w:webHidden/>
              </w:rPr>
              <w:instrText xml:space="preserve"> PAGEREF _Toc147154287 \h </w:instrText>
            </w:r>
            <w:r w:rsidR="00853143">
              <w:rPr>
                <w:noProof/>
                <w:webHidden/>
              </w:rPr>
            </w:r>
            <w:r w:rsidR="00853143">
              <w:rPr>
                <w:noProof/>
                <w:webHidden/>
              </w:rPr>
              <w:fldChar w:fldCharType="separate"/>
            </w:r>
            <w:r w:rsidR="00853143">
              <w:rPr>
                <w:noProof/>
                <w:webHidden/>
              </w:rPr>
              <w:t>7</w:t>
            </w:r>
            <w:r w:rsidR="00853143">
              <w:rPr>
                <w:noProof/>
                <w:webHidden/>
              </w:rPr>
              <w:fldChar w:fldCharType="end"/>
            </w:r>
          </w:hyperlink>
        </w:p>
        <w:p w14:paraId="40339D69" w14:textId="2B201DFF" w:rsidR="00853143" w:rsidRDefault="000D5E7E">
          <w:pPr>
            <w:pStyle w:val="TDC1"/>
            <w:tabs>
              <w:tab w:val="left" w:pos="400"/>
              <w:tab w:val="right" w:leader="dot" w:pos="9396"/>
            </w:tabs>
            <w:rPr>
              <w:rFonts w:asciiTheme="minorHAnsi" w:eastAsiaTheme="minorEastAsia" w:hAnsiTheme="minorHAnsi" w:cstheme="minorBidi"/>
              <w:noProof/>
              <w:spacing w:val="0"/>
              <w:kern w:val="2"/>
              <w:sz w:val="22"/>
              <w:szCs w:val="22"/>
              <w:lang w:eastAsia="es-CO"/>
              <w14:ligatures w14:val="standardContextual"/>
            </w:rPr>
          </w:pPr>
          <w:hyperlink w:anchor="_Toc147154288" w:history="1">
            <w:r w:rsidR="00853143" w:rsidRPr="00346AF4">
              <w:rPr>
                <w:rStyle w:val="Hipervnculo"/>
                <w:noProof/>
              </w:rPr>
              <w:t>2.</w:t>
            </w:r>
            <w:r w:rsidR="00853143">
              <w:rPr>
                <w:rFonts w:asciiTheme="minorHAnsi" w:eastAsiaTheme="minorEastAsia" w:hAnsiTheme="minorHAnsi" w:cstheme="minorBidi"/>
                <w:noProof/>
                <w:spacing w:val="0"/>
                <w:kern w:val="2"/>
                <w:sz w:val="22"/>
                <w:szCs w:val="22"/>
                <w:lang w:eastAsia="es-CO"/>
                <w14:ligatures w14:val="standardContextual"/>
              </w:rPr>
              <w:tab/>
            </w:r>
            <w:r w:rsidR="00853143" w:rsidRPr="00346AF4">
              <w:rPr>
                <w:rStyle w:val="Hipervnculo"/>
                <w:noProof/>
              </w:rPr>
              <w:t>MARCO LEGAL</w:t>
            </w:r>
            <w:r w:rsidR="00853143">
              <w:rPr>
                <w:noProof/>
                <w:webHidden/>
              </w:rPr>
              <w:tab/>
            </w:r>
            <w:r w:rsidR="00853143">
              <w:rPr>
                <w:noProof/>
                <w:webHidden/>
              </w:rPr>
              <w:fldChar w:fldCharType="begin"/>
            </w:r>
            <w:r w:rsidR="00853143">
              <w:rPr>
                <w:noProof/>
                <w:webHidden/>
              </w:rPr>
              <w:instrText xml:space="preserve"> PAGEREF _Toc147154288 \h </w:instrText>
            </w:r>
            <w:r w:rsidR="00853143">
              <w:rPr>
                <w:noProof/>
                <w:webHidden/>
              </w:rPr>
            </w:r>
            <w:r w:rsidR="00853143">
              <w:rPr>
                <w:noProof/>
                <w:webHidden/>
              </w:rPr>
              <w:fldChar w:fldCharType="separate"/>
            </w:r>
            <w:r w:rsidR="00853143">
              <w:rPr>
                <w:noProof/>
                <w:webHidden/>
              </w:rPr>
              <w:t>7</w:t>
            </w:r>
            <w:r w:rsidR="00853143">
              <w:rPr>
                <w:noProof/>
                <w:webHidden/>
              </w:rPr>
              <w:fldChar w:fldCharType="end"/>
            </w:r>
          </w:hyperlink>
        </w:p>
        <w:p w14:paraId="172AAA86" w14:textId="1FDC1E8C" w:rsidR="00853143" w:rsidRDefault="000D5E7E">
          <w:pPr>
            <w:pStyle w:val="TDC1"/>
            <w:tabs>
              <w:tab w:val="left" w:pos="400"/>
              <w:tab w:val="right" w:leader="dot" w:pos="9396"/>
            </w:tabs>
            <w:rPr>
              <w:rFonts w:asciiTheme="minorHAnsi" w:eastAsiaTheme="minorEastAsia" w:hAnsiTheme="minorHAnsi" w:cstheme="minorBidi"/>
              <w:noProof/>
              <w:spacing w:val="0"/>
              <w:kern w:val="2"/>
              <w:sz w:val="22"/>
              <w:szCs w:val="22"/>
              <w:lang w:eastAsia="es-CO"/>
              <w14:ligatures w14:val="standardContextual"/>
            </w:rPr>
          </w:pPr>
          <w:hyperlink w:anchor="_Toc147154289" w:history="1">
            <w:r w:rsidR="00853143" w:rsidRPr="00346AF4">
              <w:rPr>
                <w:rStyle w:val="Hipervnculo"/>
                <w:noProof/>
              </w:rPr>
              <w:t>3.</w:t>
            </w:r>
            <w:r w:rsidR="00853143">
              <w:rPr>
                <w:rFonts w:asciiTheme="minorHAnsi" w:eastAsiaTheme="minorEastAsia" w:hAnsiTheme="minorHAnsi" w:cstheme="minorBidi"/>
                <w:noProof/>
                <w:spacing w:val="0"/>
                <w:kern w:val="2"/>
                <w:sz w:val="22"/>
                <w:szCs w:val="22"/>
                <w:lang w:eastAsia="es-CO"/>
                <w14:ligatures w14:val="standardContextual"/>
              </w:rPr>
              <w:tab/>
            </w:r>
            <w:r w:rsidR="00853143" w:rsidRPr="00346AF4">
              <w:rPr>
                <w:rStyle w:val="Hipervnculo"/>
                <w:noProof/>
              </w:rPr>
              <w:t>CONTRIBUCIÓN ESPECIAL POR ACTIVIDADES REGULATORIAS.</w:t>
            </w:r>
            <w:r w:rsidR="00853143">
              <w:rPr>
                <w:noProof/>
                <w:webHidden/>
              </w:rPr>
              <w:tab/>
            </w:r>
            <w:r w:rsidR="00853143">
              <w:rPr>
                <w:noProof/>
                <w:webHidden/>
              </w:rPr>
              <w:fldChar w:fldCharType="begin"/>
            </w:r>
            <w:r w:rsidR="00853143">
              <w:rPr>
                <w:noProof/>
                <w:webHidden/>
              </w:rPr>
              <w:instrText xml:space="preserve"> PAGEREF _Toc147154289 \h </w:instrText>
            </w:r>
            <w:r w:rsidR="00853143">
              <w:rPr>
                <w:noProof/>
                <w:webHidden/>
              </w:rPr>
            </w:r>
            <w:r w:rsidR="00853143">
              <w:rPr>
                <w:noProof/>
                <w:webHidden/>
              </w:rPr>
              <w:fldChar w:fldCharType="separate"/>
            </w:r>
            <w:r w:rsidR="00853143">
              <w:rPr>
                <w:noProof/>
                <w:webHidden/>
              </w:rPr>
              <w:t>10</w:t>
            </w:r>
            <w:r w:rsidR="00853143">
              <w:rPr>
                <w:noProof/>
                <w:webHidden/>
              </w:rPr>
              <w:fldChar w:fldCharType="end"/>
            </w:r>
          </w:hyperlink>
        </w:p>
        <w:p w14:paraId="5ADCA74D" w14:textId="130EB7D3" w:rsidR="00853143" w:rsidRDefault="000D5E7E">
          <w:pPr>
            <w:pStyle w:val="TDC2"/>
            <w:tabs>
              <w:tab w:val="left" w:pos="800"/>
              <w:tab w:val="right" w:leader="dot" w:pos="9396"/>
            </w:tabs>
            <w:rPr>
              <w:rFonts w:asciiTheme="minorHAnsi" w:eastAsiaTheme="minorEastAsia" w:hAnsiTheme="minorHAnsi" w:cstheme="minorBidi"/>
              <w:noProof/>
              <w:spacing w:val="0"/>
              <w:kern w:val="2"/>
              <w:sz w:val="22"/>
              <w:szCs w:val="22"/>
              <w:lang w:eastAsia="es-CO"/>
              <w14:ligatures w14:val="standardContextual"/>
            </w:rPr>
          </w:pPr>
          <w:hyperlink w:anchor="_Toc147154290" w:history="1">
            <w:r w:rsidR="00853143" w:rsidRPr="00346AF4">
              <w:rPr>
                <w:rStyle w:val="Hipervnculo"/>
                <w:b/>
                <w:bCs/>
                <w:noProof/>
              </w:rPr>
              <w:t>3.1</w:t>
            </w:r>
            <w:r w:rsidR="00853143">
              <w:rPr>
                <w:rFonts w:asciiTheme="minorHAnsi" w:eastAsiaTheme="minorEastAsia" w:hAnsiTheme="minorHAnsi" w:cstheme="minorBidi"/>
                <w:noProof/>
                <w:spacing w:val="0"/>
                <w:kern w:val="2"/>
                <w:sz w:val="22"/>
                <w:szCs w:val="22"/>
                <w:lang w:eastAsia="es-CO"/>
                <w14:ligatures w14:val="standardContextual"/>
              </w:rPr>
              <w:tab/>
            </w:r>
            <w:r w:rsidR="00853143" w:rsidRPr="00346AF4">
              <w:rPr>
                <w:rStyle w:val="Hipervnculo"/>
                <w:b/>
                <w:bCs/>
                <w:noProof/>
              </w:rPr>
              <w:t>NATURALEZA DE LA ENTIDAD.</w:t>
            </w:r>
            <w:r w:rsidR="00853143">
              <w:rPr>
                <w:noProof/>
                <w:webHidden/>
              </w:rPr>
              <w:tab/>
            </w:r>
            <w:r w:rsidR="00853143">
              <w:rPr>
                <w:noProof/>
                <w:webHidden/>
              </w:rPr>
              <w:fldChar w:fldCharType="begin"/>
            </w:r>
            <w:r w:rsidR="00853143">
              <w:rPr>
                <w:noProof/>
                <w:webHidden/>
              </w:rPr>
              <w:instrText xml:space="preserve"> PAGEREF _Toc147154290 \h </w:instrText>
            </w:r>
            <w:r w:rsidR="00853143">
              <w:rPr>
                <w:noProof/>
                <w:webHidden/>
              </w:rPr>
            </w:r>
            <w:r w:rsidR="00853143">
              <w:rPr>
                <w:noProof/>
                <w:webHidden/>
              </w:rPr>
              <w:fldChar w:fldCharType="separate"/>
            </w:r>
            <w:r w:rsidR="00853143">
              <w:rPr>
                <w:noProof/>
                <w:webHidden/>
              </w:rPr>
              <w:t>10</w:t>
            </w:r>
            <w:r w:rsidR="00853143">
              <w:rPr>
                <w:noProof/>
                <w:webHidden/>
              </w:rPr>
              <w:fldChar w:fldCharType="end"/>
            </w:r>
          </w:hyperlink>
        </w:p>
        <w:p w14:paraId="5E0B1FE5" w14:textId="110FC6C5" w:rsidR="00853143" w:rsidRDefault="000D5E7E">
          <w:pPr>
            <w:pStyle w:val="TDC2"/>
            <w:tabs>
              <w:tab w:val="left" w:pos="800"/>
              <w:tab w:val="right" w:leader="dot" w:pos="9396"/>
            </w:tabs>
            <w:rPr>
              <w:rFonts w:asciiTheme="minorHAnsi" w:eastAsiaTheme="minorEastAsia" w:hAnsiTheme="minorHAnsi" w:cstheme="minorBidi"/>
              <w:noProof/>
              <w:spacing w:val="0"/>
              <w:kern w:val="2"/>
              <w:sz w:val="22"/>
              <w:szCs w:val="22"/>
              <w:lang w:eastAsia="es-CO"/>
              <w14:ligatures w14:val="standardContextual"/>
            </w:rPr>
          </w:pPr>
          <w:hyperlink w:anchor="_Toc147154291" w:history="1">
            <w:r w:rsidR="00853143" w:rsidRPr="00346AF4">
              <w:rPr>
                <w:rStyle w:val="Hipervnculo"/>
                <w:b/>
                <w:bCs/>
                <w:noProof/>
              </w:rPr>
              <w:t>3.2</w:t>
            </w:r>
            <w:r w:rsidR="00853143">
              <w:rPr>
                <w:rFonts w:asciiTheme="minorHAnsi" w:eastAsiaTheme="minorEastAsia" w:hAnsiTheme="minorHAnsi" w:cstheme="minorBidi"/>
                <w:noProof/>
                <w:spacing w:val="0"/>
                <w:kern w:val="2"/>
                <w:sz w:val="22"/>
                <w:szCs w:val="22"/>
                <w:lang w:eastAsia="es-CO"/>
                <w14:ligatures w14:val="standardContextual"/>
              </w:rPr>
              <w:tab/>
            </w:r>
            <w:r w:rsidR="00853143" w:rsidRPr="00346AF4">
              <w:rPr>
                <w:rStyle w:val="Hipervnculo"/>
                <w:b/>
                <w:bCs/>
                <w:noProof/>
              </w:rPr>
              <w:t>NATURALEZA DEL TRIBUTO.</w:t>
            </w:r>
            <w:r w:rsidR="00853143">
              <w:rPr>
                <w:noProof/>
                <w:webHidden/>
              </w:rPr>
              <w:tab/>
            </w:r>
            <w:r w:rsidR="00853143">
              <w:rPr>
                <w:noProof/>
                <w:webHidden/>
              </w:rPr>
              <w:fldChar w:fldCharType="begin"/>
            </w:r>
            <w:r w:rsidR="00853143">
              <w:rPr>
                <w:noProof/>
                <w:webHidden/>
              </w:rPr>
              <w:instrText xml:space="preserve"> PAGEREF _Toc147154291 \h </w:instrText>
            </w:r>
            <w:r w:rsidR="00853143">
              <w:rPr>
                <w:noProof/>
                <w:webHidden/>
              </w:rPr>
            </w:r>
            <w:r w:rsidR="00853143">
              <w:rPr>
                <w:noProof/>
                <w:webHidden/>
              </w:rPr>
              <w:fldChar w:fldCharType="separate"/>
            </w:r>
            <w:r w:rsidR="00853143">
              <w:rPr>
                <w:noProof/>
                <w:webHidden/>
              </w:rPr>
              <w:t>11</w:t>
            </w:r>
            <w:r w:rsidR="00853143">
              <w:rPr>
                <w:noProof/>
                <w:webHidden/>
              </w:rPr>
              <w:fldChar w:fldCharType="end"/>
            </w:r>
          </w:hyperlink>
        </w:p>
        <w:p w14:paraId="6BD375BF" w14:textId="04190464" w:rsidR="00853143" w:rsidRDefault="000D5E7E">
          <w:pPr>
            <w:pStyle w:val="TDC2"/>
            <w:tabs>
              <w:tab w:val="left" w:pos="800"/>
              <w:tab w:val="right" w:leader="dot" w:pos="9396"/>
            </w:tabs>
            <w:rPr>
              <w:rFonts w:asciiTheme="minorHAnsi" w:eastAsiaTheme="minorEastAsia" w:hAnsiTheme="minorHAnsi" w:cstheme="minorBidi"/>
              <w:noProof/>
              <w:spacing w:val="0"/>
              <w:kern w:val="2"/>
              <w:sz w:val="22"/>
              <w:szCs w:val="22"/>
              <w:lang w:eastAsia="es-CO"/>
              <w14:ligatures w14:val="standardContextual"/>
            </w:rPr>
          </w:pPr>
          <w:hyperlink w:anchor="_Toc147154292" w:history="1">
            <w:r w:rsidR="00853143" w:rsidRPr="00346AF4">
              <w:rPr>
                <w:rStyle w:val="Hipervnculo"/>
                <w:b/>
                <w:bCs/>
                <w:noProof/>
              </w:rPr>
              <w:t>3.3</w:t>
            </w:r>
            <w:r w:rsidR="00853143">
              <w:rPr>
                <w:rFonts w:asciiTheme="minorHAnsi" w:eastAsiaTheme="minorEastAsia" w:hAnsiTheme="minorHAnsi" w:cstheme="minorBidi"/>
                <w:noProof/>
                <w:spacing w:val="0"/>
                <w:kern w:val="2"/>
                <w:sz w:val="22"/>
                <w:szCs w:val="22"/>
                <w:lang w:eastAsia="es-CO"/>
                <w14:ligatures w14:val="standardContextual"/>
              </w:rPr>
              <w:tab/>
            </w:r>
            <w:r w:rsidR="00853143" w:rsidRPr="00346AF4">
              <w:rPr>
                <w:rStyle w:val="Hipervnculo"/>
                <w:b/>
                <w:bCs/>
                <w:noProof/>
              </w:rPr>
              <w:t>HECHO GENERADOR Y SUJETOS PASIVOS</w:t>
            </w:r>
            <w:r w:rsidR="00853143">
              <w:rPr>
                <w:noProof/>
                <w:webHidden/>
              </w:rPr>
              <w:tab/>
            </w:r>
            <w:r w:rsidR="00853143">
              <w:rPr>
                <w:noProof/>
                <w:webHidden/>
              </w:rPr>
              <w:fldChar w:fldCharType="begin"/>
            </w:r>
            <w:r w:rsidR="00853143">
              <w:rPr>
                <w:noProof/>
                <w:webHidden/>
              </w:rPr>
              <w:instrText xml:space="preserve"> PAGEREF _Toc147154292 \h </w:instrText>
            </w:r>
            <w:r w:rsidR="00853143">
              <w:rPr>
                <w:noProof/>
                <w:webHidden/>
              </w:rPr>
            </w:r>
            <w:r w:rsidR="00853143">
              <w:rPr>
                <w:noProof/>
                <w:webHidden/>
              </w:rPr>
              <w:fldChar w:fldCharType="separate"/>
            </w:r>
            <w:r w:rsidR="00853143">
              <w:rPr>
                <w:noProof/>
                <w:webHidden/>
              </w:rPr>
              <w:t>11</w:t>
            </w:r>
            <w:r w:rsidR="00853143">
              <w:rPr>
                <w:noProof/>
                <w:webHidden/>
              </w:rPr>
              <w:fldChar w:fldCharType="end"/>
            </w:r>
          </w:hyperlink>
        </w:p>
        <w:p w14:paraId="2A590D42" w14:textId="2F7B3339" w:rsidR="00853143" w:rsidRDefault="000D5E7E">
          <w:pPr>
            <w:pStyle w:val="TDC2"/>
            <w:tabs>
              <w:tab w:val="left" w:pos="800"/>
              <w:tab w:val="right" w:leader="dot" w:pos="9396"/>
            </w:tabs>
            <w:rPr>
              <w:rFonts w:asciiTheme="minorHAnsi" w:eastAsiaTheme="minorEastAsia" w:hAnsiTheme="minorHAnsi" w:cstheme="minorBidi"/>
              <w:noProof/>
              <w:spacing w:val="0"/>
              <w:kern w:val="2"/>
              <w:sz w:val="22"/>
              <w:szCs w:val="22"/>
              <w:lang w:eastAsia="es-CO"/>
              <w14:ligatures w14:val="standardContextual"/>
            </w:rPr>
          </w:pPr>
          <w:hyperlink w:anchor="_Toc147154293" w:history="1">
            <w:r w:rsidR="00853143" w:rsidRPr="00346AF4">
              <w:rPr>
                <w:rStyle w:val="Hipervnculo"/>
                <w:b/>
                <w:bCs/>
                <w:noProof/>
              </w:rPr>
              <w:t>3.4</w:t>
            </w:r>
            <w:r w:rsidR="00853143">
              <w:rPr>
                <w:rFonts w:asciiTheme="minorHAnsi" w:eastAsiaTheme="minorEastAsia" w:hAnsiTheme="minorHAnsi" w:cstheme="minorBidi"/>
                <w:noProof/>
                <w:spacing w:val="0"/>
                <w:kern w:val="2"/>
                <w:sz w:val="22"/>
                <w:szCs w:val="22"/>
                <w:lang w:eastAsia="es-CO"/>
                <w14:ligatures w14:val="standardContextual"/>
              </w:rPr>
              <w:tab/>
            </w:r>
            <w:r w:rsidR="00853143" w:rsidRPr="00346AF4">
              <w:rPr>
                <w:rStyle w:val="Hipervnculo"/>
                <w:b/>
                <w:bCs/>
                <w:noProof/>
              </w:rPr>
              <w:t>METODOLOGÍA TARIFARIA DE LA BASE GRAVABLE.</w:t>
            </w:r>
            <w:r w:rsidR="00853143">
              <w:rPr>
                <w:noProof/>
                <w:webHidden/>
              </w:rPr>
              <w:tab/>
            </w:r>
            <w:r w:rsidR="00853143">
              <w:rPr>
                <w:noProof/>
                <w:webHidden/>
              </w:rPr>
              <w:fldChar w:fldCharType="begin"/>
            </w:r>
            <w:r w:rsidR="00853143">
              <w:rPr>
                <w:noProof/>
                <w:webHidden/>
              </w:rPr>
              <w:instrText xml:space="preserve"> PAGEREF _Toc147154293 \h </w:instrText>
            </w:r>
            <w:r w:rsidR="00853143">
              <w:rPr>
                <w:noProof/>
                <w:webHidden/>
              </w:rPr>
            </w:r>
            <w:r w:rsidR="00853143">
              <w:rPr>
                <w:noProof/>
                <w:webHidden/>
              </w:rPr>
              <w:fldChar w:fldCharType="separate"/>
            </w:r>
            <w:r w:rsidR="00853143">
              <w:rPr>
                <w:noProof/>
                <w:webHidden/>
              </w:rPr>
              <w:t>11</w:t>
            </w:r>
            <w:r w:rsidR="00853143">
              <w:rPr>
                <w:noProof/>
                <w:webHidden/>
              </w:rPr>
              <w:fldChar w:fldCharType="end"/>
            </w:r>
          </w:hyperlink>
        </w:p>
        <w:p w14:paraId="355E73F8" w14:textId="5FBAF93E" w:rsidR="00853143" w:rsidRDefault="000D5E7E">
          <w:pPr>
            <w:pStyle w:val="TDC2"/>
            <w:tabs>
              <w:tab w:val="left" w:pos="800"/>
              <w:tab w:val="right" w:leader="dot" w:pos="9396"/>
            </w:tabs>
            <w:rPr>
              <w:rFonts w:asciiTheme="minorHAnsi" w:eastAsiaTheme="minorEastAsia" w:hAnsiTheme="minorHAnsi" w:cstheme="minorBidi"/>
              <w:noProof/>
              <w:spacing w:val="0"/>
              <w:kern w:val="2"/>
              <w:sz w:val="22"/>
              <w:szCs w:val="22"/>
              <w:lang w:eastAsia="es-CO"/>
              <w14:ligatures w14:val="standardContextual"/>
            </w:rPr>
          </w:pPr>
          <w:hyperlink w:anchor="_Toc147154294" w:history="1">
            <w:r w:rsidR="00853143" w:rsidRPr="00346AF4">
              <w:rPr>
                <w:rStyle w:val="Hipervnculo"/>
                <w:b/>
                <w:bCs/>
                <w:noProof/>
              </w:rPr>
              <w:t>3.5</w:t>
            </w:r>
            <w:r w:rsidR="00853143">
              <w:rPr>
                <w:rFonts w:asciiTheme="minorHAnsi" w:eastAsiaTheme="minorEastAsia" w:hAnsiTheme="minorHAnsi" w:cstheme="minorBidi"/>
                <w:noProof/>
                <w:spacing w:val="0"/>
                <w:kern w:val="2"/>
                <w:sz w:val="22"/>
                <w:szCs w:val="22"/>
                <w:lang w:eastAsia="es-CO"/>
                <w14:ligatures w14:val="standardContextual"/>
              </w:rPr>
              <w:tab/>
            </w:r>
            <w:r w:rsidR="00853143" w:rsidRPr="00346AF4">
              <w:rPr>
                <w:rStyle w:val="Hipervnculo"/>
                <w:b/>
                <w:bCs/>
                <w:noProof/>
              </w:rPr>
              <w:t>BASE GRAVABLE AÑO 2023.</w:t>
            </w:r>
            <w:r w:rsidR="00853143">
              <w:rPr>
                <w:noProof/>
                <w:webHidden/>
              </w:rPr>
              <w:tab/>
            </w:r>
            <w:r w:rsidR="00853143">
              <w:rPr>
                <w:noProof/>
                <w:webHidden/>
              </w:rPr>
              <w:fldChar w:fldCharType="begin"/>
            </w:r>
            <w:r w:rsidR="00853143">
              <w:rPr>
                <w:noProof/>
                <w:webHidden/>
              </w:rPr>
              <w:instrText xml:space="preserve"> PAGEREF _Toc147154294 \h </w:instrText>
            </w:r>
            <w:r w:rsidR="00853143">
              <w:rPr>
                <w:noProof/>
                <w:webHidden/>
              </w:rPr>
            </w:r>
            <w:r w:rsidR="00853143">
              <w:rPr>
                <w:noProof/>
                <w:webHidden/>
              </w:rPr>
              <w:fldChar w:fldCharType="separate"/>
            </w:r>
            <w:r w:rsidR="00853143">
              <w:rPr>
                <w:noProof/>
                <w:webHidden/>
              </w:rPr>
              <w:t>12</w:t>
            </w:r>
            <w:r w:rsidR="00853143">
              <w:rPr>
                <w:noProof/>
                <w:webHidden/>
              </w:rPr>
              <w:fldChar w:fldCharType="end"/>
            </w:r>
          </w:hyperlink>
        </w:p>
        <w:p w14:paraId="0393C684" w14:textId="7B7EB01E" w:rsidR="00853143" w:rsidRDefault="000D5E7E">
          <w:pPr>
            <w:pStyle w:val="TDC2"/>
            <w:tabs>
              <w:tab w:val="left" w:pos="800"/>
              <w:tab w:val="right" w:leader="dot" w:pos="9396"/>
            </w:tabs>
            <w:rPr>
              <w:rFonts w:asciiTheme="minorHAnsi" w:eastAsiaTheme="minorEastAsia" w:hAnsiTheme="minorHAnsi" w:cstheme="minorBidi"/>
              <w:noProof/>
              <w:spacing w:val="0"/>
              <w:kern w:val="2"/>
              <w:sz w:val="22"/>
              <w:szCs w:val="22"/>
              <w:lang w:eastAsia="es-CO"/>
              <w14:ligatures w14:val="standardContextual"/>
            </w:rPr>
          </w:pPr>
          <w:hyperlink w:anchor="_Toc147154295" w:history="1">
            <w:r w:rsidR="00853143" w:rsidRPr="00346AF4">
              <w:rPr>
                <w:rStyle w:val="Hipervnculo"/>
                <w:b/>
                <w:bCs/>
                <w:noProof/>
              </w:rPr>
              <w:t>3.6</w:t>
            </w:r>
            <w:r w:rsidR="00853143">
              <w:rPr>
                <w:rFonts w:asciiTheme="minorHAnsi" w:eastAsiaTheme="minorEastAsia" w:hAnsiTheme="minorHAnsi" w:cstheme="minorBidi"/>
                <w:noProof/>
                <w:spacing w:val="0"/>
                <w:kern w:val="2"/>
                <w:sz w:val="22"/>
                <w:szCs w:val="22"/>
                <w:lang w:eastAsia="es-CO"/>
                <w14:ligatures w14:val="standardContextual"/>
              </w:rPr>
              <w:tab/>
            </w:r>
            <w:r w:rsidR="00853143" w:rsidRPr="00346AF4">
              <w:rPr>
                <w:rStyle w:val="Hipervnculo"/>
                <w:b/>
                <w:noProof/>
              </w:rPr>
              <w:t>EXCLUSIONES GASTOS DE FUNCIONAMIENTO.</w:t>
            </w:r>
            <w:r w:rsidR="00853143">
              <w:rPr>
                <w:noProof/>
                <w:webHidden/>
              </w:rPr>
              <w:tab/>
            </w:r>
            <w:r w:rsidR="00853143">
              <w:rPr>
                <w:noProof/>
                <w:webHidden/>
              </w:rPr>
              <w:fldChar w:fldCharType="begin"/>
            </w:r>
            <w:r w:rsidR="00853143">
              <w:rPr>
                <w:noProof/>
                <w:webHidden/>
              </w:rPr>
              <w:instrText xml:space="preserve"> PAGEREF _Toc147154295 \h </w:instrText>
            </w:r>
            <w:r w:rsidR="00853143">
              <w:rPr>
                <w:noProof/>
                <w:webHidden/>
              </w:rPr>
            </w:r>
            <w:r w:rsidR="00853143">
              <w:rPr>
                <w:noProof/>
                <w:webHidden/>
              </w:rPr>
              <w:fldChar w:fldCharType="separate"/>
            </w:r>
            <w:r w:rsidR="00853143">
              <w:rPr>
                <w:noProof/>
                <w:webHidden/>
              </w:rPr>
              <w:t>13</w:t>
            </w:r>
            <w:r w:rsidR="00853143">
              <w:rPr>
                <w:noProof/>
                <w:webHidden/>
              </w:rPr>
              <w:fldChar w:fldCharType="end"/>
            </w:r>
          </w:hyperlink>
        </w:p>
        <w:p w14:paraId="57336C20" w14:textId="7DD45E13" w:rsidR="00853143" w:rsidRDefault="000D5E7E">
          <w:pPr>
            <w:pStyle w:val="TDC2"/>
            <w:tabs>
              <w:tab w:val="left" w:pos="800"/>
              <w:tab w:val="right" w:leader="dot" w:pos="9396"/>
            </w:tabs>
            <w:rPr>
              <w:rFonts w:asciiTheme="minorHAnsi" w:eastAsiaTheme="minorEastAsia" w:hAnsiTheme="minorHAnsi" w:cstheme="minorBidi"/>
              <w:noProof/>
              <w:spacing w:val="0"/>
              <w:kern w:val="2"/>
              <w:sz w:val="22"/>
              <w:szCs w:val="22"/>
              <w:lang w:eastAsia="es-CO"/>
              <w14:ligatures w14:val="standardContextual"/>
            </w:rPr>
          </w:pPr>
          <w:hyperlink w:anchor="_Toc147154296" w:history="1">
            <w:r w:rsidR="00853143" w:rsidRPr="00346AF4">
              <w:rPr>
                <w:rStyle w:val="Hipervnculo"/>
                <w:b/>
                <w:bCs/>
                <w:noProof/>
              </w:rPr>
              <w:t>3.7</w:t>
            </w:r>
            <w:r w:rsidR="00853143">
              <w:rPr>
                <w:rFonts w:asciiTheme="minorHAnsi" w:eastAsiaTheme="minorEastAsia" w:hAnsiTheme="minorHAnsi" w:cstheme="minorBidi"/>
                <w:noProof/>
                <w:spacing w:val="0"/>
                <w:kern w:val="2"/>
                <w:sz w:val="22"/>
                <w:szCs w:val="22"/>
                <w:lang w:eastAsia="es-CO"/>
                <w14:ligatures w14:val="standardContextual"/>
              </w:rPr>
              <w:tab/>
            </w:r>
            <w:r w:rsidR="00853143" w:rsidRPr="00346AF4">
              <w:rPr>
                <w:rStyle w:val="Hipervnculo"/>
                <w:b/>
                <w:noProof/>
              </w:rPr>
              <w:t>INFORMACIÓN FINANCIERA 2022 REPORTADA AL SUI.</w:t>
            </w:r>
            <w:r w:rsidR="00853143">
              <w:rPr>
                <w:noProof/>
                <w:webHidden/>
              </w:rPr>
              <w:tab/>
            </w:r>
            <w:r w:rsidR="00853143">
              <w:rPr>
                <w:noProof/>
                <w:webHidden/>
              </w:rPr>
              <w:fldChar w:fldCharType="begin"/>
            </w:r>
            <w:r w:rsidR="00853143">
              <w:rPr>
                <w:noProof/>
                <w:webHidden/>
              </w:rPr>
              <w:instrText xml:space="preserve"> PAGEREF _Toc147154296 \h </w:instrText>
            </w:r>
            <w:r w:rsidR="00853143">
              <w:rPr>
                <w:noProof/>
                <w:webHidden/>
              </w:rPr>
            </w:r>
            <w:r w:rsidR="00853143">
              <w:rPr>
                <w:noProof/>
                <w:webHidden/>
              </w:rPr>
              <w:fldChar w:fldCharType="separate"/>
            </w:r>
            <w:r w:rsidR="00853143">
              <w:rPr>
                <w:noProof/>
                <w:webHidden/>
              </w:rPr>
              <w:t>14</w:t>
            </w:r>
            <w:r w:rsidR="00853143">
              <w:rPr>
                <w:noProof/>
                <w:webHidden/>
              </w:rPr>
              <w:fldChar w:fldCharType="end"/>
            </w:r>
          </w:hyperlink>
        </w:p>
        <w:p w14:paraId="6AC7EDFA" w14:textId="7B8F3F2B" w:rsidR="00853143" w:rsidRDefault="000D5E7E">
          <w:pPr>
            <w:pStyle w:val="TDC2"/>
            <w:tabs>
              <w:tab w:val="left" w:pos="800"/>
              <w:tab w:val="right" w:leader="dot" w:pos="9396"/>
            </w:tabs>
            <w:rPr>
              <w:rFonts w:asciiTheme="minorHAnsi" w:eastAsiaTheme="minorEastAsia" w:hAnsiTheme="minorHAnsi" w:cstheme="minorBidi"/>
              <w:noProof/>
              <w:spacing w:val="0"/>
              <w:kern w:val="2"/>
              <w:sz w:val="22"/>
              <w:szCs w:val="22"/>
              <w:lang w:eastAsia="es-CO"/>
              <w14:ligatures w14:val="standardContextual"/>
            </w:rPr>
          </w:pPr>
          <w:hyperlink w:anchor="_Toc147154297" w:history="1">
            <w:r w:rsidR="00853143" w:rsidRPr="00346AF4">
              <w:rPr>
                <w:rStyle w:val="Hipervnculo"/>
                <w:b/>
                <w:bCs/>
                <w:noProof/>
              </w:rPr>
              <w:t>3.8</w:t>
            </w:r>
            <w:r w:rsidR="00853143">
              <w:rPr>
                <w:rFonts w:asciiTheme="minorHAnsi" w:eastAsiaTheme="minorEastAsia" w:hAnsiTheme="minorHAnsi" w:cstheme="minorBidi"/>
                <w:noProof/>
                <w:spacing w:val="0"/>
                <w:kern w:val="2"/>
                <w:sz w:val="22"/>
                <w:szCs w:val="22"/>
                <w:lang w:eastAsia="es-CO"/>
                <w14:ligatures w14:val="standardContextual"/>
              </w:rPr>
              <w:tab/>
            </w:r>
            <w:r w:rsidR="00853143" w:rsidRPr="00346AF4">
              <w:rPr>
                <w:rStyle w:val="Hipervnculo"/>
                <w:b/>
                <w:bCs/>
                <w:noProof/>
              </w:rPr>
              <w:t>TARIFA.</w:t>
            </w:r>
            <w:r w:rsidR="00853143">
              <w:rPr>
                <w:noProof/>
                <w:webHidden/>
              </w:rPr>
              <w:tab/>
            </w:r>
            <w:r w:rsidR="00853143">
              <w:rPr>
                <w:noProof/>
                <w:webHidden/>
              </w:rPr>
              <w:fldChar w:fldCharType="begin"/>
            </w:r>
            <w:r w:rsidR="00853143">
              <w:rPr>
                <w:noProof/>
                <w:webHidden/>
              </w:rPr>
              <w:instrText xml:space="preserve"> PAGEREF _Toc147154297 \h </w:instrText>
            </w:r>
            <w:r w:rsidR="00853143">
              <w:rPr>
                <w:noProof/>
                <w:webHidden/>
              </w:rPr>
            </w:r>
            <w:r w:rsidR="00853143">
              <w:rPr>
                <w:noProof/>
                <w:webHidden/>
              </w:rPr>
              <w:fldChar w:fldCharType="separate"/>
            </w:r>
            <w:r w:rsidR="00853143">
              <w:rPr>
                <w:noProof/>
                <w:webHidden/>
              </w:rPr>
              <w:t>15</w:t>
            </w:r>
            <w:r w:rsidR="00853143">
              <w:rPr>
                <w:noProof/>
                <w:webHidden/>
              </w:rPr>
              <w:fldChar w:fldCharType="end"/>
            </w:r>
          </w:hyperlink>
        </w:p>
        <w:p w14:paraId="13016E4F" w14:textId="6BE7ECE3" w:rsidR="00853143" w:rsidRDefault="000D5E7E">
          <w:pPr>
            <w:pStyle w:val="TDC1"/>
            <w:tabs>
              <w:tab w:val="left" w:pos="400"/>
              <w:tab w:val="right" w:leader="dot" w:pos="9396"/>
            </w:tabs>
            <w:rPr>
              <w:rFonts w:asciiTheme="minorHAnsi" w:eastAsiaTheme="minorEastAsia" w:hAnsiTheme="minorHAnsi" w:cstheme="minorBidi"/>
              <w:noProof/>
              <w:spacing w:val="0"/>
              <w:kern w:val="2"/>
              <w:sz w:val="22"/>
              <w:szCs w:val="22"/>
              <w:lang w:eastAsia="es-CO"/>
              <w14:ligatures w14:val="standardContextual"/>
            </w:rPr>
          </w:pPr>
          <w:hyperlink w:anchor="_Toc147154298" w:history="1">
            <w:r w:rsidR="00853143" w:rsidRPr="00346AF4">
              <w:rPr>
                <w:rStyle w:val="Hipervnculo"/>
                <w:noProof/>
              </w:rPr>
              <w:t>4.</w:t>
            </w:r>
            <w:r w:rsidR="00853143">
              <w:rPr>
                <w:rFonts w:asciiTheme="minorHAnsi" w:eastAsiaTheme="minorEastAsia" w:hAnsiTheme="minorHAnsi" w:cstheme="minorBidi"/>
                <w:noProof/>
                <w:spacing w:val="0"/>
                <w:kern w:val="2"/>
                <w:sz w:val="22"/>
                <w:szCs w:val="22"/>
                <w:lang w:eastAsia="es-CO"/>
                <w14:ligatures w14:val="standardContextual"/>
              </w:rPr>
              <w:tab/>
            </w:r>
            <w:r w:rsidR="00853143" w:rsidRPr="00346AF4">
              <w:rPr>
                <w:rStyle w:val="Hipervnculo"/>
                <w:noProof/>
              </w:rPr>
              <w:t>PRESUPUESTO Y COSTOS ASOCIADOS A LA ACTIVIDAD REGULATORIA.</w:t>
            </w:r>
            <w:r w:rsidR="00853143">
              <w:rPr>
                <w:noProof/>
                <w:webHidden/>
              </w:rPr>
              <w:tab/>
            </w:r>
            <w:r w:rsidR="00853143">
              <w:rPr>
                <w:noProof/>
                <w:webHidden/>
              </w:rPr>
              <w:fldChar w:fldCharType="begin"/>
            </w:r>
            <w:r w:rsidR="00853143">
              <w:rPr>
                <w:noProof/>
                <w:webHidden/>
              </w:rPr>
              <w:instrText xml:space="preserve"> PAGEREF _Toc147154298 \h </w:instrText>
            </w:r>
            <w:r w:rsidR="00853143">
              <w:rPr>
                <w:noProof/>
                <w:webHidden/>
              </w:rPr>
            </w:r>
            <w:r w:rsidR="00853143">
              <w:rPr>
                <w:noProof/>
                <w:webHidden/>
              </w:rPr>
              <w:fldChar w:fldCharType="separate"/>
            </w:r>
            <w:r w:rsidR="00853143">
              <w:rPr>
                <w:noProof/>
                <w:webHidden/>
              </w:rPr>
              <w:t>16</w:t>
            </w:r>
            <w:r w:rsidR="00853143">
              <w:rPr>
                <w:noProof/>
                <w:webHidden/>
              </w:rPr>
              <w:fldChar w:fldCharType="end"/>
            </w:r>
          </w:hyperlink>
        </w:p>
        <w:p w14:paraId="38F18220" w14:textId="76FD5D11" w:rsidR="00853143" w:rsidRDefault="000D5E7E">
          <w:pPr>
            <w:pStyle w:val="TDC2"/>
            <w:tabs>
              <w:tab w:val="left" w:pos="800"/>
              <w:tab w:val="right" w:leader="dot" w:pos="9396"/>
            </w:tabs>
            <w:rPr>
              <w:rFonts w:asciiTheme="minorHAnsi" w:eastAsiaTheme="minorEastAsia" w:hAnsiTheme="minorHAnsi" w:cstheme="minorBidi"/>
              <w:noProof/>
              <w:spacing w:val="0"/>
              <w:kern w:val="2"/>
              <w:sz w:val="22"/>
              <w:szCs w:val="22"/>
              <w:lang w:eastAsia="es-CO"/>
              <w14:ligatures w14:val="standardContextual"/>
            </w:rPr>
          </w:pPr>
          <w:hyperlink w:anchor="_Toc147154299" w:history="1">
            <w:r w:rsidR="00853143" w:rsidRPr="00346AF4">
              <w:rPr>
                <w:rStyle w:val="Hipervnculo"/>
                <w:b/>
                <w:bCs/>
                <w:noProof/>
              </w:rPr>
              <w:t>4.1</w:t>
            </w:r>
            <w:r w:rsidR="00853143">
              <w:rPr>
                <w:rFonts w:asciiTheme="minorHAnsi" w:eastAsiaTheme="minorEastAsia" w:hAnsiTheme="minorHAnsi" w:cstheme="minorBidi"/>
                <w:noProof/>
                <w:spacing w:val="0"/>
                <w:kern w:val="2"/>
                <w:sz w:val="22"/>
                <w:szCs w:val="22"/>
                <w:lang w:eastAsia="es-CO"/>
                <w14:ligatures w14:val="standardContextual"/>
              </w:rPr>
              <w:tab/>
            </w:r>
            <w:r w:rsidR="00853143" w:rsidRPr="00346AF4">
              <w:rPr>
                <w:rStyle w:val="Hipervnculo"/>
                <w:b/>
                <w:bCs/>
                <w:noProof/>
              </w:rPr>
              <w:t>PRESUPUESTO DE LA CREG PARA LA VIGENCIA 2023.</w:t>
            </w:r>
            <w:r w:rsidR="00853143">
              <w:rPr>
                <w:noProof/>
                <w:webHidden/>
              </w:rPr>
              <w:tab/>
            </w:r>
            <w:r w:rsidR="00853143">
              <w:rPr>
                <w:noProof/>
                <w:webHidden/>
              </w:rPr>
              <w:fldChar w:fldCharType="begin"/>
            </w:r>
            <w:r w:rsidR="00853143">
              <w:rPr>
                <w:noProof/>
                <w:webHidden/>
              </w:rPr>
              <w:instrText xml:space="preserve"> PAGEREF _Toc147154299 \h </w:instrText>
            </w:r>
            <w:r w:rsidR="00853143">
              <w:rPr>
                <w:noProof/>
                <w:webHidden/>
              </w:rPr>
            </w:r>
            <w:r w:rsidR="00853143">
              <w:rPr>
                <w:noProof/>
                <w:webHidden/>
              </w:rPr>
              <w:fldChar w:fldCharType="separate"/>
            </w:r>
            <w:r w:rsidR="00853143">
              <w:rPr>
                <w:noProof/>
                <w:webHidden/>
              </w:rPr>
              <w:t>16</w:t>
            </w:r>
            <w:r w:rsidR="00853143">
              <w:rPr>
                <w:noProof/>
                <w:webHidden/>
              </w:rPr>
              <w:fldChar w:fldCharType="end"/>
            </w:r>
          </w:hyperlink>
        </w:p>
        <w:p w14:paraId="2419CCA9" w14:textId="33F22108" w:rsidR="00853143" w:rsidRDefault="000D5E7E">
          <w:pPr>
            <w:pStyle w:val="TDC2"/>
            <w:tabs>
              <w:tab w:val="left" w:pos="800"/>
              <w:tab w:val="right" w:leader="dot" w:pos="9396"/>
            </w:tabs>
            <w:rPr>
              <w:rFonts w:asciiTheme="minorHAnsi" w:eastAsiaTheme="minorEastAsia" w:hAnsiTheme="minorHAnsi" w:cstheme="minorBidi"/>
              <w:noProof/>
              <w:spacing w:val="0"/>
              <w:kern w:val="2"/>
              <w:sz w:val="22"/>
              <w:szCs w:val="22"/>
              <w:lang w:eastAsia="es-CO"/>
              <w14:ligatures w14:val="standardContextual"/>
            </w:rPr>
          </w:pPr>
          <w:hyperlink w:anchor="_Toc147154300" w:history="1">
            <w:r w:rsidR="00853143" w:rsidRPr="00346AF4">
              <w:rPr>
                <w:rStyle w:val="Hipervnculo"/>
                <w:b/>
                <w:bCs/>
                <w:noProof/>
              </w:rPr>
              <w:t>4.2</w:t>
            </w:r>
            <w:r w:rsidR="00853143">
              <w:rPr>
                <w:rFonts w:asciiTheme="minorHAnsi" w:eastAsiaTheme="minorEastAsia" w:hAnsiTheme="minorHAnsi" w:cstheme="minorBidi"/>
                <w:noProof/>
                <w:spacing w:val="0"/>
                <w:kern w:val="2"/>
                <w:sz w:val="22"/>
                <w:szCs w:val="22"/>
                <w:lang w:eastAsia="es-CO"/>
                <w14:ligatures w14:val="standardContextual"/>
              </w:rPr>
              <w:tab/>
            </w:r>
            <w:r w:rsidR="00853143" w:rsidRPr="00346AF4">
              <w:rPr>
                <w:rStyle w:val="Hipervnculo"/>
                <w:b/>
                <w:bCs/>
                <w:noProof/>
              </w:rPr>
              <w:t>COSTOS DE LA ACTIVIDAD REGULATORIA.</w:t>
            </w:r>
            <w:r w:rsidR="00853143">
              <w:rPr>
                <w:noProof/>
                <w:webHidden/>
              </w:rPr>
              <w:tab/>
            </w:r>
            <w:r w:rsidR="00853143">
              <w:rPr>
                <w:noProof/>
                <w:webHidden/>
              </w:rPr>
              <w:fldChar w:fldCharType="begin"/>
            </w:r>
            <w:r w:rsidR="00853143">
              <w:rPr>
                <w:noProof/>
                <w:webHidden/>
              </w:rPr>
              <w:instrText xml:space="preserve"> PAGEREF _Toc147154300 \h </w:instrText>
            </w:r>
            <w:r w:rsidR="00853143">
              <w:rPr>
                <w:noProof/>
                <w:webHidden/>
              </w:rPr>
            </w:r>
            <w:r w:rsidR="00853143">
              <w:rPr>
                <w:noProof/>
                <w:webHidden/>
              </w:rPr>
              <w:fldChar w:fldCharType="separate"/>
            </w:r>
            <w:r w:rsidR="00853143">
              <w:rPr>
                <w:noProof/>
                <w:webHidden/>
              </w:rPr>
              <w:t>17</w:t>
            </w:r>
            <w:r w:rsidR="00853143">
              <w:rPr>
                <w:noProof/>
                <w:webHidden/>
              </w:rPr>
              <w:fldChar w:fldCharType="end"/>
            </w:r>
          </w:hyperlink>
        </w:p>
        <w:p w14:paraId="0CCD2A5E" w14:textId="4AFE7003" w:rsidR="00853143" w:rsidRDefault="000D5E7E">
          <w:pPr>
            <w:pStyle w:val="TDC2"/>
            <w:tabs>
              <w:tab w:val="left" w:pos="800"/>
              <w:tab w:val="right" w:leader="dot" w:pos="9396"/>
            </w:tabs>
            <w:rPr>
              <w:rFonts w:asciiTheme="minorHAnsi" w:eastAsiaTheme="minorEastAsia" w:hAnsiTheme="minorHAnsi" w:cstheme="minorBidi"/>
              <w:noProof/>
              <w:spacing w:val="0"/>
              <w:kern w:val="2"/>
              <w:sz w:val="22"/>
              <w:szCs w:val="22"/>
              <w:lang w:eastAsia="es-CO"/>
              <w14:ligatures w14:val="standardContextual"/>
            </w:rPr>
          </w:pPr>
          <w:hyperlink w:anchor="_Toc147154301" w:history="1">
            <w:r w:rsidR="00853143" w:rsidRPr="00346AF4">
              <w:rPr>
                <w:rStyle w:val="Hipervnculo"/>
                <w:b/>
                <w:bCs/>
                <w:noProof/>
              </w:rPr>
              <w:t>4.3</w:t>
            </w:r>
            <w:r w:rsidR="00853143">
              <w:rPr>
                <w:rFonts w:asciiTheme="minorHAnsi" w:eastAsiaTheme="minorEastAsia" w:hAnsiTheme="minorHAnsi" w:cstheme="minorBidi"/>
                <w:noProof/>
                <w:spacing w:val="0"/>
                <w:kern w:val="2"/>
                <w:sz w:val="22"/>
                <w:szCs w:val="22"/>
                <w:lang w:eastAsia="es-CO"/>
                <w14:ligatures w14:val="standardContextual"/>
              </w:rPr>
              <w:tab/>
            </w:r>
            <w:r w:rsidR="00853143" w:rsidRPr="00346AF4">
              <w:rPr>
                <w:rStyle w:val="Hipervnculo"/>
                <w:b/>
                <w:bCs/>
                <w:noProof/>
              </w:rPr>
              <w:t>CUANTÍA MÍNIMA AÑO 2023 DE OPTIMIZACIÓN DE RECURSOS PARA LA GESTIÓN.</w:t>
            </w:r>
            <w:r w:rsidR="00853143">
              <w:rPr>
                <w:noProof/>
                <w:webHidden/>
              </w:rPr>
              <w:tab/>
            </w:r>
            <w:r w:rsidR="00853143">
              <w:rPr>
                <w:noProof/>
                <w:webHidden/>
              </w:rPr>
              <w:fldChar w:fldCharType="begin"/>
            </w:r>
            <w:r w:rsidR="00853143">
              <w:rPr>
                <w:noProof/>
                <w:webHidden/>
              </w:rPr>
              <w:instrText xml:space="preserve"> PAGEREF _Toc147154301 \h </w:instrText>
            </w:r>
            <w:r w:rsidR="00853143">
              <w:rPr>
                <w:noProof/>
                <w:webHidden/>
              </w:rPr>
            </w:r>
            <w:r w:rsidR="00853143">
              <w:rPr>
                <w:noProof/>
                <w:webHidden/>
              </w:rPr>
              <w:fldChar w:fldCharType="separate"/>
            </w:r>
            <w:r w:rsidR="00853143">
              <w:rPr>
                <w:noProof/>
                <w:webHidden/>
              </w:rPr>
              <w:t>20</w:t>
            </w:r>
            <w:r w:rsidR="00853143">
              <w:rPr>
                <w:noProof/>
                <w:webHidden/>
              </w:rPr>
              <w:fldChar w:fldCharType="end"/>
            </w:r>
          </w:hyperlink>
        </w:p>
        <w:p w14:paraId="35DF09C0" w14:textId="1113AA11" w:rsidR="00853143" w:rsidRDefault="000D5E7E">
          <w:pPr>
            <w:pStyle w:val="TDC1"/>
            <w:tabs>
              <w:tab w:val="left" w:pos="400"/>
              <w:tab w:val="right" w:leader="dot" w:pos="9396"/>
            </w:tabs>
            <w:rPr>
              <w:rFonts w:asciiTheme="minorHAnsi" w:eastAsiaTheme="minorEastAsia" w:hAnsiTheme="minorHAnsi" w:cstheme="minorBidi"/>
              <w:noProof/>
              <w:spacing w:val="0"/>
              <w:kern w:val="2"/>
              <w:sz w:val="22"/>
              <w:szCs w:val="22"/>
              <w:lang w:eastAsia="es-CO"/>
              <w14:ligatures w14:val="standardContextual"/>
            </w:rPr>
          </w:pPr>
          <w:hyperlink w:anchor="_Toc147154302" w:history="1">
            <w:r w:rsidR="00853143" w:rsidRPr="00346AF4">
              <w:rPr>
                <w:rStyle w:val="Hipervnculo"/>
                <w:noProof/>
              </w:rPr>
              <w:t>5.</w:t>
            </w:r>
            <w:r w:rsidR="00853143">
              <w:rPr>
                <w:rFonts w:asciiTheme="minorHAnsi" w:eastAsiaTheme="minorEastAsia" w:hAnsiTheme="minorHAnsi" w:cstheme="minorBidi"/>
                <w:noProof/>
                <w:spacing w:val="0"/>
                <w:kern w:val="2"/>
                <w:sz w:val="22"/>
                <w:szCs w:val="22"/>
                <w:lang w:eastAsia="es-CO"/>
                <w14:ligatures w14:val="standardContextual"/>
              </w:rPr>
              <w:tab/>
            </w:r>
            <w:r w:rsidR="00853143" w:rsidRPr="00346AF4">
              <w:rPr>
                <w:rStyle w:val="Hipervnculo"/>
                <w:noProof/>
              </w:rPr>
              <w:t>MARCOS NORMATIVOS CONTABLES Y SISTEMA DE INFORMACIÓN.</w:t>
            </w:r>
            <w:r w:rsidR="00853143">
              <w:rPr>
                <w:noProof/>
                <w:webHidden/>
              </w:rPr>
              <w:tab/>
            </w:r>
            <w:r w:rsidR="00853143">
              <w:rPr>
                <w:noProof/>
                <w:webHidden/>
              </w:rPr>
              <w:fldChar w:fldCharType="begin"/>
            </w:r>
            <w:r w:rsidR="00853143">
              <w:rPr>
                <w:noProof/>
                <w:webHidden/>
              </w:rPr>
              <w:instrText xml:space="preserve"> PAGEREF _Toc147154302 \h </w:instrText>
            </w:r>
            <w:r w:rsidR="00853143">
              <w:rPr>
                <w:noProof/>
                <w:webHidden/>
              </w:rPr>
            </w:r>
            <w:r w:rsidR="00853143">
              <w:rPr>
                <w:noProof/>
                <w:webHidden/>
              </w:rPr>
              <w:fldChar w:fldCharType="separate"/>
            </w:r>
            <w:r w:rsidR="00853143">
              <w:rPr>
                <w:noProof/>
                <w:webHidden/>
              </w:rPr>
              <w:t>20</w:t>
            </w:r>
            <w:r w:rsidR="00853143">
              <w:rPr>
                <w:noProof/>
                <w:webHidden/>
              </w:rPr>
              <w:fldChar w:fldCharType="end"/>
            </w:r>
          </w:hyperlink>
        </w:p>
        <w:p w14:paraId="4885EE08" w14:textId="1673A89A" w:rsidR="00853143" w:rsidRDefault="000D5E7E">
          <w:pPr>
            <w:pStyle w:val="TDC2"/>
            <w:tabs>
              <w:tab w:val="left" w:pos="800"/>
              <w:tab w:val="right" w:leader="dot" w:pos="9396"/>
            </w:tabs>
            <w:rPr>
              <w:rFonts w:asciiTheme="minorHAnsi" w:eastAsiaTheme="minorEastAsia" w:hAnsiTheme="minorHAnsi" w:cstheme="minorBidi"/>
              <w:noProof/>
              <w:spacing w:val="0"/>
              <w:kern w:val="2"/>
              <w:sz w:val="22"/>
              <w:szCs w:val="22"/>
              <w:lang w:eastAsia="es-CO"/>
              <w14:ligatures w14:val="standardContextual"/>
            </w:rPr>
          </w:pPr>
          <w:hyperlink w:anchor="_Toc147154303" w:history="1">
            <w:r w:rsidR="00853143" w:rsidRPr="00346AF4">
              <w:rPr>
                <w:rStyle w:val="Hipervnculo"/>
                <w:b/>
                <w:bCs/>
                <w:noProof/>
              </w:rPr>
              <w:t>5.1</w:t>
            </w:r>
            <w:r w:rsidR="00853143">
              <w:rPr>
                <w:rFonts w:asciiTheme="minorHAnsi" w:eastAsiaTheme="minorEastAsia" w:hAnsiTheme="minorHAnsi" w:cstheme="minorBidi"/>
                <w:noProof/>
                <w:spacing w:val="0"/>
                <w:kern w:val="2"/>
                <w:sz w:val="22"/>
                <w:szCs w:val="22"/>
                <w:lang w:eastAsia="es-CO"/>
                <w14:ligatures w14:val="standardContextual"/>
              </w:rPr>
              <w:tab/>
            </w:r>
            <w:r w:rsidR="00853143" w:rsidRPr="00346AF4">
              <w:rPr>
                <w:rStyle w:val="Hipervnculo"/>
                <w:b/>
                <w:bCs/>
                <w:noProof/>
              </w:rPr>
              <w:t>MARCOS NORMATIVOS CONTABLES.</w:t>
            </w:r>
            <w:r w:rsidR="00853143">
              <w:rPr>
                <w:noProof/>
                <w:webHidden/>
              </w:rPr>
              <w:tab/>
            </w:r>
            <w:r w:rsidR="00853143">
              <w:rPr>
                <w:noProof/>
                <w:webHidden/>
              </w:rPr>
              <w:fldChar w:fldCharType="begin"/>
            </w:r>
            <w:r w:rsidR="00853143">
              <w:rPr>
                <w:noProof/>
                <w:webHidden/>
              </w:rPr>
              <w:instrText xml:space="preserve"> PAGEREF _Toc147154303 \h </w:instrText>
            </w:r>
            <w:r w:rsidR="00853143">
              <w:rPr>
                <w:noProof/>
                <w:webHidden/>
              </w:rPr>
            </w:r>
            <w:r w:rsidR="00853143">
              <w:rPr>
                <w:noProof/>
                <w:webHidden/>
              </w:rPr>
              <w:fldChar w:fldCharType="separate"/>
            </w:r>
            <w:r w:rsidR="00853143">
              <w:rPr>
                <w:noProof/>
                <w:webHidden/>
              </w:rPr>
              <w:t>20</w:t>
            </w:r>
            <w:r w:rsidR="00853143">
              <w:rPr>
                <w:noProof/>
                <w:webHidden/>
              </w:rPr>
              <w:fldChar w:fldCharType="end"/>
            </w:r>
          </w:hyperlink>
        </w:p>
        <w:p w14:paraId="5509763B" w14:textId="328878A1" w:rsidR="00853143" w:rsidRDefault="000D5E7E">
          <w:pPr>
            <w:pStyle w:val="TDC2"/>
            <w:tabs>
              <w:tab w:val="left" w:pos="800"/>
              <w:tab w:val="right" w:leader="dot" w:pos="9396"/>
            </w:tabs>
            <w:rPr>
              <w:rFonts w:asciiTheme="minorHAnsi" w:eastAsiaTheme="minorEastAsia" w:hAnsiTheme="minorHAnsi" w:cstheme="minorBidi"/>
              <w:noProof/>
              <w:spacing w:val="0"/>
              <w:kern w:val="2"/>
              <w:sz w:val="22"/>
              <w:szCs w:val="22"/>
              <w:lang w:eastAsia="es-CO"/>
              <w14:ligatures w14:val="standardContextual"/>
            </w:rPr>
          </w:pPr>
          <w:hyperlink w:anchor="_Toc147154304" w:history="1">
            <w:r w:rsidR="00853143" w:rsidRPr="00346AF4">
              <w:rPr>
                <w:rStyle w:val="Hipervnculo"/>
                <w:b/>
                <w:bCs/>
                <w:noProof/>
              </w:rPr>
              <w:t>5.2</w:t>
            </w:r>
            <w:r w:rsidR="00853143">
              <w:rPr>
                <w:rFonts w:asciiTheme="minorHAnsi" w:eastAsiaTheme="minorEastAsia" w:hAnsiTheme="minorHAnsi" w:cstheme="minorBidi"/>
                <w:noProof/>
                <w:spacing w:val="0"/>
                <w:kern w:val="2"/>
                <w:sz w:val="22"/>
                <w:szCs w:val="22"/>
                <w:lang w:eastAsia="es-CO"/>
                <w14:ligatures w14:val="standardContextual"/>
              </w:rPr>
              <w:tab/>
            </w:r>
            <w:r w:rsidR="00853143" w:rsidRPr="00346AF4">
              <w:rPr>
                <w:rStyle w:val="Hipervnculo"/>
                <w:b/>
                <w:bCs/>
                <w:noProof/>
              </w:rPr>
              <w:t>EL SUI COMO SISTEMA DE INFORMACIÓN.</w:t>
            </w:r>
            <w:r w:rsidR="00853143">
              <w:rPr>
                <w:noProof/>
                <w:webHidden/>
              </w:rPr>
              <w:tab/>
            </w:r>
            <w:r w:rsidR="00853143">
              <w:rPr>
                <w:noProof/>
                <w:webHidden/>
              </w:rPr>
              <w:fldChar w:fldCharType="begin"/>
            </w:r>
            <w:r w:rsidR="00853143">
              <w:rPr>
                <w:noProof/>
                <w:webHidden/>
              </w:rPr>
              <w:instrText xml:space="preserve"> PAGEREF _Toc147154304 \h </w:instrText>
            </w:r>
            <w:r w:rsidR="00853143">
              <w:rPr>
                <w:noProof/>
                <w:webHidden/>
              </w:rPr>
            </w:r>
            <w:r w:rsidR="00853143">
              <w:rPr>
                <w:noProof/>
                <w:webHidden/>
              </w:rPr>
              <w:fldChar w:fldCharType="separate"/>
            </w:r>
            <w:r w:rsidR="00853143">
              <w:rPr>
                <w:noProof/>
                <w:webHidden/>
              </w:rPr>
              <w:t>21</w:t>
            </w:r>
            <w:r w:rsidR="00853143">
              <w:rPr>
                <w:noProof/>
                <w:webHidden/>
              </w:rPr>
              <w:fldChar w:fldCharType="end"/>
            </w:r>
          </w:hyperlink>
        </w:p>
        <w:p w14:paraId="6709A0A7" w14:textId="2896B280" w:rsidR="00853143" w:rsidRDefault="000D5E7E">
          <w:pPr>
            <w:pStyle w:val="TDC2"/>
            <w:tabs>
              <w:tab w:val="left" w:pos="800"/>
              <w:tab w:val="right" w:leader="dot" w:pos="9396"/>
            </w:tabs>
            <w:rPr>
              <w:rFonts w:asciiTheme="minorHAnsi" w:eastAsiaTheme="minorEastAsia" w:hAnsiTheme="minorHAnsi" w:cstheme="minorBidi"/>
              <w:noProof/>
              <w:spacing w:val="0"/>
              <w:kern w:val="2"/>
              <w:sz w:val="22"/>
              <w:szCs w:val="22"/>
              <w:lang w:eastAsia="es-CO"/>
              <w14:ligatures w14:val="standardContextual"/>
            </w:rPr>
          </w:pPr>
          <w:hyperlink w:anchor="_Toc147154305" w:history="1">
            <w:r w:rsidR="00853143" w:rsidRPr="00346AF4">
              <w:rPr>
                <w:rStyle w:val="Hipervnculo"/>
                <w:b/>
                <w:bCs/>
                <w:noProof/>
              </w:rPr>
              <w:t>5.3</w:t>
            </w:r>
            <w:r w:rsidR="00853143">
              <w:rPr>
                <w:rFonts w:asciiTheme="minorHAnsi" w:eastAsiaTheme="minorEastAsia" w:hAnsiTheme="minorHAnsi" w:cstheme="minorBidi"/>
                <w:noProof/>
                <w:spacing w:val="0"/>
                <w:kern w:val="2"/>
                <w:sz w:val="22"/>
                <w:szCs w:val="22"/>
                <w:lang w:eastAsia="es-CO"/>
                <w14:ligatures w14:val="standardContextual"/>
              </w:rPr>
              <w:tab/>
            </w:r>
            <w:r w:rsidR="00853143" w:rsidRPr="00346AF4">
              <w:rPr>
                <w:rStyle w:val="Hipervnculo"/>
                <w:b/>
                <w:bCs/>
                <w:noProof/>
              </w:rPr>
              <w:t>FECHA DE CORTE DE CONSULTA DE INFORMACIÓN AL SUI.</w:t>
            </w:r>
            <w:r w:rsidR="00853143">
              <w:rPr>
                <w:noProof/>
                <w:webHidden/>
              </w:rPr>
              <w:tab/>
            </w:r>
            <w:r w:rsidR="00853143">
              <w:rPr>
                <w:noProof/>
                <w:webHidden/>
              </w:rPr>
              <w:fldChar w:fldCharType="begin"/>
            </w:r>
            <w:r w:rsidR="00853143">
              <w:rPr>
                <w:noProof/>
                <w:webHidden/>
              </w:rPr>
              <w:instrText xml:space="preserve"> PAGEREF _Toc147154305 \h </w:instrText>
            </w:r>
            <w:r w:rsidR="00853143">
              <w:rPr>
                <w:noProof/>
                <w:webHidden/>
              </w:rPr>
            </w:r>
            <w:r w:rsidR="00853143">
              <w:rPr>
                <w:noProof/>
                <w:webHidden/>
              </w:rPr>
              <w:fldChar w:fldCharType="separate"/>
            </w:r>
            <w:r w:rsidR="00853143">
              <w:rPr>
                <w:noProof/>
                <w:webHidden/>
              </w:rPr>
              <w:t>24</w:t>
            </w:r>
            <w:r w:rsidR="00853143">
              <w:rPr>
                <w:noProof/>
                <w:webHidden/>
              </w:rPr>
              <w:fldChar w:fldCharType="end"/>
            </w:r>
          </w:hyperlink>
        </w:p>
        <w:p w14:paraId="77652418" w14:textId="218BE57E" w:rsidR="00853143" w:rsidRDefault="000D5E7E">
          <w:pPr>
            <w:pStyle w:val="TDC2"/>
            <w:tabs>
              <w:tab w:val="left" w:pos="800"/>
              <w:tab w:val="right" w:leader="dot" w:pos="9396"/>
            </w:tabs>
            <w:rPr>
              <w:rFonts w:asciiTheme="minorHAnsi" w:eastAsiaTheme="minorEastAsia" w:hAnsiTheme="minorHAnsi" w:cstheme="minorBidi"/>
              <w:noProof/>
              <w:spacing w:val="0"/>
              <w:kern w:val="2"/>
              <w:sz w:val="22"/>
              <w:szCs w:val="22"/>
              <w:lang w:eastAsia="es-CO"/>
              <w14:ligatures w14:val="standardContextual"/>
            </w:rPr>
          </w:pPr>
          <w:hyperlink w:anchor="_Toc147154306" w:history="1">
            <w:r w:rsidR="00853143" w:rsidRPr="00346AF4">
              <w:rPr>
                <w:rStyle w:val="Hipervnculo"/>
                <w:b/>
                <w:bCs/>
                <w:noProof/>
              </w:rPr>
              <w:t>5.4</w:t>
            </w:r>
            <w:r w:rsidR="00853143">
              <w:rPr>
                <w:rFonts w:asciiTheme="minorHAnsi" w:eastAsiaTheme="minorEastAsia" w:hAnsiTheme="minorHAnsi" w:cstheme="minorBidi"/>
                <w:noProof/>
                <w:spacing w:val="0"/>
                <w:kern w:val="2"/>
                <w:sz w:val="22"/>
                <w:szCs w:val="22"/>
                <w:lang w:eastAsia="es-CO"/>
                <w14:ligatures w14:val="standardContextual"/>
              </w:rPr>
              <w:tab/>
            </w:r>
            <w:r w:rsidR="00853143" w:rsidRPr="00346AF4">
              <w:rPr>
                <w:rStyle w:val="Hipervnculo"/>
                <w:b/>
                <w:bCs/>
                <w:noProof/>
              </w:rPr>
              <w:t>VINCULOS WEB SSPD DE CONSULTA CIUDADANA AL SISTEMA SUI</w:t>
            </w:r>
            <w:r w:rsidR="00853143">
              <w:rPr>
                <w:noProof/>
                <w:webHidden/>
              </w:rPr>
              <w:tab/>
            </w:r>
            <w:r w:rsidR="00853143">
              <w:rPr>
                <w:noProof/>
                <w:webHidden/>
              </w:rPr>
              <w:fldChar w:fldCharType="begin"/>
            </w:r>
            <w:r w:rsidR="00853143">
              <w:rPr>
                <w:noProof/>
                <w:webHidden/>
              </w:rPr>
              <w:instrText xml:space="preserve"> PAGEREF _Toc147154306 \h </w:instrText>
            </w:r>
            <w:r w:rsidR="00853143">
              <w:rPr>
                <w:noProof/>
                <w:webHidden/>
              </w:rPr>
            </w:r>
            <w:r w:rsidR="00853143">
              <w:rPr>
                <w:noProof/>
                <w:webHidden/>
              </w:rPr>
              <w:fldChar w:fldCharType="separate"/>
            </w:r>
            <w:r w:rsidR="00853143">
              <w:rPr>
                <w:noProof/>
                <w:webHidden/>
              </w:rPr>
              <w:t>24</w:t>
            </w:r>
            <w:r w:rsidR="00853143">
              <w:rPr>
                <w:noProof/>
                <w:webHidden/>
              </w:rPr>
              <w:fldChar w:fldCharType="end"/>
            </w:r>
          </w:hyperlink>
        </w:p>
        <w:p w14:paraId="7E26AF77" w14:textId="0BB05CA6" w:rsidR="00853143" w:rsidRDefault="000D5E7E">
          <w:pPr>
            <w:pStyle w:val="TDC2"/>
            <w:tabs>
              <w:tab w:val="left" w:pos="1000"/>
              <w:tab w:val="right" w:leader="dot" w:pos="9396"/>
            </w:tabs>
            <w:rPr>
              <w:rFonts w:asciiTheme="minorHAnsi" w:eastAsiaTheme="minorEastAsia" w:hAnsiTheme="minorHAnsi" w:cstheme="minorBidi"/>
              <w:noProof/>
              <w:spacing w:val="0"/>
              <w:kern w:val="2"/>
              <w:sz w:val="22"/>
              <w:szCs w:val="22"/>
              <w:lang w:eastAsia="es-CO"/>
              <w14:ligatures w14:val="standardContextual"/>
            </w:rPr>
          </w:pPr>
          <w:hyperlink w:anchor="_Toc147154307" w:history="1">
            <w:r w:rsidR="00853143" w:rsidRPr="00346AF4">
              <w:rPr>
                <w:rStyle w:val="Hipervnculo"/>
                <w:b/>
                <w:bCs/>
                <w:noProof/>
              </w:rPr>
              <w:t>5.4.1</w:t>
            </w:r>
            <w:r w:rsidR="00853143">
              <w:rPr>
                <w:rFonts w:asciiTheme="minorHAnsi" w:eastAsiaTheme="minorEastAsia" w:hAnsiTheme="minorHAnsi" w:cstheme="minorBidi"/>
                <w:noProof/>
                <w:spacing w:val="0"/>
                <w:kern w:val="2"/>
                <w:sz w:val="22"/>
                <w:szCs w:val="22"/>
                <w:lang w:eastAsia="es-CO"/>
                <w14:ligatures w14:val="standardContextual"/>
              </w:rPr>
              <w:tab/>
            </w:r>
            <w:r w:rsidR="00853143" w:rsidRPr="00346AF4">
              <w:rPr>
                <w:rStyle w:val="Hipervnculo"/>
                <w:b/>
                <w:bCs/>
                <w:noProof/>
              </w:rPr>
              <w:t>Servicio de energía.</w:t>
            </w:r>
            <w:r w:rsidR="00853143">
              <w:rPr>
                <w:noProof/>
                <w:webHidden/>
              </w:rPr>
              <w:tab/>
            </w:r>
            <w:r w:rsidR="00853143">
              <w:rPr>
                <w:noProof/>
                <w:webHidden/>
              </w:rPr>
              <w:fldChar w:fldCharType="begin"/>
            </w:r>
            <w:r w:rsidR="00853143">
              <w:rPr>
                <w:noProof/>
                <w:webHidden/>
              </w:rPr>
              <w:instrText xml:space="preserve"> PAGEREF _Toc147154307 \h </w:instrText>
            </w:r>
            <w:r w:rsidR="00853143">
              <w:rPr>
                <w:noProof/>
                <w:webHidden/>
              </w:rPr>
            </w:r>
            <w:r w:rsidR="00853143">
              <w:rPr>
                <w:noProof/>
                <w:webHidden/>
              </w:rPr>
              <w:fldChar w:fldCharType="separate"/>
            </w:r>
            <w:r w:rsidR="00853143">
              <w:rPr>
                <w:noProof/>
                <w:webHidden/>
              </w:rPr>
              <w:t>25</w:t>
            </w:r>
            <w:r w:rsidR="00853143">
              <w:rPr>
                <w:noProof/>
                <w:webHidden/>
              </w:rPr>
              <w:fldChar w:fldCharType="end"/>
            </w:r>
          </w:hyperlink>
        </w:p>
        <w:p w14:paraId="2D266716" w14:textId="11EFA972" w:rsidR="00853143" w:rsidRDefault="000D5E7E">
          <w:pPr>
            <w:pStyle w:val="TDC2"/>
            <w:tabs>
              <w:tab w:val="left" w:pos="1000"/>
              <w:tab w:val="right" w:leader="dot" w:pos="9396"/>
            </w:tabs>
            <w:rPr>
              <w:rFonts w:asciiTheme="minorHAnsi" w:eastAsiaTheme="minorEastAsia" w:hAnsiTheme="minorHAnsi" w:cstheme="minorBidi"/>
              <w:noProof/>
              <w:spacing w:val="0"/>
              <w:kern w:val="2"/>
              <w:sz w:val="22"/>
              <w:szCs w:val="22"/>
              <w:lang w:eastAsia="es-CO"/>
              <w14:ligatures w14:val="standardContextual"/>
            </w:rPr>
          </w:pPr>
          <w:hyperlink w:anchor="_Toc147154308" w:history="1">
            <w:r w:rsidR="00853143" w:rsidRPr="00346AF4">
              <w:rPr>
                <w:rStyle w:val="Hipervnculo"/>
                <w:b/>
                <w:bCs/>
                <w:noProof/>
              </w:rPr>
              <w:t>5.4.2</w:t>
            </w:r>
            <w:r w:rsidR="00853143">
              <w:rPr>
                <w:rFonts w:asciiTheme="minorHAnsi" w:eastAsiaTheme="minorEastAsia" w:hAnsiTheme="minorHAnsi" w:cstheme="minorBidi"/>
                <w:noProof/>
                <w:spacing w:val="0"/>
                <w:kern w:val="2"/>
                <w:sz w:val="22"/>
                <w:szCs w:val="22"/>
                <w:lang w:eastAsia="es-CO"/>
                <w14:ligatures w14:val="standardContextual"/>
              </w:rPr>
              <w:tab/>
            </w:r>
            <w:r w:rsidR="00853143" w:rsidRPr="00346AF4">
              <w:rPr>
                <w:rStyle w:val="Hipervnculo"/>
                <w:b/>
                <w:bCs/>
                <w:noProof/>
              </w:rPr>
              <w:t>Servicio de gas natural.</w:t>
            </w:r>
            <w:r w:rsidR="00853143">
              <w:rPr>
                <w:noProof/>
                <w:webHidden/>
              </w:rPr>
              <w:tab/>
            </w:r>
            <w:r w:rsidR="00853143">
              <w:rPr>
                <w:noProof/>
                <w:webHidden/>
              </w:rPr>
              <w:fldChar w:fldCharType="begin"/>
            </w:r>
            <w:r w:rsidR="00853143">
              <w:rPr>
                <w:noProof/>
                <w:webHidden/>
              </w:rPr>
              <w:instrText xml:space="preserve"> PAGEREF _Toc147154308 \h </w:instrText>
            </w:r>
            <w:r w:rsidR="00853143">
              <w:rPr>
                <w:noProof/>
                <w:webHidden/>
              </w:rPr>
            </w:r>
            <w:r w:rsidR="00853143">
              <w:rPr>
                <w:noProof/>
                <w:webHidden/>
              </w:rPr>
              <w:fldChar w:fldCharType="separate"/>
            </w:r>
            <w:r w:rsidR="00853143">
              <w:rPr>
                <w:noProof/>
                <w:webHidden/>
              </w:rPr>
              <w:t>25</w:t>
            </w:r>
            <w:r w:rsidR="00853143">
              <w:rPr>
                <w:noProof/>
                <w:webHidden/>
              </w:rPr>
              <w:fldChar w:fldCharType="end"/>
            </w:r>
          </w:hyperlink>
        </w:p>
        <w:p w14:paraId="354D7E66" w14:textId="63B02681" w:rsidR="00853143" w:rsidRDefault="000D5E7E">
          <w:pPr>
            <w:pStyle w:val="TDC2"/>
            <w:tabs>
              <w:tab w:val="left" w:pos="1000"/>
              <w:tab w:val="right" w:leader="dot" w:pos="9396"/>
            </w:tabs>
            <w:rPr>
              <w:rFonts w:asciiTheme="minorHAnsi" w:eastAsiaTheme="minorEastAsia" w:hAnsiTheme="minorHAnsi" w:cstheme="minorBidi"/>
              <w:noProof/>
              <w:spacing w:val="0"/>
              <w:kern w:val="2"/>
              <w:sz w:val="22"/>
              <w:szCs w:val="22"/>
              <w:lang w:eastAsia="es-CO"/>
              <w14:ligatures w14:val="standardContextual"/>
            </w:rPr>
          </w:pPr>
          <w:hyperlink w:anchor="_Toc147154309" w:history="1">
            <w:r w:rsidR="00853143" w:rsidRPr="00346AF4">
              <w:rPr>
                <w:rStyle w:val="Hipervnculo"/>
                <w:b/>
                <w:bCs/>
                <w:noProof/>
              </w:rPr>
              <w:t>5.4.3</w:t>
            </w:r>
            <w:r w:rsidR="00853143">
              <w:rPr>
                <w:rFonts w:asciiTheme="minorHAnsi" w:eastAsiaTheme="minorEastAsia" w:hAnsiTheme="minorHAnsi" w:cstheme="minorBidi"/>
                <w:noProof/>
                <w:spacing w:val="0"/>
                <w:kern w:val="2"/>
                <w:sz w:val="22"/>
                <w:szCs w:val="22"/>
                <w:lang w:eastAsia="es-CO"/>
                <w14:ligatures w14:val="standardContextual"/>
              </w:rPr>
              <w:tab/>
            </w:r>
            <w:r w:rsidR="00853143" w:rsidRPr="00346AF4">
              <w:rPr>
                <w:rStyle w:val="Hipervnculo"/>
                <w:b/>
                <w:bCs/>
                <w:noProof/>
              </w:rPr>
              <w:t>Servicio de GLP.</w:t>
            </w:r>
            <w:r w:rsidR="00853143">
              <w:rPr>
                <w:noProof/>
                <w:webHidden/>
              </w:rPr>
              <w:tab/>
            </w:r>
            <w:r w:rsidR="00853143">
              <w:rPr>
                <w:noProof/>
                <w:webHidden/>
              </w:rPr>
              <w:fldChar w:fldCharType="begin"/>
            </w:r>
            <w:r w:rsidR="00853143">
              <w:rPr>
                <w:noProof/>
                <w:webHidden/>
              </w:rPr>
              <w:instrText xml:space="preserve"> PAGEREF _Toc147154309 \h </w:instrText>
            </w:r>
            <w:r w:rsidR="00853143">
              <w:rPr>
                <w:noProof/>
                <w:webHidden/>
              </w:rPr>
            </w:r>
            <w:r w:rsidR="00853143">
              <w:rPr>
                <w:noProof/>
                <w:webHidden/>
              </w:rPr>
              <w:fldChar w:fldCharType="separate"/>
            </w:r>
            <w:r w:rsidR="00853143">
              <w:rPr>
                <w:noProof/>
                <w:webHidden/>
              </w:rPr>
              <w:t>26</w:t>
            </w:r>
            <w:r w:rsidR="00853143">
              <w:rPr>
                <w:noProof/>
                <w:webHidden/>
              </w:rPr>
              <w:fldChar w:fldCharType="end"/>
            </w:r>
          </w:hyperlink>
        </w:p>
        <w:p w14:paraId="78F6ECDD" w14:textId="1E3A295F" w:rsidR="00853143" w:rsidRDefault="000D5E7E">
          <w:pPr>
            <w:pStyle w:val="TDC1"/>
            <w:tabs>
              <w:tab w:val="left" w:pos="400"/>
              <w:tab w:val="right" w:leader="dot" w:pos="9396"/>
            </w:tabs>
            <w:rPr>
              <w:rFonts w:asciiTheme="minorHAnsi" w:eastAsiaTheme="minorEastAsia" w:hAnsiTheme="minorHAnsi" w:cstheme="minorBidi"/>
              <w:noProof/>
              <w:spacing w:val="0"/>
              <w:kern w:val="2"/>
              <w:sz w:val="22"/>
              <w:szCs w:val="22"/>
              <w:lang w:eastAsia="es-CO"/>
              <w14:ligatures w14:val="standardContextual"/>
            </w:rPr>
          </w:pPr>
          <w:hyperlink w:anchor="_Toc147154310" w:history="1">
            <w:r w:rsidR="00853143" w:rsidRPr="00346AF4">
              <w:rPr>
                <w:rStyle w:val="Hipervnculo"/>
                <w:noProof/>
              </w:rPr>
              <w:t>6.</w:t>
            </w:r>
            <w:r w:rsidR="00853143">
              <w:rPr>
                <w:rFonts w:asciiTheme="minorHAnsi" w:eastAsiaTheme="minorEastAsia" w:hAnsiTheme="minorHAnsi" w:cstheme="minorBidi"/>
                <w:noProof/>
                <w:spacing w:val="0"/>
                <w:kern w:val="2"/>
                <w:sz w:val="22"/>
                <w:szCs w:val="22"/>
                <w:lang w:eastAsia="es-CO"/>
                <w14:ligatures w14:val="standardContextual"/>
              </w:rPr>
              <w:tab/>
            </w:r>
            <w:r w:rsidR="00853143" w:rsidRPr="00346AF4">
              <w:rPr>
                <w:rStyle w:val="Hipervnculo"/>
                <w:noProof/>
              </w:rPr>
              <w:t>ANTECEDENTES.</w:t>
            </w:r>
            <w:r w:rsidR="00853143">
              <w:rPr>
                <w:noProof/>
                <w:webHidden/>
              </w:rPr>
              <w:tab/>
            </w:r>
            <w:r w:rsidR="00853143">
              <w:rPr>
                <w:noProof/>
                <w:webHidden/>
              </w:rPr>
              <w:fldChar w:fldCharType="begin"/>
            </w:r>
            <w:r w:rsidR="00853143">
              <w:rPr>
                <w:noProof/>
                <w:webHidden/>
              </w:rPr>
              <w:instrText xml:space="preserve"> PAGEREF _Toc147154310 \h </w:instrText>
            </w:r>
            <w:r w:rsidR="00853143">
              <w:rPr>
                <w:noProof/>
                <w:webHidden/>
              </w:rPr>
            </w:r>
            <w:r w:rsidR="00853143">
              <w:rPr>
                <w:noProof/>
                <w:webHidden/>
              </w:rPr>
              <w:fldChar w:fldCharType="separate"/>
            </w:r>
            <w:r w:rsidR="00853143">
              <w:rPr>
                <w:noProof/>
                <w:webHidden/>
              </w:rPr>
              <w:t>26</w:t>
            </w:r>
            <w:r w:rsidR="00853143">
              <w:rPr>
                <w:noProof/>
                <w:webHidden/>
              </w:rPr>
              <w:fldChar w:fldCharType="end"/>
            </w:r>
          </w:hyperlink>
        </w:p>
        <w:p w14:paraId="33E9C403" w14:textId="4FB33807" w:rsidR="00853143" w:rsidRDefault="000D5E7E">
          <w:pPr>
            <w:pStyle w:val="TDC1"/>
            <w:tabs>
              <w:tab w:val="left" w:pos="400"/>
              <w:tab w:val="right" w:leader="dot" w:pos="9396"/>
            </w:tabs>
            <w:rPr>
              <w:rFonts w:asciiTheme="minorHAnsi" w:eastAsiaTheme="minorEastAsia" w:hAnsiTheme="minorHAnsi" w:cstheme="minorBidi"/>
              <w:noProof/>
              <w:spacing w:val="0"/>
              <w:kern w:val="2"/>
              <w:sz w:val="22"/>
              <w:szCs w:val="22"/>
              <w:lang w:eastAsia="es-CO"/>
              <w14:ligatures w14:val="standardContextual"/>
            </w:rPr>
          </w:pPr>
          <w:hyperlink w:anchor="_Toc147154311" w:history="1">
            <w:r w:rsidR="00853143" w:rsidRPr="00346AF4">
              <w:rPr>
                <w:rStyle w:val="Hipervnculo"/>
                <w:noProof/>
              </w:rPr>
              <w:t>7.</w:t>
            </w:r>
            <w:r w:rsidR="00853143">
              <w:rPr>
                <w:rFonts w:asciiTheme="minorHAnsi" w:eastAsiaTheme="minorEastAsia" w:hAnsiTheme="minorHAnsi" w:cstheme="minorBidi"/>
                <w:noProof/>
                <w:spacing w:val="0"/>
                <w:kern w:val="2"/>
                <w:sz w:val="22"/>
                <w:szCs w:val="22"/>
                <w:lang w:eastAsia="es-CO"/>
                <w14:ligatures w14:val="standardContextual"/>
              </w:rPr>
              <w:tab/>
            </w:r>
            <w:r w:rsidR="00853143" w:rsidRPr="00346AF4">
              <w:rPr>
                <w:rStyle w:val="Hipervnculo"/>
                <w:noProof/>
              </w:rPr>
              <w:t>CENSO Y ESTADO DE REPORTE AL SUI DE LOS REGULADOS CREG</w:t>
            </w:r>
            <w:r w:rsidR="00853143">
              <w:rPr>
                <w:noProof/>
                <w:webHidden/>
              </w:rPr>
              <w:tab/>
            </w:r>
            <w:r w:rsidR="00853143">
              <w:rPr>
                <w:noProof/>
                <w:webHidden/>
              </w:rPr>
              <w:fldChar w:fldCharType="begin"/>
            </w:r>
            <w:r w:rsidR="00853143">
              <w:rPr>
                <w:noProof/>
                <w:webHidden/>
              </w:rPr>
              <w:instrText xml:space="preserve"> PAGEREF _Toc147154311 \h </w:instrText>
            </w:r>
            <w:r w:rsidR="00853143">
              <w:rPr>
                <w:noProof/>
                <w:webHidden/>
              </w:rPr>
            </w:r>
            <w:r w:rsidR="00853143">
              <w:rPr>
                <w:noProof/>
                <w:webHidden/>
              </w:rPr>
              <w:fldChar w:fldCharType="separate"/>
            </w:r>
            <w:r w:rsidR="00853143">
              <w:rPr>
                <w:noProof/>
                <w:webHidden/>
              </w:rPr>
              <w:t>27</w:t>
            </w:r>
            <w:r w:rsidR="00853143">
              <w:rPr>
                <w:noProof/>
                <w:webHidden/>
              </w:rPr>
              <w:fldChar w:fldCharType="end"/>
            </w:r>
          </w:hyperlink>
        </w:p>
        <w:p w14:paraId="2A1165F5" w14:textId="73F87A44" w:rsidR="00853143" w:rsidRDefault="000D5E7E">
          <w:pPr>
            <w:pStyle w:val="TDC2"/>
            <w:tabs>
              <w:tab w:val="left" w:pos="800"/>
              <w:tab w:val="right" w:leader="dot" w:pos="9396"/>
            </w:tabs>
            <w:rPr>
              <w:rFonts w:asciiTheme="minorHAnsi" w:eastAsiaTheme="minorEastAsia" w:hAnsiTheme="minorHAnsi" w:cstheme="minorBidi"/>
              <w:noProof/>
              <w:spacing w:val="0"/>
              <w:kern w:val="2"/>
              <w:sz w:val="22"/>
              <w:szCs w:val="22"/>
              <w:lang w:eastAsia="es-CO"/>
              <w14:ligatures w14:val="standardContextual"/>
            </w:rPr>
          </w:pPr>
          <w:hyperlink w:anchor="_Toc147154312" w:history="1">
            <w:r w:rsidR="00853143" w:rsidRPr="00346AF4">
              <w:rPr>
                <w:rStyle w:val="Hipervnculo"/>
                <w:b/>
                <w:bCs/>
                <w:noProof/>
              </w:rPr>
              <w:t>7.1</w:t>
            </w:r>
            <w:r w:rsidR="00853143">
              <w:rPr>
                <w:rFonts w:asciiTheme="minorHAnsi" w:eastAsiaTheme="minorEastAsia" w:hAnsiTheme="minorHAnsi" w:cstheme="minorBidi"/>
                <w:noProof/>
                <w:spacing w:val="0"/>
                <w:kern w:val="2"/>
                <w:sz w:val="22"/>
                <w:szCs w:val="22"/>
                <w:lang w:eastAsia="es-CO"/>
                <w14:ligatures w14:val="standardContextual"/>
              </w:rPr>
              <w:tab/>
            </w:r>
            <w:r w:rsidR="00853143" w:rsidRPr="00346AF4">
              <w:rPr>
                <w:rStyle w:val="Hipervnculo"/>
                <w:b/>
                <w:bCs/>
                <w:noProof/>
              </w:rPr>
              <w:t>DETERMINACIÓN SSPD DEL NÚMERO DE PRESTADORES DE SERVICIOS PÚBLICOS.</w:t>
            </w:r>
            <w:r w:rsidR="00853143">
              <w:rPr>
                <w:noProof/>
                <w:webHidden/>
              </w:rPr>
              <w:tab/>
            </w:r>
            <w:r w:rsidR="00853143">
              <w:rPr>
                <w:noProof/>
                <w:webHidden/>
              </w:rPr>
              <w:fldChar w:fldCharType="begin"/>
            </w:r>
            <w:r w:rsidR="00853143">
              <w:rPr>
                <w:noProof/>
                <w:webHidden/>
              </w:rPr>
              <w:instrText xml:space="preserve"> PAGEREF _Toc147154312 \h </w:instrText>
            </w:r>
            <w:r w:rsidR="00853143">
              <w:rPr>
                <w:noProof/>
                <w:webHidden/>
              </w:rPr>
            </w:r>
            <w:r w:rsidR="00853143">
              <w:rPr>
                <w:noProof/>
                <w:webHidden/>
              </w:rPr>
              <w:fldChar w:fldCharType="separate"/>
            </w:r>
            <w:r w:rsidR="00853143">
              <w:rPr>
                <w:noProof/>
                <w:webHidden/>
              </w:rPr>
              <w:t>27</w:t>
            </w:r>
            <w:r w:rsidR="00853143">
              <w:rPr>
                <w:noProof/>
                <w:webHidden/>
              </w:rPr>
              <w:fldChar w:fldCharType="end"/>
            </w:r>
          </w:hyperlink>
        </w:p>
        <w:p w14:paraId="78812AB0" w14:textId="6578221F" w:rsidR="00853143" w:rsidRDefault="000D5E7E">
          <w:pPr>
            <w:pStyle w:val="TDC2"/>
            <w:tabs>
              <w:tab w:val="left" w:pos="800"/>
              <w:tab w:val="right" w:leader="dot" w:pos="9396"/>
            </w:tabs>
            <w:rPr>
              <w:rFonts w:asciiTheme="minorHAnsi" w:eastAsiaTheme="minorEastAsia" w:hAnsiTheme="minorHAnsi" w:cstheme="minorBidi"/>
              <w:noProof/>
              <w:spacing w:val="0"/>
              <w:kern w:val="2"/>
              <w:sz w:val="22"/>
              <w:szCs w:val="22"/>
              <w:lang w:eastAsia="es-CO"/>
              <w14:ligatures w14:val="standardContextual"/>
            </w:rPr>
          </w:pPr>
          <w:hyperlink w:anchor="_Toc147154313" w:history="1">
            <w:r w:rsidR="00853143" w:rsidRPr="00346AF4">
              <w:rPr>
                <w:rStyle w:val="Hipervnculo"/>
                <w:b/>
                <w:bCs/>
                <w:noProof/>
              </w:rPr>
              <w:t>7.2</w:t>
            </w:r>
            <w:r w:rsidR="00853143">
              <w:rPr>
                <w:rFonts w:asciiTheme="minorHAnsi" w:eastAsiaTheme="minorEastAsia" w:hAnsiTheme="minorHAnsi" w:cstheme="minorBidi"/>
                <w:noProof/>
                <w:spacing w:val="0"/>
                <w:kern w:val="2"/>
                <w:sz w:val="22"/>
                <w:szCs w:val="22"/>
                <w:lang w:eastAsia="es-CO"/>
                <w14:ligatures w14:val="standardContextual"/>
              </w:rPr>
              <w:tab/>
            </w:r>
            <w:r w:rsidR="00853143" w:rsidRPr="00346AF4">
              <w:rPr>
                <w:rStyle w:val="Hipervnculo"/>
                <w:b/>
                <w:bCs/>
                <w:noProof/>
              </w:rPr>
              <w:t>REGULADOS NO CENSADOS POR LA SSPD, REPORTANTES DE INFORMACIÓN AL SUI.</w:t>
            </w:r>
            <w:r w:rsidR="00853143">
              <w:rPr>
                <w:noProof/>
                <w:webHidden/>
              </w:rPr>
              <w:tab/>
            </w:r>
            <w:r w:rsidR="00853143">
              <w:rPr>
                <w:noProof/>
                <w:webHidden/>
              </w:rPr>
              <w:fldChar w:fldCharType="begin"/>
            </w:r>
            <w:r w:rsidR="00853143">
              <w:rPr>
                <w:noProof/>
                <w:webHidden/>
              </w:rPr>
              <w:instrText xml:space="preserve"> PAGEREF _Toc147154313 \h </w:instrText>
            </w:r>
            <w:r w:rsidR="00853143">
              <w:rPr>
                <w:noProof/>
                <w:webHidden/>
              </w:rPr>
            </w:r>
            <w:r w:rsidR="00853143">
              <w:rPr>
                <w:noProof/>
                <w:webHidden/>
              </w:rPr>
              <w:fldChar w:fldCharType="separate"/>
            </w:r>
            <w:r w:rsidR="00853143">
              <w:rPr>
                <w:noProof/>
                <w:webHidden/>
              </w:rPr>
              <w:t>28</w:t>
            </w:r>
            <w:r w:rsidR="00853143">
              <w:rPr>
                <w:noProof/>
                <w:webHidden/>
              </w:rPr>
              <w:fldChar w:fldCharType="end"/>
            </w:r>
          </w:hyperlink>
        </w:p>
        <w:p w14:paraId="0E4F951B" w14:textId="4737915B" w:rsidR="00853143" w:rsidRDefault="000D5E7E">
          <w:pPr>
            <w:pStyle w:val="TDC2"/>
            <w:tabs>
              <w:tab w:val="left" w:pos="800"/>
              <w:tab w:val="right" w:leader="dot" w:pos="9396"/>
            </w:tabs>
            <w:rPr>
              <w:rFonts w:asciiTheme="minorHAnsi" w:eastAsiaTheme="minorEastAsia" w:hAnsiTheme="minorHAnsi" w:cstheme="minorBidi"/>
              <w:noProof/>
              <w:spacing w:val="0"/>
              <w:kern w:val="2"/>
              <w:sz w:val="22"/>
              <w:szCs w:val="22"/>
              <w:lang w:eastAsia="es-CO"/>
              <w14:ligatures w14:val="standardContextual"/>
            </w:rPr>
          </w:pPr>
          <w:hyperlink w:anchor="_Toc147154314" w:history="1">
            <w:r w:rsidR="00853143" w:rsidRPr="00346AF4">
              <w:rPr>
                <w:rStyle w:val="Hipervnculo"/>
                <w:b/>
                <w:bCs/>
                <w:noProof/>
              </w:rPr>
              <w:t>7.3</w:t>
            </w:r>
            <w:r w:rsidR="00853143">
              <w:rPr>
                <w:rFonts w:asciiTheme="minorHAnsi" w:eastAsiaTheme="minorEastAsia" w:hAnsiTheme="minorHAnsi" w:cstheme="minorBidi"/>
                <w:noProof/>
                <w:spacing w:val="0"/>
                <w:kern w:val="2"/>
                <w:sz w:val="22"/>
                <w:szCs w:val="22"/>
                <w:lang w:eastAsia="es-CO"/>
                <w14:ligatures w14:val="standardContextual"/>
              </w:rPr>
              <w:tab/>
            </w:r>
            <w:r w:rsidR="00853143" w:rsidRPr="00346AF4">
              <w:rPr>
                <w:rStyle w:val="Hipervnculo"/>
                <w:b/>
                <w:bCs/>
                <w:noProof/>
              </w:rPr>
              <w:t>CENSO CONTRIBUCIÓN ESPECIAL SSPD Y REGULADOS CONTRIBUYENTES CREG.</w:t>
            </w:r>
            <w:r w:rsidR="00853143">
              <w:rPr>
                <w:noProof/>
                <w:webHidden/>
              </w:rPr>
              <w:tab/>
            </w:r>
            <w:r w:rsidR="00853143">
              <w:rPr>
                <w:noProof/>
                <w:webHidden/>
              </w:rPr>
              <w:fldChar w:fldCharType="begin"/>
            </w:r>
            <w:r w:rsidR="00853143">
              <w:rPr>
                <w:noProof/>
                <w:webHidden/>
              </w:rPr>
              <w:instrText xml:space="preserve"> PAGEREF _Toc147154314 \h </w:instrText>
            </w:r>
            <w:r w:rsidR="00853143">
              <w:rPr>
                <w:noProof/>
                <w:webHidden/>
              </w:rPr>
            </w:r>
            <w:r w:rsidR="00853143">
              <w:rPr>
                <w:noProof/>
                <w:webHidden/>
              </w:rPr>
              <w:fldChar w:fldCharType="separate"/>
            </w:r>
            <w:r w:rsidR="00853143">
              <w:rPr>
                <w:noProof/>
                <w:webHidden/>
              </w:rPr>
              <w:t>28</w:t>
            </w:r>
            <w:r w:rsidR="00853143">
              <w:rPr>
                <w:noProof/>
                <w:webHidden/>
              </w:rPr>
              <w:fldChar w:fldCharType="end"/>
            </w:r>
          </w:hyperlink>
        </w:p>
        <w:p w14:paraId="1E17E754" w14:textId="39DF2CB8" w:rsidR="00853143" w:rsidRDefault="000D5E7E">
          <w:pPr>
            <w:pStyle w:val="TDC2"/>
            <w:tabs>
              <w:tab w:val="left" w:pos="800"/>
              <w:tab w:val="right" w:leader="dot" w:pos="9396"/>
            </w:tabs>
            <w:rPr>
              <w:rFonts w:asciiTheme="minorHAnsi" w:eastAsiaTheme="minorEastAsia" w:hAnsiTheme="minorHAnsi" w:cstheme="minorBidi"/>
              <w:noProof/>
              <w:spacing w:val="0"/>
              <w:kern w:val="2"/>
              <w:sz w:val="22"/>
              <w:szCs w:val="22"/>
              <w:lang w:eastAsia="es-CO"/>
              <w14:ligatures w14:val="standardContextual"/>
            </w:rPr>
          </w:pPr>
          <w:hyperlink w:anchor="_Toc147154315" w:history="1">
            <w:r w:rsidR="00853143" w:rsidRPr="00346AF4">
              <w:rPr>
                <w:rStyle w:val="Hipervnculo"/>
                <w:b/>
                <w:bCs/>
                <w:noProof/>
              </w:rPr>
              <w:t>7.4</w:t>
            </w:r>
            <w:r w:rsidR="00853143">
              <w:rPr>
                <w:rFonts w:asciiTheme="minorHAnsi" w:eastAsiaTheme="minorEastAsia" w:hAnsiTheme="minorHAnsi" w:cstheme="minorBidi"/>
                <w:noProof/>
                <w:spacing w:val="0"/>
                <w:kern w:val="2"/>
                <w:sz w:val="22"/>
                <w:szCs w:val="22"/>
                <w:lang w:eastAsia="es-CO"/>
                <w14:ligatures w14:val="standardContextual"/>
              </w:rPr>
              <w:tab/>
            </w:r>
            <w:r w:rsidR="00853143" w:rsidRPr="00346AF4">
              <w:rPr>
                <w:rStyle w:val="Hipervnculo"/>
                <w:b/>
                <w:bCs/>
                <w:noProof/>
              </w:rPr>
              <w:t>ESTADO DE REPORTE AL SUI-SSPD DE LOS REGULADOS DE LA CREG.</w:t>
            </w:r>
            <w:r w:rsidR="00853143">
              <w:rPr>
                <w:noProof/>
                <w:webHidden/>
              </w:rPr>
              <w:tab/>
            </w:r>
            <w:r w:rsidR="00853143">
              <w:rPr>
                <w:noProof/>
                <w:webHidden/>
              </w:rPr>
              <w:fldChar w:fldCharType="begin"/>
            </w:r>
            <w:r w:rsidR="00853143">
              <w:rPr>
                <w:noProof/>
                <w:webHidden/>
              </w:rPr>
              <w:instrText xml:space="preserve"> PAGEREF _Toc147154315 \h </w:instrText>
            </w:r>
            <w:r w:rsidR="00853143">
              <w:rPr>
                <w:noProof/>
                <w:webHidden/>
              </w:rPr>
            </w:r>
            <w:r w:rsidR="00853143">
              <w:rPr>
                <w:noProof/>
                <w:webHidden/>
              </w:rPr>
              <w:fldChar w:fldCharType="separate"/>
            </w:r>
            <w:r w:rsidR="00853143">
              <w:rPr>
                <w:noProof/>
                <w:webHidden/>
              </w:rPr>
              <w:t>29</w:t>
            </w:r>
            <w:r w:rsidR="00853143">
              <w:rPr>
                <w:noProof/>
                <w:webHidden/>
              </w:rPr>
              <w:fldChar w:fldCharType="end"/>
            </w:r>
          </w:hyperlink>
        </w:p>
        <w:p w14:paraId="1612560A" w14:textId="6989C9A2" w:rsidR="00853143" w:rsidRDefault="000D5E7E">
          <w:pPr>
            <w:pStyle w:val="TDC2"/>
            <w:tabs>
              <w:tab w:val="left" w:pos="800"/>
              <w:tab w:val="right" w:leader="dot" w:pos="9396"/>
            </w:tabs>
            <w:rPr>
              <w:rFonts w:asciiTheme="minorHAnsi" w:eastAsiaTheme="minorEastAsia" w:hAnsiTheme="minorHAnsi" w:cstheme="minorBidi"/>
              <w:noProof/>
              <w:spacing w:val="0"/>
              <w:kern w:val="2"/>
              <w:sz w:val="22"/>
              <w:szCs w:val="22"/>
              <w:lang w:eastAsia="es-CO"/>
              <w14:ligatures w14:val="standardContextual"/>
            </w:rPr>
          </w:pPr>
          <w:hyperlink w:anchor="_Toc147154316" w:history="1">
            <w:r w:rsidR="00853143" w:rsidRPr="00346AF4">
              <w:rPr>
                <w:rStyle w:val="Hipervnculo"/>
                <w:b/>
                <w:bCs/>
                <w:noProof/>
              </w:rPr>
              <w:t>7.5</w:t>
            </w:r>
            <w:r w:rsidR="00853143">
              <w:rPr>
                <w:rFonts w:asciiTheme="minorHAnsi" w:eastAsiaTheme="minorEastAsia" w:hAnsiTheme="minorHAnsi" w:cstheme="minorBidi"/>
                <w:noProof/>
                <w:spacing w:val="0"/>
                <w:kern w:val="2"/>
                <w:sz w:val="22"/>
                <w:szCs w:val="22"/>
                <w:lang w:eastAsia="es-CO"/>
                <w14:ligatures w14:val="standardContextual"/>
              </w:rPr>
              <w:tab/>
            </w:r>
            <w:r w:rsidR="00853143" w:rsidRPr="00346AF4">
              <w:rPr>
                <w:rStyle w:val="Hipervnculo"/>
                <w:b/>
                <w:bCs/>
                <w:noProof/>
              </w:rPr>
              <w:t>REGULADOS NO REPORTANTES SUI EN PROCESO DE LIQUIDACIÓN O CANCELACIÓN.</w:t>
            </w:r>
            <w:r w:rsidR="00853143">
              <w:rPr>
                <w:noProof/>
                <w:webHidden/>
              </w:rPr>
              <w:tab/>
            </w:r>
            <w:r w:rsidR="00853143">
              <w:rPr>
                <w:noProof/>
                <w:webHidden/>
              </w:rPr>
              <w:fldChar w:fldCharType="begin"/>
            </w:r>
            <w:r w:rsidR="00853143">
              <w:rPr>
                <w:noProof/>
                <w:webHidden/>
              </w:rPr>
              <w:instrText xml:space="preserve"> PAGEREF _Toc147154316 \h </w:instrText>
            </w:r>
            <w:r w:rsidR="00853143">
              <w:rPr>
                <w:noProof/>
                <w:webHidden/>
              </w:rPr>
            </w:r>
            <w:r w:rsidR="00853143">
              <w:rPr>
                <w:noProof/>
                <w:webHidden/>
              </w:rPr>
              <w:fldChar w:fldCharType="separate"/>
            </w:r>
            <w:r w:rsidR="00853143">
              <w:rPr>
                <w:noProof/>
                <w:webHidden/>
              </w:rPr>
              <w:t>29</w:t>
            </w:r>
            <w:r w:rsidR="00853143">
              <w:rPr>
                <w:noProof/>
                <w:webHidden/>
              </w:rPr>
              <w:fldChar w:fldCharType="end"/>
            </w:r>
          </w:hyperlink>
        </w:p>
        <w:p w14:paraId="587B6CE9" w14:textId="3F9EB550" w:rsidR="00853143" w:rsidRDefault="000D5E7E">
          <w:pPr>
            <w:pStyle w:val="TDC2"/>
            <w:tabs>
              <w:tab w:val="left" w:pos="800"/>
              <w:tab w:val="right" w:leader="dot" w:pos="9396"/>
            </w:tabs>
            <w:rPr>
              <w:rFonts w:asciiTheme="minorHAnsi" w:eastAsiaTheme="minorEastAsia" w:hAnsiTheme="minorHAnsi" w:cstheme="minorBidi"/>
              <w:noProof/>
              <w:spacing w:val="0"/>
              <w:kern w:val="2"/>
              <w:sz w:val="22"/>
              <w:szCs w:val="22"/>
              <w:lang w:eastAsia="es-CO"/>
              <w14:ligatures w14:val="standardContextual"/>
            </w:rPr>
          </w:pPr>
          <w:hyperlink w:anchor="_Toc147154317" w:history="1">
            <w:r w:rsidR="00853143" w:rsidRPr="00346AF4">
              <w:rPr>
                <w:rStyle w:val="Hipervnculo"/>
                <w:b/>
                <w:bCs/>
                <w:noProof/>
              </w:rPr>
              <w:t>7.6</w:t>
            </w:r>
            <w:r w:rsidR="00853143">
              <w:rPr>
                <w:rFonts w:asciiTheme="minorHAnsi" w:eastAsiaTheme="minorEastAsia" w:hAnsiTheme="minorHAnsi" w:cstheme="minorBidi"/>
                <w:noProof/>
                <w:spacing w:val="0"/>
                <w:kern w:val="2"/>
                <w:sz w:val="22"/>
                <w:szCs w:val="22"/>
                <w:lang w:eastAsia="es-CO"/>
                <w14:ligatures w14:val="standardContextual"/>
              </w:rPr>
              <w:tab/>
            </w:r>
            <w:r w:rsidR="00853143" w:rsidRPr="00346AF4">
              <w:rPr>
                <w:rStyle w:val="Hipervnculo"/>
                <w:b/>
                <w:bCs/>
                <w:noProof/>
              </w:rPr>
              <w:t>PRESTADORES SERVICIO DE ENERGÍA ELÉCTRICA.</w:t>
            </w:r>
            <w:r w:rsidR="00853143">
              <w:rPr>
                <w:noProof/>
                <w:webHidden/>
              </w:rPr>
              <w:tab/>
            </w:r>
            <w:r w:rsidR="00853143">
              <w:rPr>
                <w:noProof/>
                <w:webHidden/>
              </w:rPr>
              <w:fldChar w:fldCharType="begin"/>
            </w:r>
            <w:r w:rsidR="00853143">
              <w:rPr>
                <w:noProof/>
                <w:webHidden/>
              </w:rPr>
              <w:instrText xml:space="preserve"> PAGEREF _Toc147154317 \h </w:instrText>
            </w:r>
            <w:r w:rsidR="00853143">
              <w:rPr>
                <w:noProof/>
                <w:webHidden/>
              </w:rPr>
            </w:r>
            <w:r w:rsidR="00853143">
              <w:rPr>
                <w:noProof/>
                <w:webHidden/>
              </w:rPr>
              <w:fldChar w:fldCharType="separate"/>
            </w:r>
            <w:r w:rsidR="00853143">
              <w:rPr>
                <w:noProof/>
                <w:webHidden/>
              </w:rPr>
              <w:t>30</w:t>
            </w:r>
            <w:r w:rsidR="00853143">
              <w:rPr>
                <w:noProof/>
                <w:webHidden/>
              </w:rPr>
              <w:fldChar w:fldCharType="end"/>
            </w:r>
          </w:hyperlink>
        </w:p>
        <w:p w14:paraId="120E1817" w14:textId="30E575D7" w:rsidR="00853143" w:rsidRDefault="000D5E7E">
          <w:pPr>
            <w:pStyle w:val="TDC2"/>
            <w:tabs>
              <w:tab w:val="left" w:pos="800"/>
              <w:tab w:val="right" w:leader="dot" w:pos="9396"/>
            </w:tabs>
            <w:rPr>
              <w:rFonts w:asciiTheme="minorHAnsi" w:eastAsiaTheme="minorEastAsia" w:hAnsiTheme="minorHAnsi" w:cstheme="minorBidi"/>
              <w:noProof/>
              <w:spacing w:val="0"/>
              <w:kern w:val="2"/>
              <w:sz w:val="22"/>
              <w:szCs w:val="22"/>
              <w:lang w:eastAsia="es-CO"/>
              <w14:ligatures w14:val="standardContextual"/>
            </w:rPr>
          </w:pPr>
          <w:hyperlink w:anchor="_Toc147154318" w:history="1">
            <w:r w:rsidR="00853143" w:rsidRPr="00346AF4">
              <w:rPr>
                <w:rStyle w:val="Hipervnculo"/>
                <w:b/>
                <w:bCs/>
                <w:noProof/>
              </w:rPr>
              <w:t>7.7</w:t>
            </w:r>
            <w:r w:rsidR="00853143">
              <w:rPr>
                <w:rFonts w:asciiTheme="minorHAnsi" w:eastAsiaTheme="minorEastAsia" w:hAnsiTheme="minorHAnsi" w:cstheme="minorBidi"/>
                <w:noProof/>
                <w:spacing w:val="0"/>
                <w:kern w:val="2"/>
                <w:sz w:val="22"/>
                <w:szCs w:val="22"/>
                <w:lang w:eastAsia="es-CO"/>
                <w14:ligatures w14:val="standardContextual"/>
              </w:rPr>
              <w:tab/>
            </w:r>
            <w:r w:rsidR="00853143" w:rsidRPr="00346AF4">
              <w:rPr>
                <w:rStyle w:val="Hipervnculo"/>
                <w:b/>
                <w:bCs/>
                <w:noProof/>
              </w:rPr>
              <w:t>PRESTADORES SERVICIO DE ENERGÍA Y GAS.</w:t>
            </w:r>
            <w:r w:rsidR="00853143">
              <w:rPr>
                <w:noProof/>
                <w:webHidden/>
              </w:rPr>
              <w:tab/>
            </w:r>
            <w:r w:rsidR="00853143">
              <w:rPr>
                <w:noProof/>
                <w:webHidden/>
              </w:rPr>
              <w:fldChar w:fldCharType="begin"/>
            </w:r>
            <w:r w:rsidR="00853143">
              <w:rPr>
                <w:noProof/>
                <w:webHidden/>
              </w:rPr>
              <w:instrText xml:space="preserve"> PAGEREF _Toc147154318 \h </w:instrText>
            </w:r>
            <w:r w:rsidR="00853143">
              <w:rPr>
                <w:noProof/>
                <w:webHidden/>
              </w:rPr>
            </w:r>
            <w:r w:rsidR="00853143">
              <w:rPr>
                <w:noProof/>
                <w:webHidden/>
              </w:rPr>
              <w:fldChar w:fldCharType="separate"/>
            </w:r>
            <w:r w:rsidR="00853143">
              <w:rPr>
                <w:noProof/>
                <w:webHidden/>
              </w:rPr>
              <w:t>38</w:t>
            </w:r>
            <w:r w:rsidR="00853143">
              <w:rPr>
                <w:noProof/>
                <w:webHidden/>
              </w:rPr>
              <w:fldChar w:fldCharType="end"/>
            </w:r>
          </w:hyperlink>
        </w:p>
        <w:p w14:paraId="41BEDDFB" w14:textId="5487F9E0" w:rsidR="00853143" w:rsidRDefault="000D5E7E">
          <w:pPr>
            <w:pStyle w:val="TDC2"/>
            <w:tabs>
              <w:tab w:val="left" w:pos="800"/>
              <w:tab w:val="right" w:leader="dot" w:pos="9396"/>
            </w:tabs>
            <w:rPr>
              <w:rFonts w:asciiTheme="minorHAnsi" w:eastAsiaTheme="minorEastAsia" w:hAnsiTheme="minorHAnsi" w:cstheme="minorBidi"/>
              <w:noProof/>
              <w:spacing w:val="0"/>
              <w:kern w:val="2"/>
              <w:sz w:val="22"/>
              <w:szCs w:val="22"/>
              <w:lang w:eastAsia="es-CO"/>
              <w14:ligatures w14:val="standardContextual"/>
            </w:rPr>
          </w:pPr>
          <w:hyperlink w:anchor="_Toc147154319" w:history="1">
            <w:r w:rsidR="00853143" w:rsidRPr="00346AF4">
              <w:rPr>
                <w:rStyle w:val="Hipervnculo"/>
                <w:b/>
                <w:bCs/>
                <w:noProof/>
              </w:rPr>
              <w:t>7.8</w:t>
            </w:r>
            <w:r w:rsidR="00853143">
              <w:rPr>
                <w:rFonts w:asciiTheme="minorHAnsi" w:eastAsiaTheme="minorEastAsia" w:hAnsiTheme="minorHAnsi" w:cstheme="minorBidi"/>
                <w:noProof/>
                <w:spacing w:val="0"/>
                <w:kern w:val="2"/>
                <w:sz w:val="22"/>
                <w:szCs w:val="22"/>
                <w:lang w:eastAsia="es-CO"/>
                <w14:ligatures w14:val="standardContextual"/>
              </w:rPr>
              <w:tab/>
            </w:r>
            <w:r w:rsidR="00853143" w:rsidRPr="00346AF4">
              <w:rPr>
                <w:rStyle w:val="Hipervnculo"/>
                <w:b/>
                <w:bCs/>
                <w:noProof/>
              </w:rPr>
              <w:t>PRESTADORES SERVICIO DE GLP Y GAS POR REDES.</w:t>
            </w:r>
            <w:r w:rsidR="00853143">
              <w:rPr>
                <w:noProof/>
                <w:webHidden/>
              </w:rPr>
              <w:tab/>
            </w:r>
            <w:r w:rsidR="00853143">
              <w:rPr>
                <w:noProof/>
                <w:webHidden/>
              </w:rPr>
              <w:fldChar w:fldCharType="begin"/>
            </w:r>
            <w:r w:rsidR="00853143">
              <w:rPr>
                <w:noProof/>
                <w:webHidden/>
              </w:rPr>
              <w:instrText xml:space="preserve"> PAGEREF _Toc147154319 \h </w:instrText>
            </w:r>
            <w:r w:rsidR="00853143">
              <w:rPr>
                <w:noProof/>
                <w:webHidden/>
              </w:rPr>
            </w:r>
            <w:r w:rsidR="00853143">
              <w:rPr>
                <w:noProof/>
                <w:webHidden/>
              </w:rPr>
              <w:fldChar w:fldCharType="separate"/>
            </w:r>
            <w:r w:rsidR="00853143">
              <w:rPr>
                <w:noProof/>
                <w:webHidden/>
              </w:rPr>
              <w:t>38</w:t>
            </w:r>
            <w:r w:rsidR="00853143">
              <w:rPr>
                <w:noProof/>
                <w:webHidden/>
              </w:rPr>
              <w:fldChar w:fldCharType="end"/>
            </w:r>
          </w:hyperlink>
        </w:p>
        <w:p w14:paraId="5256C5CB" w14:textId="0B8A4489" w:rsidR="00853143" w:rsidRDefault="000D5E7E">
          <w:pPr>
            <w:pStyle w:val="TDC2"/>
            <w:tabs>
              <w:tab w:val="left" w:pos="800"/>
              <w:tab w:val="right" w:leader="dot" w:pos="9396"/>
            </w:tabs>
            <w:rPr>
              <w:rFonts w:asciiTheme="minorHAnsi" w:eastAsiaTheme="minorEastAsia" w:hAnsiTheme="minorHAnsi" w:cstheme="minorBidi"/>
              <w:noProof/>
              <w:spacing w:val="0"/>
              <w:kern w:val="2"/>
              <w:sz w:val="22"/>
              <w:szCs w:val="22"/>
              <w:lang w:eastAsia="es-CO"/>
              <w14:ligatures w14:val="standardContextual"/>
            </w:rPr>
          </w:pPr>
          <w:hyperlink w:anchor="_Toc147154320" w:history="1">
            <w:r w:rsidR="00853143" w:rsidRPr="00346AF4">
              <w:rPr>
                <w:rStyle w:val="Hipervnculo"/>
                <w:b/>
                <w:bCs/>
                <w:noProof/>
              </w:rPr>
              <w:t>7.9</w:t>
            </w:r>
            <w:r w:rsidR="00853143">
              <w:rPr>
                <w:rFonts w:asciiTheme="minorHAnsi" w:eastAsiaTheme="minorEastAsia" w:hAnsiTheme="minorHAnsi" w:cstheme="minorBidi"/>
                <w:noProof/>
                <w:spacing w:val="0"/>
                <w:kern w:val="2"/>
                <w:sz w:val="22"/>
                <w:szCs w:val="22"/>
                <w:lang w:eastAsia="es-CO"/>
                <w14:ligatures w14:val="standardContextual"/>
              </w:rPr>
              <w:tab/>
            </w:r>
            <w:r w:rsidR="00853143" w:rsidRPr="00346AF4">
              <w:rPr>
                <w:rStyle w:val="Hipervnculo"/>
                <w:b/>
                <w:bCs/>
                <w:noProof/>
              </w:rPr>
              <w:t>PRESTADORES MULTISERVICIOS REGULADOS POR LA CREG Y LA CRA.</w:t>
            </w:r>
            <w:r w:rsidR="00853143">
              <w:rPr>
                <w:noProof/>
                <w:webHidden/>
              </w:rPr>
              <w:tab/>
            </w:r>
            <w:r w:rsidR="00853143">
              <w:rPr>
                <w:noProof/>
                <w:webHidden/>
              </w:rPr>
              <w:fldChar w:fldCharType="begin"/>
            </w:r>
            <w:r w:rsidR="00853143">
              <w:rPr>
                <w:noProof/>
                <w:webHidden/>
              </w:rPr>
              <w:instrText xml:space="preserve"> PAGEREF _Toc147154320 \h </w:instrText>
            </w:r>
            <w:r w:rsidR="00853143">
              <w:rPr>
                <w:noProof/>
                <w:webHidden/>
              </w:rPr>
            </w:r>
            <w:r w:rsidR="00853143">
              <w:rPr>
                <w:noProof/>
                <w:webHidden/>
              </w:rPr>
              <w:fldChar w:fldCharType="separate"/>
            </w:r>
            <w:r w:rsidR="00853143">
              <w:rPr>
                <w:noProof/>
                <w:webHidden/>
              </w:rPr>
              <w:t>44</w:t>
            </w:r>
            <w:r w:rsidR="00853143">
              <w:rPr>
                <w:noProof/>
                <w:webHidden/>
              </w:rPr>
              <w:fldChar w:fldCharType="end"/>
            </w:r>
          </w:hyperlink>
        </w:p>
        <w:p w14:paraId="65EECDE4" w14:textId="32380A13" w:rsidR="00853143" w:rsidRDefault="000D5E7E">
          <w:pPr>
            <w:pStyle w:val="TDC1"/>
            <w:tabs>
              <w:tab w:val="left" w:pos="400"/>
              <w:tab w:val="right" w:leader="dot" w:pos="9396"/>
            </w:tabs>
            <w:rPr>
              <w:rFonts w:asciiTheme="minorHAnsi" w:eastAsiaTheme="minorEastAsia" w:hAnsiTheme="minorHAnsi" w:cstheme="minorBidi"/>
              <w:noProof/>
              <w:spacing w:val="0"/>
              <w:kern w:val="2"/>
              <w:sz w:val="22"/>
              <w:szCs w:val="22"/>
              <w:lang w:eastAsia="es-CO"/>
              <w14:ligatures w14:val="standardContextual"/>
            </w:rPr>
          </w:pPr>
          <w:hyperlink w:anchor="_Toc147154321" w:history="1">
            <w:r w:rsidR="00853143" w:rsidRPr="00346AF4">
              <w:rPr>
                <w:rStyle w:val="Hipervnculo"/>
                <w:noProof/>
              </w:rPr>
              <w:t>8.</w:t>
            </w:r>
            <w:r w:rsidR="00853143">
              <w:rPr>
                <w:rFonts w:asciiTheme="minorHAnsi" w:eastAsiaTheme="minorEastAsia" w:hAnsiTheme="minorHAnsi" w:cstheme="minorBidi"/>
                <w:noProof/>
                <w:spacing w:val="0"/>
                <w:kern w:val="2"/>
                <w:sz w:val="22"/>
                <w:szCs w:val="22"/>
                <w:lang w:eastAsia="es-CO"/>
                <w14:ligatures w14:val="standardContextual"/>
              </w:rPr>
              <w:tab/>
            </w:r>
            <w:r w:rsidR="00853143" w:rsidRPr="00346AF4">
              <w:rPr>
                <w:rStyle w:val="Hipervnculo"/>
                <w:noProof/>
              </w:rPr>
              <w:t>OBLIGACIÓN TRIBUTARIA, OMISOS, MOROSIDAD Y REPORTE AL BDME.</w:t>
            </w:r>
            <w:r w:rsidR="00853143">
              <w:rPr>
                <w:noProof/>
                <w:webHidden/>
              </w:rPr>
              <w:tab/>
            </w:r>
            <w:r w:rsidR="00853143">
              <w:rPr>
                <w:noProof/>
                <w:webHidden/>
              </w:rPr>
              <w:fldChar w:fldCharType="begin"/>
            </w:r>
            <w:r w:rsidR="00853143">
              <w:rPr>
                <w:noProof/>
                <w:webHidden/>
              </w:rPr>
              <w:instrText xml:space="preserve"> PAGEREF _Toc147154321 \h </w:instrText>
            </w:r>
            <w:r w:rsidR="00853143">
              <w:rPr>
                <w:noProof/>
                <w:webHidden/>
              </w:rPr>
            </w:r>
            <w:r w:rsidR="00853143">
              <w:rPr>
                <w:noProof/>
                <w:webHidden/>
              </w:rPr>
              <w:fldChar w:fldCharType="separate"/>
            </w:r>
            <w:r w:rsidR="00853143">
              <w:rPr>
                <w:noProof/>
                <w:webHidden/>
              </w:rPr>
              <w:t>46</w:t>
            </w:r>
            <w:r w:rsidR="00853143">
              <w:rPr>
                <w:noProof/>
                <w:webHidden/>
              </w:rPr>
              <w:fldChar w:fldCharType="end"/>
            </w:r>
          </w:hyperlink>
        </w:p>
        <w:p w14:paraId="155D992B" w14:textId="79C8E7AD" w:rsidR="00853143" w:rsidRDefault="000D5E7E">
          <w:pPr>
            <w:pStyle w:val="TDC2"/>
            <w:tabs>
              <w:tab w:val="left" w:pos="800"/>
              <w:tab w:val="right" w:leader="dot" w:pos="9396"/>
            </w:tabs>
            <w:rPr>
              <w:rFonts w:asciiTheme="minorHAnsi" w:eastAsiaTheme="minorEastAsia" w:hAnsiTheme="minorHAnsi" w:cstheme="minorBidi"/>
              <w:noProof/>
              <w:spacing w:val="0"/>
              <w:kern w:val="2"/>
              <w:sz w:val="22"/>
              <w:szCs w:val="22"/>
              <w:lang w:eastAsia="es-CO"/>
              <w14:ligatures w14:val="standardContextual"/>
            </w:rPr>
          </w:pPr>
          <w:hyperlink w:anchor="_Toc147154322" w:history="1">
            <w:r w:rsidR="00853143" w:rsidRPr="00346AF4">
              <w:rPr>
                <w:rStyle w:val="Hipervnculo"/>
                <w:b/>
                <w:bCs/>
                <w:noProof/>
              </w:rPr>
              <w:t>8.1</w:t>
            </w:r>
            <w:r w:rsidR="00853143">
              <w:rPr>
                <w:rFonts w:asciiTheme="minorHAnsi" w:eastAsiaTheme="minorEastAsia" w:hAnsiTheme="minorHAnsi" w:cstheme="minorBidi"/>
                <w:noProof/>
                <w:spacing w:val="0"/>
                <w:kern w:val="2"/>
                <w:sz w:val="22"/>
                <w:szCs w:val="22"/>
                <w:lang w:eastAsia="es-CO"/>
                <w14:ligatures w14:val="standardContextual"/>
              </w:rPr>
              <w:tab/>
            </w:r>
            <w:r w:rsidR="00853143" w:rsidRPr="00346AF4">
              <w:rPr>
                <w:rStyle w:val="Hipervnculo"/>
                <w:b/>
                <w:bCs/>
                <w:noProof/>
              </w:rPr>
              <w:t>OBLIGACIÓN TRIBUTARIA</w:t>
            </w:r>
            <w:r w:rsidR="00853143">
              <w:rPr>
                <w:noProof/>
                <w:webHidden/>
              </w:rPr>
              <w:tab/>
            </w:r>
            <w:r w:rsidR="00853143">
              <w:rPr>
                <w:noProof/>
                <w:webHidden/>
              </w:rPr>
              <w:fldChar w:fldCharType="begin"/>
            </w:r>
            <w:r w:rsidR="00853143">
              <w:rPr>
                <w:noProof/>
                <w:webHidden/>
              </w:rPr>
              <w:instrText xml:space="preserve"> PAGEREF _Toc147154322 \h </w:instrText>
            </w:r>
            <w:r w:rsidR="00853143">
              <w:rPr>
                <w:noProof/>
                <w:webHidden/>
              </w:rPr>
            </w:r>
            <w:r w:rsidR="00853143">
              <w:rPr>
                <w:noProof/>
                <w:webHidden/>
              </w:rPr>
              <w:fldChar w:fldCharType="separate"/>
            </w:r>
            <w:r w:rsidR="00853143">
              <w:rPr>
                <w:noProof/>
                <w:webHidden/>
              </w:rPr>
              <w:t>46</w:t>
            </w:r>
            <w:r w:rsidR="00853143">
              <w:rPr>
                <w:noProof/>
                <w:webHidden/>
              </w:rPr>
              <w:fldChar w:fldCharType="end"/>
            </w:r>
          </w:hyperlink>
        </w:p>
        <w:p w14:paraId="42C9CB55" w14:textId="1EDF652A" w:rsidR="00853143" w:rsidRDefault="000D5E7E">
          <w:pPr>
            <w:pStyle w:val="TDC2"/>
            <w:tabs>
              <w:tab w:val="left" w:pos="800"/>
              <w:tab w:val="right" w:leader="dot" w:pos="9396"/>
            </w:tabs>
            <w:rPr>
              <w:rFonts w:asciiTheme="minorHAnsi" w:eastAsiaTheme="minorEastAsia" w:hAnsiTheme="minorHAnsi" w:cstheme="minorBidi"/>
              <w:noProof/>
              <w:spacing w:val="0"/>
              <w:kern w:val="2"/>
              <w:sz w:val="22"/>
              <w:szCs w:val="22"/>
              <w:lang w:eastAsia="es-CO"/>
              <w14:ligatures w14:val="standardContextual"/>
            </w:rPr>
          </w:pPr>
          <w:hyperlink w:anchor="_Toc147154323" w:history="1">
            <w:r w:rsidR="00853143" w:rsidRPr="00346AF4">
              <w:rPr>
                <w:rStyle w:val="Hipervnculo"/>
                <w:b/>
                <w:bCs/>
                <w:noProof/>
              </w:rPr>
              <w:t>8.2</w:t>
            </w:r>
            <w:r w:rsidR="00853143">
              <w:rPr>
                <w:rFonts w:asciiTheme="minorHAnsi" w:eastAsiaTheme="minorEastAsia" w:hAnsiTheme="minorHAnsi" w:cstheme="minorBidi"/>
                <w:noProof/>
                <w:spacing w:val="0"/>
                <w:kern w:val="2"/>
                <w:sz w:val="22"/>
                <w:szCs w:val="22"/>
                <w:lang w:eastAsia="es-CO"/>
                <w14:ligatures w14:val="standardContextual"/>
              </w:rPr>
              <w:tab/>
            </w:r>
            <w:r w:rsidR="00853143" w:rsidRPr="00346AF4">
              <w:rPr>
                <w:rStyle w:val="Hipervnculo"/>
                <w:b/>
                <w:bCs/>
                <w:noProof/>
              </w:rPr>
              <w:t>REGULADOS OMISOS</w:t>
            </w:r>
            <w:r w:rsidR="00853143">
              <w:rPr>
                <w:noProof/>
                <w:webHidden/>
              </w:rPr>
              <w:tab/>
            </w:r>
            <w:r w:rsidR="00853143">
              <w:rPr>
                <w:noProof/>
                <w:webHidden/>
              </w:rPr>
              <w:fldChar w:fldCharType="begin"/>
            </w:r>
            <w:r w:rsidR="00853143">
              <w:rPr>
                <w:noProof/>
                <w:webHidden/>
              </w:rPr>
              <w:instrText xml:space="preserve"> PAGEREF _Toc147154323 \h </w:instrText>
            </w:r>
            <w:r w:rsidR="00853143">
              <w:rPr>
                <w:noProof/>
                <w:webHidden/>
              </w:rPr>
            </w:r>
            <w:r w:rsidR="00853143">
              <w:rPr>
                <w:noProof/>
                <w:webHidden/>
              </w:rPr>
              <w:fldChar w:fldCharType="separate"/>
            </w:r>
            <w:r w:rsidR="00853143">
              <w:rPr>
                <w:noProof/>
                <w:webHidden/>
              </w:rPr>
              <w:t>46</w:t>
            </w:r>
            <w:r w:rsidR="00853143">
              <w:rPr>
                <w:noProof/>
                <w:webHidden/>
              </w:rPr>
              <w:fldChar w:fldCharType="end"/>
            </w:r>
          </w:hyperlink>
        </w:p>
        <w:p w14:paraId="528A4502" w14:textId="5F9947D4" w:rsidR="00853143" w:rsidRDefault="000D5E7E">
          <w:pPr>
            <w:pStyle w:val="TDC2"/>
            <w:tabs>
              <w:tab w:val="left" w:pos="800"/>
              <w:tab w:val="right" w:leader="dot" w:pos="9396"/>
            </w:tabs>
            <w:rPr>
              <w:rFonts w:asciiTheme="minorHAnsi" w:eastAsiaTheme="minorEastAsia" w:hAnsiTheme="minorHAnsi" w:cstheme="minorBidi"/>
              <w:noProof/>
              <w:spacing w:val="0"/>
              <w:kern w:val="2"/>
              <w:sz w:val="22"/>
              <w:szCs w:val="22"/>
              <w:lang w:eastAsia="es-CO"/>
              <w14:ligatures w14:val="standardContextual"/>
            </w:rPr>
          </w:pPr>
          <w:hyperlink w:anchor="_Toc147154324" w:history="1">
            <w:r w:rsidR="00853143" w:rsidRPr="00346AF4">
              <w:rPr>
                <w:rStyle w:val="Hipervnculo"/>
                <w:b/>
                <w:bCs/>
                <w:noProof/>
              </w:rPr>
              <w:t>8.3</w:t>
            </w:r>
            <w:r w:rsidR="00853143">
              <w:rPr>
                <w:rFonts w:asciiTheme="minorHAnsi" w:eastAsiaTheme="minorEastAsia" w:hAnsiTheme="minorHAnsi" w:cstheme="minorBidi"/>
                <w:noProof/>
                <w:spacing w:val="0"/>
                <w:kern w:val="2"/>
                <w:sz w:val="22"/>
                <w:szCs w:val="22"/>
                <w:lang w:eastAsia="es-CO"/>
                <w14:ligatures w14:val="standardContextual"/>
              </w:rPr>
              <w:tab/>
            </w:r>
            <w:r w:rsidR="00853143" w:rsidRPr="00346AF4">
              <w:rPr>
                <w:rStyle w:val="Hipervnculo"/>
                <w:b/>
                <w:bCs/>
                <w:noProof/>
              </w:rPr>
              <w:t>MOROSIDAD</w:t>
            </w:r>
            <w:r w:rsidR="00853143">
              <w:rPr>
                <w:noProof/>
                <w:webHidden/>
              </w:rPr>
              <w:tab/>
            </w:r>
            <w:r w:rsidR="00853143">
              <w:rPr>
                <w:noProof/>
                <w:webHidden/>
              </w:rPr>
              <w:fldChar w:fldCharType="begin"/>
            </w:r>
            <w:r w:rsidR="00853143">
              <w:rPr>
                <w:noProof/>
                <w:webHidden/>
              </w:rPr>
              <w:instrText xml:space="preserve"> PAGEREF _Toc147154324 \h </w:instrText>
            </w:r>
            <w:r w:rsidR="00853143">
              <w:rPr>
                <w:noProof/>
                <w:webHidden/>
              </w:rPr>
            </w:r>
            <w:r w:rsidR="00853143">
              <w:rPr>
                <w:noProof/>
                <w:webHidden/>
              </w:rPr>
              <w:fldChar w:fldCharType="separate"/>
            </w:r>
            <w:r w:rsidR="00853143">
              <w:rPr>
                <w:noProof/>
                <w:webHidden/>
              </w:rPr>
              <w:t>46</w:t>
            </w:r>
            <w:r w:rsidR="00853143">
              <w:rPr>
                <w:noProof/>
                <w:webHidden/>
              </w:rPr>
              <w:fldChar w:fldCharType="end"/>
            </w:r>
          </w:hyperlink>
        </w:p>
        <w:p w14:paraId="1D86425C" w14:textId="0BA30182" w:rsidR="00853143" w:rsidRDefault="000D5E7E">
          <w:pPr>
            <w:pStyle w:val="TDC2"/>
            <w:tabs>
              <w:tab w:val="left" w:pos="800"/>
              <w:tab w:val="right" w:leader="dot" w:pos="9396"/>
            </w:tabs>
            <w:rPr>
              <w:rFonts w:asciiTheme="minorHAnsi" w:eastAsiaTheme="minorEastAsia" w:hAnsiTheme="minorHAnsi" w:cstheme="minorBidi"/>
              <w:noProof/>
              <w:spacing w:val="0"/>
              <w:kern w:val="2"/>
              <w:sz w:val="22"/>
              <w:szCs w:val="22"/>
              <w:lang w:eastAsia="es-CO"/>
              <w14:ligatures w14:val="standardContextual"/>
            </w:rPr>
          </w:pPr>
          <w:hyperlink w:anchor="_Toc147154325" w:history="1">
            <w:r w:rsidR="00853143" w:rsidRPr="00346AF4">
              <w:rPr>
                <w:rStyle w:val="Hipervnculo"/>
                <w:b/>
                <w:bCs/>
                <w:noProof/>
              </w:rPr>
              <w:t>8.4</w:t>
            </w:r>
            <w:r w:rsidR="00853143">
              <w:rPr>
                <w:rFonts w:asciiTheme="minorHAnsi" w:eastAsiaTheme="minorEastAsia" w:hAnsiTheme="minorHAnsi" w:cstheme="minorBidi"/>
                <w:noProof/>
                <w:spacing w:val="0"/>
                <w:kern w:val="2"/>
                <w:sz w:val="22"/>
                <w:szCs w:val="22"/>
                <w:lang w:eastAsia="es-CO"/>
                <w14:ligatures w14:val="standardContextual"/>
              </w:rPr>
              <w:tab/>
            </w:r>
            <w:r w:rsidR="00853143" w:rsidRPr="00346AF4">
              <w:rPr>
                <w:rStyle w:val="Hipervnculo"/>
                <w:b/>
                <w:bCs/>
                <w:noProof/>
              </w:rPr>
              <w:t>REPORTE AL BDME</w:t>
            </w:r>
            <w:r w:rsidR="00853143">
              <w:rPr>
                <w:noProof/>
                <w:webHidden/>
              </w:rPr>
              <w:tab/>
            </w:r>
            <w:r w:rsidR="00853143">
              <w:rPr>
                <w:noProof/>
                <w:webHidden/>
              </w:rPr>
              <w:fldChar w:fldCharType="begin"/>
            </w:r>
            <w:r w:rsidR="00853143">
              <w:rPr>
                <w:noProof/>
                <w:webHidden/>
              </w:rPr>
              <w:instrText xml:space="preserve"> PAGEREF _Toc147154325 \h </w:instrText>
            </w:r>
            <w:r w:rsidR="00853143">
              <w:rPr>
                <w:noProof/>
                <w:webHidden/>
              </w:rPr>
            </w:r>
            <w:r w:rsidR="00853143">
              <w:rPr>
                <w:noProof/>
                <w:webHidden/>
              </w:rPr>
              <w:fldChar w:fldCharType="separate"/>
            </w:r>
            <w:r w:rsidR="00853143">
              <w:rPr>
                <w:noProof/>
                <w:webHidden/>
              </w:rPr>
              <w:t>46</w:t>
            </w:r>
            <w:r w:rsidR="00853143">
              <w:rPr>
                <w:noProof/>
                <w:webHidden/>
              </w:rPr>
              <w:fldChar w:fldCharType="end"/>
            </w:r>
          </w:hyperlink>
        </w:p>
        <w:p w14:paraId="42AC74BA" w14:textId="46BABF82" w:rsidR="00853143" w:rsidRDefault="000D5E7E">
          <w:pPr>
            <w:pStyle w:val="TDC1"/>
            <w:tabs>
              <w:tab w:val="left" w:pos="400"/>
              <w:tab w:val="right" w:leader="dot" w:pos="9396"/>
            </w:tabs>
            <w:rPr>
              <w:rFonts w:asciiTheme="minorHAnsi" w:eastAsiaTheme="minorEastAsia" w:hAnsiTheme="minorHAnsi" w:cstheme="minorBidi"/>
              <w:noProof/>
              <w:spacing w:val="0"/>
              <w:kern w:val="2"/>
              <w:sz w:val="22"/>
              <w:szCs w:val="22"/>
              <w:lang w:eastAsia="es-CO"/>
              <w14:ligatures w14:val="standardContextual"/>
            </w:rPr>
          </w:pPr>
          <w:hyperlink w:anchor="_Toc147154326" w:history="1">
            <w:r w:rsidR="00853143" w:rsidRPr="00346AF4">
              <w:rPr>
                <w:rStyle w:val="Hipervnculo"/>
                <w:noProof/>
              </w:rPr>
              <w:t>9.</w:t>
            </w:r>
            <w:r w:rsidR="00853143">
              <w:rPr>
                <w:rFonts w:asciiTheme="minorHAnsi" w:eastAsiaTheme="minorEastAsia" w:hAnsiTheme="minorHAnsi" w:cstheme="minorBidi"/>
                <w:noProof/>
                <w:spacing w:val="0"/>
                <w:kern w:val="2"/>
                <w:sz w:val="22"/>
                <w:szCs w:val="22"/>
                <w:lang w:eastAsia="es-CO"/>
                <w14:ligatures w14:val="standardContextual"/>
              </w:rPr>
              <w:tab/>
            </w:r>
            <w:r w:rsidR="00853143" w:rsidRPr="00346AF4">
              <w:rPr>
                <w:rStyle w:val="Hipervnculo"/>
                <w:noProof/>
              </w:rPr>
              <w:t>INFORMACIÓN REPORTADA.</w:t>
            </w:r>
            <w:r w:rsidR="00853143">
              <w:rPr>
                <w:noProof/>
                <w:webHidden/>
              </w:rPr>
              <w:tab/>
            </w:r>
            <w:r w:rsidR="00853143">
              <w:rPr>
                <w:noProof/>
                <w:webHidden/>
              </w:rPr>
              <w:fldChar w:fldCharType="begin"/>
            </w:r>
            <w:r w:rsidR="00853143">
              <w:rPr>
                <w:noProof/>
                <w:webHidden/>
              </w:rPr>
              <w:instrText xml:space="preserve"> PAGEREF _Toc147154326 \h </w:instrText>
            </w:r>
            <w:r w:rsidR="00853143">
              <w:rPr>
                <w:noProof/>
                <w:webHidden/>
              </w:rPr>
            </w:r>
            <w:r w:rsidR="00853143">
              <w:rPr>
                <w:noProof/>
                <w:webHidden/>
              </w:rPr>
              <w:fldChar w:fldCharType="separate"/>
            </w:r>
            <w:r w:rsidR="00853143">
              <w:rPr>
                <w:noProof/>
                <w:webHidden/>
              </w:rPr>
              <w:t>47</w:t>
            </w:r>
            <w:r w:rsidR="00853143">
              <w:rPr>
                <w:noProof/>
                <w:webHidden/>
              </w:rPr>
              <w:fldChar w:fldCharType="end"/>
            </w:r>
          </w:hyperlink>
        </w:p>
        <w:p w14:paraId="6D06CAF9" w14:textId="644F939F" w:rsidR="00853143" w:rsidRDefault="000D5E7E">
          <w:pPr>
            <w:pStyle w:val="TDC2"/>
            <w:tabs>
              <w:tab w:val="left" w:pos="800"/>
              <w:tab w:val="right" w:leader="dot" w:pos="9396"/>
            </w:tabs>
            <w:rPr>
              <w:rFonts w:asciiTheme="minorHAnsi" w:eastAsiaTheme="minorEastAsia" w:hAnsiTheme="minorHAnsi" w:cstheme="minorBidi"/>
              <w:noProof/>
              <w:spacing w:val="0"/>
              <w:kern w:val="2"/>
              <w:sz w:val="22"/>
              <w:szCs w:val="22"/>
              <w:lang w:eastAsia="es-CO"/>
              <w14:ligatures w14:val="standardContextual"/>
            </w:rPr>
          </w:pPr>
          <w:hyperlink w:anchor="_Toc147154327" w:history="1">
            <w:r w:rsidR="00853143" w:rsidRPr="00346AF4">
              <w:rPr>
                <w:rStyle w:val="Hipervnculo"/>
                <w:b/>
                <w:bCs/>
                <w:noProof/>
              </w:rPr>
              <w:t>9.1</w:t>
            </w:r>
            <w:r w:rsidR="00853143">
              <w:rPr>
                <w:rFonts w:asciiTheme="minorHAnsi" w:eastAsiaTheme="minorEastAsia" w:hAnsiTheme="minorHAnsi" w:cstheme="minorBidi"/>
                <w:noProof/>
                <w:spacing w:val="0"/>
                <w:kern w:val="2"/>
                <w:sz w:val="22"/>
                <w:szCs w:val="22"/>
                <w:lang w:eastAsia="es-CO"/>
                <w14:ligatures w14:val="standardContextual"/>
              </w:rPr>
              <w:tab/>
            </w:r>
            <w:r w:rsidR="00853143" w:rsidRPr="00346AF4">
              <w:rPr>
                <w:rStyle w:val="Hipervnculo"/>
                <w:b/>
                <w:bCs/>
                <w:noProof/>
              </w:rPr>
              <w:t>PLAZOS SSPD PARA EL CARGUE AL SUI DE LA INFORMACIÓN FINANCIERA.</w:t>
            </w:r>
            <w:r w:rsidR="00853143">
              <w:rPr>
                <w:noProof/>
                <w:webHidden/>
              </w:rPr>
              <w:tab/>
            </w:r>
            <w:r w:rsidR="00853143">
              <w:rPr>
                <w:noProof/>
                <w:webHidden/>
              </w:rPr>
              <w:fldChar w:fldCharType="begin"/>
            </w:r>
            <w:r w:rsidR="00853143">
              <w:rPr>
                <w:noProof/>
                <w:webHidden/>
              </w:rPr>
              <w:instrText xml:space="preserve"> PAGEREF _Toc147154327 \h </w:instrText>
            </w:r>
            <w:r w:rsidR="00853143">
              <w:rPr>
                <w:noProof/>
                <w:webHidden/>
              </w:rPr>
            </w:r>
            <w:r w:rsidR="00853143">
              <w:rPr>
                <w:noProof/>
                <w:webHidden/>
              </w:rPr>
              <w:fldChar w:fldCharType="separate"/>
            </w:r>
            <w:r w:rsidR="00853143">
              <w:rPr>
                <w:noProof/>
                <w:webHidden/>
              </w:rPr>
              <w:t>47</w:t>
            </w:r>
            <w:r w:rsidR="00853143">
              <w:rPr>
                <w:noProof/>
                <w:webHidden/>
              </w:rPr>
              <w:fldChar w:fldCharType="end"/>
            </w:r>
          </w:hyperlink>
        </w:p>
        <w:p w14:paraId="38A5B6A2" w14:textId="4DD2A4C7" w:rsidR="00853143" w:rsidRDefault="000D5E7E">
          <w:pPr>
            <w:pStyle w:val="TDC2"/>
            <w:tabs>
              <w:tab w:val="left" w:pos="800"/>
              <w:tab w:val="right" w:leader="dot" w:pos="9396"/>
            </w:tabs>
            <w:rPr>
              <w:rFonts w:asciiTheme="minorHAnsi" w:eastAsiaTheme="minorEastAsia" w:hAnsiTheme="minorHAnsi" w:cstheme="minorBidi"/>
              <w:noProof/>
              <w:spacing w:val="0"/>
              <w:kern w:val="2"/>
              <w:sz w:val="22"/>
              <w:szCs w:val="22"/>
              <w:lang w:eastAsia="es-CO"/>
              <w14:ligatures w14:val="standardContextual"/>
            </w:rPr>
          </w:pPr>
          <w:hyperlink w:anchor="_Toc147154328" w:history="1">
            <w:r w:rsidR="00853143" w:rsidRPr="00346AF4">
              <w:rPr>
                <w:rStyle w:val="Hipervnculo"/>
                <w:b/>
                <w:bCs/>
                <w:noProof/>
              </w:rPr>
              <w:t>9.2</w:t>
            </w:r>
            <w:r w:rsidR="00853143">
              <w:rPr>
                <w:rFonts w:asciiTheme="minorHAnsi" w:eastAsiaTheme="minorEastAsia" w:hAnsiTheme="minorHAnsi" w:cstheme="minorBidi"/>
                <w:noProof/>
                <w:spacing w:val="0"/>
                <w:kern w:val="2"/>
                <w:sz w:val="22"/>
                <w:szCs w:val="22"/>
                <w:lang w:eastAsia="es-CO"/>
                <w14:ligatures w14:val="standardContextual"/>
              </w:rPr>
              <w:tab/>
            </w:r>
            <w:r w:rsidR="00853143" w:rsidRPr="00346AF4">
              <w:rPr>
                <w:rStyle w:val="Hipervnculo"/>
                <w:b/>
                <w:bCs/>
                <w:noProof/>
              </w:rPr>
              <w:t>EMPRESAS EN RÉGIMEN DE REESTRUCTURACIÓN, INSOLVENCIA O INACTIVAS.</w:t>
            </w:r>
            <w:r w:rsidR="00853143">
              <w:rPr>
                <w:noProof/>
                <w:webHidden/>
              </w:rPr>
              <w:tab/>
            </w:r>
            <w:r w:rsidR="00853143">
              <w:rPr>
                <w:noProof/>
                <w:webHidden/>
              </w:rPr>
              <w:fldChar w:fldCharType="begin"/>
            </w:r>
            <w:r w:rsidR="00853143">
              <w:rPr>
                <w:noProof/>
                <w:webHidden/>
              </w:rPr>
              <w:instrText xml:space="preserve"> PAGEREF _Toc147154328 \h </w:instrText>
            </w:r>
            <w:r w:rsidR="00853143">
              <w:rPr>
                <w:noProof/>
                <w:webHidden/>
              </w:rPr>
            </w:r>
            <w:r w:rsidR="00853143">
              <w:rPr>
                <w:noProof/>
                <w:webHidden/>
              </w:rPr>
              <w:fldChar w:fldCharType="separate"/>
            </w:r>
            <w:r w:rsidR="00853143">
              <w:rPr>
                <w:noProof/>
                <w:webHidden/>
              </w:rPr>
              <w:t>47</w:t>
            </w:r>
            <w:r w:rsidR="00853143">
              <w:rPr>
                <w:noProof/>
                <w:webHidden/>
              </w:rPr>
              <w:fldChar w:fldCharType="end"/>
            </w:r>
          </w:hyperlink>
        </w:p>
        <w:p w14:paraId="485C2836" w14:textId="00383972" w:rsidR="00853143" w:rsidRDefault="000D5E7E">
          <w:pPr>
            <w:pStyle w:val="TDC2"/>
            <w:tabs>
              <w:tab w:val="left" w:pos="800"/>
              <w:tab w:val="right" w:leader="dot" w:pos="9396"/>
            </w:tabs>
            <w:rPr>
              <w:rFonts w:asciiTheme="minorHAnsi" w:eastAsiaTheme="minorEastAsia" w:hAnsiTheme="minorHAnsi" w:cstheme="minorBidi"/>
              <w:noProof/>
              <w:spacing w:val="0"/>
              <w:kern w:val="2"/>
              <w:sz w:val="22"/>
              <w:szCs w:val="22"/>
              <w:lang w:eastAsia="es-CO"/>
              <w14:ligatures w14:val="standardContextual"/>
            </w:rPr>
          </w:pPr>
          <w:hyperlink w:anchor="_Toc147154329" w:history="1">
            <w:r w:rsidR="00853143" w:rsidRPr="00346AF4">
              <w:rPr>
                <w:rStyle w:val="Hipervnculo"/>
                <w:b/>
                <w:bCs/>
                <w:noProof/>
              </w:rPr>
              <w:t>9.3</w:t>
            </w:r>
            <w:r w:rsidR="00853143">
              <w:rPr>
                <w:rFonts w:asciiTheme="minorHAnsi" w:eastAsiaTheme="minorEastAsia" w:hAnsiTheme="minorHAnsi" w:cstheme="minorBidi"/>
                <w:noProof/>
                <w:spacing w:val="0"/>
                <w:kern w:val="2"/>
                <w:sz w:val="22"/>
                <w:szCs w:val="22"/>
                <w:lang w:eastAsia="es-CO"/>
                <w14:ligatures w14:val="standardContextual"/>
              </w:rPr>
              <w:tab/>
            </w:r>
            <w:r w:rsidR="00853143" w:rsidRPr="00346AF4">
              <w:rPr>
                <w:rStyle w:val="Hipervnculo"/>
                <w:b/>
                <w:bCs/>
                <w:noProof/>
              </w:rPr>
              <w:t>EMPRESAS CUYO VALOR DE CONTRIBUCIÓN ES INFERIOR A LA CUANTÍA MÍNIMA.</w:t>
            </w:r>
            <w:r w:rsidR="00853143">
              <w:rPr>
                <w:noProof/>
                <w:webHidden/>
              </w:rPr>
              <w:tab/>
            </w:r>
            <w:r w:rsidR="00853143">
              <w:rPr>
                <w:noProof/>
                <w:webHidden/>
              </w:rPr>
              <w:fldChar w:fldCharType="begin"/>
            </w:r>
            <w:r w:rsidR="00853143">
              <w:rPr>
                <w:noProof/>
                <w:webHidden/>
              </w:rPr>
              <w:instrText xml:space="preserve"> PAGEREF _Toc147154329 \h </w:instrText>
            </w:r>
            <w:r w:rsidR="00853143">
              <w:rPr>
                <w:noProof/>
                <w:webHidden/>
              </w:rPr>
            </w:r>
            <w:r w:rsidR="00853143">
              <w:rPr>
                <w:noProof/>
                <w:webHidden/>
              </w:rPr>
              <w:fldChar w:fldCharType="separate"/>
            </w:r>
            <w:r w:rsidR="00853143">
              <w:rPr>
                <w:noProof/>
                <w:webHidden/>
              </w:rPr>
              <w:t>48</w:t>
            </w:r>
            <w:r w:rsidR="00853143">
              <w:rPr>
                <w:noProof/>
                <w:webHidden/>
              </w:rPr>
              <w:fldChar w:fldCharType="end"/>
            </w:r>
          </w:hyperlink>
        </w:p>
        <w:p w14:paraId="127F84C6" w14:textId="11718999" w:rsidR="00853143" w:rsidRDefault="000D5E7E">
          <w:pPr>
            <w:pStyle w:val="TDC2"/>
            <w:tabs>
              <w:tab w:val="left" w:pos="800"/>
              <w:tab w:val="right" w:leader="dot" w:pos="9396"/>
            </w:tabs>
            <w:rPr>
              <w:rFonts w:asciiTheme="minorHAnsi" w:eastAsiaTheme="minorEastAsia" w:hAnsiTheme="minorHAnsi" w:cstheme="minorBidi"/>
              <w:noProof/>
              <w:spacing w:val="0"/>
              <w:kern w:val="2"/>
              <w:sz w:val="22"/>
              <w:szCs w:val="22"/>
              <w:lang w:eastAsia="es-CO"/>
              <w14:ligatures w14:val="standardContextual"/>
            </w:rPr>
          </w:pPr>
          <w:hyperlink w:anchor="_Toc147154330" w:history="1">
            <w:r w:rsidR="00853143" w:rsidRPr="00346AF4">
              <w:rPr>
                <w:rStyle w:val="Hipervnculo"/>
                <w:b/>
                <w:bCs/>
                <w:noProof/>
              </w:rPr>
              <w:t>9.4</w:t>
            </w:r>
            <w:r w:rsidR="00853143">
              <w:rPr>
                <w:rFonts w:asciiTheme="minorHAnsi" w:eastAsiaTheme="minorEastAsia" w:hAnsiTheme="minorHAnsi" w:cstheme="minorBidi"/>
                <w:noProof/>
                <w:spacing w:val="0"/>
                <w:kern w:val="2"/>
                <w:sz w:val="22"/>
                <w:szCs w:val="22"/>
                <w:lang w:eastAsia="es-CO"/>
                <w14:ligatures w14:val="standardContextual"/>
              </w:rPr>
              <w:tab/>
            </w:r>
            <w:r w:rsidR="00853143" w:rsidRPr="00346AF4">
              <w:rPr>
                <w:rStyle w:val="Hipervnculo"/>
                <w:b/>
                <w:bCs/>
                <w:noProof/>
              </w:rPr>
              <w:t>EMPRESAS QUE REPORTARON EN EL SISTEMA SUI INFORMACION AL CIERRE DE DICIEMBRE 31 DE 2022 Y AL CIERRE DE DICIEMBRE 31 DE 2021:</w:t>
            </w:r>
            <w:r w:rsidR="00853143">
              <w:rPr>
                <w:noProof/>
                <w:webHidden/>
              </w:rPr>
              <w:tab/>
            </w:r>
            <w:r w:rsidR="00853143">
              <w:rPr>
                <w:noProof/>
                <w:webHidden/>
              </w:rPr>
              <w:fldChar w:fldCharType="begin"/>
            </w:r>
            <w:r w:rsidR="00853143">
              <w:rPr>
                <w:noProof/>
                <w:webHidden/>
              </w:rPr>
              <w:instrText xml:space="preserve"> PAGEREF _Toc147154330 \h </w:instrText>
            </w:r>
            <w:r w:rsidR="00853143">
              <w:rPr>
                <w:noProof/>
                <w:webHidden/>
              </w:rPr>
            </w:r>
            <w:r w:rsidR="00853143">
              <w:rPr>
                <w:noProof/>
                <w:webHidden/>
              </w:rPr>
              <w:fldChar w:fldCharType="separate"/>
            </w:r>
            <w:r w:rsidR="00853143">
              <w:rPr>
                <w:noProof/>
                <w:webHidden/>
              </w:rPr>
              <w:t>49</w:t>
            </w:r>
            <w:r w:rsidR="00853143">
              <w:rPr>
                <w:noProof/>
                <w:webHidden/>
              </w:rPr>
              <w:fldChar w:fldCharType="end"/>
            </w:r>
          </w:hyperlink>
        </w:p>
        <w:p w14:paraId="41155BA6" w14:textId="74A4928A" w:rsidR="00853143" w:rsidRDefault="000D5E7E">
          <w:pPr>
            <w:pStyle w:val="TDC2"/>
            <w:tabs>
              <w:tab w:val="left" w:pos="800"/>
              <w:tab w:val="right" w:leader="dot" w:pos="9396"/>
            </w:tabs>
            <w:rPr>
              <w:rFonts w:asciiTheme="minorHAnsi" w:eastAsiaTheme="minorEastAsia" w:hAnsiTheme="minorHAnsi" w:cstheme="minorBidi"/>
              <w:noProof/>
              <w:spacing w:val="0"/>
              <w:kern w:val="2"/>
              <w:sz w:val="22"/>
              <w:szCs w:val="22"/>
              <w:lang w:eastAsia="es-CO"/>
              <w14:ligatures w14:val="standardContextual"/>
            </w:rPr>
          </w:pPr>
          <w:hyperlink w:anchor="_Toc147154331" w:history="1">
            <w:r w:rsidR="00853143" w:rsidRPr="00346AF4">
              <w:rPr>
                <w:rStyle w:val="Hipervnculo"/>
                <w:b/>
                <w:bCs/>
                <w:noProof/>
              </w:rPr>
              <w:t>9.5</w:t>
            </w:r>
            <w:r w:rsidR="00853143">
              <w:rPr>
                <w:rFonts w:asciiTheme="minorHAnsi" w:eastAsiaTheme="minorEastAsia" w:hAnsiTheme="minorHAnsi" w:cstheme="minorBidi"/>
                <w:noProof/>
                <w:spacing w:val="0"/>
                <w:kern w:val="2"/>
                <w:sz w:val="22"/>
                <w:szCs w:val="22"/>
                <w:lang w:eastAsia="es-CO"/>
                <w14:ligatures w14:val="standardContextual"/>
              </w:rPr>
              <w:tab/>
            </w:r>
            <w:r w:rsidR="00853143" w:rsidRPr="00346AF4">
              <w:rPr>
                <w:rStyle w:val="Hipervnculo"/>
                <w:b/>
                <w:bCs/>
                <w:noProof/>
              </w:rPr>
              <w:t>EMPRESAS QUE REPORTARON EN EL SISTEMA SUI INFORMACIÓN AL CIERRE DE DICIEMBRE DE  2022 Y NO REPORTARON AL CIERRE DE DICIEMBRE DE  2021:</w:t>
            </w:r>
            <w:r w:rsidR="00853143">
              <w:rPr>
                <w:noProof/>
                <w:webHidden/>
              </w:rPr>
              <w:tab/>
            </w:r>
            <w:r w:rsidR="00853143">
              <w:rPr>
                <w:noProof/>
                <w:webHidden/>
              </w:rPr>
              <w:fldChar w:fldCharType="begin"/>
            </w:r>
            <w:r w:rsidR="00853143">
              <w:rPr>
                <w:noProof/>
                <w:webHidden/>
              </w:rPr>
              <w:instrText xml:space="preserve"> PAGEREF _Toc147154331 \h </w:instrText>
            </w:r>
            <w:r w:rsidR="00853143">
              <w:rPr>
                <w:noProof/>
                <w:webHidden/>
              </w:rPr>
            </w:r>
            <w:r w:rsidR="00853143">
              <w:rPr>
                <w:noProof/>
                <w:webHidden/>
              </w:rPr>
              <w:fldChar w:fldCharType="separate"/>
            </w:r>
            <w:r w:rsidR="00853143">
              <w:rPr>
                <w:noProof/>
                <w:webHidden/>
              </w:rPr>
              <w:t>56</w:t>
            </w:r>
            <w:r w:rsidR="00853143">
              <w:rPr>
                <w:noProof/>
                <w:webHidden/>
              </w:rPr>
              <w:fldChar w:fldCharType="end"/>
            </w:r>
          </w:hyperlink>
        </w:p>
        <w:p w14:paraId="6B69C03A" w14:textId="62A2F564" w:rsidR="00853143" w:rsidRDefault="000D5E7E">
          <w:pPr>
            <w:pStyle w:val="TDC1"/>
            <w:tabs>
              <w:tab w:val="left" w:pos="600"/>
              <w:tab w:val="right" w:leader="dot" w:pos="9396"/>
            </w:tabs>
            <w:rPr>
              <w:rFonts w:asciiTheme="minorHAnsi" w:eastAsiaTheme="minorEastAsia" w:hAnsiTheme="minorHAnsi" w:cstheme="minorBidi"/>
              <w:noProof/>
              <w:spacing w:val="0"/>
              <w:kern w:val="2"/>
              <w:sz w:val="22"/>
              <w:szCs w:val="22"/>
              <w:lang w:eastAsia="es-CO"/>
              <w14:ligatures w14:val="standardContextual"/>
            </w:rPr>
          </w:pPr>
          <w:hyperlink w:anchor="_Toc147154332" w:history="1">
            <w:r w:rsidR="00853143" w:rsidRPr="00346AF4">
              <w:rPr>
                <w:rStyle w:val="Hipervnculo"/>
                <w:noProof/>
              </w:rPr>
              <w:t>10.</w:t>
            </w:r>
            <w:r w:rsidR="00853143">
              <w:rPr>
                <w:rFonts w:asciiTheme="minorHAnsi" w:eastAsiaTheme="minorEastAsia" w:hAnsiTheme="minorHAnsi" w:cstheme="minorBidi"/>
                <w:noProof/>
                <w:spacing w:val="0"/>
                <w:kern w:val="2"/>
                <w:sz w:val="22"/>
                <w:szCs w:val="22"/>
                <w:lang w:eastAsia="es-CO"/>
                <w14:ligatures w14:val="standardContextual"/>
              </w:rPr>
              <w:tab/>
            </w:r>
            <w:r w:rsidR="00853143" w:rsidRPr="00346AF4">
              <w:rPr>
                <w:rStyle w:val="Hipervnculo"/>
                <w:noProof/>
              </w:rPr>
              <w:t>LIQUIDACIÓN CONTRIBUCIÓN ESPECIAL PARA LA VIGENCIA 2023.</w:t>
            </w:r>
            <w:r w:rsidR="00853143">
              <w:rPr>
                <w:noProof/>
                <w:webHidden/>
              </w:rPr>
              <w:tab/>
            </w:r>
            <w:r w:rsidR="00853143">
              <w:rPr>
                <w:noProof/>
                <w:webHidden/>
              </w:rPr>
              <w:fldChar w:fldCharType="begin"/>
            </w:r>
            <w:r w:rsidR="00853143">
              <w:rPr>
                <w:noProof/>
                <w:webHidden/>
              </w:rPr>
              <w:instrText xml:space="preserve"> PAGEREF _Toc147154332 \h </w:instrText>
            </w:r>
            <w:r w:rsidR="00853143">
              <w:rPr>
                <w:noProof/>
                <w:webHidden/>
              </w:rPr>
            </w:r>
            <w:r w:rsidR="00853143">
              <w:rPr>
                <w:noProof/>
                <w:webHidden/>
              </w:rPr>
              <w:fldChar w:fldCharType="separate"/>
            </w:r>
            <w:r w:rsidR="00853143">
              <w:rPr>
                <w:noProof/>
                <w:webHidden/>
              </w:rPr>
              <w:t>58</w:t>
            </w:r>
            <w:r w:rsidR="00853143">
              <w:rPr>
                <w:noProof/>
                <w:webHidden/>
              </w:rPr>
              <w:fldChar w:fldCharType="end"/>
            </w:r>
          </w:hyperlink>
        </w:p>
        <w:p w14:paraId="53005181" w14:textId="27178707" w:rsidR="00853143" w:rsidRDefault="000D5E7E">
          <w:pPr>
            <w:pStyle w:val="TDC2"/>
            <w:tabs>
              <w:tab w:val="left" w:pos="800"/>
              <w:tab w:val="right" w:leader="dot" w:pos="9396"/>
            </w:tabs>
            <w:rPr>
              <w:rFonts w:asciiTheme="minorHAnsi" w:eastAsiaTheme="minorEastAsia" w:hAnsiTheme="minorHAnsi" w:cstheme="minorBidi"/>
              <w:noProof/>
              <w:spacing w:val="0"/>
              <w:kern w:val="2"/>
              <w:sz w:val="22"/>
              <w:szCs w:val="22"/>
              <w:lang w:eastAsia="es-CO"/>
              <w14:ligatures w14:val="standardContextual"/>
            </w:rPr>
          </w:pPr>
          <w:hyperlink w:anchor="_Toc147154333" w:history="1">
            <w:r w:rsidR="00853143" w:rsidRPr="00346AF4">
              <w:rPr>
                <w:rStyle w:val="Hipervnculo"/>
                <w:b/>
                <w:bCs/>
                <w:noProof/>
              </w:rPr>
              <w:t>10.1</w:t>
            </w:r>
            <w:r w:rsidR="00853143">
              <w:rPr>
                <w:rFonts w:asciiTheme="minorHAnsi" w:eastAsiaTheme="minorEastAsia" w:hAnsiTheme="minorHAnsi" w:cstheme="minorBidi"/>
                <w:noProof/>
                <w:spacing w:val="0"/>
                <w:kern w:val="2"/>
                <w:sz w:val="22"/>
                <w:szCs w:val="22"/>
                <w:lang w:eastAsia="es-CO"/>
                <w14:ligatures w14:val="standardContextual"/>
              </w:rPr>
              <w:tab/>
            </w:r>
            <w:r w:rsidR="00853143" w:rsidRPr="00346AF4">
              <w:rPr>
                <w:rStyle w:val="Hipervnculo"/>
                <w:b/>
                <w:bCs/>
                <w:noProof/>
              </w:rPr>
              <w:t>PRESUPUESTO NETO ENERGÍA Y GAS COMBUSTIBLE VIGENCIA 2023.</w:t>
            </w:r>
            <w:r w:rsidR="00853143">
              <w:rPr>
                <w:noProof/>
                <w:webHidden/>
              </w:rPr>
              <w:tab/>
            </w:r>
            <w:r w:rsidR="00853143">
              <w:rPr>
                <w:noProof/>
                <w:webHidden/>
              </w:rPr>
              <w:fldChar w:fldCharType="begin"/>
            </w:r>
            <w:r w:rsidR="00853143">
              <w:rPr>
                <w:noProof/>
                <w:webHidden/>
              </w:rPr>
              <w:instrText xml:space="preserve"> PAGEREF _Toc147154333 \h </w:instrText>
            </w:r>
            <w:r w:rsidR="00853143">
              <w:rPr>
                <w:noProof/>
                <w:webHidden/>
              </w:rPr>
            </w:r>
            <w:r w:rsidR="00853143">
              <w:rPr>
                <w:noProof/>
                <w:webHidden/>
              </w:rPr>
              <w:fldChar w:fldCharType="separate"/>
            </w:r>
            <w:r w:rsidR="00853143">
              <w:rPr>
                <w:noProof/>
                <w:webHidden/>
              </w:rPr>
              <w:t>58</w:t>
            </w:r>
            <w:r w:rsidR="00853143">
              <w:rPr>
                <w:noProof/>
                <w:webHidden/>
              </w:rPr>
              <w:fldChar w:fldCharType="end"/>
            </w:r>
          </w:hyperlink>
        </w:p>
        <w:p w14:paraId="4E439303" w14:textId="7F06A3A0" w:rsidR="00853143" w:rsidRDefault="000D5E7E">
          <w:pPr>
            <w:pStyle w:val="TDC2"/>
            <w:tabs>
              <w:tab w:val="left" w:pos="800"/>
              <w:tab w:val="right" w:leader="dot" w:pos="9396"/>
            </w:tabs>
            <w:rPr>
              <w:rFonts w:asciiTheme="minorHAnsi" w:eastAsiaTheme="minorEastAsia" w:hAnsiTheme="minorHAnsi" w:cstheme="minorBidi"/>
              <w:noProof/>
              <w:spacing w:val="0"/>
              <w:kern w:val="2"/>
              <w:sz w:val="22"/>
              <w:szCs w:val="22"/>
              <w:lang w:eastAsia="es-CO"/>
              <w14:ligatures w14:val="standardContextual"/>
            </w:rPr>
          </w:pPr>
          <w:hyperlink w:anchor="_Toc147154334" w:history="1">
            <w:r w:rsidR="00853143" w:rsidRPr="00346AF4">
              <w:rPr>
                <w:rStyle w:val="Hipervnculo"/>
                <w:b/>
                <w:bCs/>
                <w:noProof/>
              </w:rPr>
              <w:t>10.2</w:t>
            </w:r>
            <w:r w:rsidR="00853143">
              <w:rPr>
                <w:rFonts w:asciiTheme="minorHAnsi" w:eastAsiaTheme="minorEastAsia" w:hAnsiTheme="minorHAnsi" w:cstheme="minorBidi"/>
                <w:noProof/>
                <w:spacing w:val="0"/>
                <w:kern w:val="2"/>
                <w:sz w:val="22"/>
                <w:szCs w:val="22"/>
                <w:lang w:eastAsia="es-CO"/>
                <w14:ligatures w14:val="standardContextual"/>
              </w:rPr>
              <w:tab/>
            </w:r>
            <w:r w:rsidR="00853143" w:rsidRPr="00346AF4">
              <w:rPr>
                <w:rStyle w:val="Hipervnculo"/>
                <w:b/>
                <w:bCs/>
                <w:noProof/>
              </w:rPr>
              <w:t>FALTANTE PRESUPUESTAL CONTRIBUCIÓN ESPECIAL VIGENCIA 2023.</w:t>
            </w:r>
            <w:r w:rsidR="00853143">
              <w:rPr>
                <w:noProof/>
                <w:webHidden/>
              </w:rPr>
              <w:tab/>
            </w:r>
            <w:r w:rsidR="00853143">
              <w:rPr>
                <w:noProof/>
                <w:webHidden/>
              </w:rPr>
              <w:fldChar w:fldCharType="begin"/>
            </w:r>
            <w:r w:rsidR="00853143">
              <w:rPr>
                <w:noProof/>
                <w:webHidden/>
              </w:rPr>
              <w:instrText xml:space="preserve"> PAGEREF _Toc147154334 \h </w:instrText>
            </w:r>
            <w:r w:rsidR="00853143">
              <w:rPr>
                <w:noProof/>
                <w:webHidden/>
              </w:rPr>
            </w:r>
            <w:r w:rsidR="00853143">
              <w:rPr>
                <w:noProof/>
                <w:webHidden/>
              </w:rPr>
              <w:fldChar w:fldCharType="separate"/>
            </w:r>
            <w:r w:rsidR="00853143">
              <w:rPr>
                <w:noProof/>
                <w:webHidden/>
              </w:rPr>
              <w:t>58</w:t>
            </w:r>
            <w:r w:rsidR="00853143">
              <w:rPr>
                <w:noProof/>
                <w:webHidden/>
              </w:rPr>
              <w:fldChar w:fldCharType="end"/>
            </w:r>
          </w:hyperlink>
        </w:p>
        <w:p w14:paraId="116BA911" w14:textId="101508CB" w:rsidR="00853143" w:rsidRDefault="000D5E7E">
          <w:pPr>
            <w:pStyle w:val="TDC2"/>
            <w:tabs>
              <w:tab w:val="left" w:pos="800"/>
              <w:tab w:val="right" w:leader="dot" w:pos="9396"/>
            </w:tabs>
            <w:rPr>
              <w:rFonts w:asciiTheme="minorHAnsi" w:eastAsiaTheme="minorEastAsia" w:hAnsiTheme="minorHAnsi" w:cstheme="minorBidi"/>
              <w:noProof/>
              <w:spacing w:val="0"/>
              <w:kern w:val="2"/>
              <w:sz w:val="22"/>
              <w:szCs w:val="22"/>
              <w:lang w:eastAsia="es-CO"/>
              <w14:ligatures w14:val="standardContextual"/>
            </w:rPr>
          </w:pPr>
          <w:hyperlink w:anchor="_Toc147154335" w:history="1">
            <w:r w:rsidR="00853143" w:rsidRPr="00346AF4">
              <w:rPr>
                <w:rStyle w:val="Hipervnculo"/>
                <w:b/>
                <w:bCs/>
                <w:noProof/>
              </w:rPr>
              <w:t>10.3</w:t>
            </w:r>
            <w:r w:rsidR="00853143">
              <w:rPr>
                <w:rFonts w:asciiTheme="minorHAnsi" w:eastAsiaTheme="minorEastAsia" w:hAnsiTheme="minorHAnsi" w:cstheme="minorBidi"/>
                <w:noProof/>
                <w:spacing w:val="0"/>
                <w:kern w:val="2"/>
                <w:sz w:val="22"/>
                <w:szCs w:val="22"/>
                <w:lang w:eastAsia="es-CO"/>
                <w14:ligatures w14:val="standardContextual"/>
              </w:rPr>
              <w:tab/>
            </w:r>
            <w:r w:rsidR="00853143" w:rsidRPr="00346AF4">
              <w:rPr>
                <w:rStyle w:val="Hipervnculo"/>
                <w:b/>
                <w:bCs/>
                <w:noProof/>
              </w:rPr>
              <w:t>APLICACIÓN DEL PARÁGRAFO 2 DEL ARTÍCULO 85 DE LA LEY 142 DE 1994.</w:t>
            </w:r>
            <w:r w:rsidR="00853143">
              <w:rPr>
                <w:noProof/>
                <w:webHidden/>
              </w:rPr>
              <w:tab/>
            </w:r>
            <w:r w:rsidR="00853143">
              <w:rPr>
                <w:noProof/>
                <w:webHidden/>
              </w:rPr>
              <w:fldChar w:fldCharType="begin"/>
            </w:r>
            <w:r w:rsidR="00853143">
              <w:rPr>
                <w:noProof/>
                <w:webHidden/>
              </w:rPr>
              <w:instrText xml:space="preserve"> PAGEREF _Toc147154335 \h </w:instrText>
            </w:r>
            <w:r w:rsidR="00853143">
              <w:rPr>
                <w:noProof/>
                <w:webHidden/>
              </w:rPr>
            </w:r>
            <w:r w:rsidR="00853143">
              <w:rPr>
                <w:noProof/>
                <w:webHidden/>
              </w:rPr>
              <w:fldChar w:fldCharType="separate"/>
            </w:r>
            <w:r w:rsidR="00853143">
              <w:rPr>
                <w:noProof/>
                <w:webHidden/>
              </w:rPr>
              <w:t>59</w:t>
            </w:r>
            <w:r w:rsidR="00853143">
              <w:rPr>
                <w:noProof/>
                <w:webHidden/>
              </w:rPr>
              <w:fldChar w:fldCharType="end"/>
            </w:r>
          </w:hyperlink>
        </w:p>
        <w:p w14:paraId="6A41B5E2" w14:textId="4D3D8A13" w:rsidR="00853143" w:rsidRDefault="000D5E7E">
          <w:pPr>
            <w:pStyle w:val="TDC2"/>
            <w:tabs>
              <w:tab w:val="left" w:pos="800"/>
              <w:tab w:val="right" w:leader="dot" w:pos="9396"/>
            </w:tabs>
            <w:rPr>
              <w:rFonts w:asciiTheme="minorHAnsi" w:eastAsiaTheme="minorEastAsia" w:hAnsiTheme="minorHAnsi" w:cstheme="minorBidi"/>
              <w:noProof/>
              <w:spacing w:val="0"/>
              <w:kern w:val="2"/>
              <w:sz w:val="22"/>
              <w:szCs w:val="22"/>
              <w:lang w:eastAsia="es-CO"/>
              <w14:ligatures w14:val="standardContextual"/>
            </w:rPr>
          </w:pPr>
          <w:hyperlink w:anchor="_Toc147154336" w:history="1">
            <w:r w:rsidR="00853143" w:rsidRPr="00346AF4">
              <w:rPr>
                <w:rStyle w:val="Hipervnculo"/>
                <w:b/>
                <w:bCs/>
                <w:noProof/>
              </w:rPr>
              <w:t>10.4</w:t>
            </w:r>
            <w:r w:rsidR="00853143">
              <w:rPr>
                <w:rFonts w:asciiTheme="minorHAnsi" w:eastAsiaTheme="minorEastAsia" w:hAnsiTheme="minorHAnsi" w:cstheme="minorBidi"/>
                <w:noProof/>
                <w:spacing w:val="0"/>
                <w:kern w:val="2"/>
                <w:sz w:val="22"/>
                <w:szCs w:val="22"/>
                <w:lang w:eastAsia="es-CO"/>
                <w14:ligatures w14:val="standardContextual"/>
              </w:rPr>
              <w:tab/>
            </w:r>
            <w:r w:rsidR="00853143" w:rsidRPr="00346AF4">
              <w:rPr>
                <w:rStyle w:val="Hipervnculo"/>
                <w:b/>
                <w:bCs/>
                <w:noProof/>
              </w:rPr>
              <w:t>LIQUIDACIÓN GENERAL DE LA CONTRIBUCIÓN ESPECIAL 2023.</w:t>
            </w:r>
            <w:r w:rsidR="00853143">
              <w:rPr>
                <w:noProof/>
                <w:webHidden/>
              </w:rPr>
              <w:tab/>
            </w:r>
            <w:r w:rsidR="00853143">
              <w:rPr>
                <w:noProof/>
                <w:webHidden/>
              </w:rPr>
              <w:fldChar w:fldCharType="begin"/>
            </w:r>
            <w:r w:rsidR="00853143">
              <w:rPr>
                <w:noProof/>
                <w:webHidden/>
              </w:rPr>
              <w:instrText xml:space="preserve"> PAGEREF _Toc147154336 \h </w:instrText>
            </w:r>
            <w:r w:rsidR="00853143">
              <w:rPr>
                <w:noProof/>
                <w:webHidden/>
              </w:rPr>
            </w:r>
            <w:r w:rsidR="00853143">
              <w:rPr>
                <w:noProof/>
                <w:webHidden/>
              </w:rPr>
              <w:fldChar w:fldCharType="separate"/>
            </w:r>
            <w:r w:rsidR="00853143">
              <w:rPr>
                <w:noProof/>
                <w:webHidden/>
              </w:rPr>
              <w:t>59</w:t>
            </w:r>
            <w:r w:rsidR="00853143">
              <w:rPr>
                <w:noProof/>
                <w:webHidden/>
              </w:rPr>
              <w:fldChar w:fldCharType="end"/>
            </w:r>
          </w:hyperlink>
        </w:p>
        <w:p w14:paraId="75EB8E98" w14:textId="799DD57E" w:rsidR="00853143" w:rsidRDefault="000D5E7E">
          <w:pPr>
            <w:pStyle w:val="TDC2"/>
            <w:tabs>
              <w:tab w:val="left" w:pos="800"/>
              <w:tab w:val="right" w:leader="dot" w:pos="9396"/>
            </w:tabs>
            <w:rPr>
              <w:rFonts w:asciiTheme="minorHAnsi" w:eastAsiaTheme="minorEastAsia" w:hAnsiTheme="minorHAnsi" w:cstheme="minorBidi"/>
              <w:noProof/>
              <w:spacing w:val="0"/>
              <w:kern w:val="2"/>
              <w:sz w:val="22"/>
              <w:szCs w:val="22"/>
              <w:lang w:eastAsia="es-CO"/>
              <w14:ligatures w14:val="standardContextual"/>
            </w:rPr>
          </w:pPr>
          <w:hyperlink w:anchor="_Toc147154337" w:history="1">
            <w:r w:rsidR="00853143" w:rsidRPr="00346AF4">
              <w:rPr>
                <w:rStyle w:val="Hipervnculo"/>
                <w:b/>
                <w:bCs/>
                <w:noProof/>
              </w:rPr>
              <w:t>10.5</w:t>
            </w:r>
            <w:r w:rsidR="00853143">
              <w:rPr>
                <w:rFonts w:asciiTheme="minorHAnsi" w:eastAsiaTheme="minorEastAsia" w:hAnsiTheme="minorHAnsi" w:cstheme="minorBidi"/>
                <w:noProof/>
                <w:spacing w:val="0"/>
                <w:kern w:val="2"/>
                <w:sz w:val="22"/>
                <w:szCs w:val="22"/>
                <w:lang w:eastAsia="es-CO"/>
                <w14:ligatures w14:val="standardContextual"/>
              </w:rPr>
              <w:tab/>
            </w:r>
            <w:r w:rsidR="00853143" w:rsidRPr="00346AF4">
              <w:rPr>
                <w:rStyle w:val="Hipervnculo"/>
                <w:b/>
                <w:bCs/>
                <w:noProof/>
              </w:rPr>
              <w:t>CONTRIBUCIÓN ESPECIAL 2023 DE LAS EMPRESAS POR SERVICIO PRESTADO.</w:t>
            </w:r>
            <w:r w:rsidR="00853143">
              <w:rPr>
                <w:noProof/>
                <w:webHidden/>
              </w:rPr>
              <w:tab/>
            </w:r>
            <w:r w:rsidR="00853143">
              <w:rPr>
                <w:noProof/>
                <w:webHidden/>
              </w:rPr>
              <w:fldChar w:fldCharType="begin"/>
            </w:r>
            <w:r w:rsidR="00853143">
              <w:rPr>
                <w:noProof/>
                <w:webHidden/>
              </w:rPr>
              <w:instrText xml:space="preserve"> PAGEREF _Toc147154337 \h </w:instrText>
            </w:r>
            <w:r w:rsidR="00853143">
              <w:rPr>
                <w:noProof/>
                <w:webHidden/>
              </w:rPr>
            </w:r>
            <w:r w:rsidR="00853143">
              <w:rPr>
                <w:noProof/>
                <w:webHidden/>
              </w:rPr>
              <w:fldChar w:fldCharType="separate"/>
            </w:r>
            <w:r w:rsidR="00853143">
              <w:rPr>
                <w:noProof/>
                <w:webHidden/>
              </w:rPr>
              <w:t>59</w:t>
            </w:r>
            <w:r w:rsidR="00853143">
              <w:rPr>
                <w:noProof/>
                <w:webHidden/>
              </w:rPr>
              <w:fldChar w:fldCharType="end"/>
            </w:r>
          </w:hyperlink>
        </w:p>
        <w:p w14:paraId="68CA41D8" w14:textId="45ABE29B" w:rsidR="00853143" w:rsidRDefault="000D5E7E">
          <w:pPr>
            <w:pStyle w:val="TDC1"/>
            <w:tabs>
              <w:tab w:val="left" w:pos="600"/>
              <w:tab w:val="right" w:leader="dot" w:pos="9396"/>
            </w:tabs>
            <w:rPr>
              <w:rFonts w:asciiTheme="minorHAnsi" w:eastAsiaTheme="minorEastAsia" w:hAnsiTheme="minorHAnsi" w:cstheme="minorBidi"/>
              <w:noProof/>
              <w:spacing w:val="0"/>
              <w:kern w:val="2"/>
              <w:sz w:val="22"/>
              <w:szCs w:val="22"/>
              <w:lang w:eastAsia="es-CO"/>
              <w14:ligatures w14:val="standardContextual"/>
            </w:rPr>
          </w:pPr>
          <w:hyperlink w:anchor="_Toc147154338" w:history="1">
            <w:r w:rsidR="00853143" w:rsidRPr="00346AF4">
              <w:rPr>
                <w:rStyle w:val="Hipervnculo"/>
                <w:noProof/>
              </w:rPr>
              <w:t>11.</w:t>
            </w:r>
            <w:r w:rsidR="00853143">
              <w:rPr>
                <w:rFonts w:asciiTheme="minorHAnsi" w:eastAsiaTheme="minorEastAsia" w:hAnsiTheme="minorHAnsi" w:cstheme="minorBidi"/>
                <w:noProof/>
                <w:spacing w:val="0"/>
                <w:kern w:val="2"/>
                <w:sz w:val="22"/>
                <w:szCs w:val="22"/>
                <w:lang w:eastAsia="es-CO"/>
                <w14:ligatures w14:val="standardContextual"/>
              </w:rPr>
              <w:tab/>
            </w:r>
            <w:r w:rsidR="00853143" w:rsidRPr="00346AF4">
              <w:rPr>
                <w:rStyle w:val="Hipervnculo"/>
                <w:noProof/>
              </w:rPr>
              <w:t>BASE GRAVABLE Y CONTRIBUCIÓN ESPECIAL AÑO 2023.</w:t>
            </w:r>
            <w:r w:rsidR="00853143">
              <w:rPr>
                <w:noProof/>
                <w:webHidden/>
              </w:rPr>
              <w:tab/>
            </w:r>
            <w:r w:rsidR="00853143">
              <w:rPr>
                <w:noProof/>
                <w:webHidden/>
              </w:rPr>
              <w:fldChar w:fldCharType="begin"/>
            </w:r>
            <w:r w:rsidR="00853143">
              <w:rPr>
                <w:noProof/>
                <w:webHidden/>
              </w:rPr>
              <w:instrText xml:space="preserve"> PAGEREF _Toc147154338 \h </w:instrText>
            </w:r>
            <w:r w:rsidR="00853143">
              <w:rPr>
                <w:noProof/>
                <w:webHidden/>
              </w:rPr>
            </w:r>
            <w:r w:rsidR="00853143">
              <w:rPr>
                <w:noProof/>
                <w:webHidden/>
              </w:rPr>
              <w:fldChar w:fldCharType="separate"/>
            </w:r>
            <w:r w:rsidR="00853143">
              <w:rPr>
                <w:noProof/>
                <w:webHidden/>
              </w:rPr>
              <w:t>60</w:t>
            </w:r>
            <w:r w:rsidR="00853143">
              <w:rPr>
                <w:noProof/>
                <w:webHidden/>
              </w:rPr>
              <w:fldChar w:fldCharType="end"/>
            </w:r>
          </w:hyperlink>
        </w:p>
        <w:p w14:paraId="324CF993" w14:textId="3FF5F4EF" w:rsidR="00853143" w:rsidRDefault="000D5E7E">
          <w:pPr>
            <w:pStyle w:val="TDC2"/>
            <w:tabs>
              <w:tab w:val="left" w:pos="800"/>
              <w:tab w:val="right" w:leader="dot" w:pos="9396"/>
            </w:tabs>
            <w:rPr>
              <w:rFonts w:asciiTheme="minorHAnsi" w:eastAsiaTheme="minorEastAsia" w:hAnsiTheme="minorHAnsi" w:cstheme="minorBidi"/>
              <w:noProof/>
              <w:spacing w:val="0"/>
              <w:kern w:val="2"/>
              <w:sz w:val="22"/>
              <w:szCs w:val="22"/>
              <w:lang w:eastAsia="es-CO"/>
              <w14:ligatures w14:val="standardContextual"/>
            </w:rPr>
          </w:pPr>
          <w:hyperlink w:anchor="_Toc147154339" w:history="1">
            <w:r w:rsidR="00853143" w:rsidRPr="00346AF4">
              <w:rPr>
                <w:rStyle w:val="Hipervnculo"/>
                <w:b/>
                <w:bCs/>
                <w:noProof/>
              </w:rPr>
              <w:t>11.1</w:t>
            </w:r>
            <w:r w:rsidR="00853143">
              <w:rPr>
                <w:rFonts w:asciiTheme="minorHAnsi" w:eastAsiaTheme="minorEastAsia" w:hAnsiTheme="minorHAnsi" w:cstheme="minorBidi"/>
                <w:noProof/>
                <w:spacing w:val="0"/>
                <w:kern w:val="2"/>
                <w:sz w:val="22"/>
                <w:szCs w:val="22"/>
                <w:lang w:eastAsia="es-CO"/>
                <w14:ligatures w14:val="standardContextual"/>
              </w:rPr>
              <w:tab/>
            </w:r>
            <w:r w:rsidR="00853143" w:rsidRPr="00346AF4">
              <w:rPr>
                <w:rStyle w:val="Hipervnculo"/>
                <w:b/>
                <w:bCs/>
                <w:noProof/>
              </w:rPr>
              <w:t>CONSOLIDADO GENERAL CONTRIBUCIÓN 2023.</w:t>
            </w:r>
            <w:r w:rsidR="00853143">
              <w:rPr>
                <w:noProof/>
                <w:webHidden/>
              </w:rPr>
              <w:tab/>
            </w:r>
            <w:r w:rsidR="00853143">
              <w:rPr>
                <w:noProof/>
                <w:webHidden/>
              </w:rPr>
              <w:fldChar w:fldCharType="begin"/>
            </w:r>
            <w:r w:rsidR="00853143">
              <w:rPr>
                <w:noProof/>
                <w:webHidden/>
              </w:rPr>
              <w:instrText xml:space="preserve"> PAGEREF _Toc147154339 \h </w:instrText>
            </w:r>
            <w:r w:rsidR="00853143">
              <w:rPr>
                <w:noProof/>
                <w:webHidden/>
              </w:rPr>
            </w:r>
            <w:r w:rsidR="00853143">
              <w:rPr>
                <w:noProof/>
                <w:webHidden/>
              </w:rPr>
              <w:fldChar w:fldCharType="separate"/>
            </w:r>
            <w:r w:rsidR="00853143">
              <w:rPr>
                <w:noProof/>
                <w:webHidden/>
              </w:rPr>
              <w:t>61</w:t>
            </w:r>
            <w:r w:rsidR="00853143">
              <w:rPr>
                <w:noProof/>
                <w:webHidden/>
              </w:rPr>
              <w:fldChar w:fldCharType="end"/>
            </w:r>
          </w:hyperlink>
        </w:p>
        <w:p w14:paraId="4E0F4AC7" w14:textId="56208465" w:rsidR="00853143" w:rsidRDefault="000D5E7E">
          <w:pPr>
            <w:pStyle w:val="TDC2"/>
            <w:tabs>
              <w:tab w:val="left" w:pos="800"/>
              <w:tab w:val="right" w:leader="dot" w:pos="9396"/>
            </w:tabs>
            <w:rPr>
              <w:rFonts w:asciiTheme="minorHAnsi" w:eastAsiaTheme="minorEastAsia" w:hAnsiTheme="minorHAnsi" w:cstheme="minorBidi"/>
              <w:noProof/>
              <w:spacing w:val="0"/>
              <w:kern w:val="2"/>
              <w:sz w:val="22"/>
              <w:szCs w:val="22"/>
              <w:lang w:eastAsia="es-CO"/>
              <w14:ligatures w14:val="standardContextual"/>
            </w:rPr>
          </w:pPr>
          <w:hyperlink w:anchor="_Toc147154340" w:history="1">
            <w:r w:rsidR="00853143" w:rsidRPr="00346AF4">
              <w:rPr>
                <w:rStyle w:val="Hipervnculo"/>
                <w:b/>
                <w:bCs/>
                <w:noProof/>
              </w:rPr>
              <w:t>11.2</w:t>
            </w:r>
            <w:r w:rsidR="00853143">
              <w:rPr>
                <w:rFonts w:asciiTheme="minorHAnsi" w:eastAsiaTheme="minorEastAsia" w:hAnsiTheme="minorHAnsi" w:cstheme="minorBidi"/>
                <w:noProof/>
                <w:spacing w:val="0"/>
                <w:kern w:val="2"/>
                <w:sz w:val="22"/>
                <w:szCs w:val="22"/>
                <w:lang w:eastAsia="es-CO"/>
                <w14:ligatures w14:val="standardContextual"/>
              </w:rPr>
              <w:tab/>
            </w:r>
            <w:r w:rsidR="00853143" w:rsidRPr="00346AF4">
              <w:rPr>
                <w:rStyle w:val="Hipervnculo"/>
                <w:b/>
                <w:bCs/>
                <w:noProof/>
              </w:rPr>
              <w:t>CONTRIBUCIÓN ESPECIAL 2023 PRESTADORES SERVICIO DE ENERGÍA.</w:t>
            </w:r>
            <w:r w:rsidR="00853143">
              <w:rPr>
                <w:noProof/>
                <w:webHidden/>
              </w:rPr>
              <w:tab/>
            </w:r>
            <w:r w:rsidR="00853143">
              <w:rPr>
                <w:noProof/>
                <w:webHidden/>
              </w:rPr>
              <w:fldChar w:fldCharType="begin"/>
            </w:r>
            <w:r w:rsidR="00853143">
              <w:rPr>
                <w:noProof/>
                <w:webHidden/>
              </w:rPr>
              <w:instrText xml:space="preserve"> PAGEREF _Toc147154340 \h </w:instrText>
            </w:r>
            <w:r w:rsidR="00853143">
              <w:rPr>
                <w:noProof/>
                <w:webHidden/>
              </w:rPr>
            </w:r>
            <w:r w:rsidR="00853143">
              <w:rPr>
                <w:noProof/>
                <w:webHidden/>
              </w:rPr>
              <w:fldChar w:fldCharType="separate"/>
            </w:r>
            <w:r w:rsidR="00853143">
              <w:rPr>
                <w:noProof/>
                <w:webHidden/>
              </w:rPr>
              <w:t>80</w:t>
            </w:r>
            <w:r w:rsidR="00853143">
              <w:rPr>
                <w:noProof/>
                <w:webHidden/>
              </w:rPr>
              <w:fldChar w:fldCharType="end"/>
            </w:r>
          </w:hyperlink>
        </w:p>
        <w:p w14:paraId="3BB48DFC" w14:textId="52C7F4D9" w:rsidR="00853143" w:rsidRDefault="000D5E7E">
          <w:pPr>
            <w:pStyle w:val="TDC2"/>
            <w:tabs>
              <w:tab w:val="left" w:pos="800"/>
              <w:tab w:val="right" w:leader="dot" w:pos="9396"/>
            </w:tabs>
            <w:rPr>
              <w:rFonts w:asciiTheme="minorHAnsi" w:eastAsiaTheme="minorEastAsia" w:hAnsiTheme="minorHAnsi" w:cstheme="minorBidi"/>
              <w:noProof/>
              <w:spacing w:val="0"/>
              <w:kern w:val="2"/>
              <w:sz w:val="22"/>
              <w:szCs w:val="22"/>
              <w:lang w:eastAsia="es-CO"/>
              <w14:ligatures w14:val="standardContextual"/>
            </w:rPr>
          </w:pPr>
          <w:hyperlink w:anchor="_Toc147154341" w:history="1">
            <w:r w:rsidR="00853143" w:rsidRPr="00346AF4">
              <w:rPr>
                <w:rStyle w:val="Hipervnculo"/>
                <w:b/>
                <w:bCs/>
                <w:noProof/>
              </w:rPr>
              <w:t>11.3</w:t>
            </w:r>
            <w:r w:rsidR="00853143">
              <w:rPr>
                <w:rFonts w:asciiTheme="minorHAnsi" w:eastAsiaTheme="minorEastAsia" w:hAnsiTheme="minorHAnsi" w:cstheme="minorBidi"/>
                <w:noProof/>
                <w:spacing w:val="0"/>
                <w:kern w:val="2"/>
                <w:sz w:val="22"/>
                <w:szCs w:val="22"/>
                <w:lang w:eastAsia="es-CO"/>
                <w14:ligatures w14:val="standardContextual"/>
              </w:rPr>
              <w:tab/>
            </w:r>
            <w:r w:rsidR="00853143" w:rsidRPr="00346AF4">
              <w:rPr>
                <w:rStyle w:val="Hipervnculo"/>
                <w:b/>
                <w:bCs/>
                <w:noProof/>
              </w:rPr>
              <w:t>CONTRIBUCIÓN ESPECIAL 2023 PRESTADORES SERVICIO DE ENERGÍA – GAS.</w:t>
            </w:r>
            <w:r w:rsidR="00853143">
              <w:rPr>
                <w:noProof/>
                <w:webHidden/>
              </w:rPr>
              <w:tab/>
            </w:r>
            <w:r w:rsidR="00853143">
              <w:rPr>
                <w:noProof/>
                <w:webHidden/>
              </w:rPr>
              <w:fldChar w:fldCharType="begin"/>
            </w:r>
            <w:r w:rsidR="00853143">
              <w:rPr>
                <w:noProof/>
                <w:webHidden/>
              </w:rPr>
              <w:instrText xml:space="preserve"> PAGEREF _Toc147154341 \h </w:instrText>
            </w:r>
            <w:r w:rsidR="00853143">
              <w:rPr>
                <w:noProof/>
                <w:webHidden/>
              </w:rPr>
            </w:r>
            <w:r w:rsidR="00853143">
              <w:rPr>
                <w:noProof/>
                <w:webHidden/>
              </w:rPr>
              <w:fldChar w:fldCharType="separate"/>
            </w:r>
            <w:r w:rsidR="00853143">
              <w:rPr>
                <w:noProof/>
                <w:webHidden/>
              </w:rPr>
              <w:t>89</w:t>
            </w:r>
            <w:r w:rsidR="00853143">
              <w:rPr>
                <w:noProof/>
                <w:webHidden/>
              </w:rPr>
              <w:fldChar w:fldCharType="end"/>
            </w:r>
          </w:hyperlink>
        </w:p>
        <w:p w14:paraId="18B7C049" w14:textId="3D4A76D2" w:rsidR="00853143" w:rsidRDefault="000D5E7E">
          <w:pPr>
            <w:pStyle w:val="TDC2"/>
            <w:tabs>
              <w:tab w:val="left" w:pos="800"/>
              <w:tab w:val="right" w:leader="dot" w:pos="9396"/>
            </w:tabs>
            <w:rPr>
              <w:rFonts w:asciiTheme="minorHAnsi" w:eastAsiaTheme="minorEastAsia" w:hAnsiTheme="minorHAnsi" w:cstheme="minorBidi"/>
              <w:noProof/>
              <w:spacing w:val="0"/>
              <w:kern w:val="2"/>
              <w:sz w:val="22"/>
              <w:szCs w:val="22"/>
              <w:lang w:eastAsia="es-CO"/>
              <w14:ligatures w14:val="standardContextual"/>
            </w:rPr>
          </w:pPr>
          <w:hyperlink w:anchor="_Toc147154342" w:history="1">
            <w:r w:rsidR="00853143" w:rsidRPr="00346AF4">
              <w:rPr>
                <w:rStyle w:val="Hipervnculo"/>
                <w:b/>
                <w:bCs/>
                <w:noProof/>
              </w:rPr>
              <w:t>11.4</w:t>
            </w:r>
            <w:r w:rsidR="00853143">
              <w:rPr>
                <w:rFonts w:asciiTheme="minorHAnsi" w:eastAsiaTheme="minorEastAsia" w:hAnsiTheme="minorHAnsi" w:cstheme="minorBidi"/>
                <w:noProof/>
                <w:spacing w:val="0"/>
                <w:kern w:val="2"/>
                <w:sz w:val="22"/>
                <w:szCs w:val="22"/>
                <w:lang w:eastAsia="es-CO"/>
                <w14:ligatures w14:val="standardContextual"/>
              </w:rPr>
              <w:tab/>
            </w:r>
            <w:r w:rsidR="00853143" w:rsidRPr="00346AF4">
              <w:rPr>
                <w:rStyle w:val="Hipervnculo"/>
                <w:b/>
                <w:bCs/>
                <w:noProof/>
              </w:rPr>
              <w:t>CONTRIBUCIÓN ESPECIAL 2023 PRESTADORES SERVICIO GLP – GAS POR REDES.</w:t>
            </w:r>
            <w:r w:rsidR="00853143">
              <w:rPr>
                <w:noProof/>
                <w:webHidden/>
              </w:rPr>
              <w:tab/>
            </w:r>
            <w:r w:rsidR="00853143">
              <w:rPr>
                <w:noProof/>
                <w:webHidden/>
              </w:rPr>
              <w:fldChar w:fldCharType="begin"/>
            </w:r>
            <w:r w:rsidR="00853143">
              <w:rPr>
                <w:noProof/>
                <w:webHidden/>
              </w:rPr>
              <w:instrText xml:space="preserve"> PAGEREF _Toc147154342 \h </w:instrText>
            </w:r>
            <w:r w:rsidR="00853143">
              <w:rPr>
                <w:noProof/>
                <w:webHidden/>
              </w:rPr>
            </w:r>
            <w:r w:rsidR="00853143">
              <w:rPr>
                <w:noProof/>
                <w:webHidden/>
              </w:rPr>
              <w:fldChar w:fldCharType="separate"/>
            </w:r>
            <w:r w:rsidR="00853143">
              <w:rPr>
                <w:noProof/>
                <w:webHidden/>
              </w:rPr>
              <w:t>90</w:t>
            </w:r>
            <w:r w:rsidR="00853143">
              <w:rPr>
                <w:noProof/>
                <w:webHidden/>
              </w:rPr>
              <w:fldChar w:fldCharType="end"/>
            </w:r>
          </w:hyperlink>
        </w:p>
        <w:p w14:paraId="5C586BC9" w14:textId="41AA2F2F" w:rsidR="00853143" w:rsidRDefault="000D5E7E">
          <w:pPr>
            <w:pStyle w:val="TDC2"/>
            <w:tabs>
              <w:tab w:val="left" w:pos="800"/>
              <w:tab w:val="right" w:leader="dot" w:pos="9396"/>
            </w:tabs>
            <w:rPr>
              <w:rFonts w:asciiTheme="minorHAnsi" w:eastAsiaTheme="minorEastAsia" w:hAnsiTheme="minorHAnsi" w:cstheme="minorBidi"/>
              <w:noProof/>
              <w:spacing w:val="0"/>
              <w:kern w:val="2"/>
              <w:sz w:val="22"/>
              <w:szCs w:val="22"/>
              <w:lang w:eastAsia="es-CO"/>
              <w14:ligatures w14:val="standardContextual"/>
            </w:rPr>
          </w:pPr>
          <w:hyperlink w:anchor="_Toc147154343" w:history="1">
            <w:r w:rsidR="00853143" w:rsidRPr="00346AF4">
              <w:rPr>
                <w:rStyle w:val="Hipervnculo"/>
                <w:b/>
                <w:bCs/>
                <w:noProof/>
              </w:rPr>
              <w:t>11.5</w:t>
            </w:r>
            <w:r w:rsidR="00853143">
              <w:rPr>
                <w:rFonts w:asciiTheme="minorHAnsi" w:eastAsiaTheme="minorEastAsia" w:hAnsiTheme="minorHAnsi" w:cstheme="minorBidi"/>
                <w:noProof/>
                <w:spacing w:val="0"/>
                <w:kern w:val="2"/>
                <w:sz w:val="22"/>
                <w:szCs w:val="22"/>
                <w:lang w:eastAsia="es-CO"/>
                <w14:ligatures w14:val="standardContextual"/>
              </w:rPr>
              <w:tab/>
            </w:r>
            <w:r w:rsidR="00853143" w:rsidRPr="00346AF4">
              <w:rPr>
                <w:rStyle w:val="Hipervnculo"/>
                <w:b/>
                <w:bCs/>
                <w:noProof/>
              </w:rPr>
              <w:t>CONTRIBUCIÓN ESPECIAL 2023 PRESTADORES MULTISERVICIOS.</w:t>
            </w:r>
            <w:r w:rsidR="00853143">
              <w:rPr>
                <w:noProof/>
                <w:webHidden/>
              </w:rPr>
              <w:tab/>
            </w:r>
            <w:r w:rsidR="00853143">
              <w:rPr>
                <w:noProof/>
                <w:webHidden/>
              </w:rPr>
              <w:fldChar w:fldCharType="begin"/>
            </w:r>
            <w:r w:rsidR="00853143">
              <w:rPr>
                <w:noProof/>
                <w:webHidden/>
              </w:rPr>
              <w:instrText xml:space="preserve"> PAGEREF _Toc147154343 \h </w:instrText>
            </w:r>
            <w:r w:rsidR="00853143">
              <w:rPr>
                <w:noProof/>
                <w:webHidden/>
              </w:rPr>
            </w:r>
            <w:r w:rsidR="00853143">
              <w:rPr>
                <w:noProof/>
                <w:webHidden/>
              </w:rPr>
              <w:fldChar w:fldCharType="separate"/>
            </w:r>
            <w:r w:rsidR="00853143">
              <w:rPr>
                <w:noProof/>
                <w:webHidden/>
              </w:rPr>
              <w:t>97</w:t>
            </w:r>
            <w:r w:rsidR="00853143">
              <w:rPr>
                <w:noProof/>
                <w:webHidden/>
              </w:rPr>
              <w:fldChar w:fldCharType="end"/>
            </w:r>
          </w:hyperlink>
        </w:p>
        <w:p w14:paraId="472BF1DC" w14:textId="09CBD195" w:rsidR="00853143" w:rsidRDefault="000D5E7E">
          <w:pPr>
            <w:pStyle w:val="TDC1"/>
            <w:tabs>
              <w:tab w:val="left" w:pos="600"/>
              <w:tab w:val="right" w:leader="dot" w:pos="9396"/>
            </w:tabs>
            <w:rPr>
              <w:rFonts w:asciiTheme="minorHAnsi" w:eastAsiaTheme="minorEastAsia" w:hAnsiTheme="minorHAnsi" w:cstheme="minorBidi"/>
              <w:noProof/>
              <w:spacing w:val="0"/>
              <w:kern w:val="2"/>
              <w:sz w:val="22"/>
              <w:szCs w:val="22"/>
              <w:lang w:eastAsia="es-CO"/>
              <w14:ligatures w14:val="standardContextual"/>
            </w:rPr>
          </w:pPr>
          <w:hyperlink w:anchor="_Toc147154344" w:history="1">
            <w:r w:rsidR="00853143" w:rsidRPr="00346AF4">
              <w:rPr>
                <w:rStyle w:val="Hipervnculo"/>
                <w:noProof/>
              </w:rPr>
              <w:t>12.</w:t>
            </w:r>
            <w:r w:rsidR="00853143">
              <w:rPr>
                <w:rFonts w:asciiTheme="minorHAnsi" w:eastAsiaTheme="minorEastAsia" w:hAnsiTheme="minorHAnsi" w:cstheme="minorBidi"/>
                <w:noProof/>
                <w:spacing w:val="0"/>
                <w:kern w:val="2"/>
                <w:sz w:val="22"/>
                <w:szCs w:val="22"/>
                <w:lang w:eastAsia="es-CO"/>
                <w14:ligatures w14:val="standardContextual"/>
              </w:rPr>
              <w:tab/>
            </w:r>
            <w:r w:rsidR="00853143" w:rsidRPr="00346AF4">
              <w:rPr>
                <w:rStyle w:val="Hipervnculo"/>
                <w:noProof/>
              </w:rPr>
              <w:t>PRELIQUIDACIÓN CONTRIBUCIÓN ESPECIAL</w:t>
            </w:r>
            <w:r w:rsidR="00853143">
              <w:rPr>
                <w:noProof/>
                <w:webHidden/>
              </w:rPr>
              <w:tab/>
            </w:r>
            <w:r w:rsidR="00853143">
              <w:rPr>
                <w:noProof/>
                <w:webHidden/>
              </w:rPr>
              <w:fldChar w:fldCharType="begin"/>
            </w:r>
            <w:r w:rsidR="00853143">
              <w:rPr>
                <w:noProof/>
                <w:webHidden/>
              </w:rPr>
              <w:instrText xml:space="preserve"> PAGEREF _Toc147154344 \h </w:instrText>
            </w:r>
            <w:r w:rsidR="00853143">
              <w:rPr>
                <w:noProof/>
                <w:webHidden/>
              </w:rPr>
            </w:r>
            <w:r w:rsidR="00853143">
              <w:rPr>
                <w:noProof/>
                <w:webHidden/>
              </w:rPr>
              <w:fldChar w:fldCharType="separate"/>
            </w:r>
            <w:r w:rsidR="00853143">
              <w:rPr>
                <w:noProof/>
                <w:webHidden/>
              </w:rPr>
              <w:t>99</w:t>
            </w:r>
            <w:r w:rsidR="00853143">
              <w:rPr>
                <w:noProof/>
                <w:webHidden/>
              </w:rPr>
              <w:fldChar w:fldCharType="end"/>
            </w:r>
          </w:hyperlink>
        </w:p>
        <w:p w14:paraId="7BEA57B7" w14:textId="4E72C898" w:rsidR="00853143" w:rsidRDefault="000D5E7E">
          <w:pPr>
            <w:pStyle w:val="TDC2"/>
            <w:tabs>
              <w:tab w:val="left" w:pos="800"/>
              <w:tab w:val="right" w:leader="dot" w:pos="9396"/>
            </w:tabs>
            <w:rPr>
              <w:rFonts w:asciiTheme="minorHAnsi" w:eastAsiaTheme="minorEastAsia" w:hAnsiTheme="minorHAnsi" w:cstheme="minorBidi"/>
              <w:noProof/>
              <w:spacing w:val="0"/>
              <w:kern w:val="2"/>
              <w:sz w:val="22"/>
              <w:szCs w:val="22"/>
              <w:lang w:eastAsia="es-CO"/>
              <w14:ligatures w14:val="standardContextual"/>
            </w:rPr>
          </w:pPr>
          <w:hyperlink w:anchor="_Toc147154345" w:history="1">
            <w:r w:rsidR="00853143" w:rsidRPr="00346AF4">
              <w:rPr>
                <w:rStyle w:val="Hipervnculo"/>
                <w:b/>
                <w:bCs/>
                <w:noProof/>
              </w:rPr>
              <w:t>12.1</w:t>
            </w:r>
            <w:r w:rsidR="00853143">
              <w:rPr>
                <w:rFonts w:asciiTheme="minorHAnsi" w:eastAsiaTheme="minorEastAsia" w:hAnsiTheme="minorHAnsi" w:cstheme="minorBidi"/>
                <w:noProof/>
                <w:spacing w:val="0"/>
                <w:kern w:val="2"/>
                <w:sz w:val="22"/>
                <w:szCs w:val="22"/>
                <w:lang w:eastAsia="es-CO"/>
                <w14:ligatures w14:val="standardContextual"/>
              </w:rPr>
              <w:tab/>
            </w:r>
            <w:r w:rsidR="00853143" w:rsidRPr="00346AF4">
              <w:rPr>
                <w:rStyle w:val="Hipervnculo"/>
                <w:b/>
                <w:bCs/>
                <w:noProof/>
              </w:rPr>
              <w:t>PLANTILLA ILUSTRATIVA DEPURACIÓN Y LIQUIDACIÓN CONTRIBUCIÓN ESPECIAL</w:t>
            </w:r>
            <w:r w:rsidR="00853143">
              <w:rPr>
                <w:noProof/>
                <w:webHidden/>
              </w:rPr>
              <w:tab/>
            </w:r>
            <w:r w:rsidR="00853143">
              <w:rPr>
                <w:noProof/>
                <w:webHidden/>
              </w:rPr>
              <w:fldChar w:fldCharType="begin"/>
            </w:r>
            <w:r w:rsidR="00853143">
              <w:rPr>
                <w:noProof/>
                <w:webHidden/>
              </w:rPr>
              <w:instrText xml:space="preserve"> PAGEREF _Toc147154345 \h </w:instrText>
            </w:r>
            <w:r w:rsidR="00853143">
              <w:rPr>
                <w:noProof/>
                <w:webHidden/>
              </w:rPr>
            </w:r>
            <w:r w:rsidR="00853143">
              <w:rPr>
                <w:noProof/>
                <w:webHidden/>
              </w:rPr>
              <w:fldChar w:fldCharType="separate"/>
            </w:r>
            <w:r w:rsidR="00853143">
              <w:rPr>
                <w:noProof/>
                <w:webHidden/>
              </w:rPr>
              <w:t>99</w:t>
            </w:r>
            <w:r w:rsidR="00853143">
              <w:rPr>
                <w:noProof/>
                <w:webHidden/>
              </w:rPr>
              <w:fldChar w:fldCharType="end"/>
            </w:r>
          </w:hyperlink>
        </w:p>
        <w:p w14:paraId="6833FCAB" w14:textId="70B651A1" w:rsidR="00853143" w:rsidRDefault="000D5E7E">
          <w:pPr>
            <w:pStyle w:val="TDC1"/>
            <w:tabs>
              <w:tab w:val="right" w:leader="dot" w:pos="9396"/>
            </w:tabs>
            <w:rPr>
              <w:rFonts w:asciiTheme="minorHAnsi" w:eastAsiaTheme="minorEastAsia" w:hAnsiTheme="minorHAnsi" w:cstheme="minorBidi"/>
              <w:noProof/>
              <w:spacing w:val="0"/>
              <w:kern w:val="2"/>
              <w:sz w:val="22"/>
              <w:szCs w:val="22"/>
              <w:lang w:eastAsia="es-CO"/>
              <w14:ligatures w14:val="standardContextual"/>
            </w:rPr>
          </w:pPr>
          <w:hyperlink w:anchor="_Toc147154346" w:history="1">
            <w:r w:rsidR="00853143" w:rsidRPr="00346AF4">
              <w:rPr>
                <w:rStyle w:val="Hipervnculo"/>
                <w:noProof/>
              </w:rPr>
              <w:t>GLOSARIO DE TÉRMINOS</w:t>
            </w:r>
            <w:r w:rsidR="00853143">
              <w:rPr>
                <w:noProof/>
                <w:webHidden/>
              </w:rPr>
              <w:tab/>
            </w:r>
            <w:r w:rsidR="00853143">
              <w:rPr>
                <w:noProof/>
                <w:webHidden/>
              </w:rPr>
              <w:fldChar w:fldCharType="begin"/>
            </w:r>
            <w:r w:rsidR="00853143">
              <w:rPr>
                <w:noProof/>
                <w:webHidden/>
              </w:rPr>
              <w:instrText xml:space="preserve"> PAGEREF _Toc147154346 \h </w:instrText>
            </w:r>
            <w:r w:rsidR="00853143">
              <w:rPr>
                <w:noProof/>
                <w:webHidden/>
              </w:rPr>
            </w:r>
            <w:r w:rsidR="00853143">
              <w:rPr>
                <w:noProof/>
                <w:webHidden/>
              </w:rPr>
              <w:fldChar w:fldCharType="separate"/>
            </w:r>
            <w:r w:rsidR="00853143">
              <w:rPr>
                <w:noProof/>
                <w:webHidden/>
              </w:rPr>
              <w:t>101</w:t>
            </w:r>
            <w:r w:rsidR="00853143">
              <w:rPr>
                <w:noProof/>
                <w:webHidden/>
              </w:rPr>
              <w:fldChar w:fldCharType="end"/>
            </w:r>
          </w:hyperlink>
        </w:p>
        <w:p w14:paraId="6D83999E" w14:textId="2D710942" w:rsidR="001E6912" w:rsidRPr="00621F8B" w:rsidRDefault="001E6912" w:rsidP="00D22441">
          <w:r w:rsidRPr="00621F8B">
            <w:rPr>
              <w:lang w:val="es-ES"/>
            </w:rPr>
            <w:fldChar w:fldCharType="end"/>
          </w:r>
        </w:p>
      </w:sdtContent>
    </w:sdt>
    <w:p w14:paraId="21095444" w14:textId="28E53117" w:rsidR="00C71A5F" w:rsidRDefault="00C71A5F" w:rsidP="00D22441">
      <w:pPr>
        <w:jc w:val="left"/>
        <w:rPr>
          <w:b/>
          <w:bCs/>
          <w:sz w:val="22"/>
          <w:szCs w:val="22"/>
        </w:rPr>
      </w:pPr>
      <w:r>
        <w:rPr>
          <w:b/>
          <w:bCs/>
          <w:sz w:val="22"/>
          <w:szCs w:val="22"/>
        </w:rPr>
        <w:br w:type="page"/>
      </w:r>
    </w:p>
    <w:p w14:paraId="2D1E7DE5" w14:textId="3E6E4FCB" w:rsidR="00BA2A4F" w:rsidRDefault="00BA2A4F" w:rsidP="00BA2A4F">
      <w:pPr>
        <w:pStyle w:val="Ttulo10"/>
        <w:tabs>
          <w:tab w:val="left" w:pos="2354"/>
          <w:tab w:val="center" w:pos="4503"/>
        </w:tabs>
        <w:spacing w:before="0" w:after="0"/>
        <w:ind w:left="360"/>
        <w:rPr>
          <w:sz w:val="22"/>
          <w:szCs w:val="22"/>
        </w:rPr>
      </w:pPr>
      <w:bookmarkStart w:id="0" w:name="_Toc147154284"/>
      <w:r>
        <w:rPr>
          <w:sz w:val="22"/>
          <w:szCs w:val="22"/>
        </w:rPr>
        <w:lastRenderedPageBreak/>
        <w:t>LISTA DE TABLAS</w:t>
      </w:r>
      <w:bookmarkEnd w:id="0"/>
    </w:p>
    <w:p w14:paraId="64F0D08A" w14:textId="1C876DCB" w:rsidR="00131933" w:rsidRDefault="00BF52CE" w:rsidP="00BA2A4F">
      <w:pPr>
        <w:pStyle w:val="Ttulo10"/>
        <w:tabs>
          <w:tab w:val="left" w:pos="2354"/>
          <w:tab w:val="center" w:pos="4503"/>
        </w:tabs>
        <w:spacing w:before="0" w:after="0"/>
        <w:jc w:val="both"/>
        <w:rPr>
          <w:sz w:val="22"/>
          <w:szCs w:val="22"/>
        </w:rPr>
      </w:pPr>
      <w:r w:rsidRPr="00131933">
        <w:rPr>
          <w:b w:val="0"/>
          <w:bCs w:val="0"/>
          <w:sz w:val="22"/>
          <w:szCs w:val="22"/>
        </w:rPr>
        <w:tab/>
      </w:r>
      <w:r w:rsidRPr="00131933">
        <w:rPr>
          <w:b w:val="0"/>
          <w:bCs w:val="0"/>
          <w:sz w:val="22"/>
          <w:szCs w:val="22"/>
        </w:rPr>
        <w:tab/>
      </w:r>
      <w:r w:rsidRPr="00131933">
        <w:rPr>
          <w:b w:val="0"/>
          <w:bCs w:val="0"/>
          <w:sz w:val="22"/>
          <w:szCs w:val="22"/>
        </w:rPr>
        <w:tab/>
      </w:r>
      <w:r w:rsidRPr="00131933">
        <w:rPr>
          <w:b w:val="0"/>
          <w:bCs w:val="0"/>
          <w:sz w:val="22"/>
          <w:szCs w:val="22"/>
        </w:rPr>
        <w:tab/>
      </w:r>
      <w:r w:rsidRPr="00131933">
        <w:rPr>
          <w:b w:val="0"/>
          <w:bCs w:val="0"/>
          <w:sz w:val="22"/>
          <w:szCs w:val="22"/>
        </w:rPr>
        <w:tab/>
      </w:r>
      <w:r w:rsidRPr="00131933">
        <w:rPr>
          <w:b w:val="0"/>
          <w:bCs w:val="0"/>
          <w:sz w:val="22"/>
          <w:szCs w:val="22"/>
        </w:rPr>
        <w:tab/>
      </w:r>
      <w:r w:rsidRPr="00131933">
        <w:rPr>
          <w:b w:val="0"/>
          <w:bCs w:val="0"/>
          <w:sz w:val="22"/>
          <w:szCs w:val="22"/>
        </w:rPr>
        <w:tab/>
      </w:r>
      <w:r w:rsidRPr="00131933">
        <w:rPr>
          <w:b w:val="0"/>
          <w:bCs w:val="0"/>
          <w:sz w:val="22"/>
          <w:szCs w:val="22"/>
        </w:rPr>
        <w:tab/>
      </w:r>
      <w:r w:rsidR="00131933" w:rsidRPr="00131933">
        <w:rPr>
          <w:b w:val="0"/>
          <w:bCs w:val="0"/>
          <w:sz w:val="22"/>
          <w:szCs w:val="22"/>
        </w:rPr>
        <w:t xml:space="preserve">         </w:t>
      </w:r>
    </w:p>
    <w:p w14:paraId="1F590396" w14:textId="6D356C88" w:rsidR="00C1416E" w:rsidRDefault="00BA2A4F">
      <w:pPr>
        <w:pStyle w:val="Tabladeilustraciones"/>
        <w:tabs>
          <w:tab w:val="right" w:leader="dot" w:pos="9396"/>
        </w:tabs>
        <w:rPr>
          <w:rFonts w:asciiTheme="minorHAnsi" w:eastAsiaTheme="minorEastAsia" w:hAnsiTheme="minorHAnsi" w:cstheme="minorBidi"/>
          <w:noProof/>
          <w:spacing w:val="0"/>
          <w:kern w:val="2"/>
          <w:sz w:val="22"/>
          <w:szCs w:val="22"/>
          <w:lang w:eastAsia="es-CO"/>
          <w14:ligatures w14:val="standardContextual"/>
        </w:rPr>
      </w:pPr>
      <w:r>
        <w:rPr>
          <w:sz w:val="22"/>
          <w:szCs w:val="22"/>
        </w:rPr>
        <w:fldChar w:fldCharType="begin"/>
      </w:r>
      <w:r>
        <w:rPr>
          <w:sz w:val="22"/>
          <w:szCs w:val="22"/>
        </w:rPr>
        <w:instrText xml:space="preserve"> TOC \h \z \c "Tabla" </w:instrText>
      </w:r>
      <w:r>
        <w:rPr>
          <w:sz w:val="22"/>
          <w:szCs w:val="22"/>
        </w:rPr>
        <w:fldChar w:fldCharType="separate"/>
      </w:r>
      <w:hyperlink w:anchor="_Toc145486427" w:history="1">
        <w:r w:rsidR="00C1416E" w:rsidRPr="00AF430C">
          <w:rPr>
            <w:rStyle w:val="Hipervnculo"/>
            <w:noProof/>
          </w:rPr>
          <w:t>Tabla 1. Estructura metodológica base gravable.</w:t>
        </w:r>
        <w:r w:rsidR="00C1416E">
          <w:rPr>
            <w:noProof/>
            <w:webHidden/>
          </w:rPr>
          <w:tab/>
        </w:r>
        <w:r w:rsidR="00C1416E">
          <w:rPr>
            <w:noProof/>
            <w:webHidden/>
          </w:rPr>
          <w:fldChar w:fldCharType="begin"/>
        </w:r>
        <w:r w:rsidR="00C1416E">
          <w:rPr>
            <w:noProof/>
            <w:webHidden/>
          </w:rPr>
          <w:instrText xml:space="preserve"> PAGEREF _Toc145486427 \h </w:instrText>
        </w:r>
        <w:r w:rsidR="00C1416E">
          <w:rPr>
            <w:noProof/>
            <w:webHidden/>
          </w:rPr>
        </w:r>
        <w:r w:rsidR="00C1416E">
          <w:rPr>
            <w:noProof/>
            <w:webHidden/>
          </w:rPr>
          <w:fldChar w:fldCharType="separate"/>
        </w:r>
        <w:r w:rsidR="00C1416E">
          <w:rPr>
            <w:noProof/>
            <w:webHidden/>
          </w:rPr>
          <w:t>11</w:t>
        </w:r>
        <w:r w:rsidR="00C1416E">
          <w:rPr>
            <w:noProof/>
            <w:webHidden/>
          </w:rPr>
          <w:fldChar w:fldCharType="end"/>
        </w:r>
      </w:hyperlink>
    </w:p>
    <w:p w14:paraId="34EB64D1" w14:textId="21D9EED5" w:rsidR="00C1416E" w:rsidRDefault="000D5E7E">
      <w:pPr>
        <w:pStyle w:val="Tabladeilustraciones"/>
        <w:tabs>
          <w:tab w:val="right" w:leader="dot" w:pos="9396"/>
        </w:tabs>
        <w:rPr>
          <w:rFonts w:asciiTheme="minorHAnsi" w:eastAsiaTheme="minorEastAsia" w:hAnsiTheme="minorHAnsi" w:cstheme="minorBidi"/>
          <w:noProof/>
          <w:spacing w:val="0"/>
          <w:kern w:val="2"/>
          <w:sz w:val="22"/>
          <w:szCs w:val="22"/>
          <w:lang w:eastAsia="es-CO"/>
          <w14:ligatures w14:val="standardContextual"/>
        </w:rPr>
      </w:pPr>
      <w:hyperlink w:anchor="_Toc145486428" w:history="1">
        <w:r w:rsidR="00C1416E" w:rsidRPr="00AF430C">
          <w:rPr>
            <w:rStyle w:val="Hipervnculo"/>
            <w:noProof/>
          </w:rPr>
          <w:t>Tabla 2. Porción de gastos operativos adicionados a la base gravable.</w:t>
        </w:r>
        <w:r w:rsidR="00C1416E">
          <w:rPr>
            <w:noProof/>
            <w:webHidden/>
          </w:rPr>
          <w:tab/>
        </w:r>
        <w:r w:rsidR="00C1416E">
          <w:rPr>
            <w:noProof/>
            <w:webHidden/>
          </w:rPr>
          <w:fldChar w:fldCharType="begin"/>
        </w:r>
        <w:r w:rsidR="00C1416E">
          <w:rPr>
            <w:noProof/>
            <w:webHidden/>
          </w:rPr>
          <w:instrText xml:space="preserve"> PAGEREF _Toc145486428 \h </w:instrText>
        </w:r>
        <w:r w:rsidR="00C1416E">
          <w:rPr>
            <w:noProof/>
            <w:webHidden/>
          </w:rPr>
        </w:r>
        <w:r w:rsidR="00C1416E">
          <w:rPr>
            <w:noProof/>
            <w:webHidden/>
          </w:rPr>
          <w:fldChar w:fldCharType="separate"/>
        </w:r>
        <w:r w:rsidR="00C1416E">
          <w:rPr>
            <w:noProof/>
            <w:webHidden/>
          </w:rPr>
          <w:t>12</w:t>
        </w:r>
        <w:r w:rsidR="00C1416E">
          <w:rPr>
            <w:noProof/>
            <w:webHidden/>
          </w:rPr>
          <w:fldChar w:fldCharType="end"/>
        </w:r>
      </w:hyperlink>
    </w:p>
    <w:p w14:paraId="45876730" w14:textId="6915207A" w:rsidR="00C1416E" w:rsidRDefault="000D5E7E">
      <w:pPr>
        <w:pStyle w:val="Tabladeilustraciones"/>
        <w:tabs>
          <w:tab w:val="right" w:leader="dot" w:pos="9396"/>
        </w:tabs>
        <w:rPr>
          <w:rFonts w:asciiTheme="minorHAnsi" w:eastAsiaTheme="minorEastAsia" w:hAnsiTheme="minorHAnsi" w:cstheme="minorBidi"/>
          <w:noProof/>
          <w:spacing w:val="0"/>
          <w:kern w:val="2"/>
          <w:sz w:val="22"/>
          <w:szCs w:val="22"/>
          <w:lang w:eastAsia="es-CO"/>
          <w14:ligatures w14:val="standardContextual"/>
        </w:rPr>
      </w:pPr>
      <w:hyperlink w:anchor="_Toc145486429" w:history="1">
        <w:r w:rsidR="00C1416E" w:rsidRPr="00AF430C">
          <w:rPr>
            <w:rStyle w:val="Hipervnculo"/>
            <w:noProof/>
          </w:rPr>
          <w:t>Tabla 3. Exclusiones de gastos de funcionamiento.</w:t>
        </w:r>
        <w:r w:rsidR="00C1416E">
          <w:rPr>
            <w:noProof/>
            <w:webHidden/>
          </w:rPr>
          <w:tab/>
        </w:r>
        <w:r w:rsidR="00C1416E">
          <w:rPr>
            <w:noProof/>
            <w:webHidden/>
          </w:rPr>
          <w:fldChar w:fldCharType="begin"/>
        </w:r>
        <w:r w:rsidR="00C1416E">
          <w:rPr>
            <w:noProof/>
            <w:webHidden/>
          </w:rPr>
          <w:instrText xml:space="preserve"> PAGEREF _Toc145486429 \h </w:instrText>
        </w:r>
        <w:r w:rsidR="00C1416E">
          <w:rPr>
            <w:noProof/>
            <w:webHidden/>
          </w:rPr>
        </w:r>
        <w:r w:rsidR="00C1416E">
          <w:rPr>
            <w:noProof/>
            <w:webHidden/>
          </w:rPr>
          <w:fldChar w:fldCharType="separate"/>
        </w:r>
        <w:r w:rsidR="00C1416E">
          <w:rPr>
            <w:noProof/>
            <w:webHidden/>
          </w:rPr>
          <w:t>13</w:t>
        </w:r>
        <w:r w:rsidR="00C1416E">
          <w:rPr>
            <w:noProof/>
            <w:webHidden/>
          </w:rPr>
          <w:fldChar w:fldCharType="end"/>
        </w:r>
      </w:hyperlink>
    </w:p>
    <w:p w14:paraId="768E7E4A" w14:textId="31708650" w:rsidR="00C1416E" w:rsidRDefault="000D5E7E">
      <w:pPr>
        <w:pStyle w:val="Tabladeilustraciones"/>
        <w:tabs>
          <w:tab w:val="right" w:leader="dot" w:pos="9396"/>
        </w:tabs>
        <w:rPr>
          <w:rFonts w:asciiTheme="minorHAnsi" w:eastAsiaTheme="minorEastAsia" w:hAnsiTheme="minorHAnsi" w:cstheme="minorBidi"/>
          <w:noProof/>
          <w:spacing w:val="0"/>
          <w:kern w:val="2"/>
          <w:sz w:val="22"/>
          <w:szCs w:val="22"/>
          <w:lang w:eastAsia="es-CO"/>
          <w14:ligatures w14:val="standardContextual"/>
        </w:rPr>
      </w:pPr>
      <w:hyperlink w:anchor="_Toc145486430" w:history="1">
        <w:r w:rsidR="00C1416E" w:rsidRPr="00AF430C">
          <w:rPr>
            <w:rStyle w:val="Hipervnculo"/>
            <w:noProof/>
          </w:rPr>
          <w:t>Tabla 4. Información financiera 2022 reportada al SUI – SSPD:</w:t>
        </w:r>
        <w:r w:rsidR="00C1416E">
          <w:rPr>
            <w:noProof/>
            <w:webHidden/>
          </w:rPr>
          <w:tab/>
        </w:r>
        <w:r w:rsidR="00C1416E">
          <w:rPr>
            <w:noProof/>
            <w:webHidden/>
          </w:rPr>
          <w:fldChar w:fldCharType="begin"/>
        </w:r>
        <w:r w:rsidR="00C1416E">
          <w:rPr>
            <w:noProof/>
            <w:webHidden/>
          </w:rPr>
          <w:instrText xml:space="preserve"> PAGEREF _Toc145486430 \h </w:instrText>
        </w:r>
        <w:r w:rsidR="00C1416E">
          <w:rPr>
            <w:noProof/>
            <w:webHidden/>
          </w:rPr>
        </w:r>
        <w:r w:rsidR="00C1416E">
          <w:rPr>
            <w:noProof/>
            <w:webHidden/>
          </w:rPr>
          <w:fldChar w:fldCharType="separate"/>
        </w:r>
        <w:r w:rsidR="00C1416E">
          <w:rPr>
            <w:noProof/>
            <w:webHidden/>
          </w:rPr>
          <w:t>13</w:t>
        </w:r>
        <w:r w:rsidR="00C1416E">
          <w:rPr>
            <w:noProof/>
            <w:webHidden/>
          </w:rPr>
          <w:fldChar w:fldCharType="end"/>
        </w:r>
      </w:hyperlink>
    </w:p>
    <w:p w14:paraId="538FE5A0" w14:textId="7ED2475D" w:rsidR="00C1416E" w:rsidRDefault="000D5E7E">
      <w:pPr>
        <w:pStyle w:val="Tabladeilustraciones"/>
        <w:tabs>
          <w:tab w:val="right" w:leader="dot" w:pos="9396"/>
        </w:tabs>
        <w:rPr>
          <w:rFonts w:asciiTheme="minorHAnsi" w:eastAsiaTheme="minorEastAsia" w:hAnsiTheme="minorHAnsi" w:cstheme="minorBidi"/>
          <w:noProof/>
          <w:spacing w:val="0"/>
          <w:kern w:val="2"/>
          <w:sz w:val="22"/>
          <w:szCs w:val="22"/>
          <w:lang w:eastAsia="es-CO"/>
          <w14:ligatures w14:val="standardContextual"/>
        </w:rPr>
      </w:pPr>
      <w:hyperlink w:anchor="_Toc145486431" w:history="1">
        <w:r w:rsidR="00C1416E" w:rsidRPr="00AF430C">
          <w:rPr>
            <w:rStyle w:val="Hipervnculo"/>
            <w:noProof/>
          </w:rPr>
          <w:t>Tabla 5. Presupuesto detallado CREG para la vigencia 2023.</w:t>
        </w:r>
        <w:r w:rsidR="00C1416E">
          <w:rPr>
            <w:noProof/>
            <w:webHidden/>
          </w:rPr>
          <w:tab/>
        </w:r>
        <w:r w:rsidR="00C1416E">
          <w:rPr>
            <w:noProof/>
            <w:webHidden/>
          </w:rPr>
          <w:fldChar w:fldCharType="begin"/>
        </w:r>
        <w:r w:rsidR="00C1416E">
          <w:rPr>
            <w:noProof/>
            <w:webHidden/>
          </w:rPr>
          <w:instrText xml:space="preserve"> PAGEREF _Toc145486431 \h </w:instrText>
        </w:r>
        <w:r w:rsidR="00C1416E">
          <w:rPr>
            <w:noProof/>
            <w:webHidden/>
          </w:rPr>
        </w:r>
        <w:r w:rsidR="00C1416E">
          <w:rPr>
            <w:noProof/>
            <w:webHidden/>
          </w:rPr>
          <w:fldChar w:fldCharType="separate"/>
        </w:r>
        <w:r w:rsidR="00C1416E">
          <w:rPr>
            <w:noProof/>
            <w:webHidden/>
          </w:rPr>
          <w:t>15</w:t>
        </w:r>
        <w:r w:rsidR="00C1416E">
          <w:rPr>
            <w:noProof/>
            <w:webHidden/>
          </w:rPr>
          <w:fldChar w:fldCharType="end"/>
        </w:r>
      </w:hyperlink>
    </w:p>
    <w:p w14:paraId="526917FF" w14:textId="7367AC2E" w:rsidR="00C1416E" w:rsidRDefault="000D5E7E">
      <w:pPr>
        <w:pStyle w:val="Tabladeilustraciones"/>
        <w:tabs>
          <w:tab w:val="right" w:leader="dot" w:pos="9396"/>
        </w:tabs>
        <w:rPr>
          <w:rFonts w:asciiTheme="minorHAnsi" w:eastAsiaTheme="minorEastAsia" w:hAnsiTheme="minorHAnsi" w:cstheme="minorBidi"/>
          <w:noProof/>
          <w:spacing w:val="0"/>
          <w:kern w:val="2"/>
          <w:sz w:val="22"/>
          <w:szCs w:val="22"/>
          <w:lang w:eastAsia="es-CO"/>
          <w14:ligatures w14:val="standardContextual"/>
        </w:rPr>
      </w:pPr>
      <w:hyperlink w:anchor="_Toc145486432" w:history="1">
        <w:r w:rsidR="00C1416E" w:rsidRPr="00AF430C">
          <w:rPr>
            <w:rStyle w:val="Hipervnculo"/>
            <w:noProof/>
          </w:rPr>
          <w:t>Tabla 6. Presupuesto CREG a recuperar con la contribución especial 2023.</w:t>
        </w:r>
        <w:r w:rsidR="00C1416E">
          <w:rPr>
            <w:noProof/>
            <w:webHidden/>
          </w:rPr>
          <w:tab/>
        </w:r>
        <w:r w:rsidR="00C1416E">
          <w:rPr>
            <w:noProof/>
            <w:webHidden/>
          </w:rPr>
          <w:fldChar w:fldCharType="begin"/>
        </w:r>
        <w:r w:rsidR="00C1416E">
          <w:rPr>
            <w:noProof/>
            <w:webHidden/>
          </w:rPr>
          <w:instrText xml:space="preserve"> PAGEREF _Toc145486432 \h </w:instrText>
        </w:r>
        <w:r w:rsidR="00C1416E">
          <w:rPr>
            <w:noProof/>
            <w:webHidden/>
          </w:rPr>
        </w:r>
        <w:r w:rsidR="00C1416E">
          <w:rPr>
            <w:noProof/>
            <w:webHidden/>
          </w:rPr>
          <w:fldChar w:fldCharType="separate"/>
        </w:r>
        <w:r w:rsidR="00C1416E">
          <w:rPr>
            <w:noProof/>
            <w:webHidden/>
          </w:rPr>
          <w:t>17</w:t>
        </w:r>
        <w:r w:rsidR="00C1416E">
          <w:rPr>
            <w:noProof/>
            <w:webHidden/>
          </w:rPr>
          <w:fldChar w:fldCharType="end"/>
        </w:r>
      </w:hyperlink>
    </w:p>
    <w:p w14:paraId="24CA688E" w14:textId="7B3F6BCA" w:rsidR="00C1416E" w:rsidRDefault="000D5E7E">
      <w:pPr>
        <w:pStyle w:val="Tabladeilustraciones"/>
        <w:tabs>
          <w:tab w:val="right" w:leader="dot" w:pos="9396"/>
        </w:tabs>
        <w:rPr>
          <w:rFonts w:asciiTheme="minorHAnsi" w:eastAsiaTheme="minorEastAsia" w:hAnsiTheme="minorHAnsi" w:cstheme="minorBidi"/>
          <w:noProof/>
          <w:spacing w:val="0"/>
          <w:kern w:val="2"/>
          <w:sz w:val="22"/>
          <w:szCs w:val="22"/>
          <w:lang w:eastAsia="es-CO"/>
          <w14:ligatures w14:val="standardContextual"/>
        </w:rPr>
      </w:pPr>
      <w:hyperlink w:anchor="_Toc145486433" w:history="1">
        <w:r w:rsidR="00C1416E" w:rsidRPr="00AF430C">
          <w:rPr>
            <w:rStyle w:val="Hipervnculo"/>
            <w:noProof/>
          </w:rPr>
          <w:t>Tabla 7. Evolución histórica de la contribución especial 2012-2023.</w:t>
        </w:r>
        <w:r w:rsidR="00C1416E">
          <w:rPr>
            <w:noProof/>
            <w:webHidden/>
          </w:rPr>
          <w:tab/>
        </w:r>
        <w:r w:rsidR="00C1416E">
          <w:rPr>
            <w:noProof/>
            <w:webHidden/>
          </w:rPr>
          <w:fldChar w:fldCharType="begin"/>
        </w:r>
        <w:r w:rsidR="00C1416E">
          <w:rPr>
            <w:noProof/>
            <w:webHidden/>
          </w:rPr>
          <w:instrText xml:space="preserve"> PAGEREF _Toc145486433 \h </w:instrText>
        </w:r>
        <w:r w:rsidR="00C1416E">
          <w:rPr>
            <w:noProof/>
            <w:webHidden/>
          </w:rPr>
        </w:r>
        <w:r w:rsidR="00C1416E">
          <w:rPr>
            <w:noProof/>
            <w:webHidden/>
          </w:rPr>
          <w:fldChar w:fldCharType="separate"/>
        </w:r>
        <w:r w:rsidR="00C1416E">
          <w:rPr>
            <w:noProof/>
            <w:webHidden/>
          </w:rPr>
          <w:t>24</w:t>
        </w:r>
        <w:r w:rsidR="00C1416E">
          <w:rPr>
            <w:noProof/>
            <w:webHidden/>
          </w:rPr>
          <w:fldChar w:fldCharType="end"/>
        </w:r>
      </w:hyperlink>
    </w:p>
    <w:p w14:paraId="0419DE0A" w14:textId="5F94E171" w:rsidR="00C1416E" w:rsidRDefault="000D5E7E">
      <w:pPr>
        <w:pStyle w:val="Tabladeilustraciones"/>
        <w:tabs>
          <w:tab w:val="right" w:leader="dot" w:pos="9396"/>
        </w:tabs>
        <w:rPr>
          <w:rFonts w:asciiTheme="minorHAnsi" w:eastAsiaTheme="minorEastAsia" w:hAnsiTheme="minorHAnsi" w:cstheme="minorBidi"/>
          <w:noProof/>
          <w:spacing w:val="0"/>
          <w:kern w:val="2"/>
          <w:sz w:val="22"/>
          <w:szCs w:val="22"/>
          <w:lang w:eastAsia="es-CO"/>
          <w14:ligatures w14:val="standardContextual"/>
        </w:rPr>
      </w:pPr>
      <w:hyperlink w:anchor="_Toc145486434" w:history="1">
        <w:r w:rsidR="00C1416E" w:rsidRPr="00AF430C">
          <w:rPr>
            <w:rStyle w:val="Hipervnculo"/>
            <w:noProof/>
          </w:rPr>
          <w:t>Tabla 8. Regulados no censados SSPD para la contribución 2023.</w:t>
        </w:r>
        <w:r w:rsidR="00C1416E">
          <w:rPr>
            <w:noProof/>
            <w:webHidden/>
          </w:rPr>
          <w:tab/>
        </w:r>
        <w:r w:rsidR="00C1416E">
          <w:rPr>
            <w:noProof/>
            <w:webHidden/>
          </w:rPr>
          <w:fldChar w:fldCharType="begin"/>
        </w:r>
        <w:r w:rsidR="00C1416E">
          <w:rPr>
            <w:noProof/>
            <w:webHidden/>
          </w:rPr>
          <w:instrText xml:space="preserve"> PAGEREF _Toc145486434 \h </w:instrText>
        </w:r>
        <w:r w:rsidR="00C1416E">
          <w:rPr>
            <w:noProof/>
            <w:webHidden/>
          </w:rPr>
        </w:r>
        <w:r w:rsidR="00C1416E">
          <w:rPr>
            <w:noProof/>
            <w:webHidden/>
          </w:rPr>
          <w:fldChar w:fldCharType="separate"/>
        </w:r>
        <w:r w:rsidR="00C1416E">
          <w:rPr>
            <w:noProof/>
            <w:webHidden/>
          </w:rPr>
          <w:t>25</w:t>
        </w:r>
        <w:r w:rsidR="00C1416E">
          <w:rPr>
            <w:noProof/>
            <w:webHidden/>
          </w:rPr>
          <w:fldChar w:fldCharType="end"/>
        </w:r>
      </w:hyperlink>
    </w:p>
    <w:p w14:paraId="6F67DFED" w14:textId="37C72D1C" w:rsidR="00C1416E" w:rsidRDefault="000D5E7E">
      <w:pPr>
        <w:pStyle w:val="Tabladeilustraciones"/>
        <w:tabs>
          <w:tab w:val="right" w:leader="dot" w:pos="9396"/>
        </w:tabs>
        <w:rPr>
          <w:rFonts w:asciiTheme="minorHAnsi" w:eastAsiaTheme="minorEastAsia" w:hAnsiTheme="minorHAnsi" w:cstheme="minorBidi"/>
          <w:noProof/>
          <w:spacing w:val="0"/>
          <w:kern w:val="2"/>
          <w:sz w:val="22"/>
          <w:szCs w:val="22"/>
          <w:lang w:eastAsia="es-CO"/>
          <w14:ligatures w14:val="standardContextual"/>
        </w:rPr>
      </w:pPr>
      <w:hyperlink w:anchor="_Toc145486435" w:history="1">
        <w:r w:rsidR="00C1416E" w:rsidRPr="00AF430C">
          <w:rPr>
            <w:rStyle w:val="Hipervnculo"/>
            <w:noProof/>
          </w:rPr>
          <w:t>Tabla 9. Censo regulados CREG contribución especial 2023.</w:t>
        </w:r>
        <w:r w:rsidR="00C1416E">
          <w:rPr>
            <w:noProof/>
            <w:webHidden/>
          </w:rPr>
          <w:tab/>
        </w:r>
        <w:r w:rsidR="00C1416E">
          <w:rPr>
            <w:noProof/>
            <w:webHidden/>
          </w:rPr>
          <w:fldChar w:fldCharType="begin"/>
        </w:r>
        <w:r w:rsidR="00C1416E">
          <w:rPr>
            <w:noProof/>
            <w:webHidden/>
          </w:rPr>
          <w:instrText xml:space="preserve"> PAGEREF _Toc145486435 \h </w:instrText>
        </w:r>
        <w:r w:rsidR="00C1416E">
          <w:rPr>
            <w:noProof/>
            <w:webHidden/>
          </w:rPr>
        </w:r>
        <w:r w:rsidR="00C1416E">
          <w:rPr>
            <w:noProof/>
            <w:webHidden/>
          </w:rPr>
          <w:fldChar w:fldCharType="separate"/>
        </w:r>
        <w:r w:rsidR="00C1416E">
          <w:rPr>
            <w:noProof/>
            <w:webHidden/>
          </w:rPr>
          <w:t>26</w:t>
        </w:r>
        <w:r w:rsidR="00C1416E">
          <w:rPr>
            <w:noProof/>
            <w:webHidden/>
          </w:rPr>
          <w:fldChar w:fldCharType="end"/>
        </w:r>
      </w:hyperlink>
    </w:p>
    <w:p w14:paraId="7F066D12" w14:textId="66FBD358" w:rsidR="00C1416E" w:rsidRDefault="000D5E7E">
      <w:pPr>
        <w:pStyle w:val="Tabladeilustraciones"/>
        <w:tabs>
          <w:tab w:val="right" w:leader="dot" w:pos="9396"/>
        </w:tabs>
        <w:rPr>
          <w:rFonts w:asciiTheme="minorHAnsi" w:eastAsiaTheme="minorEastAsia" w:hAnsiTheme="minorHAnsi" w:cstheme="minorBidi"/>
          <w:noProof/>
          <w:spacing w:val="0"/>
          <w:kern w:val="2"/>
          <w:sz w:val="22"/>
          <w:szCs w:val="22"/>
          <w:lang w:eastAsia="es-CO"/>
          <w14:ligatures w14:val="standardContextual"/>
        </w:rPr>
      </w:pPr>
      <w:hyperlink w:anchor="_Toc145486436" w:history="1">
        <w:r w:rsidR="00C1416E" w:rsidRPr="00AF430C">
          <w:rPr>
            <w:rStyle w:val="Hipervnculo"/>
            <w:noProof/>
          </w:rPr>
          <w:t>Tabla 10. Estado reporte al SUI regulados contribuyentes CREG 2023.</w:t>
        </w:r>
        <w:r w:rsidR="00C1416E">
          <w:rPr>
            <w:noProof/>
            <w:webHidden/>
          </w:rPr>
          <w:tab/>
        </w:r>
        <w:r w:rsidR="00C1416E">
          <w:rPr>
            <w:noProof/>
            <w:webHidden/>
          </w:rPr>
          <w:fldChar w:fldCharType="begin"/>
        </w:r>
        <w:r w:rsidR="00C1416E">
          <w:rPr>
            <w:noProof/>
            <w:webHidden/>
          </w:rPr>
          <w:instrText xml:space="preserve"> PAGEREF _Toc145486436 \h </w:instrText>
        </w:r>
        <w:r w:rsidR="00C1416E">
          <w:rPr>
            <w:noProof/>
            <w:webHidden/>
          </w:rPr>
        </w:r>
        <w:r w:rsidR="00C1416E">
          <w:rPr>
            <w:noProof/>
            <w:webHidden/>
          </w:rPr>
          <w:fldChar w:fldCharType="separate"/>
        </w:r>
        <w:r w:rsidR="00C1416E">
          <w:rPr>
            <w:noProof/>
            <w:webHidden/>
          </w:rPr>
          <w:t>26</w:t>
        </w:r>
        <w:r w:rsidR="00C1416E">
          <w:rPr>
            <w:noProof/>
            <w:webHidden/>
          </w:rPr>
          <w:fldChar w:fldCharType="end"/>
        </w:r>
      </w:hyperlink>
    </w:p>
    <w:p w14:paraId="349353FC" w14:textId="5F66DD6C" w:rsidR="00C1416E" w:rsidRDefault="000D5E7E">
      <w:pPr>
        <w:pStyle w:val="Tabladeilustraciones"/>
        <w:tabs>
          <w:tab w:val="right" w:leader="dot" w:pos="9396"/>
        </w:tabs>
        <w:rPr>
          <w:rFonts w:asciiTheme="minorHAnsi" w:eastAsiaTheme="minorEastAsia" w:hAnsiTheme="minorHAnsi" w:cstheme="minorBidi"/>
          <w:noProof/>
          <w:spacing w:val="0"/>
          <w:kern w:val="2"/>
          <w:sz w:val="22"/>
          <w:szCs w:val="22"/>
          <w:lang w:eastAsia="es-CO"/>
          <w14:ligatures w14:val="standardContextual"/>
        </w:rPr>
      </w:pPr>
      <w:hyperlink w:anchor="_Toc145486437" w:history="1">
        <w:r w:rsidR="00C1416E" w:rsidRPr="00AF430C">
          <w:rPr>
            <w:rStyle w:val="Hipervnculo"/>
            <w:noProof/>
          </w:rPr>
          <w:t>Tabla 11. Prestadores censo 2023 en proceso de liquidación o cancelación RUPS.</w:t>
        </w:r>
        <w:r w:rsidR="00C1416E">
          <w:rPr>
            <w:noProof/>
            <w:webHidden/>
          </w:rPr>
          <w:tab/>
        </w:r>
        <w:r w:rsidR="00C1416E">
          <w:rPr>
            <w:noProof/>
            <w:webHidden/>
          </w:rPr>
          <w:fldChar w:fldCharType="begin"/>
        </w:r>
        <w:r w:rsidR="00C1416E">
          <w:rPr>
            <w:noProof/>
            <w:webHidden/>
          </w:rPr>
          <w:instrText xml:space="preserve"> PAGEREF _Toc145486437 \h </w:instrText>
        </w:r>
        <w:r w:rsidR="00C1416E">
          <w:rPr>
            <w:noProof/>
            <w:webHidden/>
          </w:rPr>
        </w:r>
        <w:r w:rsidR="00C1416E">
          <w:rPr>
            <w:noProof/>
            <w:webHidden/>
          </w:rPr>
          <w:fldChar w:fldCharType="separate"/>
        </w:r>
        <w:r w:rsidR="00C1416E">
          <w:rPr>
            <w:noProof/>
            <w:webHidden/>
          </w:rPr>
          <w:t>27</w:t>
        </w:r>
        <w:r w:rsidR="00C1416E">
          <w:rPr>
            <w:noProof/>
            <w:webHidden/>
          </w:rPr>
          <w:fldChar w:fldCharType="end"/>
        </w:r>
      </w:hyperlink>
    </w:p>
    <w:p w14:paraId="1309BB8C" w14:textId="551E76D3" w:rsidR="00C1416E" w:rsidRDefault="000D5E7E">
      <w:pPr>
        <w:pStyle w:val="Tabladeilustraciones"/>
        <w:tabs>
          <w:tab w:val="right" w:leader="dot" w:pos="9396"/>
        </w:tabs>
        <w:rPr>
          <w:rFonts w:asciiTheme="minorHAnsi" w:eastAsiaTheme="minorEastAsia" w:hAnsiTheme="minorHAnsi" w:cstheme="minorBidi"/>
          <w:noProof/>
          <w:spacing w:val="0"/>
          <w:kern w:val="2"/>
          <w:sz w:val="22"/>
          <w:szCs w:val="22"/>
          <w:lang w:eastAsia="es-CO"/>
          <w14:ligatures w14:val="standardContextual"/>
        </w:rPr>
      </w:pPr>
      <w:hyperlink w:anchor="_Toc145486438" w:history="1">
        <w:r w:rsidR="00C1416E" w:rsidRPr="00AF430C">
          <w:rPr>
            <w:rStyle w:val="Hipervnculo"/>
            <w:noProof/>
          </w:rPr>
          <w:t>Tabla 12. Estado de reporte SUI información financiera 2022 prestadores servicio de energía eléctrica.</w:t>
        </w:r>
        <w:r w:rsidR="00C1416E">
          <w:rPr>
            <w:noProof/>
            <w:webHidden/>
          </w:rPr>
          <w:tab/>
        </w:r>
        <w:r w:rsidR="00C1416E">
          <w:rPr>
            <w:noProof/>
            <w:webHidden/>
          </w:rPr>
          <w:fldChar w:fldCharType="begin"/>
        </w:r>
        <w:r w:rsidR="00C1416E">
          <w:rPr>
            <w:noProof/>
            <w:webHidden/>
          </w:rPr>
          <w:instrText xml:space="preserve"> PAGEREF _Toc145486438 \h </w:instrText>
        </w:r>
        <w:r w:rsidR="00C1416E">
          <w:rPr>
            <w:noProof/>
            <w:webHidden/>
          </w:rPr>
        </w:r>
        <w:r w:rsidR="00C1416E">
          <w:rPr>
            <w:noProof/>
            <w:webHidden/>
          </w:rPr>
          <w:fldChar w:fldCharType="separate"/>
        </w:r>
        <w:r w:rsidR="00C1416E">
          <w:rPr>
            <w:noProof/>
            <w:webHidden/>
          </w:rPr>
          <w:t>27</w:t>
        </w:r>
        <w:r w:rsidR="00C1416E">
          <w:rPr>
            <w:noProof/>
            <w:webHidden/>
          </w:rPr>
          <w:fldChar w:fldCharType="end"/>
        </w:r>
      </w:hyperlink>
    </w:p>
    <w:p w14:paraId="776CAAE5" w14:textId="16A8C160" w:rsidR="00C1416E" w:rsidRDefault="000D5E7E">
      <w:pPr>
        <w:pStyle w:val="Tabladeilustraciones"/>
        <w:tabs>
          <w:tab w:val="right" w:leader="dot" w:pos="9396"/>
        </w:tabs>
        <w:rPr>
          <w:rFonts w:asciiTheme="minorHAnsi" w:eastAsiaTheme="minorEastAsia" w:hAnsiTheme="minorHAnsi" w:cstheme="minorBidi"/>
          <w:noProof/>
          <w:spacing w:val="0"/>
          <w:kern w:val="2"/>
          <w:sz w:val="22"/>
          <w:szCs w:val="22"/>
          <w:lang w:eastAsia="es-CO"/>
          <w14:ligatures w14:val="standardContextual"/>
        </w:rPr>
      </w:pPr>
      <w:hyperlink w:anchor="_Toc145486439" w:history="1">
        <w:r w:rsidR="00C1416E" w:rsidRPr="00AF430C">
          <w:rPr>
            <w:rStyle w:val="Hipervnculo"/>
            <w:noProof/>
          </w:rPr>
          <w:t>Tabla 13. Estado de reporte SUI información financiera 2022 prestadores servicio de energía y gas.</w:t>
        </w:r>
        <w:r w:rsidR="00C1416E">
          <w:rPr>
            <w:noProof/>
            <w:webHidden/>
          </w:rPr>
          <w:tab/>
        </w:r>
        <w:r w:rsidR="00C1416E">
          <w:rPr>
            <w:noProof/>
            <w:webHidden/>
          </w:rPr>
          <w:fldChar w:fldCharType="begin"/>
        </w:r>
        <w:r w:rsidR="00C1416E">
          <w:rPr>
            <w:noProof/>
            <w:webHidden/>
          </w:rPr>
          <w:instrText xml:space="preserve"> PAGEREF _Toc145486439 \h </w:instrText>
        </w:r>
        <w:r w:rsidR="00C1416E">
          <w:rPr>
            <w:noProof/>
            <w:webHidden/>
          </w:rPr>
        </w:r>
        <w:r w:rsidR="00C1416E">
          <w:rPr>
            <w:noProof/>
            <w:webHidden/>
          </w:rPr>
          <w:fldChar w:fldCharType="separate"/>
        </w:r>
        <w:r w:rsidR="00C1416E">
          <w:rPr>
            <w:noProof/>
            <w:webHidden/>
          </w:rPr>
          <w:t>35</w:t>
        </w:r>
        <w:r w:rsidR="00C1416E">
          <w:rPr>
            <w:noProof/>
            <w:webHidden/>
          </w:rPr>
          <w:fldChar w:fldCharType="end"/>
        </w:r>
      </w:hyperlink>
    </w:p>
    <w:p w14:paraId="1EE50682" w14:textId="207083AD" w:rsidR="00C1416E" w:rsidRDefault="000D5E7E">
      <w:pPr>
        <w:pStyle w:val="Tabladeilustraciones"/>
        <w:tabs>
          <w:tab w:val="right" w:leader="dot" w:pos="9396"/>
        </w:tabs>
        <w:rPr>
          <w:rFonts w:asciiTheme="minorHAnsi" w:eastAsiaTheme="minorEastAsia" w:hAnsiTheme="minorHAnsi" w:cstheme="minorBidi"/>
          <w:noProof/>
          <w:spacing w:val="0"/>
          <w:kern w:val="2"/>
          <w:sz w:val="22"/>
          <w:szCs w:val="22"/>
          <w:lang w:eastAsia="es-CO"/>
          <w14:ligatures w14:val="standardContextual"/>
        </w:rPr>
      </w:pPr>
      <w:hyperlink w:anchor="_Toc145486440" w:history="1">
        <w:r w:rsidR="00C1416E" w:rsidRPr="00AF430C">
          <w:rPr>
            <w:rStyle w:val="Hipervnculo"/>
            <w:noProof/>
          </w:rPr>
          <w:t>Tabla 14. Estado de reporte SUI información financiera 2022 prestadores servicio de GLP y gas por redes.</w:t>
        </w:r>
        <w:r w:rsidR="00C1416E">
          <w:rPr>
            <w:noProof/>
            <w:webHidden/>
          </w:rPr>
          <w:tab/>
        </w:r>
        <w:r w:rsidR="00C1416E">
          <w:rPr>
            <w:noProof/>
            <w:webHidden/>
          </w:rPr>
          <w:fldChar w:fldCharType="begin"/>
        </w:r>
        <w:r w:rsidR="00C1416E">
          <w:rPr>
            <w:noProof/>
            <w:webHidden/>
          </w:rPr>
          <w:instrText xml:space="preserve"> PAGEREF _Toc145486440 \h </w:instrText>
        </w:r>
        <w:r w:rsidR="00C1416E">
          <w:rPr>
            <w:noProof/>
            <w:webHidden/>
          </w:rPr>
        </w:r>
        <w:r w:rsidR="00C1416E">
          <w:rPr>
            <w:noProof/>
            <w:webHidden/>
          </w:rPr>
          <w:fldChar w:fldCharType="separate"/>
        </w:r>
        <w:r w:rsidR="00C1416E">
          <w:rPr>
            <w:noProof/>
            <w:webHidden/>
          </w:rPr>
          <w:t>36</w:t>
        </w:r>
        <w:r w:rsidR="00C1416E">
          <w:rPr>
            <w:noProof/>
            <w:webHidden/>
          </w:rPr>
          <w:fldChar w:fldCharType="end"/>
        </w:r>
      </w:hyperlink>
    </w:p>
    <w:p w14:paraId="533771AE" w14:textId="26C596A1" w:rsidR="00C1416E" w:rsidRDefault="000D5E7E">
      <w:pPr>
        <w:pStyle w:val="Tabladeilustraciones"/>
        <w:tabs>
          <w:tab w:val="right" w:leader="dot" w:pos="9396"/>
        </w:tabs>
        <w:rPr>
          <w:rFonts w:asciiTheme="minorHAnsi" w:eastAsiaTheme="minorEastAsia" w:hAnsiTheme="minorHAnsi" w:cstheme="minorBidi"/>
          <w:noProof/>
          <w:spacing w:val="0"/>
          <w:kern w:val="2"/>
          <w:sz w:val="22"/>
          <w:szCs w:val="22"/>
          <w:lang w:eastAsia="es-CO"/>
          <w14:ligatures w14:val="standardContextual"/>
        </w:rPr>
      </w:pPr>
      <w:hyperlink w:anchor="_Toc145486441" w:history="1">
        <w:r w:rsidR="00C1416E" w:rsidRPr="00AF430C">
          <w:rPr>
            <w:rStyle w:val="Hipervnculo"/>
            <w:noProof/>
          </w:rPr>
          <w:t>Tabla 15. Estado de reporte SUI información financiera 2022 prestadores multiservicio.</w:t>
        </w:r>
        <w:r w:rsidR="00C1416E">
          <w:rPr>
            <w:noProof/>
            <w:webHidden/>
          </w:rPr>
          <w:tab/>
        </w:r>
        <w:r w:rsidR="00C1416E">
          <w:rPr>
            <w:noProof/>
            <w:webHidden/>
          </w:rPr>
          <w:fldChar w:fldCharType="begin"/>
        </w:r>
        <w:r w:rsidR="00C1416E">
          <w:rPr>
            <w:noProof/>
            <w:webHidden/>
          </w:rPr>
          <w:instrText xml:space="preserve"> PAGEREF _Toc145486441 \h </w:instrText>
        </w:r>
        <w:r w:rsidR="00C1416E">
          <w:rPr>
            <w:noProof/>
            <w:webHidden/>
          </w:rPr>
        </w:r>
        <w:r w:rsidR="00C1416E">
          <w:rPr>
            <w:noProof/>
            <w:webHidden/>
          </w:rPr>
          <w:fldChar w:fldCharType="separate"/>
        </w:r>
        <w:r w:rsidR="00C1416E">
          <w:rPr>
            <w:noProof/>
            <w:webHidden/>
          </w:rPr>
          <w:t>42</w:t>
        </w:r>
        <w:r w:rsidR="00C1416E">
          <w:rPr>
            <w:noProof/>
            <w:webHidden/>
          </w:rPr>
          <w:fldChar w:fldCharType="end"/>
        </w:r>
      </w:hyperlink>
    </w:p>
    <w:p w14:paraId="111112DB" w14:textId="4A91CE6F" w:rsidR="00C1416E" w:rsidRDefault="000D5E7E">
      <w:pPr>
        <w:pStyle w:val="Tabladeilustraciones"/>
        <w:tabs>
          <w:tab w:val="right" w:leader="dot" w:pos="9396"/>
        </w:tabs>
        <w:rPr>
          <w:rFonts w:asciiTheme="minorHAnsi" w:eastAsiaTheme="minorEastAsia" w:hAnsiTheme="minorHAnsi" w:cstheme="minorBidi"/>
          <w:noProof/>
          <w:spacing w:val="0"/>
          <w:kern w:val="2"/>
          <w:sz w:val="22"/>
          <w:szCs w:val="22"/>
          <w:lang w:eastAsia="es-CO"/>
          <w14:ligatures w14:val="standardContextual"/>
        </w:rPr>
      </w:pPr>
      <w:hyperlink w:anchor="_Toc145486442" w:history="1">
        <w:r w:rsidR="00C1416E" w:rsidRPr="00AF430C">
          <w:rPr>
            <w:rStyle w:val="Hipervnculo"/>
            <w:noProof/>
          </w:rPr>
          <w:t>Tabla 16. Prestadores con mínima cuantía contribución especial 2023.</w:t>
        </w:r>
        <w:r w:rsidR="00C1416E">
          <w:rPr>
            <w:noProof/>
            <w:webHidden/>
          </w:rPr>
          <w:tab/>
        </w:r>
        <w:r w:rsidR="00C1416E">
          <w:rPr>
            <w:noProof/>
            <w:webHidden/>
          </w:rPr>
          <w:fldChar w:fldCharType="begin"/>
        </w:r>
        <w:r w:rsidR="00C1416E">
          <w:rPr>
            <w:noProof/>
            <w:webHidden/>
          </w:rPr>
          <w:instrText xml:space="preserve"> PAGEREF _Toc145486442 \h </w:instrText>
        </w:r>
        <w:r w:rsidR="00C1416E">
          <w:rPr>
            <w:noProof/>
            <w:webHidden/>
          </w:rPr>
        </w:r>
        <w:r w:rsidR="00C1416E">
          <w:rPr>
            <w:noProof/>
            <w:webHidden/>
          </w:rPr>
          <w:fldChar w:fldCharType="separate"/>
        </w:r>
        <w:r w:rsidR="00C1416E">
          <w:rPr>
            <w:noProof/>
            <w:webHidden/>
          </w:rPr>
          <w:t>45</w:t>
        </w:r>
        <w:r w:rsidR="00C1416E">
          <w:rPr>
            <w:noProof/>
            <w:webHidden/>
          </w:rPr>
          <w:fldChar w:fldCharType="end"/>
        </w:r>
      </w:hyperlink>
    </w:p>
    <w:p w14:paraId="570D0B96" w14:textId="6425AEEE" w:rsidR="00C1416E" w:rsidRDefault="000D5E7E">
      <w:pPr>
        <w:pStyle w:val="Tabladeilustraciones"/>
        <w:tabs>
          <w:tab w:val="right" w:leader="dot" w:pos="9396"/>
        </w:tabs>
        <w:rPr>
          <w:rFonts w:asciiTheme="minorHAnsi" w:eastAsiaTheme="minorEastAsia" w:hAnsiTheme="minorHAnsi" w:cstheme="minorBidi"/>
          <w:noProof/>
          <w:spacing w:val="0"/>
          <w:kern w:val="2"/>
          <w:sz w:val="22"/>
          <w:szCs w:val="22"/>
          <w:lang w:eastAsia="es-CO"/>
          <w14:ligatures w14:val="standardContextual"/>
        </w:rPr>
      </w:pPr>
      <w:hyperlink w:anchor="_Toc145486443" w:history="1">
        <w:r w:rsidR="00C1416E" w:rsidRPr="00AF430C">
          <w:rPr>
            <w:rStyle w:val="Hipervnculo"/>
            <w:noProof/>
          </w:rPr>
          <w:t>Tabla 17. Regulados reportantes al SUI información financiera 2021 y 2022.</w:t>
        </w:r>
        <w:r w:rsidR="00C1416E">
          <w:rPr>
            <w:noProof/>
            <w:webHidden/>
          </w:rPr>
          <w:tab/>
        </w:r>
        <w:r w:rsidR="00C1416E">
          <w:rPr>
            <w:noProof/>
            <w:webHidden/>
          </w:rPr>
          <w:fldChar w:fldCharType="begin"/>
        </w:r>
        <w:r w:rsidR="00C1416E">
          <w:rPr>
            <w:noProof/>
            <w:webHidden/>
          </w:rPr>
          <w:instrText xml:space="preserve"> PAGEREF _Toc145486443 \h </w:instrText>
        </w:r>
        <w:r w:rsidR="00C1416E">
          <w:rPr>
            <w:noProof/>
            <w:webHidden/>
          </w:rPr>
        </w:r>
        <w:r w:rsidR="00C1416E">
          <w:rPr>
            <w:noProof/>
            <w:webHidden/>
          </w:rPr>
          <w:fldChar w:fldCharType="separate"/>
        </w:r>
        <w:r w:rsidR="00C1416E">
          <w:rPr>
            <w:noProof/>
            <w:webHidden/>
          </w:rPr>
          <w:t>46</w:t>
        </w:r>
        <w:r w:rsidR="00C1416E">
          <w:rPr>
            <w:noProof/>
            <w:webHidden/>
          </w:rPr>
          <w:fldChar w:fldCharType="end"/>
        </w:r>
      </w:hyperlink>
    </w:p>
    <w:p w14:paraId="2A8263E4" w14:textId="2CF9A0AE" w:rsidR="00C1416E" w:rsidRDefault="000D5E7E">
      <w:pPr>
        <w:pStyle w:val="Tabladeilustraciones"/>
        <w:tabs>
          <w:tab w:val="right" w:leader="dot" w:pos="9396"/>
        </w:tabs>
        <w:rPr>
          <w:rFonts w:asciiTheme="minorHAnsi" w:eastAsiaTheme="minorEastAsia" w:hAnsiTheme="minorHAnsi" w:cstheme="minorBidi"/>
          <w:noProof/>
          <w:spacing w:val="0"/>
          <w:kern w:val="2"/>
          <w:sz w:val="22"/>
          <w:szCs w:val="22"/>
          <w:lang w:eastAsia="es-CO"/>
          <w14:ligatures w14:val="standardContextual"/>
        </w:rPr>
      </w:pPr>
      <w:hyperlink w:anchor="_Toc145486444" w:history="1">
        <w:r w:rsidR="00C1416E" w:rsidRPr="00AF430C">
          <w:rPr>
            <w:rStyle w:val="Hipervnculo"/>
            <w:noProof/>
          </w:rPr>
          <w:t>Tabla 18. Regulados que reportaron información financiera al SUI 2021 y no reportaron 2022.</w:t>
        </w:r>
        <w:r w:rsidR="00C1416E">
          <w:rPr>
            <w:noProof/>
            <w:webHidden/>
          </w:rPr>
          <w:tab/>
        </w:r>
        <w:r w:rsidR="00C1416E">
          <w:rPr>
            <w:noProof/>
            <w:webHidden/>
          </w:rPr>
          <w:fldChar w:fldCharType="begin"/>
        </w:r>
        <w:r w:rsidR="00C1416E">
          <w:rPr>
            <w:noProof/>
            <w:webHidden/>
          </w:rPr>
          <w:instrText xml:space="preserve"> PAGEREF _Toc145486444 \h </w:instrText>
        </w:r>
        <w:r w:rsidR="00C1416E">
          <w:rPr>
            <w:noProof/>
            <w:webHidden/>
          </w:rPr>
        </w:r>
        <w:r w:rsidR="00C1416E">
          <w:rPr>
            <w:noProof/>
            <w:webHidden/>
          </w:rPr>
          <w:fldChar w:fldCharType="separate"/>
        </w:r>
        <w:r w:rsidR="00C1416E">
          <w:rPr>
            <w:noProof/>
            <w:webHidden/>
          </w:rPr>
          <w:t>53</w:t>
        </w:r>
        <w:r w:rsidR="00C1416E">
          <w:rPr>
            <w:noProof/>
            <w:webHidden/>
          </w:rPr>
          <w:fldChar w:fldCharType="end"/>
        </w:r>
      </w:hyperlink>
    </w:p>
    <w:p w14:paraId="673EF8F8" w14:textId="290FAFC8" w:rsidR="00C1416E" w:rsidRDefault="000D5E7E">
      <w:pPr>
        <w:pStyle w:val="Tabladeilustraciones"/>
        <w:tabs>
          <w:tab w:val="right" w:leader="dot" w:pos="9396"/>
        </w:tabs>
        <w:rPr>
          <w:rFonts w:asciiTheme="minorHAnsi" w:eastAsiaTheme="minorEastAsia" w:hAnsiTheme="minorHAnsi" w:cstheme="minorBidi"/>
          <w:noProof/>
          <w:spacing w:val="0"/>
          <w:kern w:val="2"/>
          <w:sz w:val="22"/>
          <w:szCs w:val="22"/>
          <w:lang w:eastAsia="es-CO"/>
          <w14:ligatures w14:val="standardContextual"/>
        </w:rPr>
      </w:pPr>
      <w:hyperlink w:anchor="_Toc145486445" w:history="1">
        <w:r w:rsidR="00C1416E" w:rsidRPr="00AF430C">
          <w:rPr>
            <w:rStyle w:val="Hipervnculo"/>
            <w:noProof/>
          </w:rPr>
          <w:t>Tabla 19. Consolidado de gastos 2022 reportados al SUI base gravable contribución especial 2023.</w:t>
        </w:r>
        <w:r w:rsidR="00C1416E">
          <w:rPr>
            <w:noProof/>
            <w:webHidden/>
          </w:rPr>
          <w:tab/>
        </w:r>
        <w:r w:rsidR="00C1416E">
          <w:rPr>
            <w:noProof/>
            <w:webHidden/>
          </w:rPr>
          <w:fldChar w:fldCharType="begin"/>
        </w:r>
        <w:r w:rsidR="00C1416E">
          <w:rPr>
            <w:noProof/>
            <w:webHidden/>
          </w:rPr>
          <w:instrText xml:space="preserve"> PAGEREF _Toc145486445 \h </w:instrText>
        </w:r>
        <w:r w:rsidR="00C1416E">
          <w:rPr>
            <w:noProof/>
            <w:webHidden/>
          </w:rPr>
        </w:r>
        <w:r w:rsidR="00C1416E">
          <w:rPr>
            <w:noProof/>
            <w:webHidden/>
          </w:rPr>
          <w:fldChar w:fldCharType="separate"/>
        </w:r>
        <w:r w:rsidR="00C1416E">
          <w:rPr>
            <w:noProof/>
            <w:webHidden/>
          </w:rPr>
          <w:t>55</w:t>
        </w:r>
        <w:r w:rsidR="00C1416E">
          <w:rPr>
            <w:noProof/>
            <w:webHidden/>
          </w:rPr>
          <w:fldChar w:fldCharType="end"/>
        </w:r>
      </w:hyperlink>
    </w:p>
    <w:p w14:paraId="75E22572" w14:textId="010FA004" w:rsidR="00C1416E" w:rsidRDefault="000D5E7E">
      <w:pPr>
        <w:pStyle w:val="Tabladeilustraciones"/>
        <w:tabs>
          <w:tab w:val="right" w:leader="dot" w:pos="9396"/>
        </w:tabs>
        <w:rPr>
          <w:rFonts w:asciiTheme="minorHAnsi" w:eastAsiaTheme="minorEastAsia" w:hAnsiTheme="minorHAnsi" w:cstheme="minorBidi"/>
          <w:noProof/>
          <w:spacing w:val="0"/>
          <w:kern w:val="2"/>
          <w:sz w:val="22"/>
          <w:szCs w:val="22"/>
          <w:lang w:eastAsia="es-CO"/>
          <w14:ligatures w14:val="standardContextual"/>
        </w:rPr>
      </w:pPr>
      <w:hyperlink w:anchor="_Toc145486446" w:history="1">
        <w:r w:rsidR="00C1416E" w:rsidRPr="00AF430C">
          <w:rPr>
            <w:rStyle w:val="Hipervnculo"/>
            <w:noProof/>
          </w:rPr>
          <w:t>Tabla 20. Faltante presupuestal 2023 tomando únicamente los gastos de administración.</w:t>
        </w:r>
        <w:r w:rsidR="00C1416E">
          <w:rPr>
            <w:noProof/>
            <w:webHidden/>
          </w:rPr>
          <w:tab/>
        </w:r>
        <w:r w:rsidR="00C1416E">
          <w:rPr>
            <w:noProof/>
            <w:webHidden/>
          </w:rPr>
          <w:fldChar w:fldCharType="begin"/>
        </w:r>
        <w:r w:rsidR="00C1416E">
          <w:rPr>
            <w:noProof/>
            <w:webHidden/>
          </w:rPr>
          <w:instrText xml:space="preserve"> PAGEREF _Toc145486446 \h </w:instrText>
        </w:r>
        <w:r w:rsidR="00C1416E">
          <w:rPr>
            <w:noProof/>
            <w:webHidden/>
          </w:rPr>
        </w:r>
        <w:r w:rsidR="00C1416E">
          <w:rPr>
            <w:noProof/>
            <w:webHidden/>
          </w:rPr>
          <w:fldChar w:fldCharType="separate"/>
        </w:r>
        <w:r w:rsidR="00C1416E">
          <w:rPr>
            <w:noProof/>
            <w:webHidden/>
          </w:rPr>
          <w:t>55</w:t>
        </w:r>
        <w:r w:rsidR="00C1416E">
          <w:rPr>
            <w:noProof/>
            <w:webHidden/>
          </w:rPr>
          <w:fldChar w:fldCharType="end"/>
        </w:r>
      </w:hyperlink>
    </w:p>
    <w:p w14:paraId="7FC38111" w14:textId="466ED542" w:rsidR="00C1416E" w:rsidRDefault="000D5E7E">
      <w:pPr>
        <w:pStyle w:val="Tabladeilustraciones"/>
        <w:tabs>
          <w:tab w:val="right" w:leader="dot" w:pos="9396"/>
        </w:tabs>
        <w:rPr>
          <w:rFonts w:asciiTheme="minorHAnsi" w:eastAsiaTheme="minorEastAsia" w:hAnsiTheme="minorHAnsi" w:cstheme="minorBidi"/>
          <w:noProof/>
          <w:spacing w:val="0"/>
          <w:kern w:val="2"/>
          <w:sz w:val="22"/>
          <w:szCs w:val="22"/>
          <w:lang w:eastAsia="es-CO"/>
          <w14:ligatures w14:val="standardContextual"/>
        </w:rPr>
      </w:pPr>
      <w:hyperlink w:anchor="_Toc145486447" w:history="1">
        <w:r w:rsidR="00C1416E" w:rsidRPr="00AF430C">
          <w:rPr>
            <w:rStyle w:val="Hipervnculo"/>
            <w:noProof/>
          </w:rPr>
          <w:t>Tabla 21. Liquidación general de la contribución especial 2023.</w:t>
        </w:r>
        <w:r w:rsidR="00C1416E">
          <w:rPr>
            <w:noProof/>
            <w:webHidden/>
          </w:rPr>
          <w:tab/>
        </w:r>
        <w:r w:rsidR="00C1416E">
          <w:rPr>
            <w:noProof/>
            <w:webHidden/>
          </w:rPr>
          <w:fldChar w:fldCharType="begin"/>
        </w:r>
        <w:r w:rsidR="00C1416E">
          <w:rPr>
            <w:noProof/>
            <w:webHidden/>
          </w:rPr>
          <w:instrText xml:space="preserve"> PAGEREF _Toc145486447 \h </w:instrText>
        </w:r>
        <w:r w:rsidR="00C1416E">
          <w:rPr>
            <w:noProof/>
            <w:webHidden/>
          </w:rPr>
        </w:r>
        <w:r w:rsidR="00C1416E">
          <w:rPr>
            <w:noProof/>
            <w:webHidden/>
          </w:rPr>
          <w:fldChar w:fldCharType="separate"/>
        </w:r>
        <w:r w:rsidR="00C1416E">
          <w:rPr>
            <w:noProof/>
            <w:webHidden/>
          </w:rPr>
          <w:t>56</w:t>
        </w:r>
        <w:r w:rsidR="00C1416E">
          <w:rPr>
            <w:noProof/>
            <w:webHidden/>
          </w:rPr>
          <w:fldChar w:fldCharType="end"/>
        </w:r>
      </w:hyperlink>
    </w:p>
    <w:p w14:paraId="0A3B76B8" w14:textId="123004F3" w:rsidR="00C1416E" w:rsidRDefault="000D5E7E">
      <w:pPr>
        <w:pStyle w:val="Tabladeilustraciones"/>
        <w:tabs>
          <w:tab w:val="right" w:leader="dot" w:pos="9396"/>
        </w:tabs>
        <w:rPr>
          <w:rFonts w:asciiTheme="minorHAnsi" w:eastAsiaTheme="minorEastAsia" w:hAnsiTheme="minorHAnsi" w:cstheme="minorBidi"/>
          <w:noProof/>
          <w:spacing w:val="0"/>
          <w:kern w:val="2"/>
          <w:sz w:val="22"/>
          <w:szCs w:val="22"/>
          <w:lang w:eastAsia="es-CO"/>
          <w14:ligatures w14:val="standardContextual"/>
        </w:rPr>
      </w:pPr>
      <w:hyperlink w:anchor="_Toc145486448" w:history="1">
        <w:r w:rsidR="00C1416E" w:rsidRPr="00AF430C">
          <w:rPr>
            <w:rStyle w:val="Hipervnculo"/>
            <w:noProof/>
          </w:rPr>
          <w:t>Tabla 22. Consolidado por servicios prestado de la contribución especial 2023.</w:t>
        </w:r>
        <w:r w:rsidR="00C1416E">
          <w:rPr>
            <w:noProof/>
            <w:webHidden/>
          </w:rPr>
          <w:tab/>
        </w:r>
        <w:r w:rsidR="00C1416E">
          <w:rPr>
            <w:noProof/>
            <w:webHidden/>
          </w:rPr>
          <w:fldChar w:fldCharType="begin"/>
        </w:r>
        <w:r w:rsidR="00C1416E">
          <w:rPr>
            <w:noProof/>
            <w:webHidden/>
          </w:rPr>
          <w:instrText xml:space="preserve"> PAGEREF _Toc145486448 \h </w:instrText>
        </w:r>
        <w:r w:rsidR="00C1416E">
          <w:rPr>
            <w:noProof/>
            <w:webHidden/>
          </w:rPr>
        </w:r>
        <w:r w:rsidR="00C1416E">
          <w:rPr>
            <w:noProof/>
            <w:webHidden/>
          </w:rPr>
          <w:fldChar w:fldCharType="separate"/>
        </w:r>
        <w:r w:rsidR="00C1416E">
          <w:rPr>
            <w:noProof/>
            <w:webHidden/>
          </w:rPr>
          <w:t>56</w:t>
        </w:r>
        <w:r w:rsidR="00C1416E">
          <w:rPr>
            <w:noProof/>
            <w:webHidden/>
          </w:rPr>
          <w:fldChar w:fldCharType="end"/>
        </w:r>
      </w:hyperlink>
    </w:p>
    <w:p w14:paraId="264628F8" w14:textId="06417238" w:rsidR="00C1416E" w:rsidRDefault="000D5E7E">
      <w:pPr>
        <w:pStyle w:val="Tabladeilustraciones"/>
        <w:tabs>
          <w:tab w:val="right" w:leader="dot" w:pos="9396"/>
        </w:tabs>
        <w:rPr>
          <w:rFonts w:asciiTheme="minorHAnsi" w:eastAsiaTheme="minorEastAsia" w:hAnsiTheme="minorHAnsi" w:cstheme="minorBidi"/>
          <w:noProof/>
          <w:spacing w:val="0"/>
          <w:kern w:val="2"/>
          <w:sz w:val="22"/>
          <w:szCs w:val="22"/>
          <w:lang w:eastAsia="es-CO"/>
          <w14:ligatures w14:val="standardContextual"/>
        </w:rPr>
      </w:pPr>
      <w:hyperlink w:anchor="_Toc145486449" w:history="1">
        <w:r w:rsidR="00C1416E" w:rsidRPr="00AF430C">
          <w:rPr>
            <w:rStyle w:val="Hipervnculo"/>
            <w:noProof/>
          </w:rPr>
          <w:t>Tabla 23. Consolidado general de regulados contribuyentes contribución especial 2023.</w:t>
        </w:r>
        <w:r w:rsidR="00C1416E">
          <w:rPr>
            <w:noProof/>
            <w:webHidden/>
          </w:rPr>
          <w:tab/>
        </w:r>
        <w:r w:rsidR="00C1416E">
          <w:rPr>
            <w:noProof/>
            <w:webHidden/>
          </w:rPr>
          <w:fldChar w:fldCharType="begin"/>
        </w:r>
        <w:r w:rsidR="00C1416E">
          <w:rPr>
            <w:noProof/>
            <w:webHidden/>
          </w:rPr>
          <w:instrText xml:space="preserve"> PAGEREF _Toc145486449 \h </w:instrText>
        </w:r>
        <w:r w:rsidR="00C1416E">
          <w:rPr>
            <w:noProof/>
            <w:webHidden/>
          </w:rPr>
        </w:r>
        <w:r w:rsidR="00C1416E">
          <w:rPr>
            <w:noProof/>
            <w:webHidden/>
          </w:rPr>
          <w:fldChar w:fldCharType="separate"/>
        </w:r>
        <w:r w:rsidR="00C1416E">
          <w:rPr>
            <w:noProof/>
            <w:webHidden/>
          </w:rPr>
          <w:t>58</w:t>
        </w:r>
        <w:r w:rsidR="00C1416E">
          <w:rPr>
            <w:noProof/>
            <w:webHidden/>
          </w:rPr>
          <w:fldChar w:fldCharType="end"/>
        </w:r>
      </w:hyperlink>
    </w:p>
    <w:p w14:paraId="6C9E6771" w14:textId="1CE3AEB1" w:rsidR="00C1416E" w:rsidRDefault="000D5E7E">
      <w:pPr>
        <w:pStyle w:val="Tabladeilustraciones"/>
        <w:tabs>
          <w:tab w:val="right" w:leader="dot" w:pos="9396"/>
        </w:tabs>
        <w:rPr>
          <w:rFonts w:asciiTheme="minorHAnsi" w:eastAsiaTheme="minorEastAsia" w:hAnsiTheme="minorHAnsi" w:cstheme="minorBidi"/>
          <w:noProof/>
          <w:spacing w:val="0"/>
          <w:kern w:val="2"/>
          <w:sz w:val="22"/>
          <w:szCs w:val="22"/>
          <w:lang w:eastAsia="es-CO"/>
          <w14:ligatures w14:val="standardContextual"/>
        </w:rPr>
      </w:pPr>
      <w:hyperlink w:anchor="_Toc145486450" w:history="1">
        <w:r w:rsidR="00C1416E" w:rsidRPr="00AF430C">
          <w:rPr>
            <w:rStyle w:val="Hipervnculo"/>
            <w:noProof/>
          </w:rPr>
          <w:t>Tabla 24. Consolidado regulados servicio energía contribuyentes contribución especial 2023.</w:t>
        </w:r>
        <w:r w:rsidR="00C1416E">
          <w:rPr>
            <w:noProof/>
            <w:webHidden/>
          </w:rPr>
          <w:tab/>
        </w:r>
        <w:r w:rsidR="00C1416E">
          <w:rPr>
            <w:noProof/>
            <w:webHidden/>
          </w:rPr>
          <w:fldChar w:fldCharType="begin"/>
        </w:r>
        <w:r w:rsidR="00C1416E">
          <w:rPr>
            <w:noProof/>
            <w:webHidden/>
          </w:rPr>
          <w:instrText xml:space="preserve"> PAGEREF _Toc145486450 \h </w:instrText>
        </w:r>
        <w:r w:rsidR="00C1416E">
          <w:rPr>
            <w:noProof/>
            <w:webHidden/>
          </w:rPr>
        </w:r>
        <w:r w:rsidR="00C1416E">
          <w:rPr>
            <w:noProof/>
            <w:webHidden/>
          </w:rPr>
          <w:fldChar w:fldCharType="separate"/>
        </w:r>
        <w:r w:rsidR="00C1416E">
          <w:rPr>
            <w:noProof/>
            <w:webHidden/>
          </w:rPr>
          <w:t>80</w:t>
        </w:r>
        <w:r w:rsidR="00C1416E">
          <w:rPr>
            <w:noProof/>
            <w:webHidden/>
          </w:rPr>
          <w:fldChar w:fldCharType="end"/>
        </w:r>
      </w:hyperlink>
    </w:p>
    <w:p w14:paraId="13F3407B" w14:textId="119E7FC4" w:rsidR="00C1416E" w:rsidRDefault="000D5E7E">
      <w:pPr>
        <w:pStyle w:val="Tabladeilustraciones"/>
        <w:tabs>
          <w:tab w:val="right" w:leader="dot" w:pos="9396"/>
        </w:tabs>
        <w:rPr>
          <w:rFonts w:asciiTheme="minorHAnsi" w:eastAsiaTheme="minorEastAsia" w:hAnsiTheme="minorHAnsi" w:cstheme="minorBidi"/>
          <w:noProof/>
          <w:spacing w:val="0"/>
          <w:kern w:val="2"/>
          <w:sz w:val="22"/>
          <w:szCs w:val="22"/>
          <w:lang w:eastAsia="es-CO"/>
          <w14:ligatures w14:val="standardContextual"/>
        </w:rPr>
      </w:pPr>
      <w:hyperlink w:anchor="_Toc145486451" w:history="1">
        <w:r w:rsidR="00C1416E" w:rsidRPr="00AF430C">
          <w:rPr>
            <w:rStyle w:val="Hipervnculo"/>
            <w:noProof/>
          </w:rPr>
          <w:t>Tabla 25. Consolidado regulados servicio energía – gas, contribuyentes contribución especial 2023.</w:t>
        </w:r>
        <w:r w:rsidR="00C1416E">
          <w:rPr>
            <w:noProof/>
            <w:webHidden/>
          </w:rPr>
          <w:tab/>
        </w:r>
        <w:r w:rsidR="00C1416E">
          <w:rPr>
            <w:noProof/>
            <w:webHidden/>
          </w:rPr>
          <w:fldChar w:fldCharType="begin"/>
        </w:r>
        <w:r w:rsidR="00C1416E">
          <w:rPr>
            <w:noProof/>
            <w:webHidden/>
          </w:rPr>
          <w:instrText xml:space="preserve"> PAGEREF _Toc145486451 \h </w:instrText>
        </w:r>
        <w:r w:rsidR="00C1416E">
          <w:rPr>
            <w:noProof/>
            <w:webHidden/>
          </w:rPr>
        </w:r>
        <w:r w:rsidR="00C1416E">
          <w:rPr>
            <w:noProof/>
            <w:webHidden/>
          </w:rPr>
          <w:fldChar w:fldCharType="separate"/>
        </w:r>
        <w:r w:rsidR="00C1416E">
          <w:rPr>
            <w:noProof/>
            <w:webHidden/>
          </w:rPr>
          <w:t>89</w:t>
        </w:r>
        <w:r w:rsidR="00C1416E">
          <w:rPr>
            <w:noProof/>
            <w:webHidden/>
          </w:rPr>
          <w:fldChar w:fldCharType="end"/>
        </w:r>
      </w:hyperlink>
    </w:p>
    <w:p w14:paraId="75FD6DD8" w14:textId="2C8B62A7" w:rsidR="00C1416E" w:rsidRDefault="000D5E7E">
      <w:pPr>
        <w:pStyle w:val="Tabladeilustraciones"/>
        <w:tabs>
          <w:tab w:val="right" w:leader="dot" w:pos="9396"/>
        </w:tabs>
        <w:rPr>
          <w:rFonts w:asciiTheme="minorHAnsi" w:eastAsiaTheme="minorEastAsia" w:hAnsiTheme="minorHAnsi" w:cstheme="minorBidi"/>
          <w:noProof/>
          <w:spacing w:val="0"/>
          <w:kern w:val="2"/>
          <w:sz w:val="22"/>
          <w:szCs w:val="22"/>
          <w:lang w:eastAsia="es-CO"/>
          <w14:ligatures w14:val="standardContextual"/>
        </w:rPr>
      </w:pPr>
      <w:hyperlink w:anchor="_Toc145486452" w:history="1">
        <w:r w:rsidR="00C1416E" w:rsidRPr="00AF430C">
          <w:rPr>
            <w:rStyle w:val="Hipervnculo"/>
            <w:noProof/>
          </w:rPr>
          <w:t>Tabla 26. Consolidado regulados servicio GLP y gas por redes, contribuyentes contribución especial 2023.</w:t>
        </w:r>
        <w:r w:rsidR="00C1416E">
          <w:rPr>
            <w:noProof/>
            <w:webHidden/>
          </w:rPr>
          <w:tab/>
        </w:r>
        <w:r w:rsidR="00C1416E">
          <w:rPr>
            <w:noProof/>
            <w:webHidden/>
          </w:rPr>
          <w:fldChar w:fldCharType="begin"/>
        </w:r>
        <w:r w:rsidR="00C1416E">
          <w:rPr>
            <w:noProof/>
            <w:webHidden/>
          </w:rPr>
          <w:instrText xml:space="preserve"> PAGEREF _Toc145486452 \h </w:instrText>
        </w:r>
        <w:r w:rsidR="00C1416E">
          <w:rPr>
            <w:noProof/>
            <w:webHidden/>
          </w:rPr>
        </w:r>
        <w:r w:rsidR="00C1416E">
          <w:rPr>
            <w:noProof/>
            <w:webHidden/>
          </w:rPr>
          <w:fldChar w:fldCharType="separate"/>
        </w:r>
        <w:r w:rsidR="00C1416E">
          <w:rPr>
            <w:noProof/>
            <w:webHidden/>
          </w:rPr>
          <w:t>90</w:t>
        </w:r>
        <w:r w:rsidR="00C1416E">
          <w:rPr>
            <w:noProof/>
            <w:webHidden/>
          </w:rPr>
          <w:fldChar w:fldCharType="end"/>
        </w:r>
      </w:hyperlink>
    </w:p>
    <w:p w14:paraId="166BFC65" w14:textId="37E8F4BF" w:rsidR="00C1416E" w:rsidRDefault="000D5E7E">
      <w:pPr>
        <w:pStyle w:val="Tabladeilustraciones"/>
        <w:tabs>
          <w:tab w:val="right" w:leader="dot" w:pos="9396"/>
        </w:tabs>
        <w:rPr>
          <w:rFonts w:asciiTheme="minorHAnsi" w:eastAsiaTheme="minorEastAsia" w:hAnsiTheme="minorHAnsi" w:cstheme="minorBidi"/>
          <w:noProof/>
          <w:spacing w:val="0"/>
          <w:kern w:val="2"/>
          <w:sz w:val="22"/>
          <w:szCs w:val="22"/>
          <w:lang w:eastAsia="es-CO"/>
          <w14:ligatures w14:val="standardContextual"/>
        </w:rPr>
      </w:pPr>
      <w:hyperlink w:anchor="_Toc145486453" w:history="1">
        <w:r w:rsidR="00C1416E" w:rsidRPr="00AF430C">
          <w:rPr>
            <w:rStyle w:val="Hipervnculo"/>
            <w:noProof/>
          </w:rPr>
          <w:t>Tabla 27. Consolidado de regulados multiservicios, contribuyentes contribución especial 2023.</w:t>
        </w:r>
        <w:r w:rsidR="00C1416E">
          <w:rPr>
            <w:noProof/>
            <w:webHidden/>
          </w:rPr>
          <w:tab/>
        </w:r>
        <w:r w:rsidR="00C1416E">
          <w:rPr>
            <w:noProof/>
            <w:webHidden/>
          </w:rPr>
          <w:fldChar w:fldCharType="begin"/>
        </w:r>
        <w:r w:rsidR="00C1416E">
          <w:rPr>
            <w:noProof/>
            <w:webHidden/>
          </w:rPr>
          <w:instrText xml:space="preserve"> PAGEREF _Toc145486453 \h </w:instrText>
        </w:r>
        <w:r w:rsidR="00C1416E">
          <w:rPr>
            <w:noProof/>
            <w:webHidden/>
          </w:rPr>
        </w:r>
        <w:r w:rsidR="00C1416E">
          <w:rPr>
            <w:noProof/>
            <w:webHidden/>
          </w:rPr>
          <w:fldChar w:fldCharType="separate"/>
        </w:r>
        <w:r w:rsidR="00C1416E">
          <w:rPr>
            <w:noProof/>
            <w:webHidden/>
          </w:rPr>
          <w:t>98</w:t>
        </w:r>
        <w:r w:rsidR="00C1416E">
          <w:rPr>
            <w:noProof/>
            <w:webHidden/>
          </w:rPr>
          <w:fldChar w:fldCharType="end"/>
        </w:r>
      </w:hyperlink>
    </w:p>
    <w:p w14:paraId="47BE6B29" w14:textId="128270F0" w:rsidR="00C1416E" w:rsidRDefault="000D5E7E">
      <w:pPr>
        <w:pStyle w:val="Tabladeilustraciones"/>
        <w:tabs>
          <w:tab w:val="right" w:leader="dot" w:pos="9396"/>
        </w:tabs>
        <w:rPr>
          <w:rFonts w:asciiTheme="minorHAnsi" w:eastAsiaTheme="minorEastAsia" w:hAnsiTheme="minorHAnsi" w:cstheme="minorBidi"/>
          <w:noProof/>
          <w:spacing w:val="0"/>
          <w:kern w:val="2"/>
          <w:sz w:val="22"/>
          <w:szCs w:val="22"/>
          <w:lang w:eastAsia="es-CO"/>
          <w14:ligatures w14:val="standardContextual"/>
        </w:rPr>
      </w:pPr>
      <w:hyperlink w:anchor="_Toc145486454" w:history="1">
        <w:r w:rsidR="00C1416E" w:rsidRPr="00AF430C">
          <w:rPr>
            <w:rStyle w:val="Hipervnculo"/>
            <w:noProof/>
          </w:rPr>
          <w:t>Tabla 28. Plantilla ilustrativa para la depuración y liquidación de la contribución especial 2023.</w:t>
        </w:r>
        <w:r w:rsidR="00C1416E">
          <w:rPr>
            <w:noProof/>
            <w:webHidden/>
          </w:rPr>
          <w:tab/>
        </w:r>
        <w:r w:rsidR="00C1416E">
          <w:rPr>
            <w:noProof/>
            <w:webHidden/>
          </w:rPr>
          <w:fldChar w:fldCharType="begin"/>
        </w:r>
        <w:r w:rsidR="00C1416E">
          <w:rPr>
            <w:noProof/>
            <w:webHidden/>
          </w:rPr>
          <w:instrText xml:space="preserve"> PAGEREF _Toc145486454 \h </w:instrText>
        </w:r>
        <w:r w:rsidR="00C1416E">
          <w:rPr>
            <w:noProof/>
            <w:webHidden/>
          </w:rPr>
        </w:r>
        <w:r w:rsidR="00C1416E">
          <w:rPr>
            <w:noProof/>
            <w:webHidden/>
          </w:rPr>
          <w:fldChar w:fldCharType="separate"/>
        </w:r>
        <w:r w:rsidR="00C1416E">
          <w:rPr>
            <w:noProof/>
            <w:webHidden/>
          </w:rPr>
          <w:t>100</w:t>
        </w:r>
        <w:r w:rsidR="00C1416E">
          <w:rPr>
            <w:noProof/>
            <w:webHidden/>
          </w:rPr>
          <w:fldChar w:fldCharType="end"/>
        </w:r>
      </w:hyperlink>
    </w:p>
    <w:p w14:paraId="444F8683" w14:textId="6F21CDC5" w:rsidR="00BA2A4F" w:rsidRDefault="00BA2A4F" w:rsidP="00BA2A4F">
      <w:pPr>
        <w:pStyle w:val="Ttulo10"/>
        <w:tabs>
          <w:tab w:val="left" w:pos="2354"/>
          <w:tab w:val="center" w:pos="4503"/>
        </w:tabs>
        <w:spacing w:before="0" w:after="0"/>
        <w:jc w:val="both"/>
        <w:rPr>
          <w:sz w:val="22"/>
          <w:szCs w:val="22"/>
        </w:rPr>
      </w:pPr>
      <w:r>
        <w:rPr>
          <w:sz w:val="22"/>
          <w:szCs w:val="22"/>
        </w:rPr>
        <w:fldChar w:fldCharType="end"/>
      </w:r>
    </w:p>
    <w:p w14:paraId="7242148A" w14:textId="77777777" w:rsidR="00BA2A4F" w:rsidRDefault="00BA2A4F" w:rsidP="00D22441">
      <w:pPr>
        <w:pStyle w:val="Ttulo10"/>
        <w:tabs>
          <w:tab w:val="left" w:pos="2354"/>
          <w:tab w:val="center" w:pos="4503"/>
        </w:tabs>
        <w:spacing w:before="0" w:after="0"/>
        <w:ind w:left="360"/>
        <w:rPr>
          <w:sz w:val="22"/>
          <w:szCs w:val="22"/>
        </w:rPr>
      </w:pPr>
    </w:p>
    <w:p w14:paraId="057E3B1E" w14:textId="77777777" w:rsidR="00B13CE8" w:rsidRDefault="00B13CE8" w:rsidP="00D22441">
      <w:pPr>
        <w:pStyle w:val="Ttulo10"/>
        <w:tabs>
          <w:tab w:val="left" w:pos="2354"/>
          <w:tab w:val="center" w:pos="4503"/>
        </w:tabs>
        <w:spacing w:before="0" w:after="0"/>
        <w:ind w:left="360"/>
        <w:rPr>
          <w:sz w:val="22"/>
          <w:szCs w:val="22"/>
        </w:rPr>
      </w:pPr>
    </w:p>
    <w:p w14:paraId="747D1245" w14:textId="61CFCA48" w:rsidR="00B13CE8" w:rsidRDefault="00B13CE8">
      <w:pPr>
        <w:jc w:val="left"/>
        <w:rPr>
          <w:rFonts w:cs="Arial"/>
          <w:b/>
          <w:bCs/>
          <w:kern w:val="28"/>
          <w:sz w:val="22"/>
          <w:szCs w:val="22"/>
        </w:rPr>
      </w:pPr>
      <w:r>
        <w:rPr>
          <w:sz w:val="22"/>
          <w:szCs w:val="22"/>
        </w:rPr>
        <w:br w:type="page"/>
      </w:r>
    </w:p>
    <w:p w14:paraId="1B11D1CC" w14:textId="580927A0" w:rsidR="00371AEF" w:rsidRPr="001E6912" w:rsidRDefault="008D2091" w:rsidP="00D22441">
      <w:pPr>
        <w:pStyle w:val="Ttulo10"/>
        <w:tabs>
          <w:tab w:val="left" w:pos="2354"/>
          <w:tab w:val="center" w:pos="4503"/>
        </w:tabs>
        <w:spacing w:before="0" w:after="0"/>
        <w:ind w:left="360"/>
        <w:rPr>
          <w:sz w:val="22"/>
          <w:szCs w:val="22"/>
        </w:rPr>
      </w:pPr>
      <w:bookmarkStart w:id="1" w:name="_Toc147154285"/>
      <w:r w:rsidRPr="001E6912">
        <w:rPr>
          <w:sz w:val="22"/>
          <w:szCs w:val="22"/>
        </w:rPr>
        <w:lastRenderedPageBreak/>
        <w:t>INTRODUCCIÓ</w:t>
      </w:r>
      <w:r w:rsidR="00D22B0A" w:rsidRPr="001E6912">
        <w:rPr>
          <w:sz w:val="22"/>
          <w:szCs w:val="22"/>
        </w:rPr>
        <w:t>N</w:t>
      </w:r>
      <w:bookmarkEnd w:id="1"/>
    </w:p>
    <w:p w14:paraId="012E2EA1" w14:textId="77777777" w:rsidR="001E6912" w:rsidRDefault="001E6912" w:rsidP="00D22441">
      <w:pPr>
        <w:pStyle w:val="Textoindependiente"/>
        <w:spacing w:after="0"/>
        <w:rPr>
          <w:rFonts w:cs="Arial"/>
          <w:sz w:val="22"/>
          <w:szCs w:val="22"/>
        </w:rPr>
      </w:pPr>
    </w:p>
    <w:p w14:paraId="64DBE56C" w14:textId="2FB1744C" w:rsidR="00622FEA" w:rsidRPr="001F4CF7" w:rsidRDefault="00F20A2B" w:rsidP="00D22441">
      <w:pPr>
        <w:pStyle w:val="Textoindependiente"/>
        <w:spacing w:after="0"/>
        <w:rPr>
          <w:rFonts w:cs="Arial"/>
          <w:sz w:val="22"/>
          <w:szCs w:val="22"/>
        </w:rPr>
      </w:pPr>
      <w:r w:rsidRPr="001F4CF7">
        <w:rPr>
          <w:rFonts w:cs="Arial"/>
          <w:sz w:val="22"/>
          <w:szCs w:val="22"/>
        </w:rPr>
        <w:t xml:space="preserve">El presente documento </w:t>
      </w:r>
      <w:r w:rsidR="001E6912" w:rsidRPr="001F4CF7">
        <w:rPr>
          <w:rFonts w:cs="Arial"/>
          <w:sz w:val="22"/>
          <w:szCs w:val="22"/>
        </w:rPr>
        <w:t xml:space="preserve">se constituye como base </w:t>
      </w:r>
      <w:r w:rsidR="00503F37" w:rsidRPr="001F4CF7">
        <w:rPr>
          <w:rFonts w:cs="Arial"/>
          <w:sz w:val="22"/>
          <w:szCs w:val="22"/>
        </w:rPr>
        <w:t>de la</w:t>
      </w:r>
      <w:r w:rsidR="001E6912" w:rsidRPr="001F4CF7">
        <w:rPr>
          <w:rFonts w:cs="Arial"/>
          <w:sz w:val="22"/>
          <w:szCs w:val="22"/>
        </w:rPr>
        <w:t xml:space="preserve"> </w:t>
      </w:r>
      <w:r w:rsidR="00503F37" w:rsidRPr="001F4CF7">
        <w:rPr>
          <w:rFonts w:cs="Arial"/>
          <w:sz w:val="22"/>
          <w:szCs w:val="22"/>
        </w:rPr>
        <w:t>R</w:t>
      </w:r>
      <w:r w:rsidR="001E6912" w:rsidRPr="001F4CF7">
        <w:rPr>
          <w:rFonts w:cs="Arial"/>
          <w:sz w:val="22"/>
          <w:szCs w:val="22"/>
        </w:rPr>
        <w:t>esolución</w:t>
      </w:r>
      <w:r w:rsidR="00503F37" w:rsidRPr="001F4CF7">
        <w:rPr>
          <w:rFonts w:cs="Arial"/>
          <w:sz w:val="22"/>
          <w:szCs w:val="22"/>
        </w:rPr>
        <w:t xml:space="preserve"> </w:t>
      </w:r>
      <w:r w:rsidR="00780F2B">
        <w:rPr>
          <w:rFonts w:cs="Arial"/>
          <w:sz w:val="22"/>
          <w:szCs w:val="22"/>
        </w:rPr>
        <w:t xml:space="preserve">CREG </w:t>
      </w:r>
      <w:proofErr w:type="spellStart"/>
      <w:r w:rsidR="00503F37" w:rsidRPr="000A4F24">
        <w:rPr>
          <w:rFonts w:cs="Arial"/>
          <w:sz w:val="22"/>
          <w:szCs w:val="22"/>
        </w:rPr>
        <w:t>N°</w:t>
      </w:r>
      <w:proofErr w:type="spellEnd"/>
      <w:r w:rsidR="00503F37" w:rsidRPr="000A4F24">
        <w:rPr>
          <w:rFonts w:cs="Arial"/>
          <w:sz w:val="22"/>
          <w:szCs w:val="22"/>
        </w:rPr>
        <w:t xml:space="preserve"> </w:t>
      </w:r>
      <w:r w:rsidR="000A4F24" w:rsidRPr="000A4F24">
        <w:rPr>
          <w:rFonts w:cs="Arial"/>
          <w:sz w:val="22"/>
          <w:szCs w:val="22"/>
        </w:rPr>
        <w:t>705</w:t>
      </w:r>
      <w:r w:rsidR="00F44157" w:rsidRPr="000A4F24">
        <w:rPr>
          <w:rFonts w:cs="Arial"/>
          <w:sz w:val="22"/>
          <w:szCs w:val="22"/>
        </w:rPr>
        <w:t xml:space="preserve"> </w:t>
      </w:r>
      <w:r w:rsidR="000A4F24" w:rsidRPr="000A4F24">
        <w:rPr>
          <w:rFonts w:cs="Arial"/>
          <w:sz w:val="22"/>
          <w:szCs w:val="22"/>
        </w:rPr>
        <w:t>004</w:t>
      </w:r>
      <w:r w:rsidR="00503F37" w:rsidRPr="000A4F24">
        <w:rPr>
          <w:rFonts w:cs="Arial"/>
          <w:sz w:val="22"/>
          <w:szCs w:val="22"/>
        </w:rPr>
        <w:t xml:space="preserve"> del </w:t>
      </w:r>
      <w:r w:rsidR="000A4F24" w:rsidRPr="000A4F24">
        <w:rPr>
          <w:rFonts w:cs="Arial"/>
          <w:sz w:val="22"/>
          <w:szCs w:val="22"/>
        </w:rPr>
        <w:t>22</w:t>
      </w:r>
      <w:r w:rsidR="00C735F9" w:rsidRPr="000A4F24">
        <w:rPr>
          <w:rFonts w:cs="Arial"/>
          <w:sz w:val="22"/>
          <w:szCs w:val="22"/>
        </w:rPr>
        <w:t xml:space="preserve"> de septiembre</w:t>
      </w:r>
      <w:r w:rsidR="00F6697A" w:rsidRPr="000A4F24">
        <w:rPr>
          <w:rFonts w:cs="Arial"/>
          <w:sz w:val="22"/>
          <w:szCs w:val="22"/>
        </w:rPr>
        <w:t xml:space="preserve"> de 202</w:t>
      </w:r>
      <w:r w:rsidR="005A661B" w:rsidRPr="000A4F24">
        <w:rPr>
          <w:rFonts w:cs="Arial"/>
          <w:sz w:val="22"/>
          <w:szCs w:val="22"/>
        </w:rPr>
        <w:t>3</w:t>
      </w:r>
      <w:r w:rsidR="00503F37" w:rsidRPr="000A4F24">
        <w:rPr>
          <w:rFonts w:cs="Arial"/>
          <w:sz w:val="22"/>
          <w:szCs w:val="22"/>
        </w:rPr>
        <w:t xml:space="preserve">, </w:t>
      </w:r>
      <w:r w:rsidR="005A661B" w:rsidRPr="000A4F24">
        <w:rPr>
          <w:rFonts w:cs="Arial"/>
          <w:sz w:val="22"/>
          <w:szCs w:val="22"/>
        </w:rPr>
        <w:t xml:space="preserve">publicada </w:t>
      </w:r>
      <w:r w:rsidR="00503F37" w:rsidRPr="000A4F24">
        <w:rPr>
          <w:rFonts w:cs="Arial"/>
          <w:sz w:val="22"/>
          <w:szCs w:val="22"/>
        </w:rPr>
        <w:t>para consulta</w:t>
      </w:r>
      <w:r w:rsidR="001E6912" w:rsidRPr="000A4F24">
        <w:rPr>
          <w:rFonts w:cs="Arial"/>
          <w:sz w:val="22"/>
          <w:szCs w:val="22"/>
        </w:rPr>
        <w:t xml:space="preserve">: </w:t>
      </w:r>
      <w:r w:rsidRPr="000A4F24">
        <w:rPr>
          <w:rFonts w:cs="Arial"/>
          <w:i/>
          <w:iCs/>
          <w:sz w:val="22"/>
          <w:szCs w:val="22"/>
        </w:rPr>
        <w:t xml:space="preserve">Por </w:t>
      </w:r>
      <w:r w:rsidRPr="001F4CF7">
        <w:rPr>
          <w:rFonts w:cs="Arial"/>
          <w:i/>
          <w:iCs/>
          <w:sz w:val="22"/>
          <w:szCs w:val="22"/>
        </w:rPr>
        <w:t xml:space="preserve">la cual se ordena hacer público un proyecto de resolución de carácter general </w:t>
      </w:r>
      <w:r w:rsidR="001E6912" w:rsidRPr="001F4CF7">
        <w:rPr>
          <w:rFonts w:cs="Arial"/>
          <w:i/>
          <w:iCs/>
          <w:sz w:val="22"/>
          <w:szCs w:val="22"/>
        </w:rPr>
        <w:t>“Por la cual se señala el porcentaje de la contribución especial que deben pagar las entidades sometidas a la regulación de la Comisión de Regulación</w:t>
      </w:r>
      <w:r w:rsidR="00F6697A" w:rsidRPr="001F4CF7">
        <w:rPr>
          <w:rFonts w:cs="Arial"/>
          <w:i/>
          <w:iCs/>
          <w:sz w:val="22"/>
          <w:szCs w:val="22"/>
        </w:rPr>
        <w:t xml:space="preserve"> de Energía y Gas en el año 202</w:t>
      </w:r>
      <w:r w:rsidR="005A661B">
        <w:rPr>
          <w:rFonts w:cs="Arial"/>
          <w:i/>
          <w:iCs/>
          <w:sz w:val="22"/>
          <w:szCs w:val="22"/>
        </w:rPr>
        <w:t>3</w:t>
      </w:r>
      <w:r w:rsidR="001E6912" w:rsidRPr="001F4CF7">
        <w:rPr>
          <w:rFonts w:cs="Arial"/>
          <w:i/>
          <w:iCs/>
          <w:sz w:val="22"/>
          <w:szCs w:val="22"/>
        </w:rPr>
        <w:t xml:space="preserve"> y se dictan otras disposiciones”</w:t>
      </w:r>
      <w:r w:rsidR="001E6912" w:rsidRPr="001F4CF7">
        <w:rPr>
          <w:rFonts w:cs="Arial"/>
          <w:sz w:val="22"/>
          <w:szCs w:val="22"/>
        </w:rPr>
        <w:t xml:space="preserve">, </w:t>
      </w:r>
      <w:r w:rsidRPr="001F4CF7">
        <w:rPr>
          <w:rFonts w:cs="Arial"/>
          <w:sz w:val="22"/>
          <w:szCs w:val="22"/>
        </w:rPr>
        <w:t>al contener la metodología de depuración, cálculo y liquidación de la contribución especial para la vigencia 202</w:t>
      </w:r>
      <w:r w:rsidR="005A661B">
        <w:rPr>
          <w:rFonts w:cs="Arial"/>
          <w:sz w:val="22"/>
          <w:szCs w:val="22"/>
        </w:rPr>
        <w:t>3</w:t>
      </w:r>
      <w:r w:rsidRPr="001F4CF7">
        <w:rPr>
          <w:rFonts w:cs="Arial"/>
          <w:sz w:val="22"/>
          <w:szCs w:val="22"/>
        </w:rPr>
        <w:t xml:space="preserve"> a favor de la Comisión de Regulación de Energía y Gas (CREG), señalada en el artículo 85 de la Ley 142 de 1994.</w:t>
      </w:r>
    </w:p>
    <w:p w14:paraId="2947A9F4" w14:textId="77777777" w:rsidR="00622FEA" w:rsidRDefault="00622FEA" w:rsidP="00D22441">
      <w:pPr>
        <w:pStyle w:val="Textoindependiente"/>
        <w:spacing w:after="0"/>
        <w:rPr>
          <w:rFonts w:cs="Arial"/>
          <w:sz w:val="22"/>
          <w:szCs w:val="22"/>
        </w:rPr>
      </w:pPr>
    </w:p>
    <w:p w14:paraId="0971699B" w14:textId="1656DF6E" w:rsidR="001E6912" w:rsidRPr="001E6912" w:rsidRDefault="00F20A2B" w:rsidP="00D22441">
      <w:pPr>
        <w:pStyle w:val="Textoindependiente"/>
        <w:spacing w:after="0"/>
        <w:rPr>
          <w:rFonts w:cs="Arial"/>
          <w:sz w:val="22"/>
          <w:szCs w:val="22"/>
        </w:rPr>
      </w:pPr>
      <w:r>
        <w:rPr>
          <w:rFonts w:cs="Arial"/>
          <w:sz w:val="22"/>
          <w:szCs w:val="22"/>
        </w:rPr>
        <w:t xml:space="preserve">Se </w:t>
      </w:r>
      <w:r w:rsidR="00057B81">
        <w:rPr>
          <w:rFonts w:cs="Arial"/>
          <w:sz w:val="22"/>
          <w:szCs w:val="22"/>
        </w:rPr>
        <w:t>describe</w:t>
      </w:r>
      <w:r>
        <w:rPr>
          <w:rFonts w:cs="Arial"/>
          <w:sz w:val="22"/>
          <w:szCs w:val="22"/>
        </w:rPr>
        <w:t xml:space="preserve"> </w:t>
      </w:r>
      <w:r w:rsidR="00EF35D7">
        <w:rPr>
          <w:rFonts w:cs="Arial"/>
          <w:sz w:val="22"/>
          <w:szCs w:val="22"/>
        </w:rPr>
        <w:t>como se llegó a fijar</w:t>
      </w:r>
      <w:r>
        <w:rPr>
          <w:rFonts w:cs="Arial"/>
          <w:sz w:val="22"/>
          <w:szCs w:val="22"/>
        </w:rPr>
        <w:t xml:space="preserve"> </w:t>
      </w:r>
      <w:r w:rsidR="00EF35D7">
        <w:rPr>
          <w:rFonts w:cs="Arial"/>
          <w:sz w:val="22"/>
          <w:szCs w:val="22"/>
        </w:rPr>
        <w:t>l</w:t>
      </w:r>
      <w:r w:rsidR="001E6912" w:rsidRPr="001E6912">
        <w:rPr>
          <w:rFonts w:cs="Arial"/>
          <w:sz w:val="22"/>
          <w:szCs w:val="22"/>
        </w:rPr>
        <w:t xml:space="preserve">a tarifa o factor general con el cual se va liquidar la contribución especial para cada regulado, teniendo en cuenta la base gravable de cada empresa, y se presenta la liquidación </w:t>
      </w:r>
      <w:r w:rsidR="005D483A">
        <w:rPr>
          <w:rFonts w:cs="Arial"/>
          <w:sz w:val="22"/>
          <w:szCs w:val="22"/>
        </w:rPr>
        <w:t xml:space="preserve">preliminar </w:t>
      </w:r>
      <w:r w:rsidR="001E6912" w:rsidRPr="001E6912">
        <w:rPr>
          <w:rFonts w:cs="Arial"/>
          <w:sz w:val="22"/>
          <w:szCs w:val="22"/>
        </w:rPr>
        <w:t>con el valor a pagar por cada uno de contribuyentes,</w:t>
      </w:r>
      <w:r w:rsidR="00E02914">
        <w:rPr>
          <w:rFonts w:cs="Arial"/>
          <w:sz w:val="22"/>
          <w:szCs w:val="22"/>
        </w:rPr>
        <w:t xml:space="preserve"> </w:t>
      </w:r>
      <w:r w:rsidR="005D483A">
        <w:rPr>
          <w:rFonts w:cs="Arial"/>
          <w:sz w:val="22"/>
          <w:szCs w:val="22"/>
        </w:rPr>
        <w:t xml:space="preserve">a efectos de </w:t>
      </w:r>
      <w:r w:rsidR="00E02914">
        <w:rPr>
          <w:rFonts w:cs="Arial"/>
          <w:sz w:val="22"/>
          <w:szCs w:val="22"/>
        </w:rPr>
        <w:t xml:space="preserve">recibir </w:t>
      </w:r>
      <w:r w:rsidR="00411CEC">
        <w:rPr>
          <w:rFonts w:cs="Arial"/>
          <w:sz w:val="22"/>
          <w:szCs w:val="22"/>
        </w:rPr>
        <w:t xml:space="preserve">las </w:t>
      </w:r>
      <w:r w:rsidR="00E02914">
        <w:rPr>
          <w:rFonts w:cs="Arial"/>
          <w:sz w:val="22"/>
          <w:szCs w:val="22"/>
        </w:rPr>
        <w:t>observaciones o comentarios</w:t>
      </w:r>
      <w:r w:rsidR="00411CEC">
        <w:rPr>
          <w:rFonts w:cs="Arial"/>
          <w:sz w:val="22"/>
          <w:szCs w:val="22"/>
        </w:rPr>
        <w:t xml:space="preserve"> </w:t>
      </w:r>
      <w:r w:rsidR="00B01187">
        <w:rPr>
          <w:rFonts w:cs="Arial"/>
          <w:sz w:val="22"/>
          <w:szCs w:val="22"/>
        </w:rPr>
        <w:t>pertinentes</w:t>
      </w:r>
      <w:r w:rsidR="00411CEC">
        <w:rPr>
          <w:rFonts w:cs="Arial"/>
          <w:sz w:val="22"/>
          <w:szCs w:val="22"/>
        </w:rPr>
        <w:t>,</w:t>
      </w:r>
      <w:r w:rsidR="00E02914">
        <w:rPr>
          <w:rFonts w:cs="Arial"/>
          <w:sz w:val="22"/>
          <w:szCs w:val="22"/>
        </w:rPr>
        <w:t xml:space="preserve"> </w:t>
      </w:r>
      <w:r w:rsidR="005D483A">
        <w:rPr>
          <w:rFonts w:cs="Arial"/>
          <w:sz w:val="22"/>
          <w:szCs w:val="22"/>
        </w:rPr>
        <w:t xml:space="preserve">los cuales, de ser el caso, serán incorporados en el acto administrativo </w:t>
      </w:r>
      <w:r w:rsidR="00CD428C">
        <w:rPr>
          <w:rFonts w:cs="Arial"/>
          <w:sz w:val="22"/>
          <w:szCs w:val="22"/>
        </w:rPr>
        <w:t xml:space="preserve">definitivo </w:t>
      </w:r>
      <w:r w:rsidR="005D483A">
        <w:rPr>
          <w:rFonts w:cs="Arial"/>
          <w:sz w:val="22"/>
          <w:szCs w:val="22"/>
        </w:rPr>
        <w:t>de determinación de la tarifa, y la posterior liquidación individual para cada sujeto regulado.</w:t>
      </w:r>
    </w:p>
    <w:p w14:paraId="5EA0AE87" w14:textId="77777777" w:rsidR="001E6912" w:rsidRDefault="001E6912" w:rsidP="00D22441">
      <w:pPr>
        <w:pStyle w:val="Textoindependiente"/>
        <w:spacing w:after="0"/>
        <w:rPr>
          <w:rFonts w:cs="Arial"/>
          <w:sz w:val="22"/>
          <w:szCs w:val="22"/>
        </w:rPr>
      </w:pPr>
    </w:p>
    <w:p w14:paraId="69E54133" w14:textId="4D441E76" w:rsidR="001E6912" w:rsidRPr="001E6912" w:rsidRDefault="001E6912" w:rsidP="00D22441">
      <w:pPr>
        <w:pStyle w:val="Textoindependiente"/>
        <w:spacing w:after="0"/>
        <w:rPr>
          <w:rFonts w:cs="Arial"/>
          <w:sz w:val="22"/>
          <w:szCs w:val="22"/>
        </w:rPr>
      </w:pPr>
      <w:r w:rsidRPr="001E6912">
        <w:rPr>
          <w:rFonts w:cs="Arial"/>
          <w:sz w:val="22"/>
          <w:szCs w:val="22"/>
        </w:rPr>
        <w:t xml:space="preserve">Se toma como fuente de información financiera la reportada por los regulados en el Sistema Único de Información </w:t>
      </w:r>
      <w:r w:rsidR="00614606">
        <w:rPr>
          <w:rFonts w:cs="Arial"/>
          <w:sz w:val="22"/>
          <w:szCs w:val="22"/>
        </w:rPr>
        <w:t xml:space="preserve">de Servicios Públicos </w:t>
      </w:r>
      <w:r w:rsidRPr="001E6912">
        <w:rPr>
          <w:rFonts w:cs="Arial"/>
          <w:sz w:val="22"/>
          <w:szCs w:val="22"/>
        </w:rPr>
        <w:t>(SUI), administrado por la Superintendencia de Servicios Públicos Domiciliarios (SSPD) por parte de las empresas prestadoras de los servicios públicos domiciliarios de energía eléctrica y gas combustible</w:t>
      </w:r>
      <w:r>
        <w:rPr>
          <w:rFonts w:cs="Arial"/>
          <w:sz w:val="22"/>
          <w:szCs w:val="22"/>
        </w:rPr>
        <w:t xml:space="preserve">. Se entiende en el presente documento como gas combustible </w:t>
      </w:r>
      <w:r w:rsidR="00ED0153">
        <w:rPr>
          <w:rFonts w:cs="Arial"/>
          <w:sz w:val="22"/>
          <w:szCs w:val="22"/>
        </w:rPr>
        <w:t>a</w:t>
      </w:r>
      <w:r w:rsidR="00280F88">
        <w:rPr>
          <w:rFonts w:cs="Arial"/>
          <w:sz w:val="22"/>
          <w:szCs w:val="22"/>
        </w:rPr>
        <w:t xml:space="preserve"> los servicios de</w:t>
      </w:r>
      <w:r w:rsidR="00ED0153">
        <w:rPr>
          <w:rFonts w:cs="Arial"/>
          <w:sz w:val="22"/>
          <w:szCs w:val="22"/>
        </w:rPr>
        <w:t xml:space="preserve"> </w:t>
      </w:r>
      <w:r w:rsidR="00ED0153" w:rsidRPr="001E6912">
        <w:rPr>
          <w:rFonts w:cs="Arial"/>
          <w:sz w:val="22"/>
          <w:szCs w:val="22"/>
        </w:rPr>
        <w:t>gas</w:t>
      </w:r>
      <w:r w:rsidRPr="001E6912">
        <w:rPr>
          <w:rFonts w:cs="Arial"/>
          <w:sz w:val="22"/>
          <w:szCs w:val="22"/>
        </w:rPr>
        <w:t xml:space="preserve"> natural</w:t>
      </w:r>
      <w:r>
        <w:rPr>
          <w:rFonts w:cs="Arial"/>
          <w:sz w:val="22"/>
          <w:szCs w:val="22"/>
        </w:rPr>
        <w:t xml:space="preserve"> (</w:t>
      </w:r>
      <w:r w:rsidRPr="001E6912">
        <w:rPr>
          <w:rFonts w:cs="Arial"/>
          <w:sz w:val="22"/>
          <w:szCs w:val="22"/>
        </w:rPr>
        <w:t>GN</w:t>
      </w:r>
      <w:r>
        <w:rPr>
          <w:rFonts w:cs="Arial"/>
          <w:sz w:val="22"/>
          <w:szCs w:val="22"/>
        </w:rPr>
        <w:t xml:space="preserve">) </w:t>
      </w:r>
      <w:r w:rsidRPr="001E6912">
        <w:rPr>
          <w:rFonts w:cs="Arial"/>
          <w:sz w:val="22"/>
          <w:szCs w:val="22"/>
        </w:rPr>
        <w:t>y</w:t>
      </w:r>
      <w:r w:rsidR="00ED0153">
        <w:rPr>
          <w:rFonts w:cs="Arial"/>
          <w:sz w:val="22"/>
          <w:szCs w:val="22"/>
        </w:rPr>
        <w:t xml:space="preserve"> </w:t>
      </w:r>
      <w:r w:rsidRPr="001E6912">
        <w:rPr>
          <w:rFonts w:cs="Arial"/>
          <w:sz w:val="22"/>
          <w:szCs w:val="22"/>
        </w:rPr>
        <w:t xml:space="preserve">gas licuado de petróleo </w:t>
      </w:r>
      <w:r>
        <w:rPr>
          <w:rFonts w:cs="Arial"/>
          <w:sz w:val="22"/>
          <w:szCs w:val="22"/>
        </w:rPr>
        <w:t>(</w:t>
      </w:r>
      <w:r w:rsidRPr="001E6912">
        <w:rPr>
          <w:rFonts w:cs="Arial"/>
          <w:sz w:val="22"/>
          <w:szCs w:val="22"/>
        </w:rPr>
        <w:t>GLP).</w:t>
      </w:r>
    </w:p>
    <w:p w14:paraId="2041F553" w14:textId="77777777" w:rsidR="001E6912" w:rsidRDefault="001E6912" w:rsidP="00D22441">
      <w:pPr>
        <w:pStyle w:val="Textoindependiente"/>
        <w:spacing w:after="0"/>
        <w:rPr>
          <w:rFonts w:cs="Arial"/>
          <w:sz w:val="22"/>
          <w:szCs w:val="22"/>
        </w:rPr>
      </w:pPr>
    </w:p>
    <w:p w14:paraId="4AFD64F3" w14:textId="5E77C790" w:rsidR="001E6912" w:rsidRDefault="00CD428C" w:rsidP="00D22441">
      <w:pPr>
        <w:pStyle w:val="Textoindependiente"/>
        <w:spacing w:after="0"/>
        <w:rPr>
          <w:rFonts w:cs="Arial"/>
          <w:sz w:val="22"/>
          <w:szCs w:val="22"/>
        </w:rPr>
      </w:pPr>
      <w:r>
        <w:rPr>
          <w:rFonts w:cs="Arial"/>
          <w:sz w:val="22"/>
          <w:szCs w:val="22"/>
        </w:rPr>
        <w:t>Igualmente, s</w:t>
      </w:r>
      <w:r w:rsidR="00280F88">
        <w:rPr>
          <w:rFonts w:cs="Arial"/>
          <w:sz w:val="22"/>
          <w:szCs w:val="22"/>
        </w:rPr>
        <w:t>e presenta el marco legal y a</w:t>
      </w:r>
      <w:r w:rsidR="001E6912" w:rsidRPr="001E6912">
        <w:rPr>
          <w:rFonts w:cs="Arial"/>
          <w:sz w:val="22"/>
          <w:szCs w:val="22"/>
        </w:rPr>
        <w:t>dicionalmente se</w:t>
      </w:r>
      <w:r w:rsidR="00EF35D7">
        <w:rPr>
          <w:rFonts w:cs="Arial"/>
          <w:sz w:val="22"/>
          <w:szCs w:val="22"/>
        </w:rPr>
        <w:t xml:space="preserve"> señalan</w:t>
      </w:r>
      <w:r w:rsidR="001E6912" w:rsidRPr="001E6912">
        <w:rPr>
          <w:rFonts w:cs="Arial"/>
          <w:sz w:val="22"/>
          <w:szCs w:val="22"/>
        </w:rPr>
        <w:t xml:space="preserve"> otras disposiciones como el tratamiento de contribuyentes omisos, el reporte al boletín de deudores morosos del Estado (BDME) y procedimientos generales de contribución y cartera, así como </w:t>
      </w:r>
      <w:r w:rsidR="00057B81">
        <w:rPr>
          <w:rFonts w:cs="Arial"/>
          <w:sz w:val="22"/>
          <w:szCs w:val="22"/>
        </w:rPr>
        <w:t>los acrónimos utilizados</w:t>
      </w:r>
      <w:r w:rsidR="00EF7D13">
        <w:rPr>
          <w:rFonts w:cs="Arial"/>
          <w:sz w:val="22"/>
          <w:szCs w:val="22"/>
        </w:rPr>
        <w:t xml:space="preserve"> y un glosario de términos</w:t>
      </w:r>
      <w:r w:rsidR="001E6912" w:rsidRPr="001E6912">
        <w:rPr>
          <w:rFonts w:cs="Arial"/>
          <w:sz w:val="22"/>
          <w:szCs w:val="22"/>
        </w:rPr>
        <w:t>.</w:t>
      </w:r>
    </w:p>
    <w:p w14:paraId="2F71B3F9" w14:textId="38123126" w:rsidR="0003505C" w:rsidRDefault="0003505C" w:rsidP="00D22441">
      <w:pPr>
        <w:pStyle w:val="Textoindependiente"/>
        <w:spacing w:after="0"/>
        <w:rPr>
          <w:rFonts w:cs="Arial"/>
          <w:sz w:val="22"/>
          <w:szCs w:val="22"/>
        </w:rPr>
      </w:pPr>
    </w:p>
    <w:p w14:paraId="2CF4428B" w14:textId="31A989C4" w:rsidR="0003505C" w:rsidRDefault="0003505C" w:rsidP="00D22441">
      <w:pPr>
        <w:pStyle w:val="Textoindependiente"/>
        <w:spacing w:after="0"/>
        <w:rPr>
          <w:rFonts w:cs="Arial"/>
          <w:sz w:val="22"/>
          <w:szCs w:val="22"/>
        </w:rPr>
      </w:pPr>
    </w:p>
    <w:p w14:paraId="5016F1AE" w14:textId="1B427302" w:rsidR="0003505C" w:rsidRDefault="0003505C" w:rsidP="00D22441">
      <w:pPr>
        <w:pStyle w:val="Textoindependiente"/>
        <w:spacing w:after="0"/>
        <w:rPr>
          <w:rFonts w:cs="Arial"/>
          <w:sz w:val="22"/>
          <w:szCs w:val="22"/>
        </w:rPr>
      </w:pPr>
    </w:p>
    <w:p w14:paraId="281765CE" w14:textId="2DE9B1E9" w:rsidR="0003505C" w:rsidRDefault="0003505C" w:rsidP="00D22441">
      <w:pPr>
        <w:jc w:val="left"/>
        <w:rPr>
          <w:rFonts w:cs="Arial"/>
          <w:sz w:val="22"/>
          <w:szCs w:val="22"/>
        </w:rPr>
      </w:pPr>
      <w:r>
        <w:rPr>
          <w:rFonts w:cs="Arial"/>
          <w:sz w:val="22"/>
          <w:szCs w:val="22"/>
        </w:rPr>
        <w:br w:type="page"/>
      </w:r>
    </w:p>
    <w:p w14:paraId="7A152AEA" w14:textId="648869B9" w:rsidR="0003505C" w:rsidRDefault="0003505C" w:rsidP="00D22441">
      <w:pPr>
        <w:pStyle w:val="Ttulo10"/>
        <w:tabs>
          <w:tab w:val="left" w:pos="2354"/>
          <w:tab w:val="center" w:pos="4503"/>
        </w:tabs>
        <w:spacing w:before="0" w:after="0"/>
        <w:ind w:left="360"/>
        <w:rPr>
          <w:sz w:val="22"/>
          <w:szCs w:val="22"/>
        </w:rPr>
      </w:pPr>
      <w:bookmarkStart w:id="2" w:name="_Toc147154286"/>
      <w:r w:rsidRPr="00057B81">
        <w:rPr>
          <w:sz w:val="22"/>
          <w:szCs w:val="22"/>
        </w:rPr>
        <w:lastRenderedPageBreak/>
        <w:t>ACRÓNIMOS UTILIZADOS</w:t>
      </w:r>
      <w:bookmarkEnd w:id="2"/>
    </w:p>
    <w:p w14:paraId="02BCD143" w14:textId="77777777" w:rsidR="00B84CBC" w:rsidRDefault="00B84CBC" w:rsidP="00D22441"/>
    <w:p w14:paraId="21C2D6EF" w14:textId="149DBF33" w:rsidR="00E31EF6" w:rsidRPr="00B84CBC" w:rsidRDefault="00F66A2F" w:rsidP="00D22441">
      <w:pPr>
        <w:rPr>
          <w:b/>
          <w:bCs/>
        </w:rPr>
      </w:pPr>
      <w:r w:rsidRPr="00B84CBC">
        <w:t xml:space="preserve">Las siguientes son las </w:t>
      </w:r>
      <w:r w:rsidR="00E31EF6" w:rsidRPr="00B84CBC">
        <w:t>abreviaturas utilizadas, adicional</w:t>
      </w:r>
      <w:r w:rsidRPr="00B84CBC">
        <w:t xml:space="preserve"> a éstas</w:t>
      </w:r>
      <w:r w:rsidR="00E31EF6" w:rsidRPr="00B84CBC">
        <w:t xml:space="preserve">, al final del </w:t>
      </w:r>
      <w:r w:rsidRPr="00B84CBC">
        <w:t xml:space="preserve">presente </w:t>
      </w:r>
      <w:r w:rsidR="00E31EF6" w:rsidRPr="00B84CBC">
        <w:t xml:space="preserve">documento también se encuentra un glosario de </w:t>
      </w:r>
      <w:r w:rsidRPr="00B84CBC">
        <w:t xml:space="preserve">definición de </w:t>
      </w:r>
      <w:r w:rsidR="00E31EF6" w:rsidRPr="00B84CBC">
        <w:t>términos.</w:t>
      </w:r>
    </w:p>
    <w:p w14:paraId="191C4D85" w14:textId="77777777" w:rsidR="0003505C" w:rsidRDefault="0003505C" w:rsidP="00D22441">
      <w:pPr>
        <w:rPr>
          <w:rFonts w:ascii="Arial Narrow" w:hAnsi="Arial Narrow" w:cs="Arial"/>
          <w:sz w:val="18"/>
          <w:szCs w:val="18"/>
        </w:rPr>
      </w:pPr>
    </w:p>
    <w:tbl>
      <w:tblPr>
        <w:tblStyle w:val="Tablaconcuadrcula"/>
        <w:tblW w:w="89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8"/>
        <w:gridCol w:w="284"/>
        <w:gridCol w:w="390"/>
        <w:gridCol w:w="360"/>
        <w:gridCol w:w="6479"/>
      </w:tblGrid>
      <w:tr w:rsidR="0003505C" w:rsidRPr="00214D5B" w14:paraId="05DDA64A" w14:textId="77777777" w:rsidTr="005261A0">
        <w:tc>
          <w:tcPr>
            <w:tcW w:w="2459" w:type="dxa"/>
            <w:gridSpan w:val="4"/>
            <w:shd w:val="clear" w:color="auto" w:fill="E7E6E6" w:themeFill="background2"/>
            <w:vAlign w:val="center"/>
          </w:tcPr>
          <w:p w14:paraId="6DD69A31" w14:textId="77777777" w:rsidR="0003505C" w:rsidRPr="00214D5B" w:rsidRDefault="0003505C" w:rsidP="00D22441">
            <w:pPr>
              <w:jc w:val="center"/>
              <w:rPr>
                <w:rFonts w:cs="Arial"/>
                <w:b/>
                <w:bCs/>
                <w:sz w:val="22"/>
                <w:szCs w:val="22"/>
              </w:rPr>
            </w:pPr>
            <w:r>
              <w:rPr>
                <w:rFonts w:cs="Arial"/>
                <w:b/>
                <w:bCs/>
                <w:sz w:val="22"/>
                <w:szCs w:val="22"/>
              </w:rPr>
              <w:t>ACRÓNIMO</w:t>
            </w:r>
          </w:p>
        </w:tc>
        <w:tc>
          <w:tcPr>
            <w:tcW w:w="6479" w:type="dxa"/>
            <w:shd w:val="clear" w:color="auto" w:fill="E7E6E6" w:themeFill="background2"/>
            <w:vAlign w:val="center"/>
          </w:tcPr>
          <w:p w14:paraId="5CE63073" w14:textId="329731D0" w:rsidR="0003505C" w:rsidRPr="00214D5B" w:rsidRDefault="00F66A2F" w:rsidP="00D22441">
            <w:pPr>
              <w:jc w:val="center"/>
              <w:rPr>
                <w:rFonts w:cs="Arial"/>
                <w:b/>
                <w:bCs/>
                <w:sz w:val="22"/>
                <w:szCs w:val="22"/>
              </w:rPr>
            </w:pPr>
            <w:r>
              <w:rPr>
                <w:rFonts w:cs="Arial"/>
                <w:b/>
                <w:bCs/>
                <w:sz w:val="22"/>
                <w:szCs w:val="22"/>
              </w:rPr>
              <w:t>ES LA ABREVIATURA DE</w:t>
            </w:r>
          </w:p>
        </w:tc>
      </w:tr>
      <w:tr w:rsidR="0003505C" w:rsidRPr="00214D5B" w14:paraId="2B16E018" w14:textId="77777777" w:rsidTr="005261A0">
        <w:tc>
          <w:tcPr>
            <w:tcW w:w="2459" w:type="dxa"/>
            <w:gridSpan w:val="4"/>
            <w:shd w:val="clear" w:color="auto" w:fill="auto"/>
            <w:vAlign w:val="center"/>
          </w:tcPr>
          <w:p w14:paraId="234117B0" w14:textId="77777777" w:rsidR="0003505C" w:rsidRPr="00214D5B" w:rsidRDefault="0003505C" w:rsidP="00D22441">
            <w:pPr>
              <w:jc w:val="center"/>
              <w:rPr>
                <w:rFonts w:cs="Arial"/>
                <w:b/>
                <w:bCs/>
                <w:sz w:val="22"/>
                <w:szCs w:val="22"/>
              </w:rPr>
            </w:pPr>
          </w:p>
        </w:tc>
        <w:tc>
          <w:tcPr>
            <w:tcW w:w="6479" w:type="dxa"/>
            <w:shd w:val="clear" w:color="auto" w:fill="auto"/>
            <w:vAlign w:val="center"/>
          </w:tcPr>
          <w:p w14:paraId="13367443" w14:textId="77777777" w:rsidR="0003505C" w:rsidRPr="00214D5B" w:rsidRDefault="0003505C" w:rsidP="00D22441">
            <w:pPr>
              <w:jc w:val="center"/>
              <w:rPr>
                <w:rFonts w:cs="Arial"/>
                <w:b/>
                <w:bCs/>
                <w:sz w:val="22"/>
                <w:szCs w:val="22"/>
              </w:rPr>
            </w:pPr>
          </w:p>
        </w:tc>
      </w:tr>
      <w:tr w:rsidR="0003505C" w:rsidRPr="0034093E" w14:paraId="4740A21A" w14:textId="77777777" w:rsidTr="005261A0">
        <w:tc>
          <w:tcPr>
            <w:tcW w:w="1428" w:type="dxa"/>
            <w:vAlign w:val="center"/>
          </w:tcPr>
          <w:p w14:paraId="279FC393" w14:textId="77777777" w:rsidR="0003505C" w:rsidRPr="0034093E" w:rsidRDefault="0003505C" w:rsidP="00D22441">
            <w:pPr>
              <w:rPr>
                <w:rFonts w:cs="Arial"/>
                <w:sz w:val="22"/>
                <w:szCs w:val="22"/>
              </w:rPr>
            </w:pPr>
            <w:r w:rsidRPr="0034093E">
              <w:rPr>
                <w:rFonts w:cs="Arial"/>
                <w:sz w:val="22"/>
                <w:szCs w:val="22"/>
              </w:rPr>
              <w:t>BDME</w:t>
            </w:r>
          </w:p>
        </w:tc>
        <w:tc>
          <w:tcPr>
            <w:tcW w:w="284" w:type="dxa"/>
            <w:vAlign w:val="center"/>
          </w:tcPr>
          <w:p w14:paraId="371EA37D" w14:textId="77777777" w:rsidR="0003505C" w:rsidRPr="0034093E" w:rsidRDefault="0003505C" w:rsidP="00D22441">
            <w:pPr>
              <w:rPr>
                <w:rFonts w:cs="Arial"/>
                <w:sz w:val="22"/>
                <w:szCs w:val="22"/>
              </w:rPr>
            </w:pPr>
          </w:p>
        </w:tc>
        <w:tc>
          <w:tcPr>
            <w:tcW w:w="390" w:type="dxa"/>
            <w:vAlign w:val="center"/>
          </w:tcPr>
          <w:p w14:paraId="2D72B805" w14:textId="77777777" w:rsidR="0003505C" w:rsidRPr="0034093E" w:rsidRDefault="0003505C" w:rsidP="00D22441">
            <w:pPr>
              <w:jc w:val="center"/>
              <w:rPr>
                <w:rFonts w:cs="Arial"/>
                <w:sz w:val="22"/>
                <w:szCs w:val="22"/>
              </w:rPr>
            </w:pPr>
            <w:r w:rsidRPr="0034093E">
              <w:rPr>
                <w:rFonts w:cs="Arial"/>
                <w:sz w:val="22"/>
                <w:szCs w:val="22"/>
              </w:rPr>
              <w:t>:</w:t>
            </w:r>
          </w:p>
        </w:tc>
        <w:tc>
          <w:tcPr>
            <w:tcW w:w="360" w:type="dxa"/>
            <w:vAlign w:val="center"/>
          </w:tcPr>
          <w:p w14:paraId="250A67D7" w14:textId="77777777" w:rsidR="0003505C" w:rsidRPr="0034093E" w:rsidRDefault="0003505C" w:rsidP="00D22441">
            <w:pPr>
              <w:rPr>
                <w:rFonts w:cs="Arial"/>
                <w:sz w:val="22"/>
                <w:szCs w:val="22"/>
              </w:rPr>
            </w:pPr>
          </w:p>
        </w:tc>
        <w:tc>
          <w:tcPr>
            <w:tcW w:w="6479" w:type="dxa"/>
            <w:vAlign w:val="center"/>
          </w:tcPr>
          <w:p w14:paraId="1B3E7CA6" w14:textId="77777777" w:rsidR="0003505C" w:rsidRPr="0034093E" w:rsidRDefault="0003505C" w:rsidP="00D22441">
            <w:pPr>
              <w:rPr>
                <w:rFonts w:cs="Arial"/>
                <w:sz w:val="22"/>
                <w:szCs w:val="22"/>
              </w:rPr>
            </w:pPr>
            <w:r w:rsidRPr="0034093E">
              <w:rPr>
                <w:rFonts w:cs="Arial"/>
                <w:sz w:val="22"/>
                <w:szCs w:val="22"/>
              </w:rPr>
              <w:t xml:space="preserve">Boletín de </w:t>
            </w:r>
            <w:r>
              <w:rPr>
                <w:rFonts w:cs="Arial"/>
                <w:sz w:val="22"/>
                <w:szCs w:val="22"/>
              </w:rPr>
              <w:t>d</w:t>
            </w:r>
            <w:r w:rsidRPr="0034093E">
              <w:rPr>
                <w:rFonts w:cs="Arial"/>
                <w:sz w:val="22"/>
                <w:szCs w:val="22"/>
              </w:rPr>
              <w:t xml:space="preserve">eudores </w:t>
            </w:r>
            <w:r>
              <w:rPr>
                <w:rFonts w:cs="Arial"/>
                <w:sz w:val="22"/>
                <w:szCs w:val="22"/>
              </w:rPr>
              <w:t>m</w:t>
            </w:r>
            <w:r w:rsidRPr="0034093E">
              <w:rPr>
                <w:rFonts w:cs="Arial"/>
                <w:sz w:val="22"/>
                <w:szCs w:val="22"/>
              </w:rPr>
              <w:t>orosos del Estado.</w:t>
            </w:r>
          </w:p>
        </w:tc>
      </w:tr>
      <w:tr w:rsidR="009165AA" w:rsidRPr="0034093E" w14:paraId="1C3C0FA1" w14:textId="77777777" w:rsidTr="005261A0">
        <w:tc>
          <w:tcPr>
            <w:tcW w:w="1428" w:type="dxa"/>
            <w:vAlign w:val="center"/>
          </w:tcPr>
          <w:p w14:paraId="2AE83FF4" w14:textId="77777777" w:rsidR="009165AA" w:rsidRPr="0034093E" w:rsidRDefault="009165AA" w:rsidP="00D22441">
            <w:pPr>
              <w:rPr>
                <w:rFonts w:cs="Arial"/>
                <w:sz w:val="22"/>
                <w:szCs w:val="22"/>
              </w:rPr>
            </w:pPr>
            <w:r w:rsidRPr="0034093E">
              <w:rPr>
                <w:rFonts w:cs="Arial"/>
                <w:sz w:val="22"/>
                <w:szCs w:val="22"/>
              </w:rPr>
              <w:t>CGN</w:t>
            </w:r>
          </w:p>
        </w:tc>
        <w:tc>
          <w:tcPr>
            <w:tcW w:w="284" w:type="dxa"/>
            <w:vAlign w:val="center"/>
          </w:tcPr>
          <w:p w14:paraId="2AEA2FBC" w14:textId="77777777" w:rsidR="009165AA" w:rsidRPr="0034093E" w:rsidRDefault="009165AA" w:rsidP="00D22441">
            <w:pPr>
              <w:rPr>
                <w:rFonts w:cs="Arial"/>
                <w:sz w:val="22"/>
                <w:szCs w:val="22"/>
              </w:rPr>
            </w:pPr>
          </w:p>
        </w:tc>
        <w:tc>
          <w:tcPr>
            <w:tcW w:w="390" w:type="dxa"/>
            <w:vAlign w:val="center"/>
          </w:tcPr>
          <w:p w14:paraId="75360CB2" w14:textId="77777777" w:rsidR="009165AA" w:rsidRPr="0034093E" w:rsidRDefault="009165AA" w:rsidP="00D22441">
            <w:pPr>
              <w:jc w:val="center"/>
              <w:rPr>
                <w:rFonts w:cs="Arial"/>
                <w:sz w:val="22"/>
                <w:szCs w:val="22"/>
              </w:rPr>
            </w:pPr>
            <w:r w:rsidRPr="0034093E">
              <w:rPr>
                <w:rFonts w:cs="Arial"/>
                <w:sz w:val="22"/>
                <w:szCs w:val="22"/>
              </w:rPr>
              <w:t>:</w:t>
            </w:r>
          </w:p>
        </w:tc>
        <w:tc>
          <w:tcPr>
            <w:tcW w:w="360" w:type="dxa"/>
            <w:vAlign w:val="center"/>
          </w:tcPr>
          <w:p w14:paraId="3591FADB" w14:textId="77777777" w:rsidR="009165AA" w:rsidRPr="0034093E" w:rsidRDefault="009165AA" w:rsidP="00D22441">
            <w:pPr>
              <w:rPr>
                <w:rFonts w:cs="Arial"/>
                <w:sz w:val="22"/>
                <w:szCs w:val="22"/>
              </w:rPr>
            </w:pPr>
          </w:p>
        </w:tc>
        <w:tc>
          <w:tcPr>
            <w:tcW w:w="6479" w:type="dxa"/>
            <w:vAlign w:val="center"/>
          </w:tcPr>
          <w:p w14:paraId="3C517681" w14:textId="1671593C" w:rsidR="009165AA" w:rsidRPr="0034093E" w:rsidRDefault="009165AA" w:rsidP="00D22441">
            <w:pPr>
              <w:rPr>
                <w:rFonts w:cs="Arial"/>
                <w:sz w:val="22"/>
                <w:szCs w:val="22"/>
              </w:rPr>
            </w:pPr>
            <w:r w:rsidRPr="0034093E">
              <w:rPr>
                <w:rFonts w:cs="Arial"/>
                <w:sz w:val="22"/>
                <w:szCs w:val="22"/>
              </w:rPr>
              <w:t xml:space="preserve">Contaduría </w:t>
            </w:r>
            <w:r>
              <w:rPr>
                <w:rFonts w:cs="Arial"/>
                <w:sz w:val="22"/>
                <w:szCs w:val="22"/>
              </w:rPr>
              <w:t>G</w:t>
            </w:r>
            <w:r w:rsidRPr="0034093E">
              <w:rPr>
                <w:rFonts w:cs="Arial"/>
                <w:sz w:val="22"/>
                <w:szCs w:val="22"/>
              </w:rPr>
              <w:t xml:space="preserve">eneral de la </w:t>
            </w:r>
            <w:r>
              <w:rPr>
                <w:rFonts w:cs="Arial"/>
                <w:sz w:val="22"/>
                <w:szCs w:val="22"/>
              </w:rPr>
              <w:t>N</w:t>
            </w:r>
            <w:r w:rsidRPr="0034093E">
              <w:rPr>
                <w:rFonts w:cs="Arial"/>
                <w:sz w:val="22"/>
                <w:szCs w:val="22"/>
              </w:rPr>
              <w:t>ación.</w:t>
            </w:r>
          </w:p>
        </w:tc>
      </w:tr>
      <w:tr w:rsidR="0003505C" w:rsidRPr="0034093E" w14:paraId="5BA6D174" w14:textId="77777777" w:rsidTr="005261A0">
        <w:tc>
          <w:tcPr>
            <w:tcW w:w="1428" w:type="dxa"/>
            <w:vAlign w:val="center"/>
          </w:tcPr>
          <w:p w14:paraId="1597A952" w14:textId="502C1C2C" w:rsidR="0003505C" w:rsidRPr="0034093E" w:rsidRDefault="0003505C" w:rsidP="00D22441">
            <w:pPr>
              <w:rPr>
                <w:rFonts w:cs="Arial"/>
                <w:sz w:val="22"/>
                <w:szCs w:val="22"/>
              </w:rPr>
            </w:pPr>
            <w:r w:rsidRPr="0034093E">
              <w:rPr>
                <w:rFonts w:cs="Arial"/>
                <w:sz w:val="22"/>
                <w:szCs w:val="22"/>
              </w:rPr>
              <w:t>C</w:t>
            </w:r>
            <w:r w:rsidR="009165AA">
              <w:rPr>
                <w:rFonts w:cs="Arial"/>
                <w:sz w:val="22"/>
                <w:szCs w:val="22"/>
              </w:rPr>
              <w:t>ISA</w:t>
            </w:r>
          </w:p>
        </w:tc>
        <w:tc>
          <w:tcPr>
            <w:tcW w:w="284" w:type="dxa"/>
            <w:vAlign w:val="center"/>
          </w:tcPr>
          <w:p w14:paraId="76477B83" w14:textId="77777777" w:rsidR="0003505C" w:rsidRPr="0034093E" w:rsidRDefault="0003505C" w:rsidP="00D22441">
            <w:pPr>
              <w:rPr>
                <w:rFonts w:cs="Arial"/>
                <w:sz w:val="22"/>
                <w:szCs w:val="22"/>
              </w:rPr>
            </w:pPr>
          </w:p>
        </w:tc>
        <w:tc>
          <w:tcPr>
            <w:tcW w:w="390" w:type="dxa"/>
            <w:vAlign w:val="center"/>
          </w:tcPr>
          <w:p w14:paraId="2F5A50CB" w14:textId="77777777" w:rsidR="0003505C" w:rsidRPr="0034093E" w:rsidRDefault="0003505C" w:rsidP="00D22441">
            <w:pPr>
              <w:jc w:val="center"/>
              <w:rPr>
                <w:rFonts w:cs="Arial"/>
                <w:sz w:val="22"/>
                <w:szCs w:val="22"/>
              </w:rPr>
            </w:pPr>
            <w:r w:rsidRPr="0034093E">
              <w:rPr>
                <w:rFonts w:cs="Arial"/>
                <w:sz w:val="22"/>
                <w:szCs w:val="22"/>
              </w:rPr>
              <w:t>:</w:t>
            </w:r>
          </w:p>
        </w:tc>
        <w:tc>
          <w:tcPr>
            <w:tcW w:w="360" w:type="dxa"/>
            <w:vAlign w:val="center"/>
          </w:tcPr>
          <w:p w14:paraId="36DA4D7E" w14:textId="77777777" w:rsidR="0003505C" w:rsidRPr="0034093E" w:rsidRDefault="0003505C" w:rsidP="00D22441">
            <w:pPr>
              <w:rPr>
                <w:rFonts w:cs="Arial"/>
                <w:sz w:val="22"/>
                <w:szCs w:val="22"/>
              </w:rPr>
            </w:pPr>
          </w:p>
        </w:tc>
        <w:tc>
          <w:tcPr>
            <w:tcW w:w="6479" w:type="dxa"/>
            <w:vAlign w:val="center"/>
          </w:tcPr>
          <w:p w14:paraId="6FDBBB21" w14:textId="5FE9B1FA" w:rsidR="0003505C" w:rsidRPr="0034093E" w:rsidRDefault="009165AA" w:rsidP="00D22441">
            <w:pPr>
              <w:rPr>
                <w:rFonts w:cs="Arial"/>
                <w:sz w:val="22"/>
                <w:szCs w:val="22"/>
              </w:rPr>
            </w:pPr>
            <w:r w:rsidRPr="009165AA">
              <w:rPr>
                <w:rFonts w:cs="Arial"/>
                <w:sz w:val="22"/>
                <w:szCs w:val="22"/>
              </w:rPr>
              <w:t xml:space="preserve">Central de </w:t>
            </w:r>
            <w:r>
              <w:rPr>
                <w:rFonts w:cs="Arial"/>
                <w:sz w:val="22"/>
                <w:szCs w:val="22"/>
              </w:rPr>
              <w:t>I</w:t>
            </w:r>
            <w:r w:rsidRPr="009165AA">
              <w:rPr>
                <w:rFonts w:cs="Arial"/>
                <w:sz w:val="22"/>
                <w:szCs w:val="22"/>
              </w:rPr>
              <w:t>nversiones S.A.</w:t>
            </w:r>
          </w:p>
        </w:tc>
      </w:tr>
      <w:tr w:rsidR="0003505C" w:rsidRPr="0034093E" w14:paraId="155EF0CE" w14:textId="77777777" w:rsidTr="005261A0">
        <w:tc>
          <w:tcPr>
            <w:tcW w:w="1428" w:type="dxa"/>
            <w:vAlign w:val="center"/>
          </w:tcPr>
          <w:p w14:paraId="29BE41B5" w14:textId="77777777" w:rsidR="0003505C" w:rsidRPr="0034093E" w:rsidRDefault="0003505C" w:rsidP="00D22441">
            <w:pPr>
              <w:rPr>
                <w:rFonts w:cs="Arial"/>
                <w:sz w:val="22"/>
                <w:szCs w:val="22"/>
              </w:rPr>
            </w:pPr>
            <w:r w:rsidRPr="0034093E">
              <w:rPr>
                <w:rFonts w:cs="Arial"/>
                <w:sz w:val="22"/>
                <w:szCs w:val="22"/>
              </w:rPr>
              <w:t>C</w:t>
            </w:r>
            <w:r>
              <w:rPr>
                <w:rFonts w:cs="Arial"/>
                <w:sz w:val="22"/>
                <w:szCs w:val="22"/>
              </w:rPr>
              <w:t>ONPES</w:t>
            </w:r>
          </w:p>
        </w:tc>
        <w:tc>
          <w:tcPr>
            <w:tcW w:w="284" w:type="dxa"/>
            <w:vAlign w:val="center"/>
          </w:tcPr>
          <w:p w14:paraId="02EB8C2F" w14:textId="77777777" w:rsidR="0003505C" w:rsidRPr="0034093E" w:rsidRDefault="0003505C" w:rsidP="00D22441">
            <w:pPr>
              <w:rPr>
                <w:rFonts w:cs="Arial"/>
                <w:sz w:val="22"/>
                <w:szCs w:val="22"/>
              </w:rPr>
            </w:pPr>
          </w:p>
        </w:tc>
        <w:tc>
          <w:tcPr>
            <w:tcW w:w="390" w:type="dxa"/>
            <w:vAlign w:val="center"/>
          </w:tcPr>
          <w:p w14:paraId="216D88DE" w14:textId="77777777" w:rsidR="0003505C" w:rsidRPr="0034093E" w:rsidRDefault="0003505C" w:rsidP="00D22441">
            <w:pPr>
              <w:jc w:val="center"/>
              <w:rPr>
                <w:rFonts w:cs="Arial"/>
                <w:sz w:val="22"/>
                <w:szCs w:val="22"/>
              </w:rPr>
            </w:pPr>
            <w:r w:rsidRPr="0034093E">
              <w:rPr>
                <w:rFonts w:cs="Arial"/>
                <w:sz w:val="22"/>
                <w:szCs w:val="22"/>
              </w:rPr>
              <w:t>:</w:t>
            </w:r>
          </w:p>
        </w:tc>
        <w:tc>
          <w:tcPr>
            <w:tcW w:w="360" w:type="dxa"/>
            <w:vAlign w:val="center"/>
          </w:tcPr>
          <w:p w14:paraId="0228836C" w14:textId="77777777" w:rsidR="0003505C" w:rsidRPr="0034093E" w:rsidRDefault="0003505C" w:rsidP="00D22441">
            <w:pPr>
              <w:rPr>
                <w:rFonts w:cs="Arial"/>
                <w:sz w:val="22"/>
                <w:szCs w:val="22"/>
              </w:rPr>
            </w:pPr>
          </w:p>
        </w:tc>
        <w:tc>
          <w:tcPr>
            <w:tcW w:w="6479" w:type="dxa"/>
            <w:vAlign w:val="center"/>
          </w:tcPr>
          <w:p w14:paraId="67467763" w14:textId="1FFD23F2" w:rsidR="0003505C" w:rsidRPr="0034093E" w:rsidRDefault="0003505C" w:rsidP="00D22441">
            <w:pPr>
              <w:rPr>
                <w:rFonts w:cs="Arial"/>
                <w:sz w:val="22"/>
                <w:szCs w:val="22"/>
              </w:rPr>
            </w:pPr>
            <w:r>
              <w:rPr>
                <w:rFonts w:cs="Arial"/>
                <w:sz w:val="22"/>
                <w:szCs w:val="22"/>
              </w:rPr>
              <w:t xml:space="preserve">Consejo </w:t>
            </w:r>
            <w:r w:rsidR="009165AA">
              <w:rPr>
                <w:rFonts w:cs="Arial"/>
                <w:sz w:val="22"/>
                <w:szCs w:val="22"/>
              </w:rPr>
              <w:t>n</w:t>
            </w:r>
            <w:r>
              <w:rPr>
                <w:rFonts w:cs="Arial"/>
                <w:sz w:val="22"/>
                <w:szCs w:val="22"/>
              </w:rPr>
              <w:t xml:space="preserve">acional de </w:t>
            </w:r>
            <w:r w:rsidR="009165AA">
              <w:rPr>
                <w:rFonts w:cs="Arial"/>
                <w:sz w:val="22"/>
                <w:szCs w:val="22"/>
              </w:rPr>
              <w:t>p</w:t>
            </w:r>
            <w:r>
              <w:rPr>
                <w:rFonts w:cs="Arial"/>
                <w:sz w:val="22"/>
                <w:szCs w:val="22"/>
              </w:rPr>
              <w:t xml:space="preserve">olítica </w:t>
            </w:r>
            <w:r w:rsidR="009165AA">
              <w:rPr>
                <w:rFonts w:cs="Arial"/>
                <w:sz w:val="22"/>
                <w:szCs w:val="22"/>
              </w:rPr>
              <w:t>e</w:t>
            </w:r>
            <w:r>
              <w:rPr>
                <w:rFonts w:cs="Arial"/>
                <w:sz w:val="22"/>
                <w:szCs w:val="22"/>
              </w:rPr>
              <w:t xml:space="preserve">conómica y </w:t>
            </w:r>
            <w:r w:rsidR="009165AA">
              <w:rPr>
                <w:rFonts w:cs="Arial"/>
                <w:sz w:val="22"/>
                <w:szCs w:val="22"/>
              </w:rPr>
              <w:t>s</w:t>
            </w:r>
            <w:r>
              <w:rPr>
                <w:rFonts w:cs="Arial"/>
                <w:sz w:val="22"/>
                <w:szCs w:val="22"/>
              </w:rPr>
              <w:t>ocial.</w:t>
            </w:r>
          </w:p>
        </w:tc>
      </w:tr>
      <w:tr w:rsidR="0003505C" w:rsidRPr="0034093E" w14:paraId="4F039EFF" w14:textId="77777777" w:rsidTr="005261A0">
        <w:tc>
          <w:tcPr>
            <w:tcW w:w="1428" w:type="dxa"/>
            <w:vAlign w:val="center"/>
          </w:tcPr>
          <w:p w14:paraId="7648BF29" w14:textId="77777777" w:rsidR="0003505C" w:rsidRPr="0034093E" w:rsidRDefault="0003505C" w:rsidP="00D22441">
            <w:pPr>
              <w:rPr>
                <w:rFonts w:cs="Arial"/>
                <w:sz w:val="22"/>
                <w:szCs w:val="22"/>
              </w:rPr>
            </w:pPr>
            <w:r w:rsidRPr="0034093E">
              <w:rPr>
                <w:rFonts w:cs="Arial"/>
                <w:sz w:val="22"/>
                <w:szCs w:val="22"/>
              </w:rPr>
              <w:t>C</w:t>
            </w:r>
            <w:r>
              <w:rPr>
                <w:rFonts w:cs="Arial"/>
                <w:sz w:val="22"/>
                <w:szCs w:val="22"/>
              </w:rPr>
              <w:t>PACA</w:t>
            </w:r>
          </w:p>
        </w:tc>
        <w:tc>
          <w:tcPr>
            <w:tcW w:w="284" w:type="dxa"/>
            <w:vAlign w:val="center"/>
          </w:tcPr>
          <w:p w14:paraId="5FDA8E2A" w14:textId="77777777" w:rsidR="0003505C" w:rsidRPr="0034093E" w:rsidRDefault="0003505C" w:rsidP="00D22441">
            <w:pPr>
              <w:rPr>
                <w:rFonts w:cs="Arial"/>
                <w:sz w:val="22"/>
                <w:szCs w:val="22"/>
              </w:rPr>
            </w:pPr>
          </w:p>
        </w:tc>
        <w:tc>
          <w:tcPr>
            <w:tcW w:w="390" w:type="dxa"/>
            <w:vAlign w:val="center"/>
          </w:tcPr>
          <w:p w14:paraId="5E8CCE47" w14:textId="77777777" w:rsidR="0003505C" w:rsidRPr="0034093E" w:rsidRDefault="0003505C" w:rsidP="00D22441">
            <w:pPr>
              <w:jc w:val="center"/>
              <w:rPr>
                <w:rFonts w:cs="Arial"/>
                <w:sz w:val="22"/>
                <w:szCs w:val="22"/>
              </w:rPr>
            </w:pPr>
            <w:r w:rsidRPr="0034093E">
              <w:rPr>
                <w:rFonts w:cs="Arial"/>
                <w:sz w:val="22"/>
                <w:szCs w:val="22"/>
              </w:rPr>
              <w:t>:</w:t>
            </w:r>
          </w:p>
        </w:tc>
        <w:tc>
          <w:tcPr>
            <w:tcW w:w="360" w:type="dxa"/>
            <w:vAlign w:val="center"/>
          </w:tcPr>
          <w:p w14:paraId="5AD25EA5" w14:textId="77777777" w:rsidR="0003505C" w:rsidRPr="0034093E" w:rsidRDefault="0003505C" w:rsidP="00D22441">
            <w:pPr>
              <w:rPr>
                <w:rFonts w:cs="Arial"/>
                <w:sz w:val="22"/>
                <w:szCs w:val="22"/>
              </w:rPr>
            </w:pPr>
          </w:p>
        </w:tc>
        <w:tc>
          <w:tcPr>
            <w:tcW w:w="6479" w:type="dxa"/>
            <w:vAlign w:val="center"/>
          </w:tcPr>
          <w:p w14:paraId="5385CC83" w14:textId="4F854D81" w:rsidR="0003505C" w:rsidRPr="0034093E" w:rsidRDefault="0003505C" w:rsidP="00D22441">
            <w:pPr>
              <w:rPr>
                <w:rFonts w:cs="Arial"/>
                <w:sz w:val="22"/>
                <w:szCs w:val="22"/>
              </w:rPr>
            </w:pPr>
            <w:r w:rsidRPr="00652840">
              <w:rPr>
                <w:rFonts w:cs="Arial"/>
                <w:sz w:val="22"/>
                <w:szCs w:val="22"/>
              </w:rPr>
              <w:t xml:space="preserve">Código de </w:t>
            </w:r>
            <w:r w:rsidR="009165AA">
              <w:rPr>
                <w:rFonts w:cs="Arial"/>
                <w:sz w:val="22"/>
                <w:szCs w:val="22"/>
              </w:rPr>
              <w:t>p</w:t>
            </w:r>
            <w:r w:rsidRPr="00652840">
              <w:rPr>
                <w:rFonts w:cs="Arial"/>
                <w:sz w:val="22"/>
                <w:szCs w:val="22"/>
              </w:rPr>
              <w:t xml:space="preserve">rocedimiento </w:t>
            </w:r>
            <w:r w:rsidR="009165AA">
              <w:rPr>
                <w:rFonts w:cs="Arial"/>
                <w:sz w:val="22"/>
                <w:szCs w:val="22"/>
              </w:rPr>
              <w:t>a</w:t>
            </w:r>
            <w:r w:rsidRPr="00652840">
              <w:rPr>
                <w:rFonts w:cs="Arial"/>
                <w:sz w:val="22"/>
                <w:szCs w:val="22"/>
              </w:rPr>
              <w:t xml:space="preserve">dministrativo y de lo </w:t>
            </w:r>
            <w:r w:rsidR="009165AA">
              <w:rPr>
                <w:rFonts w:cs="Arial"/>
                <w:sz w:val="22"/>
                <w:szCs w:val="22"/>
              </w:rPr>
              <w:t>c</w:t>
            </w:r>
            <w:r w:rsidRPr="00652840">
              <w:rPr>
                <w:rFonts w:cs="Arial"/>
                <w:sz w:val="22"/>
                <w:szCs w:val="22"/>
              </w:rPr>
              <w:t xml:space="preserve">ontencioso </w:t>
            </w:r>
            <w:r w:rsidR="009165AA">
              <w:rPr>
                <w:rFonts w:cs="Arial"/>
                <w:sz w:val="22"/>
                <w:szCs w:val="22"/>
              </w:rPr>
              <w:t>a</w:t>
            </w:r>
            <w:r w:rsidRPr="00652840">
              <w:rPr>
                <w:rFonts w:cs="Arial"/>
                <w:sz w:val="22"/>
                <w:szCs w:val="22"/>
              </w:rPr>
              <w:t>dministrativo</w:t>
            </w:r>
            <w:r w:rsidR="00057B81">
              <w:rPr>
                <w:rFonts w:cs="Arial"/>
                <w:sz w:val="22"/>
                <w:szCs w:val="22"/>
              </w:rPr>
              <w:t>.</w:t>
            </w:r>
          </w:p>
        </w:tc>
      </w:tr>
      <w:tr w:rsidR="0003505C" w:rsidRPr="0034093E" w14:paraId="318C0197" w14:textId="77777777" w:rsidTr="005261A0">
        <w:tc>
          <w:tcPr>
            <w:tcW w:w="1428" w:type="dxa"/>
            <w:vAlign w:val="center"/>
          </w:tcPr>
          <w:p w14:paraId="58F77B92" w14:textId="77777777" w:rsidR="0003505C" w:rsidRPr="0034093E" w:rsidRDefault="0003505C" w:rsidP="00D22441">
            <w:pPr>
              <w:rPr>
                <w:rFonts w:cs="Arial"/>
                <w:sz w:val="22"/>
                <w:szCs w:val="22"/>
              </w:rPr>
            </w:pPr>
            <w:r>
              <w:rPr>
                <w:rFonts w:cs="Arial"/>
                <w:sz w:val="22"/>
                <w:szCs w:val="22"/>
              </w:rPr>
              <w:t>CRA</w:t>
            </w:r>
          </w:p>
        </w:tc>
        <w:tc>
          <w:tcPr>
            <w:tcW w:w="284" w:type="dxa"/>
            <w:vAlign w:val="center"/>
          </w:tcPr>
          <w:p w14:paraId="294C6F33" w14:textId="77777777" w:rsidR="0003505C" w:rsidRPr="0034093E" w:rsidRDefault="0003505C" w:rsidP="00D22441">
            <w:pPr>
              <w:rPr>
                <w:rFonts w:cs="Arial"/>
                <w:sz w:val="22"/>
                <w:szCs w:val="22"/>
              </w:rPr>
            </w:pPr>
          </w:p>
        </w:tc>
        <w:tc>
          <w:tcPr>
            <w:tcW w:w="390" w:type="dxa"/>
            <w:vAlign w:val="center"/>
          </w:tcPr>
          <w:p w14:paraId="7452C53A" w14:textId="77777777" w:rsidR="0003505C" w:rsidRPr="0034093E" w:rsidRDefault="0003505C" w:rsidP="00D22441">
            <w:pPr>
              <w:jc w:val="center"/>
              <w:rPr>
                <w:rFonts w:cs="Arial"/>
                <w:sz w:val="22"/>
                <w:szCs w:val="22"/>
              </w:rPr>
            </w:pPr>
            <w:r w:rsidRPr="0034093E">
              <w:rPr>
                <w:rFonts w:cs="Arial"/>
                <w:sz w:val="22"/>
                <w:szCs w:val="22"/>
              </w:rPr>
              <w:t>:</w:t>
            </w:r>
          </w:p>
        </w:tc>
        <w:tc>
          <w:tcPr>
            <w:tcW w:w="360" w:type="dxa"/>
            <w:vAlign w:val="center"/>
          </w:tcPr>
          <w:p w14:paraId="266529C6" w14:textId="77777777" w:rsidR="0003505C" w:rsidRPr="0034093E" w:rsidRDefault="0003505C" w:rsidP="00D22441">
            <w:pPr>
              <w:rPr>
                <w:rFonts w:cs="Arial"/>
                <w:sz w:val="22"/>
                <w:szCs w:val="22"/>
              </w:rPr>
            </w:pPr>
          </w:p>
        </w:tc>
        <w:tc>
          <w:tcPr>
            <w:tcW w:w="6479" w:type="dxa"/>
            <w:vAlign w:val="center"/>
          </w:tcPr>
          <w:p w14:paraId="12005365" w14:textId="77777777" w:rsidR="0003505C" w:rsidRPr="0034093E" w:rsidRDefault="0003505C" w:rsidP="00D22441">
            <w:pPr>
              <w:rPr>
                <w:rFonts w:cs="Arial"/>
                <w:sz w:val="22"/>
                <w:szCs w:val="22"/>
              </w:rPr>
            </w:pPr>
            <w:r>
              <w:rPr>
                <w:rFonts w:cs="Arial"/>
                <w:sz w:val="22"/>
                <w:szCs w:val="22"/>
              </w:rPr>
              <w:t>Comisión de Regulación de Agua Potable y Saneamiento Básico.</w:t>
            </w:r>
          </w:p>
        </w:tc>
      </w:tr>
      <w:tr w:rsidR="0003505C" w:rsidRPr="0034093E" w14:paraId="6950FA8E" w14:textId="77777777" w:rsidTr="005261A0">
        <w:tc>
          <w:tcPr>
            <w:tcW w:w="1428" w:type="dxa"/>
            <w:vAlign w:val="center"/>
          </w:tcPr>
          <w:p w14:paraId="6325C4A9" w14:textId="77777777" w:rsidR="0003505C" w:rsidRPr="0034093E" w:rsidRDefault="0003505C" w:rsidP="00D22441">
            <w:pPr>
              <w:rPr>
                <w:rFonts w:cs="Arial"/>
                <w:sz w:val="22"/>
                <w:szCs w:val="22"/>
              </w:rPr>
            </w:pPr>
            <w:r w:rsidRPr="0034093E">
              <w:rPr>
                <w:rFonts w:cs="Arial"/>
                <w:sz w:val="22"/>
                <w:szCs w:val="22"/>
              </w:rPr>
              <w:t>C</w:t>
            </w:r>
            <w:r>
              <w:rPr>
                <w:rFonts w:cs="Arial"/>
                <w:sz w:val="22"/>
                <w:szCs w:val="22"/>
              </w:rPr>
              <w:t>REG</w:t>
            </w:r>
          </w:p>
        </w:tc>
        <w:tc>
          <w:tcPr>
            <w:tcW w:w="284" w:type="dxa"/>
            <w:vAlign w:val="center"/>
          </w:tcPr>
          <w:p w14:paraId="3AF67A2F" w14:textId="77777777" w:rsidR="0003505C" w:rsidRPr="0034093E" w:rsidRDefault="0003505C" w:rsidP="00D22441">
            <w:pPr>
              <w:rPr>
                <w:rFonts w:cs="Arial"/>
                <w:sz w:val="22"/>
                <w:szCs w:val="22"/>
              </w:rPr>
            </w:pPr>
          </w:p>
        </w:tc>
        <w:tc>
          <w:tcPr>
            <w:tcW w:w="390" w:type="dxa"/>
            <w:vAlign w:val="center"/>
          </w:tcPr>
          <w:p w14:paraId="1CBA4168" w14:textId="77777777" w:rsidR="0003505C" w:rsidRPr="0034093E" w:rsidRDefault="0003505C" w:rsidP="00D22441">
            <w:pPr>
              <w:jc w:val="center"/>
              <w:rPr>
                <w:rFonts w:cs="Arial"/>
                <w:sz w:val="22"/>
                <w:szCs w:val="22"/>
              </w:rPr>
            </w:pPr>
            <w:r w:rsidRPr="0034093E">
              <w:rPr>
                <w:rFonts w:cs="Arial"/>
                <w:sz w:val="22"/>
                <w:szCs w:val="22"/>
              </w:rPr>
              <w:t>:</w:t>
            </w:r>
          </w:p>
        </w:tc>
        <w:tc>
          <w:tcPr>
            <w:tcW w:w="360" w:type="dxa"/>
            <w:vAlign w:val="center"/>
          </w:tcPr>
          <w:p w14:paraId="306BEE93" w14:textId="77777777" w:rsidR="0003505C" w:rsidRPr="0034093E" w:rsidRDefault="0003505C" w:rsidP="00D22441">
            <w:pPr>
              <w:rPr>
                <w:rFonts w:cs="Arial"/>
                <w:sz w:val="22"/>
                <w:szCs w:val="22"/>
              </w:rPr>
            </w:pPr>
          </w:p>
        </w:tc>
        <w:tc>
          <w:tcPr>
            <w:tcW w:w="6479" w:type="dxa"/>
            <w:vAlign w:val="center"/>
          </w:tcPr>
          <w:p w14:paraId="37AC554B" w14:textId="77777777" w:rsidR="0003505C" w:rsidRPr="0034093E" w:rsidRDefault="0003505C" w:rsidP="00D22441">
            <w:pPr>
              <w:rPr>
                <w:rFonts w:cs="Arial"/>
                <w:sz w:val="22"/>
                <w:szCs w:val="22"/>
              </w:rPr>
            </w:pPr>
            <w:r>
              <w:rPr>
                <w:rFonts w:cs="Arial"/>
                <w:sz w:val="22"/>
                <w:szCs w:val="22"/>
              </w:rPr>
              <w:t>Comisión de Regulación de Energía y Gas.</w:t>
            </w:r>
          </w:p>
        </w:tc>
      </w:tr>
      <w:tr w:rsidR="0003505C" w:rsidRPr="0034093E" w14:paraId="0767E77F" w14:textId="77777777" w:rsidTr="005261A0">
        <w:tc>
          <w:tcPr>
            <w:tcW w:w="1428" w:type="dxa"/>
            <w:vAlign w:val="center"/>
          </w:tcPr>
          <w:p w14:paraId="62A91165" w14:textId="77777777" w:rsidR="0003505C" w:rsidRPr="0034093E" w:rsidRDefault="0003505C" w:rsidP="00D22441">
            <w:pPr>
              <w:rPr>
                <w:rFonts w:cs="Arial"/>
                <w:sz w:val="22"/>
                <w:szCs w:val="22"/>
              </w:rPr>
            </w:pPr>
            <w:r w:rsidRPr="0034093E">
              <w:rPr>
                <w:rFonts w:cs="Arial"/>
                <w:sz w:val="22"/>
                <w:szCs w:val="22"/>
              </w:rPr>
              <w:t>CSF</w:t>
            </w:r>
          </w:p>
        </w:tc>
        <w:tc>
          <w:tcPr>
            <w:tcW w:w="284" w:type="dxa"/>
            <w:vAlign w:val="center"/>
          </w:tcPr>
          <w:p w14:paraId="0B0D3A8B" w14:textId="77777777" w:rsidR="0003505C" w:rsidRPr="0034093E" w:rsidRDefault="0003505C" w:rsidP="00D22441">
            <w:pPr>
              <w:rPr>
                <w:rFonts w:cs="Arial"/>
                <w:sz w:val="22"/>
                <w:szCs w:val="22"/>
              </w:rPr>
            </w:pPr>
          </w:p>
        </w:tc>
        <w:tc>
          <w:tcPr>
            <w:tcW w:w="390" w:type="dxa"/>
            <w:vAlign w:val="center"/>
          </w:tcPr>
          <w:p w14:paraId="158B9AB9" w14:textId="77777777" w:rsidR="0003505C" w:rsidRPr="0034093E" w:rsidRDefault="0003505C" w:rsidP="00D22441">
            <w:pPr>
              <w:jc w:val="center"/>
              <w:rPr>
                <w:rFonts w:cs="Arial"/>
                <w:sz w:val="22"/>
                <w:szCs w:val="22"/>
              </w:rPr>
            </w:pPr>
            <w:r w:rsidRPr="0034093E">
              <w:rPr>
                <w:rFonts w:cs="Arial"/>
                <w:sz w:val="22"/>
                <w:szCs w:val="22"/>
              </w:rPr>
              <w:t>:</w:t>
            </w:r>
          </w:p>
        </w:tc>
        <w:tc>
          <w:tcPr>
            <w:tcW w:w="360" w:type="dxa"/>
            <w:vAlign w:val="center"/>
          </w:tcPr>
          <w:p w14:paraId="27BB75D6" w14:textId="77777777" w:rsidR="0003505C" w:rsidRPr="0034093E" w:rsidRDefault="0003505C" w:rsidP="00D22441">
            <w:pPr>
              <w:rPr>
                <w:rFonts w:cs="Arial"/>
                <w:sz w:val="22"/>
                <w:szCs w:val="22"/>
              </w:rPr>
            </w:pPr>
          </w:p>
        </w:tc>
        <w:tc>
          <w:tcPr>
            <w:tcW w:w="6479" w:type="dxa"/>
            <w:vAlign w:val="center"/>
          </w:tcPr>
          <w:p w14:paraId="5DA46948" w14:textId="77777777" w:rsidR="0003505C" w:rsidRPr="0034093E" w:rsidRDefault="0003505C" w:rsidP="00D22441">
            <w:pPr>
              <w:rPr>
                <w:rFonts w:cs="Arial"/>
                <w:sz w:val="22"/>
                <w:szCs w:val="22"/>
              </w:rPr>
            </w:pPr>
            <w:r w:rsidRPr="0034093E">
              <w:rPr>
                <w:rFonts w:cs="Arial"/>
                <w:sz w:val="22"/>
                <w:szCs w:val="22"/>
              </w:rPr>
              <w:t xml:space="preserve">Con </w:t>
            </w:r>
            <w:r>
              <w:rPr>
                <w:rFonts w:cs="Arial"/>
                <w:sz w:val="22"/>
                <w:szCs w:val="22"/>
              </w:rPr>
              <w:t>s</w:t>
            </w:r>
            <w:r w:rsidRPr="0034093E">
              <w:rPr>
                <w:rFonts w:cs="Arial"/>
                <w:sz w:val="22"/>
                <w:szCs w:val="22"/>
              </w:rPr>
              <w:t>ituación de</w:t>
            </w:r>
            <w:r>
              <w:rPr>
                <w:rFonts w:cs="Arial"/>
                <w:sz w:val="22"/>
                <w:szCs w:val="22"/>
              </w:rPr>
              <w:t xml:space="preserve"> f</w:t>
            </w:r>
            <w:r w:rsidRPr="0034093E">
              <w:rPr>
                <w:rFonts w:cs="Arial"/>
                <w:sz w:val="22"/>
                <w:szCs w:val="22"/>
              </w:rPr>
              <w:t>ondos.</w:t>
            </w:r>
          </w:p>
        </w:tc>
      </w:tr>
      <w:tr w:rsidR="0003505C" w:rsidRPr="0034093E" w14:paraId="06C317D5" w14:textId="77777777" w:rsidTr="005261A0">
        <w:tc>
          <w:tcPr>
            <w:tcW w:w="1428" w:type="dxa"/>
            <w:vAlign w:val="center"/>
          </w:tcPr>
          <w:p w14:paraId="38289BAC" w14:textId="77777777" w:rsidR="0003505C" w:rsidRPr="0034093E" w:rsidRDefault="0003505C" w:rsidP="00D22441">
            <w:pPr>
              <w:rPr>
                <w:rFonts w:cs="Arial"/>
                <w:sz w:val="22"/>
                <w:szCs w:val="22"/>
              </w:rPr>
            </w:pPr>
            <w:r>
              <w:rPr>
                <w:rFonts w:cs="Arial"/>
                <w:sz w:val="22"/>
                <w:szCs w:val="22"/>
              </w:rPr>
              <w:t>CUN</w:t>
            </w:r>
          </w:p>
        </w:tc>
        <w:tc>
          <w:tcPr>
            <w:tcW w:w="284" w:type="dxa"/>
            <w:vAlign w:val="center"/>
          </w:tcPr>
          <w:p w14:paraId="08E8F998" w14:textId="77777777" w:rsidR="0003505C" w:rsidRPr="0034093E" w:rsidRDefault="0003505C" w:rsidP="00D22441">
            <w:pPr>
              <w:rPr>
                <w:rFonts w:cs="Arial"/>
                <w:sz w:val="22"/>
                <w:szCs w:val="22"/>
              </w:rPr>
            </w:pPr>
          </w:p>
        </w:tc>
        <w:tc>
          <w:tcPr>
            <w:tcW w:w="390" w:type="dxa"/>
            <w:vAlign w:val="center"/>
          </w:tcPr>
          <w:p w14:paraId="6CBBE31B" w14:textId="77777777" w:rsidR="0003505C" w:rsidRPr="0034093E" w:rsidRDefault="0003505C" w:rsidP="00D22441">
            <w:pPr>
              <w:jc w:val="center"/>
              <w:rPr>
                <w:rFonts w:cs="Arial"/>
                <w:sz w:val="22"/>
                <w:szCs w:val="22"/>
              </w:rPr>
            </w:pPr>
            <w:r>
              <w:rPr>
                <w:rFonts w:cs="Arial"/>
                <w:sz w:val="22"/>
                <w:szCs w:val="22"/>
              </w:rPr>
              <w:t>:</w:t>
            </w:r>
          </w:p>
        </w:tc>
        <w:tc>
          <w:tcPr>
            <w:tcW w:w="360" w:type="dxa"/>
            <w:vAlign w:val="center"/>
          </w:tcPr>
          <w:p w14:paraId="7F04670F" w14:textId="77777777" w:rsidR="0003505C" w:rsidRPr="0034093E" w:rsidRDefault="0003505C" w:rsidP="00D22441">
            <w:pPr>
              <w:rPr>
                <w:rFonts w:cs="Arial"/>
                <w:sz w:val="22"/>
                <w:szCs w:val="22"/>
              </w:rPr>
            </w:pPr>
          </w:p>
        </w:tc>
        <w:tc>
          <w:tcPr>
            <w:tcW w:w="6479" w:type="dxa"/>
            <w:vAlign w:val="center"/>
          </w:tcPr>
          <w:p w14:paraId="66F2AC26" w14:textId="77777777" w:rsidR="0003505C" w:rsidRPr="0034093E" w:rsidRDefault="0003505C" w:rsidP="00D22441">
            <w:pPr>
              <w:rPr>
                <w:rFonts w:cs="Arial"/>
                <w:sz w:val="22"/>
                <w:szCs w:val="22"/>
              </w:rPr>
            </w:pPr>
            <w:r>
              <w:rPr>
                <w:rFonts w:cs="Arial"/>
                <w:sz w:val="22"/>
                <w:szCs w:val="22"/>
              </w:rPr>
              <w:t>Cuenta única nacional.</w:t>
            </w:r>
          </w:p>
        </w:tc>
      </w:tr>
      <w:tr w:rsidR="0003505C" w:rsidRPr="0034093E" w14:paraId="194FF8E0" w14:textId="77777777" w:rsidTr="005261A0">
        <w:tc>
          <w:tcPr>
            <w:tcW w:w="1428" w:type="dxa"/>
            <w:vAlign w:val="center"/>
          </w:tcPr>
          <w:p w14:paraId="0575FAAF" w14:textId="77777777" w:rsidR="0003505C" w:rsidRDefault="0003505C" w:rsidP="00D22441">
            <w:pPr>
              <w:rPr>
                <w:rFonts w:cs="Arial"/>
                <w:sz w:val="22"/>
                <w:szCs w:val="22"/>
              </w:rPr>
            </w:pPr>
            <w:r w:rsidRPr="00635E24">
              <w:rPr>
                <w:rFonts w:cs="Arial"/>
                <w:sz w:val="22"/>
                <w:szCs w:val="22"/>
              </w:rPr>
              <w:t>DGCPTN</w:t>
            </w:r>
          </w:p>
        </w:tc>
        <w:tc>
          <w:tcPr>
            <w:tcW w:w="284" w:type="dxa"/>
            <w:vAlign w:val="center"/>
          </w:tcPr>
          <w:p w14:paraId="1A1EB6CF" w14:textId="77777777" w:rsidR="0003505C" w:rsidRPr="0034093E" w:rsidRDefault="0003505C" w:rsidP="00D22441">
            <w:pPr>
              <w:rPr>
                <w:rFonts w:cs="Arial"/>
                <w:sz w:val="22"/>
                <w:szCs w:val="22"/>
              </w:rPr>
            </w:pPr>
          </w:p>
        </w:tc>
        <w:tc>
          <w:tcPr>
            <w:tcW w:w="390" w:type="dxa"/>
            <w:vAlign w:val="center"/>
          </w:tcPr>
          <w:p w14:paraId="2757F59F" w14:textId="77777777" w:rsidR="0003505C" w:rsidRDefault="0003505C" w:rsidP="00D22441">
            <w:pPr>
              <w:jc w:val="center"/>
              <w:rPr>
                <w:rFonts w:cs="Arial"/>
                <w:sz w:val="22"/>
                <w:szCs w:val="22"/>
              </w:rPr>
            </w:pPr>
            <w:r>
              <w:rPr>
                <w:rFonts w:cs="Arial"/>
                <w:sz w:val="22"/>
                <w:szCs w:val="22"/>
              </w:rPr>
              <w:t>:</w:t>
            </w:r>
          </w:p>
        </w:tc>
        <w:tc>
          <w:tcPr>
            <w:tcW w:w="360" w:type="dxa"/>
            <w:vAlign w:val="center"/>
          </w:tcPr>
          <w:p w14:paraId="7476A71B" w14:textId="77777777" w:rsidR="0003505C" w:rsidRPr="0034093E" w:rsidRDefault="0003505C" w:rsidP="00D22441">
            <w:pPr>
              <w:rPr>
                <w:rFonts w:cs="Arial"/>
                <w:sz w:val="22"/>
                <w:szCs w:val="22"/>
              </w:rPr>
            </w:pPr>
          </w:p>
        </w:tc>
        <w:tc>
          <w:tcPr>
            <w:tcW w:w="6479" w:type="dxa"/>
            <w:vAlign w:val="center"/>
          </w:tcPr>
          <w:p w14:paraId="06F5A88E" w14:textId="77777777" w:rsidR="0003505C" w:rsidRDefault="0003505C" w:rsidP="00D22441">
            <w:pPr>
              <w:rPr>
                <w:rFonts w:cs="Arial"/>
                <w:sz w:val="22"/>
                <w:szCs w:val="22"/>
              </w:rPr>
            </w:pPr>
            <w:r w:rsidRPr="00635E24">
              <w:rPr>
                <w:rFonts w:cs="Arial"/>
                <w:sz w:val="22"/>
                <w:szCs w:val="22"/>
              </w:rPr>
              <w:t xml:space="preserve">Dirección </w:t>
            </w:r>
            <w:r>
              <w:rPr>
                <w:rFonts w:cs="Arial"/>
                <w:sz w:val="22"/>
                <w:szCs w:val="22"/>
              </w:rPr>
              <w:t>g</w:t>
            </w:r>
            <w:r w:rsidRPr="00635E24">
              <w:rPr>
                <w:rFonts w:cs="Arial"/>
                <w:sz w:val="22"/>
                <w:szCs w:val="22"/>
              </w:rPr>
              <w:t xml:space="preserve">eneral de </w:t>
            </w:r>
            <w:r>
              <w:rPr>
                <w:rFonts w:cs="Arial"/>
                <w:sz w:val="22"/>
                <w:szCs w:val="22"/>
              </w:rPr>
              <w:t>c</w:t>
            </w:r>
            <w:r w:rsidRPr="00635E24">
              <w:rPr>
                <w:rFonts w:cs="Arial"/>
                <w:sz w:val="22"/>
                <w:szCs w:val="22"/>
              </w:rPr>
              <w:t xml:space="preserve">rédito </w:t>
            </w:r>
            <w:r>
              <w:rPr>
                <w:rFonts w:cs="Arial"/>
                <w:sz w:val="22"/>
                <w:szCs w:val="22"/>
              </w:rPr>
              <w:t>p</w:t>
            </w:r>
            <w:r w:rsidRPr="00635E24">
              <w:rPr>
                <w:rFonts w:cs="Arial"/>
                <w:sz w:val="22"/>
                <w:szCs w:val="22"/>
              </w:rPr>
              <w:t xml:space="preserve">úblico y </w:t>
            </w:r>
            <w:r>
              <w:rPr>
                <w:rFonts w:cs="Arial"/>
                <w:sz w:val="22"/>
                <w:szCs w:val="22"/>
              </w:rPr>
              <w:t>t</w:t>
            </w:r>
            <w:r w:rsidRPr="00635E24">
              <w:rPr>
                <w:rFonts w:cs="Arial"/>
                <w:sz w:val="22"/>
                <w:szCs w:val="22"/>
              </w:rPr>
              <w:t xml:space="preserve">esoro </w:t>
            </w:r>
            <w:r>
              <w:rPr>
                <w:rFonts w:cs="Arial"/>
                <w:sz w:val="22"/>
                <w:szCs w:val="22"/>
              </w:rPr>
              <w:t>n</w:t>
            </w:r>
            <w:r w:rsidRPr="00635E24">
              <w:rPr>
                <w:rFonts w:cs="Arial"/>
                <w:sz w:val="22"/>
                <w:szCs w:val="22"/>
              </w:rPr>
              <w:t>acional</w:t>
            </w:r>
            <w:r>
              <w:rPr>
                <w:rFonts w:cs="Arial"/>
                <w:sz w:val="22"/>
                <w:szCs w:val="22"/>
              </w:rPr>
              <w:t>.</w:t>
            </w:r>
          </w:p>
        </w:tc>
      </w:tr>
      <w:tr w:rsidR="0003505C" w:rsidRPr="0034093E" w14:paraId="1B6A3FCE" w14:textId="77777777" w:rsidTr="005261A0">
        <w:tc>
          <w:tcPr>
            <w:tcW w:w="1428" w:type="dxa"/>
            <w:vAlign w:val="center"/>
          </w:tcPr>
          <w:p w14:paraId="2C0B6013" w14:textId="77777777" w:rsidR="0003505C" w:rsidRPr="00635E24" w:rsidRDefault="0003505C" w:rsidP="00D22441">
            <w:pPr>
              <w:rPr>
                <w:rFonts w:cs="Arial"/>
                <w:sz w:val="22"/>
                <w:szCs w:val="22"/>
              </w:rPr>
            </w:pPr>
            <w:r>
              <w:rPr>
                <w:rFonts w:cs="Arial"/>
                <w:sz w:val="22"/>
                <w:szCs w:val="22"/>
              </w:rPr>
              <w:t>DGPPN</w:t>
            </w:r>
          </w:p>
        </w:tc>
        <w:tc>
          <w:tcPr>
            <w:tcW w:w="284" w:type="dxa"/>
            <w:vAlign w:val="center"/>
          </w:tcPr>
          <w:p w14:paraId="4B71834E" w14:textId="77777777" w:rsidR="0003505C" w:rsidRPr="0034093E" w:rsidRDefault="0003505C" w:rsidP="00D22441">
            <w:pPr>
              <w:rPr>
                <w:rFonts w:cs="Arial"/>
                <w:sz w:val="22"/>
                <w:szCs w:val="22"/>
              </w:rPr>
            </w:pPr>
          </w:p>
        </w:tc>
        <w:tc>
          <w:tcPr>
            <w:tcW w:w="390" w:type="dxa"/>
            <w:vAlign w:val="center"/>
          </w:tcPr>
          <w:p w14:paraId="5CC72F56" w14:textId="77777777" w:rsidR="0003505C" w:rsidRDefault="0003505C" w:rsidP="00D22441">
            <w:pPr>
              <w:jc w:val="center"/>
              <w:rPr>
                <w:rFonts w:cs="Arial"/>
                <w:sz w:val="22"/>
                <w:szCs w:val="22"/>
              </w:rPr>
            </w:pPr>
            <w:r>
              <w:rPr>
                <w:rFonts w:cs="Arial"/>
                <w:sz w:val="22"/>
                <w:szCs w:val="22"/>
              </w:rPr>
              <w:t>:</w:t>
            </w:r>
          </w:p>
        </w:tc>
        <w:tc>
          <w:tcPr>
            <w:tcW w:w="360" w:type="dxa"/>
            <w:vAlign w:val="center"/>
          </w:tcPr>
          <w:p w14:paraId="606FD493" w14:textId="77777777" w:rsidR="0003505C" w:rsidRPr="0034093E" w:rsidRDefault="0003505C" w:rsidP="00D22441">
            <w:pPr>
              <w:rPr>
                <w:rFonts w:cs="Arial"/>
                <w:sz w:val="22"/>
                <w:szCs w:val="22"/>
              </w:rPr>
            </w:pPr>
          </w:p>
        </w:tc>
        <w:tc>
          <w:tcPr>
            <w:tcW w:w="6479" w:type="dxa"/>
            <w:vAlign w:val="center"/>
          </w:tcPr>
          <w:p w14:paraId="3D3AFF8B" w14:textId="77777777" w:rsidR="0003505C" w:rsidRPr="00635E24" w:rsidRDefault="0003505C" w:rsidP="00D22441">
            <w:pPr>
              <w:rPr>
                <w:rFonts w:cs="Arial"/>
                <w:sz w:val="22"/>
                <w:szCs w:val="22"/>
              </w:rPr>
            </w:pPr>
            <w:r>
              <w:rPr>
                <w:rFonts w:cs="Arial"/>
                <w:sz w:val="22"/>
                <w:szCs w:val="22"/>
              </w:rPr>
              <w:t>Dirección general del presupuesto público nacional.</w:t>
            </w:r>
          </w:p>
        </w:tc>
      </w:tr>
      <w:tr w:rsidR="0003505C" w:rsidRPr="0034093E" w14:paraId="6090E927" w14:textId="77777777" w:rsidTr="005261A0">
        <w:tc>
          <w:tcPr>
            <w:tcW w:w="1428" w:type="dxa"/>
            <w:vAlign w:val="center"/>
          </w:tcPr>
          <w:p w14:paraId="561E802D" w14:textId="77777777" w:rsidR="0003505C" w:rsidRPr="00635E24" w:rsidRDefault="0003505C" w:rsidP="00D22441">
            <w:pPr>
              <w:rPr>
                <w:rFonts w:cs="Arial"/>
                <w:sz w:val="22"/>
                <w:szCs w:val="22"/>
              </w:rPr>
            </w:pPr>
            <w:r>
              <w:rPr>
                <w:rFonts w:cs="Arial"/>
                <w:sz w:val="22"/>
                <w:szCs w:val="22"/>
              </w:rPr>
              <w:t>DIAN</w:t>
            </w:r>
          </w:p>
        </w:tc>
        <w:tc>
          <w:tcPr>
            <w:tcW w:w="284" w:type="dxa"/>
            <w:vAlign w:val="center"/>
          </w:tcPr>
          <w:p w14:paraId="6B281CFB" w14:textId="77777777" w:rsidR="0003505C" w:rsidRPr="0034093E" w:rsidRDefault="0003505C" w:rsidP="00D22441">
            <w:pPr>
              <w:rPr>
                <w:rFonts w:cs="Arial"/>
                <w:sz w:val="22"/>
                <w:szCs w:val="22"/>
              </w:rPr>
            </w:pPr>
          </w:p>
        </w:tc>
        <w:tc>
          <w:tcPr>
            <w:tcW w:w="390" w:type="dxa"/>
            <w:vAlign w:val="center"/>
          </w:tcPr>
          <w:p w14:paraId="7CECB2D4" w14:textId="77777777" w:rsidR="0003505C" w:rsidRDefault="0003505C" w:rsidP="00D22441">
            <w:pPr>
              <w:jc w:val="center"/>
              <w:rPr>
                <w:rFonts w:cs="Arial"/>
                <w:sz w:val="22"/>
                <w:szCs w:val="22"/>
              </w:rPr>
            </w:pPr>
            <w:r>
              <w:rPr>
                <w:rFonts w:cs="Arial"/>
                <w:sz w:val="22"/>
                <w:szCs w:val="22"/>
              </w:rPr>
              <w:t>:</w:t>
            </w:r>
          </w:p>
        </w:tc>
        <w:tc>
          <w:tcPr>
            <w:tcW w:w="360" w:type="dxa"/>
            <w:vAlign w:val="center"/>
          </w:tcPr>
          <w:p w14:paraId="1F9573B7" w14:textId="77777777" w:rsidR="0003505C" w:rsidRPr="0034093E" w:rsidRDefault="0003505C" w:rsidP="00D22441">
            <w:pPr>
              <w:rPr>
                <w:rFonts w:cs="Arial"/>
                <w:sz w:val="22"/>
                <w:szCs w:val="22"/>
              </w:rPr>
            </w:pPr>
          </w:p>
        </w:tc>
        <w:tc>
          <w:tcPr>
            <w:tcW w:w="6479" w:type="dxa"/>
            <w:vAlign w:val="center"/>
          </w:tcPr>
          <w:p w14:paraId="43850155" w14:textId="77777777" w:rsidR="0003505C" w:rsidRPr="00635E24" w:rsidRDefault="0003505C" w:rsidP="00D22441">
            <w:pPr>
              <w:rPr>
                <w:rFonts w:cs="Arial"/>
                <w:sz w:val="22"/>
                <w:szCs w:val="22"/>
              </w:rPr>
            </w:pPr>
            <w:r>
              <w:rPr>
                <w:rFonts w:cs="Arial"/>
                <w:sz w:val="22"/>
                <w:szCs w:val="22"/>
              </w:rPr>
              <w:t>Dirección de Impuestos y Aduanas Nacionales.</w:t>
            </w:r>
          </w:p>
        </w:tc>
      </w:tr>
      <w:tr w:rsidR="0003505C" w:rsidRPr="0034093E" w14:paraId="542A7F6F" w14:textId="77777777" w:rsidTr="005261A0">
        <w:tc>
          <w:tcPr>
            <w:tcW w:w="1428" w:type="dxa"/>
            <w:vAlign w:val="center"/>
          </w:tcPr>
          <w:p w14:paraId="324D5DC0" w14:textId="77777777" w:rsidR="0003505C" w:rsidRDefault="0003505C" w:rsidP="00D22441">
            <w:pPr>
              <w:rPr>
                <w:rFonts w:cs="Arial"/>
                <w:sz w:val="22"/>
                <w:szCs w:val="22"/>
              </w:rPr>
            </w:pPr>
            <w:r>
              <w:rPr>
                <w:rFonts w:cs="Arial"/>
                <w:sz w:val="22"/>
                <w:szCs w:val="22"/>
              </w:rPr>
              <w:t>EEFF</w:t>
            </w:r>
          </w:p>
        </w:tc>
        <w:tc>
          <w:tcPr>
            <w:tcW w:w="284" w:type="dxa"/>
            <w:vAlign w:val="center"/>
          </w:tcPr>
          <w:p w14:paraId="5D126DC2" w14:textId="77777777" w:rsidR="0003505C" w:rsidRPr="0034093E" w:rsidRDefault="0003505C" w:rsidP="00D22441">
            <w:pPr>
              <w:rPr>
                <w:rFonts w:cs="Arial"/>
                <w:sz w:val="22"/>
                <w:szCs w:val="22"/>
              </w:rPr>
            </w:pPr>
          </w:p>
        </w:tc>
        <w:tc>
          <w:tcPr>
            <w:tcW w:w="390" w:type="dxa"/>
            <w:vAlign w:val="center"/>
          </w:tcPr>
          <w:p w14:paraId="2709919B" w14:textId="77777777" w:rsidR="0003505C" w:rsidRDefault="0003505C" w:rsidP="00D22441">
            <w:pPr>
              <w:jc w:val="center"/>
              <w:rPr>
                <w:rFonts w:cs="Arial"/>
                <w:sz w:val="22"/>
                <w:szCs w:val="22"/>
              </w:rPr>
            </w:pPr>
            <w:r>
              <w:rPr>
                <w:rFonts w:cs="Arial"/>
                <w:sz w:val="22"/>
                <w:szCs w:val="22"/>
              </w:rPr>
              <w:t>:</w:t>
            </w:r>
          </w:p>
        </w:tc>
        <w:tc>
          <w:tcPr>
            <w:tcW w:w="360" w:type="dxa"/>
            <w:vAlign w:val="center"/>
          </w:tcPr>
          <w:p w14:paraId="3523B0E4" w14:textId="77777777" w:rsidR="0003505C" w:rsidRPr="0034093E" w:rsidRDefault="0003505C" w:rsidP="00D22441">
            <w:pPr>
              <w:rPr>
                <w:rFonts w:cs="Arial"/>
                <w:sz w:val="22"/>
                <w:szCs w:val="22"/>
              </w:rPr>
            </w:pPr>
          </w:p>
        </w:tc>
        <w:tc>
          <w:tcPr>
            <w:tcW w:w="6479" w:type="dxa"/>
            <w:vAlign w:val="center"/>
          </w:tcPr>
          <w:p w14:paraId="3545DC8B" w14:textId="44F3381F" w:rsidR="0003505C" w:rsidRDefault="0003505C" w:rsidP="00D22441">
            <w:pPr>
              <w:rPr>
                <w:rFonts w:cs="Arial"/>
                <w:sz w:val="22"/>
                <w:szCs w:val="22"/>
              </w:rPr>
            </w:pPr>
            <w:r>
              <w:rPr>
                <w:rFonts w:cs="Arial"/>
                <w:sz w:val="22"/>
                <w:szCs w:val="22"/>
              </w:rPr>
              <w:t>Estados financieros</w:t>
            </w:r>
            <w:r w:rsidR="00C447D2">
              <w:rPr>
                <w:rFonts w:cs="Arial"/>
                <w:sz w:val="22"/>
                <w:szCs w:val="22"/>
              </w:rPr>
              <w:t>.</w:t>
            </w:r>
          </w:p>
        </w:tc>
      </w:tr>
      <w:tr w:rsidR="0003505C" w:rsidRPr="0034093E" w14:paraId="248F239A" w14:textId="77777777" w:rsidTr="005261A0">
        <w:tc>
          <w:tcPr>
            <w:tcW w:w="1428" w:type="dxa"/>
            <w:vAlign w:val="center"/>
          </w:tcPr>
          <w:p w14:paraId="7D67B557" w14:textId="77777777" w:rsidR="0003505C" w:rsidRDefault="0003505C" w:rsidP="00D22441">
            <w:pPr>
              <w:rPr>
                <w:rFonts w:cs="Arial"/>
                <w:sz w:val="22"/>
                <w:szCs w:val="22"/>
              </w:rPr>
            </w:pPr>
            <w:r>
              <w:rPr>
                <w:rFonts w:cs="Arial"/>
                <w:sz w:val="22"/>
                <w:szCs w:val="22"/>
              </w:rPr>
              <w:t>EOP</w:t>
            </w:r>
          </w:p>
        </w:tc>
        <w:tc>
          <w:tcPr>
            <w:tcW w:w="284" w:type="dxa"/>
            <w:vAlign w:val="center"/>
          </w:tcPr>
          <w:p w14:paraId="0EA4B9A7" w14:textId="77777777" w:rsidR="0003505C" w:rsidRPr="0034093E" w:rsidRDefault="0003505C" w:rsidP="00D22441">
            <w:pPr>
              <w:rPr>
                <w:rFonts w:cs="Arial"/>
                <w:sz w:val="22"/>
                <w:szCs w:val="22"/>
              </w:rPr>
            </w:pPr>
          </w:p>
        </w:tc>
        <w:tc>
          <w:tcPr>
            <w:tcW w:w="390" w:type="dxa"/>
            <w:vAlign w:val="center"/>
          </w:tcPr>
          <w:p w14:paraId="6072F6A3" w14:textId="77777777" w:rsidR="0003505C" w:rsidRDefault="0003505C" w:rsidP="00D22441">
            <w:pPr>
              <w:jc w:val="center"/>
              <w:rPr>
                <w:rFonts w:cs="Arial"/>
                <w:sz w:val="22"/>
                <w:szCs w:val="22"/>
              </w:rPr>
            </w:pPr>
            <w:r>
              <w:rPr>
                <w:rFonts w:cs="Arial"/>
                <w:sz w:val="22"/>
                <w:szCs w:val="22"/>
              </w:rPr>
              <w:t>:</w:t>
            </w:r>
          </w:p>
        </w:tc>
        <w:tc>
          <w:tcPr>
            <w:tcW w:w="360" w:type="dxa"/>
            <w:vAlign w:val="center"/>
          </w:tcPr>
          <w:p w14:paraId="356CA32E" w14:textId="77777777" w:rsidR="0003505C" w:rsidRPr="0034093E" w:rsidRDefault="0003505C" w:rsidP="00D22441">
            <w:pPr>
              <w:rPr>
                <w:rFonts w:cs="Arial"/>
                <w:sz w:val="22"/>
                <w:szCs w:val="22"/>
              </w:rPr>
            </w:pPr>
          </w:p>
        </w:tc>
        <w:tc>
          <w:tcPr>
            <w:tcW w:w="6479" w:type="dxa"/>
            <w:vAlign w:val="center"/>
          </w:tcPr>
          <w:p w14:paraId="23BCFEFE" w14:textId="77777777" w:rsidR="0003505C" w:rsidRDefault="0003505C" w:rsidP="00D22441">
            <w:pPr>
              <w:rPr>
                <w:rFonts w:cs="Arial"/>
                <w:sz w:val="22"/>
                <w:szCs w:val="22"/>
              </w:rPr>
            </w:pPr>
            <w:r w:rsidRPr="00664575">
              <w:rPr>
                <w:rFonts w:cs="Arial"/>
                <w:sz w:val="22"/>
                <w:szCs w:val="22"/>
              </w:rPr>
              <w:t>Estatut</w:t>
            </w:r>
            <w:r>
              <w:rPr>
                <w:rFonts w:cs="Arial"/>
                <w:sz w:val="22"/>
                <w:szCs w:val="22"/>
              </w:rPr>
              <w:t>o orgánico del presupuesto</w:t>
            </w:r>
          </w:p>
        </w:tc>
      </w:tr>
      <w:tr w:rsidR="0003505C" w:rsidRPr="0034093E" w14:paraId="656DF148" w14:textId="77777777" w:rsidTr="005261A0">
        <w:tc>
          <w:tcPr>
            <w:tcW w:w="1428" w:type="dxa"/>
            <w:vAlign w:val="center"/>
          </w:tcPr>
          <w:p w14:paraId="22558FCE" w14:textId="77777777" w:rsidR="0003505C" w:rsidRDefault="0003505C" w:rsidP="00D22441">
            <w:pPr>
              <w:rPr>
                <w:rFonts w:cs="Arial"/>
                <w:sz w:val="22"/>
                <w:szCs w:val="22"/>
              </w:rPr>
            </w:pPr>
            <w:r>
              <w:rPr>
                <w:rFonts w:cs="Arial"/>
                <w:sz w:val="22"/>
                <w:szCs w:val="22"/>
              </w:rPr>
              <w:t>ESP</w:t>
            </w:r>
          </w:p>
        </w:tc>
        <w:tc>
          <w:tcPr>
            <w:tcW w:w="284" w:type="dxa"/>
            <w:vAlign w:val="center"/>
          </w:tcPr>
          <w:p w14:paraId="477AA8E7" w14:textId="77777777" w:rsidR="0003505C" w:rsidRPr="0034093E" w:rsidRDefault="0003505C" w:rsidP="00D22441">
            <w:pPr>
              <w:rPr>
                <w:rFonts w:cs="Arial"/>
                <w:sz w:val="22"/>
                <w:szCs w:val="22"/>
              </w:rPr>
            </w:pPr>
          </w:p>
        </w:tc>
        <w:tc>
          <w:tcPr>
            <w:tcW w:w="390" w:type="dxa"/>
            <w:vAlign w:val="center"/>
          </w:tcPr>
          <w:p w14:paraId="47AE824E" w14:textId="77777777" w:rsidR="0003505C" w:rsidRDefault="0003505C" w:rsidP="00D22441">
            <w:pPr>
              <w:jc w:val="center"/>
              <w:rPr>
                <w:rFonts w:cs="Arial"/>
                <w:sz w:val="22"/>
                <w:szCs w:val="22"/>
              </w:rPr>
            </w:pPr>
            <w:r>
              <w:rPr>
                <w:rFonts w:cs="Arial"/>
                <w:sz w:val="22"/>
                <w:szCs w:val="22"/>
              </w:rPr>
              <w:t>:</w:t>
            </w:r>
          </w:p>
        </w:tc>
        <w:tc>
          <w:tcPr>
            <w:tcW w:w="360" w:type="dxa"/>
            <w:vAlign w:val="center"/>
          </w:tcPr>
          <w:p w14:paraId="0CC9C2C1" w14:textId="77777777" w:rsidR="0003505C" w:rsidRPr="0034093E" w:rsidRDefault="0003505C" w:rsidP="00D22441">
            <w:pPr>
              <w:rPr>
                <w:rFonts w:cs="Arial"/>
                <w:sz w:val="22"/>
                <w:szCs w:val="22"/>
              </w:rPr>
            </w:pPr>
          </w:p>
        </w:tc>
        <w:tc>
          <w:tcPr>
            <w:tcW w:w="6479" w:type="dxa"/>
            <w:vAlign w:val="center"/>
          </w:tcPr>
          <w:p w14:paraId="3341267A" w14:textId="77777777" w:rsidR="0003505C" w:rsidRDefault="0003505C" w:rsidP="00D22441">
            <w:pPr>
              <w:rPr>
                <w:rFonts w:cs="Arial"/>
                <w:sz w:val="22"/>
                <w:szCs w:val="22"/>
              </w:rPr>
            </w:pPr>
            <w:r>
              <w:rPr>
                <w:rFonts w:cs="Arial"/>
                <w:sz w:val="22"/>
                <w:szCs w:val="22"/>
              </w:rPr>
              <w:t>Empresa prestadora de servicios públicos domiciliarios.</w:t>
            </w:r>
          </w:p>
        </w:tc>
      </w:tr>
      <w:tr w:rsidR="0003505C" w:rsidRPr="0034093E" w14:paraId="0E350EA5" w14:textId="77777777" w:rsidTr="005261A0">
        <w:tc>
          <w:tcPr>
            <w:tcW w:w="1428" w:type="dxa"/>
            <w:vAlign w:val="center"/>
          </w:tcPr>
          <w:p w14:paraId="45CE44A0" w14:textId="77777777" w:rsidR="0003505C" w:rsidRPr="0034093E" w:rsidRDefault="0003505C" w:rsidP="00D22441">
            <w:pPr>
              <w:rPr>
                <w:rFonts w:cs="Arial"/>
                <w:sz w:val="22"/>
                <w:szCs w:val="22"/>
              </w:rPr>
            </w:pPr>
            <w:r w:rsidRPr="0034093E">
              <w:rPr>
                <w:rFonts w:cs="Arial"/>
                <w:sz w:val="22"/>
                <w:szCs w:val="22"/>
              </w:rPr>
              <w:t>GLP</w:t>
            </w:r>
          </w:p>
        </w:tc>
        <w:tc>
          <w:tcPr>
            <w:tcW w:w="284" w:type="dxa"/>
            <w:vAlign w:val="center"/>
          </w:tcPr>
          <w:p w14:paraId="152B966E" w14:textId="77777777" w:rsidR="0003505C" w:rsidRPr="0034093E" w:rsidRDefault="0003505C" w:rsidP="00D22441">
            <w:pPr>
              <w:rPr>
                <w:rFonts w:cs="Arial"/>
                <w:sz w:val="22"/>
                <w:szCs w:val="22"/>
              </w:rPr>
            </w:pPr>
          </w:p>
        </w:tc>
        <w:tc>
          <w:tcPr>
            <w:tcW w:w="390" w:type="dxa"/>
            <w:vAlign w:val="center"/>
          </w:tcPr>
          <w:p w14:paraId="4436A771" w14:textId="77777777" w:rsidR="0003505C" w:rsidRPr="0034093E" w:rsidRDefault="0003505C" w:rsidP="00D22441">
            <w:pPr>
              <w:jc w:val="center"/>
              <w:rPr>
                <w:rFonts w:cs="Arial"/>
                <w:sz w:val="22"/>
                <w:szCs w:val="22"/>
              </w:rPr>
            </w:pPr>
            <w:r w:rsidRPr="0034093E">
              <w:rPr>
                <w:rFonts w:cs="Arial"/>
                <w:sz w:val="22"/>
                <w:szCs w:val="22"/>
              </w:rPr>
              <w:t>:</w:t>
            </w:r>
          </w:p>
        </w:tc>
        <w:tc>
          <w:tcPr>
            <w:tcW w:w="360" w:type="dxa"/>
            <w:vAlign w:val="center"/>
          </w:tcPr>
          <w:p w14:paraId="7FC27DB4" w14:textId="77777777" w:rsidR="0003505C" w:rsidRPr="0034093E" w:rsidRDefault="0003505C" w:rsidP="00D22441">
            <w:pPr>
              <w:rPr>
                <w:rFonts w:cs="Arial"/>
                <w:sz w:val="22"/>
                <w:szCs w:val="22"/>
              </w:rPr>
            </w:pPr>
          </w:p>
        </w:tc>
        <w:tc>
          <w:tcPr>
            <w:tcW w:w="6479" w:type="dxa"/>
            <w:vAlign w:val="center"/>
          </w:tcPr>
          <w:p w14:paraId="635D528E" w14:textId="77777777" w:rsidR="0003505C" w:rsidRPr="0034093E" w:rsidRDefault="0003505C" w:rsidP="00D22441">
            <w:pPr>
              <w:rPr>
                <w:rFonts w:cs="Arial"/>
                <w:sz w:val="22"/>
                <w:szCs w:val="22"/>
              </w:rPr>
            </w:pPr>
            <w:r w:rsidRPr="0034093E">
              <w:rPr>
                <w:rFonts w:cs="Arial"/>
                <w:sz w:val="22"/>
                <w:szCs w:val="22"/>
              </w:rPr>
              <w:t xml:space="preserve">Gas </w:t>
            </w:r>
            <w:r>
              <w:rPr>
                <w:rFonts w:cs="Arial"/>
                <w:sz w:val="22"/>
                <w:szCs w:val="22"/>
              </w:rPr>
              <w:t>l</w:t>
            </w:r>
            <w:r w:rsidRPr="0034093E">
              <w:rPr>
                <w:rFonts w:cs="Arial"/>
                <w:sz w:val="22"/>
                <w:szCs w:val="22"/>
              </w:rPr>
              <w:t xml:space="preserve">icuado de </w:t>
            </w:r>
            <w:r>
              <w:rPr>
                <w:rFonts w:cs="Arial"/>
                <w:sz w:val="22"/>
                <w:szCs w:val="22"/>
              </w:rPr>
              <w:t>p</w:t>
            </w:r>
            <w:r w:rsidRPr="0034093E">
              <w:rPr>
                <w:rFonts w:cs="Arial"/>
                <w:sz w:val="22"/>
                <w:szCs w:val="22"/>
              </w:rPr>
              <w:t>etróleo.</w:t>
            </w:r>
          </w:p>
        </w:tc>
      </w:tr>
      <w:tr w:rsidR="00057B81" w:rsidRPr="0034093E" w14:paraId="148A6837" w14:textId="77777777" w:rsidTr="005261A0">
        <w:tc>
          <w:tcPr>
            <w:tcW w:w="1428" w:type="dxa"/>
            <w:vAlign w:val="center"/>
          </w:tcPr>
          <w:p w14:paraId="529FBEC9" w14:textId="77777777" w:rsidR="00057B81" w:rsidRPr="0034093E" w:rsidRDefault="00057B81" w:rsidP="00D22441">
            <w:pPr>
              <w:rPr>
                <w:rFonts w:cs="Arial"/>
                <w:sz w:val="22"/>
                <w:szCs w:val="22"/>
              </w:rPr>
            </w:pPr>
            <w:r w:rsidRPr="0034093E">
              <w:rPr>
                <w:rFonts w:cs="Arial"/>
                <w:sz w:val="22"/>
                <w:szCs w:val="22"/>
              </w:rPr>
              <w:t>GN</w:t>
            </w:r>
          </w:p>
        </w:tc>
        <w:tc>
          <w:tcPr>
            <w:tcW w:w="284" w:type="dxa"/>
            <w:vAlign w:val="center"/>
          </w:tcPr>
          <w:p w14:paraId="55671436" w14:textId="77777777" w:rsidR="00057B81" w:rsidRPr="0034093E" w:rsidRDefault="00057B81" w:rsidP="00D22441">
            <w:pPr>
              <w:rPr>
                <w:rFonts w:cs="Arial"/>
                <w:sz w:val="22"/>
                <w:szCs w:val="22"/>
              </w:rPr>
            </w:pPr>
          </w:p>
        </w:tc>
        <w:tc>
          <w:tcPr>
            <w:tcW w:w="390" w:type="dxa"/>
            <w:vAlign w:val="center"/>
          </w:tcPr>
          <w:p w14:paraId="6E7F4ABC" w14:textId="77777777" w:rsidR="00057B81" w:rsidRPr="0034093E" w:rsidRDefault="00057B81" w:rsidP="00D22441">
            <w:pPr>
              <w:jc w:val="center"/>
              <w:rPr>
                <w:rFonts w:cs="Arial"/>
                <w:sz w:val="22"/>
                <w:szCs w:val="22"/>
              </w:rPr>
            </w:pPr>
            <w:r w:rsidRPr="0034093E">
              <w:rPr>
                <w:rFonts w:cs="Arial"/>
                <w:sz w:val="22"/>
                <w:szCs w:val="22"/>
              </w:rPr>
              <w:t>:</w:t>
            </w:r>
          </w:p>
        </w:tc>
        <w:tc>
          <w:tcPr>
            <w:tcW w:w="360" w:type="dxa"/>
            <w:vAlign w:val="center"/>
          </w:tcPr>
          <w:p w14:paraId="2462F673" w14:textId="77777777" w:rsidR="00057B81" w:rsidRPr="0034093E" w:rsidRDefault="00057B81" w:rsidP="00D22441">
            <w:pPr>
              <w:rPr>
                <w:rFonts w:cs="Arial"/>
                <w:sz w:val="22"/>
                <w:szCs w:val="22"/>
              </w:rPr>
            </w:pPr>
          </w:p>
        </w:tc>
        <w:tc>
          <w:tcPr>
            <w:tcW w:w="6479" w:type="dxa"/>
            <w:vAlign w:val="center"/>
          </w:tcPr>
          <w:p w14:paraId="03955FD7" w14:textId="77777777" w:rsidR="00057B81" w:rsidRPr="0034093E" w:rsidRDefault="00057B81" w:rsidP="00D22441">
            <w:pPr>
              <w:rPr>
                <w:rFonts w:cs="Arial"/>
                <w:sz w:val="22"/>
                <w:szCs w:val="22"/>
              </w:rPr>
            </w:pPr>
            <w:r w:rsidRPr="0034093E">
              <w:rPr>
                <w:rFonts w:cs="Arial"/>
                <w:sz w:val="22"/>
                <w:szCs w:val="22"/>
              </w:rPr>
              <w:t xml:space="preserve">Gas </w:t>
            </w:r>
            <w:r>
              <w:rPr>
                <w:rFonts w:cs="Arial"/>
                <w:sz w:val="22"/>
                <w:szCs w:val="22"/>
              </w:rPr>
              <w:t>n</w:t>
            </w:r>
            <w:r w:rsidRPr="0034093E">
              <w:rPr>
                <w:rFonts w:cs="Arial"/>
                <w:sz w:val="22"/>
                <w:szCs w:val="22"/>
              </w:rPr>
              <w:t>atural.</w:t>
            </w:r>
          </w:p>
        </w:tc>
      </w:tr>
      <w:tr w:rsidR="005842E3" w:rsidRPr="0034093E" w14:paraId="4A7CBD9D" w14:textId="77777777" w:rsidTr="005261A0">
        <w:tc>
          <w:tcPr>
            <w:tcW w:w="1428" w:type="dxa"/>
            <w:vAlign w:val="center"/>
          </w:tcPr>
          <w:p w14:paraId="599E0FB3" w14:textId="77777777" w:rsidR="005842E3" w:rsidRPr="0034093E" w:rsidRDefault="005842E3" w:rsidP="00991128">
            <w:pPr>
              <w:rPr>
                <w:rFonts w:cs="Arial"/>
                <w:sz w:val="22"/>
                <w:szCs w:val="22"/>
              </w:rPr>
            </w:pPr>
            <w:r>
              <w:rPr>
                <w:rFonts w:cs="Arial"/>
                <w:sz w:val="22"/>
                <w:szCs w:val="22"/>
              </w:rPr>
              <w:t>MHCP</w:t>
            </w:r>
          </w:p>
        </w:tc>
        <w:tc>
          <w:tcPr>
            <w:tcW w:w="284" w:type="dxa"/>
            <w:vAlign w:val="center"/>
          </w:tcPr>
          <w:p w14:paraId="1FCD257D" w14:textId="77777777" w:rsidR="005842E3" w:rsidRPr="0034093E" w:rsidRDefault="005842E3" w:rsidP="00991128">
            <w:pPr>
              <w:rPr>
                <w:rFonts w:cs="Arial"/>
                <w:sz w:val="22"/>
                <w:szCs w:val="22"/>
              </w:rPr>
            </w:pPr>
          </w:p>
        </w:tc>
        <w:tc>
          <w:tcPr>
            <w:tcW w:w="390" w:type="dxa"/>
            <w:vAlign w:val="center"/>
          </w:tcPr>
          <w:p w14:paraId="1C23EFA0" w14:textId="77777777" w:rsidR="005842E3" w:rsidRPr="0034093E" w:rsidRDefault="005842E3" w:rsidP="00991128">
            <w:pPr>
              <w:jc w:val="center"/>
              <w:rPr>
                <w:rFonts w:cs="Arial"/>
                <w:sz w:val="22"/>
                <w:szCs w:val="22"/>
              </w:rPr>
            </w:pPr>
            <w:r w:rsidRPr="0034093E">
              <w:rPr>
                <w:rFonts w:cs="Arial"/>
                <w:sz w:val="22"/>
                <w:szCs w:val="22"/>
              </w:rPr>
              <w:t>:</w:t>
            </w:r>
          </w:p>
        </w:tc>
        <w:tc>
          <w:tcPr>
            <w:tcW w:w="360" w:type="dxa"/>
            <w:vAlign w:val="center"/>
          </w:tcPr>
          <w:p w14:paraId="29AC7DFB" w14:textId="77777777" w:rsidR="005842E3" w:rsidRPr="0034093E" w:rsidRDefault="005842E3" w:rsidP="00991128">
            <w:pPr>
              <w:rPr>
                <w:rFonts w:cs="Arial"/>
                <w:sz w:val="22"/>
                <w:szCs w:val="22"/>
              </w:rPr>
            </w:pPr>
          </w:p>
        </w:tc>
        <w:tc>
          <w:tcPr>
            <w:tcW w:w="6479" w:type="dxa"/>
            <w:vAlign w:val="center"/>
          </w:tcPr>
          <w:p w14:paraId="5969CA24" w14:textId="77777777" w:rsidR="005842E3" w:rsidRPr="0034093E" w:rsidRDefault="005842E3" w:rsidP="00991128">
            <w:pPr>
              <w:rPr>
                <w:rFonts w:cs="Arial"/>
                <w:sz w:val="22"/>
                <w:szCs w:val="22"/>
              </w:rPr>
            </w:pPr>
            <w:r>
              <w:rPr>
                <w:rFonts w:cs="Arial"/>
                <w:sz w:val="22"/>
                <w:szCs w:val="22"/>
              </w:rPr>
              <w:t>Ministerio de Hacienda y Crédito Público.</w:t>
            </w:r>
          </w:p>
        </w:tc>
      </w:tr>
      <w:tr w:rsidR="0003505C" w:rsidRPr="0034093E" w14:paraId="32005E7C" w14:textId="77777777" w:rsidTr="005261A0">
        <w:tc>
          <w:tcPr>
            <w:tcW w:w="1428" w:type="dxa"/>
            <w:vAlign w:val="center"/>
          </w:tcPr>
          <w:p w14:paraId="247F897D" w14:textId="2526943F" w:rsidR="0003505C" w:rsidRPr="0034093E" w:rsidRDefault="005842E3" w:rsidP="00D22441">
            <w:pPr>
              <w:rPr>
                <w:rFonts w:cs="Arial"/>
                <w:sz w:val="22"/>
                <w:szCs w:val="22"/>
              </w:rPr>
            </w:pPr>
            <w:r>
              <w:rPr>
                <w:rFonts w:cs="Arial"/>
                <w:sz w:val="22"/>
                <w:szCs w:val="22"/>
              </w:rPr>
              <w:t>PGN</w:t>
            </w:r>
          </w:p>
        </w:tc>
        <w:tc>
          <w:tcPr>
            <w:tcW w:w="284" w:type="dxa"/>
            <w:vAlign w:val="center"/>
          </w:tcPr>
          <w:p w14:paraId="4BCA4711" w14:textId="77777777" w:rsidR="0003505C" w:rsidRPr="0034093E" w:rsidRDefault="0003505C" w:rsidP="00D22441">
            <w:pPr>
              <w:rPr>
                <w:rFonts w:cs="Arial"/>
                <w:sz w:val="22"/>
                <w:szCs w:val="22"/>
              </w:rPr>
            </w:pPr>
          </w:p>
        </w:tc>
        <w:tc>
          <w:tcPr>
            <w:tcW w:w="390" w:type="dxa"/>
            <w:vAlign w:val="center"/>
          </w:tcPr>
          <w:p w14:paraId="2A153C08" w14:textId="77777777" w:rsidR="0003505C" w:rsidRPr="0034093E" w:rsidRDefault="0003505C" w:rsidP="00D22441">
            <w:pPr>
              <w:jc w:val="center"/>
              <w:rPr>
                <w:rFonts w:cs="Arial"/>
                <w:sz w:val="22"/>
                <w:szCs w:val="22"/>
              </w:rPr>
            </w:pPr>
            <w:r w:rsidRPr="0034093E">
              <w:rPr>
                <w:rFonts w:cs="Arial"/>
                <w:sz w:val="22"/>
                <w:szCs w:val="22"/>
              </w:rPr>
              <w:t>:</w:t>
            </w:r>
          </w:p>
        </w:tc>
        <w:tc>
          <w:tcPr>
            <w:tcW w:w="360" w:type="dxa"/>
            <w:vAlign w:val="center"/>
          </w:tcPr>
          <w:p w14:paraId="0BACC51E" w14:textId="77777777" w:rsidR="0003505C" w:rsidRPr="0034093E" w:rsidRDefault="0003505C" w:rsidP="00D22441">
            <w:pPr>
              <w:rPr>
                <w:rFonts w:cs="Arial"/>
                <w:sz w:val="22"/>
                <w:szCs w:val="22"/>
              </w:rPr>
            </w:pPr>
          </w:p>
        </w:tc>
        <w:tc>
          <w:tcPr>
            <w:tcW w:w="6479" w:type="dxa"/>
            <w:vAlign w:val="center"/>
          </w:tcPr>
          <w:p w14:paraId="7E12CAF0" w14:textId="1C2077B9" w:rsidR="0003505C" w:rsidRPr="0034093E" w:rsidRDefault="005842E3" w:rsidP="00D22441">
            <w:pPr>
              <w:rPr>
                <w:rFonts w:cs="Arial"/>
                <w:sz w:val="22"/>
                <w:szCs w:val="22"/>
              </w:rPr>
            </w:pPr>
            <w:r>
              <w:rPr>
                <w:rFonts w:cs="Arial"/>
                <w:sz w:val="22"/>
                <w:szCs w:val="22"/>
              </w:rPr>
              <w:t>Presupuesto General de la Nación.</w:t>
            </w:r>
          </w:p>
        </w:tc>
      </w:tr>
      <w:tr w:rsidR="0003505C" w:rsidRPr="0034093E" w14:paraId="715A506B" w14:textId="77777777" w:rsidTr="005261A0">
        <w:tc>
          <w:tcPr>
            <w:tcW w:w="1428" w:type="dxa"/>
            <w:vAlign w:val="center"/>
          </w:tcPr>
          <w:p w14:paraId="53359A48" w14:textId="235DBA6F" w:rsidR="0003505C" w:rsidRPr="0034093E" w:rsidRDefault="0003505C" w:rsidP="00D22441">
            <w:pPr>
              <w:rPr>
                <w:rFonts w:cs="Arial"/>
                <w:sz w:val="22"/>
                <w:szCs w:val="22"/>
              </w:rPr>
            </w:pPr>
            <w:r w:rsidRPr="0034093E">
              <w:rPr>
                <w:rFonts w:cs="Arial"/>
                <w:sz w:val="22"/>
                <w:szCs w:val="22"/>
              </w:rPr>
              <w:t>RUP</w:t>
            </w:r>
          </w:p>
        </w:tc>
        <w:tc>
          <w:tcPr>
            <w:tcW w:w="284" w:type="dxa"/>
            <w:vAlign w:val="center"/>
          </w:tcPr>
          <w:p w14:paraId="4A6C90D3" w14:textId="77777777" w:rsidR="0003505C" w:rsidRPr="0034093E" w:rsidRDefault="0003505C" w:rsidP="00D22441">
            <w:pPr>
              <w:rPr>
                <w:rFonts w:cs="Arial"/>
                <w:sz w:val="22"/>
                <w:szCs w:val="22"/>
              </w:rPr>
            </w:pPr>
          </w:p>
        </w:tc>
        <w:tc>
          <w:tcPr>
            <w:tcW w:w="390" w:type="dxa"/>
            <w:vAlign w:val="center"/>
          </w:tcPr>
          <w:p w14:paraId="41FCD23B" w14:textId="77777777" w:rsidR="0003505C" w:rsidRPr="0034093E" w:rsidRDefault="0003505C" w:rsidP="00D22441">
            <w:pPr>
              <w:jc w:val="center"/>
              <w:rPr>
                <w:rFonts w:cs="Arial"/>
                <w:sz w:val="22"/>
                <w:szCs w:val="22"/>
              </w:rPr>
            </w:pPr>
            <w:r w:rsidRPr="0034093E">
              <w:rPr>
                <w:rFonts w:cs="Arial"/>
                <w:sz w:val="22"/>
                <w:szCs w:val="22"/>
              </w:rPr>
              <w:t>:</w:t>
            </w:r>
          </w:p>
        </w:tc>
        <w:tc>
          <w:tcPr>
            <w:tcW w:w="360" w:type="dxa"/>
            <w:vAlign w:val="center"/>
          </w:tcPr>
          <w:p w14:paraId="1B1A0AA3" w14:textId="77777777" w:rsidR="0003505C" w:rsidRPr="0034093E" w:rsidRDefault="0003505C" w:rsidP="00D22441">
            <w:pPr>
              <w:rPr>
                <w:rFonts w:cs="Arial"/>
                <w:sz w:val="22"/>
                <w:szCs w:val="22"/>
              </w:rPr>
            </w:pPr>
          </w:p>
        </w:tc>
        <w:tc>
          <w:tcPr>
            <w:tcW w:w="6479" w:type="dxa"/>
            <w:vAlign w:val="center"/>
          </w:tcPr>
          <w:p w14:paraId="5116C397" w14:textId="77777777" w:rsidR="0003505C" w:rsidRPr="0034093E" w:rsidRDefault="0003505C" w:rsidP="00D22441">
            <w:pPr>
              <w:rPr>
                <w:rFonts w:cs="Arial"/>
                <w:sz w:val="22"/>
                <w:szCs w:val="22"/>
              </w:rPr>
            </w:pPr>
            <w:r w:rsidRPr="0034093E">
              <w:rPr>
                <w:rFonts w:cs="Arial"/>
                <w:sz w:val="22"/>
                <w:szCs w:val="22"/>
              </w:rPr>
              <w:t xml:space="preserve">Registro </w:t>
            </w:r>
            <w:r>
              <w:rPr>
                <w:rFonts w:cs="Arial"/>
                <w:sz w:val="22"/>
                <w:szCs w:val="22"/>
              </w:rPr>
              <w:t>ú</w:t>
            </w:r>
            <w:r w:rsidRPr="0034093E">
              <w:rPr>
                <w:rFonts w:cs="Arial"/>
                <w:sz w:val="22"/>
                <w:szCs w:val="22"/>
              </w:rPr>
              <w:t xml:space="preserve">nico de </w:t>
            </w:r>
            <w:r>
              <w:rPr>
                <w:rFonts w:cs="Arial"/>
                <w:sz w:val="22"/>
                <w:szCs w:val="22"/>
              </w:rPr>
              <w:t>p</w:t>
            </w:r>
            <w:r w:rsidRPr="0034093E">
              <w:rPr>
                <w:rFonts w:cs="Arial"/>
                <w:sz w:val="22"/>
                <w:szCs w:val="22"/>
              </w:rPr>
              <w:t xml:space="preserve">restadores de </w:t>
            </w:r>
            <w:r>
              <w:rPr>
                <w:rFonts w:cs="Arial"/>
                <w:sz w:val="22"/>
                <w:szCs w:val="22"/>
              </w:rPr>
              <w:t>s</w:t>
            </w:r>
            <w:r w:rsidRPr="0034093E">
              <w:rPr>
                <w:rFonts w:cs="Arial"/>
                <w:sz w:val="22"/>
                <w:szCs w:val="22"/>
              </w:rPr>
              <w:t>ervicios públicos.</w:t>
            </w:r>
          </w:p>
        </w:tc>
      </w:tr>
      <w:tr w:rsidR="0073251C" w:rsidRPr="0034093E" w14:paraId="37F58F3D" w14:textId="77777777" w:rsidTr="005261A0">
        <w:tc>
          <w:tcPr>
            <w:tcW w:w="1428" w:type="dxa"/>
            <w:vAlign w:val="center"/>
          </w:tcPr>
          <w:p w14:paraId="0A4CF8B6" w14:textId="77777777" w:rsidR="0073251C" w:rsidRPr="0034093E" w:rsidRDefault="0073251C" w:rsidP="00991128">
            <w:pPr>
              <w:rPr>
                <w:rFonts w:cs="Arial"/>
                <w:sz w:val="22"/>
                <w:szCs w:val="22"/>
              </w:rPr>
            </w:pPr>
            <w:r w:rsidRPr="0034093E">
              <w:rPr>
                <w:rFonts w:cs="Arial"/>
                <w:sz w:val="22"/>
                <w:szCs w:val="22"/>
              </w:rPr>
              <w:t>SAF</w:t>
            </w:r>
          </w:p>
        </w:tc>
        <w:tc>
          <w:tcPr>
            <w:tcW w:w="284" w:type="dxa"/>
            <w:vAlign w:val="center"/>
          </w:tcPr>
          <w:p w14:paraId="45EE1BA2" w14:textId="77777777" w:rsidR="0073251C" w:rsidRPr="0034093E" w:rsidRDefault="0073251C" w:rsidP="00991128">
            <w:pPr>
              <w:rPr>
                <w:rFonts w:cs="Arial"/>
                <w:sz w:val="22"/>
                <w:szCs w:val="22"/>
              </w:rPr>
            </w:pPr>
          </w:p>
        </w:tc>
        <w:tc>
          <w:tcPr>
            <w:tcW w:w="390" w:type="dxa"/>
            <w:vAlign w:val="center"/>
          </w:tcPr>
          <w:p w14:paraId="5AA6F48F" w14:textId="77777777" w:rsidR="0073251C" w:rsidRPr="0034093E" w:rsidRDefault="0073251C" w:rsidP="00991128">
            <w:pPr>
              <w:jc w:val="center"/>
              <w:rPr>
                <w:rFonts w:cs="Arial"/>
                <w:sz w:val="22"/>
                <w:szCs w:val="22"/>
              </w:rPr>
            </w:pPr>
            <w:r w:rsidRPr="0034093E">
              <w:rPr>
                <w:rFonts w:cs="Arial"/>
                <w:sz w:val="22"/>
                <w:szCs w:val="22"/>
              </w:rPr>
              <w:t>:</w:t>
            </w:r>
          </w:p>
        </w:tc>
        <w:tc>
          <w:tcPr>
            <w:tcW w:w="360" w:type="dxa"/>
            <w:vAlign w:val="center"/>
          </w:tcPr>
          <w:p w14:paraId="52010291" w14:textId="77777777" w:rsidR="0073251C" w:rsidRPr="0034093E" w:rsidRDefault="0073251C" w:rsidP="00991128">
            <w:pPr>
              <w:rPr>
                <w:rFonts w:cs="Arial"/>
                <w:sz w:val="22"/>
                <w:szCs w:val="22"/>
              </w:rPr>
            </w:pPr>
          </w:p>
        </w:tc>
        <w:tc>
          <w:tcPr>
            <w:tcW w:w="6479" w:type="dxa"/>
            <w:vAlign w:val="center"/>
          </w:tcPr>
          <w:p w14:paraId="0BCC4EBE" w14:textId="77777777" w:rsidR="0073251C" w:rsidRPr="0034093E" w:rsidRDefault="0073251C" w:rsidP="00991128">
            <w:pPr>
              <w:rPr>
                <w:rFonts w:cs="Arial"/>
                <w:sz w:val="22"/>
                <w:szCs w:val="22"/>
              </w:rPr>
            </w:pPr>
            <w:r w:rsidRPr="0034093E">
              <w:rPr>
                <w:rFonts w:cs="Arial"/>
                <w:sz w:val="22"/>
                <w:szCs w:val="22"/>
              </w:rPr>
              <w:t xml:space="preserve">Subdirección </w:t>
            </w:r>
            <w:r>
              <w:rPr>
                <w:rFonts w:cs="Arial"/>
                <w:sz w:val="22"/>
                <w:szCs w:val="22"/>
              </w:rPr>
              <w:t>a</w:t>
            </w:r>
            <w:r w:rsidRPr="0034093E">
              <w:rPr>
                <w:rFonts w:cs="Arial"/>
                <w:sz w:val="22"/>
                <w:szCs w:val="22"/>
              </w:rPr>
              <w:t xml:space="preserve">dministrativa y </w:t>
            </w:r>
            <w:r>
              <w:rPr>
                <w:rFonts w:cs="Arial"/>
                <w:sz w:val="22"/>
                <w:szCs w:val="22"/>
              </w:rPr>
              <w:t>f</w:t>
            </w:r>
            <w:r w:rsidRPr="0034093E">
              <w:rPr>
                <w:rFonts w:cs="Arial"/>
                <w:sz w:val="22"/>
                <w:szCs w:val="22"/>
              </w:rPr>
              <w:t>inanciera.</w:t>
            </w:r>
          </w:p>
        </w:tc>
      </w:tr>
      <w:tr w:rsidR="0003505C" w:rsidRPr="0034093E" w14:paraId="43BFB75F" w14:textId="77777777" w:rsidTr="005261A0">
        <w:tc>
          <w:tcPr>
            <w:tcW w:w="1428" w:type="dxa"/>
            <w:vAlign w:val="center"/>
          </w:tcPr>
          <w:p w14:paraId="30CC0D89" w14:textId="3E01BE9D" w:rsidR="0003505C" w:rsidRPr="0034093E" w:rsidRDefault="0003505C" w:rsidP="00D22441">
            <w:pPr>
              <w:rPr>
                <w:rFonts w:cs="Arial"/>
                <w:sz w:val="22"/>
                <w:szCs w:val="22"/>
              </w:rPr>
            </w:pPr>
            <w:r w:rsidRPr="0034093E">
              <w:rPr>
                <w:rFonts w:cs="Arial"/>
                <w:sz w:val="22"/>
                <w:szCs w:val="22"/>
              </w:rPr>
              <w:t>S</w:t>
            </w:r>
            <w:r w:rsidR="0073251C">
              <w:rPr>
                <w:rFonts w:cs="Arial"/>
                <w:sz w:val="22"/>
                <w:szCs w:val="22"/>
              </w:rPr>
              <w:t>IIF</w:t>
            </w:r>
            <w:r w:rsidR="005261A0">
              <w:rPr>
                <w:rFonts w:cs="Arial"/>
                <w:sz w:val="22"/>
                <w:szCs w:val="22"/>
              </w:rPr>
              <w:t xml:space="preserve"> Nación</w:t>
            </w:r>
          </w:p>
        </w:tc>
        <w:tc>
          <w:tcPr>
            <w:tcW w:w="284" w:type="dxa"/>
            <w:vAlign w:val="center"/>
          </w:tcPr>
          <w:p w14:paraId="1F301391" w14:textId="77777777" w:rsidR="0003505C" w:rsidRPr="0034093E" w:rsidRDefault="0003505C" w:rsidP="00D22441">
            <w:pPr>
              <w:rPr>
                <w:rFonts w:cs="Arial"/>
                <w:sz w:val="22"/>
                <w:szCs w:val="22"/>
              </w:rPr>
            </w:pPr>
          </w:p>
        </w:tc>
        <w:tc>
          <w:tcPr>
            <w:tcW w:w="390" w:type="dxa"/>
            <w:vAlign w:val="center"/>
          </w:tcPr>
          <w:p w14:paraId="126B7081" w14:textId="77777777" w:rsidR="0003505C" w:rsidRPr="0034093E" w:rsidRDefault="0003505C" w:rsidP="00D22441">
            <w:pPr>
              <w:jc w:val="center"/>
              <w:rPr>
                <w:rFonts w:cs="Arial"/>
                <w:sz w:val="22"/>
                <w:szCs w:val="22"/>
              </w:rPr>
            </w:pPr>
            <w:r w:rsidRPr="0034093E">
              <w:rPr>
                <w:rFonts w:cs="Arial"/>
                <w:sz w:val="22"/>
                <w:szCs w:val="22"/>
              </w:rPr>
              <w:t>:</w:t>
            </w:r>
          </w:p>
        </w:tc>
        <w:tc>
          <w:tcPr>
            <w:tcW w:w="360" w:type="dxa"/>
            <w:vAlign w:val="center"/>
          </w:tcPr>
          <w:p w14:paraId="3EC7BBA3" w14:textId="77777777" w:rsidR="0003505C" w:rsidRPr="0034093E" w:rsidRDefault="0003505C" w:rsidP="00D22441">
            <w:pPr>
              <w:rPr>
                <w:rFonts w:cs="Arial"/>
                <w:sz w:val="22"/>
                <w:szCs w:val="22"/>
              </w:rPr>
            </w:pPr>
          </w:p>
        </w:tc>
        <w:tc>
          <w:tcPr>
            <w:tcW w:w="6479" w:type="dxa"/>
            <w:vAlign w:val="center"/>
          </w:tcPr>
          <w:p w14:paraId="0F762D97" w14:textId="32BBB917" w:rsidR="0003505C" w:rsidRPr="0034093E" w:rsidRDefault="0073251C" w:rsidP="00D22441">
            <w:pPr>
              <w:rPr>
                <w:rFonts w:cs="Arial"/>
                <w:sz w:val="22"/>
                <w:szCs w:val="22"/>
              </w:rPr>
            </w:pPr>
            <w:r>
              <w:rPr>
                <w:rFonts w:cs="Arial"/>
                <w:sz w:val="22"/>
                <w:szCs w:val="22"/>
              </w:rPr>
              <w:t>Sistema Integrado de Información Financiera</w:t>
            </w:r>
            <w:r w:rsidR="00180FA0">
              <w:rPr>
                <w:rFonts w:cs="Arial"/>
                <w:sz w:val="22"/>
                <w:szCs w:val="22"/>
              </w:rPr>
              <w:t xml:space="preserve"> de la Nación</w:t>
            </w:r>
          </w:p>
        </w:tc>
      </w:tr>
      <w:tr w:rsidR="0003505C" w:rsidRPr="0034093E" w14:paraId="3C687A1D" w14:textId="77777777" w:rsidTr="005261A0">
        <w:tc>
          <w:tcPr>
            <w:tcW w:w="1428" w:type="dxa"/>
            <w:vAlign w:val="center"/>
          </w:tcPr>
          <w:p w14:paraId="2CEA9639" w14:textId="77777777" w:rsidR="0003505C" w:rsidRPr="0034093E" w:rsidRDefault="0003505C" w:rsidP="00D22441">
            <w:pPr>
              <w:rPr>
                <w:rFonts w:cs="Arial"/>
                <w:sz w:val="22"/>
                <w:szCs w:val="22"/>
              </w:rPr>
            </w:pPr>
            <w:r w:rsidRPr="0034093E">
              <w:rPr>
                <w:rFonts w:cs="Arial"/>
                <w:sz w:val="22"/>
                <w:szCs w:val="22"/>
              </w:rPr>
              <w:t>SSF</w:t>
            </w:r>
          </w:p>
        </w:tc>
        <w:tc>
          <w:tcPr>
            <w:tcW w:w="284" w:type="dxa"/>
            <w:vAlign w:val="center"/>
          </w:tcPr>
          <w:p w14:paraId="3E91D2F6" w14:textId="77777777" w:rsidR="0003505C" w:rsidRPr="0034093E" w:rsidRDefault="0003505C" w:rsidP="00D22441">
            <w:pPr>
              <w:rPr>
                <w:rFonts w:cs="Arial"/>
                <w:sz w:val="22"/>
                <w:szCs w:val="22"/>
              </w:rPr>
            </w:pPr>
          </w:p>
        </w:tc>
        <w:tc>
          <w:tcPr>
            <w:tcW w:w="390" w:type="dxa"/>
            <w:vAlign w:val="center"/>
          </w:tcPr>
          <w:p w14:paraId="7B57016D" w14:textId="77777777" w:rsidR="0003505C" w:rsidRPr="0034093E" w:rsidRDefault="0003505C" w:rsidP="00D22441">
            <w:pPr>
              <w:jc w:val="center"/>
              <w:rPr>
                <w:rFonts w:cs="Arial"/>
                <w:sz w:val="22"/>
                <w:szCs w:val="22"/>
              </w:rPr>
            </w:pPr>
            <w:r w:rsidRPr="0034093E">
              <w:rPr>
                <w:rFonts w:cs="Arial"/>
                <w:sz w:val="22"/>
                <w:szCs w:val="22"/>
              </w:rPr>
              <w:t>:</w:t>
            </w:r>
          </w:p>
        </w:tc>
        <w:tc>
          <w:tcPr>
            <w:tcW w:w="360" w:type="dxa"/>
            <w:vAlign w:val="center"/>
          </w:tcPr>
          <w:p w14:paraId="53DEBF89" w14:textId="77777777" w:rsidR="0003505C" w:rsidRPr="0034093E" w:rsidRDefault="0003505C" w:rsidP="00D22441">
            <w:pPr>
              <w:rPr>
                <w:rFonts w:cs="Arial"/>
                <w:sz w:val="22"/>
                <w:szCs w:val="22"/>
              </w:rPr>
            </w:pPr>
          </w:p>
        </w:tc>
        <w:tc>
          <w:tcPr>
            <w:tcW w:w="6479" w:type="dxa"/>
            <w:vAlign w:val="center"/>
          </w:tcPr>
          <w:p w14:paraId="2366DE3C" w14:textId="77777777" w:rsidR="0003505C" w:rsidRPr="0034093E" w:rsidRDefault="0003505C" w:rsidP="00D22441">
            <w:pPr>
              <w:rPr>
                <w:rFonts w:cs="Arial"/>
                <w:sz w:val="22"/>
                <w:szCs w:val="22"/>
              </w:rPr>
            </w:pPr>
            <w:r w:rsidRPr="0034093E">
              <w:rPr>
                <w:rFonts w:cs="Arial"/>
                <w:sz w:val="22"/>
                <w:szCs w:val="22"/>
              </w:rPr>
              <w:t xml:space="preserve">Sin </w:t>
            </w:r>
            <w:r>
              <w:rPr>
                <w:rFonts w:cs="Arial"/>
                <w:sz w:val="22"/>
                <w:szCs w:val="22"/>
              </w:rPr>
              <w:t>s</w:t>
            </w:r>
            <w:r w:rsidRPr="0034093E">
              <w:rPr>
                <w:rFonts w:cs="Arial"/>
                <w:sz w:val="22"/>
                <w:szCs w:val="22"/>
              </w:rPr>
              <w:t xml:space="preserve">ituación de </w:t>
            </w:r>
            <w:r>
              <w:rPr>
                <w:rFonts w:cs="Arial"/>
                <w:sz w:val="22"/>
                <w:szCs w:val="22"/>
              </w:rPr>
              <w:t>f</w:t>
            </w:r>
            <w:r w:rsidRPr="0034093E">
              <w:rPr>
                <w:rFonts w:cs="Arial"/>
                <w:sz w:val="22"/>
                <w:szCs w:val="22"/>
              </w:rPr>
              <w:t>ondos</w:t>
            </w:r>
            <w:r>
              <w:rPr>
                <w:rFonts w:cs="Arial"/>
                <w:sz w:val="22"/>
                <w:szCs w:val="22"/>
              </w:rPr>
              <w:t>.</w:t>
            </w:r>
          </w:p>
        </w:tc>
      </w:tr>
      <w:tr w:rsidR="0003505C" w:rsidRPr="0034093E" w14:paraId="08FB75E8" w14:textId="77777777" w:rsidTr="005261A0">
        <w:tc>
          <w:tcPr>
            <w:tcW w:w="1428" w:type="dxa"/>
            <w:vAlign w:val="center"/>
          </w:tcPr>
          <w:p w14:paraId="0F218DF8" w14:textId="77777777" w:rsidR="0003505C" w:rsidRPr="0034093E" w:rsidRDefault="0003505C" w:rsidP="00D22441">
            <w:pPr>
              <w:rPr>
                <w:rFonts w:cs="Arial"/>
                <w:sz w:val="22"/>
                <w:szCs w:val="22"/>
              </w:rPr>
            </w:pPr>
            <w:r w:rsidRPr="0034093E">
              <w:rPr>
                <w:rFonts w:cs="Arial"/>
                <w:sz w:val="22"/>
                <w:szCs w:val="22"/>
              </w:rPr>
              <w:t>SSPD</w:t>
            </w:r>
          </w:p>
        </w:tc>
        <w:tc>
          <w:tcPr>
            <w:tcW w:w="284" w:type="dxa"/>
            <w:vAlign w:val="center"/>
          </w:tcPr>
          <w:p w14:paraId="155017FF" w14:textId="77777777" w:rsidR="0003505C" w:rsidRPr="0034093E" w:rsidRDefault="0003505C" w:rsidP="00D22441">
            <w:pPr>
              <w:rPr>
                <w:rFonts w:cs="Arial"/>
                <w:sz w:val="22"/>
                <w:szCs w:val="22"/>
              </w:rPr>
            </w:pPr>
          </w:p>
        </w:tc>
        <w:tc>
          <w:tcPr>
            <w:tcW w:w="390" w:type="dxa"/>
            <w:vAlign w:val="center"/>
          </w:tcPr>
          <w:p w14:paraId="3CB54E41" w14:textId="77777777" w:rsidR="0003505C" w:rsidRPr="0034093E" w:rsidRDefault="0003505C" w:rsidP="00D22441">
            <w:pPr>
              <w:jc w:val="center"/>
              <w:rPr>
                <w:rFonts w:cs="Arial"/>
                <w:sz w:val="22"/>
                <w:szCs w:val="22"/>
              </w:rPr>
            </w:pPr>
            <w:r w:rsidRPr="0034093E">
              <w:rPr>
                <w:rFonts w:cs="Arial"/>
                <w:sz w:val="22"/>
                <w:szCs w:val="22"/>
              </w:rPr>
              <w:t>:</w:t>
            </w:r>
          </w:p>
        </w:tc>
        <w:tc>
          <w:tcPr>
            <w:tcW w:w="360" w:type="dxa"/>
            <w:vAlign w:val="center"/>
          </w:tcPr>
          <w:p w14:paraId="1287EB6F" w14:textId="77777777" w:rsidR="0003505C" w:rsidRPr="0034093E" w:rsidRDefault="0003505C" w:rsidP="00D22441">
            <w:pPr>
              <w:rPr>
                <w:rFonts w:cs="Arial"/>
                <w:sz w:val="22"/>
                <w:szCs w:val="22"/>
              </w:rPr>
            </w:pPr>
          </w:p>
        </w:tc>
        <w:tc>
          <w:tcPr>
            <w:tcW w:w="6479" w:type="dxa"/>
            <w:vAlign w:val="center"/>
          </w:tcPr>
          <w:p w14:paraId="035FB04F" w14:textId="77777777" w:rsidR="0003505C" w:rsidRPr="0034093E" w:rsidRDefault="0003505C" w:rsidP="00D22441">
            <w:pPr>
              <w:rPr>
                <w:rFonts w:cs="Arial"/>
                <w:sz w:val="22"/>
                <w:szCs w:val="22"/>
              </w:rPr>
            </w:pPr>
            <w:r w:rsidRPr="0034093E">
              <w:rPr>
                <w:rFonts w:cs="Arial"/>
                <w:sz w:val="22"/>
                <w:szCs w:val="22"/>
              </w:rPr>
              <w:t xml:space="preserve">Superintendencia de </w:t>
            </w:r>
            <w:r>
              <w:rPr>
                <w:rFonts w:cs="Arial"/>
                <w:sz w:val="22"/>
                <w:szCs w:val="22"/>
              </w:rPr>
              <w:t>s</w:t>
            </w:r>
            <w:r w:rsidRPr="0034093E">
              <w:rPr>
                <w:rFonts w:cs="Arial"/>
                <w:sz w:val="22"/>
                <w:szCs w:val="22"/>
              </w:rPr>
              <w:t xml:space="preserve">ervicios </w:t>
            </w:r>
            <w:r>
              <w:rPr>
                <w:rFonts w:cs="Arial"/>
                <w:sz w:val="22"/>
                <w:szCs w:val="22"/>
              </w:rPr>
              <w:t>p</w:t>
            </w:r>
            <w:r w:rsidRPr="0034093E">
              <w:rPr>
                <w:rFonts w:cs="Arial"/>
                <w:sz w:val="22"/>
                <w:szCs w:val="22"/>
              </w:rPr>
              <w:t xml:space="preserve">úblicos </w:t>
            </w:r>
            <w:r>
              <w:rPr>
                <w:rFonts w:cs="Arial"/>
                <w:sz w:val="22"/>
                <w:szCs w:val="22"/>
              </w:rPr>
              <w:t>d</w:t>
            </w:r>
            <w:r w:rsidRPr="0034093E">
              <w:rPr>
                <w:rFonts w:cs="Arial"/>
                <w:sz w:val="22"/>
                <w:szCs w:val="22"/>
              </w:rPr>
              <w:t>omiciliarios.</w:t>
            </w:r>
          </w:p>
        </w:tc>
      </w:tr>
      <w:tr w:rsidR="0003505C" w:rsidRPr="0034093E" w14:paraId="4D68BDD6" w14:textId="77777777" w:rsidTr="005261A0">
        <w:tc>
          <w:tcPr>
            <w:tcW w:w="1428" w:type="dxa"/>
            <w:vAlign w:val="center"/>
          </w:tcPr>
          <w:p w14:paraId="31E70964" w14:textId="77777777" w:rsidR="0003505C" w:rsidRPr="0034093E" w:rsidRDefault="0003505C" w:rsidP="00D22441">
            <w:pPr>
              <w:rPr>
                <w:rFonts w:cs="Arial"/>
                <w:sz w:val="22"/>
                <w:szCs w:val="22"/>
              </w:rPr>
            </w:pPr>
            <w:r w:rsidRPr="0034093E">
              <w:rPr>
                <w:rFonts w:cs="Arial"/>
                <w:sz w:val="22"/>
                <w:szCs w:val="22"/>
              </w:rPr>
              <w:t>SUI</w:t>
            </w:r>
          </w:p>
        </w:tc>
        <w:tc>
          <w:tcPr>
            <w:tcW w:w="284" w:type="dxa"/>
            <w:vAlign w:val="center"/>
          </w:tcPr>
          <w:p w14:paraId="07601F71" w14:textId="77777777" w:rsidR="0003505C" w:rsidRPr="0034093E" w:rsidRDefault="0003505C" w:rsidP="00D22441">
            <w:pPr>
              <w:rPr>
                <w:rFonts w:cs="Arial"/>
                <w:sz w:val="22"/>
                <w:szCs w:val="22"/>
              </w:rPr>
            </w:pPr>
          </w:p>
        </w:tc>
        <w:tc>
          <w:tcPr>
            <w:tcW w:w="390" w:type="dxa"/>
            <w:vAlign w:val="center"/>
          </w:tcPr>
          <w:p w14:paraId="0DA2EAED" w14:textId="77777777" w:rsidR="0003505C" w:rsidRPr="0034093E" w:rsidRDefault="0003505C" w:rsidP="00D22441">
            <w:pPr>
              <w:jc w:val="center"/>
              <w:rPr>
                <w:rFonts w:cs="Arial"/>
                <w:sz w:val="22"/>
                <w:szCs w:val="22"/>
              </w:rPr>
            </w:pPr>
            <w:r w:rsidRPr="0034093E">
              <w:rPr>
                <w:rFonts w:cs="Arial"/>
                <w:sz w:val="22"/>
                <w:szCs w:val="22"/>
              </w:rPr>
              <w:t>:</w:t>
            </w:r>
          </w:p>
        </w:tc>
        <w:tc>
          <w:tcPr>
            <w:tcW w:w="360" w:type="dxa"/>
            <w:vAlign w:val="center"/>
          </w:tcPr>
          <w:p w14:paraId="3E1B3467" w14:textId="77777777" w:rsidR="0003505C" w:rsidRPr="0034093E" w:rsidRDefault="0003505C" w:rsidP="00D22441">
            <w:pPr>
              <w:rPr>
                <w:rFonts w:cs="Arial"/>
                <w:sz w:val="22"/>
                <w:szCs w:val="22"/>
              </w:rPr>
            </w:pPr>
          </w:p>
        </w:tc>
        <w:tc>
          <w:tcPr>
            <w:tcW w:w="6479" w:type="dxa"/>
            <w:vAlign w:val="center"/>
          </w:tcPr>
          <w:p w14:paraId="34B63700" w14:textId="77777777" w:rsidR="0003505C" w:rsidRPr="0034093E" w:rsidRDefault="0003505C" w:rsidP="00D22441">
            <w:pPr>
              <w:rPr>
                <w:rFonts w:cs="Arial"/>
                <w:sz w:val="22"/>
                <w:szCs w:val="22"/>
              </w:rPr>
            </w:pPr>
            <w:r w:rsidRPr="0034093E">
              <w:rPr>
                <w:rFonts w:cs="Arial"/>
                <w:sz w:val="22"/>
                <w:szCs w:val="22"/>
              </w:rPr>
              <w:t xml:space="preserve">Sistema </w:t>
            </w:r>
            <w:r>
              <w:rPr>
                <w:rFonts w:cs="Arial"/>
                <w:sz w:val="22"/>
                <w:szCs w:val="22"/>
              </w:rPr>
              <w:t>ú</w:t>
            </w:r>
            <w:r w:rsidRPr="0034093E">
              <w:rPr>
                <w:rFonts w:cs="Arial"/>
                <w:sz w:val="22"/>
                <w:szCs w:val="22"/>
              </w:rPr>
              <w:t xml:space="preserve">nico de </w:t>
            </w:r>
            <w:r>
              <w:rPr>
                <w:rFonts w:cs="Arial"/>
                <w:sz w:val="22"/>
                <w:szCs w:val="22"/>
              </w:rPr>
              <w:t>i</w:t>
            </w:r>
            <w:r w:rsidRPr="0034093E">
              <w:rPr>
                <w:rFonts w:cs="Arial"/>
                <w:sz w:val="22"/>
                <w:szCs w:val="22"/>
              </w:rPr>
              <w:t>nformación de servicios públicos domiciliarios.</w:t>
            </w:r>
          </w:p>
        </w:tc>
      </w:tr>
      <w:tr w:rsidR="0003505C" w:rsidRPr="0034093E" w14:paraId="35CF11D3" w14:textId="77777777" w:rsidTr="005261A0">
        <w:tc>
          <w:tcPr>
            <w:tcW w:w="1428" w:type="dxa"/>
            <w:vAlign w:val="center"/>
          </w:tcPr>
          <w:p w14:paraId="4647957B" w14:textId="77777777" w:rsidR="0003505C" w:rsidRPr="0034093E" w:rsidRDefault="0003505C" w:rsidP="00D22441">
            <w:pPr>
              <w:rPr>
                <w:rFonts w:cs="Arial"/>
                <w:sz w:val="22"/>
                <w:szCs w:val="22"/>
              </w:rPr>
            </w:pPr>
            <w:r w:rsidRPr="0034093E">
              <w:rPr>
                <w:rFonts w:cs="Arial"/>
                <w:sz w:val="22"/>
                <w:szCs w:val="22"/>
              </w:rPr>
              <w:t>UAE</w:t>
            </w:r>
          </w:p>
        </w:tc>
        <w:tc>
          <w:tcPr>
            <w:tcW w:w="284" w:type="dxa"/>
            <w:vAlign w:val="center"/>
          </w:tcPr>
          <w:p w14:paraId="433E6840" w14:textId="77777777" w:rsidR="0003505C" w:rsidRPr="0034093E" w:rsidRDefault="0003505C" w:rsidP="00D22441">
            <w:pPr>
              <w:rPr>
                <w:rFonts w:cs="Arial"/>
                <w:sz w:val="22"/>
                <w:szCs w:val="22"/>
              </w:rPr>
            </w:pPr>
          </w:p>
        </w:tc>
        <w:tc>
          <w:tcPr>
            <w:tcW w:w="390" w:type="dxa"/>
            <w:vAlign w:val="center"/>
          </w:tcPr>
          <w:p w14:paraId="4C322D8D" w14:textId="77777777" w:rsidR="0003505C" w:rsidRPr="0034093E" w:rsidRDefault="0003505C" w:rsidP="00D22441">
            <w:pPr>
              <w:jc w:val="center"/>
              <w:rPr>
                <w:rFonts w:cs="Arial"/>
                <w:sz w:val="22"/>
                <w:szCs w:val="22"/>
              </w:rPr>
            </w:pPr>
            <w:r w:rsidRPr="0034093E">
              <w:rPr>
                <w:rFonts w:cs="Arial"/>
                <w:sz w:val="22"/>
                <w:szCs w:val="22"/>
              </w:rPr>
              <w:t>:</w:t>
            </w:r>
          </w:p>
        </w:tc>
        <w:tc>
          <w:tcPr>
            <w:tcW w:w="360" w:type="dxa"/>
            <w:vAlign w:val="center"/>
          </w:tcPr>
          <w:p w14:paraId="3C0A4CF2" w14:textId="77777777" w:rsidR="0003505C" w:rsidRPr="0034093E" w:rsidRDefault="0003505C" w:rsidP="00D22441">
            <w:pPr>
              <w:rPr>
                <w:rFonts w:cs="Arial"/>
                <w:sz w:val="22"/>
                <w:szCs w:val="22"/>
              </w:rPr>
            </w:pPr>
          </w:p>
        </w:tc>
        <w:tc>
          <w:tcPr>
            <w:tcW w:w="6479" w:type="dxa"/>
            <w:vAlign w:val="center"/>
          </w:tcPr>
          <w:p w14:paraId="7236A7C4" w14:textId="77777777" w:rsidR="0003505C" w:rsidRPr="0034093E" w:rsidRDefault="0003505C" w:rsidP="00D22441">
            <w:pPr>
              <w:rPr>
                <w:rFonts w:cs="Arial"/>
                <w:sz w:val="22"/>
                <w:szCs w:val="22"/>
              </w:rPr>
            </w:pPr>
            <w:r w:rsidRPr="0034093E">
              <w:rPr>
                <w:rFonts w:cs="Arial"/>
                <w:sz w:val="22"/>
                <w:szCs w:val="22"/>
              </w:rPr>
              <w:t xml:space="preserve">Unidad </w:t>
            </w:r>
            <w:r>
              <w:rPr>
                <w:rFonts w:cs="Arial"/>
                <w:sz w:val="22"/>
                <w:szCs w:val="22"/>
              </w:rPr>
              <w:t>a</w:t>
            </w:r>
            <w:r w:rsidRPr="0034093E">
              <w:rPr>
                <w:rFonts w:cs="Arial"/>
                <w:sz w:val="22"/>
                <w:szCs w:val="22"/>
              </w:rPr>
              <w:t xml:space="preserve">dministrativa </w:t>
            </w:r>
            <w:r>
              <w:rPr>
                <w:rFonts w:cs="Arial"/>
                <w:sz w:val="22"/>
                <w:szCs w:val="22"/>
              </w:rPr>
              <w:t>e</w:t>
            </w:r>
            <w:r w:rsidRPr="0034093E">
              <w:rPr>
                <w:rFonts w:cs="Arial"/>
                <w:sz w:val="22"/>
                <w:szCs w:val="22"/>
              </w:rPr>
              <w:t>special.</w:t>
            </w:r>
          </w:p>
        </w:tc>
      </w:tr>
      <w:tr w:rsidR="0003505C" w:rsidRPr="0034093E" w14:paraId="175A6182" w14:textId="77777777" w:rsidTr="005261A0">
        <w:tc>
          <w:tcPr>
            <w:tcW w:w="1428" w:type="dxa"/>
            <w:vAlign w:val="center"/>
          </w:tcPr>
          <w:p w14:paraId="63EB9CCC" w14:textId="77777777" w:rsidR="0003505C" w:rsidRPr="0034093E" w:rsidRDefault="0003505C" w:rsidP="00D22441">
            <w:pPr>
              <w:rPr>
                <w:rFonts w:cs="Arial"/>
                <w:sz w:val="22"/>
                <w:szCs w:val="22"/>
              </w:rPr>
            </w:pPr>
            <w:r>
              <w:rPr>
                <w:rFonts w:cs="Arial"/>
                <w:sz w:val="22"/>
                <w:szCs w:val="22"/>
              </w:rPr>
              <w:t>XBRL</w:t>
            </w:r>
          </w:p>
        </w:tc>
        <w:tc>
          <w:tcPr>
            <w:tcW w:w="284" w:type="dxa"/>
            <w:vAlign w:val="center"/>
          </w:tcPr>
          <w:p w14:paraId="60EB3372" w14:textId="77777777" w:rsidR="0003505C" w:rsidRPr="0034093E" w:rsidRDefault="0003505C" w:rsidP="00D22441">
            <w:pPr>
              <w:rPr>
                <w:rFonts w:cs="Arial"/>
                <w:sz w:val="22"/>
                <w:szCs w:val="22"/>
              </w:rPr>
            </w:pPr>
          </w:p>
        </w:tc>
        <w:tc>
          <w:tcPr>
            <w:tcW w:w="390" w:type="dxa"/>
            <w:vAlign w:val="center"/>
          </w:tcPr>
          <w:p w14:paraId="3A21877D" w14:textId="77777777" w:rsidR="0003505C" w:rsidRPr="0034093E" w:rsidRDefault="0003505C" w:rsidP="00D22441">
            <w:pPr>
              <w:jc w:val="center"/>
              <w:rPr>
                <w:rFonts w:cs="Arial"/>
                <w:sz w:val="22"/>
                <w:szCs w:val="22"/>
              </w:rPr>
            </w:pPr>
            <w:r>
              <w:rPr>
                <w:rFonts w:cs="Arial"/>
                <w:sz w:val="22"/>
                <w:szCs w:val="22"/>
              </w:rPr>
              <w:t>:</w:t>
            </w:r>
          </w:p>
        </w:tc>
        <w:tc>
          <w:tcPr>
            <w:tcW w:w="360" w:type="dxa"/>
            <w:vAlign w:val="center"/>
          </w:tcPr>
          <w:p w14:paraId="33578F8B" w14:textId="77777777" w:rsidR="0003505C" w:rsidRPr="0034093E" w:rsidRDefault="0003505C" w:rsidP="00D22441">
            <w:pPr>
              <w:rPr>
                <w:rFonts w:cs="Arial"/>
                <w:sz w:val="22"/>
                <w:szCs w:val="22"/>
              </w:rPr>
            </w:pPr>
          </w:p>
        </w:tc>
        <w:tc>
          <w:tcPr>
            <w:tcW w:w="6479" w:type="dxa"/>
            <w:vAlign w:val="center"/>
          </w:tcPr>
          <w:p w14:paraId="412A85C3" w14:textId="77777777" w:rsidR="0003505C" w:rsidRPr="0034093E" w:rsidRDefault="0003505C" w:rsidP="00D22441">
            <w:pPr>
              <w:rPr>
                <w:rFonts w:cs="Arial"/>
                <w:sz w:val="22"/>
                <w:szCs w:val="22"/>
              </w:rPr>
            </w:pPr>
            <w:proofErr w:type="spellStart"/>
            <w:r>
              <w:rPr>
                <w:rFonts w:cs="Arial"/>
                <w:sz w:val="22"/>
                <w:szCs w:val="22"/>
              </w:rPr>
              <w:t>eXtensible</w:t>
            </w:r>
            <w:proofErr w:type="spellEnd"/>
            <w:r>
              <w:rPr>
                <w:rFonts w:cs="Arial"/>
                <w:sz w:val="22"/>
                <w:szCs w:val="22"/>
              </w:rPr>
              <w:t xml:space="preserve"> Business </w:t>
            </w:r>
            <w:proofErr w:type="spellStart"/>
            <w:r>
              <w:rPr>
                <w:rFonts w:cs="Arial"/>
                <w:sz w:val="22"/>
                <w:szCs w:val="22"/>
              </w:rPr>
              <w:t>Reporting</w:t>
            </w:r>
            <w:proofErr w:type="spellEnd"/>
            <w:r>
              <w:rPr>
                <w:rFonts w:cs="Arial"/>
                <w:sz w:val="22"/>
                <w:szCs w:val="22"/>
              </w:rPr>
              <w:t xml:space="preserve"> </w:t>
            </w:r>
            <w:proofErr w:type="spellStart"/>
            <w:r>
              <w:rPr>
                <w:rFonts w:cs="Arial"/>
                <w:sz w:val="22"/>
                <w:szCs w:val="22"/>
              </w:rPr>
              <w:t>Language</w:t>
            </w:r>
            <w:proofErr w:type="spellEnd"/>
            <w:r>
              <w:rPr>
                <w:rFonts w:cs="Arial"/>
                <w:sz w:val="22"/>
                <w:szCs w:val="22"/>
              </w:rPr>
              <w:t>.</w:t>
            </w:r>
          </w:p>
        </w:tc>
      </w:tr>
    </w:tbl>
    <w:p w14:paraId="015B7FA3" w14:textId="77777777" w:rsidR="0003505C" w:rsidRDefault="0003505C" w:rsidP="00D22441">
      <w:pPr>
        <w:rPr>
          <w:rFonts w:ascii="Arial Narrow" w:hAnsi="Arial Narrow" w:cs="Arial"/>
          <w:sz w:val="18"/>
          <w:szCs w:val="18"/>
        </w:rPr>
      </w:pPr>
    </w:p>
    <w:p w14:paraId="795B01BF" w14:textId="77777777" w:rsidR="0003505C" w:rsidRDefault="0003505C" w:rsidP="00D22441">
      <w:pPr>
        <w:pStyle w:val="Textoindependiente"/>
        <w:spacing w:after="0"/>
        <w:rPr>
          <w:rFonts w:cs="Arial"/>
          <w:sz w:val="22"/>
          <w:szCs w:val="22"/>
        </w:rPr>
      </w:pPr>
    </w:p>
    <w:p w14:paraId="122844F2" w14:textId="2E3C47AA" w:rsidR="0003505C" w:rsidRDefault="0003505C" w:rsidP="00D22441">
      <w:pPr>
        <w:pStyle w:val="Textoindependiente"/>
        <w:spacing w:after="0"/>
        <w:rPr>
          <w:rFonts w:cs="Arial"/>
          <w:sz w:val="22"/>
          <w:szCs w:val="22"/>
        </w:rPr>
      </w:pPr>
    </w:p>
    <w:p w14:paraId="5996081E" w14:textId="6BC2578D" w:rsidR="0003505C" w:rsidRDefault="0003505C" w:rsidP="00D22441">
      <w:pPr>
        <w:jc w:val="left"/>
        <w:rPr>
          <w:rFonts w:cs="Arial"/>
          <w:sz w:val="22"/>
          <w:szCs w:val="22"/>
        </w:rPr>
      </w:pPr>
      <w:r>
        <w:rPr>
          <w:rFonts w:cs="Arial"/>
          <w:sz w:val="22"/>
          <w:szCs w:val="22"/>
        </w:rPr>
        <w:br w:type="page"/>
      </w:r>
    </w:p>
    <w:p w14:paraId="5DDCB03D" w14:textId="5402BAB7" w:rsidR="00111930" w:rsidRPr="001A55C4" w:rsidRDefault="00111930" w:rsidP="00D22441">
      <w:pPr>
        <w:pStyle w:val="Ttulo10"/>
        <w:numPr>
          <w:ilvl w:val="0"/>
          <w:numId w:val="37"/>
        </w:numPr>
        <w:spacing w:before="0" w:after="0"/>
        <w:rPr>
          <w:sz w:val="22"/>
          <w:szCs w:val="22"/>
        </w:rPr>
      </w:pPr>
      <w:bookmarkStart w:id="3" w:name="_Toc147154287"/>
      <w:r w:rsidRPr="001A55C4">
        <w:rPr>
          <w:sz w:val="22"/>
          <w:szCs w:val="22"/>
        </w:rPr>
        <w:lastRenderedPageBreak/>
        <w:t xml:space="preserve">PUBLICACIÓN </w:t>
      </w:r>
      <w:r w:rsidR="00EF7D13">
        <w:rPr>
          <w:sz w:val="22"/>
          <w:szCs w:val="22"/>
        </w:rPr>
        <w:t xml:space="preserve">DE RESOLUCIÓN </w:t>
      </w:r>
      <w:r w:rsidRPr="001A55C4">
        <w:rPr>
          <w:sz w:val="22"/>
          <w:szCs w:val="22"/>
        </w:rPr>
        <w:t>PARA CONSULTA Y COMENTARIOS</w:t>
      </w:r>
      <w:bookmarkEnd w:id="3"/>
    </w:p>
    <w:p w14:paraId="76620C7E" w14:textId="77777777" w:rsidR="00111930" w:rsidRDefault="00111930" w:rsidP="00D22441">
      <w:pPr>
        <w:pStyle w:val="Prrafodelista"/>
        <w:spacing w:after="0"/>
        <w:ind w:left="0"/>
        <w:rPr>
          <w:rFonts w:cs="Arial"/>
          <w:b/>
        </w:rPr>
      </w:pPr>
    </w:p>
    <w:p w14:paraId="2A86330A" w14:textId="7515B0F1" w:rsidR="00111930" w:rsidRDefault="00111930" w:rsidP="00D22441">
      <w:pPr>
        <w:rPr>
          <w:rFonts w:cs="Arial"/>
          <w:sz w:val="22"/>
          <w:szCs w:val="22"/>
        </w:rPr>
      </w:pPr>
      <w:r w:rsidRPr="0020490A">
        <w:rPr>
          <w:rFonts w:cs="Arial"/>
          <w:sz w:val="22"/>
          <w:szCs w:val="22"/>
        </w:rPr>
        <w:t xml:space="preserve">Conforme a lo dispuesto por el artículo 9 del Decreto 2696 de 2004. concordante con el artículo 8 del Código de Procedimiento Administrativo y de lo Contencioso Administrativo. la CREG publicó en su página web para comentarios la </w:t>
      </w:r>
      <w:r w:rsidRPr="0027165D">
        <w:rPr>
          <w:rFonts w:cs="Arial"/>
          <w:sz w:val="22"/>
          <w:szCs w:val="22"/>
        </w:rPr>
        <w:t xml:space="preserve">Resolución </w:t>
      </w:r>
      <w:proofErr w:type="spellStart"/>
      <w:r w:rsidRPr="0027165D">
        <w:rPr>
          <w:rFonts w:cs="Arial"/>
          <w:sz w:val="22"/>
          <w:szCs w:val="22"/>
        </w:rPr>
        <w:t>N°</w:t>
      </w:r>
      <w:proofErr w:type="spellEnd"/>
      <w:r w:rsidRPr="0027165D">
        <w:rPr>
          <w:rFonts w:cs="Arial"/>
          <w:sz w:val="22"/>
          <w:szCs w:val="22"/>
        </w:rPr>
        <w:t xml:space="preserve"> </w:t>
      </w:r>
      <w:r w:rsidR="00BC0133" w:rsidRPr="0027165D">
        <w:rPr>
          <w:rFonts w:cs="Arial"/>
          <w:sz w:val="22"/>
          <w:szCs w:val="22"/>
        </w:rPr>
        <w:t>705</w:t>
      </w:r>
      <w:r w:rsidRPr="0027165D">
        <w:rPr>
          <w:rFonts w:cs="Arial"/>
          <w:sz w:val="22"/>
          <w:szCs w:val="22"/>
        </w:rPr>
        <w:t xml:space="preserve"> </w:t>
      </w:r>
      <w:r w:rsidR="00BC0133" w:rsidRPr="0027165D">
        <w:rPr>
          <w:rFonts w:cs="Arial"/>
          <w:sz w:val="22"/>
          <w:szCs w:val="22"/>
        </w:rPr>
        <w:t>004</w:t>
      </w:r>
      <w:r w:rsidRPr="0027165D">
        <w:rPr>
          <w:rFonts w:cs="Arial"/>
          <w:sz w:val="22"/>
          <w:szCs w:val="22"/>
        </w:rPr>
        <w:t xml:space="preserve"> del </w:t>
      </w:r>
      <w:r w:rsidR="00BC0133" w:rsidRPr="0027165D">
        <w:rPr>
          <w:rFonts w:cs="Arial"/>
          <w:sz w:val="22"/>
          <w:szCs w:val="22"/>
        </w:rPr>
        <w:t>22</w:t>
      </w:r>
      <w:r w:rsidR="00C735F9" w:rsidRPr="0027165D">
        <w:rPr>
          <w:rFonts w:cs="Arial"/>
          <w:sz w:val="22"/>
          <w:szCs w:val="22"/>
        </w:rPr>
        <w:t xml:space="preserve"> de septiembre</w:t>
      </w:r>
      <w:r w:rsidRPr="0027165D">
        <w:rPr>
          <w:rFonts w:cs="Arial"/>
          <w:sz w:val="22"/>
          <w:szCs w:val="22"/>
        </w:rPr>
        <w:t xml:space="preserve"> de 2023 “</w:t>
      </w:r>
      <w:r w:rsidRPr="0027165D">
        <w:rPr>
          <w:rFonts w:cs="Arial"/>
          <w:i/>
          <w:iCs/>
          <w:sz w:val="22"/>
          <w:szCs w:val="22"/>
        </w:rPr>
        <w:t xml:space="preserve">Por la cual se ordena hacer público un proyecto de resolución de carácter general “Por la cual se señala el porcentaje de la contribución especial que deben pagar las personas prestadoras del servicio de energía eléctrica. gas natural y gas licuado de petróleo (GLP). sometidas a la regulación de la Comisión de Regulación de Energía y Gas en el año 2023 y se dictan otras disposiciones”” </w:t>
      </w:r>
      <w:r w:rsidRPr="0027165D">
        <w:rPr>
          <w:rFonts w:cs="Arial"/>
          <w:sz w:val="22"/>
          <w:szCs w:val="22"/>
        </w:rPr>
        <w:t xml:space="preserve">y el presente documento soporte CREG </w:t>
      </w:r>
      <w:proofErr w:type="spellStart"/>
      <w:r w:rsidRPr="0027165D">
        <w:rPr>
          <w:rFonts w:cs="Arial"/>
          <w:sz w:val="22"/>
          <w:szCs w:val="22"/>
        </w:rPr>
        <w:t>N°</w:t>
      </w:r>
      <w:proofErr w:type="spellEnd"/>
      <w:r w:rsidRPr="0027165D">
        <w:rPr>
          <w:rFonts w:cs="Arial"/>
          <w:sz w:val="22"/>
          <w:szCs w:val="22"/>
        </w:rPr>
        <w:t xml:space="preserve"> D-</w:t>
      </w:r>
      <w:r w:rsidR="0027165D" w:rsidRPr="0027165D">
        <w:rPr>
          <w:rFonts w:cs="Arial"/>
          <w:sz w:val="22"/>
          <w:szCs w:val="22"/>
        </w:rPr>
        <w:t>905</w:t>
      </w:r>
      <w:r w:rsidRPr="0027165D">
        <w:rPr>
          <w:rFonts w:cs="Arial"/>
          <w:sz w:val="22"/>
          <w:szCs w:val="22"/>
        </w:rPr>
        <w:t>-</w:t>
      </w:r>
      <w:r w:rsidR="0027165D" w:rsidRPr="0027165D">
        <w:rPr>
          <w:rFonts w:cs="Arial"/>
          <w:sz w:val="22"/>
          <w:szCs w:val="22"/>
        </w:rPr>
        <w:t>004</w:t>
      </w:r>
      <w:r w:rsidRPr="0027165D">
        <w:rPr>
          <w:rFonts w:cs="Arial"/>
          <w:sz w:val="22"/>
          <w:szCs w:val="22"/>
        </w:rPr>
        <w:t xml:space="preserve">-2023, con el </w:t>
      </w:r>
      <w:r w:rsidRPr="0020490A">
        <w:rPr>
          <w:rFonts w:cs="Arial"/>
          <w:sz w:val="22"/>
          <w:szCs w:val="22"/>
        </w:rPr>
        <w:t>fin de cumplir con el término de publicidad. recibir comentarios. realizar ajustes e incorporarlos en una resolución definitiva.</w:t>
      </w:r>
    </w:p>
    <w:p w14:paraId="6DB80F28" w14:textId="77777777" w:rsidR="00C1416E" w:rsidRPr="0020490A" w:rsidRDefault="00C1416E" w:rsidP="00D22441">
      <w:pPr>
        <w:rPr>
          <w:rFonts w:cs="Arial"/>
          <w:sz w:val="22"/>
          <w:szCs w:val="22"/>
        </w:rPr>
      </w:pPr>
    </w:p>
    <w:p w14:paraId="508EA331" w14:textId="77777777" w:rsidR="00ED0153" w:rsidRDefault="00ED0153" w:rsidP="00D22441">
      <w:pPr>
        <w:pStyle w:val="Ttulo10"/>
        <w:numPr>
          <w:ilvl w:val="0"/>
          <w:numId w:val="37"/>
        </w:numPr>
        <w:spacing w:before="0" w:after="0"/>
        <w:rPr>
          <w:sz w:val="22"/>
          <w:szCs w:val="22"/>
        </w:rPr>
      </w:pPr>
      <w:bookmarkStart w:id="4" w:name="_Toc54170168"/>
      <w:bookmarkStart w:id="5" w:name="_Toc147154288"/>
      <w:r>
        <w:rPr>
          <w:sz w:val="22"/>
          <w:szCs w:val="22"/>
        </w:rPr>
        <w:t>MARCO LEGAL</w:t>
      </w:r>
      <w:bookmarkEnd w:id="4"/>
      <w:bookmarkEnd w:id="5"/>
    </w:p>
    <w:p w14:paraId="328CBFB1" w14:textId="56CCB8BB" w:rsidR="00ED0153" w:rsidRDefault="00ED0153" w:rsidP="00D22441">
      <w:pPr>
        <w:rPr>
          <w:rFonts w:cs="Arial"/>
          <w:sz w:val="22"/>
          <w:szCs w:val="22"/>
        </w:rPr>
      </w:pPr>
    </w:p>
    <w:p w14:paraId="06D7C0EB" w14:textId="537CD779" w:rsidR="00490C8A" w:rsidRDefault="00490C8A" w:rsidP="00D22441">
      <w:pPr>
        <w:rPr>
          <w:rFonts w:cs="Arial"/>
          <w:sz w:val="22"/>
          <w:szCs w:val="22"/>
        </w:rPr>
      </w:pPr>
      <w:r>
        <w:rPr>
          <w:rFonts w:cs="Arial"/>
          <w:sz w:val="22"/>
          <w:szCs w:val="22"/>
        </w:rPr>
        <w:t xml:space="preserve">Para el marco legal se enunciarán en </w:t>
      </w:r>
      <w:r w:rsidR="00241356">
        <w:rPr>
          <w:rFonts w:cs="Arial"/>
          <w:sz w:val="22"/>
          <w:szCs w:val="22"/>
        </w:rPr>
        <w:t xml:space="preserve">orden cronológico, en </w:t>
      </w:r>
      <w:r>
        <w:rPr>
          <w:rFonts w:cs="Arial"/>
          <w:sz w:val="22"/>
          <w:szCs w:val="22"/>
        </w:rPr>
        <w:t xml:space="preserve">primer </w:t>
      </w:r>
      <w:r w:rsidR="004F064B">
        <w:rPr>
          <w:rFonts w:cs="Arial"/>
          <w:sz w:val="22"/>
          <w:szCs w:val="22"/>
        </w:rPr>
        <w:t>lugar,</w:t>
      </w:r>
      <w:r>
        <w:rPr>
          <w:rFonts w:cs="Arial"/>
          <w:sz w:val="22"/>
          <w:szCs w:val="22"/>
        </w:rPr>
        <w:t xml:space="preserve"> el contrato social, seguido de las leyes, posteriormente los decretos</w:t>
      </w:r>
      <w:r w:rsidR="00A4535E">
        <w:rPr>
          <w:rFonts w:cs="Arial"/>
          <w:sz w:val="22"/>
          <w:szCs w:val="22"/>
        </w:rPr>
        <w:t xml:space="preserve">, </w:t>
      </w:r>
      <w:r>
        <w:rPr>
          <w:rFonts w:cs="Arial"/>
          <w:sz w:val="22"/>
          <w:szCs w:val="22"/>
        </w:rPr>
        <w:t xml:space="preserve">los documentos </w:t>
      </w:r>
      <w:r w:rsidR="00614606">
        <w:rPr>
          <w:rFonts w:cs="Arial"/>
          <w:sz w:val="22"/>
          <w:szCs w:val="22"/>
        </w:rPr>
        <w:t>del Consejo Nacional de Política Económica y Social (</w:t>
      </w:r>
      <w:r>
        <w:rPr>
          <w:rFonts w:cs="Arial"/>
          <w:sz w:val="22"/>
          <w:szCs w:val="22"/>
        </w:rPr>
        <w:t>CONPES</w:t>
      </w:r>
      <w:r w:rsidR="00614606">
        <w:rPr>
          <w:rFonts w:cs="Arial"/>
          <w:sz w:val="22"/>
          <w:szCs w:val="22"/>
        </w:rPr>
        <w:t>)</w:t>
      </w:r>
      <w:r>
        <w:rPr>
          <w:rFonts w:cs="Arial"/>
          <w:sz w:val="22"/>
          <w:szCs w:val="22"/>
        </w:rPr>
        <w:t xml:space="preserve"> y </w:t>
      </w:r>
      <w:r w:rsidR="00A4535E">
        <w:rPr>
          <w:rFonts w:cs="Arial"/>
          <w:sz w:val="22"/>
          <w:szCs w:val="22"/>
        </w:rPr>
        <w:t>por último las resoluciones</w:t>
      </w:r>
      <w:r w:rsidR="00241356">
        <w:rPr>
          <w:rFonts w:cs="Arial"/>
          <w:sz w:val="22"/>
          <w:szCs w:val="22"/>
        </w:rPr>
        <w:t>.</w:t>
      </w:r>
    </w:p>
    <w:p w14:paraId="0E60ADD1" w14:textId="77777777" w:rsidR="00490C8A" w:rsidRDefault="00490C8A" w:rsidP="00D22441">
      <w:pPr>
        <w:rPr>
          <w:rFonts w:cs="Arial"/>
          <w:sz w:val="22"/>
          <w:szCs w:val="22"/>
        </w:rPr>
      </w:pPr>
    </w:p>
    <w:p w14:paraId="732BDD87" w14:textId="5C5C366C" w:rsidR="009E6FF4" w:rsidRDefault="009E6FF4" w:rsidP="00D22441">
      <w:pPr>
        <w:rPr>
          <w:sz w:val="22"/>
          <w:szCs w:val="22"/>
        </w:rPr>
      </w:pPr>
      <w:r>
        <w:rPr>
          <w:sz w:val="22"/>
          <w:szCs w:val="22"/>
        </w:rPr>
        <w:t>Constitución Política de Colombia</w:t>
      </w:r>
      <w:r w:rsidR="00FE62CD">
        <w:rPr>
          <w:sz w:val="22"/>
          <w:szCs w:val="22"/>
        </w:rPr>
        <w:t xml:space="preserve"> de 1991</w:t>
      </w:r>
      <w:r>
        <w:rPr>
          <w:sz w:val="22"/>
          <w:szCs w:val="22"/>
        </w:rPr>
        <w:t>, inciso 2 del artículo 338, artículo 365 y artículo 370.</w:t>
      </w:r>
    </w:p>
    <w:p w14:paraId="14D255AD" w14:textId="77777777" w:rsidR="009E6FF4" w:rsidRDefault="009E6FF4" w:rsidP="00D22441">
      <w:pPr>
        <w:rPr>
          <w:sz w:val="22"/>
          <w:szCs w:val="22"/>
        </w:rPr>
      </w:pPr>
    </w:p>
    <w:p w14:paraId="430A50EC" w14:textId="3850BFFD" w:rsidR="00ED0153" w:rsidRPr="00C35785" w:rsidRDefault="00ED0153" w:rsidP="00D22441">
      <w:pPr>
        <w:rPr>
          <w:sz w:val="22"/>
          <w:szCs w:val="22"/>
        </w:rPr>
      </w:pPr>
      <w:r w:rsidRPr="00C35785">
        <w:rPr>
          <w:sz w:val="22"/>
          <w:szCs w:val="22"/>
        </w:rPr>
        <w:t>Ley 142 de</w:t>
      </w:r>
      <w:r w:rsidR="00F34EA4">
        <w:rPr>
          <w:sz w:val="22"/>
          <w:szCs w:val="22"/>
        </w:rPr>
        <w:t>l 11 de julio de</w:t>
      </w:r>
      <w:r w:rsidRPr="00C35785">
        <w:rPr>
          <w:sz w:val="22"/>
          <w:szCs w:val="22"/>
        </w:rPr>
        <w:t xml:space="preserve"> 1994, </w:t>
      </w:r>
      <w:r w:rsidRPr="00C35785">
        <w:rPr>
          <w:i/>
          <w:iCs/>
          <w:sz w:val="22"/>
          <w:szCs w:val="22"/>
        </w:rPr>
        <w:t>“Por la cual se establece el régimen de los servicios públicos domiciliarios y se dictan otras disposiciones”.</w:t>
      </w:r>
    </w:p>
    <w:p w14:paraId="7DCF5941" w14:textId="77777777" w:rsidR="00ED0153" w:rsidRPr="00C35785" w:rsidRDefault="00ED0153" w:rsidP="00D22441">
      <w:pPr>
        <w:rPr>
          <w:sz w:val="22"/>
          <w:szCs w:val="22"/>
        </w:rPr>
      </w:pPr>
    </w:p>
    <w:p w14:paraId="16A0058E" w14:textId="03A727E5" w:rsidR="00ED0153" w:rsidRDefault="00ED0153" w:rsidP="00D22441">
      <w:pPr>
        <w:rPr>
          <w:sz w:val="22"/>
          <w:szCs w:val="22"/>
        </w:rPr>
      </w:pPr>
      <w:r w:rsidRPr="00C35785">
        <w:rPr>
          <w:sz w:val="22"/>
          <w:szCs w:val="22"/>
        </w:rPr>
        <w:t>Ley 143 de</w:t>
      </w:r>
      <w:r w:rsidR="00F34EA4">
        <w:rPr>
          <w:sz w:val="22"/>
          <w:szCs w:val="22"/>
        </w:rPr>
        <w:t xml:space="preserve">l 11 de julio de </w:t>
      </w:r>
      <w:r w:rsidRPr="00C35785">
        <w:rPr>
          <w:sz w:val="22"/>
          <w:szCs w:val="22"/>
        </w:rPr>
        <w:t xml:space="preserve">1994, </w:t>
      </w:r>
      <w:r w:rsidRPr="00C35785">
        <w:rPr>
          <w:i/>
          <w:iCs/>
          <w:sz w:val="22"/>
          <w:szCs w:val="22"/>
        </w:rPr>
        <w:t>“Por la cual se establece el régimen para la generación, interconexión, transmisión, distribución y comercialización de electricidad en el territorio nacional, se conceden unas autorizaciones y se dictan otras disposiciones en materia energética”.</w:t>
      </w:r>
    </w:p>
    <w:p w14:paraId="1401E4A4" w14:textId="77777777" w:rsidR="00ED0153" w:rsidRDefault="00ED0153" w:rsidP="00D22441">
      <w:pPr>
        <w:rPr>
          <w:sz w:val="22"/>
          <w:szCs w:val="22"/>
        </w:rPr>
      </w:pPr>
    </w:p>
    <w:p w14:paraId="27AD2911" w14:textId="703C3E7C" w:rsidR="00ED0153" w:rsidRPr="00C35785" w:rsidRDefault="00ED0153" w:rsidP="00D22441">
      <w:pPr>
        <w:rPr>
          <w:sz w:val="22"/>
          <w:szCs w:val="22"/>
        </w:rPr>
      </w:pPr>
      <w:r w:rsidRPr="00C35785">
        <w:rPr>
          <w:sz w:val="22"/>
          <w:szCs w:val="22"/>
        </w:rPr>
        <w:t>Ley 689 de</w:t>
      </w:r>
      <w:r w:rsidR="00490C8A">
        <w:rPr>
          <w:sz w:val="22"/>
          <w:szCs w:val="22"/>
        </w:rPr>
        <w:t>l 28 de agosto de</w:t>
      </w:r>
      <w:r w:rsidRPr="00C35785">
        <w:rPr>
          <w:sz w:val="22"/>
          <w:szCs w:val="22"/>
        </w:rPr>
        <w:t xml:space="preserve"> 2001</w:t>
      </w:r>
      <w:r>
        <w:rPr>
          <w:sz w:val="22"/>
          <w:szCs w:val="22"/>
        </w:rPr>
        <w:t xml:space="preserve">, </w:t>
      </w:r>
      <w:r w:rsidRPr="00C35785">
        <w:rPr>
          <w:i/>
          <w:iCs/>
          <w:sz w:val="22"/>
          <w:szCs w:val="22"/>
        </w:rPr>
        <w:t>“Por la cual se modifica parcialmente la Ley 142 de 1994. Le asignó a la SSPD la responsabilidad de establecer, administrar, mantener y operar un sistema único de información que se caracterizará, como su nombre lo indica, por ser único y servir de referencia verdadera para el sector de servicios públicos domiciliarios del país”.</w:t>
      </w:r>
    </w:p>
    <w:p w14:paraId="390D4193" w14:textId="307E6585" w:rsidR="00ED0153" w:rsidRDefault="00ED0153" w:rsidP="00D22441">
      <w:pPr>
        <w:rPr>
          <w:sz w:val="22"/>
          <w:szCs w:val="22"/>
        </w:rPr>
      </w:pPr>
    </w:p>
    <w:p w14:paraId="679100B0" w14:textId="4F798D9B" w:rsidR="00007AEB" w:rsidRDefault="00ED0153" w:rsidP="00D22441">
      <w:pPr>
        <w:rPr>
          <w:sz w:val="22"/>
          <w:szCs w:val="22"/>
        </w:rPr>
      </w:pPr>
      <w:r w:rsidRPr="00C35785">
        <w:rPr>
          <w:rFonts w:cs="Arial"/>
          <w:sz w:val="22"/>
          <w:szCs w:val="22"/>
        </w:rPr>
        <w:t>Ley 812</w:t>
      </w:r>
      <w:r w:rsidR="00CD70DF">
        <w:rPr>
          <w:rFonts w:cs="Arial"/>
          <w:sz w:val="22"/>
          <w:szCs w:val="22"/>
        </w:rPr>
        <w:t xml:space="preserve"> del 26 de junio</w:t>
      </w:r>
      <w:r w:rsidRPr="00C35785">
        <w:rPr>
          <w:rFonts w:cs="Arial"/>
          <w:sz w:val="22"/>
          <w:szCs w:val="22"/>
        </w:rPr>
        <w:t xml:space="preserve"> de 2003</w:t>
      </w:r>
      <w:r w:rsidRPr="00C35785">
        <w:rPr>
          <w:sz w:val="22"/>
          <w:szCs w:val="22"/>
        </w:rPr>
        <w:t xml:space="preserve">, </w:t>
      </w:r>
      <w:r w:rsidRPr="00C35785">
        <w:rPr>
          <w:i/>
          <w:iCs/>
          <w:sz w:val="22"/>
          <w:szCs w:val="22"/>
        </w:rPr>
        <w:t>“Por la cual se aprueba el Plan Nacional de Desarrollo 2003-2006, hacia un Estado comunitario”.</w:t>
      </w:r>
    </w:p>
    <w:p w14:paraId="5D945EB9" w14:textId="2002BB72" w:rsidR="00007AEB" w:rsidRDefault="00007AEB" w:rsidP="00D22441">
      <w:pPr>
        <w:rPr>
          <w:sz w:val="22"/>
          <w:szCs w:val="22"/>
        </w:rPr>
      </w:pPr>
    </w:p>
    <w:p w14:paraId="23DDCEE5" w14:textId="2D0565D9" w:rsidR="00007AEB" w:rsidRPr="00007AEB" w:rsidRDefault="00216E8F" w:rsidP="00D22441">
      <w:pPr>
        <w:rPr>
          <w:i/>
          <w:iCs/>
          <w:sz w:val="22"/>
          <w:szCs w:val="22"/>
        </w:rPr>
      </w:pPr>
      <w:r>
        <w:rPr>
          <w:sz w:val="22"/>
          <w:szCs w:val="22"/>
        </w:rPr>
        <w:t>Ley 901</w:t>
      </w:r>
      <w:r w:rsidR="00007AEB">
        <w:rPr>
          <w:sz w:val="22"/>
          <w:szCs w:val="22"/>
        </w:rPr>
        <w:t xml:space="preserve"> </w:t>
      </w:r>
      <w:r w:rsidR="00FE62CD">
        <w:rPr>
          <w:sz w:val="22"/>
          <w:szCs w:val="22"/>
        </w:rPr>
        <w:t xml:space="preserve">del 26 de julio </w:t>
      </w:r>
      <w:r w:rsidR="00007AEB">
        <w:rPr>
          <w:sz w:val="22"/>
          <w:szCs w:val="22"/>
        </w:rPr>
        <w:t xml:space="preserve">de 2004, </w:t>
      </w:r>
      <w:r w:rsidR="00007AEB">
        <w:rPr>
          <w:i/>
          <w:iCs/>
          <w:sz w:val="22"/>
          <w:szCs w:val="22"/>
        </w:rPr>
        <w:t>“</w:t>
      </w:r>
      <w:r w:rsidR="00007AEB" w:rsidRPr="00007AEB">
        <w:rPr>
          <w:i/>
          <w:iCs/>
          <w:sz w:val="22"/>
          <w:szCs w:val="22"/>
        </w:rPr>
        <w:t>Por medio de la cual se prorroga la vigencia de la Ley 716 de 2001, prorrogada y modificada por la Ley 863 de 2003 y se modifican algunas de sus disposiciones</w:t>
      </w:r>
      <w:r w:rsidR="00007AEB">
        <w:rPr>
          <w:i/>
          <w:iCs/>
          <w:sz w:val="22"/>
          <w:szCs w:val="22"/>
        </w:rPr>
        <w:t>”.</w:t>
      </w:r>
    </w:p>
    <w:p w14:paraId="1FF0082D" w14:textId="77777777" w:rsidR="00ED0153" w:rsidRDefault="00ED0153" w:rsidP="00D22441">
      <w:pPr>
        <w:rPr>
          <w:sz w:val="22"/>
          <w:szCs w:val="22"/>
        </w:rPr>
      </w:pPr>
    </w:p>
    <w:p w14:paraId="720230F3" w14:textId="1B76B135" w:rsidR="00ED0153" w:rsidRDefault="00ED0153" w:rsidP="00D22441">
      <w:pPr>
        <w:rPr>
          <w:i/>
          <w:iCs/>
          <w:sz w:val="22"/>
          <w:szCs w:val="22"/>
        </w:rPr>
      </w:pPr>
      <w:r w:rsidRPr="00C35785">
        <w:rPr>
          <w:sz w:val="22"/>
          <w:szCs w:val="22"/>
        </w:rPr>
        <w:t>Ley 1066 de</w:t>
      </w:r>
      <w:r w:rsidR="00CF42D5">
        <w:rPr>
          <w:sz w:val="22"/>
          <w:szCs w:val="22"/>
        </w:rPr>
        <w:t>l 29 de julio de</w:t>
      </w:r>
      <w:r w:rsidRPr="00C35785">
        <w:rPr>
          <w:sz w:val="22"/>
          <w:szCs w:val="22"/>
        </w:rPr>
        <w:t xml:space="preserve"> 2006, </w:t>
      </w:r>
      <w:r w:rsidRPr="00C35785">
        <w:rPr>
          <w:i/>
          <w:iCs/>
          <w:sz w:val="22"/>
          <w:szCs w:val="22"/>
        </w:rPr>
        <w:t>“Por la cual se dictan normas para la normalización de la cartera pública y se dictan otras disposiciones”.</w:t>
      </w:r>
    </w:p>
    <w:p w14:paraId="5449B4BC" w14:textId="2926B0A3" w:rsidR="00F34EA4" w:rsidRDefault="00F34EA4" w:rsidP="00D22441">
      <w:pPr>
        <w:rPr>
          <w:sz w:val="22"/>
          <w:szCs w:val="22"/>
        </w:rPr>
      </w:pPr>
    </w:p>
    <w:p w14:paraId="4C531316" w14:textId="78A59DED" w:rsidR="00F34EA4" w:rsidRDefault="00F34EA4" w:rsidP="00D22441">
      <w:pPr>
        <w:rPr>
          <w:i/>
          <w:sz w:val="22"/>
          <w:szCs w:val="22"/>
        </w:rPr>
      </w:pPr>
      <w:r>
        <w:rPr>
          <w:sz w:val="22"/>
          <w:szCs w:val="22"/>
        </w:rPr>
        <w:lastRenderedPageBreak/>
        <w:t xml:space="preserve">Ley 1314 del 13 de julio de 2009, </w:t>
      </w:r>
      <w:r w:rsidRPr="00F34EA4">
        <w:rPr>
          <w:i/>
          <w:sz w:val="22"/>
          <w:szCs w:val="22"/>
        </w:rPr>
        <w:t>“Por la cual se regulan los principios y normas de contabilidad e información financiera y de aseguramiento de información aceptados en Colombia, se señalan las autoridades competentes, el procedimiento para su expedición y se determinan las entidades responsa</w:t>
      </w:r>
      <w:r>
        <w:rPr>
          <w:i/>
          <w:sz w:val="22"/>
          <w:szCs w:val="22"/>
        </w:rPr>
        <w:t>bles de vigilar su cumplimiento”.</w:t>
      </w:r>
    </w:p>
    <w:p w14:paraId="04A89792" w14:textId="77777777" w:rsidR="00CD70DF" w:rsidRPr="00C35785" w:rsidRDefault="00CD70DF" w:rsidP="00D22441">
      <w:pPr>
        <w:rPr>
          <w:sz w:val="22"/>
          <w:szCs w:val="22"/>
        </w:rPr>
      </w:pPr>
    </w:p>
    <w:p w14:paraId="42C87480" w14:textId="13322ECA" w:rsidR="00ED0153" w:rsidRDefault="00ED0153" w:rsidP="00D22441">
      <w:pPr>
        <w:rPr>
          <w:sz w:val="22"/>
          <w:szCs w:val="22"/>
        </w:rPr>
      </w:pPr>
      <w:r w:rsidRPr="00C35785">
        <w:rPr>
          <w:sz w:val="22"/>
          <w:szCs w:val="22"/>
        </w:rPr>
        <w:t>Ley 1437 de</w:t>
      </w:r>
      <w:r w:rsidR="00F34EA4">
        <w:rPr>
          <w:sz w:val="22"/>
          <w:szCs w:val="22"/>
        </w:rPr>
        <w:t>l 18 de enero</w:t>
      </w:r>
      <w:r w:rsidRPr="00C35785">
        <w:rPr>
          <w:sz w:val="22"/>
          <w:szCs w:val="22"/>
        </w:rPr>
        <w:t xml:space="preserve"> 2011, </w:t>
      </w:r>
      <w:r w:rsidRPr="00C35785">
        <w:rPr>
          <w:i/>
          <w:iCs/>
          <w:sz w:val="22"/>
          <w:szCs w:val="22"/>
        </w:rPr>
        <w:t>“Por la cual se expide el Código de Procedimiento Administrativo y de lo Contencioso Administrativo”</w:t>
      </w:r>
      <w:r w:rsidRPr="00C35785">
        <w:rPr>
          <w:sz w:val="22"/>
          <w:szCs w:val="22"/>
        </w:rPr>
        <w:t>.</w:t>
      </w:r>
    </w:p>
    <w:p w14:paraId="34FE08D8" w14:textId="77777777" w:rsidR="00E53F80" w:rsidRDefault="00E53F80" w:rsidP="00D22441">
      <w:pPr>
        <w:rPr>
          <w:sz w:val="22"/>
          <w:szCs w:val="22"/>
        </w:rPr>
      </w:pPr>
    </w:p>
    <w:p w14:paraId="4F2F9403" w14:textId="109E51C4" w:rsidR="00E53F80" w:rsidRPr="00C35785" w:rsidRDefault="00E53F80" w:rsidP="00D22441">
      <w:pPr>
        <w:rPr>
          <w:sz w:val="22"/>
          <w:szCs w:val="22"/>
        </w:rPr>
      </w:pPr>
      <w:r>
        <w:rPr>
          <w:sz w:val="22"/>
          <w:szCs w:val="22"/>
        </w:rPr>
        <w:t xml:space="preserve">Ley </w:t>
      </w:r>
      <w:r w:rsidR="00320C98">
        <w:rPr>
          <w:sz w:val="22"/>
          <w:szCs w:val="22"/>
        </w:rPr>
        <w:t xml:space="preserve">2276 del 29 de noviembre de 2022, </w:t>
      </w:r>
      <w:r w:rsidR="00320C98" w:rsidRPr="00320C98">
        <w:rPr>
          <w:i/>
          <w:iCs/>
          <w:sz w:val="22"/>
          <w:szCs w:val="22"/>
        </w:rPr>
        <w:t>“</w:t>
      </w:r>
      <w:r w:rsidRPr="00320C98">
        <w:rPr>
          <w:i/>
          <w:iCs/>
          <w:sz w:val="22"/>
          <w:szCs w:val="22"/>
        </w:rPr>
        <w:t>Por la cual se decreta el Presupuesto de Rentas y Recursos de Capital y Ley de Apropiaciones para la vigencia fiscal del 1o. de enero al 31 de diciembre de 2023</w:t>
      </w:r>
      <w:r w:rsidR="00320C98" w:rsidRPr="00320C98">
        <w:rPr>
          <w:i/>
          <w:iCs/>
          <w:sz w:val="22"/>
          <w:szCs w:val="22"/>
        </w:rPr>
        <w:t>”</w:t>
      </w:r>
      <w:r w:rsidRPr="00320C98">
        <w:rPr>
          <w:i/>
          <w:iCs/>
          <w:sz w:val="22"/>
          <w:szCs w:val="22"/>
        </w:rPr>
        <w:t>.</w:t>
      </w:r>
    </w:p>
    <w:p w14:paraId="0A79A767" w14:textId="7BCEAA44" w:rsidR="00DC4C76" w:rsidRDefault="00DC4C76" w:rsidP="00D22441">
      <w:pPr>
        <w:rPr>
          <w:sz w:val="22"/>
          <w:szCs w:val="22"/>
        </w:rPr>
      </w:pPr>
    </w:p>
    <w:p w14:paraId="2CF3EB2E" w14:textId="77777777" w:rsidR="00C363D3" w:rsidRPr="00907319" w:rsidRDefault="00C363D3" w:rsidP="00D22441">
      <w:pPr>
        <w:pStyle w:val="Textonotapie"/>
      </w:pPr>
      <w:r>
        <w:t xml:space="preserve">Ley </w:t>
      </w:r>
      <w:proofErr w:type="spellStart"/>
      <w:r>
        <w:t>N°</w:t>
      </w:r>
      <w:proofErr w:type="spellEnd"/>
      <w:r>
        <w:t xml:space="preserve"> 2299 de 2023 </w:t>
      </w:r>
      <w:r>
        <w:rPr>
          <w:i/>
          <w:iCs/>
        </w:rPr>
        <w:t xml:space="preserve">“Por la cual se adiciona y efectúa unas modificaciones al presupuesto general de la Nación de la vigencia fiscal 2023”. </w:t>
      </w:r>
      <w:r w:rsidRPr="00907319">
        <w:rPr>
          <w:sz w:val="18"/>
          <w:szCs w:val="18"/>
          <w:lang w:val="es-MX"/>
        </w:rPr>
        <w:t xml:space="preserve">Ver en enlace web </w:t>
      </w:r>
      <w:r>
        <w:rPr>
          <w:sz w:val="18"/>
          <w:szCs w:val="18"/>
          <w:lang w:val="es-MX"/>
        </w:rPr>
        <w:t>MHCP</w:t>
      </w:r>
      <w:r w:rsidRPr="00907319">
        <w:rPr>
          <w:sz w:val="18"/>
          <w:szCs w:val="18"/>
          <w:lang w:val="es-MX"/>
        </w:rPr>
        <w:t xml:space="preserve">: </w:t>
      </w:r>
    </w:p>
    <w:p w14:paraId="6D212E23" w14:textId="77777777" w:rsidR="00C363D3" w:rsidRDefault="00C363D3" w:rsidP="00D22441">
      <w:pPr>
        <w:rPr>
          <w:sz w:val="22"/>
          <w:szCs w:val="22"/>
        </w:rPr>
      </w:pPr>
    </w:p>
    <w:p w14:paraId="2C5E9695" w14:textId="5C5696C6" w:rsidR="00D36A90" w:rsidRPr="00D63D4C" w:rsidRDefault="00D36A90" w:rsidP="00D22441">
      <w:pPr>
        <w:rPr>
          <w:i/>
          <w:iCs/>
          <w:sz w:val="22"/>
          <w:szCs w:val="22"/>
        </w:rPr>
      </w:pPr>
      <w:r w:rsidRPr="00D36A90">
        <w:rPr>
          <w:sz w:val="22"/>
          <w:szCs w:val="22"/>
        </w:rPr>
        <w:t>Decreto 1524</w:t>
      </w:r>
      <w:r>
        <w:rPr>
          <w:sz w:val="22"/>
          <w:szCs w:val="22"/>
        </w:rPr>
        <w:t xml:space="preserve"> de</w:t>
      </w:r>
      <w:r w:rsidR="00F34EA4">
        <w:rPr>
          <w:sz w:val="22"/>
          <w:szCs w:val="22"/>
        </w:rPr>
        <w:t xml:space="preserve">l 15 de julio de </w:t>
      </w:r>
      <w:r>
        <w:rPr>
          <w:sz w:val="22"/>
          <w:szCs w:val="22"/>
        </w:rPr>
        <w:t xml:space="preserve">1994, </w:t>
      </w:r>
      <w:r w:rsidR="00D63D4C">
        <w:rPr>
          <w:i/>
          <w:iCs/>
          <w:sz w:val="22"/>
          <w:szCs w:val="22"/>
        </w:rPr>
        <w:t>“</w:t>
      </w:r>
      <w:r w:rsidR="00D63D4C" w:rsidRPr="00D63D4C">
        <w:rPr>
          <w:i/>
          <w:iCs/>
          <w:sz w:val="22"/>
          <w:szCs w:val="22"/>
        </w:rPr>
        <w:t>por el cual se delegan las funciones presidenciales de señalar políticas generales de administración y control de eficiencia en los servicios públicos domiciliarios, y se dictan otras disposiciones</w:t>
      </w:r>
      <w:r w:rsidR="00D63D4C">
        <w:rPr>
          <w:i/>
          <w:iCs/>
          <w:sz w:val="22"/>
          <w:szCs w:val="22"/>
        </w:rPr>
        <w:t>”.</w:t>
      </w:r>
    </w:p>
    <w:p w14:paraId="3734241C" w14:textId="117594CC" w:rsidR="009E6FF4" w:rsidRDefault="009E6FF4" w:rsidP="00D22441">
      <w:pPr>
        <w:rPr>
          <w:sz w:val="22"/>
          <w:szCs w:val="22"/>
        </w:rPr>
      </w:pPr>
    </w:p>
    <w:p w14:paraId="66DA1C77" w14:textId="0D002734" w:rsidR="00D36A90" w:rsidRDefault="00D36A90" w:rsidP="00D22441">
      <w:pPr>
        <w:rPr>
          <w:sz w:val="22"/>
          <w:szCs w:val="22"/>
        </w:rPr>
      </w:pPr>
      <w:r w:rsidRPr="00D36A90">
        <w:rPr>
          <w:sz w:val="22"/>
          <w:szCs w:val="22"/>
        </w:rPr>
        <w:t xml:space="preserve">Decreto </w:t>
      </w:r>
      <w:r>
        <w:rPr>
          <w:sz w:val="22"/>
          <w:szCs w:val="22"/>
        </w:rPr>
        <w:t>2253 de</w:t>
      </w:r>
      <w:r w:rsidR="00F34EA4">
        <w:rPr>
          <w:sz w:val="22"/>
          <w:szCs w:val="22"/>
        </w:rPr>
        <w:t>l 06 de octubre de</w:t>
      </w:r>
      <w:r>
        <w:rPr>
          <w:sz w:val="22"/>
          <w:szCs w:val="22"/>
        </w:rPr>
        <w:t xml:space="preserve"> 1994, </w:t>
      </w:r>
      <w:r w:rsidR="00D63D4C">
        <w:rPr>
          <w:i/>
          <w:iCs/>
          <w:sz w:val="22"/>
          <w:szCs w:val="22"/>
        </w:rPr>
        <w:t>“Por la cual se delegan unas funciones”</w:t>
      </w:r>
      <w:r w:rsidR="00D63D4C">
        <w:rPr>
          <w:sz w:val="22"/>
          <w:szCs w:val="22"/>
        </w:rPr>
        <w:t xml:space="preserve">. </w:t>
      </w:r>
    </w:p>
    <w:p w14:paraId="62007606" w14:textId="46BCA01E" w:rsidR="00007AEB" w:rsidRDefault="00007AEB" w:rsidP="00D22441">
      <w:pPr>
        <w:rPr>
          <w:sz w:val="22"/>
          <w:szCs w:val="22"/>
        </w:rPr>
      </w:pPr>
    </w:p>
    <w:p w14:paraId="4D5773DE" w14:textId="63FF22BE" w:rsidR="00007AEB" w:rsidRDefault="00007AEB" w:rsidP="00D22441">
      <w:pPr>
        <w:rPr>
          <w:iCs/>
          <w:sz w:val="22"/>
          <w:szCs w:val="22"/>
        </w:rPr>
      </w:pPr>
      <w:r w:rsidRPr="00007AEB">
        <w:rPr>
          <w:sz w:val="22"/>
          <w:szCs w:val="22"/>
        </w:rPr>
        <w:t xml:space="preserve">Decreto 111 </w:t>
      </w:r>
      <w:r w:rsidR="00490C8A">
        <w:rPr>
          <w:sz w:val="22"/>
          <w:szCs w:val="22"/>
        </w:rPr>
        <w:t xml:space="preserve">del 15 de enero </w:t>
      </w:r>
      <w:r w:rsidRPr="00007AEB">
        <w:rPr>
          <w:sz w:val="22"/>
          <w:szCs w:val="22"/>
        </w:rPr>
        <w:t>de 1996</w:t>
      </w:r>
      <w:r>
        <w:rPr>
          <w:sz w:val="22"/>
          <w:szCs w:val="22"/>
        </w:rPr>
        <w:t xml:space="preserve">, </w:t>
      </w:r>
      <w:r w:rsidRPr="00007AEB">
        <w:rPr>
          <w:i/>
          <w:iCs/>
          <w:sz w:val="22"/>
          <w:szCs w:val="22"/>
        </w:rPr>
        <w:t>“Por el cual se compilan la Ley 38 de 1989, la Ley 179 de 1994 y la Ley 225 de 1995 que conforman el estatuto orgánico del presupuesto</w:t>
      </w:r>
      <w:r>
        <w:rPr>
          <w:i/>
          <w:iCs/>
          <w:sz w:val="22"/>
          <w:szCs w:val="22"/>
        </w:rPr>
        <w:t>”</w:t>
      </w:r>
      <w:r w:rsidRPr="00007AEB">
        <w:rPr>
          <w:i/>
          <w:iCs/>
          <w:sz w:val="22"/>
          <w:szCs w:val="22"/>
        </w:rPr>
        <w:t>.</w:t>
      </w:r>
    </w:p>
    <w:p w14:paraId="4DE4CB6F" w14:textId="1833CB20" w:rsidR="00B00426" w:rsidRDefault="00B00426" w:rsidP="00D22441">
      <w:pPr>
        <w:rPr>
          <w:sz w:val="22"/>
          <w:szCs w:val="22"/>
        </w:rPr>
      </w:pPr>
    </w:p>
    <w:p w14:paraId="16044659" w14:textId="433EFB69" w:rsidR="00B00426" w:rsidRPr="00B00426" w:rsidRDefault="00B00426" w:rsidP="00D22441">
      <w:pPr>
        <w:rPr>
          <w:sz w:val="22"/>
          <w:szCs w:val="22"/>
        </w:rPr>
      </w:pPr>
      <w:r>
        <w:rPr>
          <w:sz w:val="22"/>
          <w:szCs w:val="22"/>
        </w:rPr>
        <w:t xml:space="preserve">Decreto 115 del 15 de enero de 1996, </w:t>
      </w:r>
      <w:r w:rsidRPr="00B00426">
        <w:rPr>
          <w:i/>
          <w:sz w:val="22"/>
          <w:szCs w:val="22"/>
        </w:rPr>
        <w:t>“Por el cual se establecen normas sobre la elaboración, conformación y ejecución de los presupuestos de las Empresas Industriales y Comerciales del Estado y de las Sociedades de Economía Mixta sujetas al régimen de aquellas, dedicadas a actividades no financieras”.</w:t>
      </w:r>
    </w:p>
    <w:p w14:paraId="32540E18" w14:textId="77777777" w:rsidR="00D36A90" w:rsidRDefault="00D36A90" w:rsidP="00D22441">
      <w:pPr>
        <w:rPr>
          <w:sz w:val="22"/>
          <w:szCs w:val="22"/>
        </w:rPr>
      </w:pPr>
    </w:p>
    <w:p w14:paraId="34154DD8" w14:textId="4AF22A5E" w:rsidR="009E6FF4" w:rsidRPr="000B277D" w:rsidRDefault="009E6FF4" w:rsidP="00D22441">
      <w:pPr>
        <w:rPr>
          <w:i/>
          <w:iCs/>
          <w:sz w:val="22"/>
          <w:szCs w:val="22"/>
        </w:rPr>
      </w:pPr>
      <w:r w:rsidRPr="000B277D">
        <w:rPr>
          <w:sz w:val="22"/>
          <w:szCs w:val="22"/>
        </w:rPr>
        <w:t>Decreto 2696 de</w:t>
      </w:r>
      <w:r w:rsidR="00CF42D5">
        <w:rPr>
          <w:sz w:val="22"/>
          <w:szCs w:val="22"/>
        </w:rPr>
        <w:t>l 24 de agosto de</w:t>
      </w:r>
      <w:r w:rsidRPr="000B277D">
        <w:rPr>
          <w:sz w:val="22"/>
          <w:szCs w:val="22"/>
        </w:rPr>
        <w:t xml:space="preserve"> 2004</w:t>
      </w:r>
      <w:r>
        <w:rPr>
          <w:sz w:val="22"/>
          <w:szCs w:val="22"/>
        </w:rPr>
        <w:t xml:space="preserve">, </w:t>
      </w:r>
      <w:r w:rsidRPr="000B277D">
        <w:rPr>
          <w:i/>
          <w:iCs/>
          <w:sz w:val="22"/>
          <w:szCs w:val="22"/>
        </w:rPr>
        <w:t>“Por el cual se definen las reglas mínimas para garantizar la divulgación y la participación en las actuaciones de las Comisiones de Regulación”.</w:t>
      </w:r>
    </w:p>
    <w:p w14:paraId="30583774" w14:textId="77777777" w:rsidR="009E6FF4" w:rsidRPr="00C35785" w:rsidRDefault="009E6FF4" w:rsidP="00D22441">
      <w:pPr>
        <w:rPr>
          <w:sz w:val="22"/>
          <w:szCs w:val="22"/>
        </w:rPr>
      </w:pPr>
    </w:p>
    <w:p w14:paraId="43542AC4" w14:textId="72831930" w:rsidR="009E6FF4" w:rsidRDefault="009E6FF4" w:rsidP="00D22441">
      <w:pPr>
        <w:rPr>
          <w:i/>
          <w:iCs/>
          <w:sz w:val="22"/>
          <w:szCs w:val="22"/>
        </w:rPr>
      </w:pPr>
      <w:r w:rsidRPr="00C35785">
        <w:rPr>
          <w:rFonts w:cs="Arial"/>
          <w:sz w:val="22"/>
          <w:szCs w:val="22"/>
        </w:rPr>
        <w:t>Decreto 4299 de</w:t>
      </w:r>
      <w:r w:rsidR="00CF42D5">
        <w:rPr>
          <w:rFonts w:cs="Arial"/>
          <w:sz w:val="22"/>
          <w:szCs w:val="22"/>
        </w:rPr>
        <w:t>l 25 de noviembre de</w:t>
      </w:r>
      <w:r w:rsidRPr="00C35785">
        <w:rPr>
          <w:rFonts w:cs="Arial"/>
          <w:sz w:val="22"/>
          <w:szCs w:val="22"/>
        </w:rPr>
        <w:t xml:space="preserve"> 2005</w:t>
      </w:r>
      <w:r w:rsidRPr="00C35785">
        <w:rPr>
          <w:sz w:val="22"/>
          <w:szCs w:val="22"/>
        </w:rPr>
        <w:t xml:space="preserve">, </w:t>
      </w:r>
      <w:r w:rsidRPr="00C35785">
        <w:rPr>
          <w:i/>
          <w:iCs/>
          <w:sz w:val="22"/>
          <w:szCs w:val="22"/>
        </w:rPr>
        <w:t>“Por el cual se reglamenta el artículo 61 de la Ley 812 de 2003 y se establecen otras disposiciones”.</w:t>
      </w:r>
    </w:p>
    <w:p w14:paraId="2A6A3136" w14:textId="760EC023" w:rsidR="00F61797" w:rsidRDefault="00F61797" w:rsidP="00D22441">
      <w:pPr>
        <w:rPr>
          <w:sz w:val="22"/>
          <w:szCs w:val="22"/>
        </w:rPr>
      </w:pPr>
    </w:p>
    <w:p w14:paraId="2EEDFC99" w14:textId="509432D6" w:rsidR="00F61797" w:rsidRPr="00C35785" w:rsidRDefault="00F61797" w:rsidP="00D22441">
      <w:pPr>
        <w:jc w:val="left"/>
        <w:rPr>
          <w:sz w:val="22"/>
          <w:szCs w:val="22"/>
        </w:rPr>
      </w:pPr>
      <w:r>
        <w:rPr>
          <w:sz w:val="22"/>
          <w:szCs w:val="22"/>
        </w:rPr>
        <w:t xml:space="preserve">Decreto 4836 del 21 de diciembre de 2011, </w:t>
      </w:r>
      <w:r>
        <w:rPr>
          <w:i/>
          <w:sz w:val="22"/>
          <w:szCs w:val="22"/>
        </w:rPr>
        <w:t>“</w:t>
      </w:r>
      <w:r w:rsidRPr="00F61797">
        <w:rPr>
          <w:i/>
          <w:sz w:val="22"/>
          <w:szCs w:val="22"/>
        </w:rPr>
        <w:t>por el cual se reglamentan normas orgánicas del presupuesto y se modifican los Decretos 115 de 1996, 4730 de 2005, 1957 de 2007 y 2844 de 2010, y se dictan otras disposiciones en la materia</w:t>
      </w:r>
      <w:r>
        <w:rPr>
          <w:i/>
          <w:sz w:val="22"/>
          <w:szCs w:val="22"/>
        </w:rPr>
        <w:t>”.</w:t>
      </w:r>
    </w:p>
    <w:p w14:paraId="4567A442" w14:textId="77777777" w:rsidR="009E6FF4" w:rsidRDefault="009E6FF4" w:rsidP="00D22441">
      <w:pPr>
        <w:rPr>
          <w:sz w:val="22"/>
          <w:szCs w:val="22"/>
        </w:rPr>
      </w:pPr>
    </w:p>
    <w:p w14:paraId="2F4FFEA6" w14:textId="55244D6C" w:rsidR="00ED0153" w:rsidRPr="00C35785" w:rsidRDefault="00ED0153" w:rsidP="00D22441">
      <w:pPr>
        <w:rPr>
          <w:sz w:val="22"/>
          <w:szCs w:val="22"/>
        </w:rPr>
      </w:pPr>
      <w:r w:rsidRPr="00C35785">
        <w:rPr>
          <w:sz w:val="22"/>
          <w:szCs w:val="22"/>
        </w:rPr>
        <w:t>Decreto 1260 de</w:t>
      </w:r>
      <w:r w:rsidR="008043E2">
        <w:rPr>
          <w:sz w:val="22"/>
          <w:szCs w:val="22"/>
        </w:rPr>
        <w:t xml:space="preserve">l 17 de junio de </w:t>
      </w:r>
      <w:r w:rsidRPr="00C35785">
        <w:rPr>
          <w:sz w:val="22"/>
          <w:szCs w:val="22"/>
        </w:rPr>
        <w:t xml:space="preserve">2013, </w:t>
      </w:r>
      <w:r w:rsidRPr="00C35785">
        <w:rPr>
          <w:i/>
          <w:iCs/>
          <w:sz w:val="22"/>
          <w:szCs w:val="22"/>
        </w:rPr>
        <w:t>“Por el cual se modifica la estructura de la Comisión de Regulación de Energía y Gas (CREG)”</w:t>
      </w:r>
      <w:r w:rsidR="00007AEB">
        <w:rPr>
          <w:i/>
          <w:iCs/>
          <w:sz w:val="22"/>
          <w:szCs w:val="22"/>
        </w:rPr>
        <w:t>.</w:t>
      </w:r>
      <w:r w:rsidR="00007AEB">
        <w:rPr>
          <w:i/>
          <w:iCs/>
          <w:sz w:val="22"/>
          <w:szCs w:val="22"/>
        </w:rPr>
        <w:tab/>
      </w:r>
    </w:p>
    <w:p w14:paraId="2AE9046B" w14:textId="77777777" w:rsidR="00ED0153" w:rsidRDefault="00ED0153" w:rsidP="00D22441">
      <w:pPr>
        <w:rPr>
          <w:sz w:val="22"/>
          <w:szCs w:val="22"/>
        </w:rPr>
      </w:pPr>
    </w:p>
    <w:p w14:paraId="485B35BE" w14:textId="24650FCF" w:rsidR="00ED0153" w:rsidRDefault="00ED0153" w:rsidP="00D22441">
      <w:pPr>
        <w:rPr>
          <w:sz w:val="22"/>
          <w:szCs w:val="22"/>
        </w:rPr>
      </w:pPr>
      <w:r w:rsidRPr="00C35785">
        <w:rPr>
          <w:rFonts w:cs="Arial"/>
          <w:sz w:val="22"/>
          <w:szCs w:val="22"/>
        </w:rPr>
        <w:lastRenderedPageBreak/>
        <w:t>Decreto 1068 de</w:t>
      </w:r>
      <w:r w:rsidR="008043E2">
        <w:rPr>
          <w:rFonts w:cs="Arial"/>
          <w:sz w:val="22"/>
          <w:szCs w:val="22"/>
        </w:rPr>
        <w:t xml:space="preserve"> 26 de mayo de</w:t>
      </w:r>
      <w:r w:rsidRPr="00C35785">
        <w:rPr>
          <w:rFonts w:cs="Arial"/>
          <w:sz w:val="22"/>
          <w:szCs w:val="22"/>
        </w:rPr>
        <w:t xml:space="preserve"> 2015</w:t>
      </w:r>
      <w:r w:rsidRPr="00C35785">
        <w:rPr>
          <w:sz w:val="22"/>
          <w:szCs w:val="22"/>
        </w:rPr>
        <w:t xml:space="preserve">, </w:t>
      </w:r>
      <w:r w:rsidRPr="00C35785">
        <w:rPr>
          <w:i/>
          <w:iCs/>
          <w:sz w:val="22"/>
          <w:szCs w:val="22"/>
        </w:rPr>
        <w:t>“Por medio del cual se expide el decreto único reglamentario del sector Hacienda y Crédito Público”.</w:t>
      </w:r>
    </w:p>
    <w:p w14:paraId="6E298EB1" w14:textId="77777777" w:rsidR="00ED0153" w:rsidRPr="00C35785" w:rsidRDefault="00ED0153" w:rsidP="00D22441">
      <w:pPr>
        <w:rPr>
          <w:sz w:val="22"/>
          <w:szCs w:val="22"/>
        </w:rPr>
      </w:pPr>
    </w:p>
    <w:p w14:paraId="4B53FFE1" w14:textId="01BAAFB1" w:rsidR="00ED0153" w:rsidRDefault="00ED0153" w:rsidP="00D22441">
      <w:pPr>
        <w:rPr>
          <w:sz w:val="22"/>
          <w:szCs w:val="22"/>
        </w:rPr>
      </w:pPr>
      <w:r w:rsidRPr="00C35785">
        <w:rPr>
          <w:rFonts w:cs="Arial"/>
          <w:sz w:val="22"/>
          <w:szCs w:val="22"/>
        </w:rPr>
        <w:t>Decreto 1</w:t>
      </w:r>
      <w:r>
        <w:rPr>
          <w:rFonts w:cs="Arial"/>
          <w:sz w:val="22"/>
          <w:szCs w:val="22"/>
        </w:rPr>
        <w:t>081</w:t>
      </w:r>
      <w:r w:rsidRPr="00C35785">
        <w:rPr>
          <w:rFonts w:cs="Arial"/>
          <w:sz w:val="22"/>
          <w:szCs w:val="22"/>
        </w:rPr>
        <w:t xml:space="preserve"> de</w:t>
      </w:r>
      <w:r w:rsidR="008043E2">
        <w:rPr>
          <w:rFonts w:cs="Arial"/>
          <w:sz w:val="22"/>
          <w:szCs w:val="22"/>
        </w:rPr>
        <w:t>l 26 de mayo de</w:t>
      </w:r>
      <w:r w:rsidRPr="00C35785">
        <w:rPr>
          <w:rFonts w:cs="Arial"/>
          <w:sz w:val="22"/>
          <w:szCs w:val="22"/>
        </w:rPr>
        <w:t xml:space="preserve"> 2015</w:t>
      </w:r>
      <w:r w:rsidRPr="00C35785">
        <w:rPr>
          <w:sz w:val="22"/>
          <w:szCs w:val="22"/>
        </w:rPr>
        <w:t xml:space="preserve">, </w:t>
      </w:r>
      <w:r w:rsidRPr="00814907">
        <w:rPr>
          <w:i/>
          <w:iCs/>
          <w:sz w:val="22"/>
          <w:szCs w:val="22"/>
        </w:rPr>
        <w:t>“Por medio del cual se expide el Decreto Reglamentario Único del Sector Presidencia de la República”.</w:t>
      </w:r>
    </w:p>
    <w:p w14:paraId="708C4403" w14:textId="77777777" w:rsidR="00ED0153" w:rsidRDefault="00ED0153" w:rsidP="00D22441">
      <w:pPr>
        <w:rPr>
          <w:rFonts w:cs="Arial"/>
          <w:sz w:val="22"/>
          <w:szCs w:val="22"/>
        </w:rPr>
      </w:pPr>
    </w:p>
    <w:p w14:paraId="11D04E8F" w14:textId="646DD599" w:rsidR="00ED0153" w:rsidRPr="00C35785" w:rsidRDefault="00ED0153" w:rsidP="00D22441">
      <w:pPr>
        <w:rPr>
          <w:sz w:val="22"/>
          <w:szCs w:val="22"/>
        </w:rPr>
      </w:pPr>
      <w:r w:rsidRPr="00C35785">
        <w:rPr>
          <w:rFonts w:cs="Arial"/>
          <w:sz w:val="22"/>
          <w:szCs w:val="22"/>
        </w:rPr>
        <w:t>Decreto 1082 de</w:t>
      </w:r>
      <w:r w:rsidR="008043E2">
        <w:rPr>
          <w:rFonts w:cs="Arial"/>
          <w:sz w:val="22"/>
          <w:szCs w:val="22"/>
        </w:rPr>
        <w:t>l 26 de mayo de</w:t>
      </w:r>
      <w:r w:rsidRPr="00C35785">
        <w:rPr>
          <w:rFonts w:cs="Arial"/>
          <w:sz w:val="22"/>
          <w:szCs w:val="22"/>
        </w:rPr>
        <w:t xml:space="preserve"> 2015</w:t>
      </w:r>
      <w:r w:rsidRPr="00C35785">
        <w:rPr>
          <w:sz w:val="22"/>
          <w:szCs w:val="22"/>
        </w:rPr>
        <w:t xml:space="preserve">, </w:t>
      </w:r>
      <w:r w:rsidRPr="00C35785">
        <w:rPr>
          <w:i/>
          <w:iCs/>
          <w:sz w:val="22"/>
          <w:szCs w:val="22"/>
        </w:rPr>
        <w:t>“Por medio del cual se expide el decreto único reglamentario del sector administrativo de ​​planeación nacional”.</w:t>
      </w:r>
    </w:p>
    <w:p w14:paraId="7F626C42" w14:textId="293476B4" w:rsidR="00ED0153" w:rsidRDefault="00ED0153" w:rsidP="00D22441">
      <w:pPr>
        <w:rPr>
          <w:sz w:val="22"/>
          <w:szCs w:val="22"/>
        </w:rPr>
      </w:pPr>
    </w:p>
    <w:p w14:paraId="5CBAAF5B" w14:textId="2EF11D8F" w:rsidR="00D63D4C" w:rsidRDefault="00D63D4C" w:rsidP="00D22441">
      <w:pPr>
        <w:rPr>
          <w:iCs/>
          <w:sz w:val="22"/>
          <w:szCs w:val="22"/>
        </w:rPr>
      </w:pPr>
      <w:r w:rsidRPr="00D63D4C">
        <w:rPr>
          <w:sz w:val="22"/>
          <w:szCs w:val="22"/>
        </w:rPr>
        <w:t>D</w:t>
      </w:r>
      <w:r>
        <w:rPr>
          <w:sz w:val="22"/>
          <w:szCs w:val="22"/>
        </w:rPr>
        <w:t>ecreto</w:t>
      </w:r>
      <w:r w:rsidRPr="00D63D4C">
        <w:rPr>
          <w:sz w:val="22"/>
          <w:szCs w:val="22"/>
        </w:rPr>
        <w:t xml:space="preserve"> 2420 de</w:t>
      </w:r>
      <w:r w:rsidR="008043E2">
        <w:rPr>
          <w:sz w:val="22"/>
          <w:szCs w:val="22"/>
        </w:rPr>
        <w:t>l 14 de diciembre de</w:t>
      </w:r>
      <w:r w:rsidRPr="00D63D4C">
        <w:rPr>
          <w:sz w:val="22"/>
          <w:szCs w:val="22"/>
        </w:rPr>
        <w:t xml:space="preserve"> 2015</w:t>
      </w:r>
      <w:r>
        <w:rPr>
          <w:sz w:val="22"/>
          <w:szCs w:val="22"/>
        </w:rPr>
        <w:t xml:space="preserve">, </w:t>
      </w:r>
      <w:r w:rsidRPr="00D63D4C">
        <w:rPr>
          <w:i/>
          <w:iCs/>
          <w:sz w:val="22"/>
          <w:szCs w:val="22"/>
        </w:rPr>
        <w:t>"Por medio del cual se expide el Decreto Único Reglamentario de las Normas de Contabilidad, de Información Financiera y de Aseguramiento de la Información y se dictan otras disposiciones".</w:t>
      </w:r>
    </w:p>
    <w:p w14:paraId="7307BC8E" w14:textId="080927EA" w:rsidR="00E22ABB" w:rsidRDefault="00E22ABB" w:rsidP="00D22441">
      <w:pPr>
        <w:rPr>
          <w:iCs/>
          <w:sz w:val="22"/>
          <w:szCs w:val="22"/>
        </w:rPr>
      </w:pPr>
    </w:p>
    <w:p w14:paraId="624CEB23" w14:textId="3D6ED05B" w:rsidR="00E22ABB" w:rsidRDefault="00E22ABB" w:rsidP="00D22441">
      <w:pPr>
        <w:rPr>
          <w:sz w:val="22"/>
          <w:szCs w:val="22"/>
        </w:rPr>
      </w:pPr>
      <w:r w:rsidRPr="00E22ABB">
        <w:rPr>
          <w:sz w:val="22"/>
          <w:szCs w:val="22"/>
        </w:rPr>
        <w:t>Decreto 1150 de 2020, “Por el cual se reglamentan el artículo 85 de la Ley 142 de 1994, modificado por el artículo 18 de la Ley 1955 de 2019, el artículo 314 de la Ley 1955 de 2019 y se adiciona el Capítulo 9 del Título 9 de la Parte 2 del Libro 2 del Decreto 1082 de 2015, Único Reglamentario del Sector Administrativo de Planeación Nacional”.</w:t>
      </w:r>
    </w:p>
    <w:p w14:paraId="5F3C0EB2" w14:textId="77777777" w:rsidR="00AD4F28" w:rsidRDefault="00AD4F28" w:rsidP="00D22441">
      <w:pPr>
        <w:rPr>
          <w:sz w:val="22"/>
          <w:szCs w:val="22"/>
        </w:rPr>
      </w:pPr>
    </w:p>
    <w:p w14:paraId="5CAD6FC2" w14:textId="64D860D9" w:rsidR="00384AA9" w:rsidRPr="006E5245" w:rsidRDefault="00384AA9" w:rsidP="00D22441">
      <w:pPr>
        <w:rPr>
          <w:sz w:val="22"/>
          <w:szCs w:val="22"/>
        </w:rPr>
      </w:pPr>
      <w:r w:rsidRPr="006E5245">
        <w:rPr>
          <w:sz w:val="22"/>
          <w:szCs w:val="22"/>
        </w:rPr>
        <w:t xml:space="preserve">Decreto </w:t>
      </w:r>
      <w:proofErr w:type="spellStart"/>
      <w:r w:rsidRPr="006E5245">
        <w:rPr>
          <w:sz w:val="22"/>
          <w:szCs w:val="22"/>
        </w:rPr>
        <w:t>N°</w:t>
      </w:r>
      <w:proofErr w:type="spellEnd"/>
      <w:r w:rsidRPr="006E5245">
        <w:rPr>
          <w:sz w:val="22"/>
          <w:szCs w:val="22"/>
        </w:rPr>
        <w:t xml:space="preserve"> 2590 de 2022</w:t>
      </w:r>
      <w:r w:rsidR="00C363D3">
        <w:rPr>
          <w:sz w:val="22"/>
          <w:szCs w:val="22"/>
        </w:rPr>
        <w:t xml:space="preserve"> y su anexo</w:t>
      </w:r>
      <w:r w:rsidRPr="006E5245">
        <w:rPr>
          <w:sz w:val="22"/>
          <w:szCs w:val="22"/>
        </w:rPr>
        <w:t xml:space="preserve">. </w:t>
      </w:r>
      <w:r w:rsidRPr="006E5245">
        <w:rPr>
          <w:i/>
          <w:sz w:val="22"/>
          <w:szCs w:val="22"/>
        </w:rPr>
        <w:t>“Por el cual se liquida el Presupuesto General de la Nación para la vigencia fiscal de 202</w:t>
      </w:r>
      <w:r w:rsidR="006E5245" w:rsidRPr="006E5245">
        <w:rPr>
          <w:i/>
          <w:sz w:val="22"/>
          <w:szCs w:val="22"/>
        </w:rPr>
        <w:t>2</w:t>
      </w:r>
      <w:r w:rsidRPr="006E5245">
        <w:rPr>
          <w:i/>
          <w:sz w:val="22"/>
          <w:szCs w:val="22"/>
        </w:rPr>
        <w:t>, se detallan las apropiaciones y se clasifican y definen los gastos”</w:t>
      </w:r>
      <w:r w:rsidRPr="006E5245">
        <w:rPr>
          <w:sz w:val="22"/>
          <w:szCs w:val="22"/>
        </w:rPr>
        <w:t>.</w:t>
      </w:r>
    </w:p>
    <w:p w14:paraId="56072F3B" w14:textId="77777777" w:rsidR="00384AA9" w:rsidRDefault="00384AA9" w:rsidP="00D22441">
      <w:pPr>
        <w:rPr>
          <w:sz w:val="22"/>
          <w:szCs w:val="22"/>
        </w:rPr>
      </w:pPr>
    </w:p>
    <w:p w14:paraId="458D1628" w14:textId="3163DBEB" w:rsidR="00C363D3" w:rsidRDefault="00C363D3" w:rsidP="00D22441">
      <w:pPr>
        <w:rPr>
          <w:sz w:val="22"/>
          <w:szCs w:val="22"/>
        </w:rPr>
      </w:pPr>
      <w:r w:rsidRPr="007C76EF">
        <w:rPr>
          <w:sz w:val="22"/>
          <w:szCs w:val="22"/>
        </w:rPr>
        <w:t xml:space="preserve">Decreto </w:t>
      </w:r>
      <w:proofErr w:type="spellStart"/>
      <w:r w:rsidRPr="007C76EF">
        <w:rPr>
          <w:sz w:val="22"/>
          <w:szCs w:val="22"/>
        </w:rPr>
        <w:t>N°</w:t>
      </w:r>
      <w:proofErr w:type="spellEnd"/>
      <w:r w:rsidRPr="007C76EF">
        <w:rPr>
          <w:sz w:val="22"/>
          <w:szCs w:val="22"/>
        </w:rPr>
        <w:t xml:space="preserve"> 1234 de 2023 y su anexo. “Por el cual se liquida la Ley 2299 de 2023 que adiciona y efectúa unas modificaciones al Presupuesto General de la Nación de la vigencia fiscal de 2023”.</w:t>
      </w:r>
    </w:p>
    <w:p w14:paraId="6B07F7B1" w14:textId="77777777" w:rsidR="00C363D3" w:rsidRPr="006E5245" w:rsidRDefault="00C363D3" w:rsidP="00D22441">
      <w:pPr>
        <w:rPr>
          <w:sz w:val="22"/>
          <w:szCs w:val="22"/>
        </w:rPr>
      </w:pPr>
    </w:p>
    <w:p w14:paraId="51E9A41D" w14:textId="2C72BF85" w:rsidR="00490C8A" w:rsidRPr="006E5245" w:rsidRDefault="00490C8A" w:rsidP="00D22441">
      <w:pPr>
        <w:rPr>
          <w:rFonts w:cs="Arial"/>
          <w:iCs/>
          <w:sz w:val="22"/>
          <w:szCs w:val="22"/>
        </w:rPr>
      </w:pPr>
      <w:r w:rsidRPr="006E5245">
        <w:rPr>
          <w:rFonts w:cs="Arial"/>
          <w:sz w:val="22"/>
          <w:szCs w:val="22"/>
        </w:rPr>
        <w:t xml:space="preserve">Documento CONPES </w:t>
      </w:r>
      <w:proofErr w:type="spellStart"/>
      <w:r w:rsidRPr="006E5245">
        <w:rPr>
          <w:rFonts w:cs="Arial"/>
          <w:sz w:val="22"/>
          <w:szCs w:val="22"/>
        </w:rPr>
        <w:t>N°</w:t>
      </w:r>
      <w:proofErr w:type="spellEnd"/>
      <w:r w:rsidRPr="006E5245">
        <w:rPr>
          <w:rFonts w:cs="Arial"/>
          <w:sz w:val="22"/>
          <w:szCs w:val="22"/>
        </w:rPr>
        <w:t xml:space="preserve"> 3168 de</w:t>
      </w:r>
      <w:r w:rsidR="00B00426" w:rsidRPr="006E5245">
        <w:rPr>
          <w:rFonts w:cs="Arial"/>
          <w:sz w:val="22"/>
          <w:szCs w:val="22"/>
        </w:rPr>
        <w:t>l 23 de mayo de</w:t>
      </w:r>
      <w:r w:rsidRPr="006E5245">
        <w:rPr>
          <w:rFonts w:cs="Arial"/>
          <w:sz w:val="22"/>
          <w:szCs w:val="22"/>
        </w:rPr>
        <w:t xml:space="preserve"> 2002, </w:t>
      </w:r>
      <w:r w:rsidRPr="006E5245">
        <w:rPr>
          <w:rFonts w:cs="Arial"/>
          <w:i/>
          <w:iCs/>
          <w:sz w:val="22"/>
          <w:szCs w:val="22"/>
        </w:rPr>
        <w:t>“Estrategia para la puesta en marcha del SUI - Sistema Único de Información de los Servicios Públicos Domiciliarios”.</w:t>
      </w:r>
    </w:p>
    <w:p w14:paraId="492A1341" w14:textId="6B64B6E2" w:rsidR="00710D52" w:rsidRDefault="00710D52" w:rsidP="00D22441">
      <w:pPr>
        <w:rPr>
          <w:rFonts w:cs="Arial"/>
          <w:iCs/>
          <w:sz w:val="22"/>
          <w:szCs w:val="22"/>
        </w:rPr>
      </w:pPr>
    </w:p>
    <w:p w14:paraId="065B9907" w14:textId="402D2FCA" w:rsidR="00710D52" w:rsidRDefault="00710D52" w:rsidP="00D22441">
      <w:pPr>
        <w:rPr>
          <w:rFonts w:cs="Arial"/>
          <w:iCs/>
          <w:sz w:val="22"/>
          <w:szCs w:val="22"/>
        </w:rPr>
      </w:pPr>
      <w:r w:rsidRPr="00C35785">
        <w:rPr>
          <w:rFonts w:cs="Arial"/>
          <w:sz w:val="22"/>
          <w:szCs w:val="22"/>
        </w:rPr>
        <w:t>Documento CONPES</w:t>
      </w:r>
      <w:r>
        <w:rPr>
          <w:rFonts w:cs="Arial"/>
          <w:sz w:val="22"/>
          <w:szCs w:val="22"/>
        </w:rPr>
        <w:t xml:space="preserve"> </w:t>
      </w:r>
      <w:proofErr w:type="spellStart"/>
      <w:r>
        <w:rPr>
          <w:rFonts w:cs="Arial"/>
          <w:sz w:val="22"/>
          <w:szCs w:val="22"/>
        </w:rPr>
        <w:t>N°</w:t>
      </w:r>
      <w:proofErr w:type="spellEnd"/>
      <w:r w:rsidRPr="00C35785">
        <w:rPr>
          <w:rFonts w:cs="Arial"/>
          <w:sz w:val="22"/>
          <w:szCs w:val="22"/>
        </w:rPr>
        <w:t xml:space="preserve"> </w:t>
      </w:r>
      <w:r>
        <w:rPr>
          <w:rFonts w:cs="Arial"/>
          <w:sz w:val="22"/>
          <w:szCs w:val="22"/>
        </w:rPr>
        <w:t>4075</w:t>
      </w:r>
      <w:r w:rsidRPr="00C35785">
        <w:rPr>
          <w:rFonts w:cs="Arial"/>
          <w:sz w:val="22"/>
          <w:szCs w:val="22"/>
        </w:rPr>
        <w:t xml:space="preserve"> de</w:t>
      </w:r>
      <w:r>
        <w:rPr>
          <w:rFonts w:cs="Arial"/>
          <w:sz w:val="22"/>
          <w:szCs w:val="22"/>
        </w:rPr>
        <w:t>l 29 de marzo de</w:t>
      </w:r>
      <w:r w:rsidR="00CC512C">
        <w:rPr>
          <w:rFonts w:cs="Arial"/>
          <w:sz w:val="22"/>
          <w:szCs w:val="22"/>
        </w:rPr>
        <w:t xml:space="preserve"> 202</w:t>
      </w:r>
      <w:r w:rsidRPr="00C35785">
        <w:rPr>
          <w:rFonts w:cs="Arial"/>
          <w:sz w:val="22"/>
          <w:szCs w:val="22"/>
        </w:rPr>
        <w:t xml:space="preserve">2, </w:t>
      </w:r>
      <w:r w:rsidRPr="00C35785">
        <w:rPr>
          <w:rFonts w:cs="Arial"/>
          <w:i/>
          <w:iCs/>
          <w:sz w:val="22"/>
          <w:szCs w:val="22"/>
        </w:rPr>
        <w:t>“</w:t>
      </w:r>
      <w:r>
        <w:rPr>
          <w:rFonts w:cs="Arial"/>
          <w:i/>
          <w:iCs/>
          <w:sz w:val="22"/>
          <w:szCs w:val="22"/>
        </w:rPr>
        <w:t>Política de transición energética</w:t>
      </w:r>
      <w:r w:rsidRPr="00C35785">
        <w:rPr>
          <w:rFonts w:cs="Arial"/>
          <w:i/>
          <w:iCs/>
          <w:sz w:val="22"/>
          <w:szCs w:val="22"/>
        </w:rPr>
        <w:t>”.</w:t>
      </w:r>
    </w:p>
    <w:p w14:paraId="14D172A4" w14:textId="77777777" w:rsidR="000F4D78" w:rsidRDefault="000F4D78" w:rsidP="00D22441">
      <w:pPr>
        <w:rPr>
          <w:rFonts w:cs="Arial"/>
          <w:sz w:val="22"/>
          <w:szCs w:val="22"/>
        </w:rPr>
      </w:pPr>
    </w:p>
    <w:p w14:paraId="467D1E23" w14:textId="19C0CEFD" w:rsidR="00490C8A" w:rsidRDefault="00490C8A" w:rsidP="00D22441">
      <w:pPr>
        <w:rPr>
          <w:rFonts w:cs="Arial"/>
          <w:i/>
          <w:iCs/>
          <w:sz w:val="22"/>
          <w:szCs w:val="22"/>
        </w:rPr>
      </w:pPr>
      <w:r w:rsidRPr="000B277D">
        <w:rPr>
          <w:rFonts w:cs="Arial"/>
          <w:sz w:val="22"/>
          <w:szCs w:val="22"/>
        </w:rPr>
        <w:t xml:space="preserve">Resolución SSPD </w:t>
      </w:r>
      <w:proofErr w:type="spellStart"/>
      <w:r w:rsidRPr="000B277D">
        <w:rPr>
          <w:rFonts w:cs="Arial"/>
          <w:sz w:val="22"/>
          <w:szCs w:val="22"/>
        </w:rPr>
        <w:t>N°</w:t>
      </w:r>
      <w:proofErr w:type="spellEnd"/>
      <w:r w:rsidRPr="000B277D">
        <w:rPr>
          <w:rFonts w:cs="Arial"/>
          <w:sz w:val="22"/>
          <w:szCs w:val="22"/>
        </w:rPr>
        <w:t xml:space="preserve"> 013092 de</w:t>
      </w:r>
      <w:r w:rsidR="009E1655">
        <w:rPr>
          <w:rFonts w:cs="Arial"/>
          <w:sz w:val="22"/>
          <w:szCs w:val="22"/>
        </w:rPr>
        <w:t>l 30 de octubre de</w:t>
      </w:r>
      <w:r w:rsidRPr="000B277D">
        <w:rPr>
          <w:rFonts w:cs="Arial"/>
          <w:sz w:val="22"/>
          <w:szCs w:val="22"/>
        </w:rPr>
        <w:t xml:space="preserve"> 2002</w:t>
      </w:r>
      <w:r>
        <w:rPr>
          <w:rFonts w:cs="Arial"/>
          <w:sz w:val="22"/>
          <w:szCs w:val="22"/>
        </w:rPr>
        <w:t xml:space="preserve">, </w:t>
      </w:r>
      <w:r w:rsidR="009E1655">
        <w:rPr>
          <w:rFonts w:cs="Arial"/>
          <w:i/>
          <w:iCs/>
          <w:sz w:val="22"/>
          <w:szCs w:val="22"/>
        </w:rPr>
        <w:t>“Por el cual se establece</w:t>
      </w:r>
      <w:r w:rsidRPr="000B277D">
        <w:rPr>
          <w:rFonts w:cs="Arial"/>
          <w:i/>
          <w:iCs/>
          <w:sz w:val="22"/>
          <w:szCs w:val="22"/>
        </w:rPr>
        <w:t xml:space="preserve"> el Formato Único de Información para las </w:t>
      </w:r>
      <w:r w:rsidRPr="00C363D3">
        <w:rPr>
          <w:rFonts w:cs="Arial"/>
          <w:sz w:val="22"/>
          <w:szCs w:val="22"/>
        </w:rPr>
        <w:t>Empresas</w:t>
      </w:r>
      <w:r w:rsidRPr="000B277D">
        <w:rPr>
          <w:rFonts w:cs="Arial"/>
          <w:i/>
          <w:iCs/>
          <w:sz w:val="22"/>
          <w:szCs w:val="22"/>
        </w:rPr>
        <w:t xml:space="preserve"> de Servicios Públicos</w:t>
      </w:r>
      <w:r w:rsidR="009E1655">
        <w:rPr>
          <w:rFonts w:cs="Arial"/>
          <w:i/>
          <w:iCs/>
          <w:sz w:val="22"/>
          <w:szCs w:val="22"/>
        </w:rPr>
        <w:t>.</w:t>
      </w:r>
    </w:p>
    <w:p w14:paraId="054C4D7F" w14:textId="0932F3E8" w:rsidR="00CD70DF" w:rsidRDefault="00CD70DF" w:rsidP="00D22441">
      <w:pPr>
        <w:rPr>
          <w:rFonts w:cs="Arial"/>
          <w:i/>
          <w:iCs/>
          <w:sz w:val="22"/>
          <w:szCs w:val="22"/>
        </w:rPr>
      </w:pPr>
    </w:p>
    <w:p w14:paraId="079519B4" w14:textId="0E376CDE" w:rsidR="000F4D78" w:rsidRPr="004E6D83" w:rsidRDefault="000F4D78" w:rsidP="00D22441">
      <w:pPr>
        <w:rPr>
          <w:rFonts w:cs="Arial"/>
          <w:i/>
          <w:iCs/>
          <w:sz w:val="22"/>
          <w:szCs w:val="22"/>
        </w:rPr>
      </w:pPr>
      <w:r w:rsidRPr="000F4D78">
        <w:rPr>
          <w:rFonts w:cs="Arial"/>
          <w:sz w:val="22"/>
          <w:szCs w:val="22"/>
        </w:rPr>
        <w:t xml:space="preserve">Resolución CREG </w:t>
      </w:r>
      <w:proofErr w:type="spellStart"/>
      <w:r w:rsidRPr="000F4D78">
        <w:rPr>
          <w:rFonts w:cs="Arial"/>
          <w:sz w:val="22"/>
          <w:szCs w:val="22"/>
        </w:rPr>
        <w:t>N°</w:t>
      </w:r>
      <w:proofErr w:type="spellEnd"/>
      <w:r w:rsidRPr="000F4D78">
        <w:rPr>
          <w:rFonts w:cs="Arial"/>
          <w:sz w:val="22"/>
          <w:szCs w:val="22"/>
        </w:rPr>
        <w:t xml:space="preserve"> 064 de 1998</w:t>
      </w:r>
      <w:r>
        <w:rPr>
          <w:rFonts w:cs="Arial"/>
          <w:sz w:val="22"/>
          <w:szCs w:val="22"/>
        </w:rPr>
        <w:t xml:space="preserve">. </w:t>
      </w:r>
      <w:r w:rsidR="007C76EF" w:rsidRPr="004E6D83">
        <w:rPr>
          <w:rFonts w:cs="Arial"/>
          <w:i/>
          <w:iCs/>
          <w:sz w:val="22"/>
          <w:szCs w:val="22"/>
        </w:rPr>
        <w:t>“</w:t>
      </w:r>
      <w:r w:rsidR="00BB0E0F" w:rsidRPr="004E6D83">
        <w:rPr>
          <w:rFonts w:cs="Arial"/>
          <w:i/>
          <w:iCs/>
          <w:sz w:val="22"/>
          <w:szCs w:val="22"/>
        </w:rPr>
        <w:t>Por la cual se regulan las solicitudes de información que de acuerdo con la Ley 142 de 1994, artículo 73, puede efectuar la Comisión de Regulación de Energía y Gas, a quienes realizan las actividades propias de los servicios públicos domiciliarios de energía eléctrica y gas combustible</w:t>
      </w:r>
      <w:r w:rsidR="007C76EF" w:rsidRPr="004E6D83">
        <w:rPr>
          <w:rFonts w:cs="Arial"/>
          <w:i/>
          <w:iCs/>
          <w:sz w:val="22"/>
          <w:szCs w:val="22"/>
        </w:rPr>
        <w:t>”.</w:t>
      </w:r>
    </w:p>
    <w:p w14:paraId="0857EDD6" w14:textId="77777777" w:rsidR="000F4D78" w:rsidRDefault="000F4D78" w:rsidP="00D22441">
      <w:pPr>
        <w:rPr>
          <w:rFonts w:cs="Arial"/>
          <w:i/>
          <w:iCs/>
          <w:sz w:val="22"/>
          <w:szCs w:val="22"/>
        </w:rPr>
      </w:pPr>
    </w:p>
    <w:p w14:paraId="173BB7EF" w14:textId="029F9B20" w:rsidR="00D63D4C" w:rsidRPr="00D63D4C" w:rsidRDefault="00D63D4C" w:rsidP="00D22441">
      <w:pPr>
        <w:rPr>
          <w:rFonts w:cs="Arial"/>
          <w:i/>
          <w:iCs/>
          <w:sz w:val="22"/>
          <w:szCs w:val="22"/>
        </w:rPr>
      </w:pPr>
      <w:bookmarkStart w:id="6" w:name="_Hlk86299885"/>
      <w:r w:rsidRPr="00D63D4C">
        <w:rPr>
          <w:rFonts w:cs="Arial"/>
          <w:sz w:val="22"/>
          <w:szCs w:val="22"/>
        </w:rPr>
        <w:t>Resoluci</w:t>
      </w:r>
      <w:r>
        <w:rPr>
          <w:rFonts w:cs="Arial"/>
          <w:sz w:val="22"/>
          <w:szCs w:val="22"/>
        </w:rPr>
        <w:t xml:space="preserve">ón CGN </w:t>
      </w:r>
      <w:proofErr w:type="spellStart"/>
      <w:r w:rsidRPr="00D63D4C">
        <w:rPr>
          <w:rFonts w:cs="Arial"/>
          <w:sz w:val="22"/>
          <w:szCs w:val="22"/>
        </w:rPr>
        <w:t>N°</w:t>
      </w:r>
      <w:proofErr w:type="spellEnd"/>
      <w:r w:rsidRPr="00D63D4C">
        <w:rPr>
          <w:rFonts w:cs="Arial"/>
          <w:sz w:val="22"/>
          <w:szCs w:val="22"/>
        </w:rPr>
        <w:t xml:space="preserve"> 414 de</w:t>
      </w:r>
      <w:r w:rsidR="008043E2">
        <w:rPr>
          <w:rFonts w:cs="Arial"/>
          <w:sz w:val="22"/>
          <w:szCs w:val="22"/>
        </w:rPr>
        <w:t>l 8 de septiembre de</w:t>
      </w:r>
      <w:r w:rsidRPr="00D63D4C">
        <w:rPr>
          <w:rFonts w:cs="Arial"/>
          <w:sz w:val="22"/>
          <w:szCs w:val="22"/>
        </w:rPr>
        <w:t xml:space="preserve"> 2014</w:t>
      </w:r>
      <w:r>
        <w:rPr>
          <w:rFonts w:cs="Arial"/>
          <w:sz w:val="22"/>
          <w:szCs w:val="22"/>
        </w:rPr>
        <w:t xml:space="preserve">, </w:t>
      </w:r>
      <w:r w:rsidRPr="00D63D4C">
        <w:rPr>
          <w:rFonts w:cs="Arial"/>
          <w:i/>
          <w:iCs/>
          <w:sz w:val="22"/>
          <w:szCs w:val="22"/>
        </w:rPr>
        <w:t>“Por la cual se incorpora en el Régimen de Contabilidad Pública, el marco normativo aplicable para algunas empresas sujetas a su ámbito y se dictan otras disposiciones”.</w:t>
      </w:r>
    </w:p>
    <w:bookmarkEnd w:id="6"/>
    <w:p w14:paraId="0D61F23C" w14:textId="04BC6371" w:rsidR="00D63D4C" w:rsidRDefault="00D63D4C" w:rsidP="00D22441">
      <w:pPr>
        <w:rPr>
          <w:rFonts w:cs="Arial"/>
          <w:sz w:val="22"/>
          <w:szCs w:val="22"/>
        </w:rPr>
      </w:pPr>
    </w:p>
    <w:p w14:paraId="3F49E16A" w14:textId="77777777" w:rsidR="009E1655" w:rsidRPr="00D36A90" w:rsidRDefault="009E1655" w:rsidP="00D22441">
      <w:pPr>
        <w:rPr>
          <w:rFonts w:cs="Arial"/>
          <w:sz w:val="22"/>
          <w:szCs w:val="22"/>
        </w:rPr>
      </w:pPr>
      <w:r w:rsidRPr="00D36A90">
        <w:rPr>
          <w:rFonts w:cs="Arial"/>
          <w:sz w:val="22"/>
          <w:szCs w:val="22"/>
        </w:rPr>
        <w:lastRenderedPageBreak/>
        <w:t xml:space="preserve">Resolución SSPD </w:t>
      </w:r>
      <w:proofErr w:type="spellStart"/>
      <w:r w:rsidRPr="00D36A90">
        <w:rPr>
          <w:rFonts w:cs="Arial"/>
          <w:sz w:val="22"/>
          <w:szCs w:val="22"/>
        </w:rPr>
        <w:t>N°</w:t>
      </w:r>
      <w:proofErr w:type="spellEnd"/>
      <w:r w:rsidRPr="00D36A90">
        <w:rPr>
          <w:rFonts w:cs="Arial"/>
          <w:sz w:val="22"/>
          <w:szCs w:val="22"/>
        </w:rPr>
        <w:t xml:space="preserve"> 20151300047005</w:t>
      </w:r>
      <w:r>
        <w:rPr>
          <w:rFonts w:cs="Arial"/>
          <w:sz w:val="22"/>
          <w:szCs w:val="22"/>
        </w:rPr>
        <w:t xml:space="preserve"> del 7 de octubre de 2015,</w:t>
      </w:r>
      <w:r w:rsidRPr="00D36A90">
        <w:rPr>
          <w:rFonts w:cs="Arial"/>
          <w:sz w:val="22"/>
          <w:szCs w:val="22"/>
        </w:rPr>
        <w:t xml:space="preserve"> “</w:t>
      </w:r>
      <w:r w:rsidRPr="00D36A90">
        <w:rPr>
          <w:rFonts w:cs="Arial"/>
          <w:i/>
          <w:iCs/>
          <w:sz w:val="22"/>
          <w:szCs w:val="22"/>
        </w:rPr>
        <w:t>Por la cual se establecen los requerimientos que deben surtir los prestadores ante la SSPD, en relación con el Registro Único de Prestadores (RUPS) para su inscripción, actualización y cancelación</w:t>
      </w:r>
      <w:r w:rsidRPr="00D36A90">
        <w:rPr>
          <w:rFonts w:cs="Arial"/>
          <w:sz w:val="22"/>
          <w:szCs w:val="22"/>
        </w:rPr>
        <w:t>”.</w:t>
      </w:r>
    </w:p>
    <w:p w14:paraId="105979BA" w14:textId="77777777" w:rsidR="009E1655" w:rsidRDefault="009E1655" w:rsidP="00D22441">
      <w:pPr>
        <w:rPr>
          <w:rFonts w:cs="Arial"/>
          <w:sz w:val="22"/>
          <w:szCs w:val="22"/>
        </w:rPr>
      </w:pPr>
    </w:p>
    <w:p w14:paraId="20DC9E3C" w14:textId="54A6BE12" w:rsidR="00D63D4C" w:rsidRPr="00D63D4C" w:rsidRDefault="00D63D4C" w:rsidP="00D22441">
      <w:pPr>
        <w:rPr>
          <w:rFonts w:cs="Arial"/>
          <w:i/>
          <w:iCs/>
          <w:sz w:val="22"/>
          <w:szCs w:val="22"/>
        </w:rPr>
      </w:pPr>
      <w:r w:rsidRPr="00D63D4C">
        <w:rPr>
          <w:rFonts w:cs="Arial"/>
          <w:sz w:val="22"/>
          <w:szCs w:val="22"/>
        </w:rPr>
        <w:t>Resoluci</w:t>
      </w:r>
      <w:r>
        <w:rPr>
          <w:rFonts w:cs="Arial"/>
          <w:sz w:val="22"/>
          <w:szCs w:val="22"/>
        </w:rPr>
        <w:t xml:space="preserve">ón CGN </w:t>
      </w:r>
      <w:proofErr w:type="spellStart"/>
      <w:r w:rsidRPr="00D63D4C">
        <w:rPr>
          <w:rFonts w:cs="Arial"/>
          <w:sz w:val="22"/>
          <w:szCs w:val="22"/>
        </w:rPr>
        <w:t>N°</w:t>
      </w:r>
      <w:proofErr w:type="spellEnd"/>
      <w:r w:rsidRPr="00D63D4C">
        <w:rPr>
          <w:rFonts w:cs="Arial"/>
          <w:sz w:val="22"/>
          <w:szCs w:val="22"/>
        </w:rPr>
        <w:t xml:space="preserve"> </w:t>
      </w:r>
      <w:r>
        <w:rPr>
          <w:rFonts w:cs="Arial"/>
          <w:sz w:val="22"/>
          <w:szCs w:val="22"/>
        </w:rPr>
        <w:t>533</w:t>
      </w:r>
      <w:r w:rsidRPr="00D63D4C">
        <w:rPr>
          <w:rFonts w:cs="Arial"/>
          <w:sz w:val="22"/>
          <w:szCs w:val="22"/>
        </w:rPr>
        <w:t xml:space="preserve"> de</w:t>
      </w:r>
      <w:r w:rsidR="008043E2">
        <w:rPr>
          <w:rFonts w:cs="Arial"/>
          <w:sz w:val="22"/>
          <w:szCs w:val="22"/>
        </w:rPr>
        <w:t>l 8 de octubre de</w:t>
      </w:r>
      <w:r w:rsidRPr="00D63D4C">
        <w:rPr>
          <w:rFonts w:cs="Arial"/>
          <w:sz w:val="22"/>
          <w:szCs w:val="22"/>
        </w:rPr>
        <w:t xml:space="preserve"> 201</w:t>
      </w:r>
      <w:r>
        <w:rPr>
          <w:rFonts w:cs="Arial"/>
          <w:sz w:val="22"/>
          <w:szCs w:val="22"/>
        </w:rPr>
        <w:t xml:space="preserve">5, </w:t>
      </w:r>
      <w:r w:rsidRPr="00D63D4C">
        <w:rPr>
          <w:rFonts w:cs="Arial"/>
          <w:i/>
          <w:iCs/>
          <w:sz w:val="22"/>
          <w:szCs w:val="22"/>
        </w:rPr>
        <w:t>“Por la cual se incorpora en el Régimen de Contabilidad Pública, el marco normativo aplicable a entidades de gobierno y se dictan otras disposiciones”.</w:t>
      </w:r>
    </w:p>
    <w:p w14:paraId="57AE36F2" w14:textId="517ED06F" w:rsidR="00D63D4C" w:rsidRDefault="00D63D4C" w:rsidP="00D22441">
      <w:pPr>
        <w:rPr>
          <w:rFonts w:cs="Arial"/>
          <w:sz w:val="22"/>
          <w:szCs w:val="22"/>
        </w:rPr>
      </w:pPr>
    </w:p>
    <w:p w14:paraId="34D88A46" w14:textId="77777777" w:rsidR="009E1655" w:rsidRPr="00F7451B" w:rsidRDefault="009E1655" w:rsidP="00D22441">
      <w:pPr>
        <w:rPr>
          <w:rFonts w:cs="Arial"/>
          <w:i/>
          <w:iCs/>
          <w:sz w:val="22"/>
          <w:szCs w:val="22"/>
        </w:rPr>
      </w:pPr>
      <w:r w:rsidRPr="00B02CB5">
        <w:rPr>
          <w:rFonts w:cs="Arial"/>
          <w:sz w:val="22"/>
          <w:szCs w:val="22"/>
        </w:rPr>
        <w:t xml:space="preserve">Resolución CGN </w:t>
      </w:r>
      <w:proofErr w:type="spellStart"/>
      <w:r w:rsidRPr="00B02CB5">
        <w:rPr>
          <w:rFonts w:cs="Arial"/>
          <w:sz w:val="22"/>
          <w:szCs w:val="22"/>
        </w:rPr>
        <w:t>N°</w:t>
      </w:r>
      <w:proofErr w:type="spellEnd"/>
      <w:r w:rsidRPr="00B02CB5">
        <w:rPr>
          <w:rFonts w:cs="Arial"/>
          <w:sz w:val="22"/>
          <w:szCs w:val="22"/>
        </w:rPr>
        <w:t xml:space="preserve"> </w:t>
      </w:r>
      <w:r>
        <w:rPr>
          <w:rFonts w:cs="Arial"/>
          <w:sz w:val="22"/>
          <w:szCs w:val="22"/>
        </w:rPr>
        <w:t>037</w:t>
      </w:r>
      <w:r w:rsidRPr="00B02CB5">
        <w:rPr>
          <w:rFonts w:cs="Arial"/>
          <w:sz w:val="22"/>
          <w:szCs w:val="22"/>
        </w:rPr>
        <w:t xml:space="preserve"> de</w:t>
      </w:r>
      <w:r>
        <w:rPr>
          <w:rFonts w:cs="Arial"/>
          <w:sz w:val="22"/>
          <w:szCs w:val="22"/>
        </w:rPr>
        <w:t>l 07 de febrero de</w:t>
      </w:r>
      <w:r w:rsidRPr="00B02CB5">
        <w:rPr>
          <w:rFonts w:cs="Arial"/>
          <w:sz w:val="22"/>
          <w:szCs w:val="22"/>
        </w:rPr>
        <w:t xml:space="preserve"> 201</w:t>
      </w:r>
      <w:r>
        <w:rPr>
          <w:rFonts w:cs="Arial"/>
          <w:sz w:val="22"/>
          <w:szCs w:val="22"/>
        </w:rPr>
        <w:t>7</w:t>
      </w:r>
      <w:r w:rsidRPr="00B02CB5">
        <w:rPr>
          <w:rFonts w:cs="Arial"/>
          <w:sz w:val="22"/>
          <w:szCs w:val="22"/>
        </w:rPr>
        <w:t xml:space="preserve">, </w:t>
      </w:r>
      <w:r w:rsidRPr="00F7451B">
        <w:rPr>
          <w:rFonts w:cs="Arial"/>
          <w:i/>
          <w:iCs/>
          <w:sz w:val="22"/>
          <w:szCs w:val="22"/>
        </w:rPr>
        <w:t>“Por la cual se regula el marco normativo para empresas que coticen en el Mercado de Valores o que capten o administren ahorro del público”.</w:t>
      </w:r>
    </w:p>
    <w:p w14:paraId="362AD637" w14:textId="4085A0F8" w:rsidR="00D36A90" w:rsidRPr="00D36A90" w:rsidRDefault="00D36A90" w:rsidP="00D22441">
      <w:pPr>
        <w:rPr>
          <w:rFonts w:cs="Arial"/>
          <w:i/>
          <w:iCs/>
          <w:sz w:val="22"/>
          <w:szCs w:val="22"/>
        </w:rPr>
      </w:pPr>
      <w:r w:rsidRPr="00D36A90">
        <w:rPr>
          <w:rFonts w:cs="Arial"/>
          <w:sz w:val="22"/>
          <w:szCs w:val="22"/>
        </w:rPr>
        <w:t xml:space="preserve">Resolución CREG </w:t>
      </w:r>
      <w:proofErr w:type="spellStart"/>
      <w:r w:rsidRPr="00D36A90">
        <w:rPr>
          <w:rFonts w:cs="Arial"/>
          <w:sz w:val="22"/>
          <w:szCs w:val="22"/>
        </w:rPr>
        <w:t>N°</w:t>
      </w:r>
      <w:proofErr w:type="spellEnd"/>
      <w:r w:rsidRPr="00D36A90">
        <w:rPr>
          <w:rFonts w:cs="Arial"/>
          <w:sz w:val="22"/>
          <w:szCs w:val="22"/>
        </w:rPr>
        <w:t xml:space="preserve"> 039 de</w:t>
      </w:r>
      <w:r w:rsidR="009E1655">
        <w:rPr>
          <w:rFonts w:cs="Arial"/>
          <w:sz w:val="22"/>
          <w:szCs w:val="22"/>
        </w:rPr>
        <w:t>l 3 de abril de</w:t>
      </w:r>
      <w:r w:rsidRPr="00D36A90">
        <w:rPr>
          <w:rFonts w:cs="Arial"/>
          <w:sz w:val="22"/>
          <w:szCs w:val="22"/>
        </w:rPr>
        <w:t xml:space="preserve"> 2017, </w:t>
      </w:r>
      <w:r w:rsidRPr="00D36A90">
        <w:rPr>
          <w:rFonts w:cs="Arial"/>
          <w:i/>
          <w:iCs/>
          <w:sz w:val="22"/>
          <w:szCs w:val="22"/>
        </w:rPr>
        <w:t>“Por la cual se establece el Reglamento Interno de la Comisión de Regulación de Energía y Gas, CREG”.</w:t>
      </w:r>
    </w:p>
    <w:p w14:paraId="023E96C6" w14:textId="6F8B6550" w:rsidR="00D36A90" w:rsidRDefault="00D36A90" w:rsidP="00D22441">
      <w:pPr>
        <w:rPr>
          <w:rFonts w:cs="Arial"/>
          <w:sz w:val="22"/>
          <w:szCs w:val="22"/>
        </w:rPr>
      </w:pPr>
    </w:p>
    <w:p w14:paraId="7C558B65" w14:textId="62D486F3" w:rsidR="00D75F54" w:rsidRPr="00DC4C76" w:rsidRDefault="00D75F54" w:rsidP="00D22441">
      <w:pPr>
        <w:rPr>
          <w:rFonts w:cs="Arial"/>
          <w:sz w:val="22"/>
          <w:szCs w:val="22"/>
        </w:rPr>
      </w:pPr>
      <w:r w:rsidRPr="00D36A90">
        <w:rPr>
          <w:rFonts w:cs="Arial"/>
          <w:sz w:val="22"/>
          <w:szCs w:val="22"/>
        </w:rPr>
        <w:t xml:space="preserve">Resolución SSPD </w:t>
      </w:r>
      <w:proofErr w:type="spellStart"/>
      <w:r w:rsidRPr="00D36A90">
        <w:rPr>
          <w:rFonts w:cs="Arial"/>
          <w:sz w:val="22"/>
          <w:szCs w:val="22"/>
        </w:rPr>
        <w:t>N°</w:t>
      </w:r>
      <w:proofErr w:type="spellEnd"/>
      <w:r w:rsidRPr="00D36A90">
        <w:rPr>
          <w:rFonts w:cs="Arial"/>
          <w:sz w:val="22"/>
          <w:szCs w:val="22"/>
        </w:rPr>
        <w:t xml:space="preserve"> 20212200012515 del 31 de marzo de 2021, </w:t>
      </w:r>
      <w:r w:rsidRPr="00D36A90">
        <w:rPr>
          <w:rFonts w:cs="Arial"/>
          <w:i/>
          <w:iCs/>
          <w:sz w:val="22"/>
          <w:szCs w:val="22"/>
        </w:rPr>
        <w:t>“Por la cual se expiden los lineamientos para el cargue de información al Sistema Único de Información (SUI) aplicable a los prestadores del servicio públ</w:t>
      </w:r>
      <w:r w:rsidR="009E6FF4" w:rsidRPr="00D36A90">
        <w:rPr>
          <w:rFonts w:cs="Arial"/>
          <w:i/>
          <w:iCs/>
          <w:sz w:val="22"/>
          <w:szCs w:val="22"/>
        </w:rPr>
        <w:t>ico de energía eléctrica del Sistema Interconectado Nacional (SIN)</w:t>
      </w:r>
      <w:r w:rsidRPr="00D36A90">
        <w:rPr>
          <w:rFonts w:cs="Arial"/>
          <w:i/>
          <w:iCs/>
          <w:sz w:val="22"/>
          <w:szCs w:val="22"/>
        </w:rPr>
        <w:t>”</w:t>
      </w:r>
      <w:r w:rsidRPr="00D36A90">
        <w:rPr>
          <w:rFonts w:cs="Arial"/>
          <w:sz w:val="22"/>
          <w:szCs w:val="22"/>
        </w:rPr>
        <w:t>.</w:t>
      </w:r>
    </w:p>
    <w:p w14:paraId="67EDCC2F" w14:textId="625EEB7C" w:rsidR="00ED0153" w:rsidRDefault="00ED0153" w:rsidP="00D22441">
      <w:pPr>
        <w:rPr>
          <w:rFonts w:cs="Arial"/>
          <w:sz w:val="22"/>
          <w:szCs w:val="22"/>
        </w:rPr>
      </w:pPr>
    </w:p>
    <w:p w14:paraId="50ABF18A" w14:textId="77777777" w:rsidR="003852BA" w:rsidRDefault="003852BA" w:rsidP="00D22441">
      <w:pPr>
        <w:rPr>
          <w:rFonts w:cs="Arial"/>
          <w:sz w:val="22"/>
          <w:szCs w:val="22"/>
        </w:rPr>
      </w:pPr>
      <w:r w:rsidRPr="007648DD">
        <w:rPr>
          <w:rFonts w:cs="Arial"/>
          <w:sz w:val="22"/>
          <w:szCs w:val="22"/>
        </w:rPr>
        <w:t xml:space="preserve">Resolución SSPD </w:t>
      </w:r>
      <w:proofErr w:type="spellStart"/>
      <w:r w:rsidRPr="007648DD">
        <w:rPr>
          <w:rFonts w:cs="Arial"/>
          <w:sz w:val="22"/>
          <w:szCs w:val="22"/>
        </w:rPr>
        <w:t>N°</w:t>
      </w:r>
      <w:proofErr w:type="spellEnd"/>
      <w:r w:rsidRPr="007648DD">
        <w:rPr>
          <w:rFonts w:cs="Arial"/>
          <w:sz w:val="22"/>
          <w:szCs w:val="22"/>
        </w:rPr>
        <w:t xml:space="preserve"> 20221000665435 del 18 de julio de 2022 “</w:t>
      </w:r>
      <w:r w:rsidRPr="007648DD">
        <w:rPr>
          <w:rFonts w:cs="Arial"/>
          <w:i/>
          <w:iCs/>
          <w:sz w:val="22"/>
          <w:szCs w:val="22"/>
        </w:rPr>
        <w:t xml:space="preserve">Por la cual unifican los lineamientos para el cargue de </w:t>
      </w:r>
      <w:r w:rsidRPr="00DC4C76">
        <w:rPr>
          <w:rFonts w:cs="Arial"/>
          <w:i/>
          <w:iCs/>
          <w:sz w:val="22"/>
          <w:szCs w:val="22"/>
        </w:rPr>
        <w:t>información al Sistema Único de Información – SUI aplicable a los prestadores del servicio público de gas combustible por redes de tubería”</w:t>
      </w:r>
      <w:r w:rsidRPr="00DC4C76">
        <w:rPr>
          <w:rFonts w:cs="Arial"/>
          <w:sz w:val="22"/>
          <w:szCs w:val="22"/>
        </w:rPr>
        <w:t>.</w:t>
      </w:r>
    </w:p>
    <w:p w14:paraId="4F141665" w14:textId="77777777" w:rsidR="003852BA" w:rsidRPr="00DC4C76" w:rsidRDefault="003852BA" w:rsidP="00D22441">
      <w:pPr>
        <w:rPr>
          <w:rFonts w:cs="Arial"/>
          <w:sz w:val="22"/>
          <w:szCs w:val="22"/>
        </w:rPr>
      </w:pPr>
    </w:p>
    <w:p w14:paraId="3B764488" w14:textId="27438236" w:rsidR="00CD70DF" w:rsidRPr="007648DD" w:rsidRDefault="00DC4C76" w:rsidP="00D22441">
      <w:pPr>
        <w:rPr>
          <w:rFonts w:cs="Arial"/>
          <w:sz w:val="22"/>
          <w:szCs w:val="22"/>
        </w:rPr>
      </w:pPr>
      <w:r w:rsidRPr="00DC4C76">
        <w:rPr>
          <w:rFonts w:cs="Arial"/>
          <w:sz w:val="22"/>
          <w:szCs w:val="22"/>
        </w:rPr>
        <w:t xml:space="preserve">Resolución </w:t>
      </w:r>
      <w:r w:rsidR="00325BC4" w:rsidRPr="00DC4C76">
        <w:rPr>
          <w:rFonts w:cs="Arial"/>
          <w:sz w:val="22"/>
          <w:szCs w:val="22"/>
        </w:rPr>
        <w:t xml:space="preserve">SSPD </w:t>
      </w:r>
      <w:proofErr w:type="spellStart"/>
      <w:r w:rsidR="00117A0B" w:rsidRPr="00117A0B">
        <w:rPr>
          <w:rFonts w:cs="Arial"/>
          <w:sz w:val="22"/>
          <w:szCs w:val="22"/>
        </w:rPr>
        <w:t>N°</w:t>
      </w:r>
      <w:proofErr w:type="spellEnd"/>
      <w:r w:rsidR="00117A0B" w:rsidRPr="00117A0B">
        <w:rPr>
          <w:rFonts w:cs="Arial"/>
          <w:sz w:val="22"/>
          <w:szCs w:val="22"/>
        </w:rPr>
        <w:t xml:space="preserve"> 20231000215345 del 29 de marzo de 2023</w:t>
      </w:r>
      <w:r w:rsidRPr="00DC4C76">
        <w:rPr>
          <w:rFonts w:cs="Arial"/>
          <w:sz w:val="22"/>
          <w:szCs w:val="22"/>
        </w:rPr>
        <w:t xml:space="preserve">, </w:t>
      </w:r>
      <w:r w:rsidR="00CD70DF" w:rsidRPr="00CD70DF">
        <w:rPr>
          <w:rFonts w:cs="Arial"/>
          <w:i/>
          <w:sz w:val="22"/>
          <w:szCs w:val="22"/>
        </w:rPr>
        <w:t>“Por la cual se establecen los plazos para el cargue de Información Financiera anual con corte a 31 de diciembre de 202</w:t>
      </w:r>
      <w:r w:rsidR="00117A0B">
        <w:rPr>
          <w:rFonts w:cs="Arial"/>
          <w:i/>
          <w:sz w:val="22"/>
          <w:szCs w:val="22"/>
        </w:rPr>
        <w:t>2</w:t>
      </w:r>
      <w:r w:rsidR="00CD70DF" w:rsidRPr="00CD70DF">
        <w:rPr>
          <w:rFonts w:cs="Arial"/>
          <w:i/>
          <w:sz w:val="22"/>
          <w:szCs w:val="22"/>
        </w:rPr>
        <w:t>”</w:t>
      </w:r>
      <w:r w:rsidR="00CD70DF">
        <w:rPr>
          <w:rFonts w:cs="Arial"/>
          <w:i/>
          <w:sz w:val="22"/>
          <w:szCs w:val="22"/>
        </w:rPr>
        <w:t>.</w:t>
      </w:r>
      <w:r w:rsidR="00CD70DF" w:rsidRPr="00CD70DF">
        <w:rPr>
          <w:rFonts w:cs="Arial"/>
          <w:sz w:val="22"/>
          <w:szCs w:val="22"/>
        </w:rPr>
        <w:cr/>
      </w:r>
    </w:p>
    <w:p w14:paraId="6AB212EC" w14:textId="2BC6EEC5" w:rsidR="00ED0153" w:rsidRPr="007648DD" w:rsidRDefault="00ED0153" w:rsidP="00D22441">
      <w:pPr>
        <w:rPr>
          <w:rFonts w:cs="Arial"/>
          <w:sz w:val="22"/>
          <w:szCs w:val="22"/>
        </w:rPr>
      </w:pPr>
      <w:r w:rsidRPr="007648DD">
        <w:rPr>
          <w:rFonts w:cs="Arial"/>
          <w:sz w:val="22"/>
          <w:szCs w:val="22"/>
        </w:rPr>
        <w:t xml:space="preserve">Resolución SSPD </w:t>
      </w:r>
      <w:proofErr w:type="spellStart"/>
      <w:r w:rsidRPr="007648DD">
        <w:rPr>
          <w:rFonts w:cs="Arial"/>
          <w:sz w:val="22"/>
          <w:szCs w:val="22"/>
        </w:rPr>
        <w:t>N°</w:t>
      </w:r>
      <w:proofErr w:type="spellEnd"/>
      <w:r w:rsidRPr="007648DD">
        <w:rPr>
          <w:rFonts w:cs="Arial"/>
          <w:sz w:val="22"/>
          <w:szCs w:val="22"/>
        </w:rPr>
        <w:t xml:space="preserve"> </w:t>
      </w:r>
      <w:r w:rsidR="00C903ED" w:rsidRPr="007648DD">
        <w:rPr>
          <w:rFonts w:cs="Arial"/>
          <w:sz w:val="22"/>
          <w:szCs w:val="22"/>
        </w:rPr>
        <w:t>20231000297335</w:t>
      </w:r>
      <w:r w:rsidR="00DC4C76" w:rsidRPr="007648DD">
        <w:rPr>
          <w:rFonts w:cs="Arial"/>
          <w:sz w:val="22"/>
          <w:szCs w:val="22"/>
        </w:rPr>
        <w:t xml:space="preserve"> del </w:t>
      </w:r>
      <w:r w:rsidR="00C903ED" w:rsidRPr="007648DD">
        <w:rPr>
          <w:rFonts w:cs="Arial"/>
          <w:sz w:val="22"/>
          <w:szCs w:val="22"/>
        </w:rPr>
        <w:t>05</w:t>
      </w:r>
      <w:r w:rsidR="00DC4C76" w:rsidRPr="007648DD">
        <w:rPr>
          <w:rFonts w:cs="Arial"/>
          <w:sz w:val="22"/>
          <w:szCs w:val="22"/>
        </w:rPr>
        <w:t xml:space="preserve"> de </w:t>
      </w:r>
      <w:r w:rsidR="00C903ED" w:rsidRPr="007648DD">
        <w:rPr>
          <w:rFonts w:cs="Arial"/>
          <w:sz w:val="22"/>
          <w:szCs w:val="22"/>
        </w:rPr>
        <w:t>ma</w:t>
      </w:r>
      <w:r w:rsidR="007648DD" w:rsidRPr="007648DD">
        <w:rPr>
          <w:rFonts w:cs="Arial"/>
          <w:sz w:val="22"/>
          <w:szCs w:val="22"/>
        </w:rPr>
        <w:t>y</w:t>
      </w:r>
      <w:r w:rsidR="00C903ED" w:rsidRPr="007648DD">
        <w:rPr>
          <w:rFonts w:cs="Arial"/>
          <w:sz w:val="22"/>
          <w:szCs w:val="22"/>
        </w:rPr>
        <w:t>o</w:t>
      </w:r>
      <w:r w:rsidR="00DC4C76" w:rsidRPr="007648DD">
        <w:rPr>
          <w:rFonts w:cs="Arial"/>
          <w:sz w:val="22"/>
          <w:szCs w:val="22"/>
        </w:rPr>
        <w:t xml:space="preserve"> de 202</w:t>
      </w:r>
      <w:r w:rsidR="00C903ED" w:rsidRPr="007648DD">
        <w:rPr>
          <w:rFonts w:cs="Arial"/>
          <w:sz w:val="22"/>
          <w:szCs w:val="22"/>
        </w:rPr>
        <w:t>3</w:t>
      </w:r>
      <w:r w:rsidR="00DC4C76" w:rsidRPr="007648DD">
        <w:rPr>
          <w:rFonts w:cs="Arial"/>
          <w:sz w:val="22"/>
          <w:szCs w:val="22"/>
        </w:rPr>
        <w:t xml:space="preserve"> “</w:t>
      </w:r>
      <w:r w:rsidR="00DC4C76" w:rsidRPr="007648DD">
        <w:rPr>
          <w:rFonts w:cs="Arial"/>
          <w:i/>
          <w:iCs/>
          <w:sz w:val="22"/>
          <w:szCs w:val="22"/>
        </w:rPr>
        <w:t>Por la cual se establece el número de prestadores que servirá como base para liquidar la contribución especial para el año 202</w:t>
      </w:r>
      <w:r w:rsidR="00C903ED" w:rsidRPr="007648DD">
        <w:rPr>
          <w:rFonts w:cs="Arial"/>
          <w:i/>
          <w:iCs/>
          <w:sz w:val="22"/>
          <w:szCs w:val="22"/>
        </w:rPr>
        <w:t>3</w:t>
      </w:r>
      <w:r w:rsidR="00DC4C76" w:rsidRPr="007648DD">
        <w:rPr>
          <w:rFonts w:cs="Arial"/>
          <w:sz w:val="22"/>
          <w:szCs w:val="22"/>
        </w:rPr>
        <w:t>”</w:t>
      </w:r>
      <w:r w:rsidR="00BC2C77">
        <w:rPr>
          <w:rFonts w:cs="Arial"/>
          <w:sz w:val="22"/>
          <w:szCs w:val="22"/>
        </w:rPr>
        <w:t>.</w:t>
      </w:r>
    </w:p>
    <w:p w14:paraId="4F81629D" w14:textId="7AC4681D" w:rsidR="00635E24" w:rsidRPr="007648DD" w:rsidRDefault="00635E24" w:rsidP="00D22441">
      <w:pPr>
        <w:rPr>
          <w:rFonts w:cs="Arial"/>
          <w:sz w:val="22"/>
          <w:szCs w:val="22"/>
        </w:rPr>
      </w:pPr>
    </w:p>
    <w:p w14:paraId="542A63D9" w14:textId="41BCCBB6" w:rsidR="00280F88" w:rsidRDefault="00280F88" w:rsidP="00D22441">
      <w:pPr>
        <w:pStyle w:val="Ttulo10"/>
        <w:numPr>
          <w:ilvl w:val="0"/>
          <w:numId w:val="37"/>
        </w:numPr>
        <w:spacing w:before="0" w:after="0"/>
        <w:rPr>
          <w:sz w:val="22"/>
          <w:szCs w:val="22"/>
        </w:rPr>
      </w:pPr>
      <w:bookmarkStart w:id="7" w:name="_Toc54170169"/>
      <w:bookmarkStart w:id="8" w:name="_Toc147154289"/>
      <w:r w:rsidRPr="007226D7">
        <w:rPr>
          <w:sz w:val="22"/>
          <w:szCs w:val="22"/>
        </w:rPr>
        <w:t>CONTRIBUCIÓN ESPECIAL</w:t>
      </w:r>
      <w:r>
        <w:rPr>
          <w:sz w:val="22"/>
          <w:szCs w:val="22"/>
        </w:rPr>
        <w:t xml:space="preserve"> POR ACTIVIDADES REGULATORIAS</w:t>
      </w:r>
      <w:bookmarkEnd w:id="7"/>
      <w:r w:rsidR="00C447D2">
        <w:rPr>
          <w:sz w:val="22"/>
          <w:szCs w:val="22"/>
        </w:rPr>
        <w:t>.</w:t>
      </w:r>
      <w:bookmarkEnd w:id="8"/>
    </w:p>
    <w:p w14:paraId="79456CAC" w14:textId="49584E40" w:rsidR="00280F88" w:rsidRDefault="00280F88" w:rsidP="00D22441"/>
    <w:p w14:paraId="7766F173" w14:textId="02DFE5C7" w:rsidR="00280F88" w:rsidRPr="007226D7" w:rsidRDefault="00280F88" w:rsidP="00D22441">
      <w:pPr>
        <w:pStyle w:val="Subttulo"/>
        <w:numPr>
          <w:ilvl w:val="1"/>
          <w:numId w:val="37"/>
        </w:numPr>
        <w:spacing w:after="0"/>
        <w:ind w:left="357" w:hanging="357"/>
        <w:jc w:val="left"/>
        <w:rPr>
          <w:b/>
          <w:bCs/>
          <w:sz w:val="22"/>
          <w:szCs w:val="22"/>
        </w:rPr>
      </w:pPr>
      <w:bookmarkStart w:id="9" w:name="_Toc54170170"/>
      <w:bookmarkStart w:id="10" w:name="_Toc147154290"/>
      <w:r>
        <w:rPr>
          <w:b/>
          <w:bCs/>
          <w:sz w:val="22"/>
          <w:szCs w:val="22"/>
        </w:rPr>
        <w:t>NATURALEZA DE LA ENTIDAD</w:t>
      </w:r>
      <w:bookmarkEnd w:id="9"/>
      <w:r w:rsidR="00C447D2">
        <w:rPr>
          <w:b/>
          <w:bCs/>
          <w:sz w:val="22"/>
          <w:szCs w:val="22"/>
        </w:rPr>
        <w:t>.</w:t>
      </w:r>
      <w:bookmarkEnd w:id="10"/>
    </w:p>
    <w:p w14:paraId="4349C96E" w14:textId="77777777" w:rsidR="00280F88" w:rsidRDefault="00280F88" w:rsidP="00D22441">
      <w:pPr>
        <w:pStyle w:val="Textoindependiente"/>
        <w:spacing w:after="0" w:line="240" w:lineRule="auto"/>
        <w:rPr>
          <w:rFonts w:cs="Arial"/>
          <w:sz w:val="22"/>
          <w:szCs w:val="22"/>
        </w:rPr>
      </w:pPr>
    </w:p>
    <w:p w14:paraId="41711FA7" w14:textId="2C72A088" w:rsidR="00635E24" w:rsidRDefault="00280F88" w:rsidP="00D22441">
      <w:pPr>
        <w:pStyle w:val="Textoindependiente"/>
        <w:spacing w:after="0" w:line="240" w:lineRule="auto"/>
        <w:rPr>
          <w:rFonts w:cs="Arial"/>
          <w:sz w:val="22"/>
          <w:szCs w:val="22"/>
        </w:rPr>
      </w:pPr>
      <w:r>
        <w:rPr>
          <w:rFonts w:cs="Arial"/>
          <w:sz w:val="22"/>
          <w:szCs w:val="22"/>
        </w:rPr>
        <w:t>La Comisión de Regulación de Energía y Gas (CREG), creada mediante el artículo 21 de la Ley 143 de 1994, e</w:t>
      </w:r>
      <w:r w:rsidRPr="00E53036">
        <w:rPr>
          <w:rFonts w:cs="Arial"/>
          <w:sz w:val="22"/>
          <w:szCs w:val="22"/>
        </w:rPr>
        <w:t>s una entidad pública del nivel nacional, adscrita al Ministerio de Minas y Energía</w:t>
      </w:r>
      <w:r>
        <w:rPr>
          <w:rFonts w:cs="Arial"/>
          <w:sz w:val="22"/>
          <w:szCs w:val="22"/>
        </w:rPr>
        <w:t xml:space="preserve">, </w:t>
      </w:r>
      <w:r w:rsidR="00F20A2B">
        <w:rPr>
          <w:rFonts w:cs="Arial"/>
          <w:sz w:val="22"/>
          <w:szCs w:val="22"/>
        </w:rPr>
        <w:t>constituida</w:t>
      </w:r>
      <w:r>
        <w:rPr>
          <w:rFonts w:cs="Arial"/>
          <w:sz w:val="22"/>
          <w:szCs w:val="22"/>
        </w:rPr>
        <w:t xml:space="preserve"> como </w:t>
      </w:r>
      <w:r w:rsidRPr="00E53036">
        <w:rPr>
          <w:rFonts w:cs="Arial"/>
          <w:sz w:val="22"/>
          <w:szCs w:val="22"/>
        </w:rPr>
        <w:t>Unidad Administrativa Especial (UAE) sin personería jurídica, con autonomía administrativa, técnica y financiera</w:t>
      </w:r>
      <w:r w:rsidR="00AF3876">
        <w:rPr>
          <w:rFonts w:cs="Arial"/>
          <w:sz w:val="22"/>
          <w:szCs w:val="22"/>
        </w:rPr>
        <w:t xml:space="preserve">, </w:t>
      </w:r>
      <w:r w:rsidR="0015672E">
        <w:rPr>
          <w:rFonts w:cs="Arial"/>
          <w:sz w:val="22"/>
          <w:szCs w:val="22"/>
        </w:rPr>
        <w:t>hace parte</w:t>
      </w:r>
      <w:r w:rsidR="00AF3876">
        <w:rPr>
          <w:rFonts w:cs="Arial"/>
          <w:sz w:val="22"/>
          <w:szCs w:val="22"/>
        </w:rPr>
        <w:t xml:space="preserve"> del Presupuesto General de la Nación (PGN) y </w:t>
      </w:r>
      <w:r w:rsidR="0015672E">
        <w:rPr>
          <w:rFonts w:cs="Arial"/>
          <w:sz w:val="22"/>
          <w:szCs w:val="22"/>
        </w:rPr>
        <w:t>es del ámbito d</w:t>
      </w:r>
      <w:r w:rsidR="00AF3876">
        <w:rPr>
          <w:rFonts w:cs="Arial"/>
          <w:sz w:val="22"/>
          <w:szCs w:val="22"/>
        </w:rPr>
        <w:t xml:space="preserve">el </w:t>
      </w:r>
      <w:r w:rsidR="005261A0" w:rsidRPr="005261A0">
        <w:rPr>
          <w:rFonts w:cs="Arial"/>
          <w:sz w:val="22"/>
          <w:szCs w:val="22"/>
        </w:rPr>
        <w:t>Sistema Integrado de Información Financiera de la Nación</w:t>
      </w:r>
      <w:r w:rsidR="005261A0">
        <w:rPr>
          <w:rFonts w:cs="Arial"/>
          <w:sz w:val="22"/>
          <w:szCs w:val="22"/>
        </w:rPr>
        <w:t xml:space="preserve"> (</w:t>
      </w:r>
      <w:r w:rsidR="00AF3876">
        <w:rPr>
          <w:rFonts w:cs="Arial"/>
          <w:sz w:val="22"/>
          <w:szCs w:val="22"/>
        </w:rPr>
        <w:t>SIIF</w:t>
      </w:r>
      <w:r w:rsidR="005261A0">
        <w:rPr>
          <w:rFonts w:cs="Arial"/>
          <w:sz w:val="22"/>
          <w:szCs w:val="22"/>
        </w:rPr>
        <w:t>)</w:t>
      </w:r>
      <w:r w:rsidR="00AF3876">
        <w:rPr>
          <w:rFonts w:cs="Arial"/>
          <w:sz w:val="22"/>
          <w:szCs w:val="22"/>
        </w:rPr>
        <w:t>.</w:t>
      </w:r>
      <w:r w:rsidR="00635E24">
        <w:rPr>
          <w:rFonts w:cs="Arial"/>
          <w:sz w:val="22"/>
          <w:szCs w:val="22"/>
        </w:rPr>
        <w:t xml:space="preserve"> </w:t>
      </w:r>
    </w:p>
    <w:p w14:paraId="2E978E31" w14:textId="77777777" w:rsidR="00C766A9" w:rsidRDefault="00C766A9" w:rsidP="00D22441">
      <w:pPr>
        <w:pStyle w:val="Textoindependiente"/>
        <w:spacing w:after="0" w:line="240" w:lineRule="auto"/>
        <w:rPr>
          <w:rFonts w:cs="Arial"/>
          <w:sz w:val="22"/>
          <w:szCs w:val="22"/>
        </w:rPr>
      </w:pPr>
    </w:p>
    <w:p w14:paraId="154F21C7" w14:textId="77777777" w:rsidR="0018350F" w:rsidRDefault="008D038C" w:rsidP="00D22441">
      <w:pPr>
        <w:pStyle w:val="Textoindependiente"/>
        <w:spacing w:after="0" w:line="240" w:lineRule="auto"/>
        <w:rPr>
          <w:rFonts w:cs="Arial"/>
          <w:sz w:val="22"/>
          <w:szCs w:val="22"/>
        </w:rPr>
      </w:pPr>
      <w:r w:rsidRPr="008D038C">
        <w:rPr>
          <w:rFonts w:cs="Arial"/>
          <w:sz w:val="22"/>
          <w:szCs w:val="22"/>
        </w:rPr>
        <w:t>La CREG no es una entidad vinculada</w:t>
      </w:r>
      <w:r w:rsidR="00C766A9">
        <w:rPr>
          <w:rFonts w:cs="Arial"/>
          <w:sz w:val="22"/>
          <w:szCs w:val="22"/>
        </w:rPr>
        <w:t>,</w:t>
      </w:r>
      <w:r w:rsidRPr="008D038C">
        <w:rPr>
          <w:rFonts w:cs="Arial"/>
          <w:sz w:val="22"/>
          <w:szCs w:val="22"/>
        </w:rPr>
        <w:t xml:space="preserve"> ni sociedad comercial, no tiene la calidad de </w:t>
      </w:r>
      <w:r w:rsidR="00206EEC">
        <w:rPr>
          <w:rFonts w:cs="Arial"/>
          <w:sz w:val="22"/>
          <w:szCs w:val="22"/>
        </w:rPr>
        <w:t xml:space="preserve">comerciante, ni </w:t>
      </w:r>
      <w:r w:rsidR="00B95B47">
        <w:rPr>
          <w:rFonts w:cs="Arial"/>
          <w:sz w:val="22"/>
          <w:szCs w:val="22"/>
        </w:rPr>
        <w:t xml:space="preserve">la naturaleza de </w:t>
      </w:r>
      <w:r w:rsidRPr="008D038C">
        <w:rPr>
          <w:rFonts w:cs="Arial"/>
          <w:sz w:val="22"/>
          <w:szCs w:val="22"/>
        </w:rPr>
        <w:t xml:space="preserve">una EICE – Empresa Industrial y Comercial del Estado, tampoco posee establecimientos de comercio ni sucursales, no es comisionista, corredor, agente o representante de firmas nacionales o extranjeras; en consecuencia, la CREG no está </w:t>
      </w:r>
      <w:r w:rsidR="007A3341">
        <w:rPr>
          <w:rFonts w:cs="Arial"/>
          <w:sz w:val="22"/>
          <w:szCs w:val="22"/>
        </w:rPr>
        <w:t xml:space="preserve">obligada a </w:t>
      </w:r>
      <w:r w:rsidRPr="008D038C">
        <w:rPr>
          <w:rFonts w:cs="Arial"/>
          <w:sz w:val="22"/>
          <w:szCs w:val="22"/>
        </w:rPr>
        <w:t>matricula</w:t>
      </w:r>
      <w:r w:rsidR="007A3341">
        <w:rPr>
          <w:rFonts w:cs="Arial"/>
          <w:sz w:val="22"/>
          <w:szCs w:val="22"/>
        </w:rPr>
        <w:t>rse</w:t>
      </w:r>
      <w:r w:rsidRPr="008D038C">
        <w:rPr>
          <w:rFonts w:cs="Arial"/>
          <w:sz w:val="22"/>
          <w:szCs w:val="22"/>
        </w:rPr>
        <w:t xml:space="preserve"> en el registro mercantil, por </w:t>
      </w:r>
      <w:r w:rsidRPr="008D038C">
        <w:rPr>
          <w:rFonts w:cs="Arial"/>
          <w:sz w:val="22"/>
          <w:szCs w:val="22"/>
        </w:rPr>
        <w:lastRenderedPageBreak/>
        <w:t xml:space="preserve">cuanto no ejecuta actos de comercio ni actividades industriales, definidos en el artículo 20 del Código de Comercio, sus actos no son mercantiles (numeral 3, artículo 23 </w:t>
      </w:r>
      <w:r w:rsidR="007A3341">
        <w:rPr>
          <w:rFonts w:cs="Arial"/>
          <w:sz w:val="22"/>
          <w:szCs w:val="22"/>
        </w:rPr>
        <w:t xml:space="preserve">del </w:t>
      </w:r>
      <w:r w:rsidRPr="008D038C">
        <w:rPr>
          <w:rFonts w:cs="Arial"/>
          <w:sz w:val="22"/>
          <w:szCs w:val="22"/>
        </w:rPr>
        <w:t xml:space="preserve">Código de Comercio). </w:t>
      </w:r>
    </w:p>
    <w:p w14:paraId="0D9C5F78" w14:textId="77777777" w:rsidR="0018350F" w:rsidRDefault="0018350F" w:rsidP="00D22441">
      <w:pPr>
        <w:pStyle w:val="Textoindependiente"/>
        <w:spacing w:after="0" w:line="240" w:lineRule="auto"/>
        <w:rPr>
          <w:rFonts w:cs="Arial"/>
          <w:sz w:val="22"/>
          <w:szCs w:val="22"/>
        </w:rPr>
      </w:pPr>
    </w:p>
    <w:p w14:paraId="014421F2" w14:textId="7281B01A" w:rsidR="008D038C" w:rsidRDefault="007A3341" w:rsidP="00D22441">
      <w:pPr>
        <w:pStyle w:val="Textoindependiente"/>
        <w:spacing w:after="0" w:line="240" w:lineRule="auto"/>
        <w:rPr>
          <w:rFonts w:cs="Arial"/>
          <w:sz w:val="22"/>
          <w:szCs w:val="22"/>
        </w:rPr>
      </w:pPr>
      <w:r>
        <w:rPr>
          <w:rFonts w:cs="Arial"/>
          <w:sz w:val="22"/>
          <w:szCs w:val="22"/>
        </w:rPr>
        <w:t>En materia tributaria</w:t>
      </w:r>
      <w:r w:rsidR="008D038C" w:rsidRPr="008D038C">
        <w:rPr>
          <w:rFonts w:cs="Arial"/>
          <w:sz w:val="22"/>
          <w:szCs w:val="22"/>
        </w:rPr>
        <w:t xml:space="preserve"> la </w:t>
      </w:r>
      <w:r>
        <w:rPr>
          <w:rFonts w:cs="Arial"/>
          <w:sz w:val="22"/>
          <w:szCs w:val="22"/>
        </w:rPr>
        <w:t>CREG</w:t>
      </w:r>
      <w:r w:rsidR="00F634E0">
        <w:rPr>
          <w:rFonts w:cs="Arial"/>
          <w:sz w:val="22"/>
          <w:szCs w:val="22"/>
        </w:rPr>
        <w:t xml:space="preserve">, está registrada en la </w:t>
      </w:r>
      <w:r w:rsidR="00CC7275">
        <w:rPr>
          <w:rFonts w:cs="Arial"/>
          <w:sz w:val="22"/>
          <w:szCs w:val="22"/>
        </w:rPr>
        <w:t>Dirección de Impuestos y Aduanas Nacionales (</w:t>
      </w:r>
      <w:r w:rsidR="00F634E0">
        <w:rPr>
          <w:rFonts w:cs="Arial"/>
          <w:sz w:val="22"/>
          <w:szCs w:val="22"/>
        </w:rPr>
        <w:t>DIAN</w:t>
      </w:r>
      <w:r w:rsidR="00CC7275">
        <w:rPr>
          <w:rFonts w:cs="Arial"/>
          <w:sz w:val="22"/>
          <w:szCs w:val="22"/>
        </w:rPr>
        <w:t>)</w:t>
      </w:r>
      <w:r w:rsidR="00F634E0">
        <w:rPr>
          <w:rFonts w:cs="Arial"/>
          <w:sz w:val="22"/>
          <w:szCs w:val="22"/>
        </w:rPr>
        <w:t xml:space="preserve"> con el NIT 900034993 – 1</w:t>
      </w:r>
      <w:r w:rsidR="00E173E9">
        <w:rPr>
          <w:rFonts w:cs="Arial"/>
          <w:sz w:val="22"/>
          <w:szCs w:val="22"/>
        </w:rPr>
        <w:t xml:space="preserve"> y en la Secretaría Distrital de </w:t>
      </w:r>
      <w:r w:rsidR="00BB6BE4">
        <w:rPr>
          <w:rFonts w:cs="Arial"/>
          <w:sz w:val="22"/>
          <w:szCs w:val="22"/>
        </w:rPr>
        <w:t xml:space="preserve">Hacienda </w:t>
      </w:r>
      <w:r w:rsidR="00613B1F">
        <w:rPr>
          <w:rFonts w:cs="Arial"/>
          <w:sz w:val="22"/>
          <w:szCs w:val="22"/>
        </w:rPr>
        <w:t>de</w:t>
      </w:r>
      <w:r w:rsidR="00E0342C">
        <w:rPr>
          <w:rFonts w:cs="Arial"/>
          <w:sz w:val="22"/>
          <w:szCs w:val="22"/>
        </w:rPr>
        <w:t>l municipio de</w:t>
      </w:r>
      <w:r w:rsidR="00613B1F">
        <w:rPr>
          <w:rFonts w:cs="Arial"/>
          <w:sz w:val="22"/>
          <w:szCs w:val="22"/>
        </w:rPr>
        <w:t xml:space="preserve"> </w:t>
      </w:r>
      <w:r w:rsidR="00E173E9">
        <w:rPr>
          <w:rFonts w:cs="Arial"/>
          <w:sz w:val="22"/>
          <w:szCs w:val="22"/>
        </w:rPr>
        <w:t>Bogotá, D.C.</w:t>
      </w:r>
      <w:r w:rsidR="008D038C" w:rsidRPr="008D038C">
        <w:rPr>
          <w:rFonts w:cs="Arial"/>
          <w:sz w:val="22"/>
          <w:szCs w:val="22"/>
        </w:rPr>
        <w:t xml:space="preserve"> </w:t>
      </w:r>
      <w:r w:rsidR="00E173E9">
        <w:rPr>
          <w:rFonts w:cs="Arial"/>
          <w:sz w:val="22"/>
          <w:szCs w:val="22"/>
        </w:rPr>
        <w:t>N</w:t>
      </w:r>
      <w:r w:rsidR="008D038C" w:rsidRPr="008D038C">
        <w:rPr>
          <w:rFonts w:cs="Arial"/>
          <w:sz w:val="22"/>
          <w:szCs w:val="22"/>
        </w:rPr>
        <w:t xml:space="preserve">o es declarante ni contribuyente del impuesto </w:t>
      </w:r>
      <w:r w:rsidR="001A2F49">
        <w:rPr>
          <w:rFonts w:cs="Arial"/>
          <w:sz w:val="22"/>
          <w:szCs w:val="22"/>
        </w:rPr>
        <w:t>sobre la</w:t>
      </w:r>
      <w:r w:rsidR="008D038C" w:rsidRPr="008D038C">
        <w:rPr>
          <w:rFonts w:cs="Arial"/>
          <w:sz w:val="22"/>
          <w:szCs w:val="22"/>
        </w:rPr>
        <w:t xml:space="preserve"> renta, no es responsable del IVA ni del impuesto de industria y comercio</w:t>
      </w:r>
      <w:r w:rsidR="00F13428">
        <w:rPr>
          <w:rFonts w:cs="Arial"/>
          <w:sz w:val="22"/>
          <w:szCs w:val="22"/>
        </w:rPr>
        <w:t xml:space="preserve">, aunque </w:t>
      </w:r>
      <w:r w:rsidR="00481319">
        <w:rPr>
          <w:rFonts w:cs="Arial"/>
          <w:sz w:val="22"/>
          <w:szCs w:val="22"/>
        </w:rPr>
        <w:t xml:space="preserve">la CREG tiene la calidad de </w:t>
      </w:r>
      <w:r w:rsidR="00F13428">
        <w:rPr>
          <w:rFonts w:cs="Arial"/>
          <w:sz w:val="22"/>
          <w:szCs w:val="22"/>
        </w:rPr>
        <w:t>agente retenedor</w:t>
      </w:r>
      <w:r w:rsidR="001A2F49">
        <w:rPr>
          <w:rFonts w:cs="Arial"/>
          <w:sz w:val="22"/>
          <w:szCs w:val="22"/>
        </w:rPr>
        <w:t xml:space="preserve"> de impuestos</w:t>
      </w:r>
      <w:r w:rsidR="00481319">
        <w:rPr>
          <w:rFonts w:cs="Arial"/>
          <w:sz w:val="22"/>
          <w:szCs w:val="22"/>
        </w:rPr>
        <w:t>, tasas y contribuciones sobre los pagos que realice,</w:t>
      </w:r>
      <w:r w:rsidR="00F13428">
        <w:rPr>
          <w:rFonts w:cs="Arial"/>
          <w:sz w:val="22"/>
          <w:szCs w:val="22"/>
        </w:rPr>
        <w:t xml:space="preserve"> en las </w:t>
      </w:r>
      <w:r w:rsidR="001F0E72">
        <w:rPr>
          <w:rFonts w:cs="Arial"/>
          <w:sz w:val="22"/>
          <w:szCs w:val="22"/>
        </w:rPr>
        <w:t xml:space="preserve">operaciones con sus </w:t>
      </w:r>
      <w:r w:rsidR="001A2F49">
        <w:rPr>
          <w:rFonts w:cs="Arial"/>
          <w:sz w:val="22"/>
          <w:szCs w:val="22"/>
        </w:rPr>
        <w:t xml:space="preserve">empleados, </w:t>
      </w:r>
      <w:r w:rsidR="001F0E72">
        <w:rPr>
          <w:rFonts w:cs="Arial"/>
          <w:sz w:val="22"/>
          <w:szCs w:val="22"/>
        </w:rPr>
        <w:t>proveedores, contrati</w:t>
      </w:r>
      <w:r w:rsidR="00320938">
        <w:rPr>
          <w:rFonts w:cs="Arial"/>
          <w:sz w:val="22"/>
          <w:szCs w:val="22"/>
        </w:rPr>
        <w:t>s</w:t>
      </w:r>
      <w:r w:rsidR="001F0E72">
        <w:rPr>
          <w:rFonts w:cs="Arial"/>
          <w:sz w:val="22"/>
          <w:szCs w:val="22"/>
        </w:rPr>
        <w:t xml:space="preserve">tas </w:t>
      </w:r>
      <w:r w:rsidR="00B47E28">
        <w:rPr>
          <w:rFonts w:cs="Arial"/>
          <w:sz w:val="22"/>
          <w:szCs w:val="22"/>
        </w:rPr>
        <w:t>entre otras transacciones</w:t>
      </w:r>
      <w:r w:rsidR="00320938">
        <w:rPr>
          <w:rFonts w:cs="Arial"/>
          <w:sz w:val="22"/>
          <w:szCs w:val="22"/>
        </w:rPr>
        <w:t xml:space="preserve"> en l</w:t>
      </w:r>
      <w:r w:rsidR="00B47E28">
        <w:rPr>
          <w:rFonts w:cs="Arial"/>
          <w:sz w:val="22"/>
          <w:szCs w:val="22"/>
        </w:rPr>
        <w:t>a</w:t>
      </w:r>
      <w:r w:rsidR="00320938">
        <w:rPr>
          <w:rFonts w:cs="Arial"/>
          <w:sz w:val="22"/>
          <w:szCs w:val="22"/>
        </w:rPr>
        <w:t>s cuales sea del caso aplicarla</w:t>
      </w:r>
      <w:r w:rsidR="001F0E72">
        <w:rPr>
          <w:rFonts w:cs="Arial"/>
          <w:sz w:val="22"/>
          <w:szCs w:val="22"/>
        </w:rPr>
        <w:t>.</w:t>
      </w:r>
    </w:p>
    <w:p w14:paraId="1D360B25" w14:textId="77777777" w:rsidR="00635E24" w:rsidRDefault="00635E24" w:rsidP="00D22441">
      <w:pPr>
        <w:pStyle w:val="Textoindependiente"/>
        <w:spacing w:after="0" w:line="240" w:lineRule="auto"/>
        <w:rPr>
          <w:rFonts w:cs="Arial"/>
          <w:sz w:val="22"/>
          <w:szCs w:val="22"/>
        </w:rPr>
      </w:pPr>
    </w:p>
    <w:p w14:paraId="38938B9D" w14:textId="5741FC08" w:rsidR="00280F88" w:rsidRDefault="00280F88" w:rsidP="00D22441">
      <w:pPr>
        <w:pStyle w:val="Textoindependiente"/>
        <w:spacing w:after="0" w:line="240" w:lineRule="auto"/>
        <w:rPr>
          <w:rFonts w:cs="Arial"/>
          <w:sz w:val="22"/>
          <w:szCs w:val="22"/>
        </w:rPr>
      </w:pPr>
      <w:r w:rsidRPr="00BA277E">
        <w:rPr>
          <w:rFonts w:cs="Arial"/>
          <w:sz w:val="22"/>
          <w:szCs w:val="22"/>
        </w:rPr>
        <w:t>Con el fin de financiar los gastos de funcionamiento</w:t>
      </w:r>
      <w:r w:rsidR="000313DC">
        <w:rPr>
          <w:rFonts w:cs="Arial"/>
          <w:sz w:val="22"/>
          <w:szCs w:val="22"/>
        </w:rPr>
        <w:t>, servicio de la deuda pública</w:t>
      </w:r>
      <w:r w:rsidRPr="00BA277E">
        <w:rPr>
          <w:rFonts w:cs="Arial"/>
          <w:sz w:val="22"/>
          <w:szCs w:val="22"/>
        </w:rPr>
        <w:t xml:space="preserve"> e inversión de la </w:t>
      </w:r>
      <w:r>
        <w:rPr>
          <w:rFonts w:cs="Arial"/>
          <w:sz w:val="22"/>
          <w:szCs w:val="22"/>
        </w:rPr>
        <w:t>entidad</w:t>
      </w:r>
      <w:r w:rsidRPr="00BA277E">
        <w:rPr>
          <w:rFonts w:cs="Arial"/>
          <w:sz w:val="22"/>
          <w:szCs w:val="22"/>
        </w:rPr>
        <w:t xml:space="preserve"> y en general recuperar los costos del servicio</w:t>
      </w:r>
      <w:r w:rsidR="000313DC">
        <w:rPr>
          <w:rFonts w:cs="Arial"/>
          <w:sz w:val="22"/>
          <w:szCs w:val="22"/>
        </w:rPr>
        <w:t xml:space="preserve"> de su actividad regulatoria</w:t>
      </w:r>
      <w:r w:rsidRPr="00BA277E">
        <w:rPr>
          <w:rFonts w:cs="Arial"/>
          <w:sz w:val="22"/>
          <w:szCs w:val="22"/>
        </w:rPr>
        <w:t xml:space="preserve">, </w:t>
      </w:r>
      <w:r>
        <w:rPr>
          <w:rFonts w:cs="Arial"/>
          <w:sz w:val="22"/>
          <w:szCs w:val="22"/>
        </w:rPr>
        <w:t xml:space="preserve">en desarrollo de actividades </w:t>
      </w:r>
      <w:r w:rsidRPr="00BB6B36">
        <w:rPr>
          <w:rFonts w:cs="Arial"/>
          <w:sz w:val="22"/>
          <w:szCs w:val="22"/>
        </w:rPr>
        <w:t>ejecutivas de la administración pública</w:t>
      </w:r>
      <w:r>
        <w:rPr>
          <w:rFonts w:cs="Arial"/>
          <w:sz w:val="22"/>
          <w:szCs w:val="22"/>
        </w:rPr>
        <w:t xml:space="preserve">, </w:t>
      </w:r>
      <w:r w:rsidRPr="00BB6B36">
        <w:rPr>
          <w:rFonts w:cs="Arial"/>
          <w:sz w:val="22"/>
          <w:szCs w:val="22"/>
        </w:rPr>
        <w:t>reguladoras y facilitadoras de la actividad económica</w:t>
      </w:r>
      <w:r>
        <w:rPr>
          <w:rFonts w:cs="Arial"/>
          <w:sz w:val="22"/>
          <w:szCs w:val="22"/>
        </w:rPr>
        <w:t xml:space="preserve">, </w:t>
      </w:r>
      <w:r w:rsidR="0056277E">
        <w:rPr>
          <w:rFonts w:cs="Arial"/>
          <w:sz w:val="22"/>
          <w:szCs w:val="22"/>
        </w:rPr>
        <w:t>percibe sus recursos por colocación de fondos de</w:t>
      </w:r>
      <w:r w:rsidR="00F71753">
        <w:rPr>
          <w:rFonts w:cs="Arial"/>
          <w:sz w:val="22"/>
          <w:szCs w:val="22"/>
        </w:rPr>
        <w:t xml:space="preserve"> la</w:t>
      </w:r>
      <w:r w:rsidR="0056277E">
        <w:rPr>
          <w:rFonts w:cs="Arial"/>
          <w:sz w:val="22"/>
          <w:szCs w:val="22"/>
        </w:rPr>
        <w:t xml:space="preserve"> </w:t>
      </w:r>
      <w:r w:rsidR="0056277E" w:rsidRPr="00635E24">
        <w:rPr>
          <w:rFonts w:cs="Arial"/>
          <w:sz w:val="22"/>
          <w:szCs w:val="22"/>
        </w:rPr>
        <w:t xml:space="preserve">Dirección General de Crédito Público y Tesoro Nacional </w:t>
      </w:r>
      <w:r w:rsidR="0056277E">
        <w:rPr>
          <w:rFonts w:cs="Arial"/>
          <w:sz w:val="22"/>
          <w:szCs w:val="22"/>
        </w:rPr>
        <w:t>(</w:t>
      </w:r>
      <w:r w:rsidR="0056277E" w:rsidRPr="00635E24">
        <w:rPr>
          <w:rFonts w:cs="Arial"/>
          <w:sz w:val="22"/>
          <w:szCs w:val="22"/>
        </w:rPr>
        <w:t>DGCPTN</w:t>
      </w:r>
      <w:r w:rsidR="0056277E">
        <w:rPr>
          <w:rFonts w:cs="Arial"/>
          <w:sz w:val="22"/>
          <w:szCs w:val="22"/>
        </w:rPr>
        <w:t xml:space="preserve">), del Ministerio de Hacienda y Crédito Público (MHCP), </w:t>
      </w:r>
      <w:r w:rsidR="000313DC">
        <w:rPr>
          <w:rFonts w:cs="Arial"/>
          <w:sz w:val="22"/>
          <w:szCs w:val="22"/>
        </w:rPr>
        <w:t>y del cobro de</w:t>
      </w:r>
      <w:r w:rsidR="00F71753">
        <w:rPr>
          <w:rFonts w:cs="Arial"/>
          <w:sz w:val="22"/>
          <w:szCs w:val="22"/>
        </w:rPr>
        <w:t xml:space="preserve"> la tasa parafiscal </w:t>
      </w:r>
      <w:r w:rsidR="000313DC">
        <w:rPr>
          <w:rFonts w:cs="Arial"/>
          <w:sz w:val="22"/>
          <w:szCs w:val="22"/>
        </w:rPr>
        <w:t>de contribución especial</w:t>
      </w:r>
      <w:r w:rsidR="00F71753">
        <w:rPr>
          <w:rFonts w:cs="Arial"/>
          <w:sz w:val="22"/>
          <w:szCs w:val="22"/>
        </w:rPr>
        <w:t xml:space="preserve"> de regulación</w:t>
      </w:r>
      <w:r w:rsidR="000313DC">
        <w:rPr>
          <w:rFonts w:cs="Arial"/>
          <w:sz w:val="22"/>
          <w:szCs w:val="22"/>
        </w:rPr>
        <w:t xml:space="preserve">,  </w:t>
      </w:r>
      <w:r w:rsidR="0056277E">
        <w:rPr>
          <w:rFonts w:cs="Arial"/>
          <w:sz w:val="22"/>
          <w:szCs w:val="22"/>
        </w:rPr>
        <w:t>facultada como sujeto activo por</w:t>
      </w:r>
      <w:r w:rsidR="000313DC">
        <w:rPr>
          <w:rFonts w:cs="Arial"/>
          <w:sz w:val="22"/>
          <w:szCs w:val="22"/>
        </w:rPr>
        <w:t xml:space="preserve"> </w:t>
      </w:r>
      <w:r w:rsidR="0056277E">
        <w:rPr>
          <w:rFonts w:cs="Arial"/>
          <w:sz w:val="22"/>
          <w:szCs w:val="22"/>
        </w:rPr>
        <w:t>e</w:t>
      </w:r>
      <w:r w:rsidR="0056277E" w:rsidRPr="00BA277E">
        <w:rPr>
          <w:rFonts w:cs="Arial"/>
          <w:sz w:val="22"/>
          <w:szCs w:val="22"/>
        </w:rPr>
        <w:t>l artículo 85 de la Ley 142 de 1994</w:t>
      </w:r>
      <w:r w:rsidR="0056277E">
        <w:rPr>
          <w:rFonts w:cs="Arial"/>
          <w:sz w:val="22"/>
          <w:szCs w:val="22"/>
        </w:rPr>
        <w:t xml:space="preserve">, </w:t>
      </w:r>
      <w:r w:rsidR="009C2687">
        <w:rPr>
          <w:rFonts w:cs="Arial"/>
          <w:sz w:val="22"/>
          <w:szCs w:val="22"/>
        </w:rPr>
        <w:t xml:space="preserve">así como </w:t>
      </w:r>
      <w:r w:rsidR="007A0F7B" w:rsidRPr="007A0F7B">
        <w:rPr>
          <w:rFonts w:cs="Arial"/>
          <w:sz w:val="22"/>
          <w:szCs w:val="22"/>
        </w:rPr>
        <w:t>el numeral 18 del artículo 8 del Decreto 1260 de 2013</w:t>
      </w:r>
      <w:r w:rsidR="005A4FE6">
        <w:rPr>
          <w:rFonts w:cs="Arial"/>
          <w:sz w:val="22"/>
          <w:szCs w:val="22"/>
        </w:rPr>
        <w:t xml:space="preserve"> y l</w:t>
      </w:r>
      <w:r w:rsidR="005A4FE6" w:rsidRPr="005A4FE6">
        <w:rPr>
          <w:rFonts w:cs="Arial"/>
          <w:sz w:val="22"/>
          <w:szCs w:val="22"/>
        </w:rPr>
        <w:t>os artículo</w:t>
      </w:r>
      <w:r w:rsidR="005A4FE6">
        <w:rPr>
          <w:rFonts w:cs="Arial"/>
          <w:sz w:val="22"/>
          <w:szCs w:val="22"/>
        </w:rPr>
        <w:t>s</w:t>
      </w:r>
      <w:r w:rsidR="005A4FE6" w:rsidRPr="005A4FE6">
        <w:rPr>
          <w:rFonts w:cs="Arial"/>
          <w:sz w:val="22"/>
          <w:szCs w:val="22"/>
        </w:rPr>
        <w:t xml:space="preserve"> 23 y 24 de la Resolución CREG 039 de 03 de abril de 2017</w:t>
      </w:r>
      <w:r w:rsidR="007A0F7B">
        <w:rPr>
          <w:rFonts w:cs="Arial"/>
          <w:sz w:val="22"/>
          <w:szCs w:val="22"/>
        </w:rPr>
        <w:t>,</w:t>
      </w:r>
      <w:r w:rsidR="005A4FE6">
        <w:rPr>
          <w:rFonts w:cs="Arial"/>
          <w:sz w:val="22"/>
          <w:szCs w:val="22"/>
        </w:rPr>
        <w:t xml:space="preserve"> </w:t>
      </w:r>
      <w:r>
        <w:rPr>
          <w:rFonts w:cs="Arial"/>
          <w:sz w:val="22"/>
          <w:szCs w:val="22"/>
        </w:rPr>
        <w:t xml:space="preserve">para administrar y percibir </w:t>
      </w:r>
      <w:r w:rsidR="005953BC">
        <w:rPr>
          <w:rFonts w:cs="Arial"/>
          <w:sz w:val="22"/>
          <w:szCs w:val="22"/>
        </w:rPr>
        <w:t>el tributo</w:t>
      </w:r>
      <w:r>
        <w:rPr>
          <w:rFonts w:cs="Arial"/>
          <w:sz w:val="22"/>
          <w:szCs w:val="22"/>
        </w:rPr>
        <w:t xml:space="preserve">, </w:t>
      </w:r>
      <w:r w:rsidRPr="00BA277E">
        <w:rPr>
          <w:rFonts w:cs="Arial"/>
          <w:sz w:val="22"/>
          <w:szCs w:val="22"/>
        </w:rPr>
        <w:t>precisa</w:t>
      </w:r>
      <w:r>
        <w:rPr>
          <w:rFonts w:cs="Arial"/>
          <w:sz w:val="22"/>
          <w:szCs w:val="22"/>
        </w:rPr>
        <w:t>r</w:t>
      </w:r>
      <w:r w:rsidRPr="00BA277E">
        <w:rPr>
          <w:rFonts w:cs="Arial"/>
          <w:sz w:val="22"/>
          <w:szCs w:val="22"/>
        </w:rPr>
        <w:t xml:space="preserve"> </w:t>
      </w:r>
      <w:r w:rsidR="005953BC">
        <w:rPr>
          <w:rFonts w:cs="Arial"/>
          <w:sz w:val="22"/>
          <w:szCs w:val="22"/>
        </w:rPr>
        <w:t>sus</w:t>
      </w:r>
      <w:r w:rsidRPr="00BA277E">
        <w:rPr>
          <w:rFonts w:cs="Arial"/>
          <w:sz w:val="22"/>
          <w:szCs w:val="22"/>
        </w:rPr>
        <w:t xml:space="preserve"> elementos</w:t>
      </w:r>
      <w:r>
        <w:rPr>
          <w:rFonts w:cs="Arial"/>
          <w:sz w:val="22"/>
          <w:szCs w:val="22"/>
        </w:rPr>
        <w:t xml:space="preserve">, definir la  </w:t>
      </w:r>
      <w:r w:rsidRPr="005F34D8">
        <w:rPr>
          <w:rFonts w:cs="Arial"/>
          <w:sz w:val="22"/>
          <w:szCs w:val="22"/>
        </w:rPr>
        <w:t xml:space="preserve">metodología de </w:t>
      </w:r>
      <w:r>
        <w:rPr>
          <w:rFonts w:cs="Arial"/>
          <w:sz w:val="22"/>
          <w:szCs w:val="22"/>
        </w:rPr>
        <w:t xml:space="preserve">depuración, cálculo, </w:t>
      </w:r>
      <w:r w:rsidRPr="005E2062">
        <w:rPr>
          <w:rFonts w:cs="Arial"/>
          <w:sz w:val="22"/>
          <w:szCs w:val="22"/>
        </w:rPr>
        <w:t>liquidación, cobro y recaudo</w:t>
      </w:r>
      <w:r>
        <w:rPr>
          <w:rFonts w:cs="Arial"/>
          <w:sz w:val="22"/>
          <w:szCs w:val="22"/>
        </w:rPr>
        <w:t xml:space="preserve">, </w:t>
      </w:r>
      <w:r w:rsidRPr="00BA277E">
        <w:rPr>
          <w:rFonts w:cs="Arial"/>
          <w:sz w:val="22"/>
          <w:szCs w:val="22"/>
        </w:rPr>
        <w:t xml:space="preserve">y por este medio contribuir a la modernización y fortalecimiento institucional de </w:t>
      </w:r>
      <w:r>
        <w:rPr>
          <w:rFonts w:cs="Arial"/>
          <w:sz w:val="22"/>
          <w:szCs w:val="22"/>
        </w:rPr>
        <w:t>la entidad.</w:t>
      </w:r>
    </w:p>
    <w:p w14:paraId="48EE7A19" w14:textId="77777777" w:rsidR="00C1416E" w:rsidRPr="002C5AEF" w:rsidRDefault="00C1416E" w:rsidP="00D22441">
      <w:pPr>
        <w:pStyle w:val="Textoindependiente"/>
        <w:spacing w:after="0" w:line="240" w:lineRule="auto"/>
        <w:rPr>
          <w:rFonts w:cs="Arial"/>
          <w:b/>
          <w:bCs/>
          <w:sz w:val="22"/>
          <w:szCs w:val="22"/>
        </w:rPr>
      </w:pPr>
    </w:p>
    <w:p w14:paraId="4559D861" w14:textId="349D6BDD" w:rsidR="000313DC" w:rsidRDefault="000313DC" w:rsidP="00D22441">
      <w:pPr>
        <w:pStyle w:val="Textoindependiente"/>
        <w:spacing w:after="0" w:line="240" w:lineRule="auto"/>
        <w:rPr>
          <w:rFonts w:cs="Arial"/>
          <w:sz w:val="22"/>
          <w:szCs w:val="22"/>
        </w:rPr>
      </w:pPr>
      <w:r>
        <w:rPr>
          <w:rFonts w:cs="Arial"/>
          <w:sz w:val="22"/>
          <w:szCs w:val="22"/>
        </w:rPr>
        <w:t xml:space="preserve">Actualmente los recursos </w:t>
      </w:r>
      <w:r w:rsidR="004B619B">
        <w:rPr>
          <w:rFonts w:cs="Arial"/>
          <w:sz w:val="22"/>
          <w:szCs w:val="22"/>
        </w:rPr>
        <w:t xml:space="preserve">de la CREG </w:t>
      </w:r>
      <w:r>
        <w:rPr>
          <w:rFonts w:cs="Arial"/>
          <w:sz w:val="22"/>
          <w:szCs w:val="22"/>
        </w:rPr>
        <w:t xml:space="preserve">se administran a través de la Cuenta Única Nacional (CUN), de la </w:t>
      </w:r>
      <w:r w:rsidRPr="00635E24">
        <w:rPr>
          <w:rFonts w:cs="Arial"/>
          <w:sz w:val="22"/>
          <w:szCs w:val="22"/>
        </w:rPr>
        <w:t>DGCPTN</w:t>
      </w:r>
      <w:r>
        <w:rPr>
          <w:rFonts w:cs="Arial"/>
          <w:sz w:val="22"/>
          <w:szCs w:val="22"/>
        </w:rPr>
        <w:t xml:space="preserve"> del </w:t>
      </w:r>
      <w:r w:rsidR="0056277E">
        <w:rPr>
          <w:rFonts w:cs="Arial"/>
          <w:sz w:val="22"/>
          <w:szCs w:val="22"/>
        </w:rPr>
        <w:t>MHCP</w:t>
      </w:r>
      <w:r>
        <w:rPr>
          <w:rFonts w:cs="Arial"/>
          <w:sz w:val="22"/>
          <w:szCs w:val="22"/>
        </w:rPr>
        <w:t>.</w:t>
      </w:r>
    </w:p>
    <w:p w14:paraId="4DACAB34" w14:textId="77777777" w:rsidR="0056277E" w:rsidRDefault="0056277E" w:rsidP="00D22441">
      <w:pPr>
        <w:pStyle w:val="Textoindependiente"/>
        <w:spacing w:after="0" w:line="240" w:lineRule="auto"/>
        <w:rPr>
          <w:rFonts w:cs="Arial"/>
          <w:sz w:val="22"/>
          <w:szCs w:val="22"/>
        </w:rPr>
      </w:pPr>
    </w:p>
    <w:p w14:paraId="69D46ADF" w14:textId="627EC2E8" w:rsidR="00280F88" w:rsidRDefault="00C84345" w:rsidP="00D22441">
      <w:pPr>
        <w:pStyle w:val="Subttulo"/>
        <w:numPr>
          <w:ilvl w:val="1"/>
          <w:numId w:val="37"/>
        </w:numPr>
        <w:spacing w:after="0"/>
        <w:ind w:left="357" w:hanging="357"/>
        <w:jc w:val="left"/>
        <w:rPr>
          <w:b/>
          <w:bCs/>
          <w:sz w:val="22"/>
          <w:szCs w:val="22"/>
        </w:rPr>
      </w:pPr>
      <w:bookmarkStart w:id="11" w:name="_Toc147154291"/>
      <w:r>
        <w:rPr>
          <w:b/>
          <w:bCs/>
          <w:sz w:val="22"/>
          <w:szCs w:val="22"/>
        </w:rPr>
        <w:t xml:space="preserve">NATURALEZA DEL </w:t>
      </w:r>
      <w:r w:rsidR="0078363A">
        <w:rPr>
          <w:b/>
          <w:bCs/>
          <w:sz w:val="22"/>
          <w:szCs w:val="22"/>
        </w:rPr>
        <w:t>T</w:t>
      </w:r>
      <w:r>
        <w:rPr>
          <w:b/>
          <w:bCs/>
          <w:sz w:val="22"/>
          <w:szCs w:val="22"/>
        </w:rPr>
        <w:t>RIBUTO</w:t>
      </w:r>
      <w:r w:rsidR="00C447D2">
        <w:rPr>
          <w:b/>
          <w:bCs/>
          <w:sz w:val="22"/>
          <w:szCs w:val="22"/>
        </w:rPr>
        <w:t>.</w:t>
      </w:r>
      <w:bookmarkEnd w:id="11"/>
    </w:p>
    <w:p w14:paraId="344DB1E1" w14:textId="437B1D0E" w:rsidR="00434709" w:rsidRPr="00BD3920" w:rsidRDefault="00434709" w:rsidP="00D22441">
      <w:pPr>
        <w:pStyle w:val="Textoindependiente"/>
        <w:spacing w:after="0" w:line="240" w:lineRule="auto"/>
        <w:rPr>
          <w:rFonts w:cs="Arial"/>
          <w:sz w:val="22"/>
          <w:szCs w:val="22"/>
        </w:rPr>
      </w:pPr>
    </w:p>
    <w:p w14:paraId="65166C6A" w14:textId="615CDE3E" w:rsidR="0078363A" w:rsidRDefault="0078363A" w:rsidP="00D22441">
      <w:pPr>
        <w:pStyle w:val="Textoindependiente"/>
        <w:spacing w:after="0" w:line="240" w:lineRule="auto"/>
        <w:rPr>
          <w:rFonts w:cs="Arial"/>
          <w:sz w:val="22"/>
          <w:szCs w:val="22"/>
        </w:rPr>
      </w:pPr>
      <w:r w:rsidRPr="00BD3920">
        <w:rPr>
          <w:rFonts w:cs="Arial"/>
          <w:sz w:val="22"/>
          <w:szCs w:val="22"/>
        </w:rPr>
        <w:t xml:space="preserve">La contribución especial </w:t>
      </w:r>
      <w:r w:rsidR="00725065">
        <w:rPr>
          <w:rFonts w:cs="Arial"/>
          <w:sz w:val="22"/>
          <w:szCs w:val="22"/>
        </w:rPr>
        <w:t xml:space="preserve">de regulación </w:t>
      </w:r>
      <w:r w:rsidR="005953BC" w:rsidRPr="00BD3920">
        <w:rPr>
          <w:rFonts w:cs="Arial"/>
          <w:sz w:val="22"/>
          <w:szCs w:val="22"/>
        </w:rPr>
        <w:t xml:space="preserve">a favor de la CREG </w:t>
      </w:r>
      <w:r w:rsidRPr="00BD3920">
        <w:rPr>
          <w:rFonts w:cs="Arial"/>
          <w:sz w:val="22"/>
          <w:szCs w:val="22"/>
        </w:rPr>
        <w:t>es una tasa parafiscal de periodicidad anual</w:t>
      </w:r>
      <w:r w:rsidR="005953BC" w:rsidRPr="00BD3920">
        <w:rPr>
          <w:rFonts w:cs="Arial"/>
          <w:sz w:val="22"/>
          <w:szCs w:val="22"/>
        </w:rPr>
        <w:t>, generada a partir del servicio de regulación dirigida al sector el</w:t>
      </w:r>
      <w:r w:rsidR="002821DD" w:rsidRPr="00BD3920">
        <w:rPr>
          <w:rFonts w:cs="Arial"/>
          <w:sz w:val="22"/>
          <w:szCs w:val="22"/>
        </w:rPr>
        <w:t xml:space="preserve">éctrico y de gas combustible, con una tarifa que no podrá ser superior al 1% </w:t>
      </w:r>
      <w:r w:rsidR="00C057B5" w:rsidRPr="00BD3920">
        <w:rPr>
          <w:rFonts w:cs="Arial"/>
          <w:sz w:val="22"/>
          <w:szCs w:val="22"/>
        </w:rPr>
        <w:t xml:space="preserve">de la base gravable </w:t>
      </w:r>
      <w:r w:rsidR="00C84345" w:rsidRPr="00BD3920">
        <w:rPr>
          <w:rFonts w:cs="Arial"/>
          <w:sz w:val="22"/>
          <w:szCs w:val="22"/>
        </w:rPr>
        <w:t xml:space="preserve">para financiar el presupuesto de la CREG, </w:t>
      </w:r>
      <w:r w:rsidR="00C057B5" w:rsidRPr="00BD3920">
        <w:rPr>
          <w:rFonts w:cs="Arial"/>
          <w:sz w:val="22"/>
          <w:szCs w:val="22"/>
        </w:rPr>
        <w:t xml:space="preserve">conformada </w:t>
      </w:r>
      <w:r w:rsidR="00C84345" w:rsidRPr="00BD3920">
        <w:rPr>
          <w:rFonts w:cs="Arial"/>
          <w:sz w:val="22"/>
          <w:szCs w:val="22"/>
        </w:rPr>
        <w:t xml:space="preserve">esta base </w:t>
      </w:r>
      <w:r w:rsidR="00C057B5" w:rsidRPr="00BD3920">
        <w:rPr>
          <w:rFonts w:cs="Arial"/>
          <w:sz w:val="22"/>
          <w:szCs w:val="22"/>
        </w:rPr>
        <w:t>por l</w:t>
      </w:r>
      <w:r w:rsidR="001B182F" w:rsidRPr="00BD3920">
        <w:rPr>
          <w:rFonts w:cs="Arial"/>
          <w:sz w:val="22"/>
          <w:szCs w:val="22"/>
        </w:rPr>
        <w:t xml:space="preserve">os gastos de funcionamiento y porción de los </w:t>
      </w:r>
      <w:r w:rsidR="00C057B5" w:rsidRPr="00BD3920">
        <w:rPr>
          <w:rFonts w:cs="Arial"/>
          <w:sz w:val="22"/>
          <w:szCs w:val="22"/>
        </w:rPr>
        <w:t xml:space="preserve">gastos </w:t>
      </w:r>
      <w:r w:rsidR="001B182F" w:rsidRPr="00BD3920">
        <w:rPr>
          <w:rFonts w:cs="Arial"/>
          <w:sz w:val="22"/>
          <w:szCs w:val="22"/>
        </w:rPr>
        <w:t>operativos</w:t>
      </w:r>
      <w:r w:rsidR="00C057B5" w:rsidRPr="00BD3920">
        <w:rPr>
          <w:rFonts w:cs="Arial"/>
          <w:sz w:val="22"/>
          <w:szCs w:val="22"/>
        </w:rPr>
        <w:t xml:space="preserve"> de las empresas reguladas</w:t>
      </w:r>
      <w:r w:rsidR="001B182F" w:rsidRPr="00BD3920">
        <w:rPr>
          <w:rFonts w:cs="Arial"/>
          <w:sz w:val="22"/>
          <w:szCs w:val="22"/>
        </w:rPr>
        <w:t xml:space="preserve">, con las exclusiones determinadas por la </w:t>
      </w:r>
      <w:r w:rsidR="00EF7D13">
        <w:rPr>
          <w:rFonts w:cs="Arial"/>
          <w:sz w:val="22"/>
          <w:szCs w:val="22"/>
        </w:rPr>
        <w:t>normatividad y la doctrina</w:t>
      </w:r>
      <w:r w:rsidR="001B182F" w:rsidRPr="00BD3920">
        <w:rPr>
          <w:rFonts w:cs="Arial"/>
          <w:sz w:val="22"/>
          <w:szCs w:val="22"/>
        </w:rPr>
        <w:t xml:space="preserve">, </w:t>
      </w:r>
      <w:r w:rsidR="00EF7D13">
        <w:rPr>
          <w:rFonts w:cs="Arial"/>
          <w:sz w:val="22"/>
          <w:szCs w:val="22"/>
        </w:rPr>
        <w:t xml:space="preserve">basada en </w:t>
      </w:r>
      <w:r w:rsidR="002821DD" w:rsidRPr="00BD3920">
        <w:rPr>
          <w:rFonts w:cs="Arial"/>
          <w:sz w:val="22"/>
          <w:szCs w:val="22"/>
        </w:rPr>
        <w:t xml:space="preserve">la información financiera del año anterior presentada </w:t>
      </w:r>
      <w:r w:rsidR="00C057B5" w:rsidRPr="00BD3920">
        <w:rPr>
          <w:rFonts w:cs="Arial"/>
          <w:sz w:val="22"/>
          <w:szCs w:val="22"/>
        </w:rPr>
        <w:t>al SUI</w:t>
      </w:r>
      <w:r w:rsidR="00EF7D13">
        <w:rPr>
          <w:rFonts w:cs="Arial"/>
          <w:sz w:val="22"/>
          <w:szCs w:val="22"/>
        </w:rPr>
        <w:t xml:space="preserve"> de la SSPD</w:t>
      </w:r>
      <w:r w:rsidR="00C057B5" w:rsidRPr="00BD3920">
        <w:rPr>
          <w:rFonts w:cs="Arial"/>
          <w:sz w:val="22"/>
          <w:szCs w:val="22"/>
        </w:rPr>
        <w:t>.</w:t>
      </w:r>
    </w:p>
    <w:p w14:paraId="00FB9508" w14:textId="77777777" w:rsidR="0015547A" w:rsidRPr="00BD3920" w:rsidRDefault="0015547A" w:rsidP="00D22441">
      <w:pPr>
        <w:pStyle w:val="Textoindependiente"/>
        <w:spacing w:after="0" w:line="240" w:lineRule="auto"/>
        <w:rPr>
          <w:rFonts w:cs="Arial"/>
          <w:sz w:val="22"/>
          <w:szCs w:val="22"/>
        </w:rPr>
      </w:pPr>
    </w:p>
    <w:p w14:paraId="28289636" w14:textId="05FC00D7" w:rsidR="00434709" w:rsidRPr="007226D7" w:rsidRDefault="00434709" w:rsidP="00D22441">
      <w:pPr>
        <w:pStyle w:val="Subttulo"/>
        <w:numPr>
          <w:ilvl w:val="1"/>
          <w:numId w:val="37"/>
        </w:numPr>
        <w:spacing w:after="0"/>
        <w:ind w:left="357" w:hanging="357"/>
        <w:jc w:val="left"/>
        <w:rPr>
          <w:b/>
          <w:bCs/>
          <w:sz w:val="22"/>
          <w:szCs w:val="22"/>
        </w:rPr>
      </w:pPr>
      <w:bookmarkStart w:id="12" w:name="_Toc147154292"/>
      <w:r w:rsidRPr="007226D7">
        <w:rPr>
          <w:b/>
          <w:bCs/>
          <w:sz w:val="22"/>
          <w:szCs w:val="22"/>
        </w:rPr>
        <w:t xml:space="preserve">HECHO GENERADOR Y </w:t>
      </w:r>
      <w:r w:rsidR="00C84345">
        <w:rPr>
          <w:b/>
          <w:bCs/>
          <w:sz w:val="22"/>
          <w:szCs w:val="22"/>
        </w:rPr>
        <w:t>S</w:t>
      </w:r>
      <w:r w:rsidRPr="007226D7">
        <w:rPr>
          <w:b/>
          <w:bCs/>
          <w:sz w:val="22"/>
          <w:szCs w:val="22"/>
        </w:rPr>
        <w:t>UJETOS PASIVOS</w:t>
      </w:r>
      <w:bookmarkEnd w:id="12"/>
    </w:p>
    <w:p w14:paraId="1514CEDF" w14:textId="6D1B6ADF" w:rsidR="00280F88" w:rsidRDefault="00280F88" w:rsidP="00D22441">
      <w:pPr>
        <w:pStyle w:val="Textoindependiente"/>
        <w:spacing w:after="0" w:line="240" w:lineRule="auto"/>
        <w:rPr>
          <w:rFonts w:cs="Arial"/>
          <w:sz w:val="22"/>
          <w:szCs w:val="22"/>
        </w:rPr>
      </w:pPr>
    </w:p>
    <w:p w14:paraId="4BFBDFE0" w14:textId="794E0B8B" w:rsidR="00F20A2B" w:rsidRDefault="00635E24" w:rsidP="00D22441">
      <w:pPr>
        <w:pStyle w:val="Textoindependiente"/>
        <w:spacing w:after="0" w:line="240" w:lineRule="auto"/>
        <w:rPr>
          <w:rFonts w:cs="Arial"/>
          <w:sz w:val="22"/>
          <w:szCs w:val="22"/>
        </w:rPr>
      </w:pPr>
      <w:r>
        <w:rPr>
          <w:rFonts w:cs="Arial"/>
          <w:sz w:val="22"/>
          <w:szCs w:val="22"/>
        </w:rPr>
        <w:t xml:space="preserve">La metodología para </w:t>
      </w:r>
      <w:r w:rsidR="00077531">
        <w:rPr>
          <w:rFonts w:cs="Arial"/>
          <w:sz w:val="22"/>
          <w:szCs w:val="22"/>
        </w:rPr>
        <w:t>calcular</w:t>
      </w:r>
      <w:r>
        <w:rPr>
          <w:rFonts w:cs="Arial"/>
          <w:sz w:val="22"/>
          <w:szCs w:val="22"/>
        </w:rPr>
        <w:t xml:space="preserve"> la base gravable y la tarifa de la contribución especial a favor de la CREG </w:t>
      </w:r>
      <w:r w:rsidR="004E1B18">
        <w:rPr>
          <w:rFonts w:cs="Arial"/>
          <w:sz w:val="22"/>
          <w:szCs w:val="22"/>
        </w:rPr>
        <w:t>para el año 202</w:t>
      </w:r>
      <w:r w:rsidR="00E01779">
        <w:rPr>
          <w:rFonts w:cs="Arial"/>
          <w:sz w:val="22"/>
          <w:szCs w:val="22"/>
        </w:rPr>
        <w:t>3</w:t>
      </w:r>
      <w:r>
        <w:rPr>
          <w:rFonts w:cs="Arial"/>
          <w:sz w:val="22"/>
          <w:szCs w:val="22"/>
        </w:rPr>
        <w:t>, s</w:t>
      </w:r>
      <w:r w:rsidR="00280F88" w:rsidRPr="00601447">
        <w:rPr>
          <w:rFonts w:cs="Arial"/>
          <w:sz w:val="22"/>
          <w:szCs w:val="22"/>
        </w:rPr>
        <w:t>on sujetos pasivos de la contribución especial a favor de la CREG</w:t>
      </w:r>
      <w:r w:rsidR="007032E5">
        <w:rPr>
          <w:rFonts w:cs="Arial"/>
          <w:sz w:val="22"/>
          <w:szCs w:val="22"/>
        </w:rPr>
        <w:t xml:space="preserve"> </w:t>
      </w:r>
      <w:r w:rsidR="00280F88" w:rsidRPr="00071F0A">
        <w:rPr>
          <w:rFonts w:cs="Arial"/>
          <w:sz w:val="22"/>
          <w:szCs w:val="22"/>
        </w:rPr>
        <w:t xml:space="preserve">las </w:t>
      </w:r>
      <w:r w:rsidR="00E7146C" w:rsidRPr="00601447">
        <w:rPr>
          <w:rFonts w:cs="Arial"/>
          <w:sz w:val="22"/>
          <w:szCs w:val="22"/>
        </w:rPr>
        <w:t>personas prestadoras de servicios públicos</w:t>
      </w:r>
      <w:r w:rsidR="00E7146C">
        <w:rPr>
          <w:rFonts w:cs="Arial"/>
          <w:sz w:val="22"/>
          <w:szCs w:val="22"/>
        </w:rPr>
        <w:t>,</w:t>
      </w:r>
      <w:r w:rsidR="00E7146C" w:rsidRPr="00071F0A">
        <w:rPr>
          <w:rFonts w:cs="Arial"/>
          <w:sz w:val="22"/>
          <w:szCs w:val="22"/>
        </w:rPr>
        <w:t xml:space="preserve"> </w:t>
      </w:r>
      <w:r w:rsidR="00280F88">
        <w:rPr>
          <w:rFonts w:cs="Arial"/>
          <w:sz w:val="22"/>
          <w:szCs w:val="22"/>
        </w:rPr>
        <w:t>señalados</w:t>
      </w:r>
      <w:r w:rsidR="00280F88" w:rsidRPr="00601447">
        <w:rPr>
          <w:rFonts w:cs="Arial"/>
          <w:sz w:val="22"/>
          <w:szCs w:val="22"/>
        </w:rPr>
        <w:t xml:space="preserve"> en </w:t>
      </w:r>
      <w:r w:rsidR="00F20A2B" w:rsidRPr="00F20A2B">
        <w:rPr>
          <w:rFonts w:cs="Arial"/>
          <w:sz w:val="22"/>
          <w:szCs w:val="22"/>
        </w:rPr>
        <w:t>los artículos 15 y 16 de la Ley 142 de 1994</w:t>
      </w:r>
      <w:r w:rsidR="00C84345">
        <w:rPr>
          <w:rFonts w:cs="Arial"/>
          <w:sz w:val="22"/>
          <w:szCs w:val="22"/>
        </w:rPr>
        <w:t xml:space="preserve"> que son </w:t>
      </w:r>
      <w:r w:rsidR="00C84345" w:rsidRPr="00071F0A">
        <w:rPr>
          <w:rFonts w:cs="Arial"/>
          <w:sz w:val="22"/>
          <w:szCs w:val="22"/>
        </w:rPr>
        <w:t>sujetas a la regulación de la entidad</w:t>
      </w:r>
      <w:r w:rsidR="00C84345">
        <w:rPr>
          <w:rFonts w:cs="Arial"/>
          <w:sz w:val="22"/>
          <w:szCs w:val="22"/>
        </w:rPr>
        <w:t>.</w:t>
      </w:r>
    </w:p>
    <w:p w14:paraId="786EF776" w14:textId="65CE6146" w:rsidR="00280F88" w:rsidRDefault="00280F88" w:rsidP="00D22441">
      <w:pPr>
        <w:pStyle w:val="Textoindependiente"/>
        <w:spacing w:after="0" w:line="240" w:lineRule="auto"/>
        <w:rPr>
          <w:rFonts w:cs="Arial"/>
          <w:sz w:val="22"/>
          <w:szCs w:val="22"/>
        </w:rPr>
      </w:pPr>
    </w:p>
    <w:p w14:paraId="2BDEA611" w14:textId="6A46A181" w:rsidR="006750D4" w:rsidRPr="007226D7" w:rsidRDefault="006750D4" w:rsidP="00D22441">
      <w:pPr>
        <w:pStyle w:val="Subttulo"/>
        <w:numPr>
          <w:ilvl w:val="1"/>
          <w:numId w:val="37"/>
        </w:numPr>
        <w:spacing w:after="0"/>
        <w:ind w:left="357" w:hanging="357"/>
        <w:jc w:val="left"/>
        <w:rPr>
          <w:b/>
          <w:bCs/>
          <w:sz w:val="22"/>
          <w:szCs w:val="22"/>
        </w:rPr>
      </w:pPr>
      <w:bookmarkStart w:id="13" w:name="_Toc147154293"/>
      <w:r>
        <w:rPr>
          <w:b/>
          <w:bCs/>
          <w:sz w:val="22"/>
          <w:szCs w:val="22"/>
        </w:rPr>
        <w:t>METODOLOGÍA</w:t>
      </w:r>
      <w:r w:rsidR="00EF7D13">
        <w:rPr>
          <w:b/>
          <w:bCs/>
          <w:sz w:val="22"/>
          <w:szCs w:val="22"/>
        </w:rPr>
        <w:t xml:space="preserve"> </w:t>
      </w:r>
      <w:r>
        <w:rPr>
          <w:b/>
          <w:bCs/>
          <w:sz w:val="22"/>
          <w:szCs w:val="22"/>
        </w:rPr>
        <w:t xml:space="preserve">TARIFARIA </w:t>
      </w:r>
      <w:r w:rsidR="005914EC">
        <w:rPr>
          <w:b/>
          <w:bCs/>
          <w:sz w:val="22"/>
          <w:szCs w:val="22"/>
        </w:rPr>
        <w:t>DE</w:t>
      </w:r>
      <w:r w:rsidR="00CD7D9C">
        <w:rPr>
          <w:b/>
          <w:bCs/>
          <w:sz w:val="22"/>
          <w:szCs w:val="22"/>
        </w:rPr>
        <w:t xml:space="preserve"> </w:t>
      </w:r>
      <w:r w:rsidR="00EF7D13">
        <w:rPr>
          <w:b/>
          <w:bCs/>
          <w:sz w:val="22"/>
          <w:szCs w:val="22"/>
        </w:rPr>
        <w:t xml:space="preserve">LA </w:t>
      </w:r>
      <w:r w:rsidRPr="007226D7">
        <w:rPr>
          <w:b/>
          <w:bCs/>
          <w:sz w:val="22"/>
          <w:szCs w:val="22"/>
        </w:rPr>
        <w:t>BASE GRAVABLE</w:t>
      </w:r>
      <w:r w:rsidR="00C447D2">
        <w:rPr>
          <w:b/>
          <w:bCs/>
          <w:sz w:val="22"/>
          <w:szCs w:val="22"/>
        </w:rPr>
        <w:t>.</w:t>
      </w:r>
      <w:bookmarkEnd w:id="13"/>
    </w:p>
    <w:p w14:paraId="1795A748" w14:textId="77777777" w:rsidR="006750D4" w:rsidRDefault="006750D4" w:rsidP="00D22441">
      <w:pPr>
        <w:pStyle w:val="Textoindependiente"/>
        <w:spacing w:after="0" w:line="240" w:lineRule="auto"/>
        <w:rPr>
          <w:rFonts w:cs="Arial"/>
          <w:sz w:val="22"/>
          <w:szCs w:val="22"/>
        </w:rPr>
      </w:pPr>
    </w:p>
    <w:p w14:paraId="75A78866" w14:textId="4FDB2D28" w:rsidR="00A363D2" w:rsidRDefault="007D3354" w:rsidP="00D22441">
      <w:pPr>
        <w:pStyle w:val="Textoindependiente"/>
        <w:spacing w:after="0"/>
        <w:rPr>
          <w:rFonts w:cs="Arial"/>
          <w:sz w:val="22"/>
          <w:szCs w:val="22"/>
        </w:rPr>
      </w:pPr>
      <w:r>
        <w:rPr>
          <w:rFonts w:cs="Arial"/>
          <w:sz w:val="22"/>
          <w:szCs w:val="22"/>
        </w:rPr>
        <w:lastRenderedPageBreak/>
        <w:t>La información financiera reportada por las empresas reguladas al SUI – SSPD</w:t>
      </w:r>
      <w:r w:rsidR="006750D4" w:rsidRPr="006750D4">
        <w:rPr>
          <w:rFonts w:cs="Arial"/>
          <w:sz w:val="22"/>
          <w:szCs w:val="22"/>
        </w:rPr>
        <w:t xml:space="preserve">, es un componente para </w:t>
      </w:r>
      <w:r w:rsidR="005914EC">
        <w:rPr>
          <w:rFonts w:cs="Arial"/>
          <w:sz w:val="22"/>
          <w:szCs w:val="22"/>
        </w:rPr>
        <w:t>encontrar</w:t>
      </w:r>
      <w:r w:rsidR="00CD7D9C">
        <w:rPr>
          <w:rFonts w:cs="Arial"/>
          <w:sz w:val="22"/>
          <w:szCs w:val="22"/>
        </w:rPr>
        <w:t xml:space="preserve"> </w:t>
      </w:r>
      <w:r w:rsidR="006750D4" w:rsidRPr="006750D4">
        <w:rPr>
          <w:rFonts w:cs="Arial"/>
          <w:sz w:val="22"/>
          <w:szCs w:val="22"/>
        </w:rPr>
        <w:t>la tarifa y la porción adicional de gastos operativos en caso de ser necesario utilizar para cubrir faltantes presupuestales, y en el entendido que como denominador es la sumatoria de las bases gravables de los sujetos pasivos, conforme a la formula aplicable determinada por la normatividad vigente al año a liquidar.</w:t>
      </w:r>
    </w:p>
    <w:p w14:paraId="54473031" w14:textId="77777777" w:rsidR="00874A5B" w:rsidRPr="006750D4" w:rsidRDefault="00874A5B" w:rsidP="00D22441">
      <w:pPr>
        <w:pStyle w:val="Textoindependiente"/>
        <w:spacing w:after="0"/>
        <w:rPr>
          <w:rFonts w:cs="Arial"/>
          <w:sz w:val="22"/>
          <w:szCs w:val="22"/>
        </w:rPr>
      </w:pPr>
    </w:p>
    <w:p w14:paraId="211D508E" w14:textId="13305556" w:rsidR="00A363D2" w:rsidRDefault="00A363D2" w:rsidP="00D22441">
      <w:pPr>
        <w:pStyle w:val="Textoindependiente"/>
        <w:spacing w:after="0"/>
        <w:rPr>
          <w:rFonts w:cs="Arial"/>
          <w:sz w:val="22"/>
          <w:szCs w:val="22"/>
        </w:rPr>
      </w:pPr>
      <w:r>
        <w:rPr>
          <w:rFonts w:cs="Arial"/>
          <w:sz w:val="22"/>
          <w:szCs w:val="22"/>
        </w:rPr>
        <w:t>Para rea</w:t>
      </w:r>
      <w:r w:rsidRPr="006750D4">
        <w:rPr>
          <w:rFonts w:cs="Arial"/>
          <w:sz w:val="22"/>
          <w:szCs w:val="22"/>
        </w:rPr>
        <w:t xml:space="preserve">lizar el cálculo de la liquidación de la contribución especial se debe tener en cuenta la metodología aplicable a cada vigencia para </w:t>
      </w:r>
      <w:r w:rsidR="00403B56">
        <w:rPr>
          <w:rFonts w:cs="Arial"/>
          <w:sz w:val="22"/>
          <w:szCs w:val="22"/>
        </w:rPr>
        <w:t xml:space="preserve">hallar </w:t>
      </w:r>
      <w:r w:rsidRPr="006750D4">
        <w:rPr>
          <w:rFonts w:cs="Arial"/>
          <w:sz w:val="22"/>
          <w:szCs w:val="22"/>
        </w:rPr>
        <w:t>la base gravable, con respecto a lo establecido por la normatividad para cada año respectivo, lo anterior teniendo en cuenta únicamente para la vigencia 2020, la modificación al artículo 85 de la Ley 142 de 1994 realizada por el artículo 18 de la Ley 1955 de 2019 y reglamentada a través del Decreto 1150 de 2020</w:t>
      </w:r>
      <w:r w:rsidR="00313A48">
        <w:rPr>
          <w:rFonts w:cs="Arial"/>
          <w:sz w:val="22"/>
          <w:szCs w:val="22"/>
        </w:rPr>
        <w:t>, la cual</w:t>
      </w:r>
      <w:r w:rsidR="00BE1915">
        <w:rPr>
          <w:rFonts w:cs="Arial"/>
          <w:sz w:val="22"/>
          <w:szCs w:val="22"/>
        </w:rPr>
        <w:t xml:space="preserve"> se describe a continuación:</w:t>
      </w:r>
    </w:p>
    <w:p w14:paraId="374D2AA2" w14:textId="77777777" w:rsidR="00BE1915" w:rsidRDefault="00BE1915" w:rsidP="00D22441">
      <w:pPr>
        <w:pStyle w:val="Textoindependiente"/>
        <w:spacing w:after="0"/>
        <w:rPr>
          <w:rFonts w:cs="Arial"/>
          <w:sz w:val="22"/>
          <w:szCs w:val="22"/>
        </w:rPr>
      </w:pPr>
    </w:p>
    <w:p w14:paraId="10821F7A" w14:textId="77777777" w:rsidR="00BC2C77" w:rsidRDefault="00BC2C77" w:rsidP="00D22441">
      <w:pPr>
        <w:pStyle w:val="Textoindependiente"/>
        <w:spacing w:after="0"/>
        <w:rPr>
          <w:rFonts w:cs="Arial"/>
          <w:sz w:val="22"/>
          <w:szCs w:val="22"/>
        </w:rPr>
      </w:pPr>
    </w:p>
    <w:p w14:paraId="10D45485" w14:textId="77777777" w:rsidR="008E4DE1" w:rsidRDefault="008E4DE1" w:rsidP="00D22441">
      <w:pPr>
        <w:pStyle w:val="Textoindependiente"/>
        <w:spacing w:after="0"/>
        <w:rPr>
          <w:rFonts w:cs="Arial"/>
          <w:sz w:val="22"/>
          <w:szCs w:val="22"/>
        </w:rPr>
      </w:pPr>
    </w:p>
    <w:p w14:paraId="375CE28A" w14:textId="77777777" w:rsidR="00BC2C77" w:rsidRDefault="00BC2C77" w:rsidP="00D22441">
      <w:pPr>
        <w:pStyle w:val="Textoindependiente"/>
        <w:spacing w:after="0"/>
        <w:rPr>
          <w:rFonts w:cs="Arial"/>
          <w:sz w:val="22"/>
          <w:szCs w:val="22"/>
        </w:rPr>
      </w:pPr>
    </w:p>
    <w:p w14:paraId="78793687" w14:textId="77777777" w:rsidR="00BC2C77" w:rsidRDefault="00BC2C77" w:rsidP="00D22441">
      <w:pPr>
        <w:pStyle w:val="Textoindependiente"/>
        <w:spacing w:after="0"/>
        <w:rPr>
          <w:rFonts w:cs="Arial"/>
          <w:sz w:val="22"/>
          <w:szCs w:val="22"/>
        </w:rPr>
      </w:pPr>
    </w:p>
    <w:p w14:paraId="30E1E7E3" w14:textId="77777777" w:rsidR="00BC2C77" w:rsidRDefault="00BC2C77" w:rsidP="00D22441">
      <w:pPr>
        <w:pStyle w:val="Textoindependiente"/>
        <w:spacing w:after="0"/>
        <w:rPr>
          <w:rFonts w:cs="Arial"/>
          <w:sz w:val="22"/>
          <w:szCs w:val="22"/>
        </w:rPr>
      </w:pPr>
    </w:p>
    <w:p w14:paraId="2C6FB4A0" w14:textId="77777777" w:rsidR="00BC2C77" w:rsidRDefault="00BC2C77" w:rsidP="00D22441">
      <w:pPr>
        <w:pStyle w:val="Textoindependiente"/>
        <w:spacing w:after="0"/>
        <w:rPr>
          <w:rFonts w:cs="Arial"/>
          <w:sz w:val="22"/>
          <w:szCs w:val="22"/>
        </w:rPr>
      </w:pPr>
    </w:p>
    <w:p w14:paraId="3419A549" w14:textId="77777777" w:rsidR="00BC2C77" w:rsidRDefault="00BC2C77" w:rsidP="00D22441">
      <w:pPr>
        <w:pStyle w:val="Textoindependiente"/>
        <w:spacing w:after="0"/>
        <w:rPr>
          <w:rFonts w:cs="Arial"/>
          <w:sz w:val="22"/>
          <w:szCs w:val="22"/>
        </w:rPr>
      </w:pPr>
    </w:p>
    <w:p w14:paraId="1A8441CD" w14:textId="56A4A5D8" w:rsidR="00D22441" w:rsidRPr="002C4392" w:rsidRDefault="009367C2" w:rsidP="009367C2">
      <w:pPr>
        <w:pStyle w:val="Descripcin"/>
        <w:rPr>
          <w:rFonts w:cs="Arial"/>
          <w:i w:val="0"/>
          <w:iCs w:val="0"/>
          <w:color w:val="auto"/>
        </w:rPr>
      </w:pPr>
      <w:bookmarkStart w:id="14" w:name="_Toc145486427"/>
      <w:r w:rsidRPr="002C4392">
        <w:rPr>
          <w:i w:val="0"/>
          <w:iCs w:val="0"/>
          <w:color w:val="auto"/>
        </w:rPr>
        <w:t xml:space="preserve">Tabla </w:t>
      </w:r>
      <w:r w:rsidRPr="002C4392">
        <w:rPr>
          <w:i w:val="0"/>
          <w:iCs w:val="0"/>
          <w:color w:val="auto"/>
        </w:rPr>
        <w:fldChar w:fldCharType="begin"/>
      </w:r>
      <w:r w:rsidRPr="002C4392">
        <w:rPr>
          <w:i w:val="0"/>
          <w:iCs w:val="0"/>
          <w:color w:val="auto"/>
        </w:rPr>
        <w:instrText xml:space="preserve"> SEQ Tabla \* ARABIC </w:instrText>
      </w:r>
      <w:r w:rsidRPr="002C4392">
        <w:rPr>
          <w:i w:val="0"/>
          <w:iCs w:val="0"/>
          <w:color w:val="auto"/>
        </w:rPr>
        <w:fldChar w:fldCharType="separate"/>
      </w:r>
      <w:r w:rsidRPr="002C4392">
        <w:rPr>
          <w:i w:val="0"/>
          <w:iCs w:val="0"/>
          <w:noProof/>
          <w:color w:val="auto"/>
        </w:rPr>
        <w:t>1</w:t>
      </w:r>
      <w:r w:rsidRPr="002C4392">
        <w:rPr>
          <w:i w:val="0"/>
          <w:iCs w:val="0"/>
          <w:color w:val="auto"/>
        </w:rPr>
        <w:fldChar w:fldCharType="end"/>
      </w:r>
      <w:r w:rsidRPr="002C4392">
        <w:rPr>
          <w:i w:val="0"/>
          <w:iCs w:val="0"/>
          <w:color w:val="auto"/>
        </w:rPr>
        <w:t xml:space="preserve">. Estructura metodológica </w:t>
      </w:r>
      <w:r w:rsidR="00BA2A4F" w:rsidRPr="002C4392">
        <w:rPr>
          <w:i w:val="0"/>
          <w:iCs w:val="0"/>
          <w:color w:val="auto"/>
        </w:rPr>
        <w:t>base gravable.</w:t>
      </w:r>
      <w:bookmarkEnd w:id="14"/>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90"/>
        <w:gridCol w:w="5244"/>
      </w:tblGrid>
      <w:tr w:rsidR="006750D4" w:rsidRPr="00C83360" w14:paraId="3F3EB424" w14:textId="77777777" w:rsidTr="00313A48">
        <w:trPr>
          <w:trHeight w:val="561"/>
          <w:tblHeader/>
          <w:jc w:val="center"/>
        </w:trPr>
        <w:tc>
          <w:tcPr>
            <w:tcW w:w="4390" w:type="dxa"/>
            <w:shd w:val="clear" w:color="auto" w:fill="E7E6E6" w:themeFill="background2"/>
            <w:vAlign w:val="center"/>
            <w:hideMark/>
          </w:tcPr>
          <w:p w14:paraId="19FF0D3A" w14:textId="77777777" w:rsidR="006750D4" w:rsidRDefault="006750D4" w:rsidP="00D22441">
            <w:pPr>
              <w:jc w:val="center"/>
              <w:rPr>
                <w:rFonts w:cs="Arial"/>
                <w:b/>
                <w:bCs/>
                <w:sz w:val="18"/>
                <w:szCs w:val="18"/>
                <w:lang w:eastAsia="es-CO"/>
              </w:rPr>
            </w:pPr>
            <w:r w:rsidRPr="005C2070">
              <w:rPr>
                <w:rFonts w:cs="Arial"/>
                <w:b/>
                <w:bCs/>
                <w:sz w:val="18"/>
                <w:szCs w:val="18"/>
                <w:lang w:eastAsia="es-CO"/>
              </w:rPr>
              <w:t xml:space="preserve">AÑO 2019 Y </w:t>
            </w:r>
            <w:r>
              <w:rPr>
                <w:rFonts w:cs="Arial"/>
                <w:b/>
                <w:bCs/>
                <w:sz w:val="18"/>
                <w:szCs w:val="18"/>
                <w:lang w:eastAsia="es-CO"/>
              </w:rPr>
              <w:t xml:space="preserve">PRECEDENTES, </w:t>
            </w:r>
          </w:p>
          <w:p w14:paraId="68AB3A17" w14:textId="77777777" w:rsidR="006750D4" w:rsidRPr="005C2070" w:rsidRDefault="006750D4" w:rsidP="00D22441">
            <w:pPr>
              <w:jc w:val="center"/>
              <w:rPr>
                <w:rFonts w:cs="Arial"/>
                <w:b/>
                <w:bCs/>
                <w:sz w:val="18"/>
                <w:szCs w:val="18"/>
                <w:lang w:eastAsia="es-CO"/>
              </w:rPr>
            </w:pPr>
            <w:r>
              <w:rPr>
                <w:rFonts w:cs="Arial"/>
                <w:b/>
                <w:bCs/>
                <w:sz w:val="18"/>
                <w:szCs w:val="18"/>
                <w:lang w:eastAsia="es-CO"/>
              </w:rPr>
              <w:t xml:space="preserve">AÑO 2021 Y SIGUIENTES </w:t>
            </w:r>
          </w:p>
        </w:tc>
        <w:tc>
          <w:tcPr>
            <w:tcW w:w="5244" w:type="dxa"/>
            <w:shd w:val="clear" w:color="auto" w:fill="E7E6E6" w:themeFill="background2"/>
            <w:vAlign w:val="center"/>
            <w:hideMark/>
          </w:tcPr>
          <w:p w14:paraId="0BE08443" w14:textId="77777777" w:rsidR="006750D4" w:rsidRPr="00C83360" w:rsidRDefault="006750D4" w:rsidP="00D22441">
            <w:pPr>
              <w:jc w:val="center"/>
              <w:rPr>
                <w:rFonts w:cs="Arial"/>
                <w:b/>
                <w:bCs/>
                <w:sz w:val="18"/>
                <w:szCs w:val="18"/>
                <w:lang w:eastAsia="es-CO"/>
              </w:rPr>
            </w:pPr>
            <w:r>
              <w:rPr>
                <w:rFonts w:cs="Arial"/>
                <w:b/>
                <w:bCs/>
                <w:sz w:val="18"/>
                <w:szCs w:val="18"/>
                <w:lang w:eastAsia="es-CO"/>
              </w:rPr>
              <w:t>ÚNICAMENTE PARA EL AÑO 2020</w:t>
            </w:r>
            <w:r>
              <w:rPr>
                <w:rStyle w:val="Refdenotaalpie"/>
                <w:rFonts w:cs="Arial"/>
                <w:b/>
                <w:bCs/>
                <w:sz w:val="18"/>
                <w:szCs w:val="18"/>
                <w:lang w:eastAsia="es-CO"/>
              </w:rPr>
              <w:footnoteReference w:id="2"/>
            </w:r>
          </w:p>
        </w:tc>
      </w:tr>
      <w:tr w:rsidR="006750D4" w:rsidRPr="003558CB" w14:paraId="6C7B6457" w14:textId="77777777" w:rsidTr="00313A48">
        <w:trPr>
          <w:trHeight w:val="699"/>
          <w:jc w:val="center"/>
        </w:trPr>
        <w:tc>
          <w:tcPr>
            <w:tcW w:w="4390" w:type="dxa"/>
            <w:shd w:val="clear" w:color="auto" w:fill="auto"/>
            <w:noWrap/>
            <w:vAlign w:val="center"/>
          </w:tcPr>
          <w:p w14:paraId="0428A5C5" w14:textId="4CEFEBB7" w:rsidR="006750D4" w:rsidRDefault="00B42051" w:rsidP="00D22441">
            <w:pPr>
              <w:pStyle w:val="Textoindependiente"/>
              <w:spacing w:after="0"/>
              <w:ind w:right="57"/>
              <w:rPr>
                <w:rFonts w:ascii="Arial Narrow" w:hAnsi="Arial Narrow"/>
                <w:sz w:val="18"/>
                <w:szCs w:val="18"/>
              </w:rPr>
            </w:pPr>
            <w:r>
              <w:rPr>
                <w:rFonts w:ascii="Arial Narrow" w:hAnsi="Arial Narrow"/>
                <w:sz w:val="18"/>
                <w:szCs w:val="18"/>
              </w:rPr>
              <w:t xml:space="preserve"> </w:t>
            </w:r>
            <w:r w:rsidR="006750D4" w:rsidRPr="003558CB">
              <w:rPr>
                <w:rFonts w:ascii="Arial Narrow" w:hAnsi="Arial Narrow"/>
                <w:sz w:val="18"/>
                <w:szCs w:val="18"/>
              </w:rPr>
              <w:t>Fórmula:</w:t>
            </w:r>
            <w:r w:rsidR="009579B9">
              <w:rPr>
                <w:rFonts w:ascii="Arial Narrow" w:hAnsi="Arial Narrow"/>
                <w:sz w:val="18"/>
                <w:szCs w:val="18"/>
              </w:rPr>
              <w:t xml:space="preserve">     </w:t>
            </w:r>
            <w:r w:rsidR="006750D4" w:rsidRPr="003558CB">
              <w:rPr>
                <w:rFonts w:ascii="Arial Narrow" w:hAnsi="Arial Narrow"/>
                <w:sz w:val="18"/>
                <w:szCs w:val="18"/>
              </w:rPr>
              <w:t xml:space="preserve">   </w:t>
            </w:r>
            <m:oMath>
              <m:r>
                <w:rPr>
                  <w:rFonts w:ascii="Cambria Math" w:hAnsi="Cambria Math"/>
                  <w:sz w:val="18"/>
                  <w:szCs w:val="18"/>
                </w:rPr>
                <m:t>Bg=gf-ex [+go</m:t>
              </m:r>
              <m:r>
                <m:rPr>
                  <m:sty m:val="p"/>
                </m:rPr>
                <w:rPr>
                  <w:rFonts w:ascii="Cambria Math" w:hAnsi="Cambria Math"/>
                  <w:sz w:val="18"/>
                  <w:szCs w:val="18"/>
                </w:rPr>
                <m:t>]</m:t>
              </m:r>
            </m:oMath>
          </w:p>
          <w:p w14:paraId="30D02DE0" w14:textId="77777777" w:rsidR="009579B9" w:rsidRDefault="009579B9" w:rsidP="00D22441">
            <w:pPr>
              <w:pStyle w:val="Textoindependiente"/>
              <w:spacing w:after="0"/>
              <w:ind w:left="57" w:right="57"/>
              <w:rPr>
                <w:rFonts w:ascii="Arial Narrow" w:hAnsi="Arial Narrow"/>
                <w:sz w:val="18"/>
                <w:szCs w:val="18"/>
              </w:rPr>
            </w:pPr>
          </w:p>
          <w:p w14:paraId="4AA17799" w14:textId="5F68A788" w:rsidR="003558CB" w:rsidRDefault="00B42051" w:rsidP="00D22441">
            <w:pPr>
              <w:pStyle w:val="Textoindependiente"/>
              <w:spacing w:after="0" w:line="240" w:lineRule="auto"/>
              <w:ind w:right="57"/>
              <w:rPr>
                <w:rFonts w:ascii="Arial Narrow" w:hAnsi="Arial Narrow"/>
                <w:sz w:val="18"/>
                <w:szCs w:val="18"/>
              </w:rPr>
            </w:pPr>
            <w:r>
              <w:rPr>
                <w:rFonts w:ascii="Arial Narrow" w:hAnsi="Arial Narrow"/>
                <w:sz w:val="18"/>
                <w:szCs w:val="18"/>
              </w:rPr>
              <w:t xml:space="preserve"> </w:t>
            </w:r>
            <w:r w:rsidR="003558CB" w:rsidRPr="003558CB">
              <w:rPr>
                <w:rFonts w:ascii="Arial Narrow" w:hAnsi="Arial Narrow"/>
                <w:sz w:val="18"/>
                <w:szCs w:val="18"/>
              </w:rPr>
              <w:t>Dónde:</w:t>
            </w:r>
          </w:p>
          <w:p w14:paraId="743127AF" w14:textId="77777777" w:rsidR="006F7902" w:rsidRPr="003558CB" w:rsidRDefault="006F7902" w:rsidP="00D22441">
            <w:pPr>
              <w:pStyle w:val="Textoindependiente"/>
              <w:numPr>
                <w:ilvl w:val="0"/>
                <w:numId w:val="41"/>
              </w:numPr>
              <w:spacing w:after="0" w:line="240" w:lineRule="auto"/>
              <w:ind w:left="57" w:right="57"/>
              <w:rPr>
                <w:rFonts w:ascii="Arial Narrow" w:hAnsi="Arial Narrow"/>
                <w:sz w:val="18"/>
                <w:szCs w:val="18"/>
              </w:rPr>
            </w:pPr>
          </w:p>
          <w:p w14:paraId="32DAEA20" w14:textId="43B6F974" w:rsidR="003558CB" w:rsidRPr="003922B5" w:rsidRDefault="003558CB" w:rsidP="00D22441">
            <w:pPr>
              <w:pStyle w:val="Textoindependiente"/>
              <w:spacing w:after="0" w:line="240" w:lineRule="auto"/>
              <w:ind w:left="57" w:right="57"/>
              <w:rPr>
                <w:rFonts w:ascii="Arial Narrow" w:hAnsi="Arial Narrow"/>
                <w:sz w:val="18"/>
                <w:szCs w:val="18"/>
              </w:rPr>
            </w:pPr>
            <w:proofErr w:type="spellStart"/>
            <w:r w:rsidRPr="003922B5">
              <w:rPr>
                <w:rFonts w:ascii="Arial Narrow" w:hAnsi="Arial Narrow"/>
                <w:b/>
                <w:bCs/>
                <w:sz w:val="18"/>
                <w:szCs w:val="18"/>
              </w:rPr>
              <w:t>Bg</w:t>
            </w:r>
            <w:proofErr w:type="spellEnd"/>
            <w:r w:rsidRPr="003922B5">
              <w:rPr>
                <w:rFonts w:ascii="Arial Narrow" w:hAnsi="Arial Narrow"/>
                <w:b/>
                <w:bCs/>
                <w:sz w:val="18"/>
                <w:szCs w:val="18"/>
              </w:rPr>
              <w:t>:</w:t>
            </w:r>
            <w:r w:rsidRPr="003922B5">
              <w:rPr>
                <w:rFonts w:ascii="Arial Narrow" w:hAnsi="Arial Narrow"/>
                <w:sz w:val="18"/>
                <w:szCs w:val="18"/>
              </w:rPr>
              <w:t xml:space="preserve"> base gravable. </w:t>
            </w:r>
            <w:r w:rsidR="003922B5">
              <w:rPr>
                <w:rFonts w:ascii="Arial Narrow" w:hAnsi="Arial Narrow"/>
                <w:sz w:val="18"/>
                <w:szCs w:val="18"/>
              </w:rPr>
              <w:t xml:space="preserve">  </w:t>
            </w:r>
            <w:proofErr w:type="spellStart"/>
            <w:r w:rsidRPr="003922B5">
              <w:rPr>
                <w:rFonts w:ascii="Arial Narrow" w:hAnsi="Arial Narrow"/>
                <w:b/>
                <w:bCs/>
                <w:sz w:val="18"/>
                <w:szCs w:val="18"/>
              </w:rPr>
              <w:t>gf</w:t>
            </w:r>
            <w:proofErr w:type="spellEnd"/>
            <w:r w:rsidRPr="003922B5">
              <w:rPr>
                <w:rFonts w:ascii="Arial Narrow" w:hAnsi="Arial Narrow"/>
                <w:b/>
                <w:bCs/>
                <w:sz w:val="18"/>
                <w:szCs w:val="18"/>
              </w:rPr>
              <w:t>:</w:t>
            </w:r>
            <w:r w:rsidRPr="003922B5">
              <w:rPr>
                <w:rFonts w:ascii="Arial Narrow" w:hAnsi="Arial Narrow"/>
                <w:sz w:val="18"/>
                <w:szCs w:val="18"/>
              </w:rPr>
              <w:t xml:space="preserve"> gastos de funcionamiento.</w:t>
            </w:r>
          </w:p>
          <w:p w14:paraId="135490D7" w14:textId="19A080C0" w:rsidR="003558CB" w:rsidRPr="003558CB" w:rsidRDefault="003558CB" w:rsidP="00D22441">
            <w:pPr>
              <w:pStyle w:val="Textoindependiente"/>
              <w:numPr>
                <w:ilvl w:val="0"/>
                <w:numId w:val="41"/>
              </w:numPr>
              <w:spacing w:after="0" w:line="240" w:lineRule="auto"/>
              <w:ind w:left="57" w:right="57"/>
              <w:rPr>
                <w:rFonts w:ascii="Arial Narrow" w:hAnsi="Arial Narrow"/>
                <w:sz w:val="18"/>
                <w:szCs w:val="18"/>
              </w:rPr>
            </w:pPr>
            <w:r w:rsidRPr="003558CB">
              <w:rPr>
                <w:rFonts w:ascii="Arial Narrow" w:hAnsi="Arial Narrow"/>
                <w:b/>
                <w:bCs/>
                <w:sz w:val="18"/>
                <w:szCs w:val="18"/>
              </w:rPr>
              <w:t>ex:</w:t>
            </w:r>
            <w:r w:rsidRPr="003558CB">
              <w:rPr>
                <w:rFonts w:ascii="Arial Narrow" w:hAnsi="Arial Narrow"/>
                <w:sz w:val="18"/>
                <w:szCs w:val="18"/>
              </w:rPr>
              <w:t xml:space="preserve"> deducciones.     </w:t>
            </w:r>
            <w:proofErr w:type="spellStart"/>
            <w:r w:rsidRPr="003558CB">
              <w:rPr>
                <w:rFonts w:ascii="Arial Narrow" w:hAnsi="Arial Narrow"/>
                <w:b/>
                <w:bCs/>
                <w:sz w:val="18"/>
                <w:szCs w:val="18"/>
              </w:rPr>
              <w:t>go</w:t>
            </w:r>
            <w:proofErr w:type="spellEnd"/>
            <w:r w:rsidRPr="003558CB">
              <w:rPr>
                <w:rFonts w:ascii="Arial Narrow" w:hAnsi="Arial Narrow"/>
                <w:b/>
                <w:bCs/>
                <w:sz w:val="18"/>
                <w:szCs w:val="18"/>
              </w:rPr>
              <w:t>:</w:t>
            </w:r>
            <w:r w:rsidRPr="003558CB">
              <w:rPr>
                <w:rFonts w:ascii="Arial Narrow" w:hAnsi="Arial Narrow"/>
                <w:sz w:val="18"/>
                <w:szCs w:val="18"/>
              </w:rPr>
              <w:t xml:space="preserve"> gastos operativos.</w:t>
            </w:r>
          </w:p>
          <w:p w14:paraId="7712BA03" w14:textId="77777777" w:rsidR="003922B5" w:rsidRPr="00313A48" w:rsidRDefault="003922B5" w:rsidP="00D22441">
            <w:pPr>
              <w:pStyle w:val="Textoindependiente"/>
              <w:spacing w:after="0"/>
              <w:ind w:left="57" w:right="57"/>
              <w:jc w:val="left"/>
              <w:rPr>
                <w:rFonts w:ascii="Arial Narrow" w:hAnsi="Arial Narrow"/>
                <w:sz w:val="10"/>
                <w:szCs w:val="10"/>
              </w:rPr>
            </w:pPr>
          </w:p>
          <w:p w14:paraId="1E847A72" w14:textId="1884F39F" w:rsidR="006750D4" w:rsidRDefault="006750D4" w:rsidP="00D22441">
            <w:pPr>
              <w:pStyle w:val="Textoindependiente"/>
              <w:spacing w:after="0"/>
              <w:ind w:left="57" w:right="57"/>
              <w:jc w:val="left"/>
              <w:rPr>
                <w:rFonts w:ascii="Arial Narrow" w:hAnsi="Arial Narrow"/>
                <w:sz w:val="18"/>
                <w:szCs w:val="18"/>
              </w:rPr>
            </w:pPr>
            <w:r w:rsidRPr="003558CB">
              <w:rPr>
                <w:rFonts w:ascii="Arial Narrow" w:hAnsi="Arial Narrow"/>
                <w:sz w:val="18"/>
                <w:szCs w:val="18"/>
              </w:rPr>
              <w:t xml:space="preserve">Las exclusiones (ex) corresponden a los </w:t>
            </w:r>
            <w:r w:rsidR="000A0F4B">
              <w:rPr>
                <w:rFonts w:ascii="Arial Narrow" w:hAnsi="Arial Narrow"/>
                <w:sz w:val="18"/>
                <w:szCs w:val="18"/>
              </w:rPr>
              <w:t xml:space="preserve">conceptos de exclusiones de </w:t>
            </w:r>
            <w:r w:rsidRPr="003558CB">
              <w:rPr>
                <w:rFonts w:ascii="Arial Narrow" w:hAnsi="Arial Narrow"/>
                <w:sz w:val="18"/>
                <w:szCs w:val="18"/>
              </w:rPr>
              <w:t xml:space="preserve">gastos </w:t>
            </w:r>
            <w:r w:rsidR="000A0F4B">
              <w:rPr>
                <w:rFonts w:ascii="Arial Narrow" w:hAnsi="Arial Narrow"/>
                <w:sz w:val="18"/>
                <w:szCs w:val="18"/>
              </w:rPr>
              <w:t>de funcionamiento</w:t>
            </w:r>
            <w:r w:rsidR="00EC059B">
              <w:rPr>
                <w:rFonts w:ascii="Arial Narrow" w:hAnsi="Arial Narrow"/>
                <w:sz w:val="18"/>
                <w:szCs w:val="18"/>
              </w:rPr>
              <w:t xml:space="preserve"> definidos </w:t>
            </w:r>
            <w:r w:rsidR="00B42051">
              <w:rPr>
                <w:rFonts w:ascii="Arial Narrow" w:hAnsi="Arial Narrow"/>
                <w:sz w:val="18"/>
                <w:szCs w:val="18"/>
              </w:rPr>
              <w:t>por la normatividad vigente.</w:t>
            </w:r>
          </w:p>
          <w:p w14:paraId="15820F62" w14:textId="77777777" w:rsidR="00254EF6" w:rsidRPr="003558CB" w:rsidRDefault="00254EF6" w:rsidP="00D22441">
            <w:pPr>
              <w:pStyle w:val="Textoindependiente"/>
              <w:spacing w:after="0"/>
              <w:ind w:left="57" w:right="57"/>
              <w:jc w:val="left"/>
              <w:rPr>
                <w:rFonts w:ascii="Arial Narrow" w:hAnsi="Arial Narrow"/>
                <w:sz w:val="18"/>
                <w:szCs w:val="18"/>
              </w:rPr>
            </w:pPr>
          </w:p>
          <w:p w14:paraId="2E69C49A" w14:textId="73001401" w:rsidR="006750D4" w:rsidRPr="003558CB" w:rsidRDefault="006750D4" w:rsidP="00D22441">
            <w:pPr>
              <w:pStyle w:val="Textoindependiente"/>
              <w:spacing w:after="0"/>
              <w:ind w:left="57" w:right="57"/>
              <w:jc w:val="left"/>
              <w:rPr>
                <w:rFonts w:ascii="Arial Narrow" w:hAnsi="Arial Narrow"/>
                <w:color w:val="000000"/>
                <w:sz w:val="18"/>
                <w:szCs w:val="18"/>
                <w:lang w:eastAsia="es-CO"/>
              </w:rPr>
            </w:pPr>
            <w:r w:rsidRPr="003922B5">
              <w:rPr>
                <w:rFonts w:ascii="Arial Narrow" w:hAnsi="Arial Narrow"/>
                <w:b/>
                <w:bCs/>
                <w:sz w:val="18"/>
                <w:szCs w:val="18"/>
              </w:rPr>
              <w:t>Regla exceptiva</w:t>
            </w:r>
            <w:r w:rsidRPr="003922B5">
              <w:rPr>
                <w:rFonts w:ascii="Arial Narrow" w:hAnsi="Arial Narrow"/>
                <w:b/>
                <w:bCs/>
                <w:sz w:val="18"/>
                <w:szCs w:val="18"/>
                <w:vertAlign w:val="superscript"/>
              </w:rPr>
              <w:t>1</w:t>
            </w:r>
            <w:r w:rsidRPr="003922B5">
              <w:rPr>
                <w:rFonts w:ascii="Arial Narrow" w:hAnsi="Arial Narrow"/>
                <w:b/>
                <w:bCs/>
                <w:sz w:val="18"/>
                <w:szCs w:val="18"/>
              </w:rPr>
              <w:t xml:space="preserve">: </w:t>
            </w:r>
            <m:oMath>
              <m:r>
                <m:rPr>
                  <m:sty m:val="bi"/>
                </m:rPr>
                <w:rPr>
                  <w:rFonts w:ascii="Cambria Math" w:hAnsi="Cambria Math"/>
                  <w:sz w:val="18"/>
                  <w:szCs w:val="18"/>
                </w:rPr>
                <m:t>[+go</m:t>
              </m:r>
              <m:r>
                <m:rPr>
                  <m:sty m:val="b"/>
                </m:rPr>
                <w:rPr>
                  <w:rFonts w:ascii="Cambria Math" w:hAnsi="Cambria Math"/>
                  <w:sz w:val="18"/>
                  <w:szCs w:val="18"/>
                </w:rPr>
                <m:t>]</m:t>
              </m:r>
            </m:oMath>
            <w:r w:rsidRPr="003922B5">
              <w:rPr>
                <w:rFonts w:ascii="Arial Narrow" w:hAnsi="Arial Narrow"/>
                <w:b/>
                <w:bCs/>
                <w:iCs/>
                <w:sz w:val="18"/>
                <w:szCs w:val="18"/>
              </w:rPr>
              <w:t>:</w:t>
            </w:r>
            <w:r w:rsidRPr="003558CB">
              <w:rPr>
                <w:rFonts w:ascii="Arial Narrow" w:hAnsi="Arial Narrow"/>
                <w:iCs/>
                <w:sz w:val="18"/>
                <w:szCs w:val="18"/>
              </w:rPr>
              <w:t xml:space="preserve"> cuando se necesite cubrir faltantes presupuestales, los gastos operativos pueden ser adicionados a los gastos de funcionamiento, en la misma proporción en que sean indispensables para cubrir el faltante presupuestal</w:t>
            </w:r>
            <w:r w:rsidR="00EC059B">
              <w:rPr>
                <w:rFonts w:ascii="Arial Narrow" w:hAnsi="Arial Narrow"/>
                <w:iCs/>
                <w:sz w:val="18"/>
                <w:szCs w:val="18"/>
              </w:rPr>
              <w:t xml:space="preserve">, </w:t>
            </w:r>
            <w:r w:rsidR="00DF4887">
              <w:rPr>
                <w:rFonts w:ascii="Arial Narrow" w:hAnsi="Arial Narrow"/>
                <w:iCs/>
                <w:sz w:val="18"/>
                <w:szCs w:val="18"/>
              </w:rPr>
              <w:t xml:space="preserve">tales </w:t>
            </w:r>
            <w:r w:rsidR="00EC059B">
              <w:rPr>
                <w:rFonts w:ascii="Arial Narrow" w:hAnsi="Arial Narrow"/>
                <w:iCs/>
                <w:sz w:val="18"/>
                <w:szCs w:val="18"/>
              </w:rPr>
              <w:t xml:space="preserve">como: </w:t>
            </w:r>
            <w:r w:rsidR="00DF4887">
              <w:rPr>
                <w:rFonts w:ascii="Arial Narrow" w:hAnsi="Arial Narrow"/>
                <w:iCs/>
                <w:sz w:val="18"/>
                <w:szCs w:val="18"/>
              </w:rPr>
              <w:t>c</w:t>
            </w:r>
            <w:r w:rsidR="00EC059B" w:rsidRPr="00EC059B">
              <w:rPr>
                <w:rFonts w:ascii="Arial Narrow" w:hAnsi="Arial Narrow"/>
                <w:iCs/>
                <w:sz w:val="18"/>
                <w:szCs w:val="18"/>
              </w:rPr>
              <w:t>ompras en bloque y/o a largo plazo</w:t>
            </w:r>
            <w:r w:rsidR="00EC059B">
              <w:rPr>
                <w:rFonts w:ascii="Arial Narrow" w:hAnsi="Arial Narrow"/>
                <w:iCs/>
                <w:sz w:val="18"/>
                <w:szCs w:val="18"/>
              </w:rPr>
              <w:t xml:space="preserve">, </w:t>
            </w:r>
            <w:r w:rsidR="00DF4887">
              <w:rPr>
                <w:rFonts w:ascii="Arial Narrow" w:hAnsi="Arial Narrow"/>
                <w:iCs/>
                <w:sz w:val="18"/>
                <w:szCs w:val="18"/>
              </w:rPr>
              <w:t>c</w:t>
            </w:r>
            <w:r w:rsidR="00DF4887" w:rsidRPr="00DF4887">
              <w:rPr>
                <w:rFonts w:ascii="Arial Narrow" w:hAnsi="Arial Narrow"/>
                <w:iCs/>
                <w:sz w:val="18"/>
                <w:szCs w:val="18"/>
              </w:rPr>
              <w:t>ompras en bolsa y/o a corto plazo</w:t>
            </w:r>
            <w:r w:rsidR="00DF4887">
              <w:rPr>
                <w:rFonts w:ascii="Arial Narrow" w:hAnsi="Arial Narrow"/>
                <w:iCs/>
                <w:sz w:val="18"/>
                <w:szCs w:val="18"/>
              </w:rPr>
              <w:t xml:space="preserve">, </w:t>
            </w:r>
            <w:r w:rsidR="00EB48EA">
              <w:rPr>
                <w:rFonts w:ascii="Arial Narrow" w:hAnsi="Arial Narrow"/>
                <w:iCs/>
                <w:sz w:val="18"/>
                <w:szCs w:val="18"/>
              </w:rPr>
              <w:t>u</w:t>
            </w:r>
            <w:r w:rsidR="00EB48EA" w:rsidRPr="00EB48EA">
              <w:rPr>
                <w:rFonts w:ascii="Arial Narrow" w:hAnsi="Arial Narrow"/>
                <w:iCs/>
                <w:sz w:val="18"/>
                <w:szCs w:val="18"/>
              </w:rPr>
              <w:t>so de Líneas, redes y ductos</w:t>
            </w:r>
            <w:r w:rsidR="00EB48EA">
              <w:rPr>
                <w:rFonts w:ascii="Arial Narrow" w:hAnsi="Arial Narrow"/>
                <w:iCs/>
                <w:sz w:val="18"/>
                <w:szCs w:val="18"/>
              </w:rPr>
              <w:t xml:space="preserve">, </w:t>
            </w:r>
            <w:r w:rsidR="001A67F6">
              <w:rPr>
                <w:rFonts w:ascii="Arial Narrow" w:hAnsi="Arial Narrow"/>
                <w:iCs/>
                <w:sz w:val="18"/>
                <w:szCs w:val="18"/>
              </w:rPr>
              <w:t xml:space="preserve">gas combustible, carbón mineral, ACPM, fuel </w:t>
            </w:r>
            <w:proofErr w:type="spellStart"/>
            <w:r w:rsidR="001A67F6">
              <w:rPr>
                <w:rFonts w:ascii="Arial Narrow" w:hAnsi="Arial Narrow"/>
                <w:iCs/>
                <w:sz w:val="18"/>
                <w:szCs w:val="18"/>
              </w:rPr>
              <w:t>oil</w:t>
            </w:r>
            <w:proofErr w:type="spellEnd"/>
            <w:r w:rsidR="001A67F6">
              <w:rPr>
                <w:rFonts w:ascii="Arial Narrow" w:hAnsi="Arial Narrow"/>
                <w:iCs/>
                <w:sz w:val="18"/>
                <w:szCs w:val="18"/>
              </w:rPr>
              <w:t>, g</w:t>
            </w:r>
            <w:r w:rsidR="001A67F6" w:rsidRPr="001A67F6">
              <w:rPr>
                <w:rFonts w:ascii="Arial Narrow" w:hAnsi="Arial Narrow"/>
                <w:iCs/>
                <w:sz w:val="18"/>
                <w:szCs w:val="18"/>
              </w:rPr>
              <w:t>astos de distribución y/o comercialización de gas combustible por redes</w:t>
            </w:r>
            <w:r w:rsidR="001A67F6">
              <w:rPr>
                <w:rFonts w:ascii="Arial Narrow" w:hAnsi="Arial Narrow"/>
                <w:iCs/>
                <w:sz w:val="18"/>
                <w:szCs w:val="18"/>
              </w:rPr>
              <w:t>, ga</w:t>
            </w:r>
            <w:r w:rsidR="001A67F6" w:rsidRPr="001A67F6">
              <w:rPr>
                <w:rFonts w:ascii="Arial Narrow" w:hAnsi="Arial Narrow"/>
                <w:iCs/>
                <w:sz w:val="18"/>
                <w:szCs w:val="18"/>
              </w:rPr>
              <w:t xml:space="preserve">stos de distribución y/o </w:t>
            </w:r>
            <w:r w:rsidR="001A67F6" w:rsidRPr="001A67F6">
              <w:rPr>
                <w:rFonts w:ascii="Arial Narrow" w:hAnsi="Arial Narrow"/>
                <w:iCs/>
                <w:sz w:val="18"/>
                <w:szCs w:val="18"/>
              </w:rPr>
              <w:lastRenderedPageBreak/>
              <w:t xml:space="preserve">comercialización de gas licuado de petróleo </w:t>
            </w:r>
            <w:r w:rsidR="00B42051">
              <w:rPr>
                <w:rFonts w:ascii="Arial Narrow" w:hAnsi="Arial Narrow"/>
                <w:iCs/>
                <w:sz w:val="18"/>
                <w:szCs w:val="18"/>
              </w:rPr>
              <w:t>–</w:t>
            </w:r>
            <w:r w:rsidR="001A67F6" w:rsidRPr="001A67F6">
              <w:rPr>
                <w:rFonts w:ascii="Arial Narrow" w:hAnsi="Arial Narrow"/>
                <w:iCs/>
                <w:sz w:val="18"/>
                <w:szCs w:val="18"/>
              </w:rPr>
              <w:t xml:space="preserve"> GLP</w:t>
            </w:r>
            <w:r w:rsidR="00B42051">
              <w:rPr>
                <w:rFonts w:ascii="Arial Narrow" w:hAnsi="Arial Narrow"/>
                <w:iCs/>
                <w:sz w:val="18"/>
                <w:szCs w:val="18"/>
              </w:rPr>
              <w:t>, entre otros que defina la normatividad.</w:t>
            </w:r>
          </w:p>
        </w:tc>
        <w:tc>
          <w:tcPr>
            <w:tcW w:w="5244" w:type="dxa"/>
            <w:shd w:val="clear" w:color="auto" w:fill="auto"/>
            <w:noWrap/>
            <w:vAlign w:val="center"/>
            <w:hideMark/>
          </w:tcPr>
          <w:p w14:paraId="07C69266" w14:textId="058A4DF0" w:rsidR="006750D4" w:rsidRPr="003558CB" w:rsidRDefault="006750D4" w:rsidP="00D22441">
            <w:pPr>
              <w:pStyle w:val="Textoindependiente"/>
              <w:spacing w:after="0"/>
              <w:ind w:left="57" w:right="57"/>
              <w:rPr>
                <w:rFonts w:ascii="Arial Narrow" w:hAnsi="Arial Narrow"/>
                <w:sz w:val="18"/>
                <w:szCs w:val="18"/>
              </w:rPr>
            </w:pPr>
            <w:r w:rsidRPr="003558CB">
              <w:rPr>
                <w:rFonts w:ascii="Arial Narrow" w:hAnsi="Arial Narrow"/>
                <w:sz w:val="18"/>
                <w:szCs w:val="18"/>
              </w:rPr>
              <w:lastRenderedPageBreak/>
              <w:t>Fórmula:</w:t>
            </w:r>
            <w:r w:rsidR="009579B9">
              <w:rPr>
                <w:rFonts w:ascii="Arial Narrow" w:hAnsi="Arial Narrow"/>
                <w:sz w:val="18"/>
                <w:szCs w:val="18"/>
              </w:rPr>
              <w:t xml:space="preserve">           </w:t>
            </w:r>
            <w:r w:rsidRPr="003558CB">
              <w:rPr>
                <w:rFonts w:ascii="Arial Narrow" w:hAnsi="Arial Narrow"/>
                <w:sz w:val="18"/>
                <w:szCs w:val="18"/>
              </w:rPr>
              <w:t xml:space="preserve">  </w:t>
            </w:r>
            <m:oMath>
              <m:r>
                <w:rPr>
                  <w:rFonts w:ascii="Cambria Math" w:hAnsi="Cambria Math"/>
                  <w:sz w:val="18"/>
                  <w:szCs w:val="18"/>
                </w:rPr>
                <m:t xml:space="preserve">Bg=cgtd* </m:t>
              </m:r>
              <m:f>
                <m:fPr>
                  <m:ctrlPr>
                    <w:rPr>
                      <w:rFonts w:ascii="Cambria Math" w:hAnsi="Cambria Math"/>
                      <w:i/>
                      <w:sz w:val="18"/>
                      <w:szCs w:val="18"/>
                    </w:rPr>
                  </m:ctrlPr>
                </m:fPr>
                <m:num>
                  <m:r>
                    <w:rPr>
                      <w:rFonts w:ascii="Cambria Math" w:hAnsi="Cambria Math"/>
                      <w:sz w:val="18"/>
                      <w:szCs w:val="18"/>
                    </w:rPr>
                    <m:t xml:space="preserve">tiar </m:t>
                  </m:r>
                </m:num>
                <m:den>
                  <m:r>
                    <w:rPr>
                      <w:rFonts w:ascii="Cambria Math" w:hAnsi="Cambria Math"/>
                      <w:sz w:val="18"/>
                      <w:szCs w:val="18"/>
                    </w:rPr>
                    <m:t>tiao</m:t>
                  </m:r>
                </m:den>
              </m:f>
            </m:oMath>
          </w:p>
          <w:p w14:paraId="1B6A9BAF" w14:textId="77777777" w:rsidR="001A67F6" w:rsidRDefault="001A67F6" w:rsidP="00D22441">
            <w:pPr>
              <w:pStyle w:val="Textoindependiente"/>
              <w:spacing w:after="0"/>
              <w:ind w:left="57" w:right="57"/>
              <w:jc w:val="left"/>
              <w:rPr>
                <w:rFonts w:ascii="Arial Narrow" w:hAnsi="Arial Narrow"/>
                <w:sz w:val="18"/>
                <w:szCs w:val="18"/>
              </w:rPr>
            </w:pPr>
          </w:p>
          <w:p w14:paraId="1C910259" w14:textId="44FC3ADA" w:rsidR="003558CB" w:rsidRPr="003558CB" w:rsidRDefault="003558CB" w:rsidP="00D22441">
            <w:pPr>
              <w:pStyle w:val="Textoindependiente"/>
              <w:spacing w:after="0"/>
              <w:ind w:left="57" w:right="57"/>
              <w:jc w:val="left"/>
              <w:rPr>
                <w:rFonts w:ascii="Arial Narrow" w:hAnsi="Arial Narrow"/>
                <w:sz w:val="18"/>
                <w:szCs w:val="18"/>
              </w:rPr>
            </w:pPr>
            <w:r w:rsidRPr="003558CB">
              <w:rPr>
                <w:rFonts w:ascii="Arial Narrow" w:hAnsi="Arial Narrow"/>
                <w:sz w:val="18"/>
                <w:szCs w:val="18"/>
              </w:rPr>
              <w:t>Dónde:</w:t>
            </w:r>
          </w:p>
          <w:p w14:paraId="4CBF2188" w14:textId="77777777" w:rsidR="003558CB" w:rsidRPr="003558CB" w:rsidRDefault="003558CB" w:rsidP="00D22441">
            <w:pPr>
              <w:pStyle w:val="Textoindependiente"/>
              <w:numPr>
                <w:ilvl w:val="0"/>
                <w:numId w:val="41"/>
              </w:numPr>
              <w:spacing w:after="0" w:line="240" w:lineRule="auto"/>
              <w:ind w:left="57" w:right="57"/>
              <w:rPr>
                <w:rFonts w:ascii="Arial Narrow" w:hAnsi="Arial Narrow"/>
                <w:sz w:val="18"/>
                <w:szCs w:val="18"/>
              </w:rPr>
            </w:pPr>
          </w:p>
          <w:p w14:paraId="46E3861C" w14:textId="35119BCF" w:rsidR="003558CB" w:rsidRPr="003922B5" w:rsidRDefault="003558CB" w:rsidP="00D22441">
            <w:pPr>
              <w:pStyle w:val="Textoindependiente"/>
              <w:spacing w:after="0" w:line="240" w:lineRule="auto"/>
              <w:ind w:left="57" w:right="57"/>
              <w:rPr>
                <w:rFonts w:ascii="Arial Narrow" w:hAnsi="Arial Narrow"/>
                <w:sz w:val="18"/>
                <w:szCs w:val="18"/>
              </w:rPr>
            </w:pPr>
            <w:proofErr w:type="spellStart"/>
            <w:r w:rsidRPr="003922B5">
              <w:rPr>
                <w:rFonts w:ascii="Arial Narrow" w:hAnsi="Arial Narrow"/>
                <w:b/>
                <w:bCs/>
                <w:sz w:val="18"/>
                <w:szCs w:val="18"/>
              </w:rPr>
              <w:t>Bg</w:t>
            </w:r>
            <w:proofErr w:type="spellEnd"/>
            <w:r w:rsidRPr="003922B5">
              <w:rPr>
                <w:rFonts w:ascii="Arial Narrow" w:hAnsi="Arial Narrow"/>
                <w:b/>
                <w:bCs/>
                <w:sz w:val="18"/>
                <w:szCs w:val="18"/>
              </w:rPr>
              <w:t>:</w:t>
            </w:r>
            <w:r w:rsidRPr="003922B5">
              <w:rPr>
                <w:rFonts w:ascii="Arial Narrow" w:hAnsi="Arial Narrow"/>
                <w:sz w:val="18"/>
                <w:szCs w:val="18"/>
              </w:rPr>
              <w:t xml:space="preserve"> base gravable</w:t>
            </w:r>
            <w:r w:rsidR="003922B5">
              <w:rPr>
                <w:rFonts w:ascii="Arial Narrow" w:hAnsi="Arial Narrow"/>
                <w:sz w:val="18"/>
                <w:szCs w:val="18"/>
              </w:rPr>
              <w:t xml:space="preserve">. </w:t>
            </w:r>
            <w:proofErr w:type="spellStart"/>
            <w:r w:rsidRPr="003922B5">
              <w:rPr>
                <w:rFonts w:ascii="Arial Narrow" w:hAnsi="Arial Narrow"/>
                <w:b/>
                <w:bCs/>
                <w:sz w:val="18"/>
                <w:szCs w:val="18"/>
              </w:rPr>
              <w:t>cgtd</w:t>
            </w:r>
            <w:proofErr w:type="spellEnd"/>
            <w:r w:rsidRPr="003922B5">
              <w:rPr>
                <w:rFonts w:ascii="Arial Narrow" w:hAnsi="Arial Narrow"/>
                <w:b/>
                <w:bCs/>
                <w:sz w:val="18"/>
                <w:szCs w:val="18"/>
              </w:rPr>
              <w:t>:</w:t>
            </w:r>
            <w:r w:rsidRPr="003922B5">
              <w:rPr>
                <w:rFonts w:ascii="Arial Narrow" w:hAnsi="Arial Narrow"/>
                <w:sz w:val="18"/>
                <w:szCs w:val="18"/>
              </w:rPr>
              <w:t xml:space="preserve"> costos y gastos totales depurados</w:t>
            </w:r>
            <w:r w:rsidR="003922B5" w:rsidRPr="003922B5">
              <w:rPr>
                <w:rFonts w:ascii="Arial Narrow" w:hAnsi="Arial Narrow"/>
                <w:sz w:val="18"/>
                <w:szCs w:val="18"/>
              </w:rPr>
              <w:t xml:space="preserve">. </w:t>
            </w:r>
            <w:r w:rsidR="003922B5">
              <w:rPr>
                <w:rFonts w:ascii="Arial Narrow" w:hAnsi="Arial Narrow"/>
                <w:sz w:val="18"/>
                <w:szCs w:val="18"/>
              </w:rPr>
              <w:t xml:space="preserve"> </w:t>
            </w:r>
            <w:proofErr w:type="spellStart"/>
            <w:r w:rsidRPr="003922B5">
              <w:rPr>
                <w:rFonts w:ascii="Arial Narrow" w:hAnsi="Arial Narrow"/>
                <w:b/>
                <w:bCs/>
                <w:sz w:val="18"/>
                <w:szCs w:val="18"/>
              </w:rPr>
              <w:t>tiar</w:t>
            </w:r>
            <w:proofErr w:type="spellEnd"/>
            <w:r w:rsidRPr="003922B5">
              <w:rPr>
                <w:rFonts w:ascii="Arial Narrow" w:hAnsi="Arial Narrow"/>
                <w:b/>
                <w:bCs/>
                <w:sz w:val="18"/>
                <w:szCs w:val="18"/>
              </w:rPr>
              <w:t>:</w:t>
            </w:r>
            <w:r w:rsidRPr="003922B5">
              <w:rPr>
                <w:rFonts w:ascii="Arial Narrow" w:hAnsi="Arial Narrow"/>
                <w:sz w:val="18"/>
                <w:szCs w:val="18"/>
              </w:rPr>
              <w:t xml:space="preserve"> total ingresos actividades ordinarias y complementarias reguladas. </w:t>
            </w:r>
            <w:proofErr w:type="spellStart"/>
            <w:r w:rsidRPr="003922B5">
              <w:rPr>
                <w:rFonts w:ascii="Arial Narrow" w:hAnsi="Arial Narrow"/>
                <w:b/>
                <w:bCs/>
                <w:sz w:val="18"/>
                <w:szCs w:val="18"/>
              </w:rPr>
              <w:t>tiao</w:t>
            </w:r>
            <w:proofErr w:type="spellEnd"/>
            <w:r w:rsidRPr="003922B5">
              <w:rPr>
                <w:rFonts w:ascii="Arial Narrow" w:hAnsi="Arial Narrow"/>
                <w:b/>
                <w:bCs/>
                <w:sz w:val="18"/>
                <w:szCs w:val="18"/>
              </w:rPr>
              <w:t>:</w:t>
            </w:r>
            <w:r w:rsidRPr="003922B5">
              <w:rPr>
                <w:rFonts w:ascii="Arial Narrow" w:hAnsi="Arial Narrow"/>
                <w:sz w:val="18"/>
                <w:szCs w:val="18"/>
              </w:rPr>
              <w:t xml:space="preserve"> total ingresos de actividades ordinarias.</w:t>
            </w:r>
          </w:p>
          <w:p w14:paraId="5F2813C7" w14:textId="77777777" w:rsidR="003558CB" w:rsidRPr="003558CB" w:rsidRDefault="003558CB" w:rsidP="00D22441">
            <w:pPr>
              <w:pStyle w:val="Textoindependiente"/>
              <w:spacing w:after="0"/>
              <w:ind w:left="57" w:right="57"/>
              <w:jc w:val="left"/>
              <w:rPr>
                <w:rFonts w:ascii="Arial Narrow" w:hAnsi="Arial Narrow"/>
                <w:sz w:val="18"/>
                <w:szCs w:val="18"/>
              </w:rPr>
            </w:pPr>
          </w:p>
          <w:p w14:paraId="67EAF7C4" w14:textId="200F1626" w:rsidR="006750D4" w:rsidRPr="003558CB" w:rsidRDefault="006750D4" w:rsidP="00D22441">
            <w:pPr>
              <w:pStyle w:val="Textoindependiente"/>
              <w:spacing w:after="0"/>
              <w:ind w:left="57" w:right="57"/>
              <w:jc w:val="left"/>
              <w:rPr>
                <w:rFonts w:ascii="Arial Narrow" w:hAnsi="Arial Narrow"/>
                <w:sz w:val="18"/>
                <w:szCs w:val="18"/>
              </w:rPr>
            </w:pPr>
            <w:r w:rsidRPr="003558CB">
              <w:rPr>
                <w:rFonts w:ascii="Arial Narrow" w:hAnsi="Arial Narrow"/>
                <w:sz w:val="18"/>
                <w:szCs w:val="18"/>
              </w:rPr>
              <w:t>Para la contribución especial de 2020, la base gravable de cada sujeto pasivo se determin</w:t>
            </w:r>
            <w:r w:rsidR="009579B9">
              <w:rPr>
                <w:rFonts w:ascii="Arial Narrow" w:hAnsi="Arial Narrow"/>
                <w:sz w:val="18"/>
                <w:szCs w:val="18"/>
              </w:rPr>
              <w:t>ó</w:t>
            </w:r>
            <w:r w:rsidRPr="003558CB">
              <w:rPr>
                <w:rFonts w:ascii="Arial Narrow" w:hAnsi="Arial Narrow"/>
                <w:sz w:val="18"/>
                <w:szCs w:val="18"/>
              </w:rPr>
              <w:t xml:space="preserve"> con base en los costos y gastos totales devengados de acuerdo con la técnica contable menos los impuestos, tasas, contribuciones y los intereses devengados a favor de terceros independientes, del año inmediatamente anterior al de la fecha de liquidación, este resultado se denomina costos y gastos totales depurados.</w:t>
            </w:r>
          </w:p>
          <w:p w14:paraId="333CE450" w14:textId="00697884" w:rsidR="006750D4" w:rsidRPr="003558CB" w:rsidRDefault="006750D4" w:rsidP="00D22441">
            <w:pPr>
              <w:pStyle w:val="Textoindependiente"/>
              <w:spacing w:after="0"/>
              <w:ind w:left="57" w:right="57"/>
              <w:jc w:val="left"/>
              <w:rPr>
                <w:rFonts w:ascii="Arial Narrow" w:hAnsi="Arial Narrow"/>
                <w:sz w:val="18"/>
                <w:szCs w:val="18"/>
              </w:rPr>
            </w:pPr>
            <w:r w:rsidRPr="003558CB">
              <w:rPr>
                <w:rFonts w:ascii="Arial Narrow" w:hAnsi="Arial Narrow"/>
                <w:sz w:val="18"/>
                <w:szCs w:val="18"/>
              </w:rPr>
              <w:t>Este valor se multiplicará por la división de los ingresos por actividades ordinarias reguladas y el total de ingresos por actividades ordinarias, conforme a los estados financieros de la vigencia fiscal anterior a la cual se haga su cobro.</w:t>
            </w:r>
          </w:p>
          <w:p w14:paraId="097BE3BE" w14:textId="77777777" w:rsidR="006750D4" w:rsidRDefault="006750D4" w:rsidP="00D22441">
            <w:pPr>
              <w:pStyle w:val="Textoindependiente"/>
              <w:spacing w:after="0"/>
              <w:ind w:left="57" w:right="57"/>
              <w:jc w:val="left"/>
              <w:rPr>
                <w:rFonts w:ascii="Arial Narrow" w:hAnsi="Arial Narrow"/>
                <w:sz w:val="18"/>
                <w:szCs w:val="18"/>
              </w:rPr>
            </w:pPr>
            <w:r w:rsidRPr="003558CB">
              <w:rPr>
                <w:rFonts w:ascii="Arial Narrow" w:hAnsi="Arial Narrow"/>
                <w:sz w:val="18"/>
                <w:szCs w:val="18"/>
              </w:rPr>
              <w:lastRenderedPageBreak/>
              <w:t xml:space="preserve">Los </w:t>
            </w:r>
            <w:proofErr w:type="spellStart"/>
            <w:r w:rsidRPr="003558CB">
              <w:rPr>
                <w:rFonts w:ascii="Arial Narrow" w:hAnsi="Arial Narrow"/>
                <w:sz w:val="18"/>
                <w:szCs w:val="18"/>
              </w:rPr>
              <w:t>cgtd</w:t>
            </w:r>
            <w:proofErr w:type="spellEnd"/>
            <w:r w:rsidRPr="003558CB">
              <w:rPr>
                <w:rFonts w:ascii="Arial Narrow" w:hAnsi="Arial Narrow"/>
                <w:sz w:val="18"/>
                <w:szCs w:val="18"/>
              </w:rPr>
              <w:t xml:space="preserve"> es el resultado de deducir de los costos y gastos totales los impuestos, tasas, contribuciones, así como intereses devengados a favor de terceros independientes.</w:t>
            </w:r>
          </w:p>
          <w:p w14:paraId="420FA00A" w14:textId="2296AD1D" w:rsidR="009579B9" w:rsidRPr="003558CB" w:rsidRDefault="009579B9" w:rsidP="00D22441">
            <w:pPr>
              <w:pStyle w:val="Textoindependiente"/>
              <w:spacing w:after="0"/>
              <w:ind w:left="57" w:right="57"/>
              <w:jc w:val="left"/>
              <w:rPr>
                <w:rFonts w:ascii="Arial Narrow" w:hAnsi="Arial Narrow"/>
                <w:sz w:val="18"/>
                <w:szCs w:val="18"/>
              </w:rPr>
            </w:pPr>
          </w:p>
        </w:tc>
      </w:tr>
    </w:tbl>
    <w:p w14:paraId="121354D7" w14:textId="77777777" w:rsidR="009D7821" w:rsidRDefault="009D7821" w:rsidP="009D7821">
      <w:pPr>
        <w:pStyle w:val="Subttulo"/>
        <w:spacing w:after="0"/>
        <w:ind w:left="357"/>
        <w:jc w:val="left"/>
        <w:rPr>
          <w:b/>
          <w:bCs/>
          <w:sz w:val="22"/>
          <w:szCs w:val="22"/>
        </w:rPr>
      </w:pPr>
      <w:bookmarkStart w:id="15" w:name="_Toc54170172"/>
    </w:p>
    <w:p w14:paraId="79535332" w14:textId="1BAB34BF" w:rsidR="00280F88" w:rsidRPr="007226D7" w:rsidRDefault="00280F88" w:rsidP="00D22441">
      <w:pPr>
        <w:pStyle w:val="Subttulo"/>
        <w:numPr>
          <w:ilvl w:val="1"/>
          <w:numId w:val="37"/>
        </w:numPr>
        <w:spacing w:after="0"/>
        <w:ind w:left="357" w:hanging="357"/>
        <w:jc w:val="left"/>
        <w:rPr>
          <w:b/>
          <w:bCs/>
          <w:sz w:val="22"/>
          <w:szCs w:val="22"/>
        </w:rPr>
      </w:pPr>
      <w:bookmarkStart w:id="16" w:name="_Toc147154294"/>
      <w:r w:rsidRPr="007226D7">
        <w:rPr>
          <w:b/>
          <w:bCs/>
          <w:sz w:val="22"/>
          <w:szCs w:val="22"/>
        </w:rPr>
        <w:t>BASE GRAVABLE</w:t>
      </w:r>
      <w:bookmarkEnd w:id="15"/>
      <w:r w:rsidR="006750D4">
        <w:rPr>
          <w:b/>
          <w:bCs/>
          <w:sz w:val="22"/>
          <w:szCs w:val="22"/>
        </w:rPr>
        <w:t xml:space="preserve"> AÑO 202</w:t>
      </w:r>
      <w:r w:rsidR="00E01779">
        <w:rPr>
          <w:b/>
          <w:bCs/>
          <w:sz w:val="22"/>
          <w:szCs w:val="22"/>
        </w:rPr>
        <w:t>3</w:t>
      </w:r>
      <w:r w:rsidR="00C447D2">
        <w:rPr>
          <w:b/>
          <w:bCs/>
          <w:sz w:val="22"/>
          <w:szCs w:val="22"/>
        </w:rPr>
        <w:t>.</w:t>
      </w:r>
      <w:bookmarkEnd w:id="16"/>
    </w:p>
    <w:p w14:paraId="0CAB9244" w14:textId="77777777" w:rsidR="00280F88" w:rsidRDefault="00280F88" w:rsidP="00D22441">
      <w:pPr>
        <w:pStyle w:val="Textoindependiente"/>
        <w:spacing w:after="0" w:line="240" w:lineRule="auto"/>
        <w:rPr>
          <w:rFonts w:cs="Arial"/>
          <w:sz w:val="22"/>
          <w:szCs w:val="22"/>
        </w:rPr>
      </w:pPr>
    </w:p>
    <w:p w14:paraId="445DF6BC" w14:textId="7CE2B86A" w:rsidR="00280F88" w:rsidRDefault="00C84345" w:rsidP="00D22441">
      <w:pPr>
        <w:pStyle w:val="Textoindependiente"/>
        <w:spacing w:after="0" w:line="240" w:lineRule="auto"/>
        <w:rPr>
          <w:rFonts w:cs="Arial"/>
          <w:sz w:val="22"/>
          <w:szCs w:val="22"/>
        </w:rPr>
      </w:pPr>
      <w:bookmarkStart w:id="17" w:name="_Hlk51743368"/>
      <w:r>
        <w:rPr>
          <w:rFonts w:cs="Arial"/>
          <w:sz w:val="22"/>
          <w:szCs w:val="22"/>
        </w:rPr>
        <w:t>L</w:t>
      </w:r>
      <w:r w:rsidR="00280F88" w:rsidRPr="00B60E08">
        <w:rPr>
          <w:rFonts w:cs="Arial"/>
          <w:sz w:val="22"/>
          <w:szCs w:val="22"/>
        </w:rPr>
        <w:t xml:space="preserve">a base gravable </w:t>
      </w:r>
      <w:r w:rsidR="00280F88">
        <w:rPr>
          <w:rFonts w:cs="Arial"/>
          <w:sz w:val="22"/>
          <w:szCs w:val="22"/>
        </w:rPr>
        <w:t>(</w:t>
      </w:r>
      <w:proofErr w:type="spellStart"/>
      <w:r w:rsidR="00280F88">
        <w:rPr>
          <w:rFonts w:cs="Arial"/>
          <w:sz w:val="22"/>
          <w:szCs w:val="22"/>
        </w:rPr>
        <w:t>Bg</w:t>
      </w:r>
      <w:proofErr w:type="spellEnd"/>
      <w:r w:rsidR="00280F88">
        <w:rPr>
          <w:rFonts w:cs="Arial"/>
          <w:sz w:val="22"/>
          <w:szCs w:val="22"/>
        </w:rPr>
        <w:t xml:space="preserve">) </w:t>
      </w:r>
      <w:r w:rsidR="0078634D">
        <w:rPr>
          <w:rFonts w:cs="Arial"/>
          <w:sz w:val="22"/>
          <w:szCs w:val="22"/>
        </w:rPr>
        <w:t>para</w:t>
      </w:r>
      <w:r w:rsidR="006750D4">
        <w:rPr>
          <w:rFonts w:cs="Arial"/>
          <w:sz w:val="22"/>
          <w:szCs w:val="22"/>
        </w:rPr>
        <w:t xml:space="preserve"> la contribución </w:t>
      </w:r>
      <w:r w:rsidR="0020406B">
        <w:rPr>
          <w:rFonts w:cs="Arial"/>
          <w:sz w:val="22"/>
          <w:szCs w:val="22"/>
        </w:rPr>
        <w:t>202</w:t>
      </w:r>
      <w:r w:rsidR="0099652E">
        <w:rPr>
          <w:rFonts w:cs="Arial"/>
          <w:sz w:val="22"/>
          <w:szCs w:val="22"/>
        </w:rPr>
        <w:t>3</w:t>
      </w:r>
      <w:r w:rsidR="00682879">
        <w:rPr>
          <w:rFonts w:cs="Arial"/>
          <w:sz w:val="22"/>
          <w:szCs w:val="22"/>
        </w:rPr>
        <w:t xml:space="preserve"> </w:t>
      </w:r>
      <w:r w:rsidR="00280F88" w:rsidRPr="00B60E08">
        <w:rPr>
          <w:rFonts w:cs="Arial"/>
          <w:sz w:val="22"/>
          <w:szCs w:val="22"/>
        </w:rPr>
        <w:t>se calculará</w:t>
      </w:r>
      <w:r w:rsidR="0078267D">
        <w:rPr>
          <w:rFonts w:cs="Arial"/>
          <w:sz w:val="22"/>
          <w:szCs w:val="22"/>
        </w:rPr>
        <w:t xml:space="preserve"> según la siguiente fórmula</w:t>
      </w:r>
      <w:r w:rsidR="00280F88" w:rsidRPr="00B60E08">
        <w:rPr>
          <w:rFonts w:cs="Arial"/>
          <w:sz w:val="22"/>
          <w:szCs w:val="22"/>
        </w:rPr>
        <w:t xml:space="preserve"> para cada sujeto pasivo así:</w:t>
      </w:r>
    </w:p>
    <w:p w14:paraId="1D1E8002" w14:textId="59AB8B3B" w:rsidR="00682879" w:rsidRPr="00E47F63" w:rsidRDefault="0078267D" w:rsidP="00D22441">
      <w:pPr>
        <w:pStyle w:val="Textoindependiente"/>
        <w:spacing w:after="0" w:line="240" w:lineRule="auto"/>
        <w:jc w:val="center"/>
        <w:rPr>
          <w:rFonts w:ascii="Cambria Math" w:hAnsi="Cambria Math" w:cs="Arial"/>
          <w:iCs/>
          <w:sz w:val="24"/>
          <w:szCs w:val="24"/>
        </w:rPr>
      </w:pPr>
      <w:r w:rsidRPr="00E47F63">
        <w:rPr>
          <w:rFonts w:cs="Arial"/>
          <w:sz w:val="24"/>
          <w:szCs w:val="24"/>
        </w:rPr>
        <w:t xml:space="preserve">                                </w:t>
      </w:r>
      <m:oMath>
        <m:r>
          <w:rPr>
            <w:rFonts w:ascii="Cambria Math" w:hAnsi="Cambria Math" w:cs="Arial"/>
            <w:sz w:val="24"/>
            <w:szCs w:val="24"/>
          </w:rPr>
          <m:t>Bg=gf-ex [+go]</m:t>
        </m:r>
      </m:oMath>
      <w:r w:rsidR="00682879" w:rsidRPr="00E47F63">
        <w:rPr>
          <w:rFonts w:ascii="Cambria Math" w:hAnsi="Cambria Math" w:cs="Arial"/>
          <w:iCs/>
          <w:sz w:val="24"/>
          <w:szCs w:val="24"/>
        </w:rPr>
        <w:t xml:space="preserve"> </w:t>
      </w:r>
      <w:r w:rsidR="00682879" w:rsidRPr="00E47F63">
        <w:rPr>
          <w:rFonts w:cs="Arial"/>
          <w:sz w:val="24"/>
          <w:szCs w:val="24"/>
          <w:vertAlign w:val="superscript"/>
        </w:rPr>
        <w:t>1</w:t>
      </w:r>
      <w:r w:rsidR="00682879" w:rsidRPr="00E47F63">
        <w:rPr>
          <w:rFonts w:ascii="Cambria Math" w:hAnsi="Cambria Math" w:cs="Arial"/>
          <w:iCs/>
          <w:sz w:val="24"/>
          <w:szCs w:val="24"/>
        </w:rPr>
        <w:t xml:space="preserve">        </w:t>
      </w:r>
      <w:r w:rsidRPr="00E47F63">
        <w:rPr>
          <w:rFonts w:ascii="Cambria Math" w:hAnsi="Cambria Math" w:cs="Arial"/>
          <w:iCs/>
          <w:sz w:val="24"/>
          <w:szCs w:val="24"/>
        </w:rPr>
        <w:tab/>
        <w:t xml:space="preserve">                           </w:t>
      </w:r>
      <w:proofErr w:type="gramStart"/>
      <w:r w:rsidR="00453066" w:rsidRPr="00E47F63">
        <w:rPr>
          <w:rFonts w:ascii="Cambria Math" w:hAnsi="Cambria Math" w:cs="Arial"/>
          <w:iCs/>
          <w:sz w:val="24"/>
          <w:szCs w:val="24"/>
        </w:rPr>
        <w:t xml:space="preserve">   </w:t>
      </w:r>
      <w:r w:rsidR="00682879" w:rsidRPr="00E47F63">
        <w:rPr>
          <w:rFonts w:cs="Arial"/>
          <w:sz w:val="24"/>
          <w:szCs w:val="24"/>
        </w:rPr>
        <w:t>(</w:t>
      </w:r>
      <w:proofErr w:type="gramEnd"/>
      <w:r w:rsidRPr="00E47F63">
        <w:rPr>
          <w:rFonts w:cs="Arial"/>
          <w:sz w:val="24"/>
          <w:szCs w:val="24"/>
        </w:rPr>
        <w:t>1</w:t>
      </w:r>
      <w:r w:rsidR="00682879" w:rsidRPr="00E47F63">
        <w:rPr>
          <w:rFonts w:cs="Arial"/>
          <w:sz w:val="24"/>
          <w:szCs w:val="24"/>
        </w:rPr>
        <w:t>)</w:t>
      </w:r>
    </w:p>
    <w:p w14:paraId="0B0AB9EC" w14:textId="77777777" w:rsidR="0078634D" w:rsidRPr="0099440C" w:rsidRDefault="0078634D" w:rsidP="00D22441">
      <w:pPr>
        <w:pStyle w:val="Textoindependiente"/>
        <w:spacing w:after="0" w:line="240" w:lineRule="auto"/>
        <w:rPr>
          <w:rFonts w:cs="Arial"/>
          <w:i/>
          <w:iCs/>
          <w:sz w:val="22"/>
          <w:szCs w:val="22"/>
        </w:rPr>
      </w:pPr>
      <w:r w:rsidRPr="0099440C">
        <w:rPr>
          <w:rFonts w:cs="Arial"/>
          <w:i/>
          <w:iCs/>
          <w:sz w:val="22"/>
          <w:szCs w:val="22"/>
        </w:rPr>
        <w:t xml:space="preserve">Donde: </w:t>
      </w:r>
    </w:p>
    <w:p w14:paraId="358B4038" w14:textId="77777777" w:rsidR="0078634D" w:rsidRPr="0099440C" w:rsidRDefault="0078634D" w:rsidP="00D22441">
      <w:pPr>
        <w:pStyle w:val="Textoindependiente"/>
        <w:spacing w:after="0" w:line="240" w:lineRule="auto"/>
        <w:rPr>
          <w:rFonts w:cs="Arial"/>
          <w:sz w:val="10"/>
          <w:szCs w:val="10"/>
        </w:rPr>
      </w:pPr>
    </w:p>
    <w:p w14:paraId="3A2B61A3" w14:textId="77777777" w:rsidR="0078634D" w:rsidRDefault="0078634D" w:rsidP="00D22441">
      <w:pPr>
        <w:pStyle w:val="Textoindependiente"/>
        <w:spacing w:after="0" w:line="240" w:lineRule="auto"/>
        <w:rPr>
          <w:rFonts w:cs="Arial"/>
          <w:i/>
          <w:iCs/>
          <w:sz w:val="22"/>
          <w:szCs w:val="22"/>
        </w:rPr>
      </w:pPr>
      <w:proofErr w:type="spellStart"/>
      <w:r>
        <w:rPr>
          <w:rFonts w:cs="Arial"/>
          <w:i/>
          <w:iCs/>
          <w:sz w:val="22"/>
          <w:szCs w:val="22"/>
        </w:rPr>
        <w:t>gf</w:t>
      </w:r>
      <w:proofErr w:type="spellEnd"/>
      <w:r>
        <w:rPr>
          <w:rFonts w:cs="Arial"/>
          <w:i/>
          <w:iCs/>
          <w:sz w:val="22"/>
          <w:szCs w:val="22"/>
        </w:rPr>
        <w:t>: gastos de funcionamiento</w:t>
      </w:r>
    </w:p>
    <w:p w14:paraId="2D4D7405" w14:textId="77777777" w:rsidR="0078634D" w:rsidRDefault="0078634D" w:rsidP="00D22441">
      <w:pPr>
        <w:pStyle w:val="Textoindependiente"/>
        <w:spacing w:after="0" w:line="240" w:lineRule="auto"/>
        <w:rPr>
          <w:rFonts w:cs="Arial"/>
          <w:i/>
          <w:iCs/>
          <w:sz w:val="22"/>
          <w:szCs w:val="22"/>
        </w:rPr>
      </w:pPr>
      <w:r>
        <w:rPr>
          <w:rFonts w:cs="Arial"/>
          <w:i/>
          <w:iCs/>
          <w:sz w:val="22"/>
          <w:szCs w:val="22"/>
        </w:rPr>
        <w:t>ex: exclusiones</w:t>
      </w:r>
    </w:p>
    <w:p w14:paraId="0F68BA70" w14:textId="77777777" w:rsidR="0078634D" w:rsidRPr="00682879" w:rsidRDefault="0078634D" w:rsidP="00D22441">
      <w:pPr>
        <w:pStyle w:val="Textoindependiente"/>
        <w:spacing w:after="0" w:line="240" w:lineRule="auto"/>
        <w:rPr>
          <w:rFonts w:cs="Arial"/>
          <w:i/>
          <w:iCs/>
          <w:sz w:val="22"/>
          <w:szCs w:val="22"/>
        </w:rPr>
      </w:pPr>
      <w:proofErr w:type="spellStart"/>
      <w:r>
        <w:rPr>
          <w:rFonts w:cs="Arial"/>
          <w:i/>
          <w:iCs/>
          <w:sz w:val="22"/>
          <w:szCs w:val="22"/>
        </w:rPr>
        <w:t>go</w:t>
      </w:r>
      <w:proofErr w:type="spellEnd"/>
      <w:r>
        <w:rPr>
          <w:rFonts w:cs="Arial"/>
          <w:i/>
          <w:iCs/>
          <w:sz w:val="22"/>
          <w:szCs w:val="22"/>
        </w:rPr>
        <w:t>: gastos operativos</w:t>
      </w:r>
    </w:p>
    <w:p w14:paraId="151D15F8" w14:textId="77777777" w:rsidR="007A2F9B" w:rsidRPr="00714472" w:rsidRDefault="007A2F9B" w:rsidP="00D22441">
      <w:pPr>
        <w:pStyle w:val="Textoindependiente"/>
        <w:spacing w:after="0" w:line="240" w:lineRule="auto"/>
        <w:ind w:right="57"/>
        <w:rPr>
          <w:rFonts w:cs="Arial"/>
          <w:sz w:val="22"/>
          <w:szCs w:val="22"/>
        </w:rPr>
      </w:pPr>
      <w:r w:rsidRPr="00714472">
        <w:rPr>
          <w:rFonts w:cs="Arial"/>
          <w:sz w:val="22"/>
          <w:szCs w:val="22"/>
        </w:rPr>
        <w:t>Las exclusiones (</w:t>
      </w:r>
      <w:r w:rsidRPr="00714472">
        <w:rPr>
          <w:rFonts w:cs="Arial"/>
          <w:i/>
          <w:iCs/>
          <w:sz w:val="22"/>
          <w:szCs w:val="22"/>
        </w:rPr>
        <w:t>ex</w:t>
      </w:r>
      <w:r w:rsidRPr="00714472">
        <w:rPr>
          <w:rFonts w:cs="Arial"/>
          <w:sz w:val="22"/>
          <w:szCs w:val="22"/>
        </w:rPr>
        <w:t>) corresponden a los gastos operativos, las compras de electricidad, las compras de combustible, los peajes, y los siguientes conceptos:</w:t>
      </w:r>
    </w:p>
    <w:p w14:paraId="5CEE3793" w14:textId="26EA1952" w:rsidR="007A2F9B" w:rsidRPr="00714472" w:rsidRDefault="007A2F9B" w:rsidP="00D22441">
      <w:pPr>
        <w:pStyle w:val="Textoindependiente"/>
        <w:spacing w:after="0" w:line="240" w:lineRule="auto"/>
        <w:ind w:right="57"/>
        <w:rPr>
          <w:rFonts w:cs="Arial"/>
          <w:sz w:val="22"/>
          <w:szCs w:val="22"/>
        </w:rPr>
      </w:pPr>
    </w:p>
    <w:p w14:paraId="3985633B" w14:textId="250944A8" w:rsidR="00714472" w:rsidRPr="00714472" w:rsidRDefault="00714472" w:rsidP="00D22441">
      <w:pPr>
        <w:pStyle w:val="Textoindependiente"/>
        <w:spacing w:after="0" w:line="240" w:lineRule="auto"/>
        <w:rPr>
          <w:rFonts w:cs="Arial"/>
          <w:iCs/>
          <w:sz w:val="22"/>
          <w:szCs w:val="22"/>
        </w:rPr>
      </w:pPr>
      <w:r w:rsidRPr="00714472">
        <w:rPr>
          <w:rFonts w:cs="Arial"/>
          <w:sz w:val="22"/>
          <w:szCs w:val="22"/>
        </w:rPr>
        <w:t>Regla exceptiva</w:t>
      </w:r>
      <w:r w:rsidRPr="00714472">
        <w:rPr>
          <w:rFonts w:cs="Arial"/>
          <w:sz w:val="22"/>
          <w:szCs w:val="22"/>
          <w:vertAlign w:val="superscript"/>
        </w:rPr>
        <w:t>1</w:t>
      </w:r>
      <w:r w:rsidRPr="00714472">
        <w:rPr>
          <w:rFonts w:cs="Arial"/>
          <w:sz w:val="22"/>
          <w:szCs w:val="22"/>
        </w:rPr>
        <w:t xml:space="preserve">: </w:t>
      </w:r>
      <m:oMath>
        <m:r>
          <w:rPr>
            <w:rFonts w:ascii="Cambria Math" w:hAnsi="Cambria Math" w:cs="Arial"/>
            <w:sz w:val="22"/>
            <w:szCs w:val="22"/>
          </w:rPr>
          <m:t>[+go</m:t>
        </m:r>
        <m:r>
          <m:rPr>
            <m:sty m:val="p"/>
          </m:rPr>
          <w:rPr>
            <w:rFonts w:ascii="Cambria Math" w:hAnsi="Cambria Math" w:cs="Arial"/>
            <w:sz w:val="22"/>
            <w:szCs w:val="22"/>
          </w:rPr>
          <m:t>]</m:t>
        </m:r>
      </m:oMath>
      <w:r w:rsidRPr="00714472">
        <w:rPr>
          <w:rFonts w:cs="Arial"/>
          <w:iCs/>
          <w:sz w:val="22"/>
          <w:szCs w:val="22"/>
        </w:rPr>
        <w:t>: cuando se necesite cubrir faltantes presupuestales, los gastos operativos pueden ser adicionados a los gastos de funcionamiento, en la misma proporción en que sean indispensables para cubrir el faltante presupuestal, conforme al párrafo 2 del artículo 85 de la Ley 142 de 1994:</w:t>
      </w:r>
    </w:p>
    <w:p w14:paraId="4D3C958A" w14:textId="77777777" w:rsidR="00714472" w:rsidRPr="00714472" w:rsidRDefault="00714472" w:rsidP="00D22441">
      <w:pPr>
        <w:pStyle w:val="Textoindependiente"/>
        <w:spacing w:after="0" w:line="240" w:lineRule="auto"/>
        <w:rPr>
          <w:rFonts w:cs="Arial"/>
          <w:iCs/>
        </w:rPr>
      </w:pPr>
    </w:p>
    <w:p w14:paraId="2841B76F" w14:textId="77777777" w:rsidR="00714472" w:rsidRPr="00714472" w:rsidRDefault="00714472" w:rsidP="00D22441">
      <w:pPr>
        <w:ind w:left="357"/>
        <w:rPr>
          <w:rFonts w:cs="Arial"/>
        </w:rPr>
      </w:pPr>
      <w:r w:rsidRPr="00714472">
        <w:rPr>
          <w:rFonts w:cs="Arial"/>
        </w:rPr>
        <w:t>“</w:t>
      </w:r>
      <w:r w:rsidRPr="00714472">
        <w:rPr>
          <w:rFonts w:cs="Arial"/>
          <w:i/>
        </w:rPr>
        <w:t xml:space="preserve">Al fijar las contribuciones especiales se eliminarán, de los gastos de funcionamiento, </w:t>
      </w:r>
      <w:r w:rsidRPr="00714472">
        <w:rPr>
          <w:rFonts w:cs="Arial"/>
          <w:i/>
          <w:u w:val="single"/>
        </w:rPr>
        <w:t>los gastos operativos</w:t>
      </w:r>
      <w:r w:rsidRPr="00714472">
        <w:rPr>
          <w:rFonts w:cs="Arial"/>
          <w:i/>
        </w:rPr>
        <w:t xml:space="preserve">; en las empresas del sector eléctrico, </w:t>
      </w:r>
      <w:r w:rsidRPr="00714472">
        <w:rPr>
          <w:rFonts w:cs="Arial"/>
          <w:i/>
          <w:u w:val="single"/>
        </w:rPr>
        <w:t>las compras de electricidad, las compras de combustibles y los peajes</w:t>
      </w:r>
      <w:r w:rsidRPr="00714472">
        <w:rPr>
          <w:rFonts w:cs="Arial"/>
          <w:i/>
        </w:rPr>
        <w:t xml:space="preserve">, cuando hubiere lugar a ello; y en las empresas de otros sectores los </w:t>
      </w:r>
      <w:r w:rsidRPr="00714472">
        <w:rPr>
          <w:rFonts w:cs="Arial"/>
          <w:i/>
          <w:u w:val="single"/>
        </w:rPr>
        <w:t>gastos de naturaleza similar</w:t>
      </w:r>
      <w:r w:rsidRPr="00714472">
        <w:rPr>
          <w:rFonts w:cs="Arial"/>
          <w:i/>
        </w:rPr>
        <w:t xml:space="preserve"> a éstos. </w:t>
      </w:r>
      <w:r w:rsidRPr="00714472">
        <w:rPr>
          <w:rFonts w:cs="Arial"/>
          <w:i/>
          <w:u w:val="single"/>
        </w:rPr>
        <w:t>Estos rubros podrán ser adicionados en la misma proporción en que sean indispensables para cubrir faltantes presupuestales de las comisiones y la superintendencia</w:t>
      </w:r>
      <w:r w:rsidRPr="00714472">
        <w:rPr>
          <w:rFonts w:cs="Arial"/>
          <w:i/>
        </w:rPr>
        <w:t>”</w:t>
      </w:r>
      <w:r w:rsidRPr="00714472">
        <w:rPr>
          <w:rFonts w:cs="Arial"/>
        </w:rPr>
        <w:t xml:space="preserve"> (subrayado fuera del texto original).</w:t>
      </w:r>
    </w:p>
    <w:p w14:paraId="7C26F12A" w14:textId="77777777" w:rsidR="00714472" w:rsidRPr="00714472" w:rsidRDefault="00714472" w:rsidP="00D22441">
      <w:pPr>
        <w:pStyle w:val="Textoindependiente"/>
        <w:spacing w:after="0" w:line="240" w:lineRule="auto"/>
        <w:rPr>
          <w:rFonts w:cs="Arial"/>
        </w:rPr>
      </w:pPr>
    </w:p>
    <w:p w14:paraId="5BD38F04" w14:textId="27E20752" w:rsidR="00714472" w:rsidRDefault="00A82A03" w:rsidP="00D22441">
      <w:pPr>
        <w:rPr>
          <w:rFonts w:cs="Arial"/>
          <w:bCs/>
          <w:sz w:val="22"/>
          <w:szCs w:val="22"/>
        </w:rPr>
      </w:pPr>
      <w:r>
        <w:rPr>
          <w:rFonts w:cs="Arial"/>
          <w:bCs/>
          <w:sz w:val="22"/>
          <w:szCs w:val="22"/>
        </w:rPr>
        <w:t xml:space="preserve">Al ser necesario </w:t>
      </w:r>
      <w:r w:rsidR="00714472" w:rsidRPr="00714472">
        <w:rPr>
          <w:rFonts w:cs="Arial"/>
          <w:bCs/>
          <w:sz w:val="22"/>
          <w:szCs w:val="22"/>
        </w:rPr>
        <w:t>para la contribución especial del año 202</w:t>
      </w:r>
      <w:r w:rsidR="00E01779">
        <w:rPr>
          <w:rFonts w:cs="Arial"/>
          <w:bCs/>
          <w:sz w:val="22"/>
          <w:szCs w:val="22"/>
        </w:rPr>
        <w:t>3</w:t>
      </w:r>
      <w:r w:rsidR="00714472" w:rsidRPr="00714472">
        <w:rPr>
          <w:rFonts w:cs="Arial"/>
          <w:bCs/>
          <w:sz w:val="22"/>
          <w:szCs w:val="22"/>
        </w:rPr>
        <w:t xml:space="preserve"> hacer uso del párrafo 2 del artículo 85 de la Ley 142 de 1994, </w:t>
      </w:r>
      <w:r>
        <w:rPr>
          <w:rFonts w:cs="Arial"/>
          <w:bCs/>
          <w:sz w:val="22"/>
          <w:szCs w:val="22"/>
        </w:rPr>
        <w:t xml:space="preserve">con el fin de adicionar </w:t>
      </w:r>
      <w:r w:rsidR="00714472" w:rsidRPr="00714472">
        <w:rPr>
          <w:rFonts w:cs="Arial"/>
          <w:bCs/>
          <w:sz w:val="22"/>
          <w:szCs w:val="22"/>
        </w:rPr>
        <w:t xml:space="preserve">los gastos operativos </w:t>
      </w:r>
      <w:r>
        <w:rPr>
          <w:rFonts w:cs="Arial"/>
          <w:bCs/>
          <w:sz w:val="22"/>
          <w:szCs w:val="22"/>
        </w:rPr>
        <w:t>202</w:t>
      </w:r>
      <w:r w:rsidR="00E01779">
        <w:rPr>
          <w:rFonts w:cs="Arial"/>
          <w:bCs/>
          <w:sz w:val="22"/>
          <w:szCs w:val="22"/>
        </w:rPr>
        <w:t>2</w:t>
      </w:r>
      <w:r>
        <w:rPr>
          <w:rFonts w:cs="Arial"/>
          <w:bCs/>
          <w:sz w:val="22"/>
          <w:szCs w:val="22"/>
        </w:rPr>
        <w:t xml:space="preserve"> reportados por las empresas reguladas, </w:t>
      </w:r>
      <w:r w:rsidR="00714472" w:rsidRPr="00714472">
        <w:rPr>
          <w:rFonts w:cs="Arial"/>
          <w:bCs/>
          <w:sz w:val="22"/>
          <w:szCs w:val="22"/>
        </w:rPr>
        <w:t xml:space="preserve">se </w:t>
      </w:r>
      <w:r>
        <w:rPr>
          <w:rFonts w:cs="Arial"/>
          <w:bCs/>
          <w:sz w:val="22"/>
          <w:szCs w:val="22"/>
        </w:rPr>
        <w:t>tendrán</w:t>
      </w:r>
      <w:r w:rsidR="00714472" w:rsidRPr="00714472">
        <w:rPr>
          <w:rFonts w:cs="Arial"/>
          <w:bCs/>
          <w:sz w:val="22"/>
          <w:szCs w:val="22"/>
        </w:rPr>
        <w:t xml:space="preserve"> en cuenta los siguientes rubros:</w:t>
      </w:r>
    </w:p>
    <w:p w14:paraId="28932526" w14:textId="77777777" w:rsidR="002C4392" w:rsidRDefault="002C4392" w:rsidP="00D22441">
      <w:pPr>
        <w:rPr>
          <w:rFonts w:cs="Arial"/>
          <w:bCs/>
          <w:sz w:val="22"/>
          <w:szCs w:val="22"/>
        </w:rPr>
      </w:pPr>
    </w:p>
    <w:p w14:paraId="432C44ED" w14:textId="6DD14404" w:rsidR="002C4392" w:rsidRPr="002C4392" w:rsidRDefault="002C4392" w:rsidP="002C4392">
      <w:pPr>
        <w:pStyle w:val="Descripcin"/>
        <w:rPr>
          <w:rFonts w:cs="Arial"/>
          <w:i w:val="0"/>
          <w:iCs w:val="0"/>
          <w:color w:val="auto"/>
        </w:rPr>
      </w:pPr>
      <w:bookmarkStart w:id="18" w:name="_Toc145486428"/>
      <w:r w:rsidRPr="002C4392">
        <w:rPr>
          <w:i w:val="0"/>
          <w:iCs w:val="0"/>
          <w:color w:val="auto"/>
        </w:rPr>
        <w:t xml:space="preserve">Tabla </w:t>
      </w:r>
      <w:r w:rsidRPr="002C4392">
        <w:rPr>
          <w:i w:val="0"/>
          <w:iCs w:val="0"/>
          <w:color w:val="auto"/>
        </w:rPr>
        <w:fldChar w:fldCharType="begin"/>
      </w:r>
      <w:r w:rsidRPr="002C4392">
        <w:rPr>
          <w:i w:val="0"/>
          <w:iCs w:val="0"/>
          <w:color w:val="auto"/>
        </w:rPr>
        <w:instrText xml:space="preserve"> SEQ Tabla \* ARABIC </w:instrText>
      </w:r>
      <w:r w:rsidRPr="002C4392">
        <w:rPr>
          <w:i w:val="0"/>
          <w:iCs w:val="0"/>
          <w:color w:val="auto"/>
        </w:rPr>
        <w:fldChar w:fldCharType="separate"/>
      </w:r>
      <w:r w:rsidRPr="002C4392">
        <w:rPr>
          <w:i w:val="0"/>
          <w:iCs w:val="0"/>
          <w:noProof/>
          <w:color w:val="auto"/>
        </w:rPr>
        <w:t>2</w:t>
      </w:r>
      <w:r w:rsidRPr="002C4392">
        <w:rPr>
          <w:i w:val="0"/>
          <w:iCs w:val="0"/>
          <w:color w:val="auto"/>
        </w:rPr>
        <w:fldChar w:fldCharType="end"/>
      </w:r>
      <w:r w:rsidRPr="002C4392">
        <w:rPr>
          <w:i w:val="0"/>
          <w:iCs w:val="0"/>
          <w:color w:val="auto"/>
        </w:rPr>
        <w:t>. Porción de gastos operativos adicionados a la base gravable.</w:t>
      </w:r>
      <w:bookmarkEnd w:id="18"/>
    </w:p>
    <w:tbl>
      <w:tblPr>
        <w:tblW w:w="7366" w:type="dxa"/>
        <w:jc w:val="center"/>
        <w:tblCellMar>
          <w:left w:w="70" w:type="dxa"/>
          <w:right w:w="70" w:type="dxa"/>
        </w:tblCellMar>
        <w:tblLook w:val="04A0" w:firstRow="1" w:lastRow="0" w:firstColumn="1" w:lastColumn="0" w:noHBand="0" w:noVBand="1"/>
      </w:tblPr>
      <w:tblGrid>
        <w:gridCol w:w="7366"/>
      </w:tblGrid>
      <w:tr w:rsidR="00714472" w:rsidRPr="00582688" w14:paraId="139CF0B4" w14:textId="77777777" w:rsidTr="004545C9">
        <w:trPr>
          <w:trHeight w:val="290"/>
          <w:jc w:val="center"/>
        </w:trPr>
        <w:tc>
          <w:tcPr>
            <w:tcW w:w="736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F2EDB3A" w14:textId="77777777" w:rsidR="00714472" w:rsidRPr="00582688" w:rsidRDefault="00714472" w:rsidP="00D22441">
            <w:pPr>
              <w:jc w:val="left"/>
              <w:rPr>
                <w:rFonts w:ascii="Arial Narrow" w:hAnsi="Arial Narrow" w:cs="Arial"/>
                <w:spacing w:val="0"/>
                <w:lang w:eastAsia="es-CO"/>
              </w:rPr>
            </w:pPr>
            <w:r w:rsidRPr="00582688">
              <w:rPr>
                <w:rFonts w:ascii="Arial Narrow" w:hAnsi="Arial Narrow"/>
              </w:rPr>
              <w:t xml:space="preserve">(+) Compras en bloque y/o a largo plazo </w:t>
            </w:r>
          </w:p>
        </w:tc>
      </w:tr>
      <w:tr w:rsidR="00714472" w:rsidRPr="00582688" w14:paraId="2EDE69F4" w14:textId="77777777" w:rsidTr="004545C9">
        <w:trPr>
          <w:trHeight w:val="290"/>
          <w:jc w:val="center"/>
        </w:trPr>
        <w:tc>
          <w:tcPr>
            <w:tcW w:w="7366" w:type="dxa"/>
            <w:tcBorders>
              <w:top w:val="nil"/>
              <w:left w:val="single" w:sz="4" w:space="0" w:color="auto"/>
              <w:bottom w:val="single" w:sz="4" w:space="0" w:color="auto"/>
              <w:right w:val="single" w:sz="4" w:space="0" w:color="auto"/>
            </w:tcBorders>
            <w:shd w:val="clear" w:color="auto" w:fill="FFFFFF" w:themeFill="background1"/>
            <w:noWrap/>
            <w:hideMark/>
          </w:tcPr>
          <w:p w14:paraId="06CAD873" w14:textId="77777777" w:rsidR="00714472" w:rsidRPr="00582688" w:rsidRDefault="00714472" w:rsidP="00D22441">
            <w:pPr>
              <w:jc w:val="left"/>
              <w:rPr>
                <w:rFonts w:ascii="Arial Narrow" w:hAnsi="Arial Narrow" w:cs="Arial"/>
                <w:spacing w:val="0"/>
                <w:lang w:eastAsia="es-CO"/>
              </w:rPr>
            </w:pPr>
            <w:r w:rsidRPr="00582688">
              <w:rPr>
                <w:rFonts w:ascii="Arial Narrow" w:hAnsi="Arial Narrow"/>
              </w:rPr>
              <w:t xml:space="preserve">(+) Compras en bolsa y/o a corto plazo </w:t>
            </w:r>
          </w:p>
        </w:tc>
      </w:tr>
      <w:tr w:rsidR="00714472" w:rsidRPr="00582688" w14:paraId="25147FFA" w14:textId="77777777" w:rsidTr="004545C9">
        <w:trPr>
          <w:trHeight w:val="290"/>
          <w:jc w:val="center"/>
        </w:trPr>
        <w:tc>
          <w:tcPr>
            <w:tcW w:w="7366" w:type="dxa"/>
            <w:tcBorders>
              <w:top w:val="nil"/>
              <w:left w:val="single" w:sz="4" w:space="0" w:color="auto"/>
              <w:bottom w:val="single" w:sz="4" w:space="0" w:color="auto"/>
              <w:right w:val="single" w:sz="4" w:space="0" w:color="auto"/>
            </w:tcBorders>
            <w:shd w:val="clear" w:color="auto" w:fill="FFFFFF" w:themeFill="background1"/>
            <w:noWrap/>
            <w:hideMark/>
          </w:tcPr>
          <w:p w14:paraId="259375A2" w14:textId="77777777" w:rsidR="00714472" w:rsidRPr="00582688" w:rsidRDefault="00714472" w:rsidP="00D22441">
            <w:pPr>
              <w:jc w:val="left"/>
              <w:rPr>
                <w:rFonts w:ascii="Arial Narrow" w:hAnsi="Arial Narrow" w:cs="Arial"/>
                <w:spacing w:val="0"/>
                <w:lang w:eastAsia="es-CO"/>
              </w:rPr>
            </w:pPr>
            <w:r w:rsidRPr="00582688">
              <w:rPr>
                <w:rFonts w:ascii="Arial Narrow" w:hAnsi="Arial Narrow"/>
              </w:rPr>
              <w:t xml:space="preserve">(+) Uso de Líneas, redes y ductos </w:t>
            </w:r>
          </w:p>
        </w:tc>
      </w:tr>
      <w:tr w:rsidR="00714472" w:rsidRPr="00582688" w14:paraId="6EB00B0C" w14:textId="77777777" w:rsidTr="004545C9">
        <w:trPr>
          <w:trHeight w:val="290"/>
          <w:jc w:val="center"/>
        </w:trPr>
        <w:tc>
          <w:tcPr>
            <w:tcW w:w="7366" w:type="dxa"/>
            <w:tcBorders>
              <w:top w:val="nil"/>
              <w:left w:val="single" w:sz="4" w:space="0" w:color="auto"/>
              <w:bottom w:val="single" w:sz="4" w:space="0" w:color="auto"/>
              <w:right w:val="single" w:sz="4" w:space="0" w:color="auto"/>
            </w:tcBorders>
            <w:shd w:val="clear" w:color="auto" w:fill="FFFFFF" w:themeFill="background1"/>
            <w:noWrap/>
            <w:hideMark/>
          </w:tcPr>
          <w:p w14:paraId="1E7E4F2C" w14:textId="77777777" w:rsidR="00714472" w:rsidRPr="00582688" w:rsidRDefault="00714472" w:rsidP="00D22441">
            <w:pPr>
              <w:jc w:val="left"/>
              <w:rPr>
                <w:rFonts w:ascii="Arial Narrow" w:hAnsi="Arial Narrow" w:cs="Arial"/>
                <w:spacing w:val="0"/>
                <w:lang w:eastAsia="es-CO"/>
              </w:rPr>
            </w:pPr>
            <w:r w:rsidRPr="00582688">
              <w:rPr>
                <w:rFonts w:ascii="Arial Narrow" w:hAnsi="Arial Narrow"/>
              </w:rPr>
              <w:t xml:space="preserve">(+) Gas Combustible </w:t>
            </w:r>
          </w:p>
        </w:tc>
      </w:tr>
      <w:tr w:rsidR="00714472" w:rsidRPr="00582688" w14:paraId="331FF34E" w14:textId="77777777" w:rsidTr="004545C9">
        <w:trPr>
          <w:trHeight w:val="290"/>
          <w:jc w:val="center"/>
        </w:trPr>
        <w:tc>
          <w:tcPr>
            <w:tcW w:w="7366" w:type="dxa"/>
            <w:tcBorders>
              <w:top w:val="nil"/>
              <w:left w:val="single" w:sz="4" w:space="0" w:color="auto"/>
              <w:bottom w:val="single" w:sz="4" w:space="0" w:color="auto"/>
              <w:right w:val="single" w:sz="4" w:space="0" w:color="auto"/>
            </w:tcBorders>
            <w:shd w:val="clear" w:color="auto" w:fill="FFFFFF" w:themeFill="background1"/>
            <w:noWrap/>
            <w:hideMark/>
          </w:tcPr>
          <w:p w14:paraId="72A4B0CF" w14:textId="77777777" w:rsidR="00714472" w:rsidRPr="00582688" w:rsidRDefault="00714472" w:rsidP="00D22441">
            <w:pPr>
              <w:jc w:val="left"/>
              <w:rPr>
                <w:rFonts w:ascii="Arial Narrow" w:hAnsi="Arial Narrow" w:cs="Arial"/>
                <w:spacing w:val="0"/>
                <w:lang w:eastAsia="es-CO"/>
              </w:rPr>
            </w:pPr>
            <w:r w:rsidRPr="00582688">
              <w:rPr>
                <w:rFonts w:ascii="Arial Narrow" w:hAnsi="Arial Narrow"/>
              </w:rPr>
              <w:t xml:space="preserve">(+) Carbón Mineral </w:t>
            </w:r>
          </w:p>
        </w:tc>
      </w:tr>
      <w:tr w:rsidR="00714472" w:rsidRPr="00582688" w14:paraId="1D4190AE" w14:textId="77777777" w:rsidTr="004545C9">
        <w:trPr>
          <w:trHeight w:val="290"/>
          <w:jc w:val="center"/>
        </w:trPr>
        <w:tc>
          <w:tcPr>
            <w:tcW w:w="7366" w:type="dxa"/>
            <w:tcBorders>
              <w:top w:val="nil"/>
              <w:left w:val="single" w:sz="4" w:space="0" w:color="auto"/>
              <w:bottom w:val="single" w:sz="4" w:space="0" w:color="auto"/>
              <w:right w:val="single" w:sz="4" w:space="0" w:color="auto"/>
            </w:tcBorders>
            <w:shd w:val="clear" w:color="auto" w:fill="FFFFFF" w:themeFill="background1"/>
            <w:noWrap/>
            <w:hideMark/>
          </w:tcPr>
          <w:p w14:paraId="6BC5C5C9" w14:textId="77777777" w:rsidR="00714472" w:rsidRPr="00582688" w:rsidRDefault="00714472" w:rsidP="00D22441">
            <w:pPr>
              <w:jc w:val="left"/>
              <w:rPr>
                <w:rFonts w:ascii="Arial Narrow" w:hAnsi="Arial Narrow" w:cs="Arial"/>
                <w:spacing w:val="0"/>
                <w:lang w:eastAsia="es-CO"/>
              </w:rPr>
            </w:pPr>
            <w:r w:rsidRPr="00582688">
              <w:rPr>
                <w:rFonts w:ascii="Arial Narrow" w:hAnsi="Arial Narrow"/>
              </w:rPr>
              <w:t xml:space="preserve">(+) ACPM, Fuel </w:t>
            </w:r>
            <w:proofErr w:type="spellStart"/>
            <w:r w:rsidRPr="00582688">
              <w:rPr>
                <w:rFonts w:ascii="Arial Narrow" w:hAnsi="Arial Narrow"/>
              </w:rPr>
              <w:t>Oil</w:t>
            </w:r>
            <w:proofErr w:type="spellEnd"/>
            <w:r w:rsidRPr="00582688">
              <w:rPr>
                <w:rFonts w:ascii="Arial Narrow" w:hAnsi="Arial Narrow"/>
              </w:rPr>
              <w:t xml:space="preserve"> </w:t>
            </w:r>
          </w:p>
        </w:tc>
      </w:tr>
      <w:tr w:rsidR="00714472" w:rsidRPr="00582688" w14:paraId="0B429A67" w14:textId="77777777" w:rsidTr="004545C9">
        <w:trPr>
          <w:trHeight w:val="290"/>
          <w:jc w:val="center"/>
        </w:trPr>
        <w:tc>
          <w:tcPr>
            <w:tcW w:w="7366" w:type="dxa"/>
            <w:tcBorders>
              <w:top w:val="nil"/>
              <w:left w:val="single" w:sz="4" w:space="0" w:color="auto"/>
              <w:bottom w:val="single" w:sz="4" w:space="0" w:color="auto"/>
              <w:right w:val="single" w:sz="4" w:space="0" w:color="auto"/>
            </w:tcBorders>
            <w:shd w:val="clear" w:color="auto" w:fill="FFFFFF" w:themeFill="background1"/>
            <w:noWrap/>
            <w:hideMark/>
          </w:tcPr>
          <w:p w14:paraId="775822F9" w14:textId="77777777" w:rsidR="00714472" w:rsidRPr="00582688" w:rsidRDefault="00714472" w:rsidP="00D22441">
            <w:pPr>
              <w:jc w:val="left"/>
              <w:rPr>
                <w:rFonts w:ascii="Arial Narrow" w:hAnsi="Arial Narrow" w:cs="Arial"/>
                <w:spacing w:val="0"/>
                <w:lang w:eastAsia="es-CO"/>
              </w:rPr>
            </w:pPr>
            <w:r w:rsidRPr="00582688">
              <w:rPr>
                <w:rFonts w:ascii="Arial Narrow" w:hAnsi="Arial Narrow"/>
              </w:rPr>
              <w:lastRenderedPageBreak/>
              <w:t xml:space="preserve">(+) Gastos de distribución y/o comercialización de gas combustible por redes </w:t>
            </w:r>
          </w:p>
        </w:tc>
      </w:tr>
      <w:tr w:rsidR="00714472" w:rsidRPr="00582688" w14:paraId="0C984E09" w14:textId="77777777" w:rsidTr="004545C9">
        <w:trPr>
          <w:trHeight w:val="290"/>
          <w:jc w:val="center"/>
        </w:trPr>
        <w:tc>
          <w:tcPr>
            <w:tcW w:w="7366" w:type="dxa"/>
            <w:tcBorders>
              <w:top w:val="nil"/>
              <w:left w:val="single" w:sz="4" w:space="0" w:color="auto"/>
              <w:bottom w:val="single" w:sz="4" w:space="0" w:color="auto"/>
              <w:right w:val="single" w:sz="4" w:space="0" w:color="auto"/>
            </w:tcBorders>
            <w:shd w:val="clear" w:color="auto" w:fill="FFFFFF" w:themeFill="background1"/>
            <w:noWrap/>
            <w:hideMark/>
          </w:tcPr>
          <w:p w14:paraId="152A2348" w14:textId="77777777" w:rsidR="00714472" w:rsidRPr="00582688" w:rsidRDefault="00714472" w:rsidP="00D22441">
            <w:pPr>
              <w:jc w:val="left"/>
              <w:rPr>
                <w:rFonts w:ascii="Arial Narrow" w:hAnsi="Arial Narrow" w:cs="Arial"/>
                <w:spacing w:val="0"/>
                <w:lang w:eastAsia="es-CO"/>
              </w:rPr>
            </w:pPr>
            <w:r w:rsidRPr="00582688">
              <w:rPr>
                <w:rFonts w:ascii="Arial Narrow" w:hAnsi="Arial Narrow"/>
              </w:rPr>
              <w:t xml:space="preserve">(+) Gastos de distribución y/o comercialización de gas licuado de petróleo - GLP </w:t>
            </w:r>
          </w:p>
        </w:tc>
      </w:tr>
    </w:tbl>
    <w:p w14:paraId="6FD47C62" w14:textId="77777777" w:rsidR="00714472" w:rsidRDefault="00714472" w:rsidP="00D22441">
      <w:pPr>
        <w:pStyle w:val="Textoindependiente"/>
        <w:spacing w:after="0" w:line="240" w:lineRule="auto"/>
        <w:ind w:right="57"/>
        <w:rPr>
          <w:rFonts w:cs="Arial"/>
          <w:sz w:val="22"/>
          <w:szCs w:val="22"/>
        </w:rPr>
      </w:pPr>
    </w:p>
    <w:p w14:paraId="08D2202A" w14:textId="3B8CEE98" w:rsidR="007A2F9B" w:rsidRPr="007226D7" w:rsidRDefault="00054D98" w:rsidP="00D22441">
      <w:pPr>
        <w:pStyle w:val="Subttulo"/>
        <w:numPr>
          <w:ilvl w:val="1"/>
          <w:numId w:val="37"/>
        </w:numPr>
        <w:spacing w:after="0"/>
        <w:ind w:left="357" w:hanging="357"/>
        <w:jc w:val="left"/>
        <w:rPr>
          <w:b/>
          <w:bCs/>
          <w:sz w:val="22"/>
          <w:szCs w:val="22"/>
        </w:rPr>
      </w:pPr>
      <w:bookmarkStart w:id="19" w:name="_Toc147154295"/>
      <w:r>
        <w:rPr>
          <w:b/>
          <w:sz w:val="22"/>
          <w:szCs w:val="22"/>
        </w:rPr>
        <w:t>EXCLUSIONES GASTOS DE FUNCIONAMIENTO</w:t>
      </w:r>
      <w:r w:rsidR="00C447D2">
        <w:rPr>
          <w:b/>
          <w:sz w:val="22"/>
          <w:szCs w:val="22"/>
        </w:rPr>
        <w:t>.</w:t>
      </w:r>
      <w:bookmarkEnd w:id="19"/>
    </w:p>
    <w:p w14:paraId="005FE14F" w14:textId="27079C4D" w:rsidR="007A2F9B" w:rsidRPr="008855B6" w:rsidRDefault="007A2F9B" w:rsidP="00D22441">
      <w:pPr>
        <w:pStyle w:val="Textoindependiente"/>
        <w:spacing w:after="0" w:line="240" w:lineRule="auto"/>
        <w:ind w:right="57"/>
        <w:rPr>
          <w:rFonts w:cs="Arial"/>
          <w:sz w:val="22"/>
          <w:szCs w:val="22"/>
        </w:rPr>
      </w:pPr>
    </w:p>
    <w:p w14:paraId="18AE508F" w14:textId="2377B87C" w:rsidR="00A77F3C" w:rsidRPr="008855B6" w:rsidRDefault="00A77F3C" w:rsidP="00D22441">
      <w:pPr>
        <w:rPr>
          <w:rFonts w:cs="Arial"/>
          <w:sz w:val="22"/>
          <w:szCs w:val="22"/>
        </w:rPr>
      </w:pPr>
      <w:r w:rsidRPr="008855B6">
        <w:rPr>
          <w:rFonts w:cs="Arial"/>
          <w:sz w:val="22"/>
          <w:szCs w:val="22"/>
        </w:rPr>
        <w:t>Formarán parte de la base gravable de liquidación de la contribución especial 202</w:t>
      </w:r>
      <w:r w:rsidR="00E01779" w:rsidRPr="008855B6">
        <w:rPr>
          <w:rFonts w:cs="Arial"/>
          <w:sz w:val="22"/>
          <w:szCs w:val="22"/>
        </w:rPr>
        <w:t>3</w:t>
      </w:r>
      <w:r w:rsidRPr="008855B6">
        <w:rPr>
          <w:rFonts w:cs="Arial"/>
          <w:sz w:val="22"/>
          <w:szCs w:val="22"/>
        </w:rPr>
        <w:t>, la sumatoria de los valores certificados al SUI, por los prestadores en el Formato Complementario [900017] FC01-01 a FC01-07 “Gastos de Servicios Públicos”, en la columna gastos administrativos de las taxonomías XBRL a 31 de diciembre de 202</w:t>
      </w:r>
      <w:r w:rsidR="00E01779" w:rsidRPr="008855B6">
        <w:rPr>
          <w:rFonts w:cs="Arial"/>
          <w:sz w:val="22"/>
          <w:szCs w:val="22"/>
        </w:rPr>
        <w:t>2</w:t>
      </w:r>
      <w:r w:rsidRPr="008855B6">
        <w:rPr>
          <w:rFonts w:cs="Arial"/>
          <w:sz w:val="22"/>
          <w:szCs w:val="22"/>
        </w:rPr>
        <w:t xml:space="preserve">, Concepto Total Gastos para cada servicio público objeto del servicio de regulación de la CREG, tomando como </w:t>
      </w:r>
      <w:r w:rsidR="00A82A03" w:rsidRPr="008855B6">
        <w:rPr>
          <w:rFonts w:cs="Arial"/>
          <w:sz w:val="22"/>
          <w:szCs w:val="22"/>
        </w:rPr>
        <w:t xml:space="preserve">fecha de </w:t>
      </w:r>
      <w:r w:rsidR="005E092A" w:rsidRPr="008855B6">
        <w:rPr>
          <w:rFonts w:cs="Arial"/>
          <w:sz w:val="22"/>
          <w:szCs w:val="22"/>
        </w:rPr>
        <w:t xml:space="preserve">corte el </w:t>
      </w:r>
      <w:r w:rsidR="00E01779" w:rsidRPr="008855B6">
        <w:rPr>
          <w:rFonts w:cs="Arial"/>
          <w:sz w:val="22"/>
          <w:szCs w:val="22"/>
        </w:rPr>
        <w:t>1</w:t>
      </w:r>
      <w:r w:rsidR="004A5870" w:rsidRPr="008855B6">
        <w:rPr>
          <w:rFonts w:cs="Arial"/>
          <w:sz w:val="22"/>
          <w:szCs w:val="22"/>
        </w:rPr>
        <w:t>2</w:t>
      </w:r>
      <w:r w:rsidR="00F0101B" w:rsidRPr="008855B6">
        <w:rPr>
          <w:rFonts w:cs="Arial"/>
          <w:sz w:val="22"/>
          <w:szCs w:val="22"/>
        </w:rPr>
        <w:t xml:space="preserve"> de </w:t>
      </w:r>
      <w:r w:rsidR="00E01779" w:rsidRPr="008855B6">
        <w:rPr>
          <w:rFonts w:cs="Arial"/>
          <w:sz w:val="22"/>
          <w:szCs w:val="22"/>
        </w:rPr>
        <w:t>julio</w:t>
      </w:r>
      <w:r w:rsidRPr="008855B6">
        <w:rPr>
          <w:rFonts w:cs="Arial"/>
          <w:sz w:val="22"/>
          <w:szCs w:val="22"/>
        </w:rPr>
        <w:t xml:space="preserve"> de 202</w:t>
      </w:r>
      <w:r w:rsidR="00E01779" w:rsidRPr="008855B6">
        <w:rPr>
          <w:rFonts w:cs="Arial"/>
          <w:sz w:val="22"/>
          <w:szCs w:val="22"/>
        </w:rPr>
        <w:t>3</w:t>
      </w:r>
      <w:r w:rsidRPr="008855B6">
        <w:rPr>
          <w:rFonts w:cs="Arial"/>
          <w:sz w:val="22"/>
          <w:szCs w:val="22"/>
        </w:rPr>
        <w:t>.</w:t>
      </w:r>
    </w:p>
    <w:p w14:paraId="72552BE1" w14:textId="77777777" w:rsidR="00A77F3C" w:rsidRPr="008855B6" w:rsidRDefault="00A77F3C" w:rsidP="00D22441">
      <w:pPr>
        <w:rPr>
          <w:rFonts w:cs="Arial"/>
          <w:sz w:val="22"/>
          <w:szCs w:val="22"/>
        </w:rPr>
      </w:pPr>
    </w:p>
    <w:p w14:paraId="48813DD7" w14:textId="726B8AEE" w:rsidR="00A77F3C" w:rsidRPr="008855B6" w:rsidRDefault="00A77F3C" w:rsidP="00D22441">
      <w:pPr>
        <w:rPr>
          <w:rFonts w:cs="Arial"/>
          <w:sz w:val="22"/>
          <w:szCs w:val="22"/>
        </w:rPr>
      </w:pPr>
      <w:r w:rsidRPr="008855B6">
        <w:rPr>
          <w:rFonts w:cs="Arial"/>
          <w:sz w:val="22"/>
          <w:szCs w:val="22"/>
        </w:rPr>
        <w:t>No formarán parte de la base gravable de la contribución especial 202</w:t>
      </w:r>
      <w:r w:rsidR="00E01779" w:rsidRPr="008855B6">
        <w:rPr>
          <w:rFonts w:cs="Arial"/>
          <w:sz w:val="22"/>
          <w:szCs w:val="22"/>
        </w:rPr>
        <w:t>3</w:t>
      </w:r>
      <w:r w:rsidRPr="008855B6">
        <w:rPr>
          <w:rFonts w:cs="Arial"/>
          <w:sz w:val="22"/>
          <w:szCs w:val="22"/>
        </w:rPr>
        <w:t xml:space="preserve"> los siguientes conceptos incluidos en el Formato Complementario [900017] FC01-01 a FC01-07 “Gastos de Servicios Públicos”, en la columna gastos administrativos de 202</w:t>
      </w:r>
      <w:r w:rsidR="00E01779" w:rsidRPr="008855B6">
        <w:rPr>
          <w:rFonts w:cs="Arial"/>
          <w:sz w:val="22"/>
          <w:szCs w:val="22"/>
        </w:rPr>
        <w:t>2</w:t>
      </w:r>
      <w:r w:rsidRPr="008855B6">
        <w:rPr>
          <w:rFonts w:cs="Arial"/>
          <w:sz w:val="22"/>
          <w:szCs w:val="22"/>
        </w:rPr>
        <w:t xml:space="preserve">, </w:t>
      </w:r>
      <w:r w:rsidR="00B24EC3">
        <w:rPr>
          <w:rFonts w:cs="Arial"/>
          <w:sz w:val="22"/>
          <w:szCs w:val="22"/>
        </w:rPr>
        <w:t>los siguientes</w:t>
      </w:r>
      <w:r w:rsidRPr="008855B6">
        <w:rPr>
          <w:rFonts w:cs="Arial"/>
          <w:sz w:val="22"/>
          <w:szCs w:val="22"/>
        </w:rPr>
        <w:t>:</w:t>
      </w:r>
    </w:p>
    <w:p w14:paraId="212E388D" w14:textId="77777777" w:rsidR="00A77F3C" w:rsidRDefault="00A77F3C" w:rsidP="00D22441">
      <w:pPr>
        <w:rPr>
          <w:rFonts w:cs="Arial"/>
        </w:rPr>
      </w:pPr>
    </w:p>
    <w:p w14:paraId="447F9B6A" w14:textId="10B6F90C" w:rsidR="0015547A" w:rsidRDefault="00535E02" w:rsidP="00535E02">
      <w:pPr>
        <w:pStyle w:val="Descripcin"/>
        <w:rPr>
          <w:i w:val="0"/>
          <w:iCs w:val="0"/>
          <w:color w:val="auto"/>
        </w:rPr>
      </w:pPr>
      <w:bookmarkStart w:id="20" w:name="_Toc145486429"/>
      <w:r w:rsidRPr="002C4392">
        <w:rPr>
          <w:i w:val="0"/>
          <w:iCs w:val="0"/>
          <w:color w:val="auto"/>
        </w:rPr>
        <w:t xml:space="preserve">Tabla </w:t>
      </w:r>
      <w:r w:rsidRPr="002C4392">
        <w:rPr>
          <w:i w:val="0"/>
          <w:iCs w:val="0"/>
          <w:color w:val="auto"/>
        </w:rPr>
        <w:fldChar w:fldCharType="begin"/>
      </w:r>
      <w:r w:rsidRPr="002C4392">
        <w:rPr>
          <w:i w:val="0"/>
          <w:iCs w:val="0"/>
          <w:color w:val="auto"/>
        </w:rPr>
        <w:instrText xml:space="preserve"> SEQ Tabla \* ARABIC </w:instrText>
      </w:r>
      <w:r w:rsidRPr="002C4392">
        <w:rPr>
          <w:i w:val="0"/>
          <w:iCs w:val="0"/>
          <w:color w:val="auto"/>
        </w:rPr>
        <w:fldChar w:fldCharType="separate"/>
      </w:r>
      <w:r>
        <w:rPr>
          <w:i w:val="0"/>
          <w:iCs w:val="0"/>
          <w:noProof/>
          <w:color w:val="auto"/>
        </w:rPr>
        <w:t>3</w:t>
      </w:r>
      <w:r w:rsidRPr="002C4392">
        <w:rPr>
          <w:i w:val="0"/>
          <w:iCs w:val="0"/>
          <w:color w:val="auto"/>
        </w:rPr>
        <w:fldChar w:fldCharType="end"/>
      </w:r>
      <w:r w:rsidRPr="002C4392">
        <w:rPr>
          <w:i w:val="0"/>
          <w:iCs w:val="0"/>
          <w:color w:val="auto"/>
        </w:rPr>
        <w:t xml:space="preserve">. </w:t>
      </w:r>
      <w:r>
        <w:rPr>
          <w:i w:val="0"/>
          <w:iCs w:val="0"/>
          <w:color w:val="auto"/>
        </w:rPr>
        <w:t>Exclusiones de gastos de funcionamiento.</w:t>
      </w:r>
      <w:bookmarkEnd w:id="20"/>
    </w:p>
    <w:tbl>
      <w:tblPr>
        <w:tblStyle w:val="Tablaconcuadrcula"/>
        <w:tblW w:w="0" w:type="auto"/>
        <w:jc w:val="center"/>
        <w:tblLook w:val="04A0" w:firstRow="1" w:lastRow="0" w:firstColumn="1" w:lastColumn="0" w:noHBand="0" w:noVBand="1"/>
      </w:tblPr>
      <w:tblGrid>
        <w:gridCol w:w="5524"/>
      </w:tblGrid>
      <w:tr w:rsidR="005B7CF1" w:rsidRPr="00582688" w14:paraId="68D3B37E" w14:textId="77777777" w:rsidTr="004545C9">
        <w:trPr>
          <w:jc w:val="center"/>
        </w:trPr>
        <w:tc>
          <w:tcPr>
            <w:tcW w:w="5524" w:type="dxa"/>
          </w:tcPr>
          <w:p w14:paraId="7C1849EF" w14:textId="79FB7A25" w:rsidR="005B7CF1" w:rsidRPr="00582688" w:rsidRDefault="004545C9" w:rsidP="00991128">
            <w:pPr>
              <w:rPr>
                <w:rFonts w:ascii="Arial Narrow" w:hAnsi="Arial Narrow"/>
                <w:b/>
                <w:bCs/>
              </w:rPr>
            </w:pPr>
            <w:r>
              <w:rPr>
                <w:rFonts w:ascii="Arial Narrow" w:hAnsi="Arial Narrow"/>
                <w:b/>
                <w:bCs/>
              </w:rPr>
              <w:t xml:space="preserve">(-) </w:t>
            </w:r>
            <w:r w:rsidR="005B7CF1" w:rsidRPr="00582688">
              <w:rPr>
                <w:rFonts w:ascii="Arial Narrow" w:hAnsi="Arial Narrow"/>
                <w:b/>
                <w:bCs/>
              </w:rPr>
              <w:t>Impuestos, tasas y contribuciones.</w:t>
            </w:r>
          </w:p>
          <w:p w14:paraId="4AD960D1" w14:textId="25C40361" w:rsidR="005B7CF1" w:rsidRPr="00582688" w:rsidRDefault="004545C9" w:rsidP="00991128">
            <w:pPr>
              <w:rPr>
                <w:rFonts w:ascii="Arial Narrow" w:hAnsi="Arial Narrow"/>
                <w:b/>
                <w:bCs/>
              </w:rPr>
            </w:pPr>
            <w:r>
              <w:rPr>
                <w:rFonts w:ascii="Arial Narrow" w:hAnsi="Arial Narrow"/>
                <w:b/>
                <w:bCs/>
              </w:rPr>
              <w:t xml:space="preserve">(-) </w:t>
            </w:r>
            <w:r w:rsidR="005B7CF1" w:rsidRPr="00582688">
              <w:rPr>
                <w:rFonts w:ascii="Arial Narrow" w:hAnsi="Arial Narrow"/>
                <w:b/>
                <w:bCs/>
              </w:rPr>
              <w:t>Impuestos a las ganancias corrientes.</w:t>
            </w:r>
          </w:p>
          <w:p w14:paraId="106409AC" w14:textId="10C93531" w:rsidR="005B7CF1" w:rsidRPr="00582688" w:rsidRDefault="004545C9" w:rsidP="00991128">
            <w:pPr>
              <w:rPr>
                <w:rFonts w:ascii="Arial Narrow" w:hAnsi="Arial Narrow"/>
              </w:rPr>
            </w:pPr>
            <w:r>
              <w:rPr>
                <w:rFonts w:ascii="Arial Narrow" w:hAnsi="Arial Narrow"/>
                <w:b/>
                <w:bCs/>
              </w:rPr>
              <w:t xml:space="preserve">(-) </w:t>
            </w:r>
            <w:r w:rsidR="005B7CF1" w:rsidRPr="00582688">
              <w:rPr>
                <w:rFonts w:ascii="Arial Narrow" w:hAnsi="Arial Narrow"/>
                <w:b/>
                <w:bCs/>
              </w:rPr>
              <w:t>Impuesto a las ganancias diferido.</w:t>
            </w:r>
          </w:p>
        </w:tc>
      </w:tr>
      <w:tr w:rsidR="005B7CF1" w:rsidRPr="00582688" w14:paraId="22561612" w14:textId="77777777" w:rsidTr="004545C9">
        <w:trPr>
          <w:jc w:val="center"/>
        </w:trPr>
        <w:tc>
          <w:tcPr>
            <w:tcW w:w="5524" w:type="dxa"/>
          </w:tcPr>
          <w:p w14:paraId="1C99E8D4" w14:textId="32AFC325" w:rsidR="005B7CF1" w:rsidRPr="00582688" w:rsidRDefault="004545C9" w:rsidP="00991128">
            <w:pPr>
              <w:rPr>
                <w:rFonts w:ascii="Arial Narrow" w:hAnsi="Arial Narrow"/>
                <w:b/>
                <w:bCs/>
              </w:rPr>
            </w:pPr>
            <w:r>
              <w:rPr>
                <w:rFonts w:ascii="Arial Narrow" w:hAnsi="Arial Narrow"/>
                <w:b/>
                <w:bCs/>
              </w:rPr>
              <w:t xml:space="preserve">(-) </w:t>
            </w:r>
            <w:r w:rsidR="005B7CF1" w:rsidRPr="00582688">
              <w:rPr>
                <w:rFonts w:ascii="Arial Narrow" w:hAnsi="Arial Narrow"/>
                <w:b/>
                <w:bCs/>
              </w:rPr>
              <w:t>Deterioro.</w:t>
            </w:r>
          </w:p>
          <w:p w14:paraId="5785D0C0" w14:textId="4BACE1EC" w:rsidR="005B7CF1" w:rsidRPr="00582688" w:rsidRDefault="004545C9" w:rsidP="00991128">
            <w:pPr>
              <w:rPr>
                <w:rFonts w:ascii="Arial Narrow" w:hAnsi="Arial Narrow"/>
                <w:b/>
                <w:bCs/>
              </w:rPr>
            </w:pPr>
            <w:r>
              <w:rPr>
                <w:rFonts w:ascii="Arial Narrow" w:hAnsi="Arial Narrow"/>
                <w:b/>
                <w:bCs/>
              </w:rPr>
              <w:t xml:space="preserve">(-) </w:t>
            </w:r>
            <w:r w:rsidR="005B7CF1" w:rsidRPr="00582688">
              <w:rPr>
                <w:rFonts w:ascii="Arial Narrow" w:hAnsi="Arial Narrow"/>
                <w:b/>
                <w:bCs/>
              </w:rPr>
              <w:t>Depreciación.</w:t>
            </w:r>
          </w:p>
          <w:p w14:paraId="43A63762" w14:textId="29E358E9" w:rsidR="005B7CF1" w:rsidRPr="00582688" w:rsidRDefault="004545C9" w:rsidP="00991128">
            <w:pPr>
              <w:rPr>
                <w:rFonts w:ascii="Arial Narrow" w:hAnsi="Arial Narrow"/>
                <w:b/>
                <w:bCs/>
              </w:rPr>
            </w:pPr>
            <w:r>
              <w:rPr>
                <w:rFonts w:ascii="Arial Narrow" w:hAnsi="Arial Narrow"/>
                <w:b/>
                <w:bCs/>
              </w:rPr>
              <w:t xml:space="preserve">(-) </w:t>
            </w:r>
            <w:r w:rsidR="005B7CF1" w:rsidRPr="00582688">
              <w:rPr>
                <w:rFonts w:ascii="Arial Narrow" w:hAnsi="Arial Narrow"/>
                <w:b/>
                <w:bCs/>
              </w:rPr>
              <w:t>Amortización.</w:t>
            </w:r>
          </w:p>
          <w:p w14:paraId="5AA77813" w14:textId="5B7F9D3B" w:rsidR="005B7CF1" w:rsidRPr="00582688" w:rsidRDefault="004545C9" w:rsidP="00991128">
            <w:pPr>
              <w:rPr>
                <w:rFonts w:ascii="Arial Narrow" w:hAnsi="Arial Narrow"/>
                <w:b/>
                <w:bCs/>
              </w:rPr>
            </w:pPr>
            <w:r>
              <w:rPr>
                <w:rFonts w:ascii="Arial Narrow" w:hAnsi="Arial Narrow"/>
                <w:b/>
                <w:bCs/>
              </w:rPr>
              <w:t xml:space="preserve">(-) </w:t>
            </w:r>
            <w:r w:rsidR="005B7CF1" w:rsidRPr="00582688">
              <w:rPr>
                <w:rFonts w:ascii="Arial Narrow" w:hAnsi="Arial Narrow"/>
                <w:b/>
                <w:bCs/>
              </w:rPr>
              <w:t xml:space="preserve">Provisiones: </w:t>
            </w:r>
          </w:p>
          <w:p w14:paraId="65B66A0F" w14:textId="0EB59D02" w:rsidR="005B7CF1" w:rsidRPr="00582688" w:rsidRDefault="005B7CF1" w:rsidP="00991128">
            <w:pPr>
              <w:rPr>
                <w:rFonts w:ascii="Arial Narrow" w:hAnsi="Arial Narrow"/>
              </w:rPr>
            </w:pPr>
            <w:r w:rsidRPr="00582688">
              <w:rPr>
                <w:rFonts w:ascii="Arial Narrow" w:hAnsi="Arial Narrow"/>
              </w:rPr>
              <w:t xml:space="preserve">Litigios y </w:t>
            </w:r>
            <w:r w:rsidR="00AE2660" w:rsidRPr="00582688">
              <w:rPr>
                <w:rFonts w:ascii="Arial Narrow" w:hAnsi="Arial Narrow"/>
              </w:rPr>
              <w:t>d</w:t>
            </w:r>
            <w:r w:rsidRPr="00582688">
              <w:rPr>
                <w:rFonts w:ascii="Arial Narrow" w:hAnsi="Arial Narrow"/>
              </w:rPr>
              <w:t xml:space="preserve">emandas, </w:t>
            </w:r>
          </w:p>
          <w:p w14:paraId="220FB6A4" w14:textId="77777777" w:rsidR="005B7CF1" w:rsidRPr="00582688" w:rsidRDefault="005B7CF1" w:rsidP="00991128">
            <w:pPr>
              <w:rPr>
                <w:rFonts w:ascii="Arial Narrow" w:hAnsi="Arial Narrow"/>
              </w:rPr>
            </w:pPr>
            <w:r w:rsidRPr="00582688">
              <w:rPr>
                <w:rFonts w:ascii="Arial Narrow" w:hAnsi="Arial Narrow"/>
              </w:rPr>
              <w:t xml:space="preserve">Garantías, </w:t>
            </w:r>
          </w:p>
          <w:p w14:paraId="4FDE685A" w14:textId="77777777" w:rsidR="005B7CF1" w:rsidRPr="00582688" w:rsidRDefault="005B7CF1" w:rsidP="00991128">
            <w:pPr>
              <w:rPr>
                <w:rFonts w:ascii="Arial Narrow" w:hAnsi="Arial Narrow"/>
              </w:rPr>
            </w:pPr>
            <w:r w:rsidRPr="00582688">
              <w:rPr>
                <w:rFonts w:ascii="Arial Narrow" w:hAnsi="Arial Narrow"/>
              </w:rPr>
              <w:t>Diversas.</w:t>
            </w:r>
          </w:p>
        </w:tc>
      </w:tr>
      <w:tr w:rsidR="005B7CF1" w:rsidRPr="00582688" w14:paraId="2A358194" w14:textId="77777777" w:rsidTr="004545C9">
        <w:trPr>
          <w:jc w:val="center"/>
        </w:trPr>
        <w:tc>
          <w:tcPr>
            <w:tcW w:w="5524" w:type="dxa"/>
          </w:tcPr>
          <w:p w14:paraId="5B996E0E" w14:textId="009133AF" w:rsidR="005B7CF1" w:rsidRPr="00582688" w:rsidRDefault="004545C9" w:rsidP="00991128">
            <w:pPr>
              <w:rPr>
                <w:rFonts w:ascii="Arial Narrow" w:hAnsi="Arial Narrow"/>
                <w:b/>
                <w:bCs/>
              </w:rPr>
            </w:pPr>
            <w:r>
              <w:rPr>
                <w:rFonts w:ascii="Arial Narrow" w:hAnsi="Arial Narrow"/>
                <w:b/>
                <w:bCs/>
              </w:rPr>
              <w:t xml:space="preserve">(-) </w:t>
            </w:r>
            <w:r w:rsidR="005B7CF1" w:rsidRPr="00582688">
              <w:rPr>
                <w:rFonts w:ascii="Arial Narrow" w:hAnsi="Arial Narrow"/>
                <w:b/>
                <w:bCs/>
              </w:rPr>
              <w:t>Otros gastos:</w:t>
            </w:r>
          </w:p>
          <w:p w14:paraId="281FEDCC" w14:textId="77777777" w:rsidR="005B7CF1" w:rsidRPr="00582688" w:rsidRDefault="005B7CF1" w:rsidP="00991128">
            <w:pPr>
              <w:rPr>
                <w:rFonts w:ascii="Arial Narrow" w:hAnsi="Arial Narrow"/>
              </w:rPr>
            </w:pPr>
            <w:r w:rsidRPr="00582688">
              <w:rPr>
                <w:rFonts w:ascii="Arial Narrow" w:hAnsi="Arial Narrow"/>
              </w:rPr>
              <w:t>Comisiones,</w:t>
            </w:r>
          </w:p>
          <w:p w14:paraId="6BF2755C" w14:textId="77777777" w:rsidR="005B7CF1" w:rsidRPr="00582688" w:rsidRDefault="005B7CF1" w:rsidP="00991128">
            <w:pPr>
              <w:rPr>
                <w:rFonts w:ascii="Arial Narrow" w:hAnsi="Arial Narrow"/>
              </w:rPr>
            </w:pPr>
            <w:r w:rsidRPr="00582688">
              <w:rPr>
                <w:rFonts w:ascii="Arial Narrow" w:hAnsi="Arial Narrow"/>
              </w:rPr>
              <w:t>Financieros,</w:t>
            </w:r>
          </w:p>
          <w:p w14:paraId="4F8D4AD9" w14:textId="77777777" w:rsidR="005B7CF1" w:rsidRPr="00582688" w:rsidRDefault="005B7CF1" w:rsidP="00991128">
            <w:pPr>
              <w:rPr>
                <w:rFonts w:ascii="Arial Narrow" w:hAnsi="Arial Narrow"/>
              </w:rPr>
            </w:pPr>
            <w:r w:rsidRPr="00582688">
              <w:rPr>
                <w:rFonts w:ascii="Arial Narrow" w:hAnsi="Arial Narrow"/>
              </w:rPr>
              <w:t>Ajuste por diferencia en cambio,</w:t>
            </w:r>
          </w:p>
          <w:p w14:paraId="7A7D4D8E" w14:textId="77777777" w:rsidR="005B7CF1" w:rsidRPr="00582688" w:rsidRDefault="005B7CF1" w:rsidP="00991128">
            <w:pPr>
              <w:rPr>
                <w:rFonts w:ascii="Arial Narrow" w:hAnsi="Arial Narrow"/>
              </w:rPr>
            </w:pPr>
            <w:r w:rsidRPr="00582688">
              <w:rPr>
                <w:rFonts w:ascii="Arial Narrow" w:hAnsi="Arial Narrow"/>
              </w:rPr>
              <w:t>Pérdidas por aplicación del método de participación,</w:t>
            </w:r>
          </w:p>
          <w:p w14:paraId="341541EA" w14:textId="77777777" w:rsidR="005B7CF1" w:rsidRPr="00582688" w:rsidRDefault="005B7CF1" w:rsidP="00991128">
            <w:pPr>
              <w:rPr>
                <w:rFonts w:ascii="Arial Narrow" w:hAnsi="Arial Narrow"/>
              </w:rPr>
            </w:pPr>
            <w:r w:rsidRPr="00582688">
              <w:rPr>
                <w:rFonts w:ascii="Arial Narrow" w:hAnsi="Arial Narrow"/>
              </w:rPr>
              <w:t>Gastos diversos,</w:t>
            </w:r>
          </w:p>
          <w:p w14:paraId="2E8E7544" w14:textId="77777777" w:rsidR="005B7CF1" w:rsidRPr="00582688" w:rsidRDefault="005B7CF1" w:rsidP="00991128">
            <w:pPr>
              <w:rPr>
                <w:rFonts w:ascii="Arial Narrow" w:hAnsi="Arial Narrow"/>
              </w:rPr>
            </w:pPr>
            <w:r w:rsidRPr="00582688">
              <w:rPr>
                <w:rFonts w:ascii="Arial Narrow" w:hAnsi="Arial Narrow"/>
              </w:rPr>
              <w:t>Donaciones.</w:t>
            </w:r>
          </w:p>
        </w:tc>
      </w:tr>
      <w:tr w:rsidR="005B7CF1" w:rsidRPr="00582688" w14:paraId="1BA342F7" w14:textId="77777777" w:rsidTr="004545C9">
        <w:trPr>
          <w:jc w:val="center"/>
        </w:trPr>
        <w:tc>
          <w:tcPr>
            <w:tcW w:w="5524" w:type="dxa"/>
          </w:tcPr>
          <w:p w14:paraId="61B8D65E" w14:textId="55CC6FAE" w:rsidR="005B7CF1" w:rsidRPr="00582688" w:rsidRDefault="004545C9" w:rsidP="00991128">
            <w:pPr>
              <w:rPr>
                <w:rFonts w:ascii="Arial Narrow" w:hAnsi="Arial Narrow"/>
              </w:rPr>
            </w:pPr>
            <w:r>
              <w:rPr>
                <w:rFonts w:ascii="Arial Narrow" w:hAnsi="Arial Narrow"/>
                <w:b/>
                <w:bCs/>
              </w:rPr>
              <w:t>(-</w:t>
            </w:r>
            <w:proofErr w:type="gramStart"/>
            <w:r>
              <w:rPr>
                <w:rFonts w:ascii="Arial Narrow" w:hAnsi="Arial Narrow"/>
                <w:b/>
                <w:bCs/>
              </w:rPr>
              <w:t xml:space="preserve">)  </w:t>
            </w:r>
            <w:r w:rsidR="005B7CF1" w:rsidRPr="00582688">
              <w:rPr>
                <w:rFonts w:ascii="Arial Narrow" w:hAnsi="Arial Narrow"/>
                <w:b/>
                <w:bCs/>
              </w:rPr>
              <w:t>Licencias</w:t>
            </w:r>
            <w:proofErr w:type="gramEnd"/>
            <w:r w:rsidR="005B7CF1" w:rsidRPr="00582688">
              <w:rPr>
                <w:rFonts w:ascii="Arial Narrow" w:hAnsi="Arial Narrow"/>
                <w:b/>
                <w:bCs/>
              </w:rPr>
              <w:t>, contribuciones y regalías:</w:t>
            </w:r>
          </w:p>
          <w:p w14:paraId="0B04B88E" w14:textId="77777777" w:rsidR="005B7CF1" w:rsidRPr="00582688" w:rsidRDefault="005B7CF1" w:rsidP="00991128">
            <w:pPr>
              <w:rPr>
                <w:rFonts w:ascii="Arial Narrow" w:hAnsi="Arial Narrow"/>
              </w:rPr>
            </w:pPr>
            <w:r w:rsidRPr="00582688">
              <w:rPr>
                <w:rFonts w:ascii="Arial Narrow" w:hAnsi="Arial Narrow"/>
              </w:rPr>
              <w:t>Secretaría Distrital del Medio Ambiente,</w:t>
            </w:r>
          </w:p>
          <w:p w14:paraId="4F28E259" w14:textId="77777777" w:rsidR="005B7CF1" w:rsidRPr="00582688" w:rsidRDefault="005B7CF1" w:rsidP="00991128">
            <w:pPr>
              <w:rPr>
                <w:rFonts w:ascii="Arial Narrow" w:hAnsi="Arial Narrow"/>
              </w:rPr>
            </w:pPr>
            <w:r w:rsidRPr="00582688">
              <w:rPr>
                <w:rFonts w:ascii="Arial Narrow" w:hAnsi="Arial Narrow"/>
              </w:rPr>
              <w:t>Ley 56 de 1981,</w:t>
            </w:r>
          </w:p>
          <w:p w14:paraId="6E804419" w14:textId="77777777" w:rsidR="005B7CF1" w:rsidRPr="00582688" w:rsidRDefault="005B7CF1" w:rsidP="00991128">
            <w:pPr>
              <w:rPr>
                <w:rFonts w:ascii="Arial Narrow" w:hAnsi="Arial Narrow"/>
              </w:rPr>
            </w:pPr>
            <w:r w:rsidRPr="00582688">
              <w:rPr>
                <w:rFonts w:ascii="Arial Narrow" w:hAnsi="Arial Narrow"/>
              </w:rPr>
              <w:t>Medio ambiente – Ley 99 de 1993,</w:t>
            </w:r>
          </w:p>
          <w:p w14:paraId="49C17622" w14:textId="77777777" w:rsidR="005B7CF1" w:rsidRPr="00582688" w:rsidRDefault="005B7CF1" w:rsidP="00991128">
            <w:pPr>
              <w:rPr>
                <w:rFonts w:ascii="Arial Narrow" w:hAnsi="Arial Narrow"/>
              </w:rPr>
            </w:pPr>
            <w:r w:rsidRPr="00582688">
              <w:rPr>
                <w:rFonts w:ascii="Arial Narrow" w:hAnsi="Arial Narrow"/>
              </w:rPr>
              <w:t>Regalías,</w:t>
            </w:r>
          </w:p>
          <w:p w14:paraId="1DDDC45B" w14:textId="77777777" w:rsidR="005B7CF1" w:rsidRPr="00582688" w:rsidRDefault="005B7CF1" w:rsidP="00991128">
            <w:pPr>
              <w:rPr>
                <w:rFonts w:ascii="Arial Narrow" w:hAnsi="Arial Narrow"/>
              </w:rPr>
            </w:pPr>
            <w:r w:rsidRPr="00582688">
              <w:rPr>
                <w:rFonts w:ascii="Arial Narrow" w:hAnsi="Arial Narrow"/>
              </w:rPr>
              <w:t>Licencia de operación del servicio,</w:t>
            </w:r>
          </w:p>
          <w:p w14:paraId="5FC28DE8" w14:textId="77777777" w:rsidR="005B7CF1" w:rsidRPr="00582688" w:rsidRDefault="005B7CF1" w:rsidP="00991128">
            <w:pPr>
              <w:rPr>
                <w:rFonts w:ascii="Arial Narrow" w:hAnsi="Arial Narrow"/>
              </w:rPr>
            </w:pPr>
            <w:r w:rsidRPr="00582688">
              <w:rPr>
                <w:rFonts w:ascii="Arial Narrow" w:hAnsi="Arial Narrow"/>
              </w:rPr>
              <w:t>FAZNI,</w:t>
            </w:r>
          </w:p>
          <w:p w14:paraId="45CAD59F" w14:textId="77777777" w:rsidR="005B7CF1" w:rsidRPr="00582688" w:rsidRDefault="005B7CF1" w:rsidP="00991128">
            <w:pPr>
              <w:rPr>
                <w:rFonts w:ascii="Arial Narrow" w:hAnsi="Arial Narrow"/>
              </w:rPr>
            </w:pPr>
            <w:r w:rsidRPr="00582688">
              <w:rPr>
                <w:rFonts w:ascii="Arial Narrow" w:hAnsi="Arial Narrow"/>
              </w:rPr>
              <w:t>FAER,</w:t>
            </w:r>
          </w:p>
          <w:p w14:paraId="11721486" w14:textId="77777777" w:rsidR="005B7CF1" w:rsidRPr="00582688" w:rsidRDefault="005B7CF1" w:rsidP="00991128">
            <w:pPr>
              <w:rPr>
                <w:rFonts w:ascii="Arial Narrow" w:hAnsi="Arial Narrow"/>
              </w:rPr>
            </w:pPr>
            <w:r w:rsidRPr="00582688">
              <w:rPr>
                <w:rFonts w:ascii="Arial Narrow" w:hAnsi="Arial Narrow"/>
              </w:rPr>
              <w:t>Cuota de fomento de gas,</w:t>
            </w:r>
          </w:p>
          <w:p w14:paraId="608A1166" w14:textId="77777777" w:rsidR="005B7CF1" w:rsidRPr="00582688" w:rsidRDefault="005B7CF1" w:rsidP="00991128">
            <w:pPr>
              <w:rPr>
                <w:rFonts w:ascii="Arial Narrow" w:hAnsi="Arial Narrow"/>
              </w:rPr>
            </w:pPr>
            <w:r w:rsidRPr="00582688">
              <w:rPr>
                <w:rFonts w:ascii="Arial Narrow" w:hAnsi="Arial Narrow"/>
              </w:rPr>
              <w:t>Comité de estratificación – Ley 505 de 1999,</w:t>
            </w:r>
          </w:p>
          <w:p w14:paraId="2BCA6327" w14:textId="77777777" w:rsidR="005B7CF1" w:rsidRPr="00582688" w:rsidRDefault="005B7CF1" w:rsidP="00991128">
            <w:pPr>
              <w:rPr>
                <w:rFonts w:ascii="Arial Narrow" w:hAnsi="Arial Narrow"/>
              </w:rPr>
            </w:pPr>
            <w:r w:rsidRPr="00582688">
              <w:rPr>
                <w:rFonts w:ascii="Arial Narrow" w:hAnsi="Arial Narrow"/>
              </w:rPr>
              <w:t>Art. 25 – Ley 142 de Concesiones y permisos ambientales y sanitarios</w:t>
            </w:r>
          </w:p>
          <w:p w14:paraId="553CE17C" w14:textId="0B4C8CF2" w:rsidR="005B7CF1" w:rsidRPr="00582688" w:rsidRDefault="005B7CF1" w:rsidP="00991128">
            <w:pPr>
              <w:rPr>
                <w:rFonts w:ascii="Arial Narrow" w:hAnsi="Arial Narrow"/>
              </w:rPr>
            </w:pPr>
            <w:r w:rsidRPr="00582688">
              <w:rPr>
                <w:rFonts w:ascii="Arial Narrow" w:hAnsi="Arial Narrow"/>
              </w:rPr>
              <w:lastRenderedPageBreak/>
              <w:t>Otras licencias Ley 142 de 1994.</w:t>
            </w:r>
          </w:p>
        </w:tc>
      </w:tr>
    </w:tbl>
    <w:p w14:paraId="168F5BF7" w14:textId="77777777" w:rsidR="00535E02" w:rsidRDefault="00535E02" w:rsidP="00AE2660">
      <w:pPr>
        <w:pStyle w:val="Textoindependiente"/>
        <w:spacing w:after="0"/>
        <w:jc w:val="left"/>
      </w:pPr>
    </w:p>
    <w:p w14:paraId="528A88B6" w14:textId="466BF0D3" w:rsidR="00D52E34" w:rsidRPr="007226D7" w:rsidRDefault="00D52E34" w:rsidP="00D22441">
      <w:pPr>
        <w:pStyle w:val="Subttulo"/>
        <w:numPr>
          <w:ilvl w:val="1"/>
          <w:numId w:val="37"/>
        </w:numPr>
        <w:spacing w:after="0"/>
        <w:ind w:left="357" w:hanging="357"/>
        <w:jc w:val="left"/>
        <w:rPr>
          <w:b/>
          <w:bCs/>
          <w:sz w:val="22"/>
          <w:szCs w:val="22"/>
        </w:rPr>
      </w:pPr>
      <w:bookmarkStart w:id="21" w:name="_Toc147154296"/>
      <w:bookmarkStart w:id="22" w:name="INFOEEFF2022REPORTESUI"/>
      <w:r>
        <w:rPr>
          <w:b/>
          <w:sz w:val="22"/>
          <w:szCs w:val="22"/>
        </w:rPr>
        <w:t>INFORMACIÓN FINANCIERA 202</w:t>
      </w:r>
      <w:r w:rsidR="00E01779">
        <w:rPr>
          <w:b/>
          <w:sz w:val="22"/>
          <w:szCs w:val="22"/>
        </w:rPr>
        <w:t>2</w:t>
      </w:r>
      <w:r>
        <w:rPr>
          <w:b/>
          <w:sz w:val="22"/>
          <w:szCs w:val="22"/>
        </w:rPr>
        <w:t xml:space="preserve"> REPORTADA</w:t>
      </w:r>
      <w:r w:rsidR="00D52F03">
        <w:rPr>
          <w:b/>
          <w:sz w:val="22"/>
          <w:szCs w:val="22"/>
        </w:rPr>
        <w:t xml:space="preserve"> AL SUI</w:t>
      </w:r>
      <w:r w:rsidR="00C447D2">
        <w:rPr>
          <w:b/>
          <w:sz w:val="22"/>
          <w:szCs w:val="22"/>
        </w:rPr>
        <w:t>.</w:t>
      </w:r>
      <w:bookmarkEnd w:id="21"/>
    </w:p>
    <w:bookmarkEnd w:id="22"/>
    <w:p w14:paraId="6C7755FE" w14:textId="77777777" w:rsidR="00302271" w:rsidRDefault="00302271" w:rsidP="00D22441">
      <w:pPr>
        <w:rPr>
          <w:rFonts w:cs="Arial"/>
        </w:rPr>
      </w:pPr>
    </w:p>
    <w:p w14:paraId="51C31CCE" w14:textId="0A3ABB28" w:rsidR="00D52E34" w:rsidRDefault="00D52E34" w:rsidP="00D22441">
      <w:pPr>
        <w:rPr>
          <w:rFonts w:cs="Arial"/>
        </w:rPr>
      </w:pPr>
      <w:r w:rsidRPr="00D52E34">
        <w:rPr>
          <w:rFonts w:cs="Arial"/>
        </w:rPr>
        <w:t xml:space="preserve">Con corte al </w:t>
      </w:r>
      <w:r w:rsidR="00E01779">
        <w:rPr>
          <w:rFonts w:cs="Arial"/>
        </w:rPr>
        <w:t>1</w:t>
      </w:r>
      <w:r w:rsidR="004A5870">
        <w:rPr>
          <w:rFonts w:cs="Arial"/>
        </w:rPr>
        <w:t>2</w:t>
      </w:r>
      <w:r w:rsidR="00F0101B">
        <w:rPr>
          <w:rFonts w:cs="Arial"/>
        </w:rPr>
        <w:t xml:space="preserve"> de </w:t>
      </w:r>
      <w:r w:rsidR="00E01779">
        <w:rPr>
          <w:rFonts w:cs="Arial"/>
        </w:rPr>
        <w:t xml:space="preserve">julio </w:t>
      </w:r>
      <w:r w:rsidRPr="00D52E34">
        <w:rPr>
          <w:rFonts w:cs="Arial"/>
        </w:rPr>
        <w:t>de 202</w:t>
      </w:r>
      <w:r w:rsidR="00E01779">
        <w:rPr>
          <w:rFonts w:cs="Arial"/>
        </w:rPr>
        <w:t>3</w:t>
      </w:r>
      <w:r w:rsidRPr="00D52E34">
        <w:rPr>
          <w:rFonts w:cs="Arial"/>
        </w:rPr>
        <w:t xml:space="preserve">, las empresas reguladas presentaron </w:t>
      </w:r>
      <w:r w:rsidR="00302271">
        <w:rPr>
          <w:rFonts w:cs="Arial"/>
        </w:rPr>
        <w:t xml:space="preserve">información </w:t>
      </w:r>
      <w:r w:rsidR="00302271" w:rsidRPr="00D52E34">
        <w:rPr>
          <w:rFonts w:cs="Arial"/>
        </w:rPr>
        <w:t>de sus estados financieros del año 202</w:t>
      </w:r>
      <w:r w:rsidR="00E01779">
        <w:rPr>
          <w:rFonts w:cs="Arial"/>
        </w:rPr>
        <w:t>2</w:t>
      </w:r>
      <w:r w:rsidR="00302271">
        <w:rPr>
          <w:rFonts w:cs="Arial"/>
        </w:rPr>
        <w:t xml:space="preserve"> </w:t>
      </w:r>
      <w:r w:rsidRPr="00D52E34">
        <w:rPr>
          <w:rFonts w:cs="Arial"/>
        </w:rPr>
        <w:t>a</w:t>
      </w:r>
      <w:r w:rsidR="00302271">
        <w:rPr>
          <w:rFonts w:cs="Arial"/>
        </w:rPr>
        <w:t xml:space="preserve">l SUI – </w:t>
      </w:r>
      <w:r w:rsidRPr="00D52E34">
        <w:rPr>
          <w:rFonts w:cs="Arial"/>
        </w:rPr>
        <w:t>SSPD</w:t>
      </w:r>
      <w:r w:rsidR="00302271">
        <w:rPr>
          <w:rFonts w:cs="Arial"/>
        </w:rPr>
        <w:t>,</w:t>
      </w:r>
      <w:r w:rsidRPr="00D52E34">
        <w:rPr>
          <w:rFonts w:cs="Arial"/>
        </w:rPr>
        <w:t xml:space="preserve"> reporte XBRL, </w:t>
      </w:r>
      <w:r w:rsidR="00302271">
        <w:rPr>
          <w:rFonts w:cs="Arial"/>
        </w:rPr>
        <w:t>detallada a continuación</w:t>
      </w:r>
      <w:r w:rsidRPr="00D52E34">
        <w:rPr>
          <w:rFonts w:cs="Arial"/>
        </w:rPr>
        <w:t>:</w:t>
      </w:r>
    </w:p>
    <w:p w14:paraId="79982182" w14:textId="0BDB9EDE" w:rsidR="004562CA" w:rsidRDefault="004562CA" w:rsidP="00D22441">
      <w:pPr>
        <w:rPr>
          <w:rFonts w:cs="Arial"/>
        </w:rPr>
      </w:pPr>
    </w:p>
    <w:p w14:paraId="30949AF8" w14:textId="2EC60182" w:rsidR="00B24EC3" w:rsidRDefault="00B24EC3" w:rsidP="00B24EC3">
      <w:pPr>
        <w:pStyle w:val="Descripcin"/>
        <w:rPr>
          <w:i w:val="0"/>
          <w:iCs w:val="0"/>
          <w:color w:val="auto"/>
        </w:rPr>
      </w:pPr>
      <w:bookmarkStart w:id="23" w:name="_Toc145486430"/>
      <w:r w:rsidRPr="002C4392">
        <w:rPr>
          <w:i w:val="0"/>
          <w:iCs w:val="0"/>
          <w:color w:val="auto"/>
        </w:rPr>
        <w:t xml:space="preserve">Tabla </w:t>
      </w:r>
      <w:r w:rsidRPr="002C4392">
        <w:rPr>
          <w:i w:val="0"/>
          <w:iCs w:val="0"/>
          <w:color w:val="auto"/>
        </w:rPr>
        <w:fldChar w:fldCharType="begin"/>
      </w:r>
      <w:r w:rsidRPr="002C4392">
        <w:rPr>
          <w:i w:val="0"/>
          <w:iCs w:val="0"/>
          <w:color w:val="auto"/>
        </w:rPr>
        <w:instrText xml:space="preserve"> SEQ Tabla \* ARABIC </w:instrText>
      </w:r>
      <w:r w:rsidRPr="002C4392">
        <w:rPr>
          <w:i w:val="0"/>
          <w:iCs w:val="0"/>
          <w:color w:val="auto"/>
        </w:rPr>
        <w:fldChar w:fldCharType="separate"/>
      </w:r>
      <w:r>
        <w:rPr>
          <w:i w:val="0"/>
          <w:iCs w:val="0"/>
          <w:noProof/>
          <w:color w:val="auto"/>
        </w:rPr>
        <w:t>4</w:t>
      </w:r>
      <w:r w:rsidRPr="002C4392">
        <w:rPr>
          <w:i w:val="0"/>
          <w:iCs w:val="0"/>
          <w:color w:val="auto"/>
        </w:rPr>
        <w:fldChar w:fldCharType="end"/>
      </w:r>
      <w:r w:rsidRPr="002C4392">
        <w:rPr>
          <w:i w:val="0"/>
          <w:iCs w:val="0"/>
          <w:color w:val="auto"/>
        </w:rPr>
        <w:t xml:space="preserve">. </w:t>
      </w:r>
      <w:r>
        <w:rPr>
          <w:i w:val="0"/>
          <w:iCs w:val="0"/>
          <w:color w:val="auto"/>
        </w:rPr>
        <w:t xml:space="preserve">Información financiera </w:t>
      </w:r>
      <w:r w:rsidR="001B5C19">
        <w:rPr>
          <w:i w:val="0"/>
          <w:iCs w:val="0"/>
          <w:color w:val="auto"/>
        </w:rPr>
        <w:t xml:space="preserve">2022 </w:t>
      </w:r>
      <w:r>
        <w:rPr>
          <w:i w:val="0"/>
          <w:iCs w:val="0"/>
          <w:color w:val="auto"/>
        </w:rPr>
        <w:t>reportada</w:t>
      </w:r>
      <w:r w:rsidR="001B5C19">
        <w:rPr>
          <w:i w:val="0"/>
          <w:iCs w:val="0"/>
          <w:color w:val="auto"/>
        </w:rPr>
        <w:t xml:space="preserve"> al SUI – SSPD</w:t>
      </w:r>
      <w:r>
        <w:rPr>
          <w:i w:val="0"/>
          <w:iCs w:val="0"/>
          <w:color w:val="auto"/>
        </w:rPr>
        <w:t>:</w:t>
      </w:r>
      <w:bookmarkEnd w:id="23"/>
    </w:p>
    <w:tbl>
      <w:tblPr>
        <w:tblW w:w="8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89"/>
        <w:gridCol w:w="4940"/>
        <w:gridCol w:w="2126"/>
      </w:tblGrid>
      <w:tr w:rsidR="00F20D21" w:rsidRPr="00F20D21" w14:paraId="34AF8AF0" w14:textId="77777777" w:rsidTr="005A572B">
        <w:trPr>
          <w:trHeight w:val="267"/>
          <w:tblHeader/>
          <w:jc w:val="center"/>
        </w:trPr>
        <w:tc>
          <w:tcPr>
            <w:tcW w:w="1289" w:type="dxa"/>
            <w:shd w:val="clear" w:color="auto" w:fill="E7E6E6" w:themeFill="background2"/>
            <w:noWrap/>
            <w:vAlign w:val="center"/>
            <w:hideMark/>
          </w:tcPr>
          <w:p w14:paraId="5DD35282" w14:textId="77777777" w:rsidR="00F20D21" w:rsidRPr="00F20D21" w:rsidRDefault="00F20D21" w:rsidP="00D70396">
            <w:pPr>
              <w:jc w:val="center"/>
              <w:rPr>
                <w:rFonts w:ascii="Arial Narrow" w:hAnsi="Arial Narrow" w:cs="Arial"/>
                <w:b/>
                <w:bCs/>
                <w:sz w:val="18"/>
                <w:szCs w:val="18"/>
              </w:rPr>
            </w:pPr>
            <w:r w:rsidRPr="00F20D21">
              <w:rPr>
                <w:rFonts w:ascii="Arial Narrow" w:hAnsi="Arial Narrow" w:cs="Arial"/>
                <w:b/>
                <w:bCs/>
                <w:sz w:val="18"/>
                <w:szCs w:val="18"/>
              </w:rPr>
              <w:t>TIPO DE GASTO</w:t>
            </w:r>
          </w:p>
        </w:tc>
        <w:tc>
          <w:tcPr>
            <w:tcW w:w="4940" w:type="dxa"/>
            <w:shd w:val="clear" w:color="auto" w:fill="E7E6E6" w:themeFill="background2"/>
            <w:noWrap/>
            <w:vAlign w:val="center"/>
            <w:hideMark/>
          </w:tcPr>
          <w:p w14:paraId="0F11389F" w14:textId="77777777" w:rsidR="00F20D21" w:rsidRPr="00F20D21" w:rsidRDefault="00F20D21" w:rsidP="00D70396">
            <w:pPr>
              <w:jc w:val="center"/>
              <w:rPr>
                <w:rFonts w:ascii="Arial Narrow" w:hAnsi="Arial Narrow" w:cs="Arial"/>
                <w:b/>
                <w:bCs/>
                <w:sz w:val="18"/>
                <w:szCs w:val="18"/>
              </w:rPr>
            </w:pPr>
            <w:r w:rsidRPr="00F20D21">
              <w:rPr>
                <w:rFonts w:ascii="Arial Narrow" w:hAnsi="Arial Narrow" w:cs="Arial"/>
                <w:b/>
                <w:bCs/>
                <w:sz w:val="18"/>
                <w:szCs w:val="18"/>
              </w:rPr>
              <w:t xml:space="preserve"> CONCEPTOS </w:t>
            </w:r>
          </w:p>
        </w:tc>
        <w:tc>
          <w:tcPr>
            <w:tcW w:w="2126" w:type="dxa"/>
            <w:shd w:val="clear" w:color="auto" w:fill="E7E6E6" w:themeFill="background2"/>
            <w:noWrap/>
            <w:vAlign w:val="center"/>
            <w:hideMark/>
          </w:tcPr>
          <w:p w14:paraId="22B5D4C0" w14:textId="77777777" w:rsidR="00F20D21" w:rsidRPr="00F20D21" w:rsidRDefault="00F20D21" w:rsidP="00D70396">
            <w:pPr>
              <w:jc w:val="center"/>
              <w:rPr>
                <w:rFonts w:ascii="Arial Narrow" w:hAnsi="Arial Narrow" w:cs="Arial"/>
                <w:b/>
                <w:bCs/>
                <w:sz w:val="18"/>
                <w:szCs w:val="18"/>
              </w:rPr>
            </w:pPr>
            <w:r w:rsidRPr="00F20D21">
              <w:rPr>
                <w:rFonts w:ascii="Arial Narrow" w:hAnsi="Arial Narrow" w:cs="Arial"/>
                <w:b/>
                <w:bCs/>
                <w:sz w:val="18"/>
                <w:szCs w:val="18"/>
              </w:rPr>
              <w:t>VALORES EEFF 2022</w:t>
            </w:r>
          </w:p>
        </w:tc>
      </w:tr>
      <w:tr w:rsidR="00F20D21" w:rsidRPr="00F20D21" w14:paraId="3035D594" w14:textId="77777777" w:rsidTr="005A572B">
        <w:trPr>
          <w:trHeight w:val="267"/>
          <w:jc w:val="center"/>
        </w:trPr>
        <w:tc>
          <w:tcPr>
            <w:tcW w:w="1289" w:type="dxa"/>
            <w:shd w:val="clear" w:color="auto" w:fill="auto"/>
            <w:noWrap/>
            <w:vAlign w:val="center"/>
            <w:hideMark/>
          </w:tcPr>
          <w:p w14:paraId="4D71F413" w14:textId="77777777" w:rsidR="00F20D21" w:rsidRPr="00F20D21" w:rsidRDefault="00F20D21" w:rsidP="00D70396">
            <w:pPr>
              <w:rPr>
                <w:rFonts w:ascii="Arial Narrow" w:hAnsi="Arial Narrow" w:cs="Arial"/>
                <w:sz w:val="18"/>
                <w:szCs w:val="18"/>
              </w:rPr>
            </w:pPr>
            <w:r w:rsidRPr="00F20D21">
              <w:rPr>
                <w:rFonts w:ascii="Arial Narrow" w:hAnsi="Arial Narrow" w:cs="Arial"/>
                <w:sz w:val="18"/>
                <w:szCs w:val="18"/>
              </w:rPr>
              <w:t>Administrativo</w:t>
            </w:r>
          </w:p>
        </w:tc>
        <w:tc>
          <w:tcPr>
            <w:tcW w:w="4940" w:type="dxa"/>
            <w:shd w:val="clear" w:color="auto" w:fill="auto"/>
            <w:noWrap/>
            <w:vAlign w:val="center"/>
            <w:hideMark/>
          </w:tcPr>
          <w:p w14:paraId="27AD6368" w14:textId="77777777" w:rsidR="00F20D21" w:rsidRPr="00F20D21" w:rsidRDefault="00F20D21" w:rsidP="00D70396">
            <w:pPr>
              <w:rPr>
                <w:rFonts w:ascii="Arial Narrow" w:hAnsi="Arial Narrow" w:cs="Arial"/>
                <w:sz w:val="18"/>
                <w:szCs w:val="18"/>
              </w:rPr>
            </w:pPr>
            <w:r w:rsidRPr="00F20D21">
              <w:rPr>
                <w:rFonts w:ascii="Arial Narrow" w:hAnsi="Arial Narrow" w:cs="Arial"/>
                <w:sz w:val="18"/>
                <w:szCs w:val="18"/>
              </w:rPr>
              <w:t xml:space="preserve"> </w:t>
            </w:r>
            <w:proofErr w:type="gramStart"/>
            <w:r w:rsidRPr="00F20D21">
              <w:rPr>
                <w:rFonts w:ascii="Arial Narrow" w:hAnsi="Arial Narrow" w:cs="Arial"/>
                <w:sz w:val="18"/>
                <w:szCs w:val="18"/>
              </w:rPr>
              <w:t>Total</w:t>
            </w:r>
            <w:proofErr w:type="gramEnd"/>
            <w:r w:rsidRPr="00F20D21">
              <w:rPr>
                <w:rFonts w:ascii="Arial Narrow" w:hAnsi="Arial Narrow" w:cs="Arial"/>
                <w:sz w:val="18"/>
                <w:szCs w:val="18"/>
              </w:rPr>
              <w:t xml:space="preserve"> Gastos Administrativos </w:t>
            </w:r>
          </w:p>
        </w:tc>
        <w:tc>
          <w:tcPr>
            <w:tcW w:w="2126" w:type="dxa"/>
            <w:shd w:val="clear" w:color="auto" w:fill="auto"/>
            <w:noWrap/>
            <w:vAlign w:val="center"/>
            <w:hideMark/>
          </w:tcPr>
          <w:p w14:paraId="41CB52D7" w14:textId="77777777" w:rsidR="00F20D21" w:rsidRPr="00F20D21" w:rsidRDefault="00F20D21" w:rsidP="00D70396">
            <w:pPr>
              <w:jc w:val="right"/>
              <w:rPr>
                <w:rFonts w:ascii="Arial Narrow" w:hAnsi="Arial Narrow" w:cs="Arial"/>
                <w:sz w:val="18"/>
                <w:szCs w:val="18"/>
              </w:rPr>
            </w:pPr>
            <w:r w:rsidRPr="00F20D21">
              <w:rPr>
                <w:rFonts w:ascii="Arial Narrow" w:hAnsi="Arial Narrow" w:cs="Arial"/>
                <w:sz w:val="18"/>
                <w:szCs w:val="18"/>
              </w:rPr>
              <w:t>$ 23.900.028.701.277</w:t>
            </w:r>
          </w:p>
        </w:tc>
      </w:tr>
      <w:tr w:rsidR="00F20D21" w:rsidRPr="00F20D21" w14:paraId="1BA3BAE8" w14:textId="77777777" w:rsidTr="005A572B">
        <w:trPr>
          <w:trHeight w:val="267"/>
          <w:jc w:val="center"/>
        </w:trPr>
        <w:tc>
          <w:tcPr>
            <w:tcW w:w="1289" w:type="dxa"/>
            <w:shd w:val="clear" w:color="auto" w:fill="auto"/>
            <w:noWrap/>
            <w:vAlign w:val="center"/>
            <w:hideMark/>
          </w:tcPr>
          <w:p w14:paraId="1C4F4F95" w14:textId="77777777" w:rsidR="00F20D21" w:rsidRPr="00F20D21" w:rsidRDefault="00F20D21" w:rsidP="00D70396">
            <w:pPr>
              <w:rPr>
                <w:rFonts w:ascii="Arial Narrow" w:hAnsi="Arial Narrow" w:cs="Arial"/>
                <w:sz w:val="18"/>
                <w:szCs w:val="18"/>
              </w:rPr>
            </w:pPr>
            <w:r w:rsidRPr="00F20D21">
              <w:rPr>
                <w:rFonts w:ascii="Arial Narrow" w:hAnsi="Arial Narrow" w:cs="Arial"/>
                <w:sz w:val="18"/>
                <w:szCs w:val="18"/>
              </w:rPr>
              <w:t>Administrativo</w:t>
            </w:r>
          </w:p>
        </w:tc>
        <w:tc>
          <w:tcPr>
            <w:tcW w:w="4940" w:type="dxa"/>
            <w:shd w:val="clear" w:color="auto" w:fill="auto"/>
            <w:noWrap/>
            <w:vAlign w:val="center"/>
            <w:hideMark/>
          </w:tcPr>
          <w:p w14:paraId="29ACBF2D" w14:textId="77777777" w:rsidR="00F20D21" w:rsidRPr="00F20D21" w:rsidRDefault="00F20D21" w:rsidP="00D70396">
            <w:pPr>
              <w:rPr>
                <w:rFonts w:ascii="Arial Narrow" w:hAnsi="Arial Narrow" w:cs="Arial"/>
                <w:sz w:val="18"/>
                <w:szCs w:val="18"/>
              </w:rPr>
            </w:pPr>
            <w:r w:rsidRPr="00F20D21">
              <w:rPr>
                <w:rFonts w:ascii="Arial Narrow" w:hAnsi="Arial Narrow" w:cs="Arial"/>
                <w:sz w:val="18"/>
                <w:szCs w:val="18"/>
              </w:rPr>
              <w:t xml:space="preserve"> (-) Ajustes Diferencia en Cambio </w:t>
            </w:r>
          </w:p>
        </w:tc>
        <w:tc>
          <w:tcPr>
            <w:tcW w:w="2126" w:type="dxa"/>
            <w:shd w:val="clear" w:color="auto" w:fill="auto"/>
            <w:noWrap/>
            <w:vAlign w:val="center"/>
            <w:hideMark/>
          </w:tcPr>
          <w:p w14:paraId="632EF617" w14:textId="77777777" w:rsidR="00F20D21" w:rsidRPr="00F20D21" w:rsidRDefault="00F20D21" w:rsidP="00D70396">
            <w:pPr>
              <w:jc w:val="right"/>
              <w:rPr>
                <w:rFonts w:ascii="Arial Narrow" w:hAnsi="Arial Narrow" w:cs="Arial"/>
                <w:sz w:val="18"/>
                <w:szCs w:val="18"/>
              </w:rPr>
            </w:pPr>
            <w:r w:rsidRPr="00F20D21">
              <w:rPr>
                <w:rFonts w:ascii="Arial Narrow" w:hAnsi="Arial Narrow" w:cs="Arial"/>
                <w:sz w:val="18"/>
                <w:szCs w:val="18"/>
              </w:rPr>
              <w:t>($ 1.834.840.782.188)</w:t>
            </w:r>
          </w:p>
        </w:tc>
      </w:tr>
      <w:tr w:rsidR="00F20D21" w:rsidRPr="00F20D21" w14:paraId="5FC7FACD" w14:textId="77777777" w:rsidTr="005A572B">
        <w:trPr>
          <w:trHeight w:val="267"/>
          <w:jc w:val="center"/>
        </w:trPr>
        <w:tc>
          <w:tcPr>
            <w:tcW w:w="1289" w:type="dxa"/>
            <w:shd w:val="clear" w:color="auto" w:fill="auto"/>
            <w:noWrap/>
            <w:vAlign w:val="center"/>
            <w:hideMark/>
          </w:tcPr>
          <w:p w14:paraId="734614FE" w14:textId="77777777" w:rsidR="00F20D21" w:rsidRPr="00F20D21" w:rsidRDefault="00F20D21" w:rsidP="00D70396">
            <w:pPr>
              <w:rPr>
                <w:rFonts w:ascii="Arial Narrow" w:hAnsi="Arial Narrow" w:cs="Arial"/>
                <w:sz w:val="18"/>
                <w:szCs w:val="18"/>
              </w:rPr>
            </w:pPr>
            <w:r w:rsidRPr="00F20D21">
              <w:rPr>
                <w:rFonts w:ascii="Arial Narrow" w:hAnsi="Arial Narrow" w:cs="Arial"/>
                <w:sz w:val="18"/>
                <w:szCs w:val="18"/>
              </w:rPr>
              <w:t>Administrativo</w:t>
            </w:r>
          </w:p>
        </w:tc>
        <w:tc>
          <w:tcPr>
            <w:tcW w:w="4940" w:type="dxa"/>
            <w:shd w:val="clear" w:color="auto" w:fill="auto"/>
            <w:noWrap/>
            <w:vAlign w:val="center"/>
            <w:hideMark/>
          </w:tcPr>
          <w:p w14:paraId="62A055BF" w14:textId="77777777" w:rsidR="00F20D21" w:rsidRPr="00F20D21" w:rsidRDefault="00F20D21" w:rsidP="00D70396">
            <w:pPr>
              <w:rPr>
                <w:rFonts w:ascii="Arial Narrow" w:hAnsi="Arial Narrow" w:cs="Arial"/>
                <w:sz w:val="18"/>
                <w:szCs w:val="18"/>
              </w:rPr>
            </w:pPr>
            <w:r w:rsidRPr="00F20D21">
              <w:rPr>
                <w:rFonts w:ascii="Arial Narrow" w:hAnsi="Arial Narrow" w:cs="Arial"/>
                <w:sz w:val="18"/>
                <w:szCs w:val="18"/>
              </w:rPr>
              <w:t xml:space="preserve"> (-) Comisiones </w:t>
            </w:r>
          </w:p>
        </w:tc>
        <w:tc>
          <w:tcPr>
            <w:tcW w:w="2126" w:type="dxa"/>
            <w:shd w:val="clear" w:color="auto" w:fill="auto"/>
            <w:noWrap/>
            <w:vAlign w:val="center"/>
            <w:hideMark/>
          </w:tcPr>
          <w:p w14:paraId="3C067BCB" w14:textId="77777777" w:rsidR="00F20D21" w:rsidRPr="00F20D21" w:rsidRDefault="00F20D21" w:rsidP="00D70396">
            <w:pPr>
              <w:jc w:val="right"/>
              <w:rPr>
                <w:rFonts w:ascii="Arial Narrow" w:hAnsi="Arial Narrow" w:cs="Arial"/>
                <w:sz w:val="18"/>
                <w:szCs w:val="18"/>
              </w:rPr>
            </w:pPr>
            <w:r w:rsidRPr="00F20D21">
              <w:rPr>
                <w:rFonts w:ascii="Arial Narrow" w:hAnsi="Arial Narrow" w:cs="Arial"/>
                <w:sz w:val="18"/>
                <w:szCs w:val="18"/>
              </w:rPr>
              <w:t>($ 53.297.563.568)</w:t>
            </w:r>
          </w:p>
        </w:tc>
      </w:tr>
      <w:tr w:rsidR="00F20D21" w:rsidRPr="00F20D21" w14:paraId="59E12AC9" w14:textId="77777777" w:rsidTr="005A572B">
        <w:trPr>
          <w:trHeight w:val="267"/>
          <w:jc w:val="center"/>
        </w:trPr>
        <w:tc>
          <w:tcPr>
            <w:tcW w:w="1289" w:type="dxa"/>
            <w:shd w:val="clear" w:color="auto" w:fill="auto"/>
            <w:noWrap/>
            <w:vAlign w:val="center"/>
            <w:hideMark/>
          </w:tcPr>
          <w:p w14:paraId="15ED856F" w14:textId="77777777" w:rsidR="00F20D21" w:rsidRPr="00F20D21" w:rsidRDefault="00F20D21" w:rsidP="00D70396">
            <w:pPr>
              <w:rPr>
                <w:rFonts w:ascii="Arial Narrow" w:hAnsi="Arial Narrow" w:cs="Arial"/>
                <w:sz w:val="18"/>
                <w:szCs w:val="18"/>
              </w:rPr>
            </w:pPr>
            <w:r w:rsidRPr="00F20D21">
              <w:rPr>
                <w:rFonts w:ascii="Arial Narrow" w:hAnsi="Arial Narrow" w:cs="Arial"/>
                <w:sz w:val="18"/>
                <w:szCs w:val="18"/>
              </w:rPr>
              <w:t>Administrativo</w:t>
            </w:r>
          </w:p>
        </w:tc>
        <w:tc>
          <w:tcPr>
            <w:tcW w:w="4940" w:type="dxa"/>
            <w:shd w:val="clear" w:color="auto" w:fill="auto"/>
            <w:noWrap/>
            <w:vAlign w:val="center"/>
            <w:hideMark/>
          </w:tcPr>
          <w:p w14:paraId="5424A992" w14:textId="77777777" w:rsidR="00F20D21" w:rsidRPr="00F20D21" w:rsidRDefault="00F20D21" w:rsidP="00D70396">
            <w:pPr>
              <w:rPr>
                <w:rFonts w:ascii="Arial Narrow" w:hAnsi="Arial Narrow" w:cs="Arial"/>
                <w:sz w:val="18"/>
                <w:szCs w:val="18"/>
              </w:rPr>
            </w:pPr>
            <w:r w:rsidRPr="00F20D21">
              <w:rPr>
                <w:rFonts w:ascii="Arial Narrow" w:hAnsi="Arial Narrow" w:cs="Arial"/>
                <w:sz w:val="18"/>
                <w:szCs w:val="18"/>
              </w:rPr>
              <w:t xml:space="preserve"> (-) Donaciones </w:t>
            </w:r>
          </w:p>
        </w:tc>
        <w:tc>
          <w:tcPr>
            <w:tcW w:w="2126" w:type="dxa"/>
            <w:shd w:val="clear" w:color="auto" w:fill="auto"/>
            <w:noWrap/>
            <w:vAlign w:val="center"/>
            <w:hideMark/>
          </w:tcPr>
          <w:p w14:paraId="1D8A335D" w14:textId="77777777" w:rsidR="00F20D21" w:rsidRPr="00F20D21" w:rsidRDefault="00F20D21" w:rsidP="00D70396">
            <w:pPr>
              <w:jc w:val="right"/>
              <w:rPr>
                <w:rFonts w:ascii="Arial Narrow" w:hAnsi="Arial Narrow" w:cs="Arial"/>
                <w:sz w:val="18"/>
                <w:szCs w:val="18"/>
              </w:rPr>
            </w:pPr>
            <w:r w:rsidRPr="00F20D21">
              <w:rPr>
                <w:rFonts w:ascii="Arial Narrow" w:hAnsi="Arial Narrow" w:cs="Arial"/>
                <w:sz w:val="18"/>
                <w:szCs w:val="18"/>
              </w:rPr>
              <w:t>($ 26.295.115.507)</w:t>
            </w:r>
          </w:p>
        </w:tc>
      </w:tr>
      <w:tr w:rsidR="00F20D21" w:rsidRPr="00F20D21" w14:paraId="796EA80D" w14:textId="77777777" w:rsidTr="005A572B">
        <w:trPr>
          <w:trHeight w:val="267"/>
          <w:jc w:val="center"/>
        </w:trPr>
        <w:tc>
          <w:tcPr>
            <w:tcW w:w="1289" w:type="dxa"/>
            <w:shd w:val="clear" w:color="auto" w:fill="auto"/>
            <w:noWrap/>
            <w:vAlign w:val="center"/>
            <w:hideMark/>
          </w:tcPr>
          <w:p w14:paraId="2E333D1C" w14:textId="77777777" w:rsidR="00F20D21" w:rsidRPr="00F20D21" w:rsidRDefault="00F20D21" w:rsidP="00D70396">
            <w:pPr>
              <w:rPr>
                <w:rFonts w:ascii="Arial Narrow" w:hAnsi="Arial Narrow" w:cs="Arial"/>
                <w:sz w:val="18"/>
                <w:szCs w:val="18"/>
              </w:rPr>
            </w:pPr>
            <w:r w:rsidRPr="00F20D21">
              <w:rPr>
                <w:rFonts w:ascii="Arial Narrow" w:hAnsi="Arial Narrow" w:cs="Arial"/>
                <w:sz w:val="18"/>
                <w:szCs w:val="18"/>
              </w:rPr>
              <w:t>Administrativo</w:t>
            </w:r>
          </w:p>
        </w:tc>
        <w:tc>
          <w:tcPr>
            <w:tcW w:w="4940" w:type="dxa"/>
            <w:shd w:val="clear" w:color="auto" w:fill="auto"/>
            <w:noWrap/>
            <w:vAlign w:val="center"/>
            <w:hideMark/>
          </w:tcPr>
          <w:p w14:paraId="7EBC17B6" w14:textId="77777777" w:rsidR="00F20D21" w:rsidRPr="00F20D21" w:rsidRDefault="00F20D21" w:rsidP="00D70396">
            <w:pPr>
              <w:rPr>
                <w:rFonts w:ascii="Arial Narrow" w:hAnsi="Arial Narrow" w:cs="Arial"/>
                <w:sz w:val="18"/>
                <w:szCs w:val="18"/>
              </w:rPr>
            </w:pPr>
            <w:r w:rsidRPr="00F20D21">
              <w:rPr>
                <w:rFonts w:ascii="Arial Narrow" w:hAnsi="Arial Narrow" w:cs="Arial"/>
                <w:sz w:val="18"/>
                <w:szCs w:val="18"/>
              </w:rPr>
              <w:t xml:space="preserve"> (-) Financieros </w:t>
            </w:r>
          </w:p>
        </w:tc>
        <w:tc>
          <w:tcPr>
            <w:tcW w:w="2126" w:type="dxa"/>
            <w:shd w:val="clear" w:color="auto" w:fill="auto"/>
            <w:noWrap/>
            <w:vAlign w:val="center"/>
            <w:hideMark/>
          </w:tcPr>
          <w:p w14:paraId="10E69855" w14:textId="77777777" w:rsidR="00F20D21" w:rsidRPr="00F20D21" w:rsidRDefault="00F20D21" w:rsidP="00D70396">
            <w:pPr>
              <w:jc w:val="right"/>
              <w:rPr>
                <w:rFonts w:ascii="Arial Narrow" w:hAnsi="Arial Narrow" w:cs="Arial"/>
                <w:sz w:val="18"/>
                <w:szCs w:val="18"/>
              </w:rPr>
            </w:pPr>
            <w:r w:rsidRPr="00F20D21">
              <w:rPr>
                <w:rFonts w:ascii="Arial Narrow" w:hAnsi="Arial Narrow" w:cs="Arial"/>
                <w:sz w:val="18"/>
                <w:szCs w:val="18"/>
              </w:rPr>
              <w:t>($ 5.979.638.425.991)</w:t>
            </w:r>
          </w:p>
        </w:tc>
      </w:tr>
      <w:tr w:rsidR="00F20D21" w:rsidRPr="00F20D21" w14:paraId="4C51D44C" w14:textId="77777777" w:rsidTr="005A572B">
        <w:trPr>
          <w:trHeight w:val="267"/>
          <w:jc w:val="center"/>
        </w:trPr>
        <w:tc>
          <w:tcPr>
            <w:tcW w:w="1289" w:type="dxa"/>
            <w:shd w:val="clear" w:color="auto" w:fill="auto"/>
            <w:noWrap/>
            <w:vAlign w:val="center"/>
            <w:hideMark/>
          </w:tcPr>
          <w:p w14:paraId="2531FD40" w14:textId="77777777" w:rsidR="00F20D21" w:rsidRPr="00F20D21" w:rsidRDefault="00F20D21" w:rsidP="00D70396">
            <w:pPr>
              <w:rPr>
                <w:rFonts w:ascii="Arial Narrow" w:hAnsi="Arial Narrow" w:cs="Arial"/>
                <w:sz w:val="18"/>
                <w:szCs w:val="18"/>
              </w:rPr>
            </w:pPr>
            <w:r w:rsidRPr="00F20D21">
              <w:rPr>
                <w:rFonts w:ascii="Arial Narrow" w:hAnsi="Arial Narrow" w:cs="Arial"/>
                <w:sz w:val="18"/>
                <w:szCs w:val="18"/>
              </w:rPr>
              <w:t>Administrativo</w:t>
            </w:r>
          </w:p>
        </w:tc>
        <w:tc>
          <w:tcPr>
            <w:tcW w:w="4940" w:type="dxa"/>
            <w:shd w:val="clear" w:color="auto" w:fill="auto"/>
            <w:noWrap/>
            <w:vAlign w:val="center"/>
            <w:hideMark/>
          </w:tcPr>
          <w:p w14:paraId="09CD43EA" w14:textId="77777777" w:rsidR="00F20D21" w:rsidRPr="00F20D21" w:rsidRDefault="00F20D21" w:rsidP="00D70396">
            <w:pPr>
              <w:rPr>
                <w:rFonts w:ascii="Arial Narrow" w:hAnsi="Arial Narrow" w:cs="Arial"/>
                <w:sz w:val="18"/>
                <w:szCs w:val="18"/>
              </w:rPr>
            </w:pPr>
            <w:r w:rsidRPr="00F20D21">
              <w:rPr>
                <w:rFonts w:ascii="Arial Narrow" w:hAnsi="Arial Narrow" w:cs="Arial"/>
                <w:sz w:val="18"/>
                <w:szCs w:val="18"/>
              </w:rPr>
              <w:t xml:space="preserve"> (-) Perdida por el método de participación patrimonial </w:t>
            </w:r>
          </w:p>
        </w:tc>
        <w:tc>
          <w:tcPr>
            <w:tcW w:w="2126" w:type="dxa"/>
            <w:shd w:val="clear" w:color="auto" w:fill="auto"/>
            <w:noWrap/>
            <w:vAlign w:val="center"/>
            <w:hideMark/>
          </w:tcPr>
          <w:p w14:paraId="22B31C4F" w14:textId="77777777" w:rsidR="00F20D21" w:rsidRPr="00F20D21" w:rsidRDefault="00F20D21" w:rsidP="00D70396">
            <w:pPr>
              <w:jc w:val="right"/>
              <w:rPr>
                <w:rFonts w:ascii="Arial Narrow" w:hAnsi="Arial Narrow" w:cs="Arial"/>
                <w:sz w:val="18"/>
                <w:szCs w:val="18"/>
              </w:rPr>
            </w:pPr>
            <w:r w:rsidRPr="00F20D21">
              <w:rPr>
                <w:rFonts w:ascii="Arial Narrow" w:hAnsi="Arial Narrow" w:cs="Arial"/>
                <w:sz w:val="18"/>
                <w:szCs w:val="18"/>
              </w:rPr>
              <w:t>($ 165.676.289.000)</w:t>
            </w:r>
          </w:p>
        </w:tc>
      </w:tr>
      <w:tr w:rsidR="00F20D21" w:rsidRPr="00F20D21" w14:paraId="4C0B36A5" w14:textId="77777777" w:rsidTr="005A572B">
        <w:trPr>
          <w:trHeight w:val="267"/>
          <w:jc w:val="center"/>
        </w:trPr>
        <w:tc>
          <w:tcPr>
            <w:tcW w:w="1289" w:type="dxa"/>
            <w:shd w:val="clear" w:color="auto" w:fill="auto"/>
            <w:noWrap/>
            <w:vAlign w:val="center"/>
            <w:hideMark/>
          </w:tcPr>
          <w:p w14:paraId="7A4A3A07" w14:textId="77777777" w:rsidR="00F20D21" w:rsidRPr="00F20D21" w:rsidRDefault="00F20D21" w:rsidP="00D70396">
            <w:pPr>
              <w:rPr>
                <w:rFonts w:ascii="Arial Narrow" w:hAnsi="Arial Narrow" w:cs="Arial"/>
                <w:sz w:val="18"/>
                <w:szCs w:val="18"/>
              </w:rPr>
            </w:pPr>
            <w:r w:rsidRPr="00F20D21">
              <w:rPr>
                <w:rFonts w:ascii="Arial Narrow" w:hAnsi="Arial Narrow" w:cs="Arial"/>
                <w:sz w:val="18"/>
                <w:szCs w:val="18"/>
              </w:rPr>
              <w:t>Administrativo</w:t>
            </w:r>
          </w:p>
        </w:tc>
        <w:tc>
          <w:tcPr>
            <w:tcW w:w="4940" w:type="dxa"/>
            <w:shd w:val="clear" w:color="auto" w:fill="auto"/>
            <w:noWrap/>
            <w:vAlign w:val="center"/>
            <w:hideMark/>
          </w:tcPr>
          <w:p w14:paraId="0CA11742" w14:textId="77777777" w:rsidR="00F20D21" w:rsidRPr="00F20D21" w:rsidRDefault="00F20D21" w:rsidP="00D70396">
            <w:pPr>
              <w:rPr>
                <w:rFonts w:ascii="Arial Narrow" w:hAnsi="Arial Narrow" w:cs="Arial"/>
                <w:sz w:val="18"/>
                <w:szCs w:val="18"/>
              </w:rPr>
            </w:pPr>
            <w:r w:rsidRPr="00F20D21">
              <w:rPr>
                <w:rFonts w:ascii="Arial Narrow" w:hAnsi="Arial Narrow" w:cs="Arial"/>
                <w:sz w:val="18"/>
                <w:szCs w:val="18"/>
              </w:rPr>
              <w:t xml:space="preserve"> (-) Litigios y/o demandas </w:t>
            </w:r>
          </w:p>
        </w:tc>
        <w:tc>
          <w:tcPr>
            <w:tcW w:w="2126" w:type="dxa"/>
            <w:shd w:val="clear" w:color="auto" w:fill="auto"/>
            <w:noWrap/>
            <w:vAlign w:val="center"/>
            <w:hideMark/>
          </w:tcPr>
          <w:p w14:paraId="1B05E412" w14:textId="77777777" w:rsidR="00F20D21" w:rsidRPr="00F20D21" w:rsidRDefault="00F20D21" w:rsidP="00D70396">
            <w:pPr>
              <w:jc w:val="right"/>
              <w:rPr>
                <w:rFonts w:ascii="Arial Narrow" w:hAnsi="Arial Narrow" w:cs="Arial"/>
                <w:sz w:val="18"/>
                <w:szCs w:val="18"/>
              </w:rPr>
            </w:pPr>
            <w:r w:rsidRPr="00F20D21">
              <w:rPr>
                <w:rFonts w:ascii="Arial Narrow" w:hAnsi="Arial Narrow" w:cs="Arial"/>
                <w:sz w:val="18"/>
                <w:szCs w:val="18"/>
              </w:rPr>
              <w:t>($ 168.016.089.351)</w:t>
            </w:r>
          </w:p>
        </w:tc>
      </w:tr>
      <w:tr w:rsidR="00F20D21" w:rsidRPr="00F20D21" w14:paraId="32106C5C" w14:textId="77777777" w:rsidTr="005A572B">
        <w:trPr>
          <w:trHeight w:val="267"/>
          <w:jc w:val="center"/>
        </w:trPr>
        <w:tc>
          <w:tcPr>
            <w:tcW w:w="1289" w:type="dxa"/>
            <w:shd w:val="clear" w:color="auto" w:fill="auto"/>
            <w:noWrap/>
            <w:vAlign w:val="center"/>
            <w:hideMark/>
          </w:tcPr>
          <w:p w14:paraId="653C22F1" w14:textId="77777777" w:rsidR="00F20D21" w:rsidRPr="00F20D21" w:rsidRDefault="00F20D21" w:rsidP="00D70396">
            <w:pPr>
              <w:rPr>
                <w:rFonts w:ascii="Arial Narrow" w:hAnsi="Arial Narrow" w:cs="Arial"/>
                <w:sz w:val="18"/>
                <w:szCs w:val="18"/>
              </w:rPr>
            </w:pPr>
            <w:r w:rsidRPr="00F20D21">
              <w:rPr>
                <w:rFonts w:ascii="Arial Narrow" w:hAnsi="Arial Narrow" w:cs="Arial"/>
                <w:sz w:val="18"/>
                <w:szCs w:val="18"/>
              </w:rPr>
              <w:t>Administrativo</w:t>
            </w:r>
          </w:p>
        </w:tc>
        <w:tc>
          <w:tcPr>
            <w:tcW w:w="4940" w:type="dxa"/>
            <w:shd w:val="clear" w:color="auto" w:fill="auto"/>
            <w:noWrap/>
            <w:vAlign w:val="center"/>
            <w:hideMark/>
          </w:tcPr>
          <w:p w14:paraId="4F1570EF" w14:textId="77777777" w:rsidR="00F20D21" w:rsidRPr="00F20D21" w:rsidRDefault="00F20D21" w:rsidP="00D70396">
            <w:pPr>
              <w:rPr>
                <w:rFonts w:ascii="Arial Narrow" w:hAnsi="Arial Narrow" w:cs="Arial"/>
                <w:sz w:val="18"/>
                <w:szCs w:val="18"/>
              </w:rPr>
            </w:pPr>
            <w:r w:rsidRPr="00F20D21">
              <w:rPr>
                <w:rFonts w:ascii="Arial Narrow" w:hAnsi="Arial Narrow" w:cs="Arial"/>
                <w:sz w:val="18"/>
                <w:szCs w:val="18"/>
              </w:rPr>
              <w:t xml:space="preserve"> (-) Garantías </w:t>
            </w:r>
          </w:p>
        </w:tc>
        <w:tc>
          <w:tcPr>
            <w:tcW w:w="2126" w:type="dxa"/>
            <w:shd w:val="clear" w:color="auto" w:fill="auto"/>
            <w:noWrap/>
            <w:vAlign w:val="center"/>
            <w:hideMark/>
          </w:tcPr>
          <w:p w14:paraId="049A648F" w14:textId="77777777" w:rsidR="00F20D21" w:rsidRPr="00F20D21" w:rsidRDefault="00F20D21" w:rsidP="00D70396">
            <w:pPr>
              <w:jc w:val="right"/>
              <w:rPr>
                <w:rFonts w:ascii="Arial Narrow" w:hAnsi="Arial Narrow" w:cs="Arial"/>
                <w:sz w:val="18"/>
                <w:szCs w:val="18"/>
              </w:rPr>
            </w:pPr>
            <w:r w:rsidRPr="00F20D21">
              <w:rPr>
                <w:rFonts w:ascii="Arial Narrow" w:hAnsi="Arial Narrow" w:cs="Arial"/>
                <w:sz w:val="18"/>
                <w:szCs w:val="18"/>
              </w:rPr>
              <w:t>($ 91.781.376.000)</w:t>
            </w:r>
          </w:p>
        </w:tc>
      </w:tr>
      <w:tr w:rsidR="00F20D21" w:rsidRPr="00F20D21" w14:paraId="191D3C0A" w14:textId="77777777" w:rsidTr="005A572B">
        <w:trPr>
          <w:trHeight w:val="267"/>
          <w:jc w:val="center"/>
        </w:trPr>
        <w:tc>
          <w:tcPr>
            <w:tcW w:w="1289" w:type="dxa"/>
            <w:shd w:val="clear" w:color="auto" w:fill="auto"/>
            <w:noWrap/>
            <w:vAlign w:val="center"/>
            <w:hideMark/>
          </w:tcPr>
          <w:p w14:paraId="3B19D7EB" w14:textId="77777777" w:rsidR="00F20D21" w:rsidRPr="00F20D21" w:rsidRDefault="00F20D21" w:rsidP="00D70396">
            <w:pPr>
              <w:rPr>
                <w:rFonts w:ascii="Arial Narrow" w:hAnsi="Arial Narrow" w:cs="Arial"/>
                <w:sz w:val="18"/>
                <w:szCs w:val="18"/>
              </w:rPr>
            </w:pPr>
            <w:r w:rsidRPr="00F20D21">
              <w:rPr>
                <w:rFonts w:ascii="Arial Narrow" w:hAnsi="Arial Narrow" w:cs="Arial"/>
                <w:sz w:val="18"/>
                <w:szCs w:val="18"/>
              </w:rPr>
              <w:t>Administrativo</w:t>
            </w:r>
          </w:p>
        </w:tc>
        <w:tc>
          <w:tcPr>
            <w:tcW w:w="4940" w:type="dxa"/>
            <w:shd w:val="clear" w:color="auto" w:fill="auto"/>
            <w:noWrap/>
            <w:vAlign w:val="center"/>
            <w:hideMark/>
          </w:tcPr>
          <w:p w14:paraId="697D2BAF" w14:textId="77777777" w:rsidR="00F20D21" w:rsidRPr="00F20D21" w:rsidRDefault="00F20D21" w:rsidP="00D70396">
            <w:pPr>
              <w:rPr>
                <w:rFonts w:ascii="Arial Narrow" w:hAnsi="Arial Narrow" w:cs="Arial"/>
                <w:sz w:val="18"/>
                <w:szCs w:val="18"/>
              </w:rPr>
            </w:pPr>
            <w:r w:rsidRPr="00F20D21">
              <w:rPr>
                <w:rFonts w:ascii="Arial Narrow" w:hAnsi="Arial Narrow" w:cs="Arial"/>
                <w:sz w:val="18"/>
                <w:szCs w:val="18"/>
              </w:rPr>
              <w:t xml:space="preserve"> (-) Diversas </w:t>
            </w:r>
          </w:p>
        </w:tc>
        <w:tc>
          <w:tcPr>
            <w:tcW w:w="2126" w:type="dxa"/>
            <w:shd w:val="clear" w:color="auto" w:fill="auto"/>
            <w:noWrap/>
            <w:vAlign w:val="center"/>
            <w:hideMark/>
          </w:tcPr>
          <w:p w14:paraId="0201C633" w14:textId="77777777" w:rsidR="00F20D21" w:rsidRPr="00F20D21" w:rsidRDefault="00F20D21" w:rsidP="00D70396">
            <w:pPr>
              <w:jc w:val="right"/>
              <w:rPr>
                <w:rFonts w:ascii="Arial Narrow" w:hAnsi="Arial Narrow" w:cs="Arial"/>
                <w:sz w:val="18"/>
                <w:szCs w:val="18"/>
              </w:rPr>
            </w:pPr>
            <w:r w:rsidRPr="00F20D21">
              <w:rPr>
                <w:rFonts w:ascii="Arial Narrow" w:hAnsi="Arial Narrow" w:cs="Arial"/>
                <w:sz w:val="18"/>
                <w:szCs w:val="18"/>
              </w:rPr>
              <w:t>($ 46.463.871.611)</w:t>
            </w:r>
          </w:p>
        </w:tc>
      </w:tr>
      <w:tr w:rsidR="00F20D21" w:rsidRPr="00F20D21" w14:paraId="0DE5F4E0" w14:textId="77777777" w:rsidTr="005A572B">
        <w:trPr>
          <w:trHeight w:val="267"/>
          <w:jc w:val="center"/>
        </w:trPr>
        <w:tc>
          <w:tcPr>
            <w:tcW w:w="1289" w:type="dxa"/>
            <w:shd w:val="clear" w:color="auto" w:fill="auto"/>
            <w:noWrap/>
            <w:vAlign w:val="center"/>
            <w:hideMark/>
          </w:tcPr>
          <w:p w14:paraId="1195173E" w14:textId="77777777" w:rsidR="00F20D21" w:rsidRPr="00F20D21" w:rsidRDefault="00F20D21" w:rsidP="00D70396">
            <w:pPr>
              <w:rPr>
                <w:rFonts w:ascii="Arial Narrow" w:hAnsi="Arial Narrow" w:cs="Arial"/>
                <w:sz w:val="18"/>
                <w:szCs w:val="18"/>
              </w:rPr>
            </w:pPr>
            <w:r w:rsidRPr="00F20D21">
              <w:rPr>
                <w:rFonts w:ascii="Arial Narrow" w:hAnsi="Arial Narrow" w:cs="Arial"/>
                <w:sz w:val="18"/>
                <w:szCs w:val="18"/>
              </w:rPr>
              <w:t>Administrativo</w:t>
            </w:r>
          </w:p>
        </w:tc>
        <w:tc>
          <w:tcPr>
            <w:tcW w:w="4940" w:type="dxa"/>
            <w:shd w:val="clear" w:color="auto" w:fill="auto"/>
            <w:noWrap/>
            <w:vAlign w:val="center"/>
            <w:hideMark/>
          </w:tcPr>
          <w:p w14:paraId="1FA95435" w14:textId="77777777" w:rsidR="00F20D21" w:rsidRPr="00F20D21" w:rsidRDefault="00F20D21" w:rsidP="00D70396">
            <w:pPr>
              <w:rPr>
                <w:rFonts w:ascii="Arial Narrow" w:hAnsi="Arial Narrow" w:cs="Arial"/>
                <w:sz w:val="18"/>
                <w:szCs w:val="18"/>
              </w:rPr>
            </w:pPr>
            <w:r w:rsidRPr="00F20D21">
              <w:rPr>
                <w:rFonts w:ascii="Arial Narrow" w:hAnsi="Arial Narrow" w:cs="Arial"/>
                <w:sz w:val="18"/>
                <w:szCs w:val="18"/>
              </w:rPr>
              <w:t xml:space="preserve"> (-) Amortización </w:t>
            </w:r>
          </w:p>
        </w:tc>
        <w:tc>
          <w:tcPr>
            <w:tcW w:w="2126" w:type="dxa"/>
            <w:shd w:val="clear" w:color="auto" w:fill="auto"/>
            <w:noWrap/>
            <w:vAlign w:val="center"/>
            <w:hideMark/>
          </w:tcPr>
          <w:p w14:paraId="3E102EF3" w14:textId="77777777" w:rsidR="00F20D21" w:rsidRPr="00F20D21" w:rsidRDefault="00F20D21" w:rsidP="00D70396">
            <w:pPr>
              <w:jc w:val="right"/>
              <w:rPr>
                <w:rFonts w:ascii="Arial Narrow" w:hAnsi="Arial Narrow" w:cs="Arial"/>
                <w:sz w:val="18"/>
                <w:szCs w:val="18"/>
              </w:rPr>
            </w:pPr>
            <w:r w:rsidRPr="00F20D21">
              <w:rPr>
                <w:rFonts w:ascii="Arial Narrow" w:hAnsi="Arial Narrow" w:cs="Arial"/>
                <w:sz w:val="18"/>
                <w:szCs w:val="18"/>
              </w:rPr>
              <w:t>($ 168.257.281.686)</w:t>
            </w:r>
          </w:p>
        </w:tc>
      </w:tr>
      <w:tr w:rsidR="00F20D21" w:rsidRPr="00F20D21" w14:paraId="537CAF5C" w14:textId="77777777" w:rsidTr="005A572B">
        <w:trPr>
          <w:trHeight w:val="267"/>
          <w:jc w:val="center"/>
        </w:trPr>
        <w:tc>
          <w:tcPr>
            <w:tcW w:w="1289" w:type="dxa"/>
            <w:shd w:val="clear" w:color="auto" w:fill="auto"/>
            <w:noWrap/>
            <w:vAlign w:val="center"/>
            <w:hideMark/>
          </w:tcPr>
          <w:p w14:paraId="49EFEB9F" w14:textId="77777777" w:rsidR="00F20D21" w:rsidRPr="00F20D21" w:rsidRDefault="00F20D21" w:rsidP="00D70396">
            <w:pPr>
              <w:rPr>
                <w:rFonts w:ascii="Arial Narrow" w:hAnsi="Arial Narrow" w:cs="Arial"/>
                <w:sz w:val="18"/>
                <w:szCs w:val="18"/>
              </w:rPr>
            </w:pPr>
            <w:r w:rsidRPr="00F20D21">
              <w:rPr>
                <w:rFonts w:ascii="Arial Narrow" w:hAnsi="Arial Narrow" w:cs="Arial"/>
                <w:sz w:val="18"/>
                <w:szCs w:val="18"/>
              </w:rPr>
              <w:t>Administrativo</w:t>
            </w:r>
          </w:p>
        </w:tc>
        <w:tc>
          <w:tcPr>
            <w:tcW w:w="4940" w:type="dxa"/>
            <w:shd w:val="clear" w:color="auto" w:fill="auto"/>
            <w:noWrap/>
            <w:vAlign w:val="center"/>
            <w:hideMark/>
          </w:tcPr>
          <w:p w14:paraId="142F2016" w14:textId="77777777" w:rsidR="00F20D21" w:rsidRPr="00F20D21" w:rsidRDefault="00F20D21" w:rsidP="00D70396">
            <w:pPr>
              <w:rPr>
                <w:rFonts w:ascii="Arial Narrow" w:hAnsi="Arial Narrow" w:cs="Arial"/>
                <w:sz w:val="18"/>
                <w:szCs w:val="18"/>
              </w:rPr>
            </w:pPr>
            <w:r w:rsidRPr="00F20D21">
              <w:rPr>
                <w:rFonts w:ascii="Arial Narrow" w:hAnsi="Arial Narrow" w:cs="Arial"/>
                <w:sz w:val="18"/>
                <w:szCs w:val="18"/>
              </w:rPr>
              <w:t xml:space="preserve"> (-) Depreciación </w:t>
            </w:r>
          </w:p>
        </w:tc>
        <w:tc>
          <w:tcPr>
            <w:tcW w:w="2126" w:type="dxa"/>
            <w:shd w:val="clear" w:color="auto" w:fill="auto"/>
            <w:noWrap/>
            <w:vAlign w:val="center"/>
            <w:hideMark/>
          </w:tcPr>
          <w:p w14:paraId="6EEE9FFD" w14:textId="77777777" w:rsidR="00F20D21" w:rsidRPr="00F20D21" w:rsidRDefault="00F20D21" w:rsidP="00D70396">
            <w:pPr>
              <w:jc w:val="right"/>
              <w:rPr>
                <w:rFonts w:ascii="Arial Narrow" w:hAnsi="Arial Narrow" w:cs="Arial"/>
                <w:sz w:val="18"/>
                <w:szCs w:val="18"/>
              </w:rPr>
            </w:pPr>
            <w:r w:rsidRPr="00F20D21">
              <w:rPr>
                <w:rFonts w:ascii="Arial Narrow" w:hAnsi="Arial Narrow" w:cs="Arial"/>
                <w:sz w:val="18"/>
                <w:szCs w:val="18"/>
              </w:rPr>
              <w:t>($ 244.565.784.461)</w:t>
            </w:r>
          </w:p>
        </w:tc>
      </w:tr>
      <w:tr w:rsidR="00F20D21" w:rsidRPr="00F20D21" w14:paraId="2709DBA6" w14:textId="77777777" w:rsidTr="005A572B">
        <w:trPr>
          <w:trHeight w:val="267"/>
          <w:jc w:val="center"/>
        </w:trPr>
        <w:tc>
          <w:tcPr>
            <w:tcW w:w="1289" w:type="dxa"/>
            <w:shd w:val="clear" w:color="auto" w:fill="auto"/>
            <w:noWrap/>
            <w:vAlign w:val="center"/>
            <w:hideMark/>
          </w:tcPr>
          <w:p w14:paraId="71603F66" w14:textId="77777777" w:rsidR="00F20D21" w:rsidRPr="00F20D21" w:rsidRDefault="00F20D21" w:rsidP="00D70396">
            <w:pPr>
              <w:rPr>
                <w:rFonts w:ascii="Arial Narrow" w:hAnsi="Arial Narrow" w:cs="Arial"/>
                <w:sz w:val="18"/>
                <w:szCs w:val="18"/>
              </w:rPr>
            </w:pPr>
            <w:r w:rsidRPr="00F20D21">
              <w:rPr>
                <w:rFonts w:ascii="Arial Narrow" w:hAnsi="Arial Narrow" w:cs="Arial"/>
                <w:sz w:val="18"/>
                <w:szCs w:val="18"/>
              </w:rPr>
              <w:t>Administrativo</w:t>
            </w:r>
          </w:p>
        </w:tc>
        <w:tc>
          <w:tcPr>
            <w:tcW w:w="4940" w:type="dxa"/>
            <w:shd w:val="clear" w:color="auto" w:fill="auto"/>
            <w:noWrap/>
            <w:vAlign w:val="center"/>
            <w:hideMark/>
          </w:tcPr>
          <w:p w14:paraId="146D2A3D" w14:textId="77777777" w:rsidR="00F20D21" w:rsidRPr="00F20D21" w:rsidRDefault="00F20D21" w:rsidP="00D70396">
            <w:pPr>
              <w:rPr>
                <w:rFonts w:ascii="Arial Narrow" w:hAnsi="Arial Narrow" w:cs="Arial"/>
                <w:sz w:val="18"/>
                <w:szCs w:val="18"/>
              </w:rPr>
            </w:pPr>
            <w:r w:rsidRPr="00F20D21">
              <w:rPr>
                <w:rFonts w:ascii="Arial Narrow" w:hAnsi="Arial Narrow" w:cs="Arial"/>
                <w:sz w:val="18"/>
                <w:szCs w:val="18"/>
              </w:rPr>
              <w:t xml:space="preserve"> (-) Deterioro </w:t>
            </w:r>
          </w:p>
        </w:tc>
        <w:tc>
          <w:tcPr>
            <w:tcW w:w="2126" w:type="dxa"/>
            <w:shd w:val="clear" w:color="auto" w:fill="auto"/>
            <w:noWrap/>
            <w:vAlign w:val="center"/>
            <w:hideMark/>
          </w:tcPr>
          <w:p w14:paraId="3AFA1524" w14:textId="77777777" w:rsidR="00F20D21" w:rsidRPr="00F20D21" w:rsidRDefault="00F20D21" w:rsidP="00D70396">
            <w:pPr>
              <w:jc w:val="right"/>
              <w:rPr>
                <w:rFonts w:ascii="Arial Narrow" w:hAnsi="Arial Narrow" w:cs="Arial"/>
                <w:sz w:val="18"/>
                <w:szCs w:val="18"/>
              </w:rPr>
            </w:pPr>
            <w:r w:rsidRPr="00F20D21">
              <w:rPr>
                <w:rFonts w:ascii="Arial Narrow" w:hAnsi="Arial Narrow" w:cs="Arial"/>
                <w:sz w:val="18"/>
                <w:szCs w:val="18"/>
              </w:rPr>
              <w:t>($ 2.688.892.629.372)</w:t>
            </w:r>
          </w:p>
        </w:tc>
      </w:tr>
      <w:tr w:rsidR="00F20D21" w:rsidRPr="00F20D21" w14:paraId="798BB684" w14:textId="77777777" w:rsidTr="005A572B">
        <w:trPr>
          <w:trHeight w:val="267"/>
          <w:jc w:val="center"/>
        </w:trPr>
        <w:tc>
          <w:tcPr>
            <w:tcW w:w="1289" w:type="dxa"/>
            <w:shd w:val="clear" w:color="auto" w:fill="auto"/>
            <w:noWrap/>
            <w:vAlign w:val="center"/>
            <w:hideMark/>
          </w:tcPr>
          <w:p w14:paraId="403C336A" w14:textId="77777777" w:rsidR="00F20D21" w:rsidRPr="00F20D21" w:rsidRDefault="00F20D21" w:rsidP="00D70396">
            <w:pPr>
              <w:rPr>
                <w:rFonts w:ascii="Arial Narrow" w:hAnsi="Arial Narrow" w:cs="Arial"/>
                <w:sz w:val="18"/>
                <w:szCs w:val="18"/>
              </w:rPr>
            </w:pPr>
            <w:r w:rsidRPr="00F20D21">
              <w:rPr>
                <w:rFonts w:ascii="Arial Narrow" w:hAnsi="Arial Narrow" w:cs="Arial"/>
                <w:sz w:val="18"/>
                <w:szCs w:val="18"/>
              </w:rPr>
              <w:t>Administrativo</w:t>
            </w:r>
          </w:p>
        </w:tc>
        <w:tc>
          <w:tcPr>
            <w:tcW w:w="4940" w:type="dxa"/>
            <w:shd w:val="clear" w:color="auto" w:fill="auto"/>
            <w:noWrap/>
            <w:vAlign w:val="center"/>
            <w:hideMark/>
          </w:tcPr>
          <w:p w14:paraId="608D479E" w14:textId="77777777" w:rsidR="00F20D21" w:rsidRPr="00F20D21" w:rsidRDefault="00F20D21" w:rsidP="00D70396">
            <w:pPr>
              <w:rPr>
                <w:rFonts w:ascii="Arial Narrow" w:hAnsi="Arial Narrow" w:cs="Arial"/>
                <w:sz w:val="18"/>
                <w:szCs w:val="18"/>
              </w:rPr>
            </w:pPr>
            <w:r w:rsidRPr="00F20D21">
              <w:rPr>
                <w:rFonts w:ascii="Arial Narrow" w:hAnsi="Arial Narrow" w:cs="Arial"/>
                <w:sz w:val="18"/>
                <w:szCs w:val="18"/>
              </w:rPr>
              <w:t xml:space="preserve"> (-) Impuesto a las Ganancias Corrientes </w:t>
            </w:r>
          </w:p>
        </w:tc>
        <w:tc>
          <w:tcPr>
            <w:tcW w:w="2126" w:type="dxa"/>
            <w:shd w:val="clear" w:color="auto" w:fill="auto"/>
            <w:noWrap/>
            <w:vAlign w:val="center"/>
            <w:hideMark/>
          </w:tcPr>
          <w:p w14:paraId="270157A2" w14:textId="77777777" w:rsidR="00F20D21" w:rsidRPr="00F20D21" w:rsidRDefault="00F20D21" w:rsidP="00D70396">
            <w:pPr>
              <w:jc w:val="right"/>
              <w:rPr>
                <w:rFonts w:ascii="Arial Narrow" w:hAnsi="Arial Narrow" w:cs="Arial"/>
                <w:sz w:val="18"/>
                <w:szCs w:val="18"/>
              </w:rPr>
            </w:pPr>
            <w:r w:rsidRPr="00F20D21">
              <w:rPr>
                <w:rFonts w:ascii="Arial Narrow" w:hAnsi="Arial Narrow" w:cs="Arial"/>
                <w:sz w:val="18"/>
                <w:szCs w:val="18"/>
              </w:rPr>
              <w:t>($ 7.241.449.852.175)</w:t>
            </w:r>
          </w:p>
        </w:tc>
      </w:tr>
      <w:tr w:rsidR="00F20D21" w:rsidRPr="00F20D21" w14:paraId="1F7BFE81" w14:textId="77777777" w:rsidTr="005A572B">
        <w:trPr>
          <w:trHeight w:val="267"/>
          <w:jc w:val="center"/>
        </w:trPr>
        <w:tc>
          <w:tcPr>
            <w:tcW w:w="1289" w:type="dxa"/>
            <w:shd w:val="clear" w:color="auto" w:fill="auto"/>
            <w:noWrap/>
            <w:vAlign w:val="center"/>
            <w:hideMark/>
          </w:tcPr>
          <w:p w14:paraId="7FE5EFE4" w14:textId="77777777" w:rsidR="00F20D21" w:rsidRPr="00F20D21" w:rsidRDefault="00F20D21" w:rsidP="00D70396">
            <w:pPr>
              <w:rPr>
                <w:rFonts w:ascii="Arial Narrow" w:hAnsi="Arial Narrow" w:cs="Arial"/>
                <w:sz w:val="18"/>
                <w:szCs w:val="18"/>
              </w:rPr>
            </w:pPr>
            <w:r w:rsidRPr="00F20D21">
              <w:rPr>
                <w:rFonts w:ascii="Arial Narrow" w:hAnsi="Arial Narrow" w:cs="Arial"/>
                <w:sz w:val="18"/>
                <w:szCs w:val="18"/>
              </w:rPr>
              <w:t>Administrativo</w:t>
            </w:r>
          </w:p>
        </w:tc>
        <w:tc>
          <w:tcPr>
            <w:tcW w:w="4940" w:type="dxa"/>
            <w:shd w:val="clear" w:color="auto" w:fill="auto"/>
            <w:noWrap/>
            <w:vAlign w:val="center"/>
            <w:hideMark/>
          </w:tcPr>
          <w:p w14:paraId="33310D77" w14:textId="77777777" w:rsidR="00F20D21" w:rsidRPr="00F20D21" w:rsidRDefault="00F20D21" w:rsidP="00D70396">
            <w:pPr>
              <w:rPr>
                <w:rFonts w:ascii="Arial Narrow" w:hAnsi="Arial Narrow" w:cs="Arial"/>
                <w:sz w:val="18"/>
                <w:szCs w:val="18"/>
              </w:rPr>
            </w:pPr>
            <w:r w:rsidRPr="00F20D21">
              <w:rPr>
                <w:rFonts w:ascii="Arial Narrow" w:hAnsi="Arial Narrow" w:cs="Arial"/>
                <w:sz w:val="18"/>
                <w:szCs w:val="18"/>
              </w:rPr>
              <w:t xml:space="preserve"> (-) Impuesto a las Ganancias Diferido </w:t>
            </w:r>
          </w:p>
        </w:tc>
        <w:tc>
          <w:tcPr>
            <w:tcW w:w="2126" w:type="dxa"/>
            <w:shd w:val="clear" w:color="auto" w:fill="auto"/>
            <w:noWrap/>
            <w:vAlign w:val="center"/>
            <w:hideMark/>
          </w:tcPr>
          <w:p w14:paraId="7BDE7002" w14:textId="77777777" w:rsidR="00F20D21" w:rsidRPr="00F20D21" w:rsidRDefault="00F20D21" w:rsidP="00D70396">
            <w:pPr>
              <w:jc w:val="right"/>
              <w:rPr>
                <w:rFonts w:ascii="Arial Narrow" w:hAnsi="Arial Narrow" w:cs="Arial"/>
                <w:sz w:val="18"/>
                <w:szCs w:val="18"/>
              </w:rPr>
            </w:pPr>
            <w:r w:rsidRPr="00F20D21">
              <w:rPr>
                <w:rFonts w:ascii="Arial Narrow" w:hAnsi="Arial Narrow" w:cs="Arial"/>
                <w:sz w:val="18"/>
                <w:szCs w:val="18"/>
              </w:rPr>
              <w:t>($ 471.426.345.775)</w:t>
            </w:r>
          </w:p>
        </w:tc>
      </w:tr>
      <w:tr w:rsidR="00F20D21" w:rsidRPr="00F20D21" w14:paraId="2748F992" w14:textId="77777777" w:rsidTr="005A572B">
        <w:trPr>
          <w:trHeight w:val="267"/>
          <w:jc w:val="center"/>
        </w:trPr>
        <w:tc>
          <w:tcPr>
            <w:tcW w:w="1289" w:type="dxa"/>
            <w:shd w:val="clear" w:color="auto" w:fill="auto"/>
            <w:noWrap/>
            <w:vAlign w:val="center"/>
            <w:hideMark/>
          </w:tcPr>
          <w:p w14:paraId="72DF656A" w14:textId="77777777" w:rsidR="00F20D21" w:rsidRPr="00F20D21" w:rsidRDefault="00F20D21" w:rsidP="00D70396">
            <w:pPr>
              <w:rPr>
                <w:rFonts w:ascii="Arial Narrow" w:hAnsi="Arial Narrow" w:cs="Arial"/>
                <w:sz w:val="18"/>
                <w:szCs w:val="18"/>
              </w:rPr>
            </w:pPr>
            <w:r w:rsidRPr="00F20D21">
              <w:rPr>
                <w:rFonts w:ascii="Arial Narrow" w:hAnsi="Arial Narrow" w:cs="Arial"/>
                <w:sz w:val="18"/>
                <w:szCs w:val="18"/>
              </w:rPr>
              <w:t>Administrativo</w:t>
            </w:r>
          </w:p>
        </w:tc>
        <w:tc>
          <w:tcPr>
            <w:tcW w:w="4940" w:type="dxa"/>
            <w:shd w:val="clear" w:color="auto" w:fill="auto"/>
            <w:noWrap/>
            <w:vAlign w:val="center"/>
            <w:hideMark/>
          </w:tcPr>
          <w:p w14:paraId="7F428971" w14:textId="77777777" w:rsidR="00F20D21" w:rsidRPr="00F20D21" w:rsidRDefault="00F20D21" w:rsidP="00D70396">
            <w:pPr>
              <w:rPr>
                <w:rFonts w:ascii="Arial Narrow" w:hAnsi="Arial Narrow" w:cs="Arial"/>
                <w:sz w:val="18"/>
                <w:szCs w:val="18"/>
              </w:rPr>
            </w:pPr>
            <w:r w:rsidRPr="00F20D21">
              <w:rPr>
                <w:rFonts w:ascii="Arial Narrow" w:hAnsi="Arial Narrow" w:cs="Arial"/>
                <w:sz w:val="18"/>
                <w:szCs w:val="18"/>
              </w:rPr>
              <w:t xml:space="preserve"> (-) Impuestos Tasas y Contribuciones </w:t>
            </w:r>
          </w:p>
        </w:tc>
        <w:tc>
          <w:tcPr>
            <w:tcW w:w="2126" w:type="dxa"/>
            <w:shd w:val="clear" w:color="auto" w:fill="auto"/>
            <w:noWrap/>
            <w:vAlign w:val="center"/>
            <w:hideMark/>
          </w:tcPr>
          <w:p w14:paraId="369FB0A8" w14:textId="77777777" w:rsidR="00F20D21" w:rsidRPr="00F20D21" w:rsidRDefault="00F20D21" w:rsidP="00D70396">
            <w:pPr>
              <w:jc w:val="right"/>
              <w:rPr>
                <w:rFonts w:ascii="Arial Narrow" w:hAnsi="Arial Narrow" w:cs="Arial"/>
                <w:sz w:val="18"/>
                <w:szCs w:val="18"/>
              </w:rPr>
            </w:pPr>
            <w:r w:rsidRPr="00F20D21">
              <w:rPr>
                <w:rFonts w:ascii="Arial Narrow" w:hAnsi="Arial Narrow" w:cs="Arial"/>
                <w:sz w:val="18"/>
                <w:szCs w:val="18"/>
              </w:rPr>
              <w:t>($ 919.675.930.233)</w:t>
            </w:r>
          </w:p>
        </w:tc>
      </w:tr>
      <w:tr w:rsidR="00F20D21" w:rsidRPr="00F20D21" w14:paraId="3037DD0B" w14:textId="77777777" w:rsidTr="005A572B">
        <w:trPr>
          <w:trHeight w:val="267"/>
          <w:jc w:val="center"/>
        </w:trPr>
        <w:tc>
          <w:tcPr>
            <w:tcW w:w="1289" w:type="dxa"/>
            <w:shd w:val="clear" w:color="auto" w:fill="auto"/>
            <w:noWrap/>
            <w:vAlign w:val="center"/>
            <w:hideMark/>
          </w:tcPr>
          <w:p w14:paraId="359B1607" w14:textId="77777777" w:rsidR="00F20D21" w:rsidRPr="00F20D21" w:rsidRDefault="00F20D21" w:rsidP="00D70396">
            <w:pPr>
              <w:rPr>
                <w:rFonts w:ascii="Arial Narrow" w:hAnsi="Arial Narrow" w:cs="Arial"/>
                <w:sz w:val="18"/>
                <w:szCs w:val="18"/>
              </w:rPr>
            </w:pPr>
            <w:r w:rsidRPr="00F20D21">
              <w:rPr>
                <w:rFonts w:ascii="Arial Narrow" w:hAnsi="Arial Narrow" w:cs="Arial"/>
                <w:sz w:val="18"/>
                <w:szCs w:val="18"/>
              </w:rPr>
              <w:t>Administrativo</w:t>
            </w:r>
          </w:p>
        </w:tc>
        <w:tc>
          <w:tcPr>
            <w:tcW w:w="4940" w:type="dxa"/>
            <w:shd w:val="clear" w:color="auto" w:fill="auto"/>
            <w:noWrap/>
            <w:vAlign w:val="center"/>
            <w:hideMark/>
          </w:tcPr>
          <w:p w14:paraId="19A8E908" w14:textId="77777777" w:rsidR="00F20D21" w:rsidRPr="00F20D21" w:rsidRDefault="00F20D21" w:rsidP="00D70396">
            <w:pPr>
              <w:rPr>
                <w:rFonts w:ascii="Arial Narrow" w:hAnsi="Arial Narrow" w:cs="Arial"/>
                <w:sz w:val="18"/>
                <w:szCs w:val="18"/>
              </w:rPr>
            </w:pPr>
            <w:r w:rsidRPr="00F20D21">
              <w:rPr>
                <w:rFonts w:ascii="Arial Narrow" w:hAnsi="Arial Narrow" w:cs="Arial"/>
                <w:sz w:val="18"/>
                <w:szCs w:val="18"/>
              </w:rPr>
              <w:t xml:space="preserve"> (-) Gastos Diversos </w:t>
            </w:r>
          </w:p>
        </w:tc>
        <w:tc>
          <w:tcPr>
            <w:tcW w:w="2126" w:type="dxa"/>
            <w:shd w:val="clear" w:color="auto" w:fill="auto"/>
            <w:noWrap/>
            <w:vAlign w:val="center"/>
            <w:hideMark/>
          </w:tcPr>
          <w:p w14:paraId="00008D42" w14:textId="77777777" w:rsidR="00F20D21" w:rsidRPr="00F20D21" w:rsidRDefault="00F20D21" w:rsidP="00D70396">
            <w:pPr>
              <w:jc w:val="right"/>
              <w:rPr>
                <w:rFonts w:ascii="Arial Narrow" w:hAnsi="Arial Narrow" w:cs="Arial"/>
                <w:sz w:val="18"/>
                <w:szCs w:val="18"/>
              </w:rPr>
            </w:pPr>
            <w:r w:rsidRPr="00F20D21">
              <w:rPr>
                <w:rFonts w:ascii="Arial Narrow" w:hAnsi="Arial Narrow" w:cs="Arial"/>
                <w:sz w:val="18"/>
                <w:szCs w:val="18"/>
              </w:rPr>
              <w:t>($ 342.333.966.854)</w:t>
            </w:r>
          </w:p>
        </w:tc>
      </w:tr>
      <w:tr w:rsidR="00F20D21" w:rsidRPr="00F20D21" w14:paraId="376D9B46" w14:textId="77777777" w:rsidTr="005A572B">
        <w:trPr>
          <w:trHeight w:val="267"/>
          <w:jc w:val="center"/>
        </w:trPr>
        <w:tc>
          <w:tcPr>
            <w:tcW w:w="1289" w:type="dxa"/>
            <w:shd w:val="clear" w:color="auto" w:fill="auto"/>
            <w:noWrap/>
            <w:vAlign w:val="center"/>
            <w:hideMark/>
          </w:tcPr>
          <w:p w14:paraId="6A27AE16" w14:textId="77777777" w:rsidR="00F20D21" w:rsidRPr="00F20D21" w:rsidRDefault="00F20D21" w:rsidP="00D70396">
            <w:pPr>
              <w:rPr>
                <w:rFonts w:ascii="Arial Narrow" w:hAnsi="Arial Narrow" w:cs="Arial"/>
                <w:sz w:val="18"/>
                <w:szCs w:val="18"/>
              </w:rPr>
            </w:pPr>
            <w:r w:rsidRPr="00F20D21">
              <w:rPr>
                <w:rFonts w:ascii="Arial Narrow" w:hAnsi="Arial Narrow" w:cs="Arial"/>
                <w:sz w:val="18"/>
                <w:szCs w:val="18"/>
              </w:rPr>
              <w:t>Administrativo</w:t>
            </w:r>
          </w:p>
        </w:tc>
        <w:tc>
          <w:tcPr>
            <w:tcW w:w="4940" w:type="dxa"/>
            <w:shd w:val="clear" w:color="auto" w:fill="auto"/>
            <w:noWrap/>
            <w:vAlign w:val="center"/>
            <w:hideMark/>
          </w:tcPr>
          <w:p w14:paraId="0F4E6760" w14:textId="77777777" w:rsidR="00F20D21" w:rsidRPr="00F20D21" w:rsidRDefault="00F20D21" w:rsidP="00D70396">
            <w:pPr>
              <w:rPr>
                <w:rFonts w:ascii="Arial Narrow" w:hAnsi="Arial Narrow" w:cs="Arial"/>
                <w:sz w:val="18"/>
                <w:szCs w:val="18"/>
              </w:rPr>
            </w:pPr>
            <w:r w:rsidRPr="00F20D21">
              <w:rPr>
                <w:rFonts w:ascii="Arial Narrow" w:hAnsi="Arial Narrow" w:cs="Arial"/>
                <w:sz w:val="18"/>
                <w:szCs w:val="18"/>
              </w:rPr>
              <w:t xml:space="preserve"> (-) Secretaría Distrital del Medio Ambiente </w:t>
            </w:r>
          </w:p>
        </w:tc>
        <w:tc>
          <w:tcPr>
            <w:tcW w:w="2126" w:type="dxa"/>
            <w:shd w:val="clear" w:color="auto" w:fill="auto"/>
            <w:noWrap/>
            <w:vAlign w:val="center"/>
            <w:hideMark/>
          </w:tcPr>
          <w:p w14:paraId="4DE07822" w14:textId="77777777" w:rsidR="00F20D21" w:rsidRPr="00F20D21" w:rsidRDefault="00F20D21" w:rsidP="00D70396">
            <w:pPr>
              <w:jc w:val="right"/>
              <w:rPr>
                <w:rFonts w:ascii="Arial Narrow" w:hAnsi="Arial Narrow" w:cs="Arial"/>
                <w:sz w:val="18"/>
                <w:szCs w:val="18"/>
              </w:rPr>
            </w:pPr>
            <w:r w:rsidRPr="00F20D21">
              <w:rPr>
                <w:rFonts w:ascii="Arial Narrow" w:hAnsi="Arial Narrow" w:cs="Arial"/>
                <w:sz w:val="18"/>
                <w:szCs w:val="18"/>
              </w:rPr>
              <w:t>$ 0</w:t>
            </w:r>
          </w:p>
        </w:tc>
      </w:tr>
      <w:tr w:rsidR="00F20D21" w:rsidRPr="00F20D21" w14:paraId="513BBED4" w14:textId="77777777" w:rsidTr="005A572B">
        <w:trPr>
          <w:trHeight w:val="267"/>
          <w:jc w:val="center"/>
        </w:trPr>
        <w:tc>
          <w:tcPr>
            <w:tcW w:w="1289" w:type="dxa"/>
            <w:shd w:val="clear" w:color="auto" w:fill="auto"/>
            <w:noWrap/>
            <w:vAlign w:val="center"/>
            <w:hideMark/>
          </w:tcPr>
          <w:p w14:paraId="02EAADFE" w14:textId="77777777" w:rsidR="00F20D21" w:rsidRPr="00F20D21" w:rsidRDefault="00F20D21" w:rsidP="00D70396">
            <w:pPr>
              <w:rPr>
                <w:rFonts w:ascii="Arial Narrow" w:hAnsi="Arial Narrow" w:cs="Arial"/>
                <w:sz w:val="18"/>
                <w:szCs w:val="18"/>
              </w:rPr>
            </w:pPr>
            <w:r w:rsidRPr="00F20D21">
              <w:rPr>
                <w:rFonts w:ascii="Arial Narrow" w:hAnsi="Arial Narrow" w:cs="Arial"/>
                <w:sz w:val="18"/>
                <w:szCs w:val="18"/>
              </w:rPr>
              <w:t>Administrativo</w:t>
            </w:r>
          </w:p>
        </w:tc>
        <w:tc>
          <w:tcPr>
            <w:tcW w:w="4940" w:type="dxa"/>
            <w:shd w:val="clear" w:color="auto" w:fill="auto"/>
            <w:noWrap/>
            <w:vAlign w:val="center"/>
            <w:hideMark/>
          </w:tcPr>
          <w:p w14:paraId="0021896C" w14:textId="77777777" w:rsidR="00F20D21" w:rsidRPr="00F20D21" w:rsidRDefault="00F20D21" w:rsidP="00D70396">
            <w:pPr>
              <w:rPr>
                <w:rFonts w:ascii="Arial Narrow" w:hAnsi="Arial Narrow" w:cs="Arial"/>
                <w:sz w:val="18"/>
                <w:szCs w:val="18"/>
              </w:rPr>
            </w:pPr>
            <w:r w:rsidRPr="00F20D21">
              <w:rPr>
                <w:rFonts w:ascii="Arial Narrow" w:hAnsi="Arial Narrow" w:cs="Arial"/>
                <w:sz w:val="18"/>
                <w:szCs w:val="18"/>
              </w:rPr>
              <w:t xml:space="preserve"> (-) Ley 56 de 1981 </w:t>
            </w:r>
          </w:p>
        </w:tc>
        <w:tc>
          <w:tcPr>
            <w:tcW w:w="2126" w:type="dxa"/>
            <w:shd w:val="clear" w:color="auto" w:fill="auto"/>
            <w:noWrap/>
            <w:vAlign w:val="center"/>
            <w:hideMark/>
          </w:tcPr>
          <w:p w14:paraId="21A1A4CB" w14:textId="77777777" w:rsidR="00F20D21" w:rsidRPr="00F20D21" w:rsidRDefault="00F20D21" w:rsidP="00D70396">
            <w:pPr>
              <w:jc w:val="right"/>
              <w:rPr>
                <w:rFonts w:ascii="Arial Narrow" w:hAnsi="Arial Narrow" w:cs="Arial"/>
                <w:sz w:val="18"/>
                <w:szCs w:val="18"/>
              </w:rPr>
            </w:pPr>
            <w:r w:rsidRPr="00F20D21">
              <w:rPr>
                <w:rFonts w:ascii="Arial Narrow" w:hAnsi="Arial Narrow" w:cs="Arial"/>
                <w:sz w:val="18"/>
                <w:szCs w:val="18"/>
              </w:rPr>
              <w:t>($ 575.118.000)</w:t>
            </w:r>
          </w:p>
        </w:tc>
      </w:tr>
      <w:tr w:rsidR="00F20D21" w:rsidRPr="00F20D21" w14:paraId="71E2717B" w14:textId="77777777" w:rsidTr="005A572B">
        <w:trPr>
          <w:trHeight w:val="267"/>
          <w:jc w:val="center"/>
        </w:trPr>
        <w:tc>
          <w:tcPr>
            <w:tcW w:w="1289" w:type="dxa"/>
            <w:shd w:val="clear" w:color="auto" w:fill="auto"/>
            <w:noWrap/>
            <w:vAlign w:val="center"/>
            <w:hideMark/>
          </w:tcPr>
          <w:p w14:paraId="7C14B8B5" w14:textId="77777777" w:rsidR="00F20D21" w:rsidRPr="00F20D21" w:rsidRDefault="00F20D21" w:rsidP="00D70396">
            <w:pPr>
              <w:rPr>
                <w:rFonts w:ascii="Arial Narrow" w:hAnsi="Arial Narrow" w:cs="Arial"/>
                <w:sz w:val="18"/>
                <w:szCs w:val="18"/>
              </w:rPr>
            </w:pPr>
            <w:r w:rsidRPr="00F20D21">
              <w:rPr>
                <w:rFonts w:ascii="Arial Narrow" w:hAnsi="Arial Narrow" w:cs="Arial"/>
                <w:sz w:val="18"/>
                <w:szCs w:val="18"/>
              </w:rPr>
              <w:t>Administrativo</w:t>
            </w:r>
          </w:p>
        </w:tc>
        <w:tc>
          <w:tcPr>
            <w:tcW w:w="4940" w:type="dxa"/>
            <w:shd w:val="clear" w:color="auto" w:fill="auto"/>
            <w:noWrap/>
            <w:vAlign w:val="center"/>
            <w:hideMark/>
          </w:tcPr>
          <w:p w14:paraId="41FEF4F6" w14:textId="77777777" w:rsidR="00F20D21" w:rsidRPr="00F20D21" w:rsidRDefault="00F20D21" w:rsidP="00D70396">
            <w:pPr>
              <w:rPr>
                <w:rFonts w:ascii="Arial Narrow" w:hAnsi="Arial Narrow" w:cs="Arial"/>
                <w:sz w:val="18"/>
                <w:szCs w:val="18"/>
              </w:rPr>
            </w:pPr>
            <w:r w:rsidRPr="00F20D21">
              <w:rPr>
                <w:rFonts w:ascii="Arial Narrow" w:hAnsi="Arial Narrow" w:cs="Arial"/>
                <w:sz w:val="18"/>
                <w:szCs w:val="18"/>
              </w:rPr>
              <w:t xml:space="preserve"> (-) Medio Ambiente - Ley 99 de 1993 </w:t>
            </w:r>
          </w:p>
        </w:tc>
        <w:tc>
          <w:tcPr>
            <w:tcW w:w="2126" w:type="dxa"/>
            <w:shd w:val="clear" w:color="auto" w:fill="auto"/>
            <w:noWrap/>
            <w:vAlign w:val="center"/>
            <w:hideMark/>
          </w:tcPr>
          <w:p w14:paraId="6D0848EC" w14:textId="77777777" w:rsidR="00F20D21" w:rsidRPr="00F20D21" w:rsidRDefault="00F20D21" w:rsidP="00D70396">
            <w:pPr>
              <w:jc w:val="right"/>
              <w:rPr>
                <w:rFonts w:ascii="Arial Narrow" w:hAnsi="Arial Narrow" w:cs="Arial"/>
                <w:sz w:val="18"/>
                <w:szCs w:val="18"/>
              </w:rPr>
            </w:pPr>
            <w:r w:rsidRPr="00F20D21">
              <w:rPr>
                <w:rFonts w:ascii="Arial Narrow" w:hAnsi="Arial Narrow" w:cs="Arial"/>
                <w:sz w:val="18"/>
                <w:szCs w:val="18"/>
              </w:rPr>
              <w:t>$ 0</w:t>
            </w:r>
          </w:p>
        </w:tc>
      </w:tr>
      <w:tr w:rsidR="00F20D21" w:rsidRPr="00F20D21" w14:paraId="57809632" w14:textId="77777777" w:rsidTr="005A572B">
        <w:trPr>
          <w:trHeight w:val="267"/>
          <w:jc w:val="center"/>
        </w:trPr>
        <w:tc>
          <w:tcPr>
            <w:tcW w:w="1289" w:type="dxa"/>
            <w:shd w:val="clear" w:color="auto" w:fill="auto"/>
            <w:noWrap/>
            <w:vAlign w:val="center"/>
            <w:hideMark/>
          </w:tcPr>
          <w:p w14:paraId="17285D51" w14:textId="77777777" w:rsidR="00F20D21" w:rsidRPr="00F20D21" w:rsidRDefault="00F20D21" w:rsidP="00D70396">
            <w:pPr>
              <w:rPr>
                <w:rFonts w:ascii="Arial Narrow" w:hAnsi="Arial Narrow" w:cs="Arial"/>
                <w:sz w:val="18"/>
                <w:szCs w:val="18"/>
              </w:rPr>
            </w:pPr>
            <w:r w:rsidRPr="00F20D21">
              <w:rPr>
                <w:rFonts w:ascii="Arial Narrow" w:hAnsi="Arial Narrow" w:cs="Arial"/>
                <w:sz w:val="18"/>
                <w:szCs w:val="18"/>
              </w:rPr>
              <w:t>Administrativo</w:t>
            </w:r>
          </w:p>
        </w:tc>
        <w:tc>
          <w:tcPr>
            <w:tcW w:w="4940" w:type="dxa"/>
            <w:shd w:val="clear" w:color="auto" w:fill="auto"/>
            <w:noWrap/>
            <w:vAlign w:val="center"/>
            <w:hideMark/>
          </w:tcPr>
          <w:p w14:paraId="0290B9FB" w14:textId="77777777" w:rsidR="00F20D21" w:rsidRPr="00F20D21" w:rsidRDefault="00F20D21" w:rsidP="00D70396">
            <w:pPr>
              <w:rPr>
                <w:rFonts w:ascii="Arial Narrow" w:hAnsi="Arial Narrow" w:cs="Arial"/>
                <w:sz w:val="18"/>
                <w:szCs w:val="18"/>
              </w:rPr>
            </w:pPr>
            <w:r w:rsidRPr="00F20D21">
              <w:rPr>
                <w:rFonts w:ascii="Arial Narrow" w:hAnsi="Arial Narrow" w:cs="Arial"/>
                <w:sz w:val="18"/>
                <w:szCs w:val="18"/>
              </w:rPr>
              <w:t xml:space="preserve"> (-) Regalías </w:t>
            </w:r>
          </w:p>
        </w:tc>
        <w:tc>
          <w:tcPr>
            <w:tcW w:w="2126" w:type="dxa"/>
            <w:shd w:val="clear" w:color="auto" w:fill="auto"/>
            <w:noWrap/>
            <w:vAlign w:val="center"/>
            <w:hideMark/>
          </w:tcPr>
          <w:p w14:paraId="053B8597" w14:textId="77777777" w:rsidR="00F20D21" w:rsidRPr="00F20D21" w:rsidRDefault="00F20D21" w:rsidP="00D70396">
            <w:pPr>
              <w:jc w:val="right"/>
              <w:rPr>
                <w:rFonts w:ascii="Arial Narrow" w:hAnsi="Arial Narrow" w:cs="Arial"/>
                <w:sz w:val="18"/>
                <w:szCs w:val="18"/>
              </w:rPr>
            </w:pPr>
            <w:r w:rsidRPr="00F20D21">
              <w:rPr>
                <w:rFonts w:ascii="Arial Narrow" w:hAnsi="Arial Narrow" w:cs="Arial"/>
                <w:sz w:val="18"/>
                <w:szCs w:val="18"/>
              </w:rPr>
              <w:t>$ 0</w:t>
            </w:r>
          </w:p>
        </w:tc>
      </w:tr>
      <w:tr w:rsidR="00F20D21" w:rsidRPr="00F20D21" w14:paraId="5FDC87CF" w14:textId="77777777" w:rsidTr="005A572B">
        <w:trPr>
          <w:trHeight w:val="267"/>
          <w:jc w:val="center"/>
        </w:trPr>
        <w:tc>
          <w:tcPr>
            <w:tcW w:w="1289" w:type="dxa"/>
            <w:shd w:val="clear" w:color="auto" w:fill="auto"/>
            <w:noWrap/>
            <w:vAlign w:val="center"/>
            <w:hideMark/>
          </w:tcPr>
          <w:p w14:paraId="7B0EF0AA" w14:textId="77777777" w:rsidR="00F20D21" w:rsidRPr="00F20D21" w:rsidRDefault="00F20D21" w:rsidP="00D70396">
            <w:pPr>
              <w:rPr>
                <w:rFonts w:ascii="Arial Narrow" w:hAnsi="Arial Narrow" w:cs="Arial"/>
                <w:sz w:val="18"/>
                <w:szCs w:val="18"/>
              </w:rPr>
            </w:pPr>
            <w:r w:rsidRPr="00F20D21">
              <w:rPr>
                <w:rFonts w:ascii="Arial Narrow" w:hAnsi="Arial Narrow" w:cs="Arial"/>
                <w:sz w:val="18"/>
                <w:szCs w:val="18"/>
              </w:rPr>
              <w:t>Administrativo</w:t>
            </w:r>
          </w:p>
        </w:tc>
        <w:tc>
          <w:tcPr>
            <w:tcW w:w="4940" w:type="dxa"/>
            <w:shd w:val="clear" w:color="auto" w:fill="auto"/>
            <w:noWrap/>
            <w:vAlign w:val="center"/>
            <w:hideMark/>
          </w:tcPr>
          <w:p w14:paraId="0733ABFD" w14:textId="77777777" w:rsidR="00F20D21" w:rsidRPr="00F20D21" w:rsidRDefault="00F20D21" w:rsidP="00D70396">
            <w:pPr>
              <w:rPr>
                <w:rFonts w:ascii="Arial Narrow" w:hAnsi="Arial Narrow" w:cs="Arial"/>
                <w:sz w:val="18"/>
                <w:szCs w:val="18"/>
              </w:rPr>
            </w:pPr>
            <w:r w:rsidRPr="00F20D21">
              <w:rPr>
                <w:rFonts w:ascii="Arial Narrow" w:hAnsi="Arial Narrow" w:cs="Arial"/>
                <w:sz w:val="18"/>
                <w:szCs w:val="18"/>
              </w:rPr>
              <w:t xml:space="preserve"> (-) Licencia De Operación Del Servicio </w:t>
            </w:r>
          </w:p>
        </w:tc>
        <w:tc>
          <w:tcPr>
            <w:tcW w:w="2126" w:type="dxa"/>
            <w:shd w:val="clear" w:color="auto" w:fill="auto"/>
            <w:noWrap/>
            <w:vAlign w:val="center"/>
            <w:hideMark/>
          </w:tcPr>
          <w:p w14:paraId="6459B0B2" w14:textId="77777777" w:rsidR="00F20D21" w:rsidRPr="00F20D21" w:rsidRDefault="00F20D21" w:rsidP="00D70396">
            <w:pPr>
              <w:jc w:val="right"/>
              <w:rPr>
                <w:rFonts w:ascii="Arial Narrow" w:hAnsi="Arial Narrow" w:cs="Arial"/>
                <w:sz w:val="18"/>
                <w:szCs w:val="18"/>
              </w:rPr>
            </w:pPr>
            <w:r w:rsidRPr="00F20D21">
              <w:rPr>
                <w:rFonts w:ascii="Arial Narrow" w:hAnsi="Arial Narrow" w:cs="Arial"/>
                <w:sz w:val="18"/>
                <w:szCs w:val="18"/>
              </w:rPr>
              <w:t>$ 0</w:t>
            </w:r>
          </w:p>
        </w:tc>
      </w:tr>
      <w:tr w:rsidR="00F20D21" w:rsidRPr="00F20D21" w14:paraId="3AC14B41" w14:textId="77777777" w:rsidTr="005A572B">
        <w:trPr>
          <w:trHeight w:val="267"/>
          <w:jc w:val="center"/>
        </w:trPr>
        <w:tc>
          <w:tcPr>
            <w:tcW w:w="1289" w:type="dxa"/>
            <w:shd w:val="clear" w:color="auto" w:fill="auto"/>
            <w:noWrap/>
            <w:vAlign w:val="center"/>
            <w:hideMark/>
          </w:tcPr>
          <w:p w14:paraId="2A5306AA" w14:textId="77777777" w:rsidR="00F20D21" w:rsidRPr="00F20D21" w:rsidRDefault="00F20D21" w:rsidP="00D70396">
            <w:pPr>
              <w:rPr>
                <w:rFonts w:ascii="Arial Narrow" w:hAnsi="Arial Narrow" w:cs="Arial"/>
                <w:sz w:val="18"/>
                <w:szCs w:val="18"/>
              </w:rPr>
            </w:pPr>
            <w:r w:rsidRPr="00F20D21">
              <w:rPr>
                <w:rFonts w:ascii="Arial Narrow" w:hAnsi="Arial Narrow" w:cs="Arial"/>
                <w:sz w:val="18"/>
                <w:szCs w:val="18"/>
              </w:rPr>
              <w:t>Administrativo</w:t>
            </w:r>
          </w:p>
        </w:tc>
        <w:tc>
          <w:tcPr>
            <w:tcW w:w="4940" w:type="dxa"/>
            <w:shd w:val="clear" w:color="auto" w:fill="auto"/>
            <w:noWrap/>
            <w:vAlign w:val="center"/>
            <w:hideMark/>
          </w:tcPr>
          <w:p w14:paraId="4E3361E7" w14:textId="77777777" w:rsidR="00F20D21" w:rsidRPr="00F20D21" w:rsidRDefault="00F20D21" w:rsidP="00D70396">
            <w:pPr>
              <w:rPr>
                <w:rFonts w:ascii="Arial Narrow" w:hAnsi="Arial Narrow" w:cs="Arial"/>
                <w:sz w:val="18"/>
                <w:szCs w:val="18"/>
              </w:rPr>
            </w:pPr>
            <w:r w:rsidRPr="00F20D21">
              <w:rPr>
                <w:rFonts w:ascii="Arial Narrow" w:hAnsi="Arial Narrow" w:cs="Arial"/>
                <w:sz w:val="18"/>
                <w:szCs w:val="18"/>
              </w:rPr>
              <w:t xml:space="preserve"> (-) FAZNI </w:t>
            </w:r>
          </w:p>
        </w:tc>
        <w:tc>
          <w:tcPr>
            <w:tcW w:w="2126" w:type="dxa"/>
            <w:shd w:val="clear" w:color="auto" w:fill="auto"/>
            <w:noWrap/>
            <w:vAlign w:val="center"/>
            <w:hideMark/>
          </w:tcPr>
          <w:p w14:paraId="243FB2F6" w14:textId="77777777" w:rsidR="00F20D21" w:rsidRPr="00F20D21" w:rsidRDefault="00F20D21" w:rsidP="00D70396">
            <w:pPr>
              <w:jc w:val="right"/>
              <w:rPr>
                <w:rFonts w:ascii="Arial Narrow" w:hAnsi="Arial Narrow" w:cs="Arial"/>
                <w:sz w:val="18"/>
                <w:szCs w:val="18"/>
              </w:rPr>
            </w:pPr>
            <w:r w:rsidRPr="00F20D21">
              <w:rPr>
                <w:rFonts w:ascii="Arial Narrow" w:hAnsi="Arial Narrow" w:cs="Arial"/>
                <w:sz w:val="18"/>
                <w:szCs w:val="18"/>
              </w:rPr>
              <w:t>$ 0</w:t>
            </w:r>
          </w:p>
        </w:tc>
      </w:tr>
      <w:tr w:rsidR="00F20D21" w:rsidRPr="00F20D21" w14:paraId="095A7EDB" w14:textId="77777777" w:rsidTr="005A572B">
        <w:trPr>
          <w:trHeight w:val="267"/>
          <w:jc w:val="center"/>
        </w:trPr>
        <w:tc>
          <w:tcPr>
            <w:tcW w:w="1289" w:type="dxa"/>
            <w:shd w:val="clear" w:color="auto" w:fill="auto"/>
            <w:noWrap/>
            <w:vAlign w:val="center"/>
            <w:hideMark/>
          </w:tcPr>
          <w:p w14:paraId="2470C5D2" w14:textId="77777777" w:rsidR="00F20D21" w:rsidRPr="00F20D21" w:rsidRDefault="00F20D21" w:rsidP="00D70396">
            <w:pPr>
              <w:rPr>
                <w:rFonts w:ascii="Arial Narrow" w:hAnsi="Arial Narrow" w:cs="Arial"/>
                <w:sz w:val="18"/>
                <w:szCs w:val="18"/>
              </w:rPr>
            </w:pPr>
            <w:r w:rsidRPr="00F20D21">
              <w:rPr>
                <w:rFonts w:ascii="Arial Narrow" w:hAnsi="Arial Narrow" w:cs="Arial"/>
                <w:sz w:val="18"/>
                <w:szCs w:val="18"/>
              </w:rPr>
              <w:t>Administrativo</w:t>
            </w:r>
          </w:p>
        </w:tc>
        <w:tc>
          <w:tcPr>
            <w:tcW w:w="4940" w:type="dxa"/>
            <w:shd w:val="clear" w:color="auto" w:fill="auto"/>
            <w:noWrap/>
            <w:vAlign w:val="center"/>
            <w:hideMark/>
          </w:tcPr>
          <w:p w14:paraId="1561CE87" w14:textId="77777777" w:rsidR="00F20D21" w:rsidRPr="00F20D21" w:rsidRDefault="00F20D21" w:rsidP="00D70396">
            <w:pPr>
              <w:rPr>
                <w:rFonts w:ascii="Arial Narrow" w:hAnsi="Arial Narrow" w:cs="Arial"/>
                <w:sz w:val="18"/>
                <w:szCs w:val="18"/>
              </w:rPr>
            </w:pPr>
            <w:r w:rsidRPr="00F20D21">
              <w:rPr>
                <w:rFonts w:ascii="Arial Narrow" w:hAnsi="Arial Narrow" w:cs="Arial"/>
                <w:sz w:val="18"/>
                <w:szCs w:val="18"/>
              </w:rPr>
              <w:t xml:space="preserve"> (-) FAER </w:t>
            </w:r>
          </w:p>
        </w:tc>
        <w:tc>
          <w:tcPr>
            <w:tcW w:w="2126" w:type="dxa"/>
            <w:shd w:val="clear" w:color="auto" w:fill="auto"/>
            <w:noWrap/>
            <w:vAlign w:val="center"/>
            <w:hideMark/>
          </w:tcPr>
          <w:p w14:paraId="643CBE39" w14:textId="77777777" w:rsidR="00F20D21" w:rsidRPr="00F20D21" w:rsidRDefault="00F20D21" w:rsidP="00D70396">
            <w:pPr>
              <w:jc w:val="right"/>
              <w:rPr>
                <w:rFonts w:ascii="Arial Narrow" w:hAnsi="Arial Narrow" w:cs="Arial"/>
                <w:sz w:val="18"/>
                <w:szCs w:val="18"/>
              </w:rPr>
            </w:pPr>
            <w:r w:rsidRPr="00F20D21">
              <w:rPr>
                <w:rFonts w:ascii="Arial Narrow" w:hAnsi="Arial Narrow" w:cs="Arial"/>
                <w:sz w:val="18"/>
                <w:szCs w:val="18"/>
              </w:rPr>
              <w:t>$ 0</w:t>
            </w:r>
          </w:p>
        </w:tc>
      </w:tr>
      <w:tr w:rsidR="00F20D21" w:rsidRPr="00F20D21" w14:paraId="5FC79BFE" w14:textId="77777777" w:rsidTr="005A572B">
        <w:trPr>
          <w:trHeight w:val="267"/>
          <w:jc w:val="center"/>
        </w:trPr>
        <w:tc>
          <w:tcPr>
            <w:tcW w:w="1289" w:type="dxa"/>
            <w:shd w:val="clear" w:color="auto" w:fill="auto"/>
            <w:noWrap/>
            <w:vAlign w:val="center"/>
            <w:hideMark/>
          </w:tcPr>
          <w:p w14:paraId="6FC14B7B" w14:textId="77777777" w:rsidR="00F20D21" w:rsidRPr="00F20D21" w:rsidRDefault="00F20D21" w:rsidP="00D70396">
            <w:pPr>
              <w:rPr>
                <w:rFonts w:ascii="Arial Narrow" w:hAnsi="Arial Narrow" w:cs="Arial"/>
                <w:sz w:val="18"/>
                <w:szCs w:val="18"/>
              </w:rPr>
            </w:pPr>
            <w:r w:rsidRPr="00F20D21">
              <w:rPr>
                <w:rFonts w:ascii="Arial Narrow" w:hAnsi="Arial Narrow" w:cs="Arial"/>
                <w:sz w:val="18"/>
                <w:szCs w:val="18"/>
              </w:rPr>
              <w:t>Administrativo</w:t>
            </w:r>
          </w:p>
        </w:tc>
        <w:tc>
          <w:tcPr>
            <w:tcW w:w="4940" w:type="dxa"/>
            <w:shd w:val="clear" w:color="auto" w:fill="auto"/>
            <w:noWrap/>
            <w:vAlign w:val="center"/>
            <w:hideMark/>
          </w:tcPr>
          <w:p w14:paraId="6579A92A" w14:textId="77777777" w:rsidR="00F20D21" w:rsidRPr="00F20D21" w:rsidRDefault="00F20D21" w:rsidP="00D70396">
            <w:pPr>
              <w:rPr>
                <w:rFonts w:ascii="Arial Narrow" w:hAnsi="Arial Narrow" w:cs="Arial"/>
                <w:sz w:val="18"/>
                <w:szCs w:val="18"/>
              </w:rPr>
            </w:pPr>
            <w:r w:rsidRPr="00F20D21">
              <w:rPr>
                <w:rFonts w:ascii="Arial Narrow" w:hAnsi="Arial Narrow" w:cs="Arial"/>
                <w:sz w:val="18"/>
                <w:szCs w:val="18"/>
              </w:rPr>
              <w:t xml:space="preserve"> (-) Cuota de Fomento de gas </w:t>
            </w:r>
          </w:p>
        </w:tc>
        <w:tc>
          <w:tcPr>
            <w:tcW w:w="2126" w:type="dxa"/>
            <w:shd w:val="clear" w:color="auto" w:fill="auto"/>
            <w:noWrap/>
            <w:vAlign w:val="center"/>
            <w:hideMark/>
          </w:tcPr>
          <w:p w14:paraId="075B974A" w14:textId="77777777" w:rsidR="00F20D21" w:rsidRPr="00F20D21" w:rsidRDefault="00F20D21" w:rsidP="00D70396">
            <w:pPr>
              <w:jc w:val="right"/>
              <w:rPr>
                <w:rFonts w:ascii="Arial Narrow" w:hAnsi="Arial Narrow" w:cs="Arial"/>
                <w:sz w:val="18"/>
                <w:szCs w:val="18"/>
              </w:rPr>
            </w:pPr>
            <w:r w:rsidRPr="00F20D21">
              <w:rPr>
                <w:rFonts w:ascii="Arial Narrow" w:hAnsi="Arial Narrow" w:cs="Arial"/>
                <w:sz w:val="18"/>
                <w:szCs w:val="18"/>
              </w:rPr>
              <w:t>$ 0</w:t>
            </w:r>
          </w:p>
        </w:tc>
      </w:tr>
      <w:tr w:rsidR="00F20D21" w:rsidRPr="00F20D21" w14:paraId="62D129AE" w14:textId="77777777" w:rsidTr="005A572B">
        <w:trPr>
          <w:trHeight w:val="267"/>
          <w:jc w:val="center"/>
        </w:trPr>
        <w:tc>
          <w:tcPr>
            <w:tcW w:w="1289" w:type="dxa"/>
            <w:shd w:val="clear" w:color="auto" w:fill="auto"/>
            <w:noWrap/>
            <w:vAlign w:val="center"/>
            <w:hideMark/>
          </w:tcPr>
          <w:p w14:paraId="07B83C43" w14:textId="77777777" w:rsidR="00F20D21" w:rsidRPr="00F20D21" w:rsidRDefault="00F20D21" w:rsidP="00D70396">
            <w:pPr>
              <w:rPr>
                <w:rFonts w:ascii="Arial Narrow" w:hAnsi="Arial Narrow" w:cs="Arial"/>
                <w:sz w:val="18"/>
                <w:szCs w:val="18"/>
              </w:rPr>
            </w:pPr>
            <w:r w:rsidRPr="00F20D21">
              <w:rPr>
                <w:rFonts w:ascii="Arial Narrow" w:hAnsi="Arial Narrow" w:cs="Arial"/>
                <w:sz w:val="18"/>
                <w:szCs w:val="18"/>
              </w:rPr>
              <w:t>Administrativo</w:t>
            </w:r>
          </w:p>
        </w:tc>
        <w:tc>
          <w:tcPr>
            <w:tcW w:w="4940" w:type="dxa"/>
            <w:shd w:val="clear" w:color="auto" w:fill="auto"/>
            <w:noWrap/>
            <w:vAlign w:val="center"/>
            <w:hideMark/>
          </w:tcPr>
          <w:p w14:paraId="41EC99C7" w14:textId="77777777" w:rsidR="00F20D21" w:rsidRPr="00F20D21" w:rsidRDefault="00F20D21" w:rsidP="00D70396">
            <w:pPr>
              <w:rPr>
                <w:rFonts w:ascii="Arial Narrow" w:hAnsi="Arial Narrow" w:cs="Arial"/>
                <w:sz w:val="18"/>
                <w:szCs w:val="18"/>
              </w:rPr>
            </w:pPr>
            <w:r w:rsidRPr="00F20D21">
              <w:rPr>
                <w:rFonts w:ascii="Arial Narrow" w:hAnsi="Arial Narrow" w:cs="Arial"/>
                <w:sz w:val="18"/>
                <w:szCs w:val="18"/>
              </w:rPr>
              <w:t xml:space="preserve"> (-) Comité De Estratificación -Ley 505 De 1999 </w:t>
            </w:r>
          </w:p>
        </w:tc>
        <w:tc>
          <w:tcPr>
            <w:tcW w:w="2126" w:type="dxa"/>
            <w:shd w:val="clear" w:color="auto" w:fill="auto"/>
            <w:noWrap/>
            <w:vAlign w:val="center"/>
            <w:hideMark/>
          </w:tcPr>
          <w:p w14:paraId="2CD42D0D" w14:textId="77777777" w:rsidR="00F20D21" w:rsidRPr="00F20D21" w:rsidRDefault="00F20D21" w:rsidP="00D70396">
            <w:pPr>
              <w:jc w:val="right"/>
              <w:rPr>
                <w:rFonts w:ascii="Arial Narrow" w:hAnsi="Arial Narrow" w:cs="Arial"/>
                <w:sz w:val="18"/>
                <w:szCs w:val="18"/>
              </w:rPr>
            </w:pPr>
            <w:r w:rsidRPr="00F20D21">
              <w:rPr>
                <w:rFonts w:ascii="Arial Narrow" w:hAnsi="Arial Narrow" w:cs="Arial"/>
                <w:sz w:val="18"/>
                <w:szCs w:val="18"/>
              </w:rPr>
              <w:t>($ 4.863.000)</w:t>
            </w:r>
          </w:p>
        </w:tc>
      </w:tr>
      <w:tr w:rsidR="00F20D21" w:rsidRPr="00F20D21" w14:paraId="59BF2E8E" w14:textId="77777777" w:rsidTr="005A572B">
        <w:trPr>
          <w:trHeight w:val="267"/>
          <w:jc w:val="center"/>
        </w:trPr>
        <w:tc>
          <w:tcPr>
            <w:tcW w:w="1289" w:type="dxa"/>
            <w:shd w:val="clear" w:color="auto" w:fill="auto"/>
            <w:noWrap/>
            <w:vAlign w:val="center"/>
            <w:hideMark/>
          </w:tcPr>
          <w:p w14:paraId="0D38EFE0" w14:textId="77777777" w:rsidR="00F20D21" w:rsidRPr="00F20D21" w:rsidRDefault="00F20D21" w:rsidP="00D70396">
            <w:pPr>
              <w:rPr>
                <w:rFonts w:ascii="Arial Narrow" w:hAnsi="Arial Narrow" w:cs="Arial"/>
                <w:sz w:val="18"/>
                <w:szCs w:val="18"/>
              </w:rPr>
            </w:pPr>
            <w:r w:rsidRPr="00F20D21">
              <w:rPr>
                <w:rFonts w:ascii="Arial Narrow" w:hAnsi="Arial Narrow" w:cs="Arial"/>
                <w:sz w:val="18"/>
                <w:szCs w:val="18"/>
              </w:rPr>
              <w:t>Administrativo</w:t>
            </w:r>
          </w:p>
        </w:tc>
        <w:tc>
          <w:tcPr>
            <w:tcW w:w="4940" w:type="dxa"/>
            <w:shd w:val="clear" w:color="auto" w:fill="auto"/>
            <w:noWrap/>
            <w:vAlign w:val="center"/>
            <w:hideMark/>
          </w:tcPr>
          <w:p w14:paraId="5C571AEC" w14:textId="77777777" w:rsidR="00F20D21" w:rsidRPr="00F20D21" w:rsidRDefault="00F20D21" w:rsidP="00D70396">
            <w:pPr>
              <w:rPr>
                <w:rFonts w:ascii="Arial Narrow" w:hAnsi="Arial Narrow" w:cs="Arial"/>
                <w:sz w:val="18"/>
                <w:szCs w:val="18"/>
              </w:rPr>
            </w:pPr>
            <w:r w:rsidRPr="00F20D21">
              <w:rPr>
                <w:rFonts w:ascii="Arial Narrow" w:hAnsi="Arial Narrow" w:cs="Arial"/>
                <w:sz w:val="18"/>
                <w:szCs w:val="18"/>
              </w:rPr>
              <w:t xml:space="preserve"> (-) Art 25 - Ley 142 - Concesiones, y permisos ambientales y sanitarios </w:t>
            </w:r>
          </w:p>
        </w:tc>
        <w:tc>
          <w:tcPr>
            <w:tcW w:w="2126" w:type="dxa"/>
            <w:shd w:val="clear" w:color="auto" w:fill="auto"/>
            <w:noWrap/>
            <w:vAlign w:val="center"/>
            <w:hideMark/>
          </w:tcPr>
          <w:p w14:paraId="14B0B291" w14:textId="77777777" w:rsidR="00F20D21" w:rsidRPr="00F20D21" w:rsidRDefault="00F20D21" w:rsidP="00D70396">
            <w:pPr>
              <w:jc w:val="right"/>
              <w:rPr>
                <w:rFonts w:ascii="Arial Narrow" w:hAnsi="Arial Narrow" w:cs="Arial"/>
                <w:sz w:val="18"/>
                <w:szCs w:val="18"/>
              </w:rPr>
            </w:pPr>
            <w:r w:rsidRPr="00F20D21">
              <w:rPr>
                <w:rFonts w:ascii="Arial Narrow" w:hAnsi="Arial Narrow" w:cs="Arial"/>
                <w:sz w:val="18"/>
                <w:szCs w:val="18"/>
              </w:rPr>
              <w:t>$ 0</w:t>
            </w:r>
          </w:p>
        </w:tc>
      </w:tr>
      <w:tr w:rsidR="00F20D21" w:rsidRPr="00F20D21" w14:paraId="464A42F1" w14:textId="77777777" w:rsidTr="005A572B">
        <w:trPr>
          <w:trHeight w:val="267"/>
          <w:jc w:val="center"/>
        </w:trPr>
        <w:tc>
          <w:tcPr>
            <w:tcW w:w="1289" w:type="dxa"/>
            <w:shd w:val="clear" w:color="auto" w:fill="auto"/>
            <w:noWrap/>
            <w:vAlign w:val="center"/>
            <w:hideMark/>
          </w:tcPr>
          <w:p w14:paraId="1669DB2D" w14:textId="77777777" w:rsidR="00F20D21" w:rsidRPr="00F20D21" w:rsidRDefault="00F20D21" w:rsidP="00D70396">
            <w:pPr>
              <w:rPr>
                <w:rFonts w:ascii="Arial Narrow" w:hAnsi="Arial Narrow" w:cs="Arial"/>
                <w:sz w:val="18"/>
                <w:szCs w:val="18"/>
              </w:rPr>
            </w:pPr>
            <w:r w:rsidRPr="00F20D21">
              <w:rPr>
                <w:rFonts w:ascii="Arial Narrow" w:hAnsi="Arial Narrow" w:cs="Arial"/>
                <w:sz w:val="18"/>
                <w:szCs w:val="18"/>
              </w:rPr>
              <w:t>Administrativo</w:t>
            </w:r>
          </w:p>
        </w:tc>
        <w:tc>
          <w:tcPr>
            <w:tcW w:w="4940" w:type="dxa"/>
            <w:shd w:val="clear" w:color="auto" w:fill="auto"/>
            <w:noWrap/>
            <w:vAlign w:val="center"/>
            <w:hideMark/>
          </w:tcPr>
          <w:p w14:paraId="7609FBCD" w14:textId="77777777" w:rsidR="00F20D21" w:rsidRPr="00F20D21" w:rsidRDefault="00F20D21" w:rsidP="00D70396">
            <w:pPr>
              <w:rPr>
                <w:rFonts w:ascii="Arial Narrow" w:hAnsi="Arial Narrow" w:cs="Arial"/>
                <w:sz w:val="18"/>
                <w:szCs w:val="18"/>
              </w:rPr>
            </w:pPr>
            <w:r w:rsidRPr="00F20D21">
              <w:rPr>
                <w:rFonts w:ascii="Arial Narrow" w:hAnsi="Arial Narrow" w:cs="Arial"/>
                <w:sz w:val="18"/>
                <w:szCs w:val="18"/>
              </w:rPr>
              <w:t xml:space="preserve"> (-) Otras licencias Ley 142 de 1994 </w:t>
            </w:r>
          </w:p>
        </w:tc>
        <w:tc>
          <w:tcPr>
            <w:tcW w:w="2126" w:type="dxa"/>
            <w:shd w:val="clear" w:color="auto" w:fill="auto"/>
            <w:noWrap/>
            <w:vAlign w:val="center"/>
            <w:hideMark/>
          </w:tcPr>
          <w:p w14:paraId="780DD8FC" w14:textId="77777777" w:rsidR="00F20D21" w:rsidRPr="00F20D21" w:rsidRDefault="00F20D21" w:rsidP="00D70396">
            <w:pPr>
              <w:jc w:val="right"/>
              <w:rPr>
                <w:rFonts w:ascii="Arial Narrow" w:hAnsi="Arial Narrow" w:cs="Arial"/>
                <w:sz w:val="18"/>
                <w:szCs w:val="18"/>
              </w:rPr>
            </w:pPr>
            <w:r w:rsidRPr="00F20D21">
              <w:rPr>
                <w:rFonts w:ascii="Arial Narrow" w:hAnsi="Arial Narrow" w:cs="Arial"/>
                <w:sz w:val="18"/>
                <w:szCs w:val="18"/>
              </w:rPr>
              <w:t>($ 80.725.800)</w:t>
            </w:r>
          </w:p>
        </w:tc>
      </w:tr>
      <w:tr w:rsidR="00F20D21" w:rsidRPr="00F20D21" w14:paraId="38966A14" w14:textId="77777777" w:rsidTr="005A572B">
        <w:trPr>
          <w:trHeight w:val="267"/>
          <w:jc w:val="center"/>
        </w:trPr>
        <w:tc>
          <w:tcPr>
            <w:tcW w:w="1289" w:type="dxa"/>
            <w:shd w:val="clear" w:color="auto" w:fill="auto"/>
            <w:noWrap/>
            <w:vAlign w:val="center"/>
            <w:hideMark/>
          </w:tcPr>
          <w:p w14:paraId="29F6FA15" w14:textId="77777777" w:rsidR="00F20D21" w:rsidRPr="00F20D21" w:rsidRDefault="00F20D21" w:rsidP="00D70396">
            <w:pPr>
              <w:rPr>
                <w:rFonts w:ascii="Arial Narrow" w:hAnsi="Arial Narrow" w:cs="Arial"/>
                <w:sz w:val="18"/>
                <w:szCs w:val="18"/>
              </w:rPr>
            </w:pPr>
            <w:r w:rsidRPr="00F20D21">
              <w:rPr>
                <w:rFonts w:ascii="Arial Narrow" w:hAnsi="Arial Narrow" w:cs="Arial"/>
                <w:sz w:val="18"/>
                <w:szCs w:val="18"/>
              </w:rPr>
              <w:t>Operativo</w:t>
            </w:r>
          </w:p>
        </w:tc>
        <w:tc>
          <w:tcPr>
            <w:tcW w:w="4940" w:type="dxa"/>
            <w:shd w:val="clear" w:color="auto" w:fill="auto"/>
            <w:noWrap/>
            <w:vAlign w:val="center"/>
            <w:hideMark/>
          </w:tcPr>
          <w:p w14:paraId="02E4CC01" w14:textId="37EACF76" w:rsidR="00F20D21" w:rsidRPr="00F20D21" w:rsidRDefault="00F20D21" w:rsidP="00D70396">
            <w:pPr>
              <w:rPr>
                <w:rFonts w:ascii="Arial Narrow" w:hAnsi="Arial Narrow" w:cs="Arial"/>
                <w:sz w:val="18"/>
                <w:szCs w:val="18"/>
              </w:rPr>
            </w:pPr>
            <w:r w:rsidRPr="00F20D21">
              <w:rPr>
                <w:rFonts w:ascii="Arial Narrow" w:hAnsi="Arial Narrow" w:cs="Arial"/>
                <w:sz w:val="18"/>
                <w:szCs w:val="18"/>
              </w:rPr>
              <w:t xml:space="preserve"> </w:t>
            </w:r>
            <w:r w:rsidR="005A572B">
              <w:rPr>
                <w:rFonts w:ascii="Arial Narrow" w:hAnsi="Arial Narrow" w:cs="Arial"/>
                <w:sz w:val="18"/>
                <w:szCs w:val="18"/>
              </w:rPr>
              <w:t xml:space="preserve">(+) </w:t>
            </w:r>
            <w:r w:rsidRPr="00F20D21">
              <w:rPr>
                <w:rFonts w:ascii="Arial Narrow" w:hAnsi="Arial Narrow" w:cs="Arial"/>
                <w:sz w:val="18"/>
                <w:szCs w:val="18"/>
              </w:rPr>
              <w:t xml:space="preserve">Compras en bloque y/o a largo plazo </w:t>
            </w:r>
          </w:p>
        </w:tc>
        <w:tc>
          <w:tcPr>
            <w:tcW w:w="2126" w:type="dxa"/>
            <w:shd w:val="clear" w:color="auto" w:fill="auto"/>
            <w:noWrap/>
            <w:vAlign w:val="center"/>
            <w:hideMark/>
          </w:tcPr>
          <w:p w14:paraId="1E72E3B5" w14:textId="77777777" w:rsidR="00F20D21" w:rsidRPr="00F20D21" w:rsidRDefault="00F20D21" w:rsidP="00D70396">
            <w:pPr>
              <w:jc w:val="right"/>
              <w:rPr>
                <w:rFonts w:ascii="Arial Narrow" w:hAnsi="Arial Narrow" w:cs="Arial"/>
                <w:sz w:val="18"/>
                <w:szCs w:val="18"/>
              </w:rPr>
            </w:pPr>
            <w:r w:rsidRPr="00F20D21">
              <w:rPr>
                <w:rFonts w:ascii="Arial Narrow" w:hAnsi="Arial Narrow" w:cs="Arial"/>
                <w:sz w:val="18"/>
                <w:szCs w:val="18"/>
              </w:rPr>
              <w:t>$ 14.530.840.061.664</w:t>
            </w:r>
          </w:p>
        </w:tc>
      </w:tr>
      <w:tr w:rsidR="00F20D21" w:rsidRPr="00F20D21" w14:paraId="2D513FCF" w14:textId="77777777" w:rsidTr="005A572B">
        <w:trPr>
          <w:trHeight w:val="267"/>
          <w:jc w:val="center"/>
        </w:trPr>
        <w:tc>
          <w:tcPr>
            <w:tcW w:w="1289" w:type="dxa"/>
            <w:shd w:val="clear" w:color="auto" w:fill="auto"/>
            <w:noWrap/>
            <w:vAlign w:val="center"/>
            <w:hideMark/>
          </w:tcPr>
          <w:p w14:paraId="7D704B24" w14:textId="77777777" w:rsidR="00F20D21" w:rsidRPr="00F20D21" w:rsidRDefault="00F20D21" w:rsidP="00D70396">
            <w:pPr>
              <w:rPr>
                <w:rFonts w:ascii="Arial Narrow" w:hAnsi="Arial Narrow" w:cs="Arial"/>
                <w:sz w:val="18"/>
                <w:szCs w:val="18"/>
              </w:rPr>
            </w:pPr>
            <w:r w:rsidRPr="00F20D21">
              <w:rPr>
                <w:rFonts w:ascii="Arial Narrow" w:hAnsi="Arial Narrow" w:cs="Arial"/>
                <w:sz w:val="18"/>
                <w:szCs w:val="18"/>
              </w:rPr>
              <w:t>Operativo</w:t>
            </w:r>
          </w:p>
        </w:tc>
        <w:tc>
          <w:tcPr>
            <w:tcW w:w="4940" w:type="dxa"/>
            <w:shd w:val="clear" w:color="auto" w:fill="auto"/>
            <w:noWrap/>
            <w:vAlign w:val="center"/>
            <w:hideMark/>
          </w:tcPr>
          <w:p w14:paraId="57FFA807" w14:textId="2F3A7077" w:rsidR="00F20D21" w:rsidRPr="00F20D21" w:rsidRDefault="00F20D21" w:rsidP="00D70396">
            <w:pPr>
              <w:rPr>
                <w:rFonts w:ascii="Arial Narrow" w:hAnsi="Arial Narrow" w:cs="Arial"/>
                <w:sz w:val="18"/>
                <w:szCs w:val="18"/>
              </w:rPr>
            </w:pPr>
            <w:r w:rsidRPr="00F20D21">
              <w:rPr>
                <w:rFonts w:ascii="Arial Narrow" w:hAnsi="Arial Narrow" w:cs="Arial"/>
                <w:sz w:val="18"/>
                <w:szCs w:val="18"/>
              </w:rPr>
              <w:t xml:space="preserve"> </w:t>
            </w:r>
            <w:r w:rsidR="005A572B">
              <w:rPr>
                <w:rFonts w:ascii="Arial Narrow" w:hAnsi="Arial Narrow" w:cs="Arial"/>
                <w:sz w:val="18"/>
                <w:szCs w:val="18"/>
              </w:rPr>
              <w:t xml:space="preserve">(+) </w:t>
            </w:r>
            <w:r w:rsidRPr="00F20D21">
              <w:rPr>
                <w:rFonts w:ascii="Arial Narrow" w:hAnsi="Arial Narrow" w:cs="Arial"/>
                <w:sz w:val="18"/>
                <w:szCs w:val="18"/>
              </w:rPr>
              <w:t xml:space="preserve">Compras en bolsa y/o a corto plazo </w:t>
            </w:r>
          </w:p>
        </w:tc>
        <w:tc>
          <w:tcPr>
            <w:tcW w:w="2126" w:type="dxa"/>
            <w:shd w:val="clear" w:color="auto" w:fill="auto"/>
            <w:noWrap/>
            <w:vAlign w:val="center"/>
            <w:hideMark/>
          </w:tcPr>
          <w:p w14:paraId="05DDE971" w14:textId="77777777" w:rsidR="00F20D21" w:rsidRPr="00F20D21" w:rsidRDefault="00F20D21" w:rsidP="00D70396">
            <w:pPr>
              <w:jc w:val="right"/>
              <w:rPr>
                <w:rFonts w:ascii="Arial Narrow" w:hAnsi="Arial Narrow" w:cs="Arial"/>
                <w:sz w:val="18"/>
                <w:szCs w:val="18"/>
              </w:rPr>
            </w:pPr>
            <w:r w:rsidRPr="00F20D21">
              <w:rPr>
                <w:rFonts w:ascii="Arial Narrow" w:hAnsi="Arial Narrow" w:cs="Arial"/>
                <w:sz w:val="18"/>
                <w:szCs w:val="18"/>
              </w:rPr>
              <w:t>$ 5.964.993.880.445</w:t>
            </w:r>
          </w:p>
        </w:tc>
      </w:tr>
      <w:tr w:rsidR="00F20D21" w:rsidRPr="00F20D21" w14:paraId="05205DE9" w14:textId="77777777" w:rsidTr="005A572B">
        <w:trPr>
          <w:trHeight w:val="267"/>
          <w:jc w:val="center"/>
        </w:trPr>
        <w:tc>
          <w:tcPr>
            <w:tcW w:w="1289" w:type="dxa"/>
            <w:shd w:val="clear" w:color="auto" w:fill="auto"/>
            <w:noWrap/>
            <w:vAlign w:val="center"/>
            <w:hideMark/>
          </w:tcPr>
          <w:p w14:paraId="2109C50A" w14:textId="77777777" w:rsidR="00F20D21" w:rsidRPr="00F20D21" w:rsidRDefault="00F20D21" w:rsidP="00D70396">
            <w:pPr>
              <w:rPr>
                <w:rFonts w:ascii="Arial Narrow" w:hAnsi="Arial Narrow" w:cs="Arial"/>
                <w:sz w:val="18"/>
                <w:szCs w:val="18"/>
              </w:rPr>
            </w:pPr>
            <w:r w:rsidRPr="00F20D21">
              <w:rPr>
                <w:rFonts w:ascii="Arial Narrow" w:hAnsi="Arial Narrow" w:cs="Arial"/>
                <w:sz w:val="18"/>
                <w:szCs w:val="18"/>
              </w:rPr>
              <w:t>Operativo</w:t>
            </w:r>
          </w:p>
        </w:tc>
        <w:tc>
          <w:tcPr>
            <w:tcW w:w="4940" w:type="dxa"/>
            <w:shd w:val="clear" w:color="auto" w:fill="auto"/>
            <w:noWrap/>
            <w:vAlign w:val="center"/>
            <w:hideMark/>
          </w:tcPr>
          <w:p w14:paraId="0ED8C623" w14:textId="6FF9448B" w:rsidR="00F20D21" w:rsidRPr="00F20D21" w:rsidRDefault="00F20D21" w:rsidP="00D70396">
            <w:pPr>
              <w:rPr>
                <w:rFonts w:ascii="Arial Narrow" w:hAnsi="Arial Narrow" w:cs="Arial"/>
                <w:sz w:val="18"/>
                <w:szCs w:val="18"/>
              </w:rPr>
            </w:pPr>
            <w:r w:rsidRPr="00F20D21">
              <w:rPr>
                <w:rFonts w:ascii="Arial Narrow" w:hAnsi="Arial Narrow" w:cs="Arial"/>
                <w:sz w:val="18"/>
                <w:szCs w:val="18"/>
              </w:rPr>
              <w:t xml:space="preserve"> </w:t>
            </w:r>
            <w:r w:rsidR="005A572B">
              <w:rPr>
                <w:rFonts w:ascii="Arial Narrow" w:hAnsi="Arial Narrow" w:cs="Arial"/>
                <w:sz w:val="18"/>
                <w:szCs w:val="18"/>
              </w:rPr>
              <w:t xml:space="preserve">(+) </w:t>
            </w:r>
            <w:r w:rsidRPr="00F20D21">
              <w:rPr>
                <w:rFonts w:ascii="Arial Narrow" w:hAnsi="Arial Narrow" w:cs="Arial"/>
                <w:sz w:val="18"/>
                <w:szCs w:val="18"/>
              </w:rPr>
              <w:t xml:space="preserve">Uso de Líneas, redes y ductos </w:t>
            </w:r>
          </w:p>
        </w:tc>
        <w:tc>
          <w:tcPr>
            <w:tcW w:w="2126" w:type="dxa"/>
            <w:shd w:val="clear" w:color="auto" w:fill="auto"/>
            <w:noWrap/>
            <w:vAlign w:val="center"/>
            <w:hideMark/>
          </w:tcPr>
          <w:p w14:paraId="2D35D45A" w14:textId="77777777" w:rsidR="00F20D21" w:rsidRPr="00F20D21" w:rsidRDefault="00F20D21" w:rsidP="00D70396">
            <w:pPr>
              <w:jc w:val="right"/>
              <w:rPr>
                <w:rFonts w:ascii="Arial Narrow" w:hAnsi="Arial Narrow" w:cs="Arial"/>
                <w:sz w:val="18"/>
                <w:szCs w:val="18"/>
              </w:rPr>
            </w:pPr>
            <w:r w:rsidRPr="00F20D21">
              <w:rPr>
                <w:rFonts w:ascii="Arial Narrow" w:hAnsi="Arial Narrow" w:cs="Arial"/>
                <w:sz w:val="18"/>
                <w:szCs w:val="18"/>
              </w:rPr>
              <w:t>$ 6.886.018.177.822</w:t>
            </w:r>
          </w:p>
        </w:tc>
      </w:tr>
      <w:tr w:rsidR="00F20D21" w:rsidRPr="00F20D21" w14:paraId="6C113326" w14:textId="77777777" w:rsidTr="005A572B">
        <w:trPr>
          <w:trHeight w:val="267"/>
          <w:jc w:val="center"/>
        </w:trPr>
        <w:tc>
          <w:tcPr>
            <w:tcW w:w="1289" w:type="dxa"/>
            <w:shd w:val="clear" w:color="auto" w:fill="auto"/>
            <w:noWrap/>
            <w:vAlign w:val="center"/>
            <w:hideMark/>
          </w:tcPr>
          <w:p w14:paraId="45BF659F" w14:textId="77777777" w:rsidR="00F20D21" w:rsidRPr="00F20D21" w:rsidRDefault="00F20D21" w:rsidP="00D70396">
            <w:pPr>
              <w:rPr>
                <w:rFonts w:ascii="Arial Narrow" w:hAnsi="Arial Narrow" w:cs="Arial"/>
                <w:sz w:val="18"/>
                <w:szCs w:val="18"/>
              </w:rPr>
            </w:pPr>
            <w:r w:rsidRPr="00F20D21">
              <w:rPr>
                <w:rFonts w:ascii="Arial Narrow" w:hAnsi="Arial Narrow" w:cs="Arial"/>
                <w:sz w:val="18"/>
                <w:szCs w:val="18"/>
              </w:rPr>
              <w:lastRenderedPageBreak/>
              <w:t>Operativo</w:t>
            </w:r>
          </w:p>
        </w:tc>
        <w:tc>
          <w:tcPr>
            <w:tcW w:w="4940" w:type="dxa"/>
            <w:shd w:val="clear" w:color="auto" w:fill="auto"/>
            <w:noWrap/>
            <w:vAlign w:val="center"/>
            <w:hideMark/>
          </w:tcPr>
          <w:p w14:paraId="5AAA6485" w14:textId="48C774FE" w:rsidR="00F20D21" w:rsidRPr="00F20D21" w:rsidRDefault="00F20D21" w:rsidP="00D70396">
            <w:pPr>
              <w:rPr>
                <w:rFonts w:ascii="Arial Narrow" w:hAnsi="Arial Narrow" w:cs="Arial"/>
                <w:sz w:val="18"/>
                <w:szCs w:val="18"/>
              </w:rPr>
            </w:pPr>
            <w:r w:rsidRPr="00F20D21">
              <w:rPr>
                <w:rFonts w:ascii="Arial Narrow" w:hAnsi="Arial Narrow" w:cs="Arial"/>
                <w:sz w:val="18"/>
                <w:szCs w:val="18"/>
              </w:rPr>
              <w:t xml:space="preserve"> </w:t>
            </w:r>
            <w:r w:rsidR="005A572B">
              <w:rPr>
                <w:rFonts w:ascii="Arial Narrow" w:hAnsi="Arial Narrow" w:cs="Arial"/>
                <w:sz w:val="18"/>
                <w:szCs w:val="18"/>
              </w:rPr>
              <w:t xml:space="preserve">(+) </w:t>
            </w:r>
            <w:r w:rsidRPr="00F20D21">
              <w:rPr>
                <w:rFonts w:ascii="Arial Narrow" w:hAnsi="Arial Narrow" w:cs="Arial"/>
                <w:sz w:val="18"/>
                <w:szCs w:val="18"/>
              </w:rPr>
              <w:t xml:space="preserve">Gas Combustible </w:t>
            </w:r>
          </w:p>
        </w:tc>
        <w:tc>
          <w:tcPr>
            <w:tcW w:w="2126" w:type="dxa"/>
            <w:shd w:val="clear" w:color="auto" w:fill="auto"/>
            <w:noWrap/>
            <w:vAlign w:val="center"/>
            <w:hideMark/>
          </w:tcPr>
          <w:p w14:paraId="55DF2166" w14:textId="77777777" w:rsidR="00F20D21" w:rsidRPr="00F20D21" w:rsidRDefault="00F20D21" w:rsidP="00D70396">
            <w:pPr>
              <w:jc w:val="right"/>
              <w:rPr>
                <w:rFonts w:ascii="Arial Narrow" w:hAnsi="Arial Narrow" w:cs="Arial"/>
                <w:sz w:val="18"/>
                <w:szCs w:val="18"/>
              </w:rPr>
            </w:pPr>
            <w:r w:rsidRPr="00F20D21">
              <w:rPr>
                <w:rFonts w:ascii="Arial Narrow" w:hAnsi="Arial Narrow" w:cs="Arial"/>
                <w:sz w:val="18"/>
                <w:szCs w:val="18"/>
              </w:rPr>
              <w:t>$ 2.677.362.992.224</w:t>
            </w:r>
          </w:p>
        </w:tc>
      </w:tr>
      <w:tr w:rsidR="00F20D21" w:rsidRPr="00F20D21" w14:paraId="3B05FB40" w14:textId="77777777" w:rsidTr="005A572B">
        <w:trPr>
          <w:trHeight w:val="267"/>
          <w:jc w:val="center"/>
        </w:trPr>
        <w:tc>
          <w:tcPr>
            <w:tcW w:w="1289" w:type="dxa"/>
            <w:shd w:val="clear" w:color="auto" w:fill="auto"/>
            <w:noWrap/>
            <w:vAlign w:val="center"/>
            <w:hideMark/>
          </w:tcPr>
          <w:p w14:paraId="6AE424A0" w14:textId="77777777" w:rsidR="00F20D21" w:rsidRPr="00F20D21" w:rsidRDefault="00F20D21" w:rsidP="00D70396">
            <w:pPr>
              <w:rPr>
                <w:rFonts w:ascii="Arial Narrow" w:hAnsi="Arial Narrow" w:cs="Arial"/>
                <w:sz w:val="18"/>
                <w:szCs w:val="18"/>
              </w:rPr>
            </w:pPr>
            <w:r w:rsidRPr="00F20D21">
              <w:rPr>
                <w:rFonts w:ascii="Arial Narrow" w:hAnsi="Arial Narrow" w:cs="Arial"/>
                <w:sz w:val="18"/>
                <w:szCs w:val="18"/>
              </w:rPr>
              <w:t>Operativo</w:t>
            </w:r>
          </w:p>
        </w:tc>
        <w:tc>
          <w:tcPr>
            <w:tcW w:w="4940" w:type="dxa"/>
            <w:shd w:val="clear" w:color="auto" w:fill="auto"/>
            <w:noWrap/>
            <w:vAlign w:val="center"/>
            <w:hideMark/>
          </w:tcPr>
          <w:p w14:paraId="4D5DF6A6" w14:textId="26E00EB7" w:rsidR="00F20D21" w:rsidRPr="00F20D21" w:rsidRDefault="00F20D21" w:rsidP="00D70396">
            <w:pPr>
              <w:rPr>
                <w:rFonts w:ascii="Arial Narrow" w:hAnsi="Arial Narrow" w:cs="Arial"/>
                <w:sz w:val="18"/>
                <w:szCs w:val="18"/>
              </w:rPr>
            </w:pPr>
            <w:r w:rsidRPr="00F20D21">
              <w:rPr>
                <w:rFonts w:ascii="Arial Narrow" w:hAnsi="Arial Narrow" w:cs="Arial"/>
                <w:sz w:val="18"/>
                <w:szCs w:val="18"/>
              </w:rPr>
              <w:t xml:space="preserve"> </w:t>
            </w:r>
            <w:r w:rsidR="005A572B">
              <w:rPr>
                <w:rFonts w:ascii="Arial Narrow" w:hAnsi="Arial Narrow" w:cs="Arial"/>
                <w:sz w:val="18"/>
                <w:szCs w:val="18"/>
              </w:rPr>
              <w:t xml:space="preserve">(+) </w:t>
            </w:r>
            <w:r w:rsidRPr="00F20D21">
              <w:rPr>
                <w:rFonts w:ascii="Arial Narrow" w:hAnsi="Arial Narrow" w:cs="Arial"/>
                <w:sz w:val="18"/>
                <w:szCs w:val="18"/>
              </w:rPr>
              <w:t xml:space="preserve">Carbón Mineral </w:t>
            </w:r>
          </w:p>
        </w:tc>
        <w:tc>
          <w:tcPr>
            <w:tcW w:w="2126" w:type="dxa"/>
            <w:shd w:val="clear" w:color="auto" w:fill="auto"/>
            <w:noWrap/>
            <w:vAlign w:val="center"/>
            <w:hideMark/>
          </w:tcPr>
          <w:p w14:paraId="28CC2722" w14:textId="77777777" w:rsidR="00F20D21" w:rsidRPr="00F20D21" w:rsidRDefault="00F20D21" w:rsidP="00D70396">
            <w:pPr>
              <w:jc w:val="right"/>
              <w:rPr>
                <w:rFonts w:ascii="Arial Narrow" w:hAnsi="Arial Narrow" w:cs="Arial"/>
                <w:sz w:val="18"/>
                <w:szCs w:val="18"/>
              </w:rPr>
            </w:pPr>
            <w:r w:rsidRPr="00F20D21">
              <w:rPr>
                <w:rFonts w:ascii="Arial Narrow" w:hAnsi="Arial Narrow" w:cs="Arial"/>
                <w:sz w:val="18"/>
                <w:szCs w:val="18"/>
              </w:rPr>
              <w:t>$ 367.849.916.000</w:t>
            </w:r>
          </w:p>
        </w:tc>
      </w:tr>
      <w:tr w:rsidR="00F20D21" w:rsidRPr="00F20D21" w14:paraId="6213C08C" w14:textId="77777777" w:rsidTr="005A572B">
        <w:trPr>
          <w:trHeight w:val="267"/>
          <w:jc w:val="center"/>
        </w:trPr>
        <w:tc>
          <w:tcPr>
            <w:tcW w:w="1289" w:type="dxa"/>
            <w:shd w:val="clear" w:color="auto" w:fill="auto"/>
            <w:noWrap/>
            <w:vAlign w:val="center"/>
            <w:hideMark/>
          </w:tcPr>
          <w:p w14:paraId="6F848D0E" w14:textId="77777777" w:rsidR="00F20D21" w:rsidRPr="00F20D21" w:rsidRDefault="00F20D21" w:rsidP="00D70396">
            <w:pPr>
              <w:rPr>
                <w:rFonts w:ascii="Arial Narrow" w:hAnsi="Arial Narrow" w:cs="Arial"/>
                <w:sz w:val="18"/>
                <w:szCs w:val="18"/>
              </w:rPr>
            </w:pPr>
            <w:r w:rsidRPr="00F20D21">
              <w:rPr>
                <w:rFonts w:ascii="Arial Narrow" w:hAnsi="Arial Narrow" w:cs="Arial"/>
                <w:sz w:val="18"/>
                <w:szCs w:val="18"/>
              </w:rPr>
              <w:t>Operativo</w:t>
            </w:r>
          </w:p>
        </w:tc>
        <w:tc>
          <w:tcPr>
            <w:tcW w:w="4940" w:type="dxa"/>
            <w:shd w:val="clear" w:color="auto" w:fill="auto"/>
            <w:noWrap/>
            <w:vAlign w:val="center"/>
            <w:hideMark/>
          </w:tcPr>
          <w:p w14:paraId="4B2444E0" w14:textId="7CA13F2B" w:rsidR="00F20D21" w:rsidRPr="00F20D21" w:rsidRDefault="00F20D21" w:rsidP="00D70396">
            <w:pPr>
              <w:rPr>
                <w:rFonts w:ascii="Arial Narrow" w:hAnsi="Arial Narrow" w:cs="Arial"/>
                <w:sz w:val="18"/>
                <w:szCs w:val="18"/>
              </w:rPr>
            </w:pPr>
            <w:r w:rsidRPr="00F20D21">
              <w:rPr>
                <w:rFonts w:ascii="Arial Narrow" w:hAnsi="Arial Narrow" w:cs="Arial"/>
                <w:sz w:val="18"/>
                <w:szCs w:val="18"/>
              </w:rPr>
              <w:t xml:space="preserve"> </w:t>
            </w:r>
            <w:r w:rsidR="005A572B">
              <w:rPr>
                <w:rFonts w:ascii="Arial Narrow" w:hAnsi="Arial Narrow" w:cs="Arial"/>
                <w:sz w:val="18"/>
                <w:szCs w:val="18"/>
              </w:rPr>
              <w:t xml:space="preserve">(+) </w:t>
            </w:r>
            <w:r w:rsidRPr="00F20D21">
              <w:rPr>
                <w:rFonts w:ascii="Arial Narrow" w:hAnsi="Arial Narrow" w:cs="Arial"/>
                <w:sz w:val="18"/>
                <w:szCs w:val="18"/>
              </w:rPr>
              <w:t xml:space="preserve">ACPM, Fuel </w:t>
            </w:r>
            <w:proofErr w:type="spellStart"/>
            <w:r w:rsidRPr="00F20D21">
              <w:rPr>
                <w:rFonts w:ascii="Arial Narrow" w:hAnsi="Arial Narrow" w:cs="Arial"/>
                <w:sz w:val="18"/>
                <w:szCs w:val="18"/>
              </w:rPr>
              <w:t>Oil</w:t>
            </w:r>
            <w:proofErr w:type="spellEnd"/>
            <w:r w:rsidRPr="00F20D21">
              <w:rPr>
                <w:rFonts w:ascii="Arial Narrow" w:hAnsi="Arial Narrow" w:cs="Arial"/>
                <w:sz w:val="18"/>
                <w:szCs w:val="18"/>
              </w:rPr>
              <w:t xml:space="preserve"> </w:t>
            </w:r>
          </w:p>
        </w:tc>
        <w:tc>
          <w:tcPr>
            <w:tcW w:w="2126" w:type="dxa"/>
            <w:shd w:val="clear" w:color="auto" w:fill="auto"/>
            <w:noWrap/>
            <w:vAlign w:val="center"/>
            <w:hideMark/>
          </w:tcPr>
          <w:p w14:paraId="497329B4" w14:textId="77777777" w:rsidR="00F20D21" w:rsidRPr="00F20D21" w:rsidRDefault="00F20D21" w:rsidP="00D70396">
            <w:pPr>
              <w:jc w:val="right"/>
              <w:rPr>
                <w:rFonts w:ascii="Arial Narrow" w:hAnsi="Arial Narrow" w:cs="Arial"/>
                <w:sz w:val="18"/>
                <w:szCs w:val="18"/>
              </w:rPr>
            </w:pPr>
            <w:r w:rsidRPr="00F20D21">
              <w:rPr>
                <w:rFonts w:ascii="Arial Narrow" w:hAnsi="Arial Narrow" w:cs="Arial"/>
                <w:sz w:val="18"/>
                <w:szCs w:val="18"/>
              </w:rPr>
              <w:t>$ 219.304.347.443</w:t>
            </w:r>
          </w:p>
        </w:tc>
      </w:tr>
      <w:tr w:rsidR="00F20D21" w:rsidRPr="00F20D21" w14:paraId="2E2AD5D3" w14:textId="77777777" w:rsidTr="005A572B">
        <w:trPr>
          <w:trHeight w:val="267"/>
          <w:jc w:val="center"/>
        </w:trPr>
        <w:tc>
          <w:tcPr>
            <w:tcW w:w="1289" w:type="dxa"/>
            <w:shd w:val="clear" w:color="auto" w:fill="auto"/>
            <w:noWrap/>
            <w:vAlign w:val="center"/>
            <w:hideMark/>
          </w:tcPr>
          <w:p w14:paraId="2ACE92C0" w14:textId="77777777" w:rsidR="00F20D21" w:rsidRPr="00F20D21" w:rsidRDefault="00F20D21" w:rsidP="00D70396">
            <w:pPr>
              <w:rPr>
                <w:rFonts w:ascii="Arial Narrow" w:hAnsi="Arial Narrow" w:cs="Arial"/>
                <w:sz w:val="18"/>
                <w:szCs w:val="18"/>
              </w:rPr>
            </w:pPr>
            <w:r w:rsidRPr="00F20D21">
              <w:rPr>
                <w:rFonts w:ascii="Arial Narrow" w:hAnsi="Arial Narrow" w:cs="Arial"/>
                <w:sz w:val="18"/>
                <w:szCs w:val="18"/>
              </w:rPr>
              <w:t>Operativo</w:t>
            </w:r>
          </w:p>
        </w:tc>
        <w:tc>
          <w:tcPr>
            <w:tcW w:w="4940" w:type="dxa"/>
            <w:shd w:val="clear" w:color="auto" w:fill="auto"/>
            <w:noWrap/>
            <w:vAlign w:val="center"/>
            <w:hideMark/>
          </w:tcPr>
          <w:p w14:paraId="51E0AC10" w14:textId="510159C5" w:rsidR="00F20D21" w:rsidRPr="00F20D21" w:rsidRDefault="00F20D21" w:rsidP="00D70396">
            <w:pPr>
              <w:rPr>
                <w:rFonts w:ascii="Arial Narrow" w:hAnsi="Arial Narrow" w:cs="Arial"/>
                <w:sz w:val="18"/>
                <w:szCs w:val="18"/>
              </w:rPr>
            </w:pPr>
            <w:r w:rsidRPr="00F20D21">
              <w:rPr>
                <w:rFonts w:ascii="Arial Narrow" w:hAnsi="Arial Narrow" w:cs="Arial"/>
                <w:sz w:val="18"/>
                <w:szCs w:val="18"/>
              </w:rPr>
              <w:t xml:space="preserve"> </w:t>
            </w:r>
            <w:r w:rsidR="005A572B">
              <w:rPr>
                <w:rFonts w:ascii="Arial Narrow" w:hAnsi="Arial Narrow" w:cs="Arial"/>
                <w:sz w:val="18"/>
                <w:szCs w:val="18"/>
              </w:rPr>
              <w:t xml:space="preserve">(+) </w:t>
            </w:r>
            <w:r w:rsidRPr="00F20D21">
              <w:rPr>
                <w:rFonts w:ascii="Arial Narrow" w:hAnsi="Arial Narrow" w:cs="Arial"/>
                <w:sz w:val="18"/>
                <w:szCs w:val="18"/>
              </w:rPr>
              <w:t xml:space="preserve">Gastos de distribución y/o comercialización de gas combustible por redes </w:t>
            </w:r>
          </w:p>
        </w:tc>
        <w:tc>
          <w:tcPr>
            <w:tcW w:w="2126" w:type="dxa"/>
            <w:shd w:val="clear" w:color="auto" w:fill="auto"/>
            <w:noWrap/>
            <w:vAlign w:val="center"/>
            <w:hideMark/>
          </w:tcPr>
          <w:p w14:paraId="3335B343" w14:textId="77777777" w:rsidR="00F20D21" w:rsidRPr="00F20D21" w:rsidRDefault="00F20D21" w:rsidP="00D70396">
            <w:pPr>
              <w:jc w:val="right"/>
              <w:rPr>
                <w:rFonts w:ascii="Arial Narrow" w:hAnsi="Arial Narrow" w:cs="Arial"/>
                <w:sz w:val="18"/>
                <w:szCs w:val="18"/>
              </w:rPr>
            </w:pPr>
            <w:r w:rsidRPr="00F20D21">
              <w:rPr>
                <w:rFonts w:ascii="Arial Narrow" w:hAnsi="Arial Narrow" w:cs="Arial"/>
                <w:sz w:val="18"/>
                <w:szCs w:val="18"/>
              </w:rPr>
              <w:t>$ 7.135.767.608.068</w:t>
            </w:r>
          </w:p>
        </w:tc>
      </w:tr>
      <w:tr w:rsidR="00F20D21" w:rsidRPr="00F20D21" w14:paraId="01AE0D18" w14:textId="77777777" w:rsidTr="005A572B">
        <w:trPr>
          <w:trHeight w:val="267"/>
          <w:jc w:val="center"/>
        </w:trPr>
        <w:tc>
          <w:tcPr>
            <w:tcW w:w="1289" w:type="dxa"/>
            <w:shd w:val="clear" w:color="auto" w:fill="auto"/>
            <w:noWrap/>
            <w:vAlign w:val="center"/>
            <w:hideMark/>
          </w:tcPr>
          <w:p w14:paraId="3C59DA3E" w14:textId="77777777" w:rsidR="00F20D21" w:rsidRPr="00F20D21" w:rsidRDefault="00F20D21" w:rsidP="00D70396">
            <w:pPr>
              <w:rPr>
                <w:rFonts w:ascii="Arial Narrow" w:hAnsi="Arial Narrow" w:cs="Arial"/>
                <w:sz w:val="18"/>
                <w:szCs w:val="18"/>
              </w:rPr>
            </w:pPr>
            <w:r w:rsidRPr="00F20D21">
              <w:rPr>
                <w:rFonts w:ascii="Arial Narrow" w:hAnsi="Arial Narrow" w:cs="Arial"/>
                <w:sz w:val="18"/>
                <w:szCs w:val="18"/>
              </w:rPr>
              <w:t>Operativo</w:t>
            </w:r>
          </w:p>
        </w:tc>
        <w:tc>
          <w:tcPr>
            <w:tcW w:w="4940" w:type="dxa"/>
            <w:shd w:val="clear" w:color="auto" w:fill="auto"/>
            <w:noWrap/>
            <w:vAlign w:val="center"/>
            <w:hideMark/>
          </w:tcPr>
          <w:p w14:paraId="5E164727" w14:textId="3BDDABDD" w:rsidR="00F20D21" w:rsidRPr="00F20D21" w:rsidRDefault="00F20D21" w:rsidP="00D70396">
            <w:pPr>
              <w:rPr>
                <w:rFonts w:ascii="Arial Narrow" w:hAnsi="Arial Narrow" w:cs="Arial"/>
                <w:sz w:val="18"/>
                <w:szCs w:val="18"/>
              </w:rPr>
            </w:pPr>
            <w:r w:rsidRPr="00F20D21">
              <w:rPr>
                <w:rFonts w:ascii="Arial Narrow" w:hAnsi="Arial Narrow" w:cs="Arial"/>
                <w:sz w:val="18"/>
                <w:szCs w:val="18"/>
              </w:rPr>
              <w:t xml:space="preserve"> </w:t>
            </w:r>
            <w:r w:rsidR="005A572B">
              <w:rPr>
                <w:rFonts w:ascii="Arial Narrow" w:hAnsi="Arial Narrow" w:cs="Arial"/>
                <w:sz w:val="18"/>
                <w:szCs w:val="18"/>
              </w:rPr>
              <w:t xml:space="preserve">(+) </w:t>
            </w:r>
            <w:r w:rsidRPr="00F20D21">
              <w:rPr>
                <w:rFonts w:ascii="Arial Narrow" w:hAnsi="Arial Narrow" w:cs="Arial"/>
                <w:sz w:val="18"/>
                <w:szCs w:val="18"/>
              </w:rPr>
              <w:t xml:space="preserve">Gastos de distribución y/o comercialización de gas licuado de petróleo - GLP </w:t>
            </w:r>
          </w:p>
        </w:tc>
        <w:tc>
          <w:tcPr>
            <w:tcW w:w="2126" w:type="dxa"/>
            <w:shd w:val="clear" w:color="auto" w:fill="auto"/>
            <w:noWrap/>
            <w:vAlign w:val="center"/>
            <w:hideMark/>
          </w:tcPr>
          <w:p w14:paraId="17B479B7" w14:textId="77777777" w:rsidR="00F20D21" w:rsidRPr="00F20D21" w:rsidRDefault="00F20D21" w:rsidP="00D70396">
            <w:pPr>
              <w:jc w:val="right"/>
              <w:rPr>
                <w:rFonts w:ascii="Arial Narrow" w:hAnsi="Arial Narrow" w:cs="Arial"/>
                <w:sz w:val="18"/>
                <w:szCs w:val="18"/>
              </w:rPr>
            </w:pPr>
            <w:r w:rsidRPr="00F20D21">
              <w:rPr>
                <w:rFonts w:ascii="Arial Narrow" w:hAnsi="Arial Narrow" w:cs="Arial"/>
                <w:sz w:val="18"/>
                <w:szCs w:val="18"/>
              </w:rPr>
              <w:t>$ 1.871.054.555.967</w:t>
            </w:r>
          </w:p>
        </w:tc>
      </w:tr>
      <w:tr w:rsidR="00F20D21" w:rsidRPr="00F20D21" w14:paraId="667BC441" w14:textId="77777777" w:rsidTr="005A572B">
        <w:trPr>
          <w:trHeight w:val="267"/>
          <w:jc w:val="center"/>
        </w:trPr>
        <w:tc>
          <w:tcPr>
            <w:tcW w:w="1289" w:type="dxa"/>
            <w:shd w:val="clear" w:color="auto" w:fill="auto"/>
            <w:noWrap/>
            <w:vAlign w:val="center"/>
            <w:hideMark/>
          </w:tcPr>
          <w:p w14:paraId="0D38FA42" w14:textId="77777777" w:rsidR="00F20D21" w:rsidRPr="00F20D21" w:rsidRDefault="00F20D21" w:rsidP="00D70396">
            <w:pPr>
              <w:jc w:val="right"/>
              <w:rPr>
                <w:rFonts w:ascii="Arial Narrow" w:hAnsi="Arial Narrow" w:cs="Arial"/>
                <w:sz w:val="18"/>
                <w:szCs w:val="18"/>
              </w:rPr>
            </w:pPr>
          </w:p>
        </w:tc>
        <w:tc>
          <w:tcPr>
            <w:tcW w:w="4940" w:type="dxa"/>
            <w:shd w:val="clear" w:color="auto" w:fill="auto"/>
            <w:noWrap/>
            <w:vAlign w:val="center"/>
            <w:hideMark/>
          </w:tcPr>
          <w:p w14:paraId="5DE573B8" w14:textId="77777777" w:rsidR="00F20D21" w:rsidRPr="00F20D21" w:rsidRDefault="00F20D21" w:rsidP="00D70396">
            <w:pPr>
              <w:rPr>
                <w:rFonts w:ascii="Arial Narrow" w:hAnsi="Arial Narrow" w:cs="Arial"/>
                <w:b/>
                <w:bCs/>
                <w:sz w:val="18"/>
                <w:szCs w:val="18"/>
              </w:rPr>
            </w:pPr>
            <w:proofErr w:type="gramStart"/>
            <w:r w:rsidRPr="00F20D21">
              <w:rPr>
                <w:rFonts w:ascii="Arial Narrow" w:hAnsi="Arial Narrow" w:cs="Arial"/>
                <w:b/>
                <w:bCs/>
                <w:sz w:val="18"/>
                <w:szCs w:val="18"/>
              </w:rPr>
              <w:t>TOTAL</w:t>
            </w:r>
            <w:proofErr w:type="gramEnd"/>
            <w:r w:rsidRPr="00F20D21">
              <w:rPr>
                <w:rFonts w:ascii="Arial Narrow" w:hAnsi="Arial Narrow" w:cs="Arial"/>
                <w:b/>
                <w:bCs/>
                <w:sz w:val="18"/>
                <w:szCs w:val="18"/>
              </w:rPr>
              <w:t xml:space="preserve"> BASE GRAVABLE CON REPORTE</w:t>
            </w:r>
          </w:p>
        </w:tc>
        <w:tc>
          <w:tcPr>
            <w:tcW w:w="2126" w:type="dxa"/>
            <w:shd w:val="clear" w:color="auto" w:fill="auto"/>
            <w:noWrap/>
            <w:vAlign w:val="center"/>
            <w:hideMark/>
          </w:tcPr>
          <w:p w14:paraId="46953E17" w14:textId="77777777" w:rsidR="00F20D21" w:rsidRPr="00F20D21" w:rsidRDefault="00F20D21" w:rsidP="00D70396">
            <w:pPr>
              <w:jc w:val="right"/>
              <w:rPr>
                <w:rFonts w:ascii="Arial Narrow" w:hAnsi="Arial Narrow" w:cs="Arial"/>
                <w:b/>
                <w:bCs/>
                <w:sz w:val="18"/>
                <w:szCs w:val="18"/>
              </w:rPr>
            </w:pPr>
            <w:r w:rsidRPr="00F20D21">
              <w:rPr>
                <w:rFonts w:ascii="Arial Narrow" w:hAnsi="Arial Narrow" w:cs="Arial"/>
                <w:b/>
                <w:bCs/>
                <w:sz w:val="18"/>
                <w:szCs w:val="18"/>
              </w:rPr>
              <w:t>$ 43.109.948.230.339</w:t>
            </w:r>
          </w:p>
        </w:tc>
      </w:tr>
      <w:tr w:rsidR="00F20D21" w:rsidRPr="00F20D21" w14:paraId="5B608CE2" w14:textId="77777777" w:rsidTr="005A572B">
        <w:trPr>
          <w:trHeight w:val="267"/>
          <w:jc w:val="center"/>
        </w:trPr>
        <w:tc>
          <w:tcPr>
            <w:tcW w:w="1289" w:type="dxa"/>
            <w:shd w:val="clear" w:color="auto" w:fill="auto"/>
            <w:noWrap/>
            <w:vAlign w:val="center"/>
            <w:hideMark/>
          </w:tcPr>
          <w:p w14:paraId="3524F1E4" w14:textId="77777777" w:rsidR="00F20D21" w:rsidRPr="00F20D21" w:rsidRDefault="00F20D21" w:rsidP="00D70396">
            <w:pPr>
              <w:jc w:val="right"/>
              <w:rPr>
                <w:rFonts w:ascii="Arial Narrow" w:hAnsi="Arial Narrow" w:cs="Arial"/>
                <w:b/>
                <w:bCs/>
                <w:sz w:val="18"/>
                <w:szCs w:val="18"/>
              </w:rPr>
            </w:pPr>
          </w:p>
        </w:tc>
        <w:tc>
          <w:tcPr>
            <w:tcW w:w="4940" w:type="dxa"/>
            <w:shd w:val="clear" w:color="auto" w:fill="auto"/>
            <w:noWrap/>
            <w:vAlign w:val="center"/>
            <w:hideMark/>
          </w:tcPr>
          <w:p w14:paraId="65609077" w14:textId="77777777" w:rsidR="00F20D21" w:rsidRPr="00F20D21" w:rsidRDefault="00F20D21" w:rsidP="00D70396">
            <w:pPr>
              <w:rPr>
                <w:rFonts w:ascii="Arial Narrow" w:hAnsi="Arial Narrow" w:cs="Arial"/>
                <w:b/>
                <w:bCs/>
                <w:sz w:val="18"/>
                <w:szCs w:val="18"/>
              </w:rPr>
            </w:pPr>
            <w:r w:rsidRPr="00F20D21">
              <w:rPr>
                <w:rFonts w:ascii="Arial Narrow" w:hAnsi="Arial Narrow" w:cs="Arial"/>
                <w:b/>
                <w:bCs/>
                <w:sz w:val="18"/>
                <w:szCs w:val="18"/>
              </w:rPr>
              <w:t>SUBTOTAL GASTOS ADMINISTRATIVOS (FUNCIONAMIENTO)</w:t>
            </w:r>
          </w:p>
        </w:tc>
        <w:tc>
          <w:tcPr>
            <w:tcW w:w="2126" w:type="dxa"/>
            <w:shd w:val="clear" w:color="auto" w:fill="auto"/>
            <w:noWrap/>
            <w:vAlign w:val="center"/>
            <w:hideMark/>
          </w:tcPr>
          <w:p w14:paraId="449320DD" w14:textId="77777777" w:rsidR="00F20D21" w:rsidRPr="00F20D21" w:rsidRDefault="00F20D21" w:rsidP="00D70396">
            <w:pPr>
              <w:jc w:val="right"/>
              <w:rPr>
                <w:rFonts w:ascii="Arial Narrow" w:hAnsi="Arial Narrow" w:cs="Arial"/>
                <w:b/>
                <w:bCs/>
                <w:sz w:val="18"/>
                <w:szCs w:val="18"/>
              </w:rPr>
            </w:pPr>
            <w:r w:rsidRPr="00F20D21">
              <w:rPr>
                <w:rFonts w:ascii="Arial Narrow" w:hAnsi="Arial Narrow" w:cs="Arial"/>
                <w:b/>
                <w:bCs/>
                <w:sz w:val="18"/>
                <w:szCs w:val="18"/>
              </w:rPr>
              <w:t>$ 3.456.756.690.706</w:t>
            </w:r>
          </w:p>
        </w:tc>
      </w:tr>
      <w:tr w:rsidR="00F20D21" w:rsidRPr="00F20D21" w14:paraId="49272F79" w14:textId="77777777" w:rsidTr="005A572B">
        <w:trPr>
          <w:trHeight w:val="282"/>
          <w:jc w:val="center"/>
        </w:trPr>
        <w:tc>
          <w:tcPr>
            <w:tcW w:w="1289" w:type="dxa"/>
            <w:shd w:val="clear" w:color="auto" w:fill="auto"/>
            <w:noWrap/>
            <w:vAlign w:val="center"/>
            <w:hideMark/>
          </w:tcPr>
          <w:p w14:paraId="2209A8B3" w14:textId="77777777" w:rsidR="00F20D21" w:rsidRPr="00F20D21" w:rsidRDefault="00F20D21" w:rsidP="00D70396">
            <w:pPr>
              <w:jc w:val="right"/>
              <w:rPr>
                <w:rFonts w:ascii="Arial Narrow" w:hAnsi="Arial Narrow" w:cs="Arial"/>
                <w:b/>
                <w:bCs/>
                <w:sz w:val="18"/>
                <w:szCs w:val="18"/>
              </w:rPr>
            </w:pPr>
          </w:p>
        </w:tc>
        <w:tc>
          <w:tcPr>
            <w:tcW w:w="4940" w:type="dxa"/>
            <w:shd w:val="clear" w:color="auto" w:fill="auto"/>
            <w:noWrap/>
            <w:vAlign w:val="center"/>
            <w:hideMark/>
          </w:tcPr>
          <w:p w14:paraId="67999266" w14:textId="77777777" w:rsidR="00F20D21" w:rsidRPr="00F20D21" w:rsidRDefault="00F20D21" w:rsidP="00D70396">
            <w:pPr>
              <w:rPr>
                <w:rFonts w:ascii="Arial Narrow" w:hAnsi="Arial Narrow" w:cs="Arial"/>
                <w:b/>
                <w:bCs/>
                <w:sz w:val="18"/>
                <w:szCs w:val="18"/>
              </w:rPr>
            </w:pPr>
            <w:r w:rsidRPr="00F20D21">
              <w:rPr>
                <w:rFonts w:ascii="Arial Narrow" w:hAnsi="Arial Narrow" w:cs="Arial"/>
                <w:b/>
                <w:bCs/>
                <w:sz w:val="18"/>
                <w:szCs w:val="18"/>
              </w:rPr>
              <w:t>SUBTOTAL GASTOS OPERATIVOS</w:t>
            </w:r>
          </w:p>
        </w:tc>
        <w:tc>
          <w:tcPr>
            <w:tcW w:w="2126" w:type="dxa"/>
            <w:shd w:val="clear" w:color="auto" w:fill="auto"/>
            <w:noWrap/>
            <w:vAlign w:val="center"/>
            <w:hideMark/>
          </w:tcPr>
          <w:p w14:paraId="099235D0" w14:textId="77777777" w:rsidR="00F20D21" w:rsidRPr="00F20D21" w:rsidRDefault="00F20D21" w:rsidP="00D70396">
            <w:pPr>
              <w:jc w:val="right"/>
              <w:rPr>
                <w:rFonts w:ascii="Arial Narrow" w:hAnsi="Arial Narrow" w:cs="Arial"/>
                <w:b/>
                <w:bCs/>
                <w:sz w:val="18"/>
                <w:szCs w:val="18"/>
              </w:rPr>
            </w:pPr>
            <w:r w:rsidRPr="00F20D21">
              <w:rPr>
                <w:rFonts w:ascii="Arial Narrow" w:hAnsi="Arial Narrow" w:cs="Arial"/>
                <w:b/>
                <w:bCs/>
                <w:sz w:val="18"/>
                <w:szCs w:val="18"/>
              </w:rPr>
              <w:t>$ 39.653.191.539.633</w:t>
            </w:r>
          </w:p>
        </w:tc>
      </w:tr>
    </w:tbl>
    <w:p w14:paraId="7889639A" w14:textId="77777777" w:rsidR="008E5C40" w:rsidRDefault="008E5C40" w:rsidP="00D22441">
      <w:pPr>
        <w:rPr>
          <w:rFonts w:cs="Arial"/>
        </w:rPr>
      </w:pPr>
    </w:p>
    <w:p w14:paraId="4E84A579" w14:textId="67F72790" w:rsidR="00A513DD" w:rsidRPr="00A513DD" w:rsidRDefault="00A513DD" w:rsidP="00D22441">
      <w:pPr>
        <w:pStyle w:val="Subttulo"/>
        <w:numPr>
          <w:ilvl w:val="1"/>
          <w:numId w:val="37"/>
        </w:numPr>
        <w:spacing w:after="0"/>
        <w:ind w:left="357" w:hanging="357"/>
        <w:jc w:val="left"/>
        <w:rPr>
          <w:b/>
          <w:bCs/>
          <w:sz w:val="22"/>
          <w:szCs w:val="22"/>
        </w:rPr>
      </w:pPr>
      <w:bookmarkStart w:id="24" w:name="_Toc147154297"/>
      <w:bookmarkEnd w:id="17"/>
      <w:r w:rsidRPr="00A513DD">
        <w:rPr>
          <w:b/>
          <w:bCs/>
          <w:sz w:val="22"/>
          <w:szCs w:val="22"/>
        </w:rPr>
        <w:t>TARIFA</w:t>
      </w:r>
      <w:r w:rsidR="00C447D2">
        <w:rPr>
          <w:b/>
          <w:bCs/>
          <w:sz w:val="22"/>
          <w:szCs w:val="22"/>
        </w:rPr>
        <w:t>.</w:t>
      </w:r>
      <w:bookmarkEnd w:id="24"/>
    </w:p>
    <w:p w14:paraId="4612742C" w14:textId="45FBDB69" w:rsidR="00280F88" w:rsidRDefault="00280F88" w:rsidP="00D22441">
      <w:pPr>
        <w:rPr>
          <w:rFonts w:cs="Arial"/>
          <w:sz w:val="22"/>
          <w:szCs w:val="22"/>
        </w:rPr>
      </w:pPr>
    </w:p>
    <w:p w14:paraId="6A1D27FA" w14:textId="14A8BC38" w:rsidR="00054D98" w:rsidRDefault="00054D98" w:rsidP="00D22441">
      <w:pPr>
        <w:rPr>
          <w:rFonts w:cs="Arial"/>
          <w:sz w:val="22"/>
          <w:szCs w:val="22"/>
        </w:rPr>
      </w:pPr>
      <w:r w:rsidRPr="00054D98">
        <w:rPr>
          <w:rFonts w:cs="Arial"/>
          <w:sz w:val="22"/>
          <w:szCs w:val="22"/>
        </w:rPr>
        <w:t xml:space="preserve">La tarifa es un </w:t>
      </w:r>
      <w:r>
        <w:rPr>
          <w:rFonts w:cs="Arial"/>
          <w:sz w:val="22"/>
          <w:szCs w:val="22"/>
        </w:rPr>
        <w:t>porcentaje</w:t>
      </w:r>
      <w:r w:rsidRPr="00054D98">
        <w:rPr>
          <w:rFonts w:cs="Arial"/>
          <w:sz w:val="22"/>
          <w:szCs w:val="22"/>
        </w:rPr>
        <w:t xml:space="preserve"> variable con el cual se determina el valor a pagar por cada regulado contribuyente de la contribución especial en una vigencia específica, la cual será </w:t>
      </w:r>
      <w:r w:rsidR="009133D9">
        <w:rPr>
          <w:rFonts w:cs="Arial"/>
          <w:sz w:val="22"/>
          <w:szCs w:val="22"/>
        </w:rPr>
        <w:t>fijada</w:t>
      </w:r>
      <w:r w:rsidRPr="00054D98">
        <w:rPr>
          <w:rFonts w:cs="Arial"/>
          <w:sz w:val="22"/>
          <w:szCs w:val="22"/>
        </w:rPr>
        <w:t xml:space="preserve"> tomando el presupuesto vigente de la CREG el cual será dividido sobre la sumatoria de las bases gravables de los sujetos pasivos. </w:t>
      </w:r>
    </w:p>
    <w:p w14:paraId="11C271AF" w14:textId="77777777" w:rsidR="00054D98" w:rsidRDefault="00054D98" w:rsidP="00D22441">
      <w:pPr>
        <w:rPr>
          <w:rFonts w:cs="Arial"/>
          <w:sz w:val="22"/>
          <w:szCs w:val="22"/>
        </w:rPr>
      </w:pPr>
    </w:p>
    <w:p w14:paraId="6FCE1AAC" w14:textId="03B6F8EB" w:rsidR="00280F88" w:rsidRDefault="005F42FE" w:rsidP="00D22441">
      <w:pPr>
        <w:rPr>
          <w:rFonts w:cs="Arial"/>
          <w:sz w:val="22"/>
          <w:szCs w:val="22"/>
        </w:rPr>
      </w:pPr>
      <w:bookmarkStart w:id="25" w:name="_Hlk51790659"/>
      <w:r>
        <w:rPr>
          <w:rFonts w:cs="Arial"/>
          <w:sz w:val="22"/>
          <w:szCs w:val="22"/>
        </w:rPr>
        <w:t>Para todos los años, l</w:t>
      </w:r>
      <w:r w:rsidR="00280F88">
        <w:rPr>
          <w:rFonts w:cs="Arial"/>
          <w:sz w:val="22"/>
          <w:szCs w:val="22"/>
        </w:rPr>
        <w:t xml:space="preserve">a </w:t>
      </w:r>
      <w:r w:rsidR="00280F88" w:rsidRPr="00163749">
        <w:rPr>
          <w:rFonts w:cs="Arial"/>
          <w:sz w:val="22"/>
          <w:szCs w:val="22"/>
        </w:rPr>
        <w:t xml:space="preserve">tarifa </w:t>
      </w:r>
      <w:r w:rsidR="00280F88">
        <w:rPr>
          <w:rFonts w:cs="Arial"/>
          <w:sz w:val="22"/>
          <w:szCs w:val="22"/>
        </w:rPr>
        <w:t xml:space="preserve">es un factor general con el cual se determina el valor a pagar por cada regulado contribuyente de la contribución especial en una vigencia específica. Esta tarifa </w:t>
      </w:r>
      <w:r w:rsidR="00280F88" w:rsidRPr="00163749">
        <w:rPr>
          <w:rFonts w:cs="Arial"/>
          <w:sz w:val="22"/>
          <w:szCs w:val="22"/>
        </w:rPr>
        <w:t xml:space="preserve">será </w:t>
      </w:r>
      <w:r w:rsidR="002D0D89">
        <w:rPr>
          <w:rFonts w:cs="Arial"/>
          <w:sz w:val="22"/>
          <w:szCs w:val="22"/>
        </w:rPr>
        <w:t>definida</w:t>
      </w:r>
      <w:r w:rsidR="00280F88" w:rsidRPr="00163749">
        <w:rPr>
          <w:rFonts w:cs="Arial"/>
          <w:sz w:val="22"/>
          <w:szCs w:val="22"/>
        </w:rPr>
        <w:t xml:space="preserve"> </w:t>
      </w:r>
      <w:r w:rsidR="00280F88">
        <w:rPr>
          <w:rFonts w:cs="Arial"/>
          <w:sz w:val="22"/>
          <w:szCs w:val="22"/>
        </w:rPr>
        <w:t xml:space="preserve">tomando el presupuesto vigente de la CREG el cual será dividido sobre la sumatoria de las bases gravables de los sujetos pasivos. </w:t>
      </w:r>
    </w:p>
    <w:p w14:paraId="50E22043" w14:textId="77777777" w:rsidR="00280F88" w:rsidRDefault="00280F88" w:rsidP="00D22441">
      <w:pPr>
        <w:rPr>
          <w:rFonts w:cs="Arial"/>
          <w:sz w:val="22"/>
          <w:szCs w:val="22"/>
        </w:rPr>
      </w:pPr>
    </w:p>
    <w:p w14:paraId="0DFC7F63" w14:textId="60C5FD28" w:rsidR="00280F88" w:rsidRDefault="00280F88" w:rsidP="00D22441">
      <w:pPr>
        <w:rPr>
          <w:rFonts w:cs="Arial"/>
          <w:sz w:val="22"/>
          <w:szCs w:val="22"/>
        </w:rPr>
      </w:pPr>
      <w:r>
        <w:rPr>
          <w:rFonts w:cs="Arial"/>
          <w:sz w:val="22"/>
          <w:szCs w:val="22"/>
        </w:rPr>
        <w:t xml:space="preserve">La tarifa no podrá </w:t>
      </w:r>
      <w:r w:rsidRPr="00163749">
        <w:rPr>
          <w:rFonts w:cs="Arial"/>
          <w:sz w:val="22"/>
          <w:szCs w:val="22"/>
        </w:rPr>
        <w:t>ser superior al uno por ciento (1%) de las respectivas bases gravables</w:t>
      </w:r>
      <w:r w:rsidR="00B31A74">
        <w:rPr>
          <w:rFonts w:cs="Arial"/>
          <w:sz w:val="22"/>
          <w:szCs w:val="22"/>
        </w:rPr>
        <w:t xml:space="preserve">, </w:t>
      </w:r>
      <w:r w:rsidR="00877AF0">
        <w:rPr>
          <w:rFonts w:cs="Arial"/>
          <w:sz w:val="22"/>
          <w:szCs w:val="22"/>
        </w:rPr>
        <w:t>teniendo en cuenta</w:t>
      </w:r>
      <w:r w:rsidR="00B31A74">
        <w:rPr>
          <w:rFonts w:cs="Arial"/>
          <w:sz w:val="22"/>
          <w:szCs w:val="22"/>
        </w:rPr>
        <w:t xml:space="preserve"> los casos en los cuales sea aplicable el parágrafo 2 del artículo 85 de la Ley 142 de 1994.</w:t>
      </w:r>
    </w:p>
    <w:p w14:paraId="2AAFB2A9" w14:textId="77777777" w:rsidR="00280F88" w:rsidRDefault="00280F88" w:rsidP="00D22441">
      <w:pPr>
        <w:rPr>
          <w:rFonts w:cs="Arial"/>
          <w:sz w:val="22"/>
          <w:szCs w:val="22"/>
        </w:rPr>
      </w:pPr>
    </w:p>
    <w:p w14:paraId="3165D1FD" w14:textId="77777777" w:rsidR="00280F88" w:rsidRDefault="00280F88" w:rsidP="00D22441">
      <w:pPr>
        <w:pStyle w:val="Textoindependiente"/>
        <w:spacing w:after="0" w:line="240" w:lineRule="auto"/>
        <w:rPr>
          <w:rFonts w:cs="Arial"/>
          <w:sz w:val="22"/>
          <w:szCs w:val="22"/>
        </w:rPr>
      </w:pPr>
      <w:r w:rsidRPr="00B60E08">
        <w:rPr>
          <w:rFonts w:cs="Arial"/>
          <w:sz w:val="22"/>
          <w:szCs w:val="22"/>
        </w:rPr>
        <w:t xml:space="preserve">La </w:t>
      </w:r>
      <w:r>
        <w:rPr>
          <w:rFonts w:cs="Arial"/>
          <w:sz w:val="22"/>
          <w:szCs w:val="22"/>
        </w:rPr>
        <w:t xml:space="preserve">tarifa </w:t>
      </w:r>
      <w:r w:rsidRPr="00B60E08">
        <w:rPr>
          <w:rFonts w:cs="Arial"/>
          <w:sz w:val="22"/>
          <w:szCs w:val="22"/>
        </w:rPr>
        <w:t xml:space="preserve">descrita se calculará </w:t>
      </w:r>
      <w:r>
        <w:rPr>
          <w:rFonts w:cs="Arial"/>
          <w:sz w:val="22"/>
          <w:szCs w:val="22"/>
        </w:rPr>
        <w:t>de la siguiente manera</w:t>
      </w:r>
      <w:r w:rsidRPr="00B60E08">
        <w:rPr>
          <w:rFonts w:cs="Arial"/>
          <w:sz w:val="22"/>
          <w:szCs w:val="22"/>
        </w:rPr>
        <w:t>:</w:t>
      </w:r>
    </w:p>
    <w:p w14:paraId="2A35B386" w14:textId="24574536" w:rsidR="00280F88" w:rsidRDefault="00280F88" w:rsidP="00D22441">
      <w:pPr>
        <w:pStyle w:val="Textoindependiente"/>
        <w:spacing w:after="0" w:line="240" w:lineRule="auto"/>
        <w:jc w:val="center"/>
        <w:rPr>
          <w:rFonts w:cs="Arial"/>
          <w:sz w:val="22"/>
          <w:szCs w:val="22"/>
        </w:rPr>
      </w:pPr>
    </w:p>
    <w:p w14:paraId="3825424B" w14:textId="7936B2B6" w:rsidR="00280F88" w:rsidRPr="00887A76" w:rsidRDefault="0078267D" w:rsidP="00D22441">
      <w:pPr>
        <w:pStyle w:val="Textoindependiente"/>
        <w:spacing w:after="0" w:line="240" w:lineRule="auto"/>
        <w:jc w:val="center"/>
        <w:rPr>
          <w:rFonts w:cs="Arial"/>
          <w:sz w:val="24"/>
          <w:szCs w:val="24"/>
        </w:rPr>
      </w:pPr>
      <w:r w:rsidRPr="00887A76">
        <w:rPr>
          <w:rFonts w:cs="Arial"/>
          <w:sz w:val="24"/>
          <w:szCs w:val="24"/>
        </w:rPr>
        <w:t xml:space="preserve">                                   </w:t>
      </w:r>
      <m:oMath>
        <m:r>
          <w:rPr>
            <w:rFonts w:ascii="Cambria Math" w:hAnsi="Cambria Math" w:cs="Arial"/>
            <w:sz w:val="24"/>
            <w:szCs w:val="24"/>
          </w:rPr>
          <m:t xml:space="preserve">Tce= </m:t>
        </m:r>
        <m:f>
          <m:fPr>
            <m:ctrlPr>
              <w:rPr>
                <w:rFonts w:ascii="Cambria Math" w:hAnsi="Cambria Math" w:cs="Arial"/>
                <w:i/>
                <w:sz w:val="24"/>
                <w:szCs w:val="24"/>
              </w:rPr>
            </m:ctrlPr>
          </m:fPr>
          <m:num>
            <m:r>
              <w:rPr>
                <w:rFonts w:ascii="Cambria Math" w:hAnsi="Cambria Math" w:cs="Arial"/>
                <w:sz w:val="24"/>
                <w:szCs w:val="24"/>
              </w:rPr>
              <m:t xml:space="preserve">Pv </m:t>
            </m:r>
          </m:num>
          <m:den>
            <m:nary>
              <m:naryPr>
                <m:chr m:val="∑"/>
                <m:subHide m:val="1"/>
                <m:supHide m:val="1"/>
                <m:ctrlPr>
                  <w:rPr>
                    <w:rFonts w:ascii="Cambria Math" w:hAnsi="Cambria Math" w:cs="Arial"/>
                    <w:i/>
                    <w:sz w:val="24"/>
                    <w:szCs w:val="24"/>
                  </w:rPr>
                </m:ctrlPr>
              </m:naryPr>
              <m:sub/>
              <m:sup/>
              <m:e>
                <m:r>
                  <w:rPr>
                    <w:rFonts w:ascii="Cambria Math" w:hAnsi="Cambria Math" w:cs="Arial"/>
                    <w:sz w:val="24"/>
                    <w:szCs w:val="24"/>
                  </w:rPr>
                  <m:t>bg</m:t>
                </m:r>
              </m:e>
            </m:nary>
          </m:den>
        </m:f>
      </m:oMath>
      <w:r w:rsidR="00280F88" w:rsidRPr="00887A76">
        <w:rPr>
          <w:rFonts w:cs="Arial"/>
          <w:sz w:val="24"/>
          <w:szCs w:val="24"/>
        </w:rPr>
        <w:t xml:space="preserve">                  </w:t>
      </w:r>
      <w:r w:rsidRPr="00887A76">
        <w:rPr>
          <w:rFonts w:cs="Arial"/>
          <w:sz w:val="24"/>
          <w:szCs w:val="24"/>
        </w:rPr>
        <w:tab/>
      </w:r>
      <w:r w:rsidRPr="00887A76">
        <w:rPr>
          <w:rFonts w:cs="Arial"/>
          <w:sz w:val="24"/>
          <w:szCs w:val="24"/>
        </w:rPr>
        <w:tab/>
      </w:r>
      <w:r w:rsidRPr="00887A76">
        <w:rPr>
          <w:rFonts w:cs="Arial"/>
          <w:sz w:val="24"/>
          <w:szCs w:val="24"/>
        </w:rPr>
        <w:tab/>
      </w:r>
      <w:r w:rsidRPr="00887A76">
        <w:rPr>
          <w:rFonts w:cs="Arial"/>
          <w:sz w:val="24"/>
          <w:szCs w:val="24"/>
        </w:rPr>
        <w:tab/>
      </w:r>
      <w:r w:rsidR="00280F88" w:rsidRPr="00887A76">
        <w:rPr>
          <w:rFonts w:cs="Arial"/>
          <w:sz w:val="24"/>
          <w:szCs w:val="24"/>
        </w:rPr>
        <w:t>(</w:t>
      </w:r>
      <w:r w:rsidRPr="00887A76">
        <w:rPr>
          <w:rFonts w:cs="Arial"/>
          <w:sz w:val="24"/>
          <w:szCs w:val="24"/>
        </w:rPr>
        <w:t>2</w:t>
      </w:r>
      <w:r w:rsidR="00280F88" w:rsidRPr="00887A76">
        <w:rPr>
          <w:rFonts w:cs="Arial"/>
          <w:sz w:val="24"/>
          <w:szCs w:val="24"/>
        </w:rPr>
        <w:t>)</w:t>
      </w:r>
    </w:p>
    <w:p w14:paraId="4181C016" w14:textId="77777777" w:rsidR="005C7A0A" w:rsidRPr="0099440C" w:rsidRDefault="005C7A0A" w:rsidP="00D22441">
      <w:pPr>
        <w:pStyle w:val="Textoindependiente"/>
        <w:spacing w:after="0" w:line="240" w:lineRule="auto"/>
        <w:rPr>
          <w:rFonts w:cs="Arial"/>
          <w:i/>
          <w:iCs/>
          <w:sz w:val="22"/>
          <w:szCs w:val="22"/>
        </w:rPr>
      </w:pPr>
      <w:r>
        <w:rPr>
          <w:rFonts w:cs="Arial"/>
          <w:i/>
          <w:iCs/>
          <w:sz w:val="22"/>
          <w:szCs w:val="22"/>
        </w:rPr>
        <w:t>Donde:</w:t>
      </w:r>
    </w:p>
    <w:p w14:paraId="29B2DEF1" w14:textId="77777777" w:rsidR="005C7A0A" w:rsidRPr="0099440C" w:rsidRDefault="005C7A0A" w:rsidP="00D22441">
      <w:pPr>
        <w:pStyle w:val="Textoindependiente"/>
        <w:spacing w:after="0" w:line="240" w:lineRule="auto"/>
        <w:rPr>
          <w:rFonts w:cs="Arial"/>
          <w:sz w:val="10"/>
          <w:szCs w:val="10"/>
        </w:rPr>
      </w:pPr>
    </w:p>
    <w:p w14:paraId="4E1F79F3" w14:textId="77777777" w:rsidR="005C7A0A" w:rsidRPr="0099440C" w:rsidRDefault="005C7A0A" w:rsidP="00D22441">
      <w:pPr>
        <w:pStyle w:val="Textoindependiente"/>
        <w:spacing w:after="0" w:line="240" w:lineRule="auto"/>
        <w:rPr>
          <w:rFonts w:cs="Arial"/>
          <w:i/>
          <w:iCs/>
          <w:sz w:val="22"/>
          <w:szCs w:val="22"/>
        </w:rPr>
      </w:pPr>
      <w:proofErr w:type="spellStart"/>
      <w:r w:rsidRPr="0099440C">
        <w:rPr>
          <w:rFonts w:cs="Arial"/>
          <w:i/>
          <w:iCs/>
          <w:sz w:val="22"/>
          <w:szCs w:val="22"/>
        </w:rPr>
        <w:t>Tce</w:t>
      </w:r>
      <w:proofErr w:type="spellEnd"/>
      <w:r w:rsidRPr="0099440C">
        <w:rPr>
          <w:rFonts w:cs="Arial"/>
          <w:i/>
          <w:iCs/>
          <w:sz w:val="22"/>
          <w:szCs w:val="22"/>
        </w:rPr>
        <w:t>: tarifa de la contribución especial.</w:t>
      </w:r>
    </w:p>
    <w:p w14:paraId="2896342C" w14:textId="77777777" w:rsidR="005C7A0A" w:rsidRPr="0099440C" w:rsidRDefault="005C7A0A" w:rsidP="00D22441">
      <w:pPr>
        <w:pStyle w:val="Textoindependiente"/>
        <w:spacing w:after="0" w:line="240" w:lineRule="auto"/>
        <w:rPr>
          <w:rFonts w:cs="Arial"/>
          <w:i/>
          <w:iCs/>
          <w:sz w:val="22"/>
          <w:szCs w:val="22"/>
        </w:rPr>
      </w:pPr>
      <w:proofErr w:type="spellStart"/>
      <w:r w:rsidRPr="0099440C">
        <w:rPr>
          <w:rFonts w:cs="Arial"/>
          <w:i/>
          <w:iCs/>
          <w:sz w:val="22"/>
          <w:szCs w:val="22"/>
        </w:rPr>
        <w:t>Pv</w:t>
      </w:r>
      <w:proofErr w:type="spellEnd"/>
      <w:r w:rsidRPr="0099440C">
        <w:rPr>
          <w:rFonts w:cs="Arial"/>
          <w:i/>
          <w:iCs/>
          <w:sz w:val="22"/>
          <w:szCs w:val="22"/>
        </w:rPr>
        <w:t>: presupuesto vigente.</w:t>
      </w:r>
    </w:p>
    <w:p w14:paraId="255C4E1C" w14:textId="4D1D103A" w:rsidR="005C7A0A" w:rsidRDefault="000D5E7E" w:rsidP="00D22441">
      <w:pPr>
        <w:pStyle w:val="Textoindependiente"/>
        <w:spacing w:after="0" w:line="240" w:lineRule="auto"/>
        <w:rPr>
          <w:rFonts w:cs="Arial"/>
          <w:i/>
          <w:iCs/>
          <w:sz w:val="22"/>
          <w:szCs w:val="22"/>
        </w:rPr>
      </w:pPr>
      <m:oMath>
        <m:nary>
          <m:naryPr>
            <m:chr m:val="∑"/>
            <m:subHide m:val="1"/>
            <m:supHide m:val="1"/>
            <m:ctrlPr>
              <w:rPr>
                <w:rFonts w:ascii="Cambria Math" w:hAnsi="Cambria Math" w:cs="Arial"/>
                <w:i/>
                <w:iCs/>
                <w:sz w:val="22"/>
                <w:szCs w:val="22"/>
              </w:rPr>
            </m:ctrlPr>
          </m:naryPr>
          <m:sub/>
          <m:sup/>
          <m:e>
            <m:r>
              <w:rPr>
                <w:rFonts w:ascii="Cambria Math" w:hAnsi="Cambria Math" w:cs="Arial"/>
                <w:sz w:val="22"/>
                <w:szCs w:val="22"/>
              </w:rPr>
              <m:t>bg</m:t>
            </m:r>
          </m:e>
        </m:nary>
        <m:r>
          <w:rPr>
            <w:rFonts w:ascii="Cambria Math" w:hAnsi="Cambria Math" w:cs="Arial"/>
            <w:sz w:val="22"/>
            <w:szCs w:val="22"/>
          </w:rPr>
          <m:t xml:space="preserve">: </m:t>
        </m:r>
      </m:oMath>
      <w:r w:rsidR="005C7A0A" w:rsidRPr="0099440C">
        <w:rPr>
          <w:rFonts w:cs="Arial"/>
          <w:i/>
          <w:iCs/>
          <w:sz w:val="22"/>
          <w:szCs w:val="22"/>
        </w:rPr>
        <w:t>Sumatoria de las bases gr</w:t>
      </w:r>
      <w:proofErr w:type="spellStart"/>
      <w:r w:rsidR="0020406B">
        <w:rPr>
          <w:rFonts w:cs="Arial"/>
          <w:i/>
          <w:iCs/>
          <w:sz w:val="22"/>
          <w:szCs w:val="22"/>
        </w:rPr>
        <w:t>avables</w:t>
      </w:r>
      <w:proofErr w:type="spellEnd"/>
      <w:r w:rsidR="0020406B">
        <w:rPr>
          <w:rFonts w:cs="Arial"/>
          <w:i/>
          <w:iCs/>
          <w:sz w:val="22"/>
          <w:szCs w:val="22"/>
        </w:rPr>
        <w:t xml:space="preserve"> de los sujetos pasivos.</w:t>
      </w:r>
    </w:p>
    <w:p w14:paraId="5B26EB4F" w14:textId="050FD0CB" w:rsidR="00280F88" w:rsidRDefault="00280F88" w:rsidP="00D22441">
      <w:pPr>
        <w:pStyle w:val="Ttulo10"/>
        <w:numPr>
          <w:ilvl w:val="0"/>
          <w:numId w:val="37"/>
        </w:numPr>
        <w:spacing w:before="0" w:after="0"/>
        <w:rPr>
          <w:sz w:val="22"/>
          <w:szCs w:val="22"/>
        </w:rPr>
      </w:pPr>
      <w:bookmarkStart w:id="26" w:name="_Toc54170175"/>
      <w:bookmarkStart w:id="27" w:name="_Toc147154298"/>
      <w:bookmarkEnd w:id="25"/>
      <w:r>
        <w:rPr>
          <w:sz w:val="22"/>
          <w:szCs w:val="22"/>
        </w:rPr>
        <w:t xml:space="preserve">PRESUPUESTO Y COSTOS ASOCIADOS </w:t>
      </w:r>
      <w:r w:rsidR="00EC680A">
        <w:rPr>
          <w:sz w:val="22"/>
          <w:szCs w:val="22"/>
        </w:rPr>
        <w:t>A</w:t>
      </w:r>
      <w:r>
        <w:rPr>
          <w:sz w:val="22"/>
          <w:szCs w:val="22"/>
        </w:rPr>
        <w:t xml:space="preserve"> LA ACTIVIDAD REGULATORIA</w:t>
      </w:r>
      <w:bookmarkEnd w:id="26"/>
      <w:r w:rsidR="00C447D2">
        <w:rPr>
          <w:sz w:val="22"/>
          <w:szCs w:val="22"/>
        </w:rPr>
        <w:t>.</w:t>
      </w:r>
      <w:bookmarkEnd w:id="27"/>
    </w:p>
    <w:p w14:paraId="5A62222A" w14:textId="341AC8FD" w:rsidR="00641B75" w:rsidRDefault="00641B75" w:rsidP="00D22441">
      <w:pPr>
        <w:pStyle w:val="Ttulo10"/>
        <w:spacing w:before="0" w:after="0"/>
        <w:ind w:left="720"/>
        <w:jc w:val="both"/>
        <w:rPr>
          <w:sz w:val="22"/>
          <w:szCs w:val="22"/>
        </w:rPr>
      </w:pPr>
    </w:p>
    <w:p w14:paraId="424C3004" w14:textId="029D4F48" w:rsidR="00280F88" w:rsidRDefault="00280F88" w:rsidP="00D22441">
      <w:pPr>
        <w:pStyle w:val="Subttulo"/>
        <w:numPr>
          <w:ilvl w:val="1"/>
          <w:numId w:val="37"/>
        </w:numPr>
        <w:spacing w:after="0"/>
        <w:ind w:left="357" w:hanging="357"/>
        <w:jc w:val="left"/>
        <w:rPr>
          <w:b/>
          <w:bCs/>
          <w:sz w:val="22"/>
          <w:szCs w:val="22"/>
        </w:rPr>
      </w:pPr>
      <w:bookmarkStart w:id="28" w:name="_Toc54170176"/>
      <w:bookmarkStart w:id="29" w:name="_Toc147154299"/>
      <w:bookmarkStart w:id="30" w:name="PRESUPUESTOCREG_AÑO2023"/>
      <w:r>
        <w:rPr>
          <w:b/>
          <w:bCs/>
          <w:sz w:val="22"/>
          <w:szCs w:val="22"/>
        </w:rPr>
        <w:t>PRESUPUESTO DE LA CREG PARA LA VIGENCIA 202</w:t>
      </w:r>
      <w:bookmarkEnd w:id="28"/>
      <w:r w:rsidR="00C10F5C">
        <w:rPr>
          <w:b/>
          <w:bCs/>
          <w:sz w:val="22"/>
          <w:szCs w:val="22"/>
        </w:rPr>
        <w:t>3</w:t>
      </w:r>
      <w:r w:rsidR="00C447D2">
        <w:rPr>
          <w:b/>
          <w:bCs/>
          <w:sz w:val="22"/>
          <w:szCs w:val="22"/>
        </w:rPr>
        <w:t>.</w:t>
      </w:r>
      <w:bookmarkEnd w:id="29"/>
    </w:p>
    <w:bookmarkEnd w:id="30"/>
    <w:p w14:paraId="5F58D90C" w14:textId="77777777" w:rsidR="00555A5D" w:rsidRPr="00555A5D" w:rsidRDefault="00555A5D" w:rsidP="00D22441">
      <w:pPr>
        <w:rPr>
          <w:rFonts w:cs="Arial"/>
          <w:sz w:val="22"/>
          <w:szCs w:val="22"/>
        </w:rPr>
      </w:pPr>
    </w:p>
    <w:p w14:paraId="3087505D" w14:textId="1B566B17" w:rsidR="00F948DF" w:rsidRDefault="00555A5D" w:rsidP="00D22441">
      <w:pPr>
        <w:rPr>
          <w:rFonts w:cs="Arial"/>
          <w:sz w:val="22"/>
          <w:szCs w:val="22"/>
        </w:rPr>
      </w:pPr>
      <w:bookmarkStart w:id="31" w:name="_Hlk143069118"/>
      <w:r w:rsidRPr="00EA5C80">
        <w:rPr>
          <w:rFonts w:cs="Arial"/>
          <w:sz w:val="22"/>
          <w:szCs w:val="22"/>
        </w:rPr>
        <w:lastRenderedPageBreak/>
        <w:t>En desarrollo del artículo 19 de la Ley 2</w:t>
      </w:r>
      <w:r w:rsidR="0099719A" w:rsidRPr="00EA5C80">
        <w:rPr>
          <w:rFonts w:cs="Arial"/>
          <w:sz w:val="22"/>
          <w:szCs w:val="22"/>
        </w:rPr>
        <w:t>276</w:t>
      </w:r>
      <w:r w:rsidRPr="00EA5C80">
        <w:rPr>
          <w:rFonts w:cs="Arial"/>
          <w:sz w:val="22"/>
          <w:szCs w:val="22"/>
        </w:rPr>
        <w:t xml:space="preserve"> del </w:t>
      </w:r>
      <w:r w:rsidR="0099719A" w:rsidRPr="00EA5C80">
        <w:rPr>
          <w:rFonts w:cs="Arial"/>
          <w:sz w:val="22"/>
          <w:szCs w:val="22"/>
        </w:rPr>
        <w:t>29</w:t>
      </w:r>
      <w:r w:rsidRPr="00EA5C80">
        <w:rPr>
          <w:rFonts w:cs="Arial"/>
          <w:sz w:val="22"/>
          <w:szCs w:val="22"/>
        </w:rPr>
        <w:t xml:space="preserve"> de noviembre de 202</w:t>
      </w:r>
      <w:r w:rsidR="0099719A" w:rsidRPr="00EA5C80">
        <w:rPr>
          <w:rFonts w:cs="Arial"/>
          <w:sz w:val="22"/>
          <w:szCs w:val="22"/>
        </w:rPr>
        <w:t>2</w:t>
      </w:r>
      <w:r w:rsidRPr="00EA5C80">
        <w:rPr>
          <w:rStyle w:val="Refdenotaalpie"/>
          <w:rFonts w:cs="Arial"/>
          <w:sz w:val="22"/>
          <w:szCs w:val="22"/>
        </w:rPr>
        <w:footnoteReference w:id="3"/>
      </w:r>
      <w:r w:rsidR="002F7869">
        <w:rPr>
          <w:rFonts w:cs="Arial"/>
          <w:sz w:val="22"/>
          <w:szCs w:val="22"/>
        </w:rPr>
        <w:t xml:space="preserve"> </w:t>
      </w:r>
      <w:r w:rsidR="00216D84">
        <w:rPr>
          <w:rFonts w:cs="Arial"/>
          <w:sz w:val="22"/>
          <w:szCs w:val="22"/>
        </w:rPr>
        <w:t>a través</w:t>
      </w:r>
      <w:r w:rsidR="002F7869">
        <w:rPr>
          <w:rFonts w:cs="Arial"/>
          <w:sz w:val="22"/>
          <w:szCs w:val="22"/>
        </w:rPr>
        <w:t xml:space="preserve"> </w:t>
      </w:r>
      <w:r w:rsidR="00216D84">
        <w:rPr>
          <w:rFonts w:cs="Arial"/>
          <w:sz w:val="22"/>
          <w:szCs w:val="22"/>
        </w:rPr>
        <w:t>d</w:t>
      </w:r>
      <w:r w:rsidR="00F948DF" w:rsidRPr="00EA5C80">
        <w:rPr>
          <w:rFonts w:cs="Arial"/>
          <w:sz w:val="22"/>
          <w:szCs w:val="22"/>
        </w:rPr>
        <w:t xml:space="preserve">el Decreto </w:t>
      </w:r>
      <w:r w:rsidR="002F7869">
        <w:rPr>
          <w:rFonts w:cs="Arial"/>
          <w:sz w:val="22"/>
          <w:szCs w:val="22"/>
        </w:rPr>
        <w:t xml:space="preserve">y su anexo </w:t>
      </w:r>
      <w:r w:rsidR="00F948DF" w:rsidRPr="00EA5C80">
        <w:rPr>
          <w:rFonts w:cs="Arial"/>
          <w:sz w:val="22"/>
          <w:szCs w:val="22"/>
        </w:rPr>
        <w:t xml:space="preserve">de liquidación </w:t>
      </w:r>
      <w:proofErr w:type="spellStart"/>
      <w:r w:rsidR="00F948DF" w:rsidRPr="00EA5C80">
        <w:rPr>
          <w:rFonts w:cs="Arial"/>
          <w:sz w:val="22"/>
          <w:szCs w:val="22"/>
        </w:rPr>
        <w:t>N°</w:t>
      </w:r>
      <w:proofErr w:type="spellEnd"/>
      <w:r w:rsidR="00F948DF" w:rsidRPr="00EA5C80">
        <w:rPr>
          <w:rFonts w:cs="Arial"/>
          <w:sz w:val="22"/>
          <w:szCs w:val="22"/>
        </w:rPr>
        <w:t xml:space="preserve"> </w:t>
      </w:r>
      <w:r w:rsidR="00384AA9" w:rsidRPr="00EA5C80">
        <w:rPr>
          <w:rFonts w:cs="Arial"/>
          <w:sz w:val="22"/>
          <w:szCs w:val="22"/>
        </w:rPr>
        <w:t>2590</w:t>
      </w:r>
      <w:r w:rsidR="00F948DF" w:rsidRPr="00EA5C80">
        <w:rPr>
          <w:rFonts w:cs="Arial"/>
          <w:sz w:val="22"/>
          <w:szCs w:val="22"/>
        </w:rPr>
        <w:t xml:space="preserve"> de diciembre 2</w:t>
      </w:r>
      <w:r w:rsidR="00384AA9" w:rsidRPr="00EA5C80">
        <w:rPr>
          <w:rFonts w:cs="Arial"/>
          <w:sz w:val="22"/>
          <w:szCs w:val="22"/>
        </w:rPr>
        <w:t>3</w:t>
      </w:r>
      <w:r w:rsidR="00F948DF" w:rsidRPr="00EA5C80">
        <w:rPr>
          <w:rFonts w:cs="Arial"/>
          <w:sz w:val="22"/>
          <w:szCs w:val="22"/>
        </w:rPr>
        <w:t xml:space="preserve"> de 202</w:t>
      </w:r>
      <w:r w:rsidR="00384AA9" w:rsidRPr="00EA5C80">
        <w:rPr>
          <w:rFonts w:cs="Arial"/>
          <w:sz w:val="22"/>
          <w:szCs w:val="22"/>
        </w:rPr>
        <w:t>2</w:t>
      </w:r>
      <w:r w:rsidR="00F948DF" w:rsidRPr="00EA5C80">
        <w:rPr>
          <w:rStyle w:val="Refdenotaalpie"/>
          <w:rFonts w:cs="Arial"/>
          <w:sz w:val="22"/>
          <w:szCs w:val="22"/>
        </w:rPr>
        <w:footnoteReference w:id="4"/>
      </w:r>
      <w:r w:rsidR="00A651B8">
        <w:rPr>
          <w:rFonts w:cs="Arial"/>
          <w:sz w:val="22"/>
          <w:szCs w:val="22"/>
        </w:rPr>
        <w:t xml:space="preserve">, </w:t>
      </w:r>
      <w:r w:rsidR="00216D84">
        <w:rPr>
          <w:rFonts w:cs="Arial"/>
          <w:sz w:val="22"/>
          <w:szCs w:val="22"/>
        </w:rPr>
        <w:t xml:space="preserve">así como </w:t>
      </w:r>
      <w:r w:rsidR="00A651B8">
        <w:rPr>
          <w:rFonts w:cs="Arial"/>
          <w:sz w:val="22"/>
          <w:szCs w:val="22"/>
        </w:rPr>
        <w:t xml:space="preserve">la </w:t>
      </w:r>
      <w:r w:rsidR="00A651B8" w:rsidRPr="00A651B8">
        <w:rPr>
          <w:rFonts w:cs="Arial"/>
          <w:sz w:val="22"/>
          <w:szCs w:val="22"/>
        </w:rPr>
        <w:t xml:space="preserve">Ley </w:t>
      </w:r>
      <w:proofErr w:type="spellStart"/>
      <w:r w:rsidR="00A651B8" w:rsidRPr="00A651B8">
        <w:rPr>
          <w:rFonts w:cs="Arial"/>
          <w:sz w:val="22"/>
          <w:szCs w:val="22"/>
        </w:rPr>
        <w:t>N</w:t>
      </w:r>
      <w:r w:rsidR="00A651B8">
        <w:rPr>
          <w:rFonts w:cs="Arial"/>
          <w:sz w:val="22"/>
          <w:szCs w:val="22"/>
        </w:rPr>
        <w:t>°</w:t>
      </w:r>
      <w:proofErr w:type="spellEnd"/>
      <w:r w:rsidR="00A651B8" w:rsidRPr="00A651B8">
        <w:rPr>
          <w:rFonts w:cs="Arial"/>
          <w:sz w:val="22"/>
          <w:szCs w:val="22"/>
        </w:rPr>
        <w:t xml:space="preserve"> 2299 del 10 de julio de 2023</w:t>
      </w:r>
      <w:r w:rsidR="002F6789">
        <w:rPr>
          <w:rStyle w:val="Refdenotaalpie"/>
          <w:rFonts w:cs="Arial"/>
          <w:sz w:val="22"/>
          <w:szCs w:val="22"/>
        </w:rPr>
        <w:footnoteReference w:id="5"/>
      </w:r>
      <w:r w:rsidR="002F7869">
        <w:rPr>
          <w:rFonts w:cs="Arial"/>
          <w:sz w:val="22"/>
          <w:szCs w:val="22"/>
        </w:rPr>
        <w:t xml:space="preserve"> desarrollada por </w:t>
      </w:r>
      <w:r w:rsidR="00A651B8">
        <w:rPr>
          <w:rFonts w:cs="Arial"/>
          <w:sz w:val="22"/>
          <w:szCs w:val="22"/>
        </w:rPr>
        <w:t xml:space="preserve">el Decreto </w:t>
      </w:r>
      <w:r w:rsidR="002F7869">
        <w:rPr>
          <w:rFonts w:cs="Arial"/>
          <w:sz w:val="22"/>
          <w:szCs w:val="22"/>
        </w:rPr>
        <w:t xml:space="preserve">y su anexo </w:t>
      </w:r>
      <w:r w:rsidR="00E45D7A">
        <w:rPr>
          <w:rFonts w:cs="Arial"/>
          <w:sz w:val="22"/>
          <w:szCs w:val="22"/>
        </w:rPr>
        <w:t xml:space="preserve">de adición </w:t>
      </w:r>
      <w:proofErr w:type="spellStart"/>
      <w:r w:rsidR="00A651B8">
        <w:rPr>
          <w:rFonts w:cs="Arial"/>
          <w:sz w:val="22"/>
          <w:szCs w:val="22"/>
        </w:rPr>
        <w:t>N°</w:t>
      </w:r>
      <w:proofErr w:type="spellEnd"/>
      <w:r w:rsidR="00A651B8">
        <w:rPr>
          <w:rFonts w:cs="Arial"/>
          <w:sz w:val="22"/>
          <w:szCs w:val="22"/>
        </w:rPr>
        <w:t xml:space="preserve"> 1234 del 25 de julio de 2023</w:t>
      </w:r>
      <w:r w:rsidR="00252A47">
        <w:rPr>
          <w:rStyle w:val="Refdenotaalpie"/>
          <w:rFonts w:cs="Arial"/>
          <w:sz w:val="22"/>
          <w:szCs w:val="22"/>
        </w:rPr>
        <w:footnoteReference w:id="6"/>
      </w:r>
      <w:r w:rsidR="00A651B8">
        <w:rPr>
          <w:rFonts w:cs="Arial"/>
          <w:sz w:val="22"/>
          <w:szCs w:val="22"/>
        </w:rPr>
        <w:t xml:space="preserve">, </w:t>
      </w:r>
      <w:r w:rsidR="00F948DF" w:rsidRPr="00EA5C80">
        <w:rPr>
          <w:rFonts w:cs="Arial"/>
          <w:sz w:val="22"/>
          <w:szCs w:val="22"/>
        </w:rPr>
        <w:t>las apropiaciones presupuestales aprobadas</w:t>
      </w:r>
      <w:r w:rsidR="00E132D2">
        <w:rPr>
          <w:rFonts w:cs="Arial"/>
          <w:sz w:val="22"/>
          <w:szCs w:val="22"/>
        </w:rPr>
        <w:t xml:space="preserve"> y vigentes</w:t>
      </w:r>
      <w:r w:rsidR="00F948DF" w:rsidRPr="00EA5C80">
        <w:rPr>
          <w:rFonts w:cs="Arial"/>
          <w:sz w:val="22"/>
          <w:szCs w:val="22"/>
        </w:rPr>
        <w:t xml:space="preserve"> a favor de la CREG para la vigencia fiscal 202</w:t>
      </w:r>
      <w:r w:rsidR="00795C7F">
        <w:rPr>
          <w:rFonts w:cs="Arial"/>
          <w:sz w:val="22"/>
          <w:szCs w:val="22"/>
        </w:rPr>
        <w:t>3</w:t>
      </w:r>
      <w:r w:rsidR="00F948DF" w:rsidRPr="00EA5C80">
        <w:rPr>
          <w:rFonts w:cs="Arial"/>
          <w:sz w:val="22"/>
          <w:szCs w:val="22"/>
        </w:rPr>
        <w:t xml:space="preserve">, ascendieron a la suma de </w:t>
      </w:r>
      <w:r w:rsidR="00AE2E66">
        <w:rPr>
          <w:rFonts w:cs="Arial"/>
          <w:sz w:val="22"/>
          <w:szCs w:val="22"/>
        </w:rPr>
        <w:t xml:space="preserve">CUARENTA Y CINCO MIL </w:t>
      </w:r>
      <w:r w:rsidR="001A432C">
        <w:rPr>
          <w:rFonts w:cs="Arial"/>
          <w:sz w:val="22"/>
          <w:szCs w:val="22"/>
        </w:rPr>
        <w:t xml:space="preserve">CUATROCIENTOS CUARENTA Y CINCO MILLONES CIENTO SETENTA Y CUATRO </w:t>
      </w:r>
      <w:r w:rsidR="002E4A00">
        <w:rPr>
          <w:rFonts w:cs="Arial"/>
          <w:sz w:val="22"/>
          <w:szCs w:val="22"/>
        </w:rPr>
        <w:t xml:space="preserve">MIL </w:t>
      </w:r>
      <w:r w:rsidR="00E243AB">
        <w:rPr>
          <w:rFonts w:cs="Arial"/>
          <w:sz w:val="22"/>
          <w:szCs w:val="22"/>
        </w:rPr>
        <w:t xml:space="preserve">CUATRO </w:t>
      </w:r>
      <w:r w:rsidR="001A432C">
        <w:rPr>
          <w:rFonts w:cs="Arial"/>
          <w:sz w:val="22"/>
          <w:szCs w:val="22"/>
        </w:rPr>
        <w:t>PESOS</w:t>
      </w:r>
      <w:r w:rsidR="002E4A00">
        <w:rPr>
          <w:rFonts w:cs="Arial"/>
          <w:sz w:val="22"/>
          <w:szCs w:val="22"/>
        </w:rPr>
        <w:t xml:space="preserve"> M/CTE. (</w:t>
      </w:r>
      <w:r w:rsidR="00AE2E66" w:rsidRPr="00AE2E66">
        <w:rPr>
          <w:rFonts w:cs="Arial"/>
          <w:sz w:val="22"/>
          <w:szCs w:val="22"/>
        </w:rPr>
        <w:t>$45.445.174.004</w:t>
      </w:r>
      <w:r w:rsidR="002E4A00">
        <w:rPr>
          <w:rFonts w:cs="Arial"/>
          <w:sz w:val="22"/>
          <w:szCs w:val="22"/>
        </w:rPr>
        <w:t>)</w:t>
      </w:r>
      <w:r w:rsidR="00F948DF" w:rsidRPr="00EA5C80">
        <w:rPr>
          <w:rFonts w:cs="Arial"/>
          <w:sz w:val="22"/>
          <w:szCs w:val="22"/>
        </w:rPr>
        <w:t>, como se detalla a continuación:</w:t>
      </w:r>
    </w:p>
    <w:bookmarkEnd w:id="31"/>
    <w:p w14:paraId="019910F9" w14:textId="77777777" w:rsidR="00795C7F" w:rsidRDefault="00795C7F" w:rsidP="00D22441">
      <w:pPr>
        <w:rPr>
          <w:rFonts w:cs="Arial"/>
          <w:sz w:val="22"/>
          <w:szCs w:val="22"/>
        </w:rPr>
      </w:pPr>
    </w:p>
    <w:p w14:paraId="5B68D3FF" w14:textId="55D0B853" w:rsidR="00036F9F" w:rsidRPr="00B24EC3" w:rsidRDefault="00036F9F" w:rsidP="00036F9F">
      <w:pPr>
        <w:pStyle w:val="Descripcin"/>
        <w:rPr>
          <w:i w:val="0"/>
          <w:iCs w:val="0"/>
          <w:color w:val="auto"/>
        </w:rPr>
      </w:pPr>
      <w:bookmarkStart w:id="32" w:name="_Toc145486431"/>
      <w:r w:rsidRPr="002C4392">
        <w:rPr>
          <w:i w:val="0"/>
          <w:iCs w:val="0"/>
          <w:color w:val="auto"/>
        </w:rPr>
        <w:t xml:space="preserve">Tabla </w:t>
      </w:r>
      <w:r w:rsidRPr="002C4392">
        <w:rPr>
          <w:i w:val="0"/>
          <w:iCs w:val="0"/>
          <w:color w:val="auto"/>
        </w:rPr>
        <w:fldChar w:fldCharType="begin"/>
      </w:r>
      <w:r w:rsidRPr="002C4392">
        <w:rPr>
          <w:i w:val="0"/>
          <w:iCs w:val="0"/>
          <w:color w:val="auto"/>
        </w:rPr>
        <w:instrText xml:space="preserve"> SEQ Tabla \* ARABIC </w:instrText>
      </w:r>
      <w:r w:rsidRPr="002C4392">
        <w:rPr>
          <w:i w:val="0"/>
          <w:iCs w:val="0"/>
          <w:color w:val="auto"/>
        </w:rPr>
        <w:fldChar w:fldCharType="separate"/>
      </w:r>
      <w:r w:rsidR="00465BD3">
        <w:rPr>
          <w:i w:val="0"/>
          <w:iCs w:val="0"/>
          <w:noProof/>
          <w:color w:val="auto"/>
        </w:rPr>
        <w:t>5</w:t>
      </w:r>
      <w:r w:rsidRPr="002C4392">
        <w:rPr>
          <w:i w:val="0"/>
          <w:iCs w:val="0"/>
          <w:color w:val="auto"/>
        </w:rPr>
        <w:fldChar w:fldCharType="end"/>
      </w:r>
      <w:r w:rsidRPr="002C4392">
        <w:rPr>
          <w:i w:val="0"/>
          <w:iCs w:val="0"/>
          <w:color w:val="auto"/>
        </w:rPr>
        <w:t xml:space="preserve">. </w:t>
      </w:r>
      <w:r w:rsidR="00465BD3">
        <w:rPr>
          <w:i w:val="0"/>
          <w:iCs w:val="0"/>
          <w:color w:val="auto"/>
        </w:rPr>
        <w:t xml:space="preserve">Presupuesto detallado CREG </w:t>
      </w:r>
      <w:r w:rsidR="002F0296">
        <w:rPr>
          <w:i w:val="0"/>
          <w:iCs w:val="0"/>
          <w:color w:val="auto"/>
        </w:rPr>
        <w:t xml:space="preserve">para la </w:t>
      </w:r>
      <w:r w:rsidR="00465BD3">
        <w:rPr>
          <w:i w:val="0"/>
          <w:iCs w:val="0"/>
          <w:color w:val="auto"/>
        </w:rPr>
        <w:t>vigencia 2023.</w:t>
      </w:r>
      <w:bookmarkEnd w:id="32"/>
    </w:p>
    <w:tbl>
      <w:tblPr>
        <w:tblW w:w="10120" w:type="dxa"/>
        <w:tblCellMar>
          <w:left w:w="70" w:type="dxa"/>
          <w:right w:w="70" w:type="dxa"/>
        </w:tblCellMar>
        <w:tblLook w:val="04A0" w:firstRow="1" w:lastRow="0" w:firstColumn="1" w:lastColumn="0" w:noHBand="0" w:noVBand="1"/>
      </w:tblPr>
      <w:tblGrid>
        <w:gridCol w:w="594"/>
        <w:gridCol w:w="560"/>
        <w:gridCol w:w="540"/>
        <w:gridCol w:w="640"/>
        <w:gridCol w:w="3426"/>
        <w:gridCol w:w="1400"/>
        <w:gridCol w:w="1580"/>
        <w:gridCol w:w="1380"/>
      </w:tblGrid>
      <w:tr w:rsidR="00FF139B" w:rsidRPr="00773ECA" w14:paraId="7EED93AB" w14:textId="77777777" w:rsidTr="00313A48">
        <w:trPr>
          <w:trHeight w:val="640"/>
          <w:tblHeader/>
        </w:trPr>
        <w:tc>
          <w:tcPr>
            <w:tcW w:w="594" w:type="dxa"/>
            <w:tcBorders>
              <w:top w:val="single" w:sz="8" w:space="0" w:color="FFFFFF"/>
              <w:left w:val="single" w:sz="8" w:space="0" w:color="FFFFFF"/>
              <w:bottom w:val="nil"/>
              <w:right w:val="single" w:sz="8" w:space="0" w:color="FFFFFF"/>
            </w:tcBorders>
            <w:shd w:val="clear" w:color="000000" w:fill="1F4E78"/>
            <w:vAlign w:val="center"/>
            <w:hideMark/>
          </w:tcPr>
          <w:p w14:paraId="5732CF6D" w14:textId="77777777" w:rsidR="00FF139B" w:rsidRPr="00773ECA" w:rsidRDefault="00FF139B" w:rsidP="00D22441">
            <w:pPr>
              <w:jc w:val="center"/>
              <w:rPr>
                <w:rFonts w:cs="Arial"/>
                <w:b/>
                <w:bCs/>
                <w:color w:val="FFFFFF"/>
                <w:spacing w:val="0"/>
                <w:sz w:val="16"/>
                <w:szCs w:val="16"/>
                <w:lang w:val="es-MX" w:eastAsia="es-MX"/>
              </w:rPr>
            </w:pPr>
            <w:r w:rsidRPr="00773ECA">
              <w:rPr>
                <w:rFonts w:cs="Arial"/>
                <w:b/>
                <w:bCs/>
                <w:color w:val="FFFFFF"/>
                <w:spacing w:val="0"/>
                <w:sz w:val="16"/>
                <w:szCs w:val="16"/>
                <w:lang w:val="en-US" w:eastAsia="es-MX"/>
              </w:rPr>
              <w:t>Tipo Gasto</w:t>
            </w:r>
          </w:p>
        </w:tc>
        <w:tc>
          <w:tcPr>
            <w:tcW w:w="560" w:type="dxa"/>
            <w:tcBorders>
              <w:top w:val="single" w:sz="8" w:space="0" w:color="FFFFFF"/>
              <w:left w:val="nil"/>
              <w:bottom w:val="nil"/>
              <w:right w:val="single" w:sz="8" w:space="0" w:color="FFFFFF"/>
            </w:tcBorders>
            <w:shd w:val="clear" w:color="000000" w:fill="1F4E78"/>
            <w:vAlign w:val="center"/>
            <w:hideMark/>
          </w:tcPr>
          <w:p w14:paraId="534C606A" w14:textId="77777777" w:rsidR="00FF139B" w:rsidRPr="00773ECA" w:rsidRDefault="00FF139B" w:rsidP="00D22441">
            <w:pPr>
              <w:jc w:val="center"/>
              <w:rPr>
                <w:rFonts w:cs="Arial"/>
                <w:b/>
                <w:bCs/>
                <w:color w:val="FFFFFF"/>
                <w:spacing w:val="0"/>
                <w:sz w:val="16"/>
                <w:szCs w:val="16"/>
                <w:lang w:val="es-MX" w:eastAsia="es-MX"/>
              </w:rPr>
            </w:pPr>
            <w:proofErr w:type="spellStart"/>
            <w:r w:rsidRPr="00773ECA">
              <w:rPr>
                <w:rFonts w:cs="Arial"/>
                <w:b/>
                <w:bCs/>
                <w:color w:val="FFFFFF"/>
                <w:spacing w:val="0"/>
                <w:sz w:val="16"/>
                <w:szCs w:val="16"/>
                <w:lang w:val="en-US" w:eastAsia="es-MX"/>
              </w:rPr>
              <w:t>Cta</w:t>
            </w:r>
            <w:proofErr w:type="spellEnd"/>
            <w:r w:rsidRPr="00773ECA">
              <w:rPr>
                <w:rFonts w:cs="Arial"/>
                <w:b/>
                <w:bCs/>
                <w:color w:val="FFFFFF"/>
                <w:spacing w:val="0"/>
                <w:sz w:val="16"/>
                <w:szCs w:val="16"/>
                <w:lang w:val="en-US" w:eastAsia="es-MX"/>
              </w:rPr>
              <w:t>. Prog.</w:t>
            </w:r>
          </w:p>
        </w:tc>
        <w:tc>
          <w:tcPr>
            <w:tcW w:w="540" w:type="dxa"/>
            <w:tcBorders>
              <w:top w:val="single" w:sz="8" w:space="0" w:color="FFFFFF"/>
              <w:left w:val="nil"/>
              <w:bottom w:val="nil"/>
              <w:right w:val="single" w:sz="8" w:space="0" w:color="FFFFFF"/>
            </w:tcBorders>
            <w:shd w:val="clear" w:color="000000" w:fill="1F4E78"/>
            <w:vAlign w:val="center"/>
            <w:hideMark/>
          </w:tcPr>
          <w:p w14:paraId="341B97DA" w14:textId="77777777" w:rsidR="00FF139B" w:rsidRPr="00773ECA" w:rsidRDefault="00FF139B" w:rsidP="00D22441">
            <w:pPr>
              <w:jc w:val="center"/>
              <w:rPr>
                <w:rFonts w:cs="Arial"/>
                <w:b/>
                <w:bCs/>
                <w:color w:val="FFFFFF"/>
                <w:spacing w:val="0"/>
                <w:sz w:val="16"/>
                <w:szCs w:val="16"/>
                <w:lang w:val="es-MX" w:eastAsia="es-MX"/>
              </w:rPr>
            </w:pPr>
            <w:r w:rsidRPr="00773ECA">
              <w:rPr>
                <w:rFonts w:cs="Arial"/>
                <w:b/>
                <w:bCs/>
                <w:color w:val="FFFFFF"/>
                <w:spacing w:val="0"/>
                <w:sz w:val="16"/>
                <w:szCs w:val="16"/>
                <w:lang w:val="en-US" w:eastAsia="es-MX"/>
              </w:rPr>
              <w:t>Rec.</w:t>
            </w:r>
          </w:p>
        </w:tc>
        <w:tc>
          <w:tcPr>
            <w:tcW w:w="640" w:type="dxa"/>
            <w:tcBorders>
              <w:top w:val="single" w:sz="8" w:space="0" w:color="FFFFFF"/>
              <w:left w:val="nil"/>
              <w:bottom w:val="nil"/>
              <w:right w:val="single" w:sz="8" w:space="0" w:color="FFFFFF"/>
            </w:tcBorders>
            <w:shd w:val="clear" w:color="000000" w:fill="1F4E78"/>
            <w:vAlign w:val="center"/>
            <w:hideMark/>
          </w:tcPr>
          <w:p w14:paraId="219D5BC4" w14:textId="77777777" w:rsidR="00FF139B" w:rsidRPr="00773ECA" w:rsidRDefault="00FF139B" w:rsidP="00D22441">
            <w:pPr>
              <w:jc w:val="center"/>
              <w:rPr>
                <w:rFonts w:cs="Arial"/>
                <w:b/>
                <w:bCs/>
                <w:color w:val="FFFFFF"/>
                <w:spacing w:val="0"/>
                <w:sz w:val="16"/>
                <w:szCs w:val="16"/>
                <w:lang w:val="es-MX" w:eastAsia="es-MX"/>
              </w:rPr>
            </w:pPr>
            <w:r w:rsidRPr="00773ECA">
              <w:rPr>
                <w:rFonts w:cs="Arial"/>
                <w:b/>
                <w:bCs/>
                <w:color w:val="FFFFFF"/>
                <w:spacing w:val="0"/>
                <w:sz w:val="16"/>
                <w:szCs w:val="16"/>
                <w:lang w:val="en-US" w:eastAsia="es-MX"/>
              </w:rPr>
              <w:t>Sit</w:t>
            </w:r>
          </w:p>
        </w:tc>
        <w:tc>
          <w:tcPr>
            <w:tcW w:w="3426" w:type="dxa"/>
            <w:tcBorders>
              <w:top w:val="single" w:sz="8" w:space="0" w:color="FFFFFF"/>
              <w:left w:val="nil"/>
              <w:bottom w:val="nil"/>
              <w:right w:val="single" w:sz="8" w:space="0" w:color="FFFFFF"/>
            </w:tcBorders>
            <w:shd w:val="clear" w:color="000000" w:fill="1F4E78"/>
            <w:vAlign w:val="center"/>
            <w:hideMark/>
          </w:tcPr>
          <w:p w14:paraId="2CD63250" w14:textId="77777777" w:rsidR="00FF139B" w:rsidRPr="00773ECA" w:rsidRDefault="00FF139B" w:rsidP="00D22441">
            <w:pPr>
              <w:jc w:val="center"/>
              <w:rPr>
                <w:rFonts w:cs="Arial"/>
                <w:b/>
                <w:bCs/>
                <w:color w:val="FFFFFF"/>
                <w:spacing w:val="0"/>
                <w:sz w:val="16"/>
                <w:szCs w:val="16"/>
                <w:lang w:val="es-MX" w:eastAsia="es-MX"/>
              </w:rPr>
            </w:pPr>
            <w:r w:rsidRPr="00773ECA">
              <w:rPr>
                <w:rFonts w:cs="Arial"/>
                <w:b/>
                <w:bCs/>
                <w:color w:val="FFFFFF"/>
                <w:spacing w:val="0"/>
                <w:sz w:val="16"/>
                <w:szCs w:val="16"/>
                <w:lang w:val="en-US" w:eastAsia="es-MX"/>
              </w:rPr>
              <w:t xml:space="preserve">Nombre del </w:t>
            </w:r>
            <w:proofErr w:type="spellStart"/>
            <w:r w:rsidRPr="00773ECA">
              <w:rPr>
                <w:rFonts w:cs="Arial"/>
                <w:b/>
                <w:bCs/>
                <w:color w:val="FFFFFF"/>
                <w:spacing w:val="0"/>
                <w:sz w:val="16"/>
                <w:szCs w:val="16"/>
                <w:lang w:val="en-US" w:eastAsia="es-MX"/>
              </w:rPr>
              <w:t>rubro</w:t>
            </w:r>
            <w:proofErr w:type="spellEnd"/>
          </w:p>
        </w:tc>
        <w:tc>
          <w:tcPr>
            <w:tcW w:w="1400" w:type="dxa"/>
            <w:tcBorders>
              <w:top w:val="single" w:sz="8" w:space="0" w:color="FFFFFF"/>
              <w:left w:val="nil"/>
              <w:bottom w:val="nil"/>
              <w:right w:val="single" w:sz="8" w:space="0" w:color="FFFFFF"/>
            </w:tcBorders>
            <w:shd w:val="clear" w:color="000000" w:fill="1F4E78"/>
            <w:vAlign w:val="center"/>
            <w:hideMark/>
          </w:tcPr>
          <w:p w14:paraId="3055052C" w14:textId="77777777" w:rsidR="00FF139B" w:rsidRPr="00773ECA" w:rsidRDefault="00FF139B" w:rsidP="00D22441">
            <w:pPr>
              <w:jc w:val="center"/>
              <w:rPr>
                <w:rFonts w:cs="Arial"/>
                <w:b/>
                <w:bCs/>
                <w:color w:val="FFFFFF"/>
                <w:spacing w:val="0"/>
                <w:sz w:val="16"/>
                <w:szCs w:val="16"/>
                <w:lang w:val="es-MX" w:eastAsia="es-MX"/>
              </w:rPr>
            </w:pPr>
            <w:proofErr w:type="spellStart"/>
            <w:r w:rsidRPr="00773ECA">
              <w:rPr>
                <w:rFonts w:cs="Arial"/>
                <w:b/>
                <w:bCs/>
                <w:color w:val="FFFFFF"/>
                <w:spacing w:val="0"/>
                <w:sz w:val="16"/>
                <w:szCs w:val="16"/>
                <w:lang w:val="en-US" w:eastAsia="es-MX"/>
              </w:rPr>
              <w:t>Presupuesto</w:t>
            </w:r>
            <w:proofErr w:type="spellEnd"/>
            <w:r w:rsidRPr="00773ECA">
              <w:rPr>
                <w:rFonts w:cs="Arial"/>
                <w:b/>
                <w:bCs/>
                <w:color w:val="FFFFFF"/>
                <w:spacing w:val="0"/>
                <w:sz w:val="16"/>
                <w:szCs w:val="16"/>
                <w:lang w:val="en-US" w:eastAsia="es-MX"/>
              </w:rPr>
              <w:t xml:space="preserve"> </w:t>
            </w:r>
            <w:proofErr w:type="spellStart"/>
            <w:r w:rsidRPr="00773ECA">
              <w:rPr>
                <w:rFonts w:cs="Arial"/>
                <w:b/>
                <w:bCs/>
                <w:color w:val="FFFFFF"/>
                <w:spacing w:val="0"/>
                <w:sz w:val="16"/>
                <w:szCs w:val="16"/>
                <w:lang w:val="en-US" w:eastAsia="es-MX"/>
              </w:rPr>
              <w:t>vigente</w:t>
            </w:r>
            <w:proofErr w:type="spellEnd"/>
          </w:p>
        </w:tc>
        <w:tc>
          <w:tcPr>
            <w:tcW w:w="1580" w:type="dxa"/>
            <w:tcBorders>
              <w:top w:val="single" w:sz="8" w:space="0" w:color="FFFFFF"/>
              <w:left w:val="nil"/>
              <w:bottom w:val="nil"/>
              <w:right w:val="single" w:sz="8" w:space="0" w:color="FFFFFF"/>
            </w:tcBorders>
            <w:shd w:val="clear" w:color="000000" w:fill="1F4E78"/>
            <w:vAlign w:val="center"/>
            <w:hideMark/>
          </w:tcPr>
          <w:p w14:paraId="48B44838" w14:textId="77777777" w:rsidR="00FF139B" w:rsidRPr="00773ECA" w:rsidRDefault="00FF139B" w:rsidP="00D22441">
            <w:pPr>
              <w:jc w:val="center"/>
              <w:rPr>
                <w:rFonts w:cs="Arial"/>
                <w:b/>
                <w:bCs/>
                <w:color w:val="FFFFFF"/>
                <w:spacing w:val="0"/>
                <w:sz w:val="16"/>
                <w:szCs w:val="16"/>
                <w:lang w:val="es-MX" w:eastAsia="es-MX"/>
              </w:rPr>
            </w:pPr>
            <w:r w:rsidRPr="00773ECA">
              <w:rPr>
                <w:rFonts w:cs="Arial"/>
                <w:b/>
                <w:bCs/>
                <w:color w:val="FFFFFF"/>
                <w:spacing w:val="0"/>
                <w:sz w:val="16"/>
                <w:szCs w:val="16"/>
                <w:lang w:eastAsia="es-MX"/>
              </w:rPr>
              <w:t xml:space="preserve"> Subtotal</w:t>
            </w:r>
            <w:r w:rsidRPr="00773ECA">
              <w:rPr>
                <w:rFonts w:cs="Arial"/>
                <w:b/>
                <w:bCs/>
                <w:color w:val="FFFFFF"/>
                <w:spacing w:val="0"/>
                <w:sz w:val="16"/>
                <w:szCs w:val="16"/>
                <w:lang w:eastAsia="es-MX"/>
              </w:rPr>
              <w:br/>
              <w:t>Recurso 16 SSF</w:t>
            </w:r>
            <w:r w:rsidRPr="00773ECA">
              <w:rPr>
                <w:rFonts w:cs="Arial"/>
                <w:b/>
                <w:bCs/>
                <w:color w:val="FFFFFF"/>
                <w:spacing w:val="0"/>
                <w:sz w:val="16"/>
                <w:szCs w:val="16"/>
                <w:lang w:eastAsia="es-MX"/>
              </w:rPr>
              <w:br/>
              <w:t xml:space="preserve">Contribución Especial </w:t>
            </w:r>
          </w:p>
        </w:tc>
        <w:tc>
          <w:tcPr>
            <w:tcW w:w="1380" w:type="dxa"/>
            <w:tcBorders>
              <w:top w:val="single" w:sz="8" w:space="0" w:color="FFFFFF"/>
              <w:left w:val="nil"/>
              <w:bottom w:val="nil"/>
              <w:right w:val="single" w:sz="8" w:space="0" w:color="FFFFFF"/>
            </w:tcBorders>
            <w:shd w:val="clear" w:color="000000" w:fill="1F4E78"/>
            <w:vAlign w:val="center"/>
            <w:hideMark/>
          </w:tcPr>
          <w:p w14:paraId="47436103" w14:textId="77777777" w:rsidR="00FF139B" w:rsidRPr="00773ECA" w:rsidRDefault="00FF139B" w:rsidP="00D22441">
            <w:pPr>
              <w:jc w:val="center"/>
              <w:rPr>
                <w:rFonts w:cs="Arial"/>
                <w:b/>
                <w:bCs/>
                <w:color w:val="FFFFFF"/>
                <w:spacing w:val="0"/>
                <w:sz w:val="16"/>
                <w:szCs w:val="16"/>
                <w:lang w:val="es-MX" w:eastAsia="es-MX"/>
              </w:rPr>
            </w:pPr>
            <w:r w:rsidRPr="00773ECA">
              <w:rPr>
                <w:rFonts w:cs="Arial"/>
                <w:b/>
                <w:bCs/>
                <w:color w:val="FFFFFF"/>
                <w:spacing w:val="0"/>
                <w:sz w:val="16"/>
                <w:szCs w:val="16"/>
                <w:lang w:eastAsia="es-MX"/>
              </w:rPr>
              <w:t xml:space="preserve"> Subtotal</w:t>
            </w:r>
            <w:r w:rsidRPr="00773ECA">
              <w:rPr>
                <w:rFonts w:cs="Arial"/>
                <w:b/>
                <w:bCs/>
                <w:color w:val="FFFFFF"/>
                <w:spacing w:val="0"/>
                <w:sz w:val="16"/>
                <w:szCs w:val="16"/>
                <w:lang w:eastAsia="es-MX"/>
              </w:rPr>
              <w:br/>
              <w:t>Recurso 10 CSF</w:t>
            </w:r>
            <w:r w:rsidRPr="00773ECA">
              <w:rPr>
                <w:rFonts w:cs="Arial"/>
                <w:b/>
                <w:bCs/>
                <w:color w:val="FFFFFF"/>
                <w:spacing w:val="0"/>
                <w:sz w:val="16"/>
                <w:szCs w:val="16"/>
                <w:lang w:eastAsia="es-MX"/>
              </w:rPr>
              <w:br/>
              <w:t xml:space="preserve">DGCPTN-MHCP </w:t>
            </w:r>
          </w:p>
        </w:tc>
      </w:tr>
      <w:tr w:rsidR="00FF139B" w:rsidRPr="00773ECA" w14:paraId="53D92EA9" w14:textId="77777777" w:rsidTr="00313A48">
        <w:trPr>
          <w:trHeight w:val="300"/>
        </w:trPr>
        <w:tc>
          <w:tcPr>
            <w:tcW w:w="594" w:type="dxa"/>
            <w:tcBorders>
              <w:top w:val="nil"/>
              <w:left w:val="single" w:sz="8" w:space="0" w:color="FFFFFF"/>
              <w:bottom w:val="single" w:sz="8" w:space="0" w:color="FFFFFF"/>
              <w:right w:val="single" w:sz="8" w:space="0" w:color="FFFFFF"/>
            </w:tcBorders>
            <w:shd w:val="clear" w:color="000000" w:fill="2F75B5"/>
            <w:noWrap/>
            <w:vAlign w:val="center"/>
            <w:hideMark/>
          </w:tcPr>
          <w:p w14:paraId="7B46F051" w14:textId="77777777" w:rsidR="00FF139B" w:rsidRPr="00773ECA" w:rsidRDefault="00FF139B" w:rsidP="00D22441">
            <w:pPr>
              <w:jc w:val="center"/>
              <w:rPr>
                <w:rFonts w:cs="Arial"/>
                <w:color w:val="FFFFFF"/>
                <w:spacing w:val="0"/>
                <w:sz w:val="16"/>
                <w:szCs w:val="16"/>
                <w:lang w:val="es-MX" w:eastAsia="es-MX"/>
              </w:rPr>
            </w:pPr>
            <w:r w:rsidRPr="00773ECA">
              <w:rPr>
                <w:rFonts w:cs="Arial"/>
                <w:color w:val="FFFFFF"/>
                <w:spacing w:val="0"/>
                <w:sz w:val="16"/>
                <w:szCs w:val="16"/>
                <w:lang w:val="en-US" w:eastAsia="es-MX"/>
              </w:rPr>
              <w:t>A</w:t>
            </w:r>
          </w:p>
        </w:tc>
        <w:tc>
          <w:tcPr>
            <w:tcW w:w="5166" w:type="dxa"/>
            <w:gridSpan w:val="4"/>
            <w:tcBorders>
              <w:top w:val="single" w:sz="8" w:space="0" w:color="FFFFFF"/>
              <w:left w:val="nil"/>
              <w:bottom w:val="single" w:sz="8" w:space="0" w:color="FFFFFF"/>
              <w:right w:val="single" w:sz="8" w:space="0" w:color="FFFFFF"/>
            </w:tcBorders>
            <w:shd w:val="clear" w:color="000000" w:fill="2F75B5"/>
            <w:vAlign w:val="center"/>
            <w:hideMark/>
          </w:tcPr>
          <w:p w14:paraId="6B7E5486" w14:textId="77777777" w:rsidR="00FF139B" w:rsidRPr="00773ECA" w:rsidRDefault="00FF139B" w:rsidP="00D22441">
            <w:pPr>
              <w:jc w:val="center"/>
              <w:rPr>
                <w:rFonts w:cs="Arial"/>
                <w:color w:val="FFFFFF"/>
                <w:spacing w:val="0"/>
                <w:sz w:val="16"/>
                <w:szCs w:val="16"/>
                <w:lang w:val="es-MX" w:eastAsia="es-MX"/>
              </w:rPr>
            </w:pPr>
            <w:r w:rsidRPr="00773ECA">
              <w:rPr>
                <w:rFonts w:cs="Arial"/>
                <w:color w:val="FFFFFF"/>
                <w:spacing w:val="0"/>
                <w:sz w:val="16"/>
                <w:szCs w:val="16"/>
                <w:lang w:val="en-US" w:eastAsia="es-MX"/>
              </w:rPr>
              <w:t>FUNCIONAMIENTO</w:t>
            </w:r>
          </w:p>
        </w:tc>
        <w:tc>
          <w:tcPr>
            <w:tcW w:w="1400" w:type="dxa"/>
            <w:tcBorders>
              <w:top w:val="nil"/>
              <w:left w:val="nil"/>
              <w:bottom w:val="single" w:sz="8" w:space="0" w:color="FFFFFF"/>
              <w:right w:val="single" w:sz="8" w:space="0" w:color="FFFFFF"/>
            </w:tcBorders>
            <w:shd w:val="clear" w:color="000000" w:fill="2F75B5"/>
            <w:vAlign w:val="center"/>
            <w:hideMark/>
          </w:tcPr>
          <w:p w14:paraId="687D97AE" w14:textId="77777777" w:rsidR="00FF139B" w:rsidRPr="00773ECA" w:rsidRDefault="00FF139B" w:rsidP="00D22441">
            <w:pPr>
              <w:jc w:val="right"/>
              <w:rPr>
                <w:rFonts w:cs="Arial"/>
                <w:color w:val="FFFFFF"/>
                <w:spacing w:val="0"/>
                <w:sz w:val="16"/>
                <w:szCs w:val="16"/>
                <w:lang w:val="es-MX" w:eastAsia="es-MX"/>
              </w:rPr>
            </w:pPr>
            <w:r w:rsidRPr="00773ECA">
              <w:rPr>
                <w:rFonts w:cs="Arial"/>
                <w:color w:val="FFFFFF"/>
                <w:spacing w:val="0"/>
                <w:sz w:val="16"/>
                <w:szCs w:val="16"/>
                <w:lang w:val="en-US" w:eastAsia="es-MX"/>
              </w:rPr>
              <w:t>$ 30.052.253.949</w:t>
            </w:r>
          </w:p>
        </w:tc>
        <w:tc>
          <w:tcPr>
            <w:tcW w:w="1580" w:type="dxa"/>
            <w:tcBorders>
              <w:top w:val="nil"/>
              <w:left w:val="nil"/>
              <w:bottom w:val="single" w:sz="8" w:space="0" w:color="FFFFFF"/>
              <w:right w:val="single" w:sz="8" w:space="0" w:color="FFFFFF"/>
            </w:tcBorders>
            <w:shd w:val="clear" w:color="000000" w:fill="2F75B5"/>
            <w:vAlign w:val="center"/>
            <w:hideMark/>
          </w:tcPr>
          <w:p w14:paraId="3530E9EB" w14:textId="77777777" w:rsidR="00FF139B" w:rsidRPr="00773ECA" w:rsidRDefault="00FF139B" w:rsidP="00D22441">
            <w:pPr>
              <w:jc w:val="right"/>
              <w:rPr>
                <w:rFonts w:cs="Arial"/>
                <w:color w:val="FFFFFF"/>
                <w:spacing w:val="0"/>
                <w:sz w:val="16"/>
                <w:szCs w:val="16"/>
                <w:lang w:val="es-MX" w:eastAsia="es-MX"/>
              </w:rPr>
            </w:pPr>
            <w:r w:rsidRPr="00773ECA">
              <w:rPr>
                <w:rFonts w:cs="Arial"/>
                <w:color w:val="FFFFFF"/>
                <w:spacing w:val="0"/>
                <w:sz w:val="16"/>
                <w:szCs w:val="16"/>
                <w:lang w:val="en-US" w:eastAsia="es-MX"/>
              </w:rPr>
              <w:t>$ 24.801.862.949</w:t>
            </w:r>
          </w:p>
        </w:tc>
        <w:tc>
          <w:tcPr>
            <w:tcW w:w="1380" w:type="dxa"/>
            <w:tcBorders>
              <w:top w:val="nil"/>
              <w:left w:val="nil"/>
              <w:bottom w:val="single" w:sz="8" w:space="0" w:color="FFFFFF"/>
              <w:right w:val="single" w:sz="8" w:space="0" w:color="FFFFFF"/>
            </w:tcBorders>
            <w:shd w:val="clear" w:color="000000" w:fill="2F75B5"/>
            <w:vAlign w:val="center"/>
            <w:hideMark/>
          </w:tcPr>
          <w:p w14:paraId="308AB1F1" w14:textId="77777777" w:rsidR="00FF139B" w:rsidRPr="00773ECA" w:rsidRDefault="00FF139B" w:rsidP="00D22441">
            <w:pPr>
              <w:jc w:val="right"/>
              <w:rPr>
                <w:rFonts w:cs="Arial"/>
                <w:color w:val="FFFFFF"/>
                <w:spacing w:val="0"/>
                <w:sz w:val="16"/>
                <w:szCs w:val="16"/>
                <w:lang w:val="es-MX" w:eastAsia="es-MX"/>
              </w:rPr>
            </w:pPr>
            <w:r w:rsidRPr="00773ECA">
              <w:rPr>
                <w:rFonts w:cs="Arial"/>
                <w:color w:val="FFFFFF"/>
                <w:spacing w:val="0"/>
                <w:sz w:val="16"/>
                <w:szCs w:val="16"/>
                <w:lang w:val="en-US" w:eastAsia="es-MX"/>
              </w:rPr>
              <w:t>$ 5.250.391.000</w:t>
            </w:r>
          </w:p>
        </w:tc>
      </w:tr>
      <w:tr w:rsidR="00FF139B" w:rsidRPr="00773ECA" w14:paraId="001E77B7" w14:textId="77777777" w:rsidTr="00313A48">
        <w:trPr>
          <w:trHeight w:val="300"/>
        </w:trPr>
        <w:tc>
          <w:tcPr>
            <w:tcW w:w="594" w:type="dxa"/>
            <w:tcBorders>
              <w:top w:val="nil"/>
              <w:left w:val="single" w:sz="8" w:space="0" w:color="auto"/>
              <w:bottom w:val="single" w:sz="8" w:space="0" w:color="auto"/>
              <w:right w:val="single" w:sz="8" w:space="0" w:color="auto"/>
            </w:tcBorders>
            <w:shd w:val="clear" w:color="auto" w:fill="auto"/>
            <w:noWrap/>
            <w:vAlign w:val="center"/>
            <w:hideMark/>
          </w:tcPr>
          <w:p w14:paraId="4DDFE781" w14:textId="77777777" w:rsidR="00FF139B" w:rsidRPr="00773ECA" w:rsidRDefault="00FF139B" w:rsidP="00D22441">
            <w:pPr>
              <w:jc w:val="center"/>
              <w:rPr>
                <w:rFonts w:cs="Arial"/>
                <w:color w:val="000000"/>
                <w:spacing w:val="0"/>
                <w:sz w:val="16"/>
                <w:szCs w:val="16"/>
                <w:lang w:val="es-MX" w:eastAsia="es-MX"/>
              </w:rPr>
            </w:pPr>
            <w:r w:rsidRPr="00773ECA">
              <w:rPr>
                <w:rFonts w:cs="Arial"/>
                <w:color w:val="000000"/>
                <w:spacing w:val="0"/>
                <w:sz w:val="16"/>
                <w:szCs w:val="16"/>
                <w:lang w:val="en-US" w:eastAsia="es-MX"/>
              </w:rPr>
              <w:t>A</w:t>
            </w:r>
          </w:p>
        </w:tc>
        <w:tc>
          <w:tcPr>
            <w:tcW w:w="560" w:type="dxa"/>
            <w:tcBorders>
              <w:top w:val="nil"/>
              <w:left w:val="nil"/>
              <w:bottom w:val="single" w:sz="8" w:space="0" w:color="auto"/>
              <w:right w:val="single" w:sz="8" w:space="0" w:color="auto"/>
            </w:tcBorders>
            <w:shd w:val="clear" w:color="auto" w:fill="auto"/>
            <w:noWrap/>
            <w:vAlign w:val="center"/>
            <w:hideMark/>
          </w:tcPr>
          <w:p w14:paraId="21C11F19" w14:textId="77777777" w:rsidR="00FF139B" w:rsidRPr="00773ECA" w:rsidRDefault="00FF139B" w:rsidP="00D22441">
            <w:pPr>
              <w:jc w:val="center"/>
              <w:rPr>
                <w:rFonts w:cs="Arial"/>
                <w:color w:val="000000"/>
                <w:spacing w:val="0"/>
                <w:sz w:val="16"/>
                <w:szCs w:val="16"/>
                <w:lang w:val="es-MX" w:eastAsia="es-MX"/>
              </w:rPr>
            </w:pPr>
            <w:r w:rsidRPr="00773ECA">
              <w:rPr>
                <w:rFonts w:cs="Arial"/>
                <w:color w:val="000000"/>
                <w:spacing w:val="0"/>
                <w:sz w:val="16"/>
                <w:szCs w:val="16"/>
                <w:lang w:val="en-US" w:eastAsia="es-MX"/>
              </w:rPr>
              <w:t>1</w:t>
            </w:r>
          </w:p>
        </w:tc>
        <w:tc>
          <w:tcPr>
            <w:tcW w:w="540" w:type="dxa"/>
            <w:tcBorders>
              <w:top w:val="nil"/>
              <w:left w:val="nil"/>
              <w:bottom w:val="single" w:sz="8" w:space="0" w:color="auto"/>
              <w:right w:val="single" w:sz="8" w:space="0" w:color="auto"/>
            </w:tcBorders>
            <w:shd w:val="clear" w:color="auto" w:fill="auto"/>
            <w:noWrap/>
            <w:vAlign w:val="center"/>
            <w:hideMark/>
          </w:tcPr>
          <w:p w14:paraId="08D2D6C1" w14:textId="77777777" w:rsidR="00FF139B" w:rsidRPr="00773ECA" w:rsidRDefault="00FF139B" w:rsidP="00D22441">
            <w:pPr>
              <w:jc w:val="center"/>
              <w:rPr>
                <w:rFonts w:cs="Arial"/>
                <w:color w:val="000000"/>
                <w:spacing w:val="0"/>
                <w:sz w:val="16"/>
                <w:szCs w:val="16"/>
                <w:lang w:val="es-MX" w:eastAsia="es-MX"/>
              </w:rPr>
            </w:pPr>
            <w:r w:rsidRPr="00773ECA">
              <w:rPr>
                <w:rFonts w:cs="Arial"/>
                <w:color w:val="000000"/>
                <w:spacing w:val="0"/>
                <w:sz w:val="16"/>
                <w:szCs w:val="16"/>
                <w:lang w:val="en-US" w:eastAsia="es-MX"/>
              </w:rPr>
              <w:t>10</w:t>
            </w:r>
          </w:p>
        </w:tc>
        <w:tc>
          <w:tcPr>
            <w:tcW w:w="640" w:type="dxa"/>
            <w:tcBorders>
              <w:top w:val="nil"/>
              <w:left w:val="nil"/>
              <w:bottom w:val="single" w:sz="8" w:space="0" w:color="auto"/>
              <w:right w:val="single" w:sz="8" w:space="0" w:color="auto"/>
            </w:tcBorders>
            <w:shd w:val="clear" w:color="auto" w:fill="auto"/>
            <w:noWrap/>
            <w:vAlign w:val="center"/>
            <w:hideMark/>
          </w:tcPr>
          <w:p w14:paraId="1B856755" w14:textId="77777777" w:rsidR="00FF139B" w:rsidRPr="00773ECA" w:rsidRDefault="00FF139B" w:rsidP="00D22441">
            <w:pPr>
              <w:jc w:val="center"/>
              <w:rPr>
                <w:rFonts w:cs="Arial"/>
                <w:color w:val="000000"/>
                <w:spacing w:val="0"/>
                <w:sz w:val="16"/>
                <w:szCs w:val="16"/>
                <w:lang w:val="es-MX" w:eastAsia="es-MX"/>
              </w:rPr>
            </w:pPr>
            <w:r w:rsidRPr="00773ECA">
              <w:rPr>
                <w:rFonts w:cs="Arial"/>
                <w:color w:val="000000"/>
                <w:spacing w:val="0"/>
                <w:sz w:val="16"/>
                <w:szCs w:val="16"/>
                <w:lang w:val="en-US" w:eastAsia="es-MX"/>
              </w:rPr>
              <w:t>CSF</w:t>
            </w:r>
          </w:p>
        </w:tc>
        <w:tc>
          <w:tcPr>
            <w:tcW w:w="3426" w:type="dxa"/>
            <w:tcBorders>
              <w:top w:val="nil"/>
              <w:left w:val="nil"/>
              <w:bottom w:val="single" w:sz="8" w:space="0" w:color="auto"/>
              <w:right w:val="single" w:sz="8" w:space="0" w:color="auto"/>
            </w:tcBorders>
            <w:shd w:val="clear" w:color="auto" w:fill="auto"/>
            <w:vAlign w:val="center"/>
            <w:hideMark/>
          </w:tcPr>
          <w:p w14:paraId="67D9EAB6" w14:textId="77777777" w:rsidR="00FF139B" w:rsidRPr="00773ECA" w:rsidRDefault="00FF139B" w:rsidP="00D22441">
            <w:pPr>
              <w:jc w:val="left"/>
              <w:rPr>
                <w:rFonts w:cs="Arial"/>
                <w:color w:val="000000"/>
                <w:spacing w:val="0"/>
                <w:sz w:val="16"/>
                <w:szCs w:val="16"/>
                <w:lang w:val="es-MX" w:eastAsia="es-MX"/>
              </w:rPr>
            </w:pPr>
            <w:r w:rsidRPr="00773ECA">
              <w:rPr>
                <w:rFonts w:cs="Arial"/>
                <w:color w:val="000000"/>
                <w:spacing w:val="0"/>
                <w:sz w:val="16"/>
                <w:szCs w:val="16"/>
                <w:lang w:val="en-US" w:eastAsia="es-MX"/>
              </w:rPr>
              <w:t>SALARIO</w:t>
            </w:r>
          </w:p>
        </w:tc>
        <w:tc>
          <w:tcPr>
            <w:tcW w:w="1400" w:type="dxa"/>
            <w:tcBorders>
              <w:top w:val="nil"/>
              <w:left w:val="nil"/>
              <w:bottom w:val="single" w:sz="8" w:space="0" w:color="auto"/>
              <w:right w:val="single" w:sz="8" w:space="0" w:color="auto"/>
            </w:tcBorders>
            <w:shd w:val="clear" w:color="auto" w:fill="auto"/>
            <w:noWrap/>
            <w:vAlign w:val="center"/>
            <w:hideMark/>
          </w:tcPr>
          <w:p w14:paraId="2E0E4938" w14:textId="77777777" w:rsidR="00FF139B" w:rsidRPr="00773ECA" w:rsidRDefault="00FF139B" w:rsidP="00D22441">
            <w:pPr>
              <w:jc w:val="right"/>
              <w:rPr>
                <w:rFonts w:cs="Arial"/>
                <w:color w:val="000000"/>
                <w:spacing w:val="0"/>
                <w:sz w:val="16"/>
                <w:szCs w:val="16"/>
                <w:lang w:val="es-MX" w:eastAsia="es-MX"/>
              </w:rPr>
            </w:pPr>
            <w:r w:rsidRPr="00773ECA">
              <w:rPr>
                <w:rFonts w:cs="Arial"/>
                <w:color w:val="000000"/>
                <w:spacing w:val="0"/>
                <w:sz w:val="16"/>
                <w:szCs w:val="16"/>
                <w:lang w:val="en-US" w:eastAsia="es-MX"/>
              </w:rPr>
              <w:t>$ 3.275.668.000</w:t>
            </w:r>
          </w:p>
        </w:tc>
        <w:tc>
          <w:tcPr>
            <w:tcW w:w="1580" w:type="dxa"/>
            <w:tcBorders>
              <w:top w:val="nil"/>
              <w:left w:val="nil"/>
              <w:bottom w:val="single" w:sz="8" w:space="0" w:color="auto"/>
              <w:right w:val="single" w:sz="8" w:space="0" w:color="auto"/>
            </w:tcBorders>
            <w:shd w:val="clear" w:color="auto" w:fill="auto"/>
            <w:noWrap/>
            <w:vAlign w:val="center"/>
            <w:hideMark/>
          </w:tcPr>
          <w:p w14:paraId="751BC1E8" w14:textId="77777777" w:rsidR="00FF139B" w:rsidRPr="00773ECA" w:rsidRDefault="00FF139B" w:rsidP="00D22441">
            <w:pPr>
              <w:jc w:val="right"/>
              <w:rPr>
                <w:rFonts w:cs="Arial"/>
                <w:color w:val="000000"/>
                <w:spacing w:val="0"/>
                <w:sz w:val="16"/>
                <w:szCs w:val="16"/>
                <w:lang w:val="es-MX" w:eastAsia="es-MX"/>
              </w:rPr>
            </w:pPr>
            <w:r w:rsidRPr="00773ECA">
              <w:rPr>
                <w:rFonts w:cs="Arial"/>
                <w:color w:val="000000"/>
                <w:spacing w:val="0"/>
                <w:sz w:val="16"/>
                <w:szCs w:val="16"/>
                <w:lang w:val="en-US" w:eastAsia="es-MX"/>
              </w:rPr>
              <w:t>$ 0</w:t>
            </w:r>
          </w:p>
        </w:tc>
        <w:tc>
          <w:tcPr>
            <w:tcW w:w="1380" w:type="dxa"/>
            <w:tcBorders>
              <w:top w:val="nil"/>
              <w:left w:val="nil"/>
              <w:bottom w:val="single" w:sz="8" w:space="0" w:color="auto"/>
              <w:right w:val="single" w:sz="8" w:space="0" w:color="auto"/>
            </w:tcBorders>
            <w:shd w:val="clear" w:color="auto" w:fill="auto"/>
            <w:noWrap/>
            <w:vAlign w:val="center"/>
            <w:hideMark/>
          </w:tcPr>
          <w:p w14:paraId="44EAD5F2" w14:textId="77777777" w:rsidR="00FF139B" w:rsidRPr="00773ECA" w:rsidRDefault="00FF139B" w:rsidP="00D22441">
            <w:pPr>
              <w:jc w:val="right"/>
              <w:rPr>
                <w:rFonts w:cs="Arial"/>
                <w:color w:val="000000"/>
                <w:spacing w:val="0"/>
                <w:sz w:val="16"/>
                <w:szCs w:val="16"/>
                <w:lang w:val="es-MX" w:eastAsia="es-MX"/>
              </w:rPr>
            </w:pPr>
            <w:r w:rsidRPr="00773ECA">
              <w:rPr>
                <w:rFonts w:cs="Arial"/>
                <w:color w:val="000000"/>
                <w:spacing w:val="0"/>
                <w:sz w:val="16"/>
                <w:szCs w:val="16"/>
                <w:lang w:val="en-US" w:eastAsia="es-MX"/>
              </w:rPr>
              <w:t>$ 3.275.668.000</w:t>
            </w:r>
          </w:p>
        </w:tc>
      </w:tr>
      <w:tr w:rsidR="00FF139B" w:rsidRPr="00773ECA" w14:paraId="7FCBB13F" w14:textId="77777777" w:rsidTr="00313A48">
        <w:trPr>
          <w:trHeight w:val="300"/>
        </w:trPr>
        <w:tc>
          <w:tcPr>
            <w:tcW w:w="594" w:type="dxa"/>
            <w:tcBorders>
              <w:top w:val="nil"/>
              <w:left w:val="single" w:sz="8" w:space="0" w:color="auto"/>
              <w:bottom w:val="single" w:sz="8" w:space="0" w:color="auto"/>
              <w:right w:val="single" w:sz="8" w:space="0" w:color="auto"/>
            </w:tcBorders>
            <w:shd w:val="clear" w:color="auto" w:fill="auto"/>
            <w:noWrap/>
            <w:vAlign w:val="center"/>
            <w:hideMark/>
          </w:tcPr>
          <w:p w14:paraId="2BE34FF1" w14:textId="77777777" w:rsidR="00FF139B" w:rsidRPr="00773ECA" w:rsidRDefault="00FF139B" w:rsidP="00D22441">
            <w:pPr>
              <w:jc w:val="center"/>
              <w:rPr>
                <w:rFonts w:cs="Arial"/>
                <w:color w:val="000000"/>
                <w:spacing w:val="0"/>
                <w:sz w:val="16"/>
                <w:szCs w:val="16"/>
                <w:lang w:val="es-MX" w:eastAsia="es-MX"/>
              </w:rPr>
            </w:pPr>
            <w:r w:rsidRPr="00773ECA">
              <w:rPr>
                <w:rFonts w:cs="Arial"/>
                <w:color w:val="000000"/>
                <w:spacing w:val="0"/>
                <w:sz w:val="16"/>
                <w:szCs w:val="16"/>
                <w:lang w:val="en-US" w:eastAsia="es-MX"/>
              </w:rPr>
              <w:t>A</w:t>
            </w:r>
          </w:p>
        </w:tc>
        <w:tc>
          <w:tcPr>
            <w:tcW w:w="560" w:type="dxa"/>
            <w:tcBorders>
              <w:top w:val="nil"/>
              <w:left w:val="nil"/>
              <w:bottom w:val="single" w:sz="8" w:space="0" w:color="auto"/>
              <w:right w:val="single" w:sz="8" w:space="0" w:color="auto"/>
            </w:tcBorders>
            <w:shd w:val="clear" w:color="auto" w:fill="auto"/>
            <w:noWrap/>
            <w:vAlign w:val="center"/>
            <w:hideMark/>
          </w:tcPr>
          <w:p w14:paraId="4A7EADB0" w14:textId="77777777" w:rsidR="00FF139B" w:rsidRPr="00773ECA" w:rsidRDefault="00FF139B" w:rsidP="00D22441">
            <w:pPr>
              <w:jc w:val="center"/>
              <w:rPr>
                <w:rFonts w:cs="Arial"/>
                <w:color w:val="000000"/>
                <w:spacing w:val="0"/>
                <w:sz w:val="16"/>
                <w:szCs w:val="16"/>
                <w:lang w:val="es-MX" w:eastAsia="es-MX"/>
              </w:rPr>
            </w:pPr>
            <w:r w:rsidRPr="00773ECA">
              <w:rPr>
                <w:rFonts w:cs="Arial"/>
                <w:color w:val="000000"/>
                <w:spacing w:val="0"/>
                <w:sz w:val="16"/>
                <w:szCs w:val="16"/>
                <w:lang w:val="en-US" w:eastAsia="es-MX"/>
              </w:rPr>
              <w:t>1</w:t>
            </w:r>
          </w:p>
        </w:tc>
        <w:tc>
          <w:tcPr>
            <w:tcW w:w="540" w:type="dxa"/>
            <w:tcBorders>
              <w:top w:val="nil"/>
              <w:left w:val="nil"/>
              <w:bottom w:val="single" w:sz="8" w:space="0" w:color="auto"/>
              <w:right w:val="single" w:sz="8" w:space="0" w:color="auto"/>
            </w:tcBorders>
            <w:shd w:val="clear" w:color="auto" w:fill="auto"/>
            <w:noWrap/>
            <w:vAlign w:val="center"/>
            <w:hideMark/>
          </w:tcPr>
          <w:p w14:paraId="78DA18B1" w14:textId="77777777" w:rsidR="00FF139B" w:rsidRPr="00773ECA" w:rsidRDefault="00FF139B" w:rsidP="00D22441">
            <w:pPr>
              <w:jc w:val="center"/>
              <w:rPr>
                <w:rFonts w:cs="Arial"/>
                <w:color w:val="000000"/>
                <w:spacing w:val="0"/>
                <w:sz w:val="16"/>
                <w:szCs w:val="16"/>
                <w:lang w:val="es-MX" w:eastAsia="es-MX"/>
              </w:rPr>
            </w:pPr>
            <w:r w:rsidRPr="00773ECA">
              <w:rPr>
                <w:rFonts w:cs="Arial"/>
                <w:color w:val="000000"/>
                <w:spacing w:val="0"/>
                <w:sz w:val="16"/>
                <w:szCs w:val="16"/>
                <w:lang w:val="en-US" w:eastAsia="es-MX"/>
              </w:rPr>
              <w:t>16</w:t>
            </w:r>
          </w:p>
        </w:tc>
        <w:tc>
          <w:tcPr>
            <w:tcW w:w="640" w:type="dxa"/>
            <w:tcBorders>
              <w:top w:val="nil"/>
              <w:left w:val="nil"/>
              <w:bottom w:val="single" w:sz="8" w:space="0" w:color="auto"/>
              <w:right w:val="single" w:sz="8" w:space="0" w:color="auto"/>
            </w:tcBorders>
            <w:shd w:val="clear" w:color="auto" w:fill="auto"/>
            <w:noWrap/>
            <w:vAlign w:val="center"/>
            <w:hideMark/>
          </w:tcPr>
          <w:p w14:paraId="61F243BF" w14:textId="77777777" w:rsidR="00FF139B" w:rsidRPr="00773ECA" w:rsidRDefault="00FF139B" w:rsidP="00D22441">
            <w:pPr>
              <w:jc w:val="center"/>
              <w:rPr>
                <w:rFonts w:cs="Arial"/>
                <w:color w:val="000000"/>
                <w:spacing w:val="0"/>
                <w:sz w:val="16"/>
                <w:szCs w:val="16"/>
                <w:lang w:val="es-MX" w:eastAsia="es-MX"/>
              </w:rPr>
            </w:pPr>
            <w:r w:rsidRPr="00773ECA">
              <w:rPr>
                <w:rFonts w:cs="Arial"/>
                <w:color w:val="000000"/>
                <w:spacing w:val="0"/>
                <w:sz w:val="16"/>
                <w:szCs w:val="16"/>
                <w:lang w:val="en-US" w:eastAsia="es-MX"/>
              </w:rPr>
              <w:t>SSF</w:t>
            </w:r>
          </w:p>
        </w:tc>
        <w:tc>
          <w:tcPr>
            <w:tcW w:w="3426" w:type="dxa"/>
            <w:tcBorders>
              <w:top w:val="nil"/>
              <w:left w:val="nil"/>
              <w:bottom w:val="single" w:sz="8" w:space="0" w:color="auto"/>
              <w:right w:val="single" w:sz="8" w:space="0" w:color="auto"/>
            </w:tcBorders>
            <w:shd w:val="clear" w:color="auto" w:fill="auto"/>
            <w:vAlign w:val="center"/>
            <w:hideMark/>
          </w:tcPr>
          <w:p w14:paraId="261DE38F" w14:textId="77777777" w:rsidR="00FF139B" w:rsidRPr="00773ECA" w:rsidRDefault="00FF139B" w:rsidP="00D22441">
            <w:pPr>
              <w:jc w:val="left"/>
              <w:rPr>
                <w:rFonts w:cs="Arial"/>
                <w:color w:val="000000"/>
                <w:spacing w:val="0"/>
                <w:sz w:val="16"/>
                <w:szCs w:val="16"/>
                <w:lang w:val="es-MX" w:eastAsia="es-MX"/>
              </w:rPr>
            </w:pPr>
            <w:r w:rsidRPr="00773ECA">
              <w:rPr>
                <w:rFonts w:cs="Arial"/>
                <w:color w:val="000000"/>
                <w:spacing w:val="0"/>
                <w:sz w:val="16"/>
                <w:szCs w:val="16"/>
                <w:lang w:val="en-US" w:eastAsia="es-MX"/>
              </w:rPr>
              <w:t>SALARIO</w:t>
            </w:r>
          </w:p>
        </w:tc>
        <w:tc>
          <w:tcPr>
            <w:tcW w:w="1400" w:type="dxa"/>
            <w:tcBorders>
              <w:top w:val="nil"/>
              <w:left w:val="nil"/>
              <w:bottom w:val="single" w:sz="8" w:space="0" w:color="auto"/>
              <w:right w:val="single" w:sz="8" w:space="0" w:color="auto"/>
            </w:tcBorders>
            <w:shd w:val="clear" w:color="auto" w:fill="auto"/>
            <w:noWrap/>
            <w:vAlign w:val="center"/>
            <w:hideMark/>
          </w:tcPr>
          <w:p w14:paraId="63AFB160" w14:textId="77777777" w:rsidR="00FF139B" w:rsidRPr="00773ECA" w:rsidRDefault="00FF139B" w:rsidP="00D22441">
            <w:pPr>
              <w:jc w:val="right"/>
              <w:rPr>
                <w:rFonts w:cs="Arial"/>
                <w:color w:val="000000"/>
                <w:spacing w:val="0"/>
                <w:sz w:val="16"/>
                <w:szCs w:val="16"/>
                <w:lang w:val="es-MX" w:eastAsia="es-MX"/>
              </w:rPr>
            </w:pPr>
            <w:r w:rsidRPr="00773ECA">
              <w:rPr>
                <w:rFonts w:cs="Arial"/>
                <w:color w:val="000000"/>
                <w:spacing w:val="0"/>
                <w:sz w:val="16"/>
                <w:szCs w:val="16"/>
                <w:lang w:val="en-US" w:eastAsia="es-MX"/>
              </w:rPr>
              <w:t>$ 10.492.903.000</w:t>
            </w:r>
          </w:p>
        </w:tc>
        <w:tc>
          <w:tcPr>
            <w:tcW w:w="1580" w:type="dxa"/>
            <w:tcBorders>
              <w:top w:val="nil"/>
              <w:left w:val="nil"/>
              <w:bottom w:val="single" w:sz="8" w:space="0" w:color="auto"/>
              <w:right w:val="single" w:sz="8" w:space="0" w:color="auto"/>
            </w:tcBorders>
            <w:shd w:val="clear" w:color="auto" w:fill="auto"/>
            <w:noWrap/>
            <w:vAlign w:val="center"/>
            <w:hideMark/>
          </w:tcPr>
          <w:p w14:paraId="66349434" w14:textId="77777777" w:rsidR="00FF139B" w:rsidRPr="00773ECA" w:rsidRDefault="00FF139B" w:rsidP="00D22441">
            <w:pPr>
              <w:jc w:val="right"/>
              <w:rPr>
                <w:rFonts w:cs="Arial"/>
                <w:color w:val="000000"/>
                <w:spacing w:val="0"/>
                <w:sz w:val="16"/>
                <w:szCs w:val="16"/>
                <w:lang w:val="es-MX" w:eastAsia="es-MX"/>
              </w:rPr>
            </w:pPr>
            <w:r w:rsidRPr="00773ECA">
              <w:rPr>
                <w:rFonts w:cs="Arial"/>
                <w:color w:val="000000"/>
                <w:spacing w:val="0"/>
                <w:sz w:val="16"/>
                <w:szCs w:val="16"/>
                <w:lang w:val="es-MX" w:eastAsia="es-MX"/>
              </w:rPr>
              <w:t>$ 10.492.903.000</w:t>
            </w:r>
          </w:p>
        </w:tc>
        <w:tc>
          <w:tcPr>
            <w:tcW w:w="1380" w:type="dxa"/>
            <w:tcBorders>
              <w:top w:val="nil"/>
              <w:left w:val="nil"/>
              <w:bottom w:val="single" w:sz="8" w:space="0" w:color="auto"/>
              <w:right w:val="single" w:sz="8" w:space="0" w:color="auto"/>
            </w:tcBorders>
            <w:shd w:val="clear" w:color="auto" w:fill="auto"/>
            <w:noWrap/>
            <w:vAlign w:val="center"/>
            <w:hideMark/>
          </w:tcPr>
          <w:p w14:paraId="0A26710D" w14:textId="77777777" w:rsidR="00FF139B" w:rsidRPr="00773ECA" w:rsidRDefault="00FF139B" w:rsidP="00D22441">
            <w:pPr>
              <w:jc w:val="right"/>
              <w:rPr>
                <w:rFonts w:cs="Arial"/>
                <w:color w:val="000000"/>
                <w:spacing w:val="0"/>
                <w:sz w:val="16"/>
                <w:szCs w:val="16"/>
                <w:lang w:val="es-MX" w:eastAsia="es-MX"/>
              </w:rPr>
            </w:pPr>
            <w:r w:rsidRPr="00773ECA">
              <w:rPr>
                <w:rFonts w:cs="Arial"/>
                <w:color w:val="000000"/>
                <w:spacing w:val="0"/>
                <w:sz w:val="16"/>
                <w:szCs w:val="16"/>
                <w:lang w:val="es-MX" w:eastAsia="es-MX"/>
              </w:rPr>
              <w:t>$ 0</w:t>
            </w:r>
          </w:p>
        </w:tc>
      </w:tr>
      <w:tr w:rsidR="00FF139B" w:rsidRPr="00773ECA" w14:paraId="57195837" w14:textId="77777777" w:rsidTr="00313A48">
        <w:trPr>
          <w:trHeight w:val="300"/>
        </w:trPr>
        <w:tc>
          <w:tcPr>
            <w:tcW w:w="594" w:type="dxa"/>
            <w:tcBorders>
              <w:top w:val="nil"/>
              <w:left w:val="single" w:sz="8" w:space="0" w:color="auto"/>
              <w:bottom w:val="single" w:sz="8" w:space="0" w:color="auto"/>
              <w:right w:val="single" w:sz="8" w:space="0" w:color="auto"/>
            </w:tcBorders>
            <w:shd w:val="clear" w:color="auto" w:fill="auto"/>
            <w:noWrap/>
            <w:vAlign w:val="center"/>
            <w:hideMark/>
          </w:tcPr>
          <w:p w14:paraId="445BC090" w14:textId="77777777" w:rsidR="00FF139B" w:rsidRPr="00773ECA" w:rsidRDefault="00FF139B" w:rsidP="00D22441">
            <w:pPr>
              <w:jc w:val="center"/>
              <w:rPr>
                <w:rFonts w:cs="Arial"/>
                <w:color w:val="000000"/>
                <w:spacing w:val="0"/>
                <w:sz w:val="16"/>
                <w:szCs w:val="16"/>
                <w:lang w:val="es-MX" w:eastAsia="es-MX"/>
              </w:rPr>
            </w:pPr>
            <w:r w:rsidRPr="00773ECA">
              <w:rPr>
                <w:rFonts w:cs="Arial"/>
                <w:color w:val="000000"/>
                <w:spacing w:val="0"/>
                <w:sz w:val="16"/>
                <w:szCs w:val="16"/>
                <w:lang w:val="en-US" w:eastAsia="es-MX"/>
              </w:rPr>
              <w:t>A</w:t>
            </w:r>
          </w:p>
        </w:tc>
        <w:tc>
          <w:tcPr>
            <w:tcW w:w="560" w:type="dxa"/>
            <w:tcBorders>
              <w:top w:val="nil"/>
              <w:left w:val="nil"/>
              <w:bottom w:val="single" w:sz="8" w:space="0" w:color="auto"/>
              <w:right w:val="single" w:sz="8" w:space="0" w:color="auto"/>
            </w:tcBorders>
            <w:shd w:val="clear" w:color="auto" w:fill="auto"/>
            <w:noWrap/>
            <w:vAlign w:val="center"/>
            <w:hideMark/>
          </w:tcPr>
          <w:p w14:paraId="0EF725C3" w14:textId="77777777" w:rsidR="00FF139B" w:rsidRPr="00773ECA" w:rsidRDefault="00FF139B" w:rsidP="00D22441">
            <w:pPr>
              <w:jc w:val="center"/>
              <w:rPr>
                <w:rFonts w:cs="Arial"/>
                <w:color w:val="000000"/>
                <w:spacing w:val="0"/>
                <w:sz w:val="16"/>
                <w:szCs w:val="16"/>
                <w:lang w:val="es-MX" w:eastAsia="es-MX"/>
              </w:rPr>
            </w:pPr>
            <w:r w:rsidRPr="00773ECA">
              <w:rPr>
                <w:rFonts w:cs="Arial"/>
                <w:color w:val="000000"/>
                <w:spacing w:val="0"/>
                <w:sz w:val="16"/>
                <w:szCs w:val="16"/>
                <w:lang w:val="en-US" w:eastAsia="es-MX"/>
              </w:rPr>
              <w:t>1</w:t>
            </w:r>
          </w:p>
        </w:tc>
        <w:tc>
          <w:tcPr>
            <w:tcW w:w="540" w:type="dxa"/>
            <w:tcBorders>
              <w:top w:val="nil"/>
              <w:left w:val="nil"/>
              <w:bottom w:val="single" w:sz="8" w:space="0" w:color="auto"/>
              <w:right w:val="single" w:sz="8" w:space="0" w:color="auto"/>
            </w:tcBorders>
            <w:shd w:val="clear" w:color="auto" w:fill="auto"/>
            <w:noWrap/>
            <w:vAlign w:val="center"/>
            <w:hideMark/>
          </w:tcPr>
          <w:p w14:paraId="3A706E53" w14:textId="77777777" w:rsidR="00FF139B" w:rsidRPr="00773ECA" w:rsidRDefault="00FF139B" w:rsidP="00D22441">
            <w:pPr>
              <w:jc w:val="center"/>
              <w:rPr>
                <w:rFonts w:cs="Arial"/>
                <w:color w:val="000000"/>
                <w:spacing w:val="0"/>
                <w:sz w:val="16"/>
                <w:szCs w:val="16"/>
                <w:lang w:val="es-MX" w:eastAsia="es-MX"/>
              </w:rPr>
            </w:pPr>
            <w:r w:rsidRPr="00773ECA">
              <w:rPr>
                <w:rFonts w:cs="Arial"/>
                <w:color w:val="000000"/>
                <w:spacing w:val="0"/>
                <w:sz w:val="16"/>
                <w:szCs w:val="16"/>
                <w:lang w:val="en-US" w:eastAsia="es-MX"/>
              </w:rPr>
              <w:t>10</w:t>
            </w:r>
          </w:p>
        </w:tc>
        <w:tc>
          <w:tcPr>
            <w:tcW w:w="640" w:type="dxa"/>
            <w:tcBorders>
              <w:top w:val="nil"/>
              <w:left w:val="nil"/>
              <w:bottom w:val="single" w:sz="8" w:space="0" w:color="auto"/>
              <w:right w:val="single" w:sz="8" w:space="0" w:color="auto"/>
            </w:tcBorders>
            <w:shd w:val="clear" w:color="auto" w:fill="auto"/>
            <w:noWrap/>
            <w:vAlign w:val="center"/>
            <w:hideMark/>
          </w:tcPr>
          <w:p w14:paraId="064540BF" w14:textId="77777777" w:rsidR="00FF139B" w:rsidRPr="00773ECA" w:rsidRDefault="00FF139B" w:rsidP="00D22441">
            <w:pPr>
              <w:jc w:val="center"/>
              <w:rPr>
                <w:rFonts w:cs="Arial"/>
                <w:color w:val="000000"/>
                <w:spacing w:val="0"/>
                <w:sz w:val="16"/>
                <w:szCs w:val="16"/>
                <w:lang w:val="es-MX" w:eastAsia="es-MX"/>
              </w:rPr>
            </w:pPr>
            <w:r w:rsidRPr="00773ECA">
              <w:rPr>
                <w:rFonts w:cs="Arial"/>
                <w:color w:val="000000"/>
                <w:spacing w:val="0"/>
                <w:sz w:val="16"/>
                <w:szCs w:val="16"/>
                <w:lang w:val="en-US" w:eastAsia="es-MX"/>
              </w:rPr>
              <w:t>CSF</w:t>
            </w:r>
          </w:p>
        </w:tc>
        <w:tc>
          <w:tcPr>
            <w:tcW w:w="3426" w:type="dxa"/>
            <w:tcBorders>
              <w:top w:val="nil"/>
              <w:left w:val="nil"/>
              <w:bottom w:val="single" w:sz="8" w:space="0" w:color="auto"/>
              <w:right w:val="single" w:sz="8" w:space="0" w:color="auto"/>
            </w:tcBorders>
            <w:shd w:val="clear" w:color="auto" w:fill="auto"/>
            <w:vAlign w:val="center"/>
            <w:hideMark/>
          </w:tcPr>
          <w:p w14:paraId="29D183A7" w14:textId="77777777" w:rsidR="00FF139B" w:rsidRPr="00773ECA" w:rsidRDefault="00FF139B" w:rsidP="00D22441">
            <w:pPr>
              <w:jc w:val="left"/>
              <w:rPr>
                <w:rFonts w:cs="Arial"/>
                <w:color w:val="000000"/>
                <w:spacing w:val="0"/>
                <w:sz w:val="16"/>
                <w:szCs w:val="16"/>
                <w:lang w:val="es-MX" w:eastAsia="es-MX"/>
              </w:rPr>
            </w:pPr>
            <w:r w:rsidRPr="00773ECA">
              <w:rPr>
                <w:rFonts w:cs="Arial"/>
                <w:color w:val="000000"/>
                <w:spacing w:val="0"/>
                <w:sz w:val="16"/>
                <w:szCs w:val="16"/>
                <w:lang w:eastAsia="es-MX"/>
              </w:rPr>
              <w:t>CONTRIBUCIONES INHERENTES A LA NÓMINA</w:t>
            </w:r>
          </w:p>
        </w:tc>
        <w:tc>
          <w:tcPr>
            <w:tcW w:w="1400" w:type="dxa"/>
            <w:tcBorders>
              <w:top w:val="nil"/>
              <w:left w:val="nil"/>
              <w:bottom w:val="single" w:sz="8" w:space="0" w:color="auto"/>
              <w:right w:val="single" w:sz="8" w:space="0" w:color="auto"/>
            </w:tcBorders>
            <w:shd w:val="clear" w:color="auto" w:fill="auto"/>
            <w:noWrap/>
            <w:vAlign w:val="center"/>
            <w:hideMark/>
          </w:tcPr>
          <w:p w14:paraId="65B47435" w14:textId="77777777" w:rsidR="00FF139B" w:rsidRPr="00773ECA" w:rsidRDefault="00FF139B" w:rsidP="00D22441">
            <w:pPr>
              <w:jc w:val="right"/>
              <w:rPr>
                <w:rFonts w:cs="Arial"/>
                <w:color w:val="000000"/>
                <w:spacing w:val="0"/>
                <w:sz w:val="16"/>
                <w:szCs w:val="16"/>
                <w:lang w:val="es-MX" w:eastAsia="es-MX"/>
              </w:rPr>
            </w:pPr>
            <w:r w:rsidRPr="00773ECA">
              <w:rPr>
                <w:rFonts w:cs="Arial"/>
                <w:color w:val="000000"/>
                <w:spacing w:val="0"/>
                <w:sz w:val="16"/>
                <w:szCs w:val="16"/>
                <w:lang w:eastAsia="es-MX"/>
              </w:rPr>
              <w:t>$ 1.034.285.000</w:t>
            </w:r>
          </w:p>
        </w:tc>
        <w:tc>
          <w:tcPr>
            <w:tcW w:w="1580" w:type="dxa"/>
            <w:tcBorders>
              <w:top w:val="nil"/>
              <w:left w:val="nil"/>
              <w:bottom w:val="single" w:sz="8" w:space="0" w:color="auto"/>
              <w:right w:val="single" w:sz="8" w:space="0" w:color="auto"/>
            </w:tcBorders>
            <w:shd w:val="clear" w:color="auto" w:fill="auto"/>
            <w:noWrap/>
            <w:vAlign w:val="center"/>
            <w:hideMark/>
          </w:tcPr>
          <w:p w14:paraId="56DB0D96" w14:textId="77777777" w:rsidR="00FF139B" w:rsidRPr="00773ECA" w:rsidRDefault="00FF139B" w:rsidP="00D22441">
            <w:pPr>
              <w:jc w:val="right"/>
              <w:rPr>
                <w:rFonts w:cs="Arial"/>
                <w:color w:val="000000"/>
                <w:spacing w:val="0"/>
                <w:sz w:val="16"/>
                <w:szCs w:val="16"/>
                <w:lang w:val="es-MX" w:eastAsia="es-MX"/>
              </w:rPr>
            </w:pPr>
            <w:r w:rsidRPr="00773ECA">
              <w:rPr>
                <w:rFonts w:cs="Arial"/>
                <w:color w:val="000000"/>
                <w:spacing w:val="0"/>
                <w:sz w:val="16"/>
                <w:szCs w:val="16"/>
                <w:lang w:val="es-MX" w:eastAsia="es-MX"/>
              </w:rPr>
              <w:t>$ 0</w:t>
            </w:r>
          </w:p>
        </w:tc>
        <w:tc>
          <w:tcPr>
            <w:tcW w:w="1380" w:type="dxa"/>
            <w:tcBorders>
              <w:top w:val="nil"/>
              <w:left w:val="nil"/>
              <w:bottom w:val="single" w:sz="8" w:space="0" w:color="auto"/>
              <w:right w:val="single" w:sz="8" w:space="0" w:color="auto"/>
            </w:tcBorders>
            <w:shd w:val="clear" w:color="auto" w:fill="auto"/>
            <w:noWrap/>
            <w:vAlign w:val="center"/>
            <w:hideMark/>
          </w:tcPr>
          <w:p w14:paraId="2CA528C2" w14:textId="77777777" w:rsidR="00FF139B" w:rsidRPr="00773ECA" w:rsidRDefault="00FF139B" w:rsidP="00D22441">
            <w:pPr>
              <w:jc w:val="right"/>
              <w:rPr>
                <w:rFonts w:cs="Arial"/>
                <w:color w:val="000000"/>
                <w:spacing w:val="0"/>
                <w:sz w:val="16"/>
                <w:szCs w:val="16"/>
                <w:lang w:val="es-MX" w:eastAsia="es-MX"/>
              </w:rPr>
            </w:pPr>
            <w:r w:rsidRPr="00773ECA">
              <w:rPr>
                <w:rFonts w:cs="Arial"/>
                <w:color w:val="000000"/>
                <w:spacing w:val="0"/>
                <w:sz w:val="16"/>
                <w:szCs w:val="16"/>
                <w:lang w:val="es-MX" w:eastAsia="es-MX"/>
              </w:rPr>
              <w:t>$ 1.034.285.000</w:t>
            </w:r>
          </w:p>
        </w:tc>
      </w:tr>
      <w:tr w:rsidR="00FF139B" w:rsidRPr="00773ECA" w14:paraId="6380EE4C" w14:textId="77777777" w:rsidTr="00313A48">
        <w:trPr>
          <w:trHeight w:val="300"/>
        </w:trPr>
        <w:tc>
          <w:tcPr>
            <w:tcW w:w="594" w:type="dxa"/>
            <w:tcBorders>
              <w:top w:val="nil"/>
              <w:left w:val="single" w:sz="8" w:space="0" w:color="auto"/>
              <w:bottom w:val="single" w:sz="8" w:space="0" w:color="auto"/>
              <w:right w:val="single" w:sz="8" w:space="0" w:color="auto"/>
            </w:tcBorders>
            <w:shd w:val="clear" w:color="auto" w:fill="auto"/>
            <w:noWrap/>
            <w:vAlign w:val="center"/>
            <w:hideMark/>
          </w:tcPr>
          <w:p w14:paraId="025A2999" w14:textId="77777777" w:rsidR="00FF139B" w:rsidRPr="00773ECA" w:rsidRDefault="00FF139B" w:rsidP="00D22441">
            <w:pPr>
              <w:jc w:val="center"/>
              <w:rPr>
                <w:rFonts w:cs="Arial"/>
                <w:color w:val="000000"/>
                <w:spacing w:val="0"/>
                <w:sz w:val="16"/>
                <w:szCs w:val="16"/>
                <w:lang w:val="es-MX" w:eastAsia="es-MX"/>
              </w:rPr>
            </w:pPr>
            <w:r w:rsidRPr="00773ECA">
              <w:rPr>
                <w:rFonts w:cs="Arial"/>
                <w:color w:val="000000"/>
                <w:spacing w:val="0"/>
                <w:sz w:val="16"/>
                <w:szCs w:val="16"/>
                <w:lang w:val="en-US" w:eastAsia="es-MX"/>
              </w:rPr>
              <w:t>A</w:t>
            </w:r>
          </w:p>
        </w:tc>
        <w:tc>
          <w:tcPr>
            <w:tcW w:w="560" w:type="dxa"/>
            <w:tcBorders>
              <w:top w:val="nil"/>
              <w:left w:val="nil"/>
              <w:bottom w:val="single" w:sz="8" w:space="0" w:color="auto"/>
              <w:right w:val="single" w:sz="8" w:space="0" w:color="auto"/>
            </w:tcBorders>
            <w:shd w:val="clear" w:color="auto" w:fill="auto"/>
            <w:noWrap/>
            <w:vAlign w:val="center"/>
            <w:hideMark/>
          </w:tcPr>
          <w:p w14:paraId="57FA9079" w14:textId="77777777" w:rsidR="00FF139B" w:rsidRPr="00773ECA" w:rsidRDefault="00FF139B" w:rsidP="00D22441">
            <w:pPr>
              <w:jc w:val="center"/>
              <w:rPr>
                <w:rFonts w:cs="Arial"/>
                <w:color w:val="000000"/>
                <w:spacing w:val="0"/>
                <w:sz w:val="16"/>
                <w:szCs w:val="16"/>
                <w:lang w:val="es-MX" w:eastAsia="es-MX"/>
              </w:rPr>
            </w:pPr>
            <w:r w:rsidRPr="00773ECA">
              <w:rPr>
                <w:rFonts w:cs="Arial"/>
                <w:color w:val="000000"/>
                <w:spacing w:val="0"/>
                <w:sz w:val="16"/>
                <w:szCs w:val="16"/>
                <w:lang w:val="en-US" w:eastAsia="es-MX"/>
              </w:rPr>
              <w:t>1</w:t>
            </w:r>
          </w:p>
        </w:tc>
        <w:tc>
          <w:tcPr>
            <w:tcW w:w="540" w:type="dxa"/>
            <w:tcBorders>
              <w:top w:val="nil"/>
              <w:left w:val="nil"/>
              <w:bottom w:val="single" w:sz="8" w:space="0" w:color="auto"/>
              <w:right w:val="single" w:sz="8" w:space="0" w:color="auto"/>
            </w:tcBorders>
            <w:shd w:val="clear" w:color="auto" w:fill="auto"/>
            <w:noWrap/>
            <w:vAlign w:val="center"/>
            <w:hideMark/>
          </w:tcPr>
          <w:p w14:paraId="42854D26" w14:textId="77777777" w:rsidR="00FF139B" w:rsidRPr="00773ECA" w:rsidRDefault="00FF139B" w:rsidP="00D22441">
            <w:pPr>
              <w:jc w:val="center"/>
              <w:rPr>
                <w:rFonts w:cs="Arial"/>
                <w:color w:val="000000"/>
                <w:spacing w:val="0"/>
                <w:sz w:val="16"/>
                <w:szCs w:val="16"/>
                <w:lang w:val="es-MX" w:eastAsia="es-MX"/>
              </w:rPr>
            </w:pPr>
            <w:r w:rsidRPr="00773ECA">
              <w:rPr>
                <w:rFonts w:cs="Arial"/>
                <w:color w:val="000000"/>
                <w:spacing w:val="0"/>
                <w:sz w:val="16"/>
                <w:szCs w:val="16"/>
                <w:lang w:val="en-US" w:eastAsia="es-MX"/>
              </w:rPr>
              <w:t>16</w:t>
            </w:r>
          </w:p>
        </w:tc>
        <w:tc>
          <w:tcPr>
            <w:tcW w:w="640" w:type="dxa"/>
            <w:tcBorders>
              <w:top w:val="nil"/>
              <w:left w:val="nil"/>
              <w:bottom w:val="single" w:sz="8" w:space="0" w:color="auto"/>
              <w:right w:val="single" w:sz="8" w:space="0" w:color="auto"/>
            </w:tcBorders>
            <w:shd w:val="clear" w:color="auto" w:fill="auto"/>
            <w:noWrap/>
            <w:vAlign w:val="center"/>
            <w:hideMark/>
          </w:tcPr>
          <w:p w14:paraId="0EED7776" w14:textId="77777777" w:rsidR="00FF139B" w:rsidRPr="00773ECA" w:rsidRDefault="00FF139B" w:rsidP="00D22441">
            <w:pPr>
              <w:jc w:val="center"/>
              <w:rPr>
                <w:rFonts w:cs="Arial"/>
                <w:color w:val="000000"/>
                <w:spacing w:val="0"/>
                <w:sz w:val="16"/>
                <w:szCs w:val="16"/>
                <w:lang w:val="es-MX" w:eastAsia="es-MX"/>
              </w:rPr>
            </w:pPr>
            <w:r w:rsidRPr="00773ECA">
              <w:rPr>
                <w:rFonts w:cs="Arial"/>
                <w:color w:val="000000"/>
                <w:spacing w:val="0"/>
                <w:sz w:val="16"/>
                <w:szCs w:val="16"/>
                <w:lang w:val="en-US" w:eastAsia="es-MX"/>
              </w:rPr>
              <w:t>SSF</w:t>
            </w:r>
          </w:p>
        </w:tc>
        <w:tc>
          <w:tcPr>
            <w:tcW w:w="3426" w:type="dxa"/>
            <w:tcBorders>
              <w:top w:val="nil"/>
              <w:left w:val="nil"/>
              <w:bottom w:val="single" w:sz="8" w:space="0" w:color="auto"/>
              <w:right w:val="single" w:sz="8" w:space="0" w:color="auto"/>
            </w:tcBorders>
            <w:shd w:val="clear" w:color="auto" w:fill="auto"/>
            <w:vAlign w:val="center"/>
            <w:hideMark/>
          </w:tcPr>
          <w:p w14:paraId="470C9660" w14:textId="77777777" w:rsidR="00FF139B" w:rsidRPr="00773ECA" w:rsidRDefault="00FF139B" w:rsidP="00D22441">
            <w:pPr>
              <w:jc w:val="left"/>
              <w:rPr>
                <w:rFonts w:cs="Arial"/>
                <w:color w:val="000000"/>
                <w:spacing w:val="0"/>
                <w:sz w:val="16"/>
                <w:szCs w:val="16"/>
                <w:lang w:val="es-MX" w:eastAsia="es-MX"/>
              </w:rPr>
            </w:pPr>
            <w:r w:rsidRPr="00773ECA">
              <w:rPr>
                <w:rFonts w:cs="Arial"/>
                <w:color w:val="000000"/>
                <w:spacing w:val="0"/>
                <w:sz w:val="16"/>
                <w:szCs w:val="16"/>
                <w:lang w:eastAsia="es-MX"/>
              </w:rPr>
              <w:t>CONTRIBUCIONES INHERENTES A LA NÓMINA</w:t>
            </w:r>
          </w:p>
        </w:tc>
        <w:tc>
          <w:tcPr>
            <w:tcW w:w="1400" w:type="dxa"/>
            <w:tcBorders>
              <w:top w:val="nil"/>
              <w:left w:val="nil"/>
              <w:bottom w:val="single" w:sz="8" w:space="0" w:color="auto"/>
              <w:right w:val="single" w:sz="8" w:space="0" w:color="auto"/>
            </w:tcBorders>
            <w:shd w:val="clear" w:color="auto" w:fill="auto"/>
            <w:noWrap/>
            <w:vAlign w:val="center"/>
            <w:hideMark/>
          </w:tcPr>
          <w:p w14:paraId="48F1B6AB" w14:textId="77777777" w:rsidR="00FF139B" w:rsidRPr="00773ECA" w:rsidRDefault="00FF139B" w:rsidP="00D22441">
            <w:pPr>
              <w:jc w:val="right"/>
              <w:rPr>
                <w:rFonts w:cs="Arial"/>
                <w:color w:val="000000"/>
                <w:spacing w:val="0"/>
                <w:sz w:val="16"/>
                <w:szCs w:val="16"/>
                <w:lang w:val="es-MX" w:eastAsia="es-MX"/>
              </w:rPr>
            </w:pPr>
            <w:r w:rsidRPr="00773ECA">
              <w:rPr>
                <w:rFonts w:cs="Arial"/>
                <w:color w:val="000000"/>
                <w:spacing w:val="0"/>
                <w:sz w:val="16"/>
                <w:szCs w:val="16"/>
                <w:lang w:eastAsia="es-MX"/>
              </w:rPr>
              <w:t>$ 3.405.069.000</w:t>
            </w:r>
          </w:p>
        </w:tc>
        <w:tc>
          <w:tcPr>
            <w:tcW w:w="1580" w:type="dxa"/>
            <w:tcBorders>
              <w:top w:val="nil"/>
              <w:left w:val="nil"/>
              <w:bottom w:val="single" w:sz="8" w:space="0" w:color="auto"/>
              <w:right w:val="single" w:sz="8" w:space="0" w:color="auto"/>
            </w:tcBorders>
            <w:shd w:val="clear" w:color="auto" w:fill="auto"/>
            <w:noWrap/>
            <w:vAlign w:val="center"/>
            <w:hideMark/>
          </w:tcPr>
          <w:p w14:paraId="7BF99722" w14:textId="77777777" w:rsidR="00FF139B" w:rsidRPr="00773ECA" w:rsidRDefault="00FF139B" w:rsidP="00D22441">
            <w:pPr>
              <w:jc w:val="right"/>
              <w:rPr>
                <w:rFonts w:cs="Arial"/>
                <w:color w:val="000000"/>
                <w:spacing w:val="0"/>
                <w:sz w:val="16"/>
                <w:szCs w:val="16"/>
                <w:lang w:val="es-MX" w:eastAsia="es-MX"/>
              </w:rPr>
            </w:pPr>
            <w:r w:rsidRPr="00773ECA">
              <w:rPr>
                <w:rFonts w:cs="Arial"/>
                <w:color w:val="000000"/>
                <w:spacing w:val="0"/>
                <w:sz w:val="16"/>
                <w:szCs w:val="16"/>
                <w:lang w:val="es-MX" w:eastAsia="es-MX"/>
              </w:rPr>
              <w:t>$ 3.405.069.000</w:t>
            </w:r>
          </w:p>
        </w:tc>
        <w:tc>
          <w:tcPr>
            <w:tcW w:w="1380" w:type="dxa"/>
            <w:tcBorders>
              <w:top w:val="nil"/>
              <w:left w:val="nil"/>
              <w:bottom w:val="single" w:sz="8" w:space="0" w:color="auto"/>
              <w:right w:val="single" w:sz="8" w:space="0" w:color="auto"/>
            </w:tcBorders>
            <w:shd w:val="clear" w:color="auto" w:fill="auto"/>
            <w:noWrap/>
            <w:vAlign w:val="center"/>
            <w:hideMark/>
          </w:tcPr>
          <w:p w14:paraId="3127EB76" w14:textId="77777777" w:rsidR="00FF139B" w:rsidRPr="00773ECA" w:rsidRDefault="00FF139B" w:rsidP="00D22441">
            <w:pPr>
              <w:jc w:val="right"/>
              <w:rPr>
                <w:rFonts w:cs="Arial"/>
                <w:color w:val="000000"/>
                <w:spacing w:val="0"/>
                <w:sz w:val="16"/>
                <w:szCs w:val="16"/>
                <w:lang w:val="es-MX" w:eastAsia="es-MX"/>
              </w:rPr>
            </w:pPr>
            <w:r w:rsidRPr="00773ECA">
              <w:rPr>
                <w:rFonts w:cs="Arial"/>
                <w:color w:val="000000"/>
                <w:spacing w:val="0"/>
                <w:sz w:val="16"/>
                <w:szCs w:val="16"/>
                <w:lang w:val="es-MX" w:eastAsia="es-MX"/>
              </w:rPr>
              <w:t>$ 0</w:t>
            </w:r>
          </w:p>
        </w:tc>
      </w:tr>
      <w:tr w:rsidR="00FF139B" w:rsidRPr="00773ECA" w14:paraId="18FEA3C9" w14:textId="77777777" w:rsidTr="00313A48">
        <w:trPr>
          <w:trHeight w:val="430"/>
        </w:trPr>
        <w:tc>
          <w:tcPr>
            <w:tcW w:w="594" w:type="dxa"/>
            <w:tcBorders>
              <w:top w:val="nil"/>
              <w:left w:val="single" w:sz="8" w:space="0" w:color="auto"/>
              <w:bottom w:val="single" w:sz="8" w:space="0" w:color="auto"/>
              <w:right w:val="single" w:sz="8" w:space="0" w:color="auto"/>
            </w:tcBorders>
            <w:shd w:val="clear" w:color="auto" w:fill="auto"/>
            <w:noWrap/>
            <w:vAlign w:val="center"/>
            <w:hideMark/>
          </w:tcPr>
          <w:p w14:paraId="6442D10B" w14:textId="77777777" w:rsidR="00FF139B" w:rsidRPr="00773ECA" w:rsidRDefault="00FF139B" w:rsidP="00D22441">
            <w:pPr>
              <w:jc w:val="center"/>
              <w:rPr>
                <w:rFonts w:cs="Arial"/>
                <w:color w:val="000000"/>
                <w:spacing w:val="0"/>
                <w:sz w:val="16"/>
                <w:szCs w:val="16"/>
                <w:lang w:val="es-MX" w:eastAsia="es-MX"/>
              </w:rPr>
            </w:pPr>
            <w:r w:rsidRPr="00773ECA">
              <w:rPr>
                <w:rFonts w:cs="Arial"/>
                <w:color w:val="000000"/>
                <w:spacing w:val="0"/>
                <w:sz w:val="16"/>
                <w:szCs w:val="16"/>
                <w:lang w:val="en-US" w:eastAsia="es-MX"/>
              </w:rPr>
              <w:t>A</w:t>
            </w:r>
          </w:p>
        </w:tc>
        <w:tc>
          <w:tcPr>
            <w:tcW w:w="560" w:type="dxa"/>
            <w:tcBorders>
              <w:top w:val="nil"/>
              <w:left w:val="nil"/>
              <w:bottom w:val="single" w:sz="8" w:space="0" w:color="auto"/>
              <w:right w:val="single" w:sz="8" w:space="0" w:color="auto"/>
            </w:tcBorders>
            <w:shd w:val="clear" w:color="auto" w:fill="auto"/>
            <w:noWrap/>
            <w:vAlign w:val="center"/>
            <w:hideMark/>
          </w:tcPr>
          <w:p w14:paraId="725A815D" w14:textId="77777777" w:rsidR="00FF139B" w:rsidRPr="00773ECA" w:rsidRDefault="00FF139B" w:rsidP="00D22441">
            <w:pPr>
              <w:jc w:val="center"/>
              <w:rPr>
                <w:rFonts w:cs="Arial"/>
                <w:color w:val="000000"/>
                <w:spacing w:val="0"/>
                <w:sz w:val="16"/>
                <w:szCs w:val="16"/>
                <w:lang w:val="es-MX" w:eastAsia="es-MX"/>
              </w:rPr>
            </w:pPr>
            <w:r w:rsidRPr="00773ECA">
              <w:rPr>
                <w:rFonts w:cs="Arial"/>
                <w:color w:val="000000"/>
                <w:spacing w:val="0"/>
                <w:sz w:val="16"/>
                <w:szCs w:val="16"/>
                <w:lang w:val="en-US" w:eastAsia="es-MX"/>
              </w:rPr>
              <w:t>1</w:t>
            </w:r>
          </w:p>
        </w:tc>
        <w:tc>
          <w:tcPr>
            <w:tcW w:w="540" w:type="dxa"/>
            <w:tcBorders>
              <w:top w:val="nil"/>
              <w:left w:val="nil"/>
              <w:bottom w:val="single" w:sz="8" w:space="0" w:color="auto"/>
              <w:right w:val="single" w:sz="8" w:space="0" w:color="auto"/>
            </w:tcBorders>
            <w:shd w:val="clear" w:color="auto" w:fill="auto"/>
            <w:noWrap/>
            <w:vAlign w:val="center"/>
            <w:hideMark/>
          </w:tcPr>
          <w:p w14:paraId="1521BBFB" w14:textId="77777777" w:rsidR="00FF139B" w:rsidRPr="00773ECA" w:rsidRDefault="00FF139B" w:rsidP="00D22441">
            <w:pPr>
              <w:jc w:val="center"/>
              <w:rPr>
                <w:rFonts w:cs="Arial"/>
                <w:color w:val="000000"/>
                <w:spacing w:val="0"/>
                <w:sz w:val="16"/>
                <w:szCs w:val="16"/>
                <w:lang w:val="es-MX" w:eastAsia="es-MX"/>
              </w:rPr>
            </w:pPr>
            <w:r w:rsidRPr="00773ECA">
              <w:rPr>
                <w:rFonts w:cs="Arial"/>
                <w:color w:val="000000"/>
                <w:spacing w:val="0"/>
                <w:sz w:val="16"/>
                <w:szCs w:val="16"/>
                <w:lang w:val="en-US" w:eastAsia="es-MX"/>
              </w:rPr>
              <w:t>10</w:t>
            </w:r>
          </w:p>
        </w:tc>
        <w:tc>
          <w:tcPr>
            <w:tcW w:w="640" w:type="dxa"/>
            <w:tcBorders>
              <w:top w:val="nil"/>
              <w:left w:val="nil"/>
              <w:bottom w:val="single" w:sz="8" w:space="0" w:color="auto"/>
              <w:right w:val="single" w:sz="8" w:space="0" w:color="auto"/>
            </w:tcBorders>
            <w:shd w:val="clear" w:color="auto" w:fill="auto"/>
            <w:noWrap/>
            <w:vAlign w:val="center"/>
            <w:hideMark/>
          </w:tcPr>
          <w:p w14:paraId="4A3554F0" w14:textId="77777777" w:rsidR="00FF139B" w:rsidRPr="00773ECA" w:rsidRDefault="00FF139B" w:rsidP="00D22441">
            <w:pPr>
              <w:jc w:val="center"/>
              <w:rPr>
                <w:rFonts w:cs="Arial"/>
                <w:color w:val="000000"/>
                <w:spacing w:val="0"/>
                <w:sz w:val="16"/>
                <w:szCs w:val="16"/>
                <w:lang w:val="es-MX" w:eastAsia="es-MX"/>
              </w:rPr>
            </w:pPr>
            <w:r w:rsidRPr="00773ECA">
              <w:rPr>
                <w:rFonts w:cs="Arial"/>
                <w:color w:val="000000"/>
                <w:spacing w:val="0"/>
                <w:sz w:val="16"/>
                <w:szCs w:val="16"/>
                <w:lang w:val="en-US" w:eastAsia="es-MX"/>
              </w:rPr>
              <w:t>CSF</w:t>
            </w:r>
          </w:p>
        </w:tc>
        <w:tc>
          <w:tcPr>
            <w:tcW w:w="3426" w:type="dxa"/>
            <w:tcBorders>
              <w:top w:val="nil"/>
              <w:left w:val="nil"/>
              <w:bottom w:val="single" w:sz="8" w:space="0" w:color="auto"/>
              <w:right w:val="single" w:sz="8" w:space="0" w:color="auto"/>
            </w:tcBorders>
            <w:shd w:val="clear" w:color="auto" w:fill="auto"/>
            <w:vAlign w:val="center"/>
            <w:hideMark/>
          </w:tcPr>
          <w:p w14:paraId="7B086356" w14:textId="77777777" w:rsidR="00FF139B" w:rsidRPr="00773ECA" w:rsidRDefault="00FF139B" w:rsidP="00D22441">
            <w:pPr>
              <w:jc w:val="left"/>
              <w:rPr>
                <w:rFonts w:cs="Arial"/>
                <w:color w:val="000000"/>
                <w:spacing w:val="0"/>
                <w:sz w:val="16"/>
                <w:szCs w:val="16"/>
                <w:lang w:val="es-MX" w:eastAsia="es-MX"/>
              </w:rPr>
            </w:pPr>
            <w:r w:rsidRPr="00773ECA">
              <w:rPr>
                <w:rFonts w:cs="Arial"/>
                <w:color w:val="000000"/>
                <w:spacing w:val="0"/>
                <w:sz w:val="16"/>
                <w:szCs w:val="16"/>
                <w:lang w:eastAsia="es-MX"/>
              </w:rPr>
              <w:t>REMUNERACIONES NO CONSTITUTIVAS DE FACTOR SALARIAL</w:t>
            </w:r>
          </w:p>
        </w:tc>
        <w:tc>
          <w:tcPr>
            <w:tcW w:w="1400" w:type="dxa"/>
            <w:tcBorders>
              <w:top w:val="nil"/>
              <w:left w:val="nil"/>
              <w:bottom w:val="single" w:sz="8" w:space="0" w:color="auto"/>
              <w:right w:val="single" w:sz="8" w:space="0" w:color="auto"/>
            </w:tcBorders>
            <w:shd w:val="clear" w:color="auto" w:fill="auto"/>
            <w:noWrap/>
            <w:vAlign w:val="center"/>
            <w:hideMark/>
          </w:tcPr>
          <w:p w14:paraId="0BD7C684" w14:textId="77777777" w:rsidR="00FF139B" w:rsidRPr="00773ECA" w:rsidRDefault="00FF139B" w:rsidP="00D22441">
            <w:pPr>
              <w:jc w:val="right"/>
              <w:rPr>
                <w:rFonts w:cs="Arial"/>
                <w:color w:val="000000"/>
                <w:spacing w:val="0"/>
                <w:sz w:val="16"/>
                <w:szCs w:val="16"/>
                <w:lang w:val="es-MX" w:eastAsia="es-MX"/>
              </w:rPr>
            </w:pPr>
            <w:r w:rsidRPr="00773ECA">
              <w:rPr>
                <w:rFonts w:cs="Arial"/>
                <w:color w:val="000000"/>
                <w:spacing w:val="0"/>
                <w:sz w:val="16"/>
                <w:szCs w:val="16"/>
                <w:lang w:eastAsia="es-MX"/>
              </w:rPr>
              <w:t>$ 528.294.000</w:t>
            </w:r>
          </w:p>
        </w:tc>
        <w:tc>
          <w:tcPr>
            <w:tcW w:w="1580" w:type="dxa"/>
            <w:tcBorders>
              <w:top w:val="nil"/>
              <w:left w:val="nil"/>
              <w:bottom w:val="single" w:sz="8" w:space="0" w:color="auto"/>
              <w:right w:val="single" w:sz="8" w:space="0" w:color="auto"/>
            </w:tcBorders>
            <w:shd w:val="clear" w:color="auto" w:fill="auto"/>
            <w:noWrap/>
            <w:vAlign w:val="center"/>
            <w:hideMark/>
          </w:tcPr>
          <w:p w14:paraId="6FE77B8F" w14:textId="77777777" w:rsidR="00FF139B" w:rsidRPr="00773ECA" w:rsidRDefault="00FF139B" w:rsidP="00D22441">
            <w:pPr>
              <w:jc w:val="right"/>
              <w:rPr>
                <w:rFonts w:cs="Arial"/>
                <w:color w:val="000000"/>
                <w:spacing w:val="0"/>
                <w:sz w:val="16"/>
                <w:szCs w:val="16"/>
                <w:lang w:val="es-MX" w:eastAsia="es-MX"/>
              </w:rPr>
            </w:pPr>
            <w:r w:rsidRPr="00773ECA">
              <w:rPr>
                <w:rFonts w:cs="Arial"/>
                <w:color w:val="000000"/>
                <w:spacing w:val="0"/>
                <w:sz w:val="16"/>
                <w:szCs w:val="16"/>
                <w:lang w:val="es-MX" w:eastAsia="es-MX"/>
              </w:rPr>
              <w:t>$ 0</w:t>
            </w:r>
          </w:p>
        </w:tc>
        <w:tc>
          <w:tcPr>
            <w:tcW w:w="1380" w:type="dxa"/>
            <w:tcBorders>
              <w:top w:val="nil"/>
              <w:left w:val="nil"/>
              <w:bottom w:val="single" w:sz="8" w:space="0" w:color="auto"/>
              <w:right w:val="single" w:sz="8" w:space="0" w:color="auto"/>
            </w:tcBorders>
            <w:shd w:val="clear" w:color="auto" w:fill="auto"/>
            <w:noWrap/>
            <w:vAlign w:val="center"/>
            <w:hideMark/>
          </w:tcPr>
          <w:p w14:paraId="1E7C1357" w14:textId="77777777" w:rsidR="00FF139B" w:rsidRPr="00773ECA" w:rsidRDefault="00FF139B" w:rsidP="00D22441">
            <w:pPr>
              <w:jc w:val="right"/>
              <w:rPr>
                <w:rFonts w:cs="Arial"/>
                <w:color w:val="000000"/>
                <w:spacing w:val="0"/>
                <w:sz w:val="16"/>
                <w:szCs w:val="16"/>
                <w:lang w:val="es-MX" w:eastAsia="es-MX"/>
              </w:rPr>
            </w:pPr>
            <w:r w:rsidRPr="00773ECA">
              <w:rPr>
                <w:rFonts w:cs="Arial"/>
                <w:color w:val="000000"/>
                <w:spacing w:val="0"/>
                <w:sz w:val="16"/>
                <w:szCs w:val="16"/>
                <w:lang w:val="es-MX" w:eastAsia="es-MX"/>
              </w:rPr>
              <w:t>$ 528.294.000</w:t>
            </w:r>
          </w:p>
        </w:tc>
      </w:tr>
      <w:tr w:rsidR="00FF139B" w:rsidRPr="00773ECA" w14:paraId="492D792F" w14:textId="77777777" w:rsidTr="00313A48">
        <w:trPr>
          <w:trHeight w:val="430"/>
        </w:trPr>
        <w:tc>
          <w:tcPr>
            <w:tcW w:w="594" w:type="dxa"/>
            <w:tcBorders>
              <w:top w:val="nil"/>
              <w:left w:val="single" w:sz="8" w:space="0" w:color="auto"/>
              <w:bottom w:val="single" w:sz="8" w:space="0" w:color="auto"/>
              <w:right w:val="single" w:sz="8" w:space="0" w:color="auto"/>
            </w:tcBorders>
            <w:shd w:val="clear" w:color="auto" w:fill="auto"/>
            <w:noWrap/>
            <w:vAlign w:val="center"/>
            <w:hideMark/>
          </w:tcPr>
          <w:p w14:paraId="7BDE0BD1" w14:textId="77777777" w:rsidR="00FF139B" w:rsidRPr="00773ECA" w:rsidRDefault="00FF139B" w:rsidP="00D22441">
            <w:pPr>
              <w:jc w:val="center"/>
              <w:rPr>
                <w:rFonts w:cs="Arial"/>
                <w:color w:val="000000"/>
                <w:spacing w:val="0"/>
                <w:sz w:val="16"/>
                <w:szCs w:val="16"/>
                <w:lang w:val="es-MX" w:eastAsia="es-MX"/>
              </w:rPr>
            </w:pPr>
            <w:r w:rsidRPr="00773ECA">
              <w:rPr>
                <w:rFonts w:cs="Arial"/>
                <w:color w:val="000000"/>
                <w:spacing w:val="0"/>
                <w:sz w:val="16"/>
                <w:szCs w:val="16"/>
                <w:lang w:val="en-US" w:eastAsia="es-MX"/>
              </w:rPr>
              <w:t>A</w:t>
            </w:r>
          </w:p>
        </w:tc>
        <w:tc>
          <w:tcPr>
            <w:tcW w:w="560" w:type="dxa"/>
            <w:tcBorders>
              <w:top w:val="nil"/>
              <w:left w:val="nil"/>
              <w:bottom w:val="single" w:sz="8" w:space="0" w:color="auto"/>
              <w:right w:val="single" w:sz="8" w:space="0" w:color="auto"/>
            </w:tcBorders>
            <w:shd w:val="clear" w:color="auto" w:fill="auto"/>
            <w:noWrap/>
            <w:vAlign w:val="center"/>
            <w:hideMark/>
          </w:tcPr>
          <w:p w14:paraId="10783ACD" w14:textId="77777777" w:rsidR="00FF139B" w:rsidRPr="00773ECA" w:rsidRDefault="00FF139B" w:rsidP="00D22441">
            <w:pPr>
              <w:jc w:val="center"/>
              <w:rPr>
                <w:rFonts w:cs="Arial"/>
                <w:color w:val="000000"/>
                <w:spacing w:val="0"/>
                <w:sz w:val="16"/>
                <w:szCs w:val="16"/>
                <w:lang w:val="es-MX" w:eastAsia="es-MX"/>
              </w:rPr>
            </w:pPr>
            <w:r w:rsidRPr="00773ECA">
              <w:rPr>
                <w:rFonts w:cs="Arial"/>
                <w:color w:val="000000"/>
                <w:spacing w:val="0"/>
                <w:sz w:val="16"/>
                <w:szCs w:val="16"/>
                <w:lang w:val="en-US" w:eastAsia="es-MX"/>
              </w:rPr>
              <w:t>1</w:t>
            </w:r>
          </w:p>
        </w:tc>
        <w:tc>
          <w:tcPr>
            <w:tcW w:w="540" w:type="dxa"/>
            <w:tcBorders>
              <w:top w:val="nil"/>
              <w:left w:val="nil"/>
              <w:bottom w:val="single" w:sz="8" w:space="0" w:color="auto"/>
              <w:right w:val="single" w:sz="8" w:space="0" w:color="auto"/>
            </w:tcBorders>
            <w:shd w:val="clear" w:color="auto" w:fill="auto"/>
            <w:noWrap/>
            <w:vAlign w:val="center"/>
            <w:hideMark/>
          </w:tcPr>
          <w:p w14:paraId="6F749746" w14:textId="77777777" w:rsidR="00FF139B" w:rsidRPr="00773ECA" w:rsidRDefault="00FF139B" w:rsidP="00D22441">
            <w:pPr>
              <w:jc w:val="center"/>
              <w:rPr>
                <w:rFonts w:cs="Arial"/>
                <w:color w:val="000000"/>
                <w:spacing w:val="0"/>
                <w:sz w:val="16"/>
                <w:szCs w:val="16"/>
                <w:lang w:val="es-MX" w:eastAsia="es-MX"/>
              </w:rPr>
            </w:pPr>
            <w:r w:rsidRPr="00773ECA">
              <w:rPr>
                <w:rFonts w:cs="Arial"/>
                <w:color w:val="000000"/>
                <w:spacing w:val="0"/>
                <w:sz w:val="16"/>
                <w:szCs w:val="16"/>
                <w:lang w:val="en-US" w:eastAsia="es-MX"/>
              </w:rPr>
              <w:t>16</w:t>
            </w:r>
          </w:p>
        </w:tc>
        <w:tc>
          <w:tcPr>
            <w:tcW w:w="640" w:type="dxa"/>
            <w:tcBorders>
              <w:top w:val="nil"/>
              <w:left w:val="nil"/>
              <w:bottom w:val="single" w:sz="8" w:space="0" w:color="auto"/>
              <w:right w:val="single" w:sz="8" w:space="0" w:color="auto"/>
            </w:tcBorders>
            <w:shd w:val="clear" w:color="auto" w:fill="auto"/>
            <w:noWrap/>
            <w:vAlign w:val="center"/>
            <w:hideMark/>
          </w:tcPr>
          <w:p w14:paraId="66DC393C" w14:textId="77777777" w:rsidR="00FF139B" w:rsidRPr="00773ECA" w:rsidRDefault="00FF139B" w:rsidP="00D22441">
            <w:pPr>
              <w:jc w:val="center"/>
              <w:rPr>
                <w:rFonts w:cs="Arial"/>
                <w:color w:val="000000"/>
                <w:spacing w:val="0"/>
                <w:sz w:val="16"/>
                <w:szCs w:val="16"/>
                <w:lang w:val="es-MX" w:eastAsia="es-MX"/>
              </w:rPr>
            </w:pPr>
            <w:r w:rsidRPr="00773ECA">
              <w:rPr>
                <w:rFonts w:cs="Arial"/>
                <w:color w:val="000000"/>
                <w:spacing w:val="0"/>
                <w:sz w:val="16"/>
                <w:szCs w:val="16"/>
                <w:lang w:val="en-US" w:eastAsia="es-MX"/>
              </w:rPr>
              <w:t>SSF</w:t>
            </w:r>
          </w:p>
        </w:tc>
        <w:tc>
          <w:tcPr>
            <w:tcW w:w="3426" w:type="dxa"/>
            <w:tcBorders>
              <w:top w:val="nil"/>
              <w:left w:val="nil"/>
              <w:bottom w:val="single" w:sz="8" w:space="0" w:color="auto"/>
              <w:right w:val="single" w:sz="8" w:space="0" w:color="auto"/>
            </w:tcBorders>
            <w:shd w:val="clear" w:color="auto" w:fill="auto"/>
            <w:vAlign w:val="center"/>
            <w:hideMark/>
          </w:tcPr>
          <w:p w14:paraId="298CA6B6" w14:textId="77777777" w:rsidR="00FF139B" w:rsidRPr="00773ECA" w:rsidRDefault="00FF139B" w:rsidP="00D22441">
            <w:pPr>
              <w:jc w:val="left"/>
              <w:rPr>
                <w:rFonts w:cs="Arial"/>
                <w:color w:val="000000"/>
                <w:spacing w:val="0"/>
                <w:sz w:val="16"/>
                <w:szCs w:val="16"/>
                <w:lang w:val="es-MX" w:eastAsia="es-MX"/>
              </w:rPr>
            </w:pPr>
            <w:r w:rsidRPr="00773ECA">
              <w:rPr>
                <w:rFonts w:cs="Arial"/>
                <w:color w:val="000000"/>
                <w:spacing w:val="0"/>
                <w:sz w:val="16"/>
                <w:szCs w:val="16"/>
                <w:lang w:eastAsia="es-MX"/>
              </w:rPr>
              <w:t>REMUNERACIONES NO CONSTITUTIVAS DE FACTOR SALARIAL</w:t>
            </w:r>
          </w:p>
        </w:tc>
        <w:tc>
          <w:tcPr>
            <w:tcW w:w="1400" w:type="dxa"/>
            <w:tcBorders>
              <w:top w:val="nil"/>
              <w:left w:val="nil"/>
              <w:bottom w:val="single" w:sz="8" w:space="0" w:color="auto"/>
              <w:right w:val="single" w:sz="8" w:space="0" w:color="auto"/>
            </w:tcBorders>
            <w:shd w:val="clear" w:color="auto" w:fill="auto"/>
            <w:noWrap/>
            <w:vAlign w:val="center"/>
            <w:hideMark/>
          </w:tcPr>
          <w:p w14:paraId="13E46DE2" w14:textId="77777777" w:rsidR="00FF139B" w:rsidRPr="00773ECA" w:rsidRDefault="00FF139B" w:rsidP="00D22441">
            <w:pPr>
              <w:jc w:val="right"/>
              <w:rPr>
                <w:rFonts w:cs="Arial"/>
                <w:color w:val="000000"/>
                <w:spacing w:val="0"/>
                <w:sz w:val="16"/>
                <w:szCs w:val="16"/>
                <w:lang w:val="es-MX" w:eastAsia="es-MX"/>
              </w:rPr>
            </w:pPr>
            <w:r w:rsidRPr="00773ECA">
              <w:rPr>
                <w:rFonts w:cs="Arial"/>
                <w:color w:val="000000"/>
                <w:spacing w:val="0"/>
                <w:sz w:val="16"/>
                <w:szCs w:val="16"/>
                <w:lang w:eastAsia="es-MX"/>
              </w:rPr>
              <w:t>$ 2.401.474.000</w:t>
            </w:r>
          </w:p>
        </w:tc>
        <w:tc>
          <w:tcPr>
            <w:tcW w:w="1580" w:type="dxa"/>
            <w:tcBorders>
              <w:top w:val="nil"/>
              <w:left w:val="nil"/>
              <w:bottom w:val="single" w:sz="8" w:space="0" w:color="auto"/>
              <w:right w:val="single" w:sz="8" w:space="0" w:color="auto"/>
            </w:tcBorders>
            <w:shd w:val="clear" w:color="auto" w:fill="auto"/>
            <w:noWrap/>
            <w:vAlign w:val="center"/>
            <w:hideMark/>
          </w:tcPr>
          <w:p w14:paraId="3D5841CE" w14:textId="77777777" w:rsidR="00FF139B" w:rsidRPr="00773ECA" w:rsidRDefault="00FF139B" w:rsidP="00D22441">
            <w:pPr>
              <w:jc w:val="right"/>
              <w:rPr>
                <w:rFonts w:cs="Arial"/>
                <w:color w:val="000000"/>
                <w:spacing w:val="0"/>
                <w:sz w:val="16"/>
                <w:szCs w:val="16"/>
                <w:lang w:val="es-MX" w:eastAsia="es-MX"/>
              </w:rPr>
            </w:pPr>
            <w:r w:rsidRPr="00773ECA">
              <w:rPr>
                <w:rFonts w:cs="Arial"/>
                <w:color w:val="000000"/>
                <w:spacing w:val="0"/>
                <w:sz w:val="16"/>
                <w:szCs w:val="16"/>
                <w:lang w:val="es-MX" w:eastAsia="es-MX"/>
              </w:rPr>
              <w:t>$ 2.401.474.000</w:t>
            </w:r>
          </w:p>
        </w:tc>
        <w:tc>
          <w:tcPr>
            <w:tcW w:w="1380" w:type="dxa"/>
            <w:tcBorders>
              <w:top w:val="nil"/>
              <w:left w:val="nil"/>
              <w:bottom w:val="single" w:sz="8" w:space="0" w:color="auto"/>
              <w:right w:val="single" w:sz="8" w:space="0" w:color="auto"/>
            </w:tcBorders>
            <w:shd w:val="clear" w:color="auto" w:fill="auto"/>
            <w:noWrap/>
            <w:vAlign w:val="center"/>
            <w:hideMark/>
          </w:tcPr>
          <w:p w14:paraId="7DE15958" w14:textId="77777777" w:rsidR="00FF139B" w:rsidRPr="00773ECA" w:rsidRDefault="00FF139B" w:rsidP="00D22441">
            <w:pPr>
              <w:jc w:val="right"/>
              <w:rPr>
                <w:rFonts w:cs="Arial"/>
                <w:color w:val="000000"/>
                <w:spacing w:val="0"/>
                <w:sz w:val="16"/>
                <w:szCs w:val="16"/>
                <w:lang w:val="es-MX" w:eastAsia="es-MX"/>
              </w:rPr>
            </w:pPr>
            <w:r w:rsidRPr="00773ECA">
              <w:rPr>
                <w:rFonts w:cs="Arial"/>
                <w:color w:val="000000"/>
                <w:spacing w:val="0"/>
                <w:sz w:val="16"/>
                <w:szCs w:val="16"/>
                <w:lang w:val="es-MX" w:eastAsia="es-MX"/>
              </w:rPr>
              <w:t>$ 0</w:t>
            </w:r>
          </w:p>
        </w:tc>
      </w:tr>
      <w:tr w:rsidR="00FF139B" w:rsidRPr="00773ECA" w14:paraId="7B77F512" w14:textId="77777777" w:rsidTr="00313A48">
        <w:trPr>
          <w:trHeight w:val="430"/>
        </w:trPr>
        <w:tc>
          <w:tcPr>
            <w:tcW w:w="594" w:type="dxa"/>
            <w:tcBorders>
              <w:top w:val="nil"/>
              <w:left w:val="single" w:sz="8" w:space="0" w:color="auto"/>
              <w:bottom w:val="single" w:sz="8" w:space="0" w:color="auto"/>
              <w:right w:val="single" w:sz="8" w:space="0" w:color="auto"/>
            </w:tcBorders>
            <w:shd w:val="clear" w:color="auto" w:fill="auto"/>
            <w:noWrap/>
            <w:vAlign w:val="center"/>
            <w:hideMark/>
          </w:tcPr>
          <w:p w14:paraId="708ECF6C" w14:textId="77777777" w:rsidR="00FF139B" w:rsidRPr="00773ECA" w:rsidRDefault="00FF139B" w:rsidP="00D22441">
            <w:pPr>
              <w:jc w:val="center"/>
              <w:rPr>
                <w:rFonts w:cs="Arial"/>
                <w:color w:val="000000"/>
                <w:spacing w:val="0"/>
                <w:sz w:val="16"/>
                <w:szCs w:val="16"/>
                <w:lang w:val="es-MX" w:eastAsia="es-MX"/>
              </w:rPr>
            </w:pPr>
            <w:r w:rsidRPr="00773ECA">
              <w:rPr>
                <w:rFonts w:cs="Arial"/>
                <w:color w:val="000000"/>
                <w:spacing w:val="0"/>
                <w:sz w:val="16"/>
                <w:szCs w:val="16"/>
                <w:lang w:val="en-US" w:eastAsia="es-MX"/>
              </w:rPr>
              <w:t>A</w:t>
            </w:r>
          </w:p>
        </w:tc>
        <w:tc>
          <w:tcPr>
            <w:tcW w:w="560" w:type="dxa"/>
            <w:tcBorders>
              <w:top w:val="nil"/>
              <w:left w:val="nil"/>
              <w:bottom w:val="single" w:sz="8" w:space="0" w:color="auto"/>
              <w:right w:val="single" w:sz="8" w:space="0" w:color="auto"/>
            </w:tcBorders>
            <w:shd w:val="clear" w:color="auto" w:fill="auto"/>
            <w:noWrap/>
            <w:vAlign w:val="center"/>
            <w:hideMark/>
          </w:tcPr>
          <w:p w14:paraId="31B849C9" w14:textId="77777777" w:rsidR="00FF139B" w:rsidRPr="00773ECA" w:rsidRDefault="00FF139B" w:rsidP="00D22441">
            <w:pPr>
              <w:jc w:val="center"/>
              <w:rPr>
                <w:rFonts w:cs="Arial"/>
                <w:color w:val="000000"/>
                <w:spacing w:val="0"/>
                <w:sz w:val="16"/>
                <w:szCs w:val="16"/>
                <w:lang w:val="es-MX" w:eastAsia="es-MX"/>
              </w:rPr>
            </w:pPr>
            <w:r w:rsidRPr="00773ECA">
              <w:rPr>
                <w:rFonts w:cs="Arial"/>
                <w:color w:val="000000"/>
                <w:spacing w:val="0"/>
                <w:sz w:val="16"/>
                <w:szCs w:val="16"/>
                <w:lang w:val="en-US" w:eastAsia="es-MX"/>
              </w:rPr>
              <w:t>1</w:t>
            </w:r>
          </w:p>
        </w:tc>
        <w:tc>
          <w:tcPr>
            <w:tcW w:w="540" w:type="dxa"/>
            <w:tcBorders>
              <w:top w:val="nil"/>
              <w:left w:val="nil"/>
              <w:bottom w:val="single" w:sz="8" w:space="0" w:color="auto"/>
              <w:right w:val="single" w:sz="8" w:space="0" w:color="auto"/>
            </w:tcBorders>
            <w:shd w:val="clear" w:color="auto" w:fill="auto"/>
            <w:noWrap/>
            <w:vAlign w:val="center"/>
            <w:hideMark/>
          </w:tcPr>
          <w:p w14:paraId="05F37F10" w14:textId="77777777" w:rsidR="00FF139B" w:rsidRPr="00773ECA" w:rsidRDefault="00FF139B" w:rsidP="00D22441">
            <w:pPr>
              <w:jc w:val="center"/>
              <w:rPr>
                <w:rFonts w:cs="Arial"/>
                <w:color w:val="000000"/>
                <w:spacing w:val="0"/>
                <w:sz w:val="16"/>
                <w:szCs w:val="16"/>
                <w:lang w:val="es-MX" w:eastAsia="es-MX"/>
              </w:rPr>
            </w:pPr>
            <w:r w:rsidRPr="00773ECA">
              <w:rPr>
                <w:rFonts w:cs="Arial"/>
                <w:color w:val="000000"/>
                <w:spacing w:val="0"/>
                <w:sz w:val="16"/>
                <w:szCs w:val="16"/>
                <w:lang w:val="en-US" w:eastAsia="es-MX"/>
              </w:rPr>
              <w:t>16</w:t>
            </w:r>
          </w:p>
        </w:tc>
        <w:tc>
          <w:tcPr>
            <w:tcW w:w="640" w:type="dxa"/>
            <w:tcBorders>
              <w:top w:val="nil"/>
              <w:left w:val="nil"/>
              <w:bottom w:val="single" w:sz="8" w:space="0" w:color="auto"/>
              <w:right w:val="single" w:sz="8" w:space="0" w:color="auto"/>
            </w:tcBorders>
            <w:shd w:val="clear" w:color="auto" w:fill="auto"/>
            <w:noWrap/>
            <w:vAlign w:val="center"/>
            <w:hideMark/>
          </w:tcPr>
          <w:p w14:paraId="695E3086" w14:textId="77777777" w:rsidR="00FF139B" w:rsidRPr="00773ECA" w:rsidRDefault="00FF139B" w:rsidP="00D22441">
            <w:pPr>
              <w:jc w:val="center"/>
              <w:rPr>
                <w:rFonts w:cs="Arial"/>
                <w:color w:val="000000"/>
                <w:spacing w:val="0"/>
                <w:sz w:val="16"/>
                <w:szCs w:val="16"/>
                <w:lang w:val="es-MX" w:eastAsia="es-MX"/>
              </w:rPr>
            </w:pPr>
            <w:r w:rsidRPr="00773ECA">
              <w:rPr>
                <w:rFonts w:cs="Arial"/>
                <w:color w:val="000000"/>
                <w:spacing w:val="0"/>
                <w:sz w:val="16"/>
                <w:szCs w:val="16"/>
                <w:lang w:val="es-MX" w:eastAsia="es-MX"/>
              </w:rPr>
              <w:t>SSF</w:t>
            </w:r>
          </w:p>
        </w:tc>
        <w:tc>
          <w:tcPr>
            <w:tcW w:w="3426" w:type="dxa"/>
            <w:tcBorders>
              <w:top w:val="nil"/>
              <w:left w:val="nil"/>
              <w:bottom w:val="single" w:sz="8" w:space="0" w:color="auto"/>
              <w:right w:val="single" w:sz="8" w:space="0" w:color="auto"/>
            </w:tcBorders>
            <w:shd w:val="clear" w:color="auto" w:fill="auto"/>
            <w:vAlign w:val="center"/>
            <w:hideMark/>
          </w:tcPr>
          <w:p w14:paraId="5D7868DB" w14:textId="77777777" w:rsidR="00FF139B" w:rsidRPr="00773ECA" w:rsidRDefault="00FF139B" w:rsidP="00D22441">
            <w:pPr>
              <w:jc w:val="left"/>
              <w:rPr>
                <w:rFonts w:cs="Arial"/>
                <w:color w:val="000000"/>
                <w:spacing w:val="0"/>
                <w:sz w:val="16"/>
                <w:szCs w:val="16"/>
                <w:lang w:val="es-MX" w:eastAsia="es-MX"/>
              </w:rPr>
            </w:pPr>
            <w:r w:rsidRPr="00773ECA">
              <w:rPr>
                <w:rFonts w:cs="Arial"/>
                <w:color w:val="000000"/>
                <w:spacing w:val="0"/>
                <w:sz w:val="16"/>
                <w:szCs w:val="16"/>
                <w:lang w:val="es-MX" w:eastAsia="es-MX"/>
              </w:rPr>
              <w:t>OTROS GASTOS DE PERSONAL - DISTRIBUCIÓN PREVIO CONCEPTO DGPPN</w:t>
            </w:r>
          </w:p>
        </w:tc>
        <w:tc>
          <w:tcPr>
            <w:tcW w:w="1400" w:type="dxa"/>
            <w:tcBorders>
              <w:top w:val="nil"/>
              <w:left w:val="nil"/>
              <w:bottom w:val="single" w:sz="8" w:space="0" w:color="auto"/>
              <w:right w:val="single" w:sz="8" w:space="0" w:color="auto"/>
            </w:tcBorders>
            <w:shd w:val="clear" w:color="auto" w:fill="auto"/>
            <w:noWrap/>
            <w:vAlign w:val="center"/>
            <w:hideMark/>
          </w:tcPr>
          <w:p w14:paraId="6F5B9424" w14:textId="77777777" w:rsidR="00FF139B" w:rsidRPr="00773ECA" w:rsidRDefault="00FF139B" w:rsidP="00D22441">
            <w:pPr>
              <w:jc w:val="right"/>
              <w:rPr>
                <w:rFonts w:cs="Arial"/>
                <w:color w:val="000000"/>
                <w:spacing w:val="0"/>
                <w:sz w:val="16"/>
                <w:szCs w:val="16"/>
                <w:lang w:val="es-MX" w:eastAsia="es-MX"/>
              </w:rPr>
            </w:pPr>
            <w:r w:rsidRPr="00773ECA">
              <w:rPr>
                <w:rFonts w:cs="Arial"/>
                <w:color w:val="000000"/>
                <w:spacing w:val="0"/>
                <w:sz w:val="16"/>
                <w:szCs w:val="16"/>
                <w:lang w:eastAsia="es-MX"/>
              </w:rPr>
              <w:t>$ 2.482.500.000</w:t>
            </w:r>
          </w:p>
        </w:tc>
        <w:tc>
          <w:tcPr>
            <w:tcW w:w="1580" w:type="dxa"/>
            <w:tcBorders>
              <w:top w:val="nil"/>
              <w:left w:val="nil"/>
              <w:bottom w:val="single" w:sz="8" w:space="0" w:color="auto"/>
              <w:right w:val="single" w:sz="8" w:space="0" w:color="auto"/>
            </w:tcBorders>
            <w:shd w:val="clear" w:color="auto" w:fill="auto"/>
            <w:noWrap/>
            <w:vAlign w:val="center"/>
            <w:hideMark/>
          </w:tcPr>
          <w:p w14:paraId="274F0937" w14:textId="77777777" w:rsidR="00FF139B" w:rsidRPr="00773ECA" w:rsidRDefault="00FF139B" w:rsidP="00D22441">
            <w:pPr>
              <w:jc w:val="right"/>
              <w:rPr>
                <w:rFonts w:cs="Arial"/>
                <w:color w:val="000000"/>
                <w:spacing w:val="0"/>
                <w:sz w:val="16"/>
                <w:szCs w:val="16"/>
                <w:lang w:val="es-MX" w:eastAsia="es-MX"/>
              </w:rPr>
            </w:pPr>
            <w:r w:rsidRPr="00773ECA">
              <w:rPr>
                <w:rFonts w:cs="Arial"/>
                <w:color w:val="000000"/>
                <w:spacing w:val="0"/>
                <w:sz w:val="16"/>
                <w:szCs w:val="16"/>
                <w:lang w:val="es-MX" w:eastAsia="es-MX"/>
              </w:rPr>
              <w:t>$ 2.482.500.000</w:t>
            </w:r>
          </w:p>
        </w:tc>
        <w:tc>
          <w:tcPr>
            <w:tcW w:w="1380" w:type="dxa"/>
            <w:tcBorders>
              <w:top w:val="nil"/>
              <w:left w:val="nil"/>
              <w:bottom w:val="single" w:sz="8" w:space="0" w:color="auto"/>
              <w:right w:val="single" w:sz="8" w:space="0" w:color="auto"/>
            </w:tcBorders>
            <w:shd w:val="clear" w:color="auto" w:fill="auto"/>
            <w:noWrap/>
            <w:vAlign w:val="center"/>
            <w:hideMark/>
          </w:tcPr>
          <w:p w14:paraId="1E213842" w14:textId="77777777" w:rsidR="00FF139B" w:rsidRPr="00773ECA" w:rsidRDefault="00FF139B" w:rsidP="00D22441">
            <w:pPr>
              <w:jc w:val="right"/>
              <w:rPr>
                <w:rFonts w:cs="Arial"/>
                <w:color w:val="000000"/>
                <w:spacing w:val="0"/>
                <w:sz w:val="16"/>
                <w:szCs w:val="16"/>
                <w:lang w:val="es-MX" w:eastAsia="es-MX"/>
              </w:rPr>
            </w:pPr>
            <w:r w:rsidRPr="00773ECA">
              <w:rPr>
                <w:rFonts w:cs="Arial"/>
                <w:color w:val="000000"/>
                <w:spacing w:val="0"/>
                <w:sz w:val="16"/>
                <w:szCs w:val="16"/>
                <w:lang w:val="es-MX" w:eastAsia="es-MX"/>
              </w:rPr>
              <w:t>$ 0</w:t>
            </w:r>
          </w:p>
        </w:tc>
      </w:tr>
      <w:tr w:rsidR="00FF139B" w:rsidRPr="00773ECA" w14:paraId="2F4BB4E6" w14:textId="77777777" w:rsidTr="00313A48">
        <w:trPr>
          <w:trHeight w:val="300"/>
        </w:trPr>
        <w:tc>
          <w:tcPr>
            <w:tcW w:w="594" w:type="dxa"/>
            <w:tcBorders>
              <w:top w:val="nil"/>
              <w:left w:val="single" w:sz="8" w:space="0" w:color="auto"/>
              <w:bottom w:val="single" w:sz="8" w:space="0" w:color="auto"/>
              <w:right w:val="single" w:sz="8" w:space="0" w:color="auto"/>
            </w:tcBorders>
            <w:shd w:val="clear" w:color="auto" w:fill="auto"/>
            <w:noWrap/>
            <w:vAlign w:val="center"/>
            <w:hideMark/>
          </w:tcPr>
          <w:p w14:paraId="44019D1D" w14:textId="77777777" w:rsidR="00FF139B" w:rsidRPr="00773ECA" w:rsidRDefault="00FF139B" w:rsidP="00D22441">
            <w:pPr>
              <w:jc w:val="center"/>
              <w:rPr>
                <w:rFonts w:cs="Arial"/>
                <w:color w:val="000000"/>
                <w:spacing w:val="0"/>
                <w:sz w:val="16"/>
                <w:szCs w:val="16"/>
                <w:lang w:val="es-MX" w:eastAsia="es-MX"/>
              </w:rPr>
            </w:pPr>
            <w:r w:rsidRPr="00773ECA">
              <w:rPr>
                <w:rFonts w:cs="Arial"/>
                <w:color w:val="000000"/>
                <w:spacing w:val="0"/>
                <w:sz w:val="16"/>
                <w:szCs w:val="16"/>
                <w:lang w:val="en-US" w:eastAsia="es-MX"/>
              </w:rPr>
              <w:t>A</w:t>
            </w:r>
          </w:p>
        </w:tc>
        <w:tc>
          <w:tcPr>
            <w:tcW w:w="560" w:type="dxa"/>
            <w:tcBorders>
              <w:top w:val="nil"/>
              <w:left w:val="nil"/>
              <w:bottom w:val="single" w:sz="8" w:space="0" w:color="auto"/>
              <w:right w:val="single" w:sz="8" w:space="0" w:color="auto"/>
            </w:tcBorders>
            <w:shd w:val="clear" w:color="auto" w:fill="auto"/>
            <w:noWrap/>
            <w:vAlign w:val="center"/>
            <w:hideMark/>
          </w:tcPr>
          <w:p w14:paraId="0CF538D4" w14:textId="77777777" w:rsidR="00FF139B" w:rsidRPr="00773ECA" w:rsidRDefault="00FF139B" w:rsidP="00D22441">
            <w:pPr>
              <w:jc w:val="center"/>
              <w:rPr>
                <w:rFonts w:cs="Arial"/>
                <w:color w:val="000000"/>
                <w:spacing w:val="0"/>
                <w:sz w:val="16"/>
                <w:szCs w:val="16"/>
                <w:lang w:val="es-MX" w:eastAsia="es-MX"/>
              </w:rPr>
            </w:pPr>
            <w:r w:rsidRPr="00773ECA">
              <w:rPr>
                <w:rFonts w:cs="Arial"/>
                <w:color w:val="000000"/>
                <w:spacing w:val="0"/>
                <w:sz w:val="16"/>
                <w:szCs w:val="16"/>
                <w:lang w:val="en-US" w:eastAsia="es-MX"/>
              </w:rPr>
              <w:t>2</w:t>
            </w:r>
          </w:p>
        </w:tc>
        <w:tc>
          <w:tcPr>
            <w:tcW w:w="540" w:type="dxa"/>
            <w:tcBorders>
              <w:top w:val="nil"/>
              <w:left w:val="nil"/>
              <w:bottom w:val="single" w:sz="8" w:space="0" w:color="auto"/>
              <w:right w:val="single" w:sz="8" w:space="0" w:color="auto"/>
            </w:tcBorders>
            <w:shd w:val="clear" w:color="auto" w:fill="auto"/>
            <w:noWrap/>
            <w:vAlign w:val="center"/>
            <w:hideMark/>
          </w:tcPr>
          <w:p w14:paraId="3691E7F2" w14:textId="77777777" w:rsidR="00FF139B" w:rsidRPr="00773ECA" w:rsidRDefault="00FF139B" w:rsidP="00D22441">
            <w:pPr>
              <w:jc w:val="center"/>
              <w:rPr>
                <w:rFonts w:cs="Arial"/>
                <w:color w:val="000000"/>
                <w:spacing w:val="0"/>
                <w:sz w:val="16"/>
                <w:szCs w:val="16"/>
                <w:lang w:val="es-MX" w:eastAsia="es-MX"/>
              </w:rPr>
            </w:pPr>
            <w:r w:rsidRPr="00773ECA">
              <w:rPr>
                <w:rFonts w:cs="Arial"/>
                <w:color w:val="000000"/>
                <w:spacing w:val="0"/>
                <w:sz w:val="16"/>
                <w:szCs w:val="16"/>
                <w:lang w:val="en-US" w:eastAsia="es-MX"/>
              </w:rPr>
              <w:t>10</w:t>
            </w:r>
          </w:p>
        </w:tc>
        <w:tc>
          <w:tcPr>
            <w:tcW w:w="640" w:type="dxa"/>
            <w:tcBorders>
              <w:top w:val="nil"/>
              <w:left w:val="nil"/>
              <w:bottom w:val="single" w:sz="8" w:space="0" w:color="auto"/>
              <w:right w:val="single" w:sz="8" w:space="0" w:color="auto"/>
            </w:tcBorders>
            <w:shd w:val="clear" w:color="auto" w:fill="auto"/>
            <w:noWrap/>
            <w:vAlign w:val="center"/>
            <w:hideMark/>
          </w:tcPr>
          <w:p w14:paraId="167BFAF8" w14:textId="77777777" w:rsidR="00FF139B" w:rsidRPr="00773ECA" w:rsidRDefault="00FF139B" w:rsidP="00D22441">
            <w:pPr>
              <w:jc w:val="center"/>
              <w:rPr>
                <w:rFonts w:cs="Arial"/>
                <w:color w:val="000000"/>
                <w:spacing w:val="0"/>
                <w:sz w:val="16"/>
                <w:szCs w:val="16"/>
                <w:lang w:val="es-MX" w:eastAsia="es-MX"/>
              </w:rPr>
            </w:pPr>
            <w:r w:rsidRPr="00773ECA">
              <w:rPr>
                <w:rFonts w:cs="Arial"/>
                <w:color w:val="000000"/>
                <w:spacing w:val="0"/>
                <w:sz w:val="16"/>
                <w:szCs w:val="16"/>
                <w:lang w:val="en-US" w:eastAsia="es-MX"/>
              </w:rPr>
              <w:t>CSF</w:t>
            </w:r>
          </w:p>
        </w:tc>
        <w:tc>
          <w:tcPr>
            <w:tcW w:w="3426" w:type="dxa"/>
            <w:tcBorders>
              <w:top w:val="nil"/>
              <w:left w:val="nil"/>
              <w:bottom w:val="single" w:sz="8" w:space="0" w:color="auto"/>
              <w:right w:val="single" w:sz="8" w:space="0" w:color="auto"/>
            </w:tcBorders>
            <w:shd w:val="clear" w:color="auto" w:fill="auto"/>
            <w:vAlign w:val="center"/>
            <w:hideMark/>
          </w:tcPr>
          <w:p w14:paraId="2D57BD95" w14:textId="0A01EAC0" w:rsidR="00FF139B" w:rsidRPr="00773ECA" w:rsidRDefault="00FF139B" w:rsidP="00D22441">
            <w:pPr>
              <w:jc w:val="left"/>
              <w:rPr>
                <w:rFonts w:cs="Arial"/>
                <w:color w:val="000000"/>
                <w:spacing w:val="0"/>
                <w:sz w:val="16"/>
                <w:szCs w:val="16"/>
                <w:lang w:val="es-MX" w:eastAsia="es-MX"/>
              </w:rPr>
            </w:pPr>
            <w:r w:rsidRPr="00773ECA">
              <w:rPr>
                <w:rFonts w:cs="Arial"/>
                <w:color w:val="000000"/>
                <w:spacing w:val="0"/>
                <w:sz w:val="16"/>
                <w:szCs w:val="16"/>
                <w:lang w:eastAsia="es-MX"/>
              </w:rPr>
              <w:t>ADQUISICIÓN DE BIENES Y SERVICIOS</w:t>
            </w:r>
          </w:p>
        </w:tc>
        <w:tc>
          <w:tcPr>
            <w:tcW w:w="1400" w:type="dxa"/>
            <w:tcBorders>
              <w:top w:val="nil"/>
              <w:left w:val="nil"/>
              <w:bottom w:val="single" w:sz="8" w:space="0" w:color="auto"/>
              <w:right w:val="single" w:sz="8" w:space="0" w:color="auto"/>
            </w:tcBorders>
            <w:shd w:val="clear" w:color="auto" w:fill="auto"/>
            <w:noWrap/>
            <w:vAlign w:val="center"/>
            <w:hideMark/>
          </w:tcPr>
          <w:p w14:paraId="1A10CD88" w14:textId="77777777" w:rsidR="00FF139B" w:rsidRPr="00773ECA" w:rsidRDefault="00FF139B" w:rsidP="00D22441">
            <w:pPr>
              <w:jc w:val="right"/>
              <w:rPr>
                <w:rFonts w:cs="Arial"/>
                <w:color w:val="000000"/>
                <w:spacing w:val="0"/>
                <w:sz w:val="16"/>
                <w:szCs w:val="16"/>
                <w:lang w:val="es-MX" w:eastAsia="es-MX"/>
              </w:rPr>
            </w:pPr>
            <w:r w:rsidRPr="00773ECA">
              <w:rPr>
                <w:rFonts w:cs="Arial"/>
                <w:color w:val="000000"/>
                <w:spacing w:val="0"/>
                <w:sz w:val="16"/>
                <w:szCs w:val="16"/>
                <w:lang w:eastAsia="es-MX"/>
              </w:rPr>
              <w:t>$ 373.500.000</w:t>
            </w:r>
          </w:p>
        </w:tc>
        <w:tc>
          <w:tcPr>
            <w:tcW w:w="1580" w:type="dxa"/>
            <w:tcBorders>
              <w:top w:val="nil"/>
              <w:left w:val="nil"/>
              <w:bottom w:val="single" w:sz="8" w:space="0" w:color="auto"/>
              <w:right w:val="single" w:sz="8" w:space="0" w:color="auto"/>
            </w:tcBorders>
            <w:shd w:val="clear" w:color="auto" w:fill="auto"/>
            <w:noWrap/>
            <w:vAlign w:val="center"/>
            <w:hideMark/>
          </w:tcPr>
          <w:p w14:paraId="11A98A10" w14:textId="77777777" w:rsidR="00FF139B" w:rsidRPr="00773ECA" w:rsidRDefault="00FF139B" w:rsidP="00D22441">
            <w:pPr>
              <w:jc w:val="right"/>
              <w:rPr>
                <w:rFonts w:cs="Arial"/>
                <w:color w:val="000000"/>
                <w:spacing w:val="0"/>
                <w:sz w:val="16"/>
                <w:szCs w:val="16"/>
                <w:lang w:val="es-MX" w:eastAsia="es-MX"/>
              </w:rPr>
            </w:pPr>
            <w:r w:rsidRPr="00773ECA">
              <w:rPr>
                <w:rFonts w:cs="Arial"/>
                <w:color w:val="000000"/>
                <w:spacing w:val="0"/>
                <w:sz w:val="16"/>
                <w:szCs w:val="16"/>
                <w:lang w:val="es-MX" w:eastAsia="es-MX"/>
              </w:rPr>
              <w:t>$ 0</w:t>
            </w:r>
          </w:p>
        </w:tc>
        <w:tc>
          <w:tcPr>
            <w:tcW w:w="1380" w:type="dxa"/>
            <w:tcBorders>
              <w:top w:val="nil"/>
              <w:left w:val="nil"/>
              <w:bottom w:val="single" w:sz="8" w:space="0" w:color="auto"/>
              <w:right w:val="single" w:sz="8" w:space="0" w:color="auto"/>
            </w:tcBorders>
            <w:shd w:val="clear" w:color="auto" w:fill="auto"/>
            <w:noWrap/>
            <w:vAlign w:val="center"/>
            <w:hideMark/>
          </w:tcPr>
          <w:p w14:paraId="30224F5F" w14:textId="77777777" w:rsidR="00FF139B" w:rsidRPr="00773ECA" w:rsidRDefault="00FF139B" w:rsidP="00D22441">
            <w:pPr>
              <w:jc w:val="right"/>
              <w:rPr>
                <w:rFonts w:cs="Arial"/>
                <w:color w:val="000000"/>
                <w:spacing w:val="0"/>
                <w:sz w:val="16"/>
                <w:szCs w:val="16"/>
                <w:lang w:val="es-MX" w:eastAsia="es-MX"/>
              </w:rPr>
            </w:pPr>
            <w:r w:rsidRPr="00773ECA">
              <w:rPr>
                <w:rFonts w:cs="Arial"/>
                <w:color w:val="000000"/>
                <w:spacing w:val="0"/>
                <w:sz w:val="16"/>
                <w:szCs w:val="16"/>
                <w:lang w:val="es-MX" w:eastAsia="es-MX"/>
              </w:rPr>
              <w:t>$ 373.500.000</w:t>
            </w:r>
          </w:p>
        </w:tc>
      </w:tr>
      <w:tr w:rsidR="00FF139B" w:rsidRPr="00773ECA" w14:paraId="3FF2580A" w14:textId="77777777" w:rsidTr="00313A48">
        <w:trPr>
          <w:trHeight w:val="300"/>
        </w:trPr>
        <w:tc>
          <w:tcPr>
            <w:tcW w:w="594" w:type="dxa"/>
            <w:tcBorders>
              <w:top w:val="nil"/>
              <w:left w:val="single" w:sz="8" w:space="0" w:color="auto"/>
              <w:bottom w:val="single" w:sz="8" w:space="0" w:color="auto"/>
              <w:right w:val="single" w:sz="8" w:space="0" w:color="auto"/>
            </w:tcBorders>
            <w:shd w:val="clear" w:color="auto" w:fill="auto"/>
            <w:noWrap/>
            <w:vAlign w:val="center"/>
            <w:hideMark/>
          </w:tcPr>
          <w:p w14:paraId="066796AD" w14:textId="77777777" w:rsidR="00FF139B" w:rsidRPr="00773ECA" w:rsidRDefault="00FF139B" w:rsidP="00D22441">
            <w:pPr>
              <w:jc w:val="center"/>
              <w:rPr>
                <w:rFonts w:cs="Arial"/>
                <w:color w:val="000000"/>
                <w:spacing w:val="0"/>
                <w:sz w:val="16"/>
                <w:szCs w:val="16"/>
                <w:lang w:val="es-MX" w:eastAsia="es-MX"/>
              </w:rPr>
            </w:pPr>
            <w:r w:rsidRPr="00773ECA">
              <w:rPr>
                <w:rFonts w:cs="Arial"/>
                <w:color w:val="000000"/>
                <w:spacing w:val="0"/>
                <w:sz w:val="16"/>
                <w:szCs w:val="16"/>
                <w:lang w:val="en-US" w:eastAsia="es-MX"/>
              </w:rPr>
              <w:lastRenderedPageBreak/>
              <w:t>A</w:t>
            </w:r>
          </w:p>
        </w:tc>
        <w:tc>
          <w:tcPr>
            <w:tcW w:w="560" w:type="dxa"/>
            <w:tcBorders>
              <w:top w:val="nil"/>
              <w:left w:val="nil"/>
              <w:bottom w:val="single" w:sz="8" w:space="0" w:color="auto"/>
              <w:right w:val="single" w:sz="8" w:space="0" w:color="auto"/>
            </w:tcBorders>
            <w:shd w:val="clear" w:color="auto" w:fill="auto"/>
            <w:noWrap/>
            <w:vAlign w:val="center"/>
            <w:hideMark/>
          </w:tcPr>
          <w:p w14:paraId="4F0C2A63" w14:textId="77777777" w:rsidR="00FF139B" w:rsidRPr="00773ECA" w:rsidRDefault="00FF139B" w:rsidP="00D22441">
            <w:pPr>
              <w:jc w:val="center"/>
              <w:rPr>
                <w:rFonts w:cs="Arial"/>
                <w:color w:val="000000"/>
                <w:spacing w:val="0"/>
                <w:sz w:val="16"/>
                <w:szCs w:val="16"/>
                <w:lang w:val="es-MX" w:eastAsia="es-MX"/>
              </w:rPr>
            </w:pPr>
            <w:r w:rsidRPr="00773ECA">
              <w:rPr>
                <w:rFonts w:cs="Arial"/>
                <w:color w:val="000000"/>
                <w:spacing w:val="0"/>
                <w:sz w:val="16"/>
                <w:szCs w:val="16"/>
                <w:lang w:val="en-US" w:eastAsia="es-MX"/>
              </w:rPr>
              <w:t>2</w:t>
            </w:r>
          </w:p>
        </w:tc>
        <w:tc>
          <w:tcPr>
            <w:tcW w:w="540" w:type="dxa"/>
            <w:tcBorders>
              <w:top w:val="nil"/>
              <w:left w:val="nil"/>
              <w:bottom w:val="single" w:sz="8" w:space="0" w:color="auto"/>
              <w:right w:val="single" w:sz="8" w:space="0" w:color="auto"/>
            </w:tcBorders>
            <w:shd w:val="clear" w:color="auto" w:fill="auto"/>
            <w:noWrap/>
            <w:vAlign w:val="center"/>
            <w:hideMark/>
          </w:tcPr>
          <w:p w14:paraId="20C2F301" w14:textId="77777777" w:rsidR="00FF139B" w:rsidRPr="00773ECA" w:rsidRDefault="00FF139B" w:rsidP="00D22441">
            <w:pPr>
              <w:jc w:val="center"/>
              <w:rPr>
                <w:rFonts w:cs="Arial"/>
                <w:color w:val="000000"/>
                <w:spacing w:val="0"/>
                <w:sz w:val="16"/>
                <w:szCs w:val="16"/>
                <w:lang w:val="es-MX" w:eastAsia="es-MX"/>
              </w:rPr>
            </w:pPr>
            <w:r w:rsidRPr="00773ECA">
              <w:rPr>
                <w:rFonts w:cs="Arial"/>
                <w:color w:val="000000"/>
                <w:spacing w:val="0"/>
                <w:sz w:val="16"/>
                <w:szCs w:val="16"/>
                <w:lang w:val="en-US" w:eastAsia="es-MX"/>
              </w:rPr>
              <w:t>16</w:t>
            </w:r>
          </w:p>
        </w:tc>
        <w:tc>
          <w:tcPr>
            <w:tcW w:w="640" w:type="dxa"/>
            <w:tcBorders>
              <w:top w:val="nil"/>
              <w:left w:val="nil"/>
              <w:bottom w:val="single" w:sz="8" w:space="0" w:color="auto"/>
              <w:right w:val="single" w:sz="8" w:space="0" w:color="auto"/>
            </w:tcBorders>
            <w:shd w:val="clear" w:color="auto" w:fill="auto"/>
            <w:noWrap/>
            <w:vAlign w:val="center"/>
            <w:hideMark/>
          </w:tcPr>
          <w:p w14:paraId="71F13B70" w14:textId="77777777" w:rsidR="00FF139B" w:rsidRPr="00773ECA" w:rsidRDefault="00FF139B" w:rsidP="00D22441">
            <w:pPr>
              <w:jc w:val="center"/>
              <w:rPr>
                <w:rFonts w:cs="Arial"/>
                <w:color w:val="000000"/>
                <w:spacing w:val="0"/>
                <w:sz w:val="16"/>
                <w:szCs w:val="16"/>
                <w:lang w:val="es-MX" w:eastAsia="es-MX"/>
              </w:rPr>
            </w:pPr>
            <w:r w:rsidRPr="00773ECA">
              <w:rPr>
                <w:rFonts w:cs="Arial"/>
                <w:color w:val="000000"/>
                <w:spacing w:val="0"/>
                <w:sz w:val="16"/>
                <w:szCs w:val="16"/>
                <w:lang w:val="en-US" w:eastAsia="es-MX"/>
              </w:rPr>
              <w:t>SSF</w:t>
            </w:r>
          </w:p>
        </w:tc>
        <w:tc>
          <w:tcPr>
            <w:tcW w:w="3426" w:type="dxa"/>
            <w:tcBorders>
              <w:top w:val="nil"/>
              <w:left w:val="nil"/>
              <w:bottom w:val="single" w:sz="8" w:space="0" w:color="auto"/>
              <w:right w:val="single" w:sz="8" w:space="0" w:color="auto"/>
            </w:tcBorders>
            <w:shd w:val="clear" w:color="auto" w:fill="auto"/>
            <w:vAlign w:val="center"/>
            <w:hideMark/>
          </w:tcPr>
          <w:p w14:paraId="4E821BDE" w14:textId="06977B3B" w:rsidR="00FF139B" w:rsidRPr="00773ECA" w:rsidRDefault="00FF139B" w:rsidP="00D22441">
            <w:pPr>
              <w:jc w:val="left"/>
              <w:rPr>
                <w:rFonts w:cs="Arial"/>
                <w:color w:val="000000"/>
                <w:spacing w:val="0"/>
                <w:sz w:val="16"/>
                <w:szCs w:val="16"/>
                <w:lang w:val="es-MX" w:eastAsia="es-MX"/>
              </w:rPr>
            </w:pPr>
            <w:r w:rsidRPr="00773ECA">
              <w:rPr>
                <w:rFonts w:cs="Arial"/>
                <w:color w:val="000000"/>
                <w:spacing w:val="0"/>
                <w:sz w:val="16"/>
                <w:szCs w:val="16"/>
                <w:lang w:eastAsia="es-MX"/>
              </w:rPr>
              <w:t>ADQUISICIÓN DE BIENES Y SERVICIOS</w:t>
            </w:r>
          </w:p>
        </w:tc>
        <w:tc>
          <w:tcPr>
            <w:tcW w:w="1400" w:type="dxa"/>
            <w:tcBorders>
              <w:top w:val="nil"/>
              <w:left w:val="nil"/>
              <w:bottom w:val="single" w:sz="8" w:space="0" w:color="auto"/>
              <w:right w:val="single" w:sz="8" w:space="0" w:color="auto"/>
            </w:tcBorders>
            <w:shd w:val="clear" w:color="auto" w:fill="auto"/>
            <w:noWrap/>
            <w:vAlign w:val="center"/>
            <w:hideMark/>
          </w:tcPr>
          <w:p w14:paraId="7073E7F1" w14:textId="77777777" w:rsidR="00FF139B" w:rsidRPr="00773ECA" w:rsidRDefault="00FF139B" w:rsidP="00D22441">
            <w:pPr>
              <w:jc w:val="right"/>
              <w:rPr>
                <w:rFonts w:cs="Arial"/>
                <w:color w:val="000000"/>
                <w:spacing w:val="0"/>
                <w:sz w:val="16"/>
                <w:szCs w:val="16"/>
                <w:lang w:val="es-MX" w:eastAsia="es-MX"/>
              </w:rPr>
            </w:pPr>
            <w:r w:rsidRPr="00773ECA">
              <w:rPr>
                <w:rFonts w:cs="Arial"/>
                <w:color w:val="000000"/>
                <w:spacing w:val="0"/>
                <w:sz w:val="16"/>
                <w:szCs w:val="16"/>
                <w:lang w:eastAsia="es-MX"/>
              </w:rPr>
              <w:t>$ 3.320.837.000</w:t>
            </w:r>
          </w:p>
        </w:tc>
        <w:tc>
          <w:tcPr>
            <w:tcW w:w="1580" w:type="dxa"/>
            <w:tcBorders>
              <w:top w:val="nil"/>
              <w:left w:val="nil"/>
              <w:bottom w:val="single" w:sz="8" w:space="0" w:color="auto"/>
              <w:right w:val="single" w:sz="8" w:space="0" w:color="auto"/>
            </w:tcBorders>
            <w:shd w:val="clear" w:color="auto" w:fill="auto"/>
            <w:noWrap/>
            <w:vAlign w:val="center"/>
            <w:hideMark/>
          </w:tcPr>
          <w:p w14:paraId="2995EFA7" w14:textId="77777777" w:rsidR="00FF139B" w:rsidRPr="00773ECA" w:rsidRDefault="00FF139B" w:rsidP="00D22441">
            <w:pPr>
              <w:jc w:val="right"/>
              <w:rPr>
                <w:rFonts w:cs="Arial"/>
                <w:color w:val="000000"/>
                <w:spacing w:val="0"/>
                <w:sz w:val="16"/>
                <w:szCs w:val="16"/>
                <w:lang w:val="es-MX" w:eastAsia="es-MX"/>
              </w:rPr>
            </w:pPr>
            <w:r w:rsidRPr="00773ECA">
              <w:rPr>
                <w:rFonts w:cs="Arial"/>
                <w:color w:val="000000"/>
                <w:spacing w:val="0"/>
                <w:sz w:val="16"/>
                <w:szCs w:val="16"/>
                <w:lang w:val="es-MX" w:eastAsia="es-MX"/>
              </w:rPr>
              <w:t>$ 3.320.837.000</w:t>
            </w:r>
          </w:p>
        </w:tc>
        <w:tc>
          <w:tcPr>
            <w:tcW w:w="1380" w:type="dxa"/>
            <w:tcBorders>
              <w:top w:val="nil"/>
              <w:left w:val="nil"/>
              <w:bottom w:val="single" w:sz="8" w:space="0" w:color="auto"/>
              <w:right w:val="single" w:sz="8" w:space="0" w:color="auto"/>
            </w:tcBorders>
            <w:shd w:val="clear" w:color="auto" w:fill="auto"/>
            <w:noWrap/>
            <w:vAlign w:val="center"/>
            <w:hideMark/>
          </w:tcPr>
          <w:p w14:paraId="7817B11B" w14:textId="77777777" w:rsidR="00FF139B" w:rsidRPr="00773ECA" w:rsidRDefault="00FF139B" w:rsidP="00D22441">
            <w:pPr>
              <w:jc w:val="right"/>
              <w:rPr>
                <w:rFonts w:cs="Arial"/>
                <w:color w:val="000000"/>
                <w:spacing w:val="0"/>
                <w:sz w:val="16"/>
                <w:szCs w:val="16"/>
                <w:lang w:val="es-MX" w:eastAsia="es-MX"/>
              </w:rPr>
            </w:pPr>
            <w:r w:rsidRPr="00773ECA">
              <w:rPr>
                <w:rFonts w:cs="Arial"/>
                <w:color w:val="000000"/>
                <w:spacing w:val="0"/>
                <w:sz w:val="16"/>
                <w:szCs w:val="16"/>
                <w:lang w:val="es-MX" w:eastAsia="es-MX"/>
              </w:rPr>
              <w:t>$ 0</w:t>
            </w:r>
          </w:p>
        </w:tc>
      </w:tr>
      <w:tr w:rsidR="00FF139B" w:rsidRPr="00773ECA" w14:paraId="6E8B4CC2" w14:textId="77777777" w:rsidTr="00313A48">
        <w:trPr>
          <w:trHeight w:val="300"/>
        </w:trPr>
        <w:tc>
          <w:tcPr>
            <w:tcW w:w="594" w:type="dxa"/>
            <w:tcBorders>
              <w:top w:val="nil"/>
              <w:left w:val="single" w:sz="8" w:space="0" w:color="auto"/>
              <w:bottom w:val="single" w:sz="8" w:space="0" w:color="auto"/>
              <w:right w:val="single" w:sz="8" w:space="0" w:color="auto"/>
            </w:tcBorders>
            <w:shd w:val="clear" w:color="auto" w:fill="auto"/>
            <w:noWrap/>
            <w:vAlign w:val="center"/>
            <w:hideMark/>
          </w:tcPr>
          <w:p w14:paraId="4F283B98" w14:textId="77777777" w:rsidR="00FF139B" w:rsidRPr="00773ECA" w:rsidRDefault="00FF139B" w:rsidP="00D22441">
            <w:pPr>
              <w:jc w:val="center"/>
              <w:rPr>
                <w:rFonts w:cs="Arial"/>
                <w:color w:val="000000"/>
                <w:spacing w:val="0"/>
                <w:sz w:val="16"/>
                <w:szCs w:val="16"/>
                <w:lang w:val="es-MX" w:eastAsia="es-MX"/>
              </w:rPr>
            </w:pPr>
            <w:r w:rsidRPr="00773ECA">
              <w:rPr>
                <w:rFonts w:cs="Arial"/>
                <w:color w:val="000000"/>
                <w:spacing w:val="0"/>
                <w:sz w:val="16"/>
                <w:szCs w:val="16"/>
                <w:lang w:val="en-US" w:eastAsia="es-MX"/>
              </w:rPr>
              <w:t>A</w:t>
            </w:r>
          </w:p>
        </w:tc>
        <w:tc>
          <w:tcPr>
            <w:tcW w:w="560" w:type="dxa"/>
            <w:tcBorders>
              <w:top w:val="nil"/>
              <w:left w:val="nil"/>
              <w:bottom w:val="single" w:sz="8" w:space="0" w:color="auto"/>
              <w:right w:val="single" w:sz="8" w:space="0" w:color="auto"/>
            </w:tcBorders>
            <w:shd w:val="clear" w:color="auto" w:fill="auto"/>
            <w:noWrap/>
            <w:vAlign w:val="center"/>
            <w:hideMark/>
          </w:tcPr>
          <w:p w14:paraId="55830664" w14:textId="77777777" w:rsidR="00FF139B" w:rsidRPr="00773ECA" w:rsidRDefault="00FF139B" w:rsidP="00D22441">
            <w:pPr>
              <w:jc w:val="center"/>
              <w:rPr>
                <w:rFonts w:cs="Arial"/>
                <w:color w:val="000000"/>
                <w:spacing w:val="0"/>
                <w:sz w:val="16"/>
                <w:szCs w:val="16"/>
                <w:lang w:val="es-MX" w:eastAsia="es-MX"/>
              </w:rPr>
            </w:pPr>
            <w:r w:rsidRPr="00773ECA">
              <w:rPr>
                <w:rFonts w:cs="Arial"/>
                <w:color w:val="000000"/>
                <w:spacing w:val="0"/>
                <w:sz w:val="16"/>
                <w:szCs w:val="16"/>
                <w:lang w:val="en-US" w:eastAsia="es-MX"/>
              </w:rPr>
              <w:t>3</w:t>
            </w:r>
          </w:p>
        </w:tc>
        <w:tc>
          <w:tcPr>
            <w:tcW w:w="540" w:type="dxa"/>
            <w:tcBorders>
              <w:top w:val="nil"/>
              <w:left w:val="nil"/>
              <w:bottom w:val="single" w:sz="8" w:space="0" w:color="auto"/>
              <w:right w:val="single" w:sz="8" w:space="0" w:color="auto"/>
            </w:tcBorders>
            <w:shd w:val="clear" w:color="auto" w:fill="auto"/>
            <w:noWrap/>
            <w:vAlign w:val="center"/>
            <w:hideMark/>
          </w:tcPr>
          <w:p w14:paraId="1E9911CE" w14:textId="77777777" w:rsidR="00FF139B" w:rsidRPr="00773ECA" w:rsidRDefault="00FF139B" w:rsidP="00D22441">
            <w:pPr>
              <w:jc w:val="center"/>
              <w:rPr>
                <w:rFonts w:cs="Arial"/>
                <w:color w:val="000000"/>
                <w:spacing w:val="0"/>
                <w:sz w:val="16"/>
                <w:szCs w:val="16"/>
                <w:lang w:val="es-MX" w:eastAsia="es-MX"/>
              </w:rPr>
            </w:pPr>
            <w:r w:rsidRPr="00773ECA">
              <w:rPr>
                <w:rFonts w:cs="Arial"/>
                <w:color w:val="000000"/>
                <w:spacing w:val="0"/>
                <w:sz w:val="16"/>
                <w:szCs w:val="16"/>
                <w:lang w:val="en-US" w:eastAsia="es-MX"/>
              </w:rPr>
              <w:t>16</w:t>
            </w:r>
          </w:p>
        </w:tc>
        <w:tc>
          <w:tcPr>
            <w:tcW w:w="640" w:type="dxa"/>
            <w:tcBorders>
              <w:top w:val="nil"/>
              <w:left w:val="nil"/>
              <w:bottom w:val="single" w:sz="8" w:space="0" w:color="auto"/>
              <w:right w:val="single" w:sz="8" w:space="0" w:color="auto"/>
            </w:tcBorders>
            <w:shd w:val="clear" w:color="auto" w:fill="auto"/>
            <w:noWrap/>
            <w:vAlign w:val="center"/>
            <w:hideMark/>
          </w:tcPr>
          <w:p w14:paraId="714CDFC1" w14:textId="77777777" w:rsidR="00FF139B" w:rsidRPr="00773ECA" w:rsidRDefault="00FF139B" w:rsidP="00D22441">
            <w:pPr>
              <w:jc w:val="center"/>
              <w:rPr>
                <w:rFonts w:cs="Arial"/>
                <w:color w:val="000000"/>
                <w:spacing w:val="0"/>
                <w:sz w:val="16"/>
                <w:szCs w:val="16"/>
                <w:lang w:val="es-MX" w:eastAsia="es-MX"/>
              </w:rPr>
            </w:pPr>
            <w:r w:rsidRPr="00773ECA">
              <w:rPr>
                <w:rFonts w:cs="Arial"/>
                <w:color w:val="000000"/>
                <w:spacing w:val="0"/>
                <w:sz w:val="16"/>
                <w:szCs w:val="16"/>
                <w:lang w:val="en-US" w:eastAsia="es-MX"/>
              </w:rPr>
              <w:t>SSF</w:t>
            </w:r>
          </w:p>
        </w:tc>
        <w:tc>
          <w:tcPr>
            <w:tcW w:w="3426" w:type="dxa"/>
            <w:tcBorders>
              <w:top w:val="nil"/>
              <w:left w:val="nil"/>
              <w:bottom w:val="single" w:sz="8" w:space="0" w:color="auto"/>
              <w:right w:val="single" w:sz="8" w:space="0" w:color="auto"/>
            </w:tcBorders>
            <w:shd w:val="clear" w:color="auto" w:fill="auto"/>
            <w:vAlign w:val="center"/>
            <w:hideMark/>
          </w:tcPr>
          <w:p w14:paraId="2D30D9BD" w14:textId="77777777" w:rsidR="00FF139B" w:rsidRPr="00773ECA" w:rsidRDefault="00FF139B" w:rsidP="00D22441">
            <w:pPr>
              <w:jc w:val="left"/>
              <w:rPr>
                <w:rFonts w:cs="Arial"/>
                <w:color w:val="000000"/>
                <w:spacing w:val="0"/>
                <w:sz w:val="16"/>
                <w:szCs w:val="16"/>
                <w:lang w:val="es-MX" w:eastAsia="es-MX"/>
              </w:rPr>
            </w:pPr>
            <w:r w:rsidRPr="00773ECA">
              <w:rPr>
                <w:rFonts w:cs="Arial"/>
                <w:color w:val="000000"/>
                <w:spacing w:val="0"/>
                <w:sz w:val="16"/>
                <w:szCs w:val="16"/>
                <w:lang w:val="en-US" w:eastAsia="es-MX"/>
              </w:rPr>
              <w:t>FONDO EMPRESARIAL - LEY 812 DE 2003</w:t>
            </w:r>
          </w:p>
        </w:tc>
        <w:tc>
          <w:tcPr>
            <w:tcW w:w="1400" w:type="dxa"/>
            <w:tcBorders>
              <w:top w:val="nil"/>
              <w:left w:val="nil"/>
              <w:bottom w:val="single" w:sz="8" w:space="0" w:color="auto"/>
              <w:right w:val="single" w:sz="8" w:space="0" w:color="auto"/>
            </w:tcBorders>
            <w:shd w:val="clear" w:color="auto" w:fill="auto"/>
            <w:noWrap/>
            <w:vAlign w:val="center"/>
            <w:hideMark/>
          </w:tcPr>
          <w:p w14:paraId="461DED6B" w14:textId="77777777" w:rsidR="00FF139B" w:rsidRPr="00773ECA" w:rsidRDefault="00FF139B" w:rsidP="00D22441">
            <w:pPr>
              <w:jc w:val="right"/>
              <w:rPr>
                <w:rFonts w:cs="Arial"/>
                <w:color w:val="000000"/>
                <w:spacing w:val="0"/>
                <w:sz w:val="16"/>
                <w:szCs w:val="16"/>
                <w:lang w:val="es-MX" w:eastAsia="es-MX"/>
              </w:rPr>
            </w:pPr>
            <w:r w:rsidRPr="00773ECA">
              <w:rPr>
                <w:rFonts w:cs="Arial"/>
                <w:color w:val="000000"/>
                <w:spacing w:val="0"/>
                <w:sz w:val="16"/>
                <w:szCs w:val="16"/>
                <w:lang w:val="en-US" w:eastAsia="es-MX"/>
              </w:rPr>
              <w:t>$ 2.444.416.949</w:t>
            </w:r>
          </w:p>
        </w:tc>
        <w:tc>
          <w:tcPr>
            <w:tcW w:w="1580" w:type="dxa"/>
            <w:tcBorders>
              <w:top w:val="nil"/>
              <w:left w:val="nil"/>
              <w:bottom w:val="single" w:sz="8" w:space="0" w:color="auto"/>
              <w:right w:val="single" w:sz="8" w:space="0" w:color="auto"/>
            </w:tcBorders>
            <w:shd w:val="clear" w:color="auto" w:fill="auto"/>
            <w:noWrap/>
            <w:vAlign w:val="center"/>
            <w:hideMark/>
          </w:tcPr>
          <w:p w14:paraId="0529FFD6" w14:textId="77777777" w:rsidR="00FF139B" w:rsidRPr="00773ECA" w:rsidRDefault="00FF139B" w:rsidP="00D22441">
            <w:pPr>
              <w:jc w:val="right"/>
              <w:rPr>
                <w:rFonts w:cs="Arial"/>
                <w:color w:val="000000"/>
                <w:spacing w:val="0"/>
                <w:sz w:val="16"/>
                <w:szCs w:val="16"/>
                <w:lang w:val="es-MX" w:eastAsia="es-MX"/>
              </w:rPr>
            </w:pPr>
            <w:r w:rsidRPr="00773ECA">
              <w:rPr>
                <w:rFonts w:cs="Arial"/>
                <w:color w:val="000000"/>
                <w:spacing w:val="0"/>
                <w:sz w:val="16"/>
                <w:szCs w:val="16"/>
                <w:lang w:val="es-MX" w:eastAsia="es-MX"/>
              </w:rPr>
              <w:t>$ 2.444.416.949</w:t>
            </w:r>
          </w:p>
        </w:tc>
        <w:tc>
          <w:tcPr>
            <w:tcW w:w="1380" w:type="dxa"/>
            <w:tcBorders>
              <w:top w:val="nil"/>
              <w:left w:val="nil"/>
              <w:bottom w:val="single" w:sz="8" w:space="0" w:color="auto"/>
              <w:right w:val="single" w:sz="8" w:space="0" w:color="auto"/>
            </w:tcBorders>
            <w:shd w:val="clear" w:color="auto" w:fill="auto"/>
            <w:noWrap/>
            <w:vAlign w:val="center"/>
            <w:hideMark/>
          </w:tcPr>
          <w:p w14:paraId="37485FAD" w14:textId="77777777" w:rsidR="00FF139B" w:rsidRPr="00773ECA" w:rsidRDefault="00FF139B" w:rsidP="00D22441">
            <w:pPr>
              <w:jc w:val="right"/>
              <w:rPr>
                <w:rFonts w:cs="Arial"/>
                <w:color w:val="000000"/>
                <w:spacing w:val="0"/>
                <w:sz w:val="16"/>
                <w:szCs w:val="16"/>
                <w:lang w:val="es-MX" w:eastAsia="es-MX"/>
              </w:rPr>
            </w:pPr>
            <w:r w:rsidRPr="00773ECA">
              <w:rPr>
                <w:rFonts w:cs="Arial"/>
                <w:color w:val="000000"/>
                <w:spacing w:val="0"/>
                <w:sz w:val="16"/>
                <w:szCs w:val="16"/>
                <w:lang w:val="es-MX" w:eastAsia="es-MX"/>
              </w:rPr>
              <w:t>$ 0</w:t>
            </w:r>
          </w:p>
        </w:tc>
      </w:tr>
      <w:tr w:rsidR="00FF139B" w:rsidRPr="00773ECA" w14:paraId="02164C64" w14:textId="77777777" w:rsidTr="00313A48">
        <w:trPr>
          <w:trHeight w:val="430"/>
        </w:trPr>
        <w:tc>
          <w:tcPr>
            <w:tcW w:w="594" w:type="dxa"/>
            <w:tcBorders>
              <w:top w:val="nil"/>
              <w:left w:val="single" w:sz="8" w:space="0" w:color="auto"/>
              <w:bottom w:val="single" w:sz="8" w:space="0" w:color="auto"/>
              <w:right w:val="single" w:sz="8" w:space="0" w:color="auto"/>
            </w:tcBorders>
            <w:shd w:val="clear" w:color="auto" w:fill="auto"/>
            <w:noWrap/>
            <w:vAlign w:val="center"/>
            <w:hideMark/>
          </w:tcPr>
          <w:p w14:paraId="710C914E" w14:textId="77777777" w:rsidR="00FF139B" w:rsidRPr="00773ECA" w:rsidRDefault="00FF139B" w:rsidP="00D22441">
            <w:pPr>
              <w:jc w:val="center"/>
              <w:rPr>
                <w:rFonts w:cs="Arial"/>
                <w:color w:val="000000"/>
                <w:spacing w:val="0"/>
                <w:sz w:val="16"/>
                <w:szCs w:val="16"/>
                <w:lang w:val="es-MX" w:eastAsia="es-MX"/>
              </w:rPr>
            </w:pPr>
            <w:r w:rsidRPr="00773ECA">
              <w:rPr>
                <w:rFonts w:cs="Arial"/>
                <w:color w:val="000000"/>
                <w:spacing w:val="0"/>
                <w:sz w:val="16"/>
                <w:szCs w:val="16"/>
                <w:lang w:val="en-US" w:eastAsia="es-MX"/>
              </w:rPr>
              <w:t>A</w:t>
            </w:r>
          </w:p>
        </w:tc>
        <w:tc>
          <w:tcPr>
            <w:tcW w:w="560" w:type="dxa"/>
            <w:tcBorders>
              <w:top w:val="nil"/>
              <w:left w:val="nil"/>
              <w:bottom w:val="single" w:sz="8" w:space="0" w:color="auto"/>
              <w:right w:val="single" w:sz="8" w:space="0" w:color="auto"/>
            </w:tcBorders>
            <w:shd w:val="clear" w:color="auto" w:fill="auto"/>
            <w:noWrap/>
            <w:vAlign w:val="center"/>
            <w:hideMark/>
          </w:tcPr>
          <w:p w14:paraId="0A2F4DA8" w14:textId="77777777" w:rsidR="00FF139B" w:rsidRPr="00773ECA" w:rsidRDefault="00FF139B" w:rsidP="00D22441">
            <w:pPr>
              <w:jc w:val="center"/>
              <w:rPr>
                <w:rFonts w:cs="Arial"/>
                <w:color w:val="000000"/>
                <w:spacing w:val="0"/>
                <w:sz w:val="16"/>
                <w:szCs w:val="16"/>
                <w:lang w:val="es-MX" w:eastAsia="es-MX"/>
              </w:rPr>
            </w:pPr>
            <w:r w:rsidRPr="00773ECA">
              <w:rPr>
                <w:rFonts w:cs="Arial"/>
                <w:color w:val="000000"/>
                <w:spacing w:val="0"/>
                <w:sz w:val="16"/>
                <w:szCs w:val="16"/>
                <w:lang w:val="en-US" w:eastAsia="es-MX"/>
              </w:rPr>
              <w:t>3</w:t>
            </w:r>
          </w:p>
        </w:tc>
        <w:tc>
          <w:tcPr>
            <w:tcW w:w="540" w:type="dxa"/>
            <w:tcBorders>
              <w:top w:val="nil"/>
              <w:left w:val="nil"/>
              <w:bottom w:val="single" w:sz="8" w:space="0" w:color="auto"/>
              <w:right w:val="single" w:sz="8" w:space="0" w:color="auto"/>
            </w:tcBorders>
            <w:shd w:val="clear" w:color="auto" w:fill="auto"/>
            <w:noWrap/>
            <w:vAlign w:val="center"/>
            <w:hideMark/>
          </w:tcPr>
          <w:p w14:paraId="53C2E44C" w14:textId="77777777" w:rsidR="00FF139B" w:rsidRPr="00773ECA" w:rsidRDefault="00FF139B" w:rsidP="00D22441">
            <w:pPr>
              <w:jc w:val="center"/>
              <w:rPr>
                <w:rFonts w:cs="Arial"/>
                <w:color w:val="000000"/>
                <w:spacing w:val="0"/>
                <w:sz w:val="16"/>
                <w:szCs w:val="16"/>
                <w:lang w:val="es-MX" w:eastAsia="es-MX"/>
              </w:rPr>
            </w:pPr>
            <w:r w:rsidRPr="00773ECA">
              <w:rPr>
                <w:rFonts w:cs="Arial"/>
                <w:color w:val="000000"/>
                <w:spacing w:val="0"/>
                <w:sz w:val="16"/>
                <w:szCs w:val="16"/>
                <w:lang w:val="en-US" w:eastAsia="es-MX"/>
              </w:rPr>
              <w:t>10</w:t>
            </w:r>
          </w:p>
        </w:tc>
        <w:tc>
          <w:tcPr>
            <w:tcW w:w="640" w:type="dxa"/>
            <w:tcBorders>
              <w:top w:val="nil"/>
              <w:left w:val="nil"/>
              <w:bottom w:val="single" w:sz="8" w:space="0" w:color="auto"/>
              <w:right w:val="single" w:sz="8" w:space="0" w:color="auto"/>
            </w:tcBorders>
            <w:shd w:val="clear" w:color="auto" w:fill="auto"/>
            <w:noWrap/>
            <w:vAlign w:val="center"/>
            <w:hideMark/>
          </w:tcPr>
          <w:p w14:paraId="76BD0F46" w14:textId="77777777" w:rsidR="00FF139B" w:rsidRPr="00773ECA" w:rsidRDefault="00FF139B" w:rsidP="00D22441">
            <w:pPr>
              <w:jc w:val="center"/>
              <w:rPr>
                <w:rFonts w:cs="Arial"/>
                <w:color w:val="000000"/>
                <w:spacing w:val="0"/>
                <w:sz w:val="16"/>
                <w:szCs w:val="16"/>
                <w:lang w:val="es-MX" w:eastAsia="es-MX"/>
              </w:rPr>
            </w:pPr>
            <w:r w:rsidRPr="00773ECA">
              <w:rPr>
                <w:rFonts w:cs="Arial"/>
                <w:color w:val="000000"/>
                <w:spacing w:val="0"/>
                <w:sz w:val="16"/>
                <w:szCs w:val="16"/>
                <w:lang w:val="en-US" w:eastAsia="es-MX"/>
              </w:rPr>
              <w:t>CSF</w:t>
            </w:r>
          </w:p>
        </w:tc>
        <w:tc>
          <w:tcPr>
            <w:tcW w:w="3426" w:type="dxa"/>
            <w:tcBorders>
              <w:top w:val="nil"/>
              <w:left w:val="nil"/>
              <w:bottom w:val="single" w:sz="8" w:space="0" w:color="auto"/>
              <w:right w:val="single" w:sz="8" w:space="0" w:color="auto"/>
            </w:tcBorders>
            <w:shd w:val="clear" w:color="auto" w:fill="auto"/>
            <w:vAlign w:val="center"/>
            <w:hideMark/>
          </w:tcPr>
          <w:p w14:paraId="4DFFDE33" w14:textId="77777777" w:rsidR="00FF139B" w:rsidRPr="00773ECA" w:rsidRDefault="00FF139B" w:rsidP="00D22441">
            <w:pPr>
              <w:jc w:val="left"/>
              <w:rPr>
                <w:rFonts w:cs="Arial"/>
                <w:color w:val="000000"/>
                <w:spacing w:val="0"/>
                <w:sz w:val="16"/>
                <w:szCs w:val="16"/>
                <w:lang w:val="es-MX" w:eastAsia="es-MX"/>
              </w:rPr>
            </w:pPr>
            <w:r w:rsidRPr="00773ECA">
              <w:rPr>
                <w:rFonts w:cs="Arial"/>
                <w:color w:val="000000"/>
                <w:spacing w:val="0"/>
                <w:sz w:val="16"/>
                <w:szCs w:val="16"/>
                <w:lang w:eastAsia="es-MX"/>
              </w:rPr>
              <w:t>INCAPACIDADES Y LICENCIAS DE MATERNIDAD Y PATERNIDAD (NO DE PENSIONES)</w:t>
            </w:r>
          </w:p>
        </w:tc>
        <w:tc>
          <w:tcPr>
            <w:tcW w:w="1400" w:type="dxa"/>
            <w:tcBorders>
              <w:top w:val="nil"/>
              <w:left w:val="nil"/>
              <w:bottom w:val="single" w:sz="8" w:space="0" w:color="auto"/>
              <w:right w:val="single" w:sz="8" w:space="0" w:color="auto"/>
            </w:tcBorders>
            <w:shd w:val="clear" w:color="auto" w:fill="auto"/>
            <w:noWrap/>
            <w:vAlign w:val="center"/>
            <w:hideMark/>
          </w:tcPr>
          <w:p w14:paraId="6BFC2869" w14:textId="77777777" w:rsidR="00FF139B" w:rsidRPr="00773ECA" w:rsidRDefault="00FF139B" w:rsidP="00D22441">
            <w:pPr>
              <w:jc w:val="right"/>
              <w:rPr>
                <w:rFonts w:cs="Arial"/>
                <w:color w:val="000000"/>
                <w:spacing w:val="0"/>
                <w:sz w:val="16"/>
                <w:szCs w:val="16"/>
                <w:lang w:val="es-MX" w:eastAsia="es-MX"/>
              </w:rPr>
            </w:pPr>
            <w:r w:rsidRPr="00773ECA">
              <w:rPr>
                <w:rFonts w:cs="Arial"/>
                <w:color w:val="000000"/>
                <w:spacing w:val="0"/>
                <w:sz w:val="16"/>
                <w:szCs w:val="16"/>
                <w:lang w:eastAsia="es-MX"/>
              </w:rPr>
              <w:t>$ 38.644.000</w:t>
            </w:r>
          </w:p>
        </w:tc>
        <w:tc>
          <w:tcPr>
            <w:tcW w:w="1580" w:type="dxa"/>
            <w:tcBorders>
              <w:top w:val="nil"/>
              <w:left w:val="nil"/>
              <w:bottom w:val="single" w:sz="8" w:space="0" w:color="auto"/>
              <w:right w:val="single" w:sz="8" w:space="0" w:color="auto"/>
            </w:tcBorders>
            <w:shd w:val="clear" w:color="auto" w:fill="auto"/>
            <w:noWrap/>
            <w:vAlign w:val="center"/>
            <w:hideMark/>
          </w:tcPr>
          <w:p w14:paraId="43A734D6" w14:textId="77777777" w:rsidR="00FF139B" w:rsidRPr="00773ECA" w:rsidRDefault="00FF139B" w:rsidP="00D22441">
            <w:pPr>
              <w:jc w:val="right"/>
              <w:rPr>
                <w:rFonts w:cs="Arial"/>
                <w:color w:val="000000"/>
                <w:spacing w:val="0"/>
                <w:sz w:val="16"/>
                <w:szCs w:val="16"/>
                <w:lang w:val="es-MX" w:eastAsia="es-MX"/>
              </w:rPr>
            </w:pPr>
            <w:r w:rsidRPr="00773ECA">
              <w:rPr>
                <w:rFonts w:cs="Arial"/>
                <w:color w:val="000000"/>
                <w:spacing w:val="0"/>
                <w:sz w:val="16"/>
                <w:szCs w:val="16"/>
                <w:lang w:val="es-MX" w:eastAsia="es-MX"/>
              </w:rPr>
              <w:t>$ 0</w:t>
            </w:r>
          </w:p>
        </w:tc>
        <w:tc>
          <w:tcPr>
            <w:tcW w:w="1380" w:type="dxa"/>
            <w:tcBorders>
              <w:top w:val="nil"/>
              <w:left w:val="nil"/>
              <w:bottom w:val="single" w:sz="8" w:space="0" w:color="auto"/>
              <w:right w:val="single" w:sz="8" w:space="0" w:color="auto"/>
            </w:tcBorders>
            <w:shd w:val="clear" w:color="auto" w:fill="auto"/>
            <w:noWrap/>
            <w:vAlign w:val="center"/>
            <w:hideMark/>
          </w:tcPr>
          <w:p w14:paraId="00A2D6C7" w14:textId="77777777" w:rsidR="00FF139B" w:rsidRPr="00773ECA" w:rsidRDefault="00FF139B" w:rsidP="00D22441">
            <w:pPr>
              <w:jc w:val="right"/>
              <w:rPr>
                <w:rFonts w:cs="Arial"/>
                <w:color w:val="000000"/>
                <w:spacing w:val="0"/>
                <w:sz w:val="16"/>
                <w:szCs w:val="16"/>
                <w:lang w:val="es-MX" w:eastAsia="es-MX"/>
              </w:rPr>
            </w:pPr>
            <w:r w:rsidRPr="00773ECA">
              <w:rPr>
                <w:rFonts w:cs="Arial"/>
                <w:color w:val="000000"/>
                <w:spacing w:val="0"/>
                <w:sz w:val="16"/>
                <w:szCs w:val="16"/>
                <w:lang w:val="es-MX" w:eastAsia="es-MX"/>
              </w:rPr>
              <w:t>$ 38.644.000</w:t>
            </w:r>
          </w:p>
        </w:tc>
      </w:tr>
      <w:tr w:rsidR="00FF139B" w:rsidRPr="00773ECA" w14:paraId="24FEDD5E" w14:textId="77777777" w:rsidTr="00313A48">
        <w:trPr>
          <w:trHeight w:val="430"/>
        </w:trPr>
        <w:tc>
          <w:tcPr>
            <w:tcW w:w="594" w:type="dxa"/>
            <w:tcBorders>
              <w:top w:val="nil"/>
              <w:left w:val="single" w:sz="8" w:space="0" w:color="auto"/>
              <w:bottom w:val="single" w:sz="8" w:space="0" w:color="auto"/>
              <w:right w:val="single" w:sz="8" w:space="0" w:color="auto"/>
            </w:tcBorders>
            <w:shd w:val="clear" w:color="auto" w:fill="auto"/>
            <w:noWrap/>
            <w:vAlign w:val="center"/>
            <w:hideMark/>
          </w:tcPr>
          <w:p w14:paraId="2C7D3F5E" w14:textId="77777777" w:rsidR="00FF139B" w:rsidRPr="00773ECA" w:rsidRDefault="00FF139B" w:rsidP="00D22441">
            <w:pPr>
              <w:jc w:val="center"/>
              <w:rPr>
                <w:rFonts w:cs="Arial"/>
                <w:color w:val="000000"/>
                <w:spacing w:val="0"/>
                <w:sz w:val="16"/>
                <w:szCs w:val="16"/>
                <w:lang w:val="es-MX" w:eastAsia="es-MX"/>
              </w:rPr>
            </w:pPr>
            <w:r w:rsidRPr="00773ECA">
              <w:rPr>
                <w:rFonts w:cs="Arial"/>
                <w:color w:val="000000"/>
                <w:spacing w:val="0"/>
                <w:sz w:val="16"/>
                <w:szCs w:val="16"/>
                <w:lang w:val="en-US" w:eastAsia="es-MX"/>
              </w:rPr>
              <w:t>A</w:t>
            </w:r>
          </w:p>
        </w:tc>
        <w:tc>
          <w:tcPr>
            <w:tcW w:w="560" w:type="dxa"/>
            <w:tcBorders>
              <w:top w:val="nil"/>
              <w:left w:val="nil"/>
              <w:bottom w:val="single" w:sz="8" w:space="0" w:color="auto"/>
              <w:right w:val="single" w:sz="8" w:space="0" w:color="auto"/>
            </w:tcBorders>
            <w:shd w:val="clear" w:color="auto" w:fill="auto"/>
            <w:noWrap/>
            <w:vAlign w:val="center"/>
            <w:hideMark/>
          </w:tcPr>
          <w:p w14:paraId="5BF4D079" w14:textId="77777777" w:rsidR="00FF139B" w:rsidRPr="00773ECA" w:rsidRDefault="00FF139B" w:rsidP="00D22441">
            <w:pPr>
              <w:jc w:val="center"/>
              <w:rPr>
                <w:rFonts w:cs="Arial"/>
                <w:color w:val="000000"/>
                <w:spacing w:val="0"/>
                <w:sz w:val="16"/>
                <w:szCs w:val="16"/>
                <w:lang w:val="es-MX" w:eastAsia="es-MX"/>
              </w:rPr>
            </w:pPr>
            <w:r w:rsidRPr="00773ECA">
              <w:rPr>
                <w:rFonts w:cs="Arial"/>
                <w:color w:val="000000"/>
                <w:spacing w:val="0"/>
                <w:sz w:val="16"/>
                <w:szCs w:val="16"/>
                <w:lang w:val="en-US" w:eastAsia="es-MX"/>
              </w:rPr>
              <w:t>3</w:t>
            </w:r>
          </w:p>
        </w:tc>
        <w:tc>
          <w:tcPr>
            <w:tcW w:w="540" w:type="dxa"/>
            <w:tcBorders>
              <w:top w:val="nil"/>
              <w:left w:val="nil"/>
              <w:bottom w:val="single" w:sz="8" w:space="0" w:color="auto"/>
              <w:right w:val="single" w:sz="8" w:space="0" w:color="auto"/>
            </w:tcBorders>
            <w:shd w:val="clear" w:color="auto" w:fill="auto"/>
            <w:noWrap/>
            <w:vAlign w:val="center"/>
            <w:hideMark/>
          </w:tcPr>
          <w:p w14:paraId="59EEA2E9" w14:textId="77777777" w:rsidR="00FF139B" w:rsidRPr="00773ECA" w:rsidRDefault="00FF139B" w:rsidP="00D22441">
            <w:pPr>
              <w:jc w:val="center"/>
              <w:rPr>
                <w:rFonts w:cs="Arial"/>
                <w:color w:val="000000"/>
                <w:spacing w:val="0"/>
                <w:sz w:val="16"/>
                <w:szCs w:val="16"/>
                <w:lang w:val="es-MX" w:eastAsia="es-MX"/>
              </w:rPr>
            </w:pPr>
            <w:r w:rsidRPr="00773ECA">
              <w:rPr>
                <w:rFonts w:cs="Arial"/>
                <w:color w:val="000000"/>
                <w:spacing w:val="0"/>
                <w:sz w:val="16"/>
                <w:szCs w:val="16"/>
                <w:lang w:val="en-US" w:eastAsia="es-MX"/>
              </w:rPr>
              <w:t>16</w:t>
            </w:r>
          </w:p>
        </w:tc>
        <w:tc>
          <w:tcPr>
            <w:tcW w:w="640" w:type="dxa"/>
            <w:tcBorders>
              <w:top w:val="nil"/>
              <w:left w:val="nil"/>
              <w:bottom w:val="single" w:sz="8" w:space="0" w:color="auto"/>
              <w:right w:val="single" w:sz="8" w:space="0" w:color="auto"/>
            </w:tcBorders>
            <w:shd w:val="clear" w:color="auto" w:fill="auto"/>
            <w:noWrap/>
            <w:vAlign w:val="center"/>
            <w:hideMark/>
          </w:tcPr>
          <w:p w14:paraId="32ECAAD9" w14:textId="77777777" w:rsidR="00FF139B" w:rsidRPr="00773ECA" w:rsidRDefault="00FF139B" w:rsidP="00D22441">
            <w:pPr>
              <w:jc w:val="center"/>
              <w:rPr>
                <w:rFonts w:cs="Arial"/>
                <w:color w:val="000000"/>
                <w:spacing w:val="0"/>
                <w:sz w:val="16"/>
                <w:szCs w:val="16"/>
                <w:lang w:val="es-MX" w:eastAsia="es-MX"/>
              </w:rPr>
            </w:pPr>
            <w:r w:rsidRPr="00773ECA">
              <w:rPr>
                <w:rFonts w:cs="Arial"/>
                <w:color w:val="000000"/>
                <w:spacing w:val="0"/>
                <w:sz w:val="16"/>
                <w:szCs w:val="16"/>
                <w:lang w:val="en-US" w:eastAsia="es-MX"/>
              </w:rPr>
              <w:t>SSF</w:t>
            </w:r>
          </w:p>
        </w:tc>
        <w:tc>
          <w:tcPr>
            <w:tcW w:w="3426" w:type="dxa"/>
            <w:tcBorders>
              <w:top w:val="nil"/>
              <w:left w:val="nil"/>
              <w:bottom w:val="single" w:sz="8" w:space="0" w:color="auto"/>
              <w:right w:val="single" w:sz="8" w:space="0" w:color="auto"/>
            </w:tcBorders>
            <w:shd w:val="clear" w:color="auto" w:fill="auto"/>
            <w:vAlign w:val="center"/>
            <w:hideMark/>
          </w:tcPr>
          <w:p w14:paraId="3C631761" w14:textId="77777777" w:rsidR="00FF139B" w:rsidRPr="00773ECA" w:rsidRDefault="00FF139B" w:rsidP="00D22441">
            <w:pPr>
              <w:jc w:val="left"/>
              <w:rPr>
                <w:rFonts w:cs="Arial"/>
                <w:color w:val="000000"/>
                <w:spacing w:val="0"/>
                <w:sz w:val="16"/>
                <w:szCs w:val="16"/>
                <w:lang w:val="es-MX" w:eastAsia="es-MX"/>
              </w:rPr>
            </w:pPr>
            <w:r w:rsidRPr="00773ECA">
              <w:rPr>
                <w:rFonts w:cs="Arial"/>
                <w:color w:val="000000"/>
                <w:spacing w:val="0"/>
                <w:sz w:val="16"/>
                <w:szCs w:val="16"/>
                <w:lang w:eastAsia="es-MX"/>
              </w:rPr>
              <w:t>INCAPACIDADES Y LICENCIAS DE MATERNIDAD Y PATERNIDAD (NO DE PENSIONES)</w:t>
            </w:r>
          </w:p>
        </w:tc>
        <w:tc>
          <w:tcPr>
            <w:tcW w:w="1400" w:type="dxa"/>
            <w:tcBorders>
              <w:top w:val="nil"/>
              <w:left w:val="nil"/>
              <w:bottom w:val="single" w:sz="8" w:space="0" w:color="auto"/>
              <w:right w:val="single" w:sz="8" w:space="0" w:color="auto"/>
            </w:tcBorders>
            <w:shd w:val="clear" w:color="auto" w:fill="auto"/>
            <w:noWrap/>
            <w:vAlign w:val="center"/>
            <w:hideMark/>
          </w:tcPr>
          <w:p w14:paraId="4084C831" w14:textId="77777777" w:rsidR="00FF139B" w:rsidRPr="00773ECA" w:rsidRDefault="00FF139B" w:rsidP="00D22441">
            <w:pPr>
              <w:jc w:val="right"/>
              <w:rPr>
                <w:rFonts w:cs="Arial"/>
                <w:color w:val="000000"/>
                <w:spacing w:val="0"/>
                <w:sz w:val="16"/>
                <w:szCs w:val="16"/>
                <w:lang w:val="es-MX" w:eastAsia="es-MX"/>
              </w:rPr>
            </w:pPr>
            <w:r w:rsidRPr="00773ECA">
              <w:rPr>
                <w:rFonts w:cs="Arial"/>
                <w:color w:val="000000"/>
                <w:spacing w:val="0"/>
                <w:sz w:val="16"/>
                <w:szCs w:val="16"/>
                <w:lang w:eastAsia="es-MX"/>
              </w:rPr>
              <w:t>$ 59.700.000</w:t>
            </w:r>
          </w:p>
        </w:tc>
        <w:tc>
          <w:tcPr>
            <w:tcW w:w="1580" w:type="dxa"/>
            <w:tcBorders>
              <w:top w:val="nil"/>
              <w:left w:val="nil"/>
              <w:bottom w:val="single" w:sz="8" w:space="0" w:color="auto"/>
              <w:right w:val="single" w:sz="8" w:space="0" w:color="auto"/>
            </w:tcBorders>
            <w:shd w:val="clear" w:color="auto" w:fill="auto"/>
            <w:noWrap/>
            <w:vAlign w:val="center"/>
            <w:hideMark/>
          </w:tcPr>
          <w:p w14:paraId="4100E57B" w14:textId="77777777" w:rsidR="00FF139B" w:rsidRPr="00773ECA" w:rsidRDefault="00FF139B" w:rsidP="00D22441">
            <w:pPr>
              <w:jc w:val="right"/>
              <w:rPr>
                <w:rFonts w:cs="Arial"/>
                <w:color w:val="000000"/>
                <w:spacing w:val="0"/>
                <w:sz w:val="16"/>
                <w:szCs w:val="16"/>
                <w:lang w:val="es-MX" w:eastAsia="es-MX"/>
              </w:rPr>
            </w:pPr>
            <w:r w:rsidRPr="00773ECA">
              <w:rPr>
                <w:rFonts w:cs="Arial"/>
                <w:color w:val="000000"/>
                <w:spacing w:val="0"/>
                <w:sz w:val="16"/>
                <w:szCs w:val="16"/>
                <w:lang w:val="es-MX" w:eastAsia="es-MX"/>
              </w:rPr>
              <w:t>$ 59.700.000</w:t>
            </w:r>
          </w:p>
        </w:tc>
        <w:tc>
          <w:tcPr>
            <w:tcW w:w="1380" w:type="dxa"/>
            <w:tcBorders>
              <w:top w:val="nil"/>
              <w:left w:val="nil"/>
              <w:bottom w:val="single" w:sz="8" w:space="0" w:color="auto"/>
              <w:right w:val="single" w:sz="8" w:space="0" w:color="auto"/>
            </w:tcBorders>
            <w:shd w:val="clear" w:color="auto" w:fill="auto"/>
            <w:noWrap/>
            <w:vAlign w:val="center"/>
            <w:hideMark/>
          </w:tcPr>
          <w:p w14:paraId="5A7065D1" w14:textId="77777777" w:rsidR="00FF139B" w:rsidRPr="00773ECA" w:rsidRDefault="00FF139B" w:rsidP="00D22441">
            <w:pPr>
              <w:jc w:val="right"/>
              <w:rPr>
                <w:rFonts w:cs="Arial"/>
                <w:color w:val="000000"/>
                <w:spacing w:val="0"/>
                <w:sz w:val="16"/>
                <w:szCs w:val="16"/>
                <w:lang w:val="es-MX" w:eastAsia="es-MX"/>
              </w:rPr>
            </w:pPr>
            <w:r w:rsidRPr="00773ECA">
              <w:rPr>
                <w:rFonts w:cs="Arial"/>
                <w:color w:val="000000"/>
                <w:spacing w:val="0"/>
                <w:sz w:val="16"/>
                <w:szCs w:val="16"/>
                <w:lang w:val="es-MX" w:eastAsia="es-MX"/>
              </w:rPr>
              <w:t>$ 0</w:t>
            </w:r>
          </w:p>
        </w:tc>
      </w:tr>
      <w:tr w:rsidR="00FF139B" w:rsidRPr="00773ECA" w14:paraId="6DDC0BC0" w14:textId="77777777" w:rsidTr="00313A48">
        <w:trPr>
          <w:trHeight w:val="248"/>
        </w:trPr>
        <w:tc>
          <w:tcPr>
            <w:tcW w:w="594" w:type="dxa"/>
            <w:tcBorders>
              <w:top w:val="nil"/>
              <w:left w:val="single" w:sz="8" w:space="0" w:color="auto"/>
              <w:bottom w:val="single" w:sz="8" w:space="0" w:color="auto"/>
              <w:right w:val="single" w:sz="8" w:space="0" w:color="auto"/>
            </w:tcBorders>
            <w:shd w:val="clear" w:color="auto" w:fill="auto"/>
            <w:noWrap/>
            <w:vAlign w:val="center"/>
            <w:hideMark/>
          </w:tcPr>
          <w:p w14:paraId="607F1BD7" w14:textId="77777777" w:rsidR="00FF139B" w:rsidRPr="00773ECA" w:rsidRDefault="00FF139B" w:rsidP="00D22441">
            <w:pPr>
              <w:jc w:val="center"/>
              <w:rPr>
                <w:rFonts w:cs="Arial"/>
                <w:color w:val="000000"/>
                <w:spacing w:val="0"/>
                <w:sz w:val="16"/>
                <w:szCs w:val="16"/>
                <w:lang w:val="es-MX" w:eastAsia="es-MX"/>
              </w:rPr>
            </w:pPr>
            <w:r w:rsidRPr="00773ECA">
              <w:rPr>
                <w:rFonts w:cs="Arial"/>
                <w:color w:val="000000"/>
                <w:spacing w:val="0"/>
                <w:sz w:val="16"/>
                <w:szCs w:val="16"/>
                <w:lang w:val="en-US" w:eastAsia="es-MX"/>
              </w:rPr>
              <w:t>A</w:t>
            </w:r>
          </w:p>
        </w:tc>
        <w:tc>
          <w:tcPr>
            <w:tcW w:w="560" w:type="dxa"/>
            <w:tcBorders>
              <w:top w:val="nil"/>
              <w:left w:val="nil"/>
              <w:bottom w:val="single" w:sz="8" w:space="0" w:color="auto"/>
              <w:right w:val="single" w:sz="8" w:space="0" w:color="auto"/>
            </w:tcBorders>
            <w:shd w:val="clear" w:color="auto" w:fill="auto"/>
            <w:noWrap/>
            <w:vAlign w:val="center"/>
            <w:hideMark/>
          </w:tcPr>
          <w:p w14:paraId="075BE5E5" w14:textId="77777777" w:rsidR="00FF139B" w:rsidRPr="00773ECA" w:rsidRDefault="00FF139B" w:rsidP="00D22441">
            <w:pPr>
              <w:jc w:val="center"/>
              <w:rPr>
                <w:rFonts w:cs="Arial"/>
                <w:color w:val="000000"/>
                <w:spacing w:val="0"/>
                <w:sz w:val="16"/>
                <w:szCs w:val="16"/>
                <w:lang w:val="es-MX" w:eastAsia="es-MX"/>
              </w:rPr>
            </w:pPr>
            <w:r w:rsidRPr="00773ECA">
              <w:rPr>
                <w:rFonts w:cs="Arial"/>
                <w:color w:val="000000"/>
                <w:spacing w:val="0"/>
                <w:sz w:val="16"/>
                <w:szCs w:val="16"/>
                <w:lang w:val="en-US" w:eastAsia="es-MX"/>
              </w:rPr>
              <w:t>8</w:t>
            </w:r>
          </w:p>
        </w:tc>
        <w:tc>
          <w:tcPr>
            <w:tcW w:w="540" w:type="dxa"/>
            <w:tcBorders>
              <w:top w:val="nil"/>
              <w:left w:val="nil"/>
              <w:bottom w:val="single" w:sz="8" w:space="0" w:color="auto"/>
              <w:right w:val="single" w:sz="8" w:space="0" w:color="auto"/>
            </w:tcBorders>
            <w:shd w:val="clear" w:color="auto" w:fill="auto"/>
            <w:noWrap/>
            <w:vAlign w:val="center"/>
            <w:hideMark/>
          </w:tcPr>
          <w:p w14:paraId="6B8F2D0C" w14:textId="77777777" w:rsidR="00FF139B" w:rsidRPr="00773ECA" w:rsidRDefault="00FF139B" w:rsidP="00D22441">
            <w:pPr>
              <w:jc w:val="center"/>
              <w:rPr>
                <w:rFonts w:cs="Arial"/>
                <w:color w:val="000000"/>
                <w:spacing w:val="0"/>
                <w:sz w:val="16"/>
                <w:szCs w:val="16"/>
                <w:lang w:val="es-MX" w:eastAsia="es-MX"/>
              </w:rPr>
            </w:pPr>
            <w:r w:rsidRPr="00773ECA">
              <w:rPr>
                <w:rFonts w:cs="Arial"/>
                <w:color w:val="000000"/>
                <w:spacing w:val="0"/>
                <w:sz w:val="16"/>
                <w:szCs w:val="16"/>
                <w:lang w:val="en-US" w:eastAsia="es-MX"/>
              </w:rPr>
              <w:t>10</w:t>
            </w:r>
          </w:p>
        </w:tc>
        <w:tc>
          <w:tcPr>
            <w:tcW w:w="640" w:type="dxa"/>
            <w:tcBorders>
              <w:top w:val="nil"/>
              <w:left w:val="nil"/>
              <w:bottom w:val="single" w:sz="8" w:space="0" w:color="auto"/>
              <w:right w:val="single" w:sz="8" w:space="0" w:color="auto"/>
            </w:tcBorders>
            <w:shd w:val="clear" w:color="auto" w:fill="auto"/>
            <w:noWrap/>
            <w:vAlign w:val="center"/>
            <w:hideMark/>
          </w:tcPr>
          <w:p w14:paraId="6EC021AA" w14:textId="77777777" w:rsidR="00FF139B" w:rsidRPr="00773ECA" w:rsidRDefault="00FF139B" w:rsidP="00D22441">
            <w:pPr>
              <w:jc w:val="center"/>
              <w:rPr>
                <w:rFonts w:cs="Arial"/>
                <w:color w:val="000000"/>
                <w:spacing w:val="0"/>
                <w:sz w:val="16"/>
                <w:szCs w:val="16"/>
                <w:lang w:val="es-MX" w:eastAsia="es-MX"/>
              </w:rPr>
            </w:pPr>
            <w:r w:rsidRPr="00773ECA">
              <w:rPr>
                <w:rFonts w:cs="Arial"/>
                <w:color w:val="000000"/>
                <w:spacing w:val="0"/>
                <w:sz w:val="16"/>
                <w:szCs w:val="16"/>
                <w:lang w:val="en-US" w:eastAsia="es-MX"/>
              </w:rPr>
              <w:t>CSF</w:t>
            </w:r>
          </w:p>
        </w:tc>
        <w:tc>
          <w:tcPr>
            <w:tcW w:w="3426" w:type="dxa"/>
            <w:tcBorders>
              <w:top w:val="nil"/>
              <w:left w:val="nil"/>
              <w:bottom w:val="single" w:sz="8" w:space="0" w:color="auto"/>
              <w:right w:val="single" w:sz="8" w:space="0" w:color="auto"/>
            </w:tcBorders>
            <w:shd w:val="clear" w:color="auto" w:fill="auto"/>
            <w:vAlign w:val="center"/>
            <w:hideMark/>
          </w:tcPr>
          <w:p w14:paraId="5BD85DC8" w14:textId="77777777" w:rsidR="00FF139B" w:rsidRPr="00773ECA" w:rsidRDefault="00FF139B" w:rsidP="00D22441">
            <w:pPr>
              <w:jc w:val="left"/>
              <w:rPr>
                <w:rFonts w:cs="Arial"/>
                <w:color w:val="000000"/>
                <w:spacing w:val="0"/>
                <w:sz w:val="16"/>
                <w:szCs w:val="16"/>
                <w:lang w:val="es-MX" w:eastAsia="es-MX"/>
              </w:rPr>
            </w:pPr>
            <w:r w:rsidRPr="00773ECA">
              <w:rPr>
                <w:rFonts w:cs="Arial"/>
                <w:color w:val="000000"/>
                <w:spacing w:val="0"/>
                <w:sz w:val="16"/>
                <w:szCs w:val="16"/>
                <w:lang w:val="en-US" w:eastAsia="es-MX"/>
              </w:rPr>
              <w:t>IMPUESTOS</w:t>
            </w:r>
          </w:p>
        </w:tc>
        <w:tc>
          <w:tcPr>
            <w:tcW w:w="1400" w:type="dxa"/>
            <w:tcBorders>
              <w:top w:val="nil"/>
              <w:left w:val="nil"/>
              <w:bottom w:val="single" w:sz="8" w:space="0" w:color="auto"/>
              <w:right w:val="single" w:sz="8" w:space="0" w:color="auto"/>
            </w:tcBorders>
            <w:shd w:val="clear" w:color="auto" w:fill="auto"/>
            <w:noWrap/>
            <w:vAlign w:val="center"/>
            <w:hideMark/>
          </w:tcPr>
          <w:p w14:paraId="1692B892" w14:textId="77777777" w:rsidR="00FF139B" w:rsidRPr="00773ECA" w:rsidRDefault="00FF139B" w:rsidP="00D22441">
            <w:pPr>
              <w:jc w:val="right"/>
              <w:rPr>
                <w:rFonts w:cs="Arial"/>
                <w:color w:val="000000"/>
                <w:spacing w:val="0"/>
                <w:sz w:val="16"/>
                <w:szCs w:val="16"/>
                <w:lang w:val="es-MX" w:eastAsia="es-MX"/>
              </w:rPr>
            </w:pPr>
            <w:r w:rsidRPr="00773ECA">
              <w:rPr>
                <w:rFonts w:cs="Arial"/>
                <w:color w:val="000000"/>
                <w:spacing w:val="0"/>
                <w:sz w:val="16"/>
                <w:szCs w:val="16"/>
                <w:lang w:val="en-US" w:eastAsia="es-MX"/>
              </w:rPr>
              <w:t>$ 0</w:t>
            </w:r>
          </w:p>
        </w:tc>
        <w:tc>
          <w:tcPr>
            <w:tcW w:w="1580" w:type="dxa"/>
            <w:tcBorders>
              <w:top w:val="nil"/>
              <w:left w:val="nil"/>
              <w:bottom w:val="single" w:sz="8" w:space="0" w:color="auto"/>
              <w:right w:val="single" w:sz="8" w:space="0" w:color="auto"/>
            </w:tcBorders>
            <w:shd w:val="clear" w:color="auto" w:fill="auto"/>
            <w:noWrap/>
            <w:vAlign w:val="center"/>
            <w:hideMark/>
          </w:tcPr>
          <w:p w14:paraId="15BF76A2" w14:textId="77777777" w:rsidR="00FF139B" w:rsidRPr="00773ECA" w:rsidRDefault="00FF139B" w:rsidP="00D22441">
            <w:pPr>
              <w:jc w:val="right"/>
              <w:rPr>
                <w:rFonts w:cs="Arial"/>
                <w:color w:val="000000"/>
                <w:spacing w:val="0"/>
                <w:sz w:val="16"/>
                <w:szCs w:val="16"/>
                <w:lang w:val="es-MX" w:eastAsia="es-MX"/>
              </w:rPr>
            </w:pPr>
            <w:r w:rsidRPr="00773ECA">
              <w:rPr>
                <w:rFonts w:cs="Arial"/>
                <w:color w:val="000000"/>
                <w:spacing w:val="0"/>
                <w:sz w:val="16"/>
                <w:szCs w:val="16"/>
                <w:lang w:val="es-MX" w:eastAsia="es-MX"/>
              </w:rPr>
              <w:t>$ 0</w:t>
            </w:r>
          </w:p>
        </w:tc>
        <w:tc>
          <w:tcPr>
            <w:tcW w:w="1380" w:type="dxa"/>
            <w:tcBorders>
              <w:top w:val="nil"/>
              <w:left w:val="nil"/>
              <w:bottom w:val="single" w:sz="8" w:space="0" w:color="auto"/>
              <w:right w:val="single" w:sz="8" w:space="0" w:color="auto"/>
            </w:tcBorders>
            <w:shd w:val="clear" w:color="auto" w:fill="auto"/>
            <w:noWrap/>
            <w:vAlign w:val="center"/>
            <w:hideMark/>
          </w:tcPr>
          <w:p w14:paraId="6D36E42A" w14:textId="77777777" w:rsidR="00FF139B" w:rsidRPr="00773ECA" w:rsidRDefault="00FF139B" w:rsidP="00D22441">
            <w:pPr>
              <w:jc w:val="right"/>
              <w:rPr>
                <w:rFonts w:cs="Arial"/>
                <w:color w:val="000000"/>
                <w:spacing w:val="0"/>
                <w:sz w:val="16"/>
                <w:szCs w:val="16"/>
                <w:lang w:val="es-MX" w:eastAsia="es-MX"/>
              </w:rPr>
            </w:pPr>
            <w:r w:rsidRPr="00773ECA">
              <w:rPr>
                <w:rFonts w:cs="Arial"/>
                <w:color w:val="000000"/>
                <w:spacing w:val="0"/>
                <w:sz w:val="16"/>
                <w:szCs w:val="16"/>
                <w:lang w:val="es-MX" w:eastAsia="es-MX"/>
              </w:rPr>
              <w:t>$ 0</w:t>
            </w:r>
          </w:p>
        </w:tc>
      </w:tr>
      <w:tr w:rsidR="00FF139B" w:rsidRPr="00773ECA" w14:paraId="321A5D2F" w14:textId="77777777" w:rsidTr="00313A48">
        <w:trPr>
          <w:trHeight w:val="265"/>
        </w:trPr>
        <w:tc>
          <w:tcPr>
            <w:tcW w:w="594" w:type="dxa"/>
            <w:tcBorders>
              <w:top w:val="nil"/>
              <w:left w:val="single" w:sz="8" w:space="0" w:color="auto"/>
              <w:bottom w:val="single" w:sz="8" w:space="0" w:color="auto"/>
              <w:right w:val="single" w:sz="8" w:space="0" w:color="auto"/>
            </w:tcBorders>
            <w:shd w:val="clear" w:color="auto" w:fill="auto"/>
            <w:noWrap/>
            <w:vAlign w:val="center"/>
            <w:hideMark/>
          </w:tcPr>
          <w:p w14:paraId="2DBBC58E" w14:textId="77777777" w:rsidR="00FF139B" w:rsidRPr="00773ECA" w:rsidRDefault="00FF139B" w:rsidP="00D22441">
            <w:pPr>
              <w:jc w:val="center"/>
              <w:rPr>
                <w:rFonts w:cs="Arial"/>
                <w:color w:val="000000"/>
                <w:spacing w:val="0"/>
                <w:sz w:val="16"/>
                <w:szCs w:val="16"/>
                <w:lang w:val="es-MX" w:eastAsia="es-MX"/>
              </w:rPr>
            </w:pPr>
            <w:r w:rsidRPr="00773ECA">
              <w:rPr>
                <w:rFonts w:cs="Arial"/>
                <w:color w:val="000000"/>
                <w:spacing w:val="0"/>
                <w:sz w:val="16"/>
                <w:szCs w:val="16"/>
                <w:lang w:val="en-US" w:eastAsia="es-MX"/>
              </w:rPr>
              <w:t>A</w:t>
            </w:r>
          </w:p>
        </w:tc>
        <w:tc>
          <w:tcPr>
            <w:tcW w:w="560" w:type="dxa"/>
            <w:tcBorders>
              <w:top w:val="nil"/>
              <w:left w:val="nil"/>
              <w:bottom w:val="single" w:sz="8" w:space="0" w:color="auto"/>
              <w:right w:val="single" w:sz="8" w:space="0" w:color="auto"/>
            </w:tcBorders>
            <w:shd w:val="clear" w:color="auto" w:fill="auto"/>
            <w:noWrap/>
            <w:vAlign w:val="center"/>
            <w:hideMark/>
          </w:tcPr>
          <w:p w14:paraId="1796955B" w14:textId="77777777" w:rsidR="00FF139B" w:rsidRPr="00773ECA" w:rsidRDefault="00FF139B" w:rsidP="00D22441">
            <w:pPr>
              <w:jc w:val="center"/>
              <w:rPr>
                <w:rFonts w:cs="Arial"/>
                <w:color w:val="000000"/>
                <w:spacing w:val="0"/>
                <w:sz w:val="16"/>
                <w:szCs w:val="16"/>
                <w:lang w:val="es-MX" w:eastAsia="es-MX"/>
              </w:rPr>
            </w:pPr>
            <w:r w:rsidRPr="00773ECA">
              <w:rPr>
                <w:rFonts w:cs="Arial"/>
                <w:color w:val="000000"/>
                <w:spacing w:val="0"/>
                <w:sz w:val="16"/>
                <w:szCs w:val="16"/>
                <w:lang w:val="en-US" w:eastAsia="es-MX"/>
              </w:rPr>
              <w:t>8</w:t>
            </w:r>
          </w:p>
        </w:tc>
        <w:tc>
          <w:tcPr>
            <w:tcW w:w="540" w:type="dxa"/>
            <w:tcBorders>
              <w:top w:val="nil"/>
              <w:left w:val="nil"/>
              <w:bottom w:val="single" w:sz="8" w:space="0" w:color="auto"/>
              <w:right w:val="single" w:sz="8" w:space="0" w:color="auto"/>
            </w:tcBorders>
            <w:shd w:val="clear" w:color="auto" w:fill="auto"/>
            <w:noWrap/>
            <w:vAlign w:val="center"/>
            <w:hideMark/>
          </w:tcPr>
          <w:p w14:paraId="06EC8374" w14:textId="77777777" w:rsidR="00FF139B" w:rsidRPr="00773ECA" w:rsidRDefault="00FF139B" w:rsidP="00D22441">
            <w:pPr>
              <w:jc w:val="center"/>
              <w:rPr>
                <w:rFonts w:cs="Arial"/>
                <w:color w:val="000000"/>
                <w:spacing w:val="0"/>
                <w:sz w:val="16"/>
                <w:szCs w:val="16"/>
                <w:lang w:val="es-MX" w:eastAsia="es-MX"/>
              </w:rPr>
            </w:pPr>
            <w:r w:rsidRPr="00773ECA">
              <w:rPr>
                <w:rFonts w:cs="Arial"/>
                <w:color w:val="000000"/>
                <w:spacing w:val="0"/>
                <w:sz w:val="16"/>
                <w:szCs w:val="16"/>
                <w:lang w:val="en-US" w:eastAsia="es-MX"/>
              </w:rPr>
              <w:t>16</w:t>
            </w:r>
          </w:p>
        </w:tc>
        <w:tc>
          <w:tcPr>
            <w:tcW w:w="640" w:type="dxa"/>
            <w:tcBorders>
              <w:top w:val="nil"/>
              <w:left w:val="nil"/>
              <w:bottom w:val="single" w:sz="8" w:space="0" w:color="auto"/>
              <w:right w:val="single" w:sz="8" w:space="0" w:color="auto"/>
            </w:tcBorders>
            <w:shd w:val="clear" w:color="auto" w:fill="auto"/>
            <w:noWrap/>
            <w:vAlign w:val="center"/>
            <w:hideMark/>
          </w:tcPr>
          <w:p w14:paraId="3A7B9FE1" w14:textId="77777777" w:rsidR="00FF139B" w:rsidRPr="00773ECA" w:rsidRDefault="00FF139B" w:rsidP="00D22441">
            <w:pPr>
              <w:jc w:val="center"/>
              <w:rPr>
                <w:rFonts w:cs="Arial"/>
                <w:color w:val="000000"/>
                <w:spacing w:val="0"/>
                <w:sz w:val="16"/>
                <w:szCs w:val="16"/>
                <w:lang w:val="es-MX" w:eastAsia="es-MX"/>
              </w:rPr>
            </w:pPr>
            <w:r w:rsidRPr="00773ECA">
              <w:rPr>
                <w:rFonts w:cs="Arial"/>
                <w:color w:val="000000"/>
                <w:spacing w:val="0"/>
                <w:sz w:val="16"/>
                <w:szCs w:val="16"/>
                <w:lang w:val="en-US" w:eastAsia="es-MX"/>
              </w:rPr>
              <w:t>SSF</w:t>
            </w:r>
          </w:p>
        </w:tc>
        <w:tc>
          <w:tcPr>
            <w:tcW w:w="3426" w:type="dxa"/>
            <w:tcBorders>
              <w:top w:val="nil"/>
              <w:left w:val="nil"/>
              <w:bottom w:val="single" w:sz="8" w:space="0" w:color="auto"/>
              <w:right w:val="single" w:sz="8" w:space="0" w:color="auto"/>
            </w:tcBorders>
            <w:shd w:val="clear" w:color="auto" w:fill="auto"/>
            <w:vAlign w:val="center"/>
            <w:hideMark/>
          </w:tcPr>
          <w:p w14:paraId="33B1510F" w14:textId="77777777" w:rsidR="00FF139B" w:rsidRPr="00773ECA" w:rsidRDefault="00FF139B" w:rsidP="00D22441">
            <w:pPr>
              <w:jc w:val="left"/>
              <w:rPr>
                <w:rFonts w:cs="Arial"/>
                <w:color w:val="000000"/>
                <w:spacing w:val="0"/>
                <w:sz w:val="16"/>
                <w:szCs w:val="16"/>
                <w:lang w:val="es-MX" w:eastAsia="es-MX"/>
              </w:rPr>
            </w:pPr>
            <w:r w:rsidRPr="00773ECA">
              <w:rPr>
                <w:rFonts w:cs="Arial"/>
                <w:color w:val="000000"/>
                <w:spacing w:val="0"/>
                <w:sz w:val="16"/>
                <w:szCs w:val="16"/>
                <w:lang w:val="en-US" w:eastAsia="es-MX"/>
              </w:rPr>
              <w:t>IMPUESTOS</w:t>
            </w:r>
          </w:p>
        </w:tc>
        <w:tc>
          <w:tcPr>
            <w:tcW w:w="1400" w:type="dxa"/>
            <w:tcBorders>
              <w:top w:val="nil"/>
              <w:left w:val="nil"/>
              <w:bottom w:val="single" w:sz="8" w:space="0" w:color="auto"/>
              <w:right w:val="single" w:sz="8" w:space="0" w:color="auto"/>
            </w:tcBorders>
            <w:shd w:val="clear" w:color="auto" w:fill="auto"/>
            <w:noWrap/>
            <w:vAlign w:val="center"/>
            <w:hideMark/>
          </w:tcPr>
          <w:p w14:paraId="347F6984" w14:textId="77777777" w:rsidR="00FF139B" w:rsidRPr="00773ECA" w:rsidRDefault="00FF139B" w:rsidP="00D22441">
            <w:pPr>
              <w:jc w:val="right"/>
              <w:rPr>
                <w:rFonts w:cs="Arial"/>
                <w:color w:val="000000"/>
                <w:spacing w:val="0"/>
                <w:sz w:val="16"/>
                <w:szCs w:val="16"/>
                <w:lang w:val="es-MX" w:eastAsia="es-MX"/>
              </w:rPr>
            </w:pPr>
            <w:r w:rsidRPr="00773ECA">
              <w:rPr>
                <w:rFonts w:cs="Arial"/>
                <w:color w:val="000000"/>
                <w:spacing w:val="0"/>
                <w:sz w:val="16"/>
                <w:szCs w:val="16"/>
                <w:lang w:val="en-US" w:eastAsia="es-MX"/>
              </w:rPr>
              <w:t>$ 89.663.000</w:t>
            </w:r>
          </w:p>
        </w:tc>
        <w:tc>
          <w:tcPr>
            <w:tcW w:w="1580" w:type="dxa"/>
            <w:tcBorders>
              <w:top w:val="nil"/>
              <w:left w:val="nil"/>
              <w:bottom w:val="single" w:sz="8" w:space="0" w:color="auto"/>
              <w:right w:val="single" w:sz="8" w:space="0" w:color="auto"/>
            </w:tcBorders>
            <w:shd w:val="clear" w:color="auto" w:fill="auto"/>
            <w:noWrap/>
            <w:vAlign w:val="center"/>
            <w:hideMark/>
          </w:tcPr>
          <w:p w14:paraId="16FFC838" w14:textId="77777777" w:rsidR="00FF139B" w:rsidRPr="00773ECA" w:rsidRDefault="00FF139B" w:rsidP="00D22441">
            <w:pPr>
              <w:jc w:val="right"/>
              <w:rPr>
                <w:rFonts w:cs="Arial"/>
                <w:color w:val="000000"/>
                <w:spacing w:val="0"/>
                <w:sz w:val="16"/>
                <w:szCs w:val="16"/>
                <w:lang w:val="es-MX" w:eastAsia="es-MX"/>
              </w:rPr>
            </w:pPr>
            <w:r w:rsidRPr="00773ECA">
              <w:rPr>
                <w:rFonts w:cs="Arial"/>
                <w:color w:val="000000"/>
                <w:spacing w:val="0"/>
                <w:sz w:val="16"/>
                <w:szCs w:val="16"/>
                <w:lang w:val="es-MX" w:eastAsia="es-MX"/>
              </w:rPr>
              <w:t>$ 89.663.000</w:t>
            </w:r>
          </w:p>
        </w:tc>
        <w:tc>
          <w:tcPr>
            <w:tcW w:w="1380" w:type="dxa"/>
            <w:tcBorders>
              <w:top w:val="nil"/>
              <w:left w:val="nil"/>
              <w:bottom w:val="single" w:sz="8" w:space="0" w:color="auto"/>
              <w:right w:val="single" w:sz="8" w:space="0" w:color="auto"/>
            </w:tcBorders>
            <w:shd w:val="clear" w:color="auto" w:fill="auto"/>
            <w:noWrap/>
            <w:vAlign w:val="center"/>
            <w:hideMark/>
          </w:tcPr>
          <w:p w14:paraId="6DB0C8F5" w14:textId="77777777" w:rsidR="00FF139B" w:rsidRPr="00773ECA" w:rsidRDefault="00FF139B" w:rsidP="00D22441">
            <w:pPr>
              <w:jc w:val="right"/>
              <w:rPr>
                <w:rFonts w:cs="Arial"/>
                <w:color w:val="000000"/>
                <w:spacing w:val="0"/>
                <w:sz w:val="16"/>
                <w:szCs w:val="16"/>
                <w:lang w:val="es-MX" w:eastAsia="es-MX"/>
              </w:rPr>
            </w:pPr>
            <w:r w:rsidRPr="00773ECA">
              <w:rPr>
                <w:rFonts w:cs="Arial"/>
                <w:color w:val="000000"/>
                <w:spacing w:val="0"/>
                <w:sz w:val="16"/>
                <w:szCs w:val="16"/>
                <w:lang w:val="es-MX" w:eastAsia="es-MX"/>
              </w:rPr>
              <w:t>$ 0</w:t>
            </w:r>
          </w:p>
        </w:tc>
      </w:tr>
      <w:tr w:rsidR="00FF139B" w:rsidRPr="00773ECA" w14:paraId="515EB8B8" w14:textId="77777777" w:rsidTr="00313A48">
        <w:trPr>
          <w:trHeight w:val="300"/>
        </w:trPr>
        <w:tc>
          <w:tcPr>
            <w:tcW w:w="594" w:type="dxa"/>
            <w:tcBorders>
              <w:top w:val="nil"/>
              <w:left w:val="single" w:sz="8" w:space="0" w:color="auto"/>
              <w:bottom w:val="single" w:sz="8" w:space="0" w:color="auto"/>
              <w:right w:val="single" w:sz="8" w:space="0" w:color="auto"/>
            </w:tcBorders>
            <w:shd w:val="clear" w:color="auto" w:fill="auto"/>
            <w:noWrap/>
            <w:vAlign w:val="center"/>
            <w:hideMark/>
          </w:tcPr>
          <w:p w14:paraId="3875A96B" w14:textId="77777777" w:rsidR="00FF139B" w:rsidRPr="00773ECA" w:rsidRDefault="00FF139B" w:rsidP="00D22441">
            <w:pPr>
              <w:jc w:val="center"/>
              <w:rPr>
                <w:rFonts w:cs="Arial"/>
                <w:color w:val="000000"/>
                <w:spacing w:val="0"/>
                <w:sz w:val="16"/>
                <w:szCs w:val="16"/>
                <w:lang w:val="es-MX" w:eastAsia="es-MX"/>
              </w:rPr>
            </w:pPr>
            <w:r w:rsidRPr="00773ECA">
              <w:rPr>
                <w:rFonts w:cs="Arial"/>
                <w:color w:val="000000"/>
                <w:spacing w:val="0"/>
                <w:sz w:val="16"/>
                <w:szCs w:val="16"/>
                <w:lang w:val="en-US" w:eastAsia="es-MX"/>
              </w:rPr>
              <w:t>A</w:t>
            </w:r>
          </w:p>
        </w:tc>
        <w:tc>
          <w:tcPr>
            <w:tcW w:w="560" w:type="dxa"/>
            <w:tcBorders>
              <w:top w:val="nil"/>
              <w:left w:val="nil"/>
              <w:bottom w:val="single" w:sz="8" w:space="0" w:color="auto"/>
              <w:right w:val="single" w:sz="8" w:space="0" w:color="auto"/>
            </w:tcBorders>
            <w:shd w:val="clear" w:color="auto" w:fill="auto"/>
            <w:noWrap/>
            <w:vAlign w:val="center"/>
            <w:hideMark/>
          </w:tcPr>
          <w:p w14:paraId="14F14371" w14:textId="77777777" w:rsidR="00FF139B" w:rsidRPr="00773ECA" w:rsidRDefault="00FF139B" w:rsidP="00D22441">
            <w:pPr>
              <w:jc w:val="center"/>
              <w:rPr>
                <w:rFonts w:cs="Arial"/>
                <w:color w:val="000000"/>
                <w:spacing w:val="0"/>
                <w:sz w:val="16"/>
                <w:szCs w:val="16"/>
                <w:lang w:val="es-MX" w:eastAsia="es-MX"/>
              </w:rPr>
            </w:pPr>
            <w:r w:rsidRPr="00773ECA">
              <w:rPr>
                <w:rFonts w:cs="Arial"/>
                <w:color w:val="000000"/>
                <w:spacing w:val="0"/>
                <w:sz w:val="16"/>
                <w:szCs w:val="16"/>
                <w:lang w:val="en-US" w:eastAsia="es-MX"/>
              </w:rPr>
              <w:t>8</w:t>
            </w:r>
          </w:p>
        </w:tc>
        <w:tc>
          <w:tcPr>
            <w:tcW w:w="540" w:type="dxa"/>
            <w:tcBorders>
              <w:top w:val="nil"/>
              <w:left w:val="nil"/>
              <w:bottom w:val="single" w:sz="8" w:space="0" w:color="auto"/>
              <w:right w:val="single" w:sz="8" w:space="0" w:color="auto"/>
            </w:tcBorders>
            <w:shd w:val="clear" w:color="auto" w:fill="auto"/>
            <w:noWrap/>
            <w:vAlign w:val="center"/>
            <w:hideMark/>
          </w:tcPr>
          <w:p w14:paraId="06B50A2A" w14:textId="77777777" w:rsidR="00FF139B" w:rsidRPr="00773ECA" w:rsidRDefault="00FF139B" w:rsidP="00D22441">
            <w:pPr>
              <w:jc w:val="center"/>
              <w:rPr>
                <w:rFonts w:cs="Arial"/>
                <w:color w:val="000000"/>
                <w:spacing w:val="0"/>
                <w:sz w:val="16"/>
                <w:szCs w:val="16"/>
                <w:lang w:val="es-MX" w:eastAsia="es-MX"/>
              </w:rPr>
            </w:pPr>
            <w:r w:rsidRPr="00773ECA">
              <w:rPr>
                <w:rFonts w:cs="Arial"/>
                <w:color w:val="000000"/>
                <w:spacing w:val="0"/>
                <w:sz w:val="16"/>
                <w:szCs w:val="16"/>
                <w:lang w:val="en-US" w:eastAsia="es-MX"/>
              </w:rPr>
              <w:t>16</w:t>
            </w:r>
          </w:p>
        </w:tc>
        <w:tc>
          <w:tcPr>
            <w:tcW w:w="640" w:type="dxa"/>
            <w:tcBorders>
              <w:top w:val="nil"/>
              <w:left w:val="nil"/>
              <w:bottom w:val="single" w:sz="8" w:space="0" w:color="auto"/>
              <w:right w:val="single" w:sz="8" w:space="0" w:color="auto"/>
            </w:tcBorders>
            <w:shd w:val="clear" w:color="auto" w:fill="auto"/>
            <w:noWrap/>
            <w:vAlign w:val="center"/>
            <w:hideMark/>
          </w:tcPr>
          <w:p w14:paraId="6A53A501" w14:textId="77777777" w:rsidR="00FF139B" w:rsidRPr="00773ECA" w:rsidRDefault="00FF139B" w:rsidP="00D22441">
            <w:pPr>
              <w:jc w:val="center"/>
              <w:rPr>
                <w:rFonts w:cs="Arial"/>
                <w:color w:val="000000"/>
                <w:spacing w:val="0"/>
                <w:sz w:val="16"/>
                <w:szCs w:val="16"/>
                <w:lang w:val="es-MX" w:eastAsia="es-MX"/>
              </w:rPr>
            </w:pPr>
            <w:r w:rsidRPr="00773ECA">
              <w:rPr>
                <w:rFonts w:cs="Arial"/>
                <w:color w:val="000000"/>
                <w:spacing w:val="0"/>
                <w:sz w:val="16"/>
                <w:szCs w:val="16"/>
                <w:lang w:val="en-US" w:eastAsia="es-MX"/>
              </w:rPr>
              <w:t>SSF</w:t>
            </w:r>
          </w:p>
        </w:tc>
        <w:tc>
          <w:tcPr>
            <w:tcW w:w="3426" w:type="dxa"/>
            <w:tcBorders>
              <w:top w:val="nil"/>
              <w:left w:val="nil"/>
              <w:bottom w:val="single" w:sz="8" w:space="0" w:color="auto"/>
              <w:right w:val="single" w:sz="8" w:space="0" w:color="auto"/>
            </w:tcBorders>
            <w:shd w:val="clear" w:color="auto" w:fill="auto"/>
            <w:vAlign w:val="center"/>
            <w:hideMark/>
          </w:tcPr>
          <w:p w14:paraId="25EDF699" w14:textId="77777777" w:rsidR="00FF139B" w:rsidRPr="00773ECA" w:rsidRDefault="00FF139B" w:rsidP="00D22441">
            <w:pPr>
              <w:jc w:val="left"/>
              <w:rPr>
                <w:rFonts w:cs="Arial"/>
                <w:color w:val="000000"/>
                <w:spacing w:val="0"/>
                <w:sz w:val="16"/>
                <w:szCs w:val="16"/>
                <w:lang w:val="es-MX" w:eastAsia="es-MX"/>
              </w:rPr>
            </w:pPr>
            <w:r w:rsidRPr="00773ECA">
              <w:rPr>
                <w:rFonts w:cs="Arial"/>
                <w:color w:val="000000"/>
                <w:spacing w:val="0"/>
                <w:sz w:val="16"/>
                <w:szCs w:val="16"/>
                <w:lang w:eastAsia="es-MX"/>
              </w:rPr>
              <w:t>CUOTA DE FISCALIZACIÓN Y AUDITAJE</w:t>
            </w:r>
          </w:p>
        </w:tc>
        <w:tc>
          <w:tcPr>
            <w:tcW w:w="1400" w:type="dxa"/>
            <w:tcBorders>
              <w:top w:val="nil"/>
              <w:left w:val="nil"/>
              <w:bottom w:val="single" w:sz="8" w:space="0" w:color="auto"/>
              <w:right w:val="single" w:sz="8" w:space="0" w:color="auto"/>
            </w:tcBorders>
            <w:shd w:val="clear" w:color="auto" w:fill="auto"/>
            <w:noWrap/>
            <w:vAlign w:val="center"/>
            <w:hideMark/>
          </w:tcPr>
          <w:p w14:paraId="351A2041" w14:textId="77777777" w:rsidR="00FF139B" w:rsidRPr="00773ECA" w:rsidRDefault="00FF139B" w:rsidP="00D22441">
            <w:pPr>
              <w:jc w:val="right"/>
              <w:rPr>
                <w:rFonts w:cs="Arial"/>
                <w:color w:val="000000"/>
                <w:spacing w:val="0"/>
                <w:sz w:val="16"/>
                <w:szCs w:val="16"/>
                <w:lang w:val="es-MX" w:eastAsia="es-MX"/>
              </w:rPr>
            </w:pPr>
            <w:r w:rsidRPr="00773ECA">
              <w:rPr>
                <w:rFonts w:cs="Arial"/>
                <w:color w:val="000000"/>
                <w:spacing w:val="0"/>
                <w:sz w:val="16"/>
                <w:szCs w:val="16"/>
                <w:lang w:eastAsia="es-MX"/>
              </w:rPr>
              <w:t>$ 105.300.000</w:t>
            </w:r>
          </w:p>
        </w:tc>
        <w:tc>
          <w:tcPr>
            <w:tcW w:w="1580" w:type="dxa"/>
            <w:tcBorders>
              <w:top w:val="nil"/>
              <w:left w:val="nil"/>
              <w:bottom w:val="single" w:sz="8" w:space="0" w:color="auto"/>
              <w:right w:val="single" w:sz="8" w:space="0" w:color="auto"/>
            </w:tcBorders>
            <w:shd w:val="clear" w:color="auto" w:fill="auto"/>
            <w:noWrap/>
            <w:vAlign w:val="center"/>
            <w:hideMark/>
          </w:tcPr>
          <w:p w14:paraId="46541AD4" w14:textId="77777777" w:rsidR="00FF139B" w:rsidRPr="00773ECA" w:rsidRDefault="00FF139B" w:rsidP="00D22441">
            <w:pPr>
              <w:jc w:val="right"/>
              <w:rPr>
                <w:rFonts w:cs="Arial"/>
                <w:color w:val="000000"/>
                <w:spacing w:val="0"/>
                <w:sz w:val="16"/>
                <w:szCs w:val="16"/>
                <w:lang w:val="es-MX" w:eastAsia="es-MX"/>
              </w:rPr>
            </w:pPr>
            <w:r w:rsidRPr="00773ECA">
              <w:rPr>
                <w:rFonts w:cs="Arial"/>
                <w:color w:val="000000"/>
                <w:spacing w:val="0"/>
                <w:sz w:val="16"/>
                <w:szCs w:val="16"/>
                <w:lang w:val="es-MX" w:eastAsia="es-MX"/>
              </w:rPr>
              <w:t>$ 105.300.000</w:t>
            </w:r>
          </w:p>
        </w:tc>
        <w:tc>
          <w:tcPr>
            <w:tcW w:w="1380" w:type="dxa"/>
            <w:tcBorders>
              <w:top w:val="nil"/>
              <w:left w:val="nil"/>
              <w:bottom w:val="single" w:sz="8" w:space="0" w:color="auto"/>
              <w:right w:val="single" w:sz="8" w:space="0" w:color="auto"/>
            </w:tcBorders>
            <w:shd w:val="clear" w:color="auto" w:fill="auto"/>
            <w:noWrap/>
            <w:vAlign w:val="center"/>
            <w:hideMark/>
          </w:tcPr>
          <w:p w14:paraId="23962038" w14:textId="77777777" w:rsidR="00FF139B" w:rsidRPr="00773ECA" w:rsidRDefault="00FF139B" w:rsidP="00D22441">
            <w:pPr>
              <w:jc w:val="right"/>
              <w:rPr>
                <w:rFonts w:cs="Arial"/>
                <w:color w:val="000000"/>
                <w:spacing w:val="0"/>
                <w:sz w:val="16"/>
                <w:szCs w:val="16"/>
                <w:lang w:val="es-MX" w:eastAsia="es-MX"/>
              </w:rPr>
            </w:pPr>
            <w:r w:rsidRPr="00773ECA">
              <w:rPr>
                <w:rFonts w:cs="Arial"/>
                <w:color w:val="000000"/>
                <w:spacing w:val="0"/>
                <w:sz w:val="16"/>
                <w:szCs w:val="16"/>
                <w:lang w:val="es-MX" w:eastAsia="es-MX"/>
              </w:rPr>
              <w:t>$ 0</w:t>
            </w:r>
          </w:p>
        </w:tc>
      </w:tr>
      <w:tr w:rsidR="00FF139B" w:rsidRPr="00773ECA" w14:paraId="30837D7B" w14:textId="77777777" w:rsidTr="00313A48">
        <w:trPr>
          <w:trHeight w:val="300"/>
        </w:trPr>
        <w:tc>
          <w:tcPr>
            <w:tcW w:w="594" w:type="dxa"/>
            <w:tcBorders>
              <w:top w:val="nil"/>
              <w:left w:val="single" w:sz="8" w:space="0" w:color="FFFFFF"/>
              <w:bottom w:val="single" w:sz="8" w:space="0" w:color="FFFFFF"/>
              <w:right w:val="single" w:sz="8" w:space="0" w:color="FFFFFF"/>
            </w:tcBorders>
            <w:shd w:val="clear" w:color="000000" w:fill="2F75B5"/>
            <w:noWrap/>
            <w:vAlign w:val="center"/>
            <w:hideMark/>
          </w:tcPr>
          <w:p w14:paraId="39E14369" w14:textId="77777777" w:rsidR="00FF139B" w:rsidRPr="00773ECA" w:rsidRDefault="00FF139B" w:rsidP="00D22441">
            <w:pPr>
              <w:jc w:val="center"/>
              <w:rPr>
                <w:rFonts w:cs="Arial"/>
                <w:color w:val="FFFFFF"/>
                <w:spacing w:val="0"/>
                <w:sz w:val="16"/>
                <w:szCs w:val="16"/>
                <w:lang w:val="es-MX" w:eastAsia="es-MX"/>
              </w:rPr>
            </w:pPr>
            <w:r w:rsidRPr="00773ECA">
              <w:rPr>
                <w:rFonts w:cs="Arial"/>
                <w:color w:val="FFFFFF"/>
                <w:spacing w:val="0"/>
                <w:sz w:val="16"/>
                <w:szCs w:val="16"/>
                <w:lang w:val="en-US" w:eastAsia="es-MX"/>
              </w:rPr>
              <w:t>B</w:t>
            </w:r>
          </w:p>
        </w:tc>
        <w:tc>
          <w:tcPr>
            <w:tcW w:w="5166" w:type="dxa"/>
            <w:gridSpan w:val="4"/>
            <w:tcBorders>
              <w:top w:val="single" w:sz="8" w:space="0" w:color="auto"/>
              <w:left w:val="nil"/>
              <w:bottom w:val="single" w:sz="8" w:space="0" w:color="FFFFFF"/>
              <w:right w:val="single" w:sz="8" w:space="0" w:color="FFFFFF"/>
            </w:tcBorders>
            <w:shd w:val="clear" w:color="000000" w:fill="2F75B5"/>
            <w:vAlign w:val="center"/>
            <w:hideMark/>
          </w:tcPr>
          <w:p w14:paraId="11E3E173" w14:textId="77777777" w:rsidR="00FF139B" w:rsidRPr="00773ECA" w:rsidRDefault="00FF139B" w:rsidP="00D22441">
            <w:pPr>
              <w:jc w:val="center"/>
              <w:rPr>
                <w:rFonts w:cs="Arial"/>
                <w:color w:val="FFFFFF"/>
                <w:spacing w:val="0"/>
                <w:sz w:val="16"/>
                <w:szCs w:val="16"/>
                <w:lang w:val="es-MX" w:eastAsia="es-MX"/>
              </w:rPr>
            </w:pPr>
            <w:r w:rsidRPr="00773ECA">
              <w:rPr>
                <w:rFonts w:cs="Arial"/>
                <w:color w:val="FFFFFF"/>
                <w:spacing w:val="0"/>
                <w:sz w:val="16"/>
                <w:szCs w:val="16"/>
                <w:lang w:val="en-US" w:eastAsia="es-MX"/>
              </w:rPr>
              <w:t>SERVICIO DE DEUDA PUBLICA</w:t>
            </w:r>
          </w:p>
        </w:tc>
        <w:tc>
          <w:tcPr>
            <w:tcW w:w="1400" w:type="dxa"/>
            <w:tcBorders>
              <w:top w:val="nil"/>
              <w:left w:val="nil"/>
              <w:bottom w:val="single" w:sz="8" w:space="0" w:color="FFFFFF"/>
              <w:right w:val="single" w:sz="8" w:space="0" w:color="FFFFFF"/>
            </w:tcBorders>
            <w:shd w:val="clear" w:color="000000" w:fill="2F75B5"/>
            <w:vAlign w:val="center"/>
            <w:hideMark/>
          </w:tcPr>
          <w:p w14:paraId="6E4CA522" w14:textId="77777777" w:rsidR="00FF139B" w:rsidRPr="00773ECA" w:rsidRDefault="00FF139B" w:rsidP="00D22441">
            <w:pPr>
              <w:jc w:val="right"/>
              <w:rPr>
                <w:rFonts w:cs="Arial"/>
                <w:color w:val="FFFFFF"/>
                <w:spacing w:val="0"/>
                <w:sz w:val="16"/>
                <w:szCs w:val="16"/>
                <w:lang w:val="es-MX" w:eastAsia="es-MX"/>
              </w:rPr>
            </w:pPr>
            <w:r w:rsidRPr="00773ECA">
              <w:rPr>
                <w:rFonts w:cs="Arial"/>
                <w:color w:val="FFFFFF"/>
                <w:spacing w:val="0"/>
                <w:sz w:val="16"/>
                <w:szCs w:val="16"/>
                <w:lang w:val="en-US" w:eastAsia="es-MX"/>
              </w:rPr>
              <w:t>$ 4.192.920.055</w:t>
            </w:r>
          </w:p>
        </w:tc>
        <w:tc>
          <w:tcPr>
            <w:tcW w:w="1580" w:type="dxa"/>
            <w:tcBorders>
              <w:top w:val="nil"/>
              <w:left w:val="nil"/>
              <w:bottom w:val="single" w:sz="8" w:space="0" w:color="FFFFFF"/>
              <w:right w:val="single" w:sz="8" w:space="0" w:color="FFFFFF"/>
            </w:tcBorders>
            <w:shd w:val="clear" w:color="000000" w:fill="2F75B5"/>
            <w:vAlign w:val="center"/>
            <w:hideMark/>
          </w:tcPr>
          <w:p w14:paraId="0D67F793" w14:textId="77777777" w:rsidR="00FF139B" w:rsidRPr="00773ECA" w:rsidRDefault="00FF139B" w:rsidP="00D22441">
            <w:pPr>
              <w:jc w:val="right"/>
              <w:rPr>
                <w:rFonts w:cs="Arial"/>
                <w:color w:val="FFFFFF"/>
                <w:spacing w:val="0"/>
                <w:sz w:val="16"/>
                <w:szCs w:val="16"/>
                <w:lang w:val="es-MX" w:eastAsia="es-MX"/>
              </w:rPr>
            </w:pPr>
            <w:r w:rsidRPr="00773ECA">
              <w:rPr>
                <w:rFonts w:cs="Arial"/>
                <w:color w:val="FFFFFF"/>
                <w:spacing w:val="0"/>
                <w:sz w:val="16"/>
                <w:szCs w:val="16"/>
                <w:lang w:val="en-US" w:eastAsia="es-MX"/>
              </w:rPr>
              <w:t>$ 4.192.920.055</w:t>
            </w:r>
          </w:p>
        </w:tc>
        <w:tc>
          <w:tcPr>
            <w:tcW w:w="1380" w:type="dxa"/>
            <w:tcBorders>
              <w:top w:val="nil"/>
              <w:left w:val="nil"/>
              <w:bottom w:val="single" w:sz="8" w:space="0" w:color="FFFFFF"/>
              <w:right w:val="single" w:sz="8" w:space="0" w:color="FFFFFF"/>
            </w:tcBorders>
            <w:shd w:val="clear" w:color="000000" w:fill="2F75B5"/>
            <w:vAlign w:val="center"/>
            <w:hideMark/>
          </w:tcPr>
          <w:p w14:paraId="68917D5E" w14:textId="77777777" w:rsidR="00FF139B" w:rsidRPr="00773ECA" w:rsidRDefault="00FF139B" w:rsidP="00D22441">
            <w:pPr>
              <w:jc w:val="right"/>
              <w:rPr>
                <w:rFonts w:cs="Arial"/>
                <w:color w:val="FFFFFF"/>
                <w:spacing w:val="0"/>
                <w:sz w:val="16"/>
                <w:szCs w:val="16"/>
                <w:lang w:val="es-MX" w:eastAsia="es-MX"/>
              </w:rPr>
            </w:pPr>
            <w:r w:rsidRPr="00773ECA">
              <w:rPr>
                <w:rFonts w:cs="Arial"/>
                <w:color w:val="FFFFFF"/>
                <w:spacing w:val="0"/>
                <w:sz w:val="16"/>
                <w:szCs w:val="16"/>
                <w:lang w:val="en-US" w:eastAsia="es-MX"/>
              </w:rPr>
              <w:t>$ 0</w:t>
            </w:r>
          </w:p>
        </w:tc>
      </w:tr>
      <w:tr w:rsidR="00FF139B" w:rsidRPr="00773ECA" w14:paraId="77D7FBBC" w14:textId="77777777" w:rsidTr="00313A48">
        <w:trPr>
          <w:trHeight w:val="300"/>
        </w:trPr>
        <w:tc>
          <w:tcPr>
            <w:tcW w:w="594" w:type="dxa"/>
            <w:tcBorders>
              <w:top w:val="nil"/>
              <w:left w:val="single" w:sz="8" w:space="0" w:color="auto"/>
              <w:bottom w:val="single" w:sz="8" w:space="0" w:color="auto"/>
              <w:right w:val="single" w:sz="8" w:space="0" w:color="auto"/>
            </w:tcBorders>
            <w:shd w:val="clear" w:color="auto" w:fill="auto"/>
            <w:noWrap/>
            <w:vAlign w:val="center"/>
            <w:hideMark/>
          </w:tcPr>
          <w:p w14:paraId="3F71949A" w14:textId="77777777" w:rsidR="00FF139B" w:rsidRPr="00773ECA" w:rsidRDefault="00FF139B" w:rsidP="00D22441">
            <w:pPr>
              <w:jc w:val="center"/>
              <w:rPr>
                <w:rFonts w:cs="Arial"/>
                <w:color w:val="000000"/>
                <w:spacing w:val="0"/>
                <w:sz w:val="16"/>
                <w:szCs w:val="16"/>
                <w:lang w:val="es-MX" w:eastAsia="es-MX"/>
              </w:rPr>
            </w:pPr>
            <w:r w:rsidRPr="00773ECA">
              <w:rPr>
                <w:rFonts w:cs="Arial"/>
                <w:color w:val="000000"/>
                <w:spacing w:val="0"/>
                <w:sz w:val="16"/>
                <w:szCs w:val="16"/>
                <w:lang w:val="en-US" w:eastAsia="es-MX"/>
              </w:rPr>
              <w:t>B</w:t>
            </w:r>
          </w:p>
        </w:tc>
        <w:tc>
          <w:tcPr>
            <w:tcW w:w="560" w:type="dxa"/>
            <w:tcBorders>
              <w:top w:val="nil"/>
              <w:left w:val="nil"/>
              <w:bottom w:val="single" w:sz="8" w:space="0" w:color="auto"/>
              <w:right w:val="single" w:sz="8" w:space="0" w:color="auto"/>
            </w:tcBorders>
            <w:shd w:val="clear" w:color="auto" w:fill="auto"/>
            <w:noWrap/>
            <w:vAlign w:val="center"/>
            <w:hideMark/>
          </w:tcPr>
          <w:p w14:paraId="035EA546" w14:textId="77777777" w:rsidR="00FF139B" w:rsidRPr="00773ECA" w:rsidRDefault="00FF139B" w:rsidP="00D22441">
            <w:pPr>
              <w:jc w:val="center"/>
              <w:rPr>
                <w:rFonts w:cs="Arial"/>
                <w:color w:val="000000"/>
                <w:spacing w:val="0"/>
                <w:sz w:val="16"/>
                <w:szCs w:val="16"/>
                <w:lang w:val="es-MX" w:eastAsia="es-MX"/>
              </w:rPr>
            </w:pPr>
            <w:r w:rsidRPr="00773ECA">
              <w:rPr>
                <w:rFonts w:cs="Arial"/>
                <w:color w:val="000000"/>
                <w:spacing w:val="0"/>
                <w:sz w:val="16"/>
                <w:szCs w:val="16"/>
                <w:lang w:val="en-US" w:eastAsia="es-MX"/>
              </w:rPr>
              <w:t>10</w:t>
            </w:r>
          </w:p>
        </w:tc>
        <w:tc>
          <w:tcPr>
            <w:tcW w:w="540" w:type="dxa"/>
            <w:tcBorders>
              <w:top w:val="nil"/>
              <w:left w:val="nil"/>
              <w:bottom w:val="single" w:sz="8" w:space="0" w:color="auto"/>
              <w:right w:val="single" w:sz="8" w:space="0" w:color="auto"/>
            </w:tcBorders>
            <w:shd w:val="clear" w:color="auto" w:fill="auto"/>
            <w:noWrap/>
            <w:vAlign w:val="center"/>
            <w:hideMark/>
          </w:tcPr>
          <w:p w14:paraId="60F73349" w14:textId="77777777" w:rsidR="00FF139B" w:rsidRPr="00773ECA" w:rsidRDefault="00FF139B" w:rsidP="00D22441">
            <w:pPr>
              <w:jc w:val="center"/>
              <w:rPr>
                <w:rFonts w:cs="Arial"/>
                <w:color w:val="000000"/>
                <w:spacing w:val="0"/>
                <w:sz w:val="16"/>
                <w:szCs w:val="16"/>
                <w:lang w:val="es-MX" w:eastAsia="es-MX"/>
              </w:rPr>
            </w:pPr>
            <w:r w:rsidRPr="00773ECA">
              <w:rPr>
                <w:rFonts w:cs="Arial"/>
                <w:color w:val="000000"/>
                <w:spacing w:val="0"/>
                <w:sz w:val="16"/>
                <w:szCs w:val="16"/>
                <w:lang w:val="en-US" w:eastAsia="es-MX"/>
              </w:rPr>
              <w:t>16</w:t>
            </w:r>
          </w:p>
        </w:tc>
        <w:tc>
          <w:tcPr>
            <w:tcW w:w="640" w:type="dxa"/>
            <w:tcBorders>
              <w:top w:val="nil"/>
              <w:left w:val="nil"/>
              <w:bottom w:val="single" w:sz="8" w:space="0" w:color="auto"/>
              <w:right w:val="single" w:sz="8" w:space="0" w:color="auto"/>
            </w:tcBorders>
            <w:shd w:val="clear" w:color="auto" w:fill="auto"/>
            <w:noWrap/>
            <w:vAlign w:val="center"/>
            <w:hideMark/>
          </w:tcPr>
          <w:p w14:paraId="067774F4" w14:textId="77777777" w:rsidR="00FF139B" w:rsidRPr="00773ECA" w:rsidRDefault="00FF139B" w:rsidP="00D22441">
            <w:pPr>
              <w:jc w:val="center"/>
              <w:rPr>
                <w:rFonts w:cs="Arial"/>
                <w:color w:val="000000"/>
                <w:spacing w:val="0"/>
                <w:sz w:val="16"/>
                <w:szCs w:val="16"/>
                <w:lang w:val="es-MX" w:eastAsia="es-MX"/>
              </w:rPr>
            </w:pPr>
            <w:r w:rsidRPr="00773ECA">
              <w:rPr>
                <w:rFonts w:cs="Arial"/>
                <w:color w:val="000000"/>
                <w:spacing w:val="0"/>
                <w:sz w:val="16"/>
                <w:szCs w:val="16"/>
                <w:lang w:val="en-US" w:eastAsia="es-MX"/>
              </w:rPr>
              <w:t>SSF</w:t>
            </w:r>
          </w:p>
        </w:tc>
        <w:tc>
          <w:tcPr>
            <w:tcW w:w="3426" w:type="dxa"/>
            <w:tcBorders>
              <w:top w:val="nil"/>
              <w:left w:val="nil"/>
              <w:bottom w:val="single" w:sz="8" w:space="0" w:color="auto"/>
              <w:right w:val="single" w:sz="8" w:space="0" w:color="auto"/>
            </w:tcBorders>
            <w:shd w:val="clear" w:color="auto" w:fill="auto"/>
            <w:vAlign w:val="center"/>
            <w:hideMark/>
          </w:tcPr>
          <w:p w14:paraId="2FCE6AAA" w14:textId="77777777" w:rsidR="00FF139B" w:rsidRPr="00773ECA" w:rsidRDefault="00FF139B" w:rsidP="00D22441">
            <w:pPr>
              <w:rPr>
                <w:rFonts w:cs="Arial"/>
                <w:color w:val="000000"/>
                <w:spacing w:val="0"/>
                <w:sz w:val="16"/>
                <w:szCs w:val="16"/>
                <w:lang w:val="es-MX" w:eastAsia="es-MX"/>
              </w:rPr>
            </w:pPr>
            <w:r w:rsidRPr="00773ECA">
              <w:rPr>
                <w:rFonts w:cs="Arial"/>
                <w:color w:val="000000"/>
                <w:spacing w:val="0"/>
                <w:sz w:val="16"/>
                <w:szCs w:val="16"/>
                <w:lang w:eastAsia="es-MX"/>
              </w:rPr>
              <w:t>APORTES AL FONDO DE CONTINGENCIAS</w:t>
            </w:r>
          </w:p>
        </w:tc>
        <w:tc>
          <w:tcPr>
            <w:tcW w:w="1400" w:type="dxa"/>
            <w:tcBorders>
              <w:top w:val="nil"/>
              <w:left w:val="nil"/>
              <w:bottom w:val="single" w:sz="8" w:space="0" w:color="auto"/>
              <w:right w:val="single" w:sz="8" w:space="0" w:color="auto"/>
            </w:tcBorders>
            <w:shd w:val="clear" w:color="auto" w:fill="auto"/>
            <w:noWrap/>
            <w:vAlign w:val="center"/>
            <w:hideMark/>
          </w:tcPr>
          <w:p w14:paraId="1CDED42D" w14:textId="77777777" w:rsidR="00FF139B" w:rsidRPr="00773ECA" w:rsidRDefault="00FF139B" w:rsidP="00D22441">
            <w:pPr>
              <w:jc w:val="right"/>
              <w:rPr>
                <w:rFonts w:cs="Arial"/>
                <w:color w:val="000000"/>
                <w:spacing w:val="0"/>
                <w:sz w:val="16"/>
                <w:szCs w:val="16"/>
                <w:lang w:val="es-MX" w:eastAsia="es-MX"/>
              </w:rPr>
            </w:pPr>
            <w:r w:rsidRPr="00773ECA">
              <w:rPr>
                <w:rFonts w:cs="Arial"/>
                <w:color w:val="000000"/>
                <w:spacing w:val="0"/>
                <w:sz w:val="16"/>
                <w:szCs w:val="16"/>
                <w:lang w:eastAsia="es-MX"/>
              </w:rPr>
              <w:t>$ 4.192.920.055</w:t>
            </w:r>
          </w:p>
        </w:tc>
        <w:tc>
          <w:tcPr>
            <w:tcW w:w="1580" w:type="dxa"/>
            <w:tcBorders>
              <w:top w:val="nil"/>
              <w:left w:val="nil"/>
              <w:bottom w:val="single" w:sz="8" w:space="0" w:color="auto"/>
              <w:right w:val="single" w:sz="8" w:space="0" w:color="auto"/>
            </w:tcBorders>
            <w:shd w:val="clear" w:color="auto" w:fill="auto"/>
            <w:noWrap/>
            <w:vAlign w:val="center"/>
            <w:hideMark/>
          </w:tcPr>
          <w:p w14:paraId="2B7E82B6" w14:textId="77777777" w:rsidR="00FF139B" w:rsidRPr="00773ECA" w:rsidRDefault="00FF139B" w:rsidP="00D22441">
            <w:pPr>
              <w:jc w:val="right"/>
              <w:rPr>
                <w:rFonts w:cs="Arial"/>
                <w:color w:val="000000"/>
                <w:spacing w:val="0"/>
                <w:sz w:val="16"/>
                <w:szCs w:val="16"/>
                <w:lang w:val="es-MX" w:eastAsia="es-MX"/>
              </w:rPr>
            </w:pPr>
            <w:r w:rsidRPr="00773ECA">
              <w:rPr>
                <w:rFonts w:cs="Arial"/>
                <w:color w:val="000000"/>
                <w:spacing w:val="0"/>
                <w:sz w:val="16"/>
                <w:szCs w:val="16"/>
                <w:lang w:val="es-MX" w:eastAsia="es-MX"/>
              </w:rPr>
              <w:t>$ 4.192.920.055</w:t>
            </w:r>
          </w:p>
        </w:tc>
        <w:tc>
          <w:tcPr>
            <w:tcW w:w="1380" w:type="dxa"/>
            <w:tcBorders>
              <w:top w:val="nil"/>
              <w:left w:val="nil"/>
              <w:bottom w:val="single" w:sz="8" w:space="0" w:color="auto"/>
              <w:right w:val="single" w:sz="8" w:space="0" w:color="auto"/>
            </w:tcBorders>
            <w:shd w:val="clear" w:color="auto" w:fill="auto"/>
            <w:noWrap/>
            <w:vAlign w:val="center"/>
            <w:hideMark/>
          </w:tcPr>
          <w:p w14:paraId="2F695B15" w14:textId="77777777" w:rsidR="00FF139B" w:rsidRPr="00773ECA" w:rsidRDefault="00FF139B" w:rsidP="00D22441">
            <w:pPr>
              <w:jc w:val="right"/>
              <w:rPr>
                <w:rFonts w:cs="Arial"/>
                <w:color w:val="000000"/>
                <w:spacing w:val="0"/>
                <w:sz w:val="16"/>
                <w:szCs w:val="16"/>
                <w:lang w:val="es-MX" w:eastAsia="es-MX"/>
              </w:rPr>
            </w:pPr>
            <w:r w:rsidRPr="00773ECA">
              <w:rPr>
                <w:rFonts w:cs="Arial"/>
                <w:color w:val="000000"/>
                <w:spacing w:val="0"/>
                <w:sz w:val="16"/>
                <w:szCs w:val="16"/>
                <w:lang w:val="en-US" w:eastAsia="es-MX"/>
              </w:rPr>
              <w:t>$ 0</w:t>
            </w:r>
          </w:p>
        </w:tc>
      </w:tr>
      <w:tr w:rsidR="00FF139B" w:rsidRPr="00773ECA" w14:paraId="5DC24B59" w14:textId="77777777" w:rsidTr="00313A48">
        <w:trPr>
          <w:trHeight w:val="300"/>
        </w:trPr>
        <w:tc>
          <w:tcPr>
            <w:tcW w:w="594" w:type="dxa"/>
            <w:tcBorders>
              <w:top w:val="nil"/>
              <w:left w:val="single" w:sz="8" w:space="0" w:color="FFFFFF"/>
              <w:bottom w:val="single" w:sz="8" w:space="0" w:color="FFFFFF"/>
              <w:right w:val="single" w:sz="8" w:space="0" w:color="FFFFFF"/>
            </w:tcBorders>
            <w:shd w:val="clear" w:color="000000" w:fill="2F75B5"/>
            <w:noWrap/>
            <w:vAlign w:val="center"/>
            <w:hideMark/>
          </w:tcPr>
          <w:p w14:paraId="33E14399" w14:textId="77777777" w:rsidR="00FF139B" w:rsidRPr="00773ECA" w:rsidRDefault="00FF139B" w:rsidP="00D22441">
            <w:pPr>
              <w:jc w:val="center"/>
              <w:rPr>
                <w:rFonts w:cs="Arial"/>
                <w:color w:val="FFFFFF"/>
                <w:spacing w:val="0"/>
                <w:sz w:val="16"/>
                <w:szCs w:val="16"/>
                <w:lang w:val="es-MX" w:eastAsia="es-MX"/>
              </w:rPr>
            </w:pPr>
            <w:r w:rsidRPr="00773ECA">
              <w:rPr>
                <w:rFonts w:cs="Arial"/>
                <w:color w:val="FFFFFF"/>
                <w:spacing w:val="0"/>
                <w:sz w:val="16"/>
                <w:szCs w:val="16"/>
                <w:lang w:val="en-US" w:eastAsia="es-MX"/>
              </w:rPr>
              <w:t>C</w:t>
            </w:r>
          </w:p>
        </w:tc>
        <w:tc>
          <w:tcPr>
            <w:tcW w:w="5166" w:type="dxa"/>
            <w:gridSpan w:val="4"/>
            <w:tcBorders>
              <w:top w:val="single" w:sz="8" w:space="0" w:color="auto"/>
              <w:left w:val="nil"/>
              <w:bottom w:val="single" w:sz="8" w:space="0" w:color="FFFFFF"/>
              <w:right w:val="single" w:sz="8" w:space="0" w:color="FFFFFF"/>
            </w:tcBorders>
            <w:shd w:val="clear" w:color="000000" w:fill="2F75B5"/>
            <w:vAlign w:val="center"/>
            <w:hideMark/>
          </w:tcPr>
          <w:p w14:paraId="63EB186D" w14:textId="77777777" w:rsidR="00FF139B" w:rsidRPr="00773ECA" w:rsidRDefault="00FF139B" w:rsidP="00D22441">
            <w:pPr>
              <w:jc w:val="center"/>
              <w:rPr>
                <w:rFonts w:cs="Arial"/>
                <w:color w:val="FFFFFF"/>
                <w:spacing w:val="0"/>
                <w:sz w:val="16"/>
                <w:szCs w:val="16"/>
                <w:lang w:val="es-MX" w:eastAsia="es-MX"/>
              </w:rPr>
            </w:pPr>
            <w:r w:rsidRPr="00773ECA">
              <w:rPr>
                <w:rFonts w:cs="Arial"/>
                <w:color w:val="FFFFFF"/>
                <w:spacing w:val="0"/>
                <w:sz w:val="16"/>
                <w:szCs w:val="16"/>
                <w:lang w:val="en-US" w:eastAsia="es-MX"/>
              </w:rPr>
              <w:t>INVERSION</w:t>
            </w:r>
          </w:p>
        </w:tc>
        <w:tc>
          <w:tcPr>
            <w:tcW w:w="1400" w:type="dxa"/>
            <w:tcBorders>
              <w:top w:val="nil"/>
              <w:left w:val="nil"/>
              <w:bottom w:val="single" w:sz="8" w:space="0" w:color="FFFFFF"/>
              <w:right w:val="single" w:sz="8" w:space="0" w:color="FFFFFF"/>
            </w:tcBorders>
            <w:shd w:val="clear" w:color="000000" w:fill="2F75B5"/>
            <w:vAlign w:val="center"/>
            <w:hideMark/>
          </w:tcPr>
          <w:p w14:paraId="4D14F140" w14:textId="77777777" w:rsidR="00FF139B" w:rsidRPr="00773ECA" w:rsidRDefault="00FF139B" w:rsidP="00D22441">
            <w:pPr>
              <w:jc w:val="right"/>
              <w:rPr>
                <w:rFonts w:cs="Arial"/>
                <w:color w:val="FFFFFF"/>
                <w:spacing w:val="0"/>
                <w:sz w:val="16"/>
                <w:szCs w:val="16"/>
                <w:lang w:val="es-MX" w:eastAsia="es-MX"/>
              </w:rPr>
            </w:pPr>
            <w:r w:rsidRPr="00773ECA">
              <w:rPr>
                <w:rFonts w:cs="Arial"/>
                <w:color w:val="FFFFFF"/>
                <w:spacing w:val="0"/>
                <w:sz w:val="16"/>
                <w:szCs w:val="16"/>
                <w:lang w:val="en-US" w:eastAsia="es-MX"/>
              </w:rPr>
              <w:t>$ 11.200.000.000</w:t>
            </w:r>
          </w:p>
        </w:tc>
        <w:tc>
          <w:tcPr>
            <w:tcW w:w="1580" w:type="dxa"/>
            <w:tcBorders>
              <w:top w:val="nil"/>
              <w:left w:val="nil"/>
              <w:bottom w:val="single" w:sz="8" w:space="0" w:color="FFFFFF"/>
              <w:right w:val="single" w:sz="8" w:space="0" w:color="FFFFFF"/>
            </w:tcBorders>
            <w:shd w:val="clear" w:color="000000" w:fill="2F75B5"/>
            <w:vAlign w:val="center"/>
            <w:hideMark/>
          </w:tcPr>
          <w:p w14:paraId="3778146B" w14:textId="77777777" w:rsidR="00FF139B" w:rsidRPr="00773ECA" w:rsidRDefault="00FF139B" w:rsidP="00D22441">
            <w:pPr>
              <w:jc w:val="right"/>
              <w:rPr>
                <w:rFonts w:cs="Arial"/>
                <w:color w:val="FFFFFF"/>
                <w:spacing w:val="0"/>
                <w:sz w:val="16"/>
                <w:szCs w:val="16"/>
                <w:lang w:val="es-MX" w:eastAsia="es-MX"/>
              </w:rPr>
            </w:pPr>
            <w:r w:rsidRPr="00773ECA">
              <w:rPr>
                <w:rFonts w:cs="Arial"/>
                <w:color w:val="FFFFFF"/>
                <w:spacing w:val="0"/>
                <w:sz w:val="16"/>
                <w:szCs w:val="16"/>
                <w:lang w:val="en-US" w:eastAsia="es-MX"/>
              </w:rPr>
              <w:t>$ 11.200.000.000</w:t>
            </w:r>
          </w:p>
        </w:tc>
        <w:tc>
          <w:tcPr>
            <w:tcW w:w="1380" w:type="dxa"/>
            <w:tcBorders>
              <w:top w:val="nil"/>
              <w:left w:val="nil"/>
              <w:bottom w:val="single" w:sz="8" w:space="0" w:color="FFFFFF"/>
              <w:right w:val="single" w:sz="8" w:space="0" w:color="FFFFFF"/>
            </w:tcBorders>
            <w:shd w:val="clear" w:color="000000" w:fill="2F75B5"/>
            <w:vAlign w:val="center"/>
            <w:hideMark/>
          </w:tcPr>
          <w:p w14:paraId="14B4237E" w14:textId="77777777" w:rsidR="00FF139B" w:rsidRPr="00773ECA" w:rsidRDefault="00FF139B" w:rsidP="00D22441">
            <w:pPr>
              <w:jc w:val="right"/>
              <w:rPr>
                <w:rFonts w:cs="Arial"/>
                <w:color w:val="FFFFFF"/>
                <w:spacing w:val="0"/>
                <w:sz w:val="16"/>
                <w:szCs w:val="16"/>
                <w:lang w:val="es-MX" w:eastAsia="es-MX"/>
              </w:rPr>
            </w:pPr>
            <w:r w:rsidRPr="00773ECA">
              <w:rPr>
                <w:rFonts w:cs="Arial"/>
                <w:color w:val="FFFFFF"/>
                <w:spacing w:val="0"/>
                <w:sz w:val="16"/>
                <w:szCs w:val="16"/>
                <w:lang w:val="en-US" w:eastAsia="es-MX"/>
              </w:rPr>
              <w:t>$ 0</w:t>
            </w:r>
          </w:p>
        </w:tc>
      </w:tr>
      <w:tr w:rsidR="00FF139B" w:rsidRPr="00773ECA" w14:paraId="2E583680" w14:textId="77777777" w:rsidTr="00313A48">
        <w:trPr>
          <w:trHeight w:val="430"/>
        </w:trPr>
        <w:tc>
          <w:tcPr>
            <w:tcW w:w="594" w:type="dxa"/>
            <w:tcBorders>
              <w:top w:val="nil"/>
              <w:left w:val="single" w:sz="8" w:space="0" w:color="auto"/>
              <w:bottom w:val="single" w:sz="8" w:space="0" w:color="auto"/>
              <w:right w:val="single" w:sz="8" w:space="0" w:color="auto"/>
            </w:tcBorders>
            <w:shd w:val="clear" w:color="auto" w:fill="auto"/>
            <w:noWrap/>
            <w:vAlign w:val="center"/>
            <w:hideMark/>
          </w:tcPr>
          <w:p w14:paraId="01D1867A" w14:textId="77777777" w:rsidR="00FF139B" w:rsidRPr="00773ECA" w:rsidRDefault="00FF139B" w:rsidP="00D22441">
            <w:pPr>
              <w:jc w:val="center"/>
              <w:rPr>
                <w:rFonts w:cs="Arial"/>
                <w:color w:val="000000"/>
                <w:spacing w:val="0"/>
                <w:sz w:val="16"/>
                <w:szCs w:val="16"/>
                <w:lang w:val="es-MX" w:eastAsia="es-MX"/>
              </w:rPr>
            </w:pPr>
            <w:r w:rsidRPr="00773ECA">
              <w:rPr>
                <w:rFonts w:cs="Arial"/>
                <w:color w:val="000000"/>
                <w:spacing w:val="0"/>
                <w:sz w:val="16"/>
                <w:szCs w:val="16"/>
                <w:lang w:val="en-US" w:eastAsia="es-MX"/>
              </w:rPr>
              <w:t>C</w:t>
            </w:r>
          </w:p>
        </w:tc>
        <w:tc>
          <w:tcPr>
            <w:tcW w:w="560" w:type="dxa"/>
            <w:tcBorders>
              <w:top w:val="nil"/>
              <w:left w:val="nil"/>
              <w:bottom w:val="single" w:sz="8" w:space="0" w:color="auto"/>
              <w:right w:val="single" w:sz="8" w:space="0" w:color="auto"/>
            </w:tcBorders>
            <w:shd w:val="clear" w:color="auto" w:fill="auto"/>
            <w:noWrap/>
            <w:vAlign w:val="center"/>
            <w:hideMark/>
          </w:tcPr>
          <w:p w14:paraId="5E20B46F" w14:textId="77777777" w:rsidR="00FF139B" w:rsidRPr="00773ECA" w:rsidRDefault="00FF139B" w:rsidP="00D22441">
            <w:pPr>
              <w:jc w:val="center"/>
              <w:rPr>
                <w:rFonts w:cs="Arial"/>
                <w:color w:val="000000"/>
                <w:spacing w:val="0"/>
                <w:sz w:val="16"/>
                <w:szCs w:val="16"/>
                <w:lang w:val="es-MX" w:eastAsia="es-MX"/>
              </w:rPr>
            </w:pPr>
            <w:r w:rsidRPr="00773ECA">
              <w:rPr>
                <w:rFonts w:cs="Arial"/>
                <w:color w:val="000000"/>
                <w:spacing w:val="0"/>
                <w:sz w:val="16"/>
                <w:szCs w:val="16"/>
                <w:lang w:val="en-US" w:eastAsia="es-MX"/>
              </w:rPr>
              <w:t>2106</w:t>
            </w:r>
          </w:p>
        </w:tc>
        <w:tc>
          <w:tcPr>
            <w:tcW w:w="540" w:type="dxa"/>
            <w:tcBorders>
              <w:top w:val="nil"/>
              <w:left w:val="nil"/>
              <w:bottom w:val="single" w:sz="8" w:space="0" w:color="auto"/>
              <w:right w:val="single" w:sz="8" w:space="0" w:color="auto"/>
            </w:tcBorders>
            <w:shd w:val="clear" w:color="auto" w:fill="auto"/>
            <w:noWrap/>
            <w:vAlign w:val="center"/>
            <w:hideMark/>
          </w:tcPr>
          <w:p w14:paraId="27B6F66C" w14:textId="77777777" w:rsidR="00FF139B" w:rsidRPr="00773ECA" w:rsidRDefault="00FF139B" w:rsidP="00D22441">
            <w:pPr>
              <w:jc w:val="center"/>
              <w:rPr>
                <w:rFonts w:cs="Arial"/>
                <w:color w:val="000000"/>
                <w:spacing w:val="0"/>
                <w:sz w:val="16"/>
                <w:szCs w:val="16"/>
                <w:lang w:val="es-MX" w:eastAsia="es-MX"/>
              </w:rPr>
            </w:pPr>
            <w:r w:rsidRPr="00773ECA">
              <w:rPr>
                <w:rFonts w:cs="Arial"/>
                <w:color w:val="000000"/>
                <w:spacing w:val="0"/>
                <w:sz w:val="16"/>
                <w:szCs w:val="16"/>
                <w:lang w:val="en-US" w:eastAsia="es-MX"/>
              </w:rPr>
              <w:t>16</w:t>
            </w:r>
          </w:p>
        </w:tc>
        <w:tc>
          <w:tcPr>
            <w:tcW w:w="640" w:type="dxa"/>
            <w:tcBorders>
              <w:top w:val="nil"/>
              <w:left w:val="nil"/>
              <w:bottom w:val="single" w:sz="8" w:space="0" w:color="auto"/>
              <w:right w:val="single" w:sz="8" w:space="0" w:color="auto"/>
            </w:tcBorders>
            <w:shd w:val="clear" w:color="auto" w:fill="auto"/>
            <w:noWrap/>
            <w:vAlign w:val="center"/>
            <w:hideMark/>
          </w:tcPr>
          <w:p w14:paraId="31184D86" w14:textId="77777777" w:rsidR="00FF139B" w:rsidRPr="00773ECA" w:rsidRDefault="00FF139B" w:rsidP="00D22441">
            <w:pPr>
              <w:jc w:val="center"/>
              <w:rPr>
                <w:rFonts w:cs="Arial"/>
                <w:color w:val="000000"/>
                <w:spacing w:val="0"/>
                <w:sz w:val="16"/>
                <w:szCs w:val="16"/>
                <w:lang w:val="es-MX" w:eastAsia="es-MX"/>
              </w:rPr>
            </w:pPr>
            <w:r w:rsidRPr="00773ECA">
              <w:rPr>
                <w:rFonts w:cs="Arial"/>
                <w:color w:val="000000"/>
                <w:spacing w:val="0"/>
                <w:sz w:val="16"/>
                <w:szCs w:val="16"/>
                <w:lang w:val="en-US" w:eastAsia="es-MX"/>
              </w:rPr>
              <w:t>SSF</w:t>
            </w:r>
          </w:p>
        </w:tc>
        <w:tc>
          <w:tcPr>
            <w:tcW w:w="3426" w:type="dxa"/>
            <w:tcBorders>
              <w:top w:val="nil"/>
              <w:left w:val="nil"/>
              <w:bottom w:val="single" w:sz="8" w:space="0" w:color="auto"/>
              <w:right w:val="single" w:sz="8" w:space="0" w:color="auto"/>
            </w:tcBorders>
            <w:shd w:val="clear" w:color="auto" w:fill="auto"/>
            <w:vAlign w:val="center"/>
            <w:hideMark/>
          </w:tcPr>
          <w:p w14:paraId="0C62E1AE" w14:textId="49CBB01D" w:rsidR="00FF139B" w:rsidRPr="00773ECA" w:rsidRDefault="00FF139B" w:rsidP="00D22441">
            <w:pPr>
              <w:jc w:val="left"/>
              <w:rPr>
                <w:rFonts w:cs="Arial"/>
                <w:color w:val="000000"/>
                <w:spacing w:val="0"/>
                <w:sz w:val="16"/>
                <w:szCs w:val="16"/>
                <w:lang w:val="es-MX" w:eastAsia="es-MX"/>
              </w:rPr>
            </w:pPr>
            <w:r w:rsidRPr="00773ECA">
              <w:rPr>
                <w:rFonts w:cs="Arial"/>
                <w:color w:val="000000"/>
                <w:spacing w:val="0"/>
                <w:sz w:val="16"/>
                <w:szCs w:val="16"/>
                <w:lang w:eastAsia="es-MX"/>
              </w:rPr>
              <w:t>DIVULGACIÓN DE LA REGULACIÓN A LA CIUDADANÍA A NIVEL NACIONAL</w:t>
            </w:r>
          </w:p>
        </w:tc>
        <w:tc>
          <w:tcPr>
            <w:tcW w:w="1400" w:type="dxa"/>
            <w:tcBorders>
              <w:top w:val="nil"/>
              <w:left w:val="nil"/>
              <w:bottom w:val="single" w:sz="8" w:space="0" w:color="auto"/>
              <w:right w:val="single" w:sz="8" w:space="0" w:color="auto"/>
            </w:tcBorders>
            <w:shd w:val="clear" w:color="auto" w:fill="auto"/>
            <w:noWrap/>
            <w:vAlign w:val="center"/>
            <w:hideMark/>
          </w:tcPr>
          <w:p w14:paraId="48787513" w14:textId="77777777" w:rsidR="00FF139B" w:rsidRPr="00773ECA" w:rsidRDefault="00FF139B" w:rsidP="00D22441">
            <w:pPr>
              <w:jc w:val="right"/>
              <w:rPr>
                <w:rFonts w:cs="Arial"/>
                <w:color w:val="000000"/>
                <w:spacing w:val="0"/>
                <w:sz w:val="16"/>
                <w:szCs w:val="16"/>
                <w:lang w:val="es-MX" w:eastAsia="es-MX"/>
              </w:rPr>
            </w:pPr>
            <w:r w:rsidRPr="00773ECA">
              <w:rPr>
                <w:rFonts w:cs="Arial"/>
                <w:color w:val="000000"/>
                <w:spacing w:val="0"/>
                <w:sz w:val="16"/>
                <w:szCs w:val="16"/>
                <w:lang w:eastAsia="es-MX"/>
              </w:rPr>
              <w:t>$ 290.000.000</w:t>
            </w:r>
          </w:p>
        </w:tc>
        <w:tc>
          <w:tcPr>
            <w:tcW w:w="1580" w:type="dxa"/>
            <w:tcBorders>
              <w:top w:val="nil"/>
              <w:left w:val="nil"/>
              <w:bottom w:val="single" w:sz="8" w:space="0" w:color="auto"/>
              <w:right w:val="single" w:sz="8" w:space="0" w:color="auto"/>
            </w:tcBorders>
            <w:shd w:val="clear" w:color="auto" w:fill="auto"/>
            <w:noWrap/>
            <w:vAlign w:val="center"/>
            <w:hideMark/>
          </w:tcPr>
          <w:p w14:paraId="503041D4" w14:textId="77777777" w:rsidR="00FF139B" w:rsidRPr="00773ECA" w:rsidRDefault="00FF139B" w:rsidP="00D22441">
            <w:pPr>
              <w:jc w:val="right"/>
              <w:rPr>
                <w:rFonts w:cs="Arial"/>
                <w:color w:val="000000"/>
                <w:spacing w:val="0"/>
                <w:sz w:val="16"/>
                <w:szCs w:val="16"/>
                <w:lang w:val="es-MX" w:eastAsia="es-MX"/>
              </w:rPr>
            </w:pPr>
            <w:r w:rsidRPr="00773ECA">
              <w:rPr>
                <w:rFonts w:cs="Arial"/>
                <w:color w:val="000000"/>
                <w:spacing w:val="0"/>
                <w:sz w:val="16"/>
                <w:szCs w:val="16"/>
                <w:lang w:val="es-MX" w:eastAsia="es-MX"/>
              </w:rPr>
              <w:t>$ 290.000.000</w:t>
            </w:r>
          </w:p>
        </w:tc>
        <w:tc>
          <w:tcPr>
            <w:tcW w:w="1380" w:type="dxa"/>
            <w:tcBorders>
              <w:top w:val="nil"/>
              <w:left w:val="nil"/>
              <w:bottom w:val="single" w:sz="8" w:space="0" w:color="auto"/>
              <w:right w:val="single" w:sz="8" w:space="0" w:color="auto"/>
            </w:tcBorders>
            <w:shd w:val="clear" w:color="auto" w:fill="auto"/>
            <w:noWrap/>
            <w:vAlign w:val="center"/>
            <w:hideMark/>
          </w:tcPr>
          <w:p w14:paraId="665A3961" w14:textId="77777777" w:rsidR="00FF139B" w:rsidRPr="00773ECA" w:rsidRDefault="00FF139B" w:rsidP="00D22441">
            <w:pPr>
              <w:jc w:val="right"/>
              <w:rPr>
                <w:rFonts w:cs="Arial"/>
                <w:color w:val="000000"/>
                <w:spacing w:val="0"/>
                <w:sz w:val="16"/>
                <w:szCs w:val="16"/>
                <w:lang w:val="es-MX" w:eastAsia="es-MX"/>
              </w:rPr>
            </w:pPr>
            <w:r w:rsidRPr="00773ECA">
              <w:rPr>
                <w:rFonts w:cs="Arial"/>
                <w:color w:val="000000"/>
                <w:spacing w:val="0"/>
                <w:sz w:val="16"/>
                <w:szCs w:val="16"/>
                <w:lang w:val="en-US" w:eastAsia="es-MX"/>
              </w:rPr>
              <w:t>$ 0</w:t>
            </w:r>
          </w:p>
        </w:tc>
      </w:tr>
      <w:tr w:rsidR="00FF139B" w:rsidRPr="00773ECA" w14:paraId="3FAE1A5E" w14:textId="77777777" w:rsidTr="00313A48">
        <w:trPr>
          <w:trHeight w:val="1060"/>
        </w:trPr>
        <w:tc>
          <w:tcPr>
            <w:tcW w:w="594" w:type="dxa"/>
            <w:tcBorders>
              <w:top w:val="nil"/>
              <w:left w:val="single" w:sz="8" w:space="0" w:color="auto"/>
              <w:bottom w:val="single" w:sz="8" w:space="0" w:color="auto"/>
              <w:right w:val="single" w:sz="8" w:space="0" w:color="auto"/>
            </w:tcBorders>
            <w:shd w:val="clear" w:color="auto" w:fill="auto"/>
            <w:noWrap/>
            <w:vAlign w:val="center"/>
            <w:hideMark/>
          </w:tcPr>
          <w:p w14:paraId="092F946F" w14:textId="77777777" w:rsidR="00FF139B" w:rsidRPr="00773ECA" w:rsidRDefault="00FF139B" w:rsidP="00D22441">
            <w:pPr>
              <w:jc w:val="center"/>
              <w:rPr>
                <w:rFonts w:cs="Arial"/>
                <w:color w:val="000000"/>
                <w:spacing w:val="0"/>
                <w:sz w:val="16"/>
                <w:szCs w:val="16"/>
                <w:lang w:val="es-MX" w:eastAsia="es-MX"/>
              </w:rPr>
            </w:pPr>
            <w:r w:rsidRPr="00773ECA">
              <w:rPr>
                <w:rFonts w:cs="Arial"/>
                <w:color w:val="000000"/>
                <w:spacing w:val="0"/>
                <w:sz w:val="16"/>
                <w:szCs w:val="16"/>
                <w:lang w:val="en-US" w:eastAsia="es-MX"/>
              </w:rPr>
              <w:t>C</w:t>
            </w:r>
          </w:p>
        </w:tc>
        <w:tc>
          <w:tcPr>
            <w:tcW w:w="560" w:type="dxa"/>
            <w:tcBorders>
              <w:top w:val="nil"/>
              <w:left w:val="nil"/>
              <w:bottom w:val="single" w:sz="8" w:space="0" w:color="auto"/>
              <w:right w:val="single" w:sz="8" w:space="0" w:color="auto"/>
            </w:tcBorders>
            <w:shd w:val="clear" w:color="auto" w:fill="auto"/>
            <w:noWrap/>
            <w:vAlign w:val="center"/>
            <w:hideMark/>
          </w:tcPr>
          <w:p w14:paraId="015E2831" w14:textId="77777777" w:rsidR="00FF139B" w:rsidRPr="00773ECA" w:rsidRDefault="00FF139B" w:rsidP="00D22441">
            <w:pPr>
              <w:jc w:val="center"/>
              <w:rPr>
                <w:rFonts w:cs="Arial"/>
                <w:color w:val="000000"/>
                <w:spacing w:val="0"/>
                <w:sz w:val="16"/>
                <w:szCs w:val="16"/>
                <w:lang w:val="es-MX" w:eastAsia="es-MX"/>
              </w:rPr>
            </w:pPr>
            <w:r w:rsidRPr="00773ECA">
              <w:rPr>
                <w:rFonts w:cs="Arial"/>
                <w:color w:val="000000"/>
                <w:spacing w:val="0"/>
                <w:sz w:val="16"/>
                <w:szCs w:val="16"/>
                <w:lang w:val="en-US" w:eastAsia="es-MX"/>
              </w:rPr>
              <w:t>2106</w:t>
            </w:r>
          </w:p>
        </w:tc>
        <w:tc>
          <w:tcPr>
            <w:tcW w:w="540" w:type="dxa"/>
            <w:tcBorders>
              <w:top w:val="nil"/>
              <w:left w:val="nil"/>
              <w:bottom w:val="single" w:sz="8" w:space="0" w:color="auto"/>
              <w:right w:val="single" w:sz="8" w:space="0" w:color="auto"/>
            </w:tcBorders>
            <w:shd w:val="clear" w:color="auto" w:fill="auto"/>
            <w:noWrap/>
            <w:vAlign w:val="center"/>
            <w:hideMark/>
          </w:tcPr>
          <w:p w14:paraId="14388651" w14:textId="77777777" w:rsidR="00FF139B" w:rsidRPr="00773ECA" w:rsidRDefault="00FF139B" w:rsidP="00D22441">
            <w:pPr>
              <w:jc w:val="center"/>
              <w:rPr>
                <w:rFonts w:cs="Arial"/>
                <w:color w:val="000000"/>
                <w:spacing w:val="0"/>
                <w:sz w:val="16"/>
                <w:szCs w:val="16"/>
                <w:lang w:val="es-MX" w:eastAsia="es-MX"/>
              </w:rPr>
            </w:pPr>
            <w:r w:rsidRPr="00773ECA">
              <w:rPr>
                <w:rFonts w:cs="Arial"/>
                <w:color w:val="000000"/>
                <w:spacing w:val="0"/>
                <w:sz w:val="16"/>
                <w:szCs w:val="16"/>
                <w:lang w:val="en-US" w:eastAsia="es-MX"/>
              </w:rPr>
              <w:t>16</w:t>
            </w:r>
          </w:p>
        </w:tc>
        <w:tc>
          <w:tcPr>
            <w:tcW w:w="640" w:type="dxa"/>
            <w:tcBorders>
              <w:top w:val="nil"/>
              <w:left w:val="nil"/>
              <w:bottom w:val="single" w:sz="8" w:space="0" w:color="auto"/>
              <w:right w:val="single" w:sz="8" w:space="0" w:color="auto"/>
            </w:tcBorders>
            <w:shd w:val="clear" w:color="auto" w:fill="auto"/>
            <w:noWrap/>
            <w:vAlign w:val="center"/>
            <w:hideMark/>
          </w:tcPr>
          <w:p w14:paraId="578592D7" w14:textId="77777777" w:rsidR="00FF139B" w:rsidRPr="00773ECA" w:rsidRDefault="00FF139B" w:rsidP="00D22441">
            <w:pPr>
              <w:jc w:val="center"/>
              <w:rPr>
                <w:rFonts w:cs="Arial"/>
                <w:color w:val="000000"/>
                <w:spacing w:val="0"/>
                <w:sz w:val="16"/>
                <w:szCs w:val="16"/>
                <w:lang w:val="es-MX" w:eastAsia="es-MX"/>
              </w:rPr>
            </w:pPr>
            <w:r w:rsidRPr="00773ECA">
              <w:rPr>
                <w:rFonts w:cs="Arial"/>
                <w:color w:val="000000"/>
                <w:spacing w:val="0"/>
                <w:sz w:val="16"/>
                <w:szCs w:val="16"/>
                <w:lang w:val="en-US" w:eastAsia="es-MX"/>
              </w:rPr>
              <w:t>SSF</w:t>
            </w:r>
          </w:p>
        </w:tc>
        <w:tc>
          <w:tcPr>
            <w:tcW w:w="3426" w:type="dxa"/>
            <w:tcBorders>
              <w:top w:val="nil"/>
              <w:left w:val="nil"/>
              <w:bottom w:val="single" w:sz="8" w:space="0" w:color="auto"/>
              <w:right w:val="single" w:sz="8" w:space="0" w:color="auto"/>
            </w:tcBorders>
            <w:shd w:val="clear" w:color="auto" w:fill="auto"/>
            <w:vAlign w:val="center"/>
            <w:hideMark/>
          </w:tcPr>
          <w:p w14:paraId="3A5F170A" w14:textId="77777777" w:rsidR="00FF139B" w:rsidRPr="00773ECA" w:rsidRDefault="00FF139B" w:rsidP="00D22441">
            <w:pPr>
              <w:jc w:val="left"/>
              <w:rPr>
                <w:rFonts w:cs="Arial"/>
                <w:color w:val="000000"/>
                <w:spacing w:val="0"/>
                <w:sz w:val="16"/>
                <w:szCs w:val="16"/>
                <w:lang w:val="es-MX" w:eastAsia="es-MX"/>
              </w:rPr>
            </w:pPr>
            <w:r w:rsidRPr="00773ECA">
              <w:rPr>
                <w:rFonts w:cs="Arial"/>
                <w:color w:val="000000"/>
                <w:spacing w:val="0"/>
                <w:sz w:val="16"/>
                <w:szCs w:val="16"/>
                <w:lang w:eastAsia="es-MX"/>
              </w:rPr>
              <w:t>ESTUDIOS Y ANÁLISIS PARA LA ADOPCIÓN DE MEDIDAS REGULATORIAS REQUERIDAS POR LOS SECTORES DE ENERGÍA ELÉCTRICA, GAS COMBUSTIBLE Y COMBUSTIBLES LÍQUIDOS A NIVEL NACIONAL</w:t>
            </w:r>
          </w:p>
        </w:tc>
        <w:tc>
          <w:tcPr>
            <w:tcW w:w="1400" w:type="dxa"/>
            <w:tcBorders>
              <w:top w:val="nil"/>
              <w:left w:val="nil"/>
              <w:bottom w:val="single" w:sz="8" w:space="0" w:color="auto"/>
              <w:right w:val="single" w:sz="8" w:space="0" w:color="auto"/>
            </w:tcBorders>
            <w:shd w:val="clear" w:color="auto" w:fill="auto"/>
            <w:noWrap/>
            <w:vAlign w:val="center"/>
            <w:hideMark/>
          </w:tcPr>
          <w:p w14:paraId="6D039D04" w14:textId="77777777" w:rsidR="00FF139B" w:rsidRPr="00773ECA" w:rsidRDefault="00FF139B" w:rsidP="00D22441">
            <w:pPr>
              <w:jc w:val="right"/>
              <w:rPr>
                <w:rFonts w:cs="Arial"/>
                <w:color w:val="000000"/>
                <w:spacing w:val="0"/>
                <w:sz w:val="16"/>
                <w:szCs w:val="16"/>
                <w:lang w:val="es-MX" w:eastAsia="es-MX"/>
              </w:rPr>
            </w:pPr>
            <w:r w:rsidRPr="00773ECA">
              <w:rPr>
                <w:rFonts w:cs="Arial"/>
                <w:color w:val="000000"/>
                <w:spacing w:val="0"/>
                <w:sz w:val="16"/>
                <w:szCs w:val="16"/>
                <w:lang w:val="es-MX" w:eastAsia="es-MX"/>
              </w:rPr>
              <w:t>$ 7.700.000.000</w:t>
            </w:r>
          </w:p>
        </w:tc>
        <w:tc>
          <w:tcPr>
            <w:tcW w:w="1580" w:type="dxa"/>
            <w:tcBorders>
              <w:top w:val="nil"/>
              <w:left w:val="nil"/>
              <w:bottom w:val="single" w:sz="8" w:space="0" w:color="auto"/>
              <w:right w:val="single" w:sz="8" w:space="0" w:color="auto"/>
            </w:tcBorders>
            <w:shd w:val="clear" w:color="auto" w:fill="auto"/>
            <w:noWrap/>
            <w:vAlign w:val="center"/>
            <w:hideMark/>
          </w:tcPr>
          <w:p w14:paraId="3EABA01C" w14:textId="77777777" w:rsidR="00FF139B" w:rsidRPr="00773ECA" w:rsidRDefault="00FF139B" w:rsidP="00D22441">
            <w:pPr>
              <w:jc w:val="right"/>
              <w:rPr>
                <w:rFonts w:cs="Arial"/>
                <w:color w:val="000000"/>
                <w:spacing w:val="0"/>
                <w:sz w:val="16"/>
                <w:szCs w:val="16"/>
                <w:lang w:val="es-MX" w:eastAsia="es-MX"/>
              </w:rPr>
            </w:pPr>
            <w:r w:rsidRPr="00773ECA">
              <w:rPr>
                <w:rFonts w:cs="Arial"/>
                <w:color w:val="000000"/>
                <w:spacing w:val="0"/>
                <w:sz w:val="16"/>
                <w:szCs w:val="16"/>
                <w:lang w:val="es-MX" w:eastAsia="es-MX"/>
              </w:rPr>
              <w:t>$ 7.700.000.000</w:t>
            </w:r>
          </w:p>
        </w:tc>
        <w:tc>
          <w:tcPr>
            <w:tcW w:w="1380" w:type="dxa"/>
            <w:tcBorders>
              <w:top w:val="nil"/>
              <w:left w:val="nil"/>
              <w:bottom w:val="single" w:sz="8" w:space="0" w:color="auto"/>
              <w:right w:val="single" w:sz="8" w:space="0" w:color="auto"/>
            </w:tcBorders>
            <w:shd w:val="clear" w:color="auto" w:fill="auto"/>
            <w:noWrap/>
            <w:vAlign w:val="center"/>
            <w:hideMark/>
          </w:tcPr>
          <w:p w14:paraId="592A1D2D" w14:textId="77777777" w:rsidR="00FF139B" w:rsidRPr="00773ECA" w:rsidRDefault="00FF139B" w:rsidP="00D22441">
            <w:pPr>
              <w:jc w:val="right"/>
              <w:rPr>
                <w:rFonts w:cs="Arial"/>
                <w:color w:val="000000"/>
                <w:spacing w:val="0"/>
                <w:sz w:val="16"/>
                <w:szCs w:val="16"/>
                <w:lang w:val="es-MX" w:eastAsia="es-MX"/>
              </w:rPr>
            </w:pPr>
            <w:r w:rsidRPr="00773ECA">
              <w:rPr>
                <w:rFonts w:cs="Arial"/>
                <w:color w:val="000000"/>
                <w:spacing w:val="0"/>
                <w:sz w:val="16"/>
                <w:szCs w:val="16"/>
                <w:lang w:val="en-US" w:eastAsia="es-MX"/>
              </w:rPr>
              <w:t>$ 0</w:t>
            </w:r>
          </w:p>
        </w:tc>
      </w:tr>
      <w:tr w:rsidR="00FF139B" w:rsidRPr="00773ECA" w14:paraId="6BC759D9" w14:textId="77777777" w:rsidTr="00313A48">
        <w:trPr>
          <w:trHeight w:val="640"/>
        </w:trPr>
        <w:tc>
          <w:tcPr>
            <w:tcW w:w="594" w:type="dxa"/>
            <w:tcBorders>
              <w:top w:val="nil"/>
              <w:left w:val="single" w:sz="8" w:space="0" w:color="auto"/>
              <w:bottom w:val="single" w:sz="8" w:space="0" w:color="auto"/>
              <w:right w:val="single" w:sz="8" w:space="0" w:color="auto"/>
            </w:tcBorders>
            <w:shd w:val="clear" w:color="auto" w:fill="auto"/>
            <w:noWrap/>
            <w:vAlign w:val="center"/>
            <w:hideMark/>
          </w:tcPr>
          <w:p w14:paraId="15366BE2" w14:textId="77777777" w:rsidR="00FF139B" w:rsidRPr="00773ECA" w:rsidRDefault="00FF139B" w:rsidP="00D22441">
            <w:pPr>
              <w:jc w:val="center"/>
              <w:rPr>
                <w:rFonts w:cs="Arial"/>
                <w:color w:val="000000"/>
                <w:spacing w:val="0"/>
                <w:sz w:val="16"/>
                <w:szCs w:val="16"/>
                <w:lang w:val="es-MX" w:eastAsia="es-MX"/>
              </w:rPr>
            </w:pPr>
            <w:r w:rsidRPr="00773ECA">
              <w:rPr>
                <w:rFonts w:cs="Arial"/>
                <w:color w:val="000000"/>
                <w:spacing w:val="0"/>
                <w:sz w:val="16"/>
                <w:szCs w:val="16"/>
                <w:lang w:val="en-US" w:eastAsia="es-MX"/>
              </w:rPr>
              <w:t>C</w:t>
            </w:r>
          </w:p>
        </w:tc>
        <w:tc>
          <w:tcPr>
            <w:tcW w:w="560" w:type="dxa"/>
            <w:tcBorders>
              <w:top w:val="nil"/>
              <w:left w:val="nil"/>
              <w:bottom w:val="single" w:sz="8" w:space="0" w:color="auto"/>
              <w:right w:val="single" w:sz="8" w:space="0" w:color="auto"/>
            </w:tcBorders>
            <w:shd w:val="clear" w:color="auto" w:fill="auto"/>
            <w:noWrap/>
            <w:vAlign w:val="center"/>
            <w:hideMark/>
          </w:tcPr>
          <w:p w14:paraId="63D56782" w14:textId="77777777" w:rsidR="00FF139B" w:rsidRPr="00773ECA" w:rsidRDefault="00FF139B" w:rsidP="00D22441">
            <w:pPr>
              <w:jc w:val="center"/>
              <w:rPr>
                <w:rFonts w:cs="Arial"/>
                <w:color w:val="000000"/>
                <w:spacing w:val="0"/>
                <w:sz w:val="16"/>
                <w:szCs w:val="16"/>
                <w:lang w:val="es-MX" w:eastAsia="es-MX"/>
              </w:rPr>
            </w:pPr>
            <w:r w:rsidRPr="00773ECA">
              <w:rPr>
                <w:rFonts w:cs="Arial"/>
                <w:color w:val="000000"/>
                <w:spacing w:val="0"/>
                <w:sz w:val="16"/>
                <w:szCs w:val="16"/>
                <w:lang w:val="en-US" w:eastAsia="es-MX"/>
              </w:rPr>
              <w:t>2199</w:t>
            </w:r>
          </w:p>
        </w:tc>
        <w:tc>
          <w:tcPr>
            <w:tcW w:w="540" w:type="dxa"/>
            <w:tcBorders>
              <w:top w:val="nil"/>
              <w:left w:val="nil"/>
              <w:bottom w:val="single" w:sz="8" w:space="0" w:color="auto"/>
              <w:right w:val="single" w:sz="8" w:space="0" w:color="auto"/>
            </w:tcBorders>
            <w:shd w:val="clear" w:color="auto" w:fill="auto"/>
            <w:noWrap/>
            <w:vAlign w:val="center"/>
            <w:hideMark/>
          </w:tcPr>
          <w:p w14:paraId="0CF0DF17" w14:textId="77777777" w:rsidR="00FF139B" w:rsidRPr="00773ECA" w:rsidRDefault="00FF139B" w:rsidP="00D22441">
            <w:pPr>
              <w:jc w:val="center"/>
              <w:rPr>
                <w:rFonts w:cs="Arial"/>
                <w:color w:val="000000"/>
                <w:spacing w:val="0"/>
                <w:sz w:val="16"/>
                <w:szCs w:val="16"/>
                <w:lang w:val="es-MX" w:eastAsia="es-MX"/>
              </w:rPr>
            </w:pPr>
            <w:r w:rsidRPr="00773ECA">
              <w:rPr>
                <w:rFonts w:cs="Arial"/>
                <w:color w:val="000000"/>
                <w:spacing w:val="0"/>
                <w:sz w:val="16"/>
                <w:szCs w:val="16"/>
                <w:lang w:val="en-US" w:eastAsia="es-MX"/>
              </w:rPr>
              <w:t>16</w:t>
            </w:r>
          </w:p>
        </w:tc>
        <w:tc>
          <w:tcPr>
            <w:tcW w:w="640" w:type="dxa"/>
            <w:tcBorders>
              <w:top w:val="nil"/>
              <w:left w:val="nil"/>
              <w:bottom w:val="single" w:sz="8" w:space="0" w:color="auto"/>
              <w:right w:val="single" w:sz="8" w:space="0" w:color="auto"/>
            </w:tcBorders>
            <w:shd w:val="clear" w:color="auto" w:fill="auto"/>
            <w:noWrap/>
            <w:vAlign w:val="center"/>
            <w:hideMark/>
          </w:tcPr>
          <w:p w14:paraId="0FAB284F" w14:textId="77777777" w:rsidR="00FF139B" w:rsidRPr="00773ECA" w:rsidRDefault="00FF139B" w:rsidP="00D22441">
            <w:pPr>
              <w:jc w:val="center"/>
              <w:rPr>
                <w:rFonts w:cs="Arial"/>
                <w:color w:val="000000"/>
                <w:spacing w:val="0"/>
                <w:sz w:val="16"/>
                <w:szCs w:val="16"/>
                <w:lang w:val="es-MX" w:eastAsia="es-MX"/>
              </w:rPr>
            </w:pPr>
            <w:r w:rsidRPr="00773ECA">
              <w:rPr>
                <w:rFonts w:cs="Arial"/>
                <w:color w:val="000000"/>
                <w:spacing w:val="0"/>
                <w:sz w:val="16"/>
                <w:szCs w:val="16"/>
                <w:lang w:val="en-US" w:eastAsia="es-MX"/>
              </w:rPr>
              <w:t>SSF</w:t>
            </w:r>
          </w:p>
        </w:tc>
        <w:tc>
          <w:tcPr>
            <w:tcW w:w="3426" w:type="dxa"/>
            <w:tcBorders>
              <w:top w:val="nil"/>
              <w:left w:val="nil"/>
              <w:bottom w:val="single" w:sz="8" w:space="0" w:color="auto"/>
              <w:right w:val="single" w:sz="8" w:space="0" w:color="auto"/>
            </w:tcBorders>
            <w:shd w:val="clear" w:color="auto" w:fill="auto"/>
            <w:vAlign w:val="center"/>
            <w:hideMark/>
          </w:tcPr>
          <w:p w14:paraId="343625F5" w14:textId="0295D9A8" w:rsidR="00FF139B" w:rsidRPr="00773ECA" w:rsidRDefault="00FF139B" w:rsidP="00D22441">
            <w:pPr>
              <w:jc w:val="left"/>
              <w:rPr>
                <w:rFonts w:cs="Arial"/>
                <w:color w:val="000000"/>
                <w:spacing w:val="0"/>
                <w:sz w:val="16"/>
                <w:szCs w:val="16"/>
                <w:lang w:val="es-MX" w:eastAsia="es-MX"/>
              </w:rPr>
            </w:pPr>
            <w:r w:rsidRPr="00773ECA">
              <w:rPr>
                <w:rFonts w:cs="Arial"/>
                <w:color w:val="000000"/>
                <w:spacing w:val="0"/>
                <w:sz w:val="16"/>
                <w:szCs w:val="16"/>
                <w:lang w:eastAsia="es-MX"/>
              </w:rPr>
              <w:t>FORTALECIMIENTO INSTITUCIONAL A PARTIR DEL APRENDIZAJE ORGANIZACIONAL A NIVEL NACIONAL</w:t>
            </w:r>
          </w:p>
        </w:tc>
        <w:tc>
          <w:tcPr>
            <w:tcW w:w="1400" w:type="dxa"/>
            <w:tcBorders>
              <w:top w:val="nil"/>
              <w:left w:val="nil"/>
              <w:bottom w:val="single" w:sz="8" w:space="0" w:color="auto"/>
              <w:right w:val="single" w:sz="8" w:space="0" w:color="auto"/>
            </w:tcBorders>
            <w:shd w:val="clear" w:color="auto" w:fill="auto"/>
            <w:noWrap/>
            <w:vAlign w:val="center"/>
            <w:hideMark/>
          </w:tcPr>
          <w:p w14:paraId="1C5AF7E1" w14:textId="77777777" w:rsidR="00FF139B" w:rsidRPr="00773ECA" w:rsidRDefault="00FF139B" w:rsidP="00D22441">
            <w:pPr>
              <w:jc w:val="right"/>
              <w:rPr>
                <w:rFonts w:cs="Arial"/>
                <w:color w:val="000000"/>
                <w:spacing w:val="0"/>
                <w:sz w:val="16"/>
                <w:szCs w:val="16"/>
                <w:lang w:val="es-MX" w:eastAsia="es-MX"/>
              </w:rPr>
            </w:pPr>
            <w:r w:rsidRPr="00773ECA">
              <w:rPr>
                <w:rFonts w:cs="Arial"/>
                <w:color w:val="000000"/>
                <w:spacing w:val="0"/>
                <w:sz w:val="16"/>
                <w:szCs w:val="16"/>
                <w:lang w:val="es-MX" w:eastAsia="es-MX"/>
              </w:rPr>
              <w:t>$ 310.000.000</w:t>
            </w:r>
          </w:p>
        </w:tc>
        <w:tc>
          <w:tcPr>
            <w:tcW w:w="1580" w:type="dxa"/>
            <w:tcBorders>
              <w:top w:val="nil"/>
              <w:left w:val="nil"/>
              <w:bottom w:val="single" w:sz="8" w:space="0" w:color="auto"/>
              <w:right w:val="single" w:sz="8" w:space="0" w:color="auto"/>
            </w:tcBorders>
            <w:shd w:val="clear" w:color="auto" w:fill="auto"/>
            <w:noWrap/>
            <w:vAlign w:val="center"/>
            <w:hideMark/>
          </w:tcPr>
          <w:p w14:paraId="68E43E57" w14:textId="77777777" w:rsidR="00FF139B" w:rsidRPr="00773ECA" w:rsidRDefault="00FF139B" w:rsidP="00D22441">
            <w:pPr>
              <w:jc w:val="right"/>
              <w:rPr>
                <w:rFonts w:cs="Arial"/>
                <w:color w:val="000000"/>
                <w:spacing w:val="0"/>
                <w:sz w:val="16"/>
                <w:szCs w:val="16"/>
                <w:lang w:val="es-MX" w:eastAsia="es-MX"/>
              </w:rPr>
            </w:pPr>
            <w:r w:rsidRPr="00773ECA">
              <w:rPr>
                <w:rFonts w:cs="Arial"/>
                <w:color w:val="000000"/>
                <w:spacing w:val="0"/>
                <w:sz w:val="16"/>
                <w:szCs w:val="16"/>
                <w:lang w:val="es-MX" w:eastAsia="es-MX"/>
              </w:rPr>
              <w:t>$ 310.000.000</w:t>
            </w:r>
          </w:p>
        </w:tc>
        <w:tc>
          <w:tcPr>
            <w:tcW w:w="1380" w:type="dxa"/>
            <w:tcBorders>
              <w:top w:val="nil"/>
              <w:left w:val="nil"/>
              <w:bottom w:val="single" w:sz="8" w:space="0" w:color="auto"/>
              <w:right w:val="single" w:sz="8" w:space="0" w:color="auto"/>
            </w:tcBorders>
            <w:shd w:val="clear" w:color="auto" w:fill="auto"/>
            <w:noWrap/>
            <w:vAlign w:val="center"/>
            <w:hideMark/>
          </w:tcPr>
          <w:p w14:paraId="17387403" w14:textId="77777777" w:rsidR="00FF139B" w:rsidRPr="00773ECA" w:rsidRDefault="00FF139B" w:rsidP="00D22441">
            <w:pPr>
              <w:jc w:val="right"/>
              <w:rPr>
                <w:rFonts w:cs="Arial"/>
                <w:color w:val="000000"/>
                <w:spacing w:val="0"/>
                <w:sz w:val="16"/>
                <w:szCs w:val="16"/>
                <w:lang w:val="es-MX" w:eastAsia="es-MX"/>
              </w:rPr>
            </w:pPr>
            <w:r w:rsidRPr="00773ECA">
              <w:rPr>
                <w:rFonts w:cs="Arial"/>
                <w:color w:val="000000"/>
                <w:spacing w:val="0"/>
                <w:sz w:val="16"/>
                <w:szCs w:val="16"/>
                <w:lang w:val="en-US" w:eastAsia="es-MX"/>
              </w:rPr>
              <w:t>$ 0</w:t>
            </w:r>
          </w:p>
        </w:tc>
      </w:tr>
      <w:tr w:rsidR="00FF139B" w:rsidRPr="00773ECA" w14:paraId="46C1A61F" w14:textId="77777777" w:rsidTr="00313A48">
        <w:trPr>
          <w:trHeight w:val="430"/>
        </w:trPr>
        <w:tc>
          <w:tcPr>
            <w:tcW w:w="594" w:type="dxa"/>
            <w:tcBorders>
              <w:top w:val="nil"/>
              <w:left w:val="single" w:sz="8" w:space="0" w:color="auto"/>
              <w:bottom w:val="nil"/>
              <w:right w:val="single" w:sz="8" w:space="0" w:color="auto"/>
            </w:tcBorders>
            <w:shd w:val="clear" w:color="auto" w:fill="auto"/>
            <w:noWrap/>
            <w:vAlign w:val="center"/>
            <w:hideMark/>
          </w:tcPr>
          <w:p w14:paraId="59CED3F7" w14:textId="77777777" w:rsidR="00FF139B" w:rsidRPr="00773ECA" w:rsidRDefault="00FF139B" w:rsidP="00D22441">
            <w:pPr>
              <w:jc w:val="center"/>
              <w:rPr>
                <w:rFonts w:cs="Arial"/>
                <w:color w:val="000000"/>
                <w:spacing w:val="0"/>
                <w:sz w:val="16"/>
                <w:szCs w:val="16"/>
                <w:lang w:val="es-MX" w:eastAsia="es-MX"/>
              </w:rPr>
            </w:pPr>
            <w:r w:rsidRPr="00773ECA">
              <w:rPr>
                <w:rFonts w:cs="Arial"/>
                <w:color w:val="000000"/>
                <w:spacing w:val="0"/>
                <w:sz w:val="16"/>
                <w:szCs w:val="16"/>
                <w:lang w:val="en-US" w:eastAsia="es-MX"/>
              </w:rPr>
              <w:t>C</w:t>
            </w:r>
          </w:p>
        </w:tc>
        <w:tc>
          <w:tcPr>
            <w:tcW w:w="560" w:type="dxa"/>
            <w:tcBorders>
              <w:top w:val="nil"/>
              <w:left w:val="nil"/>
              <w:bottom w:val="nil"/>
              <w:right w:val="single" w:sz="8" w:space="0" w:color="auto"/>
            </w:tcBorders>
            <w:shd w:val="clear" w:color="auto" w:fill="auto"/>
            <w:noWrap/>
            <w:vAlign w:val="center"/>
            <w:hideMark/>
          </w:tcPr>
          <w:p w14:paraId="6EA68790" w14:textId="77777777" w:rsidR="00FF139B" w:rsidRPr="00773ECA" w:rsidRDefault="00FF139B" w:rsidP="00D22441">
            <w:pPr>
              <w:jc w:val="center"/>
              <w:rPr>
                <w:rFonts w:cs="Arial"/>
                <w:color w:val="000000"/>
                <w:spacing w:val="0"/>
                <w:sz w:val="16"/>
                <w:szCs w:val="16"/>
                <w:lang w:val="es-MX" w:eastAsia="es-MX"/>
              </w:rPr>
            </w:pPr>
            <w:r w:rsidRPr="00773ECA">
              <w:rPr>
                <w:rFonts w:cs="Arial"/>
                <w:color w:val="000000"/>
                <w:spacing w:val="0"/>
                <w:sz w:val="16"/>
                <w:szCs w:val="16"/>
                <w:lang w:val="en-US" w:eastAsia="es-MX"/>
              </w:rPr>
              <w:t>2199</w:t>
            </w:r>
          </w:p>
        </w:tc>
        <w:tc>
          <w:tcPr>
            <w:tcW w:w="540" w:type="dxa"/>
            <w:tcBorders>
              <w:top w:val="nil"/>
              <w:left w:val="nil"/>
              <w:bottom w:val="nil"/>
              <w:right w:val="single" w:sz="8" w:space="0" w:color="auto"/>
            </w:tcBorders>
            <w:shd w:val="clear" w:color="auto" w:fill="auto"/>
            <w:noWrap/>
            <w:vAlign w:val="center"/>
            <w:hideMark/>
          </w:tcPr>
          <w:p w14:paraId="05ABA18B" w14:textId="77777777" w:rsidR="00FF139B" w:rsidRPr="00773ECA" w:rsidRDefault="00FF139B" w:rsidP="00D22441">
            <w:pPr>
              <w:jc w:val="center"/>
              <w:rPr>
                <w:rFonts w:cs="Arial"/>
                <w:color w:val="000000"/>
                <w:spacing w:val="0"/>
                <w:sz w:val="16"/>
                <w:szCs w:val="16"/>
                <w:lang w:val="es-MX" w:eastAsia="es-MX"/>
              </w:rPr>
            </w:pPr>
            <w:r w:rsidRPr="00773ECA">
              <w:rPr>
                <w:rFonts w:cs="Arial"/>
                <w:color w:val="000000"/>
                <w:spacing w:val="0"/>
                <w:sz w:val="16"/>
                <w:szCs w:val="16"/>
                <w:lang w:val="en-US" w:eastAsia="es-MX"/>
              </w:rPr>
              <w:t>16</w:t>
            </w:r>
          </w:p>
        </w:tc>
        <w:tc>
          <w:tcPr>
            <w:tcW w:w="640" w:type="dxa"/>
            <w:tcBorders>
              <w:top w:val="nil"/>
              <w:left w:val="nil"/>
              <w:bottom w:val="nil"/>
              <w:right w:val="single" w:sz="8" w:space="0" w:color="auto"/>
            </w:tcBorders>
            <w:shd w:val="clear" w:color="auto" w:fill="auto"/>
            <w:noWrap/>
            <w:vAlign w:val="center"/>
            <w:hideMark/>
          </w:tcPr>
          <w:p w14:paraId="2460F949" w14:textId="77777777" w:rsidR="00FF139B" w:rsidRPr="00773ECA" w:rsidRDefault="00FF139B" w:rsidP="00D22441">
            <w:pPr>
              <w:jc w:val="center"/>
              <w:rPr>
                <w:rFonts w:cs="Arial"/>
                <w:color w:val="000000"/>
                <w:spacing w:val="0"/>
                <w:sz w:val="16"/>
                <w:szCs w:val="16"/>
                <w:lang w:val="es-MX" w:eastAsia="es-MX"/>
              </w:rPr>
            </w:pPr>
            <w:r w:rsidRPr="00773ECA">
              <w:rPr>
                <w:rFonts w:cs="Arial"/>
                <w:color w:val="000000"/>
                <w:spacing w:val="0"/>
                <w:sz w:val="16"/>
                <w:szCs w:val="16"/>
                <w:lang w:val="en-US" w:eastAsia="es-MX"/>
              </w:rPr>
              <w:t>SSF</w:t>
            </w:r>
          </w:p>
        </w:tc>
        <w:tc>
          <w:tcPr>
            <w:tcW w:w="3426" w:type="dxa"/>
            <w:tcBorders>
              <w:top w:val="nil"/>
              <w:left w:val="nil"/>
              <w:bottom w:val="nil"/>
              <w:right w:val="single" w:sz="8" w:space="0" w:color="auto"/>
            </w:tcBorders>
            <w:shd w:val="clear" w:color="auto" w:fill="auto"/>
            <w:vAlign w:val="center"/>
            <w:hideMark/>
          </w:tcPr>
          <w:p w14:paraId="37482A4E" w14:textId="33F93291" w:rsidR="00FF139B" w:rsidRPr="00773ECA" w:rsidRDefault="00FF139B" w:rsidP="00D22441">
            <w:pPr>
              <w:jc w:val="left"/>
              <w:rPr>
                <w:rFonts w:cs="Arial"/>
                <w:color w:val="000000"/>
                <w:spacing w:val="0"/>
                <w:sz w:val="16"/>
                <w:szCs w:val="16"/>
                <w:lang w:val="es-MX" w:eastAsia="es-MX"/>
              </w:rPr>
            </w:pPr>
            <w:r w:rsidRPr="00773ECA">
              <w:rPr>
                <w:rFonts w:cs="Arial"/>
                <w:color w:val="000000"/>
                <w:spacing w:val="0"/>
                <w:sz w:val="16"/>
                <w:szCs w:val="16"/>
                <w:lang w:eastAsia="es-MX"/>
              </w:rPr>
              <w:t xml:space="preserve">MEJORAMIENTO Y MODERNIZACIÓN DE LAS TICS DE LA CREG A NIVEL NACIONAL </w:t>
            </w:r>
          </w:p>
        </w:tc>
        <w:tc>
          <w:tcPr>
            <w:tcW w:w="1400" w:type="dxa"/>
            <w:tcBorders>
              <w:top w:val="nil"/>
              <w:left w:val="nil"/>
              <w:bottom w:val="single" w:sz="8" w:space="0" w:color="auto"/>
              <w:right w:val="single" w:sz="8" w:space="0" w:color="auto"/>
            </w:tcBorders>
            <w:shd w:val="clear" w:color="auto" w:fill="auto"/>
            <w:noWrap/>
            <w:vAlign w:val="center"/>
            <w:hideMark/>
          </w:tcPr>
          <w:p w14:paraId="668BC26F" w14:textId="77777777" w:rsidR="00FF139B" w:rsidRPr="00773ECA" w:rsidRDefault="00FF139B" w:rsidP="00D22441">
            <w:pPr>
              <w:jc w:val="right"/>
              <w:rPr>
                <w:rFonts w:cs="Arial"/>
                <w:color w:val="000000"/>
                <w:spacing w:val="0"/>
                <w:sz w:val="16"/>
                <w:szCs w:val="16"/>
                <w:lang w:val="es-MX" w:eastAsia="es-MX"/>
              </w:rPr>
            </w:pPr>
            <w:r w:rsidRPr="00773ECA">
              <w:rPr>
                <w:rFonts w:cs="Arial"/>
                <w:color w:val="000000"/>
                <w:spacing w:val="0"/>
                <w:sz w:val="16"/>
                <w:szCs w:val="16"/>
                <w:lang w:val="es-MX" w:eastAsia="es-MX"/>
              </w:rPr>
              <w:t>$ 2.900.000.000</w:t>
            </w:r>
          </w:p>
        </w:tc>
        <w:tc>
          <w:tcPr>
            <w:tcW w:w="1580" w:type="dxa"/>
            <w:tcBorders>
              <w:top w:val="nil"/>
              <w:left w:val="nil"/>
              <w:bottom w:val="single" w:sz="8" w:space="0" w:color="auto"/>
              <w:right w:val="single" w:sz="8" w:space="0" w:color="auto"/>
            </w:tcBorders>
            <w:shd w:val="clear" w:color="auto" w:fill="auto"/>
            <w:noWrap/>
            <w:vAlign w:val="center"/>
            <w:hideMark/>
          </w:tcPr>
          <w:p w14:paraId="1AAEFCD6" w14:textId="77777777" w:rsidR="00FF139B" w:rsidRPr="00773ECA" w:rsidRDefault="00FF139B" w:rsidP="00D22441">
            <w:pPr>
              <w:jc w:val="right"/>
              <w:rPr>
                <w:rFonts w:cs="Arial"/>
                <w:color w:val="000000"/>
                <w:spacing w:val="0"/>
                <w:sz w:val="16"/>
                <w:szCs w:val="16"/>
                <w:lang w:val="es-MX" w:eastAsia="es-MX"/>
              </w:rPr>
            </w:pPr>
            <w:r w:rsidRPr="00773ECA">
              <w:rPr>
                <w:rFonts w:cs="Arial"/>
                <w:color w:val="000000"/>
                <w:spacing w:val="0"/>
                <w:sz w:val="16"/>
                <w:szCs w:val="16"/>
                <w:lang w:val="es-MX" w:eastAsia="es-MX"/>
              </w:rPr>
              <w:t>$ 2.900.000.000</w:t>
            </w:r>
          </w:p>
        </w:tc>
        <w:tc>
          <w:tcPr>
            <w:tcW w:w="1380" w:type="dxa"/>
            <w:tcBorders>
              <w:top w:val="nil"/>
              <w:left w:val="nil"/>
              <w:bottom w:val="nil"/>
              <w:right w:val="single" w:sz="8" w:space="0" w:color="auto"/>
            </w:tcBorders>
            <w:shd w:val="clear" w:color="auto" w:fill="auto"/>
            <w:noWrap/>
            <w:vAlign w:val="center"/>
            <w:hideMark/>
          </w:tcPr>
          <w:p w14:paraId="46264F6B" w14:textId="77777777" w:rsidR="00FF139B" w:rsidRPr="00773ECA" w:rsidRDefault="00FF139B" w:rsidP="00D22441">
            <w:pPr>
              <w:jc w:val="right"/>
              <w:rPr>
                <w:rFonts w:cs="Arial"/>
                <w:color w:val="000000"/>
                <w:spacing w:val="0"/>
                <w:sz w:val="16"/>
                <w:szCs w:val="16"/>
                <w:lang w:val="es-MX" w:eastAsia="es-MX"/>
              </w:rPr>
            </w:pPr>
            <w:r w:rsidRPr="00773ECA">
              <w:rPr>
                <w:rFonts w:cs="Arial"/>
                <w:color w:val="000000"/>
                <w:spacing w:val="0"/>
                <w:sz w:val="16"/>
                <w:szCs w:val="16"/>
                <w:lang w:val="en-US" w:eastAsia="es-MX"/>
              </w:rPr>
              <w:t>$ 0</w:t>
            </w:r>
          </w:p>
        </w:tc>
      </w:tr>
      <w:tr w:rsidR="00FF139B" w:rsidRPr="00773ECA" w14:paraId="6FB47301" w14:textId="77777777" w:rsidTr="00313A48">
        <w:trPr>
          <w:trHeight w:val="300"/>
        </w:trPr>
        <w:tc>
          <w:tcPr>
            <w:tcW w:w="5760" w:type="dxa"/>
            <w:gridSpan w:val="5"/>
            <w:tcBorders>
              <w:top w:val="single" w:sz="8" w:space="0" w:color="FFFFFF"/>
              <w:left w:val="single" w:sz="8" w:space="0" w:color="FFFFFF"/>
              <w:bottom w:val="single" w:sz="8" w:space="0" w:color="FFFFFF"/>
              <w:right w:val="single" w:sz="8" w:space="0" w:color="FFFFFF"/>
            </w:tcBorders>
            <w:shd w:val="clear" w:color="000000" w:fill="1F4E78"/>
            <w:vAlign w:val="center"/>
            <w:hideMark/>
          </w:tcPr>
          <w:p w14:paraId="0E0EBC78" w14:textId="77777777" w:rsidR="00FF139B" w:rsidRPr="00773ECA" w:rsidRDefault="00FF139B" w:rsidP="00D22441">
            <w:pPr>
              <w:jc w:val="center"/>
              <w:rPr>
                <w:rFonts w:cs="Arial"/>
                <w:b/>
                <w:bCs/>
                <w:color w:val="FFFFFF"/>
                <w:spacing w:val="0"/>
                <w:sz w:val="16"/>
                <w:szCs w:val="16"/>
                <w:lang w:val="es-MX" w:eastAsia="es-MX"/>
              </w:rPr>
            </w:pPr>
            <w:r w:rsidRPr="00773ECA">
              <w:rPr>
                <w:rFonts w:cs="Arial"/>
                <w:b/>
                <w:bCs/>
                <w:color w:val="FFFFFF"/>
                <w:spacing w:val="0"/>
                <w:sz w:val="16"/>
                <w:szCs w:val="16"/>
                <w:lang w:val="en-US" w:eastAsia="es-MX"/>
              </w:rPr>
              <w:t>TOTAL PRESUPUESTO</w:t>
            </w:r>
          </w:p>
        </w:tc>
        <w:tc>
          <w:tcPr>
            <w:tcW w:w="1400" w:type="dxa"/>
            <w:tcBorders>
              <w:top w:val="single" w:sz="8" w:space="0" w:color="FFFFFF"/>
              <w:left w:val="nil"/>
              <w:bottom w:val="single" w:sz="8" w:space="0" w:color="FFFFFF"/>
              <w:right w:val="single" w:sz="8" w:space="0" w:color="FFFFFF"/>
            </w:tcBorders>
            <w:shd w:val="clear" w:color="000000" w:fill="1F4E78"/>
            <w:noWrap/>
            <w:vAlign w:val="center"/>
            <w:hideMark/>
          </w:tcPr>
          <w:p w14:paraId="66610CD3" w14:textId="77777777" w:rsidR="00FF139B" w:rsidRPr="00773ECA" w:rsidRDefault="00FF139B" w:rsidP="00D22441">
            <w:pPr>
              <w:jc w:val="right"/>
              <w:rPr>
                <w:rFonts w:cs="Arial"/>
                <w:b/>
                <w:bCs/>
                <w:color w:val="FFFFFF"/>
                <w:spacing w:val="0"/>
                <w:sz w:val="16"/>
                <w:szCs w:val="16"/>
                <w:lang w:val="es-MX" w:eastAsia="es-MX"/>
              </w:rPr>
            </w:pPr>
            <w:r w:rsidRPr="00773ECA">
              <w:rPr>
                <w:rFonts w:cs="Arial"/>
                <w:b/>
                <w:bCs/>
                <w:color w:val="FFFFFF"/>
                <w:spacing w:val="0"/>
                <w:sz w:val="16"/>
                <w:szCs w:val="16"/>
                <w:lang w:val="en-US" w:eastAsia="es-MX"/>
              </w:rPr>
              <w:t>$ 45.445.174.004</w:t>
            </w:r>
          </w:p>
        </w:tc>
        <w:tc>
          <w:tcPr>
            <w:tcW w:w="1580" w:type="dxa"/>
            <w:tcBorders>
              <w:top w:val="single" w:sz="8" w:space="0" w:color="FFFFFF"/>
              <w:left w:val="nil"/>
              <w:bottom w:val="single" w:sz="8" w:space="0" w:color="FFFFFF"/>
              <w:right w:val="single" w:sz="8" w:space="0" w:color="FFFFFF"/>
            </w:tcBorders>
            <w:shd w:val="clear" w:color="000000" w:fill="1F4E78"/>
            <w:noWrap/>
            <w:vAlign w:val="center"/>
            <w:hideMark/>
          </w:tcPr>
          <w:p w14:paraId="3435F490" w14:textId="77777777" w:rsidR="00FF139B" w:rsidRPr="00773ECA" w:rsidRDefault="00FF139B" w:rsidP="00D22441">
            <w:pPr>
              <w:jc w:val="right"/>
              <w:rPr>
                <w:rFonts w:cs="Arial"/>
                <w:b/>
                <w:bCs/>
                <w:color w:val="FFFFFF"/>
                <w:spacing w:val="0"/>
                <w:sz w:val="16"/>
                <w:szCs w:val="16"/>
                <w:lang w:val="es-MX" w:eastAsia="es-MX"/>
              </w:rPr>
            </w:pPr>
            <w:r w:rsidRPr="00773ECA">
              <w:rPr>
                <w:rFonts w:cs="Arial"/>
                <w:b/>
                <w:bCs/>
                <w:color w:val="FFFFFF"/>
                <w:spacing w:val="0"/>
                <w:sz w:val="16"/>
                <w:szCs w:val="16"/>
                <w:lang w:val="en-US" w:eastAsia="es-MX"/>
              </w:rPr>
              <w:t>$ 40.194.783.004</w:t>
            </w:r>
          </w:p>
        </w:tc>
        <w:tc>
          <w:tcPr>
            <w:tcW w:w="1380" w:type="dxa"/>
            <w:tcBorders>
              <w:top w:val="single" w:sz="8" w:space="0" w:color="FFFFFF"/>
              <w:left w:val="nil"/>
              <w:bottom w:val="single" w:sz="8" w:space="0" w:color="FFFFFF"/>
              <w:right w:val="single" w:sz="8" w:space="0" w:color="FFFFFF"/>
            </w:tcBorders>
            <w:shd w:val="clear" w:color="000000" w:fill="1F4E78"/>
            <w:noWrap/>
            <w:vAlign w:val="center"/>
            <w:hideMark/>
          </w:tcPr>
          <w:p w14:paraId="14F40019" w14:textId="77777777" w:rsidR="00FF139B" w:rsidRPr="00773ECA" w:rsidRDefault="00FF139B" w:rsidP="00D22441">
            <w:pPr>
              <w:jc w:val="right"/>
              <w:rPr>
                <w:rFonts w:cs="Arial"/>
                <w:b/>
                <w:bCs/>
                <w:color w:val="FFFFFF"/>
                <w:spacing w:val="0"/>
                <w:sz w:val="16"/>
                <w:szCs w:val="16"/>
                <w:lang w:val="es-MX" w:eastAsia="es-MX"/>
              </w:rPr>
            </w:pPr>
            <w:r w:rsidRPr="00773ECA">
              <w:rPr>
                <w:rFonts w:cs="Arial"/>
                <w:b/>
                <w:bCs/>
                <w:color w:val="FFFFFF"/>
                <w:spacing w:val="0"/>
                <w:sz w:val="16"/>
                <w:szCs w:val="16"/>
                <w:lang w:val="en-US" w:eastAsia="es-MX"/>
              </w:rPr>
              <w:t>$ 5.250.391.000</w:t>
            </w:r>
          </w:p>
        </w:tc>
      </w:tr>
    </w:tbl>
    <w:p w14:paraId="1218825F" w14:textId="77777777" w:rsidR="00E42F9D" w:rsidRDefault="00E42F9D" w:rsidP="00E42F9D">
      <w:pPr>
        <w:pStyle w:val="Subttulo"/>
        <w:spacing w:after="0"/>
        <w:ind w:left="357"/>
        <w:jc w:val="left"/>
        <w:rPr>
          <w:b/>
          <w:bCs/>
          <w:sz w:val="22"/>
          <w:szCs w:val="22"/>
        </w:rPr>
      </w:pPr>
      <w:bookmarkStart w:id="33" w:name="COSTOSACTIVIDADREGULATORIA2023"/>
    </w:p>
    <w:p w14:paraId="1CDC2518" w14:textId="5F4FC3D4" w:rsidR="00680B77" w:rsidRPr="00CC5937" w:rsidRDefault="00680B77" w:rsidP="00D22441">
      <w:pPr>
        <w:pStyle w:val="Subttulo"/>
        <w:numPr>
          <w:ilvl w:val="1"/>
          <w:numId w:val="37"/>
        </w:numPr>
        <w:spacing w:after="0"/>
        <w:ind w:left="357" w:hanging="357"/>
        <w:jc w:val="left"/>
        <w:rPr>
          <w:b/>
          <w:bCs/>
          <w:sz w:val="22"/>
          <w:szCs w:val="22"/>
        </w:rPr>
      </w:pPr>
      <w:bookmarkStart w:id="34" w:name="_Toc147154300"/>
      <w:r w:rsidRPr="00CC5937">
        <w:rPr>
          <w:b/>
          <w:bCs/>
          <w:sz w:val="22"/>
          <w:szCs w:val="22"/>
        </w:rPr>
        <w:t xml:space="preserve">COSTOS DE </w:t>
      </w:r>
      <w:r>
        <w:rPr>
          <w:b/>
          <w:bCs/>
          <w:sz w:val="22"/>
          <w:szCs w:val="22"/>
        </w:rPr>
        <w:t>LA ACTIVIDAD REGULATORIA</w:t>
      </w:r>
      <w:r w:rsidR="00C447D2">
        <w:rPr>
          <w:b/>
          <w:bCs/>
          <w:sz w:val="22"/>
          <w:szCs w:val="22"/>
        </w:rPr>
        <w:t>.</w:t>
      </w:r>
      <w:bookmarkEnd w:id="34"/>
    </w:p>
    <w:bookmarkEnd w:id="33"/>
    <w:p w14:paraId="561330A0" w14:textId="77777777" w:rsidR="00680B77" w:rsidRPr="00EC680A" w:rsidRDefault="00680B77" w:rsidP="00D22441">
      <w:pPr>
        <w:rPr>
          <w:rFonts w:cs="Arial"/>
          <w:sz w:val="22"/>
          <w:szCs w:val="22"/>
        </w:rPr>
      </w:pPr>
    </w:p>
    <w:p w14:paraId="7BC78404" w14:textId="313C86BD" w:rsidR="00EC680A" w:rsidRPr="00EC680A" w:rsidRDefault="00EC680A" w:rsidP="00D22441">
      <w:pPr>
        <w:rPr>
          <w:rFonts w:cs="Arial"/>
          <w:sz w:val="22"/>
          <w:szCs w:val="22"/>
        </w:rPr>
      </w:pPr>
      <w:r w:rsidRPr="00EC680A">
        <w:rPr>
          <w:rFonts w:cs="Arial"/>
          <w:sz w:val="22"/>
          <w:szCs w:val="22"/>
        </w:rPr>
        <w:t xml:space="preserve">Conforme con el numeral 85.1 del artículo 85 de la Ley 142 de 1994, para definir los costos de los servicios que presta la CREG, se tomó el presupuesto anual de gastos </w:t>
      </w:r>
      <w:r w:rsidR="00060844">
        <w:rPr>
          <w:rFonts w:cs="Arial"/>
          <w:sz w:val="22"/>
          <w:szCs w:val="22"/>
        </w:rPr>
        <w:t>vigente</w:t>
      </w:r>
      <w:r w:rsidRPr="00EC680A">
        <w:rPr>
          <w:rFonts w:cs="Arial"/>
          <w:sz w:val="22"/>
          <w:szCs w:val="22"/>
        </w:rPr>
        <w:t xml:space="preserve"> </w:t>
      </w:r>
      <w:r w:rsidR="00CC34B7">
        <w:rPr>
          <w:rFonts w:cs="Arial"/>
          <w:sz w:val="22"/>
          <w:szCs w:val="22"/>
        </w:rPr>
        <w:t>de</w:t>
      </w:r>
      <w:r w:rsidRPr="00EC680A">
        <w:rPr>
          <w:rFonts w:cs="Arial"/>
          <w:sz w:val="22"/>
          <w:szCs w:val="22"/>
        </w:rPr>
        <w:t xml:space="preserve"> la entidad para la vigencia 202</w:t>
      </w:r>
      <w:r w:rsidR="00C10F5C">
        <w:rPr>
          <w:rFonts w:cs="Arial"/>
          <w:sz w:val="22"/>
          <w:szCs w:val="22"/>
        </w:rPr>
        <w:t>3</w:t>
      </w:r>
      <w:r w:rsidRPr="00EC680A">
        <w:rPr>
          <w:rFonts w:cs="Arial"/>
          <w:sz w:val="22"/>
          <w:szCs w:val="22"/>
        </w:rPr>
        <w:t xml:space="preserve">, el cual está integrado por los gastos de funcionamiento, servicio de la deuda pública e </w:t>
      </w:r>
      <w:r w:rsidRPr="00EC680A">
        <w:rPr>
          <w:rFonts w:cs="Arial"/>
          <w:sz w:val="22"/>
          <w:szCs w:val="22"/>
        </w:rPr>
        <w:lastRenderedPageBreak/>
        <w:t>inversión, a la luz de lo dispuesto en el artículo 36 del Estatuto Orgánico del Presupuesto</w:t>
      </w:r>
      <w:r w:rsidRPr="00EC680A">
        <w:rPr>
          <w:rStyle w:val="Refdenotaalpie"/>
          <w:rFonts w:cs="Arial"/>
          <w:sz w:val="22"/>
          <w:szCs w:val="22"/>
        </w:rPr>
        <w:footnoteReference w:id="7"/>
      </w:r>
      <w:r w:rsidRPr="00EC680A">
        <w:rPr>
          <w:rFonts w:cs="Arial"/>
          <w:sz w:val="22"/>
          <w:szCs w:val="22"/>
        </w:rPr>
        <w:t xml:space="preserve"> y el artículo 2.8.3.1.2 del Decreto 1068 de 2015</w:t>
      </w:r>
      <w:r w:rsidRPr="00EC680A">
        <w:rPr>
          <w:rStyle w:val="Refdenotaalpie"/>
          <w:rFonts w:cs="Arial"/>
          <w:sz w:val="22"/>
          <w:szCs w:val="22"/>
        </w:rPr>
        <w:footnoteReference w:id="8"/>
      </w:r>
    </w:p>
    <w:p w14:paraId="2F45E9AE" w14:textId="005120F6" w:rsidR="00280F88" w:rsidRDefault="00D11B0B" w:rsidP="00D22441">
      <w:pPr>
        <w:rPr>
          <w:sz w:val="22"/>
          <w:szCs w:val="22"/>
        </w:rPr>
      </w:pPr>
      <w:r>
        <w:rPr>
          <w:sz w:val="22"/>
          <w:szCs w:val="22"/>
        </w:rPr>
        <w:t>De esta forma</w:t>
      </w:r>
      <w:r w:rsidR="004756AE">
        <w:rPr>
          <w:sz w:val="22"/>
          <w:szCs w:val="22"/>
        </w:rPr>
        <w:t>, a</w:t>
      </w:r>
      <w:r w:rsidR="00280F88" w:rsidRPr="00EC680A">
        <w:rPr>
          <w:sz w:val="22"/>
          <w:szCs w:val="22"/>
        </w:rPr>
        <w:t xml:space="preserve"> través de la liquidación, cobro</w:t>
      </w:r>
      <w:r w:rsidR="00280F88" w:rsidRPr="00F7256E">
        <w:rPr>
          <w:sz w:val="22"/>
          <w:szCs w:val="22"/>
        </w:rPr>
        <w:t xml:space="preserve"> y recaudo de la contribución especial se financia </w:t>
      </w:r>
      <w:r w:rsidR="004756AE">
        <w:rPr>
          <w:sz w:val="22"/>
          <w:szCs w:val="22"/>
        </w:rPr>
        <w:t>la porción d</w:t>
      </w:r>
      <w:r w:rsidR="00280F88" w:rsidRPr="00F7256E">
        <w:rPr>
          <w:sz w:val="22"/>
          <w:szCs w:val="22"/>
        </w:rPr>
        <w:t>el presupuesto de la CREG, con el fin de recuperar los costos del servicio de la actividad regulatoria</w:t>
      </w:r>
      <w:r w:rsidR="00897A2C">
        <w:rPr>
          <w:sz w:val="22"/>
          <w:szCs w:val="22"/>
        </w:rPr>
        <w:t xml:space="preserve"> de los servicios de energía y gas combustible</w:t>
      </w:r>
      <w:r w:rsidR="005C7A0A">
        <w:rPr>
          <w:sz w:val="22"/>
          <w:szCs w:val="22"/>
        </w:rPr>
        <w:t>, en la proporción correspondiente a los recursos sin situación de fondos (SSF)</w:t>
      </w:r>
      <w:r w:rsidR="0020406B">
        <w:rPr>
          <w:sz w:val="22"/>
          <w:szCs w:val="22"/>
        </w:rPr>
        <w:t xml:space="preserve"> aprobados para la vigencia 202</w:t>
      </w:r>
      <w:r w:rsidR="00C10F5C">
        <w:rPr>
          <w:sz w:val="22"/>
          <w:szCs w:val="22"/>
        </w:rPr>
        <w:t>3</w:t>
      </w:r>
      <w:r w:rsidR="008A1DBF">
        <w:rPr>
          <w:sz w:val="22"/>
          <w:szCs w:val="22"/>
        </w:rPr>
        <w:t xml:space="preserve">, la Comisión descontará del presupuesto objetivo de recaudo, los recursos nación (10) con situación de fondos (CSF) </w:t>
      </w:r>
      <w:r w:rsidR="00664575">
        <w:rPr>
          <w:sz w:val="22"/>
          <w:szCs w:val="22"/>
        </w:rPr>
        <w:t>colocados</w:t>
      </w:r>
      <w:r w:rsidR="008A1DBF">
        <w:rPr>
          <w:sz w:val="22"/>
          <w:szCs w:val="22"/>
        </w:rPr>
        <w:t xml:space="preserve"> por </w:t>
      </w:r>
      <w:r w:rsidR="00C64AA9">
        <w:rPr>
          <w:sz w:val="22"/>
          <w:szCs w:val="22"/>
        </w:rPr>
        <w:t xml:space="preserve">la </w:t>
      </w:r>
      <w:r w:rsidR="00664575">
        <w:rPr>
          <w:sz w:val="22"/>
          <w:szCs w:val="22"/>
        </w:rPr>
        <w:t xml:space="preserve">DGCPTN </w:t>
      </w:r>
      <w:r w:rsidR="00D51347">
        <w:rPr>
          <w:sz w:val="22"/>
          <w:szCs w:val="22"/>
        </w:rPr>
        <w:t xml:space="preserve">y la </w:t>
      </w:r>
      <w:r w:rsidR="005D1565">
        <w:rPr>
          <w:sz w:val="22"/>
          <w:szCs w:val="22"/>
        </w:rPr>
        <w:t>transferencia para el Fondo Empresarial administrado por la SSPD.</w:t>
      </w:r>
    </w:p>
    <w:p w14:paraId="4D2B83CE" w14:textId="77777777" w:rsidR="00345622" w:rsidRDefault="00345622" w:rsidP="00D22441">
      <w:pPr>
        <w:rPr>
          <w:sz w:val="22"/>
          <w:szCs w:val="22"/>
        </w:rPr>
      </w:pPr>
    </w:p>
    <w:p w14:paraId="78448EE4" w14:textId="6928BDDE" w:rsidR="00345622" w:rsidRPr="003D59B0" w:rsidRDefault="00345622" w:rsidP="00345622">
      <w:pPr>
        <w:rPr>
          <w:rFonts w:cs="Arial"/>
          <w:sz w:val="22"/>
          <w:szCs w:val="22"/>
        </w:rPr>
      </w:pPr>
      <w:r>
        <w:rPr>
          <w:rFonts w:cs="Arial"/>
          <w:sz w:val="22"/>
          <w:szCs w:val="22"/>
        </w:rPr>
        <w:t>Como resultado de la anterior determinación, d</w:t>
      </w:r>
      <w:r w:rsidRPr="003D59B0">
        <w:rPr>
          <w:rFonts w:cs="Arial"/>
          <w:sz w:val="22"/>
          <w:szCs w:val="22"/>
        </w:rPr>
        <w:t xml:space="preserve">e la anterior apropiación presupuestal </w:t>
      </w:r>
      <w:r>
        <w:rPr>
          <w:rFonts w:cs="Arial"/>
          <w:sz w:val="22"/>
          <w:szCs w:val="22"/>
        </w:rPr>
        <w:t>vigente</w:t>
      </w:r>
      <w:r w:rsidRPr="003D59B0">
        <w:rPr>
          <w:rFonts w:cs="Arial"/>
          <w:sz w:val="22"/>
          <w:szCs w:val="22"/>
        </w:rPr>
        <w:t xml:space="preserve"> para la vigencia 202</w:t>
      </w:r>
      <w:r>
        <w:rPr>
          <w:rFonts w:cs="Arial"/>
          <w:sz w:val="22"/>
          <w:szCs w:val="22"/>
        </w:rPr>
        <w:t>3</w:t>
      </w:r>
      <w:r w:rsidRPr="003D59B0">
        <w:rPr>
          <w:rFonts w:cs="Arial"/>
          <w:sz w:val="22"/>
          <w:szCs w:val="22"/>
        </w:rPr>
        <w:t xml:space="preserve">, el valor que debe ser cubierto con el recaudo de la contribución especial de que trata el artículo 85 de la Ley 142 de 1994, son los aforados como recursos 16 – Fondos Especiales, Sin Situación de Fondos – SSF, que ascienden a la suma de </w:t>
      </w:r>
      <w:r w:rsidRPr="00017459">
        <w:rPr>
          <w:rFonts w:cs="Arial"/>
          <w:sz w:val="22"/>
          <w:szCs w:val="22"/>
        </w:rPr>
        <w:t>$40.194.783.004</w:t>
      </w:r>
      <w:r w:rsidRPr="003D59B0">
        <w:rPr>
          <w:rFonts w:cs="Arial"/>
          <w:sz w:val="22"/>
          <w:szCs w:val="22"/>
        </w:rPr>
        <w:t>, que restando las transferencias de excedentes al Fondo Empresarial, da como resultado un valor neto presupuestal base para la  contribución especial 202</w:t>
      </w:r>
      <w:r>
        <w:rPr>
          <w:rFonts w:cs="Arial"/>
          <w:sz w:val="22"/>
          <w:szCs w:val="22"/>
        </w:rPr>
        <w:t>3</w:t>
      </w:r>
      <w:r w:rsidRPr="003D59B0">
        <w:rPr>
          <w:rFonts w:cs="Arial"/>
          <w:sz w:val="22"/>
          <w:szCs w:val="22"/>
        </w:rPr>
        <w:t xml:space="preserve"> por el valor de: TREINTA Y </w:t>
      </w:r>
      <w:r>
        <w:rPr>
          <w:rFonts w:cs="Arial"/>
          <w:sz w:val="22"/>
          <w:szCs w:val="22"/>
        </w:rPr>
        <w:t xml:space="preserve">SIETE </w:t>
      </w:r>
      <w:r w:rsidRPr="003D59B0">
        <w:rPr>
          <w:rFonts w:cs="Arial"/>
          <w:sz w:val="22"/>
          <w:szCs w:val="22"/>
        </w:rPr>
        <w:t xml:space="preserve">MIL </w:t>
      </w:r>
      <w:r>
        <w:rPr>
          <w:rFonts w:cs="Arial"/>
          <w:sz w:val="22"/>
          <w:szCs w:val="22"/>
        </w:rPr>
        <w:t xml:space="preserve">SETECIENTOS CINCUENTA MILLONES TRESCIENTOS SESENTA Y SEIS </w:t>
      </w:r>
      <w:r w:rsidRPr="003D59B0">
        <w:rPr>
          <w:rFonts w:cs="Arial"/>
          <w:sz w:val="22"/>
          <w:szCs w:val="22"/>
        </w:rPr>
        <w:t xml:space="preserve">MIL </w:t>
      </w:r>
      <w:r>
        <w:rPr>
          <w:rFonts w:cs="Arial"/>
          <w:sz w:val="22"/>
          <w:szCs w:val="22"/>
        </w:rPr>
        <w:t>CINCUENTA Y CINCO</w:t>
      </w:r>
      <w:r w:rsidRPr="003D59B0">
        <w:rPr>
          <w:rFonts w:cs="Arial"/>
          <w:sz w:val="22"/>
          <w:szCs w:val="22"/>
        </w:rPr>
        <w:t xml:space="preserve"> PESOS M/CTE. ($</w:t>
      </w:r>
      <w:r w:rsidRPr="00F04BD8">
        <w:rPr>
          <w:rFonts w:cs="Arial"/>
          <w:sz w:val="22"/>
          <w:szCs w:val="22"/>
        </w:rPr>
        <w:t>37.750.366.055</w:t>
      </w:r>
      <w:r w:rsidRPr="003D59B0">
        <w:rPr>
          <w:rFonts w:cs="Arial"/>
          <w:sz w:val="22"/>
          <w:szCs w:val="22"/>
        </w:rPr>
        <w:t>), como se detalla a continuación</w:t>
      </w:r>
      <w:r>
        <w:rPr>
          <w:rFonts w:cs="Arial"/>
          <w:sz w:val="22"/>
          <w:szCs w:val="22"/>
        </w:rPr>
        <w:t>, a nivel de catálogo presupuestal de anexo de decreto</w:t>
      </w:r>
      <w:r w:rsidRPr="003D59B0">
        <w:rPr>
          <w:rFonts w:cs="Arial"/>
          <w:sz w:val="22"/>
          <w:szCs w:val="22"/>
        </w:rPr>
        <w:t>:</w:t>
      </w:r>
    </w:p>
    <w:p w14:paraId="032A9978" w14:textId="77777777" w:rsidR="00897598" w:rsidRDefault="00897598" w:rsidP="00D22441">
      <w:pPr>
        <w:rPr>
          <w:sz w:val="22"/>
          <w:szCs w:val="22"/>
        </w:rPr>
      </w:pPr>
    </w:p>
    <w:p w14:paraId="5F10DB78" w14:textId="7423EE63" w:rsidR="00322B8C" w:rsidRPr="00B24EC3" w:rsidRDefault="00322B8C" w:rsidP="00322B8C">
      <w:pPr>
        <w:pStyle w:val="Descripcin"/>
        <w:rPr>
          <w:i w:val="0"/>
          <w:iCs w:val="0"/>
          <w:color w:val="auto"/>
        </w:rPr>
      </w:pPr>
      <w:bookmarkStart w:id="35" w:name="_Toc145486432"/>
      <w:r w:rsidRPr="002C4392">
        <w:rPr>
          <w:i w:val="0"/>
          <w:iCs w:val="0"/>
          <w:color w:val="auto"/>
        </w:rPr>
        <w:t xml:space="preserve">Tabla </w:t>
      </w:r>
      <w:r w:rsidRPr="002C4392">
        <w:rPr>
          <w:i w:val="0"/>
          <w:iCs w:val="0"/>
          <w:color w:val="auto"/>
        </w:rPr>
        <w:fldChar w:fldCharType="begin"/>
      </w:r>
      <w:r w:rsidRPr="002C4392">
        <w:rPr>
          <w:i w:val="0"/>
          <w:iCs w:val="0"/>
          <w:color w:val="auto"/>
        </w:rPr>
        <w:instrText xml:space="preserve"> SEQ Tabla \* ARABIC </w:instrText>
      </w:r>
      <w:r w:rsidRPr="002C4392">
        <w:rPr>
          <w:i w:val="0"/>
          <w:iCs w:val="0"/>
          <w:color w:val="auto"/>
        </w:rPr>
        <w:fldChar w:fldCharType="separate"/>
      </w:r>
      <w:r w:rsidR="0045349B">
        <w:rPr>
          <w:i w:val="0"/>
          <w:iCs w:val="0"/>
          <w:noProof/>
          <w:color w:val="auto"/>
        </w:rPr>
        <w:t>6</w:t>
      </w:r>
      <w:r w:rsidRPr="002C4392">
        <w:rPr>
          <w:i w:val="0"/>
          <w:iCs w:val="0"/>
          <w:color w:val="auto"/>
        </w:rPr>
        <w:fldChar w:fldCharType="end"/>
      </w:r>
      <w:r w:rsidRPr="002C4392">
        <w:rPr>
          <w:i w:val="0"/>
          <w:iCs w:val="0"/>
          <w:color w:val="auto"/>
        </w:rPr>
        <w:t xml:space="preserve">. </w:t>
      </w:r>
      <w:r w:rsidR="0045349B">
        <w:rPr>
          <w:i w:val="0"/>
          <w:iCs w:val="0"/>
          <w:color w:val="auto"/>
        </w:rPr>
        <w:t>Presupuesto CREG</w:t>
      </w:r>
      <w:r>
        <w:rPr>
          <w:i w:val="0"/>
          <w:iCs w:val="0"/>
          <w:color w:val="auto"/>
        </w:rPr>
        <w:t xml:space="preserve"> a recuperar con la contribución especial 2023.</w:t>
      </w:r>
      <w:bookmarkEnd w:id="35"/>
    </w:p>
    <w:tbl>
      <w:tblPr>
        <w:tblW w:w="9319" w:type="dxa"/>
        <w:tblCellMar>
          <w:left w:w="70" w:type="dxa"/>
          <w:right w:w="70" w:type="dxa"/>
        </w:tblCellMar>
        <w:tblLook w:val="04A0" w:firstRow="1" w:lastRow="0" w:firstColumn="1" w:lastColumn="0" w:noHBand="0" w:noVBand="1"/>
      </w:tblPr>
      <w:tblGrid>
        <w:gridCol w:w="958"/>
        <w:gridCol w:w="906"/>
        <w:gridCol w:w="6206"/>
        <w:gridCol w:w="1249"/>
      </w:tblGrid>
      <w:tr w:rsidR="00335BE5" w:rsidRPr="00335BE5" w14:paraId="3CCF366E" w14:textId="77777777" w:rsidTr="000343A2">
        <w:trPr>
          <w:trHeight w:val="300"/>
          <w:tblHeader/>
        </w:trPr>
        <w:tc>
          <w:tcPr>
            <w:tcW w:w="958" w:type="dxa"/>
            <w:tcBorders>
              <w:top w:val="single" w:sz="8" w:space="0" w:color="0070C0"/>
              <w:left w:val="single" w:sz="8" w:space="0" w:color="0070C0"/>
              <w:bottom w:val="single" w:sz="8" w:space="0" w:color="0070C0"/>
              <w:right w:val="single" w:sz="8" w:space="0" w:color="0070C0"/>
            </w:tcBorders>
            <w:shd w:val="clear" w:color="000000" w:fill="002060"/>
            <w:noWrap/>
            <w:vAlign w:val="center"/>
            <w:hideMark/>
          </w:tcPr>
          <w:p w14:paraId="3FD7E340" w14:textId="77777777" w:rsidR="00FF72AB" w:rsidRPr="00335BE5" w:rsidRDefault="00FF72AB" w:rsidP="00D22441">
            <w:pPr>
              <w:jc w:val="center"/>
              <w:rPr>
                <w:rFonts w:ascii="Arial Narrow" w:hAnsi="Arial Narrow" w:cs="Arial"/>
                <w:b/>
                <w:bCs/>
                <w:spacing w:val="0"/>
                <w:sz w:val="16"/>
                <w:szCs w:val="16"/>
                <w:lang w:val="es-MX" w:eastAsia="es-MX"/>
              </w:rPr>
            </w:pPr>
            <w:r w:rsidRPr="00335BE5">
              <w:rPr>
                <w:rFonts w:ascii="Arial Narrow" w:hAnsi="Arial Narrow" w:cs="Arial"/>
                <w:b/>
                <w:bCs/>
                <w:spacing w:val="0"/>
                <w:sz w:val="16"/>
                <w:szCs w:val="16"/>
                <w:lang w:val="es-MX" w:eastAsia="es-MX"/>
              </w:rPr>
              <w:t>RUBRO</w:t>
            </w:r>
          </w:p>
        </w:tc>
        <w:tc>
          <w:tcPr>
            <w:tcW w:w="906" w:type="dxa"/>
            <w:tcBorders>
              <w:top w:val="single" w:sz="8" w:space="0" w:color="0070C0"/>
              <w:left w:val="nil"/>
              <w:bottom w:val="single" w:sz="8" w:space="0" w:color="0070C0"/>
              <w:right w:val="single" w:sz="8" w:space="0" w:color="0070C0"/>
            </w:tcBorders>
            <w:shd w:val="clear" w:color="000000" w:fill="002060"/>
            <w:noWrap/>
            <w:vAlign w:val="center"/>
            <w:hideMark/>
          </w:tcPr>
          <w:p w14:paraId="5835F7BF" w14:textId="77777777" w:rsidR="00FF72AB" w:rsidRPr="00335BE5" w:rsidRDefault="00FF72AB" w:rsidP="00D22441">
            <w:pPr>
              <w:jc w:val="center"/>
              <w:rPr>
                <w:rFonts w:ascii="Arial Narrow" w:hAnsi="Arial Narrow" w:cs="Arial"/>
                <w:b/>
                <w:bCs/>
                <w:spacing w:val="0"/>
                <w:sz w:val="16"/>
                <w:szCs w:val="16"/>
                <w:lang w:val="es-MX" w:eastAsia="es-MX"/>
              </w:rPr>
            </w:pPr>
            <w:r w:rsidRPr="00335BE5">
              <w:rPr>
                <w:rFonts w:ascii="Arial Narrow" w:hAnsi="Arial Narrow" w:cs="Arial"/>
                <w:b/>
                <w:bCs/>
                <w:spacing w:val="0"/>
                <w:sz w:val="16"/>
                <w:szCs w:val="16"/>
                <w:lang w:val="es-MX" w:eastAsia="es-MX"/>
              </w:rPr>
              <w:t xml:space="preserve">RECURSO </w:t>
            </w:r>
          </w:p>
        </w:tc>
        <w:tc>
          <w:tcPr>
            <w:tcW w:w="6206" w:type="dxa"/>
            <w:tcBorders>
              <w:top w:val="single" w:sz="8" w:space="0" w:color="0070C0"/>
              <w:left w:val="nil"/>
              <w:bottom w:val="single" w:sz="8" w:space="0" w:color="0070C0"/>
              <w:right w:val="single" w:sz="8" w:space="0" w:color="0070C0"/>
            </w:tcBorders>
            <w:shd w:val="clear" w:color="000000" w:fill="002060"/>
            <w:noWrap/>
            <w:vAlign w:val="center"/>
            <w:hideMark/>
          </w:tcPr>
          <w:p w14:paraId="296E5100" w14:textId="77777777" w:rsidR="00FF72AB" w:rsidRPr="00335BE5" w:rsidRDefault="00FF72AB" w:rsidP="00D22441">
            <w:pPr>
              <w:jc w:val="center"/>
              <w:rPr>
                <w:rFonts w:ascii="Arial Narrow" w:hAnsi="Arial Narrow" w:cs="Arial"/>
                <w:b/>
                <w:bCs/>
                <w:spacing w:val="0"/>
                <w:sz w:val="16"/>
                <w:szCs w:val="16"/>
                <w:lang w:val="es-MX" w:eastAsia="es-MX"/>
              </w:rPr>
            </w:pPr>
            <w:r w:rsidRPr="00335BE5">
              <w:rPr>
                <w:rFonts w:ascii="Arial Narrow" w:hAnsi="Arial Narrow" w:cs="Arial"/>
                <w:b/>
                <w:bCs/>
                <w:spacing w:val="0"/>
                <w:sz w:val="16"/>
                <w:szCs w:val="16"/>
                <w:lang w:val="es-MX" w:eastAsia="es-MX"/>
              </w:rPr>
              <w:t xml:space="preserve">CONCEPTO </w:t>
            </w:r>
          </w:p>
        </w:tc>
        <w:tc>
          <w:tcPr>
            <w:tcW w:w="1249" w:type="dxa"/>
            <w:tcBorders>
              <w:top w:val="single" w:sz="8" w:space="0" w:color="0070C0"/>
              <w:left w:val="nil"/>
              <w:bottom w:val="single" w:sz="8" w:space="0" w:color="0070C0"/>
              <w:right w:val="single" w:sz="8" w:space="0" w:color="0070C0"/>
            </w:tcBorders>
            <w:shd w:val="clear" w:color="000000" w:fill="002060"/>
            <w:noWrap/>
            <w:vAlign w:val="center"/>
            <w:hideMark/>
          </w:tcPr>
          <w:p w14:paraId="08263516" w14:textId="77777777" w:rsidR="00FF72AB" w:rsidRPr="00335BE5" w:rsidRDefault="00FF72AB" w:rsidP="00D22441">
            <w:pPr>
              <w:jc w:val="center"/>
              <w:rPr>
                <w:rFonts w:ascii="Arial Narrow" w:hAnsi="Arial Narrow" w:cs="Arial"/>
                <w:b/>
                <w:bCs/>
                <w:spacing w:val="0"/>
                <w:sz w:val="16"/>
                <w:szCs w:val="16"/>
                <w:lang w:val="es-MX" w:eastAsia="es-MX"/>
              </w:rPr>
            </w:pPr>
            <w:r w:rsidRPr="00335BE5">
              <w:rPr>
                <w:rFonts w:ascii="Arial Narrow" w:hAnsi="Arial Narrow" w:cs="Arial"/>
                <w:b/>
                <w:bCs/>
                <w:spacing w:val="0"/>
                <w:sz w:val="16"/>
                <w:szCs w:val="16"/>
                <w:lang w:val="es-MX" w:eastAsia="es-MX"/>
              </w:rPr>
              <w:t>Recurso 16 SSF</w:t>
            </w:r>
          </w:p>
        </w:tc>
      </w:tr>
      <w:tr w:rsidR="00335BE5" w:rsidRPr="00335BE5" w14:paraId="2EE228AD" w14:textId="77777777" w:rsidTr="000343A2">
        <w:trPr>
          <w:trHeight w:val="300"/>
        </w:trPr>
        <w:tc>
          <w:tcPr>
            <w:tcW w:w="958" w:type="dxa"/>
            <w:tcBorders>
              <w:top w:val="nil"/>
              <w:left w:val="single" w:sz="8" w:space="0" w:color="0070C0"/>
              <w:bottom w:val="single" w:sz="8" w:space="0" w:color="0070C0"/>
              <w:right w:val="single" w:sz="8" w:space="0" w:color="0070C0"/>
            </w:tcBorders>
            <w:shd w:val="clear" w:color="000000" w:fill="8497B0"/>
            <w:noWrap/>
            <w:vAlign w:val="center"/>
            <w:hideMark/>
          </w:tcPr>
          <w:p w14:paraId="7467DE98" w14:textId="77777777" w:rsidR="00FF72AB" w:rsidRPr="00335BE5" w:rsidRDefault="00FF72AB" w:rsidP="00D22441">
            <w:pPr>
              <w:jc w:val="center"/>
              <w:rPr>
                <w:rFonts w:ascii="Arial Narrow" w:hAnsi="Arial Narrow" w:cs="Arial"/>
                <w:b/>
                <w:bCs/>
                <w:spacing w:val="0"/>
                <w:sz w:val="16"/>
                <w:szCs w:val="16"/>
                <w:lang w:val="es-MX" w:eastAsia="es-MX"/>
              </w:rPr>
            </w:pPr>
            <w:r w:rsidRPr="00335BE5">
              <w:rPr>
                <w:rFonts w:ascii="Arial Narrow" w:hAnsi="Arial Narrow" w:cs="Arial"/>
                <w:b/>
                <w:bCs/>
                <w:spacing w:val="0"/>
                <w:sz w:val="16"/>
                <w:szCs w:val="16"/>
                <w:lang w:val="es-MX" w:eastAsia="es-MX"/>
              </w:rPr>
              <w:t>A</w:t>
            </w:r>
          </w:p>
        </w:tc>
        <w:tc>
          <w:tcPr>
            <w:tcW w:w="906" w:type="dxa"/>
            <w:tcBorders>
              <w:top w:val="nil"/>
              <w:left w:val="nil"/>
              <w:bottom w:val="single" w:sz="8" w:space="0" w:color="0070C0"/>
              <w:right w:val="single" w:sz="8" w:space="0" w:color="0070C0"/>
            </w:tcBorders>
            <w:shd w:val="clear" w:color="000000" w:fill="8497B0"/>
            <w:noWrap/>
            <w:vAlign w:val="center"/>
            <w:hideMark/>
          </w:tcPr>
          <w:p w14:paraId="4FD355BE" w14:textId="77777777" w:rsidR="00FF72AB" w:rsidRPr="00335BE5" w:rsidRDefault="00FF72AB" w:rsidP="00D22441">
            <w:pPr>
              <w:jc w:val="center"/>
              <w:rPr>
                <w:rFonts w:ascii="Arial Narrow" w:hAnsi="Arial Narrow" w:cs="Arial"/>
                <w:b/>
                <w:bCs/>
                <w:spacing w:val="0"/>
                <w:sz w:val="16"/>
                <w:szCs w:val="16"/>
                <w:lang w:val="es-MX" w:eastAsia="es-MX"/>
              </w:rPr>
            </w:pPr>
            <w:r w:rsidRPr="00335BE5">
              <w:rPr>
                <w:rFonts w:ascii="Arial Narrow" w:hAnsi="Arial Narrow" w:cs="Arial"/>
                <w:b/>
                <w:bCs/>
                <w:spacing w:val="0"/>
                <w:sz w:val="16"/>
                <w:szCs w:val="16"/>
                <w:lang w:val="es-MX" w:eastAsia="es-MX"/>
              </w:rPr>
              <w:t> SSF</w:t>
            </w:r>
          </w:p>
        </w:tc>
        <w:tc>
          <w:tcPr>
            <w:tcW w:w="6206" w:type="dxa"/>
            <w:tcBorders>
              <w:top w:val="nil"/>
              <w:left w:val="nil"/>
              <w:bottom w:val="single" w:sz="8" w:space="0" w:color="0070C0"/>
              <w:right w:val="single" w:sz="8" w:space="0" w:color="0070C0"/>
            </w:tcBorders>
            <w:shd w:val="clear" w:color="000000" w:fill="8497B0"/>
            <w:noWrap/>
            <w:vAlign w:val="center"/>
            <w:hideMark/>
          </w:tcPr>
          <w:p w14:paraId="798D42D8" w14:textId="77777777" w:rsidR="00FF72AB" w:rsidRPr="00335BE5" w:rsidRDefault="00FF72AB" w:rsidP="00D22441">
            <w:pPr>
              <w:jc w:val="center"/>
              <w:rPr>
                <w:rFonts w:ascii="Arial Narrow" w:hAnsi="Arial Narrow" w:cs="Arial"/>
                <w:b/>
                <w:bCs/>
                <w:spacing w:val="0"/>
                <w:sz w:val="16"/>
                <w:szCs w:val="16"/>
                <w:lang w:val="es-MX" w:eastAsia="es-MX"/>
              </w:rPr>
            </w:pPr>
            <w:r w:rsidRPr="00335BE5">
              <w:rPr>
                <w:rFonts w:ascii="Arial Narrow" w:hAnsi="Arial Narrow" w:cs="Arial"/>
                <w:b/>
                <w:bCs/>
                <w:spacing w:val="0"/>
                <w:sz w:val="16"/>
                <w:szCs w:val="16"/>
                <w:lang w:val="es-MX" w:eastAsia="es-MX"/>
              </w:rPr>
              <w:t xml:space="preserve">GASTOS DE FUNCIONAMIENTO </w:t>
            </w:r>
          </w:p>
        </w:tc>
        <w:tc>
          <w:tcPr>
            <w:tcW w:w="1249" w:type="dxa"/>
            <w:tcBorders>
              <w:top w:val="nil"/>
              <w:left w:val="nil"/>
              <w:bottom w:val="single" w:sz="8" w:space="0" w:color="0070C0"/>
              <w:right w:val="single" w:sz="8" w:space="0" w:color="0070C0"/>
            </w:tcBorders>
            <w:shd w:val="clear" w:color="000000" w:fill="8497B0"/>
            <w:noWrap/>
            <w:vAlign w:val="center"/>
            <w:hideMark/>
          </w:tcPr>
          <w:p w14:paraId="3B4A5D18" w14:textId="77777777" w:rsidR="00FF72AB" w:rsidRPr="00335BE5" w:rsidRDefault="00FF72AB" w:rsidP="00D22441">
            <w:pPr>
              <w:jc w:val="right"/>
              <w:rPr>
                <w:rFonts w:ascii="Arial Narrow" w:hAnsi="Arial Narrow" w:cs="Arial"/>
                <w:b/>
                <w:bCs/>
                <w:spacing w:val="0"/>
                <w:sz w:val="16"/>
                <w:szCs w:val="16"/>
                <w:lang w:val="es-MX" w:eastAsia="es-MX"/>
              </w:rPr>
            </w:pPr>
            <w:r w:rsidRPr="00335BE5">
              <w:rPr>
                <w:rFonts w:ascii="Arial Narrow" w:hAnsi="Arial Narrow" w:cs="Arial"/>
                <w:b/>
                <w:bCs/>
                <w:spacing w:val="0"/>
                <w:sz w:val="16"/>
                <w:szCs w:val="16"/>
                <w:lang w:val="es-MX" w:eastAsia="es-MX"/>
              </w:rPr>
              <w:t>$ 24.801.862.949</w:t>
            </w:r>
          </w:p>
        </w:tc>
      </w:tr>
      <w:tr w:rsidR="00335BE5" w:rsidRPr="00335BE5" w14:paraId="6E123FF7" w14:textId="77777777" w:rsidTr="000343A2">
        <w:trPr>
          <w:trHeight w:val="293"/>
        </w:trPr>
        <w:tc>
          <w:tcPr>
            <w:tcW w:w="958" w:type="dxa"/>
            <w:tcBorders>
              <w:top w:val="nil"/>
              <w:left w:val="single" w:sz="8" w:space="0" w:color="0070C0"/>
              <w:bottom w:val="single" w:sz="8" w:space="0" w:color="0070C0"/>
              <w:right w:val="single" w:sz="8" w:space="0" w:color="0070C0"/>
            </w:tcBorders>
            <w:shd w:val="clear" w:color="auto" w:fill="auto"/>
            <w:noWrap/>
            <w:vAlign w:val="center"/>
            <w:hideMark/>
          </w:tcPr>
          <w:p w14:paraId="353F4F36" w14:textId="77777777" w:rsidR="00FF72AB" w:rsidRPr="00335BE5" w:rsidRDefault="00FF72AB" w:rsidP="00D22441">
            <w:pPr>
              <w:jc w:val="center"/>
              <w:rPr>
                <w:rFonts w:ascii="Arial Narrow" w:hAnsi="Arial Narrow" w:cs="Arial"/>
                <w:spacing w:val="0"/>
                <w:sz w:val="16"/>
                <w:szCs w:val="16"/>
                <w:lang w:val="es-MX" w:eastAsia="es-MX"/>
              </w:rPr>
            </w:pPr>
            <w:r w:rsidRPr="00335BE5">
              <w:rPr>
                <w:rFonts w:ascii="Arial Narrow" w:hAnsi="Arial Narrow" w:cs="Arial"/>
                <w:spacing w:val="0"/>
                <w:sz w:val="16"/>
                <w:szCs w:val="16"/>
                <w:lang w:val="es-MX" w:eastAsia="es-MX"/>
              </w:rPr>
              <w:t>A-01</w:t>
            </w:r>
          </w:p>
        </w:tc>
        <w:tc>
          <w:tcPr>
            <w:tcW w:w="906" w:type="dxa"/>
            <w:tcBorders>
              <w:top w:val="nil"/>
              <w:left w:val="nil"/>
              <w:bottom w:val="single" w:sz="8" w:space="0" w:color="0070C0"/>
              <w:right w:val="single" w:sz="8" w:space="0" w:color="0070C0"/>
            </w:tcBorders>
            <w:shd w:val="clear" w:color="auto" w:fill="auto"/>
            <w:noWrap/>
            <w:vAlign w:val="center"/>
            <w:hideMark/>
          </w:tcPr>
          <w:p w14:paraId="58CEA6B4" w14:textId="77777777" w:rsidR="00FF72AB" w:rsidRPr="00335BE5" w:rsidRDefault="00FF72AB" w:rsidP="00D22441">
            <w:pPr>
              <w:jc w:val="center"/>
              <w:rPr>
                <w:rFonts w:ascii="Arial Narrow" w:hAnsi="Arial Narrow" w:cs="Arial"/>
                <w:spacing w:val="0"/>
                <w:sz w:val="16"/>
                <w:szCs w:val="16"/>
                <w:lang w:val="es-MX" w:eastAsia="es-MX"/>
              </w:rPr>
            </w:pPr>
            <w:r w:rsidRPr="00335BE5">
              <w:rPr>
                <w:rFonts w:ascii="Arial Narrow" w:hAnsi="Arial Narrow" w:cs="Arial"/>
                <w:spacing w:val="0"/>
                <w:sz w:val="16"/>
                <w:szCs w:val="16"/>
                <w:lang w:val="es-MX" w:eastAsia="es-MX"/>
              </w:rPr>
              <w:t>16</w:t>
            </w:r>
          </w:p>
        </w:tc>
        <w:tc>
          <w:tcPr>
            <w:tcW w:w="6206" w:type="dxa"/>
            <w:tcBorders>
              <w:top w:val="nil"/>
              <w:left w:val="nil"/>
              <w:bottom w:val="single" w:sz="8" w:space="0" w:color="0070C0"/>
              <w:right w:val="single" w:sz="8" w:space="0" w:color="0070C0"/>
            </w:tcBorders>
            <w:shd w:val="clear" w:color="auto" w:fill="auto"/>
            <w:noWrap/>
            <w:vAlign w:val="center"/>
            <w:hideMark/>
          </w:tcPr>
          <w:p w14:paraId="0ADE2A4D" w14:textId="77777777" w:rsidR="00FF72AB" w:rsidRPr="00335BE5" w:rsidRDefault="00FF72AB" w:rsidP="00D22441">
            <w:pPr>
              <w:jc w:val="left"/>
              <w:rPr>
                <w:rFonts w:ascii="Arial Narrow" w:hAnsi="Arial Narrow" w:cs="Arial"/>
                <w:spacing w:val="0"/>
                <w:sz w:val="16"/>
                <w:szCs w:val="16"/>
                <w:lang w:val="es-MX" w:eastAsia="es-MX"/>
              </w:rPr>
            </w:pPr>
            <w:r w:rsidRPr="00335BE5">
              <w:rPr>
                <w:rFonts w:ascii="Arial Narrow" w:hAnsi="Arial Narrow" w:cs="Arial"/>
                <w:spacing w:val="0"/>
                <w:sz w:val="16"/>
                <w:szCs w:val="16"/>
                <w:lang w:val="es-MX" w:eastAsia="es-MX"/>
              </w:rPr>
              <w:t xml:space="preserve">GASTOS DE PERSONAL </w:t>
            </w:r>
          </w:p>
        </w:tc>
        <w:tc>
          <w:tcPr>
            <w:tcW w:w="1249" w:type="dxa"/>
            <w:tcBorders>
              <w:top w:val="nil"/>
              <w:left w:val="nil"/>
              <w:bottom w:val="single" w:sz="8" w:space="0" w:color="0070C0"/>
              <w:right w:val="single" w:sz="8" w:space="0" w:color="0070C0"/>
            </w:tcBorders>
            <w:shd w:val="clear" w:color="auto" w:fill="auto"/>
            <w:noWrap/>
            <w:vAlign w:val="center"/>
            <w:hideMark/>
          </w:tcPr>
          <w:p w14:paraId="08097676" w14:textId="77777777" w:rsidR="00FF72AB" w:rsidRPr="00335BE5" w:rsidRDefault="00FF72AB" w:rsidP="00D22441">
            <w:pPr>
              <w:jc w:val="right"/>
              <w:rPr>
                <w:rFonts w:ascii="Arial Narrow" w:hAnsi="Arial Narrow" w:cs="Arial"/>
                <w:spacing w:val="0"/>
                <w:sz w:val="16"/>
                <w:szCs w:val="16"/>
                <w:lang w:val="es-MX" w:eastAsia="es-MX"/>
              </w:rPr>
            </w:pPr>
            <w:r w:rsidRPr="00335BE5">
              <w:rPr>
                <w:rFonts w:ascii="Arial Narrow" w:hAnsi="Arial Narrow" w:cs="Arial"/>
                <w:spacing w:val="0"/>
                <w:sz w:val="16"/>
                <w:szCs w:val="16"/>
                <w:lang w:val="es-MX" w:eastAsia="es-MX"/>
              </w:rPr>
              <w:t>$ 18.781.946.000</w:t>
            </w:r>
          </w:p>
        </w:tc>
      </w:tr>
      <w:tr w:rsidR="00335BE5" w:rsidRPr="00335BE5" w14:paraId="589F2825" w14:textId="77777777" w:rsidTr="000343A2">
        <w:trPr>
          <w:trHeight w:val="300"/>
        </w:trPr>
        <w:tc>
          <w:tcPr>
            <w:tcW w:w="958" w:type="dxa"/>
            <w:tcBorders>
              <w:top w:val="nil"/>
              <w:left w:val="single" w:sz="8" w:space="0" w:color="0070C0"/>
              <w:bottom w:val="single" w:sz="8" w:space="0" w:color="0070C0"/>
              <w:right w:val="single" w:sz="8" w:space="0" w:color="0070C0"/>
            </w:tcBorders>
            <w:shd w:val="clear" w:color="auto" w:fill="auto"/>
            <w:noWrap/>
            <w:vAlign w:val="center"/>
            <w:hideMark/>
          </w:tcPr>
          <w:p w14:paraId="4D2CE249" w14:textId="77777777" w:rsidR="00FF72AB" w:rsidRPr="00335BE5" w:rsidRDefault="00FF72AB" w:rsidP="00D22441">
            <w:pPr>
              <w:jc w:val="center"/>
              <w:rPr>
                <w:rFonts w:ascii="Arial Narrow" w:hAnsi="Arial Narrow" w:cs="Arial"/>
                <w:spacing w:val="0"/>
                <w:sz w:val="16"/>
                <w:szCs w:val="16"/>
                <w:lang w:val="es-MX" w:eastAsia="es-MX"/>
              </w:rPr>
            </w:pPr>
            <w:r w:rsidRPr="00335BE5">
              <w:rPr>
                <w:rFonts w:ascii="Arial Narrow" w:hAnsi="Arial Narrow" w:cs="Arial"/>
                <w:spacing w:val="0"/>
                <w:sz w:val="16"/>
                <w:szCs w:val="16"/>
                <w:lang w:val="es-MX" w:eastAsia="es-MX"/>
              </w:rPr>
              <w:t>A-02</w:t>
            </w:r>
          </w:p>
        </w:tc>
        <w:tc>
          <w:tcPr>
            <w:tcW w:w="906" w:type="dxa"/>
            <w:tcBorders>
              <w:top w:val="nil"/>
              <w:left w:val="nil"/>
              <w:bottom w:val="single" w:sz="8" w:space="0" w:color="0070C0"/>
              <w:right w:val="single" w:sz="8" w:space="0" w:color="0070C0"/>
            </w:tcBorders>
            <w:shd w:val="clear" w:color="auto" w:fill="auto"/>
            <w:noWrap/>
            <w:vAlign w:val="center"/>
            <w:hideMark/>
          </w:tcPr>
          <w:p w14:paraId="4DF1F897" w14:textId="77777777" w:rsidR="00FF72AB" w:rsidRPr="00335BE5" w:rsidRDefault="00FF72AB" w:rsidP="00D22441">
            <w:pPr>
              <w:jc w:val="center"/>
              <w:rPr>
                <w:rFonts w:ascii="Arial Narrow" w:hAnsi="Arial Narrow" w:cs="Arial"/>
                <w:spacing w:val="0"/>
                <w:sz w:val="16"/>
                <w:szCs w:val="16"/>
                <w:lang w:val="es-MX" w:eastAsia="es-MX"/>
              </w:rPr>
            </w:pPr>
            <w:r w:rsidRPr="00335BE5">
              <w:rPr>
                <w:rFonts w:ascii="Arial Narrow" w:hAnsi="Arial Narrow" w:cs="Arial"/>
                <w:spacing w:val="0"/>
                <w:sz w:val="16"/>
                <w:szCs w:val="16"/>
                <w:lang w:val="es-MX" w:eastAsia="es-MX"/>
              </w:rPr>
              <w:t>16</w:t>
            </w:r>
          </w:p>
        </w:tc>
        <w:tc>
          <w:tcPr>
            <w:tcW w:w="6206" w:type="dxa"/>
            <w:tcBorders>
              <w:top w:val="nil"/>
              <w:left w:val="nil"/>
              <w:bottom w:val="single" w:sz="8" w:space="0" w:color="0070C0"/>
              <w:right w:val="single" w:sz="8" w:space="0" w:color="0070C0"/>
            </w:tcBorders>
            <w:shd w:val="clear" w:color="auto" w:fill="auto"/>
            <w:noWrap/>
            <w:vAlign w:val="center"/>
            <w:hideMark/>
          </w:tcPr>
          <w:p w14:paraId="56DA8C2D" w14:textId="77777777" w:rsidR="00FF72AB" w:rsidRPr="00335BE5" w:rsidRDefault="00FF72AB" w:rsidP="00D22441">
            <w:pPr>
              <w:jc w:val="left"/>
              <w:rPr>
                <w:rFonts w:ascii="Arial Narrow" w:hAnsi="Arial Narrow" w:cs="Arial"/>
                <w:spacing w:val="0"/>
                <w:sz w:val="16"/>
                <w:szCs w:val="16"/>
                <w:lang w:val="es-MX" w:eastAsia="es-MX"/>
              </w:rPr>
            </w:pPr>
            <w:r w:rsidRPr="00335BE5">
              <w:rPr>
                <w:rFonts w:ascii="Arial Narrow" w:hAnsi="Arial Narrow" w:cs="Arial"/>
                <w:spacing w:val="0"/>
                <w:sz w:val="16"/>
                <w:szCs w:val="16"/>
                <w:lang w:val="es-MX" w:eastAsia="es-MX"/>
              </w:rPr>
              <w:t>ADQUISICION DE BIENES Y SERVICIOS</w:t>
            </w:r>
          </w:p>
        </w:tc>
        <w:tc>
          <w:tcPr>
            <w:tcW w:w="1249" w:type="dxa"/>
            <w:tcBorders>
              <w:top w:val="nil"/>
              <w:left w:val="nil"/>
              <w:bottom w:val="single" w:sz="8" w:space="0" w:color="0070C0"/>
              <w:right w:val="single" w:sz="8" w:space="0" w:color="0070C0"/>
            </w:tcBorders>
            <w:shd w:val="clear" w:color="auto" w:fill="auto"/>
            <w:noWrap/>
            <w:vAlign w:val="center"/>
            <w:hideMark/>
          </w:tcPr>
          <w:p w14:paraId="19407397" w14:textId="77777777" w:rsidR="00FF72AB" w:rsidRPr="00335BE5" w:rsidRDefault="00FF72AB" w:rsidP="00D22441">
            <w:pPr>
              <w:jc w:val="right"/>
              <w:rPr>
                <w:rFonts w:ascii="Arial Narrow" w:hAnsi="Arial Narrow" w:cs="Arial"/>
                <w:spacing w:val="0"/>
                <w:sz w:val="16"/>
                <w:szCs w:val="16"/>
                <w:lang w:val="es-MX" w:eastAsia="es-MX"/>
              </w:rPr>
            </w:pPr>
            <w:r w:rsidRPr="00335BE5">
              <w:rPr>
                <w:rFonts w:ascii="Arial Narrow" w:hAnsi="Arial Narrow" w:cs="Arial"/>
                <w:spacing w:val="0"/>
                <w:sz w:val="16"/>
                <w:szCs w:val="16"/>
                <w:lang w:val="es-MX" w:eastAsia="es-MX"/>
              </w:rPr>
              <w:t>$ 3.320.837.000</w:t>
            </w:r>
          </w:p>
        </w:tc>
      </w:tr>
      <w:tr w:rsidR="00335BE5" w:rsidRPr="00335BE5" w14:paraId="45CF5FB3" w14:textId="77777777" w:rsidTr="000343A2">
        <w:trPr>
          <w:trHeight w:val="300"/>
        </w:trPr>
        <w:tc>
          <w:tcPr>
            <w:tcW w:w="958" w:type="dxa"/>
            <w:tcBorders>
              <w:top w:val="nil"/>
              <w:left w:val="single" w:sz="8" w:space="0" w:color="0070C0"/>
              <w:bottom w:val="single" w:sz="8" w:space="0" w:color="0070C0"/>
              <w:right w:val="single" w:sz="8" w:space="0" w:color="0070C0"/>
            </w:tcBorders>
            <w:shd w:val="clear" w:color="auto" w:fill="auto"/>
            <w:noWrap/>
            <w:vAlign w:val="center"/>
            <w:hideMark/>
          </w:tcPr>
          <w:p w14:paraId="6CD3E76F" w14:textId="77777777" w:rsidR="00FF72AB" w:rsidRPr="00335BE5" w:rsidRDefault="00FF72AB" w:rsidP="00D22441">
            <w:pPr>
              <w:jc w:val="center"/>
              <w:rPr>
                <w:rFonts w:ascii="Arial Narrow" w:hAnsi="Arial Narrow" w:cs="Arial"/>
                <w:spacing w:val="0"/>
                <w:sz w:val="16"/>
                <w:szCs w:val="16"/>
                <w:lang w:val="es-MX" w:eastAsia="es-MX"/>
              </w:rPr>
            </w:pPr>
            <w:r w:rsidRPr="00335BE5">
              <w:rPr>
                <w:rFonts w:ascii="Arial Narrow" w:hAnsi="Arial Narrow" w:cs="Arial"/>
                <w:spacing w:val="0"/>
                <w:sz w:val="16"/>
                <w:szCs w:val="16"/>
                <w:lang w:val="es-MX" w:eastAsia="es-MX"/>
              </w:rPr>
              <w:t>A-03</w:t>
            </w:r>
          </w:p>
        </w:tc>
        <w:tc>
          <w:tcPr>
            <w:tcW w:w="906" w:type="dxa"/>
            <w:tcBorders>
              <w:top w:val="nil"/>
              <w:left w:val="nil"/>
              <w:bottom w:val="single" w:sz="8" w:space="0" w:color="0070C0"/>
              <w:right w:val="single" w:sz="8" w:space="0" w:color="0070C0"/>
            </w:tcBorders>
            <w:shd w:val="clear" w:color="auto" w:fill="auto"/>
            <w:noWrap/>
            <w:vAlign w:val="center"/>
            <w:hideMark/>
          </w:tcPr>
          <w:p w14:paraId="18627EEB" w14:textId="77777777" w:rsidR="00FF72AB" w:rsidRPr="00335BE5" w:rsidRDefault="00FF72AB" w:rsidP="00D22441">
            <w:pPr>
              <w:jc w:val="center"/>
              <w:rPr>
                <w:rFonts w:ascii="Arial Narrow" w:hAnsi="Arial Narrow" w:cs="Arial"/>
                <w:spacing w:val="0"/>
                <w:sz w:val="16"/>
                <w:szCs w:val="16"/>
                <w:lang w:val="es-MX" w:eastAsia="es-MX"/>
              </w:rPr>
            </w:pPr>
            <w:r w:rsidRPr="00335BE5">
              <w:rPr>
                <w:rFonts w:ascii="Arial Narrow" w:hAnsi="Arial Narrow" w:cs="Arial"/>
                <w:spacing w:val="0"/>
                <w:sz w:val="16"/>
                <w:szCs w:val="16"/>
                <w:lang w:val="es-MX" w:eastAsia="es-MX"/>
              </w:rPr>
              <w:t>16</w:t>
            </w:r>
          </w:p>
        </w:tc>
        <w:tc>
          <w:tcPr>
            <w:tcW w:w="6206" w:type="dxa"/>
            <w:tcBorders>
              <w:top w:val="nil"/>
              <w:left w:val="nil"/>
              <w:bottom w:val="single" w:sz="8" w:space="0" w:color="0070C0"/>
              <w:right w:val="single" w:sz="8" w:space="0" w:color="0070C0"/>
            </w:tcBorders>
            <w:shd w:val="clear" w:color="auto" w:fill="auto"/>
            <w:noWrap/>
            <w:vAlign w:val="center"/>
            <w:hideMark/>
          </w:tcPr>
          <w:p w14:paraId="15ABBEF0" w14:textId="77777777" w:rsidR="00FF72AB" w:rsidRPr="00335BE5" w:rsidRDefault="00FF72AB" w:rsidP="00D22441">
            <w:pPr>
              <w:jc w:val="left"/>
              <w:rPr>
                <w:rFonts w:ascii="Arial Narrow" w:hAnsi="Arial Narrow" w:cs="Arial"/>
                <w:spacing w:val="0"/>
                <w:sz w:val="16"/>
                <w:szCs w:val="16"/>
                <w:lang w:val="es-MX" w:eastAsia="es-MX"/>
              </w:rPr>
            </w:pPr>
            <w:r w:rsidRPr="00335BE5">
              <w:rPr>
                <w:rFonts w:ascii="Arial Narrow" w:hAnsi="Arial Narrow" w:cs="Arial"/>
                <w:spacing w:val="0"/>
                <w:sz w:val="16"/>
                <w:szCs w:val="16"/>
                <w:lang w:val="es-MX" w:eastAsia="es-MX"/>
              </w:rPr>
              <w:t xml:space="preserve">TRANSFERENCIAS CORRIENTES </w:t>
            </w:r>
          </w:p>
        </w:tc>
        <w:tc>
          <w:tcPr>
            <w:tcW w:w="1249" w:type="dxa"/>
            <w:tcBorders>
              <w:top w:val="nil"/>
              <w:left w:val="nil"/>
              <w:bottom w:val="single" w:sz="8" w:space="0" w:color="0070C0"/>
              <w:right w:val="single" w:sz="8" w:space="0" w:color="0070C0"/>
            </w:tcBorders>
            <w:shd w:val="clear" w:color="auto" w:fill="auto"/>
            <w:noWrap/>
            <w:vAlign w:val="center"/>
            <w:hideMark/>
          </w:tcPr>
          <w:p w14:paraId="78C8AE30" w14:textId="77777777" w:rsidR="00FF72AB" w:rsidRPr="00335BE5" w:rsidRDefault="00FF72AB" w:rsidP="00D22441">
            <w:pPr>
              <w:jc w:val="right"/>
              <w:rPr>
                <w:rFonts w:ascii="Arial Narrow" w:hAnsi="Arial Narrow" w:cs="Arial"/>
                <w:spacing w:val="0"/>
                <w:sz w:val="16"/>
                <w:szCs w:val="16"/>
                <w:lang w:val="es-MX" w:eastAsia="es-MX"/>
              </w:rPr>
            </w:pPr>
            <w:r w:rsidRPr="00335BE5">
              <w:rPr>
                <w:rFonts w:ascii="Arial Narrow" w:hAnsi="Arial Narrow" w:cs="Arial"/>
                <w:spacing w:val="0"/>
                <w:sz w:val="16"/>
                <w:szCs w:val="16"/>
                <w:lang w:val="es-MX" w:eastAsia="es-MX"/>
              </w:rPr>
              <w:t>$ 2.504.116.949</w:t>
            </w:r>
          </w:p>
        </w:tc>
      </w:tr>
      <w:tr w:rsidR="00335BE5" w:rsidRPr="00335BE5" w14:paraId="703C7B1E" w14:textId="77777777" w:rsidTr="000343A2">
        <w:trPr>
          <w:trHeight w:val="300"/>
        </w:trPr>
        <w:tc>
          <w:tcPr>
            <w:tcW w:w="958" w:type="dxa"/>
            <w:tcBorders>
              <w:top w:val="nil"/>
              <w:left w:val="single" w:sz="8" w:space="0" w:color="0070C0"/>
              <w:bottom w:val="single" w:sz="8" w:space="0" w:color="0070C0"/>
              <w:right w:val="single" w:sz="8" w:space="0" w:color="0070C0"/>
            </w:tcBorders>
            <w:shd w:val="clear" w:color="auto" w:fill="auto"/>
            <w:noWrap/>
            <w:vAlign w:val="center"/>
            <w:hideMark/>
          </w:tcPr>
          <w:p w14:paraId="3F971E09" w14:textId="77777777" w:rsidR="00FF72AB" w:rsidRPr="00335BE5" w:rsidRDefault="00FF72AB" w:rsidP="00D22441">
            <w:pPr>
              <w:jc w:val="center"/>
              <w:rPr>
                <w:rFonts w:ascii="Arial Narrow" w:hAnsi="Arial Narrow" w:cs="Arial"/>
                <w:spacing w:val="0"/>
                <w:sz w:val="16"/>
                <w:szCs w:val="16"/>
                <w:lang w:val="es-MX" w:eastAsia="es-MX"/>
              </w:rPr>
            </w:pPr>
            <w:r w:rsidRPr="00335BE5">
              <w:rPr>
                <w:rFonts w:ascii="Arial Narrow" w:hAnsi="Arial Narrow" w:cs="Arial"/>
                <w:spacing w:val="0"/>
                <w:sz w:val="16"/>
                <w:szCs w:val="16"/>
                <w:lang w:val="es-MX" w:eastAsia="es-MX"/>
              </w:rPr>
              <w:t>A-08</w:t>
            </w:r>
          </w:p>
        </w:tc>
        <w:tc>
          <w:tcPr>
            <w:tcW w:w="906" w:type="dxa"/>
            <w:tcBorders>
              <w:top w:val="nil"/>
              <w:left w:val="nil"/>
              <w:bottom w:val="single" w:sz="8" w:space="0" w:color="0070C0"/>
              <w:right w:val="single" w:sz="8" w:space="0" w:color="0070C0"/>
            </w:tcBorders>
            <w:shd w:val="clear" w:color="auto" w:fill="auto"/>
            <w:noWrap/>
            <w:vAlign w:val="center"/>
            <w:hideMark/>
          </w:tcPr>
          <w:p w14:paraId="2368081A" w14:textId="77777777" w:rsidR="00FF72AB" w:rsidRPr="00335BE5" w:rsidRDefault="00FF72AB" w:rsidP="00D22441">
            <w:pPr>
              <w:jc w:val="center"/>
              <w:rPr>
                <w:rFonts w:ascii="Arial Narrow" w:hAnsi="Arial Narrow" w:cs="Arial"/>
                <w:spacing w:val="0"/>
                <w:sz w:val="16"/>
                <w:szCs w:val="16"/>
                <w:lang w:val="es-MX" w:eastAsia="es-MX"/>
              </w:rPr>
            </w:pPr>
            <w:r w:rsidRPr="00335BE5">
              <w:rPr>
                <w:rFonts w:ascii="Arial Narrow" w:hAnsi="Arial Narrow" w:cs="Arial"/>
                <w:spacing w:val="0"/>
                <w:sz w:val="16"/>
                <w:szCs w:val="16"/>
                <w:lang w:val="es-MX" w:eastAsia="es-MX"/>
              </w:rPr>
              <w:t>16</w:t>
            </w:r>
          </w:p>
        </w:tc>
        <w:tc>
          <w:tcPr>
            <w:tcW w:w="6206" w:type="dxa"/>
            <w:tcBorders>
              <w:top w:val="nil"/>
              <w:left w:val="nil"/>
              <w:bottom w:val="single" w:sz="8" w:space="0" w:color="0070C0"/>
              <w:right w:val="single" w:sz="8" w:space="0" w:color="0070C0"/>
            </w:tcBorders>
            <w:shd w:val="clear" w:color="auto" w:fill="auto"/>
            <w:vAlign w:val="center"/>
            <w:hideMark/>
          </w:tcPr>
          <w:p w14:paraId="690B9633" w14:textId="573E9439" w:rsidR="00FF72AB" w:rsidRPr="00335BE5" w:rsidRDefault="00FF72AB" w:rsidP="00D22441">
            <w:pPr>
              <w:jc w:val="left"/>
              <w:rPr>
                <w:rFonts w:ascii="Arial Narrow" w:hAnsi="Arial Narrow" w:cs="Arial"/>
                <w:spacing w:val="0"/>
                <w:sz w:val="16"/>
                <w:szCs w:val="16"/>
                <w:lang w:val="es-MX" w:eastAsia="es-MX"/>
              </w:rPr>
            </w:pPr>
            <w:r w:rsidRPr="00335BE5">
              <w:rPr>
                <w:rFonts w:ascii="Arial Narrow" w:hAnsi="Arial Narrow" w:cs="Arial"/>
                <w:spacing w:val="0"/>
                <w:sz w:val="16"/>
                <w:szCs w:val="16"/>
                <w:lang w:val="es-MX" w:eastAsia="es-MX"/>
              </w:rPr>
              <w:t xml:space="preserve">GASTOS POR TRIBUTOS, MULTAS, SANCIONES E INTERESES DE MORA </w:t>
            </w:r>
          </w:p>
        </w:tc>
        <w:tc>
          <w:tcPr>
            <w:tcW w:w="1249" w:type="dxa"/>
            <w:tcBorders>
              <w:top w:val="nil"/>
              <w:left w:val="nil"/>
              <w:bottom w:val="single" w:sz="8" w:space="0" w:color="0070C0"/>
              <w:right w:val="single" w:sz="8" w:space="0" w:color="0070C0"/>
            </w:tcBorders>
            <w:shd w:val="clear" w:color="auto" w:fill="auto"/>
            <w:noWrap/>
            <w:vAlign w:val="center"/>
            <w:hideMark/>
          </w:tcPr>
          <w:p w14:paraId="7C8E0AAD" w14:textId="77777777" w:rsidR="00FF72AB" w:rsidRPr="00335BE5" w:rsidRDefault="00FF72AB" w:rsidP="00D22441">
            <w:pPr>
              <w:jc w:val="right"/>
              <w:rPr>
                <w:rFonts w:ascii="Arial Narrow" w:hAnsi="Arial Narrow" w:cs="Arial"/>
                <w:spacing w:val="0"/>
                <w:sz w:val="16"/>
                <w:szCs w:val="16"/>
                <w:lang w:val="es-MX" w:eastAsia="es-MX"/>
              </w:rPr>
            </w:pPr>
            <w:r w:rsidRPr="00335BE5">
              <w:rPr>
                <w:rFonts w:ascii="Arial Narrow" w:hAnsi="Arial Narrow" w:cs="Arial"/>
                <w:spacing w:val="0"/>
                <w:sz w:val="16"/>
                <w:szCs w:val="16"/>
                <w:lang w:val="es-MX" w:eastAsia="es-MX"/>
              </w:rPr>
              <w:t>$ 194.963.000</w:t>
            </w:r>
          </w:p>
        </w:tc>
      </w:tr>
      <w:tr w:rsidR="00335BE5" w:rsidRPr="00335BE5" w14:paraId="15FB9280" w14:textId="77777777" w:rsidTr="000343A2">
        <w:trPr>
          <w:trHeight w:val="300"/>
        </w:trPr>
        <w:tc>
          <w:tcPr>
            <w:tcW w:w="958" w:type="dxa"/>
            <w:tcBorders>
              <w:top w:val="nil"/>
              <w:left w:val="single" w:sz="8" w:space="0" w:color="0070C0"/>
              <w:bottom w:val="single" w:sz="8" w:space="0" w:color="0070C0"/>
              <w:right w:val="single" w:sz="8" w:space="0" w:color="0070C0"/>
            </w:tcBorders>
            <w:shd w:val="clear" w:color="000000" w:fill="8497B0"/>
            <w:noWrap/>
            <w:vAlign w:val="center"/>
            <w:hideMark/>
          </w:tcPr>
          <w:p w14:paraId="5B4C19DE" w14:textId="77777777" w:rsidR="00FF72AB" w:rsidRPr="00335BE5" w:rsidRDefault="00FF72AB" w:rsidP="00D22441">
            <w:pPr>
              <w:jc w:val="center"/>
              <w:rPr>
                <w:rFonts w:ascii="Arial Narrow" w:hAnsi="Arial Narrow" w:cs="Arial"/>
                <w:b/>
                <w:bCs/>
                <w:spacing w:val="0"/>
                <w:sz w:val="16"/>
                <w:szCs w:val="16"/>
                <w:lang w:val="es-MX" w:eastAsia="es-MX"/>
              </w:rPr>
            </w:pPr>
            <w:r w:rsidRPr="00335BE5">
              <w:rPr>
                <w:rFonts w:ascii="Arial Narrow" w:hAnsi="Arial Narrow" w:cs="Arial"/>
                <w:b/>
                <w:bCs/>
                <w:spacing w:val="0"/>
                <w:sz w:val="16"/>
                <w:szCs w:val="16"/>
                <w:lang w:val="es-MX" w:eastAsia="es-MX"/>
              </w:rPr>
              <w:t>B</w:t>
            </w:r>
          </w:p>
        </w:tc>
        <w:tc>
          <w:tcPr>
            <w:tcW w:w="906" w:type="dxa"/>
            <w:tcBorders>
              <w:top w:val="nil"/>
              <w:left w:val="nil"/>
              <w:bottom w:val="single" w:sz="8" w:space="0" w:color="0070C0"/>
              <w:right w:val="single" w:sz="8" w:space="0" w:color="0070C0"/>
            </w:tcBorders>
            <w:shd w:val="clear" w:color="000000" w:fill="8497B0"/>
            <w:noWrap/>
            <w:vAlign w:val="center"/>
            <w:hideMark/>
          </w:tcPr>
          <w:p w14:paraId="1189501D" w14:textId="77777777" w:rsidR="00FF72AB" w:rsidRPr="00335BE5" w:rsidRDefault="00FF72AB" w:rsidP="00D22441">
            <w:pPr>
              <w:jc w:val="center"/>
              <w:rPr>
                <w:rFonts w:ascii="Arial Narrow" w:hAnsi="Arial Narrow" w:cs="Arial"/>
                <w:b/>
                <w:bCs/>
                <w:spacing w:val="0"/>
                <w:sz w:val="16"/>
                <w:szCs w:val="16"/>
                <w:lang w:val="es-MX" w:eastAsia="es-MX"/>
              </w:rPr>
            </w:pPr>
            <w:r w:rsidRPr="00335BE5">
              <w:rPr>
                <w:rFonts w:ascii="Arial Narrow" w:hAnsi="Arial Narrow" w:cs="Arial"/>
                <w:b/>
                <w:bCs/>
                <w:spacing w:val="0"/>
                <w:sz w:val="16"/>
                <w:szCs w:val="16"/>
                <w:lang w:val="es-MX" w:eastAsia="es-MX"/>
              </w:rPr>
              <w:t> </w:t>
            </w:r>
          </w:p>
        </w:tc>
        <w:tc>
          <w:tcPr>
            <w:tcW w:w="6206" w:type="dxa"/>
            <w:tcBorders>
              <w:top w:val="nil"/>
              <w:left w:val="nil"/>
              <w:bottom w:val="single" w:sz="8" w:space="0" w:color="0070C0"/>
              <w:right w:val="single" w:sz="8" w:space="0" w:color="0070C0"/>
            </w:tcBorders>
            <w:shd w:val="clear" w:color="000000" w:fill="8497B0"/>
            <w:noWrap/>
            <w:vAlign w:val="center"/>
            <w:hideMark/>
          </w:tcPr>
          <w:p w14:paraId="5BD322AE" w14:textId="77777777" w:rsidR="00FF72AB" w:rsidRPr="00335BE5" w:rsidRDefault="00FF72AB" w:rsidP="00D22441">
            <w:pPr>
              <w:jc w:val="center"/>
              <w:rPr>
                <w:rFonts w:ascii="Arial Narrow" w:hAnsi="Arial Narrow" w:cs="Arial"/>
                <w:b/>
                <w:bCs/>
                <w:spacing w:val="0"/>
                <w:sz w:val="16"/>
                <w:szCs w:val="16"/>
                <w:lang w:val="es-MX" w:eastAsia="es-MX"/>
              </w:rPr>
            </w:pPr>
            <w:r w:rsidRPr="00335BE5">
              <w:rPr>
                <w:rFonts w:ascii="Arial Narrow" w:hAnsi="Arial Narrow" w:cs="Arial"/>
                <w:b/>
                <w:bCs/>
                <w:spacing w:val="0"/>
                <w:sz w:val="16"/>
                <w:szCs w:val="16"/>
                <w:lang w:val="es-MX" w:eastAsia="es-MX"/>
              </w:rPr>
              <w:t>SERVICIO DE LA DEUDA PÚBLICA</w:t>
            </w:r>
          </w:p>
        </w:tc>
        <w:tc>
          <w:tcPr>
            <w:tcW w:w="1249" w:type="dxa"/>
            <w:tcBorders>
              <w:top w:val="nil"/>
              <w:left w:val="nil"/>
              <w:bottom w:val="single" w:sz="8" w:space="0" w:color="0070C0"/>
              <w:right w:val="single" w:sz="8" w:space="0" w:color="0070C0"/>
            </w:tcBorders>
            <w:shd w:val="clear" w:color="000000" w:fill="8497B0"/>
            <w:noWrap/>
            <w:vAlign w:val="center"/>
            <w:hideMark/>
          </w:tcPr>
          <w:p w14:paraId="4DE64540" w14:textId="77777777" w:rsidR="00FF72AB" w:rsidRPr="00335BE5" w:rsidRDefault="00FF72AB" w:rsidP="00D22441">
            <w:pPr>
              <w:jc w:val="right"/>
              <w:rPr>
                <w:rFonts w:ascii="Arial Narrow" w:hAnsi="Arial Narrow" w:cs="Arial"/>
                <w:b/>
                <w:bCs/>
                <w:spacing w:val="0"/>
                <w:sz w:val="16"/>
                <w:szCs w:val="16"/>
                <w:lang w:val="es-MX" w:eastAsia="es-MX"/>
              </w:rPr>
            </w:pPr>
            <w:r w:rsidRPr="00335BE5">
              <w:rPr>
                <w:rFonts w:ascii="Arial Narrow" w:hAnsi="Arial Narrow" w:cs="Arial"/>
                <w:b/>
                <w:bCs/>
                <w:spacing w:val="0"/>
                <w:sz w:val="16"/>
                <w:szCs w:val="16"/>
                <w:lang w:val="es-MX" w:eastAsia="es-MX"/>
              </w:rPr>
              <w:t>$ 4.192.920.055</w:t>
            </w:r>
          </w:p>
        </w:tc>
      </w:tr>
      <w:tr w:rsidR="00335BE5" w:rsidRPr="00335BE5" w14:paraId="1CD984D0" w14:textId="77777777" w:rsidTr="000343A2">
        <w:trPr>
          <w:trHeight w:val="224"/>
        </w:trPr>
        <w:tc>
          <w:tcPr>
            <w:tcW w:w="958" w:type="dxa"/>
            <w:tcBorders>
              <w:top w:val="nil"/>
              <w:left w:val="single" w:sz="8" w:space="0" w:color="0070C0"/>
              <w:bottom w:val="single" w:sz="8" w:space="0" w:color="0070C0"/>
              <w:right w:val="single" w:sz="8" w:space="0" w:color="0070C0"/>
            </w:tcBorders>
            <w:shd w:val="clear" w:color="auto" w:fill="auto"/>
            <w:noWrap/>
            <w:vAlign w:val="center"/>
            <w:hideMark/>
          </w:tcPr>
          <w:p w14:paraId="6F3001B4" w14:textId="77777777" w:rsidR="00FF72AB" w:rsidRPr="00335BE5" w:rsidRDefault="00FF72AB" w:rsidP="00D22441">
            <w:pPr>
              <w:jc w:val="center"/>
              <w:rPr>
                <w:rFonts w:ascii="Arial Narrow" w:hAnsi="Arial Narrow" w:cs="Arial"/>
                <w:spacing w:val="0"/>
                <w:sz w:val="16"/>
                <w:szCs w:val="16"/>
                <w:lang w:val="es-MX" w:eastAsia="es-MX"/>
              </w:rPr>
            </w:pPr>
            <w:r w:rsidRPr="00335BE5">
              <w:rPr>
                <w:rFonts w:ascii="Arial Narrow" w:hAnsi="Arial Narrow" w:cs="Arial"/>
                <w:spacing w:val="0"/>
                <w:sz w:val="16"/>
                <w:szCs w:val="16"/>
                <w:lang w:val="es-MX" w:eastAsia="es-MX"/>
              </w:rPr>
              <w:t>B-10</w:t>
            </w:r>
          </w:p>
        </w:tc>
        <w:tc>
          <w:tcPr>
            <w:tcW w:w="906" w:type="dxa"/>
            <w:tcBorders>
              <w:top w:val="nil"/>
              <w:left w:val="nil"/>
              <w:bottom w:val="single" w:sz="8" w:space="0" w:color="0070C0"/>
              <w:right w:val="single" w:sz="8" w:space="0" w:color="0070C0"/>
            </w:tcBorders>
            <w:shd w:val="clear" w:color="auto" w:fill="auto"/>
            <w:noWrap/>
            <w:vAlign w:val="center"/>
            <w:hideMark/>
          </w:tcPr>
          <w:p w14:paraId="1FBE41FD" w14:textId="77777777" w:rsidR="00FF72AB" w:rsidRPr="00335BE5" w:rsidRDefault="00FF72AB" w:rsidP="00D22441">
            <w:pPr>
              <w:jc w:val="center"/>
              <w:rPr>
                <w:rFonts w:ascii="Arial Narrow" w:hAnsi="Arial Narrow" w:cs="Arial"/>
                <w:spacing w:val="0"/>
                <w:sz w:val="16"/>
                <w:szCs w:val="16"/>
                <w:lang w:val="es-MX" w:eastAsia="es-MX"/>
              </w:rPr>
            </w:pPr>
            <w:r w:rsidRPr="00335BE5">
              <w:rPr>
                <w:rFonts w:ascii="Arial Narrow" w:hAnsi="Arial Narrow" w:cs="Arial"/>
                <w:spacing w:val="0"/>
                <w:sz w:val="16"/>
                <w:szCs w:val="16"/>
                <w:lang w:val="es-MX" w:eastAsia="es-MX"/>
              </w:rPr>
              <w:t>16</w:t>
            </w:r>
          </w:p>
        </w:tc>
        <w:tc>
          <w:tcPr>
            <w:tcW w:w="6206" w:type="dxa"/>
            <w:tcBorders>
              <w:top w:val="nil"/>
              <w:left w:val="nil"/>
              <w:bottom w:val="single" w:sz="8" w:space="0" w:color="0070C0"/>
              <w:right w:val="single" w:sz="8" w:space="0" w:color="0070C0"/>
            </w:tcBorders>
            <w:shd w:val="clear" w:color="auto" w:fill="auto"/>
            <w:vAlign w:val="center"/>
            <w:hideMark/>
          </w:tcPr>
          <w:p w14:paraId="60F65A74" w14:textId="77777777" w:rsidR="00FF72AB" w:rsidRPr="00335BE5" w:rsidRDefault="00FF72AB" w:rsidP="00D22441">
            <w:pPr>
              <w:jc w:val="left"/>
              <w:rPr>
                <w:rFonts w:ascii="Arial Narrow" w:hAnsi="Arial Narrow" w:cs="Arial"/>
                <w:spacing w:val="0"/>
                <w:sz w:val="16"/>
                <w:szCs w:val="16"/>
                <w:lang w:val="es-MX" w:eastAsia="es-MX"/>
              </w:rPr>
            </w:pPr>
            <w:r w:rsidRPr="00335BE5">
              <w:rPr>
                <w:rFonts w:ascii="Arial Narrow" w:hAnsi="Arial Narrow" w:cs="Arial"/>
                <w:spacing w:val="0"/>
                <w:sz w:val="16"/>
                <w:szCs w:val="16"/>
                <w:lang w:val="es-MX" w:eastAsia="es-MX"/>
              </w:rPr>
              <w:t>APORTES AL FONDO DE CONTINGENCIAS</w:t>
            </w:r>
          </w:p>
        </w:tc>
        <w:tc>
          <w:tcPr>
            <w:tcW w:w="1249" w:type="dxa"/>
            <w:tcBorders>
              <w:top w:val="nil"/>
              <w:left w:val="nil"/>
              <w:bottom w:val="single" w:sz="8" w:space="0" w:color="0070C0"/>
              <w:right w:val="single" w:sz="8" w:space="0" w:color="0070C0"/>
            </w:tcBorders>
            <w:shd w:val="clear" w:color="auto" w:fill="auto"/>
            <w:noWrap/>
            <w:vAlign w:val="center"/>
            <w:hideMark/>
          </w:tcPr>
          <w:p w14:paraId="65F90249" w14:textId="77777777" w:rsidR="00FF72AB" w:rsidRPr="00335BE5" w:rsidRDefault="00FF72AB" w:rsidP="00D22441">
            <w:pPr>
              <w:jc w:val="right"/>
              <w:rPr>
                <w:rFonts w:ascii="Arial Narrow" w:hAnsi="Arial Narrow" w:cs="Arial"/>
                <w:spacing w:val="0"/>
                <w:sz w:val="16"/>
                <w:szCs w:val="16"/>
                <w:lang w:val="es-MX" w:eastAsia="es-MX"/>
              </w:rPr>
            </w:pPr>
            <w:r w:rsidRPr="00335BE5">
              <w:rPr>
                <w:rFonts w:ascii="Arial Narrow" w:hAnsi="Arial Narrow" w:cs="Arial"/>
                <w:spacing w:val="0"/>
                <w:sz w:val="16"/>
                <w:szCs w:val="16"/>
                <w:lang w:val="es-MX" w:eastAsia="es-MX"/>
              </w:rPr>
              <w:t>$ 4.192.920.055</w:t>
            </w:r>
          </w:p>
        </w:tc>
      </w:tr>
      <w:tr w:rsidR="00335BE5" w:rsidRPr="00335BE5" w14:paraId="54DC9F9D" w14:textId="77777777" w:rsidTr="000343A2">
        <w:trPr>
          <w:trHeight w:val="300"/>
        </w:trPr>
        <w:tc>
          <w:tcPr>
            <w:tcW w:w="958" w:type="dxa"/>
            <w:tcBorders>
              <w:top w:val="nil"/>
              <w:left w:val="single" w:sz="8" w:space="0" w:color="0070C0"/>
              <w:bottom w:val="single" w:sz="8" w:space="0" w:color="0070C0"/>
              <w:right w:val="single" w:sz="8" w:space="0" w:color="0070C0"/>
            </w:tcBorders>
            <w:shd w:val="clear" w:color="000000" w:fill="8497B0"/>
            <w:noWrap/>
            <w:vAlign w:val="center"/>
            <w:hideMark/>
          </w:tcPr>
          <w:p w14:paraId="5FC8CE51" w14:textId="77777777" w:rsidR="00FF72AB" w:rsidRPr="00335BE5" w:rsidRDefault="00FF72AB" w:rsidP="00D22441">
            <w:pPr>
              <w:jc w:val="center"/>
              <w:rPr>
                <w:rFonts w:ascii="Arial Narrow" w:hAnsi="Arial Narrow" w:cs="Arial"/>
                <w:b/>
                <w:bCs/>
                <w:spacing w:val="0"/>
                <w:sz w:val="16"/>
                <w:szCs w:val="16"/>
                <w:lang w:val="es-MX" w:eastAsia="es-MX"/>
              </w:rPr>
            </w:pPr>
            <w:r w:rsidRPr="00335BE5">
              <w:rPr>
                <w:rFonts w:ascii="Arial Narrow" w:hAnsi="Arial Narrow" w:cs="Arial"/>
                <w:b/>
                <w:bCs/>
                <w:spacing w:val="0"/>
                <w:sz w:val="16"/>
                <w:szCs w:val="16"/>
                <w:lang w:val="es-MX" w:eastAsia="es-MX"/>
              </w:rPr>
              <w:t>C</w:t>
            </w:r>
          </w:p>
        </w:tc>
        <w:tc>
          <w:tcPr>
            <w:tcW w:w="906" w:type="dxa"/>
            <w:tcBorders>
              <w:top w:val="nil"/>
              <w:left w:val="nil"/>
              <w:bottom w:val="single" w:sz="8" w:space="0" w:color="0070C0"/>
              <w:right w:val="single" w:sz="8" w:space="0" w:color="0070C0"/>
            </w:tcBorders>
            <w:shd w:val="clear" w:color="000000" w:fill="8497B0"/>
            <w:noWrap/>
            <w:vAlign w:val="center"/>
            <w:hideMark/>
          </w:tcPr>
          <w:p w14:paraId="359FE074" w14:textId="77777777" w:rsidR="00FF72AB" w:rsidRPr="00335BE5" w:rsidRDefault="00FF72AB" w:rsidP="00D22441">
            <w:pPr>
              <w:jc w:val="center"/>
              <w:rPr>
                <w:rFonts w:ascii="Arial Narrow" w:hAnsi="Arial Narrow" w:cs="Arial"/>
                <w:b/>
                <w:bCs/>
                <w:spacing w:val="0"/>
                <w:sz w:val="16"/>
                <w:szCs w:val="16"/>
                <w:lang w:val="es-MX" w:eastAsia="es-MX"/>
              </w:rPr>
            </w:pPr>
            <w:r w:rsidRPr="00335BE5">
              <w:rPr>
                <w:rFonts w:ascii="Arial Narrow" w:hAnsi="Arial Narrow" w:cs="Arial"/>
                <w:b/>
                <w:bCs/>
                <w:spacing w:val="0"/>
                <w:sz w:val="16"/>
                <w:szCs w:val="16"/>
                <w:lang w:val="es-MX" w:eastAsia="es-MX"/>
              </w:rPr>
              <w:t> </w:t>
            </w:r>
          </w:p>
        </w:tc>
        <w:tc>
          <w:tcPr>
            <w:tcW w:w="6206" w:type="dxa"/>
            <w:tcBorders>
              <w:top w:val="nil"/>
              <w:left w:val="nil"/>
              <w:bottom w:val="single" w:sz="8" w:space="0" w:color="0070C0"/>
              <w:right w:val="single" w:sz="8" w:space="0" w:color="0070C0"/>
            </w:tcBorders>
            <w:shd w:val="clear" w:color="000000" w:fill="8497B0"/>
            <w:noWrap/>
            <w:vAlign w:val="center"/>
            <w:hideMark/>
          </w:tcPr>
          <w:p w14:paraId="5172929D" w14:textId="77777777" w:rsidR="00FF72AB" w:rsidRPr="00335BE5" w:rsidRDefault="00FF72AB" w:rsidP="00D22441">
            <w:pPr>
              <w:jc w:val="center"/>
              <w:rPr>
                <w:rFonts w:ascii="Arial Narrow" w:hAnsi="Arial Narrow" w:cs="Arial"/>
                <w:b/>
                <w:bCs/>
                <w:spacing w:val="0"/>
                <w:sz w:val="16"/>
                <w:szCs w:val="16"/>
                <w:lang w:val="es-MX" w:eastAsia="es-MX"/>
              </w:rPr>
            </w:pPr>
            <w:r w:rsidRPr="00335BE5">
              <w:rPr>
                <w:rFonts w:ascii="Arial Narrow" w:hAnsi="Arial Narrow" w:cs="Arial"/>
                <w:b/>
                <w:bCs/>
                <w:spacing w:val="0"/>
                <w:sz w:val="16"/>
                <w:szCs w:val="16"/>
                <w:lang w:val="es-MX" w:eastAsia="es-MX"/>
              </w:rPr>
              <w:t xml:space="preserve">INVERSION </w:t>
            </w:r>
          </w:p>
        </w:tc>
        <w:tc>
          <w:tcPr>
            <w:tcW w:w="1249" w:type="dxa"/>
            <w:tcBorders>
              <w:top w:val="nil"/>
              <w:left w:val="nil"/>
              <w:bottom w:val="single" w:sz="8" w:space="0" w:color="0070C0"/>
              <w:right w:val="single" w:sz="8" w:space="0" w:color="0070C0"/>
            </w:tcBorders>
            <w:shd w:val="clear" w:color="000000" w:fill="8497B0"/>
            <w:noWrap/>
            <w:vAlign w:val="center"/>
            <w:hideMark/>
          </w:tcPr>
          <w:p w14:paraId="336F6E06" w14:textId="77777777" w:rsidR="00FF72AB" w:rsidRPr="00335BE5" w:rsidRDefault="00FF72AB" w:rsidP="00D22441">
            <w:pPr>
              <w:jc w:val="right"/>
              <w:rPr>
                <w:rFonts w:ascii="Arial Narrow" w:hAnsi="Arial Narrow" w:cs="Arial"/>
                <w:b/>
                <w:bCs/>
                <w:spacing w:val="0"/>
                <w:sz w:val="16"/>
                <w:szCs w:val="16"/>
                <w:lang w:val="es-MX" w:eastAsia="es-MX"/>
              </w:rPr>
            </w:pPr>
            <w:r w:rsidRPr="00335BE5">
              <w:rPr>
                <w:rFonts w:ascii="Arial Narrow" w:hAnsi="Arial Narrow" w:cs="Arial"/>
                <w:b/>
                <w:bCs/>
                <w:spacing w:val="0"/>
                <w:sz w:val="16"/>
                <w:szCs w:val="16"/>
                <w:lang w:val="es-MX" w:eastAsia="es-MX"/>
              </w:rPr>
              <w:t>$ 11.200.000.000</w:t>
            </w:r>
          </w:p>
        </w:tc>
      </w:tr>
      <w:tr w:rsidR="00335BE5" w:rsidRPr="00335BE5" w14:paraId="7051FE9B" w14:textId="77777777" w:rsidTr="000343A2">
        <w:trPr>
          <w:trHeight w:val="265"/>
        </w:trPr>
        <w:tc>
          <w:tcPr>
            <w:tcW w:w="958" w:type="dxa"/>
            <w:tcBorders>
              <w:top w:val="nil"/>
              <w:left w:val="single" w:sz="8" w:space="0" w:color="0070C0"/>
              <w:bottom w:val="single" w:sz="8" w:space="0" w:color="0070C0"/>
              <w:right w:val="single" w:sz="8" w:space="0" w:color="0070C0"/>
            </w:tcBorders>
            <w:shd w:val="clear" w:color="auto" w:fill="auto"/>
            <w:noWrap/>
            <w:vAlign w:val="center"/>
            <w:hideMark/>
          </w:tcPr>
          <w:p w14:paraId="2EE43628" w14:textId="77777777" w:rsidR="00FF72AB" w:rsidRPr="00335BE5" w:rsidRDefault="00FF72AB" w:rsidP="00D22441">
            <w:pPr>
              <w:jc w:val="center"/>
              <w:rPr>
                <w:rFonts w:ascii="Arial Narrow" w:hAnsi="Arial Narrow" w:cs="Arial"/>
                <w:spacing w:val="0"/>
                <w:sz w:val="16"/>
                <w:szCs w:val="16"/>
                <w:lang w:val="es-MX" w:eastAsia="es-MX"/>
              </w:rPr>
            </w:pPr>
            <w:r w:rsidRPr="00335BE5">
              <w:rPr>
                <w:rFonts w:ascii="Arial Narrow" w:hAnsi="Arial Narrow" w:cs="Arial"/>
                <w:spacing w:val="0"/>
                <w:sz w:val="16"/>
                <w:szCs w:val="16"/>
                <w:lang w:val="es-MX" w:eastAsia="es-MX"/>
              </w:rPr>
              <w:t>2199-1900-4</w:t>
            </w:r>
          </w:p>
        </w:tc>
        <w:tc>
          <w:tcPr>
            <w:tcW w:w="906" w:type="dxa"/>
            <w:tcBorders>
              <w:top w:val="nil"/>
              <w:left w:val="nil"/>
              <w:bottom w:val="single" w:sz="8" w:space="0" w:color="0070C0"/>
              <w:right w:val="single" w:sz="8" w:space="0" w:color="0070C0"/>
            </w:tcBorders>
            <w:shd w:val="clear" w:color="auto" w:fill="auto"/>
            <w:noWrap/>
            <w:vAlign w:val="center"/>
            <w:hideMark/>
          </w:tcPr>
          <w:p w14:paraId="03FE7A7F" w14:textId="77777777" w:rsidR="00FF72AB" w:rsidRPr="00335BE5" w:rsidRDefault="00FF72AB" w:rsidP="00D22441">
            <w:pPr>
              <w:jc w:val="center"/>
              <w:rPr>
                <w:rFonts w:ascii="Arial Narrow" w:hAnsi="Arial Narrow" w:cs="Arial"/>
                <w:spacing w:val="0"/>
                <w:sz w:val="16"/>
                <w:szCs w:val="16"/>
                <w:lang w:val="es-MX" w:eastAsia="es-MX"/>
              </w:rPr>
            </w:pPr>
            <w:r w:rsidRPr="00335BE5">
              <w:rPr>
                <w:rFonts w:ascii="Arial Narrow" w:hAnsi="Arial Narrow" w:cs="Arial"/>
                <w:spacing w:val="0"/>
                <w:sz w:val="16"/>
                <w:szCs w:val="16"/>
                <w:lang w:val="es-MX" w:eastAsia="es-MX"/>
              </w:rPr>
              <w:t>16</w:t>
            </w:r>
          </w:p>
        </w:tc>
        <w:tc>
          <w:tcPr>
            <w:tcW w:w="6206" w:type="dxa"/>
            <w:tcBorders>
              <w:top w:val="nil"/>
              <w:left w:val="nil"/>
              <w:bottom w:val="single" w:sz="8" w:space="0" w:color="0070C0"/>
              <w:right w:val="single" w:sz="8" w:space="0" w:color="0070C0"/>
            </w:tcBorders>
            <w:shd w:val="clear" w:color="auto" w:fill="auto"/>
            <w:vAlign w:val="center"/>
            <w:hideMark/>
          </w:tcPr>
          <w:p w14:paraId="54AE0512" w14:textId="77777777" w:rsidR="00FF72AB" w:rsidRPr="00335BE5" w:rsidRDefault="00FF72AB" w:rsidP="00D22441">
            <w:pPr>
              <w:jc w:val="left"/>
              <w:rPr>
                <w:rFonts w:ascii="Arial Narrow" w:hAnsi="Arial Narrow" w:cs="Arial"/>
                <w:spacing w:val="0"/>
                <w:sz w:val="16"/>
                <w:szCs w:val="16"/>
                <w:lang w:val="es-MX" w:eastAsia="es-MX"/>
              </w:rPr>
            </w:pPr>
            <w:r w:rsidRPr="00335BE5">
              <w:rPr>
                <w:rFonts w:ascii="Arial Narrow" w:hAnsi="Arial Narrow" w:cs="Arial"/>
                <w:spacing w:val="0"/>
                <w:sz w:val="16"/>
                <w:szCs w:val="16"/>
                <w:lang w:val="es-MX" w:eastAsia="es-MX"/>
              </w:rPr>
              <w:t>MEJORAMIENTO Y MODERNIZACION DE LAS TIC´S DE LA CREG A NIVEL NACIONAL.</w:t>
            </w:r>
          </w:p>
        </w:tc>
        <w:tc>
          <w:tcPr>
            <w:tcW w:w="1249" w:type="dxa"/>
            <w:tcBorders>
              <w:top w:val="nil"/>
              <w:left w:val="nil"/>
              <w:bottom w:val="single" w:sz="8" w:space="0" w:color="0070C0"/>
              <w:right w:val="single" w:sz="8" w:space="0" w:color="0070C0"/>
            </w:tcBorders>
            <w:shd w:val="clear" w:color="auto" w:fill="auto"/>
            <w:noWrap/>
            <w:vAlign w:val="center"/>
            <w:hideMark/>
          </w:tcPr>
          <w:p w14:paraId="33056074" w14:textId="77777777" w:rsidR="00FF72AB" w:rsidRPr="00335BE5" w:rsidRDefault="00FF72AB" w:rsidP="00D22441">
            <w:pPr>
              <w:jc w:val="right"/>
              <w:rPr>
                <w:rFonts w:ascii="Arial Narrow" w:hAnsi="Arial Narrow" w:cs="Arial"/>
                <w:spacing w:val="0"/>
                <w:sz w:val="16"/>
                <w:szCs w:val="16"/>
                <w:lang w:val="es-MX" w:eastAsia="es-MX"/>
              </w:rPr>
            </w:pPr>
            <w:r w:rsidRPr="00335BE5">
              <w:rPr>
                <w:rFonts w:ascii="Arial Narrow" w:hAnsi="Arial Narrow" w:cs="Arial"/>
                <w:spacing w:val="0"/>
                <w:sz w:val="16"/>
                <w:szCs w:val="16"/>
                <w:lang w:val="es-MX" w:eastAsia="es-MX"/>
              </w:rPr>
              <w:t>$ 2.900.000.000</w:t>
            </w:r>
          </w:p>
        </w:tc>
      </w:tr>
      <w:tr w:rsidR="00335BE5" w:rsidRPr="00335BE5" w14:paraId="0F885D89" w14:textId="77777777" w:rsidTr="000343A2">
        <w:trPr>
          <w:trHeight w:val="370"/>
        </w:trPr>
        <w:tc>
          <w:tcPr>
            <w:tcW w:w="958" w:type="dxa"/>
            <w:tcBorders>
              <w:top w:val="nil"/>
              <w:left w:val="single" w:sz="8" w:space="0" w:color="0070C0"/>
              <w:bottom w:val="single" w:sz="8" w:space="0" w:color="0070C0"/>
              <w:right w:val="single" w:sz="8" w:space="0" w:color="0070C0"/>
            </w:tcBorders>
            <w:shd w:val="clear" w:color="auto" w:fill="auto"/>
            <w:noWrap/>
            <w:vAlign w:val="center"/>
            <w:hideMark/>
          </w:tcPr>
          <w:p w14:paraId="14A1708E" w14:textId="77777777" w:rsidR="00FF72AB" w:rsidRPr="00335BE5" w:rsidRDefault="00FF72AB" w:rsidP="00D22441">
            <w:pPr>
              <w:jc w:val="center"/>
              <w:rPr>
                <w:rFonts w:ascii="Arial Narrow" w:hAnsi="Arial Narrow" w:cs="Arial"/>
                <w:spacing w:val="0"/>
                <w:sz w:val="16"/>
                <w:szCs w:val="16"/>
                <w:lang w:val="es-MX" w:eastAsia="es-MX"/>
              </w:rPr>
            </w:pPr>
            <w:r w:rsidRPr="00335BE5">
              <w:rPr>
                <w:rFonts w:ascii="Arial Narrow" w:hAnsi="Arial Narrow" w:cs="Arial"/>
                <w:spacing w:val="0"/>
                <w:sz w:val="16"/>
                <w:szCs w:val="16"/>
                <w:lang w:val="es-MX" w:eastAsia="es-MX"/>
              </w:rPr>
              <w:t>2199-1900-3</w:t>
            </w:r>
          </w:p>
        </w:tc>
        <w:tc>
          <w:tcPr>
            <w:tcW w:w="906" w:type="dxa"/>
            <w:tcBorders>
              <w:top w:val="nil"/>
              <w:left w:val="nil"/>
              <w:bottom w:val="single" w:sz="8" w:space="0" w:color="0070C0"/>
              <w:right w:val="single" w:sz="8" w:space="0" w:color="0070C0"/>
            </w:tcBorders>
            <w:shd w:val="clear" w:color="auto" w:fill="auto"/>
            <w:noWrap/>
            <w:vAlign w:val="center"/>
            <w:hideMark/>
          </w:tcPr>
          <w:p w14:paraId="1067AEF6" w14:textId="77777777" w:rsidR="00FF72AB" w:rsidRPr="00335BE5" w:rsidRDefault="00FF72AB" w:rsidP="00D22441">
            <w:pPr>
              <w:jc w:val="center"/>
              <w:rPr>
                <w:rFonts w:ascii="Arial Narrow" w:hAnsi="Arial Narrow" w:cs="Arial"/>
                <w:spacing w:val="0"/>
                <w:sz w:val="16"/>
                <w:szCs w:val="16"/>
                <w:lang w:val="es-MX" w:eastAsia="es-MX"/>
              </w:rPr>
            </w:pPr>
            <w:r w:rsidRPr="00335BE5">
              <w:rPr>
                <w:rFonts w:ascii="Arial Narrow" w:hAnsi="Arial Narrow" w:cs="Arial"/>
                <w:spacing w:val="0"/>
                <w:sz w:val="16"/>
                <w:szCs w:val="16"/>
                <w:lang w:val="es-MX" w:eastAsia="es-MX"/>
              </w:rPr>
              <w:t>16</w:t>
            </w:r>
          </w:p>
        </w:tc>
        <w:tc>
          <w:tcPr>
            <w:tcW w:w="6206" w:type="dxa"/>
            <w:tcBorders>
              <w:top w:val="nil"/>
              <w:left w:val="nil"/>
              <w:bottom w:val="single" w:sz="8" w:space="0" w:color="0070C0"/>
              <w:right w:val="single" w:sz="8" w:space="0" w:color="0070C0"/>
            </w:tcBorders>
            <w:shd w:val="clear" w:color="auto" w:fill="auto"/>
            <w:vAlign w:val="center"/>
            <w:hideMark/>
          </w:tcPr>
          <w:p w14:paraId="74AFCFC2" w14:textId="77777777" w:rsidR="00FF72AB" w:rsidRPr="00335BE5" w:rsidRDefault="00FF72AB" w:rsidP="00D22441">
            <w:pPr>
              <w:jc w:val="left"/>
              <w:rPr>
                <w:rFonts w:ascii="Arial Narrow" w:hAnsi="Arial Narrow" w:cs="Arial"/>
                <w:spacing w:val="0"/>
                <w:sz w:val="16"/>
                <w:szCs w:val="16"/>
                <w:lang w:val="es-MX" w:eastAsia="es-MX"/>
              </w:rPr>
            </w:pPr>
            <w:r w:rsidRPr="00335BE5">
              <w:rPr>
                <w:rFonts w:ascii="Arial Narrow" w:hAnsi="Arial Narrow" w:cs="Arial"/>
                <w:spacing w:val="0"/>
                <w:sz w:val="16"/>
                <w:szCs w:val="16"/>
                <w:lang w:val="es-MX" w:eastAsia="es-MX"/>
              </w:rPr>
              <w:t xml:space="preserve">FORTALECIMIENTO INSTITUCIONAL A PARTIR DEL APRENDIZAJE ORGANIZACIONAL A NIVEL NACIONAL. </w:t>
            </w:r>
          </w:p>
        </w:tc>
        <w:tc>
          <w:tcPr>
            <w:tcW w:w="1249" w:type="dxa"/>
            <w:tcBorders>
              <w:top w:val="nil"/>
              <w:left w:val="nil"/>
              <w:bottom w:val="single" w:sz="8" w:space="0" w:color="0070C0"/>
              <w:right w:val="single" w:sz="8" w:space="0" w:color="0070C0"/>
            </w:tcBorders>
            <w:shd w:val="clear" w:color="auto" w:fill="auto"/>
            <w:noWrap/>
            <w:vAlign w:val="center"/>
            <w:hideMark/>
          </w:tcPr>
          <w:p w14:paraId="17C22EC1" w14:textId="77777777" w:rsidR="00FF72AB" w:rsidRPr="00335BE5" w:rsidRDefault="00FF72AB" w:rsidP="00D22441">
            <w:pPr>
              <w:jc w:val="right"/>
              <w:rPr>
                <w:rFonts w:ascii="Arial Narrow" w:hAnsi="Arial Narrow" w:cs="Arial"/>
                <w:spacing w:val="0"/>
                <w:sz w:val="16"/>
                <w:szCs w:val="16"/>
                <w:lang w:val="es-MX" w:eastAsia="es-MX"/>
              </w:rPr>
            </w:pPr>
            <w:r w:rsidRPr="00335BE5">
              <w:rPr>
                <w:rFonts w:ascii="Arial Narrow" w:hAnsi="Arial Narrow" w:cs="Arial"/>
                <w:spacing w:val="0"/>
                <w:sz w:val="16"/>
                <w:szCs w:val="16"/>
                <w:lang w:val="es-MX" w:eastAsia="es-MX"/>
              </w:rPr>
              <w:t>$ 310.000.000</w:t>
            </w:r>
          </w:p>
        </w:tc>
      </w:tr>
      <w:tr w:rsidR="00335BE5" w:rsidRPr="00335BE5" w14:paraId="49AE33C5" w14:textId="77777777" w:rsidTr="000343A2">
        <w:trPr>
          <w:trHeight w:val="550"/>
        </w:trPr>
        <w:tc>
          <w:tcPr>
            <w:tcW w:w="958" w:type="dxa"/>
            <w:tcBorders>
              <w:top w:val="nil"/>
              <w:left w:val="single" w:sz="8" w:space="0" w:color="0070C0"/>
              <w:bottom w:val="single" w:sz="8" w:space="0" w:color="0070C0"/>
              <w:right w:val="single" w:sz="8" w:space="0" w:color="0070C0"/>
            </w:tcBorders>
            <w:shd w:val="clear" w:color="auto" w:fill="auto"/>
            <w:noWrap/>
            <w:vAlign w:val="center"/>
            <w:hideMark/>
          </w:tcPr>
          <w:p w14:paraId="7D7905D1" w14:textId="77777777" w:rsidR="00FF72AB" w:rsidRPr="00335BE5" w:rsidRDefault="00FF72AB" w:rsidP="00D22441">
            <w:pPr>
              <w:jc w:val="center"/>
              <w:rPr>
                <w:rFonts w:ascii="Arial Narrow" w:hAnsi="Arial Narrow" w:cs="Arial"/>
                <w:spacing w:val="0"/>
                <w:sz w:val="16"/>
                <w:szCs w:val="16"/>
                <w:lang w:val="es-MX" w:eastAsia="es-MX"/>
              </w:rPr>
            </w:pPr>
            <w:r w:rsidRPr="00335BE5">
              <w:rPr>
                <w:rFonts w:ascii="Arial Narrow" w:hAnsi="Arial Narrow" w:cs="Arial"/>
                <w:spacing w:val="0"/>
                <w:sz w:val="16"/>
                <w:szCs w:val="16"/>
                <w:lang w:val="es-MX" w:eastAsia="es-MX"/>
              </w:rPr>
              <w:lastRenderedPageBreak/>
              <w:t>2106-1900-6</w:t>
            </w:r>
          </w:p>
        </w:tc>
        <w:tc>
          <w:tcPr>
            <w:tcW w:w="906" w:type="dxa"/>
            <w:tcBorders>
              <w:top w:val="nil"/>
              <w:left w:val="nil"/>
              <w:bottom w:val="single" w:sz="8" w:space="0" w:color="0070C0"/>
              <w:right w:val="single" w:sz="8" w:space="0" w:color="0070C0"/>
            </w:tcBorders>
            <w:shd w:val="clear" w:color="auto" w:fill="auto"/>
            <w:noWrap/>
            <w:vAlign w:val="center"/>
            <w:hideMark/>
          </w:tcPr>
          <w:p w14:paraId="26E113D8" w14:textId="77777777" w:rsidR="00FF72AB" w:rsidRPr="00335BE5" w:rsidRDefault="00FF72AB" w:rsidP="00D22441">
            <w:pPr>
              <w:jc w:val="center"/>
              <w:rPr>
                <w:rFonts w:ascii="Arial Narrow" w:hAnsi="Arial Narrow" w:cs="Arial"/>
                <w:spacing w:val="0"/>
                <w:sz w:val="16"/>
                <w:szCs w:val="16"/>
                <w:lang w:val="es-MX" w:eastAsia="es-MX"/>
              </w:rPr>
            </w:pPr>
            <w:r w:rsidRPr="00335BE5">
              <w:rPr>
                <w:rFonts w:ascii="Arial Narrow" w:hAnsi="Arial Narrow" w:cs="Arial"/>
                <w:spacing w:val="0"/>
                <w:sz w:val="16"/>
                <w:szCs w:val="16"/>
                <w:lang w:val="es-MX" w:eastAsia="es-MX"/>
              </w:rPr>
              <w:t>16</w:t>
            </w:r>
          </w:p>
        </w:tc>
        <w:tc>
          <w:tcPr>
            <w:tcW w:w="6206" w:type="dxa"/>
            <w:tcBorders>
              <w:top w:val="nil"/>
              <w:left w:val="nil"/>
              <w:bottom w:val="single" w:sz="8" w:space="0" w:color="0070C0"/>
              <w:right w:val="single" w:sz="8" w:space="0" w:color="0070C0"/>
            </w:tcBorders>
            <w:shd w:val="clear" w:color="auto" w:fill="auto"/>
            <w:vAlign w:val="center"/>
            <w:hideMark/>
          </w:tcPr>
          <w:p w14:paraId="23C3151F" w14:textId="77777777" w:rsidR="00FF72AB" w:rsidRPr="00335BE5" w:rsidRDefault="00FF72AB" w:rsidP="00D22441">
            <w:pPr>
              <w:jc w:val="left"/>
              <w:rPr>
                <w:rFonts w:ascii="Arial Narrow" w:hAnsi="Arial Narrow" w:cs="Arial"/>
                <w:spacing w:val="0"/>
                <w:sz w:val="16"/>
                <w:szCs w:val="16"/>
                <w:lang w:val="es-MX" w:eastAsia="es-MX"/>
              </w:rPr>
            </w:pPr>
            <w:r w:rsidRPr="00335BE5">
              <w:rPr>
                <w:rFonts w:ascii="Arial Narrow" w:hAnsi="Arial Narrow" w:cs="Arial"/>
                <w:spacing w:val="0"/>
                <w:sz w:val="16"/>
                <w:szCs w:val="16"/>
                <w:lang w:val="es-MX" w:eastAsia="es-MX"/>
              </w:rPr>
              <w:t>ESTUDIOS Y ANÁLISIS PARA LA ADOPCIÓN DE MEDIDAS REGULATORIAS REQUERIDAS POR LOS SECTORES DE ENERGÍA ELÉCTRICA, GAS COMBUSTIBLE Y COMBUSTIBLES LÍQUIDOS A NIVEL NACIONAL</w:t>
            </w:r>
          </w:p>
        </w:tc>
        <w:tc>
          <w:tcPr>
            <w:tcW w:w="1249" w:type="dxa"/>
            <w:tcBorders>
              <w:top w:val="nil"/>
              <w:left w:val="nil"/>
              <w:bottom w:val="single" w:sz="8" w:space="0" w:color="0070C0"/>
              <w:right w:val="single" w:sz="8" w:space="0" w:color="0070C0"/>
            </w:tcBorders>
            <w:shd w:val="clear" w:color="auto" w:fill="auto"/>
            <w:noWrap/>
            <w:vAlign w:val="center"/>
            <w:hideMark/>
          </w:tcPr>
          <w:p w14:paraId="0E0DFCF6" w14:textId="77777777" w:rsidR="00FF72AB" w:rsidRPr="00335BE5" w:rsidRDefault="00FF72AB" w:rsidP="00D22441">
            <w:pPr>
              <w:jc w:val="right"/>
              <w:rPr>
                <w:rFonts w:ascii="Arial Narrow" w:hAnsi="Arial Narrow" w:cs="Arial"/>
                <w:spacing w:val="0"/>
                <w:sz w:val="16"/>
                <w:szCs w:val="16"/>
                <w:lang w:val="es-MX" w:eastAsia="es-MX"/>
              </w:rPr>
            </w:pPr>
            <w:r w:rsidRPr="00335BE5">
              <w:rPr>
                <w:rFonts w:ascii="Arial Narrow" w:hAnsi="Arial Narrow" w:cs="Arial"/>
                <w:spacing w:val="0"/>
                <w:sz w:val="16"/>
                <w:szCs w:val="16"/>
                <w:lang w:val="es-MX" w:eastAsia="es-MX"/>
              </w:rPr>
              <w:t>$ 7.700.000.000</w:t>
            </w:r>
          </w:p>
        </w:tc>
      </w:tr>
      <w:tr w:rsidR="00335BE5" w:rsidRPr="00335BE5" w14:paraId="6DC74257" w14:textId="77777777" w:rsidTr="000343A2">
        <w:trPr>
          <w:trHeight w:val="300"/>
        </w:trPr>
        <w:tc>
          <w:tcPr>
            <w:tcW w:w="958" w:type="dxa"/>
            <w:tcBorders>
              <w:top w:val="nil"/>
              <w:left w:val="single" w:sz="8" w:space="0" w:color="0070C0"/>
              <w:bottom w:val="single" w:sz="8" w:space="0" w:color="0070C0"/>
              <w:right w:val="single" w:sz="8" w:space="0" w:color="0070C0"/>
            </w:tcBorders>
            <w:shd w:val="clear" w:color="auto" w:fill="auto"/>
            <w:noWrap/>
            <w:vAlign w:val="center"/>
            <w:hideMark/>
          </w:tcPr>
          <w:p w14:paraId="3B04F491" w14:textId="77777777" w:rsidR="00FF72AB" w:rsidRPr="00335BE5" w:rsidRDefault="00FF72AB" w:rsidP="00D22441">
            <w:pPr>
              <w:jc w:val="center"/>
              <w:rPr>
                <w:rFonts w:ascii="Arial Narrow" w:hAnsi="Arial Narrow" w:cs="Arial"/>
                <w:spacing w:val="0"/>
                <w:sz w:val="16"/>
                <w:szCs w:val="16"/>
                <w:lang w:val="es-MX" w:eastAsia="es-MX"/>
              </w:rPr>
            </w:pPr>
            <w:r w:rsidRPr="00335BE5">
              <w:rPr>
                <w:rFonts w:ascii="Arial Narrow" w:hAnsi="Arial Narrow" w:cs="Arial"/>
                <w:spacing w:val="0"/>
                <w:sz w:val="16"/>
                <w:szCs w:val="16"/>
                <w:lang w:val="es-MX" w:eastAsia="es-MX"/>
              </w:rPr>
              <w:t>2106-1900-4</w:t>
            </w:r>
          </w:p>
        </w:tc>
        <w:tc>
          <w:tcPr>
            <w:tcW w:w="906" w:type="dxa"/>
            <w:tcBorders>
              <w:top w:val="nil"/>
              <w:left w:val="nil"/>
              <w:bottom w:val="single" w:sz="8" w:space="0" w:color="0070C0"/>
              <w:right w:val="single" w:sz="8" w:space="0" w:color="0070C0"/>
            </w:tcBorders>
            <w:shd w:val="clear" w:color="auto" w:fill="auto"/>
            <w:noWrap/>
            <w:vAlign w:val="center"/>
            <w:hideMark/>
          </w:tcPr>
          <w:p w14:paraId="48273D03" w14:textId="77777777" w:rsidR="00FF72AB" w:rsidRPr="00335BE5" w:rsidRDefault="00FF72AB" w:rsidP="00D22441">
            <w:pPr>
              <w:jc w:val="center"/>
              <w:rPr>
                <w:rFonts w:ascii="Arial Narrow" w:hAnsi="Arial Narrow" w:cs="Arial"/>
                <w:spacing w:val="0"/>
                <w:sz w:val="16"/>
                <w:szCs w:val="16"/>
                <w:lang w:val="es-MX" w:eastAsia="es-MX"/>
              </w:rPr>
            </w:pPr>
            <w:r w:rsidRPr="00335BE5">
              <w:rPr>
                <w:rFonts w:ascii="Arial Narrow" w:hAnsi="Arial Narrow" w:cs="Arial"/>
                <w:spacing w:val="0"/>
                <w:sz w:val="16"/>
                <w:szCs w:val="16"/>
                <w:lang w:val="es-MX" w:eastAsia="es-MX"/>
              </w:rPr>
              <w:t>16</w:t>
            </w:r>
          </w:p>
        </w:tc>
        <w:tc>
          <w:tcPr>
            <w:tcW w:w="6206" w:type="dxa"/>
            <w:tcBorders>
              <w:top w:val="nil"/>
              <w:left w:val="nil"/>
              <w:bottom w:val="single" w:sz="8" w:space="0" w:color="0070C0"/>
              <w:right w:val="single" w:sz="8" w:space="0" w:color="0070C0"/>
            </w:tcBorders>
            <w:shd w:val="clear" w:color="auto" w:fill="auto"/>
            <w:vAlign w:val="center"/>
            <w:hideMark/>
          </w:tcPr>
          <w:p w14:paraId="245C69DE" w14:textId="77777777" w:rsidR="00FF72AB" w:rsidRPr="00335BE5" w:rsidRDefault="00FF72AB" w:rsidP="00D22441">
            <w:pPr>
              <w:jc w:val="left"/>
              <w:rPr>
                <w:rFonts w:ascii="Arial Narrow" w:hAnsi="Arial Narrow" w:cs="Arial"/>
                <w:spacing w:val="0"/>
                <w:sz w:val="16"/>
                <w:szCs w:val="16"/>
                <w:lang w:val="es-MX" w:eastAsia="es-MX"/>
              </w:rPr>
            </w:pPr>
            <w:r w:rsidRPr="00335BE5">
              <w:rPr>
                <w:rFonts w:ascii="Arial Narrow" w:hAnsi="Arial Narrow" w:cs="Arial"/>
                <w:spacing w:val="0"/>
                <w:sz w:val="16"/>
                <w:szCs w:val="16"/>
                <w:lang w:val="es-MX" w:eastAsia="es-MX"/>
              </w:rPr>
              <w:t>DIVULGACION DE LA REGULACION A LA CIUDADANIA A NIVEL NACIONAL.</w:t>
            </w:r>
          </w:p>
        </w:tc>
        <w:tc>
          <w:tcPr>
            <w:tcW w:w="1249" w:type="dxa"/>
            <w:tcBorders>
              <w:top w:val="nil"/>
              <w:left w:val="nil"/>
              <w:bottom w:val="single" w:sz="8" w:space="0" w:color="0070C0"/>
              <w:right w:val="single" w:sz="8" w:space="0" w:color="0070C0"/>
            </w:tcBorders>
            <w:shd w:val="clear" w:color="auto" w:fill="auto"/>
            <w:noWrap/>
            <w:vAlign w:val="center"/>
            <w:hideMark/>
          </w:tcPr>
          <w:p w14:paraId="085631F5" w14:textId="77777777" w:rsidR="00FF72AB" w:rsidRPr="00335BE5" w:rsidRDefault="00FF72AB" w:rsidP="00D22441">
            <w:pPr>
              <w:jc w:val="right"/>
              <w:rPr>
                <w:rFonts w:ascii="Arial Narrow" w:hAnsi="Arial Narrow" w:cs="Arial"/>
                <w:spacing w:val="0"/>
                <w:sz w:val="16"/>
                <w:szCs w:val="16"/>
                <w:lang w:val="es-MX" w:eastAsia="es-MX"/>
              </w:rPr>
            </w:pPr>
            <w:r w:rsidRPr="00335BE5">
              <w:rPr>
                <w:rFonts w:ascii="Arial Narrow" w:hAnsi="Arial Narrow" w:cs="Arial"/>
                <w:spacing w:val="0"/>
                <w:sz w:val="16"/>
                <w:szCs w:val="16"/>
                <w:lang w:val="es-MX" w:eastAsia="es-MX"/>
              </w:rPr>
              <w:t>$ 290.000.000</w:t>
            </w:r>
          </w:p>
        </w:tc>
      </w:tr>
      <w:tr w:rsidR="00335BE5" w:rsidRPr="00335BE5" w14:paraId="7B06B645" w14:textId="77777777" w:rsidTr="000343A2">
        <w:trPr>
          <w:trHeight w:val="300"/>
        </w:trPr>
        <w:tc>
          <w:tcPr>
            <w:tcW w:w="8070" w:type="dxa"/>
            <w:gridSpan w:val="3"/>
            <w:tcBorders>
              <w:top w:val="single" w:sz="8" w:space="0" w:color="0070C0"/>
              <w:left w:val="single" w:sz="8" w:space="0" w:color="auto"/>
              <w:bottom w:val="single" w:sz="8" w:space="0" w:color="auto"/>
              <w:right w:val="single" w:sz="8" w:space="0" w:color="000000"/>
            </w:tcBorders>
            <w:shd w:val="clear" w:color="000000" w:fill="DBDBDB"/>
            <w:noWrap/>
            <w:vAlign w:val="center"/>
            <w:hideMark/>
          </w:tcPr>
          <w:p w14:paraId="1049089B" w14:textId="77777777" w:rsidR="00FF72AB" w:rsidRPr="00335BE5" w:rsidRDefault="00FF72AB" w:rsidP="00D22441">
            <w:pPr>
              <w:jc w:val="center"/>
              <w:rPr>
                <w:rFonts w:ascii="Arial Narrow" w:hAnsi="Arial Narrow" w:cs="Arial"/>
                <w:b/>
                <w:bCs/>
                <w:spacing w:val="0"/>
                <w:sz w:val="16"/>
                <w:szCs w:val="16"/>
                <w:lang w:val="es-MX" w:eastAsia="es-MX"/>
              </w:rPr>
            </w:pPr>
            <w:proofErr w:type="gramStart"/>
            <w:r w:rsidRPr="00335BE5">
              <w:rPr>
                <w:rFonts w:ascii="Arial Narrow" w:hAnsi="Arial Narrow" w:cs="Arial"/>
                <w:b/>
                <w:bCs/>
                <w:spacing w:val="0"/>
                <w:sz w:val="16"/>
                <w:szCs w:val="16"/>
                <w:lang w:val="es-MX" w:eastAsia="es-MX"/>
              </w:rPr>
              <w:t>TOTAL</w:t>
            </w:r>
            <w:proofErr w:type="gramEnd"/>
            <w:r w:rsidRPr="00335BE5">
              <w:rPr>
                <w:rFonts w:ascii="Arial Narrow" w:hAnsi="Arial Narrow" w:cs="Arial"/>
                <w:b/>
                <w:bCs/>
                <w:spacing w:val="0"/>
                <w:sz w:val="16"/>
                <w:szCs w:val="16"/>
                <w:lang w:val="es-MX" w:eastAsia="es-MX"/>
              </w:rPr>
              <w:t xml:space="preserve"> PRESUPUESTO RECURSO 16 SSF VIGENCIA 2023</w:t>
            </w:r>
          </w:p>
        </w:tc>
        <w:tc>
          <w:tcPr>
            <w:tcW w:w="1249" w:type="dxa"/>
            <w:tcBorders>
              <w:top w:val="nil"/>
              <w:left w:val="nil"/>
              <w:bottom w:val="single" w:sz="8" w:space="0" w:color="auto"/>
              <w:right w:val="single" w:sz="8" w:space="0" w:color="auto"/>
            </w:tcBorders>
            <w:shd w:val="clear" w:color="000000" w:fill="DBDBDB"/>
            <w:noWrap/>
            <w:vAlign w:val="center"/>
            <w:hideMark/>
          </w:tcPr>
          <w:p w14:paraId="5CDBE5AB" w14:textId="77777777" w:rsidR="00FF72AB" w:rsidRPr="00335BE5" w:rsidRDefault="00FF72AB" w:rsidP="00D22441">
            <w:pPr>
              <w:jc w:val="right"/>
              <w:rPr>
                <w:rFonts w:ascii="Arial Narrow" w:hAnsi="Arial Narrow" w:cs="Arial"/>
                <w:b/>
                <w:bCs/>
                <w:spacing w:val="0"/>
                <w:sz w:val="16"/>
                <w:szCs w:val="16"/>
                <w:lang w:val="es-MX" w:eastAsia="es-MX"/>
              </w:rPr>
            </w:pPr>
            <w:r w:rsidRPr="00335BE5">
              <w:rPr>
                <w:rFonts w:ascii="Arial Narrow" w:hAnsi="Arial Narrow" w:cs="Arial"/>
                <w:b/>
                <w:bCs/>
                <w:spacing w:val="0"/>
                <w:sz w:val="16"/>
                <w:szCs w:val="16"/>
                <w:lang w:val="es-MX" w:eastAsia="es-MX"/>
              </w:rPr>
              <w:t>$ 40.194.783.004</w:t>
            </w:r>
          </w:p>
        </w:tc>
      </w:tr>
      <w:tr w:rsidR="00335BE5" w:rsidRPr="00335BE5" w14:paraId="08E6A9D3" w14:textId="77777777" w:rsidTr="000343A2">
        <w:trPr>
          <w:trHeight w:val="300"/>
        </w:trPr>
        <w:tc>
          <w:tcPr>
            <w:tcW w:w="958" w:type="dxa"/>
            <w:tcBorders>
              <w:top w:val="nil"/>
              <w:left w:val="nil"/>
              <w:bottom w:val="nil"/>
              <w:right w:val="nil"/>
            </w:tcBorders>
            <w:shd w:val="clear" w:color="auto" w:fill="auto"/>
            <w:noWrap/>
            <w:vAlign w:val="center"/>
            <w:hideMark/>
          </w:tcPr>
          <w:p w14:paraId="4B8B7D83" w14:textId="77777777" w:rsidR="00FF72AB" w:rsidRPr="00335BE5" w:rsidRDefault="00FF72AB" w:rsidP="00D22441">
            <w:pPr>
              <w:jc w:val="right"/>
              <w:rPr>
                <w:rFonts w:ascii="Arial Narrow" w:hAnsi="Arial Narrow" w:cs="Arial"/>
                <w:b/>
                <w:bCs/>
                <w:spacing w:val="0"/>
                <w:sz w:val="16"/>
                <w:szCs w:val="16"/>
                <w:lang w:val="es-MX" w:eastAsia="es-MX"/>
              </w:rPr>
            </w:pPr>
          </w:p>
        </w:tc>
        <w:tc>
          <w:tcPr>
            <w:tcW w:w="906" w:type="dxa"/>
            <w:tcBorders>
              <w:top w:val="nil"/>
              <w:left w:val="nil"/>
              <w:bottom w:val="nil"/>
              <w:right w:val="nil"/>
            </w:tcBorders>
            <w:shd w:val="clear" w:color="auto" w:fill="auto"/>
            <w:noWrap/>
            <w:vAlign w:val="center"/>
            <w:hideMark/>
          </w:tcPr>
          <w:p w14:paraId="415ADB96" w14:textId="77777777" w:rsidR="00FF72AB" w:rsidRPr="00335BE5" w:rsidRDefault="00FF72AB" w:rsidP="00D22441">
            <w:pPr>
              <w:jc w:val="left"/>
              <w:rPr>
                <w:rFonts w:ascii="Arial Narrow" w:hAnsi="Arial Narrow" w:cs="Arial"/>
                <w:spacing w:val="0"/>
                <w:sz w:val="16"/>
                <w:szCs w:val="16"/>
                <w:lang w:val="es-MX" w:eastAsia="es-MX"/>
              </w:rPr>
            </w:pPr>
          </w:p>
        </w:tc>
        <w:tc>
          <w:tcPr>
            <w:tcW w:w="6206" w:type="dxa"/>
            <w:tcBorders>
              <w:top w:val="nil"/>
              <w:left w:val="single" w:sz="8" w:space="0" w:color="0070C0"/>
              <w:bottom w:val="nil"/>
              <w:right w:val="single" w:sz="8" w:space="0" w:color="0070C0"/>
            </w:tcBorders>
            <w:shd w:val="clear" w:color="auto" w:fill="auto"/>
            <w:vAlign w:val="center"/>
            <w:hideMark/>
          </w:tcPr>
          <w:p w14:paraId="55A6F0E4" w14:textId="77777777" w:rsidR="00FF72AB" w:rsidRPr="00335BE5" w:rsidRDefault="00FF72AB" w:rsidP="00D22441">
            <w:pPr>
              <w:jc w:val="left"/>
              <w:rPr>
                <w:rFonts w:ascii="Arial Narrow" w:hAnsi="Arial Narrow" w:cs="Arial"/>
                <w:spacing w:val="0"/>
                <w:sz w:val="16"/>
                <w:szCs w:val="16"/>
                <w:lang w:val="es-MX" w:eastAsia="es-MX"/>
              </w:rPr>
            </w:pPr>
            <w:r w:rsidRPr="00335BE5">
              <w:rPr>
                <w:rFonts w:ascii="Arial Narrow" w:hAnsi="Arial Narrow" w:cs="Arial"/>
                <w:spacing w:val="0"/>
                <w:sz w:val="16"/>
                <w:szCs w:val="16"/>
                <w:lang w:val="es-MX" w:eastAsia="es-MX"/>
              </w:rPr>
              <w:t>MENOS TRANSFERENCIA DE EXCEDENTES AL FONDO EMPRESARIAL</w:t>
            </w:r>
          </w:p>
        </w:tc>
        <w:tc>
          <w:tcPr>
            <w:tcW w:w="1249" w:type="dxa"/>
            <w:tcBorders>
              <w:top w:val="nil"/>
              <w:left w:val="nil"/>
              <w:bottom w:val="nil"/>
              <w:right w:val="single" w:sz="8" w:space="0" w:color="0070C0"/>
            </w:tcBorders>
            <w:shd w:val="clear" w:color="auto" w:fill="auto"/>
            <w:noWrap/>
            <w:vAlign w:val="center"/>
            <w:hideMark/>
          </w:tcPr>
          <w:p w14:paraId="00744E26" w14:textId="77777777" w:rsidR="00FF72AB" w:rsidRPr="00335BE5" w:rsidRDefault="00FF72AB" w:rsidP="00D22441">
            <w:pPr>
              <w:jc w:val="right"/>
              <w:rPr>
                <w:rFonts w:ascii="Arial Narrow" w:hAnsi="Arial Narrow" w:cs="Arial"/>
                <w:b/>
                <w:bCs/>
                <w:spacing w:val="0"/>
                <w:sz w:val="16"/>
                <w:szCs w:val="16"/>
                <w:lang w:val="es-MX" w:eastAsia="es-MX"/>
              </w:rPr>
            </w:pPr>
            <w:r w:rsidRPr="00335BE5">
              <w:rPr>
                <w:rFonts w:ascii="Arial Narrow" w:hAnsi="Arial Narrow" w:cs="Arial"/>
                <w:b/>
                <w:bCs/>
                <w:spacing w:val="0"/>
                <w:sz w:val="16"/>
                <w:szCs w:val="16"/>
                <w:lang w:val="es-MX" w:eastAsia="es-MX"/>
              </w:rPr>
              <w:t>($ 2.444.416.949)</w:t>
            </w:r>
          </w:p>
        </w:tc>
      </w:tr>
      <w:tr w:rsidR="00335BE5" w:rsidRPr="00335BE5" w14:paraId="029B60EA" w14:textId="77777777" w:rsidTr="000343A2">
        <w:trPr>
          <w:trHeight w:val="300"/>
        </w:trPr>
        <w:tc>
          <w:tcPr>
            <w:tcW w:w="8070" w:type="dxa"/>
            <w:gridSpan w:val="3"/>
            <w:tcBorders>
              <w:top w:val="single" w:sz="8" w:space="0" w:color="auto"/>
              <w:left w:val="single" w:sz="8" w:space="0" w:color="auto"/>
              <w:bottom w:val="single" w:sz="8" w:space="0" w:color="auto"/>
              <w:right w:val="single" w:sz="8" w:space="0" w:color="000000"/>
            </w:tcBorders>
            <w:shd w:val="clear" w:color="000000" w:fill="DBDBDB"/>
            <w:noWrap/>
            <w:vAlign w:val="center"/>
            <w:hideMark/>
          </w:tcPr>
          <w:p w14:paraId="140DC8F7" w14:textId="77777777" w:rsidR="00FF72AB" w:rsidRPr="00335BE5" w:rsidRDefault="00FF72AB" w:rsidP="00D22441">
            <w:pPr>
              <w:jc w:val="center"/>
              <w:rPr>
                <w:rFonts w:ascii="Arial Narrow" w:hAnsi="Arial Narrow" w:cs="Arial"/>
                <w:b/>
                <w:bCs/>
                <w:spacing w:val="0"/>
                <w:sz w:val="16"/>
                <w:szCs w:val="16"/>
                <w:lang w:val="es-MX" w:eastAsia="es-MX"/>
              </w:rPr>
            </w:pPr>
            <w:r w:rsidRPr="00335BE5">
              <w:rPr>
                <w:rFonts w:ascii="Arial Narrow" w:hAnsi="Arial Narrow" w:cs="Arial"/>
                <w:b/>
                <w:bCs/>
                <w:spacing w:val="0"/>
                <w:sz w:val="16"/>
                <w:szCs w:val="16"/>
                <w:lang w:val="es-MX" w:eastAsia="es-MX"/>
              </w:rPr>
              <w:t>SUBTOTAL RECURSOS 16 SSF CON CONTRIBUCIÓN ESPECIAL 2023</w:t>
            </w:r>
          </w:p>
        </w:tc>
        <w:tc>
          <w:tcPr>
            <w:tcW w:w="1249" w:type="dxa"/>
            <w:tcBorders>
              <w:top w:val="single" w:sz="8" w:space="0" w:color="auto"/>
              <w:left w:val="nil"/>
              <w:bottom w:val="single" w:sz="8" w:space="0" w:color="auto"/>
              <w:right w:val="single" w:sz="8" w:space="0" w:color="auto"/>
            </w:tcBorders>
            <w:shd w:val="clear" w:color="000000" w:fill="DBDBDB"/>
            <w:noWrap/>
            <w:vAlign w:val="center"/>
            <w:hideMark/>
          </w:tcPr>
          <w:p w14:paraId="6FE36B61" w14:textId="77777777" w:rsidR="00FF72AB" w:rsidRPr="00335BE5" w:rsidRDefault="00FF72AB" w:rsidP="00D22441">
            <w:pPr>
              <w:jc w:val="right"/>
              <w:rPr>
                <w:rFonts w:ascii="Arial Narrow" w:hAnsi="Arial Narrow" w:cs="Arial"/>
                <w:b/>
                <w:bCs/>
                <w:spacing w:val="0"/>
                <w:sz w:val="16"/>
                <w:szCs w:val="16"/>
                <w:lang w:val="es-MX" w:eastAsia="es-MX"/>
              </w:rPr>
            </w:pPr>
            <w:r w:rsidRPr="00335BE5">
              <w:rPr>
                <w:rFonts w:ascii="Arial Narrow" w:hAnsi="Arial Narrow" w:cs="Arial"/>
                <w:b/>
                <w:bCs/>
                <w:spacing w:val="0"/>
                <w:sz w:val="16"/>
                <w:szCs w:val="16"/>
                <w:lang w:val="es-MX" w:eastAsia="es-MX"/>
              </w:rPr>
              <w:t>$ 37.750.366.055</w:t>
            </w:r>
          </w:p>
        </w:tc>
      </w:tr>
      <w:tr w:rsidR="00335BE5" w:rsidRPr="00335BE5" w14:paraId="71FF5CBF" w14:textId="77777777" w:rsidTr="000343A2">
        <w:trPr>
          <w:trHeight w:val="285"/>
        </w:trPr>
        <w:tc>
          <w:tcPr>
            <w:tcW w:w="958" w:type="dxa"/>
            <w:tcBorders>
              <w:top w:val="nil"/>
              <w:left w:val="nil"/>
              <w:bottom w:val="nil"/>
              <w:right w:val="nil"/>
            </w:tcBorders>
            <w:shd w:val="clear" w:color="auto" w:fill="auto"/>
            <w:noWrap/>
            <w:vAlign w:val="center"/>
            <w:hideMark/>
          </w:tcPr>
          <w:p w14:paraId="1DE1A5D6" w14:textId="77777777" w:rsidR="00FF72AB" w:rsidRPr="00335BE5" w:rsidRDefault="00FF72AB" w:rsidP="00D22441">
            <w:pPr>
              <w:jc w:val="right"/>
              <w:rPr>
                <w:rFonts w:ascii="Arial Narrow" w:hAnsi="Arial Narrow" w:cs="Arial"/>
                <w:b/>
                <w:bCs/>
                <w:spacing w:val="0"/>
                <w:sz w:val="16"/>
                <w:szCs w:val="16"/>
                <w:lang w:val="es-MX" w:eastAsia="es-MX"/>
              </w:rPr>
            </w:pPr>
          </w:p>
        </w:tc>
        <w:tc>
          <w:tcPr>
            <w:tcW w:w="906" w:type="dxa"/>
            <w:tcBorders>
              <w:top w:val="nil"/>
              <w:left w:val="nil"/>
              <w:bottom w:val="nil"/>
              <w:right w:val="nil"/>
            </w:tcBorders>
            <w:shd w:val="clear" w:color="auto" w:fill="auto"/>
            <w:noWrap/>
            <w:vAlign w:val="center"/>
            <w:hideMark/>
          </w:tcPr>
          <w:p w14:paraId="74A3B864" w14:textId="77777777" w:rsidR="00FF72AB" w:rsidRPr="00335BE5" w:rsidRDefault="00FF72AB" w:rsidP="00D22441">
            <w:pPr>
              <w:jc w:val="left"/>
              <w:rPr>
                <w:rFonts w:ascii="Arial Narrow" w:hAnsi="Arial Narrow" w:cs="Arial"/>
                <w:spacing w:val="0"/>
                <w:sz w:val="16"/>
                <w:szCs w:val="16"/>
                <w:lang w:val="es-MX" w:eastAsia="es-MX"/>
              </w:rPr>
            </w:pPr>
          </w:p>
        </w:tc>
        <w:tc>
          <w:tcPr>
            <w:tcW w:w="6206" w:type="dxa"/>
            <w:tcBorders>
              <w:top w:val="nil"/>
              <w:left w:val="single" w:sz="8" w:space="0" w:color="0070C0"/>
              <w:bottom w:val="nil"/>
              <w:right w:val="single" w:sz="8" w:space="0" w:color="0070C0"/>
            </w:tcBorders>
            <w:shd w:val="clear" w:color="auto" w:fill="auto"/>
            <w:vAlign w:val="center"/>
            <w:hideMark/>
          </w:tcPr>
          <w:p w14:paraId="47E5C745" w14:textId="77777777" w:rsidR="00FF72AB" w:rsidRPr="00335BE5" w:rsidRDefault="00FF72AB" w:rsidP="00D22441">
            <w:pPr>
              <w:jc w:val="left"/>
              <w:rPr>
                <w:rFonts w:ascii="Arial Narrow" w:hAnsi="Arial Narrow" w:cs="Arial"/>
                <w:spacing w:val="0"/>
                <w:sz w:val="16"/>
                <w:szCs w:val="16"/>
                <w:lang w:val="es-MX" w:eastAsia="es-MX"/>
              </w:rPr>
            </w:pPr>
            <w:r w:rsidRPr="00335BE5">
              <w:rPr>
                <w:rFonts w:ascii="Arial Narrow" w:hAnsi="Arial Narrow" w:cs="Arial"/>
                <w:spacing w:val="0"/>
                <w:sz w:val="16"/>
                <w:szCs w:val="16"/>
                <w:lang w:val="es-MX" w:eastAsia="es-MX"/>
              </w:rPr>
              <w:t>RECURSOS APORTADOS POR LA DTN-MHCP PARA FONDOS ESPECIALES REC-16 SSF</w:t>
            </w:r>
          </w:p>
        </w:tc>
        <w:tc>
          <w:tcPr>
            <w:tcW w:w="1249" w:type="dxa"/>
            <w:tcBorders>
              <w:top w:val="nil"/>
              <w:left w:val="nil"/>
              <w:bottom w:val="nil"/>
              <w:right w:val="single" w:sz="8" w:space="0" w:color="0070C0"/>
            </w:tcBorders>
            <w:shd w:val="clear" w:color="auto" w:fill="auto"/>
            <w:noWrap/>
            <w:vAlign w:val="center"/>
            <w:hideMark/>
          </w:tcPr>
          <w:p w14:paraId="551A6E1E" w14:textId="77777777" w:rsidR="00FF72AB" w:rsidRPr="00335BE5" w:rsidRDefault="00FF72AB" w:rsidP="00D22441">
            <w:pPr>
              <w:jc w:val="right"/>
              <w:rPr>
                <w:rFonts w:ascii="Arial Narrow" w:hAnsi="Arial Narrow" w:cs="Arial"/>
                <w:spacing w:val="0"/>
                <w:sz w:val="16"/>
                <w:szCs w:val="16"/>
                <w:lang w:val="es-MX" w:eastAsia="es-MX"/>
              </w:rPr>
            </w:pPr>
            <w:r w:rsidRPr="00335BE5">
              <w:rPr>
                <w:rFonts w:ascii="Arial Narrow" w:hAnsi="Arial Narrow" w:cs="Arial"/>
                <w:spacing w:val="0"/>
                <w:sz w:val="16"/>
                <w:szCs w:val="16"/>
                <w:lang w:val="es-MX" w:eastAsia="es-MX"/>
              </w:rPr>
              <w:t>$ 0</w:t>
            </w:r>
          </w:p>
        </w:tc>
      </w:tr>
      <w:tr w:rsidR="00335BE5" w:rsidRPr="00335BE5" w14:paraId="3035E328" w14:textId="77777777" w:rsidTr="000343A2">
        <w:trPr>
          <w:trHeight w:val="300"/>
        </w:trPr>
        <w:tc>
          <w:tcPr>
            <w:tcW w:w="8070" w:type="dxa"/>
            <w:gridSpan w:val="3"/>
            <w:tcBorders>
              <w:top w:val="single" w:sz="8" w:space="0" w:color="auto"/>
              <w:left w:val="single" w:sz="8" w:space="0" w:color="auto"/>
              <w:bottom w:val="single" w:sz="8" w:space="0" w:color="auto"/>
              <w:right w:val="single" w:sz="8" w:space="0" w:color="000000"/>
            </w:tcBorders>
            <w:shd w:val="clear" w:color="auto" w:fill="D5DCE4" w:themeFill="text2" w:themeFillTint="33"/>
            <w:noWrap/>
            <w:vAlign w:val="center"/>
            <w:hideMark/>
          </w:tcPr>
          <w:p w14:paraId="6C960225" w14:textId="77777777" w:rsidR="00FF72AB" w:rsidRPr="00335BE5" w:rsidRDefault="00FF72AB" w:rsidP="00D22441">
            <w:pPr>
              <w:jc w:val="center"/>
              <w:rPr>
                <w:rFonts w:ascii="Arial Narrow" w:hAnsi="Arial Narrow" w:cs="Arial"/>
                <w:b/>
                <w:bCs/>
                <w:spacing w:val="0"/>
                <w:sz w:val="16"/>
                <w:szCs w:val="16"/>
                <w:lang w:val="es-MX" w:eastAsia="es-MX"/>
              </w:rPr>
            </w:pPr>
            <w:r w:rsidRPr="00335BE5">
              <w:rPr>
                <w:rFonts w:ascii="Arial Narrow" w:hAnsi="Arial Narrow" w:cs="Arial"/>
                <w:b/>
                <w:bCs/>
                <w:spacing w:val="0"/>
                <w:sz w:val="16"/>
                <w:szCs w:val="16"/>
                <w:lang w:val="es-MX" w:eastAsia="es-MX"/>
              </w:rPr>
              <w:t>NETO DE RECURSOS A RECAUDAR CON LA CONTRIBUCIÓN ESPECIAL 2023</w:t>
            </w:r>
          </w:p>
        </w:tc>
        <w:tc>
          <w:tcPr>
            <w:tcW w:w="1249" w:type="dxa"/>
            <w:tcBorders>
              <w:top w:val="single" w:sz="8" w:space="0" w:color="auto"/>
              <w:left w:val="nil"/>
              <w:bottom w:val="single" w:sz="8" w:space="0" w:color="auto"/>
              <w:right w:val="single" w:sz="8" w:space="0" w:color="auto"/>
            </w:tcBorders>
            <w:shd w:val="clear" w:color="auto" w:fill="D5DCE4" w:themeFill="text2" w:themeFillTint="33"/>
            <w:noWrap/>
            <w:vAlign w:val="center"/>
            <w:hideMark/>
          </w:tcPr>
          <w:p w14:paraId="51DD41E6" w14:textId="77777777" w:rsidR="00FF72AB" w:rsidRPr="00335BE5" w:rsidRDefault="00FF72AB" w:rsidP="00D22441">
            <w:pPr>
              <w:jc w:val="right"/>
              <w:rPr>
                <w:rFonts w:ascii="Arial Narrow" w:hAnsi="Arial Narrow" w:cs="Arial"/>
                <w:b/>
                <w:bCs/>
                <w:spacing w:val="0"/>
                <w:sz w:val="16"/>
                <w:szCs w:val="16"/>
                <w:lang w:val="es-MX" w:eastAsia="es-MX"/>
              </w:rPr>
            </w:pPr>
            <w:r w:rsidRPr="00335BE5">
              <w:rPr>
                <w:rFonts w:ascii="Arial Narrow" w:hAnsi="Arial Narrow" w:cs="Arial"/>
                <w:b/>
                <w:bCs/>
                <w:spacing w:val="0"/>
                <w:sz w:val="16"/>
                <w:szCs w:val="16"/>
                <w:lang w:val="es-MX" w:eastAsia="es-MX"/>
              </w:rPr>
              <w:t>$ 37.750.366.055</w:t>
            </w:r>
          </w:p>
        </w:tc>
      </w:tr>
    </w:tbl>
    <w:p w14:paraId="32DE9F3E" w14:textId="77777777" w:rsidR="00FF72AB" w:rsidRDefault="00FF72AB" w:rsidP="00D22441">
      <w:pPr>
        <w:rPr>
          <w:sz w:val="22"/>
          <w:szCs w:val="22"/>
        </w:rPr>
      </w:pPr>
    </w:p>
    <w:p w14:paraId="782EB2AA" w14:textId="1213DCD3" w:rsidR="00D11B0B" w:rsidRPr="00D11B0B" w:rsidRDefault="00664575" w:rsidP="00D22441">
      <w:pPr>
        <w:rPr>
          <w:rFonts w:cs="Arial"/>
          <w:sz w:val="22"/>
          <w:szCs w:val="22"/>
        </w:rPr>
      </w:pPr>
      <w:r>
        <w:rPr>
          <w:rFonts w:cs="Arial"/>
          <w:sz w:val="22"/>
          <w:szCs w:val="22"/>
        </w:rPr>
        <w:t>Por lo tanto, e</w:t>
      </w:r>
      <w:r w:rsidR="00D11B0B" w:rsidRPr="00D11B0B">
        <w:rPr>
          <w:rFonts w:cs="Arial"/>
          <w:sz w:val="22"/>
          <w:szCs w:val="22"/>
        </w:rPr>
        <w:t>l presupuesto de la CREG está integrado por gastos de funcionamiento, servicio de la deuda pública e inversión, en cumplimiento de la nomenclatura que debe cumplirse conforme a lo dispuesto en los artículos 1 y 2 del Decreto 111 de 1996 - Estatuto orgánico del presupuesto</w:t>
      </w:r>
      <w:r>
        <w:rPr>
          <w:rFonts w:cs="Arial"/>
          <w:sz w:val="22"/>
          <w:szCs w:val="22"/>
        </w:rPr>
        <w:t xml:space="preserve"> (EOP)</w:t>
      </w:r>
      <w:r w:rsidR="00D11B0B" w:rsidRPr="00D11B0B">
        <w:rPr>
          <w:rFonts w:cs="Arial"/>
          <w:sz w:val="22"/>
          <w:szCs w:val="22"/>
        </w:rPr>
        <w:t xml:space="preserve"> general de la Nación, que obliga a que todas las disposiciones en materia presupuestal, la programación, elaboración, presentación, aprobación, modificación y ejecución del presupuesto entre otras, deben ceñirse a las prescripciones contenidas en el mismo.</w:t>
      </w:r>
    </w:p>
    <w:p w14:paraId="328924B6" w14:textId="77777777" w:rsidR="00D11B0B" w:rsidRPr="00D11B0B" w:rsidRDefault="00D11B0B" w:rsidP="00D22441">
      <w:pPr>
        <w:rPr>
          <w:rFonts w:cs="Arial"/>
          <w:sz w:val="22"/>
          <w:szCs w:val="22"/>
        </w:rPr>
      </w:pPr>
    </w:p>
    <w:p w14:paraId="66C61654" w14:textId="7AF10EE1" w:rsidR="00D11B0B" w:rsidRPr="00930E24" w:rsidRDefault="00930E24" w:rsidP="00D22441">
      <w:pPr>
        <w:rPr>
          <w:rFonts w:cs="Arial"/>
          <w:sz w:val="22"/>
          <w:szCs w:val="22"/>
        </w:rPr>
      </w:pPr>
      <w:r>
        <w:rPr>
          <w:rFonts w:cs="Arial"/>
          <w:sz w:val="22"/>
          <w:szCs w:val="22"/>
        </w:rPr>
        <w:t>Conforme al artículo 95 de la Constitución Política, los colombianos tienen la responsabilidad de contribuir con los gastos e inversiones del Estado, por otra parte, e</w:t>
      </w:r>
      <w:r w:rsidR="00D11B0B" w:rsidRPr="00D11B0B">
        <w:rPr>
          <w:rFonts w:cs="Arial"/>
          <w:sz w:val="22"/>
          <w:szCs w:val="22"/>
        </w:rPr>
        <w:t>l artículo 85 de la Ley 142 de 1994, señala que el fin de la contribución especial a favor de las comisiones reguladoras y de la SSPD, es para el caso de las primeras</w:t>
      </w:r>
      <w:r w:rsidR="00961F59">
        <w:rPr>
          <w:rFonts w:cs="Arial"/>
          <w:sz w:val="22"/>
          <w:szCs w:val="22"/>
        </w:rPr>
        <w:t xml:space="preserve">, </w:t>
      </w:r>
      <w:r w:rsidR="00D11B0B" w:rsidRPr="00D11B0B">
        <w:rPr>
          <w:rFonts w:cs="Arial"/>
          <w:sz w:val="22"/>
          <w:szCs w:val="22"/>
        </w:rPr>
        <w:t>recuperar los costos del servicio de regulación que preste cada comisión, los proyectos de inversión que componen el presupuesto de gastos de regulación de la CREG se ajustan a la finalidad de la contribución especial.</w:t>
      </w:r>
      <w:r w:rsidR="00A513DD">
        <w:rPr>
          <w:rFonts w:cs="Arial"/>
          <w:sz w:val="22"/>
          <w:szCs w:val="22"/>
        </w:rPr>
        <w:t xml:space="preserve"> </w:t>
      </w:r>
      <w:r w:rsidR="00D11B0B" w:rsidRPr="00D11B0B">
        <w:rPr>
          <w:rFonts w:eastAsia="Arial Unicode MS" w:cs="Arial"/>
          <w:iCs/>
          <w:sz w:val="22"/>
          <w:szCs w:val="22"/>
        </w:rPr>
        <w:t xml:space="preserve">Esta disposición se reitera en la misma norma, en el Capítulo </w:t>
      </w:r>
      <w:r w:rsidR="00D11B0B" w:rsidRPr="00D11B0B">
        <w:rPr>
          <w:rFonts w:eastAsia="Arial Unicode MS" w:cs="Arial"/>
          <w:i/>
          <w:sz w:val="22"/>
          <w:szCs w:val="22"/>
        </w:rPr>
        <w:t>V. El presupuesto de gastos o ley de apropiaciones</w:t>
      </w:r>
      <w:r w:rsidR="00D11B0B" w:rsidRPr="00D11B0B">
        <w:rPr>
          <w:rFonts w:eastAsia="Arial Unicode MS" w:cs="Arial"/>
          <w:iCs/>
          <w:sz w:val="22"/>
          <w:szCs w:val="22"/>
        </w:rPr>
        <w:t>, cuando discrimina cómo está compuesto el presupuesto de gastos, así:</w:t>
      </w:r>
    </w:p>
    <w:p w14:paraId="5853855B" w14:textId="77777777" w:rsidR="00D11B0B" w:rsidRPr="00D11B0B" w:rsidRDefault="00D11B0B" w:rsidP="00D22441">
      <w:pPr>
        <w:contextualSpacing/>
        <w:rPr>
          <w:rFonts w:eastAsia="Arial Unicode MS" w:cs="Arial"/>
          <w:iCs/>
          <w:sz w:val="22"/>
          <w:szCs w:val="22"/>
        </w:rPr>
      </w:pPr>
    </w:p>
    <w:p w14:paraId="172FE308" w14:textId="7BD015BC" w:rsidR="00D11B0B" w:rsidRDefault="00D11B0B" w:rsidP="00D22441">
      <w:pPr>
        <w:contextualSpacing/>
        <w:rPr>
          <w:rFonts w:eastAsia="Arial Unicode MS" w:cs="Arial"/>
          <w:i/>
          <w:sz w:val="22"/>
          <w:szCs w:val="22"/>
        </w:rPr>
      </w:pPr>
      <w:r w:rsidRPr="00D11B0B">
        <w:rPr>
          <w:rFonts w:eastAsia="Arial Unicode MS" w:cs="Arial"/>
          <w:i/>
          <w:sz w:val="22"/>
          <w:szCs w:val="22"/>
        </w:rPr>
        <w:t>“ARTÍCULO 36. El presupuesto de gastos se compondrá de los gastos de funcionamiento, del servicio de la deuda pública y de los gastos de inversión.”</w:t>
      </w:r>
      <w:r w:rsidR="009C0138">
        <w:rPr>
          <w:rFonts w:eastAsia="Arial Unicode MS" w:cs="Arial"/>
          <w:i/>
          <w:sz w:val="22"/>
          <w:szCs w:val="22"/>
        </w:rPr>
        <w:t xml:space="preserve"> </w:t>
      </w:r>
      <w:r w:rsidR="00810212">
        <w:rPr>
          <w:rStyle w:val="Refdenotaalpie"/>
          <w:rFonts w:eastAsia="Arial Unicode MS" w:cs="Arial"/>
          <w:i/>
          <w:sz w:val="22"/>
          <w:szCs w:val="22"/>
        </w:rPr>
        <w:footnoteReference w:id="9"/>
      </w:r>
    </w:p>
    <w:p w14:paraId="15DAAC16" w14:textId="77777777" w:rsidR="009C0138" w:rsidRDefault="009C0138" w:rsidP="00D22441">
      <w:pPr>
        <w:contextualSpacing/>
        <w:rPr>
          <w:rFonts w:eastAsia="Arial Unicode MS" w:cs="Arial"/>
          <w:iCs/>
          <w:sz w:val="22"/>
          <w:szCs w:val="22"/>
        </w:rPr>
      </w:pPr>
    </w:p>
    <w:p w14:paraId="6B8AA9A0" w14:textId="78DEC93A" w:rsidR="00D11B0B" w:rsidRPr="00D11B0B" w:rsidRDefault="00D11B0B" w:rsidP="00D22441">
      <w:pPr>
        <w:contextualSpacing/>
        <w:rPr>
          <w:rFonts w:eastAsia="Arial Unicode MS" w:cs="Arial"/>
          <w:sz w:val="22"/>
          <w:szCs w:val="22"/>
        </w:rPr>
      </w:pPr>
      <w:r w:rsidRPr="00D11B0B">
        <w:rPr>
          <w:rFonts w:eastAsia="Arial Unicode MS" w:cs="Arial"/>
          <w:iCs/>
          <w:sz w:val="22"/>
          <w:szCs w:val="22"/>
        </w:rPr>
        <w:t xml:space="preserve">En la misma línea, el Decreto 1068 DE 2015 - </w:t>
      </w:r>
      <w:r w:rsidRPr="00D11B0B">
        <w:rPr>
          <w:rFonts w:eastAsia="Arial Unicode MS" w:cs="Arial"/>
          <w:sz w:val="22"/>
          <w:szCs w:val="22"/>
        </w:rPr>
        <w:t>Decreto Único Reglamentario del Sector Hacienda y Crédito Público, reitera dicha definición de gastos, así:</w:t>
      </w:r>
    </w:p>
    <w:p w14:paraId="419A4A46" w14:textId="77777777" w:rsidR="00D11B0B" w:rsidRPr="00D11B0B" w:rsidRDefault="00D11B0B" w:rsidP="00D22441">
      <w:pPr>
        <w:contextualSpacing/>
        <w:rPr>
          <w:rFonts w:eastAsia="Arial Unicode MS" w:cs="Arial"/>
          <w:sz w:val="22"/>
          <w:szCs w:val="22"/>
        </w:rPr>
      </w:pPr>
    </w:p>
    <w:p w14:paraId="57202FAD" w14:textId="77777777" w:rsidR="00D11B0B" w:rsidRPr="00D11B0B" w:rsidRDefault="00D11B0B" w:rsidP="00D22441">
      <w:pPr>
        <w:ind w:left="708"/>
        <w:contextualSpacing/>
        <w:rPr>
          <w:rFonts w:eastAsia="Arial Unicode MS" w:cs="Arial"/>
          <w:i/>
          <w:sz w:val="22"/>
          <w:szCs w:val="22"/>
        </w:rPr>
      </w:pPr>
      <w:r w:rsidRPr="00D11B0B">
        <w:rPr>
          <w:rFonts w:eastAsia="Arial Unicode MS" w:cs="Arial"/>
          <w:iCs/>
          <w:sz w:val="22"/>
          <w:szCs w:val="22"/>
        </w:rPr>
        <w:t>“</w:t>
      </w:r>
      <w:r w:rsidRPr="00D11B0B">
        <w:rPr>
          <w:rFonts w:eastAsia="Arial Unicode MS" w:cs="Arial"/>
          <w:bCs/>
          <w:i/>
          <w:sz w:val="22"/>
          <w:szCs w:val="22"/>
        </w:rPr>
        <w:t>ARTÍCULO 2.8.3.1.2. Presupuesto de Gastos</w:t>
      </w:r>
      <w:r w:rsidRPr="00D11B0B">
        <w:rPr>
          <w:rFonts w:eastAsia="Arial Unicode MS" w:cs="Arial"/>
          <w:i/>
          <w:sz w:val="22"/>
          <w:szCs w:val="22"/>
        </w:rPr>
        <w:t>. El presupuesto de gastos comprende las apropiaciones para gastos de funcionamiento, gastos de operación comercial, servicio de la deuda y gastos de inversión que se causen durante la vigencia fiscal respectiva.</w:t>
      </w:r>
    </w:p>
    <w:p w14:paraId="08D1EE4C" w14:textId="77777777" w:rsidR="00D11B0B" w:rsidRPr="00D11B0B" w:rsidRDefault="00D11B0B" w:rsidP="00D22441">
      <w:pPr>
        <w:ind w:left="708"/>
        <w:contextualSpacing/>
        <w:rPr>
          <w:rFonts w:eastAsia="Arial Unicode MS" w:cs="Arial"/>
          <w:i/>
          <w:sz w:val="22"/>
          <w:szCs w:val="22"/>
        </w:rPr>
      </w:pPr>
      <w:r w:rsidRPr="00D11B0B">
        <w:rPr>
          <w:rFonts w:eastAsia="Arial Unicode MS" w:cs="Arial"/>
          <w:i/>
          <w:sz w:val="22"/>
          <w:szCs w:val="22"/>
        </w:rPr>
        <w:t xml:space="preserve">La </w:t>
      </w:r>
      <w:proofErr w:type="spellStart"/>
      <w:r w:rsidRPr="00D11B0B">
        <w:rPr>
          <w:rFonts w:eastAsia="Arial Unicode MS" w:cs="Arial"/>
          <w:i/>
          <w:sz w:val="22"/>
          <w:szCs w:val="22"/>
        </w:rPr>
        <w:t>causación</w:t>
      </w:r>
      <w:proofErr w:type="spellEnd"/>
      <w:r w:rsidRPr="00D11B0B">
        <w:rPr>
          <w:rFonts w:eastAsia="Arial Unicode MS" w:cs="Arial"/>
          <w:i/>
          <w:sz w:val="22"/>
          <w:szCs w:val="22"/>
        </w:rPr>
        <w:t xml:space="preserve"> del gasto debe contar con la apropiación presupuestal correspondiente.</w:t>
      </w:r>
    </w:p>
    <w:p w14:paraId="78AF830B" w14:textId="77777777" w:rsidR="00D11B0B" w:rsidRPr="00D11B0B" w:rsidRDefault="00D11B0B" w:rsidP="00D22441">
      <w:pPr>
        <w:ind w:left="708"/>
        <w:contextualSpacing/>
        <w:rPr>
          <w:rFonts w:eastAsia="Arial Unicode MS" w:cs="Arial"/>
          <w:i/>
          <w:sz w:val="22"/>
          <w:szCs w:val="22"/>
        </w:rPr>
      </w:pPr>
    </w:p>
    <w:p w14:paraId="004327FF" w14:textId="77777777" w:rsidR="00D11B0B" w:rsidRPr="00D11B0B" w:rsidRDefault="00D11B0B" w:rsidP="00D22441">
      <w:pPr>
        <w:ind w:left="708"/>
        <w:contextualSpacing/>
        <w:rPr>
          <w:rFonts w:eastAsia="Arial Unicode MS" w:cs="Arial"/>
          <w:i/>
          <w:sz w:val="22"/>
          <w:szCs w:val="22"/>
        </w:rPr>
      </w:pPr>
      <w:r w:rsidRPr="00D11B0B">
        <w:rPr>
          <w:rFonts w:eastAsia="Arial Unicode MS" w:cs="Arial"/>
          <w:i/>
          <w:sz w:val="22"/>
          <w:szCs w:val="22"/>
        </w:rPr>
        <w:lastRenderedPageBreak/>
        <w:t xml:space="preserve">Los compromisos y obligaciones pendientes de pago a 31 de </w:t>
      </w:r>
      <w:proofErr w:type="gramStart"/>
      <w:r w:rsidRPr="00D11B0B">
        <w:rPr>
          <w:rFonts w:eastAsia="Arial Unicode MS" w:cs="Arial"/>
          <w:i/>
          <w:sz w:val="22"/>
          <w:szCs w:val="22"/>
        </w:rPr>
        <w:t>diciembre,</w:t>
      </w:r>
      <w:proofErr w:type="gramEnd"/>
      <w:r w:rsidRPr="00D11B0B">
        <w:rPr>
          <w:rFonts w:eastAsia="Arial Unicode MS" w:cs="Arial"/>
          <w:i/>
          <w:sz w:val="22"/>
          <w:szCs w:val="22"/>
        </w:rPr>
        <w:t xml:space="preserve"> deberán incluirse en el presupuesto del año siguiente como una cuenta por pagar y su pago deberá realizarse en dicha vigencia fiscal.</w:t>
      </w:r>
    </w:p>
    <w:p w14:paraId="2B6223CD" w14:textId="77777777" w:rsidR="00D11B0B" w:rsidRPr="00D11B0B" w:rsidRDefault="00D11B0B" w:rsidP="00D22441">
      <w:pPr>
        <w:ind w:left="709"/>
        <w:contextualSpacing/>
        <w:rPr>
          <w:rFonts w:eastAsia="Arial Unicode MS" w:cs="Arial"/>
          <w:i/>
          <w:sz w:val="22"/>
          <w:szCs w:val="22"/>
        </w:rPr>
      </w:pPr>
    </w:p>
    <w:p w14:paraId="1B2E9757" w14:textId="6EADE8B0" w:rsidR="00D11B0B" w:rsidRPr="00D11B0B" w:rsidRDefault="00D11B0B" w:rsidP="00D22441">
      <w:pPr>
        <w:contextualSpacing/>
        <w:rPr>
          <w:rFonts w:eastAsia="Arial Unicode MS" w:cs="Arial"/>
          <w:iCs/>
          <w:sz w:val="22"/>
          <w:szCs w:val="22"/>
        </w:rPr>
      </w:pPr>
      <w:r w:rsidRPr="00D11B0B">
        <w:rPr>
          <w:rFonts w:eastAsia="Arial Unicode MS" w:cs="Arial"/>
          <w:iCs/>
          <w:sz w:val="22"/>
          <w:szCs w:val="22"/>
        </w:rPr>
        <w:t>Las anteriores normas son de obligatorio cumplimiento para la CREG y en el ejercicio de su función reguladora debe conciliar lo establecido en estas y en la Ley 142 de 1994 referente al cobro de la contribución especial de la cual es beneficiaria, sin que las mismas sean excluyentes por cuanto no se contraponen entre sí.</w:t>
      </w:r>
      <w:r w:rsidR="00A513DD">
        <w:rPr>
          <w:rFonts w:eastAsia="Arial Unicode MS" w:cs="Arial"/>
          <w:iCs/>
          <w:sz w:val="22"/>
          <w:szCs w:val="22"/>
        </w:rPr>
        <w:t xml:space="preserve"> </w:t>
      </w:r>
      <w:r w:rsidRPr="00D11B0B">
        <w:rPr>
          <w:rFonts w:eastAsia="Arial Unicode MS" w:cs="Arial"/>
          <w:iCs/>
          <w:sz w:val="22"/>
          <w:szCs w:val="22"/>
        </w:rPr>
        <w:t>La Comisión incurre en sus costos (gastos de funcionamiento, servicio de la deuda pública e inversión), en la regulación de servicios públicos domiciliarios (energía, gas natural y gas licuado de petróleo), y combustibles líquidos, para lo cual debe contratar el talento humano que materialice el objeto de la comisión, realizar estudios y adquirir las herramientas y tecnologías que le permitan cumplir con su función misional.</w:t>
      </w:r>
    </w:p>
    <w:p w14:paraId="65709D66" w14:textId="77777777" w:rsidR="00D11B0B" w:rsidRPr="00D11B0B" w:rsidRDefault="00D11B0B" w:rsidP="00D22441">
      <w:pPr>
        <w:contextualSpacing/>
        <w:rPr>
          <w:rFonts w:eastAsia="Arial Unicode MS" w:cs="Arial"/>
          <w:iCs/>
          <w:sz w:val="22"/>
          <w:szCs w:val="22"/>
        </w:rPr>
      </w:pPr>
    </w:p>
    <w:p w14:paraId="2C53461F" w14:textId="2A06FBEA" w:rsidR="00D11B0B" w:rsidRPr="00D11B0B" w:rsidRDefault="00D11B0B" w:rsidP="00D22441">
      <w:pPr>
        <w:contextualSpacing/>
        <w:rPr>
          <w:rFonts w:eastAsia="Arial Unicode MS" w:cs="Arial"/>
          <w:iCs/>
          <w:sz w:val="22"/>
          <w:szCs w:val="22"/>
        </w:rPr>
      </w:pPr>
      <w:r w:rsidRPr="00D11B0B">
        <w:rPr>
          <w:rFonts w:eastAsia="Arial Unicode MS" w:cs="Arial"/>
          <w:iCs/>
          <w:sz w:val="22"/>
          <w:szCs w:val="22"/>
        </w:rPr>
        <w:t>En este sentido las erogaciones de los programas de inversión, aprobados por el Departamento Nacional de Planeación, el Ministerio de Hacienda y Crédito Público y el Congreso de la República cuando se decreta el presupuesto para cada año; son fundamentales y hacen parte integral de la prestación del servicio de regulación, por lo tanto, no se usan para otros fines diferentes que no sean las funciones establecidas en el artículo 4° del Decreto 1260 de 2013</w:t>
      </w:r>
      <w:r w:rsidR="00E333D8">
        <w:rPr>
          <w:rStyle w:val="Refdenotaalpie"/>
          <w:rFonts w:eastAsia="Arial Unicode MS" w:cs="Arial"/>
          <w:iCs/>
          <w:sz w:val="22"/>
          <w:szCs w:val="22"/>
        </w:rPr>
        <w:footnoteReference w:id="10"/>
      </w:r>
      <w:r w:rsidRPr="00D11B0B">
        <w:rPr>
          <w:rFonts w:eastAsia="Arial Unicode MS" w:cs="Arial"/>
          <w:iCs/>
          <w:sz w:val="22"/>
          <w:szCs w:val="22"/>
        </w:rPr>
        <w:t>, “Por el cual se modifica la estructura de la Comisión de Regulación de Energía y Gas (CREG).”, y se ajustan a la finalidad establecida en el artículo 85 de la Ley 142 de 1994, esto es, recuperar los costos de regulación.</w:t>
      </w:r>
    </w:p>
    <w:p w14:paraId="7F60B990" w14:textId="77777777" w:rsidR="006B447C" w:rsidRPr="00CC5937" w:rsidRDefault="006B447C" w:rsidP="00D22441">
      <w:pPr>
        <w:rPr>
          <w:rFonts w:cs="Arial"/>
          <w:sz w:val="22"/>
          <w:szCs w:val="22"/>
        </w:rPr>
      </w:pPr>
    </w:p>
    <w:p w14:paraId="0D3F5CB7" w14:textId="188C4845" w:rsidR="00990857" w:rsidRPr="00CC5937" w:rsidRDefault="00990857" w:rsidP="00D22441">
      <w:pPr>
        <w:pStyle w:val="Subttulo"/>
        <w:numPr>
          <w:ilvl w:val="1"/>
          <w:numId w:val="37"/>
        </w:numPr>
        <w:spacing w:after="0"/>
        <w:ind w:left="357" w:hanging="357"/>
        <w:jc w:val="left"/>
        <w:rPr>
          <w:b/>
          <w:bCs/>
          <w:sz w:val="22"/>
          <w:szCs w:val="22"/>
        </w:rPr>
      </w:pPr>
      <w:bookmarkStart w:id="36" w:name="_Toc54170179"/>
      <w:bookmarkStart w:id="37" w:name="_Toc147154301"/>
      <w:r w:rsidRPr="00CC5937">
        <w:rPr>
          <w:b/>
          <w:bCs/>
          <w:sz w:val="22"/>
          <w:szCs w:val="22"/>
        </w:rPr>
        <w:t xml:space="preserve">CUANTÍA MÍNIMA </w:t>
      </w:r>
      <w:r w:rsidR="00FC40BA">
        <w:rPr>
          <w:b/>
          <w:bCs/>
          <w:sz w:val="22"/>
          <w:szCs w:val="22"/>
        </w:rPr>
        <w:t xml:space="preserve">AÑO </w:t>
      </w:r>
      <w:r w:rsidRPr="00CC5937">
        <w:rPr>
          <w:b/>
          <w:bCs/>
          <w:sz w:val="22"/>
          <w:szCs w:val="22"/>
        </w:rPr>
        <w:t>202</w:t>
      </w:r>
      <w:r w:rsidR="009E5EF1">
        <w:rPr>
          <w:b/>
          <w:bCs/>
          <w:sz w:val="22"/>
          <w:szCs w:val="22"/>
        </w:rPr>
        <w:t>3</w:t>
      </w:r>
      <w:r w:rsidRPr="00CC5937">
        <w:rPr>
          <w:b/>
          <w:bCs/>
          <w:sz w:val="22"/>
          <w:szCs w:val="22"/>
        </w:rPr>
        <w:t xml:space="preserve"> </w:t>
      </w:r>
      <w:bookmarkEnd w:id="36"/>
      <w:r w:rsidR="00F76920">
        <w:rPr>
          <w:b/>
          <w:bCs/>
          <w:sz w:val="22"/>
          <w:szCs w:val="22"/>
        </w:rPr>
        <w:t xml:space="preserve">DE </w:t>
      </w:r>
      <w:r w:rsidR="005C5D1D">
        <w:rPr>
          <w:b/>
          <w:bCs/>
          <w:sz w:val="22"/>
          <w:szCs w:val="22"/>
        </w:rPr>
        <w:t>OPTIMIZACIÓN DE RECURSOS</w:t>
      </w:r>
      <w:r w:rsidR="00F76920">
        <w:rPr>
          <w:b/>
          <w:bCs/>
          <w:sz w:val="22"/>
          <w:szCs w:val="22"/>
        </w:rPr>
        <w:t xml:space="preserve"> P</w:t>
      </w:r>
      <w:r w:rsidR="004613A1">
        <w:rPr>
          <w:b/>
          <w:bCs/>
          <w:sz w:val="22"/>
          <w:szCs w:val="22"/>
        </w:rPr>
        <w:t>A</w:t>
      </w:r>
      <w:r w:rsidR="00F76920">
        <w:rPr>
          <w:b/>
          <w:bCs/>
          <w:sz w:val="22"/>
          <w:szCs w:val="22"/>
        </w:rPr>
        <w:t>RA LA GESTIÓN.</w:t>
      </w:r>
      <w:bookmarkEnd w:id="37"/>
    </w:p>
    <w:p w14:paraId="52D498B1" w14:textId="0D52390D" w:rsidR="00990857" w:rsidRPr="00CC5937" w:rsidRDefault="00990857" w:rsidP="00D22441">
      <w:pPr>
        <w:rPr>
          <w:rFonts w:cs="Arial"/>
          <w:sz w:val="22"/>
          <w:szCs w:val="22"/>
        </w:rPr>
      </w:pPr>
    </w:p>
    <w:p w14:paraId="4E4BE1A1" w14:textId="3D8D8374" w:rsidR="00FB3582" w:rsidRDefault="00990857" w:rsidP="00D22441">
      <w:pPr>
        <w:rPr>
          <w:rFonts w:cs="Arial"/>
          <w:sz w:val="22"/>
          <w:szCs w:val="22"/>
        </w:rPr>
      </w:pPr>
      <w:r w:rsidRPr="00B629F3">
        <w:rPr>
          <w:rFonts w:cs="Arial"/>
          <w:sz w:val="22"/>
          <w:szCs w:val="22"/>
        </w:rPr>
        <w:t>Conforme a lo señalado en el numeral 12 del artículo 3 de la Ley 1437 de 2011</w:t>
      </w:r>
      <w:r w:rsidR="004022EF">
        <w:rPr>
          <w:rStyle w:val="Refdenotaalpie"/>
          <w:rFonts w:cs="Arial"/>
          <w:sz w:val="22"/>
          <w:szCs w:val="22"/>
        </w:rPr>
        <w:footnoteReference w:id="11"/>
      </w:r>
      <w:r w:rsidRPr="00B629F3">
        <w:rPr>
          <w:rFonts w:cs="Arial"/>
          <w:sz w:val="22"/>
          <w:szCs w:val="22"/>
        </w:rPr>
        <w:t xml:space="preserve">, en cuanto las actuaciones administrativas se desarrollarán con arreglo y en virtud al principio de  economía, </w:t>
      </w:r>
      <w:r w:rsidR="00086236">
        <w:rPr>
          <w:rFonts w:cs="Arial"/>
          <w:sz w:val="22"/>
          <w:szCs w:val="22"/>
        </w:rPr>
        <w:t>teniendo en cuenta</w:t>
      </w:r>
      <w:r>
        <w:rPr>
          <w:rFonts w:cs="Arial"/>
          <w:sz w:val="22"/>
          <w:szCs w:val="22"/>
        </w:rPr>
        <w:t xml:space="preserve"> las actividades asociadas a </w:t>
      </w:r>
      <w:r w:rsidR="00F76920">
        <w:rPr>
          <w:rFonts w:cs="Arial"/>
          <w:sz w:val="22"/>
          <w:szCs w:val="22"/>
        </w:rPr>
        <w:t xml:space="preserve">la </w:t>
      </w:r>
      <w:r w:rsidR="00086236">
        <w:rPr>
          <w:rFonts w:cs="Arial"/>
          <w:sz w:val="22"/>
          <w:szCs w:val="22"/>
        </w:rPr>
        <w:t>contribución especial</w:t>
      </w:r>
      <w:r w:rsidR="007A6538">
        <w:rPr>
          <w:rFonts w:cs="Arial"/>
          <w:sz w:val="22"/>
          <w:szCs w:val="22"/>
        </w:rPr>
        <w:t xml:space="preserve"> de regulación</w:t>
      </w:r>
      <w:r w:rsidR="00F76920">
        <w:rPr>
          <w:rFonts w:cs="Arial"/>
          <w:sz w:val="22"/>
          <w:szCs w:val="22"/>
        </w:rPr>
        <w:t>,</w:t>
      </w:r>
      <w:r w:rsidR="00086236">
        <w:rPr>
          <w:rFonts w:cs="Arial"/>
          <w:sz w:val="22"/>
          <w:szCs w:val="22"/>
        </w:rPr>
        <w:t xml:space="preserve"> en </w:t>
      </w:r>
      <w:r w:rsidR="002D4D7F">
        <w:rPr>
          <w:rFonts w:cs="Arial"/>
          <w:sz w:val="22"/>
          <w:szCs w:val="22"/>
        </w:rPr>
        <w:t>el esfuerzo invertido</w:t>
      </w:r>
      <w:r w:rsidR="00086236">
        <w:rPr>
          <w:rFonts w:cs="Arial"/>
          <w:sz w:val="22"/>
          <w:szCs w:val="22"/>
        </w:rPr>
        <w:t xml:space="preserve"> </w:t>
      </w:r>
      <w:r w:rsidR="007A6538">
        <w:rPr>
          <w:rFonts w:cs="Arial"/>
          <w:sz w:val="22"/>
          <w:szCs w:val="22"/>
        </w:rPr>
        <w:t>para llevar a cabo</w:t>
      </w:r>
      <w:r w:rsidR="00F33815">
        <w:rPr>
          <w:rFonts w:cs="Arial"/>
          <w:sz w:val="22"/>
          <w:szCs w:val="22"/>
        </w:rPr>
        <w:t xml:space="preserve"> actividades de </w:t>
      </w:r>
      <w:r>
        <w:rPr>
          <w:rFonts w:cs="Arial"/>
          <w:sz w:val="22"/>
          <w:szCs w:val="22"/>
        </w:rPr>
        <w:t>contribución y cartera</w:t>
      </w:r>
      <w:r w:rsidR="00EC7D6C">
        <w:rPr>
          <w:rFonts w:cs="Arial"/>
          <w:sz w:val="22"/>
          <w:szCs w:val="22"/>
        </w:rPr>
        <w:t>,</w:t>
      </w:r>
      <w:r w:rsidR="00086236">
        <w:rPr>
          <w:rFonts w:cs="Arial"/>
          <w:sz w:val="22"/>
          <w:szCs w:val="22"/>
        </w:rPr>
        <w:t xml:space="preserve"> contabilidad, tesorería, </w:t>
      </w:r>
      <w:r w:rsidR="007A6538">
        <w:rPr>
          <w:rFonts w:cs="Arial"/>
          <w:sz w:val="22"/>
          <w:szCs w:val="22"/>
        </w:rPr>
        <w:t xml:space="preserve">asesoría jurídica y </w:t>
      </w:r>
      <w:r w:rsidR="00086236">
        <w:rPr>
          <w:rFonts w:cs="Arial"/>
          <w:sz w:val="22"/>
          <w:szCs w:val="22"/>
        </w:rPr>
        <w:t>gestión documental</w:t>
      </w:r>
      <w:r w:rsidR="007A6538">
        <w:rPr>
          <w:rFonts w:cs="Arial"/>
          <w:sz w:val="22"/>
          <w:szCs w:val="22"/>
        </w:rPr>
        <w:t>,</w:t>
      </w:r>
      <w:r w:rsidR="00086236">
        <w:rPr>
          <w:rFonts w:cs="Arial"/>
          <w:sz w:val="22"/>
          <w:szCs w:val="22"/>
        </w:rPr>
        <w:t xml:space="preserve"> entre otras</w:t>
      </w:r>
      <w:r w:rsidR="007A6538">
        <w:rPr>
          <w:rFonts w:cs="Arial"/>
          <w:sz w:val="22"/>
          <w:szCs w:val="22"/>
        </w:rPr>
        <w:t>;</w:t>
      </w:r>
      <w:r w:rsidR="00086236">
        <w:rPr>
          <w:rFonts w:cs="Arial"/>
          <w:sz w:val="22"/>
          <w:szCs w:val="22"/>
        </w:rPr>
        <w:t xml:space="preserve"> y </w:t>
      </w:r>
      <w:r w:rsidRPr="004C6D8F">
        <w:rPr>
          <w:rFonts w:cs="Arial"/>
          <w:sz w:val="22"/>
          <w:szCs w:val="22"/>
        </w:rPr>
        <w:t xml:space="preserve">con el fin de </w:t>
      </w:r>
      <w:r>
        <w:rPr>
          <w:rFonts w:cs="Arial"/>
          <w:sz w:val="22"/>
          <w:szCs w:val="22"/>
        </w:rPr>
        <w:t>determinar</w:t>
      </w:r>
      <w:r w:rsidRPr="004C6D8F">
        <w:rPr>
          <w:rFonts w:cs="Arial"/>
          <w:sz w:val="22"/>
          <w:szCs w:val="22"/>
        </w:rPr>
        <w:t xml:space="preserve"> la menor</w:t>
      </w:r>
      <w:r>
        <w:rPr>
          <w:rFonts w:cs="Arial"/>
          <w:sz w:val="22"/>
          <w:szCs w:val="22"/>
        </w:rPr>
        <w:t xml:space="preserve"> </w:t>
      </w:r>
      <w:r w:rsidRPr="004C6D8F">
        <w:rPr>
          <w:rFonts w:cs="Arial"/>
          <w:sz w:val="22"/>
          <w:szCs w:val="22"/>
        </w:rPr>
        <w:t xml:space="preserve">cuantía </w:t>
      </w:r>
      <w:r w:rsidR="00063A03">
        <w:rPr>
          <w:rFonts w:cs="Arial"/>
          <w:sz w:val="22"/>
          <w:szCs w:val="22"/>
        </w:rPr>
        <w:t>razonable</w:t>
      </w:r>
      <w:r>
        <w:rPr>
          <w:rFonts w:cs="Arial"/>
          <w:sz w:val="22"/>
          <w:szCs w:val="22"/>
        </w:rPr>
        <w:t xml:space="preserve">, la cual </w:t>
      </w:r>
      <w:r w:rsidR="001E45D6">
        <w:rPr>
          <w:rFonts w:cs="Arial"/>
          <w:sz w:val="22"/>
          <w:szCs w:val="22"/>
        </w:rPr>
        <w:t xml:space="preserve">otorgue </w:t>
      </w:r>
      <w:r w:rsidR="00063A03">
        <w:rPr>
          <w:rFonts w:cs="Arial"/>
          <w:sz w:val="22"/>
          <w:szCs w:val="22"/>
        </w:rPr>
        <w:t xml:space="preserve">una </w:t>
      </w:r>
      <w:r w:rsidR="001E45D6">
        <w:rPr>
          <w:rFonts w:cs="Arial"/>
          <w:sz w:val="22"/>
          <w:szCs w:val="22"/>
        </w:rPr>
        <w:t xml:space="preserve">mejor </w:t>
      </w:r>
      <w:r w:rsidR="00063A03">
        <w:rPr>
          <w:rFonts w:cs="Arial"/>
          <w:sz w:val="22"/>
          <w:szCs w:val="22"/>
        </w:rPr>
        <w:t xml:space="preserve">rentabilidad en el </w:t>
      </w:r>
      <w:r w:rsidR="001E45D6">
        <w:rPr>
          <w:rFonts w:cs="Arial"/>
          <w:sz w:val="22"/>
          <w:szCs w:val="22"/>
        </w:rPr>
        <w:t xml:space="preserve">resultado económico, </w:t>
      </w:r>
      <w:r w:rsidR="00063A03">
        <w:rPr>
          <w:rFonts w:cs="Arial"/>
          <w:sz w:val="22"/>
          <w:szCs w:val="22"/>
        </w:rPr>
        <w:t xml:space="preserve">que </w:t>
      </w:r>
      <w:r w:rsidR="001E45D6">
        <w:rPr>
          <w:rFonts w:cs="Arial"/>
          <w:sz w:val="22"/>
          <w:szCs w:val="22"/>
        </w:rPr>
        <w:t xml:space="preserve">garantice </w:t>
      </w:r>
      <w:r w:rsidR="007A6538">
        <w:rPr>
          <w:rFonts w:cs="Arial"/>
          <w:sz w:val="22"/>
          <w:szCs w:val="22"/>
        </w:rPr>
        <w:t xml:space="preserve">el uso </w:t>
      </w:r>
      <w:r w:rsidR="008233DE">
        <w:rPr>
          <w:rFonts w:cs="Arial"/>
          <w:sz w:val="22"/>
          <w:szCs w:val="22"/>
        </w:rPr>
        <w:t>eficiente</w:t>
      </w:r>
      <w:r w:rsidR="007A6538">
        <w:rPr>
          <w:rFonts w:cs="Arial"/>
          <w:sz w:val="22"/>
          <w:szCs w:val="22"/>
        </w:rPr>
        <w:t xml:space="preserve"> de recursos</w:t>
      </w:r>
      <w:r w:rsidR="001E45D6">
        <w:rPr>
          <w:rFonts w:cs="Arial"/>
          <w:sz w:val="22"/>
          <w:szCs w:val="22"/>
        </w:rPr>
        <w:t xml:space="preserve">, </w:t>
      </w:r>
      <w:r w:rsidR="007A0DC6">
        <w:rPr>
          <w:rFonts w:cs="Arial"/>
          <w:sz w:val="22"/>
          <w:szCs w:val="22"/>
        </w:rPr>
        <w:t>sea</w:t>
      </w:r>
      <w:r>
        <w:rPr>
          <w:rFonts w:cs="Arial"/>
          <w:sz w:val="22"/>
          <w:szCs w:val="22"/>
        </w:rPr>
        <w:t xml:space="preserve"> </w:t>
      </w:r>
      <w:r w:rsidR="008233DE">
        <w:rPr>
          <w:rFonts w:cs="Arial"/>
          <w:sz w:val="22"/>
          <w:szCs w:val="22"/>
        </w:rPr>
        <w:t xml:space="preserve">ésta </w:t>
      </w:r>
      <w:r w:rsidR="001E45D6">
        <w:rPr>
          <w:rFonts w:cs="Arial"/>
          <w:sz w:val="22"/>
          <w:szCs w:val="22"/>
        </w:rPr>
        <w:t>equitativ</w:t>
      </w:r>
      <w:r w:rsidR="007A0DC6">
        <w:rPr>
          <w:rFonts w:cs="Arial"/>
          <w:sz w:val="22"/>
          <w:szCs w:val="22"/>
        </w:rPr>
        <w:t>a</w:t>
      </w:r>
      <w:r w:rsidR="001E45D6">
        <w:rPr>
          <w:rFonts w:cs="Arial"/>
          <w:sz w:val="22"/>
          <w:szCs w:val="22"/>
        </w:rPr>
        <w:t xml:space="preserve"> frente a los esfuerzos e intereses de la </w:t>
      </w:r>
      <w:r w:rsidR="007A0DC6">
        <w:rPr>
          <w:rFonts w:cs="Arial"/>
          <w:sz w:val="22"/>
          <w:szCs w:val="22"/>
        </w:rPr>
        <w:t>Comisión</w:t>
      </w:r>
      <w:r w:rsidR="00063A03">
        <w:rPr>
          <w:rFonts w:cs="Arial"/>
          <w:sz w:val="22"/>
          <w:szCs w:val="22"/>
        </w:rPr>
        <w:t xml:space="preserve"> y </w:t>
      </w:r>
      <w:r w:rsidR="001E45D6">
        <w:rPr>
          <w:rFonts w:cs="Arial"/>
          <w:sz w:val="22"/>
          <w:szCs w:val="22"/>
        </w:rPr>
        <w:t xml:space="preserve">de </w:t>
      </w:r>
      <w:r w:rsidR="00063A03">
        <w:rPr>
          <w:rFonts w:cs="Arial"/>
          <w:sz w:val="22"/>
          <w:szCs w:val="22"/>
        </w:rPr>
        <w:t>sus</w:t>
      </w:r>
      <w:r w:rsidR="001E45D6">
        <w:rPr>
          <w:rFonts w:cs="Arial"/>
          <w:sz w:val="22"/>
          <w:szCs w:val="22"/>
        </w:rPr>
        <w:t xml:space="preserve"> </w:t>
      </w:r>
      <w:r w:rsidR="007A0DC6">
        <w:rPr>
          <w:rFonts w:cs="Arial"/>
          <w:sz w:val="22"/>
          <w:szCs w:val="22"/>
        </w:rPr>
        <w:t>regulados</w:t>
      </w:r>
      <w:r w:rsidR="001E45D6">
        <w:rPr>
          <w:rFonts w:cs="Arial"/>
          <w:sz w:val="22"/>
          <w:szCs w:val="22"/>
        </w:rPr>
        <w:t xml:space="preserve">, </w:t>
      </w:r>
      <w:r>
        <w:rPr>
          <w:rFonts w:cs="Arial"/>
          <w:sz w:val="22"/>
          <w:szCs w:val="22"/>
        </w:rPr>
        <w:t xml:space="preserve">en aras </w:t>
      </w:r>
      <w:r w:rsidR="007A0DC6">
        <w:rPr>
          <w:rFonts w:cs="Arial"/>
          <w:sz w:val="22"/>
          <w:szCs w:val="22"/>
        </w:rPr>
        <w:t>de la optimización</w:t>
      </w:r>
      <w:r>
        <w:rPr>
          <w:rFonts w:cs="Arial"/>
          <w:sz w:val="22"/>
          <w:szCs w:val="22"/>
        </w:rPr>
        <w:t xml:space="preserve"> de</w:t>
      </w:r>
      <w:r w:rsidR="008233DE">
        <w:rPr>
          <w:rFonts w:cs="Arial"/>
          <w:sz w:val="22"/>
          <w:szCs w:val="22"/>
        </w:rPr>
        <w:t>l</w:t>
      </w:r>
      <w:r>
        <w:rPr>
          <w:rFonts w:cs="Arial"/>
          <w:sz w:val="22"/>
          <w:szCs w:val="22"/>
        </w:rPr>
        <w:t xml:space="preserve"> tiempo y </w:t>
      </w:r>
      <w:r w:rsidR="008233DE">
        <w:rPr>
          <w:rFonts w:cs="Arial"/>
          <w:sz w:val="22"/>
          <w:szCs w:val="22"/>
        </w:rPr>
        <w:t>los procesos</w:t>
      </w:r>
      <w:r>
        <w:rPr>
          <w:rFonts w:cs="Arial"/>
          <w:sz w:val="22"/>
          <w:szCs w:val="22"/>
        </w:rPr>
        <w:t xml:space="preserve">, </w:t>
      </w:r>
      <w:r w:rsidR="007A0DC6">
        <w:rPr>
          <w:rFonts w:cs="Arial"/>
          <w:sz w:val="22"/>
          <w:szCs w:val="22"/>
        </w:rPr>
        <w:t>previniendo</w:t>
      </w:r>
      <w:r>
        <w:rPr>
          <w:rFonts w:cs="Arial"/>
          <w:sz w:val="22"/>
          <w:szCs w:val="22"/>
        </w:rPr>
        <w:t xml:space="preserve"> un detrimento de los recursos humanos, técnicos y financieros empleados para la contribución</w:t>
      </w:r>
      <w:r w:rsidR="00EC7D6C">
        <w:rPr>
          <w:rFonts w:cs="Arial"/>
          <w:sz w:val="22"/>
          <w:szCs w:val="22"/>
        </w:rPr>
        <w:t xml:space="preserve"> especial</w:t>
      </w:r>
      <w:r>
        <w:rPr>
          <w:rFonts w:cs="Arial"/>
          <w:sz w:val="22"/>
          <w:szCs w:val="22"/>
        </w:rPr>
        <w:t xml:space="preserve">, </w:t>
      </w:r>
      <w:r w:rsidR="007A6538">
        <w:rPr>
          <w:rFonts w:cs="Arial"/>
          <w:sz w:val="22"/>
          <w:szCs w:val="22"/>
        </w:rPr>
        <w:t>frente a</w:t>
      </w:r>
      <w:r>
        <w:rPr>
          <w:rFonts w:cs="Arial"/>
          <w:sz w:val="22"/>
          <w:szCs w:val="22"/>
        </w:rPr>
        <w:t xml:space="preserve">l valor a recaudar para los </w:t>
      </w:r>
      <w:r w:rsidR="008233DE">
        <w:rPr>
          <w:rFonts w:cs="Arial"/>
          <w:sz w:val="22"/>
          <w:szCs w:val="22"/>
        </w:rPr>
        <w:t xml:space="preserve">regulados como </w:t>
      </w:r>
      <w:r>
        <w:rPr>
          <w:rFonts w:cs="Arial"/>
          <w:sz w:val="22"/>
          <w:szCs w:val="22"/>
        </w:rPr>
        <w:t xml:space="preserve">sujetos pasivos, y de esta forma poder recuperar de manera eficiente los costos asociados al procedimiento de cálculo, liquidación, </w:t>
      </w:r>
      <w:r w:rsidR="00EC7D6C">
        <w:rPr>
          <w:rFonts w:cs="Arial"/>
          <w:sz w:val="22"/>
          <w:szCs w:val="22"/>
        </w:rPr>
        <w:t xml:space="preserve">notificación, </w:t>
      </w:r>
      <w:r>
        <w:rPr>
          <w:rFonts w:cs="Arial"/>
          <w:sz w:val="22"/>
          <w:szCs w:val="22"/>
        </w:rPr>
        <w:t>recaudo</w:t>
      </w:r>
      <w:r w:rsidR="00EC7D6C">
        <w:rPr>
          <w:rFonts w:cs="Arial"/>
          <w:sz w:val="22"/>
          <w:szCs w:val="22"/>
        </w:rPr>
        <w:t>, seguimiento</w:t>
      </w:r>
      <w:r>
        <w:rPr>
          <w:rFonts w:cs="Arial"/>
          <w:sz w:val="22"/>
          <w:szCs w:val="22"/>
        </w:rPr>
        <w:t xml:space="preserve"> y gestión de cartera de la contribución especial a favor de la </w:t>
      </w:r>
      <w:r w:rsidR="007A0DC6">
        <w:rPr>
          <w:rFonts w:cs="Arial"/>
          <w:sz w:val="22"/>
          <w:szCs w:val="22"/>
        </w:rPr>
        <w:t xml:space="preserve">Comisión, </w:t>
      </w:r>
      <w:r w:rsidR="00EC7D6C" w:rsidRPr="00EC7D6C">
        <w:rPr>
          <w:rFonts w:cs="Arial"/>
          <w:sz w:val="22"/>
          <w:szCs w:val="22"/>
        </w:rPr>
        <w:t xml:space="preserve">la </w:t>
      </w:r>
      <w:r w:rsidR="00EC7D6C">
        <w:rPr>
          <w:rFonts w:cs="Arial"/>
          <w:sz w:val="22"/>
          <w:szCs w:val="22"/>
        </w:rPr>
        <w:t>CREG</w:t>
      </w:r>
      <w:r w:rsidR="00EC7D6C" w:rsidRPr="00EC7D6C">
        <w:rPr>
          <w:rFonts w:cs="Arial"/>
          <w:sz w:val="22"/>
          <w:szCs w:val="22"/>
        </w:rPr>
        <w:t xml:space="preserve"> determinó una cuantía mínima óptima de</w:t>
      </w:r>
      <w:r w:rsidR="003C0B10">
        <w:rPr>
          <w:rFonts w:cs="Arial"/>
          <w:sz w:val="22"/>
          <w:szCs w:val="22"/>
        </w:rPr>
        <w:t xml:space="preserve"> ocho </w:t>
      </w:r>
      <w:r w:rsidR="003C0B10">
        <w:rPr>
          <w:rFonts w:cs="Arial"/>
          <w:sz w:val="22"/>
          <w:szCs w:val="22"/>
        </w:rPr>
        <w:lastRenderedPageBreak/>
        <w:t xml:space="preserve">(8) </w:t>
      </w:r>
      <w:r w:rsidR="008F1F6D">
        <w:rPr>
          <w:rFonts w:cs="Arial"/>
          <w:sz w:val="22"/>
          <w:szCs w:val="22"/>
        </w:rPr>
        <w:t>Unidades de Valor Tributario (</w:t>
      </w:r>
      <w:r w:rsidR="003C0B10">
        <w:rPr>
          <w:rFonts w:cs="Arial"/>
          <w:sz w:val="22"/>
          <w:szCs w:val="22"/>
        </w:rPr>
        <w:t>UVT</w:t>
      </w:r>
      <w:r w:rsidR="008F1F6D">
        <w:rPr>
          <w:rFonts w:cs="Arial"/>
          <w:sz w:val="22"/>
          <w:szCs w:val="22"/>
        </w:rPr>
        <w:t>)</w:t>
      </w:r>
      <w:r w:rsidR="00FC40BA">
        <w:rPr>
          <w:rFonts w:cs="Arial"/>
          <w:sz w:val="22"/>
          <w:szCs w:val="22"/>
        </w:rPr>
        <w:t xml:space="preserve"> de</w:t>
      </w:r>
      <w:r w:rsidR="00F2027D">
        <w:rPr>
          <w:rFonts w:cs="Arial"/>
          <w:sz w:val="22"/>
          <w:szCs w:val="22"/>
        </w:rPr>
        <w:t xml:space="preserve"> 2023</w:t>
      </w:r>
      <w:r w:rsidR="007F0ACC">
        <w:rPr>
          <w:rStyle w:val="Refdenotaalpie"/>
          <w:rFonts w:cs="Arial"/>
          <w:sz w:val="22"/>
          <w:szCs w:val="22"/>
        </w:rPr>
        <w:footnoteReference w:id="12"/>
      </w:r>
      <w:r w:rsidR="00715DF2">
        <w:rPr>
          <w:rFonts w:cs="Arial"/>
          <w:sz w:val="22"/>
          <w:szCs w:val="22"/>
        </w:rPr>
        <w:t>,</w:t>
      </w:r>
      <w:r w:rsidR="003C0B10">
        <w:rPr>
          <w:rFonts w:cs="Arial"/>
          <w:sz w:val="22"/>
          <w:szCs w:val="22"/>
        </w:rPr>
        <w:t xml:space="preserve"> es decir, </w:t>
      </w:r>
      <w:r w:rsidR="009E5EF1">
        <w:rPr>
          <w:rFonts w:cs="Arial"/>
          <w:sz w:val="22"/>
          <w:szCs w:val="22"/>
        </w:rPr>
        <w:t>TRESCIENTOS TREINTA Y NUEVE</w:t>
      </w:r>
      <w:r w:rsidR="003C0B10">
        <w:rPr>
          <w:rFonts w:cs="Arial"/>
          <w:sz w:val="22"/>
          <w:szCs w:val="22"/>
        </w:rPr>
        <w:t xml:space="preserve"> MIL</w:t>
      </w:r>
      <w:r w:rsidR="00EC7D6C">
        <w:rPr>
          <w:rFonts w:cs="Arial"/>
          <w:sz w:val="22"/>
          <w:szCs w:val="22"/>
        </w:rPr>
        <w:t xml:space="preserve"> PESOS M/CTE (</w:t>
      </w:r>
      <w:r w:rsidR="00EC7D6C" w:rsidRPr="00EC7D6C">
        <w:rPr>
          <w:rFonts w:cs="Arial"/>
          <w:sz w:val="22"/>
          <w:szCs w:val="22"/>
        </w:rPr>
        <w:t>$</w:t>
      </w:r>
      <w:r w:rsidR="003C0B10">
        <w:rPr>
          <w:rFonts w:cs="Arial"/>
          <w:sz w:val="22"/>
          <w:szCs w:val="22"/>
        </w:rPr>
        <w:t>3</w:t>
      </w:r>
      <w:r w:rsidR="009E5EF1">
        <w:rPr>
          <w:rFonts w:cs="Arial"/>
          <w:sz w:val="22"/>
          <w:szCs w:val="22"/>
        </w:rPr>
        <w:t>39</w:t>
      </w:r>
      <w:r w:rsidR="000B26E9">
        <w:rPr>
          <w:rFonts w:cs="Arial"/>
          <w:sz w:val="22"/>
          <w:szCs w:val="22"/>
        </w:rPr>
        <w:t>.</w:t>
      </w:r>
      <w:r w:rsidR="003C0B10">
        <w:rPr>
          <w:rFonts w:cs="Arial"/>
          <w:sz w:val="22"/>
          <w:szCs w:val="22"/>
        </w:rPr>
        <w:t>000</w:t>
      </w:r>
      <w:r w:rsidR="00EC7D6C">
        <w:rPr>
          <w:rFonts w:cs="Arial"/>
          <w:sz w:val="22"/>
          <w:szCs w:val="22"/>
        </w:rPr>
        <w:t>)</w:t>
      </w:r>
      <w:r w:rsidR="00EC7D6C" w:rsidRPr="00EC7D6C">
        <w:rPr>
          <w:rFonts w:cs="Arial"/>
          <w:sz w:val="22"/>
          <w:szCs w:val="22"/>
        </w:rPr>
        <w:t>, por debajo de la cual no resulta eficiente</w:t>
      </w:r>
      <w:r w:rsidR="000B26E9">
        <w:rPr>
          <w:rFonts w:cs="Arial"/>
          <w:sz w:val="22"/>
          <w:szCs w:val="22"/>
        </w:rPr>
        <w:t>,</w:t>
      </w:r>
      <w:r w:rsidR="00EC7D6C" w:rsidRPr="00EC7D6C">
        <w:rPr>
          <w:rFonts w:cs="Arial"/>
          <w:sz w:val="22"/>
          <w:szCs w:val="22"/>
        </w:rPr>
        <w:t xml:space="preserve"> ni rentable liquidar la contribución especial a los sujetos pasivos</w:t>
      </w:r>
      <w:r w:rsidR="001E5654">
        <w:rPr>
          <w:rFonts w:cs="Arial"/>
          <w:sz w:val="22"/>
          <w:szCs w:val="22"/>
        </w:rPr>
        <w:t xml:space="preserve"> que le salga este cálculo.</w:t>
      </w:r>
    </w:p>
    <w:p w14:paraId="24FADEDF" w14:textId="77777777" w:rsidR="007D62D1" w:rsidRDefault="007D62D1" w:rsidP="00D22441">
      <w:pPr>
        <w:rPr>
          <w:rFonts w:cs="Arial"/>
          <w:sz w:val="22"/>
          <w:szCs w:val="22"/>
        </w:rPr>
      </w:pPr>
    </w:p>
    <w:p w14:paraId="3965A534" w14:textId="32FDC363" w:rsidR="007D62D1" w:rsidRDefault="007D62D1" w:rsidP="00D22441">
      <w:pPr>
        <w:rPr>
          <w:rFonts w:cs="Arial"/>
          <w:sz w:val="22"/>
          <w:szCs w:val="22"/>
        </w:rPr>
      </w:pPr>
      <w:r w:rsidRPr="007D62D1">
        <w:rPr>
          <w:rFonts w:cs="Arial"/>
          <w:sz w:val="22"/>
          <w:szCs w:val="22"/>
        </w:rPr>
        <w:t>Cuando se expresen las cantidades monetarias en UVT y éstas se conviertan en valores absolutos, a fin de obtener cifras enteras y de fácil operación, este valor monetario se debe multiplicar por el valor de la UVT y su resultado se aproxima de acuerdo con el procedimiento de aproximaciones de que trata el inciso sexto del artículo 868 del Estatuto Tributario.</w:t>
      </w:r>
    </w:p>
    <w:p w14:paraId="0C90BA1A" w14:textId="77777777" w:rsidR="00FB3582" w:rsidRDefault="00FB3582" w:rsidP="00D22441">
      <w:pPr>
        <w:rPr>
          <w:rFonts w:cs="Arial"/>
          <w:sz w:val="22"/>
          <w:szCs w:val="22"/>
        </w:rPr>
      </w:pPr>
    </w:p>
    <w:p w14:paraId="1F7317E0" w14:textId="4967604D" w:rsidR="003034FD" w:rsidRPr="007226D7" w:rsidRDefault="008953E4" w:rsidP="00D22441">
      <w:pPr>
        <w:pStyle w:val="Ttulo10"/>
        <w:numPr>
          <w:ilvl w:val="0"/>
          <w:numId w:val="37"/>
        </w:numPr>
        <w:spacing w:before="0" w:after="0"/>
        <w:rPr>
          <w:sz w:val="22"/>
          <w:szCs w:val="22"/>
        </w:rPr>
      </w:pPr>
      <w:bookmarkStart w:id="38" w:name="_Toc147154302"/>
      <w:r>
        <w:rPr>
          <w:sz w:val="22"/>
          <w:szCs w:val="22"/>
        </w:rPr>
        <w:t>MARCOS NORMATIVOS CONTABLES Y SISTEMA DE INFORMACIÓN</w:t>
      </w:r>
      <w:r w:rsidR="00C447D2">
        <w:rPr>
          <w:sz w:val="22"/>
          <w:szCs w:val="22"/>
        </w:rPr>
        <w:t>.</w:t>
      </w:r>
      <w:bookmarkEnd w:id="38"/>
    </w:p>
    <w:p w14:paraId="1D67B522" w14:textId="5DDBD721" w:rsidR="003034FD" w:rsidRDefault="003034FD" w:rsidP="00D22441">
      <w:pPr>
        <w:rPr>
          <w:rFonts w:cs="Arial"/>
          <w:sz w:val="22"/>
          <w:szCs w:val="22"/>
        </w:rPr>
      </w:pPr>
    </w:p>
    <w:p w14:paraId="693A9D67" w14:textId="1DE64E87" w:rsidR="008953E4" w:rsidRPr="00421866" w:rsidRDefault="008953E4" w:rsidP="00D22441">
      <w:pPr>
        <w:pStyle w:val="Subttulo"/>
        <w:numPr>
          <w:ilvl w:val="1"/>
          <w:numId w:val="37"/>
        </w:numPr>
        <w:spacing w:after="0"/>
        <w:ind w:left="357" w:hanging="357"/>
        <w:jc w:val="left"/>
        <w:rPr>
          <w:b/>
          <w:bCs/>
          <w:sz w:val="22"/>
          <w:szCs w:val="22"/>
        </w:rPr>
      </w:pPr>
      <w:bookmarkStart w:id="39" w:name="_Toc147154303"/>
      <w:r>
        <w:rPr>
          <w:b/>
          <w:bCs/>
          <w:sz w:val="22"/>
          <w:szCs w:val="22"/>
        </w:rPr>
        <w:t>MARCOS NORMATIVOS CONTABLES</w:t>
      </w:r>
      <w:r w:rsidR="00C447D2">
        <w:rPr>
          <w:b/>
          <w:bCs/>
          <w:sz w:val="22"/>
          <w:szCs w:val="22"/>
        </w:rPr>
        <w:t>.</w:t>
      </w:r>
      <w:bookmarkEnd w:id="39"/>
    </w:p>
    <w:p w14:paraId="08B55DCD" w14:textId="77777777" w:rsidR="008953E4" w:rsidRPr="00FE2932" w:rsidRDefault="008953E4" w:rsidP="00D22441">
      <w:pPr>
        <w:rPr>
          <w:rFonts w:cs="Arial"/>
          <w:sz w:val="22"/>
          <w:szCs w:val="22"/>
        </w:rPr>
      </w:pPr>
    </w:p>
    <w:p w14:paraId="0A49A61E" w14:textId="52A4CAEB" w:rsidR="008953E4" w:rsidRPr="00FE2932" w:rsidRDefault="008953E4" w:rsidP="00D22441">
      <w:pPr>
        <w:rPr>
          <w:rFonts w:cs="Arial"/>
          <w:sz w:val="22"/>
          <w:szCs w:val="22"/>
        </w:rPr>
      </w:pPr>
      <w:r>
        <w:rPr>
          <w:rFonts w:cs="Arial"/>
          <w:sz w:val="22"/>
          <w:szCs w:val="22"/>
        </w:rPr>
        <w:t>C</w:t>
      </w:r>
      <w:r w:rsidRPr="00FE2932">
        <w:rPr>
          <w:rFonts w:cs="Arial"/>
          <w:sz w:val="22"/>
          <w:szCs w:val="22"/>
        </w:rPr>
        <w:t>on ocasión de la adopción por parte de Colombia de las Normas Internacionales de Información Financiera (NIIF) para el sector privado y las Normas Internacionales de Contabilidad para el sector público (NICSP)</w:t>
      </w:r>
      <w:r w:rsidR="005D0452">
        <w:rPr>
          <w:rFonts w:cs="Arial"/>
          <w:sz w:val="22"/>
          <w:szCs w:val="22"/>
        </w:rPr>
        <w:t xml:space="preserve"> </w:t>
      </w:r>
      <w:r w:rsidRPr="00FE2932">
        <w:rPr>
          <w:rFonts w:cs="Arial"/>
          <w:sz w:val="22"/>
          <w:szCs w:val="22"/>
        </w:rPr>
        <w:t>éstas fueron incorporadas en la legislación colombiana y constituyen por lo tanto el marco normativo contable vigente.</w:t>
      </w:r>
      <w:r w:rsidR="00FB3582">
        <w:rPr>
          <w:rFonts w:cs="Arial"/>
          <w:sz w:val="22"/>
          <w:szCs w:val="22"/>
        </w:rPr>
        <w:t xml:space="preserve"> </w:t>
      </w:r>
      <w:r>
        <w:rPr>
          <w:rFonts w:cs="Arial"/>
          <w:sz w:val="22"/>
          <w:szCs w:val="22"/>
        </w:rPr>
        <w:t xml:space="preserve">El </w:t>
      </w:r>
      <w:r w:rsidRPr="00FE2932">
        <w:rPr>
          <w:rFonts w:cs="Arial"/>
          <w:sz w:val="22"/>
          <w:szCs w:val="22"/>
        </w:rPr>
        <w:t>Congreso de la República expidió la Ley 1314 de 2009</w:t>
      </w:r>
      <w:r w:rsidRPr="00FE2932">
        <w:rPr>
          <w:rStyle w:val="Refdenotaalpie"/>
          <w:rFonts w:cs="Arial"/>
          <w:sz w:val="22"/>
          <w:szCs w:val="22"/>
        </w:rPr>
        <w:footnoteReference w:id="13"/>
      </w:r>
      <w:r w:rsidRPr="00FE2932">
        <w:rPr>
          <w:rFonts w:cs="Arial"/>
          <w:sz w:val="22"/>
          <w:szCs w:val="22"/>
        </w:rPr>
        <w:t xml:space="preserve">, y con fundamento en ella, el Gobierno Nacional mediante el DUR </w:t>
      </w:r>
      <w:proofErr w:type="spellStart"/>
      <w:r w:rsidRPr="00FE2932">
        <w:rPr>
          <w:rFonts w:cs="Arial"/>
          <w:sz w:val="22"/>
          <w:szCs w:val="22"/>
        </w:rPr>
        <w:t>N°</w:t>
      </w:r>
      <w:proofErr w:type="spellEnd"/>
      <w:r w:rsidRPr="00FE2932">
        <w:rPr>
          <w:rFonts w:cs="Arial"/>
          <w:sz w:val="22"/>
          <w:szCs w:val="22"/>
        </w:rPr>
        <w:t xml:space="preserve"> 2420 del 14 de diciembre de 2015</w:t>
      </w:r>
      <w:r w:rsidRPr="00FE2932">
        <w:rPr>
          <w:rStyle w:val="Refdenotaalpie"/>
          <w:rFonts w:cs="Arial"/>
          <w:sz w:val="22"/>
          <w:szCs w:val="22"/>
        </w:rPr>
        <w:footnoteReference w:id="14"/>
      </w:r>
      <w:r w:rsidRPr="00FE2932">
        <w:rPr>
          <w:rFonts w:cs="Arial"/>
          <w:sz w:val="22"/>
          <w:szCs w:val="22"/>
        </w:rPr>
        <w:t xml:space="preserve"> y demás normas que los modifiquen, compilado en el Decreto 2483 del 28 de diciembre de 2018</w:t>
      </w:r>
      <w:r w:rsidRPr="00FE2932">
        <w:rPr>
          <w:rStyle w:val="Refdenotaalpie"/>
          <w:rFonts w:cs="Arial"/>
          <w:sz w:val="22"/>
          <w:szCs w:val="22"/>
        </w:rPr>
        <w:footnoteReference w:id="15"/>
      </w:r>
      <w:r w:rsidRPr="00FE2932">
        <w:rPr>
          <w:rFonts w:cs="Arial"/>
          <w:sz w:val="22"/>
          <w:szCs w:val="22"/>
        </w:rPr>
        <w:t>, estableció los criterios para que los preparadores de información financiera se clasificaran en diferentes grupos de acuerdo con sus características e igualmente se adoptaron los marcos técnicos normativos para cada grupo.</w:t>
      </w:r>
    </w:p>
    <w:p w14:paraId="46769368" w14:textId="77777777" w:rsidR="008953E4" w:rsidRPr="00FE2932" w:rsidRDefault="008953E4" w:rsidP="00D22441">
      <w:pPr>
        <w:rPr>
          <w:rFonts w:cs="Arial"/>
          <w:sz w:val="22"/>
          <w:szCs w:val="22"/>
        </w:rPr>
      </w:pPr>
    </w:p>
    <w:p w14:paraId="4E01D3B3" w14:textId="77777777" w:rsidR="008953E4" w:rsidRPr="00FE2932" w:rsidRDefault="008953E4" w:rsidP="00D22441">
      <w:pPr>
        <w:rPr>
          <w:rFonts w:cs="Arial"/>
          <w:sz w:val="22"/>
          <w:szCs w:val="22"/>
        </w:rPr>
      </w:pPr>
      <w:r>
        <w:rPr>
          <w:rFonts w:cs="Arial"/>
          <w:sz w:val="22"/>
          <w:szCs w:val="22"/>
        </w:rPr>
        <w:t>E</w:t>
      </w:r>
      <w:r w:rsidRPr="00FE2932">
        <w:rPr>
          <w:rFonts w:cs="Arial"/>
          <w:sz w:val="22"/>
          <w:szCs w:val="22"/>
        </w:rPr>
        <w:t>l artículo 10 de la Ley 1314 de 2009 señaló que corresponde a las autoridades de supervisión, vigilar que los entes económicos sujetos a su inspección, vigilancia y control, así como sus administradores, funcionarios y profesionales de aseguramiento de información cumplan con las normas en materia de contabilidad, de información financiera y de aseguramiento</w:t>
      </w:r>
      <w:r>
        <w:rPr>
          <w:rFonts w:cs="Arial"/>
          <w:sz w:val="22"/>
          <w:szCs w:val="22"/>
        </w:rPr>
        <w:t xml:space="preserve"> </w:t>
      </w:r>
      <w:r w:rsidRPr="00FE2932">
        <w:rPr>
          <w:rFonts w:cs="Arial"/>
          <w:sz w:val="22"/>
          <w:szCs w:val="22"/>
        </w:rPr>
        <w:t>de</w:t>
      </w:r>
      <w:r>
        <w:rPr>
          <w:rFonts w:cs="Arial"/>
          <w:sz w:val="22"/>
          <w:szCs w:val="22"/>
        </w:rPr>
        <w:t xml:space="preserve"> la</w:t>
      </w:r>
      <w:r w:rsidRPr="00FE2932">
        <w:rPr>
          <w:rFonts w:cs="Arial"/>
          <w:sz w:val="22"/>
          <w:szCs w:val="22"/>
        </w:rPr>
        <w:t xml:space="preserve"> información.</w:t>
      </w:r>
    </w:p>
    <w:p w14:paraId="3723487A" w14:textId="77777777" w:rsidR="008953E4" w:rsidRPr="00FE2932" w:rsidRDefault="008953E4" w:rsidP="00D22441">
      <w:pPr>
        <w:rPr>
          <w:rFonts w:cs="Arial"/>
          <w:sz w:val="22"/>
          <w:szCs w:val="22"/>
        </w:rPr>
      </w:pPr>
    </w:p>
    <w:p w14:paraId="160DB01E" w14:textId="7960C472" w:rsidR="008953E4" w:rsidRDefault="008953E4" w:rsidP="00D22441">
      <w:pPr>
        <w:rPr>
          <w:rFonts w:cs="Arial"/>
          <w:sz w:val="22"/>
          <w:szCs w:val="22"/>
        </w:rPr>
      </w:pPr>
      <w:r>
        <w:rPr>
          <w:rFonts w:cs="Arial"/>
          <w:sz w:val="22"/>
          <w:szCs w:val="22"/>
        </w:rPr>
        <w:lastRenderedPageBreak/>
        <w:t>L</w:t>
      </w:r>
      <w:r w:rsidRPr="00FE2932">
        <w:rPr>
          <w:rFonts w:cs="Arial"/>
          <w:sz w:val="22"/>
          <w:szCs w:val="22"/>
        </w:rPr>
        <w:t xml:space="preserve">a Contaduría General de la Nación (CGN), expidió las Resoluciones </w:t>
      </w:r>
      <w:proofErr w:type="spellStart"/>
      <w:r w:rsidRPr="00FE2932">
        <w:rPr>
          <w:rFonts w:cs="Arial"/>
          <w:sz w:val="22"/>
          <w:szCs w:val="22"/>
        </w:rPr>
        <w:t>N°</w:t>
      </w:r>
      <w:proofErr w:type="spellEnd"/>
      <w:r w:rsidRPr="00FE2932">
        <w:rPr>
          <w:rFonts w:cs="Arial"/>
          <w:sz w:val="22"/>
          <w:szCs w:val="22"/>
        </w:rPr>
        <w:t xml:space="preserve"> 414 de 2014</w:t>
      </w:r>
      <w:r w:rsidRPr="00FE2932">
        <w:rPr>
          <w:rStyle w:val="Refdenotaalpie"/>
          <w:rFonts w:cs="Arial"/>
          <w:sz w:val="22"/>
          <w:szCs w:val="22"/>
        </w:rPr>
        <w:footnoteReference w:id="16"/>
      </w:r>
      <w:r>
        <w:rPr>
          <w:rFonts w:cs="Arial"/>
          <w:sz w:val="22"/>
          <w:szCs w:val="22"/>
        </w:rPr>
        <w:t xml:space="preserve">, </w:t>
      </w:r>
      <w:r w:rsidRPr="00FE2932">
        <w:rPr>
          <w:rFonts w:cs="Arial"/>
          <w:sz w:val="22"/>
          <w:szCs w:val="22"/>
        </w:rPr>
        <w:t xml:space="preserve"> </w:t>
      </w:r>
      <w:proofErr w:type="spellStart"/>
      <w:r w:rsidRPr="00FE2932">
        <w:rPr>
          <w:rFonts w:cs="Arial"/>
          <w:sz w:val="22"/>
          <w:szCs w:val="22"/>
        </w:rPr>
        <w:t>N°</w:t>
      </w:r>
      <w:proofErr w:type="spellEnd"/>
      <w:r w:rsidRPr="00FE2932">
        <w:rPr>
          <w:rFonts w:cs="Arial"/>
          <w:sz w:val="22"/>
          <w:szCs w:val="22"/>
        </w:rPr>
        <w:t xml:space="preserve"> 533 de 2015</w:t>
      </w:r>
      <w:r w:rsidRPr="00FE2932">
        <w:rPr>
          <w:rStyle w:val="Refdenotaalpie"/>
          <w:rFonts w:cs="Arial"/>
          <w:sz w:val="22"/>
          <w:szCs w:val="22"/>
        </w:rPr>
        <w:footnoteReference w:id="17"/>
      </w:r>
      <w:r>
        <w:rPr>
          <w:rFonts w:cs="Arial"/>
          <w:sz w:val="22"/>
          <w:szCs w:val="22"/>
        </w:rPr>
        <w:t xml:space="preserve"> y</w:t>
      </w:r>
      <w:r w:rsidRPr="00FE2932">
        <w:rPr>
          <w:rFonts w:cs="Arial"/>
          <w:sz w:val="22"/>
          <w:szCs w:val="22"/>
        </w:rPr>
        <w:t xml:space="preserve"> </w:t>
      </w:r>
      <w:proofErr w:type="spellStart"/>
      <w:r w:rsidRPr="00FE2932">
        <w:rPr>
          <w:rFonts w:cs="Arial"/>
          <w:sz w:val="22"/>
          <w:szCs w:val="22"/>
        </w:rPr>
        <w:t>N°</w:t>
      </w:r>
      <w:proofErr w:type="spellEnd"/>
      <w:r w:rsidRPr="00FE2932">
        <w:rPr>
          <w:rFonts w:cs="Arial"/>
          <w:sz w:val="22"/>
          <w:szCs w:val="22"/>
        </w:rPr>
        <w:t xml:space="preserve"> 037 de 2017</w:t>
      </w:r>
      <w:r w:rsidRPr="00FE2932">
        <w:rPr>
          <w:rStyle w:val="Refdenotaalpie"/>
          <w:rFonts w:cs="Arial"/>
          <w:sz w:val="22"/>
          <w:szCs w:val="22"/>
        </w:rPr>
        <w:footnoteReference w:id="18"/>
      </w:r>
      <w:r>
        <w:rPr>
          <w:rFonts w:cs="Arial"/>
          <w:sz w:val="22"/>
          <w:szCs w:val="22"/>
        </w:rPr>
        <w:t xml:space="preserve"> </w:t>
      </w:r>
      <w:r w:rsidRPr="00FE2932">
        <w:rPr>
          <w:rFonts w:cs="Arial"/>
          <w:sz w:val="22"/>
          <w:szCs w:val="22"/>
        </w:rPr>
        <w:t xml:space="preserve">aplicables a las empresas sujetas al ámbito de su competencia y a las entidades del gobierno. </w:t>
      </w:r>
      <w:r w:rsidR="00FB3582">
        <w:rPr>
          <w:rFonts w:cs="Arial"/>
          <w:sz w:val="22"/>
          <w:szCs w:val="22"/>
        </w:rPr>
        <w:t xml:space="preserve"> </w:t>
      </w:r>
      <w:r>
        <w:rPr>
          <w:rFonts w:cs="Arial"/>
          <w:sz w:val="22"/>
          <w:szCs w:val="22"/>
        </w:rPr>
        <w:t>En e</w:t>
      </w:r>
      <w:r w:rsidRPr="00FE2932">
        <w:rPr>
          <w:rFonts w:cs="Arial"/>
          <w:sz w:val="22"/>
          <w:szCs w:val="22"/>
        </w:rPr>
        <w:t>l marco de la mencionada ley, se inició el proceso de convergencia a las nuevas normas de forma escalonada, con el propósito de que las empresas de todo el país se clasificaran en cada grupo de acuerdo con sus características, atendiendo para ello todos los requisitos exigidos para el efecto.</w:t>
      </w:r>
    </w:p>
    <w:p w14:paraId="105D4400" w14:textId="77777777" w:rsidR="00111930" w:rsidRPr="00FE2932" w:rsidRDefault="00111930" w:rsidP="00D22441">
      <w:pPr>
        <w:rPr>
          <w:rFonts w:cs="Arial"/>
          <w:sz w:val="22"/>
          <w:szCs w:val="22"/>
        </w:rPr>
      </w:pPr>
    </w:p>
    <w:p w14:paraId="2E9C9B24" w14:textId="275F61BE" w:rsidR="003034FD" w:rsidRPr="00421866" w:rsidRDefault="004732E8" w:rsidP="00D22441">
      <w:pPr>
        <w:pStyle w:val="Subttulo"/>
        <w:numPr>
          <w:ilvl w:val="1"/>
          <w:numId w:val="37"/>
        </w:numPr>
        <w:spacing w:after="0"/>
        <w:ind w:left="357" w:hanging="357"/>
        <w:jc w:val="left"/>
        <w:rPr>
          <w:b/>
          <w:bCs/>
          <w:sz w:val="22"/>
          <w:szCs w:val="22"/>
        </w:rPr>
      </w:pPr>
      <w:bookmarkStart w:id="40" w:name="_Toc54170182"/>
      <w:bookmarkStart w:id="41" w:name="_Toc147154304"/>
      <w:r>
        <w:rPr>
          <w:b/>
          <w:bCs/>
          <w:sz w:val="22"/>
          <w:szCs w:val="22"/>
        </w:rPr>
        <w:t xml:space="preserve">EL SUI COMO </w:t>
      </w:r>
      <w:bookmarkEnd w:id="40"/>
      <w:r w:rsidR="00887ECC">
        <w:rPr>
          <w:b/>
          <w:bCs/>
          <w:sz w:val="22"/>
          <w:szCs w:val="22"/>
        </w:rPr>
        <w:t xml:space="preserve">SISTEMA </w:t>
      </w:r>
      <w:r w:rsidR="001E3AFA">
        <w:rPr>
          <w:b/>
          <w:bCs/>
          <w:sz w:val="22"/>
          <w:szCs w:val="22"/>
        </w:rPr>
        <w:t>DE INFORMACIÓN</w:t>
      </w:r>
      <w:r w:rsidR="00C447D2">
        <w:rPr>
          <w:b/>
          <w:bCs/>
          <w:sz w:val="22"/>
          <w:szCs w:val="22"/>
        </w:rPr>
        <w:t>.</w:t>
      </w:r>
      <w:bookmarkEnd w:id="41"/>
    </w:p>
    <w:p w14:paraId="71CDDBED" w14:textId="77777777" w:rsidR="001B0931" w:rsidRDefault="001B0931" w:rsidP="00D22441">
      <w:pPr>
        <w:rPr>
          <w:rFonts w:cs="Arial"/>
          <w:sz w:val="22"/>
          <w:szCs w:val="22"/>
        </w:rPr>
      </w:pPr>
    </w:p>
    <w:p w14:paraId="34EEF5D8" w14:textId="7DBE846B" w:rsidR="009D5415" w:rsidRDefault="004732E8" w:rsidP="00D22441">
      <w:pPr>
        <w:rPr>
          <w:rFonts w:cs="Arial"/>
          <w:sz w:val="22"/>
          <w:szCs w:val="22"/>
        </w:rPr>
      </w:pPr>
      <w:r>
        <w:rPr>
          <w:rFonts w:cs="Arial"/>
          <w:sz w:val="22"/>
          <w:szCs w:val="22"/>
        </w:rPr>
        <w:t>Para efectos de liquidación de la contribución especial, l</w:t>
      </w:r>
      <w:r w:rsidR="003034FD">
        <w:rPr>
          <w:rFonts w:cs="Arial"/>
          <w:sz w:val="22"/>
          <w:szCs w:val="22"/>
        </w:rPr>
        <w:t xml:space="preserve">a </w:t>
      </w:r>
      <w:r w:rsidR="003034FD" w:rsidRPr="005F34D8">
        <w:rPr>
          <w:rFonts w:cs="Arial"/>
          <w:sz w:val="22"/>
          <w:szCs w:val="22"/>
        </w:rPr>
        <w:t xml:space="preserve">fuente de información </w:t>
      </w:r>
      <w:r w:rsidR="003034FD">
        <w:rPr>
          <w:rFonts w:cs="Arial"/>
          <w:sz w:val="22"/>
          <w:szCs w:val="22"/>
        </w:rPr>
        <w:t xml:space="preserve">financiera es tomada de </w:t>
      </w:r>
      <w:r w:rsidR="003034FD" w:rsidRPr="005F34D8">
        <w:rPr>
          <w:rFonts w:cs="Arial"/>
          <w:sz w:val="22"/>
          <w:szCs w:val="22"/>
        </w:rPr>
        <w:t xml:space="preserve">la </w:t>
      </w:r>
      <w:r>
        <w:rPr>
          <w:rFonts w:cs="Arial"/>
          <w:sz w:val="22"/>
          <w:szCs w:val="22"/>
        </w:rPr>
        <w:t>reportada por</w:t>
      </w:r>
      <w:r w:rsidR="003034FD" w:rsidRPr="005F34D8">
        <w:rPr>
          <w:rFonts w:cs="Arial"/>
          <w:sz w:val="22"/>
          <w:szCs w:val="22"/>
        </w:rPr>
        <w:t xml:space="preserve"> las empresas prestadoras de los servicios públicos domiciliarios de los servicios de </w:t>
      </w:r>
      <w:r w:rsidR="003034FD">
        <w:rPr>
          <w:rFonts w:cs="Arial"/>
          <w:sz w:val="22"/>
          <w:szCs w:val="22"/>
        </w:rPr>
        <w:t>energía</w:t>
      </w:r>
      <w:r w:rsidR="003034FD" w:rsidRPr="005F34D8">
        <w:rPr>
          <w:rFonts w:cs="Arial"/>
          <w:sz w:val="22"/>
          <w:szCs w:val="22"/>
        </w:rPr>
        <w:t xml:space="preserve"> eléctrica y gas combustible </w:t>
      </w:r>
      <w:r>
        <w:rPr>
          <w:rFonts w:cs="Arial"/>
          <w:sz w:val="22"/>
          <w:szCs w:val="22"/>
        </w:rPr>
        <w:t>al Sistema Único de Información de servicios públicos domiciliarios (</w:t>
      </w:r>
      <w:r w:rsidRPr="00506119">
        <w:rPr>
          <w:rFonts w:cs="Arial"/>
          <w:sz w:val="22"/>
          <w:szCs w:val="22"/>
        </w:rPr>
        <w:t>SUI</w:t>
      </w:r>
      <w:r>
        <w:rPr>
          <w:rFonts w:cs="Arial"/>
          <w:sz w:val="22"/>
          <w:szCs w:val="22"/>
        </w:rPr>
        <w:t>)</w:t>
      </w:r>
      <w:r w:rsidR="003034FD" w:rsidRPr="005F34D8">
        <w:rPr>
          <w:rFonts w:cs="Arial"/>
          <w:sz w:val="22"/>
          <w:szCs w:val="22"/>
        </w:rPr>
        <w:t xml:space="preserve"> administrado por la SSPD, de conformidad con lo estipulado en </w:t>
      </w:r>
      <w:r w:rsidR="009D5415" w:rsidRPr="009D5415">
        <w:rPr>
          <w:rFonts w:cs="Arial"/>
          <w:sz w:val="22"/>
          <w:szCs w:val="22"/>
        </w:rPr>
        <w:t xml:space="preserve">Circular externa SSPD-CREG </w:t>
      </w:r>
      <w:proofErr w:type="spellStart"/>
      <w:r w:rsidR="009D5415" w:rsidRPr="009D5415">
        <w:rPr>
          <w:rFonts w:cs="Arial"/>
          <w:sz w:val="22"/>
          <w:szCs w:val="22"/>
        </w:rPr>
        <w:t>N°</w:t>
      </w:r>
      <w:proofErr w:type="spellEnd"/>
      <w:r w:rsidR="009D5415" w:rsidRPr="009D5415">
        <w:rPr>
          <w:rFonts w:cs="Arial"/>
          <w:sz w:val="22"/>
          <w:szCs w:val="22"/>
        </w:rPr>
        <w:t xml:space="preserve"> 000009 del 14 de agosto de 2003</w:t>
      </w:r>
      <w:r w:rsidR="00A26858">
        <w:rPr>
          <w:rStyle w:val="Refdenotaalpie"/>
          <w:rFonts w:cs="Arial"/>
          <w:sz w:val="22"/>
          <w:szCs w:val="22"/>
        </w:rPr>
        <w:footnoteReference w:id="19"/>
      </w:r>
      <w:r w:rsidR="00F200E7">
        <w:rPr>
          <w:rFonts w:cs="Arial"/>
          <w:sz w:val="22"/>
          <w:szCs w:val="22"/>
        </w:rPr>
        <w:t>,</w:t>
      </w:r>
      <w:r w:rsidR="009D5415" w:rsidRPr="009D5415">
        <w:rPr>
          <w:rFonts w:cs="Arial"/>
          <w:sz w:val="22"/>
          <w:szCs w:val="22"/>
        </w:rPr>
        <w:t xml:space="preserve"> se imparten instrucciones con respecto a la información financiera y el catálogo de cuentas a los prestadores de servicios públicos domiciliarios.</w:t>
      </w:r>
    </w:p>
    <w:p w14:paraId="05ED7279" w14:textId="77777777" w:rsidR="003034FD" w:rsidRDefault="003034FD" w:rsidP="00D22441">
      <w:pPr>
        <w:rPr>
          <w:rFonts w:cs="Arial"/>
          <w:sz w:val="22"/>
          <w:szCs w:val="22"/>
        </w:rPr>
      </w:pPr>
    </w:p>
    <w:p w14:paraId="014D4355" w14:textId="13B873FC" w:rsidR="003034FD" w:rsidRDefault="003034FD" w:rsidP="00D22441">
      <w:pPr>
        <w:rPr>
          <w:rFonts w:cs="Arial"/>
          <w:sz w:val="22"/>
          <w:szCs w:val="22"/>
        </w:rPr>
      </w:pPr>
      <w:r>
        <w:rPr>
          <w:rFonts w:cs="Arial"/>
          <w:sz w:val="22"/>
          <w:szCs w:val="22"/>
        </w:rPr>
        <w:t>D</w:t>
      </w:r>
      <w:r w:rsidRPr="00506119">
        <w:rPr>
          <w:rFonts w:cs="Arial"/>
          <w:sz w:val="22"/>
          <w:szCs w:val="22"/>
        </w:rPr>
        <w:t xml:space="preserve">e conformidad con lo dispuesto en los artículos 53 y 79.4 de la Ley 142 de 1994 y artículo 14 de la Ley 689 de 2001, corresponde a la SSPD, establecer, administrar, mantener y operar el SUI, como sistema oficial del sector de servicios públicos domiciliarios del país que recoge, </w:t>
      </w:r>
      <w:r w:rsidRPr="00E560A2">
        <w:rPr>
          <w:rFonts w:cs="Arial"/>
          <w:sz w:val="22"/>
          <w:szCs w:val="22"/>
        </w:rPr>
        <w:t>almacena, procesa y publica información reportada por parte de las empresas y entidades territoriales prestadoras de servicios públicos.</w:t>
      </w:r>
    </w:p>
    <w:p w14:paraId="0C1CD046" w14:textId="77777777" w:rsidR="003034FD" w:rsidRDefault="003034FD" w:rsidP="00D22441">
      <w:pPr>
        <w:rPr>
          <w:rFonts w:cs="Arial"/>
          <w:sz w:val="22"/>
          <w:szCs w:val="22"/>
        </w:rPr>
      </w:pPr>
    </w:p>
    <w:p w14:paraId="486ED057" w14:textId="34849147" w:rsidR="003034FD" w:rsidRDefault="003034FD" w:rsidP="00D22441">
      <w:pPr>
        <w:rPr>
          <w:rFonts w:cs="Arial"/>
          <w:sz w:val="22"/>
          <w:szCs w:val="22"/>
        </w:rPr>
      </w:pPr>
      <w:r>
        <w:rPr>
          <w:rFonts w:cs="Arial"/>
          <w:sz w:val="22"/>
          <w:szCs w:val="22"/>
        </w:rPr>
        <w:t>E</w:t>
      </w:r>
      <w:r w:rsidRPr="00C43E7F">
        <w:rPr>
          <w:rFonts w:cs="Arial"/>
          <w:sz w:val="22"/>
          <w:szCs w:val="22"/>
        </w:rPr>
        <w:t>l artículo 14 de la Ley 689 de 2001 adicionó un artículo a la Ley 142 de 1994, en el cual</w:t>
      </w:r>
      <w:r>
        <w:rPr>
          <w:rFonts w:cs="Arial"/>
          <w:sz w:val="22"/>
          <w:szCs w:val="22"/>
        </w:rPr>
        <w:t xml:space="preserve"> </w:t>
      </w:r>
      <w:r w:rsidRPr="00C43E7F">
        <w:rPr>
          <w:rFonts w:cs="Arial"/>
          <w:sz w:val="22"/>
          <w:szCs w:val="22"/>
        </w:rPr>
        <w:t xml:space="preserve">estableció que conforme al artículo 53 </w:t>
      </w:r>
      <w:r>
        <w:rPr>
          <w:rFonts w:cs="Arial"/>
          <w:sz w:val="22"/>
          <w:szCs w:val="22"/>
        </w:rPr>
        <w:t xml:space="preserve">y 79.4 </w:t>
      </w:r>
      <w:r w:rsidRPr="00C43E7F">
        <w:rPr>
          <w:rFonts w:cs="Arial"/>
          <w:sz w:val="22"/>
          <w:szCs w:val="22"/>
        </w:rPr>
        <w:t>de la Ley 142 de 1994 la Superservicios, en desarrollo de</w:t>
      </w:r>
      <w:r>
        <w:rPr>
          <w:rFonts w:cs="Arial"/>
          <w:sz w:val="22"/>
          <w:szCs w:val="22"/>
        </w:rPr>
        <w:t xml:space="preserve"> </w:t>
      </w:r>
      <w:r w:rsidRPr="00C43E7F">
        <w:rPr>
          <w:rFonts w:cs="Arial"/>
          <w:sz w:val="22"/>
          <w:szCs w:val="22"/>
        </w:rPr>
        <w:t>sus funciones de inspección, vigilancia y control, debe establecer, administrar, mantener y</w:t>
      </w:r>
      <w:r>
        <w:rPr>
          <w:rFonts w:cs="Arial"/>
          <w:sz w:val="22"/>
          <w:szCs w:val="22"/>
        </w:rPr>
        <w:t xml:space="preserve"> </w:t>
      </w:r>
      <w:r w:rsidRPr="00C43E7F">
        <w:rPr>
          <w:rFonts w:cs="Arial"/>
          <w:sz w:val="22"/>
          <w:szCs w:val="22"/>
        </w:rPr>
        <w:t>operar un sistema de información</w:t>
      </w:r>
      <w:r>
        <w:rPr>
          <w:rFonts w:cs="Arial"/>
          <w:sz w:val="22"/>
          <w:szCs w:val="22"/>
        </w:rPr>
        <w:t xml:space="preserve"> oficial,</w:t>
      </w:r>
      <w:r w:rsidRPr="00C43E7F">
        <w:rPr>
          <w:rFonts w:cs="Arial"/>
          <w:sz w:val="22"/>
          <w:szCs w:val="22"/>
        </w:rPr>
        <w:t xml:space="preserve"> cuyos datos son suministrados por los prestadores de</w:t>
      </w:r>
      <w:r>
        <w:rPr>
          <w:rFonts w:cs="Arial"/>
          <w:sz w:val="22"/>
          <w:szCs w:val="22"/>
        </w:rPr>
        <w:t xml:space="preserve"> </w:t>
      </w:r>
      <w:r w:rsidRPr="00C43E7F">
        <w:rPr>
          <w:rFonts w:cs="Arial"/>
          <w:sz w:val="22"/>
          <w:szCs w:val="22"/>
        </w:rPr>
        <w:t>servicios públicos domiciliarios sujetos a su control, inspección y vigilancia y/o quienes</w:t>
      </w:r>
      <w:r>
        <w:rPr>
          <w:rFonts w:cs="Arial"/>
          <w:sz w:val="22"/>
          <w:szCs w:val="22"/>
        </w:rPr>
        <w:t xml:space="preserve"> </w:t>
      </w:r>
      <w:r w:rsidRPr="00C43E7F">
        <w:rPr>
          <w:rFonts w:cs="Arial"/>
          <w:sz w:val="22"/>
          <w:szCs w:val="22"/>
        </w:rPr>
        <w:t>desarrollen las actividades complementarias definidas en las Leyes 142 y 143 de 1994,</w:t>
      </w:r>
      <w:r>
        <w:rPr>
          <w:rFonts w:cs="Arial"/>
          <w:sz w:val="22"/>
          <w:szCs w:val="22"/>
        </w:rPr>
        <w:t xml:space="preserve"> </w:t>
      </w:r>
      <w:r w:rsidRPr="00C43E7F">
        <w:rPr>
          <w:rFonts w:cs="Arial"/>
          <w:sz w:val="22"/>
          <w:szCs w:val="22"/>
        </w:rPr>
        <w:t>teniendo como propósito, entre otros, el apoyo a las funciones asignadas a las comisiones de</w:t>
      </w:r>
      <w:r>
        <w:rPr>
          <w:rFonts w:cs="Arial"/>
          <w:sz w:val="22"/>
          <w:szCs w:val="22"/>
        </w:rPr>
        <w:t xml:space="preserve"> </w:t>
      </w:r>
      <w:r w:rsidRPr="00C43E7F">
        <w:rPr>
          <w:rFonts w:cs="Arial"/>
          <w:sz w:val="22"/>
          <w:szCs w:val="22"/>
        </w:rPr>
        <w:t>regulación.</w:t>
      </w:r>
    </w:p>
    <w:p w14:paraId="5CC61640" w14:textId="77777777" w:rsidR="005D0452" w:rsidRDefault="005D0452" w:rsidP="00D22441">
      <w:pPr>
        <w:rPr>
          <w:rFonts w:cs="Arial"/>
          <w:sz w:val="22"/>
          <w:szCs w:val="22"/>
        </w:rPr>
      </w:pPr>
    </w:p>
    <w:p w14:paraId="2CAFBC9F" w14:textId="5092A571" w:rsidR="003034FD" w:rsidRPr="00506119" w:rsidRDefault="003034FD" w:rsidP="00D22441">
      <w:pPr>
        <w:rPr>
          <w:rFonts w:cs="Arial"/>
          <w:sz w:val="22"/>
          <w:szCs w:val="22"/>
        </w:rPr>
      </w:pPr>
      <w:r>
        <w:rPr>
          <w:rFonts w:cs="Arial"/>
          <w:sz w:val="22"/>
          <w:szCs w:val="22"/>
        </w:rPr>
        <w:lastRenderedPageBreak/>
        <w:t>E</w:t>
      </w:r>
      <w:r w:rsidRPr="00506119">
        <w:rPr>
          <w:rFonts w:cs="Arial"/>
          <w:sz w:val="22"/>
          <w:szCs w:val="22"/>
        </w:rPr>
        <w:t>l SUI como plataforma digital almacena</w:t>
      </w:r>
      <w:r>
        <w:rPr>
          <w:rFonts w:cs="Arial"/>
          <w:sz w:val="22"/>
          <w:szCs w:val="22"/>
        </w:rPr>
        <w:t>, procesa y publica</w:t>
      </w:r>
      <w:r w:rsidRPr="00506119">
        <w:rPr>
          <w:rFonts w:cs="Arial"/>
          <w:sz w:val="22"/>
          <w:szCs w:val="22"/>
        </w:rPr>
        <w:t xml:space="preserve"> la información </w:t>
      </w:r>
      <w:r>
        <w:rPr>
          <w:rFonts w:cs="Arial"/>
          <w:sz w:val="22"/>
          <w:szCs w:val="22"/>
        </w:rPr>
        <w:t xml:space="preserve">reportada por parte </w:t>
      </w:r>
      <w:r w:rsidRPr="00506119">
        <w:rPr>
          <w:rFonts w:cs="Arial"/>
          <w:sz w:val="22"/>
          <w:szCs w:val="22"/>
        </w:rPr>
        <w:t>de los prestadores de servicios públicos sujetos a inspección, vigilancia y control</w:t>
      </w:r>
      <w:r>
        <w:rPr>
          <w:rFonts w:cs="Arial"/>
          <w:sz w:val="22"/>
          <w:szCs w:val="22"/>
        </w:rPr>
        <w:t xml:space="preserve"> de la SSPD</w:t>
      </w:r>
      <w:r w:rsidRPr="00506119">
        <w:rPr>
          <w:rFonts w:cs="Arial"/>
          <w:sz w:val="22"/>
          <w:szCs w:val="22"/>
        </w:rPr>
        <w:t>, la cual se debe reportar de forma independiente para cada servicio, actividad inherente y/o complementaria, y cuyos fines son los de evitar la duplicidad de información relativa a estos servicios; servir de base a la SSPD para el cumplimiento de sus funciones; y apoyar las funciones de las Comisiones de Regulación, y demás autoridades y agentes del sector de los servicios públicos domiciliarios que requieran de la misma, entre otros.</w:t>
      </w:r>
    </w:p>
    <w:p w14:paraId="6CE3D82E" w14:textId="77777777" w:rsidR="003034FD" w:rsidRPr="00506119" w:rsidRDefault="003034FD" w:rsidP="00D22441">
      <w:pPr>
        <w:rPr>
          <w:rFonts w:cs="Arial"/>
          <w:sz w:val="22"/>
          <w:szCs w:val="22"/>
        </w:rPr>
      </w:pPr>
    </w:p>
    <w:p w14:paraId="7BE9544B" w14:textId="24E1CE46" w:rsidR="003034FD" w:rsidRPr="00506119" w:rsidRDefault="003034FD" w:rsidP="00D22441">
      <w:pPr>
        <w:rPr>
          <w:rFonts w:cs="Arial"/>
          <w:sz w:val="22"/>
          <w:szCs w:val="22"/>
        </w:rPr>
      </w:pPr>
      <w:r>
        <w:rPr>
          <w:rFonts w:cs="Arial"/>
          <w:sz w:val="22"/>
          <w:szCs w:val="22"/>
        </w:rPr>
        <w:t>E</w:t>
      </w:r>
      <w:r w:rsidRPr="00506119">
        <w:rPr>
          <w:rFonts w:cs="Arial"/>
          <w:sz w:val="22"/>
          <w:szCs w:val="22"/>
        </w:rPr>
        <w:t xml:space="preserve">l documento CONPES </w:t>
      </w:r>
      <w:proofErr w:type="spellStart"/>
      <w:r w:rsidRPr="00506119">
        <w:rPr>
          <w:rFonts w:cs="Arial"/>
          <w:sz w:val="22"/>
          <w:szCs w:val="22"/>
        </w:rPr>
        <w:t>N°</w:t>
      </w:r>
      <w:proofErr w:type="spellEnd"/>
      <w:r w:rsidRPr="00506119">
        <w:rPr>
          <w:rFonts w:cs="Arial"/>
          <w:sz w:val="22"/>
          <w:szCs w:val="22"/>
        </w:rPr>
        <w:t xml:space="preserve"> 3168 de 2002 estableció las estrategias para el diseño y adopción del SUI, el cual busca estandarizar requerimientos de información y aportar datos que permita a las entidades del Gobierno evaluar la prestación de los servicios públicos, siendo un sistema supra</w:t>
      </w:r>
      <w:r w:rsidR="004732E8">
        <w:rPr>
          <w:rFonts w:cs="Arial"/>
          <w:sz w:val="22"/>
          <w:szCs w:val="22"/>
        </w:rPr>
        <w:t xml:space="preserve"> </w:t>
      </w:r>
      <w:r w:rsidRPr="00506119">
        <w:rPr>
          <w:rFonts w:cs="Arial"/>
          <w:sz w:val="22"/>
          <w:szCs w:val="22"/>
        </w:rPr>
        <w:t>institucional que busca eliminar asimetrías de información, y la duplicidad de esfuerzos, garantizando la consecución de datos completos, confiables y oportunos, permitiendo el cumplimiento de las funciones misionales, en beneficio de la comunidad.</w:t>
      </w:r>
    </w:p>
    <w:p w14:paraId="4153BD8D" w14:textId="77777777" w:rsidR="003034FD" w:rsidRPr="00506119" w:rsidRDefault="003034FD" w:rsidP="00D22441">
      <w:pPr>
        <w:rPr>
          <w:rFonts w:cs="Arial"/>
          <w:sz w:val="22"/>
          <w:szCs w:val="22"/>
        </w:rPr>
      </w:pPr>
    </w:p>
    <w:p w14:paraId="449BB140" w14:textId="77777777" w:rsidR="003034FD" w:rsidRDefault="003034FD" w:rsidP="00D22441">
      <w:pPr>
        <w:rPr>
          <w:rFonts w:cs="Arial"/>
          <w:sz w:val="22"/>
          <w:szCs w:val="22"/>
        </w:rPr>
      </w:pPr>
      <w:r>
        <w:rPr>
          <w:rFonts w:cs="Arial"/>
          <w:sz w:val="22"/>
          <w:szCs w:val="22"/>
        </w:rPr>
        <w:t>L</w:t>
      </w:r>
      <w:r w:rsidRPr="00506119">
        <w:rPr>
          <w:rFonts w:cs="Arial"/>
          <w:sz w:val="22"/>
          <w:szCs w:val="22"/>
        </w:rPr>
        <w:t xml:space="preserve">a Resolución SSPD </w:t>
      </w:r>
      <w:proofErr w:type="spellStart"/>
      <w:r w:rsidRPr="00506119">
        <w:rPr>
          <w:rFonts w:cs="Arial"/>
          <w:sz w:val="22"/>
          <w:szCs w:val="22"/>
        </w:rPr>
        <w:t>N°</w:t>
      </w:r>
      <w:proofErr w:type="spellEnd"/>
      <w:r w:rsidRPr="00506119">
        <w:rPr>
          <w:rFonts w:cs="Arial"/>
          <w:sz w:val="22"/>
          <w:szCs w:val="22"/>
        </w:rPr>
        <w:t xml:space="preserve"> 013092 de Octubre 30 de 2002, se estableció el Formato Único de Información para las Empresas de Servicios Públicos previo concepto del Ministerio de Ambiente y Desarrollo Sostenible, Ministerio de Vivienda, Ciudad y Territorio de Colombia, Ministerio de Minas y </w:t>
      </w:r>
      <w:r>
        <w:rPr>
          <w:rFonts w:cs="Arial"/>
          <w:sz w:val="22"/>
          <w:szCs w:val="22"/>
        </w:rPr>
        <w:t>ENERGÍA</w:t>
      </w:r>
      <w:r w:rsidRPr="00506119">
        <w:rPr>
          <w:rFonts w:cs="Arial"/>
          <w:sz w:val="22"/>
          <w:szCs w:val="22"/>
        </w:rPr>
        <w:t xml:space="preserve">, Ministerios de Tecnologías de la Información y las Comunicaciones y de las Comisiones de Regulación de Agua Potable y Saneamiento Básico (CRA), Comisión de Regulación de </w:t>
      </w:r>
      <w:r>
        <w:rPr>
          <w:rFonts w:cs="Arial"/>
          <w:sz w:val="22"/>
          <w:szCs w:val="22"/>
        </w:rPr>
        <w:t>ENERGÍA</w:t>
      </w:r>
      <w:r w:rsidRPr="00506119">
        <w:rPr>
          <w:rFonts w:cs="Arial"/>
          <w:sz w:val="22"/>
          <w:szCs w:val="22"/>
        </w:rPr>
        <w:t xml:space="preserve"> y Gas (CREG), Comisión de Regulación de Comunicaciones (CRC) y Departamento Nacional de Planeación (DNP).</w:t>
      </w:r>
    </w:p>
    <w:p w14:paraId="09D7EC0F" w14:textId="77777777" w:rsidR="00195DE4" w:rsidRPr="00506119" w:rsidRDefault="00195DE4" w:rsidP="00D22441">
      <w:pPr>
        <w:rPr>
          <w:rFonts w:cs="Arial"/>
          <w:sz w:val="22"/>
          <w:szCs w:val="22"/>
        </w:rPr>
      </w:pPr>
    </w:p>
    <w:p w14:paraId="2480FA32" w14:textId="77777777" w:rsidR="003034FD" w:rsidRDefault="003034FD" w:rsidP="00D22441">
      <w:pPr>
        <w:rPr>
          <w:rFonts w:cs="Arial"/>
          <w:sz w:val="22"/>
          <w:szCs w:val="22"/>
        </w:rPr>
      </w:pPr>
      <w:bookmarkStart w:id="42" w:name="_Hlk142664319"/>
      <w:r>
        <w:rPr>
          <w:rFonts w:cs="Arial"/>
          <w:sz w:val="22"/>
          <w:szCs w:val="22"/>
        </w:rPr>
        <w:t>L</w:t>
      </w:r>
      <w:r w:rsidRPr="00506119">
        <w:rPr>
          <w:rFonts w:cs="Arial"/>
          <w:sz w:val="22"/>
          <w:szCs w:val="22"/>
        </w:rPr>
        <w:t xml:space="preserve">a Circular externa SSPD-CREG </w:t>
      </w:r>
      <w:proofErr w:type="spellStart"/>
      <w:r w:rsidRPr="00506119">
        <w:rPr>
          <w:rFonts w:cs="Arial"/>
          <w:sz w:val="22"/>
          <w:szCs w:val="22"/>
        </w:rPr>
        <w:t>N°</w:t>
      </w:r>
      <w:proofErr w:type="spellEnd"/>
      <w:r w:rsidRPr="00506119">
        <w:rPr>
          <w:rFonts w:cs="Arial"/>
          <w:sz w:val="22"/>
          <w:szCs w:val="22"/>
        </w:rPr>
        <w:t xml:space="preserve"> 000009 del 14 de agosto de 2003 se imparten instrucciones con respecto a la información financiera y el catálogo de cuentas a los prestadores de servicios públicos domiciliarios.</w:t>
      </w:r>
    </w:p>
    <w:bookmarkEnd w:id="42"/>
    <w:p w14:paraId="030B139B" w14:textId="77777777" w:rsidR="003034FD" w:rsidRDefault="003034FD" w:rsidP="00D22441">
      <w:pPr>
        <w:rPr>
          <w:rFonts w:cs="Arial"/>
          <w:sz w:val="22"/>
          <w:szCs w:val="22"/>
        </w:rPr>
      </w:pPr>
    </w:p>
    <w:p w14:paraId="5AFBC0B4" w14:textId="77777777" w:rsidR="003034FD" w:rsidRPr="00186F65" w:rsidRDefault="003034FD" w:rsidP="00D22441">
      <w:pPr>
        <w:rPr>
          <w:rFonts w:cs="Arial"/>
          <w:sz w:val="22"/>
          <w:szCs w:val="22"/>
        </w:rPr>
      </w:pPr>
      <w:bookmarkStart w:id="43" w:name="_Hlk51941853"/>
      <w:r>
        <w:rPr>
          <w:rFonts w:cs="Arial"/>
          <w:sz w:val="22"/>
          <w:szCs w:val="22"/>
        </w:rPr>
        <w:t xml:space="preserve">La </w:t>
      </w:r>
      <w:r w:rsidRPr="00186F65">
        <w:rPr>
          <w:rFonts w:cs="Arial"/>
          <w:sz w:val="22"/>
          <w:szCs w:val="22"/>
        </w:rPr>
        <w:t xml:space="preserve">Resolución SSPD </w:t>
      </w:r>
      <w:proofErr w:type="spellStart"/>
      <w:r w:rsidRPr="00186F65">
        <w:rPr>
          <w:rFonts w:cs="Arial"/>
          <w:sz w:val="22"/>
          <w:szCs w:val="22"/>
        </w:rPr>
        <w:t>N°</w:t>
      </w:r>
      <w:proofErr w:type="spellEnd"/>
      <w:r w:rsidRPr="00186F65">
        <w:rPr>
          <w:rFonts w:cs="Arial"/>
          <w:sz w:val="22"/>
          <w:szCs w:val="22"/>
        </w:rPr>
        <w:t xml:space="preserve"> 000321 de 2003, en la que se determinó que la información reportada al SUI por parte de los prestadores de estos servicios, se considera oficial para todos los fines previstos en la ley.</w:t>
      </w:r>
      <w:r w:rsidRPr="00186F65">
        <w:rPr>
          <w:rStyle w:val="Refdenotaalpie"/>
          <w:rFonts w:cs="Arial"/>
          <w:sz w:val="22"/>
          <w:szCs w:val="22"/>
        </w:rPr>
        <w:footnoteReference w:id="20"/>
      </w:r>
    </w:p>
    <w:p w14:paraId="071C975B" w14:textId="77777777" w:rsidR="003034FD" w:rsidRPr="00186F65" w:rsidRDefault="003034FD" w:rsidP="00D22441">
      <w:pPr>
        <w:rPr>
          <w:rFonts w:cs="Arial"/>
          <w:sz w:val="22"/>
          <w:szCs w:val="22"/>
        </w:rPr>
      </w:pPr>
    </w:p>
    <w:p w14:paraId="6EE73FFE" w14:textId="50E80B15" w:rsidR="003034FD" w:rsidRPr="00186F65" w:rsidRDefault="003034FD" w:rsidP="00D22441">
      <w:pPr>
        <w:rPr>
          <w:rFonts w:cs="Arial"/>
          <w:sz w:val="22"/>
          <w:szCs w:val="22"/>
        </w:rPr>
      </w:pPr>
      <w:r w:rsidRPr="00186F65">
        <w:rPr>
          <w:rFonts w:cs="Arial"/>
          <w:sz w:val="22"/>
          <w:szCs w:val="22"/>
        </w:rPr>
        <w:t xml:space="preserve">La información que certifiquen los prestadores de servicios públicos a través del SUI, debe cumplir con los requisitos de calidad y oportunidad, señalados por la Superservicios en la Circular Externa SSPD </w:t>
      </w:r>
      <w:proofErr w:type="spellStart"/>
      <w:r w:rsidRPr="00186F65">
        <w:rPr>
          <w:rFonts w:cs="Arial"/>
          <w:sz w:val="22"/>
          <w:szCs w:val="22"/>
        </w:rPr>
        <w:t>N°</w:t>
      </w:r>
      <w:proofErr w:type="spellEnd"/>
      <w:r w:rsidRPr="00186F65">
        <w:rPr>
          <w:rFonts w:cs="Arial"/>
          <w:sz w:val="22"/>
          <w:szCs w:val="22"/>
        </w:rPr>
        <w:t xml:space="preserve"> 00001 del 25 de enero de 2006, “Vigilancia y control de la consistencia y calidad de Información reportada al SUI”</w:t>
      </w:r>
    </w:p>
    <w:bookmarkEnd w:id="43"/>
    <w:p w14:paraId="388EED7B" w14:textId="77777777" w:rsidR="003034FD" w:rsidRPr="00506119" w:rsidRDefault="003034FD" w:rsidP="00D22441">
      <w:pPr>
        <w:rPr>
          <w:rFonts w:cs="Arial"/>
          <w:sz w:val="22"/>
          <w:szCs w:val="22"/>
        </w:rPr>
      </w:pPr>
    </w:p>
    <w:p w14:paraId="5E396B69" w14:textId="16B8DB6B" w:rsidR="003034FD" w:rsidRDefault="003034FD" w:rsidP="00D22441">
      <w:pPr>
        <w:rPr>
          <w:rFonts w:cs="Arial"/>
          <w:sz w:val="22"/>
          <w:szCs w:val="22"/>
        </w:rPr>
      </w:pPr>
      <w:r w:rsidRPr="00FE2932">
        <w:rPr>
          <w:rFonts w:cs="Arial"/>
          <w:sz w:val="22"/>
          <w:szCs w:val="22"/>
        </w:rPr>
        <w:t xml:space="preserve">Por lo tanto, al estar los prestadores de servicios públicos domiciliarios obligados a reportar la información financiera a través del SUI o de los medios que para tal fin disponga la SSPD, </w:t>
      </w:r>
      <w:r w:rsidR="004732E8" w:rsidRPr="00FE2932">
        <w:rPr>
          <w:rFonts w:cs="Arial"/>
          <w:sz w:val="22"/>
          <w:szCs w:val="22"/>
        </w:rPr>
        <w:t>esta</w:t>
      </w:r>
      <w:r w:rsidRPr="00FE2932">
        <w:rPr>
          <w:rFonts w:cs="Arial"/>
          <w:sz w:val="22"/>
          <w:szCs w:val="22"/>
        </w:rPr>
        <w:t xml:space="preserve"> plataforma digital es fuente de información financiera de carácter oficial para establecer la contribución especial de la CREG.</w:t>
      </w:r>
    </w:p>
    <w:p w14:paraId="5F556B99" w14:textId="77777777" w:rsidR="003034FD" w:rsidRPr="00FE2932" w:rsidRDefault="003034FD" w:rsidP="00D22441">
      <w:pPr>
        <w:rPr>
          <w:rFonts w:cs="Arial"/>
          <w:color w:val="FF0000"/>
          <w:sz w:val="22"/>
          <w:szCs w:val="22"/>
        </w:rPr>
      </w:pPr>
    </w:p>
    <w:p w14:paraId="10CA1912" w14:textId="16FF0550" w:rsidR="003034FD" w:rsidRPr="00FE2932" w:rsidRDefault="003034FD" w:rsidP="00D22441">
      <w:pPr>
        <w:rPr>
          <w:rFonts w:cs="Arial"/>
          <w:sz w:val="22"/>
          <w:szCs w:val="22"/>
        </w:rPr>
      </w:pPr>
      <w:r>
        <w:rPr>
          <w:rFonts w:cs="Arial"/>
          <w:sz w:val="22"/>
          <w:szCs w:val="22"/>
        </w:rPr>
        <w:t>E</w:t>
      </w:r>
      <w:r w:rsidRPr="00FE2932">
        <w:rPr>
          <w:rFonts w:cs="Arial"/>
          <w:sz w:val="22"/>
          <w:szCs w:val="22"/>
        </w:rPr>
        <w:t>l lenguaje informático XBRL</w:t>
      </w:r>
      <w:r w:rsidRPr="00FE2932">
        <w:rPr>
          <w:rStyle w:val="Refdenotaalpie"/>
          <w:rFonts w:cs="Arial"/>
          <w:sz w:val="22"/>
          <w:szCs w:val="22"/>
        </w:rPr>
        <w:footnoteReference w:id="21"/>
      </w:r>
      <w:r w:rsidRPr="00FE2932">
        <w:rPr>
          <w:rFonts w:cs="Arial"/>
          <w:sz w:val="22"/>
          <w:szCs w:val="22"/>
        </w:rPr>
        <w:t xml:space="preserve"> permite el reporte de información financiera de forma estandarizada, facilitando la comparabilidad, transparencia y fiabilidad e incorporando las reglas de negocio en su implementación.</w:t>
      </w:r>
      <w:r w:rsidR="00AC602E">
        <w:rPr>
          <w:rFonts w:cs="Arial"/>
          <w:sz w:val="22"/>
          <w:szCs w:val="22"/>
        </w:rPr>
        <w:t xml:space="preserve"> </w:t>
      </w:r>
      <w:r w:rsidRPr="00FE2932">
        <w:rPr>
          <w:rFonts w:cs="Arial"/>
          <w:sz w:val="22"/>
          <w:szCs w:val="22"/>
        </w:rPr>
        <w:t xml:space="preserve">Para efectos de lo anterior la SSPD expidió la Resolución </w:t>
      </w:r>
      <w:proofErr w:type="spellStart"/>
      <w:r w:rsidRPr="00FE2932">
        <w:rPr>
          <w:rFonts w:cs="Arial"/>
          <w:sz w:val="22"/>
          <w:szCs w:val="22"/>
        </w:rPr>
        <w:t>N°</w:t>
      </w:r>
      <w:proofErr w:type="spellEnd"/>
      <w:r w:rsidRPr="00FE2932">
        <w:rPr>
          <w:rFonts w:cs="Arial"/>
          <w:sz w:val="22"/>
          <w:szCs w:val="22"/>
        </w:rPr>
        <w:t xml:space="preserve"> SSPD -20161300013475 del 19 de mayo de 2016, por la cual se establecen los requerimientos de información financiera para las personas prestadores de servicios públicos domiciliarios, mediante una estructura para reportar la información financiera en el lenguaje informático XBRL, fundamentado en las estructuras de taxonomías XML expedidas por la IASB que emite las Normas Internacionales de Información Financiera. </w:t>
      </w:r>
    </w:p>
    <w:p w14:paraId="343091B8" w14:textId="77777777" w:rsidR="003034FD" w:rsidRDefault="003034FD" w:rsidP="00D22441">
      <w:pPr>
        <w:rPr>
          <w:rFonts w:cs="Arial"/>
          <w:sz w:val="22"/>
          <w:szCs w:val="22"/>
        </w:rPr>
      </w:pPr>
    </w:p>
    <w:p w14:paraId="465312F0" w14:textId="77777777" w:rsidR="003034FD" w:rsidRPr="00FE2932" w:rsidRDefault="003034FD" w:rsidP="00D22441">
      <w:pPr>
        <w:rPr>
          <w:rFonts w:cs="Arial"/>
          <w:sz w:val="22"/>
          <w:szCs w:val="22"/>
        </w:rPr>
      </w:pPr>
      <w:r w:rsidRPr="00FE2932">
        <w:rPr>
          <w:rFonts w:cs="Arial"/>
          <w:sz w:val="22"/>
          <w:szCs w:val="22"/>
        </w:rPr>
        <w:t xml:space="preserve">La SSPD modificó la estructura, lenguaje de reporte y periodicidad de la certificación de la información financiera a taxonomías en XBRL, con tipo de informe individual o consolidado y periodicidad anual, y que permite el reporte de información financiera de forma estandarizada, lo cual facilita la comparabilidad, transparencia y fiabilidad, e incorpora las reglas de negocio en su implementación. Para el efecto, la SSPD, dispuso de una nueva taxonomía para la recepción de la información financiera en el SUI según resolución </w:t>
      </w:r>
      <w:proofErr w:type="spellStart"/>
      <w:r w:rsidRPr="00FE2932">
        <w:rPr>
          <w:rFonts w:cs="Arial"/>
          <w:sz w:val="22"/>
          <w:szCs w:val="22"/>
        </w:rPr>
        <w:t>N°</w:t>
      </w:r>
      <w:proofErr w:type="spellEnd"/>
      <w:r w:rsidRPr="00FE2932">
        <w:rPr>
          <w:rFonts w:cs="Arial"/>
          <w:sz w:val="22"/>
          <w:szCs w:val="22"/>
        </w:rPr>
        <w:t xml:space="preserve"> 20171300042935 de 2017.</w:t>
      </w:r>
    </w:p>
    <w:p w14:paraId="7C0A6BE2" w14:textId="77777777" w:rsidR="003034FD" w:rsidRPr="00FE2932" w:rsidRDefault="003034FD" w:rsidP="00D22441">
      <w:pPr>
        <w:rPr>
          <w:rFonts w:cs="Arial"/>
          <w:color w:val="7030A0"/>
          <w:sz w:val="22"/>
          <w:szCs w:val="22"/>
        </w:rPr>
      </w:pPr>
    </w:p>
    <w:p w14:paraId="36D9B01E" w14:textId="77777777" w:rsidR="003034FD" w:rsidRDefault="003034FD" w:rsidP="00D22441">
      <w:pPr>
        <w:rPr>
          <w:rFonts w:cs="Arial"/>
          <w:sz w:val="22"/>
          <w:szCs w:val="22"/>
        </w:rPr>
      </w:pPr>
      <w:r w:rsidRPr="00FE2932">
        <w:rPr>
          <w:rFonts w:cs="Arial"/>
          <w:sz w:val="22"/>
          <w:szCs w:val="22"/>
        </w:rPr>
        <w:t xml:space="preserve">Cada reporte basado en una taxonomía por grupo y tipo de reporte, permite reflejar los requerimientos de reconocimiento, medición (inicial y posterior), presentación y revelación de cada uno de los marcos normativos, es así que cada preparador de información, vigilado por esta superintendencia, podrá utilizar los mecanismos que considere más fiables y pertinentes </w:t>
      </w:r>
      <w:r w:rsidRPr="00A87948">
        <w:rPr>
          <w:rFonts w:cs="Arial"/>
          <w:sz w:val="22"/>
          <w:szCs w:val="22"/>
        </w:rPr>
        <w:t>para el registro de los hechos económicos en cumplimiento de los objetivos de la información contable, sin que estos sufran una modificación en su naturaleza.</w:t>
      </w:r>
    </w:p>
    <w:p w14:paraId="16F2B07E" w14:textId="77777777" w:rsidR="00CC1B3D" w:rsidRPr="00A87948" w:rsidRDefault="00CC1B3D" w:rsidP="00D22441">
      <w:pPr>
        <w:rPr>
          <w:rFonts w:cs="Arial"/>
          <w:sz w:val="22"/>
          <w:szCs w:val="22"/>
        </w:rPr>
      </w:pPr>
    </w:p>
    <w:p w14:paraId="35FC6320" w14:textId="77777777" w:rsidR="00A87948" w:rsidRPr="00A87948" w:rsidRDefault="00A87948" w:rsidP="00D22441">
      <w:pPr>
        <w:rPr>
          <w:rFonts w:cs="Arial"/>
          <w:sz w:val="22"/>
          <w:szCs w:val="22"/>
        </w:rPr>
      </w:pPr>
      <w:bookmarkStart w:id="44" w:name="_Hlk51769806"/>
      <w:r w:rsidRPr="00A87948">
        <w:rPr>
          <w:rFonts w:cs="Arial"/>
          <w:sz w:val="22"/>
          <w:szCs w:val="22"/>
        </w:rPr>
        <w:t xml:space="preserve">En la Resolución SSPD </w:t>
      </w:r>
      <w:proofErr w:type="spellStart"/>
      <w:r w:rsidRPr="00A87948">
        <w:rPr>
          <w:rFonts w:cs="Arial"/>
          <w:sz w:val="22"/>
          <w:szCs w:val="22"/>
        </w:rPr>
        <w:t>N°</w:t>
      </w:r>
      <w:proofErr w:type="spellEnd"/>
      <w:r w:rsidRPr="00A87948">
        <w:rPr>
          <w:rFonts w:cs="Arial"/>
          <w:sz w:val="22"/>
          <w:szCs w:val="22"/>
        </w:rPr>
        <w:t xml:space="preserve"> 20192000034975 del 10 de septiembre de 2019 se complementó la Resolución </w:t>
      </w:r>
      <w:proofErr w:type="spellStart"/>
      <w:r w:rsidRPr="00A87948">
        <w:rPr>
          <w:rFonts w:cs="Arial"/>
          <w:sz w:val="22"/>
          <w:szCs w:val="22"/>
        </w:rPr>
        <w:t>N°</w:t>
      </w:r>
      <w:proofErr w:type="spellEnd"/>
      <w:r w:rsidRPr="00A87948">
        <w:rPr>
          <w:rFonts w:cs="Arial"/>
          <w:sz w:val="22"/>
          <w:szCs w:val="22"/>
        </w:rPr>
        <w:t xml:space="preserve"> 20192200020155 del 25 de junio de 2019 y se establecen los lineamientos de cargue de información al SUI para los formatos contenidos en la Resolución </w:t>
      </w:r>
      <w:proofErr w:type="spellStart"/>
      <w:r w:rsidRPr="00A87948">
        <w:rPr>
          <w:rFonts w:cs="Arial"/>
          <w:sz w:val="22"/>
          <w:szCs w:val="22"/>
        </w:rPr>
        <w:t>N°</w:t>
      </w:r>
      <w:proofErr w:type="spellEnd"/>
      <w:r w:rsidRPr="00A87948">
        <w:rPr>
          <w:rFonts w:cs="Arial"/>
          <w:sz w:val="22"/>
          <w:szCs w:val="22"/>
        </w:rPr>
        <w:t xml:space="preserve"> SSPD 20102400008055 del 16 de marzo de 2010, las circulares SSPD-CREG </w:t>
      </w:r>
      <w:proofErr w:type="spellStart"/>
      <w:r w:rsidRPr="00A87948">
        <w:rPr>
          <w:rFonts w:cs="Arial"/>
          <w:sz w:val="22"/>
          <w:szCs w:val="22"/>
        </w:rPr>
        <w:t>N°</w:t>
      </w:r>
      <w:proofErr w:type="spellEnd"/>
      <w:r w:rsidRPr="00A87948">
        <w:rPr>
          <w:rFonts w:cs="Arial"/>
          <w:sz w:val="22"/>
          <w:szCs w:val="22"/>
        </w:rPr>
        <w:t xml:space="preserve"> 006 del 30 de diciembre de 2003, modificada por la Circular SSPD-CREG </w:t>
      </w:r>
      <w:proofErr w:type="spellStart"/>
      <w:r w:rsidRPr="00A87948">
        <w:rPr>
          <w:rFonts w:cs="Arial"/>
          <w:sz w:val="22"/>
          <w:szCs w:val="22"/>
        </w:rPr>
        <w:t>N°</w:t>
      </w:r>
      <w:proofErr w:type="spellEnd"/>
      <w:r w:rsidRPr="00A87948">
        <w:rPr>
          <w:rFonts w:cs="Arial"/>
          <w:sz w:val="22"/>
          <w:szCs w:val="22"/>
        </w:rPr>
        <w:t xml:space="preserve"> 003 del 19 de diciembre de 2005, Circular SSPD-CREG </w:t>
      </w:r>
      <w:proofErr w:type="spellStart"/>
      <w:r w:rsidRPr="00A87948">
        <w:rPr>
          <w:rFonts w:cs="Arial"/>
          <w:sz w:val="22"/>
          <w:szCs w:val="22"/>
        </w:rPr>
        <w:t>N°</w:t>
      </w:r>
      <w:proofErr w:type="spellEnd"/>
      <w:r w:rsidRPr="00A87948">
        <w:rPr>
          <w:rFonts w:cs="Arial"/>
          <w:sz w:val="22"/>
          <w:szCs w:val="22"/>
        </w:rPr>
        <w:t xml:space="preserve"> 002 del 02 de junio de 2005 y la Circular SSPD-CREG </w:t>
      </w:r>
      <w:proofErr w:type="spellStart"/>
      <w:r w:rsidRPr="00A87948">
        <w:rPr>
          <w:rFonts w:cs="Arial"/>
          <w:sz w:val="22"/>
          <w:szCs w:val="22"/>
        </w:rPr>
        <w:t>N°</w:t>
      </w:r>
      <w:proofErr w:type="spellEnd"/>
      <w:r w:rsidRPr="00A87948">
        <w:rPr>
          <w:rFonts w:cs="Arial"/>
          <w:sz w:val="22"/>
          <w:szCs w:val="22"/>
        </w:rPr>
        <w:t xml:space="preserve"> 001 del 05 de abril de 2005.</w:t>
      </w:r>
    </w:p>
    <w:p w14:paraId="2E738C48" w14:textId="77777777" w:rsidR="00A87948" w:rsidRPr="00A87948" w:rsidRDefault="00A87948" w:rsidP="00D22441">
      <w:pPr>
        <w:rPr>
          <w:rFonts w:cs="Arial"/>
          <w:sz w:val="22"/>
          <w:szCs w:val="22"/>
        </w:rPr>
      </w:pPr>
    </w:p>
    <w:p w14:paraId="21D96ED7" w14:textId="77777777" w:rsidR="00A87948" w:rsidRPr="00A87948" w:rsidRDefault="00A87948" w:rsidP="00D22441">
      <w:pPr>
        <w:rPr>
          <w:rFonts w:cs="Arial"/>
          <w:sz w:val="22"/>
          <w:szCs w:val="22"/>
        </w:rPr>
      </w:pPr>
      <w:r w:rsidRPr="00A87948">
        <w:rPr>
          <w:rFonts w:cs="Arial"/>
          <w:sz w:val="22"/>
          <w:szCs w:val="22"/>
        </w:rPr>
        <w:t xml:space="preserve">La SSPD expidió para las empresas prestadoras de energía eléctrica la Resolución </w:t>
      </w:r>
      <w:proofErr w:type="spellStart"/>
      <w:r w:rsidRPr="00A87948">
        <w:rPr>
          <w:rFonts w:cs="Arial"/>
          <w:sz w:val="22"/>
          <w:szCs w:val="22"/>
        </w:rPr>
        <w:t>N°</w:t>
      </w:r>
      <w:proofErr w:type="spellEnd"/>
      <w:r w:rsidRPr="00A87948">
        <w:rPr>
          <w:rFonts w:cs="Arial"/>
          <w:sz w:val="22"/>
          <w:szCs w:val="22"/>
        </w:rPr>
        <w:t xml:space="preserve"> 20102400008055 del 16 de marzo de 2010 “Por la cual se unifica en un solo acto administrativo la normatividad expedida en el sector de energía eléctrica para el cargue de información al SUI” y sus resoluciones modificatorias, vigente hasta que una vez se cumpla lo dispuesto en el artículo 15 de la Resolución SSPD </w:t>
      </w:r>
      <w:proofErr w:type="spellStart"/>
      <w:r w:rsidRPr="00A87948">
        <w:rPr>
          <w:rFonts w:cs="Arial"/>
          <w:sz w:val="22"/>
          <w:szCs w:val="22"/>
        </w:rPr>
        <w:t>N°</w:t>
      </w:r>
      <w:proofErr w:type="spellEnd"/>
      <w:r w:rsidRPr="00A87948">
        <w:rPr>
          <w:rFonts w:cs="Arial"/>
          <w:sz w:val="22"/>
          <w:szCs w:val="22"/>
        </w:rPr>
        <w:t xml:space="preserve"> 20212200012515 del 26 de marzo de 2021.</w:t>
      </w:r>
    </w:p>
    <w:p w14:paraId="2D7DE8ED" w14:textId="77777777" w:rsidR="00A87948" w:rsidRPr="00A87948" w:rsidRDefault="00A87948" w:rsidP="00D22441">
      <w:pPr>
        <w:rPr>
          <w:rFonts w:cs="Arial"/>
          <w:sz w:val="22"/>
          <w:szCs w:val="22"/>
        </w:rPr>
      </w:pPr>
    </w:p>
    <w:p w14:paraId="525D9620" w14:textId="51B0C167" w:rsidR="00A87948" w:rsidRPr="00A87948" w:rsidRDefault="00A87948" w:rsidP="00D22441">
      <w:pPr>
        <w:rPr>
          <w:rFonts w:cs="Arial"/>
          <w:sz w:val="22"/>
          <w:szCs w:val="22"/>
        </w:rPr>
      </w:pPr>
      <w:r w:rsidRPr="00A87948">
        <w:rPr>
          <w:rFonts w:cs="Arial"/>
          <w:sz w:val="22"/>
          <w:szCs w:val="22"/>
        </w:rPr>
        <w:t xml:space="preserve">La SSPD expidió la Resolución </w:t>
      </w:r>
      <w:proofErr w:type="spellStart"/>
      <w:r w:rsidRPr="00A87948">
        <w:rPr>
          <w:rFonts w:cs="Arial"/>
          <w:sz w:val="22"/>
          <w:szCs w:val="22"/>
        </w:rPr>
        <w:t>N°</w:t>
      </w:r>
      <w:proofErr w:type="spellEnd"/>
      <w:r w:rsidRPr="00A87948">
        <w:rPr>
          <w:rFonts w:cs="Arial"/>
          <w:sz w:val="22"/>
          <w:szCs w:val="22"/>
        </w:rPr>
        <w:t xml:space="preserve"> 20212200012515 del 26 de marzo de 2021 “</w:t>
      </w:r>
      <w:r w:rsidRPr="00A87948">
        <w:rPr>
          <w:rFonts w:cs="Arial"/>
          <w:i/>
          <w:iCs/>
          <w:sz w:val="22"/>
          <w:szCs w:val="22"/>
        </w:rPr>
        <w:t xml:space="preserve">Por la cual se expiden los lineamientos para el cargue de información al Sistema Único de Información (SUI) aplicable a los </w:t>
      </w:r>
      <w:r w:rsidRPr="00A87948">
        <w:rPr>
          <w:rFonts w:cs="Arial"/>
          <w:i/>
          <w:iCs/>
          <w:sz w:val="22"/>
          <w:szCs w:val="22"/>
        </w:rPr>
        <w:lastRenderedPageBreak/>
        <w:t>prestadores del servicio público de energía eléctrica del Sistema Interconectado Nacional (SIN</w:t>
      </w:r>
      <w:r w:rsidRPr="00A87948">
        <w:rPr>
          <w:rFonts w:cs="Arial"/>
          <w:sz w:val="22"/>
          <w:szCs w:val="22"/>
        </w:rPr>
        <w:t xml:space="preserve">)” y deroga el artículo primero de la Resolución SSPD </w:t>
      </w:r>
      <w:proofErr w:type="spellStart"/>
      <w:r w:rsidRPr="00A87948">
        <w:rPr>
          <w:rFonts w:cs="Arial"/>
          <w:sz w:val="22"/>
          <w:szCs w:val="22"/>
        </w:rPr>
        <w:t>N°</w:t>
      </w:r>
      <w:proofErr w:type="spellEnd"/>
      <w:r w:rsidRPr="00A87948">
        <w:rPr>
          <w:rFonts w:cs="Arial"/>
          <w:sz w:val="22"/>
          <w:szCs w:val="22"/>
        </w:rPr>
        <w:t xml:space="preserve"> 20192000034975 de 2019, la Resolución SSPD </w:t>
      </w:r>
      <w:proofErr w:type="spellStart"/>
      <w:r w:rsidRPr="00A87948">
        <w:rPr>
          <w:rFonts w:cs="Arial"/>
          <w:sz w:val="22"/>
          <w:szCs w:val="22"/>
        </w:rPr>
        <w:t>N°</w:t>
      </w:r>
      <w:proofErr w:type="spellEnd"/>
      <w:r w:rsidRPr="00A87948">
        <w:rPr>
          <w:rFonts w:cs="Arial"/>
          <w:sz w:val="22"/>
          <w:szCs w:val="22"/>
        </w:rPr>
        <w:t xml:space="preserve"> 20192200020155 de 2019 y la Resolución SSPD </w:t>
      </w:r>
      <w:proofErr w:type="spellStart"/>
      <w:r w:rsidRPr="00A87948">
        <w:rPr>
          <w:rFonts w:cs="Arial"/>
          <w:sz w:val="22"/>
          <w:szCs w:val="22"/>
        </w:rPr>
        <w:t>N°</w:t>
      </w:r>
      <w:proofErr w:type="spellEnd"/>
      <w:r w:rsidRPr="00A87948">
        <w:rPr>
          <w:rFonts w:cs="Arial"/>
          <w:sz w:val="22"/>
          <w:szCs w:val="22"/>
        </w:rPr>
        <w:t xml:space="preserve"> 20102400008055 de 2010.</w:t>
      </w:r>
    </w:p>
    <w:p w14:paraId="04F860B7" w14:textId="47A30D38" w:rsidR="00A87948" w:rsidRPr="00A87948" w:rsidRDefault="00A87948" w:rsidP="00D22441">
      <w:pPr>
        <w:rPr>
          <w:rFonts w:cs="Arial"/>
          <w:sz w:val="22"/>
          <w:szCs w:val="22"/>
        </w:rPr>
      </w:pPr>
    </w:p>
    <w:p w14:paraId="214E539F" w14:textId="77777777" w:rsidR="00A87948" w:rsidRPr="00A87948" w:rsidRDefault="00A87948" w:rsidP="00D22441">
      <w:pPr>
        <w:rPr>
          <w:rFonts w:cs="Arial"/>
          <w:sz w:val="22"/>
          <w:szCs w:val="22"/>
        </w:rPr>
      </w:pPr>
      <w:r w:rsidRPr="00A87948">
        <w:rPr>
          <w:rFonts w:cs="Arial"/>
          <w:sz w:val="22"/>
          <w:szCs w:val="22"/>
        </w:rPr>
        <w:t xml:space="preserve">El artículo 18 de la Ley 142 de 1994 señala que </w:t>
      </w:r>
      <w:r w:rsidRPr="00A87948">
        <w:rPr>
          <w:rFonts w:cs="Arial"/>
          <w:i/>
          <w:iCs/>
          <w:sz w:val="22"/>
          <w:szCs w:val="22"/>
        </w:rPr>
        <w:t>“[e]n todo caso, las empresas de servicios públicos que tengan objeto social múltiple deberán llevar contabilidad separada para cada uno de los servicios que presten; y el costo y la modalidad de las operaciones entre cada servicio deben registrarse de manera explícita (...)”.</w:t>
      </w:r>
    </w:p>
    <w:p w14:paraId="7BB4386F" w14:textId="77777777" w:rsidR="003034FD" w:rsidRPr="00A87948" w:rsidRDefault="003034FD" w:rsidP="00D22441">
      <w:pPr>
        <w:rPr>
          <w:rFonts w:cs="Arial"/>
          <w:sz w:val="22"/>
          <w:szCs w:val="22"/>
        </w:rPr>
      </w:pPr>
    </w:p>
    <w:bookmarkEnd w:id="44"/>
    <w:p w14:paraId="1C8E0C96" w14:textId="7342F203" w:rsidR="003034FD" w:rsidRPr="00A87948" w:rsidRDefault="003034FD" w:rsidP="00D22441">
      <w:pPr>
        <w:rPr>
          <w:rFonts w:cs="Arial"/>
          <w:sz w:val="22"/>
          <w:szCs w:val="22"/>
        </w:rPr>
      </w:pPr>
      <w:r w:rsidRPr="00A87948">
        <w:rPr>
          <w:rFonts w:cs="Arial"/>
          <w:sz w:val="22"/>
          <w:szCs w:val="22"/>
        </w:rPr>
        <w:t>La información que certifiquen los prestadores de servicios públicos a través del SUI, deberá cumplir con los requisitos de calidad y oportunidad señalados por la Superservicios en la Circular Externa SSPD 00001 del 25 de enero de 2016.</w:t>
      </w:r>
      <w:r w:rsidR="00A513DD">
        <w:rPr>
          <w:rFonts w:cs="Arial"/>
          <w:sz w:val="22"/>
          <w:szCs w:val="22"/>
        </w:rPr>
        <w:t xml:space="preserve"> </w:t>
      </w:r>
    </w:p>
    <w:p w14:paraId="1085A47F" w14:textId="77777777" w:rsidR="003034FD" w:rsidRDefault="003034FD" w:rsidP="00D22441">
      <w:pPr>
        <w:rPr>
          <w:rFonts w:cs="Arial"/>
          <w:sz w:val="22"/>
          <w:szCs w:val="22"/>
        </w:rPr>
      </w:pPr>
    </w:p>
    <w:p w14:paraId="720452FB" w14:textId="0AEF3B33" w:rsidR="003034FD" w:rsidRDefault="003034FD" w:rsidP="00D22441">
      <w:pPr>
        <w:rPr>
          <w:rFonts w:cs="Arial"/>
          <w:sz w:val="22"/>
          <w:szCs w:val="22"/>
        </w:rPr>
      </w:pPr>
      <w:r>
        <w:rPr>
          <w:rFonts w:cs="Arial"/>
          <w:sz w:val="22"/>
          <w:szCs w:val="22"/>
        </w:rPr>
        <w:t>De esta manera, f</w:t>
      </w:r>
      <w:r w:rsidRPr="00383DF0">
        <w:rPr>
          <w:rFonts w:cs="Arial"/>
          <w:sz w:val="22"/>
          <w:szCs w:val="22"/>
        </w:rPr>
        <w:t>ormarán parte de la base gravable de liquidación de la contribución especial 20</w:t>
      </w:r>
      <w:r w:rsidR="0020406B">
        <w:rPr>
          <w:rFonts w:cs="Arial"/>
          <w:sz w:val="22"/>
          <w:szCs w:val="22"/>
        </w:rPr>
        <w:t>2</w:t>
      </w:r>
      <w:r w:rsidR="000343A2">
        <w:rPr>
          <w:rFonts w:cs="Arial"/>
          <w:sz w:val="22"/>
          <w:szCs w:val="22"/>
        </w:rPr>
        <w:t>3</w:t>
      </w:r>
      <w:r w:rsidRPr="00383DF0">
        <w:rPr>
          <w:rFonts w:cs="Arial"/>
          <w:sz w:val="22"/>
          <w:szCs w:val="22"/>
        </w:rPr>
        <w:t xml:space="preserve">, la sumatoria de los valores reportados y certificados al SUI, por los prestadores de servicios públicos domiciliarios, en los formatos establecidos por la SSPD, de las taxonomías XBRL estructuradas por la SSPD </w:t>
      </w:r>
      <w:r>
        <w:rPr>
          <w:rFonts w:cs="Arial"/>
          <w:sz w:val="22"/>
          <w:szCs w:val="22"/>
        </w:rPr>
        <w:t xml:space="preserve">para la información financiera con corte </w:t>
      </w:r>
      <w:r w:rsidRPr="00383DF0">
        <w:rPr>
          <w:rFonts w:cs="Arial"/>
          <w:sz w:val="22"/>
          <w:szCs w:val="22"/>
        </w:rPr>
        <w:t>a 31 de diciembre de 20</w:t>
      </w:r>
      <w:r w:rsidR="0020406B">
        <w:rPr>
          <w:rFonts w:cs="Arial"/>
          <w:sz w:val="22"/>
          <w:szCs w:val="22"/>
        </w:rPr>
        <w:t>2</w:t>
      </w:r>
      <w:r w:rsidR="000343A2">
        <w:rPr>
          <w:rFonts w:cs="Arial"/>
          <w:sz w:val="22"/>
          <w:szCs w:val="22"/>
        </w:rPr>
        <w:t>2</w:t>
      </w:r>
      <w:r w:rsidRPr="00383DF0">
        <w:rPr>
          <w:rFonts w:cs="Arial"/>
          <w:sz w:val="22"/>
          <w:szCs w:val="22"/>
        </w:rPr>
        <w:t>, organizada por cada servicio</w:t>
      </w:r>
      <w:r>
        <w:rPr>
          <w:rFonts w:cs="Arial"/>
          <w:sz w:val="22"/>
          <w:szCs w:val="22"/>
        </w:rPr>
        <w:t>,</w:t>
      </w:r>
      <w:r w:rsidRPr="00383DF0">
        <w:rPr>
          <w:rFonts w:cs="Arial"/>
          <w:sz w:val="22"/>
          <w:szCs w:val="22"/>
        </w:rPr>
        <w:t xml:space="preserve"> objeto de regulación por parte de la CREG</w:t>
      </w:r>
      <w:r>
        <w:rPr>
          <w:rFonts w:cs="Arial"/>
          <w:sz w:val="22"/>
          <w:szCs w:val="22"/>
        </w:rPr>
        <w:t xml:space="preserve">. </w:t>
      </w:r>
    </w:p>
    <w:p w14:paraId="322FA8A7" w14:textId="77777777" w:rsidR="000343A2" w:rsidRDefault="000343A2" w:rsidP="00D22441">
      <w:pPr>
        <w:rPr>
          <w:rFonts w:cs="Arial"/>
          <w:sz w:val="22"/>
          <w:szCs w:val="22"/>
        </w:rPr>
      </w:pPr>
    </w:p>
    <w:p w14:paraId="465479BD" w14:textId="5BA3FA11" w:rsidR="003034FD" w:rsidRPr="00421866" w:rsidRDefault="003034FD" w:rsidP="00D22441">
      <w:pPr>
        <w:pStyle w:val="Subttulo"/>
        <w:numPr>
          <w:ilvl w:val="1"/>
          <w:numId w:val="37"/>
        </w:numPr>
        <w:spacing w:after="0"/>
        <w:ind w:left="357" w:hanging="357"/>
        <w:jc w:val="left"/>
        <w:rPr>
          <w:b/>
          <w:bCs/>
          <w:sz w:val="22"/>
          <w:szCs w:val="22"/>
        </w:rPr>
      </w:pPr>
      <w:bookmarkStart w:id="45" w:name="_Toc147154305"/>
      <w:r>
        <w:rPr>
          <w:b/>
          <w:bCs/>
          <w:sz w:val="22"/>
          <w:szCs w:val="22"/>
        </w:rPr>
        <w:t>FECHA DE CORTE</w:t>
      </w:r>
      <w:r w:rsidR="00763667">
        <w:rPr>
          <w:b/>
          <w:bCs/>
          <w:sz w:val="22"/>
          <w:szCs w:val="22"/>
        </w:rPr>
        <w:t xml:space="preserve"> DE</w:t>
      </w:r>
      <w:r>
        <w:rPr>
          <w:b/>
          <w:bCs/>
          <w:sz w:val="22"/>
          <w:szCs w:val="22"/>
        </w:rPr>
        <w:t xml:space="preserve"> CONSULTA </w:t>
      </w:r>
      <w:r w:rsidR="00887ECC">
        <w:rPr>
          <w:b/>
          <w:bCs/>
          <w:sz w:val="22"/>
          <w:szCs w:val="22"/>
        </w:rPr>
        <w:t xml:space="preserve">DE </w:t>
      </w:r>
      <w:r>
        <w:rPr>
          <w:b/>
          <w:bCs/>
          <w:sz w:val="22"/>
          <w:szCs w:val="22"/>
        </w:rPr>
        <w:t>INFORMACIÓN AL SUI.</w:t>
      </w:r>
      <w:bookmarkEnd w:id="45"/>
    </w:p>
    <w:p w14:paraId="64F807E3" w14:textId="77777777" w:rsidR="00A513DD" w:rsidRDefault="00A513DD" w:rsidP="00D22441">
      <w:pPr>
        <w:rPr>
          <w:rFonts w:cs="Arial"/>
          <w:sz w:val="22"/>
          <w:szCs w:val="22"/>
        </w:rPr>
      </w:pPr>
    </w:p>
    <w:p w14:paraId="36BC8FF7" w14:textId="462408ED" w:rsidR="003034FD" w:rsidRPr="00F24EE4" w:rsidRDefault="00E63215" w:rsidP="00D22441">
      <w:pPr>
        <w:rPr>
          <w:rFonts w:cs="Arial"/>
          <w:sz w:val="22"/>
          <w:szCs w:val="22"/>
        </w:rPr>
      </w:pPr>
      <w:r w:rsidRPr="00F24EE4">
        <w:rPr>
          <w:rFonts w:cs="Arial"/>
          <w:sz w:val="22"/>
          <w:szCs w:val="22"/>
        </w:rPr>
        <w:t>Para el presente documento, s</w:t>
      </w:r>
      <w:r w:rsidR="003034FD" w:rsidRPr="00F24EE4">
        <w:rPr>
          <w:rFonts w:cs="Arial"/>
          <w:sz w:val="22"/>
          <w:szCs w:val="22"/>
        </w:rPr>
        <w:t>e tomó como fuente de información la enviada por los regulados al SUI de la SSPD</w:t>
      </w:r>
      <w:r w:rsidR="00763667" w:rsidRPr="00F24EE4">
        <w:rPr>
          <w:rFonts w:cs="Arial"/>
          <w:sz w:val="22"/>
          <w:szCs w:val="22"/>
        </w:rPr>
        <w:t>,</w:t>
      </w:r>
      <w:r w:rsidR="003034FD" w:rsidRPr="00F24EE4">
        <w:rPr>
          <w:rFonts w:cs="Arial"/>
          <w:sz w:val="22"/>
          <w:szCs w:val="22"/>
        </w:rPr>
        <w:t xml:space="preserve"> con </w:t>
      </w:r>
      <w:r w:rsidR="00763667" w:rsidRPr="00F24EE4">
        <w:rPr>
          <w:rFonts w:cs="Arial"/>
          <w:sz w:val="22"/>
          <w:szCs w:val="22"/>
        </w:rPr>
        <w:t xml:space="preserve">fecha de </w:t>
      </w:r>
      <w:r w:rsidR="003034FD" w:rsidRPr="00F24EE4">
        <w:rPr>
          <w:rFonts w:cs="Arial"/>
          <w:sz w:val="22"/>
          <w:szCs w:val="22"/>
        </w:rPr>
        <w:t xml:space="preserve">corte </w:t>
      </w:r>
      <w:r w:rsidR="00763667" w:rsidRPr="00F24EE4">
        <w:rPr>
          <w:rFonts w:cs="Arial"/>
          <w:sz w:val="22"/>
          <w:szCs w:val="22"/>
        </w:rPr>
        <w:t xml:space="preserve">de consulta suministrada por la SSPD a la CREG </w:t>
      </w:r>
      <w:r w:rsidR="00887ECC" w:rsidRPr="00F24EE4">
        <w:rPr>
          <w:rFonts w:cs="Arial"/>
          <w:sz w:val="22"/>
          <w:szCs w:val="22"/>
        </w:rPr>
        <w:t>de</w:t>
      </w:r>
      <w:r w:rsidR="003034FD" w:rsidRPr="00F24EE4">
        <w:rPr>
          <w:rFonts w:cs="Arial"/>
          <w:sz w:val="22"/>
          <w:szCs w:val="22"/>
        </w:rPr>
        <w:t xml:space="preserve">l </w:t>
      </w:r>
      <w:r w:rsidR="00961680" w:rsidRPr="00F24EE4">
        <w:rPr>
          <w:rFonts w:cs="Arial"/>
          <w:sz w:val="22"/>
          <w:szCs w:val="22"/>
        </w:rPr>
        <w:t>12</w:t>
      </w:r>
      <w:r w:rsidR="00F0101B" w:rsidRPr="00F24EE4">
        <w:rPr>
          <w:rFonts w:cs="Arial"/>
          <w:sz w:val="22"/>
          <w:szCs w:val="22"/>
        </w:rPr>
        <w:t xml:space="preserve"> de </w:t>
      </w:r>
      <w:r w:rsidR="00415CF5" w:rsidRPr="00F24EE4">
        <w:rPr>
          <w:rFonts w:cs="Arial"/>
          <w:sz w:val="22"/>
          <w:szCs w:val="22"/>
        </w:rPr>
        <w:t>julio</w:t>
      </w:r>
      <w:r w:rsidR="003034FD" w:rsidRPr="00F24EE4">
        <w:rPr>
          <w:rFonts w:cs="Arial"/>
          <w:sz w:val="22"/>
          <w:szCs w:val="22"/>
        </w:rPr>
        <w:t xml:space="preserve"> de 202</w:t>
      </w:r>
      <w:r w:rsidR="00415CF5" w:rsidRPr="00F24EE4">
        <w:rPr>
          <w:rFonts w:cs="Arial"/>
          <w:sz w:val="22"/>
          <w:szCs w:val="22"/>
        </w:rPr>
        <w:t>3</w:t>
      </w:r>
      <w:r w:rsidR="003034FD" w:rsidRPr="00F24EE4">
        <w:rPr>
          <w:rFonts w:cs="Arial"/>
          <w:sz w:val="22"/>
          <w:szCs w:val="22"/>
        </w:rPr>
        <w:t>.</w:t>
      </w:r>
    </w:p>
    <w:p w14:paraId="2D05ED88" w14:textId="77777777" w:rsidR="00E63215" w:rsidRPr="00F24EE4" w:rsidRDefault="00E63215" w:rsidP="00D22441">
      <w:pPr>
        <w:rPr>
          <w:rFonts w:cs="Arial"/>
          <w:sz w:val="22"/>
          <w:szCs w:val="22"/>
        </w:rPr>
      </w:pPr>
    </w:p>
    <w:p w14:paraId="6905AB7D" w14:textId="6C277E44" w:rsidR="00E63215" w:rsidRPr="00F24EE4" w:rsidRDefault="00E63215" w:rsidP="00E63215">
      <w:pPr>
        <w:pStyle w:val="Subttulo"/>
        <w:numPr>
          <w:ilvl w:val="1"/>
          <w:numId w:val="37"/>
        </w:numPr>
        <w:spacing w:after="0"/>
        <w:ind w:left="357" w:hanging="357"/>
        <w:jc w:val="left"/>
        <w:rPr>
          <w:b/>
          <w:bCs/>
          <w:sz w:val="22"/>
          <w:szCs w:val="22"/>
        </w:rPr>
      </w:pPr>
      <w:bookmarkStart w:id="46" w:name="_Toc147154306"/>
      <w:r w:rsidRPr="00F24EE4">
        <w:rPr>
          <w:b/>
          <w:bCs/>
          <w:sz w:val="22"/>
          <w:szCs w:val="22"/>
        </w:rPr>
        <w:t xml:space="preserve">VINCULOS WEB </w:t>
      </w:r>
      <w:r w:rsidR="006F078C" w:rsidRPr="00F24EE4">
        <w:rPr>
          <w:b/>
          <w:bCs/>
          <w:sz w:val="22"/>
          <w:szCs w:val="22"/>
        </w:rPr>
        <w:t xml:space="preserve">SSPD </w:t>
      </w:r>
      <w:r w:rsidRPr="00F24EE4">
        <w:rPr>
          <w:b/>
          <w:bCs/>
          <w:sz w:val="22"/>
          <w:szCs w:val="22"/>
        </w:rPr>
        <w:t>DE CONSULTA CIUDADANA</w:t>
      </w:r>
      <w:r w:rsidR="0076717D">
        <w:rPr>
          <w:b/>
          <w:bCs/>
          <w:sz w:val="22"/>
          <w:szCs w:val="22"/>
        </w:rPr>
        <w:t xml:space="preserve"> </w:t>
      </w:r>
      <w:r w:rsidRPr="00F24EE4">
        <w:rPr>
          <w:b/>
          <w:bCs/>
          <w:sz w:val="22"/>
          <w:szCs w:val="22"/>
        </w:rPr>
        <w:t>AL SISTEMA SUI</w:t>
      </w:r>
      <w:bookmarkEnd w:id="46"/>
    </w:p>
    <w:p w14:paraId="1990BCCB" w14:textId="77777777" w:rsidR="00E63215" w:rsidRDefault="00E63215" w:rsidP="00E63215">
      <w:pPr>
        <w:rPr>
          <w:rFonts w:cs="Arial"/>
          <w:sz w:val="22"/>
          <w:szCs w:val="22"/>
        </w:rPr>
      </w:pPr>
    </w:p>
    <w:p w14:paraId="3CAED845" w14:textId="51DD093F" w:rsidR="00646F92" w:rsidRDefault="00646F92" w:rsidP="00E63215">
      <w:pPr>
        <w:rPr>
          <w:rFonts w:cs="Arial"/>
          <w:sz w:val="22"/>
          <w:szCs w:val="22"/>
        </w:rPr>
      </w:pPr>
      <w:r>
        <w:rPr>
          <w:noProof/>
        </w:rPr>
        <w:lastRenderedPageBreak/>
        <w:drawing>
          <wp:inline distT="0" distB="0" distL="0" distR="0" wp14:anchorId="27B88E87" wp14:editId="3EF45028">
            <wp:extent cx="5972810" cy="2872740"/>
            <wp:effectExtent l="0" t="0" r="8890" b="3810"/>
            <wp:docPr id="257371076" name="Imagen 1" descr="Interfaz de usuario gráfica, Aplicación, Team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371076" name="Imagen 1" descr="Interfaz de usuario gráfica, Aplicación, Teams&#10;&#10;Descripción generada automáticamente"/>
                    <pic:cNvPicPr/>
                  </pic:nvPicPr>
                  <pic:blipFill>
                    <a:blip r:embed="rId15"/>
                    <a:stretch>
                      <a:fillRect/>
                    </a:stretch>
                  </pic:blipFill>
                  <pic:spPr>
                    <a:xfrm>
                      <a:off x="0" y="0"/>
                      <a:ext cx="5972810" cy="2872740"/>
                    </a:xfrm>
                    <a:prstGeom prst="rect">
                      <a:avLst/>
                    </a:prstGeom>
                  </pic:spPr>
                </pic:pic>
              </a:graphicData>
            </a:graphic>
          </wp:inline>
        </w:drawing>
      </w:r>
    </w:p>
    <w:p w14:paraId="56CEAD59" w14:textId="77777777" w:rsidR="00646F92" w:rsidRDefault="00646F92" w:rsidP="00E63215">
      <w:pPr>
        <w:rPr>
          <w:rFonts w:cs="Arial"/>
          <w:sz w:val="22"/>
          <w:szCs w:val="22"/>
        </w:rPr>
      </w:pPr>
    </w:p>
    <w:p w14:paraId="04078086" w14:textId="62ED3C3A" w:rsidR="00646F92" w:rsidRDefault="00646F92" w:rsidP="00E63215">
      <w:pPr>
        <w:rPr>
          <w:rFonts w:cs="Arial"/>
          <w:sz w:val="22"/>
          <w:szCs w:val="22"/>
        </w:rPr>
      </w:pPr>
      <w:r>
        <w:rPr>
          <w:rFonts w:cs="Arial"/>
          <w:sz w:val="22"/>
          <w:szCs w:val="22"/>
        </w:rPr>
        <w:t>La SSDP pone a disposición de la ciudadanía la consulta a través de internet de</w:t>
      </w:r>
      <w:r w:rsidR="00364B24">
        <w:rPr>
          <w:rFonts w:cs="Arial"/>
          <w:sz w:val="22"/>
          <w:szCs w:val="22"/>
        </w:rPr>
        <w:t xml:space="preserve"> </w:t>
      </w:r>
      <w:r w:rsidR="00AC6DD9">
        <w:rPr>
          <w:rFonts w:cs="Arial"/>
          <w:sz w:val="22"/>
          <w:szCs w:val="22"/>
        </w:rPr>
        <w:t>las siguientes cuatro clases</w:t>
      </w:r>
      <w:r w:rsidR="00364B24">
        <w:rPr>
          <w:rFonts w:cs="Arial"/>
          <w:sz w:val="22"/>
          <w:szCs w:val="22"/>
        </w:rPr>
        <w:t xml:space="preserve"> de reportes</w:t>
      </w:r>
      <w:r w:rsidR="00AC6DD9">
        <w:rPr>
          <w:rFonts w:cs="Arial"/>
          <w:sz w:val="22"/>
          <w:szCs w:val="22"/>
        </w:rPr>
        <w:t>, de las empresas prestadoras de servicios públicos</w:t>
      </w:r>
      <w:r w:rsidR="00364B24">
        <w:rPr>
          <w:rFonts w:cs="Arial"/>
          <w:sz w:val="22"/>
          <w:szCs w:val="22"/>
        </w:rPr>
        <w:t xml:space="preserve">: comerciales, </w:t>
      </w:r>
      <w:r w:rsidR="00AC6DD9">
        <w:rPr>
          <w:rFonts w:cs="Arial"/>
          <w:sz w:val="22"/>
          <w:szCs w:val="22"/>
        </w:rPr>
        <w:t>administrativos, financieros y técnicos operativos</w:t>
      </w:r>
      <w:r>
        <w:rPr>
          <w:rFonts w:cs="Arial"/>
          <w:sz w:val="22"/>
          <w:szCs w:val="22"/>
        </w:rPr>
        <w:t>,</w:t>
      </w:r>
      <w:r w:rsidR="00AC6DD9">
        <w:rPr>
          <w:rFonts w:cs="Arial"/>
          <w:sz w:val="22"/>
          <w:szCs w:val="22"/>
        </w:rPr>
        <w:t xml:space="preserve"> se puede acceder a ellos</w:t>
      </w:r>
      <w:r>
        <w:rPr>
          <w:rFonts w:cs="Arial"/>
          <w:sz w:val="22"/>
          <w:szCs w:val="22"/>
        </w:rPr>
        <w:t xml:space="preserve"> a través del siguiente vínculo web:</w:t>
      </w:r>
    </w:p>
    <w:p w14:paraId="650DEB2F" w14:textId="186C26EF" w:rsidR="00625609" w:rsidRDefault="000D5E7E" w:rsidP="00E63215">
      <w:pPr>
        <w:rPr>
          <w:rFonts w:cs="Arial"/>
          <w:sz w:val="22"/>
          <w:szCs w:val="22"/>
        </w:rPr>
      </w:pPr>
      <w:hyperlink r:id="rId16" w:history="1">
        <w:r w:rsidR="00682A23" w:rsidRPr="006E6A4D">
          <w:rPr>
            <w:rStyle w:val="Hipervnculo"/>
            <w:rFonts w:cs="Arial"/>
            <w:sz w:val="22"/>
            <w:szCs w:val="22"/>
            <w:lang w:val="es-CO"/>
          </w:rPr>
          <w:t>http://sui.superservicios.gov.co/Reportes-del-Sector</w:t>
        </w:r>
      </w:hyperlink>
    </w:p>
    <w:p w14:paraId="5E42D967" w14:textId="77777777" w:rsidR="00625609" w:rsidRDefault="00625609" w:rsidP="00E63215">
      <w:pPr>
        <w:rPr>
          <w:rFonts w:cs="Arial"/>
          <w:sz w:val="22"/>
          <w:szCs w:val="22"/>
        </w:rPr>
      </w:pPr>
    </w:p>
    <w:p w14:paraId="60A77E2D" w14:textId="50D5BED7" w:rsidR="00E63215" w:rsidRPr="00F24EE4" w:rsidRDefault="006F078C" w:rsidP="00E63215">
      <w:pPr>
        <w:rPr>
          <w:rFonts w:cs="Arial"/>
          <w:sz w:val="22"/>
          <w:szCs w:val="22"/>
        </w:rPr>
      </w:pPr>
      <w:r w:rsidRPr="00F24EE4">
        <w:rPr>
          <w:rFonts w:cs="Arial"/>
          <w:sz w:val="22"/>
          <w:szCs w:val="22"/>
        </w:rPr>
        <w:t xml:space="preserve">La ciudadanía puede acceder libremente a consultar la información </w:t>
      </w:r>
      <w:r w:rsidR="0076717D">
        <w:rPr>
          <w:rFonts w:cs="Arial"/>
          <w:sz w:val="22"/>
          <w:szCs w:val="22"/>
        </w:rPr>
        <w:t xml:space="preserve">en el SUI </w:t>
      </w:r>
      <w:r w:rsidRPr="00F24EE4">
        <w:rPr>
          <w:rFonts w:cs="Arial"/>
          <w:sz w:val="22"/>
          <w:szCs w:val="22"/>
        </w:rPr>
        <w:t xml:space="preserve">de los prestadores de servicios </w:t>
      </w:r>
      <w:r w:rsidR="00625609">
        <w:rPr>
          <w:rFonts w:cs="Arial"/>
          <w:sz w:val="22"/>
          <w:szCs w:val="22"/>
        </w:rPr>
        <w:t xml:space="preserve">regulados por la CREG </w:t>
      </w:r>
      <w:r w:rsidRPr="00F24EE4">
        <w:rPr>
          <w:rFonts w:cs="Arial"/>
          <w:sz w:val="22"/>
          <w:szCs w:val="22"/>
        </w:rPr>
        <w:t>a través de los siguientes vínculos web:</w:t>
      </w:r>
    </w:p>
    <w:p w14:paraId="4C5D5C28" w14:textId="77777777" w:rsidR="006F078C" w:rsidRPr="00F24EE4" w:rsidRDefault="006F078C" w:rsidP="006F078C">
      <w:pPr>
        <w:rPr>
          <w:rFonts w:ascii="Calibri" w:hAnsi="Calibri"/>
          <w:spacing w:val="0"/>
          <w:sz w:val="22"/>
          <w:szCs w:val="22"/>
          <w:lang w:val="es-MX" w:eastAsia="es-MX"/>
        </w:rPr>
      </w:pPr>
    </w:p>
    <w:p w14:paraId="1B9E95F9" w14:textId="123084DA" w:rsidR="00C5736C" w:rsidRPr="00047F14" w:rsidRDefault="00BB066C" w:rsidP="00047F14">
      <w:pPr>
        <w:pStyle w:val="Subttulo"/>
        <w:numPr>
          <w:ilvl w:val="2"/>
          <w:numId w:val="37"/>
        </w:numPr>
        <w:spacing w:after="0"/>
        <w:jc w:val="left"/>
        <w:rPr>
          <w:b/>
          <w:bCs/>
          <w:sz w:val="22"/>
          <w:szCs w:val="22"/>
        </w:rPr>
      </w:pPr>
      <w:bookmarkStart w:id="47" w:name="_Toc147154307"/>
      <w:r w:rsidRPr="00047F14">
        <w:rPr>
          <w:b/>
          <w:bCs/>
          <w:sz w:val="22"/>
          <w:szCs w:val="22"/>
        </w:rPr>
        <w:t xml:space="preserve">Servicio </w:t>
      </w:r>
      <w:r>
        <w:rPr>
          <w:b/>
          <w:bCs/>
          <w:sz w:val="22"/>
          <w:szCs w:val="22"/>
        </w:rPr>
        <w:t>d</w:t>
      </w:r>
      <w:r w:rsidRPr="00047F14">
        <w:rPr>
          <w:b/>
          <w:bCs/>
          <w:sz w:val="22"/>
          <w:szCs w:val="22"/>
        </w:rPr>
        <w:t xml:space="preserve">e </w:t>
      </w:r>
      <w:r>
        <w:rPr>
          <w:b/>
          <w:bCs/>
          <w:sz w:val="22"/>
          <w:szCs w:val="22"/>
        </w:rPr>
        <w:t>e</w:t>
      </w:r>
      <w:r w:rsidRPr="00047F14">
        <w:rPr>
          <w:b/>
          <w:bCs/>
          <w:sz w:val="22"/>
          <w:szCs w:val="22"/>
        </w:rPr>
        <w:t>nergía</w:t>
      </w:r>
      <w:r>
        <w:rPr>
          <w:b/>
          <w:bCs/>
          <w:sz w:val="22"/>
          <w:szCs w:val="22"/>
        </w:rPr>
        <w:t>.</w:t>
      </w:r>
      <w:bookmarkEnd w:id="47"/>
    </w:p>
    <w:p w14:paraId="57F86EFE" w14:textId="77777777" w:rsidR="00C5736C" w:rsidRPr="00531062" w:rsidRDefault="00C5736C" w:rsidP="006F078C">
      <w:pPr>
        <w:rPr>
          <w:sz w:val="22"/>
          <w:szCs w:val="22"/>
          <w:lang w:val="es-MX" w:eastAsia="es-MX"/>
        </w:rPr>
      </w:pPr>
    </w:p>
    <w:p w14:paraId="34A5559B" w14:textId="6B987E51" w:rsidR="006F078C" w:rsidRPr="00F24EE4" w:rsidRDefault="00531062" w:rsidP="006F078C">
      <w:pPr>
        <w:rPr>
          <w:sz w:val="22"/>
          <w:szCs w:val="22"/>
          <w:lang w:val="es-MX" w:eastAsia="es-MX"/>
        </w:rPr>
      </w:pPr>
      <w:r w:rsidRPr="00531062">
        <w:rPr>
          <w:sz w:val="22"/>
          <w:szCs w:val="22"/>
          <w:lang w:val="es-MX" w:eastAsia="es-MX"/>
        </w:rPr>
        <w:t>Indicadores sobre el servicio, reportes comerciales, financieros, administrativos y técnico operativos, acceso a la bodega de datos y cadena de prestación del servicio de energía</w:t>
      </w:r>
      <w:r w:rsidR="00240EB0">
        <w:rPr>
          <w:sz w:val="22"/>
          <w:szCs w:val="22"/>
          <w:lang w:val="es-MX" w:eastAsia="es-MX"/>
        </w:rPr>
        <w:t>, disponibles en el siguiente vínculo web:</w:t>
      </w:r>
      <w:r w:rsidR="00CC2EF7">
        <w:rPr>
          <w:sz w:val="22"/>
          <w:szCs w:val="22"/>
          <w:lang w:val="es-MX" w:eastAsia="es-MX"/>
        </w:rPr>
        <w:t xml:space="preserve">  </w:t>
      </w:r>
      <w:hyperlink r:id="rId17" w:history="1">
        <w:r w:rsidR="00C5736C" w:rsidRPr="006E6A4D">
          <w:rPr>
            <w:rStyle w:val="Hipervnculo"/>
            <w:sz w:val="22"/>
            <w:szCs w:val="22"/>
            <w:lang w:val="es-MX" w:eastAsia="es-MX"/>
          </w:rPr>
          <w:t>https://sui.superservicios.gov.co/Reportes-del-Sector/Energia</w:t>
        </w:r>
      </w:hyperlink>
    </w:p>
    <w:p w14:paraId="76F1CE44" w14:textId="77777777" w:rsidR="00C5736C" w:rsidRDefault="00C5736C" w:rsidP="006F078C">
      <w:pPr>
        <w:rPr>
          <w:sz w:val="22"/>
          <w:szCs w:val="22"/>
          <w:lang w:val="es-MX" w:eastAsia="es-MX"/>
        </w:rPr>
      </w:pPr>
    </w:p>
    <w:p w14:paraId="7B7A274C" w14:textId="60561035" w:rsidR="00EC452F" w:rsidRPr="00EC452F" w:rsidRDefault="00EC452F" w:rsidP="00EC452F">
      <w:pPr>
        <w:rPr>
          <w:sz w:val="22"/>
          <w:szCs w:val="22"/>
          <w:lang w:val="es-MX" w:eastAsia="es-MX"/>
        </w:rPr>
      </w:pPr>
      <w:r w:rsidRPr="00047F14">
        <w:rPr>
          <w:b/>
          <w:bCs/>
          <w:sz w:val="22"/>
          <w:szCs w:val="22"/>
          <w:lang w:val="es-MX" w:eastAsia="es-MX"/>
        </w:rPr>
        <w:t>Información financiera bajo NIF de los prestadores del servicio de energía.</w:t>
      </w:r>
      <w:r>
        <w:rPr>
          <w:sz w:val="22"/>
          <w:szCs w:val="22"/>
          <w:lang w:val="es-MX" w:eastAsia="es-MX"/>
        </w:rPr>
        <w:t xml:space="preserve"> </w:t>
      </w:r>
      <w:r w:rsidRPr="00EC452F">
        <w:rPr>
          <w:sz w:val="22"/>
          <w:szCs w:val="22"/>
          <w:lang w:val="es-MX" w:eastAsia="es-MX"/>
        </w:rPr>
        <w:t>Este reporte dispone la información financiera anual capturada a través de XBRL y la cual es reportada por los prestadores de servicios públicos, tras la transición de PUC a NIF</w:t>
      </w:r>
      <w:r w:rsidR="00240EB0">
        <w:rPr>
          <w:sz w:val="22"/>
          <w:szCs w:val="22"/>
          <w:lang w:val="es-MX" w:eastAsia="es-MX"/>
        </w:rPr>
        <w:t>, se puede consultar en el siguiente vínculo web:</w:t>
      </w:r>
    </w:p>
    <w:p w14:paraId="704AFDC1" w14:textId="77777777" w:rsidR="00531062" w:rsidRDefault="00531062" w:rsidP="006F078C">
      <w:pPr>
        <w:rPr>
          <w:sz w:val="22"/>
          <w:szCs w:val="22"/>
          <w:lang w:val="es-MX" w:eastAsia="es-MX"/>
        </w:rPr>
      </w:pPr>
    </w:p>
    <w:p w14:paraId="45D1E470" w14:textId="77010DD8" w:rsidR="006F078C" w:rsidRPr="00F24EE4" w:rsidRDefault="000D5E7E" w:rsidP="006F078C">
      <w:pPr>
        <w:rPr>
          <w:sz w:val="22"/>
          <w:szCs w:val="22"/>
          <w:lang w:val="es-MX" w:eastAsia="es-MX"/>
        </w:rPr>
      </w:pPr>
      <w:hyperlink r:id="rId18" w:history="1">
        <w:r w:rsidR="00C5736C" w:rsidRPr="006E6A4D">
          <w:rPr>
            <w:rStyle w:val="Hipervnculo"/>
            <w:sz w:val="22"/>
            <w:szCs w:val="22"/>
            <w:lang w:val="es-MX" w:eastAsia="es-MX"/>
          </w:rPr>
          <w:t>https://sui.superservicios.gov.co/Reportes-del-sector/Energia/Reportes-financieros/Informacion-financiera-bajo-NIF-de-los-prestadores-del-servicio-de-energia</w:t>
        </w:r>
      </w:hyperlink>
    </w:p>
    <w:p w14:paraId="20358152" w14:textId="77777777" w:rsidR="006F078C" w:rsidRPr="00F24EE4" w:rsidRDefault="006F078C" w:rsidP="006F078C">
      <w:pPr>
        <w:rPr>
          <w:sz w:val="22"/>
          <w:szCs w:val="22"/>
          <w:lang w:val="es-MX" w:eastAsia="es-MX"/>
        </w:rPr>
      </w:pPr>
    </w:p>
    <w:p w14:paraId="7D5921D2" w14:textId="4F93DA74" w:rsidR="00C5736C" w:rsidRPr="00047F14" w:rsidRDefault="00BB066C" w:rsidP="00047F14">
      <w:pPr>
        <w:pStyle w:val="Subttulo"/>
        <w:numPr>
          <w:ilvl w:val="2"/>
          <w:numId w:val="37"/>
        </w:numPr>
        <w:spacing w:after="0"/>
        <w:jc w:val="left"/>
        <w:rPr>
          <w:b/>
          <w:bCs/>
          <w:sz w:val="22"/>
          <w:szCs w:val="22"/>
        </w:rPr>
      </w:pPr>
      <w:bookmarkStart w:id="48" w:name="_Toc147154308"/>
      <w:r>
        <w:rPr>
          <w:b/>
          <w:bCs/>
          <w:sz w:val="22"/>
          <w:szCs w:val="22"/>
        </w:rPr>
        <w:t>S</w:t>
      </w:r>
      <w:r w:rsidRPr="00047F14">
        <w:rPr>
          <w:b/>
          <w:bCs/>
          <w:sz w:val="22"/>
          <w:szCs w:val="22"/>
        </w:rPr>
        <w:t>ervicio de gas</w:t>
      </w:r>
      <w:r>
        <w:rPr>
          <w:b/>
          <w:bCs/>
          <w:sz w:val="22"/>
          <w:szCs w:val="22"/>
        </w:rPr>
        <w:t xml:space="preserve"> natural.</w:t>
      </w:r>
      <w:bookmarkEnd w:id="48"/>
    </w:p>
    <w:p w14:paraId="69A908F4" w14:textId="77777777" w:rsidR="00C5736C" w:rsidRDefault="00C5736C" w:rsidP="006F078C">
      <w:pPr>
        <w:rPr>
          <w:b/>
          <w:bCs/>
          <w:sz w:val="22"/>
          <w:szCs w:val="22"/>
          <w:lang w:val="es-MX" w:eastAsia="es-MX"/>
        </w:rPr>
      </w:pPr>
    </w:p>
    <w:p w14:paraId="3FAED818" w14:textId="1432459F" w:rsidR="006F078C" w:rsidRPr="00F24EE4" w:rsidRDefault="009D5270" w:rsidP="006F078C">
      <w:pPr>
        <w:rPr>
          <w:b/>
          <w:bCs/>
          <w:sz w:val="22"/>
          <w:szCs w:val="22"/>
          <w:lang w:val="es-MX" w:eastAsia="es-MX"/>
        </w:rPr>
      </w:pPr>
      <w:r w:rsidRPr="009D5270">
        <w:rPr>
          <w:sz w:val="22"/>
          <w:szCs w:val="22"/>
          <w:lang w:val="es-MX" w:eastAsia="es-MX"/>
        </w:rPr>
        <w:lastRenderedPageBreak/>
        <w:t>Indicadores sobre el servicio, reportes comerciales, financieros, administrativos y técnico operativos, acceso a la bodega de datos y cadena de prestación del servicio de gas natural</w:t>
      </w:r>
      <w:r>
        <w:rPr>
          <w:sz w:val="22"/>
          <w:szCs w:val="22"/>
          <w:lang w:val="es-MX" w:eastAsia="es-MX"/>
        </w:rPr>
        <w:t>, disponibles en el siguiente vínculo web:</w:t>
      </w:r>
      <w:r w:rsidR="00CC2EF7">
        <w:rPr>
          <w:sz w:val="22"/>
          <w:szCs w:val="22"/>
          <w:lang w:val="es-MX" w:eastAsia="es-MX"/>
        </w:rPr>
        <w:t xml:space="preserve">  </w:t>
      </w:r>
      <w:hyperlink r:id="rId19" w:history="1">
        <w:r w:rsidR="00C5736C" w:rsidRPr="006E6A4D">
          <w:rPr>
            <w:rStyle w:val="Hipervnculo"/>
            <w:sz w:val="22"/>
            <w:szCs w:val="22"/>
            <w:lang w:val="es-MX" w:eastAsia="es-MX"/>
          </w:rPr>
          <w:t>https://sui.superservicios.gov.co/Reportes-del-Sector/Gas-Natural</w:t>
        </w:r>
      </w:hyperlink>
    </w:p>
    <w:p w14:paraId="4A6BC9A5" w14:textId="77777777" w:rsidR="00C5736C" w:rsidRDefault="00C5736C" w:rsidP="006F078C">
      <w:pPr>
        <w:rPr>
          <w:sz w:val="22"/>
          <w:szCs w:val="22"/>
        </w:rPr>
      </w:pPr>
    </w:p>
    <w:p w14:paraId="7A228A88" w14:textId="2F7348D8" w:rsidR="00DB6733" w:rsidRPr="00EC452F" w:rsidRDefault="00DB6733" w:rsidP="00DB6733">
      <w:pPr>
        <w:rPr>
          <w:sz w:val="22"/>
          <w:szCs w:val="22"/>
          <w:lang w:val="es-MX" w:eastAsia="es-MX"/>
        </w:rPr>
      </w:pPr>
      <w:r w:rsidRPr="00047F14">
        <w:rPr>
          <w:b/>
          <w:bCs/>
          <w:sz w:val="22"/>
          <w:szCs w:val="22"/>
          <w:lang w:val="es-MX" w:eastAsia="es-MX"/>
        </w:rPr>
        <w:t xml:space="preserve">Información financiera bajo NIF de los prestadores del servicio de </w:t>
      </w:r>
      <w:r>
        <w:rPr>
          <w:b/>
          <w:bCs/>
          <w:sz w:val="22"/>
          <w:szCs w:val="22"/>
          <w:lang w:val="es-MX" w:eastAsia="es-MX"/>
        </w:rPr>
        <w:t>gas</w:t>
      </w:r>
      <w:r w:rsidRPr="00047F14">
        <w:rPr>
          <w:b/>
          <w:bCs/>
          <w:sz w:val="22"/>
          <w:szCs w:val="22"/>
          <w:lang w:val="es-MX" w:eastAsia="es-MX"/>
        </w:rPr>
        <w:t>.</w:t>
      </w:r>
      <w:r>
        <w:rPr>
          <w:sz w:val="22"/>
          <w:szCs w:val="22"/>
          <w:lang w:val="es-MX" w:eastAsia="es-MX"/>
        </w:rPr>
        <w:t xml:space="preserve"> </w:t>
      </w:r>
      <w:r w:rsidRPr="00EC452F">
        <w:rPr>
          <w:sz w:val="22"/>
          <w:szCs w:val="22"/>
          <w:lang w:val="es-MX" w:eastAsia="es-MX"/>
        </w:rPr>
        <w:t>Este reporte dispone la información financiera anual capturada a través de XBRL y la cual es reportada por los prestadores de servicios públicos, tras la transición de PUC a NIF</w:t>
      </w:r>
      <w:r>
        <w:rPr>
          <w:sz w:val="22"/>
          <w:szCs w:val="22"/>
          <w:lang w:val="es-MX" w:eastAsia="es-MX"/>
        </w:rPr>
        <w:t>, se puede consultar en el siguiente vínculo web:</w:t>
      </w:r>
    </w:p>
    <w:p w14:paraId="4A38A580" w14:textId="77777777" w:rsidR="00BF6F52" w:rsidRDefault="00BF6F52" w:rsidP="006F078C">
      <w:pPr>
        <w:rPr>
          <w:sz w:val="22"/>
          <w:szCs w:val="22"/>
        </w:rPr>
      </w:pPr>
    </w:p>
    <w:p w14:paraId="31A4D820" w14:textId="3E54A007" w:rsidR="006F078C" w:rsidRPr="00F24EE4" w:rsidRDefault="000D5E7E" w:rsidP="006F078C">
      <w:pPr>
        <w:rPr>
          <w:sz w:val="22"/>
          <w:szCs w:val="22"/>
        </w:rPr>
      </w:pPr>
      <w:hyperlink r:id="rId20" w:history="1">
        <w:r w:rsidR="00C5736C" w:rsidRPr="006E6A4D">
          <w:rPr>
            <w:rStyle w:val="Hipervnculo"/>
            <w:sz w:val="22"/>
            <w:szCs w:val="22"/>
          </w:rPr>
          <w:t>https://sui.superservicios.gov.co/Reportes-del-sector/Gas-natural/Reportes-financieros/Informacion-financiera-bajo-NIF-de-los-prestadores-del-servicio-de-Gas</w:t>
        </w:r>
      </w:hyperlink>
    </w:p>
    <w:p w14:paraId="1C042170" w14:textId="77777777" w:rsidR="006F078C" w:rsidRPr="00F24EE4" w:rsidRDefault="006F078C" w:rsidP="006F078C">
      <w:pPr>
        <w:rPr>
          <w:sz w:val="22"/>
          <w:szCs w:val="22"/>
          <w:lang w:val="es-MX"/>
        </w:rPr>
      </w:pPr>
    </w:p>
    <w:p w14:paraId="3F7A11E9" w14:textId="76306E5A" w:rsidR="00C5736C" w:rsidRPr="00BF6F52" w:rsidRDefault="00BB066C" w:rsidP="00BF6F52">
      <w:pPr>
        <w:pStyle w:val="Subttulo"/>
        <w:numPr>
          <w:ilvl w:val="2"/>
          <w:numId w:val="37"/>
        </w:numPr>
        <w:spacing w:after="0"/>
        <w:jc w:val="left"/>
        <w:rPr>
          <w:b/>
          <w:bCs/>
          <w:sz w:val="22"/>
          <w:szCs w:val="22"/>
        </w:rPr>
      </w:pPr>
      <w:bookmarkStart w:id="49" w:name="_Toc147154309"/>
      <w:r>
        <w:rPr>
          <w:b/>
          <w:bCs/>
          <w:sz w:val="22"/>
          <w:szCs w:val="22"/>
        </w:rPr>
        <w:t>S</w:t>
      </w:r>
      <w:r w:rsidRPr="00BF6F52">
        <w:rPr>
          <w:b/>
          <w:bCs/>
          <w:sz w:val="22"/>
          <w:szCs w:val="22"/>
        </w:rPr>
        <w:t xml:space="preserve">ervicio de </w:t>
      </w:r>
      <w:r>
        <w:rPr>
          <w:b/>
          <w:bCs/>
          <w:sz w:val="22"/>
          <w:szCs w:val="22"/>
        </w:rPr>
        <w:t>GLP.</w:t>
      </w:r>
      <w:bookmarkEnd w:id="49"/>
    </w:p>
    <w:p w14:paraId="344F923E" w14:textId="77777777" w:rsidR="00C5736C" w:rsidRDefault="00C5736C" w:rsidP="006F078C">
      <w:pPr>
        <w:rPr>
          <w:b/>
          <w:bCs/>
          <w:sz w:val="22"/>
          <w:szCs w:val="22"/>
          <w:lang w:val="es-MX" w:eastAsia="es-MX"/>
        </w:rPr>
      </w:pPr>
    </w:p>
    <w:p w14:paraId="6583890C" w14:textId="177EF534" w:rsidR="006F078C" w:rsidRPr="00F24EE4" w:rsidRDefault="00BF6F52" w:rsidP="006F078C">
      <w:pPr>
        <w:rPr>
          <w:sz w:val="22"/>
          <w:szCs w:val="22"/>
          <w:lang w:val="es-MX" w:eastAsia="es-MX"/>
        </w:rPr>
      </w:pPr>
      <w:r w:rsidRPr="00BF6F52">
        <w:rPr>
          <w:sz w:val="22"/>
          <w:szCs w:val="22"/>
          <w:lang w:val="es-MX" w:eastAsia="es-MX"/>
        </w:rPr>
        <w:t>Indicadores sobre el servicio, reportes comerciales, financieros, administrativos y técnico operativos, acceso a la bodega de datos y cadena de prestación del servicio de gas licuado de petróleo</w:t>
      </w:r>
      <w:r>
        <w:rPr>
          <w:sz w:val="22"/>
          <w:szCs w:val="22"/>
          <w:lang w:val="es-MX" w:eastAsia="es-MX"/>
        </w:rPr>
        <w:t>, disponibles en el siguiente vínculo web:</w:t>
      </w:r>
      <w:r w:rsidR="00CC2EF7">
        <w:rPr>
          <w:sz w:val="22"/>
          <w:szCs w:val="22"/>
          <w:lang w:val="es-MX" w:eastAsia="es-MX"/>
        </w:rPr>
        <w:t xml:space="preserve">  </w:t>
      </w:r>
      <w:hyperlink r:id="rId21" w:history="1">
        <w:r w:rsidR="00C5736C" w:rsidRPr="006E6A4D">
          <w:rPr>
            <w:rStyle w:val="Hipervnculo"/>
            <w:sz w:val="22"/>
            <w:szCs w:val="22"/>
            <w:lang w:val="es-MX" w:eastAsia="es-MX"/>
          </w:rPr>
          <w:t>https://sui.superservicios.gov.co/Reportes-del-Sector/GLP</w:t>
        </w:r>
      </w:hyperlink>
    </w:p>
    <w:p w14:paraId="3AD5451A" w14:textId="77777777" w:rsidR="00C5736C" w:rsidRDefault="00C5736C" w:rsidP="006F078C">
      <w:pPr>
        <w:rPr>
          <w:sz w:val="22"/>
          <w:szCs w:val="22"/>
          <w:lang w:val="es-MX" w:eastAsia="es-MX"/>
        </w:rPr>
      </w:pPr>
    </w:p>
    <w:p w14:paraId="79293599" w14:textId="077D8784" w:rsidR="000446AB" w:rsidRPr="00EC452F" w:rsidRDefault="000446AB" w:rsidP="000446AB">
      <w:pPr>
        <w:rPr>
          <w:sz w:val="22"/>
          <w:szCs w:val="22"/>
          <w:lang w:val="es-MX" w:eastAsia="es-MX"/>
        </w:rPr>
      </w:pPr>
      <w:r w:rsidRPr="00047F14">
        <w:rPr>
          <w:b/>
          <w:bCs/>
          <w:sz w:val="22"/>
          <w:szCs w:val="22"/>
          <w:lang w:val="es-MX" w:eastAsia="es-MX"/>
        </w:rPr>
        <w:t xml:space="preserve">Información financiera bajo NIF de los prestadores del servicio de </w:t>
      </w:r>
      <w:r>
        <w:rPr>
          <w:b/>
          <w:bCs/>
          <w:sz w:val="22"/>
          <w:szCs w:val="22"/>
          <w:lang w:val="es-MX" w:eastAsia="es-MX"/>
        </w:rPr>
        <w:t>GLP</w:t>
      </w:r>
      <w:r w:rsidRPr="00047F14">
        <w:rPr>
          <w:b/>
          <w:bCs/>
          <w:sz w:val="22"/>
          <w:szCs w:val="22"/>
          <w:lang w:val="es-MX" w:eastAsia="es-MX"/>
        </w:rPr>
        <w:t>.</w:t>
      </w:r>
      <w:r>
        <w:rPr>
          <w:sz w:val="22"/>
          <w:szCs w:val="22"/>
          <w:lang w:val="es-MX" w:eastAsia="es-MX"/>
        </w:rPr>
        <w:t xml:space="preserve"> </w:t>
      </w:r>
      <w:r w:rsidRPr="00EC452F">
        <w:rPr>
          <w:sz w:val="22"/>
          <w:szCs w:val="22"/>
          <w:lang w:val="es-MX" w:eastAsia="es-MX"/>
        </w:rPr>
        <w:t>Este reporte dispone la información financiera anual capturada a través de XBRL y la cual es reportada por los prestadores de servicios públicos, tras la transición de PUC a NIF</w:t>
      </w:r>
      <w:r>
        <w:rPr>
          <w:sz w:val="22"/>
          <w:szCs w:val="22"/>
          <w:lang w:val="es-MX" w:eastAsia="es-MX"/>
        </w:rPr>
        <w:t>, se puede consultar en el siguiente vínculo web:</w:t>
      </w:r>
    </w:p>
    <w:p w14:paraId="221683A1" w14:textId="77777777" w:rsidR="00BF6F52" w:rsidRDefault="00BF6F52" w:rsidP="006F078C">
      <w:pPr>
        <w:rPr>
          <w:sz w:val="22"/>
          <w:szCs w:val="22"/>
          <w:lang w:val="es-MX" w:eastAsia="es-MX"/>
        </w:rPr>
      </w:pPr>
    </w:p>
    <w:p w14:paraId="022D7684" w14:textId="1744F79F" w:rsidR="006F078C" w:rsidRPr="00F24EE4" w:rsidRDefault="000D5E7E" w:rsidP="006F078C">
      <w:pPr>
        <w:rPr>
          <w:sz w:val="22"/>
          <w:szCs w:val="22"/>
          <w:lang w:val="es-MX" w:eastAsia="es-MX"/>
        </w:rPr>
      </w:pPr>
      <w:hyperlink r:id="rId22" w:history="1">
        <w:r w:rsidR="00C5736C" w:rsidRPr="006E6A4D">
          <w:rPr>
            <w:rStyle w:val="Hipervnculo"/>
            <w:sz w:val="22"/>
            <w:szCs w:val="22"/>
            <w:lang w:val="es-MX" w:eastAsia="es-MX"/>
          </w:rPr>
          <w:t>https://sui.superservicios.gov.co/Reportes-del-sector/GLP/Reportes-financieros/Informacion-financiera-bajo-NIF-de-los-prestadores-del-servicios-de-GLP</w:t>
        </w:r>
      </w:hyperlink>
    </w:p>
    <w:p w14:paraId="1D212D22" w14:textId="1350176F" w:rsidR="00EE18FB" w:rsidRDefault="00646F92" w:rsidP="00646F92">
      <w:pPr>
        <w:tabs>
          <w:tab w:val="left" w:pos="5217"/>
        </w:tabs>
        <w:rPr>
          <w:b/>
          <w:bCs/>
          <w:sz w:val="22"/>
          <w:szCs w:val="22"/>
          <w:lang w:val="es-MX" w:eastAsia="es-MX"/>
        </w:rPr>
      </w:pPr>
      <w:r>
        <w:rPr>
          <w:b/>
          <w:bCs/>
          <w:sz w:val="22"/>
          <w:szCs w:val="22"/>
          <w:lang w:val="es-MX" w:eastAsia="es-MX"/>
        </w:rPr>
        <w:tab/>
      </w:r>
    </w:p>
    <w:p w14:paraId="3180C4BA" w14:textId="1135818E" w:rsidR="005A580A" w:rsidRPr="00211CBF" w:rsidRDefault="005A580A" w:rsidP="00D22441">
      <w:pPr>
        <w:pStyle w:val="Ttulo10"/>
        <w:numPr>
          <w:ilvl w:val="0"/>
          <w:numId w:val="37"/>
        </w:numPr>
        <w:spacing w:before="0" w:after="0"/>
        <w:rPr>
          <w:sz w:val="22"/>
          <w:szCs w:val="22"/>
        </w:rPr>
      </w:pPr>
      <w:bookmarkStart w:id="50" w:name="_Toc147154310"/>
      <w:r>
        <w:rPr>
          <w:sz w:val="22"/>
          <w:szCs w:val="22"/>
        </w:rPr>
        <w:t>ANTECEDENTES</w:t>
      </w:r>
      <w:r w:rsidR="00C447D2">
        <w:rPr>
          <w:sz w:val="22"/>
          <w:szCs w:val="22"/>
        </w:rPr>
        <w:t>.</w:t>
      </w:r>
      <w:bookmarkEnd w:id="50"/>
    </w:p>
    <w:p w14:paraId="3407EF82" w14:textId="77777777" w:rsidR="005A580A" w:rsidRDefault="005A580A" w:rsidP="00D22441">
      <w:pPr>
        <w:pStyle w:val="Subttulo"/>
        <w:spacing w:after="0"/>
        <w:ind w:left="357"/>
        <w:jc w:val="left"/>
        <w:rPr>
          <w:b/>
          <w:bCs/>
          <w:sz w:val="22"/>
          <w:szCs w:val="22"/>
        </w:rPr>
      </w:pPr>
      <w:bookmarkStart w:id="51" w:name="_Toc54170177"/>
    </w:p>
    <w:bookmarkEnd w:id="51"/>
    <w:p w14:paraId="01B2AC55" w14:textId="07EF1F90" w:rsidR="005A580A" w:rsidRDefault="005A580A" w:rsidP="00D22441">
      <w:pPr>
        <w:autoSpaceDE w:val="0"/>
        <w:autoSpaceDN w:val="0"/>
        <w:adjustRightInd w:val="0"/>
        <w:rPr>
          <w:rFonts w:cs="Arial"/>
          <w:sz w:val="22"/>
          <w:szCs w:val="22"/>
        </w:rPr>
      </w:pPr>
      <w:r w:rsidRPr="000C7FCD">
        <w:rPr>
          <w:rFonts w:cs="Arial"/>
          <w:sz w:val="22"/>
          <w:szCs w:val="22"/>
        </w:rPr>
        <w:t xml:space="preserve">Por medio de resoluciones CREG se </w:t>
      </w:r>
      <w:r>
        <w:rPr>
          <w:rFonts w:cs="Arial"/>
          <w:sz w:val="22"/>
          <w:szCs w:val="22"/>
        </w:rPr>
        <w:t xml:space="preserve">ha </w:t>
      </w:r>
      <w:r w:rsidRPr="000C7FCD">
        <w:rPr>
          <w:rFonts w:cs="Arial"/>
          <w:sz w:val="22"/>
          <w:szCs w:val="22"/>
        </w:rPr>
        <w:t>señal</w:t>
      </w:r>
      <w:r>
        <w:rPr>
          <w:rFonts w:cs="Arial"/>
          <w:sz w:val="22"/>
          <w:szCs w:val="22"/>
        </w:rPr>
        <w:t xml:space="preserve">ado la tarifa y </w:t>
      </w:r>
      <w:r w:rsidRPr="000C7FCD">
        <w:rPr>
          <w:rFonts w:cs="Arial"/>
          <w:sz w:val="22"/>
          <w:szCs w:val="22"/>
        </w:rPr>
        <w:t xml:space="preserve">el </w:t>
      </w:r>
      <w:r>
        <w:rPr>
          <w:rFonts w:cs="Arial"/>
          <w:sz w:val="22"/>
          <w:szCs w:val="22"/>
        </w:rPr>
        <w:t>factor</w:t>
      </w:r>
      <w:r w:rsidRPr="000C7FCD">
        <w:rPr>
          <w:rFonts w:cs="Arial"/>
          <w:sz w:val="22"/>
          <w:szCs w:val="22"/>
        </w:rPr>
        <w:t xml:space="preserve"> </w:t>
      </w:r>
      <w:r>
        <w:rPr>
          <w:rFonts w:cs="Arial"/>
          <w:sz w:val="22"/>
          <w:szCs w:val="22"/>
        </w:rPr>
        <w:t xml:space="preserve">de gastos operativos de ser necesarios adicionar a la base gravable de la liquidación de la contribución especial a favor de la CREG y a cargo de </w:t>
      </w:r>
      <w:r w:rsidRPr="000C7FCD">
        <w:rPr>
          <w:rFonts w:cs="Arial"/>
          <w:sz w:val="22"/>
          <w:szCs w:val="22"/>
        </w:rPr>
        <w:t xml:space="preserve">las </w:t>
      </w:r>
      <w:r>
        <w:rPr>
          <w:rFonts w:cs="Arial"/>
          <w:sz w:val="22"/>
          <w:szCs w:val="22"/>
        </w:rPr>
        <w:t>ESP,</w:t>
      </w:r>
      <w:r w:rsidRPr="000C7FCD">
        <w:rPr>
          <w:rFonts w:cs="Arial"/>
          <w:sz w:val="22"/>
          <w:szCs w:val="22"/>
        </w:rPr>
        <w:t xml:space="preserve"> por concepto de contribuciones para los años respectivos</w:t>
      </w:r>
      <w:r>
        <w:rPr>
          <w:rFonts w:cs="Arial"/>
          <w:sz w:val="22"/>
          <w:szCs w:val="22"/>
        </w:rPr>
        <w:t xml:space="preserve">. </w:t>
      </w:r>
      <w:r w:rsidRPr="000C7FCD">
        <w:rPr>
          <w:rFonts w:cs="Arial"/>
          <w:sz w:val="22"/>
          <w:szCs w:val="22"/>
        </w:rPr>
        <w:t xml:space="preserve">En </w:t>
      </w:r>
      <w:r>
        <w:rPr>
          <w:rFonts w:cs="Arial"/>
          <w:sz w:val="22"/>
          <w:szCs w:val="22"/>
        </w:rPr>
        <w:t>la</w:t>
      </w:r>
      <w:r w:rsidRPr="000C7FCD">
        <w:rPr>
          <w:rFonts w:cs="Arial"/>
          <w:sz w:val="22"/>
          <w:szCs w:val="22"/>
        </w:rPr>
        <w:t xml:space="preserve"> siguiente </w:t>
      </w:r>
      <w:r>
        <w:rPr>
          <w:rFonts w:cs="Arial"/>
          <w:sz w:val="22"/>
          <w:szCs w:val="22"/>
        </w:rPr>
        <w:t>tabla</w:t>
      </w:r>
      <w:r w:rsidRPr="000C7FCD">
        <w:rPr>
          <w:rFonts w:cs="Arial"/>
          <w:sz w:val="22"/>
          <w:szCs w:val="22"/>
        </w:rPr>
        <w:t xml:space="preserve">, se presenta la información </w:t>
      </w:r>
      <w:r>
        <w:rPr>
          <w:rFonts w:cs="Arial"/>
          <w:sz w:val="22"/>
          <w:szCs w:val="22"/>
        </w:rPr>
        <w:t xml:space="preserve">histórica de los últimos doce años, </w:t>
      </w:r>
      <w:r w:rsidRPr="000C7FCD">
        <w:rPr>
          <w:rFonts w:cs="Arial"/>
          <w:sz w:val="22"/>
          <w:szCs w:val="22"/>
        </w:rPr>
        <w:t>d</w:t>
      </w:r>
      <w:r>
        <w:rPr>
          <w:rFonts w:cs="Arial"/>
          <w:sz w:val="22"/>
          <w:szCs w:val="22"/>
        </w:rPr>
        <w:t>e la tarifa, el aforo, el presupuesto por vigencia (</w:t>
      </w:r>
      <w:r w:rsidRPr="000C7FCD">
        <w:rPr>
          <w:rFonts w:cs="Arial"/>
          <w:sz w:val="22"/>
          <w:szCs w:val="22"/>
        </w:rPr>
        <w:t xml:space="preserve">valor </w:t>
      </w:r>
      <w:r>
        <w:rPr>
          <w:rFonts w:cs="Arial"/>
          <w:sz w:val="22"/>
          <w:szCs w:val="22"/>
        </w:rPr>
        <w:t xml:space="preserve">total </w:t>
      </w:r>
      <w:r w:rsidRPr="000C7FCD">
        <w:rPr>
          <w:rFonts w:cs="Arial"/>
          <w:sz w:val="22"/>
          <w:szCs w:val="22"/>
        </w:rPr>
        <w:t xml:space="preserve">de las contribuciones </w:t>
      </w:r>
      <w:r>
        <w:rPr>
          <w:rFonts w:cs="Arial"/>
          <w:sz w:val="22"/>
          <w:szCs w:val="22"/>
        </w:rPr>
        <w:t xml:space="preserve">especiales </w:t>
      </w:r>
      <w:r w:rsidRPr="000C7FCD">
        <w:rPr>
          <w:rFonts w:cs="Arial"/>
          <w:sz w:val="22"/>
          <w:szCs w:val="22"/>
        </w:rPr>
        <w:t>liquidadas</w:t>
      </w:r>
      <w:r>
        <w:rPr>
          <w:rFonts w:cs="Arial"/>
          <w:sz w:val="22"/>
          <w:szCs w:val="22"/>
        </w:rPr>
        <w:t>), detallada a continuación:</w:t>
      </w:r>
    </w:p>
    <w:p w14:paraId="3E89EEC1" w14:textId="77777777" w:rsidR="005A580A" w:rsidRDefault="005A580A" w:rsidP="00D22441">
      <w:pPr>
        <w:autoSpaceDE w:val="0"/>
        <w:autoSpaceDN w:val="0"/>
        <w:adjustRightInd w:val="0"/>
        <w:rPr>
          <w:rFonts w:cs="Arial"/>
          <w:sz w:val="22"/>
          <w:szCs w:val="22"/>
        </w:rPr>
      </w:pPr>
    </w:p>
    <w:p w14:paraId="14BA2D80" w14:textId="44A7C285" w:rsidR="00704186" w:rsidRPr="00B24EC3" w:rsidRDefault="00704186" w:rsidP="00704186">
      <w:pPr>
        <w:pStyle w:val="Descripcin"/>
        <w:rPr>
          <w:i w:val="0"/>
          <w:iCs w:val="0"/>
          <w:color w:val="auto"/>
        </w:rPr>
      </w:pPr>
      <w:bookmarkStart w:id="52" w:name="_Toc145486433"/>
      <w:r w:rsidRPr="002C4392">
        <w:rPr>
          <w:i w:val="0"/>
          <w:iCs w:val="0"/>
          <w:color w:val="auto"/>
        </w:rPr>
        <w:t xml:space="preserve">Tabla </w:t>
      </w:r>
      <w:r w:rsidRPr="002C4392">
        <w:rPr>
          <w:i w:val="0"/>
          <w:iCs w:val="0"/>
          <w:color w:val="auto"/>
        </w:rPr>
        <w:fldChar w:fldCharType="begin"/>
      </w:r>
      <w:r w:rsidRPr="002C4392">
        <w:rPr>
          <w:i w:val="0"/>
          <w:iCs w:val="0"/>
          <w:color w:val="auto"/>
        </w:rPr>
        <w:instrText xml:space="preserve"> SEQ Tabla \* ARABIC </w:instrText>
      </w:r>
      <w:r w:rsidRPr="002C4392">
        <w:rPr>
          <w:i w:val="0"/>
          <w:iCs w:val="0"/>
          <w:color w:val="auto"/>
        </w:rPr>
        <w:fldChar w:fldCharType="separate"/>
      </w:r>
      <w:r>
        <w:rPr>
          <w:i w:val="0"/>
          <w:iCs w:val="0"/>
          <w:noProof/>
          <w:color w:val="auto"/>
        </w:rPr>
        <w:t>7</w:t>
      </w:r>
      <w:r w:rsidRPr="002C4392">
        <w:rPr>
          <w:i w:val="0"/>
          <w:iCs w:val="0"/>
          <w:color w:val="auto"/>
        </w:rPr>
        <w:fldChar w:fldCharType="end"/>
      </w:r>
      <w:r w:rsidRPr="002C4392">
        <w:rPr>
          <w:i w:val="0"/>
          <w:iCs w:val="0"/>
          <w:color w:val="auto"/>
        </w:rPr>
        <w:t xml:space="preserve">. </w:t>
      </w:r>
      <w:r>
        <w:rPr>
          <w:i w:val="0"/>
          <w:iCs w:val="0"/>
          <w:color w:val="auto"/>
        </w:rPr>
        <w:t>Evolución histórica de la contribución especial 2012-2023.</w:t>
      </w:r>
      <w:bookmarkEnd w:id="52"/>
    </w:p>
    <w:tbl>
      <w:tblPr>
        <w:tblW w:w="8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5"/>
        <w:gridCol w:w="1157"/>
        <w:gridCol w:w="1325"/>
        <w:gridCol w:w="1555"/>
        <w:gridCol w:w="1555"/>
        <w:gridCol w:w="1776"/>
        <w:gridCol w:w="1030"/>
      </w:tblGrid>
      <w:tr w:rsidR="005A580A" w:rsidRPr="00214072" w14:paraId="3250FCFD" w14:textId="77777777" w:rsidTr="008A7878">
        <w:trPr>
          <w:trHeight w:val="663"/>
          <w:tblHeader/>
          <w:jc w:val="center"/>
        </w:trPr>
        <w:tc>
          <w:tcPr>
            <w:tcW w:w="565" w:type="dxa"/>
            <w:shd w:val="clear" w:color="auto" w:fill="E7E6E6" w:themeFill="background2"/>
            <w:vAlign w:val="center"/>
            <w:hideMark/>
          </w:tcPr>
          <w:p w14:paraId="4C992C98" w14:textId="77777777" w:rsidR="005A580A" w:rsidRPr="00214072" w:rsidRDefault="005A580A" w:rsidP="00D22441">
            <w:pPr>
              <w:jc w:val="center"/>
              <w:rPr>
                <w:rFonts w:ascii="Arial Narrow" w:hAnsi="Arial Narrow" w:cs="Arial"/>
                <w:b/>
                <w:bCs/>
                <w:sz w:val="16"/>
                <w:szCs w:val="16"/>
                <w:lang w:eastAsia="es-CO"/>
              </w:rPr>
            </w:pPr>
            <w:r w:rsidRPr="00214072">
              <w:rPr>
                <w:rFonts w:ascii="Arial Narrow" w:hAnsi="Arial Narrow" w:cs="Arial"/>
                <w:b/>
                <w:bCs/>
                <w:sz w:val="16"/>
                <w:szCs w:val="16"/>
                <w:lang w:eastAsia="es-CO"/>
              </w:rPr>
              <w:t>AÑO</w:t>
            </w:r>
          </w:p>
        </w:tc>
        <w:tc>
          <w:tcPr>
            <w:tcW w:w="1157" w:type="dxa"/>
            <w:shd w:val="clear" w:color="auto" w:fill="E7E6E6" w:themeFill="background2"/>
            <w:vAlign w:val="center"/>
            <w:hideMark/>
          </w:tcPr>
          <w:p w14:paraId="2B50A2D4" w14:textId="77777777" w:rsidR="005A580A" w:rsidRPr="00214072" w:rsidRDefault="005A580A" w:rsidP="00D22441">
            <w:pPr>
              <w:jc w:val="center"/>
              <w:rPr>
                <w:rFonts w:ascii="Arial Narrow" w:hAnsi="Arial Narrow" w:cs="Arial"/>
                <w:b/>
                <w:bCs/>
                <w:sz w:val="16"/>
                <w:szCs w:val="16"/>
                <w:lang w:eastAsia="es-CO"/>
              </w:rPr>
            </w:pPr>
            <w:r w:rsidRPr="00214072">
              <w:rPr>
                <w:rFonts w:ascii="Arial Narrow" w:hAnsi="Arial Narrow" w:cs="Arial"/>
                <w:b/>
                <w:bCs/>
                <w:sz w:val="16"/>
                <w:szCs w:val="16"/>
                <w:lang w:eastAsia="es-CO"/>
              </w:rPr>
              <w:t xml:space="preserve">RESOLUCIÓN TARIFA CREG </w:t>
            </w:r>
            <w:proofErr w:type="spellStart"/>
            <w:r w:rsidRPr="00214072">
              <w:rPr>
                <w:rFonts w:ascii="Arial Narrow" w:hAnsi="Arial Narrow" w:cs="Arial"/>
                <w:b/>
                <w:bCs/>
                <w:sz w:val="16"/>
                <w:szCs w:val="16"/>
                <w:lang w:eastAsia="es-CO"/>
              </w:rPr>
              <w:t>N°</w:t>
            </w:r>
            <w:proofErr w:type="spellEnd"/>
          </w:p>
        </w:tc>
        <w:tc>
          <w:tcPr>
            <w:tcW w:w="1325" w:type="dxa"/>
            <w:shd w:val="clear" w:color="auto" w:fill="E7E6E6" w:themeFill="background2"/>
            <w:vAlign w:val="center"/>
            <w:hideMark/>
          </w:tcPr>
          <w:p w14:paraId="4F83702A" w14:textId="77777777" w:rsidR="005A580A" w:rsidRPr="00214072" w:rsidRDefault="005A580A" w:rsidP="00D22441">
            <w:pPr>
              <w:jc w:val="center"/>
              <w:rPr>
                <w:rFonts w:ascii="Arial Narrow" w:hAnsi="Arial Narrow" w:cs="Arial"/>
                <w:b/>
                <w:bCs/>
                <w:sz w:val="16"/>
                <w:szCs w:val="16"/>
                <w:lang w:eastAsia="es-CO"/>
              </w:rPr>
            </w:pPr>
            <w:r w:rsidRPr="00214072">
              <w:rPr>
                <w:rFonts w:ascii="Arial Narrow" w:hAnsi="Arial Narrow" w:cs="Arial"/>
                <w:b/>
                <w:bCs/>
                <w:sz w:val="16"/>
                <w:szCs w:val="16"/>
                <w:lang w:eastAsia="es-CO"/>
              </w:rPr>
              <w:t>TARIFA DE CONTRIBUCIÓN</w:t>
            </w:r>
          </w:p>
        </w:tc>
        <w:tc>
          <w:tcPr>
            <w:tcW w:w="1555" w:type="dxa"/>
            <w:shd w:val="clear" w:color="auto" w:fill="E7E6E6" w:themeFill="background2"/>
            <w:vAlign w:val="center"/>
          </w:tcPr>
          <w:p w14:paraId="0072CA3D" w14:textId="77777777" w:rsidR="005A580A" w:rsidRPr="00214072" w:rsidRDefault="005A580A" w:rsidP="00D22441">
            <w:pPr>
              <w:jc w:val="center"/>
              <w:rPr>
                <w:rFonts w:ascii="Arial Narrow" w:hAnsi="Arial Narrow" w:cs="Arial"/>
                <w:b/>
                <w:bCs/>
                <w:sz w:val="16"/>
                <w:szCs w:val="16"/>
                <w:lang w:eastAsia="es-CO"/>
              </w:rPr>
            </w:pPr>
            <w:r w:rsidRPr="00214072">
              <w:rPr>
                <w:rFonts w:ascii="Arial Narrow" w:hAnsi="Arial Narrow" w:cs="Arial"/>
                <w:b/>
                <w:bCs/>
                <w:sz w:val="16"/>
                <w:szCs w:val="16"/>
                <w:lang w:eastAsia="es-CO"/>
              </w:rPr>
              <w:t xml:space="preserve">RESOLUCIÓN CONTRIBUYENTES CREG </w:t>
            </w:r>
            <w:proofErr w:type="spellStart"/>
            <w:r w:rsidRPr="00214072">
              <w:rPr>
                <w:rFonts w:ascii="Arial Narrow" w:hAnsi="Arial Narrow" w:cs="Arial"/>
                <w:b/>
                <w:bCs/>
                <w:sz w:val="16"/>
                <w:szCs w:val="16"/>
                <w:lang w:eastAsia="es-CO"/>
              </w:rPr>
              <w:t>N°</w:t>
            </w:r>
            <w:proofErr w:type="spellEnd"/>
          </w:p>
        </w:tc>
        <w:tc>
          <w:tcPr>
            <w:tcW w:w="1555" w:type="dxa"/>
            <w:shd w:val="clear" w:color="auto" w:fill="E7E6E6" w:themeFill="background2"/>
            <w:vAlign w:val="center"/>
          </w:tcPr>
          <w:p w14:paraId="4EC52481" w14:textId="77777777" w:rsidR="005A580A" w:rsidRPr="00214072" w:rsidRDefault="005A580A" w:rsidP="00D22441">
            <w:pPr>
              <w:jc w:val="center"/>
              <w:rPr>
                <w:rFonts w:ascii="Arial Narrow" w:hAnsi="Arial Narrow" w:cs="Arial"/>
                <w:b/>
                <w:bCs/>
                <w:sz w:val="16"/>
                <w:szCs w:val="16"/>
                <w:lang w:eastAsia="es-CO"/>
              </w:rPr>
            </w:pPr>
            <w:r w:rsidRPr="00214072">
              <w:rPr>
                <w:rFonts w:ascii="Arial Narrow" w:hAnsi="Arial Narrow" w:cs="Arial"/>
                <w:b/>
                <w:bCs/>
                <w:sz w:val="16"/>
                <w:szCs w:val="16"/>
                <w:lang w:eastAsia="es-CO"/>
              </w:rPr>
              <w:t>NÚMERO DE CONTRIBUYENTES AFORADOS</w:t>
            </w:r>
          </w:p>
        </w:tc>
        <w:tc>
          <w:tcPr>
            <w:tcW w:w="1776" w:type="dxa"/>
            <w:shd w:val="clear" w:color="auto" w:fill="E7E6E6" w:themeFill="background2"/>
            <w:vAlign w:val="center"/>
            <w:hideMark/>
          </w:tcPr>
          <w:p w14:paraId="7C16585B" w14:textId="77777777" w:rsidR="005A580A" w:rsidRPr="00214072" w:rsidRDefault="005A580A" w:rsidP="00D22441">
            <w:pPr>
              <w:jc w:val="center"/>
              <w:rPr>
                <w:rFonts w:ascii="Arial Narrow" w:hAnsi="Arial Narrow" w:cs="Arial"/>
                <w:b/>
                <w:bCs/>
                <w:sz w:val="16"/>
                <w:szCs w:val="16"/>
                <w:lang w:eastAsia="es-CO"/>
              </w:rPr>
            </w:pPr>
            <w:r w:rsidRPr="00214072">
              <w:rPr>
                <w:rFonts w:ascii="Arial Narrow" w:hAnsi="Arial Narrow" w:cs="Arial"/>
                <w:b/>
                <w:bCs/>
                <w:sz w:val="16"/>
                <w:szCs w:val="16"/>
                <w:lang w:eastAsia="es-CO"/>
              </w:rPr>
              <w:t xml:space="preserve">PRESUPUESTO NETO </w:t>
            </w:r>
          </w:p>
          <w:p w14:paraId="00488B28" w14:textId="77777777" w:rsidR="005A580A" w:rsidRPr="00214072" w:rsidRDefault="005A580A" w:rsidP="00D22441">
            <w:pPr>
              <w:jc w:val="center"/>
              <w:rPr>
                <w:rFonts w:ascii="Arial Narrow" w:hAnsi="Arial Narrow" w:cs="Arial"/>
                <w:b/>
                <w:bCs/>
                <w:sz w:val="16"/>
                <w:szCs w:val="16"/>
                <w:lang w:eastAsia="es-CO"/>
              </w:rPr>
            </w:pPr>
            <w:r w:rsidRPr="00214072">
              <w:rPr>
                <w:rFonts w:ascii="Arial Narrow" w:hAnsi="Arial Narrow" w:cs="Arial"/>
                <w:b/>
                <w:bCs/>
                <w:sz w:val="16"/>
                <w:szCs w:val="16"/>
                <w:lang w:eastAsia="es-CO"/>
              </w:rPr>
              <w:t>RECURSO 16 SSF</w:t>
            </w:r>
          </w:p>
        </w:tc>
        <w:tc>
          <w:tcPr>
            <w:tcW w:w="1030" w:type="dxa"/>
            <w:shd w:val="clear" w:color="auto" w:fill="E7E6E6" w:themeFill="background2"/>
            <w:vAlign w:val="center"/>
          </w:tcPr>
          <w:p w14:paraId="7A0F26D0" w14:textId="77777777" w:rsidR="005A580A" w:rsidRPr="00214072" w:rsidRDefault="005A580A" w:rsidP="00D22441">
            <w:pPr>
              <w:jc w:val="center"/>
              <w:rPr>
                <w:rFonts w:ascii="Arial Narrow" w:hAnsi="Arial Narrow" w:cs="Arial"/>
                <w:b/>
                <w:bCs/>
                <w:sz w:val="16"/>
                <w:szCs w:val="16"/>
                <w:lang w:eastAsia="es-CO"/>
              </w:rPr>
            </w:pPr>
            <w:r w:rsidRPr="00214072">
              <w:rPr>
                <w:rFonts w:ascii="Arial Narrow" w:hAnsi="Arial Narrow" w:cs="Arial"/>
                <w:b/>
                <w:bCs/>
                <w:sz w:val="16"/>
                <w:szCs w:val="16"/>
                <w:lang w:eastAsia="es-CO"/>
              </w:rPr>
              <w:t>CUANTÍA MINIMA</w:t>
            </w:r>
          </w:p>
        </w:tc>
      </w:tr>
      <w:tr w:rsidR="005A580A" w:rsidRPr="00214072" w14:paraId="5A35833B" w14:textId="77777777" w:rsidTr="00DE7C1E">
        <w:trPr>
          <w:trHeight w:val="339"/>
          <w:jc w:val="center"/>
        </w:trPr>
        <w:tc>
          <w:tcPr>
            <w:tcW w:w="565" w:type="dxa"/>
            <w:shd w:val="clear" w:color="auto" w:fill="auto"/>
            <w:noWrap/>
            <w:vAlign w:val="center"/>
            <w:hideMark/>
          </w:tcPr>
          <w:p w14:paraId="68064EB3" w14:textId="77777777" w:rsidR="005A580A" w:rsidRPr="00214072" w:rsidRDefault="005A580A" w:rsidP="00D22441">
            <w:pPr>
              <w:jc w:val="center"/>
              <w:rPr>
                <w:rFonts w:ascii="Arial Narrow" w:hAnsi="Arial Narrow" w:cs="Arial"/>
                <w:color w:val="000000"/>
                <w:sz w:val="16"/>
                <w:szCs w:val="16"/>
                <w:lang w:eastAsia="es-CO"/>
              </w:rPr>
            </w:pPr>
            <w:r w:rsidRPr="00214072">
              <w:rPr>
                <w:rFonts w:ascii="Arial Narrow" w:hAnsi="Arial Narrow" w:cs="Arial"/>
                <w:color w:val="000000"/>
                <w:sz w:val="16"/>
                <w:szCs w:val="16"/>
                <w:lang w:eastAsia="es-CO"/>
              </w:rPr>
              <w:t>2012</w:t>
            </w:r>
          </w:p>
        </w:tc>
        <w:tc>
          <w:tcPr>
            <w:tcW w:w="1157" w:type="dxa"/>
            <w:shd w:val="clear" w:color="auto" w:fill="auto"/>
            <w:noWrap/>
            <w:vAlign w:val="center"/>
            <w:hideMark/>
          </w:tcPr>
          <w:p w14:paraId="55060C3B" w14:textId="77777777" w:rsidR="005A580A" w:rsidRPr="00214072" w:rsidRDefault="005A580A" w:rsidP="00D22441">
            <w:pPr>
              <w:jc w:val="center"/>
              <w:rPr>
                <w:rFonts w:ascii="Arial Narrow" w:hAnsi="Arial Narrow" w:cs="Arial"/>
                <w:color w:val="000000"/>
                <w:sz w:val="16"/>
                <w:szCs w:val="16"/>
                <w:lang w:eastAsia="es-CO"/>
              </w:rPr>
            </w:pPr>
            <w:r w:rsidRPr="00214072">
              <w:rPr>
                <w:rFonts w:ascii="Arial Narrow" w:hAnsi="Arial Narrow" w:cs="Arial"/>
                <w:color w:val="000000"/>
                <w:sz w:val="16"/>
                <w:szCs w:val="16"/>
                <w:lang w:eastAsia="es-CO"/>
              </w:rPr>
              <w:t>118</w:t>
            </w:r>
          </w:p>
        </w:tc>
        <w:tc>
          <w:tcPr>
            <w:tcW w:w="1325" w:type="dxa"/>
            <w:shd w:val="clear" w:color="auto" w:fill="auto"/>
            <w:noWrap/>
            <w:vAlign w:val="center"/>
            <w:hideMark/>
          </w:tcPr>
          <w:p w14:paraId="64102027" w14:textId="77777777" w:rsidR="005A580A" w:rsidRPr="00214072" w:rsidRDefault="005A580A" w:rsidP="00D22441">
            <w:pPr>
              <w:jc w:val="center"/>
              <w:rPr>
                <w:rFonts w:ascii="Arial Narrow" w:hAnsi="Arial Narrow" w:cs="Arial"/>
                <w:color w:val="000000"/>
                <w:sz w:val="16"/>
                <w:szCs w:val="16"/>
                <w:lang w:eastAsia="es-CO"/>
              </w:rPr>
            </w:pPr>
            <w:r w:rsidRPr="00214072">
              <w:rPr>
                <w:rFonts w:ascii="Arial Narrow" w:hAnsi="Arial Narrow" w:cs="Arial"/>
                <w:color w:val="000000"/>
                <w:sz w:val="16"/>
                <w:szCs w:val="16"/>
                <w:lang w:eastAsia="es-CO"/>
              </w:rPr>
              <w:t>0,9154%</w:t>
            </w:r>
          </w:p>
        </w:tc>
        <w:tc>
          <w:tcPr>
            <w:tcW w:w="1555" w:type="dxa"/>
            <w:vAlign w:val="center"/>
          </w:tcPr>
          <w:p w14:paraId="59AE6783" w14:textId="77777777" w:rsidR="005A580A" w:rsidRPr="00214072" w:rsidRDefault="005A580A" w:rsidP="00D22441">
            <w:pPr>
              <w:jc w:val="center"/>
              <w:rPr>
                <w:rFonts w:ascii="Arial Narrow" w:hAnsi="Arial Narrow" w:cs="Arial"/>
                <w:color w:val="000000"/>
                <w:sz w:val="16"/>
                <w:szCs w:val="16"/>
                <w:lang w:eastAsia="es-CO"/>
              </w:rPr>
            </w:pPr>
            <w:r w:rsidRPr="00214072">
              <w:rPr>
                <w:rFonts w:ascii="Arial Narrow" w:hAnsi="Arial Narrow" w:cs="Arial"/>
                <w:color w:val="000000"/>
                <w:sz w:val="16"/>
                <w:szCs w:val="16"/>
                <w:lang w:eastAsia="es-CO"/>
              </w:rPr>
              <w:t>119</w:t>
            </w:r>
          </w:p>
        </w:tc>
        <w:tc>
          <w:tcPr>
            <w:tcW w:w="1555" w:type="dxa"/>
            <w:vAlign w:val="center"/>
          </w:tcPr>
          <w:p w14:paraId="12C5E349" w14:textId="77777777" w:rsidR="005A580A" w:rsidRPr="00214072" w:rsidRDefault="005A580A" w:rsidP="00D22441">
            <w:pPr>
              <w:jc w:val="center"/>
              <w:rPr>
                <w:rFonts w:ascii="Arial Narrow" w:hAnsi="Arial Narrow" w:cs="Arial"/>
                <w:color w:val="000000"/>
                <w:sz w:val="16"/>
                <w:szCs w:val="16"/>
                <w:lang w:eastAsia="es-CO"/>
              </w:rPr>
            </w:pPr>
            <w:r w:rsidRPr="00214072">
              <w:rPr>
                <w:rFonts w:ascii="Arial Narrow" w:hAnsi="Arial Narrow" w:cs="Arial"/>
                <w:color w:val="000000"/>
                <w:sz w:val="16"/>
                <w:szCs w:val="16"/>
                <w:lang w:eastAsia="es-CO"/>
              </w:rPr>
              <w:t>325</w:t>
            </w:r>
          </w:p>
        </w:tc>
        <w:tc>
          <w:tcPr>
            <w:tcW w:w="1776" w:type="dxa"/>
            <w:shd w:val="clear" w:color="auto" w:fill="auto"/>
            <w:noWrap/>
            <w:vAlign w:val="center"/>
            <w:hideMark/>
          </w:tcPr>
          <w:p w14:paraId="4CAD2110" w14:textId="77777777" w:rsidR="005A580A" w:rsidRPr="00214072" w:rsidRDefault="005A580A" w:rsidP="00D22441">
            <w:pPr>
              <w:jc w:val="right"/>
              <w:rPr>
                <w:rFonts w:ascii="Arial Narrow" w:hAnsi="Arial Narrow" w:cs="Arial"/>
                <w:spacing w:val="0"/>
                <w:sz w:val="16"/>
                <w:szCs w:val="16"/>
                <w:lang w:eastAsia="es-CO"/>
              </w:rPr>
            </w:pPr>
            <w:r w:rsidRPr="00214072">
              <w:rPr>
                <w:rFonts w:ascii="Arial Narrow" w:hAnsi="Arial Narrow" w:cs="Arial"/>
                <w:spacing w:val="0"/>
                <w:sz w:val="16"/>
                <w:szCs w:val="16"/>
                <w:lang w:eastAsia="es-CO"/>
              </w:rPr>
              <w:t>$ 15.876.108.616</w:t>
            </w:r>
          </w:p>
        </w:tc>
        <w:tc>
          <w:tcPr>
            <w:tcW w:w="1030" w:type="dxa"/>
            <w:vAlign w:val="center"/>
          </w:tcPr>
          <w:p w14:paraId="28DA4FD6" w14:textId="77777777" w:rsidR="005A580A" w:rsidRPr="00214072" w:rsidRDefault="005A580A" w:rsidP="00D22441">
            <w:pPr>
              <w:jc w:val="right"/>
              <w:rPr>
                <w:rFonts w:ascii="Arial Narrow" w:hAnsi="Arial Narrow" w:cs="Arial"/>
                <w:spacing w:val="0"/>
                <w:sz w:val="16"/>
                <w:szCs w:val="16"/>
                <w:lang w:eastAsia="es-CO"/>
              </w:rPr>
            </w:pPr>
            <w:r w:rsidRPr="00214072">
              <w:rPr>
                <w:rFonts w:ascii="Arial Narrow" w:hAnsi="Arial Narrow" w:cs="Arial"/>
                <w:spacing w:val="0"/>
                <w:sz w:val="16"/>
                <w:szCs w:val="16"/>
                <w:lang w:eastAsia="es-CO"/>
              </w:rPr>
              <w:t>$104.889,04</w:t>
            </w:r>
          </w:p>
        </w:tc>
      </w:tr>
      <w:tr w:rsidR="005A580A" w:rsidRPr="00214072" w14:paraId="4CC99E38" w14:textId="77777777" w:rsidTr="00DE7C1E">
        <w:trPr>
          <w:trHeight w:val="339"/>
          <w:jc w:val="center"/>
        </w:trPr>
        <w:tc>
          <w:tcPr>
            <w:tcW w:w="565" w:type="dxa"/>
            <w:shd w:val="clear" w:color="auto" w:fill="auto"/>
            <w:noWrap/>
            <w:vAlign w:val="center"/>
            <w:hideMark/>
          </w:tcPr>
          <w:p w14:paraId="51F85B01" w14:textId="77777777" w:rsidR="005A580A" w:rsidRPr="00214072" w:rsidRDefault="005A580A" w:rsidP="00D22441">
            <w:pPr>
              <w:jc w:val="center"/>
              <w:rPr>
                <w:rFonts w:ascii="Arial Narrow" w:hAnsi="Arial Narrow" w:cs="Arial"/>
                <w:color w:val="000000"/>
                <w:sz w:val="16"/>
                <w:szCs w:val="16"/>
                <w:lang w:eastAsia="es-CO"/>
              </w:rPr>
            </w:pPr>
            <w:r w:rsidRPr="00214072">
              <w:rPr>
                <w:rFonts w:ascii="Arial Narrow" w:hAnsi="Arial Narrow" w:cs="Arial"/>
                <w:color w:val="000000"/>
                <w:sz w:val="16"/>
                <w:szCs w:val="16"/>
                <w:lang w:eastAsia="es-CO"/>
              </w:rPr>
              <w:t>2013</w:t>
            </w:r>
          </w:p>
        </w:tc>
        <w:tc>
          <w:tcPr>
            <w:tcW w:w="1157" w:type="dxa"/>
            <w:shd w:val="clear" w:color="auto" w:fill="auto"/>
            <w:noWrap/>
            <w:vAlign w:val="center"/>
            <w:hideMark/>
          </w:tcPr>
          <w:p w14:paraId="3FC816C5" w14:textId="77777777" w:rsidR="005A580A" w:rsidRPr="00214072" w:rsidRDefault="005A580A" w:rsidP="00D22441">
            <w:pPr>
              <w:jc w:val="center"/>
              <w:rPr>
                <w:rFonts w:ascii="Arial Narrow" w:hAnsi="Arial Narrow" w:cs="Arial"/>
                <w:color w:val="000000"/>
                <w:sz w:val="16"/>
                <w:szCs w:val="16"/>
                <w:lang w:eastAsia="es-CO"/>
              </w:rPr>
            </w:pPr>
            <w:r w:rsidRPr="00214072">
              <w:rPr>
                <w:rFonts w:ascii="Arial Narrow" w:hAnsi="Arial Narrow" w:cs="Arial"/>
                <w:color w:val="000000"/>
                <w:sz w:val="16"/>
                <w:szCs w:val="16"/>
                <w:lang w:eastAsia="es-CO"/>
              </w:rPr>
              <w:t>140</w:t>
            </w:r>
          </w:p>
        </w:tc>
        <w:tc>
          <w:tcPr>
            <w:tcW w:w="1325" w:type="dxa"/>
            <w:shd w:val="clear" w:color="auto" w:fill="auto"/>
            <w:noWrap/>
            <w:vAlign w:val="center"/>
            <w:hideMark/>
          </w:tcPr>
          <w:p w14:paraId="7A1E627F" w14:textId="77777777" w:rsidR="005A580A" w:rsidRPr="00214072" w:rsidRDefault="005A580A" w:rsidP="00D22441">
            <w:pPr>
              <w:jc w:val="center"/>
              <w:rPr>
                <w:rFonts w:ascii="Arial Narrow" w:hAnsi="Arial Narrow" w:cs="Arial"/>
                <w:color w:val="000000"/>
                <w:sz w:val="16"/>
                <w:szCs w:val="16"/>
                <w:lang w:eastAsia="es-CO"/>
              </w:rPr>
            </w:pPr>
            <w:r w:rsidRPr="00214072">
              <w:rPr>
                <w:rFonts w:ascii="Arial Narrow" w:hAnsi="Arial Narrow" w:cs="Arial"/>
                <w:color w:val="000000"/>
                <w:sz w:val="16"/>
                <w:szCs w:val="16"/>
                <w:lang w:eastAsia="es-CO"/>
              </w:rPr>
              <w:t>0,866%</w:t>
            </w:r>
          </w:p>
        </w:tc>
        <w:tc>
          <w:tcPr>
            <w:tcW w:w="1555" w:type="dxa"/>
            <w:vAlign w:val="center"/>
          </w:tcPr>
          <w:p w14:paraId="7AB5A7A8" w14:textId="77777777" w:rsidR="005A580A" w:rsidRPr="00214072" w:rsidRDefault="005A580A" w:rsidP="00D22441">
            <w:pPr>
              <w:jc w:val="center"/>
              <w:rPr>
                <w:rFonts w:ascii="Arial Narrow" w:hAnsi="Arial Narrow" w:cs="Arial"/>
                <w:color w:val="000000"/>
                <w:sz w:val="16"/>
                <w:szCs w:val="16"/>
                <w:lang w:eastAsia="es-CO"/>
              </w:rPr>
            </w:pPr>
            <w:r w:rsidRPr="00214072">
              <w:rPr>
                <w:rFonts w:ascii="Arial Narrow" w:hAnsi="Arial Narrow" w:cs="Arial"/>
                <w:color w:val="000000"/>
                <w:sz w:val="16"/>
                <w:szCs w:val="16"/>
                <w:lang w:eastAsia="es-CO"/>
              </w:rPr>
              <w:t>141</w:t>
            </w:r>
          </w:p>
        </w:tc>
        <w:tc>
          <w:tcPr>
            <w:tcW w:w="1555" w:type="dxa"/>
            <w:vAlign w:val="center"/>
          </w:tcPr>
          <w:p w14:paraId="25EDCC3F" w14:textId="77777777" w:rsidR="005A580A" w:rsidRPr="00214072" w:rsidRDefault="005A580A" w:rsidP="00D22441">
            <w:pPr>
              <w:jc w:val="center"/>
              <w:rPr>
                <w:rFonts w:ascii="Arial Narrow" w:hAnsi="Arial Narrow" w:cs="Arial"/>
                <w:color w:val="000000"/>
                <w:sz w:val="16"/>
                <w:szCs w:val="16"/>
                <w:lang w:eastAsia="es-CO"/>
              </w:rPr>
            </w:pPr>
            <w:r w:rsidRPr="00214072">
              <w:rPr>
                <w:rFonts w:ascii="Arial Narrow" w:hAnsi="Arial Narrow" w:cs="Arial"/>
                <w:color w:val="000000"/>
                <w:sz w:val="16"/>
                <w:szCs w:val="16"/>
                <w:lang w:eastAsia="es-CO"/>
              </w:rPr>
              <w:t>311</w:t>
            </w:r>
          </w:p>
        </w:tc>
        <w:tc>
          <w:tcPr>
            <w:tcW w:w="1776" w:type="dxa"/>
            <w:shd w:val="clear" w:color="auto" w:fill="auto"/>
            <w:noWrap/>
            <w:vAlign w:val="center"/>
            <w:hideMark/>
          </w:tcPr>
          <w:p w14:paraId="2EC15C3D" w14:textId="77777777" w:rsidR="005A580A" w:rsidRPr="00214072" w:rsidRDefault="005A580A" w:rsidP="00D22441">
            <w:pPr>
              <w:jc w:val="right"/>
              <w:rPr>
                <w:rFonts w:ascii="Arial Narrow" w:hAnsi="Arial Narrow" w:cs="Arial"/>
                <w:color w:val="000000"/>
                <w:sz w:val="16"/>
                <w:szCs w:val="16"/>
                <w:lang w:eastAsia="es-CO"/>
              </w:rPr>
            </w:pPr>
            <w:r w:rsidRPr="00214072">
              <w:rPr>
                <w:rFonts w:ascii="Arial Narrow" w:hAnsi="Arial Narrow" w:cs="Arial"/>
                <w:spacing w:val="0"/>
                <w:sz w:val="16"/>
                <w:szCs w:val="16"/>
                <w:lang w:eastAsia="es-CO"/>
              </w:rPr>
              <w:t xml:space="preserve">$ 16.667.823.953 </w:t>
            </w:r>
          </w:p>
        </w:tc>
        <w:tc>
          <w:tcPr>
            <w:tcW w:w="1030" w:type="dxa"/>
            <w:vAlign w:val="center"/>
          </w:tcPr>
          <w:p w14:paraId="4AFC5159" w14:textId="77777777" w:rsidR="005A580A" w:rsidRPr="00214072" w:rsidRDefault="005A580A" w:rsidP="00D22441">
            <w:pPr>
              <w:jc w:val="right"/>
              <w:rPr>
                <w:rFonts w:ascii="Arial Narrow" w:hAnsi="Arial Narrow" w:cs="Arial"/>
                <w:spacing w:val="0"/>
                <w:sz w:val="16"/>
                <w:szCs w:val="16"/>
                <w:lang w:eastAsia="es-CO"/>
              </w:rPr>
            </w:pPr>
            <w:r w:rsidRPr="00214072">
              <w:rPr>
                <w:rFonts w:ascii="Arial Narrow" w:hAnsi="Arial Narrow" w:cs="Arial"/>
                <w:spacing w:val="0"/>
                <w:sz w:val="16"/>
                <w:szCs w:val="16"/>
                <w:lang w:eastAsia="es-CO"/>
              </w:rPr>
              <w:t>$104.889,04</w:t>
            </w:r>
          </w:p>
        </w:tc>
      </w:tr>
      <w:tr w:rsidR="005A580A" w:rsidRPr="00214072" w14:paraId="6B3A913F" w14:textId="77777777" w:rsidTr="00DE7C1E">
        <w:trPr>
          <w:trHeight w:val="339"/>
          <w:jc w:val="center"/>
        </w:trPr>
        <w:tc>
          <w:tcPr>
            <w:tcW w:w="565" w:type="dxa"/>
            <w:shd w:val="clear" w:color="auto" w:fill="auto"/>
            <w:noWrap/>
            <w:vAlign w:val="center"/>
            <w:hideMark/>
          </w:tcPr>
          <w:p w14:paraId="6DC7B0D8" w14:textId="77777777" w:rsidR="005A580A" w:rsidRPr="00214072" w:rsidRDefault="005A580A" w:rsidP="00D22441">
            <w:pPr>
              <w:jc w:val="center"/>
              <w:rPr>
                <w:rFonts w:ascii="Arial Narrow" w:hAnsi="Arial Narrow" w:cs="Arial"/>
                <w:color w:val="000000"/>
                <w:sz w:val="16"/>
                <w:szCs w:val="16"/>
                <w:lang w:eastAsia="es-CO"/>
              </w:rPr>
            </w:pPr>
            <w:r w:rsidRPr="00214072">
              <w:rPr>
                <w:rFonts w:ascii="Arial Narrow" w:hAnsi="Arial Narrow" w:cs="Arial"/>
                <w:color w:val="000000"/>
                <w:sz w:val="16"/>
                <w:szCs w:val="16"/>
                <w:lang w:eastAsia="es-CO"/>
              </w:rPr>
              <w:t>2014</w:t>
            </w:r>
          </w:p>
        </w:tc>
        <w:tc>
          <w:tcPr>
            <w:tcW w:w="1157" w:type="dxa"/>
            <w:shd w:val="clear" w:color="auto" w:fill="auto"/>
            <w:noWrap/>
            <w:vAlign w:val="center"/>
            <w:hideMark/>
          </w:tcPr>
          <w:p w14:paraId="20D83AE4" w14:textId="77777777" w:rsidR="005A580A" w:rsidRPr="00214072" w:rsidRDefault="005A580A" w:rsidP="00D22441">
            <w:pPr>
              <w:jc w:val="center"/>
              <w:rPr>
                <w:rFonts w:ascii="Arial Narrow" w:hAnsi="Arial Narrow" w:cs="Arial"/>
                <w:color w:val="000000"/>
                <w:sz w:val="16"/>
                <w:szCs w:val="16"/>
                <w:lang w:eastAsia="es-CO"/>
              </w:rPr>
            </w:pPr>
            <w:r w:rsidRPr="00214072">
              <w:rPr>
                <w:rFonts w:ascii="Arial Narrow" w:hAnsi="Arial Narrow" w:cs="Arial"/>
                <w:color w:val="000000"/>
                <w:sz w:val="16"/>
                <w:szCs w:val="16"/>
                <w:lang w:eastAsia="es-CO"/>
              </w:rPr>
              <w:t>127</w:t>
            </w:r>
          </w:p>
        </w:tc>
        <w:tc>
          <w:tcPr>
            <w:tcW w:w="1325" w:type="dxa"/>
            <w:shd w:val="clear" w:color="auto" w:fill="auto"/>
            <w:noWrap/>
            <w:vAlign w:val="center"/>
            <w:hideMark/>
          </w:tcPr>
          <w:p w14:paraId="22581060" w14:textId="77777777" w:rsidR="005A580A" w:rsidRPr="00214072" w:rsidRDefault="005A580A" w:rsidP="00D22441">
            <w:pPr>
              <w:jc w:val="center"/>
              <w:rPr>
                <w:rFonts w:ascii="Arial Narrow" w:hAnsi="Arial Narrow" w:cs="Arial"/>
                <w:color w:val="000000"/>
                <w:sz w:val="16"/>
                <w:szCs w:val="16"/>
                <w:lang w:eastAsia="es-CO"/>
              </w:rPr>
            </w:pPr>
            <w:r w:rsidRPr="00214072">
              <w:rPr>
                <w:rFonts w:ascii="Arial Narrow" w:hAnsi="Arial Narrow" w:cs="Arial"/>
                <w:color w:val="000000"/>
                <w:sz w:val="16"/>
                <w:szCs w:val="16"/>
                <w:lang w:eastAsia="es-CO"/>
              </w:rPr>
              <w:t>1,00%</w:t>
            </w:r>
          </w:p>
        </w:tc>
        <w:tc>
          <w:tcPr>
            <w:tcW w:w="1555" w:type="dxa"/>
            <w:vAlign w:val="center"/>
          </w:tcPr>
          <w:p w14:paraId="2778FAA8" w14:textId="77777777" w:rsidR="005A580A" w:rsidRPr="00214072" w:rsidRDefault="005A580A" w:rsidP="00D22441">
            <w:pPr>
              <w:jc w:val="center"/>
              <w:rPr>
                <w:rFonts w:ascii="Arial Narrow" w:hAnsi="Arial Narrow" w:cs="Arial"/>
                <w:color w:val="000000"/>
                <w:sz w:val="16"/>
                <w:szCs w:val="16"/>
                <w:lang w:eastAsia="es-CO"/>
              </w:rPr>
            </w:pPr>
            <w:r w:rsidRPr="00214072">
              <w:rPr>
                <w:rFonts w:ascii="Arial Narrow" w:hAnsi="Arial Narrow" w:cs="Arial"/>
                <w:color w:val="000000"/>
                <w:sz w:val="16"/>
                <w:szCs w:val="16"/>
                <w:lang w:eastAsia="es-CO"/>
              </w:rPr>
              <w:t>128</w:t>
            </w:r>
          </w:p>
        </w:tc>
        <w:tc>
          <w:tcPr>
            <w:tcW w:w="1555" w:type="dxa"/>
            <w:vAlign w:val="center"/>
          </w:tcPr>
          <w:p w14:paraId="6734D951" w14:textId="77777777" w:rsidR="005A580A" w:rsidRPr="00214072" w:rsidRDefault="005A580A" w:rsidP="00D22441">
            <w:pPr>
              <w:jc w:val="center"/>
              <w:rPr>
                <w:rFonts w:ascii="Arial Narrow" w:hAnsi="Arial Narrow" w:cs="Arial"/>
                <w:color w:val="000000"/>
                <w:sz w:val="16"/>
                <w:szCs w:val="16"/>
                <w:lang w:eastAsia="es-CO"/>
              </w:rPr>
            </w:pPr>
            <w:r w:rsidRPr="00214072">
              <w:rPr>
                <w:rFonts w:ascii="Arial Narrow" w:hAnsi="Arial Narrow" w:cs="Arial"/>
                <w:color w:val="000000"/>
                <w:sz w:val="16"/>
                <w:szCs w:val="16"/>
                <w:lang w:eastAsia="es-CO"/>
              </w:rPr>
              <w:t>328</w:t>
            </w:r>
          </w:p>
        </w:tc>
        <w:tc>
          <w:tcPr>
            <w:tcW w:w="1776" w:type="dxa"/>
            <w:shd w:val="clear" w:color="auto" w:fill="auto"/>
            <w:noWrap/>
            <w:vAlign w:val="center"/>
            <w:hideMark/>
          </w:tcPr>
          <w:p w14:paraId="7181F3E8" w14:textId="77777777" w:rsidR="005A580A" w:rsidRPr="00214072" w:rsidRDefault="005A580A" w:rsidP="00D22441">
            <w:pPr>
              <w:jc w:val="right"/>
              <w:rPr>
                <w:rFonts w:ascii="Arial Narrow" w:hAnsi="Arial Narrow" w:cs="Arial"/>
                <w:color w:val="000000"/>
                <w:sz w:val="16"/>
                <w:szCs w:val="16"/>
                <w:lang w:eastAsia="es-CO"/>
              </w:rPr>
            </w:pPr>
            <w:r w:rsidRPr="00214072">
              <w:rPr>
                <w:rFonts w:ascii="Arial Narrow" w:hAnsi="Arial Narrow" w:cs="Arial"/>
                <w:spacing w:val="0"/>
                <w:sz w:val="16"/>
                <w:szCs w:val="16"/>
                <w:lang w:eastAsia="es-CO"/>
              </w:rPr>
              <w:t>$ 18.253.680.066</w:t>
            </w:r>
          </w:p>
        </w:tc>
        <w:tc>
          <w:tcPr>
            <w:tcW w:w="1030" w:type="dxa"/>
            <w:vAlign w:val="center"/>
          </w:tcPr>
          <w:p w14:paraId="2176F24F" w14:textId="77777777" w:rsidR="005A580A" w:rsidRPr="00214072" w:rsidRDefault="005A580A" w:rsidP="00D22441">
            <w:pPr>
              <w:jc w:val="right"/>
              <w:rPr>
                <w:rFonts w:ascii="Arial Narrow" w:hAnsi="Arial Narrow" w:cs="Arial"/>
                <w:spacing w:val="0"/>
                <w:sz w:val="16"/>
                <w:szCs w:val="16"/>
                <w:lang w:eastAsia="es-CO"/>
              </w:rPr>
            </w:pPr>
            <w:r w:rsidRPr="00214072">
              <w:rPr>
                <w:rFonts w:ascii="Arial Narrow" w:hAnsi="Arial Narrow" w:cs="Arial"/>
                <w:spacing w:val="0"/>
                <w:sz w:val="16"/>
                <w:szCs w:val="16"/>
                <w:lang w:eastAsia="es-CO"/>
              </w:rPr>
              <w:t>$104.889,04</w:t>
            </w:r>
          </w:p>
        </w:tc>
      </w:tr>
      <w:tr w:rsidR="005A580A" w:rsidRPr="00214072" w14:paraId="5B0150AF" w14:textId="77777777" w:rsidTr="00DE7C1E">
        <w:trPr>
          <w:trHeight w:val="339"/>
          <w:jc w:val="center"/>
        </w:trPr>
        <w:tc>
          <w:tcPr>
            <w:tcW w:w="565" w:type="dxa"/>
            <w:shd w:val="clear" w:color="auto" w:fill="auto"/>
            <w:noWrap/>
            <w:vAlign w:val="center"/>
            <w:hideMark/>
          </w:tcPr>
          <w:p w14:paraId="40E301D7" w14:textId="77777777" w:rsidR="005A580A" w:rsidRPr="00214072" w:rsidRDefault="005A580A" w:rsidP="00D22441">
            <w:pPr>
              <w:jc w:val="center"/>
              <w:rPr>
                <w:rFonts w:ascii="Arial Narrow" w:hAnsi="Arial Narrow" w:cs="Arial"/>
                <w:color w:val="000000"/>
                <w:sz w:val="16"/>
                <w:szCs w:val="16"/>
                <w:lang w:eastAsia="es-CO"/>
              </w:rPr>
            </w:pPr>
            <w:r w:rsidRPr="00214072">
              <w:rPr>
                <w:rFonts w:ascii="Arial Narrow" w:hAnsi="Arial Narrow" w:cs="Arial"/>
                <w:color w:val="000000"/>
                <w:sz w:val="16"/>
                <w:szCs w:val="16"/>
                <w:lang w:eastAsia="es-CO"/>
              </w:rPr>
              <w:t>2015</w:t>
            </w:r>
          </w:p>
        </w:tc>
        <w:tc>
          <w:tcPr>
            <w:tcW w:w="1157" w:type="dxa"/>
            <w:shd w:val="clear" w:color="auto" w:fill="auto"/>
            <w:noWrap/>
            <w:vAlign w:val="center"/>
            <w:hideMark/>
          </w:tcPr>
          <w:p w14:paraId="5FCA7AEE" w14:textId="77777777" w:rsidR="005A580A" w:rsidRPr="00214072" w:rsidRDefault="005A580A" w:rsidP="00D22441">
            <w:pPr>
              <w:jc w:val="center"/>
              <w:rPr>
                <w:rFonts w:ascii="Arial Narrow" w:hAnsi="Arial Narrow" w:cs="Arial"/>
                <w:color w:val="000000"/>
                <w:sz w:val="16"/>
                <w:szCs w:val="16"/>
                <w:lang w:eastAsia="es-CO"/>
              </w:rPr>
            </w:pPr>
            <w:r w:rsidRPr="00214072">
              <w:rPr>
                <w:rFonts w:ascii="Arial Narrow" w:hAnsi="Arial Narrow" w:cs="Arial"/>
                <w:color w:val="000000"/>
                <w:sz w:val="16"/>
                <w:szCs w:val="16"/>
                <w:lang w:eastAsia="es-CO"/>
              </w:rPr>
              <w:t>181</w:t>
            </w:r>
          </w:p>
        </w:tc>
        <w:tc>
          <w:tcPr>
            <w:tcW w:w="1325" w:type="dxa"/>
            <w:shd w:val="clear" w:color="auto" w:fill="auto"/>
            <w:noWrap/>
            <w:vAlign w:val="center"/>
            <w:hideMark/>
          </w:tcPr>
          <w:p w14:paraId="75DAF6E4" w14:textId="77777777" w:rsidR="005A580A" w:rsidRPr="00214072" w:rsidRDefault="005A580A" w:rsidP="00D22441">
            <w:pPr>
              <w:jc w:val="center"/>
              <w:rPr>
                <w:rFonts w:ascii="Arial Narrow" w:hAnsi="Arial Narrow" w:cs="Arial"/>
                <w:color w:val="000000"/>
                <w:sz w:val="16"/>
                <w:szCs w:val="16"/>
                <w:lang w:eastAsia="es-CO"/>
              </w:rPr>
            </w:pPr>
            <w:r w:rsidRPr="00214072">
              <w:rPr>
                <w:rFonts w:ascii="Arial Narrow" w:hAnsi="Arial Narrow" w:cs="Arial"/>
                <w:color w:val="000000"/>
                <w:sz w:val="16"/>
                <w:szCs w:val="16"/>
                <w:lang w:eastAsia="es-CO"/>
              </w:rPr>
              <w:t>0,9698%</w:t>
            </w:r>
          </w:p>
        </w:tc>
        <w:tc>
          <w:tcPr>
            <w:tcW w:w="1555" w:type="dxa"/>
            <w:vAlign w:val="center"/>
          </w:tcPr>
          <w:p w14:paraId="6C3E8163" w14:textId="77777777" w:rsidR="005A580A" w:rsidRPr="00214072" w:rsidRDefault="005A580A" w:rsidP="00D22441">
            <w:pPr>
              <w:jc w:val="center"/>
              <w:rPr>
                <w:rFonts w:ascii="Arial Narrow" w:hAnsi="Arial Narrow" w:cs="Arial"/>
                <w:color w:val="000000"/>
                <w:sz w:val="16"/>
                <w:szCs w:val="16"/>
                <w:lang w:eastAsia="es-CO"/>
              </w:rPr>
            </w:pPr>
            <w:r w:rsidRPr="00214072">
              <w:rPr>
                <w:rFonts w:ascii="Arial Narrow" w:hAnsi="Arial Narrow" w:cs="Arial"/>
                <w:color w:val="000000"/>
                <w:sz w:val="16"/>
                <w:szCs w:val="16"/>
                <w:lang w:eastAsia="es-CO"/>
              </w:rPr>
              <w:t>182</w:t>
            </w:r>
          </w:p>
        </w:tc>
        <w:tc>
          <w:tcPr>
            <w:tcW w:w="1555" w:type="dxa"/>
            <w:vAlign w:val="center"/>
          </w:tcPr>
          <w:p w14:paraId="34F696D8" w14:textId="77777777" w:rsidR="005A580A" w:rsidRPr="00214072" w:rsidRDefault="005A580A" w:rsidP="00D22441">
            <w:pPr>
              <w:jc w:val="center"/>
              <w:rPr>
                <w:rFonts w:ascii="Arial Narrow" w:hAnsi="Arial Narrow" w:cs="Arial"/>
                <w:color w:val="000000"/>
                <w:sz w:val="16"/>
                <w:szCs w:val="16"/>
                <w:lang w:eastAsia="es-CO"/>
              </w:rPr>
            </w:pPr>
            <w:r w:rsidRPr="00214072">
              <w:rPr>
                <w:rFonts w:ascii="Arial Narrow" w:hAnsi="Arial Narrow" w:cs="Arial"/>
                <w:color w:val="000000"/>
                <w:sz w:val="16"/>
                <w:szCs w:val="16"/>
                <w:lang w:eastAsia="es-CO"/>
              </w:rPr>
              <w:t>327</w:t>
            </w:r>
          </w:p>
        </w:tc>
        <w:tc>
          <w:tcPr>
            <w:tcW w:w="1776" w:type="dxa"/>
            <w:shd w:val="clear" w:color="auto" w:fill="auto"/>
            <w:noWrap/>
            <w:vAlign w:val="center"/>
            <w:hideMark/>
          </w:tcPr>
          <w:p w14:paraId="7305BB40" w14:textId="77777777" w:rsidR="005A580A" w:rsidRPr="00214072" w:rsidRDefault="005A580A" w:rsidP="00D22441">
            <w:pPr>
              <w:jc w:val="right"/>
              <w:rPr>
                <w:rFonts w:ascii="Arial Narrow" w:hAnsi="Arial Narrow" w:cs="Arial"/>
                <w:color w:val="000000"/>
                <w:sz w:val="16"/>
                <w:szCs w:val="16"/>
                <w:lang w:eastAsia="es-CO"/>
              </w:rPr>
            </w:pPr>
            <w:r w:rsidRPr="00214072">
              <w:rPr>
                <w:rFonts w:ascii="Arial Narrow" w:hAnsi="Arial Narrow" w:cs="Arial"/>
                <w:spacing w:val="0"/>
                <w:sz w:val="16"/>
                <w:szCs w:val="16"/>
                <w:lang w:eastAsia="es-CO"/>
              </w:rPr>
              <w:t>$ 18.300.118.313</w:t>
            </w:r>
          </w:p>
        </w:tc>
        <w:tc>
          <w:tcPr>
            <w:tcW w:w="1030" w:type="dxa"/>
            <w:vAlign w:val="center"/>
          </w:tcPr>
          <w:p w14:paraId="3DED7DD6" w14:textId="77777777" w:rsidR="005A580A" w:rsidRPr="00214072" w:rsidRDefault="005A580A" w:rsidP="00D22441">
            <w:pPr>
              <w:jc w:val="right"/>
              <w:rPr>
                <w:rFonts w:ascii="Arial Narrow" w:hAnsi="Arial Narrow" w:cs="Arial"/>
                <w:spacing w:val="0"/>
                <w:sz w:val="16"/>
                <w:szCs w:val="16"/>
                <w:lang w:eastAsia="es-CO"/>
              </w:rPr>
            </w:pPr>
            <w:r w:rsidRPr="00214072">
              <w:rPr>
                <w:rFonts w:ascii="Arial Narrow" w:hAnsi="Arial Narrow" w:cs="Arial"/>
                <w:spacing w:val="0"/>
                <w:sz w:val="16"/>
                <w:szCs w:val="16"/>
                <w:lang w:eastAsia="es-CO"/>
              </w:rPr>
              <w:t>$104.889,04</w:t>
            </w:r>
          </w:p>
        </w:tc>
      </w:tr>
      <w:tr w:rsidR="005A580A" w:rsidRPr="00214072" w14:paraId="25B9D46D" w14:textId="77777777" w:rsidTr="00DE7C1E">
        <w:trPr>
          <w:trHeight w:val="351"/>
          <w:jc w:val="center"/>
        </w:trPr>
        <w:tc>
          <w:tcPr>
            <w:tcW w:w="565" w:type="dxa"/>
            <w:shd w:val="clear" w:color="auto" w:fill="auto"/>
            <w:noWrap/>
            <w:vAlign w:val="center"/>
            <w:hideMark/>
          </w:tcPr>
          <w:p w14:paraId="5C813086" w14:textId="77777777" w:rsidR="005A580A" w:rsidRPr="00214072" w:rsidRDefault="005A580A" w:rsidP="00D22441">
            <w:pPr>
              <w:jc w:val="center"/>
              <w:rPr>
                <w:rFonts w:ascii="Arial Narrow" w:hAnsi="Arial Narrow" w:cs="Arial"/>
                <w:color w:val="000000"/>
                <w:sz w:val="16"/>
                <w:szCs w:val="16"/>
                <w:lang w:eastAsia="es-CO"/>
              </w:rPr>
            </w:pPr>
            <w:r w:rsidRPr="00214072">
              <w:rPr>
                <w:rFonts w:ascii="Arial Narrow" w:hAnsi="Arial Narrow" w:cs="Arial"/>
                <w:color w:val="000000"/>
                <w:sz w:val="16"/>
                <w:szCs w:val="16"/>
                <w:lang w:eastAsia="es-CO"/>
              </w:rPr>
              <w:lastRenderedPageBreak/>
              <w:t>2016</w:t>
            </w:r>
          </w:p>
        </w:tc>
        <w:tc>
          <w:tcPr>
            <w:tcW w:w="1157" w:type="dxa"/>
            <w:shd w:val="clear" w:color="auto" w:fill="auto"/>
            <w:noWrap/>
            <w:vAlign w:val="center"/>
            <w:hideMark/>
          </w:tcPr>
          <w:p w14:paraId="632F748C" w14:textId="77777777" w:rsidR="005A580A" w:rsidRPr="00214072" w:rsidRDefault="005A580A" w:rsidP="00D22441">
            <w:pPr>
              <w:jc w:val="center"/>
              <w:rPr>
                <w:rFonts w:ascii="Arial Narrow" w:hAnsi="Arial Narrow" w:cs="Arial"/>
                <w:color w:val="000000"/>
                <w:sz w:val="16"/>
                <w:szCs w:val="16"/>
                <w:lang w:eastAsia="es-CO"/>
              </w:rPr>
            </w:pPr>
            <w:r w:rsidRPr="00214072">
              <w:rPr>
                <w:rFonts w:ascii="Arial Narrow" w:hAnsi="Arial Narrow" w:cs="Arial"/>
                <w:color w:val="000000"/>
                <w:sz w:val="16"/>
                <w:szCs w:val="16"/>
                <w:lang w:eastAsia="es-CO"/>
              </w:rPr>
              <w:t>187</w:t>
            </w:r>
          </w:p>
        </w:tc>
        <w:tc>
          <w:tcPr>
            <w:tcW w:w="1325" w:type="dxa"/>
            <w:shd w:val="clear" w:color="auto" w:fill="auto"/>
            <w:noWrap/>
            <w:vAlign w:val="center"/>
            <w:hideMark/>
          </w:tcPr>
          <w:p w14:paraId="2E96FFF8" w14:textId="77777777" w:rsidR="005A580A" w:rsidRPr="00214072" w:rsidRDefault="005A580A" w:rsidP="00D22441">
            <w:pPr>
              <w:jc w:val="center"/>
              <w:rPr>
                <w:rFonts w:ascii="Arial Narrow" w:hAnsi="Arial Narrow" w:cs="Arial"/>
                <w:color w:val="000000"/>
                <w:sz w:val="16"/>
                <w:szCs w:val="16"/>
                <w:lang w:eastAsia="es-CO"/>
              </w:rPr>
            </w:pPr>
            <w:r w:rsidRPr="00214072">
              <w:rPr>
                <w:rFonts w:ascii="Arial Narrow" w:hAnsi="Arial Narrow" w:cs="Arial"/>
                <w:color w:val="000000"/>
                <w:sz w:val="16"/>
                <w:szCs w:val="16"/>
                <w:lang w:eastAsia="es-CO"/>
              </w:rPr>
              <w:t>0,82935%</w:t>
            </w:r>
          </w:p>
        </w:tc>
        <w:tc>
          <w:tcPr>
            <w:tcW w:w="1555" w:type="dxa"/>
            <w:vAlign w:val="center"/>
          </w:tcPr>
          <w:p w14:paraId="71E69027" w14:textId="77777777" w:rsidR="005A580A" w:rsidRPr="00214072" w:rsidRDefault="005A580A" w:rsidP="00D22441">
            <w:pPr>
              <w:jc w:val="center"/>
              <w:rPr>
                <w:rFonts w:ascii="Arial Narrow" w:hAnsi="Arial Narrow" w:cs="Arial"/>
                <w:color w:val="000000"/>
                <w:sz w:val="16"/>
                <w:szCs w:val="16"/>
                <w:lang w:eastAsia="es-CO"/>
              </w:rPr>
            </w:pPr>
            <w:r w:rsidRPr="00214072">
              <w:rPr>
                <w:rFonts w:ascii="Arial Narrow" w:hAnsi="Arial Narrow" w:cs="Arial"/>
                <w:color w:val="000000"/>
                <w:sz w:val="16"/>
                <w:szCs w:val="16"/>
                <w:lang w:eastAsia="es-CO"/>
              </w:rPr>
              <w:t>188</w:t>
            </w:r>
          </w:p>
        </w:tc>
        <w:tc>
          <w:tcPr>
            <w:tcW w:w="1555" w:type="dxa"/>
            <w:vAlign w:val="center"/>
          </w:tcPr>
          <w:p w14:paraId="353517D0" w14:textId="77777777" w:rsidR="005A580A" w:rsidRPr="00214072" w:rsidRDefault="005A580A" w:rsidP="00D22441">
            <w:pPr>
              <w:jc w:val="center"/>
              <w:rPr>
                <w:rFonts w:ascii="Arial Narrow" w:hAnsi="Arial Narrow" w:cs="Arial"/>
                <w:color w:val="000000"/>
                <w:sz w:val="16"/>
                <w:szCs w:val="16"/>
                <w:lang w:eastAsia="es-CO"/>
              </w:rPr>
            </w:pPr>
            <w:r w:rsidRPr="00214072">
              <w:rPr>
                <w:rFonts w:ascii="Arial Narrow" w:hAnsi="Arial Narrow" w:cs="Arial"/>
                <w:color w:val="000000"/>
                <w:sz w:val="16"/>
                <w:szCs w:val="16"/>
                <w:lang w:eastAsia="es-CO"/>
              </w:rPr>
              <w:t>253</w:t>
            </w:r>
          </w:p>
        </w:tc>
        <w:tc>
          <w:tcPr>
            <w:tcW w:w="1776" w:type="dxa"/>
            <w:shd w:val="clear" w:color="auto" w:fill="auto"/>
            <w:noWrap/>
            <w:vAlign w:val="center"/>
            <w:hideMark/>
          </w:tcPr>
          <w:p w14:paraId="50DF52EA" w14:textId="77777777" w:rsidR="005A580A" w:rsidRPr="00214072" w:rsidRDefault="005A580A" w:rsidP="00D22441">
            <w:pPr>
              <w:jc w:val="right"/>
              <w:rPr>
                <w:rFonts w:ascii="Arial Narrow" w:hAnsi="Arial Narrow" w:cs="Arial"/>
                <w:color w:val="000000"/>
                <w:sz w:val="16"/>
                <w:szCs w:val="16"/>
                <w:lang w:eastAsia="es-CO"/>
              </w:rPr>
            </w:pPr>
            <w:r w:rsidRPr="00214072">
              <w:rPr>
                <w:rFonts w:ascii="Arial Narrow" w:hAnsi="Arial Narrow" w:cs="Arial"/>
                <w:spacing w:val="0"/>
                <w:sz w:val="16"/>
                <w:szCs w:val="16"/>
                <w:lang w:eastAsia="es-CO"/>
              </w:rPr>
              <w:t>$ 19.027.013.280</w:t>
            </w:r>
          </w:p>
        </w:tc>
        <w:tc>
          <w:tcPr>
            <w:tcW w:w="1030" w:type="dxa"/>
            <w:vAlign w:val="center"/>
          </w:tcPr>
          <w:p w14:paraId="227CB85F" w14:textId="77777777" w:rsidR="005A580A" w:rsidRPr="00214072" w:rsidRDefault="005A580A" w:rsidP="00D22441">
            <w:pPr>
              <w:jc w:val="right"/>
              <w:rPr>
                <w:rFonts w:ascii="Arial Narrow" w:hAnsi="Arial Narrow" w:cs="Arial"/>
                <w:spacing w:val="0"/>
                <w:sz w:val="16"/>
                <w:szCs w:val="16"/>
                <w:lang w:eastAsia="es-CO"/>
              </w:rPr>
            </w:pPr>
            <w:r w:rsidRPr="00214072">
              <w:rPr>
                <w:rFonts w:ascii="Arial Narrow" w:hAnsi="Arial Narrow" w:cs="Arial"/>
                <w:spacing w:val="0"/>
                <w:sz w:val="16"/>
                <w:szCs w:val="16"/>
                <w:lang w:eastAsia="es-CO"/>
              </w:rPr>
              <w:t>$104.889,04</w:t>
            </w:r>
          </w:p>
        </w:tc>
      </w:tr>
      <w:tr w:rsidR="005A580A" w:rsidRPr="00214072" w14:paraId="5ED104FA" w14:textId="77777777" w:rsidTr="00DE7C1E">
        <w:trPr>
          <w:trHeight w:val="341"/>
          <w:jc w:val="center"/>
        </w:trPr>
        <w:tc>
          <w:tcPr>
            <w:tcW w:w="565" w:type="dxa"/>
            <w:shd w:val="clear" w:color="auto" w:fill="auto"/>
            <w:noWrap/>
            <w:vAlign w:val="center"/>
            <w:hideMark/>
          </w:tcPr>
          <w:p w14:paraId="6517311D" w14:textId="77777777" w:rsidR="005A580A" w:rsidRPr="00214072" w:rsidRDefault="005A580A" w:rsidP="00D22441">
            <w:pPr>
              <w:jc w:val="center"/>
              <w:rPr>
                <w:rFonts w:ascii="Arial Narrow" w:hAnsi="Arial Narrow" w:cs="Arial"/>
                <w:color w:val="000000"/>
                <w:sz w:val="16"/>
                <w:szCs w:val="16"/>
                <w:lang w:eastAsia="es-CO"/>
              </w:rPr>
            </w:pPr>
            <w:r w:rsidRPr="00214072">
              <w:rPr>
                <w:rFonts w:ascii="Arial Narrow" w:hAnsi="Arial Narrow" w:cs="Arial"/>
                <w:color w:val="000000"/>
                <w:sz w:val="16"/>
                <w:szCs w:val="16"/>
                <w:lang w:eastAsia="es-CO"/>
              </w:rPr>
              <w:t>2017</w:t>
            </w:r>
          </w:p>
        </w:tc>
        <w:tc>
          <w:tcPr>
            <w:tcW w:w="1157" w:type="dxa"/>
            <w:shd w:val="clear" w:color="auto" w:fill="auto"/>
            <w:noWrap/>
            <w:vAlign w:val="center"/>
            <w:hideMark/>
          </w:tcPr>
          <w:p w14:paraId="45C4055E" w14:textId="77777777" w:rsidR="005A580A" w:rsidRPr="00214072" w:rsidRDefault="005A580A" w:rsidP="00D22441">
            <w:pPr>
              <w:jc w:val="center"/>
              <w:rPr>
                <w:rFonts w:ascii="Arial Narrow" w:hAnsi="Arial Narrow" w:cs="Arial"/>
                <w:color w:val="000000"/>
                <w:sz w:val="16"/>
                <w:szCs w:val="16"/>
                <w:lang w:eastAsia="es-CO"/>
              </w:rPr>
            </w:pPr>
            <w:r w:rsidRPr="00214072">
              <w:rPr>
                <w:rFonts w:ascii="Arial Narrow" w:hAnsi="Arial Narrow" w:cs="Arial"/>
                <w:color w:val="000000"/>
                <w:sz w:val="16"/>
                <w:szCs w:val="16"/>
                <w:lang w:eastAsia="es-CO"/>
              </w:rPr>
              <w:t>161</w:t>
            </w:r>
          </w:p>
        </w:tc>
        <w:tc>
          <w:tcPr>
            <w:tcW w:w="1325" w:type="dxa"/>
            <w:shd w:val="clear" w:color="auto" w:fill="auto"/>
            <w:noWrap/>
            <w:vAlign w:val="center"/>
            <w:hideMark/>
          </w:tcPr>
          <w:p w14:paraId="0C0ECD34" w14:textId="77777777" w:rsidR="005A580A" w:rsidRPr="00214072" w:rsidRDefault="005A580A" w:rsidP="00D22441">
            <w:pPr>
              <w:jc w:val="center"/>
              <w:rPr>
                <w:rFonts w:ascii="Arial Narrow" w:hAnsi="Arial Narrow" w:cs="Arial"/>
                <w:color w:val="000000"/>
                <w:sz w:val="16"/>
                <w:szCs w:val="16"/>
                <w:lang w:eastAsia="es-CO"/>
              </w:rPr>
            </w:pPr>
            <w:r w:rsidRPr="00214072">
              <w:rPr>
                <w:rFonts w:ascii="Arial Narrow" w:hAnsi="Arial Narrow" w:cs="Arial"/>
                <w:color w:val="000000"/>
                <w:sz w:val="16"/>
                <w:szCs w:val="16"/>
                <w:lang w:eastAsia="es-CO"/>
              </w:rPr>
              <w:t>0,994%</w:t>
            </w:r>
          </w:p>
        </w:tc>
        <w:tc>
          <w:tcPr>
            <w:tcW w:w="1555" w:type="dxa"/>
            <w:vAlign w:val="center"/>
          </w:tcPr>
          <w:p w14:paraId="2EE30681" w14:textId="77777777" w:rsidR="005A580A" w:rsidRPr="00214072" w:rsidRDefault="005A580A" w:rsidP="00D22441">
            <w:pPr>
              <w:jc w:val="center"/>
              <w:rPr>
                <w:rFonts w:ascii="Arial Narrow" w:hAnsi="Arial Narrow" w:cs="Arial"/>
                <w:color w:val="000000"/>
                <w:sz w:val="16"/>
                <w:szCs w:val="16"/>
                <w:lang w:eastAsia="es-CO"/>
              </w:rPr>
            </w:pPr>
            <w:r w:rsidRPr="00214072">
              <w:rPr>
                <w:rFonts w:ascii="Arial Narrow" w:hAnsi="Arial Narrow" w:cs="Arial"/>
                <w:color w:val="000000"/>
                <w:sz w:val="16"/>
                <w:szCs w:val="16"/>
                <w:lang w:eastAsia="es-CO"/>
              </w:rPr>
              <w:t>162</w:t>
            </w:r>
          </w:p>
        </w:tc>
        <w:tc>
          <w:tcPr>
            <w:tcW w:w="1555" w:type="dxa"/>
            <w:vAlign w:val="center"/>
          </w:tcPr>
          <w:p w14:paraId="567D48B2" w14:textId="77777777" w:rsidR="005A580A" w:rsidRPr="00214072" w:rsidRDefault="005A580A" w:rsidP="00D22441">
            <w:pPr>
              <w:jc w:val="center"/>
              <w:rPr>
                <w:rFonts w:ascii="Arial Narrow" w:hAnsi="Arial Narrow" w:cs="Arial"/>
                <w:color w:val="000000"/>
                <w:sz w:val="16"/>
                <w:szCs w:val="16"/>
                <w:lang w:eastAsia="es-CO"/>
              </w:rPr>
            </w:pPr>
            <w:r w:rsidRPr="00214072">
              <w:rPr>
                <w:rFonts w:ascii="Arial Narrow" w:hAnsi="Arial Narrow" w:cs="Arial"/>
                <w:color w:val="000000"/>
                <w:sz w:val="16"/>
                <w:szCs w:val="16"/>
                <w:lang w:eastAsia="es-CO"/>
              </w:rPr>
              <w:t>282</w:t>
            </w:r>
          </w:p>
        </w:tc>
        <w:tc>
          <w:tcPr>
            <w:tcW w:w="1776" w:type="dxa"/>
            <w:shd w:val="clear" w:color="auto" w:fill="auto"/>
            <w:noWrap/>
            <w:vAlign w:val="center"/>
            <w:hideMark/>
          </w:tcPr>
          <w:p w14:paraId="1F5AB998" w14:textId="77777777" w:rsidR="005A580A" w:rsidRPr="00214072" w:rsidRDefault="005A580A" w:rsidP="00D22441">
            <w:pPr>
              <w:jc w:val="right"/>
              <w:rPr>
                <w:rFonts w:ascii="Arial Narrow" w:hAnsi="Arial Narrow" w:cs="Arial"/>
                <w:color w:val="000000"/>
                <w:sz w:val="16"/>
                <w:szCs w:val="16"/>
                <w:lang w:eastAsia="es-CO"/>
              </w:rPr>
            </w:pPr>
            <w:r w:rsidRPr="00214072">
              <w:rPr>
                <w:rFonts w:ascii="Arial Narrow" w:hAnsi="Arial Narrow" w:cs="Arial"/>
                <w:spacing w:val="0"/>
                <w:sz w:val="16"/>
                <w:szCs w:val="16"/>
                <w:lang w:eastAsia="es-CO"/>
              </w:rPr>
              <w:t>$ 19.923.795.923</w:t>
            </w:r>
          </w:p>
        </w:tc>
        <w:tc>
          <w:tcPr>
            <w:tcW w:w="1030" w:type="dxa"/>
            <w:vAlign w:val="center"/>
          </w:tcPr>
          <w:p w14:paraId="768EC964" w14:textId="77777777" w:rsidR="005A580A" w:rsidRPr="00214072" w:rsidRDefault="005A580A" w:rsidP="00D22441">
            <w:pPr>
              <w:jc w:val="right"/>
              <w:rPr>
                <w:rFonts w:ascii="Arial Narrow" w:hAnsi="Arial Narrow" w:cs="Arial"/>
                <w:spacing w:val="0"/>
                <w:sz w:val="16"/>
                <w:szCs w:val="16"/>
                <w:lang w:eastAsia="es-CO"/>
              </w:rPr>
            </w:pPr>
            <w:r w:rsidRPr="00214072">
              <w:rPr>
                <w:rFonts w:ascii="Arial Narrow" w:hAnsi="Arial Narrow" w:cs="Arial"/>
                <w:spacing w:val="0"/>
                <w:sz w:val="16"/>
                <w:szCs w:val="16"/>
                <w:lang w:eastAsia="es-CO"/>
              </w:rPr>
              <w:t>$104.889,04</w:t>
            </w:r>
          </w:p>
        </w:tc>
      </w:tr>
      <w:tr w:rsidR="005A580A" w:rsidRPr="00214072" w14:paraId="14D07295" w14:textId="77777777" w:rsidTr="00DE7C1E">
        <w:trPr>
          <w:trHeight w:val="345"/>
          <w:jc w:val="center"/>
        </w:trPr>
        <w:tc>
          <w:tcPr>
            <w:tcW w:w="565" w:type="dxa"/>
            <w:shd w:val="clear" w:color="auto" w:fill="auto"/>
            <w:noWrap/>
            <w:vAlign w:val="center"/>
            <w:hideMark/>
          </w:tcPr>
          <w:p w14:paraId="13B8CA35" w14:textId="77777777" w:rsidR="005A580A" w:rsidRPr="00214072" w:rsidRDefault="005A580A" w:rsidP="00D22441">
            <w:pPr>
              <w:jc w:val="center"/>
              <w:rPr>
                <w:rFonts w:ascii="Arial Narrow" w:hAnsi="Arial Narrow" w:cs="Arial"/>
                <w:color w:val="000000"/>
                <w:sz w:val="16"/>
                <w:szCs w:val="16"/>
                <w:lang w:eastAsia="es-CO"/>
              </w:rPr>
            </w:pPr>
            <w:r w:rsidRPr="00214072">
              <w:rPr>
                <w:rFonts w:ascii="Arial Narrow" w:hAnsi="Arial Narrow" w:cs="Arial"/>
                <w:color w:val="000000"/>
                <w:sz w:val="16"/>
                <w:szCs w:val="16"/>
                <w:lang w:eastAsia="es-CO"/>
              </w:rPr>
              <w:t>2018</w:t>
            </w:r>
          </w:p>
        </w:tc>
        <w:tc>
          <w:tcPr>
            <w:tcW w:w="1157" w:type="dxa"/>
            <w:shd w:val="clear" w:color="auto" w:fill="auto"/>
            <w:noWrap/>
            <w:vAlign w:val="center"/>
            <w:hideMark/>
          </w:tcPr>
          <w:p w14:paraId="33320F7F" w14:textId="77777777" w:rsidR="005A580A" w:rsidRPr="00214072" w:rsidRDefault="005A580A" w:rsidP="00D22441">
            <w:pPr>
              <w:jc w:val="center"/>
              <w:rPr>
                <w:rFonts w:ascii="Arial Narrow" w:hAnsi="Arial Narrow" w:cs="Arial"/>
                <w:color w:val="000000"/>
                <w:sz w:val="16"/>
                <w:szCs w:val="16"/>
                <w:lang w:eastAsia="es-CO"/>
              </w:rPr>
            </w:pPr>
            <w:r w:rsidRPr="00214072">
              <w:rPr>
                <w:rFonts w:ascii="Arial Narrow" w:hAnsi="Arial Narrow" w:cs="Arial"/>
                <w:color w:val="000000"/>
                <w:sz w:val="16"/>
                <w:szCs w:val="16"/>
                <w:lang w:eastAsia="es-CO"/>
              </w:rPr>
              <w:t>138</w:t>
            </w:r>
          </w:p>
        </w:tc>
        <w:tc>
          <w:tcPr>
            <w:tcW w:w="1325" w:type="dxa"/>
            <w:shd w:val="clear" w:color="auto" w:fill="auto"/>
            <w:noWrap/>
            <w:vAlign w:val="center"/>
            <w:hideMark/>
          </w:tcPr>
          <w:p w14:paraId="2289567A" w14:textId="77777777" w:rsidR="005A580A" w:rsidRPr="00214072" w:rsidRDefault="005A580A" w:rsidP="00D22441">
            <w:pPr>
              <w:jc w:val="center"/>
              <w:rPr>
                <w:rFonts w:ascii="Arial Narrow" w:hAnsi="Arial Narrow" w:cs="Arial"/>
                <w:color w:val="000000"/>
                <w:sz w:val="16"/>
                <w:szCs w:val="16"/>
                <w:lang w:eastAsia="es-CO"/>
              </w:rPr>
            </w:pPr>
            <w:r w:rsidRPr="00214072">
              <w:rPr>
                <w:rFonts w:ascii="Arial Narrow" w:hAnsi="Arial Narrow" w:cs="Arial"/>
                <w:color w:val="000000"/>
                <w:sz w:val="16"/>
                <w:szCs w:val="16"/>
                <w:lang w:eastAsia="es-CO"/>
              </w:rPr>
              <w:t>1,00%</w:t>
            </w:r>
          </w:p>
        </w:tc>
        <w:tc>
          <w:tcPr>
            <w:tcW w:w="1555" w:type="dxa"/>
            <w:vAlign w:val="center"/>
          </w:tcPr>
          <w:p w14:paraId="09C749E9" w14:textId="77777777" w:rsidR="005A580A" w:rsidRPr="00214072" w:rsidRDefault="005A580A" w:rsidP="00D22441">
            <w:pPr>
              <w:jc w:val="center"/>
              <w:rPr>
                <w:rFonts w:ascii="Arial Narrow" w:hAnsi="Arial Narrow" w:cs="Arial"/>
                <w:color w:val="000000"/>
                <w:sz w:val="16"/>
                <w:szCs w:val="16"/>
                <w:lang w:eastAsia="es-CO"/>
              </w:rPr>
            </w:pPr>
            <w:r w:rsidRPr="00214072">
              <w:rPr>
                <w:rFonts w:ascii="Arial Narrow" w:hAnsi="Arial Narrow" w:cs="Arial"/>
                <w:color w:val="000000"/>
                <w:sz w:val="16"/>
                <w:szCs w:val="16"/>
                <w:lang w:eastAsia="es-CO"/>
              </w:rPr>
              <w:t>139</w:t>
            </w:r>
          </w:p>
        </w:tc>
        <w:tc>
          <w:tcPr>
            <w:tcW w:w="1555" w:type="dxa"/>
            <w:vAlign w:val="center"/>
          </w:tcPr>
          <w:p w14:paraId="3D6B1CFA" w14:textId="77777777" w:rsidR="005A580A" w:rsidRPr="00214072" w:rsidRDefault="005A580A" w:rsidP="00D22441">
            <w:pPr>
              <w:jc w:val="center"/>
              <w:rPr>
                <w:rFonts w:ascii="Arial Narrow" w:hAnsi="Arial Narrow" w:cs="Arial"/>
                <w:color w:val="000000"/>
                <w:sz w:val="16"/>
                <w:szCs w:val="16"/>
                <w:lang w:eastAsia="es-CO"/>
              </w:rPr>
            </w:pPr>
            <w:r w:rsidRPr="00214072">
              <w:rPr>
                <w:rFonts w:ascii="Arial Narrow" w:hAnsi="Arial Narrow" w:cs="Arial"/>
                <w:color w:val="000000"/>
                <w:sz w:val="16"/>
                <w:szCs w:val="16"/>
                <w:lang w:eastAsia="es-CO"/>
              </w:rPr>
              <w:t>307</w:t>
            </w:r>
          </w:p>
        </w:tc>
        <w:tc>
          <w:tcPr>
            <w:tcW w:w="1776" w:type="dxa"/>
            <w:shd w:val="clear" w:color="auto" w:fill="auto"/>
            <w:noWrap/>
            <w:vAlign w:val="center"/>
            <w:hideMark/>
          </w:tcPr>
          <w:p w14:paraId="5143788A" w14:textId="77777777" w:rsidR="005A580A" w:rsidRPr="00214072" w:rsidRDefault="005A580A" w:rsidP="00D22441">
            <w:pPr>
              <w:jc w:val="right"/>
              <w:rPr>
                <w:rFonts w:ascii="Arial Narrow" w:hAnsi="Arial Narrow" w:cs="Arial"/>
                <w:spacing w:val="0"/>
                <w:sz w:val="16"/>
                <w:szCs w:val="16"/>
                <w:lang w:eastAsia="es-CO"/>
              </w:rPr>
            </w:pPr>
            <w:r w:rsidRPr="00214072">
              <w:rPr>
                <w:rFonts w:ascii="Arial Narrow" w:hAnsi="Arial Narrow" w:cs="Arial"/>
                <w:spacing w:val="0"/>
                <w:sz w:val="16"/>
                <w:szCs w:val="16"/>
                <w:lang w:eastAsia="es-CO"/>
              </w:rPr>
              <w:t>$ 22.212.747.000</w:t>
            </w:r>
          </w:p>
        </w:tc>
        <w:tc>
          <w:tcPr>
            <w:tcW w:w="1030" w:type="dxa"/>
            <w:vAlign w:val="center"/>
          </w:tcPr>
          <w:p w14:paraId="2474182E" w14:textId="77777777" w:rsidR="005A580A" w:rsidRPr="00214072" w:rsidRDefault="005A580A" w:rsidP="00D22441">
            <w:pPr>
              <w:jc w:val="right"/>
              <w:rPr>
                <w:rFonts w:ascii="Arial Narrow" w:hAnsi="Arial Narrow" w:cs="Arial"/>
                <w:spacing w:val="0"/>
                <w:sz w:val="16"/>
                <w:szCs w:val="16"/>
                <w:lang w:eastAsia="es-CO"/>
              </w:rPr>
            </w:pPr>
            <w:r w:rsidRPr="00214072">
              <w:rPr>
                <w:rFonts w:ascii="Arial Narrow" w:hAnsi="Arial Narrow" w:cs="Arial"/>
                <w:spacing w:val="0"/>
                <w:sz w:val="16"/>
                <w:szCs w:val="16"/>
                <w:lang w:eastAsia="es-CO"/>
              </w:rPr>
              <w:t>$0,00</w:t>
            </w:r>
          </w:p>
        </w:tc>
      </w:tr>
      <w:tr w:rsidR="005A580A" w:rsidRPr="00214072" w14:paraId="0B23631E" w14:textId="77777777" w:rsidTr="00DE7C1E">
        <w:trPr>
          <w:trHeight w:val="343"/>
          <w:jc w:val="center"/>
        </w:trPr>
        <w:tc>
          <w:tcPr>
            <w:tcW w:w="565" w:type="dxa"/>
            <w:shd w:val="clear" w:color="auto" w:fill="auto"/>
            <w:noWrap/>
            <w:vAlign w:val="center"/>
            <w:hideMark/>
          </w:tcPr>
          <w:p w14:paraId="1BC877C0" w14:textId="77777777" w:rsidR="005A580A" w:rsidRPr="00214072" w:rsidRDefault="005A580A" w:rsidP="00D22441">
            <w:pPr>
              <w:jc w:val="center"/>
              <w:rPr>
                <w:rFonts w:ascii="Arial Narrow" w:hAnsi="Arial Narrow" w:cs="Arial"/>
                <w:color w:val="000000"/>
                <w:sz w:val="16"/>
                <w:szCs w:val="16"/>
                <w:lang w:eastAsia="es-CO"/>
              </w:rPr>
            </w:pPr>
            <w:r w:rsidRPr="00214072">
              <w:rPr>
                <w:rFonts w:ascii="Arial Narrow" w:hAnsi="Arial Narrow" w:cs="Arial"/>
                <w:color w:val="000000"/>
                <w:sz w:val="16"/>
                <w:szCs w:val="16"/>
                <w:lang w:eastAsia="es-CO"/>
              </w:rPr>
              <w:t>2019</w:t>
            </w:r>
          </w:p>
        </w:tc>
        <w:tc>
          <w:tcPr>
            <w:tcW w:w="1157" w:type="dxa"/>
            <w:shd w:val="clear" w:color="auto" w:fill="auto"/>
            <w:noWrap/>
            <w:vAlign w:val="center"/>
            <w:hideMark/>
          </w:tcPr>
          <w:p w14:paraId="74A6CE5F" w14:textId="77777777" w:rsidR="005A580A" w:rsidRPr="00214072" w:rsidRDefault="005A580A" w:rsidP="00D22441">
            <w:pPr>
              <w:jc w:val="center"/>
              <w:rPr>
                <w:rFonts w:ascii="Arial Narrow" w:hAnsi="Arial Narrow" w:cs="Arial"/>
                <w:color w:val="000000"/>
                <w:sz w:val="16"/>
                <w:szCs w:val="16"/>
                <w:lang w:eastAsia="es-CO"/>
              </w:rPr>
            </w:pPr>
            <w:r w:rsidRPr="00214072">
              <w:rPr>
                <w:rFonts w:ascii="Arial Narrow" w:hAnsi="Arial Narrow" w:cs="Arial"/>
                <w:color w:val="000000"/>
                <w:sz w:val="16"/>
                <w:szCs w:val="16"/>
                <w:lang w:eastAsia="es-CO"/>
              </w:rPr>
              <w:t>197</w:t>
            </w:r>
          </w:p>
        </w:tc>
        <w:tc>
          <w:tcPr>
            <w:tcW w:w="1325" w:type="dxa"/>
            <w:shd w:val="clear" w:color="auto" w:fill="auto"/>
            <w:noWrap/>
            <w:vAlign w:val="center"/>
            <w:hideMark/>
          </w:tcPr>
          <w:p w14:paraId="3E48199C" w14:textId="77777777" w:rsidR="005A580A" w:rsidRPr="00214072" w:rsidRDefault="005A580A" w:rsidP="00D22441">
            <w:pPr>
              <w:jc w:val="center"/>
              <w:rPr>
                <w:rFonts w:ascii="Arial Narrow" w:hAnsi="Arial Narrow" w:cs="Arial"/>
                <w:color w:val="000000"/>
                <w:sz w:val="16"/>
                <w:szCs w:val="16"/>
                <w:lang w:eastAsia="es-CO"/>
              </w:rPr>
            </w:pPr>
            <w:r w:rsidRPr="00214072">
              <w:rPr>
                <w:rFonts w:ascii="Arial Narrow" w:hAnsi="Arial Narrow" w:cs="Arial"/>
                <w:color w:val="000000"/>
                <w:sz w:val="16"/>
                <w:szCs w:val="16"/>
                <w:lang w:eastAsia="es-CO"/>
              </w:rPr>
              <w:t>1,00%</w:t>
            </w:r>
          </w:p>
        </w:tc>
        <w:tc>
          <w:tcPr>
            <w:tcW w:w="1555" w:type="dxa"/>
            <w:vAlign w:val="center"/>
          </w:tcPr>
          <w:p w14:paraId="6F0B3C54" w14:textId="77777777" w:rsidR="005A580A" w:rsidRPr="00214072" w:rsidRDefault="005A580A" w:rsidP="00D22441">
            <w:pPr>
              <w:jc w:val="center"/>
              <w:rPr>
                <w:rFonts w:ascii="Arial Narrow" w:hAnsi="Arial Narrow" w:cs="Arial"/>
                <w:color w:val="000000"/>
                <w:sz w:val="16"/>
                <w:szCs w:val="16"/>
                <w:lang w:eastAsia="es-CO"/>
              </w:rPr>
            </w:pPr>
            <w:r w:rsidRPr="00214072">
              <w:rPr>
                <w:rFonts w:ascii="Arial Narrow" w:hAnsi="Arial Narrow" w:cs="Arial"/>
                <w:color w:val="000000"/>
                <w:sz w:val="16"/>
                <w:szCs w:val="16"/>
                <w:lang w:eastAsia="es-CO"/>
              </w:rPr>
              <w:t>Liquidación oficial</w:t>
            </w:r>
          </w:p>
        </w:tc>
        <w:tc>
          <w:tcPr>
            <w:tcW w:w="1555" w:type="dxa"/>
            <w:vAlign w:val="center"/>
          </w:tcPr>
          <w:p w14:paraId="1D16475F" w14:textId="77777777" w:rsidR="005A580A" w:rsidRPr="00214072" w:rsidRDefault="005A580A" w:rsidP="00D22441">
            <w:pPr>
              <w:jc w:val="center"/>
              <w:rPr>
                <w:rFonts w:ascii="Arial Narrow" w:hAnsi="Arial Narrow" w:cs="Arial"/>
                <w:color w:val="000000"/>
                <w:sz w:val="16"/>
                <w:szCs w:val="16"/>
                <w:lang w:eastAsia="es-CO"/>
              </w:rPr>
            </w:pPr>
            <w:r w:rsidRPr="00214072">
              <w:rPr>
                <w:rFonts w:ascii="Arial Narrow" w:hAnsi="Arial Narrow" w:cs="Arial"/>
                <w:color w:val="000000"/>
                <w:sz w:val="16"/>
                <w:szCs w:val="16"/>
                <w:lang w:eastAsia="es-CO"/>
              </w:rPr>
              <w:t>337</w:t>
            </w:r>
          </w:p>
        </w:tc>
        <w:tc>
          <w:tcPr>
            <w:tcW w:w="1776" w:type="dxa"/>
            <w:shd w:val="clear" w:color="auto" w:fill="auto"/>
            <w:noWrap/>
            <w:vAlign w:val="center"/>
            <w:hideMark/>
          </w:tcPr>
          <w:p w14:paraId="7ABCCDDE" w14:textId="77777777" w:rsidR="005A580A" w:rsidRPr="00214072" w:rsidRDefault="005A580A" w:rsidP="00D22441">
            <w:pPr>
              <w:jc w:val="right"/>
              <w:rPr>
                <w:rFonts w:ascii="Arial Narrow" w:hAnsi="Arial Narrow" w:cs="Arial"/>
                <w:color w:val="000000"/>
                <w:sz w:val="16"/>
                <w:szCs w:val="16"/>
                <w:lang w:eastAsia="es-CO"/>
              </w:rPr>
            </w:pPr>
            <w:r w:rsidRPr="00214072">
              <w:rPr>
                <w:rFonts w:ascii="Arial Narrow" w:hAnsi="Arial Narrow" w:cs="Arial"/>
                <w:spacing w:val="0"/>
                <w:sz w:val="16"/>
                <w:szCs w:val="16"/>
                <w:lang w:eastAsia="es-CO"/>
              </w:rPr>
              <w:t>$ 27.686.960.300</w:t>
            </w:r>
          </w:p>
        </w:tc>
        <w:tc>
          <w:tcPr>
            <w:tcW w:w="1030" w:type="dxa"/>
            <w:vAlign w:val="center"/>
          </w:tcPr>
          <w:p w14:paraId="3832ACFE" w14:textId="77777777" w:rsidR="005A580A" w:rsidRPr="00214072" w:rsidRDefault="005A580A" w:rsidP="00D22441">
            <w:pPr>
              <w:jc w:val="right"/>
              <w:rPr>
                <w:rFonts w:ascii="Arial Narrow" w:hAnsi="Arial Narrow" w:cs="Arial"/>
                <w:spacing w:val="0"/>
                <w:sz w:val="16"/>
                <w:szCs w:val="16"/>
                <w:lang w:eastAsia="es-CO"/>
              </w:rPr>
            </w:pPr>
            <w:r w:rsidRPr="00214072">
              <w:rPr>
                <w:rFonts w:ascii="Arial Narrow" w:hAnsi="Arial Narrow" w:cs="Arial"/>
                <w:spacing w:val="0"/>
                <w:sz w:val="16"/>
                <w:szCs w:val="16"/>
                <w:lang w:eastAsia="es-CO"/>
              </w:rPr>
              <w:t>$0,00</w:t>
            </w:r>
          </w:p>
        </w:tc>
      </w:tr>
      <w:tr w:rsidR="005A580A" w:rsidRPr="00214072" w14:paraId="5E9460AE" w14:textId="77777777" w:rsidTr="000343A2">
        <w:trPr>
          <w:trHeight w:val="358"/>
          <w:jc w:val="center"/>
        </w:trPr>
        <w:tc>
          <w:tcPr>
            <w:tcW w:w="565" w:type="dxa"/>
            <w:shd w:val="clear" w:color="auto" w:fill="auto"/>
            <w:noWrap/>
            <w:vAlign w:val="center"/>
          </w:tcPr>
          <w:p w14:paraId="679E3D61" w14:textId="77777777" w:rsidR="005A580A" w:rsidRPr="00214072" w:rsidRDefault="005A580A" w:rsidP="00D22441">
            <w:pPr>
              <w:jc w:val="center"/>
              <w:rPr>
                <w:rFonts w:ascii="Arial Narrow" w:hAnsi="Arial Narrow" w:cs="Arial"/>
                <w:color w:val="000000"/>
                <w:sz w:val="16"/>
                <w:szCs w:val="16"/>
                <w:lang w:eastAsia="es-CO"/>
              </w:rPr>
            </w:pPr>
            <w:r w:rsidRPr="00214072">
              <w:rPr>
                <w:rFonts w:ascii="Arial Narrow" w:hAnsi="Arial Narrow" w:cs="Arial"/>
                <w:color w:val="000000"/>
                <w:sz w:val="16"/>
                <w:szCs w:val="16"/>
                <w:lang w:eastAsia="es-CO"/>
              </w:rPr>
              <w:t>2020</w:t>
            </w:r>
          </w:p>
        </w:tc>
        <w:tc>
          <w:tcPr>
            <w:tcW w:w="1157" w:type="dxa"/>
            <w:shd w:val="clear" w:color="auto" w:fill="auto"/>
            <w:noWrap/>
            <w:vAlign w:val="center"/>
          </w:tcPr>
          <w:p w14:paraId="3CA59704" w14:textId="77777777" w:rsidR="005A580A" w:rsidRPr="00214072" w:rsidRDefault="005A580A" w:rsidP="00D22441">
            <w:pPr>
              <w:jc w:val="center"/>
              <w:rPr>
                <w:rFonts w:ascii="Arial Narrow" w:hAnsi="Arial Narrow" w:cs="Arial"/>
                <w:color w:val="000000"/>
                <w:sz w:val="16"/>
                <w:szCs w:val="16"/>
                <w:lang w:eastAsia="es-CO"/>
              </w:rPr>
            </w:pPr>
            <w:r w:rsidRPr="00214072">
              <w:rPr>
                <w:rFonts w:ascii="Arial Narrow" w:hAnsi="Arial Narrow" w:cs="Arial"/>
                <w:color w:val="000000"/>
                <w:sz w:val="16"/>
                <w:szCs w:val="16"/>
                <w:lang w:eastAsia="es-CO"/>
              </w:rPr>
              <w:t>235</w:t>
            </w:r>
          </w:p>
        </w:tc>
        <w:tc>
          <w:tcPr>
            <w:tcW w:w="1325" w:type="dxa"/>
            <w:shd w:val="clear" w:color="auto" w:fill="auto"/>
            <w:noWrap/>
            <w:vAlign w:val="center"/>
          </w:tcPr>
          <w:p w14:paraId="379F5A0F" w14:textId="77777777" w:rsidR="005A580A" w:rsidRPr="00214072" w:rsidRDefault="005A580A" w:rsidP="00D22441">
            <w:pPr>
              <w:jc w:val="center"/>
              <w:rPr>
                <w:rFonts w:ascii="Arial Narrow" w:hAnsi="Arial Narrow" w:cs="Arial"/>
                <w:color w:val="000000"/>
                <w:sz w:val="16"/>
                <w:szCs w:val="16"/>
                <w:lang w:eastAsia="es-CO"/>
              </w:rPr>
            </w:pPr>
            <w:r w:rsidRPr="00214072">
              <w:rPr>
                <w:rFonts w:ascii="Arial Narrow" w:hAnsi="Arial Narrow" w:cs="Arial"/>
                <w:color w:val="000000"/>
                <w:sz w:val="16"/>
                <w:szCs w:val="16"/>
                <w:lang w:eastAsia="es-CO"/>
              </w:rPr>
              <w:t>1,00%</w:t>
            </w:r>
          </w:p>
        </w:tc>
        <w:tc>
          <w:tcPr>
            <w:tcW w:w="1555" w:type="dxa"/>
            <w:vAlign w:val="center"/>
          </w:tcPr>
          <w:p w14:paraId="774EB09C" w14:textId="77777777" w:rsidR="005A580A" w:rsidRPr="00214072" w:rsidRDefault="005A580A" w:rsidP="00D22441">
            <w:pPr>
              <w:jc w:val="center"/>
              <w:rPr>
                <w:rFonts w:ascii="Arial Narrow" w:hAnsi="Arial Narrow" w:cs="Arial"/>
                <w:color w:val="000000"/>
                <w:sz w:val="16"/>
                <w:szCs w:val="16"/>
                <w:lang w:eastAsia="es-CO"/>
              </w:rPr>
            </w:pPr>
            <w:r w:rsidRPr="00214072">
              <w:rPr>
                <w:rFonts w:ascii="Arial Narrow" w:hAnsi="Arial Narrow" w:cs="Arial"/>
                <w:color w:val="000000"/>
                <w:sz w:val="16"/>
                <w:szCs w:val="16"/>
                <w:lang w:eastAsia="es-CO"/>
              </w:rPr>
              <w:t>Liquidación oficial</w:t>
            </w:r>
          </w:p>
        </w:tc>
        <w:tc>
          <w:tcPr>
            <w:tcW w:w="1555" w:type="dxa"/>
            <w:vAlign w:val="center"/>
          </w:tcPr>
          <w:p w14:paraId="20DA5599" w14:textId="77777777" w:rsidR="005A580A" w:rsidRPr="00214072" w:rsidRDefault="005A580A" w:rsidP="00D22441">
            <w:pPr>
              <w:jc w:val="center"/>
              <w:rPr>
                <w:rFonts w:ascii="Arial Narrow" w:hAnsi="Arial Narrow" w:cs="Arial"/>
                <w:color w:val="000000"/>
                <w:sz w:val="16"/>
                <w:szCs w:val="16"/>
                <w:lang w:eastAsia="es-CO"/>
              </w:rPr>
            </w:pPr>
            <w:r w:rsidRPr="00214072">
              <w:rPr>
                <w:rFonts w:ascii="Arial Narrow" w:hAnsi="Arial Narrow" w:cs="Arial"/>
                <w:color w:val="000000"/>
                <w:sz w:val="16"/>
                <w:szCs w:val="16"/>
                <w:lang w:eastAsia="es-CO"/>
              </w:rPr>
              <w:t>307</w:t>
            </w:r>
          </w:p>
        </w:tc>
        <w:tc>
          <w:tcPr>
            <w:tcW w:w="1776" w:type="dxa"/>
            <w:shd w:val="clear" w:color="auto" w:fill="auto"/>
            <w:noWrap/>
            <w:vAlign w:val="center"/>
          </w:tcPr>
          <w:p w14:paraId="73128B0C" w14:textId="77777777" w:rsidR="005A580A" w:rsidRPr="00214072" w:rsidRDefault="005A580A" w:rsidP="00D22441">
            <w:pPr>
              <w:jc w:val="right"/>
              <w:rPr>
                <w:rFonts w:ascii="Arial Narrow" w:hAnsi="Arial Narrow" w:cs="Arial"/>
                <w:spacing w:val="0"/>
                <w:sz w:val="16"/>
                <w:szCs w:val="16"/>
                <w:lang w:eastAsia="es-CO"/>
              </w:rPr>
            </w:pPr>
            <w:r w:rsidRPr="00214072">
              <w:rPr>
                <w:rFonts w:ascii="Arial Narrow" w:hAnsi="Arial Narrow" w:cs="Arial"/>
                <w:spacing w:val="0"/>
                <w:sz w:val="16"/>
                <w:szCs w:val="16"/>
                <w:lang w:eastAsia="es-CO"/>
              </w:rPr>
              <w:t>$ 30.459.998.090</w:t>
            </w:r>
          </w:p>
        </w:tc>
        <w:tc>
          <w:tcPr>
            <w:tcW w:w="1030" w:type="dxa"/>
            <w:vAlign w:val="center"/>
          </w:tcPr>
          <w:p w14:paraId="296D3B9B" w14:textId="77777777" w:rsidR="005A580A" w:rsidRPr="00214072" w:rsidRDefault="005A580A" w:rsidP="00D22441">
            <w:pPr>
              <w:jc w:val="right"/>
              <w:rPr>
                <w:rFonts w:ascii="Arial Narrow" w:hAnsi="Arial Narrow" w:cs="Arial"/>
                <w:spacing w:val="0"/>
                <w:sz w:val="16"/>
                <w:szCs w:val="16"/>
                <w:lang w:eastAsia="es-CO"/>
              </w:rPr>
            </w:pPr>
            <w:r w:rsidRPr="00214072">
              <w:rPr>
                <w:rFonts w:ascii="Arial Narrow" w:hAnsi="Arial Narrow" w:cs="Arial"/>
                <w:spacing w:val="0"/>
                <w:sz w:val="16"/>
                <w:szCs w:val="16"/>
                <w:lang w:eastAsia="es-CO"/>
              </w:rPr>
              <w:t>$285.000,00</w:t>
            </w:r>
          </w:p>
        </w:tc>
      </w:tr>
      <w:tr w:rsidR="005A580A" w:rsidRPr="00214072" w14:paraId="6BC8A73A" w14:textId="77777777" w:rsidTr="000343A2">
        <w:trPr>
          <w:trHeight w:val="350"/>
          <w:jc w:val="center"/>
        </w:trPr>
        <w:tc>
          <w:tcPr>
            <w:tcW w:w="565" w:type="dxa"/>
            <w:shd w:val="clear" w:color="auto" w:fill="auto"/>
            <w:noWrap/>
            <w:vAlign w:val="center"/>
          </w:tcPr>
          <w:p w14:paraId="7D4DD5F7" w14:textId="77777777" w:rsidR="005A580A" w:rsidRPr="00214072" w:rsidRDefault="005A580A" w:rsidP="00D22441">
            <w:pPr>
              <w:jc w:val="center"/>
              <w:rPr>
                <w:rFonts w:ascii="Arial Narrow" w:hAnsi="Arial Narrow" w:cs="Arial"/>
                <w:color w:val="000000"/>
                <w:sz w:val="16"/>
                <w:szCs w:val="16"/>
                <w:lang w:eastAsia="es-CO"/>
              </w:rPr>
            </w:pPr>
            <w:r w:rsidRPr="00214072">
              <w:rPr>
                <w:rFonts w:ascii="Arial Narrow" w:hAnsi="Arial Narrow" w:cs="Arial"/>
                <w:color w:val="000000"/>
                <w:sz w:val="16"/>
                <w:szCs w:val="16"/>
                <w:lang w:eastAsia="es-CO"/>
              </w:rPr>
              <w:t>2021</w:t>
            </w:r>
          </w:p>
        </w:tc>
        <w:tc>
          <w:tcPr>
            <w:tcW w:w="1157" w:type="dxa"/>
            <w:shd w:val="clear" w:color="auto" w:fill="auto"/>
            <w:noWrap/>
            <w:vAlign w:val="center"/>
          </w:tcPr>
          <w:p w14:paraId="2E164E02" w14:textId="77777777" w:rsidR="005A580A" w:rsidRPr="00214072" w:rsidRDefault="005A580A" w:rsidP="00D22441">
            <w:pPr>
              <w:jc w:val="center"/>
              <w:rPr>
                <w:rFonts w:ascii="Arial Narrow" w:hAnsi="Arial Narrow" w:cs="Arial"/>
                <w:color w:val="000000"/>
                <w:sz w:val="16"/>
                <w:szCs w:val="16"/>
                <w:lang w:eastAsia="es-CO"/>
              </w:rPr>
            </w:pPr>
            <w:r w:rsidRPr="00214072">
              <w:rPr>
                <w:rFonts w:ascii="Arial Narrow" w:hAnsi="Arial Narrow" w:cs="Arial"/>
                <w:color w:val="000000"/>
                <w:sz w:val="16"/>
                <w:szCs w:val="16"/>
                <w:lang w:eastAsia="es-CO"/>
              </w:rPr>
              <w:t>173</w:t>
            </w:r>
          </w:p>
        </w:tc>
        <w:tc>
          <w:tcPr>
            <w:tcW w:w="1325" w:type="dxa"/>
            <w:shd w:val="clear" w:color="auto" w:fill="auto"/>
            <w:noWrap/>
            <w:vAlign w:val="center"/>
          </w:tcPr>
          <w:p w14:paraId="28BB5E25" w14:textId="77777777" w:rsidR="005A580A" w:rsidRPr="00214072" w:rsidRDefault="005A580A" w:rsidP="00D22441">
            <w:pPr>
              <w:jc w:val="center"/>
              <w:rPr>
                <w:rFonts w:ascii="Arial Narrow" w:hAnsi="Arial Narrow" w:cs="Arial"/>
                <w:color w:val="000000"/>
                <w:sz w:val="16"/>
                <w:szCs w:val="16"/>
                <w:lang w:eastAsia="es-CO"/>
              </w:rPr>
            </w:pPr>
            <w:r w:rsidRPr="00214072">
              <w:rPr>
                <w:rFonts w:ascii="Arial Narrow" w:hAnsi="Arial Narrow" w:cs="Arial"/>
                <w:color w:val="000000"/>
                <w:sz w:val="16"/>
                <w:szCs w:val="16"/>
                <w:lang w:eastAsia="es-CO"/>
              </w:rPr>
              <w:t>1,00%</w:t>
            </w:r>
          </w:p>
        </w:tc>
        <w:tc>
          <w:tcPr>
            <w:tcW w:w="1555" w:type="dxa"/>
            <w:vAlign w:val="center"/>
          </w:tcPr>
          <w:p w14:paraId="37178CDB" w14:textId="77777777" w:rsidR="005A580A" w:rsidRPr="00214072" w:rsidRDefault="005A580A" w:rsidP="00D22441">
            <w:pPr>
              <w:jc w:val="center"/>
              <w:rPr>
                <w:rFonts w:ascii="Arial Narrow" w:hAnsi="Arial Narrow" w:cs="Arial"/>
                <w:color w:val="000000"/>
                <w:sz w:val="16"/>
                <w:szCs w:val="16"/>
                <w:lang w:eastAsia="es-CO"/>
              </w:rPr>
            </w:pPr>
            <w:r w:rsidRPr="00214072">
              <w:rPr>
                <w:rFonts w:ascii="Arial Narrow" w:hAnsi="Arial Narrow" w:cs="Arial"/>
                <w:color w:val="000000"/>
                <w:sz w:val="16"/>
                <w:szCs w:val="16"/>
                <w:lang w:eastAsia="es-CO"/>
              </w:rPr>
              <w:t>Liquidación oficial</w:t>
            </w:r>
          </w:p>
        </w:tc>
        <w:tc>
          <w:tcPr>
            <w:tcW w:w="1555" w:type="dxa"/>
            <w:vAlign w:val="center"/>
          </w:tcPr>
          <w:p w14:paraId="1D83781D" w14:textId="77777777" w:rsidR="005A580A" w:rsidRPr="00214072" w:rsidRDefault="005A580A" w:rsidP="00D22441">
            <w:pPr>
              <w:jc w:val="center"/>
              <w:rPr>
                <w:rFonts w:ascii="Arial Narrow" w:hAnsi="Arial Narrow" w:cs="Arial"/>
                <w:color w:val="000000"/>
                <w:sz w:val="16"/>
                <w:szCs w:val="16"/>
                <w:lang w:eastAsia="es-CO"/>
              </w:rPr>
            </w:pPr>
            <w:r w:rsidRPr="00214072">
              <w:rPr>
                <w:rFonts w:ascii="Arial Narrow" w:hAnsi="Arial Narrow" w:cs="Arial"/>
                <w:color w:val="000000"/>
                <w:sz w:val="16"/>
                <w:szCs w:val="16"/>
                <w:lang w:eastAsia="es-CO"/>
              </w:rPr>
              <w:t>379</w:t>
            </w:r>
          </w:p>
        </w:tc>
        <w:tc>
          <w:tcPr>
            <w:tcW w:w="1776" w:type="dxa"/>
            <w:shd w:val="clear" w:color="auto" w:fill="auto"/>
            <w:noWrap/>
            <w:vAlign w:val="center"/>
          </w:tcPr>
          <w:p w14:paraId="57A3C01C" w14:textId="77777777" w:rsidR="005A580A" w:rsidRPr="00214072" w:rsidRDefault="005A580A" w:rsidP="00D22441">
            <w:pPr>
              <w:jc w:val="right"/>
              <w:rPr>
                <w:rFonts w:ascii="Arial Narrow" w:hAnsi="Arial Narrow" w:cs="Arial"/>
                <w:spacing w:val="0"/>
                <w:sz w:val="16"/>
                <w:szCs w:val="16"/>
                <w:lang w:eastAsia="es-CO"/>
              </w:rPr>
            </w:pPr>
            <w:r w:rsidRPr="00214072">
              <w:rPr>
                <w:rFonts w:ascii="Arial Narrow" w:hAnsi="Arial Narrow" w:cs="Arial"/>
                <w:spacing w:val="0"/>
                <w:sz w:val="16"/>
                <w:szCs w:val="16"/>
                <w:lang w:eastAsia="es-CO"/>
              </w:rPr>
              <w:t>$ 32.505.742.932</w:t>
            </w:r>
          </w:p>
        </w:tc>
        <w:tc>
          <w:tcPr>
            <w:tcW w:w="1030" w:type="dxa"/>
            <w:vAlign w:val="center"/>
          </w:tcPr>
          <w:p w14:paraId="400DC844" w14:textId="77777777" w:rsidR="005A580A" w:rsidRPr="00214072" w:rsidRDefault="005A580A" w:rsidP="00D22441">
            <w:pPr>
              <w:jc w:val="right"/>
              <w:rPr>
                <w:rFonts w:ascii="Arial Narrow" w:hAnsi="Arial Narrow" w:cs="Arial"/>
                <w:spacing w:val="0"/>
                <w:sz w:val="16"/>
                <w:szCs w:val="16"/>
                <w:lang w:eastAsia="es-CO"/>
              </w:rPr>
            </w:pPr>
            <w:r w:rsidRPr="00214072">
              <w:rPr>
                <w:rFonts w:ascii="Arial Narrow" w:hAnsi="Arial Narrow" w:cs="Arial"/>
                <w:spacing w:val="0"/>
                <w:sz w:val="16"/>
                <w:szCs w:val="16"/>
                <w:lang w:eastAsia="es-CO"/>
              </w:rPr>
              <w:t>$297.548,00</w:t>
            </w:r>
          </w:p>
        </w:tc>
      </w:tr>
      <w:tr w:rsidR="005A580A" w:rsidRPr="00214072" w14:paraId="184632E6" w14:textId="77777777" w:rsidTr="000343A2">
        <w:trPr>
          <w:trHeight w:val="283"/>
          <w:jc w:val="center"/>
        </w:trPr>
        <w:tc>
          <w:tcPr>
            <w:tcW w:w="565" w:type="dxa"/>
            <w:tcBorders>
              <w:bottom w:val="single" w:sz="4" w:space="0" w:color="auto"/>
            </w:tcBorders>
            <w:shd w:val="clear" w:color="auto" w:fill="auto"/>
            <w:noWrap/>
            <w:vAlign w:val="center"/>
          </w:tcPr>
          <w:p w14:paraId="0BC443B3" w14:textId="77777777" w:rsidR="005A580A" w:rsidRPr="00214072" w:rsidRDefault="005A580A" w:rsidP="00D22441">
            <w:pPr>
              <w:jc w:val="center"/>
              <w:rPr>
                <w:rFonts w:ascii="Arial Narrow" w:hAnsi="Arial Narrow" w:cs="Arial"/>
                <w:color w:val="000000"/>
                <w:sz w:val="16"/>
                <w:szCs w:val="16"/>
                <w:lang w:eastAsia="es-CO"/>
              </w:rPr>
            </w:pPr>
            <w:r w:rsidRPr="00214072">
              <w:rPr>
                <w:rFonts w:ascii="Arial Narrow" w:hAnsi="Arial Narrow" w:cs="Arial"/>
                <w:color w:val="000000"/>
                <w:sz w:val="16"/>
                <w:szCs w:val="16"/>
                <w:lang w:eastAsia="es-CO"/>
              </w:rPr>
              <w:t>2022</w:t>
            </w:r>
          </w:p>
        </w:tc>
        <w:tc>
          <w:tcPr>
            <w:tcW w:w="1157" w:type="dxa"/>
            <w:tcBorders>
              <w:bottom w:val="single" w:sz="4" w:space="0" w:color="auto"/>
            </w:tcBorders>
            <w:shd w:val="clear" w:color="auto" w:fill="auto"/>
            <w:noWrap/>
            <w:vAlign w:val="center"/>
          </w:tcPr>
          <w:p w14:paraId="0365E599" w14:textId="77777777" w:rsidR="005A580A" w:rsidRPr="00214072" w:rsidRDefault="005A580A" w:rsidP="00D22441">
            <w:pPr>
              <w:jc w:val="center"/>
              <w:rPr>
                <w:rFonts w:ascii="Arial Narrow" w:hAnsi="Arial Narrow" w:cs="Arial"/>
                <w:color w:val="000000"/>
                <w:sz w:val="16"/>
                <w:szCs w:val="16"/>
                <w:lang w:eastAsia="es-CO"/>
              </w:rPr>
            </w:pPr>
            <w:r w:rsidRPr="00214072">
              <w:rPr>
                <w:rFonts w:ascii="Arial Narrow" w:hAnsi="Arial Narrow" w:cs="Arial"/>
                <w:color w:val="000000"/>
                <w:sz w:val="16"/>
                <w:szCs w:val="16"/>
                <w:lang w:eastAsia="es-CO"/>
              </w:rPr>
              <w:t>105 004</w:t>
            </w:r>
          </w:p>
        </w:tc>
        <w:tc>
          <w:tcPr>
            <w:tcW w:w="1325" w:type="dxa"/>
            <w:tcBorders>
              <w:bottom w:val="single" w:sz="4" w:space="0" w:color="auto"/>
            </w:tcBorders>
            <w:shd w:val="clear" w:color="auto" w:fill="auto"/>
            <w:noWrap/>
            <w:vAlign w:val="center"/>
          </w:tcPr>
          <w:p w14:paraId="7725E191" w14:textId="77777777" w:rsidR="005A580A" w:rsidRPr="00214072" w:rsidRDefault="005A580A" w:rsidP="00D22441">
            <w:pPr>
              <w:jc w:val="center"/>
              <w:rPr>
                <w:rFonts w:ascii="Arial Narrow" w:hAnsi="Arial Narrow" w:cs="Arial"/>
                <w:color w:val="000000"/>
                <w:sz w:val="16"/>
                <w:szCs w:val="16"/>
                <w:lang w:eastAsia="es-CO"/>
              </w:rPr>
            </w:pPr>
            <w:r w:rsidRPr="00214072">
              <w:rPr>
                <w:rFonts w:ascii="Arial Narrow" w:hAnsi="Arial Narrow" w:cs="Arial"/>
                <w:color w:val="000000"/>
                <w:sz w:val="16"/>
                <w:szCs w:val="16"/>
                <w:lang w:eastAsia="es-CO"/>
              </w:rPr>
              <w:t>1,00%</w:t>
            </w:r>
          </w:p>
        </w:tc>
        <w:tc>
          <w:tcPr>
            <w:tcW w:w="1555" w:type="dxa"/>
            <w:tcBorders>
              <w:bottom w:val="single" w:sz="4" w:space="0" w:color="auto"/>
            </w:tcBorders>
            <w:vAlign w:val="center"/>
          </w:tcPr>
          <w:p w14:paraId="034B605B" w14:textId="77777777" w:rsidR="005A580A" w:rsidRPr="00214072" w:rsidRDefault="005A580A" w:rsidP="00D22441">
            <w:pPr>
              <w:jc w:val="center"/>
              <w:rPr>
                <w:rFonts w:ascii="Arial Narrow" w:hAnsi="Arial Narrow" w:cs="Arial"/>
                <w:color w:val="000000"/>
                <w:sz w:val="16"/>
                <w:szCs w:val="16"/>
                <w:lang w:eastAsia="es-CO"/>
              </w:rPr>
            </w:pPr>
            <w:r w:rsidRPr="00214072">
              <w:rPr>
                <w:rFonts w:ascii="Arial Narrow" w:hAnsi="Arial Narrow" w:cs="Arial"/>
                <w:color w:val="000000"/>
                <w:sz w:val="16"/>
                <w:szCs w:val="16"/>
                <w:lang w:eastAsia="es-CO"/>
              </w:rPr>
              <w:t>Liquidación oficial</w:t>
            </w:r>
          </w:p>
        </w:tc>
        <w:tc>
          <w:tcPr>
            <w:tcW w:w="1555" w:type="dxa"/>
            <w:tcBorders>
              <w:bottom w:val="single" w:sz="4" w:space="0" w:color="auto"/>
            </w:tcBorders>
            <w:vAlign w:val="center"/>
          </w:tcPr>
          <w:p w14:paraId="7DBC2D17" w14:textId="77777777" w:rsidR="005A580A" w:rsidRPr="00214072" w:rsidRDefault="005A580A" w:rsidP="00D22441">
            <w:pPr>
              <w:jc w:val="center"/>
              <w:rPr>
                <w:rFonts w:ascii="Arial Narrow" w:hAnsi="Arial Narrow" w:cs="Arial"/>
                <w:color w:val="000000"/>
                <w:sz w:val="16"/>
                <w:szCs w:val="16"/>
                <w:lang w:eastAsia="es-CO"/>
              </w:rPr>
            </w:pPr>
            <w:r w:rsidRPr="00214072">
              <w:rPr>
                <w:rFonts w:ascii="Arial Narrow" w:hAnsi="Arial Narrow" w:cs="Arial"/>
                <w:color w:val="000000"/>
                <w:sz w:val="16"/>
                <w:szCs w:val="16"/>
                <w:lang w:eastAsia="es-CO"/>
              </w:rPr>
              <w:t>331</w:t>
            </w:r>
          </w:p>
        </w:tc>
        <w:tc>
          <w:tcPr>
            <w:tcW w:w="1776" w:type="dxa"/>
            <w:tcBorders>
              <w:bottom w:val="single" w:sz="4" w:space="0" w:color="auto"/>
            </w:tcBorders>
            <w:shd w:val="clear" w:color="auto" w:fill="auto"/>
            <w:noWrap/>
            <w:vAlign w:val="center"/>
          </w:tcPr>
          <w:p w14:paraId="371AC7BD" w14:textId="77777777" w:rsidR="005A580A" w:rsidRPr="00214072" w:rsidRDefault="005A580A" w:rsidP="00D22441">
            <w:pPr>
              <w:jc w:val="right"/>
              <w:rPr>
                <w:rFonts w:ascii="Arial Narrow" w:hAnsi="Arial Narrow" w:cs="Arial"/>
                <w:spacing w:val="0"/>
                <w:sz w:val="16"/>
                <w:szCs w:val="16"/>
                <w:lang w:eastAsia="es-CO"/>
              </w:rPr>
            </w:pPr>
            <w:r w:rsidRPr="00214072">
              <w:rPr>
                <w:rFonts w:ascii="Arial Narrow" w:hAnsi="Arial Narrow" w:cs="Arial"/>
                <w:spacing w:val="0"/>
                <w:sz w:val="16"/>
                <w:szCs w:val="16"/>
                <w:lang w:eastAsia="es-CO"/>
              </w:rPr>
              <w:t xml:space="preserve">$ 32.904.004.874       </w:t>
            </w:r>
          </w:p>
        </w:tc>
        <w:tc>
          <w:tcPr>
            <w:tcW w:w="1030" w:type="dxa"/>
            <w:tcBorders>
              <w:bottom w:val="single" w:sz="4" w:space="0" w:color="auto"/>
            </w:tcBorders>
            <w:vAlign w:val="center"/>
          </w:tcPr>
          <w:p w14:paraId="196D7C4C" w14:textId="77777777" w:rsidR="005A580A" w:rsidRPr="00214072" w:rsidRDefault="005A580A" w:rsidP="00D22441">
            <w:pPr>
              <w:jc w:val="right"/>
              <w:rPr>
                <w:rFonts w:ascii="Arial Narrow" w:hAnsi="Arial Narrow" w:cs="Arial"/>
                <w:spacing w:val="0"/>
                <w:sz w:val="16"/>
                <w:szCs w:val="16"/>
                <w:lang w:eastAsia="es-CO"/>
              </w:rPr>
            </w:pPr>
            <w:r w:rsidRPr="00214072">
              <w:rPr>
                <w:rFonts w:ascii="Arial Narrow" w:hAnsi="Arial Narrow" w:cs="Arial"/>
                <w:spacing w:val="0"/>
                <w:sz w:val="16"/>
                <w:szCs w:val="16"/>
                <w:lang w:eastAsia="es-CO"/>
              </w:rPr>
              <w:t>$304.000,00</w:t>
            </w:r>
          </w:p>
        </w:tc>
      </w:tr>
      <w:tr w:rsidR="005A580A" w:rsidRPr="00214072" w14:paraId="50F8CC9A" w14:textId="77777777" w:rsidTr="000343A2">
        <w:trPr>
          <w:trHeight w:val="275"/>
          <w:jc w:val="center"/>
        </w:trPr>
        <w:tc>
          <w:tcPr>
            <w:tcW w:w="565" w:type="dxa"/>
            <w:tcBorders>
              <w:bottom w:val="single" w:sz="4" w:space="0" w:color="auto"/>
            </w:tcBorders>
            <w:shd w:val="clear" w:color="auto" w:fill="auto"/>
            <w:noWrap/>
            <w:vAlign w:val="center"/>
          </w:tcPr>
          <w:p w14:paraId="581B5960" w14:textId="77777777" w:rsidR="005A580A" w:rsidRPr="00214072" w:rsidRDefault="005A580A" w:rsidP="00D22441">
            <w:pPr>
              <w:jc w:val="center"/>
              <w:rPr>
                <w:rFonts w:ascii="Arial Narrow" w:hAnsi="Arial Narrow" w:cs="Arial"/>
                <w:color w:val="000000"/>
                <w:sz w:val="16"/>
                <w:szCs w:val="16"/>
                <w:lang w:eastAsia="es-CO"/>
              </w:rPr>
            </w:pPr>
            <w:r w:rsidRPr="00214072">
              <w:rPr>
                <w:rFonts w:ascii="Arial Narrow" w:hAnsi="Arial Narrow" w:cs="Arial"/>
                <w:color w:val="000000"/>
                <w:sz w:val="16"/>
                <w:szCs w:val="16"/>
                <w:lang w:eastAsia="es-CO"/>
              </w:rPr>
              <w:t>2023</w:t>
            </w:r>
          </w:p>
        </w:tc>
        <w:tc>
          <w:tcPr>
            <w:tcW w:w="1157" w:type="dxa"/>
            <w:tcBorders>
              <w:bottom w:val="single" w:sz="4" w:space="0" w:color="auto"/>
            </w:tcBorders>
            <w:shd w:val="clear" w:color="auto" w:fill="auto"/>
            <w:noWrap/>
            <w:vAlign w:val="center"/>
          </w:tcPr>
          <w:p w14:paraId="2C409E14" w14:textId="77777777" w:rsidR="005A580A" w:rsidRPr="00214072" w:rsidRDefault="005A580A" w:rsidP="00D22441">
            <w:pPr>
              <w:jc w:val="center"/>
              <w:rPr>
                <w:rFonts w:ascii="Arial Narrow" w:hAnsi="Arial Narrow" w:cs="Arial"/>
                <w:color w:val="000000"/>
                <w:sz w:val="16"/>
                <w:szCs w:val="16"/>
                <w:lang w:eastAsia="es-CO"/>
              </w:rPr>
            </w:pPr>
            <w:r w:rsidRPr="00214072">
              <w:rPr>
                <w:rFonts w:ascii="Arial Narrow" w:hAnsi="Arial Narrow" w:cs="Arial"/>
                <w:color w:val="000000"/>
                <w:sz w:val="16"/>
                <w:szCs w:val="16"/>
                <w:lang w:eastAsia="es-CO"/>
              </w:rPr>
              <w:t xml:space="preserve">n/d </w:t>
            </w:r>
            <w:r w:rsidRPr="00214072">
              <w:rPr>
                <w:rFonts w:ascii="Arial Narrow" w:hAnsi="Arial Narrow" w:cs="Arial"/>
                <w:color w:val="000000"/>
                <w:sz w:val="16"/>
                <w:szCs w:val="16"/>
                <w:vertAlign w:val="superscript"/>
                <w:lang w:eastAsia="es-CO"/>
              </w:rPr>
              <w:t>1</w:t>
            </w:r>
          </w:p>
        </w:tc>
        <w:tc>
          <w:tcPr>
            <w:tcW w:w="1325" w:type="dxa"/>
            <w:tcBorders>
              <w:bottom w:val="single" w:sz="4" w:space="0" w:color="auto"/>
            </w:tcBorders>
            <w:shd w:val="clear" w:color="auto" w:fill="auto"/>
            <w:noWrap/>
            <w:vAlign w:val="center"/>
          </w:tcPr>
          <w:p w14:paraId="45FD35D0" w14:textId="77777777" w:rsidR="005A580A" w:rsidRPr="00214072" w:rsidRDefault="005A580A" w:rsidP="00D22441">
            <w:pPr>
              <w:jc w:val="center"/>
              <w:rPr>
                <w:rFonts w:ascii="Arial Narrow" w:hAnsi="Arial Narrow" w:cs="Arial"/>
                <w:color w:val="000000"/>
                <w:sz w:val="16"/>
                <w:szCs w:val="16"/>
                <w:lang w:eastAsia="es-CO"/>
              </w:rPr>
            </w:pPr>
            <w:r w:rsidRPr="00214072">
              <w:rPr>
                <w:rFonts w:ascii="Arial Narrow" w:hAnsi="Arial Narrow" w:cs="Arial"/>
                <w:color w:val="000000"/>
                <w:sz w:val="16"/>
                <w:szCs w:val="16"/>
                <w:lang w:eastAsia="es-CO"/>
              </w:rPr>
              <w:t>1,00%</w:t>
            </w:r>
          </w:p>
        </w:tc>
        <w:tc>
          <w:tcPr>
            <w:tcW w:w="1555" w:type="dxa"/>
            <w:tcBorders>
              <w:bottom w:val="single" w:sz="4" w:space="0" w:color="auto"/>
            </w:tcBorders>
            <w:vAlign w:val="center"/>
          </w:tcPr>
          <w:p w14:paraId="1E065085" w14:textId="77777777" w:rsidR="005A580A" w:rsidRPr="00214072" w:rsidRDefault="005A580A" w:rsidP="00D22441">
            <w:pPr>
              <w:jc w:val="center"/>
              <w:rPr>
                <w:rFonts w:ascii="Arial Narrow" w:hAnsi="Arial Narrow" w:cs="Arial"/>
                <w:color w:val="000000"/>
                <w:sz w:val="16"/>
                <w:szCs w:val="16"/>
                <w:lang w:eastAsia="es-CO"/>
              </w:rPr>
            </w:pPr>
            <w:r w:rsidRPr="00214072">
              <w:rPr>
                <w:rFonts w:ascii="Arial Narrow" w:hAnsi="Arial Narrow" w:cs="Arial"/>
                <w:color w:val="000000"/>
                <w:sz w:val="16"/>
                <w:szCs w:val="16"/>
                <w:lang w:eastAsia="es-CO"/>
              </w:rPr>
              <w:t>Liquidación oficial</w:t>
            </w:r>
          </w:p>
        </w:tc>
        <w:tc>
          <w:tcPr>
            <w:tcW w:w="1555" w:type="dxa"/>
            <w:tcBorders>
              <w:bottom w:val="single" w:sz="4" w:space="0" w:color="auto"/>
            </w:tcBorders>
            <w:vAlign w:val="center"/>
          </w:tcPr>
          <w:p w14:paraId="734BBDA1" w14:textId="77777777" w:rsidR="005A580A" w:rsidRPr="00214072" w:rsidRDefault="005A580A" w:rsidP="00D22441">
            <w:pPr>
              <w:jc w:val="center"/>
              <w:rPr>
                <w:rFonts w:ascii="Arial Narrow" w:hAnsi="Arial Narrow" w:cs="Arial"/>
                <w:color w:val="000000"/>
                <w:sz w:val="16"/>
                <w:szCs w:val="16"/>
                <w:lang w:eastAsia="es-CO"/>
              </w:rPr>
            </w:pPr>
            <w:r w:rsidRPr="00214072">
              <w:rPr>
                <w:rFonts w:ascii="Arial Narrow" w:hAnsi="Arial Narrow" w:cs="Arial"/>
                <w:color w:val="000000"/>
                <w:sz w:val="16"/>
                <w:szCs w:val="16"/>
                <w:lang w:eastAsia="es-CO"/>
              </w:rPr>
              <w:t>329</w:t>
            </w:r>
          </w:p>
        </w:tc>
        <w:tc>
          <w:tcPr>
            <w:tcW w:w="1776" w:type="dxa"/>
            <w:tcBorders>
              <w:bottom w:val="single" w:sz="4" w:space="0" w:color="auto"/>
            </w:tcBorders>
            <w:shd w:val="clear" w:color="auto" w:fill="auto"/>
            <w:noWrap/>
            <w:vAlign w:val="center"/>
          </w:tcPr>
          <w:p w14:paraId="3BB6B5FC" w14:textId="77777777" w:rsidR="005A580A" w:rsidRPr="00214072" w:rsidRDefault="005A580A" w:rsidP="00D22441">
            <w:pPr>
              <w:jc w:val="right"/>
              <w:rPr>
                <w:rFonts w:ascii="Arial Narrow" w:hAnsi="Arial Narrow" w:cs="Arial"/>
                <w:spacing w:val="0"/>
                <w:sz w:val="16"/>
                <w:szCs w:val="16"/>
                <w:lang w:eastAsia="es-CO"/>
              </w:rPr>
            </w:pPr>
            <w:r w:rsidRPr="00214072">
              <w:rPr>
                <w:rFonts w:ascii="Arial Narrow" w:hAnsi="Arial Narrow" w:cs="Arial"/>
                <w:spacing w:val="0"/>
                <w:sz w:val="16"/>
                <w:szCs w:val="16"/>
                <w:lang w:eastAsia="es-CO"/>
              </w:rPr>
              <w:t>$ 37.750.366.055</w:t>
            </w:r>
          </w:p>
        </w:tc>
        <w:tc>
          <w:tcPr>
            <w:tcW w:w="1030" w:type="dxa"/>
            <w:tcBorders>
              <w:bottom w:val="single" w:sz="4" w:space="0" w:color="auto"/>
            </w:tcBorders>
            <w:vAlign w:val="center"/>
          </w:tcPr>
          <w:p w14:paraId="6B705EFC" w14:textId="77777777" w:rsidR="005A580A" w:rsidRPr="00214072" w:rsidRDefault="005A580A" w:rsidP="00D22441">
            <w:pPr>
              <w:jc w:val="right"/>
              <w:rPr>
                <w:rFonts w:ascii="Arial Narrow" w:hAnsi="Arial Narrow" w:cs="Arial"/>
                <w:spacing w:val="0"/>
                <w:sz w:val="16"/>
                <w:szCs w:val="16"/>
                <w:lang w:eastAsia="es-CO"/>
              </w:rPr>
            </w:pPr>
            <w:r w:rsidRPr="00214072">
              <w:rPr>
                <w:rFonts w:ascii="Arial Narrow" w:hAnsi="Arial Narrow" w:cs="Arial"/>
                <w:spacing w:val="0"/>
                <w:sz w:val="16"/>
                <w:szCs w:val="16"/>
                <w:lang w:eastAsia="es-CO"/>
              </w:rPr>
              <w:t>$339.000,00</w:t>
            </w:r>
          </w:p>
        </w:tc>
      </w:tr>
      <w:tr w:rsidR="005A580A" w:rsidRPr="00214072" w14:paraId="647EC167" w14:textId="77777777" w:rsidTr="00DE7C1E">
        <w:trPr>
          <w:trHeight w:val="275"/>
          <w:jc w:val="center"/>
        </w:trPr>
        <w:tc>
          <w:tcPr>
            <w:tcW w:w="7933" w:type="dxa"/>
            <w:gridSpan w:val="6"/>
            <w:tcBorders>
              <w:top w:val="single" w:sz="4" w:space="0" w:color="auto"/>
              <w:left w:val="nil"/>
              <w:bottom w:val="nil"/>
              <w:right w:val="nil"/>
            </w:tcBorders>
            <w:shd w:val="clear" w:color="auto" w:fill="auto"/>
            <w:noWrap/>
            <w:vAlign w:val="center"/>
          </w:tcPr>
          <w:p w14:paraId="73CE0EE0" w14:textId="77777777" w:rsidR="005A580A" w:rsidRPr="00214072" w:rsidRDefault="005A580A" w:rsidP="00D22441">
            <w:pPr>
              <w:jc w:val="left"/>
              <w:rPr>
                <w:rFonts w:ascii="Arial Narrow" w:hAnsi="Arial Narrow" w:cs="Arial"/>
                <w:spacing w:val="0"/>
                <w:sz w:val="16"/>
                <w:szCs w:val="16"/>
                <w:lang w:eastAsia="es-CO"/>
              </w:rPr>
            </w:pPr>
            <w:r w:rsidRPr="00214072">
              <w:rPr>
                <w:rFonts w:ascii="Arial Narrow" w:hAnsi="Arial Narrow" w:cs="Arial"/>
                <w:sz w:val="16"/>
                <w:szCs w:val="16"/>
                <w:vertAlign w:val="superscript"/>
              </w:rPr>
              <w:t>1</w:t>
            </w:r>
            <w:r w:rsidRPr="00214072">
              <w:rPr>
                <w:rFonts w:ascii="Arial Narrow" w:hAnsi="Arial Narrow" w:cs="Arial"/>
                <w:sz w:val="16"/>
                <w:szCs w:val="16"/>
              </w:rPr>
              <w:t xml:space="preserve"> contribución especial 2023 en proceso de consulta.</w:t>
            </w:r>
          </w:p>
        </w:tc>
        <w:tc>
          <w:tcPr>
            <w:tcW w:w="1030" w:type="dxa"/>
            <w:tcBorders>
              <w:top w:val="single" w:sz="4" w:space="0" w:color="auto"/>
              <w:left w:val="nil"/>
              <w:bottom w:val="nil"/>
              <w:right w:val="nil"/>
            </w:tcBorders>
            <w:vAlign w:val="center"/>
          </w:tcPr>
          <w:p w14:paraId="431DACE6" w14:textId="77777777" w:rsidR="005A580A" w:rsidRPr="00214072" w:rsidRDefault="005A580A" w:rsidP="00D22441">
            <w:pPr>
              <w:jc w:val="left"/>
              <w:rPr>
                <w:rFonts w:ascii="Arial Narrow" w:hAnsi="Arial Narrow" w:cs="Arial"/>
                <w:sz w:val="16"/>
                <w:szCs w:val="16"/>
                <w:vertAlign w:val="superscript"/>
              </w:rPr>
            </w:pPr>
          </w:p>
        </w:tc>
      </w:tr>
    </w:tbl>
    <w:p w14:paraId="6DCE820E" w14:textId="77777777" w:rsidR="005A580A" w:rsidRDefault="005A580A" w:rsidP="00D22441">
      <w:pPr>
        <w:jc w:val="left"/>
        <w:rPr>
          <w:sz w:val="22"/>
          <w:szCs w:val="22"/>
        </w:rPr>
      </w:pPr>
    </w:p>
    <w:p w14:paraId="3C7634D9" w14:textId="314ECE96" w:rsidR="00BB14CB" w:rsidRDefault="00972BFF" w:rsidP="00D22441">
      <w:pPr>
        <w:pStyle w:val="Ttulo10"/>
        <w:numPr>
          <w:ilvl w:val="0"/>
          <w:numId w:val="37"/>
        </w:numPr>
        <w:spacing w:before="0" w:after="0"/>
        <w:rPr>
          <w:sz w:val="22"/>
          <w:szCs w:val="22"/>
        </w:rPr>
      </w:pPr>
      <w:bookmarkStart w:id="53" w:name="_Toc147154311"/>
      <w:r>
        <w:rPr>
          <w:sz w:val="22"/>
          <w:szCs w:val="22"/>
        </w:rPr>
        <w:t>CENSO</w:t>
      </w:r>
      <w:r w:rsidR="00F95853">
        <w:rPr>
          <w:sz w:val="22"/>
          <w:szCs w:val="22"/>
        </w:rPr>
        <w:t xml:space="preserve"> </w:t>
      </w:r>
      <w:r w:rsidR="00C170A0">
        <w:rPr>
          <w:sz w:val="22"/>
          <w:szCs w:val="22"/>
        </w:rPr>
        <w:t>Y ESTADO DE REPORTE AL SUI</w:t>
      </w:r>
      <w:r w:rsidR="00F95853">
        <w:rPr>
          <w:sz w:val="22"/>
          <w:szCs w:val="22"/>
        </w:rPr>
        <w:t xml:space="preserve"> </w:t>
      </w:r>
      <w:r>
        <w:rPr>
          <w:sz w:val="22"/>
          <w:szCs w:val="22"/>
        </w:rPr>
        <w:t>DE LOS REGULADOS CREG</w:t>
      </w:r>
      <w:bookmarkEnd w:id="53"/>
    </w:p>
    <w:p w14:paraId="70515609" w14:textId="77777777" w:rsidR="005A580A" w:rsidRDefault="005A580A" w:rsidP="00D22441">
      <w:pPr>
        <w:pStyle w:val="Subttulo"/>
        <w:spacing w:after="0"/>
        <w:ind w:left="357"/>
        <w:jc w:val="left"/>
        <w:rPr>
          <w:b/>
          <w:bCs/>
          <w:sz w:val="22"/>
          <w:szCs w:val="22"/>
        </w:rPr>
      </w:pPr>
      <w:bookmarkStart w:id="54" w:name="_Hlk51769610"/>
    </w:p>
    <w:p w14:paraId="15C22D97" w14:textId="4472A947" w:rsidR="00BB14CB" w:rsidRDefault="00BB14CB" w:rsidP="00D22441">
      <w:pPr>
        <w:pStyle w:val="Subttulo"/>
        <w:numPr>
          <w:ilvl w:val="1"/>
          <w:numId w:val="37"/>
        </w:numPr>
        <w:spacing w:after="0"/>
        <w:ind w:left="357" w:hanging="357"/>
        <w:jc w:val="left"/>
        <w:rPr>
          <w:b/>
          <w:bCs/>
          <w:sz w:val="22"/>
          <w:szCs w:val="22"/>
        </w:rPr>
      </w:pPr>
      <w:bookmarkStart w:id="55" w:name="_Toc147154312"/>
      <w:r w:rsidRPr="005A580A">
        <w:rPr>
          <w:b/>
          <w:bCs/>
          <w:sz w:val="22"/>
          <w:szCs w:val="22"/>
        </w:rPr>
        <w:t xml:space="preserve">DETERMINACIÓN </w:t>
      </w:r>
      <w:r w:rsidR="00AF4F08" w:rsidRPr="005A580A">
        <w:rPr>
          <w:b/>
          <w:bCs/>
          <w:sz w:val="22"/>
          <w:szCs w:val="22"/>
        </w:rPr>
        <w:t xml:space="preserve">SSPD DEL </w:t>
      </w:r>
      <w:r w:rsidRPr="005A580A">
        <w:rPr>
          <w:b/>
          <w:bCs/>
          <w:sz w:val="22"/>
          <w:szCs w:val="22"/>
        </w:rPr>
        <w:t>NÚMERO DE PRESTADORES DE SERVICIOS PÚBLICOS</w:t>
      </w:r>
      <w:r w:rsidR="00C447D2">
        <w:rPr>
          <w:b/>
          <w:bCs/>
          <w:sz w:val="22"/>
          <w:szCs w:val="22"/>
        </w:rPr>
        <w:t>.</w:t>
      </w:r>
      <w:bookmarkEnd w:id="55"/>
    </w:p>
    <w:p w14:paraId="39AAE0D4" w14:textId="77777777" w:rsidR="00BB14CB" w:rsidRPr="005A580A" w:rsidRDefault="00BB14CB" w:rsidP="00D22441">
      <w:pPr>
        <w:pStyle w:val="Subttulo"/>
        <w:spacing w:after="0"/>
        <w:ind w:left="357"/>
        <w:jc w:val="left"/>
        <w:rPr>
          <w:b/>
          <w:bCs/>
          <w:sz w:val="22"/>
          <w:szCs w:val="22"/>
        </w:rPr>
      </w:pPr>
    </w:p>
    <w:p w14:paraId="5F50BA33" w14:textId="17BF62AB" w:rsidR="00C821C7" w:rsidRDefault="00BB14CB" w:rsidP="00D22441">
      <w:pPr>
        <w:rPr>
          <w:rFonts w:cs="Arial"/>
          <w:sz w:val="22"/>
          <w:szCs w:val="22"/>
        </w:rPr>
      </w:pPr>
      <w:r w:rsidRPr="00C821C7">
        <w:rPr>
          <w:rFonts w:cs="Arial"/>
          <w:sz w:val="22"/>
          <w:szCs w:val="22"/>
        </w:rPr>
        <w:t xml:space="preserve">La SSPD a través de la Resolución </w:t>
      </w:r>
      <w:proofErr w:type="spellStart"/>
      <w:r w:rsidRPr="00C821C7">
        <w:rPr>
          <w:rFonts w:cs="Arial"/>
          <w:sz w:val="22"/>
          <w:szCs w:val="22"/>
        </w:rPr>
        <w:t>N°</w:t>
      </w:r>
      <w:proofErr w:type="spellEnd"/>
      <w:r w:rsidRPr="00C821C7">
        <w:rPr>
          <w:rFonts w:cs="Arial"/>
          <w:sz w:val="22"/>
          <w:szCs w:val="22"/>
        </w:rPr>
        <w:t xml:space="preserve"> </w:t>
      </w:r>
      <w:bookmarkEnd w:id="54"/>
      <w:r w:rsidR="00AA6C5C" w:rsidRPr="00AA6C5C">
        <w:rPr>
          <w:rFonts w:cs="Arial"/>
          <w:sz w:val="22"/>
          <w:szCs w:val="22"/>
        </w:rPr>
        <w:t>20231000297335</w:t>
      </w:r>
      <w:r w:rsidR="00C821C7" w:rsidRPr="00C821C7">
        <w:rPr>
          <w:rFonts w:cs="Arial"/>
          <w:sz w:val="22"/>
          <w:szCs w:val="22"/>
        </w:rPr>
        <w:t xml:space="preserve"> del </w:t>
      </w:r>
      <w:r w:rsidR="00AA6C5C">
        <w:rPr>
          <w:rFonts w:cs="Arial"/>
          <w:sz w:val="22"/>
          <w:szCs w:val="22"/>
        </w:rPr>
        <w:t>31</w:t>
      </w:r>
      <w:r w:rsidR="00C821C7" w:rsidRPr="00C821C7">
        <w:rPr>
          <w:rFonts w:cs="Arial"/>
          <w:sz w:val="22"/>
          <w:szCs w:val="22"/>
        </w:rPr>
        <w:t xml:space="preserve"> de </w:t>
      </w:r>
      <w:r w:rsidR="00AA6C5C">
        <w:rPr>
          <w:rFonts w:cs="Arial"/>
          <w:sz w:val="22"/>
          <w:szCs w:val="22"/>
        </w:rPr>
        <w:t>mayo</w:t>
      </w:r>
      <w:r w:rsidR="00C821C7" w:rsidRPr="00C821C7">
        <w:rPr>
          <w:rFonts w:cs="Arial"/>
          <w:sz w:val="22"/>
          <w:szCs w:val="22"/>
        </w:rPr>
        <w:t xml:space="preserve"> de 202</w:t>
      </w:r>
      <w:r w:rsidR="00AA6C5C">
        <w:rPr>
          <w:rFonts w:cs="Arial"/>
          <w:sz w:val="22"/>
          <w:szCs w:val="22"/>
        </w:rPr>
        <w:t>3</w:t>
      </w:r>
      <w:r w:rsidR="00C821C7" w:rsidRPr="00C821C7">
        <w:rPr>
          <w:rFonts w:cs="Arial"/>
          <w:sz w:val="22"/>
          <w:szCs w:val="22"/>
        </w:rPr>
        <w:t xml:space="preserve">, determinó el número </w:t>
      </w:r>
      <w:r w:rsidR="00077228">
        <w:rPr>
          <w:rFonts w:cs="Arial"/>
          <w:sz w:val="22"/>
          <w:szCs w:val="22"/>
        </w:rPr>
        <w:t xml:space="preserve">un censo </w:t>
      </w:r>
      <w:r w:rsidR="00C821C7" w:rsidRPr="00C821C7">
        <w:rPr>
          <w:rFonts w:cs="Arial"/>
          <w:sz w:val="22"/>
          <w:szCs w:val="22"/>
        </w:rPr>
        <w:t>de prestadores de servicios públicos domiciliarios, los cuales son del ámbito de regulación de la CREG; censo que servirá de base para la CREG realizar el cálculo de la tarifa de la Contribución Especial 202</w:t>
      </w:r>
      <w:r w:rsidR="0014186E">
        <w:rPr>
          <w:rFonts w:cs="Arial"/>
          <w:sz w:val="22"/>
          <w:szCs w:val="22"/>
        </w:rPr>
        <w:t>3</w:t>
      </w:r>
      <w:r w:rsidR="00C821C7" w:rsidRPr="00C821C7">
        <w:rPr>
          <w:rStyle w:val="Refdenotaalpie"/>
          <w:rFonts w:cs="Arial"/>
          <w:sz w:val="22"/>
          <w:szCs w:val="22"/>
        </w:rPr>
        <w:footnoteReference w:id="22"/>
      </w:r>
      <w:r w:rsidR="00C821C7" w:rsidRPr="00C821C7">
        <w:rPr>
          <w:rFonts w:cs="Arial"/>
          <w:sz w:val="22"/>
          <w:szCs w:val="22"/>
        </w:rPr>
        <w:t>.</w:t>
      </w:r>
    </w:p>
    <w:p w14:paraId="2B9BDFA8" w14:textId="211DFD5E" w:rsidR="00BB14CB" w:rsidRDefault="00BB14CB" w:rsidP="00D22441">
      <w:pPr>
        <w:rPr>
          <w:rFonts w:cs="Arial"/>
          <w:sz w:val="22"/>
          <w:szCs w:val="22"/>
        </w:rPr>
      </w:pPr>
    </w:p>
    <w:p w14:paraId="6D23E060" w14:textId="2D7BB6E8" w:rsidR="00482BD8" w:rsidRDefault="00482BD8" w:rsidP="00D22441">
      <w:pPr>
        <w:rPr>
          <w:rFonts w:cs="Arial"/>
          <w:sz w:val="22"/>
          <w:szCs w:val="22"/>
        </w:rPr>
      </w:pPr>
      <w:r>
        <w:rPr>
          <w:rFonts w:cs="Arial"/>
          <w:sz w:val="22"/>
          <w:szCs w:val="22"/>
        </w:rPr>
        <w:t>La anterior resolución, así como su hoja electrónica de trabajo</w:t>
      </w:r>
      <w:r>
        <w:rPr>
          <w:rStyle w:val="Refdenotaalpie"/>
          <w:rFonts w:cs="Arial"/>
          <w:sz w:val="22"/>
          <w:szCs w:val="22"/>
        </w:rPr>
        <w:footnoteReference w:id="23"/>
      </w:r>
      <w:r>
        <w:rPr>
          <w:rFonts w:cs="Arial"/>
          <w:sz w:val="22"/>
          <w:szCs w:val="22"/>
        </w:rPr>
        <w:t>, fueron publicados en el portal web de la SSPD el 13 de junio de 2023</w:t>
      </w:r>
      <w:r>
        <w:rPr>
          <w:rStyle w:val="Refdenotaalpie"/>
          <w:rFonts w:cs="Arial"/>
          <w:sz w:val="22"/>
          <w:szCs w:val="22"/>
        </w:rPr>
        <w:footnoteReference w:id="24"/>
      </w:r>
      <w:r>
        <w:rPr>
          <w:rFonts w:cs="Arial"/>
          <w:sz w:val="22"/>
          <w:szCs w:val="22"/>
        </w:rPr>
        <w:t>.</w:t>
      </w:r>
    </w:p>
    <w:p w14:paraId="5006819E" w14:textId="77777777" w:rsidR="00482BD8" w:rsidRDefault="00482BD8" w:rsidP="00D22441">
      <w:pPr>
        <w:rPr>
          <w:rFonts w:cs="Arial"/>
          <w:sz w:val="22"/>
          <w:szCs w:val="22"/>
        </w:rPr>
      </w:pPr>
    </w:p>
    <w:p w14:paraId="168DB2ED" w14:textId="5FE13542" w:rsidR="00482BD8" w:rsidRDefault="00482BD8" w:rsidP="00D22441">
      <w:pPr>
        <w:rPr>
          <w:rFonts w:cs="Arial"/>
          <w:sz w:val="22"/>
          <w:szCs w:val="22"/>
        </w:rPr>
      </w:pPr>
      <w:r w:rsidRPr="00482BD8">
        <w:rPr>
          <w:rFonts w:cs="Arial"/>
          <w:noProof/>
          <w:sz w:val="22"/>
          <w:szCs w:val="22"/>
        </w:rPr>
        <w:lastRenderedPageBreak/>
        <w:drawing>
          <wp:inline distT="0" distB="0" distL="0" distR="0" wp14:anchorId="5DC4FF0A" wp14:editId="4F757072">
            <wp:extent cx="5972810" cy="195072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972810" cy="1950720"/>
                    </a:xfrm>
                    <a:prstGeom prst="rect">
                      <a:avLst/>
                    </a:prstGeom>
                  </pic:spPr>
                </pic:pic>
              </a:graphicData>
            </a:graphic>
          </wp:inline>
        </w:drawing>
      </w:r>
      <w:r>
        <w:rPr>
          <w:rFonts w:cs="Arial"/>
          <w:sz w:val="22"/>
          <w:szCs w:val="22"/>
        </w:rPr>
        <w:t xml:space="preserve"> </w:t>
      </w:r>
    </w:p>
    <w:p w14:paraId="4B64E0CC" w14:textId="1BEBF3B9" w:rsidR="00482BD8" w:rsidRDefault="00482BD8" w:rsidP="00D22441">
      <w:pPr>
        <w:rPr>
          <w:rFonts w:cs="Arial"/>
          <w:sz w:val="22"/>
          <w:szCs w:val="22"/>
        </w:rPr>
      </w:pPr>
    </w:p>
    <w:p w14:paraId="0F2F9CF3" w14:textId="77777777" w:rsidR="00AD4E79" w:rsidRDefault="00AD4E79" w:rsidP="00D22441">
      <w:pPr>
        <w:rPr>
          <w:rFonts w:cs="Arial"/>
          <w:sz w:val="22"/>
          <w:szCs w:val="22"/>
        </w:rPr>
      </w:pPr>
    </w:p>
    <w:p w14:paraId="3E60D154" w14:textId="77777777" w:rsidR="00AD4E79" w:rsidRDefault="00AD4E79" w:rsidP="00D22441">
      <w:pPr>
        <w:rPr>
          <w:rFonts w:cs="Arial"/>
          <w:sz w:val="22"/>
          <w:szCs w:val="22"/>
        </w:rPr>
      </w:pPr>
    </w:p>
    <w:p w14:paraId="409B01FE" w14:textId="73494359" w:rsidR="00077228" w:rsidRPr="0080364C" w:rsidRDefault="00077228" w:rsidP="00D22441">
      <w:pPr>
        <w:pStyle w:val="Subttulo"/>
        <w:numPr>
          <w:ilvl w:val="1"/>
          <w:numId w:val="37"/>
        </w:numPr>
        <w:spacing w:after="0"/>
        <w:ind w:left="357" w:hanging="357"/>
        <w:jc w:val="left"/>
        <w:rPr>
          <w:b/>
          <w:bCs/>
          <w:sz w:val="22"/>
          <w:szCs w:val="22"/>
        </w:rPr>
      </w:pPr>
      <w:bookmarkStart w:id="56" w:name="_Toc147154313"/>
      <w:r w:rsidRPr="0080364C">
        <w:rPr>
          <w:b/>
          <w:bCs/>
          <w:sz w:val="22"/>
          <w:szCs w:val="22"/>
        </w:rPr>
        <w:t xml:space="preserve">REGULADOS NO CENSADOS POR </w:t>
      </w:r>
      <w:r w:rsidR="005D478F">
        <w:rPr>
          <w:b/>
          <w:bCs/>
          <w:sz w:val="22"/>
          <w:szCs w:val="22"/>
        </w:rPr>
        <w:t xml:space="preserve">LA </w:t>
      </w:r>
      <w:r w:rsidRPr="0080364C">
        <w:rPr>
          <w:b/>
          <w:bCs/>
          <w:sz w:val="22"/>
          <w:szCs w:val="22"/>
        </w:rPr>
        <w:t>SSPD</w:t>
      </w:r>
      <w:r w:rsidR="00F95853">
        <w:rPr>
          <w:b/>
          <w:bCs/>
          <w:sz w:val="22"/>
          <w:szCs w:val="22"/>
        </w:rPr>
        <w:t>,</w:t>
      </w:r>
      <w:r w:rsidRPr="0080364C">
        <w:rPr>
          <w:b/>
          <w:bCs/>
          <w:sz w:val="22"/>
          <w:szCs w:val="22"/>
        </w:rPr>
        <w:t xml:space="preserve"> </w:t>
      </w:r>
      <w:r w:rsidR="00F95853">
        <w:rPr>
          <w:b/>
          <w:bCs/>
          <w:sz w:val="22"/>
          <w:szCs w:val="22"/>
        </w:rPr>
        <w:t>REPORTANTES DE</w:t>
      </w:r>
      <w:r w:rsidRPr="0080364C">
        <w:rPr>
          <w:b/>
          <w:bCs/>
          <w:sz w:val="22"/>
          <w:szCs w:val="22"/>
        </w:rPr>
        <w:t xml:space="preserve"> INFORMACIÓN AL SUI</w:t>
      </w:r>
      <w:r w:rsidR="00F95853">
        <w:rPr>
          <w:b/>
          <w:bCs/>
          <w:sz w:val="22"/>
          <w:szCs w:val="22"/>
        </w:rPr>
        <w:t>.</w:t>
      </w:r>
      <w:bookmarkEnd w:id="56"/>
    </w:p>
    <w:p w14:paraId="15A84684" w14:textId="77777777" w:rsidR="00077228" w:rsidRPr="00077228" w:rsidRDefault="00077228" w:rsidP="00D22441">
      <w:pPr>
        <w:pStyle w:val="Subttulo"/>
        <w:spacing w:after="0"/>
        <w:ind w:left="357"/>
        <w:jc w:val="left"/>
        <w:rPr>
          <w:sz w:val="22"/>
          <w:szCs w:val="22"/>
        </w:rPr>
      </w:pPr>
    </w:p>
    <w:p w14:paraId="73A5F63D" w14:textId="7B549F4D" w:rsidR="00077228" w:rsidRDefault="00EA4E86" w:rsidP="00D22441">
      <w:pPr>
        <w:rPr>
          <w:rFonts w:cs="Arial"/>
          <w:sz w:val="22"/>
          <w:szCs w:val="22"/>
        </w:rPr>
      </w:pPr>
      <w:r>
        <w:rPr>
          <w:rFonts w:cs="Arial"/>
          <w:sz w:val="22"/>
          <w:szCs w:val="22"/>
        </w:rPr>
        <w:t>Con corte al 12 de julio de 2023, l</w:t>
      </w:r>
      <w:r w:rsidR="00077228">
        <w:rPr>
          <w:rFonts w:cs="Arial"/>
          <w:sz w:val="22"/>
          <w:szCs w:val="22"/>
        </w:rPr>
        <w:t xml:space="preserve">os </w:t>
      </w:r>
      <w:r w:rsidR="00077228" w:rsidRPr="00D1664E">
        <w:rPr>
          <w:rFonts w:cs="Arial"/>
          <w:sz w:val="22"/>
          <w:szCs w:val="22"/>
        </w:rPr>
        <w:t>siguientes</w:t>
      </w:r>
      <w:r w:rsidR="0080364C" w:rsidRPr="00D1664E">
        <w:rPr>
          <w:rFonts w:cs="Arial"/>
          <w:sz w:val="22"/>
          <w:szCs w:val="22"/>
        </w:rPr>
        <w:t xml:space="preserve"> siete (7) </w:t>
      </w:r>
      <w:r w:rsidR="00077228" w:rsidRPr="00D1664E">
        <w:rPr>
          <w:rFonts w:cs="Arial"/>
          <w:sz w:val="22"/>
          <w:szCs w:val="22"/>
        </w:rPr>
        <w:t xml:space="preserve">regulados </w:t>
      </w:r>
      <w:r w:rsidR="00077228">
        <w:rPr>
          <w:rFonts w:cs="Arial"/>
          <w:sz w:val="22"/>
          <w:szCs w:val="22"/>
        </w:rPr>
        <w:t xml:space="preserve">del ámbito de regulación de la CREG, no se encuentran </w:t>
      </w:r>
      <w:r w:rsidR="0080364C">
        <w:rPr>
          <w:rFonts w:cs="Arial"/>
          <w:sz w:val="22"/>
          <w:szCs w:val="22"/>
        </w:rPr>
        <w:t>listados</w:t>
      </w:r>
      <w:r w:rsidR="00077228">
        <w:rPr>
          <w:rFonts w:cs="Arial"/>
          <w:sz w:val="22"/>
          <w:szCs w:val="22"/>
        </w:rPr>
        <w:t xml:space="preserve"> en l</w:t>
      </w:r>
      <w:r w:rsidR="00077228" w:rsidRPr="00C821C7">
        <w:rPr>
          <w:rFonts w:cs="Arial"/>
          <w:sz w:val="22"/>
          <w:szCs w:val="22"/>
        </w:rPr>
        <w:t xml:space="preserve">a </w:t>
      </w:r>
      <w:r w:rsidR="00077228">
        <w:rPr>
          <w:rFonts w:cs="Arial"/>
          <w:sz w:val="22"/>
          <w:szCs w:val="22"/>
        </w:rPr>
        <w:t xml:space="preserve">anterior resolución censo de la </w:t>
      </w:r>
      <w:r w:rsidR="00077228" w:rsidRPr="00C821C7">
        <w:rPr>
          <w:rFonts w:cs="Arial"/>
          <w:sz w:val="22"/>
          <w:szCs w:val="22"/>
        </w:rPr>
        <w:t>SSPD</w:t>
      </w:r>
      <w:r w:rsidR="00077228">
        <w:rPr>
          <w:rFonts w:cs="Arial"/>
          <w:sz w:val="22"/>
          <w:szCs w:val="22"/>
        </w:rPr>
        <w:t>, y</w:t>
      </w:r>
      <w:r>
        <w:rPr>
          <w:rFonts w:cs="Arial"/>
          <w:sz w:val="22"/>
          <w:szCs w:val="22"/>
        </w:rPr>
        <w:t xml:space="preserve"> en todo caso</w:t>
      </w:r>
      <w:r w:rsidR="00077228">
        <w:rPr>
          <w:rFonts w:cs="Arial"/>
          <w:sz w:val="22"/>
          <w:szCs w:val="22"/>
        </w:rPr>
        <w:t xml:space="preserve"> presentaron </w:t>
      </w:r>
      <w:r w:rsidR="0080364C">
        <w:rPr>
          <w:rFonts w:cs="Arial"/>
          <w:sz w:val="22"/>
          <w:szCs w:val="22"/>
        </w:rPr>
        <w:t xml:space="preserve">su información financiera 2022 en el SUI-SSPD, </w:t>
      </w:r>
      <w:r>
        <w:rPr>
          <w:rFonts w:cs="Arial"/>
          <w:sz w:val="22"/>
          <w:szCs w:val="22"/>
        </w:rPr>
        <w:t>se relacionan</w:t>
      </w:r>
      <w:r w:rsidR="0080364C">
        <w:rPr>
          <w:rFonts w:cs="Arial"/>
          <w:sz w:val="22"/>
          <w:szCs w:val="22"/>
        </w:rPr>
        <w:t xml:space="preserve"> a continuación</w:t>
      </w:r>
      <w:r>
        <w:rPr>
          <w:rFonts w:cs="Arial"/>
          <w:sz w:val="22"/>
          <w:szCs w:val="22"/>
        </w:rPr>
        <w:t>, ordenados por su NIT</w:t>
      </w:r>
      <w:r w:rsidR="0080364C">
        <w:rPr>
          <w:rFonts w:cs="Arial"/>
          <w:sz w:val="22"/>
          <w:szCs w:val="22"/>
        </w:rPr>
        <w:t>:</w:t>
      </w:r>
    </w:p>
    <w:p w14:paraId="3D32BA32" w14:textId="61A223F9" w:rsidR="00D1664E" w:rsidRDefault="00D1664E" w:rsidP="00D22441">
      <w:pPr>
        <w:rPr>
          <w:rFonts w:cs="Arial"/>
          <w:sz w:val="22"/>
          <w:szCs w:val="22"/>
        </w:rPr>
      </w:pPr>
    </w:p>
    <w:p w14:paraId="038A31E5" w14:textId="374038E7" w:rsidR="00704186" w:rsidRPr="00B24EC3" w:rsidRDefault="00704186" w:rsidP="00704186">
      <w:pPr>
        <w:pStyle w:val="Descripcin"/>
        <w:rPr>
          <w:i w:val="0"/>
          <w:iCs w:val="0"/>
          <w:color w:val="auto"/>
        </w:rPr>
      </w:pPr>
      <w:bookmarkStart w:id="57" w:name="_Toc145486434"/>
      <w:r w:rsidRPr="002C4392">
        <w:rPr>
          <w:i w:val="0"/>
          <w:iCs w:val="0"/>
          <w:color w:val="auto"/>
        </w:rPr>
        <w:t xml:space="preserve">Tabla </w:t>
      </w:r>
      <w:r w:rsidRPr="002C4392">
        <w:rPr>
          <w:i w:val="0"/>
          <w:iCs w:val="0"/>
          <w:color w:val="auto"/>
        </w:rPr>
        <w:fldChar w:fldCharType="begin"/>
      </w:r>
      <w:r w:rsidRPr="002C4392">
        <w:rPr>
          <w:i w:val="0"/>
          <w:iCs w:val="0"/>
          <w:color w:val="auto"/>
        </w:rPr>
        <w:instrText xml:space="preserve"> SEQ Tabla \* ARABIC </w:instrText>
      </w:r>
      <w:r w:rsidRPr="002C4392">
        <w:rPr>
          <w:i w:val="0"/>
          <w:iCs w:val="0"/>
          <w:color w:val="auto"/>
        </w:rPr>
        <w:fldChar w:fldCharType="separate"/>
      </w:r>
      <w:r>
        <w:rPr>
          <w:i w:val="0"/>
          <w:iCs w:val="0"/>
          <w:noProof/>
          <w:color w:val="auto"/>
        </w:rPr>
        <w:t>8</w:t>
      </w:r>
      <w:r w:rsidRPr="002C4392">
        <w:rPr>
          <w:i w:val="0"/>
          <w:iCs w:val="0"/>
          <w:color w:val="auto"/>
        </w:rPr>
        <w:fldChar w:fldCharType="end"/>
      </w:r>
      <w:r w:rsidRPr="002C4392">
        <w:rPr>
          <w:i w:val="0"/>
          <w:iCs w:val="0"/>
          <w:color w:val="auto"/>
        </w:rPr>
        <w:t xml:space="preserve">. </w:t>
      </w:r>
      <w:r>
        <w:rPr>
          <w:i w:val="0"/>
          <w:iCs w:val="0"/>
          <w:color w:val="auto"/>
        </w:rPr>
        <w:t>Regulados no censados SSPD para la contribución 2023.</w:t>
      </w:r>
      <w:bookmarkEnd w:id="57"/>
    </w:p>
    <w:tbl>
      <w:tblPr>
        <w:tblW w:w="9471" w:type="dxa"/>
        <w:tblCellMar>
          <w:left w:w="70" w:type="dxa"/>
          <w:right w:w="70" w:type="dxa"/>
        </w:tblCellMar>
        <w:tblLook w:val="04A0" w:firstRow="1" w:lastRow="0" w:firstColumn="1" w:lastColumn="0" w:noHBand="0" w:noVBand="1"/>
      </w:tblPr>
      <w:tblGrid>
        <w:gridCol w:w="454"/>
        <w:gridCol w:w="505"/>
        <w:gridCol w:w="797"/>
        <w:gridCol w:w="323"/>
        <w:gridCol w:w="3600"/>
        <w:gridCol w:w="1368"/>
        <w:gridCol w:w="1161"/>
        <w:gridCol w:w="1263"/>
      </w:tblGrid>
      <w:tr w:rsidR="00E32E81" w:rsidRPr="00E32E81" w14:paraId="034C7234" w14:textId="77777777" w:rsidTr="00EA5607">
        <w:trPr>
          <w:trHeight w:val="510"/>
        </w:trPr>
        <w:tc>
          <w:tcPr>
            <w:tcW w:w="45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F34F3C7" w14:textId="77777777" w:rsidR="00E32E81" w:rsidRPr="00E32E81" w:rsidRDefault="00E32E81" w:rsidP="00D22441">
            <w:pPr>
              <w:jc w:val="center"/>
              <w:rPr>
                <w:rFonts w:ascii="Arial Narrow" w:hAnsi="Arial Narrow" w:cs="Arial"/>
                <w:b/>
                <w:bCs/>
                <w:color w:val="000000"/>
                <w:spacing w:val="0"/>
                <w:sz w:val="16"/>
                <w:szCs w:val="16"/>
                <w:lang w:eastAsia="es-CO"/>
              </w:rPr>
            </w:pPr>
            <w:r w:rsidRPr="00E32E81">
              <w:rPr>
                <w:rFonts w:ascii="Arial Narrow" w:hAnsi="Arial Narrow" w:cs="Arial"/>
                <w:b/>
                <w:bCs/>
                <w:color w:val="000000"/>
                <w:spacing w:val="0"/>
                <w:sz w:val="16"/>
                <w:szCs w:val="16"/>
                <w:lang w:val="es-MX" w:eastAsia="es-CO"/>
              </w:rPr>
              <w:t>ITEM</w:t>
            </w:r>
          </w:p>
        </w:tc>
        <w:tc>
          <w:tcPr>
            <w:tcW w:w="505" w:type="dxa"/>
            <w:tcBorders>
              <w:top w:val="single" w:sz="4" w:space="0" w:color="auto"/>
              <w:left w:val="nil"/>
              <w:bottom w:val="single" w:sz="4" w:space="0" w:color="auto"/>
              <w:right w:val="single" w:sz="4" w:space="0" w:color="auto"/>
            </w:tcBorders>
            <w:shd w:val="clear" w:color="auto" w:fill="E7E6E6" w:themeFill="background2"/>
            <w:vAlign w:val="center"/>
            <w:hideMark/>
          </w:tcPr>
          <w:p w14:paraId="6D78FFDE" w14:textId="77777777" w:rsidR="00E32E81" w:rsidRPr="00E32E81" w:rsidRDefault="00E32E81" w:rsidP="00D22441">
            <w:pPr>
              <w:jc w:val="center"/>
              <w:rPr>
                <w:rFonts w:ascii="Arial Narrow" w:hAnsi="Arial Narrow" w:cs="Arial"/>
                <w:b/>
                <w:bCs/>
                <w:color w:val="000000"/>
                <w:spacing w:val="0"/>
                <w:sz w:val="16"/>
                <w:szCs w:val="16"/>
                <w:lang w:eastAsia="es-CO"/>
              </w:rPr>
            </w:pPr>
            <w:r w:rsidRPr="00E32E81">
              <w:rPr>
                <w:rFonts w:ascii="Arial Narrow" w:hAnsi="Arial Narrow" w:cs="Arial"/>
                <w:b/>
                <w:bCs/>
                <w:color w:val="000000"/>
                <w:spacing w:val="0"/>
                <w:sz w:val="16"/>
                <w:szCs w:val="16"/>
                <w:lang w:val="es-MX" w:eastAsia="es-CO"/>
              </w:rPr>
              <w:t>RUPS</w:t>
            </w:r>
          </w:p>
        </w:tc>
        <w:tc>
          <w:tcPr>
            <w:tcW w:w="797" w:type="dxa"/>
            <w:tcBorders>
              <w:top w:val="single" w:sz="4" w:space="0" w:color="auto"/>
              <w:left w:val="nil"/>
              <w:bottom w:val="single" w:sz="4" w:space="0" w:color="auto"/>
              <w:right w:val="single" w:sz="4" w:space="0" w:color="auto"/>
            </w:tcBorders>
            <w:shd w:val="clear" w:color="auto" w:fill="E7E6E6" w:themeFill="background2"/>
            <w:vAlign w:val="center"/>
            <w:hideMark/>
          </w:tcPr>
          <w:p w14:paraId="55FCDB09" w14:textId="77777777" w:rsidR="00E32E81" w:rsidRPr="00E32E81" w:rsidRDefault="00E32E81" w:rsidP="00D22441">
            <w:pPr>
              <w:jc w:val="center"/>
              <w:rPr>
                <w:rFonts w:ascii="Arial Narrow" w:hAnsi="Arial Narrow" w:cs="Arial"/>
                <w:b/>
                <w:bCs/>
                <w:color w:val="000000"/>
                <w:spacing w:val="0"/>
                <w:sz w:val="16"/>
                <w:szCs w:val="16"/>
                <w:lang w:eastAsia="es-CO"/>
              </w:rPr>
            </w:pPr>
            <w:r w:rsidRPr="00E32E81">
              <w:rPr>
                <w:rFonts w:ascii="Arial Narrow" w:hAnsi="Arial Narrow" w:cs="Arial"/>
                <w:b/>
                <w:bCs/>
                <w:color w:val="000000"/>
                <w:spacing w:val="0"/>
                <w:sz w:val="16"/>
                <w:szCs w:val="16"/>
                <w:lang w:val="es-MX" w:eastAsia="es-CO"/>
              </w:rPr>
              <w:t>NIT</w:t>
            </w:r>
          </w:p>
        </w:tc>
        <w:tc>
          <w:tcPr>
            <w:tcW w:w="323" w:type="dxa"/>
            <w:tcBorders>
              <w:top w:val="single" w:sz="4" w:space="0" w:color="auto"/>
              <w:left w:val="nil"/>
              <w:bottom w:val="single" w:sz="4" w:space="0" w:color="auto"/>
              <w:right w:val="single" w:sz="4" w:space="0" w:color="auto"/>
            </w:tcBorders>
            <w:shd w:val="clear" w:color="auto" w:fill="E7E6E6" w:themeFill="background2"/>
            <w:vAlign w:val="center"/>
            <w:hideMark/>
          </w:tcPr>
          <w:p w14:paraId="606BDDFB" w14:textId="77777777" w:rsidR="00E32E81" w:rsidRPr="00E32E81" w:rsidRDefault="00E32E81" w:rsidP="00D22441">
            <w:pPr>
              <w:jc w:val="center"/>
              <w:rPr>
                <w:rFonts w:ascii="Arial Narrow" w:hAnsi="Arial Narrow" w:cs="Arial"/>
                <w:b/>
                <w:bCs/>
                <w:color w:val="000000"/>
                <w:spacing w:val="0"/>
                <w:sz w:val="16"/>
                <w:szCs w:val="16"/>
                <w:lang w:eastAsia="es-CO"/>
              </w:rPr>
            </w:pPr>
            <w:r w:rsidRPr="00E32E81">
              <w:rPr>
                <w:rFonts w:ascii="Arial Narrow" w:hAnsi="Arial Narrow" w:cs="Arial"/>
                <w:b/>
                <w:bCs/>
                <w:color w:val="000000"/>
                <w:spacing w:val="0"/>
                <w:sz w:val="16"/>
                <w:szCs w:val="16"/>
                <w:lang w:val="es-MX" w:eastAsia="es-CO"/>
              </w:rPr>
              <w:t>DV</w:t>
            </w:r>
          </w:p>
        </w:tc>
        <w:tc>
          <w:tcPr>
            <w:tcW w:w="3600" w:type="dxa"/>
            <w:tcBorders>
              <w:top w:val="single" w:sz="4" w:space="0" w:color="auto"/>
              <w:left w:val="nil"/>
              <w:bottom w:val="single" w:sz="4" w:space="0" w:color="auto"/>
              <w:right w:val="single" w:sz="4" w:space="0" w:color="auto"/>
            </w:tcBorders>
            <w:shd w:val="clear" w:color="auto" w:fill="E7E6E6" w:themeFill="background2"/>
            <w:vAlign w:val="center"/>
            <w:hideMark/>
          </w:tcPr>
          <w:p w14:paraId="252FCDBD" w14:textId="77777777" w:rsidR="00E32E81" w:rsidRPr="00E32E81" w:rsidRDefault="00E32E81" w:rsidP="00D22441">
            <w:pPr>
              <w:jc w:val="center"/>
              <w:rPr>
                <w:rFonts w:ascii="Arial Narrow" w:hAnsi="Arial Narrow" w:cs="Arial"/>
                <w:b/>
                <w:bCs/>
                <w:color w:val="000000"/>
                <w:spacing w:val="0"/>
                <w:sz w:val="16"/>
                <w:szCs w:val="16"/>
                <w:lang w:eastAsia="es-CO"/>
              </w:rPr>
            </w:pPr>
            <w:r w:rsidRPr="00E32E81">
              <w:rPr>
                <w:rFonts w:ascii="Arial Narrow" w:hAnsi="Arial Narrow" w:cs="Arial"/>
                <w:b/>
                <w:bCs/>
                <w:color w:val="000000"/>
                <w:spacing w:val="0"/>
                <w:sz w:val="16"/>
                <w:szCs w:val="16"/>
                <w:lang w:val="es-MX" w:eastAsia="es-CO"/>
              </w:rPr>
              <w:t>RAZÓN SOCIAL</w:t>
            </w:r>
          </w:p>
        </w:tc>
        <w:tc>
          <w:tcPr>
            <w:tcW w:w="1368" w:type="dxa"/>
            <w:tcBorders>
              <w:top w:val="single" w:sz="4" w:space="0" w:color="auto"/>
              <w:left w:val="nil"/>
              <w:bottom w:val="single" w:sz="4" w:space="0" w:color="auto"/>
              <w:right w:val="single" w:sz="4" w:space="0" w:color="auto"/>
            </w:tcBorders>
            <w:shd w:val="clear" w:color="auto" w:fill="E7E6E6" w:themeFill="background2"/>
            <w:vAlign w:val="center"/>
            <w:hideMark/>
          </w:tcPr>
          <w:p w14:paraId="35F48030" w14:textId="77777777" w:rsidR="00E32E81" w:rsidRPr="00E32E81" w:rsidRDefault="00E32E81" w:rsidP="00D22441">
            <w:pPr>
              <w:jc w:val="center"/>
              <w:rPr>
                <w:rFonts w:ascii="Arial Narrow" w:hAnsi="Arial Narrow" w:cs="Arial"/>
                <w:b/>
                <w:bCs/>
                <w:color w:val="000000"/>
                <w:spacing w:val="0"/>
                <w:sz w:val="16"/>
                <w:szCs w:val="16"/>
                <w:lang w:eastAsia="es-CO"/>
              </w:rPr>
            </w:pPr>
            <w:r w:rsidRPr="00E32E81">
              <w:rPr>
                <w:rFonts w:ascii="Arial Narrow" w:hAnsi="Arial Narrow" w:cs="Arial"/>
                <w:b/>
                <w:bCs/>
                <w:color w:val="000000"/>
                <w:spacing w:val="0"/>
                <w:sz w:val="16"/>
                <w:szCs w:val="16"/>
                <w:lang w:val="es-MX" w:eastAsia="es-CO"/>
              </w:rPr>
              <w:t>SERVICIO PRESTADO</w:t>
            </w:r>
          </w:p>
        </w:tc>
        <w:tc>
          <w:tcPr>
            <w:tcW w:w="1161" w:type="dxa"/>
            <w:tcBorders>
              <w:top w:val="single" w:sz="4" w:space="0" w:color="auto"/>
              <w:left w:val="nil"/>
              <w:bottom w:val="single" w:sz="4" w:space="0" w:color="auto"/>
              <w:right w:val="single" w:sz="4" w:space="0" w:color="auto"/>
            </w:tcBorders>
            <w:shd w:val="clear" w:color="auto" w:fill="E7E6E6" w:themeFill="background2"/>
            <w:vAlign w:val="center"/>
            <w:hideMark/>
          </w:tcPr>
          <w:p w14:paraId="7FE67193" w14:textId="45EDA5EB" w:rsidR="00E32E81" w:rsidRPr="00E32E81" w:rsidRDefault="00E32E81" w:rsidP="00D22441">
            <w:pPr>
              <w:jc w:val="center"/>
              <w:rPr>
                <w:rFonts w:ascii="Arial Narrow" w:hAnsi="Arial Narrow" w:cs="Arial"/>
                <w:b/>
                <w:bCs/>
                <w:color w:val="000000"/>
                <w:spacing w:val="0"/>
                <w:sz w:val="16"/>
                <w:szCs w:val="16"/>
                <w:lang w:eastAsia="es-CO"/>
              </w:rPr>
            </w:pPr>
            <w:r w:rsidRPr="00E32E81">
              <w:rPr>
                <w:rFonts w:ascii="Arial Narrow" w:hAnsi="Arial Narrow" w:cs="Arial"/>
                <w:b/>
                <w:bCs/>
                <w:color w:val="000000"/>
                <w:spacing w:val="0"/>
                <w:sz w:val="16"/>
                <w:szCs w:val="16"/>
                <w:lang w:val="es-MX" w:eastAsia="es-CO"/>
              </w:rPr>
              <w:t xml:space="preserve">CÁLCULO </w:t>
            </w:r>
            <w:r>
              <w:rPr>
                <w:rFonts w:ascii="Arial Narrow" w:hAnsi="Arial Narrow" w:cs="Arial"/>
                <w:b/>
                <w:bCs/>
                <w:color w:val="000000"/>
                <w:spacing w:val="0"/>
                <w:sz w:val="16"/>
                <w:szCs w:val="16"/>
                <w:lang w:val="es-MX" w:eastAsia="es-CO"/>
              </w:rPr>
              <w:t>CONTRIBUCIÓN</w:t>
            </w:r>
          </w:p>
        </w:tc>
        <w:tc>
          <w:tcPr>
            <w:tcW w:w="1263" w:type="dxa"/>
            <w:tcBorders>
              <w:top w:val="single" w:sz="4" w:space="0" w:color="auto"/>
              <w:left w:val="nil"/>
              <w:bottom w:val="single" w:sz="4" w:space="0" w:color="auto"/>
              <w:right w:val="single" w:sz="4" w:space="0" w:color="auto"/>
            </w:tcBorders>
            <w:shd w:val="clear" w:color="auto" w:fill="E7E6E6" w:themeFill="background2"/>
            <w:vAlign w:val="center"/>
            <w:hideMark/>
          </w:tcPr>
          <w:p w14:paraId="46A000D3" w14:textId="77777777" w:rsidR="00E32E81" w:rsidRPr="00E32E81" w:rsidRDefault="00E32E81" w:rsidP="00D22441">
            <w:pPr>
              <w:jc w:val="center"/>
              <w:rPr>
                <w:rFonts w:ascii="Arial Narrow" w:hAnsi="Arial Narrow" w:cs="Arial"/>
                <w:b/>
                <w:bCs/>
                <w:color w:val="000000"/>
                <w:spacing w:val="0"/>
                <w:sz w:val="16"/>
                <w:szCs w:val="16"/>
                <w:lang w:eastAsia="es-CO"/>
              </w:rPr>
            </w:pPr>
            <w:r w:rsidRPr="00E32E81">
              <w:rPr>
                <w:rFonts w:ascii="Arial Narrow" w:hAnsi="Arial Narrow" w:cs="Arial"/>
                <w:b/>
                <w:bCs/>
                <w:color w:val="000000"/>
                <w:spacing w:val="0"/>
                <w:sz w:val="16"/>
                <w:szCs w:val="16"/>
                <w:lang w:val="es-MX" w:eastAsia="es-CO"/>
              </w:rPr>
              <w:t>CONTRIBUCIÓN ESPECIAL 2023</w:t>
            </w:r>
          </w:p>
        </w:tc>
      </w:tr>
      <w:tr w:rsidR="00E32E81" w:rsidRPr="00E32E81" w14:paraId="21AD51D6" w14:textId="77777777" w:rsidTr="00E32E8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26C5D64F" w14:textId="77777777" w:rsidR="00E32E81" w:rsidRPr="00E32E81" w:rsidRDefault="00E32E81" w:rsidP="00D22441">
            <w:pPr>
              <w:jc w:val="center"/>
              <w:rPr>
                <w:rFonts w:ascii="Arial Narrow" w:hAnsi="Arial Narrow" w:cs="Arial"/>
                <w:spacing w:val="0"/>
                <w:sz w:val="16"/>
                <w:szCs w:val="16"/>
                <w:lang w:eastAsia="es-CO"/>
              </w:rPr>
            </w:pPr>
            <w:r w:rsidRPr="00E32E81">
              <w:rPr>
                <w:rFonts w:ascii="Arial Narrow" w:hAnsi="Arial Narrow" w:cs="Arial"/>
                <w:spacing w:val="0"/>
                <w:sz w:val="16"/>
                <w:szCs w:val="16"/>
                <w:lang w:eastAsia="es-CO"/>
              </w:rPr>
              <w:t>1</w:t>
            </w:r>
          </w:p>
        </w:tc>
        <w:tc>
          <w:tcPr>
            <w:tcW w:w="505" w:type="dxa"/>
            <w:tcBorders>
              <w:top w:val="nil"/>
              <w:left w:val="nil"/>
              <w:bottom w:val="single" w:sz="4" w:space="0" w:color="auto"/>
              <w:right w:val="single" w:sz="4" w:space="0" w:color="auto"/>
            </w:tcBorders>
            <w:shd w:val="clear" w:color="auto" w:fill="auto"/>
            <w:noWrap/>
            <w:vAlign w:val="center"/>
            <w:hideMark/>
          </w:tcPr>
          <w:p w14:paraId="0EBB6EFE" w14:textId="77777777" w:rsidR="00E32E81" w:rsidRPr="00E32E81" w:rsidRDefault="00E32E81" w:rsidP="00D22441">
            <w:pPr>
              <w:jc w:val="right"/>
              <w:rPr>
                <w:rFonts w:ascii="Arial Narrow" w:hAnsi="Arial Narrow" w:cs="Arial"/>
                <w:spacing w:val="0"/>
                <w:sz w:val="16"/>
                <w:szCs w:val="16"/>
                <w:lang w:eastAsia="es-CO"/>
              </w:rPr>
            </w:pPr>
            <w:r w:rsidRPr="00E32E81">
              <w:rPr>
                <w:rFonts w:ascii="Arial Narrow" w:hAnsi="Arial Narrow" w:cs="Arial"/>
                <w:spacing w:val="0"/>
                <w:sz w:val="16"/>
                <w:szCs w:val="16"/>
                <w:lang w:eastAsia="es-CO"/>
              </w:rPr>
              <w:t>23095</w:t>
            </w:r>
          </w:p>
        </w:tc>
        <w:tc>
          <w:tcPr>
            <w:tcW w:w="797" w:type="dxa"/>
            <w:tcBorders>
              <w:top w:val="nil"/>
              <w:left w:val="nil"/>
              <w:bottom w:val="single" w:sz="4" w:space="0" w:color="auto"/>
              <w:right w:val="single" w:sz="4" w:space="0" w:color="auto"/>
            </w:tcBorders>
            <w:shd w:val="clear" w:color="auto" w:fill="auto"/>
            <w:noWrap/>
            <w:vAlign w:val="center"/>
            <w:hideMark/>
          </w:tcPr>
          <w:p w14:paraId="479DCC08" w14:textId="77777777" w:rsidR="00E32E81" w:rsidRPr="00E32E81" w:rsidRDefault="00E32E81" w:rsidP="00D22441">
            <w:pPr>
              <w:jc w:val="right"/>
              <w:rPr>
                <w:rFonts w:ascii="Arial Narrow" w:hAnsi="Arial Narrow" w:cs="Arial"/>
                <w:spacing w:val="0"/>
                <w:sz w:val="16"/>
                <w:szCs w:val="16"/>
                <w:lang w:eastAsia="es-CO"/>
              </w:rPr>
            </w:pPr>
            <w:r w:rsidRPr="00E32E81">
              <w:rPr>
                <w:rFonts w:ascii="Arial Narrow" w:hAnsi="Arial Narrow" w:cs="Arial"/>
                <w:spacing w:val="0"/>
                <w:sz w:val="16"/>
                <w:szCs w:val="16"/>
                <w:lang w:eastAsia="es-CO"/>
              </w:rPr>
              <w:t>900185106</w:t>
            </w:r>
          </w:p>
        </w:tc>
        <w:tc>
          <w:tcPr>
            <w:tcW w:w="323" w:type="dxa"/>
            <w:tcBorders>
              <w:top w:val="nil"/>
              <w:left w:val="nil"/>
              <w:bottom w:val="single" w:sz="4" w:space="0" w:color="auto"/>
              <w:right w:val="single" w:sz="4" w:space="0" w:color="auto"/>
            </w:tcBorders>
            <w:shd w:val="clear" w:color="auto" w:fill="auto"/>
            <w:noWrap/>
            <w:vAlign w:val="center"/>
            <w:hideMark/>
          </w:tcPr>
          <w:p w14:paraId="0BA92CDF" w14:textId="77777777" w:rsidR="00E32E81" w:rsidRPr="00E32E81" w:rsidRDefault="00E32E81" w:rsidP="00D22441">
            <w:pPr>
              <w:jc w:val="right"/>
              <w:rPr>
                <w:rFonts w:ascii="Arial Narrow" w:hAnsi="Arial Narrow" w:cs="Arial"/>
                <w:spacing w:val="0"/>
                <w:sz w:val="16"/>
                <w:szCs w:val="16"/>
                <w:lang w:eastAsia="es-CO"/>
              </w:rPr>
            </w:pPr>
            <w:r w:rsidRPr="00E32E81">
              <w:rPr>
                <w:rFonts w:ascii="Arial Narrow" w:hAnsi="Arial Narrow" w:cs="Arial"/>
                <w:spacing w:val="0"/>
                <w:sz w:val="16"/>
                <w:szCs w:val="16"/>
                <w:lang w:eastAsia="es-CO"/>
              </w:rPr>
              <w:t>0</w:t>
            </w:r>
          </w:p>
        </w:tc>
        <w:tc>
          <w:tcPr>
            <w:tcW w:w="3600" w:type="dxa"/>
            <w:tcBorders>
              <w:top w:val="nil"/>
              <w:left w:val="nil"/>
              <w:bottom w:val="single" w:sz="4" w:space="0" w:color="auto"/>
              <w:right w:val="single" w:sz="4" w:space="0" w:color="auto"/>
            </w:tcBorders>
            <w:shd w:val="clear" w:color="auto" w:fill="auto"/>
            <w:noWrap/>
            <w:vAlign w:val="center"/>
            <w:hideMark/>
          </w:tcPr>
          <w:p w14:paraId="742B11F1" w14:textId="77777777" w:rsidR="00E32E81" w:rsidRPr="00E32E81" w:rsidRDefault="00E32E81" w:rsidP="00D22441">
            <w:pPr>
              <w:jc w:val="left"/>
              <w:rPr>
                <w:rFonts w:ascii="Arial Narrow" w:hAnsi="Arial Narrow" w:cs="Arial"/>
                <w:spacing w:val="0"/>
                <w:sz w:val="16"/>
                <w:szCs w:val="16"/>
                <w:lang w:eastAsia="es-CO"/>
              </w:rPr>
            </w:pPr>
            <w:r w:rsidRPr="00E32E81">
              <w:rPr>
                <w:rFonts w:ascii="Arial Narrow" w:hAnsi="Arial Narrow" w:cs="Arial"/>
                <w:spacing w:val="0"/>
                <w:sz w:val="16"/>
                <w:szCs w:val="16"/>
                <w:lang w:eastAsia="es-CO"/>
              </w:rPr>
              <w:t>CARUQUIA S.A.S. E.S.P.</w:t>
            </w:r>
          </w:p>
        </w:tc>
        <w:tc>
          <w:tcPr>
            <w:tcW w:w="1368" w:type="dxa"/>
            <w:tcBorders>
              <w:top w:val="nil"/>
              <w:left w:val="nil"/>
              <w:bottom w:val="single" w:sz="4" w:space="0" w:color="auto"/>
              <w:right w:val="single" w:sz="4" w:space="0" w:color="auto"/>
            </w:tcBorders>
            <w:shd w:val="clear" w:color="auto" w:fill="auto"/>
            <w:vAlign w:val="center"/>
            <w:hideMark/>
          </w:tcPr>
          <w:p w14:paraId="335C4DD4" w14:textId="77777777" w:rsidR="00E32E81" w:rsidRPr="00E32E81" w:rsidRDefault="00E32E81" w:rsidP="00D22441">
            <w:pPr>
              <w:jc w:val="left"/>
              <w:rPr>
                <w:rFonts w:ascii="Arial Narrow" w:hAnsi="Arial Narrow" w:cs="Arial"/>
                <w:spacing w:val="0"/>
                <w:sz w:val="16"/>
                <w:szCs w:val="16"/>
                <w:lang w:eastAsia="es-CO"/>
              </w:rPr>
            </w:pPr>
            <w:r w:rsidRPr="00E32E81">
              <w:rPr>
                <w:rFonts w:ascii="Arial Narrow" w:hAnsi="Arial Narrow" w:cs="Arial"/>
                <w:spacing w:val="0"/>
                <w:sz w:val="16"/>
                <w:szCs w:val="16"/>
                <w:lang w:eastAsia="es-CO"/>
              </w:rPr>
              <w:t>Energía</w:t>
            </w:r>
          </w:p>
        </w:tc>
        <w:tc>
          <w:tcPr>
            <w:tcW w:w="1161" w:type="dxa"/>
            <w:tcBorders>
              <w:top w:val="nil"/>
              <w:left w:val="nil"/>
              <w:bottom w:val="single" w:sz="4" w:space="0" w:color="auto"/>
              <w:right w:val="single" w:sz="4" w:space="0" w:color="auto"/>
            </w:tcBorders>
            <w:shd w:val="clear" w:color="auto" w:fill="auto"/>
            <w:vAlign w:val="center"/>
            <w:hideMark/>
          </w:tcPr>
          <w:p w14:paraId="77227A7B" w14:textId="77777777" w:rsidR="00E32E81" w:rsidRPr="00E32E81" w:rsidRDefault="00E32E81" w:rsidP="00D22441">
            <w:pPr>
              <w:jc w:val="right"/>
              <w:rPr>
                <w:rFonts w:ascii="Arial Narrow" w:hAnsi="Arial Narrow" w:cs="Arial"/>
                <w:spacing w:val="0"/>
                <w:sz w:val="16"/>
                <w:szCs w:val="16"/>
                <w:lang w:eastAsia="es-CO"/>
              </w:rPr>
            </w:pPr>
            <w:r w:rsidRPr="00E32E81">
              <w:rPr>
                <w:rFonts w:ascii="Arial Narrow" w:hAnsi="Arial Narrow" w:cs="Arial"/>
                <w:spacing w:val="0"/>
                <w:sz w:val="16"/>
                <w:szCs w:val="16"/>
                <w:lang w:eastAsia="es-CO"/>
              </w:rPr>
              <w:t>$ 9.817.719</w:t>
            </w:r>
          </w:p>
        </w:tc>
        <w:tc>
          <w:tcPr>
            <w:tcW w:w="1263" w:type="dxa"/>
            <w:tcBorders>
              <w:top w:val="nil"/>
              <w:left w:val="nil"/>
              <w:bottom w:val="single" w:sz="4" w:space="0" w:color="auto"/>
              <w:right w:val="single" w:sz="4" w:space="0" w:color="auto"/>
            </w:tcBorders>
            <w:shd w:val="clear" w:color="auto" w:fill="auto"/>
            <w:vAlign w:val="center"/>
            <w:hideMark/>
          </w:tcPr>
          <w:p w14:paraId="00C1B0EE" w14:textId="77777777" w:rsidR="00E32E81" w:rsidRPr="00E32E81" w:rsidRDefault="00E32E81" w:rsidP="00D22441">
            <w:pPr>
              <w:jc w:val="right"/>
              <w:rPr>
                <w:rFonts w:ascii="Arial Narrow" w:hAnsi="Arial Narrow" w:cs="Arial"/>
                <w:spacing w:val="0"/>
                <w:sz w:val="16"/>
                <w:szCs w:val="16"/>
                <w:lang w:eastAsia="es-CO"/>
              </w:rPr>
            </w:pPr>
            <w:r w:rsidRPr="00E32E81">
              <w:rPr>
                <w:rFonts w:ascii="Arial Narrow" w:hAnsi="Arial Narrow" w:cs="Arial"/>
                <w:spacing w:val="0"/>
                <w:sz w:val="16"/>
                <w:szCs w:val="16"/>
                <w:lang w:eastAsia="es-CO"/>
              </w:rPr>
              <w:t>$ 9.817.719</w:t>
            </w:r>
          </w:p>
        </w:tc>
      </w:tr>
      <w:tr w:rsidR="00E32E81" w:rsidRPr="00E32E81" w14:paraId="7212BCBB" w14:textId="77777777" w:rsidTr="00E32E8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11293B24" w14:textId="77777777" w:rsidR="00E32E81" w:rsidRPr="00E32E81" w:rsidRDefault="00E32E81" w:rsidP="00D22441">
            <w:pPr>
              <w:jc w:val="center"/>
              <w:rPr>
                <w:rFonts w:ascii="Arial Narrow" w:hAnsi="Arial Narrow" w:cs="Arial"/>
                <w:spacing w:val="0"/>
                <w:sz w:val="16"/>
                <w:szCs w:val="16"/>
                <w:lang w:eastAsia="es-CO"/>
              </w:rPr>
            </w:pPr>
            <w:r w:rsidRPr="00E32E81">
              <w:rPr>
                <w:rFonts w:ascii="Arial Narrow" w:hAnsi="Arial Narrow" w:cs="Arial"/>
                <w:spacing w:val="0"/>
                <w:sz w:val="16"/>
                <w:szCs w:val="16"/>
                <w:lang w:eastAsia="es-CO"/>
              </w:rPr>
              <w:t>2</w:t>
            </w:r>
          </w:p>
        </w:tc>
        <w:tc>
          <w:tcPr>
            <w:tcW w:w="505" w:type="dxa"/>
            <w:tcBorders>
              <w:top w:val="nil"/>
              <w:left w:val="nil"/>
              <w:bottom w:val="single" w:sz="4" w:space="0" w:color="auto"/>
              <w:right w:val="single" w:sz="4" w:space="0" w:color="auto"/>
            </w:tcBorders>
            <w:shd w:val="clear" w:color="auto" w:fill="auto"/>
            <w:noWrap/>
            <w:vAlign w:val="center"/>
            <w:hideMark/>
          </w:tcPr>
          <w:p w14:paraId="75CE7C20" w14:textId="77777777" w:rsidR="00E32E81" w:rsidRPr="00E32E81" w:rsidRDefault="00E32E81" w:rsidP="00D22441">
            <w:pPr>
              <w:jc w:val="right"/>
              <w:rPr>
                <w:rFonts w:ascii="Arial Narrow" w:hAnsi="Arial Narrow" w:cs="Arial"/>
                <w:spacing w:val="0"/>
                <w:sz w:val="16"/>
                <w:szCs w:val="16"/>
                <w:lang w:eastAsia="es-CO"/>
              </w:rPr>
            </w:pPr>
            <w:r w:rsidRPr="00E32E81">
              <w:rPr>
                <w:rFonts w:ascii="Arial Narrow" w:hAnsi="Arial Narrow" w:cs="Arial"/>
                <w:spacing w:val="0"/>
                <w:sz w:val="16"/>
                <w:szCs w:val="16"/>
                <w:lang w:eastAsia="es-CO"/>
              </w:rPr>
              <w:t>23419</w:t>
            </w:r>
          </w:p>
        </w:tc>
        <w:tc>
          <w:tcPr>
            <w:tcW w:w="797" w:type="dxa"/>
            <w:tcBorders>
              <w:top w:val="nil"/>
              <w:left w:val="nil"/>
              <w:bottom w:val="single" w:sz="4" w:space="0" w:color="auto"/>
              <w:right w:val="single" w:sz="4" w:space="0" w:color="auto"/>
            </w:tcBorders>
            <w:shd w:val="clear" w:color="auto" w:fill="auto"/>
            <w:noWrap/>
            <w:vAlign w:val="center"/>
            <w:hideMark/>
          </w:tcPr>
          <w:p w14:paraId="0D7CC7FC" w14:textId="77777777" w:rsidR="00E32E81" w:rsidRPr="00E32E81" w:rsidRDefault="00E32E81" w:rsidP="00D22441">
            <w:pPr>
              <w:jc w:val="right"/>
              <w:rPr>
                <w:rFonts w:ascii="Arial Narrow" w:hAnsi="Arial Narrow" w:cs="Arial"/>
                <w:spacing w:val="0"/>
                <w:sz w:val="16"/>
                <w:szCs w:val="16"/>
                <w:lang w:eastAsia="es-CO"/>
              </w:rPr>
            </w:pPr>
            <w:r w:rsidRPr="00E32E81">
              <w:rPr>
                <w:rFonts w:ascii="Arial Narrow" w:hAnsi="Arial Narrow" w:cs="Arial"/>
                <w:spacing w:val="0"/>
                <w:sz w:val="16"/>
                <w:szCs w:val="16"/>
                <w:lang w:eastAsia="es-CO"/>
              </w:rPr>
              <w:t>900210455</w:t>
            </w:r>
          </w:p>
        </w:tc>
        <w:tc>
          <w:tcPr>
            <w:tcW w:w="323" w:type="dxa"/>
            <w:tcBorders>
              <w:top w:val="nil"/>
              <w:left w:val="nil"/>
              <w:bottom w:val="single" w:sz="4" w:space="0" w:color="auto"/>
              <w:right w:val="single" w:sz="4" w:space="0" w:color="auto"/>
            </w:tcBorders>
            <w:shd w:val="clear" w:color="auto" w:fill="auto"/>
            <w:noWrap/>
            <w:vAlign w:val="center"/>
            <w:hideMark/>
          </w:tcPr>
          <w:p w14:paraId="0710BD15" w14:textId="77777777" w:rsidR="00E32E81" w:rsidRPr="00E32E81" w:rsidRDefault="00E32E81" w:rsidP="00D22441">
            <w:pPr>
              <w:jc w:val="right"/>
              <w:rPr>
                <w:rFonts w:ascii="Arial Narrow" w:hAnsi="Arial Narrow" w:cs="Arial"/>
                <w:spacing w:val="0"/>
                <w:sz w:val="16"/>
                <w:szCs w:val="16"/>
                <w:lang w:eastAsia="es-CO"/>
              </w:rPr>
            </w:pPr>
            <w:r w:rsidRPr="00E32E81">
              <w:rPr>
                <w:rFonts w:ascii="Arial Narrow" w:hAnsi="Arial Narrow" w:cs="Arial"/>
                <w:spacing w:val="0"/>
                <w:sz w:val="16"/>
                <w:szCs w:val="16"/>
                <w:lang w:eastAsia="es-CO"/>
              </w:rPr>
              <w:t>3</w:t>
            </w:r>
          </w:p>
        </w:tc>
        <w:tc>
          <w:tcPr>
            <w:tcW w:w="3600" w:type="dxa"/>
            <w:tcBorders>
              <w:top w:val="nil"/>
              <w:left w:val="nil"/>
              <w:bottom w:val="single" w:sz="4" w:space="0" w:color="auto"/>
              <w:right w:val="single" w:sz="4" w:space="0" w:color="auto"/>
            </w:tcBorders>
            <w:shd w:val="clear" w:color="auto" w:fill="auto"/>
            <w:noWrap/>
            <w:vAlign w:val="center"/>
            <w:hideMark/>
          </w:tcPr>
          <w:p w14:paraId="28327A64" w14:textId="77777777" w:rsidR="00E32E81" w:rsidRPr="00E32E81" w:rsidRDefault="00E32E81" w:rsidP="00D22441">
            <w:pPr>
              <w:jc w:val="left"/>
              <w:rPr>
                <w:rFonts w:ascii="Arial Narrow" w:hAnsi="Arial Narrow" w:cs="Arial"/>
                <w:spacing w:val="0"/>
                <w:sz w:val="16"/>
                <w:szCs w:val="16"/>
                <w:lang w:eastAsia="es-CO"/>
              </w:rPr>
            </w:pPr>
            <w:r w:rsidRPr="00E32E81">
              <w:rPr>
                <w:rFonts w:ascii="Arial Narrow" w:hAnsi="Arial Narrow" w:cs="Arial"/>
                <w:spacing w:val="0"/>
                <w:sz w:val="16"/>
                <w:szCs w:val="16"/>
                <w:lang w:eastAsia="es-CO"/>
              </w:rPr>
              <w:t>GUANAQUITAS S.A.S. E.S.P.</w:t>
            </w:r>
          </w:p>
        </w:tc>
        <w:tc>
          <w:tcPr>
            <w:tcW w:w="1368" w:type="dxa"/>
            <w:tcBorders>
              <w:top w:val="nil"/>
              <w:left w:val="nil"/>
              <w:bottom w:val="single" w:sz="4" w:space="0" w:color="auto"/>
              <w:right w:val="single" w:sz="4" w:space="0" w:color="auto"/>
            </w:tcBorders>
            <w:shd w:val="clear" w:color="auto" w:fill="auto"/>
            <w:vAlign w:val="center"/>
            <w:hideMark/>
          </w:tcPr>
          <w:p w14:paraId="338E04CD" w14:textId="77777777" w:rsidR="00E32E81" w:rsidRPr="00E32E81" w:rsidRDefault="00E32E81" w:rsidP="00D22441">
            <w:pPr>
              <w:jc w:val="left"/>
              <w:rPr>
                <w:rFonts w:ascii="Arial Narrow" w:hAnsi="Arial Narrow" w:cs="Arial"/>
                <w:spacing w:val="0"/>
                <w:sz w:val="16"/>
                <w:szCs w:val="16"/>
                <w:lang w:eastAsia="es-CO"/>
              </w:rPr>
            </w:pPr>
            <w:r w:rsidRPr="00E32E81">
              <w:rPr>
                <w:rFonts w:ascii="Arial Narrow" w:hAnsi="Arial Narrow" w:cs="Arial"/>
                <w:spacing w:val="0"/>
                <w:sz w:val="16"/>
                <w:szCs w:val="16"/>
                <w:lang w:eastAsia="es-CO"/>
              </w:rPr>
              <w:t>Energía</w:t>
            </w:r>
          </w:p>
        </w:tc>
        <w:tc>
          <w:tcPr>
            <w:tcW w:w="1161" w:type="dxa"/>
            <w:tcBorders>
              <w:top w:val="nil"/>
              <w:left w:val="nil"/>
              <w:bottom w:val="single" w:sz="4" w:space="0" w:color="auto"/>
              <w:right w:val="single" w:sz="4" w:space="0" w:color="auto"/>
            </w:tcBorders>
            <w:shd w:val="clear" w:color="auto" w:fill="auto"/>
            <w:vAlign w:val="center"/>
            <w:hideMark/>
          </w:tcPr>
          <w:p w14:paraId="6A5B0855" w14:textId="77777777" w:rsidR="00E32E81" w:rsidRPr="00E32E81" w:rsidRDefault="00E32E81" w:rsidP="00D22441">
            <w:pPr>
              <w:jc w:val="right"/>
              <w:rPr>
                <w:rFonts w:ascii="Arial Narrow" w:hAnsi="Arial Narrow" w:cs="Arial"/>
                <w:spacing w:val="0"/>
                <w:sz w:val="16"/>
                <w:szCs w:val="16"/>
                <w:lang w:eastAsia="es-CO"/>
              </w:rPr>
            </w:pPr>
            <w:r w:rsidRPr="00E32E81">
              <w:rPr>
                <w:rFonts w:ascii="Arial Narrow" w:hAnsi="Arial Narrow" w:cs="Arial"/>
                <w:spacing w:val="0"/>
                <w:sz w:val="16"/>
                <w:szCs w:val="16"/>
                <w:lang w:eastAsia="es-CO"/>
              </w:rPr>
              <w:t>$ 11.214.457</w:t>
            </w:r>
          </w:p>
        </w:tc>
        <w:tc>
          <w:tcPr>
            <w:tcW w:w="1263" w:type="dxa"/>
            <w:tcBorders>
              <w:top w:val="nil"/>
              <w:left w:val="nil"/>
              <w:bottom w:val="single" w:sz="4" w:space="0" w:color="auto"/>
              <w:right w:val="single" w:sz="4" w:space="0" w:color="auto"/>
            </w:tcBorders>
            <w:shd w:val="clear" w:color="auto" w:fill="auto"/>
            <w:vAlign w:val="center"/>
            <w:hideMark/>
          </w:tcPr>
          <w:p w14:paraId="415B993E" w14:textId="77777777" w:rsidR="00E32E81" w:rsidRPr="00E32E81" w:rsidRDefault="00E32E81" w:rsidP="00D22441">
            <w:pPr>
              <w:jc w:val="right"/>
              <w:rPr>
                <w:rFonts w:ascii="Arial Narrow" w:hAnsi="Arial Narrow" w:cs="Arial"/>
                <w:spacing w:val="0"/>
                <w:sz w:val="16"/>
                <w:szCs w:val="16"/>
                <w:lang w:eastAsia="es-CO"/>
              </w:rPr>
            </w:pPr>
            <w:r w:rsidRPr="00E32E81">
              <w:rPr>
                <w:rFonts w:ascii="Arial Narrow" w:hAnsi="Arial Narrow" w:cs="Arial"/>
                <w:spacing w:val="0"/>
                <w:sz w:val="16"/>
                <w:szCs w:val="16"/>
                <w:lang w:eastAsia="es-CO"/>
              </w:rPr>
              <w:t>$ 11.214.457</w:t>
            </w:r>
          </w:p>
        </w:tc>
      </w:tr>
      <w:tr w:rsidR="00E32E81" w:rsidRPr="00E32E81" w14:paraId="49C3AD67" w14:textId="77777777" w:rsidTr="00E32E8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53DF50A3" w14:textId="77777777" w:rsidR="00E32E81" w:rsidRPr="00E32E81" w:rsidRDefault="00E32E81" w:rsidP="00D22441">
            <w:pPr>
              <w:jc w:val="center"/>
              <w:rPr>
                <w:rFonts w:ascii="Arial Narrow" w:hAnsi="Arial Narrow" w:cs="Arial"/>
                <w:spacing w:val="0"/>
                <w:sz w:val="16"/>
                <w:szCs w:val="16"/>
                <w:lang w:eastAsia="es-CO"/>
              </w:rPr>
            </w:pPr>
            <w:r w:rsidRPr="00E32E81">
              <w:rPr>
                <w:rFonts w:ascii="Arial Narrow" w:hAnsi="Arial Narrow" w:cs="Arial"/>
                <w:spacing w:val="0"/>
                <w:sz w:val="16"/>
                <w:szCs w:val="16"/>
                <w:lang w:eastAsia="es-CO"/>
              </w:rPr>
              <w:t>3</w:t>
            </w:r>
          </w:p>
        </w:tc>
        <w:tc>
          <w:tcPr>
            <w:tcW w:w="505" w:type="dxa"/>
            <w:tcBorders>
              <w:top w:val="nil"/>
              <w:left w:val="nil"/>
              <w:bottom w:val="single" w:sz="4" w:space="0" w:color="auto"/>
              <w:right w:val="single" w:sz="4" w:space="0" w:color="auto"/>
            </w:tcBorders>
            <w:shd w:val="clear" w:color="auto" w:fill="auto"/>
            <w:noWrap/>
            <w:vAlign w:val="center"/>
            <w:hideMark/>
          </w:tcPr>
          <w:p w14:paraId="39255D0D" w14:textId="77777777" w:rsidR="00E32E81" w:rsidRPr="00E32E81" w:rsidRDefault="00E32E81" w:rsidP="00D22441">
            <w:pPr>
              <w:jc w:val="right"/>
              <w:rPr>
                <w:rFonts w:ascii="Arial Narrow" w:hAnsi="Arial Narrow" w:cs="Arial"/>
                <w:spacing w:val="0"/>
                <w:sz w:val="16"/>
                <w:szCs w:val="16"/>
                <w:lang w:eastAsia="es-CO"/>
              </w:rPr>
            </w:pPr>
            <w:r w:rsidRPr="00E32E81">
              <w:rPr>
                <w:rFonts w:ascii="Arial Narrow" w:hAnsi="Arial Narrow" w:cs="Arial"/>
                <w:spacing w:val="0"/>
                <w:sz w:val="16"/>
                <w:szCs w:val="16"/>
                <w:lang w:eastAsia="es-CO"/>
              </w:rPr>
              <w:t>26234</w:t>
            </w:r>
          </w:p>
        </w:tc>
        <w:tc>
          <w:tcPr>
            <w:tcW w:w="797" w:type="dxa"/>
            <w:tcBorders>
              <w:top w:val="nil"/>
              <w:left w:val="nil"/>
              <w:bottom w:val="single" w:sz="4" w:space="0" w:color="auto"/>
              <w:right w:val="single" w:sz="4" w:space="0" w:color="auto"/>
            </w:tcBorders>
            <w:shd w:val="clear" w:color="auto" w:fill="auto"/>
            <w:noWrap/>
            <w:vAlign w:val="center"/>
            <w:hideMark/>
          </w:tcPr>
          <w:p w14:paraId="696F7B69" w14:textId="77777777" w:rsidR="00E32E81" w:rsidRPr="00E32E81" w:rsidRDefault="00E32E81" w:rsidP="00D22441">
            <w:pPr>
              <w:jc w:val="right"/>
              <w:rPr>
                <w:rFonts w:ascii="Arial Narrow" w:hAnsi="Arial Narrow" w:cs="Arial"/>
                <w:spacing w:val="0"/>
                <w:sz w:val="16"/>
                <w:szCs w:val="16"/>
                <w:lang w:eastAsia="es-CO"/>
              </w:rPr>
            </w:pPr>
            <w:r w:rsidRPr="00E32E81">
              <w:rPr>
                <w:rFonts w:ascii="Arial Narrow" w:hAnsi="Arial Narrow" w:cs="Arial"/>
                <w:spacing w:val="0"/>
                <w:sz w:val="16"/>
                <w:szCs w:val="16"/>
                <w:lang w:eastAsia="es-CO"/>
              </w:rPr>
              <w:t>900275349</w:t>
            </w:r>
          </w:p>
        </w:tc>
        <w:tc>
          <w:tcPr>
            <w:tcW w:w="323" w:type="dxa"/>
            <w:tcBorders>
              <w:top w:val="nil"/>
              <w:left w:val="nil"/>
              <w:bottom w:val="single" w:sz="4" w:space="0" w:color="auto"/>
              <w:right w:val="single" w:sz="4" w:space="0" w:color="auto"/>
            </w:tcBorders>
            <w:shd w:val="clear" w:color="auto" w:fill="auto"/>
            <w:noWrap/>
            <w:vAlign w:val="center"/>
            <w:hideMark/>
          </w:tcPr>
          <w:p w14:paraId="74DE541E" w14:textId="77777777" w:rsidR="00E32E81" w:rsidRPr="00E32E81" w:rsidRDefault="00E32E81" w:rsidP="00D22441">
            <w:pPr>
              <w:jc w:val="right"/>
              <w:rPr>
                <w:rFonts w:ascii="Arial Narrow" w:hAnsi="Arial Narrow" w:cs="Arial"/>
                <w:spacing w:val="0"/>
                <w:sz w:val="16"/>
                <w:szCs w:val="16"/>
                <w:lang w:eastAsia="es-CO"/>
              </w:rPr>
            </w:pPr>
            <w:r w:rsidRPr="00E32E81">
              <w:rPr>
                <w:rFonts w:ascii="Arial Narrow" w:hAnsi="Arial Narrow" w:cs="Arial"/>
                <w:spacing w:val="0"/>
                <w:sz w:val="16"/>
                <w:szCs w:val="16"/>
                <w:lang w:eastAsia="es-CO"/>
              </w:rPr>
              <w:t>1</w:t>
            </w:r>
          </w:p>
        </w:tc>
        <w:tc>
          <w:tcPr>
            <w:tcW w:w="3600" w:type="dxa"/>
            <w:tcBorders>
              <w:top w:val="nil"/>
              <w:left w:val="nil"/>
              <w:bottom w:val="single" w:sz="4" w:space="0" w:color="auto"/>
              <w:right w:val="single" w:sz="4" w:space="0" w:color="auto"/>
            </w:tcBorders>
            <w:shd w:val="clear" w:color="auto" w:fill="auto"/>
            <w:noWrap/>
            <w:vAlign w:val="center"/>
            <w:hideMark/>
          </w:tcPr>
          <w:p w14:paraId="104DEF19" w14:textId="77777777" w:rsidR="00E32E81" w:rsidRPr="00E32E81" w:rsidRDefault="00E32E81" w:rsidP="00D22441">
            <w:pPr>
              <w:jc w:val="left"/>
              <w:rPr>
                <w:rFonts w:ascii="Arial Narrow" w:hAnsi="Arial Narrow" w:cs="Arial"/>
                <w:spacing w:val="0"/>
                <w:sz w:val="16"/>
                <w:szCs w:val="16"/>
                <w:lang w:eastAsia="es-CO"/>
              </w:rPr>
            </w:pPr>
            <w:r w:rsidRPr="00E32E81">
              <w:rPr>
                <w:rFonts w:ascii="Arial Narrow" w:hAnsi="Arial Narrow" w:cs="Arial"/>
                <w:spacing w:val="0"/>
                <w:sz w:val="16"/>
                <w:szCs w:val="16"/>
                <w:lang w:eastAsia="es-CO"/>
              </w:rPr>
              <w:t>BARROSO S.A.S. E.S.P.</w:t>
            </w:r>
          </w:p>
        </w:tc>
        <w:tc>
          <w:tcPr>
            <w:tcW w:w="1368" w:type="dxa"/>
            <w:tcBorders>
              <w:top w:val="nil"/>
              <w:left w:val="nil"/>
              <w:bottom w:val="single" w:sz="4" w:space="0" w:color="auto"/>
              <w:right w:val="single" w:sz="4" w:space="0" w:color="auto"/>
            </w:tcBorders>
            <w:shd w:val="clear" w:color="auto" w:fill="auto"/>
            <w:vAlign w:val="center"/>
            <w:hideMark/>
          </w:tcPr>
          <w:p w14:paraId="18DA50A6" w14:textId="77777777" w:rsidR="00E32E81" w:rsidRPr="00E32E81" w:rsidRDefault="00E32E81" w:rsidP="00D22441">
            <w:pPr>
              <w:jc w:val="left"/>
              <w:rPr>
                <w:rFonts w:ascii="Arial Narrow" w:hAnsi="Arial Narrow" w:cs="Arial"/>
                <w:spacing w:val="0"/>
                <w:sz w:val="16"/>
                <w:szCs w:val="16"/>
                <w:lang w:eastAsia="es-CO"/>
              </w:rPr>
            </w:pPr>
            <w:r w:rsidRPr="00E32E81">
              <w:rPr>
                <w:rFonts w:ascii="Arial Narrow" w:hAnsi="Arial Narrow" w:cs="Arial"/>
                <w:spacing w:val="0"/>
                <w:sz w:val="16"/>
                <w:szCs w:val="16"/>
                <w:lang w:eastAsia="es-CO"/>
              </w:rPr>
              <w:t>Energía</w:t>
            </w:r>
          </w:p>
        </w:tc>
        <w:tc>
          <w:tcPr>
            <w:tcW w:w="1161" w:type="dxa"/>
            <w:tcBorders>
              <w:top w:val="nil"/>
              <w:left w:val="nil"/>
              <w:bottom w:val="single" w:sz="4" w:space="0" w:color="auto"/>
              <w:right w:val="single" w:sz="4" w:space="0" w:color="auto"/>
            </w:tcBorders>
            <w:shd w:val="clear" w:color="auto" w:fill="auto"/>
            <w:vAlign w:val="center"/>
            <w:hideMark/>
          </w:tcPr>
          <w:p w14:paraId="0A54BD7C" w14:textId="77777777" w:rsidR="00E32E81" w:rsidRPr="00E32E81" w:rsidRDefault="00E32E81" w:rsidP="00D22441">
            <w:pPr>
              <w:jc w:val="right"/>
              <w:rPr>
                <w:rFonts w:ascii="Arial Narrow" w:hAnsi="Arial Narrow" w:cs="Arial"/>
                <w:spacing w:val="0"/>
                <w:sz w:val="16"/>
                <w:szCs w:val="16"/>
                <w:lang w:eastAsia="es-CO"/>
              </w:rPr>
            </w:pPr>
            <w:r w:rsidRPr="00E32E81">
              <w:rPr>
                <w:rFonts w:ascii="Arial Narrow" w:hAnsi="Arial Narrow" w:cs="Arial"/>
                <w:spacing w:val="0"/>
                <w:sz w:val="16"/>
                <w:szCs w:val="16"/>
                <w:lang w:eastAsia="es-CO"/>
              </w:rPr>
              <w:t>$ 45.346.677</w:t>
            </w:r>
          </w:p>
        </w:tc>
        <w:tc>
          <w:tcPr>
            <w:tcW w:w="1263" w:type="dxa"/>
            <w:tcBorders>
              <w:top w:val="nil"/>
              <w:left w:val="nil"/>
              <w:bottom w:val="single" w:sz="4" w:space="0" w:color="auto"/>
              <w:right w:val="single" w:sz="4" w:space="0" w:color="auto"/>
            </w:tcBorders>
            <w:shd w:val="clear" w:color="auto" w:fill="auto"/>
            <w:vAlign w:val="center"/>
            <w:hideMark/>
          </w:tcPr>
          <w:p w14:paraId="6FF5F4F7" w14:textId="77777777" w:rsidR="00E32E81" w:rsidRPr="00E32E81" w:rsidRDefault="00E32E81" w:rsidP="00D22441">
            <w:pPr>
              <w:jc w:val="right"/>
              <w:rPr>
                <w:rFonts w:ascii="Arial Narrow" w:hAnsi="Arial Narrow" w:cs="Arial"/>
                <w:spacing w:val="0"/>
                <w:sz w:val="16"/>
                <w:szCs w:val="16"/>
                <w:lang w:eastAsia="es-CO"/>
              </w:rPr>
            </w:pPr>
            <w:r w:rsidRPr="00E32E81">
              <w:rPr>
                <w:rFonts w:ascii="Arial Narrow" w:hAnsi="Arial Narrow" w:cs="Arial"/>
                <w:spacing w:val="0"/>
                <w:sz w:val="16"/>
                <w:szCs w:val="16"/>
                <w:lang w:eastAsia="es-CO"/>
              </w:rPr>
              <w:t>$ 45.346.677</w:t>
            </w:r>
          </w:p>
        </w:tc>
      </w:tr>
      <w:tr w:rsidR="00E32E81" w:rsidRPr="00E32E81" w14:paraId="6FB90B89" w14:textId="77777777" w:rsidTr="00E32E8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72E0240D" w14:textId="77777777" w:rsidR="00E32E81" w:rsidRPr="00E32E81" w:rsidRDefault="00E32E81" w:rsidP="00D22441">
            <w:pPr>
              <w:jc w:val="center"/>
              <w:rPr>
                <w:rFonts w:ascii="Arial Narrow" w:hAnsi="Arial Narrow" w:cs="Arial"/>
                <w:spacing w:val="0"/>
                <w:sz w:val="16"/>
                <w:szCs w:val="16"/>
                <w:lang w:eastAsia="es-CO"/>
              </w:rPr>
            </w:pPr>
            <w:r w:rsidRPr="00E32E81">
              <w:rPr>
                <w:rFonts w:ascii="Arial Narrow" w:hAnsi="Arial Narrow" w:cs="Arial"/>
                <w:spacing w:val="0"/>
                <w:sz w:val="16"/>
                <w:szCs w:val="16"/>
                <w:lang w:eastAsia="es-CO"/>
              </w:rPr>
              <w:t>4</w:t>
            </w:r>
          </w:p>
        </w:tc>
        <w:tc>
          <w:tcPr>
            <w:tcW w:w="505" w:type="dxa"/>
            <w:tcBorders>
              <w:top w:val="nil"/>
              <w:left w:val="nil"/>
              <w:bottom w:val="single" w:sz="4" w:space="0" w:color="auto"/>
              <w:right w:val="single" w:sz="4" w:space="0" w:color="auto"/>
            </w:tcBorders>
            <w:shd w:val="clear" w:color="auto" w:fill="auto"/>
            <w:noWrap/>
            <w:vAlign w:val="center"/>
            <w:hideMark/>
          </w:tcPr>
          <w:p w14:paraId="1BD40C8C" w14:textId="77777777" w:rsidR="00E32E81" w:rsidRPr="00E32E81" w:rsidRDefault="00E32E81" w:rsidP="00D22441">
            <w:pPr>
              <w:jc w:val="right"/>
              <w:rPr>
                <w:rFonts w:ascii="Arial Narrow" w:hAnsi="Arial Narrow" w:cs="Arial"/>
                <w:spacing w:val="0"/>
                <w:sz w:val="16"/>
                <w:szCs w:val="16"/>
                <w:lang w:eastAsia="es-CO"/>
              </w:rPr>
            </w:pPr>
            <w:r w:rsidRPr="00E32E81">
              <w:rPr>
                <w:rFonts w:ascii="Arial Narrow" w:hAnsi="Arial Narrow" w:cs="Arial"/>
                <w:spacing w:val="0"/>
                <w:sz w:val="16"/>
                <w:szCs w:val="16"/>
                <w:lang w:eastAsia="es-CO"/>
              </w:rPr>
              <w:t>26847</w:t>
            </w:r>
          </w:p>
        </w:tc>
        <w:tc>
          <w:tcPr>
            <w:tcW w:w="797" w:type="dxa"/>
            <w:tcBorders>
              <w:top w:val="nil"/>
              <w:left w:val="nil"/>
              <w:bottom w:val="single" w:sz="4" w:space="0" w:color="auto"/>
              <w:right w:val="single" w:sz="4" w:space="0" w:color="auto"/>
            </w:tcBorders>
            <w:shd w:val="clear" w:color="auto" w:fill="auto"/>
            <w:noWrap/>
            <w:vAlign w:val="center"/>
            <w:hideMark/>
          </w:tcPr>
          <w:p w14:paraId="30F21A39" w14:textId="77777777" w:rsidR="00E32E81" w:rsidRPr="00E32E81" w:rsidRDefault="00E32E81" w:rsidP="00D22441">
            <w:pPr>
              <w:jc w:val="right"/>
              <w:rPr>
                <w:rFonts w:ascii="Arial Narrow" w:hAnsi="Arial Narrow" w:cs="Arial"/>
                <w:spacing w:val="0"/>
                <w:sz w:val="16"/>
                <w:szCs w:val="16"/>
                <w:lang w:eastAsia="es-CO"/>
              </w:rPr>
            </w:pPr>
            <w:r w:rsidRPr="00E32E81">
              <w:rPr>
                <w:rFonts w:ascii="Arial Narrow" w:hAnsi="Arial Narrow" w:cs="Arial"/>
                <w:spacing w:val="0"/>
                <w:sz w:val="16"/>
                <w:szCs w:val="16"/>
                <w:lang w:eastAsia="es-CO"/>
              </w:rPr>
              <w:t>900374375</w:t>
            </w:r>
          </w:p>
        </w:tc>
        <w:tc>
          <w:tcPr>
            <w:tcW w:w="323" w:type="dxa"/>
            <w:tcBorders>
              <w:top w:val="nil"/>
              <w:left w:val="nil"/>
              <w:bottom w:val="single" w:sz="4" w:space="0" w:color="auto"/>
              <w:right w:val="single" w:sz="4" w:space="0" w:color="auto"/>
            </w:tcBorders>
            <w:shd w:val="clear" w:color="auto" w:fill="auto"/>
            <w:noWrap/>
            <w:vAlign w:val="center"/>
            <w:hideMark/>
          </w:tcPr>
          <w:p w14:paraId="52E4BB7F" w14:textId="77777777" w:rsidR="00E32E81" w:rsidRPr="00E32E81" w:rsidRDefault="00E32E81" w:rsidP="00D22441">
            <w:pPr>
              <w:jc w:val="right"/>
              <w:rPr>
                <w:rFonts w:ascii="Arial Narrow" w:hAnsi="Arial Narrow" w:cs="Arial"/>
                <w:spacing w:val="0"/>
                <w:sz w:val="16"/>
                <w:szCs w:val="16"/>
                <w:lang w:eastAsia="es-CO"/>
              </w:rPr>
            </w:pPr>
            <w:r w:rsidRPr="00E32E81">
              <w:rPr>
                <w:rFonts w:ascii="Arial Narrow" w:hAnsi="Arial Narrow" w:cs="Arial"/>
                <w:spacing w:val="0"/>
                <w:sz w:val="16"/>
                <w:szCs w:val="16"/>
                <w:lang w:eastAsia="es-CO"/>
              </w:rPr>
              <w:t>6</w:t>
            </w:r>
          </w:p>
        </w:tc>
        <w:tc>
          <w:tcPr>
            <w:tcW w:w="3600" w:type="dxa"/>
            <w:tcBorders>
              <w:top w:val="nil"/>
              <w:left w:val="nil"/>
              <w:bottom w:val="single" w:sz="4" w:space="0" w:color="auto"/>
              <w:right w:val="single" w:sz="4" w:space="0" w:color="auto"/>
            </w:tcBorders>
            <w:shd w:val="clear" w:color="auto" w:fill="auto"/>
            <w:noWrap/>
            <w:vAlign w:val="center"/>
            <w:hideMark/>
          </w:tcPr>
          <w:p w14:paraId="2BF9D938" w14:textId="77777777" w:rsidR="00E32E81" w:rsidRPr="00E32E81" w:rsidRDefault="00E32E81" w:rsidP="00D22441">
            <w:pPr>
              <w:jc w:val="left"/>
              <w:rPr>
                <w:rFonts w:ascii="Arial Narrow" w:hAnsi="Arial Narrow" w:cs="Arial"/>
                <w:spacing w:val="0"/>
                <w:sz w:val="16"/>
                <w:szCs w:val="16"/>
                <w:lang w:eastAsia="es-CO"/>
              </w:rPr>
            </w:pPr>
            <w:r w:rsidRPr="00E32E81">
              <w:rPr>
                <w:rFonts w:ascii="Arial Narrow" w:hAnsi="Arial Narrow" w:cs="Arial"/>
                <w:spacing w:val="0"/>
                <w:sz w:val="16"/>
                <w:szCs w:val="16"/>
                <w:lang w:eastAsia="es-CO"/>
              </w:rPr>
              <w:t>POPAL SAS ESP</w:t>
            </w:r>
          </w:p>
        </w:tc>
        <w:tc>
          <w:tcPr>
            <w:tcW w:w="1368" w:type="dxa"/>
            <w:tcBorders>
              <w:top w:val="nil"/>
              <w:left w:val="nil"/>
              <w:bottom w:val="single" w:sz="4" w:space="0" w:color="auto"/>
              <w:right w:val="single" w:sz="4" w:space="0" w:color="auto"/>
            </w:tcBorders>
            <w:shd w:val="clear" w:color="auto" w:fill="auto"/>
            <w:vAlign w:val="center"/>
            <w:hideMark/>
          </w:tcPr>
          <w:p w14:paraId="2B0F0A45" w14:textId="77777777" w:rsidR="00E32E81" w:rsidRPr="00E32E81" w:rsidRDefault="00E32E81" w:rsidP="00D22441">
            <w:pPr>
              <w:jc w:val="left"/>
              <w:rPr>
                <w:rFonts w:ascii="Arial Narrow" w:hAnsi="Arial Narrow" w:cs="Arial"/>
                <w:spacing w:val="0"/>
                <w:sz w:val="16"/>
                <w:szCs w:val="16"/>
                <w:lang w:eastAsia="es-CO"/>
              </w:rPr>
            </w:pPr>
            <w:r w:rsidRPr="00E32E81">
              <w:rPr>
                <w:rFonts w:ascii="Arial Narrow" w:hAnsi="Arial Narrow" w:cs="Arial"/>
                <w:spacing w:val="0"/>
                <w:sz w:val="16"/>
                <w:szCs w:val="16"/>
                <w:lang w:eastAsia="es-CO"/>
              </w:rPr>
              <w:t>Energía</w:t>
            </w:r>
          </w:p>
        </w:tc>
        <w:tc>
          <w:tcPr>
            <w:tcW w:w="1161" w:type="dxa"/>
            <w:tcBorders>
              <w:top w:val="nil"/>
              <w:left w:val="nil"/>
              <w:bottom w:val="single" w:sz="4" w:space="0" w:color="auto"/>
              <w:right w:val="single" w:sz="4" w:space="0" w:color="auto"/>
            </w:tcBorders>
            <w:shd w:val="clear" w:color="auto" w:fill="auto"/>
            <w:vAlign w:val="center"/>
            <w:hideMark/>
          </w:tcPr>
          <w:p w14:paraId="7B09B322" w14:textId="77777777" w:rsidR="00E32E81" w:rsidRPr="00E32E81" w:rsidRDefault="00E32E81" w:rsidP="00D22441">
            <w:pPr>
              <w:jc w:val="right"/>
              <w:rPr>
                <w:rFonts w:ascii="Arial Narrow" w:hAnsi="Arial Narrow" w:cs="Arial"/>
                <w:spacing w:val="0"/>
                <w:sz w:val="16"/>
                <w:szCs w:val="16"/>
                <w:lang w:eastAsia="es-CO"/>
              </w:rPr>
            </w:pPr>
            <w:r w:rsidRPr="00E32E81">
              <w:rPr>
                <w:rFonts w:ascii="Arial Narrow" w:hAnsi="Arial Narrow" w:cs="Arial"/>
                <w:spacing w:val="0"/>
                <w:sz w:val="16"/>
                <w:szCs w:val="16"/>
                <w:lang w:eastAsia="es-CO"/>
              </w:rPr>
              <w:t>$ 32.929.340</w:t>
            </w:r>
          </w:p>
        </w:tc>
        <w:tc>
          <w:tcPr>
            <w:tcW w:w="1263" w:type="dxa"/>
            <w:tcBorders>
              <w:top w:val="nil"/>
              <w:left w:val="nil"/>
              <w:bottom w:val="single" w:sz="4" w:space="0" w:color="auto"/>
              <w:right w:val="single" w:sz="4" w:space="0" w:color="auto"/>
            </w:tcBorders>
            <w:shd w:val="clear" w:color="auto" w:fill="auto"/>
            <w:vAlign w:val="center"/>
            <w:hideMark/>
          </w:tcPr>
          <w:p w14:paraId="3E2A16CA" w14:textId="77777777" w:rsidR="00E32E81" w:rsidRPr="00E32E81" w:rsidRDefault="00E32E81" w:rsidP="00D22441">
            <w:pPr>
              <w:jc w:val="right"/>
              <w:rPr>
                <w:rFonts w:ascii="Arial Narrow" w:hAnsi="Arial Narrow" w:cs="Arial"/>
                <w:spacing w:val="0"/>
                <w:sz w:val="16"/>
                <w:szCs w:val="16"/>
                <w:lang w:eastAsia="es-CO"/>
              </w:rPr>
            </w:pPr>
            <w:r w:rsidRPr="00E32E81">
              <w:rPr>
                <w:rFonts w:ascii="Arial Narrow" w:hAnsi="Arial Narrow" w:cs="Arial"/>
                <w:spacing w:val="0"/>
                <w:sz w:val="16"/>
                <w:szCs w:val="16"/>
                <w:lang w:eastAsia="es-CO"/>
              </w:rPr>
              <w:t>$ 32.929.340</w:t>
            </w:r>
          </w:p>
        </w:tc>
      </w:tr>
      <w:tr w:rsidR="00E32E81" w:rsidRPr="00E32E81" w14:paraId="1A59D0F9" w14:textId="77777777" w:rsidTr="00E32E8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28FC83E7" w14:textId="77777777" w:rsidR="00E32E81" w:rsidRPr="00E32E81" w:rsidRDefault="00E32E81" w:rsidP="00D22441">
            <w:pPr>
              <w:jc w:val="center"/>
              <w:rPr>
                <w:rFonts w:ascii="Arial Narrow" w:hAnsi="Arial Narrow" w:cs="Arial"/>
                <w:spacing w:val="0"/>
                <w:sz w:val="16"/>
                <w:szCs w:val="16"/>
                <w:lang w:eastAsia="es-CO"/>
              </w:rPr>
            </w:pPr>
            <w:r w:rsidRPr="00E32E81">
              <w:rPr>
                <w:rFonts w:ascii="Arial Narrow" w:hAnsi="Arial Narrow" w:cs="Arial"/>
                <w:spacing w:val="0"/>
                <w:sz w:val="16"/>
                <w:szCs w:val="16"/>
                <w:lang w:eastAsia="es-CO"/>
              </w:rPr>
              <w:t>5</w:t>
            </w:r>
          </w:p>
        </w:tc>
        <w:tc>
          <w:tcPr>
            <w:tcW w:w="505" w:type="dxa"/>
            <w:tcBorders>
              <w:top w:val="nil"/>
              <w:left w:val="nil"/>
              <w:bottom w:val="single" w:sz="4" w:space="0" w:color="auto"/>
              <w:right w:val="single" w:sz="4" w:space="0" w:color="auto"/>
            </w:tcBorders>
            <w:shd w:val="clear" w:color="auto" w:fill="auto"/>
            <w:noWrap/>
            <w:vAlign w:val="center"/>
            <w:hideMark/>
          </w:tcPr>
          <w:p w14:paraId="7A5CF594" w14:textId="77777777" w:rsidR="00E32E81" w:rsidRPr="00E32E81" w:rsidRDefault="00E32E81" w:rsidP="00D22441">
            <w:pPr>
              <w:jc w:val="right"/>
              <w:rPr>
                <w:rFonts w:ascii="Arial Narrow" w:hAnsi="Arial Narrow" w:cs="Arial"/>
                <w:spacing w:val="0"/>
                <w:sz w:val="16"/>
                <w:szCs w:val="16"/>
                <w:lang w:eastAsia="es-CO"/>
              </w:rPr>
            </w:pPr>
            <w:r w:rsidRPr="00E32E81">
              <w:rPr>
                <w:rFonts w:ascii="Arial Narrow" w:hAnsi="Arial Narrow" w:cs="Arial"/>
                <w:spacing w:val="0"/>
                <w:sz w:val="16"/>
                <w:szCs w:val="16"/>
                <w:lang w:eastAsia="es-CO"/>
              </w:rPr>
              <w:t>28632</w:t>
            </w:r>
          </w:p>
        </w:tc>
        <w:tc>
          <w:tcPr>
            <w:tcW w:w="797" w:type="dxa"/>
            <w:tcBorders>
              <w:top w:val="nil"/>
              <w:left w:val="nil"/>
              <w:bottom w:val="single" w:sz="4" w:space="0" w:color="auto"/>
              <w:right w:val="single" w:sz="4" w:space="0" w:color="auto"/>
            </w:tcBorders>
            <w:shd w:val="clear" w:color="auto" w:fill="auto"/>
            <w:noWrap/>
            <w:vAlign w:val="center"/>
            <w:hideMark/>
          </w:tcPr>
          <w:p w14:paraId="5B46259A" w14:textId="77777777" w:rsidR="00E32E81" w:rsidRPr="00E32E81" w:rsidRDefault="00E32E81" w:rsidP="00D22441">
            <w:pPr>
              <w:jc w:val="right"/>
              <w:rPr>
                <w:rFonts w:ascii="Arial Narrow" w:hAnsi="Arial Narrow" w:cs="Arial"/>
                <w:spacing w:val="0"/>
                <w:sz w:val="16"/>
                <w:szCs w:val="16"/>
                <w:lang w:eastAsia="es-CO"/>
              </w:rPr>
            </w:pPr>
            <w:r w:rsidRPr="00E32E81">
              <w:rPr>
                <w:rFonts w:ascii="Arial Narrow" w:hAnsi="Arial Narrow" w:cs="Arial"/>
                <w:spacing w:val="0"/>
                <w:sz w:val="16"/>
                <w:szCs w:val="16"/>
                <w:lang w:eastAsia="es-CO"/>
              </w:rPr>
              <w:t>900448956</w:t>
            </w:r>
          </w:p>
        </w:tc>
        <w:tc>
          <w:tcPr>
            <w:tcW w:w="323" w:type="dxa"/>
            <w:tcBorders>
              <w:top w:val="nil"/>
              <w:left w:val="nil"/>
              <w:bottom w:val="single" w:sz="4" w:space="0" w:color="auto"/>
              <w:right w:val="single" w:sz="4" w:space="0" w:color="auto"/>
            </w:tcBorders>
            <w:shd w:val="clear" w:color="auto" w:fill="auto"/>
            <w:noWrap/>
            <w:vAlign w:val="center"/>
            <w:hideMark/>
          </w:tcPr>
          <w:p w14:paraId="2D1D6215" w14:textId="77777777" w:rsidR="00E32E81" w:rsidRPr="00E32E81" w:rsidRDefault="00E32E81" w:rsidP="00D22441">
            <w:pPr>
              <w:jc w:val="right"/>
              <w:rPr>
                <w:rFonts w:ascii="Arial Narrow" w:hAnsi="Arial Narrow" w:cs="Arial"/>
                <w:spacing w:val="0"/>
                <w:sz w:val="16"/>
                <w:szCs w:val="16"/>
                <w:lang w:eastAsia="es-CO"/>
              </w:rPr>
            </w:pPr>
            <w:r w:rsidRPr="00E32E81">
              <w:rPr>
                <w:rFonts w:ascii="Arial Narrow" w:hAnsi="Arial Narrow" w:cs="Arial"/>
                <w:spacing w:val="0"/>
                <w:sz w:val="16"/>
                <w:szCs w:val="16"/>
                <w:lang w:eastAsia="es-CO"/>
              </w:rPr>
              <w:t>4</w:t>
            </w:r>
          </w:p>
        </w:tc>
        <w:tc>
          <w:tcPr>
            <w:tcW w:w="3600" w:type="dxa"/>
            <w:tcBorders>
              <w:top w:val="nil"/>
              <w:left w:val="nil"/>
              <w:bottom w:val="single" w:sz="4" w:space="0" w:color="auto"/>
              <w:right w:val="single" w:sz="4" w:space="0" w:color="auto"/>
            </w:tcBorders>
            <w:shd w:val="clear" w:color="auto" w:fill="auto"/>
            <w:noWrap/>
            <w:vAlign w:val="center"/>
            <w:hideMark/>
          </w:tcPr>
          <w:p w14:paraId="5B489100" w14:textId="77777777" w:rsidR="00E32E81" w:rsidRPr="00E32E81" w:rsidRDefault="00E32E81" w:rsidP="00D22441">
            <w:pPr>
              <w:jc w:val="left"/>
              <w:rPr>
                <w:rFonts w:ascii="Arial Narrow" w:hAnsi="Arial Narrow" w:cs="Arial"/>
                <w:spacing w:val="0"/>
                <w:sz w:val="16"/>
                <w:szCs w:val="16"/>
                <w:lang w:eastAsia="es-CO"/>
              </w:rPr>
            </w:pPr>
            <w:r w:rsidRPr="00E32E81">
              <w:rPr>
                <w:rFonts w:ascii="Arial Narrow" w:hAnsi="Arial Narrow" w:cs="Arial"/>
                <w:spacing w:val="0"/>
                <w:sz w:val="16"/>
                <w:szCs w:val="16"/>
                <w:lang w:eastAsia="es-CO"/>
              </w:rPr>
              <w:t>CENTRAL HIDROELÉCTRICA EL EDÉN S.A.S. E.S.P.</w:t>
            </w:r>
          </w:p>
        </w:tc>
        <w:tc>
          <w:tcPr>
            <w:tcW w:w="1368" w:type="dxa"/>
            <w:tcBorders>
              <w:top w:val="nil"/>
              <w:left w:val="nil"/>
              <w:bottom w:val="single" w:sz="4" w:space="0" w:color="auto"/>
              <w:right w:val="single" w:sz="4" w:space="0" w:color="auto"/>
            </w:tcBorders>
            <w:shd w:val="clear" w:color="auto" w:fill="auto"/>
            <w:vAlign w:val="center"/>
            <w:hideMark/>
          </w:tcPr>
          <w:p w14:paraId="09EF90E2" w14:textId="77777777" w:rsidR="00E32E81" w:rsidRPr="00E32E81" w:rsidRDefault="00E32E81" w:rsidP="00D22441">
            <w:pPr>
              <w:jc w:val="left"/>
              <w:rPr>
                <w:rFonts w:ascii="Arial Narrow" w:hAnsi="Arial Narrow" w:cs="Arial"/>
                <w:spacing w:val="0"/>
                <w:sz w:val="16"/>
                <w:szCs w:val="16"/>
                <w:lang w:eastAsia="es-CO"/>
              </w:rPr>
            </w:pPr>
            <w:r w:rsidRPr="00E32E81">
              <w:rPr>
                <w:rFonts w:ascii="Arial Narrow" w:hAnsi="Arial Narrow" w:cs="Arial"/>
                <w:spacing w:val="0"/>
                <w:sz w:val="16"/>
                <w:szCs w:val="16"/>
                <w:lang w:eastAsia="es-CO"/>
              </w:rPr>
              <w:t>Energía</w:t>
            </w:r>
          </w:p>
        </w:tc>
        <w:tc>
          <w:tcPr>
            <w:tcW w:w="1161" w:type="dxa"/>
            <w:tcBorders>
              <w:top w:val="nil"/>
              <w:left w:val="nil"/>
              <w:bottom w:val="single" w:sz="4" w:space="0" w:color="auto"/>
              <w:right w:val="single" w:sz="4" w:space="0" w:color="auto"/>
            </w:tcBorders>
            <w:shd w:val="clear" w:color="auto" w:fill="auto"/>
            <w:vAlign w:val="center"/>
            <w:hideMark/>
          </w:tcPr>
          <w:p w14:paraId="4695E673" w14:textId="77777777" w:rsidR="00E32E81" w:rsidRPr="00E32E81" w:rsidRDefault="00E32E81" w:rsidP="00D22441">
            <w:pPr>
              <w:jc w:val="right"/>
              <w:rPr>
                <w:rFonts w:ascii="Arial Narrow" w:hAnsi="Arial Narrow" w:cs="Arial"/>
                <w:spacing w:val="0"/>
                <w:sz w:val="16"/>
                <w:szCs w:val="16"/>
                <w:lang w:eastAsia="es-CO"/>
              </w:rPr>
            </w:pPr>
            <w:r w:rsidRPr="00E32E81">
              <w:rPr>
                <w:rFonts w:ascii="Arial Narrow" w:hAnsi="Arial Narrow" w:cs="Arial"/>
                <w:spacing w:val="0"/>
                <w:sz w:val="16"/>
                <w:szCs w:val="16"/>
                <w:lang w:eastAsia="es-CO"/>
              </w:rPr>
              <w:t>$ 2.580.520</w:t>
            </w:r>
          </w:p>
        </w:tc>
        <w:tc>
          <w:tcPr>
            <w:tcW w:w="1263" w:type="dxa"/>
            <w:tcBorders>
              <w:top w:val="nil"/>
              <w:left w:val="nil"/>
              <w:bottom w:val="single" w:sz="4" w:space="0" w:color="auto"/>
              <w:right w:val="single" w:sz="4" w:space="0" w:color="auto"/>
            </w:tcBorders>
            <w:shd w:val="clear" w:color="auto" w:fill="auto"/>
            <w:vAlign w:val="center"/>
            <w:hideMark/>
          </w:tcPr>
          <w:p w14:paraId="7FB69407" w14:textId="77777777" w:rsidR="00E32E81" w:rsidRPr="00E32E81" w:rsidRDefault="00E32E81" w:rsidP="00D22441">
            <w:pPr>
              <w:jc w:val="right"/>
              <w:rPr>
                <w:rFonts w:ascii="Arial Narrow" w:hAnsi="Arial Narrow" w:cs="Arial"/>
                <w:spacing w:val="0"/>
                <w:sz w:val="16"/>
                <w:szCs w:val="16"/>
                <w:lang w:eastAsia="es-CO"/>
              </w:rPr>
            </w:pPr>
            <w:r w:rsidRPr="00E32E81">
              <w:rPr>
                <w:rFonts w:ascii="Arial Narrow" w:hAnsi="Arial Narrow" w:cs="Arial"/>
                <w:spacing w:val="0"/>
                <w:sz w:val="16"/>
                <w:szCs w:val="16"/>
                <w:lang w:eastAsia="es-CO"/>
              </w:rPr>
              <w:t>$ 2.580.520</w:t>
            </w:r>
          </w:p>
        </w:tc>
      </w:tr>
      <w:tr w:rsidR="00E32E81" w:rsidRPr="00E32E81" w14:paraId="676266FA" w14:textId="77777777" w:rsidTr="00E32E8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02B2A0D3" w14:textId="77777777" w:rsidR="00E32E81" w:rsidRPr="00E32E81" w:rsidRDefault="00E32E81" w:rsidP="00D22441">
            <w:pPr>
              <w:jc w:val="center"/>
              <w:rPr>
                <w:rFonts w:ascii="Arial Narrow" w:hAnsi="Arial Narrow" w:cs="Arial"/>
                <w:spacing w:val="0"/>
                <w:sz w:val="16"/>
                <w:szCs w:val="16"/>
                <w:lang w:eastAsia="es-CO"/>
              </w:rPr>
            </w:pPr>
            <w:r w:rsidRPr="00E32E81">
              <w:rPr>
                <w:rFonts w:ascii="Arial Narrow" w:hAnsi="Arial Narrow" w:cs="Arial"/>
                <w:spacing w:val="0"/>
                <w:sz w:val="16"/>
                <w:szCs w:val="16"/>
                <w:lang w:eastAsia="es-CO"/>
              </w:rPr>
              <w:t>6</w:t>
            </w:r>
          </w:p>
        </w:tc>
        <w:tc>
          <w:tcPr>
            <w:tcW w:w="505" w:type="dxa"/>
            <w:tcBorders>
              <w:top w:val="nil"/>
              <w:left w:val="nil"/>
              <w:bottom w:val="single" w:sz="4" w:space="0" w:color="auto"/>
              <w:right w:val="single" w:sz="4" w:space="0" w:color="auto"/>
            </w:tcBorders>
            <w:shd w:val="clear" w:color="auto" w:fill="auto"/>
            <w:noWrap/>
            <w:vAlign w:val="center"/>
            <w:hideMark/>
          </w:tcPr>
          <w:p w14:paraId="19D07341" w14:textId="77777777" w:rsidR="00E32E81" w:rsidRPr="00E32E81" w:rsidRDefault="00E32E81" w:rsidP="00D22441">
            <w:pPr>
              <w:jc w:val="right"/>
              <w:rPr>
                <w:rFonts w:ascii="Arial Narrow" w:hAnsi="Arial Narrow" w:cs="Arial"/>
                <w:spacing w:val="0"/>
                <w:sz w:val="16"/>
                <w:szCs w:val="16"/>
                <w:lang w:eastAsia="es-CO"/>
              </w:rPr>
            </w:pPr>
            <w:r w:rsidRPr="00E32E81">
              <w:rPr>
                <w:rFonts w:ascii="Arial Narrow" w:hAnsi="Arial Narrow" w:cs="Arial"/>
                <w:spacing w:val="0"/>
                <w:sz w:val="16"/>
                <w:szCs w:val="16"/>
                <w:lang w:eastAsia="es-CO"/>
              </w:rPr>
              <w:t>38014</w:t>
            </w:r>
          </w:p>
        </w:tc>
        <w:tc>
          <w:tcPr>
            <w:tcW w:w="797" w:type="dxa"/>
            <w:tcBorders>
              <w:top w:val="nil"/>
              <w:left w:val="nil"/>
              <w:bottom w:val="single" w:sz="4" w:space="0" w:color="auto"/>
              <w:right w:val="single" w:sz="4" w:space="0" w:color="auto"/>
            </w:tcBorders>
            <w:shd w:val="clear" w:color="auto" w:fill="auto"/>
            <w:noWrap/>
            <w:vAlign w:val="center"/>
            <w:hideMark/>
          </w:tcPr>
          <w:p w14:paraId="6CE24BB8" w14:textId="77777777" w:rsidR="00E32E81" w:rsidRPr="00E32E81" w:rsidRDefault="00E32E81" w:rsidP="00D22441">
            <w:pPr>
              <w:jc w:val="right"/>
              <w:rPr>
                <w:rFonts w:ascii="Arial Narrow" w:hAnsi="Arial Narrow" w:cs="Arial"/>
                <w:spacing w:val="0"/>
                <w:sz w:val="16"/>
                <w:szCs w:val="16"/>
                <w:lang w:eastAsia="es-CO"/>
              </w:rPr>
            </w:pPr>
            <w:r w:rsidRPr="00E32E81">
              <w:rPr>
                <w:rFonts w:ascii="Arial Narrow" w:hAnsi="Arial Narrow" w:cs="Arial"/>
                <w:spacing w:val="0"/>
                <w:sz w:val="16"/>
                <w:szCs w:val="16"/>
                <w:lang w:eastAsia="es-CO"/>
              </w:rPr>
              <w:t>900582235</w:t>
            </w:r>
          </w:p>
        </w:tc>
        <w:tc>
          <w:tcPr>
            <w:tcW w:w="323" w:type="dxa"/>
            <w:tcBorders>
              <w:top w:val="nil"/>
              <w:left w:val="nil"/>
              <w:bottom w:val="single" w:sz="4" w:space="0" w:color="auto"/>
              <w:right w:val="single" w:sz="4" w:space="0" w:color="auto"/>
            </w:tcBorders>
            <w:shd w:val="clear" w:color="auto" w:fill="auto"/>
            <w:noWrap/>
            <w:vAlign w:val="center"/>
            <w:hideMark/>
          </w:tcPr>
          <w:p w14:paraId="407FD126" w14:textId="77777777" w:rsidR="00E32E81" w:rsidRPr="00E32E81" w:rsidRDefault="00E32E81" w:rsidP="00D22441">
            <w:pPr>
              <w:jc w:val="right"/>
              <w:rPr>
                <w:rFonts w:ascii="Arial Narrow" w:hAnsi="Arial Narrow" w:cs="Arial"/>
                <w:spacing w:val="0"/>
                <w:sz w:val="16"/>
                <w:szCs w:val="16"/>
                <w:lang w:eastAsia="es-CO"/>
              </w:rPr>
            </w:pPr>
            <w:r w:rsidRPr="00E32E81">
              <w:rPr>
                <w:rFonts w:ascii="Arial Narrow" w:hAnsi="Arial Narrow" w:cs="Arial"/>
                <w:spacing w:val="0"/>
                <w:sz w:val="16"/>
                <w:szCs w:val="16"/>
                <w:lang w:eastAsia="es-CO"/>
              </w:rPr>
              <w:t>5</w:t>
            </w:r>
          </w:p>
        </w:tc>
        <w:tc>
          <w:tcPr>
            <w:tcW w:w="3600" w:type="dxa"/>
            <w:tcBorders>
              <w:top w:val="nil"/>
              <w:left w:val="nil"/>
              <w:bottom w:val="single" w:sz="4" w:space="0" w:color="auto"/>
              <w:right w:val="single" w:sz="4" w:space="0" w:color="auto"/>
            </w:tcBorders>
            <w:shd w:val="clear" w:color="auto" w:fill="auto"/>
            <w:noWrap/>
            <w:vAlign w:val="center"/>
            <w:hideMark/>
          </w:tcPr>
          <w:p w14:paraId="028769AA" w14:textId="77777777" w:rsidR="00E32E81" w:rsidRPr="00E32E81" w:rsidRDefault="00E32E81" w:rsidP="00D22441">
            <w:pPr>
              <w:jc w:val="left"/>
              <w:rPr>
                <w:rFonts w:ascii="Arial Narrow" w:hAnsi="Arial Narrow" w:cs="Arial"/>
                <w:spacing w:val="0"/>
                <w:sz w:val="16"/>
                <w:szCs w:val="16"/>
                <w:lang w:eastAsia="es-CO"/>
              </w:rPr>
            </w:pPr>
            <w:r w:rsidRPr="00E32E81">
              <w:rPr>
                <w:rFonts w:ascii="Arial Narrow" w:hAnsi="Arial Narrow" w:cs="Arial"/>
                <w:spacing w:val="0"/>
                <w:sz w:val="16"/>
                <w:szCs w:val="16"/>
                <w:lang w:eastAsia="es-CO"/>
              </w:rPr>
              <w:t>PCHS LOS MOLINOS S.A.S. E.S.P.</w:t>
            </w:r>
          </w:p>
        </w:tc>
        <w:tc>
          <w:tcPr>
            <w:tcW w:w="1368" w:type="dxa"/>
            <w:tcBorders>
              <w:top w:val="nil"/>
              <w:left w:val="nil"/>
              <w:bottom w:val="single" w:sz="4" w:space="0" w:color="auto"/>
              <w:right w:val="single" w:sz="4" w:space="0" w:color="auto"/>
            </w:tcBorders>
            <w:shd w:val="clear" w:color="auto" w:fill="auto"/>
            <w:vAlign w:val="center"/>
            <w:hideMark/>
          </w:tcPr>
          <w:p w14:paraId="1FED3D7B" w14:textId="77777777" w:rsidR="00E32E81" w:rsidRPr="00E32E81" w:rsidRDefault="00E32E81" w:rsidP="00D22441">
            <w:pPr>
              <w:jc w:val="left"/>
              <w:rPr>
                <w:rFonts w:ascii="Arial Narrow" w:hAnsi="Arial Narrow" w:cs="Arial"/>
                <w:spacing w:val="0"/>
                <w:sz w:val="16"/>
                <w:szCs w:val="16"/>
                <w:lang w:eastAsia="es-CO"/>
              </w:rPr>
            </w:pPr>
            <w:r w:rsidRPr="00E32E81">
              <w:rPr>
                <w:rFonts w:ascii="Arial Narrow" w:hAnsi="Arial Narrow" w:cs="Arial"/>
                <w:spacing w:val="0"/>
                <w:sz w:val="16"/>
                <w:szCs w:val="16"/>
                <w:lang w:eastAsia="es-CO"/>
              </w:rPr>
              <w:t>Energía</w:t>
            </w:r>
          </w:p>
        </w:tc>
        <w:tc>
          <w:tcPr>
            <w:tcW w:w="1161" w:type="dxa"/>
            <w:tcBorders>
              <w:top w:val="nil"/>
              <w:left w:val="nil"/>
              <w:bottom w:val="single" w:sz="4" w:space="0" w:color="auto"/>
              <w:right w:val="single" w:sz="4" w:space="0" w:color="auto"/>
            </w:tcBorders>
            <w:shd w:val="clear" w:color="auto" w:fill="auto"/>
            <w:vAlign w:val="center"/>
            <w:hideMark/>
          </w:tcPr>
          <w:p w14:paraId="6B5C5D4B" w14:textId="77777777" w:rsidR="00E32E81" w:rsidRPr="00E32E81" w:rsidRDefault="00E32E81" w:rsidP="00D22441">
            <w:pPr>
              <w:jc w:val="right"/>
              <w:rPr>
                <w:rFonts w:ascii="Arial Narrow" w:hAnsi="Arial Narrow" w:cs="Arial"/>
                <w:spacing w:val="0"/>
                <w:sz w:val="16"/>
                <w:szCs w:val="16"/>
                <w:lang w:eastAsia="es-CO"/>
              </w:rPr>
            </w:pPr>
            <w:r w:rsidRPr="00E32E81">
              <w:rPr>
                <w:rFonts w:ascii="Arial Narrow" w:hAnsi="Arial Narrow" w:cs="Arial"/>
                <w:spacing w:val="0"/>
                <w:sz w:val="16"/>
                <w:szCs w:val="16"/>
                <w:lang w:eastAsia="es-CO"/>
              </w:rPr>
              <w:t>$ 45.040.014</w:t>
            </w:r>
          </w:p>
        </w:tc>
        <w:tc>
          <w:tcPr>
            <w:tcW w:w="1263" w:type="dxa"/>
            <w:tcBorders>
              <w:top w:val="nil"/>
              <w:left w:val="nil"/>
              <w:bottom w:val="single" w:sz="4" w:space="0" w:color="auto"/>
              <w:right w:val="single" w:sz="4" w:space="0" w:color="auto"/>
            </w:tcBorders>
            <w:shd w:val="clear" w:color="auto" w:fill="auto"/>
            <w:vAlign w:val="center"/>
            <w:hideMark/>
          </w:tcPr>
          <w:p w14:paraId="5173ED46" w14:textId="77777777" w:rsidR="00E32E81" w:rsidRPr="00E32E81" w:rsidRDefault="00E32E81" w:rsidP="00D22441">
            <w:pPr>
              <w:jc w:val="right"/>
              <w:rPr>
                <w:rFonts w:ascii="Arial Narrow" w:hAnsi="Arial Narrow" w:cs="Arial"/>
                <w:spacing w:val="0"/>
                <w:sz w:val="16"/>
                <w:szCs w:val="16"/>
                <w:lang w:eastAsia="es-CO"/>
              </w:rPr>
            </w:pPr>
            <w:r w:rsidRPr="00E32E81">
              <w:rPr>
                <w:rFonts w:ascii="Arial Narrow" w:hAnsi="Arial Narrow" w:cs="Arial"/>
                <w:spacing w:val="0"/>
                <w:sz w:val="16"/>
                <w:szCs w:val="16"/>
                <w:lang w:eastAsia="es-CO"/>
              </w:rPr>
              <w:t>$ 45.040.014</w:t>
            </w:r>
          </w:p>
        </w:tc>
      </w:tr>
      <w:tr w:rsidR="00E32E81" w:rsidRPr="00E32E81" w14:paraId="27BBCABC" w14:textId="77777777" w:rsidTr="00E32E8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451568C6" w14:textId="77777777" w:rsidR="00E32E81" w:rsidRPr="00E32E81" w:rsidRDefault="00E32E81" w:rsidP="00D22441">
            <w:pPr>
              <w:jc w:val="center"/>
              <w:rPr>
                <w:rFonts w:ascii="Arial Narrow" w:hAnsi="Arial Narrow" w:cs="Arial"/>
                <w:spacing w:val="0"/>
                <w:sz w:val="16"/>
                <w:szCs w:val="16"/>
                <w:lang w:eastAsia="es-CO"/>
              </w:rPr>
            </w:pPr>
            <w:r w:rsidRPr="00E32E81">
              <w:rPr>
                <w:rFonts w:ascii="Arial Narrow" w:hAnsi="Arial Narrow" w:cs="Arial"/>
                <w:spacing w:val="0"/>
                <w:sz w:val="16"/>
                <w:szCs w:val="16"/>
                <w:lang w:eastAsia="es-CO"/>
              </w:rPr>
              <w:t>7</w:t>
            </w:r>
          </w:p>
        </w:tc>
        <w:tc>
          <w:tcPr>
            <w:tcW w:w="505" w:type="dxa"/>
            <w:tcBorders>
              <w:top w:val="nil"/>
              <w:left w:val="nil"/>
              <w:bottom w:val="single" w:sz="4" w:space="0" w:color="auto"/>
              <w:right w:val="single" w:sz="4" w:space="0" w:color="auto"/>
            </w:tcBorders>
            <w:shd w:val="clear" w:color="auto" w:fill="auto"/>
            <w:noWrap/>
            <w:vAlign w:val="center"/>
            <w:hideMark/>
          </w:tcPr>
          <w:p w14:paraId="6161599B" w14:textId="77777777" w:rsidR="00E32E81" w:rsidRPr="00E32E81" w:rsidRDefault="00E32E81" w:rsidP="00D22441">
            <w:pPr>
              <w:jc w:val="right"/>
              <w:rPr>
                <w:rFonts w:ascii="Arial Narrow" w:hAnsi="Arial Narrow" w:cs="Arial"/>
                <w:spacing w:val="0"/>
                <w:sz w:val="16"/>
                <w:szCs w:val="16"/>
                <w:lang w:eastAsia="es-CO"/>
              </w:rPr>
            </w:pPr>
            <w:r w:rsidRPr="00E32E81">
              <w:rPr>
                <w:rFonts w:ascii="Arial Narrow" w:hAnsi="Arial Narrow" w:cs="Arial"/>
                <w:spacing w:val="0"/>
                <w:sz w:val="16"/>
                <w:szCs w:val="16"/>
                <w:lang w:eastAsia="es-CO"/>
              </w:rPr>
              <w:t>62732</w:t>
            </w:r>
          </w:p>
        </w:tc>
        <w:tc>
          <w:tcPr>
            <w:tcW w:w="797" w:type="dxa"/>
            <w:tcBorders>
              <w:top w:val="nil"/>
              <w:left w:val="nil"/>
              <w:bottom w:val="single" w:sz="4" w:space="0" w:color="auto"/>
              <w:right w:val="single" w:sz="4" w:space="0" w:color="auto"/>
            </w:tcBorders>
            <w:shd w:val="clear" w:color="auto" w:fill="auto"/>
            <w:noWrap/>
            <w:vAlign w:val="center"/>
            <w:hideMark/>
          </w:tcPr>
          <w:p w14:paraId="6EB77BCD" w14:textId="77777777" w:rsidR="00E32E81" w:rsidRPr="00E32E81" w:rsidRDefault="00E32E81" w:rsidP="00D22441">
            <w:pPr>
              <w:jc w:val="right"/>
              <w:rPr>
                <w:rFonts w:ascii="Arial Narrow" w:hAnsi="Arial Narrow" w:cs="Arial"/>
                <w:spacing w:val="0"/>
                <w:sz w:val="16"/>
                <w:szCs w:val="16"/>
                <w:lang w:eastAsia="es-CO"/>
              </w:rPr>
            </w:pPr>
            <w:r w:rsidRPr="00E32E81">
              <w:rPr>
                <w:rFonts w:ascii="Arial Narrow" w:hAnsi="Arial Narrow" w:cs="Arial"/>
                <w:spacing w:val="0"/>
                <w:sz w:val="16"/>
                <w:szCs w:val="16"/>
                <w:lang w:eastAsia="es-CO"/>
              </w:rPr>
              <w:t>901599899</w:t>
            </w:r>
          </w:p>
        </w:tc>
        <w:tc>
          <w:tcPr>
            <w:tcW w:w="323" w:type="dxa"/>
            <w:tcBorders>
              <w:top w:val="nil"/>
              <w:left w:val="nil"/>
              <w:bottom w:val="single" w:sz="4" w:space="0" w:color="auto"/>
              <w:right w:val="single" w:sz="4" w:space="0" w:color="auto"/>
            </w:tcBorders>
            <w:shd w:val="clear" w:color="auto" w:fill="auto"/>
            <w:noWrap/>
            <w:vAlign w:val="center"/>
            <w:hideMark/>
          </w:tcPr>
          <w:p w14:paraId="10156847" w14:textId="77777777" w:rsidR="00E32E81" w:rsidRPr="00E32E81" w:rsidRDefault="00E32E81" w:rsidP="00D22441">
            <w:pPr>
              <w:jc w:val="right"/>
              <w:rPr>
                <w:rFonts w:ascii="Arial Narrow" w:hAnsi="Arial Narrow" w:cs="Arial"/>
                <w:spacing w:val="0"/>
                <w:sz w:val="16"/>
                <w:szCs w:val="16"/>
                <w:lang w:eastAsia="es-CO"/>
              </w:rPr>
            </w:pPr>
            <w:r w:rsidRPr="00E32E81">
              <w:rPr>
                <w:rFonts w:ascii="Arial Narrow" w:hAnsi="Arial Narrow" w:cs="Arial"/>
                <w:spacing w:val="0"/>
                <w:sz w:val="16"/>
                <w:szCs w:val="16"/>
                <w:lang w:eastAsia="es-CO"/>
              </w:rPr>
              <w:t>3</w:t>
            </w:r>
          </w:p>
        </w:tc>
        <w:tc>
          <w:tcPr>
            <w:tcW w:w="3600" w:type="dxa"/>
            <w:tcBorders>
              <w:top w:val="nil"/>
              <w:left w:val="nil"/>
              <w:bottom w:val="single" w:sz="4" w:space="0" w:color="auto"/>
              <w:right w:val="single" w:sz="4" w:space="0" w:color="auto"/>
            </w:tcBorders>
            <w:shd w:val="clear" w:color="auto" w:fill="auto"/>
            <w:noWrap/>
            <w:vAlign w:val="center"/>
            <w:hideMark/>
          </w:tcPr>
          <w:p w14:paraId="204E2890" w14:textId="77777777" w:rsidR="00E32E81" w:rsidRPr="00E32E81" w:rsidRDefault="00E32E81" w:rsidP="00D22441">
            <w:pPr>
              <w:jc w:val="left"/>
              <w:rPr>
                <w:rFonts w:ascii="Arial Narrow" w:hAnsi="Arial Narrow" w:cs="Arial"/>
                <w:spacing w:val="0"/>
                <w:sz w:val="16"/>
                <w:szCs w:val="16"/>
                <w:lang w:eastAsia="es-CO"/>
              </w:rPr>
            </w:pPr>
            <w:r w:rsidRPr="00E32E81">
              <w:rPr>
                <w:rFonts w:ascii="Arial Narrow" w:hAnsi="Arial Narrow" w:cs="Arial"/>
                <w:spacing w:val="0"/>
                <w:sz w:val="16"/>
                <w:szCs w:val="16"/>
                <w:lang w:eastAsia="es-CO"/>
              </w:rPr>
              <w:t>CENTRAL GAS SAS ESP</w:t>
            </w:r>
          </w:p>
        </w:tc>
        <w:tc>
          <w:tcPr>
            <w:tcW w:w="1368" w:type="dxa"/>
            <w:tcBorders>
              <w:top w:val="nil"/>
              <w:left w:val="nil"/>
              <w:bottom w:val="single" w:sz="4" w:space="0" w:color="auto"/>
              <w:right w:val="single" w:sz="4" w:space="0" w:color="auto"/>
            </w:tcBorders>
            <w:shd w:val="clear" w:color="auto" w:fill="auto"/>
            <w:vAlign w:val="center"/>
            <w:hideMark/>
          </w:tcPr>
          <w:p w14:paraId="7176DBB3" w14:textId="77777777" w:rsidR="00E32E81" w:rsidRPr="00E32E81" w:rsidRDefault="00E32E81" w:rsidP="00D22441">
            <w:pPr>
              <w:jc w:val="left"/>
              <w:rPr>
                <w:rFonts w:ascii="Arial Narrow" w:hAnsi="Arial Narrow" w:cs="Arial"/>
                <w:spacing w:val="0"/>
                <w:sz w:val="16"/>
                <w:szCs w:val="16"/>
                <w:lang w:eastAsia="es-CO"/>
              </w:rPr>
            </w:pPr>
            <w:r w:rsidRPr="00E32E81">
              <w:rPr>
                <w:rFonts w:ascii="Arial Narrow" w:hAnsi="Arial Narrow" w:cs="Arial"/>
                <w:spacing w:val="0"/>
                <w:sz w:val="16"/>
                <w:szCs w:val="16"/>
                <w:lang w:eastAsia="es-CO"/>
              </w:rPr>
              <w:t>Gas por redes</w:t>
            </w:r>
          </w:p>
        </w:tc>
        <w:tc>
          <w:tcPr>
            <w:tcW w:w="1161" w:type="dxa"/>
            <w:tcBorders>
              <w:top w:val="nil"/>
              <w:left w:val="nil"/>
              <w:bottom w:val="single" w:sz="4" w:space="0" w:color="auto"/>
              <w:right w:val="single" w:sz="4" w:space="0" w:color="auto"/>
            </w:tcBorders>
            <w:shd w:val="clear" w:color="auto" w:fill="auto"/>
            <w:vAlign w:val="center"/>
            <w:hideMark/>
          </w:tcPr>
          <w:p w14:paraId="77D7557D" w14:textId="77777777" w:rsidR="00E32E81" w:rsidRPr="00E32E81" w:rsidRDefault="00E32E81" w:rsidP="00D22441">
            <w:pPr>
              <w:jc w:val="right"/>
              <w:rPr>
                <w:rFonts w:ascii="Arial Narrow" w:hAnsi="Arial Narrow" w:cs="Arial"/>
                <w:spacing w:val="0"/>
                <w:sz w:val="16"/>
                <w:szCs w:val="16"/>
                <w:lang w:eastAsia="es-CO"/>
              </w:rPr>
            </w:pPr>
            <w:r w:rsidRPr="00E32E81">
              <w:rPr>
                <w:rFonts w:ascii="Arial Narrow" w:hAnsi="Arial Narrow" w:cs="Arial"/>
                <w:spacing w:val="0"/>
                <w:sz w:val="16"/>
                <w:szCs w:val="16"/>
                <w:lang w:eastAsia="es-CO"/>
              </w:rPr>
              <w:t>$ 61.618</w:t>
            </w:r>
          </w:p>
        </w:tc>
        <w:tc>
          <w:tcPr>
            <w:tcW w:w="1263" w:type="dxa"/>
            <w:tcBorders>
              <w:top w:val="nil"/>
              <w:left w:val="nil"/>
              <w:bottom w:val="single" w:sz="4" w:space="0" w:color="auto"/>
              <w:right w:val="single" w:sz="4" w:space="0" w:color="auto"/>
            </w:tcBorders>
            <w:shd w:val="clear" w:color="auto" w:fill="auto"/>
            <w:vAlign w:val="center"/>
            <w:hideMark/>
          </w:tcPr>
          <w:p w14:paraId="1AF7992B" w14:textId="77777777" w:rsidR="00E32E81" w:rsidRPr="00E32E81" w:rsidRDefault="00E32E81" w:rsidP="00D22441">
            <w:pPr>
              <w:jc w:val="right"/>
              <w:rPr>
                <w:rFonts w:ascii="Arial Narrow" w:hAnsi="Arial Narrow" w:cs="Arial"/>
                <w:spacing w:val="0"/>
                <w:sz w:val="16"/>
                <w:szCs w:val="16"/>
                <w:lang w:eastAsia="es-CO"/>
              </w:rPr>
            </w:pPr>
            <w:r w:rsidRPr="00E32E81">
              <w:rPr>
                <w:rFonts w:ascii="Arial Narrow" w:hAnsi="Arial Narrow" w:cs="Arial"/>
                <w:spacing w:val="0"/>
                <w:sz w:val="16"/>
                <w:szCs w:val="16"/>
                <w:lang w:eastAsia="es-CO"/>
              </w:rPr>
              <w:t>$ 0</w:t>
            </w:r>
          </w:p>
        </w:tc>
      </w:tr>
      <w:tr w:rsidR="00E32E81" w:rsidRPr="00E32E81" w14:paraId="7F921005" w14:textId="77777777" w:rsidTr="00EA5607">
        <w:trPr>
          <w:trHeight w:val="378"/>
        </w:trPr>
        <w:tc>
          <w:tcPr>
            <w:tcW w:w="7047" w:type="dxa"/>
            <w:gridSpan w:val="6"/>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A5D460B" w14:textId="77777777" w:rsidR="00E32E81" w:rsidRPr="00E32E81" w:rsidRDefault="00E32E81" w:rsidP="00D22441">
            <w:pPr>
              <w:jc w:val="right"/>
              <w:rPr>
                <w:rFonts w:ascii="Arial Narrow" w:hAnsi="Arial Narrow" w:cs="Arial"/>
                <w:b/>
                <w:bCs/>
                <w:spacing w:val="0"/>
                <w:sz w:val="16"/>
                <w:szCs w:val="16"/>
                <w:lang w:eastAsia="es-CO"/>
              </w:rPr>
            </w:pPr>
            <w:r w:rsidRPr="00E32E81">
              <w:rPr>
                <w:rFonts w:ascii="Arial Narrow" w:hAnsi="Arial Narrow" w:cs="Arial"/>
                <w:b/>
                <w:bCs/>
                <w:spacing w:val="0"/>
                <w:sz w:val="16"/>
                <w:szCs w:val="16"/>
                <w:lang w:eastAsia="es-CO"/>
              </w:rPr>
              <w:t>TOTALES</w:t>
            </w:r>
          </w:p>
        </w:tc>
        <w:tc>
          <w:tcPr>
            <w:tcW w:w="1161" w:type="dxa"/>
            <w:tcBorders>
              <w:top w:val="nil"/>
              <w:left w:val="nil"/>
              <w:bottom w:val="single" w:sz="4" w:space="0" w:color="auto"/>
              <w:right w:val="single" w:sz="4" w:space="0" w:color="auto"/>
            </w:tcBorders>
            <w:shd w:val="clear" w:color="auto" w:fill="E7E6E6" w:themeFill="background2"/>
            <w:vAlign w:val="center"/>
            <w:hideMark/>
          </w:tcPr>
          <w:p w14:paraId="1754F33C" w14:textId="77777777" w:rsidR="00E32E81" w:rsidRPr="00E32E81" w:rsidRDefault="00E32E81" w:rsidP="00D22441">
            <w:pPr>
              <w:jc w:val="right"/>
              <w:rPr>
                <w:rFonts w:ascii="Arial Narrow" w:hAnsi="Arial Narrow" w:cs="Arial"/>
                <w:b/>
                <w:bCs/>
                <w:spacing w:val="0"/>
                <w:sz w:val="16"/>
                <w:szCs w:val="16"/>
                <w:lang w:eastAsia="es-CO"/>
              </w:rPr>
            </w:pPr>
            <w:r w:rsidRPr="00E32E81">
              <w:rPr>
                <w:rFonts w:ascii="Arial Narrow" w:hAnsi="Arial Narrow" w:cs="Arial"/>
                <w:b/>
                <w:bCs/>
                <w:spacing w:val="0"/>
                <w:sz w:val="16"/>
                <w:szCs w:val="16"/>
                <w:lang w:eastAsia="es-CO"/>
              </w:rPr>
              <w:t>$ 146.990.345</w:t>
            </w:r>
          </w:p>
        </w:tc>
        <w:tc>
          <w:tcPr>
            <w:tcW w:w="1263" w:type="dxa"/>
            <w:tcBorders>
              <w:top w:val="nil"/>
              <w:left w:val="nil"/>
              <w:bottom w:val="single" w:sz="4" w:space="0" w:color="auto"/>
              <w:right w:val="single" w:sz="4" w:space="0" w:color="auto"/>
            </w:tcBorders>
            <w:shd w:val="clear" w:color="auto" w:fill="E7E6E6" w:themeFill="background2"/>
            <w:vAlign w:val="center"/>
            <w:hideMark/>
          </w:tcPr>
          <w:p w14:paraId="3103F31B" w14:textId="77777777" w:rsidR="00E32E81" w:rsidRPr="00E32E81" w:rsidRDefault="00E32E81" w:rsidP="00D22441">
            <w:pPr>
              <w:jc w:val="right"/>
              <w:rPr>
                <w:rFonts w:ascii="Arial Narrow" w:hAnsi="Arial Narrow" w:cs="Arial"/>
                <w:b/>
                <w:bCs/>
                <w:spacing w:val="0"/>
                <w:sz w:val="16"/>
                <w:szCs w:val="16"/>
                <w:lang w:eastAsia="es-CO"/>
              </w:rPr>
            </w:pPr>
            <w:r w:rsidRPr="00E32E81">
              <w:rPr>
                <w:rFonts w:ascii="Arial Narrow" w:hAnsi="Arial Narrow" w:cs="Arial"/>
                <w:b/>
                <w:bCs/>
                <w:spacing w:val="0"/>
                <w:sz w:val="16"/>
                <w:szCs w:val="16"/>
                <w:lang w:eastAsia="es-CO"/>
              </w:rPr>
              <w:t>$ 146.928.727</w:t>
            </w:r>
          </w:p>
        </w:tc>
      </w:tr>
    </w:tbl>
    <w:p w14:paraId="244AEF9C" w14:textId="69D6F994" w:rsidR="00E32E81" w:rsidRDefault="00E32E81" w:rsidP="00D22441">
      <w:pPr>
        <w:rPr>
          <w:rFonts w:cs="Arial"/>
          <w:sz w:val="22"/>
          <w:szCs w:val="22"/>
        </w:rPr>
      </w:pPr>
    </w:p>
    <w:p w14:paraId="07A1BEEB" w14:textId="2D8B67F4" w:rsidR="00BB14CB" w:rsidRPr="00BB14CB" w:rsidRDefault="00E86F1A" w:rsidP="00D22441">
      <w:pPr>
        <w:pStyle w:val="Subttulo"/>
        <w:numPr>
          <w:ilvl w:val="1"/>
          <w:numId w:val="37"/>
        </w:numPr>
        <w:spacing w:after="0"/>
        <w:ind w:left="357" w:hanging="357"/>
        <w:jc w:val="left"/>
        <w:rPr>
          <w:b/>
          <w:bCs/>
          <w:sz w:val="22"/>
          <w:szCs w:val="22"/>
        </w:rPr>
      </w:pPr>
      <w:bookmarkStart w:id="58" w:name="_Toc147154314"/>
      <w:r>
        <w:rPr>
          <w:b/>
          <w:bCs/>
          <w:sz w:val="22"/>
          <w:szCs w:val="22"/>
        </w:rPr>
        <w:t>CENSO</w:t>
      </w:r>
      <w:r w:rsidR="0080364C">
        <w:rPr>
          <w:b/>
          <w:bCs/>
          <w:sz w:val="22"/>
          <w:szCs w:val="22"/>
        </w:rPr>
        <w:t xml:space="preserve"> </w:t>
      </w:r>
      <w:r w:rsidR="00C442F9">
        <w:rPr>
          <w:b/>
          <w:bCs/>
          <w:sz w:val="22"/>
          <w:szCs w:val="22"/>
        </w:rPr>
        <w:t>CONTRIBUCIÓN</w:t>
      </w:r>
      <w:r>
        <w:rPr>
          <w:b/>
          <w:bCs/>
          <w:sz w:val="22"/>
          <w:szCs w:val="22"/>
        </w:rPr>
        <w:t xml:space="preserve"> </w:t>
      </w:r>
      <w:r w:rsidR="00C442F9">
        <w:rPr>
          <w:b/>
          <w:bCs/>
          <w:sz w:val="22"/>
          <w:szCs w:val="22"/>
        </w:rPr>
        <w:t xml:space="preserve">ESPECIAL </w:t>
      </w:r>
      <w:r w:rsidR="0080364C">
        <w:rPr>
          <w:b/>
          <w:bCs/>
          <w:sz w:val="22"/>
          <w:szCs w:val="22"/>
        </w:rPr>
        <w:t xml:space="preserve">SSPD </w:t>
      </w:r>
      <w:r>
        <w:rPr>
          <w:b/>
          <w:bCs/>
          <w:sz w:val="22"/>
          <w:szCs w:val="22"/>
        </w:rPr>
        <w:t>Y REGULADOS CONTRIBUYENTES CREG</w:t>
      </w:r>
      <w:r w:rsidR="00C447D2">
        <w:rPr>
          <w:b/>
          <w:bCs/>
          <w:sz w:val="22"/>
          <w:szCs w:val="22"/>
        </w:rPr>
        <w:t>.</w:t>
      </w:r>
      <w:bookmarkEnd w:id="58"/>
    </w:p>
    <w:p w14:paraId="00DF0A7B" w14:textId="1442E8A7" w:rsidR="00BB14CB" w:rsidRDefault="00BB14CB" w:rsidP="00D22441">
      <w:pPr>
        <w:pStyle w:val="Textoindependiente"/>
        <w:spacing w:after="0" w:line="240" w:lineRule="auto"/>
        <w:jc w:val="left"/>
        <w:rPr>
          <w:rFonts w:cs="Arial"/>
          <w:color w:val="FF0000"/>
          <w:sz w:val="22"/>
          <w:szCs w:val="22"/>
        </w:rPr>
      </w:pPr>
    </w:p>
    <w:p w14:paraId="65E40118" w14:textId="26AFBED9" w:rsidR="00BB14CB" w:rsidRDefault="00E5749D" w:rsidP="00D22441">
      <w:pPr>
        <w:pStyle w:val="Textoindependiente"/>
        <w:spacing w:after="0" w:line="240" w:lineRule="auto"/>
        <w:rPr>
          <w:rFonts w:cs="Arial"/>
          <w:sz w:val="22"/>
          <w:szCs w:val="22"/>
        </w:rPr>
      </w:pPr>
      <w:r>
        <w:rPr>
          <w:rFonts w:cs="Arial"/>
          <w:sz w:val="22"/>
          <w:szCs w:val="22"/>
        </w:rPr>
        <w:t xml:space="preserve">Conforme a la </w:t>
      </w:r>
      <w:r w:rsidR="00C821C7">
        <w:rPr>
          <w:rFonts w:cs="Arial"/>
          <w:sz w:val="22"/>
          <w:szCs w:val="22"/>
        </w:rPr>
        <w:t>r</w:t>
      </w:r>
      <w:r w:rsidRPr="00BB14CB">
        <w:rPr>
          <w:rFonts w:cs="Arial"/>
          <w:sz w:val="22"/>
          <w:szCs w:val="22"/>
        </w:rPr>
        <w:t xml:space="preserve">esolución </w:t>
      </w:r>
      <w:r w:rsidR="00C821C7">
        <w:rPr>
          <w:rFonts w:cs="Arial"/>
          <w:sz w:val="22"/>
          <w:szCs w:val="22"/>
        </w:rPr>
        <w:t>el</w:t>
      </w:r>
      <w:r>
        <w:rPr>
          <w:rFonts w:cs="Arial"/>
          <w:sz w:val="22"/>
          <w:szCs w:val="22"/>
        </w:rPr>
        <w:t xml:space="preserve"> censo general </w:t>
      </w:r>
      <w:r w:rsidR="0080364C">
        <w:rPr>
          <w:rFonts w:cs="Arial"/>
          <w:sz w:val="22"/>
          <w:szCs w:val="22"/>
        </w:rPr>
        <w:t>de</w:t>
      </w:r>
      <w:r w:rsidR="006A14B1">
        <w:rPr>
          <w:rFonts w:cs="Arial"/>
          <w:sz w:val="22"/>
          <w:szCs w:val="22"/>
        </w:rPr>
        <w:t xml:space="preserve"> la SSPD</w:t>
      </w:r>
      <w:r w:rsidR="0080364C">
        <w:rPr>
          <w:rFonts w:cs="Arial"/>
          <w:sz w:val="22"/>
          <w:szCs w:val="22"/>
        </w:rPr>
        <w:t>, la clasificación general</w:t>
      </w:r>
      <w:r w:rsidR="006A14B1">
        <w:rPr>
          <w:rFonts w:cs="Arial"/>
          <w:sz w:val="22"/>
          <w:szCs w:val="22"/>
        </w:rPr>
        <w:t xml:space="preserve"> </w:t>
      </w:r>
      <w:r w:rsidR="00624AE0">
        <w:rPr>
          <w:rFonts w:cs="Arial"/>
          <w:sz w:val="22"/>
          <w:szCs w:val="22"/>
        </w:rPr>
        <w:t>de las</w:t>
      </w:r>
      <w:r>
        <w:rPr>
          <w:rFonts w:cs="Arial"/>
          <w:sz w:val="22"/>
          <w:szCs w:val="22"/>
        </w:rPr>
        <w:t xml:space="preserve"> Empresas prestadoras de Servicios Públicos (ESP)</w:t>
      </w:r>
      <w:r w:rsidR="006A14B1">
        <w:rPr>
          <w:rFonts w:cs="Arial"/>
          <w:sz w:val="22"/>
          <w:szCs w:val="22"/>
        </w:rPr>
        <w:t xml:space="preserve"> </w:t>
      </w:r>
      <w:r w:rsidR="00B51273">
        <w:rPr>
          <w:rFonts w:cs="Arial"/>
          <w:sz w:val="22"/>
          <w:szCs w:val="22"/>
        </w:rPr>
        <w:t xml:space="preserve">es </w:t>
      </w:r>
      <w:r w:rsidR="0080364C">
        <w:rPr>
          <w:rFonts w:cs="Arial"/>
          <w:sz w:val="22"/>
          <w:szCs w:val="22"/>
        </w:rPr>
        <w:t>la</w:t>
      </w:r>
      <w:r w:rsidR="00B51273">
        <w:rPr>
          <w:rFonts w:cs="Arial"/>
          <w:sz w:val="22"/>
          <w:szCs w:val="22"/>
        </w:rPr>
        <w:t xml:space="preserve"> siguiente:</w:t>
      </w:r>
    </w:p>
    <w:p w14:paraId="4A7E3447" w14:textId="77777777" w:rsidR="00096ECF" w:rsidRDefault="00096ECF" w:rsidP="00D22441">
      <w:pPr>
        <w:pStyle w:val="Textoindependiente"/>
        <w:spacing w:after="0" w:line="240" w:lineRule="auto"/>
        <w:rPr>
          <w:rFonts w:cs="Arial"/>
          <w:sz w:val="22"/>
          <w:szCs w:val="22"/>
        </w:rPr>
      </w:pPr>
    </w:p>
    <w:p w14:paraId="14B146B5" w14:textId="1C363C6D" w:rsidR="002A51EF" w:rsidRPr="00B24EC3" w:rsidRDefault="002A51EF" w:rsidP="002A51EF">
      <w:pPr>
        <w:pStyle w:val="Descripcin"/>
        <w:rPr>
          <w:i w:val="0"/>
          <w:iCs w:val="0"/>
          <w:color w:val="auto"/>
        </w:rPr>
      </w:pPr>
      <w:bookmarkStart w:id="59" w:name="_Toc145486435"/>
      <w:r w:rsidRPr="002C4392">
        <w:rPr>
          <w:i w:val="0"/>
          <w:iCs w:val="0"/>
          <w:color w:val="auto"/>
        </w:rPr>
        <w:t xml:space="preserve">Tabla </w:t>
      </w:r>
      <w:r w:rsidRPr="002C4392">
        <w:rPr>
          <w:i w:val="0"/>
          <w:iCs w:val="0"/>
          <w:color w:val="auto"/>
        </w:rPr>
        <w:fldChar w:fldCharType="begin"/>
      </w:r>
      <w:r w:rsidRPr="002C4392">
        <w:rPr>
          <w:i w:val="0"/>
          <w:iCs w:val="0"/>
          <w:color w:val="auto"/>
        </w:rPr>
        <w:instrText xml:space="preserve"> SEQ Tabla \* ARABIC </w:instrText>
      </w:r>
      <w:r w:rsidRPr="002C4392">
        <w:rPr>
          <w:i w:val="0"/>
          <w:iCs w:val="0"/>
          <w:color w:val="auto"/>
        </w:rPr>
        <w:fldChar w:fldCharType="separate"/>
      </w:r>
      <w:r w:rsidR="00EB0978">
        <w:rPr>
          <w:i w:val="0"/>
          <w:iCs w:val="0"/>
          <w:noProof/>
          <w:color w:val="auto"/>
        </w:rPr>
        <w:t>9</w:t>
      </w:r>
      <w:r w:rsidRPr="002C4392">
        <w:rPr>
          <w:i w:val="0"/>
          <w:iCs w:val="0"/>
          <w:color w:val="auto"/>
        </w:rPr>
        <w:fldChar w:fldCharType="end"/>
      </w:r>
      <w:r w:rsidRPr="002C4392">
        <w:rPr>
          <w:i w:val="0"/>
          <w:iCs w:val="0"/>
          <w:color w:val="auto"/>
        </w:rPr>
        <w:t xml:space="preserve">. </w:t>
      </w:r>
      <w:proofErr w:type="gramStart"/>
      <w:r>
        <w:rPr>
          <w:i w:val="0"/>
          <w:iCs w:val="0"/>
          <w:color w:val="auto"/>
        </w:rPr>
        <w:t>Censo regulados</w:t>
      </w:r>
      <w:proofErr w:type="gramEnd"/>
      <w:r>
        <w:rPr>
          <w:i w:val="0"/>
          <w:iCs w:val="0"/>
          <w:color w:val="auto"/>
        </w:rPr>
        <w:t xml:space="preserve"> CREG contribución especial 2023.</w:t>
      </w:r>
      <w:bookmarkEnd w:id="59"/>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3"/>
        <w:gridCol w:w="1724"/>
        <w:gridCol w:w="1953"/>
        <w:gridCol w:w="1810"/>
        <w:gridCol w:w="1810"/>
        <w:gridCol w:w="1629"/>
      </w:tblGrid>
      <w:tr w:rsidR="00307567" w:rsidRPr="002F7D5C" w14:paraId="79678681" w14:textId="77777777" w:rsidTr="00CB34E2">
        <w:trPr>
          <w:trHeight w:val="599"/>
          <w:tblHeader/>
          <w:jc w:val="center"/>
        </w:trPr>
        <w:tc>
          <w:tcPr>
            <w:tcW w:w="933" w:type="dxa"/>
            <w:vMerge w:val="restart"/>
            <w:shd w:val="clear" w:color="auto" w:fill="F2F2F2" w:themeFill="background1" w:themeFillShade="F2"/>
            <w:noWrap/>
            <w:vAlign w:val="center"/>
            <w:hideMark/>
          </w:tcPr>
          <w:p w14:paraId="31423709" w14:textId="77777777" w:rsidR="00307567" w:rsidRPr="002F7D5C" w:rsidRDefault="00307567" w:rsidP="00D22441">
            <w:pPr>
              <w:jc w:val="center"/>
              <w:rPr>
                <w:rFonts w:ascii="Arial Narrow" w:hAnsi="Arial Narrow" w:cs="Arial"/>
                <w:b/>
                <w:bCs/>
                <w:spacing w:val="0"/>
                <w:lang w:val="es-MX" w:eastAsia="es-MX"/>
              </w:rPr>
            </w:pPr>
            <w:r w:rsidRPr="002F7D5C">
              <w:rPr>
                <w:rFonts w:ascii="Arial Narrow" w:hAnsi="Arial Narrow" w:cs="Arial"/>
                <w:b/>
                <w:bCs/>
                <w:spacing w:val="0"/>
                <w:lang w:val="es-MX" w:eastAsia="es-MX"/>
              </w:rPr>
              <w:lastRenderedPageBreak/>
              <w:t>Delegada</w:t>
            </w:r>
          </w:p>
        </w:tc>
        <w:tc>
          <w:tcPr>
            <w:tcW w:w="1724" w:type="dxa"/>
            <w:vMerge w:val="restart"/>
            <w:shd w:val="clear" w:color="auto" w:fill="F2F2F2" w:themeFill="background1" w:themeFillShade="F2"/>
            <w:noWrap/>
            <w:vAlign w:val="center"/>
            <w:hideMark/>
          </w:tcPr>
          <w:p w14:paraId="54461F46" w14:textId="77777777" w:rsidR="00307567" w:rsidRPr="002F7D5C" w:rsidRDefault="00307567" w:rsidP="00D22441">
            <w:pPr>
              <w:jc w:val="center"/>
              <w:rPr>
                <w:rFonts w:ascii="Arial Narrow" w:hAnsi="Arial Narrow" w:cs="Arial"/>
                <w:b/>
                <w:bCs/>
                <w:spacing w:val="0"/>
                <w:lang w:val="es-MX" w:eastAsia="es-MX"/>
              </w:rPr>
            </w:pPr>
            <w:r w:rsidRPr="002F7D5C">
              <w:rPr>
                <w:rFonts w:ascii="Arial Narrow" w:hAnsi="Arial Narrow" w:cs="Arial"/>
                <w:b/>
                <w:bCs/>
                <w:spacing w:val="0"/>
                <w:lang w:val="es-MX" w:eastAsia="es-MX"/>
              </w:rPr>
              <w:t>Dependencia</w:t>
            </w:r>
          </w:p>
        </w:tc>
        <w:tc>
          <w:tcPr>
            <w:tcW w:w="1953" w:type="dxa"/>
            <w:shd w:val="clear" w:color="auto" w:fill="F2F2F2" w:themeFill="background1" w:themeFillShade="F2"/>
            <w:vAlign w:val="center"/>
          </w:tcPr>
          <w:p w14:paraId="0CCA75DD" w14:textId="2FDDC320" w:rsidR="00307567" w:rsidRPr="002F7D5C" w:rsidRDefault="000D7E5A" w:rsidP="00D22441">
            <w:pPr>
              <w:jc w:val="center"/>
              <w:rPr>
                <w:rFonts w:ascii="Arial Narrow" w:hAnsi="Arial Narrow" w:cs="Arial"/>
                <w:b/>
                <w:bCs/>
                <w:spacing w:val="0"/>
                <w:lang w:val="es-MX" w:eastAsia="es-MX"/>
              </w:rPr>
            </w:pPr>
            <w:r w:rsidRPr="002F7D5C">
              <w:rPr>
                <w:rFonts w:ascii="Arial Narrow" w:hAnsi="Arial Narrow" w:cs="Arial"/>
                <w:b/>
                <w:bCs/>
                <w:spacing w:val="0"/>
                <w:lang w:val="es-MX" w:eastAsia="es-MX"/>
              </w:rPr>
              <w:t xml:space="preserve">Censo </w:t>
            </w:r>
            <w:r w:rsidR="00307567" w:rsidRPr="002F7D5C">
              <w:rPr>
                <w:rFonts w:ascii="Arial Narrow" w:hAnsi="Arial Narrow" w:cs="Arial"/>
                <w:b/>
                <w:bCs/>
                <w:spacing w:val="0"/>
                <w:lang w:val="es-MX" w:eastAsia="es-MX"/>
              </w:rPr>
              <w:t>Contribución</w:t>
            </w:r>
            <w:r w:rsidRPr="002F7D5C">
              <w:rPr>
                <w:rFonts w:ascii="Arial Narrow" w:hAnsi="Arial Narrow" w:cs="Arial"/>
                <w:b/>
                <w:bCs/>
                <w:spacing w:val="0"/>
                <w:lang w:val="es-MX" w:eastAsia="es-MX"/>
              </w:rPr>
              <w:t xml:space="preserve"> Especial</w:t>
            </w:r>
            <w:r w:rsidR="00307567" w:rsidRPr="002F7D5C">
              <w:rPr>
                <w:rFonts w:ascii="Arial Narrow" w:hAnsi="Arial Narrow" w:cs="Arial"/>
                <w:b/>
                <w:bCs/>
                <w:spacing w:val="0"/>
                <w:lang w:val="es-MX" w:eastAsia="es-MX"/>
              </w:rPr>
              <w:t xml:space="preserve"> SSPD 2023</w:t>
            </w:r>
          </w:p>
        </w:tc>
        <w:tc>
          <w:tcPr>
            <w:tcW w:w="1810" w:type="dxa"/>
            <w:shd w:val="clear" w:color="auto" w:fill="F2F2F2" w:themeFill="background1" w:themeFillShade="F2"/>
            <w:vAlign w:val="center"/>
          </w:tcPr>
          <w:p w14:paraId="6CBD083B" w14:textId="0FCE4940" w:rsidR="00307567" w:rsidRPr="002F7D5C" w:rsidRDefault="00307567" w:rsidP="00D22441">
            <w:pPr>
              <w:jc w:val="center"/>
              <w:rPr>
                <w:rFonts w:ascii="Arial Narrow" w:hAnsi="Arial Narrow" w:cs="Arial"/>
                <w:b/>
                <w:bCs/>
                <w:spacing w:val="0"/>
                <w:lang w:val="es-MX" w:eastAsia="es-MX"/>
              </w:rPr>
            </w:pPr>
            <w:r w:rsidRPr="002F7D5C">
              <w:rPr>
                <w:rFonts w:ascii="Arial Narrow" w:hAnsi="Arial Narrow" w:cs="Arial"/>
                <w:b/>
                <w:bCs/>
                <w:spacing w:val="0"/>
                <w:lang w:val="es-MX" w:eastAsia="es-MX"/>
              </w:rPr>
              <w:t xml:space="preserve">Regulados censados </w:t>
            </w:r>
            <w:r w:rsidR="003967A1" w:rsidRPr="002F7D5C">
              <w:rPr>
                <w:rFonts w:ascii="Arial Narrow" w:hAnsi="Arial Narrow" w:cs="Arial"/>
                <w:b/>
                <w:bCs/>
                <w:spacing w:val="0"/>
                <w:lang w:val="es-MX" w:eastAsia="es-MX"/>
              </w:rPr>
              <w:t xml:space="preserve">SSDP </w:t>
            </w:r>
            <w:r w:rsidRPr="002F7D5C">
              <w:rPr>
                <w:rFonts w:ascii="Arial Narrow" w:hAnsi="Arial Narrow" w:cs="Arial"/>
                <w:b/>
                <w:bCs/>
                <w:spacing w:val="0"/>
                <w:lang w:val="es-MX" w:eastAsia="es-MX"/>
              </w:rPr>
              <w:t>2023</w:t>
            </w:r>
          </w:p>
        </w:tc>
        <w:tc>
          <w:tcPr>
            <w:tcW w:w="1810" w:type="dxa"/>
            <w:shd w:val="clear" w:color="auto" w:fill="F2F2F2" w:themeFill="background1" w:themeFillShade="F2"/>
            <w:vAlign w:val="center"/>
          </w:tcPr>
          <w:p w14:paraId="614B3A10" w14:textId="4741CD37" w:rsidR="00307567" w:rsidRPr="002F7D5C" w:rsidRDefault="00307567" w:rsidP="00D22441">
            <w:pPr>
              <w:jc w:val="center"/>
              <w:rPr>
                <w:rFonts w:ascii="Arial Narrow" w:hAnsi="Arial Narrow" w:cs="Arial"/>
                <w:b/>
                <w:bCs/>
                <w:spacing w:val="0"/>
                <w:lang w:val="es-MX" w:eastAsia="es-MX"/>
              </w:rPr>
            </w:pPr>
            <w:r w:rsidRPr="002F7D5C">
              <w:rPr>
                <w:rFonts w:ascii="Arial Narrow" w:hAnsi="Arial Narrow" w:cs="Arial"/>
                <w:b/>
                <w:bCs/>
                <w:spacing w:val="0"/>
                <w:lang w:val="es-MX" w:eastAsia="es-MX"/>
              </w:rPr>
              <w:t xml:space="preserve">Regulados no censados </w:t>
            </w:r>
            <w:r w:rsidR="003967A1" w:rsidRPr="002F7D5C">
              <w:rPr>
                <w:rFonts w:ascii="Arial Narrow" w:hAnsi="Arial Narrow" w:cs="Arial"/>
                <w:b/>
                <w:bCs/>
                <w:spacing w:val="0"/>
                <w:lang w:val="es-MX" w:eastAsia="es-MX"/>
              </w:rPr>
              <w:t xml:space="preserve">SSPD </w:t>
            </w:r>
            <w:r w:rsidRPr="002F7D5C">
              <w:rPr>
                <w:rFonts w:ascii="Arial Narrow" w:hAnsi="Arial Narrow" w:cs="Arial"/>
                <w:b/>
                <w:bCs/>
                <w:spacing w:val="0"/>
                <w:lang w:val="es-MX" w:eastAsia="es-MX"/>
              </w:rPr>
              <w:t>2023</w:t>
            </w:r>
          </w:p>
        </w:tc>
        <w:tc>
          <w:tcPr>
            <w:tcW w:w="1629" w:type="dxa"/>
            <w:shd w:val="clear" w:color="auto" w:fill="F2F2F2" w:themeFill="background1" w:themeFillShade="F2"/>
            <w:noWrap/>
            <w:vAlign w:val="center"/>
            <w:hideMark/>
          </w:tcPr>
          <w:p w14:paraId="212A9374" w14:textId="06F6B102" w:rsidR="00307567" w:rsidRPr="002F7D5C" w:rsidRDefault="003F261F" w:rsidP="00D22441">
            <w:pPr>
              <w:jc w:val="center"/>
              <w:rPr>
                <w:rFonts w:ascii="Arial Narrow" w:hAnsi="Arial Narrow" w:cs="Arial"/>
                <w:b/>
                <w:bCs/>
                <w:spacing w:val="0"/>
                <w:lang w:val="es-MX" w:eastAsia="es-MX"/>
              </w:rPr>
            </w:pPr>
            <w:r w:rsidRPr="002F7D5C">
              <w:rPr>
                <w:rFonts w:ascii="Arial Narrow" w:hAnsi="Arial Narrow" w:cs="Arial"/>
                <w:b/>
                <w:bCs/>
                <w:spacing w:val="0"/>
                <w:lang w:val="es-MX" w:eastAsia="es-MX"/>
              </w:rPr>
              <w:t xml:space="preserve">Regulados </w:t>
            </w:r>
            <w:r w:rsidR="003967A1" w:rsidRPr="002F7D5C">
              <w:rPr>
                <w:rFonts w:ascii="Arial Narrow" w:hAnsi="Arial Narrow" w:cs="Arial"/>
                <w:b/>
                <w:bCs/>
                <w:spacing w:val="0"/>
                <w:lang w:val="es-MX" w:eastAsia="es-MX"/>
              </w:rPr>
              <w:t>Censo CREG</w:t>
            </w:r>
            <w:r w:rsidR="00307567" w:rsidRPr="002F7D5C">
              <w:rPr>
                <w:rFonts w:ascii="Arial Narrow" w:hAnsi="Arial Narrow" w:cs="Arial"/>
                <w:b/>
                <w:bCs/>
                <w:spacing w:val="0"/>
                <w:lang w:val="es-MX" w:eastAsia="es-MX"/>
              </w:rPr>
              <w:t xml:space="preserve"> 2023</w:t>
            </w:r>
          </w:p>
        </w:tc>
      </w:tr>
      <w:tr w:rsidR="00307567" w:rsidRPr="002F7D5C" w14:paraId="5B307E54" w14:textId="77777777" w:rsidTr="00CB34E2">
        <w:trPr>
          <w:trHeight w:val="410"/>
          <w:tblHeader/>
          <w:jc w:val="center"/>
        </w:trPr>
        <w:tc>
          <w:tcPr>
            <w:tcW w:w="933" w:type="dxa"/>
            <w:vMerge/>
            <w:shd w:val="clear" w:color="auto" w:fill="F2F2F2" w:themeFill="background1" w:themeFillShade="F2"/>
            <w:vAlign w:val="center"/>
            <w:hideMark/>
          </w:tcPr>
          <w:p w14:paraId="139FFA01" w14:textId="77777777" w:rsidR="00307567" w:rsidRPr="002F7D5C" w:rsidRDefault="00307567" w:rsidP="00D22441">
            <w:pPr>
              <w:jc w:val="left"/>
              <w:rPr>
                <w:rFonts w:ascii="Arial Narrow" w:hAnsi="Arial Narrow" w:cs="Arial"/>
                <w:b/>
                <w:bCs/>
                <w:spacing w:val="0"/>
                <w:lang w:val="es-MX" w:eastAsia="es-MX"/>
              </w:rPr>
            </w:pPr>
          </w:p>
        </w:tc>
        <w:tc>
          <w:tcPr>
            <w:tcW w:w="1724" w:type="dxa"/>
            <w:vMerge/>
            <w:shd w:val="clear" w:color="auto" w:fill="F2F2F2" w:themeFill="background1" w:themeFillShade="F2"/>
            <w:vAlign w:val="center"/>
            <w:hideMark/>
          </w:tcPr>
          <w:p w14:paraId="7B46A4A5" w14:textId="77777777" w:rsidR="00307567" w:rsidRPr="002F7D5C" w:rsidRDefault="00307567" w:rsidP="00D22441">
            <w:pPr>
              <w:jc w:val="left"/>
              <w:rPr>
                <w:rFonts w:ascii="Arial Narrow" w:hAnsi="Arial Narrow" w:cs="Arial"/>
                <w:b/>
                <w:bCs/>
                <w:spacing w:val="0"/>
                <w:lang w:val="es-MX" w:eastAsia="es-MX"/>
              </w:rPr>
            </w:pPr>
          </w:p>
        </w:tc>
        <w:tc>
          <w:tcPr>
            <w:tcW w:w="1953" w:type="dxa"/>
            <w:shd w:val="clear" w:color="auto" w:fill="F2F2F2" w:themeFill="background1" w:themeFillShade="F2"/>
            <w:vAlign w:val="center"/>
          </w:tcPr>
          <w:p w14:paraId="30ED2672" w14:textId="448AC350" w:rsidR="00307567" w:rsidRPr="002F7D5C" w:rsidRDefault="00307567" w:rsidP="00D22441">
            <w:pPr>
              <w:jc w:val="center"/>
              <w:rPr>
                <w:rFonts w:ascii="Arial Narrow" w:hAnsi="Arial Narrow" w:cs="Arial"/>
                <w:b/>
                <w:bCs/>
                <w:spacing w:val="0"/>
                <w:lang w:val="es-MX" w:eastAsia="es-MX"/>
              </w:rPr>
            </w:pPr>
            <w:proofErr w:type="spellStart"/>
            <w:r w:rsidRPr="002F7D5C">
              <w:rPr>
                <w:rFonts w:ascii="Arial Narrow" w:hAnsi="Arial Narrow" w:cs="Arial"/>
                <w:b/>
                <w:bCs/>
                <w:spacing w:val="0"/>
                <w:lang w:val="es-MX" w:eastAsia="es-MX"/>
              </w:rPr>
              <w:t>N°</w:t>
            </w:r>
            <w:proofErr w:type="spellEnd"/>
            <w:r w:rsidRPr="002F7D5C">
              <w:rPr>
                <w:rFonts w:ascii="Arial Narrow" w:hAnsi="Arial Narrow" w:cs="Arial"/>
                <w:b/>
                <w:bCs/>
                <w:spacing w:val="0"/>
                <w:lang w:val="es-MX" w:eastAsia="es-MX"/>
              </w:rPr>
              <w:t xml:space="preserve"> Prestadores</w:t>
            </w:r>
          </w:p>
        </w:tc>
        <w:tc>
          <w:tcPr>
            <w:tcW w:w="1810" w:type="dxa"/>
            <w:shd w:val="clear" w:color="auto" w:fill="F2F2F2" w:themeFill="background1" w:themeFillShade="F2"/>
            <w:vAlign w:val="center"/>
          </w:tcPr>
          <w:p w14:paraId="5E4F0963" w14:textId="0B46BFD2" w:rsidR="00307567" w:rsidRPr="002F7D5C" w:rsidRDefault="00307567" w:rsidP="00D22441">
            <w:pPr>
              <w:jc w:val="center"/>
              <w:rPr>
                <w:rFonts w:ascii="Arial Narrow" w:hAnsi="Arial Narrow" w:cs="Arial"/>
                <w:b/>
                <w:bCs/>
                <w:spacing w:val="0"/>
                <w:lang w:val="es-MX" w:eastAsia="es-MX"/>
              </w:rPr>
            </w:pPr>
            <w:proofErr w:type="spellStart"/>
            <w:r w:rsidRPr="002F7D5C">
              <w:rPr>
                <w:rFonts w:ascii="Arial Narrow" w:hAnsi="Arial Narrow" w:cs="Arial"/>
                <w:b/>
                <w:bCs/>
                <w:spacing w:val="0"/>
                <w:lang w:val="es-MX" w:eastAsia="es-MX"/>
              </w:rPr>
              <w:t>N°</w:t>
            </w:r>
            <w:proofErr w:type="spellEnd"/>
            <w:r w:rsidRPr="002F7D5C">
              <w:rPr>
                <w:rFonts w:ascii="Arial Narrow" w:hAnsi="Arial Narrow" w:cs="Arial"/>
                <w:b/>
                <w:bCs/>
                <w:spacing w:val="0"/>
                <w:lang w:val="es-MX" w:eastAsia="es-MX"/>
              </w:rPr>
              <w:t xml:space="preserve"> Prestadores</w:t>
            </w:r>
          </w:p>
        </w:tc>
        <w:tc>
          <w:tcPr>
            <w:tcW w:w="1810" w:type="dxa"/>
            <w:shd w:val="clear" w:color="auto" w:fill="F2F2F2" w:themeFill="background1" w:themeFillShade="F2"/>
            <w:vAlign w:val="center"/>
          </w:tcPr>
          <w:p w14:paraId="5F5B3065" w14:textId="5D88A5D7" w:rsidR="00307567" w:rsidRPr="002F7D5C" w:rsidRDefault="00307567" w:rsidP="00D22441">
            <w:pPr>
              <w:jc w:val="center"/>
              <w:rPr>
                <w:rFonts w:ascii="Arial Narrow" w:hAnsi="Arial Narrow" w:cs="Arial"/>
                <w:b/>
                <w:bCs/>
                <w:spacing w:val="0"/>
                <w:lang w:val="es-MX" w:eastAsia="es-MX"/>
              </w:rPr>
            </w:pPr>
            <w:proofErr w:type="spellStart"/>
            <w:r w:rsidRPr="002F7D5C">
              <w:rPr>
                <w:rFonts w:ascii="Arial Narrow" w:hAnsi="Arial Narrow" w:cs="Arial"/>
                <w:b/>
                <w:bCs/>
                <w:spacing w:val="0"/>
                <w:lang w:val="es-MX" w:eastAsia="es-MX"/>
              </w:rPr>
              <w:t>N°</w:t>
            </w:r>
            <w:proofErr w:type="spellEnd"/>
            <w:r w:rsidRPr="002F7D5C">
              <w:rPr>
                <w:rFonts w:ascii="Arial Narrow" w:hAnsi="Arial Narrow" w:cs="Arial"/>
                <w:b/>
                <w:bCs/>
                <w:spacing w:val="0"/>
                <w:lang w:val="es-MX" w:eastAsia="es-MX"/>
              </w:rPr>
              <w:t xml:space="preserve"> Prestadores</w:t>
            </w:r>
          </w:p>
        </w:tc>
        <w:tc>
          <w:tcPr>
            <w:tcW w:w="1629" w:type="dxa"/>
            <w:shd w:val="clear" w:color="auto" w:fill="F2F2F2" w:themeFill="background1" w:themeFillShade="F2"/>
            <w:noWrap/>
            <w:vAlign w:val="center"/>
            <w:hideMark/>
          </w:tcPr>
          <w:p w14:paraId="60273531" w14:textId="2A24C30A" w:rsidR="00307567" w:rsidRPr="002F7D5C" w:rsidRDefault="00307567" w:rsidP="00D22441">
            <w:pPr>
              <w:jc w:val="center"/>
              <w:rPr>
                <w:rFonts w:ascii="Arial Narrow" w:hAnsi="Arial Narrow" w:cs="Arial"/>
                <w:b/>
                <w:bCs/>
                <w:spacing w:val="0"/>
                <w:lang w:val="es-MX" w:eastAsia="es-MX"/>
              </w:rPr>
            </w:pPr>
            <w:proofErr w:type="spellStart"/>
            <w:r w:rsidRPr="002F7D5C">
              <w:rPr>
                <w:rFonts w:ascii="Arial Narrow" w:hAnsi="Arial Narrow" w:cs="Arial"/>
                <w:b/>
                <w:bCs/>
                <w:spacing w:val="0"/>
                <w:lang w:val="es-MX" w:eastAsia="es-MX"/>
              </w:rPr>
              <w:t>N°</w:t>
            </w:r>
            <w:proofErr w:type="spellEnd"/>
            <w:r w:rsidRPr="002F7D5C">
              <w:rPr>
                <w:rFonts w:ascii="Arial Narrow" w:hAnsi="Arial Narrow" w:cs="Arial"/>
                <w:b/>
                <w:bCs/>
                <w:spacing w:val="0"/>
                <w:lang w:val="es-MX" w:eastAsia="es-MX"/>
              </w:rPr>
              <w:t xml:space="preserve"> Prestadores</w:t>
            </w:r>
          </w:p>
        </w:tc>
      </w:tr>
      <w:tr w:rsidR="00307567" w:rsidRPr="002F7D5C" w14:paraId="21880006" w14:textId="77777777" w:rsidTr="00CB34E2">
        <w:trPr>
          <w:trHeight w:val="290"/>
          <w:jc w:val="center"/>
        </w:trPr>
        <w:tc>
          <w:tcPr>
            <w:tcW w:w="933" w:type="dxa"/>
            <w:vMerge w:val="restart"/>
            <w:shd w:val="clear" w:color="auto" w:fill="auto"/>
            <w:noWrap/>
            <w:vAlign w:val="center"/>
            <w:hideMark/>
          </w:tcPr>
          <w:p w14:paraId="6E6B3B13" w14:textId="77777777" w:rsidR="00307567" w:rsidRPr="002F7D5C" w:rsidRDefault="00307567" w:rsidP="00D22441">
            <w:pPr>
              <w:jc w:val="center"/>
              <w:rPr>
                <w:rFonts w:ascii="Arial Narrow" w:hAnsi="Arial Narrow" w:cs="Arial"/>
                <w:color w:val="000000"/>
                <w:spacing w:val="0"/>
                <w:lang w:val="es-MX" w:eastAsia="es-MX"/>
              </w:rPr>
            </w:pPr>
            <w:r w:rsidRPr="002F7D5C">
              <w:rPr>
                <w:rFonts w:ascii="Arial Narrow" w:hAnsi="Arial Narrow" w:cs="Arial"/>
                <w:color w:val="000000"/>
                <w:spacing w:val="0"/>
                <w:lang w:val="es-MX" w:eastAsia="es-MX"/>
              </w:rPr>
              <w:t>Delegada E&amp;G</w:t>
            </w:r>
          </w:p>
        </w:tc>
        <w:tc>
          <w:tcPr>
            <w:tcW w:w="1724" w:type="dxa"/>
            <w:shd w:val="clear" w:color="auto" w:fill="auto"/>
            <w:noWrap/>
            <w:vAlign w:val="center"/>
            <w:hideMark/>
          </w:tcPr>
          <w:p w14:paraId="22C62A96" w14:textId="77777777" w:rsidR="00307567" w:rsidRPr="002F7D5C" w:rsidRDefault="00307567" w:rsidP="00D22441">
            <w:pPr>
              <w:jc w:val="left"/>
              <w:rPr>
                <w:rFonts w:ascii="Arial Narrow" w:hAnsi="Arial Narrow" w:cs="Arial"/>
                <w:color w:val="000000"/>
                <w:spacing w:val="0"/>
                <w:lang w:val="es-MX" w:eastAsia="es-MX"/>
              </w:rPr>
            </w:pPr>
            <w:r w:rsidRPr="002F7D5C">
              <w:rPr>
                <w:rFonts w:ascii="Arial Narrow" w:hAnsi="Arial Narrow" w:cs="Arial"/>
                <w:color w:val="000000"/>
                <w:spacing w:val="0"/>
                <w:lang w:val="es-MX" w:eastAsia="es-MX"/>
              </w:rPr>
              <w:t>Energía</w:t>
            </w:r>
          </w:p>
        </w:tc>
        <w:tc>
          <w:tcPr>
            <w:tcW w:w="1953" w:type="dxa"/>
            <w:vAlign w:val="center"/>
          </w:tcPr>
          <w:p w14:paraId="353F70E9" w14:textId="1A739C5F" w:rsidR="00307567" w:rsidRPr="002F7D5C" w:rsidRDefault="00307567" w:rsidP="00D22441">
            <w:pPr>
              <w:jc w:val="center"/>
              <w:rPr>
                <w:rFonts w:ascii="Arial Narrow" w:hAnsi="Arial Narrow" w:cs="Arial"/>
                <w:color w:val="000000"/>
                <w:spacing w:val="0"/>
                <w:lang w:val="es-MX" w:eastAsia="es-MX"/>
              </w:rPr>
            </w:pPr>
            <w:r w:rsidRPr="002F7D5C">
              <w:rPr>
                <w:rFonts w:ascii="Arial Narrow" w:hAnsi="Arial Narrow" w:cs="Arial"/>
                <w:color w:val="000000"/>
                <w:spacing w:val="0"/>
                <w:lang w:val="es-MX" w:eastAsia="es-MX"/>
              </w:rPr>
              <w:t>258</w:t>
            </w:r>
          </w:p>
        </w:tc>
        <w:tc>
          <w:tcPr>
            <w:tcW w:w="1810" w:type="dxa"/>
            <w:shd w:val="clear" w:color="000000" w:fill="D6DCE4"/>
            <w:vAlign w:val="center"/>
          </w:tcPr>
          <w:p w14:paraId="2A4D6E01" w14:textId="2D4A2325" w:rsidR="00307567" w:rsidRPr="002F7D5C" w:rsidRDefault="00307567" w:rsidP="00D22441">
            <w:pPr>
              <w:jc w:val="center"/>
              <w:rPr>
                <w:rFonts w:ascii="Arial Narrow" w:hAnsi="Arial Narrow" w:cs="Arial"/>
                <w:color w:val="000000"/>
                <w:spacing w:val="0"/>
                <w:lang w:val="es-MX" w:eastAsia="es-MX"/>
              </w:rPr>
            </w:pPr>
            <w:r w:rsidRPr="002F7D5C">
              <w:rPr>
                <w:rFonts w:ascii="Arial Narrow" w:hAnsi="Arial Narrow" w:cs="Arial"/>
                <w:color w:val="000000"/>
                <w:spacing w:val="0"/>
                <w:lang w:val="es-MX" w:eastAsia="es-MX"/>
              </w:rPr>
              <w:t>258</w:t>
            </w:r>
          </w:p>
        </w:tc>
        <w:tc>
          <w:tcPr>
            <w:tcW w:w="1810" w:type="dxa"/>
            <w:shd w:val="clear" w:color="000000" w:fill="D6DCE4"/>
            <w:vAlign w:val="center"/>
          </w:tcPr>
          <w:p w14:paraId="4746B91D" w14:textId="491E4BC4" w:rsidR="00307567" w:rsidRPr="002F7D5C" w:rsidRDefault="00307567" w:rsidP="00D22441">
            <w:pPr>
              <w:jc w:val="center"/>
              <w:rPr>
                <w:rFonts w:ascii="Arial Narrow" w:hAnsi="Arial Narrow" w:cs="Arial"/>
                <w:color w:val="000000"/>
                <w:spacing w:val="0"/>
                <w:lang w:val="es-MX" w:eastAsia="es-MX"/>
              </w:rPr>
            </w:pPr>
            <w:r w:rsidRPr="002F7D5C">
              <w:rPr>
                <w:rFonts w:ascii="Arial Narrow" w:hAnsi="Arial Narrow" w:cs="Arial"/>
                <w:color w:val="000000"/>
                <w:spacing w:val="0"/>
                <w:lang w:val="es-MX" w:eastAsia="es-MX"/>
              </w:rPr>
              <w:t>6</w:t>
            </w:r>
          </w:p>
        </w:tc>
        <w:tc>
          <w:tcPr>
            <w:tcW w:w="1629" w:type="dxa"/>
            <w:shd w:val="clear" w:color="000000" w:fill="D6DCE4"/>
            <w:noWrap/>
            <w:vAlign w:val="center"/>
            <w:hideMark/>
          </w:tcPr>
          <w:p w14:paraId="275C7883" w14:textId="22F3D785" w:rsidR="00307567" w:rsidRPr="002F7D5C" w:rsidRDefault="00307567" w:rsidP="00D22441">
            <w:pPr>
              <w:jc w:val="center"/>
              <w:rPr>
                <w:rFonts w:ascii="Arial Narrow" w:hAnsi="Arial Narrow" w:cs="Arial"/>
                <w:color w:val="000000"/>
                <w:spacing w:val="0"/>
                <w:lang w:val="es-MX" w:eastAsia="es-MX"/>
              </w:rPr>
            </w:pPr>
            <w:r w:rsidRPr="002F7D5C">
              <w:rPr>
                <w:rFonts w:ascii="Arial Narrow" w:hAnsi="Arial Narrow" w:cs="Arial"/>
                <w:color w:val="000000"/>
                <w:spacing w:val="0"/>
                <w:lang w:val="es-MX" w:eastAsia="es-MX"/>
              </w:rPr>
              <w:t>264</w:t>
            </w:r>
          </w:p>
        </w:tc>
      </w:tr>
      <w:tr w:rsidR="00307567" w:rsidRPr="002F7D5C" w14:paraId="004948AE" w14:textId="77777777" w:rsidTr="00CB34E2">
        <w:trPr>
          <w:trHeight w:val="290"/>
          <w:jc w:val="center"/>
        </w:trPr>
        <w:tc>
          <w:tcPr>
            <w:tcW w:w="933" w:type="dxa"/>
            <w:vMerge/>
            <w:vAlign w:val="center"/>
            <w:hideMark/>
          </w:tcPr>
          <w:p w14:paraId="7975B620" w14:textId="77777777" w:rsidR="00307567" w:rsidRPr="002F7D5C" w:rsidRDefault="00307567" w:rsidP="00D22441">
            <w:pPr>
              <w:jc w:val="left"/>
              <w:rPr>
                <w:rFonts w:ascii="Arial Narrow" w:hAnsi="Arial Narrow" w:cs="Arial"/>
                <w:color w:val="000000"/>
                <w:spacing w:val="0"/>
                <w:lang w:val="es-MX" w:eastAsia="es-MX"/>
              </w:rPr>
            </w:pPr>
          </w:p>
        </w:tc>
        <w:tc>
          <w:tcPr>
            <w:tcW w:w="1724" w:type="dxa"/>
            <w:shd w:val="clear" w:color="auto" w:fill="auto"/>
            <w:noWrap/>
            <w:vAlign w:val="center"/>
            <w:hideMark/>
          </w:tcPr>
          <w:p w14:paraId="33D8E28F" w14:textId="77777777" w:rsidR="00307567" w:rsidRPr="002F7D5C" w:rsidRDefault="00307567" w:rsidP="00D22441">
            <w:pPr>
              <w:jc w:val="left"/>
              <w:rPr>
                <w:rFonts w:ascii="Arial Narrow" w:hAnsi="Arial Narrow" w:cs="Arial"/>
                <w:color w:val="000000"/>
                <w:spacing w:val="0"/>
                <w:lang w:val="es-MX" w:eastAsia="es-MX"/>
              </w:rPr>
            </w:pPr>
            <w:r w:rsidRPr="002F7D5C">
              <w:rPr>
                <w:rFonts w:ascii="Arial Narrow" w:hAnsi="Arial Narrow" w:cs="Arial"/>
                <w:color w:val="000000"/>
                <w:spacing w:val="0"/>
                <w:lang w:val="es-MX" w:eastAsia="es-MX"/>
              </w:rPr>
              <w:t>Energía - Gas</w:t>
            </w:r>
          </w:p>
        </w:tc>
        <w:tc>
          <w:tcPr>
            <w:tcW w:w="1953" w:type="dxa"/>
            <w:vAlign w:val="center"/>
          </w:tcPr>
          <w:p w14:paraId="1246BBF6" w14:textId="6042A6DA" w:rsidR="00307567" w:rsidRPr="002F7D5C" w:rsidRDefault="00307567" w:rsidP="00D22441">
            <w:pPr>
              <w:jc w:val="center"/>
              <w:rPr>
                <w:rFonts w:ascii="Arial Narrow" w:hAnsi="Arial Narrow" w:cs="Arial"/>
                <w:color w:val="000000"/>
                <w:spacing w:val="0"/>
                <w:lang w:val="es-MX" w:eastAsia="es-MX"/>
              </w:rPr>
            </w:pPr>
            <w:r w:rsidRPr="002F7D5C">
              <w:rPr>
                <w:rFonts w:ascii="Arial Narrow" w:hAnsi="Arial Narrow" w:cs="Arial"/>
                <w:color w:val="000000"/>
                <w:spacing w:val="0"/>
                <w:lang w:val="es-MX" w:eastAsia="es-MX"/>
              </w:rPr>
              <w:t>13</w:t>
            </w:r>
          </w:p>
        </w:tc>
        <w:tc>
          <w:tcPr>
            <w:tcW w:w="1810" w:type="dxa"/>
            <w:shd w:val="clear" w:color="000000" w:fill="D6DCE4"/>
            <w:vAlign w:val="center"/>
          </w:tcPr>
          <w:p w14:paraId="6B91E11A" w14:textId="12669820" w:rsidR="00307567" w:rsidRPr="002F7D5C" w:rsidRDefault="00307567" w:rsidP="00D22441">
            <w:pPr>
              <w:jc w:val="center"/>
              <w:rPr>
                <w:rFonts w:ascii="Arial Narrow" w:hAnsi="Arial Narrow" w:cs="Arial"/>
                <w:color w:val="000000"/>
                <w:spacing w:val="0"/>
                <w:lang w:val="es-MX" w:eastAsia="es-MX"/>
              </w:rPr>
            </w:pPr>
            <w:r w:rsidRPr="002F7D5C">
              <w:rPr>
                <w:rFonts w:ascii="Arial Narrow" w:hAnsi="Arial Narrow" w:cs="Arial"/>
                <w:color w:val="000000"/>
                <w:spacing w:val="0"/>
                <w:lang w:val="es-MX" w:eastAsia="es-MX"/>
              </w:rPr>
              <w:t>13</w:t>
            </w:r>
          </w:p>
        </w:tc>
        <w:tc>
          <w:tcPr>
            <w:tcW w:w="1810" w:type="dxa"/>
            <w:shd w:val="clear" w:color="000000" w:fill="D6DCE4"/>
            <w:vAlign w:val="center"/>
          </w:tcPr>
          <w:p w14:paraId="3FFE72B9" w14:textId="6A9830B8" w:rsidR="00307567" w:rsidRPr="002F7D5C" w:rsidRDefault="00307567" w:rsidP="00D22441">
            <w:pPr>
              <w:jc w:val="center"/>
              <w:rPr>
                <w:rFonts w:ascii="Arial Narrow" w:hAnsi="Arial Narrow" w:cs="Arial"/>
                <w:color w:val="000000"/>
                <w:spacing w:val="0"/>
                <w:lang w:val="es-MX" w:eastAsia="es-MX"/>
              </w:rPr>
            </w:pPr>
            <w:r w:rsidRPr="002F7D5C">
              <w:rPr>
                <w:rFonts w:ascii="Arial Narrow" w:hAnsi="Arial Narrow" w:cs="Arial"/>
                <w:color w:val="000000"/>
                <w:spacing w:val="0"/>
                <w:lang w:val="es-MX" w:eastAsia="es-MX"/>
              </w:rPr>
              <w:t>0</w:t>
            </w:r>
          </w:p>
        </w:tc>
        <w:tc>
          <w:tcPr>
            <w:tcW w:w="1629" w:type="dxa"/>
            <w:shd w:val="clear" w:color="000000" w:fill="D6DCE4"/>
            <w:noWrap/>
            <w:vAlign w:val="center"/>
            <w:hideMark/>
          </w:tcPr>
          <w:p w14:paraId="22786862" w14:textId="22D0D169" w:rsidR="00307567" w:rsidRPr="002F7D5C" w:rsidRDefault="00307567" w:rsidP="00D22441">
            <w:pPr>
              <w:jc w:val="center"/>
              <w:rPr>
                <w:rFonts w:ascii="Arial Narrow" w:hAnsi="Arial Narrow" w:cs="Arial"/>
                <w:color w:val="000000"/>
                <w:spacing w:val="0"/>
                <w:lang w:val="es-MX" w:eastAsia="es-MX"/>
              </w:rPr>
            </w:pPr>
            <w:r w:rsidRPr="002F7D5C">
              <w:rPr>
                <w:rFonts w:ascii="Arial Narrow" w:hAnsi="Arial Narrow" w:cs="Arial"/>
                <w:color w:val="000000"/>
                <w:spacing w:val="0"/>
                <w:lang w:val="es-MX" w:eastAsia="es-MX"/>
              </w:rPr>
              <w:t>13</w:t>
            </w:r>
          </w:p>
        </w:tc>
      </w:tr>
      <w:tr w:rsidR="00307567" w:rsidRPr="002F7D5C" w14:paraId="55390400" w14:textId="77777777" w:rsidTr="00CB34E2">
        <w:trPr>
          <w:trHeight w:val="300"/>
          <w:jc w:val="center"/>
        </w:trPr>
        <w:tc>
          <w:tcPr>
            <w:tcW w:w="933" w:type="dxa"/>
            <w:vMerge/>
            <w:vAlign w:val="center"/>
            <w:hideMark/>
          </w:tcPr>
          <w:p w14:paraId="1675DCDB" w14:textId="77777777" w:rsidR="00307567" w:rsidRPr="002F7D5C" w:rsidRDefault="00307567" w:rsidP="00D22441">
            <w:pPr>
              <w:jc w:val="left"/>
              <w:rPr>
                <w:rFonts w:ascii="Arial Narrow" w:hAnsi="Arial Narrow" w:cs="Arial"/>
                <w:color w:val="000000"/>
                <w:spacing w:val="0"/>
                <w:lang w:val="es-MX" w:eastAsia="es-MX"/>
              </w:rPr>
            </w:pPr>
          </w:p>
        </w:tc>
        <w:tc>
          <w:tcPr>
            <w:tcW w:w="1724" w:type="dxa"/>
            <w:shd w:val="clear" w:color="auto" w:fill="auto"/>
            <w:noWrap/>
            <w:vAlign w:val="center"/>
            <w:hideMark/>
          </w:tcPr>
          <w:p w14:paraId="42A68664" w14:textId="77777777" w:rsidR="00307567" w:rsidRPr="002F7D5C" w:rsidRDefault="00307567" w:rsidP="00D22441">
            <w:pPr>
              <w:jc w:val="left"/>
              <w:rPr>
                <w:rFonts w:ascii="Arial Narrow" w:hAnsi="Arial Narrow" w:cs="Arial"/>
                <w:color w:val="000000"/>
                <w:spacing w:val="0"/>
                <w:lang w:val="es-MX" w:eastAsia="es-MX"/>
              </w:rPr>
            </w:pPr>
            <w:r w:rsidRPr="002F7D5C">
              <w:rPr>
                <w:rFonts w:ascii="Arial Narrow" w:hAnsi="Arial Narrow" w:cs="Arial"/>
                <w:color w:val="000000"/>
                <w:spacing w:val="0"/>
                <w:lang w:val="es-MX" w:eastAsia="es-MX"/>
              </w:rPr>
              <w:t>GLP - Gas por Redes</w:t>
            </w:r>
          </w:p>
        </w:tc>
        <w:tc>
          <w:tcPr>
            <w:tcW w:w="1953" w:type="dxa"/>
            <w:vAlign w:val="center"/>
          </w:tcPr>
          <w:p w14:paraId="412F6916" w14:textId="7807D7D4" w:rsidR="00307567" w:rsidRPr="002F7D5C" w:rsidRDefault="00307567" w:rsidP="00D22441">
            <w:pPr>
              <w:jc w:val="center"/>
              <w:rPr>
                <w:rFonts w:ascii="Arial Narrow" w:hAnsi="Arial Narrow" w:cs="Arial"/>
                <w:color w:val="000000"/>
                <w:spacing w:val="0"/>
                <w:lang w:val="es-MX" w:eastAsia="es-MX"/>
              </w:rPr>
            </w:pPr>
            <w:r w:rsidRPr="002F7D5C">
              <w:rPr>
                <w:rFonts w:ascii="Arial Narrow" w:hAnsi="Arial Narrow" w:cs="Arial"/>
                <w:color w:val="000000"/>
                <w:spacing w:val="0"/>
                <w:lang w:val="es-MX" w:eastAsia="es-MX"/>
              </w:rPr>
              <w:t>188</w:t>
            </w:r>
          </w:p>
        </w:tc>
        <w:tc>
          <w:tcPr>
            <w:tcW w:w="1810" w:type="dxa"/>
            <w:shd w:val="clear" w:color="000000" w:fill="D6DCE4"/>
            <w:vAlign w:val="center"/>
          </w:tcPr>
          <w:p w14:paraId="6CEBEF3A" w14:textId="14455CFD" w:rsidR="00307567" w:rsidRPr="002F7D5C" w:rsidRDefault="00307567" w:rsidP="00D22441">
            <w:pPr>
              <w:jc w:val="center"/>
              <w:rPr>
                <w:rFonts w:ascii="Arial Narrow" w:hAnsi="Arial Narrow" w:cs="Arial"/>
                <w:color w:val="000000"/>
                <w:spacing w:val="0"/>
                <w:lang w:val="es-MX" w:eastAsia="es-MX"/>
              </w:rPr>
            </w:pPr>
            <w:r w:rsidRPr="002F7D5C">
              <w:rPr>
                <w:rFonts w:ascii="Arial Narrow" w:hAnsi="Arial Narrow" w:cs="Arial"/>
                <w:color w:val="000000"/>
                <w:spacing w:val="0"/>
                <w:lang w:val="es-MX" w:eastAsia="es-MX"/>
              </w:rPr>
              <w:t>188</w:t>
            </w:r>
          </w:p>
        </w:tc>
        <w:tc>
          <w:tcPr>
            <w:tcW w:w="1810" w:type="dxa"/>
            <w:shd w:val="clear" w:color="000000" w:fill="D6DCE4"/>
            <w:vAlign w:val="center"/>
          </w:tcPr>
          <w:p w14:paraId="24FA135D" w14:textId="3F459EDA" w:rsidR="00307567" w:rsidRPr="002F7D5C" w:rsidRDefault="00307567" w:rsidP="00D22441">
            <w:pPr>
              <w:jc w:val="center"/>
              <w:rPr>
                <w:rFonts w:ascii="Arial Narrow" w:hAnsi="Arial Narrow" w:cs="Arial"/>
                <w:color w:val="000000"/>
                <w:spacing w:val="0"/>
                <w:lang w:val="es-MX" w:eastAsia="es-MX"/>
              </w:rPr>
            </w:pPr>
            <w:r w:rsidRPr="002F7D5C">
              <w:rPr>
                <w:rFonts w:ascii="Arial Narrow" w:hAnsi="Arial Narrow" w:cs="Arial"/>
                <w:color w:val="000000"/>
                <w:spacing w:val="0"/>
                <w:lang w:val="es-MX" w:eastAsia="es-MX"/>
              </w:rPr>
              <w:t>1</w:t>
            </w:r>
          </w:p>
        </w:tc>
        <w:tc>
          <w:tcPr>
            <w:tcW w:w="1629" w:type="dxa"/>
            <w:shd w:val="clear" w:color="000000" w:fill="D6DCE4"/>
            <w:noWrap/>
            <w:vAlign w:val="center"/>
            <w:hideMark/>
          </w:tcPr>
          <w:p w14:paraId="097E8174" w14:textId="31D4DE7C" w:rsidR="00307567" w:rsidRPr="002F7D5C" w:rsidRDefault="00307567" w:rsidP="00D22441">
            <w:pPr>
              <w:jc w:val="center"/>
              <w:rPr>
                <w:rFonts w:ascii="Arial Narrow" w:hAnsi="Arial Narrow" w:cs="Arial"/>
                <w:color w:val="000000"/>
                <w:spacing w:val="0"/>
                <w:lang w:val="es-MX" w:eastAsia="es-MX"/>
              </w:rPr>
            </w:pPr>
            <w:r w:rsidRPr="002F7D5C">
              <w:rPr>
                <w:rFonts w:ascii="Arial Narrow" w:hAnsi="Arial Narrow" w:cs="Arial"/>
                <w:color w:val="000000"/>
                <w:spacing w:val="0"/>
                <w:lang w:val="es-MX" w:eastAsia="es-MX"/>
              </w:rPr>
              <w:t>189</w:t>
            </w:r>
          </w:p>
        </w:tc>
      </w:tr>
      <w:tr w:rsidR="00307567" w:rsidRPr="002F7D5C" w14:paraId="11F3214D" w14:textId="77777777" w:rsidTr="00CB34E2">
        <w:trPr>
          <w:trHeight w:val="290"/>
          <w:jc w:val="center"/>
        </w:trPr>
        <w:tc>
          <w:tcPr>
            <w:tcW w:w="933" w:type="dxa"/>
            <w:vMerge w:val="restart"/>
            <w:shd w:val="clear" w:color="auto" w:fill="auto"/>
            <w:noWrap/>
            <w:vAlign w:val="center"/>
            <w:hideMark/>
          </w:tcPr>
          <w:p w14:paraId="075B4B12" w14:textId="77777777" w:rsidR="00307567" w:rsidRPr="002F7D5C" w:rsidRDefault="00307567" w:rsidP="00D22441">
            <w:pPr>
              <w:jc w:val="center"/>
              <w:rPr>
                <w:rFonts w:ascii="Arial Narrow" w:hAnsi="Arial Narrow" w:cs="Arial"/>
                <w:color w:val="000000"/>
                <w:spacing w:val="0"/>
                <w:lang w:val="es-MX" w:eastAsia="es-MX"/>
              </w:rPr>
            </w:pPr>
            <w:r w:rsidRPr="002F7D5C">
              <w:rPr>
                <w:rFonts w:ascii="Arial Narrow" w:hAnsi="Arial Narrow" w:cs="Arial"/>
                <w:color w:val="000000"/>
                <w:spacing w:val="0"/>
                <w:lang w:val="es-MX" w:eastAsia="es-MX"/>
              </w:rPr>
              <w:t>Delegada AAA</w:t>
            </w:r>
          </w:p>
        </w:tc>
        <w:tc>
          <w:tcPr>
            <w:tcW w:w="1724" w:type="dxa"/>
            <w:shd w:val="clear" w:color="auto" w:fill="auto"/>
            <w:noWrap/>
            <w:vAlign w:val="center"/>
            <w:hideMark/>
          </w:tcPr>
          <w:p w14:paraId="545BA790" w14:textId="77777777" w:rsidR="00307567" w:rsidRPr="002F7D5C" w:rsidRDefault="00307567" w:rsidP="00D22441">
            <w:pPr>
              <w:jc w:val="left"/>
              <w:rPr>
                <w:rFonts w:ascii="Arial Narrow" w:hAnsi="Arial Narrow" w:cs="Arial"/>
                <w:color w:val="000000"/>
                <w:spacing w:val="0"/>
                <w:lang w:val="es-MX" w:eastAsia="es-MX"/>
              </w:rPr>
            </w:pPr>
            <w:r w:rsidRPr="002F7D5C">
              <w:rPr>
                <w:rFonts w:ascii="Arial Narrow" w:hAnsi="Arial Narrow" w:cs="Arial"/>
                <w:color w:val="000000"/>
                <w:spacing w:val="0"/>
                <w:lang w:val="es-MX" w:eastAsia="es-MX"/>
              </w:rPr>
              <w:t>Aprovechamiento</w:t>
            </w:r>
          </w:p>
        </w:tc>
        <w:tc>
          <w:tcPr>
            <w:tcW w:w="1953" w:type="dxa"/>
            <w:vAlign w:val="center"/>
          </w:tcPr>
          <w:p w14:paraId="242DC251" w14:textId="5FEFC9AA" w:rsidR="00307567" w:rsidRPr="002F7D5C" w:rsidRDefault="00307567" w:rsidP="00D22441">
            <w:pPr>
              <w:jc w:val="center"/>
              <w:rPr>
                <w:rFonts w:ascii="Arial Narrow" w:hAnsi="Arial Narrow" w:cs="Arial"/>
                <w:color w:val="000000"/>
                <w:spacing w:val="0"/>
                <w:lang w:val="es-MX" w:eastAsia="es-MX"/>
              </w:rPr>
            </w:pPr>
            <w:r w:rsidRPr="002F7D5C">
              <w:rPr>
                <w:rFonts w:ascii="Arial Narrow" w:hAnsi="Arial Narrow" w:cs="Arial"/>
                <w:color w:val="000000"/>
                <w:spacing w:val="0"/>
                <w:lang w:val="es-MX" w:eastAsia="es-MX"/>
              </w:rPr>
              <w:t>402</w:t>
            </w:r>
          </w:p>
        </w:tc>
        <w:tc>
          <w:tcPr>
            <w:tcW w:w="1810" w:type="dxa"/>
            <w:shd w:val="clear" w:color="000000" w:fill="D6DCE4"/>
            <w:vAlign w:val="center"/>
          </w:tcPr>
          <w:p w14:paraId="05DBC07F" w14:textId="742FEF0D" w:rsidR="00307567" w:rsidRPr="002F7D5C" w:rsidRDefault="00307567" w:rsidP="00D22441">
            <w:pPr>
              <w:jc w:val="center"/>
              <w:rPr>
                <w:rFonts w:ascii="Arial Narrow" w:hAnsi="Arial Narrow" w:cs="Arial"/>
                <w:color w:val="000000"/>
                <w:spacing w:val="0"/>
                <w:lang w:val="es-MX" w:eastAsia="es-MX"/>
              </w:rPr>
            </w:pPr>
            <w:r w:rsidRPr="002F7D5C">
              <w:rPr>
                <w:rFonts w:ascii="Arial Narrow" w:hAnsi="Arial Narrow" w:cs="Arial"/>
                <w:color w:val="000000"/>
                <w:spacing w:val="0"/>
                <w:lang w:val="es-MX" w:eastAsia="es-MX"/>
              </w:rPr>
              <w:t>N/A</w:t>
            </w:r>
          </w:p>
        </w:tc>
        <w:tc>
          <w:tcPr>
            <w:tcW w:w="1810" w:type="dxa"/>
            <w:shd w:val="clear" w:color="000000" w:fill="D6DCE4"/>
            <w:vAlign w:val="center"/>
          </w:tcPr>
          <w:p w14:paraId="527CFAC7" w14:textId="238A25E0" w:rsidR="00307567" w:rsidRPr="002F7D5C" w:rsidRDefault="00307567" w:rsidP="00D22441">
            <w:pPr>
              <w:jc w:val="center"/>
              <w:rPr>
                <w:rFonts w:ascii="Arial Narrow" w:hAnsi="Arial Narrow" w:cs="Arial"/>
                <w:color w:val="000000"/>
                <w:spacing w:val="0"/>
                <w:lang w:val="es-MX" w:eastAsia="es-MX"/>
              </w:rPr>
            </w:pPr>
            <w:r w:rsidRPr="002F7D5C">
              <w:rPr>
                <w:rFonts w:ascii="Arial Narrow" w:hAnsi="Arial Narrow" w:cs="Arial"/>
                <w:color w:val="000000"/>
                <w:spacing w:val="0"/>
                <w:lang w:val="es-MX" w:eastAsia="es-MX"/>
              </w:rPr>
              <w:t>N/A</w:t>
            </w:r>
          </w:p>
        </w:tc>
        <w:tc>
          <w:tcPr>
            <w:tcW w:w="1629" w:type="dxa"/>
            <w:shd w:val="clear" w:color="000000" w:fill="D6DCE4"/>
            <w:noWrap/>
            <w:vAlign w:val="center"/>
            <w:hideMark/>
          </w:tcPr>
          <w:p w14:paraId="5B3817BA" w14:textId="5DF31BC3" w:rsidR="00307567" w:rsidRPr="002F7D5C" w:rsidRDefault="00307567" w:rsidP="00D22441">
            <w:pPr>
              <w:jc w:val="center"/>
              <w:rPr>
                <w:rFonts w:ascii="Arial Narrow" w:hAnsi="Arial Narrow" w:cs="Arial"/>
                <w:color w:val="000000"/>
                <w:spacing w:val="0"/>
                <w:lang w:val="es-MX" w:eastAsia="es-MX"/>
              </w:rPr>
            </w:pPr>
            <w:r w:rsidRPr="002F7D5C">
              <w:rPr>
                <w:rFonts w:ascii="Arial Narrow" w:hAnsi="Arial Narrow" w:cs="Arial"/>
                <w:color w:val="000000"/>
                <w:spacing w:val="0"/>
                <w:lang w:val="es-MX" w:eastAsia="es-MX"/>
              </w:rPr>
              <w:t>N/A</w:t>
            </w:r>
          </w:p>
        </w:tc>
      </w:tr>
      <w:tr w:rsidR="00307567" w:rsidRPr="002F7D5C" w14:paraId="22AEEAE4" w14:textId="77777777" w:rsidTr="00CB34E2">
        <w:trPr>
          <w:trHeight w:val="290"/>
          <w:jc w:val="center"/>
        </w:trPr>
        <w:tc>
          <w:tcPr>
            <w:tcW w:w="933" w:type="dxa"/>
            <w:vMerge/>
            <w:vAlign w:val="center"/>
            <w:hideMark/>
          </w:tcPr>
          <w:p w14:paraId="37513B93" w14:textId="77777777" w:rsidR="00307567" w:rsidRPr="002F7D5C" w:rsidRDefault="00307567" w:rsidP="00D22441">
            <w:pPr>
              <w:jc w:val="left"/>
              <w:rPr>
                <w:rFonts w:ascii="Arial Narrow" w:hAnsi="Arial Narrow" w:cs="Arial"/>
                <w:color w:val="000000"/>
                <w:spacing w:val="0"/>
                <w:lang w:val="es-MX" w:eastAsia="es-MX"/>
              </w:rPr>
            </w:pPr>
          </w:p>
        </w:tc>
        <w:tc>
          <w:tcPr>
            <w:tcW w:w="1724" w:type="dxa"/>
            <w:shd w:val="clear" w:color="auto" w:fill="auto"/>
            <w:noWrap/>
            <w:vAlign w:val="center"/>
            <w:hideMark/>
          </w:tcPr>
          <w:p w14:paraId="42673D82" w14:textId="77777777" w:rsidR="00307567" w:rsidRPr="002F7D5C" w:rsidRDefault="00307567" w:rsidP="00D22441">
            <w:pPr>
              <w:jc w:val="left"/>
              <w:rPr>
                <w:rFonts w:ascii="Arial Narrow" w:hAnsi="Arial Narrow" w:cs="Arial"/>
                <w:color w:val="000000"/>
                <w:spacing w:val="0"/>
                <w:lang w:val="es-MX" w:eastAsia="es-MX"/>
              </w:rPr>
            </w:pPr>
            <w:r w:rsidRPr="002F7D5C">
              <w:rPr>
                <w:rFonts w:ascii="Arial Narrow" w:hAnsi="Arial Narrow" w:cs="Arial"/>
                <w:color w:val="000000"/>
                <w:spacing w:val="0"/>
                <w:lang w:val="es-MX" w:eastAsia="es-MX"/>
              </w:rPr>
              <w:t>Grandes Prestadores</w:t>
            </w:r>
          </w:p>
        </w:tc>
        <w:tc>
          <w:tcPr>
            <w:tcW w:w="1953" w:type="dxa"/>
            <w:vAlign w:val="center"/>
          </w:tcPr>
          <w:p w14:paraId="3A182480" w14:textId="0D185D19" w:rsidR="00307567" w:rsidRPr="002F7D5C" w:rsidRDefault="00307567" w:rsidP="00D22441">
            <w:pPr>
              <w:jc w:val="center"/>
              <w:rPr>
                <w:rFonts w:ascii="Arial Narrow" w:hAnsi="Arial Narrow" w:cs="Arial"/>
                <w:color w:val="000000"/>
                <w:spacing w:val="0"/>
                <w:lang w:val="es-MX" w:eastAsia="es-MX"/>
              </w:rPr>
            </w:pPr>
            <w:r w:rsidRPr="002F7D5C">
              <w:rPr>
                <w:rFonts w:ascii="Arial Narrow" w:hAnsi="Arial Narrow" w:cs="Arial"/>
                <w:color w:val="000000"/>
                <w:spacing w:val="0"/>
                <w:lang w:val="es-MX" w:eastAsia="es-MX"/>
              </w:rPr>
              <w:t>526</w:t>
            </w:r>
          </w:p>
        </w:tc>
        <w:tc>
          <w:tcPr>
            <w:tcW w:w="1810" w:type="dxa"/>
            <w:shd w:val="clear" w:color="000000" w:fill="D6DCE4"/>
            <w:vAlign w:val="center"/>
          </w:tcPr>
          <w:p w14:paraId="1455F213" w14:textId="6DF2C087" w:rsidR="00307567" w:rsidRPr="002F7D5C" w:rsidRDefault="00307567" w:rsidP="00D22441">
            <w:pPr>
              <w:jc w:val="center"/>
              <w:rPr>
                <w:rFonts w:ascii="Arial Narrow" w:hAnsi="Arial Narrow" w:cs="Arial"/>
                <w:color w:val="000000"/>
                <w:spacing w:val="0"/>
                <w:lang w:val="es-MX" w:eastAsia="es-MX"/>
              </w:rPr>
            </w:pPr>
            <w:r w:rsidRPr="002F7D5C">
              <w:rPr>
                <w:rFonts w:ascii="Arial Narrow" w:hAnsi="Arial Narrow" w:cs="Arial"/>
                <w:color w:val="000000"/>
                <w:spacing w:val="0"/>
                <w:lang w:val="es-MX" w:eastAsia="es-MX"/>
              </w:rPr>
              <w:t>N/A</w:t>
            </w:r>
          </w:p>
        </w:tc>
        <w:tc>
          <w:tcPr>
            <w:tcW w:w="1810" w:type="dxa"/>
            <w:shd w:val="clear" w:color="000000" w:fill="D6DCE4"/>
            <w:vAlign w:val="center"/>
          </w:tcPr>
          <w:p w14:paraId="404F645E" w14:textId="088C95A8" w:rsidR="00307567" w:rsidRPr="002F7D5C" w:rsidRDefault="00307567" w:rsidP="00D22441">
            <w:pPr>
              <w:jc w:val="center"/>
              <w:rPr>
                <w:rFonts w:ascii="Arial Narrow" w:hAnsi="Arial Narrow" w:cs="Arial"/>
                <w:color w:val="000000"/>
                <w:spacing w:val="0"/>
                <w:lang w:val="es-MX" w:eastAsia="es-MX"/>
              </w:rPr>
            </w:pPr>
            <w:r w:rsidRPr="002F7D5C">
              <w:rPr>
                <w:rFonts w:ascii="Arial Narrow" w:hAnsi="Arial Narrow" w:cs="Arial"/>
                <w:color w:val="000000"/>
                <w:spacing w:val="0"/>
                <w:lang w:val="es-MX" w:eastAsia="es-MX"/>
              </w:rPr>
              <w:t>N/A</w:t>
            </w:r>
          </w:p>
        </w:tc>
        <w:tc>
          <w:tcPr>
            <w:tcW w:w="1629" w:type="dxa"/>
            <w:shd w:val="clear" w:color="000000" w:fill="D6DCE4"/>
            <w:noWrap/>
            <w:vAlign w:val="center"/>
            <w:hideMark/>
          </w:tcPr>
          <w:p w14:paraId="0DAF8C88" w14:textId="7E3487EC" w:rsidR="00307567" w:rsidRPr="002F7D5C" w:rsidRDefault="00307567" w:rsidP="00D22441">
            <w:pPr>
              <w:jc w:val="center"/>
              <w:rPr>
                <w:rFonts w:ascii="Arial Narrow" w:hAnsi="Arial Narrow" w:cs="Arial"/>
                <w:color w:val="000000"/>
                <w:spacing w:val="0"/>
                <w:lang w:val="es-MX" w:eastAsia="es-MX"/>
              </w:rPr>
            </w:pPr>
            <w:r w:rsidRPr="002F7D5C">
              <w:rPr>
                <w:rFonts w:ascii="Arial Narrow" w:hAnsi="Arial Narrow" w:cs="Arial"/>
                <w:color w:val="000000"/>
                <w:spacing w:val="0"/>
                <w:lang w:val="es-MX" w:eastAsia="es-MX"/>
              </w:rPr>
              <w:t>N/A</w:t>
            </w:r>
          </w:p>
        </w:tc>
      </w:tr>
      <w:tr w:rsidR="00307567" w:rsidRPr="002F7D5C" w14:paraId="7F0E97AF" w14:textId="77777777" w:rsidTr="00CB34E2">
        <w:trPr>
          <w:trHeight w:val="300"/>
          <w:jc w:val="center"/>
        </w:trPr>
        <w:tc>
          <w:tcPr>
            <w:tcW w:w="933" w:type="dxa"/>
            <w:vMerge/>
            <w:vAlign w:val="center"/>
            <w:hideMark/>
          </w:tcPr>
          <w:p w14:paraId="2B75EA1F" w14:textId="77777777" w:rsidR="00307567" w:rsidRPr="002F7D5C" w:rsidRDefault="00307567" w:rsidP="00D22441">
            <w:pPr>
              <w:jc w:val="left"/>
              <w:rPr>
                <w:rFonts w:ascii="Arial Narrow" w:hAnsi="Arial Narrow" w:cs="Arial"/>
                <w:color w:val="000000"/>
                <w:spacing w:val="0"/>
                <w:lang w:val="es-MX" w:eastAsia="es-MX"/>
              </w:rPr>
            </w:pPr>
          </w:p>
        </w:tc>
        <w:tc>
          <w:tcPr>
            <w:tcW w:w="1724" w:type="dxa"/>
            <w:shd w:val="clear" w:color="auto" w:fill="auto"/>
            <w:noWrap/>
            <w:vAlign w:val="center"/>
            <w:hideMark/>
          </w:tcPr>
          <w:p w14:paraId="65A37110" w14:textId="77777777" w:rsidR="00307567" w:rsidRPr="002F7D5C" w:rsidRDefault="00307567" w:rsidP="00D22441">
            <w:pPr>
              <w:jc w:val="left"/>
              <w:rPr>
                <w:rFonts w:ascii="Arial Narrow" w:hAnsi="Arial Narrow" w:cs="Arial"/>
                <w:color w:val="000000"/>
                <w:spacing w:val="0"/>
                <w:lang w:val="es-MX" w:eastAsia="es-MX"/>
              </w:rPr>
            </w:pPr>
            <w:r w:rsidRPr="002F7D5C">
              <w:rPr>
                <w:rFonts w:ascii="Arial Narrow" w:hAnsi="Arial Narrow" w:cs="Arial"/>
                <w:color w:val="000000"/>
                <w:spacing w:val="0"/>
                <w:lang w:val="es-MX" w:eastAsia="es-MX"/>
              </w:rPr>
              <w:t>Pequeños Prestadores</w:t>
            </w:r>
          </w:p>
        </w:tc>
        <w:tc>
          <w:tcPr>
            <w:tcW w:w="1953" w:type="dxa"/>
            <w:vAlign w:val="center"/>
          </w:tcPr>
          <w:p w14:paraId="0AD4AA98" w14:textId="7AB82F7E" w:rsidR="00307567" w:rsidRPr="002F7D5C" w:rsidRDefault="00307567" w:rsidP="00D22441">
            <w:pPr>
              <w:jc w:val="center"/>
              <w:rPr>
                <w:rFonts w:ascii="Arial Narrow" w:hAnsi="Arial Narrow" w:cs="Arial"/>
                <w:color w:val="000000"/>
                <w:spacing w:val="0"/>
                <w:lang w:val="es-MX" w:eastAsia="es-MX"/>
              </w:rPr>
            </w:pPr>
            <w:r w:rsidRPr="002F7D5C">
              <w:rPr>
                <w:rFonts w:ascii="Arial Narrow" w:hAnsi="Arial Narrow" w:cs="Arial"/>
                <w:color w:val="000000"/>
                <w:spacing w:val="0"/>
                <w:lang w:val="es-MX" w:eastAsia="es-MX"/>
              </w:rPr>
              <w:t>2488</w:t>
            </w:r>
          </w:p>
        </w:tc>
        <w:tc>
          <w:tcPr>
            <w:tcW w:w="1810" w:type="dxa"/>
            <w:shd w:val="clear" w:color="000000" w:fill="D6DCE4"/>
            <w:vAlign w:val="center"/>
          </w:tcPr>
          <w:p w14:paraId="20F989D2" w14:textId="14D0F029" w:rsidR="00307567" w:rsidRPr="002F7D5C" w:rsidRDefault="00307567" w:rsidP="00D22441">
            <w:pPr>
              <w:jc w:val="center"/>
              <w:rPr>
                <w:rFonts w:ascii="Arial Narrow" w:hAnsi="Arial Narrow" w:cs="Arial"/>
                <w:color w:val="000000"/>
                <w:spacing w:val="0"/>
                <w:lang w:val="es-MX" w:eastAsia="es-MX"/>
              </w:rPr>
            </w:pPr>
            <w:r w:rsidRPr="002F7D5C">
              <w:rPr>
                <w:rFonts w:ascii="Arial Narrow" w:hAnsi="Arial Narrow" w:cs="Arial"/>
                <w:color w:val="000000"/>
                <w:spacing w:val="0"/>
                <w:lang w:val="es-MX" w:eastAsia="es-MX"/>
              </w:rPr>
              <w:t>N/A</w:t>
            </w:r>
          </w:p>
        </w:tc>
        <w:tc>
          <w:tcPr>
            <w:tcW w:w="1810" w:type="dxa"/>
            <w:shd w:val="clear" w:color="000000" w:fill="D6DCE4"/>
            <w:vAlign w:val="center"/>
          </w:tcPr>
          <w:p w14:paraId="1CA6D989" w14:textId="1BC6495F" w:rsidR="00307567" w:rsidRPr="002F7D5C" w:rsidRDefault="00307567" w:rsidP="00D22441">
            <w:pPr>
              <w:jc w:val="center"/>
              <w:rPr>
                <w:rFonts w:ascii="Arial Narrow" w:hAnsi="Arial Narrow" w:cs="Arial"/>
                <w:color w:val="000000"/>
                <w:spacing w:val="0"/>
                <w:lang w:val="es-MX" w:eastAsia="es-MX"/>
              </w:rPr>
            </w:pPr>
            <w:r w:rsidRPr="002F7D5C">
              <w:rPr>
                <w:rFonts w:ascii="Arial Narrow" w:hAnsi="Arial Narrow" w:cs="Arial"/>
                <w:color w:val="000000"/>
                <w:spacing w:val="0"/>
                <w:lang w:val="es-MX" w:eastAsia="es-MX"/>
              </w:rPr>
              <w:t>N/A</w:t>
            </w:r>
          </w:p>
        </w:tc>
        <w:tc>
          <w:tcPr>
            <w:tcW w:w="1629" w:type="dxa"/>
            <w:shd w:val="clear" w:color="000000" w:fill="D6DCE4"/>
            <w:noWrap/>
            <w:vAlign w:val="center"/>
            <w:hideMark/>
          </w:tcPr>
          <w:p w14:paraId="4A356FCB" w14:textId="72E37FB3" w:rsidR="00307567" w:rsidRPr="002F7D5C" w:rsidRDefault="00307567" w:rsidP="00D22441">
            <w:pPr>
              <w:jc w:val="center"/>
              <w:rPr>
                <w:rFonts w:ascii="Arial Narrow" w:hAnsi="Arial Narrow" w:cs="Arial"/>
                <w:color w:val="000000"/>
                <w:spacing w:val="0"/>
                <w:lang w:val="es-MX" w:eastAsia="es-MX"/>
              </w:rPr>
            </w:pPr>
            <w:r w:rsidRPr="002F7D5C">
              <w:rPr>
                <w:rFonts w:ascii="Arial Narrow" w:hAnsi="Arial Narrow" w:cs="Arial"/>
                <w:color w:val="000000"/>
                <w:spacing w:val="0"/>
                <w:lang w:val="es-MX" w:eastAsia="es-MX"/>
              </w:rPr>
              <w:t>N/A</w:t>
            </w:r>
          </w:p>
        </w:tc>
      </w:tr>
      <w:tr w:rsidR="00307567" w:rsidRPr="002F7D5C" w14:paraId="5CBF63E9" w14:textId="7F28E9A8" w:rsidTr="00CB34E2">
        <w:trPr>
          <w:trHeight w:val="300"/>
          <w:jc w:val="center"/>
        </w:trPr>
        <w:tc>
          <w:tcPr>
            <w:tcW w:w="2657" w:type="dxa"/>
            <w:gridSpan w:val="2"/>
            <w:shd w:val="clear" w:color="auto" w:fill="auto"/>
            <w:noWrap/>
            <w:vAlign w:val="center"/>
            <w:hideMark/>
          </w:tcPr>
          <w:p w14:paraId="6DDE05B7" w14:textId="77777777" w:rsidR="00307567" w:rsidRPr="002F7D5C" w:rsidRDefault="00307567" w:rsidP="00D22441">
            <w:pPr>
              <w:jc w:val="center"/>
              <w:rPr>
                <w:rFonts w:ascii="Arial Narrow" w:hAnsi="Arial Narrow" w:cs="Arial"/>
                <w:color w:val="000000"/>
                <w:spacing w:val="0"/>
                <w:lang w:val="es-MX" w:eastAsia="es-MX"/>
              </w:rPr>
            </w:pPr>
            <w:r w:rsidRPr="002F7D5C">
              <w:rPr>
                <w:rFonts w:ascii="Arial Narrow" w:hAnsi="Arial Narrow" w:cs="Arial"/>
                <w:color w:val="000000"/>
                <w:spacing w:val="0"/>
                <w:lang w:val="es-MX" w:eastAsia="es-MX"/>
              </w:rPr>
              <w:t>MULTISERVICIOS</w:t>
            </w:r>
          </w:p>
        </w:tc>
        <w:tc>
          <w:tcPr>
            <w:tcW w:w="1953" w:type="dxa"/>
            <w:shd w:val="clear" w:color="000000" w:fill="D6DCE4"/>
            <w:noWrap/>
            <w:vAlign w:val="center"/>
            <w:hideMark/>
          </w:tcPr>
          <w:p w14:paraId="798E221B" w14:textId="10DBBF41" w:rsidR="00307567" w:rsidRPr="002F7D5C" w:rsidRDefault="00307567" w:rsidP="00D22441">
            <w:pPr>
              <w:jc w:val="center"/>
              <w:rPr>
                <w:rFonts w:ascii="Arial Narrow" w:hAnsi="Arial Narrow" w:cs="Arial"/>
                <w:color w:val="000000"/>
                <w:spacing w:val="0"/>
                <w:lang w:val="es-MX" w:eastAsia="es-MX"/>
              </w:rPr>
            </w:pPr>
            <w:r w:rsidRPr="002F7D5C">
              <w:rPr>
                <w:rFonts w:ascii="Arial Narrow" w:hAnsi="Arial Narrow" w:cs="Arial"/>
                <w:color w:val="000000"/>
                <w:spacing w:val="0"/>
                <w:lang w:val="es-MX" w:eastAsia="es-MX"/>
              </w:rPr>
              <w:t>26</w:t>
            </w:r>
          </w:p>
        </w:tc>
        <w:tc>
          <w:tcPr>
            <w:tcW w:w="1810" w:type="dxa"/>
            <w:shd w:val="clear" w:color="000000" w:fill="D6DCE4"/>
            <w:vAlign w:val="center"/>
          </w:tcPr>
          <w:p w14:paraId="72D87CD4" w14:textId="3E67BF31" w:rsidR="00307567" w:rsidRPr="002F7D5C" w:rsidRDefault="003F261F" w:rsidP="00D22441">
            <w:pPr>
              <w:jc w:val="center"/>
              <w:rPr>
                <w:rFonts w:ascii="Arial Narrow" w:hAnsi="Arial Narrow" w:cs="Arial"/>
                <w:color w:val="000000"/>
                <w:spacing w:val="0"/>
                <w:lang w:val="es-MX" w:eastAsia="es-MX"/>
              </w:rPr>
            </w:pPr>
            <w:r w:rsidRPr="002F7D5C">
              <w:rPr>
                <w:rFonts w:ascii="Arial Narrow" w:hAnsi="Arial Narrow" w:cs="Arial"/>
                <w:color w:val="000000"/>
                <w:spacing w:val="0"/>
                <w:lang w:val="es-MX" w:eastAsia="es-MX"/>
              </w:rPr>
              <w:t xml:space="preserve">26 + 1 </w:t>
            </w:r>
            <w:r w:rsidRPr="002F7D5C">
              <w:rPr>
                <w:rStyle w:val="Refdenotaalpie"/>
                <w:rFonts w:ascii="Arial Narrow" w:hAnsi="Arial Narrow" w:cs="Arial"/>
                <w:color w:val="000000"/>
                <w:spacing w:val="0"/>
                <w:lang w:eastAsia="es-MX"/>
              </w:rPr>
              <w:footnoteReference w:id="25"/>
            </w:r>
          </w:p>
        </w:tc>
        <w:tc>
          <w:tcPr>
            <w:tcW w:w="1810" w:type="dxa"/>
            <w:shd w:val="clear" w:color="000000" w:fill="D6DCE4"/>
            <w:vAlign w:val="center"/>
          </w:tcPr>
          <w:p w14:paraId="33F2DB9E" w14:textId="3BD844E9" w:rsidR="00307567" w:rsidRPr="002F7D5C" w:rsidRDefault="00307567" w:rsidP="00D22441">
            <w:pPr>
              <w:jc w:val="center"/>
              <w:rPr>
                <w:rFonts w:ascii="Arial Narrow" w:hAnsi="Arial Narrow" w:cs="Arial"/>
                <w:color w:val="000000"/>
                <w:spacing w:val="0"/>
                <w:lang w:val="es-MX" w:eastAsia="es-MX"/>
              </w:rPr>
            </w:pPr>
            <w:r w:rsidRPr="002F7D5C">
              <w:rPr>
                <w:rFonts w:ascii="Arial Narrow" w:hAnsi="Arial Narrow" w:cs="Arial"/>
                <w:color w:val="000000"/>
                <w:spacing w:val="0"/>
                <w:lang w:val="es-MX" w:eastAsia="es-MX"/>
              </w:rPr>
              <w:t>0</w:t>
            </w:r>
          </w:p>
        </w:tc>
        <w:tc>
          <w:tcPr>
            <w:tcW w:w="1629" w:type="dxa"/>
            <w:shd w:val="clear" w:color="000000" w:fill="D6DCE4"/>
            <w:vAlign w:val="center"/>
          </w:tcPr>
          <w:p w14:paraId="5F98C947" w14:textId="45BD9B4F" w:rsidR="00307567" w:rsidRPr="002F7D5C" w:rsidRDefault="003F261F" w:rsidP="00D22441">
            <w:pPr>
              <w:jc w:val="center"/>
              <w:rPr>
                <w:rFonts w:ascii="Arial Narrow" w:hAnsi="Arial Narrow" w:cs="Arial"/>
                <w:color w:val="000000"/>
                <w:spacing w:val="0"/>
                <w:lang w:val="es-MX" w:eastAsia="es-MX"/>
              </w:rPr>
            </w:pPr>
            <w:r w:rsidRPr="002F7D5C">
              <w:rPr>
                <w:rFonts w:ascii="Arial Narrow" w:hAnsi="Arial Narrow" w:cs="Arial"/>
                <w:color w:val="000000"/>
                <w:spacing w:val="0"/>
                <w:lang w:val="es-MX" w:eastAsia="es-MX"/>
              </w:rPr>
              <w:t>27</w:t>
            </w:r>
          </w:p>
        </w:tc>
      </w:tr>
      <w:tr w:rsidR="00307567" w:rsidRPr="002F7D5C" w14:paraId="780335DE" w14:textId="1CDFFB7D" w:rsidTr="00CB34E2">
        <w:trPr>
          <w:trHeight w:val="307"/>
          <w:jc w:val="center"/>
        </w:trPr>
        <w:tc>
          <w:tcPr>
            <w:tcW w:w="2657" w:type="dxa"/>
            <w:gridSpan w:val="2"/>
            <w:shd w:val="clear" w:color="auto" w:fill="F2F2F2" w:themeFill="background1" w:themeFillShade="F2"/>
            <w:noWrap/>
            <w:vAlign w:val="center"/>
            <w:hideMark/>
          </w:tcPr>
          <w:p w14:paraId="3568D675" w14:textId="77777777" w:rsidR="00307567" w:rsidRPr="002F7D5C" w:rsidRDefault="00307567" w:rsidP="00D22441">
            <w:pPr>
              <w:jc w:val="center"/>
              <w:rPr>
                <w:rFonts w:ascii="Arial Narrow" w:hAnsi="Arial Narrow" w:cs="Arial"/>
                <w:b/>
                <w:bCs/>
                <w:spacing w:val="0"/>
                <w:lang w:val="es-MX" w:eastAsia="es-MX"/>
              </w:rPr>
            </w:pPr>
            <w:proofErr w:type="gramStart"/>
            <w:r w:rsidRPr="002F7D5C">
              <w:rPr>
                <w:rFonts w:ascii="Arial Narrow" w:hAnsi="Arial Narrow" w:cs="Arial"/>
                <w:b/>
                <w:bCs/>
                <w:spacing w:val="0"/>
                <w:lang w:val="es-MX" w:eastAsia="es-MX"/>
              </w:rPr>
              <w:t>Total</w:t>
            </w:r>
            <w:proofErr w:type="gramEnd"/>
            <w:r w:rsidRPr="002F7D5C">
              <w:rPr>
                <w:rFonts w:ascii="Arial Narrow" w:hAnsi="Arial Narrow" w:cs="Arial"/>
                <w:b/>
                <w:bCs/>
                <w:spacing w:val="0"/>
                <w:lang w:val="es-MX" w:eastAsia="es-MX"/>
              </w:rPr>
              <w:t xml:space="preserve"> Prestadores</w:t>
            </w:r>
          </w:p>
        </w:tc>
        <w:tc>
          <w:tcPr>
            <w:tcW w:w="1953" w:type="dxa"/>
            <w:shd w:val="clear" w:color="auto" w:fill="F2F2F2" w:themeFill="background1" w:themeFillShade="F2"/>
            <w:noWrap/>
            <w:vAlign w:val="center"/>
            <w:hideMark/>
          </w:tcPr>
          <w:p w14:paraId="11F8272A" w14:textId="77777777" w:rsidR="00307567" w:rsidRPr="002F7D5C" w:rsidRDefault="00307567" w:rsidP="00D22441">
            <w:pPr>
              <w:jc w:val="center"/>
              <w:rPr>
                <w:rFonts w:ascii="Arial Narrow" w:hAnsi="Arial Narrow" w:cs="Arial"/>
                <w:b/>
                <w:bCs/>
                <w:spacing w:val="0"/>
                <w:lang w:val="es-MX" w:eastAsia="es-MX"/>
              </w:rPr>
            </w:pPr>
            <w:r w:rsidRPr="002F7D5C">
              <w:rPr>
                <w:rFonts w:ascii="Arial Narrow" w:hAnsi="Arial Narrow" w:cs="Arial"/>
                <w:b/>
                <w:bCs/>
                <w:spacing w:val="0"/>
                <w:lang w:val="es-MX" w:eastAsia="es-MX"/>
              </w:rPr>
              <w:t>3901</w:t>
            </w:r>
          </w:p>
        </w:tc>
        <w:tc>
          <w:tcPr>
            <w:tcW w:w="1810" w:type="dxa"/>
            <w:shd w:val="clear" w:color="auto" w:fill="F2F2F2" w:themeFill="background1" w:themeFillShade="F2"/>
            <w:vAlign w:val="center"/>
          </w:tcPr>
          <w:p w14:paraId="697C3B34" w14:textId="2C27A1BF" w:rsidR="00307567" w:rsidRPr="002F7D5C" w:rsidRDefault="00AF76DF" w:rsidP="00D22441">
            <w:pPr>
              <w:jc w:val="center"/>
              <w:rPr>
                <w:rFonts w:ascii="Arial Narrow" w:hAnsi="Arial Narrow" w:cs="Arial"/>
                <w:b/>
                <w:bCs/>
                <w:spacing w:val="0"/>
                <w:lang w:val="es-MX" w:eastAsia="es-MX"/>
              </w:rPr>
            </w:pPr>
            <w:r w:rsidRPr="002F7D5C">
              <w:rPr>
                <w:rFonts w:ascii="Arial Narrow" w:hAnsi="Arial Narrow" w:cs="Arial"/>
                <w:b/>
                <w:bCs/>
                <w:spacing w:val="0"/>
                <w:lang w:val="es-MX" w:eastAsia="es-MX"/>
              </w:rPr>
              <w:t>48</w:t>
            </w:r>
            <w:r w:rsidR="007B01F5" w:rsidRPr="002F7D5C">
              <w:rPr>
                <w:rFonts w:ascii="Arial Narrow" w:hAnsi="Arial Narrow" w:cs="Arial"/>
                <w:b/>
                <w:bCs/>
                <w:spacing w:val="0"/>
                <w:lang w:val="es-MX" w:eastAsia="es-MX"/>
              </w:rPr>
              <w:t>6</w:t>
            </w:r>
          </w:p>
        </w:tc>
        <w:tc>
          <w:tcPr>
            <w:tcW w:w="1810" w:type="dxa"/>
            <w:shd w:val="clear" w:color="auto" w:fill="F2F2F2" w:themeFill="background1" w:themeFillShade="F2"/>
            <w:vAlign w:val="center"/>
          </w:tcPr>
          <w:p w14:paraId="25F57255" w14:textId="1006A1DC" w:rsidR="00307567" w:rsidRPr="002F7D5C" w:rsidRDefault="00307567" w:rsidP="00D22441">
            <w:pPr>
              <w:jc w:val="center"/>
              <w:rPr>
                <w:rFonts w:ascii="Arial Narrow" w:hAnsi="Arial Narrow" w:cs="Arial"/>
                <w:b/>
                <w:bCs/>
                <w:spacing w:val="0"/>
                <w:lang w:val="es-MX" w:eastAsia="es-MX"/>
              </w:rPr>
            </w:pPr>
            <w:r w:rsidRPr="002F7D5C">
              <w:rPr>
                <w:rFonts w:ascii="Arial Narrow" w:hAnsi="Arial Narrow" w:cs="Arial"/>
                <w:b/>
                <w:bCs/>
                <w:spacing w:val="0"/>
                <w:lang w:val="es-MX" w:eastAsia="es-MX"/>
              </w:rPr>
              <w:t>7</w:t>
            </w:r>
          </w:p>
        </w:tc>
        <w:tc>
          <w:tcPr>
            <w:tcW w:w="1629" w:type="dxa"/>
            <w:shd w:val="clear" w:color="auto" w:fill="F2F2F2" w:themeFill="background1" w:themeFillShade="F2"/>
            <w:vAlign w:val="center"/>
          </w:tcPr>
          <w:p w14:paraId="57BFB530" w14:textId="23DC9646" w:rsidR="00307567" w:rsidRPr="002F7D5C" w:rsidRDefault="00307567" w:rsidP="00D22441">
            <w:pPr>
              <w:jc w:val="center"/>
              <w:rPr>
                <w:rFonts w:ascii="Arial Narrow" w:hAnsi="Arial Narrow" w:cs="Arial"/>
                <w:b/>
                <w:bCs/>
                <w:spacing w:val="0"/>
                <w:lang w:val="es-MX" w:eastAsia="es-MX"/>
              </w:rPr>
            </w:pPr>
            <w:r w:rsidRPr="002F7D5C">
              <w:rPr>
                <w:rFonts w:ascii="Arial Narrow" w:hAnsi="Arial Narrow" w:cs="Arial"/>
                <w:b/>
                <w:bCs/>
                <w:spacing w:val="0"/>
                <w:lang w:val="es-MX" w:eastAsia="es-MX"/>
              </w:rPr>
              <w:t>493</w:t>
            </w:r>
          </w:p>
        </w:tc>
      </w:tr>
    </w:tbl>
    <w:p w14:paraId="30778AEB" w14:textId="77777777" w:rsidR="000343A2" w:rsidRDefault="000343A2" w:rsidP="00D22441">
      <w:pPr>
        <w:pStyle w:val="Textoindependiente"/>
        <w:spacing w:after="0" w:line="240" w:lineRule="auto"/>
        <w:ind w:right="142"/>
        <w:rPr>
          <w:rFonts w:cs="Arial"/>
          <w:sz w:val="22"/>
          <w:szCs w:val="22"/>
        </w:rPr>
      </w:pPr>
    </w:p>
    <w:p w14:paraId="693D5DA6" w14:textId="6C87CAAF" w:rsidR="00EE25D7" w:rsidRPr="00F95853" w:rsidRDefault="00EE25D7" w:rsidP="00D22441">
      <w:pPr>
        <w:pStyle w:val="Textoindependiente"/>
        <w:spacing w:after="0" w:line="240" w:lineRule="auto"/>
        <w:ind w:right="142"/>
        <w:rPr>
          <w:rFonts w:cs="Arial"/>
          <w:sz w:val="22"/>
          <w:szCs w:val="22"/>
        </w:rPr>
      </w:pPr>
      <w:r>
        <w:rPr>
          <w:rFonts w:cs="Arial"/>
          <w:sz w:val="22"/>
          <w:szCs w:val="22"/>
        </w:rPr>
        <w:t xml:space="preserve">Con corte de toma de información al 12 de julio de 2023, de los </w:t>
      </w:r>
      <w:r w:rsidRPr="00F95853">
        <w:rPr>
          <w:rFonts w:cs="Arial"/>
          <w:sz w:val="22"/>
          <w:szCs w:val="22"/>
        </w:rPr>
        <w:t>3.901 prestadores de servicios censados por la SSPD, son del ámbito de regulación de la CREG 493 regulados, 486 de ellos fueron censados por la SSPD y 7 no fueron censados por la SSPD.</w:t>
      </w:r>
    </w:p>
    <w:p w14:paraId="4A434311" w14:textId="77777777" w:rsidR="00EE25D7" w:rsidRDefault="00EE25D7" w:rsidP="00D22441">
      <w:pPr>
        <w:pStyle w:val="Subttulo"/>
        <w:spacing w:after="0"/>
        <w:jc w:val="left"/>
        <w:rPr>
          <w:b/>
          <w:bCs/>
          <w:sz w:val="22"/>
          <w:szCs w:val="22"/>
        </w:rPr>
      </w:pPr>
    </w:p>
    <w:p w14:paraId="2E154919" w14:textId="7F194785" w:rsidR="00C170A0" w:rsidRPr="00BB14CB" w:rsidRDefault="00B51273" w:rsidP="00D22441">
      <w:pPr>
        <w:pStyle w:val="Subttulo"/>
        <w:numPr>
          <w:ilvl w:val="1"/>
          <w:numId w:val="37"/>
        </w:numPr>
        <w:spacing w:after="0"/>
        <w:ind w:left="357" w:hanging="357"/>
        <w:jc w:val="left"/>
        <w:rPr>
          <w:b/>
          <w:bCs/>
          <w:sz w:val="22"/>
          <w:szCs w:val="22"/>
        </w:rPr>
      </w:pPr>
      <w:bookmarkStart w:id="60" w:name="_Toc147154315"/>
      <w:r>
        <w:rPr>
          <w:b/>
          <w:bCs/>
          <w:sz w:val="22"/>
          <w:szCs w:val="22"/>
        </w:rPr>
        <w:t>ESTADO DE REPORTE AL SUI</w:t>
      </w:r>
      <w:r w:rsidR="00261387">
        <w:rPr>
          <w:b/>
          <w:bCs/>
          <w:sz w:val="22"/>
          <w:szCs w:val="22"/>
        </w:rPr>
        <w:t>-SSPD</w:t>
      </w:r>
      <w:r>
        <w:rPr>
          <w:b/>
          <w:bCs/>
          <w:sz w:val="22"/>
          <w:szCs w:val="22"/>
        </w:rPr>
        <w:t xml:space="preserve"> DE</w:t>
      </w:r>
      <w:r w:rsidR="00261387">
        <w:rPr>
          <w:b/>
          <w:bCs/>
          <w:sz w:val="22"/>
          <w:szCs w:val="22"/>
        </w:rPr>
        <w:t xml:space="preserve"> LOS </w:t>
      </w:r>
      <w:r w:rsidR="00DE5B41">
        <w:rPr>
          <w:b/>
          <w:bCs/>
          <w:sz w:val="22"/>
          <w:szCs w:val="22"/>
        </w:rPr>
        <w:t>REGULAD</w:t>
      </w:r>
      <w:r w:rsidR="00261387">
        <w:rPr>
          <w:b/>
          <w:bCs/>
          <w:sz w:val="22"/>
          <w:szCs w:val="22"/>
        </w:rPr>
        <w:t>OS</w:t>
      </w:r>
      <w:r w:rsidR="00DE5B41">
        <w:rPr>
          <w:b/>
          <w:bCs/>
          <w:sz w:val="22"/>
          <w:szCs w:val="22"/>
        </w:rPr>
        <w:t xml:space="preserve"> </w:t>
      </w:r>
      <w:r w:rsidR="00261387">
        <w:rPr>
          <w:b/>
          <w:bCs/>
          <w:sz w:val="22"/>
          <w:szCs w:val="22"/>
        </w:rPr>
        <w:t>DE</w:t>
      </w:r>
      <w:r w:rsidR="00DE5B41">
        <w:rPr>
          <w:b/>
          <w:bCs/>
          <w:sz w:val="22"/>
          <w:szCs w:val="22"/>
        </w:rPr>
        <w:t xml:space="preserve"> </w:t>
      </w:r>
      <w:r w:rsidR="00C170A0">
        <w:rPr>
          <w:b/>
          <w:bCs/>
          <w:sz w:val="22"/>
          <w:szCs w:val="22"/>
        </w:rPr>
        <w:t>LA CREG</w:t>
      </w:r>
      <w:r w:rsidR="00DE5B41">
        <w:rPr>
          <w:b/>
          <w:bCs/>
          <w:sz w:val="22"/>
          <w:szCs w:val="22"/>
        </w:rPr>
        <w:t>.</w:t>
      </w:r>
      <w:bookmarkEnd w:id="60"/>
    </w:p>
    <w:p w14:paraId="01A20E57" w14:textId="77777777" w:rsidR="00C170A0" w:rsidRDefault="00C170A0" w:rsidP="00D22441">
      <w:pPr>
        <w:pStyle w:val="Textoindependiente"/>
        <w:spacing w:after="0" w:line="240" w:lineRule="auto"/>
        <w:jc w:val="left"/>
        <w:rPr>
          <w:rFonts w:cs="Arial"/>
          <w:color w:val="FF0000"/>
          <w:sz w:val="22"/>
          <w:szCs w:val="22"/>
        </w:rPr>
      </w:pPr>
    </w:p>
    <w:p w14:paraId="12545D47" w14:textId="7392F578" w:rsidR="00C170A0" w:rsidRDefault="00C170A0" w:rsidP="00D22441">
      <w:pPr>
        <w:pStyle w:val="Textoindependiente"/>
        <w:spacing w:after="0" w:line="240" w:lineRule="auto"/>
        <w:rPr>
          <w:rFonts w:cs="Arial"/>
          <w:sz w:val="22"/>
          <w:szCs w:val="22"/>
        </w:rPr>
      </w:pPr>
      <w:r>
        <w:rPr>
          <w:rFonts w:cs="Arial"/>
          <w:sz w:val="22"/>
          <w:szCs w:val="22"/>
        </w:rPr>
        <w:t xml:space="preserve">Se estima </w:t>
      </w:r>
      <w:r w:rsidR="007926B3">
        <w:rPr>
          <w:rFonts w:cs="Arial"/>
          <w:sz w:val="22"/>
          <w:szCs w:val="22"/>
        </w:rPr>
        <w:t>en</w:t>
      </w:r>
      <w:r w:rsidR="006A14B1">
        <w:rPr>
          <w:rFonts w:cs="Arial"/>
          <w:sz w:val="22"/>
          <w:szCs w:val="22"/>
        </w:rPr>
        <w:t xml:space="preserve"> 4</w:t>
      </w:r>
      <w:r w:rsidR="00D7020B">
        <w:rPr>
          <w:rFonts w:cs="Arial"/>
          <w:sz w:val="22"/>
          <w:szCs w:val="22"/>
        </w:rPr>
        <w:t>93</w:t>
      </w:r>
      <w:r w:rsidR="006A14B1">
        <w:rPr>
          <w:rFonts w:cs="Arial"/>
          <w:sz w:val="22"/>
          <w:szCs w:val="22"/>
        </w:rPr>
        <w:t xml:space="preserve"> </w:t>
      </w:r>
      <w:r w:rsidR="002155D7">
        <w:rPr>
          <w:rFonts w:cs="Arial"/>
          <w:sz w:val="22"/>
          <w:szCs w:val="22"/>
        </w:rPr>
        <w:t xml:space="preserve">el censo de </w:t>
      </w:r>
      <w:r w:rsidR="00C442F9">
        <w:rPr>
          <w:rFonts w:cs="Arial"/>
          <w:sz w:val="22"/>
          <w:szCs w:val="22"/>
        </w:rPr>
        <w:t xml:space="preserve">los </w:t>
      </w:r>
      <w:r w:rsidR="00747935">
        <w:rPr>
          <w:rFonts w:cs="Arial"/>
          <w:sz w:val="22"/>
          <w:szCs w:val="22"/>
        </w:rPr>
        <w:t>regulados</w:t>
      </w:r>
      <w:r>
        <w:rPr>
          <w:rFonts w:cs="Arial"/>
          <w:sz w:val="22"/>
          <w:szCs w:val="22"/>
        </w:rPr>
        <w:t xml:space="preserve"> </w:t>
      </w:r>
      <w:r w:rsidR="002155D7">
        <w:rPr>
          <w:rFonts w:cs="Arial"/>
          <w:sz w:val="22"/>
          <w:szCs w:val="22"/>
        </w:rPr>
        <w:t>CREG</w:t>
      </w:r>
      <w:r w:rsidR="00C442F9">
        <w:rPr>
          <w:rFonts w:cs="Arial"/>
          <w:sz w:val="22"/>
          <w:szCs w:val="22"/>
        </w:rPr>
        <w:t xml:space="preserve"> </w:t>
      </w:r>
      <w:r w:rsidR="00307A73">
        <w:rPr>
          <w:rFonts w:cs="Arial"/>
          <w:sz w:val="22"/>
          <w:szCs w:val="22"/>
        </w:rPr>
        <w:t>inscritos en el RUP</w:t>
      </w:r>
      <w:r w:rsidR="00D7020B">
        <w:rPr>
          <w:rFonts w:cs="Arial"/>
          <w:sz w:val="22"/>
          <w:szCs w:val="22"/>
        </w:rPr>
        <w:t>S</w:t>
      </w:r>
      <w:r w:rsidR="00307A73">
        <w:rPr>
          <w:rFonts w:cs="Arial"/>
          <w:sz w:val="22"/>
          <w:szCs w:val="22"/>
        </w:rPr>
        <w:t xml:space="preserve"> para el año 202</w:t>
      </w:r>
      <w:r w:rsidR="007D56B6">
        <w:rPr>
          <w:rFonts w:cs="Arial"/>
          <w:sz w:val="22"/>
          <w:szCs w:val="22"/>
        </w:rPr>
        <w:t>3</w:t>
      </w:r>
      <w:r w:rsidR="008A7878">
        <w:rPr>
          <w:rFonts w:cs="Arial"/>
          <w:sz w:val="22"/>
          <w:szCs w:val="22"/>
        </w:rPr>
        <w:t>, c</w:t>
      </w:r>
      <w:r w:rsidR="002155D7">
        <w:rPr>
          <w:rFonts w:cs="Arial"/>
          <w:sz w:val="22"/>
          <w:szCs w:val="22"/>
        </w:rPr>
        <w:t>on corte de toma de información al 12 de julio de 2023 y discriminados a continuación por sus servicios prestados</w:t>
      </w:r>
      <w:r w:rsidR="00F1506E">
        <w:rPr>
          <w:rFonts w:cs="Arial"/>
          <w:sz w:val="22"/>
          <w:szCs w:val="22"/>
        </w:rPr>
        <w:t xml:space="preserve">, </w:t>
      </w:r>
      <w:r w:rsidR="00747935">
        <w:rPr>
          <w:rFonts w:cs="Arial"/>
          <w:sz w:val="22"/>
          <w:szCs w:val="22"/>
        </w:rPr>
        <w:t>de l</w:t>
      </w:r>
      <w:r w:rsidR="000F27BB">
        <w:rPr>
          <w:rFonts w:cs="Arial"/>
          <w:sz w:val="22"/>
          <w:szCs w:val="22"/>
        </w:rPr>
        <w:t>o</w:t>
      </w:r>
      <w:r w:rsidR="00747935">
        <w:rPr>
          <w:rFonts w:cs="Arial"/>
          <w:sz w:val="22"/>
          <w:szCs w:val="22"/>
        </w:rPr>
        <w:t xml:space="preserve">s </w:t>
      </w:r>
      <w:r w:rsidR="000F27BB">
        <w:rPr>
          <w:rFonts w:cs="Arial"/>
          <w:sz w:val="22"/>
          <w:szCs w:val="22"/>
        </w:rPr>
        <w:t>493 regulados</w:t>
      </w:r>
      <w:r w:rsidR="002155D7">
        <w:rPr>
          <w:rFonts w:cs="Arial"/>
          <w:sz w:val="22"/>
          <w:szCs w:val="22"/>
        </w:rPr>
        <w:t xml:space="preserve"> del censo CREG</w:t>
      </w:r>
      <w:r w:rsidR="000F27BB">
        <w:rPr>
          <w:rFonts w:cs="Arial"/>
          <w:sz w:val="22"/>
          <w:szCs w:val="22"/>
        </w:rPr>
        <w:t>,</w:t>
      </w:r>
      <w:r w:rsidR="00747935">
        <w:rPr>
          <w:rFonts w:cs="Arial"/>
          <w:sz w:val="22"/>
          <w:szCs w:val="22"/>
        </w:rPr>
        <w:t xml:space="preserve"> reportaron</w:t>
      </w:r>
      <w:r w:rsidR="00547127">
        <w:rPr>
          <w:rFonts w:cs="Arial"/>
          <w:sz w:val="22"/>
          <w:szCs w:val="22"/>
        </w:rPr>
        <w:t xml:space="preserve"> </w:t>
      </w:r>
      <w:r w:rsidR="00E73EE0">
        <w:rPr>
          <w:rFonts w:cs="Arial"/>
          <w:sz w:val="22"/>
          <w:szCs w:val="22"/>
        </w:rPr>
        <w:t>32</w:t>
      </w:r>
      <w:r w:rsidR="00792E8D">
        <w:rPr>
          <w:rFonts w:cs="Arial"/>
          <w:sz w:val="22"/>
          <w:szCs w:val="22"/>
        </w:rPr>
        <w:t>9</w:t>
      </w:r>
      <w:r w:rsidR="00547127">
        <w:rPr>
          <w:rFonts w:cs="Arial"/>
          <w:sz w:val="22"/>
          <w:szCs w:val="22"/>
        </w:rPr>
        <w:t xml:space="preserve"> su</w:t>
      </w:r>
      <w:r w:rsidR="00747935">
        <w:rPr>
          <w:rFonts w:cs="Arial"/>
          <w:sz w:val="22"/>
          <w:szCs w:val="22"/>
        </w:rPr>
        <w:t xml:space="preserve"> información</w:t>
      </w:r>
      <w:r w:rsidR="00E5617C">
        <w:rPr>
          <w:rFonts w:cs="Arial"/>
          <w:sz w:val="22"/>
          <w:szCs w:val="22"/>
        </w:rPr>
        <w:t xml:space="preserve"> financiera 2022 </w:t>
      </w:r>
      <w:r w:rsidR="00747935">
        <w:rPr>
          <w:rFonts w:cs="Arial"/>
          <w:sz w:val="22"/>
          <w:szCs w:val="22"/>
        </w:rPr>
        <w:t>al SUI</w:t>
      </w:r>
      <w:r w:rsidR="000B7A0F">
        <w:rPr>
          <w:rFonts w:cs="Arial"/>
          <w:sz w:val="22"/>
          <w:szCs w:val="22"/>
        </w:rPr>
        <w:t>-SSPD</w:t>
      </w:r>
      <w:r w:rsidR="00747935">
        <w:rPr>
          <w:rFonts w:cs="Arial"/>
          <w:sz w:val="22"/>
          <w:szCs w:val="22"/>
        </w:rPr>
        <w:t xml:space="preserve">, </w:t>
      </w:r>
      <w:r w:rsidR="00547127">
        <w:rPr>
          <w:rFonts w:cs="Arial"/>
          <w:sz w:val="22"/>
          <w:szCs w:val="22"/>
        </w:rPr>
        <w:t xml:space="preserve">y </w:t>
      </w:r>
      <w:r w:rsidR="000B7A0F">
        <w:rPr>
          <w:rFonts w:cs="Arial"/>
          <w:sz w:val="22"/>
          <w:szCs w:val="22"/>
        </w:rPr>
        <w:t xml:space="preserve">164 no </w:t>
      </w:r>
      <w:r w:rsidR="00E73EE0">
        <w:rPr>
          <w:rFonts w:cs="Arial"/>
          <w:sz w:val="22"/>
          <w:szCs w:val="22"/>
        </w:rPr>
        <w:t xml:space="preserve">la </w:t>
      </w:r>
      <w:r w:rsidR="000B7A0F">
        <w:rPr>
          <w:rFonts w:cs="Arial"/>
          <w:sz w:val="22"/>
          <w:szCs w:val="22"/>
        </w:rPr>
        <w:t>reportaron</w:t>
      </w:r>
      <w:r w:rsidR="00E73EE0">
        <w:rPr>
          <w:rFonts w:cs="Arial"/>
          <w:sz w:val="22"/>
          <w:szCs w:val="22"/>
        </w:rPr>
        <w:t xml:space="preserve">, </w:t>
      </w:r>
      <w:r w:rsidR="002155D7">
        <w:rPr>
          <w:rFonts w:cs="Arial"/>
          <w:sz w:val="22"/>
          <w:szCs w:val="22"/>
        </w:rPr>
        <w:t>de ellos 14 son de cuantía mínima y 2 son prestadores a los cuales es necesario que aclaren su información reportada.</w:t>
      </w:r>
    </w:p>
    <w:p w14:paraId="715B470E" w14:textId="77777777" w:rsidR="00022F42" w:rsidRDefault="00022F42" w:rsidP="00D22441">
      <w:pPr>
        <w:pStyle w:val="Textoindependiente"/>
        <w:spacing w:after="0" w:line="240" w:lineRule="auto"/>
        <w:rPr>
          <w:rFonts w:cs="Arial"/>
          <w:sz w:val="22"/>
          <w:szCs w:val="22"/>
        </w:rPr>
      </w:pPr>
    </w:p>
    <w:p w14:paraId="52752DC1" w14:textId="56B09491" w:rsidR="00EB0978" w:rsidRPr="00B24EC3" w:rsidRDefault="00EB0978" w:rsidP="00EB0978">
      <w:pPr>
        <w:pStyle w:val="Descripcin"/>
        <w:rPr>
          <w:i w:val="0"/>
          <w:iCs w:val="0"/>
          <w:color w:val="auto"/>
        </w:rPr>
      </w:pPr>
      <w:bookmarkStart w:id="61" w:name="_Toc145486436"/>
      <w:r w:rsidRPr="002C4392">
        <w:rPr>
          <w:i w:val="0"/>
          <w:iCs w:val="0"/>
          <w:color w:val="auto"/>
        </w:rPr>
        <w:t xml:space="preserve">Tabla </w:t>
      </w:r>
      <w:r w:rsidRPr="002C4392">
        <w:rPr>
          <w:i w:val="0"/>
          <w:iCs w:val="0"/>
          <w:color w:val="auto"/>
        </w:rPr>
        <w:fldChar w:fldCharType="begin"/>
      </w:r>
      <w:r w:rsidRPr="002C4392">
        <w:rPr>
          <w:i w:val="0"/>
          <w:iCs w:val="0"/>
          <w:color w:val="auto"/>
        </w:rPr>
        <w:instrText xml:space="preserve"> SEQ Tabla \* ARABIC </w:instrText>
      </w:r>
      <w:r w:rsidRPr="002C4392">
        <w:rPr>
          <w:i w:val="0"/>
          <w:iCs w:val="0"/>
          <w:color w:val="auto"/>
        </w:rPr>
        <w:fldChar w:fldCharType="separate"/>
      </w:r>
      <w:r>
        <w:rPr>
          <w:i w:val="0"/>
          <w:iCs w:val="0"/>
          <w:noProof/>
          <w:color w:val="auto"/>
        </w:rPr>
        <w:t>10</w:t>
      </w:r>
      <w:r w:rsidRPr="002C4392">
        <w:rPr>
          <w:i w:val="0"/>
          <w:iCs w:val="0"/>
          <w:color w:val="auto"/>
        </w:rPr>
        <w:fldChar w:fldCharType="end"/>
      </w:r>
      <w:r w:rsidRPr="002C4392">
        <w:rPr>
          <w:i w:val="0"/>
          <w:iCs w:val="0"/>
          <w:color w:val="auto"/>
        </w:rPr>
        <w:t xml:space="preserve">. </w:t>
      </w:r>
      <w:r>
        <w:rPr>
          <w:i w:val="0"/>
          <w:iCs w:val="0"/>
          <w:color w:val="auto"/>
        </w:rPr>
        <w:t>Estado reporte al SUI regulados contribuyentes CREG 2023.</w:t>
      </w:r>
      <w:bookmarkEnd w:id="61"/>
    </w:p>
    <w:tbl>
      <w:tblPr>
        <w:tblW w:w="9466" w:type="dxa"/>
        <w:jc w:val="center"/>
        <w:tblCellMar>
          <w:left w:w="70" w:type="dxa"/>
          <w:right w:w="70" w:type="dxa"/>
        </w:tblCellMar>
        <w:tblLook w:val="04A0" w:firstRow="1" w:lastRow="0" w:firstColumn="1" w:lastColumn="0" w:noHBand="0" w:noVBand="1"/>
      </w:tblPr>
      <w:tblGrid>
        <w:gridCol w:w="1264"/>
        <w:gridCol w:w="772"/>
        <w:gridCol w:w="980"/>
        <w:gridCol w:w="772"/>
        <w:gridCol w:w="518"/>
        <w:gridCol w:w="772"/>
        <w:gridCol w:w="518"/>
        <w:gridCol w:w="772"/>
        <w:gridCol w:w="518"/>
        <w:gridCol w:w="772"/>
        <w:gridCol w:w="518"/>
        <w:gridCol w:w="772"/>
        <w:gridCol w:w="518"/>
      </w:tblGrid>
      <w:tr w:rsidR="003967A1" w:rsidRPr="00EB0978" w14:paraId="718869BA" w14:textId="77777777" w:rsidTr="006B48D3">
        <w:trPr>
          <w:trHeight w:val="448"/>
          <w:tblHeader/>
          <w:jc w:val="center"/>
        </w:trPr>
        <w:tc>
          <w:tcPr>
            <w:tcW w:w="1264" w:type="dxa"/>
            <w:vMerge w:val="restart"/>
            <w:tcBorders>
              <w:top w:val="single" w:sz="8" w:space="0" w:color="auto"/>
              <w:left w:val="single" w:sz="8" w:space="0" w:color="auto"/>
              <w:bottom w:val="single" w:sz="8" w:space="0" w:color="000000"/>
              <w:right w:val="single" w:sz="8" w:space="0" w:color="auto"/>
            </w:tcBorders>
            <w:shd w:val="clear" w:color="auto" w:fill="E7E6E6" w:themeFill="background2"/>
            <w:vAlign w:val="center"/>
            <w:hideMark/>
          </w:tcPr>
          <w:p w14:paraId="7EACD810" w14:textId="77777777" w:rsidR="003967A1" w:rsidRPr="00EB0978" w:rsidRDefault="003967A1" w:rsidP="00D22441">
            <w:pPr>
              <w:jc w:val="center"/>
              <w:rPr>
                <w:rFonts w:ascii="Arial Narrow" w:hAnsi="Arial Narrow" w:cs="Arial"/>
                <w:b/>
                <w:bCs/>
                <w:spacing w:val="0"/>
                <w:sz w:val="18"/>
                <w:szCs w:val="18"/>
                <w:lang w:eastAsia="es-CO"/>
              </w:rPr>
            </w:pPr>
            <w:r w:rsidRPr="00EB0978">
              <w:rPr>
                <w:rFonts w:ascii="Arial Narrow" w:hAnsi="Arial Narrow" w:cs="Arial"/>
                <w:b/>
                <w:bCs/>
                <w:spacing w:val="0"/>
                <w:sz w:val="18"/>
                <w:szCs w:val="18"/>
                <w:lang w:eastAsia="es-CO"/>
              </w:rPr>
              <w:t>SE</w:t>
            </w:r>
            <w:r w:rsidRPr="00EB0978">
              <w:rPr>
                <w:rFonts w:ascii="Arial Narrow" w:hAnsi="Arial Narrow" w:cs="Arial"/>
                <w:b/>
                <w:bCs/>
                <w:color w:val="000000"/>
                <w:spacing w:val="0"/>
                <w:sz w:val="18"/>
                <w:szCs w:val="18"/>
                <w:lang w:eastAsia="es-CO"/>
              </w:rPr>
              <w:t>RVICIOS PRESTADOS</w:t>
            </w:r>
          </w:p>
        </w:tc>
        <w:tc>
          <w:tcPr>
            <w:tcW w:w="1752" w:type="dxa"/>
            <w:gridSpan w:val="2"/>
            <w:tcBorders>
              <w:top w:val="single" w:sz="8" w:space="0" w:color="auto"/>
              <w:left w:val="nil"/>
              <w:bottom w:val="single" w:sz="8" w:space="0" w:color="auto"/>
              <w:right w:val="single" w:sz="8" w:space="0" w:color="000000"/>
            </w:tcBorders>
            <w:shd w:val="clear" w:color="auto" w:fill="E7E6E6" w:themeFill="background2"/>
            <w:vAlign w:val="center"/>
            <w:hideMark/>
          </w:tcPr>
          <w:p w14:paraId="47E9E715" w14:textId="77777777" w:rsidR="003967A1" w:rsidRPr="00EB0978" w:rsidRDefault="003967A1" w:rsidP="00D22441">
            <w:pPr>
              <w:jc w:val="center"/>
              <w:rPr>
                <w:rFonts w:ascii="Arial Narrow" w:hAnsi="Arial Narrow" w:cs="Arial"/>
                <w:b/>
                <w:bCs/>
                <w:color w:val="000000"/>
                <w:spacing w:val="0"/>
                <w:sz w:val="18"/>
                <w:szCs w:val="18"/>
                <w:lang w:eastAsia="es-CO"/>
              </w:rPr>
            </w:pPr>
            <w:r w:rsidRPr="00EB0978">
              <w:rPr>
                <w:rFonts w:ascii="Arial Narrow" w:hAnsi="Arial Narrow" w:cs="Arial"/>
                <w:b/>
                <w:bCs/>
                <w:color w:val="000000"/>
                <w:spacing w:val="0"/>
                <w:sz w:val="18"/>
                <w:szCs w:val="18"/>
                <w:lang w:eastAsia="es-CO"/>
              </w:rPr>
              <w:t>Regulados Censo CREG 2023</w:t>
            </w:r>
          </w:p>
        </w:tc>
        <w:tc>
          <w:tcPr>
            <w:tcW w:w="1290" w:type="dxa"/>
            <w:gridSpan w:val="2"/>
            <w:tcBorders>
              <w:top w:val="single" w:sz="8" w:space="0" w:color="auto"/>
              <w:left w:val="nil"/>
              <w:bottom w:val="single" w:sz="8" w:space="0" w:color="auto"/>
              <w:right w:val="single" w:sz="8" w:space="0" w:color="000000"/>
            </w:tcBorders>
            <w:shd w:val="clear" w:color="auto" w:fill="E7E6E6" w:themeFill="background2"/>
            <w:vAlign w:val="center"/>
            <w:hideMark/>
          </w:tcPr>
          <w:p w14:paraId="7352E179" w14:textId="77777777" w:rsidR="003967A1" w:rsidRPr="00EB0978" w:rsidRDefault="003967A1" w:rsidP="00D22441">
            <w:pPr>
              <w:jc w:val="center"/>
              <w:rPr>
                <w:rFonts w:ascii="Arial Narrow" w:hAnsi="Arial Narrow" w:cs="Arial"/>
                <w:b/>
                <w:bCs/>
                <w:color w:val="000000"/>
                <w:spacing w:val="0"/>
                <w:sz w:val="18"/>
                <w:szCs w:val="18"/>
                <w:lang w:eastAsia="es-CO"/>
              </w:rPr>
            </w:pPr>
            <w:r w:rsidRPr="00EB0978">
              <w:rPr>
                <w:rFonts w:ascii="Arial Narrow" w:hAnsi="Arial Narrow" w:cs="Arial"/>
                <w:b/>
                <w:bCs/>
                <w:color w:val="000000"/>
                <w:spacing w:val="0"/>
                <w:sz w:val="18"/>
                <w:szCs w:val="18"/>
                <w:lang w:eastAsia="es-CO"/>
              </w:rPr>
              <w:t xml:space="preserve">Sin reporte </w:t>
            </w:r>
            <w:r w:rsidRPr="00EB0978">
              <w:rPr>
                <w:rFonts w:ascii="Arial Narrow" w:hAnsi="Arial Narrow" w:cs="Arial"/>
                <w:b/>
                <w:bCs/>
                <w:color w:val="000000"/>
                <w:spacing w:val="0"/>
                <w:sz w:val="18"/>
                <w:szCs w:val="18"/>
                <w:lang w:eastAsia="es-CO"/>
              </w:rPr>
              <w:br/>
              <w:t>SUI-XBRL</w:t>
            </w:r>
          </w:p>
        </w:tc>
        <w:tc>
          <w:tcPr>
            <w:tcW w:w="1290" w:type="dxa"/>
            <w:gridSpan w:val="2"/>
            <w:tcBorders>
              <w:top w:val="single" w:sz="8" w:space="0" w:color="auto"/>
              <w:left w:val="nil"/>
              <w:bottom w:val="single" w:sz="8" w:space="0" w:color="auto"/>
              <w:right w:val="single" w:sz="8" w:space="0" w:color="000000"/>
            </w:tcBorders>
            <w:shd w:val="clear" w:color="auto" w:fill="E7E6E6" w:themeFill="background2"/>
            <w:vAlign w:val="center"/>
            <w:hideMark/>
          </w:tcPr>
          <w:p w14:paraId="4DA0DEC9" w14:textId="77777777" w:rsidR="003967A1" w:rsidRPr="00EB0978" w:rsidRDefault="003967A1" w:rsidP="00D22441">
            <w:pPr>
              <w:jc w:val="center"/>
              <w:rPr>
                <w:rFonts w:ascii="Arial Narrow" w:hAnsi="Arial Narrow" w:cs="Arial"/>
                <w:b/>
                <w:bCs/>
                <w:color w:val="000000"/>
                <w:spacing w:val="0"/>
                <w:sz w:val="18"/>
                <w:szCs w:val="18"/>
                <w:lang w:eastAsia="es-CO"/>
              </w:rPr>
            </w:pPr>
            <w:r w:rsidRPr="00EB0978">
              <w:rPr>
                <w:rFonts w:ascii="Arial Narrow" w:hAnsi="Arial Narrow" w:cs="Arial"/>
                <w:b/>
                <w:bCs/>
                <w:color w:val="000000"/>
                <w:spacing w:val="0"/>
                <w:sz w:val="18"/>
                <w:szCs w:val="18"/>
                <w:lang w:eastAsia="es-CO"/>
              </w:rPr>
              <w:t xml:space="preserve">Con reporte </w:t>
            </w:r>
            <w:r w:rsidRPr="00EB0978">
              <w:rPr>
                <w:rFonts w:ascii="Arial Narrow" w:hAnsi="Arial Narrow" w:cs="Arial"/>
                <w:b/>
                <w:bCs/>
                <w:color w:val="000000"/>
                <w:spacing w:val="0"/>
                <w:sz w:val="18"/>
                <w:szCs w:val="18"/>
                <w:lang w:eastAsia="es-CO"/>
              </w:rPr>
              <w:br/>
              <w:t>SUI-XBRL</w:t>
            </w:r>
          </w:p>
        </w:tc>
        <w:tc>
          <w:tcPr>
            <w:tcW w:w="1290" w:type="dxa"/>
            <w:gridSpan w:val="2"/>
            <w:tcBorders>
              <w:top w:val="single" w:sz="8" w:space="0" w:color="auto"/>
              <w:left w:val="nil"/>
              <w:bottom w:val="single" w:sz="8" w:space="0" w:color="auto"/>
              <w:right w:val="single" w:sz="8" w:space="0" w:color="000000"/>
            </w:tcBorders>
            <w:shd w:val="clear" w:color="auto" w:fill="E7E6E6" w:themeFill="background2"/>
            <w:vAlign w:val="center"/>
            <w:hideMark/>
          </w:tcPr>
          <w:p w14:paraId="2F8F9A5D" w14:textId="77777777" w:rsidR="003967A1" w:rsidRPr="00EB0978" w:rsidRDefault="003967A1" w:rsidP="00D22441">
            <w:pPr>
              <w:jc w:val="center"/>
              <w:rPr>
                <w:rFonts w:ascii="Arial Narrow" w:hAnsi="Arial Narrow" w:cs="Arial"/>
                <w:b/>
                <w:bCs/>
                <w:color w:val="000000"/>
                <w:spacing w:val="0"/>
                <w:sz w:val="18"/>
                <w:szCs w:val="18"/>
                <w:lang w:eastAsia="es-CO"/>
              </w:rPr>
            </w:pPr>
            <w:r w:rsidRPr="00EB0978">
              <w:rPr>
                <w:rFonts w:ascii="Arial Narrow" w:hAnsi="Arial Narrow" w:cs="Arial"/>
                <w:b/>
                <w:bCs/>
                <w:color w:val="000000"/>
                <w:spacing w:val="0"/>
                <w:sz w:val="18"/>
                <w:szCs w:val="18"/>
                <w:lang w:eastAsia="es-CO"/>
              </w:rPr>
              <w:t>Cuantía mínima</w:t>
            </w:r>
            <w:r w:rsidRPr="00EB0978">
              <w:rPr>
                <w:rFonts w:ascii="Arial Narrow" w:hAnsi="Arial Narrow" w:cs="Arial"/>
                <w:b/>
                <w:bCs/>
                <w:color w:val="000000"/>
                <w:spacing w:val="0"/>
                <w:sz w:val="18"/>
                <w:szCs w:val="18"/>
                <w:lang w:eastAsia="es-CO"/>
              </w:rPr>
              <w:br/>
              <w:t>&lt; $339.000</w:t>
            </w:r>
          </w:p>
        </w:tc>
        <w:tc>
          <w:tcPr>
            <w:tcW w:w="1290" w:type="dxa"/>
            <w:gridSpan w:val="2"/>
            <w:tcBorders>
              <w:top w:val="single" w:sz="8" w:space="0" w:color="auto"/>
              <w:left w:val="nil"/>
              <w:bottom w:val="single" w:sz="8" w:space="0" w:color="auto"/>
              <w:right w:val="single" w:sz="8" w:space="0" w:color="000000"/>
            </w:tcBorders>
            <w:shd w:val="clear" w:color="auto" w:fill="E7E6E6" w:themeFill="background2"/>
            <w:vAlign w:val="center"/>
            <w:hideMark/>
          </w:tcPr>
          <w:p w14:paraId="3321B75B" w14:textId="77777777" w:rsidR="003967A1" w:rsidRPr="00EB0978" w:rsidRDefault="003967A1" w:rsidP="00D22441">
            <w:pPr>
              <w:jc w:val="center"/>
              <w:rPr>
                <w:rFonts w:ascii="Arial Narrow" w:hAnsi="Arial Narrow" w:cs="Arial"/>
                <w:b/>
                <w:bCs/>
                <w:color w:val="000000"/>
                <w:spacing w:val="0"/>
                <w:sz w:val="18"/>
                <w:szCs w:val="18"/>
                <w:lang w:eastAsia="es-CO"/>
              </w:rPr>
            </w:pPr>
            <w:r w:rsidRPr="00EB0978">
              <w:rPr>
                <w:rFonts w:ascii="Arial Narrow" w:hAnsi="Arial Narrow" w:cs="Arial"/>
                <w:b/>
                <w:bCs/>
                <w:color w:val="000000"/>
                <w:spacing w:val="0"/>
                <w:sz w:val="18"/>
                <w:szCs w:val="18"/>
                <w:lang w:eastAsia="es-CO"/>
              </w:rPr>
              <w:t>Aclaración reporte SUI</w:t>
            </w:r>
          </w:p>
        </w:tc>
        <w:tc>
          <w:tcPr>
            <w:tcW w:w="1290" w:type="dxa"/>
            <w:gridSpan w:val="2"/>
            <w:tcBorders>
              <w:top w:val="single" w:sz="8" w:space="0" w:color="auto"/>
              <w:left w:val="nil"/>
              <w:bottom w:val="single" w:sz="8" w:space="0" w:color="auto"/>
              <w:right w:val="single" w:sz="8" w:space="0" w:color="000000"/>
            </w:tcBorders>
            <w:shd w:val="clear" w:color="auto" w:fill="E7E6E6" w:themeFill="background2"/>
            <w:vAlign w:val="center"/>
            <w:hideMark/>
          </w:tcPr>
          <w:p w14:paraId="2F83E22B" w14:textId="77777777" w:rsidR="003967A1" w:rsidRPr="00EB0978" w:rsidRDefault="003967A1" w:rsidP="00D22441">
            <w:pPr>
              <w:jc w:val="center"/>
              <w:rPr>
                <w:rFonts w:ascii="Arial Narrow" w:hAnsi="Arial Narrow" w:cs="Arial"/>
                <w:b/>
                <w:bCs/>
                <w:color w:val="000000"/>
                <w:spacing w:val="0"/>
                <w:sz w:val="18"/>
                <w:szCs w:val="18"/>
                <w:lang w:eastAsia="es-CO"/>
              </w:rPr>
            </w:pPr>
            <w:r w:rsidRPr="00EB0978">
              <w:rPr>
                <w:rFonts w:ascii="Arial Narrow" w:hAnsi="Arial Narrow" w:cs="Arial"/>
                <w:b/>
                <w:bCs/>
                <w:color w:val="000000"/>
                <w:spacing w:val="0"/>
                <w:sz w:val="18"/>
                <w:szCs w:val="18"/>
                <w:lang w:eastAsia="es-CO"/>
              </w:rPr>
              <w:t>Contribuyentes</w:t>
            </w:r>
            <w:r w:rsidRPr="00EB0978">
              <w:rPr>
                <w:rFonts w:ascii="Arial Narrow" w:hAnsi="Arial Narrow" w:cs="Arial"/>
                <w:b/>
                <w:bCs/>
                <w:color w:val="000000"/>
                <w:spacing w:val="0"/>
                <w:sz w:val="18"/>
                <w:szCs w:val="18"/>
                <w:lang w:eastAsia="es-CO"/>
              </w:rPr>
              <w:br/>
              <w:t>2023</w:t>
            </w:r>
          </w:p>
        </w:tc>
      </w:tr>
      <w:tr w:rsidR="003967A1" w:rsidRPr="00EB0978" w14:paraId="094F2E25" w14:textId="77777777" w:rsidTr="006B48D3">
        <w:trPr>
          <w:trHeight w:val="285"/>
          <w:tblHeader/>
          <w:jc w:val="center"/>
        </w:trPr>
        <w:tc>
          <w:tcPr>
            <w:tcW w:w="1264" w:type="dxa"/>
            <w:vMerge/>
            <w:tcBorders>
              <w:top w:val="single" w:sz="8" w:space="0" w:color="auto"/>
              <w:left w:val="single" w:sz="8" w:space="0" w:color="auto"/>
              <w:bottom w:val="single" w:sz="8" w:space="0" w:color="000000"/>
              <w:right w:val="single" w:sz="8" w:space="0" w:color="auto"/>
            </w:tcBorders>
            <w:shd w:val="clear" w:color="auto" w:fill="E7E6E6" w:themeFill="background2"/>
            <w:vAlign w:val="center"/>
            <w:hideMark/>
          </w:tcPr>
          <w:p w14:paraId="194D0A2C" w14:textId="77777777" w:rsidR="003967A1" w:rsidRPr="00EB0978" w:rsidRDefault="003967A1" w:rsidP="00D22441">
            <w:pPr>
              <w:jc w:val="left"/>
              <w:rPr>
                <w:rFonts w:ascii="Arial Narrow" w:hAnsi="Arial Narrow" w:cs="Arial"/>
                <w:b/>
                <w:bCs/>
                <w:spacing w:val="0"/>
                <w:sz w:val="18"/>
                <w:szCs w:val="18"/>
                <w:lang w:eastAsia="es-CO"/>
              </w:rPr>
            </w:pPr>
          </w:p>
        </w:tc>
        <w:tc>
          <w:tcPr>
            <w:tcW w:w="772" w:type="dxa"/>
            <w:tcBorders>
              <w:top w:val="nil"/>
              <w:left w:val="nil"/>
              <w:bottom w:val="single" w:sz="8" w:space="0" w:color="auto"/>
              <w:right w:val="single" w:sz="8" w:space="0" w:color="auto"/>
            </w:tcBorders>
            <w:shd w:val="clear" w:color="auto" w:fill="E7E6E6" w:themeFill="background2"/>
            <w:vAlign w:val="center"/>
            <w:hideMark/>
          </w:tcPr>
          <w:p w14:paraId="3B8BE85E" w14:textId="77777777" w:rsidR="003967A1" w:rsidRPr="00EB0978" w:rsidRDefault="003967A1" w:rsidP="00D22441">
            <w:pPr>
              <w:jc w:val="center"/>
              <w:rPr>
                <w:rFonts w:ascii="Arial Narrow" w:hAnsi="Arial Narrow" w:cs="Arial"/>
                <w:b/>
                <w:bCs/>
                <w:color w:val="000000"/>
                <w:spacing w:val="0"/>
                <w:sz w:val="18"/>
                <w:szCs w:val="18"/>
                <w:lang w:eastAsia="es-CO"/>
              </w:rPr>
            </w:pPr>
            <w:r w:rsidRPr="00EB0978">
              <w:rPr>
                <w:rFonts w:ascii="Arial Narrow" w:hAnsi="Arial Narrow" w:cs="Arial"/>
                <w:b/>
                <w:bCs/>
                <w:color w:val="000000"/>
                <w:spacing w:val="0"/>
                <w:sz w:val="18"/>
                <w:szCs w:val="18"/>
                <w:lang w:eastAsia="es-CO"/>
              </w:rPr>
              <w:t>Cantidad</w:t>
            </w:r>
          </w:p>
        </w:tc>
        <w:tc>
          <w:tcPr>
            <w:tcW w:w="980" w:type="dxa"/>
            <w:tcBorders>
              <w:top w:val="nil"/>
              <w:left w:val="nil"/>
              <w:bottom w:val="single" w:sz="8" w:space="0" w:color="auto"/>
              <w:right w:val="single" w:sz="8" w:space="0" w:color="auto"/>
            </w:tcBorders>
            <w:shd w:val="clear" w:color="auto" w:fill="E7E6E6" w:themeFill="background2"/>
            <w:vAlign w:val="center"/>
            <w:hideMark/>
          </w:tcPr>
          <w:p w14:paraId="015E2256" w14:textId="77777777" w:rsidR="003967A1" w:rsidRPr="00EB0978" w:rsidRDefault="003967A1" w:rsidP="00D22441">
            <w:pPr>
              <w:jc w:val="center"/>
              <w:rPr>
                <w:rFonts w:ascii="Arial Narrow" w:hAnsi="Arial Narrow" w:cs="Arial"/>
                <w:b/>
                <w:bCs/>
                <w:color w:val="000000"/>
                <w:spacing w:val="0"/>
                <w:sz w:val="18"/>
                <w:szCs w:val="18"/>
                <w:lang w:eastAsia="es-CO"/>
              </w:rPr>
            </w:pPr>
            <w:r w:rsidRPr="00EB0978">
              <w:rPr>
                <w:rFonts w:ascii="Arial Narrow" w:hAnsi="Arial Narrow" w:cs="Arial"/>
                <w:b/>
                <w:bCs/>
                <w:color w:val="000000"/>
                <w:spacing w:val="0"/>
                <w:sz w:val="18"/>
                <w:szCs w:val="18"/>
                <w:lang w:eastAsia="es-CO"/>
              </w:rPr>
              <w:t>%</w:t>
            </w:r>
          </w:p>
        </w:tc>
        <w:tc>
          <w:tcPr>
            <w:tcW w:w="772" w:type="dxa"/>
            <w:tcBorders>
              <w:top w:val="nil"/>
              <w:left w:val="nil"/>
              <w:bottom w:val="single" w:sz="8" w:space="0" w:color="auto"/>
              <w:right w:val="single" w:sz="8" w:space="0" w:color="auto"/>
            </w:tcBorders>
            <w:shd w:val="clear" w:color="auto" w:fill="E7E6E6" w:themeFill="background2"/>
            <w:vAlign w:val="center"/>
            <w:hideMark/>
          </w:tcPr>
          <w:p w14:paraId="1357FBF6" w14:textId="77777777" w:rsidR="003967A1" w:rsidRPr="00EB0978" w:rsidRDefault="003967A1" w:rsidP="00D22441">
            <w:pPr>
              <w:jc w:val="center"/>
              <w:rPr>
                <w:rFonts w:ascii="Arial Narrow" w:hAnsi="Arial Narrow" w:cs="Arial"/>
                <w:b/>
                <w:bCs/>
                <w:color w:val="000000"/>
                <w:spacing w:val="0"/>
                <w:sz w:val="18"/>
                <w:szCs w:val="18"/>
                <w:lang w:eastAsia="es-CO"/>
              </w:rPr>
            </w:pPr>
            <w:r w:rsidRPr="00EB0978">
              <w:rPr>
                <w:rFonts w:ascii="Arial Narrow" w:hAnsi="Arial Narrow" w:cs="Arial"/>
                <w:b/>
                <w:bCs/>
                <w:color w:val="000000"/>
                <w:spacing w:val="0"/>
                <w:sz w:val="18"/>
                <w:szCs w:val="18"/>
                <w:lang w:eastAsia="es-CO"/>
              </w:rPr>
              <w:t>Cantidad</w:t>
            </w:r>
          </w:p>
        </w:tc>
        <w:tc>
          <w:tcPr>
            <w:tcW w:w="518" w:type="dxa"/>
            <w:tcBorders>
              <w:top w:val="nil"/>
              <w:left w:val="nil"/>
              <w:bottom w:val="single" w:sz="8" w:space="0" w:color="auto"/>
              <w:right w:val="single" w:sz="8" w:space="0" w:color="auto"/>
            </w:tcBorders>
            <w:shd w:val="clear" w:color="auto" w:fill="E7E6E6" w:themeFill="background2"/>
            <w:vAlign w:val="center"/>
            <w:hideMark/>
          </w:tcPr>
          <w:p w14:paraId="3169C11E" w14:textId="77777777" w:rsidR="003967A1" w:rsidRPr="00EB0978" w:rsidRDefault="003967A1" w:rsidP="00D22441">
            <w:pPr>
              <w:jc w:val="center"/>
              <w:rPr>
                <w:rFonts w:ascii="Arial Narrow" w:hAnsi="Arial Narrow" w:cs="Arial"/>
                <w:b/>
                <w:bCs/>
                <w:color w:val="000000"/>
                <w:spacing w:val="0"/>
                <w:sz w:val="18"/>
                <w:szCs w:val="18"/>
                <w:lang w:eastAsia="es-CO"/>
              </w:rPr>
            </w:pPr>
            <w:r w:rsidRPr="00EB0978">
              <w:rPr>
                <w:rFonts w:ascii="Arial Narrow" w:hAnsi="Arial Narrow" w:cs="Arial"/>
                <w:b/>
                <w:bCs/>
                <w:color w:val="000000"/>
                <w:spacing w:val="0"/>
                <w:sz w:val="18"/>
                <w:szCs w:val="18"/>
                <w:lang w:eastAsia="es-CO"/>
              </w:rPr>
              <w:t>%</w:t>
            </w:r>
          </w:p>
        </w:tc>
        <w:tc>
          <w:tcPr>
            <w:tcW w:w="772" w:type="dxa"/>
            <w:tcBorders>
              <w:top w:val="nil"/>
              <w:left w:val="nil"/>
              <w:bottom w:val="single" w:sz="8" w:space="0" w:color="auto"/>
              <w:right w:val="single" w:sz="8" w:space="0" w:color="auto"/>
            </w:tcBorders>
            <w:shd w:val="clear" w:color="auto" w:fill="E7E6E6" w:themeFill="background2"/>
            <w:vAlign w:val="center"/>
            <w:hideMark/>
          </w:tcPr>
          <w:p w14:paraId="41227C72" w14:textId="77777777" w:rsidR="003967A1" w:rsidRPr="00EB0978" w:rsidRDefault="003967A1" w:rsidP="00D22441">
            <w:pPr>
              <w:jc w:val="center"/>
              <w:rPr>
                <w:rFonts w:ascii="Arial Narrow" w:hAnsi="Arial Narrow" w:cs="Arial"/>
                <w:b/>
                <w:bCs/>
                <w:color w:val="000000"/>
                <w:spacing w:val="0"/>
                <w:sz w:val="18"/>
                <w:szCs w:val="18"/>
                <w:lang w:eastAsia="es-CO"/>
              </w:rPr>
            </w:pPr>
            <w:r w:rsidRPr="00EB0978">
              <w:rPr>
                <w:rFonts w:ascii="Arial Narrow" w:hAnsi="Arial Narrow" w:cs="Arial"/>
                <w:b/>
                <w:bCs/>
                <w:color w:val="000000"/>
                <w:spacing w:val="0"/>
                <w:sz w:val="18"/>
                <w:szCs w:val="18"/>
                <w:lang w:eastAsia="es-CO"/>
              </w:rPr>
              <w:t>Cantidad</w:t>
            </w:r>
          </w:p>
        </w:tc>
        <w:tc>
          <w:tcPr>
            <w:tcW w:w="518" w:type="dxa"/>
            <w:tcBorders>
              <w:top w:val="nil"/>
              <w:left w:val="nil"/>
              <w:bottom w:val="single" w:sz="8" w:space="0" w:color="auto"/>
              <w:right w:val="single" w:sz="8" w:space="0" w:color="auto"/>
            </w:tcBorders>
            <w:shd w:val="clear" w:color="auto" w:fill="E7E6E6" w:themeFill="background2"/>
            <w:vAlign w:val="center"/>
            <w:hideMark/>
          </w:tcPr>
          <w:p w14:paraId="630CE9C1" w14:textId="77777777" w:rsidR="003967A1" w:rsidRPr="00EB0978" w:rsidRDefault="003967A1" w:rsidP="00D22441">
            <w:pPr>
              <w:jc w:val="center"/>
              <w:rPr>
                <w:rFonts w:ascii="Arial Narrow" w:hAnsi="Arial Narrow" w:cs="Arial"/>
                <w:b/>
                <w:bCs/>
                <w:color w:val="000000"/>
                <w:spacing w:val="0"/>
                <w:sz w:val="18"/>
                <w:szCs w:val="18"/>
                <w:lang w:eastAsia="es-CO"/>
              </w:rPr>
            </w:pPr>
            <w:r w:rsidRPr="00EB0978">
              <w:rPr>
                <w:rFonts w:ascii="Arial Narrow" w:hAnsi="Arial Narrow" w:cs="Arial"/>
                <w:b/>
                <w:bCs/>
                <w:color w:val="000000"/>
                <w:spacing w:val="0"/>
                <w:sz w:val="18"/>
                <w:szCs w:val="18"/>
                <w:lang w:eastAsia="es-CO"/>
              </w:rPr>
              <w:t>%</w:t>
            </w:r>
          </w:p>
        </w:tc>
        <w:tc>
          <w:tcPr>
            <w:tcW w:w="772" w:type="dxa"/>
            <w:tcBorders>
              <w:top w:val="nil"/>
              <w:left w:val="nil"/>
              <w:bottom w:val="single" w:sz="8" w:space="0" w:color="auto"/>
              <w:right w:val="single" w:sz="8" w:space="0" w:color="auto"/>
            </w:tcBorders>
            <w:shd w:val="clear" w:color="auto" w:fill="E7E6E6" w:themeFill="background2"/>
            <w:vAlign w:val="center"/>
            <w:hideMark/>
          </w:tcPr>
          <w:p w14:paraId="01708C73" w14:textId="77777777" w:rsidR="003967A1" w:rsidRPr="00EB0978" w:rsidRDefault="003967A1" w:rsidP="00D22441">
            <w:pPr>
              <w:jc w:val="center"/>
              <w:rPr>
                <w:rFonts w:ascii="Arial Narrow" w:hAnsi="Arial Narrow" w:cs="Arial"/>
                <w:b/>
                <w:bCs/>
                <w:color w:val="000000"/>
                <w:spacing w:val="0"/>
                <w:sz w:val="18"/>
                <w:szCs w:val="18"/>
                <w:lang w:eastAsia="es-CO"/>
              </w:rPr>
            </w:pPr>
            <w:r w:rsidRPr="00EB0978">
              <w:rPr>
                <w:rFonts w:ascii="Arial Narrow" w:hAnsi="Arial Narrow" w:cs="Arial"/>
                <w:b/>
                <w:bCs/>
                <w:color w:val="000000"/>
                <w:spacing w:val="0"/>
                <w:sz w:val="18"/>
                <w:szCs w:val="18"/>
                <w:lang w:eastAsia="es-CO"/>
              </w:rPr>
              <w:t>Cantidad</w:t>
            </w:r>
          </w:p>
        </w:tc>
        <w:tc>
          <w:tcPr>
            <w:tcW w:w="518" w:type="dxa"/>
            <w:tcBorders>
              <w:top w:val="nil"/>
              <w:left w:val="nil"/>
              <w:bottom w:val="single" w:sz="8" w:space="0" w:color="auto"/>
              <w:right w:val="single" w:sz="8" w:space="0" w:color="auto"/>
            </w:tcBorders>
            <w:shd w:val="clear" w:color="auto" w:fill="E7E6E6" w:themeFill="background2"/>
            <w:vAlign w:val="center"/>
            <w:hideMark/>
          </w:tcPr>
          <w:p w14:paraId="55C8CA81" w14:textId="77777777" w:rsidR="003967A1" w:rsidRPr="00EB0978" w:rsidRDefault="003967A1" w:rsidP="00D22441">
            <w:pPr>
              <w:jc w:val="center"/>
              <w:rPr>
                <w:rFonts w:ascii="Arial Narrow" w:hAnsi="Arial Narrow" w:cs="Arial"/>
                <w:b/>
                <w:bCs/>
                <w:color w:val="000000"/>
                <w:spacing w:val="0"/>
                <w:sz w:val="18"/>
                <w:szCs w:val="18"/>
                <w:lang w:eastAsia="es-CO"/>
              </w:rPr>
            </w:pPr>
            <w:r w:rsidRPr="00EB0978">
              <w:rPr>
                <w:rFonts w:ascii="Arial Narrow" w:hAnsi="Arial Narrow" w:cs="Arial"/>
                <w:b/>
                <w:bCs/>
                <w:color w:val="000000"/>
                <w:spacing w:val="0"/>
                <w:sz w:val="18"/>
                <w:szCs w:val="18"/>
                <w:lang w:eastAsia="es-CO"/>
              </w:rPr>
              <w:t>%</w:t>
            </w:r>
          </w:p>
        </w:tc>
        <w:tc>
          <w:tcPr>
            <w:tcW w:w="772" w:type="dxa"/>
            <w:tcBorders>
              <w:top w:val="nil"/>
              <w:left w:val="nil"/>
              <w:bottom w:val="single" w:sz="8" w:space="0" w:color="auto"/>
              <w:right w:val="single" w:sz="8" w:space="0" w:color="auto"/>
            </w:tcBorders>
            <w:shd w:val="clear" w:color="auto" w:fill="E7E6E6" w:themeFill="background2"/>
            <w:vAlign w:val="center"/>
            <w:hideMark/>
          </w:tcPr>
          <w:p w14:paraId="130D8F95" w14:textId="77777777" w:rsidR="003967A1" w:rsidRPr="00EB0978" w:rsidRDefault="003967A1" w:rsidP="00D22441">
            <w:pPr>
              <w:jc w:val="center"/>
              <w:rPr>
                <w:rFonts w:ascii="Arial Narrow" w:hAnsi="Arial Narrow" w:cs="Arial"/>
                <w:b/>
                <w:bCs/>
                <w:color w:val="000000"/>
                <w:spacing w:val="0"/>
                <w:sz w:val="18"/>
                <w:szCs w:val="18"/>
                <w:lang w:eastAsia="es-CO"/>
              </w:rPr>
            </w:pPr>
            <w:r w:rsidRPr="00EB0978">
              <w:rPr>
                <w:rFonts w:ascii="Arial Narrow" w:hAnsi="Arial Narrow" w:cs="Arial"/>
                <w:b/>
                <w:bCs/>
                <w:color w:val="000000"/>
                <w:spacing w:val="0"/>
                <w:sz w:val="18"/>
                <w:szCs w:val="18"/>
                <w:lang w:eastAsia="es-CO"/>
              </w:rPr>
              <w:t>Cantidad</w:t>
            </w:r>
          </w:p>
        </w:tc>
        <w:tc>
          <w:tcPr>
            <w:tcW w:w="518" w:type="dxa"/>
            <w:tcBorders>
              <w:top w:val="nil"/>
              <w:left w:val="nil"/>
              <w:bottom w:val="single" w:sz="8" w:space="0" w:color="auto"/>
              <w:right w:val="single" w:sz="8" w:space="0" w:color="auto"/>
            </w:tcBorders>
            <w:shd w:val="clear" w:color="auto" w:fill="E7E6E6" w:themeFill="background2"/>
            <w:vAlign w:val="center"/>
            <w:hideMark/>
          </w:tcPr>
          <w:p w14:paraId="0A4A0878" w14:textId="77777777" w:rsidR="003967A1" w:rsidRPr="00EB0978" w:rsidRDefault="003967A1" w:rsidP="00D22441">
            <w:pPr>
              <w:jc w:val="center"/>
              <w:rPr>
                <w:rFonts w:ascii="Arial Narrow" w:hAnsi="Arial Narrow" w:cs="Arial"/>
                <w:b/>
                <w:bCs/>
                <w:color w:val="000000"/>
                <w:spacing w:val="0"/>
                <w:sz w:val="18"/>
                <w:szCs w:val="18"/>
                <w:lang w:eastAsia="es-CO"/>
              </w:rPr>
            </w:pPr>
            <w:r w:rsidRPr="00EB0978">
              <w:rPr>
                <w:rFonts w:ascii="Arial Narrow" w:hAnsi="Arial Narrow" w:cs="Arial"/>
                <w:b/>
                <w:bCs/>
                <w:color w:val="000000"/>
                <w:spacing w:val="0"/>
                <w:sz w:val="18"/>
                <w:szCs w:val="18"/>
                <w:lang w:eastAsia="es-CO"/>
              </w:rPr>
              <w:t>%</w:t>
            </w:r>
          </w:p>
        </w:tc>
        <w:tc>
          <w:tcPr>
            <w:tcW w:w="772" w:type="dxa"/>
            <w:tcBorders>
              <w:top w:val="nil"/>
              <w:left w:val="nil"/>
              <w:bottom w:val="single" w:sz="8" w:space="0" w:color="auto"/>
              <w:right w:val="single" w:sz="8" w:space="0" w:color="auto"/>
            </w:tcBorders>
            <w:shd w:val="clear" w:color="auto" w:fill="E7E6E6" w:themeFill="background2"/>
            <w:vAlign w:val="center"/>
            <w:hideMark/>
          </w:tcPr>
          <w:p w14:paraId="5533A60E" w14:textId="77777777" w:rsidR="003967A1" w:rsidRPr="00EB0978" w:rsidRDefault="003967A1" w:rsidP="00D22441">
            <w:pPr>
              <w:jc w:val="center"/>
              <w:rPr>
                <w:rFonts w:ascii="Arial Narrow" w:hAnsi="Arial Narrow" w:cs="Arial"/>
                <w:b/>
                <w:bCs/>
                <w:color w:val="000000"/>
                <w:spacing w:val="0"/>
                <w:sz w:val="18"/>
                <w:szCs w:val="18"/>
                <w:lang w:eastAsia="es-CO"/>
              </w:rPr>
            </w:pPr>
            <w:r w:rsidRPr="00EB0978">
              <w:rPr>
                <w:rFonts w:ascii="Arial Narrow" w:hAnsi="Arial Narrow" w:cs="Arial"/>
                <w:b/>
                <w:bCs/>
                <w:color w:val="000000"/>
                <w:spacing w:val="0"/>
                <w:sz w:val="18"/>
                <w:szCs w:val="18"/>
                <w:lang w:eastAsia="es-CO"/>
              </w:rPr>
              <w:t>Cantidad</w:t>
            </w:r>
          </w:p>
        </w:tc>
        <w:tc>
          <w:tcPr>
            <w:tcW w:w="518" w:type="dxa"/>
            <w:tcBorders>
              <w:top w:val="nil"/>
              <w:left w:val="nil"/>
              <w:bottom w:val="single" w:sz="8" w:space="0" w:color="auto"/>
              <w:right w:val="single" w:sz="8" w:space="0" w:color="auto"/>
            </w:tcBorders>
            <w:shd w:val="clear" w:color="auto" w:fill="E7E6E6" w:themeFill="background2"/>
            <w:vAlign w:val="center"/>
            <w:hideMark/>
          </w:tcPr>
          <w:p w14:paraId="39764559" w14:textId="77777777" w:rsidR="003967A1" w:rsidRPr="00EB0978" w:rsidRDefault="003967A1" w:rsidP="00D22441">
            <w:pPr>
              <w:jc w:val="center"/>
              <w:rPr>
                <w:rFonts w:ascii="Arial Narrow" w:hAnsi="Arial Narrow" w:cs="Arial"/>
                <w:b/>
                <w:bCs/>
                <w:color w:val="000000"/>
                <w:spacing w:val="0"/>
                <w:sz w:val="18"/>
                <w:szCs w:val="18"/>
                <w:lang w:eastAsia="es-CO"/>
              </w:rPr>
            </w:pPr>
            <w:r w:rsidRPr="00EB0978">
              <w:rPr>
                <w:rFonts w:ascii="Arial Narrow" w:hAnsi="Arial Narrow" w:cs="Arial"/>
                <w:b/>
                <w:bCs/>
                <w:color w:val="000000"/>
                <w:spacing w:val="0"/>
                <w:sz w:val="18"/>
                <w:szCs w:val="18"/>
                <w:lang w:eastAsia="es-CO"/>
              </w:rPr>
              <w:t>%</w:t>
            </w:r>
          </w:p>
        </w:tc>
      </w:tr>
      <w:tr w:rsidR="003967A1" w:rsidRPr="00EB0978" w14:paraId="1EDF55FD" w14:textId="77777777" w:rsidTr="008A7878">
        <w:trPr>
          <w:trHeight w:val="270"/>
          <w:jc w:val="center"/>
        </w:trPr>
        <w:tc>
          <w:tcPr>
            <w:tcW w:w="1264" w:type="dxa"/>
            <w:tcBorders>
              <w:top w:val="nil"/>
              <w:left w:val="single" w:sz="8" w:space="0" w:color="auto"/>
              <w:bottom w:val="single" w:sz="8" w:space="0" w:color="auto"/>
              <w:right w:val="single" w:sz="8" w:space="0" w:color="auto"/>
            </w:tcBorders>
            <w:shd w:val="clear" w:color="auto" w:fill="auto"/>
            <w:vAlign w:val="center"/>
            <w:hideMark/>
          </w:tcPr>
          <w:p w14:paraId="3DA9E781" w14:textId="77777777" w:rsidR="003967A1" w:rsidRPr="00EB0978" w:rsidRDefault="003967A1" w:rsidP="00D22441">
            <w:pPr>
              <w:jc w:val="left"/>
              <w:rPr>
                <w:rFonts w:ascii="Arial Narrow" w:hAnsi="Arial Narrow" w:cs="Arial"/>
                <w:spacing w:val="0"/>
                <w:sz w:val="18"/>
                <w:szCs w:val="18"/>
                <w:lang w:eastAsia="es-CO"/>
              </w:rPr>
            </w:pPr>
            <w:r w:rsidRPr="00EB0978">
              <w:rPr>
                <w:rFonts w:ascii="Arial Narrow" w:hAnsi="Arial Narrow" w:cs="Arial"/>
                <w:spacing w:val="0"/>
                <w:sz w:val="18"/>
                <w:szCs w:val="18"/>
                <w:lang w:eastAsia="es-CO"/>
              </w:rPr>
              <w:t>Energía</w:t>
            </w:r>
          </w:p>
        </w:tc>
        <w:tc>
          <w:tcPr>
            <w:tcW w:w="772" w:type="dxa"/>
            <w:tcBorders>
              <w:top w:val="nil"/>
              <w:left w:val="nil"/>
              <w:bottom w:val="single" w:sz="8" w:space="0" w:color="auto"/>
              <w:right w:val="single" w:sz="8" w:space="0" w:color="auto"/>
            </w:tcBorders>
            <w:shd w:val="clear" w:color="auto" w:fill="auto"/>
            <w:vAlign w:val="center"/>
            <w:hideMark/>
          </w:tcPr>
          <w:p w14:paraId="3A232431" w14:textId="77777777" w:rsidR="003967A1" w:rsidRPr="00EB0978" w:rsidRDefault="003967A1" w:rsidP="00D22441">
            <w:pPr>
              <w:jc w:val="right"/>
              <w:rPr>
                <w:rFonts w:ascii="Arial Narrow" w:hAnsi="Arial Narrow" w:cs="Arial"/>
                <w:spacing w:val="0"/>
                <w:sz w:val="18"/>
                <w:szCs w:val="18"/>
                <w:lang w:eastAsia="es-CO"/>
              </w:rPr>
            </w:pPr>
            <w:r w:rsidRPr="00EB0978">
              <w:rPr>
                <w:rFonts w:ascii="Arial Narrow" w:hAnsi="Arial Narrow" w:cs="Arial"/>
                <w:spacing w:val="0"/>
                <w:sz w:val="18"/>
                <w:szCs w:val="18"/>
                <w:lang w:eastAsia="es-CO"/>
              </w:rPr>
              <w:t>264</w:t>
            </w:r>
          </w:p>
        </w:tc>
        <w:tc>
          <w:tcPr>
            <w:tcW w:w="980" w:type="dxa"/>
            <w:tcBorders>
              <w:top w:val="nil"/>
              <w:left w:val="nil"/>
              <w:bottom w:val="single" w:sz="8" w:space="0" w:color="auto"/>
              <w:right w:val="single" w:sz="8" w:space="0" w:color="auto"/>
            </w:tcBorders>
            <w:shd w:val="clear" w:color="auto" w:fill="auto"/>
            <w:vAlign w:val="center"/>
            <w:hideMark/>
          </w:tcPr>
          <w:p w14:paraId="71304DF4" w14:textId="77777777" w:rsidR="003967A1" w:rsidRPr="00EB0978" w:rsidRDefault="003967A1" w:rsidP="00D22441">
            <w:pPr>
              <w:jc w:val="right"/>
              <w:rPr>
                <w:rFonts w:ascii="Arial Narrow" w:hAnsi="Arial Narrow" w:cs="Arial"/>
                <w:spacing w:val="0"/>
                <w:sz w:val="18"/>
                <w:szCs w:val="18"/>
                <w:lang w:eastAsia="es-CO"/>
              </w:rPr>
            </w:pPr>
            <w:r w:rsidRPr="00EB0978">
              <w:rPr>
                <w:rFonts w:ascii="Arial Narrow" w:hAnsi="Arial Narrow" w:cs="Arial"/>
                <w:spacing w:val="0"/>
                <w:sz w:val="18"/>
                <w:szCs w:val="18"/>
                <w:lang w:eastAsia="es-CO"/>
              </w:rPr>
              <w:t>54%</w:t>
            </w:r>
          </w:p>
        </w:tc>
        <w:tc>
          <w:tcPr>
            <w:tcW w:w="772" w:type="dxa"/>
            <w:tcBorders>
              <w:top w:val="nil"/>
              <w:left w:val="nil"/>
              <w:bottom w:val="single" w:sz="8" w:space="0" w:color="auto"/>
              <w:right w:val="single" w:sz="8" w:space="0" w:color="auto"/>
            </w:tcBorders>
            <w:shd w:val="clear" w:color="auto" w:fill="auto"/>
            <w:vAlign w:val="center"/>
            <w:hideMark/>
          </w:tcPr>
          <w:p w14:paraId="652B87E5" w14:textId="77777777" w:rsidR="003967A1" w:rsidRPr="00EB0978" w:rsidRDefault="003967A1" w:rsidP="00D22441">
            <w:pPr>
              <w:jc w:val="right"/>
              <w:rPr>
                <w:rFonts w:ascii="Arial Narrow" w:hAnsi="Arial Narrow" w:cs="Arial"/>
                <w:spacing w:val="0"/>
                <w:sz w:val="18"/>
                <w:szCs w:val="18"/>
                <w:lang w:eastAsia="es-CO"/>
              </w:rPr>
            </w:pPr>
            <w:r w:rsidRPr="00EB0978">
              <w:rPr>
                <w:rFonts w:ascii="Arial Narrow" w:hAnsi="Arial Narrow" w:cs="Arial"/>
                <w:spacing w:val="0"/>
                <w:sz w:val="18"/>
                <w:szCs w:val="18"/>
                <w:lang w:eastAsia="es-CO"/>
              </w:rPr>
              <w:t>97</w:t>
            </w:r>
          </w:p>
        </w:tc>
        <w:tc>
          <w:tcPr>
            <w:tcW w:w="518" w:type="dxa"/>
            <w:tcBorders>
              <w:top w:val="nil"/>
              <w:left w:val="nil"/>
              <w:bottom w:val="single" w:sz="8" w:space="0" w:color="auto"/>
              <w:right w:val="single" w:sz="8" w:space="0" w:color="auto"/>
            </w:tcBorders>
            <w:shd w:val="clear" w:color="auto" w:fill="auto"/>
            <w:vAlign w:val="center"/>
            <w:hideMark/>
          </w:tcPr>
          <w:p w14:paraId="52093894" w14:textId="77777777" w:rsidR="003967A1" w:rsidRPr="00EB0978" w:rsidRDefault="003967A1" w:rsidP="00D22441">
            <w:pPr>
              <w:jc w:val="right"/>
              <w:rPr>
                <w:rFonts w:ascii="Arial Narrow" w:hAnsi="Arial Narrow" w:cs="Arial"/>
                <w:spacing w:val="0"/>
                <w:sz w:val="18"/>
                <w:szCs w:val="18"/>
                <w:lang w:eastAsia="es-CO"/>
              </w:rPr>
            </w:pPr>
            <w:r w:rsidRPr="00EB0978">
              <w:rPr>
                <w:rFonts w:ascii="Arial Narrow" w:hAnsi="Arial Narrow" w:cs="Arial"/>
                <w:spacing w:val="0"/>
                <w:sz w:val="18"/>
                <w:szCs w:val="18"/>
                <w:lang w:eastAsia="es-CO"/>
              </w:rPr>
              <w:t>59%</w:t>
            </w:r>
          </w:p>
        </w:tc>
        <w:tc>
          <w:tcPr>
            <w:tcW w:w="772" w:type="dxa"/>
            <w:tcBorders>
              <w:top w:val="nil"/>
              <w:left w:val="nil"/>
              <w:bottom w:val="single" w:sz="8" w:space="0" w:color="auto"/>
              <w:right w:val="single" w:sz="8" w:space="0" w:color="auto"/>
            </w:tcBorders>
            <w:shd w:val="clear" w:color="000000" w:fill="FFFFFF"/>
            <w:vAlign w:val="center"/>
            <w:hideMark/>
          </w:tcPr>
          <w:p w14:paraId="46CC5E2E" w14:textId="77777777" w:rsidR="003967A1" w:rsidRPr="00EB0978" w:rsidRDefault="003967A1" w:rsidP="00D22441">
            <w:pPr>
              <w:jc w:val="right"/>
              <w:rPr>
                <w:rFonts w:ascii="Arial Narrow" w:hAnsi="Arial Narrow" w:cs="Arial"/>
                <w:spacing w:val="0"/>
                <w:sz w:val="18"/>
                <w:szCs w:val="18"/>
                <w:lang w:eastAsia="es-CO"/>
              </w:rPr>
            </w:pPr>
            <w:r w:rsidRPr="00EB0978">
              <w:rPr>
                <w:rFonts w:ascii="Arial Narrow" w:hAnsi="Arial Narrow" w:cs="Arial"/>
                <w:spacing w:val="0"/>
                <w:sz w:val="18"/>
                <w:szCs w:val="18"/>
                <w:lang w:eastAsia="es-CO"/>
              </w:rPr>
              <w:t>167</w:t>
            </w:r>
          </w:p>
        </w:tc>
        <w:tc>
          <w:tcPr>
            <w:tcW w:w="518" w:type="dxa"/>
            <w:tcBorders>
              <w:top w:val="nil"/>
              <w:left w:val="nil"/>
              <w:bottom w:val="single" w:sz="8" w:space="0" w:color="auto"/>
              <w:right w:val="single" w:sz="8" w:space="0" w:color="auto"/>
            </w:tcBorders>
            <w:shd w:val="clear" w:color="auto" w:fill="auto"/>
            <w:vAlign w:val="center"/>
            <w:hideMark/>
          </w:tcPr>
          <w:p w14:paraId="2945F170" w14:textId="77777777" w:rsidR="003967A1" w:rsidRPr="00EB0978" w:rsidRDefault="003967A1" w:rsidP="00D22441">
            <w:pPr>
              <w:jc w:val="right"/>
              <w:rPr>
                <w:rFonts w:ascii="Arial Narrow" w:hAnsi="Arial Narrow" w:cs="Arial"/>
                <w:spacing w:val="0"/>
                <w:sz w:val="18"/>
                <w:szCs w:val="18"/>
                <w:lang w:eastAsia="es-CO"/>
              </w:rPr>
            </w:pPr>
            <w:r w:rsidRPr="00EB0978">
              <w:rPr>
                <w:rFonts w:ascii="Arial Narrow" w:hAnsi="Arial Narrow" w:cs="Arial"/>
                <w:spacing w:val="0"/>
                <w:sz w:val="18"/>
                <w:szCs w:val="18"/>
                <w:lang w:eastAsia="es-CO"/>
              </w:rPr>
              <w:t>51%</w:t>
            </w:r>
          </w:p>
        </w:tc>
        <w:tc>
          <w:tcPr>
            <w:tcW w:w="772" w:type="dxa"/>
            <w:tcBorders>
              <w:top w:val="nil"/>
              <w:left w:val="nil"/>
              <w:bottom w:val="single" w:sz="8" w:space="0" w:color="auto"/>
              <w:right w:val="single" w:sz="8" w:space="0" w:color="auto"/>
            </w:tcBorders>
            <w:shd w:val="clear" w:color="auto" w:fill="auto"/>
            <w:vAlign w:val="center"/>
            <w:hideMark/>
          </w:tcPr>
          <w:p w14:paraId="7B4C30A6" w14:textId="77777777" w:rsidR="003967A1" w:rsidRPr="00EB0978" w:rsidRDefault="003967A1" w:rsidP="00D22441">
            <w:pPr>
              <w:jc w:val="right"/>
              <w:rPr>
                <w:rFonts w:ascii="Arial Narrow" w:hAnsi="Arial Narrow" w:cs="Arial"/>
                <w:spacing w:val="0"/>
                <w:sz w:val="18"/>
                <w:szCs w:val="18"/>
                <w:lang w:eastAsia="es-CO"/>
              </w:rPr>
            </w:pPr>
            <w:r w:rsidRPr="00EB0978">
              <w:rPr>
                <w:rFonts w:ascii="Arial Narrow" w:hAnsi="Arial Narrow" w:cs="Arial"/>
                <w:spacing w:val="0"/>
                <w:sz w:val="18"/>
                <w:szCs w:val="18"/>
                <w:lang w:eastAsia="es-CO"/>
              </w:rPr>
              <w:t>8</w:t>
            </w:r>
          </w:p>
        </w:tc>
        <w:tc>
          <w:tcPr>
            <w:tcW w:w="518" w:type="dxa"/>
            <w:tcBorders>
              <w:top w:val="nil"/>
              <w:left w:val="nil"/>
              <w:bottom w:val="single" w:sz="8" w:space="0" w:color="auto"/>
              <w:right w:val="single" w:sz="8" w:space="0" w:color="auto"/>
            </w:tcBorders>
            <w:shd w:val="clear" w:color="auto" w:fill="auto"/>
            <w:vAlign w:val="center"/>
            <w:hideMark/>
          </w:tcPr>
          <w:p w14:paraId="34F33DC7" w14:textId="77777777" w:rsidR="003967A1" w:rsidRPr="00EB0978" w:rsidRDefault="003967A1" w:rsidP="00D22441">
            <w:pPr>
              <w:jc w:val="right"/>
              <w:rPr>
                <w:rFonts w:ascii="Arial Narrow" w:hAnsi="Arial Narrow" w:cs="Arial"/>
                <w:spacing w:val="0"/>
                <w:sz w:val="18"/>
                <w:szCs w:val="18"/>
                <w:lang w:eastAsia="es-CO"/>
              </w:rPr>
            </w:pPr>
            <w:r w:rsidRPr="00EB0978">
              <w:rPr>
                <w:rFonts w:ascii="Arial Narrow" w:hAnsi="Arial Narrow" w:cs="Arial"/>
                <w:spacing w:val="0"/>
                <w:sz w:val="18"/>
                <w:szCs w:val="18"/>
                <w:lang w:eastAsia="es-CO"/>
              </w:rPr>
              <w:t>57%</w:t>
            </w:r>
          </w:p>
        </w:tc>
        <w:tc>
          <w:tcPr>
            <w:tcW w:w="772" w:type="dxa"/>
            <w:tcBorders>
              <w:top w:val="nil"/>
              <w:left w:val="nil"/>
              <w:bottom w:val="single" w:sz="8" w:space="0" w:color="auto"/>
              <w:right w:val="single" w:sz="8" w:space="0" w:color="auto"/>
            </w:tcBorders>
            <w:shd w:val="clear" w:color="auto" w:fill="auto"/>
            <w:vAlign w:val="center"/>
            <w:hideMark/>
          </w:tcPr>
          <w:p w14:paraId="7295BD4D" w14:textId="77777777" w:rsidR="003967A1" w:rsidRPr="00EB0978" w:rsidRDefault="003967A1" w:rsidP="00D22441">
            <w:pPr>
              <w:jc w:val="right"/>
              <w:rPr>
                <w:rFonts w:ascii="Arial Narrow" w:hAnsi="Arial Narrow" w:cs="Arial"/>
                <w:spacing w:val="0"/>
                <w:sz w:val="18"/>
                <w:szCs w:val="18"/>
                <w:lang w:eastAsia="es-CO"/>
              </w:rPr>
            </w:pPr>
            <w:r w:rsidRPr="00EB0978">
              <w:rPr>
                <w:rFonts w:ascii="Arial Narrow" w:hAnsi="Arial Narrow" w:cs="Arial"/>
                <w:spacing w:val="0"/>
                <w:sz w:val="18"/>
                <w:szCs w:val="18"/>
                <w:lang w:eastAsia="es-CO"/>
              </w:rPr>
              <w:t>2</w:t>
            </w:r>
          </w:p>
        </w:tc>
        <w:tc>
          <w:tcPr>
            <w:tcW w:w="518" w:type="dxa"/>
            <w:tcBorders>
              <w:top w:val="nil"/>
              <w:left w:val="nil"/>
              <w:bottom w:val="single" w:sz="8" w:space="0" w:color="auto"/>
              <w:right w:val="single" w:sz="8" w:space="0" w:color="auto"/>
            </w:tcBorders>
            <w:shd w:val="clear" w:color="auto" w:fill="auto"/>
            <w:vAlign w:val="center"/>
            <w:hideMark/>
          </w:tcPr>
          <w:p w14:paraId="758C3425" w14:textId="77777777" w:rsidR="003967A1" w:rsidRPr="00EB0978" w:rsidRDefault="003967A1" w:rsidP="00D22441">
            <w:pPr>
              <w:jc w:val="right"/>
              <w:rPr>
                <w:rFonts w:ascii="Arial Narrow" w:hAnsi="Arial Narrow" w:cs="Arial"/>
                <w:spacing w:val="0"/>
                <w:sz w:val="18"/>
                <w:szCs w:val="18"/>
                <w:lang w:eastAsia="es-CO"/>
              </w:rPr>
            </w:pPr>
            <w:r w:rsidRPr="00EB0978">
              <w:rPr>
                <w:rFonts w:ascii="Arial Narrow" w:hAnsi="Arial Narrow" w:cs="Arial"/>
                <w:spacing w:val="0"/>
                <w:sz w:val="18"/>
                <w:szCs w:val="18"/>
                <w:lang w:eastAsia="es-CO"/>
              </w:rPr>
              <w:t>100%</w:t>
            </w:r>
          </w:p>
        </w:tc>
        <w:tc>
          <w:tcPr>
            <w:tcW w:w="772" w:type="dxa"/>
            <w:tcBorders>
              <w:top w:val="nil"/>
              <w:left w:val="nil"/>
              <w:bottom w:val="single" w:sz="8" w:space="0" w:color="auto"/>
              <w:right w:val="single" w:sz="8" w:space="0" w:color="auto"/>
            </w:tcBorders>
            <w:shd w:val="clear" w:color="auto" w:fill="auto"/>
            <w:vAlign w:val="center"/>
            <w:hideMark/>
          </w:tcPr>
          <w:p w14:paraId="1EB97557" w14:textId="77777777" w:rsidR="003967A1" w:rsidRPr="00EB0978" w:rsidRDefault="003967A1" w:rsidP="00D22441">
            <w:pPr>
              <w:jc w:val="right"/>
              <w:rPr>
                <w:rFonts w:ascii="Arial Narrow" w:hAnsi="Arial Narrow" w:cs="Arial"/>
                <w:spacing w:val="0"/>
                <w:sz w:val="18"/>
                <w:szCs w:val="18"/>
                <w:lang w:eastAsia="es-CO"/>
              </w:rPr>
            </w:pPr>
            <w:r w:rsidRPr="00EB0978">
              <w:rPr>
                <w:rFonts w:ascii="Arial Narrow" w:hAnsi="Arial Narrow" w:cs="Arial"/>
                <w:spacing w:val="0"/>
                <w:sz w:val="18"/>
                <w:szCs w:val="18"/>
                <w:lang w:eastAsia="es-CO"/>
              </w:rPr>
              <w:t>157</w:t>
            </w:r>
          </w:p>
        </w:tc>
        <w:tc>
          <w:tcPr>
            <w:tcW w:w="518" w:type="dxa"/>
            <w:tcBorders>
              <w:top w:val="nil"/>
              <w:left w:val="nil"/>
              <w:bottom w:val="single" w:sz="8" w:space="0" w:color="auto"/>
              <w:right w:val="single" w:sz="8" w:space="0" w:color="auto"/>
            </w:tcBorders>
            <w:shd w:val="clear" w:color="auto" w:fill="auto"/>
            <w:vAlign w:val="center"/>
            <w:hideMark/>
          </w:tcPr>
          <w:p w14:paraId="4BD754DC" w14:textId="77777777" w:rsidR="003967A1" w:rsidRPr="00EB0978" w:rsidRDefault="003967A1" w:rsidP="00D22441">
            <w:pPr>
              <w:jc w:val="right"/>
              <w:rPr>
                <w:rFonts w:ascii="Arial Narrow" w:hAnsi="Arial Narrow" w:cs="Arial"/>
                <w:spacing w:val="0"/>
                <w:sz w:val="18"/>
                <w:szCs w:val="18"/>
                <w:lang w:eastAsia="es-CO"/>
              </w:rPr>
            </w:pPr>
            <w:r w:rsidRPr="00EB0978">
              <w:rPr>
                <w:rFonts w:ascii="Arial Narrow" w:hAnsi="Arial Narrow" w:cs="Arial"/>
                <w:spacing w:val="0"/>
                <w:sz w:val="18"/>
                <w:szCs w:val="18"/>
                <w:lang w:eastAsia="es-CO"/>
              </w:rPr>
              <w:t>50%</w:t>
            </w:r>
          </w:p>
        </w:tc>
      </w:tr>
      <w:tr w:rsidR="003967A1" w:rsidRPr="00EB0978" w14:paraId="74DA31F5" w14:textId="77777777" w:rsidTr="008A7878">
        <w:trPr>
          <w:trHeight w:val="270"/>
          <w:jc w:val="center"/>
        </w:trPr>
        <w:tc>
          <w:tcPr>
            <w:tcW w:w="1264" w:type="dxa"/>
            <w:tcBorders>
              <w:top w:val="nil"/>
              <w:left w:val="single" w:sz="8" w:space="0" w:color="auto"/>
              <w:bottom w:val="single" w:sz="8" w:space="0" w:color="auto"/>
              <w:right w:val="single" w:sz="8" w:space="0" w:color="auto"/>
            </w:tcBorders>
            <w:shd w:val="clear" w:color="auto" w:fill="auto"/>
            <w:vAlign w:val="center"/>
            <w:hideMark/>
          </w:tcPr>
          <w:p w14:paraId="78F28B1F" w14:textId="77777777" w:rsidR="003967A1" w:rsidRPr="00EB0978" w:rsidRDefault="003967A1" w:rsidP="00D22441">
            <w:pPr>
              <w:jc w:val="left"/>
              <w:rPr>
                <w:rFonts w:ascii="Arial Narrow" w:hAnsi="Arial Narrow" w:cs="Arial"/>
                <w:spacing w:val="0"/>
                <w:sz w:val="18"/>
                <w:szCs w:val="18"/>
                <w:lang w:eastAsia="es-CO"/>
              </w:rPr>
            </w:pPr>
            <w:r w:rsidRPr="00EB0978">
              <w:rPr>
                <w:rFonts w:ascii="Arial Narrow" w:hAnsi="Arial Narrow" w:cs="Arial"/>
                <w:spacing w:val="0"/>
                <w:sz w:val="18"/>
                <w:szCs w:val="18"/>
                <w:lang w:eastAsia="es-CO"/>
              </w:rPr>
              <w:t>Energía – Gas</w:t>
            </w:r>
          </w:p>
        </w:tc>
        <w:tc>
          <w:tcPr>
            <w:tcW w:w="772" w:type="dxa"/>
            <w:tcBorders>
              <w:top w:val="nil"/>
              <w:left w:val="nil"/>
              <w:bottom w:val="single" w:sz="8" w:space="0" w:color="auto"/>
              <w:right w:val="single" w:sz="8" w:space="0" w:color="auto"/>
            </w:tcBorders>
            <w:shd w:val="clear" w:color="auto" w:fill="auto"/>
            <w:vAlign w:val="center"/>
            <w:hideMark/>
          </w:tcPr>
          <w:p w14:paraId="0BD017A8" w14:textId="77777777" w:rsidR="003967A1" w:rsidRPr="00EB0978" w:rsidRDefault="003967A1" w:rsidP="00D22441">
            <w:pPr>
              <w:jc w:val="right"/>
              <w:rPr>
                <w:rFonts w:ascii="Arial Narrow" w:hAnsi="Arial Narrow" w:cs="Arial"/>
                <w:spacing w:val="0"/>
                <w:sz w:val="18"/>
                <w:szCs w:val="18"/>
                <w:lang w:eastAsia="es-CO"/>
              </w:rPr>
            </w:pPr>
            <w:r w:rsidRPr="00EB0978">
              <w:rPr>
                <w:rFonts w:ascii="Arial Narrow" w:hAnsi="Arial Narrow" w:cs="Arial"/>
                <w:spacing w:val="0"/>
                <w:sz w:val="18"/>
                <w:szCs w:val="18"/>
                <w:lang w:eastAsia="es-CO"/>
              </w:rPr>
              <w:t>13</w:t>
            </w:r>
          </w:p>
        </w:tc>
        <w:tc>
          <w:tcPr>
            <w:tcW w:w="980" w:type="dxa"/>
            <w:tcBorders>
              <w:top w:val="nil"/>
              <w:left w:val="nil"/>
              <w:bottom w:val="single" w:sz="8" w:space="0" w:color="auto"/>
              <w:right w:val="single" w:sz="8" w:space="0" w:color="auto"/>
            </w:tcBorders>
            <w:shd w:val="clear" w:color="auto" w:fill="auto"/>
            <w:vAlign w:val="center"/>
            <w:hideMark/>
          </w:tcPr>
          <w:p w14:paraId="49283104" w14:textId="77777777" w:rsidR="003967A1" w:rsidRPr="00EB0978" w:rsidRDefault="003967A1" w:rsidP="00D22441">
            <w:pPr>
              <w:jc w:val="right"/>
              <w:rPr>
                <w:rFonts w:ascii="Arial Narrow" w:hAnsi="Arial Narrow" w:cs="Arial"/>
                <w:spacing w:val="0"/>
                <w:sz w:val="18"/>
                <w:szCs w:val="18"/>
                <w:lang w:eastAsia="es-CO"/>
              </w:rPr>
            </w:pPr>
            <w:r w:rsidRPr="00EB0978">
              <w:rPr>
                <w:rFonts w:ascii="Arial Narrow" w:hAnsi="Arial Narrow" w:cs="Arial"/>
                <w:spacing w:val="0"/>
                <w:sz w:val="18"/>
                <w:szCs w:val="18"/>
                <w:lang w:eastAsia="es-CO"/>
              </w:rPr>
              <w:t>3%</w:t>
            </w:r>
          </w:p>
        </w:tc>
        <w:tc>
          <w:tcPr>
            <w:tcW w:w="772" w:type="dxa"/>
            <w:tcBorders>
              <w:top w:val="nil"/>
              <w:left w:val="nil"/>
              <w:bottom w:val="single" w:sz="8" w:space="0" w:color="auto"/>
              <w:right w:val="single" w:sz="8" w:space="0" w:color="auto"/>
            </w:tcBorders>
            <w:shd w:val="clear" w:color="auto" w:fill="auto"/>
            <w:vAlign w:val="center"/>
            <w:hideMark/>
          </w:tcPr>
          <w:p w14:paraId="25ED4E02" w14:textId="77777777" w:rsidR="003967A1" w:rsidRPr="00EB0978" w:rsidRDefault="003967A1" w:rsidP="00D22441">
            <w:pPr>
              <w:jc w:val="right"/>
              <w:rPr>
                <w:rFonts w:ascii="Arial Narrow" w:hAnsi="Arial Narrow" w:cs="Arial"/>
                <w:spacing w:val="0"/>
                <w:sz w:val="18"/>
                <w:szCs w:val="18"/>
                <w:lang w:eastAsia="es-CO"/>
              </w:rPr>
            </w:pPr>
            <w:r w:rsidRPr="00EB0978">
              <w:rPr>
                <w:rFonts w:ascii="Arial Narrow" w:hAnsi="Arial Narrow" w:cs="Arial"/>
                <w:spacing w:val="0"/>
                <w:sz w:val="18"/>
                <w:szCs w:val="18"/>
                <w:lang w:eastAsia="es-CO"/>
              </w:rPr>
              <w:t>2</w:t>
            </w:r>
          </w:p>
        </w:tc>
        <w:tc>
          <w:tcPr>
            <w:tcW w:w="518" w:type="dxa"/>
            <w:tcBorders>
              <w:top w:val="nil"/>
              <w:left w:val="nil"/>
              <w:bottom w:val="single" w:sz="8" w:space="0" w:color="auto"/>
              <w:right w:val="single" w:sz="8" w:space="0" w:color="auto"/>
            </w:tcBorders>
            <w:shd w:val="clear" w:color="auto" w:fill="auto"/>
            <w:vAlign w:val="center"/>
            <w:hideMark/>
          </w:tcPr>
          <w:p w14:paraId="1BD65741" w14:textId="77777777" w:rsidR="003967A1" w:rsidRPr="00EB0978" w:rsidRDefault="003967A1" w:rsidP="00D22441">
            <w:pPr>
              <w:jc w:val="right"/>
              <w:rPr>
                <w:rFonts w:ascii="Arial Narrow" w:hAnsi="Arial Narrow" w:cs="Arial"/>
                <w:spacing w:val="0"/>
                <w:sz w:val="18"/>
                <w:szCs w:val="18"/>
                <w:lang w:eastAsia="es-CO"/>
              </w:rPr>
            </w:pPr>
            <w:r w:rsidRPr="00EB0978">
              <w:rPr>
                <w:rFonts w:ascii="Arial Narrow" w:hAnsi="Arial Narrow" w:cs="Arial"/>
                <w:spacing w:val="0"/>
                <w:sz w:val="18"/>
                <w:szCs w:val="18"/>
                <w:lang w:eastAsia="es-CO"/>
              </w:rPr>
              <w:t>1%</w:t>
            </w:r>
          </w:p>
        </w:tc>
        <w:tc>
          <w:tcPr>
            <w:tcW w:w="772" w:type="dxa"/>
            <w:tcBorders>
              <w:top w:val="nil"/>
              <w:left w:val="nil"/>
              <w:bottom w:val="single" w:sz="8" w:space="0" w:color="auto"/>
              <w:right w:val="single" w:sz="8" w:space="0" w:color="auto"/>
            </w:tcBorders>
            <w:shd w:val="clear" w:color="000000" w:fill="FFFFFF"/>
            <w:vAlign w:val="center"/>
            <w:hideMark/>
          </w:tcPr>
          <w:p w14:paraId="08DE18C1" w14:textId="77777777" w:rsidR="003967A1" w:rsidRPr="00EB0978" w:rsidRDefault="003967A1" w:rsidP="00D22441">
            <w:pPr>
              <w:jc w:val="right"/>
              <w:rPr>
                <w:rFonts w:ascii="Arial Narrow" w:hAnsi="Arial Narrow" w:cs="Arial"/>
                <w:spacing w:val="0"/>
                <w:sz w:val="18"/>
                <w:szCs w:val="18"/>
                <w:lang w:eastAsia="es-CO"/>
              </w:rPr>
            </w:pPr>
            <w:r w:rsidRPr="00EB0978">
              <w:rPr>
                <w:rFonts w:ascii="Arial Narrow" w:hAnsi="Arial Narrow" w:cs="Arial"/>
                <w:spacing w:val="0"/>
                <w:sz w:val="18"/>
                <w:szCs w:val="18"/>
                <w:lang w:eastAsia="es-CO"/>
              </w:rPr>
              <w:t>11</w:t>
            </w:r>
          </w:p>
        </w:tc>
        <w:tc>
          <w:tcPr>
            <w:tcW w:w="518" w:type="dxa"/>
            <w:tcBorders>
              <w:top w:val="nil"/>
              <w:left w:val="nil"/>
              <w:bottom w:val="single" w:sz="8" w:space="0" w:color="auto"/>
              <w:right w:val="single" w:sz="8" w:space="0" w:color="auto"/>
            </w:tcBorders>
            <w:shd w:val="clear" w:color="auto" w:fill="auto"/>
            <w:vAlign w:val="center"/>
            <w:hideMark/>
          </w:tcPr>
          <w:p w14:paraId="4B686A2C" w14:textId="77777777" w:rsidR="003967A1" w:rsidRPr="00EB0978" w:rsidRDefault="003967A1" w:rsidP="00D22441">
            <w:pPr>
              <w:jc w:val="right"/>
              <w:rPr>
                <w:rFonts w:ascii="Arial Narrow" w:hAnsi="Arial Narrow" w:cs="Arial"/>
                <w:spacing w:val="0"/>
                <w:sz w:val="18"/>
                <w:szCs w:val="18"/>
                <w:lang w:eastAsia="es-CO"/>
              </w:rPr>
            </w:pPr>
            <w:r w:rsidRPr="00EB0978">
              <w:rPr>
                <w:rFonts w:ascii="Arial Narrow" w:hAnsi="Arial Narrow" w:cs="Arial"/>
                <w:spacing w:val="0"/>
                <w:sz w:val="18"/>
                <w:szCs w:val="18"/>
                <w:lang w:eastAsia="es-CO"/>
              </w:rPr>
              <w:t>3%</w:t>
            </w:r>
          </w:p>
        </w:tc>
        <w:tc>
          <w:tcPr>
            <w:tcW w:w="772" w:type="dxa"/>
            <w:tcBorders>
              <w:top w:val="nil"/>
              <w:left w:val="nil"/>
              <w:bottom w:val="single" w:sz="8" w:space="0" w:color="auto"/>
              <w:right w:val="single" w:sz="8" w:space="0" w:color="auto"/>
            </w:tcBorders>
            <w:shd w:val="clear" w:color="auto" w:fill="auto"/>
            <w:vAlign w:val="center"/>
            <w:hideMark/>
          </w:tcPr>
          <w:p w14:paraId="7FBDED73" w14:textId="77777777" w:rsidR="003967A1" w:rsidRPr="00EB0978" w:rsidRDefault="003967A1" w:rsidP="00D22441">
            <w:pPr>
              <w:jc w:val="right"/>
              <w:rPr>
                <w:rFonts w:ascii="Arial Narrow" w:hAnsi="Arial Narrow" w:cs="Arial"/>
                <w:spacing w:val="0"/>
                <w:sz w:val="18"/>
                <w:szCs w:val="18"/>
                <w:lang w:eastAsia="es-CO"/>
              </w:rPr>
            </w:pPr>
            <w:r w:rsidRPr="00EB0978">
              <w:rPr>
                <w:rFonts w:ascii="Arial Narrow" w:hAnsi="Arial Narrow" w:cs="Arial"/>
                <w:spacing w:val="0"/>
                <w:sz w:val="18"/>
                <w:szCs w:val="18"/>
                <w:lang w:eastAsia="es-CO"/>
              </w:rPr>
              <w:t>0</w:t>
            </w:r>
          </w:p>
        </w:tc>
        <w:tc>
          <w:tcPr>
            <w:tcW w:w="518" w:type="dxa"/>
            <w:tcBorders>
              <w:top w:val="nil"/>
              <w:left w:val="nil"/>
              <w:bottom w:val="single" w:sz="8" w:space="0" w:color="auto"/>
              <w:right w:val="single" w:sz="8" w:space="0" w:color="auto"/>
            </w:tcBorders>
            <w:shd w:val="clear" w:color="auto" w:fill="auto"/>
            <w:vAlign w:val="center"/>
            <w:hideMark/>
          </w:tcPr>
          <w:p w14:paraId="344B6251" w14:textId="77777777" w:rsidR="003967A1" w:rsidRPr="00EB0978" w:rsidRDefault="003967A1" w:rsidP="00D22441">
            <w:pPr>
              <w:jc w:val="right"/>
              <w:rPr>
                <w:rFonts w:ascii="Arial Narrow" w:hAnsi="Arial Narrow" w:cs="Arial"/>
                <w:spacing w:val="0"/>
                <w:sz w:val="18"/>
                <w:szCs w:val="18"/>
                <w:lang w:eastAsia="es-CO"/>
              </w:rPr>
            </w:pPr>
            <w:r w:rsidRPr="00EB0978">
              <w:rPr>
                <w:rFonts w:ascii="Arial Narrow" w:hAnsi="Arial Narrow" w:cs="Arial"/>
                <w:spacing w:val="0"/>
                <w:sz w:val="18"/>
                <w:szCs w:val="18"/>
                <w:lang w:eastAsia="es-CO"/>
              </w:rPr>
              <w:t>0%</w:t>
            </w:r>
          </w:p>
        </w:tc>
        <w:tc>
          <w:tcPr>
            <w:tcW w:w="772" w:type="dxa"/>
            <w:tcBorders>
              <w:top w:val="nil"/>
              <w:left w:val="nil"/>
              <w:bottom w:val="single" w:sz="8" w:space="0" w:color="auto"/>
              <w:right w:val="single" w:sz="8" w:space="0" w:color="auto"/>
            </w:tcBorders>
            <w:shd w:val="clear" w:color="auto" w:fill="auto"/>
            <w:vAlign w:val="center"/>
            <w:hideMark/>
          </w:tcPr>
          <w:p w14:paraId="4B079BE9" w14:textId="77777777" w:rsidR="003967A1" w:rsidRPr="00EB0978" w:rsidRDefault="003967A1" w:rsidP="00D22441">
            <w:pPr>
              <w:jc w:val="right"/>
              <w:rPr>
                <w:rFonts w:ascii="Arial Narrow" w:hAnsi="Arial Narrow" w:cs="Arial"/>
                <w:spacing w:val="0"/>
                <w:sz w:val="18"/>
                <w:szCs w:val="18"/>
                <w:lang w:eastAsia="es-CO"/>
              </w:rPr>
            </w:pPr>
            <w:r w:rsidRPr="00EB0978">
              <w:rPr>
                <w:rFonts w:ascii="Arial Narrow" w:hAnsi="Arial Narrow" w:cs="Arial"/>
                <w:spacing w:val="0"/>
                <w:sz w:val="18"/>
                <w:szCs w:val="18"/>
                <w:lang w:eastAsia="es-CO"/>
              </w:rPr>
              <w:t>0</w:t>
            </w:r>
          </w:p>
        </w:tc>
        <w:tc>
          <w:tcPr>
            <w:tcW w:w="518" w:type="dxa"/>
            <w:tcBorders>
              <w:top w:val="nil"/>
              <w:left w:val="nil"/>
              <w:bottom w:val="single" w:sz="8" w:space="0" w:color="auto"/>
              <w:right w:val="single" w:sz="8" w:space="0" w:color="auto"/>
            </w:tcBorders>
            <w:shd w:val="clear" w:color="auto" w:fill="auto"/>
            <w:vAlign w:val="center"/>
            <w:hideMark/>
          </w:tcPr>
          <w:p w14:paraId="7DF5155A" w14:textId="77777777" w:rsidR="003967A1" w:rsidRPr="00EB0978" w:rsidRDefault="003967A1" w:rsidP="00D22441">
            <w:pPr>
              <w:jc w:val="right"/>
              <w:rPr>
                <w:rFonts w:ascii="Arial Narrow" w:hAnsi="Arial Narrow" w:cs="Arial"/>
                <w:spacing w:val="0"/>
                <w:sz w:val="18"/>
                <w:szCs w:val="18"/>
                <w:lang w:eastAsia="es-CO"/>
              </w:rPr>
            </w:pPr>
            <w:r w:rsidRPr="00EB0978">
              <w:rPr>
                <w:rFonts w:ascii="Arial Narrow" w:hAnsi="Arial Narrow" w:cs="Arial"/>
                <w:spacing w:val="0"/>
                <w:sz w:val="18"/>
                <w:szCs w:val="18"/>
                <w:lang w:eastAsia="es-CO"/>
              </w:rPr>
              <w:t>0%</w:t>
            </w:r>
          </w:p>
        </w:tc>
        <w:tc>
          <w:tcPr>
            <w:tcW w:w="772" w:type="dxa"/>
            <w:tcBorders>
              <w:top w:val="nil"/>
              <w:left w:val="nil"/>
              <w:bottom w:val="single" w:sz="8" w:space="0" w:color="auto"/>
              <w:right w:val="single" w:sz="8" w:space="0" w:color="auto"/>
            </w:tcBorders>
            <w:shd w:val="clear" w:color="auto" w:fill="auto"/>
            <w:vAlign w:val="center"/>
            <w:hideMark/>
          </w:tcPr>
          <w:p w14:paraId="3E412A7C" w14:textId="77777777" w:rsidR="003967A1" w:rsidRPr="00EB0978" w:rsidRDefault="003967A1" w:rsidP="00D22441">
            <w:pPr>
              <w:jc w:val="right"/>
              <w:rPr>
                <w:rFonts w:ascii="Arial Narrow" w:hAnsi="Arial Narrow" w:cs="Arial"/>
                <w:spacing w:val="0"/>
                <w:sz w:val="18"/>
                <w:szCs w:val="18"/>
                <w:lang w:eastAsia="es-CO"/>
              </w:rPr>
            </w:pPr>
            <w:r w:rsidRPr="00EB0978">
              <w:rPr>
                <w:rFonts w:ascii="Arial Narrow" w:hAnsi="Arial Narrow" w:cs="Arial"/>
                <w:spacing w:val="0"/>
                <w:sz w:val="18"/>
                <w:szCs w:val="18"/>
                <w:lang w:eastAsia="es-CO"/>
              </w:rPr>
              <w:t>11</w:t>
            </w:r>
          </w:p>
        </w:tc>
        <w:tc>
          <w:tcPr>
            <w:tcW w:w="518" w:type="dxa"/>
            <w:tcBorders>
              <w:top w:val="nil"/>
              <w:left w:val="nil"/>
              <w:bottom w:val="single" w:sz="8" w:space="0" w:color="auto"/>
              <w:right w:val="single" w:sz="8" w:space="0" w:color="auto"/>
            </w:tcBorders>
            <w:shd w:val="clear" w:color="auto" w:fill="auto"/>
            <w:vAlign w:val="center"/>
            <w:hideMark/>
          </w:tcPr>
          <w:p w14:paraId="6507BC93" w14:textId="77777777" w:rsidR="003967A1" w:rsidRPr="00EB0978" w:rsidRDefault="003967A1" w:rsidP="00D22441">
            <w:pPr>
              <w:jc w:val="right"/>
              <w:rPr>
                <w:rFonts w:ascii="Arial Narrow" w:hAnsi="Arial Narrow" w:cs="Arial"/>
                <w:spacing w:val="0"/>
                <w:sz w:val="18"/>
                <w:szCs w:val="18"/>
                <w:lang w:eastAsia="es-CO"/>
              </w:rPr>
            </w:pPr>
            <w:r w:rsidRPr="00EB0978">
              <w:rPr>
                <w:rFonts w:ascii="Arial Narrow" w:hAnsi="Arial Narrow" w:cs="Arial"/>
                <w:spacing w:val="0"/>
                <w:sz w:val="18"/>
                <w:szCs w:val="18"/>
                <w:lang w:eastAsia="es-CO"/>
              </w:rPr>
              <w:t>4%</w:t>
            </w:r>
          </w:p>
        </w:tc>
      </w:tr>
      <w:tr w:rsidR="003967A1" w:rsidRPr="00EB0978" w14:paraId="71FBAD1A" w14:textId="77777777" w:rsidTr="008A7878">
        <w:trPr>
          <w:trHeight w:val="270"/>
          <w:jc w:val="center"/>
        </w:trPr>
        <w:tc>
          <w:tcPr>
            <w:tcW w:w="1264" w:type="dxa"/>
            <w:tcBorders>
              <w:top w:val="nil"/>
              <w:left w:val="single" w:sz="8" w:space="0" w:color="auto"/>
              <w:bottom w:val="single" w:sz="8" w:space="0" w:color="auto"/>
              <w:right w:val="single" w:sz="8" w:space="0" w:color="auto"/>
            </w:tcBorders>
            <w:shd w:val="clear" w:color="auto" w:fill="auto"/>
            <w:vAlign w:val="center"/>
            <w:hideMark/>
          </w:tcPr>
          <w:p w14:paraId="71BB8D0C" w14:textId="77777777" w:rsidR="003967A1" w:rsidRPr="00EB0978" w:rsidRDefault="003967A1" w:rsidP="00D22441">
            <w:pPr>
              <w:jc w:val="left"/>
              <w:rPr>
                <w:rFonts w:ascii="Arial Narrow" w:hAnsi="Arial Narrow" w:cs="Arial"/>
                <w:spacing w:val="0"/>
                <w:sz w:val="18"/>
                <w:szCs w:val="18"/>
                <w:lang w:eastAsia="es-CO"/>
              </w:rPr>
            </w:pPr>
            <w:r w:rsidRPr="00EB0978">
              <w:rPr>
                <w:rFonts w:ascii="Arial Narrow" w:hAnsi="Arial Narrow" w:cs="Arial"/>
                <w:spacing w:val="0"/>
                <w:sz w:val="18"/>
                <w:szCs w:val="18"/>
                <w:lang w:eastAsia="es-CO"/>
              </w:rPr>
              <w:t>GLP – Gas por redes</w:t>
            </w:r>
          </w:p>
        </w:tc>
        <w:tc>
          <w:tcPr>
            <w:tcW w:w="772" w:type="dxa"/>
            <w:tcBorders>
              <w:top w:val="nil"/>
              <w:left w:val="nil"/>
              <w:bottom w:val="single" w:sz="8" w:space="0" w:color="auto"/>
              <w:right w:val="single" w:sz="8" w:space="0" w:color="auto"/>
            </w:tcBorders>
            <w:shd w:val="clear" w:color="auto" w:fill="auto"/>
            <w:vAlign w:val="center"/>
            <w:hideMark/>
          </w:tcPr>
          <w:p w14:paraId="431EE7BE" w14:textId="77777777" w:rsidR="003967A1" w:rsidRPr="00EB0978" w:rsidRDefault="003967A1" w:rsidP="00D22441">
            <w:pPr>
              <w:jc w:val="right"/>
              <w:rPr>
                <w:rFonts w:ascii="Arial Narrow" w:hAnsi="Arial Narrow" w:cs="Arial"/>
                <w:spacing w:val="0"/>
                <w:sz w:val="18"/>
                <w:szCs w:val="18"/>
                <w:lang w:eastAsia="es-CO"/>
              </w:rPr>
            </w:pPr>
            <w:r w:rsidRPr="00EB0978">
              <w:rPr>
                <w:rFonts w:ascii="Arial Narrow" w:hAnsi="Arial Narrow" w:cs="Arial"/>
                <w:spacing w:val="0"/>
                <w:sz w:val="18"/>
                <w:szCs w:val="18"/>
                <w:lang w:eastAsia="es-CO"/>
              </w:rPr>
              <w:t>189</w:t>
            </w:r>
          </w:p>
        </w:tc>
        <w:tc>
          <w:tcPr>
            <w:tcW w:w="980" w:type="dxa"/>
            <w:tcBorders>
              <w:top w:val="nil"/>
              <w:left w:val="nil"/>
              <w:bottom w:val="single" w:sz="8" w:space="0" w:color="auto"/>
              <w:right w:val="single" w:sz="8" w:space="0" w:color="auto"/>
            </w:tcBorders>
            <w:shd w:val="clear" w:color="auto" w:fill="auto"/>
            <w:vAlign w:val="center"/>
            <w:hideMark/>
          </w:tcPr>
          <w:p w14:paraId="13AD2A89" w14:textId="77777777" w:rsidR="003967A1" w:rsidRPr="00EB0978" w:rsidRDefault="003967A1" w:rsidP="00D22441">
            <w:pPr>
              <w:jc w:val="right"/>
              <w:rPr>
                <w:rFonts w:ascii="Arial Narrow" w:hAnsi="Arial Narrow" w:cs="Arial"/>
                <w:spacing w:val="0"/>
                <w:sz w:val="18"/>
                <w:szCs w:val="18"/>
                <w:lang w:eastAsia="es-CO"/>
              </w:rPr>
            </w:pPr>
            <w:r w:rsidRPr="00EB0978">
              <w:rPr>
                <w:rFonts w:ascii="Arial Narrow" w:hAnsi="Arial Narrow" w:cs="Arial"/>
                <w:spacing w:val="0"/>
                <w:sz w:val="18"/>
                <w:szCs w:val="18"/>
                <w:lang w:eastAsia="es-CO"/>
              </w:rPr>
              <w:t>38%</w:t>
            </w:r>
          </w:p>
        </w:tc>
        <w:tc>
          <w:tcPr>
            <w:tcW w:w="772" w:type="dxa"/>
            <w:tcBorders>
              <w:top w:val="nil"/>
              <w:left w:val="nil"/>
              <w:bottom w:val="single" w:sz="8" w:space="0" w:color="auto"/>
              <w:right w:val="single" w:sz="8" w:space="0" w:color="auto"/>
            </w:tcBorders>
            <w:shd w:val="clear" w:color="auto" w:fill="auto"/>
            <w:vAlign w:val="center"/>
            <w:hideMark/>
          </w:tcPr>
          <w:p w14:paraId="75457A52" w14:textId="77777777" w:rsidR="003967A1" w:rsidRPr="00EB0978" w:rsidRDefault="003967A1" w:rsidP="00D22441">
            <w:pPr>
              <w:jc w:val="right"/>
              <w:rPr>
                <w:rFonts w:ascii="Arial Narrow" w:hAnsi="Arial Narrow" w:cs="Arial"/>
                <w:spacing w:val="0"/>
                <w:sz w:val="18"/>
                <w:szCs w:val="18"/>
                <w:lang w:eastAsia="es-CO"/>
              </w:rPr>
            </w:pPr>
            <w:r w:rsidRPr="00EB0978">
              <w:rPr>
                <w:rFonts w:ascii="Arial Narrow" w:hAnsi="Arial Narrow" w:cs="Arial"/>
                <w:spacing w:val="0"/>
                <w:sz w:val="18"/>
                <w:szCs w:val="18"/>
                <w:lang w:eastAsia="es-CO"/>
              </w:rPr>
              <w:t>48</w:t>
            </w:r>
          </w:p>
        </w:tc>
        <w:tc>
          <w:tcPr>
            <w:tcW w:w="518" w:type="dxa"/>
            <w:tcBorders>
              <w:top w:val="nil"/>
              <w:left w:val="nil"/>
              <w:bottom w:val="single" w:sz="8" w:space="0" w:color="auto"/>
              <w:right w:val="single" w:sz="8" w:space="0" w:color="auto"/>
            </w:tcBorders>
            <w:shd w:val="clear" w:color="auto" w:fill="auto"/>
            <w:vAlign w:val="center"/>
            <w:hideMark/>
          </w:tcPr>
          <w:p w14:paraId="0572909B" w14:textId="77777777" w:rsidR="003967A1" w:rsidRPr="00EB0978" w:rsidRDefault="003967A1" w:rsidP="00D22441">
            <w:pPr>
              <w:jc w:val="right"/>
              <w:rPr>
                <w:rFonts w:ascii="Arial Narrow" w:hAnsi="Arial Narrow" w:cs="Arial"/>
                <w:spacing w:val="0"/>
                <w:sz w:val="18"/>
                <w:szCs w:val="18"/>
                <w:lang w:eastAsia="es-CO"/>
              </w:rPr>
            </w:pPr>
            <w:r w:rsidRPr="00EB0978">
              <w:rPr>
                <w:rFonts w:ascii="Arial Narrow" w:hAnsi="Arial Narrow" w:cs="Arial"/>
                <w:spacing w:val="0"/>
                <w:sz w:val="18"/>
                <w:szCs w:val="18"/>
                <w:lang w:eastAsia="es-CO"/>
              </w:rPr>
              <w:t>29%</w:t>
            </w:r>
          </w:p>
        </w:tc>
        <w:tc>
          <w:tcPr>
            <w:tcW w:w="772" w:type="dxa"/>
            <w:tcBorders>
              <w:top w:val="nil"/>
              <w:left w:val="nil"/>
              <w:bottom w:val="single" w:sz="8" w:space="0" w:color="auto"/>
              <w:right w:val="single" w:sz="8" w:space="0" w:color="auto"/>
            </w:tcBorders>
            <w:shd w:val="clear" w:color="000000" w:fill="FFFFFF"/>
            <w:vAlign w:val="center"/>
            <w:hideMark/>
          </w:tcPr>
          <w:p w14:paraId="172244AE" w14:textId="77777777" w:rsidR="003967A1" w:rsidRPr="00EB0978" w:rsidRDefault="003967A1" w:rsidP="00D22441">
            <w:pPr>
              <w:jc w:val="right"/>
              <w:rPr>
                <w:rFonts w:ascii="Arial Narrow" w:hAnsi="Arial Narrow" w:cs="Arial"/>
                <w:spacing w:val="0"/>
                <w:sz w:val="18"/>
                <w:szCs w:val="18"/>
                <w:lang w:eastAsia="es-CO"/>
              </w:rPr>
            </w:pPr>
            <w:r w:rsidRPr="00EB0978">
              <w:rPr>
                <w:rFonts w:ascii="Arial Narrow" w:hAnsi="Arial Narrow" w:cs="Arial"/>
                <w:spacing w:val="0"/>
                <w:sz w:val="18"/>
                <w:szCs w:val="18"/>
                <w:lang w:eastAsia="es-CO"/>
              </w:rPr>
              <w:t>141</w:t>
            </w:r>
          </w:p>
        </w:tc>
        <w:tc>
          <w:tcPr>
            <w:tcW w:w="518" w:type="dxa"/>
            <w:tcBorders>
              <w:top w:val="nil"/>
              <w:left w:val="nil"/>
              <w:bottom w:val="single" w:sz="8" w:space="0" w:color="auto"/>
              <w:right w:val="single" w:sz="8" w:space="0" w:color="auto"/>
            </w:tcBorders>
            <w:shd w:val="clear" w:color="auto" w:fill="auto"/>
            <w:vAlign w:val="center"/>
            <w:hideMark/>
          </w:tcPr>
          <w:p w14:paraId="18B18DCC" w14:textId="77777777" w:rsidR="003967A1" w:rsidRPr="00EB0978" w:rsidRDefault="003967A1" w:rsidP="00D22441">
            <w:pPr>
              <w:jc w:val="right"/>
              <w:rPr>
                <w:rFonts w:ascii="Arial Narrow" w:hAnsi="Arial Narrow" w:cs="Arial"/>
                <w:spacing w:val="0"/>
                <w:sz w:val="18"/>
                <w:szCs w:val="18"/>
                <w:lang w:eastAsia="es-CO"/>
              </w:rPr>
            </w:pPr>
            <w:r w:rsidRPr="00EB0978">
              <w:rPr>
                <w:rFonts w:ascii="Arial Narrow" w:hAnsi="Arial Narrow" w:cs="Arial"/>
                <w:spacing w:val="0"/>
                <w:sz w:val="18"/>
                <w:szCs w:val="18"/>
                <w:lang w:eastAsia="es-CO"/>
              </w:rPr>
              <w:t>43%</w:t>
            </w:r>
          </w:p>
        </w:tc>
        <w:tc>
          <w:tcPr>
            <w:tcW w:w="772" w:type="dxa"/>
            <w:tcBorders>
              <w:top w:val="nil"/>
              <w:left w:val="nil"/>
              <w:bottom w:val="single" w:sz="8" w:space="0" w:color="auto"/>
              <w:right w:val="single" w:sz="8" w:space="0" w:color="auto"/>
            </w:tcBorders>
            <w:shd w:val="clear" w:color="auto" w:fill="auto"/>
            <w:vAlign w:val="center"/>
            <w:hideMark/>
          </w:tcPr>
          <w:p w14:paraId="6E9982A1" w14:textId="77777777" w:rsidR="003967A1" w:rsidRPr="00EB0978" w:rsidRDefault="003967A1" w:rsidP="00D22441">
            <w:pPr>
              <w:jc w:val="right"/>
              <w:rPr>
                <w:rFonts w:ascii="Arial Narrow" w:hAnsi="Arial Narrow" w:cs="Arial"/>
                <w:spacing w:val="0"/>
                <w:sz w:val="18"/>
                <w:szCs w:val="18"/>
                <w:lang w:eastAsia="es-CO"/>
              </w:rPr>
            </w:pPr>
            <w:r w:rsidRPr="00EB0978">
              <w:rPr>
                <w:rFonts w:ascii="Arial Narrow" w:hAnsi="Arial Narrow" w:cs="Arial"/>
                <w:spacing w:val="0"/>
                <w:sz w:val="18"/>
                <w:szCs w:val="18"/>
                <w:lang w:eastAsia="es-CO"/>
              </w:rPr>
              <w:t>5</w:t>
            </w:r>
          </w:p>
        </w:tc>
        <w:tc>
          <w:tcPr>
            <w:tcW w:w="518" w:type="dxa"/>
            <w:tcBorders>
              <w:top w:val="nil"/>
              <w:left w:val="nil"/>
              <w:bottom w:val="single" w:sz="8" w:space="0" w:color="auto"/>
              <w:right w:val="single" w:sz="8" w:space="0" w:color="auto"/>
            </w:tcBorders>
            <w:shd w:val="clear" w:color="auto" w:fill="auto"/>
            <w:vAlign w:val="center"/>
            <w:hideMark/>
          </w:tcPr>
          <w:p w14:paraId="12354B2F" w14:textId="77777777" w:rsidR="003967A1" w:rsidRPr="00EB0978" w:rsidRDefault="003967A1" w:rsidP="00D22441">
            <w:pPr>
              <w:jc w:val="right"/>
              <w:rPr>
                <w:rFonts w:ascii="Arial Narrow" w:hAnsi="Arial Narrow" w:cs="Arial"/>
                <w:spacing w:val="0"/>
                <w:sz w:val="18"/>
                <w:szCs w:val="18"/>
                <w:lang w:eastAsia="es-CO"/>
              </w:rPr>
            </w:pPr>
            <w:r w:rsidRPr="00EB0978">
              <w:rPr>
                <w:rFonts w:ascii="Arial Narrow" w:hAnsi="Arial Narrow" w:cs="Arial"/>
                <w:spacing w:val="0"/>
                <w:sz w:val="18"/>
                <w:szCs w:val="18"/>
                <w:lang w:eastAsia="es-CO"/>
              </w:rPr>
              <w:t>36%</w:t>
            </w:r>
          </w:p>
        </w:tc>
        <w:tc>
          <w:tcPr>
            <w:tcW w:w="772" w:type="dxa"/>
            <w:tcBorders>
              <w:top w:val="nil"/>
              <w:left w:val="nil"/>
              <w:bottom w:val="single" w:sz="8" w:space="0" w:color="auto"/>
              <w:right w:val="single" w:sz="8" w:space="0" w:color="auto"/>
            </w:tcBorders>
            <w:shd w:val="clear" w:color="auto" w:fill="auto"/>
            <w:vAlign w:val="center"/>
            <w:hideMark/>
          </w:tcPr>
          <w:p w14:paraId="219204BF" w14:textId="77777777" w:rsidR="003967A1" w:rsidRPr="00EB0978" w:rsidRDefault="003967A1" w:rsidP="00D22441">
            <w:pPr>
              <w:jc w:val="right"/>
              <w:rPr>
                <w:rFonts w:ascii="Arial Narrow" w:hAnsi="Arial Narrow" w:cs="Arial"/>
                <w:spacing w:val="0"/>
                <w:sz w:val="18"/>
                <w:szCs w:val="18"/>
                <w:lang w:eastAsia="es-CO"/>
              </w:rPr>
            </w:pPr>
            <w:r w:rsidRPr="00EB0978">
              <w:rPr>
                <w:rFonts w:ascii="Arial Narrow" w:hAnsi="Arial Narrow" w:cs="Arial"/>
                <w:spacing w:val="0"/>
                <w:sz w:val="18"/>
                <w:szCs w:val="18"/>
                <w:lang w:eastAsia="es-CO"/>
              </w:rPr>
              <w:t>0</w:t>
            </w:r>
          </w:p>
        </w:tc>
        <w:tc>
          <w:tcPr>
            <w:tcW w:w="518" w:type="dxa"/>
            <w:tcBorders>
              <w:top w:val="nil"/>
              <w:left w:val="nil"/>
              <w:bottom w:val="single" w:sz="8" w:space="0" w:color="auto"/>
              <w:right w:val="single" w:sz="8" w:space="0" w:color="auto"/>
            </w:tcBorders>
            <w:shd w:val="clear" w:color="auto" w:fill="auto"/>
            <w:vAlign w:val="center"/>
            <w:hideMark/>
          </w:tcPr>
          <w:p w14:paraId="79CCCF7A" w14:textId="77777777" w:rsidR="003967A1" w:rsidRPr="00EB0978" w:rsidRDefault="003967A1" w:rsidP="00D22441">
            <w:pPr>
              <w:jc w:val="right"/>
              <w:rPr>
                <w:rFonts w:ascii="Arial Narrow" w:hAnsi="Arial Narrow" w:cs="Arial"/>
                <w:spacing w:val="0"/>
                <w:sz w:val="18"/>
                <w:szCs w:val="18"/>
                <w:lang w:eastAsia="es-CO"/>
              </w:rPr>
            </w:pPr>
            <w:r w:rsidRPr="00EB0978">
              <w:rPr>
                <w:rFonts w:ascii="Arial Narrow" w:hAnsi="Arial Narrow" w:cs="Arial"/>
                <w:spacing w:val="0"/>
                <w:sz w:val="18"/>
                <w:szCs w:val="18"/>
                <w:lang w:eastAsia="es-CO"/>
              </w:rPr>
              <w:t>0%</w:t>
            </w:r>
          </w:p>
        </w:tc>
        <w:tc>
          <w:tcPr>
            <w:tcW w:w="772" w:type="dxa"/>
            <w:tcBorders>
              <w:top w:val="nil"/>
              <w:left w:val="nil"/>
              <w:bottom w:val="single" w:sz="8" w:space="0" w:color="auto"/>
              <w:right w:val="single" w:sz="8" w:space="0" w:color="auto"/>
            </w:tcBorders>
            <w:shd w:val="clear" w:color="auto" w:fill="auto"/>
            <w:vAlign w:val="center"/>
            <w:hideMark/>
          </w:tcPr>
          <w:p w14:paraId="41406F16" w14:textId="77777777" w:rsidR="003967A1" w:rsidRPr="00EB0978" w:rsidRDefault="003967A1" w:rsidP="00D22441">
            <w:pPr>
              <w:jc w:val="right"/>
              <w:rPr>
                <w:rFonts w:ascii="Arial Narrow" w:hAnsi="Arial Narrow" w:cs="Arial"/>
                <w:spacing w:val="0"/>
                <w:sz w:val="18"/>
                <w:szCs w:val="18"/>
                <w:lang w:eastAsia="es-CO"/>
              </w:rPr>
            </w:pPr>
            <w:r w:rsidRPr="00EB0978">
              <w:rPr>
                <w:rFonts w:ascii="Arial Narrow" w:hAnsi="Arial Narrow" w:cs="Arial"/>
                <w:spacing w:val="0"/>
                <w:sz w:val="18"/>
                <w:szCs w:val="18"/>
                <w:lang w:eastAsia="es-CO"/>
              </w:rPr>
              <w:t>136</w:t>
            </w:r>
          </w:p>
        </w:tc>
        <w:tc>
          <w:tcPr>
            <w:tcW w:w="518" w:type="dxa"/>
            <w:tcBorders>
              <w:top w:val="nil"/>
              <w:left w:val="nil"/>
              <w:bottom w:val="single" w:sz="8" w:space="0" w:color="auto"/>
              <w:right w:val="single" w:sz="8" w:space="0" w:color="auto"/>
            </w:tcBorders>
            <w:shd w:val="clear" w:color="auto" w:fill="auto"/>
            <w:vAlign w:val="center"/>
            <w:hideMark/>
          </w:tcPr>
          <w:p w14:paraId="5FF26AE5" w14:textId="77777777" w:rsidR="003967A1" w:rsidRPr="00EB0978" w:rsidRDefault="003967A1" w:rsidP="00D22441">
            <w:pPr>
              <w:jc w:val="right"/>
              <w:rPr>
                <w:rFonts w:ascii="Arial Narrow" w:hAnsi="Arial Narrow" w:cs="Arial"/>
                <w:spacing w:val="0"/>
                <w:sz w:val="18"/>
                <w:szCs w:val="18"/>
                <w:lang w:eastAsia="es-CO"/>
              </w:rPr>
            </w:pPr>
            <w:r w:rsidRPr="00EB0978">
              <w:rPr>
                <w:rFonts w:ascii="Arial Narrow" w:hAnsi="Arial Narrow" w:cs="Arial"/>
                <w:spacing w:val="0"/>
                <w:sz w:val="18"/>
                <w:szCs w:val="18"/>
                <w:lang w:eastAsia="es-CO"/>
              </w:rPr>
              <w:t>43%</w:t>
            </w:r>
          </w:p>
        </w:tc>
      </w:tr>
      <w:tr w:rsidR="003967A1" w:rsidRPr="00EB0978" w14:paraId="0FF31EE6" w14:textId="77777777" w:rsidTr="008A7878">
        <w:trPr>
          <w:trHeight w:val="270"/>
          <w:jc w:val="center"/>
        </w:trPr>
        <w:tc>
          <w:tcPr>
            <w:tcW w:w="1264" w:type="dxa"/>
            <w:tcBorders>
              <w:top w:val="nil"/>
              <w:left w:val="single" w:sz="8" w:space="0" w:color="auto"/>
              <w:bottom w:val="single" w:sz="8" w:space="0" w:color="auto"/>
              <w:right w:val="single" w:sz="8" w:space="0" w:color="auto"/>
            </w:tcBorders>
            <w:shd w:val="clear" w:color="auto" w:fill="auto"/>
            <w:vAlign w:val="center"/>
            <w:hideMark/>
          </w:tcPr>
          <w:p w14:paraId="5F2CBD72" w14:textId="77777777" w:rsidR="003967A1" w:rsidRPr="00EB0978" w:rsidRDefault="003967A1" w:rsidP="00D22441">
            <w:pPr>
              <w:jc w:val="left"/>
              <w:rPr>
                <w:rFonts w:ascii="Arial Narrow" w:hAnsi="Arial Narrow" w:cs="Arial"/>
                <w:spacing w:val="0"/>
                <w:sz w:val="18"/>
                <w:szCs w:val="18"/>
                <w:lang w:eastAsia="es-CO"/>
              </w:rPr>
            </w:pPr>
            <w:r w:rsidRPr="00EB0978">
              <w:rPr>
                <w:rFonts w:ascii="Arial Narrow" w:hAnsi="Arial Narrow" w:cs="Arial"/>
                <w:spacing w:val="0"/>
                <w:sz w:val="18"/>
                <w:szCs w:val="18"/>
                <w:lang w:eastAsia="es-CO"/>
              </w:rPr>
              <w:t>Multiservicios</w:t>
            </w:r>
          </w:p>
        </w:tc>
        <w:tc>
          <w:tcPr>
            <w:tcW w:w="772" w:type="dxa"/>
            <w:tcBorders>
              <w:top w:val="nil"/>
              <w:left w:val="nil"/>
              <w:bottom w:val="single" w:sz="8" w:space="0" w:color="auto"/>
              <w:right w:val="single" w:sz="8" w:space="0" w:color="auto"/>
            </w:tcBorders>
            <w:shd w:val="clear" w:color="auto" w:fill="auto"/>
            <w:vAlign w:val="center"/>
            <w:hideMark/>
          </w:tcPr>
          <w:p w14:paraId="526CBA1F" w14:textId="77777777" w:rsidR="003967A1" w:rsidRPr="00EB0978" w:rsidRDefault="003967A1" w:rsidP="00D22441">
            <w:pPr>
              <w:jc w:val="right"/>
              <w:rPr>
                <w:rFonts w:ascii="Arial Narrow" w:hAnsi="Arial Narrow" w:cs="Arial"/>
                <w:spacing w:val="0"/>
                <w:sz w:val="18"/>
                <w:szCs w:val="18"/>
                <w:lang w:eastAsia="es-CO"/>
              </w:rPr>
            </w:pPr>
            <w:r w:rsidRPr="00EB0978">
              <w:rPr>
                <w:rFonts w:ascii="Arial Narrow" w:hAnsi="Arial Narrow" w:cs="Arial"/>
                <w:spacing w:val="0"/>
                <w:sz w:val="18"/>
                <w:szCs w:val="18"/>
                <w:lang w:eastAsia="es-CO"/>
              </w:rPr>
              <w:t>27</w:t>
            </w:r>
          </w:p>
        </w:tc>
        <w:tc>
          <w:tcPr>
            <w:tcW w:w="980" w:type="dxa"/>
            <w:tcBorders>
              <w:top w:val="nil"/>
              <w:left w:val="nil"/>
              <w:bottom w:val="single" w:sz="8" w:space="0" w:color="auto"/>
              <w:right w:val="single" w:sz="8" w:space="0" w:color="auto"/>
            </w:tcBorders>
            <w:shd w:val="clear" w:color="auto" w:fill="auto"/>
            <w:vAlign w:val="center"/>
            <w:hideMark/>
          </w:tcPr>
          <w:p w14:paraId="302D0CD5" w14:textId="77777777" w:rsidR="003967A1" w:rsidRPr="00EB0978" w:rsidRDefault="003967A1" w:rsidP="00D22441">
            <w:pPr>
              <w:jc w:val="right"/>
              <w:rPr>
                <w:rFonts w:ascii="Arial Narrow" w:hAnsi="Arial Narrow" w:cs="Arial"/>
                <w:spacing w:val="0"/>
                <w:sz w:val="18"/>
                <w:szCs w:val="18"/>
                <w:lang w:eastAsia="es-CO"/>
              </w:rPr>
            </w:pPr>
            <w:r w:rsidRPr="00EB0978">
              <w:rPr>
                <w:rFonts w:ascii="Arial Narrow" w:hAnsi="Arial Narrow" w:cs="Arial"/>
                <w:spacing w:val="0"/>
                <w:sz w:val="18"/>
                <w:szCs w:val="18"/>
                <w:lang w:eastAsia="es-CO"/>
              </w:rPr>
              <w:t>5%</w:t>
            </w:r>
          </w:p>
        </w:tc>
        <w:tc>
          <w:tcPr>
            <w:tcW w:w="772" w:type="dxa"/>
            <w:tcBorders>
              <w:top w:val="nil"/>
              <w:left w:val="nil"/>
              <w:bottom w:val="single" w:sz="8" w:space="0" w:color="auto"/>
              <w:right w:val="single" w:sz="8" w:space="0" w:color="auto"/>
            </w:tcBorders>
            <w:shd w:val="clear" w:color="auto" w:fill="auto"/>
            <w:vAlign w:val="center"/>
            <w:hideMark/>
          </w:tcPr>
          <w:p w14:paraId="4B520B7D" w14:textId="77777777" w:rsidR="003967A1" w:rsidRPr="00EB0978" w:rsidRDefault="003967A1" w:rsidP="00D22441">
            <w:pPr>
              <w:jc w:val="right"/>
              <w:rPr>
                <w:rFonts w:ascii="Arial Narrow" w:hAnsi="Arial Narrow" w:cs="Arial"/>
                <w:spacing w:val="0"/>
                <w:sz w:val="18"/>
                <w:szCs w:val="18"/>
                <w:lang w:eastAsia="es-CO"/>
              </w:rPr>
            </w:pPr>
            <w:r w:rsidRPr="00EB0978">
              <w:rPr>
                <w:rFonts w:ascii="Arial Narrow" w:hAnsi="Arial Narrow" w:cs="Arial"/>
                <w:spacing w:val="0"/>
                <w:sz w:val="18"/>
                <w:szCs w:val="18"/>
                <w:lang w:eastAsia="es-CO"/>
              </w:rPr>
              <w:t>17</w:t>
            </w:r>
          </w:p>
        </w:tc>
        <w:tc>
          <w:tcPr>
            <w:tcW w:w="518" w:type="dxa"/>
            <w:tcBorders>
              <w:top w:val="nil"/>
              <w:left w:val="nil"/>
              <w:bottom w:val="single" w:sz="8" w:space="0" w:color="auto"/>
              <w:right w:val="single" w:sz="8" w:space="0" w:color="auto"/>
            </w:tcBorders>
            <w:shd w:val="clear" w:color="auto" w:fill="auto"/>
            <w:vAlign w:val="center"/>
            <w:hideMark/>
          </w:tcPr>
          <w:p w14:paraId="258F9886" w14:textId="77777777" w:rsidR="003967A1" w:rsidRPr="00EB0978" w:rsidRDefault="003967A1" w:rsidP="00D22441">
            <w:pPr>
              <w:jc w:val="right"/>
              <w:rPr>
                <w:rFonts w:ascii="Arial Narrow" w:hAnsi="Arial Narrow" w:cs="Arial"/>
                <w:spacing w:val="0"/>
                <w:sz w:val="18"/>
                <w:szCs w:val="18"/>
                <w:lang w:eastAsia="es-CO"/>
              </w:rPr>
            </w:pPr>
            <w:r w:rsidRPr="00EB0978">
              <w:rPr>
                <w:rFonts w:ascii="Arial Narrow" w:hAnsi="Arial Narrow" w:cs="Arial"/>
                <w:spacing w:val="0"/>
                <w:sz w:val="18"/>
                <w:szCs w:val="18"/>
                <w:lang w:eastAsia="es-CO"/>
              </w:rPr>
              <w:t>10%</w:t>
            </w:r>
          </w:p>
        </w:tc>
        <w:tc>
          <w:tcPr>
            <w:tcW w:w="772" w:type="dxa"/>
            <w:tcBorders>
              <w:top w:val="nil"/>
              <w:left w:val="nil"/>
              <w:bottom w:val="single" w:sz="8" w:space="0" w:color="auto"/>
              <w:right w:val="single" w:sz="8" w:space="0" w:color="auto"/>
            </w:tcBorders>
            <w:shd w:val="clear" w:color="000000" w:fill="FFFFFF"/>
            <w:vAlign w:val="center"/>
            <w:hideMark/>
          </w:tcPr>
          <w:p w14:paraId="10DB058E" w14:textId="77777777" w:rsidR="003967A1" w:rsidRPr="00EB0978" w:rsidRDefault="003967A1" w:rsidP="00D22441">
            <w:pPr>
              <w:jc w:val="right"/>
              <w:rPr>
                <w:rFonts w:ascii="Arial Narrow" w:hAnsi="Arial Narrow" w:cs="Arial"/>
                <w:spacing w:val="0"/>
                <w:sz w:val="18"/>
                <w:szCs w:val="18"/>
                <w:lang w:eastAsia="es-CO"/>
              </w:rPr>
            </w:pPr>
            <w:r w:rsidRPr="00EB0978">
              <w:rPr>
                <w:rFonts w:ascii="Arial Narrow" w:hAnsi="Arial Narrow" w:cs="Arial"/>
                <w:spacing w:val="0"/>
                <w:sz w:val="18"/>
                <w:szCs w:val="18"/>
                <w:lang w:eastAsia="es-CO"/>
              </w:rPr>
              <w:t>10</w:t>
            </w:r>
          </w:p>
        </w:tc>
        <w:tc>
          <w:tcPr>
            <w:tcW w:w="518" w:type="dxa"/>
            <w:tcBorders>
              <w:top w:val="nil"/>
              <w:left w:val="nil"/>
              <w:bottom w:val="single" w:sz="8" w:space="0" w:color="auto"/>
              <w:right w:val="single" w:sz="8" w:space="0" w:color="auto"/>
            </w:tcBorders>
            <w:shd w:val="clear" w:color="auto" w:fill="auto"/>
            <w:vAlign w:val="center"/>
            <w:hideMark/>
          </w:tcPr>
          <w:p w14:paraId="3D70C6E4" w14:textId="77777777" w:rsidR="003967A1" w:rsidRPr="00EB0978" w:rsidRDefault="003967A1" w:rsidP="00D22441">
            <w:pPr>
              <w:jc w:val="right"/>
              <w:rPr>
                <w:rFonts w:ascii="Arial Narrow" w:hAnsi="Arial Narrow" w:cs="Arial"/>
                <w:spacing w:val="0"/>
                <w:sz w:val="18"/>
                <w:szCs w:val="18"/>
                <w:lang w:eastAsia="es-CO"/>
              </w:rPr>
            </w:pPr>
            <w:r w:rsidRPr="00EB0978">
              <w:rPr>
                <w:rFonts w:ascii="Arial Narrow" w:hAnsi="Arial Narrow" w:cs="Arial"/>
                <w:spacing w:val="0"/>
                <w:sz w:val="18"/>
                <w:szCs w:val="18"/>
                <w:lang w:eastAsia="es-CO"/>
              </w:rPr>
              <w:t>3%</w:t>
            </w:r>
          </w:p>
        </w:tc>
        <w:tc>
          <w:tcPr>
            <w:tcW w:w="772" w:type="dxa"/>
            <w:tcBorders>
              <w:top w:val="nil"/>
              <w:left w:val="nil"/>
              <w:bottom w:val="single" w:sz="8" w:space="0" w:color="auto"/>
              <w:right w:val="single" w:sz="8" w:space="0" w:color="auto"/>
            </w:tcBorders>
            <w:shd w:val="clear" w:color="auto" w:fill="auto"/>
            <w:vAlign w:val="center"/>
            <w:hideMark/>
          </w:tcPr>
          <w:p w14:paraId="2A8AFC69" w14:textId="77777777" w:rsidR="003967A1" w:rsidRPr="00EB0978" w:rsidRDefault="003967A1" w:rsidP="00D22441">
            <w:pPr>
              <w:jc w:val="right"/>
              <w:rPr>
                <w:rFonts w:ascii="Arial Narrow" w:hAnsi="Arial Narrow" w:cs="Arial"/>
                <w:spacing w:val="0"/>
                <w:sz w:val="18"/>
                <w:szCs w:val="18"/>
                <w:lang w:eastAsia="es-CO"/>
              </w:rPr>
            </w:pPr>
            <w:r w:rsidRPr="00EB0978">
              <w:rPr>
                <w:rFonts w:ascii="Arial Narrow" w:hAnsi="Arial Narrow" w:cs="Arial"/>
                <w:spacing w:val="0"/>
                <w:sz w:val="18"/>
                <w:szCs w:val="18"/>
                <w:lang w:eastAsia="es-CO"/>
              </w:rPr>
              <w:t>1</w:t>
            </w:r>
          </w:p>
        </w:tc>
        <w:tc>
          <w:tcPr>
            <w:tcW w:w="518" w:type="dxa"/>
            <w:tcBorders>
              <w:top w:val="nil"/>
              <w:left w:val="nil"/>
              <w:bottom w:val="single" w:sz="8" w:space="0" w:color="auto"/>
              <w:right w:val="single" w:sz="8" w:space="0" w:color="auto"/>
            </w:tcBorders>
            <w:shd w:val="clear" w:color="auto" w:fill="auto"/>
            <w:vAlign w:val="center"/>
            <w:hideMark/>
          </w:tcPr>
          <w:p w14:paraId="31020AFB" w14:textId="77777777" w:rsidR="003967A1" w:rsidRPr="00EB0978" w:rsidRDefault="003967A1" w:rsidP="00D22441">
            <w:pPr>
              <w:jc w:val="right"/>
              <w:rPr>
                <w:rFonts w:ascii="Arial Narrow" w:hAnsi="Arial Narrow" w:cs="Arial"/>
                <w:spacing w:val="0"/>
                <w:sz w:val="18"/>
                <w:szCs w:val="18"/>
                <w:lang w:eastAsia="es-CO"/>
              </w:rPr>
            </w:pPr>
            <w:r w:rsidRPr="00EB0978">
              <w:rPr>
                <w:rFonts w:ascii="Arial Narrow" w:hAnsi="Arial Narrow" w:cs="Arial"/>
                <w:spacing w:val="0"/>
                <w:sz w:val="18"/>
                <w:szCs w:val="18"/>
                <w:lang w:eastAsia="es-CO"/>
              </w:rPr>
              <w:t>7%</w:t>
            </w:r>
          </w:p>
        </w:tc>
        <w:tc>
          <w:tcPr>
            <w:tcW w:w="772" w:type="dxa"/>
            <w:tcBorders>
              <w:top w:val="nil"/>
              <w:left w:val="nil"/>
              <w:bottom w:val="single" w:sz="8" w:space="0" w:color="auto"/>
              <w:right w:val="single" w:sz="8" w:space="0" w:color="auto"/>
            </w:tcBorders>
            <w:shd w:val="clear" w:color="auto" w:fill="auto"/>
            <w:vAlign w:val="center"/>
            <w:hideMark/>
          </w:tcPr>
          <w:p w14:paraId="366C19EC" w14:textId="77777777" w:rsidR="003967A1" w:rsidRPr="00EB0978" w:rsidRDefault="003967A1" w:rsidP="00D22441">
            <w:pPr>
              <w:jc w:val="right"/>
              <w:rPr>
                <w:rFonts w:ascii="Arial Narrow" w:hAnsi="Arial Narrow" w:cs="Arial"/>
                <w:spacing w:val="0"/>
                <w:sz w:val="18"/>
                <w:szCs w:val="18"/>
                <w:lang w:eastAsia="es-CO"/>
              </w:rPr>
            </w:pPr>
            <w:r w:rsidRPr="00EB0978">
              <w:rPr>
                <w:rFonts w:ascii="Arial Narrow" w:hAnsi="Arial Narrow" w:cs="Arial"/>
                <w:spacing w:val="0"/>
                <w:sz w:val="18"/>
                <w:szCs w:val="18"/>
                <w:lang w:eastAsia="es-CO"/>
              </w:rPr>
              <w:t>0</w:t>
            </w:r>
          </w:p>
        </w:tc>
        <w:tc>
          <w:tcPr>
            <w:tcW w:w="518" w:type="dxa"/>
            <w:tcBorders>
              <w:top w:val="nil"/>
              <w:left w:val="nil"/>
              <w:bottom w:val="single" w:sz="8" w:space="0" w:color="auto"/>
              <w:right w:val="single" w:sz="8" w:space="0" w:color="auto"/>
            </w:tcBorders>
            <w:shd w:val="clear" w:color="auto" w:fill="auto"/>
            <w:vAlign w:val="center"/>
            <w:hideMark/>
          </w:tcPr>
          <w:p w14:paraId="6C2B4B4C" w14:textId="77777777" w:rsidR="003967A1" w:rsidRPr="00EB0978" w:rsidRDefault="003967A1" w:rsidP="00D22441">
            <w:pPr>
              <w:jc w:val="right"/>
              <w:rPr>
                <w:rFonts w:ascii="Arial Narrow" w:hAnsi="Arial Narrow" w:cs="Arial"/>
                <w:spacing w:val="0"/>
                <w:sz w:val="18"/>
                <w:szCs w:val="18"/>
                <w:lang w:eastAsia="es-CO"/>
              </w:rPr>
            </w:pPr>
            <w:r w:rsidRPr="00EB0978">
              <w:rPr>
                <w:rFonts w:ascii="Arial Narrow" w:hAnsi="Arial Narrow" w:cs="Arial"/>
                <w:spacing w:val="0"/>
                <w:sz w:val="18"/>
                <w:szCs w:val="18"/>
                <w:lang w:eastAsia="es-CO"/>
              </w:rPr>
              <w:t>0%</w:t>
            </w:r>
          </w:p>
        </w:tc>
        <w:tc>
          <w:tcPr>
            <w:tcW w:w="772" w:type="dxa"/>
            <w:tcBorders>
              <w:top w:val="nil"/>
              <w:left w:val="nil"/>
              <w:bottom w:val="single" w:sz="8" w:space="0" w:color="auto"/>
              <w:right w:val="single" w:sz="8" w:space="0" w:color="auto"/>
            </w:tcBorders>
            <w:shd w:val="clear" w:color="auto" w:fill="auto"/>
            <w:vAlign w:val="center"/>
            <w:hideMark/>
          </w:tcPr>
          <w:p w14:paraId="53F49746" w14:textId="77777777" w:rsidR="003967A1" w:rsidRPr="00EB0978" w:rsidRDefault="003967A1" w:rsidP="00D22441">
            <w:pPr>
              <w:jc w:val="right"/>
              <w:rPr>
                <w:rFonts w:ascii="Arial Narrow" w:hAnsi="Arial Narrow" w:cs="Arial"/>
                <w:spacing w:val="0"/>
                <w:sz w:val="18"/>
                <w:szCs w:val="18"/>
                <w:lang w:eastAsia="es-CO"/>
              </w:rPr>
            </w:pPr>
            <w:r w:rsidRPr="00EB0978">
              <w:rPr>
                <w:rFonts w:ascii="Arial Narrow" w:hAnsi="Arial Narrow" w:cs="Arial"/>
                <w:spacing w:val="0"/>
                <w:sz w:val="18"/>
                <w:szCs w:val="18"/>
                <w:lang w:eastAsia="es-CO"/>
              </w:rPr>
              <w:t>9</w:t>
            </w:r>
          </w:p>
        </w:tc>
        <w:tc>
          <w:tcPr>
            <w:tcW w:w="518" w:type="dxa"/>
            <w:tcBorders>
              <w:top w:val="nil"/>
              <w:left w:val="nil"/>
              <w:bottom w:val="single" w:sz="8" w:space="0" w:color="auto"/>
              <w:right w:val="single" w:sz="8" w:space="0" w:color="auto"/>
            </w:tcBorders>
            <w:shd w:val="clear" w:color="auto" w:fill="auto"/>
            <w:vAlign w:val="center"/>
            <w:hideMark/>
          </w:tcPr>
          <w:p w14:paraId="695C2B39" w14:textId="77777777" w:rsidR="003967A1" w:rsidRPr="00EB0978" w:rsidRDefault="003967A1" w:rsidP="00D22441">
            <w:pPr>
              <w:jc w:val="right"/>
              <w:rPr>
                <w:rFonts w:ascii="Arial Narrow" w:hAnsi="Arial Narrow" w:cs="Arial"/>
                <w:spacing w:val="0"/>
                <w:sz w:val="18"/>
                <w:szCs w:val="18"/>
                <w:lang w:eastAsia="es-CO"/>
              </w:rPr>
            </w:pPr>
            <w:r w:rsidRPr="00EB0978">
              <w:rPr>
                <w:rFonts w:ascii="Arial Narrow" w:hAnsi="Arial Narrow" w:cs="Arial"/>
                <w:spacing w:val="0"/>
                <w:sz w:val="18"/>
                <w:szCs w:val="18"/>
                <w:lang w:eastAsia="es-CO"/>
              </w:rPr>
              <w:t>3%</w:t>
            </w:r>
          </w:p>
        </w:tc>
      </w:tr>
      <w:tr w:rsidR="003967A1" w:rsidRPr="00EB0978" w14:paraId="5DC4E9F4" w14:textId="77777777" w:rsidTr="008A7878">
        <w:trPr>
          <w:trHeight w:val="270"/>
          <w:jc w:val="center"/>
        </w:trPr>
        <w:tc>
          <w:tcPr>
            <w:tcW w:w="1264"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7CF51453" w14:textId="77777777" w:rsidR="003967A1" w:rsidRPr="00EB0978" w:rsidRDefault="003967A1" w:rsidP="00D22441">
            <w:pPr>
              <w:jc w:val="center"/>
              <w:rPr>
                <w:rFonts w:ascii="Arial Narrow" w:hAnsi="Arial Narrow" w:cs="Arial"/>
                <w:b/>
                <w:bCs/>
                <w:color w:val="000000"/>
                <w:spacing w:val="0"/>
                <w:sz w:val="18"/>
                <w:szCs w:val="18"/>
                <w:lang w:eastAsia="es-CO"/>
              </w:rPr>
            </w:pPr>
            <w:proofErr w:type="gramStart"/>
            <w:r w:rsidRPr="00EB0978">
              <w:rPr>
                <w:rFonts w:ascii="Arial Narrow" w:hAnsi="Arial Narrow" w:cs="Arial"/>
                <w:b/>
                <w:bCs/>
                <w:color w:val="000000"/>
                <w:spacing w:val="0"/>
                <w:sz w:val="18"/>
                <w:szCs w:val="18"/>
                <w:lang w:eastAsia="es-CO"/>
              </w:rPr>
              <w:lastRenderedPageBreak/>
              <w:t>TOTAL</w:t>
            </w:r>
            <w:proofErr w:type="gramEnd"/>
            <w:r w:rsidRPr="00EB0978">
              <w:rPr>
                <w:rFonts w:ascii="Arial Narrow" w:hAnsi="Arial Narrow" w:cs="Arial"/>
                <w:b/>
                <w:bCs/>
                <w:color w:val="000000"/>
                <w:spacing w:val="0"/>
                <w:sz w:val="18"/>
                <w:szCs w:val="18"/>
                <w:lang w:eastAsia="es-CO"/>
              </w:rPr>
              <w:t xml:space="preserve"> PRESTADORES </w:t>
            </w:r>
          </w:p>
        </w:tc>
        <w:tc>
          <w:tcPr>
            <w:tcW w:w="772" w:type="dxa"/>
            <w:tcBorders>
              <w:top w:val="nil"/>
              <w:left w:val="nil"/>
              <w:bottom w:val="single" w:sz="8" w:space="0" w:color="auto"/>
              <w:right w:val="single" w:sz="8" w:space="0" w:color="auto"/>
            </w:tcBorders>
            <w:shd w:val="clear" w:color="000000" w:fill="D9D9D9"/>
            <w:vAlign w:val="center"/>
            <w:hideMark/>
          </w:tcPr>
          <w:p w14:paraId="6119ABE3" w14:textId="77777777" w:rsidR="003967A1" w:rsidRPr="00EB0978" w:rsidRDefault="003967A1" w:rsidP="00D22441">
            <w:pPr>
              <w:jc w:val="right"/>
              <w:rPr>
                <w:rFonts w:ascii="Arial Narrow" w:hAnsi="Arial Narrow" w:cs="Arial"/>
                <w:b/>
                <w:bCs/>
                <w:color w:val="000000"/>
                <w:spacing w:val="0"/>
                <w:sz w:val="18"/>
                <w:szCs w:val="18"/>
                <w:lang w:eastAsia="es-CO"/>
              </w:rPr>
            </w:pPr>
            <w:r w:rsidRPr="00EB0978">
              <w:rPr>
                <w:rFonts w:ascii="Arial Narrow" w:hAnsi="Arial Narrow" w:cs="Arial"/>
                <w:b/>
                <w:bCs/>
                <w:color w:val="000000"/>
                <w:spacing w:val="0"/>
                <w:sz w:val="18"/>
                <w:szCs w:val="18"/>
                <w:lang w:eastAsia="es-CO"/>
              </w:rPr>
              <w:t>493</w:t>
            </w:r>
          </w:p>
        </w:tc>
        <w:tc>
          <w:tcPr>
            <w:tcW w:w="980" w:type="dxa"/>
            <w:tcBorders>
              <w:top w:val="nil"/>
              <w:left w:val="nil"/>
              <w:bottom w:val="single" w:sz="8" w:space="0" w:color="auto"/>
              <w:right w:val="single" w:sz="8" w:space="0" w:color="auto"/>
            </w:tcBorders>
            <w:shd w:val="clear" w:color="000000" w:fill="D9D9D9"/>
            <w:vAlign w:val="center"/>
            <w:hideMark/>
          </w:tcPr>
          <w:p w14:paraId="30E4077F" w14:textId="77777777" w:rsidR="003967A1" w:rsidRPr="00EB0978" w:rsidRDefault="003967A1" w:rsidP="00D22441">
            <w:pPr>
              <w:jc w:val="right"/>
              <w:rPr>
                <w:rFonts w:ascii="Arial Narrow" w:hAnsi="Arial Narrow" w:cs="Arial"/>
                <w:b/>
                <w:bCs/>
                <w:color w:val="000000"/>
                <w:spacing w:val="0"/>
                <w:sz w:val="18"/>
                <w:szCs w:val="18"/>
                <w:lang w:eastAsia="es-CO"/>
              </w:rPr>
            </w:pPr>
            <w:r w:rsidRPr="00EB0978">
              <w:rPr>
                <w:rFonts w:ascii="Arial Narrow" w:hAnsi="Arial Narrow" w:cs="Arial"/>
                <w:b/>
                <w:bCs/>
                <w:color w:val="000000"/>
                <w:spacing w:val="0"/>
                <w:sz w:val="18"/>
                <w:szCs w:val="18"/>
                <w:lang w:eastAsia="es-CO"/>
              </w:rPr>
              <w:t>100%</w:t>
            </w:r>
          </w:p>
        </w:tc>
        <w:tc>
          <w:tcPr>
            <w:tcW w:w="772" w:type="dxa"/>
            <w:tcBorders>
              <w:top w:val="nil"/>
              <w:left w:val="nil"/>
              <w:bottom w:val="single" w:sz="8" w:space="0" w:color="auto"/>
              <w:right w:val="single" w:sz="8" w:space="0" w:color="auto"/>
            </w:tcBorders>
            <w:shd w:val="clear" w:color="000000" w:fill="D9D9D9"/>
            <w:vAlign w:val="center"/>
            <w:hideMark/>
          </w:tcPr>
          <w:p w14:paraId="3700596C" w14:textId="77777777" w:rsidR="003967A1" w:rsidRPr="00EB0978" w:rsidRDefault="003967A1" w:rsidP="00D22441">
            <w:pPr>
              <w:jc w:val="right"/>
              <w:rPr>
                <w:rFonts w:ascii="Arial Narrow" w:hAnsi="Arial Narrow" w:cs="Arial"/>
                <w:b/>
                <w:bCs/>
                <w:color w:val="000000"/>
                <w:spacing w:val="0"/>
                <w:sz w:val="18"/>
                <w:szCs w:val="18"/>
                <w:lang w:eastAsia="es-CO"/>
              </w:rPr>
            </w:pPr>
            <w:r w:rsidRPr="00EB0978">
              <w:rPr>
                <w:rFonts w:ascii="Arial Narrow" w:hAnsi="Arial Narrow" w:cs="Arial"/>
                <w:b/>
                <w:bCs/>
                <w:color w:val="000000"/>
                <w:spacing w:val="0"/>
                <w:sz w:val="18"/>
                <w:szCs w:val="18"/>
                <w:lang w:eastAsia="es-CO"/>
              </w:rPr>
              <w:t>164</w:t>
            </w:r>
          </w:p>
        </w:tc>
        <w:tc>
          <w:tcPr>
            <w:tcW w:w="518" w:type="dxa"/>
            <w:tcBorders>
              <w:top w:val="nil"/>
              <w:left w:val="nil"/>
              <w:bottom w:val="single" w:sz="8" w:space="0" w:color="auto"/>
              <w:right w:val="single" w:sz="8" w:space="0" w:color="auto"/>
            </w:tcBorders>
            <w:shd w:val="clear" w:color="000000" w:fill="D9D9D9"/>
            <w:vAlign w:val="center"/>
            <w:hideMark/>
          </w:tcPr>
          <w:p w14:paraId="23734640" w14:textId="77777777" w:rsidR="003967A1" w:rsidRPr="00EB0978" w:rsidRDefault="003967A1" w:rsidP="00D22441">
            <w:pPr>
              <w:jc w:val="right"/>
              <w:rPr>
                <w:rFonts w:ascii="Arial Narrow" w:hAnsi="Arial Narrow" w:cs="Arial"/>
                <w:b/>
                <w:bCs/>
                <w:color w:val="000000"/>
                <w:spacing w:val="0"/>
                <w:sz w:val="18"/>
                <w:szCs w:val="18"/>
                <w:lang w:eastAsia="es-CO"/>
              </w:rPr>
            </w:pPr>
            <w:r w:rsidRPr="00EB0978">
              <w:rPr>
                <w:rFonts w:ascii="Arial Narrow" w:hAnsi="Arial Narrow" w:cs="Arial"/>
                <w:b/>
                <w:bCs/>
                <w:color w:val="000000"/>
                <w:spacing w:val="0"/>
                <w:sz w:val="18"/>
                <w:szCs w:val="18"/>
                <w:lang w:eastAsia="es-CO"/>
              </w:rPr>
              <w:t>100%</w:t>
            </w:r>
          </w:p>
        </w:tc>
        <w:tc>
          <w:tcPr>
            <w:tcW w:w="772" w:type="dxa"/>
            <w:tcBorders>
              <w:top w:val="nil"/>
              <w:left w:val="nil"/>
              <w:bottom w:val="single" w:sz="8" w:space="0" w:color="auto"/>
              <w:right w:val="single" w:sz="8" w:space="0" w:color="auto"/>
            </w:tcBorders>
            <w:shd w:val="clear" w:color="000000" w:fill="D9D9D9"/>
            <w:vAlign w:val="center"/>
            <w:hideMark/>
          </w:tcPr>
          <w:p w14:paraId="185AB9B4" w14:textId="77777777" w:rsidR="003967A1" w:rsidRPr="00EB0978" w:rsidRDefault="003967A1" w:rsidP="00D22441">
            <w:pPr>
              <w:jc w:val="right"/>
              <w:rPr>
                <w:rFonts w:ascii="Arial Narrow" w:hAnsi="Arial Narrow" w:cs="Arial"/>
                <w:b/>
                <w:bCs/>
                <w:color w:val="000000"/>
                <w:spacing w:val="0"/>
                <w:sz w:val="18"/>
                <w:szCs w:val="18"/>
                <w:lang w:eastAsia="es-CO"/>
              </w:rPr>
            </w:pPr>
            <w:r w:rsidRPr="00EB0978">
              <w:rPr>
                <w:rFonts w:ascii="Arial Narrow" w:hAnsi="Arial Narrow" w:cs="Arial"/>
                <w:b/>
                <w:bCs/>
                <w:color w:val="000000"/>
                <w:spacing w:val="0"/>
                <w:sz w:val="18"/>
                <w:szCs w:val="18"/>
                <w:lang w:eastAsia="es-CO"/>
              </w:rPr>
              <w:t>329</w:t>
            </w:r>
          </w:p>
        </w:tc>
        <w:tc>
          <w:tcPr>
            <w:tcW w:w="518" w:type="dxa"/>
            <w:tcBorders>
              <w:top w:val="nil"/>
              <w:left w:val="nil"/>
              <w:bottom w:val="single" w:sz="8" w:space="0" w:color="auto"/>
              <w:right w:val="single" w:sz="8" w:space="0" w:color="auto"/>
            </w:tcBorders>
            <w:shd w:val="clear" w:color="000000" w:fill="D9D9D9"/>
            <w:vAlign w:val="center"/>
            <w:hideMark/>
          </w:tcPr>
          <w:p w14:paraId="6B92E78F" w14:textId="77777777" w:rsidR="003967A1" w:rsidRPr="00EB0978" w:rsidRDefault="003967A1" w:rsidP="00D22441">
            <w:pPr>
              <w:jc w:val="right"/>
              <w:rPr>
                <w:rFonts w:ascii="Arial Narrow" w:hAnsi="Arial Narrow" w:cs="Arial"/>
                <w:b/>
                <w:bCs/>
                <w:color w:val="000000"/>
                <w:spacing w:val="0"/>
                <w:sz w:val="18"/>
                <w:szCs w:val="18"/>
                <w:lang w:eastAsia="es-CO"/>
              </w:rPr>
            </w:pPr>
            <w:r w:rsidRPr="00EB0978">
              <w:rPr>
                <w:rFonts w:ascii="Arial Narrow" w:hAnsi="Arial Narrow" w:cs="Arial"/>
                <w:b/>
                <w:bCs/>
                <w:color w:val="000000"/>
                <w:spacing w:val="0"/>
                <w:sz w:val="18"/>
                <w:szCs w:val="18"/>
                <w:lang w:eastAsia="es-CO"/>
              </w:rPr>
              <w:t>100%</w:t>
            </w:r>
          </w:p>
        </w:tc>
        <w:tc>
          <w:tcPr>
            <w:tcW w:w="772" w:type="dxa"/>
            <w:tcBorders>
              <w:top w:val="nil"/>
              <w:left w:val="nil"/>
              <w:bottom w:val="single" w:sz="8" w:space="0" w:color="auto"/>
              <w:right w:val="single" w:sz="8" w:space="0" w:color="auto"/>
            </w:tcBorders>
            <w:shd w:val="clear" w:color="000000" w:fill="D9D9D9"/>
            <w:vAlign w:val="center"/>
            <w:hideMark/>
          </w:tcPr>
          <w:p w14:paraId="7DCA497D" w14:textId="77777777" w:rsidR="003967A1" w:rsidRPr="00EB0978" w:rsidRDefault="003967A1" w:rsidP="00D22441">
            <w:pPr>
              <w:jc w:val="right"/>
              <w:rPr>
                <w:rFonts w:ascii="Arial Narrow" w:hAnsi="Arial Narrow" w:cs="Arial"/>
                <w:b/>
                <w:bCs/>
                <w:color w:val="000000"/>
                <w:spacing w:val="0"/>
                <w:sz w:val="18"/>
                <w:szCs w:val="18"/>
                <w:lang w:eastAsia="es-CO"/>
              </w:rPr>
            </w:pPr>
            <w:r w:rsidRPr="00EB0978">
              <w:rPr>
                <w:rFonts w:ascii="Arial Narrow" w:hAnsi="Arial Narrow" w:cs="Arial"/>
                <w:b/>
                <w:bCs/>
                <w:color w:val="000000"/>
                <w:spacing w:val="0"/>
                <w:sz w:val="18"/>
                <w:szCs w:val="18"/>
                <w:lang w:eastAsia="es-CO"/>
              </w:rPr>
              <w:t>14</w:t>
            </w:r>
          </w:p>
        </w:tc>
        <w:tc>
          <w:tcPr>
            <w:tcW w:w="518" w:type="dxa"/>
            <w:tcBorders>
              <w:top w:val="nil"/>
              <w:left w:val="nil"/>
              <w:bottom w:val="single" w:sz="8" w:space="0" w:color="auto"/>
              <w:right w:val="single" w:sz="8" w:space="0" w:color="auto"/>
            </w:tcBorders>
            <w:shd w:val="clear" w:color="000000" w:fill="D9D9D9"/>
            <w:vAlign w:val="center"/>
            <w:hideMark/>
          </w:tcPr>
          <w:p w14:paraId="54723A05" w14:textId="77777777" w:rsidR="003967A1" w:rsidRPr="00EB0978" w:rsidRDefault="003967A1" w:rsidP="00D22441">
            <w:pPr>
              <w:jc w:val="right"/>
              <w:rPr>
                <w:rFonts w:ascii="Arial Narrow" w:hAnsi="Arial Narrow" w:cs="Arial"/>
                <w:b/>
                <w:bCs/>
                <w:color w:val="000000"/>
                <w:spacing w:val="0"/>
                <w:sz w:val="18"/>
                <w:szCs w:val="18"/>
                <w:lang w:eastAsia="es-CO"/>
              </w:rPr>
            </w:pPr>
            <w:r w:rsidRPr="00EB0978">
              <w:rPr>
                <w:rFonts w:ascii="Arial Narrow" w:hAnsi="Arial Narrow" w:cs="Arial"/>
                <w:b/>
                <w:bCs/>
                <w:color w:val="000000"/>
                <w:spacing w:val="0"/>
                <w:sz w:val="18"/>
                <w:szCs w:val="18"/>
                <w:lang w:eastAsia="es-CO"/>
              </w:rPr>
              <w:t>100%</w:t>
            </w:r>
          </w:p>
        </w:tc>
        <w:tc>
          <w:tcPr>
            <w:tcW w:w="772" w:type="dxa"/>
            <w:tcBorders>
              <w:top w:val="nil"/>
              <w:left w:val="nil"/>
              <w:bottom w:val="single" w:sz="8" w:space="0" w:color="auto"/>
              <w:right w:val="single" w:sz="8" w:space="0" w:color="auto"/>
            </w:tcBorders>
            <w:shd w:val="clear" w:color="000000" w:fill="D9D9D9"/>
            <w:vAlign w:val="center"/>
            <w:hideMark/>
          </w:tcPr>
          <w:p w14:paraId="3D28A42A" w14:textId="77777777" w:rsidR="003967A1" w:rsidRPr="00EB0978" w:rsidRDefault="003967A1" w:rsidP="00D22441">
            <w:pPr>
              <w:jc w:val="right"/>
              <w:rPr>
                <w:rFonts w:ascii="Arial Narrow" w:hAnsi="Arial Narrow" w:cs="Arial"/>
                <w:b/>
                <w:bCs/>
                <w:color w:val="000000"/>
                <w:spacing w:val="0"/>
                <w:sz w:val="18"/>
                <w:szCs w:val="18"/>
                <w:lang w:eastAsia="es-CO"/>
              </w:rPr>
            </w:pPr>
            <w:r w:rsidRPr="00EB0978">
              <w:rPr>
                <w:rFonts w:ascii="Arial Narrow" w:hAnsi="Arial Narrow" w:cs="Arial"/>
                <w:b/>
                <w:bCs/>
                <w:color w:val="000000"/>
                <w:spacing w:val="0"/>
                <w:sz w:val="18"/>
                <w:szCs w:val="18"/>
                <w:lang w:eastAsia="es-CO"/>
              </w:rPr>
              <w:t>2</w:t>
            </w:r>
          </w:p>
        </w:tc>
        <w:tc>
          <w:tcPr>
            <w:tcW w:w="518" w:type="dxa"/>
            <w:tcBorders>
              <w:top w:val="nil"/>
              <w:left w:val="nil"/>
              <w:bottom w:val="single" w:sz="8" w:space="0" w:color="auto"/>
              <w:right w:val="single" w:sz="8" w:space="0" w:color="auto"/>
            </w:tcBorders>
            <w:shd w:val="clear" w:color="000000" w:fill="D9D9D9"/>
            <w:vAlign w:val="center"/>
            <w:hideMark/>
          </w:tcPr>
          <w:p w14:paraId="5B2EAAA2" w14:textId="77777777" w:rsidR="003967A1" w:rsidRPr="00EB0978" w:rsidRDefault="003967A1" w:rsidP="00D22441">
            <w:pPr>
              <w:jc w:val="right"/>
              <w:rPr>
                <w:rFonts w:ascii="Arial Narrow" w:hAnsi="Arial Narrow" w:cs="Arial"/>
                <w:b/>
                <w:bCs/>
                <w:color w:val="000000"/>
                <w:spacing w:val="0"/>
                <w:sz w:val="18"/>
                <w:szCs w:val="18"/>
                <w:lang w:eastAsia="es-CO"/>
              </w:rPr>
            </w:pPr>
            <w:r w:rsidRPr="00EB0978">
              <w:rPr>
                <w:rFonts w:ascii="Arial Narrow" w:hAnsi="Arial Narrow" w:cs="Arial"/>
                <w:b/>
                <w:bCs/>
                <w:color w:val="000000"/>
                <w:spacing w:val="0"/>
                <w:sz w:val="18"/>
                <w:szCs w:val="18"/>
                <w:lang w:eastAsia="es-CO"/>
              </w:rPr>
              <w:t>100%</w:t>
            </w:r>
          </w:p>
        </w:tc>
        <w:tc>
          <w:tcPr>
            <w:tcW w:w="772" w:type="dxa"/>
            <w:tcBorders>
              <w:top w:val="nil"/>
              <w:left w:val="nil"/>
              <w:bottom w:val="single" w:sz="8" w:space="0" w:color="auto"/>
              <w:right w:val="single" w:sz="8" w:space="0" w:color="auto"/>
            </w:tcBorders>
            <w:shd w:val="clear" w:color="000000" w:fill="D9D9D9"/>
            <w:vAlign w:val="center"/>
            <w:hideMark/>
          </w:tcPr>
          <w:p w14:paraId="2854FEB7" w14:textId="77777777" w:rsidR="003967A1" w:rsidRPr="00EB0978" w:rsidRDefault="003967A1" w:rsidP="00D22441">
            <w:pPr>
              <w:jc w:val="right"/>
              <w:rPr>
                <w:rFonts w:ascii="Arial Narrow" w:hAnsi="Arial Narrow" w:cs="Arial"/>
                <w:b/>
                <w:bCs/>
                <w:color w:val="000000"/>
                <w:spacing w:val="0"/>
                <w:sz w:val="18"/>
                <w:szCs w:val="18"/>
                <w:lang w:eastAsia="es-CO"/>
              </w:rPr>
            </w:pPr>
            <w:r w:rsidRPr="00EB0978">
              <w:rPr>
                <w:rFonts w:ascii="Arial Narrow" w:hAnsi="Arial Narrow" w:cs="Arial"/>
                <w:b/>
                <w:bCs/>
                <w:color w:val="000000"/>
                <w:spacing w:val="0"/>
                <w:sz w:val="18"/>
                <w:szCs w:val="18"/>
                <w:lang w:eastAsia="es-CO"/>
              </w:rPr>
              <w:t>313</w:t>
            </w:r>
          </w:p>
        </w:tc>
        <w:tc>
          <w:tcPr>
            <w:tcW w:w="518" w:type="dxa"/>
            <w:tcBorders>
              <w:top w:val="nil"/>
              <w:left w:val="nil"/>
              <w:bottom w:val="single" w:sz="8" w:space="0" w:color="auto"/>
              <w:right w:val="single" w:sz="8" w:space="0" w:color="auto"/>
            </w:tcBorders>
            <w:shd w:val="clear" w:color="000000" w:fill="D9D9D9"/>
            <w:vAlign w:val="center"/>
            <w:hideMark/>
          </w:tcPr>
          <w:p w14:paraId="5FBC819A" w14:textId="77777777" w:rsidR="003967A1" w:rsidRPr="00EB0978" w:rsidRDefault="003967A1" w:rsidP="00D22441">
            <w:pPr>
              <w:jc w:val="right"/>
              <w:rPr>
                <w:rFonts w:ascii="Arial Narrow" w:hAnsi="Arial Narrow" w:cs="Arial"/>
                <w:b/>
                <w:bCs/>
                <w:color w:val="000000"/>
                <w:spacing w:val="0"/>
                <w:sz w:val="18"/>
                <w:szCs w:val="18"/>
                <w:lang w:eastAsia="es-CO"/>
              </w:rPr>
            </w:pPr>
            <w:r w:rsidRPr="00EB0978">
              <w:rPr>
                <w:rFonts w:ascii="Arial Narrow" w:hAnsi="Arial Narrow" w:cs="Arial"/>
                <w:b/>
                <w:bCs/>
                <w:color w:val="000000"/>
                <w:spacing w:val="0"/>
                <w:sz w:val="18"/>
                <w:szCs w:val="18"/>
                <w:lang w:eastAsia="es-CO"/>
              </w:rPr>
              <w:t>100%</w:t>
            </w:r>
          </w:p>
        </w:tc>
      </w:tr>
      <w:tr w:rsidR="003967A1" w:rsidRPr="00EB0978" w14:paraId="2C0C1FF2" w14:textId="77777777" w:rsidTr="008A7878">
        <w:trPr>
          <w:trHeight w:val="270"/>
          <w:jc w:val="center"/>
        </w:trPr>
        <w:tc>
          <w:tcPr>
            <w:tcW w:w="1264" w:type="dxa"/>
            <w:vMerge/>
            <w:tcBorders>
              <w:top w:val="nil"/>
              <w:left w:val="single" w:sz="8" w:space="0" w:color="auto"/>
              <w:bottom w:val="single" w:sz="8" w:space="0" w:color="000000"/>
              <w:right w:val="single" w:sz="8" w:space="0" w:color="auto"/>
            </w:tcBorders>
            <w:vAlign w:val="center"/>
            <w:hideMark/>
          </w:tcPr>
          <w:p w14:paraId="66501CE4" w14:textId="77777777" w:rsidR="003967A1" w:rsidRPr="00EB0978" w:rsidRDefault="003967A1" w:rsidP="00D22441">
            <w:pPr>
              <w:jc w:val="left"/>
              <w:rPr>
                <w:rFonts w:ascii="Arial Narrow" w:hAnsi="Arial Narrow" w:cs="Arial"/>
                <w:b/>
                <w:bCs/>
                <w:color w:val="000000"/>
                <w:spacing w:val="0"/>
                <w:sz w:val="18"/>
                <w:szCs w:val="18"/>
                <w:lang w:eastAsia="es-CO"/>
              </w:rPr>
            </w:pPr>
          </w:p>
        </w:tc>
        <w:tc>
          <w:tcPr>
            <w:tcW w:w="772" w:type="dxa"/>
            <w:tcBorders>
              <w:top w:val="nil"/>
              <w:left w:val="nil"/>
              <w:bottom w:val="single" w:sz="8" w:space="0" w:color="auto"/>
              <w:right w:val="single" w:sz="8" w:space="0" w:color="auto"/>
            </w:tcBorders>
            <w:shd w:val="clear" w:color="000000" w:fill="D9D9D9"/>
            <w:vAlign w:val="center"/>
            <w:hideMark/>
          </w:tcPr>
          <w:p w14:paraId="2A713C35" w14:textId="77777777" w:rsidR="003967A1" w:rsidRPr="00EB0978" w:rsidRDefault="003967A1" w:rsidP="00D22441">
            <w:pPr>
              <w:jc w:val="right"/>
              <w:rPr>
                <w:rFonts w:ascii="Arial Narrow" w:hAnsi="Arial Narrow" w:cs="Arial"/>
                <w:b/>
                <w:bCs/>
                <w:color w:val="000000"/>
                <w:spacing w:val="0"/>
                <w:sz w:val="18"/>
                <w:szCs w:val="18"/>
                <w:lang w:eastAsia="es-CO"/>
              </w:rPr>
            </w:pPr>
            <w:r w:rsidRPr="00EB0978">
              <w:rPr>
                <w:rFonts w:ascii="Arial Narrow" w:hAnsi="Arial Narrow" w:cs="Arial"/>
                <w:b/>
                <w:bCs/>
                <w:color w:val="000000"/>
                <w:spacing w:val="0"/>
                <w:sz w:val="18"/>
                <w:szCs w:val="18"/>
                <w:lang w:eastAsia="es-CO"/>
              </w:rPr>
              <w:t>100%</w:t>
            </w:r>
          </w:p>
        </w:tc>
        <w:tc>
          <w:tcPr>
            <w:tcW w:w="980" w:type="dxa"/>
            <w:tcBorders>
              <w:top w:val="nil"/>
              <w:left w:val="nil"/>
              <w:bottom w:val="nil"/>
              <w:right w:val="nil"/>
            </w:tcBorders>
            <w:shd w:val="clear" w:color="auto" w:fill="auto"/>
            <w:noWrap/>
            <w:vAlign w:val="center"/>
            <w:hideMark/>
          </w:tcPr>
          <w:p w14:paraId="551F8DE0" w14:textId="77777777" w:rsidR="003967A1" w:rsidRPr="00EB0978" w:rsidRDefault="003967A1" w:rsidP="00D22441">
            <w:pPr>
              <w:jc w:val="right"/>
              <w:rPr>
                <w:rFonts w:ascii="Arial Narrow" w:hAnsi="Arial Narrow" w:cs="Arial"/>
                <w:b/>
                <w:bCs/>
                <w:color w:val="000000"/>
                <w:spacing w:val="0"/>
                <w:sz w:val="18"/>
                <w:szCs w:val="18"/>
                <w:lang w:eastAsia="es-CO"/>
              </w:rPr>
            </w:pPr>
          </w:p>
        </w:tc>
        <w:tc>
          <w:tcPr>
            <w:tcW w:w="772" w:type="dxa"/>
            <w:tcBorders>
              <w:top w:val="nil"/>
              <w:left w:val="single" w:sz="8" w:space="0" w:color="auto"/>
              <w:bottom w:val="single" w:sz="8" w:space="0" w:color="auto"/>
              <w:right w:val="single" w:sz="8" w:space="0" w:color="auto"/>
            </w:tcBorders>
            <w:shd w:val="clear" w:color="000000" w:fill="D9D9D9"/>
            <w:vAlign w:val="center"/>
            <w:hideMark/>
          </w:tcPr>
          <w:p w14:paraId="3692B54C" w14:textId="77777777" w:rsidR="003967A1" w:rsidRPr="00EB0978" w:rsidRDefault="003967A1" w:rsidP="00D22441">
            <w:pPr>
              <w:jc w:val="right"/>
              <w:rPr>
                <w:rFonts w:ascii="Arial Narrow" w:hAnsi="Arial Narrow" w:cs="Arial"/>
                <w:b/>
                <w:bCs/>
                <w:color w:val="000000"/>
                <w:spacing w:val="0"/>
                <w:sz w:val="18"/>
                <w:szCs w:val="18"/>
                <w:lang w:eastAsia="es-CO"/>
              </w:rPr>
            </w:pPr>
            <w:r w:rsidRPr="00EB0978">
              <w:rPr>
                <w:rFonts w:ascii="Arial Narrow" w:hAnsi="Arial Narrow" w:cs="Arial"/>
                <w:b/>
                <w:bCs/>
                <w:color w:val="000000"/>
                <w:spacing w:val="0"/>
                <w:sz w:val="18"/>
                <w:szCs w:val="18"/>
                <w:lang w:eastAsia="es-CO"/>
              </w:rPr>
              <w:t>33%</w:t>
            </w:r>
          </w:p>
        </w:tc>
        <w:tc>
          <w:tcPr>
            <w:tcW w:w="518" w:type="dxa"/>
            <w:tcBorders>
              <w:top w:val="nil"/>
              <w:left w:val="nil"/>
              <w:bottom w:val="nil"/>
              <w:right w:val="nil"/>
            </w:tcBorders>
            <w:shd w:val="clear" w:color="auto" w:fill="auto"/>
            <w:noWrap/>
            <w:vAlign w:val="center"/>
            <w:hideMark/>
          </w:tcPr>
          <w:p w14:paraId="3542062B" w14:textId="77777777" w:rsidR="003967A1" w:rsidRPr="00EB0978" w:rsidRDefault="003967A1" w:rsidP="00D22441">
            <w:pPr>
              <w:jc w:val="right"/>
              <w:rPr>
                <w:rFonts w:ascii="Arial Narrow" w:hAnsi="Arial Narrow" w:cs="Arial"/>
                <w:b/>
                <w:bCs/>
                <w:color w:val="000000"/>
                <w:spacing w:val="0"/>
                <w:sz w:val="18"/>
                <w:szCs w:val="18"/>
                <w:lang w:eastAsia="es-CO"/>
              </w:rPr>
            </w:pPr>
          </w:p>
        </w:tc>
        <w:tc>
          <w:tcPr>
            <w:tcW w:w="772" w:type="dxa"/>
            <w:tcBorders>
              <w:top w:val="nil"/>
              <w:left w:val="single" w:sz="8" w:space="0" w:color="auto"/>
              <w:bottom w:val="single" w:sz="8" w:space="0" w:color="auto"/>
              <w:right w:val="single" w:sz="8" w:space="0" w:color="auto"/>
            </w:tcBorders>
            <w:shd w:val="clear" w:color="000000" w:fill="D9D9D9"/>
            <w:vAlign w:val="center"/>
            <w:hideMark/>
          </w:tcPr>
          <w:p w14:paraId="40F36621" w14:textId="77777777" w:rsidR="003967A1" w:rsidRPr="00EB0978" w:rsidRDefault="003967A1" w:rsidP="00D22441">
            <w:pPr>
              <w:jc w:val="right"/>
              <w:rPr>
                <w:rFonts w:ascii="Arial Narrow" w:hAnsi="Arial Narrow" w:cs="Arial"/>
                <w:b/>
                <w:bCs/>
                <w:color w:val="000000"/>
                <w:spacing w:val="0"/>
                <w:sz w:val="18"/>
                <w:szCs w:val="18"/>
                <w:lang w:eastAsia="es-CO"/>
              </w:rPr>
            </w:pPr>
            <w:r w:rsidRPr="00EB0978">
              <w:rPr>
                <w:rFonts w:ascii="Arial Narrow" w:hAnsi="Arial Narrow" w:cs="Arial"/>
                <w:b/>
                <w:bCs/>
                <w:color w:val="000000"/>
                <w:spacing w:val="0"/>
                <w:sz w:val="18"/>
                <w:szCs w:val="18"/>
                <w:lang w:eastAsia="es-CO"/>
              </w:rPr>
              <w:t>67%</w:t>
            </w:r>
          </w:p>
        </w:tc>
        <w:tc>
          <w:tcPr>
            <w:tcW w:w="518" w:type="dxa"/>
            <w:tcBorders>
              <w:top w:val="nil"/>
              <w:left w:val="nil"/>
              <w:bottom w:val="nil"/>
              <w:right w:val="nil"/>
            </w:tcBorders>
            <w:shd w:val="clear" w:color="auto" w:fill="auto"/>
            <w:noWrap/>
            <w:vAlign w:val="center"/>
            <w:hideMark/>
          </w:tcPr>
          <w:p w14:paraId="54A1D6E7" w14:textId="77777777" w:rsidR="003967A1" w:rsidRPr="00EB0978" w:rsidRDefault="003967A1" w:rsidP="00D22441">
            <w:pPr>
              <w:jc w:val="right"/>
              <w:rPr>
                <w:rFonts w:ascii="Arial Narrow" w:hAnsi="Arial Narrow" w:cs="Arial"/>
                <w:b/>
                <w:bCs/>
                <w:color w:val="000000"/>
                <w:spacing w:val="0"/>
                <w:sz w:val="18"/>
                <w:szCs w:val="18"/>
                <w:lang w:eastAsia="es-CO"/>
              </w:rPr>
            </w:pPr>
          </w:p>
        </w:tc>
        <w:tc>
          <w:tcPr>
            <w:tcW w:w="772" w:type="dxa"/>
            <w:tcBorders>
              <w:top w:val="nil"/>
              <w:left w:val="single" w:sz="8" w:space="0" w:color="auto"/>
              <w:bottom w:val="single" w:sz="8" w:space="0" w:color="auto"/>
              <w:right w:val="single" w:sz="8" w:space="0" w:color="auto"/>
            </w:tcBorders>
            <w:shd w:val="clear" w:color="000000" w:fill="D9D9D9"/>
            <w:vAlign w:val="center"/>
            <w:hideMark/>
          </w:tcPr>
          <w:p w14:paraId="5FBE50BB" w14:textId="77777777" w:rsidR="003967A1" w:rsidRPr="00EB0978" w:rsidRDefault="003967A1" w:rsidP="00D22441">
            <w:pPr>
              <w:jc w:val="right"/>
              <w:rPr>
                <w:rFonts w:ascii="Arial Narrow" w:hAnsi="Arial Narrow" w:cs="Arial"/>
                <w:b/>
                <w:bCs/>
                <w:color w:val="000000"/>
                <w:spacing w:val="0"/>
                <w:sz w:val="18"/>
                <w:szCs w:val="18"/>
                <w:lang w:eastAsia="es-CO"/>
              </w:rPr>
            </w:pPr>
            <w:r w:rsidRPr="00EB0978">
              <w:rPr>
                <w:rFonts w:ascii="Arial Narrow" w:hAnsi="Arial Narrow" w:cs="Arial"/>
                <w:b/>
                <w:bCs/>
                <w:color w:val="000000"/>
                <w:spacing w:val="0"/>
                <w:sz w:val="18"/>
                <w:szCs w:val="18"/>
                <w:lang w:eastAsia="es-CO"/>
              </w:rPr>
              <w:t>3%</w:t>
            </w:r>
          </w:p>
        </w:tc>
        <w:tc>
          <w:tcPr>
            <w:tcW w:w="518" w:type="dxa"/>
            <w:tcBorders>
              <w:top w:val="nil"/>
              <w:left w:val="nil"/>
              <w:bottom w:val="nil"/>
              <w:right w:val="nil"/>
            </w:tcBorders>
            <w:shd w:val="clear" w:color="auto" w:fill="auto"/>
            <w:vAlign w:val="center"/>
            <w:hideMark/>
          </w:tcPr>
          <w:p w14:paraId="232BF698" w14:textId="77777777" w:rsidR="003967A1" w:rsidRPr="00EB0978" w:rsidRDefault="003967A1" w:rsidP="00D22441">
            <w:pPr>
              <w:jc w:val="right"/>
              <w:rPr>
                <w:rFonts w:ascii="Arial Narrow" w:hAnsi="Arial Narrow" w:cs="Arial"/>
                <w:b/>
                <w:bCs/>
                <w:color w:val="000000"/>
                <w:spacing w:val="0"/>
                <w:sz w:val="18"/>
                <w:szCs w:val="18"/>
                <w:lang w:eastAsia="es-CO"/>
              </w:rPr>
            </w:pPr>
          </w:p>
        </w:tc>
        <w:tc>
          <w:tcPr>
            <w:tcW w:w="772" w:type="dxa"/>
            <w:tcBorders>
              <w:top w:val="nil"/>
              <w:left w:val="single" w:sz="8" w:space="0" w:color="auto"/>
              <w:bottom w:val="single" w:sz="8" w:space="0" w:color="auto"/>
              <w:right w:val="single" w:sz="8" w:space="0" w:color="auto"/>
            </w:tcBorders>
            <w:shd w:val="clear" w:color="000000" w:fill="D9D9D9"/>
            <w:vAlign w:val="center"/>
            <w:hideMark/>
          </w:tcPr>
          <w:p w14:paraId="689FE4D5" w14:textId="77777777" w:rsidR="003967A1" w:rsidRPr="00EB0978" w:rsidRDefault="003967A1" w:rsidP="00D22441">
            <w:pPr>
              <w:jc w:val="right"/>
              <w:rPr>
                <w:rFonts w:ascii="Arial Narrow" w:hAnsi="Arial Narrow" w:cs="Arial"/>
                <w:b/>
                <w:bCs/>
                <w:color w:val="000000"/>
                <w:spacing w:val="0"/>
                <w:sz w:val="18"/>
                <w:szCs w:val="18"/>
                <w:lang w:eastAsia="es-CO"/>
              </w:rPr>
            </w:pPr>
            <w:r w:rsidRPr="00EB0978">
              <w:rPr>
                <w:rFonts w:ascii="Arial Narrow" w:hAnsi="Arial Narrow" w:cs="Arial"/>
                <w:b/>
                <w:bCs/>
                <w:color w:val="000000"/>
                <w:spacing w:val="0"/>
                <w:sz w:val="18"/>
                <w:szCs w:val="18"/>
                <w:lang w:eastAsia="es-CO"/>
              </w:rPr>
              <w:t>0,41%</w:t>
            </w:r>
          </w:p>
        </w:tc>
        <w:tc>
          <w:tcPr>
            <w:tcW w:w="518" w:type="dxa"/>
            <w:tcBorders>
              <w:top w:val="nil"/>
              <w:left w:val="nil"/>
              <w:bottom w:val="nil"/>
              <w:right w:val="nil"/>
            </w:tcBorders>
            <w:shd w:val="clear" w:color="auto" w:fill="auto"/>
            <w:vAlign w:val="center"/>
            <w:hideMark/>
          </w:tcPr>
          <w:p w14:paraId="591AA162" w14:textId="77777777" w:rsidR="003967A1" w:rsidRPr="00EB0978" w:rsidRDefault="003967A1" w:rsidP="00D22441">
            <w:pPr>
              <w:jc w:val="right"/>
              <w:rPr>
                <w:rFonts w:ascii="Arial Narrow" w:hAnsi="Arial Narrow" w:cs="Arial"/>
                <w:b/>
                <w:bCs/>
                <w:color w:val="000000"/>
                <w:spacing w:val="0"/>
                <w:sz w:val="18"/>
                <w:szCs w:val="18"/>
                <w:lang w:eastAsia="es-CO"/>
              </w:rPr>
            </w:pPr>
          </w:p>
        </w:tc>
        <w:tc>
          <w:tcPr>
            <w:tcW w:w="772" w:type="dxa"/>
            <w:tcBorders>
              <w:top w:val="nil"/>
              <w:left w:val="single" w:sz="8" w:space="0" w:color="auto"/>
              <w:bottom w:val="single" w:sz="8" w:space="0" w:color="auto"/>
              <w:right w:val="single" w:sz="8" w:space="0" w:color="auto"/>
            </w:tcBorders>
            <w:shd w:val="clear" w:color="000000" w:fill="D9D9D9"/>
            <w:vAlign w:val="center"/>
            <w:hideMark/>
          </w:tcPr>
          <w:p w14:paraId="6DAE1CEB" w14:textId="77777777" w:rsidR="003967A1" w:rsidRPr="00EB0978" w:rsidRDefault="003967A1" w:rsidP="00D22441">
            <w:pPr>
              <w:jc w:val="right"/>
              <w:rPr>
                <w:rFonts w:ascii="Arial Narrow" w:hAnsi="Arial Narrow" w:cs="Arial"/>
                <w:b/>
                <w:bCs/>
                <w:color w:val="000000"/>
                <w:spacing w:val="0"/>
                <w:sz w:val="18"/>
                <w:szCs w:val="18"/>
                <w:lang w:eastAsia="es-CO"/>
              </w:rPr>
            </w:pPr>
            <w:r w:rsidRPr="00EB0978">
              <w:rPr>
                <w:rFonts w:ascii="Arial Narrow" w:hAnsi="Arial Narrow" w:cs="Arial"/>
                <w:b/>
                <w:bCs/>
                <w:color w:val="000000"/>
                <w:spacing w:val="0"/>
                <w:sz w:val="18"/>
                <w:szCs w:val="18"/>
                <w:lang w:eastAsia="es-CO"/>
              </w:rPr>
              <w:t>63,49%</w:t>
            </w:r>
          </w:p>
        </w:tc>
        <w:tc>
          <w:tcPr>
            <w:tcW w:w="518" w:type="dxa"/>
            <w:tcBorders>
              <w:top w:val="nil"/>
              <w:left w:val="nil"/>
              <w:bottom w:val="nil"/>
              <w:right w:val="nil"/>
            </w:tcBorders>
            <w:shd w:val="clear" w:color="auto" w:fill="auto"/>
            <w:vAlign w:val="center"/>
            <w:hideMark/>
          </w:tcPr>
          <w:p w14:paraId="4B9847ED" w14:textId="77777777" w:rsidR="003967A1" w:rsidRPr="00EB0978" w:rsidRDefault="003967A1" w:rsidP="00D22441">
            <w:pPr>
              <w:jc w:val="right"/>
              <w:rPr>
                <w:rFonts w:ascii="Arial Narrow" w:hAnsi="Arial Narrow" w:cs="Arial"/>
                <w:b/>
                <w:bCs/>
                <w:color w:val="000000"/>
                <w:spacing w:val="0"/>
                <w:sz w:val="18"/>
                <w:szCs w:val="18"/>
                <w:lang w:eastAsia="es-CO"/>
              </w:rPr>
            </w:pPr>
          </w:p>
        </w:tc>
      </w:tr>
    </w:tbl>
    <w:p w14:paraId="7028C602" w14:textId="66D1A294" w:rsidR="002155D7" w:rsidRDefault="002155D7" w:rsidP="00D22441"/>
    <w:p w14:paraId="4B36D401" w14:textId="73EF704E" w:rsidR="00262AA6" w:rsidRPr="0085721C" w:rsidRDefault="00262AA6" w:rsidP="00D22441">
      <w:pPr>
        <w:pStyle w:val="Subttulo"/>
        <w:numPr>
          <w:ilvl w:val="1"/>
          <w:numId w:val="37"/>
        </w:numPr>
        <w:spacing w:after="0"/>
        <w:ind w:left="357" w:hanging="357"/>
        <w:jc w:val="left"/>
        <w:rPr>
          <w:b/>
          <w:bCs/>
          <w:sz w:val="22"/>
          <w:szCs w:val="22"/>
        </w:rPr>
      </w:pPr>
      <w:bookmarkStart w:id="62" w:name="_Toc147154316"/>
      <w:r>
        <w:rPr>
          <w:b/>
          <w:bCs/>
          <w:sz w:val="22"/>
          <w:szCs w:val="22"/>
        </w:rPr>
        <w:t>REGULADOS NO REPORTANTES SUI EN PROCESO DE LIQUIDACIÓN O CANCELACIÓN.</w:t>
      </w:r>
      <w:bookmarkEnd w:id="62"/>
    </w:p>
    <w:p w14:paraId="1356E2CE" w14:textId="0747C6EA" w:rsidR="00262AA6" w:rsidRDefault="00262AA6" w:rsidP="00D22441"/>
    <w:p w14:paraId="77619D0D" w14:textId="01077791" w:rsidR="00262AA6" w:rsidRDefault="00262AA6" w:rsidP="00D22441">
      <w:pPr>
        <w:pStyle w:val="Textoindependiente"/>
        <w:spacing w:after="0" w:line="240" w:lineRule="auto"/>
        <w:ind w:right="142"/>
        <w:rPr>
          <w:rFonts w:cs="Arial"/>
          <w:sz w:val="22"/>
          <w:szCs w:val="22"/>
        </w:rPr>
      </w:pPr>
      <w:r>
        <w:rPr>
          <w:rFonts w:cs="Arial"/>
          <w:sz w:val="22"/>
          <w:szCs w:val="22"/>
        </w:rPr>
        <w:t xml:space="preserve">De los 164 no </w:t>
      </w:r>
      <w:proofErr w:type="spellStart"/>
      <w:r>
        <w:rPr>
          <w:rFonts w:cs="Arial"/>
          <w:sz w:val="22"/>
          <w:szCs w:val="22"/>
        </w:rPr>
        <w:t>reportantes</w:t>
      </w:r>
      <w:proofErr w:type="spellEnd"/>
      <w:r>
        <w:rPr>
          <w:rFonts w:cs="Arial"/>
          <w:sz w:val="22"/>
          <w:szCs w:val="22"/>
        </w:rPr>
        <w:t xml:space="preserve"> de información financiera 2022 al SUI, los siguientes dos prestadores se encuentran en proceso de liquidación o cancelación de su RUPS, con corte al 12 de julio de 2023:</w:t>
      </w:r>
    </w:p>
    <w:p w14:paraId="67A6BCD2" w14:textId="02A6BEE0" w:rsidR="00262AA6" w:rsidRDefault="00262AA6" w:rsidP="00D22441"/>
    <w:p w14:paraId="6FB9F6ED" w14:textId="4288DD2D" w:rsidR="00D33423" w:rsidRPr="00B24EC3" w:rsidRDefault="00D33423" w:rsidP="00D33423">
      <w:pPr>
        <w:pStyle w:val="Descripcin"/>
        <w:rPr>
          <w:i w:val="0"/>
          <w:iCs w:val="0"/>
          <w:color w:val="auto"/>
        </w:rPr>
      </w:pPr>
      <w:bookmarkStart w:id="63" w:name="_Toc145486437"/>
      <w:r w:rsidRPr="002C4392">
        <w:rPr>
          <w:i w:val="0"/>
          <w:iCs w:val="0"/>
          <w:color w:val="auto"/>
        </w:rPr>
        <w:t xml:space="preserve">Tabla </w:t>
      </w:r>
      <w:r w:rsidRPr="002C4392">
        <w:rPr>
          <w:i w:val="0"/>
          <w:iCs w:val="0"/>
          <w:color w:val="auto"/>
        </w:rPr>
        <w:fldChar w:fldCharType="begin"/>
      </w:r>
      <w:r w:rsidRPr="002C4392">
        <w:rPr>
          <w:i w:val="0"/>
          <w:iCs w:val="0"/>
          <w:color w:val="auto"/>
        </w:rPr>
        <w:instrText xml:space="preserve"> SEQ Tabla \* ARABIC </w:instrText>
      </w:r>
      <w:r w:rsidRPr="002C4392">
        <w:rPr>
          <w:i w:val="0"/>
          <w:iCs w:val="0"/>
          <w:color w:val="auto"/>
        </w:rPr>
        <w:fldChar w:fldCharType="separate"/>
      </w:r>
      <w:r w:rsidR="008E328C">
        <w:rPr>
          <w:i w:val="0"/>
          <w:iCs w:val="0"/>
          <w:noProof/>
          <w:color w:val="auto"/>
        </w:rPr>
        <w:t>11</w:t>
      </w:r>
      <w:r w:rsidRPr="002C4392">
        <w:rPr>
          <w:i w:val="0"/>
          <w:iCs w:val="0"/>
          <w:color w:val="auto"/>
        </w:rPr>
        <w:fldChar w:fldCharType="end"/>
      </w:r>
      <w:r w:rsidRPr="002C4392">
        <w:rPr>
          <w:i w:val="0"/>
          <w:iCs w:val="0"/>
          <w:color w:val="auto"/>
        </w:rPr>
        <w:t xml:space="preserve">. </w:t>
      </w:r>
      <w:r w:rsidR="008E328C">
        <w:rPr>
          <w:i w:val="0"/>
          <w:iCs w:val="0"/>
          <w:color w:val="auto"/>
        </w:rPr>
        <w:t>Prestadores censo 2023 en proceso de liquidación o cancelación RUPS</w:t>
      </w:r>
      <w:r>
        <w:rPr>
          <w:i w:val="0"/>
          <w:iCs w:val="0"/>
          <w:color w:val="auto"/>
        </w:rPr>
        <w:t>.</w:t>
      </w:r>
      <w:bookmarkEnd w:id="63"/>
    </w:p>
    <w:tbl>
      <w:tblPr>
        <w:tblW w:w="9185" w:type="dxa"/>
        <w:tblCellMar>
          <w:left w:w="70" w:type="dxa"/>
          <w:right w:w="70" w:type="dxa"/>
        </w:tblCellMar>
        <w:tblLook w:val="04A0" w:firstRow="1" w:lastRow="0" w:firstColumn="1" w:lastColumn="0" w:noHBand="0" w:noVBand="1"/>
      </w:tblPr>
      <w:tblGrid>
        <w:gridCol w:w="1279"/>
        <w:gridCol w:w="323"/>
        <w:gridCol w:w="860"/>
        <w:gridCol w:w="3224"/>
        <w:gridCol w:w="1660"/>
        <w:gridCol w:w="1839"/>
      </w:tblGrid>
      <w:tr w:rsidR="00262AA6" w:rsidRPr="00262AA6" w14:paraId="5B77FF54" w14:textId="77777777" w:rsidTr="008A7878">
        <w:trPr>
          <w:trHeight w:val="269"/>
        </w:trPr>
        <w:tc>
          <w:tcPr>
            <w:tcW w:w="12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37E82C" w14:textId="77777777" w:rsidR="00262AA6" w:rsidRPr="00262AA6" w:rsidRDefault="00262AA6" w:rsidP="00D22441">
            <w:pPr>
              <w:jc w:val="center"/>
              <w:rPr>
                <w:rFonts w:ascii="Arial Narrow" w:hAnsi="Arial Narrow" w:cs="Arial"/>
                <w:b/>
                <w:bCs/>
                <w:color w:val="000000"/>
                <w:spacing w:val="0"/>
                <w:sz w:val="16"/>
                <w:szCs w:val="16"/>
                <w:lang w:eastAsia="es-CO"/>
              </w:rPr>
            </w:pPr>
            <w:r w:rsidRPr="00262AA6">
              <w:rPr>
                <w:rFonts w:ascii="Arial Narrow" w:hAnsi="Arial Narrow" w:cs="Arial"/>
                <w:b/>
                <w:bCs/>
                <w:color w:val="000000"/>
                <w:spacing w:val="0"/>
                <w:sz w:val="16"/>
                <w:szCs w:val="16"/>
                <w:lang w:eastAsia="es-CO"/>
              </w:rPr>
              <w:t>NIT</w:t>
            </w:r>
          </w:p>
        </w:tc>
        <w:tc>
          <w:tcPr>
            <w:tcW w:w="32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1D2D327" w14:textId="77777777" w:rsidR="00262AA6" w:rsidRPr="00262AA6" w:rsidRDefault="00262AA6" w:rsidP="00D22441">
            <w:pPr>
              <w:jc w:val="center"/>
              <w:rPr>
                <w:rFonts w:ascii="Arial Narrow" w:hAnsi="Arial Narrow" w:cs="Arial"/>
                <w:b/>
                <w:bCs/>
                <w:color w:val="000000"/>
                <w:spacing w:val="0"/>
                <w:sz w:val="16"/>
                <w:szCs w:val="16"/>
                <w:lang w:eastAsia="es-CO"/>
              </w:rPr>
            </w:pPr>
            <w:r w:rsidRPr="00262AA6">
              <w:rPr>
                <w:rFonts w:ascii="Arial Narrow" w:hAnsi="Arial Narrow" w:cs="Arial"/>
                <w:b/>
                <w:bCs/>
                <w:color w:val="000000"/>
                <w:spacing w:val="0"/>
                <w:sz w:val="16"/>
                <w:szCs w:val="16"/>
                <w:lang w:eastAsia="es-CO"/>
              </w:rPr>
              <w:t>DV</w:t>
            </w:r>
          </w:p>
        </w:tc>
        <w:tc>
          <w:tcPr>
            <w:tcW w:w="86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FFB4514" w14:textId="77777777" w:rsidR="00262AA6" w:rsidRPr="00262AA6" w:rsidRDefault="00262AA6" w:rsidP="00D22441">
            <w:pPr>
              <w:jc w:val="center"/>
              <w:rPr>
                <w:rFonts w:ascii="Arial Narrow" w:hAnsi="Arial Narrow" w:cs="Arial"/>
                <w:b/>
                <w:bCs/>
                <w:color w:val="000000"/>
                <w:spacing w:val="0"/>
                <w:sz w:val="16"/>
                <w:szCs w:val="16"/>
                <w:lang w:eastAsia="es-CO"/>
              </w:rPr>
            </w:pPr>
            <w:r w:rsidRPr="00262AA6">
              <w:rPr>
                <w:rFonts w:ascii="Arial Narrow" w:hAnsi="Arial Narrow" w:cs="Arial"/>
                <w:b/>
                <w:bCs/>
                <w:color w:val="000000"/>
                <w:spacing w:val="0"/>
                <w:sz w:val="16"/>
                <w:szCs w:val="16"/>
                <w:lang w:eastAsia="es-CO"/>
              </w:rPr>
              <w:t>ID</w:t>
            </w:r>
          </w:p>
        </w:tc>
        <w:tc>
          <w:tcPr>
            <w:tcW w:w="322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595D5CC" w14:textId="77777777" w:rsidR="00262AA6" w:rsidRPr="00262AA6" w:rsidRDefault="00262AA6" w:rsidP="00D22441">
            <w:pPr>
              <w:jc w:val="center"/>
              <w:rPr>
                <w:rFonts w:ascii="Arial Narrow" w:hAnsi="Arial Narrow" w:cs="Arial"/>
                <w:b/>
                <w:bCs/>
                <w:color w:val="000000"/>
                <w:spacing w:val="0"/>
                <w:sz w:val="16"/>
                <w:szCs w:val="16"/>
                <w:lang w:eastAsia="es-CO"/>
              </w:rPr>
            </w:pPr>
            <w:r w:rsidRPr="00262AA6">
              <w:rPr>
                <w:rFonts w:ascii="Arial Narrow" w:hAnsi="Arial Narrow" w:cs="Arial"/>
                <w:b/>
                <w:bCs/>
                <w:color w:val="000000"/>
                <w:spacing w:val="0"/>
                <w:sz w:val="16"/>
                <w:szCs w:val="16"/>
                <w:lang w:eastAsia="es-CO"/>
              </w:rPr>
              <w:t>EMPRESA</w:t>
            </w:r>
          </w:p>
        </w:tc>
        <w:tc>
          <w:tcPr>
            <w:tcW w:w="166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037E286" w14:textId="77777777" w:rsidR="00262AA6" w:rsidRPr="00262AA6" w:rsidRDefault="00262AA6" w:rsidP="00D22441">
            <w:pPr>
              <w:jc w:val="center"/>
              <w:rPr>
                <w:rFonts w:ascii="Arial Narrow" w:hAnsi="Arial Narrow" w:cs="Arial"/>
                <w:b/>
                <w:bCs/>
                <w:color w:val="000000"/>
                <w:spacing w:val="0"/>
                <w:sz w:val="16"/>
                <w:szCs w:val="16"/>
                <w:lang w:eastAsia="es-CO"/>
              </w:rPr>
            </w:pPr>
            <w:r w:rsidRPr="00262AA6">
              <w:rPr>
                <w:rFonts w:ascii="Arial Narrow" w:hAnsi="Arial Narrow" w:cs="Arial"/>
                <w:b/>
                <w:bCs/>
                <w:color w:val="000000"/>
                <w:spacing w:val="0"/>
                <w:sz w:val="16"/>
                <w:szCs w:val="16"/>
                <w:lang w:eastAsia="es-CO"/>
              </w:rPr>
              <w:t>ESTADO PRESTADOR</w:t>
            </w:r>
          </w:p>
        </w:tc>
        <w:tc>
          <w:tcPr>
            <w:tcW w:w="183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AFA32B4" w14:textId="77777777" w:rsidR="00262AA6" w:rsidRPr="00262AA6" w:rsidRDefault="00262AA6" w:rsidP="00D22441">
            <w:pPr>
              <w:jc w:val="center"/>
              <w:rPr>
                <w:rFonts w:ascii="Arial Narrow" w:hAnsi="Arial Narrow" w:cs="Arial"/>
                <w:b/>
                <w:bCs/>
                <w:color w:val="000000"/>
                <w:spacing w:val="0"/>
                <w:sz w:val="16"/>
                <w:szCs w:val="16"/>
                <w:lang w:eastAsia="es-CO"/>
              </w:rPr>
            </w:pPr>
            <w:r w:rsidRPr="00262AA6">
              <w:rPr>
                <w:rFonts w:ascii="Arial Narrow" w:hAnsi="Arial Narrow" w:cs="Arial"/>
                <w:b/>
                <w:bCs/>
                <w:color w:val="000000"/>
                <w:spacing w:val="0"/>
                <w:sz w:val="16"/>
                <w:szCs w:val="16"/>
                <w:lang w:eastAsia="es-CO"/>
              </w:rPr>
              <w:t>SERVICIOS PRESTADOS</w:t>
            </w:r>
          </w:p>
        </w:tc>
      </w:tr>
      <w:tr w:rsidR="00262AA6" w:rsidRPr="00262AA6" w14:paraId="28241218" w14:textId="77777777" w:rsidTr="007713C3">
        <w:trPr>
          <w:trHeight w:val="445"/>
        </w:trPr>
        <w:tc>
          <w:tcPr>
            <w:tcW w:w="1279" w:type="dxa"/>
            <w:tcBorders>
              <w:top w:val="nil"/>
              <w:left w:val="single" w:sz="4" w:space="0" w:color="auto"/>
              <w:bottom w:val="single" w:sz="4" w:space="0" w:color="auto"/>
              <w:right w:val="single" w:sz="4" w:space="0" w:color="auto"/>
            </w:tcBorders>
            <w:shd w:val="clear" w:color="auto" w:fill="auto"/>
            <w:vAlign w:val="center"/>
            <w:hideMark/>
          </w:tcPr>
          <w:p w14:paraId="258B0E7C" w14:textId="77777777" w:rsidR="00262AA6" w:rsidRPr="00262AA6" w:rsidRDefault="00262AA6" w:rsidP="00D22441">
            <w:pPr>
              <w:jc w:val="center"/>
              <w:rPr>
                <w:rFonts w:ascii="Arial Narrow" w:hAnsi="Arial Narrow" w:cs="Arial"/>
                <w:color w:val="000000"/>
                <w:spacing w:val="0"/>
                <w:sz w:val="16"/>
                <w:szCs w:val="16"/>
                <w:lang w:eastAsia="es-CO"/>
              </w:rPr>
            </w:pPr>
            <w:r w:rsidRPr="00262AA6">
              <w:rPr>
                <w:rFonts w:ascii="Arial Narrow" w:hAnsi="Arial Narrow" w:cs="Arial"/>
                <w:color w:val="000000"/>
                <w:spacing w:val="0"/>
                <w:sz w:val="16"/>
                <w:szCs w:val="16"/>
                <w:lang w:eastAsia="es-CO"/>
              </w:rPr>
              <w:t>802.007.670</w:t>
            </w:r>
          </w:p>
        </w:tc>
        <w:tc>
          <w:tcPr>
            <w:tcW w:w="323" w:type="dxa"/>
            <w:tcBorders>
              <w:top w:val="nil"/>
              <w:left w:val="nil"/>
              <w:bottom w:val="single" w:sz="4" w:space="0" w:color="auto"/>
              <w:right w:val="single" w:sz="4" w:space="0" w:color="auto"/>
            </w:tcBorders>
            <w:shd w:val="clear" w:color="auto" w:fill="auto"/>
            <w:vAlign w:val="center"/>
            <w:hideMark/>
          </w:tcPr>
          <w:p w14:paraId="62B78423" w14:textId="77777777" w:rsidR="00262AA6" w:rsidRPr="00262AA6" w:rsidRDefault="00262AA6" w:rsidP="00D22441">
            <w:pPr>
              <w:jc w:val="center"/>
              <w:rPr>
                <w:rFonts w:ascii="Arial Narrow" w:hAnsi="Arial Narrow" w:cs="Arial"/>
                <w:color w:val="000000"/>
                <w:spacing w:val="0"/>
                <w:sz w:val="16"/>
                <w:szCs w:val="16"/>
                <w:lang w:eastAsia="es-CO"/>
              </w:rPr>
            </w:pPr>
            <w:r w:rsidRPr="00262AA6">
              <w:rPr>
                <w:rFonts w:ascii="Arial Narrow" w:hAnsi="Arial Narrow" w:cs="Arial"/>
                <w:color w:val="000000"/>
                <w:spacing w:val="0"/>
                <w:sz w:val="16"/>
                <w:szCs w:val="16"/>
                <w:lang w:eastAsia="es-CO"/>
              </w:rPr>
              <w:t>6</w:t>
            </w:r>
          </w:p>
        </w:tc>
        <w:tc>
          <w:tcPr>
            <w:tcW w:w="860" w:type="dxa"/>
            <w:tcBorders>
              <w:top w:val="nil"/>
              <w:left w:val="nil"/>
              <w:bottom w:val="single" w:sz="4" w:space="0" w:color="auto"/>
              <w:right w:val="single" w:sz="4" w:space="0" w:color="auto"/>
            </w:tcBorders>
            <w:shd w:val="clear" w:color="auto" w:fill="auto"/>
            <w:vAlign w:val="center"/>
            <w:hideMark/>
          </w:tcPr>
          <w:p w14:paraId="35550B6E" w14:textId="77777777" w:rsidR="00262AA6" w:rsidRPr="00262AA6" w:rsidRDefault="00262AA6" w:rsidP="00D22441">
            <w:pPr>
              <w:jc w:val="center"/>
              <w:rPr>
                <w:rFonts w:ascii="Arial Narrow" w:hAnsi="Arial Narrow" w:cs="Arial"/>
                <w:color w:val="000000"/>
                <w:spacing w:val="0"/>
                <w:sz w:val="16"/>
                <w:szCs w:val="16"/>
                <w:lang w:eastAsia="es-CO"/>
              </w:rPr>
            </w:pPr>
            <w:r w:rsidRPr="00262AA6">
              <w:rPr>
                <w:rFonts w:ascii="Arial Narrow" w:hAnsi="Arial Narrow" w:cs="Arial"/>
                <w:color w:val="000000"/>
                <w:spacing w:val="0"/>
                <w:sz w:val="16"/>
                <w:szCs w:val="16"/>
                <w:lang w:eastAsia="es-CO"/>
              </w:rPr>
              <w:t>2249</w:t>
            </w:r>
          </w:p>
        </w:tc>
        <w:tc>
          <w:tcPr>
            <w:tcW w:w="3224" w:type="dxa"/>
            <w:tcBorders>
              <w:top w:val="nil"/>
              <w:left w:val="nil"/>
              <w:bottom w:val="single" w:sz="4" w:space="0" w:color="auto"/>
              <w:right w:val="single" w:sz="4" w:space="0" w:color="auto"/>
            </w:tcBorders>
            <w:shd w:val="clear" w:color="auto" w:fill="auto"/>
            <w:vAlign w:val="center"/>
            <w:hideMark/>
          </w:tcPr>
          <w:p w14:paraId="1AA45733" w14:textId="77777777" w:rsidR="00262AA6" w:rsidRPr="00262AA6" w:rsidRDefault="00262AA6" w:rsidP="00D22441">
            <w:pPr>
              <w:jc w:val="left"/>
              <w:rPr>
                <w:rFonts w:ascii="Arial Narrow" w:hAnsi="Arial Narrow" w:cs="Arial"/>
                <w:color w:val="000000"/>
                <w:spacing w:val="0"/>
                <w:sz w:val="16"/>
                <w:szCs w:val="16"/>
                <w:lang w:eastAsia="es-CO"/>
              </w:rPr>
            </w:pPr>
            <w:r w:rsidRPr="00262AA6">
              <w:rPr>
                <w:rFonts w:ascii="Arial Narrow" w:hAnsi="Arial Narrow" w:cs="Arial"/>
                <w:color w:val="000000"/>
                <w:spacing w:val="0"/>
                <w:sz w:val="16"/>
                <w:szCs w:val="16"/>
                <w:lang w:eastAsia="es-CO"/>
              </w:rPr>
              <w:t>ELECTRIFICADORA DEL CARIBE S.A. E.S.P.</w:t>
            </w:r>
          </w:p>
        </w:tc>
        <w:tc>
          <w:tcPr>
            <w:tcW w:w="1660" w:type="dxa"/>
            <w:tcBorders>
              <w:top w:val="nil"/>
              <w:left w:val="nil"/>
              <w:bottom w:val="single" w:sz="4" w:space="0" w:color="auto"/>
              <w:right w:val="single" w:sz="4" w:space="0" w:color="auto"/>
            </w:tcBorders>
            <w:shd w:val="clear" w:color="auto" w:fill="auto"/>
            <w:vAlign w:val="center"/>
            <w:hideMark/>
          </w:tcPr>
          <w:p w14:paraId="2DB20A02" w14:textId="77777777" w:rsidR="00262AA6" w:rsidRPr="00262AA6" w:rsidRDefault="00262AA6" w:rsidP="00D22441">
            <w:pPr>
              <w:jc w:val="center"/>
              <w:rPr>
                <w:rFonts w:ascii="Arial Narrow" w:hAnsi="Arial Narrow" w:cs="Arial"/>
                <w:color w:val="000000"/>
                <w:spacing w:val="0"/>
                <w:sz w:val="16"/>
                <w:szCs w:val="16"/>
                <w:lang w:eastAsia="es-CO"/>
              </w:rPr>
            </w:pPr>
            <w:r w:rsidRPr="00262AA6">
              <w:rPr>
                <w:rFonts w:ascii="Arial Narrow" w:hAnsi="Arial Narrow" w:cs="Arial"/>
                <w:color w:val="000000"/>
                <w:spacing w:val="0"/>
                <w:sz w:val="16"/>
                <w:szCs w:val="16"/>
                <w:lang w:eastAsia="es-CO"/>
              </w:rPr>
              <w:t>EN PROCESO DE LIQUIDACION</w:t>
            </w:r>
          </w:p>
        </w:tc>
        <w:tc>
          <w:tcPr>
            <w:tcW w:w="1839" w:type="dxa"/>
            <w:tcBorders>
              <w:top w:val="nil"/>
              <w:left w:val="nil"/>
              <w:bottom w:val="single" w:sz="4" w:space="0" w:color="auto"/>
              <w:right w:val="single" w:sz="4" w:space="0" w:color="auto"/>
            </w:tcBorders>
            <w:shd w:val="clear" w:color="auto" w:fill="auto"/>
            <w:vAlign w:val="center"/>
            <w:hideMark/>
          </w:tcPr>
          <w:p w14:paraId="2236B756" w14:textId="77777777" w:rsidR="00262AA6" w:rsidRPr="00262AA6" w:rsidRDefault="00262AA6" w:rsidP="00D22441">
            <w:pPr>
              <w:jc w:val="center"/>
              <w:rPr>
                <w:rFonts w:ascii="Arial Narrow" w:hAnsi="Arial Narrow" w:cs="Arial"/>
                <w:color w:val="000000"/>
                <w:spacing w:val="0"/>
                <w:sz w:val="16"/>
                <w:szCs w:val="16"/>
                <w:lang w:eastAsia="es-CO"/>
              </w:rPr>
            </w:pPr>
            <w:r w:rsidRPr="00262AA6">
              <w:rPr>
                <w:rFonts w:ascii="Arial Narrow" w:hAnsi="Arial Narrow" w:cs="Arial"/>
                <w:color w:val="000000"/>
                <w:spacing w:val="0"/>
                <w:sz w:val="16"/>
                <w:szCs w:val="16"/>
                <w:lang w:eastAsia="es-CO"/>
              </w:rPr>
              <w:t>ENERGIA ELECTRICA</w:t>
            </w:r>
          </w:p>
        </w:tc>
      </w:tr>
      <w:tr w:rsidR="00262AA6" w:rsidRPr="00262AA6" w14:paraId="14F81A52" w14:textId="77777777" w:rsidTr="008A7878">
        <w:trPr>
          <w:trHeight w:val="252"/>
        </w:trPr>
        <w:tc>
          <w:tcPr>
            <w:tcW w:w="1279" w:type="dxa"/>
            <w:tcBorders>
              <w:top w:val="nil"/>
              <w:left w:val="single" w:sz="4" w:space="0" w:color="auto"/>
              <w:bottom w:val="single" w:sz="4" w:space="0" w:color="auto"/>
              <w:right w:val="single" w:sz="4" w:space="0" w:color="auto"/>
            </w:tcBorders>
            <w:shd w:val="clear" w:color="auto" w:fill="auto"/>
            <w:vAlign w:val="center"/>
            <w:hideMark/>
          </w:tcPr>
          <w:p w14:paraId="0AD6F0DF" w14:textId="77777777" w:rsidR="00262AA6" w:rsidRPr="00262AA6" w:rsidRDefault="00262AA6" w:rsidP="00D22441">
            <w:pPr>
              <w:jc w:val="center"/>
              <w:rPr>
                <w:rFonts w:ascii="Arial Narrow" w:hAnsi="Arial Narrow" w:cs="Arial"/>
                <w:color w:val="000000"/>
                <w:spacing w:val="0"/>
                <w:sz w:val="16"/>
                <w:szCs w:val="16"/>
                <w:lang w:eastAsia="es-CO"/>
              </w:rPr>
            </w:pPr>
            <w:r w:rsidRPr="00262AA6">
              <w:rPr>
                <w:rFonts w:ascii="Arial Narrow" w:hAnsi="Arial Narrow" w:cs="Arial"/>
                <w:color w:val="000000"/>
                <w:spacing w:val="0"/>
                <w:sz w:val="16"/>
                <w:szCs w:val="16"/>
                <w:lang w:eastAsia="es-CO"/>
              </w:rPr>
              <w:t>901.105.119</w:t>
            </w:r>
          </w:p>
        </w:tc>
        <w:tc>
          <w:tcPr>
            <w:tcW w:w="323" w:type="dxa"/>
            <w:tcBorders>
              <w:top w:val="nil"/>
              <w:left w:val="nil"/>
              <w:bottom w:val="single" w:sz="4" w:space="0" w:color="auto"/>
              <w:right w:val="single" w:sz="4" w:space="0" w:color="auto"/>
            </w:tcBorders>
            <w:shd w:val="clear" w:color="auto" w:fill="auto"/>
            <w:vAlign w:val="center"/>
            <w:hideMark/>
          </w:tcPr>
          <w:p w14:paraId="72E35FCB" w14:textId="77777777" w:rsidR="00262AA6" w:rsidRPr="00262AA6" w:rsidRDefault="00262AA6" w:rsidP="00D22441">
            <w:pPr>
              <w:jc w:val="center"/>
              <w:rPr>
                <w:rFonts w:ascii="Arial Narrow" w:hAnsi="Arial Narrow" w:cs="Arial"/>
                <w:color w:val="000000"/>
                <w:spacing w:val="0"/>
                <w:sz w:val="16"/>
                <w:szCs w:val="16"/>
                <w:lang w:eastAsia="es-CO"/>
              </w:rPr>
            </w:pPr>
            <w:r w:rsidRPr="00262AA6">
              <w:rPr>
                <w:rFonts w:ascii="Arial Narrow" w:hAnsi="Arial Narrow" w:cs="Arial"/>
                <w:color w:val="000000"/>
                <w:spacing w:val="0"/>
                <w:sz w:val="16"/>
                <w:szCs w:val="16"/>
                <w:lang w:eastAsia="es-CO"/>
              </w:rPr>
              <w:t>8</w:t>
            </w:r>
          </w:p>
        </w:tc>
        <w:tc>
          <w:tcPr>
            <w:tcW w:w="860" w:type="dxa"/>
            <w:tcBorders>
              <w:top w:val="nil"/>
              <w:left w:val="nil"/>
              <w:bottom w:val="single" w:sz="4" w:space="0" w:color="auto"/>
              <w:right w:val="single" w:sz="4" w:space="0" w:color="auto"/>
            </w:tcBorders>
            <w:shd w:val="clear" w:color="auto" w:fill="auto"/>
            <w:vAlign w:val="center"/>
            <w:hideMark/>
          </w:tcPr>
          <w:p w14:paraId="17DEE536" w14:textId="77777777" w:rsidR="00262AA6" w:rsidRPr="00262AA6" w:rsidRDefault="00262AA6" w:rsidP="00D22441">
            <w:pPr>
              <w:jc w:val="center"/>
              <w:rPr>
                <w:rFonts w:ascii="Arial Narrow" w:hAnsi="Arial Narrow" w:cs="Arial"/>
                <w:color w:val="000000"/>
                <w:spacing w:val="0"/>
                <w:sz w:val="16"/>
                <w:szCs w:val="16"/>
                <w:lang w:eastAsia="es-CO"/>
              </w:rPr>
            </w:pPr>
            <w:r w:rsidRPr="00262AA6">
              <w:rPr>
                <w:rFonts w:ascii="Arial Narrow" w:hAnsi="Arial Narrow" w:cs="Arial"/>
                <w:color w:val="000000"/>
                <w:spacing w:val="0"/>
                <w:sz w:val="16"/>
                <w:szCs w:val="16"/>
                <w:lang w:eastAsia="es-CO"/>
              </w:rPr>
              <w:t>50523</w:t>
            </w:r>
          </w:p>
        </w:tc>
        <w:tc>
          <w:tcPr>
            <w:tcW w:w="3224" w:type="dxa"/>
            <w:tcBorders>
              <w:top w:val="nil"/>
              <w:left w:val="nil"/>
              <w:bottom w:val="single" w:sz="4" w:space="0" w:color="auto"/>
              <w:right w:val="single" w:sz="4" w:space="0" w:color="auto"/>
            </w:tcBorders>
            <w:shd w:val="clear" w:color="auto" w:fill="auto"/>
            <w:vAlign w:val="center"/>
            <w:hideMark/>
          </w:tcPr>
          <w:p w14:paraId="5D0C02D6" w14:textId="77777777" w:rsidR="00262AA6" w:rsidRPr="00262AA6" w:rsidRDefault="00262AA6" w:rsidP="00D22441">
            <w:pPr>
              <w:jc w:val="left"/>
              <w:rPr>
                <w:rFonts w:ascii="Arial Narrow" w:hAnsi="Arial Narrow" w:cs="Arial"/>
                <w:color w:val="000000"/>
                <w:spacing w:val="0"/>
                <w:sz w:val="16"/>
                <w:szCs w:val="16"/>
                <w:lang w:eastAsia="es-CO"/>
              </w:rPr>
            </w:pPr>
            <w:r w:rsidRPr="00262AA6">
              <w:rPr>
                <w:rFonts w:ascii="Arial Narrow" w:hAnsi="Arial Narrow" w:cs="Arial"/>
                <w:color w:val="000000"/>
                <w:spacing w:val="0"/>
                <w:sz w:val="16"/>
                <w:szCs w:val="16"/>
                <w:lang w:eastAsia="es-CO"/>
              </w:rPr>
              <w:t xml:space="preserve">PCR INVESTMENTS S.A SUCURSAL COLOMBIA </w:t>
            </w:r>
          </w:p>
        </w:tc>
        <w:tc>
          <w:tcPr>
            <w:tcW w:w="1660" w:type="dxa"/>
            <w:tcBorders>
              <w:top w:val="nil"/>
              <w:left w:val="nil"/>
              <w:bottom w:val="single" w:sz="4" w:space="0" w:color="auto"/>
              <w:right w:val="single" w:sz="4" w:space="0" w:color="auto"/>
            </w:tcBorders>
            <w:shd w:val="clear" w:color="auto" w:fill="auto"/>
            <w:vAlign w:val="center"/>
            <w:hideMark/>
          </w:tcPr>
          <w:p w14:paraId="30D5AAC1" w14:textId="77777777" w:rsidR="00262AA6" w:rsidRPr="00262AA6" w:rsidRDefault="00262AA6" w:rsidP="00D22441">
            <w:pPr>
              <w:jc w:val="center"/>
              <w:rPr>
                <w:rFonts w:ascii="Arial Narrow" w:hAnsi="Arial Narrow" w:cs="Arial"/>
                <w:color w:val="000000"/>
                <w:spacing w:val="0"/>
                <w:sz w:val="16"/>
                <w:szCs w:val="16"/>
                <w:lang w:eastAsia="es-CO"/>
              </w:rPr>
            </w:pPr>
            <w:r w:rsidRPr="00262AA6">
              <w:rPr>
                <w:rFonts w:ascii="Arial Narrow" w:hAnsi="Arial Narrow" w:cs="Arial"/>
                <w:color w:val="000000"/>
                <w:spacing w:val="0"/>
                <w:sz w:val="16"/>
                <w:szCs w:val="16"/>
                <w:lang w:eastAsia="es-CO"/>
              </w:rPr>
              <w:t>CANCELACION</w:t>
            </w:r>
          </w:p>
        </w:tc>
        <w:tc>
          <w:tcPr>
            <w:tcW w:w="1839" w:type="dxa"/>
            <w:tcBorders>
              <w:top w:val="nil"/>
              <w:left w:val="nil"/>
              <w:bottom w:val="single" w:sz="4" w:space="0" w:color="auto"/>
              <w:right w:val="single" w:sz="4" w:space="0" w:color="auto"/>
            </w:tcBorders>
            <w:shd w:val="clear" w:color="auto" w:fill="auto"/>
            <w:vAlign w:val="center"/>
            <w:hideMark/>
          </w:tcPr>
          <w:p w14:paraId="10046DE1" w14:textId="77777777" w:rsidR="00262AA6" w:rsidRPr="00262AA6" w:rsidRDefault="00262AA6" w:rsidP="00D22441">
            <w:pPr>
              <w:jc w:val="center"/>
              <w:rPr>
                <w:rFonts w:ascii="Arial Narrow" w:hAnsi="Arial Narrow" w:cs="Arial"/>
                <w:color w:val="000000"/>
                <w:spacing w:val="0"/>
                <w:sz w:val="16"/>
                <w:szCs w:val="16"/>
                <w:lang w:eastAsia="es-CO"/>
              </w:rPr>
            </w:pPr>
            <w:r w:rsidRPr="00262AA6">
              <w:rPr>
                <w:rFonts w:ascii="Arial Narrow" w:hAnsi="Arial Narrow" w:cs="Arial"/>
                <w:color w:val="000000"/>
                <w:spacing w:val="0"/>
                <w:sz w:val="16"/>
                <w:szCs w:val="16"/>
                <w:lang w:eastAsia="es-CO"/>
              </w:rPr>
              <w:t>GAS POR REDES</w:t>
            </w:r>
          </w:p>
        </w:tc>
      </w:tr>
    </w:tbl>
    <w:p w14:paraId="648EEB6F" w14:textId="4AEBA37E" w:rsidR="00262AA6" w:rsidRDefault="00262AA6" w:rsidP="00D22441"/>
    <w:p w14:paraId="4CEBE8F2" w14:textId="164032D1" w:rsidR="00B507C9" w:rsidRPr="00B507C9" w:rsidRDefault="00B507C9" w:rsidP="00D22441">
      <w:pPr>
        <w:rPr>
          <w:rFonts w:cs="Arial"/>
          <w:sz w:val="22"/>
          <w:szCs w:val="22"/>
        </w:rPr>
      </w:pPr>
      <w:r w:rsidRPr="00B507C9">
        <w:rPr>
          <w:rFonts w:cs="Arial"/>
          <w:sz w:val="22"/>
          <w:szCs w:val="22"/>
        </w:rPr>
        <w:t xml:space="preserve">En </w:t>
      </w:r>
      <w:r w:rsidR="00687B13" w:rsidRPr="00B507C9">
        <w:rPr>
          <w:rFonts w:cs="Arial"/>
          <w:sz w:val="22"/>
          <w:szCs w:val="22"/>
        </w:rPr>
        <w:t>consecuencia,</w:t>
      </w:r>
      <w:r w:rsidRPr="00B507C9">
        <w:rPr>
          <w:rFonts w:cs="Arial"/>
          <w:sz w:val="22"/>
          <w:szCs w:val="22"/>
        </w:rPr>
        <w:t xml:space="preserve"> </w:t>
      </w:r>
      <w:r w:rsidR="00687B13">
        <w:rPr>
          <w:rFonts w:cs="Arial"/>
          <w:sz w:val="22"/>
          <w:szCs w:val="22"/>
        </w:rPr>
        <w:t>por</w:t>
      </w:r>
      <w:r w:rsidRPr="00B507C9">
        <w:rPr>
          <w:rFonts w:cs="Arial"/>
          <w:sz w:val="22"/>
          <w:szCs w:val="22"/>
        </w:rPr>
        <w:t xml:space="preserve"> su estado, los anteriores dos prestadores no son considerados omisos por la CREG.</w:t>
      </w:r>
    </w:p>
    <w:p w14:paraId="0721FD41" w14:textId="581FD375" w:rsidR="00782906" w:rsidRPr="0085721C" w:rsidRDefault="00556D8D" w:rsidP="00D22441">
      <w:pPr>
        <w:pStyle w:val="Subttulo"/>
        <w:numPr>
          <w:ilvl w:val="1"/>
          <w:numId w:val="37"/>
        </w:numPr>
        <w:spacing w:after="0"/>
        <w:ind w:left="357" w:hanging="357"/>
        <w:jc w:val="left"/>
        <w:rPr>
          <w:b/>
          <w:bCs/>
          <w:sz w:val="22"/>
          <w:szCs w:val="22"/>
        </w:rPr>
      </w:pPr>
      <w:bookmarkStart w:id="64" w:name="_Toc147154317"/>
      <w:bookmarkStart w:id="65" w:name="_Hlk144289471"/>
      <w:r>
        <w:rPr>
          <w:b/>
          <w:bCs/>
          <w:sz w:val="22"/>
          <w:szCs w:val="22"/>
        </w:rPr>
        <w:t xml:space="preserve">PRESTADORES </w:t>
      </w:r>
      <w:r w:rsidR="003A012D">
        <w:rPr>
          <w:b/>
          <w:bCs/>
          <w:sz w:val="22"/>
          <w:szCs w:val="22"/>
        </w:rPr>
        <w:t xml:space="preserve">SERVICIO DE </w:t>
      </w:r>
      <w:r>
        <w:rPr>
          <w:b/>
          <w:bCs/>
          <w:sz w:val="22"/>
          <w:szCs w:val="22"/>
        </w:rPr>
        <w:t>ENERGÍA ELÉCTRICA</w:t>
      </w:r>
      <w:r w:rsidR="00C447D2">
        <w:rPr>
          <w:b/>
          <w:bCs/>
          <w:sz w:val="22"/>
          <w:szCs w:val="22"/>
        </w:rPr>
        <w:t>.</w:t>
      </w:r>
      <w:bookmarkEnd w:id="64"/>
    </w:p>
    <w:bookmarkEnd w:id="65"/>
    <w:p w14:paraId="3DFD5B10" w14:textId="77777777" w:rsidR="00782906" w:rsidRPr="004875FC" w:rsidRDefault="00782906" w:rsidP="00D22441">
      <w:pPr>
        <w:pStyle w:val="Textoindependiente"/>
        <w:spacing w:after="0" w:line="240" w:lineRule="auto"/>
        <w:rPr>
          <w:rFonts w:cs="Arial"/>
          <w:color w:val="FF0000"/>
          <w:sz w:val="22"/>
          <w:szCs w:val="22"/>
        </w:rPr>
      </w:pPr>
    </w:p>
    <w:p w14:paraId="3B9B5459" w14:textId="6CE93421" w:rsidR="00782906" w:rsidRDefault="008F5EFD" w:rsidP="00D22441">
      <w:pPr>
        <w:pStyle w:val="Textoindependiente"/>
        <w:spacing w:after="0" w:line="240" w:lineRule="auto"/>
        <w:ind w:right="142"/>
        <w:rPr>
          <w:rFonts w:cs="Arial"/>
          <w:sz w:val="22"/>
          <w:szCs w:val="22"/>
        </w:rPr>
      </w:pPr>
      <w:r>
        <w:rPr>
          <w:rFonts w:cs="Arial"/>
          <w:sz w:val="22"/>
          <w:szCs w:val="22"/>
        </w:rPr>
        <w:t>Conforme a</w:t>
      </w:r>
      <w:r w:rsidR="00A70193">
        <w:rPr>
          <w:rFonts w:cs="Arial"/>
          <w:sz w:val="22"/>
          <w:szCs w:val="22"/>
        </w:rPr>
        <w:t xml:space="preserve">l </w:t>
      </w:r>
      <w:r w:rsidR="00AB1D2C">
        <w:rPr>
          <w:rFonts w:cs="Arial"/>
          <w:sz w:val="22"/>
          <w:szCs w:val="22"/>
        </w:rPr>
        <w:t xml:space="preserve">censo de </w:t>
      </w:r>
      <w:r w:rsidR="00475F91">
        <w:rPr>
          <w:rFonts w:cs="Arial"/>
          <w:sz w:val="22"/>
          <w:szCs w:val="22"/>
        </w:rPr>
        <w:t xml:space="preserve">regulados </w:t>
      </w:r>
      <w:r w:rsidR="00A70193">
        <w:rPr>
          <w:rFonts w:cs="Arial"/>
          <w:sz w:val="22"/>
          <w:szCs w:val="22"/>
        </w:rPr>
        <w:t>de la CREG</w:t>
      </w:r>
      <w:r w:rsidR="00AB1D2C">
        <w:rPr>
          <w:rFonts w:cs="Arial"/>
          <w:sz w:val="22"/>
          <w:szCs w:val="22"/>
        </w:rPr>
        <w:t xml:space="preserve">, </w:t>
      </w:r>
      <w:r w:rsidR="00A70193">
        <w:rPr>
          <w:rFonts w:cs="Arial"/>
          <w:sz w:val="22"/>
          <w:szCs w:val="22"/>
        </w:rPr>
        <w:t xml:space="preserve">base </w:t>
      </w:r>
      <w:r w:rsidR="00782906" w:rsidRPr="00BE7DAF">
        <w:rPr>
          <w:rFonts w:cs="Arial"/>
          <w:sz w:val="22"/>
          <w:szCs w:val="22"/>
        </w:rPr>
        <w:t xml:space="preserve">para </w:t>
      </w:r>
      <w:r w:rsidR="00A70193">
        <w:rPr>
          <w:rFonts w:cs="Arial"/>
          <w:sz w:val="22"/>
          <w:szCs w:val="22"/>
        </w:rPr>
        <w:t xml:space="preserve">realizar </w:t>
      </w:r>
      <w:r w:rsidR="00782906" w:rsidRPr="00BE7DAF">
        <w:rPr>
          <w:rFonts w:cs="Arial"/>
          <w:sz w:val="22"/>
          <w:szCs w:val="22"/>
        </w:rPr>
        <w:t>el cálculo de la contribución de la vigencia 20</w:t>
      </w:r>
      <w:r w:rsidR="00782906">
        <w:rPr>
          <w:rFonts w:cs="Arial"/>
          <w:sz w:val="22"/>
          <w:szCs w:val="22"/>
        </w:rPr>
        <w:t xml:space="preserve">23, </w:t>
      </w:r>
      <w:r w:rsidR="00A70193">
        <w:rPr>
          <w:rFonts w:cs="Arial"/>
          <w:sz w:val="22"/>
          <w:szCs w:val="22"/>
        </w:rPr>
        <w:t xml:space="preserve">se </w:t>
      </w:r>
      <w:r w:rsidR="00B33760">
        <w:rPr>
          <w:rFonts w:cs="Arial"/>
          <w:sz w:val="22"/>
          <w:szCs w:val="22"/>
        </w:rPr>
        <w:t>determin</w:t>
      </w:r>
      <w:r w:rsidR="00A70193">
        <w:rPr>
          <w:rFonts w:cs="Arial"/>
          <w:sz w:val="22"/>
          <w:szCs w:val="22"/>
        </w:rPr>
        <w:t>aron</w:t>
      </w:r>
      <w:r w:rsidR="00B33760">
        <w:rPr>
          <w:rFonts w:cs="Arial"/>
          <w:sz w:val="22"/>
          <w:szCs w:val="22"/>
        </w:rPr>
        <w:t xml:space="preserve"> </w:t>
      </w:r>
      <w:r w:rsidR="00A70193">
        <w:rPr>
          <w:rFonts w:cs="Arial"/>
          <w:sz w:val="22"/>
          <w:szCs w:val="22"/>
        </w:rPr>
        <w:t xml:space="preserve">264 </w:t>
      </w:r>
      <w:r w:rsidR="00556D8D">
        <w:rPr>
          <w:rFonts w:cs="Arial"/>
          <w:sz w:val="22"/>
          <w:szCs w:val="22"/>
        </w:rPr>
        <w:t>prestadores de</w:t>
      </w:r>
      <w:r w:rsidR="00DE6F13">
        <w:rPr>
          <w:rFonts w:cs="Arial"/>
          <w:sz w:val="22"/>
          <w:szCs w:val="22"/>
        </w:rPr>
        <w:t>l servicio de</w:t>
      </w:r>
      <w:r w:rsidR="00556D8D">
        <w:rPr>
          <w:rFonts w:cs="Arial"/>
          <w:sz w:val="22"/>
          <w:szCs w:val="22"/>
        </w:rPr>
        <w:t xml:space="preserve"> energía eléctrica</w:t>
      </w:r>
      <w:r w:rsidR="00B33760">
        <w:rPr>
          <w:rFonts w:cs="Arial"/>
          <w:sz w:val="22"/>
          <w:szCs w:val="22"/>
        </w:rPr>
        <w:t xml:space="preserve">, los cuales </w:t>
      </w:r>
      <w:r w:rsidR="00A70193">
        <w:rPr>
          <w:rFonts w:cs="Arial"/>
          <w:sz w:val="22"/>
          <w:szCs w:val="22"/>
        </w:rPr>
        <w:t>s</w:t>
      </w:r>
      <w:r w:rsidR="00B33760">
        <w:rPr>
          <w:rFonts w:cs="Arial"/>
          <w:sz w:val="22"/>
          <w:szCs w:val="22"/>
        </w:rPr>
        <w:t xml:space="preserve">e </w:t>
      </w:r>
      <w:r w:rsidR="00782906">
        <w:rPr>
          <w:rFonts w:cs="Arial"/>
          <w:sz w:val="22"/>
          <w:szCs w:val="22"/>
        </w:rPr>
        <w:t>relaciona</w:t>
      </w:r>
      <w:r w:rsidR="00B33760">
        <w:rPr>
          <w:rFonts w:cs="Arial"/>
          <w:sz w:val="22"/>
          <w:szCs w:val="22"/>
        </w:rPr>
        <w:t>n</w:t>
      </w:r>
      <w:r w:rsidR="00782906">
        <w:rPr>
          <w:rFonts w:cs="Arial"/>
          <w:sz w:val="22"/>
          <w:szCs w:val="22"/>
        </w:rPr>
        <w:t xml:space="preserve"> a continuación</w:t>
      </w:r>
      <w:r w:rsidR="004E5E9A">
        <w:rPr>
          <w:rFonts w:cs="Arial"/>
          <w:sz w:val="22"/>
          <w:szCs w:val="22"/>
        </w:rPr>
        <w:t xml:space="preserve"> </w:t>
      </w:r>
      <w:r w:rsidR="002A3898">
        <w:rPr>
          <w:rFonts w:cs="Arial"/>
          <w:sz w:val="22"/>
          <w:szCs w:val="22"/>
        </w:rPr>
        <w:t>ordenad</w:t>
      </w:r>
      <w:r w:rsidR="00B33760">
        <w:rPr>
          <w:rFonts w:cs="Arial"/>
          <w:sz w:val="22"/>
          <w:szCs w:val="22"/>
        </w:rPr>
        <w:t>os</w:t>
      </w:r>
      <w:r w:rsidR="002A3898">
        <w:rPr>
          <w:rFonts w:cs="Arial"/>
          <w:sz w:val="22"/>
          <w:szCs w:val="22"/>
        </w:rPr>
        <w:t xml:space="preserve"> por</w:t>
      </w:r>
      <w:r w:rsidR="00A70193">
        <w:rPr>
          <w:rFonts w:cs="Arial"/>
          <w:sz w:val="22"/>
          <w:szCs w:val="22"/>
        </w:rPr>
        <w:t xml:space="preserve"> el número de su</w:t>
      </w:r>
      <w:r w:rsidR="002A3898">
        <w:rPr>
          <w:rFonts w:cs="Arial"/>
          <w:sz w:val="22"/>
          <w:szCs w:val="22"/>
        </w:rPr>
        <w:t xml:space="preserve"> NIT, </w:t>
      </w:r>
      <w:r w:rsidR="00BA4161">
        <w:rPr>
          <w:rFonts w:cs="Arial"/>
          <w:sz w:val="22"/>
          <w:szCs w:val="22"/>
        </w:rPr>
        <w:t>con</w:t>
      </w:r>
      <w:r w:rsidR="00A70193">
        <w:rPr>
          <w:rFonts w:cs="Arial"/>
          <w:sz w:val="22"/>
          <w:szCs w:val="22"/>
        </w:rPr>
        <w:t xml:space="preserve"> </w:t>
      </w:r>
      <w:r w:rsidR="004E5E9A">
        <w:rPr>
          <w:rFonts w:cs="Arial"/>
          <w:sz w:val="22"/>
          <w:szCs w:val="22"/>
        </w:rPr>
        <w:t>su estado de reporte al SUI</w:t>
      </w:r>
      <w:r w:rsidR="00386629">
        <w:rPr>
          <w:rFonts w:cs="Arial"/>
          <w:sz w:val="22"/>
          <w:szCs w:val="22"/>
        </w:rPr>
        <w:t>-SSPD</w:t>
      </w:r>
      <w:r w:rsidR="004E5E9A">
        <w:rPr>
          <w:rFonts w:cs="Arial"/>
          <w:sz w:val="22"/>
          <w:szCs w:val="22"/>
        </w:rPr>
        <w:t xml:space="preserve"> </w:t>
      </w:r>
      <w:r w:rsidR="00B33760">
        <w:rPr>
          <w:rFonts w:cs="Arial"/>
          <w:sz w:val="22"/>
          <w:szCs w:val="22"/>
        </w:rPr>
        <w:t xml:space="preserve">con </w:t>
      </w:r>
      <w:r w:rsidR="00583CF1">
        <w:rPr>
          <w:rFonts w:cs="Arial"/>
          <w:sz w:val="22"/>
          <w:szCs w:val="22"/>
        </w:rPr>
        <w:t>corte al 12 de julio de 2023</w:t>
      </w:r>
      <w:r w:rsidR="004E5E9A">
        <w:rPr>
          <w:rFonts w:cs="Arial"/>
          <w:sz w:val="22"/>
          <w:szCs w:val="22"/>
        </w:rPr>
        <w:t>:</w:t>
      </w:r>
    </w:p>
    <w:p w14:paraId="73909607" w14:textId="77777777" w:rsidR="008E328C" w:rsidRDefault="008E328C" w:rsidP="00D22441">
      <w:pPr>
        <w:pStyle w:val="Textoindependiente"/>
        <w:spacing w:after="0" w:line="240" w:lineRule="auto"/>
        <w:ind w:right="142"/>
        <w:rPr>
          <w:rFonts w:cs="Arial"/>
          <w:sz w:val="22"/>
          <w:szCs w:val="22"/>
        </w:rPr>
      </w:pPr>
    </w:p>
    <w:p w14:paraId="6C6E16DF" w14:textId="2556AA5C" w:rsidR="008E328C" w:rsidRPr="00B24EC3" w:rsidRDefault="008E328C" w:rsidP="008E328C">
      <w:pPr>
        <w:pStyle w:val="Descripcin"/>
        <w:rPr>
          <w:i w:val="0"/>
          <w:iCs w:val="0"/>
          <w:color w:val="auto"/>
        </w:rPr>
      </w:pPr>
      <w:bookmarkStart w:id="66" w:name="_Toc145486438"/>
      <w:r w:rsidRPr="002C4392">
        <w:rPr>
          <w:i w:val="0"/>
          <w:iCs w:val="0"/>
          <w:color w:val="auto"/>
        </w:rPr>
        <w:t xml:space="preserve">Tabla </w:t>
      </w:r>
      <w:r w:rsidRPr="002C4392">
        <w:rPr>
          <w:i w:val="0"/>
          <w:iCs w:val="0"/>
          <w:color w:val="auto"/>
        </w:rPr>
        <w:fldChar w:fldCharType="begin"/>
      </w:r>
      <w:r w:rsidRPr="002C4392">
        <w:rPr>
          <w:i w:val="0"/>
          <w:iCs w:val="0"/>
          <w:color w:val="auto"/>
        </w:rPr>
        <w:instrText xml:space="preserve"> SEQ Tabla \* ARABIC </w:instrText>
      </w:r>
      <w:r w:rsidRPr="002C4392">
        <w:rPr>
          <w:i w:val="0"/>
          <w:iCs w:val="0"/>
          <w:color w:val="auto"/>
        </w:rPr>
        <w:fldChar w:fldCharType="separate"/>
      </w:r>
      <w:r w:rsidR="00FD7384">
        <w:rPr>
          <w:i w:val="0"/>
          <w:iCs w:val="0"/>
          <w:noProof/>
          <w:color w:val="auto"/>
        </w:rPr>
        <w:t>12</w:t>
      </w:r>
      <w:r w:rsidRPr="002C4392">
        <w:rPr>
          <w:i w:val="0"/>
          <w:iCs w:val="0"/>
          <w:color w:val="auto"/>
        </w:rPr>
        <w:fldChar w:fldCharType="end"/>
      </w:r>
      <w:r w:rsidRPr="002C4392">
        <w:rPr>
          <w:i w:val="0"/>
          <w:iCs w:val="0"/>
          <w:color w:val="auto"/>
        </w:rPr>
        <w:t xml:space="preserve">. </w:t>
      </w:r>
      <w:r w:rsidR="009C4611">
        <w:rPr>
          <w:i w:val="0"/>
          <w:iCs w:val="0"/>
          <w:color w:val="auto"/>
        </w:rPr>
        <w:t xml:space="preserve">Estado de reporte SUI </w:t>
      </w:r>
      <w:r w:rsidR="00FD7384">
        <w:rPr>
          <w:i w:val="0"/>
          <w:iCs w:val="0"/>
          <w:color w:val="auto"/>
        </w:rPr>
        <w:t xml:space="preserve">información financiera 2022 </w:t>
      </w:r>
      <w:r w:rsidR="009C4611">
        <w:rPr>
          <w:i w:val="0"/>
          <w:iCs w:val="0"/>
          <w:color w:val="auto"/>
        </w:rPr>
        <w:t>prestadores servicio de energía eléctrica</w:t>
      </w:r>
      <w:r>
        <w:rPr>
          <w:i w:val="0"/>
          <w:iCs w:val="0"/>
          <w:color w:val="auto"/>
        </w:rPr>
        <w:t>.</w:t>
      </w:r>
      <w:bookmarkEnd w:id="66"/>
    </w:p>
    <w:tbl>
      <w:tblPr>
        <w:tblW w:w="9860" w:type="dxa"/>
        <w:tblCellMar>
          <w:left w:w="70" w:type="dxa"/>
          <w:right w:w="70" w:type="dxa"/>
        </w:tblCellMar>
        <w:tblLook w:val="04A0" w:firstRow="1" w:lastRow="0" w:firstColumn="1" w:lastColumn="0" w:noHBand="0" w:noVBand="1"/>
      </w:tblPr>
      <w:tblGrid>
        <w:gridCol w:w="454"/>
        <w:gridCol w:w="879"/>
        <w:gridCol w:w="323"/>
        <w:gridCol w:w="505"/>
        <w:gridCol w:w="4243"/>
        <w:gridCol w:w="1196"/>
        <w:gridCol w:w="2260"/>
      </w:tblGrid>
      <w:tr w:rsidR="00AD4E79" w:rsidRPr="00AD4E79" w14:paraId="28033BF6" w14:textId="77777777" w:rsidTr="00AD4E79">
        <w:trPr>
          <w:trHeight w:val="679"/>
          <w:tblHeader/>
        </w:trPr>
        <w:tc>
          <w:tcPr>
            <w:tcW w:w="45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C1240A4" w14:textId="77777777" w:rsidR="006E3CAD" w:rsidRPr="00AD4E79" w:rsidRDefault="006E3CAD" w:rsidP="00D22441">
            <w:pPr>
              <w:jc w:val="center"/>
              <w:rPr>
                <w:rFonts w:ascii="Arial Narrow" w:hAnsi="Arial Narrow" w:cs="Arial"/>
                <w:b/>
                <w:bCs/>
                <w:spacing w:val="0"/>
                <w:sz w:val="16"/>
                <w:szCs w:val="16"/>
                <w:lang w:eastAsia="es-CO"/>
              </w:rPr>
            </w:pPr>
            <w:r w:rsidRPr="00AD4E79">
              <w:rPr>
                <w:rFonts w:ascii="Arial Narrow" w:hAnsi="Arial Narrow" w:cs="Arial"/>
                <w:b/>
                <w:bCs/>
                <w:spacing w:val="0"/>
                <w:sz w:val="16"/>
                <w:szCs w:val="16"/>
                <w:lang w:eastAsia="es-CO"/>
              </w:rPr>
              <w:t>ITEM</w:t>
            </w:r>
          </w:p>
        </w:tc>
        <w:tc>
          <w:tcPr>
            <w:tcW w:w="879" w:type="dxa"/>
            <w:tcBorders>
              <w:top w:val="single" w:sz="8" w:space="0" w:color="auto"/>
              <w:left w:val="nil"/>
              <w:bottom w:val="single" w:sz="8" w:space="0" w:color="auto"/>
              <w:right w:val="single" w:sz="8" w:space="0" w:color="auto"/>
            </w:tcBorders>
            <w:shd w:val="clear" w:color="auto" w:fill="auto"/>
            <w:vAlign w:val="center"/>
            <w:hideMark/>
          </w:tcPr>
          <w:p w14:paraId="7346A40C" w14:textId="77777777" w:rsidR="006E3CAD" w:rsidRPr="00AD4E79" w:rsidRDefault="006E3CAD" w:rsidP="00D22441">
            <w:pPr>
              <w:jc w:val="center"/>
              <w:rPr>
                <w:rFonts w:ascii="Arial Narrow" w:hAnsi="Arial Narrow" w:cs="Arial"/>
                <w:b/>
                <w:bCs/>
                <w:spacing w:val="0"/>
                <w:sz w:val="16"/>
                <w:szCs w:val="16"/>
                <w:lang w:eastAsia="es-CO"/>
              </w:rPr>
            </w:pPr>
            <w:r w:rsidRPr="00AD4E79">
              <w:rPr>
                <w:rFonts w:ascii="Arial Narrow" w:hAnsi="Arial Narrow" w:cs="Arial"/>
                <w:b/>
                <w:bCs/>
                <w:spacing w:val="0"/>
                <w:sz w:val="16"/>
                <w:szCs w:val="16"/>
                <w:lang w:eastAsia="es-CO"/>
              </w:rPr>
              <w:t>NIT</w:t>
            </w:r>
          </w:p>
        </w:tc>
        <w:tc>
          <w:tcPr>
            <w:tcW w:w="323" w:type="dxa"/>
            <w:tcBorders>
              <w:top w:val="single" w:sz="8" w:space="0" w:color="auto"/>
              <w:left w:val="nil"/>
              <w:bottom w:val="single" w:sz="8" w:space="0" w:color="auto"/>
              <w:right w:val="single" w:sz="8" w:space="0" w:color="auto"/>
            </w:tcBorders>
            <w:shd w:val="clear" w:color="auto" w:fill="auto"/>
            <w:vAlign w:val="center"/>
            <w:hideMark/>
          </w:tcPr>
          <w:p w14:paraId="781063B5" w14:textId="77777777" w:rsidR="006E3CAD" w:rsidRPr="00AD4E79" w:rsidRDefault="006E3CAD" w:rsidP="00D22441">
            <w:pPr>
              <w:jc w:val="center"/>
              <w:rPr>
                <w:rFonts w:ascii="Arial Narrow" w:hAnsi="Arial Narrow" w:cs="Arial"/>
                <w:b/>
                <w:bCs/>
                <w:spacing w:val="0"/>
                <w:sz w:val="16"/>
                <w:szCs w:val="16"/>
                <w:lang w:eastAsia="es-CO"/>
              </w:rPr>
            </w:pPr>
            <w:r w:rsidRPr="00AD4E79">
              <w:rPr>
                <w:rFonts w:ascii="Arial Narrow" w:hAnsi="Arial Narrow" w:cs="Arial"/>
                <w:b/>
                <w:bCs/>
                <w:spacing w:val="0"/>
                <w:sz w:val="16"/>
                <w:szCs w:val="16"/>
                <w:lang w:eastAsia="es-CO"/>
              </w:rPr>
              <w:t>DV</w:t>
            </w:r>
          </w:p>
        </w:tc>
        <w:tc>
          <w:tcPr>
            <w:tcW w:w="505" w:type="dxa"/>
            <w:tcBorders>
              <w:top w:val="single" w:sz="8" w:space="0" w:color="auto"/>
              <w:left w:val="nil"/>
              <w:bottom w:val="single" w:sz="8" w:space="0" w:color="auto"/>
              <w:right w:val="single" w:sz="8" w:space="0" w:color="auto"/>
            </w:tcBorders>
            <w:shd w:val="clear" w:color="auto" w:fill="auto"/>
            <w:vAlign w:val="center"/>
            <w:hideMark/>
          </w:tcPr>
          <w:p w14:paraId="27CE00A1" w14:textId="77777777" w:rsidR="006E3CAD" w:rsidRPr="00AD4E79" w:rsidRDefault="006E3CAD" w:rsidP="00D22441">
            <w:pPr>
              <w:jc w:val="center"/>
              <w:rPr>
                <w:rFonts w:ascii="Arial Narrow" w:hAnsi="Arial Narrow" w:cs="Arial"/>
                <w:b/>
                <w:bCs/>
                <w:spacing w:val="0"/>
                <w:sz w:val="16"/>
                <w:szCs w:val="16"/>
                <w:lang w:eastAsia="es-CO"/>
              </w:rPr>
            </w:pPr>
            <w:r w:rsidRPr="00AD4E79">
              <w:rPr>
                <w:rFonts w:ascii="Arial Narrow" w:hAnsi="Arial Narrow" w:cs="Arial"/>
                <w:b/>
                <w:bCs/>
                <w:spacing w:val="0"/>
                <w:sz w:val="16"/>
                <w:szCs w:val="16"/>
                <w:lang w:eastAsia="es-CO"/>
              </w:rPr>
              <w:t>RUPS</w:t>
            </w:r>
          </w:p>
        </w:tc>
        <w:tc>
          <w:tcPr>
            <w:tcW w:w="4243" w:type="dxa"/>
            <w:tcBorders>
              <w:top w:val="single" w:sz="8" w:space="0" w:color="auto"/>
              <w:left w:val="nil"/>
              <w:bottom w:val="single" w:sz="8" w:space="0" w:color="auto"/>
              <w:right w:val="single" w:sz="8" w:space="0" w:color="auto"/>
            </w:tcBorders>
            <w:shd w:val="clear" w:color="auto" w:fill="auto"/>
            <w:vAlign w:val="center"/>
            <w:hideMark/>
          </w:tcPr>
          <w:p w14:paraId="24FAED4B" w14:textId="77777777" w:rsidR="006E3CAD" w:rsidRPr="00AD4E79" w:rsidRDefault="006E3CAD" w:rsidP="00D22441">
            <w:pPr>
              <w:jc w:val="center"/>
              <w:rPr>
                <w:rFonts w:ascii="Arial Narrow" w:hAnsi="Arial Narrow" w:cs="Arial"/>
                <w:b/>
                <w:bCs/>
                <w:spacing w:val="0"/>
                <w:sz w:val="16"/>
                <w:szCs w:val="16"/>
                <w:lang w:eastAsia="es-CO"/>
              </w:rPr>
            </w:pPr>
            <w:r w:rsidRPr="00AD4E79">
              <w:rPr>
                <w:rFonts w:ascii="Arial Narrow" w:hAnsi="Arial Narrow" w:cs="Arial"/>
                <w:b/>
                <w:bCs/>
                <w:spacing w:val="0"/>
                <w:sz w:val="16"/>
                <w:szCs w:val="16"/>
                <w:lang w:eastAsia="es-CO"/>
              </w:rPr>
              <w:t>RAZÓN SOCIAL</w:t>
            </w:r>
          </w:p>
        </w:tc>
        <w:tc>
          <w:tcPr>
            <w:tcW w:w="1196" w:type="dxa"/>
            <w:tcBorders>
              <w:top w:val="single" w:sz="8" w:space="0" w:color="auto"/>
              <w:left w:val="nil"/>
              <w:bottom w:val="single" w:sz="8" w:space="0" w:color="auto"/>
              <w:right w:val="single" w:sz="8" w:space="0" w:color="auto"/>
            </w:tcBorders>
            <w:shd w:val="clear" w:color="auto" w:fill="auto"/>
            <w:vAlign w:val="center"/>
            <w:hideMark/>
          </w:tcPr>
          <w:p w14:paraId="496E10B1" w14:textId="6169A6BF" w:rsidR="006E3CAD" w:rsidRPr="00AD4E79" w:rsidRDefault="006E3CAD" w:rsidP="00D22441">
            <w:pPr>
              <w:jc w:val="center"/>
              <w:rPr>
                <w:rFonts w:ascii="Arial Narrow" w:hAnsi="Arial Narrow" w:cs="Arial"/>
                <w:b/>
                <w:bCs/>
                <w:spacing w:val="0"/>
                <w:sz w:val="16"/>
                <w:szCs w:val="16"/>
                <w:lang w:eastAsia="es-CO"/>
              </w:rPr>
            </w:pPr>
            <w:r w:rsidRPr="00AD4E79">
              <w:rPr>
                <w:rFonts w:ascii="Arial Narrow" w:hAnsi="Arial Narrow" w:cs="Arial"/>
                <w:b/>
                <w:bCs/>
                <w:spacing w:val="0"/>
                <w:sz w:val="16"/>
                <w:szCs w:val="16"/>
                <w:lang w:eastAsia="es-CO"/>
              </w:rPr>
              <w:t>ESTADO DEL PRESTADOR</w:t>
            </w:r>
          </w:p>
        </w:tc>
        <w:tc>
          <w:tcPr>
            <w:tcW w:w="2260" w:type="dxa"/>
            <w:tcBorders>
              <w:top w:val="single" w:sz="8" w:space="0" w:color="auto"/>
              <w:left w:val="nil"/>
              <w:bottom w:val="single" w:sz="8" w:space="0" w:color="auto"/>
              <w:right w:val="single" w:sz="8" w:space="0" w:color="auto"/>
            </w:tcBorders>
            <w:shd w:val="clear" w:color="auto" w:fill="auto"/>
            <w:vAlign w:val="center"/>
            <w:hideMark/>
          </w:tcPr>
          <w:p w14:paraId="1E8323DB" w14:textId="77777777" w:rsidR="006E3CAD" w:rsidRPr="00AD4E79" w:rsidRDefault="006E3CAD" w:rsidP="00D22441">
            <w:pPr>
              <w:jc w:val="center"/>
              <w:rPr>
                <w:rFonts w:ascii="Arial Narrow" w:hAnsi="Arial Narrow" w:cs="Arial"/>
                <w:b/>
                <w:bCs/>
                <w:spacing w:val="0"/>
                <w:sz w:val="16"/>
                <w:szCs w:val="16"/>
                <w:lang w:eastAsia="es-CO"/>
              </w:rPr>
            </w:pPr>
            <w:r w:rsidRPr="00AD4E79">
              <w:rPr>
                <w:rFonts w:ascii="Arial Narrow" w:hAnsi="Arial Narrow" w:cs="Arial"/>
                <w:b/>
                <w:bCs/>
                <w:spacing w:val="0"/>
                <w:sz w:val="16"/>
                <w:szCs w:val="16"/>
                <w:lang w:eastAsia="es-CO"/>
              </w:rPr>
              <w:t xml:space="preserve">ESTADO DE REPORTE </w:t>
            </w:r>
            <w:r w:rsidRPr="00AD4E79">
              <w:rPr>
                <w:rFonts w:ascii="Arial Narrow" w:hAnsi="Arial Narrow" w:cs="Arial"/>
                <w:b/>
                <w:bCs/>
                <w:spacing w:val="0"/>
                <w:sz w:val="16"/>
                <w:szCs w:val="16"/>
                <w:lang w:eastAsia="es-CO"/>
              </w:rPr>
              <w:br/>
              <w:t xml:space="preserve">SUI-SSPD </w:t>
            </w:r>
            <w:r w:rsidRPr="00AD4E79">
              <w:rPr>
                <w:rFonts w:ascii="Arial Narrow" w:hAnsi="Arial Narrow" w:cs="Arial"/>
                <w:b/>
                <w:bCs/>
                <w:spacing w:val="0"/>
                <w:sz w:val="16"/>
                <w:szCs w:val="16"/>
                <w:lang w:eastAsia="es-CO"/>
              </w:rPr>
              <w:br/>
              <w:t>INFORMACIÓN FINANCIERA 2022</w:t>
            </w:r>
          </w:p>
        </w:tc>
      </w:tr>
      <w:tr w:rsidR="00AD4E79" w:rsidRPr="00AD4E79" w14:paraId="1EC5A22E"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1F201713"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w:t>
            </w:r>
          </w:p>
        </w:tc>
        <w:tc>
          <w:tcPr>
            <w:tcW w:w="879" w:type="dxa"/>
            <w:tcBorders>
              <w:top w:val="nil"/>
              <w:left w:val="nil"/>
              <w:bottom w:val="single" w:sz="8" w:space="0" w:color="auto"/>
              <w:right w:val="single" w:sz="8" w:space="0" w:color="auto"/>
            </w:tcBorders>
            <w:shd w:val="clear" w:color="auto" w:fill="auto"/>
            <w:vAlign w:val="center"/>
            <w:hideMark/>
          </w:tcPr>
          <w:p w14:paraId="2D21EB0D"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800.052.640</w:t>
            </w:r>
          </w:p>
        </w:tc>
        <w:tc>
          <w:tcPr>
            <w:tcW w:w="323" w:type="dxa"/>
            <w:tcBorders>
              <w:top w:val="nil"/>
              <w:left w:val="nil"/>
              <w:bottom w:val="single" w:sz="8" w:space="0" w:color="auto"/>
              <w:right w:val="single" w:sz="8" w:space="0" w:color="auto"/>
            </w:tcBorders>
            <w:shd w:val="clear" w:color="auto" w:fill="auto"/>
            <w:vAlign w:val="center"/>
            <w:hideMark/>
          </w:tcPr>
          <w:p w14:paraId="09431F94"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w:t>
            </w:r>
          </w:p>
        </w:tc>
        <w:tc>
          <w:tcPr>
            <w:tcW w:w="505" w:type="dxa"/>
            <w:tcBorders>
              <w:top w:val="nil"/>
              <w:left w:val="nil"/>
              <w:bottom w:val="single" w:sz="8" w:space="0" w:color="auto"/>
              <w:right w:val="single" w:sz="8" w:space="0" w:color="auto"/>
            </w:tcBorders>
            <w:shd w:val="clear" w:color="auto" w:fill="auto"/>
            <w:vAlign w:val="center"/>
            <w:hideMark/>
          </w:tcPr>
          <w:p w14:paraId="6F1F19AD"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523</w:t>
            </w:r>
          </w:p>
        </w:tc>
        <w:tc>
          <w:tcPr>
            <w:tcW w:w="4243" w:type="dxa"/>
            <w:tcBorders>
              <w:top w:val="nil"/>
              <w:left w:val="nil"/>
              <w:bottom w:val="single" w:sz="8" w:space="0" w:color="auto"/>
              <w:right w:val="single" w:sz="8" w:space="0" w:color="auto"/>
            </w:tcBorders>
            <w:shd w:val="clear" w:color="auto" w:fill="auto"/>
            <w:vAlign w:val="center"/>
            <w:hideMark/>
          </w:tcPr>
          <w:p w14:paraId="1728E26F" w14:textId="4B3500C1"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EMPRESA DE ENERGIA DEL QUINDIO S.A.E.S.P.</w:t>
            </w:r>
          </w:p>
        </w:tc>
        <w:tc>
          <w:tcPr>
            <w:tcW w:w="1196" w:type="dxa"/>
            <w:tcBorders>
              <w:top w:val="nil"/>
              <w:left w:val="nil"/>
              <w:bottom w:val="single" w:sz="8" w:space="0" w:color="auto"/>
              <w:right w:val="single" w:sz="8" w:space="0" w:color="auto"/>
            </w:tcBorders>
            <w:shd w:val="clear" w:color="auto" w:fill="auto"/>
            <w:vAlign w:val="center"/>
            <w:hideMark/>
          </w:tcPr>
          <w:p w14:paraId="1683750C"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4C2E1417"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006E135A"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1EEB80CD"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w:t>
            </w:r>
          </w:p>
        </w:tc>
        <w:tc>
          <w:tcPr>
            <w:tcW w:w="879" w:type="dxa"/>
            <w:tcBorders>
              <w:top w:val="nil"/>
              <w:left w:val="nil"/>
              <w:bottom w:val="single" w:sz="8" w:space="0" w:color="auto"/>
              <w:right w:val="single" w:sz="8" w:space="0" w:color="auto"/>
            </w:tcBorders>
            <w:shd w:val="clear" w:color="auto" w:fill="auto"/>
            <w:vAlign w:val="center"/>
            <w:hideMark/>
          </w:tcPr>
          <w:p w14:paraId="4BB8F3E4"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800.095.613</w:t>
            </w:r>
          </w:p>
        </w:tc>
        <w:tc>
          <w:tcPr>
            <w:tcW w:w="323" w:type="dxa"/>
            <w:tcBorders>
              <w:top w:val="nil"/>
              <w:left w:val="nil"/>
              <w:bottom w:val="single" w:sz="8" w:space="0" w:color="auto"/>
              <w:right w:val="single" w:sz="8" w:space="0" w:color="auto"/>
            </w:tcBorders>
            <w:shd w:val="clear" w:color="auto" w:fill="auto"/>
            <w:vAlign w:val="center"/>
            <w:hideMark/>
          </w:tcPr>
          <w:p w14:paraId="11714D3E"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4</w:t>
            </w:r>
          </w:p>
        </w:tc>
        <w:tc>
          <w:tcPr>
            <w:tcW w:w="505" w:type="dxa"/>
            <w:tcBorders>
              <w:top w:val="nil"/>
              <w:left w:val="nil"/>
              <w:bottom w:val="single" w:sz="8" w:space="0" w:color="auto"/>
              <w:right w:val="single" w:sz="8" w:space="0" w:color="auto"/>
            </w:tcBorders>
            <w:shd w:val="clear" w:color="auto" w:fill="auto"/>
            <w:vAlign w:val="center"/>
            <w:hideMark/>
          </w:tcPr>
          <w:p w14:paraId="42AD0E14"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20153</w:t>
            </w:r>
          </w:p>
        </w:tc>
        <w:tc>
          <w:tcPr>
            <w:tcW w:w="4243" w:type="dxa"/>
            <w:tcBorders>
              <w:top w:val="nil"/>
              <w:left w:val="nil"/>
              <w:bottom w:val="single" w:sz="8" w:space="0" w:color="auto"/>
              <w:right w:val="single" w:sz="8" w:space="0" w:color="auto"/>
            </w:tcBorders>
            <w:shd w:val="clear" w:color="auto" w:fill="auto"/>
            <w:vAlign w:val="center"/>
            <w:hideMark/>
          </w:tcPr>
          <w:p w14:paraId="0401E4D8"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MUNICIPIO DE SIPI</w:t>
            </w:r>
          </w:p>
        </w:tc>
        <w:tc>
          <w:tcPr>
            <w:tcW w:w="1196" w:type="dxa"/>
            <w:tcBorders>
              <w:top w:val="nil"/>
              <w:left w:val="nil"/>
              <w:bottom w:val="single" w:sz="8" w:space="0" w:color="auto"/>
              <w:right w:val="single" w:sz="8" w:space="0" w:color="auto"/>
            </w:tcBorders>
            <w:shd w:val="clear" w:color="auto" w:fill="auto"/>
            <w:vAlign w:val="center"/>
            <w:hideMark/>
          </w:tcPr>
          <w:p w14:paraId="57B4E232"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51568D0D"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SIN REPORTE AL SUI</w:t>
            </w:r>
          </w:p>
        </w:tc>
      </w:tr>
      <w:tr w:rsidR="00AD4E79" w:rsidRPr="00AD4E79" w14:paraId="6092F52E" w14:textId="77777777" w:rsidTr="00AD4E79">
        <w:trPr>
          <w:trHeight w:val="329"/>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19E91F31"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3</w:t>
            </w:r>
          </w:p>
        </w:tc>
        <w:tc>
          <w:tcPr>
            <w:tcW w:w="879" w:type="dxa"/>
            <w:tcBorders>
              <w:top w:val="nil"/>
              <w:left w:val="nil"/>
              <w:bottom w:val="single" w:sz="8" w:space="0" w:color="auto"/>
              <w:right w:val="single" w:sz="8" w:space="0" w:color="auto"/>
            </w:tcBorders>
            <w:shd w:val="clear" w:color="auto" w:fill="auto"/>
            <w:vAlign w:val="center"/>
            <w:hideMark/>
          </w:tcPr>
          <w:p w14:paraId="1F5E56D2"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800.149.537</w:t>
            </w:r>
          </w:p>
        </w:tc>
        <w:tc>
          <w:tcPr>
            <w:tcW w:w="323" w:type="dxa"/>
            <w:tcBorders>
              <w:top w:val="nil"/>
              <w:left w:val="nil"/>
              <w:bottom w:val="single" w:sz="8" w:space="0" w:color="auto"/>
              <w:right w:val="single" w:sz="8" w:space="0" w:color="auto"/>
            </w:tcBorders>
            <w:shd w:val="clear" w:color="auto" w:fill="auto"/>
            <w:vAlign w:val="center"/>
            <w:hideMark/>
          </w:tcPr>
          <w:p w14:paraId="0135883A"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6</w:t>
            </w:r>
          </w:p>
        </w:tc>
        <w:tc>
          <w:tcPr>
            <w:tcW w:w="505" w:type="dxa"/>
            <w:tcBorders>
              <w:top w:val="nil"/>
              <w:left w:val="nil"/>
              <w:bottom w:val="single" w:sz="8" w:space="0" w:color="auto"/>
              <w:right w:val="single" w:sz="8" w:space="0" w:color="auto"/>
            </w:tcBorders>
            <w:shd w:val="clear" w:color="auto" w:fill="auto"/>
            <w:vAlign w:val="center"/>
            <w:hideMark/>
          </w:tcPr>
          <w:p w14:paraId="7DB7D14D"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497</w:t>
            </w:r>
          </w:p>
        </w:tc>
        <w:tc>
          <w:tcPr>
            <w:tcW w:w="4243" w:type="dxa"/>
            <w:tcBorders>
              <w:top w:val="nil"/>
              <w:left w:val="nil"/>
              <w:bottom w:val="single" w:sz="8" w:space="0" w:color="auto"/>
              <w:right w:val="single" w:sz="8" w:space="0" w:color="auto"/>
            </w:tcBorders>
            <w:shd w:val="clear" w:color="auto" w:fill="auto"/>
            <w:vAlign w:val="center"/>
            <w:hideMark/>
          </w:tcPr>
          <w:p w14:paraId="0FE57053"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PROMOTORA DE ENERGIA ELECTRICA DE CARTAGENA SAS ESP</w:t>
            </w:r>
          </w:p>
        </w:tc>
        <w:tc>
          <w:tcPr>
            <w:tcW w:w="1196" w:type="dxa"/>
            <w:tcBorders>
              <w:top w:val="nil"/>
              <w:left w:val="nil"/>
              <w:bottom w:val="single" w:sz="8" w:space="0" w:color="auto"/>
              <w:right w:val="single" w:sz="8" w:space="0" w:color="auto"/>
            </w:tcBorders>
            <w:shd w:val="clear" w:color="auto" w:fill="auto"/>
            <w:vAlign w:val="center"/>
            <w:hideMark/>
          </w:tcPr>
          <w:p w14:paraId="7012D26D"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1D1F9B3B"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3445AB54"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00D4E23F"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4</w:t>
            </w:r>
          </w:p>
        </w:tc>
        <w:tc>
          <w:tcPr>
            <w:tcW w:w="879" w:type="dxa"/>
            <w:tcBorders>
              <w:top w:val="nil"/>
              <w:left w:val="nil"/>
              <w:bottom w:val="single" w:sz="8" w:space="0" w:color="auto"/>
              <w:right w:val="single" w:sz="8" w:space="0" w:color="auto"/>
            </w:tcBorders>
            <w:shd w:val="clear" w:color="auto" w:fill="auto"/>
            <w:vAlign w:val="center"/>
            <w:hideMark/>
          </w:tcPr>
          <w:p w14:paraId="01F83A05"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800.175.746</w:t>
            </w:r>
          </w:p>
        </w:tc>
        <w:tc>
          <w:tcPr>
            <w:tcW w:w="323" w:type="dxa"/>
            <w:tcBorders>
              <w:top w:val="nil"/>
              <w:left w:val="nil"/>
              <w:bottom w:val="single" w:sz="8" w:space="0" w:color="auto"/>
              <w:right w:val="single" w:sz="8" w:space="0" w:color="auto"/>
            </w:tcBorders>
            <w:shd w:val="clear" w:color="auto" w:fill="auto"/>
            <w:vAlign w:val="center"/>
            <w:hideMark/>
          </w:tcPr>
          <w:p w14:paraId="2AD68EF6"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w:t>
            </w:r>
          </w:p>
        </w:tc>
        <w:tc>
          <w:tcPr>
            <w:tcW w:w="505" w:type="dxa"/>
            <w:tcBorders>
              <w:top w:val="nil"/>
              <w:left w:val="nil"/>
              <w:bottom w:val="single" w:sz="8" w:space="0" w:color="auto"/>
              <w:right w:val="single" w:sz="8" w:space="0" w:color="auto"/>
            </w:tcBorders>
            <w:shd w:val="clear" w:color="auto" w:fill="auto"/>
            <w:vAlign w:val="center"/>
            <w:hideMark/>
          </w:tcPr>
          <w:p w14:paraId="04373ABD"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2128</w:t>
            </w:r>
          </w:p>
        </w:tc>
        <w:tc>
          <w:tcPr>
            <w:tcW w:w="4243" w:type="dxa"/>
            <w:tcBorders>
              <w:top w:val="nil"/>
              <w:left w:val="nil"/>
              <w:bottom w:val="single" w:sz="8" w:space="0" w:color="auto"/>
              <w:right w:val="single" w:sz="8" w:space="0" w:color="auto"/>
            </w:tcBorders>
            <w:shd w:val="clear" w:color="auto" w:fill="auto"/>
            <w:vAlign w:val="center"/>
            <w:hideMark/>
          </w:tcPr>
          <w:p w14:paraId="55D514CD"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EMPRESA URRA S.A. E.S.P.</w:t>
            </w:r>
          </w:p>
        </w:tc>
        <w:tc>
          <w:tcPr>
            <w:tcW w:w="1196" w:type="dxa"/>
            <w:tcBorders>
              <w:top w:val="nil"/>
              <w:left w:val="nil"/>
              <w:bottom w:val="single" w:sz="8" w:space="0" w:color="auto"/>
              <w:right w:val="single" w:sz="8" w:space="0" w:color="auto"/>
            </w:tcBorders>
            <w:shd w:val="clear" w:color="auto" w:fill="auto"/>
            <w:vAlign w:val="center"/>
            <w:hideMark/>
          </w:tcPr>
          <w:p w14:paraId="6A8BDE24"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12D5EF2F"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32DA5376"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6FCA7367"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5</w:t>
            </w:r>
          </w:p>
        </w:tc>
        <w:tc>
          <w:tcPr>
            <w:tcW w:w="879" w:type="dxa"/>
            <w:tcBorders>
              <w:top w:val="nil"/>
              <w:left w:val="nil"/>
              <w:bottom w:val="single" w:sz="8" w:space="0" w:color="auto"/>
              <w:right w:val="single" w:sz="8" w:space="0" w:color="auto"/>
            </w:tcBorders>
            <w:shd w:val="clear" w:color="auto" w:fill="auto"/>
            <w:vAlign w:val="center"/>
            <w:hideMark/>
          </w:tcPr>
          <w:p w14:paraId="44BA37F8"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800.194.208</w:t>
            </w:r>
          </w:p>
        </w:tc>
        <w:tc>
          <w:tcPr>
            <w:tcW w:w="323" w:type="dxa"/>
            <w:tcBorders>
              <w:top w:val="nil"/>
              <w:left w:val="nil"/>
              <w:bottom w:val="single" w:sz="8" w:space="0" w:color="auto"/>
              <w:right w:val="single" w:sz="8" w:space="0" w:color="auto"/>
            </w:tcBorders>
            <w:shd w:val="clear" w:color="auto" w:fill="auto"/>
            <w:vAlign w:val="center"/>
            <w:hideMark/>
          </w:tcPr>
          <w:p w14:paraId="3702012E"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w:t>
            </w:r>
          </w:p>
        </w:tc>
        <w:tc>
          <w:tcPr>
            <w:tcW w:w="505" w:type="dxa"/>
            <w:tcBorders>
              <w:top w:val="nil"/>
              <w:left w:val="nil"/>
              <w:bottom w:val="single" w:sz="8" w:space="0" w:color="auto"/>
              <w:right w:val="single" w:sz="8" w:space="0" w:color="auto"/>
            </w:tcBorders>
            <w:shd w:val="clear" w:color="auto" w:fill="auto"/>
            <w:vAlign w:val="center"/>
            <w:hideMark/>
          </w:tcPr>
          <w:p w14:paraId="62F4249D"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1757</w:t>
            </w:r>
          </w:p>
        </w:tc>
        <w:tc>
          <w:tcPr>
            <w:tcW w:w="4243" w:type="dxa"/>
            <w:tcBorders>
              <w:top w:val="nil"/>
              <w:left w:val="nil"/>
              <w:bottom w:val="single" w:sz="8" w:space="0" w:color="auto"/>
              <w:right w:val="single" w:sz="8" w:space="0" w:color="auto"/>
            </w:tcBorders>
            <w:shd w:val="clear" w:color="auto" w:fill="auto"/>
            <w:vAlign w:val="center"/>
            <w:hideMark/>
          </w:tcPr>
          <w:p w14:paraId="4B2D923F"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GESTION ENERGETICA S.A. ESP</w:t>
            </w:r>
          </w:p>
        </w:tc>
        <w:tc>
          <w:tcPr>
            <w:tcW w:w="1196" w:type="dxa"/>
            <w:tcBorders>
              <w:top w:val="nil"/>
              <w:left w:val="nil"/>
              <w:bottom w:val="single" w:sz="8" w:space="0" w:color="auto"/>
              <w:right w:val="single" w:sz="8" w:space="0" w:color="auto"/>
            </w:tcBorders>
            <w:shd w:val="clear" w:color="auto" w:fill="auto"/>
            <w:vAlign w:val="center"/>
            <w:hideMark/>
          </w:tcPr>
          <w:p w14:paraId="2E50545A"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5AC0D5E3"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2D3E61E9"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7CC0A237"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6</w:t>
            </w:r>
          </w:p>
        </w:tc>
        <w:tc>
          <w:tcPr>
            <w:tcW w:w="879" w:type="dxa"/>
            <w:tcBorders>
              <w:top w:val="nil"/>
              <w:left w:val="nil"/>
              <w:bottom w:val="single" w:sz="8" w:space="0" w:color="auto"/>
              <w:right w:val="single" w:sz="8" w:space="0" w:color="auto"/>
            </w:tcBorders>
            <w:shd w:val="clear" w:color="auto" w:fill="auto"/>
            <w:vAlign w:val="center"/>
            <w:hideMark/>
          </w:tcPr>
          <w:p w14:paraId="051C1BB5"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800.219.925</w:t>
            </w:r>
          </w:p>
        </w:tc>
        <w:tc>
          <w:tcPr>
            <w:tcW w:w="323" w:type="dxa"/>
            <w:tcBorders>
              <w:top w:val="nil"/>
              <w:left w:val="nil"/>
              <w:bottom w:val="single" w:sz="8" w:space="0" w:color="auto"/>
              <w:right w:val="single" w:sz="8" w:space="0" w:color="auto"/>
            </w:tcBorders>
            <w:shd w:val="clear" w:color="auto" w:fill="auto"/>
            <w:vAlign w:val="center"/>
            <w:hideMark/>
          </w:tcPr>
          <w:p w14:paraId="225FAED2"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w:t>
            </w:r>
          </w:p>
        </w:tc>
        <w:tc>
          <w:tcPr>
            <w:tcW w:w="505" w:type="dxa"/>
            <w:tcBorders>
              <w:top w:val="nil"/>
              <w:left w:val="nil"/>
              <w:bottom w:val="single" w:sz="8" w:space="0" w:color="auto"/>
              <w:right w:val="single" w:sz="8" w:space="0" w:color="auto"/>
            </w:tcBorders>
            <w:shd w:val="clear" w:color="auto" w:fill="auto"/>
            <w:vAlign w:val="center"/>
            <w:hideMark/>
          </w:tcPr>
          <w:p w14:paraId="4BC26D61"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1058</w:t>
            </w:r>
          </w:p>
        </w:tc>
        <w:tc>
          <w:tcPr>
            <w:tcW w:w="4243" w:type="dxa"/>
            <w:tcBorders>
              <w:top w:val="nil"/>
              <w:left w:val="nil"/>
              <w:bottom w:val="single" w:sz="8" w:space="0" w:color="auto"/>
              <w:right w:val="single" w:sz="8" w:space="0" w:color="auto"/>
            </w:tcBorders>
            <w:shd w:val="clear" w:color="auto" w:fill="auto"/>
            <w:vAlign w:val="center"/>
            <w:hideMark/>
          </w:tcPr>
          <w:p w14:paraId="7CEAF9D3"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COMPAÑIA ELECTRICA DE SOCHAGOTA S.A. E.S.P.</w:t>
            </w:r>
          </w:p>
        </w:tc>
        <w:tc>
          <w:tcPr>
            <w:tcW w:w="1196" w:type="dxa"/>
            <w:tcBorders>
              <w:top w:val="nil"/>
              <w:left w:val="nil"/>
              <w:bottom w:val="single" w:sz="8" w:space="0" w:color="auto"/>
              <w:right w:val="single" w:sz="8" w:space="0" w:color="auto"/>
            </w:tcBorders>
            <w:shd w:val="clear" w:color="auto" w:fill="auto"/>
            <w:vAlign w:val="center"/>
            <w:hideMark/>
          </w:tcPr>
          <w:p w14:paraId="5D7F20D1"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711AD3DB"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7AB7E7BA"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4D3EEA1B"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7</w:t>
            </w:r>
          </w:p>
        </w:tc>
        <w:tc>
          <w:tcPr>
            <w:tcW w:w="879" w:type="dxa"/>
            <w:tcBorders>
              <w:top w:val="nil"/>
              <w:left w:val="nil"/>
              <w:bottom w:val="single" w:sz="8" w:space="0" w:color="auto"/>
              <w:right w:val="single" w:sz="8" w:space="0" w:color="auto"/>
            </w:tcBorders>
            <w:shd w:val="clear" w:color="auto" w:fill="auto"/>
            <w:vAlign w:val="center"/>
            <w:hideMark/>
          </w:tcPr>
          <w:p w14:paraId="01A7EC13"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800.227.983</w:t>
            </w:r>
          </w:p>
        </w:tc>
        <w:tc>
          <w:tcPr>
            <w:tcW w:w="323" w:type="dxa"/>
            <w:tcBorders>
              <w:top w:val="nil"/>
              <w:left w:val="nil"/>
              <w:bottom w:val="single" w:sz="8" w:space="0" w:color="auto"/>
              <w:right w:val="single" w:sz="8" w:space="0" w:color="auto"/>
            </w:tcBorders>
            <w:shd w:val="clear" w:color="auto" w:fill="auto"/>
            <w:vAlign w:val="center"/>
            <w:hideMark/>
          </w:tcPr>
          <w:p w14:paraId="22183559"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w:t>
            </w:r>
          </w:p>
        </w:tc>
        <w:tc>
          <w:tcPr>
            <w:tcW w:w="505" w:type="dxa"/>
            <w:tcBorders>
              <w:top w:val="nil"/>
              <w:left w:val="nil"/>
              <w:bottom w:val="single" w:sz="8" w:space="0" w:color="auto"/>
              <w:right w:val="single" w:sz="8" w:space="0" w:color="auto"/>
            </w:tcBorders>
            <w:shd w:val="clear" w:color="auto" w:fill="auto"/>
            <w:vAlign w:val="center"/>
            <w:hideMark/>
          </w:tcPr>
          <w:p w14:paraId="15C363C3"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53086</w:t>
            </w:r>
          </w:p>
        </w:tc>
        <w:tc>
          <w:tcPr>
            <w:tcW w:w="4243" w:type="dxa"/>
            <w:tcBorders>
              <w:top w:val="nil"/>
              <w:left w:val="nil"/>
              <w:bottom w:val="single" w:sz="8" w:space="0" w:color="auto"/>
              <w:right w:val="single" w:sz="8" w:space="0" w:color="auto"/>
            </w:tcBorders>
            <w:shd w:val="clear" w:color="auto" w:fill="auto"/>
            <w:vAlign w:val="center"/>
            <w:hideMark/>
          </w:tcPr>
          <w:p w14:paraId="03D6F950"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APH SERVICIOS ELECTRICOS S.A. E.S.P.</w:t>
            </w:r>
          </w:p>
        </w:tc>
        <w:tc>
          <w:tcPr>
            <w:tcW w:w="1196" w:type="dxa"/>
            <w:tcBorders>
              <w:top w:val="nil"/>
              <w:left w:val="nil"/>
              <w:bottom w:val="single" w:sz="8" w:space="0" w:color="auto"/>
              <w:right w:val="single" w:sz="8" w:space="0" w:color="auto"/>
            </w:tcBorders>
            <w:shd w:val="clear" w:color="auto" w:fill="auto"/>
            <w:vAlign w:val="center"/>
            <w:hideMark/>
          </w:tcPr>
          <w:p w14:paraId="69271623"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1B893B62"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SIN REPORTE AL SUI</w:t>
            </w:r>
          </w:p>
        </w:tc>
      </w:tr>
      <w:tr w:rsidR="00AD4E79" w:rsidRPr="00AD4E79" w14:paraId="6E3548A3"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7C41D58F"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w:t>
            </w:r>
          </w:p>
        </w:tc>
        <w:tc>
          <w:tcPr>
            <w:tcW w:w="879" w:type="dxa"/>
            <w:tcBorders>
              <w:top w:val="nil"/>
              <w:left w:val="nil"/>
              <w:bottom w:val="single" w:sz="8" w:space="0" w:color="auto"/>
              <w:right w:val="single" w:sz="8" w:space="0" w:color="auto"/>
            </w:tcBorders>
            <w:shd w:val="clear" w:color="auto" w:fill="auto"/>
            <w:vAlign w:val="center"/>
            <w:hideMark/>
          </w:tcPr>
          <w:p w14:paraId="04AACD0F"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802.007.669</w:t>
            </w:r>
          </w:p>
        </w:tc>
        <w:tc>
          <w:tcPr>
            <w:tcW w:w="323" w:type="dxa"/>
            <w:tcBorders>
              <w:top w:val="nil"/>
              <w:left w:val="nil"/>
              <w:bottom w:val="single" w:sz="8" w:space="0" w:color="auto"/>
              <w:right w:val="single" w:sz="8" w:space="0" w:color="auto"/>
            </w:tcBorders>
            <w:shd w:val="clear" w:color="auto" w:fill="auto"/>
            <w:vAlign w:val="center"/>
            <w:hideMark/>
          </w:tcPr>
          <w:p w14:paraId="2789608A"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w:t>
            </w:r>
          </w:p>
        </w:tc>
        <w:tc>
          <w:tcPr>
            <w:tcW w:w="505" w:type="dxa"/>
            <w:tcBorders>
              <w:top w:val="nil"/>
              <w:left w:val="nil"/>
              <w:bottom w:val="single" w:sz="8" w:space="0" w:color="auto"/>
              <w:right w:val="single" w:sz="8" w:space="0" w:color="auto"/>
            </w:tcBorders>
            <w:shd w:val="clear" w:color="auto" w:fill="auto"/>
            <w:vAlign w:val="center"/>
            <w:hideMark/>
          </w:tcPr>
          <w:p w14:paraId="5C49486D"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2247</w:t>
            </w:r>
          </w:p>
        </w:tc>
        <w:tc>
          <w:tcPr>
            <w:tcW w:w="4243" w:type="dxa"/>
            <w:tcBorders>
              <w:top w:val="nil"/>
              <w:left w:val="nil"/>
              <w:bottom w:val="single" w:sz="8" w:space="0" w:color="auto"/>
              <w:right w:val="single" w:sz="8" w:space="0" w:color="auto"/>
            </w:tcBorders>
            <w:shd w:val="clear" w:color="auto" w:fill="auto"/>
            <w:vAlign w:val="center"/>
            <w:hideMark/>
          </w:tcPr>
          <w:p w14:paraId="026C6394"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TRANSELCA S.A. E.S.P.</w:t>
            </w:r>
          </w:p>
        </w:tc>
        <w:tc>
          <w:tcPr>
            <w:tcW w:w="1196" w:type="dxa"/>
            <w:tcBorders>
              <w:top w:val="nil"/>
              <w:left w:val="nil"/>
              <w:bottom w:val="single" w:sz="8" w:space="0" w:color="auto"/>
              <w:right w:val="single" w:sz="8" w:space="0" w:color="auto"/>
            </w:tcBorders>
            <w:shd w:val="clear" w:color="auto" w:fill="auto"/>
            <w:vAlign w:val="center"/>
            <w:hideMark/>
          </w:tcPr>
          <w:p w14:paraId="1334E069"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6E91E619"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4BCBBCF2" w14:textId="77777777" w:rsidTr="00AD4E79">
        <w:trPr>
          <w:trHeight w:val="525"/>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0D30834A"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lastRenderedPageBreak/>
              <w:t>9</w:t>
            </w:r>
          </w:p>
        </w:tc>
        <w:tc>
          <w:tcPr>
            <w:tcW w:w="879" w:type="dxa"/>
            <w:tcBorders>
              <w:top w:val="nil"/>
              <w:left w:val="nil"/>
              <w:bottom w:val="single" w:sz="8" w:space="0" w:color="auto"/>
              <w:right w:val="single" w:sz="8" w:space="0" w:color="auto"/>
            </w:tcBorders>
            <w:shd w:val="clear" w:color="auto" w:fill="auto"/>
            <w:vAlign w:val="center"/>
            <w:hideMark/>
          </w:tcPr>
          <w:p w14:paraId="19295AEB"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802.007.670</w:t>
            </w:r>
          </w:p>
        </w:tc>
        <w:tc>
          <w:tcPr>
            <w:tcW w:w="323" w:type="dxa"/>
            <w:tcBorders>
              <w:top w:val="nil"/>
              <w:left w:val="nil"/>
              <w:bottom w:val="single" w:sz="8" w:space="0" w:color="auto"/>
              <w:right w:val="single" w:sz="8" w:space="0" w:color="auto"/>
            </w:tcBorders>
            <w:shd w:val="clear" w:color="auto" w:fill="auto"/>
            <w:vAlign w:val="center"/>
            <w:hideMark/>
          </w:tcPr>
          <w:p w14:paraId="6291A337"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6</w:t>
            </w:r>
          </w:p>
        </w:tc>
        <w:tc>
          <w:tcPr>
            <w:tcW w:w="505" w:type="dxa"/>
            <w:tcBorders>
              <w:top w:val="nil"/>
              <w:left w:val="nil"/>
              <w:bottom w:val="single" w:sz="8" w:space="0" w:color="auto"/>
              <w:right w:val="single" w:sz="8" w:space="0" w:color="auto"/>
            </w:tcBorders>
            <w:shd w:val="clear" w:color="auto" w:fill="auto"/>
            <w:vAlign w:val="center"/>
            <w:hideMark/>
          </w:tcPr>
          <w:p w14:paraId="082F5784"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2249</w:t>
            </w:r>
          </w:p>
        </w:tc>
        <w:tc>
          <w:tcPr>
            <w:tcW w:w="4243" w:type="dxa"/>
            <w:tcBorders>
              <w:top w:val="nil"/>
              <w:left w:val="nil"/>
              <w:bottom w:val="single" w:sz="8" w:space="0" w:color="auto"/>
              <w:right w:val="single" w:sz="8" w:space="0" w:color="auto"/>
            </w:tcBorders>
            <w:shd w:val="clear" w:color="auto" w:fill="auto"/>
            <w:vAlign w:val="center"/>
            <w:hideMark/>
          </w:tcPr>
          <w:p w14:paraId="1B3D10F6"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ELECTRIFICADORA DEL CARIBE S.A. E.S.P.</w:t>
            </w:r>
          </w:p>
        </w:tc>
        <w:tc>
          <w:tcPr>
            <w:tcW w:w="1196" w:type="dxa"/>
            <w:tcBorders>
              <w:top w:val="nil"/>
              <w:left w:val="nil"/>
              <w:bottom w:val="single" w:sz="8" w:space="0" w:color="auto"/>
              <w:right w:val="single" w:sz="8" w:space="0" w:color="auto"/>
            </w:tcBorders>
            <w:shd w:val="clear" w:color="auto" w:fill="auto"/>
            <w:vAlign w:val="center"/>
            <w:hideMark/>
          </w:tcPr>
          <w:p w14:paraId="10C07514"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EN PROCESO DE LIQUIDACION</w:t>
            </w:r>
          </w:p>
        </w:tc>
        <w:tc>
          <w:tcPr>
            <w:tcW w:w="2260" w:type="dxa"/>
            <w:tcBorders>
              <w:top w:val="nil"/>
              <w:left w:val="nil"/>
              <w:bottom w:val="single" w:sz="8" w:space="0" w:color="auto"/>
              <w:right w:val="single" w:sz="8" w:space="0" w:color="auto"/>
            </w:tcBorders>
            <w:shd w:val="clear" w:color="auto" w:fill="auto"/>
            <w:noWrap/>
            <w:vAlign w:val="center"/>
            <w:hideMark/>
          </w:tcPr>
          <w:p w14:paraId="42582D39"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SIN REPORTE AL SUI</w:t>
            </w:r>
          </w:p>
        </w:tc>
      </w:tr>
      <w:tr w:rsidR="00AD4E79" w:rsidRPr="00AD4E79" w14:paraId="17DFEB17" w14:textId="77777777" w:rsidTr="00AD4E79">
        <w:trPr>
          <w:trHeight w:val="269"/>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621C7690"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10</w:t>
            </w:r>
          </w:p>
        </w:tc>
        <w:tc>
          <w:tcPr>
            <w:tcW w:w="879" w:type="dxa"/>
            <w:tcBorders>
              <w:top w:val="nil"/>
              <w:left w:val="nil"/>
              <w:bottom w:val="single" w:sz="8" w:space="0" w:color="auto"/>
              <w:right w:val="single" w:sz="8" w:space="0" w:color="auto"/>
            </w:tcBorders>
            <w:shd w:val="clear" w:color="auto" w:fill="auto"/>
            <w:vAlign w:val="center"/>
            <w:hideMark/>
          </w:tcPr>
          <w:p w14:paraId="78FD6CAB"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805.003.351</w:t>
            </w:r>
          </w:p>
        </w:tc>
        <w:tc>
          <w:tcPr>
            <w:tcW w:w="323" w:type="dxa"/>
            <w:tcBorders>
              <w:top w:val="nil"/>
              <w:left w:val="nil"/>
              <w:bottom w:val="single" w:sz="8" w:space="0" w:color="auto"/>
              <w:right w:val="single" w:sz="8" w:space="0" w:color="auto"/>
            </w:tcBorders>
            <w:shd w:val="clear" w:color="auto" w:fill="auto"/>
            <w:vAlign w:val="center"/>
            <w:hideMark/>
          </w:tcPr>
          <w:p w14:paraId="2D3ECDB7"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4</w:t>
            </w:r>
          </w:p>
        </w:tc>
        <w:tc>
          <w:tcPr>
            <w:tcW w:w="505" w:type="dxa"/>
            <w:tcBorders>
              <w:top w:val="nil"/>
              <w:left w:val="nil"/>
              <w:bottom w:val="single" w:sz="8" w:space="0" w:color="auto"/>
              <w:right w:val="single" w:sz="8" w:space="0" w:color="auto"/>
            </w:tcBorders>
            <w:shd w:val="clear" w:color="auto" w:fill="auto"/>
            <w:vAlign w:val="center"/>
            <w:hideMark/>
          </w:tcPr>
          <w:p w14:paraId="5D66A70B"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1806</w:t>
            </w:r>
          </w:p>
        </w:tc>
        <w:tc>
          <w:tcPr>
            <w:tcW w:w="4243" w:type="dxa"/>
            <w:tcBorders>
              <w:top w:val="nil"/>
              <w:left w:val="nil"/>
              <w:bottom w:val="single" w:sz="8" w:space="0" w:color="auto"/>
              <w:right w:val="single" w:sz="8" w:space="0" w:color="auto"/>
            </w:tcBorders>
            <w:shd w:val="clear" w:color="auto" w:fill="auto"/>
            <w:vAlign w:val="center"/>
            <w:hideMark/>
          </w:tcPr>
          <w:p w14:paraId="4623285D"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PRIME TERMOVALLE S.A.S EMPRESA DE SERVICIOS PUBLICOS</w:t>
            </w:r>
          </w:p>
        </w:tc>
        <w:tc>
          <w:tcPr>
            <w:tcW w:w="1196" w:type="dxa"/>
            <w:tcBorders>
              <w:top w:val="nil"/>
              <w:left w:val="nil"/>
              <w:bottom w:val="single" w:sz="8" w:space="0" w:color="auto"/>
              <w:right w:val="single" w:sz="8" w:space="0" w:color="auto"/>
            </w:tcBorders>
            <w:shd w:val="clear" w:color="auto" w:fill="auto"/>
            <w:vAlign w:val="center"/>
            <w:hideMark/>
          </w:tcPr>
          <w:p w14:paraId="4DD049AE"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4AA78681"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7CD99E97"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044A9E3C"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11</w:t>
            </w:r>
          </w:p>
        </w:tc>
        <w:tc>
          <w:tcPr>
            <w:tcW w:w="879" w:type="dxa"/>
            <w:tcBorders>
              <w:top w:val="nil"/>
              <w:left w:val="nil"/>
              <w:bottom w:val="single" w:sz="8" w:space="0" w:color="auto"/>
              <w:right w:val="single" w:sz="8" w:space="0" w:color="auto"/>
            </w:tcBorders>
            <w:shd w:val="clear" w:color="auto" w:fill="auto"/>
            <w:vAlign w:val="center"/>
            <w:hideMark/>
          </w:tcPr>
          <w:p w14:paraId="3DA52536"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805.016.928</w:t>
            </w:r>
          </w:p>
        </w:tc>
        <w:tc>
          <w:tcPr>
            <w:tcW w:w="323" w:type="dxa"/>
            <w:tcBorders>
              <w:top w:val="nil"/>
              <w:left w:val="nil"/>
              <w:bottom w:val="single" w:sz="8" w:space="0" w:color="auto"/>
              <w:right w:val="single" w:sz="8" w:space="0" w:color="auto"/>
            </w:tcBorders>
            <w:shd w:val="clear" w:color="auto" w:fill="auto"/>
            <w:vAlign w:val="center"/>
            <w:hideMark/>
          </w:tcPr>
          <w:p w14:paraId="0391520D"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w:t>
            </w:r>
          </w:p>
        </w:tc>
        <w:tc>
          <w:tcPr>
            <w:tcW w:w="505" w:type="dxa"/>
            <w:tcBorders>
              <w:top w:val="nil"/>
              <w:left w:val="nil"/>
              <w:bottom w:val="single" w:sz="8" w:space="0" w:color="auto"/>
              <w:right w:val="single" w:sz="8" w:space="0" w:color="auto"/>
            </w:tcBorders>
            <w:shd w:val="clear" w:color="auto" w:fill="auto"/>
            <w:vAlign w:val="center"/>
            <w:hideMark/>
          </w:tcPr>
          <w:p w14:paraId="7905707F"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2824</w:t>
            </w:r>
          </w:p>
        </w:tc>
        <w:tc>
          <w:tcPr>
            <w:tcW w:w="4243" w:type="dxa"/>
            <w:tcBorders>
              <w:top w:val="nil"/>
              <w:left w:val="nil"/>
              <w:bottom w:val="single" w:sz="8" w:space="0" w:color="auto"/>
              <w:right w:val="single" w:sz="8" w:space="0" w:color="auto"/>
            </w:tcBorders>
            <w:shd w:val="clear" w:color="auto" w:fill="auto"/>
            <w:vAlign w:val="center"/>
            <w:hideMark/>
          </w:tcPr>
          <w:p w14:paraId="60B9A5AE"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ENERCO S.A. E.S.P.</w:t>
            </w:r>
          </w:p>
        </w:tc>
        <w:tc>
          <w:tcPr>
            <w:tcW w:w="1196" w:type="dxa"/>
            <w:tcBorders>
              <w:top w:val="nil"/>
              <w:left w:val="nil"/>
              <w:bottom w:val="single" w:sz="8" w:space="0" w:color="auto"/>
              <w:right w:val="single" w:sz="8" w:space="0" w:color="auto"/>
            </w:tcBorders>
            <w:shd w:val="clear" w:color="auto" w:fill="auto"/>
            <w:vAlign w:val="center"/>
            <w:hideMark/>
          </w:tcPr>
          <w:p w14:paraId="4D15F3A1"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5E304526"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7C2A2723"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43A5F440"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12</w:t>
            </w:r>
          </w:p>
        </w:tc>
        <w:tc>
          <w:tcPr>
            <w:tcW w:w="879" w:type="dxa"/>
            <w:tcBorders>
              <w:top w:val="nil"/>
              <w:left w:val="nil"/>
              <w:bottom w:val="single" w:sz="8" w:space="0" w:color="auto"/>
              <w:right w:val="single" w:sz="8" w:space="0" w:color="auto"/>
            </w:tcBorders>
            <w:shd w:val="clear" w:color="auto" w:fill="auto"/>
            <w:vAlign w:val="center"/>
            <w:hideMark/>
          </w:tcPr>
          <w:p w14:paraId="50981C95"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807.001.845</w:t>
            </w:r>
          </w:p>
        </w:tc>
        <w:tc>
          <w:tcPr>
            <w:tcW w:w="323" w:type="dxa"/>
            <w:tcBorders>
              <w:top w:val="nil"/>
              <w:left w:val="nil"/>
              <w:bottom w:val="single" w:sz="8" w:space="0" w:color="auto"/>
              <w:right w:val="single" w:sz="8" w:space="0" w:color="auto"/>
            </w:tcBorders>
            <w:shd w:val="clear" w:color="auto" w:fill="auto"/>
            <w:vAlign w:val="center"/>
            <w:hideMark/>
          </w:tcPr>
          <w:p w14:paraId="768D5817"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w:t>
            </w:r>
          </w:p>
        </w:tc>
        <w:tc>
          <w:tcPr>
            <w:tcW w:w="505" w:type="dxa"/>
            <w:tcBorders>
              <w:top w:val="nil"/>
              <w:left w:val="nil"/>
              <w:bottom w:val="single" w:sz="8" w:space="0" w:color="auto"/>
              <w:right w:val="single" w:sz="8" w:space="0" w:color="auto"/>
            </w:tcBorders>
            <w:shd w:val="clear" w:color="auto" w:fill="auto"/>
            <w:vAlign w:val="center"/>
            <w:hideMark/>
          </w:tcPr>
          <w:p w14:paraId="27797400"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2081</w:t>
            </w:r>
          </w:p>
        </w:tc>
        <w:tc>
          <w:tcPr>
            <w:tcW w:w="4243" w:type="dxa"/>
            <w:tcBorders>
              <w:top w:val="nil"/>
              <w:left w:val="nil"/>
              <w:bottom w:val="single" w:sz="8" w:space="0" w:color="auto"/>
              <w:right w:val="single" w:sz="8" w:space="0" w:color="auto"/>
            </w:tcBorders>
            <w:shd w:val="clear" w:color="auto" w:fill="auto"/>
            <w:vAlign w:val="center"/>
            <w:hideMark/>
          </w:tcPr>
          <w:p w14:paraId="7963F166"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DISTASA S.A. E.S.P.</w:t>
            </w:r>
          </w:p>
        </w:tc>
        <w:tc>
          <w:tcPr>
            <w:tcW w:w="1196" w:type="dxa"/>
            <w:tcBorders>
              <w:top w:val="nil"/>
              <w:left w:val="nil"/>
              <w:bottom w:val="single" w:sz="8" w:space="0" w:color="auto"/>
              <w:right w:val="single" w:sz="8" w:space="0" w:color="auto"/>
            </w:tcBorders>
            <w:shd w:val="clear" w:color="auto" w:fill="auto"/>
            <w:vAlign w:val="center"/>
            <w:hideMark/>
          </w:tcPr>
          <w:p w14:paraId="0A30C840"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0C7EEBD6"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6C34D0D1"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782C64F8"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13</w:t>
            </w:r>
          </w:p>
        </w:tc>
        <w:tc>
          <w:tcPr>
            <w:tcW w:w="879" w:type="dxa"/>
            <w:tcBorders>
              <w:top w:val="nil"/>
              <w:left w:val="nil"/>
              <w:bottom w:val="single" w:sz="8" w:space="0" w:color="auto"/>
              <w:right w:val="single" w:sz="8" w:space="0" w:color="auto"/>
            </w:tcBorders>
            <w:shd w:val="clear" w:color="auto" w:fill="auto"/>
            <w:vAlign w:val="center"/>
            <w:hideMark/>
          </w:tcPr>
          <w:p w14:paraId="5A2A76A7"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811.001.850</w:t>
            </w:r>
          </w:p>
        </w:tc>
        <w:tc>
          <w:tcPr>
            <w:tcW w:w="323" w:type="dxa"/>
            <w:tcBorders>
              <w:top w:val="nil"/>
              <w:left w:val="nil"/>
              <w:bottom w:val="single" w:sz="8" w:space="0" w:color="auto"/>
              <w:right w:val="single" w:sz="8" w:space="0" w:color="auto"/>
            </w:tcBorders>
            <w:shd w:val="clear" w:color="auto" w:fill="auto"/>
            <w:vAlign w:val="center"/>
            <w:hideMark/>
          </w:tcPr>
          <w:p w14:paraId="2A16C88D"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0</w:t>
            </w:r>
          </w:p>
        </w:tc>
        <w:tc>
          <w:tcPr>
            <w:tcW w:w="505" w:type="dxa"/>
            <w:tcBorders>
              <w:top w:val="nil"/>
              <w:left w:val="nil"/>
              <w:bottom w:val="single" w:sz="8" w:space="0" w:color="auto"/>
              <w:right w:val="single" w:sz="8" w:space="0" w:color="auto"/>
            </w:tcBorders>
            <w:shd w:val="clear" w:color="auto" w:fill="auto"/>
            <w:vAlign w:val="center"/>
            <w:hideMark/>
          </w:tcPr>
          <w:p w14:paraId="47188192"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39170</w:t>
            </w:r>
          </w:p>
        </w:tc>
        <w:tc>
          <w:tcPr>
            <w:tcW w:w="4243" w:type="dxa"/>
            <w:tcBorders>
              <w:top w:val="nil"/>
              <w:left w:val="nil"/>
              <w:bottom w:val="single" w:sz="8" w:space="0" w:color="auto"/>
              <w:right w:val="single" w:sz="8" w:space="0" w:color="auto"/>
            </w:tcBorders>
            <w:shd w:val="clear" w:color="auto" w:fill="auto"/>
            <w:vAlign w:val="center"/>
            <w:hideMark/>
          </w:tcPr>
          <w:p w14:paraId="122F884C"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IC Asesorías y Proyectos S.A.S E.</w:t>
            </w:r>
            <w:proofErr w:type="gramStart"/>
            <w:r w:rsidRPr="00AD4E79">
              <w:rPr>
                <w:rFonts w:ascii="Arial Narrow" w:hAnsi="Arial Narrow" w:cs="Arial"/>
                <w:spacing w:val="0"/>
                <w:sz w:val="16"/>
                <w:szCs w:val="16"/>
                <w:lang w:eastAsia="es-CO"/>
              </w:rPr>
              <w:t>S.P</w:t>
            </w:r>
            <w:proofErr w:type="gramEnd"/>
          </w:p>
        </w:tc>
        <w:tc>
          <w:tcPr>
            <w:tcW w:w="1196" w:type="dxa"/>
            <w:tcBorders>
              <w:top w:val="nil"/>
              <w:left w:val="nil"/>
              <w:bottom w:val="single" w:sz="8" w:space="0" w:color="auto"/>
              <w:right w:val="single" w:sz="8" w:space="0" w:color="auto"/>
            </w:tcBorders>
            <w:shd w:val="clear" w:color="auto" w:fill="auto"/>
            <w:vAlign w:val="center"/>
            <w:hideMark/>
          </w:tcPr>
          <w:p w14:paraId="448C7F4F"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5CFCE046"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76A41808"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413BD7A3"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14</w:t>
            </w:r>
          </w:p>
        </w:tc>
        <w:tc>
          <w:tcPr>
            <w:tcW w:w="879" w:type="dxa"/>
            <w:tcBorders>
              <w:top w:val="nil"/>
              <w:left w:val="nil"/>
              <w:bottom w:val="single" w:sz="8" w:space="0" w:color="auto"/>
              <w:right w:val="single" w:sz="8" w:space="0" w:color="auto"/>
            </w:tcBorders>
            <w:shd w:val="clear" w:color="auto" w:fill="auto"/>
            <w:vAlign w:val="center"/>
            <w:hideMark/>
          </w:tcPr>
          <w:p w14:paraId="2FCC6FD8"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811.003.083</w:t>
            </w:r>
          </w:p>
        </w:tc>
        <w:tc>
          <w:tcPr>
            <w:tcW w:w="323" w:type="dxa"/>
            <w:tcBorders>
              <w:top w:val="nil"/>
              <w:left w:val="nil"/>
              <w:bottom w:val="single" w:sz="8" w:space="0" w:color="auto"/>
              <w:right w:val="single" w:sz="8" w:space="0" w:color="auto"/>
            </w:tcBorders>
            <w:shd w:val="clear" w:color="auto" w:fill="auto"/>
            <w:vAlign w:val="center"/>
            <w:hideMark/>
          </w:tcPr>
          <w:p w14:paraId="50EB6CF6"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7</w:t>
            </w:r>
          </w:p>
        </w:tc>
        <w:tc>
          <w:tcPr>
            <w:tcW w:w="505" w:type="dxa"/>
            <w:tcBorders>
              <w:top w:val="nil"/>
              <w:left w:val="nil"/>
              <w:bottom w:val="single" w:sz="8" w:space="0" w:color="auto"/>
              <w:right w:val="single" w:sz="8" w:space="0" w:color="auto"/>
            </w:tcBorders>
            <w:shd w:val="clear" w:color="auto" w:fill="auto"/>
            <w:vAlign w:val="center"/>
            <w:hideMark/>
          </w:tcPr>
          <w:p w14:paraId="72BFFBBF"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1078</w:t>
            </w:r>
          </w:p>
        </w:tc>
        <w:tc>
          <w:tcPr>
            <w:tcW w:w="4243" w:type="dxa"/>
            <w:tcBorders>
              <w:top w:val="nil"/>
              <w:left w:val="nil"/>
              <w:bottom w:val="single" w:sz="8" w:space="0" w:color="auto"/>
              <w:right w:val="single" w:sz="8" w:space="0" w:color="auto"/>
            </w:tcBorders>
            <w:shd w:val="clear" w:color="auto" w:fill="auto"/>
            <w:vAlign w:val="center"/>
            <w:hideMark/>
          </w:tcPr>
          <w:p w14:paraId="4A29BB2F"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GENERADORA COLOMBIANA DE ELECTRICIDAD SA ESP</w:t>
            </w:r>
          </w:p>
        </w:tc>
        <w:tc>
          <w:tcPr>
            <w:tcW w:w="1196" w:type="dxa"/>
            <w:tcBorders>
              <w:top w:val="nil"/>
              <w:left w:val="nil"/>
              <w:bottom w:val="single" w:sz="8" w:space="0" w:color="auto"/>
              <w:right w:val="single" w:sz="8" w:space="0" w:color="auto"/>
            </w:tcBorders>
            <w:shd w:val="clear" w:color="auto" w:fill="auto"/>
            <w:vAlign w:val="center"/>
            <w:hideMark/>
          </w:tcPr>
          <w:p w14:paraId="3DFECA06"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72991ABF"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59362C48" w14:textId="77777777" w:rsidTr="00AD4E79">
        <w:trPr>
          <w:trHeight w:val="39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103AD47C"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15</w:t>
            </w:r>
          </w:p>
        </w:tc>
        <w:tc>
          <w:tcPr>
            <w:tcW w:w="879" w:type="dxa"/>
            <w:tcBorders>
              <w:top w:val="nil"/>
              <w:left w:val="nil"/>
              <w:bottom w:val="single" w:sz="8" w:space="0" w:color="auto"/>
              <w:right w:val="single" w:sz="8" w:space="0" w:color="auto"/>
            </w:tcBorders>
            <w:shd w:val="clear" w:color="auto" w:fill="auto"/>
            <w:vAlign w:val="center"/>
            <w:hideMark/>
          </w:tcPr>
          <w:p w14:paraId="3BF649FA"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811.008.775</w:t>
            </w:r>
          </w:p>
        </w:tc>
        <w:tc>
          <w:tcPr>
            <w:tcW w:w="323" w:type="dxa"/>
            <w:tcBorders>
              <w:top w:val="nil"/>
              <w:left w:val="nil"/>
              <w:bottom w:val="single" w:sz="8" w:space="0" w:color="auto"/>
              <w:right w:val="single" w:sz="8" w:space="0" w:color="auto"/>
            </w:tcBorders>
            <w:shd w:val="clear" w:color="auto" w:fill="auto"/>
            <w:vAlign w:val="center"/>
            <w:hideMark/>
          </w:tcPr>
          <w:p w14:paraId="7280C6BF"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w:t>
            </w:r>
          </w:p>
        </w:tc>
        <w:tc>
          <w:tcPr>
            <w:tcW w:w="505" w:type="dxa"/>
            <w:tcBorders>
              <w:top w:val="nil"/>
              <w:left w:val="nil"/>
              <w:bottom w:val="single" w:sz="8" w:space="0" w:color="auto"/>
              <w:right w:val="single" w:sz="8" w:space="0" w:color="auto"/>
            </w:tcBorders>
            <w:shd w:val="clear" w:color="auto" w:fill="auto"/>
            <w:vAlign w:val="center"/>
            <w:hideMark/>
          </w:tcPr>
          <w:p w14:paraId="51557FCD"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1930</w:t>
            </w:r>
          </w:p>
        </w:tc>
        <w:tc>
          <w:tcPr>
            <w:tcW w:w="4243" w:type="dxa"/>
            <w:tcBorders>
              <w:top w:val="nil"/>
              <w:left w:val="nil"/>
              <w:bottom w:val="single" w:sz="8" w:space="0" w:color="auto"/>
              <w:right w:val="single" w:sz="8" w:space="0" w:color="auto"/>
            </w:tcBorders>
            <w:shd w:val="clear" w:color="auto" w:fill="auto"/>
            <w:vAlign w:val="center"/>
            <w:hideMark/>
          </w:tcPr>
          <w:p w14:paraId="5814C366"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EMPRESA MUNICIPAL DE SERVICIOS PUBLICOS DOMICILIARIOS DE VIGIA DEL FUERTE</w:t>
            </w:r>
          </w:p>
        </w:tc>
        <w:tc>
          <w:tcPr>
            <w:tcW w:w="1196" w:type="dxa"/>
            <w:tcBorders>
              <w:top w:val="nil"/>
              <w:left w:val="nil"/>
              <w:bottom w:val="single" w:sz="8" w:space="0" w:color="auto"/>
              <w:right w:val="single" w:sz="8" w:space="0" w:color="auto"/>
            </w:tcBorders>
            <w:shd w:val="clear" w:color="auto" w:fill="auto"/>
            <w:vAlign w:val="center"/>
            <w:hideMark/>
          </w:tcPr>
          <w:p w14:paraId="2F98F76C"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1A58BC22"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SIN REPORTE AL SUI</w:t>
            </w:r>
          </w:p>
        </w:tc>
      </w:tr>
      <w:tr w:rsidR="00AD4E79" w:rsidRPr="00AD4E79" w14:paraId="1CEFAF90"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0E4DAE63"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16</w:t>
            </w:r>
          </w:p>
        </w:tc>
        <w:tc>
          <w:tcPr>
            <w:tcW w:w="879" w:type="dxa"/>
            <w:tcBorders>
              <w:top w:val="nil"/>
              <w:left w:val="nil"/>
              <w:bottom w:val="single" w:sz="8" w:space="0" w:color="auto"/>
              <w:right w:val="single" w:sz="8" w:space="0" w:color="auto"/>
            </w:tcBorders>
            <w:shd w:val="clear" w:color="auto" w:fill="auto"/>
            <w:vAlign w:val="center"/>
            <w:hideMark/>
          </w:tcPr>
          <w:p w14:paraId="5527B27A"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811.031.656</w:t>
            </w:r>
          </w:p>
        </w:tc>
        <w:tc>
          <w:tcPr>
            <w:tcW w:w="323" w:type="dxa"/>
            <w:tcBorders>
              <w:top w:val="nil"/>
              <w:left w:val="nil"/>
              <w:bottom w:val="single" w:sz="8" w:space="0" w:color="auto"/>
              <w:right w:val="single" w:sz="8" w:space="0" w:color="auto"/>
            </w:tcBorders>
            <w:shd w:val="clear" w:color="auto" w:fill="auto"/>
            <w:vAlign w:val="center"/>
            <w:hideMark/>
          </w:tcPr>
          <w:p w14:paraId="6EF6DA18"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6</w:t>
            </w:r>
          </w:p>
        </w:tc>
        <w:tc>
          <w:tcPr>
            <w:tcW w:w="505" w:type="dxa"/>
            <w:tcBorders>
              <w:top w:val="nil"/>
              <w:left w:val="nil"/>
              <w:bottom w:val="single" w:sz="8" w:space="0" w:color="auto"/>
              <w:right w:val="single" w:sz="8" w:space="0" w:color="auto"/>
            </w:tcBorders>
            <w:shd w:val="clear" w:color="auto" w:fill="auto"/>
            <w:vAlign w:val="center"/>
            <w:hideMark/>
          </w:tcPr>
          <w:p w14:paraId="0F19BA84"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22190</w:t>
            </w:r>
          </w:p>
        </w:tc>
        <w:tc>
          <w:tcPr>
            <w:tcW w:w="4243" w:type="dxa"/>
            <w:tcBorders>
              <w:top w:val="nil"/>
              <w:left w:val="nil"/>
              <w:bottom w:val="single" w:sz="8" w:space="0" w:color="auto"/>
              <w:right w:val="single" w:sz="8" w:space="0" w:color="auto"/>
            </w:tcBorders>
            <w:shd w:val="clear" w:color="auto" w:fill="auto"/>
            <w:vAlign w:val="center"/>
            <w:hideMark/>
          </w:tcPr>
          <w:p w14:paraId="69150DBA"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ENERGIA DEL RIO PIEDRAS S.A. E.S.P.</w:t>
            </w:r>
          </w:p>
        </w:tc>
        <w:tc>
          <w:tcPr>
            <w:tcW w:w="1196" w:type="dxa"/>
            <w:tcBorders>
              <w:top w:val="nil"/>
              <w:left w:val="nil"/>
              <w:bottom w:val="single" w:sz="8" w:space="0" w:color="auto"/>
              <w:right w:val="single" w:sz="8" w:space="0" w:color="auto"/>
            </w:tcBorders>
            <w:shd w:val="clear" w:color="auto" w:fill="auto"/>
            <w:vAlign w:val="center"/>
            <w:hideMark/>
          </w:tcPr>
          <w:p w14:paraId="67BC861D"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4671F5CE"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7AE6BD68"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322EE4FB"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17</w:t>
            </w:r>
          </w:p>
        </w:tc>
        <w:tc>
          <w:tcPr>
            <w:tcW w:w="879" w:type="dxa"/>
            <w:tcBorders>
              <w:top w:val="nil"/>
              <w:left w:val="nil"/>
              <w:bottom w:val="single" w:sz="8" w:space="0" w:color="auto"/>
              <w:right w:val="single" w:sz="8" w:space="0" w:color="auto"/>
            </w:tcBorders>
            <w:shd w:val="clear" w:color="auto" w:fill="auto"/>
            <w:vAlign w:val="center"/>
            <w:hideMark/>
          </w:tcPr>
          <w:p w14:paraId="4C133777"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814.002.979</w:t>
            </w:r>
          </w:p>
        </w:tc>
        <w:tc>
          <w:tcPr>
            <w:tcW w:w="323" w:type="dxa"/>
            <w:tcBorders>
              <w:top w:val="nil"/>
              <w:left w:val="nil"/>
              <w:bottom w:val="single" w:sz="8" w:space="0" w:color="auto"/>
              <w:right w:val="single" w:sz="8" w:space="0" w:color="auto"/>
            </w:tcBorders>
            <w:shd w:val="clear" w:color="auto" w:fill="auto"/>
            <w:vAlign w:val="center"/>
            <w:hideMark/>
          </w:tcPr>
          <w:p w14:paraId="1843B89C"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7</w:t>
            </w:r>
          </w:p>
        </w:tc>
        <w:tc>
          <w:tcPr>
            <w:tcW w:w="505" w:type="dxa"/>
            <w:tcBorders>
              <w:top w:val="nil"/>
              <w:left w:val="nil"/>
              <w:bottom w:val="single" w:sz="8" w:space="0" w:color="auto"/>
              <w:right w:val="single" w:sz="8" w:space="0" w:color="auto"/>
            </w:tcBorders>
            <w:shd w:val="clear" w:color="auto" w:fill="auto"/>
            <w:vAlign w:val="center"/>
            <w:hideMark/>
          </w:tcPr>
          <w:p w14:paraId="790DED1E"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3372</w:t>
            </w:r>
          </w:p>
        </w:tc>
        <w:tc>
          <w:tcPr>
            <w:tcW w:w="4243" w:type="dxa"/>
            <w:tcBorders>
              <w:top w:val="nil"/>
              <w:left w:val="nil"/>
              <w:bottom w:val="single" w:sz="8" w:space="0" w:color="auto"/>
              <w:right w:val="single" w:sz="8" w:space="0" w:color="auto"/>
            </w:tcBorders>
            <w:shd w:val="clear" w:color="auto" w:fill="auto"/>
            <w:vAlign w:val="center"/>
            <w:hideMark/>
          </w:tcPr>
          <w:p w14:paraId="264E9DCC"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A.S.C INGENIERIA SOCIEDAD ANONIMA SA ESP.</w:t>
            </w:r>
          </w:p>
        </w:tc>
        <w:tc>
          <w:tcPr>
            <w:tcW w:w="1196" w:type="dxa"/>
            <w:tcBorders>
              <w:top w:val="nil"/>
              <w:left w:val="nil"/>
              <w:bottom w:val="single" w:sz="8" w:space="0" w:color="auto"/>
              <w:right w:val="single" w:sz="8" w:space="0" w:color="auto"/>
            </w:tcBorders>
            <w:shd w:val="clear" w:color="auto" w:fill="auto"/>
            <w:vAlign w:val="center"/>
            <w:hideMark/>
          </w:tcPr>
          <w:p w14:paraId="3108655D"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2A257ADA"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06C4E579" w14:textId="77777777" w:rsidTr="00AD4E79">
        <w:trPr>
          <w:trHeight w:val="247"/>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00FD322D"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18</w:t>
            </w:r>
          </w:p>
        </w:tc>
        <w:tc>
          <w:tcPr>
            <w:tcW w:w="879" w:type="dxa"/>
            <w:tcBorders>
              <w:top w:val="nil"/>
              <w:left w:val="nil"/>
              <w:bottom w:val="single" w:sz="8" w:space="0" w:color="auto"/>
              <w:right w:val="single" w:sz="8" w:space="0" w:color="auto"/>
            </w:tcBorders>
            <w:shd w:val="clear" w:color="auto" w:fill="auto"/>
            <w:vAlign w:val="center"/>
            <w:hideMark/>
          </w:tcPr>
          <w:p w14:paraId="0C7A9156"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815.000.896</w:t>
            </w:r>
          </w:p>
        </w:tc>
        <w:tc>
          <w:tcPr>
            <w:tcW w:w="323" w:type="dxa"/>
            <w:tcBorders>
              <w:top w:val="nil"/>
              <w:left w:val="nil"/>
              <w:bottom w:val="single" w:sz="8" w:space="0" w:color="auto"/>
              <w:right w:val="single" w:sz="8" w:space="0" w:color="auto"/>
            </w:tcBorders>
            <w:shd w:val="clear" w:color="auto" w:fill="auto"/>
            <w:vAlign w:val="center"/>
            <w:hideMark/>
          </w:tcPr>
          <w:p w14:paraId="5526516E"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w:t>
            </w:r>
          </w:p>
        </w:tc>
        <w:tc>
          <w:tcPr>
            <w:tcW w:w="505" w:type="dxa"/>
            <w:tcBorders>
              <w:top w:val="nil"/>
              <w:left w:val="nil"/>
              <w:bottom w:val="single" w:sz="8" w:space="0" w:color="auto"/>
              <w:right w:val="single" w:sz="8" w:space="0" w:color="auto"/>
            </w:tcBorders>
            <w:shd w:val="clear" w:color="auto" w:fill="auto"/>
            <w:vAlign w:val="center"/>
            <w:hideMark/>
          </w:tcPr>
          <w:p w14:paraId="3A0ECF5A"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2020</w:t>
            </w:r>
          </w:p>
        </w:tc>
        <w:tc>
          <w:tcPr>
            <w:tcW w:w="4243" w:type="dxa"/>
            <w:tcBorders>
              <w:top w:val="nil"/>
              <w:left w:val="nil"/>
              <w:bottom w:val="single" w:sz="8" w:space="0" w:color="auto"/>
              <w:right w:val="single" w:sz="8" w:space="0" w:color="auto"/>
            </w:tcBorders>
            <w:shd w:val="clear" w:color="auto" w:fill="auto"/>
            <w:vAlign w:val="center"/>
            <w:hideMark/>
          </w:tcPr>
          <w:p w14:paraId="65357E85"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DISTRIBUIDORA Y COMERCIALIZADORA DE ENERGIA ELECTRICA S.A. E.S.P.</w:t>
            </w:r>
          </w:p>
        </w:tc>
        <w:tc>
          <w:tcPr>
            <w:tcW w:w="1196" w:type="dxa"/>
            <w:tcBorders>
              <w:top w:val="nil"/>
              <w:left w:val="nil"/>
              <w:bottom w:val="single" w:sz="8" w:space="0" w:color="auto"/>
              <w:right w:val="single" w:sz="8" w:space="0" w:color="auto"/>
            </w:tcBorders>
            <w:shd w:val="clear" w:color="auto" w:fill="auto"/>
            <w:vAlign w:val="center"/>
            <w:hideMark/>
          </w:tcPr>
          <w:p w14:paraId="50439174"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4B2FE083"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0CF126CA"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4AA40B4E"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19</w:t>
            </w:r>
          </w:p>
        </w:tc>
        <w:tc>
          <w:tcPr>
            <w:tcW w:w="879" w:type="dxa"/>
            <w:tcBorders>
              <w:top w:val="nil"/>
              <w:left w:val="nil"/>
              <w:bottom w:val="single" w:sz="8" w:space="0" w:color="auto"/>
              <w:right w:val="single" w:sz="8" w:space="0" w:color="auto"/>
            </w:tcBorders>
            <w:shd w:val="clear" w:color="auto" w:fill="auto"/>
            <w:vAlign w:val="center"/>
            <w:hideMark/>
          </w:tcPr>
          <w:p w14:paraId="12527998"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815.001.901</w:t>
            </w:r>
          </w:p>
        </w:tc>
        <w:tc>
          <w:tcPr>
            <w:tcW w:w="323" w:type="dxa"/>
            <w:tcBorders>
              <w:top w:val="nil"/>
              <w:left w:val="nil"/>
              <w:bottom w:val="single" w:sz="8" w:space="0" w:color="auto"/>
              <w:right w:val="single" w:sz="8" w:space="0" w:color="auto"/>
            </w:tcBorders>
            <w:shd w:val="clear" w:color="auto" w:fill="auto"/>
            <w:vAlign w:val="center"/>
            <w:hideMark/>
          </w:tcPr>
          <w:p w14:paraId="010F6FEC"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w:t>
            </w:r>
          </w:p>
        </w:tc>
        <w:tc>
          <w:tcPr>
            <w:tcW w:w="505" w:type="dxa"/>
            <w:tcBorders>
              <w:top w:val="nil"/>
              <w:left w:val="nil"/>
              <w:bottom w:val="single" w:sz="8" w:space="0" w:color="auto"/>
              <w:right w:val="single" w:sz="8" w:space="0" w:color="auto"/>
            </w:tcBorders>
            <w:shd w:val="clear" w:color="auto" w:fill="auto"/>
            <w:vAlign w:val="center"/>
            <w:hideMark/>
          </w:tcPr>
          <w:p w14:paraId="484570F3"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2378</w:t>
            </w:r>
          </w:p>
        </w:tc>
        <w:tc>
          <w:tcPr>
            <w:tcW w:w="4243" w:type="dxa"/>
            <w:tcBorders>
              <w:top w:val="nil"/>
              <w:left w:val="nil"/>
              <w:bottom w:val="single" w:sz="8" w:space="0" w:color="auto"/>
              <w:right w:val="single" w:sz="8" w:space="0" w:color="auto"/>
            </w:tcBorders>
            <w:shd w:val="clear" w:color="auto" w:fill="auto"/>
            <w:vAlign w:val="center"/>
            <w:hideMark/>
          </w:tcPr>
          <w:p w14:paraId="2B0AE74E"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DICELER S.A E.S.P.</w:t>
            </w:r>
          </w:p>
        </w:tc>
        <w:tc>
          <w:tcPr>
            <w:tcW w:w="1196" w:type="dxa"/>
            <w:tcBorders>
              <w:top w:val="nil"/>
              <w:left w:val="nil"/>
              <w:bottom w:val="single" w:sz="8" w:space="0" w:color="auto"/>
              <w:right w:val="single" w:sz="8" w:space="0" w:color="auto"/>
            </w:tcBorders>
            <w:shd w:val="clear" w:color="auto" w:fill="auto"/>
            <w:vAlign w:val="center"/>
            <w:hideMark/>
          </w:tcPr>
          <w:p w14:paraId="5C587626"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48B96F57"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6F78965F"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1A69C01E"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20</w:t>
            </w:r>
          </w:p>
        </w:tc>
        <w:tc>
          <w:tcPr>
            <w:tcW w:w="879" w:type="dxa"/>
            <w:tcBorders>
              <w:top w:val="nil"/>
              <w:left w:val="nil"/>
              <w:bottom w:val="single" w:sz="8" w:space="0" w:color="auto"/>
              <w:right w:val="single" w:sz="8" w:space="0" w:color="auto"/>
            </w:tcBorders>
            <w:shd w:val="clear" w:color="auto" w:fill="auto"/>
            <w:vAlign w:val="center"/>
            <w:hideMark/>
          </w:tcPr>
          <w:p w14:paraId="65FC033B"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816.002.019</w:t>
            </w:r>
          </w:p>
        </w:tc>
        <w:tc>
          <w:tcPr>
            <w:tcW w:w="323" w:type="dxa"/>
            <w:tcBorders>
              <w:top w:val="nil"/>
              <w:left w:val="nil"/>
              <w:bottom w:val="single" w:sz="8" w:space="0" w:color="auto"/>
              <w:right w:val="single" w:sz="8" w:space="0" w:color="auto"/>
            </w:tcBorders>
            <w:shd w:val="clear" w:color="auto" w:fill="auto"/>
            <w:vAlign w:val="center"/>
            <w:hideMark/>
          </w:tcPr>
          <w:p w14:paraId="1014E174"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w:t>
            </w:r>
          </w:p>
        </w:tc>
        <w:tc>
          <w:tcPr>
            <w:tcW w:w="505" w:type="dxa"/>
            <w:tcBorders>
              <w:top w:val="nil"/>
              <w:left w:val="nil"/>
              <w:bottom w:val="single" w:sz="8" w:space="0" w:color="auto"/>
              <w:right w:val="single" w:sz="8" w:space="0" w:color="auto"/>
            </w:tcBorders>
            <w:shd w:val="clear" w:color="auto" w:fill="auto"/>
            <w:vAlign w:val="center"/>
            <w:hideMark/>
          </w:tcPr>
          <w:p w14:paraId="0C19CBA7"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2073</w:t>
            </w:r>
          </w:p>
        </w:tc>
        <w:tc>
          <w:tcPr>
            <w:tcW w:w="4243" w:type="dxa"/>
            <w:tcBorders>
              <w:top w:val="nil"/>
              <w:left w:val="nil"/>
              <w:bottom w:val="single" w:sz="8" w:space="0" w:color="auto"/>
              <w:right w:val="single" w:sz="8" w:space="0" w:color="auto"/>
            </w:tcBorders>
            <w:shd w:val="clear" w:color="auto" w:fill="auto"/>
            <w:vAlign w:val="center"/>
            <w:hideMark/>
          </w:tcPr>
          <w:p w14:paraId="54A67519"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EMPRESA DE ENERGÍA DE PEREIRA S.A. ESP.</w:t>
            </w:r>
          </w:p>
        </w:tc>
        <w:tc>
          <w:tcPr>
            <w:tcW w:w="1196" w:type="dxa"/>
            <w:tcBorders>
              <w:top w:val="nil"/>
              <w:left w:val="nil"/>
              <w:bottom w:val="single" w:sz="8" w:space="0" w:color="auto"/>
              <w:right w:val="single" w:sz="8" w:space="0" w:color="auto"/>
            </w:tcBorders>
            <w:shd w:val="clear" w:color="auto" w:fill="auto"/>
            <w:vAlign w:val="center"/>
            <w:hideMark/>
          </w:tcPr>
          <w:p w14:paraId="10E7191A"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0CBAA5D5"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05A96492"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002DAAFC"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21</w:t>
            </w:r>
          </w:p>
        </w:tc>
        <w:tc>
          <w:tcPr>
            <w:tcW w:w="879" w:type="dxa"/>
            <w:tcBorders>
              <w:top w:val="nil"/>
              <w:left w:val="nil"/>
              <w:bottom w:val="single" w:sz="8" w:space="0" w:color="auto"/>
              <w:right w:val="single" w:sz="8" w:space="0" w:color="auto"/>
            </w:tcBorders>
            <w:shd w:val="clear" w:color="auto" w:fill="auto"/>
            <w:vAlign w:val="center"/>
            <w:hideMark/>
          </w:tcPr>
          <w:p w14:paraId="73052B62"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817.000.362</w:t>
            </w:r>
          </w:p>
        </w:tc>
        <w:tc>
          <w:tcPr>
            <w:tcW w:w="323" w:type="dxa"/>
            <w:tcBorders>
              <w:top w:val="nil"/>
              <w:left w:val="nil"/>
              <w:bottom w:val="single" w:sz="8" w:space="0" w:color="auto"/>
              <w:right w:val="single" w:sz="8" w:space="0" w:color="auto"/>
            </w:tcBorders>
            <w:shd w:val="clear" w:color="auto" w:fill="auto"/>
            <w:vAlign w:val="center"/>
            <w:hideMark/>
          </w:tcPr>
          <w:p w14:paraId="285E4464"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5</w:t>
            </w:r>
          </w:p>
        </w:tc>
        <w:tc>
          <w:tcPr>
            <w:tcW w:w="505" w:type="dxa"/>
            <w:tcBorders>
              <w:top w:val="nil"/>
              <w:left w:val="nil"/>
              <w:bottom w:val="single" w:sz="8" w:space="0" w:color="auto"/>
              <w:right w:val="single" w:sz="8" w:space="0" w:color="auto"/>
            </w:tcBorders>
            <w:shd w:val="clear" w:color="auto" w:fill="auto"/>
            <w:vAlign w:val="center"/>
            <w:hideMark/>
          </w:tcPr>
          <w:p w14:paraId="437286DF"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2398</w:t>
            </w:r>
          </w:p>
        </w:tc>
        <w:tc>
          <w:tcPr>
            <w:tcW w:w="4243" w:type="dxa"/>
            <w:tcBorders>
              <w:top w:val="nil"/>
              <w:left w:val="nil"/>
              <w:bottom w:val="single" w:sz="8" w:space="0" w:color="auto"/>
              <w:right w:val="single" w:sz="8" w:space="0" w:color="auto"/>
            </w:tcBorders>
            <w:shd w:val="clear" w:color="auto" w:fill="auto"/>
            <w:vAlign w:val="center"/>
            <w:hideMark/>
          </w:tcPr>
          <w:p w14:paraId="1BACEAFC"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PROYECTOS ENERGETICOS DEL CAUCA S.A. E.S.P.</w:t>
            </w:r>
          </w:p>
        </w:tc>
        <w:tc>
          <w:tcPr>
            <w:tcW w:w="1196" w:type="dxa"/>
            <w:tcBorders>
              <w:top w:val="nil"/>
              <w:left w:val="nil"/>
              <w:bottom w:val="single" w:sz="8" w:space="0" w:color="auto"/>
              <w:right w:val="single" w:sz="8" w:space="0" w:color="auto"/>
            </w:tcBorders>
            <w:shd w:val="clear" w:color="auto" w:fill="auto"/>
            <w:vAlign w:val="center"/>
            <w:hideMark/>
          </w:tcPr>
          <w:p w14:paraId="53BF9472"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77AEBD84"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72158D77" w14:textId="77777777" w:rsidTr="00AD4E79">
        <w:trPr>
          <w:trHeight w:val="396"/>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4E83F301"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22</w:t>
            </w:r>
          </w:p>
        </w:tc>
        <w:tc>
          <w:tcPr>
            <w:tcW w:w="879" w:type="dxa"/>
            <w:tcBorders>
              <w:top w:val="nil"/>
              <w:left w:val="nil"/>
              <w:bottom w:val="single" w:sz="8" w:space="0" w:color="auto"/>
              <w:right w:val="single" w:sz="8" w:space="0" w:color="auto"/>
            </w:tcBorders>
            <w:shd w:val="clear" w:color="auto" w:fill="auto"/>
            <w:vAlign w:val="center"/>
            <w:hideMark/>
          </w:tcPr>
          <w:p w14:paraId="370E4F85"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817.000.487</w:t>
            </w:r>
          </w:p>
        </w:tc>
        <w:tc>
          <w:tcPr>
            <w:tcW w:w="323" w:type="dxa"/>
            <w:tcBorders>
              <w:top w:val="nil"/>
              <w:left w:val="nil"/>
              <w:bottom w:val="single" w:sz="8" w:space="0" w:color="auto"/>
              <w:right w:val="single" w:sz="8" w:space="0" w:color="auto"/>
            </w:tcBorders>
            <w:shd w:val="clear" w:color="auto" w:fill="auto"/>
            <w:vAlign w:val="center"/>
            <w:hideMark/>
          </w:tcPr>
          <w:p w14:paraId="3B0D7935"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7</w:t>
            </w:r>
          </w:p>
        </w:tc>
        <w:tc>
          <w:tcPr>
            <w:tcW w:w="505" w:type="dxa"/>
            <w:tcBorders>
              <w:top w:val="nil"/>
              <w:left w:val="nil"/>
              <w:bottom w:val="single" w:sz="8" w:space="0" w:color="auto"/>
              <w:right w:val="single" w:sz="8" w:space="0" w:color="auto"/>
            </w:tcBorders>
            <w:shd w:val="clear" w:color="auto" w:fill="auto"/>
            <w:vAlign w:val="center"/>
            <w:hideMark/>
          </w:tcPr>
          <w:p w14:paraId="0EEFC292"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1890</w:t>
            </w:r>
          </w:p>
        </w:tc>
        <w:tc>
          <w:tcPr>
            <w:tcW w:w="4243" w:type="dxa"/>
            <w:tcBorders>
              <w:top w:val="nil"/>
              <w:left w:val="nil"/>
              <w:bottom w:val="single" w:sz="8" w:space="0" w:color="auto"/>
              <w:right w:val="single" w:sz="8" w:space="0" w:color="auto"/>
            </w:tcBorders>
            <w:shd w:val="clear" w:color="auto" w:fill="auto"/>
            <w:vAlign w:val="center"/>
            <w:hideMark/>
          </w:tcPr>
          <w:p w14:paraId="1F080620"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EMPRESA MIXTA DE SERVICIOS PÚBLICOS DE ENERGÍA ELÉCTRICA DE TIMBIQUI S.A.</w:t>
            </w:r>
          </w:p>
        </w:tc>
        <w:tc>
          <w:tcPr>
            <w:tcW w:w="1196" w:type="dxa"/>
            <w:tcBorders>
              <w:top w:val="nil"/>
              <w:left w:val="nil"/>
              <w:bottom w:val="single" w:sz="8" w:space="0" w:color="auto"/>
              <w:right w:val="single" w:sz="8" w:space="0" w:color="auto"/>
            </w:tcBorders>
            <w:shd w:val="clear" w:color="auto" w:fill="auto"/>
            <w:vAlign w:val="center"/>
            <w:hideMark/>
          </w:tcPr>
          <w:p w14:paraId="11DFBE1D"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4F8D12C2"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SIN REPORTE AL SUI</w:t>
            </w:r>
          </w:p>
        </w:tc>
      </w:tr>
      <w:tr w:rsidR="00AD4E79" w:rsidRPr="00AD4E79" w14:paraId="1DBDA50D"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3FE10B23"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23</w:t>
            </w:r>
          </w:p>
        </w:tc>
        <w:tc>
          <w:tcPr>
            <w:tcW w:w="879" w:type="dxa"/>
            <w:tcBorders>
              <w:top w:val="nil"/>
              <w:left w:val="nil"/>
              <w:bottom w:val="single" w:sz="8" w:space="0" w:color="auto"/>
              <w:right w:val="single" w:sz="8" w:space="0" w:color="auto"/>
            </w:tcBorders>
            <w:shd w:val="clear" w:color="auto" w:fill="auto"/>
            <w:vAlign w:val="center"/>
            <w:hideMark/>
          </w:tcPr>
          <w:p w14:paraId="37750FC3"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817.001.892</w:t>
            </w:r>
          </w:p>
        </w:tc>
        <w:tc>
          <w:tcPr>
            <w:tcW w:w="323" w:type="dxa"/>
            <w:tcBorders>
              <w:top w:val="nil"/>
              <w:left w:val="nil"/>
              <w:bottom w:val="single" w:sz="8" w:space="0" w:color="auto"/>
              <w:right w:val="single" w:sz="8" w:space="0" w:color="auto"/>
            </w:tcBorders>
            <w:shd w:val="clear" w:color="auto" w:fill="auto"/>
            <w:vAlign w:val="center"/>
            <w:hideMark/>
          </w:tcPr>
          <w:p w14:paraId="20EA81B6"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w:t>
            </w:r>
          </w:p>
        </w:tc>
        <w:tc>
          <w:tcPr>
            <w:tcW w:w="505" w:type="dxa"/>
            <w:tcBorders>
              <w:top w:val="nil"/>
              <w:left w:val="nil"/>
              <w:bottom w:val="single" w:sz="8" w:space="0" w:color="auto"/>
              <w:right w:val="single" w:sz="8" w:space="0" w:color="auto"/>
            </w:tcBorders>
            <w:shd w:val="clear" w:color="auto" w:fill="auto"/>
            <w:vAlign w:val="center"/>
            <w:hideMark/>
          </w:tcPr>
          <w:p w14:paraId="5F7EDCBC"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2322</w:t>
            </w:r>
          </w:p>
        </w:tc>
        <w:tc>
          <w:tcPr>
            <w:tcW w:w="4243" w:type="dxa"/>
            <w:tcBorders>
              <w:top w:val="nil"/>
              <w:left w:val="nil"/>
              <w:bottom w:val="single" w:sz="8" w:space="0" w:color="auto"/>
              <w:right w:val="single" w:sz="8" w:space="0" w:color="auto"/>
            </w:tcBorders>
            <w:shd w:val="clear" w:color="auto" w:fill="auto"/>
            <w:vAlign w:val="center"/>
            <w:hideMark/>
          </w:tcPr>
          <w:p w14:paraId="20E70C4A"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VATIA S.A. E.S.P.</w:t>
            </w:r>
          </w:p>
        </w:tc>
        <w:tc>
          <w:tcPr>
            <w:tcW w:w="1196" w:type="dxa"/>
            <w:tcBorders>
              <w:top w:val="nil"/>
              <w:left w:val="nil"/>
              <w:bottom w:val="single" w:sz="8" w:space="0" w:color="auto"/>
              <w:right w:val="single" w:sz="8" w:space="0" w:color="auto"/>
            </w:tcBorders>
            <w:shd w:val="clear" w:color="auto" w:fill="auto"/>
            <w:vAlign w:val="center"/>
            <w:hideMark/>
          </w:tcPr>
          <w:p w14:paraId="5ACF2D40"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5907DD32"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1C885392" w14:textId="77777777" w:rsidTr="00AD4E79">
        <w:trPr>
          <w:trHeight w:val="407"/>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0F71AE0E"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24</w:t>
            </w:r>
          </w:p>
        </w:tc>
        <w:tc>
          <w:tcPr>
            <w:tcW w:w="879" w:type="dxa"/>
            <w:tcBorders>
              <w:top w:val="nil"/>
              <w:left w:val="nil"/>
              <w:bottom w:val="single" w:sz="8" w:space="0" w:color="auto"/>
              <w:right w:val="single" w:sz="8" w:space="0" w:color="auto"/>
            </w:tcBorders>
            <w:shd w:val="clear" w:color="auto" w:fill="auto"/>
            <w:vAlign w:val="center"/>
            <w:hideMark/>
          </w:tcPr>
          <w:p w14:paraId="172F09C2"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818.000.166</w:t>
            </w:r>
          </w:p>
        </w:tc>
        <w:tc>
          <w:tcPr>
            <w:tcW w:w="323" w:type="dxa"/>
            <w:tcBorders>
              <w:top w:val="nil"/>
              <w:left w:val="nil"/>
              <w:bottom w:val="single" w:sz="8" w:space="0" w:color="auto"/>
              <w:right w:val="single" w:sz="8" w:space="0" w:color="auto"/>
            </w:tcBorders>
            <w:shd w:val="clear" w:color="auto" w:fill="auto"/>
            <w:vAlign w:val="center"/>
            <w:hideMark/>
          </w:tcPr>
          <w:p w14:paraId="02961393"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w:t>
            </w:r>
          </w:p>
        </w:tc>
        <w:tc>
          <w:tcPr>
            <w:tcW w:w="505" w:type="dxa"/>
            <w:tcBorders>
              <w:top w:val="nil"/>
              <w:left w:val="nil"/>
              <w:bottom w:val="single" w:sz="8" w:space="0" w:color="auto"/>
              <w:right w:val="single" w:sz="8" w:space="0" w:color="auto"/>
            </w:tcBorders>
            <w:shd w:val="clear" w:color="auto" w:fill="auto"/>
            <w:vAlign w:val="center"/>
            <w:hideMark/>
          </w:tcPr>
          <w:p w14:paraId="52799570"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1809</w:t>
            </w:r>
          </w:p>
        </w:tc>
        <w:tc>
          <w:tcPr>
            <w:tcW w:w="4243" w:type="dxa"/>
            <w:tcBorders>
              <w:top w:val="nil"/>
              <w:left w:val="nil"/>
              <w:bottom w:val="single" w:sz="8" w:space="0" w:color="auto"/>
              <w:right w:val="single" w:sz="8" w:space="0" w:color="auto"/>
            </w:tcBorders>
            <w:shd w:val="clear" w:color="auto" w:fill="auto"/>
            <w:vAlign w:val="center"/>
            <w:hideMark/>
          </w:tcPr>
          <w:p w14:paraId="1D66DBE2"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EMPRESA ELECTRIFICADORA DE NUQUI   E.S.P.   S. A ECONOMIA MIXTA</w:t>
            </w:r>
          </w:p>
        </w:tc>
        <w:tc>
          <w:tcPr>
            <w:tcW w:w="1196" w:type="dxa"/>
            <w:tcBorders>
              <w:top w:val="nil"/>
              <w:left w:val="nil"/>
              <w:bottom w:val="single" w:sz="8" w:space="0" w:color="auto"/>
              <w:right w:val="single" w:sz="8" w:space="0" w:color="auto"/>
            </w:tcBorders>
            <w:shd w:val="clear" w:color="auto" w:fill="auto"/>
            <w:vAlign w:val="center"/>
            <w:hideMark/>
          </w:tcPr>
          <w:p w14:paraId="0E0E30B1"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516EA3A2"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SIN REPORTE AL SUI</w:t>
            </w:r>
          </w:p>
        </w:tc>
      </w:tr>
      <w:tr w:rsidR="00AD4E79" w:rsidRPr="00AD4E79" w14:paraId="195AE3DD" w14:textId="77777777" w:rsidTr="00AD4E79">
        <w:trPr>
          <w:trHeight w:val="413"/>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34FADA16"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25</w:t>
            </w:r>
          </w:p>
        </w:tc>
        <w:tc>
          <w:tcPr>
            <w:tcW w:w="879" w:type="dxa"/>
            <w:tcBorders>
              <w:top w:val="nil"/>
              <w:left w:val="nil"/>
              <w:bottom w:val="single" w:sz="8" w:space="0" w:color="auto"/>
              <w:right w:val="single" w:sz="8" w:space="0" w:color="auto"/>
            </w:tcBorders>
            <w:shd w:val="clear" w:color="auto" w:fill="auto"/>
            <w:vAlign w:val="center"/>
            <w:hideMark/>
          </w:tcPr>
          <w:p w14:paraId="168D53DD"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818.000.192</w:t>
            </w:r>
          </w:p>
        </w:tc>
        <w:tc>
          <w:tcPr>
            <w:tcW w:w="323" w:type="dxa"/>
            <w:tcBorders>
              <w:top w:val="nil"/>
              <w:left w:val="nil"/>
              <w:bottom w:val="single" w:sz="8" w:space="0" w:color="auto"/>
              <w:right w:val="single" w:sz="8" w:space="0" w:color="auto"/>
            </w:tcBorders>
            <w:shd w:val="clear" w:color="auto" w:fill="auto"/>
            <w:vAlign w:val="center"/>
            <w:hideMark/>
          </w:tcPr>
          <w:p w14:paraId="46D6FEE8"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3</w:t>
            </w:r>
          </w:p>
        </w:tc>
        <w:tc>
          <w:tcPr>
            <w:tcW w:w="505" w:type="dxa"/>
            <w:tcBorders>
              <w:top w:val="nil"/>
              <w:left w:val="nil"/>
              <w:bottom w:val="single" w:sz="8" w:space="0" w:color="auto"/>
              <w:right w:val="single" w:sz="8" w:space="0" w:color="auto"/>
            </w:tcBorders>
            <w:shd w:val="clear" w:color="auto" w:fill="auto"/>
            <w:vAlign w:val="center"/>
            <w:hideMark/>
          </w:tcPr>
          <w:p w14:paraId="40FDD7E8"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1817</w:t>
            </w:r>
          </w:p>
        </w:tc>
        <w:tc>
          <w:tcPr>
            <w:tcW w:w="4243" w:type="dxa"/>
            <w:tcBorders>
              <w:top w:val="nil"/>
              <w:left w:val="nil"/>
              <w:bottom w:val="single" w:sz="8" w:space="0" w:color="auto"/>
              <w:right w:val="single" w:sz="8" w:space="0" w:color="auto"/>
            </w:tcBorders>
            <w:shd w:val="clear" w:color="auto" w:fill="auto"/>
            <w:vAlign w:val="center"/>
            <w:hideMark/>
          </w:tcPr>
          <w:p w14:paraId="6550C003"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ELECTRIFICADORA DEL MUNICIPIO DE RIOSUCIO CHOCO S.A. E.S.P.</w:t>
            </w:r>
          </w:p>
        </w:tc>
        <w:tc>
          <w:tcPr>
            <w:tcW w:w="1196" w:type="dxa"/>
            <w:tcBorders>
              <w:top w:val="nil"/>
              <w:left w:val="nil"/>
              <w:bottom w:val="single" w:sz="8" w:space="0" w:color="auto"/>
              <w:right w:val="single" w:sz="8" w:space="0" w:color="auto"/>
            </w:tcBorders>
            <w:shd w:val="clear" w:color="auto" w:fill="auto"/>
            <w:vAlign w:val="center"/>
            <w:hideMark/>
          </w:tcPr>
          <w:p w14:paraId="65E32009"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5550D727"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SIN REPORTE AL SUI</w:t>
            </w:r>
          </w:p>
        </w:tc>
      </w:tr>
      <w:tr w:rsidR="00AD4E79" w:rsidRPr="00AD4E79" w14:paraId="077F2B06" w14:textId="77777777" w:rsidTr="00AD4E79">
        <w:trPr>
          <w:trHeight w:val="343"/>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4EE44FF4"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26</w:t>
            </w:r>
          </w:p>
        </w:tc>
        <w:tc>
          <w:tcPr>
            <w:tcW w:w="879" w:type="dxa"/>
            <w:tcBorders>
              <w:top w:val="nil"/>
              <w:left w:val="nil"/>
              <w:bottom w:val="single" w:sz="8" w:space="0" w:color="auto"/>
              <w:right w:val="single" w:sz="8" w:space="0" w:color="auto"/>
            </w:tcBorders>
            <w:shd w:val="clear" w:color="auto" w:fill="auto"/>
            <w:vAlign w:val="center"/>
            <w:hideMark/>
          </w:tcPr>
          <w:p w14:paraId="27DC2619"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818.000.202</w:t>
            </w:r>
          </w:p>
        </w:tc>
        <w:tc>
          <w:tcPr>
            <w:tcW w:w="323" w:type="dxa"/>
            <w:tcBorders>
              <w:top w:val="nil"/>
              <w:left w:val="nil"/>
              <w:bottom w:val="single" w:sz="8" w:space="0" w:color="auto"/>
              <w:right w:val="single" w:sz="8" w:space="0" w:color="auto"/>
            </w:tcBorders>
            <w:shd w:val="clear" w:color="auto" w:fill="auto"/>
            <w:vAlign w:val="center"/>
            <w:hideMark/>
          </w:tcPr>
          <w:p w14:paraId="43AE5A7C"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w:t>
            </w:r>
          </w:p>
        </w:tc>
        <w:tc>
          <w:tcPr>
            <w:tcW w:w="505" w:type="dxa"/>
            <w:tcBorders>
              <w:top w:val="nil"/>
              <w:left w:val="nil"/>
              <w:bottom w:val="single" w:sz="8" w:space="0" w:color="auto"/>
              <w:right w:val="single" w:sz="8" w:space="0" w:color="auto"/>
            </w:tcBorders>
            <w:shd w:val="clear" w:color="auto" w:fill="auto"/>
            <w:vAlign w:val="center"/>
            <w:hideMark/>
          </w:tcPr>
          <w:p w14:paraId="12D212E1"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1811</w:t>
            </w:r>
          </w:p>
        </w:tc>
        <w:tc>
          <w:tcPr>
            <w:tcW w:w="4243" w:type="dxa"/>
            <w:tcBorders>
              <w:top w:val="nil"/>
              <w:left w:val="nil"/>
              <w:bottom w:val="single" w:sz="8" w:space="0" w:color="auto"/>
              <w:right w:val="single" w:sz="8" w:space="0" w:color="auto"/>
            </w:tcBorders>
            <w:shd w:val="clear" w:color="auto" w:fill="auto"/>
            <w:vAlign w:val="center"/>
            <w:hideMark/>
          </w:tcPr>
          <w:p w14:paraId="202AEE53"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E. S. P. DE ENERGIA ELECTRICA DE BAJO BAUDO PIZARRO S.A.</w:t>
            </w:r>
          </w:p>
        </w:tc>
        <w:tc>
          <w:tcPr>
            <w:tcW w:w="1196" w:type="dxa"/>
            <w:tcBorders>
              <w:top w:val="nil"/>
              <w:left w:val="nil"/>
              <w:bottom w:val="single" w:sz="8" w:space="0" w:color="auto"/>
              <w:right w:val="single" w:sz="8" w:space="0" w:color="auto"/>
            </w:tcBorders>
            <w:shd w:val="clear" w:color="auto" w:fill="auto"/>
            <w:vAlign w:val="center"/>
            <w:hideMark/>
          </w:tcPr>
          <w:p w14:paraId="2A059C8D"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3453A21E"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SIN REPORTE AL SUI</w:t>
            </w:r>
          </w:p>
        </w:tc>
      </w:tr>
      <w:tr w:rsidR="00AD4E79" w:rsidRPr="00AD4E79" w14:paraId="312DB01D" w14:textId="77777777" w:rsidTr="00AD4E79">
        <w:trPr>
          <w:trHeight w:val="406"/>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34A23BA7"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27</w:t>
            </w:r>
          </w:p>
        </w:tc>
        <w:tc>
          <w:tcPr>
            <w:tcW w:w="879" w:type="dxa"/>
            <w:tcBorders>
              <w:top w:val="nil"/>
              <w:left w:val="nil"/>
              <w:bottom w:val="single" w:sz="8" w:space="0" w:color="auto"/>
              <w:right w:val="single" w:sz="8" w:space="0" w:color="auto"/>
            </w:tcBorders>
            <w:shd w:val="clear" w:color="auto" w:fill="auto"/>
            <w:vAlign w:val="center"/>
            <w:hideMark/>
          </w:tcPr>
          <w:p w14:paraId="4ED75188"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818.000.263</w:t>
            </w:r>
          </w:p>
        </w:tc>
        <w:tc>
          <w:tcPr>
            <w:tcW w:w="323" w:type="dxa"/>
            <w:tcBorders>
              <w:top w:val="nil"/>
              <w:left w:val="nil"/>
              <w:bottom w:val="single" w:sz="8" w:space="0" w:color="auto"/>
              <w:right w:val="single" w:sz="8" w:space="0" w:color="auto"/>
            </w:tcBorders>
            <w:shd w:val="clear" w:color="auto" w:fill="auto"/>
            <w:vAlign w:val="center"/>
            <w:hideMark/>
          </w:tcPr>
          <w:p w14:paraId="355F9C68"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w:t>
            </w:r>
          </w:p>
        </w:tc>
        <w:tc>
          <w:tcPr>
            <w:tcW w:w="505" w:type="dxa"/>
            <w:tcBorders>
              <w:top w:val="nil"/>
              <w:left w:val="nil"/>
              <w:bottom w:val="single" w:sz="8" w:space="0" w:color="auto"/>
              <w:right w:val="single" w:sz="8" w:space="0" w:color="auto"/>
            </w:tcBorders>
            <w:shd w:val="clear" w:color="auto" w:fill="auto"/>
            <w:vAlign w:val="center"/>
            <w:hideMark/>
          </w:tcPr>
          <w:p w14:paraId="30001EFE"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1891</w:t>
            </w:r>
          </w:p>
        </w:tc>
        <w:tc>
          <w:tcPr>
            <w:tcW w:w="4243" w:type="dxa"/>
            <w:tcBorders>
              <w:top w:val="nil"/>
              <w:left w:val="nil"/>
              <w:bottom w:val="single" w:sz="8" w:space="0" w:color="auto"/>
              <w:right w:val="single" w:sz="8" w:space="0" w:color="auto"/>
            </w:tcBorders>
            <w:shd w:val="clear" w:color="auto" w:fill="auto"/>
            <w:vAlign w:val="center"/>
            <w:hideMark/>
          </w:tcPr>
          <w:p w14:paraId="0FB1CE9E"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EMPRESA DE SERVICIOS PUBLICOS DE BAHIA SOLANO S.A. ESP</w:t>
            </w:r>
          </w:p>
        </w:tc>
        <w:tc>
          <w:tcPr>
            <w:tcW w:w="1196" w:type="dxa"/>
            <w:tcBorders>
              <w:top w:val="nil"/>
              <w:left w:val="nil"/>
              <w:bottom w:val="single" w:sz="8" w:space="0" w:color="auto"/>
              <w:right w:val="single" w:sz="8" w:space="0" w:color="auto"/>
            </w:tcBorders>
            <w:shd w:val="clear" w:color="auto" w:fill="auto"/>
            <w:vAlign w:val="center"/>
            <w:hideMark/>
          </w:tcPr>
          <w:p w14:paraId="33503CCB"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283916D5"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5A78E432" w14:textId="77777777" w:rsidTr="00AD4E79">
        <w:trPr>
          <w:trHeight w:val="317"/>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40CA0DFE"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28</w:t>
            </w:r>
          </w:p>
        </w:tc>
        <w:tc>
          <w:tcPr>
            <w:tcW w:w="879" w:type="dxa"/>
            <w:tcBorders>
              <w:top w:val="nil"/>
              <w:left w:val="nil"/>
              <w:bottom w:val="single" w:sz="8" w:space="0" w:color="auto"/>
              <w:right w:val="single" w:sz="8" w:space="0" w:color="auto"/>
            </w:tcBorders>
            <w:shd w:val="clear" w:color="auto" w:fill="auto"/>
            <w:vAlign w:val="center"/>
            <w:hideMark/>
          </w:tcPr>
          <w:p w14:paraId="2287B1BA"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818.000.276</w:t>
            </w:r>
          </w:p>
        </w:tc>
        <w:tc>
          <w:tcPr>
            <w:tcW w:w="323" w:type="dxa"/>
            <w:tcBorders>
              <w:top w:val="nil"/>
              <w:left w:val="nil"/>
              <w:bottom w:val="single" w:sz="8" w:space="0" w:color="auto"/>
              <w:right w:val="single" w:sz="8" w:space="0" w:color="auto"/>
            </w:tcBorders>
            <w:shd w:val="clear" w:color="auto" w:fill="auto"/>
            <w:vAlign w:val="center"/>
            <w:hideMark/>
          </w:tcPr>
          <w:p w14:paraId="4AB9E7FD"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3</w:t>
            </w:r>
          </w:p>
        </w:tc>
        <w:tc>
          <w:tcPr>
            <w:tcW w:w="505" w:type="dxa"/>
            <w:tcBorders>
              <w:top w:val="nil"/>
              <w:left w:val="nil"/>
              <w:bottom w:val="single" w:sz="8" w:space="0" w:color="auto"/>
              <w:right w:val="single" w:sz="8" w:space="0" w:color="auto"/>
            </w:tcBorders>
            <w:shd w:val="clear" w:color="auto" w:fill="auto"/>
            <w:vAlign w:val="center"/>
            <w:hideMark/>
          </w:tcPr>
          <w:p w14:paraId="5905B052"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2080</w:t>
            </w:r>
          </w:p>
        </w:tc>
        <w:tc>
          <w:tcPr>
            <w:tcW w:w="4243" w:type="dxa"/>
            <w:tcBorders>
              <w:top w:val="nil"/>
              <w:left w:val="nil"/>
              <w:bottom w:val="single" w:sz="8" w:space="0" w:color="auto"/>
              <w:right w:val="single" w:sz="8" w:space="0" w:color="auto"/>
            </w:tcBorders>
            <w:shd w:val="clear" w:color="auto" w:fill="auto"/>
            <w:vAlign w:val="center"/>
            <w:hideMark/>
          </w:tcPr>
          <w:p w14:paraId="4A4A2AB5" w14:textId="6EE6A92C"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JUNTA ADMINISTRADORA DE SERVICIOS PÚBLICOS DE CAPURGANA</w:t>
            </w:r>
          </w:p>
        </w:tc>
        <w:tc>
          <w:tcPr>
            <w:tcW w:w="1196" w:type="dxa"/>
            <w:tcBorders>
              <w:top w:val="nil"/>
              <w:left w:val="nil"/>
              <w:bottom w:val="single" w:sz="8" w:space="0" w:color="auto"/>
              <w:right w:val="single" w:sz="8" w:space="0" w:color="auto"/>
            </w:tcBorders>
            <w:shd w:val="clear" w:color="auto" w:fill="auto"/>
            <w:vAlign w:val="center"/>
            <w:hideMark/>
          </w:tcPr>
          <w:p w14:paraId="1A553155"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5152399C"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31BBE827"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6AD739CA"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29</w:t>
            </w:r>
          </w:p>
        </w:tc>
        <w:tc>
          <w:tcPr>
            <w:tcW w:w="879" w:type="dxa"/>
            <w:tcBorders>
              <w:top w:val="nil"/>
              <w:left w:val="nil"/>
              <w:bottom w:val="single" w:sz="8" w:space="0" w:color="auto"/>
              <w:right w:val="single" w:sz="8" w:space="0" w:color="auto"/>
            </w:tcBorders>
            <w:shd w:val="clear" w:color="auto" w:fill="auto"/>
            <w:vAlign w:val="center"/>
            <w:hideMark/>
          </w:tcPr>
          <w:p w14:paraId="5DD0DC3D"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818.000.293</w:t>
            </w:r>
          </w:p>
        </w:tc>
        <w:tc>
          <w:tcPr>
            <w:tcW w:w="323" w:type="dxa"/>
            <w:tcBorders>
              <w:top w:val="nil"/>
              <w:left w:val="nil"/>
              <w:bottom w:val="single" w:sz="8" w:space="0" w:color="auto"/>
              <w:right w:val="single" w:sz="8" w:space="0" w:color="auto"/>
            </w:tcBorders>
            <w:shd w:val="clear" w:color="auto" w:fill="auto"/>
            <w:vAlign w:val="center"/>
            <w:hideMark/>
          </w:tcPr>
          <w:p w14:paraId="309DF2B1"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w:t>
            </w:r>
          </w:p>
        </w:tc>
        <w:tc>
          <w:tcPr>
            <w:tcW w:w="505" w:type="dxa"/>
            <w:tcBorders>
              <w:top w:val="nil"/>
              <w:left w:val="nil"/>
              <w:bottom w:val="single" w:sz="8" w:space="0" w:color="auto"/>
              <w:right w:val="single" w:sz="8" w:space="0" w:color="auto"/>
            </w:tcBorders>
            <w:shd w:val="clear" w:color="auto" w:fill="auto"/>
            <w:vAlign w:val="center"/>
            <w:hideMark/>
          </w:tcPr>
          <w:p w14:paraId="367444AC"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1895</w:t>
            </w:r>
          </w:p>
        </w:tc>
        <w:tc>
          <w:tcPr>
            <w:tcW w:w="4243" w:type="dxa"/>
            <w:tcBorders>
              <w:top w:val="nil"/>
              <w:left w:val="nil"/>
              <w:bottom w:val="single" w:sz="8" w:space="0" w:color="auto"/>
              <w:right w:val="single" w:sz="8" w:space="0" w:color="auto"/>
            </w:tcBorders>
            <w:shd w:val="clear" w:color="auto" w:fill="auto"/>
            <w:vAlign w:val="center"/>
            <w:hideMark/>
          </w:tcPr>
          <w:p w14:paraId="257B4231"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EMPRESA DE SERVICOS PUBLICOS DE ACANDI S.A E.S.P.</w:t>
            </w:r>
          </w:p>
        </w:tc>
        <w:tc>
          <w:tcPr>
            <w:tcW w:w="1196" w:type="dxa"/>
            <w:tcBorders>
              <w:top w:val="nil"/>
              <w:left w:val="nil"/>
              <w:bottom w:val="single" w:sz="8" w:space="0" w:color="auto"/>
              <w:right w:val="single" w:sz="8" w:space="0" w:color="auto"/>
            </w:tcBorders>
            <w:shd w:val="clear" w:color="auto" w:fill="auto"/>
            <w:vAlign w:val="center"/>
            <w:hideMark/>
          </w:tcPr>
          <w:p w14:paraId="04A72520"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1B47EF81"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SIN REPORTE AL SUI</w:t>
            </w:r>
          </w:p>
        </w:tc>
      </w:tr>
      <w:tr w:rsidR="00AD4E79" w:rsidRPr="00AD4E79" w14:paraId="34D40776"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10C5F42A"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30</w:t>
            </w:r>
          </w:p>
        </w:tc>
        <w:tc>
          <w:tcPr>
            <w:tcW w:w="879" w:type="dxa"/>
            <w:tcBorders>
              <w:top w:val="nil"/>
              <w:left w:val="nil"/>
              <w:bottom w:val="single" w:sz="8" w:space="0" w:color="auto"/>
              <w:right w:val="single" w:sz="8" w:space="0" w:color="auto"/>
            </w:tcBorders>
            <w:shd w:val="clear" w:color="auto" w:fill="auto"/>
            <w:vAlign w:val="center"/>
            <w:hideMark/>
          </w:tcPr>
          <w:p w14:paraId="1534BA7D"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818.001.341</w:t>
            </w:r>
          </w:p>
        </w:tc>
        <w:tc>
          <w:tcPr>
            <w:tcW w:w="323" w:type="dxa"/>
            <w:tcBorders>
              <w:top w:val="nil"/>
              <w:left w:val="nil"/>
              <w:bottom w:val="single" w:sz="8" w:space="0" w:color="auto"/>
              <w:right w:val="single" w:sz="8" w:space="0" w:color="auto"/>
            </w:tcBorders>
            <w:shd w:val="clear" w:color="auto" w:fill="auto"/>
            <w:vAlign w:val="center"/>
            <w:hideMark/>
          </w:tcPr>
          <w:p w14:paraId="22E30EF9"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w:t>
            </w:r>
          </w:p>
        </w:tc>
        <w:tc>
          <w:tcPr>
            <w:tcW w:w="505" w:type="dxa"/>
            <w:tcBorders>
              <w:top w:val="nil"/>
              <w:left w:val="nil"/>
              <w:bottom w:val="single" w:sz="8" w:space="0" w:color="auto"/>
              <w:right w:val="single" w:sz="8" w:space="0" w:color="auto"/>
            </w:tcBorders>
            <w:shd w:val="clear" w:color="auto" w:fill="auto"/>
            <w:vAlign w:val="center"/>
            <w:hideMark/>
          </w:tcPr>
          <w:p w14:paraId="7BC23DD2"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20169</w:t>
            </w:r>
          </w:p>
        </w:tc>
        <w:tc>
          <w:tcPr>
            <w:tcW w:w="4243" w:type="dxa"/>
            <w:tcBorders>
              <w:top w:val="nil"/>
              <w:left w:val="nil"/>
              <w:bottom w:val="single" w:sz="8" w:space="0" w:color="auto"/>
              <w:right w:val="single" w:sz="8" w:space="0" w:color="auto"/>
            </w:tcBorders>
            <w:shd w:val="clear" w:color="auto" w:fill="auto"/>
            <w:vAlign w:val="center"/>
            <w:hideMark/>
          </w:tcPr>
          <w:p w14:paraId="65CA998C"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 xml:space="preserve">MUNICIPIO DEL CARMEN DEL DARIEN </w:t>
            </w:r>
          </w:p>
        </w:tc>
        <w:tc>
          <w:tcPr>
            <w:tcW w:w="1196" w:type="dxa"/>
            <w:tcBorders>
              <w:top w:val="nil"/>
              <w:left w:val="nil"/>
              <w:bottom w:val="single" w:sz="8" w:space="0" w:color="auto"/>
              <w:right w:val="single" w:sz="8" w:space="0" w:color="auto"/>
            </w:tcBorders>
            <w:shd w:val="clear" w:color="auto" w:fill="auto"/>
            <w:vAlign w:val="center"/>
            <w:hideMark/>
          </w:tcPr>
          <w:p w14:paraId="28717E3B"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25046644"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SIN REPORTE AL SUI</w:t>
            </w:r>
          </w:p>
        </w:tc>
      </w:tr>
      <w:tr w:rsidR="00AD4E79" w:rsidRPr="00AD4E79" w14:paraId="46B9D1F0"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452EFBA7"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31</w:t>
            </w:r>
          </w:p>
        </w:tc>
        <w:tc>
          <w:tcPr>
            <w:tcW w:w="879" w:type="dxa"/>
            <w:tcBorders>
              <w:top w:val="nil"/>
              <w:left w:val="nil"/>
              <w:bottom w:val="single" w:sz="8" w:space="0" w:color="auto"/>
              <w:right w:val="single" w:sz="8" w:space="0" w:color="auto"/>
            </w:tcBorders>
            <w:shd w:val="clear" w:color="auto" w:fill="auto"/>
            <w:vAlign w:val="center"/>
            <w:hideMark/>
          </w:tcPr>
          <w:p w14:paraId="367921F1"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818.001.629</w:t>
            </w:r>
          </w:p>
        </w:tc>
        <w:tc>
          <w:tcPr>
            <w:tcW w:w="323" w:type="dxa"/>
            <w:tcBorders>
              <w:top w:val="nil"/>
              <w:left w:val="nil"/>
              <w:bottom w:val="single" w:sz="8" w:space="0" w:color="auto"/>
              <w:right w:val="single" w:sz="8" w:space="0" w:color="auto"/>
            </w:tcBorders>
            <w:shd w:val="clear" w:color="auto" w:fill="auto"/>
            <w:vAlign w:val="center"/>
            <w:hideMark/>
          </w:tcPr>
          <w:p w14:paraId="6017E015"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4</w:t>
            </w:r>
          </w:p>
        </w:tc>
        <w:tc>
          <w:tcPr>
            <w:tcW w:w="505" w:type="dxa"/>
            <w:tcBorders>
              <w:top w:val="nil"/>
              <w:left w:val="nil"/>
              <w:bottom w:val="single" w:sz="8" w:space="0" w:color="auto"/>
              <w:right w:val="single" w:sz="8" w:space="0" w:color="auto"/>
            </w:tcBorders>
            <w:shd w:val="clear" w:color="auto" w:fill="auto"/>
            <w:vAlign w:val="center"/>
            <w:hideMark/>
          </w:tcPr>
          <w:p w14:paraId="0EFC750D"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3226</w:t>
            </w:r>
          </w:p>
        </w:tc>
        <w:tc>
          <w:tcPr>
            <w:tcW w:w="4243" w:type="dxa"/>
            <w:tcBorders>
              <w:top w:val="nil"/>
              <w:left w:val="nil"/>
              <w:bottom w:val="single" w:sz="8" w:space="0" w:color="auto"/>
              <w:right w:val="single" w:sz="8" w:space="0" w:color="auto"/>
            </w:tcBorders>
            <w:shd w:val="clear" w:color="auto" w:fill="auto"/>
            <w:vAlign w:val="center"/>
            <w:hideMark/>
          </w:tcPr>
          <w:p w14:paraId="06232B06"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EMPRESA DISTRIBUIDORA DEL PACIFICO S.A. E.</w:t>
            </w:r>
            <w:proofErr w:type="gramStart"/>
            <w:r w:rsidRPr="00AD4E79">
              <w:rPr>
                <w:rFonts w:ascii="Arial Narrow" w:hAnsi="Arial Narrow" w:cs="Arial"/>
                <w:spacing w:val="0"/>
                <w:sz w:val="16"/>
                <w:szCs w:val="16"/>
                <w:lang w:eastAsia="es-CO"/>
              </w:rPr>
              <w:t>S.P</w:t>
            </w:r>
            <w:proofErr w:type="gramEnd"/>
          </w:p>
        </w:tc>
        <w:tc>
          <w:tcPr>
            <w:tcW w:w="1196" w:type="dxa"/>
            <w:tcBorders>
              <w:top w:val="nil"/>
              <w:left w:val="nil"/>
              <w:bottom w:val="single" w:sz="8" w:space="0" w:color="auto"/>
              <w:right w:val="single" w:sz="8" w:space="0" w:color="auto"/>
            </w:tcBorders>
            <w:shd w:val="clear" w:color="auto" w:fill="auto"/>
            <w:vAlign w:val="center"/>
            <w:hideMark/>
          </w:tcPr>
          <w:p w14:paraId="0E363A9B"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51731357"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3C2BDDAF" w14:textId="77777777" w:rsidTr="00AD4E79">
        <w:trPr>
          <w:trHeight w:val="335"/>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61B7BC27"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32</w:t>
            </w:r>
          </w:p>
        </w:tc>
        <w:tc>
          <w:tcPr>
            <w:tcW w:w="879" w:type="dxa"/>
            <w:tcBorders>
              <w:top w:val="nil"/>
              <w:left w:val="nil"/>
              <w:bottom w:val="single" w:sz="8" w:space="0" w:color="auto"/>
              <w:right w:val="single" w:sz="8" w:space="0" w:color="auto"/>
            </w:tcBorders>
            <w:shd w:val="clear" w:color="auto" w:fill="auto"/>
            <w:vAlign w:val="center"/>
            <w:hideMark/>
          </w:tcPr>
          <w:p w14:paraId="60BA0772"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822.004.680</w:t>
            </w:r>
          </w:p>
        </w:tc>
        <w:tc>
          <w:tcPr>
            <w:tcW w:w="323" w:type="dxa"/>
            <w:tcBorders>
              <w:top w:val="nil"/>
              <w:left w:val="nil"/>
              <w:bottom w:val="single" w:sz="8" w:space="0" w:color="auto"/>
              <w:right w:val="single" w:sz="8" w:space="0" w:color="auto"/>
            </w:tcBorders>
            <w:shd w:val="clear" w:color="auto" w:fill="auto"/>
            <w:vAlign w:val="center"/>
            <w:hideMark/>
          </w:tcPr>
          <w:p w14:paraId="5BBC941A"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w:t>
            </w:r>
          </w:p>
        </w:tc>
        <w:tc>
          <w:tcPr>
            <w:tcW w:w="505" w:type="dxa"/>
            <w:tcBorders>
              <w:top w:val="nil"/>
              <w:left w:val="nil"/>
              <w:bottom w:val="single" w:sz="8" w:space="0" w:color="auto"/>
              <w:right w:val="single" w:sz="8" w:space="0" w:color="auto"/>
            </w:tcBorders>
            <w:shd w:val="clear" w:color="auto" w:fill="auto"/>
            <w:vAlign w:val="center"/>
            <w:hideMark/>
          </w:tcPr>
          <w:p w14:paraId="6C8A94AA"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3076</w:t>
            </w:r>
          </w:p>
        </w:tc>
        <w:tc>
          <w:tcPr>
            <w:tcW w:w="4243" w:type="dxa"/>
            <w:tcBorders>
              <w:top w:val="nil"/>
              <w:left w:val="nil"/>
              <w:bottom w:val="single" w:sz="8" w:space="0" w:color="auto"/>
              <w:right w:val="single" w:sz="8" w:space="0" w:color="auto"/>
            </w:tcBorders>
            <w:shd w:val="clear" w:color="auto" w:fill="auto"/>
            <w:vAlign w:val="center"/>
            <w:hideMark/>
          </w:tcPr>
          <w:p w14:paraId="1B763B31"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EMPRESA DE ENERGIA ELECTRICA DEL DEPARTAMENTO DEL GUAVIARE SA ESP</w:t>
            </w:r>
          </w:p>
        </w:tc>
        <w:tc>
          <w:tcPr>
            <w:tcW w:w="1196" w:type="dxa"/>
            <w:tcBorders>
              <w:top w:val="nil"/>
              <w:left w:val="nil"/>
              <w:bottom w:val="single" w:sz="8" w:space="0" w:color="auto"/>
              <w:right w:val="single" w:sz="8" w:space="0" w:color="auto"/>
            </w:tcBorders>
            <w:shd w:val="clear" w:color="auto" w:fill="auto"/>
            <w:vAlign w:val="center"/>
            <w:hideMark/>
          </w:tcPr>
          <w:p w14:paraId="21C97CFA"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49CC42CF"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24B73E7E" w14:textId="77777777" w:rsidTr="00AD4E79">
        <w:trPr>
          <w:trHeight w:val="353"/>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79E45E49"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33</w:t>
            </w:r>
          </w:p>
        </w:tc>
        <w:tc>
          <w:tcPr>
            <w:tcW w:w="879" w:type="dxa"/>
            <w:tcBorders>
              <w:top w:val="nil"/>
              <w:left w:val="nil"/>
              <w:bottom w:val="single" w:sz="8" w:space="0" w:color="auto"/>
              <w:right w:val="single" w:sz="8" w:space="0" w:color="auto"/>
            </w:tcBorders>
            <w:shd w:val="clear" w:color="auto" w:fill="auto"/>
            <w:vAlign w:val="center"/>
            <w:hideMark/>
          </w:tcPr>
          <w:p w14:paraId="4901FCF2"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827.000.108</w:t>
            </w:r>
          </w:p>
        </w:tc>
        <w:tc>
          <w:tcPr>
            <w:tcW w:w="323" w:type="dxa"/>
            <w:tcBorders>
              <w:top w:val="nil"/>
              <w:left w:val="nil"/>
              <w:bottom w:val="single" w:sz="8" w:space="0" w:color="auto"/>
              <w:right w:val="single" w:sz="8" w:space="0" w:color="auto"/>
            </w:tcBorders>
            <w:shd w:val="clear" w:color="auto" w:fill="auto"/>
            <w:vAlign w:val="center"/>
            <w:hideMark/>
          </w:tcPr>
          <w:p w14:paraId="6C51B571"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7</w:t>
            </w:r>
          </w:p>
        </w:tc>
        <w:tc>
          <w:tcPr>
            <w:tcW w:w="505" w:type="dxa"/>
            <w:tcBorders>
              <w:top w:val="nil"/>
              <w:left w:val="nil"/>
              <w:bottom w:val="single" w:sz="8" w:space="0" w:color="auto"/>
              <w:right w:val="single" w:sz="8" w:space="0" w:color="auto"/>
            </w:tcBorders>
            <w:shd w:val="clear" w:color="auto" w:fill="auto"/>
            <w:vAlign w:val="center"/>
            <w:hideMark/>
          </w:tcPr>
          <w:p w14:paraId="15AA8E9D"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1720</w:t>
            </w:r>
          </w:p>
        </w:tc>
        <w:tc>
          <w:tcPr>
            <w:tcW w:w="4243" w:type="dxa"/>
            <w:tcBorders>
              <w:top w:val="nil"/>
              <w:left w:val="nil"/>
              <w:bottom w:val="single" w:sz="8" w:space="0" w:color="auto"/>
              <w:right w:val="single" w:sz="8" w:space="0" w:color="auto"/>
            </w:tcBorders>
            <w:shd w:val="clear" w:color="auto" w:fill="auto"/>
            <w:vAlign w:val="center"/>
            <w:hideMark/>
          </w:tcPr>
          <w:p w14:paraId="4B2DD980"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SOCIEDAD PRODUCTORA DE ENERGÍA DE SAN ANDRES Y PROVIDENCIA S.A. E.S.P.</w:t>
            </w:r>
          </w:p>
        </w:tc>
        <w:tc>
          <w:tcPr>
            <w:tcW w:w="1196" w:type="dxa"/>
            <w:tcBorders>
              <w:top w:val="nil"/>
              <w:left w:val="nil"/>
              <w:bottom w:val="single" w:sz="8" w:space="0" w:color="auto"/>
              <w:right w:val="single" w:sz="8" w:space="0" w:color="auto"/>
            </w:tcBorders>
            <w:shd w:val="clear" w:color="auto" w:fill="auto"/>
            <w:vAlign w:val="center"/>
            <w:hideMark/>
          </w:tcPr>
          <w:p w14:paraId="38FDF3BE"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017C9D9D"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686D6521"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24E532EE"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34</w:t>
            </w:r>
          </w:p>
        </w:tc>
        <w:tc>
          <w:tcPr>
            <w:tcW w:w="879" w:type="dxa"/>
            <w:tcBorders>
              <w:top w:val="nil"/>
              <w:left w:val="nil"/>
              <w:bottom w:val="single" w:sz="8" w:space="0" w:color="auto"/>
              <w:right w:val="single" w:sz="8" w:space="0" w:color="auto"/>
            </w:tcBorders>
            <w:shd w:val="clear" w:color="auto" w:fill="auto"/>
            <w:vAlign w:val="center"/>
            <w:hideMark/>
          </w:tcPr>
          <w:p w14:paraId="07DF9A8F"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830.025.205</w:t>
            </w:r>
          </w:p>
        </w:tc>
        <w:tc>
          <w:tcPr>
            <w:tcW w:w="323" w:type="dxa"/>
            <w:tcBorders>
              <w:top w:val="nil"/>
              <w:left w:val="nil"/>
              <w:bottom w:val="single" w:sz="8" w:space="0" w:color="auto"/>
              <w:right w:val="single" w:sz="8" w:space="0" w:color="auto"/>
            </w:tcBorders>
            <w:shd w:val="clear" w:color="auto" w:fill="auto"/>
            <w:vAlign w:val="center"/>
            <w:hideMark/>
          </w:tcPr>
          <w:p w14:paraId="283923B9"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w:t>
            </w:r>
          </w:p>
        </w:tc>
        <w:tc>
          <w:tcPr>
            <w:tcW w:w="505" w:type="dxa"/>
            <w:tcBorders>
              <w:top w:val="nil"/>
              <w:left w:val="nil"/>
              <w:bottom w:val="single" w:sz="8" w:space="0" w:color="auto"/>
              <w:right w:val="single" w:sz="8" w:space="0" w:color="auto"/>
            </w:tcBorders>
            <w:shd w:val="clear" w:color="auto" w:fill="auto"/>
            <w:vAlign w:val="center"/>
            <w:hideMark/>
          </w:tcPr>
          <w:p w14:paraId="331C4224"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1864</w:t>
            </w:r>
          </w:p>
        </w:tc>
        <w:tc>
          <w:tcPr>
            <w:tcW w:w="4243" w:type="dxa"/>
            <w:tcBorders>
              <w:top w:val="nil"/>
              <w:left w:val="nil"/>
              <w:bottom w:val="single" w:sz="8" w:space="0" w:color="auto"/>
              <w:right w:val="single" w:sz="8" w:space="0" w:color="auto"/>
            </w:tcBorders>
            <w:shd w:val="clear" w:color="auto" w:fill="auto"/>
            <w:vAlign w:val="center"/>
            <w:hideMark/>
          </w:tcPr>
          <w:p w14:paraId="5E223DAC"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AES COLOMBIA &amp; CIA S C A E S P</w:t>
            </w:r>
          </w:p>
        </w:tc>
        <w:tc>
          <w:tcPr>
            <w:tcW w:w="1196" w:type="dxa"/>
            <w:tcBorders>
              <w:top w:val="nil"/>
              <w:left w:val="nil"/>
              <w:bottom w:val="single" w:sz="8" w:space="0" w:color="auto"/>
              <w:right w:val="single" w:sz="8" w:space="0" w:color="auto"/>
            </w:tcBorders>
            <w:shd w:val="clear" w:color="auto" w:fill="auto"/>
            <w:vAlign w:val="center"/>
            <w:hideMark/>
          </w:tcPr>
          <w:p w14:paraId="62A4E8D4"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6B850067"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66DB8AB0"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47CD8A9D"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35</w:t>
            </w:r>
          </w:p>
        </w:tc>
        <w:tc>
          <w:tcPr>
            <w:tcW w:w="879" w:type="dxa"/>
            <w:tcBorders>
              <w:top w:val="nil"/>
              <w:left w:val="nil"/>
              <w:bottom w:val="single" w:sz="8" w:space="0" w:color="auto"/>
              <w:right w:val="single" w:sz="8" w:space="0" w:color="auto"/>
            </w:tcBorders>
            <w:shd w:val="clear" w:color="auto" w:fill="auto"/>
            <w:vAlign w:val="center"/>
            <w:hideMark/>
          </w:tcPr>
          <w:p w14:paraId="334B8AE5"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830.058.506</w:t>
            </w:r>
          </w:p>
        </w:tc>
        <w:tc>
          <w:tcPr>
            <w:tcW w:w="323" w:type="dxa"/>
            <w:tcBorders>
              <w:top w:val="nil"/>
              <w:left w:val="nil"/>
              <w:bottom w:val="single" w:sz="8" w:space="0" w:color="auto"/>
              <w:right w:val="single" w:sz="8" w:space="0" w:color="auto"/>
            </w:tcBorders>
            <w:shd w:val="clear" w:color="auto" w:fill="auto"/>
            <w:vAlign w:val="center"/>
            <w:hideMark/>
          </w:tcPr>
          <w:p w14:paraId="741C2F35"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6</w:t>
            </w:r>
          </w:p>
        </w:tc>
        <w:tc>
          <w:tcPr>
            <w:tcW w:w="505" w:type="dxa"/>
            <w:tcBorders>
              <w:top w:val="nil"/>
              <w:left w:val="nil"/>
              <w:bottom w:val="single" w:sz="8" w:space="0" w:color="auto"/>
              <w:right w:val="single" w:sz="8" w:space="0" w:color="auto"/>
            </w:tcBorders>
            <w:shd w:val="clear" w:color="auto" w:fill="auto"/>
            <w:vAlign w:val="center"/>
            <w:hideMark/>
          </w:tcPr>
          <w:p w14:paraId="784BF10C"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2412</w:t>
            </w:r>
          </w:p>
        </w:tc>
        <w:tc>
          <w:tcPr>
            <w:tcW w:w="4243" w:type="dxa"/>
            <w:tcBorders>
              <w:top w:val="nil"/>
              <w:left w:val="nil"/>
              <w:bottom w:val="single" w:sz="8" w:space="0" w:color="auto"/>
              <w:right w:val="single" w:sz="8" w:space="0" w:color="auto"/>
            </w:tcBorders>
            <w:shd w:val="clear" w:color="auto" w:fill="auto"/>
            <w:vAlign w:val="center"/>
            <w:hideMark/>
          </w:tcPr>
          <w:p w14:paraId="146B4FAD"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TERMOPIEDRAS S.A. E.S.P.</w:t>
            </w:r>
          </w:p>
        </w:tc>
        <w:tc>
          <w:tcPr>
            <w:tcW w:w="1196" w:type="dxa"/>
            <w:tcBorders>
              <w:top w:val="nil"/>
              <w:left w:val="nil"/>
              <w:bottom w:val="single" w:sz="8" w:space="0" w:color="auto"/>
              <w:right w:val="single" w:sz="8" w:space="0" w:color="auto"/>
            </w:tcBorders>
            <w:shd w:val="clear" w:color="auto" w:fill="auto"/>
            <w:vAlign w:val="center"/>
            <w:hideMark/>
          </w:tcPr>
          <w:p w14:paraId="73DC4C21"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6561753D"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SIN REPORTE AL SUI</w:t>
            </w:r>
          </w:p>
        </w:tc>
      </w:tr>
      <w:tr w:rsidR="00AD4E79" w:rsidRPr="00AD4E79" w14:paraId="0F4AA853" w14:textId="77777777" w:rsidTr="00AD4E79">
        <w:trPr>
          <w:trHeight w:val="312"/>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0F646080"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36</w:t>
            </w:r>
          </w:p>
        </w:tc>
        <w:tc>
          <w:tcPr>
            <w:tcW w:w="879" w:type="dxa"/>
            <w:tcBorders>
              <w:top w:val="nil"/>
              <w:left w:val="nil"/>
              <w:bottom w:val="single" w:sz="8" w:space="0" w:color="auto"/>
              <w:right w:val="single" w:sz="8" w:space="0" w:color="auto"/>
            </w:tcBorders>
            <w:shd w:val="clear" w:color="auto" w:fill="auto"/>
            <w:vAlign w:val="center"/>
            <w:hideMark/>
          </w:tcPr>
          <w:p w14:paraId="18D6CAD2"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830.092.965</w:t>
            </w:r>
          </w:p>
        </w:tc>
        <w:tc>
          <w:tcPr>
            <w:tcW w:w="323" w:type="dxa"/>
            <w:tcBorders>
              <w:top w:val="nil"/>
              <w:left w:val="nil"/>
              <w:bottom w:val="single" w:sz="8" w:space="0" w:color="auto"/>
              <w:right w:val="single" w:sz="8" w:space="0" w:color="auto"/>
            </w:tcBorders>
            <w:shd w:val="clear" w:color="auto" w:fill="auto"/>
            <w:vAlign w:val="center"/>
            <w:hideMark/>
          </w:tcPr>
          <w:p w14:paraId="032F963C"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7</w:t>
            </w:r>
          </w:p>
        </w:tc>
        <w:tc>
          <w:tcPr>
            <w:tcW w:w="505" w:type="dxa"/>
            <w:tcBorders>
              <w:top w:val="nil"/>
              <w:left w:val="nil"/>
              <w:bottom w:val="single" w:sz="8" w:space="0" w:color="auto"/>
              <w:right w:val="single" w:sz="8" w:space="0" w:color="auto"/>
            </w:tcBorders>
            <w:shd w:val="clear" w:color="auto" w:fill="auto"/>
            <w:vAlign w:val="center"/>
            <w:hideMark/>
          </w:tcPr>
          <w:p w14:paraId="53A33B43"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3111</w:t>
            </w:r>
          </w:p>
        </w:tc>
        <w:tc>
          <w:tcPr>
            <w:tcW w:w="4243" w:type="dxa"/>
            <w:tcBorders>
              <w:top w:val="nil"/>
              <w:left w:val="nil"/>
              <w:bottom w:val="single" w:sz="8" w:space="0" w:color="auto"/>
              <w:right w:val="single" w:sz="8" w:space="0" w:color="auto"/>
            </w:tcBorders>
            <w:shd w:val="clear" w:color="auto" w:fill="auto"/>
            <w:vAlign w:val="center"/>
            <w:hideMark/>
          </w:tcPr>
          <w:p w14:paraId="38254D6A"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ENERGETICOS S.A.S.  E.S.P. DISTRIBUIDORA Y COMERCIALIZADORA DE ENERGIA GAS E HIDROCARBUROS</w:t>
            </w:r>
          </w:p>
        </w:tc>
        <w:tc>
          <w:tcPr>
            <w:tcW w:w="1196" w:type="dxa"/>
            <w:tcBorders>
              <w:top w:val="nil"/>
              <w:left w:val="nil"/>
              <w:bottom w:val="single" w:sz="8" w:space="0" w:color="auto"/>
              <w:right w:val="single" w:sz="8" w:space="0" w:color="auto"/>
            </w:tcBorders>
            <w:shd w:val="clear" w:color="auto" w:fill="auto"/>
            <w:vAlign w:val="center"/>
            <w:hideMark/>
          </w:tcPr>
          <w:p w14:paraId="0A179E59"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472270B5"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390AD459"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3E282017"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37</w:t>
            </w:r>
          </w:p>
        </w:tc>
        <w:tc>
          <w:tcPr>
            <w:tcW w:w="879" w:type="dxa"/>
            <w:tcBorders>
              <w:top w:val="nil"/>
              <w:left w:val="nil"/>
              <w:bottom w:val="single" w:sz="8" w:space="0" w:color="auto"/>
              <w:right w:val="single" w:sz="8" w:space="0" w:color="auto"/>
            </w:tcBorders>
            <w:shd w:val="clear" w:color="auto" w:fill="auto"/>
            <w:vAlign w:val="center"/>
            <w:hideMark/>
          </w:tcPr>
          <w:p w14:paraId="2463E514"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830.107.528</w:t>
            </w:r>
          </w:p>
        </w:tc>
        <w:tc>
          <w:tcPr>
            <w:tcW w:w="323" w:type="dxa"/>
            <w:tcBorders>
              <w:top w:val="nil"/>
              <w:left w:val="nil"/>
              <w:bottom w:val="single" w:sz="8" w:space="0" w:color="auto"/>
              <w:right w:val="single" w:sz="8" w:space="0" w:color="auto"/>
            </w:tcBorders>
            <w:shd w:val="clear" w:color="auto" w:fill="auto"/>
            <w:vAlign w:val="center"/>
            <w:hideMark/>
          </w:tcPr>
          <w:p w14:paraId="2757F820"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w:t>
            </w:r>
          </w:p>
        </w:tc>
        <w:tc>
          <w:tcPr>
            <w:tcW w:w="505" w:type="dxa"/>
            <w:tcBorders>
              <w:top w:val="nil"/>
              <w:left w:val="nil"/>
              <w:bottom w:val="single" w:sz="8" w:space="0" w:color="auto"/>
              <w:right w:val="single" w:sz="8" w:space="0" w:color="auto"/>
            </w:tcBorders>
            <w:shd w:val="clear" w:color="auto" w:fill="auto"/>
            <w:vAlign w:val="center"/>
            <w:hideMark/>
          </w:tcPr>
          <w:p w14:paraId="74D69E84"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21570</w:t>
            </w:r>
          </w:p>
        </w:tc>
        <w:tc>
          <w:tcPr>
            <w:tcW w:w="4243" w:type="dxa"/>
            <w:tcBorders>
              <w:top w:val="nil"/>
              <w:left w:val="nil"/>
              <w:bottom w:val="single" w:sz="8" w:space="0" w:color="auto"/>
              <w:right w:val="single" w:sz="8" w:space="0" w:color="auto"/>
            </w:tcBorders>
            <w:shd w:val="clear" w:color="auto" w:fill="auto"/>
            <w:vAlign w:val="center"/>
            <w:hideMark/>
          </w:tcPr>
          <w:p w14:paraId="688C2550"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GENERARCO S.A.S. E.S.P.</w:t>
            </w:r>
          </w:p>
        </w:tc>
        <w:tc>
          <w:tcPr>
            <w:tcW w:w="1196" w:type="dxa"/>
            <w:tcBorders>
              <w:top w:val="nil"/>
              <w:left w:val="nil"/>
              <w:bottom w:val="single" w:sz="8" w:space="0" w:color="auto"/>
              <w:right w:val="single" w:sz="8" w:space="0" w:color="auto"/>
            </w:tcBorders>
            <w:shd w:val="clear" w:color="auto" w:fill="auto"/>
            <w:vAlign w:val="center"/>
            <w:hideMark/>
          </w:tcPr>
          <w:p w14:paraId="63805589"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4D5E630D"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6990979B"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6F812003"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lastRenderedPageBreak/>
              <w:t>38</w:t>
            </w:r>
          </w:p>
        </w:tc>
        <w:tc>
          <w:tcPr>
            <w:tcW w:w="879" w:type="dxa"/>
            <w:tcBorders>
              <w:top w:val="nil"/>
              <w:left w:val="nil"/>
              <w:bottom w:val="single" w:sz="8" w:space="0" w:color="auto"/>
              <w:right w:val="single" w:sz="8" w:space="0" w:color="auto"/>
            </w:tcBorders>
            <w:shd w:val="clear" w:color="auto" w:fill="auto"/>
            <w:vAlign w:val="center"/>
            <w:hideMark/>
          </w:tcPr>
          <w:p w14:paraId="47B61072"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830.113.630</w:t>
            </w:r>
          </w:p>
        </w:tc>
        <w:tc>
          <w:tcPr>
            <w:tcW w:w="323" w:type="dxa"/>
            <w:tcBorders>
              <w:top w:val="nil"/>
              <w:left w:val="nil"/>
              <w:bottom w:val="single" w:sz="8" w:space="0" w:color="auto"/>
              <w:right w:val="single" w:sz="8" w:space="0" w:color="auto"/>
            </w:tcBorders>
            <w:shd w:val="clear" w:color="auto" w:fill="auto"/>
            <w:vAlign w:val="center"/>
            <w:hideMark/>
          </w:tcPr>
          <w:p w14:paraId="2EA1BAE9"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7</w:t>
            </w:r>
          </w:p>
        </w:tc>
        <w:tc>
          <w:tcPr>
            <w:tcW w:w="505" w:type="dxa"/>
            <w:tcBorders>
              <w:top w:val="nil"/>
              <w:left w:val="nil"/>
              <w:bottom w:val="single" w:sz="8" w:space="0" w:color="auto"/>
              <w:right w:val="single" w:sz="8" w:space="0" w:color="auto"/>
            </w:tcBorders>
            <w:shd w:val="clear" w:color="auto" w:fill="auto"/>
            <w:vAlign w:val="center"/>
            <w:hideMark/>
          </w:tcPr>
          <w:p w14:paraId="0D8C39CA"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3268</w:t>
            </w:r>
          </w:p>
        </w:tc>
        <w:tc>
          <w:tcPr>
            <w:tcW w:w="4243" w:type="dxa"/>
            <w:tcBorders>
              <w:top w:val="nil"/>
              <w:left w:val="nil"/>
              <w:bottom w:val="single" w:sz="8" w:space="0" w:color="auto"/>
              <w:right w:val="single" w:sz="8" w:space="0" w:color="auto"/>
            </w:tcBorders>
            <w:shd w:val="clear" w:color="auto" w:fill="auto"/>
            <w:vAlign w:val="center"/>
            <w:hideMark/>
          </w:tcPr>
          <w:p w14:paraId="5791B640"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PRIME TERMOFLORES S.AS E.S.P.</w:t>
            </w:r>
          </w:p>
        </w:tc>
        <w:tc>
          <w:tcPr>
            <w:tcW w:w="1196" w:type="dxa"/>
            <w:tcBorders>
              <w:top w:val="nil"/>
              <w:left w:val="nil"/>
              <w:bottom w:val="single" w:sz="8" w:space="0" w:color="auto"/>
              <w:right w:val="single" w:sz="8" w:space="0" w:color="auto"/>
            </w:tcBorders>
            <w:shd w:val="clear" w:color="auto" w:fill="auto"/>
            <w:vAlign w:val="center"/>
            <w:hideMark/>
          </w:tcPr>
          <w:p w14:paraId="0C09941D"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6683CE5C"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078D0B64"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6B14FCA2"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39</w:t>
            </w:r>
          </w:p>
        </w:tc>
        <w:tc>
          <w:tcPr>
            <w:tcW w:w="879" w:type="dxa"/>
            <w:tcBorders>
              <w:top w:val="nil"/>
              <w:left w:val="nil"/>
              <w:bottom w:val="single" w:sz="8" w:space="0" w:color="auto"/>
              <w:right w:val="single" w:sz="8" w:space="0" w:color="auto"/>
            </w:tcBorders>
            <w:shd w:val="clear" w:color="auto" w:fill="auto"/>
            <w:vAlign w:val="center"/>
            <w:hideMark/>
          </w:tcPr>
          <w:p w14:paraId="1F2CBF33"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830.129.277</w:t>
            </w:r>
          </w:p>
        </w:tc>
        <w:tc>
          <w:tcPr>
            <w:tcW w:w="323" w:type="dxa"/>
            <w:tcBorders>
              <w:top w:val="nil"/>
              <w:left w:val="nil"/>
              <w:bottom w:val="single" w:sz="8" w:space="0" w:color="auto"/>
              <w:right w:val="single" w:sz="8" w:space="0" w:color="auto"/>
            </w:tcBorders>
            <w:shd w:val="clear" w:color="auto" w:fill="auto"/>
            <w:vAlign w:val="center"/>
            <w:hideMark/>
          </w:tcPr>
          <w:p w14:paraId="12AFD42F"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w:t>
            </w:r>
          </w:p>
        </w:tc>
        <w:tc>
          <w:tcPr>
            <w:tcW w:w="505" w:type="dxa"/>
            <w:tcBorders>
              <w:top w:val="nil"/>
              <w:left w:val="nil"/>
              <w:bottom w:val="single" w:sz="8" w:space="0" w:color="auto"/>
              <w:right w:val="single" w:sz="8" w:space="0" w:color="auto"/>
            </w:tcBorders>
            <w:shd w:val="clear" w:color="auto" w:fill="auto"/>
            <w:vAlign w:val="center"/>
            <w:hideMark/>
          </w:tcPr>
          <w:p w14:paraId="7E6BBB94"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20033</w:t>
            </w:r>
          </w:p>
        </w:tc>
        <w:tc>
          <w:tcPr>
            <w:tcW w:w="4243" w:type="dxa"/>
            <w:tcBorders>
              <w:top w:val="nil"/>
              <w:left w:val="nil"/>
              <w:bottom w:val="single" w:sz="8" w:space="0" w:color="auto"/>
              <w:right w:val="single" w:sz="8" w:space="0" w:color="auto"/>
            </w:tcBorders>
            <w:shd w:val="clear" w:color="auto" w:fill="auto"/>
            <w:vAlign w:val="center"/>
            <w:hideMark/>
          </w:tcPr>
          <w:p w14:paraId="060818ED"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TERMOYOPAL GENERACION 2 S.A.S. E.S.P.</w:t>
            </w:r>
          </w:p>
        </w:tc>
        <w:tc>
          <w:tcPr>
            <w:tcW w:w="1196" w:type="dxa"/>
            <w:tcBorders>
              <w:top w:val="nil"/>
              <w:left w:val="nil"/>
              <w:bottom w:val="single" w:sz="8" w:space="0" w:color="auto"/>
              <w:right w:val="single" w:sz="8" w:space="0" w:color="auto"/>
            </w:tcBorders>
            <w:shd w:val="clear" w:color="auto" w:fill="auto"/>
            <w:vAlign w:val="center"/>
            <w:hideMark/>
          </w:tcPr>
          <w:p w14:paraId="7FB0EED2"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41C6ED5E"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7BE49D11"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48FA9F71"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40</w:t>
            </w:r>
          </w:p>
        </w:tc>
        <w:tc>
          <w:tcPr>
            <w:tcW w:w="879" w:type="dxa"/>
            <w:tcBorders>
              <w:top w:val="nil"/>
              <w:left w:val="nil"/>
              <w:bottom w:val="single" w:sz="8" w:space="0" w:color="auto"/>
              <w:right w:val="single" w:sz="8" w:space="0" w:color="auto"/>
            </w:tcBorders>
            <w:shd w:val="clear" w:color="auto" w:fill="auto"/>
            <w:vAlign w:val="center"/>
            <w:hideMark/>
          </w:tcPr>
          <w:p w14:paraId="51C3A105"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830.147.341</w:t>
            </w:r>
          </w:p>
        </w:tc>
        <w:tc>
          <w:tcPr>
            <w:tcW w:w="323" w:type="dxa"/>
            <w:tcBorders>
              <w:top w:val="nil"/>
              <w:left w:val="nil"/>
              <w:bottom w:val="single" w:sz="8" w:space="0" w:color="auto"/>
              <w:right w:val="single" w:sz="8" w:space="0" w:color="auto"/>
            </w:tcBorders>
            <w:shd w:val="clear" w:color="auto" w:fill="auto"/>
            <w:vAlign w:val="center"/>
            <w:hideMark/>
          </w:tcPr>
          <w:p w14:paraId="59051707"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w:t>
            </w:r>
          </w:p>
        </w:tc>
        <w:tc>
          <w:tcPr>
            <w:tcW w:w="505" w:type="dxa"/>
            <w:tcBorders>
              <w:top w:val="nil"/>
              <w:left w:val="nil"/>
              <w:bottom w:val="single" w:sz="8" w:space="0" w:color="auto"/>
              <w:right w:val="single" w:sz="8" w:space="0" w:color="auto"/>
            </w:tcBorders>
            <w:shd w:val="clear" w:color="auto" w:fill="auto"/>
            <w:vAlign w:val="center"/>
            <w:hideMark/>
          </w:tcPr>
          <w:p w14:paraId="33515C0F"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20156</w:t>
            </w:r>
          </w:p>
        </w:tc>
        <w:tc>
          <w:tcPr>
            <w:tcW w:w="4243" w:type="dxa"/>
            <w:tcBorders>
              <w:top w:val="nil"/>
              <w:left w:val="nil"/>
              <w:bottom w:val="single" w:sz="8" w:space="0" w:color="auto"/>
              <w:right w:val="single" w:sz="8" w:space="0" w:color="auto"/>
            </w:tcBorders>
            <w:shd w:val="clear" w:color="auto" w:fill="auto"/>
            <w:vAlign w:val="center"/>
            <w:hideMark/>
          </w:tcPr>
          <w:p w14:paraId="5345703C"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COMERCIALIZADORA DEL CAFE S.A.S. E.S.P.</w:t>
            </w:r>
          </w:p>
        </w:tc>
        <w:tc>
          <w:tcPr>
            <w:tcW w:w="1196" w:type="dxa"/>
            <w:tcBorders>
              <w:top w:val="nil"/>
              <w:left w:val="nil"/>
              <w:bottom w:val="single" w:sz="8" w:space="0" w:color="auto"/>
              <w:right w:val="single" w:sz="8" w:space="0" w:color="auto"/>
            </w:tcBorders>
            <w:shd w:val="clear" w:color="auto" w:fill="auto"/>
            <w:vAlign w:val="center"/>
            <w:hideMark/>
          </w:tcPr>
          <w:p w14:paraId="29EF7DE6"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63BD9AB2"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16C1A1F1"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0C6A7F6D"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41</w:t>
            </w:r>
          </w:p>
        </w:tc>
        <w:tc>
          <w:tcPr>
            <w:tcW w:w="879" w:type="dxa"/>
            <w:tcBorders>
              <w:top w:val="nil"/>
              <w:left w:val="nil"/>
              <w:bottom w:val="single" w:sz="8" w:space="0" w:color="auto"/>
              <w:right w:val="single" w:sz="8" w:space="0" w:color="auto"/>
            </w:tcBorders>
            <w:shd w:val="clear" w:color="auto" w:fill="auto"/>
            <w:vAlign w:val="center"/>
            <w:hideMark/>
          </w:tcPr>
          <w:p w14:paraId="6CA741F3"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835.000.142</w:t>
            </w:r>
          </w:p>
        </w:tc>
        <w:tc>
          <w:tcPr>
            <w:tcW w:w="323" w:type="dxa"/>
            <w:tcBorders>
              <w:top w:val="nil"/>
              <w:left w:val="nil"/>
              <w:bottom w:val="single" w:sz="8" w:space="0" w:color="auto"/>
              <w:right w:val="single" w:sz="8" w:space="0" w:color="auto"/>
            </w:tcBorders>
            <w:shd w:val="clear" w:color="auto" w:fill="auto"/>
            <w:vAlign w:val="center"/>
            <w:hideMark/>
          </w:tcPr>
          <w:p w14:paraId="679A00CF"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7</w:t>
            </w:r>
          </w:p>
        </w:tc>
        <w:tc>
          <w:tcPr>
            <w:tcW w:w="505" w:type="dxa"/>
            <w:tcBorders>
              <w:top w:val="nil"/>
              <w:left w:val="nil"/>
              <w:bottom w:val="single" w:sz="8" w:space="0" w:color="auto"/>
              <w:right w:val="single" w:sz="8" w:space="0" w:color="auto"/>
            </w:tcBorders>
            <w:shd w:val="clear" w:color="auto" w:fill="auto"/>
            <w:vAlign w:val="center"/>
            <w:hideMark/>
          </w:tcPr>
          <w:p w14:paraId="1A1DF705"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1892</w:t>
            </w:r>
          </w:p>
        </w:tc>
        <w:tc>
          <w:tcPr>
            <w:tcW w:w="4243" w:type="dxa"/>
            <w:tcBorders>
              <w:top w:val="nil"/>
              <w:left w:val="nil"/>
              <w:bottom w:val="single" w:sz="8" w:space="0" w:color="auto"/>
              <w:right w:val="single" w:sz="8" w:space="0" w:color="auto"/>
            </w:tcBorders>
            <w:shd w:val="clear" w:color="auto" w:fill="auto"/>
            <w:vAlign w:val="center"/>
            <w:hideMark/>
          </w:tcPr>
          <w:p w14:paraId="0A9A2AED"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 xml:space="preserve">EMPRESA </w:t>
            </w:r>
            <w:proofErr w:type="gramStart"/>
            <w:r w:rsidRPr="00AD4E79">
              <w:rPr>
                <w:rFonts w:ascii="Arial Narrow" w:hAnsi="Arial Narrow" w:cs="Arial"/>
                <w:spacing w:val="0"/>
                <w:sz w:val="16"/>
                <w:szCs w:val="16"/>
                <w:lang w:eastAsia="es-CO"/>
              </w:rPr>
              <w:t>DE  ENERGÍA</w:t>
            </w:r>
            <w:proofErr w:type="gramEnd"/>
            <w:r w:rsidRPr="00AD4E79">
              <w:rPr>
                <w:rFonts w:ascii="Arial Narrow" w:hAnsi="Arial Narrow" w:cs="Arial"/>
                <w:spacing w:val="0"/>
                <w:sz w:val="16"/>
                <w:szCs w:val="16"/>
                <w:lang w:eastAsia="es-CO"/>
              </w:rPr>
              <w:t xml:space="preserve">  DE GUAPI  S.A. E.S.P.</w:t>
            </w:r>
          </w:p>
        </w:tc>
        <w:tc>
          <w:tcPr>
            <w:tcW w:w="1196" w:type="dxa"/>
            <w:tcBorders>
              <w:top w:val="nil"/>
              <w:left w:val="nil"/>
              <w:bottom w:val="single" w:sz="8" w:space="0" w:color="auto"/>
              <w:right w:val="single" w:sz="8" w:space="0" w:color="auto"/>
            </w:tcBorders>
            <w:shd w:val="clear" w:color="auto" w:fill="auto"/>
            <w:vAlign w:val="center"/>
            <w:hideMark/>
          </w:tcPr>
          <w:p w14:paraId="576D6ABD"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1BA4A7AF"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1581D9EB" w14:textId="77777777" w:rsidTr="00AD4E79">
        <w:trPr>
          <w:trHeight w:val="277"/>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1D6E6B53"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42</w:t>
            </w:r>
          </w:p>
        </w:tc>
        <w:tc>
          <w:tcPr>
            <w:tcW w:w="879" w:type="dxa"/>
            <w:tcBorders>
              <w:top w:val="nil"/>
              <w:left w:val="nil"/>
              <w:bottom w:val="single" w:sz="8" w:space="0" w:color="auto"/>
              <w:right w:val="single" w:sz="8" w:space="0" w:color="auto"/>
            </w:tcBorders>
            <w:shd w:val="clear" w:color="auto" w:fill="auto"/>
            <w:vAlign w:val="center"/>
            <w:hideMark/>
          </w:tcPr>
          <w:p w14:paraId="301821A6"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835.000.804</w:t>
            </w:r>
          </w:p>
        </w:tc>
        <w:tc>
          <w:tcPr>
            <w:tcW w:w="323" w:type="dxa"/>
            <w:tcBorders>
              <w:top w:val="nil"/>
              <w:left w:val="nil"/>
              <w:bottom w:val="single" w:sz="8" w:space="0" w:color="auto"/>
              <w:right w:val="single" w:sz="8" w:space="0" w:color="auto"/>
            </w:tcBorders>
            <w:shd w:val="clear" w:color="auto" w:fill="auto"/>
            <w:vAlign w:val="center"/>
            <w:hideMark/>
          </w:tcPr>
          <w:p w14:paraId="28CFB69F"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4</w:t>
            </w:r>
          </w:p>
        </w:tc>
        <w:tc>
          <w:tcPr>
            <w:tcW w:w="505" w:type="dxa"/>
            <w:tcBorders>
              <w:top w:val="nil"/>
              <w:left w:val="nil"/>
              <w:bottom w:val="single" w:sz="8" w:space="0" w:color="auto"/>
              <w:right w:val="single" w:sz="8" w:space="0" w:color="auto"/>
            </w:tcBorders>
            <w:shd w:val="clear" w:color="auto" w:fill="auto"/>
            <w:vAlign w:val="center"/>
            <w:hideMark/>
          </w:tcPr>
          <w:p w14:paraId="439DB905"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23484</w:t>
            </w:r>
          </w:p>
        </w:tc>
        <w:tc>
          <w:tcPr>
            <w:tcW w:w="4243" w:type="dxa"/>
            <w:tcBorders>
              <w:top w:val="nil"/>
              <w:left w:val="nil"/>
              <w:bottom w:val="single" w:sz="8" w:space="0" w:color="auto"/>
              <w:right w:val="single" w:sz="8" w:space="0" w:color="auto"/>
            </w:tcBorders>
            <w:shd w:val="clear" w:color="auto" w:fill="auto"/>
            <w:vAlign w:val="center"/>
            <w:hideMark/>
          </w:tcPr>
          <w:p w14:paraId="14CFC4B1"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ASOCIACION DE USUARIOS DEL SERVICIO DE ENERGIA ELECTRICA DE PUERTO MERIZALDE</w:t>
            </w:r>
          </w:p>
        </w:tc>
        <w:tc>
          <w:tcPr>
            <w:tcW w:w="1196" w:type="dxa"/>
            <w:tcBorders>
              <w:top w:val="nil"/>
              <w:left w:val="nil"/>
              <w:bottom w:val="single" w:sz="8" w:space="0" w:color="auto"/>
              <w:right w:val="single" w:sz="8" w:space="0" w:color="auto"/>
            </w:tcBorders>
            <w:shd w:val="clear" w:color="auto" w:fill="auto"/>
            <w:vAlign w:val="center"/>
            <w:hideMark/>
          </w:tcPr>
          <w:p w14:paraId="01B985E8"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4552D352"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SIN REPORTE AL SUI</w:t>
            </w:r>
          </w:p>
        </w:tc>
      </w:tr>
      <w:tr w:rsidR="00AD4E79" w:rsidRPr="00AD4E79" w14:paraId="566F89D4" w14:textId="77777777" w:rsidTr="00AD4E79">
        <w:trPr>
          <w:trHeight w:val="357"/>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3191D0C8"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43</w:t>
            </w:r>
          </w:p>
        </w:tc>
        <w:tc>
          <w:tcPr>
            <w:tcW w:w="879" w:type="dxa"/>
            <w:tcBorders>
              <w:top w:val="nil"/>
              <w:left w:val="nil"/>
              <w:bottom w:val="single" w:sz="8" w:space="0" w:color="auto"/>
              <w:right w:val="single" w:sz="8" w:space="0" w:color="auto"/>
            </w:tcBorders>
            <w:shd w:val="clear" w:color="auto" w:fill="auto"/>
            <w:vAlign w:val="center"/>
            <w:hideMark/>
          </w:tcPr>
          <w:p w14:paraId="42035C47"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840.000.035</w:t>
            </w:r>
          </w:p>
        </w:tc>
        <w:tc>
          <w:tcPr>
            <w:tcW w:w="323" w:type="dxa"/>
            <w:tcBorders>
              <w:top w:val="nil"/>
              <w:left w:val="nil"/>
              <w:bottom w:val="single" w:sz="8" w:space="0" w:color="auto"/>
              <w:right w:val="single" w:sz="8" w:space="0" w:color="auto"/>
            </w:tcBorders>
            <w:shd w:val="clear" w:color="auto" w:fill="auto"/>
            <w:vAlign w:val="center"/>
            <w:hideMark/>
          </w:tcPr>
          <w:p w14:paraId="15F7DE8C"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5</w:t>
            </w:r>
          </w:p>
        </w:tc>
        <w:tc>
          <w:tcPr>
            <w:tcW w:w="505" w:type="dxa"/>
            <w:tcBorders>
              <w:top w:val="nil"/>
              <w:left w:val="nil"/>
              <w:bottom w:val="single" w:sz="8" w:space="0" w:color="auto"/>
              <w:right w:val="single" w:sz="8" w:space="0" w:color="auto"/>
            </w:tcBorders>
            <w:shd w:val="clear" w:color="auto" w:fill="auto"/>
            <w:vAlign w:val="center"/>
            <w:hideMark/>
          </w:tcPr>
          <w:p w14:paraId="612150A9"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1867</w:t>
            </w:r>
          </w:p>
        </w:tc>
        <w:tc>
          <w:tcPr>
            <w:tcW w:w="4243" w:type="dxa"/>
            <w:tcBorders>
              <w:top w:val="nil"/>
              <w:left w:val="nil"/>
              <w:bottom w:val="single" w:sz="8" w:space="0" w:color="auto"/>
              <w:right w:val="single" w:sz="8" w:space="0" w:color="auto"/>
            </w:tcBorders>
            <w:shd w:val="clear" w:color="auto" w:fill="auto"/>
            <w:vAlign w:val="center"/>
            <w:hideMark/>
          </w:tcPr>
          <w:p w14:paraId="56205F40"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EMPRESA GENERADORA DE ENERGIA ELECTRICA DEL CHARCO S.A E.</w:t>
            </w:r>
            <w:proofErr w:type="gramStart"/>
            <w:r w:rsidRPr="00AD4E79">
              <w:rPr>
                <w:rFonts w:ascii="Arial Narrow" w:hAnsi="Arial Narrow" w:cs="Arial"/>
                <w:spacing w:val="0"/>
                <w:sz w:val="16"/>
                <w:szCs w:val="16"/>
                <w:lang w:eastAsia="es-CO"/>
              </w:rPr>
              <w:t>S.P</w:t>
            </w:r>
            <w:proofErr w:type="gramEnd"/>
          </w:p>
        </w:tc>
        <w:tc>
          <w:tcPr>
            <w:tcW w:w="1196" w:type="dxa"/>
            <w:tcBorders>
              <w:top w:val="nil"/>
              <w:left w:val="nil"/>
              <w:bottom w:val="single" w:sz="8" w:space="0" w:color="auto"/>
              <w:right w:val="single" w:sz="8" w:space="0" w:color="auto"/>
            </w:tcBorders>
            <w:shd w:val="clear" w:color="auto" w:fill="auto"/>
            <w:vAlign w:val="center"/>
            <w:hideMark/>
          </w:tcPr>
          <w:p w14:paraId="32F2FDC2"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2EFDB758"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SIN REPORTE AL SUI</w:t>
            </w:r>
          </w:p>
        </w:tc>
      </w:tr>
      <w:tr w:rsidR="00AD4E79" w:rsidRPr="00AD4E79" w14:paraId="7F83170F" w14:textId="77777777" w:rsidTr="00AD4E79">
        <w:trPr>
          <w:trHeight w:val="369"/>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10076236"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44</w:t>
            </w:r>
          </w:p>
        </w:tc>
        <w:tc>
          <w:tcPr>
            <w:tcW w:w="879" w:type="dxa"/>
            <w:tcBorders>
              <w:top w:val="nil"/>
              <w:left w:val="nil"/>
              <w:bottom w:val="single" w:sz="8" w:space="0" w:color="auto"/>
              <w:right w:val="single" w:sz="8" w:space="0" w:color="auto"/>
            </w:tcBorders>
            <w:shd w:val="clear" w:color="auto" w:fill="auto"/>
            <w:vAlign w:val="center"/>
            <w:hideMark/>
          </w:tcPr>
          <w:p w14:paraId="064F5D14"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840.000.071</w:t>
            </w:r>
          </w:p>
        </w:tc>
        <w:tc>
          <w:tcPr>
            <w:tcW w:w="323" w:type="dxa"/>
            <w:tcBorders>
              <w:top w:val="nil"/>
              <w:left w:val="nil"/>
              <w:bottom w:val="single" w:sz="8" w:space="0" w:color="auto"/>
              <w:right w:val="single" w:sz="8" w:space="0" w:color="auto"/>
            </w:tcBorders>
            <w:shd w:val="clear" w:color="auto" w:fill="auto"/>
            <w:vAlign w:val="center"/>
            <w:hideMark/>
          </w:tcPr>
          <w:p w14:paraId="2DB2893B"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0</w:t>
            </w:r>
          </w:p>
        </w:tc>
        <w:tc>
          <w:tcPr>
            <w:tcW w:w="505" w:type="dxa"/>
            <w:tcBorders>
              <w:top w:val="nil"/>
              <w:left w:val="nil"/>
              <w:bottom w:val="single" w:sz="8" w:space="0" w:color="auto"/>
              <w:right w:val="single" w:sz="8" w:space="0" w:color="auto"/>
            </w:tcBorders>
            <w:shd w:val="clear" w:color="auto" w:fill="auto"/>
            <w:vAlign w:val="center"/>
            <w:hideMark/>
          </w:tcPr>
          <w:p w14:paraId="3547626B"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1900</w:t>
            </w:r>
          </w:p>
        </w:tc>
        <w:tc>
          <w:tcPr>
            <w:tcW w:w="4243" w:type="dxa"/>
            <w:tcBorders>
              <w:top w:val="nil"/>
              <w:left w:val="nil"/>
              <w:bottom w:val="single" w:sz="8" w:space="0" w:color="auto"/>
              <w:right w:val="single" w:sz="8" w:space="0" w:color="auto"/>
            </w:tcBorders>
            <w:shd w:val="clear" w:color="auto" w:fill="auto"/>
            <w:vAlign w:val="center"/>
            <w:hideMark/>
          </w:tcPr>
          <w:p w14:paraId="0E976F60"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 xml:space="preserve">E.A.T. DE PRESTACION DE SERVCIOS PUBLICOS DEL MUNICIPIO DE MOSQUERA EL </w:t>
            </w:r>
            <w:proofErr w:type="gramStart"/>
            <w:r w:rsidRPr="00AD4E79">
              <w:rPr>
                <w:rFonts w:ascii="Arial Narrow" w:hAnsi="Arial Narrow" w:cs="Arial"/>
                <w:spacing w:val="0"/>
                <w:sz w:val="16"/>
                <w:szCs w:val="16"/>
                <w:lang w:eastAsia="es-CO"/>
              </w:rPr>
              <w:t>PORVENIR  E.S.P.</w:t>
            </w:r>
            <w:proofErr w:type="gramEnd"/>
          </w:p>
        </w:tc>
        <w:tc>
          <w:tcPr>
            <w:tcW w:w="1196" w:type="dxa"/>
            <w:tcBorders>
              <w:top w:val="nil"/>
              <w:left w:val="nil"/>
              <w:bottom w:val="single" w:sz="8" w:space="0" w:color="auto"/>
              <w:right w:val="single" w:sz="8" w:space="0" w:color="auto"/>
            </w:tcBorders>
            <w:shd w:val="clear" w:color="auto" w:fill="auto"/>
            <w:vAlign w:val="center"/>
            <w:hideMark/>
          </w:tcPr>
          <w:p w14:paraId="62987ACF"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0EAC353D"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SIN REPORTE AL SUI</w:t>
            </w:r>
          </w:p>
        </w:tc>
      </w:tr>
      <w:tr w:rsidR="00AD4E79" w:rsidRPr="00AD4E79" w14:paraId="08B4018B"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6318999A"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45</w:t>
            </w:r>
          </w:p>
        </w:tc>
        <w:tc>
          <w:tcPr>
            <w:tcW w:w="879" w:type="dxa"/>
            <w:tcBorders>
              <w:top w:val="nil"/>
              <w:left w:val="nil"/>
              <w:bottom w:val="single" w:sz="8" w:space="0" w:color="auto"/>
              <w:right w:val="single" w:sz="8" w:space="0" w:color="auto"/>
            </w:tcBorders>
            <w:shd w:val="clear" w:color="auto" w:fill="auto"/>
            <w:vAlign w:val="center"/>
            <w:hideMark/>
          </w:tcPr>
          <w:p w14:paraId="41C98C3A"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840.000.203</w:t>
            </w:r>
          </w:p>
        </w:tc>
        <w:tc>
          <w:tcPr>
            <w:tcW w:w="323" w:type="dxa"/>
            <w:tcBorders>
              <w:top w:val="nil"/>
              <w:left w:val="nil"/>
              <w:bottom w:val="single" w:sz="8" w:space="0" w:color="auto"/>
              <w:right w:val="single" w:sz="8" w:space="0" w:color="auto"/>
            </w:tcBorders>
            <w:shd w:val="clear" w:color="auto" w:fill="auto"/>
            <w:vAlign w:val="center"/>
            <w:hideMark/>
          </w:tcPr>
          <w:p w14:paraId="6C155A65"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6</w:t>
            </w:r>
          </w:p>
        </w:tc>
        <w:tc>
          <w:tcPr>
            <w:tcW w:w="505" w:type="dxa"/>
            <w:tcBorders>
              <w:top w:val="nil"/>
              <w:left w:val="nil"/>
              <w:bottom w:val="single" w:sz="8" w:space="0" w:color="auto"/>
              <w:right w:val="single" w:sz="8" w:space="0" w:color="auto"/>
            </w:tcBorders>
            <w:shd w:val="clear" w:color="auto" w:fill="auto"/>
            <w:vAlign w:val="center"/>
            <w:hideMark/>
          </w:tcPr>
          <w:p w14:paraId="0A39BFEB"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2272</w:t>
            </w:r>
          </w:p>
        </w:tc>
        <w:tc>
          <w:tcPr>
            <w:tcW w:w="4243" w:type="dxa"/>
            <w:tcBorders>
              <w:top w:val="nil"/>
              <w:left w:val="nil"/>
              <w:bottom w:val="single" w:sz="8" w:space="0" w:color="auto"/>
              <w:right w:val="single" w:sz="8" w:space="0" w:color="auto"/>
            </w:tcBorders>
            <w:shd w:val="clear" w:color="auto" w:fill="auto"/>
            <w:vAlign w:val="center"/>
            <w:hideMark/>
          </w:tcPr>
          <w:p w14:paraId="64844B26"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EMPRESA DE ENERGIA DE SALAHONDA S.A. E.S.P.</w:t>
            </w:r>
          </w:p>
        </w:tc>
        <w:tc>
          <w:tcPr>
            <w:tcW w:w="1196" w:type="dxa"/>
            <w:tcBorders>
              <w:top w:val="nil"/>
              <w:left w:val="nil"/>
              <w:bottom w:val="single" w:sz="8" w:space="0" w:color="auto"/>
              <w:right w:val="single" w:sz="8" w:space="0" w:color="auto"/>
            </w:tcBorders>
            <w:shd w:val="clear" w:color="auto" w:fill="auto"/>
            <w:vAlign w:val="center"/>
            <w:hideMark/>
          </w:tcPr>
          <w:p w14:paraId="4243D429"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3F2EFD30"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SIN REPORTE AL SUI</w:t>
            </w:r>
          </w:p>
        </w:tc>
      </w:tr>
      <w:tr w:rsidR="00AD4E79" w:rsidRPr="00AD4E79" w14:paraId="2C09B51B" w14:textId="77777777" w:rsidTr="00AD4E79">
        <w:trPr>
          <w:trHeight w:val="403"/>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7CABE292"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46</w:t>
            </w:r>
          </w:p>
        </w:tc>
        <w:tc>
          <w:tcPr>
            <w:tcW w:w="879" w:type="dxa"/>
            <w:tcBorders>
              <w:top w:val="nil"/>
              <w:left w:val="nil"/>
              <w:bottom w:val="single" w:sz="8" w:space="0" w:color="auto"/>
              <w:right w:val="single" w:sz="8" w:space="0" w:color="auto"/>
            </w:tcBorders>
            <w:shd w:val="clear" w:color="auto" w:fill="auto"/>
            <w:vAlign w:val="center"/>
            <w:hideMark/>
          </w:tcPr>
          <w:p w14:paraId="691FFA44"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840.000.620</w:t>
            </w:r>
          </w:p>
        </w:tc>
        <w:tc>
          <w:tcPr>
            <w:tcW w:w="323" w:type="dxa"/>
            <w:tcBorders>
              <w:top w:val="nil"/>
              <w:left w:val="nil"/>
              <w:bottom w:val="single" w:sz="8" w:space="0" w:color="auto"/>
              <w:right w:val="single" w:sz="8" w:space="0" w:color="auto"/>
            </w:tcBorders>
            <w:shd w:val="clear" w:color="auto" w:fill="auto"/>
            <w:vAlign w:val="center"/>
            <w:hideMark/>
          </w:tcPr>
          <w:p w14:paraId="0AD0ED08"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4</w:t>
            </w:r>
          </w:p>
        </w:tc>
        <w:tc>
          <w:tcPr>
            <w:tcW w:w="505" w:type="dxa"/>
            <w:tcBorders>
              <w:top w:val="nil"/>
              <w:left w:val="nil"/>
              <w:bottom w:val="single" w:sz="8" w:space="0" w:color="auto"/>
              <w:right w:val="single" w:sz="8" w:space="0" w:color="auto"/>
            </w:tcBorders>
            <w:shd w:val="clear" w:color="auto" w:fill="auto"/>
            <w:vAlign w:val="center"/>
            <w:hideMark/>
          </w:tcPr>
          <w:p w14:paraId="0C21F5B8"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3027</w:t>
            </w:r>
          </w:p>
        </w:tc>
        <w:tc>
          <w:tcPr>
            <w:tcW w:w="4243" w:type="dxa"/>
            <w:tcBorders>
              <w:top w:val="nil"/>
              <w:left w:val="nil"/>
              <w:bottom w:val="single" w:sz="8" w:space="0" w:color="auto"/>
              <w:right w:val="single" w:sz="8" w:space="0" w:color="auto"/>
            </w:tcBorders>
            <w:shd w:val="clear" w:color="auto" w:fill="auto"/>
            <w:vAlign w:val="center"/>
            <w:hideMark/>
          </w:tcPr>
          <w:p w14:paraId="0DDC54F6" w14:textId="2AD2125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 xml:space="preserve">EMPRESA ASOCIATIVA DE TRABAJO ELECTRIFICADORA </w:t>
            </w:r>
            <w:proofErr w:type="gramStart"/>
            <w:r w:rsidRPr="00AD4E79">
              <w:rPr>
                <w:rFonts w:ascii="Arial Narrow" w:hAnsi="Arial Narrow" w:cs="Arial"/>
                <w:spacing w:val="0"/>
                <w:sz w:val="16"/>
                <w:szCs w:val="16"/>
                <w:lang w:eastAsia="es-CO"/>
              </w:rPr>
              <w:t>DE  SAN</w:t>
            </w:r>
            <w:proofErr w:type="gramEnd"/>
            <w:r w:rsidRPr="00AD4E79">
              <w:rPr>
                <w:rFonts w:ascii="Arial Narrow" w:hAnsi="Arial Narrow" w:cs="Arial"/>
                <w:spacing w:val="0"/>
                <w:sz w:val="16"/>
                <w:szCs w:val="16"/>
                <w:lang w:eastAsia="es-CO"/>
              </w:rPr>
              <w:t xml:space="preserve"> JUAN DE LA COSTA E.S.P. </w:t>
            </w:r>
          </w:p>
        </w:tc>
        <w:tc>
          <w:tcPr>
            <w:tcW w:w="1196" w:type="dxa"/>
            <w:tcBorders>
              <w:top w:val="nil"/>
              <w:left w:val="nil"/>
              <w:bottom w:val="single" w:sz="8" w:space="0" w:color="auto"/>
              <w:right w:val="single" w:sz="8" w:space="0" w:color="auto"/>
            </w:tcBorders>
            <w:shd w:val="clear" w:color="auto" w:fill="auto"/>
            <w:vAlign w:val="center"/>
            <w:hideMark/>
          </w:tcPr>
          <w:p w14:paraId="58B40EEC"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0EAD5E5C"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SIN REPORTE AL SUI</w:t>
            </w:r>
          </w:p>
        </w:tc>
      </w:tr>
      <w:tr w:rsidR="00AD4E79" w:rsidRPr="00AD4E79" w14:paraId="5DB067F2" w14:textId="77777777" w:rsidTr="00AD4E79">
        <w:trPr>
          <w:trHeight w:val="268"/>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0B75A3CE"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47</w:t>
            </w:r>
          </w:p>
        </w:tc>
        <w:tc>
          <w:tcPr>
            <w:tcW w:w="879" w:type="dxa"/>
            <w:tcBorders>
              <w:top w:val="nil"/>
              <w:left w:val="nil"/>
              <w:bottom w:val="single" w:sz="8" w:space="0" w:color="auto"/>
              <w:right w:val="single" w:sz="8" w:space="0" w:color="auto"/>
            </w:tcBorders>
            <w:shd w:val="clear" w:color="auto" w:fill="auto"/>
            <w:vAlign w:val="center"/>
            <w:hideMark/>
          </w:tcPr>
          <w:p w14:paraId="3B19C4E4"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840.000.776</w:t>
            </w:r>
          </w:p>
        </w:tc>
        <w:tc>
          <w:tcPr>
            <w:tcW w:w="323" w:type="dxa"/>
            <w:tcBorders>
              <w:top w:val="nil"/>
              <w:left w:val="nil"/>
              <w:bottom w:val="single" w:sz="8" w:space="0" w:color="auto"/>
              <w:right w:val="single" w:sz="8" w:space="0" w:color="auto"/>
            </w:tcBorders>
            <w:shd w:val="clear" w:color="auto" w:fill="auto"/>
            <w:vAlign w:val="center"/>
            <w:hideMark/>
          </w:tcPr>
          <w:p w14:paraId="66A33B5D"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4</w:t>
            </w:r>
          </w:p>
        </w:tc>
        <w:tc>
          <w:tcPr>
            <w:tcW w:w="505" w:type="dxa"/>
            <w:tcBorders>
              <w:top w:val="nil"/>
              <w:left w:val="nil"/>
              <w:bottom w:val="single" w:sz="8" w:space="0" w:color="auto"/>
              <w:right w:val="single" w:sz="8" w:space="0" w:color="auto"/>
            </w:tcBorders>
            <w:shd w:val="clear" w:color="auto" w:fill="auto"/>
            <w:vAlign w:val="center"/>
            <w:hideMark/>
          </w:tcPr>
          <w:p w14:paraId="1F294524"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3173</w:t>
            </w:r>
          </w:p>
        </w:tc>
        <w:tc>
          <w:tcPr>
            <w:tcW w:w="4243" w:type="dxa"/>
            <w:tcBorders>
              <w:top w:val="nil"/>
              <w:left w:val="nil"/>
              <w:bottom w:val="single" w:sz="8" w:space="0" w:color="auto"/>
              <w:right w:val="single" w:sz="8" w:space="0" w:color="auto"/>
            </w:tcBorders>
            <w:shd w:val="clear" w:color="auto" w:fill="auto"/>
            <w:vAlign w:val="center"/>
            <w:hideMark/>
          </w:tcPr>
          <w:p w14:paraId="0D4E2E34"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E.A.T. DE PRESTACION DE SERVICIOS PUBLICOS DE LA LOCALIDAD DEL CHAJAL MUNINIPIO DE TUMACO</w:t>
            </w:r>
          </w:p>
        </w:tc>
        <w:tc>
          <w:tcPr>
            <w:tcW w:w="1196" w:type="dxa"/>
            <w:tcBorders>
              <w:top w:val="nil"/>
              <w:left w:val="nil"/>
              <w:bottom w:val="single" w:sz="8" w:space="0" w:color="auto"/>
              <w:right w:val="single" w:sz="8" w:space="0" w:color="auto"/>
            </w:tcBorders>
            <w:shd w:val="clear" w:color="auto" w:fill="auto"/>
            <w:vAlign w:val="center"/>
            <w:hideMark/>
          </w:tcPr>
          <w:p w14:paraId="0B4F363E"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78E0A895"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SIN REPORTE AL SUI</w:t>
            </w:r>
          </w:p>
        </w:tc>
      </w:tr>
      <w:tr w:rsidR="00AD4E79" w:rsidRPr="00AD4E79" w14:paraId="62C80A64"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539086A7"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48</w:t>
            </w:r>
          </w:p>
        </w:tc>
        <w:tc>
          <w:tcPr>
            <w:tcW w:w="879" w:type="dxa"/>
            <w:tcBorders>
              <w:top w:val="nil"/>
              <w:left w:val="nil"/>
              <w:bottom w:val="single" w:sz="8" w:space="0" w:color="auto"/>
              <w:right w:val="single" w:sz="8" w:space="0" w:color="auto"/>
            </w:tcBorders>
            <w:shd w:val="clear" w:color="auto" w:fill="auto"/>
            <w:vAlign w:val="center"/>
            <w:hideMark/>
          </w:tcPr>
          <w:p w14:paraId="6A8AA967"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840.000.929</w:t>
            </w:r>
          </w:p>
        </w:tc>
        <w:tc>
          <w:tcPr>
            <w:tcW w:w="323" w:type="dxa"/>
            <w:tcBorders>
              <w:top w:val="nil"/>
              <w:left w:val="nil"/>
              <w:bottom w:val="single" w:sz="8" w:space="0" w:color="auto"/>
              <w:right w:val="single" w:sz="8" w:space="0" w:color="auto"/>
            </w:tcBorders>
            <w:shd w:val="clear" w:color="auto" w:fill="auto"/>
            <w:vAlign w:val="center"/>
            <w:hideMark/>
          </w:tcPr>
          <w:p w14:paraId="6491D478"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4</w:t>
            </w:r>
          </w:p>
        </w:tc>
        <w:tc>
          <w:tcPr>
            <w:tcW w:w="505" w:type="dxa"/>
            <w:tcBorders>
              <w:top w:val="nil"/>
              <w:left w:val="nil"/>
              <w:bottom w:val="single" w:sz="8" w:space="0" w:color="auto"/>
              <w:right w:val="single" w:sz="8" w:space="0" w:color="auto"/>
            </w:tcBorders>
            <w:shd w:val="clear" w:color="auto" w:fill="auto"/>
            <w:vAlign w:val="center"/>
            <w:hideMark/>
          </w:tcPr>
          <w:p w14:paraId="4990E9B1"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20081</w:t>
            </w:r>
          </w:p>
        </w:tc>
        <w:tc>
          <w:tcPr>
            <w:tcW w:w="4243" w:type="dxa"/>
            <w:tcBorders>
              <w:top w:val="nil"/>
              <w:left w:val="nil"/>
              <w:bottom w:val="single" w:sz="8" w:space="0" w:color="auto"/>
              <w:right w:val="single" w:sz="8" w:space="0" w:color="auto"/>
            </w:tcBorders>
            <w:shd w:val="clear" w:color="auto" w:fill="auto"/>
            <w:vAlign w:val="center"/>
            <w:hideMark/>
          </w:tcPr>
          <w:p w14:paraId="57620CEE"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EMPRESA DE ENERGIA DE MAGUI PAYAN S.A E.</w:t>
            </w:r>
            <w:proofErr w:type="gramStart"/>
            <w:r w:rsidRPr="00AD4E79">
              <w:rPr>
                <w:rFonts w:ascii="Arial Narrow" w:hAnsi="Arial Narrow" w:cs="Arial"/>
                <w:spacing w:val="0"/>
                <w:sz w:val="16"/>
                <w:szCs w:val="16"/>
                <w:lang w:eastAsia="es-CO"/>
              </w:rPr>
              <w:t>S.P</w:t>
            </w:r>
            <w:proofErr w:type="gramEnd"/>
          </w:p>
        </w:tc>
        <w:tc>
          <w:tcPr>
            <w:tcW w:w="1196" w:type="dxa"/>
            <w:tcBorders>
              <w:top w:val="nil"/>
              <w:left w:val="nil"/>
              <w:bottom w:val="single" w:sz="8" w:space="0" w:color="auto"/>
              <w:right w:val="single" w:sz="8" w:space="0" w:color="auto"/>
            </w:tcBorders>
            <w:shd w:val="clear" w:color="auto" w:fill="auto"/>
            <w:vAlign w:val="center"/>
            <w:hideMark/>
          </w:tcPr>
          <w:p w14:paraId="6796FA4C"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260D2EC5"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6BC0068C"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2F437B77"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49</w:t>
            </w:r>
          </w:p>
        </w:tc>
        <w:tc>
          <w:tcPr>
            <w:tcW w:w="879" w:type="dxa"/>
            <w:tcBorders>
              <w:top w:val="nil"/>
              <w:left w:val="nil"/>
              <w:bottom w:val="single" w:sz="8" w:space="0" w:color="auto"/>
              <w:right w:val="single" w:sz="8" w:space="0" w:color="auto"/>
            </w:tcBorders>
            <w:shd w:val="clear" w:color="auto" w:fill="auto"/>
            <w:vAlign w:val="center"/>
            <w:hideMark/>
          </w:tcPr>
          <w:p w14:paraId="4AE4559A"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840.000.937</w:t>
            </w:r>
          </w:p>
        </w:tc>
        <w:tc>
          <w:tcPr>
            <w:tcW w:w="323" w:type="dxa"/>
            <w:tcBorders>
              <w:top w:val="nil"/>
              <w:left w:val="nil"/>
              <w:bottom w:val="single" w:sz="8" w:space="0" w:color="auto"/>
              <w:right w:val="single" w:sz="8" w:space="0" w:color="auto"/>
            </w:tcBorders>
            <w:shd w:val="clear" w:color="auto" w:fill="auto"/>
            <w:vAlign w:val="center"/>
            <w:hideMark/>
          </w:tcPr>
          <w:p w14:paraId="34B4D8D3"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3</w:t>
            </w:r>
          </w:p>
        </w:tc>
        <w:tc>
          <w:tcPr>
            <w:tcW w:w="505" w:type="dxa"/>
            <w:tcBorders>
              <w:top w:val="nil"/>
              <w:left w:val="nil"/>
              <w:bottom w:val="single" w:sz="8" w:space="0" w:color="auto"/>
              <w:right w:val="single" w:sz="8" w:space="0" w:color="auto"/>
            </w:tcBorders>
            <w:shd w:val="clear" w:color="auto" w:fill="auto"/>
            <w:vAlign w:val="center"/>
            <w:hideMark/>
          </w:tcPr>
          <w:p w14:paraId="18EEF55D"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20067</w:t>
            </w:r>
          </w:p>
        </w:tc>
        <w:tc>
          <w:tcPr>
            <w:tcW w:w="4243" w:type="dxa"/>
            <w:tcBorders>
              <w:top w:val="nil"/>
              <w:left w:val="nil"/>
              <w:bottom w:val="single" w:sz="8" w:space="0" w:color="auto"/>
              <w:right w:val="single" w:sz="8" w:space="0" w:color="auto"/>
            </w:tcBorders>
            <w:shd w:val="clear" w:color="auto" w:fill="auto"/>
            <w:vAlign w:val="center"/>
            <w:hideMark/>
          </w:tcPr>
          <w:p w14:paraId="2247BB0B"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EAT ELECTRIFICADORA DE LA ZONA RURAL DE TUMACO</w:t>
            </w:r>
          </w:p>
        </w:tc>
        <w:tc>
          <w:tcPr>
            <w:tcW w:w="1196" w:type="dxa"/>
            <w:tcBorders>
              <w:top w:val="nil"/>
              <w:left w:val="nil"/>
              <w:bottom w:val="single" w:sz="8" w:space="0" w:color="auto"/>
              <w:right w:val="single" w:sz="8" w:space="0" w:color="auto"/>
            </w:tcBorders>
            <w:shd w:val="clear" w:color="auto" w:fill="auto"/>
            <w:vAlign w:val="center"/>
            <w:hideMark/>
          </w:tcPr>
          <w:p w14:paraId="34DF48B3"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74F4BB3D"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SIN REPORTE AL SUI</w:t>
            </w:r>
          </w:p>
        </w:tc>
      </w:tr>
      <w:tr w:rsidR="00AD4E79" w:rsidRPr="00AD4E79" w14:paraId="7589AAA3" w14:textId="77777777" w:rsidTr="00AD4E79">
        <w:trPr>
          <w:trHeight w:val="412"/>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40C81E92"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50</w:t>
            </w:r>
          </w:p>
        </w:tc>
        <w:tc>
          <w:tcPr>
            <w:tcW w:w="879" w:type="dxa"/>
            <w:tcBorders>
              <w:top w:val="nil"/>
              <w:left w:val="nil"/>
              <w:bottom w:val="single" w:sz="8" w:space="0" w:color="auto"/>
              <w:right w:val="single" w:sz="8" w:space="0" w:color="auto"/>
            </w:tcBorders>
            <w:shd w:val="clear" w:color="auto" w:fill="auto"/>
            <w:vAlign w:val="center"/>
            <w:hideMark/>
          </w:tcPr>
          <w:p w14:paraId="5849AEAA"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842.000.155</w:t>
            </w:r>
          </w:p>
        </w:tc>
        <w:tc>
          <w:tcPr>
            <w:tcW w:w="323" w:type="dxa"/>
            <w:tcBorders>
              <w:top w:val="nil"/>
              <w:left w:val="nil"/>
              <w:bottom w:val="single" w:sz="8" w:space="0" w:color="auto"/>
              <w:right w:val="single" w:sz="8" w:space="0" w:color="auto"/>
            </w:tcBorders>
            <w:shd w:val="clear" w:color="auto" w:fill="auto"/>
            <w:vAlign w:val="center"/>
            <w:hideMark/>
          </w:tcPr>
          <w:p w14:paraId="1DBE919E"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w:t>
            </w:r>
          </w:p>
        </w:tc>
        <w:tc>
          <w:tcPr>
            <w:tcW w:w="505" w:type="dxa"/>
            <w:tcBorders>
              <w:top w:val="nil"/>
              <w:left w:val="nil"/>
              <w:bottom w:val="single" w:sz="8" w:space="0" w:color="auto"/>
              <w:right w:val="single" w:sz="8" w:space="0" w:color="auto"/>
            </w:tcBorders>
            <w:shd w:val="clear" w:color="auto" w:fill="auto"/>
            <w:vAlign w:val="center"/>
            <w:hideMark/>
          </w:tcPr>
          <w:p w14:paraId="32E5166B"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3212</w:t>
            </w:r>
          </w:p>
        </w:tc>
        <w:tc>
          <w:tcPr>
            <w:tcW w:w="4243" w:type="dxa"/>
            <w:tcBorders>
              <w:top w:val="nil"/>
              <w:left w:val="nil"/>
              <w:bottom w:val="single" w:sz="8" w:space="0" w:color="auto"/>
              <w:right w:val="single" w:sz="8" w:space="0" w:color="auto"/>
            </w:tcBorders>
            <w:shd w:val="clear" w:color="auto" w:fill="auto"/>
            <w:vAlign w:val="center"/>
            <w:hideMark/>
          </w:tcPr>
          <w:p w14:paraId="1999CD4E"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 xml:space="preserve">EMPRESA DE ENERGIA ELECTRICA DEL DEPARTAMENTO DEL VICHADA </w:t>
            </w:r>
            <w:proofErr w:type="gramStart"/>
            <w:r w:rsidRPr="00AD4E79">
              <w:rPr>
                <w:rFonts w:ascii="Arial Narrow" w:hAnsi="Arial Narrow" w:cs="Arial"/>
                <w:spacing w:val="0"/>
                <w:sz w:val="16"/>
                <w:szCs w:val="16"/>
                <w:lang w:eastAsia="es-CO"/>
              </w:rPr>
              <w:t>S.A</w:t>
            </w:r>
            <w:proofErr w:type="gramEnd"/>
          </w:p>
        </w:tc>
        <w:tc>
          <w:tcPr>
            <w:tcW w:w="1196" w:type="dxa"/>
            <w:tcBorders>
              <w:top w:val="nil"/>
              <w:left w:val="nil"/>
              <w:bottom w:val="single" w:sz="8" w:space="0" w:color="auto"/>
              <w:right w:val="single" w:sz="8" w:space="0" w:color="auto"/>
            </w:tcBorders>
            <w:shd w:val="clear" w:color="auto" w:fill="auto"/>
            <w:vAlign w:val="center"/>
            <w:hideMark/>
          </w:tcPr>
          <w:p w14:paraId="3C65F949"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2F193818"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SIN REPORTE AL SUI</w:t>
            </w:r>
          </w:p>
        </w:tc>
      </w:tr>
      <w:tr w:rsidR="00AD4E79" w:rsidRPr="00AD4E79" w14:paraId="5413E339"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3D6418B7"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51</w:t>
            </w:r>
          </w:p>
        </w:tc>
        <w:tc>
          <w:tcPr>
            <w:tcW w:w="879" w:type="dxa"/>
            <w:tcBorders>
              <w:top w:val="nil"/>
              <w:left w:val="nil"/>
              <w:bottom w:val="single" w:sz="8" w:space="0" w:color="auto"/>
              <w:right w:val="single" w:sz="8" w:space="0" w:color="auto"/>
            </w:tcBorders>
            <w:shd w:val="clear" w:color="auto" w:fill="auto"/>
            <w:vAlign w:val="center"/>
            <w:hideMark/>
          </w:tcPr>
          <w:p w14:paraId="4414F4BB"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843.000.057</w:t>
            </w:r>
          </w:p>
        </w:tc>
        <w:tc>
          <w:tcPr>
            <w:tcW w:w="323" w:type="dxa"/>
            <w:tcBorders>
              <w:top w:val="nil"/>
              <w:left w:val="nil"/>
              <w:bottom w:val="single" w:sz="8" w:space="0" w:color="auto"/>
              <w:right w:val="single" w:sz="8" w:space="0" w:color="auto"/>
            </w:tcBorders>
            <w:shd w:val="clear" w:color="auto" w:fill="auto"/>
            <w:vAlign w:val="center"/>
            <w:hideMark/>
          </w:tcPr>
          <w:p w14:paraId="72FD7203"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w:t>
            </w:r>
          </w:p>
        </w:tc>
        <w:tc>
          <w:tcPr>
            <w:tcW w:w="505" w:type="dxa"/>
            <w:tcBorders>
              <w:top w:val="nil"/>
              <w:left w:val="nil"/>
              <w:bottom w:val="single" w:sz="8" w:space="0" w:color="auto"/>
              <w:right w:val="single" w:sz="8" w:space="0" w:color="auto"/>
            </w:tcBorders>
            <w:shd w:val="clear" w:color="auto" w:fill="auto"/>
            <w:vAlign w:val="center"/>
            <w:hideMark/>
          </w:tcPr>
          <w:p w14:paraId="000BD342"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2331</w:t>
            </w:r>
          </w:p>
        </w:tc>
        <w:tc>
          <w:tcPr>
            <w:tcW w:w="4243" w:type="dxa"/>
            <w:tcBorders>
              <w:top w:val="nil"/>
              <w:left w:val="nil"/>
              <w:bottom w:val="single" w:sz="8" w:space="0" w:color="auto"/>
              <w:right w:val="single" w:sz="8" w:space="0" w:color="auto"/>
            </w:tcBorders>
            <w:shd w:val="clear" w:color="auto" w:fill="auto"/>
            <w:vAlign w:val="center"/>
            <w:hideMark/>
          </w:tcPr>
          <w:p w14:paraId="60B42952"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EMPRESA DE ENERGIA DEL GUAINIA LA CEIBA S.A. E.S.P.</w:t>
            </w:r>
          </w:p>
        </w:tc>
        <w:tc>
          <w:tcPr>
            <w:tcW w:w="1196" w:type="dxa"/>
            <w:tcBorders>
              <w:top w:val="nil"/>
              <w:left w:val="nil"/>
              <w:bottom w:val="single" w:sz="8" w:space="0" w:color="auto"/>
              <w:right w:val="single" w:sz="8" w:space="0" w:color="auto"/>
            </w:tcBorders>
            <w:shd w:val="clear" w:color="auto" w:fill="auto"/>
            <w:vAlign w:val="center"/>
            <w:hideMark/>
          </w:tcPr>
          <w:p w14:paraId="7AA21E48"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3870A26C"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SIN REPORTE AL SUI</w:t>
            </w:r>
          </w:p>
        </w:tc>
      </w:tr>
      <w:tr w:rsidR="00AD4E79" w:rsidRPr="00AD4E79" w14:paraId="057966F9"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1A00E151"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52</w:t>
            </w:r>
          </w:p>
        </w:tc>
        <w:tc>
          <w:tcPr>
            <w:tcW w:w="879" w:type="dxa"/>
            <w:tcBorders>
              <w:top w:val="nil"/>
              <w:left w:val="nil"/>
              <w:bottom w:val="single" w:sz="8" w:space="0" w:color="auto"/>
              <w:right w:val="single" w:sz="8" w:space="0" w:color="auto"/>
            </w:tcBorders>
            <w:shd w:val="clear" w:color="auto" w:fill="auto"/>
            <w:vAlign w:val="center"/>
            <w:hideMark/>
          </w:tcPr>
          <w:p w14:paraId="2ED0B193"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845.000.021</w:t>
            </w:r>
          </w:p>
        </w:tc>
        <w:tc>
          <w:tcPr>
            <w:tcW w:w="323" w:type="dxa"/>
            <w:tcBorders>
              <w:top w:val="nil"/>
              <w:left w:val="nil"/>
              <w:bottom w:val="single" w:sz="8" w:space="0" w:color="auto"/>
              <w:right w:val="single" w:sz="8" w:space="0" w:color="auto"/>
            </w:tcBorders>
            <w:shd w:val="clear" w:color="auto" w:fill="auto"/>
            <w:vAlign w:val="center"/>
            <w:hideMark/>
          </w:tcPr>
          <w:p w14:paraId="17392361"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0</w:t>
            </w:r>
          </w:p>
        </w:tc>
        <w:tc>
          <w:tcPr>
            <w:tcW w:w="505" w:type="dxa"/>
            <w:tcBorders>
              <w:top w:val="nil"/>
              <w:left w:val="nil"/>
              <w:bottom w:val="single" w:sz="8" w:space="0" w:color="auto"/>
              <w:right w:val="single" w:sz="8" w:space="0" w:color="auto"/>
            </w:tcBorders>
            <w:shd w:val="clear" w:color="auto" w:fill="auto"/>
            <w:vAlign w:val="center"/>
            <w:hideMark/>
          </w:tcPr>
          <w:p w14:paraId="060F04F4"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20214</w:t>
            </w:r>
          </w:p>
        </w:tc>
        <w:tc>
          <w:tcPr>
            <w:tcW w:w="4243" w:type="dxa"/>
            <w:tcBorders>
              <w:top w:val="nil"/>
              <w:left w:val="nil"/>
              <w:bottom w:val="single" w:sz="8" w:space="0" w:color="auto"/>
              <w:right w:val="single" w:sz="8" w:space="0" w:color="auto"/>
            </w:tcBorders>
            <w:shd w:val="clear" w:color="auto" w:fill="auto"/>
            <w:vAlign w:val="center"/>
            <w:hideMark/>
          </w:tcPr>
          <w:p w14:paraId="093DA769"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DEPARTAMENTO DEL VAUPES</w:t>
            </w:r>
          </w:p>
        </w:tc>
        <w:tc>
          <w:tcPr>
            <w:tcW w:w="1196" w:type="dxa"/>
            <w:tcBorders>
              <w:top w:val="nil"/>
              <w:left w:val="nil"/>
              <w:bottom w:val="single" w:sz="8" w:space="0" w:color="auto"/>
              <w:right w:val="single" w:sz="8" w:space="0" w:color="auto"/>
            </w:tcBorders>
            <w:shd w:val="clear" w:color="auto" w:fill="auto"/>
            <w:vAlign w:val="center"/>
            <w:hideMark/>
          </w:tcPr>
          <w:p w14:paraId="1D4C256A"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0D4404D0"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SIN REPORTE AL SUI</w:t>
            </w:r>
          </w:p>
        </w:tc>
      </w:tr>
      <w:tr w:rsidR="00AD4E79" w:rsidRPr="00AD4E79" w14:paraId="2FAAE2AD"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1D7015E8"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53</w:t>
            </w:r>
          </w:p>
        </w:tc>
        <w:tc>
          <w:tcPr>
            <w:tcW w:w="879" w:type="dxa"/>
            <w:tcBorders>
              <w:top w:val="nil"/>
              <w:left w:val="nil"/>
              <w:bottom w:val="single" w:sz="8" w:space="0" w:color="auto"/>
              <w:right w:val="single" w:sz="8" w:space="0" w:color="auto"/>
            </w:tcBorders>
            <w:shd w:val="clear" w:color="auto" w:fill="auto"/>
            <w:vAlign w:val="center"/>
            <w:hideMark/>
          </w:tcPr>
          <w:p w14:paraId="700528A4"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846.000.060</w:t>
            </w:r>
          </w:p>
        </w:tc>
        <w:tc>
          <w:tcPr>
            <w:tcW w:w="323" w:type="dxa"/>
            <w:tcBorders>
              <w:top w:val="nil"/>
              <w:left w:val="nil"/>
              <w:bottom w:val="single" w:sz="8" w:space="0" w:color="auto"/>
              <w:right w:val="single" w:sz="8" w:space="0" w:color="auto"/>
            </w:tcBorders>
            <w:shd w:val="clear" w:color="auto" w:fill="auto"/>
            <w:vAlign w:val="center"/>
            <w:hideMark/>
          </w:tcPr>
          <w:p w14:paraId="10F500BC"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w:t>
            </w:r>
          </w:p>
        </w:tc>
        <w:tc>
          <w:tcPr>
            <w:tcW w:w="505" w:type="dxa"/>
            <w:tcBorders>
              <w:top w:val="nil"/>
              <w:left w:val="nil"/>
              <w:bottom w:val="single" w:sz="8" w:space="0" w:color="auto"/>
              <w:right w:val="single" w:sz="8" w:space="0" w:color="auto"/>
            </w:tcBorders>
            <w:shd w:val="clear" w:color="auto" w:fill="auto"/>
            <w:vAlign w:val="center"/>
            <w:hideMark/>
          </w:tcPr>
          <w:p w14:paraId="2229E82B"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1846</w:t>
            </w:r>
          </w:p>
        </w:tc>
        <w:tc>
          <w:tcPr>
            <w:tcW w:w="4243" w:type="dxa"/>
            <w:tcBorders>
              <w:top w:val="nil"/>
              <w:left w:val="nil"/>
              <w:bottom w:val="single" w:sz="8" w:space="0" w:color="auto"/>
              <w:right w:val="single" w:sz="8" w:space="0" w:color="auto"/>
            </w:tcBorders>
            <w:shd w:val="clear" w:color="auto" w:fill="auto"/>
            <w:vAlign w:val="center"/>
            <w:hideMark/>
          </w:tcPr>
          <w:p w14:paraId="3CBC721E"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 xml:space="preserve">EMPRESA DE ENERGIA DEL VALLE DE SIBUNDOY S.A. E.S.P. </w:t>
            </w:r>
          </w:p>
        </w:tc>
        <w:tc>
          <w:tcPr>
            <w:tcW w:w="1196" w:type="dxa"/>
            <w:tcBorders>
              <w:top w:val="nil"/>
              <w:left w:val="nil"/>
              <w:bottom w:val="single" w:sz="8" w:space="0" w:color="auto"/>
              <w:right w:val="single" w:sz="8" w:space="0" w:color="auto"/>
            </w:tcBorders>
            <w:shd w:val="clear" w:color="auto" w:fill="auto"/>
            <w:vAlign w:val="center"/>
            <w:hideMark/>
          </w:tcPr>
          <w:p w14:paraId="2472C117"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6166612D"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SIN REPORTE AL SUI</w:t>
            </w:r>
          </w:p>
        </w:tc>
      </w:tr>
      <w:tr w:rsidR="00AD4E79" w:rsidRPr="00AD4E79" w14:paraId="59CDE7A7"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49C6CCD5"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54</w:t>
            </w:r>
          </w:p>
        </w:tc>
        <w:tc>
          <w:tcPr>
            <w:tcW w:w="879" w:type="dxa"/>
            <w:tcBorders>
              <w:top w:val="nil"/>
              <w:left w:val="nil"/>
              <w:bottom w:val="single" w:sz="8" w:space="0" w:color="auto"/>
              <w:right w:val="single" w:sz="8" w:space="0" w:color="auto"/>
            </w:tcBorders>
            <w:shd w:val="clear" w:color="auto" w:fill="auto"/>
            <w:vAlign w:val="center"/>
            <w:hideMark/>
          </w:tcPr>
          <w:p w14:paraId="6AACD3E1"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846.000.241</w:t>
            </w:r>
          </w:p>
        </w:tc>
        <w:tc>
          <w:tcPr>
            <w:tcW w:w="323" w:type="dxa"/>
            <w:tcBorders>
              <w:top w:val="nil"/>
              <w:left w:val="nil"/>
              <w:bottom w:val="single" w:sz="8" w:space="0" w:color="auto"/>
              <w:right w:val="single" w:sz="8" w:space="0" w:color="auto"/>
            </w:tcBorders>
            <w:shd w:val="clear" w:color="auto" w:fill="auto"/>
            <w:vAlign w:val="center"/>
            <w:hideMark/>
          </w:tcPr>
          <w:p w14:paraId="03494A0A"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w:t>
            </w:r>
          </w:p>
        </w:tc>
        <w:tc>
          <w:tcPr>
            <w:tcW w:w="505" w:type="dxa"/>
            <w:tcBorders>
              <w:top w:val="nil"/>
              <w:left w:val="nil"/>
              <w:bottom w:val="single" w:sz="8" w:space="0" w:color="auto"/>
              <w:right w:val="single" w:sz="8" w:space="0" w:color="auto"/>
            </w:tcBorders>
            <w:shd w:val="clear" w:color="auto" w:fill="auto"/>
            <w:vAlign w:val="center"/>
            <w:hideMark/>
          </w:tcPr>
          <w:p w14:paraId="2DAA194E"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2016</w:t>
            </w:r>
          </w:p>
        </w:tc>
        <w:tc>
          <w:tcPr>
            <w:tcW w:w="4243" w:type="dxa"/>
            <w:tcBorders>
              <w:top w:val="nil"/>
              <w:left w:val="nil"/>
              <w:bottom w:val="single" w:sz="8" w:space="0" w:color="auto"/>
              <w:right w:val="single" w:sz="8" w:space="0" w:color="auto"/>
            </w:tcBorders>
            <w:shd w:val="clear" w:color="auto" w:fill="auto"/>
            <w:vAlign w:val="center"/>
            <w:hideMark/>
          </w:tcPr>
          <w:p w14:paraId="71999D9A"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EMPRESA DE ENERGIA DEL PUTUMAYO S.A. ESP</w:t>
            </w:r>
          </w:p>
        </w:tc>
        <w:tc>
          <w:tcPr>
            <w:tcW w:w="1196" w:type="dxa"/>
            <w:tcBorders>
              <w:top w:val="nil"/>
              <w:left w:val="nil"/>
              <w:bottom w:val="single" w:sz="8" w:space="0" w:color="auto"/>
              <w:right w:val="single" w:sz="8" w:space="0" w:color="auto"/>
            </w:tcBorders>
            <w:shd w:val="clear" w:color="auto" w:fill="auto"/>
            <w:vAlign w:val="center"/>
            <w:hideMark/>
          </w:tcPr>
          <w:p w14:paraId="2D400CBD"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0D3588CD"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3DDE0472"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4B3CE0F0"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55</w:t>
            </w:r>
          </w:p>
        </w:tc>
        <w:tc>
          <w:tcPr>
            <w:tcW w:w="879" w:type="dxa"/>
            <w:tcBorders>
              <w:top w:val="nil"/>
              <w:left w:val="nil"/>
              <w:bottom w:val="single" w:sz="8" w:space="0" w:color="auto"/>
              <w:right w:val="single" w:sz="8" w:space="0" w:color="auto"/>
            </w:tcBorders>
            <w:shd w:val="clear" w:color="auto" w:fill="auto"/>
            <w:vAlign w:val="center"/>
            <w:hideMark/>
          </w:tcPr>
          <w:p w14:paraId="798E26E8"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846.000.553</w:t>
            </w:r>
          </w:p>
        </w:tc>
        <w:tc>
          <w:tcPr>
            <w:tcW w:w="323" w:type="dxa"/>
            <w:tcBorders>
              <w:top w:val="nil"/>
              <w:left w:val="nil"/>
              <w:bottom w:val="single" w:sz="8" w:space="0" w:color="auto"/>
              <w:right w:val="single" w:sz="8" w:space="0" w:color="auto"/>
            </w:tcBorders>
            <w:shd w:val="clear" w:color="auto" w:fill="auto"/>
            <w:vAlign w:val="center"/>
            <w:hideMark/>
          </w:tcPr>
          <w:p w14:paraId="5D779CAC"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0</w:t>
            </w:r>
          </w:p>
        </w:tc>
        <w:tc>
          <w:tcPr>
            <w:tcW w:w="505" w:type="dxa"/>
            <w:tcBorders>
              <w:top w:val="nil"/>
              <w:left w:val="nil"/>
              <w:bottom w:val="single" w:sz="8" w:space="0" w:color="auto"/>
              <w:right w:val="single" w:sz="8" w:space="0" w:color="auto"/>
            </w:tcBorders>
            <w:shd w:val="clear" w:color="auto" w:fill="auto"/>
            <w:vAlign w:val="center"/>
            <w:hideMark/>
          </w:tcPr>
          <w:p w14:paraId="50C25F34"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2371</w:t>
            </w:r>
          </w:p>
        </w:tc>
        <w:tc>
          <w:tcPr>
            <w:tcW w:w="4243" w:type="dxa"/>
            <w:tcBorders>
              <w:top w:val="nil"/>
              <w:left w:val="nil"/>
              <w:bottom w:val="single" w:sz="8" w:space="0" w:color="auto"/>
              <w:right w:val="single" w:sz="8" w:space="0" w:color="auto"/>
            </w:tcBorders>
            <w:shd w:val="clear" w:color="auto" w:fill="auto"/>
            <w:vAlign w:val="center"/>
            <w:hideMark/>
          </w:tcPr>
          <w:p w14:paraId="4BCB3D3C"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 xml:space="preserve">EMPRESA DE ENERGIA DEL BAJO </w:t>
            </w:r>
            <w:proofErr w:type="gramStart"/>
            <w:r w:rsidRPr="00AD4E79">
              <w:rPr>
                <w:rFonts w:ascii="Arial Narrow" w:hAnsi="Arial Narrow" w:cs="Arial"/>
                <w:spacing w:val="0"/>
                <w:sz w:val="16"/>
                <w:szCs w:val="16"/>
                <w:lang w:eastAsia="es-CO"/>
              </w:rPr>
              <w:t>PUTUMAYO  S.A.</w:t>
            </w:r>
            <w:proofErr w:type="gramEnd"/>
            <w:r w:rsidRPr="00AD4E79">
              <w:rPr>
                <w:rFonts w:ascii="Arial Narrow" w:hAnsi="Arial Narrow" w:cs="Arial"/>
                <w:spacing w:val="0"/>
                <w:sz w:val="16"/>
                <w:szCs w:val="16"/>
                <w:lang w:eastAsia="es-CO"/>
              </w:rPr>
              <w:t xml:space="preserve">  E.S.P.</w:t>
            </w:r>
          </w:p>
        </w:tc>
        <w:tc>
          <w:tcPr>
            <w:tcW w:w="1196" w:type="dxa"/>
            <w:tcBorders>
              <w:top w:val="nil"/>
              <w:left w:val="nil"/>
              <w:bottom w:val="single" w:sz="8" w:space="0" w:color="auto"/>
              <w:right w:val="single" w:sz="8" w:space="0" w:color="auto"/>
            </w:tcBorders>
            <w:shd w:val="clear" w:color="auto" w:fill="auto"/>
            <w:vAlign w:val="center"/>
            <w:hideMark/>
          </w:tcPr>
          <w:p w14:paraId="4EF8FD7D"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41218452"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13BAAC70"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095D6E45"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56</w:t>
            </w:r>
          </w:p>
        </w:tc>
        <w:tc>
          <w:tcPr>
            <w:tcW w:w="879" w:type="dxa"/>
            <w:tcBorders>
              <w:top w:val="nil"/>
              <w:left w:val="nil"/>
              <w:bottom w:val="single" w:sz="8" w:space="0" w:color="auto"/>
              <w:right w:val="single" w:sz="8" w:space="0" w:color="auto"/>
            </w:tcBorders>
            <w:shd w:val="clear" w:color="auto" w:fill="auto"/>
            <w:vAlign w:val="center"/>
            <w:hideMark/>
          </w:tcPr>
          <w:p w14:paraId="605C1346"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860.016.610</w:t>
            </w:r>
          </w:p>
        </w:tc>
        <w:tc>
          <w:tcPr>
            <w:tcW w:w="323" w:type="dxa"/>
            <w:tcBorders>
              <w:top w:val="nil"/>
              <w:left w:val="nil"/>
              <w:bottom w:val="single" w:sz="8" w:space="0" w:color="auto"/>
              <w:right w:val="single" w:sz="8" w:space="0" w:color="auto"/>
            </w:tcBorders>
            <w:shd w:val="clear" w:color="auto" w:fill="auto"/>
            <w:vAlign w:val="center"/>
            <w:hideMark/>
          </w:tcPr>
          <w:p w14:paraId="475C45D6"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3</w:t>
            </w:r>
          </w:p>
        </w:tc>
        <w:tc>
          <w:tcPr>
            <w:tcW w:w="505" w:type="dxa"/>
            <w:tcBorders>
              <w:top w:val="nil"/>
              <w:left w:val="nil"/>
              <w:bottom w:val="single" w:sz="8" w:space="0" w:color="auto"/>
              <w:right w:val="single" w:sz="8" w:space="0" w:color="auto"/>
            </w:tcBorders>
            <w:shd w:val="clear" w:color="auto" w:fill="auto"/>
            <w:vAlign w:val="center"/>
            <w:hideMark/>
          </w:tcPr>
          <w:p w14:paraId="39F001AD"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592</w:t>
            </w:r>
          </w:p>
        </w:tc>
        <w:tc>
          <w:tcPr>
            <w:tcW w:w="4243" w:type="dxa"/>
            <w:tcBorders>
              <w:top w:val="nil"/>
              <w:left w:val="nil"/>
              <w:bottom w:val="single" w:sz="8" w:space="0" w:color="auto"/>
              <w:right w:val="single" w:sz="8" w:space="0" w:color="auto"/>
            </w:tcBorders>
            <w:shd w:val="clear" w:color="auto" w:fill="auto"/>
            <w:vAlign w:val="center"/>
            <w:hideMark/>
          </w:tcPr>
          <w:p w14:paraId="477D2902"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INTERCONEXION ELECTRICA S.A. E.S.P.</w:t>
            </w:r>
          </w:p>
        </w:tc>
        <w:tc>
          <w:tcPr>
            <w:tcW w:w="1196" w:type="dxa"/>
            <w:tcBorders>
              <w:top w:val="nil"/>
              <w:left w:val="nil"/>
              <w:bottom w:val="single" w:sz="8" w:space="0" w:color="auto"/>
              <w:right w:val="single" w:sz="8" w:space="0" w:color="auto"/>
            </w:tcBorders>
            <w:shd w:val="clear" w:color="auto" w:fill="auto"/>
            <w:vAlign w:val="center"/>
            <w:hideMark/>
          </w:tcPr>
          <w:p w14:paraId="279AFF6E"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0045E04D"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0754AF08"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7B75FC95"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57</w:t>
            </w:r>
          </w:p>
        </w:tc>
        <w:tc>
          <w:tcPr>
            <w:tcW w:w="879" w:type="dxa"/>
            <w:tcBorders>
              <w:top w:val="nil"/>
              <w:left w:val="nil"/>
              <w:bottom w:val="single" w:sz="8" w:space="0" w:color="auto"/>
              <w:right w:val="single" w:sz="8" w:space="0" w:color="auto"/>
            </w:tcBorders>
            <w:shd w:val="clear" w:color="auto" w:fill="auto"/>
            <w:vAlign w:val="center"/>
            <w:hideMark/>
          </w:tcPr>
          <w:p w14:paraId="7867DBAA"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860.076.426</w:t>
            </w:r>
          </w:p>
        </w:tc>
        <w:tc>
          <w:tcPr>
            <w:tcW w:w="323" w:type="dxa"/>
            <w:tcBorders>
              <w:top w:val="nil"/>
              <w:left w:val="nil"/>
              <w:bottom w:val="single" w:sz="8" w:space="0" w:color="auto"/>
              <w:right w:val="single" w:sz="8" w:space="0" w:color="auto"/>
            </w:tcBorders>
            <w:shd w:val="clear" w:color="auto" w:fill="auto"/>
            <w:vAlign w:val="center"/>
            <w:hideMark/>
          </w:tcPr>
          <w:p w14:paraId="4362FE9F"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0</w:t>
            </w:r>
          </w:p>
        </w:tc>
        <w:tc>
          <w:tcPr>
            <w:tcW w:w="505" w:type="dxa"/>
            <w:tcBorders>
              <w:top w:val="nil"/>
              <w:left w:val="nil"/>
              <w:bottom w:val="single" w:sz="8" w:space="0" w:color="auto"/>
              <w:right w:val="single" w:sz="8" w:space="0" w:color="auto"/>
            </w:tcBorders>
            <w:shd w:val="clear" w:color="auto" w:fill="auto"/>
            <w:vAlign w:val="center"/>
            <w:hideMark/>
          </w:tcPr>
          <w:p w14:paraId="47CEE8F6"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29311</w:t>
            </w:r>
          </w:p>
        </w:tc>
        <w:tc>
          <w:tcPr>
            <w:tcW w:w="4243" w:type="dxa"/>
            <w:tcBorders>
              <w:top w:val="nil"/>
              <w:left w:val="nil"/>
              <w:bottom w:val="single" w:sz="8" w:space="0" w:color="auto"/>
              <w:right w:val="single" w:sz="8" w:space="0" w:color="auto"/>
            </w:tcBorders>
            <w:shd w:val="clear" w:color="auto" w:fill="auto"/>
            <w:vAlign w:val="center"/>
            <w:hideMark/>
          </w:tcPr>
          <w:p w14:paraId="67CBFEFB"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ENERGETICA SA ESP</w:t>
            </w:r>
          </w:p>
        </w:tc>
        <w:tc>
          <w:tcPr>
            <w:tcW w:w="1196" w:type="dxa"/>
            <w:tcBorders>
              <w:top w:val="nil"/>
              <w:left w:val="nil"/>
              <w:bottom w:val="single" w:sz="8" w:space="0" w:color="auto"/>
              <w:right w:val="single" w:sz="8" w:space="0" w:color="auto"/>
            </w:tcBorders>
            <w:shd w:val="clear" w:color="auto" w:fill="auto"/>
            <w:vAlign w:val="center"/>
            <w:hideMark/>
          </w:tcPr>
          <w:p w14:paraId="1801C651"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1721D0D1"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6181F143"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56CB75DC"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58</w:t>
            </w:r>
          </w:p>
        </w:tc>
        <w:tc>
          <w:tcPr>
            <w:tcW w:w="879" w:type="dxa"/>
            <w:tcBorders>
              <w:top w:val="nil"/>
              <w:left w:val="nil"/>
              <w:bottom w:val="single" w:sz="8" w:space="0" w:color="auto"/>
              <w:right w:val="single" w:sz="8" w:space="0" w:color="auto"/>
            </w:tcBorders>
            <w:shd w:val="clear" w:color="auto" w:fill="auto"/>
            <w:vAlign w:val="center"/>
            <w:hideMark/>
          </w:tcPr>
          <w:p w14:paraId="56755C5A"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890.201.230</w:t>
            </w:r>
          </w:p>
        </w:tc>
        <w:tc>
          <w:tcPr>
            <w:tcW w:w="323" w:type="dxa"/>
            <w:tcBorders>
              <w:top w:val="nil"/>
              <w:left w:val="nil"/>
              <w:bottom w:val="single" w:sz="8" w:space="0" w:color="auto"/>
              <w:right w:val="single" w:sz="8" w:space="0" w:color="auto"/>
            </w:tcBorders>
            <w:shd w:val="clear" w:color="auto" w:fill="auto"/>
            <w:vAlign w:val="center"/>
            <w:hideMark/>
          </w:tcPr>
          <w:p w14:paraId="6F64C3F5"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w:t>
            </w:r>
          </w:p>
        </w:tc>
        <w:tc>
          <w:tcPr>
            <w:tcW w:w="505" w:type="dxa"/>
            <w:tcBorders>
              <w:top w:val="nil"/>
              <w:left w:val="nil"/>
              <w:bottom w:val="single" w:sz="8" w:space="0" w:color="auto"/>
              <w:right w:val="single" w:sz="8" w:space="0" w:color="auto"/>
            </w:tcBorders>
            <w:shd w:val="clear" w:color="auto" w:fill="auto"/>
            <w:vAlign w:val="center"/>
            <w:hideMark/>
          </w:tcPr>
          <w:p w14:paraId="07BE70FD"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524</w:t>
            </w:r>
          </w:p>
        </w:tc>
        <w:tc>
          <w:tcPr>
            <w:tcW w:w="4243" w:type="dxa"/>
            <w:tcBorders>
              <w:top w:val="nil"/>
              <w:left w:val="nil"/>
              <w:bottom w:val="single" w:sz="8" w:space="0" w:color="auto"/>
              <w:right w:val="single" w:sz="8" w:space="0" w:color="auto"/>
            </w:tcBorders>
            <w:shd w:val="clear" w:color="auto" w:fill="auto"/>
            <w:vAlign w:val="center"/>
            <w:hideMark/>
          </w:tcPr>
          <w:p w14:paraId="30014B70"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ELECTRIFICADORA DE SANTANDER S.A. E.S.P.</w:t>
            </w:r>
          </w:p>
        </w:tc>
        <w:tc>
          <w:tcPr>
            <w:tcW w:w="1196" w:type="dxa"/>
            <w:tcBorders>
              <w:top w:val="nil"/>
              <w:left w:val="nil"/>
              <w:bottom w:val="single" w:sz="8" w:space="0" w:color="auto"/>
              <w:right w:val="single" w:sz="8" w:space="0" w:color="auto"/>
            </w:tcBorders>
            <w:shd w:val="clear" w:color="auto" w:fill="auto"/>
            <w:vAlign w:val="center"/>
            <w:hideMark/>
          </w:tcPr>
          <w:p w14:paraId="3CB7E400"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75B2A572"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5C07C341" w14:textId="77777777" w:rsidTr="00AD4E79">
        <w:trPr>
          <w:trHeight w:val="203"/>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51117214"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59</w:t>
            </w:r>
          </w:p>
        </w:tc>
        <w:tc>
          <w:tcPr>
            <w:tcW w:w="879" w:type="dxa"/>
            <w:tcBorders>
              <w:top w:val="nil"/>
              <w:left w:val="nil"/>
              <w:bottom w:val="single" w:sz="8" w:space="0" w:color="auto"/>
              <w:right w:val="single" w:sz="8" w:space="0" w:color="auto"/>
            </w:tcBorders>
            <w:shd w:val="clear" w:color="auto" w:fill="auto"/>
            <w:vAlign w:val="center"/>
            <w:hideMark/>
          </w:tcPr>
          <w:p w14:paraId="255241D5"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890.500.514</w:t>
            </w:r>
          </w:p>
        </w:tc>
        <w:tc>
          <w:tcPr>
            <w:tcW w:w="323" w:type="dxa"/>
            <w:tcBorders>
              <w:top w:val="nil"/>
              <w:left w:val="nil"/>
              <w:bottom w:val="single" w:sz="8" w:space="0" w:color="auto"/>
              <w:right w:val="single" w:sz="8" w:space="0" w:color="auto"/>
            </w:tcBorders>
            <w:shd w:val="clear" w:color="auto" w:fill="auto"/>
            <w:vAlign w:val="center"/>
            <w:hideMark/>
          </w:tcPr>
          <w:p w14:paraId="5FB456AD"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w:t>
            </w:r>
          </w:p>
        </w:tc>
        <w:tc>
          <w:tcPr>
            <w:tcW w:w="505" w:type="dxa"/>
            <w:tcBorders>
              <w:top w:val="nil"/>
              <w:left w:val="nil"/>
              <w:bottom w:val="single" w:sz="8" w:space="0" w:color="auto"/>
              <w:right w:val="single" w:sz="8" w:space="0" w:color="auto"/>
            </w:tcBorders>
            <w:shd w:val="clear" w:color="auto" w:fill="auto"/>
            <w:vAlign w:val="center"/>
            <w:hideMark/>
          </w:tcPr>
          <w:p w14:paraId="246E23EF"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604</w:t>
            </w:r>
          </w:p>
        </w:tc>
        <w:tc>
          <w:tcPr>
            <w:tcW w:w="4243" w:type="dxa"/>
            <w:tcBorders>
              <w:top w:val="nil"/>
              <w:left w:val="nil"/>
              <w:bottom w:val="single" w:sz="8" w:space="0" w:color="auto"/>
              <w:right w:val="single" w:sz="8" w:space="0" w:color="auto"/>
            </w:tcBorders>
            <w:shd w:val="clear" w:color="auto" w:fill="auto"/>
            <w:vAlign w:val="center"/>
            <w:hideMark/>
          </w:tcPr>
          <w:p w14:paraId="30654FAF"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CENTRALES ELECTRICAS DEL NORTE DE SANTANDER S.A. ESP</w:t>
            </w:r>
          </w:p>
        </w:tc>
        <w:tc>
          <w:tcPr>
            <w:tcW w:w="1196" w:type="dxa"/>
            <w:tcBorders>
              <w:top w:val="nil"/>
              <w:left w:val="nil"/>
              <w:bottom w:val="single" w:sz="8" w:space="0" w:color="auto"/>
              <w:right w:val="single" w:sz="8" w:space="0" w:color="auto"/>
            </w:tcBorders>
            <w:shd w:val="clear" w:color="auto" w:fill="auto"/>
            <w:vAlign w:val="center"/>
            <w:hideMark/>
          </w:tcPr>
          <w:p w14:paraId="39AEA778"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7C5B7796"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42C2B2C7" w14:textId="77777777" w:rsidTr="00AD4E79">
        <w:trPr>
          <w:trHeight w:val="419"/>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30DA87EE"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60</w:t>
            </w:r>
          </w:p>
        </w:tc>
        <w:tc>
          <w:tcPr>
            <w:tcW w:w="879" w:type="dxa"/>
            <w:tcBorders>
              <w:top w:val="nil"/>
              <w:left w:val="nil"/>
              <w:bottom w:val="single" w:sz="8" w:space="0" w:color="auto"/>
              <w:right w:val="single" w:sz="8" w:space="0" w:color="auto"/>
            </w:tcBorders>
            <w:shd w:val="clear" w:color="auto" w:fill="auto"/>
            <w:vAlign w:val="center"/>
            <w:hideMark/>
          </w:tcPr>
          <w:p w14:paraId="4A9D7DD7"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890.800.128</w:t>
            </w:r>
          </w:p>
        </w:tc>
        <w:tc>
          <w:tcPr>
            <w:tcW w:w="323" w:type="dxa"/>
            <w:tcBorders>
              <w:top w:val="nil"/>
              <w:left w:val="nil"/>
              <w:bottom w:val="single" w:sz="8" w:space="0" w:color="auto"/>
              <w:right w:val="single" w:sz="8" w:space="0" w:color="auto"/>
            </w:tcBorders>
            <w:shd w:val="clear" w:color="auto" w:fill="auto"/>
            <w:vAlign w:val="center"/>
            <w:hideMark/>
          </w:tcPr>
          <w:p w14:paraId="16F18CC8"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6</w:t>
            </w:r>
          </w:p>
        </w:tc>
        <w:tc>
          <w:tcPr>
            <w:tcW w:w="505" w:type="dxa"/>
            <w:tcBorders>
              <w:top w:val="nil"/>
              <w:left w:val="nil"/>
              <w:bottom w:val="single" w:sz="8" w:space="0" w:color="auto"/>
              <w:right w:val="single" w:sz="8" w:space="0" w:color="auto"/>
            </w:tcBorders>
            <w:shd w:val="clear" w:color="auto" w:fill="auto"/>
            <w:vAlign w:val="center"/>
            <w:hideMark/>
          </w:tcPr>
          <w:p w14:paraId="4BB288CE"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502</w:t>
            </w:r>
          </w:p>
        </w:tc>
        <w:tc>
          <w:tcPr>
            <w:tcW w:w="4243" w:type="dxa"/>
            <w:tcBorders>
              <w:top w:val="nil"/>
              <w:left w:val="nil"/>
              <w:bottom w:val="single" w:sz="8" w:space="0" w:color="auto"/>
              <w:right w:val="single" w:sz="8" w:space="0" w:color="auto"/>
            </w:tcBorders>
            <w:shd w:val="clear" w:color="auto" w:fill="auto"/>
            <w:vAlign w:val="center"/>
            <w:hideMark/>
          </w:tcPr>
          <w:p w14:paraId="1B3730DD"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CENTRAL HIDROELECTRICA DE CALDAS S.A. E.S.P. BIC BENEFICIO E INTERES COLECTIVO</w:t>
            </w:r>
          </w:p>
        </w:tc>
        <w:tc>
          <w:tcPr>
            <w:tcW w:w="1196" w:type="dxa"/>
            <w:tcBorders>
              <w:top w:val="nil"/>
              <w:left w:val="nil"/>
              <w:bottom w:val="single" w:sz="8" w:space="0" w:color="auto"/>
              <w:right w:val="single" w:sz="8" w:space="0" w:color="auto"/>
            </w:tcBorders>
            <w:shd w:val="clear" w:color="auto" w:fill="auto"/>
            <w:vAlign w:val="center"/>
            <w:hideMark/>
          </w:tcPr>
          <w:p w14:paraId="2F5A4296"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34B94617"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035A79A6"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42514EA4"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61</w:t>
            </w:r>
          </w:p>
        </w:tc>
        <w:tc>
          <w:tcPr>
            <w:tcW w:w="879" w:type="dxa"/>
            <w:tcBorders>
              <w:top w:val="nil"/>
              <w:left w:val="nil"/>
              <w:bottom w:val="single" w:sz="8" w:space="0" w:color="auto"/>
              <w:right w:val="single" w:sz="8" w:space="0" w:color="auto"/>
            </w:tcBorders>
            <w:shd w:val="clear" w:color="auto" w:fill="auto"/>
            <w:vAlign w:val="center"/>
            <w:hideMark/>
          </w:tcPr>
          <w:p w14:paraId="4442B4F5"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891.180.001</w:t>
            </w:r>
          </w:p>
        </w:tc>
        <w:tc>
          <w:tcPr>
            <w:tcW w:w="323" w:type="dxa"/>
            <w:tcBorders>
              <w:top w:val="nil"/>
              <w:left w:val="nil"/>
              <w:bottom w:val="single" w:sz="8" w:space="0" w:color="auto"/>
              <w:right w:val="single" w:sz="8" w:space="0" w:color="auto"/>
            </w:tcBorders>
            <w:shd w:val="clear" w:color="auto" w:fill="auto"/>
            <w:vAlign w:val="center"/>
            <w:hideMark/>
          </w:tcPr>
          <w:p w14:paraId="4E24EA81"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w:t>
            </w:r>
          </w:p>
        </w:tc>
        <w:tc>
          <w:tcPr>
            <w:tcW w:w="505" w:type="dxa"/>
            <w:tcBorders>
              <w:top w:val="nil"/>
              <w:left w:val="nil"/>
              <w:bottom w:val="single" w:sz="8" w:space="0" w:color="auto"/>
              <w:right w:val="single" w:sz="8" w:space="0" w:color="auto"/>
            </w:tcBorders>
            <w:shd w:val="clear" w:color="auto" w:fill="auto"/>
            <w:vAlign w:val="center"/>
            <w:hideMark/>
          </w:tcPr>
          <w:p w14:paraId="794525FC"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1014</w:t>
            </w:r>
          </w:p>
        </w:tc>
        <w:tc>
          <w:tcPr>
            <w:tcW w:w="4243" w:type="dxa"/>
            <w:tcBorders>
              <w:top w:val="nil"/>
              <w:left w:val="nil"/>
              <w:bottom w:val="single" w:sz="8" w:space="0" w:color="auto"/>
              <w:right w:val="single" w:sz="8" w:space="0" w:color="auto"/>
            </w:tcBorders>
            <w:shd w:val="clear" w:color="auto" w:fill="auto"/>
            <w:vAlign w:val="center"/>
            <w:hideMark/>
          </w:tcPr>
          <w:p w14:paraId="6CCF2D8E"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ELECTRIFICADORA DEL HUILA S.A. E.S.P.</w:t>
            </w:r>
          </w:p>
        </w:tc>
        <w:tc>
          <w:tcPr>
            <w:tcW w:w="1196" w:type="dxa"/>
            <w:tcBorders>
              <w:top w:val="nil"/>
              <w:left w:val="nil"/>
              <w:bottom w:val="single" w:sz="8" w:space="0" w:color="auto"/>
              <w:right w:val="single" w:sz="8" w:space="0" w:color="auto"/>
            </w:tcBorders>
            <w:shd w:val="clear" w:color="auto" w:fill="auto"/>
            <w:vAlign w:val="center"/>
            <w:hideMark/>
          </w:tcPr>
          <w:p w14:paraId="631387E9"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7F51E210"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50ECFDCE"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40F99645"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62</w:t>
            </w:r>
          </w:p>
        </w:tc>
        <w:tc>
          <w:tcPr>
            <w:tcW w:w="879" w:type="dxa"/>
            <w:tcBorders>
              <w:top w:val="nil"/>
              <w:left w:val="nil"/>
              <w:bottom w:val="single" w:sz="8" w:space="0" w:color="auto"/>
              <w:right w:val="single" w:sz="8" w:space="0" w:color="auto"/>
            </w:tcBorders>
            <w:shd w:val="clear" w:color="auto" w:fill="auto"/>
            <w:vAlign w:val="center"/>
            <w:hideMark/>
          </w:tcPr>
          <w:p w14:paraId="42069B0D"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891.190.127</w:t>
            </w:r>
          </w:p>
        </w:tc>
        <w:tc>
          <w:tcPr>
            <w:tcW w:w="323" w:type="dxa"/>
            <w:tcBorders>
              <w:top w:val="nil"/>
              <w:left w:val="nil"/>
              <w:bottom w:val="single" w:sz="8" w:space="0" w:color="auto"/>
              <w:right w:val="single" w:sz="8" w:space="0" w:color="auto"/>
            </w:tcBorders>
            <w:shd w:val="clear" w:color="auto" w:fill="auto"/>
            <w:vAlign w:val="center"/>
            <w:hideMark/>
          </w:tcPr>
          <w:p w14:paraId="12770E3A"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3</w:t>
            </w:r>
          </w:p>
        </w:tc>
        <w:tc>
          <w:tcPr>
            <w:tcW w:w="505" w:type="dxa"/>
            <w:tcBorders>
              <w:top w:val="nil"/>
              <w:left w:val="nil"/>
              <w:bottom w:val="single" w:sz="8" w:space="0" w:color="auto"/>
              <w:right w:val="single" w:sz="8" w:space="0" w:color="auto"/>
            </w:tcBorders>
            <w:shd w:val="clear" w:color="auto" w:fill="auto"/>
            <w:vAlign w:val="center"/>
            <w:hideMark/>
          </w:tcPr>
          <w:p w14:paraId="7C698C00"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1032</w:t>
            </w:r>
          </w:p>
        </w:tc>
        <w:tc>
          <w:tcPr>
            <w:tcW w:w="4243" w:type="dxa"/>
            <w:tcBorders>
              <w:top w:val="nil"/>
              <w:left w:val="nil"/>
              <w:bottom w:val="single" w:sz="8" w:space="0" w:color="auto"/>
              <w:right w:val="single" w:sz="8" w:space="0" w:color="auto"/>
            </w:tcBorders>
            <w:shd w:val="clear" w:color="auto" w:fill="auto"/>
            <w:vAlign w:val="center"/>
            <w:hideMark/>
          </w:tcPr>
          <w:p w14:paraId="782CE065"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ELECTRIFICADORA DEL CAQUETA S.A. ESP</w:t>
            </w:r>
          </w:p>
        </w:tc>
        <w:tc>
          <w:tcPr>
            <w:tcW w:w="1196" w:type="dxa"/>
            <w:tcBorders>
              <w:top w:val="nil"/>
              <w:left w:val="nil"/>
              <w:bottom w:val="single" w:sz="8" w:space="0" w:color="auto"/>
              <w:right w:val="single" w:sz="8" w:space="0" w:color="auto"/>
            </w:tcBorders>
            <w:shd w:val="clear" w:color="auto" w:fill="auto"/>
            <w:vAlign w:val="center"/>
            <w:hideMark/>
          </w:tcPr>
          <w:p w14:paraId="6CA98165"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3DD5DF86"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6FE3681D"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2ED1B7C8"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63</w:t>
            </w:r>
          </w:p>
        </w:tc>
        <w:tc>
          <w:tcPr>
            <w:tcW w:w="879" w:type="dxa"/>
            <w:tcBorders>
              <w:top w:val="nil"/>
              <w:left w:val="nil"/>
              <w:bottom w:val="single" w:sz="8" w:space="0" w:color="auto"/>
              <w:right w:val="single" w:sz="8" w:space="0" w:color="auto"/>
            </w:tcBorders>
            <w:shd w:val="clear" w:color="auto" w:fill="auto"/>
            <w:vAlign w:val="center"/>
            <w:hideMark/>
          </w:tcPr>
          <w:p w14:paraId="3E84355E"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891.200.200</w:t>
            </w:r>
          </w:p>
        </w:tc>
        <w:tc>
          <w:tcPr>
            <w:tcW w:w="323" w:type="dxa"/>
            <w:tcBorders>
              <w:top w:val="nil"/>
              <w:left w:val="nil"/>
              <w:bottom w:val="single" w:sz="8" w:space="0" w:color="auto"/>
              <w:right w:val="single" w:sz="8" w:space="0" w:color="auto"/>
            </w:tcBorders>
            <w:shd w:val="clear" w:color="auto" w:fill="auto"/>
            <w:vAlign w:val="center"/>
            <w:hideMark/>
          </w:tcPr>
          <w:p w14:paraId="71003C73"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w:t>
            </w:r>
          </w:p>
        </w:tc>
        <w:tc>
          <w:tcPr>
            <w:tcW w:w="505" w:type="dxa"/>
            <w:tcBorders>
              <w:top w:val="nil"/>
              <w:left w:val="nil"/>
              <w:bottom w:val="single" w:sz="8" w:space="0" w:color="auto"/>
              <w:right w:val="single" w:sz="8" w:space="0" w:color="auto"/>
            </w:tcBorders>
            <w:shd w:val="clear" w:color="auto" w:fill="auto"/>
            <w:vAlign w:val="center"/>
            <w:hideMark/>
          </w:tcPr>
          <w:p w14:paraId="311BF7CC"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520</w:t>
            </w:r>
          </w:p>
        </w:tc>
        <w:tc>
          <w:tcPr>
            <w:tcW w:w="4243" w:type="dxa"/>
            <w:tcBorders>
              <w:top w:val="nil"/>
              <w:left w:val="nil"/>
              <w:bottom w:val="single" w:sz="8" w:space="0" w:color="auto"/>
              <w:right w:val="single" w:sz="8" w:space="0" w:color="auto"/>
            </w:tcBorders>
            <w:shd w:val="clear" w:color="auto" w:fill="auto"/>
            <w:vAlign w:val="center"/>
            <w:hideMark/>
          </w:tcPr>
          <w:p w14:paraId="18FE15DE"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CENTRALES ELECTRICAS DE NARIÑO S.A. E.S.P.</w:t>
            </w:r>
          </w:p>
        </w:tc>
        <w:tc>
          <w:tcPr>
            <w:tcW w:w="1196" w:type="dxa"/>
            <w:tcBorders>
              <w:top w:val="nil"/>
              <w:left w:val="nil"/>
              <w:bottom w:val="single" w:sz="8" w:space="0" w:color="auto"/>
              <w:right w:val="single" w:sz="8" w:space="0" w:color="auto"/>
            </w:tcBorders>
            <w:shd w:val="clear" w:color="auto" w:fill="auto"/>
            <w:vAlign w:val="center"/>
            <w:hideMark/>
          </w:tcPr>
          <w:p w14:paraId="6699A76F"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2FB93999"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3642E792"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021E0FF5"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64</w:t>
            </w:r>
          </w:p>
        </w:tc>
        <w:tc>
          <w:tcPr>
            <w:tcW w:w="879" w:type="dxa"/>
            <w:tcBorders>
              <w:top w:val="nil"/>
              <w:left w:val="nil"/>
              <w:bottom w:val="single" w:sz="8" w:space="0" w:color="auto"/>
              <w:right w:val="single" w:sz="8" w:space="0" w:color="auto"/>
            </w:tcBorders>
            <w:shd w:val="clear" w:color="auto" w:fill="auto"/>
            <w:vAlign w:val="center"/>
            <w:hideMark/>
          </w:tcPr>
          <w:p w14:paraId="5656E160"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891.500.061</w:t>
            </w:r>
          </w:p>
        </w:tc>
        <w:tc>
          <w:tcPr>
            <w:tcW w:w="323" w:type="dxa"/>
            <w:tcBorders>
              <w:top w:val="nil"/>
              <w:left w:val="nil"/>
              <w:bottom w:val="single" w:sz="8" w:space="0" w:color="auto"/>
              <w:right w:val="single" w:sz="8" w:space="0" w:color="auto"/>
            </w:tcBorders>
            <w:shd w:val="clear" w:color="auto" w:fill="auto"/>
            <w:vAlign w:val="center"/>
            <w:hideMark/>
          </w:tcPr>
          <w:p w14:paraId="5E1102A2"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w:t>
            </w:r>
          </w:p>
        </w:tc>
        <w:tc>
          <w:tcPr>
            <w:tcW w:w="505" w:type="dxa"/>
            <w:tcBorders>
              <w:top w:val="nil"/>
              <w:left w:val="nil"/>
              <w:bottom w:val="single" w:sz="8" w:space="0" w:color="auto"/>
              <w:right w:val="single" w:sz="8" w:space="0" w:color="auto"/>
            </w:tcBorders>
            <w:shd w:val="clear" w:color="auto" w:fill="auto"/>
            <w:vAlign w:val="center"/>
            <w:hideMark/>
          </w:tcPr>
          <w:p w14:paraId="4D9EDAC4"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694</w:t>
            </w:r>
          </w:p>
        </w:tc>
        <w:tc>
          <w:tcPr>
            <w:tcW w:w="4243" w:type="dxa"/>
            <w:tcBorders>
              <w:top w:val="nil"/>
              <w:left w:val="nil"/>
              <w:bottom w:val="single" w:sz="8" w:space="0" w:color="auto"/>
              <w:right w:val="single" w:sz="8" w:space="0" w:color="auto"/>
            </w:tcBorders>
            <w:shd w:val="clear" w:color="auto" w:fill="auto"/>
            <w:vAlign w:val="center"/>
            <w:hideMark/>
          </w:tcPr>
          <w:p w14:paraId="623B69D7"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EMPRESA MUNICIPAL DE ENERGÍA ELÉCTRICA S.A-E.</w:t>
            </w:r>
            <w:proofErr w:type="gramStart"/>
            <w:r w:rsidRPr="00AD4E79">
              <w:rPr>
                <w:rFonts w:ascii="Arial Narrow" w:hAnsi="Arial Narrow" w:cs="Arial"/>
                <w:spacing w:val="0"/>
                <w:sz w:val="16"/>
                <w:szCs w:val="16"/>
                <w:lang w:eastAsia="es-CO"/>
              </w:rPr>
              <w:t>S.P</w:t>
            </w:r>
            <w:proofErr w:type="gramEnd"/>
          </w:p>
        </w:tc>
        <w:tc>
          <w:tcPr>
            <w:tcW w:w="1196" w:type="dxa"/>
            <w:tcBorders>
              <w:top w:val="nil"/>
              <w:left w:val="nil"/>
              <w:bottom w:val="single" w:sz="8" w:space="0" w:color="auto"/>
              <w:right w:val="single" w:sz="8" w:space="0" w:color="auto"/>
            </w:tcBorders>
            <w:shd w:val="clear" w:color="auto" w:fill="auto"/>
            <w:vAlign w:val="center"/>
            <w:hideMark/>
          </w:tcPr>
          <w:p w14:paraId="1C5858BD"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04511944"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6CC02F61" w14:textId="77777777" w:rsidTr="00AD4E79">
        <w:trPr>
          <w:trHeight w:val="252"/>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3FBAA9C6"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65</w:t>
            </w:r>
          </w:p>
        </w:tc>
        <w:tc>
          <w:tcPr>
            <w:tcW w:w="879" w:type="dxa"/>
            <w:tcBorders>
              <w:top w:val="nil"/>
              <w:left w:val="nil"/>
              <w:bottom w:val="single" w:sz="8" w:space="0" w:color="auto"/>
              <w:right w:val="single" w:sz="8" w:space="0" w:color="auto"/>
            </w:tcBorders>
            <w:shd w:val="clear" w:color="auto" w:fill="auto"/>
            <w:vAlign w:val="center"/>
            <w:hideMark/>
          </w:tcPr>
          <w:p w14:paraId="770FF3AF"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891.800.219</w:t>
            </w:r>
          </w:p>
        </w:tc>
        <w:tc>
          <w:tcPr>
            <w:tcW w:w="323" w:type="dxa"/>
            <w:tcBorders>
              <w:top w:val="nil"/>
              <w:left w:val="nil"/>
              <w:bottom w:val="single" w:sz="8" w:space="0" w:color="auto"/>
              <w:right w:val="single" w:sz="8" w:space="0" w:color="auto"/>
            </w:tcBorders>
            <w:shd w:val="clear" w:color="auto" w:fill="auto"/>
            <w:vAlign w:val="center"/>
            <w:hideMark/>
          </w:tcPr>
          <w:p w14:paraId="3A0469D9"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w:t>
            </w:r>
          </w:p>
        </w:tc>
        <w:tc>
          <w:tcPr>
            <w:tcW w:w="505" w:type="dxa"/>
            <w:tcBorders>
              <w:top w:val="nil"/>
              <w:left w:val="nil"/>
              <w:bottom w:val="single" w:sz="8" w:space="0" w:color="auto"/>
              <w:right w:val="single" w:sz="8" w:space="0" w:color="auto"/>
            </w:tcBorders>
            <w:shd w:val="clear" w:color="auto" w:fill="auto"/>
            <w:vAlign w:val="center"/>
            <w:hideMark/>
          </w:tcPr>
          <w:p w14:paraId="565D8B9D"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500</w:t>
            </w:r>
          </w:p>
        </w:tc>
        <w:tc>
          <w:tcPr>
            <w:tcW w:w="4243" w:type="dxa"/>
            <w:tcBorders>
              <w:top w:val="nil"/>
              <w:left w:val="nil"/>
              <w:bottom w:val="single" w:sz="8" w:space="0" w:color="auto"/>
              <w:right w:val="single" w:sz="8" w:space="0" w:color="auto"/>
            </w:tcBorders>
            <w:shd w:val="clear" w:color="auto" w:fill="auto"/>
            <w:vAlign w:val="center"/>
            <w:hideMark/>
          </w:tcPr>
          <w:p w14:paraId="5DC1E172"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EMPRESA DE ENERGIA DE BOYACA S.A. E.S.P. EMPRESA DE SERVICIOS PUBLICOS</w:t>
            </w:r>
          </w:p>
        </w:tc>
        <w:tc>
          <w:tcPr>
            <w:tcW w:w="1196" w:type="dxa"/>
            <w:tcBorders>
              <w:top w:val="nil"/>
              <w:left w:val="nil"/>
              <w:bottom w:val="single" w:sz="8" w:space="0" w:color="auto"/>
              <w:right w:val="single" w:sz="8" w:space="0" w:color="auto"/>
            </w:tcBorders>
            <w:shd w:val="clear" w:color="auto" w:fill="auto"/>
            <w:vAlign w:val="center"/>
            <w:hideMark/>
          </w:tcPr>
          <w:p w14:paraId="71F2C354"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093C6375"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00F00672"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23E69F11"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66</w:t>
            </w:r>
          </w:p>
        </w:tc>
        <w:tc>
          <w:tcPr>
            <w:tcW w:w="879" w:type="dxa"/>
            <w:tcBorders>
              <w:top w:val="nil"/>
              <w:left w:val="nil"/>
              <w:bottom w:val="single" w:sz="8" w:space="0" w:color="auto"/>
              <w:right w:val="single" w:sz="8" w:space="0" w:color="auto"/>
            </w:tcBorders>
            <w:shd w:val="clear" w:color="auto" w:fill="auto"/>
            <w:vAlign w:val="center"/>
            <w:hideMark/>
          </w:tcPr>
          <w:p w14:paraId="61710858"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891.900.101</w:t>
            </w:r>
          </w:p>
        </w:tc>
        <w:tc>
          <w:tcPr>
            <w:tcW w:w="323" w:type="dxa"/>
            <w:tcBorders>
              <w:top w:val="nil"/>
              <w:left w:val="nil"/>
              <w:bottom w:val="single" w:sz="8" w:space="0" w:color="auto"/>
              <w:right w:val="single" w:sz="8" w:space="0" w:color="auto"/>
            </w:tcBorders>
            <w:shd w:val="clear" w:color="auto" w:fill="auto"/>
            <w:vAlign w:val="center"/>
            <w:hideMark/>
          </w:tcPr>
          <w:p w14:paraId="485A0883"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0</w:t>
            </w:r>
          </w:p>
        </w:tc>
        <w:tc>
          <w:tcPr>
            <w:tcW w:w="505" w:type="dxa"/>
            <w:tcBorders>
              <w:top w:val="nil"/>
              <w:left w:val="nil"/>
              <w:bottom w:val="single" w:sz="8" w:space="0" w:color="auto"/>
              <w:right w:val="single" w:sz="8" w:space="0" w:color="auto"/>
            </w:tcBorders>
            <w:shd w:val="clear" w:color="auto" w:fill="auto"/>
            <w:vAlign w:val="center"/>
            <w:hideMark/>
          </w:tcPr>
          <w:p w14:paraId="41055CB0"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637</w:t>
            </w:r>
          </w:p>
        </w:tc>
        <w:tc>
          <w:tcPr>
            <w:tcW w:w="4243" w:type="dxa"/>
            <w:tcBorders>
              <w:top w:val="nil"/>
              <w:left w:val="nil"/>
              <w:bottom w:val="single" w:sz="8" w:space="0" w:color="auto"/>
              <w:right w:val="single" w:sz="8" w:space="0" w:color="auto"/>
            </w:tcBorders>
            <w:shd w:val="clear" w:color="auto" w:fill="auto"/>
            <w:vAlign w:val="center"/>
            <w:hideMark/>
          </w:tcPr>
          <w:p w14:paraId="05C19047"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COMPAÑÍA DE ELECTRICIDAD DE TULUÁ S.A. E.S.P.</w:t>
            </w:r>
          </w:p>
        </w:tc>
        <w:tc>
          <w:tcPr>
            <w:tcW w:w="1196" w:type="dxa"/>
            <w:tcBorders>
              <w:top w:val="nil"/>
              <w:left w:val="nil"/>
              <w:bottom w:val="single" w:sz="8" w:space="0" w:color="auto"/>
              <w:right w:val="single" w:sz="8" w:space="0" w:color="auto"/>
            </w:tcBorders>
            <w:shd w:val="clear" w:color="auto" w:fill="auto"/>
            <w:vAlign w:val="center"/>
            <w:hideMark/>
          </w:tcPr>
          <w:p w14:paraId="6DC89A14"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43CBEA80"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221BB21C"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13340401"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67</w:t>
            </w:r>
          </w:p>
        </w:tc>
        <w:tc>
          <w:tcPr>
            <w:tcW w:w="879" w:type="dxa"/>
            <w:tcBorders>
              <w:top w:val="nil"/>
              <w:left w:val="nil"/>
              <w:bottom w:val="single" w:sz="8" w:space="0" w:color="auto"/>
              <w:right w:val="single" w:sz="8" w:space="0" w:color="auto"/>
            </w:tcBorders>
            <w:shd w:val="clear" w:color="auto" w:fill="auto"/>
            <w:vAlign w:val="center"/>
            <w:hideMark/>
          </w:tcPr>
          <w:p w14:paraId="4D8A63DE"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892.002.210</w:t>
            </w:r>
          </w:p>
        </w:tc>
        <w:tc>
          <w:tcPr>
            <w:tcW w:w="323" w:type="dxa"/>
            <w:tcBorders>
              <w:top w:val="nil"/>
              <w:left w:val="nil"/>
              <w:bottom w:val="single" w:sz="8" w:space="0" w:color="auto"/>
              <w:right w:val="single" w:sz="8" w:space="0" w:color="auto"/>
            </w:tcBorders>
            <w:shd w:val="clear" w:color="auto" w:fill="auto"/>
            <w:vAlign w:val="center"/>
            <w:hideMark/>
          </w:tcPr>
          <w:p w14:paraId="51262842"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6</w:t>
            </w:r>
          </w:p>
        </w:tc>
        <w:tc>
          <w:tcPr>
            <w:tcW w:w="505" w:type="dxa"/>
            <w:tcBorders>
              <w:top w:val="nil"/>
              <w:left w:val="nil"/>
              <w:bottom w:val="single" w:sz="8" w:space="0" w:color="auto"/>
              <w:right w:val="single" w:sz="8" w:space="0" w:color="auto"/>
            </w:tcBorders>
            <w:shd w:val="clear" w:color="auto" w:fill="auto"/>
            <w:vAlign w:val="center"/>
            <w:hideMark/>
          </w:tcPr>
          <w:p w14:paraId="3FE33DA6"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600</w:t>
            </w:r>
          </w:p>
        </w:tc>
        <w:tc>
          <w:tcPr>
            <w:tcW w:w="4243" w:type="dxa"/>
            <w:tcBorders>
              <w:top w:val="nil"/>
              <w:left w:val="nil"/>
              <w:bottom w:val="single" w:sz="8" w:space="0" w:color="auto"/>
              <w:right w:val="single" w:sz="8" w:space="0" w:color="auto"/>
            </w:tcBorders>
            <w:shd w:val="clear" w:color="auto" w:fill="auto"/>
            <w:vAlign w:val="center"/>
            <w:hideMark/>
          </w:tcPr>
          <w:p w14:paraId="0BC0E2B3"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ELECTRIFICADORA DEL META S.A. E.S.P.</w:t>
            </w:r>
          </w:p>
        </w:tc>
        <w:tc>
          <w:tcPr>
            <w:tcW w:w="1196" w:type="dxa"/>
            <w:tcBorders>
              <w:top w:val="nil"/>
              <w:left w:val="nil"/>
              <w:bottom w:val="single" w:sz="8" w:space="0" w:color="auto"/>
              <w:right w:val="single" w:sz="8" w:space="0" w:color="auto"/>
            </w:tcBorders>
            <w:shd w:val="clear" w:color="auto" w:fill="auto"/>
            <w:vAlign w:val="center"/>
            <w:hideMark/>
          </w:tcPr>
          <w:p w14:paraId="01C594E5"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13EDBA95"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069BBCEE"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1B8CADB2"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68</w:t>
            </w:r>
          </w:p>
        </w:tc>
        <w:tc>
          <w:tcPr>
            <w:tcW w:w="879" w:type="dxa"/>
            <w:tcBorders>
              <w:top w:val="nil"/>
              <w:left w:val="nil"/>
              <w:bottom w:val="single" w:sz="8" w:space="0" w:color="auto"/>
              <w:right w:val="single" w:sz="8" w:space="0" w:color="auto"/>
            </w:tcBorders>
            <w:shd w:val="clear" w:color="auto" w:fill="auto"/>
            <w:vAlign w:val="center"/>
            <w:hideMark/>
          </w:tcPr>
          <w:p w14:paraId="7EF0511D"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892.099.499</w:t>
            </w:r>
          </w:p>
        </w:tc>
        <w:tc>
          <w:tcPr>
            <w:tcW w:w="323" w:type="dxa"/>
            <w:tcBorders>
              <w:top w:val="nil"/>
              <w:left w:val="nil"/>
              <w:bottom w:val="single" w:sz="8" w:space="0" w:color="auto"/>
              <w:right w:val="single" w:sz="8" w:space="0" w:color="auto"/>
            </w:tcBorders>
            <w:shd w:val="clear" w:color="auto" w:fill="auto"/>
            <w:vAlign w:val="center"/>
            <w:hideMark/>
          </w:tcPr>
          <w:p w14:paraId="6464C25D"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3</w:t>
            </w:r>
          </w:p>
        </w:tc>
        <w:tc>
          <w:tcPr>
            <w:tcW w:w="505" w:type="dxa"/>
            <w:tcBorders>
              <w:top w:val="nil"/>
              <w:left w:val="nil"/>
              <w:bottom w:val="single" w:sz="8" w:space="0" w:color="auto"/>
              <w:right w:val="single" w:sz="8" w:space="0" w:color="auto"/>
            </w:tcBorders>
            <w:shd w:val="clear" w:color="auto" w:fill="auto"/>
            <w:vAlign w:val="center"/>
            <w:hideMark/>
          </w:tcPr>
          <w:p w14:paraId="08815B4E"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599</w:t>
            </w:r>
          </w:p>
        </w:tc>
        <w:tc>
          <w:tcPr>
            <w:tcW w:w="4243" w:type="dxa"/>
            <w:tcBorders>
              <w:top w:val="nil"/>
              <w:left w:val="nil"/>
              <w:bottom w:val="single" w:sz="8" w:space="0" w:color="auto"/>
              <w:right w:val="single" w:sz="8" w:space="0" w:color="auto"/>
            </w:tcBorders>
            <w:shd w:val="clear" w:color="auto" w:fill="auto"/>
            <w:vAlign w:val="center"/>
            <w:hideMark/>
          </w:tcPr>
          <w:p w14:paraId="659879EE"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EMPRESA DE ENERGIA DE ARAUCA</w:t>
            </w:r>
          </w:p>
        </w:tc>
        <w:tc>
          <w:tcPr>
            <w:tcW w:w="1196" w:type="dxa"/>
            <w:tcBorders>
              <w:top w:val="nil"/>
              <w:left w:val="nil"/>
              <w:bottom w:val="single" w:sz="8" w:space="0" w:color="auto"/>
              <w:right w:val="single" w:sz="8" w:space="0" w:color="auto"/>
            </w:tcBorders>
            <w:shd w:val="clear" w:color="auto" w:fill="auto"/>
            <w:vAlign w:val="center"/>
            <w:hideMark/>
          </w:tcPr>
          <w:p w14:paraId="258A7AF3"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4C9B8DCD"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22B4C88E"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1FABA691"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lastRenderedPageBreak/>
              <w:t>69</w:t>
            </w:r>
          </w:p>
        </w:tc>
        <w:tc>
          <w:tcPr>
            <w:tcW w:w="879" w:type="dxa"/>
            <w:tcBorders>
              <w:top w:val="nil"/>
              <w:left w:val="nil"/>
              <w:bottom w:val="single" w:sz="8" w:space="0" w:color="auto"/>
              <w:right w:val="single" w:sz="8" w:space="0" w:color="auto"/>
            </w:tcBorders>
            <w:shd w:val="clear" w:color="auto" w:fill="auto"/>
            <w:vAlign w:val="center"/>
            <w:hideMark/>
          </w:tcPr>
          <w:p w14:paraId="1721D3AF"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899.999.082</w:t>
            </w:r>
          </w:p>
        </w:tc>
        <w:tc>
          <w:tcPr>
            <w:tcW w:w="323" w:type="dxa"/>
            <w:tcBorders>
              <w:top w:val="nil"/>
              <w:left w:val="nil"/>
              <w:bottom w:val="single" w:sz="8" w:space="0" w:color="auto"/>
              <w:right w:val="single" w:sz="8" w:space="0" w:color="auto"/>
            </w:tcBorders>
            <w:shd w:val="clear" w:color="auto" w:fill="auto"/>
            <w:vAlign w:val="center"/>
            <w:hideMark/>
          </w:tcPr>
          <w:p w14:paraId="07C28D3C"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3</w:t>
            </w:r>
          </w:p>
        </w:tc>
        <w:tc>
          <w:tcPr>
            <w:tcW w:w="505" w:type="dxa"/>
            <w:tcBorders>
              <w:top w:val="nil"/>
              <w:left w:val="nil"/>
              <w:bottom w:val="single" w:sz="8" w:space="0" w:color="auto"/>
              <w:right w:val="single" w:sz="8" w:space="0" w:color="auto"/>
            </w:tcBorders>
            <w:shd w:val="clear" w:color="auto" w:fill="auto"/>
            <w:vAlign w:val="center"/>
            <w:hideMark/>
          </w:tcPr>
          <w:p w14:paraId="4DB0F42A"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594</w:t>
            </w:r>
          </w:p>
        </w:tc>
        <w:tc>
          <w:tcPr>
            <w:tcW w:w="4243" w:type="dxa"/>
            <w:tcBorders>
              <w:top w:val="nil"/>
              <w:left w:val="nil"/>
              <w:bottom w:val="single" w:sz="8" w:space="0" w:color="auto"/>
              <w:right w:val="single" w:sz="8" w:space="0" w:color="auto"/>
            </w:tcBorders>
            <w:shd w:val="clear" w:color="auto" w:fill="auto"/>
            <w:vAlign w:val="center"/>
            <w:hideMark/>
          </w:tcPr>
          <w:p w14:paraId="1893C009"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GRUPO ENERGÍA BOGOTA S.A. ESP.</w:t>
            </w:r>
          </w:p>
        </w:tc>
        <w:tc>
          <w:tcPr>
            <w:tcW w:w="1196" w:type="dxa"/>
            <w:tcBorders>
              <w:top w:val="nil"/>
              <w:left w:val="nil"/>
              <w:bottom w:val="single" w:sz="8" w:space="0" w:color="auto"/>
              <w:right w:val="single" w:sz="8" w:space="0" w:color="auto"/>
            </w:tcBorders>
            <w:shd w:val="clear" w:color="auto" w:fill="auto"/>
            <w:vAlign w:val="center"/>
            <w:hideMark/>
          </w:tcPr>
          <w:p w14:paraId="773AC566"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24B3D9BC"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2CDA8B13"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0C7EBF77"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70</w:t>
            </w:r>
          </w:p>
        </w:tc>
        <w:tc>
          <w:tcPr>
            <w:tcW w:w="879" w:type="dxa"/>
            <w:tcBorders>
              <w:top w:val="nil"/>
              <w:left w:val="nil"/>
              <w:bottom w:val="single" w:sz="8" w:space="0" w:color="auto"/>
              <w:right w:val="single" w:sz="8" w:space="0" w:color="auto"/>
            </w:tcBorders>
            <w:shd w:val="clear" w:color="auto" w:fill="auto"/>
            <w:vAlign w:val="center"/>
            <w:hideMark/>
          </w:tcPr>
          <w:p w14:paraId="7583DD78"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900.039.007</w:t>
            </w:r>
          </w:p>
        </w:tc>
        <w:tc>
          <w:tcPr>
            <w:tcW w:w="323" w:type="dxa"/>
            <w:tcBorders>
              <w:top w:val="nil"/>
              <w:left w:val="nil"/>
              <w:bottom w:val="single" w:sz="8" w:space="0" w:color="auto"/>
              <w:right w:val="single" w:sz="8" w:space="0" w:color="auto"/>
            </w:tcBorders>
            <w:shd w:val="clear" w:color="auto" w:fill="auto"/>
            <w:vAlign w:val="center"/>
            <w:hideMark/>
          </w:tcPr>
          <w:p w14:paraId="5ED428FF"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5</w:t>
            </w:r>
          </w:p>
        </w:tc>
        <w:tc>
          <w:tcPr>
            <w:tcW w:w="505" w:type="dxa"/>
            <w:tcBorders>
              <w:top w:val="nil"/>
              <w:left w:val="nil"/>
              <w:bottom w:val="single" w:sz="8" w:space="0" w:color="auto"/>
              <w:right w:val="single" w:sz="8" w:space="0" w:color="auto"/>
            </w:tcBorders>
            <w:shd w:val="clear" w:color="auto" w:fill="auto"/>
            <w:vAlign w:val="center"/>
            <w:hideMark/>
          </w:tcPr>
          <w:p w14:paraId="0C35A7C4"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20432</w:t>
            </w:r>
          </w:p>
        </w:tc>
        <w:tc>
          <w:tcPr>
            <w:tcW w:w="4243" w:type="dxa"/>
            <w:tcBorders>
              <w:top w:val="nil"/>
              <w:left w:val="nil"/>
              <w:bottom w:val="single" w:sz="8" w:space="0" w:color="auto"/>
              <w:right w:val="single" w:sz="8" w:space="0" w:color="auto"/>
            </w:tcBorders>
            <w:shd w:val="clear" w:color="auto" w:fill="auto"/>
            <w:vAlign w:val="center"/>
            <w:hideMark/>
          </w:tcPr>
          <w:p w14:paraId="0171B79D"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ELECTRIFICADORA DEL PACIFICO S.A. E.S.P.</w:t>
            </w:r>
          </w:p>
        </w:tc>
        <w:tc>
          <w:tcPr>
            <w:tcW w:w="1196" w:type="dxa"/>
            <w:tcBorders>
              <w:top w:val="nil"/>
              <w:left w:val="nil"/>
              <w:bottom w:val="single" w:sz="8" w:space="0" w:color="auto"/>
              <w:right w:val="single" w:sz="8" w:space="0" w:color="auto"/>
            </w:tcBorders>
            <w:shd w:val="clear" w:color="auto" w:fill="auto"/>
            <w:vAlign w:val="center"/>
            <w:hideMark/>
          </w:tcPr>
          <w:p w14:paraId="029DB85D"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77B66F58"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SIN REPORTE AL SUI</w:t>
            </w:r>
          </w:p>
        </w:tc>
      </w:tr>
      <w:tr w:rsidR="00AD4E79" w:rsidRPr="00AD4E79" w14:paraId="5C748DD6"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57162C0C"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71</w:t>
            </w:r>
          </w:p>
        </w:tc>
        <w:tc>
          <w:tcPr>
            <w:tcW w:w="879" w:type="dxa"/>
            <w:tcBorders>
              <w:top w:val="nil"/>
              <w:left w:val="nil"/>
              <w:bottom w:val="single" w:sz="8" w:space="0" w:color="auto"/>
              <w:right w:val="single" w:sz="8" w:space="0" w:color="auto"/>
            </w:tcBorders>
            <w:shd w:val="clear" w:color="auto" w:fill="auto"/>
            <w:vAlign w:val="center"/>
            <w:hideMark/>
          </w:tcPr>
          <w:p w14:paraId="08A4A187"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900.039.901</w:t>
            </w:r>
          </w:p>
        </w:tc>
        <w:tc>
          <w:tcPr>
            <w:tcW w:w="323" w:type="dxa"/>
            <w:tcBorders>
              <w:top w:val="nil"/>
              <w:left w:val="nil"/>
              <w:bottom w:val="single" w:sz="8" w:space="0" w:color="auto"/>
              <w:right w:val="single" w:sz="8" w:space="0" w:color="auto"/>
            </w:tcBorders>
            <w:shd w:val="clear" w:color="auto" w:fill="auto"/>
            <w:vAlign w:val="center"/>
            <w:hideMark/>
          </w:tcPr>
          <w:p w14:paraId="2ED5715D"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5</w:t>
            </w:r>
          </w:p>
        </w:tc>
        <w:tc>
          <w:tcPr>
            <w:tcW w:w="505" w:type="dxa"/>
            <w:tcBorders>
              <w:top w:val="nil"/>
              <w:left w:val="nil"/>
              <w:bottom w:val="single" w:sz="8" w:space="0" w:color="auto"/>
              <w:right w:val="single" w:sz="8" w:space="0" w:color="auto"/>
            </w:tcBorders>
            <w:shd w:val="clear" w:color="auto" w:fill="auto"/>
            <w:vAlign w:val="center"/>
            <w:hideMark/>
          </w:tcPr>
          <w:p w14:paraId="4D6AD4E6"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20437</w:t>
            </w:r>
          </w:p>
        </w:tc>
        <w:tc>
          <w:tcPr>
            <w:tcW w:w="4243" w:type="dxa"/>
            <w:tcBorders>
              <w:top w:val="nil"/>
              <w:left w:val="nil"/>
              <w:bottom w:val="single" w:sz="8" w:space="0" w:color="auto"/>
              <w:right w:val="single" w:sz="8" w:space="0" w:color="auto"/>
            </w:tcBorders>
            <w:shd w:val="clear" w:color="auto" w:fill="auto"/>
            <w:vAlign w:val="center"/>
            <w:hideMark/>
          </w:tcPr>
          <w:p w14:paraId="16766CC6"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ENERTOTAL S.A. E.S.P.</w:t>
            </w:r>
          </w:p>
        </w:tc>
        <w:tc>
          <w:tcPr>
            <w:tcW w:w="1196" w:type="dxa"/>
            <w:tcBorders>
              <w:top w:val="nil"/>
              <w:left w:val="nil"/>
              <w:bottom w:val="single" w:sz="8" w:space="0" w:color="auto"/>
              <w:right w:val="single" w:sz="8" w:space="0" w:color="auto"/>
            </w:tcBorders>
            <w:shd w:val="clear" w:color="auto" w:fill="auto"/>
            <w:vAlign w:val="center"/>
            <w:hideMark/>
          </w:tcPr>
          <w:p w14:paraId="5837AD03"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6AF5380F"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0545D21F"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7E722447"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72</w:t>
            </w:r>
          </w:p>
        </w:tc>
        <w:tc>
          <w:tcPr>
            <w:tcW w:w="879" w:type="dxa"/>
            <w:tcBorders>
              <w:top w:val="nil"/>
              <w:left w:val="nil"/>
              <w:bottom w:val="single" w:sz="8" w:space="0" w:color="auto"/>
              <w:right w:val="single" w:sz="8" w:space="0" w:color="auto"/>
            </w:tcBorders>
            <w:shd w:val="clear" w:color="auto" w:fill="auto"/>
            <w:vAlign w:val="center"/>
            <w:hideMark/>
          </w:tcPr>
          <w:p w14:paraId="7BE6BA51"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900.042.857</w:t>
            </w:r>
          </w:p>
        </w:tc>
        <w:tc>
          <w:tcPr>
            <w:tcW w:w="323" w:type="dxa"/>
            <w:tcBorders>
              <w:top w:val="nil"/>
              <w:left w:val="nil"/>
              <w:bottom w:val="single" w:sz="8" w:space="0" w:color="auto"/>
              <w:right w:val="single" w:sz="8" w:space="0" w:color="auto"/>
            </w:tcBorders>
            <w:shd w:val="clear" w:color="auto" w:fill="auto"/>
            <w:vAlign w:val="center"/>
            <w:hideMark/>
          </w:tcPr>
          <w:p w14:paraId="5D869F73"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w:t>
            </w:r>
          </w:p>
        </w:tc>
        <w:tc>
          <w:tcPr>
            <w:tcW w:w="505" w:type="dxa"/>
            <w:tcBorders>
              <w:top w:val="nil"/>
              <w:left w:val="nil"/>
              <w:bottom w:val="single" w:sz="8" w:space="0" w:color="auto"/>
              <w:right w:val="single" w:sz="8" w:space="0" w:color="auto"/>
            </w:tcBorders>
            <w:shd w:val="clear" w:color="auto" w:fill="auto"/>
            <w:vAlign w:val="center"/>
            <w:hideMark/>
          </w:tcPr>
          <w:p w14:paraId="109FD985"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20481</w:t>
            </w:r>
          </w:p>
        </w:tc>
        <w:tc>
          <w:tcPr>
            <w:tcW w:w="4243" w:type="dxa"/>
            <w:tcBorders>
              <w:top w:val="nil"/>
              <w:left w:val="nil"/>
              <w:bottom w:val="single" w:sz="8" w:space="0" w:color="auto"/>
              <w:right w:val="single" w:sz="8" w:space="0" w:color="auto"/>
            </w:tcBorders>
            <w:shd w:val="clear" w:color="auto" w:fill="auto"/>
            <w:vAlign w:val="center"/>
            <w:hideMark/>
          </w:tcPr>
          <w:p w14:paraId="5F687584"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XM COMPAÑIA DE EXPERTOS EN MERCADOS S.A. E.S.P.</w:t>
            </w:r>
          </w:p>
        </w:tc>
        <w:tc>
          <w:tcPr>
            <w:tcW w:w="1196" w:type="dxa"/>
            <w:tcBorders>
              <w:top w:val="nil"/>
              <w:left w:val="nil"/>
              <w:bottom w:val="single" w:sz="8" w:space="0" w:color="auto"/>
              <w:right w:val="single" w:sz="8" w:space="0" w:color="auto"/>
            </w:tcBorders>
            <w:shd w:val="clear" w:color="auto" w:fill="auto"/>
            <w:vAlign w:val="center"/>
            <w:hideMark/>
          </w:tcPr>
          <w:p w14:paraId="45713D9E"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2455A91F"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5367B94C"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629AAA27"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73</w:t>
            </w:r>
          </w:p>
        </w:tc>
        <w:tc>
          <w:tcPr>
            <w:tcW w:w="879" w:type="dxa"/>
            <w:tcBorders>
              <w:top w:val="nil"/>
              <w:left w:val="nil"/>
              <w:bottom w:val="single" w:sz="8" w:space="0" w:color="auto"/>
              <w:right w:val="single" w:sz="8" w:space="0" w:color="auto"/>
            </w:tcBorders>
            <w:shd w:val="clear" w:color="auto" w:fill="auto"/>
            <w:vAlign w:val="center"/>
            <w:hideMark/>
          </w:tcPr>
          <w:p w14:paraId="627E9187"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900.073.583</w:t>
            </w:r>
          </w:p>
        </w:tc>
        <w:tc>
          <w:tcPr>
            <w:tcW w:w="323" w:type="dxa"/>
            <w:tcBorders>
              <w:top w:val="nil"/>
              <w:left w:val="nil"/>
              <w:bottom w:val="single" w:sz="8" w:space="0" w:color="auto"/>
              <w:right w:val="single" w:sz="8" w:space="0" w:color="auto"/>
            </w:tcBorders>
            <w:shd w:val="clear" w:color="auto" w:fill="auto"/>
            <w:vAlign w:val="center"/>
            <w:hideMark/>
          </w:tcPr>
          <w:p w14:paraId="2CA1CF72"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w:t>
            </w:r>
          </w:p>
        </w:tc>
        <w:tc>
          <w:tcPr>
            <w:tcW w:w="505" w:type="dxa"/>
            <w:tcBorders>
              <w:top w:val="nil"/>
              <w:left w:val="nil"/>
              <w:bottom w:val="single" w:sz="8" w:space="0" w:color="auto"/>
              <w:right w:val="single" w:sz="8" w:space="0" w:color="auto"/>
            </w:tcBorders>
            <w:shd w:val="clear" w:color="auto" w:fill="auto"/>
            <w:vAlign w:val="center"/>
            <w:hideMark/>
          </w:tcPr>
          <w:p w14:paraId="56A0155D"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21770</w:t>
            </w:r>
          </w:p>
        </w:tc>
        <w:tc>
          <w:tcPr>
            <w:tcW w:w="4243" w:type="dxa"/>
            <w:tcBorders>
              <w:top w:val="nil"/>
              <w:left w:val="nil"/>
              <w:bottom w:val="single" w:sz="8" w:space="0" w:color="auto"/>
              <w:right w:val="single" w:sz="8" w:space="0" w:color="auto"/>
            </w:tcBorders>
            <w:shd w:val="clear" w:color="auto" w:fill="auto"/>
            <w:vAlign w:val="center"/>
            <w:hideMark/>
          </w:tcPr>
          <w:p w14:paraId="56607F87"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LA CASCADA S.A.S E.S.P.</w:t>
            </w:r>
          </w:p>
        </w:tc>
        <w:tc>
          <w:tcPr>
            <w:tcW w:w="1196" w:type="dxa"/>
            <w:tcBorders>
              <w:top w:val="nil"/>
              <w:left w:val="nil"/>
              <w:bottom w:val="single" w:sz="8" w:space="0" w:color="auto"/>
              <w:right w:val="single" w:sz="8" w:space="0" w:color="auto"/>
            </w:tcBorders>
            <w:shd w:val="clear" w:color="auto" w:fill="auto"/>
            <w:vAlign w:val="center"/>
            <w:hideMark/>
          </w:tcPr>
          <w:p w14:paraId="4F0949B7"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325DCBFF"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26F63617"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4D3C7346"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74</w:t>
            </w:r>
          </w:p>
        </w:tc>
        <w:tc>
          <w:tcPr>
            <w:tcW w:w="879" w:type="dxa"/>
            <w:tcBorders>
              <w:top w:val="nil"/>
              <w:left w:val="nil"/>
              <w:bottom w:val="single" w:sz="8" w:space="0" w:color="auto"/>
              <w:right w:val="single" w:sz="8" w:space="0" w:color="auto"/>
            </w:tcBorders>
            <w:shd w:val="clear" w:color="auto" w:fill="auto"/>
            <w:vAlign w:val="center"/>
            <w:hideMark/>
          </w:tcPr>
          <w:p w14:paraId="231F1607"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900.076.284</w:t>
            </w:r>
          </w:p>
        </w:tc>
        <w:tc>
          <w:tcPr>
            <w:tcW w:w="323" w:type="dxa"/>
            <w:tcBorders>
              <w:top w:val="nil"/>
              <w:left w:val="nil"/>
              <w:bottom w:val="single" w:sz="8" w:space="0" w:color="auto"/>
              <w:right w:val="single" w:sz="8" w:space="0" w:color="auto"/>
            </w:tcBorders>
            <w:shd w:val="clear" w:color="auto" w:fill="auto"/>
            <w:vAlign w:val="center"/>
            <w:hideMark/>
          </w:tcPr>
          <w:p w14:paraId="7A9CDCF6"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6</w:t>
            </w:r>
          </w:p>
        </w:tc>
        <w:tc>
          <w:tcPr>
            <w:tcW w:w="505" w:type="dxa"/>
            <w:tcBorders>
              <w:top w:val="nil"/>
              <w:left w:val="nil"/>
              <w:bottom w:val="single" w:sz="8" w:space="0" w:color="auto"/>
              <w:right w:val="single" w:sz="8" w:space="0" w:color="auto"/>
            </w:tcBorders>
            <w:shd w:val="clear" w:color="auto" w:fill="auto"/>
            <w:vAlign w:val="center"/>
            <w:hideMark/>
          </w:tcPr>
          <w:p w14:paraId="6ED5C213"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20612</w:t>
            </w:r>
          </w:p>
        </w:tc>
        <w:tc>
          <w:tcPr>
            <w:tcW w:w="4243" w:type="dxa"/>
            <w:tcBorders>
              <w:top w:val="nil"/>
              <w:left w:val="nil"/>
              <w:bottom w:val="single" w:sz="8" w:space="0" w:color="auto"/>
              <w:right w:val="single" w:sz="8" w:space="0" w:color="auto"/>
            </w:tcBorders>
            <w:shd w:val="clear" w:color="auto" w:fill="auto"/>
            <w:vAlign w:val="center"/>
            <w:hideMark/>
          </w:tcPr>
          <w:p w14:paraId="198344B9"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COENERSA S.A.S E.S.P.</w:t>
            </w:r>
          </w:p>
        </w:tc>
        <w:tc>
          <w:tcPr>
            <w:tcW w:w="1196" w:type="dxa"/>
            <w:tcBorders>
              <w:top w:val="nil"/>
              <w:left w:val="nil"/>
              <w:bottom w:val="single" w:sz="8" w:space="0" w:color="auto"/>
              <w:right w:val="single" w:sz="8" w:space="0" w:color="auto"/>
            </w:tcBorders>
            <w:shd w:val="clear" w:color="auto" w:fill="auto"/>
            <w:vAlign w:val="center"/>
            <w:hideMark/>
          </w:tcPr>
          <w:p w14:paraId="5BF01D62"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25A430F0"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528011F4"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4E85CE19"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75</w:t>
            </w:r>
          </w:p>
        </w:tc>
        <w:tc>
          <w:tcPr>
            <w:tcW w:w="879" w:type="dxa"/>
            <w:tcBorders>
              <w:top w:val="nil"/>
              <w:left w:val="nil"/>
              <w:bottom w:val="single" w:sz="8" w:space="0" w:color="auto"/>
              <w:right w:val="single" w:sz="8" w:space="0" w:color="auto"/>
            </w:tcBorders>
            <w:shd w:val="clear" w:color="auto" w:fill="auto"/>
            <w:vAlign w:val="center"/>
            <w:hideMark/>
          </w:tcPr>
          <w:p w14:paraId="7E406254"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900.097.320</w:t>
            </w:r>
          </w:p>
        </w:tc>
        <w:tc>
          <w:tcPr>
            <w:tcW w:w="323" w:type="dxa"/>
            <w:tcBorders>
              <w:top w:val="nil"/>
              <w:left w:val="nil"/>
              <w:bottom w:val="single" w:sz="8" w:space="0" w:color="auto"/>
              <w:right w:val="single" w:sz="8" w:space="0" w:color="auto"/>
            </w:tcBorders>
            <w:shd w:val="clear" w:color="auto" w:fill="auto"/>
            <w:vAlign w:val="center"/>
            <w:hideMark/>
          </w:tcPr>
          <w:p w14:paraId="07093B23"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3</w:t>
            </w:r>
          </w:p>
        </w:tc>
        <w:tc>
          <w:tcPr>
            <w:tcW w:w="505" w:type="dxa"/>
            <w:tcBorders>
              <w:top w:val="nil"/>
              <w:left w:val="nil"/>
              <w:bottom w:val="single" w:sz="8" w:space="0" w:color="auto"/>
              <w:right w:val="single" w:sz="8" w:space="0" w:color="auto"/>
            </w:tcBorders>
            <w:shd w:val="clear" w:color="auto" w:fill="auto"/>
            <w:vAlign w:val="center"/>
            <w:hideMark/>
          </w:tcPr>
          <w:p w14:paraId="082E62B1"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21938</w:t>
            </w:r>
          </w:p>
        </w:tc>
        <w:tc>
          <w:tcPr>
            <w:tcW w:w="4243" w:type="dxa"/>
            <w:tcBorders>
              <w:top w:val="nil"/>
              <w:left w:val="nil"/>
              <w:bottom w:val="single" w:sz="8" w:space="0" w:color="auto"/>
              <w:right w:val="single" w:sz="8" w:space="0" w:color="auto"/>
            </w:tcBorders>
            <w:shd w:val="clear" w:color="auto" w:fill="auto"/>
            <w:vAlign w:val="center"/>
            <w:hideMark/>
          </w:tcPr>
          <w:p w14:paraId="768CE3E2"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HIDROTOLIMA S.A.S E.</w:t>
            </w:r>
            <w:proofErr w:type="gramStart"/>
            <w:r w:rsidRPr="00AD4E79">
              <w:rPr>
                <w:rFonts w:ascii="Arial Narrow" w:hAnsi="Arial Narrow" w:cs="Arial"/>
                <w:spacing w:val="0"/>
                <w:sz w:val="16"/>
                <w:szCs w:val="16"/>
                <w:lang w:eastAsia="es-CO"/>
              </w:rPr>
              <w:t>S.P</w:t>
            </w:r>
            <w:proofErr w:type="gramEnd"/>
          </w:p>
        </w:tc>
        <w:tc>
          <w:tcPr>
            <w:tcW w:w="1196" w:type="dxa"/>
            <w:tcBorders>
              <w:top w:val="nil"/>
              <w:left w:val="nil"/>
              <w:bottom w:val="single" w:sz="8" w:space="0" w:color="auto"/>
              <w:right w:val="single" w:sz="8" w:space="0" w:color="auto"/>
            </w:tcBorders>
            <w:shd w:val="clear" w:color="auto" w:fill="auto"/>
            <w:vAlign w:val="center"/>
            <w:hideMark/>
          </w:tcPr>
          <w:p w14:paraId="160F4F2A"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645CADAF"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74A55B8A" w14:textId="77777777" w:rsidTr="00AD4E79">
        <w:trPr>
          <w:trHeight w:val="264"/>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163D8F64"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76</w:t>
            </w:r>
          </w:p>
        </w:tc>
        <w:tc>
          <w:tcPr>
            <w:tcW w:w="879" w:type="dxa"/>
            <w:tcBorders>
              <w:top w:val="nil"/>
              <w:left w:val="nil"/>
              <w:bottom w:val="single" w:sz="8" w:space="0" w:color="auto"/>
              <w:right w:val="single" w:sz="8" w:space="0" w:color="auto"/>
            </w:tcBorders>
            <w:shd w:val="clear" w:color="auto" w:fill="auto"/>
            <w:vAlign w:val="center"/>
            <w:hideMark/>
          </w:tcPr>
          <w:p w14:paraId="52B2A952"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900.122.435</w:t>
            </w:r>
          </w:p>
        </w:tc>
        <w:tc>
          <w:tcPr>
            <w:tcW w:w="323" w:type="dxa"/>
            <w:tcBorders>
              <w:top w:val="nil"/>
              <w:left w:val="nil"/>
              <w:bottom w:val="single" w:sz="8" w:space="0" w:color="auto"/>
              <w:right w:val="single" w:sz="8" w:space="0" w:color="auto"/>
            </w:tcBorders>
            <w:shd w:val="clear" w:color="auto" w:fill="auto"/>
            <w:vAlign w:val="center"/>
            <w:hideMark/>
          </w:tcPr>
          <w:p w14:paraId="2B169F42"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w:t>
            </w:r>
          </w:p>
        </w:tc>
        <w:tc>
          <w:tcPr>
            <w:tcW w:w="505" w:type="dxa"/>
            <w:tcBorders>
              <w:top w:val="nil"/>
              <w:left w:val="nil"/>
              <w:bottom w:val="single" w:sz="8" w:space="0" w:color="auto"/>
              <w:right w:val="single" w:sz="8" w:space="0" w:color="auto"/>
            </w:tcBorders>
            <w:shd w:val="clear" w:color="auto" w:fill="auto"/>
            <w:vAlign w:val="center"/>
            <w:hideMark/>
          </w:tcPr>
          <w:p w14:paraId="1DE8731B"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21597</w:t>
            </w:r>
          </w:p>
        </w:tc>
        <w:tc>
          <w:tcPr>
            <w:tcW w:w="4243" w:type="dxa"/>
            <w:tcBorders>
              <w:top w:val="nil"/>
              <w:left w:val="nil"/>
              <w:bottom w:val="single" w:sz="8" w:space="0" w:color="auto"/>
              <w:right w:val="single" w:sz="8" w:space="0" w:color="auto"/>
            </w:tcBorders>
            <w:shd w:val="clear" w:color="auto" w:fill="auto"/>
            <w:vAlign w:val="center"/>
            <w:hideMark/>
          </w:tcPr>
          <w:p w14:paraId="79949B43"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COOPERATIVA DE SERVICIOS PÚBLICOS DE LÓPEZ DE MICAY</w:t>
            </w:r>
          </w:p>
        </w:tc>
        <w:tc>
          <w:tcPr>
            <w:tcW w:w="1196" w:type="dxa"/>
            <w:tcBorders>
              <w:top w:val="nil"/>
              <w:left w:val="nil"/>
              <w:bottom w:val="single" w:sz="8" w:space="0" w:color="auto"/>
              <w:right w:val="single" w:sz="8" w:space="0" w:color="auto"/>
            </w:tcBorders>
            <w:shd w:val="clear" w:color="auto" w:fill="auto"/>
            <w:vAlign w:val="center"/>
            <w:hideMark/>
          </w:tcPr>
          <w:p w14:paraId="55154BFB"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2D10B2BA"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196A60D8" w14:textId="77777777" w:rsidTr="00AD4E79">
        <w:trPr>
          <w:trHeight w:val="396"/>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06B5B266"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77</w:t>
            </w:r>
          </w:p>
        </w:tc>
        <w:tc>
          <w:tcPr>
            <w:tcW w:w="879" w:type="dxa"/>
            <w:tcBorders>
              <w:top w:val="nil"/>
              <w:left w:val="nil"/>
              <w:bottom w:val="single" w:sz="8" w:space="0" w:color="auto"/>
              <w:right w:val="single" w:sz="8" w:space="0" w:color="auto"/>
            </w:tcBorders>
            <w:shd w:val="clear" w:color="auto" w:fill="auto"/>
            <w:vAlign w:val="center"/>
            <w:hideMark/>
          </w:tcPr>
          <w:p w14:paraId="0389B0E0"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900.141.802</w:t>
            </w:r>
          </w:p>
        </w:tc>
        <w:tc>
          <w:tcPr>
            <w:tcW w:w="323" w:type="dxa"/>
            <w:tcBorders>
              <w:top w:val="nil"/>
              <w:left w:val="nil"/>
              <w:bottom w:val="single" w:sz="8" w:space="0" w:color="auto"/>
              <w:right w:val="single" w:sz="8" w:space="0" w:color="auto"/>
            </w:tcBorders>
            <w:shd w:val="clear" w:color="auto" w:fill="auto"/>
            <w:vAlign w:val="center"/>
            <w:hideMark/>
          </w:tcPr>
          <w:p w14:paraId="54532F3B"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w:t>
            </w:r>
          </w:p>
        </w:tc>
        <w:tc>
          <w:tcPr>
            <w:tcW w:w="505" w:type="dxa"/>
            <w:tcBorders>
              <w:top w:val="nil"/>
              <w:left w:val="nil"/>
              <w:bottom w:val="single" w:sz="8" w:space="0" w:color="auto"/>
              <w:right w:val="single" w:sz="8" w:space="0" w:color="auto"/>
            </w:tcBorders>
            <w:shd w:val="clear" w:color="auto" w:fill="auto"/>
            <w:vAlign w:val="center"/>
            <w:hideMark/>
          </w:tcPr>
          <w:p w14:paraId="1647CA92"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22505</w:t>
            </w:r>
          </w:p>
        </w:tc>
        <w:tc>
          <w:tcPr>
            <w:tcW w:w="4243" w:type="dxa"/>
            <w:tcBorders>
              <w:top w:val="nil"/>
              <w:left w:val="nil"/>
              <w:bottom w:val="single" w:sz="8" w:space="0" w:color="auto"/>
              <w:right w:val="single" w:sz="8" w:space="0" w:color="auto"/>
            </w:tcBorders>
            <w:shd w:val="clear" w:color="auto" w:fill="auto"/>
            <w:vAlign w:val="center"/>
            <w:hideMark/>
          </w:tcPr>
          <w:p w14:paraId="5B32F83D"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COOPERATIVA COMUNITARIA DE SERVICIOS PÙBLICOS DE ISLA FUERTE</w:t>
            </w:r>
          </w:p>
        </w:tc>
        <w:tc>
          <w:tcPr>
            <w:tcW w:w="1196" w:type="dxa"/>
            <w:tcBorders>
              <w:top w:val="nil"/>
              <w:left w:val="nil"/>
              <w:bottom w:val="single" w:sz="8" w:space="0" w:color="auto"/>
              <w:right w:val="single" w:sz="8" w:space="0" w:color="auto"/>
            </w:tcBorders>
            <w:shd w:val="clear" w:color="auto" w:fill="auto"/>
            <w:vAlign w:val="center"/>
            <w:hideMark/>
          </w:tcPr>
          <w:p w14:paraId="4D6A14A6"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79A711FF"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SIN REPORTE AL SUI</w:t>
            </w:r>
          </w:p>
        </w:tc>
      </w:tr>
      <w:tr w:rsidR="00AD4E79" w:rsidRPr="00AD4E79" w14:paraId="697BBBA6"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21120607"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78</w:t>
            </w:r>
          </w:p>
        </w:tc>
        <w:tc>
          <w:tcPr>
            <w:tcW w:w="879" w:type="dxa"/>
            <w:tcBorders>
              <w:top w:val="nil"/>
              <w:left w:val="nil"/>
              <w:bottom w:val="single" w:sz="8" w:space="0" w:color="auto"/>
              <w:right w:val="single" w:sz="8" w:space="0" w:color="auto"/>
            </w:tcBorders>
            <w:shd w:val="clear" w:color="auto" w:fill="auto"/>
            <w:vAlign w:val="center"/>
            <w:hideMark/>
          </w:tcPr>
          <w:p w14:paraId="4B7DFFED"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900.148.768</w:t>
            </w:r>
          </w:p>
        </w:tc>
        <w:tc>
          <w:tcPr>
            <w:tcW w:w="323" w:type="dxa"/>
            <w:tcBorders>
              <w:top w:val="nil"/>
              <w:left w:val="nil"/>
              <w:bottom w:val="single" w:sz="8" w:space="0" w:color="auto"/>
              <w:right w:val="single" w:sz="8" w:space="0" w:color="auto"/>
            </w:tcBorders>
            <w:shd w:val="clear" w:color="auto" w:fill="auto"/>
            <w:vAlign w:val="center"/>
            <w:hideMark/>
          </w:tcPr>
          <w:p w14:paraId="3BD00894"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w:t>
            </w:r>
          </w:p>
        </w:tc>
        <w:tc>
          <w:tcPr>
            <w:tcW w:w="505" w:type="dxa"/>
            <w:tcBorders>
              <w:top w:val="nil"/>
              <w:left w:val="nil"/>
              <w:bottom w:val="single" w:sz="8" w:space="0" w:color="auto"/>
              <w:right w:val="single" w:sz="8" w:space="0" w:color="auto"/>
            </w:tcBorders>
            <w:shd w:val="clear" w:color="auto" w:fill="auto"/>
            <w:vAlign w:val="center"/>
            <w:hideMark/>
          </w:tcPr>
          <w:p w14:paraId="36E5FBAB"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44077</w:t>
            </w:r>
          </w:p>
        </w:tc>
        <w:tc>
          <w:tcPr>
            <w:tcW w:w="4243" w:type="dxa"/>
            <w:tcBorders>
              <w:top w:val="nil"/>
              <w:left w:val="nil"/>
              <w:bottom w:val="single" w:sz="8" w:space="0" w:color="auto"/>
              <w:right w:val="single" w:sz="8" w:space="0" w:color="auto"/>
            </w:tcBorders>
            <w:shd w:val="clear" w:color="auto" w:fill="auto"/>
            <w:vAlign w:val="center"/>
            <w:hideMark/>
          </w:tcPr>
          <w:p w14:paraId="2FF4AA29"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ENERMAS SAS ESP</w:t>
            </w:r>
          </w:p>
        </w:tc>
        <w:tc>
          <w:tcPr>
            <w:tcW w:w="1196" w:type="dxa"/>
            <w:tcBorders>
              <w:top w:val="nil"/>
              <w:left w:val="nil"/>
              <w:bottom w:val="single" w:sz="8" w:space="0" w:color="auto"/>
              <w:right w:val="single" w:sz="8" w:space="0" w:color="auto"/>
            </w:tcBorders>
            <w:shd w:val="clear" w:color="auto" w:fill="auto"/>
            <w:vAlign w:val="center"/>
            <w:hideMark/>
          </w:tcPr>
          <w:p w14:paraId="5830B4F8"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5F9B7245"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18B735FC"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4ADAAF70"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79</w:t>
            </w:r>
          </w:p>
        </w:tc>
        <w:tc>
          <w:tcPr>
            <w:tcW w:w="879" w:type="dxa"/>
            <w:tcBorders>
              <w:top w:val="nil"/>
              <w:left w:val="nil"/>
              <w:bottom w:val="single" w:sz="8" w:space="0" w:color="auto"/>
              <w:right w:val="single" w:sz="8" w:space="0" w:color="auto"/>
            </w:tcBorders>
            <w:shd w:val="clear" w:color="auto" w:fill="auto"/>
            <w:vAlign w:val="center"/>
            <w:hideMark/>
          </w:tcPr>
          <w:p w14:paraId="42893740"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900.154.878</w:t>
            </w:r>
          </w:p>
        </w:tc>
        <w:tc>
          <w:tcPr>
            <w:tcW w:w="323" w:type="dxa"/>
            <w:tcBorders>
              <w:top w:val="nil"/>
              <w:left w:val="nil"/>
              <w:bottom w:val="single" w:sz="8" w:space="0" w:color="auto"/>
              <w:right w:val="single" w:sz="8" w:space="0" w:color="auto"/>
            </w:tcBorders>
            <w:shd w:val="clear" w:color="auto" w:fill="auto"/>
            <w:vAlign w:val="center"/>
            <w:hideMark/>
          </w:tcPr>
          <w:p w14:paraId="25196ABE"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5</w:t>
            </w:r>
          </w:p>
        </w:tc>
        <w:tc>
          <w:tcPr>
            <w:tcW w:w="505" w:type="dxa"/>
            <w:tcBorders>
              <w:top w:val="nil"/>
              <w:left w:val="nil"/>
              <w:bottom w:val="single" w:sz="8" w:space="0" w:color="auto"/>
              <w:right w:val="single" w:sz="8" w:space="0" w:color="auto"/>
            </w:tcBorders>
            <w:shd w:val="clear" w:color="auto" w:fill="auto"/>
            <w:vAlign w:val="center"/>
            <w:hideMark/>
          </w:tcPr>
          <w:p w14:paraId="5B20C25B"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21837</w:t>
            </w:r>
          </w:p>
        </w:tc>
        <w:tc>
          <w:tcPr>
            <w:tcW w:w="4243" w:type="dxa"/>
            <w:tcBorders>
              <w:top w:val="nil"/>
              <w:left w:val="nil"/>
              <w:bottom w:val="single" w:sz="8" w:space="0" w:color="auto"/>
              <w:right w:val="single" w:sz="8" w:space="0" w:color="auto"/>
            </w:tcBorders>
            <w:shd w:val="clear" w:color="auto" w:fill="auto"/>
            <w:vAlign w:val="center"/>
            <w:hideMark/>
          </w:tcPr>
          <w:p w14:paraId="12CCF3E7"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AMERICANA DE ENERGIA S.A.S. E.S.P.</w:t>
            </w:r>
          </w:p>
        </w:tc>
        <w:tc>
          <w:tcPr>
            <w:tcW w:w="1196" w:type="dxa"/>
            <w:tcBorders>
              <w:top w:val="nil"/>
              <w:left w:val="nil"/>
              <w:bottom w:val="single" w:sz="8" w:space="0" w:color="auto"/>
              <w:right w:val="single" w:sz="8" w:space="0" w:color="auto"/>
            </w:tcBorders>
            <w:shd w:val="clear" w:color="auto" w:fill="auto"/>
            <w:vAlign w:val="center"/>
            <w:hideMark/>
          </w:tcPr>
          <w:p w14:paraId="5BB5AC66"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63A3A9D5"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6B4C7FFA"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479EC3B6"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80</w:t>
            </w:r>
          </w:p>
        </w:tc>
        <w:tc>
          <w:tcPr>
            <w:tcW w:w="879" w:type="dxa"/>
            <w:tcBorders>
              <w:top w:val="nil"/>
              <w:left w:val="nil"/>
              <w:bottom w:val="single" w:sz="8" w:space="0" w:color="auto"/>
              <w:right w:val="single" w:sz="8" w:space="0" w:color="auto"/>
            </w:tcBorders>
            <w:shd w:val="clear" w:color="auto" w:fill="auto"/>
            <w:vAlign w:val="center"/>
            <w:hideMark/>
          </w:tcPr>
          <w:p w14:paraId="30C6FBAE"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900.154.879</w:t>
            </w:r>
          </w:p>
        </w:tc>
        <w:tc>
          <w:tcPr>
            <w:tcW w:w="323" w:type="dxa"/>
            <w:tcBorders>
              <w:top w:val="nil"/>
              <w:left w:val="nil"/>
              <w:bottom w:val="single" w:sz="8" w:space="0" w:color="auto"/>
              <w:right w:val="single" w:sz="8" w:space="0" w:color="auto"/>
            </w:tcBorders>
            <w:shd w:val="clear" w:color="auto" w:fill="auto"/>
            <w:vAlign w:val="center"/>
            <w:hideMark/>
          </w:tcPr>
          <w:p w14:paraId="5CB1FE87"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w:t>
            </w:r>
          </w:p>
        </w:tc>
        <w:tc>
          <w:tcPr>
            <w:tcW w:w="505" w:type="dxa"/>
            <w:tcBorders>
              <w:top w:val="nil"/>
              <w:left w:val="nil"/>
              <w:bottom w:val="single" w:sz="8" w:space="0" w:color="auto"/>
              <w:right w:val="single" w:sz="8" w:space="0" w:color="auto"/>
            </w:tcBorders>
            <w:shd w:val="clear" w:color="auto" w:fill="auto"/>
            <w:vAlign w:val="center"/>
            <w:hideMark/>
          </w:tcPr>
          <w:p w14:paraId="337E635A"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22143</w:t>
            </w:r>
          </w:p>
        </w:tc>
        <w:tc>
          <w:tcPr>
            <w:tcW w:w="4243" w:type="dxa"/>
            <w:tcBorders>
              <w:top w:val="nil"/>
              <w:left w:val="nil"/>
              <w:bottom w:val="single" w:sz="8" w:space="0" w:color="auto"/>
              <w:right w:val="single" w:sz="8" w:space="0" w:color="auto"/>
            </w:tcBorders>
            <w:shd w:val="clear" w:color="auto" w:fill="auto"/>
            <w:vAlign w:val="center"/>
            <w:hideMark/>
          </w:tcPr>
          <w:p w14:paraId="12B6332A" w14:textId="77777777" w:rsidR="006E3CAD" w:rsidRPr="00AD4E79" w:rsidRDefault="006E3CAD" w:rsidP="00D22441">
            <w:pPr>
              <w:jc w:val="left"/>
              <w:rPr>
                <w:rFonts w:ascii="Arial Narrow" w:hAnsi="Arial Narrow" w:cs="Arial"/>
                <w:spacing w:val="0"/>
                <w:sz w:val="16"/>
                <w:szCs w:val="16"/>
                <w:lang w:val="en-GB" w:eastAsia="es-CO"/>
              </w:rPr>
            </w:pPr>
            <w:r w:rsidRPr="00AD4E79">
              <w:rPr>
                <w:rFonts w:ascii="Arial Narrow" w:hAnsi="Arial Narrow" w:cs="Arial"/>
                <w:spacing w:val="0"/>
                <w:sz w:val="16"/>
                <w:szCs w:val="16"/>
                <w:lang w:val="en-GB" w:eastAsia="es-CO"/>
              </w:rPr>
              <w:t>GENERSYS S.A.S E.S.P.</w:t>
            </w:r>
          </w:p>
        </w:tc>
        <w:tc>
          <w:tcPr>
            <w:tcW w:w="1196" w:type="dxa"/>
            <w:tcBorders>
              <w:top w:val="nil"/>
              <w:left w:val="nil"/>
              <w:bottom w:val="single" w:sz="8" w:space="0" w:color="auto"/>
              <w:right w:val="single" w:sz="8" w:space="0" w:color="auto"/>
            </w:tcBorders>
            <w:shd w:val="clear" w:color="auto" w:fill="auto"/>
            <w:vAlign w:val="center"/>
            <w:hideMark/>
          </w:tcPr>
          <w:p w14:paraId="72D57FF6"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039AF8EE"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0CBAD38D"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70D67887"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81</w:t>
            </w:r>
          </w:p>
        </w:tc>
        <w:tc>
          <w:tcPr>
            <w:tcW w:w="879" w:type="dxa"/>
            <w:tcBorders>
              <w:top w:val="nil"/>
              <w:left w:val="nil"/>
              <w:bottom w:val="single" w:sz="8" w:space="0" w:color="auto"/>
              <w:right w:val="single" w:sz="8" w:space="0" w:color="auto"/>
            </w:tcBorders>
            <w:shd w:val="clear" w:color="auto" w:fill="auto"/>
            <w:vAlign w:val="center"/>
            <w:hideMark/>
          </w:tcPr>
          <w:p w14:paraId="6EDAC3A8"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900.161.460</w:t>
            </w:r>
          </w:p>
        </w:tc>
        <w:tc>
          <w:tcPr>
            <w:tcW w:w="323" w:type="dxa"/>
            <w:tcBorders>
              <w:top w:val="nil"/>
              <w:left w:val="nil"/>
              <w:bottom w:val="single" w:sz="8" w:space="0" w:color="auto"/>
              <w:right w:val="single" w:sz="8" w:space="0" w:color="auto"/>
            </w:tcBorders>
            <w:shd w:val="clear" w:color="auto" w:fill="auto"/>
            <w:vAlign w:val="center"/>
            <w:hideMark/>
          </w:tcPr>
          <w:p w14:paraId="59910488"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w:t>
            </w:r>
          </w:p>
        </w:tc>
        <w:tc>
          <w:tcPr>
            <w:tcW w:w="505" w:type="dxa"/>
            <w:tcBorders>
              <w:top w:val="nil"/>
              <w:left w:val="nil"/>
              <w:bottom w:val="single" w:sz="8" w:space="0" w:color="auto"/>
              <w:right w:val="single" w:sz="8" w:space="0" w:color="auto"/>
            </w:tcBorders>
            <w:shd w:val="clear" w:color="auto" w:fill="auto"/>
            <w:vAlign w:val="center"/>
            <w:hideMark/>
          </w:tcPr>
          <w:p w14:paraId="2B67C307"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22144</w:t>
            </w:r>
          </w:p>
        </w:tc>
        <w:tc>
          <w:tcPr>
            <w:tcW w:w="4243" w:type="dxa"/>
            <w:tcBorders>
              <w:top w:val="nil"/>
              <w:left w:val="nil"/>
              <w:bottom w:val="single" w:sz="8" w:space="0" w:color="auto"/>
              <w:right w:val="single" w:sz="8" w:space="0" w:color="auto"/>
            </w:tcBorders>
            <w:shd w:val="clear" w:color="auto" w:fill="auto"/>
            <w:vAlign w:val="center"/>
            <w:hideMark/>
          </w:tcPr>
          <w:p w14:paraId="46B1B36B"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TERMOTASAJERO SA ESP</w:t>
            </w:r>
          </w:p>
        </w:tc>
        <w:tc>
          <w:tcPr>
            <w:tcW w:w="1196" w:type="dxa"/>
            <w:tcBorders>
              <w:top w:val="nil"/>
              <w:left w:val="nil"/>
              <w:bottom w:val="single" w:sz="8" w:space="0" w:color="auto"/>
              <w:right w:val="single" w:sz="8" w:space="0" w:color="auto"/>
            </w:tcBorders>
            <w:shd w:val="clear" w:color="auto" w:fill="auto"/>
            <w:vAlign w:val="center"/>
            <w:hideMark/>
          </w:tcPr>
          <w:p w14:paraId="2A3CDB7A"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7BBC955C"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29DFAC76"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765275B3"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82</w:t>
            </w:r>
          </w:p>
        </w:tc>
        <w:tc>
          <w:tcPr>
            <w:tcW w:w="879" w:type="dxa"/>
            <w:tcBorders>
              <w:top w:val="nil"/>
              <w:left w:val="nil"/>
              <w:bottom w:val="single" w:sz="8" w:space="0" w:color="auto"/>
              <w:right w:val="single" w:sz="8" w:space="0" w:color="auto"/>
            </w:tcBorders>
            <w:shd w:val="clear" w:color="auto" w:fill="auto"/>
            <w:vAlign w:val="center"/>
            <w:hideMark/>
          </w:tcPr>
          <w:p w14:paraId="547A5E0B"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900.181.508</w:t>
            </w:r>
          </w:p>
        </w:tc>
        <w:tc>
          <w:tcPr>
            <w:tcW w:w="323" w:type="dxa"/>
            <w:tcBorders>
              <w:top w:val="nil"/>
              <w:left w:val="nil"/>
              <w:bottom w:val="single" w:sz="8" w:space="0" w:color="auto"/>
              <w:right w:val="single" w:sz="8" w:space="0" w:color="auto"/>
            </w:tcBorders>
            <w:shd w:val="clear" w:color="auto" w:fill="auto"/>
            <w:vAlign w:val="center"/>
            <w:hideMark/>
          </w:tcPr>
          <w:p w14:paraId="7576BC50"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w:t>
            </w:r>
          </w:p>
        </w:tc>
        <w:tc>
          <w:tcPr>
            <w:tcW w:w="505" w:type="dxa"/>
            <w:tcBorders>
              <w:top w:val="nil"/>
              <w:left w:val="nil"/>
              <w:bottom w:val="single" w:sz="8" w:space="0" w:color="auto"/>
              <w:right w:val="single" w:sz="8" w:space="0" w:color="auto"/>
            </w:tcBorders>
            <w:shd w:val="clear" w:color="auto" w:fill="auto"/>
            <w:vAlign w:val="center"/>
            <w:hideMark/>
          </w:tcPr>
          <w:p w14:paraId="67232D9D"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26953</w:t>
            </w:r>
          </w:p>
        </w:tc>
        <w:tc>
          <w:tcPr>
            <w:tcW w:w="4243" w:type="dxa"/>
            <w:tcBorders>
              <w:top w:val="nil"/>
              <w:left w:val="nil"/>
              <w:bottom w:val="single" w:sz="8" w:space="0" w:color="auto"/>
              <w:right w:val="single" w:sz="8" w:space="0" w:color="auto"/>
            </w:tcBorders>
            <w:shd w:val="clear" w:color="auto" w:fill="auto"/>
            <w:vAlign w:val="center"/>
            <w:hideMark/>
          </w:tcPr>
          <w:p w14:paraId="4B99D73F"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BIOGAS COLOMBIA SAS ESP</w:t>
            </w:r>
          </w:p>
        </w:tc>
        <w:tc>
          <w:tcPr>
            <w:tcW w:w="1196" w:type="dxa"/>
            <w:tcBorders>
              <w:top w:val="nil"/>
              <w:left w:val="nil"/>
              <w:bottom w:val="single" w:sz="8" w:space="0" w:color="auto"/>
              <w:right w:val="single" w:sz="8" w:space="0" w:color="auto"/>
            </w:tcBorders>
            <w:shd w:val="clear" w:color="auto" w:fill="auto"/>
            <w:vAlign w:val="center"/>
            <w:hideMark/>
          </w:tcPr>
          <w:p w14:paraId="67E36559"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19B402E4"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6AE6D518"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04E7F739"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83</w:t>
            </w:r>
          </w:p>
        </w:tc>
        <w:tc>
          <w:tcPr>
            <w:tcW w:w="879" w:type="dxa"/>
            <w:tcBorders>
              <w:top w:val="nil"/>
              <w:left w:val="nil"/>
              <w:bottom w:val="single" w:sz="8" w:space="0" w:color="auto"/>
              <w:right w:val="single" w:sz="8" w:space="0" w:color="auto"/>
            </w:tcBorders>
            <w:shd w:val="clear" w:color="auto" w:fill="auto"/>
            <w:vAlign w:val="center"/>
            <w:hideMark/>
          </w:tcPr>
          <w:p w14:paraId="5203FCB4"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900.181.771</w:t>
            </w:r>
          </w:p>
        </w:tc>
        <w:tc>
          <w:tcPr>
            <w:tcW w:w="323" w:type="dxa"/>
            <w:tcBorders>
              <w:top w:val="nil"/>
              <w:left w:val="nil"/>
              <w:bottom w:val="single" w:sz="8" w:space="0" w:color="auto"/>
              <w:right w:val="single" w:sz="8" w:space="0" w:color="auto"/>
            </w:tcBorders>
            <w:shd w:val="clear" w:color="auto" w:fill="auto"/>
            <w:vAlign w:val="center"/>
            <w:hideMark/>
          </w:tcPr>
          <w:p w14:paraId="7E026BAA"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0</w:t>
            </w:r>
          </w:p>
        </w:tc>
        <w:tc>
          <w:tcPr>
            <w:tcW w:w="505" w:type="dxa"/>
            <w:tcBorders>
              <w:top w:val="nil"/>
              <w:left w:val="nil"/>
              <w:bottom w:val="single" w:sz="8" w:space="0" w:color="auto"/>
              <w:right w:val="single" w:sz="8" w:space="0" w:color="auto"/>
            </w:tcBorders>
            <w:shd w:val="clear" w:color="auto" w:fill="auto"/>
            <w:vAlign w:val="center"/>
            <w:hideMark/>
          </w:tcPr>
          <w:p w14:paraId="3DE956A3"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22140</w:t>
            </w:r>
          </w:p>
        </w:tc>
        <w:tc>
          <w:tcPr>
            <w:tcW w:w="4243" w:type="dxa"/>
            <w:tcBorders>
              <w:top w:val="nil"/>
              <w:left w:val="nil"/>
              <w:bottom w:val="single" w:sz="8" w:space="0" w:color="auto"/>
              <w:right w:val="single" w:sz="8" w:space="0" w:color="auto"/>
            </w:tcBorders>
            <w:shd w:val="clear" w:color="auto" w:fill="auto"/>
            <w:vAlign w:val="center"/>
            <w:hideMark/>
          </w:tcPr>
          <w:p w14:paraId="3BAD8B0C"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ENERGIA RENOVABLE DE COLOMBIA S.A. E.</w:t>
            </w:r>
            <w:proofErr w:type="gramStart"/>
            <w:r w:rsidRPr="00AD4E79">
              <w:rPr>
                <w:rFonts w:ascii="Arial Narrow" w:hAnsi="Arial Narrow" w:cs="Arial"/>
                <w:spacing w:val="0"/>
                <w:sz w:val="16"/>
                <w:szCs w:val="16"/>
                <w:lang w:eastAsia="es-CO"/>
              </w:rPr>
              <w:t>S.P</w:t>
            </w:r>
            <w:proofErr w:type="gramEnd"/>
          </w:p>
        </w:tc>
        <w:tc>
          <w:tcPr>
            <w:tcW w:w="1196" w:type="dxa"/>
            <w:tcBorders>
              <w:top w:val="nil"/>
              <w:left w:val="nil"/>
              <w:bottom w:val="single" w:sz="8" w:space="0" w:color="auto"/>
              <w:right w:val="single" w:sz="8" w:space="0" w:color="auto"/>
            </w:tcBorders>
            <w:shd w:val="clear" w:color="auto" w:fill="auto"/>
            <w:vAlign w:val="center"/>
            <w:hideMark/>
          </w:tcPr>
          <w:p w14:paraId="0BBC316A"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4DC0721E"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402F41C8"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3489DEA6"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84</w:t>
            </w:r>
          </w:p>
        </w:tc>
        <w:tc>
          <w:tcPr>
            <w:tcW w:w="879" w:type="dxa"/>
            <w:tcBorders>
              <w:top w:val="nil"/>
              <w:left w:val="nil"/>
              <w:bottom w:val="single" w:sz="8" w:space="0" w:color="auto"/>
              <w:right w:val="single" w:sz="8" w:space="0" w:color="auto"/>
            </w:tcBorders>
            <w:shd w:val="clear" w:color="auto" w:fill="auto"/>
            <w:vAlign w:val="center"/>
            <w:hideMark/>
          </w:tcPr>
          <w:p w14:paraId="282F538F"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900.185.106</w:t>
            </w:r>
          </w:p>
        </w:tc>
        <w:tc>
          <w:tcPr>
            <w:tcW w:w="323" w:type="dxa"/>
            <w:tcBorders>
              <w:top w:val="nil"/>
              <w:left w:val="nil"/>
              <w:bottom w:val="single" w:sz="8" w:space="0" w:color="auto"/>
              <w:right w:val="single" w:sz="8" w:space="0" w:color="auto"/>
            </w:tcBorders>
            <w:shd w:val="clear" w:color="auto" w:fill="auto"/>
            <w:vAlign w:val="center"/>
            <w:hideMark/>
          </w:tcPr>
          <w:p w14:paraId="3AA552D7"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0</w:t>
            </w:r>
          </w:p>
        </w:tc>
        <w:tc>
          <w:tcPr>
            <w:tcW w:w="505" w:type="dxa"/>
            <w:tcBorders>
              <w:top w:val="nil"/>
              <w:left w:val="nil"/>
              <w:bottom w:val="single" w:sz="8" w:space="0" w:color="auto"/>
              <w:right w:val="single" w:sz="8" w:space="0" w:color="auto"/>
            </w:tcBorders>
            <w:shd w:val="clear" w:color="auto" w:fill="auto"/>
            <w:vAlign w:val="center"/>
            <w:hideMark/>
          </w:tcPr>
          <w:p w14:paraId="7367DD4A"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23095</w:t>
            </w:r>
          </w:p>
        </w:tc>
        <w:tc>
          <w:tcPr>
            <w:tcW w:w="4243" w:type="dxa"/>
            <w:tcBorders>
              <w:top w:val="nil"/>
              <w:left w:val="nil"/>
              <w:bottom w:val="single" w:sz="8" w:space="0" w:color="auto"/>
              <w:right w:val="single" w:sz="8" w:space="0" w:color="auto"/>
            </w:tcBorders>
            <w:shd w:val="clear" w:color="auto" w:fill="auto"/>
            <w:vAlign w:val="center"/>
            <w:hideMark/>
          </w:tcPr>
          <w:p w14:paraId="72A16241"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CARUQUIA S.A.S. E.S.P.</w:t>
            </w:r>
          </w:p>
        </w:tc>
        <w:tc>
          <w:tcPr>
            <w:tcW w:w="1196" w:type="dxa"/>
            <w:tcBorders>
              <w:top w:val="nil"/>
              <w:left w:val="nil"/>
              <w:bottom w:val="single" w:sz="8" w:space="0" w:color="auto"/>
              <w:right w:val="single" w:sz="8" w:space="0" w:color="auto"/>
            </w:tcBorders>
            <w:shd w:val="clear" w:color="auto" w:fill="auto"/>
            <w:vAlign w:val="center"/>
            <w:hideMark/>
          </w:tcPr>
          <w:p w14:paraId="344359EA"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 </w:t>
            </w:r>
          </w:p>
        </w:tc>
        <w:tc>
          <w:tcPr>
            <w:tcW w:w="2260" w:type="dxa"/>
            <w:tcBorders>
              <w:top w:val="nil"/>
              <w:left w:val="nil"/>
              <w:bottom w:val="single" w:sz="8" w:space="0" w:color="auto"/>
              <w:right w:val="single" w:sz="8" w:space="0" w:color="auto"/>
            </w:tcBorders>
            <w:shd w:val="clear" w:color="auto" w:fill="auto"/>
            <w:noWrap/>
            <w:vAlign w:val="center"/>
            <w:hideMark/>
          </w:tcPr>
          <w:p w14:paraId="16DD3B0E"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312F3B35"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6FFB6A3F"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85</w:t>
            </w:r>
          </w:p>
        </w:tc>
        <w:tc>
          <w:tcPr>
            <w:tcW w:w="879" w:type="dxa"/>
            <w:tcBorders>
              <w:top w:val="nil"/>
              <w:left w:val="nil"/>
              <w:bottom w:val="single" w:sz="8" w:space="0" w:color="auto"/>
              <w:right w:val="single" w:sz="8" w:space="0" w:color="auto"/>
            </w:tcBorders>
            <w:shd w:val="clear" w:color="auto" w:fill="auto"/>
            <w:vAlign w:val="center"/>
            <w:hideMark/>
          </w:tcPr>
          <w:p w14:paraId="1B27F5DD"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900.190.893</w:t>
            </w:r>
          </w:p>
        </w:tc>
        <w:tc>
          <w:tcPr>
            <w:tcW w:w="323" w:type="dxa"/>
            <w:tcBorders>
              <w:top w:val="nil"/>
              <w:left w:val="nil"/>
              <w:bottom w:val="single" w:sz="8" w:space="0" w:color="auto"/>
              <w:right w:val="single" w:sz="8" w:space="0" w:color="auto"/>
            </w:tcBorders>
            <w:shd w:val="clear" w:color="auto" w:fill="auto"/>
            <w:vAlign w:val="center"/>
            <w:hideMark/>
          </w:tcPr>
          <w:p w14:paraId="670FE63D"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w:t>
            </w:r>
          </w:p>
        </w:tc>
        <w:tc>
          <w:tcPr>
            <w:tcW w:w="505" w:type="dxa"/>
            <w:tcBorders>
              <w:top w:val="nil"/>
              <w:left w:val="nil"/>
              <w:bottom w:val="single" w:sz="8" w:space="0" w:color="auto"/>
              <w:right w:val="single" w:sz="8" w:space="0" w:color="auto"/>
            </w:tcBorders>
            <w:shd w:val="clear" w:color="auto" w:fill="auto"/>
            <w:vAlign w:val="center"/>
            <w:hideMark/>
          </w:tcPr>
          <w:p w14:paraId="6800B2E3"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43597</w:t>
            </w:r>
          </w:p>
        </w:tc>
        <w:tc>
          <w:tcPr>
            <w:tcW w:w="4243" w:type="dxa"/>
            <w:tcBorders>
              <w:top w:val="nil"/>
              <w:left w:val="nil"/>
              <w:bottom w:val="single" w:sz="8" w:space="0" w:color="auto"/>
              <w:right w:val="single" w:sz="8" w:space="0" w:color="auto"/>
            </w:tcBorders>
            <w:shd w:val="clear" w:color="auto" w:fill="auto"/>
            <w:vAlign w:val="center"/>
            <w:hideMark/>
          </w:tcPr>
          <w:p w14:paraId="7DDB8A8C"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ENERGIA DEL SUROESTE S.A. E.S.P.</w:t>
            </w:r>
          </w:p>
        </w:tc>
        <w:tc>
          <w:tcPr>
            <w:tcW w:w="1196" w:type="dxa"/>
            <w:tcBorders>
              <w:top w:val="nil"/>
              <w:left w:val="nil"/>
              <w:bottom w:val="single" w:sz="8" w:space="0" w:color="auto"/>
              <w:right w:val="single" w:sz="8" w:space="0" w:color="auto"/>
            </w:tcBorders>
            <w:shd w:val="clear" w:color="auto" w:fill="auto"/>
            <w:vAlign w:val="center"/>
            <w:hideMark/>
          </w:tcPr>
          <w:p w14:paraId="6A5F2620"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5F4690D6"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7F018686" w14:textId="77777777" w:rsidTr="00AD4E79">
        <w:trPr>
          <w:trHeight w:val="371"/>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7BFF3572"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86</w:t>
            </w:r>
          </w:p>
        </w:tc>
        <w:tc>
          <w:tcPr>
            <w:tcW w:w="879" w:type="dxa"/>
            <w:tcBorders>
              <w:top w:val="nil"/>
              <w:left w:val="nil"/>
              <w:bottom w:val="single" w:sz="8" w:space="0" w:color="auto"/>
              <w:right w:val="single" w:sz="8" w:space="0" w:color="auto"/>
            </w:tcBorders>
            <w:shd w:val="clear" w:color="auto" w:fill="auto"/>
            <w:vAlign w:val="center"/>
            <w:hideMark/>
          </w:tcPr>
          <w:p w14:paraId="08B2446A"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900.206.503</w:t>
            </w:r>
          </w:p>
        </w:tc>
        <w:tc>
          <w:tcPr>
            <w:tcW w:w="323" w:type="dxa"/>
            <w:tcBorders>
              <w:top w:val="nil"/>
              <w:left w:val="nil"/>
              <w:bottom w:val="single" w:sz="8" w:space="0" w:color="auto"/>
              <w:right w:val="single" w:sz="8" w:space="0" w:color="auto"/>
            </w:tcBorders>
            <w:shd w:val="clear" w:color="auto" w:fill="auto"/>
            <w:vAlign w:val="center"/>
            <w:hideMark/>
          </w:tcPr>
          <w:p w14:paraId="39F73C7F"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3</w:t>
            </w:r>
          </w:p>
        </w:tc>
        <w:tc>
          <w:tcPr>
            <w:tcW w:w="505" w:type="dxa"/>
            <w:tcBorders>
              <w:top w:val="nil"/>
              <w:left w:val="nil"/>
              <w:bottom w:val="single" w:sz="8" w:space="0" w:color="auto"/>
              <w:right w:val="single" w:sz="8" w:space="0" w:color="auto"/>
            </w:tcBorders>
            <w:shd w:val="clear" w:color="auto" w:fill="auto"/>
            <w:vAlign w:val="center"/>
            <w:hideMark/>
          </w:tcPr>
          <w:p w14:paraId="5CD8B17F"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54406</w:t>
            </w:r>
          </w:p>
        </w:tc>
        <w:tc>
          <w:tcPr>
            <w:tcW w:w="4243" w:type="dxa"/>
            <w:tcBorders>
              <w:top w:val="nil"/>
              <w:left w:val="nil"/>
              <w:bottom w:val="single" w:sz="8" w:space="0" w:color="auto"/>
              <w:right w:val="single" w:sz="8" w:space="0" w:color="auto"/>
            </w:tcBorders>
            <w:shd w:val="clear" w:color="auto" w:fill="auto"/>
            <w:vAlign w:val="center"/>
            <w:hideMark/>
          </w:tcPr>
          <w:p w14:paraId="001E3B6B"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 xml:space="preserve">Transacciones </w:t>
            </w:r>
            <w:proofErr w:type="spellStart"/>
            <w:r w:rsidRPr="00AD4E79">
              <w:rPr>
                <w:rFonts w:ascii="Arial Narrow" w:hAnsi="Arial Narrow" w:cs="Arial"/>
                <w:spacing w:val="0"/>
                <w:sz w:val="16"/>
                <w:szCs w:val="16"/>
                <w:lang w:eastAsia="es-CO"/>
              </w:rPr>
              <w:t>Energeticas</w:t>
            </w:r>
            <w:proofErr w:type="spellEnd"/>
            <w:r w:rsidRPr="00AD4E79">
              <w:rPr>
                <w:rFonts w:ascii="Arial Narrow" w:hAnsi="Arial Narrow" w:cs="Arial"/>
                <w:spacing w:val="0"/>
                <w:sz w:val="16"/>
                <w:szCs w:val="16"/>
                <w:lang w:eastAsia="es-CO"/>
              </w:rPr>
              <w:t xml:space="preserve"> S.A.S Empresa de Servicios Públicos E.</w:t>
            </w:r>
            <w:proofErr w:type="gramStart"/>
            <w:r w:rsidRPr="00AD4E79">
              <w:rPr>
                <w:rFonts w:ascii="Arial Narrow" w:hAnsi="Arial Narrow" w:cs="Arial"/>
                <w:spacing w:val="0"/>
                <w:sz w:val="16"/>
                <w:szCs w:val="16"/>
                <w:lang w:eastAsia="es-CO"/>
              </w:rPr>
              <w:t>S.P</w:t>
            </w:r>
            <w:proofErr w:type="gramEnd"/>
          </w:p>
        </w:tc>
        <w:tc>
          <w:tcPr>
            <w:tcW w:w="1196" w:type="dxa"/>
            <w:tcBorders>
              <w:top w:val="nil"/>
              <w:left w:val="nil"/>
              <w:bottom w:val="single" w:sz="8" w:space="0" w:color="auto"/>
              <w:right w:val="single" w:sz="8" w:space="0" w:color="auto"/>
            </w:tcBorders>
            <w:shd w:val="clear" w:color="auto" w:fill="auto"/>
            <w:vAlign w:val="center"/>
            <w:hideMark/>
          </w:tcPr>
          <w:p w14:paraId="22DA2907"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2664AB04"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650C2264"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7892CD38"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87</w:t>
            </w:r>
          </w:p>
        </w:tc>
        <w:tc>
          <w:tcPr>
            <w:tcW w:w="879" w:type="dxa"/>
            <w:tcBorders>
              <w:top w:val="nil"/>
              <w:left w:val="nil"/>
              <w:bottom w:val="single" w:sz="8" w:space="0" w:color="auto"/>
              <w:right w:val="single" w:sz="8" w:space="0" w:color="auto"/>
            </w:tcBorders>
            <w:shd w:val="clear" w:color="auto" w:fill="auto"/>
            <w:vAlign w:val="center"/>
            <w:hideMark/>
          </w:tcPr>
          <w:p w14:paraId="32D7D801"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900.207.628</w:t>
            </w:r>
          </w:p>
        </w:tc>
        <w:tc>
          <w:tcPr>
            <w:tcW w:w="323" w:type="dxa"/>
            <w:tcBorders>
              <w:top w:val="nil"/>
              <w:left w:val="nil"/>
              <w:bottom w:val="single" w:sz="8" w:space="0" w:color="auto"/>
              <w:right w:val="single" w:sz="8" w:space="0" w:color="auto"/>
            </w:tcBorders>
            <w:shd w:val="clear" w:color="auto" w:fill="auto"/>
            <w:vAlign w:val="center"/>
            <w:hideMark/>
          </w:tcPr>
          <w:p w14:paraId="1D865F2E"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w:t>
            </w:r>
          </w:p>
        </w:tc>
        <w:tc>
          <w:tcPr>
            <w:tcW w:w="505" w:type="dxa"/>
            <w:tcBorders>
              <w:top w:val="nil"/>
              <w:left w:val="nil"/>
              <w:bottom w:val="single" w:sz="8" w:space="0" w:color="auto"/>
              <w:right w:val="single" w:sz="8" w:space="0" w:color="auto"/>
            </w:tcBorders>
            <w:shd w:val="clear" w:color="auto" w:fill="auto"/>
            <w:vAlign w:val="center"/>
            <w:hideMark/>
          </w:tcPr>
          <w:p w14:paraId="46FE1FC2"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22635</w:t>
            </w:r>
          </w:p>
        </w:tc>
        <w:tc>
          <w:tcPr>
            <w:tcW w:w="4243" w:type="dxa"/>
            <w:tcBorders>
              <w:top w:val="nil"/>
              <w:left w:val="nil"/>
              <w:bottom w:val="single" w:sz="8" w:space="0" w:color="auto"/>
              <w:right w:val="single" w:sz="8" w:space="0" w:color="auto"/>
            </w:tcBorders>
            <w:shd w:val="clear" w:color="auto" w:fill="auto"/>
            <w:vAlign w:val="center"/>
            <w:hideMark/>
          </w:tcPr>
          <w:p w14:paraId="1E152A39"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ENERLIM S.A. E.S.P.</w:t>
            </w:r>
          </w:p>
        </w:tc>
        <w:tc>
          <w:tcPr>
            <w:tcW w:w="1196" w:type="dxa"/>
            <w:tcBorders>
              <w:top w:val="nil"/>
              <w:left w:val="nil"/>
              <w:bottom w:val="single" w:sz="8" w:space="0" w:color="auto"/>
              <w:right w:val="single" w:sz="8" w:space="0" w:color="auto"/>
            </w:tcBorders>
            <w:shd w:val="clear" w:color="auto" w:fill="auto"/>
            <w:vAlign w:val="center"/>
            <w:hideMark/>
          </w:tcPr>
          <w:p w14:paraId="2D0190E5"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30205FE8"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19901A7D"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1D9051BD"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88</w:t>
            </w:r>
          </w:p>
        </w:tc>
        <w:tc>
          <w:tcPr>
            <w:tcW w:w="879" w:type="dxa"/>
            <w:tcBorders>
              <w:top w:val="nil"/>
              <w:left w:val="nil"/>
              <w:bottom w:val="single" w:sz="8" w:space="0" w:color="auto"/>
              <w:right w:val="single" w:sz="8" w:space="0" w:color="auto"/>
            </w:tcBorders>
            <w:shd w:val="clear" w:color="auto" w:fill="auto"/>
            <w:vAlign w:val="center"/>
            <w:hideMark/>
          </w:tcPr>
          <w:p w14:paraId="449C795B"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900.210.455</w:t>
            </w:r>
          </w:p>
        </w:tc>
        <w:tc>
          <w:tcPr>
            <w:tcW w:w="323" w:type="dxa"/>
            <w:tcBorders>
              <w:top w:val="nil"/>
              <w:left w:val="nil"/>
              <w:bottom w:val="single" w:sz="8" w:space="0" w:color="auto"/>
              <w:right w:val="single" w:sz="8" w:space="0" w:color="auto"/>
            </w:tcBorders>
            <w:shd w:val="clear" w:color="auto" w:fill="auto"/>
            <w:vAlign w:val="center"/>
            <w:hideMark/>
          </w:tcPr>
          <w:p w14:paraId="41E86CA7"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3</w:t>
            </w:r>
          </w:p>
        </w:tc>
        <w:tc>
          <w:tcPr>
            <w:tcW w:w="505" w:type="dxa"/>
            <w:tcBorders>
              <w:top w:val="nil"/>
              <w:left w:val="nil"/>
              <w:bottom w:val="single" w:sz="8" w:space="0" w:color="auto"/>
              <w:right w:val="single" w:sz="8" w:space="0" w:color="auto"/>
            </w:tcBorders>
            <w:shd w:val="clear" w:color="auto" w:fill="auto"/>
            <w:vAlign w:val="center"/>
            <w:hideMark/>
          </w:tcPr>
          <w:p w14:paraId="0C9D1F48"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23419</w:t>
            </w:r>
          </w:p>
        </w:tc>
        <w:tc>
          <w:tcPr>
            <w:tcW w:w="4243" w:type="dxa"/>
            <w:tcBorders>
              <w:top w:val="nil"/>
              <w:left w:val="nil"/>
              <w:bottom w:val="single" w:sz="8" w:space="0" w:color="auto"/>
              <w:right w:val="single" w:sz="8" w:space="0" w:color="auto"/>
            </w:tcBorders>
            <w:shd w:val="clear" w:color="auto" w:fill="auto"/>
            <w:vAlign w:val="center"/>
            <w:hideMark/>
          </w:tcPr>
          <w:p w14:paraId="02C5D41E"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GUANAQUITAS S.A.S. E.S.P.</w:t>
            </w:r>
          </w:p>
        </w:tc>
        <w:tc>
          <w:tcPr>
            <w:tcW w:w="1196" w:type="dxa"/>
            <w:tcBorders>
              <w:top w:val="nil"/>
              <w:left w:val="nil"/>
              <w:bottom w:val="single" w:sz="8" w:space="0" w:color="auto"/>
              <w:right w:val="single" w:sz="8" w:space="0" w:color="auto"/>
            </w:tcBorders>
            <w:shd w:val="clear" w:color="auto" w:fill="auto"/>
            <w:vAlign w:val="center"/>
            <w:hideMark/>
          </w:tcPr>
          <w:p w14:paraId="7A6736E5"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 </w:t>
            </w:r>
          </w:p>
        </w:tc>
        <w:tc>
          <w:tcPr>
            <w:tcW w:w="2260" w:type="dxa"/>
            <w:tcBorders>
              <w:top w:val="nil"/>
              <w:left w:val="nil"/>
              <w:bottom w:val="single" w:sz="8" w:space="0" w:color="auto"/>
              <w:right w:val="single" w:sz="8" w:space="0" w:color="auto"/>
            </w:tcBorders>
            <w:shd w:val="clear" w:color="auto" w:fill="auto"/>
            <w:noWrap/>
            <w:vAlign w:val="center"/>
            <w:hideMark/>
          </w:tcPr>
          <w:p w14:paraId="64B1F1A4"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3C64BB30"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4854F531"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89</w:t>
            </w:r>
          </w:p>
        </w:tc>
        <w:tc>
          <w:tcPr>
            <w:tcW w:w="879" w:type="dxa"/>
            <w:tcBorders>
              <w:top w:val="nil"/>
              <w:left w:val="nil"/>
              <w:bottom w:val="single" w:sz="8" w:space="0" w:color="auto"/>
              <w:right w:val="single" w:sz="8" w:space="0" w:color="auto"/>
            </w:tcBorders>
            <w:shd w:val="clear" w:color="auto" w:fill="auto"/>
            <w:vAlign w:val="center"/>
            <w:hideMark/>
          </w:tcPr>
          <w:p w14:paraId="7E4F3316"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900.214.588</w:t>
            </w:r>
          </w:p>
        </w:tc>
        <w:tc>
          <w:tcPr>
            <w:tcW w:w="323" w:type="dxa"/>
            <w:tcBorders>
              <w:top w:val="nil"/>
              <w:left w:val="nil"/>
              <w:bottom w:val="single" w:sz="8" w:space="0" w:color="auto"/>
              <w:right w:val="single" w:sz="8" w:space="0" w:color="auto"/>
            </w:tcBorders>
            <w:shd w:val="clear" w:color="auto" w:fill="auto"/>
            <w:vAlign w:val="center"/>
            <w:hideMark/>
          </w:tcPr>
          <w:p w14:paraId="3F67CE79"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w:t>
            </w:r>
          </w:p>
        </w:tc>
        <w:tc>
          <w:tcPr>
            <w:tcW w:w="505" w:type="dxa"/>
            <w:tcBorders>
              <w:top w:val="nil"/>
              <w:left w:val="nil"/>
              <w:bottom w:val="single" w:sz="8" w:space="0" w:color="auto"/>
              <w:right w:val="single" w:sz="8" w:space="0" w:color="auto"/>
            </w:tcBorders>
            <w:shd w:val="clear" w:color="auto" w:fill="auto"/>
            <w:vAlign w:val="center"/>
            <w:hideMark/>
          </w:tcPr>
          <w:p w14:paraId="0C68DEFD"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30671</w:t>
            </w:r>
          </w:p>
        </w:tc>
        <w:tc>
          <w:tcPr>
            <w:tcW w:w="4243" w:type="dxa"/>
            <w:tcBorders>
              <w:top w:val="nil"/>
              <w:left w:val="nil"/>
              <w:bottom w:val="single" w:sz="8" w:space="0" w:color="auto"/>
              <w:right w:val="single" w:sz="8" w:space="0" w:color="auto"/>
            </w:tcBorders>
            <w:shd w:val="clear" w:color="auto" w:fill="auto"/>
            <w:vAlign w:val="center"/>
            <w:hideMark/>
          </w:tcPr>
          <w:p w14:paraId="2E3F3A05"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ESPACIO PRODUCTIVO SAS ESP</w:t>
            </w:r>
          </w:p>
        </w:tc>
        <w:tc>
          <w:tcPr>
            <w:tcW w:w="1196" w:type="dxa"/>
            <w:tcBorders>
              <w:top w:val="nil"/>
              <w:left w:val="nil"/>
              <w:bottom w:val="single" w:sz="8" w:space="0" w:color="auto"/>
              <w:right w:val="single" w:sz="8" w:space="0" w:color="auto"/>
            </w:tcBorders>
            <w:shd w:val="clear" w:color="auto" w:fill="auto"/>
            <w:vAlign w:val="center"/>
            <w:hideMark/>
          </w:tcPr>
          <w:p w14:paraId="4AA1AECD"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37BBD846"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297607E9"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7F6DFE65"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w:t>
            </w:r>
          </w:p>
        </w:tc>
        <w:tc>
          <w:tcPr>
            <w:tcW w:w="879" w:type="dxa"/>
            <w:tcBorders>
              <w:top w:val="nil"/>
              <w:left w:val="nil"/>
              <w:bottom w:val="single" w:sz="8" w:space="0" w:color="auto"/>
              <w:right w:val="single" w:sz="8" w:space="0" w:color="auto"/>
            </w:tcBorders>
            <w:shd w:val="clear" w:color="auto" w:fill="auto"/>
            <w:vAlign w:val="center"/>
            <w:hideMark/>
          </w:tcPr>
          <w:p w14:paraId="39C5605A"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900.244.325</w:t>
            </w:r>
          </w:p>
        </w:tc>
        <w:tc>
          <w:tcPr>
            <w:tcW w:w="323" w:type="dxa"/>
            <w:tcBorders>
              <w:top w:val="nil"/>
              <w:left w:val="nil"/>
              <w:bottom w:val="single" w:sz="8" w:space="0" w:color="auto"/>
              <w:right w:val="single" w:sz="8" w:space="0" w:color="auto"/>
            </w:tcBorders>
            <w:shd w:val="clear" w:color="auto" w:fill="auto"/>
            <w:vAlign w:val="center"/>
            <w:hideMark/>
          </w:tcPr>
          <w:p w14:paraId="640E39AE"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0</w:t>
            </w:r>
          </w:p>
        </w:tc>
        <w:tc>
          <w:tcPr>
            <w:tcW w:w="505" w:type="dxa"/>
            <w:tcBorders>
              <w:top w:val="nil"/>
              <w:left w:val="nil"/>
              <w:bottom w:val="single" w:sz="8" w:space="0" w:color="auto"/>
              <w:right w:val="single" w:sz="8" w:space="0" w:color="auto"/>
            </w:tcBorders>
            <w:shd w:val="clear" w:color="auto" w:fill="auto"/>
            <w:vAlign w:val="center"/>
            <w:hideMark/>
          </w:tcPr>
          <w:p w14:paraId="10C7B203"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40935</w:t>
            </w:r>
          </w:p>
        </w:tc>
        <w:tc>
          <w:tcPr>
            <w:tcW w:w="4243" w:type="dxa"/>
            <w:tcBorders>
              <w:top w:val="nil"/>
              <w:left w:val="nil"/>
              <w:bottom w:val="single" w:sz="8" w:space="0" w:color="auto"/>
              <w:right w:val="single" w:sz="8" w:space="0" w:color="auto"/>
            </w:tcBorders>
            <w:shd w:val="clear" w:color="auto" w:fill="auto"/>
            <w:vAlign w:val="center"/>
            <w:hideMark/>
          </w:tcPr>
          <w:p w14:paraId="5804E2D9"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GENERACIÓN DE ENERGÍA S.A.S. E.S.P.</w:t>
            </w:r>
          </w:p>
        </w:tc>
        <w:tc>
          <w:tcPr>
            <w:tcW w:w="1196" w:type="dxa"/>
            <w:tcBorders>
              <w:top w:val="nil"/>
              <w:left w:val="nil"/>
              <w:bottom w:val="single" w:sz="8" w:space="0" w:color="auto"/>
              <w:right w:val="single" w:sz="8" w:space="0" w:color="auto"/>
            </w:tcBorders>
            <w:shd w:val="clear" w:color="auto" w:fill="auto"/>
            <w:vAlign w:val="center"/>
            <w:hideMark/>
          </w:tcPr>
          <w:p w14:paraId="4E7F7CCB"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0BE3490C"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1B400418" w14:textId="77777777" w:rsidTr="00AD4E79">
        <w:trPr>
          <w:trHeight w:val="379"/>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301A321D"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91</w:t>
            </w:r>
          </w:p>
        </w:tc>
        <w:tc>
          <w:tcPr>
            <w:tcW w:w="879" w:type="dxa"/>
            <w:tcBorders>
              <w:top w:val="nil"/>
              <w:left w:val="nil"/>
              <w:bottom w:val="single" w:sz="8" w:space="0" w:color="auto"/>
              <w:right w:val="single" w:sz="8" w:space="0" w:color="auto"/>
            </w:tcBorders>
            <w:shd w:val="clear" w:color="auto" w:fill="auto"/>
            <w:vAlign w:val="center"/>
            <w:hideMark/>
          </w:tcPr>
          <w:p w14:paraId="78014C69"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900.251.423</w:t>
            </w:r>
          </w:p>
        </w:tc>
        <w:tc>
          <w:tcPr>
            <w:tcW w:w="323" w:type="dxa"/>
            <w:tcBorders>
              <w:top w:val="nil"/>
              <w:left w:val="nil"/>
              <w:bottom w:val="single" w:sz="8" w:space="0" w:color="auto"/>
              <w:right w:val="single" w:sz="8" w:space="0" w:color="auto"/>
            </w:tcBorders>
            <w:shd w:val="clear" w:color="auto" w:fill="auto"/>
            <w:vAlign w:val="center"/>
            <w:hideMark/>
          </w:tcPr>
          <w:p w14:paraId="64DD5C17"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3</w:t>
            </w:r>
          </w:p>
        </w:tc>
        <w:tc>
          <w:tcPr>
            <w:tcW w:w="505" w:type="dxa"/>
            <w:tcBorders>
              <w:top w:val="nil"/>
              <w:left w:val="nil"/>
              <w:bottom w:val="single" w:sz="8" w:space="0" w:color="auto"/>
              <w:right w:val="single" w:sz="8" w:space="0" w:color="auto"/>
            </w:tcBorders>
            <w:shd w:val="clear" w:color="auto" w:fill="auto"/>
            <w:vAlign w:val="center"/>
            <w:hideMark/>
          </w:tcPr>
          <w:p w14:paraId="1B22D99D"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22543</w:t>
            </w:r>
          </w:p>
        </w:tc>
        <w:tc>
          <w:tcPr>
            <w:tcW w:w="4243" w:type="dxa"/>
            <w:tcBorders>
              <w:top w:val="nil"/>
              <w:left w:val="nil"/>
              <w:bottom w:val="single" w:sz="8" w:space="0" w:color="auto"/>
              <w:right w:val="single" w:sz="8" w:space="0" w:color="auto"/>
            </w:tcBorders>
            <w:shd w:val="clear" w:color="auto" w:fill="auto"/>
            <w:vAlign w:val="center"/>
            <w:hideMark/>
          </w:tcPr>
          <w:p w14:paraId="23032E29"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EMPRESA DE GENERACION Y PROMOCION DE ENERGIA DE ANTIOQUIA SA ESP</w:t>
            </w:r>
          </w:p>
        </w:tc>
        <w:tc>
          <w:tcPr>
            <w:tcW w:w="1196" w:type="dxa"/>
            <w:tcBorders>
              <w:top w:val="nil"/>
              <w:left w:val="nil"/>
              <w:bottom w:val="single" w:sz="8" w:space="0" w:color="auto"/>
              <w:right w:val="single" w:sz="8" w:space="0" w:color="auto"/>
            </w:tcBorders>
            <w:shd w:val="clear" w:color="auto" w:fill="auto"/>
            <w:vAlign w:val="center"/>
            <w:hideMark/>
          </w:tcPr>
          <w:p w14:paraId="4C0E915E"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65EB9F02"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5E2682EF" w14:textId="77777777" w:rsidTr="00AD4E79">
        <w:trPr>
          <w:trHeight w:val="541"/>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01E9C392"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92</w:t>
            </w:r>
          </w:p>
        </w:tc>
        <w:tc>
          <w:tcPr>
            <w:tcW w:w="879" w:type="dxa"/>
            <w:tcBorders>
              <w:top w:val="nil"/>
              <w:left w:val="nil"/>
              <w:bottom w:val="single" w:sz="8" w:space="0" w:color="auto"/>
              <w:right w:val="single" w:sz="8" w:space="0" w:color="auto"/>
            </w:tcBorders>
            <w:shd w:val="clear" w:color="auto" w:fill="auto"/>
            <w:vAlign w:val="center"/>
            <w:hideMark/>
          </w:tcPr>
          <w:p w14:paraId="00006A05"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900.260.857</w:t>
            </w:r>
          </w:p>
        </w:tc>
        <w:tc>
          <w:tcPr>
            <w:tcW w:w="323" w:type="dxa"/>
            <w:tcBorders>
              <w:top w:val="nil"/>
              <w:left w:val="nil"/>
              <w:bottom w:val="single" w:sz="8" w:space="0" w:color="auto"/>
              <w:right w:val="single" w:sz="8" w:space="0" w:color="auto"/>
            </w:tcBorders>
            <w:shd w:val="clear" w:color="auto" w:fill="auto"/>
            <w:vAlign w:val="center"/>
            <w:hideMark/>
          </w:tcPr>
          <w:p w14:paraId="2AEFFB37"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4</w:t>
            </w:r>
          </w:p>
        </w:tc>
        <w:tc>
          <w:tcPr>
            <w:tcW w:w="505" w:type="dxa"/>
            <w:tcBorders>
              <w:top w:val="nil"/>
              <w:left w:val="nil"/>
              <w:bottom w:val="single" w:sz="8" w:space="0" w:color="auto"/>
              <w:right w:val="single" w:sz="8" w:space="0" w:color="auto"/>
            </w:tcBorders>
            <w:shd w:val="clear" w:color="auto" w:fill="auto"/>
            <w:vAlign w:val="center"/>
            <w:hideMark/>
          </w:tcPr>
          <w:p w14:paraId="53853CB3"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22594</w:t>
            </w:r>
          </w:p>
        </w:tc>
        <w:tc>
          <w:tcPr>
            <w:tcW w:w="4243" w:type="dxa"/>
            <w:tcBorders>
              <w:top w:val="nil"/>
              <w:left w:val="nil"/>
              <w:bottom w:val="single" w:sz="8" w:space="0" w:color="auto"/>
              <w:right w:val="single" w:sz="8" w:space="0" w:color="auto"/>
            </w:tcBorders>
            <w:shd w:val="clear" w:color="auto" w:fill="auto"/>
            <w:vAlign w:val="center"/>
            <w:hideMark/>
          </w:tcPr>
          <w:p w14:paraId="3976723C"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 xml:space="preserve">ASOCIACIÓN DE USUARIOS DEL SERVICIO DE ENERGÍA ELÉCTRICA DE LA ZONA RURAL DE SANTA BARBARA DE ISCUANDE </w:t>
            </w:r>
          </w:p>
        </w:tc>
        <w:tc>
          <w:tcPr>
            <w:tcW w:w="1196" w:type="dxa"/>
            <w:tcBorders>
              <w:top w:val="nil"/>
              <w:left w:val="nil"/>
              <w:bottom w:val="single" w:sz="8" w:space="0" w:color="auto"/>
              <w:right w:val="single" w:sz="8" w:space="0" w:color="auto"/>
            </w:tcBorders>
            <w:shd w:val="clear" w:color="auto" w:fill="auto"/>
            <w:vAlign w:val="center"/>
            <w:hideMark/>
          </w:tcPr>
          <w:p w14:paraId="100949CE"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4F612DCA"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6861D55C" w14:textId="77777777" w:rsidTr="00AD4E79">
        <w:trPr>
          <w:trHeight w:val="394"/>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067A01E4"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93</w:t>
            </w:r>
          </w:p>
        </w:tc>
        <w:tc>
          <w:tcPr>
            <w:tcW w:w="879" w:type="dxa"/>
            <w:tcBorders>
              <w:top w:val="nil"/>
              <w:left w:val="nil"/>
              <w:bottom w:val="single" w:sz="8" w:space="0" w:color="auto"/>
              <w:right w:val="single" w:sz="8" w:space="0" w:color="auto"/>
            </w:tcBorders>
            <w:shd w:val="clear" w:color="auto" w:fill="auto"/>
            <w:vAlign w:val="center"/>
            <w:hideMark/>
          </w:tcPr>
          <w:p w14:paraId="11A72CFF"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900.263.570</w:t>
            </w:r>
          </w:p>
        </w:tc>
        <w:tc>
          <w:tcPr>
            <w:tcW w:w="323" w:type="dxa"/>
            <w:tcBorders>
              <w:top w:val="nil"/>
              <w:left w:val="nil"/>
              <w:bottom w:val="single" w:sz="8" w:space="0" w:color="auto"/>
              <w:right w:val="single" w:sz="8" w:space="0" w:color="auto"/>
            </w:tcBorders>
            <w:shd w:val="clear" w:color="auto" w:fill="auto"/>
            <w:vAlign w:val="center"/>
            <w:hideMark/>
          </w:tcPr>
          <w:p w14:paraId="5575E9B5"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w:t>
            </w:r>
          </w:p>
        </w:tc>
        <w:tc>
          <w:tcPr>
            <w:tcW w:w="505" w:type="dxa"/>
            <w:tcBorders>
              <w:top w:val="nil"/>
              <w:left w:val="nil"/>
              <w:bottom w:val="single" w:sz="8" w:space="0" w:color="auto"/>
              <w:right w:val="single" w:sz="8" w:space="0" w:color="auto"/>
            </w:tcBorders>
            <w:shd w:val="clear" w:color="auto" w:fill="auto"/>
            <w:vAlign w:val="center"/>
            <w:hideMark/>
          </w:tcPr>
          <w:p w14:paraId="2793B200"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22645</w:t>
            </w:r>
          </w:p>
        </w:tc>
        <w:tc>
          <w:tcPr>
            <w:tcW w:w="4243" w:type="dxa"/>
            <w:tcBorders>
              <w:top w:val="nil"/>
              <w:left w:val="nil"/>
              <w:bottom w:val="single" w:sz="8" w:space="0" w:color="auto"/>
              <w:right w:val="single" w:sz="8" w:space="0" w:color="auto"/>
            </w:tcBorders>
            <w:shd w:val="clear" w:color="auto" w:fill="auto"/>
            <w:vAlign w:val="center"/>
            <w:hideMark/>
          </w:tcPr>
          <w:p w14:paraId="68207D65"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EMPRESA DE ENERGIA ELECTRICA DEL MUNICIPIO DE ROBERTO PAYAN S.A.S E.</w:t>
            </w:r>
            <w:proofErr w:type="gramStart"/>
            <w:r w:rsidRPr="00AD4E79">
              <w:rPr>
                <w:rFonts w:ascii="Arial Narrow" w:hAnsi="Arial Narrow" w:cs="Arial"/>
                <w:spacing w:val="0"/>
                <w:sz w:val="16"/>
                <w:szCs w:val="16"/>
                <w:lang w:eastAsia="es-CO"/>
              </w:rPr>
              <w:t>S.P</w:t>
            </w:r>
            <w:proofErr w:type="gramEnd"/>
          </w:p>
        </w:tc>
        <w:tc>
          <w:tcPr>
            <w:tcW w:w="1196" w:type="dxa"/>
            <w:tcBorders>
              <w:top w:val="nil"/>
              <w:left w:val="nil"/>
              <w:bottom w:val="single" w:sz="8" w:space="0" w:color="auto"/>
              <w:right w:val="single" w:sz="8" w:space="0" w:color="auto"/>
            </w:tcBorders>
            <w:shd w:val="clear" w:color="auto" w:fill="auto"/>
            <w:vAlign w:val="center"/>
            <w:hideMark/>
          </w:tcPr>
          <w:p w14:paraId="41776BE6"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1D733916"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SIN REPORTE AL SUI</w:t>
            </w:r>
          </w:p>
        </w:tc>
      </w:tr>
      <w:tr w:rsidR="00AD4E79" w:rsidRPr="00AD4E79" w14:paraId="10C89525" w14:textId="77777777" w:rsidTr="00AD4E79">
        <w:trPr>
          <w:trHeight w:val="413"/>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0C43187F"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94</w:t>
            </w:r>
          </w:p>
        </w:tc>
        <w:tc>
          <w:tcPr>
            <w:tcW w:w="879" w:type="dxa"/>
            <w:tcBorders>
              <w:top w:val="nil"/>
              <w:left w:val="nil"/>
              <w:bottom w:val="single" w:sz="8" w:space="0" w:color="auto"/>
              <w:right w:val="single" w:sz="8" w:space="0" w:color="auto"/>
            </w:tcBorders>
            <w:shd w:val="clear" w:color="auto" w:fill="auto"/>
            <w:vAlign w:val="center"/>
            <w:hideMark/>
          </w:tcPr>
          <w:p w14:paraId="050F6D19"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900.274.902</w:t>
            </w:r>
          </w:p>
        </w:tc>
        <w:tc>
          <w:tcPr>
            <w:tcW w:w="323" w:type="dxa"/>
            <w:tcBorders>
              <w:top w:val="nil"/>
              <w:left w:val="nil"/>
              <w:bottom w:val="single" w:sz="8" w:space="0" w:color="auto"/>
              <w:right w:val="single" w:sz="8" w:space="0" w:color="auto"/>
            </w:tcBorders>
            <w:shd w:val="clear" w:color="auto" w:fill="auto"/>
            <w:vAlign w:val="center"/>
            <w:hideMark/>
          </w:tcPr>
          <w:p w14:paraId="3BD90AF5"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w:t>
            </w:r>
          </w:p>
        </w:tc>
        <w:tc>
          <w:tcPr>
            <w:tcW w:w="505" w:type="dxa"/>
            <w:tcBorders>
              <w:top w:val="nil"/>
              <w:left w:val="nil"/>
              <w:bottom w:val="single" w:sz="8" w:space="0" w:color="auto"/>
              <w:right w:val="single" w:sz="8" w:space="0" w:color="auto"/>
            </w:tcBorders>
            <w:shd w:val="clear" w:color="auto" w:fill="auto"/>
            <w:vAlign w:val="center"/>
            <w:hideMark/>
          </w:tcPr>
          <w:p w14:paraId="10863FA9"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22728</w:t>
            </w:r>
          </w:p>
        </w:tc>
        <w:tc>
          <w:tcPr>
            <w:tcW w:w="4243" w:type="dxa"/>
            <w:tcBorders>
              <w:top w:val="nil"/>
              <w:left w:val="nil"/>
              <w:bottom w:val="single" w:sz="8" w:space="0" w:color="auto"/>
              <w:right w:val="single" w:sz="8" w:space="0" w:color="auto"/>
            </w:tcBorders>
            <w:shd w:val="clear" w:color="auto" w:fill="auto"/>
            <w:vAlign w:val="center"/>
            <w:hideMark/>
          </w:tcPr>
          <w:p w14:paraId="0944E408"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ASOCIACION DE USUARIOS DE SERVICIOS PUBLICOS DEL MEDIO BAUDO</w:t>
            </w:r>
          </w:p>
        </w:tc>
        <w:tc>
          <w:tcPr>
            <w:tcW w:w="1196" w:type="dxa"/>
            <w:tcBorders>
              <w:top w:val="nil"/>
              <w:left w:val="nil"/>
              <w:bottom w:val="single" w:sz="8" w:space="0" w:color="auto"/>
              <w:right w:val="single" w:sz="8" w:space="0" w:color="auto"/>
            </w:tcBorders>
            <w:shd w:val="clear" w:color="auto" w:fill="auto"/>
            <w:vAlign w:val="center"/>
            <w:hideMark/>
          </w:tcPr>
          <w:p w14:paraId="32ECABC6"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3C868C7E"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50B9F6D5"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7A0E57F9"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95</w:t>
            </w:r>
          </w:p>
        </w:tc>
        <w:tc>
          <w:tcPr>
            <w:tcW w:w="879" w:type="dxa"/>
            <w:tcBorders>
              <w:top w:val="nil"/>
              <w:left w:val="nil"/>
              <w:bottom w:val="single" w:sz="8" w:space="0" w:color="auto"/>
              <w:right w:val="single" w:sz="8" w:space="0" w:color="auto"/>
            </w:tcBorders>
            <w:shd w:val="clear" w:color="auto" w:fill="auto"/>
            <w:vAlign w:val="center"/>
            <w:hideMark/>
          </w:tcPr>
          <w:p w14:paraId="1351D9C1"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900.275.349</w:t>
            </w:r>
          </w:p>
        </w:tc>
        <w:tc>
          <w:tcPr>
            <w:tcW w:w="323" w:type="dxa"/>
            <w:tcBorders>
              <w:top w:val="nil"/>
              <w:left w:val="nil"/>
              <w:bottom w:val="single" w:sz="8" w:space="0" w:color="auto"/>
              <w:right w:val="single" w:sz="8" w:space="0" w:color="auto"/>
            </w:tcBorders>
            <w:shd w:val="clear" w:color="auto" w:fill="auto"/>
            <w:vAlign w:val="center"/>
            <w:hideMark/>
          </w:tcPr>
          <w:p w14:paraId="461B82FA"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w:t>
            </w:r>
          </w:p>
        </w:tc>
        <w:tc>
          <w:tcPr>
            <w:tcW w:w="505" w:type="dxa"/>
            <w:tcBorders>
              <w:top w:val="nil"/>
              <w:left w:val="nil"/>
              <w:bottom w:val="single" w:sz="8" w:space="0" w:color="auto"/>
              <w:right w:val="single" w:sz="8" w:space="0" w:color="auto"/>
            </w:tcBorders>
            <w:shd w:val="clear" w:color="auto" w:fill="auto"/>
            <w:vAlign w:val="center"/>
            <w:hideMark/>
          </w:tcPr>
          <w:p w14:paraId="287C7DB3"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26234</w:t>
            </w:r>
          </w:p>
        </w:tc>
        <w:tc>
          <w:tcPr>
            <w:tcW w:w="4243" w:type="dxa"/>
            <w:tcBorders>
              <w:top w:val="nil"/>
              <w:left w:val="nil"/>
              <w:bottom w:val="single" w:sz="8" w:space="0" w:color="auto"/>
              <w:right w:val="single" w:sz="8" w:space="0" w:color="auto"/>
            </w:tcBorders>
            <w:shd w:val="clear" w:color="auto" w:fill="auto"/>
            <w:vAlign w:val="center"/>
            <w:hideMark/>
          </w:tcPr>
          <w:p w14:paraId="4AEEFD70"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BARROSO S.A.S. E.S.P.</w:t>
            </w:r>
          </w:p>
        </w:tc>
        <w:tc>
          <w:tcPr>
            <w:tcW w:w="1196" w:type="dxa"/>
            <w:tcBorders>
              <w:top w:val="nil"/>
              <w:left w:val="nil"/>
              <w:bottom w:val="single" w:sz="8" w:space="0" w:color="auto"/>
              <w:right w:val="single" w:sz="8" w:space="0" w:color="auto"/>
            </w:tcBorders>
            <w:shd w:val="clear" w:color="auto" w:fill="auto"/>
            <w:vAlign w:val="center"/>
            <w:hideMark/>
          </w:tcPr>
          <w:p w14:paraId="4D7DA17B"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 </w:t>
            </w:r>
          </w:p>
        </w:tc>
        <w:tc>
          <w:tcPr>
            <w:tcW w:w="2260" w:type="dxa"/>
            <w:tcBorders>
              <w:top w:val="nil"/>
              <w:left w:val="nil"/>
              <w:bottom w:val="single" w:sz="8" w:space="0" w:color="auto"/>
              <w:right w:val="single" w:sz="8" w:space="0" w:color="auto"/>
            </w:tcBorders>
            <w:shd w:val="clear" w:color="auto" w:fill="auto"/>
            <w:noWrap/>
            <w:vAlign w:val="center"/>
            <w:hideMark/>
          </w:tcPr>
          <w:p w14:paraId="67A8C5D2"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077F8903"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093F38A7"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96</w:t>
            </w:r>
          </w:p>
        </w:tc>
        <w:tc>
          <w:tcPr>
            <w:tcW w:w="879" w:type="dxa"/>
            <w:tcBorders>
              <w:top w:val="nil"/>
              <w:left w:val="nil"/>
              <w:bottom w:val="single" w:sz="8" w:space="0" w:color="auto"/>
              <w:right w:val="single" w:sz="8" w:space="0" w:color="auto"/>
            </w:tcBorders>
            <w:shd w:val="clear" w:color="auto" w:fill="auto"/>
            <w:vAlign w:val="center"/>
            <w:hideMark/>
          </w:tcPr>
          <w:p w14:paraId="596D0807"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900.282.370</w:t>
            </w:r>
          </w:p>
        </w:tc>
        <w:tc>
          <w:tcPr>
            <w:tcW w:w="323" w:type="dxa"/>
            <w:tcBorders>
              <w:top w:val="nil"/>
              <w:left w:val="nil"/>
              <w:bottom w:val="single" w:sz="8" w:space="0" w:color="auto"/>
              <w:right w:val="single" w:sz="8" w:space="0" w:color="auto"/>
            </w:tcBorders>
            <w:shd w:val="clear" w:color="auto" w:fill="auto"/>
            <w:vAlign w:val="center"/>
            <w:hideMark/>
          </w:tcPr>
          <w:p w14:paraId="46D9D892"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4</w:t>
            </w:r>
          </w:p>
        </w:tc>
        <w:tc>
          <w:tcPr>
            <w:tcW w:w="505" w:type="dxa"/>
            <w:tcBorders>
              <w:top w:val="nil"/>
              <w:left w:val="nil"/>
              <w:bottom w:val="single" w:sz="8" w:space="0" w:color="auto"/>
              <w:right w:val="single" w:sz="8" w:space="0" w:color="auto"/>
            </w:tcBorders>
            <w:shd w:val="clear" w:color="auto" w:fill="auto"/>
            <w:vAlign w:val="center"/>
            <w:hideMark/>
          </w:tcPr>
          <w:p w14:paraId="2E5645B0"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22791</w:t>
            </w:r>
          </w:p>
        </w:tc>
        <w:tc>
          <w:tcPr>
            <w:tcW w:w="4243" w:type="dxa"/>
            <w:tcBorders>
              <w:top w:val="nil"/>
              <w:left w:val="nil"/>
              <w:bottom w:val="single" w:sz="8" w:space="0" w:color="auto"/>
              <w:right w:val="single" w:sz="8" w:space="0" w:color="auto"/>
            </w:tcBorders>
            <w:shd w:val="clear" w:color="auto" w:fill="auto"/>
            <w:vAlign w:val="center"/>
            <w:hideMark/>
          </w:tcPr>
          <w:p w14:paraId="3EBC32F3"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GENDECAR S.A. E.S.P.</w:t>
            </w:r>
          </w:p>
        </w:tc>
        <w:tc>
          <w:tcPr>
            <w:tcW w:w="1196" w:type="dxa"/>
            <w:tcBorders>
              <w:top w:val="nil"/>
              <w:left w:val="nil"/>
              <w:bottom w:val="single" w:sz="8" w:space="0" w:color="auto"/>
              <w:right w:val="single" w:sz="8" w:space="0" w:color="auto"/>
            </w:tcBorders>
            <w:shd w:val="clear" w:color="auto" w:fill="auto"/>
            <w:vAlign w:val="center"/>
            <w:hideMark/>
          </w:tcPr>
          <w:p w14:paraId="54FB6F17"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4CE1A4E3"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SIN REPORTE AL SUI</w:t>
            </w:r>
          </w:p>
        </w:tc>
      </w:tr>
      <w:tr w:rsidR="00AD4E79" w:rsidRPr="00AD4E79" w14:paraId="32B57439"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42B7E4D2"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97</w:t>
            </w:r>
          </w:p>
        </w:tc>
        <w:tc>
          <w:tcPr>
            <w:tcW w:w="879" w:type="dxa"/>
            <w:tcBorders>
              <w:top w:val="nil"/>
              <w:left w:val="nil"/>
              <w:bottom w:val="single" w:sz="8" w:space="0" w:color="auto"/>
              <w:right w:val="single" w:sz="8" w:space="0" w:color="auto"/>
            </w:tcBorders>
            <w:shd w:val="clear" w:color="auto" w:fill="auto"/>
            <w:vAlign w:val="center"/>
            <w:hideMark/>
          </w:tcPr>
          <w:p w14:paraId="23D236FD"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900.282.813</w:t>
            </w:r>
          </w:p>
        </w:tc>
        <w:tc>
          <w:tcPr>
            <w:tcW w:w="323" w:type="dxa"/>
            <w:tcBorders>
              <w:top w:val="nil"/>
              <w:left w:val="nil"/>
              <w:bottom w:val="single" w:sz="8" w:space="0" w:color="auto"/>
              <w:right w:val="single" w:sz="8" w:space="0" w:color="auto"/>
            </w:tcBorders>
            <w:shd w:val="clear" w:color="auto" w:fill="auto"/>
            <w:vAlign w:val="center"/>
            <w:hideMark/>
          </w:tcPr>
          <w:p w14:paraId="52945490"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5</w:t>
            </w:r>
          </w:p>
        </w:tc>
        <w:tc>
          <w:tcPr>
            <w:tcW w:w="505" w:type="dxa"/>
            <w:tcBorders>
              <w:top w:val="nil"/>
              <w:left w:val="nil"/>
              <w:bottom w:val="single" w:sz="8" w:space="0" w:color="auto"/>
              <w:right w:val="single" w:sz="8" w:space="0" w:color="auto"/>
            </w:tcBorders>
            <w:shd w:val="clear" w:color="auto" w:fill="auto"/>
            <w:vAlign w:val="center"/>
            <w:hideMark/>
          </w:tcPr>
          <w:p w14:paraId="1F7CEB2F"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23390</w:t>
            </w:r>
          </w:p>
        </w:tc>
        <w:tc>
          <w:tcPr>
            <w:tcW w:w="4243" w:type="dxa"/>
            <w:tcBorders>
              <w:top w:val="nil"/>
              <w:left w:val="nil"/>
              <w:bottom w:val="single" w:sz="8" w:space="0" w:color="auto"/>
              <w:right w:val="single" w:sz="8" w:space="0" w:color="auto"/>
            </w:tcBorders>
            <w:shd w:val="clear" w:color="auto" w:fill="auto"/>
            <w:vAlign w:val="center"/>
            <w:hideMark/>
          </w:tcPr>
          <w:p w14:paraId="16573FDF"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COLENERGIA S.A.  ESP</w:t>
            </w:r>
          </w:p>
        </w:tc>
        <w:tc>
          <w:tcPr>
            <w:tcW w:w="1196" w:type="dxa"/>
            <w:tcBorders>
              <w:top w:val="nil"/>
              <w:left w:val="nil"/>
              <w:bottom w:val="single" w:sz="8" w:space="0" w:color="auto"/>
              <w:right w:val="single" w:sz="8" w:space="0" w:color="auto"/>
            </w:tcBorders>
            <w:shd w:val="clear" w:color="auto" w:fill="auto"/>
            <w:vAlign w:val="center"/>
            <w:hideMark/>
          </w:tcPr>
          <w:p w14:paraId="2C3A00AA"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48384B81"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247E7248" w14:textId="77777777" w:rsidTr="00AD4E79">
        <w:trPr>
          <w:trHeight w:val="415"/>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763878CF"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98</w:t>
            </w:r>
          </w:p>
        </w:tc>
        <w:tc>
          <w:tcPr>
            <w:tcW w:w="879" w:type="dxa"/>
            <w:tcBorders>
              <w:top w:val="nil"/>
              <w:left w:val="nil"/>
              <w:bottom w:val="single" w:sz="8" w:space="0" w:color="auto"/>
              <w:right w:val="single" w:sz="8" w:space="0" w:color="auto"/>
            </w:tcBorders>
            <w:shd w:val="clear" w:color="auto" w:fill="auto"/>
            <w:vAlign w:val="center"/>
            <w:hideMark/>
          </w:tcPr>
          <w:p w14:paraId="6F7F8FB0"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900.304.017</w:t>
            </w:r>
          </w:p>
        </w:tc>
        <w:tc>
          <w:tcPr>
            <w:tcW w:w="323" w:type="dxa"/>
            <w:tcBorders>
              <w:top w:val="nil"/>
              <w:left w:val="nil"/>
              <w:bottom w:val="single" w:sz="8" w:space="0" w:color="auto"/>
              <w:right w:val="single" w:sz="8" w:space="0" w:color="auto"/>
            </w:tcBorders>
            <w:shd w:val="clear" w:color="auto" w:fill="auto"/>
            <w:vAlign w:val="center"/>
            <w:hideMark/>
          </w:tcPr>
          <w:p w14:paraId="0BB841C3"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5</w:t>
            </w:r>
          </w:p>
        </w:tc>
        <w:tc>
          <w:tcPr>
            <w:tcW w:w="505" w:type="dxa"/>
            <w:tcBorders>
              <w:top w:val="nil"/>
              <w:left w:val="nil"/>
              <w:bottom w:val="single" w:sz="8" w:space="0" w:color="auto"/>
              <w:right w:val="single" w:sz="8" w:space="0" w:color="auto"/>
            </w:tcBorders>
            <w:shd w:val="clear" w:color="auto" w:fill="auto"/>
            <w:vAlign w:val="center"/>
            <w:hideMark/>
          </w:tcPr>
          <w:p w14:paraId="36BF7BD4"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22941</w:t>
            </w:r>
          </w:p>
        </w:tc>
        <w:tc>
          <w:tcPr>
            <w:tcW w:w="4243" w:type="dxa"/>
            <w:tcBorders>
              <w:top w:val="nil"/>
              <w:left w:val="nil"/>
              <w:bottom w:val="single" w:sz="8" w:space="0" w:color="auto"/>
              <w:right w:val="single" w:sz="8" w:space="0" w:color="auto"/>
            </w:tcBorders>
            <w:shd w:val="clear" w:color="auto" w:fill="auto"/>
            <w:vAlign w:val="center"/>
            <w:hideMark/>
          </w:tcPr>
          <w:p w14:paraId="6AFE5160"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EMPRESA DE SERVICIOS PUBLICOS DOMICILIARIOS DE UNGUIA SA ESP</w:t>
            </w:r>
          </w:p>
        </w:tc>
        <w:tc>
          <w:tcPr>
            <w:tcW w:w="1196" w:type="dxa"/>
            <w:tcBorders>
              <w:top w:val="nil"/>
              <w:left w:val="nil"/>
              <w:bottom w:val="single" w:sz="8" w:space="0" w:color="auto"/>
              <w:right w:val="single" w:sz="8" w:space="0" w:color="auto"/>
            </w:tcBorders>
            <w:shd w:val="clear" w:color="auto" w:fill="auto"/>
            <w:vAlign w:val="center"/>
            <w:hideMark/>
          </w:tcPr>
          <w:p w14:paraId="3984B627"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334CCDC3"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SIN REPORTE AL SUI</w:t>
            </w:r>
          </w:p>
        </w:tc>
      </w:tr>
      <w:tr w:rsidR="00AD4E79" w:rsidRPr="00AD4E79" w14:paraId="0C95F6C3"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21F2EFBA"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99</w:t>
            </w:r>
          </w:p>
        </w:tc>
        <w:tc>
          <w:tcPr>
            <w:tcW w:w="879" w:type="dxa"/>
            <w:tcBorders>
              <w:top w:val="nil"/>
              <w:left w:val="nil"/>
              <w:bottom w:val="single" w:sz="8" w:space="0" w:color="auto"/>
              <w:right w:val="single" w:sz="8" w:space="0" w:color="auto"/>
            </w:tcBorders>
            <w:shd w:val="clear" w:color="auto" w:fill="auto"/>
            <w:vAlign w:val="center"/>
            <w:hideMark/>
          </w:tcPr>
          <w:p w14:paraId="7FE3758D"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900.308.744</w:t>
            </w:r>
          </w:p>
        </w:tc>
        <w:tc>
          <w:tcPr>
            <w:tcW w:w="323" w:type="dxa"/>
            <w:tcBorders>
              <w:top w:val="nil"/>
              <w:left w:val="nil"/>
              <w:bottom w:val="single" w:sz="8" w:space="0" w:color="auto"/>
              <w:right w:val="single" w:sz="8" w:space="0" w:color="auto"/>
            </w:tcBorders>
            <w:shd w:val="clear" w:color="auto" w:fill="auto"/>
            <w:vAlign w:val="center"/>
            <w:hideMark/>
          </w:tcPr>
          <w:p w14:paraId="5421B143"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w:t>
            </w:r>
          </w:p>
        </w:tc>
        <w:tc>
          <w:tcPr>
            <w:tcW w:w="505" w:type="dxa"/>
            <w:tcBorders>
              <w:top w:val="nil"/>
              <w:left w:val="nil"/>
              <w:bottom w:val="single" w:sz="8" w:space="0" w:color="auto"/>
              <w:right w:val="single" w:sz="8" w:space="0" w:color="auto"/>
            </w:tcBorders>
            <w:shd w:val="clear" w:color="auto" w:fill="auto"/>
            <w:vAlign w:val="center"/>
            <w:hideMark/>
          </w:tcPr>
          <w:p w14:paraId="2B9A27BD"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31152</w:t>
            </w:r>
          </w:p>
        </w:tc>
        <w:tc>
          <w:tcPr>
            <w:tcW w:w="4243" w:type="dxa"/>
            <w:tcBorders>
              <w:top w:val="nil"/>
              <w:left w:val="nil"/>
              <w:bottom w:val="single" w:sz="8" w:space="0" w:color="auto"/>
              <w:right w:val="single" w:sz="8" w:space="0" w:color="auto"/>
            </w:tcBorders>
            <w:shd w:val="clear" w:color="auto" w:fill="auto"/>
            <w:vAlign w:val="center"/>
            <w:hideMark/>
          </w:tcPr>
          <w:p w14:paraId="53F353AD"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GECELCA 3 S.A.S. E.S.P.</w:t>
            </w:r>
          </w:p>
        </w:tc>
        <w:tc>
          <w:tcPr>
            <w:tcW w:w="1196" w:type="dxa"/>
            <w:tcBorders>
              <w:top w:val="nil"/>
              <w:left w:val="nil"/>
              <w:bottom w:val="single" w:sz="8" w:space="0" w:color="auto"/>
              <w:right w:val="single" w:sz="8" w:space="0" w:color="auto"/>
            </w:tcBorders>
            <w:shd w:val="clear" w:color="auto" w:fill="auto"/>
            <w:vAlign w:val="center"/>
            <w:hideMark/>
          </w:tcPr>
          <w:p w14:paraId="38DE01C5"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37F6A7F3"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1AEF4894"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70285660"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lastRenderedPageBreak/>
              <w:t>100</w:t>
            </w:r>
          </w:p>
        </w:tc>
        <w:tc>
          <w:tcPr>
            <w:tcW w:w="879" w:type="dxa"/>
            <w:tcBorders>
              <w:top w:val="nil"/>
              <w:left w:val="nil"/>
              <w:bottom w:val="single" w:sz="8" w:space="0" w:color="auto"/>
              <w:right w:val="single" w:sz="8" w:space="0" w:color="auto"/>
            </w:tcBorders>
            <w:shd w:val="clear" w:color="auto" w:fill="auto"/>
            <w:vAlign w:val="center"/>
            <w:hideMark/>
          </w:tcPr>
          <w:p w14:paraId="5686A246"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900.325.920</w:t>
            </w:r>
          </w:p>
        </w:tc>
        <w:tc>
          <w:tcPr>
            <w:tcW w:w="323" w:type="dxa"/>
            <w:tcBorders>
              <w:top w:val="nil"/>
              <w:left w:val="nil"/>
              <w:bottom w:val="single" w:sz="8" w:space="0" w:color="auto"/>
              <w:right w:val="single" w:sz="8" w:space="0" w:color="auto"/>
            </w:tcBorders>
            <w:shd w:val="clear" w:color="auto" w:fill="auto"/>
            <w:vAlign w:val="center"/>
            <w:hideMark/>
          </w:tcPr>
          <w:p w14:paraId="060C4BF2"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w:t>
            </w:r>
          </w:p>
        </w:tc>
        <w:tc>
          <w:tcPr>
            <w:tcW w:w="505" w:type="dxa"/>
            <w:tcBorders>
              <w:top w:val="nil"/>
              <w:left w:val="nil"/>
              <w:bottom w:val="single" w:sz="8" w:space="0" w:color="auto"/>
              <w:right w:val="single" w:sz="8" w:space="0" w:color="auto"/>
            </w:tcBorders>
            <w:shd w:val="clear" w:color="auto" w:fill="auto"/>
            <w:vAlign w:val="center"/>
            <w:hideMark/>
          </w:tcPr>
          <w:p w14:paraId="20CA47B3"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30951</w:t>
            </w:r>
          </w:p>
        </w:tc>
        <w:tc>
          <w:tcPr>
            <w:tcW w:w="4243" w:type="dxa"/>
            <w:tcBorders>
              <w:top w:val="nil"/>
              <w:left w:val="nil"/>
              <w:bottom w:val="single" w:sz="8" w:space="0" w:color="auto"/>
              <w:right w:val="single" w:sz="8" w:space="0" w:color="auto"/>
            </w:tcBorders>
            <w:shd w:val="clear" w:color="auto" w:fill="auto"/>
            <w:vAlign w:val="center"/>
            <w:hideMark/>
          </w:tcPr>
          <w:p w14:paraId="0B2D6E21"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AGENTE EXPERTO EN SERVICIOS PUBLICOS SAS ESP</w:t>
            </w:r>
          </w:p>
        </w:tc>
        <w:tc>
          <w:tcPr>
            <w:tcW w:w="1196" w:type="dxa"/>
            <w:tcBorders>
              <w:top w:val="nil"/>
              <w:left w:val="nil"/>
              <w:bottom w:val="single" w:sz="8" w:space="0" w:color="auto"/>
              <w:right w:val="single" w:sz="8" w:space="0" w:color="auto"/>
            </w:tcBorders>
            <w:shd w:val="clear" w:color="auto" w:fill="auto"/>
            <w:vAlign w:val="center"/>
            <w:hideMark/>
          </w:tcPr>
          <w:p w14:paraId="68E6A221"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72E6CA64"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5F6C4F1C"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68C01F1E"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101</w:t>
            </w:r>
          </w:p>
        </w:tc>
        <w:tc>
          <w:tcPr>
            <w:tcW w:w="879" w:type="dxa"/>
            <w:tcBorders>
              <w:top w:val="nil"/>
              <w:left w:val="nil"/>
              <w:bottom w:val="single" w:sz="8" w:space="0" w:color="auto"/>
              <w:right w:val="single" w:sz="8" w:space="0" w:color="auto"/>
            </w:tcBorders>
            <w:shd w:val="clear" w:color="auto" w:fill="auto"/>
            <w:vAlign w:val="center"/>
            <w:hideMark/>
          </w:tcPr>
          <w:p w14:paraId="2D76BB6F"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900.334.431</w:t>
            </w:r>
          </w:p>
        </w:tc>
        <w:tc>
          <w:tcPr>
            <w:tcW w:w="323" w:type="dxa"/>
            <w:tcBorders>
              <w:top w:val="nil"/>
              <w:left w:val="nil"/>
              <w:bottom w:val="single" w:sz="8" w:space="0" w:color="auto"/>
              <w:right w:val="single" w:sz="8" w:space="0" w:color="auto"/>
            </w:tcBorders>
            <w:shd w:val="clear" w:color="auto" w:fill="auto"/>
            <w:vAlign w:val="center"/>
            <w:hideMark/>
          </w:tcPr>
          <w:p w14:paraId="3F015CA1"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w:t>
            </w:r>
          </w:p>
        </w:tc>
        <w:tc>
          <w:tcPr>
            <w:tcW w:w="505" w:type="dxa"/>
            <w:tcBorders>
              <w:top w:val="nil"/>
              <w:left w:val="nil"/>
              <w:bottom w:val="single" w:sz="8" w:space="0" w:color="auto"/>
              <w:right w:val="single" w:sz="8" w:space="0" w:color="auto"/>
            </w:tcBorders>
            <w:shd w:val="clear" w:color="auto" w:fill="auto"/>
            <w:vAlign w:val="center"/>
            <w:hideMark/>
          </w:tcPr>
          <w:p w14:paraId="324B5505"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37814</w:t>
            </w:r>
          </w:p>
        </w:tc>
        <w:tc>
          <w:tcPr>
            <w:tcW w:w="4243" w:type="dxa"/>
            <w:tcBorders>
              <w:top w:val="nil"/>
              <w:left w:val="nil"/>
              <w:bottom w:val="single" w:sz="8" w:space="0" w:color="auto"/>
              <w:right w:val="single" w:sz="8" w:space="0" w:color="auto"/>
            </w:tcBorders>
            <w:shd w:val="clear" w:color="auto" w:fill="auto"/>
            <w:vAlign w:val="center"/>
            <w:hideMark/>
          </w:tcPr>
          <w:p w14:paraId="0F097411"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TERMONORTE SAS ESP</w:t>
            </w:r>
          </w:p>
        </w:tc>
        <w:tc>
          <w:tcPr>
            <w:tcW w:w="1196" w:type="dxa"/>
            <w:tcBorders>
              <w:top w:val="nil"/>
              <w:left w:val="nil"/>
              <w:bottom w:val="single" w:sz="8" w:space="0" w:color="auto"/>
              <w:right w:val="single" w:sz="8" w:space="0" w:color="auto"/>
            </w:tcBorders>
            <w:shd w:val="clear" w:color="auto" w:fill="auto"/>
            <w:vAlign w:val="center"/>
            <w:hideMark/>
          </w:tcPr>
          <w:p w14:paraId="78B65C15"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06F77C68"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2D4C77A9"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5923E140"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102</w:t>
            </w:r>
          </w:p>
        </w:tc>
        <w:tc>
          <w:tcPr>
            <w:tcW w:w="879" w:type="dxa"/>
            <w:tcBorders>
              <w:top w:val="nil"/>
              <w:left w:val="nil"/>
              <w:bottom w:val="single" w:sz="8" w:space="0" w:color="auto"/>
              <w:right w:val="single" w:sz="8" w:space="0" w:color="auto"/>
            </w:tcBorders>
            <w:shd w:val="clear" w:color="auto" w:fill="auto"/>
            <w:vAlign w:val="center"/>
            <w:hideMark/>
          </w:tcPr>
          <w:p w14:paraId="50854CA9"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900.339.174</w:t>
            </w:r>
          </w:p>
        </w:tc>
        <w:tc>
          <w:tcPr>
            <w:tcW w:w="323" w:type="dxa"/>
            <w:tcBorders>
              <w:top w:val="nil"/>
              <w:left w:val="nil"/>
              <w:bottom w:val="single" w:sz="8" w:space="0" w:color="auto"/>
              <w:right w:val="single" w:sz="8" w:space="0" w:color="auto"/>
            </w:tcBorders>
            <w:shd w:val="clear" w:color="auto" w:fill="auto"/>
            <w:vAlign w:val="center"/>
            <w:hideMark/>
          </w:tcPr>
          <w:p w14:paraId="24DAC544"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4</w:t>
            </w:r>
          </w:p>
        </w:tc>
        <w:tc>
          <w:tcPr>
            <w:tcW w:w="505" w:type="dxa"/>
            <w:tcBorders>
              <w:top w:val="nil"/>
              <w:left w:val="nil"/>
              <w:bottom w:val="single" w:sz="8" w:space="0" w:color="auto"/>
              <w:right w:val="single" w:sz="8" w:space="0" w:color="auto"/>
            </w:tcBorders>
            <w:shd w:val="clear" w:color="auto" w:fill="auto"/>
            <w:vAlign w:val="center"/>
            <w:hideMark/>
          </w:tcPr>
          <w:p w14:paraId="77CE7B52"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23430</w:t>
            </w:r>
          </w:p>
        </w:tc>
        <w:tc>
          <w:tcPr>
            <w:tcW w:w="4243" w:type="dxa"/>
            <w:tcBorders>
              <w:top w:val="nil"/>
              <w:left w:val="nil"/>
              <w:bottom w:val="single" w:sz="8" w:space="0" w:color="auto"/>
              <w:right w:val="single" w:sz="8" w:space="0" w:color="auto"/>
            </w:tcBorders>
            <w:shd w:val="clear" w:color="auto" w:fill="auto"/>
            <w:vAlign w:val="center"/>
            <w:hideMark/>
          </w:tcPr>
          <w:p w14:paraId="475DECC7"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ENERGIA PARA EL AMAZONAS S.A. ESP</w:t>
            </w:r>
          </w:p>
        </w:tc>
        <w:tc>
          <w:tcPr>
            <w:tcW w:w="1196" w:type="dxa"/>
            <w:tcBorders>
              <w:top w:val="nil"/>
              <w:left w:val="nil"/>
              <w:bottom w:val="single" w:sz="8" w:space="0" w:color="auto"/>
              <w:right w:val="single" w:sz="8" w:space="0" w:color="auto"/>
            </w:tcBorders>
            <w:shd w:val="clear" w:color="auto" w:fill="auto"/>
            <w:vAlign w:val="center"/>
            <w:hideMark/>
          </w:tcPr>
          <w:p w14:paraId="79516F06"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441D2620"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4E3FEEE3"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699766A8"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103</w:t>
            </w:r>
          </w:p>
        </w:tc>
        <w:tc>
          <w:tcPr>
            <w:tcW w:w="879" w:type="dxa"/>
            <w:tcBorders>
              <w:top w:val="nil"/>
              <w:left w:val="nil"/>
              <w:bottom w:val="single" w:sz="8" w:space="0" w:color="auto"/>
              <w:right w:val="single" w:sz="8" w:space="0" w:color="auto"/>
            </w:tcBorders>
            <w:shd w:val="clear" w:color="auto" w:fill="auto"/>
            <w:vAlign w:val="center"/>
            <w:hideMark/>
          </w:tcPr>
          <w:p w14:paraId="704A3A2F"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900.341.483</w:t>
            </w:r>
          </w:p>
        </w:tc>
        <w:tc>
          <w:tcPr>
            <w:tcW w:w="323" w:type="dxa"/>
            <w:tcBorders>
              <w:top w:val="nil"/>
              <w:left w:val="nil"/>
              <w:bottom w:val="single" w:sz="8" w:space="0" w:color="auto"/>
              <w:right w:val="single" w:sz="8" w:space="0" w:color="auto"/>
            </w:tcBorders>
            <w:shd w:val="clear" w:color="auto" w:fill="auto"/>
            <w:vAlign w:val="center"/>
            <w:hideMark/>
          </w:tcPr>
          <w:p w14:paraId="6AA70047"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w:t>
            </w:r>
          </w:p>
        </w:tc>
        <w:tc>
          <w:tcPr>
            <w:tcW w:w="505" w:type="dxa"/>
            <w:tcBorders>
              <w:top w:val="nil"/>
              <w:left w:val="nil"/>
              <w:bottom w:val="single" w:sz="8" w:space="0" w:color="auto"/>
              <w:right w:val="single" w:sz="8" w:space="0" w:color="auto"/>
            </w:tcBorders>
            <w:shd w:val="clear" w:color="auto" w:fill="auto"/>
            <w:vAlign w:val="center"/>
            <w:hideMark/>
          </w:tcPr>
          <w:p w14:paraId="23C29084"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23330</w:t>
            </w:r>
          </w:p>
        </w:tc>
        <w:tc>
          <w:tcPr>
            <w:tcW w:w="4243" w:type="dxa"/>
            <w:tcBorders>
              <w:top w:val="nil"/>
              <w:left w:val="nil"/>
              <w:bottom w:val="single" w:sz="8" w:space="0" w:color="auto"/>
              <w:right w:val="single" w:sz="8" w:space="0" w:color="auto"/>
            </w:tcBorders>
            <w:shd w:val="clear" w:color="auto" w:fill="auto"/>
            <w:vAlign w:val="center"/>
            <w:hideMark/>
          </w:tcPr>
          <w:p w14:paraId="7A2EE0EE"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PROFESIONALES EN ENERGÍA S.A E.</w:t>
            </w:r>
            <w:proofErr w:type="gramStart"/>
            <w:r w:rsidRPr="00AD4E79">
              <w:rPr>
                <w:rFonts w:ascii="Arial Narrow" w:hAnsi="Arial Narrow" w:cs="Arial"/>
                <w:spacing w:val="0"/>
                <w:sz w:val="16"/>
                <w:szCs w:val="16"/>
                <w:lang w:eastAsia="es-CO"/>
              </w:rPr>
              <w:t>S.P</w:t>
            </w:r>
            <w:proofErr w:type="gramEnd"/>
          </w:p>
        </w:tc>
        <w:tc>
          <w:tcPr>
            <w:tcW w:w="1196" w:type="dxa"/>
            <w:tcBorders>
              <w:top w:val="nil"/>
              <w:left w:val="nil"/>
              <w:bottom w:val="single" w:sz="8" w:space="0" w:color="auto"/>
              <w:right w:val="single" w:sz="8" w:space="0" w:color="auto"/>
            </w:tcBorders>
            <w:shd w:val="clear" w:color="auto" w:fill="auto"/>
            <w:vAlign w:val="center"/>
            <w:hideMark/>
          </w:tcPr>
          <w:p w14:paraId="73780783"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5EC532EF"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570770C8"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05BC622B"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104</w:t>
            </w:r>
          </w:p>
        </w:tc>
        <w:tc>
          <w:tcPr>
            <w:tcW w:w="879" w:type="dxa"/>
            <w:tcBorders>
              <w:top w:val="nil"/>
              <w:left w:val="nil"/>
              <w:bottom w:val="single" w:sz="8" w:space="0" w:color="auto"/>
              <w:right w:val="single" w:sz="8" w:space="0" w:color="auto"/>
            </w:tcBorders>
            <w:shd w:val="clear" w:color="auto" w:fill="auto"/>
            <w:vAlign w:val="center"/>
            <w:hideMark/>
          </w:tcPr>
          <w:p w14:paraId="270ECE16"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900.344.208</w:t>
            </w:r>
          </w:p>
        </w:tc>
        <w:tc>
          <w:tcPr>
            <w:tcW w:w="323" w:type="dxa"/>
            <w:tcBorders>
              <w:top w:val="nil"/>
              <w:left w:val="nil"/>
              <w:bottom w:val="single" w:sz="8" w:space="0" w:color="auto"/>
              <w:right w:val="single" w:sz="8" w:space="0" w:color="auto"/>
            </w:tcBorders>
            <w:shd w:val="clear" w:color="auto" w:fill="auto"/>
            <w:vAlign w:val="center"/>
            <w:hideMark/>
          </w:tcPr>
          <w:p w14:paraId="7E04D9E3"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6</w:t>
            </w:r>
          </w:p>
        </w:tc>
        <w:tc>
          <w:tcPr>
            <w:tcW w:w="505" w:type="dxa"/>
            <w:tcBorders>
              <w:top w:val="nil"/>
              <w:left w:val="nil"/>
              <w:bottom w:val="single" w:sz="8" w:space="0" w:color="auto"/>
              <w:right w:val="single" w:sz="8" w:space="0" w:color="auto"/>
            </w:tcBorders>
            <w:shd w:val="clear" w:color="auto" w:fill="auto"/>
            <w:vAlign w:val="center"/>
            <w:hideMark/>
          </w:tcPr>
          <w:p w14:paraId="1B27C6A3"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26559</w:t>
            </w:r>
          </w:p>
        </w:tc>
        <w:tc>
          <w:tcPr>
            <w:tcW w:w="4243" w:type="dxa"/>
            <w:tcBorders>
              <w:top w:val="nil"/>
              <w:left w:val="nil"/>
              <w:bottom w:val="single" w:sz="8" w:space="0" w:color="auto"/>
              <w:right w:val="single" w:sz="8" w:space="0" w:color="auto"/>
            </w:tcBorders>
            <w:shd w:val="clear" w:color="auto" w:fill="auto"/>
            <w:vAlign w:val="center"/>
            <w:hideMark/>
          </w:tcPr>
          <w:p w14:paraId="5FFC27B7"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IA ENERGIA Y GESTION S.A.S. E.S.P.</w:t>
            </w:r>
          </w:p>
        </w:tc>
        <w:tc>
          <w:tcPr>
            <w:tcW w:w="1196" w:type="dxa"/>
            <w:tcBorders>
              <w:top w:val="nil"/>
              <w:left w:val="nil"/>
              <w:bottom w:val="single" w:sz="8" w:space="0" w:color="auto"/>
              <w:right w:val="single" w:sz="8" w:space="0" w:color="auto"/>
            </w:tcBorders>
            <w:shd w:val="clear" w:color="auto" w:fill="auto"/>
            <w:vAlign w:val="center"/>
            <w:hideMark/>
          </w:tcPr>
          <w:p w14:paraId="678C82C7"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1481EA55"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393A9DE7" w14:textId="77777777" w:rsidTr="00AD4E79">
        <w:trPr>
          <w:trHeight w:val="413"/>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537E8172"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105</w:t>
            </w:r>
          </w:p>
        </w:tc>
        <w:tc>
          <w:tcPr>
            <w:tcW w:w="879" w:type="dxa"/>
            <w:tcBorders>
              <w:top w:val="nil"/>
              <w:left w:val="nil"/>
              <w:bottom w:val="single" w:sz="8" w:space="0" w:color="auto"/>
              <w:right w:val="single" w:sz="8" w:space="0" w:color="auto"/>
            </w:tcBorders>
            <w:shd w:val="clear" w:color="auto" w:fill="auto"/>
            <w:vAlign w:val="center"/>
            <w:hideMark/>
          </w:tcPr>
          <w:p w14:paraId="3738D59F"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900.350.023</w:t>
            </w:r>
          </w:p>
        </w:tc>
        <w:tc>
          <w:tcPr>
            <w:tcW w:w="323" w:type="dxa"/>
            <w:tcBorders>
              <w:top w:val="nil"/>
              <w:left w:val="nil"/>
              <w:bottom w:val="single" w:sz="8" w:space="0" w:color="auto"/>
              <w:right w:val="single" w:sz="8" w:space="0" w:color="auto"/>
            </w:tcBorders>
            <w:shd w:val="clear" w:color="auto" w:fill="auto"/>
            <w:vAlign w:val="center"/>
            <w:hideMark/>
          </w:tcPr>
          <w:p w14:paraId="1A67FB1F"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5</w:t>
            </w:r>
          </w:p>
        </w:tc>
        <w:tc>
          <w:tcPr>
            <w:tcW w:w="505" w:type="dxa"/>
            <w:tcBorders>
              <w:top w:val="nil"/>
              <w:left w:val="nil"/>
              <w:bottom w:val="single" w:sz="8" w:space="0" w:color="auto"/>
              <w:right w:val="single" w:sz="8" w:space="0" w:color="auto"/>
            </w:tcBorders>
            <w:shd w:val="clear" w:color="auto" w:fill="auto"/>
            <w:vAlign w:val="center"/>
            <w:hideMark/>
          </w:tcPr>
          <w:p w14:paraId="22199D3E"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23400</w:t>
            </w:r>
          </w:p>
        </w:tc>
        <w:tc>
          <w:tcPr>
            <w:tcW w:w="4243" w:type="dxa"/>
            <w:tcBorders>
              <w:top w:val="nil"/>
              <w:left w:val="nil"/>
              <w:bottom w:val="single" w:sz="8" w:space="0" w:color="auto"/>
              <w:right w:val="single" w:sz="8" w:space="0" w:color="auto"/>
            </w:tcBorders>
            <w:shd w:val="clear" w:color="auto" w:fill="auto"/>
            <w:vAlign w:val="center"/>
            <w:hideMark/>
          </w:tcPr>
          <w:p w14:paraId="4BB22A37"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EMPRESA DE SERVICIOS PUBLICOS DE ENERGIA ELECTRICA DEL MUNICIPIO DE BARBACOAS S.A.S E.</w:t>
            </w:r>
            <w:proofErr w:type="gramStart"/>
            <w:r w:rsidRPr="00AD4E79">
              <w:rPr>
                <w:rFonts w:ascii="Arial Narrow" w:hAnsi="Arial Narrow" w:cs="Arial"/>
                <w:spacing w:val="0"/>
                <w:sz w:val="16"/>
                <w:szCs w:val="16"/>
                <w:lang w:eastAsia="es-CO"/>
              </w:rPr>
              <w:t>S.P</w:t>
            </w:r>
            <w:proofErr w:type="gramEnd"/>
          </w:p>
        </w:tc>
        <w:tc>
          <w:tcPr>
            <w:tcW w:w="1196" w:type="dxa"/>
            <w:tcBorders>
              <w:top w:val="nil"/>
              <w:left w:val="nil"/>
              <w:bottom w:val="single" w:sz="8" w:space="0" w:color="auto"/>
              <w:right w:val="single" w:sz="8" w:space="0" w:color="auto"/>
            </w:tcBorders>
            <w:shd w:val="clear" w:color="auto" w:fill="auto"/>
            <w:vAlign w:val="center"/>
            <w:hideMark/>
          </w:tcPr>
          <w:p w14:paraId="0D0A5FE4"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620D747C"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SIN REPORTE AL SUI</w:t>
            </w:r>
          </w:p>
        </w:tc>
      </w:tr>
      <w:tr w:rsidR="00AD4E79" w:rsidRPr="00AD4E79" w14:paraId="6313A177"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18C86D21"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106</w:t>
            </w:r>
          </w:p>
        </w:tc>
        <w:tc>
          <w:tcPr>
            <w:tcW w:w="879" w:type="dxa"/>
            <w:tcBorders>
              <w:top w:val="nil"/>
              <w:left w:val="nil"/>
              <w:bottom w:val="single" w:sz="8" w:space="0" w:color="auto"/>
              <w:right w:val="single" w:sz="8" w:space="0" w:color="auto"/>
            </w:tcBorders>
            <w:shd w:val="clear" w:color="auto" w:fill="auto"/>
            <w:vAlign w:val="center"/>
            <w:hideMark/>
          </w:tcPr>
          <w:p w14:paraId="5C0F4608"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900.351.013</w:t>
            </w:r>
          </w:p>
        </w:tc>
        <w:tc>
          <w:tcPr>
            <w:tcW w:w="323" w:type="dxa"/>
            <w:tcBorders>
              <w:top w:val="nil"/>
              <w:left w:val="nil"/>
              <w:bottom w:val="single" w:sz="8" w:space="0" w:color="auto"/>
              <w:right w:val="single" w:sz="8" w:space="0" w:color="auto"/>
            </w:tcBorders>
            <w:shd w:val="clear" w:color="auto" w:fill="auto"/>
            <w:vAlign w:val="center"/>
            <w:hideMark/>
          </w:tcPr>
          <w:p w14:paraId="50FE7FD7"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6</w:t>
            </w:r>
          </w:p>
        </w:tc>
        <w:tc>
          <w:tcPr>
            <w:tcW w:w="505" w:type="dxa"/>
            <w:tcBorders>
              <w:top w:val="nil"/>
              <w:left w:val="nil"/>
              <w:bottom w:val="single" w:sz="8" w:space="0" w:color="auto"/>
              <w:right w:val="single" w:sz="8" w:space="0" w:color="auto"/>
            </w:tcBorders>
            <w:shd w:val="clear" w:color="auto" w:fill="auto"/>
            <w:vAlign w:val="center"/>
            <w:hideMark/>
          </w:tcPr>
          <w:p w14:paraId="4E7B3A44"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62071</w:t>
            </w:r>
          </w:p>
        </w:tc>
        <w:tc>
          <w:tcPr>
            <w:tcW w:w="4243" w:type="dxa"/>
            <w:tcBorders>
              <w:top w:val="nil"/>
              <w:left w:val="nil"/>
              <w:bottom w:val="single" w:sz="8" w:space="0" w:color="auto"/>
              <w:right w:val="single" w:sz="8" w:space="0" w:color="auto"/>
            </w:tcBorders>
            <w:shd w:val="clear" w:color="auto" w:fill="auto"/>
            <w:vAlign w:val="center"/>
            <w:hideMark/>
          </w:tcPr>
          <w:p w14:paraId="68771067"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Enel X Colombia SAS ESP</w:t>
            </w:r>
          </w:p>
        </w:tc>
        <w:tc>
          <w:tcPr>
            <w:tcW w:w="1196" w:type="dxa"/>
            <w:tcBorders>
              <w:top w:val="nil"/>
              <w:left w:val="nil"/>
              <w:bottom w:val="single" w:sz="8" w:space="0" w:color="auto"/>
              <w:right w:val="single" w:sz="8" w:space="0" w:color="auto"/>
            </w:tcBorders>
            <w:shd w:val="clear" w:color="auto" w:fill="auto"/>
            <w:vAlign w:val="center"/>
            <w:hideMark/>
          </w:tcPr>
          <w:p w14:paraId="3ABD271F"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059292BA"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675CC531"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03263F68"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107</w:t>
            </w:r>
          </w:p>
        </w:tc>
        <w:tc>
          <w:tcPr>
            <w:tcW w:w="879" w:type="dxa"/>
            <w:tcBorders>
              <w:top w:val="nil"/>
              <w:left w:val="nil"/>
              <w:bottom w:val="single" w:sz="8" w:space="0" w:color="auto"/>
              <w:right w:val="single" w:sz="8" w:space="0" w:color="auto"/>
            </w:tcBorders>
            <w:shd w:val="clear" w:color="auto" w:fill="auto"/>
            <w:vAlign w:val="center"/>
            <w:hideMark/>
          </w:tcPr>
          <w:p w14:paraId="6D5B1ED8"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900.352.055</w:t>
            </w:r>
          </w:p>
        </w:tc>
        <w:tc>
          <w:tcPr>
            <w:tcW w:w="323" w:type="dxa"/>
            <w:tcBorders>
              <w:top w:val="nil"/>
              <w:left w:val="nil"/>
              <w:bottom w:val="single" w:sz="8" w:space="0" w:color="auto"/>
              <w:right w:val="single" w:sz="8" w:space="0" w:color="auto"/>
            </w:tcBorders>
            <w:shd w:val="clear" w:color="auto" w:fill="auto"/>
            <w:vAlign w:val="center"/>
            <w:hideMark/>
          </w:tcPr>
          <w:p w14:paraId="5BBB28CC"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w:t>
            </w:r>
          </w:p>
        </w:tc>
        <w:tc>
          <w:tcPr>
            <w:tcW w:w="505" w:type="dxa"/>
            <w:tcBorders>
              <w:top w:val="nil"/>
              <w:left w:val="nil"/>
              <w:bottom w:val="single" w:sz="8" w:space="0" w:color="auto"/>
              <w:right w:val="single" w:sz="8" w:space="0" w:color="auto"/>
            </w:tcBorders>
            <w:shd w:val="clear" w:color="auto" w:fill="auto"/>
            <w:vAlign w:val="center"/>
            <w:hideMark/>
          </w:tcPr>
          <w:p w14:paraId="36191345"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23423</w:t>
            </w:r>
          </w:p>
        </w:tc>
        <w:tc>
          <w:tcPr>
            <w:tcW w:w="4243" w:type="dxa"/>
            <w:tcBorders>
              <w:top w:val="nil"/>
              <w:left w:val="nil"/>
              <w:bottom w:val="single" w:sz="8" w:space="0" w:color="auto"/>
              <w:right w:val="single" w:sz="8" w:space="0" w:color="auto"/>
            </w:tcBorders>
            <w:shd w:val="clear" w:color="auto" w:fill="auto"/>
            <w:vAlign w:val="center"/>
            <w:hideMark/>
          </w:tcPr>
          <w:p w14:paraId="7B050CE3"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EMPRESA ASOCIATIVA DE TRABAJO ENERGIA DEL SUR</w:t>
            </w:r>
          </w:p>
        </w:tc>
        <w:tc>
          <w:tcPr>
            <w:tcW w:w="1196" w:type="dxa"/>
            <w:tcBorders>
              <w:top w:val="nil"/>
              <w:left w:val="nil"/>
              <w:bottom w:val="single" w:sz="8" w:space="0" w:color="auto"/>
              <w:right w:val="single" w:sz="8" w:space="0" w:color="auto"/>
            </w:tcBorders>
            <w:shd w:val="clear" w:color="auto" w:fill="auto"/>
            <w:vAlign w:val="center"/>
            <w:hideMark/>
          </w:tcPr>
          <w:p w14:paraId="0BCC63F8"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3B23CC2E"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3D0EBADE"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6D05E9C0"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108</w:t>
            </w:r>
          </w:p>
        </w:tc>
        <w:tc>
          <w:tcPr>
            <w:tcW w:w="879" w:type="dxa"/>
            <w:tcBorders>
              <w:top w:val="nil"/>
              <w:left w:val="nil"/>
              <w:bottom w:val="single" w:sz="8" w:space="0" w:color="auto"/>
              <w:right w:val="single" w:sz="8" w:space="0" w:color="auto"/>
            </w:tcBorders>
            <w:shd w:val="clear" w:color="auto" w:fill="auto"/>
            <w:vAlign w:val="center"/>
            <w:hideMark/>
          </w:tcPr>
          <w:p w14:paraId="16E55BBF"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900.358.272</w:t>
            </w:r>
          </w:p>
        </w:tc>
        <w:tc>
          <w:tcPr>
            <w:tcW w:w="323" w:type="dxa"/>
            <w:tcBorders>
              <w:top w:val="nil"/>
              <w:left w:val="nil"/>
              <w:bottom w:val="single" w:sz="8" w:space="0" w:color="auto"/>
              <w:right w:val="single" w:sz="8" w:space="0" w:color="auto"/>
            </w:tcBorders>
            <w:shd w:val="clear" w:color="auto" w:fill="auto"/>
            <w:vAlign w:val="center"/>
            <w:hideMark/>
          </w:tcPr>
          <w:p w14:paraId="77FD5E90"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w:t>
            </w:r>
          </w:p>
        </w:tc>
        <w:tc>
          <w:tcPr>
            <w:tcW w:w="505" w:type="dxa"/>
            <w:tcBorders>
              <w:top w:val="nil"/>
              <w:left w:val="nil"/>
              <w:bottom w:val="single" w:sz="8" w:space="0" w:color="auto"/>
              <w:right w:val="single" w:sz="8" w:space="0" w:color="auto"/>
            </w:tcBorders>
            <w:shd w:val="clear" w:color="auto" w:fill="auto"/>
            <w:vAlign w:val="center"/>
            <w:hideMark/>
          </w:tcPr>
          <w:p w14:paraId="4E21B2A6"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24838</w:t>
            </w:r>
          </w:p>
        </w:tc>
        <w:tc>
          <w:tcPr>
            <w:tcW w:w="4243" w:type="dxa"/>
            <w:tcBorders>
              <w:top w:val="nil"/>
              <w:left w:val="nil"/>
              <w:bottom w:val="single" w:sz="8" w:space="0" w:color="auto"/>
              <w:right w:val="single" w:sz="8" w:space="0" w:color="auto"/>
            </w:tcBorders>
            <w:shd w:val="clear" w:color="auto" w:fill="auto"/>
            <w:vAlign w:val="center"/>
            <w:hideMark/>
          </w:tcPr>
          <w:p w14:paraId="7DCF595A"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HZ ENERGY S.A.S. E.S.P.</w:t>
            </w:r>
          </w:p>
        </w:tc>
        <w:tc>
          <w:tcPr>
            <w:tcW w:w="1196" w:type="dxa"/>
            <w:tcBorders>
              <w:top w:val="nil"/>
              <w:left w:val="nil"/>
              <w:bottom w:val="single" w:sz="8" w:space="0" w:color="auto"/>
              <w:right w:val="single" w:sz="8" w:space="0" w:color="auto"/>
            </w:tcBorders>
            <w:shd w:val="clear" w:color="auto" w:fill="auto"/>
            <w:vAlign w:val="center"/>
            <w:hideMark/>
          </w:tcPr>
          <w:p w14:paraId="16A3C3BD"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2398EED2"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077096F7"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7923A28C"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109</w:t>
            </w:r>
          </w:p>
        </w:tc>
        <w:tc>
          <w:tcPr>
            <w:tcW w:w="879" w:type="dxa"/>
            <w:tcBorders>
              <w:top w:val="nil"/>
              <w:left w:val="nil"/>
              <w:bottom w:val="single" w:sz="8" w:space="0" w:color="auto"/>
              <w:right w:val="single" w:sz="8" w:space="0" w:color="auto"/>
            </w:tcBorders>
            <w:shd w:val="clear" w:color="auto" w:fill="auto"/>
            <w:vAlign w:val="center"/>
            <w:hideMark/>
          </w:tcPr>
          <w:p w14:paraId="671FD522"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900.366.010</w:t>
            </w:r>
          </w:p>
        </w:tc>
        <w:tc>
          <w:tcPr>
            <w:tcW w:w="323" w:type="dxa"/>
            <w:tcBorders>
              <w:top w:val="nil"/>
              <w:left w:val="nil"/>
              <w:bottom w:val="single" w:sz="8" w:space="0" w:color="auto"/>
              <w:right w:val="single" w:sz="8" w:space="0" w:color="auto"/>
            </w:tcBorders>
            <w:shd w:val="clear" w:color="auto" w:fill="auto"/>
            <w:vAlign w:val="center"/>
            <w:hideMark/>
          </w:tcPr>
          <w:p w14:paraId="4B40785B"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w:t>
            </w:r>
          </w:p>
        </w:tc>
        <w:tc>
          <w:tcPr>
            <w:tcW w:w="505" w:type="dxa"/>
            <w:tcBorders>
              <w:top w:val="nil"/>
              <w:left w:val="nil"/>
              <w:bottom w:val="single" w:sz="8" w:space="0" w:color="auto"/>
              <w:right w:val="single" w:sz="8" w:space="0" w:color="auto"/>
            </w:tcBorders>
            <w:shd w:val="clear" w:color="auto" w:fill="auto"/>
            <w:vAlign w:val="center"/>
            <w:hideMark/>
          </w:tcPr>
          <w:p w14:paraId="03561055"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23442</w:t>
            </w:r>
          </w:p>
        </w:tc>
        <w:tc>
          <w:tcPr>
            <w:tcW w:w="4243" w:type="dxa"/>
            <w:tcBorders>
              <w:top w:val="nil"/>
              <w:left w:val="nil"/>
              <w:bottom w:val="single" w:sz="8" w:space="0" w:color="auto"/>
              <w:right w:val="single" w:sz="8" w:space="0" w:color="auto"/>
            </w:tcBorders>
            <w:shd w:val="clear" w:color="auto" w:fill="auto"/>
            <w:vAlign w:val="center"/>
            <w:hideMark/>
          </w:tcPr>
          <w:p w14:paraId="17BD351E"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COMPAÑIA ENERGETICA DE OCCIDENTE S.A.S.  E.S.P.</w:t>
            </w:r>
          </w:p>
        </w:tc>
        <w:tc>
          <w:tcPr>
            <w:tcW w:w="1196" w:type="dxa"/>
            <w:tcBorders>
              <w:top w:val="nil"/>
              <w:left w:val="nil"/>
              <w:bottom w:val="single" w:sz="8" w:space="0" w:color="auto"/>
              <w:right w:val="single" w:sz="8" w:space="0" w:color="auto"/>
            </w:tcBorders>
            <w:shd w:val="clear" w:color="auto" w:fill="auto"/>
            <w:vAlign w:val="center"/>
            <w:hideMark/>
          </w:tcPr>
          <w:p w14:paraId="50AB8821"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5F9237B9"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2B4F75CE"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055C44A5"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110</w:t>
            </w:r>
          </w:p>
        </w:tc>
        <w:tc>
          <w:tcPr>
            <w:tcW w:w="879" w:type="dxa"/>
            <w:tcBorders>
              <w:top w:val="nil"/>
              <w:left w:val="nil"/>
              <w:bottom w:val="single" w:sz="8" w:space="0" w:color="auto"/>
              <w:right w:val="single" w:sz="8" w:space="0" w:color="auto"/>
            </w:tcBorders>
            <w:shd w:val="clear" w:color="auto" w:fill="auto"/>
            <w:vAlign w:val="center"/>
            <w:hideMark/>
          </w:tcPr>
          <w:p w14:paraId="3FC22949"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900.374.375</w:t>
            </w:r>
          </w:p>
        </w:tc>
        <w:tc>
          <w:tcPr>
            <w:tcW w:w="323" w:type="dxa"/>
            <w:tcBorders>
              <w:top w:val="nil"/>
              <w:left w:val="nil"/>
              <w:bottom w:val="single" w:sz="8" w:space="0" w:color="auto"/>
              <w:right w:val="single" w:sz="8" w:space="0" w:color="auto"/>
            </w:tcBorders>
            <w:shd w:val="clear" w:color="auto" w:fill="auto"/>
            <w:vAlign w:val="center"/>
            <w:hideMark/>
          </w:tcPr>
          <w:p w14:paraId="16B6A9F7"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6</w:t>
            </w:r>
          </w:p>
        </w:tc>
        <w:tc>
          <w:tcPr>
            <w:tcW w:w="505" w:type="dxa"/>
            <w:tcBorders>
              <w:top w:val="nil"/>
              <w:left w:val="nil"/>
              <w:bottom w:val="single" w:sz="8" w:space="0" w:color="auto"/>
              <w:right w:val="single" w:sz="8" w:space="0" w:color="auto"/>
            </w:tcBorders>
            <w:shd w:val="clear" w:color="auto" w:fill="auto"/>
            <w:vAlign w:val="center"/>
            <w:hideMark/>
          </w:tcPr>
          <w:p w14:paraId="78A33767"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26847</w:t>
            </w:r>
          </w:p>
        </w:tc>
        <w:tc>
          <w:tcPr>
            <w:tcW w:w="4243" w:type="dxa"/>
            <w:tcBorders>
              <w:top w:val="nil"/>
              <w:left w:val="nil"/>
              <w:bottom w:val="single" w:sz="8" w:space="0" w:color="auto"/>
              <w:right w:val="single" w:sz="8" w:space="0" w:color="auto"/>
            </w:tcBorders>
            <w:shd w:val="clear" w:color="auto" w:fill="auto"/>
            <w:vAlign w:val="center"/>
            <w:hideMark/>
          </w:tcPr>
          <w:p w14:paraId="28915FFB"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POPAL SAS ESP</w:t>
            </w:r>
          </w:p>
        </w:tc>
        <w:tc>
          <w:tcPr>
            <w:tcW w:w="1196" w:type="dxa"/>
            <w:tcBorders>
              <w:top w:val="nil"/>
              <w:left w:val="nil"/>
              <w:bottom w:val="single" w:sz="8" w:space="0" w:color="auto"/>
              <w:right w:val="single" w:sz="8" w:space="0" w:color="auto"/>
            </w:tcBorders>
            <w:shd w:val="clear" w:color="auto" w:fill="auto"/>
            <w:vAlign w:val="center"/>
            <w:hideMark/>
          </w:tcPr>
          <w:p w14:paraId="6C1BF9DF"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 </w:t>
            </w:r>
          </w:p>
        </w:tc>
        <w:tc>
          <w:tcPr>
            <w:tcW w:w="2260" w:type="dxa"/>
            <w:tcBorders>
              <w:top w:val="nil"/>
              <w:left w:val="nil"/>
              <w:bottom w:val="single" w:sz="8" w:space="0" w:color="auto"/>
              <w:right w:val="single" w:sz="8" w:space="0" w:color="auto"/>
            </w:tcBorders>
            <w:shd w:val="clear" w:color="auto" w:fill="auto"/>
            <w:noWrap/>
            <w:vAlign w:val="center"/>
            <w:hideMark/>
          </w:tcPr>
          <w:p w14:paraId="084DCA1D"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3199D749"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22672D50"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111</w:t>
            </w:r>
          </w:p>
        </w:tc>
        <w:tc>
          <w:tcPr>
            <w:tcW w:w="879" w:type="dxa"/>
            <w:tcBorders>
              <w:top w:val="nil"/>
              <w:left w:val="nil"/>
              <w:bottom w:val="single" w:sz="8" w:space="0" w:color="auto"/>
              <w:right w:val="single" w:sz="8" w:space="0" w:color="auto"/>
            </w:tcBorders>
            <w:shd w:val="clear" w:color="auto" w:fill="auto"/>
            <w:vAlign w:val="center"/>
            <w:hideMark/>
          </w:tcPr>
          <w:p w14:paraId="6B4228DB"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900.409.371</w:t>
            </w:r>
          </w:p>
        </w:tc>
        <w:tc>
          <w:tcPr>
            <w:tcW w:w="323" w:type="dxa"/>
            <w:tcBorders>
              <w:top w:val="nil"/>
              <w:left w:val="nil"/>
              <w:bottom w:val="single" w:sz="8" w:space="0" w:color="auto"/>
              <w:right w:val="single" w:sz="8" w:space="0" w:color="auto"/>
            </w:tcBorders>
            <w:shd w:val="clear" w:color="auto" w:fill="auto"/>
            <w:vAlign w:val="center"/>
            <w:hideMark/>
          </w:tcPr>
          <w:p w14:paraId="64264EBF"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w:t>
            </w:r>
          </w:p>
        </w:tc>
        <w:tc>
          <w:tcPr>
            <w:tcW w:w="505" w:type="dxa"/>
            <w:tcBorders>
              <w:top w:val="nil"/>
              <w:left w:val="nil"/>
              <w:bottom w:val="single" w:sz="8" w:space="0" w:color="auto"/>
              <w:right w:val="single" w:sz="8" w:space="0" w:color="auto"/>
            </w:tcBorders>
            <w:shd w:val="clear" w:color="auto" w:fill="auto"/>
            <w:vAlign w:val="center"/>
            <w:hideMark/>
          </w:tcPr>
          <w:p w14:paraId="2CA7D286"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25655</w:t>
            </w:r>
          </w:p>
        </w:tc>
        <w:tc>
          <w:tcPr>
            <w:tcW w:w="4243" w:type="dxa"/>
            <w:tcBorders>
              <w:top w:val="nil"/>
              <w:left w:val="nil"/>
              <w:bottom w:val="single" w:sz="8" w:space="0" w:color="auto"/>
              <w:right w:val="single" w:sz="8" w:space="0" w:color="auto"/>
            </w:tcBorders>
            <w:shd w:val="clear" w:color="auto" w:fill="auto"/>
            <w:vAlign w:val="center"/>
            <w:hideMark/>
          </w:tcPr>
          <w:p w14:paraId="3D44300D"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FUENTES DE ENERGÍAS RENOVABLES S.A.S. ESP</w:t>
            </w:r>
          </w:p>
        </w:tc>
        <w:tc>
          <w:tcPr>
            <w:tcW w:w="1196" w:type="dxa"/>
            <w:tcBorders>
              <w:top w:val="nil"/>
              <w:left w:val="nil"/>
              <w:bottom w:val="single" w:sz="8" w:space="0" w:color="auto"/>
              <w:right w:val="single" w:sz="8" w:space="0" w:color="auto"/>
            </w:tcBorders>
            <w:shd w:val="clear" w:color="auto" w:fill="auto"/>
            <w:vAlign w:val="center"/>
            <w:hideMark/>
          </w:tcPr>
          <w:p w14:paraId="7BF44699"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654560A7"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3C196B5F" w14:textId="77777777" w:rsidTr="00AD4E79">
        <w:trPr>
          <w:trHeight w:val="359"/>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75E4E595"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112</w:t>
            </w:r>
          </w:p>
        </w:tc>
        <w:tc>
          <w:tcPr>
            <w:tcW w:w="879" w:type="dxa"/>
            <w:tcBorders>
              <w:top w:val="nil"/>
              <w:left w:val="nil"/>
              <w:bottom w:val="single" w:sz="8" w:space="0" w:color="auto"/>
              <w:right w:val="single" w:sz="8" w:space="0" w:color="auto"/>
            </w:tcBorders>
            <w:shd w:val="clear" w:color="auto" w:fill="auto"/>
            <w:vAlign w:val="center"/>
            <w:hideMark/>
          </w:tcPr>
          <w:p w14:paraId="69486BB4"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900.428.270</w:t>
            </w:r>
          </w:p>
        </w:tc>
        <w:tc>
          <w:tcPr>
            <w:tcW w:w="323" w:type="dxa"/>
            <w:tcBorders>
              <w:top w:val="nil"/>
              <w:left w:val="nil"/>
              <w:bottom w:val="single" w:sz="8" w:space="0" w:color="auto"/>
              <w:right w:val="single" w:sz="8" w:space="0" w:color="auto"/>
            </w:tcBorders>
            <w:shd w:val="clear" w:color="auto" w:fill="auto"/>
            <w:vAlign w:val="center"/>
            <w:hideMark/>
          </w:tcPr>
          <w:p w14:paraId="1A58CBDC"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5</w:t>
            </w:r>
          </w:p>
        </w:tc>
        <w:tc>
          <w:tcPr>
            <w:tcW w:w="505" w:type="dxa"/>
            <w:tcBorders>
              <w:top w:val="nil"/>
              <w:left w:val="nil"/>
              <w:bottom w:val="single" w:sz="8" w:space="0" w:color="auto"/>
              <w:right w:val="single" w:sz="8" w:space="0" w:color="auto"/>
            </w:tcBorders>
            <w:shd w:val="clear" w:color="auto" w:fill="auto"/>
            <w:vAlign w:val="center"/>
            <w:hideMark/>
          </w:tcPr>
          <w:p w14:paraId="5B9166E0"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25681</w:t>
            </w:r>
          </w:p>
        </w:tc>
        <w:tc>
          <w:tcPr>
            <w:tcW w:w="4243" w:type="dxa"/>
            <w:tcBorders>
              <w:top w:val="nil"/>
              <w:left w:val="nil"/>
              <w:bottom w:val="single" w:sz="8" w:space="0" w:color="auto"/>
              <w:right w:val="single" w:sz="8" w:space="0" w:color="auto"/>
            </w:tcBorders>
            <w:shd w:val="clear" w:color="auto" w:fill="auto"/>
            <w:vAlign w:val="center"/>
            <w:hideMark/>
          </w:tcPr>
          <w:p w14:paraId="742482CD"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ASOCIACION DE ENERGIA DE LAS ZONAS RURALES DEL MUNICIPIO DE EL CHARCO</w:t>
            </w:r>
          </w:p>
        </w:tc>
        <w:tc>
          <w:tcPr>
            <w:tcW w:w="1196" w:type="dxa"/>
            <w:tcBorders>
              <w:top w:val="nil"/>
              <w:left w:val="nil"/>
              <w:bottom w:val="single" w:sz="8" w:space="0" w:color="auto"/>
              <w:right w:val="single" w:sz="8" w:space="0" w:color="auto"/>
            </w:tcBorders>
            <w:shd w:val="clear" w:color="auto" w:fill="auto"/>
            <w:vAlign w:val="center"/>
            <w:hideMark/>
          </w:tcPr>
          <w:p w14:paraId="37BAF419"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1A334637"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SIN REPORTE AL SUI</w:t>
            </w:r>
          </w:p>
        </w:tc>
      </w:tr>
      <w:tr w:rsidR="00AD4E79" w:rsidRPr="00AD4E79" w14:paraId="1EEA3EF0"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3638E89D"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113</w:t>
            </w:r>
          </w:p>
        </w:tc>
        <w:tc>
          <w:tcPr>
            <w:tcW w:w="879" w:type="dxa"/>
            <w:tcBorders>
              <w:top w:val="nil"/>
              <w:left w:val="nil"/>
              <w:bottom w:val="single" w:sz="8" w:space="0" w:color="auto"/>
              <w:right w:val="single" w:sz="8" w:space="0" w:color="auto"/>
            </w:tcBorders>
            <w:shd w:val="clear" w:color="auto" w:fill="auto"/>
            <w:vAlign w:val="center"/>
            <w:hideMark/>
          </w:tcPr>
          <w:p w14:paraId="4040A55A"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900.428.468</w:t>
            </w:r>
          </w:p>
        </w:tc>
        <w:tc>
          <w:tcPr>
            <w:tcW w:w="323" w:type="dxa"/>
            <w:tcBorders>
              <w:top w:val="nil"/>
              <w:left w:val="nil"/>
              <w:bottom w:val="single" w:sz="8" w:space="0" w:color="auto"/>
              <w:right w:val="single" w:sz="8" w:space="0" w:color="auto"/>
            </w:tcBorders>
            <w:shd w:val="clear" w:color="auto" w:fill="auto"/>
            <w:vAlign w:val="center"/>
            <w:hideMark/>
          </w:tcPr>
          <w:p w14:paraId="0B145121"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6</w:t>
            </w:r>
          </w:p>
        </w:tc>
        <w:tc>
          <w:tcPr>
            <w:tcW w:w="505" w:type="dxa"/>
            <w:tcBorders>
              <w:top w:val="nil"/>
              <w:left w:val="nil"/>
              <w:bottom w:val="single" w:sz="8" w:space="0" w:color="auto"/>
              <w:right w:val="single" w:sz="8" w:space="0" w:color="auto"/>
            </w:tcBorders>
            <w:shd w:val="clear" w:color="auto" w:fill="auto"/>
            <w:vAlign w:val="center"/>
            <w:hideMark/>
          </w:tcPr>
          <w:p w14:paraId="257913E4"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25984</w:t>
            </w:r>
          </w:p>
        </w:tc>
        <w:tc>
          <w:tcPr>
            <w:tcW w:w="4243" w:type="dxa"/>
            <w:tcBorders>
              <w:top w:val="nil"/>
              <w:left w:val="nil"/>
              <w:bottom w:val="single" w:sz="8" w:space="0" w:color="auto"/>
              <w:right w:val="single" w:sz="8" w:space="0" w:color="auto"/>
            </w:tcBorders>
            <w:shd w:val="clear" w:color="auto" w:fill="auto"/>
            <w:vAlign w:val="center"/>
            <w:hideMark/>
          </w:tcPr>
          <w:p w14:paraId="30FCCE72"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ITALCOL ENERGIA S.A. ESP.</w:t>
            </w:r>
          </w:p>
        </w:tc>
        <w:tc>
          <w:tcPr>
            <w:tcW w:w="1196" w:type="dxa"/>
            <w:tcBorders>
              <w:top w:val="nil"/>
              <w:left w:val="nil"/>
              <w:bottom w:val="single" w:sz="8" w:space="0" w:color="auto"/>
              <w:right w:val="single" w:sz="8" w:space="0" w:color="auto"/>
            </w:tcBorders>
            <w:shd w:val="clear" w:color="auto" w:fill="auto"/>
            <w:vAlign w:val="center"/>
            <w:hideMark/>
          </w:tcPr>
          <w:p w14:paraId="6D88C33A"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32B683C7"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28864800"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1B7D4845"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114</w:t>
            </w:r>
          </w:p>
        </w:tc>
        <w:tc>
          <w:tcPr>
            <w:tcW w:w="879" w:type="dxa"/>
            <w:tcBorders>
              <w:top w:val="nil"/>
              <w:left w:val="nil"/>
              <w:bottom w:val="single" w:sz="8" w:space="0" w:color="auto"/>
              <w:right w:val="single" w:sz="8" w:space="0" w:color="auto"/>
            </w:tcBorders>
            <w:shd w:val="clear" w:color="auto" w:fill="auto"/>
            <w:vAlign w:val="center"/>
            <w:hideMark/>
          </w:tcPr>
          <w:p w14:paraId="304A32B1"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900.431.226</w:t>
            </w:r>
          </w:p>
        </w:tc>
        <w:tc>
          <w:tcPr>
            <w:tcW w:w="323" w:type="dxa"/>
            <w:tcBorders>
              <w:top w:val="nil"/>
              <w:left w:val="nil"/>
              <w:bottom w:val="single" w:sz="8" w:space="0" w:color="auto"/>
              <w:right w:val="single" w:sz="8" w:space="0" w:color="auto"/>
            </w:tcBorders>
            <w:shd w:val="clear" w:color="auto" w:fill="auto"/>
            <w:vAlign w:val="center"/>
            <w:hideMark/>
          </w:tcPr>
          <w:p w14:paraId="29878FE9"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w:t>
            </w:r>
          </w:p>
        </w:tc>
        <w:tc>
          <w:tcPr>
            <w:tcW w:w="505" w:type="dxa"/>
            <w:tcBorders>
              <w:top w:val="nil"/>
              <w:left w:val="nil"/>
              <w:bottom w:val="single" w:sz="8" w:space="0" w:color="auto"/>
              <w:right w:val="single" w:sz="8" w:space="0" w:color="auto"/>
            </w:tcBorders>
            <w:shd w:val="clear" w:color="auto" w:fill="auto"/>
            <w:vAlign w:val="center"/>
            <w:hideMark/>
          </w:tcPr>
          <w:p w14:paraId="50A8AECB"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26050</w:t>
            </w:r>
          </w:p>
        </w:tc>
        <w:tc>
          <w:tcPr>
            <w:tcW w:w="4243" w:type="dxa"/>
            <w:tcBorders>
              <w:top w:val="nil"/>
              <w:left w:val="nil"/>
              <w:bottom w:val="single" w:sz="8" w:space="0" w:color="auto"/>
              <w:right w:val="single" w:sz="8" w:space="0" w:color="auto"/>
            </w:tcBorders>
            <w:shd w:val="clear" w:color="auto" w:fill="auto"/>
            <w:vAlign w:val="center"/>
            <w:hideMark/>
          </w:tcPr>
          <w:p w14:paraId="724670B8" w14:textId="77777777" w:rsidR="006E3CAD" w:rsidRPr="00AD4E79" w:rsidRDefault="006E3CAD" w:rsidP="00D22441">
            <w:pPr>
              <w:jc w:val="left"/>
              <w:rPr>
                <w:rFonts w:ascii="Arial Narrow" w:hAnsi="Arial Narrow" w:cs="Arial"/>
                <w:spacing w:val="0"/>
                <w:sz w:val="16"/>
                <w:szCs w:val="16"/>
                <w:lang w:val="en-GB" w:eastAsia="es-CO"/>
              </w:rPr>
            </w:pPr>
            <w:r w:rsidRPr="00AD4E79">
              <w:rPr>
                <w:rFonts w:ascii="Arial Narrow" w:hAnsi="Arial Narrow" w:cs="Arial"/>
                <w:spacing w:val="0"/>
                <w:sz w:val="16"/>
                <w:szCs w:val="16"/>
                <w:lang w:val="en-GB" w:eastAsia="es-CO"/>
              </w:rPr>
              <w:t>FORCEFUL ENERGY S.A.S E.</w:t>
            </w:r>
            <w:proofErr w:type="gramStart"/>
            <w:r w:rsidRPr="00AD4E79">
              <w:rPr>
                <w:rFonts w:ascii="Arial Narrow" w:hAnsi="Arial Narrow" w:cs="Arial"/>
                <w:spacing w:val="0"/>
                <w:sz w:val="16"/>
                <w:szCs w:val="16"/>
                <w:lang w:val="en-GB" w:eastAsia="es-CO"/>
              </w:rPr>
              <w:t>S.P</w:t>
            </w:r>
            <w:proofErr w:type="gramEnd"/>
          </w:p>
        </w:tc>
        <w:tc>
          <w:tcPr>
            <w:tcW w:w="1196" w:type="dxa"/>
            <w:tcBorders>
              <w:top w:val="nil"/>
              <w:left w:val="nil"/>
              <w:bottom w:val="single" w:sz="8" w:space="0" w:color="auto"/>
              <w:right w:val="single" w:sz="8" w:space="0" w:color="auto"/>
            </w:tcBorders>
            <w:shd w:val="clear" w:color="auto" w:fill="auto"/>
            <w:vAlign w:val="center"/>
            <w:hideMark/>
          </w:tcPr>
          <w:p w14:paraId="135F2DEB"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45715993"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084A1DC1"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4284FB8C"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115</w:t>
            </w:r>
          </w:p>
        </w:tc>
        <w:tc>
          <w:tcPr>
            <w:tcW w:w="879" w:type="dxa"/>
            <w:tcBorders>
              <w:top w:val="nil"/>
              <w:left w:val="nil"/>
              <w:bottom w:val="single" w:sz="8" w:space="0" w:color="auto"/>
              <w:right w:val="single" w:sz="8" w:space="0" w:color="auto"/>
            </w:tcBorders>
            <w:shd w:val="clear" w:color="auto" w:fill="auto"/>
            <w:vAlign w:val="center"/>
            <w:hideMark/>
          </w:tcPr>
          <w:p w14:paraId="02B2F1A5"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900.432.368</w:t>
            </w:r>
          </w:p>
        </w:tc>
        <w:tc>
          <w:tcPr>
            <w:tcW w:w="323" w:type="dxa"/>
            <w:tcBorders>
              <w:top w:val="nil"/>
              <w:left w:val="nil"/>
              <w:bottom w:val="single" w:sz="8" w:space="0" w:color="auto"/>
              <w:right w:val="single" w:sz="8" w:space="0" w:color="auto"/>
            </w:tcBorders>
            <w:shd w:val="clear" w:color="auto" w:fill="auto"/>
            <w:vAlign w:val="center"/>
            <w:hideMark/>
          </w:tcPr>
          <w:p w14:paraId="25ECFADE"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3</w:t>
            </w:r>
          </w:p>
        </w:tc>
        <w:tc>
          <w:tcPr>
            <w:tcW w:w="505" w:type="dxa"/>
            <w:tcBorders>
              <w:top w:val="nil"/>
              <w:left w:val="nil"/>
              <w:bottom w:val="single" w:sz="8" w:space="0" w:color="auto"/>
              <w:right w:val="single" w:sz="8" w:space="0" w:color="auto"/>
            </w:tcBorders>
            <w:shd w:val="clear" w:color="auto" w:fill="auto"/>
            <w:vAlign w:val="center"/>
            <w:hideMark/>
          </w:tcPr>
          <w:p w14:paraId="0F60EBC6"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25680</w:t>
            </w:r>
          </w:p>
        </w:tc>
        <w:tc>
          <w:tcPr>
            <w:tcW w:w="4243" w:type="dxa"/>
            <w:tcBorders>
              <w:top w:val="nil"/>
              <w:left w:val="nil"/>
              <w:bottom w:val="single" w:sz="8" w:space="0" w:color="auto"/>
              <w:right w:val="single" w:sz="8" w:space="0" w:color="auto"/>
            </w:tcBorders>
            <w:shd w:val="clear" w:color="auto" w:fill="auto"/>
            <w:vAlign w:val="center"/>
            <w:hideMark/>
          </w:tcPr>
          <w:p w14:paraId="1441BC3C"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ELECTRIFICADORA DE MAPIRIPÁN S.A. E.S.P.</w:t>
            </w:r>
          </w:p>
        </w:tc>
        <w:tc>
          <w:tcPr>
            <w:tcW w:w="1196" w:type="dxa"/>
            <w:tcBorders>
              <w:top w:val="nil"/>
              <w:left w:val="nil"/>
              <w:bottom w:val="single" w:sz="8" w:space="0" w:color="auto"/>
              <w:right w:val="single" w:sz="8" w:space="0" w:color="auto"/>
            </w:tcBorders>
            <w:shd w:val="clear" w:color="auto" w:fill="auto"/>
            <w:vAlign w:val="center"/>
            <w:hideMark/>
          </w:tcPr>
          <w:p w14:paraId="38DF1134"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60A3D5B3"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04B96A63"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1E6433E8"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116</w:t>
            </w:r>
          </w:p>
        </w:tc>
        <w:tc>
          <w:tcPr>
            <w:tcW w:w="879" w:type="dxa"/>
            <w:tcBorders>
              <w:top w:val="nil"/>
              <w:left w:val="nil"/>
              <w:bottom w:val="single" w:sz="8" w:space="0" w:color="auto"/>
              <w:right w:val="single" w:sz="8" w:space="0" w:color="auto"/>
            </w:tcBorders>
            <w:shd w:val="clear" w:color="auto" w:fill="auto"/>
            <w:vAlign w:val="center"/>
            <w:hideMark/>
          </w:tcPr>
          <w:p w14:paraId="05280701"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900.436.006</w:t>
            </w:r>
          </w:p>
        </w:tc>
        <w:tc>
          <w:tcPr>
            <w:tcW w:w="323" w:type="dxa"/>
            <w:tcBorders>
              <w:top w:val="nil"/>
              <w:left w:val="nil"/>
              <w:bottom w:val="single" w:sz="8" w:space="0" w:color="auto"/>
              <w:right w:val="single" w:sz="8" w:space="0" w:color="auto"/>
            </w:tcBorders>
            <w:shd w:val="clear" w:color="auto" w:fill="auto"/>
            <w:vAlign w:val="center"/>
            <w:hideMark/>
          </w:tcPr>
          <w:p w14:paraId="6BA15BEC"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0</w:t>
            </w:r>
          </w:p>
        </w:tc>
        <w:tc>
          <w:tcPr>
            <w:tcW w:w="505" w:type="dxa"/>
            <w:tcBorders>
              <w:top w:val="nil"/>
              <w:left w:val="nil"/>
              <w:bottom w:val="single" w:sz="8" w:space="0" w:color="auto"/>
              <w:right w:val="single" w:sz="8" w:space="0" w:color="auto"/>
            </w:tcBorders>
            <w:shd w:val="clear" w:color="auto" w:fill="auto"/>
            <w:vAlign w:val="center"/>
            <w:hideMark/>
          </w:tcPr>
          <w:p w14:paraId="28504D2B"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26109</w:t>
            </w:r>
          </w:p>
        </w:tc>
        <w:tc>
          <w:tcPr>
            <w:tcW w:w="4243" w:type="dxa"/>
            <w:tcBorders>
              <w:top w:val="nil"/>
              <w:left w:val="nil"/>
              <w:bottom w:val="single" w:sz="8" w:space="0" w:color="auto"/>
              <w:right w:val="single" w:sz="8" w:space="0" w:color="auto"/>
            </w:tcBorders>
            <w:shd w:val="clear" w:color="auto" w:fill="auto"/>
            <w:vAlign w:val="center"/>
            <w:hideMark/>
          </w:tcPr>
          <w:p w14:paraId="2BAD3BC5"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GENERPUTUMAYO S.A.S E.S.P.</w:t>
            </w:r>
          </w:p>
        </w:tc>
        <w:tc>
          <w:tcPr>
            <w:tcW w:w="1196" w:type="dxa"/>
            <w:tcBorders>
              <w:top w:val="nil"/>
              <w:left w:val="nil"/>
              <w:bottom w:val="single" w:sz="8" w:space="0" w:color="auto"/>
              <w:right w:val="single" w:sz="8" w:space="0" w:color="auto"/>
            </w:tcBorders>
            <w:shd w:val="clear" w:color="auto" w:fill="auto"/>
            <w:vAlign w:val="center"/>
            <w:hideMark/>
          </w:tcPr>
          <w:p w14:paraId="2FDAC38B"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768C7034"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60F9419A"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5833163B"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117</w:t>
            </w:r>
          </w:p>
        </w:tc>
        <w:tc>
          <w:tcPr>
            <w:tcW w:w="879" w:type="dxa"/>
            <w:tcBorders>
              <w:top w:val="nil"/>
              <w:left w:val="nil"/>
              <w:bottom w:val="single" w:sz="8" w:space="0" w:color="auto"/>
              <w:right w:val="single" w:sz="8" w:space="0" w:color="auto"/>
            </w:tcBorders>
            <w:shd w:val="clear" w:color="auto" w:fill="auto"/>
            <w:vAlign w:val="center"/>
            <w:hideMark/>
          </w:tcPr>
          <w:p w14:paraId="3AE8AD1A"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900.448.956</w:t>
            </w:r>
          </w:p>
        </w:tc>
        <w:tc>
          <w:tcPr>
            <w:tcW w:w="323" w:type="dxa"/>
            <w:tcBorders>
              <w:top w:val="nil"/>
              <w:left w:val="nil"/>
              <w:bottom w:val="single" w:sz="8" w:space="0" w:color="auto"/>
              <w:right w:val="single" w:sz="8" w:space="0" w:color="auto"/>
            </w:tcBorders>
            <w:shd w:val="clear" w:color="auto" w:fill="auto"/>
            <w:vAlign w:val="center"/>
            <w:hideMark/>
          </w:tcPr>
          <w:p w14:paraId="0B4585DB"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4</w:t>
            </w:r>
          </w:p>
        </w:tc>
        <w:tc>
          <w:tcPr>
            <w:tcW w:w="505" w:type="dxa"/>
            <w:tcBorders>
              <w:top w:val="nil"/>
              <w:left w:val="nil"/>
              <w:bottom w:val="single" w:sz="8" w:space="0" w:color="auto"/>
              <w:right w:val="single" w:sz="8" w:space="0" w:color="auto"/>
            </w:tcBorders>
            <w:shd w:val="clear" w:color="auto" w:fill="auto"/>
            <w:vAlign w:val="center"/>
            <w:hideMark/>
          </w:tcPr>
          <w:p w14:paraId="052CDA02"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28632</w:t>
            </w:r>
          </w:p>
        </w:tc>
        <w:tc>
          <w:tcPr>
            <w:tcW w:w="4243" w:type="dxa"/>
            <w:tcBorders>
              <w:top w:val="nil"/>
              <w:left w:val="nil"/>
              <w:bottom w:val="single" w:sz="8" w:space="0" w:color="auto"/>
              <w:right w:val="single" w:sz="8" w:space="0" w:color="auto"/>
            </w:tcBorders>
            <w:shd w:val="clear" w:color="auto" w:fill="auto"/>
            <w:vAlign w:val="center"/>
            <w:hideMark/>
          </w:tcPr>
          <w:p w14:paraId="24B44217"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CENTRAL HIDROELÉCTRICA EL EDÉN S.A.S. E.S.P.</w:t>
            </w:r>
          </w:p>
        </w:tc>
        <w:tc>
          <w:tcPr>
            <w:tcW w:w="1196" w:type="dxa"/>
            <w:tcBorders>
              <w:top w:val="nil"/>
              <w:left w:val="nil"/>
              <w:bottom w:val="single" w:sz="8" w:space="0" w:color="auto"/>
              <w:right w:val="single" w:sz="8" w:space="0" w:color="auto"/>
            </w:tcBorders>
            <w:shd w:val="clear" w:color="auto" w:fill="auto"/>
            <w:vAlign w:val="center"/>
            <w:hideMark/>
          </w:tcPr>
          <w:p w14:paraId="32582B26"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 </w:t>
            </w:r>
          </w:p>
        </w:tc>
        <w:tc>
          <w:tcPr>
            <w:tcW w:w="2260" w:type="dxa"/>
            <w:tcBorders>
              <w:top w:val="nil"/>
              <w:left w:val="nil"/>
              <w:bottom w:val="single" w:sz="8" w:space="0" w:color="auto"/>
              <w:right w:val="single" w:sz="8" w:space="0" w:color="auto"/>
            </w:tcBorders>
            <w:shd w:val="clear" w:color="auto" w:fill="auto"/>
            <w:noWrap/>
            <w:vAlign w:val="center"/>
            <w:hideMark/>
          </w:tcPr>
          <w:p w14:paraId="7B7C0C85"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7864BF5D" w14:textId="77777777" w:rsidTr="00AD4E79">
        <w:trPr>
          <w:trHeight w:val="38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55569161"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118</w:t>
            </w:r>
          </w:p>
        </w:tc>
        <w:tc>
          <w:tcPr>
            <w:tcW w:w="879" w:type="dxa"/>
            <w:tcBorders>
              <w:top w:val="nil"/>
              <w:left w:val="nil"/>
              <w:bottom w:val="single" w:sz="8" w:space="0" w:color="auto"/>
              <w:right w:val="single" w:sz="8" w:space="0" w:color="auto"/>
            </w:tcBorders>
            <w:shd w:val="clear" w:color="auto" w:fill="auto"/>
            <w:vAlign w:val="center"/>
            <w:hideMark/>
          </w:tcPr>
          <w:p w14:paraId="7514074F"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900.459.386</w:t>
            </w:r>
          </w:p>
        </w:tc>
        <w:tc>
          <w:tcPr>
            <w:tcW w:w="323" w:type="dxa"/>
            <w:tcBorders>
              <w:top w:val="nil"/>
              <w:left w:val="nil"/>
              <w:bottom w:val="single" w:sz="8" w:space="0" w:color="auto"/>
              <w:right w:val="single" w:sz="8" w:space="0" w:color="auto"/>
            </w:tcBorders>
            <w:shd w:val="clear" w:color="auto" w:fill="auto"/>
            <w:vAlign w:val="center"/>
            <w:hideMark/>
          </w:tcPr>
          <w:p w14:paraId="1C695012"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3</w:t>
            </w:r>
          </w:p>
        </w:tc>
        <w:tc>
          <w:tcPr>
            <w:tcW w:w="505" w:type="dxa"/>
            <w:tcBorders>
              <w:top w:val="nil"/>
              <w:left w:val="nil"/>
              <w:bottom w:val="single" w:sz="8" w:space="0" w:color="auto"/>
              <w:right w:val="single" w:sz="8" w:space="0" w:color="auto"/>
            </w:tcBorders>
            <w:shd w:val="clear" w:color="auto" w:fill="auto"/>
            <w:vAlign w:val="center"/>
            <w:hideMark/>
          </w:tcPr>
          <w:p w14:paraId="0F318B73"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46696</w:t>
            </w:r>
          </w:p>
        </w:tc>
        <w:tc>
          <w:tcPr>
            <w:tcW w:w="4243" w:type="dxa"/>
            <w:tcBorders>
              <w:top w:val="nil"/>
              <w:left w:val="nil"/>
              <w:bottom w:val="single" w:sz="8" w:space="0" w:color="auto"/>
              <w:right w:val="single" w:sz="8" w:space="0" w:color="auto"/>
            </w:tcBorders>
            <w:shd w:val="clear" w:color="auto" w:fill="auto"/>
            <w:vAlign w:val="center"/>
            <w:hideMark/>
          </w:tcPr>
          <w:p w14:paraId="7ABF6422"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EMPRESA GENERADORA Y COMERCIALIZADORA DE ENERGIA ELECTRICA DE COLOMBIA S.A E.S.P.</w:t>
            </w:r>
          </w:p>
        </w:tc>
        <w:tc>
          <w:tcPr>
            <w:tcW w:w="1196" w:type="dxa"/>
            <w:tcBorders>
              <w:top w:val="nil"/>
              <w:left w:val="nil"/>
              <w:bottom w:val="single" w:sz="8" w:space="0" w:color="auto"/>
              <w:right w:val="single" w:sz="8" w:space="0" w:color="auto"/>
            </w:tcBorders>
            <w:shd w:val="clear" w:color="auto" w:fill="auto"/>
            <w:vAlign w:val="center"/>
            <w:hideMark/>
          </w:tcPr>
          <w:p w14:paraId="1B7176BF"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6AE543BE"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SIN REPORTE AL SUI</w:t>
            </w:r>
          </w:p>
        </w:tc>
      </w:tr>
      <w:tr w:rsidR="00AD4E79" w:rsidRPr="00AD4E79" w14:paraId="46DACA64"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4C0E4FFD"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119</w:t>
            </w:r>
          </w:p>
        </w:tc>
        <w:tc>
          <w:tcPr>
            <w:tcW w:w="879" w:type="dxa"/>
            <w:tcBorders>
              <w:top w:val="nil"/>
              <w:left w:val="nil"/>
              <w:bottom w:val="single" w:sz="8" w:space="0" w:color="auto"/>
              <w:right w:val="single" w:sz="8" w:space="0" w:color="auto"/>
            </w:tcBorders>
            <w:shd w:val="clear" w:color="auto" w:fill="auto"/>
            <w:vAlign w:val="center"/>
            <w:hideMark/>
          </w:tcPr>
          <w:p w14:paraId="5C1F8AD4"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900.461.106</w:t>
            </w:r>
          </w:p>
        </w:tc>
        <w:tc>
          <w:tcPr>
            <w:tcW w:w="323" w:type="dxa"/>
            <w:tcBorders>
              <w:top w:val="nil"/>
              <w:left w:val="nil"/>
              <w:bottom w:val="single" w:sz="8" w:space="0" w:color="auto"/>
              <w:right w:val="single" w:sz="8" w:space="0" w:color="auto"/>
            </w:tcBorders>
            <w:shd w:val="clear" w:color="auto" w:fill="auto"/>
            <w:vAlign w:val="center"/>
            <w:hideMark/>
          </w:tcPr>
          <w:p w14:paraId="411DD2C3"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4</w:t>
            </w:r>
          </w:p>
        </w:tc>
        <w:tc>
          <w:tcPr>
            <w:tcW w:w="505" w:type="dxa"/>
            <w:tcBorders>
              <w:top w:val="nil"/>
              <w:left w:val="nil"/>
              <w:bottom w:val="single" w:sz="8" w:space="0" w:color="auto"/>
              <w:right w:val="single" w:sz="8" w:space="0" w:color="auto"/>
            </w:tcBorders>
            <w:shd w:val="clear" w:color="auto" w:fill="auto"/>
            <w:vAlign w:val="center"/>
            <w:hideMark/>
          </w:tcPr>
          <w:p w14:paraId="302B6453"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60594</w:t>
            </w:r>
          </w:p>
        </w:tc>
        <w:tc>
          <w:tcPr>
            <w:tcW w:w="4243" w:type="dxa"/>
            <w:tcBorders>
              <w:top w:val="nil"/>
              <w:left w:val="nil"/>
              <w:bottom w:val="single" w:sz="8" w:space="0" w:color="auto"/>
              <w:right w:val="single" w:sz="8" w:space="0" w:color="auto"/>
            </w:tcBorders>
            <w:shd w:val="clear" w:color="auto" w:fill="auto"/>
            <w:vAlign w:val="center"/>
            <w:hideMark/>
          </w:tcPr>
          <w:p w14:paraId="0BB483B2"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PCH SAN BARTOLOME SAS ESP</w:t>
            </w:r>
          </w:p>
        </w:tc>
        <w:tc>
          <w:tcPr>
            <w:tcW w:w="1196" w:type="dxa"/>
            <w:tcBorders>
              <w:top w:val="nil"/>
              <w:left w:val="nil"/>
              <w:bottom w:val="single" w:sz="8" w:space="0" w:color="auto"/>
              <w:right w:val="single" w:sz="8" w:space="0" w:color="auto"/>
            </w:tcBorders>
            <w:shd w:val="clear" w:color="auto" w:fill="auto"/>
            <w:vAlign w:val="center"/>
            <w:hideMark/>
          </w:tcPr>
          <w:p w14:paraId="272CF857"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033FEFAF"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29C78B5C"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5293328D"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120</w:t>
            </w:r>
          </w:p>
        </w:tc>
        <w:tc>
          <w:tcPr>
            <w:tcW w:w="879" w:type="dxa"/>
            <w:tcBorders>
              <w:top w:val="nil"/>
              <w:left w:val="nil"/>
              <w:bottom w:val="single" w:sz="8" w:space="0" w:color="auto"/>
              <w:right w:val="single" w:sz="8" w:space="0" w:color="auto"/>
            </w:tcBorders>
            <w:shd w:val="clear" w:color="auto" w:fill="auto"/>
            <w:vAlign w:val="center"/>
            <w:hideMark/>
          </w:tcPr>
          <w:p w14:paraId="74071BFE"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900.462.761</w:t>
            </w:r>
          </w:p>
        </w:tc>
        <w:tc>
          <w:tcPr>
            <w:tcW w:w="323" w:type="dxa"/>
            <w:tcBorders>
              <w:top w:val="nil"/>
              <w:left w:val="nil"/>
              <w:bottom w:val="single" w:sz="8" w:space="0" w:color="auto"/>
              <w:right w:val="single" w:sz="8" w:space="0" w:color="auto"/>
            </w:tcBorders>
            <w:shd w:val="clear" w:color="auto" w:fill="auto"/>
            <w:vAlign w:val="center"/>
            <w:hideMark/>
          </w:tcPr>
          <w:p w14:paraId="4FC9D822"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3</w:t>
            </w:r>
          </w:p>
        </w:tc>
        <w:tc>
          <w:tcPr>
            <w:tcW w:w="505" w:type="dxa"/>
            <w:tcBorders>
              <w:top w:val="nil"/>
              <w:left w:val="nil"/>
              <w:bottom w:val="single" w:sz="8" w:space="0" w:color="auto"/>
              <w:right w:val="single" w:sz="8" w:space="0" w:color="auto"/>
            </w:tcBorders>
            <w:shd w:val="clear" w:color="auto" w:fill="auto"/>
            <w:vAlign w:val="center"/>
            <w:hideMark/>
          </w:tcPr>
          <w:p w14:paraId="0D7569BF"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26192</w:t>
            </w:r>
          </w:p>
        </w:tc>
        <w:tc>
          <w:tcPr>
            <w:tcW w:w="4243" w:type="dxa"/>
            <w:tcBorders>
              <w:top w:val="nil"/>
              <w:left w:val="nil"/>
              <w:bottom w:val="single" w:sz="8" w:space="0" w:color="auto"/>
              <w:right w:val="single" w:sz="8" w:space="0" w:color="auto"/>
            </w:tcBorders>
            <w:shd w:val="clear" w:color="auto" w:fill="auto"/>
            <w:vAlign w:val="center"/>
            <w:hideMark/>
          </w:tcPr>
          <w:p w14:paraId="6C666C3F"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RISARALDA ENERGIA S.A.S. E.S.P.</w:t>
            </w:r>
          </w:p>
        </w:tc>
        <w:tc>
          <w:tcPr>
            <w:tcW w:w="1196" w:type="dxa"/>
            <w:tcBorders>
              <w:top w:val="nil"/>
              <w:left w:val="nil"/>
              <w:bottom w:val="single" w:sz="8" w:space="0" w:color="auto"/>
              <w:right w:val="single" w:sz="8" w:space="0" w:color="auto"/>
            </w:tcBorders>
            <w:shd w:val="clear" w:color="auto" w:fill="auto"/>
            <w:vAlign w:val="center"/>
            <w:hideMark/>
          </w:tcPr>
          <w:p w14:paraId="30539F01"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1307B56B"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2D108D98"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673A18D1"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121</w:t>
            </w:r>
          </w:p>
        </w:tc>
        <w:tc>
          <w:tcPr>
            <w:tcW w:w="879" w:type="dxa"/>
            <w:tcBorders>
              <w:top w:val="nil"/>
              <w:left w:val="nil"/>
              <w:bottom w:val="single" w:sz="8" w:space="0" w:color="auto"/>
              <w:right w:val="single" w:sz="8" w:space="0" w:color="auto"/>
            </w:tcBorders>
            <w:shd w:val="clear" w:color="auto" w:fill="auto"/>
            <w:vAlign w:val="center"/>
            <w:hideMark/>
          </w:tcPr>
          <w:p w14:paraId="3AD7064F"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900.466.775</w:t>
            </w:r>
          </w:p>
        </w:tc>
        <w:tc>
          <w:tcPr>
            <w:tcW w:w="323" w:type="dxa"/>
            <w:tcBorders>
              <w:top w:val="nil"/>
              <w:left w:val="nil"/>
              <w:bottom w:val="single" w:sz="8" w:space="0" w:color="auto"/>
              <w:right w:val="single" w:sz="8" w:space="0" w:color="auto"/>
            </w:tcBorders>
            <w:shd w:val="clear" w:color="auto" w:fill="auto"/>
            <w:vAlign w:val="center"/>
            <w:hideMark/>
          </w:tcPr>
          <w:p w14:paraId="6619CC41"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4</w:t>
            </w:r>
          </w:p>
        </w:tc>
        <w:tc>
          <w:tcPr>
            <w:tcW w:w="505" w:type="dxa"/>
            <w:tcBorders>
              <w:top w:val="nil"/>
              <w:left w:val="nil"/>
              <w:bottom w:val="single" w:sz="8" w:space="0" w:color="auto"/>
              <w:right w:val="single" w:sz="8" w:space="0" w:color="auto"/>
            </w:tcBorders>
            <w:shd w:val="clear" w:color="auto" w:fill="auto"/>
            <w:vAlign w:val="center"/>
            <w:hideMark/>
          </w:tcPr>
          <w:p w14:paraId="06BDC55D"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25975</w:t>
            </w:r>
          </w:p>
        </w:tc>
        <w:tc>
          <w:tcPr>
            <w:tcW w:w="4243" w:type="dxa"/>
            <w:tcBorders>
              <w:top w:val="nil"/>
              <w:left w:val="nil"/>
              <w:bottom w:val="single" w:sz="8" w:space="0" w:color="auto"/>
              <w:right w:val="single" w:sz="8" w:space="0" w:color="auto"/>
            </w:tcBorders>
            <w:shd w:val="clear" w:color="auto" w:fill="auto"/>
            <w:vAlign w:val="center"/>
            <w:hideMark/>
          </w:tcPr>
          <w:p w14:paraId="39493BE8"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 xml:space="preserve">HIDROELECTRICA DEL ALTO PORCE </w:t>
            </w:r>
            <w:proofErr w:type="gramStart"/>
            <w:r w:rsidRPr="00AD4E79">
              <w:rPr>
                <w:rFonts w:ascii="Arial Narrow" w:hAnsi="Arial Narrow" w:cs="Arial"/>
                <w:spacing w:val="0"/>
                <w:sz w:val="16"/>
                <w:szCs w:val="16"/>
                <w:lang w:eastAsia="es-CO"/>
              </w:rPr>
              <w:t>S.A.S  E</w:t>
            </w:r>
            <w:proofErr w:type="gramEnd"/>
            <w:r w:rsidRPr="00AD4E79">
              <w:rPr>
                <w:rFonts w:ascii="Arial Narrow" w:hAnsi="Arial Narrow" w:cs="Arial"/>
                <w:spacing w:val="0"/>
                <w:sz w:val="16"/>
                <w:szCs w:val="16"/>
                <w:lang w:eastAsia="es-CO"/>
              </w:rPr>
              <w:t>.S.P</w:t>
            </w:r>
          </w:p>
        </w:tc>
        <w:tc>
          <w:tcPr>
            <w:tcW w:w="1196" w:type="dxa"/>
            <w:tcBorders>
              <w:top w:val="nil"/>
              <w:left w:val="nil"/>
              <w:bottom w:val="single" w:sz="8" w:space="0" w:color="auto"/>
              <w:right w:val="single" w:sz="8" w:space="0" w:color="auto"/>
            </w:tcBorders>
            <w:shd w:val="clear" w:color="auto" w:fill="auto"/>
            <w:vAlign w:val="center"/>
            <w:hideMark/>
          </w:tcPr>
          <w:p w14:paraId="498BF2D2"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18EF3D54"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2B8A1066" w14:textId="77777777" w:rsidTr="00AD4E79">
        <w:trPr>
          <w:trHeight w:val="377"/>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6F14BE08"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122</w:t>
            </w:r>
          </w:p>
        </w:tc>
        <w:tc>
          <w:tcPr>
            <w:tcW w:w="879" w:type="dxa"/>
            <w:tcBorders>
              <w:top w:val="nil"/>
              <w:left w:val="nil"/>
              <w:bottom w:val="single" w:sz="8" w:space="0" w:color="auto"/>
              <w:right w:val="single" w:sz="8" w:space="0" w:color="auto"/>
            </w:tcBorders>
            <w:shd w:val="clear" w:color="auto" w:fill="auto"/>
            <w:vAlign w:val="center"/>
            <w:hideMark/>
          </w:tcPr>
          <w:p w14:paraId="09CB337E"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900.470.256</w:t>
            </w:r>
          </w:p>
        </w:tc>
        <w:tc>
          <w:tcPr>
            <w:tcW w:w="323" w:type="dxa"/>
            <w:tcBorders>
              <w:top w:val="nil"/>
              <w:left w:val="nil"/>
              <w:bottom w:val="single" w:sz="8" w:space="0" w:color="auto"/>
              <w:right w:val="single" w:sz="8" w:space="0" w:color="auto"/>
            </w:tcBorders>
            <w:shd w:val="clear" w:color="auto" w:fill="auto"/>
            <w:vAlign w:val="center"/>
            <w:hideMark/>
          </w:tcPr>
          <w:p w14:paraId="5383228B"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w:t>
            </w:r>
          </w:p>
        </w:tc>
        <w:tc>
          <w:tcPr>
            <w:tcW w:w="505" w:type="dxa"/>
            <w:tcBorders>
              <w:top w:val="nil"/>
              <w:left w:val="nil"/>
              <w:bottom w:val="single" w:sz="8" w:space="0" w:color="auto"/>
              <w:right w:val="single" w:sz="8" w:space="0" w:color="auto"/>
            </w:tcBorders>
            <w:shd w:val="clear" w:color="auto" w:fill="auto"/>
            <w:vAlign w:val="center"/>
            <w:hideMark/>
          </w:tcPr>
          <w:p w14:paraId="68D10A0E"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25965</w:t>
            </w:r>
          </w:p>
        </w:tc>
        <w:tc>
          <w:tcPr>
            <w:tcW w:w="4243" w:type="dxa"/>
            <w:tcBorders>
              <w:top w:val="nil"/>
              <w:left w:val="nil"/>
              <w:bottom w:val="single" w:sz="8" w:space="0" w:color="auto"/>
              <w:right w:val="single" w:sz="8" w:space="0" w:color="auto"/>
            </w:tcBorders>
            <w:shd w:val="clear" w:color="auto" w:fill="auto"/>
            <w:vAlign w:val="center"/>
            <w:hideMark/>
          </w:tcPr>
          <w:p w14:paraId="367BB9F1"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 xml:space="preserve">EMPRESA ASOCIATIVA DE TRABAJO ELECTROSOLEDAD DE ISCUANDE </w:t>
            </w:r>
          </w:p>
        </w:tc>
        <w:tc>
          <w:tcPr>
            <w:tcW w:w="1196" w:type="dxa"/>
            <w:tcBorders>
              <w:top w:val="nil"/>
              <w:left w:val="nil"/>
              <w:bottom w:val="single" w:sz="8" w:space="0" w:color="auto"/>
              <w:right w:val="single" w:sz="8" w:space="0" w:color="auto"/>
            </w:tcBorders>
            <w:shd w:val="clear" w:color="auto" w:fill="auto"/>
            <w:vAlign w:val="center"/>
            <w:hideMark/>
          </w:tcPr>
          <w:p w14:paraId="439919E2"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6382C9F1"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006E8B57"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6AA3D778"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123</w:t>
            </w:r>
          </w:p>
        </w:tc>
        <w:tc>
          <w:tcPr>
            <w:tcW w:w="879" w:type="dxa"/>
            <w:tcBorders>
              <w:top w:val="nil"/>
              <w:left w:val="nil"/>
              <w:bottom w:val="single" w:sz="8" w:space="0" w:color="auto"/>
              <w:right w:val="single" w:sz="8" w:space="0" w:color="auto"/>
            </w:tcBorders>
            <w:shd w:val="clear" w:color="auto" w:fill="auto"/>
            <w:vAlign w:val="center"/>
            <w:hideMark/>
          </w:tcPr>
          <w:p w14:paraId="2A8DFC33"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900.475.298</w:t>
            </w:r>
          </w:p>
        </w:tc>
        <w:tc>
          <w:tcPr>
            <w:tcW w:w="323" w:type="dxa"/>
            <w:tcBorders>
              <w:top w:val="nil"/>
              <w:left w:val="nil"/>
              <w:bottom w:val="single" w:sz="8" w:space="0" w:color="auto"/>
              <w:right w:val="single" w:sz="8" w:space="0" w:color="auto"/>
            </w:tcBorders>
            <w:shd w:val="clear" w:color="auto" w:fill="auto"/>
            <w:vAlign w:val="center"/>
            <w:hideMark/>
          </w:tcPr>
          <w:p w14:paraId="2410EFB2"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0</w:t>
            </w:r>
          </w:p>
        </w:tc>
        <w:tc>
          <w:tcPr>
            <w:tcW w:w="505" w:type="dxa"/>
            <w:tcBorders>
              <w:top w:val="nil"/>
              <w:left w:val="nil"/>
              <w:bottom w:val="single" w:sz="8" w:space="0" w:color="auto"/>
              <w:right w:val="single" w:sz="8" w:space="0" w:color="auto"/>
            </w:tcBorders>
            <w:shd w:val="clear" w:color="auto" w:fill="auto"/>
            <w:vAlign w:val="center"/>
            <w:hideMark/>
          </w:tcPr>
          <w:p w14:paraId="38C837DC"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25982</w:t>
            </w:r>
          </w:p>
        </w:tc>
        <w:tc>
          <w:tcPr>
            <w:tcW w:w="4243" w:type="dxa"/>
            <w:tcBorders>
              <w:top w:val="nil"/>
              <w:left w:val="nil"/>
              <w:bottom w:val="single" w:sz="8" w:space="0" w:color="auto"/>
              <w:right w:val="single" w:sz="8" w:space="0" w:color="auto"/>
            </w:tcBorders>
            <w:shd w:val="clear" w:color="auto" w:fill="auto"/>
            <w:vAlign w:val="center"/>
            <w:hideMark/>
          </w:tcPr>
          <w:p w14:paraId="7413D599"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GENERSA S.A.S E.S.P.</w:t>
            </w:r>
          </w:p>
        </w:tc>
        <w:tc>
          <w:tcPr>
            <w:tcW w:w="1196" w:type="dxa"/>
            <w:tcBorders>
              <w:top w:val="nil"/>
              <w:left w:val="nil"/>
              <w:bottom w:val="single" w:sz="8" w:space="0" w:color="auto"/>
              <w:right w:val="single" w:sz="8" w:space="0" w:color="auto"/>
            </w:tcBorders>
            <w:shd w:val="clear" w:color="auto" w:fill="auto"/>
            <w:vAlign w:val="center"/>
            <w:hideMark/>
          </w:tcPr>
          <w:p w14:paraId="37F65741"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007E1815"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5F141716"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2BE43471"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124</w:t>
            </w:r>
          </w:p>
        </w:tc>
        <w:tc>
          <w:tcPr>
            <w:tcW w:w="879" w:type="dxa"/>
            <w:tcBorders>
              <w:top w:val="nil"/>
              <w:left w:val="nil"/>
              <w:bottom w:val="single" w:sz="8" w:space="0" w:color="auto"/>
              <w:right w:val="single" w:sz="8" w:space="0" w:color="auto"/>
            </w:tcBorders>
            <w:shd w:val="clear" w:color="auto" w:fill="auto"/>
            <w:vAlign w:val="center"/>
            <w:hideMark/>
          </w:tcPr>
          <w:p w14:paraId="6CBC9BFD"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900.493.235</w:t>
            </w:r>
          </w:p>
        </w:tc>
        <w:tc>
          <w:tcPr>
            <w:tcW w:w="323" w:type="dxa"/>
            <w:tcBorders>
              <w:top w:val="nil"/>
              <w:left w:val="nil"/>
              <w:bottom w:val="single" w:sz="8" w:space="0" w:color="auto"/>
              <w:right w:val="single" w:sz="8" w:space="0" w:color="auto"/>
            </w:tcBorders>
            <w:shd w:val="clear" w:color="auto" w:fill="auto"/>
            <w:vAlign w:val="center"/>
            <w:hideMark/>
          </w:tcPr>
          <w:p w14:paraId="1AB92EAA"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3</w:t>
            </w:r>
          </w:p>
        </w:tc>
        <w:tc>
          <w:tcPr>
            <w:tcW w:w="505" w:type="dxa"/>
            <w:tcBorders>
              <w:top w:val="nil"/>
              <w:left w:val="nil"/>
              <w:bottom w:val="single" w:sz="8" w:space="0" w:color="auto"/>
              <w:right w:val="single" w:sz="8" w:space="0" w:color="auto"/>
            </w:tcBorders>
            <w:shd w:val="clear" w:color="auto" w:fill="auto"/>
            <w:vAlign w:val="center"/>
            <w:hideMark/>
          </w:tcPr>
          <w:p w14:paraId="4D3FE149"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32593</w:t>
            </w:r>
          </w:p>
        </w:tc>
        <w:tc>
          <w:tcPr>
            <w:tcW w:w="4243" w:type="dxa"/>
            <w:tcBorders>
              <w:top w:val="nil"/>
              <w:left w:val="nil"/>
              <w:bottom w:val="single" w:sz="8" w:space="0" w:color="auto"/>
              <w:right w:val="single" w:sz="8" w:space="0" w:color="auto"/>
            </w:tcBorders>
            <w:shd w:val="clear" w:color="auto" w:fill="auto"/>
            <w:vAlign w:val="center"/>
            <w:hideMark/>
          </w:tcPr>
          <w:p w14:paraId="26B289D5"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GENERADORA ALEJANDRIA S.A.S. - E.S.P.</w:t>
            </w:r>
          </w:p>
        </w:tc>
        <w:tc>
          <w:tcPr>
            <w:tcW w:w="1196" w:type="dxa"/>
            <w:tcBorders>
              <w:top w:val="nil"/>
              <w:left w:val="nil"/>
              <w:bottom w:val="single" w:sz="8" w:space="0" w:color="auto"/>
              <w:right w:val="single" w:sz="8" w:space="0" w:color="auto"/>
            </w:tcBorders>
            <w:shd w:val="clear" w:color="auto" w:fill="auto"/>
            <w:vAlign w:val="center"/>
            <w:hideMark/>
          </w:tcPr>
          <w:p w14:paraId="2A5E81D4"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06A76681"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3918DE4A"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20C697FC"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125</w:t>
            </w:r>
          </w:p>
        </w:tc>
        <w:tc>
          <w:tcPr>
            <w:tcW w:w="879" w:type="dxa"/>
            <w:tcBorders>
              <w:top w:val="nil"/>
              <w:left w:val="nil"/>
              <w:bottom w:val="single" w:sz="8" w:space="0" w:color="auto"/>
              <w:right w:val="single" w:sz="8" w:space="0" w:color="auto"/>
            </w:tcBorders>
            <w:shd w:val="clear" w:color="auto" w:fill="auto"/>
            <w:vAlign w:val="center"/>
            <w:hideMark/>
          </w:tcPr>
          <w:p w14:paraId="7DC17516"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900.499.252</w:t>
            </w:r>
          </w:p>
        </w:tc>
        <w:tc>
          <w:tcPr>
            <w:tcW w:w="323" w:type="dxa"/>
            <w:tcBorders>
              <w:top w:val="nil"/>
              <w:left w:val="nil"/>
              <w:bottom w:val="single" w:sz="8" w:space="0" w:color="auto"/>
              <w:right w:val="single" w:sz="8" w:space="0" w:color="auto"/>
            </w:tcBorders>
            <w:shd w:val="clear" w:color="auto" w:fill="auto"/>
            <w:vAlign w:val="center"/>
            <w:hideMark/>
          </w:tcPr>
          <w:p w14:paraId="01B5C555"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6</w:t>
            </w:r>
          </w:p>
        </w:tc>
        <w:tc>
          <w:tcPr>
            <w:tcW w:w="505" w:type="dxa"/>
            <w:tcBorders>
              <w:top w:val="nil"/>
              <w:left w:val="nil"/>
              <w:bottom w:val="single" w:sz="8" w:space="0" w:color="auto"/>
              <w:right w:val="single" w:sz="8" w:space="0" w:color="auto"/>
            </w:tcBorders>
            <w:shd w:val="clear" w:color="auto" w:fill="auto"/>
            <w:vAlign w:val="center"/>
            <w:hideMark/>
          </w:tcPr>
          <w:p w14:paraId="355FF691"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26653</w:t>
            </w:r>
          </w:p>
        </w:tc>
        <w:tc>
          <w:tcPr>
            <w:tcW w:w="4243" w:type="dxa"/>
            <w:tcBorders>
              <w:top w:val="nil"/>
              <w:left w:val="nil"/>
              <w:bottom w:val="single" w:sz="8" w:space="0" w:color="auto"/>
              <w:right w:val="single" w:sz="8" w:space="0" w:color="auto"/>
            </w:tcBorders>
            <w:shd w:val="clear" w:color="auto" w:fill="auto"/>
            <w:vAlign w:val="center"/>
            <w:hideMark/>
          </w:tcPr>
          <w:p w14:paraId="3D82E45B"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ECOMMERCIAL SAS ESP</w:t>
            </w:r>
          </w:p>
        </w:tc>
        <w:tc>
          <w:tcPr>
            <w:tcW w:w="1196" w:type="dxa"/>
            <w:tcBorders>
              <w:top w:val="nil"/>
              <w:left w:val="nil"/>
              <w:bottom w:val="single" w:sz="8" w:space="0" w:color="auto"/>
              <w:right w:val="single" w:sz="8" w:space="0" w:color="auto"/>
            </w:tcBorders>
            <w:shd w:val="clear" w:color="auto" w:fill="auto"/>
            <w:vAlign w:val="center"/>
            <w:hideMark/>
          </w:tcPr>
          <w:p w14:paraId="617F5312"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6CA2B579"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2D2BFA04" w14:textId="77777777" w:rsidTr="00AD4E79">
        <w:trPr>
          <w:trHeight w:val="367"/>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0A149620"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126</w:t>
            </w:r>
          </w:p>
        </w:tc>
        <w:tc>
          <w:tcPr>
            <w:tcW w:w="879" w:type="dxa"/>
            <w:tcBorders>
              <w:top w:val="nil"/>
              <w:left w:val="nil"/>
              <w:bottom w:val="single" w:sz="8" w:space="0" w:color="auto"/>
              <w:right w:val="single" w:sz="8" w:space="0" w:color="auto"/>
            </w:tcBorders>
            <w:shd w:val="clear" w:color="auto" w:fill="auto"/>
            <w:vAlign w:val="center"/>
            <w:hideMark/>
          </w:tcPr>
          <w:p w14:paraId="52D009EA"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900.499.975</w:t>
            </w:r>
          </w:p>
        </w:tc>
        <w:tc>
          <w:tcPr>
            <w:tcW w:w="323" w:type="dxa"/>
            <w:tcBorders>
              <w:top w:val="nil"/>
              <w:left w:val="nil"/>
              <w:bottom w:val="single" w:sz="8" w:space="0" w:color="auto"/>
              <w:right w:val="single" w:sz="8" w:space="0" w:color="auto"/>
            </w:tcBorders>
            <w:shd w:val="clear" w:color="auto" w:fill="auto"/>
            <w:vAlign w:val="center"/>
            <w:hideMark/>
          </w:tcPr>
          <w:p w14:paraId="12192A01"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w:t>
            </w:r>
          </w:p>
        </w:tc>
        <w:tc>
          <w:tcPr>
            <w:tcW w:w="505" w:type="dxa"/>
            <w:tcBorders>
              <w:top w:val="nil"/>
              <w:left w:val="nil"/>
              <w:bottom w:val="single" w:sz="8" w:space="0" w:color="auto"/>
              <w:right w:val="single" w:sz="8" w:space="0" w:color="auto"/>
            </w:tcBorders>
            <w:shd w:val="clear" w:color="auto" w:fill="auto"/>
            <w:vAlign w:val="center"/>
            <w:hideMark/>
          </w:tcPr>
          <w:p w14:paraId="6A6D3397"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26040</w:t>
            </w:r>
          </w:p>
        </w:tc>
        <w:tc>
          <w:tcPr>
            <w:tcW w:w="4243" w:type="dxa"/>
            <w:tcBorders>
              <w:top w:val="nil"/>
              <w:left w:val="nil"/>
              <w:bottom w:val="single" w:sz="8" w:space="0" w:color="auto"/>
              <w:right w:val="single" w:sz="8" w:space="0" w:color="auto"/>
            </w:tcBorders>
            <w:shd w:val="clear" w:color="auto" w:fill="auto"/>
            <w:vAlign w:val="center"/>
            <w:hideMark/>
          </w:tcPr>
          <w:p w14:paraId="7A610FC7"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EMPRESA ASOCIATIVA DE TRABAJO DE PRESTACION DE SERVICIOS PUBLICOS DE BOCAS DE CURAY E.S.P.</w:t>
            </w:r>
          </w:p>
        </w:tc>
        <w:tc>
          <w:tcPr>
            <w:tcW w:w="1196" w:type="dxa"/>
            <w:tcBorders>
              <w:top w:val="nil"/>
              <w:left w:val="nil"/>
              <w:bottom w:val="single" w:sz="8" w:space="0" w:color="auto"/>
              <w:right w:val="single" w:sz="8" w:space="0" w:color="auto"/>
            </w:tcBorders>
            <w:shd w:val="clear" w:color="auto" w:fill="auto"/>
            <w:vAlign w:val="center"/>
            <w:hideMark/>
          </w:tcPr>
          <w:p w14:paraId="78A74305"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43C30F3A"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SIN REPORTE AL SUI</w:t>
            </w:r>
          </w:p>
        </w:tc>
      </w:tr>
      <w:tr w:rsidR="00AD4E79" w:rsidRPr="00AD4E79" w14:paraId="7F145E78" w14:textId="77777777" w:rsidTr="00AD4E79">
        <w:trPr>
          <w:trHeight w:val="563"/>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0B232C0B"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127</w:t>
            </w:r>
          </w:p>
        </w:tc>
        <w:tc>
          <w:tcPr>
            <w:tcW w:w="879" w:type="dxa"/>
            <w:tcBorders>
              <w:top w:val="nil"/>
              <w:left w:val="nil"/>
              <w:bottom w:val="single" w:sz="8" w:space="0" w:color="auto"/>
              <w:right w:val="single" w:sz="8" w:space="0" w:color="auto"/>
            </w:tcBorders>
            <w:shd w:val="clear" w:color="auto" w:fill="auto"/>
            <w:vAlign w:val="center"/>
            <w:hideMark/>
          </w:tcPr>
          <w:p w14:paraId="5F5D6B80"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900.511.307</w:t>
            </w:r>
          </w:p>
        </w:tc>
        <w:tc>
          <w:tcPr>
            <w:tcW w:w="323" w:type="dxa"/>
            <w:tcBorders>
              <w:top w:val="nil"/>
              <w:left w:val="nil"/>
              <w:bottom w:val="single" w:sz="8" w:space="0" w:color="auto"/>
              <w:right w:val="single" w:sz="8" w:space="0" w:color="auto"/>
            </w:tcBorders>
            <w:shd w:val="clear" w:color="auto" w:fill="auto"/>
            <w:vAlign w:val="center"/>
            <w:hideMark/>
          </w:tcPr>
          <w:p w14:paraId="1DF1EE9C"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3</w:t>
            </w:r>
          </w:p>
        </w:tc>
        <w:tc>
          <w:tcPr>
            <w:tcW w:w="505" w:type="dxa"/>
            <w:tcBorders>
              <w:top w:val="nil"/>
              <w:left w:val="nil"/>
              <w:bottom w:val="single" w:sz="8" w:space="0" w:color="auto"/>
              <w:right w:val="single" w:sz="8" w:space="0" w:color="auto"/>
            </w:tcBorders>
            <w:shd w:val="clear" w:color="auto" w:fill="auto"/>
            <w:vAlign w:val="center"/>
            <w:hideMark/>
          </w:tcPr>
          <w:p w14:paraId="655B99BB"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26122</w:t>
            </w:r>
          </w:p>
        </w:tc>
        <w:tc>
          <w:tcPr>
            <w:tcW w:w="4243" w:type="dxa"/>
            <w:tcBorders>
              <w:top w:val="nil"/>
              <w:left w:val="nil"/>
              <w:bottom w:val="single" w:sz="8" w:space="0" w:color="auto"/>
              <w:right w:val="single" w:sz="8" w:space="0" w:color="auto"/>
            </w:tcBorders>
            <w:shd w:val="clear" w:color="auto" w:fill="auto"/>
            <w:vAlign w:val="center"/>
            <w:hideMark/>
          </w:tcPr>
          <w:p w14:paraId="06258A95"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EMPRESA ASOCIATIVA DE TRABAJO PARA LA PRESTACION DEL SERVICIO DE ENERGIA ELECTRICA EN LA PARTE BAJA DE LA TOLA</w:t>
            </w:r>
          </w:p>
        </w:tc>
        <w:tc>
          <w:tcPr>
            <w:tcW w:w="1196" w:type="dxa"/>
            <w:tcBorders>
              <w:top w:val="nil"/>
              <w:left w:val="nil"/>
              <w:bottom w:val="single" w:sz="8" w:space="0" w:color="auto"/>
              <w:right w:val="single" w:sz="8" w:space="0" w:color="auto"/>
            </w:tcBorders>
            <w:shd w:val="clear" w:color="auto" w:fill="auto"/>
            <w:vAlign w:val="center"/>
            <w:hideMark/>
          </w:tcPr>
          <w:p w14:paraId="69421BF7"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2837C885"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SIN REPORTE AL SUI</w:t>
            </w:r>
          </w:p>
        </w:tc>
      </w:tr>
      <w:tr w:rsidR="00AD4E79" w:rsidRPr="00AD4E79" w14:paraId="2936CCC4"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4B791EB9"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128</w:t>
            </w:r>
          </w:p>
        </w:tc>
        <w:tc>
          <w:tcPr>
            <w:tcW w:w="879" w:type="dxa"/>
            <w:tcBorders>
              <w:top w:val="nil"/>
              <w:left w:val="nil"/>
              <w:bottom w:val="single" w:sz="8" w:space="0" w:color="auto"/>
              <w:right w:val="single" w:sz="8" w:space="0" w:color="auto"/>
            </w:tcBorders>
            <w:shd w:val="clear" w:color="auto" w:fill="auto"/>
            <w:vAlign w:val="center"/>
            <w:hideMark/>
          </w:tcPr>
          <w:p w14:paraId="009C863D"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900.516.015</w:t>
            </w:r>
          </w:p>
        </w:tc>
        <w:tc>
          <w:tcPr>
            <w:tcW w:w="323" w:type="dxa"/>
            <w:tcBorders>
              <w:top w:val="nil"/>
              <w:left w:val="nil"/>
              <w:bottom w:val="single" w:sz="8" w:space="0" w:color="auto"/>
              <w:right w:val="single" w:sz="8" w:space="0" w:color="auto"/>
            </w:tcBorders>
            <w:shd w:val="clear" w:color="auto" w:fill="auto"/>
            <w:vAlign w:val="center"/>
            <w:hideMark/>
          </w:tcPr>
          <w:p w14:paraId="0FD67C46"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0</w:t>
            </w:r>
          </w:p>
        </w:tc>
        <w:tc>
          <w:tcPr>
            <w:tcW w:w="505" w:type="dxa"/>
            <w:tcBorders>
              <w:top w:val="nil"/>
              <w:left w:val="nil"/>
              <w:bottom w:val="single" w:sz="8" w:space="0" w:color="auto"/>
              <w:right w:val="single" w:sz="8" w:space="0" w:color="auto"/>
            </w:tcBorders>
            <w:shd w:val="clear" w:color="auto" w:fill="auto"/>
            <w:vAlign w:val="center"/>
            <w:hideMark/>
          </w:tcPr>
          <w:p w14:paraId="326A400E"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28071</w:t>
            </w:r>
          </w:p>
        </w:tc>
        <w:tc>
          <w:tcPr>
            <w:tcW w:w="4243" w:type="dxa"/>
            <w:tcBorders>
              <w:top w:val="nil"/>
              <w:left w:val="nil"/>
              <w:bottom w:val="single" w:sz="8" w:space="0" w:color="auto"/>
              <w:right w:val="single" w:sz="8" w:space="0" w:color="auto"/>
            </w:tcBorders>
            <w:shd w:val="clear" w:color="auto" w:fill="auto"/>
            <w:vAlign w:val="center"/>
            <w:hideMark/>
          </w:tcPr>
          <w:p w14:paraId="31282806"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IAC ENERGY SAS ESP</w:t>
            </w:r>
          </w:p>
        </w:tc>
        <w:tc>
          <w:tcPr>
            <w:tcW w:w="1196" w:type="dxa"/>
            <w:tcBorders>
              <w:top w:val="nil"/>
              <w:left w:val="nil"/>
              <w:bottom w:val="single" w:sz="8" w:space="0" w:color="auto"/>
              <w:right w:val="single" w:sz="8" w:space="0" w:color="auto"/>
            </w:tcBorders>
            <w:shd w:val="clear" w:color="auto" w:fill="auto"/>
            <w:vAlign w:val="center"/>
            <w:hideMark/>
          </w:tcPr>
          <w:p w14:paraId="6C944296"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0ECB52DE"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6DF031B6" w14:textId="77777777" w:rsidTr="00AD4E79">
        <w:trPr>
          <w:trHeight w:val="405"/>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365A44EF"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129</w:t>
            </w:r>
          </w:p>
        </w:tc>
        <w:tc>
          <w:tcPr>
            <w:tcW w:w="879" w:type="dxa"/>
            <w:tcBorders>
              <w:top w:val="nil"/>
              <w:left w:val="nil"/>
              <w:bottom w:val="single" w:sz="8" w:space="0" w:color="auto"/>
              <w:right w:val="single" w:sz="8" w:space="0" w:color="auto"/>
            </w:tcBorders>
            <w:shd w:val="clear" w:color="auto" w:fill="auto"/>
            <w:vAlign w:val="center"/>
            <w:hideMark/>
          </w:tcPr>
          <w:p w14:paraId="40135479"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900.519.539</w:t>
            </w:r>
          </w:p>
        </w:tc>
        <w:tc>
          <w:tcPr>
            <w:tcW w:w="323" w:type="dxa"/>
            <w:tcBorders>
              <w:top w:val="nil"/>
              <w:left w:val="nil"/>
              <w:bottom w:val="single" w:sz="8" w:space="0" w:color="auto"/>
              <w:right w:val="single" w:sz="8" w:space="0" w:color="auto"/>
            </w:tcBorders>
            <w:shd w:val="clear" w:color="auto" w:fill="auto"/>
            <w:vAlign w:val="center"/>
            <w:hideMark/>
          </w:tcPr>
          <w:p w14:paraId="409C8305"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w:t>
            </w:r>
          </w:p>
        </w:tc>
        <w:tc>
          <w:tcPr>
            <w:tcW w:w="505" w:type="dxa"/>
            <w:tcBorders>
              <w:top w:val="nil"/>
              <w:left w:val="nil"/>
              <w:bottom w:val="single" w:sz="8" w:space="0" w:color="auto"/>
              <w:right w:val="single" w:sz="8" w:space="0" w:color="auto"/>
            </w:tcBorders>
            <w:shd w:val="clear" w:color="auto" w:fill="auto"/>
            <w:vAlign w:val="center"/>
            <w:hideMark/>
          </w:tcPr>
          <w:p w14:paraId="4F5B2138"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26083</w:t>
            </w:r>
          </w:p>
        </w:tc>
        <w:tc>
          <w:tcPr>
            <w:tcW w:w="4243" w:type="dxa"/>
            <w:tcBorders>
              <w:top w:val="nil"/>
              <w:left w:val="nil"/>
              <w:bottom w:val="single" w:sz="8" w:space="0" w:color="auto"/>
              <w:right w:val="single" w:sz="8" w:space="0" w:color="auto"/>
            </w:tcBorders>
            <w:shd w:val="clear" w:color="auto" w:fill="auto"/>
            <w:vAlign w:val="center"/>
            <w:hideMark/>
          </w:tcPr>
          <w:p w14:paraId="76164957"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COMPAÑIA DE SERVICIOS PUBLICOS DOMICILIARIOS DE BOJAYA S.A E.S.P.</w:t>
            </w:r>
          </w:p>
        </w:tc>
        <w:tc>
          <w:tcPr>
            <w:tcW w:w="1196" w:type="dxa"/>
            <w:tcBorders>
              <w:top w:val="nil"/>
              <w:left w:val="nil"/>
              <w:bottom w:val="single" w:sz="8" w:space="0" w:color="auto"/>
              <w:right w:val="single" w:sz="8" w:space="0" w:color="auto"/>
            </w:tcBorders>
            <w:shd w:val="clear" w:color="auto" w:fill="auto"/>
            <w:vAlign w:val="center"/>
            <w:hideMark/>
          </w:tcPr>
          <w:p w14:paraId="5008934E"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7407E52F"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78B51D95"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32AFF3DA"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130</w:t>
            </w:r>
          </w:p>
        </w:tc>
        <w:tc>
          <w:tcPr>
            <w:tcW w:w="879" w:type="dxa"/>
            <w:tcBorders>
              <w:top w:val="nil"/>
              <w:left w:val="nil"/>
              <w:bottom w:val="single" w:sz="8" w:space="0" w:color="auto"/>
              <w:right w:val="single" w:sz="8" w:space="0" w:color="auto"/>
            </w:tcBorders>
            <w:shd w:val="clear" w:color="auto" w:fill="auto"/>
            <w:vAlign w:val="center"/>
            <w:hideMark/>
          </w:tcPr>
          <w:p w14:paraId="232AB8DB"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900.519.716</w:t>
            </w:r>
          </w:p>
        </w:tc>
        <w:tc>
          <w:tcPr>
            <w:tcW w:w="323" w:type="dxa"/>
            <w:tcBorders>
              <w:top w:val="nil"/>
              <w:left w:val="nil"/>
              <w:bottom w:val="single" w:sz="8" w:space="0" w:color="auto"/>
              <w:right w:val="single" w:sz="8" w:space="0" w:color="auto"/>
            </w:tcBorders>
            <w:shd w:val="clear" w:color="auto" w:fill="auto"/>
            <w:vAlign w:val="center"/>
            <w:hideMark/>
          </w:tcPr>
          <w:p w14:paraId="3902680D"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w:t>
            </w:r>
          </w:p>
        </w:tc>
        <w:tc>
          <w:tcPr>
            <w:tcW w:w="505" w:type="dxa"/>
            <w:tcBorders>
              <w:top w:val="nil"/>
              <w:left w:val="nil"/>
              <w:bottom w:val="single" w:sz="8" w:space="0" w:color="auto"/>
              <w:right w:val="single" w:sz="8" w:space="0" w:color="auto"/>
            </w:tcBorders>
            <w:shd w:val="clear" w:color="auto" w:fill="auto"/>
            <w:vAlign w:val="center"/>
            <w:hideMark/>
          </w:tcPr>
          <w:p w14:paraId="2C5E80EF"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26108</w:t>
            </w:r>
          </w:p>
        </w:tc>
        <w:tc>
          <w:tcPr>
            <w:tcW w:w="4243" w:type="dxa"/>
            <w:tcBorders>
              <w:top w:val="nil"/>
              <w:left w:val="nil"/>
              <w:bottom w:val="single" w:sz="8" w:space="0" w:color="auto"/>
              <w:right w:val="single" w:sz="8" w:space="0" w:color="auto"/>
            </w:tcBorders>
            <w:shd w:val="clear" w:color="auto" w:fill="auto"/>
            <w:vAlign w:val="center"/>
            <w:hideMark/>
          </w:tcPr>
          <w:p w14:paraId="40850BDE"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TERMOTASAJERO DOS S.A. E.S.P.</w:t>
            </w:r>
          </w:p>
        </w:tc>
        <w:tc>
          <w:tcPr>
            <w:tcW w:w="1196" w:type="dxa"/>
            <w:tcBorders>
              <w:top w:val="nil"/>
              <w:left w:val="nil"/>
              <w:bottom w:val="single" w:sz="8" w:space="0" w:color="auto"/>
              <w:right w:val="single" w:sz="8" w:space="0" w:color="auto"/>
            </w:tcBorders>
            <w:shd w:val="clear" w:color="auto" w:fill="auto"/>
            <w:vAlign w:val="center"/>
            <w:hideMark/>
          </w:tcPr>
          <w:p w14:paraId="4B252295"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6AAC8D49"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30B5AE86"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573CC4D4"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lastRenderedPageBreak/>
              <w:t>131</w:t>
            </w:r>
          </w:p>
        </w:tc>
        <w:tc>
          <w:tcPr>
            <w:tcW w:w="879" w:type="dxa"/>
            <w:tcBorders>
              <w:top w:val="nil"/>
              <w:left w:val="nil"/>
              <w:bottom w:val="single" w:sz="8" w:space="0" w:color="auto"/>
              <w:right w:val="single" w:sz="8" w:space="0" w:color="auto"/>
            </w:tcBorders>
            <w:shd w:val="clear" w:color="auto" w:fill="auto"/>
            <w:vAlign w:val="center"/>
            <w:hideMark/>
          </w:tcPr>
          <w:p w14:paraId="5157E1D7"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900.566.099</w:t>
            </w:r>
          </w:p>
        </w:tc>
        <w:tc>
          <w:tcPr>
            <w:tcW w:w="323" w:type="dxa"/>
            <w:tcBorders>
              <w:top w:val="nil"/>
              <w:left w:val="nil"/>
              <w:bottom w:val="single" w:sz="8" w:space="0" w:color="auto"/>
              <w:right w:val="single" w:sz="8" w:space="0" w:color="auto"/>
            </w:tcBorders>
            <w:shd w:val="clear" w:color="auto" w:fill="auto"/>
            <w:vAlign w:val="center"/>
            <w:hideMark/>
          </w:tcPr>
          <w:p w14:paraId="337FD35E"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w:t>
            </w:r>
          </w:p>
        </w:tc>
        <w:tc>
          <w:tcPr>
            <w:tcW w:w="505" w:type="dxa"/>
            <w:tcBorders>
              <w:top w:val="nil"/>
              <w:left w:val="nil"/>
              <w:bottom w:val="single" w:sz="8" w:space="0" w:color="auto"/>
              <w:right w:val="single" w:sz="8" w:space="0" w:color="auto"/>
            </w:tcBorders>
            <w:shd w:val="clear" w:color="auto" w:fill="auto"/>
            <w:vAlign w:val="center"/>
            <w:hideMark/>
          </w:tcPr>
          <w:p w14:paraId="49DC83F5"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48724</w:t>
            </w:r>
          </w:p>
        </w:tc>
        <w:tc>
          <w:tcPr>
            <w:tcW w:w="4243" w:type="dxa"/>
            <w:tcBorders>
              <w:top w:val="nil"/>
              <w:left w:val="nil"/>
              <w:bottom w:val="single" w:sz="8" w:space="0" w:color="auto"/>
              <w:right w:val="single" w:sz="8" w:space="0" w:color="auto"/>
            </w:tcBorders>
            <w:shd w:val="clear" w:color="auto" w:fill="auto"/>
            <w:vAlign w:val="center"/>
            <w:hideMark/>
          </w:tcPr>
          <w:p w14:paraId="2BBF1A6F"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CARBOENERGY SAS ESP</w:t>
            </w:r>
          </w:p>
        </w:tc>
        <w:tc>
          <w:tcPr>
            <w:tcW w:w="1196" w:type="dxa"/>
            <w:tcBorders>
              <w:top w:val="nil"/>
              <w:left w:val="nil"/>
              <w:bottom w:val="single" w:sz="8" w:space="0" w:color="auto"/>
              <w:right w:val="single" w:sz="8" w:space="0" w:color="auto"/>
            </w:tcBorders>
            <w:shd w:val="clear" w:color="auto" w:fill="auto"/>
            <w:vAlign w:val="center"/>
            <w:hideMark/>
          </w:tcPr>
          <w:p w14:paraId="5D65D24A"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2641430A"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SIN REPORTE AL SUI</w:t>
            </w:r>
          </w:p>
        </w:tc>
      </w:tr>
      <w:tr w:rsidR="00AD4E79" w:rsidRPr="00AD4E79" w14:paraId="64D681C7"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44F526FE"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132</w:t>
            </w:r>
          </w:p>
        </w:tc>
        <w:tc>
          <w:tcPr>
            <w:tcW w:w="879" w:type="dxa"/>
            <w:tcBorders>
              <w:top w:val="nil"/>
              <w:left w:val="nil"/>
              <w:bottom w:val="single" w:sz="8" w:space="0" w:color="auto"/>
              <w:right w:val="single" w:sz="8" w:space="0" w:color="auto"/>
            </w:tcBorders>
            <w:shd w:val="clear" w:color="auto" w:fill="auto"/>
            <w:vAlign w:val="center"/>
            <w:hideMark/>
          </w:tcPr>
          <w:p w14:paraId="0BE5AFB9"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900.579.800</w:t>
            </w:r>
          </w:p>
        </w:tc>
        <w:tc>
          <w:tcPr>
            <w:tcW w:w="323" w:type="dxa"/>
            <w:tcBorders>
              <w:top w:val="nil"/>
              <w:left w:val="nil"/>
              <w:bottom w:val="single" w:sz="8" w:space="0" w:color="auto"/>
              <w:right w:val="single" w:sz="8" w:space="0" w:color="auto"/>
            </w:tcBorders>
            <w:shd w:val="clear" w:color="auto" w:fill="auto"/>
            <w:vAlign w:val="center"/>
            <w:hideMark/>
          </w:tcPr>
          <w:p w14:paraId="059310B2"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6</w:t>
            </w:r>
          </w:p>
        </w:tc>
        <w:tc>
          <w:tcPr>
            <w:tcW w:w="505" w:type="dxa"/>
            <w:tcBorders>
              <w:top w:val="nil"/>
              <w:left w:val="nil"/>
              <w:bottom w:val="single" w:sz="8" w:space="0" w:color="auto"/>
              <w:right w:val="single" w:sz="8" w:space="0" w:color="auto"/>
            </w:tcBorders>
            <w:shd w:val="clear" w:color="auto" w:fill="auto"/>
            <w:vAlign w:val="center"/>
            <w:hideMark/>
          </w:tcPr>
          <w:p w14:paraId="75F430E3"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26580</w:t>
            </w:r>
          </w:p>
        </w:tc>
        <w:tc>
          <w:tcPr>
            <w:tcW w:w="4243" w:type="dxa"/>
            <w:tcBorders>
              <w:top w:val="nil"/>
              <w:left w:val="nil"/>
              <w:bottom w:val="single" w:sz="8" w:space="0" w:color="auto"/>
              <w:right w:val="single" w:sz="8" w:space="0" w:color="auto"/>
            </w:tcBorders>
            <w:shd w:val="clear" w:color="auto" w:fill="auto"/>
            <w:vAlign w:val="center"/>
            <w:hideMark/>
          </w:tcPr>
          <w:p w14:paraId="34046575"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GENSER POWER SAS ESP</w:t>
            </w:r>
          </w:p>
        </w:tc>
        <w:tc>
          <w:tcPr>
            <w:tcW w:w="1196" w:type="dxa"/>
            <w:tcBorders>
              <w:top w:val="nil"/>
              <w:left w:val="nil"/>
              <w:bottom w:val="single" w:sz="8" w:space="0" w:color="auto"/>
              <w:right w:val="single" w:sz="8" w:space="0" w:color="auto"/>
            </w:tcBorders>
            <w:shd w:val="clear" w:color="auto" w:fill="auto"/>
            <w:vAlign w:val="center"/>
            <w:hideMark/>
          </w:tcPr>
          <w:p w14:paraId="27B5100C"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68356E54"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2EB175A9"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143D9366"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133</w:t>
            </w:r>
          </w:p>
        </w:tc>
        <w:tc>
          <w:tcPr>
            <w:tcW w:w="879" w:type="dxa"/>
            <w:tcBorders>
              <w:top w:val="nil"/>
              <w:left w:val="nil"/>
              <w:bottom w:val="single" w:sz="8" w:space="0" w:color="auto"/>
              <w:right w:val="single" w:sz="8" w:space="0" w:color="auto"/>
            </w:tcBorders>
            <w:shd w:val="clear" w:color="auto" w:fill="auto"/>
            <w:vAlign w:val="center"/>
            <w:hideMark/>
          </w:tcPr>
          <w:p w14:paraId="194C7D4F"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900.582.235</w:t>
            </w:r>
          </w:p>
        </w:tc>
        <w:tc>
          <w:tcPr>
            <w:tcW w:w="323" w:type="dxa"/>
            <w:tcBorders>
              <w:top w:val="nil"/>
              <w:left w:val="nil"/>
              <w:bottom w:val="single" w:sz="8" w:space="0" w:color="auto"/>
              <w:right w:val="single" w:sz="8" w:space="0" w:color="auto"/>
            </w:tcBorders>
            <w:shd w:val="clear" w:color="auto" w:fill="auto"/>
            <w:vAlign w:val="center"/>
            <w:hideMark/>
          </w:tcPr>
          <w:p w14:paraId="266FFD98"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5</w:t>
            </w:r>
          </w:p>
        </w:tc>
        <w:tc>
          <w:tcPr>
            <w:tcW w:w="505" w:type="dxa"/>
            <w:tcBorders>
              <w:top w:val="nil"/>
              <w:left w:val="nil"/>
              <w:bottom w:val="single" w:sz="8" w:space="0" w:color="auto"/>
              <w:right w:val="single" w:sz="8" w:space="0" w:color="auto"/>
            </w:tcBorders>
            <w:shd w:val="clear" w:color="auto" w:fill="auto"/>
            <w:vAlign w:val="center"/>
            <w:hideMark/>
          </w:tcPr>
          <w:p w14:paraId="3160650B"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38014</w:t>
            </w:r>
          </w:p>
        </w:tc>
        <w:tc>
          <w:tcPr>
            <w:tcW w:w="4243" w:type="dxa"/>
            <w:tcBorders>
              <w:top w:val="nil"/>
              <w:left w:val="nil"/>
              <w:bottom w:val="single" w:sz="8" w:space="0" w:color="auto"/>
              <w:right w:val="single" w:sz="8" w:space="0" w:color="auto"/>
            </w:tcBorders>
            <w:shd w:val="clear" w:color="auto" w:fill="auto"/>
            <w:vAlign w:val="center"/>
            <w:hideMark/>
          </w:tcPr>
          <w:p w14:paraId="5A113302"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PCHS LOS MOLINOS S.A.S. E.S.P.</w:t>
            </w:r>
          </w:p>
        </w:tc>
        <w:tc>
          <w:tcPr>
            <w:tcW w:w="1196" w:type="dxa"/>
            <w:tcBorders>
              <w:top w:val="nil"/>
              <w:left w:val="nil"/>
              <w:bottom w:val="single" w:sz="8" w:space="0" w:color="auto"/>
              <w:right w:val="single" w:sz="8" w:space="0" w:color="auto"/>
            </w:tcBorders>
            <w:shd w:val="clear" w:color="auto" w:fill="auto"/>
            <w:vAlign w:val="center"/>
            <w:hideMark/>
          </w:tcPr>
          <w:p w14:paraId="60DEAFA9"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 </w:t>
            </w:r>
          </w:p>
        </w:tc>
        <w:tc>
          <w:tcPr>
            <w:tcW w:w="2260" w:type="dxa"/>
            <w:tcBorders>
              <w:top w:val="nil"/>
              <w:left w:val="nil"/>
              <w:bottom w:val="single" w:sz="8" w:space="0" w:color="auto"/>
              <w:right w:val="single" w:sz="8" w:space="0" w:color="auto"/>
            </w:tcBorders>
            <w:shd w:val="clear" w:color="auto" w:fill="auto"/>
            <w:noWrap/>
            <w:vAlign w:val="center"/>
            <w:hideMark/>
          </w:tcPr>
          <w:p w14:paraId="5A05E1BA"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756EDA7A"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68FBAD1C"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134</w:t>
            </w:r>
          </w:p>
        </w:tc>
        <w:tc>
          <w:tcPr>
            <w:tcW w:w="879" w:type="dxa"/>
            <w:tcBorders>
              <w:top w:val="nil"/>
              <w:left w:val="nil"/>
              <w:bottom w:val="single" w:sz="8" w:space="0" w:color="auto"/>
              <w:right w:val="single" w:sz="8" w:space="0" w:color="auto"/>
            </w:tcBorders>
            <w:shd w:val="clear" w:color="auto" w:fill="auto"/>
            <w:vAlign w:val="center"/>
            <w:hideMark/>
          </w:tcPr>
          <w:p w14:paraId="1A2CE769"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900.584.846</w:t>
            </w:r>
          </w:p>
        </w:tc>
        <w:tc>
          <w:tcPr>
            <w:tcW w:w="323" w:type="dxa"/>
            <w:tcBorders>
              <w:top w:val="nil"/>
              <w:left w:val="nil"/>
              <w:bottom w:val="single" w:sz="8" w:space="0" w:color="auto"/>
              <w:right w:val="single" w:sz="8" w:space="0" w:color="auto"/>
            </w:tcBorders>
            <w:shd w:val="clear" w:color="auto" w:fill="auto"/>
            <w:vAlign w:val="center"/>
            <w:hideMark/>
          </w:tcPr>
          <w:p w14:paraId="47B671A0"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4</w:t>
            </w:r>
          </w:p>
        </w:tc>
        <w:tc>
          <w:tcPr>
            <w:tcW w:w="505" w:type="dxa"/>
            <w:tcBorders>
              <w:top w:val="nil"/>
              <w:left w:val="nil"/>
              <w:bottom w:val="single" w:sz="8" w:space="0" w:color="auto"/>
              <w:right w:val="single" w:sz="8" w:space="0" w:color="auto"/>
            </w:tcBorders>
            <w:shd w:val="clear" w:color="auto" w:fill="auto"/>
            <w:vAlign w:val="center"/>
            <w:hideMark/>
          </w:tcPr>
          <w:p w14:paraId="3D31CFBB"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46882</w:t>
            </w:r>
          </w:p>
        </w:tc>
        <w:tc>
          <w:tcPr>
            <w:tcW w:w="4243" w:type="dxa"/>
            <w:tcBorders>
              <w:top w:val="nil"/>
              <w:left w:val="nil"/>
              <w:bottom w:val="single" w:sz="8" w:space="0" w:color="auto"/>
              <w:right w:val="single" w:sz="8" w:space="0" w:color="auto"/>
            </w:tcBorders>
            <w:shd w:val="clear" w:color="auto" w:fill="auto"/>
            <w:vAlign w:val="center"/>
            <w:hideMark/>
          </w:tcPr>
          <w:p w14:paraId="3AFB1326" w14:textId="77777777" w:rsidR="006E3CAD" w:rsidRPr="00AD4E79" w:rsidRDefault="006E3CAD" w:rsidP="00D22441">
            <w:pPr>
              <w:jc w:val="left"/>
              <w:rPr>
                <w:rFonts w:ascii="Arial Narrow" w:hAnsi="Arial Narrow" w:cs="Arial"/>
                <w:spacing w:val="0"/>
                <w:sz w:val="16"/>
                <w:szCs w:val="16"/>
                <w:lang w:eastAsia="es-CO"/>
              </w:rPr>
            </w:pPr>
            <w:proofErr w:type="spellStart"/>
            <w:r w:rsidRPr="00AD4E79">
              <w:rPr>
                <w:rFonts w:ascii="Arial Narrow" w:hAnsi="Arial Narrow" w:cs="Arial"/>
                <w:spacing w:val="0"/>
                <w:sz w:val="16"/>
                <w:szCs w:val="16"/>
                <w:lang w:eastAsia="es-CO"/>
              </w:rPr>
              <w:t>Hidroelectrica</w:t>
            </w:r>
            <w:proofErr w:type="spellEnd"/>
            <w:r w:rsidRPr="00AD4E79">
              <w:rPr>
                <w:rFonts w:ascii="Arial Narrow" w:hAnsi="Arial Narrow" w:cs="Arial"/>
                <w:spacing w:val="0"/>
                <w:sz w:val="16"/>
                <w:szCs w:val="16"/>
                <w:lang w:eastAsia="es-CO"/>
              </w:rPr>
              <w:t xml:space="preserve"> Barrancas S.A.S E.</w:t>
            </w:r>
            <w:proofErr w:type="gramStart"/>
            <w:r w:rsidRPr="00AD4E79">
              <w:rPr>
                <w:rFonts w:ascii="Arial Narrow" w:hAnsi="Arial Narrow" w:cs="Arial"/>
                <w:spacing w:val="0"/>
                <w:sz w:val="16"/>
                <w:szCs w:val="16"/>
                <w:lang w:eastAsia="es-CO"/>
              </w:rPr>
              <w:t>S.P</w:t>
            </w:r>
            <w:proofErr w:type="gramEnd"/>
          </w:p>
        </w:tc>
        <w:tc>
          <w:tcPr>
            <w:tcW w:w="1196" w:type="dxa"/>
            <w:tcBorders>
              <w:top w:val="nil"/>
              <w:left w:val="nil"/>
              <w:bottom w:val="single" w:sz="8" w:space="0" w:color="auto"/>
              <w:right w:val="single" w:sz="8" w:space="0" w:color="auto"/>
            </w:tcBorders>
            <w:shd w:val="clear" w:color="auto" w:fill="auto"/>
            <w:vAlign w:val="center"/>
            <w:hideMark/>
          </w:tcPr>
          <w:p w14:paraId="4D1A66F4"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08EC89CB"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38FCB28E"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38C08131"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135</w:t>
            </w:r>
          </w:p>
        </w:tc>
        <w:tc>
          <w:tcPr>
            <w:tcW w:w="879" w:type="dxa"/>
            <w:tcBorders>
              <w:top w:val="nil"/>
              <w:left w:val="nil"/>
              <w:bottom w:val="single" w:sz="8" w:space="0" w:color="auto"/>
              <w:right w:val="single" w:sz="8" w:space="0" w:color="auto"/>
            </w:tcBorders>
            <w:shd w:val="clear" w:color="auto" w:fill="auto"/>
            <w:vAlign w:val="center"/>
            <w:hideMark/>
          </w:tcPr>
          <w:p w14:paraId="4C290CD7"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900.589.503</w:t>
            </w:r>
          </w:p>
        </w:tc>
        <w:tc>
          <w:tcPr>
            <w:tcW w:w="323" w:type="dxa"/>
            <w:tcBorders>
              <w:top w:val="nil"/>
              <w:left w:val="nil"/>
              <w:bottom w:val="single" w:sz="8" w:space="0" w:color="auto"/>
              <w:right w:val="single" w:sz="8" w:space="0" w:color="auto"/>
            </w:tcBorders>
            <w:shd w:val="clear" w:color="auto" w:fill="auto"/>
            <w:vAlign w:val="center"/>
            <w:hideMark/>
          </w:tcPr>
          <w:p w14:paraId="5DDE7E5A"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6</w:t>
            </w:r>
          </w:p>
        </w:tc>
        <w:tc>
          <w:tcPr>
            <w:tcW w:w="505" w:type="dxa"/>
            <w:tcBorders>
              <w:top w:val="nil"/>
              <w:left w:val="nil"/>
              <w:bottom w:val="single" w:sz="8" w:space="0" w:color="auto"/>
              <w:right w:val="single" w:sz="8" w:space="0" w:color="auto"/>
            </w:tcBorders>
            <w:shd w:val="clear" w:color="auto" w:fill="auto"/>
            <w:vAlign w:val="center"/>
            <w:hideMark/>
          </w:tcPr>
          <w:p w14:paraId="3BA23244"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26641</w:t>
            </w:r>
          </w:p>
        </w:tc>
        <w:tc>
          <w:tcPr>
            <w:tcW w:w="4243" w:type="dxa"/>
            <w:tcBorders>
              <w:top w:val="nil"/>
              <w:left w:val="nil"/>
              <w:bottom w:val="single" w:sz="8" w:space="0" w:color="auto"/>
              <w:right w:val="single" w:sz="8" w:space="0" w:color="auto"/>
            </w:tcBorders>
            <w:shd w:val="clear" w:color="auto" w:fill="auto"/>
            <w:vAlign w:val="center"/>
            <w:hideMark/>
          </w:tcPr>
          <w:p w14:paraId="586F1FF0"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SPECTRUM RENOVAVEIS SAS ESP</w:t>
            </w:r>
          </w:p>
        </w:tc>
        <w:tc>
          <w:tcPr>
            <w:tcW w:w="1196" w:type="dxa"/>
            <w:tcBorders>
              <w:top w:val="nil"/>
              <w:left w:val="nil"/>
              <w:bottom w:val="single" w:sz="8" w:space="0" w:color="auto"/>
              <w:right w:val="single" w:sz="8" w:space="0" w:color="auto"/>
            </w:tcBorders>
            <w:shd w:val="clear" w:color="auto" w:fill="auto"/>
            <w:vAlign w:val="center"/>
            <w:hideMark/>
          </w:tcPr>
          <w:p w14:paraId="3A290DBC"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5400AD14"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7C3EEEB2"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515AC6B4"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136</w:t>
            </w:r>
          </w:p>
        </w:tc>
        <w:tc>
          <w:tcPr>
            <w:tcW w:w="879" w:type="dxa"/>
            <w:tcBorders>
              <w:top w:val="nil"/>
              <w:left w:val="nil"/>
              <w:bottom w:val="single" w:sz="8" w:space="0" w:color="auto"/>
              <w:right w:val="single" w:sz="8" w:space="0" w:color="auto"/>
            </w:tcBorders>
            <w:shd w:val="clear" w:color="auto" w:fill="auto"/>
            <w:vAlign w:val="center"/>
            <w:hideMark/>
          </w:tcPr>
          <w:p w14:paraId="2285CE6B"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900.594.772</w:t>
            </w:r>
          </w:p>
        </w:tc>
        <w:tc>
          <w:tcPr>
            <w:tcW w:w="323" w:type="dxa"/>
            <w:tcBorders>
              <w:top w:val="nil"/>
              <w:left w:val="nil"/>
              <w:bottom w:val="single" w:sz="8" w:space="0" w:color="auto"/>
              <w:right w:val="single" w:sz="8" w:space="0" w:color="auto"/>
            </w:tcBorders>
            <w:shd w:val="clear" w:color="auto" w:fill="auto"/>
            <w:vAlign w:val="center"/>
            <w:hideMark/>
          </w:tcPr>
          <w:p w14:paraId="024CAF59"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0</w:t>
            </w:r>
          </w:p>
        </w:tc>
        <w:tc>
          <w:tcPr>
            <w:tcW w:w="505" w:type="dxa"/>
            <w:tcBorders>
              <w:top w:val="nil"/>
              <w:left w:val="nil"/>
              <w:bottom w:val="single" w:sz="8" w:space="0" w:color="auto"/>
              <w:right w:val="single" w:sz="8" w:space="0" w:color="auto"/>
            </w:tcBorders>
            <w:shd w:val="clear" w:color="auto" w:fill="auto"/>
            <w:vAlign w:val="center"/>
            <w:hideMark/>
          </w:tcPr>
          <w:p w14:paraId="52EF9FF4"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60670</w:t>
            </w:r>
          </w:p>
        </w:tc>
        <w:tc>
          <w:tcPr>
            <w:tcW w:w="4243" w:type="dxa"/>
            <w:tcBorders>
              <w:top w:val="nil"/>
              <w:left w:val="nil"/>
              <w:bottom w:val="single" w:sz="8" w:space="0" w:color="auto"/>
              <w:right w:val="single" w:sz="8" w:space="0" w:color="auto"/>
            </w:tcBorders>
            <w:shd w:val="clear" w:color="auto" w:fill="auto"/>
            <w:vAlign w:val="center"/>
            <w:hideMark/>
          </w:tcPr>
          <w:p w14:paraId="4DD83D71"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4E GROUP SAS ESP</w:t>
            </w:r>
          </w:p>
        </w:tc>
        <w:tc>
          <w:tcPr>
            <w:tcW w:w="1196" w:type="dxa"/>
            <w:tcBorders>
              <w:top w:val="nil"/>
              <w:left w:val="nil"/>
              <w:bottom w:val="single" w:sz="8" w:space="0" w:color="auto"/>
              <w:right w:val="single" w:sz="8" w:space="0" w:color="auto"/>
            </w:tcBorders>
            <w:shd w:val="clear" w:color="auto" w:fill="auto"/>
            <w:vAlign w:val="center"/>
            <w:hideMark/>
          </w:tcPr>
          <w:p w14:paraId="7BB9F4CF"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27F1A475"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32E0E4E9"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15582CD6"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137</w:t>
            </w:r>
          </w:p>
        </w:tc>
        <w:tc>
          <w:tcPr>
            <w:tcW w:w="879" w:type="dxa"/>
            <w:tcBorders>
              <w:top w:val="nil"/>
              <w:left w:val="nil"/>
              <w:bottom w:val="single" w:sz="8" w:space="0" w:color="auto"/>
              <w:right w:val="single" w:sz="8" w:space="0" w:color="auto"/>
            </w:tcBorders>
            <w:shd w:val="clear" w:color="auto" w:fill="auto"/>
            <w:vAlign w:val="center"/>
            <w:hideMark/>
          </w:tcPr>
          <w:p w14:paraId="72BCBF1E"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900.604.898</w:t>
            </w:r>
          </w:p>
        </w:tc>
        <w:tc>
          <w:tcPr>
            <w:tcW w:w="323" w:type="dxa"/>
            <w:tcBorders>
              <w:top w:val="nil"/>
              <w:left w:val="nil"/>
              <w:bottom w:val="single" w:sz="8" w:space="0" w:color="auto"/>
              <w:right w:val="single" w:sz="8" w:space="0" w:color="auto"/>
            </w:tcBorders>
            <w:shd w:val="clear" w:color="auto" w:fill="auto"/>
            <w:vAlign w:val="center"/>
            <w:hideMark/>
          </w:tcPr>
          <w:p w14:paraId="4DFCD6A3"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4</w:t>
            </w:r>
          </w:p>
        </w:tc>
        <w:tc>
          <w:tcPr>
            <w:tcW w:w="505" w:type="dxa"/>
            <w:tcBorders>
              <w:top w:val="nil"/>
              <w:left w:val="nil"/>
              <w:bottom w:val="single" w:sz="8" w:space="0" w:color="auto"/>
              <w:right w:val="single" w:sz="8" w:space="0" w:color="auto"/>
            </w:tcBorders>
            <w:shd w:val="clear" w:color="auto" w:fill="auto"/>
            <w:vAlign w:val="center"/>
            <w:hideMark/>
          </w:tcPr>
          <w:p w14:paraId="77C3050D"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50424</w:t>
            </w:r>
          </w:p>
        </w:tc>
        <w:tc>
          <w:tcPr>
            <w:tcW w:w="4243" w:type="dxa"/>
            <w:tcBorders>
              <w:top w:val="nil"/>
              <w:left w:val="nil"/>
              <w:bottom w:val="single" w:sz="8" w:space="0" w:color="auto"/>
              <w:right w:val="single" w:sz="8" w:space="0" w:color="auto"/>
            </w:tcBorders>
            <w:shd w:val="clear" w:color="auto" w:fill="auto"/>
            <w:vAlign w:val="center"/>
            <w:hideMark/>
          </w:tcPr>
          <w:p w14:paraId="0FA5BBC3" w14:textId="77777777" w:rsidR="006E3CAD" w:rsidRPr="00AD4E79" w:rsidRDefault="006E3CAD" w:rsidP="00D22441">
            <w:pPr>
              <w:jc w:val="left"/>
              <w:rPr>
                <w:rFonts w:ascii="Arial Narrow" w:hAnsi="Arial Narrow" w:cs="Arial"/>
                <w:spacing w:val="0"/>
                <w:sz w:val="16"/>
                <w:szCs w:val="16"/>
                <w:lang w:val="en-GB" w:eastAsia="es-CO"/>
              </w:rPr>
            </w:pPr>
            <w:r w:rsidRPr="00AD4E79">
              <w:rPr>
                <w:rFonts w:ascii="Arial Narrow" w:hAnsi="Arial Narrow" w:cs="Arial"/>
                <w:spacing w:val="0"/>
                <w:sz w:val="16"/>
                <w:szCs w:val="16"/>
                <w:lang w:val="en-GB" w:eastAsia="es-CO"/>
              </w:rPr>
              <w:t>TECHNOELITE GREEN ENERGY S.A.S. E.S.P.</w:t>
            </w:r>
          </w:p>
        </w:tc>
        <w:tc>
          <w:tcPr>
            <w:tcW w:w="1196" w:type="dxa"/>
            <w:tcBorders>
              <w:top w:val="nil"/>
              <w:left w:val="nil"/>
              <w:bottom w:val="single" w:sz="8" w:space="0" w:color="auto"/>
              <w:right w:val="single" w:sz="8" w:space="0" w:color="auto"/>
            </w:tcBorders>
            <w:shd w:val="clear" w:color="auto" w:fill="auto"/>
            <w:vAlign w:val="center"/>
            <w:hideMark/>
          </w:tcPr>
          <w:p w14:paraId="6420DB04"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5B7F049D"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SIN REPORTE AL SUI</w:t>
            </w:r>
          </w:p>
        </w:tc>
      </w:tr>
      <w:tr w:rsidR="00AD4E79" w:rsidRPr="00AD4E79" w14:paraId="68FC00F0" w14:textId="77777777" w:rsidTr="00AD4E79">
        <w:trPr>
          <w:trHeight w:val="411"/>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78BA8B5E"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138</w:t>
            </w:r>
          </w:p>
        </w:tc>
        <w:tc>
          <w:tcPr>
            <w:tcW w:w="879" w:type="dxa"/>
            <w:tcBorders>
              <w:top w:val="nil"/>
              <w:left w:val="nil"/>
              <w:bottom w:val="single" w:sz="8" w:space="0" w:color="auto"/>
              <w:right w:val="single" w:sz="8" w:space="0" w:color="auto"/>
            </w:tcBorders>
            <w:shd w:val="clear" w:color="auto" w:fill="auto"/>
            <w:vAlign w:val="center"/>
            <w:hideMark/>
          </w:tcPr>
          <w:p w14:paraId="2781955A"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900.646.458</w:t>
            </w:r>
          </w:p>
        </w:tc>
        <w:tc>
          <w:tcPr>
            <w:tcW w:w="323" w:type="dxa"/>
            <w:tcBorders>
              <w:top w:val="nil"/>
              <w:left w:val="nil"/>
              <w:bottom w:val="single" w:sz="8" w:space="0" w:color="auto"/>
              <w:right w:val="single" w:sz="8" w:space="0" w:color="auto"/>
            </w:tcBorders>
            <w:shd w:val="clear" w:color="auto" w:fill="auto"/>
            <w:vAlign w:val="center"/>
            <w:hideMark/>
          </w:tcPr>
          <w:p w14:paraId="314B6F71"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7</w:t>
            </w:r>
          </w:p>
        </w:tc>
        <w:tc>
          <w:tcPr>
            <w:tcW w:w="505" w:type="dxa"/>
            <w:tcBorders>
              <w:top w:val="nil"/>
              <w:left w:val="nil"/>
              <w:bottom w:val="single" w:sz="8" w:space="0" w:color="auto"/>
              <w:right w:val="single" w:sz="8" w:space="0" w:color="auto"/>
            </w:tcBorders>
            <w:shd w:val="clear" w:color="auto" w:fill="auto"/>
            <w:vAlign w:val="center"/>
            <w:hideMark/>
          </w:tcPr>
          <w:p w14:paraId="35FF2269"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61570</w:t>
            </w:r>
          </w:p>
        </w:tc>
        <w:tc>
          <w:tcPr>
            <w:tcW w:w="4243" w:type="dxa"/>
            <w:tcBorders>
              <w:top w:val="nil"/>
              <w:left w:val="nil"/>
              <w:bottom w:val="single" w:sz="8" w:space="0" w:color="auto"/>
              <w:right w:val="single" w:sz="8" w:space="0" w:color="auto"/>
            </w:tcBorders>
            <w:shd w:val="clear" w:color="auto" w:fill="auto"/>
            <w:vAlign w:val="center"/>
            <w:hideMark/>
          </w:tcPr>
          <w:p w14:paraId="17D7E040"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PEQUEÑA CENTRAL HIDROELECTRICA LAS VIOLETAS S.A.S. E.S.P.</w:t>
            </w:r>
          </w:p>
        </w:tc>
        <w:tc>
          <w:tcPr>
            <w:tcW w:w="1196" w:type="dxa"/>
            <w:tcBorders>
              <w:top w:val="nil"/>
              <w:left w:val="nil"/>
              <w:bottom w:val="single" w:sz="8" w:space="0" w:color="auto"/>
              <w:right w:val="single" w:sz="8" w:space="0" w:color="auto"/>
            </w:tcBorders>
            <w:shd w:val="clear" w:color="auto" w:fill="auto"/>
            <w:vAlign w:val="center"/>
            <w:hideMark/>
          </w:tcPr>
          <w:p w14:paraId="4FC2C360"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7DCE28B1"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SIN REPORTE AL SUI</w:t>
            </w:r>
          </w:p>
        </w:tc>
      </w:tr>
      <w:tr w:rsidR="00AD4E79" w:rsidRPr="00AD4E79" w14:paraId="27169BFF"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26BCF418"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139</w:t>
            </w:r>
          </w:p>
        </w:tc>
        <w:tc>
          <w:tcPr>
            <w:tcW w:w="879" w:type="dxa"/>
            <w:tcBorders>
              <w:top w:val="nil"/>
              <w:left w:val="nil"/>
              <w:bottom w:val="single" w:sz="8" w:space="0" w:color="auto"/>
              <w:right w:val="single" w:sz="8" w:space="0" w:color="auto"/>
            </w:tcBorders>
            <w:shd w:val="clear" w:color="auto" w:fill="auto"/>
            <w:vAlign w:val="center"/>
            <w:hideMark/>
          </w:tcPr>
          <w:p w14:paraId="39ED0EB1"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900.652.334</w:t>
            </w:r>
          </w:p>
        </w:tc>
        <w:tc>
          <w:tcPr>
            <w:tcW w:w="323" w:type="dxa"/>
            <w:tcBorders>
              <w:top w:val="nil"/>
              <w:left w:val="nil"/>
              <w:bottom w:val="single" w:sz="8" w:space="0" w:color="auto"/>
              <w:right w:val="single" w:sz="8" w:space="0" w:color="auto"/>
            </w:tcBorders>
            <w:shd w:val="clear" w:color="auto" w:fill="auto"/>
            <w:vAlign w:val="center"/>
            <w:hideMark/>
          </w:tcPr>
          <w:p w14:paraId="56596B33"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7</w:t>
            </w:r>
          </w:p>
        </w:tc>
        <w:tc>
          <w:tcPr>
            <w:tcW w:w="505" w:type="dxa"/>
            <w:tcBorders>
              <w:top w:val="nil"/>
              <w:left w:val="nil"/>
              <w:bottom w:val="single" w:sz="8" w:space="0" w:color="auto"/>
              <w:right w:val="single" w:sz="8" w:space="0" w:color="auto"/>
            </w:tcBorders>
            <w:shd w:val="clear" w:color="auto" w:fill="auto"/>
            <w:vAlign w:val="center"/>
            <w:hideMark/>
          </w:tcPr>
          <w:p w14:paraId="3F7267A2"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27631</w:t>
            </w:r>
          </w:p>
        </w:tc>
        <w:tc>
          <w:tcPr>
            <w:tcW w:w="4243" w:type="dxa"/>
            <w:tcBorders>
              <w:top w:val="nil"/>
              <w:left w:val="nil"/>
              <w:bottom w:val="single" w:sz="8" w:space="0" w:color="auto"/>
              <w:right w:val="single" w:sz="8" w:space="0" w:color="auto"/>
            </w:tcBorders>
            <w:shd w:val="clear" w:color="auto" w:fill="auto"/>
            <w:vAlign w:val="center"/>
            <w:hideMark/>
          </w:tcPr>
          <w:p w14:paraId="22FE7F1B"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RIOPAILA ENERGÍA SAS ESP</w:t>
            </w:r>
          </w:p>
        </w:tc>
        <w:tc>
          <w:tcPr>
            <w:tcW w:w="1196" w:type="dxa"/>
            <w:tcBorders>
              <w:top w:val="nil"/>
              <w:left w:val="nil"/>
              <w:bottom w:val="single" w:sz="8" w:space="0" w:color="auto"/>
              <w:right w:val="single" w:sz="8" w:space="0" w:color="auto"/>
            </w:tcBorders>
            <w:shd w:val="clear" w:color="auto" w:fill="auto"/>
            <w:vAlign w:val="center"/>
            <w:hideMark/>
          </w:tcPr>
          <w:p w14:paraId="185EECB4"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0CAB6A38"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3F92B9A2"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296B3B36"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140</w:t>
            </w:r>
          </w:p>
        </w:tc>
        <w:tc>
          <w:tcPr>
            <w:tcW w:w="879" w:type="dxa"/>
            <w:tcBorders>
              <w:top w:val="nil"/>
              <w:left w:val="nil"/>
              <w:bottom w:val="single" w:sz="8" w:space="0" w:color="auto"/>
              <w:right w:val="single" w:sz="8" w:space="0" w:color="auto"/>
            </w:tcBorders>
            <w:shd w:val="clear" w:color="auto" w:fill="auto"/>
            <w:vAlign w:val="center"/>
            <w:hideMark/>
          </w:tcPr>
          <w:p w14:paraId="11CB5B97"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900.654.403</w:t>
            </w:r>
          </w:p>
        </w:tc>
        <w:tc>
          <w:tcPr>
            <w:tcW w:w="323" w:type="dxa"/>
            <w:tcBorders>
              <w:top w:val="nil"/>
              <w:left w:val="nil"/>
              <w:bottom w:val="single" w:sz="8" w:space="0" w:color="auto"/>
              <w:right w:val="single" w:sz="8" w:space="0" w:color="auto"/>
            </w:tcBorders>
            <w:shd w:val="clear" w:color="auto" w:fill="auto"/>
            <w:vAlign w:val="center"/>
            <w:hideMark/>
          </w:tcPr>
          <w:p w14:paraId="41856295"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6</w:t>
            </w:r>
          </w:p>
        </w:tc>
        <w:tc>
          <w:tcPr>
            <w:tcW w:w="505" w:type="dxa"/>
            <w:tcBorders>
              <w:top w:val="nil"/>
              <w:left w:val="nil"/>
              <w:bottom w:val="single" w:sz="8" w:space="0" w:color="auto"/>
              <w:right w:val="single" w:sz="8" w:space="0" w:color="auto"/>
            </w:tcBorders>
            <w:shd w:val="clear" w:color="auto" w:fill="auto"/>
            <w:vAlign w:val="center"/>
            <w:hideMark/>
          </w:tcPr>
          <w:p w14:paraId="3523C6D8"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44956</w:t>
            </w:r>
          </w:p>
        </w:tc>
        <w:tc>
          <w:tcPr>
            <w:tcW w:w="4243" w:type="dxa"/>
            <w:tcBorders>
              <w:top w:val="nil"/>
              <w:left w:val="nil"/>
              <w:bottom w:val="single" w:sz="8" w:space="0" w:color="auto"/>
              <w:right w:val="single" w:sz="8" w:space="0" w:color="auto"/>
            </w:tcBorders>
            <w:shd w:val="clear" w:color="auto" w:fill="auto"/>
            <w:vAlign w:val="center"/>
            <w:hideMark/>
          </w:tcPr>
          <w:p w14:paraId="389028B5"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VOLTAJE EMPRESARIAL SAS ESP</w:t>
            </w:r>
          </w:p>
        </w:tc>
        <w:tc>
          <w:tcPr>
            <w:tcW w:w="1196" w:type="dxa"/>
            <w:tcBorders>
              <w:top w:val="nil"/>
              <w:left w:val="nil"/>
              <w:bottom w:val="single" w:sz="8" w:space="0" w:color="auto"/>
              <w:right w:val="single" w:sz="8" w:space="0" w:color="auto"/>
            </w:tcBorders>
            <w:shd w:val="clear" w:color="auto" w:fill="auto"/>
            <w:vAlign w:val="center"/>
            <w:hideMark/>
          </w:tcPr>
          <w:p w14:paraId="0D76723C"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14093068"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262FF9BC"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7AE84A00"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141</w:t>
            </w:r>
          </w:p>
        </w:tc>
        <w:tc>
          <w:tcPr>
            <w:tcW w:w="879" w:type="dxa"/>
            <w:tcBorders>
              <w:top w:val="nil"/>
              <w:left w:val="nil"/>
              <w:bottom w:val="single" w:sz="8" w:space="0" w:color="auto"/>
              <w:right w:val="single" w:sz="8" w:space="0" w:color="auto"/>
            </w:tcBorders>
            <w:shd w:val="clear" w:color="auto" w:fill="auto"/>
            <w:vAlign w:val="center"/>
            <w:hideMark/>
          </w:tcPr>
          <w:p w14:paraId="3C6BCD26"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900.660.650</w:t>
            </w:r>
          </w:p>
        </w:tc>
        <w:tc>
          <w:tcPr>
            <w:tcW w:w="323" w:type="dxa"/>
            <w:tcBorders>
              <w:top w:val="nil"/>
              <w:left w:val="nil"/>
              <w:bottom w:val="single" w:sz="8" w:space="0" w:color="auto"/>
              <w:right w:val="single" w:sz="8" w:space="0" w:color="auto"/>
            </w:tcBorders>
            <w:shd w:val="clear" w:color="auto" w:fill="auto"/>
            <w:vAlign w:val="center"/>
            <w:hideMark/>
          </w:tcPr>
          <w:p w14:paraId="0EA9FB0E"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3</w:t>
            </w:r>
          </w:p>
        </w:tc>
        <w:tc>
          <w:tcPr>
            <w:tcW w:w="505" w:type="dxa"/>
            <w:tcBorders>
              <w:top w:val="nil"/>
              <w:left w:val="nil"/>
              <w:bottom w:val="single" w:sz="8" w:space="0" w:color="auto"/>
              <w:right w:val="single" w:sz="8" w:space="0" w:color="auto"/>
            </w:tcBorders>
            <w:shd w:val="clear" w:color="auto" w:fill="auto"/>
            <w:vAlign w:val="center"/>
            <w:hideMark/>
          </w:tcPr>
          <w:p w14:paraId="2A11102B"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39854</w:t>
            </w:r>
          </w:p>
        </w:tc>
        <w:tc>
          <w:tcPr>
            <w:tcW w:w="4243" w:type="dxa"/>
            <w:tcBorders>
              <w:top w:val="nil"/>
              <w:left w:val="nil"/>
              <w:bottom w:val="single" w:sz="8" w:space="0" w:color="auto"/>
              <w:right w:val="single" w:sz="8" w:space="0" w:color="auto"/>
            </w:tcBorders>
            <w:shd w:val="clear" w:color="auto" w:fill="auto"/>
            <w:vAlign w:val="center"/>
            <w:hideMark/>
          </w:tcPr>
          <w:p w14:paraId="6BA6116B"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GENERADORA CANTAYUS SAS ESP</w:t>
            </w:r>
          </w:p>
        </w:tc>
        <w:tc>
          <w:tcPr>
            <w:tcW w:w="1196" w:type="dxa"/>
            <w:tcBorders>
              <w:top w:val="nil"/>
              <w:left w:val="nil"/>
              <w:bottom w:val="single" w:sz="8" w:space="0" w:color="auto"/>
              <w:right w:val="single" w:sz="8" w:space="0" w:color="auto"/>
            </w:tcBorders>
            <w:shd w:val="clear" w:color="auto" w:fill="auto"/>
            <w:vAlign w:val="center"/>
            <w:hideMark/>
          </w:tcPr>
          <w:p w14:paraId="5CF720DE"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0FB4CD2D"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00E11CE5" w14:textId="77777777" w:rsidTr="00AD4E79">
        <w:trPr>
          <w:trHeight w:val="387"/>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198C7897"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142</w:t>
            </w:r>
          </w:p>
        </w:tc>
        <w:tc>
          <w:tcPr>
            <w:tcW w:w="879" w:type="dxa"/>
            <w:tcBorders>
              <w:top w:val="nil"/>
              <w:left w:val="nil"/>
              <w:bottom w:val="single" w:sz="8" w:space="0" w:color="auto"/>
              <w:right w:val="single" w:sz="8" w:space="0" w:color="auto"/>
            </w:tcBorders>
            <w:shd w:val="clear" w:color="auto" w:fill="auto"/>
            <w:vAlign w:val="center"/>
            <w:hideMark/>
          </w:tcPr>
          <w:p w14:paraId="3CFB03C9"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900.662.075</w:t>
            </w:r>
          </w:p>
        </w:tc>
        <w:tc>
          <w:tcPr>
            <w:tcW w:w="323" w:type="dxa"/>
            <w:tcBorders>
              <w:top w:val="nil"/>
              <w:left w:val="nil"/>
              <w:bottom w:val="single" w:sz="8" w:space="0" w:color="auto"/>
              <w:right w:val="single" w:sz="8" w:space="0" w:color="auto"/>
            </w:tcBorders>
            <w:shd w:val="clear" w:color="auto" w:fill="auto"/>
            <w:vAlign w:val="center"/>
            <w:hideMark/>
          </w:tcPr>
          <w:p w14:paraId="04CD0213"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7</w:t>
            </w:r>
          </w:p>
        </w:tc>
        <w:tc>
          <w:tcPr>
            <w:tcW w:w="505" w:type="dxa"/>
            <w:tcBorders>
              <w:top w:val="nil"/>
              <w:left w:val="nil"/>
              <w:bottom w:val="single" w:sz="8" w:space="0" w:color="auto"/>
              <w:right w:val="single" w:sz="8" w:space="0" w:color="auto"/>
            </w:tcBorders>
            <w:shd w:val="clear" w:color="auto" w:fill="auto"/>
            <w:vAlign w:val="center"/>
            <w:hideMark/>
          </w:tcPr>
          <w:p w14:paraId="47D55464"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26717</w:t>
            </w:r>
          </w:p>
        </w:tc>
        <w:tc>
          <w:tcPr>
            <w:tcW w:w="4243" w:type="dxa"/>
            <w:tcBorders>
              <w:top w:val="nil"/>
              <w:left w:val="nil"/>
              <w:bottom w:val="single" w:sz="8" w:space="0" w:color="auto"/>
              <w:right w:val="single" w:sz="8" w:space="0" w:color="auto"/>
            </w:tcBorders>
            <w:shd w:val="clear" w:color="auto" w:fill="auto"/>
            <w:vAlign w:val="center"/>
            <w:hideMark/>
          </w:tcPr>
          <w:p w14:paraId="5E1350BA"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EMPRESA DE SERVICIOS PUBLICOS DEL OCCIDENTE COLOMBIANO S.A.</w:t>
            </w:r>
          </w:p>
        </w:tc>
        <w:tc>
          <w:tcPr>
            <w:tcW w:w="1196" w:type="dxa"/>
            <w:tcBorders>
              <w:top w:val="nil"/>
              <w:left w:val="nil"/>
              <w:bottom w:val="single" w:sz="8" w:space="0" w:color="auto"/>
              <w:right w:val="single" w:sz="8" w:space="0" w:color="auto"/>
            </w:tcBorders>
            <w:shd w:val="clear" w:color="auto" w:fill="auto"/>
            <w:vAlign w:val="center"/>
            <w:hideMark/>
          </w:tcPr>
          <w:p w14:paraId="260CC597"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5304F969"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SIN REPORTE AL SUI</w:t>
            </w:r>
          </w:p>
        </w:tc>
      </w:tr>
      <w:tr w:rsidR="00AD4E79" w:rsidRPr="00AD4E79" w14:paraId="364BD347"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571E384F"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143</w:t>
            </w:r>
          </w:p>
        </w:tc>
        <w:tc>
          <w:tcPr>
            <w:tcW w:w="879" w:type="dxa"/>
            <w:tcBorders>
              <w:top w:val="nil"/>
              <w:left w:val="nil"/>
              <w:bottom w:val="single" w:sz="8" w:space="0" w:color="auto"/>
              <w:right w:val="single" w:sz="8" w:space="0" w:color="auto"/>
            </w:tcBorders>
            <w:shd w:val="clear" w:color="auto" w:fill="auto"/>
            <w:vAlign w:val="center"/>
            <w:hideMark/>
          </w:tcPr>
          <w:p w14:paraId="3D63149A"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900.667.590</w:t>
            </w:r>
          </w:p>
        </w:tc>
        <w:tc>
          <w:tcPr>
            <w:tcW w:w="323" w:type="dxa"/>
            <w:tcBorders>
              <w:top w:val="nil"/>
              <w:left w:val="nil"/>
              <w:bottom w:val="single" w:sz="8" w:space="0" w:color="auto"/>
              <w:right w:val="single" w:sz="8" w:space="0" w:color="auto"/>
            </w:tcBorders>
            <w:shd w:val="clear" w:color="auto" w:fill="auto"/>
            <w:vAlign w:val="center"/>
            <w:hideMark/>
          </w:tcPr>
          <w:p w14:paraId="1D1A3E73"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w:t>
            </w:r>
          </w:p>
        </w:tc>
        <w:tc>
          <w:tcPr>
            <w:tcW w:w="505" w:type="dxa"/>
            <w:tcBorders>
              <w:top w:val="nil"/>
              <w:left w:val="nil"/>
              <w:bottom w:val="single" w:sz="8" w:space="0" w:color="auto"/>
              <w:right w:val="single" w:sz="8" w:space="0" w:color="auto"/>
            </w:tcBorders>
            <w:shd w:val="clear" w:color="auto" w:fill="auto"/>
            <w:vAlign w:val="center"/>
            <w:hideMark/>
          </w:tcPr>
          <w:p w14:paraId="12DA87D7"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26730</w:t>
            </w:r>
          </w:p>
        </w:tc>
        <w:tc>
          <w:tcPr>
            <w:tcW w:w="4243" w:type="dxa"/>
            <w:tcBorders>
              <w:top w:val="nil"/>
              <w:left w:val="nil"/>
              <w:bottom w:val="single" w:sz="8" w:space="0" w:color="auto"/>
              <w:right w:val="single" w:sz="8" w:space="0" w:color="auto"/>
            </w:tcBorders>
            <w:shd w:val="clear" w:color="auto" w:fill="auto"/>
            <w:vAlign w:val="center"/>
            <w:hideMark/>
          </w:tcPr>
          <w:p w14:paraId="6499F036"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ISA INTERCOLOMBIA S.A. E.</w:t>
            </w:r>
            <w:proofErr w:type="gramStart"/>
            <w:r w:rsidRPr="00AD4E79">
              <w:rPr>
                <w:rFonts w:ascii="Arial Narrow" w:hAnsi="Arial Narrow" w:cs="Arial"/>
                <w:spacing w:val="0"/>
                <w:sz w:val="16"/>
                <w:szCs w:val="16"/>
                <w:lang w:eastAsia="es-CO"/>
              </w:rPr>
              <w:t>S.P</w:t>
            </w:r>
            <w:proofErr w:type="gramEnd"/>
          </w:p>
        </w:tc>
        <w:tc>
          <w:tcPr>
            <w:tcW w:w="1196" w:type="dxa"/>
            <w:tcBorders>
              <w:top w:val="nil"/>
              <w:left w:val="nil"/>
              <w:bottom w:val="single" w:sz="8" w:space="0" w:color="auto"/>
              <w:right w:val="single" w:sz="8" w:space="0" w:color="auto"/>
            </w:tcBorders>
            <w:shd w:val="clear" w:color="auto" w:fill="auto"/>
            <w:vAlign w:val="center"/>
            <w:hideMark/>
          </w:tcPr>
          <w:p w14:paraId="00A12ECC"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428D0028"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39F376BA"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15F51A72"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144</w:t>
            </w:r>
          </w:p>
        </w:tc>
        <w:tc>
          <w:tcPr>
            <w:tcW w:w="879" w:type="dxa"/>
            <w:tcBorders>
              <w:top w:val="nil"/>
              <w:left w:val="nil"/>
              <w:bottom w:val="single" w:sz="8" w:space="0" w:color="auto"/>
              <w:right w:val="single" w:sz="8" w:space="0" w:color="auto"/>
            </w:tcBorders>
            <w:shd w:val="clear" w:color="auto" w:fill="auto"/>
            <w:vAlign w:val="center"/>
            <w:hideMark/>
          </w:tcPr>
          <w:p w14:paraId="77043E1C"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900.677.732</w:t>
            </w:r>
          </w:p>
        </w:tc>
        <w:tc>
          <w:tcPr>
            <w:tcW w:w="323" w:type="dxa"/>
            <w:tcBorders>
              <w:top w:val="nil"/>
              <w:left w:val="nil"/>
              <w:bottom w:val="single" w:sz="8" w:space="0" w:color="auto"/>
              <w:right w:val="single" w:sz="8" w:space="0" w:color="auto"/>
            </w:tcBorders>
            <w:shd w:val="clear" w:color="auto" w:fill="auto"/>
            <w:vAlign w:val="center"/>
            <w:hideMark/>
          </w:tcPr>
          <w:p w14:paraId="78CFA8F0"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3</w:t>
            </w:r>
          </w:p>
        </w:tc>
        <w:tc>
          <w:tcPr>
            <w:tcW w:w="505" w:type="dxa"/>
            <w:tcBorders>
              <w:top w:val="nil"/>
              <w:left w:val="nil"/>
              <w:bottom w:val="single" w:sz="8" w:space="0" w:color="auto"/>
              <w:right w:val="single" w:sz="8" w:space="0" w:color="auto"/>
            </w:tcBorders>
            <w:shd w:val="clear" w:color="auto" w:fill="auto"/>
            <w:vAlign w:val="center"/>
            <w:hideMark/>
          </w:tcPr>
          <w:p w14:paraId="5190E743"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27691</w:t>
            </w:r>
          </w:p>
        </w:tc>
        <w:tc>
          <w:tcPr>
            <w:tcW w:w="4243" w:type="dxa"/>
            <w:tcBorders>
              <w:top w:val="nil"/>
              <w:left w:val="nil"/>
              <w:bottom w:val="single" w:sz="8" w:space="0" w:color="auto"/>
              <w:right w:val="single" w:sz="8" w:space="0" w:color="auto"/>
            </w:tcBorders>
            <w:shd w:val="clear" w:color="auto" w:fill="auto"/>
            <w:vAlign w:val="center"/>
            <w:hideMark/>
          </w:tcPr>
          <w:p w14:paraId="3F04DAB8"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QI ENERGY SAS ESP</w:t>
            </w:r>
          </w:p>
        </w:tc>
        <w:tc>
          <w:tcPr>
            <w:tcW w:w="1196" w:type="dxa"/>
            <w:tcBorders>
              <w:top w:val="nil"/>
              <w:left w:val="nil"/>
              <w:bottom w:val="single" w:sz="8" w:space="0" w:color="auto"/>
              <w:right w:val="single" w:sz="8" w:space="0" w:color="auto"/>
            </w:tcBorders>
            <w:shd w:val="clear" w:color="auto" w:fill="auto"/>
            <w:vAlign w:val="center"/>
            <w:hideMark/>
          </w:tcPr>
          <w:p w14:paraId="38479578"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2D3DE128"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68DFB9DB"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4C1E8414"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145</w:t>
            </w:r>
          </w:p>
        </w:tc>
        <w:tc>
          <w:tcPr>
            <w:tcW w:w="879" w:type="dxa"/>
            <w:tcBorders>
              <w:top w:val="nil"/>
              <w:left w:val="nil"/>
              <w:bottom w:val="single" w:sz="8" w:space="0" w:color="auto"/>
              <w:right w:val="single" w:sz="8" w:space="0" w:color="auto"/>
            </w:tcBorders>
            <w:shd w:val="clear" w:color="auto" w:fill="auto"/>
            <w:vAlign w:val="center"/>
            <w:hideMark/>
          </w:tcPr>
          <w:p w14:paraId="49BDCA2F"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900.681.653</w:t>
            </w:r>
          </w:p>
        </w:tc>
        <w:tc>
          <w:tcPr>
            <w:tcW w:w="323" w:type="dxa"/>
            <w:tcBorders>
              <w:top w:val="nil"/>
              <w:left w:val="nil"/>
              <w:bottom w:val="single" w:sz="8" w:space="0" w:color="auto"/>
              <w:right w:val="single" w:sz="8" w:space="0" w:color="auto"/>
            </w:tcBorders>
            <w:shd w:val="clear" w:color="auto" w:fill="auto"/>
            <w:vAlign w:val="center"/>
            <w:hideMark/>
          </w:tcPr>
          <w:p w14:paraId="11023B87"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5</w:t>
            </w:r>
          </w:p>
        </w:tc>
        <w:tc>
          <w:tcPr>
            <w:tcW w:w="505" w:type="dxa"/>
            <w:tcBorders>
              <w:top w:val="nil"/>
              <w:left w:val="nil"/>
              <w:bottom w:val="single" w:sz="8" w:space="0" w:color="auto"/>
              <w:right w:val="single" w:sz="8" w:space="0" w:color="auto"/>
            </w:tcBorders>
            <w:shd w:val="clear" w:color="auto" w:fill="auto"/>
            <w:vAlign w:val="center"/>
            <w:hideMark/>
          </w:tcPr>
          <w:p w14:paraId="1DB26457"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46716</w:t>
            </w:r>
          </w:p>
        </w:tc>
        <w:tc>
          <w:tcPr>
            <w:tcW w:w="4243" w:type="dxa"/>
            <w:tcBorders>
              <w:top w:val="nil"/>
              <w:left w:val="nil"/>
              <w:bottom w:val="single" w:sz="8" w:space="0" w:color="auto"/>
              <w:right w:val="single" w:sz="8" w:space="0" w:color="auto"/>
            </w:tcBorders>
            <w:shd w:val="clear" w:color="auto" w:fill="auto"/>
            <w:vAlign w:val="center"/>
            <w:hideMark/>
          </w:tcPr>
          <w:p w14:paraId="5FC01D38"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Vientos del Norte S.A.S. E.S.P.</w:t>
            </w:r>
          </w:p>
        </w:tc>
        <w:tc>
          <w:tcPr>
            <w:tcW w:w="1196" w:type="dxa"/>
            <w:tcBorders>
              <w:top w:val="nil"/>
              <w:left w:val="nil"/>
              <w:bottom w:val="single" w:sz="8" w:space="0" w:color="auto"/>
              <w:right w:val="single" w:sz="8" w:space="0" w:color="auto"/>
            </w:tcBorders>
            <w:shd w:val="clear" w:color="auto" w:fill="auto"/>
            <w:vAlign w:val="center"/>
            <w:hideMark/>
          </w:tcPr>
          <w:p w14:paraId="682DCF59"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407879A6"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19407FC9"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69E9FD9E"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146</w:t>
            </w:r>
          </w:p>
        </w:tc>
        <w:tc>
          <w:tcPr>
            <w:tcW w:w="879" w:type="dxa"/>
            <w:tcBorders>
              <w:top w:val="nil"/>
              <w:left w:val="nil"/>
              <w:bottom w:val="single" w:sz="8" w:space="0" w:color="auto"/>
              <w:right w:val="single" w:sz="8" w:space="0" w:color="auto"/>
            </w:tcBorders>
            <w:shd w:val="clear" w:color="auto" w:fill="auto"/>
            <w:vAlign w:val="center"/>
            <w:hideMark/>
          </w:tcPr>
          <w:p w14:paraId="50B3884A"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900.681.857</w:t>
            </w:r>
          </w:p>
        </w:tc>
        <w:tc>
          <w:tcPr>
            <w:tcW w:w="323" w:type="dxa"/>
            <w:tcBorders>
              <w:top w:val="nil"/>
              <w:left w:val="nil"/>
              <w:bottom w:val="single" w:sz="8" w:space="0" w:color="auto"/>
              <w:right w:val="single" w:sz="8" w:space="0" w:color="auto"/>
            </w:tcBorders>
            <w:shd w:val="clear" w:color="auto" w:fill="auto"/>
            <w:vAlign w:val="center"/>
            <w:hideMark/>
          </w:tcPr>
          <w:p w14:paraId="12805C52"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0</w:t>
            </w:r>
          </w:p>
        </w:tc>
        <w:tc>
          <w:tcPr>
            <w:tcW w:w="505" w:type="dxa"/>
            <w:tcBorders>
              <w:top w:val="nil"/>
              <w:left w:val="nil"/>
              <w:bottom w:val="single" w:sz="8" w:space="0" w:color="auto"/>
              <w:right w:val="single" w:sz="8" w:space="0" w:color="auto"/>
            </w:tcBorders>
            <w:shd w:val="clear" w:color="auto" w:fill="auto"/>
            <w:vAlign w:val="center"/>
            <w:hideMark/>
          </w:tcPr>
          <w:p w14:paraId="61627CAB"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46717</w:t>
            </w:r>
          </w:p>
        </w:tc>
        <w:tc>
          <w:tcPr>
            <w:tcW w:w="4243" w:type="dxa"/>
            <w:tcBorders>
              <w:top w:val="nil"/>
              <w:left w:val="nil"/>
              <w:bottom w:val="single" w:sz="8" w:space="0" w:color="auto"/>
              <w:right w:val="single" w:sz="8" w:space="0" w:color="auto"/>
            </w:tcBorders>
            <w:shd w:val="clear" w:color="auto" w:fill="auto"/>
            <w:vAlign w:val="center"/>
            <w:hideMark/>
          </w:tcPr>
          <w:p w14:paraId="1A55A5E2" w14:textId="77777777" w:rsidR="006E3CAD" w:rsidRPr="00AD4E79" w:rsidRDefault="006E3CAD" w:rsidP="00D22441">
            <w:pPr>
              <w:jc w:val="left"/>
              <w:rPr>
                <w:rFonts w:ascii="Arial Narrow" w:hAnsi="Arial Narrow" w:cs="Arial"/>
                <w:spacing w:val="0"/>
                <w:sz w:val="16"/>
                <w:szCs w:val="16"/>
                <w:lang w:eastAsia="es-CO"/>
              </w:rPr>
            </w:pPr>
            <w:proofErr w:type="spellStart"/>
            <w:r w:rsidRPr="00AD4E79">
              <w:rPr>
                <w:rFonts w:ascii="Arial Narrow" w:hAnsi="Arial Narrow" w:cs="Arial"/>
                <w:spacing w:val="0"/>
                <w:sz w:val="16"/>
                <w:szCs w:val="16"/>
                <w:lang w:eastAsia="es-CO"/>
              </w:rPr>
              <w:t>Eolos</w:t>
            </w:r>
            <w:proofErr w:type="spellEnd"/>
            <w:r w:rsidRPr="00AD4E79">
              <w:rPr>
                <w:rFonts w:ascii="Arial Narrow" w:hAnsi="Arial Narrow" w:cs="Arial"/>
                <w:spacing w:val="0"/>
                <w:sz w:val="16"/>
                <w:szCs w:val="16"/>
                <w:lang w:eastAsia="es-CO"/>
              </w:rPr>
              <w:t xml:space="preserve"> Energía S.A.S. E.S.P.</w:t>
            </w:r>
          </w:p>
        </w:tc>
        <w:tc>
          <w:tcPr>
            <w:tcW w:w="1196" w:type="dxa"/>
            <w:tcBorders>
              <w:top w:val="nil"/>
              <w:left w:val="nil"/>
              <w:bottom w:val="single" w:sz="8" w:space="0" w:color="auto"/>
              <w:right w:val="single" w:sz="8" w:space="0" w:color="auto"/>
            </w:tcBorders>
            <w:shd w:val="clear" w:color="auto" w:fill="auto"/>
            <w:vAlign w:val="center"/>
            <w:hideMark/>
          </w:tcPr>
          <w:p w14:paraId="62C988F2"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68978E71"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0028E324"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5A7309BA"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147</w:t>
            </w:r>
          </w:p>
        </w:tc>
        <w:tc>
          <w:tcPr>
            <w:tcW w:w="879" w:type="dxa"/>
            <w:tcBorders>
              <w:top w:val="nil"/>
              <w:left w:val="nil"/>
              <w:bottom w:val="single" w:sz="8" w:space="0" w:color="auto"/>
              <w:right w:val="single" w:sz="8" w:space="0" w:color="auto"/>
            </w:tcBorders>
            <w:shd w:val="clear" w:color="auto" w:fill="auto"/>
            <w:vAlign w:val="center"/>
            <w:hideMark/>
          </w:tcPr>
          <w:p w14:paraId="0A48F7E5"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900.691.280</w:t>
            </w:r>
          </w:p>
        </w:tc>
        <w:tc>
          <w:tcPr>
            <w:tcW w:w="323" w:type="dxa"/>
            <w:tcBorders>
              <w:top w:val="nil"/>
              <w:left w:val="nil"/>
              <w:bottom w:val="single" w:sz="8" w:space="0" w:color="auto"/>
              <w:right w:val="single" w:sz="8" w:space="0" w:color="auto"/>
            </w:tcBorders>
            <w:shd w:val="clear" w:color="auto" w:fill="auto"/>
            <w:vAlign w:val="center"/>
            <w:hideMark/>
          </w:tcPr>
          <w:p w14:paraId="2C5ABF12"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4</w:t>
            </w:r>
          </w:p>
        </w:tc>
        <w:tc>
          <w:tcPr>
            <w:tcW w:w="505" w:type="dxa"/>
            <w:tcBorders>
              <w:top w:val="nil"/>
              <w:left w:val="nil"/>
              <w:bottom w:val="single" w:sz="8" w:space="0" w:color="auto"/>
              <w:right w:val="single" w:sz="8" w:space="0" w:color="auto"/>
            </w:tcBorders>
            <w:shd w:val="clear" w:color="auto" w:fill="auto"/>
            <w:vAlign w:val="center"/>
            <w:hideMark/>
          </w:tcPr>
          <w:p w14:paraId="3060D5D4"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28491</w:t>
            </w:r>
          </w:p>
        </w:tc>
        <w:tc>
          <w:tcPr>
            <w:tcW w:w="4243" w:type="dxa"/>
            <w:tcBorders>
              <w:top w:val="nil"/>
              <w:left w:val="nil"/>
              <w:bottom w:val="single" w:sz="8" w:space="0" w:color="auto"/>
              <w:right w:val="single" w:sz="8" w:space="0" w:color="auto"/>
            </w:tcBorders>
            <w:shd w:val="clear" w:color="auto" w:fill="auto"/>
            <w:vAlign w:val="center"/>
            <w:hideMark/>
          </w:tcPr>
          <w:p w14:paraId="0DF7FA03"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NITRO ENERGY COLOMBIA S.A.S. E.S.P.</w:t>
            </w:r>
          </w:p>
        </w:tc>
        <w:tc>
          <w:tcPr>
            <w:tcW w:w="1196" w:type="dxa"/>
            <w:tcBorders>
              <w:top w:val="nil"/>
              <w:left w:val="nil"/>
              <w:bottom w:val="single" w:sz="8" w:space="0" w:color="auto"/>
              <w:right w:val="single" w:sz="8" w:space="0" w:color="auto"/>
            </w:tcBorders>
            <w:shd w:val="clear" w:color="auto" w:fill="auto"/>
            <w:vAlign w:val="center"/>
            <w:hideMark/>
          </w:tcPr>
          <w:p w14:paraId="7D3F1050"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7761DB59"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7934D903" w14:textId="77777777" w:rsidTr="00AD4E79">
        <w:trPr>
          <w:trHeight w:val="372"/>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3B9E8EA8"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148</w:t>
            </w:r>
          </w:p>
        </w:tc>
        <w:tc>
          <w:tcPr>
            <w:tcW w:w="879" w:type="dxa"/>
            <w:tcBorders>
              <w:top w:val="nil"/>
              <w:left w:val="nil"/>
              <w:bottom w:val="single" w:sz="8" w:space="0" w:color="auto"/>
              <w:right w:val="single" w:sz="8" w:space="0" w:color="auto"/>
            </w:tcBorders>
            <w:shd w:val="clear" w:color="auto" w:fill="auto"/>
            <w:vAlign w:val="center"/>
            <w:hideMark/>
          </w:tcPr>
          <w:p w14:paraId="4CD38DD0"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900.702.684</w:t>
            </w:r>
          </w:p>
        </w:tc>
        <w:tc>
          <w:tcPr>
            <w:tcW w:w="323" w:type="dxa"/>
            <w:tcBorders>
              <w:top w:val="nil"/>
              <w:left w:val="nil"/>
              <w:bottom w:val="single" w:sz="8" w:space="0" w:color="auto"/>
              <w:right w:val="single" w:sz="8" w:space="0" w:color="auto"/>
            </w:tcBorders>
            <w:shd w:val="clear" w:color="auto" w:fill="auto"/>
            <w:vAlign w:val="center"/>
            <w:hideMark/>
          </w:tcPr>
          <w:p w14:paraId="6AF43110"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5</w:t>
            </w:r>
          </w:p>
        </w:tc>
        <w:tc>
          <w:tcPr>
            <w:tcW w:w="505" w:type="dxa"/>
            <w:tcBorders>
              <w:top w:val="nil"/>
              <w:left w:val="nil"/>
              <w:bottom w:val="single" w:sz="8" w:space="0" w:color="auto"/>
              <w:right w:val="single" w:sz="8" w:space="0" w:color="auto"/>
            </w:tcBorders>
            <w:shd w:val="clear" w:color="auto" w:fill="auto"/>
            <w:vAlign w:val="center"/>
            <w:hideMark/>
          </w:tcPr>
          <w:p w14:paraId="350B1E1C"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26810</w:t>
            </w:r>
          </w:p>
        </w:tc>
        <w:tc>
          <w:tcPr>
            <w:tcW w:w="4243" w:type="dxa"/>
            <w:tcBorders>
              <w:top w:val="nil"/>
              <w:left w:val="nil"/>
              <w:bottom w:val="single" w:sz="8" w:space="0" w:color="auto"/>
              <w:right w:val="single" w:sz="8" w:space="0" w:color="auto"/>
            </w:tcBorders>
            <w:shd w:val="clear" w:color="auto" w:fill="auto"/>
            <w:vAlign w:val="center"/>
            <w:hideMark/>
          </w:tcPr>
          <w:p w14:paraId="068EF636"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EMPRESA ASOCIATIVA DE TRABAJO ENERGIA DE OLAYA HERRERA EAT ENEROLAYAHERRERA E.S.P.</w:t>
            </w:r>
          </w:p>
        </w:tc>
        <w:tc>
          <w:tcPr>
            <w:tcW w:w="1196" w:type="dxa"/>
            <w:tcBorders>
              <w:top w:val="nil"/>
              <w:left w:val="nil"/>
              <w:bottom w:val="single" w:sz="8" w:space="0" w:color="auto"/>
              <w:right w:val="single" w:sz="8" w:space="0" w:color="auto"/>
            </w:tcBorders>
            <w:shd w:val="clear" w:color="auto" w:fill="auto"/>
            <w:vAlign w:val="center"/>
            <w:hideMark/>
          </w:tcPr>
          <w:p w14:paraId="35882785"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4360F21B"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SIN REPORTE AL SUI</w:t>
            </w:r>
          </w:p>
        </w:tc>
      </w:tr>
      <w:tr w:rsidR="00AD4E79" w:rsidRPr="00AD4E79" w14:paraId="5DF9D31E"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7B7634CF"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149</w:t>
            </w:r>
          </w:p>
        </w:tc>
        <w:tc>
          <w:tcPr>
            <w:tcW w:w="879" w:type="dxa"/>
            <w:tcBorders>
              <w:top w:val="nil"/>
              <w:left w:val="nil"/>
              <w:bottom w:val="single" w:sz="8" w:space="0" w:color="auto"/>
              <w:right w:val="single" w:sz="8" w:space="0" w:color="auto"/>
            </w:tcBorders>
            <w:shd w:val="clear" w:color="auto" w:fill="auto"/>
            <w:vAlign w:val="center"/>
            <w:hideMark/>
          </w:tcPr>
          <w:p w14:paraId="00D4D89F"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900.740.329</w:t>
            </w:r>
          </w:p>
        </w:tc>
        <w:tc>
          <w:tcPr>
            <w:tcW w:w="323" w:type="dxa"/>
            <w:tcBorders>
              <w:top w:val="nil"/>
              <w:left w:val="nil"/>
              <w:bottom w:val="single" w:sz="8" w:space="0" w:color="auto"/>
              <w:right w:val="single" w:sz="8" w:space="0" w:color="auto"/>
            </w:tcBorders>
            <w:shd w:val="clear" w:color="auto" w:fill="auto"/>
            <w:vAlign w:val="center"/>
            <w:hideMark/>
          </w:tcPr>
          <w:p w14:paraId="00870323"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7</w:t>
            </w:r>
          </w:p>
        </w:tc>
        <w:tc>
          <w:tcPr>
            <w:tcW w:w="505" w:type="dxa"/>
            <w:tcBorders>
              <w:top w:val="nil"/>
              <w:left w:val="nil"/>
              <w:bottom w:val="single" w:sz="8" w:space="0" w:color="auto"/>
              <w:right w:val="single" w:sz="8" w:space="0" w:color="auto"/>
            </w:tcBorders>
            <w:shd w:val="clear" w:color="auto" w:fill="auto"/>
            <w:vAlign w:val="center"/>
            <w:hideMark/>
          </w:tcPr>
          <w:p w14:paraId="5690121B"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39955</w:t>
            </w:r>
          </w:p>
        </w:tc>
        <w:tc>
          <w:tcPr>
            <w:tcW w:w="4243" w:type="dxa"/>
            <w:tcBorders>
              <w:top w:val="nil"/>
              <w:left w:val="nil"/>
              <w:bottom w:val="single" w:sz="8" w:space="0" w:color="auto"/>
              <w:right w:val="single" w:sz="8" w:space="0" w:color="auto"/>
            </w:tcBorders>
            <w:shd w:val="clear" w:color="auto" w:fill="auto"/>
            <w:vAlign w:val="center"/>
            <w:hideMark/>
          </w:tcPr>
          <w:p w14:paraId="70138A94"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AURES BAJO S.A.S. E.S.P.</w:t>
            </w:r>
          </w:p>
        </w:tc>
        <w:tc>
          <w:tcPr>
            <w:tcW w:w="1196" w:type="dxa"/>
            <w:tcBorders>
              <w:top w:val="nil"/>
              <w:left w:val="nil"/>
              <w:bottom w:val="single" w:sz="8" w:space="0" w:color="auto"/>
              <w:right w:val="single" w:sz="8" w:space="0" w:color="auto"/>
            </w:tcBorders>
            <w:shd w:val="clear" w:color="auto" w:fill="auto"/>
            <w:vAlign w:val="center"/>
            <w:hideMark/>
          </w:tcPr>
          <w:p w14:paraId="38B84F85"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11CF6F9F"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SIN REPORTE AL SUI</w:t>
            </w:r>
          </w:p>
        </w:tc>
      </w:tr>
      <w:tr w:rsidR="00AD4E79" w:rsidRPr="00AD4E79" w14:paraId="100C35FF" w14:textId="77777777" w:rsidTr="00AD4E79">
        <w:trPr>
          <w:trHeight w:val="28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5425141E"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150</w:t>
            </w:r>
          </w:p>
        </w:tc>
        <w:tc>
          <w:tcPr>
            <w:tcW w:w="879" w:type="dxa"/>
            <w:tcBorders>
              <w:top w:val="nil"/>
              <w:left w:val="nil"/>
              <w:bottom w:val="single" w:sz="8" w:space="0" w:color="auto"/>
              <w:right w:val="single" w:sz="8" w:space="0" w:color="auto"/>
            </w:tcBorders>
            <w:shd w:val="clear" w:color="auto" w:fill="auto"/>
            <w:vAlign w:val="center"/>
            <w:hideMark/>
          </w:tcPr>
          <w:p w14:paraId="2D81A428"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900.744.303</w:t>
            </w:r>
          </w:p>
        </w:tc>
        <w:tc>
          <w:tcPr>
            <w:tcW w:w="323" w:type="dxa"/>
            <w:tcBorders>
              <w:top w:val="nil"/>
              <w:left w:val="nil"/>
              <w:bottom w:val="single" w:sz="8" w:space="0" w:color="auto"/>
              <w:right w:val="single" w:sz="8" w:space="0" w:color="auto"/>
            </w:tcBorders>
            <w:shd w:val="clear" w:color="auto" w:fill="auto"/>
            <w:vAlign w:val="center"/>
            <w:hideMark/>
          </w:tcPr>
          <w:p w14:paraId="61836387"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4</w:t>
            </w:r>
          </w:p>
        </w:tc>
        <w:tc>
          <w:tcPr>
            <w:tcW w:w="505" w:type="dxa"/>
            <w:tcBorders>
              <w:top w:val="nil"/>
              <w:left w:val="nil"/>
              <w:bottom w:val="single" w:sz="8" w:space="0" w:color="auto"/>
              <w:right w:val="single" w:sz="8" w:space="0" w:color="auto"/>
            </w:tcBorders>
            <w:shd w:val="clear" w:color="auto" w:fill="auto"/>
            <w:vAlign w:val="center"/>
            <w:hideMark/>
          </w:tcPr>
          <w:p w14:paraId="088E1973"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34093</w:t>
            </w:r>
          </w:p>
        </w:tc>
        <w:tc>
          <w:tcPr>
            <w:tcW w:w="4243" w:type="dxa"/>
            <w:tcBorders>
              <w:top w:val="nil"/>
              <w:left w:val="nil"/>
              <w:bottom w:val="single" w:sz="8" w:space="0" w:color="auto"/>
              <w:right w:val="single" w:sz="8" w:space="0" w:color="auto"/>
            </w:tcBorders>
            <w:shd w:val="clear" w:color="auto" w:fill="auto"/>
            <w:vAlign w:val="center"/>
            <w:hideMark/>
          </w:tcPr>
          <w:p w14:paraId="4E72F75D"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PEQUENA CENTRAL HIDROELECTRICA EL COCUYO SAS ESP</w:t>
            </w:r>
          </w:p>
        </w:tc>
        <w:tc>
          <w:tcPr>
            <w:tcW w:w="1196" w:type="dxa"/>
            <w:tcBorders>
              <w:top w:val="nil"/>
              <w:left w:val="nil"/>
              <w:bottom w:val="single" w:sz="8" w:space="0" w:color="auto"/>
              <w:right w:val="single" w:sz="8" w:space="0" w:color="auto"/>
            </w:tcBorders>
            <w:shd w:val="clear" w:color="auto" w:fill="auto"/>
            <w:vAlign w:val="center"/>
            <w:hideMark/>
          </w:tcPr>
          <w:p w14:paraId="2B889988"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3276BBB7"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SIN REPORTE AL SUI</w:t>
            </w:r>
          </w:p>
        </w:tc>
      </w:tr>
      <w:tr w:rsidR="00AD4E79" w:rsidRPr="00AD4E79" w14:paraId="257B912D"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3F803B4C"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151</w:t>
            </w:r>
          </w:p>
        </w:tc>
        <w:tc>
          <w:tcPr>
            <w:tcW w:w="879" w:type="dxa"/>
            <w:tcBorders>
              <w:top w:val="nil"/>
              <w:left w:val="nil"/>
              <w:bottom w:val="single" w:sz="8" w:space="0" w:color="auto"/>
              <w:right w:val="single" w:sz="8" w:space="0" w:color="auto"/>
            </w:tcBorders>
            <w:shd w:val="clear" w:color="auto" w:fill="auto"/>
            <w:vAlign w:val="center"/>
            <w:hideMark/>
          </w:tcPr>
          <w:p w14:paraId="356FAD46"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900.746.422</w:t>
            </w:r>
          </w:p>
        </w:tc>
        <w:tc>
          <w:tcPr>
            <w:tcW w:w="323" w:type="dxa"/>
            <w:tcBorders>
              <w:top w:val="nil"/>
              <w:left w:val="nil"/>
              <w:bottom w:val="single" w:sz="8" w:space="0" w:color="auto"/>
              <w:right w:val="single" w:sz="8" w:space="0" w:color="auto"/>
            </w:tcBorders>
            <w:shd w:val="clear" w:color="auto" w:fill="auto"/>
            <w:vAlign w:val="center"/>
            <w:hideMark/>
          </w:tcPr>
          <w:p w14:paraId="18572808"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w:t>
            </w:r>
          </w:p>
        </w:tc>
        <w:tc>
          <w:tcPr>
            <w:tcW w:w="505" w:type="dxa"/>
            <w:tcBorders>
              <w:top w:val="nil"/>
              <w:left w:val="nil"/>
              <w:bottom w:val="single" w:sz="8" w:space="0" w:color="auto"/>
              <w:right w:val="single" w:sz="8" w:space="0" w:color="auto"/>
            </w:tcBorders>
            <w:shd w:val="clear" w:color="auto" w:fill="auto"/>
            <w:vAlign w:val="center"/>
            <w:hideMark/>
          </w:tcPr>
          <w:p w14:paraId="62A766F6"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27572</w:t>
            </w:r>
          </w:p>
        </w:tc>
        <w:tc>
          <w:tcPr>
            <w:tcW w:w="4243" w:type="dxa"/>
            <w:tcBorders>
              <w:top w:val="nil"/>
              <w:left w:val="nil"/>
              <w:bottom w:val="single" w:sz="8" w:space="0" w:color="auto"/>
              <w:right w:val="single" w:sz="8" w:space="0" w:color="auto"/>
            </w:tcBorders>
            <w:shd w:val="clear" w:color="auto" w:fill="auto"/>
            <w:vAlign w:val="center"/>
            <w:hideMark/>
          </w:tcPr>
          <w:p w14:paraId="4B25E414"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CEMEX ENERGY SAS ESP</w:t>
            </w:r>
          </w:p>
        </w:tc>
        <w:tc>
          <w:tcPr>
            <w:tcW w:w="1196" w:type="dxa"/>
            <w:tcBorders>
              <w:top w:val="nil"/>
              <w:left w:val="nil"/>
              <w:bottom w:val="single" w:sz="8" w:space="0" w:color="auto"/>
              <w:right w:val="single" w:sz="8" w:space="0" w:color="auto"/>
            </w:tcBorders>
            <w:shd w:val="clear" w:color="auto" w:fill="auto"/>
            <w:vAlign w:val="center"/>
            <w:hideMark/>
          </w:tcPr>
          <w:p w14:paraId="07AB9EA6"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5DF1EF70"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7EAFD1B9"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107D3DFF"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152</w:t>
            </w:r>
          </w:p>
        </w:tc>
        <w:tc>
          <w:tcPr>
            <w:tcW w:w="879" w:type="dxa"/>
            <w:tcBorders>
              <w:top w:val="nil"/>
              <w:left w:val="nil"/>
              <w:bottom w:val="single" w:sz="8" w:space="0" w:color="auto"/>
              <w:right w:val="single" w:sz="8" w:space="0" w:color="auto"/>
            </w:tcBorders>
            <w:shd w:val="clear" w:color="auto" w:fill="auto"/>
            <w:vAlign w:val="center"/>
            <w:hideMark/>
          </w:tcPr>
          <w:p w14:paraId="2FC02087"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900.759.883</w:t>
            </w:r>
          </w:p>
        </w:tc>
        <w:tc>
          <w:tcPr>
            <w:tcW w:w="323" w:type="dxa"/>
            <w:tcBorders>
              <w:top w:val="nil"/>
              <w:left w:val="nil"/>
              <w:bottom w:val="single" w:sz="8" w:space="0" w:color="auto"/>
              <w:right w:val="single" w:sz="8" w:space="0" w:color="auto"/>
            </w:tcBorders>
            <w:shd w:val="clear" w:color="auto" w:fill="auto"/>
            <w:vAlign w:val="center"/>
            <w:hideMark/>
          </w:tcPr>
          <w:p w14:paraId="78AC9A0E"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w:t>
            </w:r>
          </w:p>
        </w:tc>
        <w:tc>
          <w:tcPr>
            <w:tcW w:w="505" w:type="dxa"/>
            <w:tcBorders>
              <w:top w:val="nil"/>
              <w:left w:val="nil"/>
              <w:bottom w:val="single" w:sz="8" w:space="0" w:color="auto"/>
              <w:right w:val="single" w:sz="8" w:space="0" w:color="auto"/>
            </w:tcBorders>
            <w:shd w:val="clear" w:color="auto" w:fill="auto"/>
            <w:vAlign w:val="center"/>
            <w:hideMark/>
          </w:tcPr>
          <w:p w14:paraId="109F0213"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30431</w:t>
            </w:r>
          </w:p>
        </w:tc>
        <w:tc>
          <w:tcPr>
            <w:tcW w:w="4243" w:type="dxa"/>
            <w:tcBorders>
              <w:top w:val="nil"/>
              <w:left w:val="nil"/>
              <w:bottom w:val="single" w:sz="8" w:space="0" w:color="auto"/>
              <w:right w:val="single" w:sz="8" w:space="0" w:color="auto"/>
            </w:tcBorders>
            <w:shd w:val="clear" w:color="auto" w:fill="auto"/>
            <w:vAlign w:val="center"/>
            <w:hideMark/>
          </w:tcPr>
          <w:p w14:paraId="3F1F5776"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 xml:space="preserve">CENTRAL HIDROELÉCTRICA CONCORDIA SAS ESP </w:t>
            </w:r>
          </w:p>
        </w:tc>
        <w:tc>
          <w:tcPr>
            <w:tcW w:w="1196" w:type="dxa"/>
            <w:tcBorders>
              <w:top w:val="nil"/>
              <w:left w:val="nil"/>
              <w:bottom w:val="single" w:sz="8" w:space="0" w:color="auto"/>
              <w:right w:val="single" w:sz="8" w:space="0" w:color="auto"/>
            </w:tcBorders>
            <w:shd w:val="clear" w:color="auto" w:fill="auto"/>
            <w:vAlign w:val="center"/>
            <w:hideMark/>
          </w:tcPr>
          <w:p w14:paraId="306B2B6D"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1A6DBB1C"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42B22ECF"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3A0D9B05"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153</w:t>
            </w:r>
          </w:p>
        </w:tc>
        <w:tc>
          <w:tcPr>
            <w:tcW w:w="879" w:type="dxa"/>
            <w:tcBorders>
              <w:top w:val="nil"/>
              <w:left w:val="nil"/>
              <w:bottom w:val="single" w:sz="8" w:space="0" w:color="auto"/>
              <w:right w:val="single" w:sz="8" w:space="0" w:color="auto"/>
            </w:tcBorders>
            <w:shd w:val="clear" w:color="auto" w:fill="auto"/>
            <w:vAlign w:val="center"/>
            <w:hideMark/>
          </w:tcPr>
          <w:p w14:paraId="3700EF8D"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900.778.095</w:t>
            </w:r>
          </w:p>
        </w:tc>
        <w:tc>
          <w:tcPr>
            <w:tcW w:w="323" w:type="dxa"/>
            <w:tcBorders>
              <w:top w:val="nil"/>
              <w:left w:val="nil"/>
              <w:bottom w:val="single" w:sz="8" w:space="0" w:color="auto"/>
              <w:right w:val="single" w:sz="8" w:space="0" w:color="auto"/>
            </w:tcBorders>
            <w:shd w:val="clear" w:color="auto" w:fill="auto"/>
            <w:vAlign w:val="center"/>
            <w:hideMark/>
          </w:tcPr>
          <w:p w14:paraId="39F2BACE"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3</w:t>
            </w:r>
          </w:p>
        </w:tc>
        <w:tc>
          <w:tcPr>
            <w:tcW w:w="505" w:type="dxa"/>
            <w:tcBorders>
              <w:top w:val="nil"/>
              <w:left w:val="nil"/>
              <w:bottom w:val="single" w:sz="8" w:space="0" w:color="auto"/>
              <w:right w:val="single" w:sz="8" w:space="0" w:color="auto"/>
            </w:tcBorders>
            <w:shd w:val="clear" w:color="auto" w:fill="auto"/>
            <w:vAlign w:val="center"/>
            <w:hideMark/>
          </w:tcPr>
          <w:p w14:paraId="2FF54EB9"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27791</w:t>
            </w:r>
          </w:p>
        </w:tc>
        <w:tc>
          <w:tcPr>
            <w:tcW w:w="4243" w:type="dxa"/>
            <w:tcBorders>
              <w:top w:val="nil"/>
              <w:left w:val="nil"/>
              <w:bottom w:val="single" w:sz="8" w:space="0" w:color="auto"/>
              <w:right w:val="single" w:sz="8" w:space="0" w:color="auto"/>
            </w:tcBorders>
            <w:shd w:val="clear" w:color="auto" w:fill="auto"/>
            <w:vAlign w:val="center"/>
            <w:hideMark/>
          </w:tcPr>
          <w:p w14:paraId="70D9D989"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DESARROLLO ELECTRICO SURIA S.A.S. E.S.P.</w:t>
            </w:r>
          </w:p>
        </w:tc>
        <w:tc>
          <w:tcPr>
            <w:tcW w:w="1196" w:type="dxa"/>
            <w:tcBorders>
              <w:top w:val="nil"/>
              <w:left w:val="nil"/>
              <w:bottom w:val="single" w:sz="8" w:space="0" w:color="auto"/>
              <w:right w:val="single" w:sz="8" w:space="0" w:color="auto"/>
            </w:tcBorders>
            <w:shd w:val="clear" w:color="auto" w:fill="auto"/>
            <w:vAlign w:val="center"/>
            <w:hideMark/>
          </w:tcPr>
          <w:p w14:paraId="707B3DCD"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42FEC401"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541CD7AF" w14:textId="77777777" w:rsidTr="00AD4E79">
        <w:trPr>
          <w:trHeight w:val="419"/>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48BA89E0"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154</w:t>
            </w:r>
          </w:p>
        </w:tc>
        <w:tc>
          <w:tcPr>
            <w:tcW w:w="879" w:type="dxa"/>
            <w:tcBorders>
              <w:top w:val="nil"/>
              <w:left w:val="nil"/>
              <w:bottom w:val="single" w:sz="8" w:space="0" w:color="auto"/>
              <w:right w:val="single" w:sz="8" w:space="0" w:color="auto"/>
            </w:tcBorders>
            <w:shd w:val="clear" w:color="auto" w:fill="auto"/>
            <w:vAlign w:val="center"/>
            <w:hideMark/>
          </w:tcPr>
          <w:p w14:paraId="37482593"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900.787.764</w:t>
            </w:r>
          </w:p>
        </w:tc>
        <w:tc>
          <w:tcPr>
            <w:tcW w:w="323" w:type="dxa"/>
            <w:tcBorders>
              <w:top w:val="nil"/>
              <w:left w:val="nil"/>
              <w:bottom w:val="single" w:sz="8" w:space="0" w:color="auto"/>
              <w:right w:val="single" w:sz="8" w:space="0" w:color="auto"/>
            </w:tcBorders>
            <w:shd w:val="clear" w:color="auto" w:fill="auto"/>
            <w:vAlign w:val="center"/>
            <w:hideMark/>
          </w:tcPr>
          <w:p w14:paraId="65D65204"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0</w:t>
            </w:r>
          </w:p>
        </w:tc>
        <w:tc>
          <w:tcPr>
            <w:tcW w:w="505" w:type="dxa"/>
            <w:tcBorders>
              <w:top w:val="nil"/>
              <w:left w:val="nil"/>
              <w:bottom w:val="single" w:sz="8" w:space="0" w:color="auto"/>
              <w:right w:val="single" w:sz="8" w:space="0" w:color="auto"/>
            </w:tcBorders>
            <w:shd w:val="clear" w:color="auto" w:fill="auto"/>
            <w:vAlign w:val="center"/>
            <w:hideMark/>
          </w:tcPr>
          <w:p w14:paraId="6A154695"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28111</w:t>
            </w:r>
          </w:p>
        </w:tc>
        <w:tc>
          <w:tcPr>
            <w:tcW w:w="4243" w:type="dxa"/>
            <w:tcBorders>
              <w:top w:val="nil"/>
              <w:left w:val="nil"/>
              <w:bottom w:val="single" w:sz="8" w:space="0" w:color="auto"/>
              <w:right w:val="single" w:sz="8" w:space="0" w:color="auto"/>
            </w:tcBorders>
            <w:shd w:val="clear" w:color="auto" w:fill="auto"/>
            <w:vAlign w:val="center"/>
            <w:hideMark/>
          </w:tcPr>
          <w:p w14:paraId="4D41A7E2"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 xml:space="preserve">EMPRESA DE SERVICIOS PUBLICOS DE ENERGIA ELECTRICA DEL CAUCA </w:t>
            </w:r>
          </w:p>
        </w:tc>
        <w:tc>
          <w:tcPr>
            <w:tcW w:w="1196" w:type="dxa"/>
            <w:tcBorders>
              <w:top w:val="nil"/>
              <w:left w:val="nil"/>
              <w:bottom w:val="single" w:sz="8" w:space="0" w:color="auto"/>
              <w:right w:val="single" w:sz="8" w:space="0" w:color="auto"/>
            </w:tcBorders>
            <w:shd w:val="clear" w:color="auto" w:fill="auto"/>
            <w:vAlign w:val="center"/>
            <w:hideMark/>
          </w:tcPr>
          <w:p w14:paraId="6AD25633"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2241DF36"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273DCA8C" w14:textId="77777777" w:rsidTr="00AD4E79">
        <w:trPr>
          <w:trHeight w:val="283"/>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718B2FD6"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155</w:t>
            </w:r>
          </w:p>
        </w:tc>
        <w:tc>
          <w:tcPr>
            <w:tcW w:w="879" w:type="dxa"/>
            <w:tcBorders>
              <w:top w:val="nil"/>
              <w:left w:val="nil"/>
              <w:bottom w:val="single" w:sz="8" w:space="0" w:color="auto"/>
              <w:right w:val="single" w:sz="8" w:space="0" w:color="auto"/>
            </w:tcBorders>
            <w:shd w:val="clear" w:color="auto" w:fill="auto"/>
            <w:vAlign w:val="center"/>
            <w:hideMark/>
          </w:tcPr>
          <w:p w14:paraId="03B707BA"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900.800.144</w:t>
            </w:r>
          </w:p>
        </w:tc>
        <w:tc>
          <w:tcPr>
            <w:tcW w:w="323" w:type="dxa"/>
            <w:tcBorders>
              <w:top w:val="nil"/>
              <w:left w:val="nil"/>
              <w:bottom w:val="single" w:sz="8" w:space="0" w:color="auto"/>
              <w:right w:val="single" w:sz="8" w:space="0" w:color="auto"/>
            </w:tcBorders>
            <w:shd w:val="clear" w:color="auto" w:fill="auto"/>
            <w:vAlign w:val="center"/>
            <w:hideMark/>
          </w:tcPr>
          <w:p w14:paraId="1FB01C1A"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w:t>
            </w:r>
          </w:p>
        </w:tc>
        <w:tc>
          <w:tcPr>
            <w:tcW w:w="505" w:type="dxa"/>
            <w:tcBorders>
              <w:top w:val="nil"/>
              <w:left w:val="nil"/>
              <w:bottom w:val="single" w:sz="8" w:space="0" w:color="auto"/>
              <w:right w:val="single" w:sz="8" w:space="0" w:color="auto"/>
            </w:tcBorders>
            <w:shd w:val="clear" w:color="auto" w:fill="auto"/>
            <w:vAlign w:val="center"/>
            <w:hideMark/>
          </w:tcPr>
          <w:p w14:paraId="4232C765"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28352</w:t>
            </w:r>
          </w:p>
        </w:tc>
        <w:tc>
          <w:tcPr>
            <w:tcW w:w="4243" w:type="dxa"/>
            <w:tcBorders>
              <w:top w:val="nil"/>
              <w:left w:val="nil"/>
              <w:bottom w:val="single" w:sz="8" w:space="0" w:color="auto"/>
              <w:right w:val="single" w:sz="8" w:space="0" w:color="auto"/>
            </w:tcBorders>
            <w:shd w:val="clear" w:color="auto" w:fill="auto"/>
            <w:vAlign w:val="center"/>
            <w:hideMark/>
          </w:tcPr>
          <w:p w14:paraId="31183F24"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EMPRESA ASOCIATIVA DE TRABAJO COMERCIALIZADORA SAN JOSE E.S.P.</w:t>
            </w:r>
          </w:p>
        </w:tc>
        <w:tc>
          <w:tcPr>
            <w:tcW w:w="1196" w:type="dxa"/>
            <w:tcBorders>
              <w:top w:val="nil"/>
              <w:left w:val="nil"/>
              <w:bottom w:val="single" w:sz="8" w:space="0" w:color="auto"/>
              <w:right w:val="single" w:sz="8" w:space="0" w:color="auto"/>
            </w:tcBorders>
            <w:shd w:val="clear" w:color="auto" w:fill="auto"/>
            <w:vAlign w:val="center"/>
            <w:hideMark/>
          </w:tcPr>
          <w:p w14:paraId="0A3B0C91"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165DCAE7"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SIN REPORTE AL SUI</w:t>
            </w:r>
          </w:p>
        </w:tc>
      </w:tr>
      <w:tr w:rsidR="00AD4E79" w:rsidRPr="00AD4E79" w14:paraId="2C79EE37"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08903368"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156</w:t>
            </w:r>
          </w:p>
        </w:tc>
        <w:tc>
          <w:tcPr>
            <w:tcW w:w="879" w:type="dxa"/>
            <w:tcBorders>
              <w:top w:val="nil"/>
              <w:left w:val="nil"/>
              <w:bottom w:val="single" w:sz="8" w:space="0" w:color="auto"/>
              <w:right w:val="single" w:sz="8" w:space="0" w:color="auto"/>
            </w:tcBorders>
            <w:shd w:val="clear" w:color="auto" w:fill="auto"/>
            <w:vAlign w:val="center"/>
            <w:hideMark/>
          </w:tcPr>
          <w:p w14:paraId="1F10C864"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900.824.354</w:t>
            </w:r>
          </w:p>
        </w:tc>
        <w:tc>
          <w:tcPr>
            <w:tcW w:w="323" w:type="dxa"/>
            <w:tcBorders>
              <w:top w:val="nil"/>
              <w:left w:val="nil"/>
              <w:bottom w:val="single" w:sz="8" w:space="0" w:color="auto"/>
              <w:right w:val="single" w:sz="8" w:space="0" w:color="auto"/>
            </w:tcBorders>
            <w:shd w:val="clear" w:color="auto" w:fill="auto"/>
            <w:vAlign w:val="center"/>
            <w:hideMark/>
          </w:tcPr>
          <w:p w14:paraId="61E4733A"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3</w:t>
            </w:r>
          </w:p>
        </w:tc>
        <w:tc>
          <w:tcPr>
            <w:tcW w:w="505" w:type="dxa"/>
            <w:tcBorders>
              <w:top w:val="nil"/>
              <w:left w:val="nil"/>
              <w:bottom w:val="single" w:sz="8" w:space="0" w:color="auto"/>
              <w:right w:val="single" w:sz="8" w:space="0" w:color="auto"/>
            </w:tcBorders>
            <w:shd w:val="clear" w:color="auto" w:fill="auto"/>
            <w:vAlign w:val="center"/>
            <w:hideMark/>
          </w:tcPr>
          <w:p w14:paraId="14255C2D"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35433</w:t>
            </w:r>
          </w:p>
        </w:tc>
        <w:tc>
          <w:tcPr>
            <w:tcW w:w="4243" w:type="dxa"/>
            <w:tcBorders>
              <w:top w:val="nil"/>
              <w:left w:val="nil"/>
              <w:bottom w:val="single" w:sz="8" w:space="0" w:color="auto"/>
              <w:right w:val="single" w:sz="8" w:space="0" w:color="auto"/>
            </w:tcBorders>
            <w:shd w:val="clear" w:color="auto" w:fill="auto"/>
            <w:vAlign w:val="center"/>
            <w:hideMark/>
          </w:tcPr>
          <w:p w14:paraId="784DF798"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CCG ENERGY SAS ESP</w:t>
            </w:r>
          </w:p>
        </w:tc>
        <w:tc>
          <w:tcPr>
            <w:tcW w:w="1196" w:type="dxa"/>
            <w:tcBorders>
              <w:top w:val="nil"/>
              <w:left w:val="nil"/>
              <w:bottom w:val="single" w:sz="8" w:space="0" w:color="auto"/>
              <w:right w:val="single" w:sz="8" w:space="0" w:color="auto"/>
            </w:tcBorders>
            <w:shd w:val="clear" w:color="auto" w:fill="auto"/>
            <w:vAlign w:val="center"/>
            <w:hideMark/>
          </w:tcPr>
          <w:p w14:paraId="62208CD6"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15C7C915"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SIN REPORTE AL SUI</w:t>
            </w:r>
          </w:p>
        </w:tc>
      </w:tr>
      <w:tr w:rsidR="00AD4E79" w:rsidRPr="00AD4E79" w14:paraId="2C7E39F0" w14:textId="77777777" w:rsidTr="00AD4E79">
        <w:trPr>
          <w:trHeight w:val="303"/>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5CB487AD"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157</w:t>
            </w:r>
          </w:p>
        </w:tc>
        <w:tc>
          <w:tcPr>
            <w:tcW w:w="879" w:type="dxa"/>
            <w:tcBorders>
              <w:top w:val="nil"/>
              <w:left w:val="nil"/>
              <w:bottom w:val="single" w:sz="8" w:space="0" w:color="auto"/>
              <w:right w:val="single" w:sz="8" w:space="0" w:color="auto"/>
            </w:tcBorders>
            <w:shd w:val="clear" w:color="auto" w:fill="auto"/>
            <w:vAlign w:val="center"/>
            <w:hideMark/>
          </w:tcPr>
          <w:p w14:paraId="14C5CD92"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900.842.868</w:t>
            </w:r>
          </w:p>
        </w:tc>
        <w:tc>
          <w:tcPr>
            <w:tcW w:w="323" w:type="dxa"/>
            <w:tcBorders>
              <w:top w:val="nil"/>
              <w:left w:val="nil"/>
              <w:bottom w:val="single" w:sz="8" w:space="0" w:color="auto"/>
              <w:right w:val="single" w:sz="8" w:space="0" w:color="auto"/>
            </w:tcBorders>
            <w:shd w:val="clear" w:color="auto" w:fill="auto"/>
            <w:vAlign w:val="center"/>
            <w:hideMark/>
          </w:tcPr>
          <w:p w14:paraId="036C05BA"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3</w:t>
            </w:r>
          </w:p>
        </w:tc>
        <w:tc>
          <w:tcPr>
            <w:tcW w:w="505" w:type="dxa"/>
            <w:tcBorders>
              <w:top w:val="nil"/>
              <w:left w:val="nil"/>
              <w:bottom w:val="single" w:sz="8" w:space="0" w:color="auto"/>
              <w:right w:val="single" w:sz="8" w:space="0" w:color="auto"/>
            </w:tcBorders>
            <w:shd w:val="clear" w:color="auto" w:fill="auto"/>
            <w:vAlign w:val="center"/>
            <w:hideMark/>
          </w:tcPr>
          <w:p w14:paraId="62246013"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29811</w:t>
            </w:r>
          </w:p>
        </w:tc>
        <w:tc>
          <w:tcPr>
            <w:tcW w:w="4243" w:type="dxa"/>
            <w:tcBorders>
              <w:top w:val="nil"/>
              <w:left w:val="nil"/>
              <w:bottom w:val="single" w:sz="8" w:space="0" w:color="auto"/>
              <w:right w:val="single" w:sz="8" w:space="0" w:color="auto"/>
            </w:tcBorders>
            <w:shd w:val="clear" w:color="auto" w:fill="auto"/>
            <w:vAlign w:val="center"/>
            <w:hideMark/>
          </w:tcPr>
          <w:p w14:paraId="288698E3"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INVERSIONES, SUMINISTROS Y SERVICIOS SAFEANA SAS EMPRESA DE SERVICIOS PUBLICOS</w:t>
            </w:r>
          </w:p>
        </w:tc>
        <w:tc>
          <w:tcPr>
            <w:tcW w:w="1196" w:type="dxa"/>
            <w:tcBorders>
              <w:top w:val="nil"/>
              <w:left w:val="nil"/>
              <w:bottom w:val="single" w:sz="8" w:space="0" w:color="auto"/>
              <w:right w:val="single" w:sz="8" w:space="0" w:color="auto"/>
            </w:tcBorders>
            <w:shd w:val="clear" w:color="auto" w:fill="auto"/>
            <w:vAlign w:val="center"/>
            <w:hideMark/>
          </w:tcPr>
          <w:p w14:paraId="4EA40A17"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0623F517"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SIN REPORTE AL SUI</w:t>
            </w:r>
          </w:p>
        </w:tc>
      </w:tr>
      <w:tr w:rsidR="00AD4E79" w:rsidRPr="00AD4E79" w14:paraId="5FDB8648"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01818A14"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158</w:t>
            </w:r>
          </w:p>
        </w:tc>
        <w:tc>
          <w:tcPr>
            <w:tcW w:w="879" w:type="dxa"/>
            <w:tcBorders>
              <w:top w:val="nil"/>
              <w:left w:val="nil"/>
              <w:bottom w:val="single" w:sz="8" w:space="0" w:color="auto"/>
              <w:right w:val="single" w:sz="8" w:space="0" w:color="auto"/>
            </w:tcBorders>
            <w:shd w:val="clear" w:color="auto" w:fill="auto"/>
            <w:vAlign w:val="center"/>
            <w:hideMark/>
          </w:tcPr>
          <w:p w14:paraId="619AC53B"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900.864.051</w:t>
            </w:r>
          </w:p>
        </w:tc>
        <w:tc>
          <w:tcPr>
            <w:tcW w:w="323" w:type="dxa"/>
            <w:tcBorders>
              <w:top w:val="nil"/>
              <w:left w:val="nil"/>
              <w:bottom w:val="single" w:sz="8" w:space="0" w:color="auto"/>
              <w:right w:val="single" w:sz="8" w:space="0" w:color="auto"/>
            </w:tcBorders>
            <w:shd w:val="clear" w:color="auto" w:fill="auto"/>
            <w:vAlign w:val="center"/>
            <w:hideMark/>
          </w:tcPr>
          <w:p w14:paraId="098D4978"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w:t>
            </w:r>
          </w:p>
        </w:tc>
        <w:tc>
          <w:tcPr>
            <w:tcW w:w="505" w:type="dxa"/>
            <w:tcBorders>
              <w:top w:val="nil"/>
              <w:left w:val="nil"/>
              <w:bottom w:val="single" w:sz="8" w:space="0" w:color="auto"/>
              <w:right w:val="single" w:sz="8" w:space="0" w:color="auto"/>
            </w:tcBorders>
            <w:shd w:val="clear" w:color="auto" w:fill="auto"/>
            <w:vAlign w:val="center"/>
            <w:hideMark/>
          </w:tcPr>
          <w:p w14:paraId="0C484827"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37094</w:t>
            </w:r>
          </w:p>
        </w:tc>
        <w:tc>
          <w:tcPr>
            <w:tcW w:w="4243" w:type="dxa"/>
            <w:tcBorders>
              <w:top w:val="nil"/>
              <w:left w:val="nil"/>
              <w:bottom w:val="single" w:sz="8" w:space="0" w:color="auto"/>
              <w:right w:val="single" w:sz="8" w:space="0" w:color="auto"/>
            </w:tcBorders>
            <w:shd w:val="clear" w:color="auto" w:fill="auto"/>
            <w:vAlign w:val="center"/>
            <w:hideMark/>
          </w:tcPr>
          <w:p w14:paraId="4C04C58D"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FRANCA ENERGIA SA ESP</w:t>
            </w:r>
          </w:p>
        </w:tc>
        <w:tc>
          <w:tcPr>
            <w:tcW w:w="1196" w:type="dxa"/>
            <w:tcBorders>
              <w:top w:val="nil"/>
              <w:left w:val="nil"/>
              <w:bottom w:val="single" w:sz="8" w:space="0" w:color="auto"/>
              <w:right w:val="single" w:sz="8" w:space="0" w:color="auto"/>
            </w:tcBorders>
            <w:shd w:val="clear" w:color="auto" w:fill="auto"/>
            <w:vAlign w:val="center"/>
            <w:hideMark/>
          </w:tcPr>
          <w:p w14:paraId="6E1B93B4"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32FE464B"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63D86406"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03BB6C99"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159</w:t>
            </w:r>
          </w:p>
        </w:tc>
        <w:tc>
          <w:tcPr>
            <w:tcW w:w="879" w:type="dxa"/>
            <w:tcBorders>
              <w:top w:val="nil"/>
              <w:left w:val="nil"/>
              <w:bottom w:val="single" w:sz="8" w:space="0" w:color="auto"/>
              <w:right w:val="single" w:sz="8" w:space="0" w:color="auto"/>
            </w:tcBorders>
            <w:shd w:val="clear" w:color="auto" w:fill="auto"/>
            <w:vAlign w:val="center"/>
            <w:hideMark/>
          </w:tcPr>
          <w:p w14:paraId="4841E766"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900.879.149</w:t>
            </w:r>
          </w:p>
        </w:tc>
        <w:tc>
          <w:tcPr>
            <w:tcW w:w="323" w:type="dxa"/>
            <w:tcBorders>
              <w:top w:val="nil"/>
              <w:left w:val="nil"/>
              <w:bottom w:val="single" w:sz="8" w:space="0" w:color="auto"/>
              <w:right w:val="single" w:sz="8" w:space="0" w:color="auto"/>
            </w:tcBorders>
            <w:shd w:val="clear" w:color="auto" w:fill="auto"/>
            <w:vAlign w:val="center"/>
            <w:hideMark/>
          </w:tcPr>
          <w:p w14:paraId="23570847"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6</w:t>
            </w:r>
          </w:p>
        </w:tc>
        <w:tc>
          <w:tcPr>
            <w:tcW w:w="505" w:type="dxa"/>
            <w:tcBorders>
              <w:top w:val="nil"/>
              <w:left w:val="nil"/>
              <w:bottom w:val="single" w:sz="8" w:space="0" w:color="auto"/>
              <w:right w:val="single" w:sz="8" w:space="0" w:color="auto"/>
            </w:tcBorders>
            <w:shd w:val="clear" w:color="auto" w:fill="auto"/>
            <w:vAlign w:val="center"/>
            <w:hideMark/>
          </w:tcPr>
          <w:p w14:paraId="5CE54590"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30111</w:t>
            </w:r>
          </w:p>
        </w:tc>
        <w:tc>
          <w:tcPr>
            <w:tcW w:w="4243" w:type="dxa"/>
            <w:tcBorders>
              <w:top w:val="nil"/>
              <w:left w:val="nil"/>
              <w:bottom w:val="single" w:sz="8" w:space="0" w:color="auto"/>
              <w:right w:val="single" w:sz="8" w:space="0" w:color="auto"/>
            </w:tcBorders>
            <w:shd w:val="clear" w:color="auto" w:fill="auto"/>
            <w:vAlign w:val="center"/>
            <w:hideMark/>
          </w:tcPr>
          <w:p w14:paraId="62AA80E0" w14:textId="77777777" w:rsidR="006E3CAD" w:rsidRPr="00AD4E79" w:rsidRDefault="006E3CAD" w:rsidP="00D22441">
            <w:pPr>
              <w:jc w:val="left"/>
              <w:rPr>
                <w:rFonts w:ascii="Arial Narrow" w:hAnsi="Arial Narrow" w:cs="Arial"/>
                <w:spacing w:val="0"/>
                <w:sz w:val="16"/>
                <w:szCs w:val="16"/>
                <w:lang w:eastAsia="es-CO"/>
              </w:rPr>
            </w:pPr>
            <w:proofErr w:type="gramStart"/>
            <w:r w:rsidRPr="00AD4E79">
              <w:rPr>
                <w:rFonts w:ascii="Arial Narrow" w:hAnsi="Arial Narrow" w:cs="Arial"/>
                <w:spacing w:val="0"/>
                <w:sz w:val="16"/>
                <w:szCs w:val="16"/>
                <w:lang w:eastAsia="es-CO"/>
              </w:rPr>
              <w:t>CONELCA  S.A.S.</w:t>
            </w:r>
            <w:proofErr w:type="gramEnd"/>
            <w:r w:rsidRPr="00AD4E79">
              <w:rPr>
                <w:rFonts w:ascii="Arial Narrow" w:hAnsi="Arial Narrow" w:cs="Arial"/>
                <w:spacing w:val="0"/>
                <w:sz w:val="16"/>
                <w:szCs w:val="16"/>
                <w:lang w:eastAsia="es-CO"/>
              </w:rPr>
              <w:t xml:space="preserve">  E.S.P.</w:t>
            </w:r>
          </w:p>
        </w:tc>
        <w:tc>
          <w:tcPr>
            <w:tcW w:w="1196" w:type="dxa"/>
            <w:tcBorders>
              <w:top w:val="nil"/>
              <w:left w:val="nil"/>
              <w:bottom w:val="single" w:sz="8" w:space="0" w:color="auto"/>
              <w:right w:val="single" w:sz="8" w:space="0" w:color="auto"/>
            </w:tcBorders>
            <w:shd w:val="clear" w:color="auto" w:fill="auto"/>
            <w:vAlign w:val="center"/>
            <w:hideMark/>
          </w:tcPr>
          <w:p w14:paraId="421EE9DE"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36FEB0FB"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5508FA31" w14:textId="77777777" w:rsidTr="00AD4E79">
        <w:trPr>
          <w:trHeight w:val="757"/>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7F822805"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160</w:t>
            </w:r>
          </w:p>
        </w:tc>
        <w:tc>
          <w:tcPr>
            <w:tcW w:w="879" w:type="dxa"/>
            <w:tcBorders>
              <w:top w:val="nil"/>
              <w:left w:val="nil"/>
              <w:bottom w:val="single" w:sz="8" w:space="0" w:color="auto"/>
              <w:right w:val="single" w:sz="8" w:space="0" w:color="auto"/>
            </w:tcBorders>
            <w:shd w:val="clear" w:color="auto" w:fill="auto"/>
            <w:vAlign w:val="center"/>
            <w:hideMark/>
          </w:tcPr>
          <w:p w14:paraId="3F4652F5"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900.880.581</w:t>
            </w:r>
          </w:p>
        </w:tc>
        <w:tc>
          <w:tcPr>
            <w:tcW w:w="323" w:type="dxa"/>
            <w:tcBorders>
              <w:top w:val="nil"/>
              <w:left w:val="nil"/>
              <w:bottom w:val="single" w:sz="8" w:space="0" w:color="auto"/>
              <w:right w:val="single" w:sz="8" w:space="0" w:color="auto"/>
            </w:tcBorders>
            <w:shd w:val="clear" w:color="auto" w:fill="auto"/>
            <w:vAlign w:val="center"/>
            <w:hideMark/>
          </w:tcPr>
          <w:p w14:paraId="07E966AF"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7</w:t>
            </w:r>
          </w:p>
        </w:tc>
        <w:tc>
          <w:tcPr>
            <w:tcW w:w="505" w:type="dxa"/>
            <w:tcBorders>
              <w:top w:val="nil"/>
              <w:left w:val="nil"/>
              <w:bottom w:val="single" w:sz="8" w:space="0" w:color="auto"/>
              <w:right w:val="single" w:sz="8" w:space="0" w:color="auto"/>
            </w:tcBorders>
            <w:shd w:val="clear" w:color="auto" w:fill="auto"/>
            <w:vAlign w:val="center"/>
            <w:hideMark/>
          </w:tcPr>
          <w:p w14:paraId="20150DB6"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31373</w:t>
            </w:r>
          </w:p>
        </w:tc>
        <w:tc>
          <w:tcPr>
            <w:tcW w:w="4243" w:type="dxa"/>
            <w:tcBorders>
              <w:top w:val="nil"/>
              <w:left w:val="nil"/>
              <w:bottom w:val="single" w:sz="8" w:space="0" w:color="auto"/>
              <w:right w:val="single" w:sz="8" w:space="0" w:color="auto"/>
            </w:tcBorders>
            <w:shd w:val="clear" w:color="auto" w:fill="auto"/>
            <w:vAlign w:val="center"/>
            <w:hideMark/>
          </w:tcPr>
          <w:p w14:paraId="62BBB331"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EMPRESA ASOCIATIVA DE TRABAJO PARA LA PRESTACION DE SERVICIOS PUBLICOS DE ENERGIA ACUEDUCTO ALCANTARILLADO Y ASEO DEL MUNICIPIO DE SANTA BARBARA ISCUA</w:t>
            </w:r>
          </w:p>
        </w:tc>
        <w:tc>
          <w:tcPr>
            <w:tcW w:w="1196" w:type="dxa"/>
            <w:tcBorders>
              <w:top w:val="nil"/>
              <w:left w:val="nil"/>
              <w:bottom w:val="single" w:sz="8" w:space="0" w:color="auto"/>
              <w:right w:val="single" w:sz="8" w:space="0" w:color="auto"/>
            </w:tcBorders>
            <w:shd w:val="clear" w:color="auto" w:fill="auto"/>
            <w:vAlign w:val="center"/>
            <w:hideMark/>
          </w:tcPr>
          <w:p w14:paraId="55D641DB"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17A94D58"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SIN REPORTE AL SUI</w:t>
            </w:r>
          </w:p>
        </w:tc>
      </w:tr>
      <w:tr w:rsidR="00AD4E79" w:rsidRPr="00AD4E79" w14:paraId="1C4FF5EF"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5472FFBE"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lastRenderedPageBreak/>
              <w:t>161</w:t>
            </w:r>
          </w:p>
        </w:tc>
        <w:tc>
          <w:tcPr>
            <w:tcW w:w="879" w:type="dxa"/>
            <w:tcBorders>
              <w:top w:val="nil"/>
              <w:left w:val="nil"/>
              <w:bottom w:val="single" w:sz="8" w:space="0" w:color="auto"/>
              <w:right w:val="single" w:sz="8" w:space="0" w:color="auto"/>
            </w:tcBorders>
            <w:shd w:val="clear" w:color="auto" w:fill="auto"/>
            <w:vAlign w:val="center"/>
            <w:hideMark/>
          </w:tcPr>
          <w:p w14:paraId="5ACA02F9"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900.885.061</w:t>
            </w:r>
          </w:p>
        </w:tc>
        <w:tc>
          <w:tcPr>
            <w:tcW w:w="323" w:type="dxa"/>
            <w:tcBorders>
              <w:top w:val="nil"/>
              <w:left w:val="nil"/>
              <w:bottom w:val="single" w:sz="8" w:space="0" w:color="auto"/>
              <w:right w:val="single" w:sz="8" w:space="0" w:color="auto"/>
            </w:tcBorders>
            <w:shd w:val="clear" w:color="auto" w:fill="auto"/>
            <w:vAlign w:val="center"/>
            <w:hideMark/>
          </w:tcPr>
          <w:p w14:paraId="12E0FA54"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w:t>
            </w:r>
          </w:p>
        </w:tc>
        <w:tc>
          <w:tcPr>
            <w:tcW w:w="505" w:type="dxa"/>
            <w:tcBorders>
              <w:top w:val="nil"/>
              <w:left w:val="nil"/>
              <w:bottom w:val="single" w:sz="8" w:space="0" w:color="auto"/>
              <w:right w:val="single" w:sz="8" w:space="0" w:color="auto"/>
            </w:tcBorders>
            <w:shd w:val="clear" w:color="auto" w:fill="auto"/>
            <w:vAlign w:val="center"/>
            <w:hideMark/>
          </w:tcPr>
          <w:p w14:paraId="5BF02342"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33574</w:t>
            </w:r>
          </w:p>
        </w:tc>
        <w:tc>
          <w:tcPr>
            <w:tcW w:w="4243" w:type="dxa"/>
            <w:tcBorders>
              <w:top w:val="nil"/>
              <w:left w:val="nil"/>
              <w:bottom w:val="single" w:sz="8" w:space="0" w:color="auto"/>
              <w:right w:val="single" w:sz="8" w:space="0" w:color="auto"/>
            </w:tcBorders>
            <w:shd w:val="clear" w:color="auto" w:fill="auto"/>
            <w:vAlign w:val="center"/>
            <w:hideMark/>
          </w:tcPr>
          <w:p w14:paraId="26858467"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ENERGY ZNI PUTUMAYO S.A.S</w:t>
            </w:r>
          </w:p>
        </w:tc>
        <w:tc>
          <w:tcPr>
            <w:tcW w:w="1196" w:type="dxa"/>
            <w:tcBorders>
              <w:top w:val="nil"/>
              <w:left w:val="nil"/>
              <w:bottom w:val="single" w:sz="8" w:space="0" w:color="auto"/>
              <w:right w:val="single" w:sz="8" w:space="0" w:color="auto"/>
            </w:tcBorders>
            <w:shd w:val="clear" w:color="auto" w:fill="auto"/>
            <w:vAlign w:val="center"/>
            <w:hideMark/>
          </w:tcPr>
          <w:p w14:paraId="6B352CB2"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72009B3A"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SIN REPORTE AL SUI</w:t>
            </w:r>
          </w:p>
        </w:tc>
      </w:tr>
      <w:tr w:rsidR="00AD4E79" w:rsidRPr="00AD4E79" w14:paraId="77E7CD44"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429AA106"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162</w:t>
            </w:r>
          </w:p>
        </w:tc>
        <w:tc>
          <w:tcPr>
            <w:tcW w:w="879" w:type="dxa"/>
            <w:tcBorders>
              <w:top w:val="nil"/>
              <w:left w:val="nil"/>
              <w:bottom w:val="single" w:sz="8" w:space="0" w:color="auto"/>
              <w:right w:val="single" w:sz="8" w:space="0" w:color="auto"/>
            </w:tcBorders>
            <w:shd w:val="clear" w:color="auto" w:fill="auto"/>
            <w:vAlign w:val="center"/>
            <w:hideMark/>
          </w:tcPr>
          <w:p w14:paraId="41203CCB"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900.901.591</w:t>
            </w:r>
          </w:p>
        </w:tc>
        <w:tc>
          <w:tcPr>
            <w:tcW w:w="323" w:type="dxa"/>
            <w:tcBorders>
              <w:top w:val="nil"/>
              <w:left w:val="nil"/>
              <w:bottom w:val="single" w:sz="8" w:space="0" w:color="auto"/>
              <w:right w:val="single" w:sz="8" w:space="0" w:color="auto"/>
            </w:tcBorders>
            <w:shd w:val="clear" w:color="auto" w:fill="auto"/>
            <w:vAlign w:val="center"/>
            <w:hideMark/>
          </w:tcPr>
          <w:p w14:paraId="0CC91AE1"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w:t>
            </w:r>
          </w:p>
        </w:tc>
        <w:tc>
          <w:tcPr>
            <w:tcW w:w="505" w:type="dxa"/>
            <w:tcBorders>
              <w:top w:val="nil"/>
              <w:left w:val="nil"/>
              <w:bottom w:val="single" w:sz="8" w:space="0" w:color="auto"/>
              <w:right w:val="single" w:sz="8" w:space="0" w:color="auto"/>
            </w:tcBorders>
            <w:shd w:val="clear" w:color="auto" w:fill="auto"/>
            <w:vAlign w:val="center"/>
            <w:hideMark/>
          </w:tcPr>
          <w:p w14:paraId="1A18E921"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30971</w:t>
            </w:r>
          </w:p>
        </w:tc>
        <w:tc>
          <w:tcPr>
            <w:tcW w:w="4243" w:type="dxa"/>
            <w:tcBorders>
              <w:top w:val="nil"/>
              <w:left w:val="nil"/>
              <w:bottom w:val="single" w:sz="8" w:space="0" w:color="auto"/>
              <w:right w:val="single" w:sz="8" w:space="0" w:color="auto"/>
            </w:tcBorders>
            <w:shd w:val="clear" w:color="auto" w:fill="auto"/>
            <w:vAlign w:val="center"/>
            <w:hideMark/>
          </w:tcPr>
          <w:p w14:paraId="48B46417"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 xml:space="preserve">TRANSPORTADORA ELECTRICA DEL CARIBE </w:t>
            </w:r>
            <w:proofErr w:type="gramStart"/>
            <w:r w:rsidRPr="00AD4E79">
              <w:rPr>
                <w:rFonts w:ascii="Arial Narrow" w:hAnsi="Arial Narrow" w:cs="Arial"/>
                <w:spacing w:val="0"/>
                <w:sz w:val="16"/>
                <w:szCs w:val="16"/>
                <w:lang w:eastAsia="es-CO"/>
              </w:rPr>
              <w:t>S.A.S  E</w:t>
            </w:r>
            <w:proofErr w:type="gramEnd"/>
            <w:r w:rsidRPr="00AD4E79">
              <w:rPr>
                <w:rFonts w:ascii="Arial Narrow" w:hAnsi="Arial Narrow" w:cs="Arial"/>
                <w:spacing w:val="0"/>
                <w:sz w:val="16"/>
                <w:szCs w:val="16"/>
                <w:lang w:eastAsia="es-CO"/>
              </w:rPr>
              <w:t>.S.P</w:t>
            </w:r>
          </w:p>
        </w:tc>
        <w:tc>
          <w:tcPr>
            <w:tcW w:w="1196" w:type="dxa"/>
            <w:tcBorders>
              <w:top w:val="nil"/>
              <w:left w:val="nil"/>
              <w:bottom w:val="single" w:sz="8" w:space="0" w:color="auto"/>
              <w:right w:val="single" w:sz="8" w:space="0" w:color="auto"/>
            </w:tcBorders>
            <w:shd w:val="clear" w:color="auto" w:fill="auto"/>
            <w:vAlign w:val="center"/>
            <w:hideMark/>
          </w:tcPr>
          <w:p w14:paraId="4B709CAC"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3A3755EA"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SIN REPORTE AL SUI</w:t>
            </w:r>
          </w:p>
        </w:tc>
      </w:tr>
      <w:tr w:rsidR="00AD4E79" w:rsidRPr="00AD4E79" w14:paraId="36C8B1FE" w14:textId="77777777" w:rsidTr="00AD4E79">
        <w:trPr>
          <w:trHeight w:val="454"/>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12BAB30D"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163</w:t>
            </w:r>
          </w:p>
        </w:tc>
        <w:tc>
          <w:tcPr>
            <w:tcW w:w="879" w:type="dxa"/>
            <w:tcBorders>
              <w:top w:val="nil"/>
              <w:left w:val="nil"/>
              <w:bottom w:val="single" w:sz="8" w:space="0" w:color="auto"/>
              <w:right w:val="single" w:sz="8" w:space="0" w:color="auto"/>
            </w:tcBorders>
            <w:shd w:val="clear" w:color="auto" w:fill="auto"/>
            <w:vAlign w:val="center"/>
            <w:hideMark/>
          </w:tcPr>
          <w:p w14:paraId="1F73AB41"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900.921.102</w:t>
            </w:r>
          </w:p>
        </w:tc>
        <w:tc>
          <w:tcPr>
            <w:tcW w:w="323" w:type="dxa"/>
            <w:tcBorders>
              <w:top w:val="nil"/>
              <w:left w:val="nil"/>
              <w:bottom w:val="single" w:sz="8" w:space="0" w:color="auto"/>
              <w:right w:val="single" w:sz="8" w:space="0" w:color="auto"/>
            </w:tcBorders>
            <w:shd w:val="clear" w:color="auto" w:fill="auto"/>
            <w:vAlign w:val="center"/>
            <w:hideMark/>
          </w:tcPr>
          <w:p w14:paraId="337D9290"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w:t>
            </w:r>
          </w:p>
        </w:tc>
        <w:tc>
          <w:tcPr>
            <w:tcW w:w="505" w:type="dxa"/>
            <w:tcBorders>
              <w:top w:val="nil"/>
              <w:left w:val="nil"/>
              <w:bottom w:val="single" w:sz="8" w:space="0" w:color="auto"/>
              <w:right w:val="single" w:sz="8" w:space="0" w:color="auto"/>
            </w:tcBorders>
            <w:shd w:val="clear" w:color="auto" w:fill="auto"/>
            <w:vAlign w:val="center"/>
            <w:hideMark/>
          </w:tcPr>
          <w:p w14:paraId="736C6FC2"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32033</w:t>
            </w:r>
          </w:p>
        </w:tc>
        <w:tc>
          <w:tcPr>
            <w:tcW w:w="4243" w:type="dxa"/>
            <w:tcBorders>
              <w:top w:val="nil"/>
              <w:left w:val="nil"/>
              <w:bottom w:val="single" w:sz="8" w:space="0" w:color="auto"/>
              <w:right w:val="single" w:sz="8" w:space="0" w:color="auto"/>
            </w:tcBorders>
            <w:shd w:val="clear" w:color="auto" w:fill="auto"/>
            <w:vAlign w:val="center"/>
            <w:hideMark/>
          </w:tcPr>
          <w:p w14:paraId="22085054"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 xml:space="preserve">ASOCIACION DE USUARIOS DEL SERVICIO DE ENERGIA DE LA ZONA RURAL DEL CONSEJO COMUNITARIO ODEMAP MOSQUERA NORTE DEL MUNICIPIO DE MOSQUERA </w:t>
            </w:r>
            <w:r w:rsidRPr="00AD4E79">
              <w:rPr>
                <w:rFonts w:ascii="Arial Narrow" w:hAnsi="Arial Narrow" w:cs="Arial Narrow"/>
                <w:spacing w:val="0"/>
                <w:sz w:val="16"/>
                <w:szCs w:val="16"/>
                <w:lang w:eastAsia="es-CO"/>
              </w:rPr>
              <w:t>–</w:t>
            </w:r>
            <w:r w:rsidRPr="00AD4E79">
              <w:rPr>
                <w:rFonts w:ascii="Arial Narrow" w:hAnsi="Arial Narrow" w:cs="Arial"/>
                <w:spacing w:val="0"/>
                <w:sz w:val="16"/>
                <w:szCs w:val="16"/>
                <w:lang w:eastAsia="es-CO"/>
              </w:rPr>
              <w:t xml:space="preserve"> NARI</w:t>
            </w:r>
            <w:r w:rsidRPr="00AD4E79">
              <w:rPr>
                <w:rFonts w:ascii="Arial Narrow" w:hAnsi="Arial Narrow" w:cs="Arial Narrow"/>
                <w:spacing w:val="0"/>
                <w:sz w:val="16"/>
                <w:szCs w:val="16"/>
                <w:lang w:eastAsia="es-CO"/>
              </w:rPr>
              <w:t>Ñ</w:t>
            </w:r>
            <w:r w:rsidRPr="00AD4E79">
              <w:rPr>
                <w:rFonts w:ascii="Arial Narrow" w:hAnsi="Arial Narrow" w:cs="Arial"/>
                <w:spacing w:val="0"/>
                <w:sz w:val="16"/>
                <w:szCs w:val="16"/>
                <w:lang w:eastAsia="es-CO"/>
              </w:rPr>
              <w:t>O</w:t>
            </w:r>
          </w:p>
        </w:tc>
        <w:tc>
          <w:tcPr>
            <w:tcW w:w="1196" w:type="dxa"/>
            <w:tcBorders>
              <w:top w:val="nil"/>
              <w:left w:val="nil"/>
              <w:bottom w:val="single" w:sz="8" w:space="0" w:color="auto"/>
              <w:right w:val="single" w:sz="8" w:space="0" w:color="auto"/>
            </w:tcBorders>
            <w:shd w:val="clear" w:color="auto" w:fill="auto"/>
            <w:vAlign w:val="center"/>
            <w:hideMark/>
          </w:tcPr>
          <w:p w14:paraId="33FE5AE4"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3FF1B565"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SIN REPORTE AL SUI</w:t>
            </w:r>
          </w:p>
        </w:tc>
      </w:tr>
      <w:tr w:rsidR="00AD4E79" w:rsidRPr="00AD4E79" w14:paraId="769A7A3D"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4C612FFE"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164</w:t>
            </w:r>
          </w:p>
        </w:tc>
        <w:tc>
          <w:tcPr>
            <w:tcW w:w="879" w:type="dxa"/>
            <w:tcBorders>
              <w:top w:val="nil"/>
              <w:left w:val="nil"/>
              <w:bottom w:val="single" w:sz="8" w:space="0" w:color="auto"/>
              <w:right w:val="single" w:sz="8" w:space="0" w:color="auto"/>
            </w:tcBorders>
            <w:shd w:val="clear" w:color="auto" w:fill="auto"/>
            <w:vAlign w:val="center"/>
            <w:hideMark/>
          </w:tcPr>
          <w:p w14:paraId="477B117E"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900.921.416</w:t>
            </w:r>
          </w:p>
        </w:tc>
        <w:tc>
          <w:tcPr>
            <w:tcW w:w="323" w:type="dxa"/>
            <w:tcBorders>
              <w:top w:val="nil"/>
              <w:left w:val="nil"/>
              <w:bottom w:val="single" w:sz="8" w:space="0" w:color="auto"/>
              <w:right w:val="single" w:sz="8" w:space="0" w:color="auto"/>
            </w:tcBorders>
            <w:shd w:val="clear" w:color="auto" w:fill="auto"/>
            <w:vAlign w:val="center"/>
            <w:hideMark/>
          </w:tcPr>
          <w:p w14:paraId="575AF007"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7</w:t>
            </w:r>
          </w:p>
        </w:tc>
        <w:tc>
          <w:tcPr>
            <w:tcW w:w="505" w:type="dxa"/>
            <w:tcBorders>
              <w:top w:val="nil"/>
              <w:left w:val="nil"/>
              <w:bottom w:val="single" w:sz="8" w:space="0" w:color="auto"/>
              <w:right w:val="single" w:sz="8" w:space="0" w:color="auto"/>
            </w:tcBorders>
            <w:shd w:val="clear" w:color="auto" w:fill="auto"/>
            <w:vAlign w:val="center"/>
            <w:hideMark/>
          </w:tcPr>
          <w:p w14:paraId="56B733E7"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32353</w:t>
            </w:r>
          </w:p>
        </w:tc>
        <w:tc>
          <w:tcPr>
            <w:tcW w:w="4243" w:type="dxa"/>
            <w:tcBorders>
              <w:top w:val="nil"/>
              <w:left w:val="nil"/>
              <w:bottom w:val="single" w:sz="8" w:space="0" w:color="auto"/>
              <w:right w:val="single" w:sz="8" w:space="0" w:color="auto"/>
            </w:tcBorders>
            <w:shd w:val="clear" w:color="auto" w:fill="auto"/>
            <w:vAlign w:val="center"/>
            <w:hideMark/>
          </w:tcPr>
          <w:p w14:paraId="4D4F0C52"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ENERGIA ELECTRICA DE LA COSTA ATLANTICA S.A. E.S.P.</w:t>
            </w:r>
          </w:p>
        </w:tc>
        <w:tc>
          <w:tcPr>
            <w:tcW w:w="1196" w:type="dxa"/>
            <w:tcBorders>
              <w:top w:val="nil"/>
              <w:left w:val="nil"/>
              <w:bottom w:val="single" w:sz="8" w:space="0" w:color="auto"/>
              <w:right w:val="single" w:sz="8" w:space="0" w:color="auto"/>
            </w:tcBorders>
            <w:shd w:val="clear" w:color="auto" w:fill="auto"/>
            <w:vAlign w:val="center"/>
            <w:hideMark/>
          </w:tcPr>
          <w:p w14:paraId="6C9872BD"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2F76AB68"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590A31D4" w14:textId="77777777" w:rsidTr="00AD4E79">
        <w:trPr>
          <w:trHeight w:val="312"/>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1F505E9D"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165</w:t>
            </w:r>
          </w:p>
        </w:tc>
        <w:tc>
          <w:tcPr>
            <w:tcW w:w="879" w:type="dxa"/>
            <w:tcBorders>
              <w:top w:val="nil"/>
              <w:left w:val="nil"/>
              <w:bottom w:val="single" w:sz="8" w:space="0" w:color="auto"/>
              <w:right w:val="single" w:sz="8" w:space="0" w:color="auto"/>
            </w:tcBorders>
            <w:shd w:val="clear" w:color="auto" w:fill="auto"/>
            <w:vAlign w:val="center"/>
            <w:hideMark/>
          </w:tcPr>
          <w:p w14:paraId="694A689A"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900.927.463</w:t>
            </w:r>
          </w:p>
        </w:tc>
        <w:tc>
          <w:tcPr>
            <w:tcW w:w="323" w:type="dxa"/>
            <w:tcBorders>
              <w:top w:val="nil"/>
              <w:left w:val="nil"/>
              <w:bottom w:val="single" w:sz="8" w:space="0" w:color="auto"/>
              <w:right w:val="single" w:sz="8" w:space="0" w:color="auto"/>
            </w:tcBorders>
            <w:shd w:val="clear" w:color="auto" w:fill="auto"/>
            <w:vAlign w:val="center"/>
            <w:hideMark/>
          </w:tcPr>
          <w:p w14:paraId="669BC54B"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0</w:t>
            </w:r>
          </w:p>
        </w:tc>
        <w:tc>
          <w:tcPr>
            <w:tcW w:w="505" w:type="dxa"/>
            <w:tcBorders>
              <w:top w:val="nil"/>
              <w:left w:val="nil"/>
              <w:bottom w:val="single" w:sz="8" w:space="0" w:color="auto"/>
              <w:right w:val="single" w:sz="8" w:space="0" w:color="auto"/>
            </w:tcBorders>
            <w:shd w:val="clear" w:color="auto" w:fill="auto"/>
            <w:vAlign w:val="center"/>
            <w:hideMark/>
          </w:tcPr>
          <w:p w14:paraId="00ECB6ED"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41015</w:t>
            </w:r>
          </w:p>
        </w:tc>
        <w:tc>
          <w:tcPr>
            <w:tcW w:w="4243" w:type="dxa"/>
            <w:tcBorders>
              <w:top w:val="nil"/>
              <w:left w:val="nil"/>
              <w:bottom w:val="single" w:sz="8" w:space="0" w:color="auto"/>
              <w:right w:val="single" w:sz="8" w:space="0" w:color="auto"/>
            </w:tcBorders>
            <w:shd w:val="clear" w:color="auto" w:fill="auto"/>
            <w:vAlign w:val="center"/>
            <w:hideMark/>
          </w:tcPr>
          <w:p w14:paraId="14324C0F"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 xml:space="preserve">EMPRESA DE ENERGIA ELECTRICA DEL </w:t>
            </w:r>
            <w:proofErr w:type="gramStart"/>
            <w:r w:rsidRPr="00AD4E79">
              <w:rPr>
                <w:rFonts w:ascii="Arial Narrow" w:hAnsi="Arial Narrow" w:cs="Arial"/>
                <w:spacing w:val="0"/>
                <w:sz w:val="16"/>
                <w:szCs w:val="16"/>
                <w:lang w:eastAsia="es-CO"/>
              </w:rPr>
              <w:t>VAUPES .</w:t>
            </w:r>
            <w:proofErr w:type="gramEnd"/>
            <w:r w:rsidRPr="00AD4E79">
              <w:rPr>
                <w:rFonts w:ascii="Arial Narrow" w:hAnsi="Arial Narrow" w:cs="Arial"/>
                <w:spacing w:val="0"/>
                <w:sz w:val="16"/>
                <w:szCs w:val="16"/>
                <w:lang w:eastAsia="es-CO"/>
              </w:rPr>
              <w:t xml:space="preserve"> ENERVAUPES S.A. E.S.P. </w:t>
            </w:r>
          </w:p>
        </w:tc>
        <w:tc>
          <w:tcPr>
            <w:tcW w:w="1196" w:type="dxa"/>
            <w:tcBorders>
              <w:top w:val="nil"/>
              <w:left w:val="nil"/>
              <w:bottom w:val="single" w:sz="8" w:space="0" w:color="auto"/>
              <w:right w:val="single" w:sz="8" w:space="0" w:color="auto"/>
            </w:tcBorders>
            <w:shd w:val="clear" w:color="auto" w:fill="auto"/>
            <w:vAlign w:val="center"/>
            <w:hideMark/>
          </w:tcPr>
          <w:p w14:paraId="689CAA7F"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5D45C7AD"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SIN REPORTE AL SUI</w:t>
            </w:r>
          </w:p>
        </w:tc>
      </w:tr>
      <w:tr w:rsidR="00AD4E79" w:rsidRPr="00AD4E79" w14:paraId="46F60131"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77268720"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166</w:t>
            </w:r>
          </w:p>
        </w:tc>
        <w:tc>
          <w:tcPr>
            <w:tcW w:w="879" w:type="dxa"/>
            <w:tcBorders>
              <w:top w:val="nil"/>
              <w:left w:val="nil"/>
              <w:bottom w:val="single" w:sz="8" w:space="0" w:color="auto"/>
              <w:right w:val="single" w:sz="8" w:space="0" w:color="auto"/>
            </w:tcBorders>
            <w:shd w:val="clear" w:color="auto" w:fill="auto"/>
            <w:vAlign w:val="center"/>
            <w:hideMark/>
          </w:tcPr>
          <w:p w14:paraId="1C1AD329"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900.928.926</w:t>
            </w:r>
          </w:p>
        </w:tc>
        <w:tc>
          <w:tcPr>
            <w:tcW w:w="323" w:type="dxa"/>
            <w:tcBorders>
              <w:top w:val="nil"/>
              <w:left w:val="nil"/>
              <w:bottom w:val="single" w:sz="8" w:space="0" w:color="auto"/>
              <w:right w:val="single" w:sz="8" w:space="0" w:color="auto"/>
            </w:tcBorders>
            <w:shd w:val="clear" w:color="auto" w:fill="auto"/>
            <w:vAlign w:val="center"/>
            <w:hideMark/>
          </w:tcPr>
          <w:p w14:paraId="4C237B2D"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3</w:t>
            </w:r>
          </w:p>
        </w:tc>
        <w:tc>
          <w:tcPr>
            <w:tcW w:w="505" w:type="dxa"/>
            <w:tcBorders>
              <w:top w:val="nil"/>
              <w:left w:val="nil"/>
              <w:bottom w:val="single" w:sz="8" w:space="0" w:color="auto"/>
              <w:right w:val="single" w:sz="8" w:space="0" w:color="auto"/>
            </w:tcBorders>
            <w:shd w:val="clear" w:color="auto" w:fill="auto"/>
            <w:vAlign w:val="center"/>
            <w:hideMark/>
          </w:tcPr>
          <w:p w14:paraId="0839386E"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40476</w:t>
            </w:r>
          </w:p>
        </w:tc>
        <w:tc>
          <w:tcPr>
            <w:tcW w:w="4243" w:type="dxa"/>
            <w:tcBorders>
              <w:top w:val="nil"/>
              <w:left w:val="nil"/>
              <w:bottom w:val="single" w:sz="8" w:space="0" w:color="auto"/>
              <w:right w:val="single" w:sz="8" w:space="0" w:color="auto"/>
            </w:tcBorders>
            <w:shd w:val="clear" w:color="auto" w:fill="auto"/>
            <w:vAlign w:val="center"/>
            <w:hideMark/>
          </w:tcPr>
          <w:p w14:paraId="16368797"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BOSQUES SOLARES DE LOS LLANOS 1 SAS ESP</w:t>
            </w:r>
          </w:p>
        </w:tc>
        <w:tc>
          <w:tcPr>
            <w:tcW w:w="1196" w:type="dxa"/>
            <w:tcBorders>
              <w:top w:val="nil"/>
              <w:left w:val="nil"/>
              <w:bottom w:val="single" w:sz="8" w:space="0" w:color="auto"/>
              <w:right w:val="single" w:sz="8" w:space="0" w:color="auto"/>
            </w:tcBorders>
            <w:shd w:val="clear" w:color="auto" w:fill="auto"/>
            <w:vAlign w:val="center"/>
            <w:hideMark/>
          </w:tcPr>
          <w:p w14:paraId="44FC651A"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21BF6798"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5E8DD92C"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66989FDF"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167</w:t>
            </w:r>
          </w:p>
        </w:tc>
        <w:tc>
          <w:tcPr>
            <w:tcW w:w="879" w:type="dxa"/>
            <w:tcBorders>
              <w:top w:val="nil"/>
              <w:left w:val="nil"/>
              <w:bottom w:val="single" w:sz="8" w:space="0" w:color="auto"/>
              <w:right w:val="single" w:sz="8" w:space="0" w:color="auto"/>
            </w:tcBorders>
            <w:shd w:val="clear" w:color="auto" w:fill="auto"/>
            <w:vAlign w:val="center"/>
            <w:hideMark/>
          </w:tcPr>
          <w:p w14:paraId="083A1D82"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900.928.962</w:t>
            </w:r>
          </w:p>
        </w:tc>
        <w:tc>
          <w:tcPr>
            <w:tcW w:w="323" w:type="dxa"/>
            <w:tcBorders>
              <w:top w:val="nil"/>
              <w:left w:val="nil"/>
              <w:bottom w:val="single" w:sz="8" w:space="0" w:color="auto"/>
              <w:right w:val="single" w:sz="8" w:space="0" w:color="auto"/>
            </w:tcBorders>
            <w:shd w:val="clear" w:color="auto" w:fill="auto"/>
            <w:vAlign w:val="center"/>
            <w:hideMark/>
          </w:tcPr>
          <w:p w14:paraId="388AC27E"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w:t>
            </w:r>
          </w:p>
        </w:tc>
        <w:tc>
          <w:tcPr>
            <w:tcW w:w="505" w:type="dxa"/>
            <w:tcBorders>
              <w:top w:val="nil"/>
              <w:left w:val="nil"/>
              <w:bottom w:val="single" w:sz="8" w:space="0" w:color="auto"/>
              <w:right w:val="single" w:sz="8" w:space="0" w:color="auto"/>
            </w:tcBorders>
            <w:shd w:val="clear" w:color="auto" w:fill="auto"/>
            <w:vAlign w:val="center"/>
            <w:hideMark/>
          </w:tcPr>
          <w:p w14:paraId="3E543371"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40477</w:t>
            </w:r>
          </w:p>
        </w:tc>
        <w:tc>
          <w:tcPr>
            <w:tcW w:w="4243" w:type="dxa"/>
            <w:tcBorders>
              <w:top w:val="nil"/>
              <w:left w:val="nil"/>
              <w:bottom w:val="single" w:sz="8" w:space="0" w:color="auto"/>
              <w:right w:val="single" w:sz="8" w:space="0" w:color="auto"/>
            </w:tcBorders>
            <w:shd w:val="clear" w:color="auto" w:fill="auto"/>
            <w:vAlign w:val="center"/>
            <w:hideMark/>
          </w:tcPr>
          <w:p w14:paraId="3F463D75"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BOSQUES SOLARES DE LOS LLANOS 2 SAS ESP</w:t>
            </w:r>
          </w:p>
        </w:tc>
        <w:tc>
          <w:tcPr>
            <w:tcW w:w="1196" w:type="dxa"/>
            <w:tcBorders>
              <w:top w:val="nil"/>
              <w:left w:val="nil"/>
              <w:bottom w:val="single" w:sz="8" w:space="0" w:color="auto"/>
              <w:right w:val="single" w:sz="8" w:space="0" w:color="auto"/>
            </w:tcBorders>
            <w:shd w:val="clear" w:color="auto" w:fill="auto"/>
            <w:vAlign w:val="center"/>
            <w:hideMark/>
          </w:tcPr>
          <w:p w14:paraId="04B08F51"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0476D9CA"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1214AD8A"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02D14F12"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168</w:t>
            </w:r>
          </w:p>
        </w:tc>
        <w:tc>
          <w:tcPr>
            <w:tcW w:w="879" w:type="dxa"/>
            <w:tcBorders>
              <w:top w:val="nil"/>
              <w:left w:val="nil"/>
              <w:bottom w:val="single" w:sz="8" w:space="0" w:color="auto"/>
              <w:right w:val="single" w:sz="8" w:space="0" w:color="auto"/>
            </w:tcBorders>
            <w:shd w:val="clear" w:color="auto" w:fill="auto"/>
            <w:vAlign w:val="center"/>
            <w:hideMark/>
          </w:tcPr>
          <w:p w14:paraId="32D31019"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900.929.832</w:t>
            </w:r>
          </w:p>
        </w:tc>
        <w:tc>
          <w:tcPr>
            <w:tcW w:w="323" w:type="dxa"/>
            <w:tcBorders>
              <w:top w:val="nil"/>
              <w:left w:val="nil"/>
              <w:bottom w:val="single" w:sz="8" w:space="0" w:color="auto"/>
              <w:right w:val="single" w:sz="8" w:space="0" w:color="auto"/>
            </w:tcBorders>
            <w:shd w:val="clear" w:color="auto" w:fill="auto"/>
            <w:vAlign w:val="center"/>
            <w:hideMark/>
          </w:tcPr>
          <w:p w14:paraId="661D6F84"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4</w:t>
            </w:r>
          </w:p>
        </w:tc>
        <w:tc>
          <w:tcPr>
            <w:tcW w:w="505" w:type="dxa"/>
            <w:tcBorders>
              <w:top w:val="nil"/>
              <w:left w:val="nil"/>
              <w:bottom w:val="single" w:sz="8" w:space="0" w:color="auto"/>
              <w:right w:val="single" w:sz="8" w:space="0" w:color="auto"/>
            </w:tcBorders>
            <w:shd w:val="clear" w:color="auto" w:fill="auto"/>
            <w:vAlign w:val="center"/>
            <w:hideMark/>
          </w:tcPr>
          <w:p w14:paraId="124C0308"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40478</w:t>
            </w:r>
          </w:p>
        </w:tc>
        <w:tc>
          <w:tcPr>
            <w:tcW w:w="4243" w:type="dxa"/>
            <w:tcBorders>
              <w:top w:val="nil"/>
              <w:left w:val="nil"/>
              <w:bottom w:val="single" w:sz="8" w:space="0" w:color="auto"/>
              <w:right w:val="single" w:sz="8" w:space="0" w:color="auto"/>
            </w:tcBorders>
            <w:shd w:val="clear" w:color="auto" w:fill="auto"/>
            <w:vAlign w:val="center"/>
            <w:hideMark/>
          </w:tcPr>
          <w:p w14:paraId="091D08DA"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BOSQUES SOLARES DE LOS LLANOS 3 SAS ESP</w:t>
            </w:r>
          </w:p>
        </w:tc>
        <w:tc>
          <w:tcPr>
            <w:tcW w:w="1196" w:type="dxa"/>
            <w:tcBorders>
              <w:top w:val="nil"/>
              <w:left w:val="nil"/>
              <w:bottom w:val="single" w:sz="8" w:space="0" w:color="auto"/>
              <w:right w:val="single" w:sz="8" w:space="0" w:color="auto"/>
            </w:tcBorders>
            <w:shd w:val="clear" w:color="auto" w:fill="auto"/>
            <w:vAlign w:val="center"/>
            <w:hideMark/>
          </w:tcPr>
          <w:p w14:paraId="39E9367D"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42DC2217"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6F7520CB" w14:textId="77777777" w:rsidTr="00AD4E79">
        <w:trPr>
          <w:trHeight w:val="318"/>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3E52512A"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169</w:t>
            </w:r>
          </w:p>
        </w:tc>
        <w:tc>
          <w:tcPr>
            <w:tcW w:w="879" w:type="dxa"/>
            <w:tcBorders>
              <w:top w:val="nil"/>
              <w:left w:val="nil"/>
              <w:bottom w:val="single" w:sz="8" w:space="0" w:color="auto"/>
              <w:right w:val="single" w:sz="8" w:space="0" w:color="auto"/>
            </w:tcBorders>
            <w:shd w:val="clear" w:color="auto" w:fill="auto"/>
            <w:vAlign w:val="center"/>
            <w:hideMark/>
          </w:tcPr>
          <w:p w14:paraId="77007D6A"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900.930.893</w:t>
            </w:r>
          </w:p>
        </w:tc>
        <w:tc>
          <w:tcPr>
            <w:tcW w:w="323" w:type="dxa"/>
            <w:tcBorders>
              <w:top w:val="nil"/>
              <w:left w:val="nil"/>
              <w:bottom w:val="single" w:sz="8" w:space="0" w:color="auto"/>
              <w:right w:val="single" w:sz="8" w:space="0" w:color="auto"/>
            </w:tcBorders>
            <w:shd w:val="clear" w:color="auto" w:fill="auto"/>
            <w:vAlign w:val="center"/>
            <w:hideMark/>
          </w:tcPr>
          <w:p w14:paraId="68D83E72"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5</w:t>
            </w:r>
          </w:p>
        </w:tc>
        <w:tc>
          <w:tcPr>
            <w:tcW w:w="505" w:type="dxa"/>
            <w:tcBorders>
              <w:top w:val="nil"/>
              <w:left w:val="nil"/>
              <w:bottom w:val="single" w:sz="8" w:space="0" w:color="auto"/>
              <w:right w:val="single" w:sz="8" w:space="0" w:color="auto"/>
            </w:tcBorders>
            <w:shd w:val="clear" w:color="auto" w:fill="auto"/>
            <w:vAlign w:val="center"/>
            <w:hideMark/>
          </w:tcPr>
          <w:p w14:paraId="4AE08DD4"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32200</w:t>
            </w:r>
          </w:p>
        </w:tc>
        <w:tc>
          <w:tcPr>
            <w:tcW w:w="4243" w:type="dxa"/>
            <w:tcBorders>
              <w:top w:val="nil"/>
              <w:left w:val="nil"/>
              <w:bottom w:val="single" w:sz="8" w:space="0" w:color="auto"/>
              <w:right w:val="single" w:sz="8" w:space="0" w:color="auto"/>
            </w:tcBorders>
            <w:shd w:val="clear" w:color="auto" w:fill="auto"/>
            <w:vAlign w:val="center"/>
            <w:hideMark/>
          </w:tcPr>
          <w:p w14:paraId="23ADE5DE"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EMPRESA DE ENERGIA DE LA ZONA RURAL DE FRANCISCO PIZARRO</w:t>
            </w:r>
          </w:p>
        </w:tc>
        <w:tc>
          <w:tcPr>
            <w:tcW w:w="1196" w:type="dxa"/>
            <w:tcBorders>
              <w:top w:val="nil"/>
              <w:left w:val="nil"/>
              <w:bottom w:val="single" w:sz="8" w:space="0" w:color="auto"/>
              <w:right w:val="single" w:sz="8" w:space="0" w:color="auto"/>
            </w:tcBorders>
            <w:shd w:val="clear" w:color="auto" w:fill="auto"/>
            <w:vAlign w:val="center"/>
            <w:hideMark/>
          </w:tcPr>
          <w:p w14:paraId="6158460B"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12841061"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SIN REPORTE AL SUI</w:t>
            </w:r>
          </w:p>
        </w:tc>
      </w:tr>
      <w:tr w:rsidR="00AD4E79" w:rsidRPr="00AD4E79" w14:paraId="246A20F5"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7B77F77D"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170</w:t>
            </w:r>
          </w:p>
        </w:tc>
        <w:tc>
          <w:tcPr>
            <w:tcW w:w="879" w:type="dxa"/>
            <w:tcBorders>
              <w:top w:val="nil"/>
              <w:left w:val="nil"/>
              <w:bottom w:val="single" w:sz="8" w:space="0" w:color="auto"/>
              <w:right w:val="single" w:sz="8" w:space="0" w:color="auto"/>
            </w:tcBorders>
            <w:shd w:val="clear" w:color="auto" w:fill="auto"/>
            <w:vAlign w:val="center"/>
            <w:hideMark/>
          </w:tcPr>
          <w:p w14:paraId="445E7E68"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900.932.147</w:t>
            </w:r>
          </w:p>
        </w:tc>
        <w:tc>
          <w:tcPr>
            <w:tcW w:w="323" w:type="dxa"/>
            <w:tcBorders>
              <w:top w:val="nil"/>
              <w:left w:val="nil"/>
              <w:bottom w:val="single" w:sz="8" w:space="0" w:color="auto"/>
              <w:right w:val="single" w:sz="8" w:space="0" w:color="auto"/>
            </w:tcBorders>
            <w:shd w:val="clear" w:color="auto" w:fill="auto"/>
            <w:vAlign w:val="center"/>
            <w:hideMark/>
          </w:tcPr>
          <w:p w14:paraId="78242954"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w:t>
            </w:r>
          </w:p>
        </w:tc>
        <w:tc>
          <w:tcPr>
            <w:tcW w:w="505" w:type="dxa"/>
            <w:tcBorders>
              <w:top w:val="nil"/>
              <w:left w:val="nil"/>
              <w:bottom w:val="single" w:sz="8" w:space="0" w:color="auto"/>
              <w:right w:val="single" w:sz="8" w:space="0" w:color="auto"/>
            </w:tcBorders>
            <w:shd w:val="clear" w:color="auto" w:fill="auto"/>
            <w:vAlign w:val="center"/>
            <w:hideMark/>
          </w:tcPr>
          <w:p w14:paraId="1E527BA5"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32374</w:t>
            </w:r>
          </w:p>
        </w:tc>
        <w:tc>
          <w:tcPr>
            <w:tcW w:w="4243" w:type="dxa"/>
            <w:tcBorders>
              <w:top w:val="nil"/>
              <w:left w:val="nil"/>
              <w:bottom w:val="single" w:sz="8" w:space="0" w:color="auto"/>
              <w:right w:val="single" w:sz="8" w:space="0" w:color="auto"/>
            </w:tcBorders>
            <w:shd w:val="clear" w:color="auto" w:fill="auto"/>
            <w:vAlign w:val="center"/>
            <w:hideMark/>
          </w:tcPr>
          <w:p w14:paraId="5D5E33CB"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AMPERIA SA ESP</w:t>
            </w:r>
          </w:p>
        </w:tc>
        <w:tc>
          <w:tcPr>
            <w:tcW w:w="1196" w:type="dxa"/>
            <w:tcBorders>
              <w:top w:val="nil"/>
              <w:left w:val="nil"/>
              <w:bottom w:val="single" w:sz="8" w:space="0" w:color="auto"/>
              <w:right w:val="single" w:sz="8" w:space="0" w:color="auto"/>
            </w:tcBorders>
            <w:shd w:val="clear" w:color="auto" w:fill="auto"/>
            <w:vAlign w:val="center"/>
            <w:hideMark/>
          </w:tcPr>
          <w:p w14:paraId="01F5DE33"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5059E9C6"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2EA5AA33"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167F2130"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171</w:t>
            </w:r>
          </w:p>
        </w:tc>
        <w:tc>
          <w:tcPr>
            <w:tcW w:w="879" w:type="dxa"/>
            <w:tcBorders>
              <w:top w:val="nil"/>
              <w:left w:val="nil"/>
              <w:bottom w:val="single" w:sz="8" w:space="0" w:color="auto"/>
              <w:right w:val="single" w:sz="8" w:space="0" w:color="auto"/>
            </w:tcBorders>
            <w:shd w:val="clear" w:color="auto" w:fill="auto"/>
            <w:vAlign w:val="center"/>
            <w:hideMark/>
          </w:tcPr>
          <w:p w14:paraId="2628DB2C"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900.949.673</w:t>
            </w:r>
          </w:p>
        </w:tc>
        <w:tc>
          <w:tcPr>
            <w:tcW w:w="323" w:type="dxa"/>
            <w:tcBorders>
              <w:top w:val="nil"/>
              <w:left w:val="nil"/>
              <w:bottom w:val="single" w:sz="8" w:space="0" w:color="auto"/>
              <w:right w:val="single" w:sz="8" w:space="0" w:color="auto"/>
            </w:tcBorders>
            <w:shd w:val="clear" w:color="auto" w:fill="auto"/>
            <w:vAlign w:val="center"/>
            <w:hideMark/>
          </w:tcPr>
          <w:p w14:paraId="086CEB53"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5</w:t>
            </w:r>
          </w:p>
        </w:tc>
        <w:tc>
          <w:tcPr>
            <w:tcW w:w="505" w:type="dxa"/>
            <w:tcBorders>
              <w:top w:val="nil"/>
              <w:left w:val="nil"/>
              <w:bottom w:val="single" w:sz="8" w:space="0" w:color="auto"/>
              <w:right w:val="single" w:sz="8" w:space="0" w:color="auto"/>
            </w:tcBorders>
            <w:shd w:val="clear" w:color="auto" w:fill="auto"/>
            <w:vAlign w:val="center"/>
            <w:hideMark/>
          </w:tcPr>
          <w:p w14:paraId="558C7571"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32773</w:t>
            </w:r>
          </w:p>
        </w:tc>
        <w:tc>
          <w:tcPr>
            <w:tcW w:w="4243" w:type="dxa"/>
            <w:tcBorders>
              <w:top w:val="nil"/>
              <w:left w:val="nil"/>
              <w:bottom w:val="single" w:sz="8" w:space="0" w:color="auto"/>
              <w:right w:val="single" w:sz="8" w:space="0" w:color="auto"/>
            </w:tcBorders>
            <w:shd w:val="clear" w:color="auto" w:fill="auto"/>
            <w:vAlign w:val="center"/>
            <w:hideMark/>
          </w:tcPr>
          <w:p w14:paraId="088242ED"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SMARTEN SAS ESP</w:t>
            </w:r>
          </w:p>
        </w:tc>
        <w:tc>
          <w:tcPr>
            <w:tcW w:w="1196" w:type="dxa"/>
            <w:tcBorders>
              <w:top w:val="nil"/>
              <w:left w:val="nil"/>
              <w:bottom w:val="single" w:sz="8" w:space="0" w:color="auto"/>
              <w:right w:val="single" w:sz="8" w:space="0" w:color="auto"/>
            </w:tcBorders>
            <w:shd w:val="clear" w:color="auto" w:fill="auto"/>
            <w:vAlign w:val="center"/>
            <w:hideMark/>
          </w:tcPr>
          <w:p w14:paraId="084E2D88"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3A356D0F"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19C43695" w14:textId="77777777" w:rsidTr="00AD4E79">
        <w:trPr>
          <w:trHeight w:val="346"/>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247F2086"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172</w:t>
            </w:r>
          </w:p>
        </w:tc>
        <w:tc>
          <w:tcPr>
            <w:tcW w:w="879" w:type="dxa"/>
            <w:tcBorders>
              <w:top w:val="nil"/>
              <w:left w:val="nil"/>
              <w:bottom w:val="single" w:sz="8" w:space="0" w:color="auto"/>
              <w:right w:val="single" w:sz="8" w:space="0" w:color="auto"/>
            </w:tcBorders>
            <w:shd w:val="clear" w:color="auto" w:fill="auto"/>
            <w:vAlign w:val="center"/>
            <w:hideMark/>
          </w:tcPr>
          <w:p w14:paraId="3C0F7EC9"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900.963.765</w:t>
            </w:r>
          </w:p>
        </w:tc>
        <w:tc>
          <w:tcPr>
            <w:tcW w:w="323" w:type="dxa"/>
            <w:tcBorders>
              <w:top w:val="nil"/>
              <w:left w:val="nil"/>
              <w:bottom w:val="single" w:sz="8" w:space="0" w:color="auto"/>
              <w:right w:val="single" w:sz="8" w:space="0" w:color="auto"/>
            </w:tcBorders>
            <w:shd w:val="clear" w:color="auto" w:fill="auto"/>
            <w:vAlign w:val="center"/>
            <w:hideMark/>
          </w:tcPr>
          <w:p w14:paraId="397FB126"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w:t>
            </w:r>
          </w:p>
        </w:tc>
        <w:tc>
          <w:tcPr>
            <w:tcW w:w="505" w:type="dxa"/>
            <w:tcBorders>
              <w:top w:val="nil"/>
              <w:left w:val="nil"/>
              <w:bottom w:val="single" w:sz="8" w:space="0" w:color="auto"/>
              <w:right w:val="single" w:sz="8" w:space="0" w:color="auto"/>
            </w:tcBorders>
            <w:shd w:val="clear" w:color="auto" w:fill="auto"/>
            <w:vAlign w:val="center"/>
            <w:hideMark/>
          </w:tcPr>
          <w:p w14:paraId="72BBC742"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34833</w:t>
            </w:r>
          </w:p>
        </w:tc>
        <w:tc>
          <w:tcPr>
            <w:tcW w:w="4243" w:type="dxa"/>
            <w:tcBorders>
              <w:top w:val="nil"/>
              <w:left w:val="nil"/>
              <w:bottom w:val="single" w:sz="8" w:space="0" w:color="auto"/>
              <w:right w:val="single" w:sz="8" w:space="0" w:color="auto"/>
            </w:tcBorders>
            <w:shd w:val="clear" w:color="auto" w:fill="auto"/>
            <w:vAlign w:val="center"/>
            <w:hideMark/>
          </w:tcPr>
          <w:p w14:paraId="28D8219E"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EMPRESA ASOCIATIVA DE TRABAJO ELECTRIFICADORA DEL PACIFICO SUR</w:t>
            </w:r>
          </w:p>
        </w:tc>
        <w:tc>
          <w:tcPr>
            <w:tcW w:w="1196" w:type="dxa"/>
            <w:tcBorders>
              <w:top w:val="nil"/>
              <w:left w:val="nil"/>
              <w:bottom w:val="single" w:sz="8" w:space="0" w:color="auto"/>
              <w:right w:val="single" w:sz="8" w:space="0" w:color="auto"/>
            </w:tcBorders>
            <w:shd w:val="clear" w:color="auto" w:fill="auto"/>
            <w:vAlign w:val="center"/>
            <w:hideMark/>
          </w:tcPr>
          <w:p w14:paraId="068E80F2"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23F56F86"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370222BD"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176EAFDF"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173</w:t>
            </w:r>
          </w:p>
        </w:tc>
        <w:tc>
          <w:tcPr>
            <w:tcW w:w="879" w:type="dxa"/>
            <w:tcBorders>
              <w:top w:val="nil"/>
              <w:left w:val="nil"/>
              <w:bottom w:val="single" w:sz="8" w:space="0" w:color="auto"/>
              <w:right w:val="single" w:sz="8" w:space="0" w:color="auto"/>
            </w:tcBorders>
            <w:shd w:val="clear" w:color="auto" w:fill="auto"/>
            <w:vAlign w:val="center"/>
            <w:hideMark/>
          </w:tcPr>
          <w:p w14:paraId="0C5DCB44"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900.983.468</w:t>
            </w:r>
          </w:p>
        </w:tc>
        <w:tc>
          <w:tcPr>
            <w:tcW w:w="323" w:type="dxa"/>
            <w:tcBorders>
              <w:top w:val="nil"/>
              <w:left w:val="nil"/>
              <w:bottom w:val="single" w:sz="8" w:space="0" w:color="auto"/>
              <w:right w:val="single" w:sz="8" w:space="0" w:color="auto"/>
            </w:tcBorders>
            <w:shd w:val="clear" w:color="auto" w:fill="auto"/>
            <w:vAlign w:val="center"/>
            <w:hideMark/>
          </w:tcPr>
          <w:p w14:paraId="054BAD99"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5</w:t>
            </w:r>
          </w:p>
        </w:tc>
        <w:tc>
          <w:tcPr>
            <w:tcW w:w="505" w:type="dxa"/>
            <w:tcBorders>
              <w:top w:val="nil"/>
              <w:left w:val="nil"/>
              <w:bottom w:val="single" w:sz="8" w:space="0" w:color="auto"/>
              <w:right w:val="single" w:sz="8" w:space="0" w:color="auto"/>
            </w:tcBorders>
            <w:shd w:val="clear" w:color="auto" w:fill="auto"/>
            <w:vAlign w:val="center"/>
            <w:hideMark/>
          </w:tcPr>
          <w:p w14:paraId="434F7B68"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45016</w:t>
            </w:r>
          </w:p>
        </w:tc>
        <w:tc>
          <w:tcPr>
            <w:tcW w:w="4243" w:type="dxa"/>
            <w:tcBorders>
              <w:top w:val="nil"/>
              <w:left w:val="nil"/>
              <w:bottom w:val="single" w:sz="8" w:space="0" w:color="auto"/>
              <w:right w:val="single" w:sz="8" w:space="0" w:color="auto"/>
            </w:tcBorders>
            <w:shd w:val="clear" w:color="auto" w:fill="auto"/>
            <w:vAlign w:val="center"/>
            <w:hideMark/>
          </w:tcPr>
          <w:p w14:paraId="5B3E20CB"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HIDROENERGIA DE LA MONTAÑA S.A.S E.</w:t>
            </w:r>
            <w:proofErr w:type="gramStart"/>
            <w:r w:rsidRPr="00AD4E79">
              <w:rPr>
                <w:rFonts w:ascii="Arial Narrow" w:hAnsi="Arial Narrow" w:cs="Arial"/>
                <w:spacing w:val="0"/>
                <w:sz w:val="16"/>
                <w:szCs w:val="16"/>
                <w:lang w:eastAsia="es-CO"/>
              </w:rPr>
              <w:t>S.P</w:t>
            </w:r>
            <w:proofErr w:type="gramEnd"/>
          </w:p>
        </w:tc>
        <w:tc>
          <w:tcPr>
            <w:tcW w:w="1196" w:type="dxa"/>
            <w:tcBorders>
              <w:top w:val="nil"/>
              <w:left w:val="nil"/>
              <w:bottom w:val="single" w:sz="8" w:space="0" w:color="auto"/>
              <w:right w:val="single" w:sz="8" w:space="0" w:color="auto"/>
            </w:tcBorders>
            <w:shd w:val="clear" w:color="auto" w:fill="auto"/>
            <w:vAlign w:val="center"/>
            <w:hideMark/>
          </w:tcPr>
          <w:p w14:paraId="797CE7AE"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47D0F98B"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44353F00"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67FB6CF2"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174</w:t>
            </w:r>
          </w:p>
        </w:tc>
        <w:tc>
          <w:tcPr>
            <w:tcW w:w="879" w:type="dxa"/>
            <w:tcBorders>
              <w:top w:val="nil"/>
              <w:left w:val="nil"/>
              <w:bottom w:val="single" w:sz="8" w:space="0" w:color="auto"/>
              <w:right w:val="single" w:sz="8" w:space="0" w:color="auto"/>
            </w:tcBorders>
            <w:shd w:val="clear" w:color="auto" w:fill="auto"/>
            <w:vAlign w:val="center"/>
            <w:hideMark/>
          </w:tcPr>
          <w:p w14:paraId="338F7A46"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900.983.821</w:t>
            </w:r>
          </w:p>
        </w:tc>
        <w:tc>
          <w:tcPr>
            <w:tcW w:w="323" w:type="dxa"/>
            <w:tcBorders>
              <w:top w:val="nil"/>
              <w:left w:val="nil"/>
              <w:bottom w:val="single" w:sz="8" w:space="0" w:color="auto"/>
              <w:right w:val="single" w:sz="8" w:space="0" w:color="auto"/>
            </w:tcBorders>
            <w:shd w:val="clear" w:color="auto" w:fill="auto"/>
            <w:vAlign w:val="center"/>
            <w:hideMark/>
          </w:tcPr>
          <w:p w14:paraId="22529AA9"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w:t>
            </w:r>
          </w:p>
        </w:tc>
        <w:tc>
          <w:tcPr>
            <w:tcW w:w="505" w:type="dxa"/>
            <w:tcBorders>
              <w:top w:val="nil"/>
              <w:left w:val="nil"/>
              <w:bottom w:val="single" w:sz="8" w:space="0" w:color="auto"/>
              <w:right w:val="single" w:sz="8" w:space="0" w:color="auto"/>
            </w:tcBorders>
            <w:shd w:val="clear" w:color="auto" w:fill="auto"/>
            <w:vAlign w:val="center"/>
            <w:hideMark/>
          </w:tcPr>
          <w:p w14:paraId="560406F5"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48806</w:t>
            </w:r>
          </w:p>
        </w:tc>
        <w:tc>
          <w:tcPr>
            <w:tcW w:w="4243" w:type="dxa"/>
            <w:tcBorders>
              <w:top w:val="nil"/>
              <w:left w:val="nil"/>
              <w:bottom w:val="single" w:sz="8" w:space="0" w:color="auto"/>
              <w:right w:val="single" w:sz="8" w:space="0" w:color="auto"/>
            </w:tcBorders>
            <w:shd w:val="clear" w:color="auto" w:fill="auto"/>
            <w:vAlign w:val="center"/>
            <w:hideMark/>
          </w:tcPr>
          <w:p w14:paraId="738BBC5E"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REFOENERGY BITA S.A.S E.</w:t>
            </w:r>
            <w:proofErr w:type="gramStart"/>
            <w:r w:rsidRPr="00AD4E79">
              <w:rPr>
                <w:rFonts w:ascii="Arial Narrow" w:hAnsi="Arial Narrow" w:cs="Arial"/>
                <w:spacing w:val="0"/>
                <w:sz w:val="16"/>
                <w:szCs w:val="16"/>
                <w:lang w:eastAsia="es-CO"/>
              </w:rPr>
              <w:t>S.P</w:t>
            </w:r>
            <w:proofErr w:type="gramEnd"/>
          </w:p>
        </w:tc>
        <w:tc>
          <w:tcPr>
            <w:tcW w:w="1196" w:type="dxa"/>
            <w:tcBorders>
              <w:top w:val="nil"/>
              <w:left w:val="nil"/>
              <w:bottom w:val="single" w:sz="8" w:space="0" w:color="auto"/>
              <w:right w:val="single" w:sz="8" w:space="0" w:color="auto"/>
            </w:tcBorders>
            <w:shd w:val="clear" w:color="auto" w:fill="auto"/>
            <w:vAlign w:val="center"/>
            <w:hideMark/>
          </w:tcPr>
          <w:p w14:paraId="52C65A68"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1E873627"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SIN REPORTE AL SUI</w:t>
            </w:r>
          </w:p>
        </w:tc>
      </w:tr>
      <w:tr w:rsidR="00AD4E79" w:rsidRPr="00AD4E79" w14:paraId="43660193" w14:textId="77777777" w:rsidTr="00AD4E79">
        <w:trPr>
          <w:trHeight w:val="35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49BEABC1"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175</w:t>
            </w:r>
          </w:p>
        </w:tc>
        <w:tc>
          <w:tcPr>
            <w:tcW w:w="879" w:type="dxa"/>
            <w:tcBorders>
              <w:top w:val="nil"/>
              <w:left w:val="nil"/>
              <w:bottom w:val="single" w:sz="8" w:space="0" w:color="auto"/>
              <w:right w:val="single" w:sz="8" w:space="0" w:color="auto"/>
            </w:tcBorders>
            <w:shd w:val="clear" w:color="auto" w:fill="auto"/>
            <w:vAlign w:val="center"/>
            <w:hideMark/>
          </w:tcPr>
          <w:p w14:paraId="32CFF344"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900.988.019</w:t>
            </w:r>
          </w:p>
        </w:tc>
        <w:tc>
          <w:tcPr>
            <w:tcW w:w="323" w:type="dxa"/>
            <w:tcBorders>
              <w:top w:val="nil"/>
              <w:left w:val="nil"/>
              <w:bottom w:val="single" w:sz="8" w:space="0" w:color="auto"/>
              <w:right w:val="single" w:sz="8" w:space="0" w:color="auto"/>
            </w:tcBorders>
            <w:shd w:val="clear" w:color="auto" w:fill="auto"/>
            <w:vAlign w:val="center"/>
            <w:hideMark/>
          </w:tcPr>
          <w:p w14:paraId="6EB43D9C"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4</w:t>
            </w:r>
          </w:p>
        </w:tc>
        <w:tc>
          <w:tcPr>
            <w:tcW w:w="505" w:type="dxa"/>
            <w:tcBorders>
              <w:top w:val="nil"/>
              <w:left w:val="nil"/>
              <w:bottom w:val="single" w:sz="8" w:space="0" w:color="auto"/>
              <w:right w:val="single" w:sz="8" w:space="0" w:color="auto"/>
            </w:tcBorders>
            <w:shd w:val="clear" w:color="auto" w:fill="auto"/>
            <w:vAlign w:val="center"/>
            <w:hideMark/>
          </w:tcPr>
          <w:p w14:paraId="13AC7592"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34274</w:t>
            </w:r>
          </w:p>
        </w:tc>
        <w:tc>
          <w:tcPr>
            <w:tcW w:w="4243" w:type="dxa"/>
            <w:tcBorders>
              <w:top w:val="nil"/>
              <w:left w:val="nil"/>
              <w:bottom w:val="single" w:sz="8" w:space="0" w:color="auto"/>
              <w:right w:val="single" w:sz="8" w:space="0" w:color="auto"/>
            </w:tcBorders>
            <w:shd w:val="clear" w:color="auto" w:fill="auto"/>
            <w:vAlign w:val="center"/>
            <w:hideMark/>
          </w:tcPr>
          <w:p w14:paraId="5A272B18"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EMPRESA DE SERVICIOS PUCLICOS Y ENERGIA DEL LITORAL DEL SAN JUAN S.A.S. E.S.P.</w:t>
            </w:r>
          </w:p>
        </w:tc>
        <w:tc>
          <w:tcPr>
            <w:tcW w:w="1196" w:type="dxa"/>
            <w:tcBorders>
              <w:top w:val="nil"/>
              <w:left w:val="nil"/>
              <w:bottom w:val="single" w:sz="8" w:space="0" w:color="auto"/>
              <w:right w:val="single" w:sz="8" w:space="0" w:color="auto"/>
            </w:tcBorders>
            <w:shd w:val="clear" w:color="auto" w:fill="auto"/>
            <w:vAlign w:val="center"/>
            <w:hideMark/>
          </w:tcPr>
          <w:p w14:paraId="2BAD1561"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2A1A0607"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SIN REPORTE AL SUI</w:t>
            </w:r>
          </w:p>
        </w:tc>
      </w:tr>
      <w:tr w:rsidR="00AD4E79" w:rsidRPr="00AD4E79" w14:paraId="0372B68C"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3B5745BC"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176</w:t>
            </w:r>
          </w:p>
        </w:tc>
        <w:tc>
          <w:tcPr>
            <w:tcW w:w="879" w:type="dxa"/>
            <w:tcBorders>
              <w:top w:val="nil"/>
              <w:left w:val="nil"/>
              <w:bottom w:val="single" w:sz="8" w:space="0" w:color="auto"/>
              <w:right w:val="single" w:sz="8" w:space="0" w:color="auto"/>
            </w:tcBorders>
            <w:shd w:val="clear" w:color="auto" w:fill="auto"/>
            <w:vAlign w:val="center"/>
            <w:hideMark/>
          </w:tcPr>
          <w:p w14:paraId="1E1B1544"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900.989.576</w:t>
            </w:r>
          </w:p>
        </w:tc>
        <w:tc>
          <w:tcPr>
            <w:tcW w:w="323" w:type="dxa"/>
            <w:tcBorders>
              <w:top w:val="nil"/>
              <w:left w:val="nil"/>
              <w:bottom w:val="single" w:sz="8" w:space="0" w:color="auto"/>
              <w:right w:val="single" w:sz="8" w:space="0" w:color="auto"/>
            </w:tcBorders>
            <w:shd w:val="clear" w:color="auto" w:fill="auto"/>
            <w:vAlign w:val="center"/>
            <w:hideMark/>
          </w:tcPr>
          <w:p w14:paraId="100B8EA0"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w:t>
            </w:r>
          </w:p>
        </w:tc>
        <w:tc>
          <w:tcPr>
            <w:tcW w:w="505" w:type="dxa"/>
            <w:tcBorders>
              <w:top w:val="nil"/>
              <w:left w:val="nil"/>
              <w:bottom w:val="single" w:sz="8" w:space="0" w:color="auto"/>
              <w:right w:val="single" w:sz="8" w:space="0" w:color="auto"/>
            </w:tcBorders>
            <w:shd w:val="clear" w:color="auto" w:fill="auto"/>
            <w:vAlign w:val="center"/>
            <w:hideMark/>
          </w:tcPr>
          <w:p w14:paraId="266B3717"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48803</w:t>
            </w:r>
          </w:p>
        </w:tc>
        <w:tc>
          <w:tcPr>
            <w:tcW w:w="4243" w:type="dxa"/>
            <w:tcBorders>
              <w:top w:val="nil"/>
              <w:left w:val="nil"/>
              <w:bottom w:val="single" w:sz="8" w:space="0" w:color="auto"/>
              <w:right w:val="single" w:sz="8" w:space="0" w:color="auto"/>
            </w:tcBorders>
            <w:shd w:val="clear" w:color="auto" w:fill="auto"/>
            <w:vAlign w:val="center"/>
            <w:hideMark/>
          </w:tcPr>
          <w:p w14:paraId="7A2D3236" w14:textId="77777777" w:rsidR="006E3CAD" w:rsidRPr="00AD4E79" w:rsidRDefault="006E3CAD" w:rsidP="00D22441">
            <w:pPr>
              <w:jc w:val="left"/>
              <w:rPr>
                <w:rFonts w:ascii="Arial Narrow" w:hAnsi="Arial Narrow" w:cs="Arial"/>
                <w:spacing w:val="0"/>
                <w:sz w:val="16"/>
                <w:szCs w:val="16"/>
                <w:lang w:val="en-GB" w:eastAsia="es-CO"/>
              </w:rPr>
            </w:pPr>
            <w:r w:rsidRPr="00AD4E79">
              <w:rPr>
                <w:rFonts w:ascii="Arial Narrow" w:hAnsi="Arial Narrow" w:cs="Arial"/>
                <w:spacing w:val="0"/>
                <w:sz w:val="16"/>
                <w:szCs w:val="16"/>
                <w:lang w:val="en-GB" w:eastAsia="es-CO"/>
              </w:rPr>
              <w:t>I+D Energy S.A.S. ESP</w:t>
            </w:r>
          </w:p>
        </w:tc>
        <w:tc>
          <w:tcPr>
            <w:tcW w:w="1196" w:type="dxa"/>
            <w:tcBorders>
              <w:top w:val="nil"/>
              <w:left w:val="nil"/>
              <w:bottom w:val="single" w:sz="8" w:space="0" w:color="auto"/>
              <w:right w:val="single" w:sz="8" w:space="0" w:color="auto"/>
            </w:tcBorders>
            <w:shd w:val="clear" w:color="auto" w:fill="auto"/>
            <w:vAlign w:val="center"/>
            <w:hideMark/>
          </w:tcPr>
          <w:p w14:paraId="32EC3F0C"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2C3B8BE6"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SIN REPORTE AL SUI</w:t>
            </w:r>
          </w:p>
        </w:tc>
      </w:tr>
      <w:tr w:rsidR="00AD4E79" w:rsidRPr="00AD4E79" w14:paraId="4046C595"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62D1D0FB"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177</w:t>
            </w:r>
          </w:p>
        </w:tc>
        <w:tc>
          <w:tcPr>
            <w:tcW w:w="879" w:type="dxa"/>
            <w:tcBorders>
              <w:top w:val="nil"/>
              <w:left w:val="nil"/>
              <w:bottom w:val="single" w:sz="8" w:space="0" w:color="auto"/>
              <w:right w:val="single" w:sz="8" w:space="0" w:color="auto"/>
            </w:tcBorders>
            <w:shd w:val="clear" w:color="auto" w:fill="auto"/>
            <w:vAlign w:val="center"/>
            <w:hideMark/>
          </w:tcPr>
          <w:p w14:paraId="264B08E6"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901.009.473</w:t>
            </w:r>
          </w:p>
        </w:tc>
        <w:tc>
          <w:tcPr>
            <w:tcW w:w="323" w:type="dxa"/>
            <w:tcBorders>
              <w:top w:val="nil"/>
              <w:left w:val="nil"/>
              <w:bottom w:val="single" w:sz="8" w:space="0" w:color="auto"/>
              <w:right w:val="single" w:sz="8" w:space="0" w:color="auto"/>
            </w:tcBorders>
            <w:shd w:val="clear" w:color="auto" w:fill="auto"/>
            <w:vAlign w:val="center"/>
            <w:hideMark/>
          </w:tcPr>
          <w:p w14:paraId="27A11F9F"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w:t>
            </w:r>
          </w:p>
        </w:tc>
        <w:tc>
          <w:tcPr>
            <w:tcW w:w="505" w:type="dxa"/>
            <w:tcBorders>
              <w:top w:val="nil"/>
              <w:left w:val="nil"/>
              <w:bottom w:val="single" w:sz="8" w:space="0" w:color="auto"/>
              <w:right w:val="single" w:sz="8" w:space="0" w:color="auto"/>
            </w:tcBorders>
            <w:shd w:val="clear" w:color="auto" w:fill="auto"/>
            <w:vAlign w:val="center"/>
            <w:hideMark/>
          </w:tcPr>
          <w:p w14:paraId="6B46D5D9"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35253</w:t>
            </w:r>
          </w:p>
        </w:tc>
        <w:tc>
          <w:tcPr>
            <w:tcW w:w="4243" w:type="dxa"/>
            <w:tcBorders>
              <w:top w:val="nil"/>
              <w:left w:val="nil"/>
              <w:bottom w:val="single" w:sz="8" w:space="0" w:color="auto"/>
              <w:right w:val="single" w:sz="8" w:space="0" w:color="auto"/>
            </w:tcBorders>
            <w:shd w:val="clear" w:color="auto" w:fill="auto"/>
            <w:vAlign w:val="center"/>
            <w:hideMark/>
          </w:tcPr>
          <w:p w14:paraId="1786E3CA"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ELECNORTE S.A.S. ESP</w:t>
            </w:r>
          </w:p>
        </w:tc>
        <w:tc>
          <w:tcPr>
            <w:tcW w:w="1196" w:type="dxa"/>
            <w:tcBorders>
              <w:top w:val="nil"/>
              <w:left w:val="nil"/>
              <w:bottom w:val="single" w:sz="8" w:space="0" w:color="auto"/>
              <w:right w:val="single" w:sz="8" w:space="0" w:color="auto"/>
            </w:tcBorders>
            <w:shd w:val="clear" w:color="auto" w:fill="auto"/>
            <w:vAlign w:val="center"/>
            <w:hideMark/>
          </w:tcPr>
          <w:p w14:paraId="2CDD7CE6"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480D4617"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109681CA"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7616CE2D"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178</w:t>
            </w:r>
          </w:p>
        </w:tc>
        <w:tc>
          <w:tcPr>
            <w:tcW w:w="879" w:type="dxa"/>
            <w:tcBorders>
              <w:top w:val="nil"/>
              <w:left w:val="nil"/>
              <w:bottom w:val="single" w:sz="8" w:space="0" w:color="auto"/>
              <w:right w:val="single" w:sz="8" w:space="0" w:color="auto"/>
            </w:tcBorders>
            <w:shd w:val="clear" w:color="auto" w:fill="auto"/>
            <w:vAlign w:val="center"/>
            <w:hideMark/>
          </w:tcPr>
          <w:p w14:paraId="63F08783"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901.030.996</w:t>
            </w:r>
          </w:p>
        </w:tc>
        <w:tc>
          <w:tcPr>
            <w:tcW w:w="323" w:type="dxa"/>
            <w:tcBorders>
              <w:top w:val="nil"/>
              <w:left w:val="nil"/>
              <w:bottom w:val="single" w:sz="8" w:space="0" w:color="auto"/>
              <w:right w:val="single" w:sz="8" w:space="0" w:color="auto"/>
            </w:tcBorders>
            <w:shd w:val="clear" w:color="auto" w:fill="auto"/>
            <w:vAlign w:val="center"/>
            <w:hideMark/>
          </w:tcPr>
          <w:p w14:paraId="1D8B8D79"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7</w:t>
            </w:r>
          </w:p>
        </w:tc>
        <w:tc>
          <w:tcPr>
            <w:tcW w:w="505" w:type="dxa"/>
            <w:tcBorders>
              <w:top w:val="nil"/>
              <w:left w:val="nil"/>
              <w:bottom w:val="single" w:sz="8" w:space="0" w:color="auto"/>
              <w:right w:val="single" w:sz="8" w:space="0" w:color="auto"/>
            </w:tcBorders>
            <w:shd w:val="clear" w:color="auto" w:fill="auto"/>
            <w:vAlign w:val="center"/>
            <w:hideMark/>
          </w:tcPr>
          <w:p w14:paraId="0DBF2F7B"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36275</w:t>
            </w:r>
          </w:p>
        </w:tc>
        <w:tc>
          <w:tcPr>
            <w:tcW w:w="4243" w:type="dxa"/>
            <w:tcBorders>
              <w:top w:val="nil"/>
              <w:left w:val="nil"/>
              <w:bottom w:val="single" w:sz="8" w:space="0" w:color="auto"/>
              <w:right w:val="single" w:sz="8" w:space="0" w:color="auto"/>
            </w:tcBorders>
            <w:shd w:val="clear" w:color="auto" w:fill="auto"/>
            <w:vAlign w:val="center"/>
            <w:hideMark/>
          </w:tcPr>
          <w:p w14:paraId="7A8D30F6"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TRANSMISORA COLOMBIANA DE ENERGÍA S.A.S. E.S.P.</w:t>
            </w:r>
          </w:p>
        </w:tc>
        <w:tc>
          <w:tcPr>
            <w:tcW w:w="1196" w:type="dxa"/>
            <w:tcBorders>
              <w:top w:val="nil"/>
              <w:left w:val="nil"/>
              <w:bottom w:val="single" w:sz="8" w:space="0" w:color="auto"/>
              <w:right w:val="single" w:sz="8" w:space="0" w:color="auto"/>
            </w:tcBorders>
            <w:shd w:val="clear" w:color="auto" w:fill="auto"/>
            <w:vAlign w:val="center"/>
            <w:hideMark/>
          </w:tcPr>
          <w:p w14:paraId="159C3ED0"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26226557"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SIN REPORTE AL SUI</w:t>
            </w:r>
          </w:p>
        </w:tc>
      </w:tr>
      <w:tr w:rsidR="00AD4E79" w:rsidRPr="00AD4E79" w14:paraId="2144CC76"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78FDEB49"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179</w:t>
            </w:r>
          </w:p>
        </w:tc>
        <w:tc>
          <w:tcPr>
            <w:tcW w:w="879" w:type="dxa"/>
            <w:tcBorders>
              <w:top w:val="nil"/>
              <w:left w:val="nil"/>
              <w:bottom w:val="single" w:sz="8" w:space="0" w:color="auto"/>
              <w:right w:val="single" w:sz="8" w:space="0" w:color="auto"/>
            </w:tcBorders>
            <w:shd w:val="clear" w:color="auto" w:fill="auto"/>
            <w:vAlign w:val="center"/>
            <w:hideMark/>
          </w:tcPr>
          <w:p w14:paraId="4038459B"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901.033.186</w:t>
            </w:r>
          </w:p>
        </w:tc>
        <w:tc>
          <w:tcPr>
            <w:tcW w:w="323" w:type="dxa"/>
            <w:tcBorders>
              <w:top w:val="nil"/>
              <w:left w:val="nil"/>
              <w:bottom w:val="single" w:sz="8" w:space="0" w:color="auto"/>
              <w:right w:val="single" w:sz="8" w:space="0" w:color="auto"/>
            </w:tcBorders>
            <w:shd w:val="clear" w:color="auto" w:fill="auto"/>
            <w:vAlign w:val="center"/>
            <w:hideMark/>
          </w:tcPr>
          <w:p w14:paraId="49D32F56"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w:t>
            </w:r>
          </w:p>
        </w:tc>
        <w:tc>
          <w:tcPr>
            <w:tcW w:w="505" w:type="dxa"/>
            <w:tcBorders>
              <w:top w:val="nil"/>
              <w:left w:val="nil"/>
              <w:bottom w:val="single" w:sz="8" w:space="0" w:color="auto"/>
              <w:right w:val="single" w:sz="8" w:space="0" w:color="auto"/>
            </w:tcBorders>
            <w:shd w:val="clear" w:color="auto" w:fill="auto"/>
            <w:vAlign w:val="center"/>
            <w:hideMark/>
          </w:tcPr>
          <w:p w14:paraId="45CBE2E3"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39136</w:t>
            </w:r>
          </w:p>
        </w:tc>
        <w:tc>
          <w:tcPr>
            <w:tcW w:w="4243" w:type="dxa"/>
            <w:tcBorders>
              <w:top w:val="nil"/>
              <w:left w:val="nil"/>
              <w:bottom w:val="single" w:sz="8" w:space="0" w:color="auto"/>
              <w:right w:val="single" w:sz="8" w:space="0" w:color="auto"/>
            </w:tcBorders>
            <w:shd w:val="clear" w:color="auto" w:fill="auto"/>
            <w:vAlign w:val="center"/>
            <w:hideMark/>
          </w:tcPr>
          <w:p w14:paraId="39CC06D7"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MESSER ENERGY SERVICES SAS ESP</w:t>
            </w:r>
          </w:p>
        </w:tc>
        <w:tc>
          <w:tcPr>
            <w:tcW w:w="1196" w:type="dxa"/>
            <w:tcBorders>
              <w:top w:val="nil"/>
              <w:left w:val="nil"/>
              <w:bottom w:val="single" w:sz="8" w:space="0" w:color="auto"/>
              <w:right w:val="single" w:sz="8" w:space="0" w:color="auto"/>
            </w:tcBorders>
            <w:shd w:val="clear" w:color="auto" w:fill="auto"/>
            <w:vAlign w:val="center"/>
            <w:hideMark/>
          </w:tcPr>
          <w:p w14:paraId="632F40EB"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26DA56E8"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5E9B60A7"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67649DF6"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180</w:t>
            </w:r>
          </w:p>
        </w:tc>
        <w:tc>
          <w:tcPr>
            <w:tcW w:w="879" w:type="dxa"/>
            <w:tcBorders>
              <w:top w:val="nil"/>
              <w:left w:val="nil"/>
              <w:bottom w:val="single" w:sz="8" w:space="0" w:color="auto"/>
              <w:right w:val="single" w:sz="8" w:space="0" w:color="auto"/>
            </w:tcBorders>
            <w:shd w:val="clear" w:color="auto" w:fill="auto"/>
            <w:vAlign w:val="center"/>
            <w:hideMark/>
          </w:tcPr>
          <w:p w14:paraId="1A0CD111"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901.042.368</w:t>
            </w:r>
          </w:p>
        </w:tc>
        <w:tc>
          <w:tcPr>
            <w:tcW w:w="323" w:type="dxa"/>
            <w:tcBorders>
              <w:top w:val="nil"/>
              <w:left w:val="nil"/>
              <w:bottom w:val="single" w:sz="8" w:space="0" w:color="auto"/>
              <w:right w:val="single" w:sz="8" w:space="0" w:color="auto"/>
            </w:tcBorders>
            <w:shd w:val="clear" w:color="auto" w:fill="auto"/>
            <w:vAlign w:val="center"/>
            <w:hideMark/>
          </w:tcPr>
          <w:p w14:paraId="78BD45D3"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3</w:t>
            </w:r>
          </w:p>
        </w:tc>
        <w:tc>
          <w:tcPr>
            <w:tcW w:w="505" w:type="dxa"/>
            <w:tcBorders>
              <w:top w:val="nil"/>
              <w:left w:val="nil"/>
              <w:bottom w:val="single" w:sz="8" w:space="0" w:color="auto"/>
              <w:right w:val="single" w:sz="8" w:space="0" w:color="auto"/>
            </w:tcBorders>
            <w:shd w:val="clear" w:color="auto" w:fill="auto"/>
            <w:vAlign w:val="center"/>
            <w:hideMark/>
          </w:tcPr>
          <w:p w14:paraId="102CA8E4"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42637</w:t>
            </w:r>
          </w:p>
        </w:tc>
        <w:tc>
          <w:tcPr>
            <w:tcW w:w="4243" w:type="dxa"/>
            <w:tcBorders>
              <w:top w:val="nil"/>
              <w:left w:val="nil"/>
              <w:bottom w:val="single" w:sz="8" w:space="0" w:color="auto"/>
              <w:right w:val="single" w:sz="8" w:space="0" w:color="auto"/>
            </w:tcBorders>
            <w:shd w:val="clear" w:color="auto" w:fill="auto"/>
            <w:vAlign w:val="center"/>
            <w:hideMark/>
          </w:tcPr>
          <w:p w14:paraId="1C57E269"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HELIOS ENERGIA S.A. ESP</w:t>
            </w:r>
          </w:p>
        </w:tc>
        <w:tc>
          <w:tcPr>
            <w:tcW w:w="1196" w:type="dxa"/>
            <w:tcBorders>
              <w:top w:val="nil"/>
              <w:left w:val="nil"/>
              <w:bottom w:val="single" w:sz="8" w:space="0" w:color="auto"/>
              <w:right w:val="single" w:sz="8" w:space="0" w:color="auto"/>
            </w:tcBorders>
            <w:shd w:val="clear" w:color="auto" w:fill="auto"/>
            <w:vAlign w:val="center"/>
            <w:hideMark/>
          </w:tcPr>
          <w:p w14:paraId="729596BB"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6FC473CD"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5C8914D8"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09D7D724"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181</w:t>
            </w:r>
          </w:p>
        </w:tc>
        <w:tc>
          <w:tcPr>
            <w:tcW w:w="879" w:type="dxa"/>
            <w:tcBorders>
              <w:top w:val="nil"/>
              <w:left w:val="nil"/>
              <w:bottom w:val="single" w:sz="8" w:space="0" w:color="auto"/>
              <w:right w:val="single" w:sz="8" w:space="0" w:color="auto"/>
            </w:tcBorders>
            <w:shd w:val="clear" w:color="auto" w:fill="auto"/>
            <w:vAlign w:val="center"/>
            <w:hideMark/>
          </w:tcPr>
          <w:p w14:paraId="386525D8"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901.043.956</w:t>
            </w:r>
          </w:p>
        </w:tc>
        <w:tc>
          <w:tcPr>
            <w:tcW w:w="323" w:type="dxa"/>
            <w:tcBorders>
              <w:top w:val="nil"/>
              <w:left w:val="nil"/>
              <w:bottom w:val="single" w:sz="8" w:space="0" w:color="auto"/>
              <w:right w:val="single" w:sz="8" w:space="0" w:color="auto"/>
            </w:tcBorders>
            <w:shd w:val="clear" w:color="auto" w:fill="auto"/>
            <w:vAlign w:val="center"/>
            <w:hideMark/>
          </w:tcPr>
          <w:p w14:paraId="1B6997ED"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w:t>
            </w:r>
          </w:p>
        </w:tc>
        <w:tc>
          <w:tcPr>
            <w:tcW w:w="505" w:type="dxa"/>
            <w:tcBorders>
              <w:top w:val="nil"/>
              <w:left w:val="nil"/>
              <w:bottom w:val="single" w:sz="8" w:space="0" w:color="auto"/>
              <w:right w:val="single" w:sz="8" w:space="0" w:color="auto"/>
            </w:tcBorders>
            <w:shd w:val="clear" w:color="auto" w:fill="auto"/>
            <w:vAlign w:val="center"/>
            <w:hideMark/>
          </w:tcPr>
          <w:p w14:paraId="3CF62B60"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41456</w:t>
            </w:r>
          </w:p>
        </w:tc>
        <w:tc>
          <w:tcPr>
            <w:tcW w:w="4243" w:type="dxa"/>
            <w:tcBorders>
              <w:top w:val="nil"/>
              <w:left w:val="nil"/>
              <w:bottom w:val="single" w:sz="8" w:space="0" w:color="auto"/>
              <w:right w:val="single" w:sz="8" w:space="0" w:color="auto"/>
            </w:tcBorders>
            <w:shd w:val="clear" w:color="auto" w:fill="auto"/>
            <w:vAlign w:val="center"/>
            <w:hideMark/>
          </w:tcPr>
          <w:p w14:paraId="4AEAD844"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PLUSENERGY SAS ESP</w:t>
            </w:r>
          </w:p>
        </w:tc>
        <w:tc>
          <w:tcPr>
            <w:tcW w:w="1196" w:type="dxa"/>
            <w:tcBorders>
              <w:top w:val="nil"/>
              <w:left w:val="nil"/>
              <w:bottom w:val="single" w:sz="8" w:space="0" w:color="auto"/>
              <w:right w:val="single" w:sz="8" w:space="0" w:color="auto"/>
            </w:tcBorders>
            <w:shd w:val="clear" w:color="auto" w:fill="auto"/>
            <w:vAlign w:val="center"/>
            <w:hideMark/>
          </w:tcPr>
          <w:p w14:paraId="2E77931A"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3C532396"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1A0E7494"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11F19D21"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182</w:t>
            </w:r>
          </w:p>
        </w:tc>
        <w:tc>
          <w:tcPr>
            <w:tcW w:w="879" w:type="dxa"/>
            <w:tcBorders>
              <w:top w:val="nil"/>
              <w:left w:val="nil"/>
              <w:bottom w:val="single" w:sz="8" w:space="0" w:color="auto"/>
              <w:right w:val="single" w:sz="8" w:space="0" w:color="auto"/>
            </w:tcBorders>
            <w:shd w:val="clear" w:color="auto" w:fill="auto"/>
            <w:vAlign w:val="center"/>
            <w:hideMark/>
          </w:tcPr>
          <w:p w14:paraId="7D25BBB9"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901.054.344</w:t>
            </w:r>
          </w:p>
        </w:tc>
        <w:tc>
          <w:tcPr>
            <w:tcW w:w="323" w:type="dxa"/>
            <w:tcBorders>
              <w:top w:val="nil"/>
              <w:left w:val="nil"/>
              <w:bottom w:val="single" w:sz="8" w:space="0" w:color="auto"/>
              <w:right w:val="single" w:sz="8" w:space="0" w:color="auto"/>
            </w:tcBorders>
            <w:shd w:val="clear" w:color="auto" w:fill="auto"/>
            <w:vAlign w:val="center"/>
            <w:hideMark/>
          </w:tcPr>
          <w:p w14:paraId="2B9FA603"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w:t>
            </w:r>
          </w:p>
        </w:tc>
        <w:tc>
          <w:tcPr>
            <w:tcW w:w="505" w:type="dxa"/>
            <w:tcBorders>
              <w:top w:val="nil"/>
              <w:left w:val="nil"/>
              <w:bottom w:val="single" w:sz="8" w:space="0" w:color="auto"/>
              <w:right w:val="single" w:sz="8" w:space="0" w:color="auto"/>
            </w:tcBorders>
            <w:shd w:val="clear" w:color="auto" w:fill="auto"/>
            <w:vAlign w:val="center"/>
            <w:hideMark/>
          </w:tcPr>
          <w:p w14:paraId="26B09A08"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54926</w:t>
            </w:r>
          </w:p>
        </w:tc>
        <w:tc>
          <w:tcPr>
            <w:tcW w:w="4243" w:type="dxa"/>
            <w:tcBorders>
              <w:top w:val="nil"/>
              <w:left w:val="nil"/>
              <w:bottom w:val="single" w:sz="8" w:space="0" w:color="auto"/>
              <w:right w:val="single" w:sz="8" w:space="0" w:color="auto"/>
            </w:tcBorders>
            <w:shd w:val="clear" w:color="auto" w:fill="auto"/>
            <w:vAlign w:val="center"/>
            <w:hideMark/>
          </w:tcPr>
          <w:p w14:paraId="6011EFAF"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CEE ENERGY SAS ESP</w:t>
            </w:r>
          </w:p>
        </w:tc>
        <w:tc>
          <w:tcPr>
            <w:tcW w:w="1196" w:type="dxa"/>
            <w:tcBorders>
              <w:top w:val="nil"/>
              <w:left w:val="nil"/>
              <w:bottom w:val="single" w:sz="8" w:space="0" w:color="auto"/>
              <w:right w:val="single" w:sz="8" w:space="0" w:color="auto"/>
            </w:tcBorders>
            <w:shd w:val="clear" w:color="auto" w:fill="auto"/>
            <w:vAlign w:val="center"/>
            <w:hideMark/>
          </w:tcPr>
          <w:p w14:paraId="2B24F10E"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43406FD1"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68E7C92F"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379B0877"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183</w:t>
            </w:r>
          </w:p>
        </w:tc>
        <w:tc>
          <w:tcPr>
            <w:tcW w:w="879" w:type="dxa"/>
            <w:tcBorders>
              <w:top w:val="nil"/>
              <w:left w:val="nil"/>
              <w:bottom w:val="single" w:sz="8" w:space="0" w:color="auto"/>
              <w:right w:val="single" w:sz="8" w:space="0" w:color="auto"/>
            </w:tcBorders>
            <w:shd w:val="clear" w:color="auto" w:fill="auto"/>
            <w:vAlign w:val="center"/>
            <w:hideMark/>
          </w:tcPr>
          <w:p w14:paraId="51A087A2"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901.061.072</w:t>
            </w:r>
          </w:p>
        </w:tc>
        <w:tc>
          <w:tcPr>
            <w:tcW w:w="323" w:type="dxa"/>
            <w:tcBorders>
              <w:top w:val="nil"/>
              <w:left w:val="nil"/>
              <w:bottom w:val="single" w:sz="8" w:space="0" w:color="auto"/>
              <w:right w:val="single" w:sz="8" w:space="0" w:color="auto"/>
            </w:tcBorders>
            <w:shd w:val="clear" w:color="auto" w:fill="auto"/>
            <w:vAlign w:val="center"/>
            <w:hideMark/>
          </w:tcPr>
          <w:p w14:paraId="168039DB"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w:t>
            </w:r>
          </w:p>
        </w:tc>
        <w:tc>
          <w:tcPr>
            <w:tcW w:w="505" w:type="dxa"/>
            <w:tcBorders>
              <w:top w:val="nil"/>
              <w:left w:val="nil"/>
              <w:bottom w:val="single" w:sz="8" w:space="0" w:color="auto"/>
              <w:right w:val="single" w:sz="8" w:space="0" w:color="auto"/>
            </w:tcBorders>
            <w:shd w:val="clear" w:color="auto" w:fill="auto"/>
            <w:vAlign w:val="center"/>
            <w:hideMark/>
          </w:tcPr>
          <w:p w14:paraId="50383E88"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37833</w:t>
            </w:r>
          </w:p>
        </w:tc>
        <w:tc>
          <w:tcPr>
            <w:tcW w:w="4243" w:type="dxa"/>
            <w:tcBorders>
              <w:top w:val="nil"/>
              <w:left w:val="nil"/>
              <w:bottom w:val="single" w:sz="8" w:space="0" w:color="auto"/>
              <w:right w:val="single" w:sz="8" w:space="0" w:color="auto"/>
            </w:tcBorders>
            <w:shd w:val="clear" w:color="auto" w:fill="auto"/>
            <w:vAlign w:val="center"/>
            <w:hideMark/>
          </w:tcPr>
          <w:p w14:paraId="18C3B52F"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ELECTRIFICADORA DE NARIÑO SUR E.A.T.</w:t>
            </w:r>
          </w:p>
        </w:tc>
        <w:tc>
          <w:tcPr>
            <w:tcW w:w="1196" w:type="dxa"/>
            <w:tcBorders>
              <w:top w:val="nil"/>
              <w:left w:val="nil"/>
              <w:bottom w:val="single" w:sz="8" w:space="0" w:color="auto"/>
              <w:right w:val="single" w:sz="8" w:space="0" w:color="auto"/>
            </w:tcBorders>
            <w:shd w:val="clear" w:color="auto" w:fill="auto"/>
            <w:vAlign w:val="center"/>
            <w:hideMark/>
          </w:tcPr>
          <w:p w14:paraId="270A9462"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5BEB31F1"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SIN REPORTE AL SUI</w:t>
            </w:r>
          </w:p>
        </w:tc>
      </w:tr>
      <w:tr w:rsidR="00AD4E79" w:rsidRPr="00AD4E79" w14:paraId="6F7F1A60" w14:textId="77777777" w:rsidTr="00AD4E79">
        <w:trPr>
          <w:trHeight w:val="30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1F1DF9BA"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184</w:t>
            </w:r>
          </w:p>
        </w:tc>
        <w:tc>
          <w:tcPr>
            <w:tcW w:w="879" w:type="dxa"/>
            <w:tcBorders>
              <w:top w:val="nil"/>
              <w:left w:val="nil"/>
              <w:bottom w:val="single" w:sz="8" w:space="0" w:color="auto"/>
              <w:right w:val="single" w:sz="8" w:space="0" w:color="auto"/>
            </w:tcBorders>
            <w:shd w:val="clear" w:color="auto" w:fill="auto"/>
            <w:vAlign w:val="center"/>
            <w:hideMark/>
          </w:tcPr>
          <w:p w14:paraId="5C020C64"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901.063.452</w:t>
            </w:r>
          </w:p>
        </w:tc>
        <w:tc>
          <w:tcPr>
            <w:tcW w:w="323" w:type="dxa"/>
            <w:tcBorders>
              <w:top w:val="nil"/>
              <w:left w:val="nil"/>
              <w:bottom w:val="single" w:sz="8" w:space="0" w:color="auto"/>
              <w:right w:val="single" w:sz="8" w:space="0" w:color="auto"/>
            </w:tcBorders>
            <w:shd w:val="clear" w:color="auto" w:fill="auto"/>
            <w:vAlign w:val="center"/>
            <w:hideMark/>
          </w:tcPr>
          <w:p w14:paraId="55A23E88"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4</w:t>
            </w:r>
          </w:p>
        </w:tc>
        <w:tc>
          <w:tcPr>
            <w:tcW w:w="505" w:type="dxa"/>
            <w:tcBorders>
              <w:top w:val="nil"/>
              <w:left w:val="nil"/>
              <w:bottom w:val="single" w:sz="8" w:space="0" w:color="auto"/>
              <w:right w:val="single" w:sz="8" w:space="0" w:color="auto"/>
            </w:tcBorders>
            <w:shd w:val="clear" w:color="auto" w:fill="auto"/>
            <w:vAlign w:val="center"/>
            <w:hideMark/>
          </w:tcPr>
          <w:p w14:paraId="4C45B7F4"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37953</w:t>
            </w:r>
          </w:p>
        </w:tc>
        <w:tc>
          <w:tcPr>
            <w:tcW w:w="4243" w:type="dxa"/>
            <w:tcBorders>
              <w:top w:val="nil"/>
              <w:left w:val="nil"/>
              <w:bottom w:val="single" w:sz="8" w:space="0" w:color="auto"/>
              <w:right w:val="single" w:sz="8" w:space="0" w:color="auto"/>
            </w:tcBorders>
            <w:shd w:val="clear" w:color="auto" w:fill="auto"/>
            <w:vAlign w:val="center"/>
            <w:hideMark/>
          </w:tcPr>
          <w:p w14:paraId="29AEEF99"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 xml:space="preserve">Prestadora de Servicios Públicos y Energía en </w:t>
            </w:r>
            <w:proofErr w:type="spellStart"/>
            <w:r w:rsidRPr="00AD4E79">
              <w:rPr>
                <w:rFonts w:ascii="Arial Narrow" w:hAnsi="Arial Narrow" w:cs="Arial"/>
                <w:spacing w:val="0"/>
                <w:sz w:val="16"/>
                <w:szCs w:val="16"/>
                <w:lang w:eastAsia="es-CO"/>
              </w:rPr>
              <w:t>ZOnas</w:t>
            </w:r>
            <w:proofErr w:type="spellEnd"/>
            <w:r w:rsidRPr="00AD4E79">
              <w:rPr>
                <w:rFonts w:ascii="Arial Narrow" w:hAnsi="Arial Narrow" w:cs="Arial"/>
                <w:spacing w:val="0"/>
                <w:sz w:val="16"/>
                <w:szCs w:val="16"/>
                <w:lang w:eastAsia="es-CO"/>
              </w:rPr>
              <w:t xml:space="preserve"> No Conectadas ESP SAS</w:t>
            </w:r>
          </w:p>
        </w:tc>
        <w:tc>
          <w:tcPr>
            <w:tcW w:w="1196" w:type="dxa"/>
            <w:tcBorders>
              <w:top w:val="nil"/>
              <w:left w:val="nil"/>
              <w:bottom w:val="single" w:sz="8" w:space="0" w:color="auto"/>
              <w:right w:val="single" w:sz="8" w:space="0" w:color="auto"/>
            </w:tcBorders>
            <w:shd w:val="clear" w:color="auto" w:fill="auto"/>
            <w:vAlign w:val="center"/>
            <w:hideMark/>
          </w:tcPr>
          <w:p w14:paraId="372A7FE6"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747960AF"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SIN REPORTE AL SUI</w:t>
            </w:r>
          </w:p>
        </w:tc>
      </w:tr>
      <w:tr w:rsidR="00AD4E79" w:rsidRPr="00AD4E79" w14:paraId="31F3616D"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7A23B800"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185</w:t>
            </w:r>
          </w:p>
        </w:tc>
        <w:tc>
          <w:tcPr>
            <w:tcW w:w="879" w:type="dxa"/>
            <w:tcBorders>
              <w:top w:val="nil"/>
              <w:left w:val="nil"/>
              <w:bottom w:val="single" w:sz="8" w:space="0" w:color="auto"/>
              <w:right w:val="single" w:sz="8" w:space="0" w:color="auto"/>
            </w:tcBorders>
            <w:shd w:val="clear" w:color="auto" w:fill="auto"/>
            <w:vAlign w:val="center"/>
            <w:hideMark/>
          </w:tcPr>
          <w:p w14:paraId="4756E431"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901.063.906</w:t>
            </w:r>
          </w:p>
        </w:tc>
        <w:tc>
          <w:tcPr>
            <w:tcW w:w="323" w:type="dxa"/>
            <w:tcBorders>
              <w:top w:val="nil"/>
              <w:left w:val="nil"/>
              <w:bottom w:val="single" w:sz="8" w:space="0" w:color="auto"/>
              <w:right w:val="single" w:sz="8" w:space="0" w:color="auto"/>
            </w:tcBorders>
            <w:shd w:val="clear" w:color="auto" w:fill="auto"/>
            <w:vAlign w:val="center"/>
            <w:hideMark/>
          </w:tcPr>
          <w:p w14:paraId="6B7CFFF1"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6</w:t>
            </w:r>
          </w:p>
        </w:tc>
        <w:tc>
          <w:tcPr>
            <w:tcW w:w="505" w:type="dxa"/>
            <w:tcBorders>
              <w:top w:val="nil"/>
              <w:left w:val="nil"/>
              <w:bottom w:val="single" w:sz="8" w:space="0" w:color="auto"/>
              <w:right w:val="single" w:sz="8" w:space="0" w:color="auto"/>
            </w:tcBorders>
            <w:shd w:val="clear" w:color="auto" w:fill="auto"/>
            <w:vAlign w:val="center"/>
            <w:hideMark/>
          </w:tcPr>
          <w:p w14:paraId="3573C014"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63854</w:t>
            </w:r>
          </w:p>
        </w:tc>
        <w:tc>
          <w:tcPr>
            <w:tcW w:w="4243" w:type="dxa"/>
            <w:tcBorders>
              <w:top w:val="nil"/>
              <w:left w:val="nil"/>
              <w:bottom w:val="single" w:sz="8" w:space="0" w:color="auto"/>
              <w:right w:val="single" w:sz="8" w:space="0" w:color="auto"/>
            </w:tcBorders>
            <w:shd w:val="clear" w:color="auto" w:fill="auto"/>
            <w:vAlign w:val="center"/>
            <w:hideMark/>
          </w:tcPr>
          <w:p w14:paraId="349C9F1A"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SOLARPACK COLOMBIA SAS ESP</w:t>
            </w:r>
          </w:p>
        </w:tc>
        <w:tc>
          <w:tcPr>
            <w:tcW w:w="1196" w:type="dxa"/>
            <w:tcBorders>
              <w:top w:val="nil"/>
              <w:left w:val="nil"/>
              <w:bottom w:val="single" w:sz="8" w:space="0" w:color="auto"/>
              <w:right w:val="single" w:sz="8" w:space="0" w:color="auto"/>
            </w:tcBorders>
            <w:shd w:val="clear" w:color="auto" w:fill="auto"/>
            <w:vAlign w:val="center"/>
            <w:hideMark/>
          </w:tcPr>
          <w:p w14:paraId="77906822"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79F7C953"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4DC93DCA"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60ED5834"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186</w:t>
            </w:r>
          </w:p>
        </w:tc>
        <w:tc>
          <w:tcPr>
            <w:tcW w:w="879" w:type="dxa"/>
            <w:tcBorders>
              <w:top w:val="nil"/>
              <w:left w:val="nil"/>
              <w:bottom w:val="single" w:sz="8" w:space="0" w:color="auto"/>
              <w:right w:val="single" w:sz="8" w:space="0" w:color="auto"/>
            </w:tcBorders>
            <w:shd w:val="clear" w:color="auto" w:fill="auto"/>
            <w:vAlign w:val="center"/>
            <w:hideMark/>
          </w:tcPr>
          <w:p w14:paraId="0C5DB948"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901.066.395</w:t>
            </w:r>
          </w:p>
        </w:tc>
        <w:tc>
          <w:tcPr>
            <w:tcW w:w="323" w:type="dxa"/>
            <w:tcBorders>
              <w:top w:val="nil"/>
              <w:left w:val="nil"/>
              <w:bottom w:val="single" w:sz="8" w:space="0" w:color="auto"/>
              <w:right w:val="single" w:sz="8" w:space="0" w:color="auto"/>
            </w:tcBorders>
            <w:shd w:val="clear" w:color="auto" w:fill="auto"/>
            <w:vAlign w:val="center"/>
            <w:hideMark/>
          </w:tcPr>
          <w:p w14:paraId="0299B256"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6</w:t>
            </w:r>
          </w:p>
        </w:tc>
        <w:tc>
          <w:tcPr>
            <w:tcW w:w="505" w:type="dxa"/>
            <w:tcBorders>
              <w:top w:val="nil"/>
              <w:left w:val="nil"/>
              <w:bottom w:val="single" w:sz="8" w:space="0" w:color="auto"/>
              <w:right w:val="single" w:sz="8" w:space="0" w:color="auto"/>
            </w:tcBorders>
            <w:shd w:val="clear" w:color="auto" w:fill="auto"/>
            <w:vAlign w:val="center"/>
            <w:hideMark/>
          </w:tcPr>
          <w:p w14:paraId="5D5B430A"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37735</w:t>
            </w:r>
          </w:p>
        </w:tc>
        <w:tc>
          <w:tcPr>
            <w:tcW w:w="4243" w:type="dxa"/>
            <w:tcBorders>
              <w:top w:val="nil"/>
              <w:left w:val="nil"/>
              <w:bottom w:val="single" w:sz="8" w:space="0" w:color="auto"/>
              <w:right w:val="single" w:sz="8" w:space="0" w:color="auto"/>
            </w:tcBorders>
            <w:shd w:val="clear" w:color="auto" w:fill="auto"/>
            <w:vAlign w:val="center"/>
            <w:hideMark/>
          </w:tcPr>
          <w:p w14:paraId="1127C083" w14:textId="77777777" w:rsidR="006E3CAD" w:rsidRPr="00AD4E79" w:rsidRDefault="006E3CAD" w:rsidP="00D22441">
            <w:pPr>
              <w:jc w:val="left"/>
              <w:rPr>
                <w:rFonts w:ascii="Arial Narrow" w:hAnsi="Arial Narrow" w:cs="Arial"/>
                <w:spacing w:val="0"/>
                <w:sz w:val="16"/>
                <w:szCs w:val="16"/>
                <w:lang w:val="en-GB" w:eastAsia="es-CO"/>
              </w:rPr>
            </w:pPr>
            <w:r w:rsidRPr="00AD4E79">
              <w:rPr>
                <w:rFonts w:ascii="Arial Narrow" w:hAnsi="Arial Narrow" w:cs="Arial"/>
                <w:spacing w:val="0"/>
                <w:sz w:val="16"/>
                <w:szCs w:val="16"/>
                <w:lang w:val="en-GB" w:eastAsia="es-CO"/>
              </w:rPr>
              <w:t>ENERPACIFIC S.A.S. E.S.P.</w:t>
            </w:r>
          </w:p>
        </w:tc>
        <w:tc>
          <w:tcPr>
            <w:tcW w:w="1196" w:type="dxa"/>
            <w:tcBorders>
              <w:top w:val="nil"/>
              <w:left w:val="nil"/>
              <w:bottom w:val="single" w:sz="8" w:space="0" w:color="auto"/>
              <w:right w:val="single" w:sz="8" w:space="0" w:color="auto"/>
            </w:tcBorders>
            <w:shd w:val="clear" w:color="auto" w:fill="auto"/>
            <w:vAlign w:val="center"/>
            <w:hideMark/>
          </w:tcPr>
          <w:p w14:paraId="3D111EF5"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54DD6DC7"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SIN REPORTE AL SUI</w:t>
            </w:r>
          </w:p>
        </w:tc>
      </w:tr>
      <w:tr w:rsidR="00AD4E79" w:rsidRPr="00AD4E79" w14:paraId="7F35F69E" w14:textId="77777777" w:rsidTr="00AD4E79">
        <w:trPr>
          <w:trHeight w:val="611"/>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3C5447B3"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187</w:t>
            </w:r>
          </w:p>
        </w:tc>
        <w:tc>
          <w:tcPr>
            <w:tcW w:w="879" w:type="dxa"/>
            <w:tcBorders>
              <w:top w:val="nil"/>
              <w:left w:val="nil"/>
              <w:bottom w:val="single" w:sz="8" w:space="0" w:color="auto"/>
              <w:right w:val="single" w:sz="8" w:space="0" w:color="auto"/>
            </w:tcBorders>
            <w:shd w:val="clear" w:color="auto" w:fill="auto"/>
            <w:vAlign w:val="center"/>
            <w:hideMark/>
          </w:tcPr>
          <w:p w14:paraId="084F654A"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901.091.586</w:t>
            </w:r>
          </w:p>
        </w:tc>
        <w:tc>
          <w:tcPr>
            <w:tcW w:w="323" w:type="dxa"/>
            <w:tcBorders>
              <w:top w:val="nil"/>
              <w:left w:val="nil"/>
              <w:bottom w:val="single" w:sz="8" w:space="0" w:color="auto"/>
              <w:right w:val="single" w:sz="8" w:space="0" w:color="auto"/>
            </w:tcBorders>
            <w:shd w:val="clear" w:color="auto" w:fill="auto"/>
            <w:vAlign w:val="center"/>
            <w:hideMark/>
          </w:tcPr>
          <w:p w14:paraId="68ED7164"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w:t>
            </w:r>
          </w:p>
        </w:tc>
        <w:tc>
          <w:tcPr>
            <w:tcW w:w="505" w:type="dxa"/>
            <w:tcBorders>
              <w:top w:val="nil"/>
              <w:left w:val="nil"/>
              <w:bottom w:val="single" w:sz="8" w:space="0" w:color="auto"/>
              <w:right w:val="single" w:sz="8" w:space="0" w:color="auto"/>
            </w:tcBorders>
            <w:shd w:val="clear" w:color="auto" w:fill="auto"/>
            <w:vAlign w:val="center"/>
            <w:hideMark/>
          </w:tcPr>
          <w:p w14:paraId="7823FB4A"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38134</w:t>
            </w:r>
          </w:p>
        </w:tc>
        <w:tc>
          <w:tcPr>
            <w:tcW w:w="4243" w:type="dxa"/>
            <w:tcBorders>
              <w:top w:val="nil"/>
              <w:left w:val="nil"/>
              <w:bottom w:val="single" w:sz="8" w:space="0" w:color="auto"/>
              <w:right w:val="single" w:sz="8" w:space="0" w:color="auto"/>
            </w:tcBorders>
            <w:shd w:val="clear" w:color="auto" w:fill="auto"/>
            <w:vAlign w:val="center"/>
            <w:hideMark/>
          </w:tcPr>
          <w:p w14:paraId="176C50A7"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EMPRESA ASOCIATIVA DE TRABAJO PARA LA PRESTACIÓN DE SERVICIOS DE ENERGÍA DEL PACIFICO MUNICIPIO DE SANTA BARBARA ISCUANDE</w:t>
            </w:r>
          </w:p>
        </w:tc>
        <w:tc>
          <w:tcPr>
            <w:tcW w:w="1196" w:type="dxa"/>
            <w:tcBorders>
              <w:top w:val="nil"/>
              <w:left w:val="nil"/>
              <w:bottom w:val="single" w:sz="8" w:space="0" w:color="auto"/>
              <w:right w:val="single" w:sz="8" w:space="0" w:color="auto"/>
            </w:tcBorders>
            <w:shd w:val="clear" w:color="auto" w:fill="auto"/>
            <w:vAlign w:val="center"/>
            <w:hideMark/>
          </w:tcPr>
          <w:p w14:paraId="315ED96E"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1EC824BC"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SIN REPORTE AL SUI</w:t>
            </w:r>
          </w:p>
        </w:tc>
      </w:tr>
      <w:tr w:rsidR="00AD4E79" w:rsidRPr="00AD4E79" w14:paraId="4C4B2023" w14:textId="77777777" w:rsidTr="00AD4E79">
        <w:trPr>
          <w:trHeight w:val="271"/>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5442FFB0"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188</w:t>
            </w:r>
          </w:p>
        </w:tc>
        <w:tc>
          <w:tcPr>
            <w:tcW w:w="879" w:type="dxa"/>
            <w:tcBorders>
              <w:top w:val="nil"/>
              <w:left w:val="nil"/>
              <w:bottom w:val="single" w:sz="8" w:space="0" w:color="auto"/>
              <w:right w:val="single" w:sz="8" w:space="0" w:color="auto"/>
            </w:tcBorders>
            <w:shd w:val="clear" w:color="auto" w:fill="auto"/>
            <w:vAlign w:val="center"/>
            <w:hideMark/>
          </w:tcPr>
          <w:p w14:paraId="2957D92F"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901.094.262</w:t>
            </w:r>
          </w:p>
        </w:tc>
        <w:tc>
          <w:tcPr>
            <w:tcW w:w="323" w:type="dxa"/>
            <w:tcBorders>
              <w:top w:val="nil"/>
              <w:left w:val="nil"/>
              <w:bottom w:val="single" w:sz="8" w:space="0" w:color="auto"/>
              <w:right w:val="single" w:sz="8" w:space="0" w:color="auto"/>
            </w:tcBorders>
            <w:shd w:val="clear" w:color="auto" w:fill="auto"/>
            <w:vAlign w:val="center"/>
            <w:hideMark/>
          </w:tcPr>
          <w:p w14:paraId="2A33962D"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4</w:t>
            </w:r>
          </w:p>
        </w:tc>
        <w:tc>
          <w:tcPr>
            <w:tcW w:w="505" w:type="dxa"/>
            <w:tcBorders>
              <w:top w:val="nil"/>
              <w:left w:val="nil"/>
              <w:bottom w:val="single" w:sz="8" w:space="0" w:color="auto"/>
              <w:right w:val="single" w:sz="8" w:space="0" w:color="auto"/>
            </w:tcBorders>
            <w:shd w:val="clear" w:color="auto" w:fill="auto"/>
            <w:vAlign w:val="center"/>
            <w:hideMark/>
          </w:tcPr>
          <w:p w14:paraId="1814F55F"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38851</w:t>
            </w:r>
          </w:p>
        </w:tc>
        <w:tc>
          <w:tcPr>
            <w:tcW w:w="4243" w:type="dxa"/>
            <w:tcBorders>
              <w:top w:val="nil"/>
              <w:left w:val="nil"/>
              <w:bottom w:val="single" w:sz="8" w:space="0" w:color="auto"/>
              <w:right w:val="single" w:sz="8" w:space="0" w:color="auto"/>
            </w:tcBorders>
            <w:shd w:val="clear" w:color="auto" w:fill="auto"/>
            <w:vAlign w:val="center"/>
            <w:hideMark/>
          </w:tcPr>
          <w:p w14:paraId="7715F9C0" w14:textId="77777777" w:rsidR="006E3CAD" w:rsidRPr="00AD4E79" w:rsidRDefault="006E3CAD" w:rsidP="00D22441">
            <w:pPr>
              <w:jc w:val="left"/>
              <w:rPr>
                <w:rFonts w:ascii="Arial Narrow" w:hAnsi="Arial Narrow" w:cs="Arial"/>
                <w:spacing w:val="0"/>
                <w:sz w:val="16"/>
                <w:szCs w:val="16"/>
                <w:lang w:eastAsia="es-CO"/>
              </w:rPr>
            </w:pPr>
            <w:proofErr w:type="gramStart"/>
            <w:r w:rsidRPr="00AD4E79">
              <w:rPr>
                <w:rFonts w:ascii="Arial Narrow" w:hAnsi="Arial Narrow" w:cs="Arial"/>
                <w:spacing w:val="0"/>
                <w:sz w:val="16"/>
                <w:szCs w:val="16"/>
                <w:lang w:eastAsia="es-CO"/>
              </w:rPr>
              <w:t>E..A.</w:t>
            </w:r>
            <w:proofErr w:type="gramEnd"/>
            <w:r w:rsidRPr="00AD4E79">
              <w:rPr>
                <w:rFonts w:ascii="Arial Narrow" w:hAnsi="Arial Narrow" w:cs="Arial"/>
                <w:spacing w:val="0"/>
                <w:sz w:val="16"/>
                <w:szCs w:val="16"/>
                <w:lang w:eastAsia="es-CO"/>
              </w:rPr>
              <w:t xml:space="preserve"> T. ELECTRIFICADORA DE LA ZONA FRONTERA Y RURAL DE TUMACO</w:t>
            </w:r>
          </w:p>
        </w:tc>
        <w:tc>
          <w:tcPr>
            <w:tcW w:w="1196" w:type="dxa"/>
            <w:tcBorders>
              <w:top w:val="nil"/>
              <w:left w:val="nil"/>
              <w:bottom w:val="single" w:sz="8" w:space="0" w:color="auto"/>
              <w:right w:val="single" w:sz="8" w:space="0" w:color="auto"/>
            </w:tcBorders>
            <w:shd w:val="clear" w:color="auto" w:fill="auto"/>
            <w:vAlign w:val="center"/>
            <w:hideMark/>
          </w:tcPr>
          <w:p w14:paraId="211B3C74"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2CEAF1CD"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58C93F67"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791CB04F"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189</w:t>
            </w:r>
          </w:p>
        </w:tc>
        <w:tc>
          <w:tcPr>
            <w:tcW w:w="879" w:type="dxa"/>
            <w:tcBorders>
              <w:top w:val="nil"/>
              <w:left w:val="nil"/>
              <w:bottom w:val="single" w:sz="8" w:space="0" w:color="auto"/>
              <w:right w:val="single" w:sz="8" w:space="0" w:color="auto"/>
            </w:tcBorders>
            <w:shd w:val="clear" w:color="auto" w:fill="auto"/>
            <w:vAlign w:val="center"/>
            <w:hideMark/>
          </w:tcPr>
          <w:p w14:paraId="5CA4BF7B"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901.094.947</w:t>
            </w:r>
          </w:p>
        </w:tc>
        <w:tc>
          <w:tcPr>
            <w:tcW w:w="323" w:type="dxa"/>
            <w:tcBorders>
              <w:top w:val="nil"/>
              <w:left w:val="nil"/>
              <w:bottom w:val="single" w:sz="8" w:space="0" w:color="auto"/>
              <w:right w:val="single" w:sz="8" w:space="0" w:color="auto"/>
            </w:tcBorders>
            <w:shd w:val="clear" w:color="auto" w:fill="auto"/>
            <w:vAlign w:val="center"/>
            <w:hideMark/>
          </w:tcPr>
          <w:p w14:paraId="3752CA65"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0</w:t>
            </w:r>
          </w:p>
        </w:tc>
        <w:tc>
          <w:tcPr>
            <w:tcW w:w="505" w:type="dxa"/>
            <w:tcBorders>
              <w:top w:val="nil"/>
              <w:left w:val="nil"/>
              <w:bottom w:val="single" w:sz="8" w:space="0" w:color="auto"/>
              <w:right w:val="single" w:sz="8" w:space="0" w:color="auto"/>
            </w:tcBorders>
            <w:shd w:val="clear" w:color="auto" w:fill="auto"/>
            <w:vAlign w:val="center"/>
            <w:hideMark/>
          </w:tcPr>
          <w:p w14:paraId="7E2B5011"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38213</w:t>
            </w:r>
          </w:p>
        </w:tc>
        <w:tc>
          <w:tcPr>
            <w:tcW w:w="4243" w:type="dxa"/>
            <w:tcBorders>
              <w:top w:val="nil"/>
              <w:left w:val="nil"/>
              <w:bottom w:val="single" w:sz="8" w:space="0" w:color="auto"/>
              <w:right w:val="single" w:sz="8" w:space="0" w:color="auto"/>
            </w:tcBorders>
            <w:shd w:val="clear" w:color="auto" w:fill="auto"/>
            <w:vAlign w:val="center"/>
            <w:hideMark/>
          </w:tcPr>
          <w:p w14:paraId="5EAB9209"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CEN ENERGY S.A.S E.</w:t>
            </w:r>
            <w:proofErr w:type="gramStart"/>
            <w:r w:rsidRPr="00AD4E79">
              <w:rPr>
                <w:rFonts w:ascii="Arial Narrow" w:hAnsi="Arial Narrow" w:cs="Arial"/>
                <w:spacing w:val="0"/>
                <w:sz w:val="16"/>
                <w:szCs w:val="16"/>
                <w:lang w:eastAsia="es-CO"/>
              </w:rPr>
              <w:t>S.P</w:t>
            </w:r>
            <w:proofErr w:type="gramEnd"/>
          </w:p>
        </w:tc>
        <w:tc>
          <w:tcPr>
            <w:tcW w:w="1196" w:type="dxa"/>
            <w:tcBorders>
              <w:top w:val="nil"/>
              <w:left w:val="nil"/>
              <w:bottom w:val="single" w:sz="8" w:space="0" w:color="auto"/>
              <w:right w:val="single" w:sz="8" w:space="0" w:color="auto"/>
            </w:tcBorders>
            <w:shd w:val="clear" w:color="auto" w:fill="auto"/>
            <w:vAlign w:val="center"/>
            <w:hideMark/>
          </w:tcPr>
          <w:p w14:paraId="770E58D4"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7C72BCFD"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7C0317E2" w14:textId="77777777" w:rsidTr="00AD4E79">
        <w:trPr>
          <w:trHeight w:val="361"/>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3B92383F"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190</w:t>
            </w:r>
          </w:p>
        </w:tc>
        <w:tc>
          <w:tcPr>
            <w:tcW w:w="879" w:type="dxa"/>
            <w:tcBorders>
              <w:top w:val="nil"/>
              <w:left w:val="nil"/>
              <w:bottom w:val="single" w:sz="8" w:space="0" w:color="auto"/>
              <w:right w:val="single" w:sz="8" w:space="0" w:color="auto"/>
            </w:tcBorders>
            <w:shd w:val="clear" w:color="auto" w:fill="auto"/>
            <w:vAlign w:val="center"/>
            <w:hideMark/>
          </w:tcPr>
          <w:p w14:paraId="73849CF4"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901.098.421</w:t>
            </w:r>
          </w:p>
        </w:tc>
        <w:tc>
          <w:tcPr>
            <w:tcW w:w="323" w:type="dxa"/>
            <w:tcBorders>
              <w:top w:val="nil"/>
              <w:left w:val="nil"/>
              <w:bottom w:val="single" w:sz="8" w:space="0" w:color="auto"/>
              <w:right w:val="single" w:sz="8" w:space="0" w:color="auto"/>
            </w:tcBorders>
            <w:shd w:val="clear" w:color="auto" w:fill="auto"/>
            <w:vAlign w:val="center"/>
            <w:hideMark/>
          </w:tcPr>
          <w:p w14:paraId="41863533"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7</w:t>
            </w:r>
          </w:p>
        </w:tc>
        <w:tc>
          <w:tcPr>
            <w:tcW w:w="505" w:type="dxa"/>
            <w:tcBorders>
              <w:top w:val="nil"/>
              <w:left w:val="nil"/>
              <w:bottom w:val="single" w:sz="8" w:space="0" w:color="auto"/>
              <w:right w:val="single" w:sz="8" w:space="0" w:color="auto"/>
            </w:tcBorders>
            <w:shd w:val="clear" w:color="auto" w:fill="auto"/>
            <w:vAlign w:val="center"/>
            <w:hideMark/>
          </w:tcPr>
          <w:p w14:paraId="54B3C968"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38850</w:t>
            </w:r>
          </w:p>
        </w:tc>
        <w:tc>
          <w:tcPr>
            <w:tcW w:w="4243" w:type="dxa"/>
            <w:tcBorders>
              <w:top w:val="nil"/>
              <w:left w:val="nil"/>
              <w:bottom w:val="single" w:sz="8" w:space="0" w:color="auto"/>
              <w:right w:val="single" w:sz="8" w:space="0" w:color="auto"/>
            </w:tcBorders>
            <w:shd w:val="clear" w:color="auto" w:fill="auto"/>
            <w:vAlign w:val="center"/>
            <w:hideMark/>
          </w:tcPr>
          <w:p w14:paraId="1042797E" w14:textId="3F69C0B6"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 xml:space="preserve">EMPRESA DE SERVICIOS PÚBLICOS DE ENERGÍA ELÉCTRICA DE LAS PLAYAS ASOCIADAS - ENERPLASO S.A. E.S.P. </w:t>
            </w:r>
          </w:p>
        </w:tc>
        <w:tc>
          <w:tcPr>
            <w:tcW w:w="1196" w:type="dxa"/>
            <w:tcBorders>
              <w:top w:val="nil"/>
              <w:left w:val="nil"/>
              <w:bottom w:val="single" w:sz="8" w:space="0" w:color="auto"/>
              <w:right w:val="single" w:sz="8" w:space="0" w:color="auto"/>
            </w:tcBorders>
            <w:shd w:val="clear" w:color="auto" w:fill="auto"/>
            <w:vAlign w:val="center"/>
            <w:hideMark/>
          </w:tcPr>
          <w:p w14:paraId="613BA107"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479D639B"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SIN REPORTE AL SUI</w:t>
            </w:r>
          </w:p>
        </w:tc>
      </w:tr>
      <w:tr w:rsidR="00AD4E79" w:rsidRPr="00AD4E79" w14:paraId="254370F5"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1DB82C7E"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lastRenderedPageBreak/>
              <w:t>191</w:t>
            </w:r>
          </w:p>
        </w:tc>
        <w:tc>
          <w:tcPr>
            <w:tcW w:w="879" w:type="dxa"/>
            <w:tcBorders>
              <w:top w:val="nil"/>
              <w:left w:val="nil"/>
              <w:bottom w:val="single" w:sz="8" w:space="0" w:color="auto"/>
              <w:right w:val="single" w:sz="8" w:space="0" w:color="auto"/>
            </w:tcBorders>
            <w:shd w:val="clear" w:color="auto" w:fill="auto"/>
            <w:vAlign w:val="center"/>
            <w:hideMark/>
          </w:tcPr>
          <w:p w14:paraId="3D8FAD1F"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901.113.171</w:t>
            </w:r>
          </w:p>
        </w:tc>
        <w:tc>
          <w:tcPr>
            <w:tcW w:w="323" w:type="dxa"/>
            <w:tcBorders>
              <w:top w:val="nil"/>
              <w:left w:val="nil"/>
              <w:bottom w:val="single" w:sz="8" w:space="0" w:color="auto"/>
              <w:right w:val="single" w:sz="8" w:space="0" w:color="auto"/>
            </w:tcBorders>
            <w:shd w:val="clear" w:color="auto" w:fill="auto"/>
            <w:vAlign w:val="center"/>
            <w:hideMark/>
          </w:tcPr>
          <w:p w14:paraId="4BF165D0"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5</w:t>
            </w:r>
          </w:p>
        </w:tc>
        <w:tc>
          <w:tcPr>
            <w:tcW w:w="505" w:type="dxa"/>
            <w:tcBorders>
              <w:top w:val="nil"/>
              <w:left w:val="nil"/>
              <w:bottom w:val="single" w:sz="8" w:space="0" w:color="auto"/>
              <w:right w:val="single" w:sz="8" w:space="0" w:color="auto"/>
            </w:tcBorders>
            <w:shd w:val="clear" w:color="auto" w:fill="auto"/>
            <w:vAlign w:val="center"/>
            <w:hideMark/>
          </w:tcPr>
          <w:p w14:paraId="06DBB774"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39712</w:t>
            </w:r>
          </w:p>
        </w:tc>
        <w:tc>
          <w:tcPr>
            <w:tcW w:w="4243" w:type="dxa"/>
            <w:tcBorders>
              <w:top w:val="nil"/>
              <w:left w:val="nil"/>
              <w:bottom w:val="single" w:sz="8" w:space="0" w:color="auto"/>
              <w:right w:val="single" w:sz="8" w:space="0" w:color="auto"/>
            </w:tcBorders>
            <w:shd w:val="clear" w:color="auto" w:fill="auto"/>
            <w:vAlign w:val="center"/>
            <w:hideMark/>
          </w:tcPr>
          <w:p w14:paraId="36199D48"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EMPRESA ELÉCTRICA REGIONAL SAS ESP</w:t>
            </w:r>
          </w:p>
        </w:tc>
        <w:tc>
          <w:tcPr>
            <w:tcW w:w="1196" w:type="dxa"/>
            <w:tcBorders>
              <w:top w:val="nil"/>
              <w:left w:val="nil"/>
              <w:bottom w:val="single" w:sz="8" w:space="0" w:color="auto"/>
              <w:right w:val="single" w:sz="8" w:space="0" w:color="auto"/>
            </w:tcBorders>
            <w:shd w:val="clear" w:color="auto" w:fill="auto"/>
            <w:vAlign w:val="center"/>
            <w:hideMark/>
          </w:tcPr>
          <w:p w14:paraId="0FB39938"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7809A673"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SIN REPORTE AL SUI</w:t>
            </w:r>
          </w:p>
        </w:tc>
      </w:tr>
      <w:tr w:rsidR="00AD4E79" w:rsidRPr="00AD4E79" w14:paraId="42FC574D" w14:textId="77777777" w:rsidTr="00AD4E79">
        <w:trPr>
          <w:trHeight w:val="316"/>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27511F21"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192</w:t>
            </w:r>
          </w:p>
        </w:tc>
        <w:tc>
          <w:tcPr>
            <w:tcW w:w="879" w:type="dxa"/>
            <w:tcBorders>
              <w:top w:val="nil"/>
              <w:left w:val="nil"/>
              <w:bottom w:val="single" w:sz="8" w:space="0" w:color="auto"/>
              <w:right w:val="single" w:sz="8" w:space="0" w:color="auto"/>
            </w:tcBorders>
            <w:shd w:val="clear" w:color="auto" w:fill="auto"/>
            <w:vAlign w:val="center"/>
            <w:hideMark/>
          </w:tcPr>
          <w:p w14:paraId="6E23EA56"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901.118.424</w:t>
            </w:r>
          </w:p>
        </w:tc>
        <w:tc>
          <w:tcPr>
            <w:tcW w:w="323" w:type="dxa"/>
            <w:tcBorders>
              <w:top w:val="nil"/>
              <w:left w:val="nil"/>
              <w:bottom w:val="single" w:sz="8" w:space="0" w:color="auto"/>
              <w:right w:val="single" w:sz="8" w:space="0" w:color="auto"/>
            </w:tcBorders>
            <w:shd w:val="clear" w:color="auto" w:fill="auto"/>
            <w:vAlign w:val="center"/>
            <w:hideMark/>
          </w:tcPr>
          <w:p w14:paraId="72E1CBAB"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6</w:t>
            </w:r>
          </w:p>
        </w:tc>
        <w:tc>
          <w:tcPr>
            <w:tcW w:w="505" w:type="dxa"/>
            <w:tcBorders>
              <w:top w:val="nil"/>
              <w:left w:val="nil"/>
              <w:bottom w:val="single" w:sz="8" w:space="0" w:color="auto"/>
              <w:right w:val="single" w:sz="8" w:space="0" w:color="auto"/>
            </w:tcBorders>
            <w:shd w:val="clear" w:color="auto" w:fill="auto"/>
            <w:vAlign w:val="center"/>
            <w:hideMark/>
          </w:tcPr>
          <w:p w14:paraId="5B4F44A6"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38893</w:t>
            </w:r>
          </w:p>
        </w:tc>
        <w:tc>
          <w:tcPr>
            <w:tcW w:w="4243" w:type="dxa"/>
            <w:tcBorders>
              <w:top w:val="nil"/>
              <w:left w:val="nil"/>
              <w:bottom w:val="single" w:sz="8" w:space="0" w:color="auto"/>
              <w:right w:val="single" w:sz="8" w:space="0" w:color="auto"/>
            </w:tcBorders>
            <w:shd w:val="clear" w:color="auto" w:fill="auto"/>
            <w:vAlign w:val="center"/>
            <w:hideMark/>
          </w:tcPr>
          <w:p w14:paraId="0B0972F1"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EMPRESA DE SERVICIOS PUBLICOS DEL CAQUETA S.A.S. ESP</w:t>
            </w:r>
          </w:p>
        </w:tc>
        <w:tc>
          <w:tcPr>
            <w:tcW w:w="1196" w:type="dxa"/>
            <w:tcBorders>
              <w:top w:val="nil"/>
              <w:left w:val="nil"/>
              <w:bottom w:val="single" w:sz="8" w:space="0" w:color="auto"/>
              <w:right w:val="single" w:sz="8" w:space="0" w:color="auto"/>
            </w:tcBorders>
            <w:shd w:val="clear" w:color="auto" w:fill="auto"/>
            <w:vAlign w:val="center"/>
            <w:hideMark/>
          </w:tcPr>
          <w:p w14:paraId="048B4AD7"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6EC2D1ED"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SIN REPORTE AL SUI</w:t>
            </w:r>
          </w:p>
        </w:tc>
      </w:tr>
      <w:tr w:rsidR="00AD4E79" w:rsidRPr="00AD4E79" w14:paraId="2D86EBE5"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65ADF585"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193</w:t>
            </w:r>
          </w:p>
        </w:tc>
        <w:tc>
          <w:tcPr>
            <w:tcW w:w="879" w:type="dxa"/>
            <w:tcBorders>
              <w:top w:val="nil"/>
              <w:left w:val="nil"/>
              <w:bottom w:val="single" w:sz="8" w:space="0" w:color="auto"/>
              <w:right w:val="single" w:sz="8" w:space="0" w:color="auto"/>
            </w:tcBorders>
            <w:shd w:val="clear" w:color="auto" w:fill="auto"/>
            <w:vAlign w:val="center"/>
            <w:hideMark/>
          </w:tcPr>
          <w:p w14:paraId="5DB0D345"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901.125.404</w:t>
            </w:r>
          </w:p>
        </w:tc>
        <w:tc>
          <w:tcPr>
            <w:tcW w:w="323" w:type="dxa"/>
            <w:tcBorders>
              <w:top w:val="nil"/>
              <w:left w:val="nil"/>
              <w:bottom w:val="single" w:sz="8" w:space="0" w:color="auto"/>
              <w:right w:val="single" w:sz="8" w:space="0" w:color="auto"/>
            </w:tcBorders>
            <w:shd w:val="clear" w:color="auto" w:fill="auto"/>
            <w:vAlign w:val="center"/>
            <w:hideMark/>
          </w:tcPr>
          <w:p w14:paraId="63A5E3BE"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w:t>
            </w:r>
          </w:p>
        </w:tc>
        <w:tc>
          <w:tcPr>
            <w:tcW w:w="505" w:type="dxa"/>
            <w:tcBorders>
              <w:top w:val="nil"/>
              <w:left w:val="nil"/>
              <w:bottom w:val="single" w:sz="8" w:space="0" w:color="auto"/>
              <w:right w:val="single" w:sz="8" w:space="0" w:color="auto"/>
            </w:tcBorders>
            <w:shd w:val="clear" w:color="auto" w:fill="auto"/>
            <w:vAlign w:val="center"/>
            <w:hideMark/>
          </w:tcPr>
          <w:p w14:paraId="6E1EDC84"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39313</w:t>
            </w:r>
          </w:p>
        </w:tc>
        <w:tc>
          <w:tcPr>
            <w:tcW w:w="4243" w:type="dxa"/>
            <w:tcBorders>
              <w:top w:val="nil"/>
              <w:left w:val="nil"/>
              <w:bottom w:val="single" w:sz="8" w:space="0" w:color="auto"/>
              <w:right w:val="single" w:sz="8" w:space="0" w:color="auto"/>
            </w:tcBorders>
            <w:shd w:val="clear" w:color="auto" w:fill="auto"/>
            <w:vAlign w:val="center"/>
            <w:hideMark/>
          </w:tcPr>
          <w:p w14:paraId="30FEB4C2"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JULIA-RD S.A. E.S.P.</w:t>
            </w:r>
          </w:p>
        </w:tc>
        <w:tc>
          <w:tcPr>
            <w:tcW w:w="1196" w:type="dxa"/>
            <w:tcBorders>
              <w:top w:val="nil"/>
              <w:left w:val="nil"/>
              <w:bottom w:val="single" w:sz="8" w:space="0" w:color="auto"/>
              <w:right w:val="single" w:sz="8" w:space="0" w:color="auto"/>
            </w:tcBorders>
            <w:shd w:val="clear" w:color="auto" w:fill="auto"/>
            <w:vAlign w:val="center"/>
            <w:hideMark/>
          </w:tcPr>
          <w:p w14:paraId="3669333F"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7CDFB746"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23FF8602" w14:textId="77777777" w:rsidTr="00AD4E79">
        <w:trPr>
          <w:trHeight w:val="327"/>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2C148696"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194</w:t>
            </w:r>
          </w:p>
        </w:tc>
        <w:tc>
          <w:tcPr>
            <w:tcW w:w="879" w:type="dxa"/>
            <w:tcBorders>
              <w:top w:val="nil"/>
              <w:left w:val="nil"/>
              <w:bottom w:val="single" w:sz="8" w:space="0" w:color="auto"/>
              <w:right w:val="single" w:sz="8" w:space="0" w:color="auto"/>
            </w:tcBorders>
            <w:shd w:val="clear" w:color="auto" w:fill="auto"/>
            <w:vAlign w:val="center"/>
            <w:hideMark/>
          </w:tcPr>
          <w:p w14:paraId="2A7BEC87"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901.126.551</w:t>
            </w:r>
          </w:p>
        </w:tc>
        <w:tc>
          <w:tcPr>
            <w:tcW w:w="323" w:type="dxa"/>
            <w:tcBorders>
              <w:top w:val="nil"/>
              <w:left w:val="nil"/>
              <w:bottom w:val="single" w:sz="8" w:space="0" w:color="auto"/>
              <w:right w:val="single" w:sz="8" w:space="0" w:color="auto"/>
            </w:tcBorders>
            <w:shd w:val="clear" w:color="auto" w:fill="auto"/>
            <w:vAlign w:val="center"/>
            <w:hideMark/>
          </w:tcPr>
          <w:p w14:paraId="6F2DCE2F"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7</w:t>
            </w:r>
          </w:p>
        </w:tc>
        <w:tc>
          <w:tcPr>
            <w:tcW w:w="505" w:type="dxa"/>
            <w:tcBorders>
              <w:top w:val="nil"/>
              <w:left w:val="nil"/>
              <w:bottom w:val="single" w:sz="8" w:space="0" w:color="auto"/>
              <w:right w:val="single" w:sz="8" w:space="0" w:color="auto"/>
            </w:tcBorders>
            <w:shd w:val="clear" w:color="auto" w:fill="auto"/>
            <w:vAlign w:val="center"/>
            <w:hideMark/>
          </w:tcPr>
          <w:p w14:paraId="4B4BC46E"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39672</w:t>
            </w:r>
          </w:p>
        </w:tc>
        <w:tc>
          <w:tcPr>
            <w:tcW w:w="4243" w:type="dxa"/>
            <w:tcBorders>
              <w:top w:val="nil"/>
              <w:left w:val="nil"/>
              <w:bottom w:val="single" w:sz="8" w:space="0" w:color="auto"/>
              <w:right w:val="single" w:sz="8" w:space="0" w:color="auto"/>
            </w:tcBorders>
            <w:shd w:val="clear" w:color="auto" w:fill="auto"/>
            <w:vAlign w:val="center"/>
            <w:hideMark/>
          </w:tcPr>
          <w:p w14:paraId="34BB8468"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 xml:space="preserve">empresa prestadora de servicios </w:t>
            </w:r>
            <w:proofErr w:type="spellStart"/>
            <w:r w:rsidRPr="00AD4E79">
              <w:rPr>
                <w:rFonts w:ascii="Arial Narrow" w:hAnsi="Arial Narrow" w:cs="Arial"/>
                <w:spacing w:val="0"/>
                <w:sz w:val="16"/>
                <w:szCs w:val="16"/>
                <w:lang w:eastAsia="es-CO"/>
              </w:rPr>
              <w:t>publicos</w:t>
            </w:r>
            <w:proofErr w:type="spellEnd"/>
            <w:r w:rsidRPr="00AD4E79">
              <w:rPr>
                <w:rFonts w:ascii="Arial Narrow" w:hAnsi="Arial Narrow" w:cs="Arial"/>
                <w:spacing w:val="0"/>
                <w:sz w:val="16"/>
                <w:szCs w:val="16"/>
                <w:lang w:eastAsia="es-CO"/>
              </w:rPr>
              <w:t xml:space="preserve"> de </w:t>
            </w:r>
            <w:proofErr w:type="spellStart"/>
            <w:r w:rsidRPr="00AD4E79">
              <w:rPr>
                <w:rFonts w:ascii="Arial Narrow" w:hAnsi="Arial Narrow" w:cs="Arial"/>
                <w:spacing w:val="0"/>
                <w:sz w:val="16"/>
                <w:szCs w:val="16"/>
                <w:lang w:eastAsia="es-CO"/>
              </w:rPr>
              <w:t>energias</w:t>
            </w:r>
            <w:proofErr w:type="spellEnd"/>
            <w:r w:rsidRPr="00AD4E79">
              <w:rPr>
                <w:rFonts w:ascii="Arial Narrow" w:hAnsi="Arial Narrow" w:cs="Arial"/>
                <w:spacing w:val="0"/>
                <w:sz w:val="16"/>
                <w:szCs w:val="16"/>
                <w:lang w:eastAsia="es-CO"/>
              </w:rPr>
              <w:t xml:space="preserve"> gas y </w:t>
            </w:r>
            <w:proofErr w:type="gramStart"/>
            <w:r w:rsidRPr="00AD4E79">
              <w:rPr>
                <w:rFonts w:ascii="Arial Narrow" w:hAnsi="Arial Narrow" w:cs="Arial"/>
                <w:spacing w:val="0"/>
                <w:sz w:val="16"/>
                <w:szCs w:val="16"/>
                <w:lang w:eastAsia="es-CO"/>
              </w:rPr>
              <w:t>telecomunicaciones  S.A.S.</w:t>
            </w:r>
            <w:proofErr w:type="gramEnd"/>
          </w:p>
        </w:tc>
        <w:tc>
          <w:tcPr>
            <w:tcW w:w="1196" w:type="dxa"/>
            <w:tcBorders>
              <w:top w:val="nil"/>
              <w:left w:val="nil"/>
              <w:bottom w:val="single" w:sz="8" w:space="0" w:color="auto"/>
              <w:right w:val="single" w:sz="8" w:space="0" w:color="auto"/>
            </w:tcBorders>
            <w:shd w:val="clear" w:color="auto" w:fill="auto"/>
            <w:vAlign w:val="center"/>
            <w:hideMark/>
          </w:tcPr>
          <w:p w14:paraId="18D35875"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7EF54FB3"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SIN REPORTE AL SUI</w:t>
            </w:r>
          </w:p>
        </w:tc>
      </w:tr>
      <w:tr w:rsidR="00AD4E79" w:rsidRPr="00AD4E79" w14:paraId="316C4623" w14:textId="77777777" w:rsidTr="00AD4E79">
        <w:trPr>
          <w:trHeight w:val="361"/>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1CC4B77F"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195</w:t>
            </w:r>
          </w:p>
        </w:tc>
        <w:tc>
          <w:tcPr>
            <w:tcW w:w="879" w:type="dxa"/>
            <w:tcBorders>
              <w:top w:val="nil"/>
              <w:left w:val="nil"/>
              <w:bottom w:val="single" w:sz="8" w:space="0" w:color="auto"/>
              <w:right w:val="single" w:sz="8" w:space="0" w:color="auto"/>
            </w:tcBorders>
            <w:shd w:val="clear" w:color="auto" w:fill="auto"/>
            <w:vAlign w:val="center"/>
            <w:hideMark/>
          </w:tcPr>
          <w:p w14:paraId="41C04287"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901.164.452</w:t>
            </w:r>
          </w:p>
        </w:tc>
        <w:tc>
          <w:tcPr>
            <w:tcW w:w="323" w:type="dxa"/>
            <w:tcBorders>
              <w:top w:val="nil"/>
              <w:left w:val="nil"/>
              <w:bottom w:val="single" w:sz="8" w:space="0" w:color="auto"/>
              <w:right w:val="single" w:sz="8" w:space="0" w:color="auto"/>
            </w:tcBorders>
            <w:shd w:val="clear" w:color="auto" w:fill="auto"/>
            <w:vAlign w:val="center"/>
            <w:hideMark/>
          </w:tcPr>
          <w:p w14:paraId="07C50226"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w:t>
            </w:r>
          </w:p>
        </w:tc>
        <w:tc>
          <w:tcPr>
            <w:tcW w:w="505" w:type="dxa"/>
            <w:tcBorders>
              <w:top w:val="nil"/>
              <w:left w:val="nil"/>
              <w:bottom w:val="single" w:sz="8" w:space="0" w:color="auto"/>
              <w:right w:val="single" w:sz="8" w:space="0" w:color="auto"/>
            </w:tcBorders>
            <w:shd w:val="clear" w:color="auto" w:fill="auto"/>
            <w:vAlign w:val="center"/>
            <w:hideMark/>
          </w:tcPr>
          <w:p w14:paraId="2BF01BC3"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41836</w:t>
            </w:r>
          </w:p>
        </w:tc>
        <w:tc>
          <w:tcPr>
            <w:tcW w:w="4243" w:type="dxa"/>
            <w:tcBorders>
              <w:top w:val="nil"/>
              <w:left w:val="nil"/>
              <w:bottom w:val="single" w:sz="8" w:space="0" w:color="auto"/>
              <w:right w:val="single" w:sz="8" w:space="0" w:color="auto"/>
            </w:tcBorders>
            <w:shd w:val="clear" w:color="auto" w:fill="auto"/>
            <w:vAlign w:val="center"/>
            <w:hideMark/>
          </w:tcPr>
          <w:p w14:paraId="3565C4E8"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EMPRESA DE SERVICIOS PUBLICOS ENERGIZAR DEL PACIFICO S.A. E.S.P.</w:t>
            </w:r>
          </w:p>
        </w:tc>
        <w:tc>
          <w:tcPr>
            <w:tcW w:w="1196" w:type="dxa"/>
            <w:tcBorders>
              <w:top w:val="nil"/>
              <w:left w:val="nil"/>
              <w:bottom w:val="single" w:sz="8" w:space="0" w:color="auto"/>
              <w:right w:val="single" w:sz="8" w:space="0" w:color="auto"/>
            </w:tcBorders>
            <w:shd w:val="clear" w:color="auto" w:fill="auto"/>
            <w:vAlign w:val="center"/>
            <w:hideMark/>
          </w:tcPr>
          <w:p w14:paraId="1C3FD38C"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57A35E7A"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5B814168"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21CB820F"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196</w:t>
            </w:r>
          </w:p>
        </w:tc>
        <w:tc>
          <w:tcPr>
            <w:tcW w:w="879" w:type="dxa"/>
            <w:tcBorders>
              <w:top w:val="nil"/>
              <w:left w:val="nil"/>
              <w:bottom w:val="single" w:sz="8" w:space="0" w:color="auto"/>
              <w:right w:val="single" w:sz="8" w:space="0" w:color="auto"/>
            </w:tcBorders>
            <w:shd w:val="clear" w:color="auto" w:fill="auto"/>
            <w:vAlign w:val="center"/>
            <w:hideMark/>
          </w:tcPr>
          <w:p w14:paraId="17494F05"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901.165.502</w:t>
            </w:r>
          </w:p>
        </w:tc>
        <w:tc>
          <w:tcPr>
            <w:tcW w:w="323" w:type="dxa"/>
            <w:tcBorders>
              <w:top w:val="nil"/>
              <w:left w:val="nil"/>
              <w:bottom w:val="single" w:sz="8" w:space="0" w:color="auto"/>
              <w:right w:val="single" w:sz="8" w:space="0" w:color="auto"/>
            </w:tcBorders>
            <w:shd w:val="clear" w:color="auto" w:fill="auto"/>
            <w:vAlign w:val="center"/>
            <w:hideMark/>
          </w:tcPr>
          <w:p w14:paraId="726936EC"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w:t>
            </w:r>
          </w:p>
        </w:tc>
        <w:tc>
          <w:tcPr>
            <w:tcW w:w="505" w:type="dxa"/>
            <w:tcBorders>
              <w:top w:val="nil"/>
              <w:left w:val="nil"/>
              <w:bottom w:val="single" w:sz="8" w:space="0" w:color="auto"/>
              <w:right w:val="single" w:sz="8" w:space="0" w:color="auto"/>
            </w:tcBorders>
            <w:shd w:val="clear" w:color="auto" w:fill="auto"/>
            <w:vAlign w:val="center"/>
            <w:hideMark/>
          </w:tcPr>
          <w:p w14:paraId="496D0035"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41335</w:t>
            </w:r>
          </w:p>
        </w:tc>
        <w:tc>
          <w:tcPr>
            <w:tcW w:w="4243" w:type="dxa"/>
            <w:tcBorders>
              <w:top w:val="nil"/>
              <w:left w:val="nil"/>
              <w:bottom w:val="single" w:sz="8" w:space="0" w:color="auto"/>
              <w:right w:val="single" w:sz="8" w:space="0" w:color="auto"/>
            </w:tcBorders>
            <w:shd w:val="clear" w:color="auto" w:fill="auto"/>
            <w:vAlign w:val="center"/>
            <w:hideMark/>
          </w:tcPr>
          <w:p w14:paraId="75ADD07C"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ECOPETROL ENERGÍA S.A.S. E.S.P.</w:t>
            </w:r>
          </w:p>
        </w:tc>
        <w:tc>
          <w:tcPr>
            <w:tcW w:w="1196" w:type="dxa"/>
            <w:tcBorders>
              <w:top w:val="nil"/>
              <w:left w:val="nil"/>
              <w:bottom w:val="single" w:sz="8" w:space="0" w:color="auto"/>
              <w:right w:val="single" w:sz="8" w:space="0" w:color="auto"/>
            </w:tcBorders>
            <w:shd w:val="clear" w:color="auto" w:fill="auto"/>
            <w:vAlign w:val="center"/>
            <w:hideMark/>
          </w:tcPr>
          <w:p w14:paraId="28242015"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0CEF8300"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3E53C4FC" w14:textId="77777777" w:rsidTr="00AD4E79">
        <w:trPr>
          <w:trHeight w:val="413"/>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08B72BA5"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197</w:t>
            </w:r>
          </w:p>
        </w:tc>
        <w:tc>
          <w:tcPr>
            <w:tcW w:w="879" w:type="dxa"/>
            <w:tcBorders>
              <w:top w:val="nil"/>
              <w:left w:val="nil"/>
              <w:bottom w:val="single" w:sz="8" w:space="0" w:color="auto"/>
              <w:right w:val="single" w:sz="8" w:space="0" w:color="auto"/>
            </w:tcBorders>
            <w:shd w:val="clear" w:color="auto" w:fill="auto"/>
            <w:vAlign w:val="center"/>
            <w:hideMark/>
          </w:tcPr>
          <w:p w14:paraId="76120BE4"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901.179.454</w:t>
            </w:r>
          </w:p>
        </w:tc>
        <w:tc>
          <w:tcPr>
            <w:tcW w:w="323" w:type="dxa"/>
            <w:tcBorders>
              <w:top w:val="nil"/>
              <w:left w:val="nil"/>
              <w:bottom w:val="single" w:sz="8" w:space="0" w:color="auto"/>
              <w:right w:val="single" w:sz="8" w:space="0" w:color="auto"/>
            </w:tcBorders>
            <w:shd w:val="clear" w:color="auto" w:fill="auto"/>
            <w:vAlign w:val="center"/>
            <w:hideMark/>
          </w:tcPr>
          <w:p w14:paraId="2D5F1773"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w:t>
            </w:r>
          </w:p>
        </w:tc>
        <w:tc>
          <w:tcPr>
            <w:tcW w:w="505" w:type="dxa"/>
            <w:tcBorders>
              <w:top w:val="nil"/>
              <w:left w:val="nil"/>
              <w:bottom w:val="single" w:sz="8" w:space="0" w:color="auto"/>
              <w:right w:val="single" w:sz="8" w:space="0" w:color="auto"/>
            </w:tcBorders>
            <w:shd w:val="clear" w:color="auto" w:fill="auto"/>
            <w:vAlign w:val="center"/>
            <w:hideMark/>
          </w:tcPr>
          <w:p w14:paraId="341366BA"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42296</w:t>
            </w:r>
          </w:p>
        </w:tc>
        <w:tc>
          <w:tcPr>
            <w:tcW w:w="4243" w:type="dxa"/>
            <w:tcBorders>
              <w:top w:val="nil"/>
              <w:left w:val="nil"/>
              <w:bottom w:val="single" w:sz="8" w:space="0" w:color="auto"/>
              <w:right w:val="single" w:sz="8" w:space="0" w:color="auto"/>
            </w:tcBorders>
            <w:shd w:val="clear" w:color="auto" w:fill="auto"/>
            <w:vAlign w:val="center"/>
            <w:hideMark/>
          </w:tcPr>
          <w:p w14:paraId="6758C024"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SOLUCIONES ENERGÉTICAS INTEGRALES DEL PACIFICO S.A.S. E.S.P.</w:t>
            </w:r>
          </w:p>
        </w:tc>
        <w:tc>
          <w:tcPr>
            <w:tcW w:w="1196" w:type="dxa"/>
            <w:tcBorders>
              <w:top w:val="nil"/>
              <w:left w:val="nil"/>
              <w:bottom w:val="single" w:sz="8" w:space="0" w:color="auto"/>
              <w:right w:val="single" w:sz="8" w:space="0" w:color="auto"/>
            </w:tcBorders>
            <w:shd w:val="clear" w:color="auto" w:fill="auto"/>
            <w:vAlign w:val="center"/>
            <w:hideMark/>
          </w:tcPr>
          <w:p w14:paraId="52D0055C"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116A83ED"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SIN REPORTE AL SUI</w:t>
            </w:r>
          </w:p>
        </w:tc>
      </w:tr>
      <w:tr w:rsidR="00AD4E79" w:rsidRPr="00AD4E79" w14:paraId="49D2B2EE"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2EB8BFA1"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198</w:t>
            </w:r>
          </w:p>
        </w:tc>
        <w:tc>
          <w:tcPr>
            <w:tcW w:w="879" w:type="dxa"/>
            <w:tcBorders>
              <w:top w:val="nil"/>
              <w:left w:val="nil"/>
              <w:bottom w:val="single" w:sz="8" w:space="0" w:color="auto"/>
              <w:right w:val="single" w:sz="8" w:space="0" w:color="auto"/>
            </w:tcBorders>
            <w:shd w:val="clear" w:color="auto" w:fill="auto"/>
            <w:vAlign w:val="center"/>
            <w:hideMark/>
          </w:tcPr>
          <w:p w14:paraId="009C534B"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901.192.478</w:t>
            </w:r>
          </w:p>
        </w:tc>
        <w:tc>
          <w:tcPr>
            <w:tcW w:w="323" w:type="dxa"/>
            <w:tcBorders>
              <w:top w:val="nil"/>
              <w:left w:val="nil"/>
              <w:bottom w:val="single" w:sz="8" w:space="0" w:color="auto"/>
              <w:right w:val="single" w:sz="8" w:space="0" w:color="auto"/>
            </w:tcBorders>
            <w:shd w:val="clear" w:color="auto" w:fill="auto"/>
            <w:vAlign w:val="center"/>
            <w:hideMark/>
          </w:tcPr>
          <w:p w14:paraId="08340285"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w:t>
            </w:r>
          </w:p>
        </w:tc>
        <w:tc>
          <w:tcPr>
            <w:tcW w:w="505" w:type="dxa"/>
            <w:tcBorders>
              <w:top w:val="nil"/>
              <w:left w:val="nil"/>
              <w:bottom w:val="single" w:sz="8" w:space="0" w:color="auto"/>
              <w:right w:val="single" w:sz="8" w:space="0" w:color="auto"/>
            </w:tcBorders>
            <w:shd w:val="clear" w:color="auto" w:fill="auto"/>
            <w:vAlign w:val="center"/>
            <w:hideMark/>
          </w:tcPr>
          <w:p w14:paraId="4E516A7B"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41976</w:t>
            </w:r>
          </w:p>
        </w:tc>
        <w:tc>
          <w:tcPr>
            <w:tcW w:w="4243" w:type="dxa"/>
            <w:tcBorders>
              <w:top w:val="nil"/>
              <w:left w:val="nil"/>
              <w:bottom w:val="single" w:sz="8" w:space="0" w:color="auto"/>
              <w:right w:val="single" w:sz="8" w:space="0" w:color="auto"/>
            </w:tcBorders>
            <w:shd w:val="clear" w:color="auto" w:fill="auto"/>
            <w:vAlign w:val="center"/>
            <w:hideMark/>
          </w:tcPr>
          <w:p w14:paraId="246EBE93"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COLOMBINA ENERGIA SAS ESP</w:t>
            </w:r>
          </w:p>
        </w:tc>
        <w:tc>
          <w:tcPr>
            <w:tcW w:w="1196" w:type="dxa"/>
            <w:tcBorders>
              <w:top w:val="nil"/>
              <w:left w:val="nil"/>
              <w:bottom w:val="single" w:sz="8" w:space="0" w:color="auto"/>
              <w:right w:val="single" w:sz="8" w:space="0" w:color="auto"/>
            </w:tcBorders>
            <w:shd w:val="clear" w:color="auto" w:fill="auto"/>
            <w:vAlign w:val="center"/>
            <w:hideMark/>
          </w:tcPr>
          <w:p w14:paraId="4791CCF1"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3F701497"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7B7ADC73"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332738A4"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199</w:t>
            </w:r>
          </w:p>
        </w:tc>
        <w:tc>
          <w:tcPr>
            <w:tcW w:w="879" w:type="dxa"/>
            <w:tcBorders>
              <w:top w:val="nil"/>
              <w:left w:val="nil"/>
              <w:bottom w:val="single" w:sz="8" w:space="0" w:color="auto"/>
              <w:right w:val="single" w:sz="8" w:space="0" w:color="auto"/>
            </w:tcBorders>
            <w:shd w:val="clear" w:color="auto" w:fill="auto"/>
            <w:vAlign w:val="center"/>
            <w:hideMark/>
          </w:tcPr>
          <w:p w14:paraId="02B4BFCD"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901.194.026</w:t>
            </w:r>
          </w:p>
        </w:tc>
        <w:tc>
          <w:tcPr>
            <w:tcW w:w="323" w:type="dxa"/>
            <w:tcBorders>
              <w:top w:val="nil"/>
              <w:left w:val="nil"/>
              <w:bottom w:val="single" w:sz="8" w:space="0" w:color="auto"/>
              <w:right w:val="single" w:sz="8" w:space="0" w:color="auto"/>
            </w:tcBorders>
            <w:shd w:val="clear" w:color="auto" w:fill="auto"/>
            <w:vAlign w:val="center"/>
            <w:hideMark/>
          </w:tcPr>
          <w:p w14:paraId="6B2ED53D"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w:t>
            </w:r>
          </w:p>
        </w:tc>
        <w:tc>
          <w:tcPr>
            <w:tcW w:w="505" w:type="dxa"/>
            <w:tcBorders>
              <w:top w:val="nil"/>
              <w:left w:val="nil"/>
              <w:bottom w:val="single" w:sz="8" w:space="0" w:color="auto"/>
              <w:right w:val="single" w:sz="8" w:space="0" w:color="auto"/>
            </w:tcBorders>
            <w:shd w:val="clear" w:color="auto" w:fill="auto"/>
            <w:vAlign w:val="center"/>
            <w:hideMark/>
          </w:tcPr>
          <w:p w14:paraId="7EB78716"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60030</w:t>
            </w:r>
          </w:p>
        </w:tc>
        <w:tc>
          <w:tcPr>
            <w:tcW w:w="4243" w:type="dxa"/>
            <w:tcBorders>
              <w:top w:val="nil"/>
              <w:left w:val="nil"/>
              <w:bottom w:val="single" w:sz="8" w:space="0" w:color="auto"/>
              <w:right w:val="single" w:sz="8" w:space="0" w:color="auto"/>
            </w:tcBorders>
            <w:shd w:val="clear" w:color="auto" w:fill="auto"/>
            <w:vAlign w:val="center"/>
            <w:hideMark/>
          </w:tcPr>
          <w:p w14:paraId="61C6468F"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FOTOVOLTAICO ARRAYANES S.A.S E.</w:t>
            </w:r>
            <w:proofErr w:type="gramStart"/>
            <w:r w:rsidRPr="00AD4E79">
              <w:rPr>
                <w:rFonts w:ascii="Arial Narrow" w:hAnsi="Arial Narrow" w:cs="Arial"/>
                <w:spacing w:val="0"/>
                <w:sz w:val="16"/>
                <w:szCs w:val="16"/>
                <w:lang w:eastAsia="es-CO"/>
              </w:rPr>
              <w:t>S.P</w:t>
            </w:r>
            <w:proofErr w:type="gramEnd"/>
          </w:p>
        </w:tc>
        <w:tc>
          <w:tcPr>
            <w:tcW w:w="1196" w:type="dxa"/>
            <w:tcBorders>
              <w:top w:val="nil"/>
              <w:left w:val="nil"/>
              <w:bottom w:val="single" w:sz="8" w:space="0" w:color="auto"/>
              <w:right w:val="single" w:sz="8" w:space="0" w:color="auto"/>
            </w:tcBorders>
            <w:shd w:val="clear" w:color="auto" w:fill="auto"/>
            <w:vAlign w:val="center"/>
            <w:hideMark/>
          </w:tcPr>
          <w:p w14:paraId="0E8DC7A0"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702FF946"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SIN REPORTE AL SUI</w:t>
            </w:r>
          </w:p>
        </w:tc>
      </w:tr>
      <w:tr w:rsidR="00AD4E79" w:rsidRPr="00AD4E79" w14:paraId="696F156E"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336828E1"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200</w:t>
            </w:r>
          </w:p>
        </w:tc>
        <w:tc>
          <w:tcPr>
            <w:tcW w:w="879" w:type="dxa"/>
            <w:tcBorders>
              <w:top w:val="nil"/>
              <w:left w:val="nil"/>
              <w:bottom w:val="single" w:sz="8" w:space="0" w:color="auto"/>
              <w:right w:val="single" w:sz="8" w:space="0" w:color="auto"/>
            </w:tcBorders>
            <w:shd w:val="clear" w:color="auto" w:fill="auto"/>
            <w:vAlign w:val="center"/>
            <w:hideMark/>
          </w:tcPr>
          <w:p w14:paraId="3DF51861"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901.199.778</w:t>
            </w:r>
          </w:p>
        </w:tc>
        <w:tc>
          <w:tcPr>
            <w:tcW w:w="323" w:type="dxa"/>
            <w:tcBorders>
              <w:top w:val="nil"/>
              <w:left w:val="nil"/>
              <w:bottom w:val="single" w:sz="8" w:space="0" w:color="auto"/>
              <w:right w:val="single" w:sz="8" w:space="0" w:color="auto"/>
            </w:tcBorders>
            <w:shd w:val="clear" w:color="auto" w:fill="auto"/>
            <w:vAlign w:val="center"/>
            <w:hideMark/>
          </w:tcPr>
          <w:p w14:paraId="7EB51681"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4</w:t>
            </w:r>
          </w:p>
        </w:tc>
        <w:tc>
          <w:tcPr>
            <w:tcW w:w="505" w:type="dxa"/>
            <w:tcBorders>
              <w:top w:val="nil"/>
              <w:left w:val="nil"/>
              <w:bottom w:val="single" w:sz="8" w:space="0" w:color="auto"/>
              <w:right w:val="single" w:sz="8" w:space="0" w:color="auto"/>
            </w:tcBorders>
            <w:shd w:val="clear" w:color="auto" w:fill="auto"/>
            <w:vAlign w:val="center"/>
            <w:hideMark/>
          </w:tcPr>
          <w:p w14:paraId="042D47D5"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41998</w:t>
            </w:r>
          </w:p>
        </w:tc>
        <w:tc>
          <w:tcPr>
            <w:tcW w:w="4243" w:type="dxa"/>
            <w:tcBorders>
              <w:top w:val="nil"/>
              <w:left w:val="nil"/>
              <w:bottom w:val="single" w:sz="8" w:space="0" w:color="auto"/>
              <w:right w:val="single" w:sz="8" w:space="0" w:color="auto"/>
            </w:tcBorders>
            <w:shd w:val="clear" w:color="auto" w:fill="auto"/>
            <w:vAlign w:val="center"/>
            <w:hideMark/>
          </w:tcPr>
          <w:p w14:paraId="58295852"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LATINOAMERICAN ENERGY SAS ESP</w:t>
            </w:r>
          </w:p>
        </w:tc>
        <w:tc>
          <w:tcPr>
            <w:tcW w:w="1196" w:type="dxa"/>
            <w:tcBorders>
              <w:top w:val="nil"/>
              <w:left w:val="nil"/>
              <w:bottom w:val="single" w:sz="8" w:space="0" w:color="auto"/>
              <w:right w:val="single" w:sz="8" w:space="0" w:color="auto"/>
            </w:tcBorders>
            <w:shd w:val="clear" w:color="auto" w:fill="auto"/>
            <w:vAlign w:val="center"/>
            <w:hideMark/>
          </w:tcPr>
          <w:p w14:paraId="452E267E"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16878E69"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3A0C7D2B"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6595FB25"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201</w:t>
            </w:r>
          </w:p>
        </w:tc>
        <w:tc>
          <w:tcPr>
            <w:tcW w:w="879" w:type="dxa"/>
            <w:tcBorders>
              <w:top w:val="nil"/>
              <w:left w:val="nil"/>
              <w:bottom w:val="single" w:sz="8" w:space="0" w:color="auto"/>
              <w:right w:val="single" w:sz="8" w:space="0" w:color="auto"/>
            </w:tcBorders>
            <w:shd w:val="clear" w:color="auto" w:fill="auto"/>
            <w:vAlign w:val="center"/>
            <w:hideMark/>
          </w:tcPr>
          <w:p w14:paraId="45D0A0A5"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901.200.248</w:t>
            </w:r>
          </w:p>
        </w:tc>
        <w:tc>
          <w:tcPr>
            <w:tcW w:w="323" w:type="dxa"/>
            <w:tcBorders>
              <w:top w:val="nil"/>
              <w:left w:val="nil"/>
              <w:bottom w:val="single" w:sz="8" w:space="0" w:color="auto"/>
              <w:right w:val="single" w:sz="8" w:space="0" w:color="auto"/>
            </w:tcBorders>
            <w:shd w:val="clear" w:color="auto" w:fill="auto"/>
            <w:vAlign w:val="center"/>
            <w:hideMark/>
          </w:tcPr>
          <w:p w14:paraId="6FAFAA7D"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6</w:t>
            </w:r>
          </w:p>
        </w:tc>
        <w:tc>
          <w:tcPr>
            <w:tcW w:w="505" w:type="dxa"/>
            <w:tcBorders>
              <w:top w:val="nil"/>
              <w:left w:val="nil"/>
              <w:bottom w:val="single" w:sz="8" w:space="0" w:color="auto"/>
              <w:right w:val="single" w:sz="8" w:space="0" w:color="auto"/>
            </w:tcBorders>
            <w:shd w:val="clear" w:color="auto" w:fill="auto"/>
            <w:vAlign w:val="center"/>
            <w:hideMark/>
          </w:tcPr>
          <w:p w14:paraId="412C615D"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42316</w:t>
            </w:r>
          </w:p>
        </w:tc>
        <w:tc>
          <w:tcPr>
            <w:tcW w:w="4243" w:type="dxa"/>
            <w:tcBorders>
              <w:top w:val="nil"/>
              <w:left w:val="nil"/>
              <w:bottom w:val="single" w:sz="8" w:space="0" w:color="auto"/>
              <w:right w:val="single" w:sz="8" w:space="0" w:color="auto"/>
            </w:tcBorders>
            <w:shd w:val="clear" w:color="auto" w:fill="auto"/>
            <w:vAlign w:val="center"/>
            <w:hideMark/>
          </w:tcPr>
          <w:p w14:paraId="5EA0129C"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SANTA FE ENERGY ZOMAC S.A.S. E.S.P.</w:t>
            </w:r>
          </w:p>
        </w:tc>
        <w:tc>
          <w:tcPr>
            <w:tcW w:w="1196" w:type="dxa"/>
            <w:tcBorders>
              <w:top w:val="nil"/>
              <w:left w:val="nil"/>
              <w:bottom w:val="single" w:sz="8" w:space="0" w:color="auto"/>
              <w:right w:val="single" w:sz="8" w:space="0" w:color="auto"/>
            </w:tcBorders>
            <w:shd w:val="clear" w:color="auto" w:fill="auto"/>
            <w:vAlign w:val="center"/>
            <w:hideMark/>
          </w:tcPr>
          <w:p w14:paraId="3DF6E51B"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43C00F01"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726A7B3C"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0C2AB25E"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202</w:t>
            </w:r>
          </w:p>
        </w:tc>
        <w:tc>
          <w:tcPr>
            <w:tcW w:w="879" w:type="dxa"/>
            <w:tcBorders>
              <w:top w:val="nil"/>
              <w:left w:val="nil"/>
              <w:bottom w:val="single" w:sz="8" w:space="0" w:color="auto"/>
              <w:right w:val="single" w:sz="8" w:space="0" w:color="auto"/>
            </w:tcBorders>
            <w:shd w:val="clear" w:color="auto" w:fill="auto"/>
            <w:vAlign w:val="center"/>
            <w:hideMark/>
          </w:tcPr>
          <w:p w14:paraId="5D096829"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901.201.734</w:t>
            </w:r>
          </w:p>
        </w:tc>
        <w:tc>
          <w:tcPr>
            <w:tcW w:w="323" w:type="dxa"/>
            <w:tcBorders>
              <w:top w:val="nil"/>
              <w:left w:val="nil"/>
              <w:bottom w:val="single" w:sz="8" w:space="0" w:color="auto"/>
              <w:right w:val="single" w:sz="8" w:space="0" w:color="auto"/>
            </w:tcBorders>
            <w:shd w:val="clear" w:color="auto" w:fill="auto"/>
            <w:vAlign w:val="center"/>
            <w:hideMark/>
          </w:tcPr>
          <w:p w14:paraId="4CEDC695"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w:t>
            </w:r>
          </w:p>
        </w:tc>
        <w:tc>
          <w:tcPr>
            <w:tcW w:w="505" w:type="dxa"/>
            <w:tcBorders>
              <w:top w:val="nil"/>
              <w:left w:val="nil"/>
              <w:bottom w:val="single" w:sz="8" w:space="0" w:color="auto"/>
              <w:right w:val="single" w:sz="8" w:space="0" w:color="auto"/>
            </w:tcBorders>
            <w:shd w:val="clear" w:color="auto" w:fill="auto"/>
            <w:vAlign w:val="center"/>
            <w:hideMark/>
          </w:tcPr>
          <w:p w14:paraId="58E82C3A"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64034</w:t>
            </w:r>
          </w:p>
        </w:tc>
        <w:tc>
          <w:tcPr>
            <w:tcW w:w="4243" w:type="dxa"/>
            <w:tcBorders>
              <w:top w:val="nil"/>
              <w:left w:val="nil"/>
              <w:bottom w:val="single" w:sz="8" w:space="0" w:color="auto"/>
              <w:right w:val="single" w:sz="8" w:space="0" w:color="auto"/>
            </w:tcBorders>
            <w:shd w:val="clear" w:color="auto" w:fill="auto"/>
            <w:vAlign w:val="center"/>
            <w:hideMark/>
          </w:tcPr>
          <w:p w14:paraId="5DF58EB3"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GENERSOL S.A.S. E.S.P.</w:t>
            </w:r>
          </w:p>
        </w:tc>
        <w:tc>
          <w:tcPr>
            <w:tcW w:w="1196" w:type="dxa"/>
            <w:tcBorders>
              <w:top w:val="nil"/>
              <w:left w:val="nil"/>
              <w:bottom w:val="single" w:sz="8" w:space="0" w:color="auto"/>
              <w:right w:val="single" w:sz="8" w:space="0" w:color="auto"/>
            </w:tcBorders>
            <w:shd w:val="clear" w:color="auto" w:fill="auto"/>
            <w:vAlign w:val="center"/>
            <w:hideMark/>
          </w:tcPr>
          <w:p w14:paraId="30705CDE"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61A78371"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1CACF174" w14:textId="77777777" w:rsidTr="00AD4E79">
        <w:trPr>
          <w:trHeight w:val="385"/>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7A06B04B"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203</w:t>
            </w:r>
          </w:p>
        </w:tc>
        <w:tc>
          <w:tcPr>
            <w:tcW w:w="879" w:type="dxa"/>
            <w:tcBorders>
              <w:top w:val="nil"/>
              <w:left w:val="nil"/>
              <w:bottom w:val="single" w:sz="8" w:space="0" w:color="auto"/>
              <w:right w:val="single" w:sz="8" w:space="0" w:color="auto"/>
            </w:tcBorders>
            <w:shd w:val="clear" w:color="auto" w:fill="auto"/>
            <w:vAlign w:val="center"/>
            <w:hideMark/>
          </w:tcPr>
          <w:p w14:paraId="6DA6250E"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901.209.425</w:t>
            </w:r>
          </w:p>
        </w:tc>
        <w:tc>
          <w:tcPr>
            <w:tcW w:w="323" w:type="dxa"/>
            <w:tcBorders>
              <w:top w:val="nil"/>
              <w:left w:val="nil"/>
              <w:bottom w:val="single" w:sz="8" w:space="0" w:color="auto"/>
              <w:right w:val="single" w:sz="8" w:space="0" w:color="auto"/>
            </w:tcBorders>
            <w:shd w:val="clear" w:color="auto" w:fill="auto"/>
            <w:vAlign w:val="center"/>
            <w:hideMark/>
          </w:tcPr>
          <w:p w14:paraId="19E87503"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4</w:t>
            </w:r>
          </w:p>
        </w:tc>
        <w:tc>
          <w:tcPr>
            <w:tcW w:w="505" w:type="dxa"/>
            <w:tcBorders>
              <w:top w:val="nil"/>
              <w:left w:val="nil"/>
              <w:bottom w:val="single" w:sz="8" w:space="0" w:color="auto"/>
              <w:right w:val="single" w:sz="8" w:space="0" w:color="auto"/>
            </w:tcBorders>
            <w:shd w:val="clear" w:color="auto" w:fill="auto"/>
            <w:vAlign w:val="center"/>
            <w:hideMark/>
          </w:tcPr>
          <w:p w14:paraId="05DDAF5D"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43076</w:t>
            </w:r>
          </w:p>
        </w:tc>
        <w:tc>
          <w:tcPr>
            <w:tcW w:w="4243" w:type="dxa"/>
            <w:tcBorders>
              <w:top w:val="nil"/>
              <w:left w:val="nil"/>
              <w:bottom w:val="single" w:sz="8" w:space="0" w:color="auto"/>
              <w:right w:val="single" w:sz="8" w:space="0" w:color="auto"/>
            </w:tcBorders>
            <w:shd w:val="clear" w:color="auto" w:fill="auto"/>
            <w:vAlign w:val="center"/>
            <w:hideMark/>
          </w:tcPr>
          <w:p w14:paraId="249D29E6"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EMPRESA ASOCIATIVA DE TRABAJO Y LA PRESTACIÓN DEL SERVICIO DE ENERGÍA EN LA ZONA RURAL DEL MUNICIPIO DE LA TOLA NARIÑO</w:t>
            </w:r>
          </w:p>
        </w:tc>
        <w:tc>
          <w:tcPr>
            <w:tcW w:w="1196" w:type="dxa"/>
            <w:tcBorders>
              <w:top w:val="nil"/>
              <w:left w:val="nil"/>
              <w:bottom w:val="single" w:sz="8" w:space="0" w:color="auto"/>
              <w:right w:val="single" w:sz="8" w:space="0" w:color="auto"/>
            </w:tcBorders>
            <w:shd w:val="clear" w:color="auto" w:fill="auto"/>
            <w:vAlign w:val="center"/>
            <w:hideMark/>
          </w:tcPr>
          <w:p w14:paraId="3C5D2F5A"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5DEE5E85"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SIN REPORTE AL SUI</w:t>
            </w:r>
          </w:p>
        </w:tc>
      </w:tr>
      <w:tr w:rsidR="00AD4E79" w:rsidRPr="00AD4E79" w14:paraId="339DCAB0"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31B7C084"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204</w:t>
            </w:r>
          </w:p>
        </w:tc>
        <w:tc>
          <w:tcPr>
            <w:tcW w:w="879" w:type="dxa"/>
            <w:tcBorders>
              <w:top w:val="nil"/>
              <w:left w:val="nil"/>
              <w:bottom w:val="single" w:sz="8" w:space="0" w:color="auto"/>
              <w:right w:val="single" w:sz="8" w:space="0" w:color="auto"/>
            </w:tcBorders>
            <w:shd w:val="clear" w:color="auto" w:fill="auto"/>
            <w:vAlign w:val="center"/>
            <w:hideMark/>
          </w:tcPr>
          <w:p w14:paraId="71614577"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901.209.614</w:t>
            </w:r>
          </w:p>
        </w:tc>
        <w:tc>
          <w:tcPr>
            <w:tcW w:w="323" w:type="dxa"/>
            <w:tcBorders>
              <w:top w:val="nil"/>
              <w:left w:val="nil"/>
              <w:bottom w:val="single" w:sz="8" w:space="0" w:color="auto"/>
              <w:right w:val="single" w:sz="8" w:space="0" w:color="auto"/>
            </w:tcBorders>
            <w:shd w:val="clear" w:color="auto" w:fill="auto"/>
            <w:vAlign w:val="center"/>
            <w:hideMark/>
          </w:tcPr>
          <w:p w14:paraId="3BB2EB4E"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w:t>
            </w:r>
          </w:p>
        </w:tc>
        <w:tc>
          <w:tcPr>
            <w:tcW w:w="505" w:type="dxa"/>
            <w:tcBorders>
              <w:top w:val="nil"/>
              <w:left w:val="nil"/>
              <w:bottom w:val="single" w:sz="8" w:space="0" w:color="auto"/>
              <w:right w:val="single" w:sz="8" w:space="0" w:color="auto"/>
            </w:tcBorders>
            <w:shd w:val="clear" w:color="auto" w:fill="auto"/>
            <w:vAlign w:val="center"/>
            <w:hideMark/>
          </w:tcPr>
          <w:p w14:paraId="59F9D997"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42417</w:t>
            </w:r>
          </w:p>
        </w:tc>
        <w:tc>
          <w:tcPr>
            <w:tcW w:w="4243" w:type="dxa"/>
            <w:tcBorders>
              <w:top w:val="nil"/>
              <w:left w:val="nil"/>
              <w:bottom w:val="single" w:sz="8" w:space="0" w:color="auto"/>
              <w:right w:val="single" w:sz="8" w:space="0" w:color="auto"/>
            </w:tcBorders>
            <w:shd w:val="clear" w:color="auto" w:fill="auto"/>
            <w:vAlign w:val="center"/>
            <w:hideMark/>
          </w:tcPr>
          <w:p w14:paraId="611D4FEB"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 xml:space="preserve">EMPRESA DE ENERGY Y SERVICIOS </w:t>
            </w:r>
            <w:proofErr w:type="gramStart"/>
            <w:r w:rsidRPr="00AD4E79">
              <w:rPr>
                <w:rFonts w:ascii="Arial Narrow" w:hAnsi="Arial Narrow" w:cs="Arial"/>
                <w:spacing w:val="0"/>
                <w:sz w:val="16"/>
                <w:szCs w:val="16"/>
                <w:lang w:eastAsia="es-CO"/>
              </w:rPr>
              <w:t>S.A.S  E</w:t>
            </w:r>
            <w:proofErr w:type="gramEnd"/>
            <w:r w:rsidRPr="00AD4E79">
              <w:rPr>
                <w:rFonts w:ascii="Arial Narrow" w:hAnsi="Arial Narrow" w:cs="Arial"/>
                <w:spacing w:val="0"/>
                <w:sz w:val="16"/>
                <w:szCs w:val="16"/>
                <w:lang w:eastAsia="es-CO"/>
              </w:rPr>
              <w:t>.S.P</w:t>
            </w:r>
          </w:p>
        </w:tc>
        <w:tc>
          <w:tcPr>
            <w:tcW w:w="1196" w:type="dxa"/>
            <w:tcBorders>
              <w:top w:val="nil"/>
              <w:left w:val="nil"/>
              <w:bottom w:val="single" w:sz="8" w:space="0" w:color="auto"/>
              <w:right w:val="single" w:sz="8" w:space="0" w:color="auto"/>
            </w:tcBorders>
            <w:shd w:val="clear" w:color="auto" w:fill="auto"/>
            <w:vAlign w:val="center"/>
            <w:hideMark/>
          </w:tcPr>
          <w:p w14:paraId="3C8FD0F3"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744FC74D"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0C96FD34"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47758333"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205</w:t>
            </w:r>
          </w:p>
        </w:tc>
        <w:tc>
          <w:tcPr>
            <w:tcW w:w="879" w:type="dxa"/>
            <w:tcBorders>
              <w:top w:val="nil"/>
              <w:left w:val="nil"/>
              <w:bottom w:val="single" w:sz="8" w:space="0" w:color="auto"/>
              <w:right w:val="single" w:sz="8" w:space="0" w:color="auto"/>
            </w:tcBorders>
            <w:shd w:val="clear" w:color="auto" w:fill="auto"/>
            <w:vAlign w:val="center"/>
            <w:hideMark/>
          </w:tcPr>
          <w:p w14:paraId="02371D63"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901.211.613</w:t>
            </w:r>
          </w:p>
        </w:tc>
        <w:tc>
          <w:tcPr>
            <w:tcW w:w="323" w:type="dxa"/>
            <w:tcBorders>
              <w:top w:val="nil"/>
              <w:left w:val="nil"/>
              <w:bottom w:val="single" w:sz="8" w:space="0" w:color="auto"/>
              <w:right w:val="single" w:sz="8" w:space="0" w:color="auto"/>
            </w:tcBorders>
            <w:shd w:val="clear" w:color="auto" w:fill="auto"/>
            <w:vAlign w:val="center"/>
            <w:hideMark/>
          </w:tcPr>
          <w:p w14:paraId="176F1AFC"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w:t>
            </w:r>
          </w:p>
        </w:tc>
        <w:tc>
          <w:tcPr>
            <w:tcW w:w="505" w:type="dxa"/>
            <w:tcBorders>
              <w:top w:val="nil"/>
              <w:left w:val="nil"/>
              <w:bottom w:val="single" w:sz="8" w:space="0" w:color="auto"/>
              <w:right w:val="single" w:sz="8" w:space="0" w:color="auto"/>
            </w:tcBorders>
            <w:shd w:val="clear" w:color="auto" w:fill="auto"/>
            <w:vAlign w:val="center"/>
            <w:hideMark/>
          </w:tcPr>
          <w:p w14:paraId="1C6AFBFC"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61611</w:t>
            </w:r>
          </w:p>
        </w:tc>
        <w:tc>
          <w:tcPr>
            <w:tcW w:w="4243" w:type="dxa"/>
            <w:tcBorders>
              <w:top w:val="nil"/>
              <w:left w:val="nil"/>
              <w:bottom w:val="single" w:sz="8" w:space="0" w:color="auto"/>
              <w:right w:val="single" w:sz="8" w:space="0" w:color="auto"/>
            </w:tcBorders>
            <w:shd w:val="clear" w:color="auto" w:fill="auto"/>
            <w:vAlign w:val="center"/>
            <w:hideMark/>
          </w:tcPr>
          <w:p w14:paraId="4F51B322"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YARIGUIES SOLAR SAS ESP</w:t>
            </w:r>
          </w:p>
        </w:tc>
        <w:tc>
          <w:tcPr>
            <w:tcW w:w="1196" w:type="dxa"/>
            <w:tcBorders>
              <w:top w:val="nil"/>
              <w:left w:val="nil"/>
              <w:bottom w:val="single" w:sz="8" w:space="0" w:color="auto"/>
              <w:right w:val="single" w:sz="8" w:space="0" w:color="auto"/>
            </w:tcBorders>
            <w:shd w:val="clear" w:color="auto" w:fill="auto"/>
            <w:vAlign w:val="center"/>
            <w:hideMark/>
          </w:tcPr>
          <w:p w14:paraId="0C520F39"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431EB873"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SIN REPORTE AL SUI</w:t>
            </w:r>
          </w:p>
        </w:tc>
      </w:tr>
      <w:tr w:rsidR="00AD4E79" w:rsidRPr="00AD4E79" w14:paraId="3E288AF1"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177C7D2C"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206</w:t>
            </w:r>
          </w:p>
        </w:tc>
        <w:tc>
          <w:tcPr>
            <w:tcW w:w="879" w:type="dxa"/>
            <w:tcBorders>
              <w:top w:val="nil"/>
              <w:left w:val="nil"/>
              <w:bottom w:val="single" w:sz="8" w:space="0" w:color="auto"/>
              <w:right w:val="single" w:sz="8" w:space="0" w:color="auto"/>
            </w:tcBorders>
            <w:shd w:val="clear" w:color="auto" w:fill="auto"/>
            <w:vAlign w:val="center"/>
            <w:hideMark/>
          </w:tcPr>
          <w:p w14:paraId="1DDACD30"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901.215.593</w:t>
            </w:r>
          </w:p>
        </w:tc>
        <w:tc>
          <w:tcPr>
            <w:tcW w:w="323" w:type="dxa"/>
            <w:tcBorders>
              <w:top w:val="nil"/>
              <w:left w:val="nil"/>
              <w:bottom w:val="single" w:sz="8" w:space="0" w:color="auto"/>
              <w:right w:val="single" w:sz="8" w:space="0" w:color="auto"/>
            </w:tcBorders>
            <w:shd w:val="clear" w:color="auto" w:fill="auto"/>
            <w:vAlign w:val="center"/>
            <w:hideMark/>
          </w:tcPr>
          <w:p w14:paraId="6DFE79DC"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w:t>
            </w:r>
          </w:p>
        </w:tc>
        <w:tc>
          <w:tcPr>
            <w:tcW w:w="505" w:type="dxa"/>
            <w:tcBorders>
              <w:top w:val="nil"/>
              <w:left w:val="nil"/>
              <w:bottom w:val="single" w:sz="8" w:space="0" w:color="auto"/>
              <w:right w:val="single" w:sz="8" w:space="0" w:color="auto"/>
            </w:tcBorders>
            <w:shd w:val="clear" w:color="auto" w:fill="auto"/>
            <w:vAlign w:val="center"/>
            <w:hideMark/>
          </w:tcPr>
          <w:p w14:paraId="5695DB71"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53047</w:t>
            </w:r>
          </w:p>
        </w:tc>
        <w:tc>
          <w:tcPr>
            <w:tcW w:w="4243" w:type="dxa"/>
            <w:tcBorders>
              <w:top w:val="nil"/>
              <w:left w:val="nil"/>
              <w:bottom w:val="single" w:sz="8" w:space="0" w:color="auto"/>
              <w:right w:val="single" w:sz="8" w:space="0" w:color="auto"/>
            </w:tcBorders>
            <w:shd w:val="clear" w:color="auto" w:fill="auto"/>
            <w:vAlign w:val="center"/>
            <w:hideMark/>
          </w:tcPr>
          <w:p w14:paraId="4E1054E4"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ENERVISA SAS ESP</w:t>
            </w:r>
          </w:p>
        </w:tc>
        <w:tc>
          <w:tcPr>
            <w:tcW w:w="1196" w:type="dxa"/>
            <w:tcBorders>
              <w:top w:val="nil"/>
              <w:left w:val="nil"/>
              <w:bottom w:val="single" w:sz="8" w:space="0" w:color="auto"/>
              <w:right w:val="single" w:sz="8" w:space="0" w:color="auto"/>
            </w:tcBorders>
            <w:shd w:val="clear" w:color="auto" w:fill="auto"/>
            <w:vAlign w:val="center"/>
            <w:hideMark/>
          </w:tcPr>
          <w:p w14:paraId="63959CAC"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7DA85742"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716955FB" w14:textId="77777777" w:rsidTr="00AD4E79">
        <w:trPr>
          <w:trHeight w:val="38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34672514"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207</w:t>
            </w:r>
          </w:p>
        </w:tc>
        <w:tc>
          <w:tcPr>
            <w:tcW w:w="879" w:type="dxa"/>
            <w:tcBorders>
              <w:top w:val="nil"/>
              <w:left w:val="nil"/>
              <w:bottom w:val="single" w:sz="8" w:space="0" w:color="auto"/>
              <w:right w:val="single" w:sz="8" w:space="0" w:color="auto"/>
            </w:tcBorders>
            <w:shd w:val="clear" w:color="auto" w:fill="auto"/>
            <w:vAlign w:val="center"/>
            <w:hideMark/>
          </w:tcPr>
          <w:p w14:paraId="74064ED3"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901.219.090</w:t>
            </w:r>
          </w:p>
        </w:tc>
        <w:tc>
          <w:tcPr>
            <w:tcW w:w="323" w:type="dxa"/>
            <w:tcBorders>
              <w:top w:val="nil"/>
              <w:left w:val="nil"/>
              <w:bottom w:val="single" w:sz="8" w:space="0" w:color="auto"/>
              <w:right w:val="single" w:sz="8" w:space="0" w:color="auto"/>
            </w:tcBorders>
            <w:shd w:val="clear" w:color="auto" w:fill="auto"/>
            <w:vAlign w:val="center"/>
            <w:hideMark/>
          </w:tcPr>
          <w:p w14:paraId="310AD756"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3</w:t>
            </w:r>
          </w:p>
        </w:tc>
        <w:tc>
          <w:tcPr>
            <w:tcW w:w="505" w:type="dxa"/>
            <w:tcBorders>
              <w:top w:val="nil"/>
              <w:left w:val="nil"/>
              <w:bottom w:val="single" w:sz="8" w:space="0" w:color="auto"/>
              <w:right w:val="single" w:sz="8" w:space="0" w:color="auto"/>
            </w:tcBorders>
            <w:shd w:val="clear" w:color="auto" w:fill="auto"/>
            <w:vAlign w:val="center"/>
            <w:hideMark/>
          </w:tcPr>
          <w:p w14:paraId="07F3BA43"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43836</w:t>
            </w:r>
          </w:p>
        </w:tc>
        <w:tc>
          <w:tcPr>
            <w:tcW w:w="4243" w:type="dxa"/>
            <w:tcBorders>
              <w:top w:val="nil"/>
              <w:left w:val="nil"/>
              <w:bottom w:val="single" w:sz="8" w:space="0" w:color="auto"/>
              <w:right w:val="single" w:sz="8" w:space="0" w:color="auto"/>
            </w:tcBorders>
            <w:shd w:val="clear" w:color="auto" w:fill="auto"/>
            <w:vAlign w:val="center"/>
            <w:hideMark/>
          </w:tcPr>
          <w:p w14:paraId="2C3D62C6"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EMPRESA DE SERVICIOS PÚBLICOS DE ENERGÍA LIMPIA DE COLOMBIA ENERLIMPIA S.A. E.S.P.</w:t>
            </w:r>
          </w:p>
        </w:tc>
        <w:tc>
          <w:tcPr>
            <w:tcW w:w="1196" w:type="dxa"/>
            <w:tcBorders>
              <w:top w:val="nil"/>
              <w:left w:val="nil"/>
              <w:bottom w:val="single" w:sz="8" w:space="0" w:color="auto"/>
              <w:right w:val="single" w:sz="8" w:space="0" w:color="auto"/>
            </w:tcBorders>
            <w:shd w:val="clear" w:color="auto" w:fill="auto"/>
            <w:vAlign w:val="center"/>
            <w:hideMark/>
          </w:tcPr>
          <w:p w14:paraId="4A0315E1"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736B2B4E"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371C1CD0" w14:textId="77777777" w:rsidTr="00AD4E79">
        <w:trPr>
          <w:trHeight w:val="26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711467C1"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208</w:t>
            </w:r>
          </w:p>
        </w:tc>
        <w:tc>
          <w:tcPr>
            <w:tcW w:w="879" w:type="dxa"/>
            <w:tcBorders>
              <w:top w:val="nil"/>
              <w:left w:val="nil"/>
              <w:bottom w:val="single" w:sz="8" w:space="0" w:color="auto"/>
              <w:right w:val="single" w:sz="8" w:space="0" w:color="auto"/>
            </w:tcBorders>
            <w:shd w:val="clear" w:color="auto" w:fill="auto"/>
            <w:vAlign w:val="center"/>
            <w:hideMark/>
          </w:tcPr>
          <w:p w14:paraId="36DD54C5"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901.224.290</w:t>
            </w:r>
          </w:p>
        </w:tc>
        <w:tc>
          <w:tcPr>
            <w:tcW w:w="323" w:type="dxa"/>
            <w:tcBorders>
              <w:top w:val="nil"/>
              <w:left w:val="nil"/>
              <w:bottom w:val="single" w:sz="8" w:space="0" w:color="auto"/>
              <w:right w:val="single" w:sz="8" w:space="0" w:color="auto"/>
            </w:tcBorders>
            <w:shd w:val="clear" w:color="auto" w:fill="auto"/>
            <w:vAlign w:val="center"/>
            <w:hideMark/>
          </w:tcPr>
          <w:p w14:paraId="6409D491"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w:t>
            </w:r>
          </w:p>
        </w:tc>
        <w:tc>
          <w:tcPr>
            <w:tcW w:w="505" w:type="dxa"/>
            <w:tcBorders>
              <w:top w:val="nil"/>
              <w:left w:val="nil"/>
              <w:bottom w:val="single" w:sz="8" w:space="0" w:color="auto"/>
              <w:right w:val="single" w:sz="8" w:space="0" w:color="auto"/>
            </w:tcBorders>
            <w:shd w:val="clear" w:color="auto" w:fill="auto"/>
            <w:vAlign w:val="center"/>
            <w:hideMark/>
          </w:tcPr>
          <w:p w14:paraId="682CB80F"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48485</w:t>
            </w:r>
          </w:p>
        </w:tc>
        <w:tc>
          <w:tcPr>
            <w:tcW w:w="4243" w:type="dxa"/>
            <w:tcBorders>
              <w:top w:val="nil"/>
              <w:left w:val="nil"/>
              <w:bottom w:val="single" w:sz="8" w:space="0" w:color="auto"/>
              <w:right w:val="single" w:sz="8" w:space="0" w:color="auto"/>
            </w:tcBorders>
            <w:shd w:val="clear" w:color="auto" w:fill="auto"/>
            <w:vAlign w:val="center"/>
            <w:hideMark/>
          </w:tcPr>
          <w:p w14:paraId="169DFB2E"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PROMOENERCOL COMERCIALIZADORA DE ENERGIA S.A.S. ESP</w:t>
            </w:r>
          </w:p>
        </w:tc>
        <w:tc>
          <w:tcPr>
            <w:tcW w:w="1196" w:type="dxa"/>
            <w:tcBorders>
              <w:top w:val="nil"/>
              <w:left w:val="nil"/>
              <w:bottom w:val="single" w:sz="8" w:space="0" w:color="auto"/>
              <w:right w:val="single" w:sz="8" w:space="0" w:color="auto"/>
            </w:tcBorders>
            <w:shd w:val="clear" w:color="auto" w:fill="auto"/>
            <w:vAlign w:val="center"/>
            <w:hideMark/>
          </w:tcPr>
          <w:p w14:paraId="45B9E47C"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077F3B8C"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SIN REPORTE AL SUI</w:t>
            </w:r>
          </w:p>
        </w:tc>
      </w:tr>
      <w:tr w:rsidR="00AD4E79" w:rsidRPr="00AD4E79" w14:paraId="41D57EED"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4C8A1ED2"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209</w:t>
            </w:r>
          </w:p>
        </w:tc>
        <w:tc>
          <w:tcPr>
            <w:tcW w:w="879" w:type="dxa"/>
            <w:tcBorders>
              <w:top w:val="nil"/>
              <w:left w:val="nil"/>
              <w:bottom w:val="single" w:sz="8" w:space="0" w:color="auto"/>
              <w:right w:val="single" w:sz="8" w:space="0" w:color="auto"/>
            </w:tcBorders>
            <w:shd w:val="clear" w:color="auto" w:fill="auto"/>
            <w:vAlign w:val="center"/>
            <w:hideMark/>
          </w:tcPr>
          <w:p w14:paraId="69CD2E29"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901.233.254</w:t>
            </w:r>
          </w:p>
        </w:tc>
        <w:tc>
          <w:tcPr>
            <w:tcW w:w="323" w:type="dxa"/>
            <w:tcBorders>
              <w:top w:val="nil"/>
              <w:left w:val="nil"/>
              <w:bottom w:val="single" w:sz="8" w:space="0" w:color="auto"/>
              <w:right w:val="single" w:sz="8" w:space="0" w:color="auto"/>
            </w:tcBorders>
            <w:shd w:val="clear" w:color="auto" w:fill="auto"/>
            <w:vAlign w:val="center"/>
            <w:hideMark/>
          </w:tcPr>
          <w:p w14:paraId="7F70CCDB"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w:t>
            </w:r>
          </w:p>
        </w:tc>
        <w:tc>
          <w:tcPr>
            <w:tcW w:w="505" w:type="dxa"/>
            <w:tcBorders>
              <w:top w:val="nil"/>
              <w:left w:val="nil"/>
              <w:bottom w:val="single" w:sz="8" w:space="0" w:color="auto"/>
              <w:right w:val="single" w:sz="8" w:space="0" w:color="auto"/>
            </w:tcBorders>
            <w:shd w:val="clear" w:color="auto" w:fill="auto"/>
            <w:vAlign w:val="center"/>
            <w:hideMark/>
          </w:tcPr>
          <w:p w14:paraId="256FF854"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48907</w:t>
            </w:r>
          </w:p>
        </w:tc>
        <w:tc>
          <w:tcPr>
            <w:tcW w:w="4243" w:type="dxa"/>
            <w:tcBorders>
              <w:top w:val="nil"/>
              <w:left w:val="nil"/>
              <w:bottom w:val="single" w:sz="8" w:space="0" w:color="auto"/>
              <w:right w:val="single" w:sz="8" w:space="0" w:color="auto"/>
            </w:tcBorders>
            <w:shd w:val="clear" w:color="auto" w:fill="auto"/>
            <w:vAlign w:val="center"/>
            <w:hideMark/>
          </w:tcPr>
          <w:p w14:paraId="53967147"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SOLING DEL SINU S.A.S. E.S.P.</w:t>
            </w:r>
          </w:p>
        </w:tc>
        <w:tc>
          <w:tcPr>
            <w:tcW w:w="1196" w:type="dxa"/>
            <w:tcBorders>
              <w:top w:val="nil"/>
              <w:left w:val="nil"/>
              <w:bottom w:val="single" w:sz="8" w:space="0" w:color="auto"/>
              <w:right w:val="single" w:sz="8" w:space="0" w:color="auto"/>
            </w:tcBorders>
            <w:shd w:val="clear" w:color="auto" w:fill="auto"/>
            <w:vAlign w:val="center"/>
            <w:hideMark/>
          </w:tcPr>
          <w:p w14:paraId="4D848490"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6FDE64FF"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SIN REPORTE AL SUI</w:t>
            </w:r>
          </w:p>
        </w:tc>
      </w:tr>
      <w:tr w:rsidR="00AD4E79" w:rsidRPr="00AD4E79" w14:paraId="35299B28"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36732057"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210</w:t>
            </w:r>
          </w:p>
        </w:tc>
        <w:tc>
          <w:tcPr>
            <w:tcW w:w="879" w:type="dxa"/>
            <w:tcBorders>
              <w:top w:val="nil"/>
              <w:left w:val="nil"/>
              <w:bottom w:val="single" w:sz="8" w:space="0" w:color="auto"/>
              <w:right w:val="single" w:sz="8" w:space="0" w:color="auto"/>
            </w:tcBorders>
            <w:shd w:val="clear" w:color="auto" w:fill="auto"/>
            <w:vAlign w:val="center"/>
            <w:hideMark/>
          </w:tcPr>
          <w:p w14:paraId="79AC8610"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901.234.243</w:t>
            </w:r>
          </w:p>
        </w:tc>
        <w:tc>
          <w:tcPr>
            <w:tcW w:w="323" w:type="dxa"/>
            <w:tcBorders>
              <w:top w:val="nil"/>
              <w:left w:val="nil"/>
              <w:bottom w:val="single" w:sz="8" w:space="0" w:color="auto"/>
              <w:right w:val="single" w:sz="8" w:space="0" w:color="auto"/>
            </w:tcBorders>
            <w:shd w:val="clear" w:color="auto" w:fill="auto"/>
            <w:vAlign w:val="center"/>
            <w:hideMark/>
          </w:tcPr>
          <w:p w14:paraId="6AA0198F"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6</w:t>
            </w:r>
          </w:p>
        </w:tc>
        <w:tc>
          <w:tcPr>
            <w:tcW w:w="505" w:type="dxa"/>
            <w:tcBorders>
              <w:top w:val="nil"/>
              <w:left w:val="nil"/>
              <w:bottom w:val="single" w:sz="8" w:space="0" w:color="auto"/>
              <w:right w:val="single" w:sz="8" w:space="0" w:color="auto"/>
            </w:tcBorders>
            <w:shd w:val="clear" w:color="auto" w:fill="auto"/>
            <w:vAlign w:val="center"/>
            <w:hideMark/>
          </w:tcPr>
          <w:p w14:paraId="1B0165A2"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60251</w:t>
            </w:r>
          </w:p>
        </w:tc>
        <w:tc>
          <w:tcPr>
            <w:tcW w:w="4243" w:type="dxa"/>
            <w:tcBorders>
              <w:top w:val="nil"/>
              <w:left w:val="nil"/>
              <w:bottom w:val="single" w:sz="8" w:space="0" w:color="auto"/>
              <w:right w:val="single" w:sz="8" w:space="0" w:color="auto"/>
            </w:tcBorders>
            <w:shd w:val="clear" w:color="auto" w:fill="auto"/>
            <w:vAlign w:val="center"/>
            <w:hideMark/>
          </w:tcPr>
          <w:p w14:paraId="1FA4B3CC"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SAMPI JPD SAS ESP</w:t>
            </w:r>
          </w:p>
        </w:tc>
        <w:tc>
          <w:tcPr>
            <w:tcW w:w="1196" w:type="dxa"/>
            <w:tcBorders>
              <w:top w:val="nil"/>
              <w:left w:val="nil"/>
              <w:bottom w:val="single" w:sz="8" w:space="0" w:color="auto"/>
              <w:right w:val="single" w:sz="8" w:space="0" w:color="auto"/>
            </w:tcBorders>
            <w:shd w:val="clear" w:color="auto" w:fill="auto"/>
            <w:vAlign w:val="center"/>
            <w:hideMark/>
          </w:tcPr>
          <w:p w14:paraId="0C925894"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655CD378"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SIN REPORTE AL SUI</w:t>
            </w:r>
          </w:p>
        </w:tc>
      </w:tr>
      <w:tr w:rsidR="00AD4E79" w:rsidRPr="00AD4E79" w14:paraId="19F12FA4"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18320AFA"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211</w:t>
            </w:r>
          </w:p>
        </w:tc>
        <w:tc>
          <w:tcPr>
            <w:tcW w:w="879" w:type="dxa"/>
            <w:tcBorders>
              <w:top w:val="nil"/>
              <w:left w:val="nil"/>
              <w:bottom w:val="single" w:sz="8" w:space="0" w:color="auto"/>
              <w:right w:val="single" w:sz="8" w:space="0" w:color="auto"/>
            </w:tcBorders>
            <w:shd w:val="clear" w:color="auto" w:fill="auto"/>
            <w:vAlign w:val="center"/>
            <w:hideMark/>
          </w:tcPr>
          <w:p w14:paraId="52DBCA32"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901.236.609</w:t>
            </w:r>
          </w:p>
        </w:tc>
        <w:tc>
          <w:tcPr>
            <w:tcW w:w="323" w:type="dxa"/>
            <w:tcBorders>
              <w:top w:val="nil"/>
              <w:left w:val="nil"/>
              <w:bottom w:val="single" w:sz="8" w:space="0" w:color="auto"/>
              <w:right w:val="single" w:sz="8" w:space="0" w:color="auto"/>
            </w:tcBorders>
            <w:shd w:val="clear" w:color="auto" w:fill="auto"/>
            <w:vAlign w:val="center"/>
            <w:hideMark/>
          </w:tcPr>
          <w:p w14:paraId="54E8D4E7"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7</w:t>
            </w:r>
          </w:p>
        </w:tc>
        <w:tc>
          <w:tcPr>
            <w:tcW w:w="505" w:type="dxa"/>
            <w:tcBorders>
              <w:top w:val="nil"/>
              <w:left w:val="nil"/>
              <w:bottom w:val="single" w:sz="8" w:space="0" w:color="auto"/>
              <w:right w:val="single" w:sz="8" w:space="0" w:color="auto"/>
            </w:tcBorders>
            <w:shd w:val="clear" w:color="auto" w:fill="auto"/>
            <w:vAlign w:val="center"/>
            <w:hideMark/>
          </w:tcPr>
          <w:p w14:paraId="033C7B9C"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43739</w:t>
            </w:r>
          </w:p>
        </w:tc>
        <w:tc>
          <w:tcPr>
            <w:tcW w:w="4243" w:type="dxa"/>
            <w:tcBorders>
              <w:top w:val="nil"/>
              <w:left w:val="nil"/>
              <w:bottom w:val="single" w:sz="8" w:space="0" w:color="auto"/>
              <w:right w:val="single" w:sz="8" w:space="0" w:color="auto"/>
            </w:tcBorders>
            <w:shd w:val="clear" w:color="auto" w:fill="auto"/>
            <w:vAlign w:val="center"/>
            <w:hideMark/>
          </w:tcPr>
          <w:p w14:paraId="425ED368"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EMCOLEN S.A.S. E.S.P.</w:t>
            </w:r>
          </w:p>
        </w:tc>
        <w:tc>
          <w:tcPr>
            <w:tcW w:w="1196" w:type="dxa"/>
            <w:tcBorders>
              <w:top w:val="nil"/>
              <w:left w:val="nil"/>
              <w:bottom w:val="single" w:sz="8" w:space="0" w:color="auto"/>
              <w:right w:val="single" w:sz="8" w:space="0" w:color="auto"/>
            </w:tcBorders>
            <w:shd w:val="clear" w:color="auto" w:fill="auto"/>
            <w:vAlign w:val="center"/>
            <w:hideMark/>
          </w:tcPr>
          <w:p w14:paraId="4AE11E6A"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3958ACFD"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4048DDB7"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54BD763A"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212</w:t>
            </w:r>
          </w:p>
        </w:tc>
        <w:tc>
          <w:tcPr>
            <w:tcW w:w="879" w:type="dxa"/>
            <w:tcBorders>
              <w:top w:val="nil"/>
              <w:left w:val="nil"/>
              <w:bottom w:val="single" w:sz="8" w:space="0" w:color="auto"/>
              <w:right w:val="single" w:sz="8" w:space="0" w:color="auto"/>
            </w:tcBorders>
            <w:shd w:val="clear" w:color="auto" w:fill="auto"/>
            <w:vAlign w:val="center"/>
            <w:hideMark/>
          </w:tcPr>
          <w:p w14:paraId="036D6C23"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901.251.202</w:t>
            </w:r>
          </w:p>
        </w:tc>
        <w:tc>
          <w:tcPr>
            <w:tcW w:w="323" w:type="dxa"/>
            <w:tcBorders>
              <w:top w:val="nil"/>
              <w:left w:val="nil"/>
              <w:bottom w:val="single" w:sz="8" w:space="0" w:color="auto"/>
              <w:right w:val="single" w:sz="8" w:space="0" w:color="auto"/>
            </w:tcBorders>
            <w:shd w:val="clear" w:color="auto" w:fill="auto"/>
            <w:vAlign w:val="center"/>
            <w:hideMark/>
          </w:tcPr>
          <w:p w14:paraId="17DA1EC2"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6</w:t>
            </w:r>
          </w:p>
        </w:tc>
        <w:tc>
          <w:tcPr>
            <w:tcW w:w="505" w:type="dxa"/>
            <w:tcBorders>
              <w:top w:val="nil"/>
              <w:left w:val="nil"/>
              <w:bottom w:val="single" w:sz="8" w:space="0" w:color="auto"/>
              <w:right w:val="single" w:sz="8" w:space="0" w:color="auto"/>
            </w:tcBorders>
            <w:shd w:val="clear" w:color="auto" w:fill="auto"/>
            <w:vAlign w:val="center"/>
            <w:hideMark/>
          </w:tcPr>
          <w:p w14:paraId="25DABA1E"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50885</w:t>
            </w:r>
          </w:p>
        </w:tc>
        <w:tc>
          <w:tcPr>
            <w:tcW w:w="4243" w:type="dxa"/>
            <w:tcBorders>
              <w:top w:val="nil"/>
              <w:left w:val="nil"/>
              <w:bottom w:val="single" w:sz="8" w:space="0" w:color="auto"/>
              <w:right w:val="single" w:sz="8" w:space="0" w:color="auto"/>
            </w:tcBorders>
            <w:shd w:val="clear" w:color="auto" w:fill="auto"/>
            <w:vAlign w:val="center"/>
            <w:hideMark/>
          </w:tcPr>
          <w:p w14:paraId="5322C8DE"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CENTRAL HIDROELECTRICA ZEUS SAS ESP</w:t>
            </w:r>
          </w:p>
        </w:tc>
        <w:tc>
          <w:tcPr>
            <w:tcW w:w="1196" w:type="dxa"/>
            <w:tcBorders>
              <w:top w:val="nil"/>
              <w:left w:val="nil"/>
              <w:bottom w:val="single" w:sz="8" w:space="0" w:color="auto"/>
              <w:right w:val="single" w:sz="8" w:space="0" w:color="auto"/>
            </w:tcBorders>
            <w:shd w:val="clear" w:color="auto" w:fill="auto"/>
            <w:vAlign w:val="center"/>
            <w:hideMark/>
          </w:tcPr>
          <w:p w14:paraId="7880E0C9"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033C6DB1"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2CBBB97B"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466E9B16"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213</w:t>
            </w:r>
          </w:p>
        </w:tc>
        <w:tc>
          <w:tcPr>
            <w:tcW w:w="879" w:type="dxa"/>
            <w:tcBorders>
              <w:top w:val="nil"/>
              <w:left w:val="nil"/>
              <w:bottom w:val="single" w:sz="8" w:space="0" w:color="auto"/>
              <w:right w:val="single" w:sz="8" w:space="0" w:color="auto"/>
            </w:tcBorders>
            <w:shd w:val="clear" w:color="auto" w:fill="auto"/>
            <w:vAlign w:val="center"/>
            <w:hideMark/>
          </w:tcPr>
          <w:p w14:paraId="1C40712A"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901.254.731</w:t>
            </w:r>
          </w:p>
        </w:tc>
        <w:tc>
          <w:tcPr>
            <w:tcW w:w="323" w:type="dxa"/>
            <w:tcBorders>
              <w:top w:val="nil"/>
              <w:left w:val="nil"/>
              <w:bottom w:val="single" w:sz="8" w:space="0" w:color="auto"/>
              <w:right w:val="single" w:sz="8" w:space="0" w:color="auto"/>
            </w:tcBorders>
            <w:shd w:val="clear" w:color="auto" w:fill="auto"/>
            <w:vAlign w:val="center"/>
            <w:hideMark/>
          </w:tcPr>
          <w:p w14:paraId="6F420763"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4</w:t>
            </w:r>
          </w:p>
        </w:tc>
        <w:tc>
          <w:tcPr>
            <w:tcW w:w="505" w:type="dxa"/>
            <w:tcBorders>
              <w:top w:val="nil"/>
              <w:left w:val="nil"/>
              <w:bottom w:val="single" w:sz="8" w:space="0" w:color="auto"/>
              <w:right w:val="single" w:sz="8" w:space="0" w:color="auto"/>
            </w:tcBorders>
            <w:shd w:val="clear" w:color="auto" w:fill="auto"/>
            <w:vAlign w:val="center"/>
            <w:hideMark/>
          </w:tcPr>
          <w:p w14:paraId="53224478"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44199</w:t>
            </w:r>
          </w:p>
        </w:tc>
        <w:tc>
          <w:tcPr>
            <w:tcW w:w="4243" w:type="dxa"/>
            <w:tcBorders>
              <w:top w:val="nil"/>
              <w:left w:val="nil"/>
              <w:bottom w:val="single" w:sz="8" w:space="0" w:color="auto"/>
              <w:right w:val="single" w:sz="8" w:space="0" w:color="auto"/>
            </w:tcBorders>
            <w:shd w:val="clear" w:color="auto" w:fill="auto"/>
            <w:vAlign w:val="center"/>
            <w:hideMark/>
          </w:tcPr>
          <w:p w14:paraId="64A991D3"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SOLENERGETICAS S.A.S. E.S.P.</w:t>
            </w:r>
          </w:p>
        </w:tc>
        <w:tc>
          <w:tcPr>
            <w:tcW w:w="1196" w:type="dxa"/>
            <w:tcBorders>
              <w:top w:val="nil"/>
              <w:left w:val="nil"/>
              <w:bottom w:val="single" w:sz="8" w:space="0" w:color="auto"/>
              <w:right w:val="single" w:sz="8" w:space="0" w:color="auto"/>
            </w:tcBorders>
            <w:shd w:val="clear" w:color="auto" w:fill="auto"/>
            <w:vAlign w:val="center"/>
            <w:hideMark/>
          </w:tcPr>
          <w:p w14:paraId="584C2A83"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7D07BBC7"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SIN REPORTE AL SUI</w:t>
            </w:r>
          </w:p>
        </w:tc>
      </w:tr>
      <w:tr w:rsidR="00AD4E79" w:rsidRPr="00AD4E79" w14:paraId="72B590ED"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38C764A6"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214</w:t>
            </w:r>
          </w:p>
        </w:tc>
        <w:tc>
          <w:tcPr>
            <w:tcW w:w="879" w:type="dxa"/>
            <w:tcBorders>
              <w:top w:val="nil"/>
              <w:left w:val="nil"/>
              <w:bottom w:val="single" w:sz="8" w:space="0" w:color="auto"/>
              <w:right w:val="single" w:sz="8" w:space="0" w:color="auto"/>
            </w:tcBorders>
            <w:shd w:val="clear" w:color="auto" w:fill="auto"/>
            <w:vAlign w:val="center"/>
            <w:hideMark/>
          </w:tcPr>
          <w:p w14:paraId="546CFA49"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901.261.711</w:t>
            </w:r>
          </w:p>
        </w:tc>
        <w:tc>
          <w:tcPr>
            <w:tcW w:w="323" w:type="dxa"/>
            <w:tcBorders>
              <w:top w:val="nil"/>
              <w:left w:val="nil"/>
              <w:bottom w:val="single" w:sz="8" w:space="0" w:color="auto"/>
              <w:right w:val="single" w:sz="8" w:space="0" w:color="auto"/>
            </w:tcBorders>
            <w:shd w:val="clear" w:color="auto" w:fill="auto"/>
            <w:vAlign w:val="center"/>
            <w:hideMark/>
          </w:tcPr>
          <w:p w14:paraId="73CAB562"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6</w:t>
            </w:r>
          </w:p>
        </w:tc>
        <w:tc>
          <w:tcPr>
            <w:tcW w:w="505" w:type="dxa"/>
            <w:tcBorders>
              <w:top w:val="nil"/>
              <w:left w:val="nil"/>
              <w:bottom w:val="single" w:sz="8" w:space="0" w:color="auto"/>
              <w:right w:val="single" w:sz="8" w:space="0" w:color="auto"/>
            </w:tcBorders>
            <w:shd w:val="clear" w:color="auto" w:fill="auto"/>
            <w:vAlign w:val="center"/>
            <w:hideMark/>
          </w:tcPr>
          <w:p w14:paraId="429D5BE6"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50303</w:t>
            </w:r>
          </w:p>
        </w:tc>
        <w:tc>
          <w:tcPr>
            <w:tcW w:w="4243" w:type="dxa"/>
            <w:tcBorders>
              <w:top w:val="nil"/>
              <w:left w:val="nil"/>
              <w:bottom w:val="single" w:sz="8" w:space="0" w:color="auto"/>
              <w:right w:val="single" w:sz="8" w:space="0" w:color="auto"/>
            </w:tcBorders>
            <w:shd w:val="clear" w:color="auto" w:fill="auto"/>
            <w:vAlign w:val="center"/>
            <w:hideMark/>
          </w:tcPr>
          <w:p w14:paraId="29DB6497"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ATLÁNTICA COLOMBIA S.A.S. E.S.P.</w:t>
            </w:r>
          </w:p>
        </w:tc>
        <w:tc>
          <w:tcPr>
            <w:tcW w:w="1196" w:type="dxa"/>
            <w:tcBorders>
              <w:top w:val="nil"/>
              <w:left w:val="nil"/>
              <w:bottom w:val="single" w:sz="8" w:space="0" w:color="auto"/>
              <w:right w:val="single" w:sz="8" w:space="0" w:color="auto"/>
            </w:tcBorders>
            <w:shd w:val="clear" w:color="auto" w:fill="auto"/>
            <w:vAlign w:val="center"/>
            <w:hideMark/>
          </w:tcPr>
          <w:p w14:paraId="60AECD1F"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2CFFF70E"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3163CB13"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3A85C0D2"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215</w:t>
            </w:r>
          </w:p>
        </w:tc>
        <w:tc>
          <w:tcPr>
            <w:tcW w:w="879" w:type="dxa"/>
            <w:tcBorders>
              <w:top w:val="nil"/>
              <w:left w:val="nil"/>
              <w:bottom w:val="single" w:sz="8" w:space="0" w:color="auto"/>
              <w:right w:val="single" w:sz="8" w:space="0" w:color="auto"/>
            </w:tcBorders>
            <w:shd w:val="clear" w:color="auto" w:fill="auto"/>
            <w:vAlign w:val="center"/>
            <w:hideMark/>
          </w:tcPr>
          <w:p w14:paraId="38430158"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901.278.277</w:t>
            </w:r>
          </w:p>
        </w:tc>
        <w:tc>
          <w:tcPr>
            <w:tcW w:w="323" w:type="dxa"/>
            <w:tcBorders>
              <w:top w:val="nil"/>
              <w:left w:val="nil"/>
              <w:bottom w:val="single" w:sz="8" w:space="0" w:color="auto"/>
              <w:right w:val="single" w:sz="8" w:space="0" w:color="auto"/>
            </w:tcBorders>
            <w:shd w:val="clear" w:color="auto" w:fill="auto"/>
            <w:vAlign w:val="center"/>
            <w:hideMark/>
          </w:tcPr>
          <w:p w14:paraId="7D976AA0"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5</w:t>
            </w:r>
          </w:p>
        </w:tc>
        <w:tc>
          <w:tcPr>
            <w:tcW w:w="505" w:type="dxa"/>
            <w:tcBorders>
              <w:top w:val="nil"/>
              <w:left w:val="nil"/>
              <w:bottom w:val="single" w:sz="8" w:space="0" w:color="auto"/>
              <w:right w:val="single" w:sz="8" w:space="0" w:color="auto"/>
            </w:tcBorders>
            <w:shd w:val="clear" w:color="auto" w:fill="auto"/>
            <w:vAlign w:val="center"/>
            <w:hideMark/>
          </w:tcPr>
          <w:p w14:paraId="34E27E47"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45337</w:t>
            </w:r>
          </w:p>
        </w:tc>
        <w:tc>
          <w:tcPr>
            <w:tcW w:w="4243" w:type="dxa"/>
            <w:tcBorders>
              <w:top w:val="nil"/>
              <w:left w:val="nil"/>
              <w:bottom w:val="single" w:sz="8" w:space="0" w:color="auto"/>
              <w:right w:val="single" w:sz="8" w:space="0" w:color="auto"/>
            </w:tcBorders>
            <w:shd w:val="clear" w:color="auto" w:fill="auto"/>
            <w:vAlign w:val="center"/>
            <w:hideMark/>
          </w:tcPr>
          <w:p w14:paraId="701330E6"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SVC E.S.P. S.A.S. ZOMAC</w:t>
            </w:r>
          </w:p>
        </w:tc>
        <w:tc>
          <w:tcPr>
            <w:tcW w:w="1196" w:type="dxa"/>
            <w:tcBorders>
              <w:top w:val="nil"/>
              <w:left w:val="nil"/>
              <w:bottom w:val="single" w:sz="8" w:space="0" w:color="auto"/>
              <w:right w:val="single" w:sz="8" w:space="0" w:color="auto"/>
            </w:tcBorders>
            <w:shd w:val="clear" w:color="auto" w:fill="auto"/>
            <w:vAlign w:val="center"/>
            <w:hideMark/>
          </w:tcPr>
          <w:p w14:paraId="2B47CFDB"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7CFDD866"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52B85A2F"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5C7261DB"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216</w:t>
            </w:r>
          </w:p>
        </w:tc>
        <w:tc>
          <w:tcPr>
            <w:tcW w:w="879" w:type="dxa"/>
            <w:tcBorders>
              <w:top w:val="nil"/>
              <w:left w:val="nil"/>
              <w:bottom w:val="single" w:sz="8" w:space="0" w:color="auto"/>
              <w:right w:val="single" w:sz="8" w:space="0" w:color="auto"/>
            </w:tcBorders>
            <w:shd w:val="clear" w:color="auto" w:fill="auto"/>
            <w:vAlign w:val="center"/>
            <w:hideMark/>
          </w:tcPr>
          <w:p w14:paraId="2B20F31D"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901.285.410</w:t>
            </w:r>
          </w:p>
        </w:tc>
        <w:tc>
          <w:tcPr>
            <w:tcW w:w="323" w:type="dxa"/>
            <w:tcBorders>
              <w:top w:val="nil"/>
              <w:left w:val="nil"/>
              <w:bottom w:val="single" w:sz="8" w:space="0" w:color="auto"/>
              <w:right w:val="single" w:sz="8" w:space="0" w:color="auto"/>
            </w:tcBorders>
            <w:shd w:val="clear" w:color="auto" w:fill="auto"/>
            <w:vAlign w:val="center"/>
            <w:hideMark/>
          </w:tcPr>
          <w:p w14:paraId="2A1B703C"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w:t>
            </w:r>
          </w:p>
        </w:tc>
        <w:tc>
          <w:tcPr>
            <w:tcW w:w="505" w:type="dxa"/>
            <w:tcBorders>
              <w:top w:val="nil"/>
              <w:left w:val="nil"/>
              <w:bottom w:val="single" w:sz="8" w:space="0" w:color="auto"/>
              <w:right w:val="single" w:sz="8" w:space="0" w:color="auto"/>
            </w:tcBorders>
            <w:shd w:val="clear" w:color="auto" w:fill="auto"/>
            <w:vAlign w:val="center"/>
            <w:hideMark/>
          </w:tcPr>
          <w:p w14:paraId="79AD7952"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44478</w:t>
            </w:r>
          </w:p>
        </w:tc>
        <w:tc>
          <w:tcPr>
            <w:tcW w:w="4243" w:type="dxa"/>
            <w:tcBorders>
              <w:top w:val="nil"/>
              <w:left w:val="nil"/>
              <w:bottom w:val="single" w:sz="8" w:space="0" w:color="auto"/>
              <w:right w:val="single" w:sz="8" w:space="0" w:color="auto"/>
            </w:tcBorders>
            <w:shd w:val="clear" w:color="auto" w:fill="auto"/>
            <w:vAlign w:val="center"/>
            <w:hideMark/>
          </w:tcPr>
          <w:p w14:paraId="0F144297"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SOUL ENERGY SAS ESP</w:t>
            </w:r>
          </w:p>
        </w:tc>
        <w:tc>
          <w:tcPr>
            <w:tcW w:w="1196" w:type="dxa"/>
            <w:tcBorders>
              <w:top w:val="nil"/>
              <w:left w:val="nil"/>
              <w:bottom w:val="single" w:sz="8" w:space="0" w:color="auto"/>
              <w:right w:val="single" w:sz="8" w:space="0" w:color="auto"/>
            </w:tcBorders>
            <w:shd w:val="clear" w:color="auto" w:fill="auto"/>
            <w:vAlign w:val="center"/>
            <w:hideMark/>
          </w:tcPr>
          <w:p w14:paraId="174B61D1"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41F442ED"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7B7F804B"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05689FFC"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217</w:t>
            </w:r>
          </w:p>
        </w:tc>
        <w:tc>
          <w:tcPr>
            <w:tcW w:w="879" w:type="dxa"/>
            <w:tcBorders>
              <w:top w:val="nil"/>
              <w:left w:val="nil"/>
              <w:bottom w:val="single" w:sz="8" w:space="0" w:color="auto"/>
              <w:right w:val="single" w:sz="8" w:space="0" w:color="auto"/>
            </w:tcBorders>
            <w:shd w:val="clear" w:color="auto" w:fill="auto"/>
            <w:vAlign w:val="center"/>
            <w:hideMark/>
          </w:tcPr>
          <w:p w14:paraId="19CE3109"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901.288.781</w:t>
            </w:r>
          </w:p>
        </w:tc>
        <w:tc>
          <w:tcPr>
            <w:tcW w:w="323" w:type="dxa"/>
            <w:tcBorders>
              <w:top w:val="nil"/>
              <w:left w:val="nil"/>
              <w:bottom w:val="single" w:sz="8" w:space="0" w:color="auto"/>
              <w:right w:val="single" w:sz="8" w:space="0" w:color="auto"/>
            </w:tcBorders>
            <w:shd w:val="clear" w:color="auto" w:fill="auto"/>
            <w:vAlign w:val="center"/>
            <w:hideMark/>
          </w:tcPr>
          <w:p w14:paraId="163BD960"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w:t>
            </w:r>
          </w:p>
        </w:tc>
        <w:tc>
          <w:tcPr>
            <w:tcW w:w="505" w:type="dxa"/>
            <w:tcBorders>
              <w:top w:val="nil"/>
              <w:left w:val="nil"/>
              <w:bottom w:val="single" w:sz="8" w:space="0" w:color="auto"/>
              <w:right w:val="single" w:sz="8" w:space="0" w:color="auto"/>
            </w:tcBorders>
            <w:shd w:val="clear" w:color="auto" w:fill="auto"/>
            <w:vAlign w:val="center"/>
            <w:hideMark/>
          </w:tcPr>
          <w:p w14:paraId="110EE6B5"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45317</w:t>
            </w:r>
          </w:p>
        </w:tc>
        <w:tc>
          <w:tcPr>
            <w:tcW w:w="4243" w:type="dxa"/>
            <w:tcBorders>
              <w:top w:val="nil"/>
              <w:left w:val="nil"/>
              <w:bottom w:val="single" w:sz="8" w:space="0" w:color="auto"/>
              <w:right w:val="single" w:sz="8" w:space="0" w:color="auto"/>
            </w:tcBorders>
            <w:shd w:val="clear" w:color="auto" w:fill="auto"/>
            <w:vAlign w:val="center"/>
            <w:hideMark/>
          </w:tcPr>
          <w:p w14:paraId="03B57564"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DEPI ENERGY S.A.S. E.S.P.</w:t>
            </w:r>
          </w:p>
        </w:tc>
        <w:tc>
          <w:tcPr>
            <w:tcW w:w="1196" w:type="dxa"/>
            <w:tcBorders>
              <w:top w:val="nil"/>
              <w:left w:val="nil"/>
              <w:bottom w:val="single" w:sz="8" w:space="0" w:color="auto"/>
              <w:right w:val="single" w:sz="8" w:space="0" w:color="auto"/>
            </w:tcBorders>
            <w:shd w:val="clear" w:color="auto" w:fill="auto"/>
            <w:vAlign w:val="center"/>
            <w:hideMark/>
          </w:tcPr>
          <w:p w14:paraId="63652351"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3A08B7CA"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5AAD4439"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6569BB20"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218</w:t>
            </w:r>
          </w:p>
        </w:tc>
        <w:tc>
          <w:tcPr>
            <w:tcW w:w="879" w:type="dxa"/>
            <w:tcBorders>
              <w:top w:val="nil"/>
              <w:left w:val="nil"/>
              <w:bottom w:val="single" w:sz="8" w:space="0" w:color="auto"/>
              <w:right w:val="single" w:sz="8" w:space="0" w:color="auto"/>
            </w:tcBorders>
            <w:shd w:val="clear" w:color="auto" w:fill="auto"/>
            <w:vAlign w:val="center"/>
            <w:hideMark/>
          </w:tcPr>
          <w:p w14:paraId="243C9A76"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901.296.315</w:t>
            </w:r>
          </w:p>
        </w:tc>
        <w:tc>
          <w:tcPr>
            <w:tcW w:w="323" w:type="dxa"/>
            <w:tcBorders>
              <w:top w:val="nil"/>
              <w:left w:val="nil"/>
              <w:bottom w:val="single" w:sz="8" w:space="0" w:color="auto"/>
              <w:right w:val="single" w:sz="8" w:space="0" w:color="auto"/>
            </w:tcBorders>
            <w:shd w:val="clear" w:color="auto" w:fill="auto"/>
            <w:vAlign w:val="center"/>
            <w:hideMark/>
          </w:tcPr>
          <w:p w14:paraId="43FE608E"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3</w:t>
            </w:r>
          </w:p>
        </w:tc>
        <w:tc>
          <w:tcPr>
            <w:tcW w:w="505" w:type="dxa"/>
            <w:tcBorders>
              <w:top w:val="nil"/>
              <w:left w:val="nil"/>
              <w:bottom w:val="single" w:sz="8" w:space="0" w:color="auto"/>
              <w:right w:val="single" w:sz="8" w:space="0" w:color="auto"/>
            </w:tcBorders>
            <w:shd w:val="clear" w:color="auto" w:fill="auto"/>
            <w:vAlign w:val="center"/>
            <w:hideMark/>
          </w:tcPr>
          <w:p w14:paraId="10CB1090"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44997</w:t>
            </w:r>
          </w:p>
        </w:tc>
        <w:tc>
          <w:tcPr>
            <w:tcW w:w="4243" w:type="dxa"/>
            <w:tcBorders>
              <w:top w:val="nil"/>
              <w:left w:val="nil"/>
              <w:bottom w:val="single" w:sz="8" w:space="0" w:color="auto"/>
              <w:right w:val="single" w:sz="8" w:space="0" w:color="auto"/>
            </w:tcBorders>
            <w:shd w:val="clear" w:color="auto" w:fill="auto"/>
            <w:vAlign w:val="center"/>
            <w:hideMark/>
          </w:tcPr>
          <w:p w14:paraId="59472A25"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ELECTRIFICADORA ENTRE RIOS S.A.S</w:t>
            </w:r>
          </w:p>
        </w:tc>
        <w:tc>
          <w:tcPr>
            <w:tcW w:w="1196" w:type="dxa"/>
            <w:tcBorders>
              <w:top w:val="nil"/>
              <w:left w:val="nil"/>
              <w:bottom w:val="single" w:sz="8" w:space="0" w:color="auto"/>
              <w:right w:val="single" w:sz="8" w:space="0" w:color="auto"/>
            </w:tcBorders>
            <w:shd w:val="clear" w:color="auto" w:fill="auto"/>
            <w:vAlign w:val="center"/>
            <w:hideMark/>
          </w:tcPr>
          <w:p w14:paraId="1A28B25F"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264FB3B1"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2FCA6304"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441F1E04"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219</w:t>
            </w:r>
          </w:p>
        </w:tc>
        <w:tc>
          <w:tcPr>
            <w:tcW w:w="879" w:type="dxa"/>
            <w:tcBorders>
              <w:top w:val="nil"/>
              <w:left w:val="nil"/>
              <w:bottom w:val="single" w:sz="8" w:space="0" w:color="auto"/>
              <w:right w:val="single" w:sz="8" w:space="0" w:color="auto"/>
            </w:tcBorders>
            <w:shd w:val="clear" w:color="auto" w:fill="auto"/>
            <w:vAlign w:val="center"/>
            <w:hideMark/>
          </w:tcPr>
          <w:p w14:paraId="78CF5B16"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901.302.727</w:t>
            </w:r>
          </w:p>
        </w:tc>
        <w:tc>
          <w:tcPr>
            <w:tcW w:w="323" w:type="dxa"/>
            <w:tcBorders>
              <w:top w:val="nil"/>
              <w:left w:val="nil"/>
              <w:bottom w:val="single" w:sz="8" w:space="0" w:color="auto"/>
              <w:right w:val="single" w:sz="8" w:space="0" w:color="auto"/>
            </w:tcBorders>
            <w:shd w:val="clear" w:color="auto" w:fill="auto"/>
            <w:vAlign w:val="center"/>
            <w:hideMark/>
          </w:tcPr>
          <w:p w14:paraId="45E660D0"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0</w:t>
            </w:r>
          </w:p>
        </w:tc>
        <w:tc>
          <w:tcPr>
            <w:tcW w:w="505" w:type="dxa"/>
            <w:tcBorders>
              <w:top w:val="nil"/>
              <w:left w:val="nil"/>
              <w:bottom w:val="single" w:sz="8" w:space="0" w:color="auto"/>
              <w:right w:val="single" w:sz="8" w:space="0" w:color="auto"/>
            </w:tcBorders>
            <w:shd w:val="clear" w:color="auto" w:fill="auto"/>
            <w:vAlign w:val="center"/>
            <w:hideMark/>
          </w:tcPr>
          <w:p w14:paraId="321CF54A"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45298</w:t>
            </w:r>
          </w:p>
        </w:tc>
        <w:tc>
          <w:tcPr>
            <w:tcW w:w="4243" w:type="dxa"/>
            <w:tcBorders>
              <w:top w:val="nil"/>
              <w:left w:val="nil"/>
              <w:bottom w:val="single" w:sz="8" w:space="0" w:color="auto"/>
              <w:right w:val="single" w:sz="8" w:space="0" w:color="auto"/>
            </w:tcBorders>
            <w:shd w:val="clear" w:color="auto" w:fill="auto"/>
            <w:vAlign w:val="center"/>
            <w:hideMark/>
          </w:tcPr>
          <w:p w14:paraId="1BFAD6AD"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NEU ENERGY SAS ESP</w:t>
            </w:r>
          </w:p>
        </w:tc>
        <w:tc>
          <w:tcPr>
            <w:tcW w:w="1196" w:type="dxa"/>
            <w:tcBorders>
              <w:top w:val="nil"/>
              <w:left w:val="nil"/>
              <w:bottom w:val="single" w:sz="8" w:space="0" w:color="auto"/>
              <w:right w:val="single" w:sz="8" w:space="0" w:color="auto"/>
            </w:tcBorders>
            <w:shd w:val="clear" w:color="auto" w:fill="auto"/>
            <w:vAlign w:val="center"/>
            <w:hideMark/>
          </w:tcPr>
          <w:p w14:paraId="010A6692"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070D999A"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SIN REPORTE AL SUI</w:t>
            </w:r>
          </w:p>
        </w:tc>
      </w:tr>
      <w:tr w:rsidR="00AD4E79" w:rsidRPr="00AD4E79" w14:paraId="013D0CDA" w14:textId="77777777" w:rsidTr="00AD4E79">
        <w:trPr>
          <w:trHeight w:val="319"/>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02456D08"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220</w:t>
            </w:r>
          </w:p>
        </w:tc>
        <w:tc>
          <w:tcPr>
            <w:tcW w:w="879" w:type="dxa"/>
            <w:tcBorders>
              <w:top w:val="nil"/>
              <w:left w:val="nil"/>
              <w:bottom w:val="single" w:sz="8" w:space="0" w:color="auto"/>
              <w:right w:val="single" w:sz="8" w:space="0" w:color="auto"/>
            </w:tcBorders>
            <w:shd w:val="clear" w:color="auto" w:fill="auto"/>
            <w:vAlign w:val="center"/>
            <w:hideMark/>
          </w:tcPr>
          <w:p w14:paraId="3C747C33"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901.326.470</w:t>
            </w:r>
          </w:p>
        </w:tc>
        <w:tc>
          <w:tcPr>
            <w:tcW w:w="323" w:type="dxa"/>
            <w:tcBorders>
              <w:top w:val="nil"/>
              <w:left w:val="nil"/>
              <w:bottom w:val="single" w:sz="8" w:space="0" w:color="auto"/>
              <w:right w:val="single" w:sz="8" w:space="0" w:color="auto"/>
            </w:tcBorders>
            <w:shd w:val="clear" w:color="auto" w:fill="auto"/>
            <w:vAlign w:val="center"/>
            <w:hideMark/>
          </w:tcPr>
          <w:p w14:paraId="5BCD79C5"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7</w:t>
            </w:r>
          </w:p>
        </w:tc>
        <w:tc>
          <w:tcPr>
            <w:tcW w:w="505" w:type="dxa"/>
            <w:tcBorders>
              <w:top w:val="nil"/>
              <w:left w:val="nil"/>
              <w:bottom w:val="single" w:sz="8" w:space="0" w:color="auto"/>
              <w:right w:val="single" w:sz="8" w:space="0" w:color="auto"/>
            </w:tcBorders>
            <w:shd w:val="clear" w:color="auto" w:fill="auto"/>
            <w:vAlign w:val="center"/>
            <w:hideMark/>
          </w:tcPr>
          <w:p w14:paraId="74C56D6E"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48986</w:t>
            </w:r>
          </w:p>
        </w:tc>
        <w:tc>
          <w:tcPr>
            <w:tcW w:w="4243" w:type="dxa"/>
            <w:tcBorders>
              <w:top w:val="nil"/>
              <w:left w:val="nil"/>
              <w:bottom w:val="single" w:sz="8" w:space="0" w:color="auto"/>
              <w:right w:val="single" w:sz="8" w:space="0" w:color="auto"/>
            </w:tcBorders>
            <w:shd w:val="clear" w:color="auto" w:fill="auto"/>
            <w:vAlign w:val="center"/>
            <w:hideMark/>
          </w:tcPr>
          <w:p w14:paraId="55040042"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PROENERGY SOCIEDAD POR ACCIONES SIMPLIFICADAS EMPRESA DE SERVICIOS PUBLICOS DOMICILIARIOS</w:t>
            </w:r>
          </w:p>
        </w:tc>
        <w:tc>
          <w:tcPr>
            <w:tcW w:w="1196" w:type="dxa"/>
            <w:tcBorders>
              <w:top w:val="nil"/>
              <w:left w:val="nil"/>
              <w:bottom w:val="single" w:sz="8" w:space="0" w:color="auto"/>
              <w:right w:val="single" w:sz="8" w:space="0" w:color="auto"/>
            </w:tcBorders>
            <w:shd w:val="clear" w:color="auto" w:fill="auto"/>
            <w:vAlign w:val="center"/>
            <w:hideMark/>
          </w:tcPr>
          <w:p w14:paraId="158AC204"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0741C55C"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790CB35B"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1E22C40A"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221</w:t>
            </w:r>
          </w:p>
        </w:tc>
        <w:tc>
          <w:tcPr>
            <w:tcW w:w="879" w:type="dxa"/>
            <w:tcBorders>
              <w:top w:val="nil"/>
              <w:left w:val="nil"/>
              <w:bottom w:val="single" w:sz="8" w:space="0" w:color="auto"/>
              <w:right w:val="single" w:sz="8" w:space="0" w:color="auto"/>
            </w:tcBorders>
            <w:shd w:val="clear" w:color="auto" w:fill="auto"/>
            <w:vAlign w:val="center"/>
            <w:hideMark/>
          </w:tcPr>
          <w:p w14:paraId="36C779FE"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901.334.314</w:t>
            </w:r>
          </w:p>
        </w:tc>
        <w:tc>
          <w:tcPr>
            <w:tcW w:w="323" w:type="dxa"/>
            <w:tcBorders>
              <w:top w:val="nil"/>
              <w:left w:val="nil"/>
              <w:bottom w:val="single" w:sz="8" w:space="0" w:color="auto"/>
              <w:right w:val="single" w:sz="8" w:space="0" w:color="auto"/>
            </w:tcBorders>
            <w:shd w:val="clear" w:color="auto" w:fill="auto"/>
            <w:vAlign w:val="center"/>
            <w:hideMark/>
          </w:tcPr>
          <w:p w14:paraId="1D9FD9C2"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w:t>
            </w:r>
          </w:p>
        </w:tc>
        <w:tc>
          <w:tcPr>
            <w:tcW w:w="505" w:type="dxa"/>
            <w:tcBorders>
              <w:top w:val="nil"/>
              <w:left w:val="nil"/>
              <w:bottom w:val="single" w:sz="8" w:space="0" w:color="auto"/>
              <w:right w:val="single" w:sz="8" w:space="0" w:color="auto"/>
            </w:tcBorders>
            <w:shd w:val="clear" w:color="auto" w:fill="auto"/>
            <w:vAlign w:val="center"/>
            <w:hideMark/>
          </w:tcPr>
          <w:p w14:paraId="1871A66B"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47547</w:t>
            </w:r>
          </w:p>
        </w:tc>
        <w:tc>
          <w:tcPr>
            <w:tcW w:w="4243" w:type="dxa"/>
            <w:tcBorders>
              <w:top w:val="nil"/>
              <w:left w:val="nil"/>
              <w:bottom w:val="single" w:sz="8" w:space="0" w:color="auto"/>
              <w:right w:val="single" w:sz="8" w:space="0" w:color="auto"/>
            </w:tcBorders>
            <w:shd w:val="clear" w:color="auto" w:fill="auto"/>
            <w:vAlign w:val="center"/>
            <w:hideMark/>
          </w:tcPr>
          <w:p w14:paraId="5B0A2086"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XT ENERGIA SAS ESP</w:t>
            </w:r>
          </w:p>
        </w:tc>
        <w:tc>
          <w:tcPr>
            <w:tcW w:w="1196" w:type="dxa"/>
            <w:tcBorders>
              <w:top w:val="nil"/>
              <w:left w:val="nil"/>
              <w:bottom w:val="single" w:sz="8" w:space="0" w:color="auto"/>
              <w:right w:val="single" w:sz="8" w:space="0" w:color="auto"/>
            </w:tcBorders>
            <w:shd w:val="clear" w:color="auto" w:fill="auto"/>
            <w:vAlign w:val="center"/>
            <w:hideMark/>
          </w:tcPr>
          <w:p w14:paraId="2E8EA3BA"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312BD164"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SIN REPORTE AL SUI</w:t>
            </w:r>
          </w:p>
        </w:tc>
      </w:tr>
      <w:tr w:rsidR="00AD4E79" w:rsidRPr="00AD4E79" w14:paraId="119A6631"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77499594"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lastRenderedPageBreak/>
              <w:t>222</w:t>
            </w:r>
          </w:p>
        </w:tc>
        <w:tc>
          <w:tcPr>
            <w:tcW w:w="879" w:type="dxa"/>
            <w:tcBorders>
              <w:top w:val="nil"/>
              <w:left w:val="nil"/>
              <w:bottom w:val="single" w:sz="8" w:space="0" w:color="auto"/>
              <w:right w:val="single" w:sz="8" w:space="0" w:color="auto"/>
            </w:tcBorders>
            <w:shd w:val="clear" w:color="auto" w:fill="auto"/>
            <w:vAlign w:val="center"/>
            <w:hideMark/>
          </w:tcPr>
          <w:p w14:paraId="5CFC41C7"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901.335.304</w:t>
            </w:r>
          </w:p>
        </w:tc>
        <w:tc>
          <w:tcPr>
            <w:tcW w:w="323" w:type="dxa"/>
            <w:tcBorders>
              <w:top w:val="nil"/>
              <w:left w:val="nil"/>
              <w:bottom w:val="single" w:sz="8" w:space="0" w:color="auto"/>
              <w:right w:val="single" w:sz="8" w:space="0" w:color="auto"/>
            </w:tcBorders>
            <w:shd w:val="clear" w:color="auto" w:fill="auto"/>
            <w:vAlign w:val="center"/>
            <w:hideMark/>
          </w:tcPr>
          <w:p w14:paraId="5474689A"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0</w:t>
            </w:r>
          </w:p>
        </w:tc>
        <w:tc>
          <w:tcPr>
            <w:tcW w:w="505" w:type="dxa"/>
            <w:tcBorders>
              <w:top w:val="nil"/>
              <w:left w:val="nil"/>
              <w:bottom w:val="single" w:sz="8" w:space="0" w:color="auto"/>
              <w:right w:val="single" w:sz="8" w:space="0" w:color="auto"/>
            </w:tcBorders>
            <w:shd w:val="clear" w:color="auto" w:fill="auto"/>
            <w:vAlign w:val="center"/>
            <w:hideMark/>
          </w:tcPr>
          <w:p w14:paraId="10DDB8B6"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54786</w:t>
            </w:r>
          </w:p>
        </w:tc>
        <w:tc>
          <w:tcPr>
            <w:tcW w:w="4243" w:type="dxa"/>
            <w:tcBorders>
              <w:top w:val="nil"/>
              <w:left w:val="nil"/>
              <w:bottom w:val="single" w:sz="8" w:space="0" w:color="auto"/>
              <w:right w:val="single" w:sz="8" w:space="0" w:color="auto"/>
            </w:tcBorders>
            <w:shd w:val="clear" w:color="auto" w:fill="auto"/>
            <w:vAlign w:val="center"/>
            <w:hideMark/>
          </w:tcPr>
          <w:p w14:paraId="2503CCA6"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TRINA SOLAR GENERADOR COLOMBIA SAN FELIPE SAS</w:t>
            </w:r>
          </w:p>
        </w:tc>
        <w:tc>
          <w:tcPr>
            <w:tcW w:w="1196" w:type="dxa"/>
            <w:tcBorders>
              <w:top w:val="nil"/>
              <w:left w:val="nil"/>
              <w:bottom w:val="single" w:sz="8" w:space="0" w:color="auto"/>
              <w:right w:val="single" w:sz="8" w:space="0" w:color="auto"/>
            </w:tcBorders>
            <w:shd w:val="clear" w:color="auto" w:fill="auto"/>
            <w:vAlign w:val="center"/>
            <w:hideMark/>
          </w:tcPr>
          <w:p w14:paraId="1DCECE6E"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21D20870"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3F0D6F61" w14:textId="77777777" w:rsidTr="00AD4E79">
        <w:trPr>
          <w:trHeight w:val="316"/>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6B4F0D6F"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223</w:t>
            </w:r>
          </w:p>
        </w:tc>
        <w:tc>
          <w:tcPr>
            <w:tcW w:w="879" w:type="dxa"/>
            <w:tcBorders>
              <w:top w:val="nil"/>
              <w:left w:val="nil"/>
              <w:bottom w:val="single" w:sz="8" w:space="0" w:color="auto"/>
              <w:right w:val="single" w:sz="8" w:space="0" w:color="auto"/>
            </w:tcBorders>
            <w:shd w:val="clear" w:color="auto" w:fill="auto"/>
            <w:vAlign w:val="center"/>
            <w:hideMark/>
          </w:tcPr>
          <w:p w14:paraId="52C35EE6"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901.335.318</w:t>
            </w:r>
          </w:p>
        </w:tc>
        <w:tc>
          <w:tcPr>
            <w:tcW w:w="323" w:type="dxa"/>
            <w:tcBorders>
              <w:top w:val="nil"/>
              <w:left w:val="nil"/>
              <w:bottom w:val="single" w:sz="8" w:space="0" w:color="auto"/>
              <w:right w:val="single" w:sz="8" w:space="0" w:color="auto"/>
            </w:tcBorders>
            <w:shd w:val="clear" w:color="auto" w:fill="auto"/>
            <w:vAlign w:val="center"/>
            <w:hideMark/>
          </w:tcPr>
          <w:p w14:paraId="2C1C75E6"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3</w:t>
            </w:r>
          </w:p>
        </w:tc>
        <w:tc>
          <w:tcPr>
            <w:tcW w:w="505" w:type="dxa"/>
            <w:tcBorders>
              <w:top w:val="nil"/>
              <w:left w:val="nil"/>
              <w:bottom w:val="single" w:sz="8" w:space="0" w:color="auto"/>
              <w:right w:val="single" w:sz="8" w:space="0" w:color="auto"/>
            </w:tcBorders>
            <w:shd w:val="clear" w:color="auto" w:fill="auto"/>
            <w:vAlign w:val="center"/>
            <w:hideMark/>
          </w:tcPr>
          <w:p w14:paraId="5AE3B1F3"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56127</w:t>
            </w:r>
          </w:p>
        </w:tc>
        <w:tc>
          <w:tcPr>
            <w:tcW w:w="4243" w:type="dxa"/>
            <w:tcBorders>
              <w:top w:val="nil"/>
              <w:left w:val="nil"/>
              <w:bottom w:val="single" w:sz="8" w:space="0" w:color="auto"/>
              <w:right w:val="single" w:sz="8" w:space="0" w:color="auto"/>
            </w:tcBorders>
            <w:shd w:val="clear" w:color="auto" w:fill="auto"/>
            <w:vAlign w:val="center"/>
            <w:hideMark/>
          </w:tcPr>
          <w:p w14:paraId="6C2E965C"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TRINA SOLAR GENERADOR COLOMBIA - CAMPANO S.A.S. E.</w:t>
            </w:r>
            <w:proofErr w:type="gramStart"/>
            <w:r w:rsidRPr="00AD4E79">
              <w:rPr>
                <w:rFonts w:ascii="Arial Narrow" w:hAnsi="Arial Narrow" w:cs="Arial"/>
                <w:spacing w:val="0"/>
                <w:sz w:val="16"/>
                <w:szCs w:val="16"/>
                <w:lang w:eastAsia="es-CO"/>
              </w:rPr>
              <w:t>S.P</w:t>
            </w:r>
            <w:proofErr w:type="gramEnd"/>
          </w:p>
        </w:tc>
        <w:tc>
          <w:tcPr>
            <w:tcW w:w="1196" w:type="dxa"/>
            <w:tcBorders>
              <w:top w:val="nil"/>
              <w:left w:val="nil"/>
              <w:bottom w:val="single" w:sz="8" w:space="0" w:color="auto"/>
              <w:right w:val="single" w:sz="8" w:space="0" w:color="auto"/>
            </w:tcBorders>
            <w:shd w:val="clear" w:color="auto" w:fill="auto"/>
            <w:vAlign w:val="center"/>
            <w:hideMark/>
          </w:tcPr>
          <w:p w14:paraId="524B3484"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2A2A97C7"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40088523" w14:textId="77777777" w:rsidTr="00AD4E79">
        <w:trPr>
          <w:trHeight w:val="196"/>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0176BE06"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224</w:t>
            </w:r>
          </w:p>
        </w:tc>
        <w:tc>
          <w:tcPr>
            <w:tcW w:w="879" w:type="dxa"/>
            <w:tcBorders>
              <w:top w:val="nil"/>
              <w:left w:val="nil"/>
              <w:bottom w:val="single" w:sz="8" w:space="0" w:color="auto"/>
              <w:right w:val="single" w:sz="8" w:space="0" w:color="auto"/>
            </w:tcBorders>
            <w:shd w:val="clear" w:color="auto" w:fill="auto"/>
            <w:vAlign w:val="center"/>
            <w:hideMark/>
          </w:tcPr>
          <w:p w14:paraId="4364A13B"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901.335.349</w:t>
            </w:r>
          </w:p>
        </w:tc>
        <w:tc>
          <w:tcPr>
            <w:tcW w:w="323" w:type="dxa"/>
            <w:tcBorders>
              <w:top w:val="nil"/>
              <w:left w:val="nil"/>
              <w:bottom w:val="single" w:sz="8" w:space="0" w:color="auto"/>
              <w:right w:val="single" w:sz="8" w:space="0" w:color="auto"/>
            </w:tcBorders>
            <w:shd w:val="clear" w:color="auto" w:fill="auto"/>
            <w:vAlign w:val="center"/>
            <w:hideMark/>
          </w:tcPr>
          <w:p w14:paraId="068A1EFE"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w:t>
            </w:r>
          </w:p>
        </w:tc>
        <w:tc>
          <w:tcPr>
            <w:tcW w:w="505" w:type="dxa"/>
            <w:tcBorders>
              <w:top w:val="nil"/>
              <w:left w:val="nil"/>
              <w:bottom w:val="single" w:sz="8" w:space="0" w:color="auto"/>
              <w:right w:val="single" w:sz="8" w:space="0" w:color="auto"/>
            </w:tcBorders>
            <w:shd w:val="clear" w:color="auto" w:fill="auto"/>
            <w:vAlign w:val="center"/>
            <w:hideMark/>
          </w:tcPr>
          <w:p w14:paraId="7BD3AAF2"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56126</w:t>
            </w:r>
          </w:p>
        </w:tc>
        <w:tc>
          <w:tcPr>
            <w:tcW w:w="4243" w:type="dxa"/>
            <w:tcBorders>
              <w:top w:val="nil"/>
              <w:left w:val="nil"/>
              <w:bottom w:val="single" w:sz="8" w:space="0" w:color="auto"/>
              <w:right w:val="single" w:sz="8" w:space="0" w:color="auto"/>
            </w:tcBorders>
            <w:shd w:val="clear" w:color="auto" w:fill="auto"/>
            <w:vAlign w:val="center"/>
            <w:hideMark/>
          </w:tcPr>
          <w:p w14:paraId="0251FA5B"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TRINA SOLAR GENERADOR COLOMBIA - CARTAGO S.A.S E.</w:t>
            </w:r>
            <w:proofErr w:type="gramStart"/>
            <w:r w:rsidRPr="00AD4E79">
              <w:rPr>
                <w:rFonts w:ascii="Arial Narrow" w:hAnsi="Arial Narrow" w:cs="Arial"/>
                <w:spacing w:val="0"/>
                <w:sz w:val="16"/>
                <w:szCs w:val="16"/>
                <w:lang w:eastAsia="es-CO"/>
              </w:rPr>
              <w:t>S.P</w:t>
            </w:r>
            <w:proofErr w:type="gramEnd"/>
          </w:p>
        </w:tc>
        <w:tc>
          <w:tcPr>
            <w:tcW w:w="1196" w:type="dxa"/>
            <w:tcBorders>
              <w:top w:val="nil"/>
              <w:left w:val="nil"/>
              <w:bottom w:val="single" w:sz="8" w:space="0" w:color="auto"/>
              <w:right w:val="single" w:sz="8" w:space="0" w:color="auto"/>
            </w:tcBorders>
            <w:shd w:val="clear" w:color="auto" w:fill="auto"/>
            <w:vAlign w:val="center"/>
            <w:hideMark/>
          </w:tcPr>
          <w:p w14:paraId="1DFE3307"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3BF84F57"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18D10E31"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21E862F6"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225</w:t>
            </w:r>
          </w:p>
        </w:tc>
        <w:tc>
          <w:tcPr>
            <w:tcW w:w="879" w:type="dxa"/>
            <w:tcBorders>
              <w:top w:val="nil"/>
              <w:left w:val="nil"/>
              <w:bottom w:val="single" w:sz="8" w:space="0" w:color="auto"/>
              <w:right w:val="single" w:sz="8" w:space="0" w:color="auto"/>
            </w:tcBorders>
            <w:shd w:val="clear" w:color="auto" w:fill="auto"/>
            <w:vAlign w:val="center"/>
            <w:hideMark/>
          </w:tcPr>
          <w:p w14:paraId="6B2949A3"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901.345.530</w:t>
            </w:r>
          </w:p>
        </w:tc>
        <w:tc>
          <w:tcPr>
            <w:tcW w:w="323" w:type="dxa"/>
            <w:tcBorders>
              <w:top w:val="nil"/>
              <w:left w:val="nil"/>
              <w:bottom w:val="single" w:sz="8" w:space="0" w:color="auto"/>
              <w:right w:val="single" w:sz="8" w:space="0" w:color="auto"/>
            </w:tcBorders>
            <w:shd w:val="clear" w:color="auto" w:fill="auto"/>
            <w:vAlign w:val="center"/>
            <w:hideMark/>
          </w:tcPr>
          <w:p w14:paraId="29FADCFD"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w:t>
            </w:r>
          </w:p>
        </w:tc>
        <w:tc>
          <w:tcPr>
            <w:tcW w:w="505" w:type="dxa"/>
            <w:tcBorders>
              <w:top w:val="nil"/>
              <w:left w:val="nil"/>
              <w:bottom w:val="single" w:sz="8" w:space="0" w:color="auto"/>
              <w:right w:val="single" w:sz="8" w:space="0" w:color="auto"/>
            </w:tcBorders>
            <w:shd w:val="clear" w:color="auto" w:fill="auto"/>
            <w:vAlign w:val="center"/>
            <w:hideMark/>
          </w:tcPr>
          <w:p w14:paraId="17FCA99C"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59010</w:t>
            </w:r>
          </w:p>
        </w:tc>
        <w:tc>
          <w:tcPr>
            <w:tcW w:w="4243" w:type="dxa"/>
            <w:tcBorders>
              <w:top w:val="nil"/>
              <w:left w:val="nil"/>
              <w:bottom w:val="single" w:sz="8" w:space="0" w:color="auto"/>
              <w:right w:val="single" w:sz="8" w:space="0" w:color="auto"/>
            </w:tcBorders>
            <w:shd w:val="clear" w:color="auto" w:fill="auto"/>
            <w:vAlign w:val="center"/>
            <w:hideMark/>
          </w:tcPr>
          <w:p w14:paraId="53037507"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NOVA ENERGY STAR S.A.S. E.S.P.</w:t>
            </w:r>
          </w:p>
        </w:tc>
        <w:tc>
          <w:tcPr>
            <w:tcW w:w="1196" w:type="dxa"/>
            <w:tcBorders>
              <w:top w:val="nil"/>
              <w:left w:val="nil"/>
              <w:bottom w:val="single" w:sz="8" w:space="0" w:color="auto"/>
              <w:right w:val="single" w:sz="8" w:space="0" w:color="auto"/>
            </w:tcBorders>
            <w:shd w:val="clear" w:color="auto" w:fill="auto"/>
            <w:vAlign w:val="center"/>
            <w:hideMark/>
          </w:tcPr>
          <w:p w14:paraId="46AD5F97"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0438F9BA"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76388F64"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271A3B6E"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226</w:t>
            </w:r>
          </w:p>
        </w:tc>
        <w:tc>
          <w:tcPr>
            <w:tcW w:w="879" w:type="dxa"/>
            <w:tcBorders>
              <w:top w:val="nil"/>
              <w:left w:val="nil"/>
              <w:bottom w:val="single" w:sz="8" w:space="0" w:color="auto"/>
              <w:right w:val="single" w:sz="8" w:space="0" w:color="auto"/>
            </w:tcBorders>
            <w:shd w:val="clear" w:color="auto" w:fill="auto"/>
            <w:vAlign w:val="center"/>
            <w:hideMark/>
          </w:tcPr>
          <w:p w14:paraId="3466A555"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901.346.330</w:t>
            </w:r>
          </w:p>
        </w:tc>
        <w:tc>
          <w:tcPr>
            <w:tcW w:w="323" w:type="dxa"/>
            <w:tcBorders>
              <w:top w:val="nil"/>
              <w:left w:val="nil"/>
              <w:bottom w:val="single" w:sz="8" w:space="0" w:color="auto"/>
              <w:right w:val="single" w:sz="8" w:space="0" w:color="auto"/>
            </w:tcBorders>
            <w:shd w:val="clear" w:color="auto" w:fill="auto"/>
            <w:vAlign w:val="center"/>
            <w:hideMark/>
          </w:tcPr>
          <w:p w14:paraId="60E17476"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w:t>
            </w:r>
          </w:p>
        </w:tc>
        <w:tc>
          <w:tcPr>
            <w:tcW w:w="505" w:type="dxa"/>
            <w:tcBorders>
              <w:top w:val="nil"/>
              <w:left w:val="nil"/>
              <w:bottom w:val="single" w:sz="8" w:space="0" w:color="auto"/>
              <w:right w:val="single" w:sz="8" w:space="0" w:color="auto"/>
            </w:tcBorders>
            <w:shd w:val="clear" w:color="auto" w:fill="auto"/>
            <w:vAlign w:val="center"/>
            <w:hideMark/>
          </w:tcPr>
          <w:p w14:paraId="443DB0C1"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48044</w:t>
            </w:r>
          </w:p>
        </w:tc>
        <w:tc>
          <w:tcPr>
            <w:tcW w:w="4243" w:type="dxa"/>
            <w:tcBorders>
              <w:top w:val="nil"/>
              <w:left w:val="nil"/>
              <w:bottom w:val="single" w:sz="8" w:space="0" w:color="auto"/>
              <w:right w:val="single" w:sz="8" w:space="0" w:color="auto"/>
            </w:tcBorders>
            <w:shd w:val="clear" w:color="auto" w:fill="auto"/>
            <w:vAlign w:val="center"/>
            <w:hideMark/>
          </w:tcPr>
          <w:p w14:paraId="0DB2A672" w14:textId="77777777" w:rsidR="006E3CAD" w:rsidRPr="00AD4E79" w:rsidRDefault="006E3CAD" w:rsidP="00D22441">
            <w:pPr>
              <w:jc w:val="left"/>
              <w:rPr>
                <w:rFonts w:ascii="Arial Narrow" w:hAnsi="Arial Narrow" w:cs="Arial"/>
                <w:spacing w:val="0"/>
                <w:sz w:val="16"/>
                <w:szCs w:val="16"/>
                <w:lang w:val="en-GB" w:eastAsia="es-CO"/>
              </w:rPr>
            </w:pPr>
            <w:r w:rsidRPr="00AD4E79">
              <w:rPr>
                <w:rFonts w:ascii="Arial Narrow" w:hAnsi="Arial Narrow" w:cs="Arial"/>
                <w:spacing w:val="0"/>
                <w:sz w:val="16"/>
                <w:szCs w:val="16"/>
                <w:lang w:val="en-GB" w:eastAsia="es-CO"/>
              </w:rPr>
              <w:t>ENERS S.A.S ESP</w:t>
            </w:r>
          </w:p>
        </w:tc>
        <w:tc>
          <w:tcPr>
            <w:tcW w:w="1196" w:type="dxa"/>
            <w:tcBorders>
              <w:top w:val="nil"/>
              <w:left w:val="nil"/>
              <w:bottom w:val="single" w:sz="8" w:space="0" w:color="auto"/>
              <w:right w:val="single" w:sz="8" w:space="0" w:color="auto"/>
            </w:tcBorders>
            <w:shd w:val="clear" w:color="auto" w:fill="auto"/>
            <w:vAlign w:val="center"/>
            <w:hideMark/>
          </w:tcPr>
          <w:p w14:paraId="19A81E16"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6196EE15"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SIN REPORTE AL SUI</w:t>
            </w:r>
          </w:p>
        </w:tc>
      </w:tr>
      <w:tr w:rsidR="00AD4E79" w:rsidRPr="00AD4E79" w14:paraId="6D9D27BD"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72E1E184"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227</w:t>
            </w:r>
          </w:p>
        </w:tc>
        <w:tc>
          <w:tcPr>
            <w:tcW w:w="879" w:type="dxa"/>
            <w:tcBorders>
              <w:top w:val="nil"/>
              <w:left w:val="nil"/>
              <w:bottom w:val="single" w:sz="8" w:space="0" w:color="auto"/>
              <w:right w:val="single" w:sz="8" w:space="0" w:color="auto"/>
            </w:tcBorders>
            <w:shd w:val="clear" w:color="auto" w:fill="auto"/>
            <w:vAlign w:val="center"/>
            <w:hideMark/>
          </w:tcPr>
          <w:p w14:paraId="5E957E43"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901.346.575</w:t>
            </w:r>
          </w:p>
        </w:tc>
        <w:tc>
          <w:tcPr>
            <w:tcW w:w="323" w:type="dxa"/>
            <w:tcBorders>
              <w:top w:val="nil"/>
              <w:left w:val="nil"/>
              <w:bottom w:val="single" w:sz="8" w:space="0" w:color="auto"/>
              <w:right w:val="single" w:sz="8" w:space="0" w:color="auto"/>
            </w:tcBorders>
            <w:shd w:val="clear" w:color="auto" w:fill="auto"/>
            <w:vAlign w:val="center"/>
            <w:hideMark/>
          </w:tcPr>
          <w:p w14:paraId="2819AD2E"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7</w:t>
            </w:r>
          </w:p>
        </w:tc>
        <w:tc>
          <w:tcPr>
            <w:tcW w:w="505" w:type="dxa"/>
            <w:tcBorders>
              <w:top w:val="nil"/>
              <w:left w:val="nil"/>
              <w:bottom w:val="single" w:sz="8" w:space="0" w:color="auto"/>
              <w:right w:val="single" w:sz="8" w:space="0" w:color="auto"/>
            </w:tcBorders>
            <w:shd w:val="clear" w:color="auto" w:fill="auto"/>
            <w:vAlign w:val="center"/>
            <w:hideMark/>
          </w:tcPr>
          <w:p w14:paraId="7C157335"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48383</w:t>
            </w:r>
          </w:p>
        </w:tc>
        <w:tc>
          <w:tcPr>
            <w:tcW w:w="4243" w:type="dxa"/>
            <w:tcBorders>
              <w:top w:val="nil"/>
              <w:left w:val="nil"/>
              <w:bottom w:val="single" w:sz="8" w:space="0" w:color="auto"/>
              <w:right w:val="single" w:sz="8" w:space="0" w:color="auto"/>
            </w:tcBorders>
            <w:shd w:val="clear" w:color="auto" w:fill="auto"/>
            <w:vAlign w:val="center"/>
            <w:hideMark/>
          </w:tcPr>
          <w:p w14:paraId="5DF1AC9E"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ELECTRO LITORAL F.J.M S.A.S. E.</w:t>
            </w:r>
            <w:proofErr w:type="gramStart"/>
            <w:r w:rsidRPr="00AD4E79">
              <w:rPr>
                <w:rFonts w:ascii="Arial Narrow" w:hAnsi="Arial Narrow" w:cs="Arial"/>
                <w:spacing w:val="0"/>
                <w:sz w:val="16"/>
                <w:szCs w:val="16"/>
                <w:lang w:eastAsia="es-CO"/>
              </w:rPr>
              <w:t>S.P</w:t>
            </w:r>
            <w:proofErr w:type="gramEnd"/>
          </w:p>
        </w:tc>
        <w:tc>
          <w:tcPr>
            <w:tcW w:w="1196" w:type="dxa"/>
            <w:tcBorders>
              <w:top w:val="nil"/>
              <w:left w:val="nil"/>
              <w:bottom w:val="single" w:sz="8" w:space="0" w:color="auto"/>
              <w:right w:val="single" w:sz="8" w:space="0" w:color="auto"/>
            </w:tcBorders>
            <w:shd w:val="clear" w:color="auto" w:fill="auto"/>
            <w:vAlign w:val="center"/>
            <w:hideMark/>
          </w:tcPr>
          <w:p w14:paraId="1B7806B0"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66A546E2"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SIN REPORTE AL SUI</w:t>
            </w:r>
          </w:p>
        </w:tc>
      </w:tr>
      <w:tr w:rsidR="00AD4E79" w:rsidRPr="00AD4E79" w14:paraId="148B0473" w14:textId="77777777" w:rsidTr="00AD4E79">
        <w:trPr>
          <w:trHeight w:val="303"/>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410A5D1E"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228</w:t>
            </w:r>
          </w:p>
        </w:tc>
        <w:tc>
          <w:tcPr>
            <w:tcW w:w="879" w:type="dxa"/>
            <w:tcBorders>
              <w:top w:val="nil"/>
              <w:left w:val="nil"/>
              <w:bottom w:val="single" w:sz="8" w:space="0" w:color="auto"/>
              <w:right w:val="single" w:sz="8" w:space="0" w:color="auto"/>
            </w:tcBorders>
            <w:shd w:val="clear" w:color="auto" w:fill="auto"/>
            <w:vAlign w:val="center"/>
            <w:hideMark/>
          </w:tcPr>
          <w:p w14:paraId="45A3319F"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901.354.878</w:t>
            </w:r>
          </w:p>
        </w:tc>
        <w:tc>
          <w:tcPr>
            <w:tcW w:w="323" w:type="dxa"/>
            <w:tcBorders>
              <w:top w:val="nil"/>
              <w:left w:val="nil"/>
              <w:bottom w:val="single" w:sz="8" w:space="0" w:color="auto"/>
              <w:right w:val="single" w:sz="8" w:space="0" w:color="auto"/>
            </w:tcBorders>
            <w:shd w:val="clear" w:color="auto" w:fill="auto"/>
            <w:vAlign w:val="center"/>
            <w:hideMark/>
          </w:tcPr>
          <w:p w14:paraId="20B385EB"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7</w:t>
            </w:r>
          </w:p>
        </w:tc>
        <w:tc>
          <w:tcPr>
            <w:tcW w:w="505" w:type="dxa"/>
            <w:tcBorders>
              <w:top w:val="nil"/>
              <w:left w:val="nil"/>
              <w:bottom w:val="single" w:sz="8" w:space="0" w:color="auto"/>
              <w:right w:val="single" w:sz="8" w:space="0" w:color="auto"/>
            </w:tcBorders>
            <w:shd w:val="clear" w:color="auto" w:fill="auto"/>
            <w:vAlign w:val="center"/>
            <w:hideMark/>
          </w:tcPr>
          <w:p w14:paraId="22254417"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48187</w:t>
            </w:r>
          </w:p>
        </w:tc>
        <w:tc>
          <w:tcPr>
            <w:tcW w:w="4243" w:type="dxa"/>
            <w:tcBorders>
              <w:top w:val="nil"/>
              <w:left w:val="nil"/>
              <w:bottom w:val="single" w:sz="8" w:space="0" w:color="auto"/>
              <w:right w:val="single" w:sz="8" w:space="0" w:color="auto"/>
            </w:tcBorders>
            <w:shd w:val="clear" w:color="auto" w:fill="auto"/>
            <w:vAlign w:val="center"/>
            <w:hideMark/>
          </w:tcPr>
          <w:p w14:paraId="0AB1F748"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EMPRESA DE SERVICIOS PÚBLICOS DE ENERGÍA RENOVABLE DEL PACIFICO S.A.S. E.S.P.</w:t>
            </w:r>
          </w:p>
        </w:tc>
        <w:tc>
          <w:tcPr>
            <w:tcW w:w="1196" w:type="dxa"/>
            <w:tcBorders>
              <w:top w:val="nil"/>
              <w:left w:val="nil"/>
              <w:bottom w:val="single" w:sz="8" w:space="0" w:color="auto"/>
              <w:right w:val="single" w:sz="8" w:space="0" w:color="auto"/>
            </w:tcBorders>
            <w:shd w:val="clear" w:color="auto" w:fill="auto"/>
            <w:vAlign w:val="center"/>
            <w:hideMark/>
          </w:tcPr>
          <w:p w14:paraId="68683F39"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024E6526"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SIN REPORTE AL SUI</w:t>
            </w:r>
          </w:p>
        </w:tc>
      </w:tr>
      <w:tr w:rsidR="00AD4E79" w:rsidRPr="00AD4E79" w14:paraId="1EDD533E"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3436789C"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229</w:t>
            </w:r>
          </w:p>
        </w:tc>
        <w:tc>
          <w:tcPr>
            <w:tcW w:w="879" w:type="dxa"/>
            <w:tcBorders>
              <w:top w:val="nil"/>
              <w:left w:val="nil"/>
              <w:bottom w:val="single" w:sz="8" w:space="0" w:color="auto"/>
              <w:right w:val="single" w:sz="8" w:space="0" w:color="auto"/>
            </w:tcBorders>
            <w:shd w:val="clear" w:color="auto" w:fill="auto"/>
            <w:vAlign w:val="center"/>
            <w:hideMark/>
          </w:tcPr>
          <w:p w14:paraId="28BDD86F"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901.370.213</w:t>
            </w:r>
          </w:p>
        </w:tc>
        <w:tc>
          <w:tcPr>
            <w:tcW w:w="323" w:type="dxa"/>
            <w:tcBorders>
              <w:top w:val="nil"/>
              <w:left w:val="nil"/>
              <w:bottom w:val="single" w:sz="8" w:space="0" w:color="auto"/>
              <w:right w:val="single" w:sz="8" w:space="0" w:color="auto"/>
            </w:tcBorders>
            <w:shd w:val="clear" w:color="auto" w:fill="auto"/>
            <w:vAlign w:val="center"/>
            <w:hideMark/>
          </w:tcPr>
          <w:p w14:paraId="1624D30C"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7</w:t>
            </w:r>
          </w:p>
        </w:tc>
        <w:tc>
          <w:tcPr>
            <w:tcW w:w="505" w:type="dxa"/>
            <w:tcBorders>
              <w:top w:val="nil"/>
              <w:left w:val="nil"/>
              <w:bottom w:val="single" w:sz="8" w:space="0" w:color="auto"/>
              <w:right w:val="single" w:sz="8" w:space="0" w:color="auto"/>
            </w:tcBorders>
            <w:shd w:val="clear" w:color="auto" w:fill="auto"/>
            <w:vAlign w:val="center"/>
            <w:hideMark/>
          </w:tcPr>
          <w:p w14:paraId="1DC13A18"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54787</w:t>
            </w:r>
          </w:p>
        </w:tc>
        <w:tc>
          <w:tcPr>
            <w:tcW w:w="4243" w:type="dxa"/>
            <w:tcBorders>
              <w:top w:val="nil"/>
              <w:left w:val="nil"/>
              <w:bottom w:val="single" w:sz="8" w:space="0" w:color="auto"/>
              <w:right w:val="single" w:sz="8" w:space="0" w:color="auto"/>
            </w:tcBorders>
            <w:shd w:val="clear" w:color="auto" w:fill="auto"/>
            <w:vAlign w:val="center"/>
            <w:hideMark/>
          </w:tcPr>
          <w:p w14:paraId="18DE702E"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 xml:space="preserve">SUNCO </w:t>
            </w:r>
            <w:proofErr w:type="gramStart"/>
            <w:r w:rsidRPr="00AD4E79">
              <w:rPr>
                <w:rFonts w:ascii="Arial Narrow" w:hAnsi="Arial Narrow" w:cs="Arial"/>
                <w:spacing w:val="0"/>
                <w:sz w:val="16"/>
                <w:szCs w:val="16"/>
                <w:lang w:eastAsia="es-CO"/>
              </w:rPr>
              <w:t>ENERGY  SAS</w:t>
            </w:r>
            <w:proofErr w:type="gramEnd"/>
          </w:p>
        </w:tc>
        <w:tc>
          <w:tcPr>
            <w:tcW w:w="1196" w:type="dxa"/>
            <w:tcBorders>
              <w:top w:val="nil"/>
              <w:left w:val="nil"/>
              <w:bottom w:val="single" w:sz="8" w:space="0" w:color="auto"/>
              <w:right w:val="single" w:sz="8" w:space="0" w:color="auto"/>
            </w:tcBorders>
            <w:shd w:val="clear" w:color="auto" w:fill="auto"/>
            <w:vAlign w:val="center"/>
            <w:hideMark/>
          </w:tcPr>
          <w:p w14:paraId="288256CD"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2B48B1E4"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1B7BAC9D"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2BCF3C14"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230</w:t>
            </w:r>
          </w:p>
        </w:tc>
        <w:tc>
          <w:tcPr>
            <w:tcW w:w="879" w:type="dxa"/>
            <w:tcBorders>
              <w:top w:val="nil"/>
              <w:left w:val="nil"/>
              <w:bottom w:val="single" w:sz="8" w:space="0" w:color="auto"/>
              <w:right w:val="single" w:sz="8" w:space="0" w:color="auto"/>
            </w:tcBorders>
            <w:shd w:val="clear" w:color="auto" w:fill="auto"/>
            <w:vAlign w:val="center"/>
            <w:hideMark/>
          </w:tcPr>
          <w:p w14:paraId="48409AD7"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901.371.247</w:t>
            </w:r>
          </w:p>
        </w:tc>
        <w:tc>
          <w:tcPr>
            <w:tcW w:w="323" w:type="dxa"/>
            <w:tcBorders>
              <w:top w:val="nil"/>
              <w:left w:val="nil"/>
              <w:bottom w:val="single" w:sz="8" w:space="0" w:color="auto"/>
              <w:right w:val="single" w:sz="8" w:space="0" w:color="auto"/>
            </w:tcBorders>
            <w:shd w:val="clear" w:color="auto" w:fill="auto"/>
            <w:vAlign w:val="center"/>
            <w:hideMark/>
          </w:tcPr>
          <w:p w14:paraId="71810032"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w:t>
            </w:r>
          </w:p>
        </w:tc>
        <w:tc>
          <w:tcPr>
            <w:tcW w:w="505" w:type="dxa"/>
            <w:tcBorders>
              <w:top w:val="nil"/>
              <w:left w:val="nil"/>
              <w:bottom w:val="single" w:sz="8" w:space="0" w:color="auto"/>
              <w:right w:val="single" w:sz="8" w:space="0" w:color="auto"/>
            </w:tcBorders>
            <w:shd w:val="clear" w:color="auto" w:fill="auto"/>
            <w:vAlign w:val="center"/>
            <w:hideMark/>
          </w:tcPr>
          <w:p w14:paraId="7CF1730C"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48343</w:t>
            </w:r>
          </w:p>
        </w:tc>
        <w:tc>
          <w:tcPr>
            <w:tcW w:w="4243" w:type="dxa"/>
            <w:tcBorders>
              <w:top w:val="nil"/>
              <w:left w:val="nil"/>
              <w:bottom w:val="single" w:sz="8" w:space="0" w:color="auto"/>
              <w:right w:val="single" w:sz="8" w:space="0" w:color="auto"/>
            </w:tcBorders>
            <w:shd w:val="clear" w:color="auto" w:fill="auto"/>
            <w:vAlign w:val="center"/>
            <w:hideMark/>
          </w:tcPr>
          <w:p w14:paraId="55D7A159"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ENERGIA LIMPIA Y EFICIENTE SAS ESP</w:t>
            </w:r>
          </w:p>
        </w:tc>
        <w:tc>
          <w:tcPr>
            <w:tcW w:w="1196" w:type="dxa"/>
            <w:tcBorders>
              <w:top w:val="nil"/>
              <w:left w:val="nil"/>
              <w:bottom w:val="single" w:sz="8" w:space="0" w:color="auto"/>
              <w:right w:val="single" w:sz="8" w:space="0" w:color="auto"/>
            </w:tcBorders>
            <w:shd w:val="clear" w:color="auto" w:fill="auto"/>
            <w:vAlign w:val="center"/>
            <w:hideMark/>
          </w:tcPr>
          <w:p w14:paraId="4C55B543"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0F17B4B1"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1757E575"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7299D35B"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231</w:t>
            </w:r>
          </w:p>
        </w:tc>
        <w:tc>
          <w:tcPr>
            <w:tcW w:w="879" w:type="dxa"/>
            <w:tcBorders>
              <w:top w:val="nil"/>
              <w:left w:val="nil"/>
              <w:bottom w:val="single" w:sz="8" w:space="0" w:color="auto"/>
              <w:right w:val="single" w:sz="8" w:space="0" w:color="auto"/>
            </w:tcBorders>
            <w:shd w:val="clear" w:color="auto" w:fill="auto"/>
            <w:vAlign w:val="center"/>
            <w:hideMark/>
          </w:tcPr>
          <w:p w14:paraId="124E3F79"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901.374.690</w:t>
            </w:r>
          </w:p>
        </w:tc>
        <w:tc>
          <w:tcPr>
            <w:tcW w:w="323" w:type="dxa"/>
            <w:tcBorders>
              <w:top w:val="nil"/>
              <w:left w:val="nil"/>
              <w:bottom w:val="single" w:sz="8" w:space="0" w:color="auto"/>
              <w:right w:val="single" w:sz="8" w:space="0" w:color="auto"/>
            </w:tcBorders>
            <w:shd w:val="clear" w:color="auto" w:fill="auto"/>
            <w:vAlign w:val="center"/>
            <w:hideMark/>
          </w:tcPr>
          <w:p w14:paraId="5EE5D0B5"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5</w:t>
            </w:r>
          </w:p>
        </w:tc>
        <w:tc>
          <w:tcPr>
            <w:tcW w:w="505" w:type="dxa"/>
            <w:tcBorders>
              <w:top w:val="nil"/>
              <w:left w:val="nil"/>
              <w:bottom w:val="single" w:sz="8" w:space="0" w:color="auto"/>
              <w:right w:val="single" w:sz="8" w:space="0" w:color="auto"/>
            </w:tcBorders>
            <w:shd w:val="clear" w:color="auto" w:fill="auto"/>
            <w:vAlign w:val="center"/>
            <w:hideMark/>
          </w:tcPr>
          <w:p w14:paraId="3184A218"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52566</w:t>
            </w:r>
          </w:p>
        </w:tc>
        <w:tc>
          <w:tcPr>
            <w:tcW w:w="4243" w:type="dxa"/>
            <w:tcBorders>
              <w:top w:val="nil"/>
              <w:left w:val="nil"/>
              <w:bottom w:val="single" w:sz="8" w:space="0" w:color="auto"/>
              <w:right w:val="single" w:sz="8" w:space="0" w:color="auto"/>
            </w:tcBorders>
            <w:shd w:val="clear" w:color="auto" w:fill="auto"/>
            <w:vAlign w:val="center"/>
            <w:hideMark/>
          </w:tcPr>
          <w:p w14:paraId="484B539A"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GENERCOL S.A.S. E.S.P. ZOMAC</w:t>
            </w:r>
          </w:p>
        </w:tc>
        <w:tc>
          <w:tcPr>
            <w:tcW w:w="1196" w:type="dxa"/>
            <w:tcBorders>
              <w:top w:val="nil"/>
              <w:left w:val="nil"/>
              <w:bottom w:val="single" w:sz="8" w:space="0" w:color="auto"/>
              <w:right w:val="single" w:sz="8" w:space="0" w:color="auto"/>
            </w:tcBorders>
            <w:shd w:val="clear" w:color="auto" w:fill="auto"/>
            <w:vAlign w:val="center"/>
            <w:hideMark/>
          </w:tcPr>
          <w:p w14:paraId="0CD30F78"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18051DE0"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SIN REPORTE AL SUI</w:t>
            </w:r>
          </w:p>
        </w:tc>
      </w:tr>
      <w:tr w:rsidR="00AD4E79" w:rsidRPr="00AD4E79" w14:paraId="230BECD8"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220A6D22"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232</w:t>
            </w:r>
          </w:p>
        </w:tc>
        <w:tc>
          <w:tcPr>
            <w:tcW w:w="879" w:type="dxa"/>
            <w:tcBorders>
              <w:top w:val="nil"/>
              <w:left w:val="nil"/>
              <w:bottom w:val="single" w:sz="8" w:space="0" w:color="auto"/>
              <w:right w:val="single" w:sz="8" w:space="0" w:color="auto"/>
            </w:tcBorders>
            <w:shd w:val="clear" w:color="auto" w:fill="auto"/>
            <w:vAlign w:val="center"/>
            <w:hideMark/>
          </w:tcPr>
          <w:p w14:paraId="05096A9A"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901.379.547</w:t>
            </w:r>
          </w:p>
        </w:tc>
        <w:tc>
          <w:tcPr>
            <w:tcW w:w="323" w:type="dxa"/>
            <w:tcBorders>
              <w:top w:val="nil"/>
              <w:left w:val="nil"/>
              <w:bottom w:val="single" w:sz="8" w:space="0" w:color="auto"/>
              <w:right w:val="single" w:sz="8" w:space="0" w:color="auto"/>
            </w:tcBorders>
            <w:shd w:val="clear" w:color="auto" w:fill="auto"/>
            <w:vAlign w:val="center"/>
            <w:hideMark/>
          </w:tcPr>
          <w:p w14:paraId="554B40BA"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w:t>
            </w:r>
          </w:p>
        </w:tc>
        <w:tc>
          <w:tcPr>
            <w:tcW w:w="505" w:type="dxa"/>
            <w:tcBorders>
              <w:top w:val="nil"/>
              <w:left w:val="nil"/>
              <w:bottom w:val="single" w:sz="8" w:space="0" w:color="auto"/>
              <w:right w:val="single" w:sz="8" w:space="0" w:color="auto"/>
            </w:tcBorders>
            <w:shd w:val="clear" w:color="auto" w:fill="auto"/>
            <w:vAlign w:val="center"/>
            <w:hideMark/>
          </w:tcPr>
          <w:p w14:paraId="42FF14E8"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48663</w:t>
            </w:r>
          </w:p>
        </w:tc>
        <w:tc>
          <w:tcPr>
            <w:tcW w:w="4243" w:type="dxa"/>
            <w:tcBorders>
              <w:top w:val="nil"/>
              <w:left w:val="nil"/>
              <w:bottom w:val="single" w:sz="8" w:space="0" w:color="auto"/>
              <w:right w:val="single" w:sz="8" w:space="0" w:color="auto"/>
            </w:tcBorders>
            <w:shd w:val="clear" w:color="auto" w:fill="auto"/>
            <w:vAlign w:val="center"/>
            <w:hideMark/>
          </w:tcPr>
          <w:p w14:paraId="4ED1F35A"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GREENYELLOW COMERCIALIZADORA SAS ESP</w:t>
            </w:r>
          </w:p>
        </w:tc>
        <w:tc>
          <w:tcPr>
            <w:tcW w:w="1196" w:type="dxa"/>
            <w:tcBorders>
              <w:top w:val="nil"/>
              <w:left w:val="nil"/>
              <w:bottom w:val="single" w:sz="8" w:space="0" w:color="auto"/>
              <w:right w:val="single" w:sz="8" w:space="0" w:color="auto"/>
            </w:tcBorders>
            <w:shd w:val="clear" w:color="auto" w:fill="auto"/>
            <w:vAlign w:val="center"/>
            <w:hideMark/>
          </w:tcPr>
          <w:p w14:paraId="6771B330"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0FF41D12"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SIN REPORTE AL SUI</w:t>
            </w:r>
          </w:p>
        </w:tc>
      </w:tr>
      <w:tr w:rsidR="00AD4E79" w:rsidRPr="00AD4E79" w14:paraId="5C156DCD" w14:textId="77777777" w:rsidTr="00AD4E79">
        <w:trPr>
          <w:trHeight w:val="75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1B89E1E1"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233</w:t>
            </w:r>
          </w:p>
        </w:tc>
        <w:tc>
          <w:tcPr>
            <w:tcW w:w="879" w:type="dxa"/>
            <w:tcBorders>
              <w:top w:val="nil"/>
              <w:left w:val="nil"/>
              <w:bottom w:val="single" w:sz="8" w:space="0" w:color="auto"/>
              <w:right w:val="single" w:sz="8" w:space="0" w:color="auto"/>
            </w:tcBorders>
            <w:shd w:val="clear" w:color="auto" w:fill="auto"/>
            <w:vAlign w:val="center"/>
            <w:hideMark/>
          </w:tcPr>
          <w:p w14:paraId="13AB2C30"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901.380.432</w:t>
            </w:r>
          </w:p>
        </w:tc>
        <w:tc>
          <w:tcPr>
            <w:tcW w:w="323" w:type="dxa"/>
            <w:tcBorders>
              <w:top w:val="nil"/>
              <w:left w:val="nil"/>
              <w:bottom w:val="single" w:sz="8" w:space="0" w:color="auto"/>
              <w:right w:val="single" w:sz="8" w:space="0" w:color="auto"/>
            </w:tcBorders>
            <w:shd w:val="clear" w:color="auto" w:fill="auto"/>
            <w:vAlign w:val="center"/>
            <w:hideMark/>
          </w:tcPr>
          <w:p w14:paraId="28CAF0CD"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6</w:t>
            </w:r>
          </w:p>
        </w:tc>
        <w:tc>
          <w:tcPr>
            <w:tcW w:w="505" w:type="dxa"/>
            <w:tcBorders>
              <w:top w:val="nil"/>
              <w:left w:val="nil"/>
              <w:bottom w:val="single" w:sz="8" w:space="0" w:color="auto"/>
              <w:right w:val="single" w:sz="8" w:space="0" w:color="auto"/>
            </w:tcBorders>
            <w:shd w:val="clear" w:color="auto" w:fill="auto"/>
            <w:vAlign w:val="center"/>
            <w:hideMark/>
          </w:tcPr>
          <w:p w14:paraId="0C84A744"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55927</w:t>
            </w:r>
          </w:p>
        </w:tc>
        <w:tc>
          <w:tcPr>
            <w:tcW w:w="4243" w:type="dxa"/>
            <w:tcBorders>
              <w:top w:val="nil"/>
              <w:left w:val="nil"/>
              <w:bottom w:val="single" w:sz="8" w:space="0" w:color="auto"/>
              <w:right w:val="single" w:sz="8" w:space="0" w:color="auto"/>
            </w:tcBorders>
            <w:shd w:val="clear" w:color="auto" w:fill="auto"/>
            <w:vAlign w:val="center"/>
            <w:hideMark/>
          </w:tcPr>
          <w:p w14:paraId="5811976B"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EMPRESA PRESTADORA DE SERVICIOS PUBLICOS DE ACUEDUCTO, ALCANTARILLADO, ASEO, ENERGIA, TECNOLOGIAS DE LA INFORMACION Y COMUNICACIONES DE OCCIDENTE SAS</w:t>
            </w:r>
          </w:p>
        </w:tc>
        <w:tc>
          <w:tcPr>
            <w:tcW w:w="1196" w:type="dxa"/>
            <w:tcBorders>
              <w:top w:val="nil"/>
              <w:left w:val="nil"/>
              <w:bottom w:val="single" w:sz="8" w:space="0" w:color="auto"/>
              <w:right w:val="single" w:sz="8" w:space="0" w:color="auto"/>
            </w:tcBorders>
            <w:shd w:val="clear" w:color="auto" w:fill="auto"/>
            <w:vAlign w:val="center"/>
            <w:hideMark/>
          </w:tcPr>
          <w:p w14:paraId="35EADB28"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0DE66DF8"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SIN REPORTE AL SUI</w:t>
            </w:r>
          </w:p>
        </w:tc>
      </w:tr>
      <w:tr w:rsidR="00AD4E79" w:rsidRPr="00AD4E79" w14:paraId="3E80E00C"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3D223FD8"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234</w:t>
            </w:r>
          </w:p>
        </w:tc>
        <w:tc>
          <w:tcPr>
            <w:tcW w:w="879" w:type="dxa"/>
            <w:tcBorders>
              <w:top w:val="nil"/>
              <w:left w:val="nil"/>
              <w:bottom w:val="single" w:sz="8" w:space="0" w:color="auto"/>
              <w:right w:val="single" w:sz="8" w:space="0" w:color="auto"/>
            </w:tcBorders>
            <w:shd w:val="clear" w:color="auto" w:fill="auto"/>
            <w:vAlign w:val="center"/>
            <w:hideMark/>
          </w:tcPr>
          <w:p w14:paraId="65F80A4C"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901.380.930</w:t>
            </w:r>
          </w:p>
        </w:tc>
        <w:tc>
          <w:tcPr>
            <w:tcW w:w="323" w:type="dxa"/>
            <w:tcBorders>
              <w:top w:val="nil"/>
              <w:left w:val="nil"/>
              <w:bottom w:val="single" w:sz="8" w:space="0" w:color="auto"/>
              <w:right w:val="single" w:sz="8" w:space="0" w:color="auto"/>
            </w:tcBorders>
            <w:shd w:val="clear" w:color="auto" w:fill="auto"/>
            <w:vAlign w:val="center"/>
            <w:hideMark/>
          </w:tcPr>
          <w:p w14:paraId="77AFF4BA"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w:t>
            </w:r>
          </w:p>
        </w:tc>
        <w:tc>
          <w:tcPr>
            <w:tcW w:w="505" w:type="dxa"/>
            <w:tcBorders>
              <w:top w:val="nil"/>
              <w:left w:val="nil"/>
              <w:bottom w:val="single" w:sz="8" w:space="0" w:color="auto"/>
              <w:right w:val="single" w:sz="8" w:space="0" w:color="auto"/>
            </w:tcBorders>
            <w:shd w:val="clear" w:color="auto" w:fill="auto"/>
            <w:vAlign w:val="center"/>
            <w:hideMark/>
          </w:tcPr>
          <w:p w14:paraId="344C6BB9"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48307</w:t>
            </w:r>
          </w:p>
        </w:tc>
        <w:tc>
          <w:tcPr>
            <w:tcW w:w="4243" w:type="dxa"/>
            <w:tcBorders>
              <w:top w:val="nil"/>
              <w:left w:val="nil"/>
              <w:bottom w:val="single" w:sz="8" w:space="0" w:color="auto"/>
              <w:right w:val="single" w:sz="8" w:space="0" w:color="auto"/>
            </w:tcBorders>
            <w:shd w:val="clear" w:color="auto" w:fill="auto"/>
            <w:vAlign w:val="center"/>
            <w:hideMark/>
          </w:tcPr>
          <w:p w14:paraId="72CD5E43"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AIR-E S.A.S. E.S.P.</w:t>
            </w:r>
          </w:p>
        </w:tc>
        <w:tc>
          <w:tcPr>
            <w:tcW w:w="1196" w:type="dxa"/>
            <w:tcBorders>
              <w:top w:val="nil"/>
              <w:left w:val="nil"/>
              <w:bottom w:val="single" w:sz="8" w:space="0" w:color="auto"/>
              <w:right w:val="single" w:sz="8" w:space="0" w:color="auto"/>
            </w:tcBorders>
            <w:shd w:val="clear" w:color="auto" w:fill="auto"/>
            <w:vAlign w:val="center"/>
            <w:hideMark/>
          </w:tcPr>
          <w:p w14:paraId="4BA62A2C"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40ACC150"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1DB507A6"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711FF8DC"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235</w:t>
            </w:r>
          </w:p>
        </w:tc>
        <w:tc>
          <w:tcPr>
            <w:tcW w:w="879" w:type="dxa"/>
            <w:tcBorders>
              <w:top w:val="nil"/>
              <w:left w:val="nil"/>
              <w:bottom w:val="single" w:sz="8" w:space="0" w:color="auto"/>
              <w:right w:val="single" w:sz="8" w:space="0" w:color="auto"/>
            </w:tcBorders>
            <w:shd w:val="clear" w:color="auto" w:fill="auto"/>
            <w:vAlign w:val="center"/>
            <w:hideMark/>
          </w:tcPr>
          <w:p w14:paraId="729AFB37"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901.380.949</w:t>
            </w:r>
          </w:p>
        </w:tc>
        <w:tc>
          <w:tcPr>
            <w:tcW w:w="323" w:type="dxa"/>
            <w:tcBorders>
              <w:top w:val="nil"/>
              <w:left w:val="nil"/>
              <w:bottom w:val="single" w:sz="8" w:space="0" w:color="auto"/>
              <w:right w:val="single" w:sz="8" w:space="0" w:color="auto"/>
            </w:tcBorders>
            <w:shd w:val="clear" w:color="auto" w:fill="auto"/>
            <w:vAlign w:val="center"/>
            <w:hideMark/>
          </w:tcPr>
          <w:p w14:paraId="3EA47161"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w:t>
            </w:r>
          </w:p>
        </w:tc>
        <w:tc>
          <w:tcPr>
            <w:tcW w:w="505" w:type="dxa"/>
            <w:tcBorders>
              <w:top w:val="nil"/>
              <w:left w:val="nil"/>
              <w:bottom w:val="single" w:sz="8" w:space="0" w:color="auto"/>
              <w:right w:val="single" w:sz="8" w:space="0" w:color="auto"/>
            </w:tcBorders>
            <w:shd w:val="clear" w:color="auto" w:fill="auto"/>
            <w:vAlign w:val="center"/>
            <w:hideMark/>
          </w:tcPr>
          <w:p w14:paraId="459E6E94"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48305</w:t>
            </w:r>
          </w:p>
        </w:tc>
        <w:tc>
          <w:tcPr>
            <w:tcW w:w="4243" w:type="dxa"/>
            <w:tcBorders>
              <w:top w:val="nil"/>
              <w:left w:val="nil"/>
              <w:bottom w:val="single" w:sz="8" w:space="0" w:color="auto"/>
              <w:right w:val="single" w:sz="8" w:space="0" w:color="auto"/>
            </w:tcBorders>
            <w:shd w:val="clear" w:color="auto" w:fill="auto"/>
            <w:vAlign w:val="center"/>
            <w:hideMark/>
          </w:tcPr>
          <w:p w14:paraId="6A050386"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CARIBEMAR DE LA COSTA S.A.S. E.S.P.</w:t>
            </w:r>
          </w:p>
        </w:tc>
        <w:tc>
          <w:tcPr>
            <w:tcW w:w="1196" w:type="dxa"/>
            <w:tcBorders>
              <w:top w:val="nil"/>
              <w:left w:val="nil"/>
              <w:bottom w:val="single" w:sz="8" w:space="0" w:color="auto"/>
              <w:right w:val="single" w:sz="8" w:space="0" w:color="auto"/>
            </w:tcBorders>
            <w:shd w:val="clear" w:color="auto" w:fill="auto"/>
            <w:vAlign w:val="center"/>
            <w:hideMark/>
          </w:tcPr>
          <w:p w14:paraId="5D650AC3"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085AC7F0"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215223D2"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44F32D64"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236</w:t>
            </w:r>
          </w:p>
        </w:tc>
        <w:tc>
          <w:tcPr>
            <w:tcW w:w="879" w:type="dxa"/>
            <w:tcBorders>
              <w:top w:val="nil"/>
              <w:left w:val="nil"/>
              <w:bottom w:val="single" w:sz="8" w:space="0" w:color="auto"/>
              <w:right w:val="single" w:sz="8" w:space="0" w:color="auto"/>
            </w:tcBorders>
            <w:shd w:val="clear" w:color="auto" w:fill="auto"/>
            <w:vAlign w:val="center"/>
            <w:hideMark/>
          </w:tcPr>
          <w:p w14:paraId="4021371C"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901.384.433</w:t>
            </w:r>
          </w:p>
        </w:tc>
        <w:tc>
          <w:tcPr>
            <w:tcW w:w="323" w:type="dxa"/>
            <w:tcBorders>
              <w:top w:val="nil"/>
              <w:left w:val="nil"/>
              <w:bottom w:val="single" w:sz="8" w:space="0" w:color="auto"/>
              <w:right w:val="single" w:sz="8" w:space="0" w:color="auto"/>
            </w:tcBorders>
            <w:shd w:val="clear" w:color="auto" w:fill="auto"/>
            <w:vAlign w:val="center"/>
            <w:hideMark/>
          </w:tcPr>
          <w:p w14:paraId="554C0895"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w:t>
            </w:r>
          </w:p>
        </w:tc>
        <w:tc>
          <w:tcPr>
            <w:tcW w:w="505" w:type="dxa"/>
            <w:tcBorders>
              <w:top w:val="nil"/>
              <w:left w:val="nil"/>
              <w:bottom w:val="single" w:sz="8" w:space="0" w:color="auto"/>
              <w:right w:val="single" w:sz="8" w:space="0" w:color="auto"/>
            </w:tcBorders>
            <w:shd w:val="clear" w:color="auto" w:fill="auto"/>
            <w:vAlign w:val="center"/>
            <w:hideMark/>
          </w:tcPr>
          <w:p w14:paraId="60F22D0B"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48725</w:t>
            </w:r>
          </w:p>
        </w:tc>
        <w:tc>
          <w:tcPr>
            <w:tcW w:w="4243" w:type="dxa"/>
            <w:tcBorders>
              <w:top w:val="nil"/>
              <w:left w:val="nil"/>
              <w:bottom w:val="single" w:sz="8" w:space="0" w:color="auto"/>
              <w:right w:val="single" w:sz="8" w:space="0" w:color="auto"/>
            </w:tcBorders>
            <w:shd w:val="clear" w:color="auto" w:fill="auto"/>
            <w:vAlign w:val="center"/>
            <w:hideMark/>
          </w:tcPr>
          <w:p w14:paraId="45B6F4EF" w14:textId="77777777" w:rsidR="006E3CAD" w:rsidRPr="00AD4E79" w:rsidRDefault="006E3CAD" w:rsidP="00D22441">
            <w:pPr>
              <w:jc w:val="left"/>
              <w:rPr>
                <w:rFonts w:ascii="Arial Narrow" w:hAnsi="Arial Narrow" w:cs="Arial"/>
                <w:spacing w:val="0"/>
                <w:sz w:val="16"/>
                <w:szCs w:val="16"/>
                <w:lang w:val="en-GB" w:eastAsia="es-CO"/>
              </w:rPr>
            </w:pPr>
            <w:r w:rsidRPr="00AD4E79">
              <w:rPr>
                <w:rFonts w:ascii="Arial Narrow" w:hAnsi="Arial Narrow" w:cs="Arial"/>
                <w:spacing w:val="0"/>
                <w:sz w:val="16"/>
                <w:szCs w:val="16"/>
                <w:lang w:val="en-GB" w:eastAsia="es-CO"/>
              </w:rPr>
              <w:t>BEAM ENERGY INNOVATION S.A.S. E.S.P.</w:t>
            </w:r>
          </w:p>
        </w:tc>
        <w:tc>
          <w:tcPr>
            <w:tcW w:w="1196" w:type="dxa"/>
            <w:tcBorders>
              <w:top w:val="nil"/>
              <w:left w:val="nil"/>
              <w:bottom w:val="single" w:sz="8" w:space="0" w:color="auto"/>
              <w:right w:val="single" w:sz="8" w:space="0" w:color="auto"/>
            </w:tcBorders>
            <w:shd w:val="clear" w:color="auto" w:fill="auto"/>
            <w:vAlign w:val="center"/>
            <w:hideMark/>
          </w:tcPr>
          <w:p w14:paraId="16DF4AEB"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0F49E7E6"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SIN REPORTE AL SUI</w:t>
            </w:r>
          </w:p>
        </w:tc>
      </w:tr>
      <w:tr w:rsidR="00AD4E79" w:rsidRPr="00AD4E79" w14:paraId="48CE8A41" w14:textId="77777777" w:rsidTr="00AD4E79">
        <w:trPr>
          <w:trHeight w:val="369"/>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6734EAC8"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237</w:t>
            </w:r>
          </w:p>
        </w:tc>
        <w:tc>
          <w:tcPr>
            <w:tcW w:w="879" w:type="dxa"/>
            <w:tcBorders>
              <w:top w:val="nil"/>
              <w:left w:val="nil"/>
              <w:bottom w:val="single" w:sz="8" w:space="0" w:color="auto"/>
              <w:right w:val="single" w:sz="8" w:space="0" w:color="auto"/>
            </w:tcBorders>
            <w:shd w:val="clear" w:color="auto" w:fill="auto"/>
            <w:vAlign w:val="center"/>
            <w:hideMark/>
          </w:tcPr>
          <w:p w14:paraId="741FDD09"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901.395.216</w:t>
            </w:r>
          </w:p>
        </w:tc>
        <w:tc>
          <w:tcPr>
            <w:tcW w:w="323" w:type="dxa"/>
            <w:tcBorders>
              <w:top w:val="nil"/>
              <w:left w:val="nil"/>
              <w:bottom w:val="single" w:sz="8" w:space="0" w:color="auto"/>
              <w:right w:val="single" w:sz="8" w:space="0" w:color="auto"/>
            </w:tcBorders>
            <w:shd w:val="clear" w:color="auto" w:fill="auto"/>
            <w:vAlign w:val="center"/>
            <w:hideMark/>
          </w:tcPr>
          <w:p w14:paraId="056F8F12"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7</w:t>
            </w:r>
          </w:p>
        </w:tc>
        <w:tc>
          <w:tcPr>
            <w:tcW w:w="505" w:type="dxa"/>
            <w:tcBorders>
              <w:top w:val="nil"/>
              <w:left w:val="nil"/>
              <w:bottom w:val="single" w:sz="8" w:space="0" w:color="auto"/>
              <w:right w:val="single" w:sz="8" w:space="0" w:color="auto"/>
            </w:tcBorders>
            <w:shd w:val="clear" w:color="auto" w:fill="auto"/>
            <w:vAlign w:val="center"/>
            <w:hideMark/>
          </w:tcPr>
          <w:p w14:paraId="23D04F20"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49147</w:t>
            </w:r>
          </w:p>
        </w:tc>
        <w:tc>
          <w:tcPr>
            <w:tcW w:w="4243" w:type="dxa"/>
            <w:tcBorders>
              <w:top w:val="nil"/>
              <w:left w:val="nil"/>
              <w:bottom w:val="single" w:sz="8" w:space="0" w:color="auto"/>
              <w:right w:val="single" w:sz="8" w:space="0" w:color="auto"/>
            </w:tcBorders>
            <w:shd w:val="clear" w:color="auto" w:fill="auto"/>
            <w:vAlign w:val="center"/>
            <w:hideMark/>
          </w:tcPr>
          <w:p w14:paraId="09785133"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ENERGIA Y CONECTIVIDAD COMUNITARIA MONTES DE MARIA S.A.S. E.S.P.</w:t>
            </w:r>
          </w:p>
        </w:tc>
        <w:tc>
          <w:tcPr>
            <w:tcW w:w="1196" w:type="dxa"/>
            <w:tcBorders>
              <w:top w:val="nil"/>
              <w:left w:val="nil"/>
              <w:bottom w:val="single" w:sz="8" w:space="0" w:color="auto"/>
              <w:right w:val="single" w:sz="8" w:space="0" w:color="auto"/>
            </w:tcBorders>
            <w:shd w:val="clear" w:color="auto" w:fill="auto"/>
            <w:vAlign w:val="center"/>
            <w:hideMark/>
          </w:tcPr>
          <w:p w14:paraId="67CFCB72"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29BCBDEA"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SIN REPORTE AL SUI</w:t>
            </w:r>
          </w:p>
        </w:tc>
      </w:tr>
      <w:tr w:rsidR="00AD4E79" w:rsidRPr="00AD4E79" w14:paraId="03B2F1C7"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369ACE0F"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238</w:t>
            </w:r>
          </w:p>
        </w:tc>
        <w:tc>
          <w:tcPr>
            <w:tcW w:w="879" w:type="dxa"/>
            <w:tcBorders>
              <w:top w:val="nil"/>
              <w:left w:val="nil"/>
              <w:bottom w:val="single" w:sz="8" w:space="0" w:color="auto"/>
              <w:right w:val="single" w:sz="8" w:space="0" w:color="auto"/>
            </w:tcBorders>
            <w:shd w:val="clear" w:color="auto" w:fill="auto"/>
            <w:vAlign w:val="center"/>
            <w:hideMark/>
          </w:tcPr>
          <w:p w14:paraId="6BDFE53F"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901.409.438</w:t>
            </w:r>
          </w:p>
        </w:tc>
        <w:tc>
          <w:tcPr>
            <w:tcW w:w="323" w:type="dxa"/>
            <w:tcBorders>
              <w:top w:val="nil"/>
              <w:left w:val="nil"/>
              <w:bottom w:val="single" w:sz="8" w:space="0" w:color="auto"/>
              <w:right w:val="single" w:sz="8" w:space="0" w:color="auto"/>
            </w:tcBorders>
            <w:shd w:val="clear" w:color="auto" w:fill="auto"/>
            <w:vAlign w:val="center"/>
            <w:hideMark/>
          </w:tcPr>
          <w:p w14:paraId="076A8CE3"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w:t>
            </w:r>
          </w:p>
        </w:tc>
        <w:tc>
          <w:tcPr>
            <w:tcW w:w="505" w:type="dxa"/>
            <w:tcBorders>
              <w:top w:val="nil"/>
              <w:left w:val="nil"/>
              <w:bottom w:val="single" w:sz="8" w:space="0" w:color="auto"/>
              <w:right w:val="single" w:sz="8" w:space="0" w:color="auto"/>
            </w:tcBorders>
            <w:shd w:val="clear" w:color="auto" w:fill="auto"/>
            <w:vAlign w:val="center"/>
            <w:hideMark/>
          </w:tcPr>
          <w:p w14:paraId="1DABA2A1"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50205</w:t>
            </w:r>
          </w:p>
        </w:tc>
        <w:tc>
          <w:tcPr>
            <w:tcW w:w="4243" w:type="dxa"/>
            <w:tcBorders>
              <w:top w:val="nil"/>
              <w:left w:val="nil"/>
              <w:bottom w:val="single" w:sz="8" w:space="0" w:color="auto"/>
              <w:right w:val="single" w:sz="8" w:space="0" w:color="auto"/>
            </w:tcBorders>
            <w:shd w:val="clear" w:color="auto" w:fill="auto"/>
            <w:vAlign w:val="center"/>
            <w:hideMark/>
          </w:tcPr>
          <w:p w14:paraId="5C8ABCE0" w14:textId="77777777" w:rsidR="006E3CAD" w:rsidRPr="00AD4E79" w:rsidRDefault="006E3CAD" w:rsidP="00D22441">
            <w:pPr>
              <w:jc w:val="left"/>
              <w:rPr>
                <w:rFonts w:ascii="Arial Narrow" w:hAnsi="Arial Narrow" w:cs="Arial"/>
                <w:spacing w:val="0"/>
                <w:sz w:val="16"/>
                <w:szCs w:val="16"/>
                <w:lang w:val="en-GB" w:eastAsia="es-CO"/>
              </w:rPr>
            </w:pPr>
            <w:r w:rsidRPr="00AD4E79">
              <w:rPr>
                <w:rFonts w:ascii="Arial Narrow" w:hAnsi="Arial Narrow" w:cs="Arial"/>
                <w:spacing w:val="0"/>
                <w:sz w:val="16"/>
                <w:szCs w:val="16"/>
                <w:lang w:val="en-GB" w:eastAsia="es-CO"/>
              </w:rPr>
              <w:t xml:space="preserve">GAP ENERGY GROUP S.A.S ESP </w:t>
            </w:r>
          </w:p>
        </w:tc>
        <w:tc>
          <w:tcPr>
            <w:tcW w:w="1196" w:type="dxa"/>
            <w:tcBorders>
              <w:top w:val="nil"/>
              <w:left w:val="nil"/>
              <w:bottom w:val="single" w:sz="8" w:space="0" w:color="auto"/>
              <w:right w:val="single" w:sz="8" w:space="0" w:color="auto"/>
            </w:tcBorders>
            <w:shd w:val="clear" w:color="auto" w:fill="auto"/>
            <w:vAlign w:val="center"/>
            <w:hideMark/>
          </w:tcPr>
          <w:p w14:paraId="517CB4AA"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382BCF0D"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026C1979"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02F220C9"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239</w:t>
            </w:r>
          </w:p>
        </w:tc>
        <w:tc>
          <w:tcPr>
            <w:tcW w:w="879" w:type="dxa"/>
            <w:tcBorders>
              <w:top w:val="nil"/>
              <w:left w:val="nil"/>
              <w:bottom w:val="single" w:sz="8" w:space="0" w:color="auto"/>
              <w:right w:val="single" w:sz="8" w:space="0" w:color="auto"/>
            </w:tcBorders>
            <w:shd w:val="clear" w:color="auto" w:fill="auto"/>
            <w:vAlign w:val="center"/>
            <w:hideMark/>
          </w:tcPr>
          <w:p w14:paraId="1DE0690F"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901.410.188</w:t>
            </w:r>
          </w:p>
        </w:tc>
        <w:tc>
          <w:tcPr>
            <w:tcW w:w="323" w:type="dxa"/>
            <w:tcBorders>
              <w:top w:val="nil"/>
              <w:left w:val="nil"/>
              <w:bottom w:val="single" w:sz="8" w:space="0" w:color="auto"/>
              <w:right w:val="single" w:sz="8" w:space="0" w:color="auto"/>
            </w:tcBorders>
            <w:shd w:val="clear" w:color="auto" w:fill="auto"/>
            <w:vAlign w:val="center"/>
            <w:hideMark/>
          </w:tcPr>
          <w:p w14:paraId="452B141B"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3</w:t>
            </w:r>
          </w:p>
        </w:tc>
        <w:tc>
          <w:tcPr>
            <w:tcW w:w="505" w:type="dxa"/>
            <w:tcBorders>
              <w:top w:val="nil"/>
              <w:left w:val="nil"/>
              <w:bottom w:val="single" w:sz="8" w:space="0" w:color="auto"/>
              <w:right w:val="single" w:sz="8" w:space="0" w:color="auto"/>
            </w:tcBorders>
            <w:shd w:val="clear" w:color="auto" w:fill="auto"/>
            <w:vAlign w:val="center"/>
            <w:hideMark/>
          </w:tcPr>
          <w:p w14:paraId="20AF2E5F"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50063</w:t>
            </w:r>
          </w:p>
        </w:tc>
        <w:tc>
          <w:tcPr>
            <w:tcW w:w="4243" w:type="dxa"/>
            <w:tcBorders>
              <w:top w:val="nil"/>
              <w:left w:val="nil"/>
              <w:bottom w:val="single" w:sz="8" w:space="0" w:color="auto"/>
              <w:right w:val="single" w:sz="8" w:space="0" w:color="auto"/>
            </w:tcBorders>
            <w:shd w:val="clear" w:color="auto" w:fill="auto"/>
            <w:vAlign w:val="center"/>
            <w:hideMark/>
          </w:tcPr>
          <w:p w14:paraId="7B92AED3"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TECNOLOGIA VERDE ESP SAS</w:t>
            </w:r>
          </w:p>
        </w:tc>
        <w:tc>
          <w:tcPr>
            <w:tcW w:w="1196" w:type="dxa"/>
            <w:tcBorders>
              <w:top w:val="nil"/>
              <w:left w:val="nil"/>
              <w:bottom w:val="single" w:sz="8" w:space="0" w:color="auto"/>
              <w:right w:val="single" w:sz="8" w:space="0" w:color="auto"/>
            </w:tcBorders>
            <w:shd w:val="clear" w:color="auto" w:fill="auto"/>
            <w:vAlign w:val="center"/>
            <w:hideMark/>
          </w:tcPr>
          <w:p w14:paraId="4549DD52"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3DBC789E"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SIN REPORTE AL SUI</w:t>
            </w:r>
          </w:p>
        </w:tc>
      </w:tr>
      <w:tr w:rsidR="00AD4E79" w:rsidRPr="00AD4E79" w14:paraId="240F36B6"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0819E2CB"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240</w:t>
            </w:r>
          </w:p>
        </w:tc>
        <w:tc>
          <w:tcPr>
            <w:tcW w:w="879" w:type="dxa"/>
            <w:tcBorders>
              <w:top w:val="nil"/>
              <w:left w:val="nil"/>
              <w:bottom w:val="single" w:sz="8" w:space="0" w:color="auto"/>
              <w:right w:val="single" w:sz="8" w:space="0" w:color="auto"/>
            </w:tcBorders>
            <w:shd w:val="clear" w:color="auto" w:fill="auto"/>
            <w:vAlign w:val="center"/>
            <w:hideMark/>
          </w:tcPr>
          <w:p w14:paraId="641E4330"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901.411.767</w:t>
            </w:r>
          </w:p>
        </w:tc>
        <w:tc>
          <w:tcPr>
            <w:tcW w:w="323" w:type="dxa"/>
            <w:tcBorders>
              <w:top w:val="nil"/>
              <w:left w:val="nil"/>
              <w:bottom w:val="single" w:sz="8" w:space="0" w:color="auto"/>
              <w:right w:val="single" w:sz="8" w:space="0" w:color="auto"/>
            </w:tcBorders>
            <w:shd w:val="clear" w:color="auto" w:fill="auto"/>
            <w:vAlign w:val="center"/>
            <w:hideMark/>
          </w:tcPr>
          <w:p w14:paraId="7804772B"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w:t>
            </w:r>
          </w:p>
        </w:tc>
        <w:tc>
          <w:tcPr>
            <w:tcW w:w="505" w:type="dxa"/>
            <w:tcBorders>
              <w:top w:val="nil"/>
              <w:left w:val="nil"/>
              <w:bottom w:val="single" w:sz="8" w:space="0" w:color="auto"/>
              <w:right w:val="single" w:sz="8" w:space="0" w:color="auto"/>
            </w:tcBorders>
            <w:shd w:val="clear" w:color="auto" w:fill="auto"/>
            <w:vAlign w:val="center"/>
            <w:hideMark/>
          </w:tcPr>
          <w:p w14:paraId="5E5CAF5F"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50305</w:t>
            </w:r>
          </w:p>
        </w:tc>
        <w:tc>
          <w:tcPr>
            <w:tcW w:w="4243" w:type="dxa"/>
            <w:tcBorders>
              <w:top w:val="nil"/>
              <w:left w:val="nil"/>
              <w:bottom w:val="single" w:sz="8" w:space="0" w:color="auto"/>
              <w:right w:val="single" w:sz="8" w:space="0" w:color="auto"/>
            </w:tcBorders>
            <w:shd w:val="clear" w:color="auto" w:fill="auto"/>
            <w:vAlign w:val="center"/>
            <w:hideMark/>
          </w:tcPr>
          <w:p w14:paraId="24C0A801"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ENERXIA COLOMBIA SAS ESP</w:t>
            </w:r>
          </w:p>
        </w:tc>
        <w:tc>
          <w:tcPr>
            <w:tcW w:w="1196" w:type="dxa"/>
            <w:tcBorders>
              <w:top w:val="nil"/>
              <w:left w:val="nil"/>
              <w:bottom w:val="single" w:sz="8" w:space="0" w:color="auto"/>
              <w:right w:val="single" w:sz="8" w:space="0" w:color="auto"/>
            </w:tcBorders>
            <w:shd w:val="clear" w:color="auto" w:fill="auto"/>
            <w:vAlign w:val="center"/>
            <w:hideMark/>
          </w:tcPr>
          <w:p w14:paraId="0DF9F5B3"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49538481"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SIN REPORTE AL SUI</w:t>
            </w:r>
          </w:p>
        </w:tc>
      </w:tr>
      <w:tr w:rsidR="00AD4E79" w:rsidRPr="00AD4E79" w14:paraId="264F23A6" w14:textId="77777777" w:rsidTr="00AD4E79">
        <w:trPr>
          <w:trHeight w:val="362"/>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76B2A288"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241</w:t>
            </w:r>
          </w:p>
        </w:tc>
        <w:tc>
          <w:tcPr>
            <w:tcW w:w="879" w:type="dxa"/>
            <w:tcBorders>
              <w:top w:val="nil"/>
              <w:left w:val="nil"/>
              <w:bottom w:val="single" w:sz="8" w:space="0" w:color="auto"/>
              <w:right w:val="single" w:sz="8" w:space="0" w:color="auto"/>
            </w:tcBorders>
            <w:shd w:val="clear" w:color="auto" w:fill="auto"/>
            <w:vAlign w:val="center"/>
            <w:hideMark/>
          </w:tcPr>
          <w:p w14:paraId="3E122102"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901.415.587</w:t>
            </w:r>
          </w:p>
        </w:tc>
        <w:tc>
          <w:tcPr>
            <w:tcW w:w="323" w:type="dxa"/>
            <w:tcBorders>
              <w:top w:val="nil"/>
              <w:left w:val="nil"/>
              <w:bottom w:val="single" w:sz="8" w:space="0" w:color="auto"/>
              <w:right w:val="single" w:sz="8" w:space="0" w:color="auto"/>
            </w:tcBorders>
            <w:shd w:val="clear" w:color="auto" w:fill="auto"/>
            <w:vAlign w:val="center"/>
            <w:hideMark/>
          </w:tcPr>
          <w:p w14:paraId="58892F41"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w:t>
            </w:r>
          </w:p>
        </w:tc>
        <w:tc>
          <w:tcPr>
            <w:tcW w:w="505" w:type="dxa"/>
            <w:tcBorders>
              <w:top w:val="nil"/>
              <w:left w:val="nil"/>
              <w:bottom w:val="single" w:sz="8" w:space="0" w:color="auto"/>
              <w:right w:val="single" w:sz="8" w:space="0" w:color="auto"/>
            </w:tcBorders>
            <w:shd w:val="clear" w:color="auto" w:fill="auto"/>
            <w:vAlign w:val="center"/>
            <w:hideMark/>
          </w:tcPr>
          <w:p w14:paraId="21E6AF2D"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50543</w:t>
            </w:r>
          </w:p>
        </w:tc>
        <w:tc>
          <w:tcPr>
            <w:tcW w:w="4243" w:type="dxa"/>
            <w:tcBorders>
              <w:top w:val="nil"/>
              <w:left w:val="nil"/>
              <w:bottom w:val="single" w:sz="8" w:space="0" w:color="auto"/>
              <w:right w:val="single" w:sz="8" w:space="0" w:color="auto"/>
            </w:tcBorders>
            <w:shd w:val="clear" w:color="auto" w:fill="auto"/>
            <w:vAlign w:val="center"/>
            <w:hideMark/>
          </w:tcPr>
          <w:p w14:paraId="29DB0DAB"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EAT ELECTRIFICADORA DE LA ZONA URBANA Y RURAL DE CHOCO</w:t>
            </w:r>
          </w:p>
        </w:tc>
        <w:tc>
          <w:tcPr>
            <w:tcW w:w="1196" w:type="dxa"/>
            <w:tcBorders>
              <w:top w:val="nil"/>
              <w:left w:val="nil"/>
              <w:bottom w:val="single" w:sz="8" w:space="0" w:color="auto"/>
              <w:right w:val="single" w:sz="8" w:space="0" w:color="auto"/>
            </w:tcBorders>
            <w:shd w:val="clear" w:color="auto" w:fill="auto"/>
            <w:vAlign w:val="center"/>
            <w:hideMark/>
          </w:tcPr>
          <w:p w14:paraId="53A81510"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723CECA3"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SIN REPORTE AL SUI</w:t>
            </w:r>
          </w:p>
        </w:tc>
      </w:tr>
      <w:tr w:rsidR="00AD4E79" w:rsidRPr="00AD4E79" w14:paraId="6E275421"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451769A7"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242</w:t>
            </w:r>
          </w:p>
        </w:tc>
        <w:tc>
          <w:tcPr>
            <w:tcW w:w="879" w:type="dxa"/>
            <w:tcBorders>
              <w:top w:val="nil"/>
              <w:left w:val="nil"/>
              <w:bottom w:val="single" w:sz="8" w:space="0" w:color="auto"/>
              <w:right w:val="single" w:sz="8" w:space="0" w:color="auto"/>
            </w:tcBorders>
            <w:shd w:val="clear" w:color="auto" w:fill="auto"/>
            <w:vAlign w:val="center"/>
            <w:hideMark/>
          </w:tcPr>
          <w:p w14:paraId="2E3CF70C"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901.424.573</w:t>
            </w:r>
          </w:p>
        </w:tc>
        <w:tc>
          <w:tcPr>
            <w:tcW w:w="323" w:type="dxa"/>
            <w:tcBorders>
              <w:top w:val="nil"/>
              <w:left w:val="nil"/>
              <w:bottom w:val="single" w:sz="8" w:space="0" w:color="auto"/>
              <w:right w:val="single" w:sz="8" w:space="0" w:color="auto"/>
            </w:tcBorders>
            <w:shd w:val="clear" w:color="auto" w:fill="auto"/>
            <w:vAlign w:val="center"/>
            <w:hideMark/>
          </w:tcPr>
          <w:p w14:paraId="73DE56DB"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7</w:t>
            </w:r>
          </w:p>
        </w:tc>
        <w:tc>
          <w:tcPr>
            <w:tcW w:w="505" w:type="dxa"/>
            <w:tcBorders>
              <w:top w:val="nil"/>
              <w:left w:val="nil"/>
              <w:bottom w:val="single" w:sz="8" w:space="0" w:color="auto"/>
              <w:right w:val="single" w:sz="8" w:space="0" w:color="auto"/>
            </w:tcBorders>
            <w:shd w:val="clear" w:color="auto" w:fill="auto"/>
            <w:vAlign w:val="center"/>
            <w:hideMark/>
          </w:tcPr>
          <w:p w14:paraId="33B7050C"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53888</w:t>
            </w:r>
          </w:p>
        </w:tc>
        <w:tc>
          <w:tcPr>
            <w:tcW w:w="4243" w:type="dxa"/>
            <w:tcBorders>
              <w:top w:val="nil"/>
              <w:left w:val="nil"/>
              <w:bottom w:val="single" w:sz="8" w:space="0" w:color="auto"/>
              <w:right w:val="single" w:sz="8" w:space="0" w:color="auto"/>
            </w:tcBorders>
            <w:shd w:val="clear" w:color="auto" w:fill="auto"/>
            <w:vAlign w:val="center"/>
            <w:hideMark/>
          </w:tcPr>
          <w:p w14:paraId="0F497002"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SOLUNA ENERGÍA S.A.S E.S.P.</w:t>
            </w:r>
          </w:p>
        </w:tc>
        <w:tc>
          <w:tcPr>
            <w:tcW w:w="1196" w:type="dxa"/>
            <w:tcBorders>
              <w:top w:val="nil"/>
              <w:left w:val="nil"/>
              <w:bottom w:val="single" w:sz="8" w:space="0" w:color="auto"/>
              <w:right w:val="single" w:sz="8" w:space="0" w:color="auto"/>
            </w:tcBorders>
            <w:shd w:val="clear" w:color="auto" w:fill="auto"/>
            <w:vAlign w:val="center"/>
            <w:hideMark/>
          </w:tcPr>
          <w:p w14:paraId="0F5ABD9E"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2729156A"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SIN REPORTE AL SUI</w:t>
            </w:r>
          </w:p>
        </w:tc>
      </w:tr>
      <w:tr w:rsidR="00AD4E79" w:rsidRPr="00AD4E79" w14:paraId="35592B53" w14:textId="77777777" w:rsidTr="00AD4E79">
        <w:trPr>
          <w:trHeight w:val="231"/>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75D360E8"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243</w:t>
            </w:r>
          </w:p>
        </w:tc>
        <w:tc>
          <w:tcPr>
            <w:tcW w:w="879" w:type="dxa"/>
            <w:tcBorders>
              <w:top w:val="nil"/>
              <w:left w:val="nil"/>
              <w:bottom w:val="single" w:sz="8" w:space="0" w:color="auto"/>
              <w:right w:val="single" w:sz="8" w:space="0" w:color="auto"/>
            </w:tcBorders>
            <w:shd w:val="clear" w:color="auto" w:fill="auto"/>
            <w:vAlign w:val="center"/>
            <w:hideMark/>
          </w:tcPr>
          <w:p w14:paraId="4939AC47"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901.426.492</w:t>
            </w:r>
          </w:p>
        </w:tc>
        <w:tc>
          <w:tcPr>
            <w:tcW w:w="323" w:type="dxa"/>
            <w:tcBorders>
              <w:top w:val="nil"/>
              <w:left w:val="nil"/>
              <w:bottom w:val="single" w:sz="8" w:space="0" w:color="auto"/>
              <w:right w:val="single" w:sz="8" w:space="0" w:color="auto"/>
            </w:tcBorders>
            <w:shd w:val="clear" w:color="auto" w:fill="auto"/>
            <w:vAlign w:val="center"/>
            <w:hideMark/>
          </w:tcPr>
          <w:p w14:paraId="4492ED58"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w:t>
            </w:r>
          </w:p>
        </w:tc>
        <w:tc>
          <w:tcPr>
            <w:tcW w:w="505" w:type="dxa"/>
            <w:tcBorders>
              <w:top w:val="nil"/>
              <w:left w:val="nil"/>
              <w:bottom w:val="single" w:sz="8" w:space="0" w:color="auto"/>
              <w:right w:val="single" w:sz="8" w:space="0" w:color="auto"/>
            </w:tcBorders>
            <w:shd w:val="clear" w:color="auto" w:fill="auto"/>
            <w:vAlign w:val="center"/>
            <w:hideMark/>
          </w:tcPr>
          <w:p w14:paraId="53A822BB"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51566</w:t>
            </w:r>
          </w:p>
        </w:tc>
        <w:tc>
          <w:tcPr>
            <w:tcW w:w="4243" w:type="dxa"/>
            <w:tcBorders>
              <w:top w:val="nil"/>
              <w:left w:val="nil"/>
              <w:bottom w:val="single" w:sz="8" w:space="0" w:color="auto"/>
              <w:right w:val="single" w:sz="8" w:space="0" w:color="auto"/>
            </w:tcBorders>
            <w:shd w:val="clear" w:color="auto" w:fill="auto"/>
            <w:vAlign w:val="center"/>
            <w:hideMark/>
          </w:tcPr>
          <w:p w14:paraId="744950FF"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EMPRESA ENERSUA S.A.S E.S.P EMPRESA DE SERVICIOS PUBLICOS</w:t>
            </w:r>
          </w:p>
        </w:tc>
        <w:tc>
          <w:tcPr>
            <w:tcW w:w="1196" w:type="dxa"/>
            <w:tcBorders>
              <w:top w:val="nil"/>
              <w:left w:val="nil"/>
              <w:bottom w:val="single" w:sz="8" w:space="0" w:color="auto"/>
              <w:right w:val="single" w:sz="8" w:space="0" w:color="auto"/>
            </w:tcBorders>
            <w:shd w:val="clear" w:color="auto" w:fill="auto"/>
            <w:vAlign w:val="center"/>
            <w:hideMark/>
          </w:tcPr>
          <w:p w14:paraId="3BB54A83"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34F85171"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223BA593"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38DFEFBC"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244</w:t>
            </w:r>
          </w:p>
        </w:tc>
        <w:tc>
          <w:tcPr>
            <w:tcW w:w="879" w:type="dxa"/>
            <w:tcBorders>
              <w:top w:val="nil"/>
              <w:left w:val="nil"/>
              <w:bottom w:val="single" w:sz="8" w:space="0" w:color="auto"/>
              <w:right w:val="single" w:sz="8" w:space="0" w:color="auto"/>
            </w:tcBorders>
            <w:shd w:val="clear" w:color="auto" w:fill="auto"/>
            <w:vAlign w:val="center"/>
            <w:hideMark/>
          </w:tcPr>
          <w:p w14:paraId="01FCDE4F"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901.441.051</w:t>
            </w:r>
          </w:p>
        </w:tc>
        <w:tc>
          <w:tcPr>
            <w:tcW w:w="323" w:type="dxa"/>
            <w:tcBorders>
              <w:top w:val="nil"/>
              <w:left w:val="nil"/>
              <w:bottom w:val="single" w:sz="8" w:space="0" w:color="auto"/>
              <w:right w:val="single" w:sz="8" w:space="0" w:color="auto"/>
            </w:tcBorders>
            <w:shd w:val="clear" w:color="auto" w:fill="auto"/>
            <w:vAlign w:val="center"/>
            <w:hideMark/>
          </w:tcPr>
          <w:p w14:paraId="5CE93C76"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6</w:t>
            </w:r>
          </w:p>
        </w:tc>
        <w:tc>
          <w:tcPr>
            <w:tcW w:w="505" w:type="dxa"/>
            <w:tcBorders>
              <w:top w:val="nil"/>
              <w:left w:val="nil"/>
              <w:bottom w:val="single" w:sz="8" w:space="0" w:color="auto"/>
              <w:right w:val="single" w:sz="8" w:space="0" w:color="auto"/>
            </w:tcBorders>
            <w:shd w:val="clear" w:color="auto" w:fill="auto"/>
            <w:vAlign w:val="center"/>
            <w:hideMark/>
          </w:tcPr>
          <w:p w14:paraId="7AC16ACF"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55347</w:t>
            </w:r>
          </w:p>
        </w:tc>
        <w:tc>
          <w:tcPr>
            <w:tcW w:w="4243" w:type="dxa"/>
            <w:tcBorders>
              <w:top w:val="nil"/>
              <w:left w:val="nil"/>
              <w:bottom w:val="single" w:sz="8" w:space="0" w:color="auto"/>
              <w:right w:val="single" w:sz="8" w:space="0" w:color="auto"/>
            </w:tcBorders>
            <w:shd w:val="clear" w:color="auto" w:fill="auto"/>
            <w:vAlign w:val="center"/>
            <w:hideMark/>
          </w:tcPr>
          <w:p w14:paraId="692B8647" w14:textId="77777777" w:rsidR="006E3CAD" w:rsidRPr="00AD4E79" w:rsidRDefault="006E3CAD" w:rsidP="00D22441">
            <w:pPr>
              <w:jc w:val="left"/>
              <w:rPr>
                <w:rFonts w:ascii="Arial Narrow" w:hAnsi="Arial Narrow" w:cs="Arial"/>
                <w:spacing w:val="0"/>
                <w:sz w:val="16"/>
                <w:szCs w:val="16"/>
                <w:lang w:val="en-GB" w:eastAsia="es-CO"/>
              </w:rPr>
            </w:pPr>
            <w:r w:rsidRPr="00AD4E79">
              <w:rPr>
                <w:rFonts w:ascii="Arial Narrow" w:hAnsi="Arial Narrow" w:cs="Arial"/>
                <w:spacing w:val="0"/>
                <w:sz w:val="16"/>
                <w:szCs w:val="16"/>
                <w:lang w:val="en-GB" w:eastAsia="es-CO"/>
              </w:rPr>
              <w:t>NEXTGY S.A.S. E.S.P.</w:t>
            </w:r>
          </w:p>
        </w:tc>
        <w:tc>
          <w:tcPr>
            <w:tcW w:w="1196" w:type="dxa"/>
            <w:tcBorders>
              <w:top w:val="nil"/>
              <w:left w:val="nil"/>
              <w:bottom w:val="single" w:sz="8" w:space="0" w:color="auto"/>
              <w:right w:val="single" w:sz="8" w:space="0" w:color="auto"/>
            </w:tcBorders>
            <w:shd w:val="clear" w:color="auto" w:fill="auto"/>
            <w:vAlign w:val="center"/>
            <w:hideMark/>
          </w:tcPr>
          <w:p w14:paraId="45CB2E08"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1EB1B363"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SIN REPORTE AL SUI</w:t>
            </w:r>
          </w:p>
        </w:tc>
      </w:tr>
      <w:tr w:rsidR="00AD4E79" w:rsidRPr="00AD4E79" w14:paraId="7400F659"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654BAC40"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245</w:t>
            </w:r>
          </w:p>
        </w:tc>
        <w:tc>
          <w:tcPr>
            <w:tcW w:w="879" w:type="dxa"/>
            <w:tcBorders>
              <w:top w:val="nil"/>
              <w:left w:val="nil"/>
              <w:bottom w:val="single" w:sz="8" w:space="0" w:color="auto"/>
              <w:right w:val="single" w:sz="8" w:space="0" w:color="auto"/>
            </w:tcBorders>
            <w:shd w:val="clear" w:color="auto" w:fill="auto"/>
            <w:vAlign w:val="center"/>
            <w:hideMark/>
          </w:tcPr>
          <w:p w14:paraId="231C07C4"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901.452.189</w:t>
            </w:r>
          </w:p>
        </w:tc>
        <w:tc>
          <w:tcPr>
            <w:tcW w:w="323" w:type="dxa"/>
            <w:tcBorders>
              <w:top w:val="nil"/>
              <w:left w:val="nil"/>
              <w:bottom w:val="single" w:sz="8" w:space="0" w:color="auto"/>
              <w:right w:val="single" w:sz="8" w:space="0" w:color="auto"/>
            </w:tcBorders>
            <w:shd w:val="clear" w:color="auto" w:fill="auto"/>
            <w:vAlign w:val="center"/>
            <w:hideMark/>
          </w:tcPr>
          <w:p w14:paraId="0562AEFE"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0</w:t>
            </w:r>
          </w:p>
        </w:tc>
        <w:tc>
          <w:tcPr>
            <w:tcW w:w="505" w:type="dxa"/>
            <w:tcBorders>
              <w:top w:val="nil"/>
              <w:left w:val="nil"/>
              <w:bottom w:val="single" w:sz="8" w:space="0" w:color="auto"/>
              <w:right w:val="single" w:sz="8" w:space="0" w:color="auto"/>
            </w:tcBorders>
            <w:shd w:val="clear" w:color="auto" w:fill="auto"/>
            <w:vAlign w:val="center"/>
            <w:hideMark/>
          </w:tcPr>
          <w:p w14:paraId="35DFF002"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53628</w:t>
            </w:r>
          </w:p>
        </w:tc>
        <w:tc>
          <w:tcPr>
            <w:tcW w:w="4243" w:type="dxa"/>
            <w:tcBorders>
              <w:top w:val="nil"/>
              <w:left w:val="nil"/>
              <w:bottom w:val="single" w:sz="8" w:space="0" w:color="auto"/>
              <w:right w:val="single" w:sz="8" w:space="0" w:color="auto"/>
            </w:tcBorders>
            <w:shd w:val="clear" w:color="auto" w:fill="auto"/>
            <w:vAlign w:val="center"/>
            <w:hideMark/>
          </w:tcPr>
          <w:p w14:paraId="6B075D3B"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ERCO GENERACIÓN S.A.S. ESP</w:t>
            </w:r>
          </w:p>
        </w:tc>
        <w:tc>
          <w:tcPr>
            <w:tcW w:w="1196" w:type="dxa"/>
            <w:tcBorders>
              <w:top w:val="nil"/>
              <w:left w:val="nil"/>
              <w:bottom w:val="single" w:sz="8" w:space="0" w:color="auto"/>
              <w:right w:val="single" w:sz="8" w:space="0" w:color="auto"/>
            </w:tcBorders>
            <w:shd w:val="clear" w:color="auto" w:fill="auto"/>
            <w:vAlign w:val="center"/>
            <w:hideMark/>
          </w:tcPr>
          <w:p w14:paraId="14909ED7"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0B2A6212"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SIN REPORTE AL SUI</w:t>
            </w:r>
          </w:p>
        </w:tc>
      </w:tr>
      <w:tr w:rsidR="00AD4E79" w:rsidRPr="00AD4E79" w14:paraId="6FA46B61"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63F79BCE"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246</w:t>
            </w:r>
          </w:p>
        </w:tc>
        <w:tc>
          <w:tcPr>
            <w:tcW w:w="879" w:type="dxa"/>
            <w:tcBorders>
              <w:top w:val="nil"/>
              <w:left w:val="nil"/>
              <w:bottom w:val="single" w:sz="8" w:space="0" w:color="auto"/>
              <w:right w:val="single" w:sz="8" w:space="0" w:color="auto"/>
            </w:tcBorders>
            <w:shd w:val="clear" w:color="auto" w:fill="auto"/>
            <w:vAlign w:val="center"/>
            <w:hideMark/>
          </w:tcPr>
          <w:p w14:paraId="2D212832"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901.458.456</w:t>
            </w:r>
          </w:p>
        </w:tc>
        <w:tc>
          <w:tcPr>
            <w:tcW w:w="323" w:type="dxa"/>
            <w:tcBorders>
              <w:top w:val="nil"/>
              <w:left w:val="nil"/>
              <w:bottom w:val="single" w:sz="8" w:space="0" w:color="auto"/>
              <w:right w:val="single" w:sz="8" w:space="0" w:color="auto"/>
            </w:tcBorders>
            <w:shd w:val="clear" w:color="auto" w:fill="auto"/>
            <w:vAlign w:val="center"/>
            <w:hideMark/>
          </w:tcPr>
          <w:p w14:paraId="6C0FD164"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w:t>
            </w:r>
          </w:p>
        </w:tc>
        <w:tc>
          <w:tcPr>
            <w:tcW w:w="505" w:type="dxa"/>
            <w:tcBorders>
              <w:top w:val="nil"/>
              <w:left w:val="nil"/>
              <w:bottom w:val="single" w:sz="8" w:space="0" w:color="auto"/>
              <w:right w:val="single" w:sz="8" w:space="0" w:color="auto"/>
            </w:tcBorders>
            <w:shd w:val="clear" w:color="auto" w:fill="auto"/>
            <w:vAlign w:val="center"/>
            <w:hideMark/>
          </w:tcPr>
          <w:p w14:paraId="35E0D141"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54206</w:t>
            </w:r>
          </w:p>
        </w:tc>
        <w:tc>
          <w:tcPr>
            <w:tcW w:w="4243" w:type="dxa"/>
            <w:tcBorders>
              <w:top w:val="nil"/>
              <w:left w:val="nil"/>
              <w:bottom w:val="single" w:sz="8" w:space="0" w:color="auto"/>
              <w:right w:val="single" w:sz="8" w:space="0" w:color="auto"/>
            </w:tcBorders>
            <w:shd w:val="clear" w:color="auto" w:fill="auto"/>
            <w:vAlign w:val="center"/>
            <w:hideMark/>
          </w:tcPr>
          <w:p w14:paraId="0CC8820F"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SOI ENERGIA S.A.S E.S.P.</w:t>
            </w:r>
          </w:p>
        </w:tc>
        <w:tc>
          <w:tcPr>
            <w:tcW w:w="1196" w:type="dxa"/>
            <w:tcBorders>
              <w:top w:val="nil"/>
              <w:left w:val="nil"/>
              <w:bottom w:val="single" w:sz="8" w:space="0" w:color="auto"/>
              <w:right w:val="single" w:sz="8" w:space="0" w:color="auto"/>
            </w:tcBorders>
            <w:shd w:val="clear" w:color="auto" w:fill="auto"/>
            <w:vAlign w:val="center"/>
            <w:hideMark/>
          </w:tcPr>
          <w:p w14:paraId="03322BF4"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36CCF374"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SIN REPORTE AL SUI</w:t>
            </w:r>
          </w:p>
        </w:tc>
      </w:tr>
      <w:tr w:rsidR="00AD4E79" w:rsidRPr="00AD4E79" w14:paraId="643B59DE"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11B84899"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247</w:t>
            </w:r>
          </w:p>
        </w:tc>
        <w:tc>
          <w:tcPr>
            <w:tcW w:w="879" w:type="dxa"/>
            <w:tcBorders>
              <w:top w:val="nil"/>
              <w:left w:val="nil"/>
              <w:bottom w:val="single" w:sz="8" w:space="0" w:color="auto"/>
              <w:right w:val="single" w:sz="8" w:space="0" w:color="auto"/>
            </w:tcBorders>
            <w:shd w:val="clear" w:color="auto" w:fill="auto"/>
            <w:vAlign w:val="center"/>
            <w:hideMark/>
          </w:tcPr>
          <w:p w14:paraId="65C5DFD6"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901.479.376</w:t>
            </w:r>
          </w:p>
        </w:tc>
        <w:tc>
          <w:tcPr>
            <w:tcW w:w="323" w:type="dxa"/>
            <w:tcBorders>
              <w:top w:val="nil"/>
              <w:left w:val="nil"/>
              <w:bottom w:val="single" w:sz="8" w:space="0" w:color="auto"/>
              <w:right w:val="single" w:sz="8" w:space="0" w:color="auto"/>
            </w:tcBorders>
            <w:shd w:val="clear" w:color="auto" w:fill="auto"/>
            <w:vAlign w:val="center"/>
            <w:hideMark/>
          </w:tcPr>
          <w:p w14:paraId="7328EECE"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w:t>
            </w:r>
          </w:p>
        </w:tc>
        <w:tc>
          <w:tcPr>
            <w:tcW w:w="505" w:type="dxa"/>
            <w:tcBorders>
              <w:top w:val="nil"/>
              <w:left w:val="nil"/>
              <w:bottom w:val="single" w:sz="8" w:space="0" w:color="auto"/>
              <w:right w:val="single" w:sz="8" w:space="0" w:color="auto"/>
            </w:tcBorders>
            <w:shd w:val="clear" w:color="auto" w:fill="auto"/>
            <w:vAlign w:val="center"/>
            <w:hideMark/>
          </w:tcPr>
          <w:p w14:paraId="045E3B6B"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56170</w:t>
            </w:r>
          </w:p>
        </w:tc>
        <w:tc>
          <w:tcPr>
            <w:tcW w:w="4243" w:type="dxa"/>
            <w:tcBorders>
              <w:top w:val="nil"/>
              <w:left w:val="nil"/>
              <w:bottom w:val="single" w:sz="8" w:space="0" w:color="auto"/>
              <w:right w:val="single" w:sz="8" w:space="0" w:color="auto"/>
            </w:tcBorders>
            <w:shd w:val="clear" w:color="auto" w:fill="auto"/>
            <w:vAlign w:val="center"/>
            <w:hideMark/>
          </w:tcPr>
          <w:p w14:paraId="2E1A1E9C"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EMPRESA DE ENERGIA DE MOSQUERA S.A.S. E.S.P.</w:t>
            </w:r>
          </w:p>
        </w:tc>
        <w:tc>
          <w:tcPr>
            <w:tcW w:w="1196" w:type="dxa"/>
            <w:tcBorders>
              <w:top w:val="nil"/>
              <w:left w:val="nil"/>
              <w:bottom w:val="single" w:sz="8" w:space="0" w:color="auto"/>
              <w:right w:val="single" w:sz="8" w:space="0" w:color="auto"/>
            </w:tcBorders>
            <w:shd w:val="clear" w:color="auto" w:fill="auto"/>
            <w:vAlign w:val="center"/>
            <w:hideMark/>
          </w:tcPr>
          <w:p w14:paraId="3B151CFD"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3405F957"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SIN REPORTE AL SUI</w:t>
            </w:r>
          </w:p>
        </w:tc>
      </w:tr>
      <w:tr w:rsidR="00AD4E79" w:rsidRPr="00AD4E79" w14:paraId="6684A247"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53F37CA1"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248</w:t>
            </w:r>
          </w:p>
        </w:tc>
        <w:tc>
          <w:tcPr>
            <w:tcW w:w="879" w:type="dxa"/>
            <w:tcBorders>
              <w:top w:val="nil"/>
              <w:left w:val="nil"/>
              <w:bottom w:val="single" w:sz="8" w:space="0" w:color="auto"/>
              <w:right w:val="single" w:sz="8" w:space="0" w:color="auto"/>
            </w:tcBorders>
            <w:shd w:val="clear" w:color="auto" w:fill="auto"/>
            <w:vAlign w:val="center"/>
            <w:hideMark/>
          </w:tcPr>
          <w:p w14:paraId="3F01044E"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901.496.875</w:t>
            </w:r>
          </w:p>
        </w:tc>
        <w:tc>
          <w:tcPr>
            <w:tcW w:w="323" w:type="dxa"/>
            <w:tcBorders>
              <w:top w:val="nil"/>
              <w:left w:val="nil"/>
              <w:bottom w:val="single" w:sz="8" w:space="0" w:color="auto"/>
              <w:right w:val="single" w:sz="8" w:space="0" w:color="auto"/>
            </w:tcBorders>
            <w:shd w:val="clear" w:color="auto" w:fill="auto"/>
            <w:vAlign w:val="center"/>
            <w:hideMark/>
          </w:tcPr>
          <w:p w14:paraId="250EF9AE"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4</w:t>
            </w:r>
          </w:p>
        </w:tc>
        <w:tc>
          <w:tcPr>
            <w:tcW w:w="505" w:type="dxa"/>
            <w:tcBorders>
              <w:top w:val="nil"/>
              <w:left w:val="nil"/>
              <w:bottom w:val="single" w:sz="8" w:space="0" w:color="auto"/>
              <w:right w:val="single" w:sz="8" w:space="0" w:color="auto"/>
            </w:tcBorders>
            <w:shd w:val="clear" w:color="auto" w:fill="auto"/>
            <w:vAlign w:val="center"/>
            <w:hideMark/>
          </w:tcPr>
          <w:p w14:paraId="4A8D5DC7"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62292</w:t>
            </w:r>
          </w:p>
        </w:tc>
        <w:tc>
          <w:tcPr>
            <w:tcW w:w="4243" w:type="dxa"/>
            <w:tcBorders>
              <w:top w:val="nil"/>
              <w:left w:val="nil"/>
              <w:bottom w:val="single" w:sz="8" w:space="0" w:color="auto"/>
              <w:right w:val="single" w:sz="8" w:space="0" w:color="auto"/>
            </w:tcBorders>
            <w:shd w:val="clear" w:color="auto" w:fill="auto"/>
            <w:vAlign w:val="center"/>
            <w:hideMark/>
          </w:tcPr>
          <w:p w14:paraId="2C5385C5"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Parque Solar Los Girasoles SAS ESP</w:t>
            </w:r>
          </w:p>
        </w:tc>
        <w:tc>
          <w:tcPr>
            <w:tcW w:w="1196" w:type="dxa"/>
            <w:tcBorders>
              <w:top w:val="nil"/>
              <w:left w:val="nil"/>
              <w:bottom w:val="single" w:sz="8" w:space="0" w:color="auto"/>
              <w:right w:val="single" w:sz="8" w:space="0" w:color="auto"/>
            </w:tcBorders>
            <w:shd w:val="clear" w:color="auto" w:fill="auto"/>
            <w:vAlign w:val="center"/>
            <w:hideMark/>
          </w:tcPr>
          <w:p w14:paraId="1B3F8E51"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7043724B"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7DD1859E"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09526187"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249</w:t>
            </w:r>
          </w:p>
        </w:tc>
        <w:tc>
          <w:tcPr>
            <w:tcW w:w="879" w:type="dxa"/>
            <w:tcBorders>
              <w:top w:val="nil"/>
              <w:left w:val="nil"/>
              <w:bottom w:val="single" w:sz="8" w:space="0" w:color="auto"/>
              <w:right w:val="single" w:sz="8" w:space="0" w:color="auto"/>
            </w:tcBorders>
            <w:shd w:val="clear" w:color="auto" w:fill="auto"/>
            <w:vAlign w:val="center"/>
            <w:hideMark/>
          </w:tcPr>
          <w:p w14:paraId="38742274"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901.500.454</w:t>
            </w:r>
          </w:p>
        </w:tc>
        <w:tc>
          <w:tcPr>
            <w:tcW w:w="323" w:type="dxa"/>
            <w:tcBorders>
              <w:top w:val="nil"/>
              <w:left w:val="nil"/>
              <w:bottom w:val="single" w:sz="8" w:space="0" w:color="auto"/>
              <w:right w:val="single" w:sz="8" w:space="0" w:color="auto"/>
            </w:tcBorders>
            <w:shd w:val="clear" w:color="auto" w:fill="auto"/>
            <w:vAlign w:val="center"/>
            <w:hideMark/>
          </w:tcPr>
          <w:p w14:paraId="5A5A8EA3"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4</w:t>
            </w:r>
          </w:p>
        </w:tc>
        <w:tc>
          <w:tcPr>
            <w:tcW w:w="505" w:type="dxa"/>
            <w:tcBorders>
              <w:top w:val="nil"/>
              <w:left w:val="nil"/>
              <w:bottom w:val="single" w:sz="8" w:space="0" w:color="auto"/>
              <w:right w:val="single" w:sz="8" w:space="0" w:color="auto"/>
            </w:tcBorders>
            <w:shd w:val="clear" w:color="auto" w:fill="auto"/>
            <w:vAlign w:val="center"/>
            <w:hideMark/>
          </w:tcPr>
          <w:p w14:paraId="5F1EDC87"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57110</w:t>
            </w:r>
          </w:p>
        </w:tc>
        <w:tc>
          <w:tcPr>
            <w:tcW w:w="4243" w:type="dxa"/>
            <w:tcBorders>
              <w:top w:val="nil"/>
              <w:left w:val="nil"/>
              <w:bottom w:val="single" w:sz="8" w:space="0" w:color="auto"/>
              <w:right w:val="single" w:sz="8" w:space="0" w:color="auto"/>
            </w:tcBorders>
            <w:shd w:val="clear" w:color="auto" w:fill="auto"/>
            <w:vAlign w:val="center"/>
            <w:hideMark/>
          </w:tcPr>
          <w:p w14:paraId="3DFF14AA"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SAEB LA ARENOSA S.A.S. E.S.P.</w:t>
            </w:r>
          </w:p>
        </w:tc>
        <w:tc>
          <w:tcPr>
            <w:tcW w:w="1196" w:type="dxa"/>
            <w:tcBorders>
              <w:top w:val="nil"/>
              <w:left w:val="nil"/>
              <w:bottom w:val="single" w:sz="8" w:space="0" w:color="auto"/>
              <w:right w:val="single" w:sz="8" w:space="0" w:color="auto"/>
            </w:tcBorders>
            <w:shd w:val="clear" w:color="auto" w:fill="auto"/>
            <w:vAlign w:val="center"/>
            <w:hideMark/>
          </w:tcPr>
          <w:p w14:paraId="7DC88DA1"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11EE4B75"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SIN REPORTE AL SUI</w:t>
            </w:r>
          </w:p>
        </w:tc>
      </w:tr>
      <w:tr w:rsidR="00AD4E79" w:rsidRPr="00AD4E79" w14:paraId="78575B91"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69FFEE7D"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250</w:t>
            </w:r>
          </w:p>
        </w:tc>
        <w:tc>
          <w:tcPr>
            <w:tcW w:w="879" w:type="dxa"/>
            <w:tcBorders>
              <w:top w:val="nil"/>
              <w:left w:val="nil"/>
              <w:bottom w:val="single" w:sz="8" w:space="0" w:color="auto"/>
              <w:right w:val="single" w:sz="8" w:space="0" w:color="auto"/>
            </w:tcBorders>
            <w:shd w:val="clear" w:color="auto" w:fill="auto"/>
            <w:vAlign w:val="center"/>
            <w:hideMark/>
          </w:tcPr>
          <w:p w14:paraId="1A6D276D"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901.520.379</w:t>
            </w:r>
          </w:p>
        </w:tc>
        <w:tc>
          <w:tcPr>
            <w:tcW w:w="323" w:type="dxa"/>
            <w:tcBorders>
              <w:top w:val="nil"/>
              <w:left w:val="nil"/>
              <w:bottom w:val="single" w:sz="8" w:space="0" w:color="auto"/>
              <w:right w:val="single" w:sz="8" w:space="0" w:color="auto"/>
            </w:tcBorders>
            <w:shd w:val="clear" w:color="auto" w:fill="auto"/>
            <w:vAlign w:val="center"/>
            <w:hideMark/>
          </w:tcPr>
          <w:p w14:paraId="688E374B"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5</w:t>
            </w:r>
          </w:p>
        </w:tc>
        <w:tc>
          <w:tcPr>
            <w:tcW w:w="505" w:type="dxa"/>
            <w:tcBorders>
              <w:top w:val="nil"/>
              <w:left w:val="nil"/>
              <w:bottom w:val="single" w:sz="8" w:space="0" w:color="auto"/>
              <w:right w:val="single" w:sz="8" w:space="0" w:color="auto"/>
            </w:tcBorders>
            <w:shd w:val="clear" w:color="auto" w:fill="auto"/>
            <w:vAlign w:val="center"/>
            <w:hideMark/>
          </w:tcPr>
          <w:p w14:paraId="32EC2904"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60710</w:t>
            </w:r>
          </w:p>
        </w:tc>
        <w:tc>
          <w:tcPr>
            <w:tcW w:w="4243" w:type="dxa"/>
            <w:tcBorders>
              <w:top w:val="nil"/>
              <w:left w:val="nil"/>
              <w:bottom w:val="single" w:sz="8" w:space="0" w:color="auto"/>
              <w:right w:val="single" w:sz="8" w:space="0" w:color="auto"/>
            </w:tcBorders>
            <w:shd w:val="clear" w:color="auto" w:fill="auto"/>
            <w:vAlign w:val="center"/>
            <w:hideMark/>
          </w:tcPr>
          <w:p w14:paraId="28EE4018"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ACTIVA ENERGY S.A.S ESP</w:t>
            </w:r>
          </w:p>
        </w:tc>
        <w:tc>
          <w:tcPr>
            <w:tcW w:w="1196" w:type="dxa"/>
            <w:tcBorders>
              <w:top w:val="nil"/>
              <w:left w:val="nil"/>
              <w:bottom w:val="single" w:sz="8" w:space="0" w:color="auto"/>
              <w:right w:val="single" w:sz="8" w:space="0" w:color="auto"/>
            </w:tcBorders>
            <w:shd w:val="clear" w:color="auto" w:fill="auto"/>
            <w:vAlign w:val="center"/>
            <w:hideMark/>
          </w:tcPr>
          <w:p w14:paraId="571D90B0"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2444A414"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SIN REPORTE AL SUI</w:t>
            </w:r>
          </w:p>
        </w:tc>
      </w:tr>
      <w:tr w:rsidR="00AD4E79" w:rsidRPr="00AD4E79" w14:paraId="5CCFCC73"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4A60D4BE"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251</w:t>
            </w:r>
          </w:p>
        </w:tc>
        <w:tc>
          <w:tcPr>
            <w:tcW w:w="879" w:type="dxa"/>
            <w:tcBorders>
              <w:top w:val="nil"/>
              <w:left w:val="nil"/>
              <w:bottom w:val="single" w:sz="8" w:space="0" w:color="auto"/>
              <w:right w:val="single" w:sz="8" w:space="0" w:color="auto"/>
            </w:tcBorders>
            <w:shd w:val="clear" w:color="auto" w:fill="auto"/>
            <w:vAlign w:val="center"/>
            <w:hideMark/>
          </w:tcPr>
          <w:p w14:paraId="7FCE5BA8"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901.523.657</w:t>
            </w:r>
          </w:p>
        </w:tc>
        <w:tc>
          <w:tcPr>
            <w:tcW w:w="323" w:type="dxa"/>
            <w:tcBorders>
              <w:top w:val="nil"/>
              <w:left w:val="nil"/>
              <w:bottom w:val="single" w:sz="8" w:space="0" w:color="auto"/>
              <w:right w:val="single" w:sz="8" w:space="0" w:color="auto"/>
            </w:tcBorders>
            <w:shd w:val="clear" w:color="auto" w:fill="auto"/>
            <w:vAlign w:val="center"/>
            <w:hideMark/>
          </w:tcPr>
          <w:p w14:paraId="2A9F25AF"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w:t>
            </w:r>
          </w:p>
        </w:tc>
        <w:tc>
          <w:tcPr>
            <w:tcW w:w="505" w:type="dxa"/>
            <w:tcBorders>
              <w:top w:val="nil"/>
              <w:left w:val="nil"/>
              <w:bottom w:val="single" w:sz="8" w:space="0" w:color="auto"/>
              <w:right w:val="single" w:sz="8" w:space="0" w:color="auto"/>
            </w:tcBorders>
            <w:shd w:val="clear" w:color="auto" w:fill="auto"/>
            <w:vAlign w:val="center"/>
            <w:hideMark/>
          </w:tcPr>
          <w:p w14:paraId="3675628C"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59131</w:t>
            </w:r>
          </w:p>
        </w:tc>
        <w:tc>
          <w:tcPr>
            <w:tcW w:w="4243" w:type="dxa"/>
            <w:tcBorders>
              <w:top w:val="nil"/>
              <w:left w:val="nil"/>
              <w:bottom w:val="single" w:sz="8" w:space="0" w:color="auto"/>
              <w:right w:val="single" w:sz="8" w:space="0" w:color="auto"/>
            </w:tcBorders>
            <w:shd w:val="clear" w:color="auto" w:fill="auto"/>
            <w:vAlign w:val="center"/>
            <w:hideMark/>
          </w:tcPr>
          <w:p w14:paraId="505262A2"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ÉRGON ENERGY SAS ESP</w:t>
            </w:r>
          </w:p>
        </w:tc>
        <w:tc>
          <w:tcPr>
            <w:tcW w:w="1196" w:type="dxa"/>
            <w:tcBorders>
              <w:top w:val="nil"/>
              <w:left w:val="nil"/>
              <w:bottom w:val="single" w:sz="8" w:space="0" w:color="auto"/>
              <w:right w:val="single" w:sz="8" w:space="0" w:color="auto"/>
            </w:tcBorders>
            <w:shd w:val="clear" w:color="auto" w:fill="auto"/>
            <w:vAlign w:val="center"/>
            <w:hideMark/>
          </w:tcPr>
          <w:p w14:paraId="039ECF86"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7E8C0604"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SIN REPORTE AL SUI</w:t>
            </w:r>
          </w:p>
        </w:tc>
      </w:tr>
      <w:tr w:rsidR="00AD4E79" w:rsidRPr="00AD4E79" w14:paraId="477F0C6F"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2AE34181"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252</w:t>
            </w:r>
          </w:p>
        </w:tc>
        <w:tc>
          <w:tcPr>
            <w:tcW w:w="879" w:type="dxa"/>
            <w:tcBorders>
              <w:top w:val="nil"/>
              <w:left w:val="nil"/>
              <w:bottom w:val="single" w:sz="8" w:space="0" w:color="auto"/>
              <w:right w:val="single" w:sz="8" w:space="0" w:color="auto"/>
            </w:tcBorders>
            <w:shd w:val="clear" w:color="auto" w:fill="auto"/>
            <w:vAlign w:val="center"/>
            <w:hideMark/>
          </w:tcPr>
          <w:p w14:paraId="6B54B0A7"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901.523.711</w:t>
            </w:r>
          </w:p>
        </w:tc>
        <w:tc>
          <w:tcPr>
            <w:tcW w:w="323" w:type="dxa"/>
            <w:tcBorders>
              <w:top w:val="nil"/>
              <w:left w:val="nil"/>
              <w:bottom w:val="single" w:sz="8" w:space="0" w:color="auto"/>
              <w:right w:val="single" w:sz="8" w:space="0" w:color="auto"/>
            </w:tcBorders>
            <w:shd w:val="clear" w:color="auto" w:fill="auto"/>
            <w:vAlign w:val="center"/>
            <w:hideMark/>
          </w:tcPr>
          <w:p w14:paraId="2B09D8C0"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w:t>
            </w:r>
          </w:p>
        </w:tc>
        <w:tc>
          <w:tcPr>
            <w:tcW w:w="505" w:type="dxa"/>
            <w:tcBorders>
              <w:top w:val="nil"/>
              <w:left w:val="nil"/>
              <w:bottom w:val="single" w:sz="8" w:space="0" w:color="auto"/>
              <w:right w:val="single" w:sz="8" w:space="0" w:color="auto"/>
            </w:tcBorders>
            <w:shd w:val="clear" w:color="auto" w:fill="auto"/>
            <w:vAlign w:val="center"/>
            <w:hideMark/>
          </w:tcPr>
          <w:p w14:paraId="33CD0EC0"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58511</w:t>
            </w:r>
          </w:p>
        </w:tc>
        <w:tc>
          <w:tcPr>
            <w:tcW w:w="4243" w:type="dxa"/>
            <w:tcBorders>
              <w:top w:val="nil"/>
              <w:left w:val="nil"/>
              <w:bottom w:val="single" w:sz="8" w:space="0" w:color="auto"/>
              <w:right w:val="single" w:sz="8" w:space="0" w:color="auto"/>
            </w:tcBorders>
            <w:shd w:val="clear" w:color="auto" w:fill="auto"/>
            <w:vAlign w:val="center"/>
            <w:hideMark/>
          </w:tcPr>
          <w:p w14:paraId="5CBB9CC9"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VACHE SAS ESP</w:t>
            </w:r>
          </w:p>
        </w:tc>
        <w:tc>
          <w:tcPr>
            <w:tcW w:w="1196" w:type="dxa"/>
            <w:tcBorders>
              <w:top w:val="nil"/>
              <w:left w:val="nil"/>
              <w:bottom w:val="single" w:sz="8" w:space="0" w:color="auto"/>
              <w:right w:val="single" w:sz="8" w:space="0" w:color="auto"/>
            </w:tcBorders>
            <w:shd w:val="clear" w:color="auto" w:fill="auto"/>
            <w:vAlign w:val="center"/>
            <w:hideMark/>
          </w:tcPr>
          <w:p w14:paraId="247ABE56"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13E4B1A0"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SIN REPORTE AL SUI</w:t>
            </w:r>
          </w:p>
        </w:tc>
      </w:tr>
      <w:tr w:rsidR="00AD4E79" w:rsidRPr="00AD4E79" w14:paraId="3CA63611"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700CD8D6"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lastRenderedPageBreak/>
              <w:t>253</w:t>
            </w:r>
          </w:p>
        </w:tc>
        <w:tc>
          <w:tcPr>
            <w:tcW w:w="879" w:type="dxa"/>
            <w:tcBorders>
              <w:top w:val="nil"/>
              <w:left w:val="nil"/>
              <w:bottom w:val="single" w:sz="8" w:space="0" w:color="auto"/>
              <w:right w:val="single" w:sz="8" w:space="0" w:color="auto"/>
            </w:tcBorders>
            <w:shd w:val="clear" w:color="auto" w:fill="auto"/>
            <w:vAlign w:val="center"/>
            <w:hideMark/>
          </w:tcPr>
          <w:p w14:paraId="37E773C4"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901.536.882</w:t>
            </w:r>
          </w:p>
        </w:tc>
        <w:tc>
          <w:tcPr>
            <w:tcW w:w="323" w:type="dxa"/>
            <w:tcBorders>
              <w:top w:val="nil"/>
              <w:left w:val="nil"/>
              <w:bottom w:val="single" w:sz="8" w:space="0" w:color="auto"/>
              <w:right w:val="single" w:sz="8" w:space="0" w:color="auto"/>
            </w:tcBorders>
            <w:shd w:val="clear" w:color="auto" w:fill="auto"/>
            <w:vAlign w:val="center"/>
            <w:hideMark/>
          </w:tcPr>
          <w:p w14:paraId="455100F1"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w:t>
            </w:r>
          </w:p>
        </w:tc>
        <w:tc>
          <w:tcPr>
            <w:tcW w:w="505" w:type="dxa"/>
            <w:tcBorders>
              <w:top w:val="nil"/>
              <w:left w:val="nil"/>
              <w:bottom w:val="single" w:sz="8" w:space="0" w:color="auto"/>
              <w:right w:val="single" w:sz="8" w:space="0" w:color="auto"/>
            </w:tcBorders>
            <w:shd w:val="clear" w:color="auto" w:fill="auto"/>
            <w:vAlign w:val="center"/>
            <w:hideMark/>
          </w:tcPr>
          <w:p w14:paraId="4F9DF61E"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59450</w:t>
            </w:r>
          </w:p>
        </w:tc>
        <w:tc>
          <w:tcPr>
            <w:tcW w:w="4243" w:type="dxa"/>
            <w:tcBorders>
              <w:top w:val="nil"/>
              <w:left w:val="nil"/>
              <w:bottom w:val="single" w:sz="8" w:space="0" w:color="auto"/>
              <w:right w:val="single" w:sz="8" w:space="0" w:color="auto"/>
            </w:tcBorders>
            <w:shd w:val="clear" w:color="auto" w:fill="auto"/>
            <w:vAlign w:val="center"/>
            <w:hideMark/>
          </w:tcPr>
          <w:p w14:paraId="79F7AB32"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AMBAR SERVICIOS DE OCCIDENTE ESP SAS</w:t>
            </w:r>
          </w:p>
        </w:tc>
        <w:tc>
          <w:tcPr>
            <w:tcW w:w="1196" w:type="dxa"/>
            <w:tcBorders>
              <w:top w:val="nil"/>
              <w:left w:val="nil"/>
              <w:bottom w:val="single" w:sz="8" w:space="0" w:color="auto"/>
              <w:right w:val="single" w:sz="8" w:space="0" w:color="auto"/>
            </w:tcBorders>
            <w:shd w:val="clear" w:color="auto" w:fill="auto"/>
            <w:vAlign w:val="center"/>
            <w:hideMark/>
          </w:tcPr>
          <w:p w14:paraId="2D6F9640"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2CE3DD1C"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SIN REPORTE AL SUI</w:t>
            </w:r>
          </w:p>
        </w:tc>
      </w:tr>
      <w:tr w:rsidR="00AD4E79" w:rsidRPr="00AD4E79" w14:paraId="078D08D0"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4F74FB2C"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254</w:t>
            </w:r>
          </w:p>
        </w:tc>
        <w:tc>
          <w:tcPr>
            <w:tcW w:w="879" w:type="dxa"/>
            <w:tcBorders>
              <w:top w:val="nil"/>
              <w:left w:val="nil"/>
              <w:bottom w:val="single" w:sz="8" w:space="0" w:color="auto"/>
              <w:right w:val="single" w:sz="8" w:space="0" w:color="auto"/>
            </w:tcBorders>
            <w:shd w:val="clear" w:color="auto" w:fill="auto"/>
            <w:vAlign w:val="center"/>
            <w:hideMark/>
          </w:tcPr>
          <w:p w14:paraId="55D4AE62"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901.539.413</w:t>
            </w:r>
          </w:p>
        </w:tc>
        <w:tc>
          <w:tcPr>
            <w:tcW w:w="323" w:type="dxa"/>
            <w:tcBorders>
              <w:top w:val="nil"/>
              <w:left w:val="nil"/>
              <w:bottom w:val="single" w:sz="8" w:space="0" w:color="auto"/>
              <w:right w:val="single" w:sz="8" w:space="0" w:color="auto"/>
            </w:tcBorders>
            <w:shd w:val="clear" w:color="auto" w:fill="auto"/>
            <w:vAlign w:val="center"/>
            <w:hideMark/>
          </w:tcPr>
          <w:p w14:paraId="5B32D8EA"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w:t>
            </w:r>
          </w:p>
        </w:tc>
        <w:tc>
          <w:tcPr>
            <w:tcW w:w="505" w:type="dxa"/>
            <w:tcBorders>
              <w:top w:val="nil"/>
              <w:left w:val="nil"/>
              <w:bottom w:val="single" w:sz="8" w:space="0" w:color="auto"/>
              <w:right w:val="single" w:sz="8" w:space="0" w:color="auto"/>
            </w:tcBorders>
            <w:shd w:val="clear" w:color="auto" w:fill="auto"/>
            <w:vAlign w:val="center"/>
            <w:hideMark/>
          </w:tcPr>
          <w:p w14:paraId="48B877C0"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60311</w:t>
            </w:r>
          </w:p>
        </w:tc>
        <w:tc>
          <w:tcPr>
            <w:tcW w:w="4243" w:type="dxa"/>
            <w:tcBorders>
              <w:top w:val="nil"/>
              <w:left w:val="nil"/>
              <w:bottom w:val="single" w:sz="8" w:space="0" w:color="auto"/>
              <w:right w:val="single" w:sz="8" w:space="0" w:color="auto"/>
            </w:tcBorders>
            <w:shd w:val="clear" w:color="auto" w:fill="auto"/>
            <w:vAlign w:val="center"/>
            <w:hideMark/>
          </w:tcPr>
          <w:p w14:paraId="67D6EC6B"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SUBA SOLAR S.A.S. E.S.P.</w:t>
            </w:r>
          </w:p>
        </w:tc>
        <w:tc>
          <w:tcPr>
            <w:tcW w:w="1196" w:type="dxa"/>
            <w:tcBorders>
              <w:top w:val="nil"/>
              <w:left w:val="nil"/>
              <w:bottom w:val="single" w:sz="8" w:space="0" w:color="auto"/>
              <w:right w:val="single" w:sz="8" w:space="0" w:color="auto"/>
            </w:tcBorders>
            <w:shd w:val="clear" w:color="auto" w:fill="auto"/>
            <w:vAlign w:val="center"/>
            <w:hideMark/>
          </w:tcPr>
          <w:p w14:paraId="3B38C5C0"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0C071A6A"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SIN REPORTE AL SUI</w:t>
            </w:r>
          </w:p>
        </w:tc>
      </w:tr>
      <w:tr w:rsidR="00AD4E79" w:rsidRPr="00AD4E79" w14:paraId="62C1DF84"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4897BECC"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255</w:t>
            </w:r>
          </w:p>
        </w:tc>
        <w:tc>
          <w:tcPr>
            <w:tcW w:w="879" w:type="dxa"/>
            <w:tcBorders>
              <w:top w:val="nil"/>
              <w:left w:val="nil"/>
              <w:bottom w:val="single" w:sz="8" w:space="0" w:color="auto"/>
              <w:right w:val="single" w:sz="8" w:space="0" w:color="auto"/>
            </w:tcBorders>
            <w:shd w:val="clear" w:color="auto" w:fill="auto"/>
            <w:vAlign w:val="center"/>
            <w:hideMark/>
          </w:tcPr>
          <w:p w14:paraId="007F6A89"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901.541.876</w:t>
            </w:r>
          </w:p>
        </w:tc>
        <w:tc>
          <w:tcPr>
            <w:tcW w:w="323" w:type="dxa"/>
            <w:tcBorders>
              <w:top w:val="nil"/>
              <w:left w:val="nil"/>
              <w:bottom w:val="single" w:sz="8" w:space="0" w:color="auto"/>
              <w:right w:val="single" w:sz="8" w:space="0" w:color="auto"/>
            </w:tcBorders>
            <w:shd w:val="clear" w:color="auto" w:fill="auto"/>
            <w:vAlign w:val="center"/>
            <w:hideMark/>
          </w:tcPr>
          <w:p w14:paraId="3326B5C1"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4</w:t>
            </w:r>
          </w:p>
        </w:tc>
        <w:tc>
          <w:tcPr>
            <w:tcW w:w="505" w:type="dxa"/>
            <w:tcBorders>
              <w:top w:val="nil"/>
              <w:left w:val="nil"/>
              <w:bottom w:val="single" w:sz="8" w:space="0" w:color="auto"/>
              <w:right w:val="single" w:sz="8" w:space="0" w:color="auto"/>
            </w:tcBorders>
            <w:shd w:val="clear" w:color="auto" w:fill="auto"/>
            <w:vAlign w:val="center"/>
            <w:hideMark/>
          </w:tcPr>
          <w:p w14:paraId="6F17787D"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62332</w:t>
            </w:r>
          </w:p>
        </w:tc>
        <w:tc>
          <w:tcPr>
            <w:tcW w:w="4243" w:type="dxa"/>
            <w:tcBorders>
              <w:top w:val="nil"/>
              <w:left w:val="nil"/>
              <w:bottom w:val="single" w:sz="8" w:space="0" w:color="auto"/>
              <w:right w:val="single" w:sz="8" w:space="0" w:color="auto"/>
            </w:tcBorders>
            <w:shd w:val="clear" w:color="auto" w:fill="auto"/>
            <w:vAlign w:val="center"/>
            <w:hideMark/>
          </w:tcPr>
          <w:p w14:paraId="727654C5"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SOL DE LAS CIÉNAGAS S.A.S. E.S.P.</w:t>
            </w:r>
          </w:p>
        </w:tc>
        <w:tc>
          <w:tcPr>
            <w:tcW w:w="1196" w:type="dxa"/>
            <w:tcBorders>
              <w:top w:val="nil"/>
              <w:left w:val="nil"/>
              <w:bottom w:val="single" w:sz="8" w:space="0" w:color="auto"/>
              <w:right w:val="single" w:sz="8" w:space="0" w:color="auto"/>
            </w:tcBorders>
            <w:shd w:val="clear" w:color="auto" w:fill="auto"/>
            <w:vAlign w:val="center"/>
            <w:hideMark/>
          </w:tcPr>
          <w:p w14:paraId="409F0DD1"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30E1D555"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SIN REPORTE AL SUI</w:t>
            </w:r>
          </w:p>
        </w:tc>
      </w:tr>
      <w:tr w:rsidR="00AD4E79" w:rsidRPr="00AD4E79" w14:paraId="5E878A9A"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42A8A94A"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256</w:t>
            </w:r>
          </w:p>
        </w:tc>
        <w:tc>
          <w:tcPr>
            <w:tcW w:w="879" w:type="dxa"/>
            <w:tcBorders>
              <w:top w:val="nil"/>
              <w:left w:val="nil"/>
              <w:bottom w:val="single" w:sz="8" w:space="0" w:color="auto"/>
              <w:right w:val="single" w:sz="8" w:space="0" w:color="auto"/>
            </w:tcBorders>
            <w:shd w:val="clear" w:color="auto" w:fill="auto"/>
            <w:vAlign w:val="center"/>
            <w:hideMark/>
          </w:tcPr>
          <w:p w14:paraId="5B7349A8"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901.543.313</w:t>
            </w:r>
          </w:p>
        </w:tc>
        <w:tc>
          <w:tcPr>
            <w:tcW w:w="323" w:type="dxa"/>
            <w:tcBorders>
              <w:top w:val="nil"/>
              <w:left w:val="nil"/>
              <w:bottom w:val="single" w:sz="8" w:space="0" w:color="auto"/>
              <w:right w:val="single" w:sz="8" w:space="0" w:color="auto"/>
            </w:tcBorders>
            <w:shd w:val="clear" w:color="auto" w:fill="auto"/>
            <w:vAlign w:val="center"/>
            <w:hideMark/>
          </w:tcPr>
          <w:p w14:paraId="70DDA0B3"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w:t>
            </w:r>
          </w:p>
        </w:tc>
        <w:tc>
          <w:tcPr>
            <w:tcW w:w="505" w:type="dxa"/>
            <w:tcBorders>
              <w:top w:val="nil"/>
              <w:left w:val="nil"/>
              <w:bottom w:val="single" w:sz="8" w:space="0" w:color="auto"/>
              <w:right w:val="single" w:sz="8" w:space="0" w:color="auto"/>
            </w:tcBorders>
            <w:shd w:val="clear" w:color="auto" w:fill="auto"/>
            <w:vAlign w:val="center"/>
            <w:hideMark/>
          </w:tcPr>
          <w:p w14:paraId="016AD7BC"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59850</w:t>
            </w:r>
          </w:p>
        </w:tc>
        <w:tc>
          <w:tcPr>
            <w:tcW w:w="4243" w:type="dxa"/>
            <w:tcBorders>
              <w:top w:val="nil"/>
              <w:left w:val="nil"/>
              <w:bottom w:val="single" w:sz="8" w:space="0" w:color="auto"/>
              <w:right w:val="single" w:sz="8" w:space="0" w:color="auto"/>
            </w:tcBorders>
            <w:shd w:val="clear" w:color="auto" w:fill="auto"/>
            <w:vAlign w:val="center"/>
            <w:hideMark/>
          </w:tcPr>
          <w:p w14:paraId="7AE2FF91"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ENERBIT SAS ESP</w:t>
            </w:r>
          </w:p>
        </w:tc>
        <w:tc>
          <w:tcPr>
            <w:tcW w:w="1196" w:type="dxa"/>
            <w:tcBorders>
              <w:top w:val="nil"/>
              <w:left w:val="nil"/>
              <w:bottom w:val="single" w:sz="8" w:space="0" w:color="auto"/>
              <w:right w:val="single" w:sz="8" w:space="0" w:color="auto"/>
            </w:tcBorders>
            <w:shd w:val="clear" w:color="auto" w:fill="auto"/>
            <w:vAlign w:val="center"/>
            <w:hideMark/>
          </w:tcPr>
          <w:p w14:paraId="71734753"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6E8424E0"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4835B619"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10DD1F13"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257</w:t>
            </w:r>
          </w:p>
        </w:tc>
        <w:tc>
          <w:tcPr>
            <w:tcW w:w="879" w:type="dxa"/>
            <w:tcBorders>
              <w:top w:val="nil"/>
              <w:left w:val="nil"/>
              <w:bottom w:val="single" w:sz="8" w:space="0" w:color="auto"/>
              <w:right w:val="single" w:sz="8" w:space="0" w:color="auto"/>
            </w:tcBorders>
            <w:shd w:val="clear" w:color="auto" w:fill="auto"/>
            <w:vAlign w:val="center"/>
            <w:hideMark/>
          </w:tcPr>
          <w:p w14:paraId="0DFDC950"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901.550.602</w:t>
            </w:r>
          </w:p>
        </w:tc>
        <w:tc>
          <w:tcPr>
            <w:tcW w:w="323" w:type="dxa"/>
            <w:tcBorders>
              <w:top w:val="nil"/>
              <w:left w:val="nil"/>
              <w:bottom w:val="single" w:sz="8" w:space="0" w:color="auto"/>
              <w:right w:val="single" w:sz="8" w:space="0" w:color="auto"/>
            </w:tcBorders>
            <w:shd w:val="clear" w:color="auto" w:fill="auto"/>
            <w:vAlign w:val="center"/>
            <w:hideMark/>
          </w:tcPr>
          <w:p w14:paraId="5C20B862"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w:t>
            </w:r>
          </w:p>
        </w:tc>
        <w:tc>
          <w:tcPr>
            <w:tcW w:w="505" w:type="dxa"/>
            <w:tcBorders>
              <w:top w:val="nil"/>
              <w:left w:val="nil"/>
              <w:bottom w:val="single" w:sz="8" w:space="0" w:color="auto"/>
              <w:right w:val="single" w:sz="8" w:space="0" w:color="auto"/>
            </w:tcBorders>
            <w:shd w:val="clear" w:color="auto" w:fill="auto"/>
            <w:vAlign w:val="center"/>
            <w:hideMark/>
          </w:tcPr>
          <w:p w14:paraId="6E4E7BE3"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60870</w:t>
            </w:r>
          </w:p>
        </w:tc>
        <w:tc>
          <w:tcPr>
            <w:tcW w:w="4243" w:type="dxa"/>
            <w:tcBorders>
              <w:top w:val="nil"/>
              <w:left w:val="nil"/>
              <w:bottom w:val="single" w:sz="8" w:space="0" w:color="auto"/>
              <w:right w:val="single" w:sz="8" w:space="0" w:color="auto"/>
            </w:tcBorders>
            <w:shd w:val="clear" w:color="auto" w:fill="auto"/>
            <w:vAlign w:val="center"/>
            <w:hideMark/>
          </w:tcPr>
          <w:p w14:paraId="53F3B012"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COMPAÑÍA INTEGRAL ENERGETICA SAS ESP</w:t>
            </w:r>
          </w:p>
        </w:tc>
        <w:tc>
          <w:tcPr>
            <w:tcW w:w="1196" w:type="dxa"/>
            <w:tcBorders>
              <w:top w:val="nil"/>
              <w:left w:val="nil"/>
              <w:bottom w:val="single" w:sz="8" w:space="0" w:color="auto"/>
              <w:right w:val="single" w:sz="8" w:space="0" w:color="auto"/>
            </w:tcBorders>
            <w:shd w:val="clear" w:color="auto" w:fill="auto"/>
            <w:vAlign w:val="center"/>
            <w:hideMark/>
          </w:tcPr>
          <w:p w14:paraId="46B67F13"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6235E241"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SIN REPORTE AL SUI</w:t>
            </w:r>
          </w:p>
        </w:tc>
      </w:tr>
      <w:tr w:rsidR="00AD4E79" w:rsidRPr="00AD4E79" w14:paraId="495CE5D8"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4F97B8CB"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258</w:t>
            </w:r>
          </w:p>
        </w:tc>
        <w:tc>
          <w:tcPr>
            <w:tcW w:w="879" w:type="dxa"/>
            <w:tcBorders>
              <w:top w:val="nil"/>
              <w:left w:val="nil"/>
              <w:bottom w:val="single" w:sz="8" w:space="0" w:color="auto"/>
              <w:right w:val="single" w:sz="8" w:space="0" w:color="auto"/>
            </w:tcBorders>
            <w:shd w:val="clear" w:color="auto" w:fill="auto"/>
            <w:vAlign w:val="center"/>
            <w:hideMark/>
          </w:tcPr>
          <w:p w14:paraId="0A992A2D"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901.555.235</w:t>
            </w:r>
          </w:p>
        </w:tc>
        <w:tc>
          <w:tcPr>
            <w:tcW w:w="323" w:type="dxa"/>
            <w:tcBorders>
              <w:top w:val="nil"/>
              <w:left w:val="nil"/>
              <w:bottom w:val="single" w:sz="8" w:space="0" w:color="auto"/>
              <w:right w:val="single" w:sz="8" w:space="0" w:color="auto"/>
            </w:tcBorders>
            <w:shd w:val="clear" w:color="auto" w:fill="auto"/>
            <w:vAlign w:val="center"/>
            <w:hideMark/>
          </w:tcPr>
          <w:p w14:paraId="30F3BF70"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4</w:t>
            </w:r>
          </w:p>
        </w:tc>
        <w:tc>
          <w:tcPr>
            <w:tcW w:w="505" w:type="dxa"/>
            <w:tcBorders>
              <w:top w:val="nil"/>
              <w:left w:val="nil"/>
              <w:bottom w:val="single" w:sz="8" w:space="0" w:color="auto"/>
              <w:right w:val="single" w:sz="8" w:space="0" w:color="auto"/>
            </w:tcBorders>
            <w:shd w:val="clear" w:color="auto" w:fill="auto"/>
            <w:vAlign w:val="center"/>
            <w:hideMark/>
          </w:tcPr>
          <w:p w14:paraId="12040348"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62731</w:t>
            </w:r>
          </w:p>
        </w:tc>
        <w:tc>
          <w:tcPr>
            <w:tcW w:w="4243" w:type="dxa"/>
            <w:tcBorders>
              <w:top w:val="nil"/>
              <w:left w:val="nil"/>
              <w:bottom w:val="single" w:sz="8" w:space="0" w:color="auto"/>
              <w:right w:val="single" w:sz="8" w:space="0" w:color="auto"/>
            </w:tcBorders>
            <w:shd w:val="clear" w:color="auto" w:fill="auto"/>
            <w:vAlign w:val="center"/>
            <w:hideMark/>
          </w:tcPr>
          <w:p w14:paraId="3EFEA198"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SPK LA UNIÓN S.A.S. E.S.P.</w:t>
            </w:r>
          </w:p>
        </w:tc>
        <w:tc>
          <w:tcPr>
            <w:tcW w:w="1196" w:type="dxa"/>
            <w:tcBorders>
              <w:top w:val="nil"/>
              <w:left w:val="nil"/>
              <w:bottom w:val="single" w:sz="8" w:space="0" w:color="auto"/>
              <w:right w:val="single" w:sz="8" w:space="0" w:color="auto"/>
            </w:tcBorders>
            <w:shd w:val="clear" w:color="auto" w:fill="auto"/>
            <w:vAlign w:val="center"/>
            <w:hideMark/>
          </w:tcPr>
          <w:p w14:paraId="498A2626"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53E66927"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SIN REPORTE AL SUI</w:t>
            </w:r>
          </w:p>
        </w:tc>
      </w:tr>
      <w:tr w:rsidR="00AD4E79" w:rsidRPr="00AD4E79" w14:paraId="3C6368A7"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0BEA5FCC"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259</w:t>
            </w:r>
          </w:p>
        </w:tc>
        <w:tc>
          <w:tcPr>
            <w:tcW w:w="879" w:type="dxa"/>
            <w:tcBorders>
              <w:top w:val="nil"/>
              <w:left w:val="nil"/>
              <w:bottom w:val="single" w:sz="8" w:space="0" w:color="auto"/>
              <w:right w:val="single" w:sz="8" w:space="0" w:color="auto"/>
            </w:tcBorders>
            <w:shd w:val="clear" w:color="auto" w:fill="auto"/>
            <w:vAlign w:val="center"/>
            <w:hideMark/>
          </w:tcPr>
          <w:p w14:paraId="3969BDCC"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901.555.240</w:t>
            </w:r>
          </w:p>
        </w:tc>
        <w:tc>
          <w:tcPr>
            <w:tcW w:w="323" w:type="dxa"/>
            <w:tcBorders>
              <w:top w:val="nil"/>
              <w:left w:val="nil"/>
              <w:bottom w:val="single" w:sz="8" w:space="0" w:color="auto"/>
              <w:right w:val="single" w:sz="8" w:space="0" w:color="auto"/>
            </w:tcBorders>
            <w:shd w:val="clear" w:color="auto" w:fill="auto"/>
            <w:vAlign w:val="center"/>
            <w:hideMark/>
          </w:tcPr>
          <w:p w14:paraId="28A306CA"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w:t>
            </w:r>
          </w:p>
        </w:tc>
        <w:tc>
          <w:tcPr>
            <w:tcW w:w="505" w:type="dxa"/>
            <w:tcBorders>
              <w:top w:val="nil"/>
              <w:left w:val="nil"/>
              <w:bottom w:val="single" w:sz="8" w:space="0" w:color="auto"/>
              <w:right w:val="single" w:sz="8" w:space="0" w:color="auto"/>
            </w:tcBorders>
            <w:shd w:val="clear" w:color="auto" w:fill="auto"/>
            <w:vAlign w:val="center"/>
            <w:hideMark/>
          </w:tcPr>
          <w:p w14:paraId="11483865"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62730</w:t>
            </w:r>
          </w:p>
        </w:tc>
        <w:tc>
          <w:tcPr>
            <w:tcW w:w="4243" w:type="dxa"/>
            <w:tcBorders>
              <w:top w:val="nil"/>
              <w:left w:val="nil"/>
              <w:bottom w:val="single" w:sz="8" w:space="0" w:color="auto"/>
              <w:right w:val="single" w:sz="8" w:space="0" w:color="auto"/>
            </w:tcBorders>
            <w:shd w:val="clear" w:color="auto" w:fill="auto"/>
            <w:vAlign w:val="center"/>
            <w:hideMark/>
          </w:tcPr>
          <w:p w14:paraId="1AA83956"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SPK LA MATA SAS ESP</w:t>
            </w:r>
          </w:p>
        </w:tc>
        <w:tc>
          <w:tcPr>
            <w:tcW w:w="1196" w:type="dxa"/>
            <w:tcBorders>
              <w:top w:val="nil"/>
              <w:left w:val="nil"/>
              <w:bottom w:val="single" w:sz="8" w:space="0" w:color="auto"/>
              <w:right w:val="single" w:sz="8" w:space="0" w:color="auto"/>
            </w:tcBorders>
            <w:shd w:val="clear" w:color="auto" w:fill="auto"/>
            <w:vAlign w:val="center"/>
            <w:hideMark/>
          </w:tcPr>
          <w:p w14:paraId="42AC4606"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66072D58"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SIN REPORTE AL SUI</w:t>
            </w:r>
          </w:p>
        </w:tc>
      </w:tr>
      <w:tr w:rsidR="00AD4E79" w:rsidRPr="00AD4E79" w14:paraId="28714394"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4CB2A6C8"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260</w:t>
            </w:r>
          </w:p>
        </w:tc>
        <w:tc>
          <w:tcPr>
            <w:tcW w:w="879" w:type="dxa"/>
            <w:tcBorders>
              <w:top w:val="nil"/>
              <w:left w:val="nil"/>
              <w:bottom w:val="single" w:sz="8" w:space="0" w:color="auto"/>
              <w:right w:val="single" w:sz="8" w:space="0" w:color="auto"/>
            </w:tcBorders>
            <w:shd w:val="clear" w:color="auto" w:fill="auto"/>
            <w:vAlign w:val="center"/>
            <w:hideMark/>
          </w:tcPr>
          <w:p w14:paraId="7CB537DF"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901.562.653</w:t>
            </w:r>
          </w:p>
        </w:tc>
        <w:tc>
          <w:tcPr>
            <w:tcW w:w="323" w:type="dxa"/>
            <w:tcBorders>
              <w:top w:val="nil"/>
              <w:left w:val="nil"/>
              <w:bottom w:val="single" w:sz="8" w:space="0" w:color="auto"/>
              <w:right w:val="single" w:sz="8" w:space="0" w:color="auto"/>
            </w:tcBorders>
            <w:shd w:val="clear" w:color="auto" w:fill="auto"/>
            <w:vAlign w:val="center"/>
            <w:hideMark/>
          </w:tcPr>
          <w:p w14:paraId="4F2D5175"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w:t>
            </w:r>
          </w:p>
        </w:tc>
        <w:tc>
          <w:tcPr>
            <w:tcW w:w="505" w:type="dxa"/>
            <w:tcBorders>
              <w:top w:val="nil"/>
              <w:left w:val="nil"/>
              <w:bottom w:val="single" w:sz="8" w:space="0" w:color="auto"/>
              <w:right w:val="single" w:sz="8" w:space="0" w:color="auto"/>
            </w:tcBorders>
            <w:shd w:val="clear" w:color="auto" w:fill="auto"/>
            <w:vAlign w:val="center"/>
            <w:hideMark/>
          </w:tcPr>
          <w:p w14:paraId="189AE1A1"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60990</w:t>
            </w:r>
          </w:p>
        </w:tc>
        <w:tc>
          <w:tcPr>
            <w:tcW w:w="4243" w:type="dxa"/>
            <w:tcBorders>
              <w:top w:val="nil"/>
              <w:left w:val="nil"/>
              <w:bottom w:val="single" w:sz="8" w:space="0" w:color="auto"/>
              <w:right w:val="single" w:sz="8" w:space="0" w:color="auto"/>
            </w:tcBorders>
            <w:shd w:val="clear" w:color="auto" w:fill="auto"/>
            <w:vAlign w:val="center"/>
            <w:hideMark/>
          </w:tcPr>
          <w:p w14:paraId="08CE9517"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SOL &amp; CIELO ENERGIA SAS ESP</w:t>
            </w:r>
          </w:p>
        </w:tc>
        <w:tc>
          <w:tcPr>
            <w:tcW w:w="1196" w:type="dxa"/>
            <w:tcBorders>
              <w:top w:val="nil"/>
              <w:left w:val="nil"/>
              <w:bottom w:val="single" w:sz="8" w:space="0" w:color="auto"/>
              <w:right w:val="single" w:sz="8" w:space="0" w:color="auto"/>
            </w:tcBorders>
            <w:shd w:val="clear" w:color="auto" w:fill="auto"/>
            <w:vAlign w:val="center"/>
            <w:hideMark/>
          </w:tcPr>
          <w:p w14:paraId="783A3E49"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6D7479CB"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SIN REPORTE AL SUI</w:t>
            </w:r>
          </w:p>
        </w:tc>
      </w:tr>
      <w:tr w:rsidR="00AD4E79" w:rsidRPr="00AD4E79" w14:paraId="13B6FB51" w14:textId="77777777" w:rsidTr="00AD4E79">
        <w:trPr>
          <w:trHeight w:val="279"/>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1C3A4EB9"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261</w:t>
            </w:r>
          </w:p>
        </w:tc>
        <w:tc>
          <w:tcPr>
            <w:tcW w:w="879" w:type="dxa"/>
            <w:tcBorders>
              <w:top w:val="nil"/>
              <w:left w:val="nil"/>
              <w:bottom w:val="single" w:sz="8" w:space="0" w:color="auto"/>
              <w:right w:val="single" w:sz="8" w:space="0" w:color="auto"/>
            </w:tcBorders>
            <w:shd w:val="clear" w:color="auto" w:fill="auto"/>
            <w:vAlign w:val="center"/>
            <w:hideMark/>
          </w:tcPr>
          <w:p w14:paraId="03EACD67"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901.574.072</w:t>
            </w:r>
          </w:p>
        </w:tc>
        <w:tc>
          <w:tcPr>
            <w:tcW w:w="323" w:type="dxa"/>
            <w:tcBorders>
              <w:top w:val="nil"/>
              <w:left w:val="nil"/>
              <w:bottom w:val="single" w:sz="8" w:space="0" w:color="auto"/>
              <w:right w:val="single" w:sz="8" w:space="0" w:color="auto"/>
            </w:tcBorders>
            <w:shd w:val="clear" w:color="auto" w:fill="auto"/>
            <w:vAlign w:val="center"/>
            <w:hideMark/>
          </w:tcPr>
          <w:p w14:paraId="61D692C0"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w:t>
            </w:r>
          </w:p>
        </w:tc>
        <w:tc>
          <w:tcPr>
            <w:tcW w:w="505" w:type="dxa"/>
            <w:tcBorders>
              <w:top w:val="nil"/>
              <w:left w:val="nil"/>
              <w:bottom w:val="single" w:sz="8" w:space="0" w:color="auto"/>
              <w:right w:val="single" w:sz="8" w:space="0" w:color="auto"/>
            </w:tcBorders>
            <w:shd w:val="clear" w:color="auto" w:fill="auto"/>
            <w:vAlign w:val="center"/>
            <w:hideMark/>
          </w:tcPr>
          <w:p w14:paraId="7FC8C1A3"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61291</w:t>
            </w:r>
          </w:p>
        </w:tc>
        <w:tc>
          <w:tcPr>
            <w:tcW w:w="4243" w:type="dxa"/>
            <w:tcBorders>
              <w:top w:val="nil"/>
              <w:left w:val="nil"/>
              <w:bottom w:val="single" w:sz="8" w:space="0" w:color="auto"/>
              <w:right w:val="single" w:sz="8" w:space="0" w:color="auto"/>
            </w:tcBorders>
            <w:shd w:val="clear" w:color="auto" w:fill="auto"/>
            <w:vAlign w:val="center"/>
            <w:hideMark/>
          </w:tcPr>
          <w:p w14:paraId="53B98E03" w14:textId="0591F372"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BTG PACTUAL COMERCIALIZADORA DE ENERGIA S.A.S. E.S.P.</w:t>
            </w:r>
          </w:p>
        </w:tc>
        <w:tc>
          <w:tcPr>
            <w:tcW w:w="1196" w:type="dxa"/>
            <w:tcBorders>
              <w:top w:val="nil"/>
              <w:left w:val="nil"/>
              <w:bottom w:val="single" w:sz="8" w:space="0" w:color="auto"/>
              <w:right w:val="single" w:sz="8" w:space="0" w:color="auto"/>
            </w:tcBorders>
            <w:shd w:val="clear" w:color="auto" w:fill="auto"/>
            <w:vAlign w:val="center"/>
            <w:hideMark/>
          </w:tcPr>
          <w:p w14:paraId="1089F66A"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17BEF483"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0616D3D5"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6DD40EF7"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262</w:t>
            </w:r>
          </w:p>
        </w:tc>
        <w:tc>
          <w:tcPr>
            <w:tcW w:w="879" w:type="dxa"/>
            <w:tcBorders>
              <w:top w:val="nil"/>
              <w:left w:val="nil"/>
              <w:bottom w:val="single" w:sz="8" w:space="0" w:color="auto"/>
              <w:right w:val="single" w:sz="8" w:space="0" w:color="auto"/>
            </w:tcBorders>
            <w:shd w:val="clear" w:color="auto" w:fill="auto"/>
            <w:vAlign w:val="center"/>
            <w:hideMark/>
          </w:tcPr>
          <w:p w14:paraId="7B4F10F0"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901.588.412</w:t>
            </w:r>
          </w:p>
        </w:tc>
        <w:tc>
          <w:tcPr>
            <w:tcW w:w="323" w:type="dxa"/>
            <w:tcBorders>
              <w:top w:val="nil"/>
              <w:left w:val="nil"/>
              <w:bottom w:val="single" w:sz="8" w:space="0" w:color="auto"/>
              <w:right w:val="single" w:sz="8" w:space="0" w:color="auto"/>
            </w:tcBorders>
            <w:shd w:val="clear" w:color="auto" w:fill="auto"/>
            <w:vAlign w:val="center"/>
            <w:hideMark/>
          </w:tcPr>
          <w:p w14:paraId="2349C718"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3</w:t>
            </w:r>
          </w:p>
        </w:tc>
        <w:tc>
          <w:tcPr>
            <w:tcW w:w="505" w:type="dxa"/>
            <w:tcBorders>
              <w:top w:val="nil"/>
              <w:left w:val="nil"/>
              <w:bottom w:val="single" w:sz="8" w:space="0" w:color="auto"/>
              <w:right w:val="single" w:sz="8" w:space="0" w:color="auto"/>
            </w:tcBorders>
            <w:shd w:val="clear" w:color="auto" w:fill="auto"/>
            <w:vAlign w:val="center"/>
            <w:hideMark/>
          </w:tcPr>
          <w:p w14:paraId="60679997"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62371</w:t>
            </w:r>
          </w:p>
        </w:tc>
        <w:tc>
          <w:tcPr>
            <w:tcW w:w="4243" w:type="dxa"/>
            <w:tcBorders>
              <w:top w:val="nil"/>
              <w:left w:val="nil"/>
              <w:bottom w:val="single" w:sz="8" w:space="0" w:color="auto"/>
              <w:right w:val="single" w:sz="8" w:space="0" w:color="auto"/>
            </w:tcBorders>
            <w:shd w:val="clear" w:color="auto" w:fill="auto"/>
            <w:vAlign w:val="center"/>
            <w:hideMark/>
          </w:tcPr>
          <w:p w14:paraId="017C26B4"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BIA ENERGY SAS ESP</w:t>
            </w:r>
          </w:p>
        </w:tc>
        <w:tc>
          <w:tcPr>
            <w:tcW w:w="1196" w:type="dxa"/>
            <w:tcBorders>
              <w:top w:val="nil"/>
              <w:left w:val="nil"/>
              <w:bottom w:val="single" w:sz="8" w:space="0" w:color="auto"/>
              <w:right w:val="single" w:sz="8" w:space="0" w:color="auto"/>
            </w:tcBorders>
            <w:shd w:val="clear" w:color="auto" w:fill="auto"/>
            <w:vAlign w:val="center"/>
            <w:hideMark/>
          </w:tcPr>
          <w:p w14:paraId="12E569A3"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06124612"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3EB7B4D3"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34C93F73"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263</w:t>
            </w:r>
          </w:p>
        </w:tc>
        <w:tc>
          <w:tcPr>
            <w:tcW w:w="879" w:type="dxa"/>
            <w:tcBorders>
              <w:top w:val="nil"/>
              <w:left w:val="nil"/>
              <w:bottom w:val="single" w:sz="8" w:space="0" w:color="auto"/>
              <w:right w:val="single" w:sz="8" w:space="0" w:color="auto"/>
            </w:tcBorders>
            <w:shd w:val="clear" w:color="auto" w:fill="auto"/>
            <w:vAlign w:val="center"/>
            <w:hideMark/>
          </w:tcPr>
          <w:p w14:paraId="2793EF4A"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901.601.851</w:t>
            </w:r>
          </w:p>
        </w:tc>
        <w:tc>
          <w:tcPr>
            <w:tcW w:w="323" w:type="dxa"/>
            <w:tcBorders>
              <w:top w:val="nil"/>
              <w:left w:val="nil"/>
              <w:bottom w:val="single" w:sz="8" w:space="0" w:color="auto"/>
              <w:right w:val="single" w:sz="8" w:space="0" w:color="auto"/>
            </w:tcBorders>
            <w:shd w:val="clear" w:color="auto" w:fill="auto"/>
            <w:vAlign w:val="center"/>
            <w:hideMark/>
          </w:tcPr>
          <w:p w14:paraId="714FB72B"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w:t>
            </w:r>
          </w:p>
        </w:tc>
        <w:tc>
          <w:tcPr>
            <w:tcW w:w="505" w:type="dxa"/>
            <w:tcBorders>
              <w:top w:val="nil"/>
              <w:left w:val="nil"/>
              <w:bottom w:val="single" w:sz="8" w:space="0" w:color="auto"/>
              <w:right w:val="single" w:sz="8" w:space="0" w:color="auto"/>
            </w:tcBorders>
            <w:shd w:val="clear" w:color="auto" w:fill="auto"/>
            <w:vAlign w:val="center"/>
            <w:hideMark/>
          </w:tcPr>
          <w:p w14:paraId="1A32E78B"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62970</w:t>
            </w:r>
          </w:p>
        </w:tc>
        <w:tc>
          <w:tcPr>
            <w:tcW w:w="4243" w:type="dxa"/>
            <w:tcBorders>
              <w:top w:val="nil"/>
              <w:left w:val="nil"/>
              <w:bottom w:val="single" w:sz="8" w:space="0" w:color="auto"/>
              <w:right w:val="single" w:sz="8" w:space="0" w:color="auto"/>
            </w:tcBorders>
            <w:shd w:val="clear" w:color="auto" w:fill="auto"/>
            <w:vAlign w:val="center"/>
            <w:hideMark/>
          </w:tcPr>
          <w:p w14:paraId="2DE9858E"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ENERGIA Y GAS DE COLOMBIA SAS ESP</w:t>
            </w:r>
          </w:p>
        </w:tc>
        <w:tc>
          <w:tcPr>
            <w:tcW w:w="1196" w:type="dxa"/>
            <w:tcBorders>
              <w:top w:val="nil"/>
              <w:left w:val="nil"/>
              <w:bottom w:val="single" w:sz="8" w:space="0" w:color="auto"/>
              <w:right w:val="single" w:sz="8" w:space="0" w:color="auto"/>
            </w:tcBorders>
            <w:shd w:val="clear" w:color="auto" w:fill="auto"/>
            <w:vAlign w:val="center"/>
            <w:hideMark/>
          </w:tcPr>
          <w:p w14:paraId="72B56C0E"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34FF3C43"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14B508D3"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28A0DE5E"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264</w:t>
            </w:r>
          </w:p>
        </w:tc>
        <w:tc>
          <w:tcPr>
            <w:tcW w:w="879" w:type="dxa"/>
            <w:tcBorders>
              <w:top w:val="nil"/>
              <w:left w:val="nil"/>
              <w:bottom w:val="single" w:sz="8" w:space="0" w:color="auto"/>
              <w:right w:val="single" w:sz="8" w:space="0" w:color="auto"/>
            </w:tcBorders>
            <w:shd w:val="clear" w:color="auto" w:fill="auto"/>
            <w:vAlign w:val="center"/>
            <w:hideMark/>
          </w:tcPr>
          <w:p w14:paraId="3E7F7C36"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901.624.255</w:t>
            </w:r>
          </w:p>
        </w:tc>
        <w:tc>
          <w:tcPr>
            <w:tcW w:w="323" w:type="dxa"/>
            <w:tcBorders>
              <w:top w:val="nil"/>
              <w:left w:val="nil"/>
              <w:bottom w:val="single" w:sz="8" w:space="0" w:color="auto"/>
              <w:right w:val="single" w:sz="8" w:space="0" w:color="auto"/>
            </w:tcBorders>
            <w:shd w:val="clear" w:color="auto" w:fill="auto"/>
            <w:vAlign w:val="center"/>
            <w:hideMark/>
          </w:tcPr>
          <w:p w14:paraId="3BCD0912"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w:t>
            </w:r>
          </w:p>
        </w:tc>
        <w:tc>
          <w:tcPr>
            <w:tcW w:w="505" w:type="dxa"/>
            <w:tcBorders>
              <w:top w:val="nil"/>
              <w:left w:val="nil"/>
              <w:bottom w:val="single" w:sz="8" w:space="0" w:color="auto"/>
              <w:right w:val="single" w:sz="8" w:space="0" w:color="auto"/>
            </w:tcBorders>
            <w:shd w:val="clear" w:color="auto" w:fill="auto"/>
            <w:vAlign w:val="center"/>
            <w:hideMark/>
          </w:tcPr>
          <w:p w14:paraId="43E1CF21"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63694</w:t>
            </w:r>
          </w:p>
        </w:tc>
        <w:tc>
          <w:tcPr>
            <w:tcW w:w="4243" w:type="dxa"/>
            <w:tcBorders>
              <w:top w:val="nil"/>
              <w:left w:val="nil"/>
              <w:bottom w:val="single" w:sz="8" w:space="0" w:color="auto"/>
              <w:right w:val="single" w:sz="8" w:space="0" w:color="auto"/>
            </w:tcBorders>
            <w:shd w:val="clear" w:color="auto" w:fill="auto"/>
            <w:vAlign w:val="center"/>
            <w:hideMark/>
          </w:tcPr>
          <w:p w14:paraId="48D40BCA" w14:textId="77777777" w:rsidR="006E3CAD" w:rsidRPr="00AD4E79" w:rsidRDefault="006E3CAD"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DRUMMOND POWER SAS ESP</w:t>
            </w:r>
          </w:p>
        </w:tc>
        <w:tc>
          <w:tcPr>
            <w:tcW w:w="1196" w:type="dxa"/>
            <w:tcBorders>
              <w:top w:val="nil"/>
              <w:left w:val="nil"/>
              <w:bottom w:val="single" w:sz="8" w:space="0" w:color="auto"/>
              <w:right w:val="single" w:sz="8" w:space="0" w:color="auto"/>
            </w:tcBorders>
            <w:shd w:val="clear" w:color="auto" w:fill="auto"/>
            <w:vAlign w:val="center"/>
            <w:hideMark/>
          </w:tcPr>
          <w:p w14:paraId="09D52651"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260" w:type="dxa"/>
            <w:tcBorders>
              <w:top w:val="nil"/>
              <w:left w:val="nil"/>
              <w:bottom w:val="single" w:sz="8" w:space="0" w:color="auto"/>
              <w:right w:val="single" w:sz="8" w:space="0" w:color="auto"/>
            </w:tcBorders>
            <w:shd w:val="clear" w:color="auto" w:fill="auto"/>
            <w:noWrap/>
            <w:vAlign w:val="center"/>
            <w:hideMark/>
          </w:tcPr>
          <w:p w14:paraId="512BB469" w14:textId="77777777" w:rsidR="006E3CAD" w:rsidRPr="00AD4E79" w:rsidRDefault="006E3CAD"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bl>
    <w:p w14:paraId="17010318" w14:textId="1CE06598" w:rsidR="006E3CAD" w:rsidRDefault="006E3CAD" w:rsidP="00D22441">
      <w:pPr>
        <w:pStyle w:val="Textoindependiente"/>
        <w:spacing w:after="0" w:line="240" w:lineRule="auto"/>
        <w:ind w:right="142"/>
        <w:rPr>
          <w:rFonts w:cs="Arial"/>
          <w:sz w:val="22"/>
          <w:szCs w:val="22"/>
        </w:rPr>
      </w:pPr>
    </w:p>
    <w:p w14:paraId="247A8AA2" w14:textId="3B254C56" w:rsidR="00262AA6" w:rsidRPr="0085721C" w:rsidRDefault="00262AA6" w:rsidP="00D22441">
      <w:pPr>
        <w:pStyle w:val="Subttulo"/>
        <w:numPr>
          <w:ilvl w:val="1"/>
          <w:numId w:val="37"/>
        </w:numPr>
        <w:spacing w:after="0"/>
        <w:ind w:left="357" w:hanging="357"/>
        <w:jc w:val="left"/>
        <w:rPr>
          <w:b/>
          <w:bCs/>
          <w:sz w:val="22"/>
          <w:szCs w:val="22"/>
        </w:rPr>
      </w:pPr>
      <w:bookmarkStart w:id="67" w:name="_Toc147154318"/>
      <w:r>
        <w:rPr>
          <w:b/>
          <w:bCs/>
          <w:sz w:val="22"/>
          <w:szCs w:val="22"/>
        </w:rPr>
        <w:t>PRESTADORES</w:t>
      </w:r>
      <w:r w:rsidRPr="0085721C">
        <w:rPr>
          <w:b/>
          <w:bCs/>
          <w:sz w:val="22"/>
          <w:szCs w:val="22"/>
        </w:rPr>
        <w:t xml:space="preserve"> </w:t>
      </w:r>
      <w:r>
        <w:rPr>
          <w:b/>
          <w:bCs/>
          <w:sz w:val="22"/>
          <w:szCs w:val="22"/>
        </w:rPr>
        <w:t xml:space="preserve">SERVICIO DE ENERGÍA Y </w:t>
      </w:r>
      <w:r w:rsidR="006E3CAD">
        <w:rPr>
          <w:b/>
          <w:bCs/>
          <w:sz w:val="22"/>
          <w:szCs w:val="22"/>
        </w:rPr>
        <w:t>GAS</w:t>
      </w:r>
      <w:r>
        <w:rPr>
          <w:b/>
          <w:bCs/>
          <w:sz w:val="22"/>
          <w:szCs w:val="22"/>
        </w:rPr>
        <w:t>.</w:t>
      </w:r>
      <w:bookmarkEnd w:id="67"/>
    </w:p>
    <w:p w14:paraId="0C253EF3" w14:textId="77777777" w:rsidR="00262AA6" w:rsidRDefault="00262AA6" w:rsidP="00D22441">
      <w:pPr>
        <w:pStyle w:val="Textoindependiente"/>
        <w:spacing w:after="0" w:line="240" w:lineRule="auto"/>
        <w:rPr>
          <w:rFonts w:cs="Arial"/>
          <w:color w:val="FF0000"/>
          <w:sz w:val="22"/>
          <w:szCs w:val="22"/>
        </w:rPr>
      </w:pPr>
    </w:p>
    <w:p w14:paraId="0BEC9871" w14:textId="1838774B" w:rsidR="00262AA6" w:rsidRDefault="00262AA6" w:rsidP="00D22441">
      <w:pPr>
        <w:pStyle w:val="Textoindependiente"/>
        <w:spacing w:after="0" w:line="240" w:lineRule="auto"/>
        <w:ind w:right="142"/>
        <w:rPr>
          <w:rFonts w:cs="Arial"/>
          <w:sz w:val="22"/>
          <w:szCs w:val="22"/>
        </w:rPr>
      </w:pPr>
      <w:bookmarkStart w:id="68" w:name="_Hlk143261513"/>
      <w:r>
        <w:rPr>
          <w:rFonts w:cs="Arial"/>
          <w:sz w:val="22"/>
          <w:szCs w:val="22"/>
        </w:rPr>
        <w:t xml:space="preserve">Conforme al censo de regulados de la CREG, base </w:t>
      </w:r>
      <w:r w:rsidRPr="00BE7DAF">
        <w:rPr>
          <w:rFonts w:cs="Arial"/>
          <w:sz w:val="22"/>
          <w:szCs w:val="22"/>
        </w:rPr>
        <w:t xml:space="preserve">para </w:t>
      </w:r>
      <w:r>
        <w:rPr>
          <w:rFonts w:cs="Arial"/>
          <w:sz w:val="22"/>
          <w:szCs w:val="22"/>
        </w:rPr>
        <w:t xml:space="preserve">realizar </w:t>
      </w:r>
      <w:r w:rsidRPr="00BE7DAF">
        <w:rPr>
          <w:rFonts w:cs="Arial"/>
          <w:sz w:val="22"/>
          <w:szCs w:val="22"/>
        </w:rPr>
        <w:t>el cálculo de la contribución de la vigencia 20</w:t>
      </w:r>
      <w:r>
        <w:rPr>
          <w:rFonts w:cs="Arial"/>
          <w:sz w:val="22"/>
          <w:szCs w:val="22"/>
        </w:rPr>
        <w:t xml:space="preserve">23, se determinaron 13 prestadores del servicio de energía y gas, los cuales se relacionan a continuación ordenados por el número de su NIT, </w:t>
      </w:r>
      <w:r w:rsidR="00BA4161">
        <w:rPr>
          <w:rFonts w:cs="Arial"/>
          <w:sz w:val="22"/>
          <w:szCs w:val="22"/>
        </w:rPr>
        <w:t xml:space="preserve">con </w:t>
      </w:r>
      <w:r>
        <w:rPr>
          <w:rFonts w:cs="Arial"/>
          <w:sz w:val="22"/>
          <w:szCs w:val="22"/>
        </w:rPr>
        <w:t>su estado de reporte al SUI-SSPD con corte al 12 de julio de 2023:</w:t>
      </w:r>
    </w:p>
    <w:p w14:paraId="39C7CF96" w14:textId="77777777" w:rsidR="00FD7384" w:rsidRDefault="00FD7384" w:rsidP="00D22441">
      <w:pPr>
        <w:pStyle w:val="Textoindependiente"/>
        <w:spacing w:after="0" w:line="240" w:lineRule="auto"/>
        <w:ind w:right="142"/>
        <w:rPr>
          <w:rFonts w:cs="Arial"/>
          <w:sz w:val="22"/>
          <w:szCs w:val="22"/>
        </w:rPr>
      </w:pPr>
    </w:p>
    <w:p w14:paraId="6E86AFBA" w14:textId="383675A5" w:rsidR="00FD7384" w:rsidRPr="00B24EC3" w:rsidRDefault="00FD7384" w:rsidP="00FD7384">
      <w:pPr>
        <w:pStyle w:val="Descripcin"/>
        <w:rPr>
          <w:i w:val="0"/>
          <w:iCs w:val="0"/>
          <w:color w:val="auto"/>
        </w:rPr>
      </w:pPr>
      <w:bookmarkStart w:id="69" w:name="_Toc145486439"/>
      <w:r w:rsidRPr="002C4392">
        <w:rPr>
          <w:i w:val="0"/>
          <w:iCs w:val="0"/>
          <w:color w:val="auto"/>
        </w:rPr>
        <w:t xml:space="preserve">Tabla </w:t>
      </w:r>
      <w:r w:rsidRPr="002C4392">
        <w:rPr>
          <w:i w:val="0"/>
          <w:iCs w:val="0"/>
          <w:color w:val="auto"/>
        </w:rPr>
        <w:fldChar w:fldCharType="begin"/>
      </w:r>
      <w:r w:rsidRPr="002C4392">
        <w:rPr>
          <w:i w:val="0"/>
          <w:iCs w:val="0"/>
          <w:color w:val="auto"/>
        </w:rPr>
        <w:instrText xml:space="preserve"> SEQ Tabla \* ARABIC </w:instrText>
      </w:r>
      <w:r w:rsidRPr="002C4392">
        <w:rPr>
          <w:i w:val="0"/>
          <w:iCs w:val="0"/>
          <w:color w:val="auto"/>
        </w:rPr>
        <w:fldChar w:fldCharType="separate"/>
      </w:r>
      <w:r w:rsidR="00EA25FF">
        <w:rPr>
          <w:i w:val="0"/>
          <w:iCs w:val="0"/>
          <w:noProof/>
          <w:color w:val="auto"/>
        </w:rPr>
        <w:t>13</w:t>
      </w:r>
      <w:r w:rsidRPr="002C4392">
        <w:rPr>
          <w:i w:val="0"/>
          <w:iCs w:val="0"/>
          <w:color w:val="auto"/>
        </w:rPr>
        <w:fldChar w:fldCharType="end"/>
      </w:r>
      <w:r w:rsidRPr="002C4392">
        <w:rPr>
          <w:i w:val="0"/>
          <w:iCs w:val="0"/>
          <w:color w:val="auto"/>
        </w:rPr>
        <w:t xml:space="preserve">. </w:t>
      </w:r>
      <w:r>
        <w:rPr>
          <w:i w:val="0"/>
          <w:iCs w:val="0"/>
          <w:color w:val="auto"/>
        </w:rPr>
        <w:t>Estado de reporte SUI información financiera 2022 prestadores servicio de energía y gas.</w:t>
      </w:r>
      <w:bookmarkEnd w:id="69"/>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7"/>
        <w:gridCol w:w="943"/>
        <w:gridCol w:w="396"/>
        <w:gridCol w:w="578"/>
        <w:gridCol w:w="3647"/>
        <w:gridCol w:w="1134"/>
        <w:gridCol w:w="2409"/>
      </w:tblGrid>
      <w:tr w:rsidR="00AD4E79" w:rsidRPr="00AD4E79" w14:paraId="06560D56" w14:textId="77777777" w:rsidTr="00AD4E79">
        <w:trPr>
          <w:trHeight w:val="477"/>
          <w:tblHeader/>
        </w:trPr>
        <w:tc>
          <w:tcPr>
            <w:tcW w:w="527" w:type="dxa"/>
            <w:shd w:val="clear" w:color="auto" w:fill="auto"/>
            <w:vAlign w:val="center"/>
            <w:hideMark/>
          </w:tcPr>
          <w:bookmarkEnd w:id="68"/>
          <w:p w14:paraId="4DFD26EB" w14:textId="77777777" w:rsidR="006E3CAD" w:rsidRPr="00AD4E79" w:rsidRDefault="006E3CAD" w:rsidP="00D22441">
            <w:pPr>
              <w:jc w:val="center"/>
              <w:rPr>
                <w:rFonts w:ascii="Arial Narrow" w:hAnsi="Arial Narrow" w:cs="Arial"/>
                <w:b/>
                <w:bCs/>
                <w:spacing w:val="0"/>
                <w:sz w:val="16"/>
                <w:szCs w:val="16"/>
                <w:lang w:val="es-MX" w:eastAsia="es-MX"/>
              </w:rPr>
            </w:pPr>
            <w:r w:rsidRPr="00AD4E79">
              <w:rPr>
                <w:rFonts w:ascii="Arial Narrow" w:hAnsi="Arial Narrow" w:cs="Arial"/>
                <w:b/>
                <w:bCs/>
                <w:spacing w:val="0"/>
                <w:sz w:val="16"/>
                <w:szCs w:val="16"/>
                <w:lang w:val="es-MX" w:eastAsia="es-MX"/>
              </w:rPr>
              <w:t>ITEM</w:t>
            </w:r>
          </w:p>
        </w:tc>
        <w:tc>
          <w:tcPr>
            <w:tcW w:w="943" w:type="dxa"/>
            <w:shd w:val="clear" w:color="auto" w:fill="auto"/>
            <w:vAlign w:val="center"/>
            <w:hideMark/>
          </w:tcPr>
          <w:p w14:paraId="03CAE7C2" w14:textId="77777777" w:rsidR="006E3CAD" w:rsidRPr="00AD4E79" w:rsidRDefault="006E3CAD" w:rsidP="00D22441">
            <w:pPr>
              <w:jc w:val="center"/>
              <w:rPr>
                <w:rFonts w:ascii="Arial Narrow" w:hAnsi="Arial Narrow" w:cs="Arial"/>
                <w:b/>
                <w:bCs/>
                <w:spacing w:val="0"/>
                <w:sz w:val="16"/>
                <w:szCs w:val="16"/>
                <w:lang w:val="es-MX" w:eastAsia="es-MX"/>
              </w:rPr>
            </w:pPr>
            <w:r w:rsidRPr="00AD4E79">
              <w:rPr>
                <w:rFonts w:ascii="Arial Narrow" w:hAnsi="Arial Narrow" w:cs="Arial"/>
                <w:b/>
                <w:bCs/>
                <w:spacing w:val="0"/>
                <w:sz w:val="16"/>
                <w:szCs w:val="16"/>
                <w:lang w:val="es-MX" w:eastAsia="es-MX"/>
              </w:rPr>
              <w:t>NIT</w:t>
            </w:r>
          </w:p>
        </w:tc>
        <w:tc>
          <w:tcPr>
            <w:tcW w:w="396" w:type="dxa"/>
            <w:shd w:val="clear" w:color="auto" w:fill="auto"/>
            <w:vAlign w:val="center"/>
            <w:hideMark/>
          </w:tcPr>
          <w:p w14:paraId="1A299D8C" w14:textId="77777777" w:rsidR="006E3CAD" w:rsidRPr="00AD4E79" w:rsidRDefault="006E3CAD" w:rsidP="00D22441">
            <w:pPr>
              <w:jc w:val="center"/>
              <w:rPr>
                <w:rFonts w:ascii="Arial Narrow" w:hAnsi="Arial Narrow" w:cs="Arial"/>
                <w:b/>
                <w:bCs/>
                <w:spacing w:val="0"/>
                <w:sz w:val="16"/>
                <w:szCs w:val="16"/>
                <w:lang w:val="es-MX" w:eastAsia="es-MX"/>
              </w:rPr>
            </w:pPr>
            <w:r w:rsidRPr="00AD4E79">
              <w:rPr>
                <w:rFonts w:ascii="Arial Narrow" w:hAnsi="Arial Narrow" w:cs="Arial"/>
                <w:b/>
                <w:bCs/>
                <w:spacing w:val="0"/>
                <w:sz w:val="16"/>
                <w:szCs w:val="16"/>
                <w:lang w:val="es-MX" w:eastAsia="es-MX"/>
              </w:rPr>
              <w:t>DV</w:t>
            </w:r>
          </w:p>
        </w:tc>
        <w:tc>
          <w:tcPr>
            <w:tcW w:w="578" w:type="dxa"/>
            <w:shd w:val="clear" w:color="auto" w:fill="auto"/>
            <w:vAlign w:val="center"/>
            <w:hideMark/>
          </w:tcPr>
          <w:p w14:paraId="498DD3CF" w14:textId="77777777" w:rsidR="006E3CAD" w:rsidRPr="00AD4E79" w:rsidRDefault="006E3CAD" w:rsidP="00D22441">
            <w:pPr>
              <w:jc w:val="center"/>
              <w:rPr>
                <w:rFonts w:ascii="Arial Narrow" w:hAnsi="Arial Narrow" w:cs="Arial"/>
                <w:b/>
                <w:bCs/>
                <w:spacing w:val="0"/>
                <w:sz w:val="16"/>
                <w:szCs w:val="16"/>
                <w:lang w:val="es-MX" w:eastAsia="es-MX"/>
              </w:rPr>
            </w:pPr>
            <w:r w:rsidRPr="00AD4E79">
              <w:rPr>
                <w:rFonts w:ascii="Arial Narrow" w:hAnsi="Arial Narrow" w:cs="Arial"/>
                <w:b/>
                <w:bCs/>
                <w:spacing w:val="0"/>
                <w:sz w:val="16"/>
                <w:szCs w:val="16"/>
                <w:lang w:val="es-MX" w:eastAsia="es-MX"/>
              </w:rPr>
              <w:t>RUPS</w:t>
            </w:r>
          </w:p>
        </w:tc>
        <w:tc>
          <w:tcPr>
            <w:tcW w:w="3647" w:type="dxa"/>
            <w:shd w:val="clear" w:color="auto" w:fill="auto"/>
            <w:vAlign w:val="center"/>
            <w:hideMark/>
          </w:tcPr>
          <w:p w14:paraId="61037EC5" w14:textId="77777777" w:rsidR="006E3CAD" w:rsidRPr="00AD4E79" w:rsidRDefault="006E3CAD" w:rsidP="00D22441">
            <w:pPr>
              <w:jc w:val="center"/>
              <w:rPr>
                <w:rFonts w:ascii="Arial Narrow" w:hAnsi="Arial Narrow" w:cs="Arial"/>
                <w:b/>
                <w:bCs/>
                <w:spacing w:val="0"/>
                <w:sz w:val="16"/>
                <w:szCs w:val="16"/>
                <w:lang w:val="es-MX" w:eastAsia="es-MX"/>
              </w:rPr>
            </w:pPr>
            <w:r w:rsidRPr="00AD4E79">
              <w:rPr>
                <w:rFonts w:ascii="Arial Narrow" w:hAnsi="Arial Narrow" w:cs="Arial"/>
                <w:b/>
                <w:bCs/>
                <w:spacing w:val="0"/>
                <w:sz w:val="16"/>
                <w:szCs w:val="16"/>
                <w:lang w:val="es-MX" w:eastAsia="es-MX"/>
              </w:rPr>
              <w:t>RAZÓN SOCIAL</w:t>
            </w:r>
          </w:p>
        </w:tc>
        <w:tc>
          <w:tcPr>
            <w:tcW w:w="1134" w:type="dxa"/>
            <w:shd w:val="clear" w:color="auto" w:fill="auto"/>
            <w:vAlign w:val="center"/>
          </w:tcPr>
          <w:p w14:paraId="0451919A" w14:textId="0885BA28" w:rsidR="006E3CAD" w:rsidRPr="00AD4E79" w:rsidRDefault="006E3CAD" w:rsidP="00D22441">
            <w:pPr>
              <w:jc w:val="center"/>
              <w:rPr>
                <w:rFonts w:ascii="Arial Narrow" w:hAnsi="Arial Narrow" w:cs="Calibri"/>
                <w:b/>
                <w:bCs/>
                <w:spacing w:val="0"/>
                <w:sz w:val="16"/>
                <w:szCs w:val="16"/>
                <w:lang w:val="es-MX" w:eastAsia="es-MX"/>
              </w:rPr>
            </w:pPr>
            <w:r w:rsidRPr="00AD4E79">
              <w:rPr>
                <w:rFonts w:ascii="Arial Narrow" w:hAnsi="Arial Narrow" w:cs="Calibri"/>
                <w:b/>
                <w:bCs/>
                <w:spacing w:val="0"/>
                <w:sz w:val="16"/>
                <w:szCs w:val="16"/>
                <w:lang w:val="es-MX" w:eastAsia="es-MX"/>
              </w:rPr>
              <w:t>ESTADO DEL PRESTADOR</w:t>
            </w:r>
          </w:p>
        </w:tc>
        <w:tc>
          <w:tcPr>
            <w:tcW w:w="2409" w:type="dxa"/>
            <w:shd w:val="clear" w:color="auto" w:fill="auto"/>
            <w:vAlign w:val="center"/>
            <w:hideMark/>
          </w:tcPr>
          <w:p w14:paraId="5E232BD9" w14:textId="5A1575B5" w:rsidR="006E3CAD" w:rsidRPr="00AD4E79" w:rsidRDefault="006E3CAD" w:rsidP="00D22441">
            <w:pPr>
              <w:jc w:val="center"/>
              <w:rPr>
                <w:rFonts w:ascii="Arial Narrow" w:hAnsi="Arial Narrow" w:cs="Calibri"/>
                <w:b/>
                <w:bCs/>
                <w:spacing w:val="0"/>
                <w:sz w:val="16"/>
                <w:szCs w:val="16"/>
                <w:lang w:val="es-MX" w:eastAsia="es-MX"/>
              </w:rPr>
            </w:pPr>
            <w:r w:rsidRPr="00AD4E79">
              <w:rPr>
                <w:rFonts w:ascii="Arial Narrow" w:hAnsi="Arial Narrow" w:cs="Calibri"/>
                <w:b/>
                <w:bCs/>
                <w:spacing w:val="0"/>
                <w:sz w:val="16"/>
                <w:szCs w:val="16"/>
                <w:lang w:val="es-MX" w:eastAsia="es-MX"/>
              </w:rPr>
              <w:t>ESTADO DE REPORTE</w:t>
            </w:r>
            <w:r w:rsidRPr="00AD4E79">
              <w:rPr>
                <w:rFonts w:ascii="Arial Narrow" w:hAnsi="Arial Narrow" w:cs="Calibri"/>
                <w:b/>
                <w:bCs/>
                <w:spacing w:val="0"/>
                <w:sz w:val="16"/>
                <w:szCs w:val="16"/>
                <w:lang w:val="es-MX" w:eastAsia="es-MX"/>
              </w:rPr>
              <w:br/>
              <w:t>SUI-SSPD</w:t>
            </w:r>
            <w:r w:rsidRPr="00AD4E79">
              <w:rPr>
                <w:rFonts w:ascii="Arial Narrow" w:hAnsi="Arial Narrow" w:cs="Calibri"/>
                <w:b/>
                <w:bCs/>
                <w:spacing w:val="0"/>
                <w:sz w:val="16"/>
                <w:szCs w:val="16"/>
                <w:lang w:val="es-MX" w:eastAsia="es-MX"/>
              </w:rPr>
              <w:br/>
              <w:t>INFORMACIÓN FINANCIERA 2022</w:t>
            </w:r>
          </w:p>
        </w:tc>
      </w:tr>
      <w:tr w:rsidR="00AD4E79" w:rsidRPr="00AD4E79" w14:paraId="03A7D769" w14:textId="77777777" w:rsidTr="00AD4E79">
        <w:trPr>
          <w:trHeight w:val="290"/>
        </w:trPr>
        <w:tc>
          <w:tcPr>
            <w:tcW w:w="527" w:type="dxa"/>
            <w:shd w:val="clear" w:color="auto" w:fill="auto"/>
            <w:vAlign w:val="center"/>
            <w:hideMark/>
          </w:tcPr>
          <w:p w14:paraId="2E4A4621" w14:textId="77777777" w:rsidR="006E3CAD" w:rsidRPr="00AD4E79" w:rsidRDefault="006E3CAD" w:rsidP="00D22441">
            <w:pPr>
              <w:jc w:val="center"/>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1</w:t>
            </w:r>
          </w:p>
        </w:tc>
        <w:tc>
          <w:tcPr>
            <w:tcW w:w="943" w:type="dxa"/>
            <w:shd w:val="clear" w:color="auto" w:fill="auto"/>
            <w:vAlign w:val="center"/>
            <w:hideMark/>
          </w:tcPr>
          <w:p w14:paraId="72712811" w14:textId="77777777" w:rsidR="006E3CAD" w:rsidRPr="00AD4E79" w:rsidRDefault="006E3CAD" w:rsidP="00D22441">
            <w:pPr>
              <w:jc w:val="center"/>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800.245.746</w:t>
            </w:r>
          </w:p>
        </w:tc>
        <w:tc>
          <w:tcPr>
            <w:tcW w:w="396" w:type="dxa"/>
            <w:shd w:val="clear" w:color="auto" w:fill="auto"/>
            <w:vAlign w:val="center"/>
            <w:hideMark/>
          </w:tcPr>
          <w:p w14:paraId="7A1B0A56" w14:textId="77777777" w:rsidR="006E3CAD" w:rsidRPr="00AD4E79" w:rsidRDefault="006E3CAD" w:rsidP="00D22441">
            <w:pPr>
              <w:jc w:val="center"/>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1</w:t>
            </w:r>
          </w:p>
        </w:tc>
        <w:tc>
          <w:tcPr>
            <w:tcW w:w="578" w:type="dxa"/>
            <w:shd w:val="clear" w:color="auto" w:fill="auto"/>
            <w:vAlign w:val="center"/>
            <w:hideMark/>
          </w:tcPr>
          <w:p w14:paraId="7A687050" w14:textId="77777777" w:rsidR="006E3CAD" w:rsidRPr="00AD4E79" w:rsidRDefault="006E3CAD" w:rsidP="00D22441">
            <w:pPr>
              <w:jc w:val="center"/>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485</w:t>
            </w:r>
          </w:p>
        </w:tc>
        <w:tc>
          <w:tcPr>
            <w:tcW w:w="3647" w:type="dxa"/>
            <w:shd w:val="clear" w:color="auto" w:fill="auto"/>
            <w:vAlign w:val="center"/>
            <w:hideMark/>
          </w:tcPr>
          <w:p w14:paraId="13A99CA2" w14:textId="77777777" w:rsidR="006E3CAD" w:rsidRPr="00AD4E79" w:rsidRDefault="006E3CAD" w:rsidP="00D22441">
            <w:pPr>
              <w:jc w:val="left"/>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TERMOBARRANQUILLA S.A. E.S.P.</w:t>
            </w:r>
          </w:p>
        </w:tc>
        <w:tc>
          <w:tcPr>
            <w:tcW w:w="1134" w:type="dxa"/>
            <w:shd w:val="clear" w:color="auto" w:fill="auto"/>
            <w:vAlign w:val="center"/>
          </w:tcPr>
          <w:p w14:paraId="0F2902A8" w14:textId="5BD7155C" w:rsidR="006E3CAD" w:rsidRPr="00AD4E79" w:rsidRDefault="006E3CAD" w:rsidP="00D22441">
            <w:pPr>
              <w:jc w:val="center"/>
              <w:rPr>
                <w:rFonts w:ascii="Arial Narrow" w:hAnsi="Arial Narrow" w:cs="Arial"/>
                <w:spacing w:val="0"/>
                <w:lang w:eastAsia="es-CO"/>
              </w:rPr>
            </w:pPr>
            <w:r w:rsidRPr="00AD4E79">
              <w:rPr>
                <w:rFonts w:ascii="Arial Narrow" w:hAnsi="Arial Narrow" w:cs="Arial"/>
                <w:spacing w:val="0"/>
                <w:sz w:val="16"/>
                <w:szCs w:val="16"/>
                <w:lang w:eastAsia="es-CO"/>
              </w:rPr>
              <w:t>OPERATIVA</w:t>
            </w:r>
          </w:p>
        </w:tc>
        <w:tc>
          <w:tcPr>
            <w:tcW w:w="2409" w:type="dxa"/>
            <w:shd w:val="clear" w:color="auto" w:fill="auto"/>
            <w:noWrap/>
            <w:vAlign w:val="center"/>
            <w:hideMark/>
          </w:tcPr>
          <w:p w14:paraId="6CEAB828" w14:textId="484B6330" w:rsidR="006E3CAD" w:rsidRPr="00AD4E79" w:rsidRDefault="006E3CAD" w:rsidP="00D22441">
            <w:pPr>
              <w:jc w:val="center"/>
              <w:rPr>
                <w:rFonts w:ascii="Arial Narrow" w:hAnsi="Arial Narrow" w:cs="Calibri"/>
                <w:spacing w:val="0"/>
                <w:sz w:val="16"/>
                <w:szCs w:val="16"/>
                <w:lang w:val="es-MX" w:eastAsia="es-MX"/>
              </w:rPr>
            </w:pPr>
            <w:r w:rsidRPr="00AD4E79">
              <w:rPr>
                <w:rFonts w:ascii="Arial Narrow" w:hAnsi="Arial Narrow" w:cs="Arial"/>
                <w:spacing w:val="0"/>
                <w:lang w:eastAsia="es-CO"/>
              </w:rPr>
              <w:t>REPORTANTE SUI</w:t>
            </w:r>
          </w:p>
        </w:tc>
      </w:tr>
      <w:tr w:rsidR="00AD4E79" w:rsidRPr="00AD4E79" w14:paraId="0F85E324" w14:textId="77777777" w:rsidTr="00AD4E79">
        <w:trPr>
          <w:trHeight w:val="290"/>
        </w:trPr>
        <w:tc>
          <w:tcPr>
            <w:tcW w:w="527" w:type="dxa"/>
            <w:shd w:val="clear" w:color="auto" w:fill="auto"/>
            <w:vAlign w:val="center"/>
            <w:hideMark/>
          </w:tcPr>
          <w:p w14:paraId="58FF9ACE" w14:textId="77777777" w:rsidR="006E3CAD" w:rsidRPr="00AD4E79" w:rsidRDefault="006E3CAD" w:rsidP="00D22441">
            <w:pPr>
              <w:jc w:val="center"/>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2</w:t>
            </w:r>
          </w:p>
        </w:tc>
        <w:tc>
          <w:tcPr>
            <w:tcW w:w="943" w:type="dxa"/>
            <w:shd w:val="clear" w:color="auto" w:fill="auto"/>
            <w:vAlign w:val="center"/>
            <w:hideMark/>
          </w:tcPr>
          <w:p w14:paraId="60E2AB7F" w14:textId="77777777" w:rsidR="006E3CAD" w:rsidRPr="00AD4E79" w:rsidRDefault="006E3CAD" w:rsidP="00D22441">
            <w:pPr>
              <w:jc w:val="center"/>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800.249.860</w:t>
            </w:r>
          </w:p>
        </w:tc>
        <w:tc>
          <w:tcPr>
            <w:tcW w:w="396" w:type="dxa"/>
            <w:shd w:val="clear" w:color="auto" w:fill="auto"/>
            <w:vAlign w:val="center"/>
            <w:hideMark/>
          </w:tcPr>
          <w:p w14:paraId="72DA1F18" w14:textId="77777777" w:rsidR="006E3CAD" w:rsidRPr="00AD4E79" w:rsidRDefault="006E3CAD" w:rsidP="00D22441">
            <w:pPr>
              <w:jc w:val="center"/>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1</w:t>
            </w:r>
          </w:p>
        </w:tc>
        <w:tc>
          <w:tcPr>
            <w:tcW w:w="578" w:type="dxa"/>
            <w:shd w:val="clear" w:color="auto" w:fill="auto"/>
            <w:vAlign w:val="center"/>
            <w:hideMark/>
          </w:tcPr>
          <w:p w14:paraId="34E7D481" w14:textId="77777777" w:rsidR="006E3CAD" w:rsidRPr="00AD4E79" w:rsidRDefault="006E3CAD" w:rsidP="00D22441">
            <w:pPr>
              <w:jc w:val="center"/>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536</w:t>
            </w:r>
          </w:p>
        </w:tc>
        <w:tc>
          <w:tcPr>
            <w:tcW w:w="3647" w:type="dxa"/>
            <w:shd w:val="clear" w:color="auto" w:fill="auto"/>
            <w:vAlign w:val="center"/>
            <w:hideMark/>
          </w:tcPr>
          <w:p w14:paraId="3CD02B36" w14:textId="77777777" w:rsidR="006E3CAD" w:rsidRPr="00AD4E79" w:rsidRDefault="006E3CAD" w:rsidP="00D22441">
            <w:pPr>
              <w:jc w:val="left"/>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CELSIA COLOMBIA S.A. E.S.P.</w:t>
            </w:r>
          </w:p>
        </w:tc>
        <w:tc>
          <w:tcPr>
            <w:tcW w:w="1134" w:type="dxa"/>
            <w:shd w:val="clear" w:color="auto" w:fill="auto"/>
            <w:vAlign w:val="center"/>
          </w:tcPr>
          <w:p w14:paraId="410ED313" w14:textId="25D634AB" w:rsidR="006E3CAD" w:rsidRPr="00AD4E79" w:rsidRDefault="006E3CAD" w:rsidP="00D22441">
            <w:pPr>
              <w:jc w:val="center"/>
              <w:rPr>
                <w:rFonts w:ascii="Arial Narrow" w:hAnsi="Arial Narrow" w:cs="Arial"/>
                <w:spacing w:val="0"/>
                <w:lang w:eastAsia="es-CO"/>
              </w:rPr>
            </w:pPr>
            <w:r w:rsidRPr="00AD4E79">
              <w:rPr>
                <w:rFonts w:ascii="Arial Narrow" w:hAnsi="Arial Narrow" w:cs="Arial"/>
                <w:spacing w:val="0"/>
                <w:sz w:val="16"/>
                <w:szCs w:val="16"/>
                <w:lang w:eastAsia="es-CO"/>
              </w:rPr>
              <w:t>OPERATIVA</w:t>
            </w:r>
          </w:p>
        </w:tc>
        <w:tc>
          <w:tcPr>
            <w:tcW w:w="2409" w:type="dxa"/>
            <w:shd w:val="clear" w:color="auto" w:fill="auto"/>
            <w:noWrap/>
            <w:vAlign w:val="center"/>
            <w:hideMark/>
          </w:tcPr>
          <w:p w14:paraId="191681FF" w14:textId="33578ED2" w:rsidR="006E3CAD" w:rsidRPr="00AD4E79" w:rsidRDefault="006E3CAD" w:rsidP="00D22441">
            <w:pPr>
              <w:jc w:val="center"/>
              <w:rPr>
                <w:rFonts w:ascii="Arial Narrow" w:hAnsi="Arial Narrow" w:cs="Calibri"/>
                <w:spacing w:val="0"/>
                <w:sz w:val="16"/>
                <w:szCs w:val="16"/>
                <w:lang w:val="es-MX" w:eastAsia="es-MX"/>
              </w:rPr>
            </w:pPr>
            <w:r w:rsidRPr="00AD4E79">
              <w:rPr>
                <w:rFonts w:ascii="Arial Narrow" w:hAnsi="Arial Narrow" w:cs="Arial"/>
                <w:spacing w:val="0"/>
                <w:lang w:eastAsia="es-CO"/>
              </w:rPr>
              <w:t>REPORTANTE SUI</w:t>
            </w:r>
          </w:p>
        </w:tc>
      </w:tr>
      <w:tr w:rsidR="00AD4E79" w:rsidRPr="00AD4E79" w14:paraId="330B60DD" w14:textId="77777777" w:rsidTr="00AD4E79">
        <w:trPr>
          <w:trHeight w:val="290"/>
        </w:trPr>
        <w:tc>
          <w:tcPr>
            <w:tcW w:w="527" w:type="dxa"/>
            <w:shd w:val="clear" w:color="auto" w:fill="auto"/>
            <w:vAlign w:val="center"/>
            <w:hideMark/>
          </w:tcPr>
          <w:p w14:paraId="1E6784D7" w14:textId="77777777" w:rsidR="006E3CAD" w:rsidRPr="00AD4E79" w:rsidRDefault="006E3CAD" w:rsidP="00D22441">
            <w:pPr>
              <w:jc w:val="center"/>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3</w:t>
            </w:r>
          </w:p>
        </w:tc>
        <w:tc>
          <w:tcPr>
            <w:tcW w:w="943" w:type="dxa"/>
            <w:shd w:val="clear" w:color="auto" w:fill="auto"/>
            <w:vAlign w:val="center"/>
            <w:hideMark/>
          </w:tcPr>
          <w:p w14:paraId="045FFEC1" w14:textId="77777777" w:rsidR="006E3CAD" w:rsidRPr="00AD4E79" w:rsidRDefault="006E3CAD" w:rsidP="00D22441">
            <w:pPr>
              <w:jc w:val="center"/>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800.253.702</w:t>
            </w:r>
          </w:p>
        </w:tc>
        <w:tc>
          <w:tcPr>
            <w:tcW w:w="396" w:type="dxa"/>
            <w:shd w:val="clear" w:color="auto" w:fill="auto"/>
            <w:vAlign w:val="center"/>
            <w:hideMark/>
          </w:tcPr>
          <w:p w14:paraId="71BCF300" w14:textId="77777777" w:rsidR="006E3CAD" w:rsidRPr="00AD4E79" w:rsidRDefault="006E3CAD" w:rsidP="00D22441">
            <w:pPr>
              <w:jc w:val="center"/>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1</w:t>
            </w:r>
          </w:p>
        </w:tc>
        <w:tc>
          <w:tcPr>
            <w:tcW w:w="578" w:type="dxa"/>
            <w:shd w:val="clear" w:color="auto" w:fill="auto"/>
            <w:vAlign w:val="center"/>
            <w:hideMark/>
          </w:tcPr>
          <w:p w14:paraId="78C32C60" w14:textId="77777777" w:rsidR="006E3CAD" w:rsidRPr="00AD4E79" w:rsidRDefault="006E3CAD" w:rsidP="00D22441">
            <w:pPr>
              <w:jc w:val="center"/>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1077</w:t>
            </w:r>
          </w:p>
        </w:tc>
        <w:tc>
          <w:tcPr>
            <w:tcW w:w="3647" w:type="dxa"/>
            <w:shd w:val="clear" w:color="auto" w:fill="auto"/>
            <w:vAlign w:val="center"/>
            <w:hideMark/>
          </w:tcPr>
          <w:p w14:paraId="728A55EF" w14:textId="77777777" w:rsidR="006E3CAD" w:rsidRPr="00AD4E79" w:rsidRDefault="006E3CAD" w:rsidP="00D22441">
            <w:pPr>
              <w:jc w:val="left"/>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TERMOEMCALI I S.A. ESP</w:t>
            </w:r>
          </w:p>
        </w:tc>
        <w:tc>
          <w:tcPr>
            <w:tcW w:w="1134" w:type="dxa"/>
            <w:shd w:val="clear" w:color="auto" w:fill="auto"/>
            <w:vAlign w:val="center"/>
          </w:tcPr>
          <w:p w14:paraId="363DF082" w14:textId="5005A275" w:rsidR="006E3CAD" w:rsidRPr="00AD4E79" w:rsidRDefault="006E3CAD" w:rsidP="00D22441">
            <w:pPr>
              <w:jc w:val="center"/>
              <w:rPr>
                <w:rFonts w:ascii="Arial Narrow" w:hAnsi="Arial Narrow" w:cs="Arial"/>
                <w:spacing w:val="0"/>
                <w:lang w:eastAsia="es-CO"/>
              </w:rPr>
            </w:pPr>
            <w:r w:rsidRPr="00AD4E79">
              <w:rPr>
                <w:rFonts w:ascii="Arial Narrow" w:hAnsi="Arial Narrow" w:cs="Arial"/>
                <w:spacing w:val="0"/>
                <w:sz w:val="16"/>
                <w:szCs w:val="16"/>
                <w:lang w:eastAsia="es-CO"/>
              </w:rPr>
              <w:t>OPERATIVA</w:t>
            </w:r>
          </w:p>
        </w:tc>
        <w:tc>
          <w:tcPr>
            <w:tcW w:w="2409" w:type="dxa"/>
            <w:shd w:val="clear" w:color="auto" w:fill="auto"/>
            <w:noWrap/>
            <w:vAlign w:val="center"/>
            <w:hideMark/>
          </w:tcPr>
          <w:p w14:paraId="400FA3CA" w14:textId="70C44FFF" w:rsidR="006E3CAD" w:rsidRPr="00AD4E79" w:rsidRDefault="006E3CAD" w:rsidP="00D22441">
            <w:pPr>
              <w:jc w:val="center"/>
              <w:rPr>
                <w:rFonts w:ascii="Arial Narrow" w:hAnsi="Arial Narrow" w:cs="Calibri"/>
                <w:spacing w:val="0"/>
                <w:sz w:val="16"/>
                <w:szCs w:val="16"/>
                <w:lang w:val="es-MX" w:eastAsia="es-MX"/>
              </w:rPr>
            </w:pPr>
            <w:r w:rsidRPr="00AD4E79">
              <w:rPr>
                <w:rFonts w:ascii="Arial Narrow" w:hAnsi="Arial Narrow" w:cs="Arial"/>
                <w:spacing w:val="0"/>
                <w:lang w:eastAsia="es-CO"/>
              </w:rPr>
              <w:t>REPORTANTE SUI</w:t>
            </w:r>
          </w:p>
        </w:tc>
      </w:tr>
      <w:tr w:rsidR="00AD4E79" w:rsidRPr="00AD4E79" w14:paraId="69ABC229" w14:textId="77777777" w:rsidTr="00AD4E79">
        <w:trPr>
          <w:trHeight w:val="290"/>
        </w:trPr>
        <w:tc>
          <w:tcPr>
            <w:tcW w:w="527" w:type="dxa"/>
            <w:shd w:val="clear" w:color="auto" w:fill="auto"/>
            <w:vAlign w:val="center"/>
            <w:hideMark/>
          </w:tcPr>
          <w:p w14:paraId="568FC803" w14:textId="77777777" w:rsidR="006E3CAD" w:rsidRPr="00AD4E79" w:rsidRDefault="006E3CAD" w:rsidP="00D22441">
            <w:pPr>
              <w:jc w:val="center"/>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4</w:t>
            </w:r>
          </w:p>
        </w:tc>
        <w:tc>
          <w:tcPr>
            <w:tcW w:w="943" w:type="dxa"/>
            <w:shd w:val="clear" w:color="auto" w:fill="auto"/>
            <w:vAlign w:val="center"/>
            <w:hideMark/>
          </w:tcPr>
          <w:p w14:paraId="64F9111A" w14:textId="77777777" w:rsidR="006E3CAD" w:rsidRPr="00AD4E79" w:rsidRDefault="006E3CAD" w:rsidP="00D22441">
            <w:pPr>
              <w:jc w:val="center"/>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802.025.052</w:t>
            </w:r>
          </w:p>
        </w:tc>
        <w:tc>
          <w:tcPr>
            <w:tcW w:w="396" w:type="dxa"/>
            <w:shd w:val="clear" w:color="auto" w:fill="auto"/>
            <w:vAlign w:val="center"/>
            <w:hideMark/>
          </w:tcPr>
          <w:p w14:paraId="4211EF82" w14:textId="77777777" w:rsidR="006E3CAD" w:rsidRPr="00AD4E79" w:rsidRDefault="006E3CAD" w:rsidP="00D22441">
            <w:pPr>
              <w:jc w:val="center"/>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0</w:t>
            </w:r>
          </w:p>
        </w:tc>
        <w:tc>
          <w:tcPr>
            <w:tcW w:w="578" w:type="dxa"/>
            <w:shd w:val="clear" w:color="auto" w:fill="auto"/>
            <w:vAlign w:val="center"/>
            <w:hideMark/>
          </w:tcPr>
          <w:p w14:paraId="451E18A1" w14:textId="77777777" w:rsidR="006E3CAD" w:rsidRPr="00AD4E79" w:rsidRDefault="006E3CAD" w:rsidP="00D22441">
            <w:pPr>
              <w:jc w:val="center"/>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20256</w:t>
            </w:r>
          </w:p>
        </w:tc>
        <w:tc>
          <w:tcPr>
            <w:tcW w:w="3647" w:type="dxa"/>
            <w:shd w:val="clear" w:color="auto" w:fill="auto"/>
            <w:vAlign w:val="center"/>
            <w:hideMark/>
          </w:tcPr>
          <w:p w14:paraId="2EA3C07D" w14:textId="77777777" w:rsidR="006E3CAD" w:rsidRPr="00AD4E79" w:rsidRDefault="006E3CAD" w:rsidP="00D22441">
            <w:pPr>
              <w:jc w:val="left"/>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E2 ENERGIA EFICIENTE S.A. E.S.P.</w:t>
            </w:r>
          </w:p>
        </w:tc>
        <w:tc>
          <w:tcPr>
            <w:tcW w:w="1134" w:type="dxa"/>
            <w:shd w:val="clear" w:color="auto" w:fill="auto"/>
            <w:vAlign w:val="center"/>
          </w:tcPr>
          <w:p w14:paraId="22F8B1F4" w14:textId="53FD7EE6" w:rsidR="006E3CAD" w:rsidRPr="00AD4E79" w:rsidRDefault="006E3CAD" w:rsidP="00D22441">
            <w:pPr>
              <w:jc w:val="center"/>
              <w:rPr>
                <w:rFonts w:ascii="Arial Narrow" w:hAnsi="Arial Narrow" w:cs="Arial"/>
                <w:spacing w:val="0"/>
                <w:lang w:eastAsia="es-CO"/>
              </w:rPr>
            </w:pPr>
            <w:r w:rsidRPr="00AD4E79">
              <w:rPr>
                <w:rFonts w:ascii="Arial Narrow" w:hAnsi="Arial Narrow" w:cs="Arial"/>
                <w:spacing w:val="0"/>
                <w:sz w:val="16"/>
                <w:szCs w:val="16"/>
                <w:lang w:eastAsia="es-CO"/>
              </w:rPr>
              <w:t>OPERATIVA</w:t>
            </w:r>
          </w:p>
        </w:tc>
        <w:tc>
          <w:tcPr>
            <w:tcW w:w="2409" w:type="dxa"/>
            <w:shd w:val="clear" w:color="auto" w:fill="auto"/>
            <w:noWrap/>
            <w:vAlign w:val="center"/>
            <w:hideMark/>
          </w:tcPr>
          <w:p w14:paraId="5B1C59BE" w14:textId="01408345" w:rsidR="006E3CAD" w:rsidRPr="00AD4E79" w:rsidRDefault="006E3CAD" w:rsidP="00D22441">
            <w:pPr>
              <w:jc w:val="center"/>
              <w:rPr>
                <w:rFonts w:ascii="Arial Narrow" w:hAnsi="Arial Narrow" w:cs="Calibri"/>
                <w:spacing w:val="0"/>
                <w:sz w:val="16"/>
                <w:szCs w:val="16"/>
                <w:lang w:val="es-MX" w:eastAsia="es-MX"/>
              </w:rPr>
            </w:pPr>
            <w:r w:rsidRPr="00AD4E79">
              <w:rPr>
                <w:rFonts w:ascii="Arial Narrow" w:hAnsi="Arial Narrow" w:cs="Arial"/>
                <w:spacing w:val="0"/>
                <w:lang w:eastAsia="es-CO"/>
              </w:rPr>
              <w:t>REPORTANTE SUI</w:t>
            </w:r>
          </w:p>
        </w:tc>
      </w:tr>
      <w:tr w:rsidR="00AD4E79" w:rsidRPr="00AD4E79" w14:paraId="3BD03D8B" w14:textId="77777777" w:rsidTr="00AD4E79">
        <w:trPr>
          <w:trHeight w:val="420"/>
        </w:trPr>
        <w:tc>
          <w:tcPr>
            <w:tcW w:w="527" w:type="dxa"/>
            <w:shd w:val="clear" w:color="auto" w:fill="auto"/>
            <w:vAlign w:val="center"/>
            <w:hideMark/>
          </w:tcPr>
          <w:p w14:paraId="7D448D8F" w14:textId="77777777" w:rsidR="006E3CAD" w:rsidRPr="00AD4E79" w:rsidRDefault="006E3CAD" w:rsidP="00D22441">
            <w:pPr>
              <w:jc w:val="center"/>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5</w:t>
            </w:r>
          </w:p>
        </w:tc>
        <w:tc>
          <w:tcPr>
            <w:tcW w:w="943" w:type="dxa"/>
            <w:shd w:val="clear" w:color="auto" w:fill="auto"/>
            <w:vAlign w:val="center"/>
            <w:hideMark/>
          </w:tcPr>
          <w:p w14:paraId="49F7B204" w14:textId="77777777" w:rsidR="006E3CAD" w:rsidRPr="00AD4E79" w:rsidRDefault="006E3CAD" w:rsidP="00D22441">
            <w:pPr>
              <w:jc w:val="center"/>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806.005.008</w:t>
            </w:r>
          </w:p>
        </w:tc>
        <w:tc>
          <w:tcPr>
            <w:tcW w:w="396" w:type="dxa"/>
            <w:shd w:val="clear" w:color="auto" w:fill="auto"/>
            <w:vAlign w:val="center"/>
            <w:hideMark/>
          </w:tcPr>
          <w:p w14:paraId="3E752217" w14:textId="77777777" w:rsidR="006E3CAD" w:rsidRPr="00AD4E79" w:rsidRDefault="006E3CAD" w:rsidP="00D22441">
            <w:pPr>
              <w:jc w:val="center"/>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5</w:t>
            </w:r>
          </w:p>
        </w:tc>
        <w:tc>
          <w:tcPr>
            <w:tcW w:w="578" w:type="dxa"/>
            <w:shd w:val="clear" w:color="auto" w:fill="auto"/>
            <w:vAlign w:val="center"/>
            <w:hideMark/>
          </w:tcPr>
          <w:p w14:paraId="2EA98FA4" w14:textId="77777777" w:rsidR="006E3CAD" w:rsidRPr="00AD4E79" w:rsidRDefault="006E3CAD" w:rsidP="00D22441">
            <w:pPr>
              <w:jc w:val="center"/>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2261</w:t>
            </w:r>
          </w:p>
        </w:tc>
        <w:tc>
          <w:tcPr>
            <w:tcW w:w="3647" w:type="dxa"/>
            <w:shd w:val="clear" w:color="auto" w:fill="auto"/>
            <w:vAlign w:val="center"/>
            <w:hideMark/>
          </w:tcPr>
          <w:p w14:paraId="39F864C4" w14:textId="77777777" w:rsidR="006E3CAD" w:rsidRPr="00AD4E79" w:rsidRDefault="006E3CAD" w:rsidP="00D22441">
            <w:pPr>
              <w:jc w:val="left"/>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TERMOCANDELARIA SOCIEDAD EN COMANDITA POR ACCIONES EMPRESA DE SERVICIOS PUBLICOS</w:t>
            </w:r>
          </w:p>
        </w:tc>
        <w:tc>
          <w:tcPr>
            <w:tcW w:w="1134" w:type="dxa"/>
            <w:shd w:val="clear" w:color="auto" w:fill="auto"/>
            <w:vAlign w:val="center"/>
          </w:tcPr>
          <w:p w14:paraId="6E40A391" w14:textId="19E4F771" w:rsidR="006E3CAD" w:rsidRPr="00AD4E79" w:rsidRDefault="006E3CAD" w:rsidP="00D22441">
            <w:pPr>
              <w:jc w:val="center"/>
              <w:rPr>
                <w:rFonts w:ascii="Arial Narrow" w:hAnsi="Arial Narrow" w:cs="Arial"/>
                <w:spacing w:val="0"/>
                <w:lang w:eastAsia="es-CO"/>
              </w:rPr>
            </w:pPr>
            <w:r w:rsidRPr="00AD4E79">
              <w:rPr>
                <w:rFonts w:ascii="Arial Narrow" w:hAnsi="Arial Narrow" w:cs="Arial"/>
                <w:spacing w:val="0"/>
                <w:sz w:val="16"/>
                <w:szCs w:val="16"/>
                <w:lang w:eastAsia="es-CO"/>
              </w:rPr>
              <w:t>OPERATIVA</w:t>
            </w:r>
          </w:p>
        </w:tc>
        <w:tc>
          <w:tcPr>
            <w:tcW w:w="2409" w:type="dxa"/>
            <w:shd w:val="clear" w:color="auto" w:fill="auto"/>
            <w:noWrap/>
            <w:vAlign w:val="center"/>
            <w:hideMark/>
          </w:tcPr>
          <w:p w14:paraId="093E730C" w14:textId="39CFA6D9" w:rsidR="006E3CAD" w:rsidRPr="00AD4E79" w:rsidRDefault="006E3CAD" w:rsidP="00D22441">
            <w:pPr>
              <w:jc w:val="center"/>
              <w:rPr>
                <w:rFonts w:ascii="Arial Narrow" w:hAnsi="Arial Narrow" w:cs="Calibri"/>
                <w:spacing w:val="0"/>
                <w:sz w:val="16"/>
                <w:szCs w:val="16"/>
                <w:lang w:val="es-MX" w:eastAsia="es-MX"/>
              </w:rPr>
            </w:pPr>
            <w:r w:rsidRPr="00AD4E79">
              <w:rPr>
                <w:rFonts w:ascii="Arial Narrow" w:hAnsi="Arial Narrow" w:cs="Arial"/>
                <w:spacing w:val="0"/>
                <w:lang w:eastAsia="es-CO"/>
              </w:rPr>
              <w:t>REPORTANTE SUI</w:t>
            </w:r>
          </w:p>
        </w:tc>
      </w:tr>
      <w:tr w:rsidR="00AD4E79" w:rsidRPr="00AD4E79" w14:paraId="5D4A447F" w14:textId="77777777" w:rsidTr="00AD4E79">
        <w:trPr>
          <w:trHeight w:val="290"/>
        </w:trPr>
        <w:tc>
          <w:tcPr>
            <w:tcW w:w="527" w:type="dxa"/>
            <w:shd w:val="clear" w:color="auto" w:fill="auto"/>
            <w:vAlign w:val="center"/>
            <w:hideMark/>
          </w:tcPr>
          <w:p w14:paraId="3ED5E173" w14:textId="77777777" w:rsidR="006E3CAD" w:rsidRPr="00AD4E79" w:rsidRDefault="006E3CAD" w:rsidP="00D22441">
            <w:pPr>
              <w:jc w:val="center"/>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6</w:t>
            </w:r>
          </w:p>
        </w:tc>
        <w:tc>
          <w:tcPr>
            <w:tcW w:w="943" w:type="dxa"/>
            <w:shd w:val="clear" w:color="auto" w:fill="auto"/>
            <w:vAlign w:val="center"/>
            <w:hideMark/>
          </w:tcPr>
          <w:p w14:paraId="2E36DE75" w14:textId="77777777" w:rsidR="006E3CAD" w:rsidRPr="00AD4E79" w:rsidRDefault="006E3CAD" w:rsidP="00D22441">
            <w:pPr>
              <w:jc w:val="center"/>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811.000.740</w:t>
            </w:r>
          </w:p>
        </w:tc>
        <w:tc>
          <w:tcPr>
            <w:tcW w:w="396" w:type="dxa"/>
            <w:shd w:val="clear" w:color="auto" w:fill="auto"/>
            <w:vAlign w:val="center"/>
            <w:hideMark/>
          </w:tcPr>
          <w:p w14:paraId="0A00F4A4" w14:textId="77777777" w:rsidR="006E3CAD" w:rsidRPr="00AD4E79" w:rsidRDefault="006E3CAD" w:rsidP="00D22441">
            <w:pPr>
              <w:jc w:val="center"/>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4</w:t>
            </w:r>
          </w:p>
        </w:tc>
        <w:tc>
          <w:tcPr>
            <w:tcW w:w="578" w:type="dxa"/>
            <w:shd w:val="clear" w:color="auto" w:fill="auto"/>
            <w:vAlign w:val="center"/>
            <w:hideMark/>
          </w:tcPr>
          <w:p w14:paraId="61B5EBA7" w14:textId="77777777" w:rsidR="006E3CAD" w:rsidRPr="00AD4E79" w:rsidRDefault="006E3CAD" w:rsidP="00D22441">
            <w:pPr>
              <w:jc w:val="center"/>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480</w:t>
            </w:r>
          </w:p>
        </w:tc>
        <w:tc>
          <w:tcPr>
            <w:tcW w:w="3647" w:type="dxa"/>
            <w:shd w:val="clear" w:color="auto" w:fill="auto"/>
            <w:vAlign w:val="center"/>
            <w:hideMark/>
          </w:tcPr>
          <w:p w14:paraId="1B1E48BA" w14:textId="77777777" w:rsidR="006E3CAD" w:rsidRPr="00AD4E79" w:rsidRDefault="006E3CAD" w:rsidP="00D22441">
            <w:pPr>
              <w:jc w:val="left"/>
              <w:rPr>
                <w:rFonts w:ascii="Arial Narrow" w:hAnsi="Arial Narrow" w:cs="Arial"/>
                <w:spacing w:val="0"/>
                <w:sz w:val="16"/>
                <w:szCs w:val="16"/>
                <w:lang w:val="en-GB" w:eastAsia="es-MX"/>
              </w:rPr>
            </w:pPr>
            <w:r w:rsidRPr="00AD4E79">
              <w:rPr>
                <w:rFonts w:ascii="Arial Narrow" w:hAnsi="Arial Narrow" w:cs="Arial"/>
                <w:spacing w:val="0"/>
                <w:sz w:val="16"/>
                <w:szCs w:val="16"/>
                <w:lang w:val="en-GB" w:eastAsia="es-MX"/>
              </w:rPr>
              <w:t>ISAGEN S.A. E.S.P.</w:t>
            </w:r>
          </w:p>
        </w:tc>
        <w:tc>
          <w:tcPr>
            <w:tcW w:w="1134" w:type="dxa"/>
            <w:shd w:val="clear" w:color="auto" w:fill="auto"/>
            <w:vAlign w:val="center"/>
          </w:tcPr>
          <w:p w14:paraId="7FFE6A6B" w14:textId="02AD3A3F" w:rsidR="006E3CAD" w:rsidRPr="00AD4E79" w:rsidRDefault="006E3CAD" w:rsidP="00D22441">
            <w:pPr>
              <w:jc w:val="center"/>
              <w:rPr>
                <w:rFonts w:ascii="Arial Narrow" w:hAnsi="Arial Narrow" w:cs="Arial"/>
                <w:spacing w:val="0"/>
                <w:lang w:eastAsia="es-CO"/>
              </w:rPr>
            </w:pPr>
            <w:r w:rsidRPr="00AD4E79">
              <w:rPr>
                <w:rFonts w:ascii="Arial Narrow" w:hAnsi="Arial Narrow" w:cs="Arial"/>
                <w:spacing w:val="0"/>
                <w:sz w:val="16"/>
                <w:szCs w:val="16"/>
                <w:lang w:eastAsia="es-CO"/>
              </w:rPr>
              <w:t>OPERATIVA</w:t>
            </w:r>
          </w:p>
        </w:tc>
        <w:tc>
          <w:tcPr>
            <w:tcW w:w="2409" w:type="dxa"/>
            <w:shd w:val="clear" w:color="auto" w:fill="auto"/>
            <w:noWrap/>
            <w:vAlign w:val="center"/>
            <w:hideMark/>
          </w:tcPr>
          <w:p w14:paraId="73D8BFFD" w14:textId="40CFD3D5" w:rsidR="006E3CAD" w:rsidRPr="00AD4E79" w:rsidRDefault="006E3CAD" w:rsidP="00D22441">
            <w:pPr>
              <w:jc w:val="center"/>
              <w:rPr>
                <w:rFonts w:ascii="Arial Narrow" w:hAnsi="Arial Narrow" w:cs="Calibri"/>
                <w:spacing w:val="0"/>
                <w:sz w:val="16"/>
                <w:szCs w:val="16"/>
                <w:lang w:val="es-MX" w:eastAsia="es-MX"/>
              </w:rPr>
            </w:pPr>
            <w:r w:rsidRPr="00AD4E79">
              <w:rPr>
                <w:rFonts w:ascii="Arial Narrow" w:hAnsi="Arial Narrow" w:cs="Arial"/>
                <w:spacing w:val="0"/>
                <w:lang w:eastAsia="es-CO"/>
              </w:rPr>
              <w:t>REPORTANTE SUI</w:t>
            </w:r>
          </w:p>
        </w:tc>
      </w:tr>
      <w:tr w:rsidR="00AD4E79" w:rsidRPr="00AD4E79" w14:paraId="1F1930A3" w14:textId="77777777" w:rsidTr="00AD4E79">
        <w:trPr>
          <w:trHeight w:val="290"/>
        </w:trPr>
        <w:tc>
          <w:tcPr>
            <w:tcW w:w="527" w:type="dxa"/>
            <w:shd w:val="clear" w:color="auto" w:fill="auto"/>
            <w:vAlign w:val="center"/>
            <w:hideMark/>
          </w:tcPr>
          <w:p w14:paraId="05329215" w14:textId="77777777" w:rsidR="006E3CAD" w:rsidRPr="00AD4E79" w:rsidRDefault="006E3CAD" w:rsidP="00D22441">
            <w:pPr>
              <w:jc w:val="center"/>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7</w:t>
            </w:r>
          </w:p>
        </w:tc>
        <w:tc>
          <w:tcPr>
            <w:tcW w:w="943" w:type="dxa"/>
            <w:shd w:val="clear" w:color="auto" w:fill="auto"/>
            <w:vAlign w:val="center"/>
            <w:hideMark/>
          </w:tcPr>
          <w:p w14:paraId="001AF039" w14:textId="77777777" w:rsidR="006E3CAD" w:rsidRPr="00AD4E79" w:rsidRDefault="006E3CAD" w:rsidP="00D22441">
            <w:pPr>
              <w:jc w:val="center"/>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844.004.576</w:t>
            </w:r>
          </w:p>
        </w:tc>
        <w:tc>
          <w:tcPr>
            <w:tcW w:w="396" w:type="dxa"/>
            <w:shd w:val="clear" w:color="auto" w:fill="auto"/>
            <w:vAlign w:val="center"/>
            <w:hideMark/>
          </w:tcPr>
          <w:p w14:paraId="247E5DDA" w14:textId="77777777" w:rsidR="006E3CAD" w:rsidRPr="00AD4E79" w:rsidRDefault="006E3CAD" w:rsidP="00D22441">
            <w:pPr>
              <w:jc w:val="center"/>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0</w:t>
            </w:r>
          </w:p>
        </w:tc>
        <w:tc>
          <w:tcPr>
            <w:tcW w:w="578" w:type="dxa"/>
            <w:shd w:val="clear" w:color="auto" w:fill="auto"/>
            <w:vAlign w:val="center"/>
            <w:hideMark/>
          </w:tcPr>
          <w:p w14:paraId="1EE32EF1" w14:textId="77777777" w:rsidR="006E3CAD" w:rsidRPr="00AD4E79" w:rsidRDefault="006E3CAD" w:rsidP="00D22441">
            <w:pPr>
              <w:jc w:val="center"/>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3370</w:t>
            </w:r>
          </w:p>
        </w:tc>
        <w:tc>
          <w:tcPr>
            <w:tcW w:w="3647" w:type="dxa"/>
            <w:shd w:val="clear" w:color="auto" w:fill="auto"/>
            <w:vAlign w:val="center"/>
            <w:hideMark/>
          </w:tcPr>
          <w:p w14:paraId="0C8CA500" w14:textId="77777777" w:rsidR="006E3CAD" w:rsidRPr="00AD4E79" w:rsidRDefault="006E3CAD" w:rsidP="00D22441">
            <w:pPr>
              <w:jc w:val="left"/>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EMPRESA DE ENERGIA DE CASANARE SA ESP</w:t>
            </w:r>
          </w:p>
        </w:tc>
        <w:tc>
          <w:tcPr>
            <w:tcW w:w="1134" w:type="dxa"/>
            <w:shd w:val="clear" w:color="auto" w:fill="auto"/>
            <w:vAlign w:val="center"/>
          </w:tcPr>
          <w:p w14:paraId="29AAEF9E" w14:textId="7DE27002" w:rsidR="006E3CAD" w:rsidRPr="00AD4E79" w:rsidRDefault="006E3CAD" w:rsidP="00D22441">
            <w:pPr>
              <w:jc w:val="center"/>
              <w:rPr>
                <w:rFonts w:ascii="Arial Narrow" w:hAnsi="Arial Narrow" w:cs="Arial"/>
                <w:spacing w:val="0"/>
                <w:lang w:eastAsia="es-CO"/>
              </w:rPr>
            </w:pPr>
            <w:r w:rsidRPr="00AD4E79">
              <w:rPr>
                <w:rFonts w:ascii="Arial Narrow" w:hAnsi="Arial Narrow" w:cs="Arial"/>
                <w:spacing w:val="0"/>
                <w:sz w:val="16"/>
                <w:szCs w:val="16"/>
                <w:lang w:eastAsia="es-CO"/>
              </w:rPr>
              <w:t>OPERATIVA</w:t>
            </w:r>
          </w:p>
        </w:tc>
        <w:tc>
          <w:tcPr>
            <w:tcW w:w="2409" w:type="dxa"/>
            <w:shd w:val="clear" w:color="auto" w:fill="auto"/>
            <w:noWrap/>
            <w:vAlign w:val="center"/>
            <w:hideMark/>
          </w:tcPr>
          <w:p w14:paraId="0AA2B57D" w14:textId="5E45751E" w:rsidR="006E3CAD" w:rsidRPr="00AD4E79" w:rsidRDefault="006E3CAD" w:rsidP="00D22441">
            <w:pPr>
              <w:jc w:val="center"/>
              <w:rPr>
                <w:rFonts w:ascii="Arial Narrow" w:hAnsi="Arial Narrow" w:cs="Calibri"/>
                <w:spacing w:val="0"/>
                <w:sz w:val="16"/>
                <w:szCs w:val="16"/>
                <w:lang w:val="es-MX" w:eastAsia="es-MX"/>
              </w:rPr>
            </w:pPr>
            <w:r w:rsidRPr="00AD4E79">
              <w:rPr>
                <w:rFonts w:ascii="Arial Narrow" w:hAnsi="Arial Narrow" w:cs="Arial"/>
                <w:spacing w:val="0"/>
                <w:lang w:eastAsia="es-CO"/>
              </w:rPr>
              <w:t>REPORTANTE SUI</w:t>
            </w:r>
          </w:p>
        </w:tc>
      </w:tr>
      <w:tr w:rsidR="00AD4E79" w:rsidRPr="00AD4E79" w14:paraId="67E4E941" w14:textId="77777777" w:rsidTr="00AD4E79">
        <w:trPr>
          <w:trHeight w:val="290"/>
        </w:trPr>
        <w:tc>
          <w:tcPr>
            <w:tcW w:w="527" w:type="dxa"/>
            <w:shd w:val="clear" w:color="auto" w:fill="auto"/>
            <w:vAlign w:val="center"/>
            <w:hideMark/>
          </w:tcPr>
          <w:p w14:paraId="246BA7D8" w14:textId="77777777" w:rsidR="006E3CAD" w:rsidRPr="00AD4E79" w:rsidRDefault="006E3CAD" w:rsidP="00D22441">
            <w:pPr>
              <w:jc w:val="center"/>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8</w:t>
            </w:r>
          </w:p>
        </w:tc>
        <w:tc>
          <w:tcPr>
            <w:tcW w:w="943" w:type="dxa"/>
            <w:shd w:val="clear" w:color="auto" w:fill="auto"/>
            <w:vAlign w:val="center"/>
            <w:hideMark/>
          </w:tcPr>
          <w:p w14:paraId="5112E003" w14:textId="77777777" w:rsidR="006E3CAD" w:rsidRPr="00AD4E79" w:rsidRDefault="006E3CAD" w:rsidP="00D22441">
            <w:pPr>
              <w:jc w:val="center"/>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860.063.875</w:t>
            </w:r>
          </w:p>
        </w:tc>
        <w:tc>
          <w:tcPr>
            <w:tcW w:w="396" w:type="dxa"/>
            <w:shd w:val="clear" w:color="auto" w:fill="auto"/>
            <w:vAlign w:val="center"/>
            <w:hideMark/>
          </w:tcPr>
          <w:p w14:paraId="5C28A50F" w14:textId="77777777" w:rsidR="006E3CAD" w:rsidRPr="00AD4E79" w:rsidRDefault="006E3CAD" w:rsidP="00D22441">
            <w:pPr>
              <w:jc w:val="center"/>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8</w:t>
            </w:r>
          </w:p>
        </w:tc>
        <w:tc>
          <w:tcPr>
            <w:tcW w:w="578" w:type="dxa"/>
            <w:shd w:val="clear" w:color="auto" w:fill="auto"/>
            <w:vAlign w:val="center"/>
            <w:hideMark/>
          </w:tcPr>
          <w:p w14:paraId="1E5125B7" w14:textId="77777777" w:rsidR="006E3CAD" w:rsidRPr="00AD4E79" w:rsidRDefault="006E3CAD" w:rsidP="00D22441">
            <w:pPr>
              <w:jc w:val="center"/>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597</w:t>
            </w:r>
          </w:p>
        </w:tc>
        <w:tc>
          <w:tcPr>
            <w:tcW w:w="3647" w:type="dxa"/>
            <w:shd w:val="clear" w:color="auto" w:fill="auto"/>
            <w:vAlign w:val="center"/>
            <w:hideMark/>
          </w:tcPr>
          <w:p w14:paraId="2A209B39" w14:textId="77777777" w:rsidR="006E3CAD" w:rsidRPr="00AD4E79" w:rsidRDefault="006E3CAD" w:rsidP="00D22441">
            <w:pPr>
              <w:jc w:val="left"/>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ENEL COLOMBIA S.A. E.S.P.</w:t>
            </w:r>
          </w:p>
        </w:tc>
        <w:tc>
          <w:tcPr>
            <w:tcW w:w="1134" w:type="dxa"/>
            <w:shd w:val="clear" w:color="auto" w:fill="auto"/>
            <w:vAlign w:val="center"/>
          </w:tcPr>
          <w:p w14:paraId="1D0DD358" w14:textId="7DB851C2" w:rsidR="006E3CAD" w:rsidRPr="00AD4E79" w:rsidRDefault="006E3CAD" w:rsidP="00D22441">
            <w:pPr>
              <w:jc w:val="center"/>
              <w:rPr>
                <w:rFonts w:ascii="Arial Narrow" w:hAnsi="Arial Narrow" w:cs="Arial"/>
                <w:spacing w:val="0"/>
                <w:lang w:eastAsia="es-CO"/>
              </w:rPr>
            </w:pPr>
            <w:r w:rsidRPr="00AD4E79">
              <w:rPr>
                <w:rFonts w:ascii="Arial Narrow" w:hAnsi="Arial Narrow" w:cs="Arial"/>
                <w:spacing w:val="0"/>
                <w:sz w:val="16"/>
                <w:szCs w:val="16"/>
                <w:lang w:eastAsia="es-CO"/>
              </w:rPr>
              <w:t>OPERATIVA</w:t>
            </w:r>
          </w:p>
        </w:tc>
        <w:tc>
          <w:tcPr>
            <w:tcW w:w="2409" w:type="dxa"/>
            <w:shd w:val="clear" w:color="auto" w:fill="auto"/>
            <w:noWrap/>
            <w:vAlign w:val="center"/>
            <w:hideMark/>
          </w:tcPr>
          <w:p w14:paraId="3FEFA6F5" w14:textId="1DB75392" w:rsidR="006E3CAD" w:rsidRPr="00AD4E79" w:rsidRDefault="006E3CAD" w:rsidP="00D22441">
            <w:pPr>
              <w:jc w:val="center"/>
              <w:rPr>
                <w:rFonts w:ascii="Arial Narrow" w:hAnsi="Arial Narrow" w:cs="Calibri"/>
                <w:spacing w:val="0"/>
                <w:sz w:val="16"/>
                <w:szCs w:val="16"/>
                <w:lang w:val="es-MX" w:eastAsia="es-MX"/>
              </w:rPr>
            </w:pPr>
            <w:r w:rsidRPr="00AD4E79">
              <w:rPr>
                <w:rFonts w:ascii="Arial Narrow" w:hAnsi="Arial Narrow" w:cs="Arial"/>
                <w:spacing w:val="0"/>
                <w:lang w:eastAsia="es-CO"/>
              </w:rPr>
              <w:t>REPORTANTE SUI</w:t>
            </w:r>
          </w:p>
        </w:tc>
      </w:tr>
      <w:tr w:rsidR="00AD4E79" w:rsidRPr="00AD4E79" w14:paraId="45FE0170" w14:textId="77777777" w:rsidTr="00AD4E79">
        <w:trPr>
          <w:trHeight w:val="150"/>
        </w:trPr>
        <w:tc>
          <w:tcPr>
            <w:tcW w:w="527" w:type="dxa"/>
            <w:shd w:val="clear" w:color="auto" w:fill="auto"/>
            <w:vAlign w:val="center"/>
            <w:hideMark/>
          </w:tcPr>
          <w:p w14:paraId="53D5642A" w14:textId="77777777" w:rsidR="006E3CAD" w:rsidRPr="00AD4E79" w:rsidRDefault="006E3CAD" w:rsidP="00D22441">
            <w:pPr>
              <w:jc w:val="center"/>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9</w:t>
            </w:r>
          </w:p>
        </w:tc>
        <w:tc>
          <w:tcPr>
            <w:tcW w:w="943" w:type="dxa"/>
            <w:shd w:val="clear" w:color="auto" w:fill="auto"/>
            <w:vAlign w:val="center"/>
            <w:hideMark/>
          </w:tcPr>
          <w:p w14:paraId="3C707B45" w14:textId="77777777" w:rsidR="006E3CAD" w:rsidRPr="00AD4E79" w:rsidRDefault="006E3CAD" w:rsidP="00D22441">
            <w:pPr>
              <w:jc w:val="center"/>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900.038.232</w:t>
            </w:r>
          </w:p>
        </w:tc>
        <w:tc>
          <w:tcPr>
            <w:tcW w:w="396" w:type="dxa"/>
            <w:shd w:val="clear" w:color="auto" w:fill="auto"/>
            <w:vAlign w:val="center"/>
            <w:hideMark/>
          </w:tcPr>
          <w:p w14:paraId="4235E201" w14:textId="77777777" w:rsidR="006E3CAD" w:rsidRPr="00AD4E79" w:rsidRDefault="006E3CAD" w:rsidP="00D22441">
            <w:pPr>
              <w:jc w:val="center"/>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1</w:t>
            </w:r>
          </w:p>
        </w:tc>
        <w:tc>
          <w:tcPr>
            <w:tcW w:w="578" w:type="dxa"/>
            <w:shd w:val="clear" w:color="auto" w:fill="auto"/>
            <w:vAlign w:val="center"/>
            <w:hideMark/>
          </w:tcPr>
          <w:p w14:paraId="282C1555" w14:textId="77777777" w:rsidR="006E3CAD" w:rsidRPr="00AD4E79" w:rsidRDefault="006E3CAD" w:rsidP="00D22441">
            <w:pPr>
              <w:jc w:val="center"/>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24975</w:t>
            </w:r>
          </w:p>
        </w:tc>
        <w:tc>
          <w:tcPr>
            <w:tcW w:w="3647" w:type="dxa"/>
            <w:shd w:val="clear" w:color="auto" w:fill="auto"/>
            <w:vAlign w:val="center"/>
            <w:hideMark/>
          </w:tcPr>
          <w:p w14:paraId="3E3B36F8" w14:textId="77777777" w:rsidR="006E3CAD" w:rsidRPr="00AD4E79" w:rsidRDefault="006E3CAD" w:rsidP="00D22441">
            <w:pPr>
              <w:jc w:val="left"/>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CENTRAL TERMOELECTRICA EL MORRO 2 SAS ESP</w:t>
            </w:r>
          </w:p>
        </w:tc>
        <w:tc>
          <w:tcPr>
            <w:tcW w:w="1134" w:type="dxa"/>
            <w:shd w:val="clear" w:color="auto" w:fill="auto"/>
            <w:vAlign w:val="center"/>
          </w:tcPr>
          <w:p w14:paraId="4000C4BF" w14:textId="6D362F45" w:rsidR="006E3CAD" w:rsidRPr="00AD4E79" w:rsidRDefault="006E3CAD" w:rsidP="00D22441">
            <w:pPr>
              <w:jc w:val="center"/>
              <w:rPr>
                <w:rFonts w:ascii="Arial Narrow" w:hAnsi="Arial Narrow" w:cs="Arial"/>
                <w:spacing w:val="0"/>
                <w:lang w:eastAsia="es-CO"/>
              </w:rPr>
            </w:pPr>
            <w:r w:rsidRPr="00AD4E79">
              <w:rPr>
                <w:rFonts w:ascii="Arial Narrow" w:hAnsi="Arial Narrow" w:cs="Arial"/>
                <w:spacing w:val="0"/>
                <w:sz w:val="16"/>
                <w:szCs w:val="16"/>
                <w:lang w:eastAsia="es-CO"/>
              </w:rPr>
              <w:t>OPERATIVA</w:t>
            </w:r>
          </w:p>
        </w:tc>
        <w:tc>
          <w:tcPr>
            <w:tcW w:w="2409" w:type="dxa"/>
            <w:shd w:val="clear" w:color="auto" w:fill="auto"/>
            <w:noWrap/>
            <w:vAlign w:val="center"/>
            <w:hideMark/>
          </w:tcPr>
          <w:p w14:paraId="00B8A0D0" w14:textId="36719F80" w:rsidR="006E3CAD" w:rsidRPr="00AD4E79" w:rsidRDefault="006E3CAD" w:rsidP="00D22441">
            <w:pPr>
              <w:jc w:val="center"/>
              <w:rPr>
                <w:rFonts w:ascii="Arial Narrow" w:hAnsi="Arial Narrow" w:cs="Calibri"/>
                <w:spacing w:val="0"/>
                <w:sz w:val="16"/>
                <w:szCs w:val="16"/>
                <w:lang w:val="es-MX" w:eastAsia="es-MX"/>
              </w:rPr>
            </w:pPr>
            <w:r w:rsidRPr="00AD4E79">
              <w:rPr>
                <w:rFonts w:ascii="Arial Narrow" w:hAnsi="Arial Narrow" w:cs="Arial"/>
                <w:spacing w:val="0"/>
                <w:lang w:eastAsia="es-CO"/>
              </w:rPr>
              <w:t>SIN REPORTE AL SUI</w:t>
            </w:r>
          </w:p>
        </w:tc>
      </w:tr>
      <w:tr w:rsidR="00AD4E79" w:rsidRPr="00AD4E79" w14:paraId="3F8DC974" w14:textId="77777777" w:rsidTr="00AD4E79">
        <w:trPr>
          <w:trHeight w:val="480"/>
        </w:trPr>
        <w:tc>
          <w:tcPr>
            <w:tcW w:w="527" w:type="dxa"/>
            <w:shd w:val="clear" w:color="auto" w:fill="auto"/>
            <w:vAlign w:val="center"/>
            <w:hideMark/>
          </w:tcPr>
          <w:p w14:paraId="3C89F02B" w14:textId="77777777" w:rsidR="006E3CAD" w:rsidRPr="00AD4E79" w:rsidRDefault="006E3CAD" w:rsidP="00D22441">
            <w:pPr>
              <w:jc w:val="center"/>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10</w:t>
            </w:r>
          </w:p>
        </w:tc>
        <w:tc>
          <w:tcPr>
            <w:tcW w:w="943" w:type="dxa"/>
            <w:shd w:val="clear" w:color="auto" w:fill="auto"/>
            <w:vAlign w:val="center"/>
            <w:hideMark/>
          </w:tcPr>
          <w:p w14:paraId="12CF75B2" w14:textId="77777777" w:rsidR="006E3CAD" w:rsidRPr="00AD4E79" w:rsidRDefault="006E3CAD" w:rsidP="00D22441">
            <w:pPr>
              <w:jc w:val="center"/>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900.082.143</w:t>
            </w:r>
          </w:p>
        </w:tc>
        <w:tc>
          <w:tcPr>
            <w:tcW w:w="396" w:type="dxa"/>
            <w:shd w:val="clear" w:color="auto" w:fill="auto"/>
            <w:vAlign w:val="center"/>
            <w:hideMark/>
          </w:tcPr>
          <w:p w14:paraId="3BE2D97F" w14:textId="77777777" w:rsidR="006E3CAD" w:rsidRPr="00AD4E79" w:rsidRDefault="006E3CAD" w:rsidP="00D22441">
            <w:pPr>
              <w:jc w:val="center"/>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0</w:t>
            </w:r>
          </w:p>
        </w:tc>
        <w:tc>
          <w:tcPr>
            <w:tcW w:w="578" w:type="dxa"/>
            <w:shd w:val="clear" w:color="auto" w:fill="auto"/>
            <w:vAlign w:val="center"/>
            <w:hideMark/>
          </w:tcPr>
          <w:p w14:paraId="08BEC0F2" w14:textId="77777777" w:rsidR="006E3CAD" w:rsidRPr="00AD4E79" w:rsidRDefault="006E3CAD" w:rsidP="00D22441">
            <w:pPr>
              <w:jc w:val="center"/>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21600</w:t>
            </w:r>
          </w:p>
        </w:tc>
        <w:tc>
          <w:tcPr>
            <w:tcW w:w="3647" w:type="dxa"/>
            <w:shd w:val="clear" w:color="auto" w:fill="auto"/>
            <w:vAlign w:val="center"/>
            <w:hideMark/>
          </w:tcPr>
          <w:p w14:paraId="18FCB54B" w14:textId="77777777" w:rsidR="006E3CAD" w:rsidRPr="00AD4E79" w:rsidRDefault="006E3CAD" w:rsidP="00D22441">
            <w:pPr>
              <w:jc w:val="left"/>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GENERADORA Y COMERCIALIZADORA DE ENERGIA DEL CARIBE S.A E.S.P.</w:t>
            </w:r>
          </w:p>
        </w:tc>
        <w:tc>
          <w:tcPr>
            <w:tcW w:w="1134" w:type="dxa"/>
            <w:shd w:val="clear" w:color="auto" w:fill="auto"/>
            <w:vAlign w:val="center"/>
          </w:tcPr>
          <w:p w14:paraId="2D4808CE" w14:textId="39B9D666" w:rsidR="006E3CAD" w:rsidRPr="00AD4E79" w:rsidRDefault="006E3CAD" w:rsidP="00D22441">
            <w:pPr>
              <w:jc w:val="center"/>
              <w:rPr>
                <w:rFonts w:ascii="Arial Narrow" w:hAnsi="Arial Narrow" w:cs="Calibri"/>
                <w:spacing w:val="0"/>
                <w:sz w:val="16"/>
                <w:szCs w:val="16"/>
                <w:lang w:val="es-MX" w:eastAsia="es-MX"/>
              </w:rPr>
            </w:pPr>
            <w:r w:rsidRPr="00AD4E79">
              <w:rPr>
                <w:rFonts w:ascii="Arial Narrow" w:hAnsi="Arial Narrow" w:cs="Arial"/>
                <w:spacing w:val="0"/>
                <w:sz w:val="16"/>
                <w:szCs w:val="16"/>
                <w:lang w:eastAsia="es-CO"/>
              </w:rPr>
              <w:t>OPERATIVA</w:t>
            </w:r>
          </w:p>
        </w:tc>
        <w:tc>
          <w:tcPr>
            <w:tcW w:w="2409" w:type="dxa"/>
            <w:shd w:val="clear" w:color="auto" w:fill="auto"/>
            <w:noWrap/>
            <w:vAlign w:val="center"/>
            <w:hideMark/>
          </w:tcPr>
          <w:p w14:paraId="31C3CC9F" w14:textId="7888A5A8" w:rsidR="006E3CAD" w:rsidRPr="00AD4E79" w:rsidRDefault="006E3CAD" w:rsidP="00D22441">
            <w:pPr>
              <w:jc w:val="center"/>
              <w:rPr>
                <w:rFonts w:ascii="Arial Narrow" w:hAnsi="Arial Narrow" w:cs="Calibri"/>
                <w:spacing w:val="0"/>
                <w:sz w:val="16"/>
                <w:szCs w:val="16"/>
                <w:lang w:val="es-MX" w:eastAsia="es-MX"/>
              </w:rPr>
            </w:pPr>
            <w:r w:rsidRPr="00AD4E79">
              <w:rPr>
                <w:rFonts w:ascii="Arial Narrow" w:hAnsi="Arial Narrow" w:cs="Calibri"/>
                <w:spacing w:val="0"/>
                <w:sz w:val="16"/>
                <w:szCs w:val="16"/>
                <w:lang w:val="es-MX" w:eastAsia="es-MX"/>
              </w:rPr>
              <w:t>CON REPORTE</w:t>
            </w:r>
          </w:p>
        </w:tc>
      </w:tr>
      <w:tr w:rsidR="00AD4E79" w:rsidRPr="00AD4E79" w14:paraId="39474357" w14:textId="77777777" w:rsidTr="00AD4E79">
        <w:trPr>
          <w:trHeight w:val="290"/>
        </w:trPr>
        <w:tc>
          <w:tcPr>
            <w:tcW w:w="527" w:type="dxa"/>
            <w:shd w:val="clear" w:color="auto" w:fill="auto"/>
            <w:vAlign w:val="center"/>
            <w:hideMark/>
          </w:tcPr>
          <w:p w14:paraId="3D762AE0" w14:textId="77777777" w:rsidR="006E3CAD" w:rsidRPr="00AD4E79" w:rsidRDefault="006E3CAD" w:rsidP="00D22441">
            <w:pPr>
              <w:jc w:val="center"/>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lastRenderedPageBreak/>
              <w:t>11</w:t>
            </w:r>
          </w:p>
        </w:tc>
        <w:tc>
          <w:tcPr>
            <w:tcW w:w="943" w:type="dxa"/>
            <w:shd w:val="clear" w:color="auto" w:fill="auto"/>
            <w:vAlign w:val="center"/>
            <w:hideMark/>
          </w:tcPr>
          <w:p w14:paraId="7957B501" w14:textId="77777777" w:rsidR="006E3CAD" w:rsidRPr="00AD4E79" w:rsidRDefault="006E3CAD" w:rsidP="00D22441">
            <w:pPr>
              <w:jc w:val="center"/>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900.403.943</w:t>
            </w:r>
          </w:p>
        </w:tc>
        <w:tc>
          <w:tcPr>
            <w:tcW w:w="396" w:type="dxa"/>
            <w:shd w:val="clear" w:color="auto" w:fill="auto"/>
            <w:vAlign w:val="center"/>
            <w:hideMark/>
          </w:tcPr>
          <w:p w14:paraId="34C7DB34" w14:textId="77777777" w:rsidR="006E3CAD" w:rsidRPr="00AD4E79" w:rsidRDefault="006E3CAD" w:rsidP="00D22441">
            <w:pPr>
              <w:jc w:val="center"/>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5</w:t>
            </w:r>
          </w:p>
        </w:tc>
        <w:tc>
          <w:tcPr>
            <w:tcW w:w="578" w:type="dxa"/>
            <w:shd w:val="clear" w:color="auto" w:fill="auto"/>
            <w:vAlign w:val="center"/>
            <w:hideMark/>
          </w:tcPr>
          <w:p w14:paraId="72312CD5" w14:textId="77777777" w:rsidR="006E3CAD" w:rsidRPr="00AD4E79" w:rsidRDefault="006E3CAD" w:rsidP="00D22441">
            <w:pPr>
              <w:jc w:val="center"/>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38315</w:t>
            </w:r>
          </w:p>
        </w:tc>
        <w:tc>
          <w:tcPr>
            <w:tcW w:w="3647" w:type="dxa"/>
            <w:shd w:val="clear" w:color="auto" w:fill="auto"/>
            <w:vAlign w:val="center"/>
            <w:hideMark/>
          </w:tcPr>
          <w:p w14:paraId="6391EA80" w14:textId="77777777" w:rsidR="006E3CAD" w:rsidRPr="00AD4E79" w:rsidRDefault="006E3CAD" w:rsidP="00D22441">
            <w:pPr>
              <w:jc w:val="left"/>
              <w:rPr>
                <w:rFonts w:ascii="Arial Narrow" w:hAnsi="Arial Narrow" w:cs="Arial"/>
                <w:spacing w:val="0"/>
                <w:sz w:val="16"/>
                <w:szCs w:val="16"/>
                <w:lang w:val="en-GB" w:eastAsia="es-MX"/>
              </w:rPr>
            </w:pPr>
            <w:r w:rsidRPr="00AD4E79">
              <w:rPr>
                <w:rFonts w:ascii="Arial Narrow" w:hAnsi="Arial Narrow" w:cs="Arial"/>
                <w:spacing w:val="0"/>
                <w:sz w:val="16"/>
                <w:szCs w:val="16"/>
                <w:lang w:val="en-GB" w:eastAsia="es-MX"/>
              </w:rPr>
              <w:t>SOUTH32 ENERGY S.A.S. E.S.P.</w:t>
            </w:r>
          </w:p>
        </w:tc>
        <w:tc>
          <w:tcPr>
            <w:tcW w:w="1134" w:type="dxa"/>
            <w:shd w:val="clear" w:color="auto" w:fill="auto"/>
            <w:vAlign w:val="center"/>
          </w:tcPr>
          <w:p w14:paraId="29E32920" w14:textId="50D928AF" w:rsidR="006E3CAD" w:rsidRPr="00AD4E79" w:rsidRDefault="006E3CAD" w:rsidP="00D22441">
            <w:pPr>
              <w:jc w:val="center"/>
              <w:rPr>
                <w:rFonts w:ascii="Arial Narrow" w:hAnsi="Arial Narrow" w:cs="Arial"/>
                <w:spacing w:val="0"/>
                <w:lang w:eastAsia="es-CO"/>
              </w:rPr>
            </w:pPr>
            <w:r w:rsidRPr="00AD4E79">
              <w:rPr>
                <w:rFonts w:ascii="Arial Narrow" w:hAnsi="Arial Narrow" w:cs="Arial"/>
                <w:spacing w:val="0"/>
                <w:sz w:val="16"/>
                <w:szCs w:val="16"/>
                <w:lang w:eastAsia="es-CO"/>
              </w:rPr>
              <w:t>OPERATIVA</w:t>
            </w:r>
          </w:p>
        </w:tc>
        <w:tc>
          <w:tcPr>
            <w:tcW w:w="2409" w:type="dxa"/>
            <w:shd w:val="clear" w:color="auto" w:fill="auto"/>
            <w:noWrap/>
            <w:vAlign w:val="center"/>
            <w:hideMark/>
          </w:tcPr>
          <w:p w14:paraId="6FDE2BE8" w14:textId="3F869A88" w:rsidR="006E3CAD" w:rsidRPr="00AD4E79" w:rsidRDefault="006E3CAD" w:rsidP="00D22441">
            <w:pPr>
              <w:jc w:val="center"/>
              <w:rPr>
                <w:rFonts w:ascii="Arial Narrow" w:hAnsi="Arial Narrow" w:cs="Calibri"/>
                <w:spacing w:val="0"/>
                <w:sz w:val="16"/>
                <w:szCs w:val="16"/>
                <w:lang w:val="es-MX" w:eastAsia="es-MX"/>
              </w:rPr>
            </w:pPr>
            <w:r w:rsidRPr="00AD4E79">
              <w:rPr>
                <w:rFonts w:ascii="Arial Narrow" w:hAnsi="Arial Narrow" w:cs="Arial"/>
                <w:spacing w:val="0"/>
                <w:lang w:eastAsia="es-CO"/>
              </w:rPr>
              <w:t>SIN REPORTE AL SUI</w:t>
            </w:r>
          </w:p>
        </w:tc>
      </w:tr>
      <w:tr w:rsidR="00AD4E79" w:rsidRPr="00AD4E79" w14:paraId="68A5019D" w14:textId="77777777" w:rsidTr="00AD4E79">
        <w:trPr>
          <w:trHeight w:val="290"/>
        </w:trPr>
        <w:tc>
          <w:tcPr>
            <w:tcW w:w="527" w:type="dxa"/>
            <w:shd w:val="clear" w:color="auto" w:fill="auto"/>
            <w:vAlign w:val="center"/>
            <w:hideMark/>
          </w:tcPr>
          <w:p w14:paraId="7DEF3559" w14:textId="77777777" w:rsidR="006E3CAD" w:rsidRPr="00AD4E79" w:rsidRDefault="006E3CAD" w:rsidP="00D22441">
            <w:pPr>
              <w:jc w:val="center"/>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12</w:t>
            </w:r>
          </w:p>
        </w:tc>
        <w:tc>
          <w:tcPr>
            <w:tcW w:w="943" w:type="dxa"/>
            <w:shd w:val="clear" w:color="auto" w:fill="auto"/>
            <w:vAlign w:val="center"/>
            <w:hideMark/>
          </w:tcPr>
          <w:p w14:paraId="5CDE81E1" w14:textId="77777777" w:rsidR="006E3CAD" w:rsidRPr="00AD4E79" w:rsidRDefault="006E3CAD" w:rsidP="00D22441">
            <w:pPr>
              <w:jc w:val="center"/>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900.433.032</w:t>
            </w:r>
          </w:p>
        </w:tc>
        <w:tc>
          <w:tcPr>
            <w:tcW w:w="396" w:type="dxa"/>
            <w:shd w:val="clear" w:color="auto" w:fill="auto"/>
            <w:vAlign w:val="center"/>
            <w:hideMark/>
          </w:tcPr>
          <w:p w14:paraId="5F2979F7" w14:textId="77777777" w:rsidR="006E3CAD" w:rsidRPr="00AD4E79" w:rsidRDefault="006E3CAD" w:rsidP="00D22441">
            <w:pPr>
              <w:jc w:val="center"/>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9</w:t>
            </w:r>
          </w:p>
        </w:tc>
        <w:tc>
          <w:tcPr>
            <w:tcW w:w="578" w:type="dxa"/>
            <w:shd w:val="clear" w:color="auto" w:fill="auto"/>
            <w:vAlign w:val="center"/>
            <w:hideMark/>
          </w:tcPr>
          <w:p w14:paraId="5538E1C7" w14:textId="77777777" w:rsidR="006E3CAD" w:rsidRPr="00AD4E79" w:rsidRDefault="006E3CAD" w:rsidP="00D22441">
            <w:pPr>
              <w:jc w:val="center"/>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31191</w:t>
            </w:r>
          </w:p>
        </w:tc>
        <w:tc>
          <w:tcPr>
            <w:tcW w:w="3647" w:type="dxa"/>
            <w:shd w:val="clear" w:color="auto" w:fill="auto"/>
            <w:vAlign w:val="center"/>
            <w:hideMark/>
          </w:tcPr>
          <w:p w14:paraId="023A8276" w14:textId="77777777" w:rsidR="006E3CAD" w:rsidRPr="00AD4E79" w:rsidRDefault="006E3CAD" w:rsidP="00D22441">
            <w:pPr>
              <w:jc w:val="left"/>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TERPEL ENERGIA S.A.S E.S.P.</w:t>
            </w:r>
          </w:p>
        </w:tc>
        <w:tc>
          <w:tcPr>
            <w:tcW w:w="1134" w:type="dxa"/>
            <w:shd w:val="clear" w:color="auto" w:fill="auto"/>
            <w:vAlign w:val="center"/>
          </w:tcPr>
          <w:p w14:paraId="3D7AD65A" w14:textId="69236EF2" w:rsidR="006E3CAD" w:rsidRPr="00AD4E79" w:rsidRDefault="006E3CAD" w:rsidP="00D22441">
            <w:pPr>
              <w:jc w:val="center"/>
              <w:rPr>
                <w:rFonts w:ascii="Arial Narrow" w:hAnsi="Arial Narrow" w:cs="Calibri"/>
                <w:spacing w:val="0"/>
                <w:sz w:val="16"/>
                <w:szCs w:val="16"/>
                <w:lang w:val="es-MX" w:eastAsia="es-MX"/>
              </w:rPr>
            </w:pPr>
            <w:r w:rsidRPr="00AD4E79">
              <w:rPr>
                <w:rFonts w:ascii="Arial Narrow" w:hAnsi="Arial Narrow" w:cs="Arial"/>
                <w:spacing w:val="0"/>
                <w:sz w:val="16"/>
                <w:szCs w:val="16"/>
                <w:lang w:eastAsia="es-CO"/>
              </w:rPr>
              <w:t>OPERATIVA</w:t>
            </w:r>
          </w:p>
        </w:tc>
        <w:tc>
          <w:tcPr>
            <w:tcW w:w="2409" w:type="dxa"/>
            <w:shd w:val="clear" w:color="auto" w:fill="auto"/>
            <w:noWrap/>
            <w:vAlign w:val="center"/>
            <w:hideMark/>
          </w:tcPr>
          <w:p w14:paraId="19ABA350" w14:textId="0AAD82AD" w:rsidR="006E3CAD" w:rsidRPr="00AD4E79" w:rsidRDefault="006E3CAD" w:rsidP="00D22441">
            <w:pPr>
              <w:jc w:val="center"/>
              <w:rPr>
                <w:rFonts w:ascii="Arial Narrow" w:hAnsi="Arial Narrow" w:cs="Calibri"/>
                <w:spacing w:val="0"/>
                <w:sz w:val="16"/>
                <w:szCs w:val="16"/>
                <w:lang w:val="es-MX" w:eastAsia="es-MX"/>
              </w:rPr>
            </w:pPr>
            <w:r w:rsidRPr="00AD4E79">
              <w:rPr>
                <w:rFonts w:ascii="Arial Narrow" w:hAnsi="Arial Narrow" w:cs="Calibri"/>
                <w:spacing w:val="0"/>
                <w:sz w:val="16"/>
                <w:szCs w:val="16"/>
                <w:lang w:val="es-MX" w:eastAsia="es-MX"/>
              </w:rPr>
              <w:t>CON REPORTE</w:t>
            </w:r>
          </w:p>
        </w:tc>
      </w:tr>
      <w:tr w:rsidR="00AD4E79" w:rsidRPr="00AD4E79" w14:paraId="551C4262" w14:textId="77777777" w:rsidTr="00AD4E79">
        <w:trPr>
          <w:trHeight w:val="290"/>
        </w:trPr>
        <w:tc>
          <w:tcPr>
            <w:tcW w:w="527" w:type="dxa"/>
            <w:shd w:val="clear" w:color="auto" w:fill="auto"/>
            <w:vAlign w:val="center"/>
            <w:hideMark/>
          </w:tcPr>
          <w:p w14:paraId="1D3BD4CE" w14:textId="77777777" w:rsidR="006E3CAD" w:rsidRPr="00AD4E79" w:rsidRDefault="006E3CAD" w:rsidP="00D22441">
            <w:pPr>
              <w:jc w:val="center"/>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13</w:t>
            </w:r>
          </w:p>
        </w:tc>
        <w:tc>
          <w:tcPr>
            <w:tcW w:w="943" w:type="dxa"/>
            <w:shd w:val="clear" w:color="auto" w:fill="auto"/>
            <w:vAlign w:val="center"/>
            <w:hideMark/>
          </w:tcPr>
          <w:p w14:paraId="1B5FA47A" w14:textId="77777777" w:rsidR="006E3CAD" w:rsidRPr="00AD4E79" w:rsidRDefault="006E3CAD" w:rsidP="00D22441">
            <w:pPr>
              <w:jc w:val="center"/>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900.637.368</w:t>
            </w:r>
          </w:p>
        </w:tc>
        <w:tc>
          <w:tcPr>
            <w:tcW w:w="396" w:type="dxa"/>
            <w:shd w:val="clear" w:color="auto" w:fill="auto"/>
            <w:vAlign w:val="center"/>
            <w:hideMark/>
          </w:tcPr>
          <w:p w14:paraId="3F35944B" w14:textId="77777777" w:rsidR="006E3CAD" w:rsidRPr="00AD4E79" w:rsidRDefault="006E3CAD" w:rsidP="00D22441">
            <w:pPr>
              <w:jc w:val="center"/>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4</w:t>
            </w:r>
          </w:p>
        </w:tc>
        <w:tc>
          <w:tcPr>
            <w:tcW w:w="578" w:type="dxa"/>
            <w:shd w:val="clear" w:color="auto" w:fill="auto"/>
            <w:vAlign w:val="center"/>
            <w:hideMark/>
          </w:tcPr>
          <w:p w14:paraId="0586CF07" w14:textId="77777777" w:rsidR="006E3CAD" w:rsidRPr="00AD4E79" w:rsidRDefault="006E3CAD" w:rsidP="00D22441">
            <w:pPr>
              <w:jc w:val="center"/>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29011</w:t>
            </w:r>
          </w:p>
        </w:tc>
        <w:tc>
          <w:tcPr>
            <w:tcW w:w="3647" w:type="dxa"/>
            <w:shd w:val="clear" w:color="auto" w:fill="auto"/>
            <w:vAlign w:val="center"/>
            <w:hideMark/>
          </w:tcPr>
          <w:p w14:paraId="1FC0E17D" w14:textId="77777777" w:rsidR="006E3CAD" w:rsidRPr="00AD4E79" w:rsidRDefault="006E3CAD" w:rsidP="00D22441">
            <w:pPr>
              <w:jc w:val="left"/>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TERMO MECHERO MORRO SAS ESP</w:t>
            </w:r>
          </w:p>
        </w:tc>
        <w:tc>
          <w:tcPr>
            <w:tcW w:w="1134" w:type="dxa"/>
            <w:shd w:val="clear" w:color="auto" w:fill="auto"/>
            <w:vAlign w:val="center"/>
          </w:tcPr>
          <w:p w14:paraId="7CD252D5" w14:textId="11BA9239" w:rsidR="006E3CAD" w:rsidRPr="00AD4E79" w:rsidRDefault="006E3CAD" w:rsidP="00D22441">
            <w:pPr>
              <w:jc w:val="center"/>
              <w:rPr>
                <w:rFonts w:ascii="Arial Narrow" w:hAnsi="Arial Narrow" w:cs="Calibri"/>
                <w:spacing w:val="0"/>
                <w:sz w:val="16"/>
                <w:szCs w:val="16"/>
                <w:lang w:val="es-MX" w:eastAsia="es-MX"/>
              </w:rPr>
            </w:pPr>
            <w:r w:rsidRPr="00AD4E79">
              <w:rPr>
                <w:rFonts w:ascii="Arial Narrow" w:hAnsi="Arial Narrow" w:cs="Arial"/>
                <w:spacing w:val="0"/>
                <w:sz w:val="16"/>
                <w:szCs w:val="16"/>
                <w:lang w:eastAsia="es-CO"/>
              </w:rPr>
              <w:t>OPERATIVA</w:t>
            </w:r>
          </w:p>
        </w:tc>
        <w:tc>
          <w:tcPr>
            <w:tcW w:w="2409" w:type="dxa"/>
            <w:shd w:val="clear" w:color="auto" w:fill="auto"/>
            <w:noWrap/>
            <w:vAlign w:val="center"/>
            <w:hideMark/>
          </w:tcPr>
          <w:p w14:paraId="459736C0" w14:textId="2C7E1AAE" w:rsidR="006E3CAD" w:rsidRPr="00AD4E79" w:rsidRDefault="006E3CAD" w:rsidP="00D22441">
            <w:pPr>
              <w:jc w:val="center"/>
              <w:rPr>
                <w:rFonts w:ascii="Arial Narrow" w:hAnsi="Arial Narrow" w:cs="Calibri"/>
                <w:spacing w:val="0"/>
                <w:sz w:val="16"/>
                <w:szCs w:val="16"/>
                <w:lang w:val="es-MX" w:eastAsia="es-MX"/>
              </w:rPr>
            </w:pPr>
            <w:r w:rsidRPr="00AD4E79">
              <w:rPr>
                <w:rFonts w:ascii="Arial Narrow" w:hAnsi="Arial Narrow" w:cs="Calibri"/>
                <w:spacing w:val="0"/>
                <w:sz w:val="16"/>
                <w:szCs w:val="16"/>
                <w:lang w:val="es-MX" w:eastAsia="es-MX"/>
              </w:rPr>
              <w:t>CON REPORTE</w:t>
            </w:r>
          </w:p>
        </w:tc>
      </w:tr>
    </w:tbl>
    <w:p w14:paraId="382B9340" w14:textId="77777777" w:rsidR="00262AA6" w:rsidRDefault="00262AA6" w:rsidP="00D22441"/>
    <w:p w14:paraId="3A2FC10D" w14:textId="77777777" w:rsidR="00AD4E79" w:rsidRDefault="00AD4E79" w:rsidP="00D22441"/>
    <w:p w14:paraId="107B79DC" w14:textId="77777777" w:rsidR="00AD4E79" w:rsidRDefault="00AD4E79" w:rsidP="00D22441"/>
    <w:p w14:paraId="1CB5C0F3" w14:textId="77777777" w:rsidR="00AD4E79" w:rsidRDefault="00AD4E79" w:rsidP="00D22441"/>
    <w:p w14:paraId="48010935" w14:textId="580004D9" w:rsidR="0070768C" w:rsidRPr="0085721C" w:rsidRDefault="0070768C" w:rsidP="00D22441">
      <w:pPr>
        <w:pStyle w:val="Subttulo"/>
        <w:numPr>
          <w:ilvl w:val="1"/>
          <w:numId w:val="37"/>
        </w:numPr>
        <w:spacing w:after="0"/>
        <w:ind w:left="357" w:hanging="357"/>
        <w:jc w:val="left"/>
        <w:rPr>
          <w:b/>
          <w:bCs/>
          <w:sz w:val="22"/>
          <w:szCs w:val="22"/>
        </w:rPr>
      </w:pPr>
      <w:bookmarkStart w:id="70" w:name="_Toc147154319"/>
      <w:r>
        <w:rPr>
          <w:b/>
          <w:bCs/>
          <w:sz w:val="22"/>
          <w:szCs w:val="22"/>
        </w:rPr>
        <w:t>PRESTADORES</w:t>
      </w:r>
      <w:r w:rsidRPr="0085721C">
        <w:rPr>
          <w:b/>
          <w:bCs/>
          <w:sz w:val="22"/>
          <w:szCs w:val="22"/>
        </w:rPr>
        <w:t xml:space="preserve"> </w:t>
      </w:r>
      <w:r>
        <w:rPr>
          <w:b/>
          <w:bCs/>
          <w:sz w:val="22"/>
          <w:szCs w:val="22"/>
        </w:rPr>
        <w:t xml:space="preserve">SERVICIO DE </w:t>
      </w:r>
      <w:r w:rsidR="005703B8">
        <w:rPr>
          <w:b/>
          <w:bCs/>
          <w:sz w:val="22"/>
          <w:szCs w:val="22"/>
        </w:rPr>
        <w:t>GLP</w:t>
      </w:r>
      <w:r>
        <w:rPr>
          <w:b/>
          <w:bCs/>
          <w:sz w:val="22"/>
          <w:szCs w:val="22"/>
        </w:rPr>
        <w:t xml:space="preserve"> Y GAS POR REDES</w:t>
      </w:r>
      <w:r w:rsidR="00C447D2">
        <w:rPr>
          <w:b/>
          <w:bCs/>
          <w:sz w:val="22"/>
          <w:szCs w:val="22"/>
        </w:rPr>
        <w:t>.</w:t>
      </w:r>
      <w:bookmarkEnd w:id="70"/>
    </w:p>
    <w:p w14:paraId="328FF607" w14:textId="77777777" w:rsidR="00E75BBE" w:rsidRDefault="00E75BBE" w:rsidP="00D22441">
      <w:pPr>
        <w:pStyle w:val="Textoindependiente"/>
        <w:spacing w:after="0" w:line="240" w:lineRule="auto"/>
        <w:ind w:right="142"/>
        <w:rPr>
          <w:rFonts w:cs="Arial"/>
          <w:sz w:val="22"/>
          <w:szCs w:val="22"/>
        </w:rPr>
      </w:pPr>
    </w:p>
    <w:p w14:paraId="058440FD" w14:textId="5DD67763" w:rsidR="00F95853" w:rsidRDefault="00F95853" w:rsidP="00D22441">
      <w:pPr>
        <w:pStyle w:val="Textoindependiente"/>
        <w:spacing w:after="0" w:line="240" w:lineRule="auto"/>
        <w:ind w:right="142"/>
        <w:rPr>
          <w:rFonts w:cs="Arial"/>
          <w:sz w:val="22"/>
          <w:szCs w:val="22"/>
        </w:rPr>
      </w:pPr>
      <w:r>
        <w:rPr>
          <w:rFonts w:cs="Arial"/>
          <w:sz w:val="22"/>
          <w:szCs w:val="22"/>
        </w:rPr>
        <w:t xml:space="preserve">Conforme al censo de regulados de la CREG, base </w:t>
      </w:r>
      <w:r w:rsidRPr="00BE7DAF">
        <w:rPr>
          <w:rFonts w:cs="Arial"/>
          <w:sz w:val="22"/>
          <w:szCs w:val="22"/>
        </w:rPr>
        <w:t xml:space="preserve">para </w:t>
      </w:r>
      <w:r>
        <w:rPr>
          <w:rFonts w:cs="Arial"/>
          <w:sz w:val="22"/>
          <w:szCs w:val="22"/>
        </w:rPr>
        <w:t xml:space="preserve">realizar </w:t>
      </w:r>
      <w:r w:rsidRPr="00BE7DAF">
        <w:rPr>
          <w:rFonts w:cs="Arial"/>
          <w:sz w:val="22"/>
          <w:szCs w:val="22"/>
        </w:rPr>
        <w:t>el cálculo de la contribución de la vigencia 20</w:t>
      </w:r>
      <w:r>
        <w:rPr>
          <w:rFonts w:cs="Arial"/>
          <w:sz w:val="22"/>
          <w:szCs w:val="22"/>
        </w:rPr>
        <w:t xml:space="preserve">23, se determinaron 189 prestadores del servicio de GLP y gas por redes, los cuales se relacionan a continuación ordenados por el número de su NIT, </w:t>
      </w:r>
      <w:r w:rsidR="00E8458B">
        <w:rPr>
          <w:rFonts w:cs="Arial"/>
          <w:sz w:val="22"/>
          <w:szCs w:val="22"/>
        </w:rPr>
        <w:t>co</w:t>
      </w:r>
      <w:r w:rsidR="00BA4161">
        <w:rPr>
          <w:rFonts w:cs="Arial"/>
          <w:sz w:val="22"/>
          <w:szCs w:val="22"/>
        </w:rPr>
        <w:t>n</w:t>
      </w:r>
      <w:r>
        <w:rPr>
          <w:rFonts w:cs="Arial"/>
          <w:sz w:val="22"/>
          <w:szCs w:val="22"/>
        </w:rPr>
        <w:t xml:space="preserve"> su estado de reporte al SUI-SSPD con corte al 12 de julio de 2023:</w:t>
      </w:r>
    </w:p>
    <w:p w14:paraId="3DCD66FF" w14:textId="7B7016BE" w:rsidR="00B83708" w:rsidRDefault="00B83708" w:rsidP="00D22441">
      <w:pPr>
        <w:pStyle w:val="Textoindependiente"/>
        <w:spacing w:after="0" w:line="240" w:lineRule="auto"/>
        <w:ind w:right="142"/>
        <w:rPr>
          <w:rFonts w:cs="Arial"/>
          <w:sz w:val="22"/>
          <w:szCs w:val="22"/>
        </w:rPr>
      </w:pPr>
    </w:p>
    <w:p w14:paraId="3BAF72AC" w14:textId="17F36058" w:rsidR="00FD7384" w:rsidRPr="00B24EC3" w:rsidRDefault="00FD7384" w:rsidP="00FD7384">
      <w:pPr>
        <w:pStyle w:val="Descripcin"/>
        <w:rPr>
          <w:i w:val="0"/>
          <w:iCs w:val="0"/>
          <w:color w:val="auto"/>
        </w:rPr>
      </w:pPr>
      <w:bookmarkStart w:id="71" w:name="_Toc145486440"/>
      <w:r w:rsidRPr="002C4392">
        <w:rPr>
          <w:i w:val="0"/>
          <w:iCs w:val="0"/>
          <w:color w:val="auto"/>
        </w:rPr>
        <w:t xml:space="preserve">Tabla </w:t>
      </w:r>
      <w:r w:rsidRPr="002C4392">
        <w:rPr>
          <w:i w:val="0"/>
          <w:iCs w:val="0"/>
          <w:color w:val="auto"/>
        </w:rPr>
        <w:fldChar w:fldCharType="begin"/>
      </w:r>
      <w:r w:rsidRPr="002C4392">
        <w:rPr>
          <w:i w:val="0"/>
          <w:iCs w:val="0"/>
          <w:color w:val="auto"/>
        </w:rPr>
        <w:instrText xml:space="preserve"> SEQ Tabla \* ARABIC </w:instrText>
      </w:r>
      <w:r w:rsidRPr="002C4392">
        <w:rPr>
          <w:i w:val="0"/>
          <w:iCs w:val="0"/>
          <w:color w:val="auto"/>
        </w:rPr>
        <w:fldChar w:fldCharType="separate"/>
      </w:r>
      <w:r>
        <w:rPr>
          <w:i w:val="0"/>
          <w:iCs w:val="0"/>
          <w:noProof/>
          <w:color w:val="auto"/>
        </w:rPr>
        <w:t>14</w:t>
      </w:r>
      <w:r w:rsidRPr="002C4392">
        <w:rPr>
          <w:i w:val="0"/>
          <w:iCs w:val="0"/>
          <w:color w:val="auto"/>
        </w:rPr>
        <w:fldChar w:fldCharType="end"/>
      </w:r>
      <w:r w:rsidRPr="002C4392">
        <w:rPr>
          <w:i w:val="0"/>
          <w:iCs w:val="0"/>
          <w:color w:val="auto"/>
        </w:rPr>
        <w:t xml:space="preserve">. </w:t>
      </w:r>
      <w:r>
        <w:rPr>
          <w:i w:val="0"/>
          <w:iCs w:val="0"/>
          <w:color w:val="auto"/>
        </w:rPr>
        <w:t>Estado de reporte SUI información financiera 2022 prestadores servicio de GLP y gas por redes.</w:t>
      </w:r>
      <w:bookmarkEnd w:id="71"/>
    </w:p>
    <w:tbl>
      <w:tblPr>
        <w:tblW w:w="9466" w:type="dxa"/>
        <w:tblLayout w:type="fixed"/>
        <w:tblCellMar>
          <w:left w:w="70" w:type="dxa"/>
          <w:right w:w="70" w:type="dxa"/>
        </w:tblCellMar>
        <w:tblLook w:val="04A0" w:firstRow="1" w:lastRow="0" w:firstColumn="1" w:lastColumn="0" w:noHBand="0" w:noVBand="1"/>
      </w:tblPr>
      <w:tblGrid>
        <w:gridCol w:w="454"/>
        <w:gridCol w:w="880"/>
        <w:gridCol w:w="323"/>
        <w:gridCol w:w="505"/>
        <w:gridCol w:w="3498"/>
        <w:gridCol w:w="1262"/>
        <w:gridCol w:w="2544"/>
      </w:tblGrid>
      <w:tr w:rsidR="00AD4E79" w:rsidRPr="00AD4E79" w14:paraId="5F47C5D0" w14:textId="77777777" w:rsidTr="00AD4E79">
        <w:trPr>
          <w:trHeight w:val="521"/>
          <w:tblHeader/>
        </w:trPr>
        <w:tc>
          <w:tcPr>
            <w:tcW w:w="45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002CF24" w14:textId="77777777" w:rsidR="00E75BBE" w:rsidRPr="00AD4E79" w:rsidRDefault="00E75BBE" w:rsidP="00D22441">
            <w:pPr>
              <w:jc w:val="center"/>
              <w:rPr>
                <w:rFonts w:ascii="Arial Narrow" w:hAnsi="Arial Narrow" w:cs="Arial"/>
                <w:b/>
                <w:bCs/>
                <w:spacing w:val="0"/>
                <w:sz w:val="16"/>
                <w:szCs w:val="16"/>
                <w:lang w:eastAsia="es-CO"/>
              </w:rPr>
            </w:pPr>
            <w:r w:rsidRPr="00AD4E79">
              <w:rPr>
                <w:rFonts w:ascii="Arial Narrow" w:hAnsi="Arial Narrow" w:cs="Arial"/>
                <w:b/>
                <w:bCs/>
                <w:spacing w:val="0"/>
                <w:sz w:val="16"/>
                <w:szCs w:val="16"/>
                <w:lang w:eastAsia="es-CO"/>
              </w:rPr>
              <w:t>ITEM</w:t>
            </w:r>
          </w:p>
        </w:tc>
        <w:tc>
          <w:tcPr>
            <w:tcW w:w="880" w:type="dxa"/>
            <w:tcBorders>
              <w:top w:val="single" w:sz="8" w:space="0" w:color="auto"/>
              <w:left w:val="nil"/>
              <w:bottom w:val="single" w:sz="8" w:space="0" w:color="auto"/>
              <w:right w:val="single" w:sz="8" w:space="0" w:color="auto"/>
            </w:tcBorders>
            <w:shd w:val="clear" w:color="auto" w:fill="auto"/>
            <w:vAlign w:val="center"/>
            <w:hideMark/>
          </w:tcPr>
          <w:p w14:paraId="26D16901" w14:textId="77777777" w:rsidR="00E75BBE" w:rsidRPr="00AD4E79" w:rsidRDefault="00E75BBE" w:rsidP="00D22441">
            <w:pPr>
              <w:jc w:val="center"/>
              <w:rPr>
                <w:rFonts w:ascii="Arial Narrow" w:hAnsi="Arial Narrow" w:cs="Arial"/>
                <w:b/>
                <w:bCs/>
                <w:spacing w:val="0"/>
                <w:sz w:val="16"/>
                <w:szCs w:val="16"/>
                <w:lang w:eastAsia="es-CO"/>
              </w:rPr>
            </w:pPr>
            <w:r w:rsidRPr="00AD4E79">
              <w:rPr>
                <w:rFonts w:ascii="Arial Narrow" w:hAnsi="Arial Narrow" w:cs="Arial"/>
                <w:b/>
                <w:bCs/>
                <w:spacing w:val="0"/>
                <w:sz w:val="16"/>
                <w:szCs w:val="16"/>
                <w:lang w:eastAsia="es-CO"/>
              </w:rPr>
              <w:t>NIT</w:t>
            </w:r>
          </w:p>
        </w:tc>
        <w:tc>
          <w:tcPr>
            <w:tcW w:w="323" w:type="dxa"/>
            <w:tcBorders>
              <w:top w:val="single" w:sz="8" w:space="0" w:color="auto"/>
              <w:left w:val="nil"/>
              <w:bottom w:val="single" w:sz="8" w:space="0" w:color="auto"/>
              <w:right w:val="single" w:sz="8" w:space="0" w:color="auto"/>
            </w:tcBorders>
            <w:shd w:val="clear" w:color="auto" w:fill="auto"/>
            <w:vAlign w:val="center"/>
            <w:hideMark/>
          </w:tcPr>
          <w:p w14:paraId="4AB6056F" w14:textId="77777777" w:rsidR="00E75BBE" w:rsidRPr="00AD4E79" w:rsidRDefault="00E75BBE" w:rsidP="00D22441">
            <w:pPr>
              <w:jc w:val="center"/>
              <w:rPr>
                <w:rFonts w:ascii="Arial Narrow" w:hAnsi="Arial Narrow" w:cs="Arial"/>
                <w:b/>
                <w:bCs/>
                <w:spacing w:val="0"/>
                <w:sz w:val="16"/>
                <w:szCs w:val="16"/>
                <w:lang w:eastAsia="es-CO"/>
              </w:rPr>
            </w:pPr>
            <w:r w:rsidRPr="00AD4E79">
              <w:rPr>
                <w:rFonts w:ascii="Arial Narrow" w:hAnsi="Arial Narrow" w:cs="Arial"/>
                <w:b/>
                <w:bCs/>
                <w:spacing w:val="0"/>
                <w:sz w:val="16"/>
                <w:szCs w:val="16"/>
                <w:lang w:eastAsia="es-CO"/>
              </w:rPr>
              <w:t>DV</w:t>
            </w:r>
          </w:p>
        </w:tc>
        <w:tc>
          <w:tcPr>
            <w:tcW w:w="505" w:type="dxa"/>
            <w:tcBorders>
              <w:top w:val="single" w:sz="8" w:space="0" w:color="auto"/>
              <w:left w:val="nil"/>
              <w:bottom w:val="single" w:sz="8" w:space="0" w:color="auto"/>
              <w:right w:val="single" w:sz="8" w:space="0" w:color="auto"/>
            </w:tcBorders>
            <w:shd w:val="clear" w:color="auto" w:fill="auto"/>
            <w:vAlign w:val="center"/>
            <w:hideMark/>
          </w:tcPr>
          <w:p w14:paraId="43FB4466" w14:textId="77777777" w:rsidR="00E75BBE" w:rsidRPr="00AD4E79" w:rsidRDefault="00E75BBE" w:rsidP="00D22441">
            <w:pPr>
              <w:jc w:val="center"/>
              <w:rPr>
                <w:rFonts w:ascii="Arial Narrow" w:hAnsi="Arial Narrow" w:cs="Arial"/>
                <w:b/>
                <w:bCs/>
                <w:spacing w:val="0"/>
                <w:sz w:val="16"/>
                <w:szCs w:val="16"/>
                <w:lang w:eastAsia="es-CO"/>
              </w:rPr>
            </w:pPr>
            <w:r w:rsidRPr="00AD4E79">
              <w:rPr>
                <w:rFonts w:ascii="Arial Narrow" w:hAnsi="Arial Narrow" w:cs="Arial"/>
                <w:b/>
                <w:bCs/>
                <w:spacing w:val="0"/>
                <w:sz w:val="16"/>
                <w:szCs w:val="16"/>
                <w:lang w:eastAsia="es-CO"/>
              </w:rPr>
              <w:t>RUPS</w:t>
            </w:r>
          </w:p>
        </w:tc>
        <w:tc>
          <w:tcPr>
            <w:tcW w:w="3498" w:type="dxa"/>
            <w:tcBorders>
              <w:top w:val="single" w:sz="8" w:space="0" w:color="auto"/>
              <w:left w:val="nil"/>
              <w:bottom w:val="single" w:sz="8" w:space="0" w:color="auto"/>
              <w:right w:val="single" w:sz="8" w:space="0" w:color="auto"/>
            </w:tcBorders>
            <w:shd w:val="clear" w:color="auto" w:fill="auto"/>
            <w:vAlign w:val="center"/>
            <w:hideMark/>
          </w:tcPr>
          <w:p w14:paraId="197BC510" w14:textId="77777777" w:rsidR="00E75BBE" w:rsidRPr="00AD4E79" w:rsidRDefault="00E75BBE" w:rsidP="00D22441">
            <w:pPr>
              <w:jc w:val="center"/>
              <w:rPr>
                <w:rFonts w:ascii="Arial Narrow" w:hAnsi="Arial Narrow" w:cs="Arial"/>
                <w:b/>
                <w:bCs/>
                <w:spacing w:val="0"/>
                <w:sz w:val="16"/>
                <w:szCs w:val="16"/>
                <w:lang w:eastAsia="es-CO"/>
              </w:rPr>
            </w:pPr>
            <w:r w:rsidRPr="00AD4E79">
              <w:rPr>
                <w:rFonts w:ascii="Arial Narrow" w:hAnsi="Arial Narrow" w:cs="Arial"/>
                <w:b/>
                <w:bCs/>
                <w:spacing w:val="0"/>
                <w:sz w:val="16"/>
                <w:szCs w:val="16"/>
                <w:lang w:eastAsia="es-CO"/>
              </w:rPr>
              <w:t>RAZÓN SOCIAL</w:t>
            </w:r>
          </w:p>
        </w:tc>
        <w:tc>
          <w:tcPr>
            <w:tcW w:w="1262" w:type="dxa"/>
            <w:tcBorders>
              <w:top w:val="single" w:sz="8" w:space="0" w:color="auto"/>
              <w:left w:val="nil"/>
              <w:bottom w:val="single" w:sz="8" w:space="0" w:color="auto"/>
              <w:right w:val="single" w:sz="8" w:space="0" w:color="auto"/>
            </w:tcBorders>
            <w:shd w:val="clear" w:color="auto" w:fill="auto"/>
            <w:vAlign w:val="center"/>
            <w:hideMark/>
          </w:tcPr>
          <w:p w14:paraId="3C43BFA5" w14:textId="77777777" w:rsidR="00E75BBE" w:rsidRPr="00AD4E79" w:rsidRDefault="00E75BBE" w:rsidP="00D22441">
            <w:pPr>
              <w:jc w:val="center"/>
              <w:rPr>
                <w:rFonts w:ascii="Arial Narrow" w:hAnsi="Arial Narrow" w:cs="Arial"/>
                <w:b/>
                <w:bCs/>
                <w:spacing w:val="0"/>
                <w:sz w:val="16"/>
                <w:szCs w:val="16"/>
                <w:lang w:eastAsia="es-CO"/>
              </w:rPr>
            </w:pPr>
            <w:r w:rsidRPr="00AD4E79">
              <w:rPr>
                <w:rFonts w:ascii="Arial Narrow" w:hAnsi="Arial Narrow" w:cs="Arial"/>
                <w:b/>
                <w:bCs/>
                <w:spacing w:val="0"/>
                <w:sz w:val="16"/>
                <w:szCs w:val="16"/>
                <w:lang w:eastAsia="es-CO"/>
              </w:rPr>
              <w:t>ESTADO PRESTADOR</w:t>
            </w:r>
          </w:p>
        </w:tc>
        <w:tc>
          <w:tcPr>
            <w:tcW w:w="2544" w:type="dxa"/>
            <w:tcBorders>
              <w:top w:val="single" w:sz="8" w:space="0" w:color="auto"/>
              <w:left w:val="nil"/>
              <w:bottom w:val="single" w:sz="8" w:space="0" w:color="auto"/>
              <w:right w:val="single" w:sz="8" w:space="0" w:color="auto"/>
            </w:tcBorders>
            <w:shd w:val="clear" w:color="auto" w:fill="auto"/>
            <w:vAlign w:val="center"/>
            <w:hideMark/>
          </w:tcPr>
          <w:p w14:paraId="0E1BE5B3" w14:textId="77777777" w:rsidR="00E75BBE" w:rsidRPr="00AD4E79" w:rsidRDefault="00E75BBE" w:rsidP="00D22441">
            <w:pPr>
              <w:jc w:val="center"/>
              <w:rPr>
                <w:rFonts w:ascii="Arial Narrow" w:hAnsi="Arial Narrow" w:cs="Arial"/>
                <w:b/>
                <w:bCs/>
                <w:spacing w:val="0"/>
                <w:sz w:val="16"/>
                <w:szCs w:val="16"/>
                <w:lang w:eastAsia="es-CO"/>
              </w:rPr>
            </w:pPr>
            <w:r w:rsidRPr="00AD4E79">
              <w:rPr>
                <w:rFonts w:ascii="Arial Narrow" w:hAnsi="Arial Narrow" w:cs="Arial"/>
                <w:b/>
                <w:bCs/>
                <w:spacing w:val="0"/>
                <w:sz w:val="16"/>
                <w:szCs w:val="16"/>
                <w:lang w:eastAsia="es-CO"/>
              </w:rPr>
              <w:t xml:space="preserve">ESTADO DE REPORTE </w:t>
            </w:r>
            <w:r w:rsidRPr="00AD4E79">
              <w:rPr>
                <w:rFonts w:ascii="Arial Narrow" w:hAnsi="Arial Narrow" w:cs="Arial"/>
                <w:b/>
                <w:bCs/>
                <w:spacing w:val="0"/>
                <w:sz w:val="16"/>
                <w:szCs w:val="16"/>
                <w:lang w:eastAsia="es-CO"/>
              </w:rPr>
              <w:br/>
              <w:t xml:space="preserve">SUI-SSPD </w:t>
            </w:r>
            <w:r w:rsidRPr="00AD4E79">
              <w:rPr>
                <w:rFonts w:ascii="Arial Narrow" w:hAnsi="Arial Narrow" w:cs="Arial"/>
                <w:b/>
                <w:bCs/>
                <w:spacing w:val="0"/>
                <w:sz w:val="16"/>
                <w:szCs w:val="16"/>
                <w:lang w:eastAsia="es-CO"/>
              </w:rPr>
              <w:br/>
              <w:t>INFORMACIÓN FINANCIERA 2022</w:t>
            </w:r>
          </w:p>
        </w:tc>
      </w:tr>
      <w:tr w:rsidR="00AD4E79" w:rsidRPr="00AD4E79" w14:paraId="6A01823C"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5F7CA8D5"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w:t>
            </w:r>
          </w:p>
        </w:tc>
        <w:tc>
          <w:tcPr>
            <w:tcW w:w="880" w:type="dxa"/>
            <w:tcBorders>
              <w:top w:val="nil"/>
              <w:left w:val="nil"/>
              <w:bottom w:val="single" w:sz="8" w:space="0" w:color="auto"/>
              <w:right w:val="single" w:sz="8" w:space="0" w:color="auto"/>
            </w:tcBorders>
            <w:shd w:val="clear" w:color="auto" w:fill="auto"/>
            <w:vAlign w:val="center"/>
            <w:hideMark/>
          </w:tcPr>
          <w:p w14:paraId="4C65DF46"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800.007.813</w:t>
            </w:r>
          </w:p>
        </w:tc>
        <w:tc>
          <w:tcPr>
            <w:tcW w:w="323" w:type="dxa"/>
            <w:tcBorders>
              <w:top w:val="nil"/>
              <w:left w:val="nil"/>
              <w:bottom w:val="single" w:sz="8" w:space="0" w:color="auto"/>
              <w:right w:val="single" w:sz="8" w:space="0" w:color="auto"/>
            </w:tcBorders>
            <w:shd w:val="clear" w:color="auto" w:fill="auto"/>
            <w:vAlign w:val="center"/>
            <w:hideMark/>
          </w:tcPr>
          <w:p w14:paraId="7B336FD8"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5</w:t>
            </w:r>
          </w:p>
        </w:tc>
        <w:tc>
          <w:tcPr>
            <w:tcW w:w="505" w:type="dxa"/>
            <w:tcBorders>
              <w:top w:val="nil"/>
              <w:left w:val="nil"/>
              <w:bottom w:val="single" w:sz="8" w:space="0" w:color="auto"/>
              <w:right w:val="single" w:sz="8" w:space="0" w:color="auto"/>
            </w:tcBorders>
            <w:shd w:val="clear" w:color="auto" w:fill="auto"/>
            <w:vAlign w:val="center"/>
            <w:hideMark/>
          </w:tcPr>
          <w:p w14:paraId="7F56B57D"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488</w:t>
            </w:r>
          </w:p>
        </w:tc>
        <w:tc>
          <w:tcPr>
            <w:tcW w:w="3498" w:type="dxa"/>
            <w:tcBorders>
              <w:top w:val="nil"/>
              <w:left w:val="nil"/>
              <w:bottom w:val="single" w:sz="8" w:space="0" w:color="auto"/>
              <w:right w:val="single" w:sz="8" w:space="0" w:color="auto"/>
            </w:tcBorders>
            <w:shd w:val="clear" w:color="auto" w:fill="auto"/>
            <w:vAlign w:val="center"/>
            <w:hideMark/>
          </w:tcPr>
          <w:p w14:paraId="3C7D7EB6"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VANTI S.A. ESP</w:t>
            </w:r>
          </w:p>
        </w:tc>
        <w:tc>
          <w:tcPr>
            <w:tcW w:w="1262" w:type="dxa"/>
            <w:tcBorders>
              <w:top w:val="nil"/>
              <w:left w:val="nil"/>
              <w:bottom w:val="single" w:sz="8" w:space="0" w:color="auto"/>
              <w:right w:val="single" w:sz="8" w:space="0" w:color="auto"/>
            </w:tcBorders>
            <w:shd w:val="clear" w:color="auto" w:fill="auto"/>
            <w:vAlign w:val="center"/>
            <w:hideMark/>
          </w:tcPr>
          <w:p w14:paraId="3572E129"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1334C1F5"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38ACEAEF" w14:textId="77777777" w:rsidTr="00AD4E79">
        <w:trPr>
          <w:trHeight w:val="224"/>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56EE1468"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w:t>
            </w:r>
          </w:p>
        </w:tc>
        <w:tc>
          <w:tcPr>
            <w:tcW w:w="880" w:type="dxa"/>
            <w:tcBorders>
              <w:top w:val="nil"/>
              <w:left w:val="nil"/>
              <w:bottom w:val="single" w:sz="8" w:space="0" w:color="auto"/>
              <w:right w:val="single" w:sz="8" w:space="0" w:color="auto"/>
            </w:tcBorders>
            <w:shd w:val="clear" w:color="auto" w:fill="auto"/>
            <w:vAlign w:val="center"/>
            <w:hideMark/>
          </w:tcPr>
          <w:p w14:paraId="0691C71B"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800.021.272</w:t>
            </w:r>
          </w:p>
        </w:tc>
        <w:tc>
          <w:tcPr>
            <w:tcW w:w="323" w:type="dxa"/>
            <w:tcBorders>
              <w:top w:val="nil"/>
              <w:left w:val="nil"/>
              <w:bottom w:val="single" w:sz="8" w:space="0" w:color="auto"/>
              <w:right w:val="single" w:sz="8" w:space="0" w:color="auto"/>
            </w:tcBorders>
            <w:shd w:val="clear" w:color="auto" w:fill="auto"/>
            <w:vAlign w:val="center"/>
            <w:hideMark/>
          </w:tcPr>
          <w:p w14:paraId="21900AD0"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w:t>
            </w:r>
          </w:p>
        </w:tc>
        <w:tc>
          <w:tcPr>
            <w:tcW w:w="505" w:type="dxa"/>
            <w:tcBorders>
              <w:top w:val="nil"/>
              <w:left w:val="nil"/>
              <w:bottom w:val="single" w:sz="8" w:space="0" w:color="auto"/>
              <w:right w:val="single" w:sz="8" w:space="0" w:color="auto"/>
            </w:tcBorders>
            <w:shd w:val="clear" w:color="auto" w:fill="auto"/>
            <w:vAlign w:val="center"/>
            <w:hideMark/>
          </w:tcPr>
          <w:p w14:paraId="2DFB834A"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620</w:t>
            </w:r>
          </w:p>
        </w:tc>
        <w:tc>
          <w:tcPr>
            <w:tcW w:w="3498" w:type="dxa"/>
            <w:tcBorders>
              <w:top w:val="nil"/>
              <w:left w:val="nil"/>
              <w:bottom w:val="single" w:sz="8" w:space="0" w:color="auto"/>
              <w:right w:val="single" w:sz="8" w:space="0" w:color="auto"/>
            </w:tcBorders>
            <w:shd w:val="clear" w:color="auto" w:fill="auto"/>
            <w:vAlign w:val="center"/>
            <w:hideMark/>
          </w:tcPr>
          <w:p w14:paraId="24E86A6D"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GASES DEL LLANO S.A EMPRESA DE SERVICIOS PUBLICOS BIC</w:t>
            </w:r>
          </w:p>
        </w:tc>
        <w:tc>
          <w:tcPr>
            <w:tcW w:w="1262" w:type="dxa"/>
            <w:tcBorders>
              <w:top w:val="nil"/>
              <w:left w:val="nil"/>
              <w:bottom w:val="single" w:sz="8" w:space="0" w:color="auto"/>
              <w:right w:val="single" w:sz="8" w:space="0" w:color="auto"/>
            </w:tcBorders>
            <w:shd w:val="clear" w:color="auto" w:fill="auto"/>
            <w:vAlign w:val="center"/>
            <w:hideMark/>
          </w:tcPr>
          <w:p w14:paraId="0347A873"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6F15F6E0"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5753DFCC"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5CBDB175"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3</w:t>
            </w:r>
          </w:p>
        </w:tc>
        <w:tc>
          <w:tcPr>
            <w:tcW w:w="880" w:type="dxa"/>
            <w:tcBorders>
              <w:top w:val="nil"/>
              <w:left w:val="nil"/>
              <w:bottom w:val="single" w:sz="8" w:space="0" w:color="auto"/>
              <w:right w:val="single" w:sz="8" w:space="0" w:color="auto"/>
            </w:tcBorders>
            <w:shd w:val="clear" w:color="auto" w:fill="auto"/>
            <w:vAlign w:val="center"/>
            <w:hideMark/>
          </w:tcPr>
          <w:p w14:paraId="744DBF26"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800.033.858</w:t>
            </w:r>
          </w:p>
        </w:tc>
        <w:tc>
          <w:tcPr>
            <w:tcW w:w="323" w:type="dxa"/>
            <w:tcBorders>
              <w:top w:val="nil"/>
              <w:left w:val="nil"/>
              <w:bottom w:val="single" w:sz="8" w:space="0" w:color="auto"/>
              <w:right w:val="single" w:sz="8" w:space="0" w:color="auto"/>
            </w:tcBorders>
            <w:shd w:val="clear" w:color="auto" w:fill="auto"/>
            <w:vAlign w:val="center"/>
            <w:hideMark/>
          </w:tcPr>
          <w:p w14:paraId="65AB195A"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6</w:t>
            </w:r>
          </w:p>
        </w:tc>
        <w:tc>
          <w:tcPr>
            <w:tcW w:w="505" w:type="dxa"/>
            <w:tcBorders>
              <w:top w:val="nil"/>
              <w:left w:val="nil"/>
              <w:bottom w:val="single" w:sz="8" w:space="0" w:color="auto"/>
              <w:right w:val="single" w:sz="8" w:space="0" w:color="auto"/>
            </w:tcBorders>
            <w:shd w:val="clear" w:color="auto" w:fill="auto"/>
            <w:vAlign w:val="center"/>
            <w:hideMark/>
          </w:tcPr>
          <w:p w14:paraId="6FF877F8"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43136</w:t>
            </w:r>
          </w:p>
        </w:tc>
        <w:tc>
          <w:tcPr>
            <w:tcW w:w="3498" w:type="dxa"/>
            <w:tcBorders>
              <w:top w:val="nil"/>
              <w:left w:val="nil"/>
              <w:bottom w:val="single" w:sz="8" w:space="0" w:color="auto"/>
              <w:right w:val="single" w:sz="8" w:space="0" w:color="auto"/>
            </w:tcBorders>
            <w:shd w:val="clear" w:color="auto" w:fill="auto"/>
            <w:vAlign w:val="center"/>
            <w:hideMark/>
          </w:tcPr>
          <w:p w14:paraId="2A1F62FA"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SOCIEDAD PORTUARIA EL CAYAO S.A E.</w:t>
            </w:r>
            <w:proofErr w:type="gramStart"/>
            <w:r w:rsidRPr="00AD4E79">
              <w:rPr>
                <w:rFonts w:ascii="Arial Narrow" w:hAnsi="Arial Narrow" w:cs="Arial"/>
                <w:spacing w:val="0"/>
                <w:sz w:val="16"/>
                <w:szCs w:val="16"/>
                <w:lang w:eastAsia="es-CO"/>
              </w:rPr>
              <w:t>S.P</w:t>
            </w:r>
            <w:proofErr w:type="gramEnd"/>
          </w:p>
        </w:tc>
        <w:tc>
          <w:tcPr>
            <w:tcW w:w="1262" w:type="dxa"/>
            <w:tcBorders>
              <w:top w:val="nil"/>
              <w:left w:val="nil"/>
              <w:bottom w:val="single" w:sz="8" w:space="0" w:color="auto"/>
              <w:right w:val="single" w:sz="8" w:space="0" w:color="auto"/>
            </w:tcBorders>
            <w:shd w:val="clear" w:color="auto" w:fill="auto"/>
            <w:vAlign w:val="center"/>
            <w:hideMark/>
          </w:tcPr>
          <w:p w14:paraId="1124CA4B"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4B715EEF"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SIN REPORTE AL SUI</w:t>
            </w:r>
          </w:p>
        </w:tc>
      </w:tr>
      <w:tr w:rsidR="00AD4E79" w:rsidRPr="00AD4E79" w14:paraId="6C37C27F"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47BD814E"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4</w:t>
            </w:r>
          </w:p>
        </w:tc>
        <w:tc>
          <w:tcPr>
            <w:tcW w:w="880" w:type="dxa"/>
            <w:tcBorders>
              <w:top w:val="nil"/>
              <w:left w:val="nil"/>
              <w:bottom w:val="single" w:sz="8" w:space="0" w:color="auto"/>
              <w:right w:val="single" w:sz="8" w:space="0" w:color="auto"/>
            </w:tcBorders>
            <w:shd w:val="clear" w:color="auto" w:fill="auto"/>
            <w:vAlign w:val="center"/>
            <w:hideMark/>
          </w:tcPr>
          <w:p w14:paraId="4C167244"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800.136.258</w:t>
            </w:r>
          </w:p>
        </w:tc>
        <w:tc>
          <w:tcPr>
            <w:tcW w:w="323" w:type="dxa"/>
            <w:tcBorders>
              <w:top w:val="nil"/>
              <w:left w:val="nil"/>
              <w:bottom w:val="single" w:sz="8" w:space="0" w:color="auto"/>
              <w:right w:val="single" w:sz="8" w:space="0" w:color="auto"/>
            </w:tcBorders>
            <w:shd w:val="clear" w:color="auto" w:fill="auto"/>
            <w:vAlign w:val="center"/>
            <w:hideMark/>
          </w:tcPr>
          <w:p w14:paraId="142A67E2"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w:t>
            </w:r>
          </w:p>
        </w:tc>
        <w:tc>
          <w:tcPr>
            <w:tcW w:w="505" w:type="dxa"/>
            <w:tcBorders>
              <w:top w:val="nil"/>
              <w:left w:val="nil"/>
              <w:bottom w:val="single" w:sz="8" w:space="0" w:color="auto"/>
              <w:right w:val="single" w:sz="8" w:space="0" w:color="auto"/>
            </w:tcBorders>
            <w:shd w:val="clear" w:color="auto" w:fill="auto"/>
            <w:vAlign w:val="center"/>
            <w:hideMark/>
          </w:tcPr>
          <w:p w14:paraId="39E00006"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1801</w:t>
            </w:r>
          </w:p>
        </w:tc>
        <w:tc>
          <w:tcPr>
            <w:tcW w:w="3498" w:type="dxa"/>
            <w:tcBorders>
              <w:top w:val="nil"/>
              <w:left w:val="nil"/>
              <w:bottom w:val="single" w:sz="8" w:space="0" w:color="auto"/>
              <w:right w:val="single" w:sz="8" w:space="0" w:color="auto"/>
            </w:tcBorders>
            <w:shd w:val="clear" w:color="auto" w:fill="auto"/>
            <w:vAlign w:val="center"/>
            <w:hideMark/>
          </w:tcPr>
          <w:p w14:paraId="616DC57D"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GAS GUAVIARE S.A. E.S.P.</w:t>
            </w:r>
          </w:p>
        </w:tc>
        <w:tc>
          <w:tcPr>
            <w:tcW w:w="1262" w:type="dxa"/>
            <w:tcBorders>
              <w:top w:val="nil"/>
              <w:left w:val="nil"/>
              <w:bottom w:val="single" w:sz="8" w:space="0" w:color="auto"/>
              <w:right w:val="single" w:sz="8" w:space="0" w:color="auto"/>
            </w:tcBorders>
            <w:shd w:val="clear" w:color="auto" w:fill="auto"/>
            <w:vAlign w:val="center"/>
            <w:hideMark/>
          </w:tcPr>
          <w:p w14:paraId="4B3E280C"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2A9333D2"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5A40133C"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322D7FB8"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5</w:t>
            </w:r>
          </w:p>
        </w:tc>
        <w:tc>
          <w:tcPr>
            <w:tcW w:w="880" w:type="dxa"/>
            <w:tcBorders>
              <w:top w:val="nil"/>
              <w:left w:val="nil"/>
              <w:bottom w:val="single" w:sz="8" w:space="0" w:color="auto"/>
              <w:right w:val="single" w:sz="8" w:space="0" w:color="auto"/>
            </w:tcBorders>
            <w:shd w:val="clear" w:color="auto" w:fill="auto"/>
            <w:vAlign w:val="center"/>
            <w:hideMark/>
          </w:tcPr>
          <w:p w14:paraId="168979CE"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800.150.534</w:t>
            </w:r>
          </w:p>
        </w:tc>
        <w:tc>
          <w:tcPr>
            <w:tcW w:w="323" w:type="dxa"/>
            <w:tcBorders>
              <w:top w:val="nil"/>
              <w:left w:val="nil"/>
              <w:bottom w:val="single" w:sz="8" w:space="0" w:color="auto"/>
              <w:right w:val="single" w:sz="8" w:space="0" w:color="auto"/>
            </w:tcBorders>
            <w:shd w:val="clear" w:color="auto" w:fill="auto"/>
            <w:vAlign w:val="center"/>
            <w:hideMark/>
          </w:tcPr>
          <w:p w14:paraId="3312A403"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6</w:t>
            </w:r>
          </w:p>
        </w:tc>
        <w:tc>
          <w:tcPr>
            <w:tcW w:w="505" w:type="dxa"/>
            <w:tcBorders>
              <w:top w:val="nil"/>
              <w:left w:val="nil"/>
              <w:bottom w:val="single" w:sz="8" w:space="0" w:color="auto"/>
              <w:right w:val="single" w:sz="8" w:space="0" w:color="auto"/>
            </w:tcBorders>
            <w:shd w:val="clear" w:color="auto" w:fill="auto"/>
            <w:vAlign w:val="center"/>
            <w:hideMark/>
          </w:tcPr>
          <w:p w14:paraId="6D2AC833"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1715</w:t>
            </w:r>
          </w:p>
        </w:tc>
        <w:tc>
          <w:tcPr>
            <w:tcW w:w="3498" w:type="dxa"/>
            <w:tcBorders>
              <w:top w:val="nil"/>
              <w:left w:val="nil"/>
              <w:bottom w:val="single" w:sz="8" w:space="0" w:color="auto"/>
              <w:right w:val="single" w:sz="8" w:space="0" w:color="auto"/>
            </w:tcBorders>
            <w:shd w:val="clear" w:color="auto" w:fill="auto"/>
            <w:vAlign w:val="center"/>
            <w:hideMark/>
          </w:tcPr>
          <w:p w14:paraId="1D4F46D0"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GAS EL SOL S.A. E.S.P.</w:t>
            </w:r>
          </w:p>
        </w:tc>
        <w:tc>
          <w:tcPr>
            <w:tcW w:w="1262" w:type="dxa"/>
            <w:tcBorders>
              <w:top w:val="nil"/>
              <w:left w:val="nil"/>
              <w:bottom w:val="single" w:sz="8" w:space="0" w:color="auto"/>
              <w:right w:val="single" w:sz="8" w:space="0" w:color="auto"/>
            </w:tcBorders>
            <w:shd w:val="clear" w:color="auto" w:fill="auto"/>
            <w:vAlign w:val="center"/>
            <w:hideMark/>
          </w:tcPr>
          <w:p w14:paraId="055C5DD3"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43882D56"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5D7D4376"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672EBA37"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6</w:t>
            </w:r>
          </w:p>
        </w:tc>
        <w:tc>
          <w:tcPr>
            <w:tcW w:w="880" w:type="dxa"/>
            <w:tcBorders>
              <w:top w:val="nil"/>
              <w:left w:val="nil"/>
              <w:bottom w:val="single" w:sz="8" w:space="0" w:color="auto"/>
              <w:right w:val="single" w:sz="8" w:space="0" w:color="auto"/>
            </w:tcBorders>
            <w:shd w:val="clear" w:color="auto" w:fill="auto"/>
            <w:vAlign w:val="center"/>
            <w:hideMark/>
          </w:tcPr>
          <w:p w14:paraId="06AAAC85"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800.166.132</w:t>
            </w:r>
          </w:p>
        </w:tc>
        <w:tc>
          <w:tcPr>
            <w:tcW w:w="323" w:type="dxa"/>
            <w:tcBorders>
              <w:top w:val="nil"/>
              <w:left w:val="nil"/>
              <w:bottom w:val="single" w:sz="8" w:space="0" w:color="auto"/>
              <w:right w:val="single" w:sz="8" w:space="0" w:color="auto"/>
            </w:tcBorders>
            <w:shd w:val="clear" w:color="auto" w:fill="auto"/>
            <w:vAlign w:val="center"/>
            <w:hideMark/>
          </w:tcPr>
          <w:p w14:paraId="5CA92A4E"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w:t>
            </w:r>
          </w:p>
        </w:tc>
        <w:tc>
          <w:tcPr>
            <w:tcW w:w="505" w:type="dxa"/>
            <w:tcBorders>
              <w:top w:val="nil"/>
              <w:left w:val="nil"/>
              <w:bottom w:val="single" w:sz="8" w:space="0" w:color="auto"/>
              <w:right w:val="single" w:sz="8" w:space="0" w:color="auto"/>
            </w:tcBorders>
            <w:shd w:val="clear" w:color="auto" w:fill="auto"/>
            <w:vAlign w:val="center"/>
            <w:hideMark/>
          </w:tcPr>
          <w:p w14:paraId="60C8D0D2"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1115</w:t>
            </w:r>
          </w:p>
        </w:tc>
        <w:tc>
          <w:tcPr>
            <w:tcW w:w="3498" w:type="dxa"/>
            <w:tcBorders>
              <w:top w:val="nil"/>
              <w:left w:val="nil"/>
              <w:bottom w:val="single" w:sz="8" w:space="0" w:color="auto"/>
              <w:right w:val="single" w:sz="8" w:space="0" w:color="auto"/>
            </w:tcBorders>
            <w:shd w:val="clear" w:color="auto" w:fill="auto"/>
            <w:vAlign w:val="center"/>
            <w:hideMark/>
          </w:tcPr>
          <w:p w14:paraId="12FFE401"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VELOGAS S.A.  E.S.P.</w:t>
            </w:r>
          </w:p>
        </w:tc>
        <w:tc>
          <w:tcPr>
            <w:tcW w:w="1262" w:type="dxa"/>
            <w:tcBorders>
              <w:top w:val="nil"/>
              <w:left w:val="nil"/>
              <w:bottom w:val="single" w:sz="8" w:space="0" w:color="auto"/>
              <w:right w:val="single" w:sz="8" w:space="0" w:color="auto"/>
            </w:tcBorders>
            <w:shd w:val="clear" w:color="auto" w:fill="auto"/>
            <w:vAlign w:val="center"/>
            <w:hideMark/>
          </w:tcPr>
          <w:p w14:paraId="7DDABA6C"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4B2ECD0D"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616BE1A6" w14:textId="77777777" w:rsidTr="00AD4E79">
        <w:trPr>
          <w:trHeight w:val="267"/>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2991FA9B"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7</w:t>
            </w:r>
          </w:p>
        </w:tc>
        <w:tc>
          <w:tcPr>
            <w:tcW w:w="880" w:type="dxa"/>
            <w:tcBorders>
              <w:top w:val="nil"/>
              <w:left w:val="nil"/>
              <w:bottom w:val="single" w:sz="8" w:space="0" w:color="auto"/>
              <w:right w:val="single" w:sz="8" w:space="0" w:color="auto"/>
            </w:tcBorders>
            <w:shd w:val="clear" w:color="auto" w:fill="auto"/>
            <w:vAlign w:val="center"/>
            <w:hideMark/>
          </w:tcPr>
          <w:p w14:paraId="6047E5FF"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800.167.643</w:t>
            </w:r>
          </w:p>
        </w:tc>
        <w:tc>
          <w:tcPr>
            <w:tcW w:w="323" w:type="dxa"/>
            <w:tcBorders>
              <w:top w:val="nil"/>
              <w:left w:val="nil"/>
              <w:bottom w:val="single" w:sz="8" w:space="0" w:color="auto"/>
              <w:right w:val="single" w:sz="8" w:space="0" w:color="auto"/>
            </w:tcBorders>
            <w:shd w:val="clear" w:color="auto" w:fill="auto"/>
            <w:vAlign w:val="center"/>
            <w:hideMark/>
          </w:tcPr>
          <w:p w14:paraId="414F51BC"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5</w:t>
            </w:r>
          </w:p>
        </w:tc>
        <w:tc>
          <w:tcPr>
            <w:tcW w:w="505" w:type="dxa"/>
            <w:tcBorders>
              <w:top w:val="nil"/>
              <w:left w:val="nil"/>
              <w:bottom w:val="single" w:sz="8" w:space="0" w:color="auto"/>
              <w:right w:val="single" w:sz="8" w:space="0" w:color="auto"/>
            </w:tcBorders>
            <w:shd w:val="clear" w:color="auto" w:fill="auto"/>
            <w:vAlign w:val="center"/>
            <w:hideMark/>
          </w:tcPr>
          <w:p w14:paraId="1AFF7AEE"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629</w:t>
            </w:r>
          </w:p>
        </w:tc>
        <w:tc>
          <w:tcPr>
            <w:tcW w:w="3498" w:type="dxa"/>
            <w:tcBorders>
              <w:top w:val="nil"/>
              <w:left w:val="nil"/>
              <w:bottom w:val="single" w:sz="8" w:space="0" w:color="auto"/>
              <w:right w:val="single" w:sz="8" w:space="0" w:color="auto"/>
            </w:tcBorders>
            <w:shd w:val="clear" w:color="auto" w:fill="auto"/>
            <w:vAlign w:val="center"/>
            <w:hideMark/>
          </w:tcPr>
          <w:p w14:paraId="561BC9F0"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GASES DE OCCIDENTE S. A. EMPRESA DE SERVICIOS PUBLICOS</w:t>
            </w:r>
          </w:p>
        </w:tc>
        <w:tc>
          <w:tcPr>
            <w:tcW w:w="1262" w:type="dxa"/>
            <w:tcBorders>
              <w:top w:val="nil"/>
              <w:left w:val="nil"/>
              <w:bottom w:val="single" w:sz="8" w:space="0" w:color="auto"/>
              <w:right w:val="single" w:sz="8" w:space="0" w:color="auto"/>
            </w:tcBorders>
            <w:shd w:val="clear" w:color="auto" w:fill="auto"/>
            <w:vAlign w:val="center"/>
            <w:hideMark/>
          </w:tcPr>
          <w:p w14:paraId="031ECEFD"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4FF7685F"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106DAFCF"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02BC85AF"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w:t>
            </w:r>
          </w:p>
        </w:tc>
        <w:tc>
          <w:tcPr>
            <w:tcW w:w="880" w:type="dxa"/>
            <w:tcBorders>
              <w:top w:val="nil"/>
              <w:left w:val="nil"/>
              <w:bottom w:val="single" w:sz="8" w:space="0" w:color="auto"/>
              <w:right w:val="single" w:sz="8" w:space="0" w:color="auto"/>
            </w:tcBorders>
            <w:shd w:val="clear" w:color="auto" w:fill="auto"/>
            <w:vAlign w:val="center"/>
            <w:hideMark/>
          </w:tcPr>
          <w:p w14:paraId="15613F07"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800.170.118</w:t>
            </w:r>
          </w:p>
        </w:tc>
        <w:tc>
          <w:tcPr>
            <w:tcW w:w="323" w:type="dxa"/>
            <w:tcBorders>
              <w:top w:val="nil"/>
              <w:left w:val="nil"/>
              <w:bottom w:val="single" w:sz="8" w:space="0" w:color="auto"/>
              <w:right w:val="single" w:sz="8" w:space="0" w:color="auto"/>
            </w:tcBorders>
            <w:shd w:val="clear" w:color="auto" w:fill="auto"/>
            <w:vAlign w:val="center"/>
            <w:hideMark/>
          </w:tcPr>
          <w:p w14:paraId="4EBBA8B7"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0</w:t>
            </w:r>
          </w:p>
        </w:tc>
        <w:tc>
          <w:tcPr>
            <w:tcW w:w="505" w:type="dxa"/>
            <w:tcBorders>
              <w:top w:val="nil"/>
              <w:left w:val="nil"/>
              <w:bottom w:val="single" w:sz="8" w:space="0" w:color="auto"/>
              <w:right w:val="single" w:sz="8" w:space="0" w:color="auto"/>
            </w:tcBorders>
            <w:shd w:val="clear" w:color="auto" w:fill="auto"/>
            <w:vAlign w:val="center"/>
            <w:hideMark/>
          </w:tcPr>
          <w:p w14:paraId="104455AA"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1626</w:t>
            </w:r>
          </w:p>
        </w:tc>
        <w:tc>
          <w:tcPr>
            <w:tcW w:w="3498" w:type="dxa"/>
            <w:tcBorders>
              <w:top w:val="nil"/>
              <w:left w:val="nil"/>
              <w:bottom w:val="single" w:sz="8" w:space="0" w:color="auto"/>
              <w:right w:val="single" w:sz="8" w:space="0" w:color="auto"/>
            </w:tcBorders>
            <w:shd w:val="clear" w:color="auto" w:fill="auto"/>
            <w:vAlign w:val="center"/>
            <w:hideMark/>
          </w:tcPr>
          <w:p w14:paraId="289724CA"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PROMOTORA DE GASES DEL SUR S.A. E.S.P.</w:t>
            </w:r>
          </w:p>
        </w:tc>
        <w:tc>
          <w:tcPr>
            <w:tcW w:w="1262" w:type="dxa"/>
            <w:tcBorders>
              <w:top w:val="nil"/>
              <w:left w:val="nil"/>
              <w:bottom w:val="single" w:sz="8" w:space="0" w:color="auto"/>
              <w:right w:val="single" w:sz="8" w:space="0" w:color="auto"/>
            </w:tcBorders>
            <w:shd w:val="clear" w:color="auto" w:fill="auto"/>
            <w:vAlign w:val="center"/>
            <w:hideMark/>
          </w:tcPr>
          <w:p w14:paraId="496B1E8B"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2D7F8713"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20B672AC" w14:textId="77777777" w:rsidTr="00AD4E79">
        <w:trPr>
          <w:trHeight w:val="254"/>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5AFE4BC0"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w:t>
            </w:r>
          </w:p>
        </w:tc>
        <w:tc>
          <w:tcPr>
            <w:tcW w:w="880" w:type="dxa"/>
            <w:tcBorders>
              <w:top w:val="nil"/>
              <w:left w:val="nil"/>
              <w:bottom w:val="single" w:sz="8" w:space="0" w:color="auto"/>
              <w:right w:val="single" w:sz="8" w:space="0" w:color="auto"/>
            </w:tcBorders>
            <w:shd w:val="clear" w:color="auto" w:fill="auto"/>
            <w:vAlign w:val="center"/>
            <w:hideMark/>
          </w:tcPr>
          <w:p w14:paraId="68ACDD63"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800.182.395</w:t>
            </w:r>
          </w:p>
        </w:tc>
        <w:tc>
          <w:tcPr>
            <w:tcW w:w="323" w:type="dxa"/>
            <w:tcBorders>
              <w:top w:val="nil"/>
              <w:left w:val="nil"/>
              <w:bottom w:val="single" w:sz="8" w:space="0" w:color="auto"/>
              <w:right w:val="single" w:sz="8" w:space="0" w:color="auto"/>
            </w:tcBorders>
            <w:shd w:val="clear" w:color="auto" w:fill="auto"/>
            <w:vAlign w:val="center"/>
            <w:hideMark/>
          </w:tcPr>
          <w:p w14:paraId="4AB61A99"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6</w:t>
            </w:r>
          </w:p>
        </w:tc>
        <w:tc>
          <w:tcPr>
            <w:tcW w:w="505" w:type="dxa"/>
            <w:tcBorders>
              <w:top w:val="nil"/>
              <w:left w:val="nil"/>
              <w:bottom w:val="single" w:sz="8" w:space="0" w:color="auto"/>
              <w:right w:val="single" w:sz="8" w:space="0" w:color="auto"/>
            </w:tcBorders>
            <w:shd w:val="clear" w:color="auto" w:fill="auto"/>
            <w:vAlign w:val="center"/>
            <w:hideMark/>
          </w:tcPr>
          <w:p w14:paraId="47272E2F"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1414</w:t>
            </w:r>
          </w:p>
        </w:tc>
        <w:tc>
          <w:tcPr>
            <w:tcW w:w="3498" w:type="dxa"/>
            <w:tcBorders>
              <w:top w:val="nil"/>
              <w:left w:val="nil"/>
              <w:bottom w:val="single" w:sz="8" w:space="0" w:color="auto"/>
              <w:right w:val="single" w:sz="8" w:space="0" w:color="auto"/>
            </w:tcBorders>
            <w:shd w:val="clear" w:color="auto" w:fill="auto"/>
            <w:vAlign w:val="center"/>
            <w:hideMark/>
          </w:tcPr>
          <w:p w14:paraId="4523894E"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 xml:space="preserve">ENERGAS S.A. EMPRESA DE SERVICIOS PUBLICOS DOMICILIARIOS - ENERGAS </w:t>
            </w:r>
            <w:proofErr w:type="gramStart"/>
            <w:r w:rsidRPr="00AD4E79">
              <w:rPr>
                <w:rFonts w:ascii="Arial Narrow" w:hAnsi="Arial Narrow" w:cs="Arial"/>
                <w:spacing w:val="0"/>
                <w:sz w:val="16"/>
                <w:szCs w:val="16"/>
                <w:lang w:eastAsia="es-CO"/>
              </w:rPr>
              <w:t>SA  ESP</w:t>
            </w:r>
            <w:proofErr w:type="gramEnd"/>
          </w:p>
        </w:tc>
        <w:tc>
          <w:tcPr>
            <w:tcW w:w="1262" w:type="dxa"/>
            <w:tcBorders>
              <w:top w:val="nil"/>
              <w:left w:val="nil"/>
              <w:bottom w:val="single" w:sz="8" w:space="0" w:color="auto"/>
              <w:right w:val="single" w:sz="8" w:space="0" w:color="auto"/>
            </w:tcBorders>
            <w:shd w:val="clear" w:color="auto" w:fill="auto"/>
            <w:vAlign w:val="center"/>
            <w:hideMark/>
          </w:tcPr>
          <w:p w14:paraId="7F575311"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541ABC4B"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4C7A5B35"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1259F9C4"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10</w:t>
            </w:r>
          </w:p>
        </w:tc>
        <w:tc>
          <w:tcPr>
            <w:tcW w:w="880" w:type="dxa"/>
            <w:tcBorders>
              <w:top w:val="nil"/>
              <w:left w:val="nil"/>
              <w:bottom w:val="single" w:sz="8" w:space="0" w:color="auto"/>
              <w:right w:val="single" w:sz="8" w:space="0" w:color="auto"/>
            </w:tcBorders>
            <w:shd w:val="clear" w:color="auto" w:fill="auto"/>
            <w:vAlign w:val="center"/>
            <w:hideMark/>
          </w:tcPr>
          <w:p w14:paraId="20CFA068"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800.202.395</w:t>
            </w:r>
          </w:p>
        </w:tc>
        <w:tc>
          <w:tcPr>
            <w:tcW w:w="323" w:type="dxa"/>
            <w:tcBorders>
              <w:top w:val="nil"/>
              <w:left w:val="nil"/>
              <w:bottom w:val="single" w:sz="8" w:space="0" w:color="auto"/>
              <w:right w:val="single" w:sz="8" w:space="0" w:color="auto"/>
            </w:tcBorders>
            <w:shd w:val="clear" w:color="auto" w:fill="auto"/>
            <w:vAlign w:val="center"/>
            <w:hideMark/>
          </w:tcPr>
          <w:p w14:paraId="58498534"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3</w:t>
            </w:r>
          </w:p>
        </w:tc>
        <w:tc>
          <w:tcPr>
            <w:tcW w:w="505" w:type="dxa"/>
            <w:tcBorders>
              <w:top w:val="nil"/>
              <w:left w:val="nil"/>
              <w:bottom w:val="single" w:sz="8" w:space="0" w:color="auto"/>
              <w:right w:val="single" w:sz="8" w:space="0" w:color="auto"/>
            </w:tcBorders>
            <w:shd w:val="clear" w:color="auto" w:fill="auto"/>
            <w:vAlign w:val="center"/>
            <w:hideMark/>
          </w:tcPr>
          <w:p w14:paraId="17880A6A"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1887</w:t>
            </w:r>
          </w:p>
        </w:tc>
        <w:tc>
          <w:tcPr>
            <w:tcW w:w="3498" w:type="dxa"/>
            <w:tcBorders>
              <w:top w:val="nil"/>
              <w:left w:val="nil"/>
              <w:bottom w:val="single" w:sz="8" w:space="0" w:color="auto"/>
              <w:right w:val="single" w:sz="8" w:space="0" w:color="auto"/>
            </w:tcBorders>
            <w:shd w:val="clear" w:color="auto" w:fill="auto"/>
            <w:vAlign w:val="center"/>
            <w:hideMark/>
          </w:tcPr>
          <w:p w14:paraId="590434E9"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EFIGAS GAS NATURAL S.A E.</w:t>
            </w:r>
            <w:proofErr w:type="gramStart"/>
            <w:r w:rsidRPr="00AD4E79">
              <w:rPr>
                <w:rFonts w:ascii="Arial Narrow" w:hAnsi="Arial Narrow" w:cs="Arial"/>
                <w:spacing w:val="0"/>
                <w:sz w:val="16"/>
                <w:szCs w:val="16"/>
                <w:lang w:eastAsia="es-CO"/>
              </w:rPr>
              <w:t>S.P</w:t>
            </w:r>
            <w:proofErr w:type="gramEnd"/>
            <w:r w:rsidRPr="00AD4E79">
              <w:rPr>
                <w:rFonts w:ascii="Arial Narrow" w:hAnsi="Arial Narrow" w:cs="Arial"/>
                <w:spacing w:val="0"/>
                <w:sz w:val="16"/>
                <w:szCs w:val="16"/>
                <w:lang w:eastAsia="es-CO"/>
              </w:rPr>
              <w:t xml:space="preserve"> </w:t>
            </w:r>
          </w:p>
        </w:tc>
        <w:tc>
          <w:tcPr>
            <w:tcW w:w="1262" w:type="dxa"/>
            <w:tcBorders>
              <w:top w:val="nil"/>
              <w:left w:val="nil"/>
              <w:bottom w:val="single" w:sz="8" w:space="0" w:color="auto"/>
              <w:right w:val="single" w:sz="8" w:space="0" w:color="auto"/>
            </w:tcBorders>
            <w:shd w:val="clear" w:color="auto" w:fill="auto"/>
            <w:vAlign w:val="center"/>
            <w:hideMark/>
          </w:tcPr>
          <w:p w14:paraId="116EB586"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5F369837"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62C6E8F7"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0D09E94F"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11</w:t>
            </w:r>
          </w:p>
        </w:tc>
        <w:tc>
          <w:tcPr>
            <w:tcW w:w="880" w:type="dxa"/>
            <w:tcBorders>
              <w:top w:val="nil"/>
              <w:left w:val="nil"/>
              <w:bottom w:val="single" w:sz="8" w:space="0" w:color="auto"/>
              <w:right w:val="single" w:sz="8" w:space="0" w:color="auto"/>
            </w:tcBorders>
            <w:shd w:val="clear" w:color="auto" w:fill="auto"/>
            <w:vAlign w:val="center"/>
            <w:hideMark/>
          </w:tcPr>
          <w:p w14:paraId="50482223"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800.215.347</w:t>
            </w:r>
          </w:p>
        </w:tc>
        <w:tc>
          <w:tcPr>
            <w:tcW w:w="323" w:type="dxa"/>
            <w:tcBorders>
              <w:top w:val="nil"/>
              <w:left w:val="nil"/>
              <w:bottom w:val="single" w:sz="8" w:space="0" w:color="auto"/>
              <w:right w:val="single" w:sz="8" w:space="0" w:color="auto"/>
            </w:tcBorders>
            <w:shd w:val="clear" w:color="auto" w:fill="auto"/>
            <w:vAlign w:val="center"/>
            <w:hideMark/>
          </w:tcPr>
          <w:p w14:paraId="7A527985"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6</w:t>
            </w:r>
          </w:p>
        </w:tc>
        <w:tc>
          <w:tcPr>
            <w:tcW w:w="505" w:type="dxa"/>
            <w:tcBorders>
              <w:top w:val="nil"/>
              <w:left w:val="nil"/>
              <w:bottom w:val="single" w:sz="8" w:space="0" w:color="auto"/>
              <w:right w:val="single" w:sz="8" w:space="0" w:color="auto"/>
            </w:tcBorders>
            <w:shd w:val="clear" w:color="auto" w:fill="auto"/>
            <w:vAlign w:val="center"/>
            <w:hideMark/>
          </w:tcPr>
          <w:p w14:paraId="490CD73B"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481</w:t>
            </w:r>
          </w:p>
        </w:tc>
        <w:tc>
          <w:tcPr>
            <w:tcW w:w="3498" w:type="dxa"/>
            <w:tcBorders>
              <w:top w:val="nil"/>
              <w:left w:val="nil"/>
              <w:bottom w:val="single" w:sz="8" w:space="0" w:color="auto"/>
              <w:right w:val="single" w:sz="8" w:space="0" w:color="auto"/>
            </w:tcBorders>
            <w:shd w:val="clear" w:color="auto" w:fill="auto"/>
            <w:vAlign w:val="center"/>
            <w:hideMark/>
          </w:tcPr>
          <w:p w14:paraId="0CA9CC47"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TRANSPORTADORA DE METANO E.S.P. S.A.</w:t>
            </w:r>
          </w:p>
        </w:tc>
        <w:tc>
          <w:tcPr>
            <w:tcW w:w="1262" w:type="dxa"/>
            <w:tcBorders>
              <w:top w:val="nil"/>
              <w:left w:val="nil"/>
              <w:bottom w:val="single" w:sz="8" w:space="0" w:color="auto"/>
              <w:right w:val="single" w:sz="8" w:space="0" w:color="auto"/>
            </w:tcBorders>
            <w:shd w:val="clear" w:color="auto" w:fill="auto"/>
            <w:vAlign w:val="center"/>
            <w:hideMark/>
          </w:tcPr>
          <w:p w14:paraId="690E6B19"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692F9DD5"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3E162B78"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03E43DDA"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12</w:t>
            </w:r>
          </w:p>
        </w:tc>
        <w:tc>
          <w:tcPr>
            <w:tcW w:w="880" w:type="dxa"/>
            <w:tcBorders>
              <w:top w:val="nil"/>
              <w:left w:val="nil"/>
              <w:bottom w:val="single" w:sz="8" w:space="0" w:color="auto"/>
              <w:right w:val="single" w:sz="8" w:space="0" w:color="auto"/>
            </w:tcBorders>
            <w:shd w:val="clear" w:color="auto" w:fill="auto"/>
            <w:vAlign w:val="center"/>
            <w:hideMark/>
          </w:tcPr>
          <w:p w14:paraId="662579CF"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800.218.682</w:t>
            </w:r>
          </w:p>
        </w:tc>
        <w:tc>
          <w:tcPr>
            <w:tcW w:w="323" w:type="dxa"/>
            <w:tcBorders>
              <w:top w:val="nil"/>
              <w:left w:val="nil"/>
              <w:bottom w:val="single" w:sz="8" w:space="0" w:color="auto"/>
              <w:right w:val="single" w:sz="8" w:space="0" w:color="auto"/>
            </w:tcBorders>
            <w:shd w:val="clear" w:color="auto" w:fill="auto"/>
            <w:vAlign w:val="center"/>
            <w:hideMark/>
          </w:tcPr>
          <w:p w14:paraId="46BEDB15"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w:t>
            </w:r>
          </w:p>
        </w:tc>
        <w:tc>
          <w:tcPr>
            <w:tcW w:w="505" w:type="dxa"/>
            <w:tcBorders>
              <w:top w:val="nil"/>
              <w:left w:val="nil"/>
              <w:bottom w:val="single" w:sz="8" w:space="0" w:color="auto"/>
              <w:right w:val="single" w:sz="8" w:space="0" w:color="auto"/>
            </w:tcBorders>
            <w:shd w:val="clear" w:color="auto" w:fill="auto"/>
            <w:vAlign w:val="center"/>
            <w:hideMark/>
          </w:tcPr>
          <w:p w14:paraId="22E78926"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541</w:t>
            </w:r>
          </w:p>
        </w:tc>
        <w:tc>
          <w:tcPr>
            <w:tcW w:w="3498" w:type="dxa"/>
            <w:tcBorders>
              <w:top w:val="nil"/>
              <w:left w:val="nil"/>
              <w:bottom w:val="single" w:sz="8" w:space="0" w:color="auto"/>
              <w:right w:val="single" w:sz="8" w:space="0" w:color="auto"/>
            </w:tcBorders>
            <w:shd w:val="clear" w:color="auto" w:fill="auto"/>
            <w:vAlign w:val="center"/>
            <w:hideMark/>
          </w:tcPr>
          <w:p w14:paraId="27854C73"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GASES DEL CUSIANA S.A.S E.S.P BIC</w:t>
            </w:r>
          </w:p>
        </w:tc>
        <w:tc>
          <w:tcPr>
            <w:tcW w:w="1262" w:type="dxa"/>
            <w:tcBorders>
              <w:top w:val="nil"/>
              <w:left w:val="nil"/>
              <w:bottom w:val="single" w:sz="8" w:space="0" w:color="auto"/>
              <w:right w:val="single" w:sz="8" w:space="0" w:color="auto"/>
            </w:tcBorders>
            <w:shd w:val="clear" w:color="auto" w:fill="auto"/>
            <w:vAlign w:val="center"/>
            <w:hideMark/>
          </w:tcPr>
          <w:p w14:paraId="3FD2A2DB"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0EBE858D"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56C0263F"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738E6BBD"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13</w:t>
            </w:r>
          </w:p>
        </w:tc>
        <w:tc>
          <w:tcPr>
            <w:tcW w:w="880" w:type="dxa"/>
            <w:tcBorders>
              <w:top w:val="nil"/>
              <w:left w:val="nil"/>
              <w:bottom w:val="single" w:sz="8" w:space="0" w:color="auto"/>
              <w:right w:val="single" w:sz="8" w:space="0" w:color="auto"/>
            </w:tcBorders>
            <w:shd w:val="clear" w:color="auto" w:fill="auto"/>
            <w:vAlign w:val="center"/>
            <w:hideMark/>
          </w:tcPr>
          <w:p w14:paraId="39C82700"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800.226.766</w:t>
            </w:r>
          </w:p>
        </w:tc>
        <w:tc>
          <w:tcPr>
            <w:tcW w:w="323" w:type="dxa"/>
            <w:tcBorders>
              <w:top w:val="nil"/>
              <w:left w:val="nil"/>
              <w:bottom w:val="single" w:sz="8" w:space="0" w:color="auto"/>
              <w:right w:val="single" w:sz="8" w:space="0" w:color="auto"/>
            </w:tcBorders>
            <w:shd w:val="clear" w:color="auto" w:fill="auto"/>
            <w:vAlign w:val="center"/>
            <w:hideMark/>
          </w:tcPr>
          <w:p w14:paraId="4E8CEFDC"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6</w:t>
            </w:r>
          </w:p>
        </w:tc>
        <w:tc>
          <w:tcPr>
            <w:tcW w:w="505" w:type="dxa"/>
            <w:tcBorders>
              <w:top w:val="nil"/>
              <w:left w:val="nil"/>
              <w:bottom w:val="single" w:sz="8" w:space="0" w:color="auto"/>
              <w:right w:val="single" w:sz="8" w:space="0" w:color="auto"/>
            </w:tcBorders>
            <w:shd w:val="clear" w:color="auto" w:fill="auto"/>
            <w:vAlign w:val="center"/>
            <w:hideMark/>
          </w:tcPr>
          <w:p w14:paraId="0FDAA1FE"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527</w:t>
            </w:r>
          </w:p>
        </w:tc>
        <w:tc>
          <w:tcPr>
            <w:tcW w:w="3498" w:type="dxa"/>
            <w:tcBorders>
              <w:top w:val="nil"/>
              <w:left w:val="nil"/>
              <w:bottom w:val="single" w:sz="8" w:space="0" w:color="auto"/>
              <w:right w:val="single" w:sz="8" w:space="0" w:color="auto"/>
            </w:tcBorders>
            <w:shd w:val="clear" w:color="auto" w:fill="auto"/>
            <w:vAlign w:val="center"/>
            <w:hideMark/>
          </w:tcPr>
          <w:p w14:paraId="5185434C"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PROMIORIENTE S.A. E.S.P.</w:t>
            </w:r>
          </w:p>
        </w:tc>
        <w:tc>
          <w:tcPr>
            <w:tcW w:w="1262" w:type="dxa"/>
            <w:tcBorders>
              <w:top w:val="nil"/>
              <w:left w:val="nil"/>
              <w:bottom w:val="single" w:sz="8" w:space="0" w:color="auto"/>
              <w:right w:val="single" w:sz="8" w:space="0" w:color="auto"/>
            </w:tcBorders>
            <w:shd w:val="clear" w:color="auto" w:fill="auto"/>
            <w:vAlign w:val="center"/>
            <w:hideMark/>
          </w:tcPr>
          <w:p w14:paraId="00739307"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6CDC33E7"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59DAC20B" w14:textId="77777777" w:rsidTr="00AD4E79">
        <w:trPr>
          <w:trHeight w:val="261"/>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24881189"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14</w:t>
            </w:r>
          </w:p>
        </w:tc>
        <w:tc>
          <w:tcPr>
            <w:tcW w:w="880" w:type="dxa"/>
            <w:tcBorders>
              <w:top w:val="nil"/>
              <w:left w:val="nil"/>
              <w:bottom w:val="single" w:sz="8" w:space="0" w:color="auto"/>
              <w:right w:val="single" w:sz="8" w:space="0" w:color="auto"/>
            </w:tcBorders>
            <w:shd w:val="clear" w:color="auto" w:fill="auto"/>
            <w:vAlign w:val="center"/>
            <w:hideMark/>
          </w:tcPr>
          <w:p w14:paraId="131575A9"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804.000.551</w:t>
            </w:r>
          </w:p>
        </w:tc>
        <w:tc>
          <w:tcPr>
            <w:tcW w:w="323" w:type="dxa"/>
            <w:tcBorders>
              <w:top w:val="nil"/>
              <w:left w:val="nil"/>
              <w:bottom w:val="single" w:sz="8" w:space="0" w:color="auto"/>
              <w:right w:val="single" w:sz="8" w:space="0" w:color="auto"/>
            </w:tcBorders>
            <w:shd w:val="clear" w:color="auto" w:fill="auto"/>
            <w:vAlign w:val="center"/>
            <w:hideMark/>
          </w:tcPr>
          <w:p w14:paraId="394F9369"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3</w:t>
            </w:r>
          </w:p>
        </w:tc>
        <w:tc>
          <w:tcPr>
            <w:tcW w:w="505" w:type="dxa"/>
            <w:tcBorders>
              <w:top w:val="nil"/>
              <w:left w:val="nil"/>
              <w:bottom w:val="single" w:sz="8" w:space="0" w:color="auto"/>
              <w:right w:val="single" w:sz="8" w:space="0" w:color="auto"/>
            </w:tcBorders>
            <w:shd w:val="clear" w:color="auto" w:fill="auto"/>
            <w:vAlign w:val="center"/>
            <w:hideMark/>
          </w:tcPr>
          <w:p w14:paraId="3CD6F3C5"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525</w:t>
            </w:r>
          </w:p>
        </w:tc>
        <w:tc>
          <w:tcPr>
            <w:tcW w:w="3498" w:type="dxa"/>
            <w:tcBorders>
              <w:top w:val="nil"/>
              <w:left w:val="nil"/>
              <w:bottom w:val="single" w:sz="8" w:space="0" w:color="auto"/>
              <w:right w:val="single" w:sz="8" w:space="0" w:color="auto"/>
            </w:tcBorders>
            <w:shd w:val="clear" w:color="auto" w:fill="auto"/>
            <w:vAlign w:val="center"/>
            <w:hideMark/>
          </w:tcPr>
          <w:p w14:paraId="1D529121"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GAS NATURAL DEL CESAR S.A. EMPRESA DE SERVICIOS PUBLICOS</w:t>
            </w:r>
          </w:p>
        </w:tc>
        <w:tc>
          <w:tcPr>
            <w:tcW w:w="1262" w:type="dxa"/>
            <w:tcBorders>
              <w:top w:val="nil"/>
              <w:left w:val="nil"/>
              <w:bottom w:val="single" w:sz="8" w:space="0" w:color="auto"/>
              <w:right w:val="single" w:sz="8" w:space="0" w:color="auto"/>
            </w:tcBorders>
            <w:shd w:val="clear" w:color="auto" w:fill="auto"/>
            <w:vAlign w:val="center"/>
            <w:hideMark/>
          </w:tcPr>
          <w:p w14:paraId="03965A30"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3A0E8395"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52E2E247"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385314CF"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15</w:t>
            </w:r>
          </w:p>
        </w:tc>
        <w:tc>
          <w:tcPr>
            <w:tcW w:w="880" w:type="dxa"/>
            <w:tcBorders>
              <w:top w:val="nil"/>
              <w:left w:val="nil"/>
              <w:bottom w:val="single" w:sz="8" w:space="0" w:color="auto"/>
              <w:right w:val="single" w:sz="8" w:space="0" w:color="auto"/>
            </w:tcBorders>
            <w:shd w:val="clear" w:color="auto" w:fill="auto"/>
            <w:vAlign w:val="center"/>
            <w:hideMark/>
          </w:tcPr>
          <w:p w14:paraId="665229DB"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804.002.801</w:t>
            </w:r>
          </w:p>
        </w:tc>
        <w:tc>
          <w:tcPr>
            <w:tcW w:w="323" w:type="dxa"/>
            <w:tcBorders>
              <w:top w:val="nil"/>
              <w:left w:val="nil"/>
              <w:bottom w:val="single" w:sz="8" w:space="0" w:color="auto"/>
              <w:right w:val="single" w:sz="8" w:space="0" w:color="auto"/>
            </w:tcBorders>
            <w:shd w:val="clear" w:color="auto" w:fill="auto"/>
            <w:vAlign w:val="center"/>
            <w:hideMark/>
          </w:tcPr>
          <w:p w14:paraId="791C9C88"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w:t>
            </w:r>
          </w:p>
        </w:tc>
        <w:tc>
          <w:tcPr>
            <w:tcW w:w="505" w:type="dxa"/>
            <w:tcBorders>
              <w:top w:val="nil"/>
              <w:left w:val="nil"/>
              <w:bottom w:val="single" w:sz="8" w:space="0" w:color="auto"/>
              <w:right w:val="single" w:sz="8" w:space="0" w:color="auto"/>
            </w:tcBorders>
            <w:shd w:val="clear" w:color="auto" w:fill="auto"/>
            <w:vAlign w:val="center"/>
            <w:hideMark/>
          </w:tcPr>
          <w:p w14:paraId="59AE15C6"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1601</w:t>
            </w:r>
          </w:p>
        </w:tc>
        <w:tc>
          <w:tcPr>
            <w:tcW w:w="3498" w:type="dxa"/>
            <w:tcBorders>
              <w:top w:val="nil"/>
              <w:left w:val="nil"/>
              <w:bottom w:val="single" w:sz="8" w:space="0" w:color="auto"/>
              <w:right w:val="single" w:sz="8" w:space="0" w:color="auto"/>
            </w:tcBorders>
            <w:shd w:val="clear" w:color="auto" w:fill="auto"/>
            <w:vAlign w:val="center"/>
            <w:hideMark/>
          </w:tcPr>
          <w:p w14:paraId="06863D40"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GASES DEL SUR DE SANTANDER S.A. E.S.P.</w:t>
            </w:r>
          </w:p>
        </w:tc>
        <w:tc>
          <w:tcPr>
            <w:tcW w:w="1262" w:type="dxa"/>
            <w:tcBorders>
              <w:top w:val="nil"/>
              <w:left w:val="nil"/>
              <w:bottom w:val="single" w:sz="8" w:space="0" w:color="auto"/>
              <w:right w:val="single" w:sz="8" w:space="0" w:color="auto"/>
            </w:tcBorders>
            <w:shd w:val="clear" w:color="auto" w:fill="auto"/>
            <w:vAlign w:val="center"/>
            <w:hideMark/>
          </w:tcPr>
          <w:p w14:paraId="66E87E70"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004785C1"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198325AA" w14:textId="77777777" w:rsidTr="00AD4E79">
        <w:trPr>
          <w:trHeight w:val="266"/>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650F9B3A"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16</w:t>
            </w:r>
          </w:p>
        </w:tc>
        <w:tc>
          <w:tcPr>
            <w:tcW w:w="880" w:type="dxa"/>
            <w:tcBorders>
              <w:top w:val="nil"/>
              <w:left w:val="nil"/>
              <w:bottom w:val="single" w:sz="8" w:space="0" w:color="auto"/>
              <w:right w:val="single" w:sz="8" w:space="0" w:color="auto"/>
            </w:tcBorders>
            <w:shd w:val="clear" w:color="auto" w:fill="auto"/>
            <w:vAlign w:val="center"/>
            <w:hideMark/>
          </w:tcPr>
          <w:p w14:paraId="22C2FBB4"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804.002.825</w:t>
            </w:r>
          </w:p>
        </w:tc>
        <w:tc>
          <w:tcPr>
            <w:tcW w:w="323" w:type="dxa"/>
            <w:tcBorders>
              <w:top w:val="nil"/>
              <w:left w:val="nil"/>
              <w:bottom w:val="single" w:sz="8" w:space="0" w:color="auto"/>
              <w:right w:val="single" w:sz="8" w:space="0" w:color="auto"/>
            </w:tcBorders>
            <w:shd w:val="clear" w:color="auto" w:fill="auto"/>
            <w:vAlign w:val="center"/>
            <w:hideMark/>
          </w:tcPr>
          <w:p w14:paraId="2D3EF6FE"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5</w:t>
            </w:r>
          </w:p>
        </w:tc>
        <w:tc>
          <w:tcPr>
            <w:tcW w:w="505" w:type="dxa"/>
            <w:tcBorders>
              <w:top w:val="nil"/>
              <w:left w:val="nil"/>
              <w:bottom w:val="single" w:sz="8" w:space="0" w:color="auto"/>
              <w:right w:val="single" w:sz="8" w:space="0" w:color="auto"/>
            </w:tcBorders>
            <w:shd w:val="clear" w:color="auto" w:fill="auto"/>
            <w:vAlign w:val="center"/>
            <w:hideMark/>
          </w:tcPr>
          <w:p w14:paraId="63963681"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20527</w:t>
            </w:r>
          </w:p>
        </w:tc>
        <w:tc>
          <w:tcPr>
            <w:tcW w:w="3498" w:type="dxa"/>
            <w:tcBorders>
              <w:top w:val="nil"/>
              <w:left w:val="nil"/>
              <w:bottom w:val="single" w:sz="8" w:space="0" w:color="auto"/>
              <w:right w:val="single" w:sz="8" w:space="0" w:color="auto"/>
            </w:tcBorders>
            <w:shd w:val="clear" w:color="auto" w:fill="auto"/>
            <w:vAlign w:val="center"/>
            <w:hideMark/>
          </w:tcPr>
          <w:p w14:paraId="14B5D09A"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PROYECTOS DE INGENIERIA Y COMERCIALIZACION DE GAS S.A. ESP.</w:t>
            </w:r>
          </w:p>
        </w:tc>
        <w:tc>
          <w:tcPr>
            <w:tcW w:w="1262" w:type="dxa"/>
            <w:tcBorders>
              <w:top w:val="nil"/>
              <w:left w:val="nil"/>
              <w:bottom w:val="single" w:sz="8" w:space="0" w:color="auto"/>
              <w:right w:val="single" w:sz="8" w:space="0" w:color="auto"/>
            </w:tcBorders>
            <w:shd w:val="clear" w:color="auto" w:fill="auto"/>
            <w:vAlign w:val="center"/>
            <w:hideMark/>
          </w:tcPr>
          <w:p w14:paraId="1E106057"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754CAC83"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095109F1"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574898D6"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17</w:t>
            </w:r>
          </w:p>
        </w:tc>
        <w:tc>
          <w:tcPr>
            <w:tcW w:w="880" w:type="dxa"/>
            <w:tcBorders>
              <w:top w:val="nil"/>
              <w:left w:val="nil"/>
              <w:bottom w:val="single" w:sz="8" w:space="0" w:color="auto"/>
              <w:right w:val="single" w:sz="8" w:space="0" w:color="auto"/>
            </w:tcBorders>
            <w:shd w:val="clear" w:color="auto" w:fill="auto"/>
            <w:vAlign w:val="center"/>
            <w:hideMark/>
          </w:tcPr>
          <w:p w14:paraId="171C3EC8"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804.011.155</w:t>
            </w:r>
          </w:p>
        </w:tc>
        <w:tc>
          <w:tcPr>
            <w:tcW w:w="323" w:type="dxa"/>
            <w:tcBorders>
              <w:top w:val="nil"/>
              <w:left w:val="nil"/>
              <w:bottom w:val="single" w:sz="8" w:space="0" w:color="auto"/>
              <w:right w:val="single" w:sz="8" w:space="0" w:color="auto"/>
            </w:tcBorders>
            <w:shd w:val="clear" w:color="auto" w:fill="auto"/>
            <w:vAlign w:val="center"/>
            <w:hideMark/>
          </w:tcPr>
          <w:p w14:paraId="31A14DDB"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7</w:t>
            </w:r>
          </w:p>
        </w:tc>
        <w:tc>
          <w:tcPr>
            <w:tcW w:w="505" w:type="dxa"/>
            <w:tcBorders>
              <w:top w:val="nil"/>
              <w:left w:val="nil"/>
              <w:bottom w:val="single" w:sz="8" w:space="0" w:color="auto"/>
              <w:right w:val="single" w:sz="8" w:space="0" w:color="auto"/>
            </w:tcBorders>
            <w:shd w:val="clear" w:color="auto" w:fill="auto"/>
            <w:vAlign w:val="center"/>
            <w:hideMark/>
          </w:tcPr>
          <w:p w14:paraId="1434A42D"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47483</w:t>
            </w:r>
          </w:p>
        </w:tc>
        <w:tc>
          <w:tcPr>
            <w:tcW w:w="3498" w:type="dxa"/>
            <w:tcBorders>
              <w:top w:val="nil"/>
              <w:left w:val="nil"/>
              <w:bottom w:val="single" w:sz="8" w:space="0" w:color="auto"/>
              <w:right w:val="single" w:sz="8" w:space="0" w:color="auto"/>
            </w:tcBorders>
            <w:shd w:val="clear" w:color="auto" w:fill="auto"/>
            <w:vAlign w:val="center"/>
            <w:hideMark/>
          </w:tcPr>
          <w:p w14:paraId="428B0F1D"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CIAZ SAS ESP</w:t>
            </w:r>
          </w:p>
        </w:tc>
        <w:tc>
          <w:tcPr>
            <w:tcW w:w="1262" w:type="dxa"/>
            <w:tcBorders>
              <w:top w:val="nil"/>
              <w:left w:val="nil"/>
              <w:bottom w:val="single" w:sz="8" w:space="0" w:color="auto"/>
              <w:right w:val="single" w:sz="8" w:space="0" w:color="auto"/>
            </w:tcBorders>
            <w:shd w:val="clear" w:color="auto" w:fill="auto"/>
            <w:vAlign w:val="center"/>
            <w:hideMark/>
          </w:tcPr>
          <w:p w14:paraId="6BCFB149"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19D130FD"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7455BD30" w14:textId="77777777" w:rsidTr="00AD4E79">
        <w:trPr>
          <w:trHeight w:val="311"/>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04F72697"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lastRenderedPageBreak/>
              <w:t>18</w:t>
            </w:r>
          </w:p>
        </w:tc>
        <w:tc>
          <w:tcPr>
            <w:tcW w:w="880" w:type="dxa"/>
            <w:tcBorders>
              <w:top w:val="nil"/>
              <w:left w:val="nil"/>
              <w:bottom w:val="single" w:sz="8" w:space="0" w:color="auto"/>
              <w:right w:val="single" w:sz="8" w:space="0" w:color="auto"/>
            </w:tcBorders>
            <w:shd w:val="clear" w:color="auto" w:fill="auto"/>
            <w:vAlign w:val="center"/>
            <w:hideMark/>
          </w:tcPr>
          <w:p w14:paraId="18901FA3"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804.011.800</w:t>
            </w:r>
          </w:p>
        </w:tc>
        <w:tc>
          <w:tcPr>
            <w:tcW w:w="323" w:type="dxa"/>
            <w:tcBorders>
              <w:top w:val="nil"/>
              <w:left w:val="nil"/>
              <w:bottom w:val="single" w:sz="8" w:space="0" w:color="auto"/>
              <w:right w:val="single" w:sz="8" w:space="0" w:color="auto"/>
            </w:tcBorders>
            <w:shd w:val="clear" w:color="auto" w:fill="auto"/>
            <w:vAlign w:val="center"/>
            <w:hideMark/>
          </w:tcPr>
          <w:p w14:paraId="6C1A6D34"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w:t>
            </w:r>
          </w:p>
        </w:tc>
        <w:tc>
          <w:tcPr>
            <w:tcW w:w="505" w:type="dxa"/>
            <w:tcBorders>
              <w:top w:val="nil"/>
              <w:left w:val="nil"/>
              <w:bottom w:val="single" w:sz="8" w:space="0" w:color="auto"/>
              <w:right w:val="single" w:sz="8" w:space="0" w:color="auto"/>
            </w:tcBorders>
            <w:shd w:val="clear" w:color="auto" w:fill="auto"/>
            <w:vAlign w:val="center"/>
            <w:hideMark/>
          </w:tcPr>
          <w:p w14:paraId="4CDC5E8C"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22910</w:t>
            </w:r>
          </w:p>
        </w:tc>
        <w:tc>
          <w:tcPr>
            <w:tcW w:w="3498" w:type="dxa"/>
            <w:tcBorders>
              <w:top w:val="nil"/>
              <w:left w:val="nil"/>
              <w:bottom w:val="single" w:sz="8" w:space="0" w:color="auto"/>
              <w:right w:val="single" w:sz="8" w:space="0" w:color="auto"/>
            </w:tcBorders>
            <w:shd w:val="clear" w:color="auto" w:fill="auto"/>
            <w:vAlign w:val="center"/>
            <w:hideMark/>
          </w:tcPr>
          <w:p w14:paraId="3D240809"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INGENIERÍA Y SERVICIOS SOCIEDAD ANÓNIMA EMPRESA DE SERVICIOS PÚBLICOS</w:t>
            </w:r>
          </w:p>
        </w:tc>
        <w:tc>
          <w:tcPr>
            <w:tcW w:w="1262" w:type="dxa"/>
            <w:tcBorders>
              <w:top w:val="nil"/>
              <w:left w:val="nil"/>
              <w:bottom w:val="single" w:sz="8" w:space="0" w:color="auto"/>
              <w:right w:val="single" w:sz="8" w:space="0" w:color="auto"/>
            </w:tcBorders>
            <w:shd w:val="clear" w:color="auto" w:fill="auto"/>
            <w:vAlign w:val="center"/>
            <w:hideMark/>
          </w:tcPr>
          <w:p w14:paraId="2A551FAE"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1EAD2AF5"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7137F2DA" w14:textId="77777777" w:rsidTr="00AD4E79">
        <w:trPr>
          <w:trHeight w:val="361"/>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1847BF85"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19</w:t>
            </w:r>
          </w:p>
        </w:tc>
        <w:tc>
          <w:tcPr>
            <w:tcW w:w="880" w:type="dxa"/>
            <w:tcBorders>
              <w:top w:val="nil"/>
              <w:left w:val="nil"/>
              <w:bottom w:val="single" w:sz="8" w:space="0" w:color="auto"/>
              <w:right w:val="single" w:sz="8" w:space="0" w:color="auto"/>
            </w:tcBorders>
            <w:shd w:val="clear" w:color="auto" w:fill="auto"/>
            <w:vAlign w:val="center"/>
            <w:hideMark/>
          </w:tcPr>
          <w:p w14:paraId="138B0625"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804.013.578</w:t>
            </w:r>
          </w:p>
        </w:tc>
        <w:tc>
          <w:tcPr>
            <w:tcW w:w="323" w:type="dxa"/>
            <w:tcBorders>
              <w:top w:val="nil"/>
              <w:left w:val="nil"/>
              <w:bottom w:val="single" w:sz="8" w:space="0" w:color="auto"/>
              <w:right w:val="single" w:sz="8" w:space="0" w:color="auto"/>
            </w:tcBorders>
            <w:shd w:val="clear" w:color="auto" w:fill="auto"/>
            <w:vAlign w:val="center"/>
            <w:hideMark/>
          </w:tcPr>
          <w:p w14:paraId="57776F17"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w:t>
            </w:r>
          </w:p>
        </w:tc>
        <w:tc>
          <w:tcPr>
            <w:tcW w:w="505" w:type="dxa"/>
            <w:tcBorders>
              <w:top w:val="nil"/>
              <w:left w:val="nil"/>
              <w:bottom w:val="single" w:sz="8" w:space="0" w:color="auto"/>
              <w:right w:val="single" w:sz="8" w:space="0" w:color="auto"/>
            </w:tcBorders>
            <w:shd w:val="clear" w:color="auto" w:fill="auto"/>
            <w:vAlign w:val="center"/>
            <w:hideMark/>
          </w:tcPr>
          <w:p w14:paraId="1BEDA14C"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3227</w:t>
            </w:r>
          </w:p>
        </w:tc>
        <w:tc>
          <w:tcPr>
            <w:tcW w:w="3498" w:type="dxa"/>
            <w:tcBorders>
              <w:top w:val="nil"/>
              <w:left w:val="nil"/>
              <w:bottom w:val="single" w:sz="8" w:space="0" w:color="auto"/>
              <w:right w:val="single" w:sz="8" w:space="0" w:color="auto"/>
            </w:tcBorders>
            <w:shd w:val="clear" w:color="auto" w:fill="auto"/>
            <w:vAlign w:val="center"/>
            <w:hideMark/>
          </w:tcPr>
          <w:p w14:paraId="06518F38"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PROMOTORA DE SERVICIOS PÚBLICOS S.A. E.S.P.</w:t>
            </w:r>
          </w:p>
        </w:tc>
        <w:tc>
          <w:tcPr>
            <w:tcW w:w="1262" w:type="dxa"/>
            <w:tcBorders>
              <w:top w:val="nil"/>
              <w:left w:val="nil"/>
              <w:bottom w:val="single" w:sz="8" w:space="0" w:color="auto"/>
              <w:right w:val="single" w:sz="8" w:space="0" w:color="auto"/>
            </w:tcBorders>
            <w:shd w:val="clear" w:color="auto" w:fill="auto"/>
            <w:vAlign w:val="center"/>
            <w:hideMark/>
          </w:tcPr>
          <w:p w14:paraId="01F00A13"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70BF2D40"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60798A3C"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0A6C76AE"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20</w:t>
            </w:r>
          </w:p>
        </w:tc>
        <w:tc>
          <w:tcPr>
            <w:tcW w:w="880" w:type="dxa"/>
            <w:tcBorders>
              <w:top w:val="nil"/>
              <w:left w:val="nil"/>
              <w:bottom w:val="single" w:sz="8" w:space="0" w:color="auto"/>
              <w:right w:val="single" w:sz="8" w:space="0" w:color="auto"/>
            </w:tcBorders>
            <w:shd w:val="clear" w:color="auto" w:fill="auto"/>
            <w:vAlign w:val="center"/>
            <w:hideMark/>
          </w:tcPr>
          <w:p w14:paraId="7E11B0D2"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804.014.818</w:t>
            </w:r>
          </w:p>
        </w:tc>
        <w:tc>
          <w:tcPr>
            <w:tcW w:w="323" w:type="dxa"/>
            <w:tcBorders>
              <w:top w:val="nil"/>
              <w:left w:val="nil"/>
              <w:bottom w:val="single" w:sz="8" w:space="0" w:color="auto"/>
              <w:right w:val="single" w:sz="8" w:space="0" w:color="auto"/>
            </w:tcBorders>
            <w:shd w:val="clear" w:color="auto" w:fill="auto"/>
            <w:vAlign w:val="center"/>
            <w:hideMark/>
          </w:tcPr>
          <w:p w14:paraId="07B970AA"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5</w:t>
            </w:r>
          </w:p>
        </w:tc>
        <w:tc>
          <w:tcPr>
            <w:tcW w:w="505" w:type="dxa"/>
            <w:tcBorders>
              <w:top w:val="nil"/>
              <w:left w:val="nil"/>
              <w:bottom w:val="single" w:sz="8" w:space="0" w:color="auto"/>
              <w:right w:val="single" w:sz="8" w:space="0" w:color="auto"/>
            </w:tcBorders>
            <w:shd w:val="clear" w:color="auto" w:fill="auto"/>
            <w:vAlign w:val="center"/>
            <w:hideMark/>
          </w:tcPr>
          <w:p w14:paraId="7023CD59"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3325</w:t>
            </w:r>
          </w:p>
        </w:tc>
        <w:tc>
          <w:tcPr>
            <w:tcW w:w="3498" w:type="dxa"/>
            <w:tcBorders>
              <w:top w:val="nil"/>
              <w:left w:val="nil"/>
              <w:bottom w:val="single" w:sz="8" w:space="0" w:color="auto"/>
              <w:right w:val="single" w:sz="8" w:space="0" w:color="auto"/>
            </w:tcBorders>
            <w:shd w:val="clear" w:color="auto" w:fill="auto"/>
            <w:vAlign w:val="center"/>
            <w:hideMark/>
          </w:tcPr>
          <w:p w14:paraId="2889B3E3"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PROMESA S.A. ESP</w:t>
            </w:r>
          </w:p>
        </w:tc>
        <w:tc>
          <w:tcPr>
            <w:tcW w:w="1262" w:type="dxa"/>
            <w:tcBorders>
              <w:top w:val="nil"/>
              <w:left w:val="nil"/>
              <w:bottom w:val="single" w:sz="8" w:space="0" w:color="auto"/>
              <w:right w:val="single" w:sz="8" w:space="0" w:color="auto"/>
            </w:tcBorders>
            <w:shd w:val="clear" w:color="auto" w:fill="auto"/>
            <w:vAlign w:val="center"/>
            <w:hideMark/>
          </w:tcPr>
          <w:p w14:paraId="45C6DC50"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78FEC286"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1A2E5604"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31B90DDE"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21</w:t>
            </w:r>
          </w:p>
        </w:tc>
        <w:tc>
          <w:tcPr>
            <w:tcW w:w="880" w:type="dxa"/>
            <w:tcBorders>
              <w:top w:val="nil"/>
              <w:left w:val="nil"/>
              <w:bottom w:val="single" w:sz="8" w:space="0" w:color="auto"/>
              <w:right w:val="single" w:sz="8" w:space="0" w:color="auto"/>
            </w:tcBorders>
            <w:shd w:val="clear" w:color="auto" w:fill="auto"/>
            <w:vAlign w:val="center"/>
            <w:hideMark/>
          </w:tcPr>
          <w:p w14:paraId="2355D0F9"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804.014.885</w:t>
            </w:r>
          </w:p>
        </w:tc>
        <w:tc>
          <w:tcPr>
            <w:tcW w:w="323" w:type="dxa"/>
            <w:tcBorders>
              <w:top w:val="nil"/>
              <w:left w:val="nil"/>
              <w:bottom w:val="single" w:sz="8" w:space="0" w:color="auto"/>
              <w:right w:val="single" w:sz="8" w:space="0" w:color="auto"/>
            </w:tcBorders>
            <w:shd w:val="clear" w:color="auto" w:fill="auto"/>
            <w:vAlign w:val="center"/>
            <w:hideMark/>
          </w:tcPr>
          <w:p w14:paraId="2E3E9356"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w:t>
            </w:r>
          </w:p>
        </w:tc>
        <w:tc>
          <w:tcPr>
            <w:tcW w:w="505" w:type="dxa"/>
            <w:tcBorders>
              <w:top w:val="nil"/>
              <w:left w:val="nil"/>
              <w:bottom w:val="single" w:sz="8" w:space="0" w:color="auto"/>
              <w:right w:val="single" w:sz="8" w:space="0" w:color="auto"/>
            </w:tcBorders>
            <w:shd w:val="clear" w:color="auto" w:fill="auto"/>
            <w:vAlign w:val="center"/>
            <w:hideMark/>
          </w:tcPr>
          <w:p w14:paraId="31A70A88"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3326</w:t>
            </w:r>
          </w:p>
        </w:tc>
        <w:tc>
          <w:tcPr>
            <w:tcW w:w="3498" w:type="dxa"/>
            <w:tcBorders>
              <w:top w:val="nil"/>
              <w:left w:val="nil"/>
              <w:bottom w:val="single" w:sz="8" w:space="0" w:color="auto"/>
              <w:right w:val="single" w:sz="8" w:space="0" w:color="auto"/>
            </w:tcBorders>
            <w:shd w:val="clear" w:color="auto" w:fill="auto"/>
            <w:vAlign w:val="center"/>
            <w:hideMark/>
          </w:tcPr>
          <w:p w14:paraId="704BD766"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ESPIGAS S.A. E.S.P.</w:t>
            </w:r>
          </w:p>
        </w:tc>
        <w:tc>
          <w:tcPr>
            <w:tcW w:w="1262" w:type="dxa"/>
            <w:tcBorders>
              <w:top w:val="nil"/>
              <w:left w:val="nil"/>
              <w:bottom w:val="single" w:sz="8" w:space="0" w:color="auto"/>
              <w:right w:val="single" w:sz="8" w:space="0" w:color="auto"/>
            </w:tcBorders>
            <w:shd w:val="clear" w:color="auto" w:fill="auto"/>
            <w:vAlign w:val="center"/>
            <w:hideMark/>
          </w:tcPr>
          <w:p w14:paraId="289355A6"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374982DE"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48EDE41D"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7EA6A959"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22</w:t>
            </w:r>
          </w:p>
        </w:tc>
        <w:tc>
          <w:tcPr>
            <w:tcW w:w="880" w:type="dxa"/>
            <w:tcBorders>
              <w:top w:val="nil"/>
              <w:left w:val="nil"/>
              <w:bottom w:val="single" w:sz="8" w:space="0" w:color="auto"/>
              <w:right w:val="single" w:sz="8" w:space="0" w:color="auto"/>
            </w:tcBorders>
            <w:shd w:val="clear" w:color="auto" w:fill="auto"/>
            <w:vAlign w:val="center"/>
            <w:hideMark/>
          </w:tcPr>
          <w:p w14:paraId="5ABBA9A0"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805.003.583</w:t>
            </w:r>
          </w:p>
        </w:tc>
        <w:tc>
          <w:tcPr>
            <w:tcW w:w="323" w:type="dxa"/>
            <w:tcBorders>
              <w:top w:val="nil"/>
              <w:left w:val="nil"/>
              <w:bottom w:val="single" w:sz="8" w:space="0" w:color="auto"/>
              <w:right w:val="single" w:sz="8" w:space="0" w:color="auto"/>
            </w:tcBorders>
            <w:shd w:val="clear" w:color="auto" w:fill="auto"/>
            <w:vAlign w:val="center"/>
            <w:hideMark/>
          </w:tcPr>
          <w:p w14:paraId="6C674759"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6</w:t>
            </w:r>
          </w:p>
        </w:tc>
        <w:tc>
          <w:tcPr>
            <w:tcW w:w="505" w:type="dxa"/>
            <w:tcBorders>
              <w:top w:val="nil"/>
              <w:left w:val="nil"/>
              <w:bottom w:val="single" w:sz="8" w:space="0" w:color="auto"/>
              <w:right w:val="single" w:sz="8" w:space="0" w:color="auto"/>
            </w:tcBorders>
            <w:shd w:val="clear" w:color="auto" w:fill="auto"/>
            <w:vAlign w:val="center"/>
            <w:hideMark/>
          </w:tcPr>
          <w:p w14:paraId="51291492"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1855</w:t>
            </w:r>
          </w:p>
        </w:tc>
        <w:tc>
          <w:tcPr>
            <w:tcW w:w="3498" w:type="dxa"/>
            <w:tcBorders>
              <w:top w:val="nil"/>
              <w:left w:val="nil"/>
              <w:bottom w:val="single" w:sz="8" w:space="0" w:color="auto"/>
              <w:right w:val="single" w:sz="8" w:space="0" w:color="auto"/>
            </w:tcBorders>
            <w:shd w:val="clear" w:color="auto" w:fill="auto"/>
            <w:vAlign w:val="center"/>
            <w:hideMark/>
          </w:tcPr>
          <w:p w14:paraId="30070CF7"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VELOGAS DE OCCIDENTE S.A. E.S.P.</w:t>
            </w:r>
          </w:p>
        </w:tc>
        <w:tc>
          <w:tcPr>
            <w:tcW w:w="1262" w:type="dxa"/>
            <w:tcBorders>
              <w:top w:val="nil"/>
              <w:left w:val="nil"/>
              <w:bottom w:val="single" w:sz="8" w:space="0" w:color="auto"/>
              <w:right w:val="single" w:sz="8" w:space="0" w:color="auto"/>
            </w:tcBorders>
            <w:shd w:val="clear" w:color="auto" w:fill="auto"/>
            <w:vAlign w:val="center"/>
            <w:hideMark/>
          </w:tcPr>
          <w:p w14:paraId="19893719"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40138BFB"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6EE4096B"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695514C2"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23</w:t>
            </w:r>
          </w:p>
        </w:tc>
        <w:tc>
          <w:tcPr>
            <w:tcW w:w="880" w:type="dxa"/>
            <w:tcBorders>
              <w:top w:val="nil"/>
              <w:left w:val="nil"/>
              <w:bottom w:val="single" w:sz="8" w:space="0" w:color="auto"/>
              <w:right w:val="single" w:sz="8" w:space="0" w:color="auto"/>
            </w:tcBorders>
            <w:shd w:val="clear" w:color="auto" w:fill="auto"/>
            <w:vAlign w:val="center"/>
            <w:hideMark/>
          </w:tcPr>
          <w:p w14:paraId="000A49B8"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805.010.599</w:t>
            </w:r>
          </w:p>
        </w:tc>
        <w:tc>
          <w:tcPr>
            <w:tcW w:w="323" w:type="dxa"/>
            <w:tcBorders>
              <w:top w:val="nil"/>
              <w:left w:val="nil"/>
              <w:bottom w:val="single" w:sz="8" w:space="0" w:color="auto"/>
              <w:right w:val="single" w:sz="8" w:space="0" w:color="auto"/>
            </w:tcBorders>
            <w:shd w:val="clear" w:color="auto" w:fill="auto"/>
            <w:vAlign w:val="center"/>
            <w:hideMark/>
          </w:tcPr>
          <w:p w14:paraId="25BAD942"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w:t>
            </w:r>
          </w:p>
        </w:tc>
        <w:tc>
          <w:tcPr>
            <w:tcW w:w="505" w:type="dxa"/>
            <w:tcBorders>
              <w:top w:val="nil"/>
              <w:left w:val="nil"/>
              <w:bottom w:val="single" w:sz="8" w:space="0" w:color="auto"/>
              <w:right w:val="single" w:sz="8" w:space="0" w:color="auto"/>
            </w:tcBorders>
            <w:shd w:val="clear" w:color="auto" w:fill="auto"/>
            <w:vAlign w:val="center"/>
            <w:hideMark/>
          </w:tcPr>
          <w:p w14:paraId="0C2D8269"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2264</w:t>
            </w:r>
          </w:p>
        </w:tc>
        <w:tc>
          <w:tcPr>
            <w:tcW w:w="3498" w:type="dxa"/>
            <w:tcBorders>
              <w:top w:val="nil"/>
              <w:left w:val="nil"/>
              <w:bottom w:val="single" w:sz="8" w:space="0" w:color="auto"/>
              <w:right w:val="single" w:sz="8" w:space="0" w:color="auto"/>
            </w:tcBorders>
            <w:shd w:val="clear" w:color="auto" w:fill="auto"/>
            <w:vAlign w:val="center"/>
            <w:hideMark/>
          </w:tcPr>
          <w:p w14:paraId="48F0B78F"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 xml:space="preserve">TRANSOCCIDENTE </w:t>
            </w:r>
            <w:proofErr w:type="gramStart"/>
            <w:r w:rsidRPr="00AD4E79">
              <w:rPr>
                <w:rFonts w:ascii="Arial Narrow" w:hAnsi="Arial Narrow" w:cs="Arial"/>
                <w:spacing w:val="0"/>
                <w:sz w:val="16"/>
                <w:szCs w:val="16"/>
                <w:lang w:eastAsia="es-CO"/>
              </w:rPr>
              <w:t>S.A .</w:t>
            </w:r>
            <w:proofErr w:type="gramEnd"/>
            <w:r w:rsidRPr="00AD4E79">
              <w:rPr>
                <w:rFonts w:ascii="Arial Narrow" w:hAnsi="Arial Narrow" w:cs="Arial"/>
                <w:spacing w:val="0"/>
                <w:sz w:val="16"/>
                <w:szCs w:val="16"/>
                <w:lang w:eastAsia="es-CO"/>
              </w:rPr>
              <w:t xml:space="preserve"> E.S.P.</w:t>
            </w:r>
          </w:p>
        </w:tc>
        <w:tc>
          <w:tcPr>
            <w:tcW w:w="1262" w:type="dxa"/>
            <w:tcBorders>
              <w:top w:val="nil"/>
              <w:left w:val="nil"/>
              <w:bottom w:val="single" w:sz="8" w:space="0" w:color="auto"/>
              <w:right w:val="single" w:sz="8" w:space="0" w:color="auto"/>
            </w:tcBorders>
            <w:shd w:val="clear" w:color="auto" w:fill="auto"/>
            <w:vAlign w:val="center"/>
            <w:hideMark/>
          </w:tcPr>
          <w:p w14:paraId="55BEB261"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0FCE0D61"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1ADE8980" w14:textId="77777777" w:rsidTr="00AD4E79">
        <w:trPr>
          <w:trHeight w:val="334"/>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3D4A3D24"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24</w:t>
            </w:r>
          </w:p>
        </w:tc>
        <w:tc>
          <w:tcPr>
            <w:tcW w:w="880" w:type="dxa"/>
            <w:tcBorders>
              <w:top w:val="nil"/>
              <w:left w:val="nil"/>
              <w:bottom w:val="single" w:sz="8" w:space="0" w:color="auto"/>
              <w:right w:val="single" w:sz="8" w:space="0" w:color="auto"/>
            </w:tcBorders>
            <w:shd w:val="clear" w:color="auto" w:fill="auto"/>
            <w:vAlign w:val="center"/>
            <w:hideMark/>
          </w:tcPr>
          <w:p w14:paraId="64185DE0"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809.010.690</w:t>
            </w:r>
          </w:p>
        </w:tc>
        <w:tc>
          <w:tcPr>
            <w:tcW w:w="323" w:type="dxa"/>
            <w:tcBorders>
              <w:top w:val="nil"/>
              <w:left w:val="nil"/>
              <w:bottom w:val="single" w:sz="8" w:space="0" w:color="auto"/>
              <w:right w:val="single" w:sz="8" w:space="0" w:color="auto"/>
            </w:tcBorders>
            <w:shd w:val="clear" w:color="auto" w:fill="auto"/>
            <w:vAlign w:val="center"/>
            <w:hideMark/>
          </w:tcPr>
          <w:p w14:paraId="15D64560"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w:t>
            </w:r>
          </w:p>
        </w:tc>
        <w:tc>
          <w:tcPr>
            <w:tcW w:w="505" w:type="dxa"/>
            <w:tcBorders>
              <w:top w:val="nil"/>
              <w:left w:val="nil"/>
              <w:bottom w:val="single" w:sz="8" w:space="0" w:color="auto"/>
              <w:right w:val="single" w:sz="8" w:space="0" w:color="auto"/>
            </w:tcBorders>
            <w:shd w:val="clear" w:color="auto" w:fill="auto"/>
            <w:vAlign w:val="center"/>
            <w:hideMark/>
          </w:tcPr>
          <w:p w14:paraId="58303609"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22388</w:t>
            </w:r>
          </w:p>
        </w:tc>
        <w:tc>
          <w:tcPr>
            <w:tcW w:w="3498" w:type="dxa"/>
            <w:tcBorders>
              <w:top w:val="nil"/>
              <w:left w:val="nil"/>
              <w:bottom w:val="single" w:sz="8" w:space="0" w:color="auto"/>
              <w:right w:val="single" w:sz="8" w:space="0" w:color="auto"/>
            </w:tcBorders>
            <w:shd w:val="clear" w:color="auto" w:fill="auto"/>
            <w:vAlign w:val="center"/>
            <w:hideMark/>
          </w:tcPr>
          <w:p w14:paraId="4C95E005"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EMPRESA INTEGRAL DE SERVICIOS OP&amp;S CONSTRUCCIONES SA ESP</w:t>
            </w:r>
          </w:p>
        </w:tc>
        <w:tc>
          <w:tcPr>
            <w:tcW w:w="1262" w:type="dxa"/>
            <w:tcBorders>
              <w:top w:val="nil"/>
              <w:left w:val="nil"/>
              <w:bottom w:val="single" w:sz="8" w:space="0" w:color="auto"/>
              <w:right w:val="single" w:sz="8" w:space="0" w:color="auto"/>
            </w:tcBorders>
            <w:shd w:val="clear" w:color="auto" w:fill="auto"/>
            <w:vAlign w:val="center"/>
            <w:hideMark/>
          </w:tcPr>
          <w:p w14:paraId="2CBFF71C"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5B77B819"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785E9FE1"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664DB4FC"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25</w:t>
            </w:r>
          </w:p>
        </w:tc>
        <w:tc>
          <w:tcPr>
            <w:tcW w:w="880" w:type="dxa"/>
            <w:tcBorders>
              <w:top w:val="nil"/>
              <w:left w:val="nil"/>
              <w:bottom w:val="single" w:sz="8" w:space="0" w:color="auto"/>
              <w:right w:val="single" w:sz="8" w:space="0" w:color="auto"/>
            </w:tcBorders>
            <w:shd w:val="clear" w:color="auto" w:fill="auto"/>
            <w:vAlign w:val="center"/>
            <w:hideMark/>
          </w:tcPr>
          <w:p w14:paraId="4E251E4F"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809.012.699</w:t>
            </w:r>
          </w:p>
        </w:tc>
        <w:tc>
          <w:tcPr>
            <w:tcW w:w="323" w:type="dxa"/>
            <w:tcBorders>
              <w:top w:val="nil"/>
              <w:left w:val="nil"/>
              <w:bottom w:val="single" w:sz="8" w:space="0" w:color="auto"/>
              <w:right w:val="single" w:sz="8" w:space="0" w:color="auto"/>
            </w:tcBorders>
            <w:shd w:val="clear" w:color="auto" w:fill="auto"/>
            <w:vAlign w:val="center"/>
            <w:hideMark/>
          </w:tcPr>
          <w:p w14:paraId="010892B9"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4</w:t>
            </w:r>
          </w:p>
        </w:tc>
        <w:tc>
          <w:tcPr>
            <w:tcW w:w="505" w:type="dxa"/>
            <w:tcBorders>
              <w:top w:val="nil"/>
              <w:left w:val="nil"/>
              <w:bottom w:val="single" w:sz="8" w:space="0" w:color="auto"/>
              <w:right w:val="single" w:sz="8" w:space="0" w:color="auto"/>
            </w:tcBorders>
            <w:shd w:val="clear" w:color="auto" w:fill="auto"/>
            <w:vAlign w:val="center"/>
            <w:hideMark/>
          </w:tcPr>
          <w:p w14:paraId="40F16467"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20322</w:t>
            </w:r>
          </w:p>
        </w:tc>
        <w:tc>
          <w:tcPr>
            <w:tcW w:w="3498" w:type="dxa"/>
            <w:tcBorders>
              <w:top w:val="nil"/>
              <w:left w:val="nil"/>
              <w:bottom w:val="single" w:sz="8" w:space="0" w:color="auto"/>
              <w:right w:val="single" w:sz="8" w:space="0" w:color="auto"/>
            </w:tcBorders>
            <w:shd w:val="clear" w:color="auto" w:fill="auto"/>
            <w:vAlign w:val="center"/>
            <w:hideMark/>
          </w:tcPr>
          <w:p w14:paraId="07A588CE"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SERVICIOS PUBLICOS INGENIERIA Y GAS</w:t>
            </w:r>
          </w:p>
        </w:tc>
        <w:tc>
          <w:tcPr>
            <w:tcW w:w="1262" w:type="dxa"/>
            <w:tcBorders>
              <w:top w:val="nil"/>
              <w:left w:val="nil"/>
              <w:bottom w:val="single" w:sz="8" w:space="0" w:color="auto"/>
              <w:right w:val="single" w:sz="8" w:space="0" w:color="auto"/>
            </w:tcBorders>
            <w:shd w:val="clear" w:color="auto" w:fill="auto"/>
            <w:vAlign w:val="center"/>
            <w:hideMark/>
          </w:tcPr>
          <w:p w14:paraId="747E0D6A"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22D59FC2"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SIN REPORTE AL SUI</w:t>
            </w:r>
          </w:p>
        </w:tc>
      </w:tr>
      <w:tr w:rsidR="00AD4E79" w:rsidRPr="00AD4E79" w14:paraId="2CEB742A"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612862BD"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26</w:t>
            </w:r>
          </w:p>
        </w:tc>
        <w:tc>
          <w:tcPr>
            <w:tcW w:w="880" w:type="dxa"/>
            <w:tcBorders>
              <w:top w:val="nil"/>
              <w:left w:val="nil"/>
              <w:bottom w:val="single" w:sz="8" w:space="0" w:color="auto"/>
              <w:right w:val="single" w:sz="8" w:space="0" w:color="auto"/>
            </w:tcBorders>
            <w:shd w:val="clear" w:color="auto" w:fill="auto"/>
            <w:vAlign w:val="center"/>
            <w:hideMark/>
          </w:tcPr>
          <w:p w14:paraId="6560CAFE"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813.002.696</w:t>
            </w:r>
          </w:p>
        </w:tc>
        <w:tc>
          <w:tcPr>
            <w:tcW w:w="323" w:type="dxa"/>
            <w:tcBorders>
              <w:top w:val="nil"/>
              <w:left w:val="nil"/>
              <w:bottom w:val="single" w:sz="8" w:space="0" w:color="auto"/>
              <w:right w:val="single" w:sz="8" w:space="0" w:color="auto"/>
            </w:tcBorders>
            <w:shd w:val="clear" w:color="auto" w:fill="auto"/>
            <w:vAlign w:val="center"/>
            <w:hideMark/>
          </w:tcPr>
          <w:p w14:paraId="4D586669"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4</w:t>
            </w:r>
          </w:p>
        </w:tc>
        <w:tc>
          <w:tcPr>
            <w:tcW w:w="505" w:type="dxa"/>
            <w:tcBorders>
              <w:top w:val="nil"/>
              <w:left w:val="nil"/>
              <w:bottom w:val="single" w:sz="8" w:space="0" w:color="auto"/>
              <w:right w:val="single" w:sz="8" w:space="0" w:color="auto"/>
            </w:tcBorders>
            <w:shd w:val="clear" w:color="auto" w:fill="auto"/>
            <w:vAlign w:val="center"/>
            <w:hideMark/>
          </w:tcPr>
          <w:p w14:paraId="535DB8D0"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1598</w:t>
            </w:r>
          </w:p>
        </w:tc>
        <w:tc>
          <w:tcPr>
            <w:tcW w:w="3498" w:type="dxa"/>
            <w:tcBorders>
              <w:top w:val="nil"/>
              <w:left w:val="nil"/>
              <w:bottom w:val="single" w:sz="8" w:space="0" w:color="auto"/>
              <w:right w:val="single" w:sz="8" w:space="0" w:color="auto"/>
            </w:tcBorders>
            <w:shd w:val="clear" w:color="auto" w:fill="auto"/>
            <w:vAlign w:val="center"/>
            <w:hideMark/>
          </w:tcPr>
          <w:p w14:paraId="4D87E844"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GAS NEIVA S.A. E.S.P.</w:t>
            </w:r>
          </w:p>
        </w:tc>
        <w:tc>
          <w:tcPr>
            <w:tcW w:w="1262" w:type="dxa"/>
            <w:tcBorders>
              <w:top w:val="nil"/>
              <w:left w:val="nil"/>
              <w:bottom w:val="single" w:sz="8" w:space="0" w:color="auto"/>
              <w:right w:val="single" w:sz="8" w:space="0" w:color="auto"/>
            </w:tcBorders>
            <w:shd w:val="clear" w:color="auto" w:fill="auto"/>
            <w:vAlign w:val="center"/>
            <w:hideMark/>
          </w:tcPr>
          <w:p w14:paraId="71E65756"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2CB167E5"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14D9731E"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5FD43D08"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27</w:t>
            </w:r>
          </w:p>
        </w:tc>
        <w:tc>
          <w:tcPr>
            <w:tcW w:w="880" w:type="dxa"/>
            <w:tcBorders>
              <w:top w:val="nil"/>
              <w:left w:val="nil"/>
              <w:bottom w:val="single" w:sz="8" w:space="0" w:color="auto"/>
              <w:right w:val="single" w:sz="8" w:space="0" w:color="auto"/>
            </w:tcBorders>
            <w:shd w:val="clear" w:color="auto" w:fill="auto"/>
            <w:vAlign w:val="center"/>
            <w:hideMark/>
          </w:tcPr>
          <w:p w14:paraId="6C364A93"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813.009.626</w:t>
            </w:r>
          </w:p>
        </w:tc>
        <w:tc>
          <w:tcPr>
            <w:tcW w:w="323" w:type="dxa"/>
            <w:tcBorders>
              <w:top w:val="nil"/>
              <w:left w:val="nil"/>
              <w:bottom w:val="single" w:sz="8" w:space="0" w:color="auto"/>
              <w:right w:val="single" w:sz="8" w:space="0" w:color="auto"/>
            </w:tcBorders>
            <w:shd w:val="clear" w:color="auto" w:fill="auto"/>
            <w:vAlign w:val="center"/>
            <w:hideMark/>
          </w:tcPr>
          <w:p w14:paraId="79D7CE1A"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0</w:t>
            </w:r>
          </w:p>
        </w:tc>
        <w:tc>
          <w:tcPr>
            <w:tcW w:w="505" w:type="dxa"/>
            <w:tcBorders>
              <w:top w:val="nil"/>
              <w:left w:val="nil"/>
              <w:bottom w:val="single" w:sz="8" w:space="0" w:color="auto"/>
              <w:right w:val="single" w:sz="8" w:space="0" w:color="auto"/>
            </w:tcBorders>
            <w:shd w:val="clear" w:color="auto" w:fill="auto"/>
            <w:vAlign w:val="center"/>
            <w:hideMark/>
          </w:tcPr>
          <w:p w14:paraId="670AC071"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21435</w:t>
            </w:r>
          </w:p>
        </w:tc>
        <w:tc>
          <w:tcPr>
            <w:tcW w:w="3498" w:type="dxa"/>
            <w:tcBorders>
              <w:top w:val="nil"/>
              <w:left w:val="nil"/>
              <w:bottom w:val="single" w:sz="8" w:space="0" w:color="auto"/>
              <w:right w:val="single" w:sz="8" w:space="0" w:color="auto"/>
            </w:tcBorders>
            <w:shd w:val="clear" w:color="auto" w:fill="auto"/>
            <w:vAlign w:val="center"/>
            <w:hideMark/>
          </w:tcPr>
          <w:p w14:paraId="228598C7"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SERVICIOS PUBLICOS Y GAS S.A E.S.P.</w:t>
            </w:r>
          </w:p>
        </w:tc>
        <w:tc>
          <w:tcPr>
            <w:tcW w:w="1262" w:type="dxa"/>
            <w:tcBorders>
              <w:top w:val="nil"/>
              <w:left w:val="nil"/>
              <w:bottom w:val="single" w:sz="8" w:space="0" w:color="auto"/>
              <w:right w:val="single" w:sz="8" w:space="0" w:color="auto"/>
            </w:tcBorders>
            <w:shd w:val="clear" w:color="auto" w:fill="auto"/>
            <w:vAlign w:val="center"/>
            <w:hideMark/>
          </w:tcPr>
          <w:p w14:paraId="7A42C914"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6F290CB5"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SIN REPORTE AL SUI</w:t>
            </w:r>
          </w:p>
        </w:tc>
      </w:tr>
      <w:tr w:rsidR="00AD4E79" w:rsidRPr="00AD4E79" w14:paraId="5ED33249"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75220702"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28</w:t>
            </w:r>
          </w:p>
        </w:tc>
        <w:tc>
          <w:tcPr>
            <w:tcW w:w="880" w:type="dxa"/>
            <w:tcBorders>
              <w:top w:val="nil"/>
              <w:left w:val="nil"/>
              <w:bottom w:val="single" w:sz="8" w:space="0" w:color="auto"/>
              <w:right w:val="single" w:sz="8" w:space="0" w:color="auto"/>
            </w:tcBorders>
            <w:shd w:val="clear" w:color="auto" w:fill="auto"/>
            <w:vAlign w:val="center"/>
            <w:hideMark/>
          </w:tcPr>
          <w:p w14:paraId="3573D203"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814.003.050</w:t>
            </w:r>
          </w:p>
        </w:tc>
        <w:tc>
          <w:tcPr>
            <w:tcW w:w="323" w:type="dxa"/>
            <w:tcBorders>
              <w:top w:val="nil"/>
              <w:left w:val="nil"/>
              <w:bottom w:val="single" w:sz="8" w:space="0" w:color="auto"/>
              <w:right w:val="single" w:sz="8" w:space="0" w:color="auto"/>
            </w:tcBorders>
            <w:shd w:val="clear" w:color="auto" w:fill="auto"/>
            <w:vAlign w:val="center"/>
            <w:hideMark/>
          </w:tcPr>
          <w:p w14:paraId="374C815A"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5</w:t>
            </w:r>
          </w:p>
        </w:tc>
        <w:tc>
          <w:tcPr>
            <w:tcW w:w="505" w:type="dxa"/>
            <w:tcBorders>
              <w:top w:val="nil"/>
              <w:left w:val="nil"/>
              <w:bottom w:val="single" w:sz="8" w:space="0" w:color="auto"/>
              <w:right w:val="single" w:sz="8" w:space="0" w:color="auto"/>
            </w:tcBorders>
            <w:shd w:val="clear" w:color="auto" w:fill="auto"/>
            <w:vAlign w:val="center"/>
            <w:hideMark/>
          </w:tcPr>
          <w:p w14:paraId="0D0B1F62"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2676</w:t>
            </w:r>
          </w:p>
        </w:tc>
        <w:tc>
          <w:tcPr>
            <w:tcW w:w="3498" w:type="dxa"/>
            <w:tcBorders>
              <w:top w:val="nil"/>
              <w:left w:val="nil"/>
              <w:bottom w:val="single" w:sz="8" w:space="0" w:color="auto"/>
              <w:right w:val="single" w:sz="8" w:space="0" w:color="auto"/>
            </w:tcBorders>
            <w:shd w:val="clear" w:color="auto" w:fill="auto"/>
            <w:vAlign w:val="center"/>
            <w:hideMark/>
          </w:tcPr>
          <w:p w14:paraId="7EBFA33A"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SUPERGAS DE NARIÑO S.A. E.S.P.</w:t>
            </w:r>
          </w:p>
        </w:tc>
        <w:tc>
          <w:tcPr>
            <w:tcW w:w="1262" w:type="dxa"/>
            <w:tcBorders>
              <w:top w:val="nil"/>
              <w:left w:val="nil"/>
              <w:bottom w:val="single" w:sz="8" w:space="0" w:color="auto"/>
              <w:right w:val="single" w:sz="8" w:space="0" w:color="auto"/>
            </w:tcBorders>
            <w:shd w:val="clear" w:color="auto" w:fill="auto"/>
            <w:vAlign w:val="center"/>
            <w:hideMark/>
          </w:tcPr>
          <w:p w14:paraId="18E5E3DB"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4662FEBB"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276AE814"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673CF901"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29</w:t>
            </w:r>
          </w:p>
        </w:tc>
        <w:tc>
          <w:tcPr>
            <w:tcW w:w="880" w:type="dxa"/>
            <w:tcBorders>
              <w:top w:val="nil"/>
              <w:left w:val="nil"/>
              <w:bottom w:val="single" w:sz="8" w:space="0" w:color="auto"/>
              <w:right w:val="single" w:sz="8" w:space="0" w:color="auto"/>
            </w:tcBorders>
            <w:shd w:val="clear" w:color="auto" w:fill="auto"/>
            <w:vAlign w:val="center"/>
            <w:hideMark/>
          </w:tcPr>
          <w:p w14:paraId="29297714"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822.001.073</w:t>
            </w:r>
          </w:p>
        </w:tc>
        <w:tc>
          <w:tcPr>
            <w:tcW w:w="323" w:type="dxa"/>
            <w:tcBorders>
              <w:top w:val="nil"/>
              <w:left w:val="nil"/>
              <w:bottom w:val="single" w:sz="8" w:space="0" w:color="auto"/>
              <w:right w:val="single" w:sz="8" w:space="0" w:color="auto"/>
            </w:tcBorders>
            <w:shd w:val="clear" w:color="auto" w:fill="auto"/>
            <w:vAlign w:val="center"/>
            <w:hideMark/>
          </w:tcPr>
          <w:p w14:paraId="36C9FA55"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4</w:t>
            </w:r>
          </w:p>
        </w:tc>
        <w:tc>
          <w:tcPr>
            <w:tcW w:w="505" w:type="dxa"/>
            <w:tcBorders>
              <w:top w:val="nil"/>
              <w:left w:val="nil"/>
              <w:bottom w:val="single" w:sz="8" w:space="0" w:color="auto"/>
              <w:right w:val="single" w:sz="8" w:space="0" w:color="auto"/>
            </w:tcBorders>
            <w:shd w:val="clear" w:color="auto" w:fill="auto"/>
            <w:vAlign w:val="center"/>
            <w:hideMark/>
          </w:tcPr>
          <w:p w14:paraId="7D954DF7"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2097</w:t>
            </w:r>
          </w:p>
        </w:tc>
        <w:tc>
          <w:tcPr>
            <w:tcW w:w="3498" w:type="dxa"/>
            <w:tcBorders>
              <w:top w:val="nil"/>
              <w:left w:val="nil"/>
              <w:bottom w:val="single" w:sz="8" w:space="0" w:color="auto"/>
              <w:right w:val="single" w:sz="8" w:space="0" w:color="auto"/>
            </w:tcBorders>
            <w:shd w:val="clear" w:color="auto" w:fill="auto"/>
            <w:vAlign w:val="center"/>
            <w:hideMark/>
          </w:tcPr>
          <w:p w14:paraId="63DCFAAF"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MADIGAS INGENIEROS S.A. E.S.P.</w:t>
            </w:r>
          </w:p>
        </w:tc>
        <w:tc>
          <w:tcPr>
            <w:tcW w:w="1262" w:type="dxa"/>
            <w:tcBorders>
              <w:top w:val="nil"/>
              <w:left w:val="nil"/>
              <w:bottom w:val="single" w:sz="8" w:space="0" w:color="auto"/>
              <w:right w:val="single" w:sz="8" w:space="0" w:color="auto"/>
            </w:tcBorders>
            <w:shd w:val="clear" w:color="auto" w:fill="auto"/>
            <w:vAlign w:val="center"/>
            <w:hideMark/>
          </w:tcPr>
          <w:p w14:paraId="2F89F274"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5A270EAD"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62CC9762"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4B5609F4"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30</w:t>
            </w:r>
          </w:p>
        </w:tc>
        <w:tc>
          <w:tcPr>
            <w:tcW w:w="880" w:type="dxa"/>
            <w:tcBorders>
              <w:top w:val="nil"/>
              <w:left w:val="nil"/>
              <w:bottom w:val="single" w:sz="8" w:space="0" w:color="auto"/>
              <w:right w:val="single" w:sz="8" w:space="0" w:color="auto"/>
            </w:tcBorders>
            <w:shd w:val="clear" w:color="auto" w:fill="auto"/>
            <w:vAlign w:val="center"/>
            <w:hideMark/>
          </w:tcPr>
          <w:p w14:paraId="3EC8A271"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822.004.727</w:t>
            </w:r>
          </w:p>
        </w:tc>
        <w:tc>
          <w:tcPr>
            <w:tcW w:w="323" w:type="dxa"/>
            <w:tcBorders>
              <w:top w:val="nil"/>
              <w:left w:val="nil"/>
              <w:bottom w:val="single" w:sz="8" w:space="0" w:color="auto"/>
              <w:right w:val="single" w:sz="8" w:space="0" w:color="auto"/>
            </w:tcBorders>
            <w:shd w:val="clear" w:color="auto" w:fill="auto"/>
            <w:vAlign w:val="center"/>
            <w:hideMark/>
          </w:tcPr>
          <w:p w14:paraId="320CA9DC"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6</w:t>
            </w:r>
          </w:p>
        </w:tc>
        <w:tc>
          <w:tcPr>
            <w:tcW w:w="505" w:type="dxa"/>
            <w:tcBorders>
              <w:top w:val="nil"/>
              <w:left w:val="nil"/>
              <w:bottom w:val="single" w:sz="8" w:space="0" w:color="auto"/>
              <w:right w:val="single" w:sz="8" w:space="0" w:color="auto"/>
            </w:tcBorders>
            <w:shd w:val="clear" w:color="auto" w:fill="auto"/>
            <w:vAlign w:val="center"/>
            <w:hideMark/>
          </w:tcPr>
          <w:p w14:paraId="2ADD2A79"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3080</w:t>
            </w:r>
          </w:p>
        </w:tc>
        <w:tc>
          <w:tcPr>
            <w:tcW w:w="3498" w:type="dxa"/>
            <w:tcBorders>
              <w:top w:val="nil"/>
              <w:left w:val="nil"/>
              <w:bottom w:val="single" w:sz="8" w:space="0" w:color="auto"/>
              <w:right w:val="single" w:sz="8" w:space="0" w:color="auto"/>
            </w:tcBorders>
            <w:shd w:val="clear" w:color="auto" w:fill="auto"/>
            <w:vAlign w:val="center"/>
            <w:hideMark/>
          </w:tcPr>
          <w:p w14:paraId="01B33DBA"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LA LLAMA OLÍMPICA S.A, E.S.P.</w:t>
            </w:r>
          </w:p>
        </w:tc>
        <w:tc>
          <w:tcPr>
            <w:tcW w:w="1262" w:type="dxa"/>
            <w:tcBorders>
              <w:top w:val="nil"/>
              <w:left w:val="nil"/>
              <w:bottom w:val="single" w:sz="8" w:space="0" w:color="auto"/>
              <w:right w:val="single" w:sz="8" w:space="0" w:color="auto"/>
            </w:tcBorders>
            <w:shd w:val="clear" w:color="auto" w:fill="auto"/>
            <w:vAlign w:val="center"/>
            <w:hideMark/>
          </w:tcPr>
          <w:p w14:paraId="5453ACE9"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291D4429"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727E2873"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5DD8772C"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31</w:t>
            </w:r>
          </w:p>
        </w:tc>
        <w:tc>
          <w:tcPr>
            <w:tcW w:w="880" w:type="dxa"/>
            <w:tcBorders>
              <w:top w:val="nil"/>
              <w:left w:val="nil"/>
              <w:bottom w:val="single" w:sz="8" w:space="0" w:color="auto"/>
              <w:right w:val="single" w:sz="8" w:space="0" w:color="auto"/>
            </w:tcBorders>
            <w:shd w:val="clear" w:color="auto" w:fill="auto"/>
            <w:vAlign w:val="center"/>
            <w:hideMark/>
          </w:tcPr>
          <w:p w14:paraId="5460B464"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827.000.149</w:t>
            </w:r>
          </w:p>
        </w:tc>
        <w:tc>
          <w:tcPr>
            <w:tcW w:w="323" w:type="dxa"/>
            <w:tcBorders>
              <w:top w:val="nil"/>
              <w:left w:val="nil"/>
              <w:bottom w:val="single" w:sz="8" w:space="0" w:color="auto"/>
              <w:right w:val="single" w:sz="8" w:space="0" w:color="auto"/>
            </w:tcBorders>
            <w:shd w:val="clear" w:color="auto" w:fill="auto"/>
            <w:vAlign w:val="center"/>
            <w:hideMark/>
          </w:tcPr>
          <w:p w14:paraId="1CF53F44"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w:t>
            </w:r>
          </w:p>
        </w:tc>
        <w:tc>
          <w:tcPr>
            <w:tcW w:w="505" w:type="dxa"/>
            <w:tcBorders>
              <w:top w:val="nil"/>
              <w:left w:val="nil"/>
              <w:bottom w:val="single" w:sz="8" w:space="0" w:color="auto"/>
              <w:right w:val="single" w:sz="8" w:space="0" w:color="auto"/>
            </w:tcBorders>
            <w:shd w:val="clear" w:color="auto" w:fill="auto"/>
            <w:vAlign w:val="center"/>
            <w:hideMark/>
          </w:tcPr>
          <w:p w14:paraId="0788CC81"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543</w:t>
            </w:r>
          </w:p>
        </w:tc>
        <w:tc>
          <w:tcPr>
            <w:tcW w:w="3498" w:type="dxa"/>
            <w:tcBorders>
              <w:top w:val="nil"/>
              <w:left w:val="nil"/>
              <w:bottom w:val="single" w:sz="8" w:space="0" w:color="auto"/>
              <w:right w:val="single" w:sz="8" w:space="0" w:color="auto"/>
            </w:tcBorders>
            <w:shd w:val="clear" w:color="auto" w:fill="auto"/>
            <w:vAlign w:val="center"/>
            <w:hideMark/>
          </w:tcPr>
          <w:p w14:paraId="261A1834"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PROVIGAS S.A.S.  E.S.P.</w:t>
            </w:r>
          </w:p>
        </w:tc>
        <w:tc>
          <w:tcPr>
            <w:tcW w:w="1262" w:type="dxa"/>
            <w:tcBorders>
              <w:top w:val="nil"/>
              <w:left w:val="nil"/>
              <w:bottom w:val="single" w:sz="8" w:space="0" w:color="auto"/>
              <w:right w:val="single" w:sz="8" w:space="0" w:color="auto"/>
            </w:tcBorders>
            <w:shd w:val="clear" w:color="auto" w:fill="auto"/>
            <w:vAlign w:val="center"/>
            <w:hideMark/>
          </w:tcPr>
          <w:p w14:paraId="521F443A"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14894DE6"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3D722697"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6CE2B0F2"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32</w:t>
            </w:r>
          </w:p>
        </w:tc>
        <w:tc>
          <w:tcPr>
            <w:tcW w:w="880" w:type="dxa"/>
            <w:tcBorders>
              <w:top w:val="nil"/>
              <w:left w:val="nil"/>
              <w:bottom w:val="single" w:sz="8" w:space="0" w:color="auto"/>
              <w:right w:val="single" w:sz="8" w:space="0" w:color="auto"/>
            </w:tcBorders>
            <w:shd w:val="clear" w:color="auto" w:fill="auto"/>
            <w:vAlign w:val="center"/>
            <w:hideMark/>
          </w:tcPr>
          <w:p w14:paraId="4FAB26C7"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828.000.499</w:t>
            </w:r>
          </w:p>
        </w:tc>
        <w:tc>
          <w:tcPr>
            <w:tcW w:w="323" w:type="dxa"/>
            <w:tcBorders>
              <w:top w:val="nil"/>
              <w:left w:val="nil"/>
              <w:bottom w:val="single" w:sz="8" w:space="0" w:color="auto"/>
              <w:right w:val="single" w:sz="8" w:space="0" w:color="auto"/>
            </w:tcBorders>
            <w:shd w:val="clear" w:color="auto" w:fill="auto"/>
            <w:vAlign w:val="center"/>
            <w:hideMark/>
          </w:tcPr>
          <w:p w14:paraId="73FB8BAA"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5</w:t>
            </w:r>
          </w:p>
        </w:tc>
        <w:tc>
          <w:tcPr>
            <w:tcW w:w="505" w:type="dxa"/>
            <w:tcBorders>
              <w:top w:val="nil"/>
              <w:left w:val="nil"/>
              <w:bottom w:val="single" w:sz="8" w:space="0" w:color="auto"/>
              <w:right w:val="single" w:sz="8" w:space="0" w:color="auto"/>
            </w:tcBorders>
            <w:shd w:val="clear" w:color="auto" w:fill="auto"/>
            <w:vAlign w:val="center"/>
            <w:hideMark/>
          </w:tcPr>
          <w:p w14:paraId="1429DDC4"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2180</w:t>
            </w:r>
          </w:p>
        </w:tc>
        <w:tc>
          <w:tcPr>
            <w:tcW w:w="3498" w:type="dxa"/>
            <w:tcBorders>
              <w:top w:val="nil"/>
              <w:left w:val="nil"/>
              <w:bottom w:val="single" w:sz="8" w:space="0" w:color="auto"/>
              <w:right w:val="single" w:sz="8" w:space="0" w:color="auto"/>
            </w:tcBorders>
            <w:shd w:val="clear" w:color="auto" w:fill="auto"/>
            <w:vAlign w:val="center"/>
            <w:hideMark/>
          </w:tcPr>
          <w:p w14:paraId="252D55FC"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 xml:space="preserve">GAS CAQUETA </w:t>
            </w:r>
            <w:proofErr w:type="gramStart"/>
            <w:r w:rsidRPr="00AD4E79">
              <w:rPr>
                <w:rFonts w:ascii="Arial Narrow" w:hAnsi="Arial Narrow" w:cs="Arial"/>
                <w:spacing w:val="0"/>
                <w:sz w:val="16"/>
                <w:szCs w:val="16"/>
                <w:lang w:eastAsia="es-CO"/>
              </w:rPr>
              <w:t>S.A  E</w:t>
            </w:r>
            <w:proofErr w:type="gramEnd"/>
            <w:r w:rsidRPr="00AD4E79">
              <w:rPr>
                <w:rFonts w:ascii="Arial Narrow" w:hAnsi="Arial Narrow" w:cs="Arial"/>
                <w:spacing w:val="0"/>
                <w:sz w:val="16"/>
                <w:szCs w:val="16"/>
                <w:lang w:eastAsia="es-CO"/>
              </w:rPr>
              <w:t>.S.P</w:t>
            </w:r>
          </w:p>
        </w:tc>
        <w:tc>
          <w:tcPr>
            <w:tcW w:w="1262" w:type="dxa"/>
            <w:tcBorders>
              <w:top w:val="nil"/>
              <w:left w:val="nil"/>
              <w:bottom w:val="single" w:sz="8" w:space="0" w:color="auto"/>
              <w:right w:val="single" w:sz="8" w:space="0" w:color="auto"/>
            </w:tcBorders>
            <w:shd w:val="clear" w:color="auto" w:fill="auto"/>
            <w:vAlign w:val="center"/>
            <w:hideMark/>
          </w:tcPr>
          <w:p w14:paraId="57487DB6"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130B8ECE"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6850F962"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5F3F39B5"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33</w:t>
            </w:r>
          </w:p>
        </w:tc>
        <w:tc>
          <w:tcPr>
            <w:tcW w:w="880" w:type="dxa"/>
            <w:tcBorders>
              <w:top w:val="nil"/>
              <w:left w:val="nil"/>
              <w:bottom w:val="single" w:sz="8" w:space="0" w:color="auto"/>
              <w:right w:val="single" w:sz="8" w:space="0" w:color="auto"/>
            </w:tcBorders>
            <w:shd w:val="clear" w:color="auto" w:fill="auto"/>
            <w:vAlign w:val="center"/>
            <w:hideMark/>
          </w:tcPr>
          <w:p w14:paraId="1795C034"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828.000.578</w:t>
            </w:r>
          </w:p>
        </w:tc>
        <w:tc>
          <w:tcPr>
            <w:tcW w:w="323" w:type="dxa"/>
            <w:tcBorders>
              <w:top w:val="nil"/>
              <w:left w:val="nil"/>
              <w:bottom w:val="single" w:sz="8" w:space="0" w:color="auto"/>
              <w:right w:val="single" w:sz="8" w:space="0" w:color="auto"/>
            </w:tcBorders>
            <w:shd w:val="clear" w:color="auto" w:fill="auto"/>
            <w:vAlign w:val="center"/>
            <w:hideMark/>
          </w:tcPr>
          <w:p w14:paraId="66FB507F"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w:t>
            </w:r>
          </w:p>
        </w:tc>
        <w:tc>
          <w:tcPr>
            <w:tcW w:w="505" w:type="dxa"/>
            <w:tcBorders>
              <w:top w:val="nil"/>
              <w:left w:val="nil"/>
              <w:bottom w:val="single" w:sz="8" w:space="0" w:color="auto"/>
              <w:right w:val="single" w:sz="8" w:space="0" w:color="auto"/>
            </w:tcBorders>
            <w:shd w:val="clear" w:color="auto" w:fill="auto"/>
            <w:vAlign w:val="center"/>
            <w:hideMark/>
          </w:tcPr>
          <w:p w14:paraId="524C0E86"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1595</w:t>
            </w:r>
          </w:p>
        </w:tc>
        <w:tc>
          <w:tcPr>
            <w:tcW w:w="3498" w:type="dxa"/>
            <w:tcBorders>
              <w:top w:val="nil"/>
              <w:left w:val="nil"/>
              <w:bottom w:val="single" w:sz="8" w:space="0" w:color="auto"/>
              <w:right w:val="single" w:sz="8" w:space="0" w:color="auto"/>
            </w:tcBorders>
            <w:shd w:val="clear" w:color="auto" w:fill="auto"/>
            <w:vAlign w:val="center"/>
            <w:hideMark/>
          </w:tcPr>
          <w:p w14:paraId="4AD60438"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GASES DEL CAGUAN S. A. E.S.P.</w:t>
            </w:r>
          </w:p>
        </w:tc>
        <w:tc>
          <w:tcPr>
            <w:tcW w:w="1262" w:type="dxa"/>
            <w:tcBorders>
              <w:top w:val="nil"/>
              <w:left w:val="nil"/>
              <w:bottom w:val="single" w:sz="8" w:space="0" w:color="auto"/>
              <w:right w:val="single" w:sz="8" w:space="0" w:color="auto"/>
            </w:tcBorders>
            <w:shd w:val="clear" w:color="auto" w:fill="auto"/>
            <w:vAlign w:val="center"/>
            <w:hideMark/>
          </w:tcPr>
          <w:p w14:paraId="0F6CB482"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5855A2BC"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SIN REPORTE AL SUI</w:t>
            </w:r>
          </w:p>
        </w:tc>
      </w:tr>
      <w:tr w:rsidR="00AD4E79" w:rsidRPr="00AD4E79" w14:paraId="6FC12E58"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057C24CF"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34</w:t>
            </w:r>
          </w:p>
        </w:tc>
        <w:tc>
          <w:tcPr>
            <w:tcW w:w="880" w:type="dxa"/>
            <w:tcBorders>
              <w:top w:val="nil"/>
              <w:left w:val="nil"/>
              <w:bottom w:val="single" w:sz="8" w:space="0" w:color="auto"/>
              <w:right w:val="single" w:sz="8" w:space="0" w:color="auto"/>
            </w:tcBorders>
            <w:shd w:val="clear" w:color="auto" w:fill="auto"/>
            <w:vAlign w:val="center"/>
            <w:hideMark/>
          </w:tcPr>
          <w:p w14:paraId="069CC483"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830.013.746</w:t>
            </w:r>
          </w:p>
        </w:tc>
        <w:tc>
          <w:tcPr>
            <w:tcW w:w="323" w:type="dxa"/>
            <w:tcBorders>
              <w:top w:val="nil"/>
              <w:left w:val="nil"/>
              <w:bottom w:val="single" w:sz="8" w:space="0" w:color="auto"/>
              <w:right w:val="single" w:sz="8" w:space="0" w:color="auto"/>
            </w:tcBorders>
            <w:shd w:val="clear" w:color="auto" w:fill="auto"/>
            <w:vAlign w:val="center"/>
            <w:hideMark/>
          </w:tcPr>
          <w:p w14:paraId="472B889E"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3</w:t>
            </w:r>
          </w:p>
        </w:tc>
        <w:tc>
          <w:tcPr>
            <w:tcW w:w="505" w:type="dxa"/>
            <w:tcBorders>
              <w:top w:val="nil"/>
              <w:left w:val="nil"/>
              <w:bottom w:val="single" w:sz="8" w:space="0" w:color="auto"/>
              <w:right w:val="single" w:sz="8" w:space="0" w:color="auto"/>
            </w:tcBorders>
            <w:shd w:val="clear" w:color="auto" w:fill="auto"/>
            <w:vAlign w:val="center"/>
            <w:hideMark/>
          </w:tcPr>
          <w:p w14:paraId="6C24E39F"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26053</w:t>
            </w:r>
          </w:p>
        </w:tc>
        <w:tc>
          <w:tcPr>
            <w:tcW w:w="3498" w:type="dxa"/>
            <w:tcBorders>
              <w:top w:val="nil"/>
              <w:left w:val="nil"/>
              <w:bottom w:val="single" w:sz="8" w:space="0" w:color="auto"/>
              <w:right w:val="single" w:sz="8" w:space="0" w:color="auto"/>
            </w:tcBorders>
            <w:shd w:val="clear" w:color="auto" w:fill="auto"/>
            <w:vAlign w:val="center"/>
            <w:hideMark/>
          </w:tcPr>
          <w:p w14:paraId="5E3D3CE0" w14:textId="77777777" w:rsidR="00E75BBE" w:rsidRPr="00AD4E79" w:rsidRDefault="00E75BBE" w:rsidP="00D22441">
            <w:pPr>
              <w:jc w:val="left"/>
              <w:rPr>
                <w:rFonts w:ascii="Arial Narrow" w:hAnsi="Arial Narrow" w:cs="Arial"/>
                <w:spacing w:val="0"/>
                <w:sz w:val="16"/>
                <w:szCs w:val="16"/>
                <w:lang w:val="en-GB" w:eastAsia="es-CO"/>
              </w:rPr>
            </w:pPr>
            <w:r w:rsidRPr="00AD4E79">
              <w:rPr>
                <w:rFonts w:ascii="Arial Narrow" w:hAnsi="Arial Narrow" w:cs="Arial"/>
                <w:spacing w:val="0"/>
                <w:sz w:val="16"/>
                <w:szCs w:val="16"/>
                <w:lang w:val="en-GB" w:eastAsia="es-CO"/>
              </w:rPr>
              <w:t>WATTLE PETROLEUM COMPANY S.A.S.</w:t>
            </w:r>
          </w:p>
        </w:tc>
        <w:tc>
          <w:tcPr>
            <w:tcW w:w="1262" w:type="dxa"/>
            <w:tcBorders>
              <w:top w:val="nil"/>
              <w:left w:val="nil"/>
              <w:bottom w:val="single" w:sz="8" w:space="0" w:color="auto"/>
              <w:right w:val="single" w:sz="8" w:space="0" w:color="auto"/>
            </w:tcBorders>
            <w:shd w:val="clear" w:color="auto" w:fill="auto"/>
            <w:vAlign w:val="center"/>
            <w:hideMark/>
          </w:tcPr>
          <w:p w14:paraId="6E554FCA"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59E2E03B"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6FD9A990"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611BC9EC"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35</w:t>
            </w:r>
          </w:p>
        </w:tc>
        <w:tc>
          <w:tcPr>
            <w:tcW w:w="880" w:type="dxa"/>
            <w:tcBorders>
              <w:top w:val="nil"/>
              <w:left w:val="nil"/>
              <w:bottom w:val="single" w:sz="8" w:space="0" w:color="auto"/>
              <w:right w:val="single" w:sz="8" w:space="0" w:color="auto"/>
            </w:tcBorders>
            <w:shd w:val="clear" w:color="auto" w:fill="auto"/>
            <w:vAlign w:val="center"/>
            <w:hideMark/>
          </w:tcPr>
          <w:p w14:paraId="021E4891"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830.045.472</w:t>
            </w:r>
          </w:p>
        </w:tc>
        <w:tc>
          <w:tcPr>
            <w:tcW w:w="323" w:type="dxa"/>
            <w:tcBorders>
              <w:top w:val="nil"/>
              <w:left w:val="nil"/>
              <w:bottom w:val="single" w:sz="8" w:space="0" w:color="auto"/>
              <w:right w:val="single" w:sz="8" w:space="0" w:color="auto"/>
            </w:tcBorders>
            <w:shd w:val="clear" w:color="auto" w:fill="auto"/>
            <w:vAlign w:val="center"/>
            <w:hideMark/>
          </w:tcPr>
          <w:p w14:paraId="5ED29061"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w:t>
            </w:r>
          </w:p>
        </w:tc>
        <w:tc>
          <w:tcPr>
            <w:tcW w:w="505" w:type="dxa"/>
            <w:tcBorders>
              <w:top w:val="nil"/>
              <w:left w:val="nil"/>
              <w:bottom w:val="single" w:sz="8" w:space="0" w:color="auto"/>
              <w:right w:val="single" w:sz="8" w:space="0" w:color="auto"/>
            </w:tcBorders>
            <w:shd w:val="clear" w:color="auto" w:fill="auto"/>
            <w:vAlign w:val="center"/>
            <w:hideMark/>
          </w:tcPr>
          <w:p w14:paraId="4EF9D1CD"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2225</w:t>
            </w:r>
          </w:p>
        </w:tc>
        <w:tc>
          <w:tcPr>
            <w:tcW w:w="3498" w:type="dxa"/>
            <w:tcBorders>
              <w:top w:val="nil"/>
              <w:left w:val="nil"/>
              <w:bottom w:val="single" w:sz="8" w:space="0" w:color="auto"/>
              <w:right w:val="single" w:sz="8" w:space="0" w:color="auto"/>
            </w:tcBorders>
            <w:shd w:val="clear" w:color="auto" w:fill="auto"/>
            <w:vAlign w:val="center"/>
            <w:hideMark/>
          </w:tcPr>
          <w:p w14:paraId="60F279EA"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GAS NATURAL CUNDIBOYACENSE SA ESP</w:t>
            </w:r>
          </w:p>
        </w:tc>
        <w:tc>
          <w:tcPr>
            <w:tcW w:w="1262" w:type="dxa"/>
            <w:tcBorders>
              <w:top w:val="nil"/>
              <w:left w:val="nil"/>
              <w:bottom w:val="single" w:sz="8" w:space="0" w:color="auto"/>
              <w:right w:val="single" w:sz="8" w:space="0" w:color="auto"/>
            </w:tcBorders>
            <w:shd w:val="clear" w:color="auto" w:fill="auto"/>
            <w:vAlign w:val="center"/>
            <w:hideMark/>
          </w:tcPr>
          <w:p w14:paraId="513BFB0C"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051ACA90"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0DFBC552"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0C4ADC72"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36</w:t>
            </w:r>
          </w:p>
        </w:tc>
        <w:tc>
          <w:tcPr>
            <w:tcW w:w="880" w:type="dxa"/>
            <w:tcBorders>
              <w:top w:val="nil"/>
              <w:left w:val="nil"/>
              <w:bottom w:val="single" w:sz="8" w:space="0" w:color="auto"/>
              <w:right w:val="single" w:sz="8" w:space="0" w:color="auto"/>
            </w:tcBorders>
            <w:shd w:val="clear" w:color="auto" w:fill="auto"/>
            <w:vAlign w:val="center"/>
            <w:hideMark/>
          </w:tcPr>
          <w:p w14:paraId="2EF7C0E1"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830.046.209</w:t>
            </w:r>
          </w:p>
        </w:tc>
        <w:tc>
          <w:tcPr>
            <w:tcW w:w="323" w:type="dxa"/>
            <w:tcBorders>
              <w:top w:val="nil"/>
              <w:left w:val="nil"/>
              <w:bottom w:val="single" w:sz="8" w:space="0" w:color="auto"/>
              <w:right w:val="single" w:sz="8" w:space="0" w:color="auto"/>
            </w:tcBorders>
            <w:shd w:val="clear" w:color="auto" w:fill="auto"/>
            <w:vAlign w:val="center"/>
            <w:hideMark/>
          </w:tcPr>
          <w:p w14:paraId="71AF4BCE"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w:t>
            </w:r>
          </w:p>
        </w:tc>
        <w:tc>
          <w:tcPr>
            <w:tcW w:w="505" w:type="dxa"/>
            <w:tcBorders>
              <w:top w:val="nil"/>
              <w:left w:val="nil"/>
              <w:bottom w:val="single" w:sz="8" w:space="0" w:color="auto"/>
              <w:right w:val="single" w:sz="8" w:space="0" w:color="auto"/>
            </w:tcBorders>
            <w:shd w:val="clear" w:color="auto" w:fill="auto"/>
            <w:vAlign w:val="center"/>
            <w:hideMark/>
          </w:tcPr>
          <w:p w14:paraId="6CFC1665"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1604</w:t>
            </w:r>
          </w:p>
        </w:tc>
        <w:tc>
          <w:tcPr>
            <w:tcW w:w="3498" w:type="dxa"/>
            <w:tcBorders>
              <w:top w:val="nil"/>
              <w:left w:val="nil"/>
              <w:bottom w:val="single" w:sz="8" w:space="0" w:color="auto"/>
              <w:right w:val="single" w:sz="8" w:space="0" w:color="auto"/>
            </w:tcBorders>
            <w:shd w:val="clear" w:color="auto" w:fill="auto"/>
            <w:vAlign w:val="center"/>
            <w:hideMark/>
          </w:tcPr>
          <w:p w14:paraId="1DF40493"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DISTRIBUIDORA CENTRAL DE GAS SAS ESP</w:t>
            </w:r>
          </w:p>
        </w:tc>
        <w:tc>
          <w:tcPr>
            <w:tcW w:w="1262" w:type="dxa"/>
            <w:tcBorders>
              <w:top w:val="nil"/>
              <w:left w:val="nil"/>
              <w:bottom w:val="single" w:sz="8" w:space="0" w:color="auto"/>
              <w:right w:val="single" w:sz="8" w:space="0" w:color="auto"/>
            </w:tcBorders>
            <w:shd w:val="clear" w:color="auto" w:fill="auto"/>
            <w:vAlign w:val="center"/>
            <w:hideMark/>
          </w:tcPr>
          <w:p w14:paraId="356033D3"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46B0F6E0"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5889ECC8"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0ECD9B61"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37</w:t>
            </w:r>
          </w:p>
        </w:tc>
        <w:tc>
          <w:tcPr>
            <w:tcW w:w="880" w:type="dxa"/>
            <w:tcBorders>
              <w:top w:val="nil"/>
              <w:left w:val="nil"/>
              <w:bottom w:val="single" w:sz="8" w:space="0" w:color="auto"/>
              <w:right w:val="single" w:sz="8" w:space="0" w:color="auto"/>
            </w:tcBorders>
            <w:shd w:val="clear" w:color="auto" w:fill="auto"/>
            <w:vAlign w:val="center"/>
            <w:hideMark/>
          </w:tcPr>
          <w:p w14:paraId="00CEA1BF"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830.058.558</w:t>
            </w:r>
          </w:p>
        </w:tc>
        <w:tc>
          <w:tcPr>
            <w:tcW w:w="323" w:type="dxa"/>
            <w:tcBorders>
              <w:top w:val="nil"/>
              <w:left w:val="nil"/>
              <w:bottom w:val="single" w:sz="8" w:space="0" w:color="auto"/>
              <w:right w:val="single" w:sz="8" w:space="0" w:color="auto"/>
            </w:tcBorders>
            <w:shd w:val="clear" w:color="auto" w:fill="auto"/>
            <w:vAlign w:val="center"/>
            <w:hideMark/>
          </w:tcPr>
          <w:p w14:paraId="121FD722"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w:t>
            </w:r>
          </w:p>
        </w:tc>
        <w:tc>
          <w:tcPr>
            <w:tcW w:w="505" w:type="dxa"/>
            <w:tcBorders>
              <w:top w:val="nil"/>
              <w:left w:val="nil"/>
              <w:bottom w:val="single" w:sz="8" w:space="0" w:color="auto"/>
              <w:right w:val="single" w:sz="8" w:space="0" w:color="auto"/>
            </w:tcBorders>
            <w:shd w:val="clear" w:color="auto" w:fill="auto"/>
            <w:vAlign w:val="center"/>
            <w:hideMark/>
          </w:tcPr>
          <w:p w14:paraId="6A8CF669"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22972</w:t>
            </w:r>
          </w:p>
        </w:tc>
        <w:tc>
          <w:tcPr>
            <w:tcW w:w="3498" w:type="dxa"/>
            <w:tcBorders>
              <w:top w:val="nil"/>
              <w:left w:val="nil"/>
              <w:bottom w:val="single" w:sz="8" w:space="0" w:color="auto"/>
              <w:right w:val="single" w:sz="8" w:space="0" w:color="auto"/>
            </w:tcBorders>
            <w:shd w:val="clear" w:color="auto" w:fill="auto"/>
            <w:vAlign w:val="center"/>
            <w:hideMark/>
          </w:tcPr>
          <w:p w14:paraId="3CD6154A" w14:textId="77777777" w:rsidR="00E75BBE" w:rsidRPr="00AD4E79" w:rsidRDefault="00E75BBE" w:rsidP="00D22441">
            <w:pPr>
              <w:jc w:val="left"/>
              <w:rPr>
                <w:rFonts w:ascii="Arial Narrow" w:hAnsi="Arial Narrow" w:cs="Arial"/>
                <w:spacing w:val="0"/>
                <w:sz w:val="16"/>
                <w:szCs w:val="16"/>
                <w:lang w:val="en-GB" w:eastAsia="es-CO"/>
              </w:rPr>
            </w:pPr>
            <w:r w:rsidRPr="00AD4E79">
              <w:rPr>
                <w:rFonts w:ascii="Arial Narrow" w:hAnsi="Arial Narrow" w:cs="Arial"/>
                <w:spacing w:val="0"/>
                <w:sz w:val="16"/>
                <w:szCs w:val="16"/>
                <w:lang w:val="en-GB" w:eastAsia="es-CO"/>
              </w:rPr>
              <w:t xml:space="preserve">TY GAS </w:t>
            </w:r>
            <w:proofErr w:type="gramStart"/>
            <w:r w:rsidRPr="00AD4E79">
              <w:rPr>
                <w:rFonts w:ascii="Arial Narrow" w:hAnsi="Arial Narrow" w:cs="Arial"/>
                <w:spacing w:val="0"/>
                <w:sz w:val="16"/>
                <w:szCs w:val="16"/>
                <w:lang w:val="en-GB" w:eastAsia="es-CO"/>
              </w:rPr>
              <w:t>S.A.S  E.S.P.</w:t>
            </w:r>
            <w:proofErr w:type="gramEnd"/>
          </w:p>
        </w:tc>
        <w:tc>
          <w:tcPr>
            <w:tcW w:w="1262" w:type="dxa"/>
            <w:tcBorders>
              <w:top w:val="nil"/>
              <w:left w:val="nil"/>
              <w:bottom w:val="single" w:sz="8" w:space="0" w:color="auto"/>
              <w:right w:val="single" w:sz="8" w:space="0" w:color="auto"/>
            </w:tcBorders>
            <w:shd w:val="clear" w:color="auto" w:fill="auto"/>
            <w:vAlign w:val="center"/>
            <w:hideMark/>
          </w:tcPr>
          <w:p w14:paraId="7BFB92B1"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7D379632"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2804C285"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3E4D8ECC"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38</w:t>
            </w:r>
          </w:p>
        </w:tc>
        <w:tc>
          <w:tcPr>
            <w:tcW w:w="880" w:type="dxa"/>
            <w:tcBorders>
              <w:top w:val="nil"/>
              <w:left w:val="nil"/>
              <w:bottom w:val="single" w:sz="8" w:space="0" w:color="auto"/>
              <w:right w:val="single" w:sz="8" w:space="0" w:color="auto"/>
            </w:tcBorders>
            <w:shd w:val="clear" w:color="auto" w:fill="auto"/>
            <w:vAlign w:val="center"/>
            <w:hideMark/>
          </w:tcPr>
          <w:p w14:paraId="406BEF4B"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830.080.672</w:t>
            </w:r>
          </w:p>
        </w:tc>
        <w:tc>
          <w:tcPr>
            <w:tcW w:w="323" w:type="dxa"/>
            <w:tcBorders>
              <w:top w:val="nil"/>
              <w:left w:val="nil"/>
              <w:bottom w:val="single" w:sz="8" w:space="0" w:color="auto"/>
              <w:right w:val="single" w:sz="8" w:space="0" w:color="auto"/>
            </w:tcBorders>
            <w:shd w:val="clear" w:color="auto" w:fill="auto"/>
            <w:vAlign w:val="center"/>
            <w:hideMark/>
          </w:tcPr>
          <w:p w14:paraId="07C7D928"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w:t>
            </w:r>
          </w:p>
        </w:tc>
        <w:tc>
          <w:tcPr>
            <w:tcW w:w="505" w:type="dxa"/>
            <w:tcBorders>
              <w:top w:val="nil"/>
              <w:left w:val="nil"/>
              <w:bottom w:val="single" w:sz="8" w:space="0" w:color="auto"/>
              <w:right w:val="single" w:sz="8" w:space="0" w:color="auto"/>
            </w:tcBorders>
            <w:shd w:val="clear" w:color="auto" w:fill="auto"/>
            <w:vAlign w:val="center"/>
            <w:hideMark/>
          </w:tcPr>
          <w:p w14:paraId="18E27CE5"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25705</w:t>
            </w:r>
          </w:p>
        </w:tc>
        <w:tc>
          <w:tcPr>
            <w:tcW w:w="3498" w:type="dxa"/>
            <w:tcBorders>
              <w:top w:val="nil"/>
              <w:left w:val="nil"/>
              <w:bottom w:val="single" w:sz="8" w:space="0" w:color="auto"/>
              <w:right w:val="single" w:sz="8" w:space="0" w:color="auto"/>
            </w:tcBorders>
            <w:shd w:val="clear" w:color="auto" w:fill="auto"/>
            <w:vAlign w:val="center"/>
            <w:hideMark/>
          </w:tcPr>
          <w:p w14:paraId="43DE1ADC"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CEPSA COLOMBIA S.A.</w:t>
            </w:r>
          </w:p>
        </w:tc>
        <w:tc>
          <w:tcPr>
            <w:tcW w:w="1262" w:type="dxa"/>
            <w:tcBorders>
              <w:top w:val="nil"/>
              <w:left w:val="nil"/>
              <w:bottom w:val="single" w:sz="8" w:space="0" w:color="auto"/>
              <w:right w:val="single" w:sz="8" w:space="0" w:color="auto"/>
            </w:tcBorders>
            <w:shd w:val="clear" w:color="auto" w:fill="auto"/>
            <w:vAlign w:val="center"/>
            <w:hideMark/>
          </w:tcPr>
          <w:p w14:paraId="3AB93035"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6D7B2343"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7E042786"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59A7217C"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39</w:t>
            </w:r>
          </w:p>
        </w:tc>
        <w:tc>
          <w:tcPr>
            <w:tcW w:w="880" w:type="dxa"/>
            <w:tcBorders>
              <w:top w:val="nil"/>
              <w:left w:val="nil"/>
              <w:bottom w:val="single" w:sz="8" w:space="0" w:color="auto"/>
              <w:right w:val="single" w:sz="8" w:space="0" w:color="auto"/>
            </w:tcBorders>
            <w:shd w:val="clear" w:color="auto" w:fill="auto"/>
            <w:vAlign w:val="center"/>
            <w:hideMark/>
          </w:tcPr>
          <w:p w14:paraId="7BBC8296"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830.095.563</w:t>
            </w:r>
          </w:p>
        </w:tc>
        <w:tc>
          <w:tcPr>
            <w:tcW w:w="323" w:type="dxa"/>
            <w:tcBorders>
              <w:top w:val="nil"/>
              <w:left w:val="nil"/>
              <w:bottom w:val="single" w:sz="8" w:space="0" w:color="auto"/>
              <w:right w:val="single" w:sz="8" w:space="0" w:color="auto"/>
            </w:tcBorders>
            <w:shd w:val="clear" w:color="auto" w:fill="auto"/>
            <w:vAlign w:val="center"/>
            <w:hideMark/>
          </w:tcPr>
          <w:p w14:paraId="09EAADF4"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3</w:t>
            </w:r>
          </w:p>
        </w:tc>
        <w:tc>
          <w:tcPr>
            <w:tcW w:w="505" w:type="dxa"/>
            <w:tcBorders>
              <w:top w:val="nil"/>
              <w:left w:val="nil"/>
              <w:bottom w:val="single" w:sz="8" w:space="0" w:color="auto"/>
              <w:right w:val="single" w:sz="8" w:space="0" w:color="auto"/>
            </w:tcBorders>
            <w:shd w:val="clear" w:color="auto" w:fill="auto"/>
            <w:vAlign w:val="center"/>
            <w:hideMark/>
          </w:tcPr>
          <w:p w14:paraId="0B202E0E"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25891</w:t>
            </w:r>
          </w:p>
        </w:tc>
        <w:tc>
          <w:tcPr>
            <w:tcW w:w="3498" w:type="dxa"/>
            <w:tcBorders>
              <w:top w:val="nil"/>
              <w:left w:val="nil"/>
              <w:bottom w:val="single" w:sz="8" w:space="0" w:color="auto"/>
              <w:right w:val="single" w:sz="8" w:space="0" w:color="auto"/>
            </w:tcBorders>
            <w:shd w:val="clear" w:color="auto" w:fill="auto"/>
            <w:vAlign w:val="center"/>
            <w:hideMark/>
          </w:tcPr>
          <w:p w14:paraId="6C937C57"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CANACOL ENERGY COLOMBIA S.A.S</w:t>
            </w:r>
          </w:p>
        </w:tc>
        <w:tc>
          <w:tcPr>
            <w:tcW w:w="1262" w:type="dxa"/>
            <w:tcBorders>
              <w:top w:val="nil"/>
              <w:left w:val="nil"/>
              <w:bottom w:val="single" w:sz="8" w:space="0" w:color="auto"/>
              <w:right w:val="single" w:sz="8" w:space="0" w:color="auto"/>
            </w:tcBorders>
            <w:shd w:val="clear" w:color="auto" w:fill="auto"/>
            <w:vAlign w:val="center"/>
            <w:hideMark/>
          </w:tcPr>
          <w:p w14:paraId="71160AB7"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75A60B15"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76BCF301"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006D4C79"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40</w:t>
            </w:r>
          </w:p>
        </w:tc>
        <w:tc>
          <w:tcPr>
            <w:tcW w:w="880" w:type="dxa"/>
            <w:tcBorders>
              <w:top w:val="nil"/>
              <w:left w:val="nil"/>
              <w:bottom w:val="single" w:sz="8" w:space="0" w:color="auto"/>
              <w:right w:val="single" w:sz="8" w:space="0" w:color="auto"/>
            </w:tcBorders>
            <w:shd w:val="clear" w:color="auto" w:fill="auto"/>
            <w:vAlign w:val="center"/>
            <w:hideMark/>
          </w:tcPr>
          <w:p w14:paraId="7C1B7D1E"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830.104.866</w:t>
            </w:r>
          </w:p>
        </w:tc>
        <w:tc>
          <w:tcPr>
            <w:tcW w:w="323" w:type="dxa"/>
            <w:tcBorders>
              <w:top w:val="nil"/>
              <w:left w:val="nil"/>
              <w:bottom w:val="single" w:sz="8" w:space="0" w:color="auto"/>
              <w:right w:val="single" w:sz="8" w:space="0" w:color="auto"/>
            </w:tcBorders>
            <w:shd w:val="clear" w:color="auto" w:fill="auto"/>
            <w:vAlign w:val="center"/>
            <w:hideMark/>
          </w:tcPr>
          <w:p w14:paraId="459BECD3"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w:t>
            </w:r>
          </w:p>
        </w:tc>
        <w:tc>
          <w:tcPr>
            <w:tcW w:w="505" w:type="dxa"/>
            <w:tcBorders>
              <w:top w:val="nil"/>
              <w:left w:val="nil"/>
              <w:bottom w:val="single" w:sz="8" w:space="0" w:color="auto"/>
              <w:right w:val="single" w:sz="8" w:space="0" w:color="auto"/>
            </w:tcBorders>
            <w:shd w:val="clear" w:color="auto" w:fill="auto"/>
            <w:vAlign w:val="center"/>
            <w:hideMark/>
          </w:tcPr>
          <w:p w14:paraId="09D92283"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34533</w:t>
            </w:r>
          </w:p>
        </w:tc>
        <w:tc>
          <w:tcPr>
            <w:tcW w:w="3498" w:type="dxa"/>
            <w:tcBorders>
              <w:top w:val="nil"/>
              <w:left w:val="nil"/>
              <w:bottom w:val="single" w:sz="8" w:space="0" w:color="auto"/>
              <w:right w:val="single" w:sz="8" w:space="0" w:color="auto"/>
            </w:tcBorders>
            <w:shd w:val="clear" w:color="auto" w:fill="auto"/>
            <w:vAlign w:val="center"/>
            <w:hideMark/>
          </w:tcPr>
          <w:p w14:paraId="6A0DB67B"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NIKOIL ENERGY CORP SUC COLOMBIA</w:t>
            </w:r>
          </w:p>
        </w:tc>
        <w:tc>
          <w:tcPr>
            <w:tcW w:w="1262" w:type="dxa"/>
            <w:tcBorders>
              <w:top w:val="nil"/>
              <w:left w:val="nil"/>
              <w:bottom w:val="single" w:sz="8" w:space="0" w:color="auto"/>
              <w:right w:val="single" w:sz="8" w:space="0" w:color="auto"/>
            </w:tcBorders>
            <w:shd w:val="clear" w:color="auto" w:fill="auto"/>
            <w:vAlign w:val="center"/>
            <w:hideMark/>
          </w:tcPr>
          <w:p w14:paraId="2B1E840C"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4CBC8166"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5C2D0686" w14:textId="77777777" w:rsidTr="00AD4E79">
        <w:trPr>
          <w:trHeight w:val="341"/>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49C35C1B"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41</w:t>
            </w:r>
          </w:p>
        </w:tc>
        <w:tc>
          <w:tcPr>
            <w:tcW w:w="880" w:type="dxa"/>
            <w:tcBorders>
              <w:top w:val="nil"/>
              <w:left w:val="nil"/>
              <w:bottom w:val="single" w:sz="8" w:space="0" w:color="auto"/>
              <w:right w:val="single" w:sz="8" w:space="0" w:color="auto"/>
            </w:tcBorders>
            <w:shd w:val="clear" w:color="auto" w:fill="auto"/>
            <w:vAlign w:val="center"/>
            <w:hideMark/>
          </w:tcPr>
          <w:p w14:paraId="66B163A1"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830.118.416</w:t>
            </w:r>
          </w:p>
        </w:tc>
        <w:tc>
          <w:tcPr>
            <w:tcW w:w="323" w:type="dxa"/>
            <w:tcBorders>
              <w:top w:val="nil"/>
              <w:left w:val="nil"/>
              <w:bottom w:val="single" w:sz="8" w:space="0" w:color="auto"/>
              <w:right w:val="single" w:sz="8" w:space="0" w:color="auto"/>
            </w:tcBorders>
            <w:shd w:val="clear" w:color="auto" w:fill="auto"/>
            <w:vAlign w:val="center"/>
            <w:hideMark/>
          </w:tcPr>
          <w:p w14:paraId="3E47FFF0"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w:t>
            </w:r>
          </w:p>
        </w:tc>
        <w:tc>
          <w:tcPr>
            <w:tcW w:w="505" w:type="dxa"/>
            <w:tcBorders>
              <w:top w:val="nil"/>
              <w:left w:val="nil"/>
              <w:bottom w:val="single" w:sz="8" w:space="0" w:color="auto"/>
              <w:right w:val="single" w:sz="8" w:space="0" w:color="auto"/>
            </w:tcBorders>
            <w:shd w:val="clear" w:color="auto" w:fill="auto"/>
            <w:vAlign w:val="center"/>
            <w:hideMark/>
          </w:tcPr>
          <w:p w14:paraId="6B327BF7"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3359</w:t>
            </w:r>
          </w:p>
        </w:tc>
        <w:tc>
          <w:tcPr>
            <w:tcW w:w="3498" w:type="dxa"/>
            <w:tcBorders>
              <w:top w:val="nil"/>
              <w:left w:val="nil"/>
              <w:bottom w:val="single" w:sz="8" w:space="0" w:color="auto"/>
              <w:right w:val="single" w:sz="8" w:space="0" w:color="auto"/>
            </w:tcBorders>
            <w:shd w:val="clear" w:color="auto" w:fill="auto"/>
            <w:vAlign w:val="center"/>
            <w:hideMark/>
          </w:tcPr>
          <w:p w14:paraId="0ACAB483"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NACIONAL DE SERVICIOS PÚBLICOS DOMICILIARIOS S.A. E.S.P.</w:t>
            </w:r>
          </w:p>
        </w:tc>
        <w:tc>
          <w:tcPr>
            <w:tcW w:w="1262" w:type="dxa"/>
            <w:tcBorders>
              <w:top w:val="nil"/>
              <w:left w:val="nil"/>
              <w:bottom w:val="single" w:sz="8" w:space="0" w:color="auto"/>
              <w:right w:val="single" w:sz="8" w:space="0" w:color="auto"/>
            </w:tcBorders>
            <w:shd w:val="clear" w:color="auto" w:fill="auto"/>
            <w:vAlign w:val="center"/>
            <w:hideMark/>
          </w:tcPr>
          <w:p w14:paraId="1D7BA9C8"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2C2D2D3B"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41C8677F" w14:textId="77777777" w:rsidTr="00AD4E79">
        <w:trPr>
          <w:trHeight w:val="257"/>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46603791"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42</w:t>
            </w:r>
          </w:p>
        </w:tc>
        <w:tc>
          <w:tcPr>
            <w:tcW w:w="880" w:type="dxa"/>
            <w:tcBorders>
              <w:top w:val="nil"/>
              <w:left w:val="nil"/>
              <w:bottom w:val="single" w:sz="8" w:space="0" w:color="auto"/>
              <w:right w:val="single" w:sz="8" w:space="0" w:color="auto"/>
            </w:tcBorders>
            <w:shd w:val="clear" w:color="auto" w:fill="auto"/>
            <w:vAlign w:val="center"/>
            <w:hideMark/>
          </w:tcPr>
          <w:p w14:paraId="74409D4C"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830.126.302</w:t>
            </w:r>
          </w:p>
        </w:tc>
        <w:tc>
          <w:tcPr>
            <w:tcW w:w="323" w:type="dxa"/>
            <w:tcBorders>
              <w:top w:val="nil"/>
              <w:left w:val="nil"/>
              <w:bottom w:val="single" w:sz="8" w:space="0" w:color="auto"/>
              <w:right w:val="single" w:sz="8" w:space="0" w:color="auto"/>
            </w:tcBorders>
            <w:shd w:val="clear" w:color="auto" w:fill="auto"/>
            <w:vAlign w:val="center"/>
            <w:hideMark/>
          </w:tcPr>
          <w:p w14:paraId="6DDF74D4"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w:t>
            </w:r>
          </w:p>
        </w:tc>
        <w:tc>
          <w:tcPr>
            <w:tcW w:w="505" w:type="dxa"/>
            <w:tcBorders>
              <w:top w:val="nil"/>
              <w:left w:val="nil"/>
              <w:bottom w:val="single" w:sz="8" w:space="0" w:color="auto"/>
              <w:right w:val="single" w:sz="8" w:space="0" w:color="auto"/>
            </w:tcBorders>
            <w:shd w:val="clear" w:color="auto" w:fill="auto"/>
            <w:vAlign w:val="center"/>
            <w:hideMark/>
          </w:tcPr>
          <w:p w14:paraId="3091CB8C"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40096</w:t>
            </w:r>
          </w:p>
        </w:tc>
        <w:tc>
          <w:tcPr>
            <w:tcW w:w="3498" w:type="dxa"/>
            <w:tcBorders>
              <w:top w:val="nil"/>
              <w:left w:val="nil"/>
              <w:bottom w:val="single" w:sz="8" w:space="0" w:color="auto"/>
              <w:right w:val="single" w:sz="8" w:space="0" w:color="auto"/>
            </w:tcBorders>
            <w:shd w:val="clear" w:color="auto" w:fill="auto"/>
            <w:vAlign w:val="center"/>
            <w:hideMark/>
          </w:tcPr>
          <w:p w14:paraId="643A8E4D"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FRONTERA ENERGY COLOMBIA CORP.</w:t>
            </w:r>
            <w:proofErr w:type="gramStart"/>
            <w:r w:rsidRPr="00AD4E79">
              <w:rPr>
                <w:rFonts w:ascii="Arial Narrow" w:hAnsi="Arial Narrow" w:cs="Arial"/>
                <w:spacing w:val="0"/>
                <w:sz w:val="16"/>
                <w:szCs w:val="16"/>
                <w:lang w:eastAsia="es-CO"/>
              </w:rPr>
              <w:t>,  SUCURSAL</w:t>
            </w:r>
            <w:proofErr w:type="gramEnd"/>
            <w:r w:rsidRPr="00AD4E79">
              <w:rPr>
                <w:rFonts w:ascii="Arial Narrow" w:hAnsi="Arial Narrow" w:cs="Arial"/>
                <w:spacing w:val="0"/>
                <w:sz w:val="16"/>
                <w:szCs w:val="16"/>
                <w:lang w:eastAsia="es-CO"/>
              </w:rPr>
              <w:t xml:space="preserve"> COLOMBIA</w:t>
            </w:r>
          </w:p>
        </w:tc>
        <w:tc>
          <w:tcPr>
            <w:tcW w:w="1262" w:type="dxa"/>
            <w:tcBorders>
              <w:top w:val="nil"/>
              <w:left w:val="nil"/>
              <w:bottom w:val="single" w:sz="8" w:space="0" w:color="auto"/>
              <w:right w:val="single" w:sz="8" w:space="0" w:color="auto"/>
            </w:tcBorders>
            <w:shd w:val="clear" w:color="auto" w:fill="auto"/>
            <w:vAlign w:val="center"/>
            <w:hideMark/>
          </w:tcPr>
          <w:p w14:paraId="35721503"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749CE349"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11D26662"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40375644"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43</w:t>
            </w:r>
          </w:p>
        </w:tc>
        <w:tc>
          <w:tcPr>
            <w:tcW w:w="880" w:type="dxa"/>
            <w:tcBorders>
              <w:top w:val="nil"/>
              <w:left w:val="nil"/>
              <w:bottom w:val="single" w:sz="8" w:space="0" w:color="auto"/>
              <w:right w:val="single" w:sz="8" w:space="0" w:color="auto"/>
            </w:tcBorders>
            <w:shd w:val="clear" w:color="auto" w:fill="auto"/>
            <w:vAlign w:val="center"/>
            <w:hideMark/>
          </w:tcPr>
          <w:p w14:paraId="25F55475"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830.130.648</w:t>
            </w:r>
          </w:p>
        </w:tc>
        <w:tc>
          <w:tcPr>
            <w:tcW w:w="323" w:type="dxa"/>
            <w:tcBorders>
              <w:top w:val="nil"/>
              <w:left w:val="nil"/>
              <w:bottom w:val="single" w:sz="8" w:space="0" w:color="auto"/>
              <w:right w:val="single" w:sz="8" w:space="0" w:color="auto"/>
            </w:tcBorders>
            <w:shd w:val="clear" w:color="auto" w:fill="auto"/>
            <w:vAlign w:val="center"/>
            <w:hideMark/>
          </w:tcPr>
          <w:p w14:paraId="4FB5D99B"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0</w:t>
            </w:r>
          </w:p>
        </w:tc>
        <w:tc>
          <w:tcPr>
            <w:tcW w:w="505" w:type="dxa"/>
            <w:tcBorders>
              <w:top w:val="nil"/>
              <w:left w:val="nil"/>
              <w:bottom w:val="single" w:sz="8" w:space="0" w:color="auto"/>
              <w:right w:val="single" w:sz="8" w:space="0" w:color="auto"/>
            </w:tcBorders>
            <w:shd w:val="clear" w:color="auto" w:fill="auto"/>
            <w:vAlign w:val="center"/>
            <w:hideMark/>
          </w:tcPr>
          <w:p w14:paraId="0E69E5A1"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3358</w:t>
            </w:r>
          </w:p>
        </w:tc>
        <w:tc>
          <w:tcPr>
            <w:tcW w:w="3498" w:type="dxa"/>
            <w:tcBorders>
              <w:top w:val="nil"/>
              <w:left w:val="nil"/>
              <w:bottom w:val="single" w:sz="8" w:space="0" w:color="auto"/>
              <w:right w:val="single" w:sz="8" w:space="0" w:color="auto"/>
            </w:tcBorders>
            <w:shd w:val="clear" w:color="auto" w:fill="auto"/>
            <w:vAlign w:val="center"/>
            <w:hideMark/>
          </w:tcPr>
          <w:p w14:paraId="0F9B0E8F"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COMPAÑIA DE SERVICIOS PUBLICOS S.A E.</w:t>
            </w:r>
            <w:proofErr w:type="gramStart"/>
            <w:r w:rsidRPr="00AD4E79">
              <w:rPr>
                <w:rFonts w:ascii="Arial Narrow" w:hAnsi="Arial Narrow" w:cs="Arial"/>
                <w:spacing w:val="0"/>
                <w:sz w:val="16"/>
                <w:szCs w:val="16"/>
                <w:lang w:eastAsia="es-CO"/>
              </w:rPr>
              <w:t>S.P</w:t>
            </w:r>
            <w:proofErr w:type="gramEnd"/>
          </w:p>
        </w:tc>
        <w:tc>
          <w:tcPr>
            <w:tcW w:w="1262" w:type="dxa"/>
            <w:tcBorders>
              <w:top w:val="nil"/>
              <w:left w:val="nil"/>
              <w:bottom w:val="single" w:sz="8" w:space="0" w:color="auto"/>
              <w:right w:val="single" w:sz="8" w:space="0" w:color="auto"/>
            </w:tcBorders>
            <w:shd w:val="clear" w:color="auto" w:fill="auto"/>
            <w:vAlign w:val="center"/>
            <w:hideMark/>
          </w:tcPr>
          <w:p w14:paraId="4A8A38D9"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33B3BFD0"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6518F007"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4FAE6C95"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44</w:t>
            </w:r>
          </w:p>
        </w:tc>
        <w:tc>
          <w:tcPr>
            <w:tcW w:w="880" w:type="dxa"/>
            <w:tcBorders>
              <w:top w:val="nil"/>
              <w:left w:val="nil"/>
              <w:bottom w:val="single" w:sz="8" w:space="0" w:color="auto"/>
              <w:right w:val="single" w:sz="8" w:space="0" w:color="auto"/>
            </w:tcBorders>
            <w:shd w:val="clear" w:color="auto" w:fill="auto"/>
            <w:vAlign w:val="center"/>
            <w:hideMark/>
          </w:tcPr>
          <w:p w14:paraId="718865B2"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830.140.206</w:t>
            </w:r>
          </w:p>
        </w:tc>
        <w:tc>
          <w:tcPr>
            <w:tcW w:w="323" w:type="dxa"/>
            <w:tcBorders>
              <w:top w:val="nil"/>
              <w:left w:val="nil"/>
              <w:bottom w:val="single" w:sz="8" w:space="0" w:color="auto"/>
              <w:right w:val="single" w:sz="8" w:space="0" w:color="auto"/>
            </w:tcBorders>
            <w:shd w:val="clear" w:color="auto" w:fill="auto"/>
            <w:vAlign w:val="center"/>
            <w:hideMark/>
          </w:tcPr>
          <w:p w14:paraId="18B24824"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w:t>
            </w:r>
          </w:p>
        </w:tc>
        <w:tc>
          <w:tcPr>
            <w:tcW w:w="505" w:type="dxa"/>
            <w:tcBorders>
              <w:top w:val="nil"/>
              <w:left w:val="nil"/>
              <w:bottom w:val="single" w:sz="8" w:space="0" w:color="auto"/>
              <w:right w:val="single" w:sz="8" w:space="0" w:color="auto"/>
            </w:tcBorders>
            <w:shd w:val="clear" w:color="auto" w:fill="auto"/>
            <w:vAlign w:val="center"/>
            <w:hideMark/>
          </w:tcPr>
          <w:p w14:paraId="0A8644E7"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21590</w:t>
            </w:r>
          </w:p>
        </w:tc>
        <w:tc>
          <w:tcPr>
            <w:tcW w:w="3498" w:type="dxa"/>
            <w:tcBorders>
              <w:top w:val="nil"/>
              <w:left w:val="nil"/>
              <w:bottom w:val="single" w:sz="8" w:space="0" w:color="auto"/>
              <w:right w:val="single" w:sz="8" w:space="0" w:color="auto"/>
            </w:tcBorders>
            <w:shd w:val="clear" w:color="auto" w:fill="auto"/>
            <w:vAlign w:val="center"/>
            <w:hideMark/>
          </w:tcPr>
          <w:p w14:paraId="5C0E11C1"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ENERCER S.A E.</w:t>
            </w:r>
            <w:proofErr w:type="gramStart"/>
            <w:r w:rsidRPr="00AD4E79">
              <w:rPr>
                <w:rFonts w:ascii="Arial Narrow" w:hAnsi="Arial Narrow" w:cs="Arial"/>
                <w:spacing w:val="0"/>
                <w:sz w:val="16"/>
                <w:szCs w:val="16"/>
                <w:lang w:eastAsia="es-CO"/>
              </w:rPr>
              <w:t>S.P</w:t>
            </w:r>
            <w:proofErr w:type="gramEnd"/>
          </w:p>
        </w:tc>
        <w:tc>
          <w:tcPr>
            <w:tcW w:w="1262" w:type="dxa"/>
            <w:tcBorders>
              <w:top w:val="nil"/>
              <w:left w:val="nil"/>
              <w:bottom w:val="single" w:sz="8" w:space="0" w:color="auto"/>
              <w:right w:val="single" w:sz="8" w:space="0" w:color="auto"/>
            </w:tcBorders>
            <w:shd w:val="clear" w:color="auto" w:fill="auto"/>
            <w:vAlign w:val="center"/>
            <w:hideMark/>
          </w:tcPr>
          <w:p w14:paraId="22CC1007"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098F9A23"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509D532B"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08BD290B"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45</w:t>
            </w:r>
          </w:p>
        </w:tc>
        <w:tc>
          <w:tcPr>
            <w:tcW w:w="880" w:type="dxa"/>
            <w:tcBorders>
              <w:top w:val="nil"/>
              <w:left w:val="nil"/>
              <w:bottom w:val="single" w:sz="8" w:space="0" w:color="auto"/>
              <w:right w:val="single" w:sz="8" w:space="0" w:color="auto"/>
            </w:tcBorders>
            <w:shd w:val="clear" w:color="auto" w:fill="auto"/>
            <w:vAlign w:val="center"/>
            <w:hideMark/>
          </w:tcPr>
          <w:p w14:paraId="5BDC3F12"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830.510.717</w:t>
            </w:r>
          </w:p>
        </w:tc>
        <w:tc>
          <w:tcPr>
            <w:tcW w:w="323" w:type="dxa"/>
            <w:tcBorders>
              <w:top w:val="nil"/>
              <w:left w:val="nil"/>
              <w:bottom w:val="single" w:sz="8" w:space="0" w:color="auto"/>
              <w:right w:val="single" w:sz="8" w:space="0" w:color="auto"/>
            </w:tcBorders>
            <w:shd w:val="clear" w:color="auto" w:fill="auto"/>
            <w:vAlign w:val="center"/>
            <w:hideMark/>
          </w:tcPr>
          <w:p w14:paraId="2B6C7899"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w:t>
            </w:r>
          </w:p>
        </w:tc>
        <w:tc>
          <w:tcPr>
            <w:tcW w:w="505" w:type="dxa"/>
            <w:tcBorders>
              <w:top w:val="nil"/>
              <w:left w:val="nil"/>
              <w:bottom w:val="single" w:sz="8" w:space="0" w:color="auto"/>
              <w:right w:val="single" w:sz="8" w:space="0" w:color="auto"/>
            </w:tcBorders>
            <w:shd w:val="clear" w:color="auto" w:fill="auto"/>
            <w:vAlign w:val="center"/>
            <w:hideMark/>
          </w:tcPr>
          <w:p w14:paraId="7B5B3E00"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20518</w:t>
            </w:r>
          </w:p>
        </w:tc>
        <w:tc>
          <w:tcPr>
            <w:tcW w:w="3498" w:type="dxa"/>
            <w:tcBorders>
              <w:top w:val="nil"/>
              <w:left w:val="nil"/>
              <w:bottom w:val="single" w:sz="8" w:space="0" w:color="auto"/>
              <w:right w:val="single" w:sz="8" w:space="0" w:color="auto"/>
            </w:tcBorders>
            <w:shd w:val="clear" w:color="auto" w:fill="auto"/>
            <w:vAlign w:val="center"/>
            <w:hideMark/>
          </w:tcPr>
          <w:p w14:paraId="76667D95"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SURCOLOMBIANA DE GAS S.A E.</w:t>
            </w:r>
            <w:proofErr w:type="gramStart"/>
            <w:r w:rsidRPr="00AD4E79">
              <w:rPr>
                <w:rFonts w:ascii="Arial Narrow" w:hAnsi="Arial Narrow" w:cs="Arial"/>
                <w:spacing w:val="0"/>
                <w:sz w:val="16"/>
                <w:szCs w:val="16"/>
                <w:lang w:eastAsia="es-CO"/>
              </w:rPr>
              <w:t>S.P</w:t>
            </w:r>
            <w:proofErr w:type="gramEnd"/>
          </w:p>
        </w:tc>
        <w:tc>
          <w:tcPr>
            <w:tcW w:w="1262" w:type="dxa"/>
            <w:tcBorders>
              <w:top w:val="nil"/>
              <w:left w:val="nil"/>
              <w:bottom w:val="single" w:sz="8" w:space="0" w:color="auto"/>
              <w:right w:val="single" w:sz="8" w:space="0" w:color="auto"/>
            </w:tcBorders>
            <w:shd w:val="clear" w:color="auto" w:fill="auto"/>
            <w:vAlign w:val="center"/>
            <w:hideMark/>
          </w:tcPr>
          <w:p w14:paraId="54ECB96F"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1892BE5A"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4AF2FA43"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3E8C759C"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46</w:t>
            </w:r>
          </w:p>
        </w:tc>
        <w:tc>
          <w:tcPr>
            <w:tcW w:w="880" w:type="dxa"/>
            <w:tcBorders>
              <w:top w:val="nil"/>
              <w:left w:val="nil"/>
              <w:bottom w:val="single" w:sz="8" w:space="0" w:color="auto"/>
              <w:right w:val="single" w:sz="8" w:space="0" w:color="auto"/>
            </w:tcBorders>
            <w:shd w:val="clear" w:color="auto" w:fill="auto"/>
            <w:vAlign w:val="center"/>
            <w:hideMark/>
          </w:tcPr>
          <w:p w14:paraId="2D88A51C"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834.001.051</w:t>
            </w:r>
          </w:p>
        </w:tc>
        <w:tc>
          <w:tcPr>
            <w:tcW w:w="323" w:type="dxa"/>
            <w:tcBorders>
              <w:top w:val="nil"/>
              <w:left w:val="nil"/>
              <w:bottom w:val="single" w:sz="8" w:space="0" w:color="auto"/>
              <w:right w:val="single" w:sz="8" w:space="0" w:color="auto"/>
            </w:tcBorders>
            <w:shd w:val="clear" w:color="auto" w:fill="auto"/>
            <w:vAlign w:val="center"/>
            <w:hideMark/>
          </w:tcPr>
          <w:p w14:paraId="6E32E8ED"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6</w:t>
            </w:r>
          </w:p>
        </w:tc>
        <w:tc>
          <w:tcPr>
            <w:tcW w:w="505" w:type="dxa"/>
            <w:tcBorders>
              <w:top w:val="nil"/>
              <w:left w:val="nil"/>
              <w:bottom w:val="single" w:sz="8" w:space="0" w:color="auto"/>
              <w:right w:val="single" w:sz="8" w:space="0" w:color="auto"/>
            </w:tcBorders>
            <w:shd w:val="clear" w:color="auto" w:fill="auto"/>
            <w:vAlign w:val="center"/>
            <w:hideMark/>
          </w:tcPr>
          <w:p w14:paraId="321ED06C"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2923</w:t>
            </w:r>
          </w:p>
        </w:tc>
        <w:tc>
          <w:tcPr>
            <w:tcW w:w="3498" w:type="dxa"/>
            <w:tcBorders>
              <w:top w:val="nil"/>
              <w:left w:val="nil"/>
              <w:bottom w:val="single" w:sz="8" w:space="0" w:color="auto"/>
              <w:right w:val="single" w:sz="8" w:space="0" w:color="auto"/>
            </w:tcBorders>
            <w:shd w:val="clear" w:color="auto" w:fill="auto"/>
            <w:vAlign w:val="center"/>
            <w:hideMark/>
          </w:tcPr>
          <w:p w14:paraId="632E90AE"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DISTRIBUIDORA DE GAS MONZAGAS S.A. E.S.P.</w:t>
            </w:r>
          </w:p>
        </w:tc>
        <w:tc>
          <w:tcPr>
            <w:tcW w:w="1262" w:type="dxa"/>
            <w:tcBorders>
              <w:top w:val="nil"/>
              <w:left w:val="nil"/>
              <w:bottom w:val="single" w:sz="8" w:space="0" w:color="auto"/>
              <w:right w:val="single" w:sz="8" w:space="0" w:color="auto"/>
            </w:tcBorders>
            <w:shd w:val="clear" w:color="auto" w:fill="auto"/>
            <w:vAlign w:val="center"/>
            <w:hideMark/>
          </w:tcPr>
          <w:p w14:paraId="0C714E10"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71CC7009"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414E584E"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6677B2E1"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47</w:t>
            </w:r>
          </w:p>
        </w:tc>
        <w:tc>
          <w:tcPr>
            <w:tcW w:w="880" w:type="dxa"/>
            <w:tcBorders>
              <w:top w:val="nil"/>
              <w:left w:val="nil"/>
              <w:bottom w:val="single" w:sz="8" w:space="0" w:color="auto"/>
              <w:right w:val="single" w:sz="8" w:space="0" w:color="auto"/>
            </w:tcBorders>
            <w:shd w:val="clear" w:color="auto" w:fill="auto"/>
            <w:vAlign w:val="center"/>
            <w:hideMark/>
          </w:tcPr>
          <w:p w14:paraId="19165A13"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860.025.611</w:t>
            </w:r>
          </w:p>
        </w:tc>
        <w:tc>
          <w:tcPr>
            <w:tcW w:w="323" w:type="dxa"/>
            <w:tcBorders>
              <w:top w:val="nil"/>
              <w:left w:val="nil"/>
              <w:bottom w:val="single" w:sz="8" w:space="0" w:color="auto"/>
              <w:right w:val="single" w:sz="8" w:space="0" w:color="auto"/>
            </w:tcBorders>
            <w:shd w:val="clear" w:color="auto" w:fill="auto"/>
            <w:vAlign w:val="center"/>
            <w:hideMark/>
          </w:tcPr>
          <w:p w14:paraId="098A59CE"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w:t>
            </w:r>
          </w:p>
        </w:tc>
        <w:tc>
          <w:tcPr>
            <w:tcW w:w="505" w:type="dxa"/>
            <w:tcBorders>
              <w:top w:val="nil"/>
              <w:left w:val="nil"/>
              <w:bottom w:val="single" w:sz="8" w:space="0" w:color="auto"/>
              <w:right w:val="single" w:sz="8" w:space="0" w:color="auto"/>
            </w:tcBorders>
            <w:shd w:val="clear" w:color="auto" w:fill="auto"/>
            <w:vAlign w:val="center"/>
            <w:hideMark/>
          </w:tcPr>
          <w:p w14:paraId="1BA3F194"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1714</w:t>
            </w:r>
          </w:p>
        </w:tc>
        <w:tc>
          <w:tcPr>
            <w:tcW w:w="3498" w:type="dxa"/>
            <w:tcBorders>
              <w:top w:val="nil"/>
              <w:left w:val="nil"/>
              <w:bottom w:val="single" w:sz="8" w:space="0" w:color="auto"/>
              <w:right w:val="single" w:sz="8" w:space="0" w:color="auto"/>
            </w:tcBorders>
            <w:shd w:val="clear" w:color="auto" w:fill="auto"/>
            <w:vAlign w:val="center"/>
            <w:hideMark/>
          </w:tcPr>
          <w:p w14:paraId="7B778803"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VILLA GAS S.A. E.S.P.</w:t>
            </w:r>
          </w:p>
        </w:tc>
        <w:tc>
          <w:tcPr>
            <w:tcW w:w="1262" w:type="dxa"/>
            <w:tcBorders>
              <w:top w:val="nil"/>
              <w:left w:val="nil"/>
              <w:bottom w:val="single" w:sz="8" w:space="0" w:color="auto"/>
              <w:right w:val="single" w:sz="8" w:space="0" w:color="auto"/>
            </w:tcBorders>
            <w:shd w:val="clear" w:color="auto" w:fill="auto"/>
            <w:vAlign w:val="center"/>
            <w:hideMark/>
          </w:tcPr>
          <w:p w14:paraId="33A9E5B5"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17DE2C18"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2A975A68"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759E7C07"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48</w:t>
            </w:r>
          </w:p>
        </w:tc>
        <w:tc>
          <w:tcPr>
            <w:tcW w:w="880" w:type="dxa"/>
            <w:tcBorders>
              <w:top w:val="nil"/>
              <w:left w:val="nil"/>
              <w:bottom w:val="single" w:sz="8" w:space="0" w:color="auto"/>
              <w:right w:val="single" w:sz="8" w:space="0" w:color="auto"/>
            </w:tcBorders>
            <w:shd w:val="clear" w:color="auto" w:fill="auto"/>
            <w:vAlign w:val="center"/>
            <w:hideMark/>
          </w:tcPr>
          <w:p w14:paraId="5C09149F"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860.026.070</w:t>
            </w:r>
          </w:p>
        </w:tc>
        <w:tc>
          <w:tcPr>
            <w:tcW w:w="323" w:type="dxa"/>
            <w:tcBorders>
              <w:top w:val="nil"/>
              <w:left w:val="nil"/>
              <w:bottom w:val="single" w:sz="8" w:space="0" w:color="auto"/>
              <w:right w:val="single" w:sz="8" w:space="0" w:color="auto"/>
            </w:tcBorders>
            <w:shd w:val="clear" w:color="auto" w:fill="auto"/>
            <w:vAlign w:val="center"/>
            <w:hideMark/>
          </w:tcPr>
          <w:p w14:paraId="6369102B"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w:t>
            </w:r>
          </w:p>
        </w:tc>
        <w:tc>
          <w:tcPr>
            <w:tcW w:w="505" w:type="dxa"/>
            <w:tcBorders>
              <w:top w:val="nil"/>
              <w:left w:val="nil"/>
              <w:bottom w:val="single" w:sz="8" w:space="0" w:color="auto"/>
              <w:right w:val="single" w:sz="8" w:space="0" w:color="auto"/>
            </w:tcBorders>
            <w:shd w:val="clear" w:color="auto" w:fill="auto"/>
            <w:vAlign w:val="center"/>
            <w:hideMark/>
          </w:tcPr>
          <w:p w14:paraId="509E3DDA"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976</w:t>
            </w:r>
          </w:p>
        </w:tc>
        <w:tc>
          <w:tcPr>
            <w:tcW w:w="3498" w:type="dxa"/>
            <w:tcBorders>
              <w:top w:val="nil"/>
              <w:left w:val="nil"/>
              <w:bottom w:val="single" w:sz="8" w:space="0" w:color="auto"/>
              <w:right w:val="single" w:sz="8" w:space="0" w:color="auto"/>
            </w:tcBorders>
            <w:shd w:val="clear" w:color="auto" w:fill="auto"/>
            <w:vAlign w:val="center"/>
            <w:hideMark/>
          </w:tcPr>
          <w:p w14:paraId="61B7B42D"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 xml:space="preserve">GAS ZIPA </w:t>
            </w:r>
            <w:proofErr w:type="gramStart"/>
            <w:r w:rsidRPr="00AD4E79">
              <w:rPr>
                <w:rFonts w:ascii="Arial Narrow" w:hAnsi="Arial Narrow" w:cs="Arial"/>
                <w:spacing w:val="0"/>
                <w:sz w:val="16"/>
                <w:szCs w:val="16"/>
                <w:lang w:eastAsia="es-CO"/>
              </w:rPr>
              <w:t>SAS  ESP</w:t>
            </w:r>
            <w:proofErr w:type="gramEnd"/>
          </w:p>
        </w:tc>
        <w:tc>
          <w:tcPr>
            <w:tcW w:w="1262" w:type="dxa"/>
            <w:tcBorders>
              <w:top w:val="nil"/>
              <w:left w:val="nil"/>
              <w:bottom w:val="single" w:sz="8" w:space="0" w:color="auto"/>
              <w:right w:val="single" w:sz="8" w:space="0" w:color="auto"/>
            </w:tcBorders>
            <w:shd w:val="clear" w:color="auto" w:fill="auto"/>
            <w:vAlign w:val="center"/>
            <w:hideMark/>
          </w:tcPr>
          <w:p w14:paraId="5F881656"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02CDC1FB"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47BC1007"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0B73FF4F"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49</w:t>
            </w:r>
          </w:p>
        </w:tc>
        <w:tc>
          <w:tcPr>
            <w:tcW w:w="880" w:type="dxa"/>
            <w:tcBorders>
              <w:top w:val="nil"/>
              <w:left w:val="nil"/>
              <w:bottom w:val="single" w:sz="8" w:space="0" w:color="auto"/>
              <w:right w:val="single" w:sz="8" w:space="0" w:color="auto"/>
            </w:tcBorders>
            <w:shd w:val="clear" w:color="auto" w:fill="auto"/>
            <w:vAlign w:val="center"/>
            <w:hideMark/>
          </w:tcPr>
          <w:p w14:paraId="7C1634AA"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860.033.633</w:t>
            </w:r>
          </w:p>
        </w:tc>
        <w:tc>
          <w:tcPr>
            <w:tcW w:w="323" w:type="dxa"/>
            <w:tcBorders>
              <w:top w:val="nil"/>
              <w:left w:val="nil"/>
              <w:bottom w:val="single" w:sz="8" w:space="0" w:color="auto"/>
              <w:right w:val="single" w:sz="8" w:space="0" w:color="auto"/>
            </w:tcBorders>
            <w:shd w:val="clear" w:color="auto" w:fill="auto"/>
            <w:vAlign w:val="center"/>
            <w:hideMark/>
          </w:tcPr>
          <w:p w14:paraId="7AEF5C15"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4</w:t>
            </w:r>
          </w:p>
        </w:tc>
        <w:tc>
          <w:tcPr>
            <w:tcW w:w="505" w:type="dxa"/>
            <w:tcBorders>
              <w:top w:val="nil"/>
              <w:left w:val="nil"/>
              <w:bottom w:val="single" w:sz="8" w:space="0" w:color="auto"/>
              <w:right w:val="single" w:sz="8" w:space="0" w:color="auto"/>
            </w:tcBorders>
            <w:shd w:val="clear" w:color="auto" w:fill="auto"/>
            <w:vAlign w:val="center"/>
            <w:hideMark/>
          </w:tcPr>
          <w:p w14:paraId="4BAC9B6C"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1634</w:t>
            </w:r>
          </w:p>
        </w:tc>
        <w:tc>
          <w:tcPr>
            <w:tcW w:w="3498" w:type="dxa"/>
            <w:tcBorders>
              <w:top w:val="nil"/>
              <w:left w:val="nil"/>
              <w:bottom w:val="single" w:sz="8" w:space="0" w:color="auto"/>
              <w:right w:val="single" w:sz="8" w:space="0" w:color="auto"/>
            </w:tcBorders>
            <w:shd w:val="clear" w:color="auto" w:fill="auto"/>
            <w:vAlign w:val="center"/>
            <w:hideMark/>
          </w:tcPr>
          <w:p w14:paraId="37D35993"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RAYOGAS S.A. ESP</w:t>
            </w:r>
          </w:p>
        </w:tc>
        <w:tc>
          <w:tcPr>
            <w:tcW w:w="1262" w:type="dxa"/>
            <w:tcBorders>
              <w:top w:val="nil"/>
              <w:left w:val="nil"/>
              <w:bottom w:val="single" w:sz="8" w:space="0" w:color="auto"/>
              <w:right w:val="single" w:sz="8" w:space="0" w:color="auto"/>
            </w:tcBorders>
            <w:shd w:val="clear" w:color="auto" w:fill="auto"/>
            <w:vAlign w:val="center"/>
            <w:hideMark/>
          </w:tcPr>
          <w:p w14:paraId="42201FFD"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6578009A"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1B942172"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14BFAE98"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50</w:t>
            </w:r>
          </w:p>
        </w:tc>
        <w:tc>
          <w:tcPr>
            <w:tcW w:w="880" w:type="dxa"/>
            <w:tcBorders>
              <w:top w:val="nil"/>
              <w:left w:val="nil"/>
              <w:bottom w:val="single" w:sz="8" w:space="0" w:color="auto"/>
              <w:right w:val="single" w:sz="8" w:space="0" w:color="auto"/>
            </w:tcBorders>
            <w:shd w:val="clear" w:color="auto" w:fill="auto"/>
            <w:vAlign w:val="center"/>
            <w:hideMark/>
          </w:tcPr>
          <w:p w14:paraId="1899ACBA"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860.072.134</w:t>
            </w:r>
          </w:p>
        </w:tc>
        <w:tc>
          <w:tcPr>
            <w:tcW w:w="323" w:type="dxa"/>
            <w:tcBorders>
              <w:top w:val="nil"/>
              <w:left w:val="nil"/>
              <w:bottom w:val="single" w:sz="8" w:space="0" w:color="auto"/>
              <w:right w:val="single" w:sz="8" w:space="0" w:color="auto"/>
            </w:tcBorders>
            <w:shd w:val="clear" w:color="auto" w:fill="auto"/>
            <w:vAlign w:val="center"/>
            <w:hideMark/>
          </w:tcPr>
          <w:p w14:paraId="5A841530"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7</w:t>
            </w:r>
          </w:p>
        </w:tc>
        <w:tc>
          <w:tcPr>
            <w:tcW w:w="505" w:type="dxa"/>
            <w:tcBorders>
              <w:top w:val="nil"/>
              <w:left w:val="nil"/>
              <w:bottom w:val="single" w:sz="8" w:space="0" w:color="auto"/>
              <w:right w:val="single" w:sz="8" w:space="0" w:color="auto"/>
            </w:tcBorders>
            <w:shd w:val="clear" w:color="auto" w:fill="auto"/>
            <w:vAlign w:val="center"/>
            <w:hideMark/>
          </w:tcPr>
          <w:p w14:paraId="182DC66E"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22068</w:t>
            </w:r>
          </w:p>
        </w:tc>
        <w:tc>
          <w:tcPr>
            <w:tcW w:w="3498" w:type="dxa"/>
            <w:tcBorders>
              <w:top w:val="nil"/>
              <w:left w:val="nil"/>
              <w:bottom w:val="single" w:sz="8" w:space="0" w:color="auto"/>
              <w:right w:val="single" w:sz="8" w:space="0" w:color="auto"/>
            </w:tcBorders>
            <w:shd w:val="clear" w:color="auto" w:fill="auto"/>
            <w:vAlign w:val="center"/>
            <w:hideMark/>
          </w:tcPr>
          <w:p w14:paraId="2F222455"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 xml:space="preserve">HOCOL </w:t>
            </w:r>
            <w:proofErr w:type="gramStart"/>
            <w:r w:rsidRPr="00AD4E79">
              <w:rPr>
                <w:rFonts w:ascii="Arial Narrow" w:hAnsi="Arial Narrow" w:cs="Arial"/>
                <w:spacing w:val="0"/>
                <w:sz w:val="16"/>
                <w:szCs w:val="16"/>
                <w:lang w:eastAsia="es-CO"/>
              </w:rPr>
              <w:t>S.A</w:t>
            </w:r>
            <w:proofErr w:type="gramEnd"/>
          </w:p>
        </w:tc>
        <w:tc>
          <w:tcPr>
            <w:tcW w:w="1262" w:type="dxa"/>
            <w:tcBorders>
              <w:top w:val="nil"/>
              <w:left w:val="nil"/>
              <w:bottom w:val="single" w:sz="8" w:space="0" w:color="auto"/>
              <w:right w:val="single" w:sz="8" w:space="0" w:color="auto"/>
            </w:tcBorders>
            <w:shd w:val="clear" w:color="auto" w:fill="auto"/>
            <w:vAlign w:val="center"/>
            <w:hideMark/>
          </w:tcPr>
          <w:p w14:paraId="4BD89776"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4F3767C0"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2D419DBA"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1CD3CD16"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lastRenderedPageBreak/>
              <w:t>51</w:t>
            </w:r>
          </w:p>
        </w:tc>
        <w:tc>
          <w:tcPr>
            <w:tcW w:w="880" w:type="dxa"/>
            <w:tcBorders>
              <w:top w:val="nil"/>
              <w:left w:val="nil"/>
              <w:bottom w:val="single" w:sz="8" w:space="0" w:color="auto"/>
              <w:right w:val="single" w:sz="8" w:space="0" w:color="auto"/>
            </w:tcBorders>
            <w:shd w:val="clear" w:color="auto" w:fill="auto"/>
            <w:vAlign w:val="center"/>
            <w:hideMark/>
          </w:tcPr>
          <w:p w14:paraId="046F8117"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860.450.098</w:t>
            </w:r>
          </w:p>
        </w:tc>
        <w:tc>
          <w:tcPr>
            <w:tcW w:w="323" w:type="dxa"/>
            <w:tcBorders>
              <w:top w:val="nil"/>
              <w:left w:val="nil"/>
              <w:bottom w:val="single" w:sz="8" w:space="0" w:color="auto"/>
              <w:right w:val="single" w:sz="8" w:space="0" w:color="auto"/>
            </w:tcBorders>
            <w:shd w:val="clear" w:color="auto" w:fill="auto"/>
            <w:vAlign w:val="center"/>
            <w:hideMark/>
          </w:tcPr>
          <w:p w14:paraId="44B7F665"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w:t>
            </w:r>
          </w:p>
        </w:tc>
        <w:tc>
          <w:tcPr>
            <w:tcW w:w="505" w:type="dxa"/>
            <w:tcBorders>
              <w:top w:val="nil"/>
              <w:left w:val="nil"/>
              <w:bottom w:val="single" w:sz="8" w:space="0" w:color="auto"/>
              <w:right w:val="single" w:sz="8" w:space="0" w:color="auto"/>
            </w:tcBorders>
            <w:shd w:val="clear" w:color="auto" w:fill="auto"/>
            <w:vAlign w:val="center"/>
            <w:hideMark/>
          </w:tcPr>
          <w:p w14:paraId="60744C84"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1545</w:t>
            </w:r>
          </w:p>
        </w:tc>
        <w:tc>
          <w:tcPr>
            <w:tcW w:w="3498" w:type="dxa"/>
            <w:tcBorders>
              <w:top w:val="nil"/>
              <w:left w:val="nil"/>
              <w:bottom w:val="single" w:sz="8" w:space="0" w:color="auto"/>
              <w:right w:val="single" w:sz="8" w:space="0" w:color="auto"/>
            </w:tcBorders>
            <w:shd w:val="clear" w:color="auto" w:fill="auto"/>
            <w:vAlign w:val="center"/>
            <w:hideMark/>
          </w:tcPr>
          <w:p w14:paraId="68A85D43"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GAS SUMAPAZ S.A. E.S.P.</w:t>
            </w:r>
          </w:p>
        </w:tc>
        <w:tc>
          <w:tcPr>
            <w:tcW w:w="1262" w:type="dxa"/>
            <w:tcBorders>
              <w:top w:val="nil"/>
              <w:left w:val="nil"/>
              <w:bottom w:val="single" w:sz="8" w:space="0" w:color="auto"/>
              <w:right w:val="single" w:sz="8" w:space="0" w:color="auto"/>
            </w:tcBorders>
            <w:shd w:val="clear" w:color="auto" w:fill="auto"/>
            <w:vAlign w:val="center"/>
            <w:hideMark/>
          </w:tcPr>
          <w:p w14:paraId="1E0EB01A"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3486AA57"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4D2D8BF1" w14:textId="77777777" w:rsidTr="00AD4E79">
        <w:trPr>
          <w:trHeight w:val="23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494CC568"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52</w:t>
            </w:r>
          </w:p>
        </w:tc>
        <w:tc>
          <w:tcPr>
            <w:tcW w:w="880" w:type="dxa"/>
            <w:tcBorders>
              <w:top w:val="nil"/>
              <w:left w:val="nil"/>
              <w:bottom w:val="single" w:sz="8" w:space="0" w:color="auto"/>
              <w:right w:val="single" w:sz="8" w:space="0" w:color="auto"/>
            </w:tcBorders>
            <w:shd w:val="clear" w:color="auto" w:fill="auto"/>
            <w:vAlign w:val="center"/>
            <w:hideMark/>
          </w:tcPr>
          <w:p w14:paraId="213E02A5"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860.508.892</w:t>
            </w:r>
          </w:p>
        </w:tc>
        <w:tc>
          <w:tcPr>
            <w:tcW w:w="323" w:type="dxa"/>
            <w:tcBorders>
              <w:top w:val="nil"/>
              <w:left w:val="nil"/>
              <w:bottom w:val="single" w:sz="8" w:space="0" w:color="auto"/>
              <w:right w:val="single" w:sz="8" w:space="0" w:color="auto"/>
            </w:tcBorders>
            <w:shd w:val="clear" w:color="auto" w:fill="auto"/>
            <w:vAlign w:val="center"/>
            <w:hideMark/>
          </w:tcPr>
          <w:p w14:paraId="62F841F1"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5</w:t>
            </w:r>
          </w:p>
        </w:tc>
        <w:tc>
          <w:tcPr>
            <w:tcW w:w="505" w:type="dxa"/>
            <w:tcBorders>
              <w:top w:val="nil"/>
              <w:left w:val="nil"/>
              <w:bottom w:val="single" w:sz="8" w:space="0" w:color="auto"/>
              <w:right w:val="single" w:sz="8" w:space="0" w:color="auto"/>
            </w:tcBorders>
            <w:shd w:val="clear" w:color="auto" w:fill="auto"/>
            <w:vAlign w:val="center"/>
            <w:hideMark/>
          </w:tcPr>
          <w:p w14:paraId="690697C2"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1638</w:t>
            </w:r>
          </w:p>
        </w:tc>
        <w:tc>
          <w:tcPr>
            <w:tcW w:w="3498" w:type="dxa"/>
            <w:tcBorders>
              <w:top w:val="nil"/>
              <w:left w:val="nil"/>
              <w:bottom w:val="single" w:sz="8" w:space="0" w:color="auto"/>
              <w:right w:val="single" w:sz="8" w:space="0" w:color="auto"/>
            </w:tcBorders>
            <w:shd w:val="clear" w:color="auto" w:fill="auto"/>
            <w:vAlign w:val="center"/>
            <w:hideMark/>
          </w:tcPr>
          <w:p w14:paraId="3CF8EC2E"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COMPAÑIA DE ALMACENAMIENTO DE GAS S.A. ESP</w:t>
            </w:r>
          </w:p>
        </w:tc>
        <w:tc>
          <w:tcPr>
            <w:tcW w:w="1262" w:type="dxa"/>
            <w:tcBorders>
              <w:top w:val="nil"/>
              <w:left w:val="nil"/>
              <w:bottom w:val="single" w:sz="8" w:space="0" w:color="auto"/>
              <w:right w:val="single" w:sz="8" w:space="0" w:color="auto"/>
            </w:tcBorders>
            <w:shd w:val="clear" w:color="auto" w:fill="auto"/>
            <w:vAlign w:val="center"/>
            <w:hideMark/>
          </w:tcPr>
          <w:p w14:paraId="34898078"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1A125AAE"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0FEADD28"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675E885F"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53</w:t>
            </w:r>
          </w:p>
        </w:tc>
        <w:tc>
          <w:tcPr>
            <w:tcW w:w="880" w:type="dxa"/>
            <w:tcBorders>
              <w:top w:val="nil"/>
              <w:left w:val="nil"/>
              <w:bottom w:val="single" w:sz="8" w:space="0" w:color="auto"/>
              <w:right w:val="single" w:sz="8" w:space="0" w:color="auto"/>
            </w:tcBorders>
            <w:shd w:val="clear" w:color="auto" w:fill="auto"/>
            <w:vAlign w:val="center"/>
            <w:hideMark/>
          </w:tcPr>
          <w:p w14:paraId="30A28CF7"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860.515.802</w:t>
            </w:r>
          </w:p>
        </w:tc>
        <w:tc>
          <w:tcPr>
            <w:tcW w:w="323" w:type="dxa"/>
            <w:tcBorders>
              <w:top w:val="nil"/>
              <w:left w:val="nil"/>
              <w:bottom w:val="single" w:sz="8" w:space="0" w:color="auto"/>
              <w:right w:val="single" w:sz="8" w:space="0" w:color="auto"/>
            </w:tcBorders>
            <w:shd w:val="clear" w:color="auto" w:fill="auto"/>
            <w:vAlign w:val="center"/>
            <w:hideMark/>
          </w:tcPr>
          <w:p w14:paraId="67069B26"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w:t>
            </w:r>
          </w:p>
        </w:tc>
        <w:tc>
          <w:tcPr>
            <w:tcW w:w="505" w:type="dxa"/>
            <w:tcBorders>
              <w:top w:val="nil"/>
              <w:left w:val="nil"/>
              <w:bottom w:val="single" w:sz="8" w:space="0" w:color="auto"/>
              <w:right w:val="single" w:sz="8" w:space="0" w:color="auto"/>
            </w:tcBorders>
            <w:shd w:val="clear" w:color="auto" w:fill="auto"/>
            <w:vAlign w:val="center"/>
            <w:hideMark/>
          </w:tcPr>
          <w:p w14:paraId="037ADC39"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513</w:t>
            </w:r>
          </w:p>
        </w:tc>
        <w:tc>
          <w:tcPr>
            <w:tcW w:w="3498" w:type="dxa"/>
            <w:tcBorders>
              <w:top w:val="nil"/>
              <w:left w:val="nil"/>
              <w:bottom w:val="single" w:sz="8" w:space="0" w:color="auto"/>
              <w:right w:val="single" w:sz="8" w:space="0" w:color="auto"/>
            </w:tcBorders>
            <w:shd w:val="clear" w:color="auto" w:fill="auto"/>
            <w:vAlign w:val="center"/>
            <w:hideMark/>
          </w:tcPr>
          <w:p w14:paraId="1B5F1AE6"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PLEXA SAS ESP</w:t>
            </w:r>
          </w:p>
        </w:tc>
        <w:tc>
          <w:tcPr>
            <w:tcW w:w="1262" w:type="dxa"/>
            <w:tcBorders>
              <w:top w:val="nil"/>
              <w:left w:val="nil"/>
              <w:bottom w:val="single" w:sz="8" w:space="0" w:color="auto"/>
              <w:right w:val="single" w:sz="8" w:space="0" w:color="auto"/>
            </w:tcBorders>
            <w:shd w:val="clear" w:color="auto" w:fill="auto"/>
            <w:vAlign w:val="center"/>
            <w:hideMark/>
          </w:tcPr>
          <w:p w14:paraId="2A97B921"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19A5FD15"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1BC0EBA6" w14:textId="77777777" w:rsidTr="00AD4E79">
        <w:trPr>
          <w:trHeight w:val="254"/>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403308CB"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54</w:t>
            </w:r>
          </w:p>
        </w:tc>
        <w:tc>
          <w:tcPr>
            <w:tcW w:w="880" w:type="dxa"/>
            <w:tcBorders>
              <w:top w:val="nil"/>
              <w:left w:val="nil"/>
              <w:bottom w:val="single" w:sz="8" w:space="0" w:color="auto"/>
              <w:right w:val="single" w:sz="8" w:space="0" w:color="auto"/>
            </w:tcBorders>
            <w:shd w:val="clear" w:color="auto" w:fill="auto"/>
            <w:vAlign w:val="center"/>
            <w:hideMark/>
          </w:tcPr>
          <w:p w14:paraId="00E5359B"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860.516.431</w:t>
            </w:r>
          </w:p>
        </w:tc>
        <w:tc>
          <w:tcPr>
            <w:tcW w:w="323" w:type="dxa"/>
            <w:tcBorders>
              <w:top w:val="nil"/>
              <w:left w:val="nil"/>
              <w:bottom w:val="single" w:sz="8" w:space="0" w:color="auto"/>
              <w:right w:val="single" w:sz="8" w:space="0" w:color="auto"/>
            </w:tcBorders>
            <w:shd w:val="clear" w:color="auto" w:fill="auto"/>
            <w:vAlign w:val="center"/>
            <w:hideMark/>
          </w:tcPr>
          <w:p w14:paraId="74463753"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7</w:t>
            </w:r>
          </w:p>
        </w:tc>
        <w:tc>
          <w:tcPr>
            <w:tcW w:w="505" w:type="dxa"/>
            <w:tcBorders>
              <w:top w:val="nil"/>
              <w:left w:val="nil"/>
              <w:bottom w:val="single" w:sz="8" w:space="0" w:color="auto"/>
              <w:right w:val="single" w:sz="8" w:space="0" w:color="auto"/>
            </w:tcBorders>
            <w:shd w:val="clear" w:color="auto" w:fill="auto"/>
            <w:vAlign w:val="center"/>
            <w:hideMark/>
          </w:tcPr>
          <w:p w14:paraId="44C557F3"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28591</w:t>
            </w:r>
          </w:p>
        </w:tc>
        <w:tc>
          <w:tcPr>
            <w:tcW w:w="3498" w:type="dxa"/>
            <w:tcBorders>
              <w:top w:val="nil"/>
              <w:left w:val="nil"/>
              <w:bottom w:val="single" w:sz="8" w:space="0" w:color="auto"/>
              <w:right w:val="single" w:sz="8" w:space="0" w:color="auto"/>
            </w:tcBorders>
            <w:shd w:val="clear" w:color="auto" w:fill="auto"/>
            <w:vAlign w:val="center"/>
            <w:hideMark/>
          </w:tcPr>
          <w:p w14:paraId="61CBE0C3"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GRAN TIERRA ENERGY COLOMBIA, LLC SUCURSAL</w:t>
            </w:r>
          </w:p>
        </w:tc>
        <w:tc>
          <w:tcPr>
            <w:tcW w:w="1262" w:type="dxa"/>
            <w:tcBorders>
              <w:top w:val="nil"/>
              <w:left w:val="nil"/>
              <w:bottom w:val="single" w:sz="8" w:space="0" w:color="auto"/>
              <w:right w:val="single" w:sz="8" w:space="0" w:color="auto"/>
            </w:tcBorders>
            <w:shd w:val="clear" w:color="auto" w:fill="auto"/>
            <w:vAlign w:val="center"/>
            <w:hideMark/>
          </w:tcPr>
          <w:p w14:paraId="657A90B9"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2A0EFB06"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1775E9AB" w14:textId="77777777" w:rsidTr="00AD4E79">
        <w:trPr>
          <w:trHeight w:val="271"/>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531D0A4F"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55</w:t>
            </w:r>
          </w:p>
        </w:tc>
        <w:tc>
          <w:tcPr>
            <w:tcW w:w="880" w:type="dxa"/>
            <w:tcBorders>
              <w:top w:val="nil"/>
              <w:left w:val="nil"/>
              <w:bottom w:val="single" w:sz="8" w:space="0" w:color="auto"/>
              <w:right w:val="single" w:sz="8" w:space="0" w:color="auto"/>
            </w:tcBorders>
            <w:shd w:val="clear" w:color="auto" w:fill="auto"/>
            <w:vAlign w:val="center"/>
            <w:hideMark/>
          </w:tcPr>
          <w:p w14:paraId="1C214BB9"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860.529.657</w:t>
            </w:r>
          </w:p>
        </w:tc>
        <w:tc>
          <w:tcPr>
            <w:tcW w:w="323" w:type="dxa"/>
            <w:tcBorders>
              <w:top w:val="nil"/>
              <w:left w:val="nil"/>
              <w:bottom w:val="single" w:sz="8" w:space="0" w:color="auto"/>
              <w:right w:val="single" w:sz="8" w:space="0" w:color="auto"/>
            </w:tcBorders>
            <w:shd w:val="clear" w:color="auto" w:fill="auto"/>
            <w:vAlign w:val="center"/>
            <w:hideMark/>
          </w:tcPr>
          <w:p w14:paraId="4462B593"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0</w:t>
            </w:r>
          </w:p>
        </w:tc>
        <w:tc>
          <w:tcPr>
            <w:tcW w:w="505" w:type="dxa"/>
            <w:tcBorders>
              <w:top w:val="nil"/>
              <w:left w:val="nil"/>
              <w:bottom w:val="single" w:sz="8" w:space="0" w:color="auto"/>
              <w:right w:val="single" w:sz="8" w:space="0" w:color="auto"/>
            </w:tcBorders>
            <w:shd w:val="clear" w:color="auto" w:fill="auto"/>
            <w:vAlign w:val="center"/>
            <w:hideMark/>
          </w:tcPr>
          <w:p w14:paraId="19DC992D"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20000</w:t>
            </w:r>
          </w:p>
        </w:tc>
        <w:tc>
          <w:tcPr>
            <w:tcW w:w="3498" w:type="dxa"/>
            <w:tcBorders>
              <w:top w:val="nil"/>
              <w:left w:val="nil"/>
              <w:bottom w:val="single" w:sz="8" w:space="0" w:color="auto"/>
              <w:right w:val="single" w:sz="8" w:space="0" w:color="auto"/>
            </w:tcBorders>
            <w:shd w:val="clear" w:color="auto" w:fill="auto"/>
            <w:vAlign w:val="center"/>
            <w:hideMark/>
          </w:tcPr>
          <w:p w14:paraId="3EED25D8" w14:textId="77777777" w:rsidR="00E75BBE" w:rsidRPr="00AD4E79" w:rsidRDefault="00E75BBE" w:rsidP="00D22441">
            <w:pPr>
              <w:jc w:val="left"/>
              <w:rPr>
                <w:rFonts w:ascii="Arial Narrow" w:hAnsi="Arial Narrow" w:cs="Arial"/>
                <w:spacing w:val="0"/>
                <w:sz w:val="16"/>
                <w:szCs w:val="16"/>
                <w:lang w:val="en-GB" w:eastAsia="es-CO"/>
              </w:rPr>
            </w:pPr>
            <w:r w:rsidRPr="00AD4E79">
              <w:rPr>
                <w:rFonts w:ascii="Arial Narrow" w:hAnsi="Arial Narrow" w:cs="Arial"/>
                <w:spacing w:val="0"/>
                <w:sz w:val="16"/>
                <w:szCs w:val="16"/>
                <w:lang w:val="en-GB" w:eastAsia="es-CO"/>
              </w:rPr>
              <w:t>INTEROIL COLOMBIA EXPLORATION AND PRODUCTION</w:t>
            </w:r>
          </w:p>
        </w:tc>
        <w:tc>
          <w:tcPr>
            <w:tcW w:w="1262" w:type="dxa"/>
            <w:tcBorders>
              <w:top w:val="nil"/>
              <w:left w:val="nil"/>
              <w:bottom w:val="single" w:sz="8" w:space="0" w:color="auto"/>
              <w:right w:val="single" w:sz="8" w:space="0" w:color="auto"/>
            </w:tcBorders>
            <w:shd w:val="clear" w:color="auto" w:fill="auto"/>
            <w:vAlign w:val="center"/>
            <w:hideMark/>
          </w:tcPr>
          <w:p w14:paraId="2AD1A8C9"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4844EE47"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64792190" w14:textId="77777777" w:rsidTr="00AD4E79">
        <w:trPr>
          <w:trHeight w:val="305"/>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219210BA"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56</w:t>
            </w:r>
          </w:p>
        </w:tc>
        <w:tc>
          <w:tcPr>
            <w:tcW w:w="880" w:type="dxa"/>
            <w:tcBorders>
              <w:top w:val="nil"/>
              <w:left w:val="nil"/>
              <w:bottom w:val="single" w:sz="8" w:space="0" w:color="auto"/>
              <w:right w:val="single" w:sz="8" w:space="0" w:color="auto"/>
            </w:tcBorders>
            <w:shd w:val="clear" w:color="auto" w:fill="auto"/>
            <w:vAlign w:val="center"/>
            <w:hideMark/>
          </w:tcPr>
          <w:p w14:paraId="7B986D9C"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890.101.691</w:t>
            </w:r>
          </w:p>
        </w:tc>
        <w:tc>
          <w:tcPr>
            <w:tcW w:w="323" w:type="dxa"/>
            <w:tcBorders>
              <w:top w:val="nil"/>
              <w:left w:val="nil"/>
              <w:bottom w:val="single" w:sz="8" w:space="0" w:color="auto"/>
              <w:right w:val="single" w:sz="8" w:space="0" w:color="auto"/>
            </w:tcBorders>
            <w:shd w:val="clear" w:color="auto" w:fill="auto"/>
            <w:vAlign w:val="center"/>
            <w:hideMark/>
          </w:tcPr>
          <w:p w14:paraId="21B1E2CC"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w:t>
            </w:r>
          </w:p>
        </w:tc>
        <w:tc>
          <w:tcPr>
            <w:tcW w:w="505" w:type="dxa"/>
            <w:tcBorders>
              <w:top w:val="nil"/>
              <w:left w:val="nil"/>
              <w:bottom w:val="single" w:sz="8" w:space="0" w:color="auto"/>
              <w:right w:val="single" w:sz="8" w:space="0" w:color="auto"/>
            </w:tcBorders>
            <w:shd w:val="clear" w:color="auto" w:fill="auto"/>
            <w:vAlign w:val="center"/>
            <w:hideMark/>
          </w:tcPr>
          <w:p w14:paraId="40567FF4"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484</w:t>
            </w:r>
          </w:p>
        </w:tc>
        <w:tc>
          <w:tcPr>
            <w:tcW w:w="3498" w:type="dxa"/>
            <w:tcBorders>
              <w:top w:val="nil"/>
              <w:left w:val="nil"/>
              <w:bottom w:val="single" w:sz="8" w:space="0" w:color="auto"/>
              <w:right w:val="single" w:sz="8" w:space="0" w:color="auto"/>
            </w:tcBorders>
            <w:shd w:val="clear" w:color="auto" w:fill="auto"/>
            <w:vAlign w:val="center"/>
            <w:hideMark/>
          </w:tcPr>
          <w:p w14:paraId="5177974B"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 xml:space="preserve">GASES DEL CARIBE S.A. EMPRESA DE SERVICIOS PUBLICOS </w:t>
            </w:r>
          </w:p>
        </w:tc>
        <w:tc>
          <w:tcPr>
            <w:tcW w:w="1262" w:type="dxa"/>
            <w:tcBorders>
              <w:top w:val="nil"/>
              <w:left w:val="nil"/>
              <w:bottom w:val="single" w:sz="8" w:space="0" w:color="auto"/>
              <w:right w:val="single" w:sz="8" w:space="0" w:color="auto"/>
            </w:tcBorders>
            <w:shd w:val="clear" w:color="auto" w:fill="auto"/>
            <w:vAlign w:val="center"/>
            <w:hideMark/>
          </w:tcPr>
          <w:p w14:paraId="73F40869"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73F3A11F"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5E61C09D"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16098288"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57</w:t>
            </w:r>
          </w:p>
        </w:tc>
        <w:tc>
          <w:tcPr>
            <w:tcW w:w="880" w:type="dxa"/>
            <w:tcBorders>
              <w:top w:val="nil"/>
              <w:left w:val="nil"/>
              <w:bottom w:val="single" w:sz="8" w:space="0" w:color="auto"/>
              <w:right w:val="single" w:sz="8" w:space="0" w:color="auto"/>
            </w:tcBorders>
            <w:shd w:val="clear" w:color="auto" w:fill="auto"/>
            <w:vAlign w:val="center"/>
            <w:hideMark/>
          </w:tcPr>
          <w:p w14:paraId="05E1607E"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890.105.526</w:t>
            </w:r>
          </w:p>
        </w:tc>
        <w:tc>
          <w:tcPr>
            <w:tcW w:w="323" w:type="dxa"/>
            <w:tcBorders>
              <w:top w:val="nil"/>
              <w:left w:val="nil"/>
              <w:bottom w:val="single" w:sz="8" w:space="0" w:color="auto"/>
              <w:right w:val="single" w:sz="8" w:space="0" w:color="auto"/>
            </w:tcBorders>
            <w:shd w:val="clear" w:color="auto" w:fill="auto"/>
            <w:vAlign w:val="center"/>
            <w:hideMark/>
          </w:tcPr>
          <w:p w14:paraId="323F8762"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3</w:t>
            </w:r>
          </w:p>
        </w:tc>
        <w:tc>
          <w:tcPr>
            <w:tcW w:w="505" w:type="dxa"/>
            <w:tcBorders>
              <w:top w:val="nil"/>
              <w:left w:val="nil"/>
              <w:bottom w:val="single" w:sz="8" w:space="0" w:color="auto"/>
              <w:right w:val="single" w:sz="8" w:space="0" w:color="auto"/>
            </w:tcBorders>
            <w:shd w:val="clear" w:color="auto" w:fill="auto"/>
            <w:vAlign w:val="center"/>
            <w:hideMark/>
          </w:tcPr>
          <w:p w14:paraId="4A398AA0"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1069</w:t>
            </w:r>
          </w:p>
        </w:tc>
        <w:tc>
          <w:tcPr>
            <w:tcW w:w="3498" w:type="dxa"/>
            <w:tcBorders>
              <w:top w:val="nil"/>
              <w:left w:val="nil"/>
              <w:bottom w:val="single" w:sz="8" w:space="0" w:color="auto"/>
              <w:right w:val="single" w:sz="8" w:space="0" w:color="auto"/>
            </w:tcBorders>
            <w:shd w:val="clear" w:color="auto" w:fill="auto"/>
            <w:vAlign w:val="center"/>
            <w:hideMark/>
          </w:tcPr>
          <w:p w14:paraId="1C87F5AB"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PROMIGAS S.A. E.S.P.</w:t>
            </w:r>
          </w:p>
        </w:tc>
        <w:tc>
          <w:tcPr>
            <w:tcW w:w="1262" w:type="dxa"/>
            <w:tcBorders>
              <w:top w:val="nil"/>
              <w:left w:val="nil"/>
              <w:bottom w:val="single" w:sz="8" w:space="0" w:color="auto"/>
              <w:right w:val="single" w:sz="8" w:space="0" w:color="auto"/>
            </w:tcBorders>
            <w:shd w:val="clear" w:color="auto" w:fill="auto"/>
            <w:vAlign w:val="center"/>
            <w:hideMark/>
          </w:tcPr>
          <w:p w14:paraId="26E856EC"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3A5B5F3F"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334AFFC8"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672720DF"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58</w:t>
            </w:r>
          </w:p>
        </w:tc>
        <w:tc>
          <w:tcPr>
            <w:tcW w:w="880" w:type="dxa"/>
            <w:tcBorders>
              <w:top w:val="nil"/>
              <w:left w:val="nil"/>
              <w:bottom w:val="single" w:sz="8" w:space="0" w:color="auto"/>
              <w:right w:val="single" w:sz="8" w:space="0" w:color="auto"/>
            </w:tcBorders>
            <w:shd w:val="clear" w:color="auto" w:fill="auto"/>
            <w:vAlign w:val="center"/>
            <w:hideMark/>
          </w:tcPr>
          <w:p w14:paraId="6325030C"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890.205.952</w:t>
            </w:r>
          </w:p>
        </w:tc>
        <w:tc>
          <w:tcPr>
            <w:tcW w:w="323" w:type="dxa"/>
            <w:tcBorders>
              <w:top w:val="nil"/>
              <w:left w:val="nil"/>
              <w:bottom w:val="single" w:sz="8" w:space="0" w:color="auto"/>
              <w:right w:val="single" w:sz="8" w:space="0" w:color="auto"/>
            </w:tcBorders>
            <w:shd w:val="clear" w:color="auto" w:fill="auto"/>
            <w:vAlign w:val="center"/>
            <w:hideMark/>
          </w:tcPr>
          <w:p w14:paraId="1DF2BCC0"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7</w:t>
            </w:r>
          </w:p>
        </w:tc>
        <w:tc>
          <w:tcPr>
            <w:tcW w:w="505" w:type="dxa"/>
            <w:tcBorders>
              <w:top w:val="nil"/>
              <w:left w:val="nil"/>
              <w:bottom w:val="single" w:sz="8" w:space="0" w:color="auto"/>
              <w:right w:val="single" w:sz="8" w:space="0" w:color="auto"/>
            </w:tcBorders>
            <w:shd w:val="clear" w:color="auto" w:fill="auto"/>
            <w:vAlign w:val="center"/>
            <w:hideMark/>
          </w:tcPr>
          <w:p w14:paraId="043FDFFB"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526</w:t>
            </w:r>
          </w:p>
        </w:tc>
        <w:tc>
          <w:tcPr>
            <w:tcW w:w="3498" w:type="dxa"/>
            <w:tcBorders>
              <w:top w:val="nil"/>
              <w:left w:val="nil"/>
              <w:bottom w:val="single" w:sz="8" w:space="0" w:color="auto"/>
              <w:right w:val="single" w:sz="8" w:space="0" w:color="auto"/>
            </w:tcBorders>
            <w:shd w:val="clear" w:color="auto" w:fill="auto"/>
            <w:vAlign w:val="center"/>
            <w:hideMark/>
          </w:tcPr>
          <w:p w14:paraId="21804593"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GAS NATURAL DEL ORIENTE SA ESP</w:t>
            </w:r>
          </w:p>
        </w:tc>
        <w:tc>
          <w:tcPr>
            <w:tcW w:w="1262" w:type="dxa"/>
            <w:tcBorders>
              <w:top w:val="nil"/>
              <w:left w:val="nil"/>
              <w:bottom w:val="single" w:sz="8" w:space="0" w:color="auto"/>
              <w:right w:val="single" w:sz="8" w:space="0" w:color="auto"/>
            </w:tcBorders>
            <w:shd w:val="clear" w:color="auto" w:fill="auto"/>
            <w:vAlign w:val="center"/>
            <w:hideMark/>
          </w:tcPr>
          <w:p w14:paraId="50F9E461"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1DBB3E1F"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151677E5"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5F43714C"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59</w:t>
            </w:r>
          </w:p>
        </w:tc>
        <w:tc>
          <w:tcPr>
            <w:tcW w:w="880" w:type="dxa"/>
            <w:tcBorders>
              <w:top w:val="nil"/>
              <w:left w:val="nil"/>
              <w:bottom w:val="single" w:sz="8" w:space="0" w:color="auto"/>
              <w:right w:val="single" w:sz="8" w:space="0" w:color="auto"/>
            </w:tcBorders>
            <w:shd w:val="clear" w:color="auto" w:fill="auto"/>
            <w:vAlign w:val="center"/>
            <w:hideMark/>
          </w:tcPr>
          <w:p w14:paraId="395E620D"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890.208.316</w:t>
            </w:r>
          </w:p>
        </w:tc>
        <w:tc>
          <w:tcPr>
            <w:tcW w:w="323" w:type="dxa"/>
            <w:tcBorders>
              <w:top w:val="nil"/>
              <w:left w:val="nil"/>
              <w:bottom w:val="single" w:sz="8" w:space="0" w:color="auto"/>
              <w:right w:val="single" w:sz="8" w:space="0" w:color="auto"/>
            </w:tcBorders>
            <w:shd w:val="clear" w:color="auto" w:fill="auto"/>
            <w:vAlign w:val="center"/>
            <w:hideMark/>
          </w:tcPr>
          <w:p w14:paraId="74E466B5"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6</w:t>
            </w:r>
          </w:p>
        </w:tc>
        <w:tc>
          <w:tcPr>
            <w:tcW w:w="505" w:type="dxa"/>
            <w:tcBorders>
              <w:top w:val="nil"/>
              <w:left w:val="nil"/>
              <w:bottom w:val="single" w:sz="8" w:space="0" w:color="auto"/>
              <w:right w:val="single" w:sz="8" w:space="0" w:color="auto"/>
            </w:tcBorders>
            <w:shd w:val="clear" w:color="auto" w:fill="auto"/>
            <w:vAlign w:val="center"/>
            <w:hideMark/>
          </w:tcPr>
          <w:p w14:paraId="794533B9"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1173</w:t>
            </w:r>
          </w:p>
        </w:tc>
        <w:tc>
          <w:tcPr>
            <w:tcW w:w="3498" w:type="dxa"/>
            <w:tcBorders>
              <w:top w:val="nil"/>
              <w:left w:val="nil"/>
              <w:bottom w:val="single" w:sz="8" w:space="0" w:color="auto"/>
              <w:right w:val="single" w:sz="8" w:space="0" w:color="auto"/>
            </w:tcBorders>
            <w:shd w:val="clear" w:color="auto" w:fill="auto"/>
            <w:vAlign w:val="center"/>
            <w:hideMark/>
          </w:tcPr>
          <w:p w14:paraId="6EDE37B7"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 xml:space="preserve">METROGAS DE COLOMBIA S.A. E.S.P. </w:t>
            </w:r>
          </w:p>
        </w:tc>
        <w:tc>
          <w:tcPr>
            <w:tcW w:w="1262" w:type="dxa"/>
            <w:tcBorders>
              <w:top w:val="nil"/>
              <w:left w:val="nil"/>
              <w:bottom w:val="single" w:sz="8" w:space="0" w:color="auto"/>
              <w:right w:val="single" w:sz="8" w:space="0" w:color="auto"/>
            </w:tcBorders>
            <w:shd w:val="clear" w:color="auto" w:fill="auto"/>
            <w:vAlign w:val="center"/>
            <w:hideMark/>
          </w:tcPr>
          <w:p w14:paraId="5E0C5CE4"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1B5488F2"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7606AA34" w14:textId="77777777" w:rsidTr="00AD4E79">
        <w:trPr>
          <w:trHeight w:val="342"/>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1A0246B7"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60</w:t>
            </w:r>
          </w:p>
        </w:tc>
        <w:tc>
          <w:tcPr>
            <w:tcW w:w="880" w:type="dxa"/>
            <w:tcBorders>
              <w:top w:val="nil"/>
              <w:left w:val="nil"/>
              <w:bottom w:val="single" w:sz="8" w:space="0" w:color="auto"/>
              <w:right w:val="single" w:sz="8" w:space="0" w:color="auto"/>
            </w:tcBorders>
            <w:shd w:val="clear" w:color="auto" w:fill="auto"/>
            <w:vAlign w:val="center"/>
            <w:hideMark/>
          </w:tcPr>
          <w:p w14:paraId="645F88A2"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890.400.869</w:t>
            </w:r>
          </w:p>
        </w:tc>
        <w:tc>
          <w:tcPr>
            <w:tcW w:w="323" w:type="dxa"/>
            <w:tcBorders>
              <w:top w:val="nil"/>
              <w:left w:val="nil"/>
              <w:bottom w:val="single" w:sz="8" w:space="0" w:color="auto"/>
              <w:right w:val="single" w:sz="8" w:space="0" w:color="auto"/>
            </w:tcBorders>
            <w:shd w:val="clear" w:color="auto" w:fill="auto"/>
            <w:vAlign w:val="center"/>
            <w:hideMark/>
          </w:tcPr>
          <w:p w14:paraId="4009AADC"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w:t>
            </w:r>
          </w:p>
        </w:tc>
        <w:tc>
          <w:tcPr>
            <w:tcW w:w="505" w:type="dxa"/>
            <w:tcBorders>
              <w:top w:val="nil"/>
              <w:left w:val="nil"/>
              <w:bottom w:val="single" w:sz="8" w:space="0" w:color="auto"/>
              <w:right w:val="single" w:sz="8" w:space="0" w:color="auto"/>
            </w:tcBorders>
            <w:shd w:val="clear" w:color="auto" w:fill="auto"/>
            <w:vAlign w:val="center"/>
            <w:hideMark/>
          </w:tcPr>
          <w:p w14:paraId="4DEC8500"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498</w:t>
            </w:r>
          </w:p>
        </w:tc>
        <w:tc>
          <w:tcPr>
            <w:tcW w:w="3498" w:type="dxa"/>
            <w:tcBorders>
              <w:top w:val="nil"/>
              <w:left w:val="nil"/>
              <w:bottom w:val="single" w:sz="8" w:space="0" w:color="auto"/>
              <w:right w:val="single" w:sz="8" w:space="0" w:color="auto"/>
            </w:tcBorders>
            <w:shd w:val="clear" w:color="auto" w:fill="auto"/>
            <w:vAlign w:val="center"/>
            <w:hideMark/>
          </w:tcPr>
          <w:p w14:paraId="05B72AFE"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 xml:space="preserve">SURTIDORA DE GAS DEL CARIBE S.A. EMPRESA DE SERVICIOS PUBLICOS </w:t>
            </w:r>
          </w:p>
        </w:tc>
        <w:tc>
          <w:tcPr>
            <w:tcW w:w="1262" w:type="dxa"/>
            <w:tcBorders>
              <w:top w:val="nil"/>
              <w:left w:val="nil"/>
              <w:bottom w:val="single" w:sz="8" w:space="0" w:color="auto"/>
              <w:right w:val="single" w:sz="8" w:space="0" w:color="auto"/>
            </w:tcBorders>
            <w:shd w:val="clear" w:color="auto" w:fill="auto"/>
            <w:vAlign w:val="center"/>
            <w:hideMark/>
          </w:tcPr>
          <w:p w14:paraId="5EF90B84"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133BBE78"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6FC9867D"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78BC77F6"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61</w:t>
            </w:r>
          </w:p>
        </w:tc>
        <w:tc>
          <w:tcPr>
            <w:tcW w:w="880" w:type="dxa"/>
            <w:tcBorders>
              <w:top w:val="nil"/>
              <w:left w:val="nil"/>
              <w:bottom w:val="single" w:sz="8" w:space="0" w:color="auto"/>
              <w:right w:val="single" w:sz="8" w:space="0" w:color="auto"/>
            </w:tcBorders>
            <w:shd w:val="clear" w:color="auto" w:fill="auto"/>
            <w:vAlign w:val="center"/>
            <w:hideMark/>
          </w:tcPr>
          <w:p w14:paraId="715307EF"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890.500.726</w:t>
            </w:r>
          </w:p>
        </w:tc>
        <w:tc>
          <w:tcPr>
            <w:tcW w:w="323" w:type="dxa"/>
            <w:tcBorders>
              <w:top w:val="nil"/>
              <w:left w:val="nil"/>
              <w:bottom w:val="single" w:sz="8" w:space="0" w:color="auto"/>
              <w:right w:val="single" w:sz="8" w:space="0" w:color="auto"/>
            </w:tcBorders>
            <w:shd w:val="clear" w:color="auto" w:fill="auto"/>
            <w:vAlign w:val="center"/>
            <w:hideMark/>
          </w:tcPr>
          <w:p w14:paraId="19644780"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3</w:t>
            </w:r>
          </w:p>
        </w:tc>
        <w:tc>
          <w:tcPr>
            <w:tcW w:w="505" w:type="dxa"/>
            <w:tcBorders>
              <w:top w:val="nil"/>
              <w:left w:val="nil"/>
              <w:bottom w:val="single" w:sz="8" w:space="0" w:color="auto"/>
              <w:right w:val="single" w:sz="8" w:space="0" w:color="auto"/>
            </w:tcBorders>
            <w:shd w:val="clear" w:color="auto" w:fill="auto"/>
            <w:vAlign w:val="center"/>
            <w:hideMark/>
          </w:tcPr>
          <w:p w14:paraId="3717ADBA"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522</w:t>
            </w:r>
          </w:p>
        </w:tc>
        <w:tc>
          <w:tcPr>
            <w:tcW w:w="3498" w:type="dxa"/>
            <w:tcBorders>
              <w:top w:val="nil"/>
              <w:left w:val="nil"/>
              <w:bottom w:val="single" w:sz="8" w:space="0" w:color="auto"/>
              <w:right w:val="single" w:sz="8" w:space="0" w:color="auto"/>
            </w:tcBorders>
            <w:shd w:val="clear" w:color="auto" w:fill="auto"/>
            <w:vAlign w:val="center"/>
            <w:hideMark/>
          </w:tcPr>
          <w:p w14:paraId="22708333"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NORTESANTANDEREANA DE GAS S.A. E.S.P.</w:t>
            </w:r>
          </w:p>
        </w:tc>
        <w:tc>
          <w:tcPr>
            <w:tcW w:w="1262" w:type="dxa"/>
            <w:tcBorders>
              <w:top w:val="nil"/>
              <w:left w:val="nil"/>
              <w:bottom w:val="single" w:sz="8" w:space="0" w:color="auto"/>
              <w:right w:val="single" w:sz="8" w:space="0" w:color="auto"/>
            </w:tcBorders>
            <w:shd w:val="clear" w:color="auto" w:fill="auto"/>
            <w:vAlign w:val="center"/>
            <w:hideMark/>
          </w:tcPr>
          <w:p w14:paraId="51661212"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53D00E82"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4AC6FC1F" w14:textId="77777777" w:rsidTr="00AD4E79">
        <w:trPr>
          <w:trHeight w:val="336"/>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21394D84"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62</w:t>
            </w:r>
          </w:p>
        </w:tc>
        <w:tc>
          <w:tcPr>
            <w:tcW w:w="880" w:type="dxa"/>
            <w:tcBorders>
              <w:top w:val="nil"/>
              <w:left w:val="nil"/>
              <w:bottom w:val="single" w:sz="8" w:space="0" w:color="auto"/>
              <w:right w:val="single" w:sz="8" w:space="0" w:color="auto"/>
            </w:tcBorders>
            <w:shd w:val="clear" w:color="auto" w:fill="auto"/>
            <w:vAlign w:val="center"/>
            <w:hideMark/>
          </w:tcPr>
          <w:p w14:paraId="2E5F8E35"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890.503.900</w:t>
            </w:r>
          </w:p>
        </w:tc>
        <w:tc>
          <w:tcPr>
            <w:tcW w:w="323" w:type="dxa"/>
            <w:tcBorders>
              <w:top w:val="nil"/>
              <w:left w:val="nil"/>
              <w:bottom w:val="single" w:sz="8" w:space="0" w:color="auto"/>
              <w:right w:val="single" w:sz="8" w:space="0" w:color="auto"/>
            </w:tcBorders>
            <w:shd w:val="clear" w:color="auto" w:fill="auto"/>
            <w:vAlign w:val="center"/>
            <w:hideMark/>
          </w:tcPr>
          <w:p w14:paraId="22DF4526"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w:t>
            </w:r>
          </w:p>
        </w:tc>
        <w:tc>
          <w:tcPr>
            <w:tcW w:w="505" w:type="dxa"/>
            <w:tcBorders>
              <w:top w:val="nil"/>
              <w:left w:val="nil"/>
              <w:bottom w:val="single" w:sz="8" w:space="0" w:color="auto"/>
              <w:right w:val="single" w:sz="8" w:space="0" w:color="auto"/>
            </w:tcBorders>
            <w:shd w:val="clear" w:color="auto" w:fill="auto"/>
            <w:vAlign w:val="center"/>
            <w:hideMark/>
          </w:tcPr>
          <w:p w14:paraId="6A6C77A0"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1302</w:t>
            </w:r>
          </w:p>
        </w:tc>
        <w:tc>
          <w:tcPr>
            <w:tcW w:w="3498" w:type="dxa"/>
            <w:tcBorders>
              <w:top w:val="nil"/>
              <w:left w:val="nil"/>
              <w:bottom w:val="single" w:sz="8" w:space="0" w:color="auto"/>
              <w:right w:val="single" w:sz="8" w:space="0" w:color="auto"/>
            </w:tcBorders>
            <w:shd w:val="clear" w:color="auto" w:fill="auto"/>
            <w:vAlign w:val="center"/>
            <w:hideMark/>
          </w:tcPr>
          <w:p w14:paraId="5E363780"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GASES DEL ORIENTE S.A.  EMPRESA DE SERVICIOS PUBLICOS DOMICILIARIOS</w:t>
            </w:r>
          </w:p>
        </w:tc>
        <w:tc>
          <w:tcPr>
            <w:tcW w:w="1262" w:type="dxa"/>
            <w:tcBorders>
              <w:top w:val="nil"/>
              <w:left w:val="nil"/>
              <w:bottom w:val="single" w:sz="8" w:space="0" w:color="auto"/>
              <w:right w:val="single" w:sz="8" w:space="0" w:color="auto"/>
            </w:tcBorders>
            <w:shd w:val="clear" w:color="auto" w:fill="auto"/>
            <w:vAlign w:val="center"/>
            <w:hideMark/>
          </w:tcPr>
          <w:p w14:paraId="60FC056F"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3F696EA8"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27CDADDB" w14:textId="77777777" w:rsidTr="00AD4E79">
        <w:trPr>
          <w:trHeight w:val="383"/>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4EC309FA"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63</w:t>
            </w:r>
          </w:p>
        </w:tc>
        <w:tc>
          <w:tcPr>
            <w:tcW w:w="880" w:type="dxa"/>
            <w:tcBorders>
              <w:top w:val="nil"/>
              <w:left w:val="nil"/>
              <w:bottom w:val="single" w:sz="8" w:space="0" w:color="auto"/>
              <w:right w:val="single" w:sz="8" w:space="0" w:color="auto"/>
            </w:tcBorders>
            <w:shd w:val="clear" w:color="auto" w:fill="auto"/>
            <w:vAlign w:val="center"/>
            <w:hideMark/>
          </w:tcPr>
          <w:p w14:paraId="2B62980F"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890.503.966</w:t>
            </w:r>
          </w:p>
        </w:tc>
        <w:tc>
          <w:tcPr>
            <w:tcW w:w="323" w:type="dxa"/>
            <w:tcBorders>
              <w:top w:val="nil"/>
              <w:left w:val="nil"/>
              <w:bottom w:val="single" w:sz="8" w:space="0" w:color="auto"/>
              <w:right w:val="single" w:sz="8" w:space="0" w:color="auto"/>
            </w:tcBorders>
            <w:shd w:val="clear" w:color="auto" w:fill="auto"/>
            <w:vAlign w:val="center"/>
            <w:hideMark/>
          </w:tcPr>
          <w:p w14:paraId="007041EF"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w:t>
            </w:r>
          </w:p>
        </w:tc>
        <w:tc>
          <w:tcPr>
            <w:tcW w:w="505" w:type="dxa"/>
            <w:tcBorders>
              <w:top w:val="nil"/>
              <w:left w:val="nil"/>
              <w:bottom w:val="single" w:sz="8" w:space="0" w:color="auto"/>
              <w:right w:val="single" w:sz="8" w:space="0" w:color="auto"/>
            </w:tcBorders>
            <w:shd w:val="clear" w:color="auto" w:fill="auto"/>
            <w:vAlign w:val="center"/>
            <w:hideMark/>
          </w:tcPr>
          <w:p w14:paraId="6D9E1010"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1681</w:t>
            </w:r>
          </w:p>
        </w:tc>
        <w:tc>
          <w:tcPr>
            <w:tcW w:w="3498" w:type="dxa"/>
            <w:tcBorders>
              <w:top w:val="nil"/>
              <w:left w:val="nil"/>
              <w:bottom w:val="single" w:sz="8" w:space="0" w:color="auto"/>
              <w:right w:val="single" w:sz="8" w:space="0" w:color="auto"/>
            </w:tcBorders>
            <w:shd w:val="clear" w:color="auto" w:fill="auto"/>
            <w:vAlign w:val="center"/>
            <w:hideMark/>
          </w:tcPr>
          <w:p w14:paraId="63DB3664"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LUSTRIGAS SOCIEDAD POR ACCIONES SIMPLIFICADA</w:t>
            </w:r>
          </w:p>
        </w:tc>
        <w:tc>
          <w:tcPr>
            <w:tcW w:w="1262" w:type="dxa"/>
            <w:tcBorders>
              <w:top w:val="nil"/>
              <w:left w:val="nil"/>
              <w:bottom w:val="single" w:sz="8" w:space="0" w:color="auto"/>
              <w:right w:val="single" w:sz="8" w:space="0" w:color="auto"/>
            </w:tcBorders>
            <w:shd w:val="clear" w:color="auto" w:fill="auto"/>
            <w:vAlign w:val="center"/>
            <w:hideMark/>
          </w:tcPr>
          <w:p w14:paraId="6BC27404"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1DE9A78E"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SIN REPORTE AL SUI</w:t>
            </w:r>
          </w:p>
        </w:tc>
      </w:tr>
      <w:tr w:rsidR="00AD4E79" w:rsidRPr="00AD4E79" w14:paraId="0BCB0F77"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1893780A"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64</w:t>
            </w:r>
          </w:p>
        </w:tc>
        <w:tc>
          <w:tcPr>
            <w:tcW w:w="880" w:type="dxa"/>
            <w:tcBorders>
              <w:top w:val="nil"/>
              <w:left w:val="nil"/>
              <w:bottom w:val="single" w:sz="8" w:space="0" w:color="auto"/>
              <w:right w:val="single" w:sz="8" w:space="0" w:color="auto"/>
            </w:tcBorders>
            <w:shd w:val="clear" w:color="auto" w:fill="auto"/>
            <w:vAlign w:val="center"/>
            <w:hideMark/>
          </w:tcPr>
          <w:p w14:paraId="6C70C410"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890.600.185</w:t>
            </w:r>
          </w:p>
        </w:tc>
        <w:tc>
          <w:tcPr>
            <w:tcW w:w="323" w:type="dxa"/>
            <w:tcBorders>
              <w:top w:val="nil"/>
              <w:left w:val="nil"/>
              <w:bottom w:val="single" w:sz="8" w:space="0" w:color="auto"/>
              <w:right w:val="single" w:sz="8" w:space="0" w:color="auto"/>
            </w:tcBorders>
            <w:shd w:val="clear" w:color="auto" w:fill="auto"/>
            <w:vAlign w:val="center"/>
            <w:hideMark/>
          </w:tcPr>
          <w:p w14:paraId="3D1E8F00"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w:t>
            </w:r>
          </w:p>
        </w:tc>
        <w:tc>
          <w:tcPr>
            <w:tcW w:w="505" w:type="dxa"/>
            <w:tcBorders>
              <w:top w:val="nil"/>
              <w:left w:val="nil"/>
              <w:bottom w:val="single" w:sz="8" w:space="0" w:color="auto"/>
              <w:right w:val="single" w:sz="8" w:space="0" w:color="auto"/>
            </w:tcBorders>
            <w:shd w:val="clear" w:color="auto" w:fill="auto"/>
            <w:vAlign w:val="center"/>
            <w:hideMark/>
          </w:tcPr>
          <w:p w14:paraId="5860D022"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1713</w:t>
            </w:r>
          </w:p>
        </w:tc>
        <w:tc>
          <w:tcPr>
            <w:tcW w:w="3498" w:type="dxa"/>
            <w:tcBorders>
              <w:top w:val="nil"/>
              <w:left w:val="nil"/>
              <w:bottom w:val="single" w:sz="8" w:space="0" w:color="auto"/>
              <w:right w:val="single" w:sz="8" w:space="0" w:color="auto"/>
            </w:tcBorders>
            <w:shd w:val="clear" w:color="auto" w:fill="auto"/>
            <w:vAlign w:val="center"/>
            <w:hideMark/>
          </w:tcPr>
          <w:p w14:paraId="151DA017"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INTERMUNICIPAL DE GAS S.A. E.S.P.</w:t>
            </w:r>
          </w:p>
        </w:tc>
        <w:tc>
          <w:tcPr>
            <w:tcW w:w="1262" w:type="dxa"/>
            <w:tcBorders>
              <w:top w:val="nil"/>
              <w:left w:val="nil"/>
              <w:bottom w:val="single" w:sz="8" w:space="0" w:color="auto"/>
              <w:right w:val="single" w:sz="8" w:space="0" w:color="auto"/>
            </w:tcBorders>
            <w:shd w:val="clear" w:color="auto" w:fill="auto"/>
            <w:vAlign w:val="center"/>
            <w:hideMark/>
          </w:tcPr>
          <w:p w14:paraId="2C934FE0"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2A6BFCB9"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2EACB506" w14:textId="77777777" w:rsidTr="00AD4E79">
        <w:trPr>
          <w:trHeight w:val="269"/>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081CFBEF"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65</w:t>
            </w:r>
          </w:p>
        </w:tc>
        <w:tc>
          <w:tcPr>
            <w:tcW w:w="880" w:type="dxa"/>
            <w:tcBorders>
              <w:top w:val="nil"/>
              <w:left w:val="nil"/>
              <w:bottom w:val="single" w:sz="8" w:space="0" w:color="auto"/>
              <w:right w:val="single" w:sz="8" w:space="0" w:color="auto"/>
            </w:tcBorders>
            <w:shd w:val="clear" w:color="auto" w:fill="auto"/>
            <w:vAlign w:val="center"/>
            <w:hideMark/>
          </w:tcPr>
          <w:p w14:paraId="5AF9C009"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890.701.766</w:t>
            </w:r>
          </w:p>
        </w:tc>
        <w:tc>
          <w:tcPr>
            <w:tcW w:w="323" w:type="dxa"/>
            <w:tcBorders>
              <w:top w:val="nil"/>
              <w:left w:val="nil"/>
              <w:bottom w:val="single" w:sz="8" w:space="0" w:color="auto"/>
              <w:right w:val="single" w:sz="8" w:space="0" w:color="auto"/>
            </w:tcBorders>
            <w:shd w:val="clear" w:color="auto" w:fill="auto"/>
            <w:vAlign w:val="center"/>
            <w:hideMark/>
          </w:tcPr>
          <w:p w14:paraId="3A490CA9"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0</w:t>
            </w:r>
          </w:p>
        </w:tc>
        <w:tc>
          <w:tcPr>
            <w:tcW w:w="505" w:type="dxa"/>
            <w:tcBorders>
              <w:top w:val="nil"/>
              <w:left w:val="nil"/>
              <w:bottom w:val="single" w:sz="8" w:space="0" w:color="auto"/>
              <w:right w:val="single" w:sz="8" w:space="0" w:color="auto"/>
            </w:tcBorders>
            <w:shd w:val="clear" w:color="auto" w:fill="auto"/>
            <w:vAlign w:val="center"/>
            <w:hideMark/>
          </w:tcPr>
          <w:p w14:paraId="1F777EBF"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1195</w:t>
            </w:r>
          </w:p>
        </w:tc>
        <w:tc>
          <w:tcPr>
            <w:tcW w:w="3498" w:type="dxa"/>
            <w:tcBorders>
              <w:top w:val="nil"/>
              <w:left w:val="nil"/>
              <w:bottom w:val="single" w:sz="8" w:space="0" w:color="auto"/>
              <w:right w:val="single" w:sz="8" w:space="0" w:color="auto"/>
            </w:tcBorders>
            <w:shd w:val="clear" w:color="auto" w:fill="auto"/>
            <w:vAlign w:val="center"/>
            <w:hideMark/>
          </w:tcPr>
          <w:p w14:paraId="46462693"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ENVASADORA DE GAS DE PUERTO SALGAR S.A. EMPRESA DE SERVICIOS PUBLICOS</w:t>
            </w:r>
          </w:p>
        </w:tc>
        <w:tc>
          <w:tcPr>
            <w:tcW w:w="1262" w:type="dxa"/>
            <w:tcBorders>
              <w:top w:val="nil"/>
              <w:left w:val="nil"/>
              <w:bottom w:val="single" w:sz="8" w:space="0" w:color="auto"/>
              <w:right w:val="single" w:sz="8" w:space="0" w:color="auto"/>
            </w:tcBorders>
            <w:shd w:val="clear" w:color="auto" w:fill="auto"/>
            <w:vAlign w:val="center"/>
            <w:hideMark/>
          </w:tcPr>
          <w:p w14:paraId="0C42B04B"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7571ED62"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7F039059"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32A97ABA"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66</w:t>
            </w:r>
          </w:p>
        </w:tc>
        <w:tc>
          <w:tcPr>
            <w:tcW w:w="880" w:type="dxa"/>
            <w:tcBorders>
              <w:top w:val="nil"/>
              <w:left w:val="nil"/>
              <w:bottom w:val="single" w:sz="8" w:space="0" w:color="auto"/>
              <w:right w:val="single" w:sz="8" w:space="0" w:color="auto"/>
            </w:tcBorders>
            <w:shd w:val="clear" w:color="auto" w:fill="auto"/>
            <w:vAlign w:val="center"/>
            <w:hideMark/>
          </w:tcPr>
          <w:p w14:paraId="2AD5F95A"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891.101.577</w:t>
            </w:r>
          </w:p>
        </w:tc>
        <w:tc>
          <w:tcPr>
            <w:tcW w:w="323" w:type="dxa"/>
            <w:tcBorders>
              <w:top w:val="nil"/>
              <w:left w:val="nil"/>
              <w:bottom w:val="single" w:sz="8" w:space="0" w:color="auto"/>
              <w:right w:val="single" w:sz="8" w:space="0" w:color="auto"/>
            </w:tcBorders>
            <w:shd w:val="clear" w:color="auto" w:fill="auto"/>
            <w:vAlign w:val="center"/>
            <w:hideMark/>
          </w:tcPr>
          <w:p w14:paraId="6DCBCBFB"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4</w:t>
            </w:r>
          </w:p>
        </w:tc>
        <w:tc>
          <w:tcPr>
            <w:tcW w:w="505" w:type="dxa"/>
            <w:tcBorders>
              <w:top w:val="nil"/>
              <w:left w:val="nil"/>
              <w:bottom w:val="single" w:sz="8" w:space="0" w:color="auto"/>
              <w:right w:val="single" w:sz="8" w:space="0" w:color="auto"/>
            </w:tcBorders>
            <w:shd w:val="clear" w:color="auto" w:fill="auto"/>
            <w:vAlign w:val="center"/>
            <w:hideMark/>
          </w:tcPr>
          <w:p w14:paraId="3E5D57AA"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618</w:t>
            </w:r>
          </w:p>
        </w:tc>
        <w:tc>
          <w:tcPr>
            <w:tcW w:w="3498" w:type="dxa"/>
            <w:tcBorders>
              <w:top w:val="nil"/>
              <w:left w:val="nil"/>
              <w:bottom w:val="single" w:sz="8" w:space="0" w:color="auto"/>
              <w:right w:val="single" w:sz="8" w:space="0" w:color="auto"/>
            </w:tcBorders>
            <w:shd w:val="clear" w:color="auto" w:fill="auto"/>
            <w:vAlign w:val="center"/>
            <w:hideMark/>
          </w:tcPr>
          <w:p w14:paraId="1DF8FBC9"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ALCANOS DE COLOMBIA S.A. E.S.P.</w:t>
            </w:r>
          </w:p>
        </w:tc>
        <w:tc>
          <w:tcPr>
            <w:tcW w:w="1262" w:type="dxa"/>
            <w:tcBorders>
              <w:top w:val="nil"/>
              <w:left w:val="nil"/>
              <w:bottom w:val="single" w:sz="8" w:space="0" w:color="auto"/>
              <w:right w:val="single" w:sz="8" w:space="0" w:color="auto"/>
            </w:tcBorders>
            <w:shd w:val="clear" w:color="auto" w:fill="auto"/>
            <w:vAlign w:val="center"/>
            <w:hideMark/>
          </w:tcPr>
          <w:p w14:paraId="73E01E7D"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77FEA4C2"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54302164" w14:textId="77777777" w:rsidTr="00AD4E79">
        <w:trPr>
          <w:trHeight w:val="465"/>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46C5997F"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67</w:t>
            </w:r>
          </w:p>
        </w:tc>
        <w:tc>
          <w:tcPr>
            <w:tcW w:w="880" w:type="dxa"/>
            <w:tcBorders>
              <w:top w:val="nil"/>
              <w:left w:val="nil"/>
              <w:bottom w:val="single" w:sz="8" w:space="0" w:color="auto"/>
              <w:right w:val="single" w:sz="8" w:space="0" w:color="auto"/>
            </w:tcBorders>
            <w:shd w:val="clear" w:color="auto" w:fill="auto"/>
            <w:vAlign w:val="center"/>
            <w:hideMark/>
          </w:tcPr>
          <w:p w14:paraId="259E7E05"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891.202.203</w:t>
            </w:r>
          </w:p>
        </w:tc>
        <w:tc>
          <w:tcPr>
            <w:tcW w:w="323" w:type="dxa"/>
            <w:tcBorders>
              <w:top w:val="nil"/>
              <w:left w:val="nil"/>
              <w:bottom w:val="single" w:sz="8" w:space="0" w:color="auto"/>
              <w:right w:val="single" w:sz="8" w:space="0" w:color="auto"/>
            </w:tcBorders>
            <w:shd w:val="clear" w:color="auto" w:fill="auto"/>
            <w:vAlign w:val="center"/>
            <w:hideMark/>
          </w:tcPr>
          <w:p w14:paraId="4C555A56"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w:t>
            </w:r>
          </w:p>
        </w:tc>
        <w:tc>
          <w:tcPr>
            <w:tcW w:w="505" w:type="dxa"/>
            <w:tcBorders>
              <w:top w:val="nil"/>
              <w:left w:val="nil"/>
              <w:bottom w:val="single" w:sz="8" w:space="0" w:color="auto"/>
              <w:right w:val="single" w:sz="8" w:space="0" w:color="auto"/>
            </w:tcBorders>
            <w:shd w:val="clear" w:color="auto" w:fill="auto"/>
            <w:vAlign w:val="center"/>
            <w:hideMark/>
          </w:tcPr>
          <w:p w14:paraId="01776AE4"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6026</w:t>
            </w:r>
          </w:p>
        </w:tc>
        <w:tc>
          <w:tcPr>
            <w:tcW w:w="3498" w:type="dxa"/>
            <w:tcBorders>
              <w:top w:val="nil"/>
              <w:left w:val="nil"/>
              <w:bottom w:val="single" w:sz="8" w:space="0" w:color="auto"/>
              <w:right w:val="single" w:sz="8" w:space="0" w:color="auto"/>
            </w:tcBorders>
            <w:shd w:val="clear" w:color="auto" w:fill="auto"/>
            <w:vAlign w:val="center"/>
            <w:hideMark/>
          </w:tcPr>
          <w:p w14:paraId="5D4C518B"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MONTAGAS S.A. EMPRESA DE SERVICIOS PÚBLICOS DOMICILIARIOS MONTAGAS SA E S P.</w:t>
            </w:r>
          </w:p>
        </w:tc>
        <w:tc>
          <w:tcPr>
            <w:tcW w:w="1262" w:type="dxa"/>
            <w:tcBorders>
              <w:top w:val="nil"/>
              <w:left w:val="nil"/>
              <w:bottom w:val="single" w:sz="8" w:space="0" w:color="auto"/>
              <w:right w:val="single" w:sz="8" w:space="0" w:color="auto"/>
            </w:tcBorders>
            <w:shd w:val="clear" w:color="auto" w:fill="auto"/>
            <w:vAlign w:val="center"/>
            <w:hideMark/>
          </w:tcPr>
          <w:p w14:paraId="53E11B7C"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7DE84F1E"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62BE09DC"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557DDDF5"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68</w:t>
            </w:r>
          </w:p>
        </w:tc>
        <w:tc>
          <w:tcPr>
            <w:tcW w:w="880" w:type="dxa"/>
            <w:tcBorders>
              <w:top w:val="nil"/>
              <w:left w:val="nil"/>
              <w:bottom w:val="single" w:sz="8" w:space="0" w:color="auto"/>
              <w:right w:val="single" w:sz="8" w:space="0" w:color="auto"/>
            </w:tcBorders>
            <w:shd w:val="clear" w:color="auto" w:fill="auto"/>
            <w:vAlign w:val="center"/>
            <w:hideMark/>
          </w:tcPr>
          <w:p w14:paraId="58B8D7AB"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891.300.973</w:t>
            </w:r>
          </w:p>
        </w:tc>
        <w:tc>
          <w:tcPr>
            <w:tcW w:w="323" w:type="dxa"/>
            <w:tcBorders>
              <w:top w:val="nil"/>
              <w:left w:val="nil"/>
              <w:bottom w:val="single" w:sz="8" w:space="0" w:color="auto"/>
              <w:right w:val="single" w:sz="8" w:space="0" w:color="auto"/>
            </w:tcBorders>
            <w:shd w:val="clear" w:color="auto" w:fill="auto"/>
            <w:vAlign w:val="center"/>
            <w:hideMark/>
          </w:tcPr>
          <w:p w14:paraId="4636A8E4"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w:t>
            </w:r>
          </w:p>
        </w:tc>
        <w:tc>
          <w:tcPr>
            <w:tcW w:w="505" w:type="dxa"/>
            <w:tcBorders>
              <w:top w:val="nil"/>
              <w:left w:val="nil"/>
              <w:bottom w:val="single" w:sz="8" w:space="0" w:color="auto"/>
              <w:right w:val="single" w:sz="8" w:space="0" w:color="auto"/>
            </w:tcBorders>
            <w:shd w:val="clear" w:color="auto" w:fill="auto"/>
            <w:vAlign w:val="center"/>
            <w:hideMark/>
          </w:tcPr>
          <w:p w14:paraId="39FA10A4"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1854</w:t>
            </w:r>
          </w:p>
        </w:tc>
        <w:tc>
          <w:tcPr>
            <w:tcW w:w="3498" w:type="dxa"/>
            <w:tcBorders>
              <w:top w:val="nil"/>
              <w:left w:val="nil"/>
              <w:bottom w:val="single" w:sz="8" w:space="0" w:color="auto"/>
              <w:right w:val="single" w:sz="8" w:space="0" w:color="auto"/>
            </w:tcBorders>
            <w:shd w:val="clear" w:color="auto" w:fill="auto"/>
            <w:vAlign w:val="center"/>
            <w:hideMark/>
          </w:tcPr>
          <w:p w14:paraId="495D26F0"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LIDAGAS S.A E.S.P.</w:t>
            </w:r>
          </w:p>
        </w:tc>
        <w:tc>
          <w:tcPr>
            <w:tcW w:w="1262" w:type="dxa"/>
            <w:tcBorders>
              <w:top w:val="nil"/>
              <w:left w:val="nil"/>
              <w:bottom w:val="single" w:sz="8" w:space="0" w:color="auto"/>
              <w:right w:val="single" w:sz="8" w:space="0" w:color="auto"/>
            </w:tcBorders>
            <w:shd w:val="clear" w:color="auto" w:fill="auto"/>
            <w:vAlign w:val="center"/>
            <w:hideMark/>
          </w:tcPr>
          <w:p w14:paraId="15ABAA58"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75B2ADAF"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34726961"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2F8D1D5B"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69</w:t>
            </w:r>
          </w:p>
        </w:tc>
        <w:tc>
          <w:tcPr>
            <w:tcW w:w="880" w:type="dxa"/>
            <w:tcBorders>
              <w:top w:val="nil"/>
              <w:left w:val="nil"/>
              <w:bottom w:val="single" w:sz="8" w:space="0" w:color="auto"/>
              <w:right w:val="single" w:sz="8" w:space="0" w:color="auto"/>
            </w:tcBorders>
            <w:shd w:val="clear" w:color="auto" w:fill="auto"/>
            <w:vAlign w:val="center"/>
            <w:hideMark/>
          </w:tcPr>
          <w:p w14:paraId="53ABFD21"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891.400.900</w:t>
            </w:r>
          </w:p>
        </w:tc>
        <w:tc>
          <w:tcPr>
            <w:tcW w:w="323" w:type="dxa"/>
            <w:tcBorders>
              <w:top w:val="nil"/>
              <w:left w:val="nil"/>
              <w:bottom w:val="single" w:sz="8" w:space="0" w:color="auto"/>
              <w:right w:val="single" w:sz="8" w:space="0" w:color="auto"/>
            </w:tcBorders>
            <w:shd w:val="clear" w:color="auto" w:fill="auto"/>
            <w:vAlign w:val="center"/>
            <w:hideMark/>
          </w:tcPr>
          <w:p w14:paraId="081AC95D"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3</w:t>
            </w:r>
          </w:p>
        </w:tc>
        <w:tc>
          <w:tcPr>
            <w:tcW w:w="505" w:type="dxa"/>
            <w:tcBorders>
              <w:top w:val="nil"/>
              <w:left w:val="nil"/>
              <w:bottom w:val="single" w:sz="8" w:space="0" w:color="auto"/>
              <w:right w:val="single" w:sz="8" w:space="0" w:color="auto"/>
            </w:tcBorders>
            <w:shd w:val="clear" w:color="auto" w:fill="auto"/>
            <w:vAlign w:val="center"/>
            <w:hideMark/>
          </w:tcPr>
          <w:p w14:paraId="06AB9742"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1564</w:t>
            </w:r>
          </w:p>
        </w:tc>
        <w:tc>
          <w:tcPr>
            <w:tcW w:w="3498" w:type="dxa"/>
            <w:tcBorders>
              <w:top w:val="nil"/>
              <w:left w:val="nil"/>
              <w:bottom w:val="single" w:sz="8" w:space="0" w:color="auto"/>
              <w:right w:val="single" w:sz="8" w:space="0" w:color="auto"/>
            </w:tcBorders>
            <w:shd w:val="clear" w:color="auto" w:fill="auto"/>
            <w:vAlign w:val="center"/>
            <w:hideMark/>
          </w:tcPr>
          <w:p w14:paraId="7FD6615D"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ELECTROGAS SA ESP</w:t>
            </w:r>
          </w:p>
        </w:tc>
        <w:tc>
          <w:tcPr>
            <w:tcW w:w="1262" w:type="dxa"/>
            <w:tcBorders>
              <w:top w:val="nil"/>
              <w:left w:val="nil"/>
              <w:bottom w:val="single" w:sz="8" w:space="0" w:color="auto"/>
              <w:right w:val="single" w:sz="8" w:space="0" w:color="auto"/>
            </w:tcBorders>
            <w:shd w:val="clear" w:color="auto" w:fill="auto"/>
            <w:vAlign w:val="center"/>
            <w:hideMark/>
          </w:tcPr>
          <w:p w14:paraId="5E623B4C"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7989BF07"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789DF7D0"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24416F34"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70</w:t>
            </w:r>
          </w:p>
        </w:tc>
        <w:tc>
          <w:tcPr>
            <w:tcW w:w="880" w:type="dxa"/>
            <w:tcBorders>
              <w:top w:val="nil"/>
              <w:left w:val="nil"/>
              <w:bottom w:val="single" w:sz="8" w:space="0" w:color="auto"/>
              <w:right w:val="single" w:sz="8" w:space="0" w:color="auto"/>
            </w:tcBorders>
            <w:shd w:val="clear" w:color="auto" w:fill="auto"/>
            <w:vAlign w:val="center"/>
            <w:hideMark/>
          </w:tcPr>
          <w:p w14:paraId="7D53E3DF"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891.800.082</w:t>
            </w:r>
          </w:p>
        </w:tc>
        <w:tc>
          <w:tcPr>
            <w:tcW w:w="323" w:type="dxa"/>
            <w:tcBorders>
              <w:top w:val="nil"/>
              <w:left w:val="nil"/>
              <w:bottom w:val="single" w:sz="8" w:space="0" w:color="auto"/>
              <w:right w:val="single" w:sz="8" w:space="0" w:color="auto"/>
            </w:tcBorders>
            <w:shd w:val="clear" w:color="auto" w:fill="auto"/>
            <w:vAlign w:val="center"/>
            <w:hideMark/>
          </w:tcPr>
          <w:p w14:paraId="1659D4E1"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w:t>
            </w:r>
          </w:p>
        </w:tc>
        <w:tc>
          <w:tcPr>
            <w:tcW w:w="505" w:type="dxa"/>
            <w:tcBorders>
              <w:top w:val="nil"/>
              <w:left w:val="nil"/>
              <w:bottom w:val="single" w:sz="8" w:space="0" w:color="auto"/>
              <w:right w:val="single" w:sz="8" w:space="0" w:color="auto"/>
            </w:tcBorders>
            <w:shd w:val="clear" w:color="auto" w:fill="auto"/>
            <w:vAlign w:val="center"/>
            <w:hideMark/>
          </w:tcPr>
          <w:p w14:paraId="0F4880C0"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1330</w:t>
            </w:r>
          </w:p>
        </w:tc>
        <w:tc>
          <w:tcPr>
            <w:tcW w:w="3498" w:type="dxa"/>
            <w:tcBorders>
              <w:top w:val="nil"/>
              <w:left w:val="nil"/>
              <w:bottom w:val="single" w:sz="8" w:space="0" w:color="auto"/>
              <w:right w:val="single" w:sz="8" w:space="0" w:color="auto"/>
            </w:tcBorders>
            <w:shd w:val="clear" w:color="auto" w:fill="auto"/>
            <w:vAlign w:val="center"/>
            <w:hideMark/>
          </w:tcPr>
          <w:p w14:paraId="6B800463"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GRANADOS GOMEZ Y CIA S.A.S E.</w:t>
            </w:r>
            <w:proofErr w:type="gramStart"/>
            <w:r w:rsidRPr="00AD4E79">
              <w:rPr>
                <w:rFonts w:ascii="Arial Narrow" w:hAnsi="Arial Narrow" w:cs="Arial"/>
                <w:spacing w:val="0"/>
                <w:sz w:val="16"/>
                <w:szCs w:val="16"/>
                <w:lang w:eastAsia="es-CO"/>
              </w:rPr>
              <w:t>S.P</w:t>
            </w:r>
            <w:proofErr w:type="gramEnd"/>
          </w:p>
        </w:tc>
        <w:tc>
          <w:tcPr>
            <w:tcW w:w="1262" w:type="dxa"/>
            <w:tcBorders>
              <w:top w:val="nil"/>
              <w:left w:val="nil"/>
              <w:bottom w:val="single" w:sz="8" w:space="0" w:color="auto"/>
              <w:right w:val="single" w:sz="8" w:space="0" w:color="auto"/>
            </w:tcBorders>
            <w:shd w:val="clear" w:color="auto" w:fill="auto"/>
            <w:vAlign w:val="center"/>
            <w:hideMark/>
          </w:tcPr>
          <w:p w14:paraId="29354479"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7B90AF31"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313F01A2" w14:textId="77777777" w:rsidTr="00AD4E79">
        <w:trPr>
          <w:trHeight w:val="367"/>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5F38E112"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71</w:t>
            </w:r>
          </w:p>
        </w:tc>
        <w:tc>
          <w:tcPr>
            <w:tcW w:w="880" w:type="dxa"/>
            <w:tcBorders>
              <w:top w:val="nil"/>
              <w:left w:val="nil"/>
              <w:bottom w:val="single" w:sz="8" w:space="0" w:color="auto"/>
              <w:right w:val="single" w:sz="8" w:space="0" w:color="auto"/>
            </w:tcBorders>
            <w:shd w:val="clear" w:color="auto" w:fill="auto"/>
            <w:vAlign w:val="center"/>
            <w:hideMark/>
          </w:tcPr>
          <w:p w14:paraId="241F48C8"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892.115.036</w:t>
            </w:r>
          </w:p>
        </w:tc>
        <w:tc>
          <w:tcPr>
            <w:tcW w:w="323" w:type="dxa"/>
            <w:tcBorders>
              <w:top w:val="nil"/>
              <w:left w:val="nil"/>
              <w:bottom w:val="single" w:sz="8" w:space="0" w:color="auto"/>
              <w:right w:val="single" w:sz="8" w:space="0" w:color="auto"/>
            </w:tcBorders>
            <w:shd w:val="clear" w:color="auto" w:fill="auto"/>
            <w:vAlign w:val="center"/>
            <w:hideMark/>
          </w:tcPr>
          <w:p w14:paraId="5F37E0F1"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6</w:t>
            </w:r>
          </w:p>
        </w:tc>
        <w:tc>
          <w:tcPr>
            <w:tcW w:w="505" w:type="dxa"/>
            <w:tcBorders>
              <w:top w:val="nil"/>
              <w:left w:val="nil"/>
              <w:bottom w:val="single" w:sz="8" w:space="0" w:color="auto"/>
              <w:right w:val="single" w:sz="8" w:space="0" w:color="auto"/>
            </w:tcBorders>
            <w:shd w:val="clear" w:color="auto" w:fill="auto"/>
            <w:vAlign w:val="center"/>
            <w:hideMark/>
          </w:tcPr>
          <w:p w14:paraId="7DBD77E8"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978</w:t>
            </w:r>
          </w:p>
        </w:tc>
        <w:tc>
          <w:tcPr>
            <w:tcW w:w="3498" w:type="dxa"/>
            <w:tcBorders>
              <w:top w:val="nil"/>
              <w:left w:val="nil"/>
              <w:bottom w:val="single" w:sz="8" w:space="0" w:color="auto"/>
              <w:right w:val="single" w:sz="8" w:space="0" w:color="auto"/>
            </w:tcBorders>
            <w:shd w:val="clear" w:color="auto" w:fill="auto"/>
            <w:vAlign w:val="center"/>
            <w:hideMark/>
          </w:tcPr>
          <w:p w14:paraId="68ADF0DF"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GASES DE LA GUAJIRA S.A., EMPRESA DE SERVICIOS PUBLICOS</w:t>
            </w:r>
          </w:p>
        </w:tc>
        <w:tc>
          <w:tcPr>
            <w:tcW w:w="1262" w:type="dxa"/>
            <w:tcBorders>
              <w:top w:val="nil"/>
              <w:left w:val="nil"/>
              <w:bottom w:val="single" w:sz="8" w:space="0" w:color="auto"/>
              <w:right w:val="single" w:sz="8" w:space="0" w:color="auto"/>
            </w:tcBorders>
            <w:shd w:val="clear" w:color="auto" w:fill="auto"/>
            <w:vAlign w:val="center"/>
            <w:hideMark/>
          </w:tcPr>
          <w:p w14:paraId="73FE82EF"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05F2088F"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2ACE2EF3"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592E79B8"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72</w:t>
            </w:r>
          </w:p>
        </w:tc>
        <w:tc>
          <w:tcPr>
            <w:tcW w:w="880" w:type="dxa"/>
            <w:tcBorders>
              <w:top w:val="nil"/>
              <w:left w:val="nil"/>
              <w:bottom w:val="single" w:sz="8" w:space="0" w:color="auto"/>
              <w:right w:val="single" w:sz="8" w:space="0" w:color="auto"/>
            </w:tcBorders>
            <w:shd w:val="clear" w:color="auto" w:fill="auto"/>
            <w:vAlign w:val="center"/>
            <w:hideMark/>
          </w:tcPr>
          <w:p w14:paraId="670067D3"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899.999.068</w:t>
            </w:r>
          </w:p>
        </w:tc>
        <w:tc>
          <w:tcPr>
            <w:tcW w:w="323" w:type="dxa"/>
            <w:tcBorders>
              <w:top w:val="nil"/>
              <w:left w:val="nil"/>
              <w:bottom w:val="single" w:sz="8" w:space="0" w:color="auto"/>
              <w:right w:val="single" w:sz="8" w:space="0" w:color="auto"/>
            </w:tcBorders>
            <w:shd w:val="clear" w:color="auto" w:fill="auto"/>
            <w:vAlign w:val="center"/>
            <w:hideMark/>
          </w:tcPr>
          <w:p w14:paraId="159BFDA5"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w:t>
            </w:r>
          </w:p>
        </w:tc>
        <w:tc>
          <w:tcPr>
            <w:tcW w:w="505" w:type="dxa"/>
            <w:tcBorders>
              <w:top w:val="nil"/>
              <w:left w:val="nil"/>
              <w:bottom w:val="single" w:sz="8" w:space="0" w:color="auto"/>
              <w:right w:val="single" w:sz="8" w:space="0" w:color="auto"/>
            </w:tcBorders>
            <w:shd w:val="clear" w:color="auto" w:fill="auto"/>
            <w:vAlign w:val="center"/>
            <w:hideMark/>
          </w:tcPr>
          <w:p w14:paraId="1C5E5D50"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3206</w:t>
            </w:r>
          </w:p>
        </w:tc>
        <w:tc>
          <w:tcPr>
            <w:tcW w:w="3498" w:type="dxa"/>
            <w:tcBorders>
              <w:top w:val="nil"/>
              <w:left w:val="nil"/>
              <w:bottom w:val="single" w:sz="8" w:space="0" w:color="auto"/>
              <w:right w:val="single" w:sz="8" w:space="0" w:color="auto"/>
            </w:tcBorders>
            <w:shd w:val="clear" w:color="auto" w:fill="auto"/>
            <w:vAlign w:val="center"/>
            <w:hideMark/>
          </w:tcPr>
          <w:p w14:paraId="6B2E8CA5"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ECOPETROL S.A.</w:t>
            </w:r>
          </w:p>
        </w:tc>
        <w:tc>
          <w:tcPr>
            <w:tcW w:w="1262" w:type="dxa"/>
            <w:tcBorders>
              <w:top w:val="nil"/>
              <w:left w:val="nil"/>
              <w:bottom w:val="single" w:sz="8" w:space="0" w:color="auto"/>
              <w:right w:val="single" w:sz="8" w:space="0" w:color="auto"/>
            </w:tcBorders>
            <w:shd w:val="clear" w:color="auto" w:fill="auto"/>
            <w:vAlign w:val="center"/>
            <w:hideMark/>
          </w:tcPr>
          <w:p w14:paraId="73D673D3"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0526566C"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2D4DF6FE"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42EBDF38"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73</w:t>
            </w:r>
          </w:p>
        </w:tc>
        <w:tc>
          <w:tcPr>
            <w:tcW w:w="880" w:type="dxa"/>
            <w:tcBorders>
              <w:top w:val="nil"/>
              <w:left w:val="nil"/>
              <w:bottom w:val="single" w:sz="8" w:space="0" w:color="auto"/>
              <w:right w:val="single" w:sz="8" w:space="0" w:color="auto"/>
            </w:tcBorders>
            <w:shd w:val="clear" w:color="auto" w:fill="auto"/>
            <w:vAlign w:val="center"/>
            <w:hideMark/>
          </w:tcPr>
          <w:p w14:paraId="6DDF30FF"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900.028.111</w:t>
            </w:r>
          </w:p>
        </w:tc>
        <w:tc>
          <w:tcPr>
            <w:tcW w:w="323" w:type="dxa"/>
            <w:tcBorders>
              <w:top w:val="nil"/>
              <w:left w:val="nil"/>
              <w:bottom w:val="single" w:sz="8" w:space="0" w:color="auto"/>
              <w:right w:val="single" w:sz="8" w:space="0" w:color="auto"/>
            </w:tcBorders>
            <w:shd w:val="clear" w:color="auto" w:fill="auto"/>
            <w:vAlign w:val="center"/>
            <w:hideMark/>
          </w:tcPr>
          <w:p w14:paraId="266795AF"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6</w:t>
            </w:r>
          </w:p>
        </w:tc>
        <w:tc>
          <w:tcPr>
            <w:tcW w:w="505" w:type="dxa"/>
            <w:tcBorders>
              <w:top w:val="nil"/>
              <w:left w:val="nil"/>
              <w:bottom w:val="single" w:sz="8" w:space="0" w:color="auto"/>
              <w:right w:val="single" w:sz="8" w:space="0" w:color="auto"/>
            </w:tcBorders>
            <w:shd w:val="clear" w:color="auto" w:fill="auto"/>
            <w:vAlign w:val="center"/>
            <w:hideMark/>
          </w:tcPr>
          <w:p w14:paraId="6EE6158A"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20420</w:t>
            </w:r>
          </w:p>
        </w:tc>
        <w:tc>
          <w:tcPr>
            <w:tcW w:w="3498" w:type="dxa"/>
            <w:tcBorders>
              <w:top w:val="nil"/>
              <w:left w:val="nil"/>
              <w:bottom w:val="single" w:sz="8" w:space="0" w:color="auto"/>
              <w:right w:val="single" w:sz="8" w:space="0" w:color="auto"/>
            </w:tcBorders>
            <w:shd w:val="clear" w:color="auto" w:fill="auto"/>
            <w:vAlign w:val="center"/>
            <w:hideMark/>
          </w:tcPr>
          <w:p w14:paraId="0BD54D77"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TURGAS S.A. E.S.P.</w:t>
            </w:r>
          </w:p>
        </w:tc>
        <w:tc>
          <w:tcPr>
            <w:tcW w:w="1262" w:type="dxa"/>
            <w:tcBorders>
              <w:top w:val="nil"/>
              <w:left w:val="nil"/>
              <w:bottom w:val="single" w:sz="8" w:space="0" w:color="auto"/>
              <w:right w:val="single" w:sz="8" w:space="0" w:color="auto"/>
            </w:tcBorders>
            <w:shd w:val="clear" w:color="auto" w:fill="auto"/>
            <w:vAlign w:val="center"/>
            <w:hideMark/>
          </w:tcPr>
          <w:p w14:paraId="11098B4D"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3631BDDF"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63191E10"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23094617"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74</w:t>
            </w:r>
          </w:p>
        </w:tc>
        <w:tc>
          <w:tcPr>
            <w:tcW w:w="880" w:type="dxa"/>
            <w:tcBorders>
              <w:top w:val="nil"/>
              <w:left w:val="nil"/>
              <w:bottom w:val="single" w:sz="8" w:space="0" w:color="auto"/>
              <w:right w:val="single" w:sz="8" w:space="0" w:color="auto"/>
            </w:tcBorders>
            <w:shd w:val="clear" w:color="auto" w:fill="auto"/>
            <w:vAlign w:val="center"/>
            <w:hideMark/>
          </w:tcPr>
          <w:p w14:paraId="35D2B5B3"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900.039.770</w:t>
            </w:r>
          </w:p>
        </w:tc>
        <w:tc>
          <w:tcPr>
            <w:tcW w:w="323" w:type="dxa"/>
            <w:tcBorders>
              <w:top w:val="nil"/>
              <w:left w:val="nil"/>
              <w:bottom w:val="single" w:sz="8" w:space="0" w:color="auto"/>
              <w:right w:val="single" w:sz="8" w:space="0" w:color="auto"/>
            </w:tcBorders>
            <w:shd w:val="clear" w:color="auto" w:fill="auto"/>
            <w:vAlign w:val="center"/>
            <w:hideMark/>
          </w:tcPr>
          <w:p w14:paraId="6F916998"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7</w:t>
            </w:r>
          </w:p>
        </w:tc>
        <w:tc>
          <w:tcPr>
            <w:tcW w:w="505" w:type="dxa"/>
            <w:tcBorders>
              <w:top w:val="nil"/>
              <w:left w:val="nil"/>
              <w:bottom w:val="single" w:sz="8" w:space="0" w:color="auto"/>
              <w:right w:val="single" w:sz="8" w:space="0" w:color="auto"/>
            </w:tcBorders>
            <w:shd w:val="clear" w:color="auto" w:fill="auto"/>
            <w:vAlign w:val="center"/>
            <w:hideMark/>
          </w:tcPr>
          <w:p w14:paraId="388CD6B1"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38641</w:t>
            </w:r>
          </w:p>
        </w:tc>
        <w:tc>
          <w:tcPr>
            <w:tcW w:w="3498" w:type="dxa"/>
            <w:tcBorders>
              <w:top w:val="nil"/>
              <w:left w:val="nil"/>
              <w:bottom w:val="single" w:sz="8" w:space="0" w:color="auto"/>
              <w:right w:val="single" w:sz="8" w:space="0" w:color="auto"/>
            </w:tcBorders>
            <w:shd w:val="clear" w:color="auto" w:fill="auto"/>
            <w:vAlign w:val="center"/>
            <w:hideMark/>
          </w:tcPr>
          <w:p w14:paraId="0E15227D"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VERA GAS SAS ESP</w:t>
            </w:r>
          </w:p>
        </w:tc>
        <w:tc>
          <w:tcPr>
            <w:tcW w:w="1262" w:type="dxa"/>
            <w:tcBorders>
              <w:top w:val="nil"/>
              <w:left w:val="nil"/>
              <w:bottom w:val="single" w:sz="8" w:space="0" w:color="auto"/>
              <w:right w:val="single" w:sz="8" w:space="0" w:color="auto"/>
            </w:tcBorders>
            <w:shd w:val="clear" w:color="auto" w:fill="auto"/>
            <w:vAlign w:val="center"/>
            <w:hideMark/>
          </w:tcPr>
          <w:p w14:paraId="5BD8D53F"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2879C8CD"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29106E45"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55A3317D"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75</w:t>
            </w:r>
          </w:p>
        </w:tc>
        <w:tc>
          <w:tcPr>
            <w:tcW w:w="880" w:type="dxa"/>
            <w:tcBorders>
              <w:top w:val="nil"/>
              <w:left w:val="nil"/>
              <w:bottom w:val="single" w:sz="8" w:space="0" w:color="auto"/>
              <w:right w:val="single" w:sz="8" w:space="0" w:color="auto"/>
            </w:tcBorders>
            <w:shd w:val="clear" w:color="auto" w:fill="auto"/>
            <w:vAlign w:val="center"/>
            <w:hideMark/>
          </w:tcPr>
          <w:p w14:paraId="70AE74E7"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900.052.841</w:t>
            </w:r>
          </w:p>
        </w:tc>
        <w:tc>
          <w:tcPr>
            <w:tcW w:w="323" w:type="dxa"/>
            <w:tcBorders>
              <w:top w:val="nil"/>
              <w:left w:val="nil"/>
              <w:bottom w:val="single" w:sz="8" w:space="0" w:color="auto"/>
              <w:right w:val="single" w:sz="8" w:space="0" w:color="auto"/>
            </w:tcBorders>
            <w:shd w:val="clear" w:color="auto" w:fill="auto"/>
            <w:vAlign w:val="center"/>
            <w:hideMark/>
          </w:tcPr>
          <w:p w14:paraId="6FC7C2B8"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5</w:t>
            </w:r>
          </w:p>
        </w:tc>
        <w:tc>
          <w:tcPr>
            <w:tcW w:w="505" w:type="dxa"/>
            <w:tcBorders>
              <w:top w:val="nil"/>
              <w:left w:val="nil"/>
              <w:bottom w:val="single" w:sz="8" w:space="0" w:color="auto"/>
              <w:right w:val="single" w:sz="8" w:space="0" w:color="auto"/>
            </w:tcBorders>
            <w:shd w:val="clear" w:color="auto" w:fill="auto"/>
            <w:vAlign w:val="center"/>
            <w:hideMark/>
          </w:tcPr>
          <w:p w14:paraId="5D85EFF9"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20510</w:t>
            </w:r>
          </w:p>
        </w:tc>
        <w:tc>
          <w:tcPr>
            <w:tcW w:w="3498" w:type="dxa"/>
            <w:tcBorders>
              <w:top w:val="nil"/>
              <w:left w:val="nil"/>
              <w:bottom w:val="single" w:sz="8" w:space="0" w:color="auto"/>
              <w:right w:val="single" w:sz="8" w:space="0" w:color="auto"/>
            </w:tcBorders>
            <w:shd w:val="clear" w:color="auto" w:fill="auto"/>
            <w:vAlign w:val="center"/>
            <w:hideMark/>
          </w:tcPr>
          <w:p w14:paraId="76540948"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CITYGAS COLOMBIA S.A. ESP.</w:t>
            </w:r>
          </w:p>
        </w:tc>
        <w:tc>
          <w:tcPr>
            <w:tcW w:w="1262" w:type="dxa"/>
            <w:tcBorders>
              <w:top w:val="nil"/>
              <w:left w:val="nil"/>
              <w:bottom w:val="single" w:sz="8" w:space="0" w:color="auto"/>
              <w:right w:val="single" w:sz="8" w:space="0" w:color="auto"/>
            </w:tcBorders>
            <w:shd w:val="clear" w:color="auto" w:fill="auto"/>
            <w:vAlign w:val="center"/>
            <w:hideMark/>
          </w:tcPr>
          <w:p w14:paraId="10F50998"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237DB834"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4EA0BF0C"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76631C90"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76</w:t>
            </w:r>
          </w:p>
        </w:tc>
        <w:tc>
          <w:tcPr>
            <w:tcW w:w="880" w:type="dxa"/>
            <w:tcBorders>
              <w:top w:val="nil"/>
              <w:left w:val="nil"/>
              <w:bottom w:val="single" w:sz="8" w:space="0" w:color="auto"/>
              <w:right w:val="single" w:sz="8" w:space="0" w:color="auto"/>
            </w:tcBorders>
            <w:shd w:val="clear" w:color="auto" w:fill="auto"/>
            <w:vAlign w:val="center"/>
            <w:hideMark/>
          </w:tcPr>
          <w:p w14:paraId="534BB5CD"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900.067.743</w:t>
            </w:r>
          </w:p>
        </w:tc>
        <w:tc>
          <w:tcPr>
            <w:tcW w:w="323" w:type="dxa"/>
            <w:tcBorders>
              <w:top w:val="nil"/>
              <w:left w:val="nil"/>
              <w:bottom w:val="single" w:sz="8" w:space="0" w:color="auto"/>
              <w:right w:val="single" w:sz="8" w:space="0" w:color="auto"/>
            </w:tcBorders>
            <w:shd w:val="clear" w:color="auto" w:fill="auto"/>
            <w:vAlign w:val="center"/>
            <w:hideMark/>
          </w:tcPr>
          <w:p w14:paraId="1A8A4C1F"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7</w:t>
            </w:r>
          </w:p>
        </w:tc>
        <w:tc>
          <w:tcPr>
            <w:tcW w:w="505" w:type="dxa"/>
            <w:tcBorders>
              <w:top w:val="nil"/>
              <w:left w:val="nil"/>
              <w:bottom w:val="single" w:sz="8" w:space="0" w:color="auto"/>
              <w:right w:val="single" w:sz="8" w:space="0" w:color="auto"/>
            </w:tcBorders>
            <w:shd w:val="clear" w:color="auto" w:fill="auto"/>
            <w:vAlign w:val="center"/>
            <w:hideMark/>
          </w:tcPr>
          <w:p w14:paraId="46970226"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27531</w:t>
            </w:r>
          </w:p>
        </w:tc>
        <w:tc>
          <w:tcPr>
            <w:tcW w:w="3498" w:type="dxa"/>
            <w:tcBorders>
              <w:top w:val="nil"/>
              <w:left w:val="nil"/>
              <w:bottom w:val="single" w:sz="8" w:space="0" w:color="auto"/>
              <w:right w:val="single" w:sz="8" w:space="0" w:color="auto"/>
            </w:tcBorders>
            <w:shd w:val="clear" w:color="auto" w:fill="auto"/>
            <w:vAlign w:val="center"/>
            <w:hideMark/>
          </w:tcPr>
          <w:p w14:paraId="2A3A512F"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OPERACION ENERGIA Y GAS S.A.S. ESP</w:t>
            </w:r>
          </w:p>
        </w:tc>
        <w:tc>
          <w:tcPr>
            <w:tcW w:w="1262" w:type="dxa"/>
            <w:tcBorders>
              <w:top w:val="nil"/>
              <w:left w:val="nil"/>
              <w:bottom w:val="single" w:sz="8" w:space="0" w:color="auto"/>
              <w:right w:val="single" w:sz="8" w:space="0" w:color="auto"/>
            </w:tcBorders>
            <w:shd w:val="clear" w:color="auto" w:fill="auto"/>
            <w:vAlign w:val="center"/>
            <w:hideMark/>
          </w:tcPr>
          <w:p w14:paraId="1A4948B3"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0876BF97"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SIN REPORTE AL SUI</w:t>
            </w:r>
          </w:p>
        </w:tc>
      </w:tr>
      <w:tr w:rsidR="00AD4E79" w:rsidRPr="00AD4E79" w14:paraId="50BB49AC"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07CE1C3C"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77</w:t>
            </w:r>
          </w:p>
        </w:tc>
        <w:tc>
          <w:tcPr>
            <w:tcW w:w="880" w:type="dxa"/>
            <w:tcBorders>
              <w:top w:val="nil"/>
              <w:left w:val="nil"/>
              <w:bottom w:val="single" w:sz="8" w:space="0" w:color="auto"/>
              <w:right w:val="single" w:sz="8" w:space="0" w:color="auto"/>
            </w:tcBorders>
            <w:shd w:val="clear" w:color="auto" w:fill="auto"/>
            <w:vAlign w:val="center"/>
            <w:hideMark/>
          </w:tcPr>
          <w:p w14:paraId="091DDA5B"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900.089.276</w:t>
            </w:r>
          </w:p>
        </w:tc>
        <w:tc>
          <w:tcPr>
            <w:tcW w:w="323" w:type="dxa"/>
            <w:tcBorders>
              <w:top w:val="nil"/>
              <w:left w:val="nil"/>
              <w:bottom w:val="single" w:sz="8" w:space="0" w:color="auto"/>
              <w:right w:val="single" w:sz="8" w:space="0" w:color="auto"/>
            </w:tcBorders>
            <w:shd w:val="clear" w:color="auto" w:fill="auto"/>
            <w:vAlign w:val="center"/>
            <w:hideMark/>
          </w:tcPr>
          <w:p w14:paraId="594E7D25"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3</w:t>
            </w:r>
          </w:p>
        </w:tc>
        <w:tc>
          <w:tcPr>
            <w:tcW w:w="505" w:type="dxa"/>
            <w:tcBorders>
              <w:top w:val="nil"/>
              <w:left w:val="nil"/>
              <w:bottom w:val="single" w:sz="8" w:space="0" w:color="auto"/>
              <w:right w:val="single" w:sz="8" w:space="0" w:color="auto"/>
            </w:tcBorders>
            <w:shd w:val="clear" w:color="auto" w:fill="auto"/>
            <w:vAlign w:val="center"/>
            <w:hideMark/>
          </w:tcPr>
          <w:p w14:paraId="3323D51A"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29191</w:t>
            </w:r>
          </w:p>
        </w:tc>
        <w:tc>
          <w:tcPr>
            <w:tcW w:w="3498" w:type="dxa"/>
            <w:tcBorders>
              <w:top w:val="nil"/>
              <w:left w:val="nil"/>
              <w:bottom w:val="single" w:sz="8" w:space="0" w:color="auto"/>
              <w:right w:val="single" w:sz="8" w:space="0" w:color="auto"/>
            </w:tcBorders>
            <w:shd w:val="clear" w:color="auto" w:fill="auto"/>
            <w:vAlign w:val="center"/>
            <w:hideMark/>
          </w:tcPr>
          <w:p w14:paraId="00B30610"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 xml:space="preserve">LEWIS ENERGY COLOMBIA INC </w:t>
            </w:r>
          </w:p>
        </w:tc>
        <w:tc>
          <w:tcPr>
            <w:tcW w:w="1262" w:type="dxa"/>
            <w:tcBorders>
              <w:top w:val="nil"/>
              <w:left w:val="nil"/>
              <w:bottom w:val="single" w:sz="8" w:space="0" w:color="auto"/>
              <w:right w:val="single" w:sz="8" w:space="0" w:color="auto"/>
            </w:tcBorders>
            <w:shd w:val="clear" w:color="auto" w:fill="auto"/>
            <w:vAlign w:val="center"/>
            <w:hideMark/>
          </w:tcPr>
          <w:p w14:paraId="6EFC4F74"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60810575"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08201EBA"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3C06221A"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78</w:t>
            </w:r>
          </w:p>
        </w:tc>
        <w:tc>
          <w:tcPr>
            <w:tcW w:w="880" w:type="dxa"/>
            <w:tcBorders>
              <w:top w:val="nil"/>
              <w:left w:val="nil"/>
              <w:bottom w:val="single" w:sz="8" w:space="0" w:color="auto"/>
              <w:right w:val="single" w:sz="8" w:space="0" w:color="auto"/>
            </w:tcBorders>
            <w:shd w:val="clear" w:color="auto" w:fill="auto"/>
            <w:vAlign w:val="center"/>
            <w:hideMark/>
          </w:tcPr>
          <w:p w14:paraId="52571862"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900.089.898</w:t>
            </w:r>
          </w:p>
        </w:tc>
        <w:tc>
          <w:tcPr>
            <w:tcW w:w="323" w:type="dxa"/>
            <w:tcBorders>
              <w:top w:val="nil"/>
              <w:left w:val="nil"/>
              <w:bottom w:val="single" w:sz="8" w:space="0" w:color="auto"/>
              <w:right w:val="single" w:sz="8" w:space="0" w:color="auto"/>
            </w:tcBorders>
            <w:shd w:val="clear" w:color="auto" w:fill="auto"/>
            <w:vAlign w:val="center"/>
            <w:hideMark/>
          </w:tcPr>
          <w:p w14:paraId="724F58BE"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4</w:t>
            </w:r>
          </w:p>
        </w:tc>
        <w:tc>
          <w:tcPr>
            <w:tcW w:w="505" w:type="dxa"/>
            <w:tcBorders>
              <w:top w:val="nil"/>
              <w:left w:val="nil"/>
              <w:bottom w:val="single" w:sz="8" w:space="0" w:color="auto"/>
              <w:right w:val="single" w:sz="8" w:space="0" w:color="auto"/>
            </w:tcBorders>
            <w:shd w:val="clear" w:color="auto" w:fill="auto"/>
            <w:vAlign w:val="center"/>
            <w:hideMark/>
          </w:tcPr>
          <w:p w14:paraId="690C5580"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24963</w:t>
            </w:r>
          </w:p>
        </w:tc>
        <w:tc>
          <w:tcPr>
            <w:tcW w:w="3498" w:type="dxa"/>
            <w:tcBorders>
              <w:top w:val="nil"/>
              <w:left w:val="nil"/>
              <w:bottom w:val="single" w:sz="8" w:space="0" w:color="auto"/>
              <w:right w:val="single" w:sz="8" w:space="0" w:color="auto"/>
            </w:tcBorders>
            <w:shd w:val="clear" w:color="auto" w:fill="auto"/>
            <w:vAlign w:val="center"/>
            <w:hideMark/>
          </w:tcPr>
          <w:p w14:paraId="1938FFAC"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GAS SUPERIOR DE COLOMBIA SA ESP</w:t>
            </w:r>
          </w:p>
        </w:tc>
        <w:tc>
          <w:tcPr>
            <w:tcW w:w="1262" w:type="dxa"/>
            <w:tcBorders>
              <w:top w:val="nil"/>
              <w:left w:val="nil"/>
              <w:bottom w:val="single" w:sz="8" w:space="0" w:color="auto"/>
              <w:right w:val="single" w:sz="8" w:space="0" w:color="auto"/>
            </w:tcBorders>
            <w:shd w:val="clear" w:color="auto" w:fill="auto"/>
            <w:vAlign w:val="center"/>
            <w:hideMark/>
          </w:tcPr>
          <w:p w14:paraId="3AB519BD"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50A94099"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SIN REPORTE AL SUI</w:t>
            </w:r>
          </w:p>
        </w:tc>
      </w:tr>
      <w:tr w:rsidR="00AD4E79" w:rsidRPr="00AD4E79" w14:paraId="3507659F" w14:textId="77777777" w:rsidTr="00AD4E79">
        <w:trPr>
          <w:trHeight w:val="359"/>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534783AF"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79</w:t>
            </w:r>
          </w:p>
        </w:tc>
        <w:tc>
          <w:tcPr>
            <w:tcW w:w="880" w:type="dxa"/>
            <w:tcBorders>
              <w:top w:val="nil"/>
              <w:left w:val="nil"/>
              <w:bottom w:val="single" w:sz="8" w:space="0" w:color="auto"/>
              <w:right w:val="single" w:sz="8" w:space="0" w:color="auto"/>
            </w:tcBorders>
            <w:shd w:val="clear" w:color="auto" w:fill="auto"/>
            <w:vAlign w:val="center"/>
            <w:hideMark/>
          </w:tcPr>
          <w:p w14:paraId="7993C0AA"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900.090.229</w:t>
            </w:r>
          </w:p>
        </w:tc>
        <w:tc>
          <w:tcPr>
            <w:tcW w:w="323" w:type="dxa"/>
            <w:tcBorders>
              <w:top w:val="nil"/>
              <w:left w:val="nil"/>
              <w:bottom w:val="single" w:sz="8" w:space="0" w:color="auto"/>
              <w:right w:val="single" w:sz="8" w:space="0" w:color="auto"/>
            </w:tcBorders>
            <w:shd w:val="clear" w:color="auto" w:fill="auto"/>
            <w:vAlign w:val="center"/>
            <w:hideMark/>
          </w:tcPr>
          <w:p w14:paraId="34532FC5"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w:t>
            </w:r>
          </w:p>
        </w:tc>
        <w:tc>
          <w:tcPr>
            <w:tcW w:w="505" w:type="dxa"/>
            <w:tcBorders>
              <w:top w:val="nil"/>
              <w:left w:val="nil"/>
              <w:bottom w:val="single" w:sz="8" w:space="0" w:color="auto"/>
              <w:right w:val="single" w:sz="8" w:space="0" w:color="auto"/>
            </w:tcBorders>
            <w:shd w:val="clear" w:color="auto" w:fill="auto"/>
            <w:vAlign w:val="center"/>
            <w:hideMark/>
          </w:tcPr>
          <w:p w14:paraId="765C75B3"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26207</w:t>
            </w:r>
          </w:p>
        </w:tc>
        <w:tc>
          <w:tcPr>
            <w:tcW w:w="3498" w:type="dxa"/>
            <w:tcBorders>
              <w:top w:val="nil"/>
              <w:left w:val="nil"/>
              <w:bottom w:val="single" w:sz="8" w:space="0" w:color="auto"/>
              <w:right w:val="single" w:sz="8" w:space="0" w:color="auto"/>
            </w:tcBorders>
            <w:shd w:val="clear" w:color="auto" w:fill="auto"/>
            <w:vAlign w:val="center"/>
            <w:hideMark/>
          </w:tcPr>
          <w:p w14:paraId="541C4BC3"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MC2 SOCIEDAD POR ACCIONES SIMPLIFICADA EMPRESA DE SERVICIOS PUBLICOS</w:t>
            </w:r>
          </w:p>
        </w:tc>
        <w:tc>
          <w:tcPr>
            <w:tcW w:w="1262" w:type="dxa"/>
            <w:tcBorders>
              <w:top w:val="nil"/>
              <w:left w:val="nil"/>
              <w:bottom w:val="single" w:sz="8" w:space="0" w:color="auto"/>
              <w:right w:val="single" w:sz="8" w:space="0" w:color="auto"/>
            </w:tcBorders>
            <w:shd w:val="clear" w:color="auto" w:fill="auto"/>
            <w:vAlign w:val="center"/>
            <w:hideMark/>
          </w:tcPr>
          <w:p w14:paraId="5C935BDE"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1C38404C"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SIN REPORTE AL SUI</w:t>
            </w:r>
          </w:p>
        </w:tc>
      </w:tr>
      <w:tr w:rsidR="00AD4E79" w:rsidRPr="00AD4E79" w14:paraId="289580F2"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77D25F92"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80</w:t>
            </w:r>
          </w:p>
        </w:tc>
        <w:tc>
          <w:tcPr>
            <w:tcW w:w="880" w:type="dxa"/>
            <w:tcBorders>
              <w:top w:val="nil"/>
              <w:left w:val="nil"/>
              <w:bottom w:val="single" w:sz="8" w:space="0" w:color="auto"/>
              <w:right w:val="single" w:sz="8" w:space="0" w:color="auto"/>
            </w:tcBorders>
            <w:shd w:val="clear" w:color="auto" w:fill="auto"/>
            <w:vAlign w:val="center"/>
            <w:hideMark/>
          </w:tcPr>
          <w:p w14:paraId="5CA969EF"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900.100.553</w:t>
            </w:r>
          </w:p>
        </w:tc>
        <w:tc>
          <w:tcPr>
            <w:tcW w:w="323" w:type="dxa"/>
            <w:tcBorders>
              <w:top w:val="nil"/>
              <w:left w:val="nil"/>
              <w:bottom w:val="single" w:sz="8" w:space="0" w:color="auto"/>
              <w:right w:val="single" w:sz="8" w:space="0" w:color="auto"/>
            </w:tcBorders>
            <w:shd w:val="clear" w:color="auto" w:fill="auto"/>
            <w:vAlign w:val="center"/>
            <w:hideMark/>
          </w:tcPr>
          <w:p w14:paraId="6A51E670"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5</w:t>
            </w:r>
          </w:p>
        </w:tc>
        <w:tc>
          <w:tcPr>
            <w:tcW w:w="505" w:type="dxa"/>
            <w:tcBorders>
              <w:top w:val="nil"/>
              <w:left w:val="nil"/>
              <w:bottom w:val="single" w:sz="8" w:space="0" w:color="auto"/>
              <w:right w:val="single" w:sz="8" w:space="0" w:color="auto"/>
            </w:tcBorders>
            <w:shd w:val="clear" w:color="auto" w:fill="auto"/>
            <w:vAlign w:val="center"/>
            <w:hideMark/>
          </w:tcPr>
          <w:p w14:paraId="6302571D"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21002</w:t>
            </w:r>
          </w:p>
        </w:tc>
        <w:tc>
          <w:tcPr>
            <w:tcW w:w="3498" w:type="dxa"/>
            <w:tcBorders>
              <w:top w:val="nil"/>
              <w:left w:val="nil"/>
              <w:bottom w:val="single" w:sz="8" w:space="0" w:color="auto"/>
              <w:right w:val="single" w:sz="8" w:space="0" w:color="auto"/>
            </w:tcBorders>
            <w:shd w:val="clear" w:color="auto" w:fill="auto"/>
            <w:vAlign w:val="center"/>
            <w:hideMark/>
          </w:tcPr>
          <w:p w14:paraId="6BD4DA1C"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COINOGAS S.A. E.</w:t>
            </w:r>
            <w:proofErr w:type="gramStart"/>
            <w:r w:rsidRPr="00AD4E79">
              <w:rPr>
                <w:rFonts w:ascii="Arial Narrow" w:hAnsi="Arial Narrow" w:cs="Arial"/>
                <w:spacing w:val="0"/>
                <w:sz w:val="16"/>
                <w:szCs w:val="16"/>
                <w:lang w:eastAsia="es-CO"/>
              </w:rPr>
              <w:t>S.P</w:t>
            </w:r>
            <w:proofErr w:type="gramEnd"/>
          </w:p>
        </w:tc>
        <w:tc>
          <w:tcPr>
            <w:tcW w:w="1262" w:type="dxa"/>
            <w:tcBorders>
              <w:top w:val="nil"/>
              <w:left w:val="nil"/>
              <w:bottom w:val="single" w:sz="8" w:space="0" w:color="auto"/>
              <w:right w:val="single" w:sz="8" w:space="0" w:color="auto"/>
            </w:tcBorders>
            <w:shd w:val="clear" w:color="auto" w:fill="auto"/>
            <w:vAlign w:val="center"/>
            <w:hideMark/>
          </w:tcPr>
          <w:p w14:paraId="5FC0578F"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70EBFEA9"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61A67C01" w14:textId="77777777" w:rsidTr="00AD4E79">
        <w:trPr>
          <w:trHeight w:val="359"/>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0A809EF5"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81</w:t>
            </w:r>
          </w:p>
        </w:tc>
        <w:tc>
          <w:tcPr>
            <w:tcW w:w="880" w:type="dxa"/>
            <w:tcBorders>
              <w:top w:val="nil"/>
              <w:left w:val="nil"/>
              <w:bottom w:val="single" w:sz="8" w:space="0" w:color="auto"/>
              <w:right w:val="single" w:sz="8" w:space="0" w:color="auto"/>
            </w:tcBorders>
            <w:shd w:val="clear" w:color="auto" w:fill="auto"/>
            <w:vAlign w:val="center"/>
            <w:hideMark/>
          </w:tcPr>
          <w:p w14:paraId="035EC4B8"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900.103.542</w:t>
            </w:r>
          </w:p>
        </w:tc>
        <w:tc>
          <w:tcPr>
            <w:tcW w:w="323" w:type="dxa"/>
            <w:tcBorders>
              <w:top w:val="nil"/>
              <w:left w:val="nil"/>
              <w:bottom w:val="single" w:sz="8" w:space="0" w:color="auto"/>
              <w:right w:val="single" w:sz="8" w:space="0" w:color="auto"/>
            </w:tcBorders>
            <w:shd w:val="clear" w:color="auto" w:fill="auto"/>
            <w:vAlign w:val="center"/>
            <w:hideMark/>
          </w:tcPr>
          <w:p w14:paraId="65AD84A8"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w:t>
            </w:r>
          </w:p>
        </w:tc>
        <w:tc>
          <w:tcPr>
            <w:tcW w:w="505" w:type="dxa"/>
            <w:tcBorders>
              <w:top w:val="nil"/>
              <w:left w:val="nil"/>
              <w:bottom w:val="single" w:sz="8" w:space="0" w:color="auto"/>
              <w:right w:val="single" w:sz="8" w:space="0" w:color="auto"/>
            </w:tcBorders>
            <w:shd w:val="clear" w:color="auto" w:fill="auto"/>
            <w:vAlign w:val="center"/>
            <w:hideMark/>
          </w:tcPr>
          <w:p w14:paraId="4CC71B9D"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22488</w:t>
            </w:r>
          </w:p>
        </w:tc>
        <w:tc>
          <w:tcPr>
            <w:tcW w:w="3498" w:type="dxa"/>
            <w:tcBorders>
              <w:top w:val="nil"/>
              <w:left w:val="nil"/>
              <w:bottom w:val="single" w:sz="8" w:space="0" w:color="auto"/>
              <w:right w:val="single" w:sz="8" w:space="0" w:color="auto"/>
            </w:tcBorders>
            <w:shd w:val="clear" w:color="auto" w:fill="auto"/>
            <w:vAlign w:val="center"/>
            <w:hideMark/>
          </w:tcPr>
          <w:p w14:paraId="0D7B362C"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GNI GAS NATURAL INDUSTRIAL DE COLOMBIA S.A.S. E.S.P.</w:t>
            </w:r>
          </w:p>
        </w:tc>
        <w:tc>
          <w:tcPr>
            <w:tcW w:w="1262" w:type="dxa"/>
            <w:tcBorders>
              <w:top w:val="nil"/>
              <w:left w:val="nil"/>
              <w:bottom w:val="single" w:sz="8" w:space="0" w:color="auto"/>
              <w:right w:val="single" w:sz="8" w:space="0" w:color="auto"/>
            </w:tcBorders>
            <w:shd w:val="clear" w:color="auto" w:fill="auto"/>
            <w:vAlign w:val="center"/>
            <w:hideMark/>
          </w:tcPr>
          <w:p w14:paraId="4AD9EB2F"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25204291"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6CECE4E5"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4AF02F91"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lastRenderedPageBreak/>
              <w:t>82</w:t>
            </w:r>
          </w:p>
        </w:tc>
        <w:tc>
          <w:tcPr>
            <w:tcW w:w="880" w:type="dxa"/>
            <w:tcBorders>
              <w:top w:val="nil"/>
              <w:left w:val="nil"/>
              <w:bottom w:val="single" w:sz="8" w:space="0" w:color="auto"/>
              <w:right w:val="single" w:sz="8" w:space="0" w:color="auto"/>
            </w:tcBorders>
            <w:shd w:val="clear" w:color="auto" w:fill="auto"/>
            <w:vAlign w:val="center"/>
            <w:hideMark/>
          </w:tcPr>
          <w:p w14:paraId="7B5DBB84"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900.112.515</w:t>
            </w:r>
          </w:p>
        </w:tc>
        <w:tc>
          <w:tcPr>
            <w:tcW w:w="323" w:type="dxa"/>
            <w:tcBorders>
              <w:top w:val="nil"/>
              <w:left w:val="nil"/>
              <w:bottom w:val="single" w:sz="8" w:space="0" w:color="auto"/>
              <w:right w:val="single" w:sz="8" w:space="0" w:color="auto"/>
            </w:tcBorders>
            <w:shd w:val="clear" w:color="auto" w:fill="auto"/>
            <w:vAlign w:val="center"/>
            <w:hideMark/>
          </w:tcPr>
          <w:p w14:paraId="55EFC218"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7</w:t>
            </w:r>
          </w:p>
        </w:tc>
        <w:tc>
          <w:tcPr>
            <w:tcW w:w="505" w:type="dxa"/>
            <w:tcBorders>
              <w:top w:val="nil"/>
              <w:left w:val="nil"/>
              <w:bottom w:val="single" w:sz="8" w:space="0" w:color="auto"/>
              <w:right w:val="single" w:sz="8" w:space="0" w:color="auto"/>
            </w:tcBorders>
            <w:shd w:val="clear" w:color="auto" w:fill="auto"/>
            <w:vAlign w:val="center"/>
            <w:hideMark/>
          </w:tcPr>
          <w:p w14:paraId="69F5F865"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21870</w:t>
            </w:r>
          </w:p>
        </w:tc>
        <w:tc>
          <w:tcPr>
            <w:tcW w:w="3498" w:type="dxa"/>
            <w:tcBorders>
              <w:top w:val="nil"/>
              <w:left w:val="nil"/>
              <w:bottom w:val="single" w:sz="8" w:space="0" w:color="auto"/>
              <w:right w:val="single" w:sz="8" w:space="0" w:color="auto"/>
            </w:tcBorders>
            <w:shd w:val="clear" w:color="auto" w:fill="auto"/>
            <w:vAlign w:val="center"/>
            <w:hideMark/>
          </w:tcPr>
          <w:p w14:paraId="1C472731"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REFINERIA DE CARTAGENA S.A.S</w:t>
            </w:r>
          </w:p>
        </w:tc>
        <w:tc>
          <w:tcPr>
            <w:tcW w:w="1262" w:type="dxa"/>
            <w:tcBorders>
              <w:top w:val="nil"/>
              <w:left w:val="nil"/>
              <w:bottom w:val="single" w:sz="8" w:space="0" w:color="auto"/>
              <w:right w:val="single" w:sz="8" w:space="0" w:color="auto"/>
            </w:tcBorders>
            <w:shd w:val="clear" w:color="auto" w:fill="auto"/>
            <w:vAlign w:val="center"/>
            <w:hideMark/>
          </w:tcPr>
          <w:p w14:paraId="70B736E0"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3FC1126E"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50783529"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57160459"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83</w:t>
            </w:r>
          </w:p>
        </w:tc>
        <w:tc>
          <w:tcPr>
            <w:tcW w:w="880" w:type="dxa"/>
            <w:tcBorders>
              <w:top w:val="nil"/>
              <w:left w:val="nil"/>
              <w:bottom w:val="single" w:sz="8" w:space="0" w:color="auto"/>
              <w:right w:val="single" w:sz="8" w:space="0" w:color="auto"/>
            </w:tcBorders>
            <w:shd w:val="clear" w:color="auto" w:fill="auto"/>
            <w:vAlign w:val="center"/>
            <w:hideMark/>
          </w:tcPr>
          <w:p w14:paraId="02B1BE8D"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900.120.534</w:t>
            </w:r>
          </w:p>
        </w:tc>
        <w:tc>
          <w:tcPr>
            <w:tcW w:w="323" w:type="dxa"/>
            <w:tcBorders>
              <w:top w:val="nil"/>
              <w:left w:val="nil"/>
              <w:bottom w:val="single" w:sz="8" w:space="0" w:color="auto"/>
              <w:right w:val="single" w:sz="8" w:space="0" w:color="auto"/>
            </w:tcBorders>
            <w:shd w:val="clear" w:color="auto" w:fill="auto"/>
            <w:vAlign w:val="center"/>
            <w:hideMark/>
          </w:tcPr>
          <w:p w14:paraId="77E7D021"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0</w:t>
            </w:r>
          </w:p>
        </w:tc>
        <w:tc>
          <w:tcPr>
            <w:tcW w:w="505" w:type="dxa"/>
            <w:tcBorders>
              <w:top w:val="nil"/>
              <w:left w:val="nil"/>
              <w:bottom w:val="single" w:sz="8" w:space="0" w:color="auto"/>
              <w:right w:val="single" w:sz="8" w:space="0" w:color="auto"/>
            </w:tcBorders>
            <w:shd w:val="clear" w:color="auto" w:fill="auto"/>
            <w:vAlign w:val="center"/>
            <w:hideMark/>
          </w:tcPr>
          <w:p w14:paraId="132888F1"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21578</w:t>
            </w:r>
          </w:p>
        </w:tc>
        <w:tc>
          <w:tcPr>
            <w:tcW w:w="3498" w:type="dxa"/>
            <w:tcBorders>
              <w:top w:val="nil"/>
              <w:left w:val="nil"/>
              <w:bottom w:val="single" w:sz="8" w:space="0" w:color="auto"/>
              <w:right w:val="single" w:sz="8" w:space="0" w:color="auto"/>
            </w:tcBorders>
            <w:shd w:val="clear" w:color="auto" w:fill="auto"/>
            <w:vAlign w:val="center"/>
            <w:hideMark/>
          </w:tcPr>
          <w:p w14:paraId="151A2ED7"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ESP DIGASPRO SA</w:t>
            </w:r>
          </w:p>
        </w:tc>
        <w:tc>
          <w:tcPr>
            <w:tcW w:w="1262" w:type="dxa"/>
            <w:tcBorders>
              <w:top w:val="nil"/>
              <w:left w:val="nil"/>
              <w:bottom w:val="single" w:sz="8" w:space="0" w:color="auto"/>
              <w:right w:val="single" w:sz="8" w:space="0" w:color="auto"/>
            </w:tcBorders>
            <w:shd w:val="clear" w:color="auto" w:fill="auto"/>
            <w:vAlign w:val="center"/>
            <w:hideMark/>
          </w:tcPr>
          <w:p w14:paraId="2883A4CE"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5D563D3D"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SIN REPORTE AL SUI</w:t>
            </w:r>
          </w:p>
        </w:tc>
      </w:tr>
      <w:tr w:rsidR="00AD4E79" w:rsidRPr="00AD4E79" w14:paraId="645F5D1A" w14:textId="77777777" w:rsidTr="00AD4E79">
        <w:trPr>
          <w:trHeight w:val="411"/>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2E9C443B"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84</w:t>
            </w:r>
          </w:p>
        </w:tc>
        <w:tc>
          <w:tcPr>
            <w:tcW w:w="880" w:type="dxa"/>
            <w:tcBorders>
              <w:top w:val="nil"/>
              <w:left w:val="nil"/>
              <w:bottom w:val="single" w:sz="8" w:space="0" w:color="auto"/>
              <w:right w:val="single" w:sz="8" w:space="0" w:color="auto"/>
            </w:tcBorders>
            <w:shd w:val="clear" w:color="auto" w:fill="auto"/>
            <w:vAlign w:val="center"/>
            <w:hideMark/>
          </w:tcPr>
          <w:p w14:paraId="3BF25936"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900.134.459</w:t>
            </w:r>
          </w:p>
        </w:tc>
        <w:tc>
          <w:tcPr>
            <w:tcW w:w="323" w:type="dxa"/>
            <w:tcBorders>
              <w:top w:val="nil"/>
              <w:left w:val="nil"/>
              <w:bottom w:val="single" w:sz="8" w:space="0" w:color="auto"/>
              <w:right w:val="single" w:sz="8" w:space="0" w:color="auto"/>
            </w:tcBorders>
            <w:shd w:val="clear" w:color="auto" w:fill="auto"/>
            <w:vAlign w:val="center"/>
            <w:hideMark/>
          </w:tcPr>
          <w:p w14:paraId="5B5534EC"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7</w:t>
            </w:r>
          </w:p>
        </w:tc>
        <w:tc>
          <w:tcPr>
            <w:tcW w:w="505" w:type="dxa"/>
            <w:tcBorders>
              <w:top w:val="nil"/>
              <w:left w:val="nil"/>
              <w:bottom w:val="single" w:sz="8" w:space="0" w:color="auto"/>
              <w:right w:val="single" w:sz="8" w:space="0" w:color="auto"/>
            </w:tcBorders>
            <w:shd w:val="clear" w:color="auto" w:fill="auto"/>
            <w:vAlign w:val="center"/>
            <w:hideMark/>
          </w:tcPr>
          <w:p w14:paraId="6EDC266F"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21643</w:t>
            </w:r>
          </w:p>
        </w:tc>
        <w:tc>
          <w:tcPr>
            <w:tcW w:w="3498" w:type="dxa"/>
            <w:tcBorders>
              <w:top w:val="nil"/>
              <w:left w:val="nil"/>
              <w:bottom w:val="single" w:sz="8" w:space="0" w:color="auto"/>
              <w:right w:val="single" w:sz="8" w:space="0" w:color="auto"/>
            </w:tcBorders>
            <w:shd w:val="clear" w:color="auto" w:fill="auto"/>
            <w:vAlign w:val="center"/>
            <w:hideMark/>
          </w:tcPr>
          <w:p w14:paraId="0EBB7553"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TRANSPORTADORA DE GAS INTERNACIONAL S.A. E.S.P.</w:t>
            </w:r>
          </w:p>
        </w:tc>
        <w:tc>
          <w:tcPr>
            <w:tcW w:w="1262" w:type="dxa"/>
            <w:tcBorders>
              <w:top w:val="nil"/>
              <w:left w:val="nil"/>
              <w:bottom w:val="single" w:sz="8" w:space="0" w:color="auto"/>
              <w:right w:val="single" w:sz="8" w:space="0" w:color="auto"/>
            </w:tcBorders>
            <w:shd w:val="clear" w:color="auto" w:fill="auto"/>
            <w:vAlign w:val="center"/>
            <w:hideMark/>
          </w:tcPr>
          <w:p w14:paraId="4890B483"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7269EABE"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0B01A682"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3983A5CF"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85</w:t>
            </w:r>
          </w:p>
        </w:tc>
        <w:tc>
          <w:tcPr>
            <w:tcW w:w="880" w:type="dxa"/>
            <w:tcBorders>
              <w:top w:val="nil"/>
              <w:left w:val="nil"/>
              <w:bottom w:val="single" w:sz="8" w:space="0" w:color="auto"/>
              <w:right w:val="single" w:sz="8" w:space="0" w:color="auto"/>
            </w:tcBorders>
            <w:shd w:val="clear" w:color="auto" w:fill="auto"/>
            <w:vAlign w:val="center"/>
            <w:hideMark/>
          </w:tcPr>
          <w:p w14:paraId="0A7CB73E"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900.155.624</w:t>
            </w:r>
          </w:p>
        </w:tc>
        <w:tc>
          <w:tcPr>
            <w:tcW w:w="323" w:type="dxa"/>
            <w:tcBorders>
              <w:top w:val="nil"/>
              <w:left w:val="nil"/>
              <w:bottom w:val="single" w:sz="8" w:space="0" w:color="auto"/>
              <w:right w:val="single" w:sz="8" w:space="0" w:color="auto"/>
            </w:tcBorders>
            <w:shd w:val="clear" w:color="auto" w:fill="auto"/>
            <w:vAlign w:val="center"/>
            <w:hideMark/>
          </w:tcPr>
          <w:p w14:paraId="6D8E6C1C"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6</w:t>
            </w:r>
          </w:p>
        </w:tc>
        <w:tc>
          <w:tcPr>
            <w:tcW w:w="505" w:type="dxa"/>
            <w:tcBorders>
              <w:top w:val="nil"/>
              <w:left w:val="nil"/>
              <w:bottom w:val="single" w:sz="8" w:space="0" w:color="auto"/>
              <w:right w:val="single" w:sz="8" w:space="0" w:color="auto"/>
            </w:tcBorders>
            <w:shd w:val="clear" w:color="auto" w:fill="auto"/>
            <w:vAlign w:val="center"/>
            <w:hideMark/>
          </w:tcPr>
          <w:p w14:paraId="0BD65CEB"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44217</w:t>
            </w:r>
          </w:p>
        </w:tc>
        <w:tc>
          <w:tcPr>
            <w:tcW w:w="3498" w:type="dxa"/>
            <w:tcBorders>
              <w:top w:val="nil"/>
              <w:left w:val="nil"/>
              <w:bottom w:val="single" w:sz="8" w:space="0" w:color="auto"/>
              <w:right w:val="single" w:sz="8" w:space="0" w:color="auto"/>
            </w:tcBorders>
            <w:shd w:val="clear" w:color="auto" w:fill="auto"/>
            <w:vAlign w:val="center"/>
            <w:hideMark/>
          </w:tcPr>
          <w:p w14:paraId="39B768D5"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A&amp;A ENERGY SAS ESP</w:t>
            </w:r>
          </w:p>
        </w:tc>
        <w:tc>
          <w:tcPr>
            <w:tcW w:w="1262" w:type="dxa"/>
            <w:tcBorders>
              <w:top w:val="nil"/>
              <w:left w:val="nil"/>
              <w:bottom w:val="single" w:sz="8" w:space="0" w:color="auto"/>
              <w:right w:val="single" w:sz="8" w:space="0" w:color="auto"/>
            </w:tcBorders>
            <w:shd w:val="clear" w:color="auto" w:fill="auto"/>
            <w:vAlign w:val="center"/>
            <w:hideMark/>
          </w:tcPr>
          <w:p w14:paraId="4C3D7577"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6CD03802"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SIN REPORTE AL SUI</w:t>
            </w:r>
          </w:p>
        </w:tc>
      </w:tr>
      <w:tr w:rsidR="00AD4E79" w:rsidRPr="00AD4E79" w14:paraId="6C39FF60"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595D6D6A"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86</w:t>
            </w:r>
          </w:p>
        </w:tc>
        <w:tc>
          <w:tcPr>
            <w:tcW w:w="880" w:type="dxa"/>
            <w:tcBorders>
              <w:top w:val="nil"/>
              <w:left w:val="nil"/>
              <w:bottom w:val="single" w:sz="8" w:space="0" w:color="auto"/>
              <w:right w:val="single" w:sz="8" w:space="0" w:color="auto"/>
            </w:tcBorders>
            <w:shd w:val="clear" w:color="auto" w:fill="auto"/>
            <w:vAlign w:val="center"/>
            <w:hideMark/>
          </w:tcPr>
          <w:p w14:paraId="703B7171"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900.167.770</w:t>
            </w:r>
          </w:p>
        </w:tc>
        <w:tc>
          <w:tcPr>
            <w:tcW w:w="323" w:type="dxa"/>
            <w:tcBorders>
              <w:top w:val="nil"/>
              <w:left w:val="nil"/>
              <w:bottom w:val="single" w:sz="8" w:space="0" w:color="auto"/>
              <w:right w:val="single" w:sz="8" w:space="0" w:color="auto"/>
            </w:tcBorders>
            <w:shd w:val="clear" w:color="auto" w:fill="auto"/>
            <w:vAlign w:val="center"/>
            <w:hideMark/>
          </w:tcPr>
          <w:p w14:paraId="337BF882"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5</w:t>
            </w:r>
          </w:p>
        </w:tc>
        <w:tc>
          <w:tcPr>
            <w:tcW w:w="505" w:type="dxa"/>
            <w:tcBorders>
              <w:top w:val="nil"/>
              <w:left w:val="nil"/>
              <w:bottom w:val="single" w:sz="8" w:space="0" w:color="auto"/>
              <w:right w:val="single" w:sz="8" w:space="0" w:color="auto"/>
            </w:tcBorders>
            <w:shd w:val="clear" w:color="auto" w:fill="auto"/>
            <w:vAlign w:val="center"/>
            <w:hideMark/>
          </w:tcPr>
          <w:p w14:paraId="35F961D4"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22167</w:t>
            </w:r>
          </w:p>
        </w:tc>
        <w:tc>
          <w:tcPr>
            <w:tcW w:w="3498" w:type="dxa"/>
            <w:tcBorders>
              <w:top w:val="nil"/>
              <w:left w:val="nil"/>
              <w:bottom w:val="single" w:sz="8" w:space="0" w:color="auto"/>
              <w:right w:val="single" w:sz="8" w:space="0" w:color="auto"/>
            </w:tcBorders>
            <w:shd w:val="clear" w:color="auto" w:fill="auto"/>
            <w:vAlign w:val="center"/>
            <w:hideMark/>
          </w:tcPr>
          <w:p w14:paraId="3B2ACA3F"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ROSCOGAS S.A. E.</w:t>
            </w:r>
            <w:proofErr w:type="gramStart"/>
            <w:r w:rsidRPr="00AD4E79">
              <w:rPr>
                <w:rFonts w:ascii="Arial Narrow" w:hAnsi="Arial Narrow" w:cs="Arial"/>
                <w:spacing w:val="0"/>
                <w:sz w:val="16"/>
                <w:szCs w:val="16"/>
                <w:lang w:eastAsia="es-CO"/>
              </w:rPr>
              <w:t>S.P</w:t>
            </w:r>
            <w:proofErr w:type="gramEnd"/>
          </w:p>
        </w:tc>
        <w:tc>
          <w:tcPr>
            <w:tcW w:w="1262" w:type="dxa"/>
            <w:tcBorders>
              <w:top w:val="nil"/>
              <w:left w:val="nil"/>
              <w:bottom w:val="single" w:sz="8" w:space="0" w:color="auto"/>
              <w:right w:val="single" w:sz="8" w:space="0" w:color="auto"/>
            </w:tcBorders>
            <w:shd w:val="clear" w:color="auto" w:fill="auto"/>
            <w:vAlign w:val="center"/>
            <w:hideMark/>
          </w:tcPr>
          <w:p w14:paraId="739DB09F"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038DA685"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SIN REPORTE AL SUI</w:t>
            </w:r>
          </w:p>
        </w:tc>
      </w:tr>
      <w:tr w:rsidR="00AD4E79" w:rsidRPr="00AD4E79" w14:paraId="1507F139" w14:textId="77777777" w:rsidTr="00AD4E79">
        <w:trPr>
          <w:trHeight w:val="248"/>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0806F586"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87</w:t>
            </w:r>
          </w:p>
        </w:tc>
        <w:tc>
          <w:tcPr>
            <w:tcW w:w="880" w:type="dxa"/>
            <w:tcBorders>
              <w:top w:val="nil"/>
              <w:left w:val="nil"/>
              <w:bottom w:val="single" w:sz="8" w:space="0" w:color="auto"/>
              <w:right w:val="single" w:sz="8" w:space="0" w:color="auto"/>
            </w:tcBorders>
            <w:shd w:val="clear" w:color="auto" w:fill="auto"/>
            <w:vAlign w:val="center"/>
            <w:hideMark/>
          </w:tcPr>
          <w:p w14:paraId="0E05BBAC"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900.175.830</w:t>
            </w:r>
          </w:p>
        </w:tc>
        <w:tc>
          <w:tcPr>
            <w:tcW w:w="323" w:type="dxa"/>
            <w:tcBorders>
              <w:top w:val="nil"/>
              <w:left w:val="nil"/>
              <w:bottom w:val="single" w:sz="8" w:space="0" w:color="auto"/>
              <w:right w:val="single" w:sz="8" w:space="0" w:color="auto"/>
            </w:tcBorders>
            <w:shd w:val="clear" w:color="auto" w:fill="auto"/>
            <w:vAlign w:val="center"/>
            <w:hideMark/>
          </w:tcPr>
          <w:p w14:paraId="0CFD6C7C"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w:t>
            </w:r>
          </w:p>
        </w:tc>
        <w:tc>
          <w:tcPr>
            <w:tcW w:w="505" w:type="dxa"/>
            <w:tcBorders>
              <w:top w:val="nil"/>
              <w:left w:val="nil"/>
              <w:bottom w:val="single" w:sz="8" w:space="0" w:color="auto"/>
              <w:right w:val="single" w:sz="8" w:space="0" w:color="auto"/>
            </w:tcBorders>
            <w:shd w:val="clear" w:color="auto" w:fill="auto"/>
            <w:vAlign w:val="center"/>
            <w:hideMark/>
          </w:tcPr>
          <w:p w14:paraId="713790F5"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22818</w:t>
            </w:r>
          </w:p>
        </w:tc>
        <w:tc>
          <w:tcPr>
            <w:tcW w:w="3498" w:type="dxa"/>
            <w:tcBorders>
              <w:top w:val="nil"/>
              <w:left w:val="nil"/>
              <w:bottom w:val="single" w:sz="8" w:space="0" w:color="auto"/>
              <w:right w:val="single" w:sz="8" w:space="0" w:color="auto"/>
            </w:tcBorders>
            <w:shd w:val="clear" w:color="auto" w:fill="auto"/>
            <w:vAlign w:val="center"/>
            <w:hideMark/>
          </w:tcPr>
          <w:p w14:paraId="7BC104E1"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 xml:space="preserve">COMBUSTIBLES LÍQUIDOS DE COLOMBIA S.A. E.S.P. </w:t>
            </w:r>
          </w:p>
        </w:tc>
        <w:tc>
          <w:tcPr>
            <w:tcW w:w="1262" w:type="dxa"/>
            <w:tcBorders>
              <w:top w:val="nil"/>
              <w:left w:val="nil"/>
              <w:bottom w:val="single" w:sz="8" w:space="0" w:color="auto"/>
              <w:right w:val="single" w:sz="8" w:space="0" w:color="auto"/>
            </w:tcBorders>
            <w:shd w:val="clear" w:color="auto" w:fill="auto"/>
            <w:vAlign w:val="center"/>
            <w:hideMark/>
          </w:tcPr>
          <w:p w14:paraId="36E531F0"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11B983F4"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2B57B0A7"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6CBDD96B"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88</w:t>
            </w:r>
          </w:p>
        </w:tc>
        <w:tc>
          <w:tcPr>
            <w:tcW w:w="880" w:type="dxa"/>
            <w:tcBorders>
              <w:top w:val="nil"/>
              <w:left w:val="nil"/>
              <w:bottom w:val="single" w:sz="8" w:space="0" w:color="auto"/>
              <w:right w:val="single" w:sz="8" w:space="0" w:color="auto"/>
            </w:tcBorders>
            <w:shd w:val="clear" w:color="auto" w:fill="auto"/>
            <w:vAlign w:val="center"/>
            <w:hideMark/>
          </w:tcPr>
          <w:p w14:paraId="4A4AC32D"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900.192.473</w:t>
            </w:r>
          </w:p>
        </w:tc>
        <w:tc>
          <w:tcPr>
            <w:tcW w:w="323" w:type="dxa"/>
            <w:tcBorders>
              <w:top w:val="nil"/>
              <w:left w:val="nil"/>
              <w:bottom w:val="single" w:sz="8" w:space="0" w:color="auto"/>
              <w:right w:val="single" w:sz="8" w:space="0" w:color="auto"/>
            </w:tcBorders>
            <w:shd w:val="clear" w:color="auto" w:fill="auto"/>
            <w:vAlign w:val="center"/>
            <w:hideMark/>
          </w:tcPr>
          <w:p w14:paraId="312E5F01"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w:t>
            </w:r>
          </w:p>
        </w:tc>
        <w:tc>
          <w:tcPr>
            <w:tcW w:w="505" w:type="dxa"/>
            <w:tcBorders>
              <w:top w:val="nil"/>
              <w:left w:val="nil"/>
              <w:bottom w:val="single" w:sz="8" w:space="0" w:color="auto"/>
              <w:right w:val="single" w:sz="8" w:space="0" w:color="auto"/>
            </w:tcBorders>
            <w:shd w:val="clear" w:color="auto" w:fill="auto"/>
            <w:vAlign w:val="center"/>
            <w:hideMark/>
          </w:tcPr>
          <w:p w14:paraId="5AFF720B"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39051</w:t>
            </w:r>
          </w:p>
        </w:tc>
        <w:tc>
          <w:tcPr>
            <w:tcW w:w="3498" w:type="dxa"/>
            <w:tcBorders>
              <w:top w:val="nil"/>
              <w:left w:val="nil"/>
              <w:bottom w:val="single" w:sz="8" w:space="0" w:color="auto"/>
              <w:right w:val="single" w:sz="8" w:space="0" w:color="auto"/>
            </w:tcBorders>
            <w:shd w:val="clear" w:color="auto" w:fill="auto"/>
            <w:vAlign w:val="center"/>
            <w:hideMark/>
          </w:tcPr>
          <w:p w14:paraId="14C6F12E"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BIOPLANET SERVICES SAS ESP</w:t>
            </w:r>
          </w:p>
        </w:tc>
        <w:tc>
          <w:tcPr>
            <w:tcW w:w="1262" w:type="dxa"/>
            <w:tcBorders>
              <w:top w:val="nil"/>
              <w:left w:val="nil"/>
              <w:bottom w:val="single" w:sz="8" w:space="0" w:color="auto"/>
              <w:right w:val="single" w:sz="8" w:space="0" w:color="auto"/>
            </w:tcBorders>
            <w:shd w:val="clear" w:color="auto" w:fill="auto"/>
            <w:vAlign w:val="center"/>
            <w:hideMark/>
          </w:tcPr>
          <w:p w14:paraId="2F1F3BBE"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5C43AD2E"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SIN REPORTE AL SUI</w:t>
            </w:r>
          </w:p>
        </w:tc>
      </w:tr>
      <w:tr w:rsidR="00AD4E79" w:rsidRPr="00AD4E79" w14:paraId="432E62C7"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5E20C292"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89</w:t>
            </w:r>
          </w:p>
        </w:tc>
        <w:tc>
          <w:tcPr>
            <w:tcW w:w="880" w:type="dxa"/>
            <w:tcBorders>
              <w:top w:val="nil"/>
              <w:left w:val="nil"/>
              <w:bottom w:val="single" w:sz="8" w:space="0" w:color="auto"/>
              <w:right w:val="single" w:sz="8" w:space="0" w:color="auto"/>
            </w:tcBorders>
            <w:shd w:val="clear" w:color="auto" w:fill="auto"/>
            <w:vAlign w:val="center"/>
            <w:hideMark/>
          </w:tcPr>
          <w:p w14:paraId="29D534F4"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900.197.640</w:t>
            </w:r>
          </w:p>
        </w:tc>
        <w:tc>
          <w:tcPr>
            <w:tcW w:w="323" w:type="dxa"/>
            <w:tcBorders>
              <w:top w:val="nil"/>
              <w:left w:val="nil"/>
              <w:bottom w:val="single" w:sz="8" w:space="0" w:color="auto"/>
              <w:right w:val="single" w:sz="8" w:space="0" w:color="auto"/>
            </w:tcBorders>
            <w:shd w:val="clear" w:color="auto" w:fill="auto"/>
            <w:vAlign w:val="center"/>
            <w:hideMark/>
          </w:tcPr>
          <w:p w14:paraId="735D4D47"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4</w:t>
            </w:r>
          </w:p>
        </w:tc>
        <w:tc>
          <w:tcPr>
            <w:tcW w:w="505" w:type="dxa"/>
            <w:tcBorders>
              <w:top w:val="nil"/>
              <w:left w:val="nil"/>
              <w:bottom w:val="single" w:sz="8" w:space="0" w:color="auto"/>
              <w:right w:val="single" w:sz="8" w:space="0" w:color="auto"/>
            </w:tcBorders>
            <w:shd w:val="clear" w:color="auto" w:fill="auto"/>
            <w:vAlign w:val="center"/>
            <w:hideMark/>
          </w:tcPr>
          <w:p w14:paraId="5D6A986C"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26035</w:t>
            </w:r>
          </w:p>
        </w:tc>
        <w:tc>
          <w:tcPr>
            <w:tcW w:w="3498" w:type="dxa"/>
            <w:tcBorders>
              <w:top w:val="nil"/>
              <w:left w:val="nil"/>
              <w:bottom w:val="single" w:sz="8" w:space="0" w:color="auto"/>
              <w:right w:val="single" w:sz="8" w:space="0" w:color="auto"/>
            </w:tcBorders>
            <w:shd w:val="clear" w:color="auto" w:fill="auto"/>
            <w:vAlign w:val="center"/>
            <w:hideMark/>
          </w:tcPr>
          <w:p w14:paraId="5D665C59"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HEGA SA ESP</w:t>
            </w:r>
          </w:p>
        </w:tc>
        <w:tc>
          <w:tcPr>
            <w:tcW w:w="1262" w:type="dxa"/>
            <w:tcBorders>
              <w:top w:val="nil"/>
              <w:left w:val="nil"/>
              <w:bottom w:val="single" w:sz="8" w:space="0" w:color="auto"/>
              <w:right w:val="single" w:sz="8" w:space="0" w:color="auto"/>
            </w:tcBorders>
            <w:shd w:val="clear" w:color="auto" w:fill="auto"/>
            <w:vAlign w:val="center"/>
            <w:hideMark/>
          </w:tcPr>
          <w:p w14:paraId="3AF19880"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61743BFE"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14E701F5"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65904E86"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w:t>
            </w:r>
          </w:p>
        </w:tc>
        <w:tc>
          <w:tcPr>
            <w:tcW w:w="880" w:type="dxa"/>
            <w:tcBorders>
              <w:top w:val="nil"/>
              <w:left w:val="nil"/>
              <w:bottom w:val="single" w:sz="8" w:space="0" w:color="auto"/>
              <w:right w:val="single" w:sz="8" w:space="0" w:color="auto"/>
            </w:tcBorders>
            <w:shd w:val="clear" w:color="auto" w:fill="auto"/>
            <w:vAlign w:val="center"/>
            <w:hideMark/>
          </w:tcPr>
          <w:p w14:paraId="6C214989"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900.209.971</w:t>
            </w:r>
          </w:p>
        </w:tc>
        <w:tc>
          <w:tcPr>
            <w:tcW w:w="323" w:type="dxa"/>
            <w:tcBorders>
              <w:top w:val="nil"/>
              <w:left w:val="nil"/>
              <w:bottom w:val="single" w:sz="8" w:space="0" w:color="auto"/>
              <w:right w:val="single" w:sz="8" w:space="0" w:color="auto"/>
            </w:tcBorders>
            <w:shd w:val="clear" w:color="auto" w:fill="auto"/>
            <w:vAlign w:val="center"/>
            <w:hideMark/>
          </w:tcPr>
          <w:p w14:paraId="540F0B53"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0</w:t>
            </w:r>
          </w:p>
        </w:tc>
        <w:tc>
          <w:tcPr>
            <w:tcW w:w="505" w:type="dxa"/>
            <w:tcBorders>
              <w:top w:val="nil"/>
              <w:left w:val="nil"/>
              <w:bottom w:val="single" w:sz="8" w:space="0" w:color="auto"/>
              <w:right w:val="single" w:sz="8" w:space="0" w:color="auto"/>
            </w:tcBorders>
            <w:shd w:val="clear" w:color="auto" w:fill="auto"/>
            <w:vAlign w:val="center"/>
            <w:hideMark/>
          </w:tcPr>
          <w:p w14:paraId="6032410C"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22205</w:t>
            </w:r>
          </w:p>
        </w:tc>
        <w:tc>
          <w:tcPr>
            <w:tcW w:w="3498" w:type="dxa"/>
            <w:tcBorders>
              <w:top w:val="nil"/>
              <w:left w:val="nil"/>
              <w:bottom w:val="single" w:sz="8" w:space="0" w:color="auto"/>
              <w:right w:val="single" w:sz="8" w:space="0" w:color="auto"/>
            </w:tcBorders>
            <w:shd w:val="clear" w:color="auto" w:fill="auto"/>
            <w:vAlign w:val="center"/>
            <w:hideMark/>
          </w:tcPr>
          <w:p w14:paraId="02F657A8"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DISTRIBUIDORA RIMAR GAS SAS ESP</w:t>
            </w:r>
          </w:p>
        </w:tc>
        <w:tc>
          <w:tcPr>
            <w:tcW w:w="1262" w:type="dxa"/>
            <w:tcBorders>
              <w:top w:val="nil"/>
              <w:left w:val="nil"/>
              <w:bottom w:val="single" w:sz="8" w:space="0" w:color="auto"/>
              <w:right w:val="single" w:sz="8" w:space="0" w:color="auto"/>
            </w:tcBorders>
            <w:shd w:val="clear" w:color="auto" w:fill="auto"/>
            <w:vAlign w:val="center"/>
            <w:hideMark/>
          </w:tcPr>
          <w:p w14:paraId="3F8D89E5"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33EFE312"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SIN REPORTE AL SUI</w:t>
            </w:r>
          </w:p>
        </w:tc>
      </w:tr>
      <w:tr w:rsidR="00AD4E79" w:rsidRPr="00AD4E79" w14:paraId="2BCE3415"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7D42D45D"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91</w:t>
            </w:r>
          </w:p>
        </w:tc>
        <w:tc>
          <w:tcPr>
            <w:tcW w:w="880" w:type="dxa"/>
            <w:tcBorders>
              <w:top w:val="nil"/>
              <w:left w:val="nil"/>
              <w:bottom w:val="single" w:sz="8" w:space="0" w:color="auto"/>
              <w:right w:val="single" w:sz="8" w:space="0" w:color="auto"/>
            </w:tcBorders>
            <w:shd w:val="clear" w:color="auto" w:fill="auto"/>
            <w:vAlign w:val="center"/>
            <w:hideMark/>
          </w:tcPr>
          <w:p w14:paraId="07D9F51D"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900.235.929</w:t>
            </w:r>
          </w:p>
        </w:tc>
        <w:tc>
          <w:tcPr>
            <w:tcW w:w="323" w:type="dxa"/>
            <w:tcBorders>
              <w:top w:val="nil"/>
              <w:left w:val="nil"/>
              <w:bottom w:val="single" w:sz="8" w:space="0" w:color="auto"/>
              <w:right w:val="single" w:sz="8" w:space="0" w:color="auto"/>
            </w:tcBorders>
            <w:shd w:val="clear" w:color="auto" w:fill="auto"/>
            <w:vAlign w:val="center"/>
            <w:hideMark/>
          </w:tcPr>
          <w:p w14:paraId="4F9D20CB"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0</w:t>
            </w:r>
          </w:p>
        </w:tc>
        <w:tc>
          <w:tcPr>
            <w:tcW w:w="505" w:type="dxa"/>
            <w:tcBorders>
              <w:top w:val="nil"/>
              <w:left w:val="nil"/>
              <w:bottom w:val="single" w:sz="8" w:space="0" w:color="auto"/>
              <w:right w:val="single" w:sz="8" w:space="0" w:color="auto"/>
            </w:tcBorders>
            <w:shd w:val="clear" w:color="auto" w:fill="auto"/>
            <w:vAlign w:val="center"/>
            <w:hideMark/>
          </w:tcPr>
          <w:p w14:paraId="59FFDB9E"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55368</w:t>
            </w:r>
          </w:p>
        </w:tc>
        <w:tc>
          <w:tcPr>
            <w:tcW w:w="3498" w:type="dxa"/>
            <w:tcBorders>
              <w:top w:val="nil"/>
              <w:left w:val="nil"/>
              <w:bottom w:val="single" w:sz="8" w:space="0" w:color="auto"/>
              <w:right w:val="single" w:sz="8" w:space="0" w:color="auto"/>
            </w:tcBorders>
            <w:shd w:val="clear" w:color="auto" w:fill="auto"/>
            <w:vAlign w:val="center"/>
            <w:hideMark/>
          </w:tcPr>
          <w:p w14:paraId="47992E5D"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 xml:space="preserve">GASES DEL FUTURO SAS E.S.P. </w:t>
            </w:r>
          </w:p>
        </w:tc>
        <w:tc>
          <w:tcPr>
            <w:tcW w:w="1262" w:type="dxa"/>
            <w:tcBorders>
              <w:top w:val="nil"/>
              <w:left w:val="nil"/>
              <w:bottom w:val="single" w:sz="8" w:space="0" w:color="auto"/>
              <w:right w:val="single" w:sz="8" w:space="0" w:color="auto"/>
            </w:tcBorders>
            <w:shd w:val="clear" w:color="auto" w:fill="auto"/>
            <w:vAlign w:val="center"/>
            <w:hideMark/>
          </w:tcPr>
          <w:p w14:paraId="5A948A30"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0F863C91"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36F88954" w14:textId="77777777" w:rsidTr="00AD4E79">
        <w:trPr>
          <w:trHeight w:val="239"/>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20B0E651"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92</w:t>
            </w:r>
          </w:p>
        </w:tc>
        <w:tc>
          <w:tcPr>
            <w:tcW w:w="880" w:type="dxa"/>
            <w:tcBorders>
              <w:top w:val="nil"/>
              <w:left w:val="nil"/>
              <w:bottom w:val="single" w:sz="8" w:space="0" w:color="auto"/>
              <w:right w:val="single" w:sz="8" w:space="0" w:color="auto"/>
            </w:tcBorders>
            <w:shd w:val="clear" w:color="auto" w:fill="auto"/>
            <w:vAlign w:val="center"/>
            <w:hideMark/>
          </w:tcPr>
          <w:p w14:paraId="3D807F5A"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900.268.747</w:t>
            </w:r>
          </w:p>
        </w:tc>
        <w:tc>
          <w:tcPr>
            <w:tcW w:w="323" w:type="dxa"/>
            <w:tcBorders>
              <w:top w:val="nil"/>
              <w:left w:val="nil"/>
              <w:bottom w:val="single" w:sz="8" w:space="0" w:color="auto"/>
              <w:right w:val="single" w:sz="8" w:space="0" w:color="auto"/>
            </w:tcBorders>
            <w:shd w:val="clear" w:color="auto" w:fill="auto"/>
            <w:vAlign w:val="center"/>
            <w:hideMark/>
          </w:tcPr>
          <w:p w14:paraId="05A275F1"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w:t>
            </w:r>
          </w:p>
        </w:tc>
        <w:tc>
          <w:tcPr>
            <w:tcW w:w="505" w:type="dxa"/>
            <w:tcBorders>
              <w:top w:val="nil"/>
              <w:left w:val="nil"/>
              <w:bottom w:val="single" w:sz="8" w:space="0" w:color="auto"/>
              <w:right w:val="single" w:sz="8" w:space="0" w:color="auto"/>
            </w:tcBorders>
            <w:shd w:val="clear" w:color="auto" w:fill="auto"/>
            <w:vAlign w:val="center"/>
            <w:hideMark/>
          </w:tcPr>
          <w:p w14:paraId="449354A6"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26645</w:t>
            </w:r>
          </w:p>
        </w:tc>
        <w:tc>
          <w:tcPr>
            <w:tcW w:w="3498" w:type="dxa"/>
            <w:tcBorders>
              <w:top w:val="nil"/>
              <w:left w:val="nil"/>
              <w:bottom w:val="single" w:sz="8" w:space="0" w:color="auto"/>
              <w:right w:val="single" w:sz="8" w:space="0" w:color="auto"/>
            </w:tcBorders>
            <w:shd w:val="clear" w:color="auto" w:fill="auto"/>
            <w:vAlign w:val="center"/>
            <w:hideMark/>
          </w:tcPr>
          <w:p w14:paraId="632343B0"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PAREX RESOURCES (COLOMBIA) AG SUCURSAL</w:t>
            </w:r>
          </w:p>
        </w:tc>
        <w:tc>
          <w:tcPr>
            <w:tcW w:w="1262" w:type="dxa"/>
            <w:tcBorders>
              <w:top w:val="nil"/>
              <w:left w:val="nil"/>
              <w:bottom w:val="single" w:sz="8" w:space="0" w:color="auto"/>
              <w:right w:val="single" w:sz="8" w:space="0" w:color="auto"/>
            </w:tcBorders>
            <w:shd w:val="clear" w:color="auto" w:fill="auto"/>
            <w:vAlign w:val="center"/>
            <w:hideMark/>
          </w:tcPr>
          <w:p w14:paraId="5AE8998B"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285744D6"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09133F2E"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77B92F35"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93</w:t>
            </w:r>
          </w:p>
        </w:tc>
        <w:tc>
          <w:tcPr>
            <w:tcW w:w="880" w:type="dxa"/>
            <w:tcBorders>
              <w:top w:val="nil"/>
              <w:left w:val="nil"/>
              <w:bottom w:val="single" w:sz="8" w:space="0" w:color="auto"/>
              <w:right w:val="single" w:sz="8" w:space="0" w:color="auto"/>
            </w:tcBorders>
            <w:shd w:val="clear" w:color="auto" w:fill="auto"/>
            <w:vAlign w:val="center"/>
            <w:hideMark/>
          </w:tcPr>
          <w:p w14:paraId="16550057"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900.305.404</w:t>
            </w:r>
          </w:p>
        </w:tc>
        <w:tc>
          <w:tcPr>
            <w:tcW w:w="323" w:type="dxa"/>
            <w:tcBorders>
              <w:top w:val="nil"/>
              <w:left w:val="nil"/>
              <w:bottom w:val="single" w:sz="8" w:space="0" w:color="auto"/>
              <w:right w:val="single" w:sz="8" w:space="0" w:color="auto"/>
            </w:tcBorders>
            <w:shd w:val="clear" w:color="auto" w:fill="auto"/>
            <w:vAlign w:val="center"/>
            <w:hideMark/>
          </w:tcPr>
          <w:p w14:paraId="55FAB54A"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7</w:t>
            </w:r>
          </w:p>
        </w:tc>
        <w:tc>
          <w:tcPr>
            <w:tcW w:w="505" w:type="dxa"/>
            <w:tcBorders>
              <w:top w:val="nil"/>
              <w:left w:val="nil"/>
              <w:bottom w:val="single" w:sz="8" w:space="0" w:color="auto"/>
              <w:right w:val="single" w:sz="8" w:space="0" w:color="auto"/>
            </w:tcBorders>
            <w:shd w:val="clear" w:color="auto" w:fill="auto"/>
            <w:vAlign w:val="center"/>
            <w:hideMark/>
          </w:tcPr>
          <w:p w14:paraId="0E09ADC1"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23015</w:t>
            </w:r>
          </w:p>
        </w:tc>
        <w:tc>
          <w:tcPr>
            <w:tcW w:w="3498" w:type="dxa"/>
            <w:tcBorders>
              <w:top w:val="nil"/>
              <w:left w:val="nil"/>
              <w:bottom w:val="single" w:sz="8" w:space="0" w:color="auto"/>
              <w:right w:val="single" w:sz="8" w:space="0" w:color="auto"/>
            </w:tcBorders>
            <w:shd w:val="clear" w:color="auto" w:fill="auto"/>
            <w:vAlign w:val="center"/>
            <w:hideMark/>
          </w:tcPr>
          <w:p w14:paraId="245B7EBC"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VP INGENERGIA S.A.S. E.S.P.</w:t>
            </w:r>
          </w:p>
        </w:tc>
        <w:tc>
          <w:tcPr>
            <w:tcW w:w="1262" w:type="dxa"/>
            <w:tcBorders>
              <w:top w:val="nil"/>
              <w:left w:val="nil"/>
              <w:bottom w:val="single" w:sz="8" w:space="0" w:color="auto"/>
              <w:right w:val="single" w:sz="8" w:space="0" w:color="auto"/>
            </w:tcBorders>
            <w:shd w:val="clear" w:color="auto" w:fill="auto"/>
            <w:vAlign w:val="center"/>
            <w:hideMark/>
          </w:tcPr>
          <w:p w14:paraId="6519BFEC"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27E4A178"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1BB1F26A"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426B7F3C"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94</w:t>
            </w:r>
          </w:p>
        </w:tc>
        <w:tc>
          <w:tcPr>
            <w:tcW w:w="880" w:type="dxa"/>
            <w:tcBorders>
              <w:top w:val="nil"/>
              <w:left w:val="nil"/>
              <w:bottom w:val="single" w:sz="8" w:space="0" w:color="auto"/>
              <w:right w:val="single" w:sz="8" w:space="0" w:color="auto"/>
            </w:tcBorders>
            <w:shd w:val="clear" w:color="auto" w:fill="auto"/>
            <w:vAlign w:val="center"/>
            <w:hideMark/>
          </w:tcPr>
          <w:p w14:paraId="30FCEB21"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900.319.306</w:t>
            </w:r>
          </w:p>
        </w:tc>
        <w:tc>
          <w:tcPr>
            <w:tcW w:w="323" w:type="dxa"/>
            <w:tcBorders>
              <w:top w:val="nil"/>
              <w:left w:val="nil"/>
              <w:bottom w:val="single" w:sz="8" w:space="0" w:color="auto"/>
              <w:right w:val="single" w:sz="8" w:space="0" w:color="auto"/>
            </w:tcBorders>
            <w:shd w:val="clear" w:color="auto" w:fill="auto"/>
            <w:vAlign w:val="center"/>
            <w:hideMark/>
          </w:tcPr>
          <w:p w14:paraId="71D50BA8"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4</w:t>
            </w:r>
          </w:p>
        </w:tc>
        <w:tc>
          <w:tcPr>
            <w:tcW w:w="505" w:type="dxa"/>
            <w:tcBorders>
              <w:top w:val="nil"/>
              <w:left w:val="nil"/>
              <w:bottom w:val="single" w:sz="8" w:space="0" w:color="auto"/>
              <w:right w:val="single" w:sz="8" w:space="0" w:color="auto"/>
            </w:tcBorders>
            <w:shd w:val="clear" w:color="auto" w:fill="auto"/>
            <w:vAlign w:val="center"/>
            <w:hideMark/>
          </w:tcPr>
          <w:p w14:paraId="152D0E7D"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25688</w:t>
            </w:r>
          </w:p>
        </w:tc>
        <w:tc>
          <w:tcPr>
            <w:tcW w:w="3498" w:type="dxa"/>
            <w:tcBorders>
              <w:top w:val="nil"/>
              <w:left w:val="nil"/>
              <w:bottom w:val="single" w:sz="8" w:space="0" w:color="auto"/>
              <w:right w:val="single" w:sz="8" w:space="0" w:color="auto"/>
            </w:tcBorders>
            <w:shd w:val="clear" w:color="auto" w:fill="auto"/>
            <w:vAlign w:val="center"/>
            <w:hideMark/>
          </w:tcPr>
          <w:p w14:paraId="7C919EF5"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PETROLEUM BLENDING INTERNATIONAL S.A.S. EMPRESA DE SERVICIOS PUBLICOS E.</w:t>
            </w:r>
            <w:proofErr w:type="gramStart"/>
            <w:r w:rsidRPr="00AD4E79">
              <w:rPr>
                <w:rFonts w:ascii="Arial Narrow" w:hAnsi="Arial Narrow" w:cs="Arial"/>
                <w:spacing w:val="0"/>
                <w:sz w:val="16"/>
                <w:szCs w:val="16"/>
                <w:lang w:eastAsia="es-CO"/>
              </w:rPr>
              <w:t>S.P</w:t>
            </w:r>
            <w:proofErr w:type="gramEnd"/>
          </w:p>
        </w:tc>
        <w:tc>
          <w:tcPr>
            <w:tcW w:w="1262" w:type="dxa"/>
            <w:tcBorders>
              <w:top w:val="nil"/>
              <w:left w:val="nil"/>
              <w:bottom w:val="single" w:sz="8" w:space="0" w:color="auto"/>
              <w:right w:val="single" w:sz="8" w:space="0" w:color="auto"/>
            </w:tcBorders>
            <w:shd w:val="clear" w:color="auto" w:fill="auto"/>
            <w:vAlign w:val="center"/>
            <w:hideMark/>
          </w:tcPr>
          <w:p w14:paraId="798C1D21"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0F466C35"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2A2DBA52" w14:textId="77777777" w:rsidTr="00AD4E79">
        <w:trPr>
          <w:trHeight w:val="439"/>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14AD9916"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95</w:t>
            </w:r>
          </w:p>
        </w:tc>
        <w:tc>
          <w:tcPr>
            <w:tcW w:w="880" w:type="dxa"/>
            <w:tcBorders>
              <w:top w:val="nil"/>
              <w:left w:val="nil"/>
              <w:bottom w:val="single" w:sz="8" w:space="0" w:color="auto"/>
              <w:right w:val="single" w:sz="8" w:space="0" w:color="auto"/>
            </w:tcBorders>
            <w:shd w:val="clear" w:color="auto" w:fill="auto"/>
            <w:vAlign w:val="center"/>
            <w:hideMark/>
          </w:tcPr>
          <w:p w14:paraId="62D6ACE5"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900.321.520</w:t>
            </w:r>
          </w:p>
        </w:tc>
        <w:tc>
          <w:tcPr>
            <w:tcW w:w="323" w:type="dxa"/>
            <w:tcBorders>
              <w:top w:val="nil"/>
              <w:left w:val="nil"/>
              <w:bottom w:val="single" w:sz="8" w:space="0" w:color="auto"/>
              <w:right w:val="single" w:sz="8" w:space="0" w:color="auto"/>
            </w:tcBorders>
            <w:shd w:val="clear" w:color="auto" w:fill="auto"/>
            <w:vAlign w:val="center"/>
            <w:hideMark/>
          </w:tcPr>
          <w:p w14:paraId="60B3A71B"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0</w:t>
            </w:r>
          </w:p>
        </w:tc>
        <w:tc>
          <w:tcPr>
            <w:tcW w:w="505" w:type="dxa"/>
            <w:tcBorders>
              <w:top w:val="nil"/>
              <w:left w:val="nil"/>
              <w:bottom w:val="single" w:sz="8" w:space="0" w:color="auto"/>
              <w:right w:val="single" w:sz="8" w:space="0" w:color="auto"/>
            </w:tcBorders>
            <w:shd w:val="clear" w:color="auto" w:fill="auto"/>
            <w:vAlign w:val="center"/>
            <w:hideMark/>
          </w:tcPr>
          <w:p w14:paraId="671E8F72"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25164</w:t>
            </w:r>
          </w:p>
        </w:tc>
        <w:tc>
          <w:tcPr>
            <w:tcW w:w="3498" w:type="dxa"/>
            <w:tcBorders>
              <w:top w:val="nil"/>
              <w:left w:val="nil"/>
              <w:bottom w:val="single" w:sz="8" w:space="0" w:color="auto"/>
              <w:right w:val="single" w:sz="8" w:space="0" w:color="auto"/>
            </w:tcBorders>
            <w:shd w:val="clear" w:color="auto" w:fill="auto"/>
            <w:vAlign w:val="center"/>
            <w:hideMark/>
          </w:tcPr>
          <w:p w14:paraId="1A72040C"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COMERCIALIZADORA DE GASES NATURALES SAS ESP</w:t>
            </w:r>
          </w:p>
        </w:tc>
        <w:tc>
          <w:tcPr>
            <w:tcW w:w="1262" w:type="dxa"/>
            <w:tcBorders>
              <w:top w:val="nil"/>
              <w:left w:val="nil"/>
              <w:bottom w:val="single" w:sz="8" w:space="0" w:color="auto"/>
              <w:right w:val="single" w:sz="8" w:space="0" w:color="auto"/>
            </w:tcBorders>
            <w:shd w:val="clear" w:color="auto" w:fill="auto"/>
            <w:vAlign w:val="center"/>
            <w:hideMark/>
          </w:tcPr>
          <w:p w14:paraId="23120EF6"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06D4BB9A"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6AB305ED"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3751982F"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96</w:t>
            </w:r>
          </w:p>
        </w:tc>
        <w:tc>
          <w:tcPr>
            <w:tcW w:w="880" w:type="dxa"/>
            <w:tcBorders>
              <w:top w:val="nil"/>
              <w:left w:val="nil"/>
              <w:bottom w:val="single" w:sz="8" w:space="0" w:color="auto"/>
              <w:right w:val="single" w:sz="8" w:space="0" w:color="auto"/>
            </w:tcBorders>
            <w:shd w:val="clear" w:color="auto" w:fill="auto"/>
            <w:vAlign w:val="center"/>
            <w:hideMark/>
          </w:tcPr>
          <w:p w14:paraId="504805FC"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900.330.027</w:t>
            </w:r>
          </w:p>
        </w:tc>
        <w:tc>
          <w:tcPr>
            <w:tcW w:w="323" w:type="dxa"/>
            <w:tcBorders>
              <w:top w:val="nil"/>
              <w:left w:val="nil"/>
              <w:bottom w:val="single" w:sz="8" w:space="0" w:color="auto"/>
              <w:right w:val="single" w:sz="8" w:space="0" w:color="auto"/>
            </w:tcBorders>
            <w:shd w:val="clear" w:color="auto" w:fill="auto"/>
            <w:vAlign w:val="center"/>
            <w:hideMark/>
          </w:tcPr>
          <w:p w14:paraId="761A7640"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w:t>
            </w:r>
          </w:p>
        </w:tc>
        <w:tc>
          <w:tcPr>
            <w:tcW w:w="505" w:type="dxa"/>
            <w:tcBorders>
              <w:top w:val="nil"/>
              <w:left w:val="nil"/>
              <w:bottom w:val="single" w:sz="8" w:space="0" w:color="auto"/>
              <w:right w:val="single" w:sz="8" w:space="0" w:color="auto"/>
            </w:tcBorders>
            <w:shd w:val="clear" w:color="auto" w:fill="auto"/>
            <w:vAlign w:val="center"/>
            <w:hideMark/>
          </w:tcPr>
          <w:p w14:paraId="7037700E"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23250</w:t>
            </w:r>
          </w:p>
        </w:tc>
        <w:tc>
          <w:tcPr>
            <w:tcW w:w="3498" w:type="dxa"/>
            <w:tcBorders>
              <w:top w:val="nil"/>
              <w:left w:val="nil"/>
              <w:bottom w:val="single" w:sz="8" w:space="0" w:color="auto"/>
              <w:right w:val="single" w:sz="8" w:space="0" w:color="auto"/>
            </w:tcBorders>
            <w:shd w:val="clear" w:color="auto" w:fill="auto"/>
            <w:vAlign w:val="center"/>
            <w:hideMark/>
          </w:tcPr>
          <w:p w14:paraId="19D2BE34"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PETROMIL GAS S.A.S. E.</w:t>
            </w:r>
            <w:proofErr w:type="gramStart"/>
            <w:r w:rsidRPr="00AD4E79">
              <w:rPr>
                <w:rFonts w:ascii="Arial Narrow" w:hAnsi="Arial Narrow" w:cs="Arial"/>
                <w:spacing w:val="0"/>
                <w:sz w:val="16"/>
                <w:szCs w:val="16"/>
                <w:lang w:eastAsia="es-CO"/>
              </w:rPr>
              <w:t>S.P</w:t>
            </w:r>
            <w:proofErr w:type="gramEnd"/>
          </w:p>
        </w:tc>
        <w:tc>
          <w:tcPr>
            <w:tcW w:w="1262" w:type="dxa"/>
            <w:tcBorders>
              <w:top w:val="nil"/>
              <w:left w:val="nil"/>
              <w:bottom w:val="single" w:sz="8" w:space="0" w:color="auto"/>
              <w:right w:val="single" w:sz="8" w:space="0" w:color="auto"/>
            </w:tcBorders>
            <w:shd w:val="clear" w:color="auto" w:fill="auto"/>
            <w:vAlign w:val="center"/>
            <w:hideMark/>
          </w:tcPr>
          <w:p w14:paraId="44D780C5"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1A73E208"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64436200" w14:textId="77777777" w:rsidTr="00AD4E79">
        <w:trPr>
          <w:trHeight w:val="252"/>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70F737B3"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97</w:t>
            </w:r>
          </w:p>
        </w:tc>
        <w:tc>
          <w:tcPr>
            <w:tcW w:w="880" w:type="dxa"/>
            <w:tcBorders>
              <w:top w:val="nil"/>
              <w:left w:val="nil"/>
              <w:bottom w:val="single" w:sz="8" w:space="0" w:color="auto"/>
              <w:right w:val="single" w:sz="8" w:space="0" w:color="auto"/>
            </w:tcBorders>
            <w:shd w:val="clear" w:color="auto" w:fill="auto"/>
            <w:vAlign w:val="center"/>
            <w:hideMark/>
          </w:tcPr>
          <w:p w14:paraId="5720CFBA"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900.331.322</w:t>
            </w:r>
          </w:p>
        </w:tc>
        <w:tc>
          <w:tcPr>
            <w:tcW w:w="323" w:type="dxa"/>
            <w:tcBorders>
              <w:top w:val="nil"/>
              <w:left w:val="nil"/>
              <w:bottom w:val="single" w:sz="8" w:space="0" w:color="auto"/>
              <w:right w:val="single" w:sz="8" w:space="0" w:color="auto"/>
            </w:tcBorders>
            <w:shd w:val="clear" w:color="auto" w:fill="auto"/>
            <w:vAlign w:val="center"/>
            <w:hideMark/>
          </w:tcPr>
          <w:p w14:paraId="20CDFC99"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w:t>
            </w:r>
          </w:p>
        </w:tc>
        <w:tc>
          <w:tcPr>
            <w:tcW w:w="505" w:type="dxa"/>
            <w:tcBorders>
              <w:top w:val="nil"/>
              <w:left w:val="nil"/>
              <w:bottom w:val="single" w:sz="8" w:space="0" w:color="auto"/>
              <w:right w:val="single" w:sz="8" w:space="0" w:color="auto"/>
            </w:tcBorders>
            <w:shd w:val="clear" w:color="auto" w:fill="auto"/>
            <w:vAlign w:val="center"/>
            <w:hideMark/>
          </w:tcPr>
          <w:p w14:paraId="19602DE2"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31993</w:t>
            </w:r>
          </w:p>
        </w:tc>
        <w:tc>
          <w:tcPr>
            <w:tcW w:w="3498" w:type="dxa"/>
            <w:tcBorders>
              <w:top w:val="nil"/>
              <w:left w:val="nil"/>
              <w:bottom w:val="single" w:sz="8" w:space="0" w:color="auto"/>
              <w:right w:val="single" w:sz="8" w:space="0" w:color="auto"/>
            </w:tcBorders>
            <w:shd w:val="clear" w:color="auto" w:fill="auto"/>
            <w:vAlign w:val="center"/>
            <w:hideMark/>
          </w:tcPr>
          <w:p w14:paraId="19CD08B3"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VERANO ENERGY (SWITZERLAND) AG SUCURSAL</w:t>
            </w:r>
          </w:p>
        </w:tc>
        <w:tc>
          <w:tcPr>
            <w:tcW w:w="1262" w:type="dxa"/>
            <w:tcBorders>
              <w:top w:val="nil"/>
              <w:left w:val="nil"/>
              <w:bottom w:val="single" w:sz="8" w:space="0" w:color="auto"/>
              <w:right w:val="single" w:sz="8" w:space="0" w:color="auto"/>
            </w:tcBorders>
            <w:shd w:val="clear" w:color="auto" w:fill="auto"/>
            <w:vAlign w:val="center"/>
            <w:hideMark/>
          </w:tcPr>
          <w:p w14:paraId="69D38D72"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73E6471F"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246ED980"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08139004"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98</w:t>
            </w:r>
          </w:p>
        </w:tc>
        <w:tc>
          <w:tcPr>
            <w:tcW w:w="880" w:type="dxa"/>
            <w:tcBorders>
              <w:top w:val="nil"/>
              <w:left w:val="nil"/>
              <w:bottom w:val="single" w:sz="8" w:space="0" w:color="auto"/>
              <w:right w:val="single" w:sz="8" w:space="0" w:color="auto"/>
            </w:tcBorders>
            <w:shd w:val="clear" w:color="auto" w:fill="auto"/>
            <w:vAlign w:val="center"/>
            <w:hideMark/>
          </w:tcPr>
          <w:p w14:paraId="7188A026"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900.335.279</w:t>
            </w:r>
          </w:p>
        </w:tc>
        <w:tc>
          <w:tcPr>
            <w:tcW w:w="323" w:type="dxa"/>
            <w:tcBorders>
              <w:top w:val="nil"/>
              <w:left w:val="nil"/>
              <w:bottom w:val="single" w:sz="8" w:space="0" w:color="auto"/>
              <w:right w:val="single" w:sz="8" w:space="0" w:color="auto"/>
            </w:tcBorders>
            <w:shd w:val="clear" w:color="auto" w:fill="auto"/>
            <w:vAlign w:val="center"/>
            <w:hideMark/>
          </w:tcPr>
          <w:p w14:paraId="2174C293"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0</w:t>
            </w:r>
          </w:p>
        </w:tc>
        <w:tc>
          <w:tcPr>
            <w:tcW w:w="505" w:type="dxa"/>
            <w:tcBorders>
              <w:top w:val="nil"/>
              <w:left w:val="nil"/>
              <w:bottom w:val="single" w:sz="8" w:space="0" w:color="auto"/>
              <w:right w:val="single" w:sz="8" w:space="0" w:color="auto"/>
            </w:tcBorders>
            <w:shd w:val="clear" w:color="auto" w:fill="auto"/>
            <w:vAlign w:val="center"/>
            <w:hideMark/>
          </w:tcPr>
          <w:p w14:paraId="1759431E"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23312</w:t>
            </w:r>
          </w:p>
        </w:tc>
        <w:tc>
          <w:tcPr>
            <w:tcW w:w="3498" w:type="dxa"/>
            <w:tcBorders>
              <w:top w:val="nil"/>
              <w:left w:val="nil"/>
              <w:bottom w:val="single" w:sz="8" w:space="0" w:color="auto"/>
              <w:right w:val="single" w:sz="8" w:space="0" w:color="auto"/>
            </w:tcBorders>
            <w:shd w:val="clear" w:color="auto" w:fill="auto"/>
            <w:vAlign w:val="center"/>
            <w:hideMark/>
          </w:tcPr>
          <w:p w14:paraId="567094D6"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INVERSIONES GLP SAS ESP</w:t>
            </w:r>
          </w:p>
        </w:tc>
        <w:tc>
          <w:tcPr>
            <w:tcW w:w="1262" w:type="dxa"/>
            <w:tcBorders>
              <w:top w:val="nil"/>
              <w:left w:val="nil"/>
              <w:bottom w:val="single" w:sz="8" w:space="0" w:color="auto"/>
              <w:right w:val="single" w:sz="8" w:space="0" w:color="auto"/>
            </w:tcBorders>
            <w:shd w:val="clear" w:color="auto" w:fill="auto"/>
            <w:vAlign w:val="center"/>
            <w:hideMark/>
          </w:tcPr>
          <w:p w14:paraId="380AC5C3"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10519286"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17D2F80C"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4B9ACD87"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99</w:t>
            </w:r>
          </w:p>
        </w:tc>
        <w:tc>
          <w:tcPr>
            <w:tcW w:w="880" w:type="dxa"/>
            <w:tcBorders>
              <w:top w:val="nil"/>
              <w:left w:val="nil"/>
              <w:bottom w:val="single" w:sz="8" w:space="0" w:color="auto"/>
              <w:right w:val="single" w:sz="8" w:space="0" w:color="auto"/>
            </w:tcBorders>
            <w:shd w:val="clear" w:color="auto" w:fill="auto"/>
            <w:vAlign w:val="center"/>
            <w:hideMark/>
          </w:tcPr>
          <w:p w14:paraId="0CCB9F92"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900.396.040</w:t>
            </w:r>
          </w:p>
        </w:tc>
        <w:tc>
          <w:tcPr>
            <w:tcW w:w="323" w:type="dxa"/>
            <w:tcBorders>
              <w:top w:val="nil"/>
              <w:left w:val="nil"/>
              <w:bottom w:val="single" w:sz="8" w:space="0" w:color="auto"/>
              <w:right w:val="single" w:sz="8" w:space="0" w:color="auto"/>
            </w:tcBorders>
            <w:shd w:val="clear" w:color="auto" w:fill="auto"/>
            <w:vAlign w:val="center"/>
            <w:hideMark/>
          </w:tcPr>
          <w:p w14:paraId="7AB54A40"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w:t>
            </w:r>
          </w:p>
        </w:tc>
        <w:tc>
          <w:tcPr>
            <w:tcW w:w="505" w:type="dxa"/>
            <w:tcBorders>
              <w:top w:val="nil"/>
              <w:left w:val="nil"/>
              <w:bottom w:val="single" w:sz="8" w:space="0" w:color="auto"/>
              <w:right w:val="single" w:sz="8" w:space="0" w:color="auto"/>
            </w:tcBorders>
            <w:shd w:val="clear" w:color="auto" w:fill="auto"/>
            <w:vAlign w:val="center"/>
            <w:hideMark/>
          </w:tcPr>
          <w:p w14:paraId="17EE6B85"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24860</w:t>
            </w:r>
          </w:p>
        </w:tc>
        <w:tc>
          <w:tcPr>
            <w:tcW w:w="3498" w:type="dxa"/>
            <w:tcBorders>
              <w:top w:val="nil"/>
              <w:left w:val="nil"/>
              <w:bottom w:val="single" w:sz="8" w:space="0" w:color="auto"/>
              <w:right w:val="single" w:sz="8" w:space="0" w:color="auto"/>
            </w:tcBorders>
            <w:shd w:val="clear" w:color="auto" w:fill="auto"/>
            <w:vAlign w:val="center"/>
            <w:hideMark/>
          </w:tcPr>
          <w:p w14:paraId="309F80F1" w14:textId="77777777" w:rsidR="00E75BBE" w:rsidRPr="00AD4E79" w:rsidRDefault="00E75BBE" w:rsidP="00D22441">
            <w:pPr>
              <w:jc w:val="left"/>
              <w:rPr>
                <w:rFonts w:ascii="Arial Narrow" w:hAnsi="Arial Narrow" w:cs="Arial"/>
                <w:spacing w:val="0"/>
                <w:sz w:val="16"/>
                <w:szCs w:val="16"/>
                <w:lang w:val="en-GB" w:eastAsia="es-CO"/>
              </w:rPr>
            </w:pPr>
            <w:r w:rsidRPr="00AD4E79">
              <w:rPr>
                <w:rFonts w:ascii="Arial Narrow" w:hAnsi="Arial Narrow" w:cs="Arial"/>
                <w:spacing w:val="0"/>
                <w:sz w:val="16"/>
                <w:szCs w:val="16"/>
                <w:lang w:val="en-GB" w:eastAsia="es-CO"/>
              </w:rPr>
              <w:t>FEDEGAS S.A.S.  E.S.P.</w:t>
            </w:r>
          </w:p>
        </w:tc>
        <w:tc>
          <w:tcPr>
            <w:tcW w:w="1262" w:type="dxa"/>
            <w:tcBorders>
              <w:top w:val="nil"/>
              <w:left w:val="nil"/>
              <w:bottom w:val="single" w:sz="8" w:space="0" w:color="auto"/>
              <w:right w:val="single" w:sz="8" w:space="0" w:color="auto"/>
            </w:tcBorders>
            <w:shd w:val="clear" w:color="auto" w:fill="auto"/>
            <w:vAlign w:val="center"/>
            <w:hideMark/>
          </w:tcPr>
          <w:p w14:paraId="72227D28"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30285F0B"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264BB9FF" w14:textId="77777777" w:rsidTr="00AD4E79">
        <w:trPr>
          <w:trHeight w:val="407"/>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1382B00A"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100</w:t>
            </w:r>
          </w:p>
        </w:tc>
        <w:tc>
          <w:tcPr>
            <w:tcW w:w="880" w:type="dxa"/>
            <w:tcBorders>
              <w:top w:val="nil"/>
              <w:left w:val="nil"/>
              <w:bottom w:val="single" w:sz="8" w:space="0" w:color="auto"/>
              <w:right w:val="single" w:sz="8" w:space="0" w:color="auto"/>
            </w:tcBorders>
            <w:shd w:val="clear" w:color="auto" w:fill="auto"/>
            <w:vAlign w:val="center"/>
            <w:hideMark/>
          </w:tcPr>
          <w:p w14:paraId="17A834A5"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900.396.759</w:t>
            </w:r>
          </w:p>
        </w:tc>
        <w:tc>
          <w:tcPr>
            <w:tcW w:w="323" w:type="dxa"/>
            <w:tcBorders>
              <w:top w:val="nil"/>
              <w:left w:val="nil"/>
              <w:bottom w:val="single" w:sz="8" w:space="0" w:color="auto"/>
              <w:right w:val="single" w:sz="8" w:space="0" w:color="auto"/>
            </w:tcBorders>
            <w:shd w:val="clear" w:color="auto" w:fill="auto"/>
            <w:vAlign w:val="center"/>
            <w:hideMark/>
          </w:tcPr>
          <w:p w14:paraId="2AF85C95"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5</w:t>
            </w:r>
          </w:p>
        </w:tc>
        <w:tc>
          <w:tcPr>
            <w:tcW w:w="505" w:type="dxa"/>
            <w:tcBorders>
              <w:top w:val="nil"/>
              <w:left w:val="nil"/>
              <w:bottom w:val="single" w:sz="8" w:space="0" w:color="auto"/>
              <w:right w:val="single" w:sz="8" w:space="0" w:color="auto"/>
            </w:tcBorders>
            <w:shd w:val="clear" w:color="auto" w:fill="auto"/>
            <w:vAlign w:val="center"/>
            <w:hideMark/>
          </w:tcPr>
          <w:p w14:paraId="15049447"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24869</w:t>
            </w:r>
          </w:p>
        </w:tc>
        <w:tc>
          <w:tcPr>
            <w:tcW w:w="3498" w:type="dxa"/>
            <w:tcBorders>
              <w:top w:val="nil"/>
              <w:left w:val="nil"/>
              <w:bottom w:val="single" w:sz="8" w:space="0" w:color="auto"/>
              <w:right w:val="single" w:sz="8" w:space="0" w:color="auto"/>
            </w:tcBorders>
            <w:shd w:val="clear" w:color="auto" w:fill="auto"/>
            <w:vAlign w:val="center"/>
            <w:hideMark/>
          </w:tcPr>
          <w:p w14:paraId="6BB91A98"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CHILCO DISTRIBUIDORA DE GAS Y ENERGIA S.A.S E.</w:t>
            </w:r>
            <w:proofErr w:type="gramStart"/>
            <w:r w:rsidRPr="00AD4E79">
              <w:rPr>
                <w:rFonts w:ascii="Arial Narrow" w:hAnsi="Arial Narrow" w:cs="Arial"/>
                <w:spacing w:val="0"/>
                <w:sz w:val="16"/>
                <w:szCs w:val="16"/>
                <w:lang w:eastAsia="es-CO"/>
              </w:rPr>
              <w:t>S.P</w:t>
            </w:r>
            <w:proofErr w:type="gramEnd"/>
          </w:p>
        </w:tc>
        <w:tc>
          <w:tcPr>
            <w:tcW w:w="1262" w:type="dxa"/>
            <w:tcBorders>
              <w:top w:val="nil"/>
              <w:left w:val="nil"/>
              <w:bottom w:val="single" w:sz="8" w:space="0" w:color="auto"/>
              <w:right w:val="single" w:sz="8" w:space="0" w:color="auto"/>
            </w:tcBorders>
            <w:shd w:val="clear" w:color="auto" w:fill="auto"/>
            <w:vAlign w:val="center"/>
            <w:hideMark/>
          </w:tcPr>
          <w:p w14:paraId="373E18E7"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644E2E1B"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109943F2" w14:textId="77777777" w:rsidTr="00AD4E79">
        <w:trPr>
          <w:trHeight w:val="437"/>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422B2C9A"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101</w:t>
            </w:r>
          </w:p>
        </w:tc>
        <w:tc>
          <w:tcPr>
            <w:tcW w:w="880" w:type="dxa"/>
            <w:tcBorders>
              <w:top w:val="nil"/>
              <w:left w:val="nil"/>
              <w:bottom w:val="single" w:sz="8" w:space="0" w:color="auto"/>
              <w:right w:val="single" w:sz="8" w:space="0" w:color="auto"/>
            </w:tcBorders>
            <w:shd w:val="clear" w:color="auto" w:fill="auto"/>
            <w:vAlign w:val="center"/>
            <w:hideMark/>
          </w:tcPr>
          <w:p w14:paraId="0D5AD5EF"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900.428.208</w:t>
            </w:r>
          </w:p>
        </w:tc>
        <w:tc>
          <w:tcPr>
            <w:tcW w:w="323" w:type="dxa"/>
            <w:tcBorders>
              <w:top w:val="nil"/>
              <w:left w:val="nil"/>
              <w:bottom w:val="single" w:sz="8" w:space="0" w:color="auto"/>
              <w:right w:val="single" w:sz="8" w:space="0" w:color="auto"/>
            </w:tcBorders>
            <w:shd w:val="clear" w:color="auto" w:fill="auto"/>
            <w:vAlign w:val="center"/>
            <w:hideMark/>
          </w:tcPr>
          <w:p w14:paraId="70CDD7F6"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w:t>
            </w:r>
          </w:p>
        </w:tc>
        <w:tc>
          <w:tcPr>
            <w:tcW w:w="505" w:type="dxa"/>
            <w:tcBorders>
              <w:top w:val="nil"/>
              <w:left w:val="nil"/>
              <w:bottom w:val="single" w:sz="8" w:space="0" w:color="auto"/>
              <w:right w:val="single" w:sz="8" w:space="0" w:color="auto"/>
            </w:tcBorders>
            <w:shd w:val="clear" w:color="auto" w:fill="auto"/>
            <w:vAlign w:val="center"/>
            <w:hideMark/>
          </w:tcPr>
          <w:p w14:paraId="23E2E3AB"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25954</w:t>
            </w:r>
          </w:p>
        </w:tc>
        <w:tc>
          <w:tcPr>
            <w:tcW w:w="3498" w:type="dxa"/>
            <w:tcBorders>
              <w:top w:val="nil"/>
              <w:left w:val="nil"/>
              <w:bottom w:val="single" w:sz="8" w:space="0" w:color="auto"/>
              <w:right w:val="single" w:sz="8" w:space="0" w:color="auto"/>
            </w:tcBorders>
            <w:shd w:val="clear" w:color="auto" w:fill="auto"/>
            <w:vAlign w:val="center"/>
            <w:hideMark/>
          </w:tcPr>
          <w:p w14:paraId="5244CECB"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DISTRIBUIDORA DE GAS DEL PACIFICO DIGAS SAS ESP</w:t>
            </w:r>
          </w:p>
        </w:tc>
        <w:tc>
          <w:tcPr>
            <w:tcW w:w="1262" w:type="dxa"/>
            <w:tcBorders>
              <w:top w:val="nil"/>
              <w:left w:val="nil"/>
              <w:bottom w:val="single" w:sz="8" w:space="0" w:color="auto"/>
              <w:right w:val="single" w:sz="8" w:space="0" w:color="auto"/>
            </w:tcBorders>
            <w:shd w:val="clear" w:color="auto" w:fill="auto"/>
            <w:vAlign w:val="center"/>
            <w:hideMark/>
          </w:tcPr>
          <w:p w14:paraId="34BE1A03"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7BF8BDE0"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5D46931A"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62D06145"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102</w:t>
            </w:r>
          </w:p>
        </w:tc>
        <w:tc>
          <w:tcPr>
            <w:tcW w:w="880" w:type="dxa"/>
            <w:tcBorders>
              <w:top w:val="nil"/>
              <w:left w:val="nil"/>
              <w:bottom w:val="single" w:sz="8" w:space="0" w:color="auto"/>
              <w:right w:val="single" w:sz="8" w:space="0" w:color="auto"/>
            </w:tcBorders>
            <w:shd w:val="clear" w:color="auto" w:fill="auto"/>
            <w:vAlign w:val="center"/>
            <w:hideMark/>
          </w:tcPr>
          <w:p w14:paraId="6F308368"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900.438.187</w:t>
            </w:r>
          </w:p>
        </w:tc>
        <w:tc>
          <w:tcPr>
            <w:tcW w:w="323" w:type="dxa"/>
            <w:tcBorders>
              <w:top w:val="nil"/>
              <w:left w:val="nil"/>
              <w:bottom w:val="single" w:sz="8" w:space="0" w:color="auto"/>
              <w:right w:val="single" w:sz="8" w:space="0" w:color="auto"/>
            </w:tcBorders>
            <w:shd w:val="clear" w:color="auto" w:fill="auto"/>
            <w:vAlign w:val="center"/>
            <w:hideMark/>
          </w:tcPr>
          <w:p w14:paraId="332E29D6"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4</w:t>
            </w:r>
          </w:p>
        </w:tc>
        <w:tc>
          <w:tcPr>
            <w:tcW w:w="505" w:type="dxa"/>
            <w:tcBorders>
              <w:top w:val="nil"/>
              <w:left w:val="nil"/>
              <w:bottom w:val="single" w:sz="8" w:space="0" w:color="auto"/>
              <w:right w:val="single" w:sz="8" w:space="0" w:color="auto"/>
            </w:tcBorders>
            <w:shd w:val="clear" w:color="auto" w:fill="auto"/>
            <w:vAlign w:val="center"/>
            <w:hideMark/>
          </w:tcPr>
          <w:p w14:paraId="0D07D6BB"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37294</w:t>
            </w:r>
          </w:p>
        </w:tc>
        <w:tc>
          <w:tcPr>
            <w:tcW w:w="3498" w:type="dxa"/>
            <w:tcBorders>
              <w:top w:val="nil"/>
              <w:left w:val="nil"/>
              <w:bottom w:val="single" w:sz="8" w:space="0" w:color="auto"/>
              <w:right w:val="single" w:sz="8" w:space="0" w:color="auto"/>
            </w:tcBorders>
            <w:shd w:val="clear" w:color="auto" w:fill="auto"/>
            <w:vAlign w:val="center"/>
            <w:hideMark/>
          </w:tcPr>
          <w:p w14:paraId="00C56B33"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PROVIGAS COLOMBIA S.A. ESP</w:t>
            </w:r>
          </w:p>
        </w:tc>
        <w:tc>
          <w:tcPr>
            <w:tcW w:w="1262" w:type="dxa"/>
            <w:tcBorders>
              <w:top w:val="nil"/>
              <w:left w:val="nil"/>
              <w:bottom w:val="single" w:sz="8" w:space="0" w:color="auto"/>
              <w:right w:val="single" w:sz="8" w:space="0" w:color="auto"/>
            </w:tcBorders>
            <w:shd w:val="clear" w:color="auto" w:fill="auto"/>
            <w:vAlign w:val="center"/>
            <w:hideMark/>
          </w:tcPr>
          <w:p w14:paraId="30AE3DE6"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27896724"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0D240B13"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7786256B"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103</w:t>
            </w:r>
          </w:p>
        </w:tc>
        <w:tc>
          <w:tcPr>
            <w:tcW w:w="880" w:type="dxa"/>
            <w:tcBorders>
              <w:top w:val="nil"/>
              <w:left w:val="nil"/>
              <w:bottom w:val="single" w:sz="8" w:space="0" w:color="auto"/>
              <w:right w:val="single" w:sz="8" w:space="0" w:color="auto"/>
            </w:tcBorders>
            <w:shd w:val="clear" w:color="auto" w:fill="auto"/>
            <w:vAlign w:val="center"/>
            <w:hideMark/>
          </w:tcPr>
          <w:p w14:paraId="705681A3"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900.440.491</w:t>
            </w:r>
          </w:p>
        </w:tc>
        <w:tc>
          <w:tcPr>
            <w:tcW w:w="323" w:type="dxa"/>
            <w:tcBorders>
              <w:top w:val="nil"/>
              <w:left w:val="nil"/>
              <w:bottom w:val="single" w:sz="8" w:space="0" w:color="auto"/>
              <w:right w:val="single" w:sz="8" w:space="0" w:color="auto"/>
            </w:tcBorders>
            <w:shd w:val="clear" w:color="auto" w:fill="auto"/>
            <w:vAlign w:val="center"/>
            <w:hideMark/>
          </w:tcPr>
          <w:p w14:paraId="41B84F83"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5</w:t>
            </w:r>
          </w:p>
        </w:tc>
        <w:tc>
          <w:tcPr>
            <w:tcW w:w="505" w:type="dxa"/>
            <w:tcBorders>
              <w:top w:val="nil"/>
              <w:left w:val="nil"/>
              <w:bottom w:val="single" w:sz="8" w:space="0" w:color="auto"/>
              <w:right w:val="single" w:sz="8" w:space="0" w:color="auto"/>
            </w:tcBorders>
            <w:shd w:val="clear" w:color="auto" w:fill="auto"/>
            <w:vAlign w:val="center"/>
            <w:hideMark/>
          </w:tcPr>
          <w:p w14:paraId="56CF33D3"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38033</w:t>
            </w:r>
          </w:p>
        </w:tc>
        <w:tc>
          <w:tcPr>
            <w:tcW w:w="3498" w:type="dxa"/>
            <w:tcBorders>
              <w:top w:val="nil"/>
              <w:left w:val="nil"/>
              <w:bottom w:val="single" w:sz="8" w:space="0" w:color="auto"/>
              <w:right w:val="single" w:sz="8" w:space="0" w:color="auto"/>
            </w:tcBorders>
            <w:shd w:val="clear" w:color="auto" w:fill="auto"/>
            <w:vAlign w:val="center"/>
            <w:hideMark/>
          </w:tcPr>
          <w:p w14:paraId="6603FA52"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JADAPE SAS ESP</w:t>
            </w:r>
          </w:p>
        </w:tc>
        <w:tc>
          <w:tcPr>
            <w:tcW w:w="1262" w:type="dxa"/>
            <w:tcBorders>
              <w:top w:val="nil"/>
              <w:left w:val="nil"/>
              <w:bottom w:val="single" w:sz="8" w:space="0" w:color="auto"/>
              <w:right w:val="single" w:sz="8" w:space="0" w:color="auto"/>
            </w:tcBorders>
            <w:shd w:val="clear" w:color="auto" w:fill="auto"/>
            <w:vAlign w:val="center"/>
            <w:hideMark/>
          </w:tcPr>
          <w:p w14:paraId="41A6FF5E"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3E9FA259"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1BF3EF8B"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3AC98A1B"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104</w:t>
            </w:r>
          </w:p>
        </w:tc>
        <w:tc>
          <w:tcPr>
            <w:tcW w:w="880" w:type="dxa"/>
            <w:tcBorders>
              <w:top w:val="nil"/>
              <w:left w:val="nil"/>
              <w:bottom w:val="single" w:sz="8" w:space="0" w:color="auto"/>
              <w:right w:val="single" w:sz="8" w:space="0" w:color="auto"/>
            </w:tcBorders>
            <w:shd w:val="clear" w:color="auto" w:fill="auto"/>
            <w:vAlign w:val="center"/>
            <w:hideMark/>
          </w:tcPr>
          <w:p w14:paraId="60C3FC1B"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900.443.684</w:t>
            </w:r>
          </w:p>
        </w:tc>
        <w:tc>
          <w:tcPr>
            <w:tcW w:w="323" w:type="dxa"/>
            <w:tcBorders>
              <w:top w:val="nil"/>
              <w:left w:val="nil"/>
              <w:bottom w:val="single" w:sz="8" w:space="0" w:color="auto"/>
              <w:right w:val="single" w:sz="8" w:space="0" w:color="auto"/>
            </w:tcBorders>
            <w:shd w:val="clear" w:color="auto" w:fill="auto"/>
            <w:vAlign w:val="center"/>
            <w:hideMark/>
          </w:tcPr>
          <w:p w14:paraId="59AB90E4"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3</w:t>
            </w:r>
          </w:p>
        </w:tc>
        <w:tc>
          <w:tcPr>
            <w:tcW w:w="505" w:type="dxa"/>
            <w:tcBorders>
              <w:top w:val="nil"/>
              <w:left w:val="nil"/>
              <w:bottom w:val="single" w:sz="8" w:space="0" w:color="auto"/>
              <w:right w:val="single" w:sz="8" w:space="0" w:color="auto"/>
            </w:tcBorders>
            <w:shd w:val="clear" w:color="auto" w:fill="auto"/>
            <w:vAlign w:val="center"/>
            <w:hideMark/>
          </w:tcPr>
          <w:p w14:paraId="25E2690D"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25709</w:t>
            </w:r>
          </w:p>
        </w:tc>
        <w:tc>
          <w:tcPr>
            <w:tcW w:w="3498" w:type="dxa"/>
            <w:tcBorders>
              <w:top w:val="nil"/>
              <w:left w:val="nil"/>
              <w:bottom w:val="single" w:sz="8" w:space="0" w:color="auto"/>
              <w:right w:val="single" w:sz="8" w:space="0" w:color="auto"/>
            </w:tcBorders>
            <w:shd w:val="clear" w:color="auto" w:fill="auto"/>
            <w:vAlign w:val="center"/>
            <w:hideMark/>
          </w:tcPr>
          <w:p w14:paraId="79E4D29D"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RAPIDGAS SAS ESP</w:t>
            </w:r>
          </w:p>
        </w:tc>
        <w:tc>
          <w:tcPr>
            <w:tcW w:w="1262" w:type="dxa"/>
            <w:tcBorders>
              <w:top w:val="nil"/>
              <w:left w:val="nil"/>
              <w:bottom w:val="single" w:sz="8" w:space="0" w:color="auto"/>
              <w:right w:val="single" w:sz="8" w:space="0" w:color="auto"/>
            </w:tcBorders>
            <w:shd w:val="clear" w:color="auto" w:fill="auto"/>
            <w:vAlign w:val="center"/>
            <w:hideMark/>
          </w:tcPr>
          <w:p w14:paraId="5A70C865"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33C4B22B"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SIN REPORTE AL SUI</w:t>
            </w:r>
          </w:p>
        </w:tc>
      </w:tr>
      <w:tr w:rsidR="00AD4E79" w:rsidRPr="00AD4E79" w14:paraId="05BB4F6C"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78396BC1"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105</w:t>
            </w:r>
          </w:p>
        </w:tc>
        <w:tc>
          <w:tcPr>
            <w:tcW w:w="880" w:type="dxa"/>
            <w:tcBorders>
              <w:top w:val="nil"/>
              <w:left w:val="nil"/>
              <w:bottom w:val="single" w:sz="8" w:space="0" w:color="auto"/>
              <w:right w:val="single" w:sz="8" w:space="0" w:color="auto"/>
            </w:tcBorders>
            <w:shd w:val="clear" w:color="auto" w:fill="auto"/>
            <w:vAlign w:val="center"/>
            <w:hideMark/>
          </w:tcPr>
          <w:p w14:paraId="4DE7B729"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900.453.463</w:t>
            </w:r>
          </w:p>
        </w:tc>
        <w:tc>
          <w:tcPr>
            <w:tcW w:w="323" w:type="dxa"/>
            <w:tcBorders>
              <w:top w:val="nil"/>
              <w:left w:val="nil"/>
              <w:bottom w:val="single" w:sz="8" w:space="0" w:color="auto"/>
              <w:right w:val="single" w:sz="8" w:space="0" w:color="auto"/>
            </w:tcBorders>
            <w:shd w:val="clear" w:color="auto" w:fill="auto"/>
            <w:vAlign w:val="center"/>
            <w:hideMark/>
          </w:tcPr>
          <w:p w14:paraId="4D6A7709"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5</w:t>
            </w:r>
          </w:p>
        </w:tc>
        <w:tc>
          <w:tcPr>
            <w:tcW w:w="505" w:type="dxa"/>
            <w:tcBorders>
              <w:top w:val="nil"/>
              <w:left w:val="nil"/>
              <w:bottom w:val="single" w:sz="8" w:space="0" w:color="auto"/>
              <w:right w:val="single" w:sz="8" w:space="0" w:color="auto"/>
            </w:tcBorders>
            <w:shd w:val="clear" w:color="auto" w:fill="auto"/>
            <w:vAlign w:val="center"/>
            <w:hideMark/>
          </w:tcPr>
          <w:p w14:paraId="086577A1"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25939</w:t>
            </w:r>
          </w:p>
        </w:tc>
        <w:tc>
          <w:tcPr>
            <w:tcW w:w="3498" w:type="dxa"/>
            <w:tcBorders>
              <w:top w:val="nil"/>
              <w:left w:val="nil"/>
              <w:bottom w:val="single" w:sz="8" w:space="0" w:color="auto"/>
              <w:right w:val="single" w:sz="8" w:space="0" w:color="auto"/>
            </w:tcBorders>
            <w:shd w:val="clear" w:color="auto" w:fill="auto"/>
            <w:vAlign w:val="center"/>
            <w:hideMark/>
          </w:tcPr>
          <w:p w14:paraId="37AB096C"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CITYGAS DISTRIBUIDORA S.A.S. E.</w:t>
            </w:r>
            <w:proofErr w:type="gramStart"/>
            <w:r w:rsidRPr="00AD4E79">
              <w:rPr>
                <w:rFonts w:ascii="Arial Narrow" w:hAnsi="Arial Narrow" w:cs="Arial"/>
                <w:spacing w:val="0"/>
                <w:sz w:val="16"/>
                <w:szCs w:val="16"/>
                <w:lang w:eastAsia="es-CO"/>
              </w:rPr>
              <w:t>S.P</w:t>
            </w:r>
            <w:proofErr w:type="gramEnd"/>
          </w:p>
        </w:tc>
        <w:tc>
          <w:tcPr>
            <w:tcW w:w="1262" w:type="dxa"/>
            <w:tcBorders>
              <w:top w:val="nil"/>
              <w:left w:val="nil"/>
              <w:bottom w:val="single" w:sz="8" w:space="0" w:color="auto"/>
              <w:right w:val="single" w:sz="8" w:space="0" w:color="auto"/>
            </w:tcBorders>
            <w:shd w:val="clear" w:color="auto" w:fill="auto"/>
            <w:vAlign w:val="center"/>
            <w:hideMark/>
          </w:tcPr>
          <w:p w14:paraId="379534F9"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721E0BE5"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36EBE7E1"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7DE2A631"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106</w:t>
            </w:r>
          </w:p>
        </w:tc>
        <w:tc>
          <w:tcPr>
            <w:tcW w:w="880" w:type="dxa"/>
            <w:tcBorders>
              <w:top w:val="nil"/>
              <w:left w:val="nil"/>
              <w:bottom w:val="single" w:sz="8" w:space="0" w:color="auto"/>
              <w:right w:val="single" w:sz="8" w:space="0" w:color="auto"/>
            </w:tcBorders>
            <w:shd w:val="clear" w:color="auto" w:fill="auto"/>
            <w:vAlign w:val="center"/>
            <w:hideMark/>
          </w:tcPr>
          <w:p w14:paraId="7B0E9C56"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900.466.858</w:t>
            </w:r>
          </w:p>
        </w:tc>
        <w:tc>
          <w:tcPr>
            <w:tcW w:w="323" w:type="dxa"/>
            <w:tcBorders>
              <w:top w:val="nil"/>
              <w:left w:val="nil"/>
              <w:bottom w:val="single" w:sz="8" w:space="0" w:color="auto"/>
              <w:right w:val="single" w:sz="8" w:space="0" w:color="auto"/>
            </w:tcBorders>
            <w:shd w:val="clear" w:color="auto" w:fill="auto"/>
            <w:vAlign w:val="center"/>
            <w:hideMark/>
          </w:tcPr>
          <w:p w14:paraId="7A9076DD"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7</w:t>
            </w:r>
          </w:p>
        </w:tc>
        <w:tc>
          <w:tcPr>
            <w:tcW w:w="505" w:type="dxa"/>
            <w:tcBorders>
              <w:top w:val="nil"/>
              <w:left w:val="nil"/>
              <w:bottom w:val="single" w:sz="8" w:space="0" w:color="auto"/>
              <w:right w:val="single" w:sz="8" w:space="0" w:color="auto"/>
            </w:tcBorders>
            <w:shd w:val="clear" w:color="auto" w:fill="auto"/>
            <w:vAlign w:val="center"/>
            <w:hideMark/>
          </w:tcPr>
          <w:p w14:paraId="132D0495"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39390</w:t>
            </w:r>
          </w:p>
        </w:tc>
        <w:tc>
          <w:tcPr>
            <w:tcW w:w="3498" w:type="dxa"/>
            <w:tcBorders>
              <w:top w:val="nil"/>
              <w:left w:val="nil"/>
              <w:bottom w:val="single" w:sz="8" w:space="0" w:color="auto"/>
              <w:right w:val="single" w:sz="8" w:space="0" w:color="auto"/>
            </w:tcBorders>
            <w:shd w:val="clear" w:color="auto" w:fill="auto"/>
            <w:vAlign w:val="center"/>
            <w:hideMark/>
          </w:tcPr>
          <w:p w14:paraId="41158B31"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SURENERGY SAS ESP</w:t>
            </w:r>
          </w:p>
        </w:tc>
        <w:tc>
          <w:tcPr>
            <w:tcW w:w="1262" w:type="dxa"/>
            <w:tcBorders>
              <w:top w:val="nil"/>
              <w:left w:val="nil"/>
              <w:bottom w:val="single" w:sz="8" w:space="0" w:color="auto"/>
              <w:right w:val="single" w:sz="8" w:space="0" w:color="auto"/>
            </w:tcBorders>
            <w:shd w:val="clear" w:color="auto" w:fill="auto"/>
            <w:vAlign w:val="center"/>
            <w:hideMark/>
          </w:tcPr>
          <w:p w14:paraId="7289A014"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24CF11D5"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6831798A" w14:textId="77777777" w:rsidTr="00AD4E79">
        <w:trPr>
          <w:trHeight w:val="21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132B71DE"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107</w:t>
            </w:r>
          </w:p>
        </w:tc>
        <w:tc>
          <w:tcPr>
            <w:tcW w:w="880" w:type="dxa"/>
            <w:tcBorders>
              <w:top w:val="nil"/>
              <w:left w:val="nil"/>
              <w:bottom w:val="single" w:sz="8" w:space="0" w:color="auto"/>
              <w:right w:val="single" w:sz="8" w:space="0" w:color="auto"/>
            </w:tcBorders>
            <w:shd w:val="clear" w:color="auto" w:fill="auto"/>
            <w:vAlign w:val="center"/>
            <w:hideMark/>
          </w:tcPr>
          <w:p w14:paraId="04BBFDEF"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900.495.129</w:t>
            </w:r>
          </w:p>
        </w:tc>
        <w:tc>
          <w:tcPr>
            <w:tcW w:w="323" w:type="dxa"/>
            <w:tcBorders>
              <w:top w:val="nil"/>
              <w:left w:val="nil"/>
              <w:bottom w:val="single" w:sz="8" w:space="0" w:color="auto"/>
              <w:right w:val="single" w:sz="8" w:space="0" w:color="auto"/>
            </w:tcBorders>
            <w:shd w:val="clear" w:color="auto" w:fill="auto"/>
            <w:vAlign w:val="center"/>
            <w:hideMark/>
          </w:tcPr>
          <w:p w14:paraId="3B097AB6"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w:t>
            </w:r>
          </w:p>
        </w:tc>
        <w:tc>
          <w:tcPr>
            <w:tcW w:w="505" w:type="dxa"/>
            <w:tcBorders>
              <w:top w:val="nil"/>
              <w:left w:val="nil"/>
              <w:bottom w:val="single" w:sz="8" w:space="0" w:color="auto"/>
              <w:right w:val="single" w:sz="8" w:space="0" w:color="auto"/>
            </w:tcBorders>
            <w:shd w:val="clear" w:color="auto" w:fill="auto"/>
            <w:vAlign w:val="center"/>
            <w:hideMark/>
          </w:tcPr>
          <w:p w14:paraId="75B57D7E"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28391</w:t>
            </w:r>
          </w:p>
        </w:tc>
        <w:tc>
          <w:tcPr>
            <w:tcW w:w="3498" w:type="dxa"/>
            <w:tcBorders>
              <w:top w:val="nil"/>
              <w:left w:val="nil"/>
              <w:bottom w:val="single" w:sz="8" w:space="0" w:color="auto"/>
              <w:right w:val="single" w:sz="8" w:space="0" w:color="auto"/>
            </w:tcBorders>
            <w:shd w:val="clear" w:color="auto" w:fill="auto"/>
            <w:vAlign w:val="center"/>
            <w:hideMark/>
          </w:tcPr>
          <w:p w14:paraId="4E9C41C2"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PETROLEOS SUD AMERICANOS SUCURSAL COLOMBIA</w:t>
            </w:r>
          </w:p>
        </w:tc>
        <w:tc>
          <w:tcPr>
            <w:tcW w:w="1262" w:type="dxa"/>
            <w:tcBorders>
              <w:top w:val="nil"/>
              <w:left w:val="nil"/>
              <w:bottom w:val="single" w:sz="8" w:space="0" w:color="auto"/>
              <w:right w:val="single" w:sz="8" w:space="0" w:color="auto"/>
            </w:tcBorders>
            <w:shd w:val="clear" w:color="auto" w:fill="auto"/>
            <w:vAlign w:val="center"/>
            <w:hideMark/>
          </w:tcPr>
          <w:p w14:paraId="5B939A66"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48971C9C"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5051C575"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4D10A06A"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108</w:t>
            </w:r>
          </w:p>
        </w:tc>
        <w:tc>
          <w:tcPr>
            <w:tcW w:w="880" w:type="dxa"/>
            <w:tcBorders>
              <w:top w:val="nil"/>
              <w:left w:val="nil"/>
              <w:bottom w:val="single" w:sz="8" w:space="0" w:color="auto"/>
              <w:right w:val="single" w:sz="8" w:space="0" w:color="auto"/>
            </w:tcBorders>
            <w:shd w:val="clear" w:color="auto" w:fill="auto"/>
            <w:vAlign w:val="center"/>
            <w:hideMark/>
          </w:tcPr>
          <w:p w14:paraId="11E6D0F6"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900.522.263</w:t>
            </w:r>
          </w:p>
        </w:tc>
        <w:tc>
          <w:tcPr>
            <w:tcW w:w="323" w:type="dxa"/>
            <w:tcBorders>
              <w:top w:val="nil"/>
              <w:left w:val="nil"/>
              <w:bottom w:val="single" w:sz="8" w:space="0" w:color="auto"/>
              <w:right w:val="single" w:sz="8" w:space="0" w:color="auto"/>
            </w:tcBorders>
            <w:shd w:val="clear" w:color="auto" w:fill="auto"/>
            <w:vAlign w:val="center"/>
            <w:hideMark/>
          </w:tcPr>
          <w:p w14:paraId="5EEB27A9"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5</w:t>
            </w:r>
          </w:p>
        </w:tc>
        <w:tc>
          <w:tcPr>
            <w:tcW w:w="505" w:type="dxa"/>
            <w:tcBorders>
              <w:top w:val="nil"/>
              <w:left w:val="nil"/>
              <w:bottom w:val="single" w:sz="8" w:space="0" w:color="auto"/>
              <w:right w:val="single" w:sz="8" w:space="0" w:color="auto"/>
            </w:tcBorders>
            <w:shd w:val="clear" w:color="auto" w:fill="auto"/>
            <w:vAlign w:val="center"/>
            <w:hideMark/>
          </w:tcPr>
          <w:p w14:paraId="7E5D645E"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26096</w:t>
            </w:r>
          </w:p>
        </w:tc>
        <w:tc>
          <w:tcPr>
            <w:tcW w:w="3498" w:type="dxa"/>
            <w:tcBorders>
              <w:top w:val="nil"/>
              <w:left w:val="nil"/>
              <w:bottom w:val="single" w:sz="8" w:space="0" w:color="auto"/>
              <w:right w:val="single" w:sz="8" w:space="0" w:color="auto"/>
            </w:tcBorders>
            <w:shd w:val="clear" w:color="auto" w:fill="auto"/>
            <w:vAlign w:val="center"/>
            <w:hideMark/>
          </w:tcPr>
          <w:p w14:paraId="5FE07284"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YAVEGAS S.A. E.S.P.</w:t>
            </w:r>
          </w:p>
        </w:tc>
        <w:tc>
          <w:tcPr>
            <w:tcW w:w="1262" w:type="dxa"/>
            <w:tcBorders>
              <w:top w:val="nil"/>
              <w:left w:val="nil"/>
              <w:bottom w:val="single" w:sz="8" w:space="0" w:color="auto"/>
              <w:right w:val="single" w:sz="8" w:space="0" w:color="auto"/>
            </w:tcBorders>
            <w:shd w:val="clear" w:color="auto" w:fill="auto"/>
            <w:vAlign w:val="center"/>
            <w:hideMark/>
          </w:tcPr>
          <w:p w14:paraId="40962245"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5AAD959E"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1D7A62DA" w14:textId="77777777" w:rsidTr="00AD4E79">
        <w:trPr>
          <w:trHeight w:val="375"/>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6C110B64"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109</w:t>
            </w:r>
          </w:p>
        </w:tc>
        <w:tc>
          <w:tcPr>
            <w:tcW w:w="880" w:type="dxa"/>
            <w:tcBorders>
              <w:top w:val="nil"/>
              <w:left w:val="nil"/>
              <w:bottom w:val="single" w:sz="8" w:space="0" w:color="auto"/>
              <w:right w:val="single" w:sz="8" w:space="0" w:color="auto"/>
            </w:tcBorders>
            <w:shd w:val="clear" w:color="auto" w:fill="auto"/>
            <w:vAlign w:val="center"/>
            <w:hideMark/>
          </w:tcPr>
          <w:p w14:paraId="64EEFF20"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900.531.210</w:t>
            </w:r>
          </w:p>
        </w:tc>
        <w:tc>
          <w:tcPr>
            <w:tcW w:w="323" w:type="dxa"/>
            <w:tcBorders>
              <w:top w:val="nil"/>
              <w:left w:val="nil"/>
              <w:bottom w:val="single" w:sz="8" w:space="0" w:color="auto"/>
              <w:right w:val="single" w:sz="8" w:space="0" w:color="auto"/>
            </w:tcBorders>
            <w:shd w:val="clear" w:color="auto" w:fill="auto"/>
            <w:vAlign w:val="center"/>
            <w:hideMark/>
          </w:tcPr>
          <w:p w14:paraId="3FBE5BF2"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3</w:t>
            </w:r>
          </w:p>
        </w:tc>
        <w:tc>
          <w:tcPr>
            <w:tcW w:w="505" w:type="dxa"/>
            <w:tcBorders>
              <w:top w:val="nil"/>
              <w:left w:val="nil"/>
              <w:bottom w:val="single" w:sz="8" w:space="0" w:color="auto"/>
              <w:right w:val="single" w:sz="8" w:space="0" w:color="auto"/>
            </w:tcBorders>
            <w:shd w:val="clear" w:color="auto" w:fill="auto"/>
            <w:vAlign w:val="center"/>
            <w:hideMark/>
          </w:tcPr>
          <w:p w14:paraId="04DA2D48"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26600</w:t>
            </w:r>
          </w:p>
        </w:tc>
        <w:tc>
          <w:tcPr>
            <w:tcW w:w="3498" w:type="dxa"/>
            <w:tcBorders>
              <w:top w:val="nil"/>
              <w:left w:val="nil"/>
              <w:bottom w:val="single" w:sz="8" w:space="0" w:color="auto"/>
              <w:right w:val="single" w:sz="8" w:space="0" w:color="auto"/>
            </w:tcBorders>
            <w:shd w:val="clear" w:color="auto" w:fill="auto"/>
            <w:vAlign w:val="center"/>
            <w:hideMark/>
          </w:tcPr>
          <w:p w14:paraId="4107D8E1"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CENIT TRANSPORTE Y LOGISTICA DE HIDROCARBUROS S.A.S</w:t>
            </w:r>
          </w:p>
        </w:tc>
        <w:tc>
          <w:tcPr>
            <w:tcW w:w="1262" w:type="dxa"/>
            <w:tcBorders>
              <w:top w:val="nil"/>
              <w:left w:val="nil"/>
              <w:bottom w:val="single" w:sz="8" w:space="0" w:color="auto"/>
              <w:right w:val="single" w:sz="8" w:space="0" w:color="auto"/>
            </w:tcBorders>
            <w:shd w:val="clear" w:color="auto" w:fill="auto"/>
            <w:vAlign w:val="center"/>
            <w:hideMark/>
          </w:tcPr>
          <w:p w14:paraId="651812A4"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679014C9"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27BBC649"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7B2EF406"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110</w:t>
            </w:r>
          </w:p>
        </w:tc>
        <w:tc>
          <w:tcPr>
            <w:tcW w:w="880" w:type="dxa"/>
            <w:tcBorders>
              <w:top w:val="nil"/>
              <w:left w:val="nil"/>
              <w:bottom w:val="single" w:sz="8" w:space="0" w:color="auto"/>
              <w:right w:val="single" w:sz="8" w:space="0" w:color="auto"/>
            </w:tcBorders>
            <w:shd w:val="clear" w:color="auto" w:fill="auto"/>
            <w:vAlign w:val="center"/>
            <w:hideMark/>
          </w:tcPr>
          <w:p w14:paraId="5354782C"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900.542.835</w:t>
            </w:r>
          </w:p>
        </w:tc>
        <w:tc>
          <w:tcPr>
            <w:tcW w:w="323" w:type="dxa"/>
            <w:tcBorders>
              <w:top w:val="nil"/>
              <w:left w:val="nil"/>
              <w:bottom w:val="single" w:sz="8" w:space="0" w:color="auto"/>
              <w:right w:val="single" w:sz="8" w:space="0" w:color="auto"/>
            </w:tcBorders>
            <w:shd w:val="clear" w:color="auto" w:fill="auto"/>
            <w:vAlign w:val="center"/>
            <w:hideMark/>
          </w:tcPr>
          <w:p w14:paraId="6A9322B3"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3</w:t>
            </w:r>
          </w:p>
        </w:tc>
        <w:tc>
          <w:tcPr>
            <w:tcW w:w="505" w:type="dxa"/>
            <w:tcBorders>
              <w:top w:val="nil"/>
              <w:left w:val="nil"/>
              <w:bottom w:val="single" w:sz="8" w:space="0" w:color="auto"/>
              <w:right w:val="single" w:sz="8" w:space="0" w:color="auto"/>
            </w:tcBorders>
            <w:shd w:val="clear" w:color="auto" w:fill="auto"/>
            <w:vAlign w:val="center"/>
            <w:hideMark/>
          </w:tcPr>
          <w:p w14:paraId="29A70A64"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26745</w:t>
            </w:r>
          </w:p>
        </w:tc>
        <w:tc>
          <w:tcPr>
            <w:tcW w:w="3498" w:type="dxa"/>
            <w:tcBorders>
              <w:top w:val="nil"/>
              <w:left w:val="nil"/>
              <w:bottom w:val="single" w:sz="8" w:space="0" w:color="auto"/>
              <w:right w:val="single" w:sz="8" w:space="0" w:color="auto"/>
            </w:tcBorders>
            <w:shd w:val="clear" w:color="auto" w:fill="auto"/>
            <w:vAlign w:val="center"/>
            <w:hideMark/>
          </w:tcPr>
          <w:p w14:paraId="08465E3F"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G8 PROYECTOS ENERGETICOS SAS ESP</w:t>
            </w:r>
          </w:p>
        </w:tc>
        <w:tc>
          <w:tcPr>
            <w:tcW w:w="1262" w:type="dxa"/>
            <w:tcBorders>
              <w:top w:val="nil"/>
              <w:left w:val="nil"/>
              <w:bottom w:val="single" w:sz="8" w:space="0" w:color="auto"/>
              <w:right w:val="single" w:sz="8" w:space="0" w:color="auto"/>
            </w:tcBorders>
            <w:shd w:val="clear" w:color="auto" w:fill="auto"/>
            <w:vAlign w:val="center"/>
            <w:hideMark/>
          </w:tcPr>
          <w:p w14:paraId="0E9A480B"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4FCA8777"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31824ADE"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69B2A121"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111</w:t>
            </w:r>
          </w:p>
        </w:tc>
        <w:tc>
          <w:tcPr>
            <w:tcW w:w="880" w:type="dxa"/>
            <w:tcBorders>
              <w:top w:val="nil"/>
              <w:left w:val="nil"/>
              <w:bottom w:val="single" w:sz="8" w:space="0" w:color="auto"/>
              <w:right w:val="single" w:sz="8" w:space="0" w:color="auto"/>
            </w:tcBorders>
            <w:shd w:val="clear" w:color="auto" w:fill="auto"/>
            <w:vAlign w:val="center"/>
            <w:hideMark/>
          </w:tcPr>
          <w:p w14:paraId="04DC5B30"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900.555.031</w:t>
            </w:r>
          </w:p>
        </w:tc>
        <w:tc>
          <w:tcPr>
            <w:tcW w:w="323" w:type="dxa"/>
            <w:tcBorders>
              <w:top w:val="nil"/>
              <w:left w:val="nil"/>
              <w:bottom w:val="single" w:sz="8" w:space="0" w:color="auto"/>
              <w:right w:val="single" w:sz="8" w:space="0" w:color="auto"/>
            </w:tcBorders>
            <w:shd w:val="clear" w:color="auto" w:fill="auto"/>
            <w:vAlign w:val="center"/>
            <w:hideMark/>
          </w:tcPr>
          <w:p w14:paraId="14A2FF01"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5</w:t>
            </w:r>
          </w:p>
        </w:tc>
        <w:tc>
          <w:tcPr>
            <w:tcW w:w="505" w:type="dxa"/>
            <w:tcBorders>
              <w:top w:val="nil"/>
              <w:left w:val="nil"/>
              <w:bottom w:val="single" w:sz="8" w:space="0" w:color="auto"/>
              <w:right w:val="single" w:sz="8" w:space="0" w:color="auto"/>
            </w:tcBorders>
            <w:shd w:val="clear" w:color="auto" w:fill="auto"/>
            <w:vAlign w:val="center"/>
            <w:hideMark/>
          </w:tcPr>
          <w:p w14:paraId="4C1D968A"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26178</w:t>
            </w:r>
          </w:p>
        </w:tc>
        <w:tc>
          <w:tcPr>
            <w:tcW w:w="3498" w:type="dxa"/>
            <w:tcBorders>
              <w:top w:val="nil"/>
              <w:left w:val="nil"/>
              <w:bottom w:val="single" w:sz="8" w:space="0" w:color="auto"/>
              <w:right w:val="single" w:sz="8" w:space="0" w:color="auto"/>
            </w:tcBorders>
            <w:shd w:val="clear" w:color="auto" w:fill="auto"/>
            <w:vAlign w:val="center"/>
            <w:hideMark/>
          </w:tcPr>
          <w:p w14:paraId="2625096C"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KRONOS ENERGY S.A. E.S.P.</w:t>
            </w:r>
          </w:p>
        </w:tc>
        <w:tc>
          <w:tcPr>
            <w:tcW w:w="1262" w:type="dxa"/>
            <w:tcBorders>
              <w:top w:val="nil"/>
              <w:left w:val="nil"/>
              <w:bottom w:val="single" w:sz="8" w:space="0" w:color="auto"/>
              <w:right w:val="single" w:sz="8" w:space="0" w:color="auto"/>
            </w:tcBorders>
            <w:shd w:val="clear" w:color="auto" w:fill="auto"/>
            <w:vAlign w:val="center"/>
            <w:hideMark/>
          </w:tcPr>
          <w:p w14:paraId="75E72D2D"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40BD1959"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5FA1A061"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6E7EF0D3"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112</w:t>
            </w:r>
          </w:p>
        </w:tc>
        <w:tc>
          <w:tcPr>
            <w:tcW w:w="880" w:type="dxa"/>
            <w:tcBorders>
              <w:top w:val="nil"/>
              <w:left w:val="nil"/>
              <w:bottom w:val="single" w:sz="8" w:space="0" w:color="auto"/>
              <w:right w:val="single" w:sz="8" w:space="0" w:color="auto"/>
            </w:tcBorders>
            <w:shd w:val="clear" w:color="auto" w:fill="auto"/>
            <w:vAlign w:val="center"/>
            <w:hideMark/>
          </w:tcPr>
          <w:p w14:paraId="16E9C81D"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900.563.448</w:t>
            </w:r>
          </w:p>
        </w:tc>
        <w:tc>
          <w:tcPr>
            <w:tcW w:w="323" w:type="dxa"/>
            <w:tcBorders>
              <w:top w:val="nil"/>
              <w:left w:val="nil"/>
              <w:bottom w:val="single" w:sz="8" w:space="0" w:color="auto"/>
              <w:right w:val="single" w:sz="8" w:space="0" w:color="auto"/>
            </w:tcBorders>
            <w:shd w:val="clear" w:color="auto" w:fill="auto"/>
            <w:vAlign w:val="center"/>
            <w:hideMark/>
          </w:tcPr>
          <w:p w14:paraId="21AEC4F2"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6</w:t>
            </w:r>
          </w:p>
        </w:tc>
        <w:tc>
          <w:tcPr>
            <w:tcW w:w="505" w:type="dxa"/>
            <w:tcBorders>
              <w:top w:val="nil"/>
              <w:left w:val="nil"/>
              <w:bottom w:val="single" w:sz="8" w:space="0" w:color="auto"/>
              <w:right w:val="single" w:sz="8" w:space="0" w:color="auto"/>
            </w:tcBorders>
            <w:shd w:val="clear" w:color="auto" w:fill="auto"/>
            <w:vAlign w:val="center"/>
            <w:hideMark/>
          </w:tcPr>
          <w:p w14:paraId="48C64B89"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26201</w:t>
            </w:r>
          </w:p>
        </w:tc>
        <w:tc>
          <w:tcPr>
            <w:tcW w:w="3498" w:type="dxa"/>
            <w:tcBorders>
              <w:top w:val="nil"/>
              <w:left w:val="nil"/>
              <w:bottom w:val="single" w:sz="8" w:space="0" w:color="auto"/>
              <w:right w:val="single" w:sz="8" w:space="0" w:color="auto"/>
            </w:tcBorders>
            <w:shd w:val="clear" w:color="auto" w:fill="auto"/>
            <w:vAlign w:val="center"/>
            <w:hideMark/>
          </w:tcPr>
          <w:p w14:paraId="7A4C9584"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DISTICON SAS ESP</w:t>
            </w:r>
          </w:p>
        </w:tc>
        <w:tc>
          <w:tcPr>
            <w:tcW w:w="1262" w:type="dxa"/>
            <w:tcBorders>
              <w:top w:val="nil"/>
              <w:left w:val="nil"/>
              <w:bottom w:val="single" w:sz="8" w:space="0" w:color="auto"/>
              <w:right w:val="single" w:sz="8" w:space="0" w:color="auto"/>
            </w:tcBorders>
            <w:shd w:val="clear" w:color="auto" w:fill="auto"/>
            <w:vAlign w:val="center"/>
            <w:hideMark/>
          </w:tcPr>
          <w:p w14:paraId="6710E57B"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0E409BB1"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6CCDDDC8" w14:textId="77777777" w:rsidTr="00AD4E79">
        <w:trPr>
          <w:trHeight w:val="239"/>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5692833A"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lastRenderedPageBreak/>
              <w:t>113</w:t>
            </w:r>
          </w:p>
        </w:tc>
        <w:tc>
          <w:tcPr>
            <w:tcW w:w="880" w:type="dxa"/>
            <w:tcBorders>
              <w:top w:val="nil"/>
              <w:left w:val="nil"/>
              <w:bottom w:val="single" w:sz="8" w:space="0" w:color="auto"/>
              <w:right w:val="single" w:sz="8" w:space="0" w:color="auto"/>
            </w:tcBorders>
            <w:shd w:val="clear" w:color="auto" w:fill="auto"/>
            <w:vAlign w:val="center"/>
            <w:hideMark/>
          </w:tcPr>
          <w:p w14:paraId="4DC127AE"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900.565.871</w:t>
            </w:r>
          </w:p>
        </w:tc>
        <w:tc>
          <w:tcPr>
            <w:tcW w:w="323" w:type="dxa"/>
            <w:tcBorders>
              <w:top w:val="nil"/>
              <w:left w:val="nil"/>
              <w:bottom w:val="single" w:sz="8" w:space="0" w:color="auto"/>
              <w:right w:val="single" w:sz="8" w:space="0" w:color="auto"/>
            </w:tcBorders>
            <w:shd w:val="clear" w:color="auto" w:fill="auto"/>
            <w:vAlign w:val="center"/>
            <w:hideMark/>
          </w:tcPr>
          <w:p w14:paraId="061C0F5D"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w:t>
            </w:r>
          </w:p>
        </w:tc>
        <w:tc>
          <w:tcPr>
            <w:tcW w:w="505" w:type="dxa"/>
            <w:tcBorders>
              <w:top w:val="nil"/>
              <w:left w:val="nil"/>
              <w:bottom w:val="single" w:sz="8" w:space="0" w:color="auto"/>
              <w:right w:val="single" w:sz="8" w:space="0" w:color="auto"/>
            </w:tcBorders>
            <w:shd w:val="clear" w:color="auto" w:fill="auto"/>
            <w:vAlign w:val="center"/>
            <w:hideMark/>
          </w:tcPr>
          <w:p w14:paraId="7D860B65"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26226</w:t>
            </w:r>
          </w:p>
        </w:tc>
        <w:tc>
          <w:tcPr>
            <w:tcW w:w="3498" w:type="dxa"/>
            <w:tcBorders>
              <w:top w:val="nil"/>
              <w:left w:val="nil"/>
              <w:bottom w:val="single" w:sz="8" w:space="0" w:color="auto"/>
              <w:right w:val="single" w:sz="8" w:space="0" w:color="auto"/>
            </w:tcBorders>
            <w:shd w:val="clear" w:color="auto" w:fill="auto"/>
            <w:vAlign w:val="center"/>
            <w:hideMark/>
          </w:tcPr>
          <w:p w14:paraId="1A700CC4"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COMPROPANO SOCIEDAD POR ACCIONES SIMPLIFICADA E.</w:t>
            </w:r>
            <w:proofErr w:type="gramStart"/>
            <w:r w:rsidRPr="00AD4E79">
              <w:rPr>
                <w:rFonts w:ascii="Arial Narrow" w:hAnsi="Arial Narrow" w:cs="Arial"/>
                <w:spacing w:val="0"/>
                <w:sz w:val="16"/>
                <w:szCs w:val="16"/>
                <w:lang w:eastAsia="es-CO"/>
              </w:rPr>
              <w:t>S.P</w:t>
            </w:r>
            <w:proofErr w:type="gramEnd"/>
          </w:p>
        </w:tc>
        <w:tc>
          <w:tcPr>
            <w:tcW w:w="1262" w:type="dxa"/>
            <w:tcBorders>
              <w:top w:val="nil"/>
              <w:left w:val="nil"/>
              <w:bottom w:val="single" w:sz="8" w:space="0" w:color="auto"/>
              <w:right w:val="single" w:sz="8" w:space="0" w:color="auto"/>
            </w:tcBorders>
            <w:shd w:val="clear" w:color="auto" w:fill="auto"/>
            <w:vAlign w:val="center"/>
            <w:hideMark/>
          </w:tcPr>
          <w:p w14:paraId="57A68468"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2A327561"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429A2E4B"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30C22FCD"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114</w:t>
            </w:r>
          </w:p>
        </w:tc>
        <w:tc>
          <w:tcPr>
            <w:tcW w:w="880" w:type="dxa"/>
            <w:tcBorders>
              <w:top w:val="nil"/>
              <w:left w:val="nil"/>
              <w:bottom w:val="single" w:sz="8" w:space="0" w:color="auto"/>
              <w:right w:val="single" w:sz="8" w:space="0" w:color="auto"/>
            </w:tcBorders>
            <w:shd w:val="clear" w:color="auto" w:fill="auto"/>
            <w:vAlign w:val="center"/>
            <w:hideMark/>
          </w:tcPr>
          <w:p w14:paraId="24B0A5EA"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900.566.834</w:t>
            </w:r>
          </w:p>
        </w:tc>
        <w:tc>
          <w:tcPr>
            <w:tcW w:w="323" w:type="dxa"/>
            <w:tcBorders>
              <w:top w:val="nil"/>
              <w:left w:val="nil"/>
              <w:bottom w:val="single" w:sz="8" w:space="0" w:color="auto"/>
              <w:right w:val="single" w:sz="8" w:space="0" w:color="auto"/>
            </w:tcBorders>
            <w:shd w:val="clear" w:color="auto" w:fill="auto"/>
            <w:vAlign w:val="center"/>
            <w:hideMark/>
          </w:tcPr>
          <w:p w14:paraId="27D9BEB4"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w:t>
            </w:r>
          </w:p>
        </w:tc>
        <w:tc>
          <w:tcPr>
            <w:tcW w:w="505" w:type="dxa"/>
            <w:tcBorders>
              <w:top w:val="nil"/>
              <w:left w:val="nil"/>
              <w:bottom w:val="single" w:sz="8" w:space="0" w:color="auto"/>
              <w:right w:val="single" w:sz="8" w:space="0" w:color="auto"/>
            </w:tcBorders>
            <w:shd w:val="clear" w:color="auto" w:fill="auto"/>
            <w:vAlign w:val="center"/>
            <w:hideMark/>
          </w:tcPr>
          <w:p w14:paraId="6775B7CF"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26219</w:t>
            </w:r>
          </w:p>
        </w:tc>
        <w:tc>
          <w:tcPr>
            <w:tcW w:w="3498" w:type="dxa"/>
            <w:tcBorders>
              <w:top w:val="nil"/>
              <w:left w:val="nil"/>
              <w:bottom w:val="single" w:sz="8" w:space="0" w:color="auto"/>
              <w:right w:val="single" w:sz="8" w:space="0" w:color="auto"/>
            </w:tcBorders>
            <w:shd w:val="clear" w:color="auto" w:fill="auto"/>
            <w:vAlign w:val="center"/>
            <w:hideMark/>
          </w:tcPr>
          <w:p w14:paraId="2A1977C9"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GAS EXPRESS COLOMBIA SAS ESP</w:t>
            </w:r>
          </w:p>
        </w:tc>
        <w:tc>
          <w:tcPr>
            <w:tcW w:w="1262" w:type="dxa"/>
            <w:tcBorders>
              <w:top w:val="nil"/>
              <w:left w:val="nil"/>
              <w:bottom w:val="single" w:sz="8" w:space="0" w:color="auto"/>
              <w:right w:val="single" w:sz="8" w:space="0" w:color="auto"/>
            </w:tcBorders>
            <w:shd w:val="clear" w:color="auto" w:fill="auto"/>
            <w:vAlign w:val="center"/>
            <w:hideMark/>
          </w:tcPr>
          <w:p w14:paraId="2E152FF7"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7DDDD751"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50BE243F"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2FEED46E"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115</w:t>
            </w:r>
          </w:p>
        </w:tc>
        <w:tc>
          <w:tcPr>
            <w:tcW w:w="880" w:type="dxa"/>
            <w:tcBorders>
              <w:top w:val="nil"/>
              <w:left w:val="nil"/>
              <w:bottom w:val="single" w:sz="8" w:space="0" w:color="auto"/>
              <w:right w:val="single" w:sz="8" w:space="0" w:color="auto"/>
            </w:tcBorders>
            <w:shd w:val="clear" w:color="auto" w:fill="auto"/>
            <w:vAlign w:val="center"/>
            <w:hideMark/>
          </w:tcPr>
          <w:p w14:paraId="785849FD"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900.570.262</w:t>
            </w:r>
          </w:p>
        </w:tc>
        <w:tc>
          <w:tcPr>
            <w:tcW w:w="323" w:type="dxa"/>
            <w:tcBorders>
              <w:top w:val="nil"/>
              <w:left w:val="nil"/>
              <w:bottom w:val="single" w:sz="8" w:space="0" w:color="auto"/>
              <w:right w:val="single" w:sz="8" w:space="0" w:color="auto"/>
            </w:tcBorders>
            <w:shd w:val="clear" w:color="auto" w:fill="auto"/>
            <w:vAlign w:val="center"/>
            <w:hideMark/>
          </w:tcPr>
          <w:p w14:paraId="6E1B5A6E"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w:t>
            </w:r>
          </w:p>
        </w:tc>
        <w:tc>
          <w:tcPr>
            <w:tcW w:w="505" w:type="dxa"/>
            <w:tcBorders>
              <w:top w:val="nil"/>
              <w:left w:val="nil"/>
              <w:bottom w:val="single" w:sz="8" w:space="0" w:color="auto"/>
              <w:right w:val="single" w:sz="8" w:space="0" w:color="auto"/>
            </w:tcBorders>
            <w:shd w:val="clear" w:color="auto" w:fill="auto"/>
            <w:vAlign w:val="center"/>
            <w:hideMark/>
          </w:tcPr>
          <w:p w14:paraId="2A6920FA"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26548</w:t>
            </w:r>
          </w:p>
        </w:tc>
        <w:tc>
          <w:tcPr>
            <w:tcW w:w="3498" w:type="dxa"/>
            <w:tcBorders>
              <w:top w:val="nil"/>
              <w:left w:val="nil"/>
              <w:bottom w:val="single" w:sz="8" w:space="0" w:color="auto"/>
              <w:right w:val="single" w:sz="8" w:space="0" w:color="auto"/>
            </w:tcBorders>
            <w:shd w:val="clear" w:color="auto" w:fill="auto"/>
            <w:vAlign w:val="center"/>
            <w:hideMark/>
          </w:tcPr>
          <w:p w14:paraId="1E22E9C5"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GASES ANDINOS DE COLOMBIA S.A.S. E.S.P.</w:t>
            </w:r>
          </w:p>
        </w:tc>
        <w:tc>
          <w:tcPr>
            <w:tcW w:w="1262" w:type="dxa"/>
            <w:tcBorders>
              <w:top w:val="nil"/>
              <w:left w:val="nil"/>
              <w:bottom w:val="single" w:sz="8" w:space="0" w:color="auto"/>
              <w:right w:val="single" w:sz="8" w:space="0" w:color="auto"/>
            </w:tcBorders>
            <w:shd w:val="clear" w:color="auto" w:fill="auto"/>
            <w:vAlign w:val="center"/>
            <w:hideMark/>
          </w:tcPr>
          <w:p w14:paraId="3C6EE0F7"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04B938A1"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0F3B5D97" w14:textId="77777777" w:rsidTr="00AD4E79">
        <w:trPr>
          <w:trHeight w:val="422"/>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298161B9"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116</w:t>
            </w:r>
          </w:p>
        </w:tc>
        <w:tc>
          <w:tcPr>
            <w:tcW w:w="880" w:type="dxa"/>
            <w:tcBorders>
              <w:top w:val="nil"/>
              <w:left w:val="nil"/>
              <w:bottom w:val="single" w:sz="8" w:space="0" w:color="auto"/>
              <w:right w:val="single" w:sz="8" w:space="0" w:color="auto"/>
            </w:tcBorders>
            <w:shd w:val="clear" w:color="auto" w:fill="auto"/>
            <w:vAlign w:val="center"/>
            <w:hideMark/>
          </w:tcPr>
          <w:p w14:paraId="638ED211"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900.572.958</w:t>
            </w:r>
          </w:p>
        </w:tc>
        <w:tc>
          <w:tcPr>
            <w:tcW w:w="323" w:type="dxa"/>
            <w:tcBorders>
              <w:top w:val="nil"/>
              <w:left w:val="nil"/>
              <w:bottom w:val="single" w:sz="8" w:space="0" w:color="auto"/>
              <w:right w:val="single" w:sz="8" w:space="0" w:color="auto"/>
            </w:tcBorders>
            <w:shd w:val="clear" w:color="auto" w:fill="auto"/>
            <w:vAlign w:val="center"/>
            <w:hideMark/>
          </w:tcPr>
          <w:p w14:paraId="791DCA89"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w:t>
            </w:r>
          </w:p>
        </w:tc>
        <w:tc>
          <w:tcPr>
            <w:tcW w:w="505" w:type="dxa"/>
            <w:tcBorders>
              <w:top w:val="nil"/>
              <w:left w:val="nil"/>
              <w:bottom w:val="single" w:sz="8" w:space="0" w:color="auto"/>
              <w:right w:val="single" w:sz="8" w:space="0" w:color="auto"/>
            </w:tcBorders>
            <w:shd w:val="clear" w:color="auto" w:fill="auto"/>
            <w:vAlign w:val="center"/>
            <w:hideMark/>
          </w:tcPr>
          <w:p w14:paraId="06EFED59"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26237</w:t>
            </w:r>
          </w:p>
        </w:tc>
        <w:tc>
          <w:tcPr>
            <w:tcW w:w="3498" w:type="dxa"/>
            <w:tcBorders>
              <w:top w:val="nil"/>
              <w:left w:val="nil"/>
              <w:bottom w:val="single" w:sz="8" w:space="0" w:color="auto"/>
              <w:right w:val="single" w:sz="8" w:space="0" w:color="auto"/>
            </w:tcBorders>
            <w:shd w:val="clear" w:color="auto" w:fill="auto"/>
            <w:vAlign w:val="center"/>
            <w:hideMark/>
          </w:tcPr>
          <w:p w14:paraId="3D71214F"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COMERCIALIZADORA DE COMBUSTIBLES, ENERGIA Y GAS S.A.S.  E.S.P.</w:t>
            </w:r>
          </w:p>
        </w:tc>
        <w:tc>
          <w:tcPr>
            <w:tcW w:w="1262" w:type="dxa"/>
            <w:tcBorders>
              <w:top w:val="nil"/>
              <w:left w:val="nil"/>
              <w:bottom w:val="single" w:sz="8" w:space="0" w:color="auto"/>
              <w:right w:val="single" w:sz="8" w:space="0" w:color="auto"/>
            </w:tcBorders>
            <w:shd w:val="clear" w:color="auto" w:fill="auto"/>
            <w:vAlign w:val="center"/>
            <w:hideMark/>
          </w:tcPr>
          <w:p w14:paraId="3817B375"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004C6E98"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6C26AF2C"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73822F50"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117</w:t>
            </w:r>
          </w:p>
        </w:tc>
        <w:tc>
          <w:tcPr>
            <w:tcW w:w="880" w:type="dxa"/>
            <w:tcBorders>
              <w:top w:val="nil"/>
              <w:left w:val="nil"/>
              <w:bottom w:val="single" w:sz="8" w:space="0" w:color="auto"/>
              <w:right w:val="single" w:sz="8" w:space="0" w:color="auto"/>
            </w:tcBorders>
            <w:shd w:val="clear" w:color="auto" w:fill="auto"/>
            <w:vAlign w:val="center"/>
            <w:hideMark/>
          </w:tcPr>
          <w:p w14:paraId="645E06E1"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900.586.170</w:t>
            </w:r>
          </w:p>
        </w:tc>
        <w:tc>
          <w:tcPr>
            <w:tcW w:w="323" w:type="dxa"/>
            <w:tcBorders>
              <w:top w:val="nil"/>
              <w:left w:val="nil"/>
              <w:bottom w:val="single" w:sz="8" w:space="0" w:color="auto"/>
              <w:right w:val="single" w:sz="8" w:space="0" w:color="auto"/>
            </w:tcBorders>
            <w:shd w:val="clear" w:color="auto" w:fill="auto"/>
            <w:vAlign w:val="center"/>
            <w:hideMark/>
          </w:tcPr>
          <w:p w14:paraId="063ACAAC"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3</w:t>
            </w:r>
          </w:p>
        </w:tc>
        <w:tc>
          <w:tcPr>
            <w:tcW w:w="505" w:type="dxa"/>
            <w:tcBorders>
              <w:top w:val="nil"/>
              <w:left w:val="nil"/>
              <w:bottom w:val="single" w:sz="8" w:space="0" w:color="auto"/>
              <w:right w:val="single" w:sz="8" w:space="0" w:color="auto"/>
            </w:tcBorders>
            <w:shd w:val="clear" w:color="auto" w:fill="auto"/>
            <w:vAlign w:val="center"/>
            <w:hideMark/>
          </w:tcPr>
          <w:p w14:paraId="187DCF4D"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26554</w:t>
            </w:r>
          </w:p>
        </w:tc>
        <w:tc>
          <w:tcPr>
            <w:tcW w:w="3498" w:type="dxa"/>
            <w:tcBorders>
              <w:top w:val="nil"/>
              <w:left w:val="nil"/>
              <w:bottom w:val="single" w:sz="8" w:space="0" w:color="auto"/>
              <w:right w:val="single" w:sz="8" w:space="0" w:color="auto"/>
            </w:tcBorders>
            <w:shd w:val="clear" w:color="auto" w:fill="auto"/>
            <w:vAlign w:val="center"/>
            <w:hideMark/>
          </w:tcPr>
          <w:p w14:paraId="2D8673E6"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GAS UNION DE COLOMBIA S.A.S. E.S.P.</w:t>
            </w:r>
          </w:p>
        </w:tc>
        <w:tc>
          <w:tcPr>
            <w:tcW w:w="1262" w:type="dxa"/>
            <w:tcBorders>
              <w:top w:val="nil"/>
              <w:left w:val="nil"/>
              <w:bottom w:val="single" w:sz="8" w:space="0" w:color="auto"/>
              <w:right w:val="single" w:sz="8" w:space="0" w:color="auto"/>
            </w:tcBorders>
            <w:shd w:val="clear" w:color="auto" w:fill="auto"/>
            <w:vAlign w:val="center"/>
            <w:hideMark/>
          </w:tcPr>
          <w:p w14:paraId="1A18F781"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4ADBC523"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541549B8"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231B148F"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118</w:t>
            </w:r>
          </w:p>
        </w:tc>
        <w:tc>
          <w:tcPr>
            <w:tcW w:w="880" w:type="dxa"/>
            <w:tcBorders>
              <w:top w:val="nil"/>
              <w:left w:val="nil"/>
              <w:bottom w:val="single" w:sz="8" w:space="0" w:color="auto"/>
              <w:right w:val="single" w:sz="8" w:space="0" w:color="auto"/>
            </w:tcBorders>
            <w:shd w:val="clear" w:color="auto" w:fill="auto"/>
            <w:vAlign w:val="center"/>
            <w:hideMark/>
          </w:tcPr>
          <w:p w14:paraId="60F0893D"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900.643.166</w:t>
            </w:r>
          </w:p>
        </w:tc>
        <w:tc>
          <w:tcPr>
            <w:tcW w:w="323" w:type="dxa"/>
            <w:tcBorders>
              <w:top w:val="nil"/>
              <w:left w:val="nil"/>
              <w:bottom w:val="single" w:sz="8" w:space="0" w:color="auto"/>
              <w:right w:val="single" w:sz="8" w:space="0" w:color="auto"/>
            </w:tcBorders>
            <w:shd w:val="clear" w:color="auto" w:fill="auto"/>
            <w:vAlign w:val="center"/>
            <w:hideMark/>
          </w:tcPr>
          <w:p w14:paraId="06CDDA75"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w:t>
            </w:r>
          </w:p>
        </w:tc>
        <w:tc>
          <w:tcPr>
            <w:tcW w:w="505" w:type="dxa"/>
            <w:tcBorders>
              <w:top w:val="nil"/>
              <w:left w:val="nil"/>
              <w:bottom w:val="single" w:sz="8" w:space="0" w:color="auto"/>
              <w:right w:val="single" w:sz="8" w:space="0" w:color="auto"/>
            </w:tcBorders>
            <w:shd w:val="clear" w:color="auto" w:fill="auto"/>
            <w:vAlign w:val="center"/>
            <w:hideMark/>
          </w:tcPr>
          <w:p w14:paraId="22426032"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26677</w:t>
            </w:r>
          </w:p>
        </w:tc>
        <w:tc>
          <w:tcPr>
            <w:tcW w:w="3498" w:type="dxa"/>
            <w:tcBorders>
              <w:top w:val="nil"/>
              <w:left w:val="nil"/>
              <w:bottom w:val="single" w:sz="8" w:space="0" w:color="auto"/>
              <w:right w:val="single" w:sz="8" w:space="0" w:color="auto"/>
            </w:tcBorders>
            <w:shd w:val="clear" w:color="auto" w:fill="auto"/>
            <w:vAlign w:val="center"/>
            <w:hideMark/>
          </w:tcPr>
          <w:p w14:paraId="67711FA6"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CENTRAL DE HIDROCARBUROS GC SAS ESP</w:t>
            </w:r>
          </w:p>
        </w:tc>
        <w:tc>
          <w:tcPr>
            <w:tcW w:w="1262" w:type="dxa"/>
            <w:tcBorders>
              <w:top w:val="nil"/>
              <w:left w:val="nil"/>
              <w:bottom w:val="single" w:sz="8" w:space="0" w:color="auto"/>
              <w:right w:val="single" w:sz="8" w:space="0" w:color="auto"/>
            </w:tcBorders>
            <w:shd w:val="clear" w:color="auto" w:fill="auto"/>
            <w:vAlign w:val="center"/>
            <w:hideMark/>
          </w:tcPr>
          <w:p w14:paraId="79D81A10"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726CD431"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02F81F4F" w14:textId="77777777" w:rsidTr="00AD4E79">
        <w:trPr>
          <w:trHeight w:val="411"/>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4FBA03AA"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119</w:t>
            </w:r>
          </w:p>
        </w:tc>
        <w:tc>
          <w:tcPr>
            <w:tcW w:w="880" w:type="dxa"/>
            <w:tcBorders>
              <w:top w:val="nil"/>
              <w:left w:val="nil"/>
              <w:bottom w:val="single" w:sz="8" w:space="0" w:color="auto"/>
              <w:right w:val="single" w:sz="8" w:space="0" w:color="auto"/>
            </w:tcBorders>
            <w:shd w:val="clear" w:color="auto" w:fill="auto"/>
            <w:vAlign w:val="center"/>
            <w:hideMark/>
          </w:tcPr>
          <w:p w14:paraId="2E2B7936"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900.643.723</w:t>
            </w:r>
          </w:p>
        </w:tc>
        <w:tc>
          <w:tcPr>
            <w:tcW w:w="323" w:type="dxa"/>
            <w:tcBorders>
              <w:top w:val="nil"/>
              <w:left w:val="nil"/>
              <w:bottom w:val="single" w:sz="8" w:space="0" w:color="auto"/>
              <w:right w:val="single" w:sz="8" w:space="0" w:color="auto"/>
            </w:tcBorders>
            <w:shd w:val="clear" w:color="auto" w:fill="auto"/>
            <w:vAlign w:val="center"/>
            <w:hideMark/>
          </w:tcPr>
          <w:p w14:paraId="54D5C809"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0</w:t>
            </w:r>
          </w:p>
        </w:tc>
        <w:tc>
          <w:tcPr>
            <w:tcW w:w="505" w:type="dxa"/>
            <w:tcBorders>
              <w:top w:val="nil"/>
              <w:left w:val="nil"/>
              <w:bottom w:val="single" w:sz="8" w:space="0" w:color="auto"/>
              <w:right w:val="single" w:sz="8" w:space="0" w:color="auto"/>
            </w:tcBorders>
            <w:shd w:val="clear" w:color="auto" w:fill="auto"/>
            <w:vAlign w:val="center"/>
            <w:hideMark/>
          </w:tcPr>
          <w:p w14:paraId="2867DCAF"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33573</w:t>
            </w:r>
          </w:p>
        </w:tc>
        <w:tc>
          <w:tcPr>
            <w:tcW w:w="3498" w:type="dxa"/>
            <w:tcBorders>
              <w:top w:val="nil"/>
              <w:left w:val="nil"/>
              <w:bottom w:val="single" w:sz="8" w:space="0" w:color="auto"/>
              <w:right w:val="single" w:sz="8" w:space="0" w:color="auto"/>
            </w:tcBorders>
            <w:shd w:val="clear" w:color="auto" w:fill="auto"/>
            <w:vAlign w:val="center"/>
            <w:hideMark/>
          </w:tcPr>
          <w:p w14:paraId="3389F021"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 xml:space="preserve">COMERCIALIZADORA </w:t>
            </w:r>
            <w:proofErr w:type="gramStart"/>
            <w:r w:rsidRPr="00AD4E79">
              <w:rPr>
                <w:rFonts w:ascii="Arial Narrow" w:hAnsi="Arial Narrow" w:cs="Arial"/>
                <w:spacing w:val="0"/>
                <w:sz w:val="16"/>
                <w:szCs w:val="16"/>
                <w:lang w:eastAsia="es-CO"/>
              </w:rPr>
              <w:t>G.L.P  DEL</w:t>
            </w:r>
            <w:proofErr w:type="gramEnd"/>
            <w:r w:rsidRPr="00AD4E79">
              <w:rPr>
                <w:rFonts w:ascii="Arial Narrow" w:hAnsi="Arial Narrow" w:cs="Arial"/>
                <w:spacing w:val="0"/>
                <w:sz w:val="16"/>
                <w:szCs w:val="16"/>
                <w:lang w:eastAsia="es-CO"/>
              </w:rPr>
              <w:t xml:space="preserve"> ORIENTE SAS   ESP</w:t>
            </w:r>
          </w:p>
        </w:tc>
        <w:tc>
          <w:tcPr>
            <w:tcW w:w="1262" w:type="dxa"/>
            <w:tcBorders>
              <w:top w:val="nil"/>
              <w:left w:val="nil"/>
              <w:bottom w:val="single" w:sz="8" w:space="0" w:color="auto"/>
              <w:right w:val="single" w:sz="8" w:space="0" w:color="auto"/>
            </w:tcBorders>
            <w:shd w:val="clear" w:color="auto" w:fill="auto"/>
            <w:vAlign w:val="center"/>
            <w:hideMark/>
          </w:tcPr>
          <w:p w14:paraId="4DCDF190"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70B8F767"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6AA85219"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03D5DAF7"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120</w:t>
            </w:r>
          </w:p>
        </w:tc>
        <w:tc>
          <w:tcPr>
            <w:tcW w:w="880" w:type="dxa"/>
            <w:tcBorders>
              <w:top w:val="nil"/>
              <w:left w:val="nil"/>
              <w:bottom w:val="single" w:sz="8" w:space="0" w:color="auto"/>
              <w:right w:val="single" w:sz="8" w:space="0" w:color="auto"/>
            </w:tcBorders>
            <w:shd w:val="clear" w:color="auto" w:fill="auto"/>
            <w:vAlign w:val="center"/>
            <w:hideMark/>
          </w:tcPr>
          <w:p w14:paraId="3E3DF13A"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900.652.188</w:t>
            </w:r>
          </w:p>
        </w:tc>
        <w:tc>
          <w:tcPr>
            <w:tcW w:w="323" w:type="dxa"/>
            <w:tcBorders>
              <w:top w:val="nil"/>
              <w:left w:val="nil"/>
              <w:bottom w:val="single" w:sz="8" w:space="0" w:color="auto"/>
              <w:right w:val="single" w:sz="8" w:space="0" w:color="auto"/>
            </w:tcBorders>
            <w:shd w:val="clear" w:color="auto" w:fill="auto"/>
            <w:vAlign w:val="center"/>
            <w:hideMark/>
          </w:tcPr>
          <w:p w14:paraId="695C1114"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w:t>
            </w:r>
          </w:p>
        </w:tc>
        <w:tc>
          <w:tcPr>
            <w:tcW w:w="505" w:type="dxa"/>
            <w:tcBorders>
              <w:top w:val="nil"/>
              <w:left w:val="nil"/>
              <w:bottom w:val="single" w:sz="8" w:space="0" w:color="auto"/>
              <w:right w:val="single" w:sz="8" w:space="0" w:color="auto"/>
            </w:tcBorders>
            <w:shd w:val="clear" w:color="auto" w:fill="auto"/>
            <w:vAlign w:val="center"/>
            <w:hideMark/>
          </w:tcPr>
          <w:p w14:paraId="0C082714"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26992</w:t>
            </w:r>
          </w:p>
        </w:tc>
        <w:tc>
          <w:tcPr>
            <w:tcW w:w="3498" w:type="dxa"/>
            <w:tcBorders>
              <w:top w:val="nil"/>
              <w:left w:val="nil"/>
              <w:bottom w:val="single" w:sz="8" w:space="0" w:color="auto"/>
              <w:right w:val="single" w:sz="8" w:space="0" w:color="auto"/>
            </w:tcBorders>
            <w:shd w:val="clear" w:color="auto" w:fill="auto"/>
            <w:vAlign w:val="center"/>
            <w:hideMark/>
          </w:tcPr>
          <w:p w14:paraId="2FCFD294"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REDEGAS DOMICILIARIO S. A.  ESP</w:t>
            </w:r>
          </w:p>
        </w:tc>
        <w:tc>
          <w:tcPr>
            <w:tcW w:w="1262" w:type="dxa"/>
            <w:tcBorders>
              <w:top w:val="nil"/>
              <w:left w:val="nil"/>
              <w:bottom w:val="single" w:sz="8" w:space="0" w:color="auto"/>
              <w:right w:val="single" w:sz="8" w:space="0" w:color="auto"/>
            </w:tcBorders>
            <w:shd w:val="clear" w:color="auto" w:fill="auto"/>
            <w:vAlign w:val="center"/>
            <w:hideMark/>
          </w:tcPr>
          <w:p w14:paraId="52CE46F7"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4E854B58"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2D45858A"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56626ED5"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121</w:t>
            </w:r>
          </w:p>
        </w:tc>
        <w:tc>
          <w:tcPr>
            <w:tcW w:w="880" w:type="dxa"/>
            <w:tcBorders>
              <w:top w:val="nil"/>
              <w:left w:val="nil"/>
              <w:bottom w:val="single" w:sz="8" w:space="0" w:color="auto"/>
              <w:right w:val="single" w:sz="8" w:space="0" w:color="auto"/>
            </w:tcBorders>
            <w:shd w:val="clear" w:color="auto" w:fill="auto"/>
            <w:vAlign w:val="center"/>
            <w:hideMark/>
          </w:tcPr>
          <w:p w14:paraId="1942D4D9"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900.653.272</w:t>
            </w:r>
          </w:p>
        </w:tc>
        <w:tc>
          <w:tcPr>
            <w:tcW w:w="323" w:type="dxa"/>
            <w:tcBorders>
              <w:top w:val="nil"/>
              <w:left w:val="nil"/>
              <w:bottom w:val="single" w:sz="8" w:space="0" w:color="auto"/>
              <w:right w:val="single" w:sz="8" w:space="0" w:color="auto"/>
            </w:tcBorders>
            <w:shd w:val="clear" w:color="auto" w:fill="auto"/>
            <w:vAlign w:val="center"/>
            <w:hideMark/>
          </w:tcPr>
          <w:p w14:paraId="33EC38CA"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3</w:t>
            </w:r>
          </w:p>
        </w:tc>
        <w:tc>
          <w:tcPr>
            <w:tcW w:w="505" w:type="dxa"/>
            <w:tcBorders>
              <w:top w:val="nil"/>
              <w:left w:val="nil"/>
              <w:bottom w:val="single" w:sz="8" w:space="0" w:color="auto"/>
              <w:right w:val="single" w:sz="8" w:space="0" w:color="auto"/>
            </w:tcBorders>
            <w:shd w:val="clear" w:color="auto" w:fill="auto"/>
            <w:vAlign w:val="center"/>
            <w:hideMark/>
          </w:tcPr>
          <w:p w14:paraId="084B5A74"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32213</w:t>
            </w:r>
          </w:p>
        </w:tc>
        <w:tc>
          <w:tcPr>
            <w:tcW w:w="3498" w:type="dxa"/>
            <w:tcBorders>
              <w:top w:val="nil"/>
              <w:left w:val="nil"/>
              <w:bottom w:val="single" w:sz="8" w:space="0" w:color="auto"/>
              <w:right w:val="single" w:sz="8" w:space="0" w:color="auto"/>
            </w:tcBorders>
            <w:shd w:val="clear" w:color="auto" w:fill="auto"/>
            <w:vAlign w:val="center"/>
            <w:hideMark/>
          </w:tcPr>
          <w:p w14:paraId="4DD9C90A"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KEOPS Y ASOCIADOS SAS ESP</w:t>
            </w:r>
          </w:p>
        </w:tc>
        <w:tc>
          <w:tcPr>
            <w:tcW w:w="1262" w:type="dxa"/>
            <w:tcBorders>
              <w:top w:val="nil"/>
              <w:left w:val="nil"/>
              <w:bottom w:val="single" w:sz="8" w:space="0" w:color="auto"/>
              <w:right w:val="single" w:sz="8" w:space="0" w:color="auto"/>
            </w:tcBorders>
            <w:shd w:val="clear" w:color="auto" w:fill="auto"/>
            <w:vAlign w:val="center"/>
            <w:hideMark/>
          </w:tcPr>
          <w:p w14:paraId="3702679D"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724DC9D9"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3CA91424"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5F20D4C6"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122</w:t>
            </w:r>
          </w:p>
        </w:tc>
        <w:tc>
          <w:tcPr>
            <w:tcW w:w="880" w:type="dxa"/>
            <w:tcBorders>
              <w:top w:val="nil"/>
              <w:left w:val="nil"/>
              <w:bottom w:val="single" w:sz="8" w:space="0" w:color="auto"/>
              <w:right w:val="single" w:sz="8" w:space="0" w:color="auto"/>
            </w:tcBorders>
            <w:shd w:val="clear" w:color="auto" w:fill="auto"/>
            <w:vAlign w:val="center"/>
            <w:hideMark/>
          </w:tcPr>
          <w:p w14:paraId="098FA160"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900.655.560</w:t>
            </w:r>
          </w:p>
        </w:tc>
        <w:tc>
          <w:tcPr>
            <w:tcW w:w="323" w:type="dxa"/>
            <w:tcBorders>
              <w:top w:val="nil"/>
              <w:left w:val="nil"/>
              <w:bottom w:val="single" w:sz="8" w:space="0" w:color="auto"/>
              <w:right w:val="single" w:sz="8" w:space="0" w:color="auto"/>
            </w:tcBorders>
            <w:shd w:val="clear" w:color="auto" w:fill="auto"/>
            <w:vAlign w:val="center"/>
            <w:hideMark/>
          </w:tcPr>
          <w:p w14:paraId="662E9380"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w:t>
            </w:r>
          </w:p>
        </w:tc>
        <w:tc>
          <w:tcPr>
            <w:tcW w:w="505" w:type="dxa"/>
            <w:tcBorders>
              <w:top w:val="nil"/>
              <w:left w:val="nil"/>
              <w:bottom w:val="single" w:sz="8" w:space="0" w:color="auto"/>
              <w:right w:val="single" w:sz="8" w:space="0" w:color="auto"/>
            </w:tcBorders>
            <w:shd w:val="clear" w:color="auto" w:fill="auto"/>
            <w:vAlign w:val="center"/>
            <w:hideMark/>
          </w:tcPr>
          <w:p w14:paraId="23DD751C"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26706</w:t>
            </w:r>
          </w:p>
        </w:tc>
        <w:tc>
          <w:tcPr>
            <w:tcW w:w="3498" w:type="dxa"/>
            <w:tcBorders>
              <w:top w:val="nil"/>
              <w:left w:val="nil"/>
              <w:bottom w:val="single" w:sz="8" w:space="0" w:color="auto"/>
              <w:right w:val="single" w:sz="8" w:space="0" w:color="auto"/>
            </w:tcBorders>
            <w:shd w:val="clear" w:color="auto" w:fill="auto"/>
            <w:vAlign w:val="center"/>
            <w:hideMark/>
          </w:tcPr>
          <w:p w14:paraId="01E28453"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GAS DE LA ORINOQUIA S.A. ESP.</w:t>
            </w:r>
          </w:p>
        </w:tc>
        <w:tc>
          <w:tcPr>
            <w:tcW w:w="1262" w:type="dxa"/>
            <w:tcBorders>
              <w:top w:val="nil"/>
              <w:left w:val="nil"/>
              <w:bottom w:val="single" w:sz="8" w:space="0" w:color="auto"/>
              <w:right w:val="single" w:sz="8" w:space="0" w:color="auto"/>
            </w:tcBorders>
            <w:shd w:val="clear" w:color="auto" w:fill="auto"/>
            <w:vAlign w:val="center"/>
            <w:hideMark/>
          </w:tcPr>
          <w:p w14:paraId="69FB0CC3"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5F257FEA"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SIN REPORTE AL SUI</w:t>
            </w:r>
          </w:p>
        </w:tc>
      </w:tr>
      <w:tr w:rsidR="00AD4E79" w:rsidRPr="00AD4E79" w14:paraId="4DFAD8DC"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3D7684A4"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123</w:t>
            </w:r>
          </w:p>
        </w:tc>
        <w:tc>
          <w:tcPr>
            <w:tcW w:w="880" w:type="dxa"/>
            <w:tcBorders>
              <w:top w:val="nil"/>
              <w:left w:val="nil"/>
              <w:bottom w:val="single" w:sz="8" w:space="0" w:color="auto"/>
              <w:right w:val="single" w:sz="8" w:space="0" w:color="auto"/>
            </w:tcBorders>
            <w:shd w:val="clear" w:color="auto" w:fill="auto"/>
            <w:vAlign w:val="center"/>
            <w:hideMark/>
          </w:tcPr>
          <w:p w14:paraId="06CB6012"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900.666.756</w:t>
            </w:r>
          </w:p>
        </w:tc>
        <w:tc>
          <w:tcPr>
            <w:tcW w:w="323" w:type="dxa"/>
            <w:tcBorders>
              <w:top w:val="nil"/>
              <w:left w:val="nil"/>
              <w:bottom w:val="single" w:sz="8" w:space="0" w:color="auto"/>
              <w:right w:val="single" w:sz="8" w:space="0" w:color="auto"/>
            </w:tcBorders>
            <w:shd w:val="clear" w:color="auto" w:fill="auto"/>
            <w:vAlign w:val="center"/>
            <w:hideMark/>
          </w:tcPr>
          <w:p w14:paraId="433159DF"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w:t>
            </w:r>
          </w:p>
        </w:tc>
        <w:tc>
          <w:tcPr>
            <w:tcW w:w="505" w:type="dxa"/>
            <w:tcBorders>
              <w:top w:val="nil"/>
              <w:left w:val="nil"/>
              <w:bottom w:val="single" w:sz="8" w:space="0" w:color="auto"/>
              <w:right w:val="single" w:sz="8" w:space="0" w:color="auto"/>
            </w:tcBorders>
            <w:shd w:val="clear" w:color="auto" w:fill="auto"/>
            <w:vAlign w:val="center"/>
            <w:hideMark/>
          </w:tcPr>
          <w:p w14:paraId="575196DA"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26728</w:t>
            </w:r>
          </w:p>
        </w:tc>
        <w:tc>
          <w:tcPr>
            <w:tcW w:w="3498" w:type="dxa"/>
            <w:tcBorders>
              <w:top w:val="nil"/>
              <w:left w:val="nil"/>
              <w:bottom w:val="single" w:sz="8" w:space="0" w:color="auto"/>
              <w:right w:val="single" w:sz="8" w:space="0" w:color="auto"/>
            </w:tcBorders>
            <w:shd w:val="clear" w:color="auto" w:fill="auto"/>
            <w:vAlign w:val="center"/>
            <w:hideMark/>
          </w:tcPr>
          <w:p w14:paraId="7015170A"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VIDA GAS POR NATURALEZA S.A. E.S.P.</w:t>
            </w:r>
          </w:p>
        </w:tc>
        <w:tc>
          <w:tcPr>
            <w:tcW w:w="1262" w:type="dxa"/>
            <w:tcBorders>
              <w:top w:val="nil"/>
              <w:left w:val="nil"/>
              <w:bottom w:val="single" w:sz="8" w:space="0" w:color="auto"/>
              <w:right w:val="single" w:sz="8" w:space="0" w:color="auto"/>
            </w:tcBorders>
            <w:shd w:val="clear" w:color="auto" w:fill="auto"/>
            <w:vAlign w:val="center"/>
            <w:hideMark/>
          </w:tcPr>
          <w:p w14:paraId="7421BF69"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4DB904D2"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3B218095" w14:textId="77777777" w:rsidTr="00AD4E79">
        <w:trPr>
          <w:trHeight w:val="417"/>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2B5E5155"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124</w:t>
            </w:r>
          </w:p>
        </w:tc>
        <w:tc>
          <w:tcPr>
            <w:tcW w:w="880" w:type="dxa"/>
            <w:tcBorders>
              <w:top w:val="nil"/>
              <w:left w:val="nil"/>
              <w:bottom w:val="single" w:sz="8" w:space="0" w:color="auto"/>
              <w:right w:val="single" w:sz="8" w:space="0" w:color="auto"/>
            </w:tcBorders>
            <w:shd w:val="clear" w:color="auto" w:fill="auto"/>
            <w:vAlign w:val="center"/>
            <w:hideMark/>
          </w:tcPr>
          <w:p w14:paraId="5C62E273"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900.689.029</w:t>
            </w:r>
          </w:p>
        </w:tc>
        <w:tc>
          <w:tcPr>
            <w:tcW w:w="323" w:type="dxa"/>
            <w:tcBorders>
              <w:top w:val="nil"/>
              <w:left w:val="nil"/>
              <w:bottom w:val="single" w:sz="8" w:space="0" w:color="auto"/>
              <w:right w:val="single" w:sz="8" w:space="0" w:color="auto"/>
            </w:tcBorders>
            <w:shd w:val="clear" w:color="auto" w:fill="auto"/>
            <w:vAlign w:val="center"/>
            <w:hideMark/>
          </w:tcPr>
          <w:p w14:paraId="589634EF"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5</w:t>
            </w:r>
          </w:p>
        </w:tc>
        <w:tc>
          <w:tcPr>
            <w:tcW w:w="505" w:type="dxa"/>
            <w:tcBorders>
              <w:top w:val="nil"/>
              <w:left w:val="nil"/>
              <w:bottom w:val="single" w:sz="8" w:space="0" w:color="auto"/>
              <w:right w:val="single" w:sz="8" w:space="0" w:color="auto"/>
            </w:tcBorders>
            <w:shd w:val="clear" w:color="auto" w:fill="auto"/>
            <w:vAlign w:val="center"/>
            <w:hideMark/>
          </w:tcPr>
          <w:p w14:paraId="1579A8E4"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32253</w:t>
            </w:r>
          </w:p>
        </w:tc>
        <w:tc>
          <w:tcPr>
            <w:tcW w:w="3498" w:type="dxa"/>
            <w:tcBorders>
              <w:top w:val="nil"/>
              <w:left w:val="nil"/>
              <w:bottom w:val="single" w:sz="8" w:space="0" w:color="auto"/>
              <w:right w:val="single" w:sz="8" w:space="0" w:color="auto"/>
            </w:tcBorders>
            <w:shd w:val="clear" w:color="auto" w:fill="auto"/>
            <w:vAlign w:val="center"/>
            <w:hideMark/>
          </w:tcPr>
          <w:p w14:paraId="7750F42A"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COMERCIALIZADORA DE GAS CASANARE S.A.S. E.S.P.</w:t>
            </w:r>
          </w:p>
        </w:tc>
        <w:tc>
          <w:tcPr>
            <w:tcW w:w="1262" w:type="dxa"/>
            <w:tcBorders>
              <w:top w:val="nil"/>
              <w:left w:val="nil"/>
              <w:bottom w:val="single" w:sz="8" w:space="0" w:color="auto"/>
              <w:right w:val="single" w:sz="8" w:space="0" w:color="auto"/>
            </w:tcBorders>
            <w:shd w:val="clear" w:color="auto" w:fill="auto"/>
            <w:vAlign w:val="center"/>
            <w:hideMark/>
          </w:tcPr>
          <w:p w14:paraId="77B3D814"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49757BF7"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SIN REPORTE AL SUI</w:t>
            </w:r>
          </w:p>
        </w:tc>
      </w:tr>
      <w:tr w:rsidR="00AD4E79" w:rsidRPr="00AD4E79" w14:paraId="3F71BC98"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0F4EA368"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125</w:t>
            </w:r>
          </w:p>
        </w:tc>
        <w:tc>
          <w:tcPr>
            <w:tcW w:w="880" w:type="dxa"/>
            <w:tcBorders>
              <w:top w:val="nil"/>
              <w:left w:val="nil"/>
              <w:bottom w:val="single" w:sz="8" w:space="0" w:color="auto"/>
              <w:right w:val="single" w:sz="8" w:space="0" w:color="auto"/>
            </w:tcBorders>
            <w:shd w:val="clear" w:color="auto" w:fill="auto"/>
            <w:vAlign w:val="center"/>
            <w:hideMark/>
          </w:tcPr>
          <w:p w14:paraId="56DF8700"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900.701.845</w:t>
            </w:r>
          </w:p>
        </w:tc>
        <w:tc>
          <w:tcPr>
            <w:tcW w:w="323" w:type="dxa"/>
            <w:tcBorders>
              <w:top w:val="nil"/>
              <w:left w:val="nil"/>
              <w:bottom w:val="single" w:sz="8" w:space="0" w:color="auto"/>
              <w:right w:val="single" w:sz="8" w:space="0" w:color="auto"/>
            </w:tcBorders>
            <w:shd w:val="clear" w:color="auto" w:fill="auto"/>
            <w:vAlign w:val="center"/>
            <w:hideMark/>
          </w:tcPr>
          <w:p w14:paraId="584AEA02"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w:t>
            </w:r>
          </w:p>
        </w:tc>
        <w:tc>
          <w:tcPr>
            <w:tcW w:w="505" w:type="dxa"/>
            <w:tcBorders>
              <w:top w:val="nil"/>
              <w:left w:val="nil"/>
              <w:bottom w:val="single" w:sz="8" w:space="0" w:color="auto"/>
              <w:right w:val="single" w:sz="8" w:space="0" w:color="auto"/>
            </w:tcBorders>
            <w:shd w:val="clear" w:color="auto" w:fill="auto"/>
            <w:vAlign w:val="center"/>
            <w:hideMark/>
          </w:tcPr>
          <w:p w14:paraId="4D0034DA"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26817</w:t>
            </w:r>
          </w:p>
        </w:tc>
        <w:tc>
          <w:tcPr>
            <w:tcW w:w="3498" w:type="dxa"/>
            <w:tcBorders>
              <w:top w:val="nil"/>
              <w:left w:val="nil"/>
              <w:bottom w:val="single" w:sz="8" w:space="0" w:color="auto"/>
              <w:right w:val="single" w:sz="8" w:space="0" w:color="auto"/>
            </w:tcBorders>
            <w:shd w:val="clear" w:color="auto" w:fill="auto"/>
            <w:vAlign w:val="center"/>
            <w:hideMark/>
          </w:tcPr>
          <w:p w14:paraId="1BF87F24"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GAS PROPANO DE COLOMBIA S.A.S. E.S.P.</w:t>
            </w:r>
          </w:p>
        </w:tc>
        <w:tc>
          <w:tcPr>
            <w:tcW w:w="1262" w:type="dxa"/>
            <w:tcBorders>
              <w:top w:val="nil"/>
              <w:left w:val="nil"/>
              <w:bottom w:val="single" w:sz="8" w:space="0" w:color="auto"/>
              <w:right w:val="single" w:sz="8" w:space="0" w:color="auto"/>
            </w:tcBorders>
            <w:shd w:val="clear" w:color="auto" w:fill="auto"/>
            <w:vAlign w:val="center"/>
            <w:hideMark/>
          </w:tcPr>
          <w:p w14:paraId="273249CB"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4F45AFAF"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15319140"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095CDBE7"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126</w:t>
            </w:r>
          </w:p>
        </w:tc>
        <w:tc>
          <w:tcPr>
            <w:tcW w:w="880" w:type="dxa"/>
            <w:tcBorders>
              <w:top w:val="nil"/>
              <w:left w:val="nil"/>
              <w:bottom w:val="single" w:sz="8" w:space="0" w:color="auto"/>
              <w:right w:val="single" w:sz="8" w:space="0" w:color="auto"/>
            </w:tcBorders>
            <w:shd w:val="clear" w:color="auto" w:fill="auto"/>
            <w:vAlign w:val="center"/>
            <w:hideMark/>
          </w:tcPr>
          <w:p w14:paraId="4A6CE7BD"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900.707.217</w:t>
            </w:r>
          </w:p>
        </w:tc>
        <w:tc>
          <w:tcPr>
            <w:tcW w:w="323" w:type="dxa"/>
            <w:tcBorders>
              <w:top w:val="nil"/>
              <w:left w:val="nil"/>
              <w:bottom w:val="single" w:sz="8" w:space="0" w:color="auto"/>
              <w:right w:val="single" w:sz="8" w:space="0" w:color="auto"/>
            </w:tcBorders>
            <w:shd w:val="clear" w:color="auto" w:fill="auto"/>
            <w:vAlign w:val="center"/>
            <w:hideMark/>
          </w:tcPr>
          <w:p w14:paraId="4F0307B0"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w:t>
            </w:r>
          </w:p>
        </w:tc>
        <w:tc>
          <w:tcPr>
            <w:tcW w:w="505" w:type="dxa"/>
            <w:tcBorders>
              <w:top w:val="nil"/>
              <w:left w:val="nil"/>
              <w:bottom w:val="single" w:sz="8" w:space="0" w:color="auto"/>
              <w:right w:val="single" w:sz="8" w:space="0" w:color="auto"/>
            </w:tcBorders>
            <w:shd w:val="clear" w:color="auto" w:fill="auto"/>
            <w:vAlign w:val="center"/>
            <w:hideMark/>
          </w:tcPr>
          <w:p w14:paraId="424AD676"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26972</w:t>
            </w:r>
          </w:p>
        </w:tc>
        <w:tc>
          <w:tcPr>
            <w:tcW w:w="3498" w:type="dxa"/>
            <w:tcBorders>
              <w:top w:val="nil"/>
              <w:left w:val="nil"/>
              <w:bottom w:val="single" w:sz="8" w:space="0" w:color="auto"/>
              <w:right w:val="single" w:sz="8" w:space="0" w:color="auto"/>
            </w:tcBorders>
            <w:shd w:val="clear" w:color="auto" w:fill="auto"/>
            <w:vAlign w:val="center"/>
            <w:hideMark/>
          </w:tcPr>
          <w:p w14:paraId="4C123972" w14:textId="77777777" w:rsidR="00E75BBE" w:rsidRPr="00AD4E79" w:rsidRDefault="00E75BBE" w:rsidP="00D22441">
            <w:pPr>
              <w:jc w:val="left"/>
              <w:rPr>
                <w:rFonts w:ascii="Arial Narrow" w:hAnsi="Arial Narrow" w:cs="Arial"/>
                <w:spacing w:val="0"/>
                <w:sz w:val="16"/>
                <w:szCs w:val="16"/>
                <w:lang w:val="en-GB" w:eastAsia="es-CO"/>
              </w:rPr>
            </w:pPr>
            <w:r w:rsidRPr="00AD4E79">
              <w:rPr>
                <w:rFonts w:ascii="Arial Narrow" w:hAnsi="Arial Narrow" w:cs="Arial"/>
                <w:spacing w:val="0"/>
                <w:sz w:val="16"/>
                <w:szCs w:val="16"/>
                <w:lang w:val="en-GB" w:eastAsia="es-CO"/>
              </w:rPr>
              <w:t>GASOIL SERVICES S.A.S E.</w:t>
            </w:r>
            <w:proofErr w:type="gramStart"/>
            <w:r w:rsidRPr="00AD4E79">
              <w:rPr>
                <w:rFonts w:ascii="Arial Narrow" w:hAnsi="Arial Narrow" w:cs="Arial"/>
                <w:spacing w:val="0"/>
                <w:sz w:val="16"/>
                <w:szCs w:val="16"/>
                <w:lang w:val="en-GB" w:eastAsia="es-CO"/>
              </w:rPr>
              <w:t>S.P</w:t>
            </w:r>
            <w:proofErr w:type="gramEnd"/>
          </w:p>
        </w:tc>
        <w:tc>
          <w:tcPr>
            <w:tcW w:w="1262" w:type="dxa"/>
            <w:tcBorders>
              <w:top w:val="nil"/>
              <w:left w:val="nil"/>
              <w:bottom w:val="single" w:sz="8" w:space="0" w:color="auto"/>
              <w:right w:val="single" w:sz="8" w:space="0" w:color="auto"/>
            </w:tcBorders>
            <w:shd w:val="clear" w:color="auto" w:fill="auto"/>
            <w:vAlign w:val="center"/>
            <w:hideMark/>
          </w:tcPr>
          <w:p w14:paraId="72329650"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19BD7B58"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SIN REPORTE AL SUI</w:t>
            </w:r>
          </w:p>
        </w:tc>
      </w:tr>
      <w:tr w:rsidR="00AD4E79" w:rsidRPr="00AD4E79" w14:paraId="479BB15B"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299DF328"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127</w:t>
            </w:r>
          </w:p>
        </w:tc>
        <w:tc>
          <w:tcPr>
            <w:tcW w:w="880" w:type="dxa"/>
            <w:tcBorders>
              <w:top w:val="nil"/>
              <w:left w:val="nil"/>
              <w:bottom w:val="single" w:sz="8" w:space="0" w:color="auto"/>
              <w:right w:val="single" w:sz="8" w:space="0" w:color="auto"/>
            </w:tcBorders>
            <w:shd w:val="clear" w:color="auto" w:fill="auto"/>
            <w:vAlign w:val="center"/>
            <w:hideMark/>
          </w:tcPr>
          <w:p w14:paraId="2B861422"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900.713.658</w:t>
            </w:r>
          </w:p>
        </w:tc>
        <w:tc>
          <w:tcPr>
            <w:tcW w:w="323" w:type="dxa"/>
            <w:tcBorders>
              <w:top w:val="nil"/>
              <w:left w:val="nil"/>
              <w:bottom w:val="single" w:sz="8" w:space="0" w:color="auto"/>
              <w:right w:val="single" w:sz="8" w:space="0" w:color="auto"/>
            </w:tcBorders>
            <w:shd w:val="clear" w:color="auto" w:fill="auto"/>
            <w:vAlign w:val="center"/>
            <w:hideMark/>
          </w:tcPr>
          <w:p w14:paraId="51BF2495"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0</w:t>
            </w:r>
          </w:p>
        </w:tc>
        <w:tc>
          <w:tcPr>
            <w:tcW w:w="505" w:type="dxa"/>
            <w:tcBorders>
              <w:top w:val="nil"/>
              <w:left w:val="nil"/>
              <w:bottom w:val="single" w:sz="8" w:space="0" w:color="auto"/>
              <w:right w:val="single" w:sz="8" w:space="0" w:color="auto"/>
            </w:tcBorders>
            <w:shd w:val="clear" w:color="auto" w:fill="auto"/>
            <w:vAlign w:val="center"/>
            <w:hideMark/>
          </w:tcPr>
          <w:p w14:paraId="2CEB45DE"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31493</w:t>
            </w:r>
          </w:p>
        </w:tc>
        <w:tc>
          <w:tcPr>
            <w:tcW w:w="3498" w:type="dxa"/>
            <w:tcBorders>
              <w:top w:val="nil"/>
              <w:left w:val="nil"/>
              <w:bottom w:val="single" w:sz="8" w:space="0" w:color="auto"/>
              <w:right w:val="single" w:sz="8" w:space="0" w:color="auto"/>
            </w:tcBorders>
            <w:shd w:val="clear" w:color="auto" w:fill="auto"/>
            <w:vAlign w:val="center"/>
            <w:hideMark/>
          </w:tcPr>
          <w:p w14:paraId="58E4120A"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CNE OIL &amp; GAS SAS</w:t>
            </w:r>
          </w:p>
        </w:tc>
        <w:tc>
          <w:tcPr>
            <w:tcW w:w="1262" w:type="dxa"/>
            <w:tcBorders>
              <w:top w:val="nil"/>
              <w:left w:val="nil"/>
              <w:bottom w:val="single" w:sz="8" w:space="0" w:color="auto"/>
              <w:right w:val="single" w:sz="8" w:space="0" w:color="auto"/>
            </w:tcBorders>
            <w:shd w:val="clear" w:color="auto" w:fill="auto"/>
            <w:vAlign w:val="center"/>
            <w:hideMark/>
          </w:tcPr>
          <w:p w14:paraId="4094F2E8"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2D378FFD"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47CA11BC" w14:textId="77777777" w:rsidTr="00AD4E79">
        <w:trPr>
          <w:trHeight w:val="397"/>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3AEFBEBC"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128</w:t>
            </w:r>
          </w:p>
        </w:tc>
        <w:tc>
          <w:tcPr>
            <w:tcW w:w="880" w:type="dxa"/>
            <w:tcBorders>
              <w:top w:val="nil"/>
              <w:left w:val="nil"/>
              <w:bottom w:val="single" w:sz="8" w:space="0" w:color="auto"/>
              <w:right w:val="single" w:sz="8" w:space="0" w:color="auto"/>
            </w:tcBorders>
            <w:shd w:val="clear" w:color="auto" w:fill="auto"/>
            <w:vAlign w:val="center"/>
            <w:hideMark/>
          </w:tcPr>
          <w:p w14:paraId="1A750180"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900.716.459</w:t>
            </w:r>
          </w:p>
        </w:tc>
        <w:tc>
          <w:tcPr>
            <w:tcW w:w="323" w:type="dxa"/>
            <w:tcBorders>
              <w:top w:val="nil"/>
              <w:left w:val="nil"/>
              <w:bottom w:val="single" w:sz="8" w:space="0" w:color="auto"/>
              <w:right w:val="single" w:sz="8" w:space="0" w:color="auto"/>
            </w:tcBorders>
            <w:shd w:val="clear" w:color="auto" w:fill="auto"/>
            <w:vAlign w:val="center"/>
            <w:hideMark/>
          </w:tcPr>
          <w:p w14:paraId="15C73EC1"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5</w:t>
            </w:r>
          </w:p>
        </w:tc>
        <w:tc>
          <w:tcPr>
            <w:tcW w:w="505" w:type="dxa"/>
            <w:tcBorders>
              <w:top w:val="nil"/>
              <w:left w:val="nil"/>
              <w:bottom w:val="single" w:sz="8" w:space="0" w:color="auto"/>
              <w:right w:val="single" w:sz="8" w:space="0" w:color="auto"/>
            </w:tcBorders>
            <w:shd w:val="clear" w:color="auto" w:fill="auto"/>
            <w:vAlign w:val="center"/>
            <w:hideMark/>
          </w:tcPr>
          <w:p w14:paraId="17BF2EE2"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37354</w:t>
            </w:r>
          </w:p>
        </w:tc>
        <w:tc>
          <w:tcPr>
            <w:tcW w:w="3498" w:type="dxa"/>
            <w:tcBorders>
              <w:top w:val="nil"/>
              <w:left w:val="nil"/>
              <w:bottom w:val="single" w:sz="8" w:space="0" w:color="auto"/>
              <w:right w:val="single" w:sz="8" w:space="0" w:color="auto"/>
            </w:tcBorders>
            <w:shd w:val="clear" w:color="auto" w:fill="auto"/>
            <w:vAlign w:val="center"/>
            <w:hideMark/>
          </w:tcPr>
          <w:p w14:paraId="1C76537E"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COLOMBIANA DE SERVICIOS PÚBLICOS SOSTENIBLES S.A E.</w:t>
            </w:r>
            <w:proofErr w:type="gramStart"/>
            <w:r w:rsidRPr="00AD4E79">
              <w:rPr>
                <w:rFonts w:ascii="Arial Narrow" w:hAnsi="Arial Narrow" w:cs="Arial"/>
                <w:spacing w:val="0"/>
                <w:sz w:val="16"/>
                <w:szCs w:val="16"/>
                <w:lang w:eastAsia="es-CO"/>
              </w:rPr>
              <w:t>S.P</w:t>
            </w:r>
            <w:proofErr w:type="gramEnd"/>
          </w:p>
        </w:tc>
        <w:tc>
          <w:tcPr>
            <w:tcW w:w="1262" w:type="dxa"/>
            <w:tcBorders>
              <w:top w:val="nil"/>
              <w:left w:val="nil"/>
              <w:bottom w:val="single" w:sz="8" w:space="0" w:color="auto"/>
              <w:right w:val="single" w:sz="8" w:space="0" w:color="auto"/>
            </w:tcBorders>
            <w:shd w:val="clear" w:color="auto" w:fill="auto"/>
            <w:vAlign w:val="center"/>
            <w:hideMark/>
          </w:tcPr>
          <w:p w14:paraId="026DD5E1"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4AB2C8B1"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6DBB8894" w14:textId="77777777" w:rsidTr="00AD4E79">
        <w:trPr>
          <w:trHeight w:val="12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2E172533"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129</w:t>
            </w:r>
          </w:p>
        </w:tc>
        <w:tc>
          <w:tcPr>
            <w:tcW w:w="880" w:type="dxa"/>
            <w:tcBorders>
              <w:top w:val="nil"/>
              <w:left w:val="nil"/>
              <w:bottom w:val="single" w:sz="8" w:space="0" w:color="auto"/>
              <w:right w:val="single" w:sz="8" w:space="0" w:color="auto"/>
            </w:tcBorders>
            <w:shd w:val="clear" w:color="auto" w:fill="auto"/>
            <w:vAlign w:val="center"/>
            <w:hideMark/>
          </w:tcPr>
          <w:p w14:paraId="48FAEF71"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900.716.800</w:t>
            </w:r>
          </w:p>
        </w:tc>
        <w:tc>
          <w:tcPr>
            <w:tcW w:w="323" w:type="dxa"/>
            <w:tcBorders>
              <w:top w:val="nil"/>
              <w:left w:val="nil"/>
              <w:bottom w:val="single" w:sz="8" w:space="0" w:color="auto"/>
              <w:right w:val="single" w:sz="8" w:space="0" w:color="auto"/>
            </w:tcBorders>
            <w:shd w:val="clear" w:color="auto" w:fill="auto"/>
            <w:vAlign w:val="center"/>
            <w:hideMark/>
          </w:tcPr>
          <w:p w14:paraId="5DC09AB1"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4</w:t>
            </w:r>
          </w:p>
        </w:tc>
        <w:tc>
          <w:tcPr>
            <w:tcW w:w="505" w:type="dxa"/>
            <w:tcBorders>
              <w:top w:val="nil"/>
              <w:left w:val="nil"/>
              <w:bottom w:val="single" w:sz="8" w:space="0" w:color="auto"/>
              <w:right w:val="single" w:sz="8" w:space="0" w:color="auto"/>
            </w:tcBorders>
            <w:shd w:val="clear" w:color="auto" w:fill="auto"/>
            <w:vAlign w:val="center"/>
            <w:hideMark/>
          </w:tcPr>
          <w:p w14:paraId="40FB4D92"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26857</w:t>
            </w:r>
          </w:p>
        </w:tc>
        <w:tc>
          <w:tcPr>
            <w:tcW w:w="3498" w:type="dxa"/>
            <w:tcBorders>
              <w:top w:val="nil"/>
              <w:left w:val="nil"/>
              <w:bottom w:val="single" w:sz="8" w:space="0" w:color="auto"/>
              <w:right w:val="single" w:sz="8" w:space="0" w:color="auto"/>
            </w:tcBorders>
            <w:shd w:val="clear" w:color="auto" w:fill="auto"/>
            <w:vAlign w:val="center"/>
            <w:hideMark/>
          </w:tcPr>
          <w:p w14:paraId="03DBA8A5"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COMERCIALIZADORA CENTRO ORIENTE S.A. E.S.P.</w:t>
            </w:r>
          </w:p>
        </w:tc>
        <w:tc>
          <w:tcPr>
            <w:tcW w:w="1262" w:type="dxa"/>
            <w:tcBorders>
              <w:top w:val="nil"/>
              <w:left w:val="nil"/>
              <w:bottom w:val="single" w:sz="8" w:space="0" w:color="auto"/>
              <w:right w:val="single" w:sz="8" w:space="0" w:color="auto"/>
            </w:tcBorders>
            <w:shd w:val="clear" w:color="auto" w:fill="auto"/>
            <w:vAlign w:val="center"/>
            <w:hideMark/>
          </w:tcPr>
          <w:p w14:paraId="1CE163D0"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0DBED9F0"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SIN REPORTE AL SUI</w:t>
            </w:r>
          </w:p>
        </w:tc>
      </w:tr>
      <w:tr w:rsidR="00AD4E79" w:rsidRPr="00AD4E79" w14:paraId="6B0B106F"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4E737F0A"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130</w:t>
            </w:r>
          </w:p>
        </w:tc>
        <w:tc>
          <w:tcPr>
            <w:tcW w:w="880" w:type="dxa"/>
            <w:tcBorders>
              <w:top w:val="nil"/>
              <w:left w:val="nil"/>
              <w:bottom w:val="single" w:sz="8" w:space="0" w:color="auto"/>
              <w:right w:val="single" w:sz="8" w:space="0" w:color="auto"/>
            </w:tcBorders>
            <w:shd w:val="clear" w:color="auto" w:fill="auto"/>
            <w:vAlign w:val="center"/>
            <w:hideMark/>
          </w:tcPr>
          <w:p w14:paraId="3FDD846A"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900.718.988</w:t>
            </w:r>
          </w:p>
        </w:tc>
        <w:tc>
          <w:tcPr>
            <w:tcW w:w="323" w:type="dxa"/>
            <w:tcBorders>
              <w:top w:val="nil"/>
              <w:left w:val="nil"/>
              <w:bottom w:val="single" w:sz="8" w:space="0" w:color="auto"/>
              <w:right w:val="single" w:sz="8" w:space="0" w:color="auto"/>
            </w:tcBorders>
            <w:shd w:val="clear" w:color="auto" w:fill="auto"/>
            <w:vAlign w:val="center"/>
            <w:hideMark/>
          </w:tcPr>
          <w:p w14:paraId="302DB1EC"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w:t>
            </w:r>
          </w:p>
        </w:tc>
        <w:tc>
          <w:tcPr>
            <w:tcW w:w="505" w:type="dxa"/>
            <w:tcBorders>
              <w:top w:val="nil"/>
              <w:left w:val="nil"/>
              <w:bottom w:val="single" w:sz="8" w:space="0" w:color="auto"/>
              <w:right w:val="single" w:sz="8" w:space="0" w:color="auto"/>
            </w:tcBorders>
            <w:shd w:val="clear" w:color="auto" w:fill="auto"/>
            <w:vAlign w:val="center"/>
            <w:hideMark/>
          </w:tcPr>
          <w:p w14:paraId="640F7549"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31513</w:t>
            </w:r>
          </w:p>
        </w:tc>
        <w:tc>
          <w:tcPr>
            <w:tcW w:w="3498" w:type="dxa"/>
            <w:tcBorders>
              <w:top w:val="nil"/>
              <w:left w:val="nil"/>
              <w:bottom w:val="single" w:sz="8" w:space="0" w:color="auto"/>
              <w:right w:val="single" w:sz="8" w:space="0" w:color="auto"/>
            </w:tcBorders>
            <w:shd w:val="clear" w:color="auto" w:fill="auto"/>
            <w:vAlign w:val="center"/>
            <w:hideMark/>
          </w:tcPr>
          <w:p w14:paraId="40136775"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CENTAURO GAS SA ESP</w:t>
            </w:r>
          </w:p>
        </w:tc>
        <w:tc>
          <w:tcPr>
            <w:tcW w:w="1262" w:type="dxa"/>
            <w:tcBorders>
              <w:top w:val="nil"/>
              <w:left w:val="nil"/>
              <w:bottom w:val="single" w:sz="8" w:space="0" w:color="auto"/>
              <w:right w:val="single" w:sz="8" w:space="0" w:color="auto"/>
            </w:tcBorders>
            <w:shd w:val="clear" w:color="auto" w:fill="auto"/>
            <w:vAlign w:val="center"/>
            <w:hideMark/>
          </w:tcPr>
          <w:p w14:paraId="4374C999"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7266C11B"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6614C570"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22825442"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131</w:t>
            </w:r>
          </w:p>
        </w:tc>
        <w:tc>
          <w:tcPr>
            <w:tcW w:w="880" w:type="dxa"/>
            <w:tcBorders>
              <w:top w:val="nil"/>
              <w:left w:val="nil"/>
              <w:bottom w:val="single" w:sz="8" w:space="0" w:color="auto"/>
              <w:right w:val="single" w:sz="8" w:space="0" w:color="auto"/>
            </w:tcBorders>
            <w:shd w:val="clear" w:color="auto" w:fill="auto"/>
            <w:vAlign w:val="center"/>
            <w:hideMark/>
          </w:tcPr>
          <w:p w14:paraId="7CE72B09"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900.719.749</w:t>
            </w:r>
          </w:p>
        </w:tc>
        <w:tc>
          <w:tcPr>
            <w:tcW w:w="323" w:type="dxa"/>
            <w:tcBorders>
              <w:top w:val="nil"/>
              <w:left w:val="nil"/>
              <w:bottom w:val="single" w:sz="8" w:space="0" w:color="auto"/>
              <w:right w:val="single" w:sz="8" w:space="0" w:color="auto"/>
            </w:tcBorders>
            <w:shd w:val="clear" w:color="auto" w:fill="auto"/>
            <w:vAlign w:val="center"/>
            <w:hideMark/>
          </w:tcPr>
          <w:p w14:paraId="4B6AE7EA"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w:t>
            </w:r>
          </w:p>
        </w:tc>
        <w:tc>
          <w:tcPr>
            <w:tcW w:w="505" w:type="dxa"/>
            <w:tcBorders>
              <w:top w:val="nil"/>
              <w:left w:val="nil"/>
              <w:bottom w:val="single" w:sz="8" w:space="0" w:color="auto"/>
              <w:right w:val="single" w:sz="8" w:space="0" w:color="auto"/>
            </w:tcBorders>
            <w:shd w:val="clear" w:color="auto" w:fill="auto"/>
            <w:vAlign w:val="center"/>
            <w:hideMark/>
          </w:tcPr>
          <w:p w14:paraId="5F4FC85C"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26878</w:t>
            </w:r>
          </w:p>
        </w:tc>
        <w:tc>
          <w:tcPr>
            <w:tcW w:w="3498" w:type="dxa"/>
            <w:tcBorders>
              <w:top w:val="nil"/>
              <w:left w:val="nil"/>
              <w:bottom w:val="single" w:sz="8" w:space="0" w:color="auto"/>
              <w:right w:val="single" w:sz="8" w:space="0" w:color="auto"/>
            </w:tcBorders>
            <w:shd w:val="clear" w:color="auto" w:fill="auto"/>
            <w:vAlign w:val="center"/>
            <w:hideMark/>
          </w:tcPr>
          <w:p w14:paraId="12C64EC9"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MULTIGAS DE COLOMBIA S.A.S. E.S.P.</w:t>
            </w:r>
          </w:p>
        </w:tc>
        <w:tc>
          <w:tcPr>
            <w:tcW w:w="1262" w:type="dxa"/>
            <w:tcBorders>
              <w:top w:val="nil"/>
              <w:left w:val="nil"/>
              <w:bottom w:val="single" w:sz="8" w:space="0" w:color="auto"/>
              <w:right w:val="single" w:sz="8" w:space="0" w:color="auto"/>
            </w:tcBorders>
            <w:shd w:val="clear" w:color="auto" w:fill="auto"/>
            <w:vAlign w:val="center"/>
            <w:hideMark/>
          </w:tcPr>
          <w:p w14:paraId="5CC934EF"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2E008C58"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SIN REPORTE AL SUI</w:t>
            </w:r>
          </w:p>
        </w:tc>
      </w:tr>
      <w:tr w:rsidR="00AD4E79" w:rsidRPr="00AD4E79" w14:paraId="1C492AF3"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45E73FBD"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132</w:t>
            </w:r>
          </w:p>
        </w:tc>
        <w:tc>
          <w:tcPr>
            <w:tcW w:w="880" w:type="dxa"/>
            <w:tcBorders>
              <w:top w:val="nil"/>
              <w:left w:val="nil"/>
              <w:bottom w:val="single" w:sz="8" w:space="0" w:color="auto"/>
              <w:right w:val="single" w:sz="8" w:space="0" w:color="auto"/>
            </w:tcBorders>
            <w:shd w:val="clear" w:color="auto" w:fill="auto"/>
            <w:vAlign w:val="center"/>
            <w:hideMark/>
          </w:tcPr>
          <w:p w14:paraId="53851EA2"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900.771.588</w:t>
            </w:r>
          </w:p>
        </w:tc>
        <w:tc>
          <w:tcPr>
            <w:tcW w:w="323" w:type="dxa"/>
            <w:tcBorders>
              <w:top w:val="nil"/>
              <w:left w:val="nil"/>
              <w:bottom w:val="single" w:sz="8" w:space="0" w:color="auto"/>
              <w:right w:val="single" w:sz="8" w:space="0" w:color="auto"/>
            </w:tcBorders>
            <w:shd w:val="clear" w:color="auto" w:fill="auto"/>
            <w:vAlign w:val="center"/>
            <w:hideMark/>
          </w:tcPr>
          <w:p w14:paraId="34F5190D"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0</w:t>
            </w:r>
          </w:p>
        </w:tc>
        <w:tc>
          <w:tcPr>
            <w:tcW w:w="505" w:type="dxa"/>
            <w:tcBorders>
              <w:top w:val="nil"/>
              <w:left w:val="nil"/>
              <w:bottom w:val="single" w:sz="8" w:space="0" w:color="auto"/>
              <w:right w:val="single" w:sz="8" w:space="0" w:color="auto"/>
            </w:tcBorders>
            <w:shd w:val="clear" w:color="auto" w:fill="auto"/>
            <w:vAlign w:val="center"/>
            <w:hideMark/>
          </w:tcPr>
          <w:p w14:paraId="39CEC64A"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27812</w:t>
            </w:r>
          </w:p>
        </w:tc>
        <w:tc>
          <w:tcPr>
            <w:tcW w:w="3498" w:type="dxa"/>
            <w:tcBorders>
              <w:top w:val="nil"/>
              <w:left w:val="nil"/>
              <w:bottom w:val="single" w:sz="8" w:space="0" w:color="auto"/>
              <w:right w:val="single" w:sz="8" w:space="0" w:color="auto"/>
            </w:tcBorders>
            <w:shd w:val="clear" w:color="auto" w:fill="auto"/>
            <w:vAlign w:val="center"/>
            <w:hideMark/>
          </w:tcPr>
          <w:p w14:paraId="4C99D20F"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GAS PAC S.A.S. ESP.</w:t>
            </w:r>
          </w:p>
        </w:tc>
        <w:tc>
          <w:tcPr>
            <w:tcW w:w="1262" w:type="dxa"/>
            <w:tcBorders>
              <w:top w:val="nil"/>
              <w:left w:val="nil"/>
              <w:bottom w:val="single" w:sz="8" w:space="0" w:color="auto"/>
              <w:right w:val="single" w:sz="8" w:space="0" w:color="auto"/>
            </w:tcBorders>
            <w:shd w:val="clear" w:color="auto" w:fill="auto"/>
            <w:vAlign w:val="center"/>
            <w:hideMark/>
          </w:tcPr>
          <w:p w14:paraId="441C66BC"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109E199C"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23B14079"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3E016560"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133</w:t>
            </w:r>
          </w:p>
        </w:tc>
        <w:tc>
          <w:tcPr>
            <w:tcW w:w="880" w:type="dxa"/>
            <w:tcBorders>
              <w:top w:val="nil"/>
              <w:left w:val="nil"/>
              <w:bottom w:val="single" w:sz="8" w:space="0" w:color="auto"/>
              <w:right w:val="single" w:sz="8" w:space="0" w:color="auto"/>
            </w:tcBorders>
            <w:shd w:val="clear" w:color="auto" w:fill="auto"/>
            <w:vAlign w:val="center"/>
            <w:hideMark/>
          </w:tcPr>
          <w:p w14:paraId="569AD716"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900.808.884</w:t>
            </w:r>
          </w:p>
        </w:tc>
        <w:tc>
          <w:tcPr>
            <w:tcW w:w="323" w:type="dxa"/>
            <w:tcBorders>
              <w:top w:val="nil"/>
              <w:left w:val="nil"/>
              <w:bottom w:val="single" w:sz="8" w:space="0" w:color="auto"/>
              <w:right w:val="single" w:sz="8" w:space="0" w:color="auto"/>
            </w:tcBorders>
            <w:shd w:val="clear" w:color="auto" w:fill="auto"/>
            <w:vAlign w:val="center"/>
            <w:hideMark/>
          </w:tcPr>
          <w:p w14:paraId="0D3A3E36"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w:t>
            </w:r>
          </w:p>
        </w:tc>
        <w:tc>
          <w:tcPr>
            <w:tcW w:w="505" w:type="dxa"/>
            <w:tcBorders>
              <w:top w:val="nil"/>
              <w:left w:val="nil"/>
              <w:bottom w:val="single" w:sz="8" w:space="0" w:color="auto"/>
              <w:right w:val="single" w:sz="8" w:space="0" w:color="auto"/>
            </w:tcBorders>
            <w:shd w:val="clear" w:color="auto" w:fill="auto"/>
            <w:vAlign w:val="center"/>
            <w:hideMark/>
          </w:tcPr>
          <w:p w14:paraId="0E716195"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29131</w:t>
            </w:r>
          </w:p>
        </w:tc>
        <w:tc>
          <w:tcPr>
            <w:tcW w:w="3498" w:type="dxa"/>
            <w:tcBorders>
              <w:top w:val="nil"/>
              <w:left w:val="nil"/>
              <w:bottom w:val="single" w:sz="8" w:space="0" w:color="auto"/>
              <w:right w:val="single" w:sz="8" w:space="0" w:color="auto"/>
            </w:tcBorders>
            <w:shd w:val="clear" w:color="auto" w:fill="auto"/>
            <w:vAlign w:val="center"/>
            <w:hideMark/>
          </w:tcPr>
          <w:p w14:paraId="2EB93AF1"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CHIPALO ENERGY TRADING SAS ESP</w:t>
            </w:r>
          </w:p>
        </w:tc>
        <w:tc>
          <w:tcPr>
            <w:tcW w:w="1262" w:type="dxa"/>
            <w:tcBorders>
              <w:top w:val="nil"/>
              <w:left w:val="nil"/>
              <w:bottom w:val="single" w:sz="8" w:space="0" w:color="auto"/>
              <w:right w:val="single" w:sz="8" w:space="0" w:color="auto"/>
            </w:tcBorders>
            <w:shd w:val="clear" w:color="auto" w:fill="auto"/>
            <w:vAlign w:val="center"/>
            <w:hideMark/>
          </w:tcPr>
          <w:p w14:paraId="1316F0AB"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721B7DAD"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613F0D40"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620327B7"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134</w:t>
            </w:r>
          </w:p>
        </w:tc>
        <w:tc>
          <w:tcPr>
            <w:tcW w:w="880" w:type="dxa"/>
            <w:tcBorders>
              <w:top w:val="nil"/>
              <w:left w:val="nil"/>
              <w:bottom w:val="single" w:sz="8" w:space="0" w:color="auto"/>
              <w:right w:val="single" w:sz="8" w:space="0" w:color="auto"/>
            </w:tcBorders>
            <w:shd w:val="clear" w:color="auto" w:fill="auto"/>
            <w:vAlign w:val="center"/>
            <w:hideMark/>
          </w:tcPr>
          <w:p w14:paraId="2E177571"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900.851.785</w:t>
            </w:r>
          </w:p>
        </w:tc>
        <w:tc>
          <w:tcPr>
            <w:tcW w:w="323" w:type="dxa"/>
            <w:tcBorders>
              <w:top w:val="nil"/>
              <w:left w:val="nil"/>
              <w:bottom w:val="single" w:sz="8" w:space="0" w:color="auto"/>
              <w:right w:val="single" w:sz="8" w:space="0" w:color="auto"/>
            </w:tcBorders>
            <w:shd w:val="clear" w:color="auto" w:fill="auto"/>
            <w:vAlign w:val="center"/>
            <w:hideMark/>
          </w:tcPr>
          <w:p w14:paraId="55014159"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w:t>
            </w:r>
          </w:p>
        </w:tc>
        <w:tc>
          <w:tcPr>
            <w:tcW w:w="505" w:type="dxa"/>
            <w:tcBorders>
              <w:top w:val="nil"/>
              <w:left w:val="nil"/>
              <w:bottom w:val="single" w:sz="8" w:space="0" w:color="auto"/>
              <w:right w:val="single" w:sz="8" w:space="0" w:color="auto"/>
            </w:tcBorders>
            <w:shd w:val="clear" w:color="auto" w:fill="auto"/>
            <w:vAlign w:val="center"/>
            <w:hideMark/>
          </w:tcPr>
          <w:p w14:paraId="2C34D03F"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36314</w:t>
            </w:r>
          </w:p>
        </w:tc>
        <w:tc>
          <w:tcPr>
            <w:tcW w:w="3498" w:type="dxa"/>
            <w:tcBorders>
              <w:top w:val="nil"/>
              <w:left w:val="nil"/>
              <w:bottom w:val="single" w:sz="8" w:space="0" w:color="auto"/>
              <w:right w:val="single" w:sz="8" w:space="0" w:color="auto"/>
            </w:tcBorders>
            <w:shd w:val="clear" w:color="auto" w:fill="auto"/>
            <w:vAlign w:val="center"/>
            <w:hideMark/>
          </w:tcPr>
          <w:p w14:paraId="0125BD5C"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CALAMARI LNG SA ESP</w:t>
            </w:r>
          </w:p>
        </w:tc>
        <w:tc>
          <w:tcPr>
            <w:tcW w:w="1262" w:type="dxa"/>
            <w:tcBorders>
              <w:top w:val="nil"/>
              <w:left w:val="nil"/>
              <w:bottom w:val="single" w:sz="8" w:space="0" w:color="auto"/>
              <w:right w:val="single" w:sz="8" w:space="0" w:color="auto"/>
            </w:tcBorders>
            <w:shd w:val="clear" w:color="auto" w:fill="auto"/>
            <w:vAlign w:val="center"/>
            <w:hideMark/>
          </w:tcPr>
          <w:p w14:paraId="1FDE15F1"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25FC75C7"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72CF43FB"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4AEC2A0D"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135</w:t>
            </w:r>
          </w:p>
        </w:tc>
        <w:tc>
          <w:tcPr>
            <w:tcW w:w="880" w:type="dxa"/>
            <w:tcBorders>
              <w:top w:val="nil"/>
              <w:left w:val="nil"/>
              <w:bottom w:val="single" w:sz="8" w:space="0" w:color="auto"/>
              <w:right w:val="single" w:sz="8" w:space="0" w:color="auto"/>
            </w:tcBorders>
            <w:shd w:val="clear" w:color="auto" w:fill="auto"/>
            <w:vAlign w:val="center"/>
            <w:hideMark/>
          </w:tcPr>
          <w:p w14:paraId="61161621"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900.852.226</w:t>
            </w:r>
          </w:p>
        </w:tc>
        <w:tc>
          <w:tcPr>
            <w:tcW w:w="323" w:type="dxa"/>
            <w:tcBorders>
              <w:top w:val="nil"/>
              <w:left w:val="nil"/>
              <w:bottom w:val="single" w:sz="8" w:space="0" w:color="auto"/>
              <w:right w:val="single" w:sz="8" w:space="0" w:color="auto"/>
            </w:tcBorders>
            <w:shd w:val="clear" w:color="auto" w:fill="auto"/>
            <w:vAlign w:val="center"/>
            <w:hideMark/>
          </w:tcPr>
          <w:p w14:paraId="275BCEED"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w:t>
            </w:r>
          </w:p>
        </w:tc>
        <w:tc>
          <w:tcPr>
            <w:tcW w:w="505" w:type="dxa"/>
            <w:tcBorders>
              <w:top w:val="nil"/>
              <w:left w:val="nil"/>
              <w:bottom w:val="single" w:sz="8" w:space="0" w:color="auto"/>
              <w:right w:val="single" w:sz="8" w:space="0" w:color="auto"/>
            </w:tcBorders>
            <w:shd w:val="clear" w:color="auto" w:fill="auto"/>
            <w:vAlign w:val="center"/>
            <w:hideMark/>
          </w:tcPr>
          <w:p w14:paraId="081E12E6"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29451</w:t>
            </w:r>
          </w:p>
        </w:tc>
        <w:tc>
          <w:tcPr>
            <w:tcW w:w="3498" w:type="dxa"/>
            <w:tcBorders>
              <w:top w:val="nil"/>
              <w:left w:val="nil"/>
              <w:bottom w:val="single" w:sz="8" w:space="0" w:color="auto"/>
              <w:right w:val="single" w:sz="8" w:space="0" w:color="auto"/>
            </w:tcBorders>
            <w:shd w:val="clear" w:color="auto" w:fill="auto"/>
            <w:vAlign w:val="center"/>
            <w:hideMark/>
          </w:tcPr>
          <w:p w14:paraId="04C7A8E5"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GAS PORVENIR ESP SAS</w:t>
            </w:r>
          </w:p>
        </w:tc>
        <w:tc>
          <w:tcPr>
            <w:tcW w:w="1262" w:type="dxa"/>
            <w:tcBorders>
              <w:top w:val="nil"/>
              <w:left w:val="nil"/>
              <w:bottom w:val="single" w:sz="8" w:space="0" w:color="auto"/>
              <w:right w:val="single" w:sz="8" w:space="0" w:color="auto"/>
            </w:tcBorders>
            <w:shd w:val="clear" w:color="auto" w:fill="auto"/>
            <w:vAlign w:val="center"/>
            <w:hideMark/>
          </w:tcPr>
          <w:p w14:paraId="7AA71A87"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77B195DD"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SIN REPORTE AL SUI</w:t>
            </w:r>
          </w:p>
        </w:tc>
      </w:tr>
      <w:tr w:rsidR="00AD4E79" w:rsidRPr="00AD4E79" w14:paraId="315272FC"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146FE866"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136</w:t>
            </w:r>
          </w:p>
        </w:tc>
        <w:tc>
          <w:tcPr>
            <w:tcW w:w="880" w:type="dxa"/>
            <w:tcBorders>
              <w:top w:val="nil"/>
              <w:left w:val="nil"/>
              <w:bottom w:val="single" w:sz="8" w:space="0" w:color="auto"/>
              <w:right w:val="single" w:sz="8" w:space="0" w:color="auto"/>
            </w:tcBorders>
            <w:shd w:val="clear" w:color="auto" w:fill="auto"/>
            <w:vAlign w:val="center"/>
            <w:hideMark/>
          </w:tcPr>
          <w:p w14:paraId="24336068"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900.863.649</w:t>
            </w:r>
          </w:p>
        </w:tc>
        <w:tc>
          <w:tcPr>
            <w:tcW w:w="323" w:type="dxa"/>
            <w:tcBorders>
              <w:top w:val="nil"/>
              <w:left w:val="nil"/>
              <w:bottom w:val="single" w:sz="8" w:space="0" w:color="auto"/>
              <w:right w:val="single" w:sz="8" w:space="0" w:color="auto"/>
            </w:tcBorders>
            <w:shd w:val="clear" w:color="auto" w:fill="auto"/>
            <w:vAlign w:val="center"/>
            <w:hideMark/>
          </w:tcPr>
          <w:p w14:paraId="620636F8"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7</w:t>
            </w:r>
          </w:p>
        </w:tc>
        <w:tc>
          <w:tcPr>
            <w:tcW w:w="505" w:type="dxa"/>
            <w:tcBorders>
              <w:top w:val="nil"/>
              <w:left w:val="nil"/>
              <w:bottom w:val="single" w:sz="8" w:space="0" w:color="auto"/>
              <w:right w:val="single" w:sz="8" w:space="0" w:color="auto"/>
            </w:tcBorders>
            <w:shd w:val="clear" w:color="auto" w:fill="auto"/>
            <w:vAlign w:val="center"/>
            <w:hideMark/>
          </w:tcPr>
          <w:p w14:paraId="2377A2FC"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32793</w:t>
            </w:r>
          </w:p>
        </w:tc>
        <w:tc>
          <w:tcPr>
            <w:tcW w:w="3498" w:type="dxa"/>
            <w:tcBorders>
              <w:top w:val="nil"/>
              <w:left w:val="nil"/>
              <w:bottom w:val="single" w:sz="8" w:space="0" w:color="auto"/>
              <w:right w:val="single" w:sz="8" w:space="0" w:color="auto"/>
            </w:tcBorders>
            <w:shd w:val="clear" w:color="auto" w:fill="auto"/>
            <w:vAlign w:val="center"/>
            <w:hideMark/>
          </w:tcPr>
          <w:p w14:paraId="3FB45DB0"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COLOMBOGAS S.A.S. E.S.P.</w:t>
            </w:r>
          </w:p>
        </w:tc>
        <w:tc>
          <w:tcPr>
            <w:tcW w:w="1262" w:type="dxa"/>
            <w:tcBorders>
              <w:top w:val="nil"/>
              <w:left w:val="nil"/>
              <w:bottom w:val="single" w:sz="8" w:space="0" w:color="auto"/>
              <w:right w:val="single" w:sz="8" w:space="0" w:color="auto"/>
            </w:tcBorders>
            <w:shd w:val="clear" w:color="auto" w:fill="auto"/>
            <w:vAlign w:val="center"/>
            <w:hideMark/>
          </w:tcPr>
          <w:p w14:paraId="057AEF00"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582F801B"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59EE89D6" w14:textId="77777777" w:rsidTr="00AD4E79">
        <w:trPr>
          <w:trHeight w:val="655"/>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43120BF5"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137</w:t>
            </w:r>
          </w:p>
        </w:tc>
        <w:tc>
          <w:tcPr>
            <w:tcW w:w="880" w:type="dxa"/>
            <w:tcBorders>
              <w:top w:val="nil"/>
              <w:left w:val="nil"/>
              <w:bottom w:val="single" w:sz="8" w:space="0" w:color="auto"/>
              <w:right w:val="single" w:sz="8" w:space="0" w:color="auto"/>
            </w:tcBorders>
            <w:shd w:val="clear" w:color="auto" w:fill="auto"/>
            <w:vAlign w:val="center"/>
            <w:hideMark/>
          </w:tcPr>
          <w:p w14:paraId="26618AC0"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900.883.057</w:t>
            </w:r>
          </w:p>
        </w:tc>
        <w:tc>
          <w:tcPr>
            <w:tcW w:w="323" w:type="dxa"/>
            <w:tcBorders>
              <w:top w:val="nil"/>
              <w:left w:val="nil"/>
              <w:bottom w:val="single" w:sz="8" w:space="0" w:color="auto"/>
              <w:right w:val="single" w:sz="8" w:space="0" w:color="auto"/>
            </w:tcBorders>
            <w:shd w:val="clear" w:color="auto" w:fill="auto"/>
            <w:vAlign w:val="center"/>
            <w:hideMark/>
          </w:tcPr>
          <w:p w14:paraId="0714ABF0"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w:t>
            </w:r>
          </w:p>
        </w:tc>
        <w:tc>
          <w:tcPr>
            <w:tcW w:w="505" w:type="dxa"/>
            <w:tcBorders>
              <w:top w:val="nil"/>
              <w:left w:val="nil"/>
              <w:bottom w:val="single" w:sz="8" w:space="0" w:color="auto"/>
              <w:right w:val="single" w:sz="8" w:space="0" w:color="auto"/>
            </w:tcBorders>
            <w:shd w:val="clear" w:color="auto" w:fill="auto"/>
            <w:vAlign w:val="center"/>
            <w:hideMark/>
          </w:tcPr>
          <w:p w14:paraId="3F14D4E7"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36695</w:t>
            </w:r>
          </w:p>
        </w:tc>
        <w:tc>
          <w:tcPr>
            <w:tcW w:w="3498" w:type="dxa"/>
            <w:tcBorders>
              <w:top w:val="nil"/>
              <w:left w:val="nil"/>
              <w:bottom w:val="single" w:sz="8" w:space="0" w:color="auto"/>
              <w:right w:val="single" w:sz="8" w:space="0" w:color="auto"/>
            </w:tcBorders>
            <w:shd w:val="clear" w:color="auto" w:fill="auto"/>
            <w:vAlign w:val="center"/>
            <w:hideMark/>
          </w:tcPr>
          <w:p w14:paraId="1D387D09"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DISTRIBUIDORA DE GAS DEL FONCE SOCIEDAD POR ACCIONES SIMPLIFICADA EMPRESA DE SERVICIO PUBLICOS DOMICILIARIOS S.A.S. E.S.P.</w:t>
            </w:r>
          </w:p>
        </w:tc>
        <w:tc>
          <w:tcPr>
            <w:tcW w:w="1262" w:type="dxa"/>
            <w:tcBorders>
              <w:top w:val="nil"/>
              <w:left w:val="nil"/>
              <w:bottom w:val="single" w:sz="8" w:space="0" w:color="auto"/>
              <w:right w:val="single" w:sz="8" w:space="0" w:color="auto"/>
            </w:tcBorders>
            <w:shd w:val="clear" w:color="auto" w:fill="auto"/>
            <w:vAlign w:val="center"/>
            <w:hideMark/>
          </w:tcPr>
          <w:p w14:paraId="1B2170F4"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6CF6FA55"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30C24FC8"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2F2AB36E"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138</w:t>
            </w:r>
          </w:p>
        </w:tc>
        <w:tc>
          <w:tcPr>
            <w:tcW w:w="880" w:type="dxa"/>
            <w:tcBorders>
              <w:top w:val="nil"/>
              <w:left w:val="nil"/>
              <w:bottom w:val="single" w:sz="8" w:space="0" w:color="auto"/>
              <w:right w:val="single" w:sz="8" w:space="0" w:color="auto"/>
            </w:tcBorders>
            <w:shd w:val="clear" w:color="auto" w:fill="auto"/>
            <w:vAlign w:val="center"/>
            <w:hideMark/>
          </w:tcPr>
          <w:p w14:paraId="143250E4"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900.912.454</w:t>
            </w:r>
          </w:p>
        </w:tc>
        <w:tc>
          <w:tcPr>
            <w:tcW w:w="323" w:type="dxa"/>
            <w:tcBorders>
              <w:top w:val="nil"/>
              <w:left w:val="nil"/>
              <w:bottom w:val="single" w:sz="8" w:space="0" w:color="auto"/>
              <w:right w:val="single" w:sz="8" w:space="0" w:color="auto"/>
            </w:tcBorders>
            <w:shd w:val="clear" w:color="auto" w:fill="auto"/>
            <w:vAlign w:val="center"/>
            <w:hideMark/>
          </w:tcPr>
          <w:p w14:paraId="6955EAB5"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w:t>
            </w:r>
          </w:p>
        </w:tc>
        <w:tc>
          <w:tcPr>
            <w:tcW w:w="505" w:type="dxa"/>
            <w:tcBorders>
              <w:top w:val="nil"/>
              <w:left w:val="nil"/>
              <w:bottom w:val="single" w:sz="8" w:space="0" w:color="auto"/>
              <w:right w:val="single" w:sz="8" w:space="0" w:color="auto"/>
            </w:tcBorders>
            <w:shd w:val="clear" w:color="auto" w:fill="auto"/>
            <w:vAlign w:val="center"/>
            <w:hideMark/>
          </w:tcPr>
          <w:p w14:paraId="2019FE38"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32453</w:t>
            </w:r>
          </w:p>
        </w:tc>
        <w:tc>
          <w:tcPr>
            <w:tcW w:w="3498" w:type="dxa"/>
            <w:tcBorders>
              <w:top w:val="nil"/>
              <w:left w:val="nil"/>
              <w:bottom w:val="single" w:sz="8" w:space="0" w:color="auto"/>
              <w:right w:val="single" w:sz="8" w:space="0" w:color="auto"/>
            </w:tcBorders>
            <w:shd w:val="clear" w:color="auto" w:fill="auto"/>
            <w:vAlign w:val="center"/>
            <w:hideMark/>
          </w:tcPr>
          <w:p w14:paraId="203A635E"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ENERGY GAS S.A.S. E.</w:t>
            </w:r>
            <w:proofErr w:type="gramStart"/>
            <w:r w:rsidRPr="00AD4E79">
              <w:rPr>
                <w:rFonts w:ascii="Arial Narrow" w:hAnsi="Arial Narrow" w:cs="Arial"/>
                <w:spacing w:val="0"/>
                <w:sz w:val="16"/>
                <w:szCs w:val="16"/>
                <w:lang w:eastAsia="es-CO"/>
              </w:rPr>
              <w:t>S.P</w:t>
            </w:r>
            <w:proofErr w:type="gramEnd"/>
          </w:p>
        </w:tc>
        <w:tc>
          <w:tcPr>
            <w:tcW w:w="1262" w:type="dxa"/>
            <w:tcBorders>
              <w:top w:val="nil"/>
              <w:left w:val="nil"/>
              <w:bottom w:val="single" w:sz="8" w:space="0" w:color="auto"/>
              <w:right w:val="single" w:sz="8" w:space="0" w:color="auto"/>
            </w:tcBorders>
            <w:shd w:val="clear" w:color="auto" w:fill="auto"/>
            <w:vAlign w:val="center"/>
            <w:hideMark/>
          </w:tcPr>
          <w:p w14:paraId="7B02C963"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34F4DCAB"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23F4EE3B"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297B8652"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139</w:t>
            </w:r>
          </w:p>
        </w:tc>
        <w:tc>
          <w:tcPr>
            <w:tcW w:w="880" w:type="dxa"/>
            <w:tcBorders>
              <w:top w:val="nil"/>
              <w:left w:val="nil"/>
              <w:bottom w:val="single" w:sz="8" w:space="0" w:color="auto"/>
              <w:right w:val="single" w:sz="8" w:space="0" w:color="auto"/>
            </w:tcBorders>
            <w:shd w:val="clear" w:color="auto" w:fill="auto"/>
            <w:vAlign w:val="center"/>
            <w:hideMark/>
          </w:tcPr>
          <w:p w14:paraId="02DCC964"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900.913.507</w:t>
            </w:r>
          </w:p>
        </w:tc>
        <w:tc>
          <w:tcPr>
            <w:tcW w:w="323" w:type="dxa"/>
            <w:tcBorders>
              <w:top w:val="nil"/>
              <w:left w:val="nil"/>
              <w:bottom w:val="single" w:sz="8" w:space="0" w:color="auto"/>
              <w:right w:val="single" w:sz="8" w:space="0" w:color="auto"/>
            </w:tcBorders>
            <w:shd w:val="clear" w:color="auto" w:fill="auto"/>
            <w:vAlign w:val="center"/>
            <w:hideMark/>
          </w:tcPr>
          <w:p w14:paraId="6B26AD62"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5</w:t>
            </w:r>
          </w:p>
        </w:tc>
        <w:tc>
          <w:tcPr>
            <w:tcW w:w="505" w:type="dxa"/>
            <w:tcBorders>
              <w:top w:val="nil"/>
              <w:left w:val="nil"/>
              <w:bottom w:val="single" w:sz="8" w:space="0" w:color="auto"/>
              <w:right w:val="single" w:sz="8" w:space="0" w:color="auto"/>
            </w:tcBorders>
            <w:shd w:val="clear" w:color="auto" w:fill="auto"/>
            <w:vAlign w:val="center"/>
            <w:hideMark/>
          </w:tcPr>
          <w:p w14:paraId="45D68150"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32073</w:t>
            </w:r>
          </w:p>
        </w:tc>
        <w:tc>
          <w:tcPr>
            <w:tcW w:w="3498" w:type="dxa"/>
            <w:tcBorders>
              <w:top w:val="nil"/>
              <w:left w:val="nil"/>
              <w:bottom w:val="single" w:sz="8" w:space="0" w:color="auto"/>
              <w:right w:val="single" w:sz="8" w:space="0" w:color="auto"/>
            </w:tcBorders>
            <w:shd w:val="clear" w:color="auto" w:fill="auto"/>
            <w:vAlign w:val="center"/>
            <w:hideMark/>
          </w:tcPr>
          <w:p w14:paraId="512BBC71"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MEGAS S.A.S. ESP</w:t>
            </w:r>
          </w:p>
        </w:tc>
        <w:tc>
          <w:tcPr>
            <w:tcW w:w="1262" w:type="dxa"/>
            <w:tcBorders>
              <w:top w:val="nil"/>
              <w:left w:val="nil"/>
              <w:bottom w:val="single" w:sz="8" w:space="0" w:color="auto"/>
              <w:right w:val="single" w:sz="8" w:space="0" w:color="auto"/>
            </w:tcBorders>
            <w:shd w:val="clear" w:color="auto" w:fill="auto"/>
            <w:vAlign w:val="center"/>
            <w:hideMark/>
          </w:tcPr>
          <w:p w14:paraId="15E927D9"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2CAA7FC8"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3FC8DF50"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0664075B"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140</w:t>
            </w:r>
          </w:p>
        </w:tc>
        <w:tc>
          <w:tcPr>
            <w:tcW w:w="880" w:type="dxa"/>
            <w:tcBorders>
              <w:top w:val="nil"/>
              <w:left w:val="nil"/>
              <w:bottom w:val="single" w:sz="8" w:space="0" w:color="auto"/>
              <w:right w:val="single" w:sz="8" w:space="0" w:color="auto"/>
            </w:tcBorders>
            <w:shd w:val="clear" w:color="auto" w:fill="auto"/>
            <w:vAlign w:val="center"/>
            <w:hideMark/>
          </w:tcPr>
          <w:p w14:paraId="467AF132"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900.916.860</w:t>
            </w:r>
          </w:p>
        </w:tc>
        <w:tc>
          <w:tcPr>
            <w:tcW w:w="323" w:type="dxa"/>
            <w:tcBorders>
              <w:top w:val="nil"/>
              <w:left w:val="nil"/>
              <w:bottom w:val="single" w:sz="8" w:space="0" w:color="auto"/>
              <w:right w:val="single" w:sz="8" w:space="0" w:color="auto"/>
            </w:tcBorders>
            <w:shd w:val="clear" w:color="auto" w:fill="auto"/>
            <w:vAlign w:val="center"/>
            <w:hideMark/>
          </w:tcPr>
          <w:p w14:paraId="7583DB69"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4</w:t>
            </w:r>
          </w:p>
        </w:tc>
        <w:tc>
          <w:tcPr>
            <w:tcW w:w="505" w:type="dxa"/>
            <w:tcBorders>
              <w:top w:val="nil"/>
              <w:left w:val="nil"/>
              <w:bottom w:val="single" w:sz="8" w:space="0" w:color="auto"/>
              <w:right w:val="single" w:sz="8" w:space="0" w:color="auto"/>
            </w:tcBorders>
            <w:shd w:val="clear" w:color="auto" w:fill="auto"/>
            <w:vAlign w:val="center"/>
            <w:hideMark/>
          </w:tcPr>
          <w:p w14:paraId="5E853996"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46757</w:t>
            </w:r>
          </w:p>
        </w:tc>
        <w:tc>
          <w:tcPr>
            <w:tcW w:w="3498" w:type="dxa"/>
            <w:tcBorders>
              <w:top w:val="nil"/>
              <w:left w:val="nil"/>
              <w:bottom w:val="single" w:sz="8" w:space="0" w:color="auto"/>
              <w:right w:val="single" w:sz="8" w:space="0" w:color="auto"/>
            </w:tcBorders>
            <w:shd w:val="clear" w:color="auto" w:fill="auto"/>
            <w:vAlign w:val="center"/>
            <w:hideMark/>
          </w:tcPr>
          <w:p w14:paraId="37FF25CE"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GLOBAL GAS DEL CARIBE S.A.S E.</w:t>
            </w:r>
            <w:proofErr w:type="gramStart"/>
            <w:r w:rsidRPr="00AD4E79">
              <w:rPr>
                <w:rFonts w:ascii="Arial Narrow" w:hAnsi="Arial Narrow" w:cs="Arial"/>
                <w:spacing w:val="0"/>
                <w:sz w:val="16"/>
                <w:szCs w:val="16"/>
                <w:lang w:eastAsia="es-CO"/>
              </w:rPr>
              <w:t>S.P</w:t>
            </w:r>
            <w:proofErr w:type="gramEnd"/>
          </w:p>
        </w:tc>
        <w:tc>
          <w:tcPr>
            <w:tcW w:w="1262" w:type="dxa"/>
            <w:tcBorders>
              <w:top w:val="nil"/>
              <w:left w:val="nil"/>
              <w:bottom w:val="single" w:sz="8" w:space="0" w:color="auto"/>
              <w:right w:val="single" w:sz="8" w:space="0" w:color="auto"/>
            </w:tcBorders>
            <w:shd w:val="clear" w:color="auto" w:fill="auto"/>
            <w:vAlign w:val="center"/>
            <w:hideMark/>
          </w:tcPr>
          <w:p w14:paraId="525A2268"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66E6D010"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SIN REPORTE AL SUI</w:t>
            </w:r>
          </w:p>
        </w:tc>
      </w:tr>
      <w:tr w:rsidR="00AD4E79" w:rsidRPr="00AD4E79" w14:paraId="4870E033"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182BD050"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141</w:t>
            </w:r>
          </w:p>
        </w:tc>
        <w:tc>
          <w:tcPr>
            <w:tcW w:w="880" w:type="dxa"/>
            <w:tcBorders>
              <w:top w:val="nil"/>
              <w:left w:val="nil"/>
              <w:bottom w:val="single" w:sz="8" w:space="0" w:color="auto"/>
              <w:right w:val="single" w:sz="8" w:space="0" w:color="auto"/>
            </w:tcBorders>
            <w:shd w:val="clear" w:color="auto" w:fill="auto"/>
            <w:vAlign w:val="center"/>
            <w:hideMark/>
          </w:tcPr>
          <w:p w14:paraId="63E35524"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900.922.760</w:t>
            </w:r>
          </w:p>
        </w:tc>
        <w:tc>
          <w:tcPr>
            <w:tcW w:w="323" w:type="dxa"/>
            <w:tcBorders>
              <w:top w:val="nil"/>
              <w:left w:val="nil"/>
              <w:bottom w:val="single" w:sz="8" w:space="0" w:color="auto"/>
              <w:right w:val="single" w:sz="8" w:space="0" w:color="auto"/>
            </w:tcBorders>
            <w:shd w:val="clear" w:color="auto" w:fill="auto"/>
            <w:vAlign w:val="center"/>
            <w:hideMark/>
          </w:tcPr>
          <w:p w14:paraId="23463C3E"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0</w:t>
            </w:r>
          </w:p>
        </w:tc>
        <w:tc>
          <w:tcPr>
            <w:tcW w:w="505" w:type="dxa"/>
            <w:tcBorders>
              <w:top w:val="nil"/>
              <w:left w:val="nil"/>
              <w:bottom w:val="single" w:sz="8" w:space="0" w:color="auto"/>
              <w:right w:val="single" w:sz="8" w:space="0" w:color="auto"/>
            </w:tcBorders>
            <w:shd w:val="clear" w:color="auto" w:fill="auto"/>
            <w:vAlign w:val="center"/>
            <w:hideMark/>
          </w:tcPr>
          <w:p w14:paraId="5881DB28"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32215</w:t>
            </w:r>
          </w:p>
        </w:tc>
        <w:tc>
          <w:tcPr>
            <w:tcW w:w="3498" w:type="dxa"/>
            <w:tcBorders>
              <w:top w:val="nil"/>
              <w:left w:val="nil"/>
              <w:bottom w:val="single" w:sz="8" w:space="0" w:color="auto"/>
              <w:right w:val="single" w:sz="8" w:space="0" w:color="auto"/>
            </w:tcBorders>
            <w:shd w:val="clear" w:color="auto" w:fill="auto"/>
            <w:vAlign w:val="center"/>
            <w:hideMark/>
          </w:tcPr>
          <w:p w14:paraId="08C1760F"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 xml:space="preserve">GLOBAL, REDES Y OBRAS S.A.S. E.S.P. </w:t>
            </w:r>
          </w:p>
        </w:tc>
        <w:tc>
          <w:tcPr>
            <w:tcW w:w="1262" w:type="dxa"/>
            <w:tcBorders>
              <w:top w:val="nil"/>
              <w:left w:val="nil"/>
              <w:bottom w:val="single" w:sz="8" w:space="0" w:color="auto"/>
              <w:right w:val="single" w:sz="8" w:space="0" w:color="auto"/>
            </w:tcBorders>
            <w:shd w:val="clear" w:color="auto" w:fill="auto"/>
            <w:vAlign w:val="center"/>
            <w:hideMark/>
          </w:tcPr>
          <w:p w14:paraId="00DADFD7"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67C9EC08"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37B47C80" w14:textId="77777777" w:rsidTr="00AD4E79">
        <w:trPr>
          <w:trHeight w:val="228"/>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2D55DC0C"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142</w:t>
            </w:r>
          </w:p>
        </w:tc>
        <w:tc>
          <w:tcPr>
            <w:tcW w:w="880" w:type="dxa"/>
            <w:tcBorders>
              <w:top w:val="nil"/>
              <w:left w:val="nil"/>
              <w:bottom w:val="single" w:sz="8" w:space="0" w:color="auto"/>
              <w:right w:val="single" w:sz="8" w:space="0" w:color="auto"/>
            </w:tcBorders>
            <w:shd w:val="clear" w:color="auto" w:fill="auto"/>
            <w:vAlign w:val="center"/>
            <w:hideMark/>
          </w:tcPr>
          <w:p w14:paraId="51E771D4"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900.924.778</w:t>
            </w:r>
          </w:p>
        </w:tc>
        <w:tc>
          <w:tcPr>
            <w:tcW w:w="323" w:type="dxa"/>
            <w:tcBorders>
              <w:top w:val="nil"/>
              <w:left w:val="nil"/>
              <w:bottom w:val="single" w:sz="8" w:space="0" w:color="auto"/>
              <w:right w:val="single" w:sz="8" w:space="0" w:color="auto"/>
            </w:tcBorders>
            <w:shd w:val="clear" w:color="auto" w:fill="auto"/>
            <w:vAlign w:val="center"/>
            <w:hideMark/>
          </w:tcPr>
          <w:p w14:paraId="3706B812"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w:t>
            </w:r>
          </w:p>
        </w:tc>
        <w:tc>
          <w:tcPr>
            <w:tcW w:w="505" w:type="dxa"/>
            <w:tcBorders>
              <w:top w:val="nil"/>
              <w:left w:val="nil"/>
              <w:bottom w:val="single" w:sz="8" w:space="0" w:color="auto"/>
              <w:right w:val="single" w:sz="8" w:space="0" w:color="auto"/>
            </w:tcBorders>
            <w:shd w:val="clear" w:color="auto" w:fill="auto"/>
            <w:vAlign w:val="center"/>
            <w:hideMark/>
          </w:tcPr>
          <w:p w14:paraId="17D04D27"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32173</w:t>
            </w:r>
          </w:p>
        </w:tc>
        <w:tc>
          <w:tcPr>
            <w:tcW w:w="3498" w:type="dxa"/>
            <w:tcBorders>
              <w:top w:val="nil"/>
              <w:left w:val="nil"/>
              <w:bottom w:val="single" w:sz="8" w:space="0" w:color="auto"/>
              <w:right w:val="single" w:sz="8" w:space="0" w:color="auto"/>
            </w:tcBorders>
            <w:shd w:val="clear" w:color="auto" w:fill="auto"/>
            <w:vAlign w:val="center"/>
            <w:hideMark/>
          </w:tcPr>
          <w:p w14:paraId="2D2C9701" w14:textId="77777777" w:rsidR="00E75BBE" w:rsidRPr="00AD4E79" w:rsidRDefault="00E75BBE" w:rsidP="00D22441">
            <w:pPr>
              <w:jc w:val="left"/>
              <w:rPr>
                <w:rFonts w:ascii="Arial Narrow" w:hAnsi="Arial Narrow" w:cs="Arial"/>
                <w:spacing w:val="0"/>
                <w:sz w:val="16"/>
                <w:szCs w:val="16"/>
                <w:lang w:val="en-GB" w:eastAsia="es-CO"/>
              </w:rPr>
            </w:pPr>
            <w:r w:rsidRPr="00AD4E79">
              <w:rPr>
                <w:rFonts w:ascii="Arial Narrow" w:hAnsi="Arial Narrow" w:cs="Arial"/>
                <w:spacing w:val="0"/>
                <w:sz w:val="16"/>
                <w:szCs w:val="16"/>
                <w:lang w:val="en-GB" w:eastAsia="es-CO"/>
              </w:rPr>
              <w:t>OIL &amp; GAS MAINTENANCE AND SERVICE SAS ESP</w:t>
            </w:r>
          </w:p>
        </w:tc>
        <w:tc>
          <w:tcPr>
            <w:tcW w:w="1262" w:type="dxa"/>
            <w:tcBorders>
              <w:top w:val="nil"/>
              <w:left w:val="nil"/>
              <w:bottom w:val="single" w:sz="8" w:space="0" w:color="auto"/>
              <w:right w:val="single" w:sz="8" w:space="0" w:color="auto"/>
            </w:tcBorders>
            <w:shd w:val="clear" w:color="auto" w:fill="auto"/>
            <w:vAlign w:val="center"/>
            <w:hideMark/>
          </w:tcPr>
          <w:p w14:paraId="22A9BFEE"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6534DAA3"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SIN REPORTE AL SUI</w:t>
            </w:r>
          </w:p>
        </w:tc>
      </w:tr>
      <w:tr w:rsidR="00AD4E79" w:rsidRPr="00AD4E79" w14:paraId="688A5121"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221919D0"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143</w:t>
            </w:r>
          </w:p>
        </w:tc>
        <w:tc>
          <w:tcPr>
            <w:tcW w:w="880" w:type="dxa"/>
            <w:tcBorders>
              <w:top w:val="nil"/>
              <w:left w:val="nil"/>
              <w:bottom w:val="single" w:sz="8" w:space="0" w:color="auto"/>
              <w:right w:val="single" w:sz="8" w:space="0" w:color="auto"/>
            </w:tcBorders>
            <w:shd w:val="clear" w:color="auto" w:fill="auto"/>
            <w:vAlign w:val="center"/>
            <w:hideMark/>
          </w:tcPr>
          <w:p w14:paraId="37FFF5D6"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900.948.809</w:t>
            </w:r>
          </w:p>
        </w:tc>
        <w:tc>
          <w:tcPr>
            <w:tcW w:w="323" w:type="dxa"/>
            <w:tcBorders>
              <w:top w:val="nil"/>
              <w:left w:val="nil"/>
              <w:bottom w:val="single" w:sz="8" w:space="0" w:color="auto"/>
              <w:right w:val="single" w:sz="8" w:space="0" w:color="auto"/>
            </w:tcBorders>
            <w:shd w:val="clear" w:color="auto" w:fill="auto"/>
            <w:vAlign w:val="center"/>
            <w:hideMark/>
          </w:tcPr>
          <w:p w14:paraId="7186F233"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5</w:t>
            </w:r>
          </w:p>
        </w:tc>
        <w:tc>
          <w:tcPr>
            <w:tcW w:w="505" w:type="dxa"/>
            <w:tcBorders>
              <w:top w:val="nil"/>
              <w:left w:val="nil"/>
              <w:bottom w:val="single" w:sz="8" w:space="0" w:color="auto"/>
              <w:right w:val="single" w:sz="8" w:space="0" w:color="auto"/>
            </w:tcBorders>
            <w:shd w:val="clear" w:color="auto" w:fill="auto"/>
            <w:vAlign w:val="center"/>
            <w:hideMark/>
          </w:tcPr>
          <w:p w14:paraId="6106781A"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32733</w:t>
            </w:r>
          </w:p>
        </w:tc>
        <w:tc>
          <w:tcPr>
            <w:tcW w:w="3498" w:type="dxa"/>
            <w:tcBorders>
              <w:top w:val="nil"/>
              <w:left w:val="nil"/>
              <w:bottom w:val="single" w:sz="8" w:space="0" w:color="auto"/>
              <w:right w:val="single" w:sz="8" w:space="0" w:color="auto"/>
            </w:tcBorders>
            <w:shd w:val="clear" w:color="auto" w:fill="auto"/>
            <w:vAlign w:val="center"/>
            <w:hideMark/>
          </w:tcPr>
          <w:p w14:paraId="503A54BC"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EMPRESA MIXTA DE GAS S.A.S. E.S.P.</w:t>
            </w:r>
          </w:p>
        </w:tc>
        <w:tc>
          <w:tcPr>
            <w:tcW w:w="1262" w:type="dxa"/>
            <w:tcBorders>
              <w:top w:val="nil"/>
              <w:left w:val="nil"/>
              <w:bottom w:val="single" w:sz="8" w:space="0" w:color="auto"/>
              <w:right w:val="single" w:sz="8" w:space="0" w:color="auto"/>
            </w:tcBorders>
            <w:shd w:val="clear" w:color="auto" w:fill="auto"/>
            <w:vAlign w:val="center"/>
            <w:hideMark/>
          </w:tcPr>
          <w:p w14:paraId="68D1A196"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4D30E9E8"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3843FF1D"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1D5755C1"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lastRenderedPageBreak/>
              <w:t>144</w:t>
            </w:r>
          </w:p>
        </w:tc>
        <w:tc>
          <w:tcPr>
            <w:tcW w:w="880" w:type="dxa"/>
            <w:tcBorders>
              <w:top w:val="nil"/>
              <w:left w:val="nil"/>
              <w:bottom w:val="single" w:sz="8" w:space="0" w:color="auto"/>
              <w:right w:val="single" w:sz="8" w:space="0" w:color="auto"/>
            </w:tcBorders>
            <w:shd w:val="clear" w:color="auto" w:fill="auto"/>
            <w:vAlign w:val="center"/>
            <w:hideMark/>
          </w:tcPr>
          <w:p w14:paraId="3A817CC5"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900.957.357</w:t>
            </w:r>
          </w:p>
        </w:tc>
        <w:tc>
          <w:tcPr>
            <w:tcW w:w="323" w:type="dxa"/>
            <w:tcBorders>
              <w:top w:val="nil"/>
              <w:left w:val="nil"/>
              <w:bottom w:val="single" w:sz="8" w:space="0" w:color="auto"/>
              <w:right w:val="single" w:sz="8" w:space="0" w:color="auto"/>
            </w:tcBorders>
            <w:shd w:val="clear" w:color="auto" w:fill="auto"/>
            <w:vAlign w:val="center"/>
            <w:hideMark/>
          </w:tcPr>
          <w:p w14:paraId="149C5920"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6</w:t>
            </w:r>
          </w:p>
        </w:tc>
        <w:tc>
          <w:tcPr>
            <w:tcW w:w="505" w:type="dxa"/>
            <w:tcBorders>
              <w:top w:val="nil"/>
              <w:left w:val="nil"/>
              <w:bottom w:val="single" w:sz="8" w:space="0" w:color="auto"/>
              <w:right w:val="single" w:sz="8" w:space="0" w:color="auto"/>
            </w:tcBorders>
            <w:shd w:val="clear" w:color="auto" w:fill="auto"/>
            <w:vAlign w:val="center"/>
            <w:hideMark/>
          </w:tcPr>
          <w:p w14:paraId="4D13E602"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39134</w:t>
            </w:r>
          </w:p>
        </w:tc>
        <w:tc>
          <w:tcPr>
            <w:tcW w:w="3498" w:type="dxa"/>
            <w:tcBorders>
              <w:top w:val="nil"/>
              <w:left w:val="nil"/>
              <w:bottom w:val="single" w:sz="8" w:space="0" w:color="auto"/>
              <w:right w:val="single" w:sz="8" w:space="0" w:color="auto"/>
            </w:tcBorders>
            <w:shd w:val="clear" w:color="auto" w:fill="auto"/>
            <w:vAlign w:val="center"/>
            <w:hideMark/>
          </w:tcPr>
          <w:p w14:paraId="0F6BBC36" w14:textId="77777777" w:rsidR="00E75BBE" w:rsidRPr="00AD4E79" w:rsidRDefault="00E75BBE" w:rsidP="00D22441">
            <w:pPr>
              <w:jc w:val="left"/>
              <w:rPr>
                <w:rFonts w:ascii="Arial Narrow" w:hAnsi="Arial Narrow" w:cs="Arial"/>
                <w:spacing w:val="0"/>
                <w:sz w:val="16"/>
                <w:szCs w:val="16"/>
                <w:lang w:val="en-GB" w:eastAsia="es-CO"/>
              </w:rPr>
            </w:pPr>
            <w:r w:rsidRPr="00AD4E79">
              <w:rPr>
                <w:rFonts w:ascii="Arial Narrow" w:hAnsi="Arial Narrow" w:cs="Arial"/>
                <w:spacing w:val="0"/>
                <w:sz w:val="16"/>
                <w:szCs w:val="16"/>
                <w:lang w:val="en-GB" w:eastAsia="es-CO"/>
              </w:rPr>
              <w:t>COLOMBIAN ENERGY GROUP S.A.S.E.S.P.</w:t>
            </w:r>
          </w:p>
        </w:tc>
        <w:tc>
          <w:tcPr>
            <w:tcW w:w="1262" w:type="dxa"/>
            <w:tcBorders>
              <w:top w:val="nil"/>
              <w:left w:val="nil"/>
              <w:bottom w:val="single" w:sz="8" w:space="0" w:color="auto"/>
              <w:right w:val="single" w:sz="8" w:space="0" w:color="auto"/>
            </w:tcBorders>
            <w:shd w:val="clear" w:color="auto" w:fill="auto"/>
            <w:vAlign w:val="center"/>
            <w:hideMark/>
          </w:tcPr>
          <w:p w14:paraId="33202328"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72F19091"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SIN REPORTE AL SUI</w:t>
            </w:r>
          </w:p>
        </w:tc>
      </w:tr>
      <w:tr w:rsidR="00AD4E79" w:rsidRPr="00AD4E79" w14:paraId="6662DF97"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239EDFDE"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145</w:t>
            </w:r>
          </w:p>
        </w:tc>
        <w:tc>
          <w:tcPr>
            <w:tcW w:w="880" w:type="dxa"/>
            <w:tcBorders>
              <w:top w:val="nil"/>
              <w:left w:val="nil"/>
              <w:bottom w:val="single" w:sz="8" w:space="0" w:color="auto"/>
              <w:right w:val="single" w:sz="8" w:space="0" w:color="auto"/>
            </w:tcBorders>
            <w:shd w:val="clear" w:color="auto" w:fill="auto"/>
            <w:vAlign w:val="center"/>
            <w:hideMark/>
          </w:tcPr>
          <w:p w14:paraId="20FF0372"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900.970.665</w:t>
            </w:r>
          </w:p>
        </w:tc>
        <w:tc>
          <w:tcPr>
            <w:tcW w:w="323" w:type="dxa"/>
            <w:tcBorders>
              <w:top w:val="nil"/>
              <w:left w:val="nil"/>
              <w:bottom w:val="single" w:sz="8" w:space="0" w:color="auto"/>
              <w:right w:val="single" w:sz="8" w:space="0" w:color="auto"/>
            </w:tcBorders>
            <w:shd w:val="clear" w:color="auto" w:fill="auto"/>
            <w:vAlign w:val="center"/>
            <w:hideMark/>
          </w:tcPr>
          <w:p w14:paraId="7233DDF0"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3</w:t>
            </w:r>
          </w:p>
        </w:tc>
        <w:tc>
          <w:tcPr>
            <w:tcW w:w="505" w:type="dxa"/>
            <w:tcBorders>
              <w:top w:val="nil"/>
              <w:left w:val="nil"/>
              <w:bottom w:val="single" w:sz="8" w:space="0" w:color="auto"/>
              <w:right w:val="single" w:sz="8" w:space="0" w:color="auto"/>
            </w:tcBorders>
            <w:shd w:val="clear" w:color="auto" w:fill="auto"/>
            <w:vAlign w:val="center"/>
            <w:hideMark/>
          </w:tcPr>
          <w:p w14:paraId="4AD642DD"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33453</w:t>
            </w:r>
          </w:p>
        </w:tc>
        <w:tc>
          <w:tcPr>
            <w:tcW w:w="3498" w:type="dxa"/>
            <w:tcBorders>
              <w:top w:val="nil"/>
              <w:left w:val="nil"/>
              <w:bottom w:val="single" w:sz="8" w:space="0" w:color="auto"/>
              <w:right w:val="single" w:sz="8" w:space="0" w:color="auto"/>
            </w:tcBorders>
            <w:shd w:val="clear" w:color="auto" w:fill="auto"/>
            <w:vAlign w:val="center"/>
            <w:hideMark/>
          </w:tcPr>
          <w:p w14:paraId="18CFE9BC"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GAS COLOMBIA SAS ESP</w:t>
            </w:r>
          </w:p>
        </w:tc>
        <w:tc>
          <w:tcPr>
            <w:tcW w:w="1262" w:type="dxa"/>
            <w:tcBorders>
              <w:top w:val="nil"/>
              <w:left w:val="nil"/>
              <w:bottom w:val="single" w:sz="8" w:space="0" w:color="auto"/>
              <w:right w:val="single" w:sz="8" w:space="0" w:color="auto"/>
            </w:tcBorders>
            <w:shd w:val="clear" w:color="auto" w:fill="auto"/>
            <w:vAlign w:val="center"/>
            <w:hideMark/>
          </w:tcPr>
          <w:p w14:paraId="7B4695C7"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5DECF43E"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12CB04D8" w14:textId="77777777" w:rsidTr="00AD4E79">
        <w:trPr>
          <w:trHeight w:val="277"/>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7A28815D"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146</w:t>
            </w:r>
          </w:p>
        </w:tc>
        <w:tc>
          <w:tcPr>
            <w:tcW w:w="880" w:type="dxa"/>
            <w:tcBorders>
              <w:top w:val="nil"/>
              <w:left w:val="nil"/>
              <w:bottom w:val="single" w:sz="8" w:space="0" w:color="auto"/>
              <w:right w:val="single" w:sz="8" w:space="0" w:color="auto"/>
            </w:tcBorders>
            <w:shd w:val="clear" w:color="auto" w:fill="auto"/>
            <w:vAlign w:val="center"/>
            <w:hideMark/>
          </w:tcPr>
          <w:p w14:paraId="7EF7C0FF"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901.007.478</w:t>
            </w:r>
          </w:p>
        </w:tc>
        <w:tc>
          <w:tcPr>
            <w:tcW w:w="323" w:type="dxa"/>
            <w:tcBorders>
              <w:top w:val="nil"/>
              <w:left w:val="nil"/>
              <w:bottom w:val="single" w:sz="8" w:space="0" w:color="auto"/>
              <w:right w:val="single" w:sz="8" w:space="0" w:color="auto"/>
            </w:tcBorders>
            <w:shd w:val="clear" w:color="auto" w:fill="auto"/>
            <w:vAlign w:val="center"/>
            <w:hideMark/>
          </w:tcPr>
          <w:p w14:paraId="01B3EC5A"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7</w:t>
            </w:r>
          </w:p>
        </w:tc>
        <w:tc>
          <w:tcPr>
            <w:tcW w:w="505" w:type="dxa"/>
            <w:tcBorders>
              <w:top w:val="nil"/>
              <w:left w:val="nil"/>
              <w:bottom w:val="single" w:sz="8" w:space="0" w:color="auto"/>
              <w:right w:val="single" w:sz="8" w:space="0" w:color="auto"/>
            </w:tcBorders>
            <w:shd w:val="clear" w:color="auto" w:fill="auto"/>
            <w:vAlign w:val="center"/>
            <w:hideMark/>
          </w:tcPr>
          <w:p w14:paraId="6E7EF9F5"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41797</w:t>
            </w:r>
          </w:p>
        </w:tc>
        <w:tc>
          <w:tcPr>
            <w:tcW w:w="3498" w:type="dxa"/>
            <w:tcBorders>
              <w:top w:val="nil"/>
              <w:left w:val="nil"/>
              <w:bottom w:val="single" w:sz="8" w:space="0" w:color="auto"/>
              <w:right w:val="single" w:sz="8" w:space="0" w:color="auto"/>
            </w:tcBorders>
            <w:shd w:val="clear" w:color="auto" w:fill="auto"/>
            <w:vAlign w:val="center"/>
            <w:hideMark/>
          </w:tcPr>
          <w:p w14:paraId="18480DDE"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GRUPO ENERGÉTICO DE LAS AMERICAS SAS ESP</w:t>
            </w:r>
          </w:p>
        </w:tc>
        <w:tc>
          <w:tcPr>
            <w:tcW w:w="1262" w:type="dxa"/>
            <w:tcBorders>
              <w:top w:val="nil"/>
              <w:left w:val="nil"/>
              <w:bottom w:val="single" w:sz="8" w:space="0" w:color="auto"/>
              <w:right w:val="single" w:sz="8" w:space="0" w:color="auto"/>
            </w:tcBorders>
            <w:shd w:val="clear" w:color="auto" w:fill="auto"/>
            <w:vAlign w:val="center"/>
            <w:hideMark/>
          </w:tcPr>
          <w:p w14:paraId="1F48AA62"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41BD35F0"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74880668"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11857EFB"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147</w:t>
            </w:r>
          </w:p>
        </w:tc>
        <w:tc>
          <w:tcPr>
            <w:tcW w:w="880" w:type="dxa"/>
            <w:tcBorders>
              <w:top w:val="nil"/>
              <w:left w:val="nil"/>
              <w:bottom w:val="single" w:sz="8" w:space="0" w:color="auto"/>
              <w:right w:val="single" w:sz="8" w:space="0" w:color="auto"/>
            </w:tcBorders>
            <w:shd w:val="clear" w:color="auto" w:fill="auto"/>
            <w:vAlign w:val="center"/>
            <w:hideMark/>
          </w:tcPr>
          <w:p w14:paraId="4965129D"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901.008.978</w:t>
            </w:r>
          </w:p>
        </w:tc>
        <w:tc>
          <w:tcPr>
            <w:tcW w:w="323" w:type="dxa"/>
            <w:tcBorders>
              <w:top w:val="nil"/>
              <w:left w:val="nil"/>
              <w:bottom w:val="single" w:sz="8" w:space="0" w:color="auto"/>
              <w:right w:val="single" w:sz="8" w:space="0" w:color="auto"/>
            </w:tcBorders>
            <w:shd w:val="clear" w:color="auto" w:fill="auto"/>
            <w:vAlign w:val="center"/>
            <w:hideMark/>
          </w:tcPr>
          <w:p w14:paraId="4587EA0D"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w:t>
            </w:r>
          </w:p>
        </w:tc>
        <w:tc>
          <w:tcPr>
            <w:tcW w:w="505" w:type="dxa"/>
            <w:tcBorders>
              <w:top w:val="nil"/>
              <w:left w:val="nil"/>
              <w:bottom w:val="single" w:sz="8" w:space="0" w:color="auto"/>
              <w:right w:val="single" w:sz="8" w:space="0" w:color="auto"/>
            </w:tcBorders>
            <w:shd w:val="clear" w:color="auto" w:fill="auto"/>
            <w:vAlign w:val="center"/>
            <w:hideMark/>
          </w:tcPr>
          <w:p w14:paraId="0A2AC679"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36775</w:t>
            </w:r>
          </w:p>
        </w:tc>
        <w:tc>
          <w:tcPr>
            <w:tcW w:w="3498" w:type="dxa"/>
            <w:tcBorders>
              <w:top w:val="nil"/>
              <w:left w:val="nil"/>
              <w:bottom w:val="single" w:sz="8" w:space="0" w:color="auto"/>
              <w:right w:val="single" w:sz="8" w:space="0" w:color="auto"/>
            </w:tcBorders>
            <w:shd w:val="clear" w:color="auto" w:fill="auto"/>
            <w:vAlign w:val="center"/>
            <w:hideMark/>
          </w:tcPr>
          <w:p w14:paraId="260CC9F4"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SIMER COLOMBIA SAS ESP</w:t>
            </w:r>
          </w:p>
        </w:tc>
        <w:tc>
          <w:tcPr>
            <w:tcW w:w="1262" w:type="dxa"/>
            <w:tcBorders>
              <w:top w:val="nil"/>
              <w:left w:val="nil"/>
              <w:bottom w:val="single" w:sz="8" w:space="0" w:color="auto"/>
              <w:right w:val="single" w:sz="8" w:space="0" w:color="auto"/>
            </w:tcBorders>
            <w:shd w:val="clear" w:color="auto" w:fill="auto"/>
            <w:vAlign w:val="center"/>
            <w:hideMark/>
          </w:tcPr>
          <w:p w14:paraId="53AC5FBE"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16E1EE84"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4841424E"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216AB66C"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148</w:t>
            </w:r>
          </w:p>
        </w:tc>
        <w:tc>
          <w:tcPr>
            <w:tcW w:w="880" w:type="dxa"/>
            <w:tcBorders>
              <w:top w:val="nil"/>
              <w:left w:val="nil"/>
              <w:bottom w:val="single" w:sz="8" w:space="0" w:color="auto"/>
              <w:right w:val="single" w:sz="8" w:space="0" w:color="auto"/>
            </w:tcBorders>
            <w:shd w:val="clear" w:color="auto" w:fill="auto"/>
            <w:vAlign w:val="center"/>
            <w:hideMark/>
          </w:tcPr>
          <w:p w14:paraId="15E523C8"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901.020.967</w:t>
            </w:r>
          </w:p>
        </w:tc>
        <w:tc>
          <w:tcPr>
            <w:tcW w:w="323" w:type="dxa"/>
            <w:tcBorders>
              <w:top w:val="nil"/>
              <w:left w:val="nil"/>
              <w:bottom w:val="single" w:sz="8" w:space="0" w:color="auto"/>
              <w:right w:val="single" w:sz="8" w:space="0" w:color="auto"/>
            </w:tcBorders>
            <w:shd w:val="clear" w:color="auto" w:fill="auto"/>
            <w:vAlign w:val="center"/>
            <w:hideMark/>
          </w:tcPr>
          <w:p w14:paraId="129A5B45"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0</w:t>
            </w:r>
          </w:p>
        </w:tc>
        <w:tc>
          <w:tcPr>
            <w:tcW w:w="505" w:type="dxa"/>
            <w:tcBorders>
              <w:top w:val="nil"/>
              <w:left w:val="nil"/>
              <w:bottom w:val="single" w:sz="8" w:space="0" w:color="auto"/>
              <w:right w:val="single" w:sz="8" w:space="0" w:color="auto"/>
            </w:tcBorders>
            <w:shd w:val="clear" w:color="auto" w:fill="auto"/>
            <w:vAlign w:val="center"/>
            <w:hideMark/>
          </w:tcPr>
          <w:p w14:paraId="46AC0E9A"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36033</w:t>
            </w:r>
          </w:p>
        </w:tc>
        <w:tc>
          <w:tcPr>
            <w:tcW w:w="3498" w:type="dxa"/>
            <w:tcBorders>
              <w:top w:val="nil"/>
              <w:left w:val="nil"/>
              <w:bottom w:val="single" w:sz="8" w:space="0" w:color="auto"/>
              <w:right w:val="single" w:sz="8" w:space="0" w:color="auto"/>
            </w:tcBorders>
            <w:shd w:val="clear" w:color="auto" w:fill="auto"/>
            <w:vAlign w:val="center"/>
            <w:hideMark/>
          </w:tcPr>
          <w:p w14:paraId="51B90E0C"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COMPRIGAS S.A.S.  E.S.P.</w:t>
            </w:r>
          </w:p>
        </w:tc>
        <w:tc>
          <w:tcPr>
            <w:tcW w:w="1262" w:type="dxa"/>
            <w:tcBorders>
              <w:top w:val="nil"/>
              <w:left w:val="nil"/>
              <w:bottom w:val="single" w:sz="8" w:space="0" w:color="auto"/>
              <w:right w:val="single" w:sz="8" w:space="0" w:color="auto"/>
            </w:tcBorders>
            <w:shd w:val="clear" w:color="auto" w:fill="auto"/>
            <w:vAlign w:val="center"/>
            <w:hideMark/>
          </w:tcPr>
          <w:p w14:paraId="435CD5F9"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5B8995B6"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67E4CF11"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0A99865A"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149</w:t>
            </w:r>
          </w:p>
        </w:tc>
        <w:tc>
          <w:tcPr>
            <w:tcW w:w="880" w:type="dxa"/>
            <w:tcBorders>
              <w:top w:val="nil"/>
              <w:left w:val="nil"/>
              <w:bottom w:val="single" w:sz="8" w:space="0" w:color="auto"/>
              <w:right w:val="single" w:sz="8" w:space="0" w:color="auto"/>
            </w:tcBorders>
            <w:shd w:val="clear" w:color="auto" w:fill="auto"/>
            <w:vAlign w:val="center"/>
            <w:hideMark/>
          </w:tcPr>
          <w:p w14:paraId="3EC3E045"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901.021.569</w:t>
            </w:r>
          </w:p>
        </w:tc>
        <w:tc>
          <w:tcPr>
            <w:tcW w:w="323" w:type="dxa"/>
            <w:tcBorders>
              <w:top w:val="nil"/>
              <w:left w:val="nil"/>
              <w:bottom w:val="single" w:sz="8" w:space="0" w:color="auto"/>
              <w:right w:val="single" w:sz="8" w:space="0" w:color="auto"/>
            </w:tcBorders>
            <w:shd w:val="clear" w:color="auto" w:fill="auto"/>
            <w:vAlign w:val="center"/>
            <w:hideMark/>
          </w:tcPr>
          <w:p w14:paraId="7B7F8C08"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7</w:t>
            </w:r>
          </w:p>
        </w:tc>
        <w:tc>
          <w:tcPr>
            <w:tcW w:w="505" w:type="dxa"/>
            <w:tcBorders>
              <w:top w:val="nil"/>
              <w:left w:val="nil"/>
              <w:bottom w:val="single" w:sz="8" w:space="0" w:color="auto"/>
              <w:right w:val="single" w:sz="8" w:space="0" w:color="auto"/>
            </w:tcBorders>
            <w:shd w:val="clear" w:color="auto" w:fill="auto"/>
            <w:vAlign w:val="center"/>
            <w:hideMark/>
          </w:tcPr>
          <w:p w14:paraId="672C0E5B"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40516</w:t>
            </w:r>
          </w:p>
        </w:tc>
        <w:tc>
          <w:tcPr>
            <w:tcW w:w="3498" w:type="dxa"/>
            <w:tcBorders>
              <w:top w:val="nil"/>
              <w:left w:val="nil"/>
              <w:bottom w:val="single" w:sz="8" w:space="0" w:color="auto"/>
              <w:right w:val="single" w:sz="8" w:space="0" w:color="auto"/>
            </w:tcBorders>
            <w:shd w:val="clear" w:color="auto" w:fill="auto"/>
            <w:vAlign w:val="center"/>
            <w:hideMark/>
          </w:tcPr>
          <w:p w14:paraId="202FB837"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GASTUMACO DEL PACIFICO SAS ESP</w:t>
            </w:r>
          </w:p>
        </w:tc>
        <w:tc>
          <w:tcPr>
            <w:tcW w:w="1262" w:type="dxa"/>
            <w:tcBorders>
              <w:top w:val="nil"/>
              <w:left w:val="nil"/>
              <w:bottom w:val="single" w:sz="8" w:space="0" w:color="auto"/>
              <w:right w:val="single" w:sz="8" w:space="0" w:color="auto"/>
            </w:tcBorders>
            <w:shd w:val="clear" w:color="auto" w:fill="auto"/>
            <w:vAlign w:val="center"/>
            <w:hideMark/>
          </w:tcPr>
          <w:p w14:paraId="61BAD2D2"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5736AF02"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18E37AE4"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4FE8BC3B"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150</w:t>
            </w:r>
          </w:p>
        </w:tc>
        <w:tc>
          <w:tcPr>
            <w:tcW w:w="880" w:type="dxa"/>
            <w:tcBorders>
              <w:top w:val="nil"/>
              <w:left w:val="nil"/>
              <w:bottom w:val="single" w:sz="8" w:space="0" w:color="auto"/>
              <w:right w:val="single" w:sz="8" w:space="0" w:color="auto"/>
            </w:tcBorders>
            <w:shd w:val="clear" w:color="auto" w:fill="auto"/>
            <w:vAlign w:val="center"/>
            <w:hideMark/>
          </w:tcPr>
          <w:p w14:paraId="2E8A0358"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901.023.319</w:t>
            </w:r>
          </w:p>
        </w:tc>
        <w:tc>
          <w:tcPr>
            <w:tcW w:w="323" w:type="dxa"/>
            <w:tcBorders>
              <w:top w:val="nil"/>
              <w:left w:val="nil"/>
              <w:bottom w:val="single" w:sz="8" w:space="0" w:color="auto"/>
              <w:right w:val="single" w:sz="8" w:space="0" w:color="auto"/>
            </w:tcBorders>
            <w:shd w:val="clear" w:color="auto" w:fill="auto"/>
            <w:vAlign w:val="center"/>
            <w:hideMark/>
          </w:tcPr>
          <w:p w14:paraId="7FAF0D9F"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w:t>
            </w:r>
          </w:p>
        </w:tc>
        <w:tc>
          <w:tcPr>
            <w:tcW w:w="505" w:type="dxa"/>
            <w:tcBorders>
              <w:top w:val="nil"/>
              <w:left w:val="nil"/>
              <w:bottom w:val="single" w:sz="8" w:space="0" w:color="auto"/>
              <w:right w:val="single" w:sz="8" w:space="0" w:color="auto"/>
            </w:tcBorders>
            <w:shd w:val="clear" w:color="auto" w:fill="auto"/>
            <w:vAlign w:val="center"/>
            <w:hideMark/>
          </w:tcPr>
          <w:p w14:paraId="79AA97FA"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36913</w:t>
            </w:r>
          </w:p>
        </w:tc>
        <w:tc>
          <w:tcPr>
            <w:tcW w:w="3498" w:type="dxa"/>
            <w:tcBorders>
              <w:top w:val="nil"/>
              <w:left w:val="nil"/>
              <w:bottom w:val="single" w:sz="8" w:space="0" w:color="auto"/>
              <w:right w:val="single" w:sz="8" w:space="0" w:color="auto"/>
            </w:tcBorders>
            <w:shd w:val="clear" w:color="auto" w:fill="auto"/>
            <w:vAlign w:val="center"/>
            <w:hideMark/>
          </w:tcPr>
          <w:p w14:paraId="20953E8B" w14:textId="77777777" w:rsidR="00E75BBE" w:rsidRPr="00AD4E79" w:rsidRDefault="00E75BBE" w:rsidP="00D22441">
            <w:pPr>
              <w:jc w:val="left"/>
              <w:rPr>
                <w:rFonts w:ascii="Arial Narrow" w:hAnsi="Arial Narrow" w:cs="Arial"/>
                <w:spacing w:val="0"/>
                <w:sz w:val="16"/>
                <w:szCs w:val="16"/>
                <w:lang w:val="en-GB" w:eastAsia="es-CO"/>
              </w:rPr>
            </w:pPr>
            <w:r w:rsidRPr="00AD4E79">
              <w:rPr>
                <w:rFonts w:ascii="Arial Narrow" w:hAnsi="Arial Narrow" w:cs="Arial"/>
                <w:spacing w:val="0"/>
                <w:sz w:val="16"/>
                <w:szCs w:val="16"/>
                <w:lang w:val="en-GB" w:eastAsia="es-CO"/>
              </w:rPr>
              <w:t>Energy for the Caribbean S.A.S. E.S.P.</w:t>
            </w:r>
          </w:p>
        </w:tc>
        <w:tc>
          <w:tcPr>
            <w:tcW w:w="1262" w:type="dxa"/>
            <w:tcBorders>
              <w:top w:val="nil"/>
              <w:left w:val="nil"/>
              <w:bottom w:val="single" w:sz="8" w:space="0" w:color="auto"/>
              <w:right w:val="single" w:sz="8" w:space="0" w:color="auto"/>
            </w:tcBorders>
            <w:shd w:val="clear" w:color="auto" w:fill="auto"/>
            <w:vAlign w:val="center"/>
            <w:hideMark/>
          </w:tcPr>
          <w:p w14:paraId="188D238E"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7999B5E1"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090E0708"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69EE43EF"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151</w:t>
            </w:r>
          </w:p>
        </w:tc>
        <w:tc>
          <w:tcPr>
            <w:tcW w:w="880" w:type="dxa"/>
            <w:tcBorders>
              <w:top w:val="nil"/>
              <w:left w:val="nil"/>
              <w:bottom w:val="single" w:sz="8" w:space="0" w:color="auto"/>
              <w:right w:val="single" w:sz="8" w:space="0" w:color="auto"/>
            </w:tcBorders>
            <w:shd w:val="clear" w:color="auto" w:fill="auto"/>
            <w:vAlign w:val="center"/>
            <w:hideMark/>
          </w:tcPr>
          <w:p w14:paraId="74B1101F"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901.024.864</w:t>
            </w:r>
          </w:p>
        </w:tc>
        <w:tc>
          <w:tcPr>
            <w:tcW w:w="323" w:type="dxa"/>
            <w:tcBorders>
              <w:top w:val="nil"/>
              <w:left w:val="nil"/>
              <w:bottom w:val="single" w:sz="8" w:space="0" w:color="auto"/>
              <w:right w:val="single" w:sz="8" w:space="0" w:color="auto"/>
            </w:tcBorders>
            <w:shd w:val="clear" w:color="auto" w:fill="auto"/>
            <w:vAlign w:val="center"/>
            <w:hideMark/>
          </w:tcPr>
          <w:p w14:paraId="47C46F78"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w:t>
            </w:r>
          </w:p>
        </w:tc>
        <w:tc>
          <w:tcPr>
            <w:tcW w:w="505" w:type="dxa"/>
            <w:tcBorders>
              <w:top w:val="nil"/>
              <w:left w:val="nil"/>
              <w:bottom w:val="single" w:sz="8" w:space="0" w:color="auto"/>
              <w:right w:val="single" w:sz="8" w:space="0" w:color="auto"/>
            </w:tcBorders>
            <w:shd w:val="clear" w:color="auto" w:fill="auto"/>
            <w:vAlign w:val="center"/>
            <w:hideMark/>
          </w:tcPr>
          <w:p w14:paraId="55F53253"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36154</w:t>
            </w:r>
          </w:p>
        </w:tc>
        <w:tc>
          <w:tcPr>
            <w:tcW w:w="3498" w:type="dxa"/>
            <w:tcBorders>
              <w:top w:val="nil"/>
              <w:left w:val="nil"/>
              <w:bottom w:val="single" w:sz="8" w:space="0" w:color="auto"/>
              <w:right w:val="single" w:sz="8" w:space="0" w:color="auto"/>
            </w:tcBorders>
            <w:shd w:val="clear" w:color="auto" w:fill="auto"/>
            <w:vAlign w:val="center"/>
            <w:hideMark/>
          </w:tcPr>
          <w:p w14:paraId="3A986AED"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ENTREGAMOS G.L.P. E.S.P. S.A.S.</w:t>
            </w:r>
          </w:p>
        </w:tc>
        <w:tc>
          <w:tcPr>
            <w:tcW w:w="1262" w:type="dxa"/>
            <w:tcBorders>
              <w:top w:val="nil"/>
              <w:left w:val="nil"/>
              <w:bottom w:val="single" w:sz="8" w:space="0" w:color="auto"/>
              <w:right w:val="single" w:sz="8" w:space="0" w:color="auto"/>
            </w:tcBorders>
            <w:shd w:val="clear" w:color="auto" w:fill="auto"/>
            <w:vAlign w:val="center"/>
            <w:hideMark/>
          </w:tcPr>
          <w:p w14:paraId="044AD899"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46641889"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SIN REPORTE AL SUI</w:t>
            </w:r>
          </w:p>
        </w:tc>
      </w:tr>
      <w:tr w:rsidR="00AD4E79" w:rsidRPr="00AD4E79" w14:paraId="7F282493"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7A30676A"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152</w:t>
            </w:r>
          </w:p>
        </w:tc>
        <w:tc>
          <w:tcPr>
            <w:tcW w:w="880" w:type="dxa"/>
            <w:tcBorders>
              <w:top w:val="nil"/>
              <w:left w:val="nil"/>
              <w:bottom w:val="single" w:sz="8" w:space="0" w:color="auto"/>
              <w:right w:val="single" w:sz="8" w:space="0" w:color="auto"/>
            </w:tcBorders>
            <w:shd w:val="clear" w:color="auto" w:fill="auto"/>
            <w:vAlign w:val="center"/>
            <w:hideMark/>
          </w:tcPr>
          <w:p w14:paraId="2DFC3F7A"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901.034.973</w:t>
            </w:r>
          </w:p>
        </w:tc>
        <w:tc>
          <w:tcPr>
            <w:tcW w:w="323" w:type="dxa"/>
            <w:tcBorders>
              <w:top w:val="nil"/>
              <w:left w:val="nil"/>
              <w:bottom w:val="single" w:sz="8" w:space="0" w:color="auto"/>
              <w:right w:val="single" w:sz="8" w:space="0" w:color="auto"/>
            </w:tcBorders>
            <w:shd w:val="clear" w:color="auto" w:fill="auto"/>
            <w:vAlign w:val="center"/>
            <w:hideMark/>
          </w:tcPr>
          <w:p w14:paraId="411BE970"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6</w:t>
            </w:r>
          </w:p>
        </w:tc>
        <w:tc>
          <w:tcPr>
            <w:tcW w:w="505" w:type="dxa"/>
            <w:tcBorders>
              <w:top w:val="nil"/>
              <w:left w:val="nil"/>
              <w:bottom w:val="single" w:sz="8" w:space="0" w:color="auto"/>
              <w:right w:val="single" w:sz="8" w:space="0" w:color="auto"/>
            </w:tcBorders>
            <w:shd w:val="clear" w:color="auto" w:fill="auto"/>
            <w:vAlign w:val="center"/>
            <w:hideMark/>
          </w:tcPr>
          <w:p w14:paraId="66D7376A"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37253</w:t>
            </w:r>
          </w:p>
        </w:tc>
        <w:tc>
          <w:tcPr>
            <w:tcW w:w="3498" w:type="dxa"/>
            <w:tcBorders>
              <w:top w:val="nil"/>
              <w:left w:val="nil"/>
              <w:bottom w:val="single" w:sz="8" w:space="0" w:color="auto"/>
              <w:right w:val="single" w:sz="8" w:space="0" w:color="auto"/>
            </w:tcBorders>
            <w:shd w:val="clear" w:color="auto" w:fill="auto"/>
            <w:vAlign w:val="center"/>
            <w:hideMark/>
          </w:tcPr>
          <w:p w14:paraId="6975D385"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EOS ENERGY S.A.S. E.S.P.</w:t>
            </w:r>
          </w:p>
        </w:tc>
        <w:tc>
          <w:tcPr>
            <w:tcW w:w="1262" w:type="dxa"/>
            <w:tcBorders>
              <w:top w:val="nil"/>
              <w:left w:val="nil"/>
              <w:bottom w:val="single" w:sz="8" w:space="0" w:color="auto"/>
              <w:right w:val="single" w:sz="8" w:space="0" w:color="auto"/>
            </w:tcBorders>
            <w:shd w:val="clear" w:color="auto" w:fill="auto"/>
            <w:vAlign w:val="center"/>
            <w:hideMark/>
          </w:tcPr>
          <w:p w14:paraId="68407260"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0B70BDA5"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5AD7102E"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4210201A"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153</w:t>
            </w:r>
          </w:p>
        </w:tc>
        <w:tc>
          <w:tcPr>
            <w:tcW w:w="880" w:type="dxa"/>
            <w:tcBorders>
              <w:top w:val="nil"/>
              <w:left w:val="nil"/>
              <w:bottom w:val="single" w:sz="8" w:space="0" w:color="auto"/>
              <w:right w:val="single" w:sz="8" w:space="0" w:color="auto"/>
            </w:tcBorders>
            <w:shd w:val="clear" w:color="auto" w:fill="auto"/>
            <w:vAlign w:val="center"/>
            <w:hideMark/>
          </w:tcPr>
          <w:p w14:paraId="7FAC534B"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901.037.565</w:t>
            </w:r>
          </w:p>
        </w:tc>
        <w:tc>
          <w:tcPr>
            <w:tcW w:w="323" w:type="dxa"/>
            <w:tcBorders>
              <w:top w:val="nil"/>
              <w:left w:val="nil"/>
              <w:bottom w:val="single" w:sz="8" w:space="0" w:color="auto"/>
              <w:right w:val="single" w:sz="8" w:space="0" w:color="auto"/>
            </w:tcBorders>
            <w:shd w:val="clear" w:color="auto" w:fill="auto"/>
            <w:vAlign w:val="center"/>
            <w:hideMark/>
          </w:tcPr>
          <w:p w14:paraId="110459E3"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w:t>
            </w:r>
          </w:p>
        </w:tc>
        <w:tc>
          <w:tcPr>
            <w:tcW w:w="505" w:type="dxa"/>
            <w:tcBorders>
              <w:top w:val="nil"/>
              <w:left w:val="nil"/>
              <w:bottom w:val="single" w:sz="8" w:space="0" w:color="auto"/>
              <w:right w:val="single" w:sz="8" w:space="0" w:color="auto"/>
            </w:tcBorders>
            <w:shd w:val="clear" w:color="auto" w:fill="auto"/>
            <w:vAlign w:val="center"/>
            <w:hideMark/>
          </w:tcPr>
          <w:p w14:paraId="6EF913D5"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50585</w:t>
            </w:r>
          </w:p>
        </w:tc>
        <w:tc>
          <w:tcPr>
            <w:tcW w:w="3498" w:type="dxa"/>
            <w:tcBorders>
              <w:top w:val="nil"/>
              <w:left w:val="nil"/>
              <w:bottom w:val="single" w:sz="8" w:space="0" w:color="auto"/>
              <w:right w:val="single" w:sz="8" w:space="0" w:color="auto"/>
            </w:tcBorders>
            <w:shd w:val="clear" w:color="auto" w:fill="auto"/>
            <w:vAlign w:val="center"/>
            <w:hideMark/>
          </w:tcPr>
          <w:p w14:paraId="647ABF53"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GASES DEL SUR DE COLOMBIA E.S.P S.A.</w:t>
            </w:r>
          </w:p>
        </w:tc>
        <w:tc>
          <w:tcPr>
            <w:tcW w:w="1262" w:type="dxa"/>
            <w:tcBorders>
              <w:top w:val="nil"/>
              <w:left w:val="nil"/>
              <w:bottom w:val="single" w:sz="8" w:space="0" w:color="auto"/>
              <w:right w:val="single" w:sz="8" w:space="0" w:color="auto"/>
            </w:tcBorders>
            <w:shd w:val="clear" w:color="auto" w:fill="auto"/>
            <w:vAlign w:val="center"/>
            <w:hideMark/>
          </w:tcPr>
          <w:p w14:paraId="540AB130"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393C56B4"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56912190"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079497EB"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154</w:t>
            </w:r>
          </w:p>
        </w:tc>
        <w:tc>
          <w:tcPr>
            <w:tcW w:w="880" w:type="dxa"/>
            <w:tcBorders>
              <w:top w:val="nil"/>
              <w:left w:val="nil"/>
              <w:bottom w:val="single" w:sz="8" w:space="0" w:color="auto"/>
              <w:right w:val="single" w:sz="8" w:space="0" w:color="auto"/>
            </w:tcBorders>
            <w:shd w:val="clear" w:color="auto" w:fill="auto"/>
            <w:vAlign w:val="center"/>
            <w:hideMark/>
          </w:tcPr>
          <w:p w14:paraId="6A94D8BA"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901.042.814</w:t>
            </w:r>
          </w:p>
        </w:tc>
        <w:tc>
          <w:tcPr>
            <w:tcW w:w="323" w:type="dxa"/>
            <w:tcBorders>
              <w:top w:val="nil"/>
              <w:left w:val="nil"/>
              <w:bottom w:val="single" w:sz="8" w:space="0" w:color="auto"/>
              <w:right w:val="single" w:sz="8" w:space="0" w:color="auto"/>
            </w:tcBorders>
            <w:shd w:val="clear" w:color="auto" w:fill="auto"/>
            <w:vAlign w:val="center"/>
            <w:hideMark/>
          </w:tcPr>
          <w:p w14:paraId="6B4B46E9"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7</w:t>
            </w:r>
          </w:p>
        </w:tc>
        <w:tc>
          <w:tcPr>
            <w:tcW w:w="505" w:type="dxa"/>
            <w:tcBorders>
              <w:top w:val="nil"/>
              <w:left w:val="nil"/>
              <w:bottom w:val="single" w:sz="8" w:space="0" w:color="auto"/>
              <w:right w:val="single" w:sz="8" w:space="0" w:color="auto"/>
            </w:tcBorders>
            <w:shd w:val="clear" w:color="auto" w:fill="auto"/>
            <w:vAlign w:val="center"/>
            <w:hideMark/>
          </w:tcPr>
          <w:p w14:paraId="41EC55B3"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36633</w:t>
            </w:r>
          </w:p>
        </w:tc>
        <w:tc>
          <w:tcPr>
            <w:tcW w:w="3498" w:type="dxa"/>
            <w:tcBorders>
              <w:top w:val="nil"/>
              <w:left w:val="nil"/>
              <w:bottom w:val="single" w:sz="8" w:space="0" w:color="auto"/>
              <w:right w:val="single" w:sz="8" w:space="0" w:color="auto"/>
            </w:tcBorders>
            <w:shd w:val="clear" w:color="auto" w:fill="auto"/>
            <w:vAlign w:val="center"/>
            <w:hideMark/>
          </w:tcPr>
          <w:p w14:paraId="22A09403"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 xml:space="preserve">REDNOVA </w:t>
            </w:r>
            <w:proofErr w:type="gramStart"/>
            <w:r w:rsidRPr="00AD4E79">
              <w:rPr>
                <w:rFonts w:ascii="Arial Narrow" w:hAnsi="Arial Narrow" w:cs="Arial"/>
                <w:spacing w:val="0"/>
                <w:sz w:val="16"/>
                <w:szCs w:val="16"/>
                <w:lang w:eastAsia="es-CO"/>
              </w:rPr>
              <w:t>SAS  ESP</w:t>
            </w:r>
            <w:proofErr w:type="gramEnd"/>
          </w:p>
        </w:tc>
        <w:tc>
          <w:tcPr>
            <w:tcW w:w="1262" w:type="dxa"/>
            <w:tcBorders>
              <w:top w:val="nil"/>
              <w:left w:val="nil"/>
              <w:bottom w:val="single" w:sz="8" w:space="0" w:color="auto"/>
              <w:right w:val="single" w:sz="8" w:space="0" w:color="auto"/>
            </w:tcBorders>
            <w:shd w:val="clear" w:color="auto" w:fill="auto"/>
            <w:vAlign w:val="center"/>
            <w:hideMark/>
          </w:tcPr>
          <w:p w14:paraId="055B04B8"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0FD0C137"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39AD7A74" w14:textId="77777777" w:rsidTr="00AD4E79">
        <w:trPr>
          <w:trHeight w:val="215"/>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18C16F33"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155</w:t>
            </w:r>
          </w:p>
        </w:tc>
        <w:tc>
          <w:tcPr>
            <w:tcW w:w="880" w:type="dxa"/>
            <w:tcBorders>
              <w:top w:val="nil"/>
              <w:left w:val="nil"/>
              <w:bottom w:val="single" w:sz="8" w:space="0" w:color="auto"/>
              <w:right w:val="single" w:sz="8" w:space="0" w:color="auto"/>
            </w:tcBorders>
            <w:shd w:val="clear" w:color="auto" w:fill="auto"/>
            <w:vAlign w:val="center"/>
            <w:hideMark/>
          </w:tcPr>
          <w:p w14:paraId="4FD3C1DB"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901.060.669</w:t>
            </w:r>
          </w:p>
        </w:tc>
        <w:tc>
          <w:tcPr>
            <w:tcW w:w="323" w:type="dxa"/>
            <w:tcBorders>
              <w:top w:val="nil"/>
              <w:left w:val="nil"/>
              <w:bottom w:val="single" w:sz="8" w:space="0" w:color="auto"/>
              <w:right w:val="single" w:sz="8" w:space="0" w:color="auto"/>
            </w:tcBorders>
            <w:shd w:val="clear" w:color="auto" w:fill="auto"/>
            <w:vAlign w:val="center"/>
            <w:hideMark/>
          </w:tcPr>
          <w:p w14:paraId="09C0CF98"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w:t>
            </w:r>
          </w:p>
        </w:tc>
        <w:tc>
          <w:tcPr>
            <w:tcW w:w="505" w:type="dxa"/>
            <w:tcBorders>
              <w:top w:val="nil"/>
              <w:left w:val="nil"/>
              <w:bottom w:val="single" w:sz="8" w:space="0" w:color="auto"/>
              <w:right w:val="single" w:sz="8" w:space="0" w:color="auto"/>
            </w:tcBorders>
            <w:shd w:val="clear" w:color="auto" w:fill="auto"/>
            <w:vAlign w:val="center"/>
            <w:hideMark/>
          </w:tcPr>
          <w:p w14:paraId="44E8B650"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37174</w:t>
            </w:r>
          </w:p>
        </w:tc>
        <w:tc>
          <w:tcPr>
            <w:tcW w:w="3498" w:type="dxa"/>
            <w:tcBorders>
              <w:top w:val="nil"/>
              <w:left w:val="nil"/>
              <w:bottom w:val="single" w:sz="8" w:space="0" w:color="auto"/>
              <w:right w:val="single" w:sz="8" w:space="0" w:color="auto"/>
            </w:tcBorders>
            <w:shd w:val="clear" w:color="auto" w:fill="auto"/>
            <w:vAlign w:val="center"/>
            <w:hideMark/>
          </w:tcPr>
          <w:p w14:paraId="2EA6E877"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TERMOGAS SOLUCIONES ENERGETICAS SAS ESP</w:t>
            </w:r>
          </w:p>
        </w:tc>
        <w:tc>
          <w:tcPr>
            <w:tcW w:w="1262" w:type="dxa"/>
            <w:tcBorders>
              <w:top w:val="nil"/>
              <w:left w:val="nil"/>
              <w:bottom w:val="single" w:sz="8" w:space="0" w:color="auto"/>
              <w:right w:val="single" w:sz="8" w:space="0" w:color="auto"/>
            </w:tcBorders>
            <w:shd w:val="clear" w:color="auto" w:fill="auto"/>
            <w:vAlign w:val="center"/>
            <w:hideMark/>
          </w:tcPr>
          <w:p w14:paraId="5430E90F"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7369B764"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SIN REPORTE AL SUI</w:t>
            </w:r>
          </w:p>
        </w:tc>
      </w:tr>
      <w:tr w:rsidR="00AD4E79" w:rsidRPr="00AD4E79" w14:paraId="65B3811B" w14:textId="77777777" w:rsidTr="00AD4E79">
        <w:trPr>
          <w:trHeight w:val="403"/>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4F3F892F"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156</w:t>
            </w:r>
          </w:p>
        </w:tc>
        <w:tc>
          <w:tcPr>
            <w:tcW w:w="880" w:type="dxa"/>
            <w:tcBorders>
              <w:top w:val="nil"/>
              <w:left w:val="nil"/>
              <w:bottom w:val="single" w:sz="8" w:space="0" w:color="auto"/>
              <w:right w:val="single" w:sz="8" w:space="0" w:color="auto"/>
            </w:tcBorders>
            <w:shd w:val="clear" w:color="auto" w:fill="auto"/>
            <w:vAlign w:val="center"/>
            <w:hideMark/>
          </w:tcPr>
          <w:p w14:paraId="537EB022"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901.070.018</w:t>
            </w:r>
          </w:p>
        </w:tc>
        <w:tc>
          <w:tcPr>
            <w:tcW w:w="323" w:type="dxa"/>
            <w:tcBorders>
              <w:top w:val="nil"/>
              <w:left w:val="nil"/>
              <w:bottom w:val="single" w:sz="8" w:space="0" w:color="auto"/>
              <w:right w:val="single" w:sz="8" w:space="0" w:color="auto"/>
            </w:tcBorders>
            <w:shd w:val="clear" w:color="auto" w:fill="auto"/>
            <w:vAlign w:val="center"/>
            <w:hideMark/>
          </w:tcPr>
          <w:p w14:paraId="3E37DCF2"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w:t>
            </w:r>
          </w:p>
        </w:tc>
        <w:tc>
          <w:tcPr>
            <w:tcW w:w="505" w:type="dxa"/>
            <w:tcBorders>
              <w:top w:val="nil"/>
              <w:left w:val="nil"/>
              <w:bottom w:val="single" w:sz="8" w:space="0" w:color="auto"/>
              <w:right w:val="single" w:sz="8" w:space="0" w:color="auto"/>
            </w:tcBorders>
            <w:shd w:val="clear" w:color="auto" w:fill="auto"/>
            <w:vAlign w:val="center"/>
            <w:hideMark/>
          </w:tcPr>
          <w:p w14:paraId="00240C88"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41616</w:t>
            </w:r>
          </w:p>
        </w:tc>
        <w:tc>
          <w:tcPr>
            <w:tcW w:w="3498" w:type="dxa"/>
            <w:tcBorders>
              <w:top w:val="nil"/>
              <w:left w:val="nil"/>
              <w:bottom w:val="single" w:sz="8" w:space="0" w:color="auto"/>
              <w:right w:val="single" w:sz="8" w:space="0" w:color="auto"/>
            </w:tcBorders>
            <w:shd w:val="clear" w:color="auto" w:fill="auto"/>
            <w:vAlign w:val="center"/>
            <w:hideMark/>
          </w:tcPr>
          <w:p w14:paraId="02015E01"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COMPAÑIA COMERCIALIZADORA DE RECURSOS ENERGETICOS E.S.P SAS</w:t>
            </w:r>
          </w:p>
        </w:tc>
        <w:tc>
          <w:tcPr>
            <w:tcW w:w="1262" w:type="dxa"/>
            <w:tcBorders>
              <w:top w:val="nil"/>
              <w:left w:val="nil"/>
              <w:bottom w:val="single" w:sz="8" w:space="0" w:color="auto"/>
              <w:right w:val="single" w:sz="8" w:space="0" w:color="auto"/>
            </w:tcBorders>
            <w:shd w:val="clear" w:color="auto" w:fill="auto"/>
            <w:vAlign w:val="center"/>
            <w:hideMark/>
          </w:tcPr>
          <w:p w14:paraId="0980005E"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0E9ADA40"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74DE728A"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326CE5AE"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157</w:t>
            </w:r>
          </w:p>
        </w:tc>
        <w:tc>
          <w:tcPr>
            <w:tcW w:w="880" w:type="dxa"/>
            <w:tcBorders>
              <w:top w:val="nil"/>
              <w:left w:val="nil"/>
              <w:bottom w:val="single" w:sz="8" w:space="0" w:color="auto"/>
              <w:right w:val="single" w:sz="8" w:space="0" w:color="auto"/>
            </w:tcBorders>
            <w:shd w:val="clear" w:color="auto" w:fill="auto"/>
            <w:vAlign w:val="center"/>
            <w:hideMark/>
          </w:tcPr>
          <w:p w14:paraId="16B3FF8F"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901.105.119</w:t>
            </w:r>
          </w:p>
        </w:tc>
        <w:tc>
          <w:tcPr>
            <w:tcW w:w="323" w:type="dxa"/>
            <w:tcBorders>
              <w:top w:val="nil"/>
              <w:left w:val="nil"/>
              <w:bottom w:val="single" w:sz="8" w:space="0" w:color="auto"/>
              <w:right w:val="single" w:sz="8" w:space="0" w:color="auto"/>
            </w:tcBorders>
            <w:shd w:val="clear" w:color="auto" w:fill="auto"/>
            <w:vAlign w:val="center"/>
            <w:hideMark/>
          </w:tcPr>
          <w:p w14:paraId="125FBF09"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8</w:t>
            </w:r>
          </w:p>
        </w:tc>
        <w:tc>
          <w:tcPr>
            <w:tcW w:w="505" w:type="dxa"/>
            <w:tcBorders>
              <w:top w:val="nil"/>
              <w:left w:val="nil"/>
              <w:bottom w:val="single" w:sz="8" w:space="0" w:color="auto"/>
              <w:right w:val="single" w:sz="8" w:space="0" w:color="auto"/>
            </w:tcBorders>
            <w:shd w:val="clear" w:color="auto" w:fill="auto"/>
            <w:vAlign w:val="center"/>
            <w:hideMark/>
          </w:tcPr>
          <w:p w14:paraId="7E306494"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50523</w:t>
            </w:r>
          </w:p>
        </w:tc>
        <w:tc>
          <w:tcPr>
            <w:tcW w:w="3498" w:type="dxa"/>
            <w:tcBorders>
              <w:top w:val="nil"/>
              <w:left w:val="nil"/>
              <w:bottom w:val="single" w:sz="8" w:space="0" w:color="auto"/>
              <w:right w:val="single" w:sz="8" w:space="0" w:color="auto"/>
            </w:tcBorders>
            <w:shd w:val="clear" w:color="auto" w:fill="auto"/>
            <w:vAlign w:val="center"/>
            <w:hideMark/>
          </w:tcPr>
          <w:p w14:paraId="218F7755"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 xml:space="preserve">PCR INVESTMENTS S.A SUCURSAL COLOMBIA </w:t>
            </w:r>
          </w:p>
        </w:tc>
        <w:tc>
          <w:tcPr>
            <w:tcW w:w="1262" w:type="dxa"/>
            <w:tcBorders>
              <w:top w:val="nil"/>
              <w:left w:val="nil"/>
              <w:bottom w:val="single" w:sz="8" w:space="0" w:color="auto"/>
              <w:right w:val="single" w:sz="8" w:space="0" w:color="auto"/>
            </w:tcBorders>
            <w:shd w:val="clear" w:color="auto" w:fill="auto"/>
            <w:vAlign w:val="center"/>
            <w:hideMark/>
          </w:tcPr>
          <w:p w14:paraId="17E1AB35"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CANCELACION</w:t>
            </w:r>
          </w:p>
        </w:tc>
        <w:tc>
          <w:tcPr>
            <w:tcW w:w="2544" w:type="dxa"/>
            <w:tcBorders>
              <w:top w:val="nil"/>
              <w:left w:val="nil"/>
              <w:bottom w:val="single" w:sz="8" w:space="0" w:color="auto"/>
              <w:right w:val="single" w:sz="8" w:space="0" w:color="auto"/>
            </w:tcBorders>
            <w:shd w:val="clear" w:color="auto" w:fill="auto"/>
            <w:noWrap/>
            <w:vAlign w:val="center"/>
            <w:hideMark/>
          </w:tcPr>
          <w:p w14:paraId="4771D3FD"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SIN REPORTE AL SUI</w:t>
            </w:r>
          </w:p>
        </w:tc>
      </w:tr>
      <w:tr w:rsidR="00AD4E79" w:rsidRPr="00AD4E79" w14:paraId="5DE67132" w14:textId="77777777" w:rsidTr="00AD4E79">
        <w:trPr>
          <w:trHeight w:val="431"/>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14DD0BFA"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158</w:t>
            </w:r>
          </w:p>
        </w:tc>
        <w:tc>
          <w:tcPr>
            <w:tcW w:w="880" w:type="dxa"/>
            <w:tcBorders>
              <w:top w:val="nil"/>
              <w:left w:val="nil"/>
              <w:bottom w:val="single" w:sz="8" w:space="0" w:color="auto"/>
              <w:right w:val="single" w:sz="8" w:space="0" w:color="auto"/>
            </w:tcBorders>
            <w:shd w:val="clear" w:color="auto" w:fill="auto"/>
            <w:vAlign w:val="center"/>
            <w:hideMark/>
          </w:tcPr>
          <w:p w14:paraId="7F212266"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901.105.922</w:t>
            </w:r>
          </w:p>
        </w:tc>
        <w:tc>
          <w:tcPr>
            <w:tcW w:w="323" w:type="dxa"/>
            <w:tcBorders>
              <w:top w:val="nil"/>
              <w:left w:val="nil"/>
              <w:bottom w:val="single" w:sz="8" w:space="0" w:color="auto"/>
              <w:right w:val="single" w:sz="8" w:space="0" w:color="auto"/>
            </w:tcBorders>
            <w:shd w:val="clear" w:color="auto" w:fill="auto"/>
            <w:vAlign w:val="center"/>
            <w:hideMark/>
          </w:tcPr>
          <w:p w14:paraId="3531A62E"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6</w:t>
            </w:r>
          </w:p>
        </w:tc>
        <w:tc>
          <w:tcPr>
            <w:tcW w:w="505" w:type="dxa"/>
            <w:tcBorders>
              <w:top w:val="nil"/>
              <w:left w:val="nil"/>
              <w:bottom w:val="single" w:sz="8" w:space="0" w:color="auto"/>
              <w:right w:val="single" w:sz="8" w:space="0" w:color="auto"/>
            </w:tcBorders>
            <w:shd w:val="clear" w:color="auto" w:fill="auto"/>
            <w:vAlign w:val="center"/>
            <w:hideMark/>
          </w:tcPr>
          <w:p w14:paraId="4CC107C1"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38480</w:t>
            </w:r>
          </w:p>
        </w:tc>
        <w:tc>
          <w:tcPr>
            <w:tcW w:w="3498" w:type="dxa"/>
            <w:tcBorders>
              <w:top w:val="nil"/>
              <w:left w:val="nil"/>
              <w:bottom w:val="single" w:sz="8" w:space="0" w:color="auto"/>
              <w:right w:val="single" w:sz="8" w:space="0" w:color="auto"/>
            </w:tcBorders>
            <w:shd w:val="clear" w:color="auto" w:fill="auto"/>
            <w:vAlign w:val="center"/>
            <w:hideMark/>
          </w:tcPr>
          <w:p w14:paraId="2453572C"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Constructora y Distribuidora de Servicio Públicos Domiciliarios SAS ESP</w:t>
            </w:r>
          </w:p>
        </w:tc>
        <w:tc>
          <w:tcPr>
            <w:tcW w:w="1262" w:type="dxa"/>
            <w:tcBorders>
              <w:top w:val="nil"/>
              <w:left w:val="nil"/>
              <w:bottom w:val="single" w:sz="8" w:space="0" w:color="auto"/>
              <w:right w:val="single" w:sz="8" w:space="0" w:color="auto"/>
            </w:tcBorders>
            <w:shd w:val="clear" w:color="auto" w:fill="auto"/>
            <w:vAlign w:val="center"/>
            <w:hideMark/>
          </w:tcPr>
          <w:p w14:paraId="2C440794"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48E39560"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SIN REPORTE AL SUI</w:t>
            </w:r>
          </w:p>
        </w:tc>
      </w:tr>
      <w:tr w:rsidR="00AD4E79" w:rsidRPr="00AD4E79" w14:paraId="0DA32CC0"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6C916586"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159</w:t>
            </w:r>
          </w:p>
        </w:tc>
        <w:tc>
          <w:tcPr>
            <w:tcW w:w="880" w:type="dxa"/>
            <w:tcBorders>
              <w:top w:val="nil"/>
              <w:left w:val="nil"/>
              <w:bottom w:val="single" w:sz="8" w:space="0" w:color="auto"/>
              <w:right w:val="single" w:sz="8" w:space="0" w:color="auto"/>
            </w:tcBorders>
            <w:shd w:val="clear" w:color="auto" w:fill="auto"/>
            <w:vAlign w:val="center"/>
            <w:hideMark/>
          </w:tcPr>
          <w:p w14:paraId="20F0C822"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901.122.935</w:t>
            </w:r>
          </w:p>
        </w:tc>
        <w:tc>
          <w:tcPr>
            <w:tcW w:w="323" w:type="dxa"/>
            <w:tcBorders>
              <w:top w:val="nil"/>
              <w:left w:val="nil"/>
              <w:bottom w:val="single" w:sz="8" w:space="0" w:color="auto"/>
              <w:right w:val="single" w:sz="8" w:space="0" w:color="auto"/>
            </w:tcBorders>
            <w:shd w:val="clear" w:color="auto" w:fill="auto"/>
            <w:vAlign w:val="center"/>
            <w:hideMark/>
          </w:tcPr>
          <w:p w14:paraId="503A7CF8"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3</w:t>
            </w:r>
          </w:p>
        </w:tc>
        <w:tc>
          <w:tcPr>
            <w:tcW w:w="505" w:type="dxa"/>
            <w:tcBorders>
              <w:top w:val="nil"/>
              <w:left w:val="nil"/>
              <w:bottom w:val="single" w:sz="8" w:space="0" w:color="auto"/>
              <w:right w:val="single" w:sz="8" w:space="0" w:color="auto"/>
            </w:tcBorders>
            <w:shd w:val="clear" w:color="auto" w:fill="auto"/>
            <w:vAlign w:val="center"/>
            <w:hideMark/>
          </w:tcPr>
          <w:p w14:paraId="6ED90DE8"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40455</w:t>
            </w:r>
          </w:p>
        </w:tc>
        <w:tc>
          <w:tcPr>
            <w:tcW w:w="3498" w:type="dxa"/>
            <w:tcBorders>
              <w:top w:val="nil"/>
              <w:left w:val="nil"/>
              <w:bottom w:val="single" w:sz="8" w:space="0" w:color="auto"/>
              <w:right w:val="single" w:sz="8" w:space="0" w:color="auto"/>
            </w:tcBorders>
            <w:shd w:val="clear" w:color="auto" w:fill="auto"/>
            <w:vAlign w:val="center"/>
            <w:hideMark/>
          </w:tcPr>
          <w:p w14:paraId="17F778FE"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LOGIGAS COLOMBIA SA ESP</w:t>
            </w:r>
          </w:p>
        </w:tc>
        <w:tc>
          <w:tcPr>
            <w:tcW w:w="1262" w:type="dxa"/>
            <w:tcBorders>
              <w:top w:val="nil"/>
              <w:left w:val="nil"/>
              <w:bottom w:val="single" w:sz="8" w:space="0" w:color="auto"/>
              <w:right w:val="single" w:sz="8" w:space="0" w:color="auto"/>
            </w:tcBorders>
            <w:shd w:val="clear" w:color="auto" w:fill="auto"/>
            <w:vAlign w:val="center"/>
            <w:hideMark/>
          </w:tcPr>
          <w:p w14:paraId="0BE9578F"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11D0ADAB"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SIN REPORTE AL SUI</w:t>
            </w:r>
          </w:p>
        </w:tc>
      </w:tr>
      <w:tr w:rsidR="00AD4E79" w:rsidRPr="00AD4E79" w14:paraId="6835B43E"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47F87AFF"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160</w:t>
            </w:r>
          </w:p>
        </w:tc>
        <w:tc>
          <w:tcPr>
            <w:tcW w:w="880" w:type="dxa"/>
            <w:tcBorders>
              <w:top w:val="nil"/>
              <w:left w:val="nil"/>
              <w:bottom w:val="single" w:sz="8" w:space="0" w:color="auto"/>
              <w:right w:val="single" w:sz="8" w:space="0" w:color="auto"/>
            </w:tcBorders>
            <w:shd w:val="clear" w:color="auto" w:fill="auto"/>
            <w:vAlign w:val="center"/>
            <w:hideMark/>
          </w:tcPr>
          <w:p w14:paraId="229359C9"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901.157.308</w:t>
            </w:r>
          </w:p>
        </w:tc>
        <w:tc>
          <w:tcPr>
            <w:tcW w:w="323" w:type="dxa"/>
            <w:tcBorders>
              <w:top w:val="nil"/>
              <w:left w:val="nil"/>
              <w:bottom w:val="single" w:sz="8" w:space="0" w:color="auto"/>
              <w:right w:val="single" w:sz="8" w:space="0" w:color="auto"/>
            </w:tcBorders>
            <w:shd w:val="clear" w:color="auto" w:fill="auto"/>
            <w:vAlign w:val="center"/>
            <w:hideMark/>
          </w:tcPr>
          <w:p w14:paraId="09E842FF"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6</w:t>
            </w:r>
          </w:p>
        </w:tc>
        <w:tc>
          <w:tcPr>
            <w:tcW w:w="505" w:type="dxa"/>
            <w:tcBorders>
              <w:top w:val="nil"/>
              <w:left w:val="nil"/>
              <w:bottom w:val="single" w:sz="8" w:space="0" w:color="auto"/>
              <w:right w:val="single" w:sz="8" w:space="0" w:color="auto"/>
            </w:tcBorders>
            <w:shd w:val="clear" w:color="auto" w:fill="auto"/>
            <w:vAlign w:val="center"/>
            <w:hideMark/>
          </w:tcPr>
          <w:p w14:paraId="2E5EF559"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40255</w:t>
            </w:r>
          </w:p>
        </w:tc>
        <w:tc>
          <w:tcPr>
            <w:tcW w:w="3498" w:type="dxa"/>
            <w:tcBorders>
              <w:top w:val="nil"/>
              <w:left w:val="nil"/>
              <w:bottom w:val="single" w:sz="8" w:space="0" w:color="auto"/>
              <w:right w:val="single" w:sz="8" w:space="0" w:color="auto"/>
            </w:tcBorders>
            <w:shd w:val="clear" w:color="auto" w:fill="auto"/>
            <w:vAlign w:val="center"/>
            <w:hideMark/>
          </w:tcPr>
          <w:p w14:paraId="0BF72077"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BTU ENERGY S.A.S. E.S.P.</w:t>
            </w:r>
          </w:p>
        </w:tc>
        <w:tc>
          <w:tcPr>
            <w:tcW w:w="1262" w:type="dxa"/>
            <w:tcBorders>
              <w:top w:val="nil"/>
              <w:left w:val="nil"/>
              <w:bottom w:val="single" w:sz="8" w:space="0" w:color="auto"/>
              <w:right w:val="single" w:sz="8" w:space="0" w:color="auto"/>
            </w:tcBorders>
            <w:shd w:val="clear" w:color="auto" w:fill="auto"/>
            <w:vAlign w:val="center"/>
            <w:hideMark/>
          </w:tcPr>
          <w:p w14:paraId="22A5337F"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36B566CE"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2FBFCD38"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6F508C55"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161</w:t>
            </w:r>
          </w:p>
        </w:tc>
        <w:tc>
          <w:tcPr>
            <w:tcW w:w="880" w:type="dxa"/>
            <w:tcBorders>
              <w:top w:val="nil"/>
              <w:left w:val="nil"/>
              <w:bottom w:val="single" w:sz="8" w:space="0" w:color="auto"/>
              <w:right w:val="single" w:sz="8" w:space="0" w:color="auto"/>
            </w:tcBorders>
            <w:shd w:val="clear" w:color="auto" w:fill="auto"/>
            <w:vAlign w:val="center"/>
            <w:hideMark/>
          </w:tcPr>
          <w:p w14:paraId="0024829B"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901.172.729</w:t>
            </w:r>
          </w:p>
        </w:tc>
        <w:tc>
          <w:tcPr>
            <w:tcW w:w="323" w:type="dxa"/>
            <w:tcBorders>
              <w:top w:val="nil"/>
              <w:left w:val="nil"/>
              <w:bottom w:val="single" w:sz="8" w:space="0" w:color="auto"/>
              <w:right w:val="single" w:sz="8" w:space="0" w:color="auto"/>
            </w:tcBorders>
            <w:shd w:val="clear" w:color="auto" w:fill="auto"/>
            <w:vAlign w:val="center"/>
            <w:hideMark/>
          </w:tcPr>
          <w:p w14:paraId="13B3332D"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6</w:t>
            </w:r>
          </w:p>
        </w:tc>
        <w:tc>
          <w:tcPr>
            <w:tcW w:w="505" w:type="dxa"/>
            <w:tcBorders>
              <w:top w:val="nil"/>
              <w:left w:val="nil"/>
              <w:bottom w:val="single" w:sz="8" w:space="0" w:color="auto"/>
              <w:right w:val="single" w:sz="8" w:space="0" w:color="auto"/>
            </w:tcBorders>
            <w:shd w:val="clear" w:color="auto" w:fill="auto"/>
            <w:vAlign w:val="center"/>
            <w:hideMark/>
          </w:tcPr>
          <w:p w14:paraId="5CBF0809"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41961</w:t>
            </w:r>
          </w:p>
        </w:tc>
        <w:tc>
          <w:tcPr>
            <w:tcW w:w="3498" w:type="dxa"/>
            <w:tcBorders>
              <w:top w:val="nil"/>
              <w:left w:val="nil"/>
              <w:bottom w:val="single" w:sz="8" w:space="0" w:color="auto"/>
              <w:right w:val="single" w:sz="8" w:space="0" w:color="auto"/>
            </w:tcBorders>
            <w:shd w:val="clear" w:color="auto" w:fill="auto"/>
            <w:vAlign w:val="center"/>
            <w:hideMark/>
          </w:tcPr>
          <w:p w14:paraId="27A41C71"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LOGISTICA DE GAS DOMICILIARIO S.A.S E.</w:t>
            </w:r>
            <w:proofErr w:type="gramStart"/>
            <w:r w:rsidRPr="00AD4E79">
              <w:rPr>
                <w:rFonts w:ascii="Arial Narrow" w:hAnsi="Arial Narrow" w:cs="Arial"/>
                <w:spacing w:val="0"/>
                <w:sz w:val="16"/>
                <w:szCs w:val="16"/>
                <w:lang w:eastAsia="es-CO"/>
              </w:rPr>
              <w:t>S.P</w:t>
            </w:r>
            <w:proofErr w:type="gramEnd"/>
          </w:p>
        </w:tc>
        <w:tc>
          <w:tcPr>
            <w:tcW w:w="1262" w:type="dxa"/>
            <w:tcBorders>
              <w:top w:val="nil"/>
              <w:left w:val="nil"/>
              <w:bottom w:val="single" w:sz="8" w:space="0" w:color="auto"/>
              <w:right w:val="single" w:sz="8" w:space="0" w:color="auto"/>
            </w:tcBorders>
            <w:shd w:val="clear" w:color="auto" w:fill="auto"/>
            <w:vAlign w:val="center"/>
            <w:hideMark/>
          </w:tcPr>
          <w:p w14:paraId="5DE3D891"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08F81164"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SIN REPORTE AL SUI</w:t>
            </w:r>
          </w:p>
        </w:tc>
      </w:tr>
      <w:tr w:rsidR="00AD4E79" w:rsidRPr="00AD4E79" w14:paraId="0A91BEAF" w14:textId="77777777" w:rsidTr="00AD4E79">
        <w:trPr>
          <w:trHeight w:val="11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6C30B768"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162</w:t>
            </w:r>
          </w:p>
        </w:tc>
        <w:tc>
          <w:tcPr>
            <w:tcW w:w="880" w:type="dxa"/>
            <w:tcBorders>
              <w:top w:val="nil"/>
              <w:left w:val="nil"/>
              <w:bottom w:val="single" w:sz="8" w:space="0" w:color="auto"/>
              <w:right w:val="single" w:sz="8" w:space="0" w:color="auto"/>
            </w:tcBorders>
            <w:shd w:val="clear" w:color="auto" w:fill="auto"/>
            <w:vAlign w:val="center"/>
            <w:hideMark/>
          </w:tcPr>
          <w:p w14:paraId="23F8F75C"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901.175.206</w:t>
            </w:r>
          </w:p>
        </w:tc>
        <w:tc>
          <w:tcPr>
            <w:tcW w:w="323" w:type="dxa"/>
            <w:tcBorders>
              <w:top w:val="nil"/>
              <w:left w:val="nil"/>
              <w:bottom w:val="single" w:sz="8" w:space="0" w:color="auto"/>
              <w:right w:val="single" w:sz="8" w:space="0" w:color="auto"/>
            </w:tcBorders>
            <w:shd w:val="clear" w:color="auto" w:fill="auto"/>
            <w:vAlign w:val="center"/>
            <w:hideMark/>
          </w:tcPr>
          <w:p w14:paraId="21365186"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w:t>
            </w:r>
          </w:p>
        </w:tc>
        <w:tc>
          <w:tcPr>
            <w:tcW w:w="505" w:type="dxa"/>
            <w:tcBorders>
              <w:top w:val="nil"/>
              <w:left w:val="nil"/>
              <w:bottom w:val="single" w:sz="8" w:space="0" w:color="auto"/>
              <w:right w:val="single" w:sz="8" w:space="0" w:color="auto"/>
            </w:tcBorders>
            <w:shd w:val="clear" w:color="auto" w:fill="auto"/>
            <w:vAlign w:val="center"/>
            <w:hideMark/>
          </w:tcPr>
          <w:p w14:paraId="3BE257FF"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44796</w:t>
            </w:r>
          </w:p>
        </w:tc>
        <w:tc>
          <w:tcPr>
            <w:tcW w:w="3498" w:type="dxa"/>
            <w:tcBorders>
              <w:top w:val="nil"/>
              <w:left w:val="nil"/>
              <w:bottom w:val="single" w:sz="8" w:space="0" w:color="auto"/>
              <w:right w:val="single" w:sz="8" w:space="0" w:color="auto"/>
            </w:tcBorders>
            <w:shd w:val="clear" w:color="auto" w:fill="auto"/>
            <w:vAlign w:val="center"/>
            <w:hideMark/>
          </w:tcPr>
          <w:p w14:paraId="7556B510"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Empresa Privada de Servicios Públicos de la Amazonía ZOMAC SAS</w:t>
            </w:r>
          </w:p>
        </w:tc>
        <w:tc>
          <w:tcPr>
            <w:tcW w:w="1262" w:type="dxa"/>
            <w:tcBorders>
              <w:top w:val="nil"/>
              <w:left w:val="nil"/>
              <w:bottom w:val="single" w:sz="8" w:space="0" w:color="auto"/>
              <w:right w:val="single" w:sz="8" w:space="0" w:color="auto"/>
            </w:tcBorders>
            <w:shd w:val="clear" w:color="auto" w:fill="auto"/>
            <w:vAlign w:val="center"/>
            <w:hideMark/>
          </w:tcPr>
          <w:p w14:paraId="1A6D2871"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68B533D1"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0CF0EBF4"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144CE651"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163</w:t>
            </w:r>
          </w:p>
        </w:tc>
        <w:tc>
          <w:tcPr>
            <w:tcW w:w="880" w:type="dxa"/>
            <w:tcBorders>
              <w:top w:val="nil"/>
              <w:left w:val="nil"/>
              <w:bottom w:val="single" w:sz="8" w:space="0" w:color="auto"/>
              <w:right w:val="single" w:sz="8" w:space="0" w:color="auto"/>
            </w:tcBorders>
            <w:shd w:val="clear" w:color="auto" w:fill="auto"/>
            <w:vAlign w:val="center"/>
            <w:hideMark/>
          </w:tcPr>
          <w:p w14:paraId="652C6161"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901.177.096</w:t>
            </w:r>
          </w:p>
        </w:tc>
        <w:tc>
          <w:tcPr>
            <w:tcW w:w="323" w:type="dxa"/>
            <w:tcBorders>
              <w:top w:val="nil"/>
              <w:left w:val="nil"/>
              <w:bottom w:val="single" w:sz="8" w:space="0" w:color="auto"/>
              <w:right w:val="single" w:sz="8" w:space="0" w:color="auto"/>
            </w:tcBorders>
            <w:shd w:val="clear" w:color="auto" w:fill="auto"/>
            <w:vAlign w:val="center"/>
            <w:hideMark/>
          </w:tcPr>
          <w:p w14:paraId="72A0A9AA"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5</w:t>
            </w:r>
          </w:p>
        </w:tc>
        <w:tc>
          <w:tcPr>
            <w:tcW w:w="505" w:type="dxa"/>
            <w:tcBorders>
              <w:top w:val="nil"/>
              <w:left w:val="nil"/>
              <w:bottom w:val="single" w:sz="8" w:space="0" w:color="auto"/>
              <w:right w:val="single" w:sz="8" w:space="0" w:color="auto"/>
            </w:tcBorders>
            <w:shd w:val="clear" w:color="auto" w:fill="auto"/>
            <w:vAlign w:val="center"/>
            <w:hideMark/>
          </w:tcPr>
          <w:p w14:paraId="1899E063"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58453</w:t>
            </w:r>
          </w:p>
        </w:tc>
        <w:tc>
          <w:tcPr>
            <w:tcW w:w="3498" w:type="dxa"/>
            <w:tcBorders>
              <w:top w:val="nil"/>
              <w:left w:val="nil"/>
              <w:bottom w:val="single" w:sz="8" w:space="0" w:color="auto"/>
              <w:right w:val="single" w:sz="8" w:space="0" w:color="auto"/>
            </w:tcBorders>
            <w:shd w:val="clear" w:color="auto" w:fill="auto"/>
            <w:vAlign w:val="center"/>
            <w:hideMark/>
          </w:tcPr>
          <w:p w14:paraId="6241F2BB"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ETERNAL SAS ESP</w:t>
            </w:r>
          </w:p>
        </w:tc>
        <w:tc>
          <w:tcPr>
            <w:tcW w:w="1262" w:type="dxa"/>
            <w:tcBorders>
              <w:top w:val="nil"/>
              <w:left w:val="nil"/>
              <w:bottom w:val="single" w:sz="8" w:space="0" w:color="auto"/>
              <w:right w:val="single" w:sz="8" w:space="0" w:color="auto"/>
            </w:tcBorders>
            <w:shd w:val="clear" w:color="auto" w:fill="auto"/>
            <w:vAlign w:val="center"/>
            <w:hideMark/>
          </w:tcPr>
          <w:p w14:paraId="1709D5B0"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6F578E09"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SIN REPORTE AL SUI</w:t>
            </w:r>
          </w:p>
        </w:tc>
      </w:tr>
      <w:tr w:rsidR="00AD4E79" w:rsidRPr="00AD4E79" w14:paraId="38EB90DC" w14:textId="77777777" w:rsidTr="00AD4E79">
        <w:trPr>
          <w:trHeight w:val="296"/>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1198ACB6"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164</w:t>
            </w:r>
          </w:p>
        </w:tc>
        <w:tc>
          <w:tcPr>
            <w:tcW w:w="880" w:type="dxa"/>
            <w:tcBorders>
              <w:top w:val="nil"/>
              <w:left w:val="nil"/>
              <w:bottom w:val="single" w:sz="8" w:space="0" w:color="auto"/>
              <w:right w:val="single" w:sz="8" w:space="0" w:color="auto"/>
            </w:tcBorders>
            <w:shd w:val="clear" w:color="auto" w:fill="auto"/>
            <w:vAlign w:val="center"/>
            <w:hideMark/>
          </w:tcPr>
          <w:p w14:paraId="29267705"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901.213.527</w:t>
            </w:r>
          </w:p>
        </w:tc>
        <w:tc>
          <w:tcPr>
            <w:tcW w:w="323" w:type="dxa"/>
            <w:tcBorders>
              <w:top w:val="nil"/>
              <w:left w:val="nil"/>
              <w:bottom w:val="single" w:sz="8" w:space="0" w:color="auto"/>
              <w:right w:val="single" w:sz="8" w:space="0" w:color="auto"/>
            </w:tcBorders>
            <w:shd w:val="clear" w:color="auto" w:fill="auto"/>
            <w:vAlign w:val="center"/>
            <w:hideMark/>
          </w:tcPr>
          <w:p w14:paraId="43B0B76F"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w:t>
            </w:r>
          </w:p>
        </w:tc>
        <w:tc>
          <w:tcPr>
            <w:tcW w:w="505" w:type="dxa"/>
            <w:tcBorders>
              <w:top w:val="nil"/>
              <w:left w:val="nil"/>
              <w:bottom w:val="single" w:sz="8" w:space="0" w:color="auto"/>
              <w:right w:val="single" w:sz="8" w:space="0" w:color="auto"/>
            </w:tcBorders>
            <w:shd w:val="clear" w:color="auto" w:fill="auto"/>
            <w:vAlign w:val="center"/>
            <w:hideMark/>
          </w:tcPr>
          <w:p w14:paraId="6D79F523"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42776</w:t>
            </w:r>
          </w:p>
        </w:tc>
        <w:tc>
          <w:tcPr>
            <w:tcW w:w="3498" w:type="dxa"/>
            <w:tcBorders>
              <w:top w:val="nil"/>
              <w:left w:val="nil"/>
              <w:bottom w:val="single" w:sz="8" w:space="0" w:color="auto"/>
              <w:right w:val="single" w:sz="8" w:space="0" w:color="auto"/>
            </w:tcBorders>
            <w:shd w:val="clear" w:color="auto" w:fill="auto"/>
            <w:vAlign w:val="center"/>
            <w:hideMark/>
          </w:tcPr>
          <w:p w14:paraId="7ABE3B6B"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SERVICIOS PUBLICOS COLOMBIANOS S.A.S. E.S.P.</w:t>
            </w:r>
          </w:p>
        </w:tc>
        <w:tc>
          <w:tcPr>
            <w:tcW w:w="1262" w:type="dxa"/>
            <w:tcBorders>
              <w:top w:val="nil"/>
              <w:left w:val="nil"/>
              <w:bottom w:val="single" w:sz="8" w:space="0" w:color="auto"/>
              <w:right w:val="single" w:sz="8" w:space="0" w:color="auto"/>
            </w:tcBorders>
            <w:shd w:val="clear" w:color="auto" w:fill="auto"/>
            <w:vAlign w:val="center"/>
            <w:hideMark/>
          </w:tcPr>
          <w:p w14:paraId="6EFA73E0"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193C49E5"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072AA158"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40212A61"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165</w:t>
            </w:r>
          </w:p>
        </w:tc>
        <w:tc>
          <w:tcPr>
            <w:tcW w:w="880" w:type="dxa"/>
            <w:tcBorders>
              <w:top w:val="nil"/>
              <w:left w:val="nil"/>
              <w:bottom w:val="single" w:sz="8" w:space="0" w:color="auto"/>
              <w:right w:val="single" w:sz="8" w:space="0" w:color="auto"/>
            </w:tcBorders>
            <w:shd w:val="clear" w:color="auto" w:fill="auto"/>
            <w:vAlign w:val="center"/>
            <w:hideMark/>
          </w:tcPr>
          <w:p w14:paraId="536398A3"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901.217.206</w:t>
            </w:r>
          </w:p>
        </w:tc>
        <w:tc>
          <w:tcPr>
            <w:tcW w:w="323" w:type="dxa"/>
            <w:tcBorders>
              <w:top w:val="nil"/>
              <w:left w:val="nil"/>
              <w:bottom w:val="single" w:sz="8" w:space="0" w:color="auto"/>
              <w:right w:val="single" w:sz="8" w:space="0" w:color="auto"/>
            </w:tcBorders>
            <w:shd w:val="clear" w:color="auto" w:fill="auto"/>
            <w:vAlign w:val="center"/>
            <w:hideMark/>
          </w:tcPr>
          <w:p w14:paraId="2EE39768"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w:t>
            </w:r>
          </w:p>
        </w:tc>
        <w:tc>
          <w:tcPr>
            <w:tcW w:w="505" w:type="dxa"/>
            <w:tcBorders>
              <w:top w:val="nil"/>
              <w:left w:val="nil"/>
              <w:bottom w:val="single" w:sz="8" w:space="0" w:color="auto"/>
              <w:right w:val="single" w:sz="8" w:space="0" w:color="auto"/>
            </w:tcBorders>
            <w:shd w:val="clear" w:color="auto" w:fill="auto"/>
            <w:vAlign w:val="center"/>
            <w:hideMark/>
          </w:tcPr>
          <w:p w14:paraId="6C3443B9"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49172</w:t>
            </w:r>
          </w:p>
        </w:tc>
        <w:tc>
          <w:tcPr>
            <w:tcW w:w="3498" w:type="dxa"/>
            <w:tcBorders>
              <w:top w:val="nil"/>
              <w:left w:val="nil"/>
              <w:bottom w:val="single" w:sz="8" w:space="0" w:color="auto"/>
              <w:right w:val="single" w:sz="8" w:space="0" w:color="auto"/>
            </w:tcBorders>
            <w:shd w:val="clear" w:color="auto" w:fill="auto"/>
            <w:vAlign w:val="center"/>
            <w:hideMark/>
          </w:tcPr>
          <w:p w14:paraId="2C171355"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ATINKANA S.A.S. E.S.P.</w:t>
            </w:r>
          </w:p>
        </w:tc>
        <w:tc>
          <w:tcPr>
            <w:tcW w:w="1262" w:type="dxa"/>
            <w:tcBorders>
              <w:top w:val="nil"/>
              <w:left w:val="nil"/>
              <w:bottom w:val="single" w:sz="8" w:space="0" w:color="auto"/>
              <w:right w:val="single" w:sz="8" w:space="0" w:color="auto"/>
            </w:tcBorders>
            <w:shd w:val="clear" w:color="auto" w:fill="auto"/>
            <w:vAlign w:val="center"/>
            <w:hideMark/>
          </w:tcPr>
          <w:p w14:paraId="0C4D78ED"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1324D5CC"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58E30F33"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097C6338"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166</w:t>
            </w:r>
          </w:p>
        </w:tc>
        <w:tc>
          <w:tcPr>
            <w:tcW w:w="880" w:type="dxa"/>
            <w:tcBorders>
              <w:top w:val="nil"/>
              <w:left w:val="nil"/>
              <w:bottom w:val="single" w:sz="8" w:space="0" w:color="auto"/>
              <w:right w:val="single" w:sz="8" w:space="0" w:color="auto"/>
            </w:tcBorders>
            <w:shd w:val="clear" w:color="auto" w:fill="auto"/>
            <w:vAlign w:val="center"/>
            <w:hideMark/>
          </w:tcPr>
          <w:p w14:paraId="03F7224E"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901.226.828</w:t>
            </w:r>
          </w:p>
        </w:tc>
        <w:tc>
          <w:tcPr>
            <w:tcW w:w="323" w:type="dxa"/>
            <w:tcBorders>
              <w:top w:val="nil"/>
              <w:left w:val="nil"/>
              <w:bottom w:val="single" w:sz="8" w:space="0" w:color="auto"/>
              <w:right w:val="single" w:sz="8" w:space="0" w:color="auto"/>
            </w:tcBorders>
            <w:shd w:val="clear" w:color="auto" w:fill="auto"/>
            <w:vAlign w:val="center"/>
            <w:hideMark/>
          </w:tcPr>
          <w:p w14:paraId="3AEBBE56"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0</w:t>
            </w:r>
          </w:p>
        </w:tc>
        <w:tc>
          <w:tcPr>
            <w:tcW w:w="505" w:type="dxa"/>
            <w:tcBorders>
              <w:top w:val="nil"/>
              <w:left w:val="nil"/>
              <w:bottom w:val="single" w:sz="8" w:space="0" w:color="auto"/>
              <w:right w:val="single" w:sz="8" w:space="0" w:color="auto"/>
            </w:tcBorders>
            <w:shd w:val="clear" w:color="auto" w:fill="auto"/>
            <w:vAlign w:val="center"/>
            <w:hideMark/>
          </w:tcPr>
          <w:p w14:paraId="00F1C555"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64576</w:t>
            </w:r>
          </w:p>
        </w:tc>
        <w:tc>
          <w:tcPr>
            <w:tcW w:w="3498" w:type="dxa"/>
            <w:tcBorders>
              <w:top w:val="nil"/>
              <w:left w:val="nil"/>
              <w:bottom w:val="single" w:sz="8" w:space="0" w:color="auto"/>
              <w:right w:val="single" w:sz="8" w:space="0" w:color="auto"/>
            </w:tcBorders>
            <w:shd w:val="clear" w:color="auto" w:fill="auto"/>
            <w:vAlign w:val="center"/>
            <w:hideMark/>
          </w:tcPr>
          <w:p w14:paraId="562C0A6C"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MARYGAS SAS ESP</w:t>
            </w:r>
          </w:p>
        </w:tc>
        <w:tc>
          <w:tcPr>
            <w:tcW w:w="1262" w:type="dxa"/>
            <w:tcBorders>
              <w:top w:val="nil"/>
              <w:left w:val="nil"/>
              <w:bottom w:val="single" w:sz="8" w:space="0" w:color="auto"/>
              <w:right w:val="single" w:sz="8" w:space="0" w:color="auto"/>
            </w:tcBorders>
            <w:shd w:val="clear" w:color="auto" w:fill="auto"/>
            <w:vAlign w:val="center"/>
            <w:hideMark/>
          </w:tcPr>
          <w:p w14:paraId="7298A215"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648EE48E"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SIN REPORTE AL SUI</w:t>
            </w:r>
          </w:p>
        </w:tc>
      </w:tr>
      <w:tr w:rsidR="00AD4E79" w:rsidRPr="00AD4E79" w14:paraId="1694E06F"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19CAFBC9"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167</w:t>
            </w:r>
          </w:p>
        </w:tc>
        <w:tc>
          <w:tcPr>
            <w:tcW w:w="880" w:type="dxa"/>
            <w:tcBorders>
              <w:top w:val="nil"/>
              <w:left w:val="nil"/>
              <w:bottom w:val="single" w:sz="8" w:space="0" w:color="auto"/>
              <w:right w:val="single" w:sz="8" w:space="0" w:color="auto"/>
            </w:tcBorders>
            <w:shd w:val="clear" w:color="auto" w:fill="auto"/>
            <w:vAlign w:val="center"/>
            <w:hideMark/>
          </w:tcPr>
          <w:p w14:paraId="1B2A02D9"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901.263.317</w:t>
            </w:r>
          </w:p>
        </w:tc>
        <w:tc>
          <w:tcPr>
            <w:tcW w:w="323" w:type="dxa"/>
            <w:tcBorders>
              <w:top w:val="nil"/>
              <w:left w:val="nil"/>
              <w:bottom w:val="single" w:sz="8" w:space="0" w:color="auto"/>
              <w:right w:val="single" w:sz="8" w:space="0" w:color="auto"/>
            </w:tcBorders>
            <w:shd w:val="clear" w:color="auto" w:fill="auto"/>
            <w:vAlign w:val="center"/>
            <w:hideMark/>
          </w:tcPr>
          <w:p w14:paraId="35BBF47B"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6</w:t>
            </w:r>
          </w:p>
        </w:tc>
        <w:tc>
          <w:tcPr>
            <w:tcW w:w="505" w:type="dxa"/>
            <w:tcBorders>
              <w:top w:val="nil"/>
              <w:left w:val="nil"/>
              <w:bottom w:val="single" w:sz="8" w:space="0" w:color="auto"/>
              <w:right w:val="single" w:sz="8" w:space="0" w:color="auto"/>
            </w:tcBorders>
            <w:shd w:val="clear" w:color="auto" w:fill="auto"/>
            <w:vAlign w:val="center"/>
            <w:hideMark/>
          </w:tcPr>
          <w:p w14:paraId="069EEEA0"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43937</w:t>
            </w:r>
          </w:p>
        </w:tc>
        <w:tc>
          <w:tcPr>
            <w:tcW w:w="3498" w:type="dxa"/>
            <w:tcBorders>
              <w:top w:val="nil"/>
              <w:left w:val="nil"/>
              <w:bottom w:val="single" w:sz="8" w:space="0" w:color="auto"/>
              <w:right w:val="single" w:sz="8" w:space="0" w:color="auto"/>
            </w:tcBorders>
            <w:shd w:val="clear" w:color="auto" w:fill="auto"/>
            <w:vAlign w:val="center"/>
            <w:hideMark/>
          </w:tcPr>
          <w:p w14:paraId="1A351EBC" w14:textId="77777777" w:rsidR="00E75BBE" w:rsidRPr="00AD4E79" w:rsidRDefault="00E75BBE" w:rsidP="00D22441">
            <w:pPr>
              <w:jc w:val="left"/>
              <w:rPr>
                <w:rFonts w:ascii="Arial Narrow" w:hAnsi="Arial Narrow" w:cs="Arial"/>
                <w:spacing w:val="0"/>
                <w:sz w:val="16"/>
                <w:szCs w:val="16"/>
                <w:lang w:val="en-GB" w:eastAsia="es-CO"/>
              </w:rPr>
            </w:pPr>
            <w:r w:rsidRPr="00AD4E79">
              <w:rPr>
                <w:rFonts w:ascii="Arial Narrow" w:hAnsi="Arial Narrow" w:cs="Arial"/>
                <w:spacing w:val="0"/>
                <w:sz w:val="16"/>
                <w:szCs w:val="16"/>
                <w:lang w:val="en-GB" w:eastAsia="es-CO"/>
              </w:rPr>
              <w:t>ENERGY TRANSITIONS S.A.S. ESP</w:t>
            </w:r>
          </w:p>
        </w:tc>
        <w:tc>
          <w:tcPr>
            <w:tcW w:w="1262" w:type="dxa"/>
            <w:tcBorders>
              <w:top w:val="nil"/>
              <w:left w:val="nil"/>
              <w:bottom w:val="single" w:sz="8" w:space="0" w:color="auto"/>
              <w:right w:val="single" w:sz="8" w:space="0" w:color="auto"/>
            </w:tcBorders>
            <w:shd w:val="clear" w:color="auto" w:fill="auto"/>
            <w:vAlign w:val="center"/>
            <w:hideMark/>
          </w:tcPr>
          <w:p w14:paraId="02E8C507"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36DB4FE5"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75324060" w14:textId="77777777" w:rsidTr="00AD4E79">
        <w:trPr>
          <w:trHeight w:val="394"/>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6872BD71"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168</w:t>
            </w:r>
          </w:p>
        </w:tc>
        <w:tc>
          <w:tcPr>
            <w:tcW w:w="880" w:type="dxa"/>
            <w:tcBorders>
              <w:top w:val="nil"/>
              <w:left w:val="nil"/>
              <w:bottom w:val="single" w:sz="8" w:space="0" w:color="auto"/>
              <w:right w:val="single" w:sz="8" w:space="0" w:color="auto"/>
            </w:tcBorders>
            <w:shd w:val="clear" w:color="auto" w:fill="auto"/>
            <w:vAlign w:val="center"/>
            <w:hideMark/>
          </w:tcPr>
          <w:p w14:paraId="14DA7DF5"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901.306.019</w:t>
            </w:r>
          </w:p>
        </w:tc>
        <w:tc>
          <w:tcPr>
            <w:tcW w:w="323" w:type="dxa"/>
            <w:tcBorders>
              <w:top w:val="nil"/>
              <w:left w:val="nil"/>
              <w:bottom w:val="single" w:sz="8" w:space="0" w:color="auto"/>
              <w:right w:val="single" w:sz="8" w:space="0" w:color="auto"/>
            </w:tcBorders>
            <w:shd w:val="clear" w:color="auto" w:fill="auto"/>
            <w:vAlign w:val="center"/>
            <w:hideMark/>
          </w:tcPr>
          <w:p w14:paraId="1D1ED4AE"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w:t>
            </w:r>
          </w:p>
        </w:tc>
        <w:tc>
          <w:tcPr>
            <w:tcW w:w="505" w:type="dxa"/>
            <w:tcBorders>
              <w:top w:val="nil"/>
              <w:left w:val="nil"/>
              <w:bottom w:val="single" w:sz="8" w:space="0" w:color="auto"/>
              <w:right w:val="single" w:sz="8" w:space="0" w:color="auto"/>
            </w:tcBorders>
            <w:shd w:val="clear" w:color="auto" w:fill="auto"/>
            <w:vAlign w:val="center"/>
            <w:hideMark/>
          </w:tcPr>
          <w:p w14:paraId="42D1E549"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45396</w:t>
            </w:r>
          </w:p>
        </w:tc>
        <w:tc>
          <w:tcPr>
            <w:tcW w:w="3498" w:type="dxa"/>
            <w:tcBorders>
              <w:top w:val="nil"/>
              <w:left w:val="nil"/>
              <w:bottom w:val="single" w:sz="8" w:space="0" w:color="auto"/>
              <w:right w:val="single" w:sz="8" w:space="0" w:color="auto"/>
            </w:tcBorders>
            <w:shd w:val="clear" w:color="auto" w:fill="auto"/>
            <w:vAlign w:val="center"/>
            <w:hideMark/>
          </w:tcPr>
          <w:p w14:paraId="095605B4"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GIGAS ENERGY SOCIEDAD POR ACCIONES SIMPLIFICADAS EMPRESA DE SERVICIOS PUBLICOS</w:t>
            </w:r>
          </w:p>
        </w:tc>
        <w:tc>
          <w:tcPr>
            <w:tcW w:w="1262" w:type="dxa"/>
            <w:tcBorders>
              <w:top w:val="nil"/>
              <w:left w:val="nil"/>
              <w:bottom w:val="single" w:sz="8" w:space="0" w:color="auto"/>
              <w:right w:val="single" w:sz="8" w:space="0" w:color="auto"/>
            </w:tcBorders>
            <w:shd w:val="clear" w:color="auto" w:fill="auto"/>
            <w:vAlign w:val="center"/>
            <w:hideMark/>
          </w:tcPr>
          <w:p w14:paraId="4425783F"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6C82E904"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6976AB6E"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23DCA1E1"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169</w:t>
            </w:r>
          </w:p>
        </w:tc>
        <w:tc>
          <w:tcPr>
            <w:tcW w:w="880" w:type="dxa"/>
            <w:tcBorders>
              <w:top w:val="nil"/>
              <w:left w:val="nil"/>
              <w:bottom w:val="single" w:sz="8" w:space="0" w:color="auto"/>
              <w:right w:val="single" w:sz="8" w:space="0" w:color="auto"/>
            </w:tcBorders>
            <w:shd w:val="clear" w:color="auto" w:fill="auto"/>
            <w:vAlign w:val="center"/>
            <w:hideMark/>
          </w:tcPr>
          <w:p w14:paraId="623B0A14"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901.315.859</w:t>
            </w:r>
          </w:p>
        </w:tc>
        <w:tc>
          <w:tcPr>
            <w:tcW w:w="323" w:type="dxa"/>
            <w:tcBorders>
              <w:top w:val="nil"/>
              <w:left w:val="nil"/>
              <w:bottom w:val="single" w:sz="8" w:space="0" w:color="auto"/>
              <w:right w:val="single" w:sz="8" w:space="0" w:color="auto"/>
            </w:tcBorders>
            <w:shd w:val="clear" w:color="auto" w:fill="auto"/>
            <w:vAlign w:val="center"/>
            <w:hideMark/>
          </w:tcPr>
          <w:p w14:paraId="0DFE9D33"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0</w:t>
            </w:r>
          </w:p>
        </w:tc>
        <w:tc>
          <w:tcPr>
            <w:tcW w:w="505" w:type="dxa"/>
            <w:tcBorders>
              <w:top w:val="nil"/>
              <w:left w:val="nil"/>
              <w:bottom w:val="single" w:sz="8" w:space="0" w:color="auto"/>
              <w:right w:val="single" w:sz="8" w:space="0" w:color="auto"/>
            </w:tcBorders>
            <w:shd w:val="clear" w:color="auto" w:fill="auto"/>
            <w:vAlign w:val="center"/>
            <w:hideMark/>
          </w:tcPr>
          <w:p w14:paraId="7BE171A2"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47363</w:t>
            </w:r>
          </w:p>
        </w:tc>
        <w:tc>
          <w:tcPr>
            <w:tcW w:w="3498" w:type="dxa"/>
            <w:tcBorders>
              <w:top w:val="nil"/>
              <w:left w:val="nil"/>
              <w:bottom w:val="single" w:sz="8" w:space="0" w:color="auto"/>
              <w:right w:val="single" w:sz="8" w:space="0" w:color="auto"/>
            </w:tcBorders>
            <w:shd w:val="clear" w:color="auto" w:fill="auto"/>
            <w:vAlign w:val="center"/>
            <w:hideMark/>
          </w:tcPr>
          <w:p w14:paraId="12D15854"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HIDROCARBUROS TRIPLE A SAS ESP</w:t>
            </w:r>
          </w:p>
        </w:tc>
        <w:tc>
          <w:tcPr>
            <w:tcW w:w="1262" w:type="dxa"/>
            <w:tcBorders>
              <w:top w:val="nil"/>
              <w:left w:val="nil"/>
              <w:bottom w:val="single" w:sz="8" w:space="0" w:color="auto"/>
              <w:right w:val="single" w:sz="8" w:space="0" w:color="auto"/>
            </w:tcBorders>
            <w:shd w:val="clear" w:color="auto" w:fill="auto"/>
            <w:vAlign w:val="center"/>
            <w:hideMark/>
          </w:tcPr>
          <w:p w14:paraId="04364764"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315D75A3"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5EC97E75"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089B842A"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170</w:t>
            </w:r>
          </w:p>
        </w:tc>
        <w:tc>
          <w:tcPr>
            <w:tcW w:w="880" w:type="dxa"/>
            <w:tcBorders>
              <w:top w:val="nil"/>
              <w:left w:val="nil"/>
              <w:bottom w:val="single" w:sz="8" w:space="0" w:color="auto"/>
              <w:right w:val="single" w:sz="8" w:space="0" w:color="auto"/>
            </w:tcBorders>
            <w:shd w:val="clear" w:color="auto" w:fill="auto"/>
            <w:vAlign w:val="center"/>
            <w:hideMark/>
          </w:tcPr>
          <w:p w14:paraId="5129F3A2"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901.355.109</w:t>
            </w:r>
          </w:p>
        </w:tc>
        <w:tc>
          <w:tcPr>
            <w:tcW w:w="323" w:type="dxa"/>
            <w:tcBorders>
              <w:top w:val="nil"/>
              <w:left w:val="nil"/>
              <w:bottom w:val="single" w:sz="8" w:space="0" w:color="auto"/>
              <w:right w:val="single" w:sz="8" w:space="0" w:color="auto"/>
            </w:tcBorders>
            <w:shd w:val="clear" w:color="auto" w:fill="auto"/>
            <w:vAlign w:val="center"/>
            <w:hideMark/>
          </w:tcPr>
          <w:p w14:paraId="5174666B"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6</w:t>
            </w:r>
          </w:p>
        </w:tc>
        <w:tc>
          <w:tcPr>
            <w:tcW w:w="505" w:type="dxa"/>
            <w:tcBorders>
              <w:top w:val="nil"/>
              <w:left w:val="nil"/>
              <w:bottom w:val="single" w:sz="8" w:space="0" w:color="auto"/>
              <w:right w:val="single" w:sz="8" w:space="0" w:color="auto"/>
            </w:tcBorders>
            <w:shd w:val="clear" w:color="auto" w:fill="auto"/>
            <w:vAlign w:val="center"/>
            <w:hideMark/>
          </w:tcPr>
          <w:p w14:paraId="7989E52B"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58070</w:t>
            </w:r>
          </w:p>
        </w:tc>
        <w:tc>
          <w:tcPr>
            <w:tcW w:w="3498" w:type="dxa"/>
            <w:tcBorders>
              <w:top w:val="nil"/>
              <w:left w:val="nil"/>
              <w:bottom w:val="single" w:sz="8" w:space="0" w:color="auto"/>
              <w:right w:val="single" w:sz="8" w:space="0" w:color="auto"/>
            </w:tcBorders>
            <w:shd w:val="clear" w:color="auto" w:fill="auto"/>
            <w:vAlign w:val="center"/>
            <w:hideMark/>
          </w:tcPr>
          <w:p w14:paraId="3A299BB5"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SERVIGAS NARIÑO ESP SAS</w:t>
            </w:r>
          </w:p>
        </w:tc>
        <w:tc>
          <w:tcPr>
            <w:tcW w:w="1262" w:type="dxa"/>
            <w:tcBorders>
              <w:top w:val="nil"/>
              <w:left w:val="nil"/>
              <w:bottom w:val="single" w:sz="8" w:space="0" w:color="auto"/>
              <w:right w:val="single" w:sz="8" w:space="0" w:color="auto"/>
            </w:tcBorders>
            <w:shd w:val="clear" w:color="auto" w:fill="auto"/>
            <w:vAlign w:val="center"/>
            <w:hideMark/>
          </w:tcPr>
          <w:p w14:paraId="6947369C"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6C06DFED"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SIN REPORTE AL SUI</w:t>
            </w:r>
          </w:p>
        </w:tc>
      </w:tr>
      <w:tr w:rsidR="00AD4E79" w:rsidRPr="00AD4E79" w14:paraId="01F494A2" w14:textId="77777777" w:rsidTr="00AD4E79">
        <w:trPr>
          <w:trHeight w:val="393"/>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730535FA"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171</w:t>
            </w:r>
          </w:p>
        </w:tc>
        <w:tc>
          <w:tcPr>
            <w:tcW w:w="880" w:type="dxa"/>
            <w:tcBorders>
              <w:top w:val="nil"/>
              <w:left w:val="nil"/>
              <w:bottom w:val="single" w:sz="8" w:space="0" w:color="auto"/>
              <w:right w:val="single" w:sz="8" w:space="0" w:color="auto"/>
            </w:tcBorders>
            <w:shd w:val="clear" w:color="auto" w:fill="auto"/>
            <w:vAlign w:val="center"/>
            <w:hideMark/>
          </w:tcPr>
          <w:p w14:paraId="29F4B21B"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901.356.890</w:t>
            </w:r>
          </w:p>
        </w:tc>
        <w:tc>
          <w:tcPr>
            <w:tcW w:w="323" w:type="dxa"/>
            <w:tcBorders>
              <w:top w:val="nil"/>
              <w:left w:val="nil"/>
              <w:bottom w:val="single" w:sz="8" w:space="0" w:color="auto"/>
              <w:right w:val="single" w:sz="8" w:space="0" w:color="auto"/>
            </w:tcBorders>
            <w:shd w:val="clear" w:color="auto" w:fill="auto"/>
            <w:vAlign w:val="center"/>
            <w:hideMark/>
          </w:tcPr>
          <w:p w14:paraId="2B617A12"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5</w:t>
            </w:r>
          </w:p>
        </w:tc>
        <w:tc>
          <w:tcPr>
            <w:tcW w:w="505" w:type="dxa"/>
            <w:tcBorders>
              <w:top w:val="nil"/>
              <w:left w:val="nil"/>
              <w:bottom w:val="single" w:sz="8" w:space="0" w:color="auto"/>
              <w:right w:val="single" w:sz="8" w:space="0" w:color="auto"/>
            </w:tcBorders>
            <w:shd w:val="clear" w:color="auto" w:fill="auto"/>
            <w:vAlign w:val="center"/>
            <w:hideMark/>
          </w:tcPr>
          <w:p w14:paraId="5594CA39"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48504</w:t>
            </w:r>
          </w:p>
        </w:tc>
        <w:tc>
          <w:tcPr>
            <w:tcW w:w="3498" w:type="dxa"/>
            <w:tcBorders>
              <w:top w:val="nil"/>
              <w:left w:val="nil"/>
              <w:bottom w:val="single" w:sz="8" w:space="0" w:color="auto"/>
              <w:right w:val="single" w:sz="8" w:space="0" w:color="auto"/>
            </w:tcBorders>
            <w:shd w:val="clear" w:color="auto" w:fill="auto"/>
            <w:vAlign w:val="center"/>
            <w:hideMark/>
          </w:tcPr>
          <w:p w14:paraId="481EC3B3"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 xml:space="preserve">plus + sociedad por acciones simplificada empresa de servicios </w:t>
            </w:r>
            <w:proofErr w:type="spellStart"/>
            <w:r w:rsidRPr="00AD4E79">
              <w:rPr>
                <w:rFonts w:ascii="Arial Narrow" w:hAnsi="Arial Narrow" w:cs="Arial"/>
                <w:spacing w:val="0"/>
                <w:sz w:val="16"/>
                <w:szCs w:val="16"/>
                <w:lang w:eastAsia="es-CO"/>
              </w:rPr>
              <w:t>publicos</w:t>
            </w:r>
            <w:proofErr w:type="spellEnd"/>
            <w:r w:rsidRPr="00AD4E79">
              <w:rPr>
                <w:rFonts w:ascii="Arial Narrow" w:hAnsi="Arial Narrow" w:cs="Arial"/>
                <w:spacing w:val="0"/>
                <w:sz w:val="16"/>
                <w:szCs w:val="16"/>
                <w:lang w:eastAsia="es-CO"/>
              </w:rPr>
              <w:t xml:space="preserve"> domiciliarios</w:t>
            </w:r>
          </w:p>
        </w:tc>
        <w:tc>
          <w:tcPr>
            <w:tcW w:w="1262" w:type="dxa"/>
            <w:tcBorders>
              <w:top w:val="nil"/>
              <w:left w:val="nil"/>
              <w:bottom w:val="single" w:sz="8" w:space="0" w:color="auto"/>
              <w:right w:val="single" w:sz="8" w:space="0" w:color="auto"/>
            </w:tcBorders>
            <w:shd w:val="clear" w:color="auto" w:fill="auto"/>
            <w:vAlign w:val="center"/>
            <w:hideMark/>
          </w:tcPr>
          <w:p w14:paraId="5F467F72"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2E9414F4"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SIN REPORTE AL SUI</w:t>
            </w:r>
          </w:p>
        </w:tc>
      </w:tr>
      <w:tr w:rsidR="00AD4E79" w:rsidRPr="00AD4E79" w14:paraId="3499828C"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1EF6C2FA"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172</w:t>
            </w:r>
          </w:p>
        </w:tc>
        <w:tc>
          <w:tcPr>
            <w:tcW w:w="880" w:type="dxa"/>
            <w:tcBorders>
              <w:top w:val="nil"/>
              <w:left w:val="nil"/>
              <w:bottom w:val="single" w:sz="8" w:space="0" w:color="auto"/>
              <w:right w:val="single" w:sz="8" w:space="0" w:color="auto"/>
            </w:tcBorders>
            <w:shd w:val="clear" w:color="auto" w:fill="auto"/>
            <w:vAlign w:val="center"/>
            <w:hideMark/>
          </w:tcPr>
          <w:p w14:paraId="7BA2A62B"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901.362.217</w:t>
            </w:r>
          </w:p>
        </w:tc>
        <w:tc>
          <w:tcPr>
            <w:tcW w:w="323" w:type="dxa"/>
            <w:tcBorders>
              <w:top w:val="nil"/>
              <w:left w:val="nil"/>
              <w:bottom w:val="single" w:sz="8" w:space="0" w:color="auto"/>
              <w:right w:val="single" w:sz="8" w:space="0" w:color="auto"/>
            </w:tcBorders>
            <w:shd w:val="clear" w:color="auto" w:fill="auto"/>
            <w:vAlign w:val="center"/>
            <w:hideMark/>
          </w:tcPr>
          <w:p w14:paraId="29CDBD0E"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w:t>
            </w:r>
          </w:p>
        </w:tc>
        <w:tc>
          <w:tcPr>
            <w:tcW w:w="505" w:type="dxa"/>
            <w:tcBorders>
              <w:top w:val="nil"/>
              <w:left w:val="nil"/>
              <w:bottom w:val="single" w:sz="8" w:space="0" w:color="auto"/>
              <w:right w:val="single" w:sz="8" w:space="0" w:color="auto"/>
            </w:tcBorders>
            <w:shd w:val="clear" w:color="auto" w:fill="auto"/>
            <w:vAlign w:val="center"/>
            <w:hideMark/>
          </w:tcPr>
          <w:p w14:paraId="54DA7842"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63235</w:t>
            </w:r>
          </w:p>
        </w:tc>
        <w:tc>
          <w:tcPr>
            <w:tcW w:w="3498" w:type="dxa"/>
            <w:tcBorders>
              <w:top w:val="nil"/>
              <w:left w:val="nil"/>
              <w:bottom w:val="single" w:sz="8" w:space="0" w:color="auto"/>
              <w:right w:val="single" w:sz="8" w:space="0" w:color="auto"/>
            </w:tcBorders>
            <w:shd w:val="clear" w:color="auto" w:fill="auto"/>
            <w:vAlign w:val="center"/>
            <w:hideMark/>
          </w:tcPr>
          <w:p w14:paraId="5C446254"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CONTINENTAL DE GLP SAS ESP</w:t>
            </w:r>
          </w:p>
        </w:tc>
        <w:tc>
          <w:tcPr>
            <w:tcW w:w="1262" w:type="dxa"/>
            <w:tcBorders>
              <w:top w:val="nil"/>
              <w:left w:val="nil"/>
              <w:bottom w:val="single" w:sz="8" w:space="0" w:color="auto"/>
              <w:right w:val="single" w:sz="8" w:space="0" w:color="auto"/>
            </w:tcBorders>
            <w:shd w:val="clear" w:color="auto" w:fill="auto"/>
            <w:vAlign w:val="center"/>
            <w:hideMark/>
          </w:tcPr>
          <w:p w14:paraId="467D0F00"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46B54EB6"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SIN REPORTE AL SUI</w:t>
            </w:r>
          </w:p>
        </w:tc>
      </w:tr>
      <w:tr w:rsidR="00AD4E79" w:rsidRPr="00AD4E79" w14:paraId="0004DE9A"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0031F3F4"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173</w:t>
            </w:r>
          </w:p>
        </w:tc>
        <w:tc>
          <w:tcPr>
            <w:tcW w:w="880" w:type="dxa"/>
            <w:tcBorders>
              <w:top w:val="nil"/>
              <w:left w:val="nil"/>
              <w:bottom w:val="single" w:sz="8" w:space="0" w:color="auto"/>
              <w:right w:val="single" w:sz="8" w:space="0" w:color="auto"/>
            </w:tcBorders>
            <w:shd w:val="clear" w:color="auto" w:fill="auto"/>
            <w:vAlign w:val="center"/>
            <w:hideMark/>
          </w:tcPr>
          <w:p w14:paraId="176888DF"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901.389.923</w:t>
            </w:r>
          </w:p>
        </w:tc>
        <w:tc>
          <w:tcPr>
            <w:tcW w:w="323" w:type="dxa"/>
            <w:tcBorders>
              <w:top w:val="nil"/>
              <w:left w:val="nil"/>
              <w:bottom w:val="single" w:sz="8" w:space="0" w:color="auto"/>
              <w:right w:val="single" w:sz="8" w:space="0" w:color="auto"/>
            </w:tcBorders>
            <w:shd w:val="clear" w:color="auto" w:fill="auto"/>
            <w:vAlign w:val="center"/>
            <w:hideMark/>
          </w:tcPr>
          <w:p w14:paraId="20579374"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w:t>
            </w:r>
          </w:p>
        </w:tc>
        <w:tc>
          <w:tcPr>
            <w:tcW w:w="505" w:type="dxa"/>
            <w:tcBorders>
              <w:top w:val="nil"/>
              <w:left w:val="nil"/>
              <w:bottom w:val="single" w:sz="8" w:space="0" w:color="auto"/>
              <w:right w:val="single" w:sz="8" w:space="0" w:color="auto"/>
            </w:tcBorders>
            <w:shd w:val="clear" w:color="auto" w:fill="auto"/>
            <w:vAlign w:val="center"/>
            <w:hideMark/>
          </w:tcPr>
          <w:p w14:paraId="5AC09313"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60070</w:t>
            </w:r>
          </w:p>
        </w:tc>
        <w:tc>
          <w:tcPr>
            <w:tcW w:w="3498" w:type="dxa"/>
            <w:tcBorders>
              <w:top w:val="nil"/>
              <w:left w:val="nil"/>
              <w:bottom w:val="single" w:sz="8" w:space="0" w:color="auto"/>
              <w:right w:val="single" w:sz="8" w:space="0" w:color="auto"/>
            </w:tcBorders>
            <w:shd w:val="clear" w:color="auto" w:fill="auto"/>
            <w:vAlign w:val="center"/>
            <w:hideMark/>
          </w:tcPr>
          <w:p w14:paraId="28D72C53"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GEAS GROUP SAS ESP</w:t>
            </w:r>
          </w:p>
        </w:tc>
        <w:tc>
          <w:tcPr>
            <w:tcW w:w="1262" w:type="dxa"/>
            <w:tcBorders>
              <w:top w:val="nil"/>
              <w:left w:val="nil"/>
              <w:bottom w:val="single" w:sz="8" w:space="0" w:color="auto"/>
              <w:right w:val="single" w:sz="8" w:space="0" w:color="auto"/>
            </w:tcBorders>
            <w:shd w:val="clear" w:color="auto" w:fill="auto"/>
            <w:vAlign w:val="center"/>
            <w:hideMark/>
          </w:tcPr>
          <w:p w14:paraId="61CC3F9F"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73B19DEF"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SIN REPORTE AL SUI</w:t>
            </w:r>
          </w:p>
        </w:tc>
      </w:tr>
      <w:tr w:rsidR="00AD4E79" w:rsidRPr="00AD4E79" w14:paraId="51D23663" w14:textId="77777777" w:rsidTr="00AD4E79">
        <w:trPr>
          <w:trHeight w:val="395"/>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55DC6853"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174</w:t>
            </w:r>
          </w:p>
        </w:tc>
        <w:tc>
          <w:tcPr>
            <w:tcW w:w="880" w:type="dxa"/>
            <w:tcBorders>
              <w:top w:val="nil"/>
              <w:left w:val="nil"/>
              <w:bottom w:val="single" w:sz="8" w:space="0" w:color="auto"/>
              <w:right w:val="single" w:sz="8" w:space="0" w:color="auto"/>
            </w:tcBorders>
            <w:shd w:val="clear" w:color="auto" w:fill="auto"/>
            <w:vAlign w:val="center"/>
            <w:hideMark/>
          </w:tcPr>
          <w:p w14:paraId="039B22B5"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901.397.761</w:t>
            </w:r>
          </w:p>
        </w:tc>
        <w:tc>
          <w:tcPr>
            <w:tcW w:w="323" w:type="dxa"/>
            <w:tcBorders>
              <w:top w:val="nil"/>
              <w:left w:val="nil"/>
              <w:bottom w:val="single" w:sz="8" w:space="0" w:color="auto"/>
              <w:right w:val="single" w:sz="8" w:space="0" w:color="auto"/>
            </w:tcBorders>
            <w:shd w:val="clear" w:color="auto" w:fill="auto"/>
            <w:vAlign w:val="center"/>
            <w:hideMark/>
          </w:tcPr>
          <w:p w14:paraId="718F1FF7"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w:t>
            </w:r>
          </w:p>
        </w:tc>
        <w:tc>
          <w:tcPr>
            <w:tcW w:w="505" w:type="dxa"/>
            <w:tcBorders>
              <w:top w:val="nil"/>
              <w:left w:val="nil"/>
              <w:bottom w:val="single" w:sz="8" w:space="0" w:color="auto"/>
              <w:right w:val="single" w:sz="8" w:space="0" w:color="auto"/>
            </w:tcBorders>
            <w:shd w:val="clear" w:color="auto" w:fill="auto"/>
            <w:vAlign w:val="center"/>
            <w:hideMark/>
          </w:tcPr>
          <w:p w14:paraId="1ACA3900"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50403</w:t>
            </w:r>
          </w:p>
        </w:tc>
        <w:tc>
          <w:tcPr>
            <w:tcW w:w="3498" w:type="dxa"/>
            <w:tcBorders>
              <w:top w:val="nil"/>
              <w:left w:val="nil"/>
              <w:bottom w:val="single" w:sz="8" w:space="0" w:color="auto"/>
              <w:right w:val="single" w:sz="8" w:space="0" w:color="auto"/>
            </w:tcBorders>
            <w:shd w:val="clear" w:color="auto" w:fill="auto"/>
            <w:vAlign w:val="center"/>
            <w:hideMark/>
          </w:tcPr>
          <w:p w14:paraId="5AF968A0"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EMPRESA DE SERVICIOS PUBLICOS SONYGAS S.A.S E.S.P.</w:t>
            </w:r>
          </w:p>
        </w:tc>
        <w:tc>
          <w:tcPr>
            <w:tcW w:w="1262" w:type="dxa"/>
            <w:tcBorders>
              <w:top w:val="nil"/>
              <w:left w:val="nil"/>
              <w:bottom w:val="single" w:sz="8" w:space="0" w:color="auto"/>
              <w:right w:val="single" w:sz="8" w:space="0" w:color="auto"/>
            </w:tcBorders>
            <w:shd w:val="clear" w:color="auto" w:fill="auto"/>
            <w:vAlign w:val="center"/>
            <w:hideMark/>
          </w:tcPr>
          <w:p w14:paraId="2D2FA1BC"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175C7A72"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SIN REPORTE AL SUI</w:t>
            </w:r>
          </w:p>
        </w:tc>
      </w:tr>
      <w:tr w:rsidR="00AD4E79" w:rsidRPr="00AD4E79" w14:paraId="0C4F7DB2"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087D5F0B"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175</w:t>
            </w:r>
          </w:p>
        </w:tc>
        <w:tc>
          <w:tcPr>
            <w:tcW w:w="880" w:type="dxa"/>
            <w:tcBorders>
              <w:top w:val="nil"/>
              <w:left w:val="nil"/>
              <w:bottom w:val="single" w:sz="8" w:space="0" w:color="auto"/>
              <w:right w:val="single" w:sz="8" w:space="0" w:color="auto"/>
            </w:tcBorders>
            <w:shd w:val="clear" w:color="auto" w:fill="auto"/>
            <w:vAlign w:val="center"/>
            <w:hideMark/>
          </w:tcPr>
          <w:p w14:paraId="4CB3CBC3"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901.398.736</w:t>
            </w:r>
          </w:p>
        </w:tc>
        <w:tc>
          <w:tcPr>
            <w:tcW w:w="323" w:type="dxa"/>
            <w:tcBorders>
              <w:top w:val="nil"/>
              <w:left w:val="nil"/>
              <w:bottom w:val="single" w:sz="8" w:space="0" w:color="auto"/>
              <w:right w:val="single" w:sz="8" w:space="0" w:color="auto"/>
            </w:tcBorders>
            <w:shd w:val="clear" w:color="auto" w:fill="auto"/>
            <w:vAlign w:val="center"/>
            <w:hideMark/>
          </w:tcPr>
          <w:p w14:paraId="289CDC78"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w:t>
            </w:r>
          </w:p>
        </w:tc>
        <w:tc>
          <w:tcPr>
            <w:tcW w:w="505" w:type="dxa"/>
            <w:tcBorders>
              <w:top w:val="nil"/>
              <w:left w:val="nil"/>
              <w:bottom w:val="single" w:sz="8" w:space="0" w:color="auto"/>
              <w:right w:val="single" w:sz="8" w:space="0" w:color="auto"/>
            </w:tcBorders>
            <w:shd w:val="clear" w:color="auto" w:fill="auto"/>
            <w:vAlign w:val="center"/>
            <w:hideMark/>
          </w:tcPr>
          <w:p w14:paraId="24C2BF43"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50407</w:t>
            </w:r>
          </w:p>
        </w:tc>
        <w:tc>
          <w:tcPr>
            <w:tcW w:w="3498" w:type="dxa"/>
            <w:tcBorders>
              <w:top w:val="nil"/>
              <w:left w:val="nil"/>
              <w:bottom w:val="single" w:sz="8" w:space="0" w:color="auto"/>
              <w:right w:val="single" w:sz="8" w:space="0" w:color="auto"/>
            </w:tcBorders>
            <w:shd w:val="clear" w:color="auto" w:fill="auto"/>
            <w:vAlign w:val="center"/>
            <w:hideMark/>
          </w:tcPr>
          <w:p w14:paraId="5E3034BF"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MAXXIGAS E.S.P. S.A.S.</w:t>
            </w:r>
          </w:p>
        </w:tc>
        <w:tc>
          <w:tcPr>
            <w:tcW w:w="1262" w:type="dxa"/>
            <w:tcBorders>
              <w:top w:val="nil"/>
              <w:left w:val="nil"/>
              <w:bottom w:val="single" w:sz="8" w:space="0" w:color="auto"/>
              <w:right w:val="single" w:sz="8" w:space="0" w:color="auto"/>
            </w:tcBorders>
            <w:shd w:val="clear" w:color="auto" w:fill="auto"/>
            <w:vAlign w:val="center"/>
            <w:hideMark/>
          </w:tcPr>
          <w:p w14:paraId="7A646132"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77F1A4E3"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SIN REPORTE AL SUI</w:t>
            </w:r>
          </w:p>
        </w:tc>
      </w:tr>
      <w:tr w:rsidR="00AD4E79" w:rsidRPr="00AD4E79" w14:paraId="2C6A6D0B"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6095D86C"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lastRenderedPageBreak/>
              <w:t>176</w:t>
            </w:r>
          </w:p>
        </w:tc>
        <w:tc>
          <w:tcPr>
            <w:tcW w:w="880" w:type="dxa"/>
            <w:tcBorders>
              <w:top w:val="nil"/>
              <w:left w:val="nil"/>
              <w:bottom w:val="single" w:sz="8" w:space="0" w:color="auto"/>
              <w:right w:val="single" w:sz="8" w:space="0" w:color="auto"/>
            </w:tcBorders>
            <w:shd w:val="clear" w:color="auto" w:fill="auto"/>
            <w:vAlign w:val="center"/>
            <w:hideMark/>
          </w:tcPr>
          <w:p w14:paraId="6F9CA15D"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901.411.134</w:t>
            </w:r>
          </w:p>
        </w:tc>
        <w:tc>
          <w:tcPr>
            <w:tcW w:w="323" w:type="dxa"/>
            <w:tcBorders>
              <w:top w:val="nil"/>
              <w:left w:val="nil"/>
              <w:bottom w:val="single" w:sz="8" w:space="0" w:color="auto"/>
              <w:right w:val="single" w:sz="8" w:space="0" w:color="auto"/>
            </w:tcBorders>
            <w:shd w:val="clear" w:color="auto" w:fill="auto"/>
            <w:vAlign w:val="center"/>
            <w:hideMark/>
          </w:tcPr>
          <w:p w14:paraId="66E76FD5"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0</w:t>
            </w:r>
          </w:p>
        </w:tc>
        <w:tc>
          <w:tcPr>
            <w:tcW w:w="505" w:type="dxa"/>
            <w:tcBorders>
              <w:top w:val="nil"/>
              <w:left w:val="nil"/>
              <w:bottom w:val="single" w:sz="8" w:space="0" w:color="auto"/>
              <w:right w:val="single" w:sz="8" w:space="0" w:color="auto"/>
            </w:tcBorders>
            <w:shd w:val="clear" w:color="auto" w:fill="auto"/>
            <w:vAlign w:val="center"/>
            <w:hideMark/>
          </w:tcPr>
          <w:p w14:paraId="57BA32BE"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50426</w:t>
            </w:r>
          </w:p>
        </w:tc>
        <w:tc>
          <w:tcPr>
            <w:tcW w:w="3498" w:type="dxa"/>
            <w:tcBorders>
              <w:top w:val="nil"/>
              <w:left w:val="nil"/>
              <w:bottom w:val="single" w:sz="8" w:space="0" w:color="auto"/>
              <w:right w:val="single" w:sz="8" w:space="0" w:color="auto"/>
            </w:tcBorders>
            <w:shd w:val="clear" w:color="auto" w:fill="auto"/>
            <w:vAlign w:val="center"/>
            <w:hideMark/>
          </w:tcPr>
          <w:p w14:paraId="1D39803D"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GAS D-UNO SAS ESP</w:t>
            </w:r>
          </w:p>
        </w:tc>
        <w:tc>
          <w:tcPr>
            <w:tcW w:w="1262" w:type="dxa"/>
            <w:tcBorders>
              <w:top w:val="nil"/>
              <w:left w:val="nil"/>
              <w:bottom w:val="single" w:sz="8" w:space="0" w:color="auto"/>
              <w:right w:val="single" w:sz="8" w:space="0" w:color="auto"/>
            </w:tcBorders>
            <w:shd w:val="clear" w:color="auto" w:fill="auto"/>
            <w:vAlign w:val="center"/>
            <w:hideMark/>
          </w:tcPr>
          <w:p w14:paraId="41F95623"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156A5C7A"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1B4F79DE"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09E605BB"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177</w:t>
            </w:r>
          </w:p>
        </w:tc>
        <w:tc>
          <w:tcPr>
            <w:tcW w:w="880" w:type="dxa"/>
            <w:tcBorders>
              <w:top w:val="nil"/>
              <w:left w:val="nil"/>
              <w:bottom w:val="single" w:sz="8" w:space="0" w:color="auto"/>
              <w:right w:val="single" w:sz="8" w:space="0" w:color="auto"/>
            </w:tcBorders>
            <w:shd w:val="clear" w:color="auto" w:fill="auto"/>
            <w:vAlign w:val="center"/>
            <w:hideMark/>
          </w:tcPr>
          <w:p w14:paraId="58769C64"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901.423.393</w:t>
            </w:r>
          </w:p>
        </w:tc>
        <w:tc>
          <w:tcPr>
            <w:tcW w:w="323" w:type="dxa"/>
            <w:tcBorders>
              <w:top w:val="nil"/>
              <w:left w:val="nil"/>
              <w:bottom w:val="single" w:sz="8" w:space="0" w:color="auto"/>
              <w:right w:val="single" w:sz="8" w:space="0" w:color="auto"/>
            </w:tcBorders>
            <w:shd w:val="clear" w:color="auto" w:fill="auto"/>
            <w:vAlign w:val="center"/>
            <w:hideMark/>
          </w:tcPr>
          <w:p w14:paraId="595A90C7"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3</w:t>
            </w:r>
          </w:p>
        </w:tc>
        <w:tc>
          <w:tcPr>
            <w:tcW w:w="505" w:type="dxa"/>
            <w:tcBorders>
              <w:top w:val="nil"/>
              <w:left w:val="nil"/>
              <w:bottom w:val="single" w:sz="8" w:space="0" w:color="auto"/>
              <w:right w:val="single" w:sz="8" w:space="0" w:color="auto"/>
            </w:tcBorders>
            <w:shd w:val="clear" w:color="auto" w:fill="auto"/>
            <w:vAlign w:val="center"/>
            <w:hideMark/>
          </w:tcPr>
          <w:p w14:paraId="02710414"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50824</w:t>
            </w:r>
          </w:p>
        </w:tc>
        <w:tc>
          <w:tcPr>
            <w:tcW w:w="3498" w:type="dxa"/>
            <w:tcBorders>
              <w:top w:val="nil"/>
              <w:left w:val="nil"/>
              <w:bottom w:val="single" w:sz="8" w:space="0" w:color="auto"/>
              <w:right w:val="single" w:sz="8" w:space="0" w:color="auto"/>
            </w:tcBorders>
            <w:shd w:val="clear" w:color="auto" w:fill="auto"/>
            <w:vAlign w:val="center"/>
            <w:hideMark/>
          </w:tcPr>
          <w:p w14:paraId="44B62851"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LUMINA ENERGY S.A.S. E.S.P.</w:t>
            </w:r>
          </w:p>
        </w:tc>
        <w:tc>
          <w:tcPr>
            <w:tcW w:w="1262" w:type="dxa"/>
            <w:tcBorders>
              <w:top w:val="nil"/>
              <w:left w:val="nil"/>
              <w:bottom w:val="single" w:sz="8" w:space="0" w:color="auto"/>
              <w:right w:val="single" w:sz="8" w:space="0" w:color="auto"/>
            </w:tcBorders>
            <w:shd w:val="clear" w:color="auto" w:fill="auto"/>
            <w:vAlign w:val="center"/>
            <w:hideMark/>
          </w:tcPr>
          <w:p w14:paraId="1B3575FC"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6CFC04C2"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SIN REPORTE AL SUI</w:t>
            </w:r>
          </w:p>
        </w:tc>
      </w:tr>
      <w:tr w:rsidR="00AD4E79" w:rsidRPr="00AD4E79" w14:paraId="41683251"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530308FF"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178</w:t>
            </w:r>
          </w:p>
        </w:tc>
        <w:tc>
          <w:tcPr>
            <w:tcW w:w="880" w:type="dxa"/>
            <w:tcBorders>
              <w:top w:val="nil"/>
              <w:left w:val="nil"/>
              <w:bottom w:val="single" w:sz="8" w:space="0" w:color="auto"/>
              <w:right w:val="single" w:sz="8" w:space="0" w:color="auto"/>
            </w:tcBorders>
            <w:shd w:val="clear" w:color="auto" w:fill="auto"/>
            <w:vAlign w:val="center"/>
            <w:hideMark/>
          </w:tcPr>
          <w:p w14:paraId="367D0630"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901.438.767</w:t>
            </w:r>
          </w:p>
        </w:tc>
        <w:tc>
          <w:tcPr>
            <w:tcW w:w="323" w:type="dxa"/>
            <w:tcBorders>
              <w:top w:val="nil"/>
              <w:left w:val="nil"/>
              <w:bottom w:val="single" w:sz="8" w:space="0" w:color="auto"/>
              <w:right w:val="single" w:sz="8" w:space="0" w:color="auto"/>
            </w:tcBorders>
            <w:shd w:val="clear" w:color="auto" w:fill="auto"/>
            <w:vAlign w:val="center"/>
            <w:hideMark/>
          </w:tcPr>
          <w:p w14:paraId="75633A53"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w:t>
            </w:r>
          </w:p>
        </w:tc>
        <w:tc>
          <w:tcPr>
            <w:tcW w:w="505" w:type="dxa"/>
            <w:tcBorders>
              <w:top w:val="nil"/>
              <w:left w:val="nil"/>
              <w:bottom w:val="single" w:sz="8" w:space="0" w:color="auto"/>
              <w:right w:val="single" w:sz="8" w:space="0" w:color="auto"/>
            </w:tcBorders>
            <w:shd w:val="clear" w:color="auto" w:fill="auto"/>
            <w:vAlign w:val="center"/>
            <w:hideMark/>
          </w:tcPr>
          <w:p w14:paraId="7AC168A7"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55986</w:t>
            </w:r>
          </w:p>
        </w:tc>
        <w:tc>
          <w:tcPr>
            <w:tcW w:w="3498" w:type="dxa"/>
            <w:tcBorders>
              <w:top w:val="nil"/>
              <w:left w:val="nil"/>
              <w:bottom w:val="single" w:sz="8" w:space="0" w:color="auto"/>
              <w:right w:val="single" w:sz="8" w:space="0" w:color="auto"/>
            </w:tcBorders>
            <w:shd w:val="clear" w:color="auto" w:fill="auto"/>
            <w:vAlign w:val="center"/>
            <w:hideMark/>
          </w:tcPr>
          <w:p w14:paraId="68D8BB16"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INGGASES ESP SAS</w:t>
            </w:r>
          </w:p>
        </w:tc>
        <w:tc>
          <w:tcPr>
            <w:tcW w:w="1262" w:type="dxa"/>
            <w:tcBorders>
              <w:top w:val="nil"/>
              <w:left w:val="nil"/>
              <w:bottom w:val="single" w:sz="8" w:space="0" w:color="auto"/>
              <w:right w:val="single" w:sz="8" w:space="0" w:color="auto"/>
            </w:tcBorders>
            <w:shd w:val="clear" w:color="auto" w:fill="auto"/>
            <w:vAlign w:val="center"/>
            <w:hideMark/>
          </w:tcPr>
          <w:p w14:paraId="5D8E34E6"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339049B3"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SIN REPORTE AL SUI</w:t>
            </w:r>
          </w:p>
        </w:tc>
      </w:tr>
      <w:tr w:rsidR="00AD4E79" w:rsidRPr="00AD4E79" w14:paraId="4500D3D4"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555F228B"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179</w:t>
            </w:r>
          </w:p>
        </w:tc>
        <w:tc>
          <w:tcPr>
            <w:tcW w:w="880" w:type="dxa"/>
            <w:tcBorders>
              <w:top w:val="nil"/>
              <w:left w:val="nil"/>
              <w:bottom w:val="single" w:sz="8" w:space="0" w:color="auto"/>
              <w:right w:val="single" w:sz="8" w:space="0" w:color="auto"/>
            </w:tcBorders>
            <w:shd w:val="clear" w:color="auto" w:fill="auto"/>
            <w:vAlign w:val="center"/>
            <w:hideMark/>
          </w:tcPr>
          <w:p w14:paraId="3DBD1586"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901.440.893</w:t>
            </w:r>
          </w:p>
        </w:tc>
        <w:tc>
          <w:tcPr>
            <w:tcW w:w="323" w:type="dxa"/>
            <w:tcBorders>
              <w:top w:val="nil"/>
              <w:left w:val="nil"/>
              <w:bottom w:val="single" w:sz="8" w:space="0" w:color="auto"/>
              <w:right w:val="single" w:sz="8" w:space="0" w:color="auto"/>
            </w:tcBorders>
            <w:shd w:val="clear" w:color="auto" w:fill="auto"/>
            <w:vAlign w:val="center"/>
            <w:hideMark/>
          </w:tcPr>
          <w:p w14:paraId="19EF8628"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6</w:t>
            </w:r>
          </w:p>
        </w:tc>
        <w:tc>
          <w:tcPr>
            <w:tcW w:w="505" w:type="dxa"/>
            <w:tcBorders>
              <w:top w:val="nil"/>
              <w:left w:val="nil"/>
              <w:bottom w:val="single" w:sz="8" w:space="0" w:color="auto"/>
              <w:right w:val="single" w:sz="8" w:space="0" w:color="auto"/>
            </w:tcBorders>
            <w:shd w:val="clear" w:color="auto" w:fill="auto"/>
            <w:vAlign w:val="center"/>
            <w:hideMark/>
          </w:tcPr>
          <w:p w14:paraId="14FA6328"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52786</w:t>
            </w:r>
          </w:p>
        </w:tc>
        <w:tc>
          <w:tcPr>
            <w:tcW w:w="3498" w:type="dxa"/>
            <w:tcBorders>
              <w:top w:val="nil"/>
              <w:left w:val="nil"/>
              <w:bottom w:val="single" w:sz="8" w:space="0" w:color="auto"/>
              <w:right w:val="single" w:sz="8" w:space="0" w:color="auto"/>
            </w:tcBorders>
            <w:shd w:val="clear" w:color="auto" w:fill="auto"/>
            <w:vAlign w:val="center"/>
            <w:hideMark/>
          </w:tcPr>
          <w:p w14:paraId="64BAB8F7" w14:textId="77777777" w:rsidR="00E75BBE" w:rsidRPr="00AD4E79" w:rsidRDefault="00E75BBE" w:rsidP="00D22441">
            <w:pPr>
              <w:jc w:val="left"/>
              <w:rPr>
                <w:rFonts w:ascii="Arial Narrow" w:hAnsi="Arial Narrow" w:cs="Arial"/>
                <w:spacing w:val="0"/>
                <w:sz w:val="16"/>
                <w:szCs w:val="16"/>
                <w:lang w:eastAsia="es-CO"/>
              </w:rPr>
            </w:pPr>
            <w:proofErr w:type="spellStart"/>
            <w:r w:rsidRPr="00AD4E79">
              <w:rPr>
                <w:rFonts w:ascii="Arial Narrow" w:hAnsi="Arial Narrow" w:cs="Arial"/>
                <w:spacing w:val="0"/>
                <w:sz w:val="16"/>
                <w:szCs w:val="16"/>
                <w:lang w:eastAsia="es-CO"/>
              </w:rPr>
              <w:t>servigas</w:t>
            </w:r>
            <w:proofErr w:type="spellEnd"/>
            <w:r w:rsidRPr="00AD4E79">
              <w:rPr>
                <w:rFonts w:ascii="Arial Narrow" w:hAnsi="Arial Narrow" w:cs="Arial"/>
                <w:spacing w:val="0"/>
                <w:sz w:val="16"/>
                <w:szCs w:val="16"/>
                <w:lang w:eastAsia="es-CO"/>
              </w:rPr>
              <w:t xml:space="preserve"> del putumayo </w:t>
            </w:r>
            <w:proofErr w:type="spellStart"/>
            <w:r w:rsidRPr="00AD4E79">
              <w:rPr>
                <w:rFonts w:ascii="Arial Narrow" w:hAnsi="Arial Narrow" w:cs="Arial"/>
                <w:spacing w:val="0"/>
                <w:sz w:val="16"/>
                <w:szCs w:val="16"/>
                <w:lang w:eastAsia="es-CO"/>
              </w:rPr>
              <w:t>s.a.s</w:t>
            </w:r>
            <w:proofErr w:type="spellEnd"/>
            <w:r w:rsidRPr="00AD4E79">
              <w:rPr>
                <w:rFonts w:ascii="Arial Narrow" w:hAnsi="Arial Narrow" w:cs="Arial"/>
                <w:spacing w:val="0"/>
                <w:sz w:val="16"/>
                <w:szCs w:val="16"/>
                <w:lang w:eastAsia="es-CO"/>
              </w:rPr>
              <w:t xml:space="preserve">. </w:t>
            </w:r>
            <w:proofErr w:type="spellStart"/>
            <w:r w:rsidRPr="00AD4E79">
              <w:rPr>
                <w:rFonts w:ascii="Arial Narrow" w:hAnsi="Arial Narrow" w:cs="Arial"/>
                <w:spacing w:val="0"/>
                <w:sz w:val="16"/>
                <w:szCs w:val="16"/>
                <w:lang w:eastAsia="es-CO"/>
              </w:rPr>
              <w:t>e.s.p</w:t>
            </w:r>
            <w:proofErr w:type="spellEnd"/>
            <w:r w:rsidRPr="00AD4E79">
              <w:rPr>
                <w:rFonts w:ascii="Arial Narrow" w:hAnsi="Arial Narrow" w:cs="Arial"/>
                <w:spacing w:val="0"/>
                <w:sz w:val="16"/>
                <w:szCs w:val="16"/>
                <w:lang w:eastAsia="es-CO"/>
              </w:rPr>
              <w:t xml:space="preserve">. </w:t>
            </w:r>
            <w:proofErr w:type="spellStart"/>
            <w:r w:rsidRPr="00AD4E79">
              <w:rPr>
                <w:rFonts w:ascii="Arial Narrow" w:hAnsi="Arial Narrow" w:cs="Arial"/>
                <w:spacing w:val="0"/>
                <w:sz w:val="16"/>
                <w:szCs w:val="16"/>
                <w:lang w:eastAsia="es-CO"/>
              </w:rPr>
              <w:t>zomac</w:t>
            </w:r>
            <w:proofErr w:type="spellEnd"/>
          </w:p>
        </w:tc>
        <w:tc>
          <w:tcPr>
            <w:tcW w:w="1262" w:type="dxa"/>
            <w:tcBorders>
              <w:top w:val="nil"/>
              <w:left w:val="nil"/>
              <w:bottom w:val="single" w:sz="8" w:space="0" w:color="auto"/>
              <w:right w:val="single" w:sz="8" w:space="0" w:color="auto"/>
            </w:tcBorders>
            <w:shd w:val="clear" w:color="auto" w:fill="auto"/>
            <w:vAlign w:val="center"/>
            <w:hideMark/>
          </w:tcPr>
          <w:p w14:paraId="6A56C7DA"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1E3DD428"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SIN REPORTE AL SUI</w:t>
            </w:r>
          </w:p>
        </w:tc>
      </w:tr>
      <w:tr w:rsidR="00AD4E79" w:rsidRPr="00AD4E79" w14:paraId="43C0E950"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4BCB48ED"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180</w:t>
            </w:r>
          </w:p>
        </w:tc>
        <w:tc>
          <w:tcPr>
            <w:tcW w:w="880" w:type="dxa"/>
            <w:tcBorders>
              <w:top w:val="nil"/>
              <w:left w:val="nil"/>
              <w:bottom w:val="single" w:sz="8" w:space="0" w:color="auto"/>
              <w:right w:val="single" w:sz="8" w:space="0" w:color="auto"/>
            </w:tcBorders>
            <w:shd w:val="clear" w:color="auto" w:fill="auto"/>
            <w:vAlign w:val="center"/>
            <w:hideMark/>
          </w:tcPr>
          <w:p w14:paraId="50B98EED"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901.445.146</w:t>
            </w:r>
          </w:p>
        </w:tc>
        <w:tc>
          <w:tcPr>
            <w:tcW w:w="323" w:type="dxa"/>
            <w:tcBorders>
              <w:top w:val="nil"/>
              <w:left w:val="nil"/>
              <w:bottom w:val="single" w:sz="8" w:space="0" w:color="auto"/>
              <w:right w:val="single" w:sz="8" w:space="0" w:color="auto"/>
            </w:tcBorders>
            <w:shd w:val="clear" w:color="auto" w:fill="auto"/>
            <w:vAlign w:val="center"/>
            <w:hideMark/>
          </w:tcPr>
          <w:p w14:paraId="79AD0A56"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5</w:t>
            </w:r>
          </w:p>
        </w:tc>
        <w:tc>
          <w:tcPr>
            <w:tcW w:w="505" w:type="dxa"/>
            <w:tcBorders>
              <w:top w:val="nil"/>
              <w:left w:val="nil"/>
              <w:bottom w:val="single" w:sz="8" w:space="0" w:color="auto"/>
              <w:right w:val="single" w:sz="8" w:space="0" w:color="auto"/>
            </w:tcBorders>
            <w:shd w:val="clear" w:color="auto" w:fill="auto"/>
            <w:vAlign w:val="center"/>
            <w:hideMark/>
          </w:tcPr>
          <w:p w14:paraId="7E728930"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53426</w:t>
            </w:r>
          </w:p>
        </w:tc>
        <w:tc>
          <w:tcPr>
            <w:tcW w:w="3498" w:type="dxa"/>
            <w:tcBorders>
              <w:top w:val="nil"/>
              <w:left w:val="nil"/>
              <w:bottom w:val="single" w:sz="8" w:space="0" w:color="auto"/>
              <w:right w:val="single" w:sz="8" w:space="0" w:color="auto"/>
            </w:tcBorders>
            <w:shd w:val="clear" w:color="auto" w:fill="auto"/>
            <w:vAlign w:val="center"/>
            <w:hideMark/>
          </w:tcPr>
          <w:p w14:paraId="0B05F1B3"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GASO COLOMBIA</w:t>
            </w:r>
          </w:p>
        </w:tc>
        <w:tc>
          <w:tcPr>
            <w:tcW w:w="1262" w:type="dxa"/>
            <w:tcBorders>
              <w:top w:val="nil"/>
              <w:left w:val="nil"/>
              <w:bottom w:val="single" w:sz="8" w:space="0" w:color="auto"/>
              <w:right w:val="single" w:sz="8" w:space="0" w:color="auto"/>
            </w:tcBorders>
            <w:shd w:val="clear" w:color="auto" w:fill="auto"/>
            <w:vAlign w:val="center"/>
            <w:hideMark/>
          </w:tcPr>
          <w:p w14:paraId="7E160BDB"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2ED1DABA"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SIN REPORTE AL SUI</w:t>
            </w:r>
          </w:p>
        </w:tc>
      </w:tr>
      <w:tr w:rsidR="00AD4E79" w:rsidRPr="00AD4E79" w14:paraId="38A3AE51"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5AC37070"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181</w:t>
            </w:r>
          </w:p>
        </w:tc>
        <w:tc>
          <w:tcPr>
            <w:tcW w:w="880" w:type="dxa"/>
            <w:tcBorders>
              <w:top w:val="nil"/>
              <w:left w:val="nil"/>
              <w:bottom w:val="single" w:sz="8" w:space="0" w:color="auto"/>
              <w:right w:val="single" w:sz="8" w:space="0" w:color="auto"/>
            </w:tcBorders>
            <w:shd w:val="clear" w:color="auto" w:fill="auto"/>
            <w:vAlign w:val="center"/>
            <w:hideMark/>
          </w:tcPr>
          <w:p w14:paraId="16BD5261"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901.454.055</w:t>
            </w:r>
          </w:p>
        </w:tc>
        <w:tc>
          <w:tcPr>
            <w:tcW w:w="323" w:type="dxa"/>
            <w:tcBorders>
              <w:top w:val="nil"/>
              <w:left w:val="nil"/>
              <w:bottom w:val="single" w:sz="8" w:space="0" w:color="auto"/>
              <w:right w:val="single" w:sz="8" w:space="0" w:color="auto"/>
            </w:tcBorders>
            <w:shd w:val="clear" w:color="auto" w:fill="auto"/>
            <w:vAlign w:val="center"/>
            <w:hideMark/>
          </w:tcPr>
          <w:p w14:paraId="780E16F8"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w:t>
            </w:r>
          </w:p>
        </w:tc>
        <w:tc>
          <w:tcPr>
            <w:tcW w:w="505" w:type="dxa"/>
            <w:tcBorders>
              <w:top w:val="nil"/>
              <w:left w:val="nil"/>
              <w:bottom w:val="single" w:sz="8" w:space="0" w:color="auto"/>
              <w:right w:val="single" w:sz="8" w:space="0" w:color="auto"/>
            </w:tcBorders>
            <w:shd w:val="clear" w:color="auto" w:fill="auto"/>
            <w:vAlign w:val="center"/>
            <w:hideMark/>
          </w:tcPr>
          <w:p w14:paraId="4F943017"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54146</w:t>
            </w:r>
          </w:p>
        </w:tc>
        <w:tc>
          <w:tcPr>
            <w:tcW w:w="3498" w:type="dxa"/>
            <w:tcBorders>
              <w:top w:val="nil"/>
              <w:left w:val="nil"/>
              <w:bottom w:val="single" w:sz="8" w:space="0" w:color="auto"/>
              <w:right w:val="single" w:sz="8" w:space="0" w:color="auto"/>
            </w:tcBorders>
            <w:shd w:val="clear" w:color="auto" w:fill="auto"/>
            <w:vAlign w:val="center"/>
            <w:hideMark/>
          </w:tcPr>
          <w:p w14:paraId="0305AFE9"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GAMMA GAS S.A.S E.S.P.</w:t>
            </w:r>
          </w:p>
        </w:tc>
        <w:tc>
          <w:tcPr>
            <w:tcW w:w="1262" w:type="dxa"/>
            <w:tcBorders>
              <w:top w:val="nil"/>
              <w:left w:val="nil"/>
              <w:bottom w:val="single" w:sz="8" w:space="0" w:color="auto"/>
              <w:right w:val="single" w:sz="8" w:space="0" w:color="auto"/>
            </w:tcBorders>
            <w:shd w:val="clear" w:color="auto" w:fill="auto"/>
            <w:vAlign w:val="center"/>
            <w:hideMark/>
          </w:tcPr>
          <w:p w14:paraId="0C3A310D"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2F786411"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SIN REPORTE AL SUI</w:t>
            </w:r>
          </w:p>
        </w:tc>
      </w:tr>
      <w:tr w:rsidR="00AD4E79" w:rsidRPr="00AD4E79" w14:paraId="02E53B57" w14:textId="77777777" w:rsidTr="00AD4E79">
        <w:trPr>
          <w:trHeight w:val="357"/>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7A633552"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182</w:t>
            </w:r>
          </w:p>
        </w:tc>
        <w:tc>
          <w:tcPr>
            <w:tcW w:w="880" w:type="dxa"/>
            <w:tcBorders>
              <w:top w:val="nil"/>
              <w:left w:val="nil"/>
              <w:bottom w:val="single" w:sz="8" w:space="0" w:color="auto"/>
              <w:right w:val="single" w:sz="8" w:space="0" w:color="auto"/>
            </w:tcBorders>
            <w:shd w:val="clear" w:color="auto" w:fill="auto"/>
            <w:vAlign w:val="center"/>
            <w:hideMark/>
          </w:tcPr>
          <w:p w14:paraId="4B0195DB"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901.464.472</w:t>
            </w:r>
          </w:p>
        </w:tc>
        <w:tc>
          <w:tcPr>
            <w:tcW w:w="323" w:type="dxa"/>
            <w:tcBorders>
              <w:top w:val="nil"/>
              <w:left w:val="nil"/>
              <w:bottom w:val="single" w:sz="8" w:space="0" w:color="auto"/>
              <w:right w:val="single" w:sz="8" w:space="0" w:color="auto"/>
            </w:tcBorders>
            <w:shd w:val="clear" w:color="auto" w:fill="auto"/>
            <w:vAlign w:val="center"/>
            <w:hideMark/>
          </w:tcPr>
          <w:p w14:paraId="16DED132"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2</w:t>
            </w:r>
          </w:p>
        </w:tc>
        <w:tc>
          <w:tcPr>
            <w:tcW w:w="505" w:type="dxa"/>
            <w:tcBorders>
              <w:top w:val="nil"/>
              <w:left w:val="nil"/>
              <w:bottom w:val="single" w:sz="8" w:space="0" w:color="auto"/>
              <w:right w:val="single" w:sz="8" w:space="0" w:color="auto"/>
            </w:tcBorders>
            <w:shd w:val="clear" w:color="auto" w:fill="auto"/>
            <w:vAlign w:val="center"/>
            <w:hideMark/>
          </w:tcPr>
          <w:p w14:paraId="7D0C2E72"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60230</w:t>
            </w:r>
          </w:p>
        </w:tc>
        <w:tc>
          <w:tcPr>
            <w:tcW w:w="3498" w:type="dxa"/>
            <w:tcBorders>
              <w:top w:val="nil"/>
              <w:left w:val="nil"/>
              <w:bottom w:val="single" w:sz="8" w:space="0" w:color="auto"/>
              <w:right w:val="single" w:sz="8" w:space="0" w:color="auto"/>
            </w:tcBorders>
            <w:shd w:val="clear" w:color="auto" w:fill="auto"/>
            <w:vAlign w:val="center"/>
            <w:hideMark/>
          </w:tcPr>
          <w:p w14:paraId="575ECFF6"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DISTRIBUIDORA Y COMERCIALIZADORA DE GAS Y ENERGIAS ALTERNATIVAS DYGAS SAS ESP</w:t>
            </w:r>
          </w:p>
        </w:tc>
        <w:tc>
          <w:tcPr>
            <w:tcW w:w="1262" w:type="dxa"/>
            <w:tcBorders>
              <w:top w:val="nil"/>
              <w:left w:val="nil"/>
              <w:bottom w:val="single" w:sz="8" w:space="0" w:color="auto"/>
              <w:right w:val="single" w:sz="8" w:space="0" w:color="auto"/>
            </w:tcBorders>
            <w:shd w:val="clear" w:color="auto" w:fill="auto"/>
            <w:vAlign w:val="center"/>
            <w:hideMark/>
          </w:tcPr>
          <w:p w14:paraId="6B5CF6A4"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686EEF75"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SIN REPORTE AL SUI</w:t>
            </w:r>
          </w:p>
        </w:tc>
      </w:tr>
      <w:tr w:rsidR="00AD4E79" w:rsidRPr="00AD4E79" w14:paraId="48759CF2"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2F22384C"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183</w:t>
            </w:r>
          </w:p>
        </w:tc>
        <w:tc>
          <w:tcPr>
            <w:tcW w:w="880" w:type="dxa"/>
            <w:tcBorders>
              <w:top w:val="nil"/>
              <w:left w:val="nil"/>
              <w:bottom w:val="single" w:sz="8" w:space="0" w:color="auto"/>
              <w:right w:val="single" w:sz="8" w:space="0" w:color="auto"/>
            </w:tcBorders>
            <w:shd w:val="clear" w:color="auto" w:fill="auto"/>
            <w:vAlign w:val="center"/>
            <w:hideMark/>
          </w:tcPr>
          <w:p w14:paraId="4ED67E39"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901.503.260</w:t>
            </w:r>
          </w:p>
        </w:tc>
        <w:tc>
          <w:tcPr>
            <w:tcW w:w="323" w:type="dxa"/>
            <w:tcBorders>
              <w:top w:val="nil"/>
              <w:left w:val="nil"/>
              <w:bottom w:val="single" w:sz="8" w:space="0" w:color="auto"/>
              <w:right w:val="single" w:sz="8" w:space="0" w:color="auto"/>
            </w:tcBorders>
            <w:shd w:val="clear" w:color="auto" w:fill="auto"/>
            <w:vAlign w:val="center"/>
            <w:hideMark/>
          </w:tcPr>
          <w:p w14:paraId="15B52D8C"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6</w:t>
            </w:r>
          </w:p>
        </w:tc>
        <w:tc>
          <w:tcPr>
            <w:tcW w:w="505" w:type="dxa"/>
            <w:tcBorders>
              <w:top w:val="nil"/>
              <w:left w:val="nil"/>
              <w:bottom w:val="single" w:sz="8" w:space="0" w:color="auto"/>
              <w:right w:val="single" w:sz="8" w:space="0" w:color="auto"/>
            </w:tcBorders>
            <w:shd w:val="clear" w:color="auto" w:fill="auto"/>
            <w:vAlign w:val="center"/>
            <w:hideMark/>
          </w:tcPr>
          <w:p w14:paraId="62A1095B"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58633</w:t>
            </w:r>
          </w:p>
        </w:tc>
        <w:tc>
          <w:tcPr>
            <w:tcW w:w="3498" w:type="dxa"/>
            <w:tcBorders>
              <w:top w:val="nil"/>
              <w:left w:val="nil"/>
              <w:bottom w:val="single" w:sz="8" w:space="0" w:color="auto"/>
              <w:right w:val="single" w:sz="8" w:space="0" w:color="auto"/>
            </w:tcBorders>
            <w:shd w:val="clear" w:color="auto" w:fill="auto"/>
            <w:vAlign w:val="center"/>
            <w:hideMark/>
          </w:tcPr>
          <w:p w14:paraId="56F0DC6C"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EMEGAS POR COLOMBIA 24 7 SAS ESP</w:t>
            </w:r>
          </w:p>
        </w:tc>
        <w:tc>
          <w:tcPr>
            <w:tcW w:w="1262" w:type="dxa"/>
            <w:tcBorders>
              <w:top w:val="nil"/>
              <w:left w:val="nil"/>
              <w:bottom w:val="single" w:sz="8" w:space="0" w:color="auto"/>
              <w:right w:val="single" w:sz="8" w:space="0" w:color="auto"/>
            </w:tcBorders>
            <w:shd w:val="clear" w:color="auto" w:fill="auto"/>
            <w:vAlign w:val="center"/>
            <w:hideMark/>
          </w:tcPr>
          <w:p w14:paraId="7144F871"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7DFC05C0"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r w:rsidR="00AD4E79" w:rsidRPr="00AD4E79" w14:paraId="26481C18"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6312D60A"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184</w:t>
            </w:r>
          </w:p>
        </w:tc>
        <w:tc>
          <w:tcPr>
            <w:tcW w:w="880" w:type="dxa"/>
            <w:tcBorders>
              <w:top w:val="nil"/>
              <w:left w:val="nil"/>
              <w:bottom w:val="single" w:sz="8" w:space="0" w:color="auto"/>
              <w:right w:val="single" w:sz="8" w:space="0" w:color="auto"/>
            </w:tcBorders>
            <w:shd w:val="clear" w:color="auto" w:fill="auto"/>
            <w:vAlign w:val="center"/>
            <w:hideMark/>
          </w:tcPr>
          <w:p w14:paraId="64AA2D93"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901.506.140</w:t>
            </w:r>
          </w:p>
        </w:tc>
        <w:tc>
          <w:tcPr>
            <w:tcW w:w="323" w:type="dxa"/>
            <w:tcBorders>
              <w:top w:val="nil"/>
              <w:left w:val="nil"/>
              <w:bottom w:val="single" w:sz="8" w:space="0" w:color="auto"/>
              <w:right w:val="single" w:sz="8" w:space="0" w:color="auto"/>
            </w:tcBorders>
            <w:shd w:val="clear" w:color="auto" w:fill="auto"/>
            <w:vAlign w:val="center"/>
            <w:hideMark/>
          </w:tcPr>
          <w:p w14:paraId="6FA3487A"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4</w:t>
            </w:r>
          </w:p>
        </w:tc>
        <w:tc>
          <w:tcPr>
            <w:tcW w:w="505" w:type="dxa"/>
            <w:tcBorders>
              <w:top w:val="nil"/>
              <w:left w:val="nil"/>
              <w:bottom w:val="single" w:sz="8" w:space="0" w:color="auto"/>
              <w:right w:val="single" w:sz="8" w:space="0" w:color="auto"/>
            </w:tcBorders>
            <w:shd w:val="clear" w:color="auto" w:fill="auto"/>
            <w:vAlign w:val="center"/>
            <w:hideMark/>
          </w:tcPr>
          <w:p w14:paraId="6620559F"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57692</w:t>
            </w:r>
          </w:p>
        </w:tc>
        <w:tc>
          <w:tcPr>
            <w:tcW w:w="3498" w:type="dxa"/>
            <w:tcBorders>
              <w:top w:val="nil"/>
              <w:left w:val="nil"/>
              <w:bottom w:val="single" w:sz="8" w:space="0" w:color="auto"/>
              <w:right w:val="single" w:sz="8" w:space="0" w:color="auto"/>
            </w:tcBorders>
            <w:shd w:val="clear" w:color="auto" w:fill="auto"/>
            <w:vAlign w:val="center"/>
            <w:hideMark/>
          </w:tcPr>
          <w:p w14:paraId="0181A4C9"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ECOGAS ENERGIA SAS ESP</w:t>
            </w:r>
          </w:p>
        </w:tc>
        <w:tc>
          <w:tcPr>
            <w:tcW w:w="1262" w:type="dxa"/>
            <w:tcBorders>
              <w:top w:val="nil"/>
              <w:left w:val="nil"/>
              <w:bottom w:val="single" w:sz="8" w:space="0" w:color="auto"/>
              <w:right w:val="single" w:sz="8" w:space="0" w:color="auto"/>
            </w:tcBorders>
            <w:shd w:val="clear" w:color="auto" w:fill="auto"/>
            <w:vAlign w:val="center"/>
            <w:hideMark/>
          </w:tcPr>
          <w:p w14:paraId="659B5556"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1325A56E"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SIN REPORTE AL SUI</w:t>
            </w:r>
          </w:p>
        </w:tc>
      </w:tr>
      <w:tr w:rsidR="00AD4E79" w:rsidRPr="00AD4E79" w14:paraId="2EA99A97"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376A81DC"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185</w:t>
            </w:r>
          </w:p>
        </w:tc>
        <w:tc>
          <w:tcPr>
            <w:tcW w:w="880" w:type="dxa"/>
            <w:tcBorders>
              <w:top w:val="nil"/>
              <w:left w:val="nil"/>
              <w:bottom w:val="single" w:sz="8" w:space="0" w:color="auto"/>
              <w:right w:val="single" w:sz="8" w:space="0" w:color="auto"/>
            </w:tcBorders>
            <w:shd w:val="clear" w:color="auto" w:fill="auto"/>
            <w:vAlign w:val="center"/>
            <w:hideMark/>
          </w:tcPr>
          <w:p w14:paraId="0C04B728"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901.512.639</w:t>
            </w:r>
          </w:p>
        </w:tc>
        <w:tc>
          <w:tcPr>
            <w:tcW w:w="323" w:type="dxa"/>
            <w:tcBorders>
              <w:top w:val="nil"/>
              <w:left w:val="nil"/>
              <w:bottom w:val="single" w:sz="8" w:space="0" w:color="auto"/>
              <w:right w:val="single" w:sz="8" w:space="0" w:color="auto"/>
            </w:tcBorders>
            <w:shd w:val="clear" w:color="auto" w:fill="auto"/>
            <w:vAlign w:val="center"/>
            <w:hideMark/>
          </w:tcPr>
          <w:p w14:paraId="2BF33207"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w:t>
            </w:r>
          </w:p>
        </w:tc>
        <w:tc>
          <w:tcPr>
            <w:tcW w:w="505" w:type="dxa"/>
            <w:tcBorders>
              <w:top w:val="nil"/>
              <w:left w:val="nil"/>
              <w:bottom w:val="single" w:sz="8" w:space="0" w:color="auto"/>
              <w:right w:val="single" w:sz="8" w:space="0" w:color="auto"/>
            </w:tcBorders>
            <w:shd w:val="clear" w:color="auto" w:fill="auto"/>
            <w:vAlign w:val="center"/>
            <w:hideMark/>
          </w:tcPr>
          <w:p w14:paraId="2BD30EBC"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62410</w:t>
            </w:r>
          </w:p>
        </w:tc>
        <w:tc>
          <w:tcPr>
            <w:tcW w:w="3498" w:type="dxa"/>
            <w:tcBorders>
              <w:top w:val="nil"/>
              <w:left w:val="nil"/>
              <w:bottom w:val="single" w:sz="8" w:space="0" w:color="auto"/>
              <w:right w:val="single" w:sz="8" w:space="0" w:color="auto"/>
            </w:tcBorders>
            <w:shd w:val="clear" w:color="auto" w:fill="auto"/>
            <w:vAlign w:val="center"/>
            <w:hideMark/>
          </w:tcPr>
          <w:p w14:paraId="5AE9141E"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GRANELGAS S.A.S. E.S.P.</w:t>
            </w:r>
          </w:p>
        </w:tc>
        <w:tc>
          <w:tcPr>
            <w:tcW w:w="1262" w:type="dxa"/>
            <w:tcBorders>
              <w:top w:val="nil"/>
              <w:left w:val="nil"/>
              <w:bottom w:val="single" w:sz="8" w:space="0" w:color="auto"/>
              <w:right w:val="single" w:sz="8" w:space="0" w:color="auto"/>
            </w:tcBorders>
            <w:shd w:val="clear" w:color="auto" w:fill="auto"/>
            <w:vAlign w:val="center"/>
            <w:hideMark/>
          </w:tcPr>
          <w:p w14:paraId="3AB5AA3A"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6650390D"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SIN REPORTE AL SUI</w:t>
            </w:r>
          </w:p>
        </w:tc>
      </w:tr>
      <w:tr w:rsidR="00AD4E79" w:rsidRPr="00AD4E79" w14:paraId="1D7C3F34"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3B9C57CA"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186</w:t>
            </w:r>
          </w:p>
        </w:tc>
        <w:tc>
          <w:tcPr>
            <w:tcW w:w="880" w:type="dxa"/>
            <w:tcBorders>
              <w:top w:val="nil"/>
              <w:left w:val="nil"/>
              <w:bottom w:val="single" w:sz="8" w:space="0" w:color="auto"/>
              <w:right w:val="single" w:sz="8" w:space="0" w:color="auto"/>
            </w:tcBorders>
            <w:shd w:val="clear" w:color="auto" w:fill="auto"/>
            <w:vAlign w:val="center"/>
            <w:hideMark/>
          </w:tcPr>
          <w:p w14:paraId="77E0BE6A"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901.541.715</w:t>
            </w:r>
          </w:p>
        </w:tc>
        <w:tc>
          <w:tcPr>
            <w:tcW w:w="323" w:type="dxa"/>
            <w:tcBorders>
              <w:top w:val="nil"/>
              <w:left w:val="nil"/>
              <w:bottom w:val="single" w:sz="8" w:space="0" w:color="auto"/>
              <w:right w:val="single" w:sz="8" w:space="0" w:color="auto"/>
            </w:tcBorders>
            <w:shd w:val="clear" w:color="auto" w:fill="auto"/>
            <w:vAlign w:val="center"/>
            <w:hideMark/>
          </w:tcPr>
          <w:p w14:paraId="03F5E724"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7</w:t>
            </w:r>
          </w:p>
        </w:tc>
        <w:tc>
          <w:tcPr>
            <w:tcW w:w="505" w:type="dxa"/>
            <w:tcBorders>
              <w:top w:val="nil"/>
              <w:left w:val="nil"/>
              <w:bottom w:val="single" w:sz="8" w:space="0" w:color="auto"/>
              <w:right w:val="single" w:sz="8" w:space="0" w:color="auto"/>
            </w:tcBorders>
            <w:shd w:val="clear" w:color="auto" w:fill="auto"/>
            <w:vAlign w:val="center"/>
            <w:hideMark/>
          </w:tcPr>
          <w:p w14:paraId="0BB102A9"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60930</w:t>
            </w:r>
          </w:p>
        </w:tc>
        <w:tc>
          <w:tcPr>
            <w:tcW w:w="3498" w:type="dxa"/>
            <w:tcBorders>
              <w:top w:val="nil"/>
              <w:left w:val="nil"/>
              <w:bottom w:val="single" w:sz="8" w:space="0" w:color="auto"/>
              <w:right w:val="single" w:sz="8" w:space="0" w:color="auto"/>
            </w:tcBorders>
            <w:shd w:val="clear" w:color="auto" w:fill="auto"/>
            <w:vAlign w:val="center"/>
            <w:hideMark/>
          </w:tcPr>
          <w:p w14:paraId="20BFB1D0"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VALGASIN SAS ESP</w:t>
            </w:r>
          </w:p>
        </w:tc>
        <w:tc>
          <w:tcPr>
            <w:tcW w:w="1262" w:type="dxa"/>
            <w:tcBorders>
              <w:top w:val="nil"/>
              <w:left w:val="nil"/>
              <w:bottom w:val="single" w:sz="8" w:space="0" w:color="auto"/>
              <w:right w:val="single" w:sz="8" w:space="0" w:color="auto"/>
            </w:tcBorders>
            <w:shd w:val="clear" w:color="auto" w:fill="auto"/>
            <w:vAlign w:val="center"/>
            <w:hideMark/>
          </w:tcPr>
          <w:p w14:paraId="751536AD"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49DF7AF1"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SIN REPORTE AL SUI</w:t>
            </w:r>
          </w:p>
        </w:tc>
      </w:tr>
      <w:tr w:rsidR="00AD4E79" w:rsidRPr="00AD4E79" w14:paraId="771DF20D"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42916497"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187</w:t>
            </w:r>
          </w:p>
        </w:tc>
        <w:tc>
          <w:tcPr>
            <w:tcW w:w="880" w:type="dxa"/>
            <w:tcBorders>
              <w:top w:val="nil"/>
              <w:left w:val="nil"/>
              <w:bottom w:val="single" w:sz="8" w:space="0" w:color="auto"/>
              <w:right w:val="single" w:sz="8" w:space="0" w:color="auto"/>
            </w:tcBorders>
            <w:shd w:val="clear" w:color="auto" w:fill="auto"/>
            <w:vAlign w:val="center"/>
            <w:hideMark/>
          </w:tcPr>
          <w:p w14:paraId="5ECCBF42"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901.545.020</w:t>
            </w:r>
          </w:p>
        </w:tc>
        <w:tc>
          <w:tcPr>
            <w:tcW w:w="323" w:type="dxa"/>
            <w:tcBorders>
              <w:top w:val="nil"/>
              <w:left w:val="nil"/>
              <w:bottom w:val="single" w:sz="8" w:space="0" w:color="auto"/>
              <w:right w:val="single" w:sz="8" w:space="0" w:color="auto"/>
            </w:tcBorders>
            <w:shd w:val="clear" w:color="auto" w:fill="auto"/>
            <w:vAlign w:val="center"/>
            <w:hideMark/>
          </w:tcPr>
          <w:p w14:paraId="6FD22EF9"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5</w:t>
            </w:r>
          </w:p>
        </w:tc>
        <w:tc>
          <w:tcPr>
            <w:tcW w:w="505" w:type="dxa"/>
            <w:tcBorders>
              <w:top w:val="nil"/>
              <w:left w:val="nil"/>
              <w:bottom w:val="single" w:sz="8" w:space="0" w:color="auto"/>
              <w:right w:val="single" w:sz="8" w:space="0" w:color="auto"/>
            </w:tcBorders>
            <w:shd w:val="clear" w:color="auto" w:fill="auto"/>
            <w:vAlign w:val="center"/>
            <w:hideMark/>
          </w:tcPr>
          <w:p w14:paraId="6D610B27"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62550</w:t>
            </w:r>
          </w:p>
        </w:tc>
        <w:tc>
          <w:tcPr>
            <w:tcW w:w="3498" w:type="dxa"/>
            <w:tcBorders>
              <w:top w:val="nil"/>
              <w:left w:val="nil"/>
              <w:bottom w:val="single" w:sz="8" w:space="0" w:color="auto"/>
              <w:right w:val="single" w:sz="8" w:space="0" w:color="auto"/>
            </w:tcBorders>
            <w:shd w:val="clear" w:color="auto" w:fill="auto"/>
            <w:vAlign w:val="center"/>
            <w:hideMark/>
          </w:tcPr>
          <w:p w14:paraId="3EF5CB62"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YOPAGAS S.A.S. E.S.P.</w:t>
            </w:r>
          </w:p>
        </w:tc>
        <w:tc>
          <w:tcPr>
            <w:tcW w:w="1262" w:type="dxa"/>
            <w:tcBorders>
              <w:top w:val="nil"/>
              <w:left w:val="nil"/>
              <w:bottom w:val="single" w:sz="8" w:space="0" w:color="auto"/>
              <w:right w:val="single" w:sz="8" w:space="0" w:color="auto"/>
            </w:tcBorders>
            <w:shd w:val="clear" w:color="auto" w:fill="auto"/>
            <w:vAlign w:val="center"/>
            <w:hideMark/>
          </w:tcPr>
          <w:p w14:paraId="76883DF3"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63BD7AD4"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SIN REPORTE AL SUI</w:t>
            </w:r>
          </w:p>
        </w:tc>
      </w:tr>
      <w:tr w:rsidR="00AD4E79" w:rsidRPr="00AD4E79" w14:paraId="5835C319"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52DBD129"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188</w:t>
            </w:r>
          </w:p>
        </w:tc>
        <w:tc>
          <w:tcPr>
            <w:tcW w:w="880" w:type="dxa"/>
            <w:tcBorders>
              <w:top w:val="nil"/>
              <w:left w:val="nil"/>
              <w:bottom w:val="single" w:sz="8" w:space="0" w:color="auto"/>
              <w:right w:val="single" w:sz="8" w:space="0" w:color="auto"/>
            </w:tcBorders>
            <w:shd w:val="clear" w:color="auto" w:fill="auto"/>
            <w:vAlign w:val="center"/>
            <w:hideMark/>
          </w:tcPr>
          <w:p w14:paraId="55F3F639"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901.582.087</w:t>
            </w:r>
          </w:p>
        </w:tc>
        <w:tc>
          <w:tcPr>
            <w:tcW w:w="323" w:type="dxa"/>
            <w:tcBorders>
              <w:top w:val="nil"/>
              <w:left w:val="nil"/>
              <w:bottom w:val="single" w:sz="8" w:space="0" w:color="auto"/>
              <w:right w:val="single" w:sz="8" w:space="0" w:color="auto"/>
            </w:tcBorders>
            <w:shd w:val="clear" w:color="auto" w:fill="auto"/>
            <w:vAlign w:val="center"/>
            <w:hideMark/>
          </w:tcPr>
          <w:p w14:paraId="0B39CADE"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5</w:t>
            </w:r>
          </w:p>
        </w:tc>
        <w:tc>
          <w:tcPr>
            <w:tcW w:w="505" w:type="dxa"/>
            <w:tcBorders>
              <w:top w:val="nil"/>
              <w:left w:val="nil"/>
              <w:bottom w:val="single" w:sz="8" w:space="0" w:color="auto"/>
              <w:right w:val="single" w:sz="8" w:space="0" w:color="auto"/>
            </w:tcBorders>
            <w:shd w:val="clear" w:color="auto" w:fill="auto"/>
            <w:vAlign w:val="center"/>
            <w:hideMark/>
          </w:tcPr>
          <w:p w14:paraId="4328582D"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62310</w:t>
            </w:r>
          </w:p>
        </w:tc>
        <w:tc>
          <w:tcPr>
            <w:tcW w:w="3498" w:type="dxa"/>
            <w:tcBorders>
              <w:top w:val="nil"/>
              <w:left w:val="nil"/>
              <w:bottom w:val="single" w:sz="8" w:space="0" w:color="auto"/>
              <w:right w:val="single" w:sz="8" w:space="0" w:color="auto"/>
            </w:tcBorders>
            <w:shd w:val="clear" w:color="auto" w:fill="auto"/>
            <w:vAlign w:val="center"/>
            <w:hideMark/>
          </w:tcPr>
          <w:p w14:paraId="7DCB92A8" w14:textId="77777777" w:rsidR="00E75BBE" w:rsidRPr="00AD4E79" w:rsidRDefault="00E75BBE" w:rsidP="00D22441">
            <w:pPr>
              <w:jc w:val="left"/>
              <w:rPr>
                <w:rFonts w:ascii="Arial Narrow" w:hAnsi="Arial Narrow" w:cs="Arial"/>
                <w:spacing w:val="0"/>
                <w:sz w:val="16"/>
                <w:szCs w:val="16"/>
                <w:lang w:val="en-GB" w:eastAsia="es-CO"/>
              </w:rPr>
            </w:pPr>
            <w:r w:rsidRPr="00AD4E79">
              <w:rPr>
                <w:rFonts w:ascii="Arial Narrow" w:hAnsi="Arial Narrow" w:cs="Arial"/>
                <w:spacing w:val="0"/>
                <w:sz w:val="16"/>
                <w:szCs w:val="16"/>
                <w:lang w:val="en-GB" w:eastAsia="es-CO"/>
              </w:rPr>
              <w:t>MELL GAS S.A.S. E.S.P.</w:t>
            </w:r>
          </w:p>
        </w:tc>
        <w:tc>
          <w:tcPr>
            <w:tcW w:w="1262" w:type="dxa"/>
            <w:tcBorders>
              <w:top w:val="nil"/>
              <w:left w:val="nil"/>
              <w:bottom w:val="single" w:sz="8" w:space="0" w:color="auto"/>
              <w:right w:val="single" w:sz="8" w:space="0" w:color="auto"/>
            </w:tcBorders>
            <w:shd w:val="clear" w:color="auto" w:fill="auto"/>
            <w:vAlign w:val="center"/>
            <w:hideMark/>
          </w:tcPr>
          <w:p w14:paraId="05C62ED8"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1EFFD908"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SIN REPORTE AL SUI</w:t>
            </w:r>
          </w:p>
        </w:tc>
      </w:tr>
      <w:tr w:rsidR="00AD4E79" w:rsidRPr="00AD4E79" w14:paraId="0E62C23D" w14:textId="77777777" w:rsidTr="00AD4E79">
        <w:trPr>
          <w:trHeight w:val="270"/>
        </w:trPr>
        <w:tc>
          <w:tcPr>
            <w:tcW w:w="454" w:type="dxa"/>
            <w:tcBorders>
              <w:top w:val="nil"/>
              <w:left w:val="single" w:sz="8" w:space="0" w:color="auto"/>
              <w:bottom w:val="single" w:sz="8" w:space="0" w:color="auto"/>
              <w:right w:val="single" w:sz="8" w:space="0" w:color="auto"/>
            </w:tcBorders>
            <w:shd w:val="clear" w:color="auto" w:fill="auto"/>
            <w:vAlign w:val="center"/>
            <w:hideMark/>
          </w:tcPr>
          <w:p w14:paraId="218A82F4"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189</w:t>
            </w:r>
          </w:p>
        </w:tc>
        <w:tc>
          <w:tcPr>
            <w:tcW w:w="880" w:type="dxa"/>
            <w:tcBorders>
              <w:top w:val="nil"/>
              <w:left w:val="nil"/>
              <w:bottom w:val="single" w:sz="8" w:space="0" w:color="auto"/>
              <w:right w:val="single" w:sz="8" w:space="0" w:color="auto"/>
            </w:tcBorders>
            <w:shd w:val="clear" w:color="auto" w:fill="auto"/>
            <w:vAlign w:val="center"/>
            <w:hideMark/>
          </w:tcPr>
          <w:p w14:paraId="59CEA18E"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901.599.899</w:t>
            </w:r>
          </w:p>
        </w:tc>
        <w:tc>
          <w:tcPr>
            <w:tcW w:w="323" w:type="dxa"/>
            <w:tcBorders>
              <w:top w:val="nil"/>
              <w:left w:val="nil"/>
              <w:bottom w:val="single" w:sz="8" w:space="0" w:color="auto"/>
              <w:right w:val="single" w:sz="8" w:space="0" w:color="auto"/>
            </w:tcBorders>
            <w:shd w:val="clear" w:color="auto" w:fill="auto"/>
            <w:vAlign w:val="center"/>
            <w:hideMark/>
          </w:tcPr>
          <w:p w14:paraId="6718B966"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3</w:t>
            </w:r>
          </w:p>
        </w:tc>
        <w:tc>
          <w:tcPr>
            <w:tcW w:w="505" w:type="dxa"/>
            <w:tcBorders>
              <w:top w:val="nil"/>
              <w:left w:val="nil"/>
              <w:bottom w:val="single" w:sz="8" w:space="0" w:color="auto"/>
              <w:right w:val="single" w:sz="8" w:space="0" w:color="auto"/>
            </w:tcBorders>
            <w:shd w:val="clear" w:color="auto" w:fill="auto"/>
            <w:vAlign w:val="center"/>
            <w:hideMark/>
          </w:tcPr>
          <w:p w14:paraId="3A8D5EB6"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62732</w:t>
            </w:r>
          </w:p>
        </w:tc>
        <w:tc>
          <w:tcPr>
            <w:tcW w:w="3498" w:type="dxa"/>
            <w:tcBorders>
              <w:top w:val="nil"/>
              <w:left w:val="nil"/>
              <w:bottom w:val="single" w:sz="8" w:space="0" w:color="auto"/>
              <w:right w:val="single" w:sz="8" w:space="0" w:color="auto"/>
            </w:tcBorders>
            <w:shd w:val="clear" w:color="auto" w:fill="auto"/>
            <w:vAlign w:val="center"/>
            <w:hideMark/>
          </w:tcPr>
          <w:p w14:paraId="5C775218" w14:textId="77777777" w:rsidR="00E75BBE" w:rsidRPr="00AD4E79" w:rsidRDefault="00E75BBE" w:rsidP="00D22441">
            <w:pPr>
              <w:jc w:val="left"/>
              <w:rPr>
                <w:rFonts w:ascii="Arial Narrow" w:hAnsi="Arial Narrow" w:cs="Arial"/>
                <w:spacing w:val="0"/>
                <w:sz w:val="16"/>
                <w:szCs w:val="16"/>
                <w:lang w:eastAsia="es-CO"/>
              </w:rPr>
            </w:pPr>
            <w:r w:rsidRPr="00AD4E79">
              <w:rPr>
                <w:rFonts w:ascii="Arial Narrow" w:hAnsi="Arial Narrow" w:cs="Arial"/>
                <w:spacing w:val="0"/>
                <w:sz w:val="16"/>
                <w:szCs w:val="16"/>
                <w:lang w:eastAsia="es-CO"/>
              </w:rPr>
              <w:t>CENTRAL GAS SAS ESP</w:t>
            </w:r>
          </w:p>
        </w:tc>
        <w:tc>
          <w:tcPr>
            <w:tcW w:w="1262" w:type="dxa"/>
            <w:tcBorders>
              <w:top w:val="nil"/>
              <w:left w:val="nil"/>
              <w:bottom w:val="single" w:sz="8" w:space="0" w:color="auto"/>
              <w:right w:val="single" w:sz="8" w:space="0" w:color="auto"/>
            </w:tcBorders>
            <w:shd w:val="clear" w:color="auto" w:fill="auto"/>
            <w:vAlign w:val="center"/>
            <w:hideMark/>
          </w:tcPr>
          <w:p w14:paraId="689544B9"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OPERATIVA</w:t>
            </w:r>
          </w:p>
        </w:tc>
        <w:tc>
          <w:tcPr>
            <w:tcW w:w="2544" w:type="dxa"/>
            <w:tcBorders>
              <w:top w:val="nil"/>
              <w:left w:val="nil"/>
              <w:bottom w:val="single" w:sz="8" w:space="0" w:color="auto"/>
              <w:right w:val="single" w:sz="8" w:space="0" w:color="auto"/>
            </w:tcBorders>
            <w:shd w:val="clear" w:color="auto" w:fill="auto"/>
            <w:noWrap/>
            <w:vAlign w:val="center"/>
            <w:hideMark/>
          </w:tcPr>
          <w:p w14:paraId="417A5D86" w14:textId="77777777" w:rsidR="00E75BBE" w:rsidRPr="00AD4E79" w:rsidRDefault="00E75BBE" w:rsidP="00D22441">
            <w:pPr>
              <w:jc w:val="center"/>
              <w:rPr>
                <w:rFonts w:ascii="Arial Narrow" w:hAnsi="Arial Narrow" w:cs="Arial"/>
                <w:spacing w:val="0"/>
                <w:sz w:val="16"/>
                <w:szCs w:val="16"/>
                <w:lang w:eastAsia="es-CO"/>
              </w:rPr>
            </w:pPr>
            <w:r w:rsidRPr="00AD4E79">
              <w:rPr>
                <w:rFonts w:ascii="Arial Narrow" w:hAnsi="Arial Narrow" w:cs="Arial"/>
                <w:spacing w:val="0"/>
                <w:sz w:val="16"/>
                <w:szCs w:val="16"/>
                <w:lang w:eastAsia="es-CO"/>
              </w:rPr>
              <w:t>REPORTANTE SUI</w:t>
            </w:r>
          </w:p>
        </w:tc>
      </w:tr>
    </w:tbl>
    <w:p w14:paraId="16256060" w14:textId="77777777" w:rsidR="00E75BBE" w:rsidRDefault="00E75BBE" w:rsidP="00D22441">
      <w:pPr>
        <w:pStyle w:val="Textoindependiente"/>
        <w:spacing w:after="0" w:line="240" w:lineRule="auto"/>
        <w:ind w:right="142"/>
        <w:rPr>
          <w:rFonts w:cs="Arial"/>
          <w:sz w:val="22"/>
          <w:szCs w:val="22"/>
        </w:rPr>
      </w:pPr>
    </w:p>
    <w:p w14:paraId="79447201" w14:textId="6848EECE" w:rsidR="0085721C" w:rsidRPr="0085721C" w:rsidRDefault="00E14699" w:rsidP="00D22441">
      <w:pPr>
        <w:pStyle w:val="Subttulo"/>
        <w:numPr>
          <w:ilvl w:val="1"/>
          <w:numId w:val="37"/>
        </w:numPr>
        <w:spacing w:after="0"/>
        <w:ind w:left="357" w:hanging="357"/>
        <w:jc w:val="left"/>
        <w:rPr>
          <w:b/>
          <w:bCs/>
          <w:sz w:val="22"/>
          <w:szCs w:val="22"/>
        </w:rPr>
      </w:pPr>
      <w:bookmarkStart w:id="72" w:name="_Toc147154320"/>
      <w:r>
        <w:rPr>
          <w:b/>
          <w:bCs/>
          <w:sz w:val="22"/>
          <w:szCs w:val="22"/>
        </w:rPr>
        <w:t>PRESTADORES</w:t>
      </w:r>
      <w:r w:rsidR="0085721C" w:rsidRPr="0085721C">
        <w:rPr>
          <w:b/>
          <w:bCs/>
          <w:sz w:val="22"/>
          <w:szCs w:val="22"/>
        </w:rPr>
        <w:t xml:space="preserve"> </w:t>
      </w:r>
      <w:r w:rsidR="00F24035">
        <w:rPr>
          <w:b/>
          <w:bCs/>
          <w:sz w:val="22"/>
          <w:szCs w:val="22"/>
        </w:rPr>
        <w:t>MULTISERVICIOS</w:t>
      </w:r>
      <w:r w:rsidR="004E0F95">
        <w:rPr>
          <w:b/>
          <w:bCs/>
          <w:sz w:val="22"/>
          <w:szCs w:val="22"/>
        </w:rPr>
        <w:t xml:space="preserve"> REGULADOS POR LA CREG Y LA CRA.</w:t>
      </w:r>
      <w:bookmarkEnd w:id="72"/>
    </w:p>
    <w:p w14:paraId="51D68C85" w14:textId="3A617487" w:rsidR="0085721C" w:rsidRDefault="0085721C" w:rsidP="00D22441">
      <w:pPr>
        <w:pStyle w:val="Textoindependiente"/>
        <w:spacing w:after="0" w:line="240" w:lineRule="auto"/>
        <w:rPr>
          <w:rFonts w:cs="Arial"/>
          <w:color w:val="FF0000"/>
          <w:sz w:val="22"/>
          <w:szCs w:val="22"/>
        </w:rPr>
      </w:pPr>
    </w:p>
    <w:p w14:paraId="2A37471F" w14:textId="77777777" w:rsidR="00E8458B" w:rsidRDefault="00262AA6" w:rsidP="00E8458B">
      <w:pPr>
        <w:rPr>
          <w:sz w:val="22"/>
          <w:szCs w:val="22"/>
        </w:rPr>
      </w:pPr>
      <w:r w:rsidRPr="00EE18FB">
        <w:rPr>
          <w:sz w:val="22"/>
          <w:szCs w:val="22"/>
        </w:rPr>
        <w:t xml:space="preserve">La diferencia del número de prestadores multiservicios entre la SSPD (26) y la CREG (27) corresponde a la regulada: JUNTA DE SERVICIOS PUBLICOS DEL MUNICIPIO DEL CALVARIO, NIT 892099001, RUP 2722, que la SSPD no la tuvo en cuenta, aunque ésta se encuentra en la hoja de resumen de su libro Excel: Hoja-de-trabajo-prestadores-2023.xlsx, la cual hace parte de la resolución censo SSPD </w:t>
      </w:r>
      <w:proofErr w:type="spellStart"/>
      <w:r w:rsidRPr="00EE18FB">
        <w:rPr>
          <w:sz w:val="22"/>
          <w:szCs w:val="22"/>
        </w:rPr>
        <w:t>N°</w:t>
      </w:r>
      <w:proofErr w:type="spellEnd"/>
      <w:r w:rsidRPr="00EE18FB">
        <w:rPr>
          <w:sz w:val="22"/>
          <w:szCs w:val="22"/>
        </w:rPr>
        <w:t xml:space="preserve"> 20231000297335 de 2023. </w:t>
      </w:r>
    </w:p>
    <w:p w14:paraId="752EEF1A" w14:textId="77777777" w:rsidR="00E8458B" w:rsidRDefault="00E8458B" w:rsidP="00E8458B">
      <w:pPr>
        <w:rPr>
          <w:sz w:val="22"/>
          <w:szCs w:val="22"/>
        </w:rPr>
      </w:pPr>
    </w:p>
    <w:p w14:paraId="6E2A2DD4" w14:textId="5C73DC29" w:rsidR="00262AA6" w:rsidRDefault="00262AA6" w:rsidP="00E8458B">
      <w:pPr>
        <w:rPr>
          <w:rFonts w:cs="Arial"/>
          <w:sz w:val="22"/>
          <w:szCs w:val="22"/>
        </w:rPr>
      </w:pPr>
      <w:r w:rsidRPr="00EE18FB">
        <w:rPr>
          <w:sz w:val="22"/>
          <w:szCs w:val="22"/>
        </w:rPr>
        <w:t xml:space="preserve">Para efectos de la presente resolución, </w:t>
      </w:r>
      <w:r w:rsidR="00E8458B">
        <w:rPr>
          <w:rFonts w:cs="Arial"/>
          <w:sz w:val="22"/>
          <w:szCs w:val="22"/>
        </w:rPr>
        <w:t xml:space="preserve">base </w:t>
      </w:r>
      <w:r w:rsidR="00E8458B" w:rsidRPr="00BE7DAF">
        <w:rPr>
          <w:rFonts w:cs="Arial"/>
          <w:sz w:val="22"/>
          <w:szCs w:val="22"/>
        </w:rPr>
        <w:t xml:space="preserve">para </w:t>
      </w:r>
      <w:r w:rsidR="00E8458B">
        <w:rPr>
          <w:rFonts w:cs="Arial"/>
          <w:sz w:val="22"/>
          <w:szCs w:val="22"/>
        </w:rPr>
        <w:t xml:space="preserve">realizar </w:t>
      </w:r>
      <w:r w:rsidR="00E8458B" w:rsidRPr="00BE7DAF">
        <w:rPr>
          <w:rFonts w:cs="Arial"/>
          <w:sz w:val="22"/>
          <w:szCs w:val="22"/>
        </w:rPr>
        <w:t>el cálculo de la contribución de la vigencia 20</w:t>
      </w:r>
      <w:r w:rsidR="00E8458B">
        <w:rPr>
          <w:rFonts w:cs="Arial"/>
          <w:sz w:val="22"/>
          <w:szCs w:val="22"/>
        </w:rPr>
        <w:t xml:space="preserve">23, </w:t>
      </w:r>
      <w:r w:rsidRPr="00EE18FB">
        <w:rPr>
          <w:sz w:val="22"/>
          <w:szCs w:val="22"/>
        </w:rPr>
        <w:t>la CREG tendrá en cuenta</w:t>
      </w:r>
      <w:r w:rsidR="00E8458B">
        <w:rPr>
          <w:sz w:val="22"/>
          <w:szCs w:val="22"/>
        </w:rPr>
        <w:t xml:space="preserve"> </w:t>
      </w:r>
      <w:r w:rsidRPr="00EE18FB">
        <w:rPr>
          <w:sz w:val="22"/>
          <w:szCs w:val="22"/>
        </w:rPr>
        <w:t xml:space="preserve">27 </w:t>
      </w:r>
      <w:r w:rsidR="00E8458B">
        <w:rPr>
          <w:sz w:val="22"/>
          <w:szCs w:val="22"/>
        </w:rPr>
        <w:t xml:space="preserve">prestadores </w:t>
      </w:r>
      <w:r w:rsidRPr="00EE18FB">
        <w:rPr>
          <w:rFonts w:cs="Arial"/>
          <w:sz w:val="22"/>
          <w:szCs w:val="22"/>
        </w:rPr>
        <w:t>de dos o más servicios, que son del ámbito de regulación</w:t>
      </w:r>
      <w:r w:rsidR="00E8458B">
        <w:rPr>
          <w:rFonts w:cs="Arial"/>
          <w:sz w:val="22"/>
          <w:szCs w:val="22"/>
        </w:rPr>
        <w:t>, tanto</w:t>
      </w:r>
      <w:r w:rsidRPr="00EE18FB">
        <w:rPr>
          <w:rFonts w:cs="Arial"/>
          <w:sz w:val="22"/>
          <w:szCs w:val="22"/>
        </w:rPr>
        <w:t xml:space="preserve"> de la CREG como de la Comisión de Regulación de Agua Potable y Saneamiento Básico (CRA), </w:t>
      </w:r>
      <w:r>
        <w:rPr>
          <w:rFonts w:cs="Arial"/>
          <w:sz w:val="22"/>
          <w:szCs w:val="22"/>
        </w:rPr>
        <w:t>relaciona</w:t>
      </w:r>
      <w:r w:rsidR="00E8458B">
        <w:rPr>
          <w:rFonts w:cs="Arial"/>
          <w:sz w:val="22"/>
          <w:szCs w:val="22"/>
        </w:rPr>
        <w:t>dos</w:t>
      </w:r>
      <w:r>
        <w:rPr>
          <w:rFonts w:cs="Arial"/>
          <w:sz w:val="22"/>
          <w:szCs w:val="22"/>
        </w:rPr>
        <w:t xml:space="preserve"> a continuación</w:t>
      </w:r>
      <w:r w:rsidR="00E8458B">
        <w:rPr>
          <w:rFonts w:cs="Arial"/>
          <w:sz w:val="22"/>
          <w:szCs w:val="22"/>
        </w:rPr>
        <w:t xml:space="preserve">, </w:t>
      </w:r>
      <w:r>
        <w:rPr>
          <w:rFonts w:cs="Arial"/>
          <w:sz w:val="22"/>
          <w:szCs w:val="22"/>
        </w:rPr>
        <w:t xml:space="preserve">ordenados por el número de su NIT, </w:t>
      </w:r>
      <w:r w:rsidR="00E8458B">
        <w:rPr>
          <w:rFonts w:cs="Arial"/>
          <w:sz w:val="22"/>
          <w:szCs w:val="22"/>
        </w:rPr>
        <w:t>con</w:t>
      </w:r>
      <w:r>
        <w:rPr>
          <w:rFonts w:cs="Arial"/>
          <w:sz w:val="22"/>
          <w:szCs w:val="22"/>
        </w:rPr>
        <w:t xml:space="preserve"> su estado de reporte al SUI-SSPD con corte al 12 de julio de 2023:</w:t>
      </w:r>
    </w:p>
    <w:p w14:paraId="66CE83B4" w14:textId="77777777" w:rsidR="00FD7384" w:rsidRDefault="00FD7384" w:rsidP="00D22441">
      <w:pPr>
        <w:pStyle w:val="Textoindependiente"/>
        <w:spacing w:after="0" w:line="240" w:lineRule="auto"/>
        <w:rPr>
          <w:rFonts w:cs="Arial"/>
          <w:sz w:val="22"/>
          <w:szCs w:val="22"/>
        </w:rPr>
      </w:pPr>
    </w:p>
    <w:p w14:paraId="6164F63A" w14:textId="047474C9" w:rsidR="00FD7384" w:rsidRPr="00B24EC3" w:rsidRDefault="00FD7384" w:rsidP="00FD7384">
      <w:pPr>
        <w:pStyle w:val="Descripcin"/>
        <w:rPr>
          <w:i w:val="0"/>
          <w:iCs w:val="0"/>
          <w:color w:val="auto"/>
        </w:rPr>
      </w:pPr>
      <w:bookmarkStart w:id="73" w:name="_Toc145486441"/>
      <w:r w:rsidRPr="002C4392">
        <w:rPr>
          <w:i w:val="0"/>
          <w:iCs w:val="0"/>
          <w:color w:val="auto"/>
        </w:rPr>
        <w:t xml:space="preserve">Tabla </w:t>
      </w:r>
      <w:r w:rsidRPr="002C4392">
        <w:rPr>
          <w:i w:val="0"/>
          <w:iCs w:val="0"/>
          <w:color w:val="auto"/>
        </w:rPr>
        <w:fldChar w:fldCharType="begin"/>
      </w:r>
      <w:r w:rsidRPr="002C4392">
        <w:rPr>
          <w:i w:val="0"/>
          <w:iCs w:val="0"/>
          <w:color w:val="auto"/>
        </w:rPr>
        <w:instrText xml:space="preserve"> SEQ Tabla \* ARABIC </w:instrText>
      </w:r>
      <w:r w:rsidRPr="002C4392">
        <w:rPr>
          <w:i w:val="0"/>
          <w:iCs w:val="0"/>
          <w:color w:val="auto"/>
        </w:rPr>
        <w:fldChar w:fldCharType="separate"/>
      </w:r>
      <w:r>
        <w:rPr>
          <w:i w:val="0"/>
          <w:iCs w:val="0"/>
          <w:noProof/>
          <w:color w:val="auto"/>
        </w:rPr>
        <w:t>15</w:t>
      </w:r>
      <w:r w:rsidRPr="002C4392">
        <w:rPr>
          <w:i w:val="0"/>
          <w:iCs w:val="0"/>
          <w:color w:val="auto"/>
        </w:rPr>
        <w:fldChar w:fldCharType="end"/>
      </w:r>
      <w:r w:rsidRPr="002C4392">
        <w:rPr>
          <w:i w:val="0"/>
          <w:iCs w:val="0"/>
          <w:color w:val="auto"/>
        </w:rPr>
        <w:t xml:space="preserve">. </w:t>
      </w:r>
      <w:r>
        <w:rPr>
          <w:i w:val="0"/>
          <w:iCs w:val="0"/>
          <w:color w:val="auto"/>
        </w:rPr>
        <w:t>Estado de reporte SUI información financiera 2022 prestadores multiservicio.</w:t>
      </w:r>
      <w:bookmarkEnd w:id="73"/>
    </w:p>
    <w:tbl>
      <w:tblPr>
        <w:tblW w:w="9351" w:type="dxa"/>
        <w:tblCellMar>
          <w:left w:w="70" w:type="dxa"/>
          <w:right w:w="70" w:type="dxa"/>
        </w:tblCellMar>
        <w:tblLook w:val="04A0" w:firstRow="1" w:lastRow="0" w:firstColumn="1" w:lastColumn="0" w:noHBand="0" w:noVBand="1"/>
      </w:tblPr>
      <w:tblGrid>
        <w:gridCol w:w="523"/>
        <w:gridCol w:w="1030"/>
        <w:gridCol w:w="363"/>
        <w:gridCol w:w="585"/>
        <w:gridCol w:w="4298"/>
        <w:gridCol w:w="2552"/>
      </w:tblGrid>
      <w:tr w:rsidR="00AD4E79" w:rsidRPr="00AD4E79" w14:paraId="19D2BC2F" w14:textId="77777777" w:rsidTr="00AD4E79">
        <w:trPr>
          <w:trHeight w:val="679"/>
          <w:tblHeader/>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46750A" w14:textId="77777777" w:rsidR="00EE18FB" w:rsidRPr="00AD4E79" w:rsidRDefault="00EE18FB" w:rsidP="00D22441">
            <w:pPr>
              <w:jc w:val="center"/>
              <w:rPr>
                <w:rFonts w:ascii="Arial Narrow" w:hAnsi="Arial Narrow" w:cs="Arial"/>
                <w:b/>
                <w:bCs/>
                <w:spacing w:val="0"/>
                <w:sz w:val="16"/>
                <w:szCs w:val="16"/>
                <w:lang w:val="es-MX" w:eastAsia="es-MX"/>
              </w:rPr>
            </w:pPr>
            <w:r w:rsidRPr="00AD4E79">
              <w:rPr>
                <w:rFonts w:ascii="Arial Narrow" w:hAnsi="Arial Narrow" w:cs="Arial"/>
                <w:b/>
                <w:bCs/>
                <w:spacing w:val="0"/>
                <w:sz w:val="16"/>
                <w:szCs w:val="16"/>
                <w:lang w:val="es-MX" w:eastAsia="es-MX"/>
              </w:rPr>
              <w:t>ITEM</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14:paraId="2504CE56" w14:textId="77777777" w:rsidR="00EE18FB" w:rsidRPr="00AD4E79" w:rsidRDefault="00EE18FB" w:rsidP="00D22441">
            <w:pPr>
              <w:jc w:val="center"/>
              <w:rPr>
                <w:rFonts w:ascii="Arial Narrow" w:hAnsi="Arial Narrow" w:cs="Arial"/>
                <w:b/>
                <w:bCs/>
                <w:spacing w:val="0"/>
                <w:sz w:val="16"/>
                <w:szCs w:val="16"/>
                <w:lang w:val="es-MX" w:eastAsia="es-MX"/>
              </w:rPr>
            </w:pPr>
            <w:r w:rsidRPr="00AD4E79">
              <w:rPr>
                <w:rFonts w:ascii="Arial Narrow" w:hAnsi="Arial Narrow" w:cs="Arial"/>
                <w:b/>
                <w:bCs/>
                <w:spacing w:val="0"/>
                <w:sz w:val="16"/>
                <w:szCs w:val="16"/>
                <w:lang w:val="es-MX" w:eastAsia="es-MX"/>
              </w:rPr>
              <w:t>NIT</w:t>
            </w:r>
          </w:p>
        </w:tc>
        <w:tc>
          <w:tcPr>
            <w:tcW w:w="363" w:type="dxa"/>
            <w:tcBorders>
              <w:top w:val="single" w:sz="4" w:space="0" w:color="auto"/>
              <w:left w:val="nil"/>
              <w:bottom w:val="single" w:sz="4" w:space="0" w:color="auto"/>
              <w:right w:val="single" w:sz="4" w:space="0" w:color="auto"/>
            </w:tcBorders>
            <w:shd w:val="clear" w:color="auto" w:fill="auto"/>
            <w:vAlign w:val="center"/>
            <w:hideMark/>
          </w:tcPr>
          <w:p w14:paraId="446C7A94" w14:textId="77777777" w:rsidR="00EE18FB" w:rsidRPr="00AD4E79" w:rsidRDefault="00EE18FB" w:rsidP="00D22441">
            <w:pPr>
              <w:jc w:val="center"/>
              <w:rPr>
                <w:rFonts w:ascii="Arial Narrow" w:hAnsi="Arial Narrow" w:cs="Arial"/>
                <w:b/>
                <w:bCs/>
                <w:spacing w:val="0"/>
                <w:sz w:val="16"/>
                <w:szCs w:val="16"/>
                <w:lang w:val="es-MX" w:eastAsia="es-MX"/>
              </w:rPr>
            </w:pPr>
            <w:r w:rsidRPr="00AD4E79">
              <w:rPr>
                <w:rFonts w:ascii="Arial Narrow" w:hAnsi="Arial Narrow" w:cs="Arial"/>
                <w:b/>
                <w:bCs/>
                <w:spacing w:val="0"/>
                <w:sz w:val="16"/>
                <w:szCs w:val="16"/>
                <w:lang w:val="es-MX" w:eastAsia="es-MX"/>
              </w:rPr>
              <w:t>DV</w:t>
            </w:r>
          </w:p>
        </w:tc>
        <w:tc>
          <w:tcPr>
            <w:tcW w:w="585" w:type="dxa"/>
            <w:tcBorders>
              <w:top w:val="single" w:sz="4" w:space="0" w:color="auto"/>
              <w:left w:val="nil"/>
              <w:bottom w:val="single" w:sz="4" w:space="0" w:color="auto"/>
              <w:right w:val="single" w:sz="4" w:space="0" w:color="auto"/>
            </w:tcBorders>
            <w:shd w:val="clear" w:color="auto" w:fill="auto"/>
            <w:vAlign w:val="center"/>
            <w:hideMark/>
          </w:tcPr>
          <w:p w14:paraId="10A76898" w14:textId="77777777" w:rsidR="00EE18FB" w:rsidRPr="00AD4E79" w:rsidRDefault="00EE18FB" w:rsidP="00D22441">
            <w:pPr>
              <w:jc w:val="center"/>
              <w:rPr>
                <w:rFonts w:ascii="Arial Narrow" w:hAnsi="Arial Narrow" w:cs="Arial"/>
                <w:b/>
                <w:bCs/>
                <w:spacing w:val="0"/>
                <w:sz w:val="16"/>
                <w:szCs w:val="16"/>
                <w:lang w:val="es-MX" w:eastAsia="es-MX"/>
              </w:rPr>
            </w:pPr>
            <w:r w:rsidRPr="00AD4E79">
              <w:rPr>
                <w:rFonts w:ascii="Arial Narrow" w:hAnsi="Arial Narrow" w:cs="Arial"/>
                <w:b/>
                <w:bCs/>
                <w:spacing w:val="0"/>
                <w:sz w:val="16"/>
                <w:szCs w:val="16"/>
                <w:lang w:val="es-MX" w:eastAsia="es-MX"/>
              </w:rPr>
              <w:t>RUP</w:t>
            </w:r>
          </w:p>
        </w:tc>
        <w:tc>
          <w:tcPr>
            <w:tcW w:w="4298" w:type="dxa"/>
            <w:tcBorders>
              <w:top w:val="single" w:sz="4" w:space="0" w:color="auto"/>
              <w:left w:val="nil"/>
              <w:bottom w:val="single" w:sz="4" w:space="0" w:color="auto"/>
              <w:right w:val="single" w:sz="4" w:space="0" w:color="auto"/>
            </w:tcBorders>
            <w:shd w:val="clear" w:color="auto" w:fill="auto"/>
            <w:vAlign w:val="center"/>
            <w:hideMark/>
          </w:tcPr>
          <w:p w14:paraId="0164471F" w14:textId="14878A50" w:rsidR="00EE18FB" w:rsidRPr="00AD4E79" w:rsidRDefault="00D1664E" w:rsidP="00D22441">
            <w:pPr>
              <w:jc w:val="center"/>
              <w:rPr>
                <w:rFonts w:ascii="Arial Narrow" w:hAnsi="Arial Narrow" w:cs="Arial"/>
                <w:b/>
                <w:bCs/>
                <w:spacing w:val="0"/>
                <w:sz w:val="16"/>
                <w:szCs w:val="16"/>
                <w:lang w:val="es-MX" w:eastAsia="es-MX"/>
              </w:rPr>
            </w:pPr>
            <w:r w:rsidRPr="00AD4E79">
              <w:rPr>
                <w:rFonts w:ascii="Arial Narrow" w:hAnsi="Arial Narrow" w:cs="Arial"/>
                <w:b/>
                <w:bCs/>
                <w:spacing w:val="0"/>
                <w:sz w:val="16"/>
                <w:szCs w:val="16"/>
                <w:lang w:val="es-MX" w:eastAsia="es-MX"/>
              </w:rPr>
              <w:t>RAZÓN SOCIAL</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7F0910B4" w14:textId="77777777" w:rsidR="00EE18FB" w:rsidRPr="00AD4E79" w:rsidRDefault="00EE18FB" w:rsidP="00D22441">
            <w:pPr>
              <w:jc w:val="center"/>
              <w:rPr>
                <w:rFonts w:ascii="Arial Narrow" w:hAnsi="Arial Narrow" w:cs="Calibri"/>
                <w:b/>
                <w:bCs/>
                <w:spacing w:val="0"/>
                <w:sz w:val="16"/>
                <w:szCs w:val="16"/>
                <w:lang w:val="es-MX" w:eastAsia="es-MX"/>
              </w:rPr>
            </w:pPr>
            <w:r w:rsidRPr="00AD4E79">
              <w:rPr>
                <w:rFonts w:ascii="Arial Narrow" w:hAnsi="Arial Narrow" w:cs="Calibri"/>
                <w:b/>
                <w:bCs/>
                <w:spacing w:val="0"/>
                <w:sz w:val="16"/>
                <w:szCs w:val="16"/>
                <w:lang w:val="es-MX" w:eastAsia="es-MX"/>
              </w:rPr>
              <w:t>ESTADO DE REPORTE</w:t>
            </w:r>
            <w:r w:rsidRPr="00AD4E79">
              <w:rPr>
                <w:rFonts w:ascii="Arial Narrow" w:hAnsi="Arial Narrow" w:cs="Calibri"/>
                <w:b/>
                <w:bCs/>
                <w:spacing w:val="0"/>
                <w:sz w:val="16"/>
                <w:szCs w:val="16"/>
                <w:lang w:val="es-MX" w:eastAsia="es-MX"/>
              </w:rPr>
              <w:br/>
              <w:t>SUI-SSPD</w:t>
            </w:r>
            <w:r w:rsidRPr="00AD4E79">
              <w:rPr>
                <w:rFonts w:ascii="Arial Narrow" w:hAnsi="Arial Narrow" w:cs="Calibri"/>
                <w:b/>
                <w:bCs/>
                <w:spacing w:val="0"/>
                <w:sz w:val="16"/>
                <w:szCs w:val="16"/>
                <w:lang w:val="es-MX" w:eastAsia="es-MX"/>
              </w:rPr>
              <w:br/>
              <w:t>INFORMACIÓN FINANCIERA 2022</w:t>
            </w:r>
          </w:p>
        </w:tc>
      </w:tr>
      <w:tr w:rsidR="00AD4E79" w:rsidRPr="00AD4E79" w14:paraId="756749DB" w14:textId="77777777" w:rsidTr="00AD4E79">
        <w:trPr>
          <w:trHeight w:val="290"/>
        </w:trPr>
        <w:tc>
          <w:tcPr>
            <w:tcW w:w="523" w:type="dxa"/>
            <w:tcBorders>
              <w:top w:val="nil"/>
              <w:left w:val="single" w:sz="4" w:space="0" w:color="auto"/>
              <w:bottom w:val="single" w:sz="4" w:space="0" w:color="auto"/>
              <w:right w:val="single" w:sz="4" w:space="0" w:color="auto"/>
            </w:tcBorders>
            <w:shd w:val="clear" w:color="auto" w:fill="auto"/>
            <w:vAlign w:val="center"/>
            <w:hideMark/>
          </w:tcPr>
          <w:p w14:paraId="448A2094" w14:textId="77777777" w:rsidR="00EE18FB" w:rsidRPr="00AD4E79" w:rsidRDefault="00EE18FB" w:rsidP="00D22441">
            <w:pPr>
              <w:jc w:val="center"/>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1</w:t>
            </w:r>
          </w:p>
        </w:tc>
        <w:tc>
          <w:tcPr>
            <w:tcW w:w="1030" w:type="dxa"/>
            <w:tcBorders>
              <w:top w:val="nil"/>
              <w:left w:val="nil"/>
              <w:bottom w:val="single" w:sz="4" w:space="0" w:color="auto"/>
              <w:right w:val="single" w:sz="4" w:space="0" w:color="auto"/>
            </w:tcBorders>
            <w:shd w:val="clear" w:color="auto" w:fill="auto"/>
            <w:vAlign w:val="center"/>
            <w:hideMark/>
          </w:tcPr>
          <w:p w14:paraId="0210AEE0" w14:textId="77777777" w:rsidR="00EE18FB" w:rsidRPr="00AD4E79" w:rsidRDefault="00EE18FB" w:rsidP="00D22441">
            <w:pPr>
              <w:jc w:val="center"/>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800.063.823</w:t>
            </w:r>
          </w:p>
        </w:tc>
        <w:tc>
          <w:tcPr>
            <w:tcW w:w="363" w:type="dxa"/>
            <w:tcBorders>
              <w:top w:val="nil"/>
              <w:left w:val="nil"/>
              <w:bottom w:val="single" w:sz="4" w:space="0" w:color="auto"/>
              <w:right w:val="single" w:sz="4" w:space="0" w:color="auto"/>
            </w:tcBorders>
            <w:shd w:val="clear" w:color="auto" w:fill="auto"/>
            <w:vAlign w:val="center"/>
            <w:hideMark/>
          </w:tcPr>
          <w:p w14:paraId="55118A6F" w14:textId="77777777" w:rsidR="00EE18FB" w:rsidRPr="00AD4E79" w:rsidRDefault="00EE18FB" w:rsidP="00D22441">
            <w:pPr>
              <w:jc w:val="center"/>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7</w:t>
            </w:r>
          </w:p>
        </w:tc>
        <w:tc>
          <w:tcPr>
            <w:tcW w:w="585" w:type="dxa"/>
            <w:tcBorders>
              <w:top w:val="nil"/>
              <w:left w:val="nil"/>
              <w:bottom w:val="single" w:sz="4" w:space="0" w:color="auto"/>
              <w:right w:val="single" w:sz="4" w:space="0" w:color="auto"/>
            </w:tcBorders>
            <w:shd w:val="clear" w:color="auto" w:fill="auto"/>
            <w:vAlign w:val="center"/>
            <w:hideMark/>
          </w:tcPr>
          <w:p w14:paraId="1CF8B3F9" w14:textId="77777777" w:rsidR="00EE18FB" w:rsidRPr="00AD4E79" w:rsidRDefault="00EE18FB" w:rsidP="00D22441">
            <w:pPr>
              <w:jc w:val="center"/>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330</w:t>
            </w:r>
          </w:p>
        </w:tc>
        <w:tc>
          <w:tcPr>
            <w:tcW w:w="4298" w:type="dxa"/>
            <w:tcBorders>
              <w:top w:val="nil"/>
              <w:left w:val="nil"/>
              <w:bottom w:val="single" w:sz="4" w:space="0" w:color="auto"/>
              <w:right w:val="single" w:sz="4" w:space="0" w:color="auto"/>
            </w:tcBorders>
            <w:shd w:val="clear" w:color="auto" w:fill="auto"/>
            <w:vAlign w:val="center"/>
            <w:hideMark/>
          </w:tcPr>
          <w:p w14:paraId="0C1D144D" w14:textId="77777777" w:rsidR="00EE18FB" w:rsidRPr="00AD4E79" w:rsidRDefault="00EE18FB" w:rsidP="00D22441">
            <w:pPr>
              <w:jc w:val="left"/>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EMPRESAS PÚBLICAS DEL QUINDIO S.A.   E.S.P.</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A09454" w14:textId="7DD722C1" w:rsidR="00EE18FB" w:rsidRPr="00AD4E79" w:rsidRDefault="00EE18FB" w:rsidP="00D22441">
            <w:pPr>
              <w:jc w:val="center"/>
              <w:rPr>
                <w:rFonts w:ascii="Arial Narrow" w:hAnsi="Arial Narrow" w:cs="Calibri"/>
                <w:spacing w:val="0"/>
                <w:sz w:val="16"/>
                <w:szCs w:val="16"/>
                <w:lang w:val="es-MX" w:eastAsia="es-MX"/>
              </w:rPr>
            </w:pPr>
            <w:r w:rsidRPr="00AD4E79">
              <w:rPr>
                <w:rFonts w:ascii="Arial Narrow" w:hAnsi="Arial Narrow" w:cs="Calibri"/>
                <w:spacing w:val="0"/>
                <w:sz w:val="16"/>
                <w:szCs w:val="16"/>
                <w:lang w:val="es-MX" w:eastAsia="es-MX"/>
              </w:rPr>
              <w:t>REPORT</w:t>
            </w:r>
            <w:r w:rsidR="00273A63" w:rsidRPr="00AD4E79">
              <w:rPr>
                <w:rFonts w:ascii="Arial Narrow" w:hAnsi="Arial Narrow" w:cs="Calibri"/>
                <w:spacing w:val="0"/>
                <w:sz w:val="16"/>
                <w:szCs w:val="16"/>
                <w:lang w:val="es-MX" w:eastAsia="es-MX"/>
              </w:rPr>
              <w:t>ANTE SUI</w:t>
            </w:r>
          </w:p>
        </w:tc>
      </w:tr>
      <w:tr w:rsidR="00AD4E79" w:rsidRPr="00AD4E79" w14:paraId="0408ADB6" w14:textId="77777777" w:rsidTr="00AD4E79">
        <w:trPr>
          <w:trHeight w:val="290"/>
        </w:trPr>
        <w:tc>
          <w:tcPr>
            <w:tcW w:w="523" w:type="dxa"/>
            <w:tcBorders>
              <w:top w:val="nil"/>
              <w:left w:val="single" w:sz="4" w:space="0" w:color="auto"/>
              <w:bottom w:val="single" w:sz="4" w:space="0" w:color="auto"/>
              <w:right w:val="single" w:sz="4" w:space="0" w:color="auto"/>
            </w:tcBorders>
            <w:shd w:val="clear" w:color="auto" w:fill="auto"/>
            <w:vAlign w:val="center"/>
            <w:hideMark/>
          </w:tcPr>
          <w:p w14:paraId="1689539E" w14:textId="77777777" w:rsidR="00EE18FB" w:rsidRPr="00AD4E79" w:rsidRDefault="00EE18FB" w:rsidP="00D22441">
            <w:pPr>
              <w:jc w:val="center"/>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2</w:t>
            </w:r>
          </w:p>
        </w:tc>
        <w:tc>
          <w:tcPr>
            <w:tcW w:w="1030" w:type="dxa"/>
            <w:tcBorders>
              <w:top w:val="nil"/>
              <w:left w:val="nil"/>
              <w:bottom w:val="single" w:sz="4" w:space="0" w:color="auto"/>
              <w:right w:val="single" w:sz="4" w:space="0" w:color="auto"/>
            </w:tcBorders>
            <w:shd w:val="clear" w:color="auto" w:fill="auto"/>
            <w:vAlign w:val="center"/>
            <w:hideMark/>
          </w:tcPr>
          <w:p w14:paraId="2D598E05" w14:textId="77777777" w:rsidR="00EE18FB" w:rsidRPr="00AD4E79" w:rsidRDefault="00EE18FB" w:rsidP="00D22441">
            <w:pPr>
              <w:jc w:val="center"/>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800.070.375</w:t>
            </w:r>
          </w:p>
        </w:tc>
        <w:tc>
          <w:tcPr>
            <w:tcW w:w="363" w:type="dxa"/>
            <w:tcBorders>
              <w:top w:val="nil"/>
              <w:left w:val="nil"/>
              <w:bottom w:val="single" w:sz="4" w:space="0" w:color="auto"/>
              <w:right w:val="single" w:sz="4" w:space="0" w:color="auto"/>
            </w:tcBorders>
            <w:shd w:val="clear" w:color="auto" w:fill="auto"/>
            <w:vAlign w:val="center"/>
            <w:hideMark/>
          </w:tcPr>
          <w:p w14:paraId="5FAA2371" w14:textId="77777777" w:rsidR="00EE18FB" w:rsidRPr="00AD4E79" w:rsidRDefault="00EE18FB" w:rsidP="00D22441">
            <w:pPr>
              <w:jc w:val="center"/>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8</w:t>
            </w:r>
          </w:p>
        </w:tc>
        <w:tc>
          <w:tcPr>
            <w:tcW w:w="585" w:type="dxa"/>
            <w:tcBorders>
              <w:top w:val="nil"/>
              <w:left w:val="nil"/>
              <w:bottom w:val="single" w:sz="4" w:space="0" w:color="auto"/>
              <w:right w:val="single" w:sz="4" w:space="0" w:color="auto"/>
            </w:tcBorders>
            <w:shd w:val="clear" w:color="auto" w:fill="auto"/>
            <w:vAlign w:val="center"/>
            <w:hideMark/>
          </w:tcPr>
          <w:p w14:paraId="1D1E86C9" w14:textId="77777777" w:rsidR="00EE18FB" w:rsidRPr="00AD4E79" w:rsidRDefault="00EE18FB" w:rsidP="00D22441">
            <w:pPr>
              <w:jc w:val="center"/>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22042</w:t>
            </w:r>
          </w:p>
        </w:tc>
        <w:tc>
          <w:tcPr>
            <w:tcW w:w="4298" w:type="dxa"/>
            <w:tcBorders>
              <w:top w:val="nil"/>
              <w:left w:val="nil"/>
              <w:bottom w:val="single" w:sz="4" w:space="0" w:color="auto"/>
              <w:right w:val="single" w:sz="4" w:space="0" w:color="auto"/>
            </w:tcBorders>
            <w:shd w:val="clear" w:color="auto" w:fill="auto"/>
            <w:vAlign w:val="center"/>
            <w:hideMark/>
          </w:tcPr>
          <w:p w14:paraId="3725939A" w14:textId="77777777" w:rsidR="00EE18FB" w:rsidRPr="00AD4E79" w:rsidRDefault="00EE18FB" w:rsidP="00D22441">
            <w:pPr>
              <w:jc w:val="left"/>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MUNICIPIO DE BOJAYA</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9C58D5" w14:textId="0CA6BFEB" w:rsidR="00EE18FB" w:rsidRPr="00AD4E79" w:rsidRDefault="00EE18FB" w:rsidP="00D22441">
            <w:pPr>
              <w:jc w:val="center"/>
              <w:rPr>
                <w:rFonts w:ascii="Arial Narrow" w:hAnsi="Arial Narrow" w:cs="Calibri"/>
                <w:spacing w:val="0"/>
                <w:sz w:val="16"/>
                <w:szCs w:val="16"/>
                <w:lang w:val="es-MX" w:eastAsia="es-MX"/>
              </w:rPr>
            </w:pPr>
            <w:r w:rsidRPr="00AD4E79">
              <w:rPr>
                <w:rFonts w:ascii="Arial Narrow" w:hAnsi="Arial Narrow" w:cs="Calibri"/>
                <w:spacing w:val="0"/>
                <w:sz w:val="16"/>
                <w:szCs w:val="16"/>
                <w:lang w:val="es-MX" w:eastAsia="es-MX"/>
              </w:rPr>
              <w:t>SIN REPORTE</w:t>
            </w:r>
            <w:r w:rsidR="00273A63" w:rsidRPr="00AD4E79">
              <w:rPr>
                <w:rFonts w:ascii="Arial Narrow" w:hAnsi="Arial Narrow" w:cs="Calibri"/>
                <w:spacing w:val="0"/>
                <w:sz w:val="16"/>
                <w:szCs w:val="16"/>
                <w:lang w:val="es-MX" w:eastAsia="es-MX"/>
              </w:rPr>
              <w:t xml:space="preserve"> AL SUI</w:t>
            </w:r>
          </w:p>
        </w:tc>
      </w:tr>
      <w:tr w:rsidR="00AD4E79" w:rsidRPr="00AD4E79" w14:paraId="435F27EB" w14:textId="77777777" w:rsidTr="00AD4E79">
        <w:trPr>
          <w:trHeight w:val="290"/>
        </w:trPr>
        <w:tc>
          <w:tcPr>
            <w:tcW w:w="523" w:type="dxa"/>
            <w:tcBorders>
              <w:top w:val="nil"/>
              <w:left w:val="single" w:sz="4" w:space="0" w:color="auto"/>
              <w:bottom w:val="single" w:sz="4" w:space="0" w:color="auto"/>
              <w:right w:val="single" w:sz="4" w:space="0" w:color="auto"/>
            </w:tcBorders>
            <w:shd w:val="clear" w:color="auto" w:fill="auto"/>
            <w:vAlign w:val="center"/>
            <w:hideMark/>
          </w:tcPr>
          <w:p w14:paraId="5BFCD9C9" w14:textId="77777777" w:rsidR="00273A63" w:rsidRPr="00AD4E79" w:rsidRDefault="00273A63" w:rsidP="00D22441">
            <w:pPr>
              <w:jc w:val="center"/>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3</w:t>
            </w:r>
          </w:p>
        </w:tc>
        <w:tc>
          <w:tcPr>
            <w:tcW w:w="1030" w:type="dxa"/>
            <w:tcBorders>
              <w:top w:val="nil"/>
              <w:left w:val="nil"/>
              <w:bottom w:val="single" w:sz="4" w:space="0" w:color="auto"/>
              <w:right w:val="single" w:sz="4" w:space="0" w:color="auto"/>
            </w:tcBorders>
            <w:shd w:val="clear" w:color="auto" w:fill="auto"/>
            <w:vAlign w:val="center"/>
            <w:hideMark/>
          </w:tcPr>
          <w:p w14:paraId="0E3BD67B" w14:textId="77777777" w:rsidR="00273A63" w:rsidRPr="00AD4E79" w:rsidRDefault="00273A63" w:rsidP="00D22441">
            <w:pPr>
              <w:jc w:val="center"/>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800.103.198</w:t>
            </w:r>
          </w:p>
        </w:tc>
        <w:tc>
          <w:tcPr>
            <w:tcW w:w="363" w:type="dxa"/>
            <w:tcBorders>
              <w:top w:val="nil"/>
              <w:left w:val="nil"/>
              <w:bottom w:val="single" w:sz="4" w:space="0" w:color="auto"/>
              <w:right w:val="single" w:sz="4" w:space="0" w:color="auto"/>
            </w:tcBorders>
            <w:shd w:val="clear" w:color="auto" w:fill="auto"/>
            <w:vAlign w:val="center"/>
            <w:hideMark/>
          </w:tcPr>
          <w:p w14:paraId="289FD3B9" w14:textId="77777777" w:rsidR="00273A63" w:rsidRPr="00AD4E79" w:rsidRDefault="00273A63" w:rsidP="00D22441">
            <w:pPr>
              <w:jc w:val="center"/>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4</w:t>
            </w:r>
          </w:p>
        </w:tc>
        <w:tc>
          <w:tcPr>
            <w:tcW w:w="585" w:type="dxa"/>
            <w:tcBorders>
              <w:top w:val="nil"/>
              <w:left w:val="nil"/>
              <w:bottom w:val="single" w:sz="4" w:space="0" w:color="auto"/>
              <w:right w:val="single" w:sz="4" w:space="0" w:color="auto"/>
            </w:tcBorders>
            <w:shd w:val="clear" w:color="auto" w:fill="auto"/>
            <w:vAlign w:val="center"/>
            <w:hideMark/>
          </w:tcPr>
          <w:p w14:paraId="168A2C0A" w14:textId="77777777" w:rsidR="00273A63" w:rsidRPr="00AD4E79" w:rsidRDefault="00273A63" w:rsidP="00D22441">
            <w:pPr>
              <w:jc w:val="center"/>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2994</w:t>
            </w:r>
          </w:p>
        </w:tc>
        <w:tc>
          <w:tcPr>
            <w:tcW w:w="4298" w:type="dxa"/>
            <w:tcBorders>
              <w:top w:val="nil"/>
              <w:left w:val="nil"/>
              <w:bottom w:val="single" w:sz="4" w:space="0" w:color="auto"/>
              <w:right w:val="single" w:sz="4" w:space="0" w:color="auto"/>
            </w:tcBorders>
            <w:shd w:val="clear" w:color="auto" w:fill="auto"/>
            <w:vAlign w:val="center"/>
            <w:hideMark/>
          </w:tcPr>
          <w:p w14:paraId="4DC82837" w14:textId="77777777" w:rsidR="00273A63" w:rsidRPr="00AD4E79" w:rsidRDefault="00273A63" w:rsidP="00D22441">
            <w:pPr>
              <w:jc w:val="left"/>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MUNICIPIO DE MIRAFLORES GUAVIARE</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BBA2BF" w14:textId="108BF980" w:rsidR="00273A63" w:rsidRPr="00AD4E79" w:rsidRDefault="00273A63" w:rsidP="00D22441">
            <w:pPr>
              <w:jc w:val="center"/>
              <w:rPr>
                <w:rFonts w:ascii="Arial Narrow" w:hAnsi="Arial Narrow" w:cs="Calibri"/>
                <w:spacing w:val="0"/>
                <w:sz w:val="16"/>
                <w:szCs w:val="16"/>
                <w:lang w:val="es-MX" w:eastAsia="es-MX"/>
              </w:rPr>
            </w:pPr>
            <w:r w:rsidRPr="00AD4E79">
              <w:rPr>
                <w:rFonts w:ascii="Arial Narrow" w:hAnsi="Arial Narrow" w:cs="Calibri"/>
                <w:spacing w:val="0"/>
                <w:sz w:val="16"/>
                <w:szCs w:val="16"/>
                <w:lang w:val="es-MX" w:eastAsia="es-MX"/>
              </w:rPr>
              <w:t>SIN REPORTE AL SUI</w:t>
            </w:r>
          </w:p>
        </w:tc>
      </w:tr>
      <w:tr w:rsidR="00AD4E79" w:rsidRPr="00AD4E79" w14:paraId="2755C360" w14:textId="77777777" w:rsidTr="00AD4E79">
        <w:trPr>
          <w:trHeight w:val="290"/>
        </w:trPr>
        <w:tc>
          <w:tcPr>
            <w:tcW w:w="523" w:type="dxa"/>
            <w:tcBorders>
              <w:top w:val="nil"/>
              <w:left w:val="single" w:sz="4" w:space="0" w:color="auto"/>
              <w:bottom w:val="single" w:sz="4" w:space="0" w:color="auto"/>
              <w:right w:val="single" w:sz="4" w:space="0" w:color="auto"/>
            </w:tcBorders>
            <w:shd w:val="clear" w:color="auto" w:fill="auto"/>
            <w:vAlign w:val="center"/>
            <w:hideMark/>
          </w:tcPr>
          <w:p w14:paraId="348B347E" w14:textId="77777777" w:rsidR="00273A63" w:rsidRPr="00AD4E79" w:rsidRDefault="00273A63" w:rsidP="00D22441">
            <w:pPr>
              <w:jc w:val="center"/>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lastRenderedPageBreak/>
              <w:t>4</w:t>
            </w:r>
          </w:p>
        </w:tc>
        <w:tc>
          <w:tcPr>
            <w:tcW w:w="1030" w:type="dxa"/>
            <w:tcBorders>
              <w:top w:val="nil"/>
              <w:left w:val="nil"/>
              <w:bottom w:val="single" w:sz="4" w:space="0" w:color="auto"/>
              <w:right w:val="single" w:sz="4" w:space="0" w:color="auto"/>
            </w:tcBorders>
            <w:shd w:val="clear" w:color="auto" w:fill="auto"/>
            <w:vAlign w:val="center"/>
            <w:hideMark/>
          </w:tcPr>
          <w:p w14:paraId="5B69A29C" w14:textId="77777777" w:rsidR="00273A63" w:rsidRPr="00AD4E79" w:rsidRDefault="00273A63" w:rsidP="00D22441">
            <w:pPr>
              <w:jc w:val="center"/>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800.152.294</w:t>
            </w:r>
          </w:p>
        </w:tc>
        <w:tc>
          <w:tcPr>
            <w:tcW w:w="363" w:type="dxa"/>
            <w:tcBorders>
              <w:top w:val="nil"/>
              <w:left w:val="nil"/>
              <w:bottom w:val="single" w:sz="4" w:space="0" w:color="auto"/>
              <w:right w:val="single" w:sz="4" w:space="0" w:color="auto"/>
            </w:tcBorders>
            <w:shd w:val="clear" w:color="auto" w:fill="auto"/>
            <w:vAlign w:val="center"/>
            <w:hideMark/>
          </w:tcPr>
          <w:p w14:paraId="7E901688" w14:textId="77777777" w:rsidR="00273A63" w:rsidRPr="00AD4E79" w:rsidRDefault="00273A63" w:rsidP="00D22441">
            <w:pPr>
              <w:jc w:val="center"/>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2</w:t>
            </w:r>
          </w:p>
        </w:tc>
        <w:tc>
          <w:tcPr>
            <w:tcW w:w="585" w:type="dxa"/>
            <w:tcBorders>
              <w:top w:val="nil"/>
              <w:left w:val="nil"/>
              <w:bottom w:val="single" w:sz="4" w:space="0" w:color="auto"/>
              <w:right w:val="single" w:sz="4" w:space="0" w:color="auto"/>
            </w:tcBorders>
            <w:shd w:val="clear" w:color="auto" w:fill="auto"/>
            <w:vAlign w:val="center"/>
            <w:hideMark/>
          </w:tcPr>
          <w:p w14:paraId="78BD53C4" w14:textId="77777777" w:rsidR="00273A63" w:rsidRPr="00AD4E79" w:rsidRDefault="00273A63" w:rsidP="00D22441">
            <w:pPr>
              <w:jc w:val="center"/>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582</w:t>
            </w:r>
          </w:p>
        </w:tc>
        <w:tc>
          <w:tcPr>
            <w:tcW w:w="4298" w:type="dxa"/>
            <w:tcBorders>
              <w:top w:val="nil"/>
              <w:left w:val="nil"/>
              <w:bottom w:val="single" w:sz="4" w:space="0" w:color="auto"/>
              <w:right w:val="single" w:sz="4" w:space="0" w:color="auto"/>
            </w:tcBorders>
            <w:shd w:val="clear" w:color="auto" w:fill="auto"/>
            <w:vAlign w:val="center"/>
            <w:hideMark/>
          </w:tcPr>
          <w:p w14:paraId="124389DB" w14:textId="7F35A4AF" w:rsidR="00273A63" w:rsidRPr="00AD4E79" w:rsidRDefault="00273A63" w:rsidP="00D22441">
            <w:pPr>
              <w:jc w:val="left"/>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EMPRESAS PÚBLICAS DE URRAO E.S.P.</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0C4F94" w14:textId="4D6FA06A" w:rsidR="00273A63" w:rsidRPr="00AD4E79" w:rsidRDefault="00273A63" w:rsidP="00D22441">
            <w:pPr>
              <w:jc w:val="center"/>
              <w:rPr>
                <w:rFonts w:ascii="Arial Narrow" w:hAnsi="Arial Narrow" w:cs="Calibri"/>
                <w:spacing w:val="0"/>
                <w:sz w:val="16"/>
                <w:szCs w:val="16"/>
                <w:lang w:val="es-MX" w:eastAsia="es-MX"/>
              </w:rPr>
            </w:pPr>
            <w:r w:rsidRPr="00AD4E79">
              <w:rPr>
                <w:rFonts w:ascii="Arial Narrow" w:hAnsi="Arial Narrow" w:cs="Calibri"/>
                <w:spacing w:val="0"/>
                <w:sz w:val="16"/>
                <w:szCs w:val="16"/>
                <w:lang w:val="es-MX" w:eastAsia="es-MX"/>
              </w:rPr>
              <w:t>SIN REPORTE AL SUI</w:t>
            </w:r>
          </w:p>
        </w:tc>
      </w:tr>
      <w:tr w:rsidR="00AD4E79" w:rsidRPr="00AD4E79" w14:paraId="773B38FE" w14:textId="77777777" w:rsidTr="00AD4E79">
        <w:trPr>
          <w:trHeight w:val="400"/>
        </w:trPr>
        <w:tc>
          <w:tcPr>
            <w:tcW w:w="523" w:type="dxa"/>
            <w:tcBorders>
              <w:top w:val="nil"/>
              <w:left w:val="single" w:sz="4" w:space="0" w:color="auto"/>
              <w:bottom w:val="single" w:sz="4" w:space="0" w:color="auto"/>
              <w:right w:val="single" w:sz="4" w:space="0" w:color="auto"/>
            </w:tcBorders>
            <w:shd w:val="clear" w:color="auto" w:fill="auto"/>
            <w:vAlign w:val="center"/>
            <w:hideMark/>
          </w:tcPr>
          <w:p w14:paraId="2034EEDA" w14:textId="77777777" w:rsidR="00EE18FB" w:rsidRPr="00AD4E79" w:rsidRDefault="00EE18FB" w:rsidP="00D22441">
            <w:pPr>
              <w:jc w:val="center"/>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5</w:t>
            </w:r>
          </w:p>
        </w:tc>
        <w:tc>
          <w:tcPr>
            <w:tcW w:w="1030" w:type="dxa"/>
            <w:tcBorders>
              <w:top w:val="nil"/>
              <w:left w:val="nil"/>
              <w:bottom w:val="single" w:sz="4" w:space="0" w:color="auto"/>
              <w:right w:val="single" w:sz="4" w:space="0" w:color="auto"/>
            </w:tcBorders>
            <w:shd w:val="clear" w:color="auto" w:fill="auto"/>
            <w:vAlign w:val="center"/>
            <w:hideMark/>
          </w:tcPr>
          <w:p w14:paraId="29BBE4C8" w14:textId="77777777" w:rsidR="00EE18FB" w:rsidRPr="00AD4E79" w:rsidRDefault="00EE18FB" w:rsidP="00D22441">
            <w:pPr>
              <w:jc w:val="center"/>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800.163.392</w:t>
            </w:r>
          </w:p>
        </w:tc>
        <w:tc>
          <w:tcPr>
            <w:tcW w:w="363" w:type="dxa"/>
            <w:tcBorders>
              <w:top w:val="nil"/>
              <w:left w:val="nil"/>
              <w:bottom w:val="single" w:sz="4" w:space="0" w:color="auto"/>
              <w:right w:val="single" w:sz="4" w:space="0" w:color="auto"/>
            </w:tcBorders>
            <w:shd w:val="clear" w:color="auto" w:fill="auto"/>
            <w:vAlign w:val="center"/>
            <w:hideMark/>
          </w:tcPr>
          <w:p w14:paraId="2844A05A" w14:textId="77777777" w:rsidR="00EE18FB" w:rsidRPr="00AD4E79" w:rsidRDefault="00EE18FB" w:rsidP="00D22441">
            <w:pPr>
              <w:jc w:val="center"/>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3</w:t>
            </w:r>
          </w:p>
        </w:tc>
        <w:tc>
          <w:tcPr>
            <w:tcW w:w="585" w:type="dxa"/>
            <w:tcBorders>
              <w:top w:val="nil"/>
              <w:left w:val="nil"/>
              <w:bottom w:val="single" w:sz="4" w:space="0" w:color="auto"/>
              <w:right w:val="single" w:sz="4" w:space="0" w:color="auto"/>
            </w:tcBorders>
            <w:shd w:val="clear" w:color="auto" w:fill="auto"/>
            <w:vAlign w:val="center"/>
            <w:hideMark/>
          </w:tcPr>
          <w:p w14:paraId="6BC87269" w14:textId="77777777" w:rsidR="00EE18FB" w:rsidRPr="00AD4E79" w:rsidRDefault="00EE18FB" w:rsidP="00D22441">
            <w:pPr>
              <w:jc w:val="center"/>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622</w:t>
            </w:r>
          </w:p>
        </w:tc>
        <w:tc>
          <w:tcPr>
            <w:tcW w:w="4298" w:type="dxa"/>
            <w:tcBorders>
              <w:top w:val="nil"/>
              <w:left w:val="nil"/>
              <w:bottom w:val="single" w:sz="4" w:space="0" w:color="auto"/>
              <w:right w:val="single" w:sz="4" w:space="0" w:color="auto"/>
            </w:tcBorders>
            <w:shd w:val="clear" w:color="auto" w:fill="auto"/>
            <w:vAlign w:val="center"/>
            <w:hideMark/>
          </w:tcPr>
          <w:p w14:paraId="03DA1E8F" w14:textId="77777777" w:rsidR="00EE18FB" w:rsidRPr="00AD4E79" w:rsidRDefault="00EE18FB" w:rsidP="00D22441">
            <w:pPr>
              <w:jc w:val="left"/>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EMPRESA COMUNITARIA DE ACUEDUCTO, ALCANTARILLADO Y ASEO DE SARAVENA</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D30387" w14:textId="04B0C0BD" w:rsidR="00EE18FB" w:rsidRPr="00AD4E79" w:rsidRDefault="00EE18FB" w:rsidP="00D22441">
            <w:pPr>
              <w:jc w:val="center"/>
              <w:rPr>
                <w:rFonts w:ascii="Arial Narrow" w:hAnsi="Arial Narrow" w:cs="Calibri"/>
                <w:spacing w:val="0"/>
                <w:sz w:val="16"/>
                <w:szCs w:val="16"/>
                <w:lang w:val="es-MX" w:eastAsia="es-MX"/>
              </w:rPr>
            </w:pPr>
            <w:r w:rsidRPr="00AD4E79">
              <w:rPr>
                <w:rFonts w:ascii="Arial Narrow" w:hAnsi="Arial Narrow" w:cs="Calibri"/>
                <w:spacing w:val="0"/>
                <w:sz w:val="16"/>
                <w:szCs w:val="16"/>
                <w:lang w:val="es-MX" w:eastAsia="es-MX"/>
              </w:rPr>
              <w:t>REPORT</w:t>
            </w:r>
            <w:r w:rsidR="00273A63" w:rsidRPr="00AD4E79">
              <w:rPr>
                <w:rFonts w:ascii="Arial Narrow" w:hAnsi="Arial Narrow" w:cs="Calibri"/>
                <w:spacing w:val="0"/>
                <w:sz w:val="16"/>
                <w:szCs w:val="16"/>
                <w:lang w:val="es-MX" w:eastAsia="es-MX"/>
              </w:rPr>
              <w:t>ANTE SUI</w:t>
            </w:r>
          </w:p>
        </w:tc>
      </w:tr>
      <w:tr w:rsidR="00AD4E79" w:rsidRPr="00AD4E79" w14:paraId="1F72FD66" w14:textId="77777777" w:rsidTr="00AD4E79">
        <w:trPr>
          <w:trHeight w:val="290"/>
        </w:trPr>
        <w:tc>
          <w:tcPr>
            <w:tcW w:w="523" w:type="dxa"/>
            <w:tcBorders>
              <w:top w:val="nil"/>
              <w:left w:val="single" w:sz="4" w:space="0" w:color="auto"/>
              <w:bottom w:val="single" w:sz="4" w:space="0" w:color="auto"/>
              <w:right w:val="single" w:sz="4" w:space="0" w:color="auto"/>
            </w:tcBorders>
            <w:shd w:val="clear" w:color="auto" w:fill="auto"/>
            <w:vAlign w:val="center"/>
            <w:hideMark/>
          </w:tcPr>
          <w:p w14:paraId="36065824" w14:textId="77777777" w:rsidR="00273A63" w:rsidRPr="00AD4E79" w:rsidRDefault="00273A63" w:rsidP="00D22441">
            <w:pPr>
              <w:jc w:val="center"/>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6</w:t>
            </w:r>
          </w:p>
        </w:tc>
        <w:tc>
          <w:tcPr>
            <w:tcW w:w="1030" w:type="dxa"/>
            <w:tcBorders>
              <w:top w:val="nil"/>
              <w:left w:val="nil"/>
              <w:bottom w:val="single" w:sz="4" w:space="0" w:color="auto"/>
              <w:right w:val="single" w:sz="4" w:space="0" w:color="auto"/>
            </w:tcBorders>
            <w:shd w:val="clear" w:color="auto" w:fill="auto"/>
            <w:vAlign w:val="center"/>
            <w:hideMark/>
          </w:tcPr>
          <w:p w14:paraId="2C703E43" w14:textId="77777777" w:rsidR="00273A63" w:rsidRPr="00AD4E79" w:rsidRDefault="00273A63" w:rsidP="00D22441">
            <w:pPr>
              <w:jc w:val="center"/>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804.001.062</w:t>
            </w:r>
          </w:p>
        </w:tc>
        <w:tc>
          <w:tcPr>
            <w:tcW w:w="363" w:type="dxa"/>
            <w:tcBorders>
              <w:top w:val="nil"/>
              <w:left w:val="nil"/>
              <w:bottom w:val="single" w:sz="4" w:space="0" w:color="auto"/>
              <w:right w:val="single" w:sz="4" w:space="0" w:color="auto"/>
            </w:tcBorders>
            <w:shd w:val="clear" w:color="auto" w:fill="auto"/>
            <w:vAlign w:val="center"/>
            <w:hideMark/>
          </w:tcPr>
          <w:p w14:paraId="69115A5E" w14:textId="77777777" w:rsidR="00273A63" w:rsidRPr="00AD4E79" w:rsidRDefault="00273A63" w:rsidP="00D22441">
            <w:pPr>
              <w:jc w:val="center"/>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8</w:t>
            </w:r>
          </w:p>
        </w:tc>
        <w:tc>
          <w:tcPr>
            <w:tcW w:w="585" w:type="dxa"/>
            <w:tcBorders>
              <w:top w:val="nil"/>
              <w:left w:val="nil"/>
              <w:bottom w:val="single" w:sz="4" w:space="0" w:color="auto"/>
              <w:right w:val="single" w:sz="4" w:space="0" w:color="auto"/>
            </w:tcBorders>
            <w:shd w:val="clear" w:color="auto" w:fill="auto"/>
            <w:vAlign w:val="center"/>
            <w:hideMark/>
          </w:tcPr>
          <w:p w14:paraId="59C4B3AB" w14:textId="77777777" w:rsidR="00273A63" w:rsidRPr="00AD4E79" w:rsidRDefault="00273A63" w:rsidP="00D22441">
            <w:pPr>
              <w:jc w:val="center"/>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1737</w:t>
            </w:r>
          </w:p>
        </w:tc>
        <w:tc>
          <w:tcPr>
            <w:tcW w:w="4298" w:type="dxa"/>
            <w:tcBorders>
              <w:top w:val="nil"/>
              <w:left w:val="nil"/>
              <w:bottom w:val="single" w:sz="4" w:space="0" w:color="auto"/>
              <w:right w:val="single" w:sz="4" w:space="0" w:color="auto"/>
            </w:tcBorders>
            <w:shd w:val="clear" w:color="auto" w:fill="auto"/>
            <w:vAlign w:val="center"/>
            <w:hideMark/>
          </w:tcPr>
          <w:p w14:paraId="6A2D9A0F" w14:textId="77777777" w:rsidR="00273A63" w:rsidRPr="00AD4E79" w:rsidRDefault="00273A63" w:rsidP="00D22441">
            <w:pPr>
              <w:jc w:val="left"/>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RUITOQUE S.A. E.S.P.</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7C23B6" w14:textId="7A93FEAF" w:rsidR="00273A63" w:rsidRPr="00AD4E79" w:rsidRDefault="00273A63" w:rsidP="00D22441">
            <w:pPr>
              <w:jc w:val="center"/>
              <w:rPr>
                <w:rFonts w:ascii="Arial Narrow" w:hAnsi="Arial Narrow" w:cs="Calibri"/>
                <w:spacing w:val="0"/>
                <w:sz w:val="16"/>
                <w:szCs w:val="16"/>
                <w:lang w:val="es-MX" w:eastAsia="es-MX"/>
              </w:rPr>
            </w:pPr>
            <w:r w:rsidRPr="00AD4E79">
              <w:rPr>
                <w:rFonts w:ascii="Arial Narrow" w:hAnsi="Arial Narrow" w:cs="Calibri"/>
                <w:spacing w:val="0"/>
                <w:sz w:val="16"/>
                <w:szCs w:val="16"/>
                <w:lang w:val="es-MX" w:eastAsia="es-MX"/>
              </w:rPr>
              <w:t>SIN REPORTE AL SUI</w:t>
            </w:r>
          </w:p>
        </w:tc>
      </w:tr>
      <w:tr w:rsidR="00AD4E79" w:rsidRPr="00AD4E79" w14:paraId="722DAA25" w14:textId="77777777" w:rsidTr="00AD4E79">
        <w:trPr>
          <w:trHeight w:val="290"/>
        </w:trPr>
        <w:tc>
          <w:tcPr>
            <w:tcW w:w="523" w:type="dxa"/>
            <w:tcBorders>
              <w:top w:val="nil"/>
              <w:left w:val="single" w:sz="4" w:space="0" w:color="auto"/>
              <w:bottom w:val="single" w:sz="4" w:space="0" w:color="auto"/>
              <w:right w:val="single" w:sz="4" w:space="0" w:color="auto"/>
            </w:tcBorders>
            <w:shd w:val="clear" w:color="auto" w:fill="auto"/>
            <w:vAlign w:val="center"/>
            <w:hideMark/>
          </w:tcPr>
          <w:p w14:paraId="196FE456" w14:textId="77777777" w:rsidR="00273A63" w:rsidRPr="00AD4E79" w:rsidRDefault="00273A63" w:rsidP="00D22441">
            <w:pPr>
              <w:jc w:val="center"/>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7</w:t>
            </w:r>
          </w:p>
        </w:tc>
        <w:tc>
          <w:tcPr>
            <w:tcW w:w="1030" w:type="dxa"/>
            <w:tcBorders>
              <w:top w:val="nil"/>
              <w:left w:val="nil"/>
              <w:bottom w:val="single" w:sz="4" w:space="0" w:color="auto"/>
              <w:right w:val="single" w:sz="4" w:space="0" w:color="auto"/>
            </w:tcBorders>
            <w:shd w:val="clear" w:color="auto" w:fill="auto"/>
            <w:vAlign w:val="center"/>
            <w:hideMark/>
          </w:tcPr>
          <w:p w14:paraId="74976625" w14:textId="77777777" w:rsidR="00273A63" w:rsidRPr="00AD4E79" w:rsidRDefault="00273A63" w:rsidP="00D22441">
            <w:pPr>
              <w:jc w:val="center"/>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806.006.669</w:t>
            </w:r>
          </w:p>
        </w:tc>
        <w:tc>
          <w:tcPr>
            <w:tcW w:w="363" w:type="dxa"/>
            <w:tcBorders>
              <w:top w:val="nil"/>
              <w:left w:val="nil"/>
              <w:bottom w:val="single" w:sz="4" w:space="0" w:color="auto"/>
              <w:right w:val="single" w:sz="4" w:space="0" w:color="auto"/>
            </w:tcBorders>
            <w:shd w:val="clear" w:color="auto" w:fill="auto"/>
            <w:vAlign w:val="center"/>
            <w:hideMark/>
          </w:tcPr>
          <w:p w14:paraId="6F368E67" w14:textId="77777777" w:rsidR="00273A63" w:rsidRPr="00AD4E79" w:rsidRDefault="00273A63" w:rsidP="00D22441">
            <w:pPr>
              <w:jc w:val="center"/>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8</w:t>
            </w:r>
          </w:p>
        </w:tc>
        <w:tc>
          <w:tcPr>
            <w:tcW w:w="585" w:type="dxa"/>
            <w:tcBorders>
              <w:top w:val="nil"/>
              <w:left w:val="nil"/>
              <w:bottom w:val="single" w:sz="4" w:space="0" w:color="auto"/>
              <w:right w:val="single" w:sz="4" w:space="0" w:color="auto"/>
            </w:tcBorders>
            <w:shd w:val="clear" w:color="auto" w:fill="auto"/>
            <w:vAlign w:val="center"/>
            <w:hideMark/>
          </w:tcPr>
          <w:p w14:paraId="1B01F417" w14:textId="77777777" w:rsidR="00273A63" w:rsidRPr="00AD4E79" w:rsidRDefault="00273A63" w:rsidP="00D22441">
            <w:pPr>
              <w:jc w:val="center"/>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2690</w:t>
            </w:r>
          </w:p>
        </w:tc>
        <w:tc>
          <w:tcPr>
            <w:tcW w:w="4298" w:type="dxa"/>
            <w:tcBorders>
              <w:top w:val="nil"/>
              <w:left w:val="nil"/>
              <w:bottom w:val="single" w:sz="4" w:space="0" w:color="auto"/>
              <w:right w:val="single" w:sz="4" w:space="0" w:color="auto"/>
            </w:tcBorders>
            <w:shd w:val="clear" w:color="auto" w:fill="auto"/>
            <w:vAlign w:val="center"/>
            <w:hideMark/>
          </w:tcPr>
          <w:p w14:paraId="34FDD4C6" w14:textId="77777777" w:rsidR="00273A63" w:rsidRPr="00AD4E79" w:rsidRDefault="00273A63" w:rsidP="00D22441">
            <w:pPr>
              <w:jc w:val="left"/>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BIOGER S.A.S. E.S.P.</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D86F2C" w14:textId="4A710B74" w:rsidR="00273A63" w:rsidRPr="00AD4E79" w:rsidRDefault="00273A63" w:rsidP="00D22441">
            <w:pPr>
              <w:jc w:val="center"/>
              <w:rPr>
                <w:rFonts w:ascii="Arial Narrow" w:hAnsi="Arial Narrow" w:cs="Calibri"/>
                <w:spacing w:val="0"/>
                <w:sz w:val="16"/>
                <w:szCs w:val="16"/>
                <w:lang w:val="es-MX" w:eastAsia="es-MX"/>
              </w:rPr>
            </w:pPr>
            <w:r w:rsidRPr="00AD4E79">
              <w:rPr>
                <w:rFonts w:ascii="Arial Narrow" w:hAnsi="Arial Narrow" w:cs="Calibri"/>
                <w:spacing w:val="0"/>
                <w:sz w:val="16"/>
                <w:szCs w:val="16"/>
                <w:lang w:val="es-MX" w:eastAsia="es-MX"/>
              </w:rPr>
              <w:t>SIN REPORTE AL SUI</w:t>
            </w:r>
          </w:p>
        </w:tc>
      </w:tr>
      <w:tr w:rsidR="00AD4E79" w:rsidRPr="00AD4E79" w14:paraId="3AEE7CE7" w14:textId="77777777" w:rsidTr="00AD4E79">
        <w:trPr>
          <w:trHeight w:val="290"/>
        </w:trPr>
        <w:tc>
          <w:tcPr>
            <w:tcW w:w="523" w:type="dxa"/>
            <w:tcBorders>
              <w:top w:val="nil"/>
              <w:left w:val="single" w:sz="4" w:space="0" w:color="auto"/>
              <w:bottom w:val="single" w:sz="4" w:space="0" w:color="auto"/>
              <w:right w:val="single" w:sz="4" w:space="0" w:color="auto"/>
            </w:tcBorders>
            <w:shd w:val="clear" w:color="auto" w:fill="auto"/>
            <w:vAlign w:val="center"/>
            <w:hideMark/>
          </w:tcPr>
          <w:p w14:paraId="5CE5525D" w14:textId="77777777" w:rsidR="00273A63" w:rsidRPr="00AD4E79" w:rsidRDefault="00273A63" w:rsidP="00D22441">
            <w:pPr>
              <w:jc w:val="center"/>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8</w:t>
            </w:r>
          </w:p>
        </w:tc>
        <w:tc>
          <w:tcPr>
            <w:tcW w:w="1030" w:type="dxa"/>
            <w:tcBorders>
              <w:top w:val="nil"/>
              <w:left w:val="nil"/>
              <w:bottom w:val="single" w:sz="4" w:space="0" w:color="auto"/>
              <w:right w:val="single" w:sz="4" w:space="0" w:color="auto"/>
            </w:tcBorders>
            <w:shd w:val="clear" w:color="auto" w:fill="auto"/>
            <w:vAlign w:val="center"/>
            <w:hideMark/>
          </w:tcPr>
          <w:p w14:paraId="64959C9D" w14:textId="77777777" w:rsidR="00273A63" w:rsidRPr="00AD4E79" w:rsidRDefault="00273A63" w:rsidP="00D22441">
            <w:pPr>
              <w:jc w:val="center"/>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811.034.077</w:t>
            </w:r>
          </w:p>
        </w:tc>
        <w:tc>
          <w:tcPr>
            <w:tcW w:w="363" w:type="dxa"/>
            <w:tcBorders>
              <w:top w:val="nil"/>
              <w:left w:val="nil"/>
              <w:bottom w:val="single" w:sz="4" w:space="0" w:color="auto"/>
              <w:right w:val="single" w:sz="4" w:space="0" w:color="auto"/>
            </w:tcBorders>
            <w:shd w:val="clear" w:color="auto" w:fill="auto"/>
            <w:vAlign w:val="center"/>
            <w:hideMark/>
          </w:tcPr>
          <w:p w14:paraId="5AA62347" w14:textId="77777777" w:rsidR="00273A63" w:rsidRPr="00AD4E79" w:rsidRDefault="00273A63" w:rsidP="00D22441">
            <w:pPr>
              <w:jc w:val="center"/>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5</w:t>
            </w:r>
          </w:p>
        </w:tc>
        <w:tc>
          <w:tcPr>
            <w:tcW w:w="585" w:type="dxa"/>
            <w:tcBorders>
              <w:top w:val="nil"/>
              <w:left w:val="nil"/>
              <w:bottom w:val="single" w:sz="4" w:space="0" w:color="auto"/>
              <w:right w:val="single" w:sz="4" w:space="0" w:color="auto"/>
            </w:tcBorders>
            <w:shd w:val="clear" w:color="auto" w:fill="auto"/>
            <w:vAlign w:val="center"/>
            <w:hideMark/>
          </w:tcPr>
          <w:p w14:paraId="32A43861" w14:textId="77777777" w:rsidR="00273A63" w:rsidRPr="00AD4E79" w:rsidRDefault="00273A63" w:rsidP="00D22441">
            <w:pPr>
              <w:jc w:val="center"/>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3207</w:t>
            </w:r>
          </w:p>
        </w:tc>
        <w:tc>
          <w:tcPr>
            <w:tcW w:w="4298" w:type="dxa"/>
            <w:tcBorders>
              <w:top w:val="nil"/>
              <w:left w:val="nil"/>
              <w:bottom w:val="single" w:sz="4" w:space="0" w:color="auto"/>
              <w:right w:val="single" w:sz="4" w:space="0" w:color="auto"/>
            </w:tcBorders>
            <w:shd w:val="clear" w:color="auto" w:fill="auto"/>
            <w:vAlign w:val="center"/>
            <w:hideMark/>
          </w:tcPr>
          <w:p w14:paraId="6113B60E" w14:textId="77777777" w:rsidR="00273A63" w:rsidRPr="00AD4E79" w:rsidRDefault="00273A63" w:rsidP="00D22441">
            <w:pPr>
              <w:jc w:val="left"/>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EMPRESA DE SERVICIOS PUBLICOS DE MURINDO S.A.S E.S.P.</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3C289A" w14:textId="11E6FD4B" w:rsidR="00273A63" w:rsidRPr="00AD4E79" w:rsidRDefault="00273A63" w:rsidP="00D22441">
            <w:pPr>
              <w:jc w:val="center"/>
              <w:rPr>
                <w:rFonts w:ascii="Arial Narrow" w:hAnsi="Arial Narrow" w:cs="Calibri"/>
                <w:spacing w:val="0"/>
                <w:sz w:val="16"/>
                <w:szCs w:val="16"/>
                <w:lang w:val="es-MX" w:eastAsia="es-MX"/>
              </w:rPr>
            </w:pPr>
            <w:r w:rsidRPr="00AD4E79">
              <w:rPr>
                <w:rFonts w:ascii="Arial Narrow" w:hAnsi="Arial Narrow" w:cs="Calibri"/>
                <w:spacing w:val="0"/>
                <w:sz w:val="16"/>
                <w:szCs w:val="16"/>
                <w:lang w:val="es-MX" w:eastAsia="es-MX"/>
              </w:rPr>
              <w:t>SIN REPORTE AL SUI</w:t>
            </w:r>
          </w:p>
        </w:tc>
      </w:tr>
      <w:tr w:rsidR="00AD4E79" w:rsidRPr="00AD4E79" w14:paraId="399C81E3" w14:textId="77777777" w:rsidTr="00AD4E79">
        <w:trPr>
          <w:trHeight w:val="290"/>
        </w:trPr>
        <w:tc>
          <w:tcPr>
            <w:tcW w:w="523" w:type="dxa"/>
            <w:tcBorders>
              <w:top w:val="nil"/>
              <w:left w:val="single" w:sz="4" w:space="0" w:color="auto"/>
              <w:bottom w:val="single" w:sz="4" w:space="0" w:color="auto"/>
              <w:right w:val="single" w:sz="4" w:space="0" w:color="auto"/>
            </w:tcBorders>
            <w:shd w:val="clear" w:color="auto" w:fill="auto"/>
            <w:vAlign w:val="center"/>
            <w:hideMark/>
          </w:tcPr>
          <w:p w14:paraId="6A3A8567" w14:textId="77777777" w:rsidR="00273A63" w:rsidRPr="00AD4E79" w:rsidRDefault="00273A63" w:rsidP="00D22441">
            <w:pPr>
              <w:jc w:val="center"/>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9</w:t>
            </w:r>
          </w:p>
        </w:tc>
        <w:tc>
          <w:tcPr>
            <w:tcW w:w="1030" w:type="dxa"/>
            <w:tcBorders>
              <w:top w:val="nil"/>
              <w:left w:val="nil"/>
              <w:bottom w:val="single" w:sz="4" w:space="0" w:color="auto"/>
              <w:right w:val="single" w:sz="4" w:space="0" w:color="auto"/>
            </w:tcBorders>
            <w:shd w:val="clear" w:color="auto" w:fill="auto"/>
            <w:vAlign w:val="center"/>
            <w:hideMark/>
          </w:tcPr>
          <w:p w14:paraId="621CB84D" w14:textId="77777777" w:rsidR="00273A63" w:rsidRPr="00AD4E79" w:rsidRDefault="00273A63" w:rsidP="00D22441">
            <w:pPr>
              <w:jc w:val="center"/>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818.000.941</w:t>
            </w:r>
          </w:p>
        </w:tc>
        <w:tc>
          <w:tcPr>
            <w:tcW w:w="363" w:type="dxa"/>
            <w:tcBorders>
              <w:top w:val="nil"/>
              <w:left w:val="nil"/>
              <w:bottom w:val="single" w:sz="4" w:space="0" w:color="auto"/>
              <w:right w:val="single" w:sz="4" w:space="0" w:color="auto"/>
            </w:tcBorders>
            <w:shd w:val="clear" w:color="auto" w:fill="auto"/>
            <w:vAlign w:val="center"/>
            <w:hideMark/>
          </w:tcPr>
          <w:p w14:paraId="02D753CB" w14:textId="77777777" w:rsidR="00273A63" w:rsidRPr="00AD4E79" w:rsidRDefault="00273A63" w:rsidP="00D22441">
            <w:pPr>
              <w:jc w:val="center"/>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3</w:t>
            </w:r>
          </w:p>
        </w:tc>
        <w:tc>
          <w:tcPr>
            <w:tcW w:w="585" w:type="dxa"/>
            <w:tcBorders>
              <w:top w:val="nil"/>
              <w:left w:val="nil"/>
              <w:bottom w:val="single" w:sz="4" w:space="0" w:color="auto"/>
              <w:right w:val="single" w:sz="4" w:space="0" w:color="auto"/>
            </w:tcBorders>
            <w:shd w:val="clear" w:color="auto" w:fill="auto"/>
            <w:vAlign w:val="center"/>
            <w:hideMark/>
          </w:tcPr>
          <w:p w14:paraId="19B642DA" w14:textId="77777777" w:rsidR="00273A63" w:rsidRPr="00AD4E79" w:rsidRDefault="00273A63" w:rsidP="00D22441">
            <w:pPr>
              <w:jc w:val="center"/>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20170</w:t>
            </w:r>
          </w:p>
        </w:tc>
        <w:tc>
          <w:tcPr>
            <w:tcW w:w="4298" w:type="dxa"/>
            <w:tcBorders>
              <w:top w:val="nil"/>
              <w:left w:val="nil"/>
              <w:bottom w:val="single" w:sz="4" w:space="0" w:color="auto"/>
              <w:right w:val="single" w:sz="4" w:space="0" w:color="auto"/>
            </w:tcBorders>
            <w:shd w:val="clear" w:color="auto" w:fill="auto"/>
            <w:vAlign w:val="center"/>
            <w:hideMark/>
          </w:tcPr>
          <w:p w14:paraId="002F7035" w14:textId="77777777" w:rsidR="00273A63" w:rsidRPr="00AD4E79" w:rsidRDefault="00273A63" w:rsidP="00D22441">
            <w:pPr>
              <w:jc w:val="left"/>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 xml:space="preserve">MUNICIPIO DEL MEDIO ATRATO </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F03E8D" w14:textId="5D358222" w:rsidR="00273A63" w:rsidRPr="00AD4E79" w:rsidRDefault="00273A63" w:rsidP="00D22441">
            <w:pPr>
              <w:jc w:val="center"/>
              <w:rPr>
                <w:rFonts w:ascii="Arial Narrow" w:hAnsi="Arial Narrow" w:cs="Calibri"/>
                <w:spacing w:val="0"/>
                <w:sz w:val="16"/>
                <w:szCs w:val="16"/>
                <w:lang w:val="es-MX" w:eastAsia="es-MX"/>
              </w:rPr>
            </w:pPr>
            <w:r w:rsidRPr="00AD4E79">
              <w:rPr>
                <w:rFonts w:ascii="Arial Narrow" w:hAnsi="Arial Narrow" w:cs="Calibri"/>
                <w:spacing w:val="0"/>
                <w:sz w:val="16"/>
                <w:szCs w:val="16"/>
                <w:lang w:val="es-MX" w:eastAsia="es-MX"/>
              </w:rPr>
              <w:t>SIN REPORTE AL SUI</w:t>
            </w:r>
          </w:p>
        </w:tc>
      </w:tr>
      <w:tr w:rsidR="00AD4E79" w:rsidRPr="00AD4E79" w14:paraId="04238FCF" w14:textId="77777777" w:rsidTr="00AD4E79">
        <w:trPr>
          <w:trHeight w:val="400"/>
        </w:trPr>
        <w:tc>
          <w:tcPr>
            <w:tcW w:w="523" w:type="dxa"/>
            <w:tcBorders>
              <w:top w:val="nil"/>
              <w:left w:val="single" w:sz="4" w:space="0" w:color="auto"/>
              <w:bottom w:val="single" w:sz="4" w:space="0" w:color="auto"/>
              <w:right w:val="single" w:sz="4" w:space="0" w:color="auto"/>
            </w:tcBorders>
            <w:shd w:val="clear" w:color="auto" w:fill="auto"/>
            <w:vAlign w:val="center"/>
            <w:hideMark/>
          </w:tcPr>
          <w:p w14:paraId="442FC173" w14:textId="77777777" w:rsidR="00EE18FB" w:rsidRPr="00AD4E79" w:rsidRDefault="00EE18FB" w:rsidP="00D22441">
            <w:pPr>
              <w:jc w:val="center"/>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10</w:t>
            </w:r>
          </w:p>
        </w:tc>
        <w:tc>
          <w:tcPr>
            <w:tcW w:w="1030" w:type="dxa"/>
            <w:tcBorders>
              <w:top w:val="nil"/>
              <w:left w:val="nil"/>
              <w:bottom w:val="single" w:sz="4" w:space="0" w:color="auto"/>
              <w:right w:val="single" w:sz="4" w:space="0" w:color="auto"/>
            </w:tcBorders>
            <w:shd w:val="clear" w:color="auto" w:fill="auto"/>
            <w:vAlign w:val="center"/>
            <w:hideMark/>
          </w:tcPr>
          <w:p w14:paraId="771D2666" w14:textId="77777777" w:rsidR="00EE18FB" w:rsidRPr="00AD4E79" w:rsidRDefault="00EE18FB" w:rsidP="00D22441">
            <w:pPr>
              <w:jc w:val="center"/>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828.000.191</w:t>
            </w:r>
          </w:p>
        </w:tc>
        <w:tc>
          <w:tcPr>
            <w:tcW w:w="363" w:type="dxa"/>
            <w:tcBorders>
              <w:top w:val="nil"/>
              <w:left w:val="nil"/>
              <w:bottom w:val="single" w:sz="4" w:space="0" w:color="auto"/>
              <w:right w:val="single" w:sz="4" w:space="0" w:color="auto"/>
            </w:tcBorders>
            <w:shd w:val="clear" w:color="auto" w:fill="auto"/>
            <w:vAlign w:val="center"/>
            <w:hideMark/>
          </w:tcPr>
          <w:p w14:paraId="34571E27" w14:textId="77777777" w:rsidR="00EE18FB" w:rsidRPr="00AD4E79" w:rsidRDefault="00EE18FB" w:rsidP="00D22441">
            <w:pPr>
              <w:jc w:val="center"/>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2</w:t>
            </w:r>
          </w:p>
        </w:tc>
        <w:tc>
          <w:tcPr>
            <w:tcW w:w="585" w:type="dxa"/>
            <w:tcBorders>
              <w:top w:val="nil"/>
              <w:left w:val="nil"/>
              <w:bottom w:val="single" w:sz="4" w:space="0" w:color="auto"/>
              <w:right w:val="single" w:sz="4" w:space="0" w:color="auto"/>
            </w:tcBorders>
            <w:shd w:val="clear" w:color="auto" w:fill="auto"/>
            <w:vAlign w:val="center"/>
            <w:hideMark/>
          </w:tcPr>
          <w:p w14:paraId="0D2C84D4" w14:textId="77777777" w:rsidR="00EE18FB" w:rsidRPr="00AD4E79" w:rsidRDefault="00EE18FB" w:rsidP="00D22441">
            <w:pPr>
              <w:jc w:val="center"/>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569</w:t>
            </w:r>
          </w:p>
        </w:tc>
        <w:tc>
          <w:tcPr>
            <w:tcW w:w="4298" w:type="dxa"/>
            <w:tcBorders>
              <w:top w:val="nil"/>
              <w:left w:val="nil"/>
              <w:bottom w:val="single" w:sz="4" w:space="0" w:color="auto"/>
              <w:right w:val="single" w:sz="4" w:space="0" w:color="auto"/>
            </w:tcBorders>
            <w:shd w:val="clear" w:color="auto" w:fill="auto"/>
            <w:vAlign w:val="center"/>
            <w:hideMark/>
          </w:tcPr>
          <w:p w14:paraId="7FF07781" w14:textId="77777777" w:rsidR="00EE18FB" w:rsidRPr="00AD4E79" w:rsidRDefault="00EE18FB" w:rsidP="00D22441">
            <w:pPr>
              <w:jc w:val="left"/>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EMPRESA MUNICIPAL DE SERVICIOS PUBLICOS DE CARTAGENA DEL CHAIRA</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257C6F" w14:textId="114447D4" w:rsidR="00EE18FB" w:rsidRPr="00AD4E79" w:rsidRDefault="00273A63" w:rsidP="00D22441">
            <w:pPr>
              <w:jc w:val="center"/>
              <w:rPr>
                <w:rFonts w:ascii="Arial Narrow" w:hAnsi="Arial Narrow" w:cs="Calibri"/>
                <w:spacing w:val="0"/>
                <w:sz w:val="16"/>
                <w:szCs w:val="16"/>
                <w:lang w:val="es-MX" w:eastAsia="es-MX"/>
              </w:rPr>
            </w:pPr>
            <w:r w:rsidRPr="00AD4E79">
              <w:rPr>
                <w:rFonts w:ascii="Arial Narrow" w:hAnsi="Arial Narrow" w:cs="Calibri"/>
                <w:spacing w:val="0"/>
                <w:sz w:val="16"/>
                <w:szCs w:val="16"/>
                <w:lang w:val="es-MX" w:eastAsia="es-MX"/>
              </w:rPr>
              <w:t>REPORTANTE SUI</w:t>
            </w:r>
          </w:p>
        </w:tc>
      </w:tr>
      <w:tr w:rsidR="00AD4E79" w:rsidRPr="00AD4E79" w14:paraId="5F1E3502" w14:textId="77777777" w:rsidTr="00AD4E79">
        <w:trPr>
          <w:trHeight w:val="290"/>
        </w:trPr>
        <w:tc>
          <w:tcPr>
            <w:tcW w:w="523" w:type="dxa"/>
            <w:tcBorders>
              <w:top w:val="nil"/>
              <w:left w:val="single" w:sz="4" w:space="0" w:color="auto"/>
              <w:bottom w:val="single" w:sz="4" w:space="0" w:color="auto"/>
              <w:right w:val="single" w:sz="4" w:space="0" w:color="auto"/>
            </w:tcBorders>
            <w:shd w:val="clear" w:color="auto" w:fill="auto"/>
            <w:vAlign w:val="center"/>
            <w:hideMark/>
          </w:tcPr>
          <w:p w14:paraId="6350B7BD" w14:textId="77777777" w:rsidR="00EE18FB" w:rsidRPr="00AD4E79" w:rsidRDefault="00EE18FB" w:rsidP="00D22441">
            <w:pPr>
              <w:jc w:val="center"/>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11</w:t>
            </w:r>
          </w:p>
        </w:tc>
        <w:tc>
          <w:tcPr>
            <w:tcW w:w="1030" w:type="dxa"/>
            <w:tcBorders>
              <w:top w:val="nil"/>
              <w:left w:val="nil"/>
              <w:bottom w:val="single" w:sz="4" w:space="0" w:color="auto"/>
              <w:right w:val="single" w:sz="4" w:space="0" w:color="auto"/>
            </w:tcBorders>
            <w:shd w:val="clear" w:color="auto" w:fill="auto"/>
            <w:vAlign w:val="center"/>
            <w:hideMark/>
          </w:tcPr>
          <w:p w14:paraId="2AA5A8B3" w14:textId="77777777" w:rsidR="00EE18FB" w:rsidRPr="00AD4E79" w:rsidRDefault="00EE18FB" w:rsidP="00D22441">
            <w:pPr>
              <w:jc w:val="center"/>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832.000.219</w:t>
            </w:r>
          </w:p>
        </w:tc>
        <w:tc>
          <w:tcPr>
            <w:tcW w:w="363" w:type="dxa"/>
            <w:tcBorders>
              <w:top w:val="nil"/>
              <w:left w:val="nil"/>
              <w:bottom w:val="single" w:sz="4" w:space="0" w:color="auto"/>
              <w:right w:val="single" w:sz="4" w:space="0" w:color="auto"/>
            </w:tcBorders>
            <w:shd w:val="clear" w:color="auto" w:fill="auto"/>
            <w:vAlign w:val="center"/>
            <w:hideMark/>
          </w:tcPr>
          <w:p w14:paraId="3045A91B" w14:textId="77777777" w:rsidR="00EE18FB" w:rsidRPr="00AD4E79" w:rsidRDefault="00EE18FB" w:rsidP="00D22441">
            <w:pPr>
              <w:jc w:val="center"/>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4</w:t>
            </w:r>
          </w:p>
        </w:tc>
        <w:tc>
          <w:tcPr>
            <w:tcW w:w="585" w:type="dxa"/>
            <w:tcBorders>
              <w:top w:val="nil"/>
              <w:left w:val="nil"/>
              <w:bottom w:val="single" w:sz="4" w:space="0" w:color="auto"/>
              <w:right w:val="single" w:sz="4" w:space="0" w:color="auto"/>
            </w:tcBorders>
            <w:shd w:val="clear" w:color="auto" w:fill="auto"/>
            <w:vAlign w:val="center"/>
            <w:hideMark/>
          </w:tcPr>
          <w:p w14:paraId="7B752E9F" w14:textId="77777777" w:rsidR="00EE18FB" w:rsidRPr="00AD4E79" w:rsidRDefault="00EE18FB" w:rsidP="00D22441">
            <w:pPr>
              <w:jc w:val="center"/>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20154</w:t>
            </w:r>
          </w:p>
        </w:tc>
        <w:tc>
          <w:tcPr>
            <w:tcW w:w="4298" w:type="dxa"/>
            <w:tcBorders>
              <w:top w:val="nil"/>
              <w:left w:val="nil"/>
              <w:bottom w:val="single" w:sz="4" w:space="0" w:color="auto"/>
              <w:right w:val="single" w:sz="4" w:space="0" w:color="auto"/>
            </w:tcBorders>
            <w:shd w:val="clear" w:color="auto" w:fill="auto"/>
            <w:vAlign w:val="center"/>
            <w:hideMark/>
          </w:tcPr>
          <w:p w14:paraId="598A8458" w14:textId="77777777" w:rsidR="00EE18FB" w:rsidRPr="00AD4E79" w:rsidRDefault="00EE18FB" w:rsidP="00D22441">
            <w:pPr>
              <w:jc w:val="left"/>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MUNICIPIO DE TARAIRA</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04041A" w14:textId="46781A17" w:rsidR="00EE18FB" w:rsidRPr="00AD4E79" w:rsidRDefault="00273A63" w:rsidP="00D22441">
            <w:pPr>
              <w:jc w:val="center"/>
              <w:rPr>
                <w:rFonts w:ascii="Arial Narrow" w:hAnsi="Arial Narrow" w:cs="Calibri"/>
                <w:spacing w:val="0"/>
                <w:sz w:val="16"/>
                <w:szCs w:val="16"/>
                <w:lang w:val="es-MX" w:eastAsia="es-MX"/>
              </w:rPr>
            </w:pPr>
            <w:r w:rsidRPr="00AD4E79">
              <w:rPr>
                <w:rFonts w:ascii="Arial Narrow" w:hAnsi="Arial Narrow" w:cs="Calibri"/>
                <w:spacing w:val="0"/>
                <w:sz w:val="16"/>
                <w:szCs w:val="16"/>
                <w:lang w:val="es-MX" w:eastAsia="es-MX"/>
              </w:rPr>
              <w:t>REPORTANTE SUI</w:t>
            </w:r>
          </w:p>
        </w:tc>
      </w:tr>
      <w:tr w:rsidR="00AD4E79" w:rsidRPr="00AD4E79" w14:paraId="0D295293" w14:textId="77777777" w:rsidTr="00AD4E79">
        <w:trPr>
          <w:trHeight w:val="600"/>
        </w:trPr>
        <w:tc>
          <w:tcPr>
            <w:tcW w:w="523" w:type="dxa"/>
            <w:tcBorders>
              <w:top w:val="nil"/>
              <w:left w:val="single" w:sz="4" w:space="0" w:color="auto"/>
              <w:bottom w:val="single" w:sz="4" w:space="0" w:color="auto"/>
              <w:right w:val="single" w:sz="4" w:space="0" w:color="auto"/>
            </w:tcBorders>
            <w:shd w:val="clear" w:color="auto" w:fill="auto"/>
            <w:vAlign w:val="center"/>
            <w:hideMark/>
          </w:tcPr>
          <w:p w14:paraId="24E46638" w14:textId="77777777" w:rsidR="00273A63" w:rsidRPr="00AD4E79" w:rsidRDefault="00273A63" w:rsidP="00D22441">
            <w:pPr>
              <w:jc w:val="center"/>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12</w:t>
            </w:r>
          </w:p>
        </w:tc>
        <w:tc>
          <w:tcPr>
            <w:tcW w:w="1030" w:type="dxa"/>
            <w:tcBorders>
              <w:top w:val="nil"/>
              <w:left w:val="nil"/>
              <w:bottom w:val="single" w:sz="4" w:space="0" w:color="auto"/>
              <w:right w:val="single" w:sz="4" w:space="0" w:color="auto"/>
            </w:tcBorders>
            <w:shd w:val="clear" w:color="auto" w:fill="auto"/>
            <w:vAlign w:val="center"/>
            <w:hideMark/>
          </w:tcPr>
          <w:p w14:paraId="693239AC" w14:textId="77777777" w:rsidR="00273A63" w:rsidRPr="00AD4E79" w:rsidRDefault="00273A63" w:rsidP="00D22441">
            <w:pPr>
              <w:jc w:val="center"/>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832.000.605</w:t>
            </w:r>
          </w:p>
        </w:tc>
        <w:tc>
          <w:tcPr>
            <w:tcW w:w="363" w:type="dxa"/>
            <w:tcBorders>
              <w:top w:val="nil"/>
              <w:left w:val="nil"/>
              <w:bottom w:val="single" w:sz="4" w:space="0" w:color="auto"/>
              <w:right w:val="single" w:sz="4" w:space="0" w:color="auto"/>
            </w:tcBorders>
            <w:shd w:val="clear" w:color="auto" w:fill="auto"/>
            <w:vAlign w:val="center"/>
            <w:hideMark/>
          </w:tcPr>
          <w:p w14:paraId="46DB78B1" w14:textId="77777777" w:rsidR="00273A63" w:rsidRPr="00AD4E79" w:rsidRDefault="00273A63" w:rsidP="00D22441">
            <w:pPr>
              <w:jc w:val="center"/>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4</w:t>
            </w:r>
          </w:p>
        </w:tc>
        <w:tc>
          <w:tcPr>
            <w:tcW w:w="585" w:type="dxa"/>
            <w:tcBorders>
              <w:top w:val="nil"/>
              <w:left w:val="nil"/>
              <w:bottom w:val="single" w:sz="4" w:space="0" w:color="auto"/>
              <w:right w:val="single" w:sz="4" w:space="0" w:color="auto"/>
            </w:tcBorders>
            <w:shd w:val="clear" w:color="auto" w:fill="auto"/>
            <w:vAlign w:val="center"/>
            <w:hideMark/>
          </w:tcPr>
          <w:p w14:paraId="6CB1E5C8" w14:textId="77777777" w:rsidR="00273A63" w:rsidRPr="00AD4E79" w:rsidRDefault="00273A63" w:rsidP="00D22441">
            <w:pPr>
              <w:jc w:val="center"/>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20217</w:t>
            </w:r>
          </w:p>
        </w:tc>
        <w:tc>
          <w:tcPr>
            <w:tcW w:w="4298" w:type="dxa"/>
            <w:tcBorders>
              <w:top w:val="nil"/>
              <w:left w:val="nil"/>
              <w:bottom w:val="single" w:sz="4" w:space="0" w:color="auto"/>
              <w:right w:val="single" w:sz="4" w:space="0" w:color="auto"/>
            </w:tcBorders>
            <w:shd w:val="clear" w:color="auto" w:fill="auto"/>
            <w:vAlign w:val="center"/>
            <w:hideMark/>
          </w:tcPr>
          <w:p w14:paraId="7FC90E6E" w14:textId="77777777" w:rsidR="00273A63" w:rsidRPr="00AD4E79" w:rsidRDefault="00273A63" w:rsidP="00D22441">
            <w:pPr>
              <w:jc w:val="left"/>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UNIDAD DE SERVICIOS PUBLICOS DOMICILIARIOS DE ACUEDUCTO, ALCANTARILLADO, ASEO Y ENERGIA ZONA NO INTERCONECTADA, EN EL MUNICIPIO DE CARURU - VAUPES</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3B9E00" w14:textId="00827CE6" w:rsidR="00273A63" w:rsidRPr="00AD4E79" w:rsidRDefault="00273A63" w:rsidP="00D22441">
            <w:pPr>
              <w:jc w:val="center"/>
              <w:rPr>
                <w:rFonts w:ascii="Arial Narrow" w:hAnsi="Arial Narrow" w:cs="Calibri"/>
                <w:spacing w:val="0"/>
                <w:sz w:val="16"/>
                <w:szCs w:val="16"/>
                <w:lang w:val="es-MX" w:eastAsia="es-MX"/>
              </w:rPr>
            </w:pPr>
            <w:r w:rsidRPr="00AD4E79">
              <w:rPr>
                <w:rFonts w:ascii="Arial Narrow" w:hAnsi="Arial Narrow" w:cs="Calibri"/>
                <w:spacing w:val="0"/>
                <w:sz w:val="16"/>
                <w:szCs w:val="16"/>
                <w:lang w:val="es-MX" w:eastAsia="es-MX"/>
              </w:rPr>
              <w:t>SIN REPORTE AL SUI</w:t>
            </w:r>
          </w:p>
        </w:tc>
      </w:tr>
      <w:tr w:rsidR="00AD4E79" w:rsidRPr="00AD4E79" w14:paraId="50D4A1D1" w14:textId="77777777" w:rsidTr="00AD4E79">
        <w:trPr>
          <w:trHeight w:val="290"/>
        </w:trPr>
        <w:tc>
          <w:tcPr>
            <w:tcW w:w="523" w:type="dxa"/>
            <w:tcBorders>
              <w:top w:val="nil"/>
              <w:left w:val="single" w:sz="4" w:space="0" w:color="auto"/>
              <w:bottom w:val="single" w:sz="4" w:space="0" w:color="auto"/>
              <w:right w:val="single" w:sz="4" w:space="0" w:color="auto"/>
            </w:tcBorders>
            <w:shd w:val="clear" w:color="auto" w:fill="auto"/>
            <w:vAlign w:val="center"/>
            <w:hideMark/>
          </w:tcPr>
          <w:p w14:paraId="05518C73" w14:textId="77777777" w:rsidR="00273A63" w:rsidRPr="00AD4E79" w:rsidRDefault="00273A63" w:rsidP="00D22441">
            <w:pPr>
              <w:jc w:val="center"/>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13</w:t>
            </w:r>
          </w:p>
        </w:tc>
        <w:tc>
          <w:tcPr>
            <w:tcW w:w="1030" w:type="dxa"/>
            <w:tcBorders>
              <w:top w:val="nil"/>
              <w:left w:val="nil"/>
              <w:bottom w:val="single" w:sz="4" w:space="0" w:color="auto"/>
              <w:right w:val="single" w:sz="4" w:space="0" w:color="auto"/>
            </w:tcBorders>
            <w:shd w:val="clear" w:color="auto" w:fill="auto"/>
            <w:vAlign w:val="center"/>
            <w:hideMark/>
          </w:tcPr>
          <w:p w14:paraId="2485D05A" w14:textId="77777777" w:rsidR="00273A63" w:rsidRPr="00AD4E79" w:rsidRDefault="00273A63" w:rsidP="00D22441">
            <w:pPr>
              <w:jc w:val="center"/>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842.000.030</w:t>
            </w:r>
          </w:p>
        </w:tc>
        <w:tc>
          <w:tcPr>
            <w:tcW w:w="363" w:type="dxa"/>
            <w:tcBorders>
              <w:top w:val="nil"/>
              <w:left w:val="nil"/>
              <w:bottom w:val="single" w:sz="4" w:space="0" w:color="auto"/>
              <w:right w:val="single" w:sz="4" w:space="0" w:color="auto"/>
            </w:tcBorders>
            <w:shd w:val="clear" w:color="auto" w:fill="auto"/>
            <w:vAlign w:val="center"/>
            <w:hideMark/>
          </w:tcPr>
          <w:p w14:paraId="3C96C57E" w14:textId="77777777" w:rsidR="00273A63" w:rsidRPr="00AD4E79" w:rsidRDefault="00273A63" w:rsidP="00D22441">
            <w:pPr>
              <w:jc w:val="center"/>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6</w:t>
            </w:r>
          </w:p>
        </w:tc>
        <w:tc>
          <w:tcPr>
            <w:tcW w:w="585" w:type="dxa"/>
            <w:tcBorders>
              <w:top w:val="nil"/>
              <w:left w:val="nil"/>
              <w:bottom w:val="single" w:sz="4" w:space="0" w:color="auto"/>
              <w:right w:val="single" w:sz="4" w:space="0" w:color="auto"/>
            </w:tcBorders>
            <w:shd w:val="clear" w:color="auto" w:fill="auto"/>
            <w:vAlign w:val="center"/>
            <w:hideMark/>
          </w:tcPr>
          <w:p w14:paraId="7F234078" w14:textId="77777777" w:rsidR="00273A63" w:rsidRPr="00AD4E79" w:rsidRDefault="00273A63" w:rsidP="00D22441">
            <w:pPr>
              <w:jc w:val="center"/>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2170</w:t>
            </w:r>
          </w:p>
        </w:tc>
        <w:tc>
          <w:tcPr>
            <w:tcW w:w="4298" w:type="dxa"/>
            <w:tcBorders>
              <w:top w:val="nil"/>
              <w:left w:val="nil"/>
              <w:bottom w:val="single" w:sz="4" w:space="0" w:color="auto"/>
              <w:right w:val="single" w:sz="4" w:space="0" w:color="auto"/>
            </w:tcBorders>
            <w:shd w:val="clear" w:color="auto" w:fill="auto"/>
            <w:vAlign w:val="center"/>
            <w:hideMark/>
          </w:tcPr>
          <w:p w14:paraId="066D49A9" w14:textId="77777777" w:rsidR="00273A63" w:rsidRPr="00AD4E79" w:rsidRDefault="00273A63" w:rsidP="00D22441">
            <w:pPr>
              <w:jc w:val="left"/>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EMPRESA SIGLO XXI EICE ESP</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AF9ADC" w14:textId="3EC98CBA" w:rsidR="00273A63" w:rsidRPr="00AD4E79" w:rsidRDefault="00273A63" w:rsidP="00D22441">
            <w:pPr>
              <w:jc w:val="center"/>
              <w:rPr>
                <w:rFonts w:ascii="Arial Narrow" w:hAnsi="Arial Narrow" w:cs="Calibri"/>
                <w:spacing w:val="0"/>
                <w:sz w:val="16"/>
                <w:szCs w:val="16"/>
                <w:lang w:val="es-MX" w:eastAsia="es-MX"/>
              </w:rPr>
            </w:pPr>
            <w:r w:rsidRPr="00AD4E79">
              <w:rPr>
                <w:rFonts w:ascii="Arial Narrow" w:hAnsi="Arial Narrow" w:cs="Calibri"/>
                <w:spacing w:val="0"/>
                <w:sz w:val="16"/>
                <w:szCs w:val="16"/>
                <w:lang w:val="es-MX" w:eastAsia="es-MX"/>
              </w:rPr>
              <w:t>REPORTANTE SUI</w:t>
            </w:r>
          </w:p>
        </w:tc>
      </w:tr>
      <w:tr w:rsidR="00AD4E79" w:rsidRPr="00AD4E79" w14:paraId="6D906B3C" w14:textId="77777777" w:rsidTr="00AD4E79">
        <w:trPr>
          <w:trHeight w:val="400"/>
        </w:trPr>
        <w:tc>
          <w:tcPr>
            <w:tcW w:w="523" w:type="dxa"/>
            <w:tcBorders>
              <w:top w:val="nil"/>
              <w:left w:val="single" w:sz="4" w:space="0" w:color="auto"/>
              <w:bottom w:val="single" w:sz="4" w:space="0" w:color="auto"/>
              <w:right w:val="single" w:sz="4" w:space="0" w:color="auto"/>
            </w:tcBorders>
            <w:shd w:val="clear" w:color="auto" w:fill="auto"/>
            <w:vAlign w:val="center"/>
            <w:hideMark/>
          </w:tcPr>
          <w:p w14:paraId="0850BC1A" w14:textId="77777777" w:rsidR="00273A63" w:rsidRPr="00AD4E79" w:rsidRDefault="00273A63" w:rsidP="00D22441">
            <w:pPr>
              <w:jc w:val="center"/>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14</w:t>
            </w:r>
          </w:p>
        </w:tc>
        <w:tc>
          <w:tcPr>
            <w:tcW w:w="1030" w:type="dxa"/>
            <w:tcBorders>
              <w:top w:val="nil"/>
              <w:left w:val="nil"/>
              <w:bottom w:val="single" w:sz="4" w:space="0" w:color="auto"/>
              <w:right w:val="single" w:sz="4" w:space="0" w:color="auto"/>
            </w:tcBorders>
            <w:shd w:val="clear" w:color="auto" w:fill="auto"/>
            <w:vAlign w:val="center"/>
            <w:hideMark/>
          </w:tcPr>
          <w:p w14:paraId="1C4CD783" w14:textId="77777777" w:rsidR="00273A63" w:rsidRPr="00AD4E79" w:rsidRDefault="00273A63" w:rsidP="00D22441">
            <w:pPr>
              <w:jc w:val="center"/>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846.000.021</w:t>
            </w:r>
          </w:p>
        </w:tc>
        <w:tc>
          <w:tcPr>
            <w:tcW w:w="363" w:type="dxa"/>
            <w:tcBorders>
              <w:top w:val="nil"/>
              <w:left w:val="nil"/>
              <w:bottom w:val="single" w:sz="4" w:space="0" w:color="auto"/>
              <w:right w:val="single" w:sz="4" w:space="0" w:color="auto"/>
            </w:tcBorders>
            <w:shd w:val="clear" w:color="auto" w:fill="auto"/>
            <w:vAlign w:val="center"/>
            <w:hideMark/>
          </w:tcPr>
          <w:p w14:paraId="4AF47A8E" w14:textId="77777777" w:rsidR="00273A63" w:rsidRPr="00AD4E79" w:rsidRDefault="00273A63" w:rsidP="00D22441">
            <w:pPr>
              <w:jc w:val="center"/>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4</w:t>
            </w:r>
          </w:p>
        </w:tc>
        <w:tc>
          <w:tcPr>
            <w:tcW w:w="585" w:type="dxa"/>
            <w:tcBorders>
              <w:top w:val="nil"/>
              <w:left w:val="nil"/>
              <w:bottom w:val="single" w:sz="4" w:space="0" w:color="auto"/>
              <w:right w:val="single" w:sz="4" w:space="0" w:color="auto"/>
            </w:tcBorders>
            <w:shd w:val="clear" w:color="auto" w:fill="auto"/>
            <w:vAlign w:val="center"/>
            <w:hideMark/>
          </w:tcPr>
          <w:p w14:paraId="200E7BBF" w14:textId="77777777" w:rsidR="00273A63" w:rsidRPr="00AD4E79" w:rsidRDefault="00273A63" w:rsidP="00D22441">
            <w:pPr>
              <w:jc w:val="center"/>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1759</w:t>
            </w:r>
          </w:p>
        </w:tc>
        <w:tc>
          <w:tcPr>
            <w:tcW w:w="4298" w:type="dxa"/>
            <w:tcBorders>
              <w:top w:val="nil"/>
              <w:left w:val="nil"/>
              <w:bottom w:val="single" w:sz="4" w:space="0" w:color="auto"/>
              <w:right w:val="single" w:sz="4" w:space="0" w:color="auto"/>
            </w:tcBorders>
            <w:shd w:val="clear" w:color="auto" w:fill="auto"/>
            <w:vAlign w:val="center"/>
            <w:hideMark/>
          </w:tcPr>
          <w:p w14:paraId="66ADFFEA" w14:textId="2F79CD04" w:rsidR="00273A63" w:rsidRPr="00AD4E79" w:rsidRDefault="00273A63" w:rsidP="00D22441">
            <w:pPr>
              <w:jc w:val="left"/>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EMPRESA DE SERVICIOS PUBLICOS DOMICILIARIOS DE PUERTO LEGUIZAMO</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3F9052" w14:textId="7DE4D330" w:rsidR="00273A63" w:rsidRPr="00AD4E79" w:rsidRDefault="00273A63" w:rsidP="00D22441">
            <w:pPr>
              <w:jc w:val="center"/>
              <w:rPr>
                <w:rFonts w:ascii="Arial Narrow" w:hAnsi="Arial Narrow" w:cs="Calibri"/>
                <w:spacing w:val="0"/>
                <w:sz w:val="16"/>
                <w:szCs w:val="16"/>
                <w:lang w:val="es-MX" w:eastAsia="es-MX"/>
              </w:rPr>
            </w:pPr>
            <w:r w:rsidRPr="00AD4E79">
              <w:rPr>
                <w:rFonts w:ascii="Arial Narrow" w:hAnsi="Arial Narrow" w:cs="Calibri"/>
                <w:spacing w:val="0"/>
                <w:sz w:val="16"/>
                <w:szCs w:val="16"/>
                <w:lang w:val="es-MX" w:eastAsia="es-MX"/>
              </w:rPr>
              <w:t>SIN REPORTE AL SUI</w:t>
            </w:r>
          </w:p>
        </w:tc>
      </w:tr>
      <w:tr w:rsidR="00AD4E79" w:rsidRPr="00AD4E79" w14:paraId="3DE9370A" w14:textId="77777777" w:rsidTr="00AD4E79">
        <w:trPr>
          <w:trHeight w:val="290"/>
        </w:trPr>
        <w:tc>
          <w:tcPr>
            <w:tcW w:w="523" w:type="dxa"/>
            <w:tcBorders>
              <w:top w:val="nil"/>
              <w:left w:val="single" w:sz="4" w:space="0" w:color="auto"/>
              <w:bottom w:val="single" w:sz="4" w:space="0" w:color="auto"/>
              <w:right w:val="single" w:sz="4" w:space="0" w:color="auto"/>
            </w:tcBorders>
            <w:shd w:val="clear" w:color="auto" w:fill="auto"/>
            <w:vAlign w:val="center"/>
            <w:hideMark/>
          </w:tcPr>
          <w:p w14:paraId="586EC7A5" w14:textId="77777777" w:rsidR="00273A63" w:rsidRPr="00AD4E79" w:rsidRDefault="00273A63" w:rsidP="00D22441">
            <w:pPr>
              <w:jc w:val="center"/>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15</w:t>
            </w:r>
          </w:p>
        </w:tc>
        <w:tc>
          <w:tcPr>
            <w:tcW w:w="1030" w:type="dxa"/>
            <w:tcBorders>
              <w:top w:val="nil"/>
              <w:left w:val="nil"/>
              <w:bottom w:val="single" w:sz="4" w:space="0" w:color="auto"/>
              <w:right w:val="single" w:sz="4" w:space="0" w:color="auto"/>
            </w:tcBorders>
            <w:shd w:val="clear" w:color="auto" w:fill="auto"/>
            <w:vAlign w:val="center"/>
            <w:hideMark/>
          </w:tcPr>
          <w:p w14:paraId="2CEDDFAE" w14:textId="77777777" w:rsidR="00273A63" w:rsidRPr="00AD4E79" w:rsidRDefault="00273A63" w:rsidP="00D22441">
            <w:pPr>
              <w:jc w:val="center"/>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890.000.377</w:t>
            </w:r>
          </w:p>
        </w:tc>
        <w:tc>
          <w:tcPr>
            <w:tcW w:w="363" w:type="dxa"/>
            <w:tcBorders>
              <w:top w:val="nil"/>
              <w:left w:val="nil"/>
              <w:bottom w:val="single" w:sz="4" w:space="0" w:color="auto"/>
              <w:right w:val="single" w:sz="4" w:space="0" w:color="auto"/>
            </w:tcBorders>
            <w:shd w:val="clear" w:color="auto" w:fill="auto"/>
            <w:vAlign w:val="center"/>
            <w:hideMark/>
          </w:tcPr>
          <w:p w14:paraId="3CAAEEC7" w14:textId="77777777" w:rsidR="00273A63" w:rsidRPr="00AD4E79" w:rsidRDefault="00273A63" w:rsidP="00D22441">
            <w:pPr>
              <w:jc w:val="center"/>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0</w:t>
            </w:r>
          </w:p>
        </w:tc>
        <w:tc>
          <w:tcPr>
            <w:tcW w:w="585" w:type="dxa"/>
            <w:tcBorders>
              <w:top w:val="nil"/>
              <w:left w:val="nil"/>
              <w:bottom w:val="single" w:sz="4" w:space="0" w:color="auto"/>
              <w:right w:val="single" w:sz="4" w:space="0" w:color="auto"/>
            </w:tcBorders>
            <w:shd w:val="clear" w:color="auto" w:fill="auto"/>
            <w:vAlign w:val="center"/>
            <w:hideMark/>
          </w:tcPr>
          <w:p w14:paraId="04971699" w14:textId="77777777" w:rsidR="00273A63" w:rsidRPr="00AD4E79" w:rsidRDefault="00273A63" w:rsidP="00D22441">
            <w:pPr>
              <w:jc w:val="center"/>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997</w:t>
            </w:r>
          </w:p>
        </w:tc>
        <w:tc>
          <w:tcPr>
            <w:tcW w:w="4298" w:type="dxa"/>
            <w:tcBorders>
              <w:top w:val="nil"/>
              <w:left w:val="nil"/>
              <w:bottom w:val="single" w:sz="4" w:space="0" w:color="auto"/>
              <w:right w:val="single" w:sz="4" w:space="0" w:color="auto"/>
            </w:tcBorders>
            <w:shd w:val="clear" w:color="auto" w:fill="auto"/>
            <w:vAlign w:val="center"/>
            <w:hideMark/>
          </w:tcPr>
          <w:p w14:paraId="334A97F1" w14:textId="429D5560" w:rsidR="00273A63" w:rsidRPr="00AD4E79" w:rsidRDefault="00273A63" w:rsidP="00D22441">
            <w:pPr>
              <w:jc w:val="left"/>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EMPRESAS PUBLICAS DE CALARCA E.S.P.</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B3C068" w14:textId="430B660E" w:rsidR="00273A63" w:rsidRPr="00AD4E79" w:rsidRDefault="00273A63" w:rsidP="00D22441">
            <w:pPr>
              <w:jc w:val="center"/>
              <w:rPr>
                <w:rFonts w:ascii="Arial Narrow" w:hAnsi="Arial Narrow" w:cs="Calibri"/>
                <w:spacing w:val="0"/>
                <w:sz w:val="16"/>
                <w:szCs w:val="16"/>
                <w:lang w:val="es-MX" w:eastAsia="es-MX"/>
              </w:rPr>
            </w:pPr>
            <w:r w:rsidRPr="00AD4E79">
              <w:rPr>
                <w:rFonts w:ascii="Arial Narrow" w:hAnsi="Arial Narrow" w:cs="Calibri"/>
                <w:spacing w:val="0"/>
                <w:sz w:val="16"/>
                <w:szCs w:val="16"/>
                <w:lang w:val="es-MX" w:eastAsia="es-MX"/>
              </w:rPr>
              <w:t>REPORTANTE SUI</w:t>
            </w:r>
          </w:p>
        </w:tc>
      </w:tr>
      <w:tr w:rsidR="00AD4E79" w:rsidRPr="00AD4E79" w14:paraId="315305D6" w14:textId="77777777" w:rsidTr="00AD4E79">
        <w:trPr>
          <w:trHeight w:val="290"/>
        </w:trPr>
        <w:tc>
          <w:tcPr>
            <w:tcW w:w="523" w:type="dxa"/>
            <w:tcBorders>
              <w:top w:val="nil"/>
              <w:left w:val="single" w:sz="4" w:space="0" w:color="auto"/>
              <w:bottom w:val="single" w:sz="4" w:space="0" w:color="auto"/>
              <w:right w:val="single" w:sz="4" w:space="0" w:color="auto"/>
            </w:tcBorders>
            <w:shd w:val="clear" w:color="auto" w:fill="auto"/>
            <w:vAlign w:val="center"/>
            <w:hideMark/>
          </w:tcPr>
          <w:p w14:paraId="36F14BA2" w14:textId="77777777" w:rsidR="00273A63" w:rsidRPr="00AD4E79" w:rsidRDefault="00273A63" w:rsidP="00D22441">
            <w:pPr>
              <w:jc w:val="center"/>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16</w:t>
            </w:r>
          </w:p>
        </w:tc>
        <w:tc>
          <w:tcPr>
            <w:tcW w:w="1030" w:type="dxa"/>
            <w:tcBorders>
              <w:top w:val="nil"/>
              <w:left w:val="nil"/>
              <w:bottom w:val="single" w:sz="4" w:space="0" w:color="auto"/>
              <w:right w:val="single" w:sz="4" w:space="0" w:color="auto"/>
            </w:tcBorders>
            <w:shd w:val="clear" w:color="auto" w:fill="auto"/>
            <w:vAlign w:val="center"/>
            <w:hideMark/>
          </w:tcPr>
          <w:p w14:paraId="61EF46E3" w14:textId="77777777" w:rsidR="00273A63" w:rsidRPr="00AD4E79" w:rsidRDefault="00273A63" w:rsidP="00D22441">
            <w:pPr>
              <w:jc w:val="center"/>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890.399.003</w:t>
            </w:r>
          </w:p>
        </w:tc>
        <w:tc>
          <w:tcPr>
            <w:tcW w:w="363" w:type="dxa"/>
            <w:tcBorders>
              <w:top w:val="nil"/>
              <w:left w:val="nil"/>
              <w:bottom w:val="single" w:sz="4" w:space="0" w:color="auto"/>
              <w:right w:val="single" w:sz="4" w:space="0" w:color="auto"/>
            </w:tcBorders>
            <w:shd w:val="clear" w:color="auto" w:fill="auto"/>
            <w:vAlign w:val="center"/>
            <w:hideMark/>
          </w:tcPr>
          <w:p w14:paraId="337F65C8" w14:textId="77777777" w:rsidR="00273A63" w:rsidRPr="00AD4E79" w:rsidRDefault="00273A63" w:rsidP="00D22441">
            <w:pPr>
              <w:jc w:val="center"/>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4</w:t>
            </w:r>
          </w:p>
        </w:tc>
        <w:tc>
          <w:tcPr>
            <w:tcW w:w="585" w:type="dxa"/>
            <w:tcBorders>
              <w:top w:val="nil"/>
              <w:left w:val="nil"/>
              <w:bottom w:val="single" w:sz="4" w:space="0" w:color="auto"/>
              <w:right w:val="single" w:sz="4" w:space="0" w:color="auto"/>
            </w:tcBorders>
            <w:shd w:val="clear" w:color="auto" w:fill="auto"/>
            <w:vAlign w:val="center"/>
            <w:hideMark/>
          </w:tcPr>
          <w:p w14:paraId="3970720A" w14:textId="77777777" w:rsidR="00273A63" w:rsidRPr="00AD4E79" w:rsidRDefault="00273A63" w:rsidP="00D22441">
            <w:pPr>
              <w:jc w:val="center"/>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2438</w:t>
            </w:r>
          </w:p>
        </w:tc>
        <w:tc>
          <w:tcPr>
            <w:tcW w:w="4298" w:type="dxa"/>
            <w:tcBorders>
              <w:top w:val="nil"/>
              <w:left w:val="nil"/>
              <w:bottom w:val="single" w:sz="4" w:space="0" w:color="auto"/>
              <w:right w:val="single" w:sz="4" w:space="0" w:color="auto"/>
            </w:tcBorders>
            <w:shd w:val="clear" w:color="auto" w:fill="auto"/>
            <w:vAlign w:val="center"/>
            <w:hideMark/>
          </w:tcPr>
          <w:p w14:paraId="29D3AEF1" w14:textId="77993DE8" w:rsidR="00273A63" w:rsidRPr="00AD4E79" w:rsidRDefault="00273A63" w:rsidP="00D22441">
            <w:pPr>
              <w:jc w:val="left"/>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EMPRESAS MUNICIPALES DE CALI   E.I.C.E. E.S.P.</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EB2E11" w14:textId="4CC6188F" w:rsidR="00273A63" w:rsidRPr="00AD4E79" w:rsidRDefault="00273A63" w:rsidP="00D22441">
            <w:pPr>
              <w:jc w:val="center"/>
              <w:rPr>
                <w:rFonts w:ascii="Arial Narrow" w:hAnsi="Arial Narrow" w:cs="Calibri"/>
                <w:spacing w:val="0"/>
                <w:sz w:val="16"/>
                <w:szCs w:val="16"/>
                <w:lang w:val="es-MX" w:eastAsia="es-MX"/>
              </w:rPr>
            </w:pPr>
            <w:r w:rsidRPr="00AD4E79">
              <w:rPr>
                <w:rFonts w:ascii="Arial Narrow" w:hAnsi="Arial Narrow" w:cs="Calibri"/>
                <w:spacing w:val="0"/>
                <w:sz w:val="16"/>
                <w:szCs w:val="16"/>
                <w:lang w:val="es-MX" w:eastAsia="es-MX"/>
              </w:rPr>
              <w:t>REPORTANTE SUI</w:t>
            </w:r>
          </w:p>
        </w:tc>
      </w:tr>
      <w:tr w:rsidR="00AD4E79" w:rsidRPr="00AD4E79" w14:paraId="6746C47E" w14:textId="77777777" w:rsidTr="00AD4E79">
        <w:trPr>
          <w:trHeight w:val="290"/>
        </w:trPr>
        <w:tc>
          <w:tcPr>
            <w:tcW w:w="523" w:type="dxa"/>
            <w:tcBorders>
              <w:top w:val="nil"/>
              <w:left w:val="single" w:sz="4" w:space="0" w:color="auto"/>
              <w:bottom w:val="single" w:sz="4" w:space="0" w:color="auto"/>
              <w:right w:val="single" w:sz="4" w:space="0" w:color="auto"/>
            </w:tcBorders>
            <w:shd w:val="clear" w:color="auto" w:fill="auto"/>
            <w:vAlign w:val="center"/>
            <w:hideMark/>
          </w:tcPr>
          <w:p w14:paraId="5913BD67" w14:textId="77777777" w:rsidR="00273A63" w:rsidRPr="00AD4E79" w:rsidRDefault="00273A63" w:rsidP="00D22441">
            <w:pPr>
              <w:jc w:val="center"/>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17</w:t>
            </w:r>
          </w:p>
        </w:tc>
        <w:tc>
          <w:tcPr>
            <w:tcW w:w="1030" w:type="dxa"/>
            <w:tcBorders>
              <w:top w:val="nil"/>
              <w:left w:val="nil"/>
              <w:bottom w:val="single" w:sz="4" w:space="0" w:color="auto"/>
              <w:right w:val="single" w:sz="4" w:space="0" w:color="auto"/>
            </w:tcBorders>
            <w:shd w:val="clear" w:color="auto" w:fill="auto"/>
            <w:vAlign w:val="center"/>
            <w:hideMark/>
          </w:tcPr>
          <w:p w14:paraId="65561060" w14:textId="77777777" w:rsidR="00273A63" w:rsidRPr="00AD4E79" w:rsidRDefault="00273A63" w:rsidP="00D22441">
            <w:pPr>
              <w:jc w:val="center"/>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890.904.996</w:t>
            </w:r>
          </w:p>
        </w:tc>
        <w:tc>
          <w:tcPr>
            <w:tcW w:w="363" w:type="dxa"/>
            <w:tcBorders>
              <w:top w:val="nil"/>
              <w:left w:val="nil"/>
              <w:bottom w:val="single" w:sz="4" w:space="0" w:color="auto"/>
              <w:right w:val="single" w:sz="4" w:space="0" w:color="auto"/>
            </w:tcBorders>
            <w:shd w:val="clear" w:color="auto" w:fill="auto"/>
            <w:vAlign w:val="center"/>
            <w:hideMark/>
          </w:tcPr>
          <w:p w14:paraId="31BF2BA9" w14:textId="77777777" w:rsidR="00273A63" w:rsidRPr="00AD4E79" w:rsidRDefault="00273A63" w:rsidP="00D22441">
            <w:pPr>
              <w:jc w:val="center"/>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1</w:t>
            </w:r>
          </w:p>
        </w:tc>
        <w:tc>
          <w:tcPr>
            <w:tcW w:w="585" w:type="dxa"/>
            <w:tcBorders>
              <w:top w:val="nil"/>
              <w:left w:val="nil"/>
              <w:bottom w:val="single" w:sz="4" w:space="0" w:color="auto"/>
              <w:right w:val="single" w:sz="4" w:space="0" w:color="auto"/>
            </w:tcBorders>
            <w:shd w:val="clear" w:color="auto" w:fill="auto"/>
            <w:vAlign w:val="center"/>
            <w:hideMark/>
          </w:tcPr>
          <w:p w14:paraId="0DFAC4BE" w14:textId="77777777" w:rsidR="00273A63" w:rsidRPr="00AD4E79" w:rsidRDefault="00273A63" w:rsidP="00D22441">
            <w:pPr>
              <w:jc w:val="center"/>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564</w:t>
            </w:r>
          </w:p>
        </w:tc>
        <w:tc>
          <w:tcPr>
            <w:tcW w:w="4298" w:type="dxa"/>
            <w:tcBorders>
              <w:top w:val="nil"/>
              <w:left w:val="nil"/>
              <w:bottom w:val="single" w:sz="4" w:space="0" w:color="auto"/>
              <w:right w:val="single" w:sz="4" w:space="0" w:color="auto"/>
            </w:tcBorders>
            <w:shd w:val="clear" w:color="auto" w:fill="auto"/>
            <w:vAlign w:val="center"/>
            <w:hideMark/>
          </w:tcPr>
          <w:p w14:paraId="685A7866" w14:textId="77777777" w:rsidR="00273A63" w:rsidRPr="00AD4E79" w:rsidRDefault="00273A63" w:rsidP="00D22441">
            <w:pPr>
              <w:jc w:val="left"/>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EMPRESAS PÚBLICAS DE MEDELLIN E.S.P.</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9D6EA" w14:textId="7BC021AE" w:rsidR="00273A63" w:rsidRPr="00AD4E79" w:rsidRDefault="00273A63" w:rsidP="00D22441">
            <w:pPr>
              <w:jc w:val="center"/>
              <w:rPr>
                <w:rFonts w:ascii="Arial Narrow" w:hAnsi="Arial Narrow" w:cs="Calibri"/>
                <w:spacing w:val="0"/>
                <w:sz w:val="16"/>
                <w:szCs w:val="16"/>
                <w:lang w:val="es-MX" w:eastAsia="es-MX"/>
              </w:rPr>
            </w:pPr>
            <w:r w:rsidRPr="00AD4E79">
              <w:rPr>
                <w:rFonts w:ascii="Arial Narrow" w:hAnsi="Arial Narrow" w:cs="Calibri"/>
                <w:spacing w:val="0"/>
                <w:sz w:val="16"/>
                <w:szCs w:val="16"/>
                <w:lang w:val="es-MX" w:eastAsia="es-MX"/>
              </w:rPr>
              <w:t>REPORTANTE SUI</w:t>
            </w:r>
          </w:p>
        </w:tc>
      </w:tr>
      <w:tr w:rsidR="00AD4E79" w:rsidRPr="00AD4E79" w14:paraId="7FEF3ED4" w14:textId="77777777" w:rsidTr="00AD4E79">
        <w:trPr>
          <w:trHeight w:val="290"/>
        </w:trPr>
        <w:tc>
          <w:tcPr>
            <w:tcW w:w="523" w:type="dxa"/>
            <w:tcBorders>
              <w:top w:val="nil"/>
              <w:left w:val="single" w:sz="4" w:space="0" w:color="auto"/>
              <w:bottom w:val="single" w:sz="4" w:space="0" w:color="auto"/>
              <w:right w:val="single" w:sz="4" w:space="0" w:color="auto"/>
            </w:tcBorders>
            <w:shd w:val="clear" w:color="auto" w:fill="auto"/>
            <w:vAlign w:val="center"/>
            <w:hideMark/>
          </w:tcPr>
          <w:p w14:paraId="20ED0EC9" w14:textId="77777777" w:rsidR="00273A63" w:rsidRPr="00AD4E79" w:rsidRDefault="00273A63" w:rsidP="00D22441">
            <w:pPr>
              <w:jc w:val="center"/>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18</w:t>
            </w:r>
          </w:p>
        </w:tc>
        <w:tc>
          <w:tcPr>
            <w:tcW w:w="1030" w:type="dxa"/>
            <w:tcBorders>
              <w:top w:val="nil"/>
              <w:left w:val="nil"/>
              <w:bottom w:val="single" w:sz="4" w:space="0" w:color="auto"/>
              <w:right w:val="single" w:sz="4" w:space="0" w:color="auto"/>
            </w:tcBorders>
            <w:shd w:val="clear" w:color="auto" w:fill="auto"/>
            <w:vAlign w:val="center"/>
            <w:hideMark/>
          </w:tcPr>
          <w:p w14:paraId="415CF5E8" w14:textId="77777777" w:rsidR="00273A63" w:rsidRPr="00AD4E79" w:rsidRDefault="00273A63" w:rsidP="00D22441">
            <w:pPr>
              <w:jc w:val="center"/>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892.099.001</w:t>
            </w:r>
          </w:p>
        </w:tc>
        <w:tc>
          <w:tcPr>
            <w:tcW w:w="363" w:type="dxa"/>
            <w:tcBorders>
              <w:top w:val="nil"/>
              <w:left w:val="nil"/>
              <w:bottom w:val="single" w:sz="4" w:space="0" w:color="auto"/>
              <w:right w:val="single" w:sz="4" w:space="0" w:color="auto"/>
            </w:tcBorders>
            <w:shd w:val="clear" w:color="auto" w:fill="auto"/>
            <w:vAlign w:val="center"/>
            <w:hideMark/>
          </w:tcPr>
          <w:p w14:paraId="2652AAA9" w14:textId="77777777" w:rsidR="00273A63" w:rsidRPr="00AD4E79" w:rsidRDefault="00273A63" w:rsidP="00D22441">
            <w:pPr>
              <w:jc w:val="center"/>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1</w:t>
            </w:r>
          </w:p>
        </w:tc>
        <w:tc>
          <w:tcPr>
            <w:tcW w:w="585" w:type="dxa"/>
            <w:tcBorders>
              <w:top w:val="nil"/>
              <w:left w:val="nil"/>
              <w:bottom w:val="single" w:sz="4" w:space="0" w:color="auto"/>
              <w:right w:val="single" w:sz="4" w:space="0" w:color="auto"/>
            </w:tcBorders>
            <w:shd w:val="clear" w:color="auto" w:fill="auto"/>
            <w:vAlign w:val="center"/>
            <w:hideMark/>
          </w:tcPr>
          <w:p w14:paraId="4C69E604" w14:textId="77777777" w:rsidR="00273A63" w:rsidRPr="00AD4E79" w:rsidRDefault="00273A63" w:rsidP="00D22441">
            <w:pPr>
              <w:jc w:val="center"/>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2722</w:t>
            </w:r>
          </w:p>
        </w:tc>
        <w:tc>
          <w:tcPr>
            <w:tcW w:w="4298" w:type="dxa"/>
            <w:tcBorders>
              <w:top w:val="nil"/>
              <w:left w:val="nil"/>
              <w:bottom w:val="single" w:sz="4" w:space="0" w:color="auto"/>
              <w:right w:val="single" w:sz="4" w:space="0" w:color="auto"/>
            </w:tcBorders>
            <w:shd w:val="clear" w:color="auto" w:fill="auto"/>
            <w:vAlign w:val="center"/>
            <w:hideMark/>
          </w:tcPr>
          <w:p w14:paraId="15AA1261" w14:textId="77777777" w:rsidR="00273A63" w:rsidRPr="00AD4E79" w:rsidRDefault="00273A63" w:rsidP="00D22441">
            <w:pPr>
              <w:jc w:val="left"/>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JUNTA DE SERVICIOS PUBLICOS DEL MUNICIPIO DEL CALVARIO</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8FCE6F" w14:textId="14BCB5A7" w:rsidR="00273A63" w:rsidRPr="00AD4E79" w:rsidRDefault="00273A63" w:rsidP="00D22441">
            <w:pPr>
              <w:jc w:val="center"/>
              <w:rPr>
                <w:rFonts w:ascii="Arial Narrow" w:hAnsi="Arial Narrow" w:cs="Calibri"/>
                <w:spacing w:val="0"/>
                <w:sz w:val="16"/>
                <w:szCs w:val="16"/>
                <w:lang w:val="es-MX" w:eastAsia="es-MX"/>
              </w:rPr>
            </w:pPr>
            <w:r w:rsidRPr="00AD4E79">
              <w:rPr>
                <w:rFonts w:ascii="Arial Narrow" w:hAnsi="Arial Narrow" w:cs="Calibri"/>
                <w:spacing w:val="0"/>
                <w:sz w:val="16"/>
                <w:szCs w:val="16"/>
                <w:lang w:val="es-MX" w:eastAsia="es-MX"/>
              </w:rPr>
              <w:t>SIN REPORTE AL SUI</w:t>
            </w:r>
          </w:p>
        </w:tc>
      </w:tr>
      <w:tr w:rsidR="00AD4E79" w:rsidRPr="00AD4E79" w14:paraId="62BEFAD6" w14:textId="77777777" w:rsidTr="00AD4E79">
        <w:trPr>
          <w:trHeight w:val="290"/>
        </w:trPr>
        <w:tc>
          <w:tcPr>
            <w:tcW w:w="523" w:type="dxa"/>
            <w:tcBorders>
              <w:top w:val="nil"/>
              <w:left w:val="single" w:sz="4" w:space="0" w:color="auto"/>
              <w:bottom w:val="single" w:sz="4" w:space="0" w:color="auto"/>
              <w:right w:val="single" w:sz="4" w:space="0" w:color="auto"/>
            </w:tcBorders>
            <w:shd w:val="clear" w:color="auto" w:fill="auto"/>
            <w:vAlign w:val="center"/>
            <w:hideMark/>
          </w:tcPr>
          <w:p w14:paraId="184A484C" w14:textId="77777777" w:rsidR="00273A63" w:rsidRPr="00AD4E79" w:rsidRDefault="00273A63" w:rsidP="00D22441">
            <w:pPr>
              <w:jc w:val="center"/>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19</w:t>
            </w:r>
          </w:p>
        </w:tc>
        <w:tc>
          <w:tcPr>
            <w:tcW w:w="1030" w:type="dxa"/>
            <w:tcBorders>
              <w:top w:val="nil"/>
              <w:left w:val="nil"/>
              <w:bottom w:val="single" w:sz="4" w:space="0" w:color="auto"/>
              <w:right w:val="single" w:sz="4" w:space="0" w:color="auto"/>
            </w:tcBorders>
            <w:shd w:val="clear" w:color="auto" w:fill="auto"/>
            <w:vAlign w:val="center"/>
            <w:hideMark/>
          </w:tcPr>
          <w:p w14:paraId="74C45A0E" w14:textId="77777777" w:rsidR="00273A63" w:rsidRPr="00AD4E79" w:rsidRDefault="00273A63" w:rsidP="00D22441">
            <w:pPr>
              <w:jc w:val="center"/>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900.008.613</w:t>
            </w:r>
          </w:p>
        </w:tc>
        <w:tc>
          <w:tcPr>
            <w:tcW w:w="363" w:type="dxa"/>
            <w:tcBorders>
              <w:top w:val="nil"/>
              <w:left w:val="nil"/>
              <w:bottom w:val="single" w:sz="4" w:space="0" w:color="auto"/>
              <w:right w:val="single" w:sz="4" w:space="0" w:color="auto"/>
            </w:tcBorders>
            <w:shd w:val="clear" w:color="auto" w:fill="auto"/>
            <w:vAlign w:val="center"/>
            <w:hideMark/>
          </w:tcPr>
          <w:p w14:paraId="2BBFD21C" w14:textId="77777777" w:rsidR="00273A63" w:rsidRPr="00AD4E79" w:rsidRDefault="00273A63" w:rsidP="00D22441">
            <w:pPr>
              <w:jc w:val="center"/>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6</w:t>
            </w:r>
          </w:p>
        </w:tc>
        <w:tc>
          <w:tcPr>
            <w:tcW w:w="585" w:type="dxa"/>
            <w:tcBorders>
              <w:top w:val="nil"/>
              <w:left w:val="nil"/>
              <w:bottom w:val="single" w:sz="4" w:space="0" w:color="auto"/>
              <w:right w:val="single" w:sz="4" w:space="0" w:color="auto"/>
            </w:tcBorders>
            <w:shd w:val="clear" w:color="auto" w:fill="auto"/>
            <w:vAlign w:val="center"/>
            <w:hideMark/>
          </w:tcPr>
          <w:p w14:paraId="78EC3BEF" w14:textId="77777777" w:rsidR="00273A63" w:rsidRPr="00AD4E79" w:rsidRDefault="00273A63" w:rsidP="00D22441">
            <w:pPr>
              <w:jc w:val="center"/>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20504</w:t>
            </w:r>
          </w:p>
        </w:tc>
        <w:tc>
          <w:tcPr>
            <w:tcW w:w="4298" w:type="dxa"/>
            <w:tcBorders>
              <w:top w:val="nil"/>
              <w:left w:val="nil"/>
              <w:bottom w:val="single" w:sz="4" w:space="0" w:color="auto"/>
              <w:right w:val="single" w:sz="4" w:space="0" w:color="auto"/>
            </w:tcBorders>
            <w:shd w:val="clear" w:color="auto" w:fill="auto"/>
            <w:vAlign w:val="center"/>
            <w:hideMark/>
          </w:tcPr>
          <w:p w14:paraId="19C42FC5" w14:textId="77777777" w:rsidR="00273A63" w:rsidRPr="00AD4E79" w:rsidRDefault="00273A63" w:rsidP="00D22441">
            <w:pPr>
              <w:jc w:val="left"/>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COOPERATIVA DE SERVICIOS PUBLICOS DE CUPICA</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695A6E" w14:textId="384793EE" w:rsidR="00273A63" w:rsidRPr="00AD4E79" w:rsidRDefault="00273A63" w:rsidP="00D22441">
            <w:pPr>
              <w:jc w:val="center"/>
              <w:rPr>
                <w:rFonts w:ascii="Arial Narrow" w:hAnsi="Arial Narrow" w:cs="Calibri"/>
                <w:spacing w:val="0"/>
                <w:sz w:val="16"/>
                <w:szCs w:val="16"/>
                <w:lang w:val="es-MX" w:eastAsia="es-MX"/>
              </w:rPr>
            </w:pPr>
            <w:r w:rsidRPr="00AD4E79">
              <w:rPr>
                <w:rFonts w:ascii="Arial Narrow" w:hAnsi="Arial Narrow" w:cs="Calibri"/>
                <w:spacing w:val="0"/>
                <w:sz w:val="16"/>
                <w:szCs w:val="16"/>
                <w:lang w:val="es-MX" w:eastAsia="es-MX"/>
              </w:rPr>
              <w:t>SIN REPORTE AL SUI</w:t>
            </w:r>
          </w:p>
        </w:tc>
      </w:tr>
      <w:tr w:rsidR="00AD4E79" w:rsidRPr="00AD4E79" w14:paraId="68EC3886" w14:textId="77777777" w:rsidTr="00AD4E79">
        <w:trPr>
          <w:trHeight w:val="400"/>
        </w:trPr>
        <w:tc>
          <w:tcPr>
            <w:tcW w:w="523" w:type="dxa"/>
            <w:tcBorders>
              <w:top w:val="nil"/>
              <w:left w:val="single" w:sz="4" w:space="0" w:color="auto"/>
              <w:bottom w:val="single" w:sz="4" w:space="0" w:color="auto"/>
              <w:right w:val="single" w:sz="4" w:space="0" w:color="auto"/>
            </w:tcBorders>
            <w:shd w:val="clear" w:color="auto" w:fill="auto"/>
            <w:vAlign w:val="center"/>
            <w:hideMark/>
          </w:tcPr>
          <w:p w14:paraId="53A9CB84" w14:textId="77777777" w:rsidR="00273A63" w:rsidRPr="00AD4E79" w:rsidRDefault="00273A63" w:rsidP="00D22441">
            <w:pPr>
              <w:jc w:val="center"/>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20</w:t>
            </w:r>
          </w:p>
        </w:tc>
        <w:tc>
          <w:tcPr>
            <w:tcW w:w="1030" w:type="dxa"/>
            <w:tcBorders>
              <w:top w:val="nil"/>
              <w:left w:val="nil"/>
              <w:bottom w:val="single" w:sz="4" w:space="0" w:color="auto"/>
              <w:right w:val="single" w:sz="4" w:space="0" w:color="auto"/>
            </w:tcBorders>
            <w:shd w:val="clear" w:color="auto" w:fill="auto"/>
            <w:vAlign w:val="center"/>
            <w:hideMark/>
          </w:tcPr>
          <w:p w14:paraId="33F176BF" w14:textId="77777777" w:rsidR="00273A63" w:rsidRPr="00AD4E79" w:rsidRDefault="00273A63" w:rsidP="00D22441">
            <w:pPr>
              <w:jc w:val="center"/>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900.063.884</w:t>
            </w:r>
          </w:p>
        </w:tc>
        <w:tc>
          <w:tcPr>
            <w:tcW w:w="363" w:type="dxa"/>
            <w:tcBorders>
              <w:top w:val="nil"/>
              <w:left w:val="nil"/>
              <w:bottom w:val="single" w:sz="4" w:space="0" w:color="auto"/>
              <w:right w:val="single" w:sz="4" w:space="0" w:color="auto"/>
            </w:tcBorders>
            <w:shd w:val="clear" w:color="auto" w:fill="auto"/>
            <w:vAlign w:val="center"/>
            <w:hideMark/>
          </w:tcPr>
          <w:p w14:paraId="51655786" w14:textId="77777777" w:rsidR="00273A63" w:rsidRPr="00AD4E79" w:rsidRDefault="00273A63" w:rsidP="00D22441">
            <w:pPr>
              <w:jc w:val="center"/>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9</w:t>
            </w:r>
          </w:p>
        </w:tc>
        <w:tc>
          <w:tcPr>
            <w:tcW w:w="585" w:type="dxa"/>
            <w:tcBorders>
              <w:top w:val="nil"/>
              <w:left w:val="nil"/>
              <w:bottom w:val="single" w:sz="4" w:space="0" w:color="auto"/>
              <w:right w:val="single" w:sz="4" w:space="0" w:color="auto"/>
            </w:tcBorders>
            <w:shd w:val="clear" w:color="auto" w:fill="auto"/>
            <w:vAlign w:val="center"/>
            <w:hideMark/>
          </w:tcPr>
          <w:p w14:paraId="37DB9D3A" w14:textId="77777777" w:rsidR="00273A63" w:rsidRPr="00AD4E79" w:rsidRDefault="00273A63" w:rsidP="00D22441">
            <w:pPr>
              <w:jc w:val="center"/>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20536</w:t>
            </w:r>
          </w:p>
        </w:tc>
        <w:tc>
          <w:tcPr>
            <w:tcW w:w="4298" w:type="dxa"/>
            <w:tcBorders>
              <w:top w:val="nil"/>
              <w:left w:val="nil"/>
              <w:bottom w:val="single" w:sz="4" w:space="0" w:color="auto"/>
              <w:right w:val="single" w:sz="4" w:space="0" w:color="auto"/>
            </w:tcBorders>
            <w:shd w:val="clear" w:color="auto" w:fill="auto"/>
            <w:vAlign w:val="center"/>
            <w:hideMark/>
          </w:tcPr>
          <w:p w14:paraId="7F2B82F9" w14:textId="77777777" w:rsidR="00273A63" w:rsidRPr="00AD4E79" w:rsidRDefault="00273A63" w:rsidP="00D22441">
            <w:pPr>
              <w:jc w:val="left"/>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EMPRESA MUNICIPAL DE SERVICIOS PUBLICOS DE PUERTO PARRA EMSEPAR E.S.P. S.A.</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4C808B" w14:textId="6377213D" w:rsidR="00273A63" w:rsidRPr="00AD4E79" w:rsidRDefault="00273A63" w:rsidP="00D22441">
            <w:pPr>
              <w:jc w:val="center"/>
              <w:rPr>
                <w:rFonts w:ascii="Arial Narrow" w:hAnsi="Arial Narrow" w:cs="Calibri"/>
                <w:spacing w:val="0"/>
                <w:sz w:val="16"/>
                <w:szCs w:val="16"/>
                <w:lang w:val="es-MX" w:eastAsia="es-MX"/>
              </w:rPr>
            </w:pPr>
            <w:r w:rsidRPr="00AD4E79">
              <w:rPr>
                <w:rFonts w:ascii="Arial Narrow" w:hAnsi="Arial Narrow" w:cs="Calibri"/>
                <w:spacing w:val="0"/>
                <w:sz w:val="16"/>
                <w:szCs w:val="16"/>
                <w:lang w:val="es-MX" w:eastAsia="es-MX"/>
              </w:rPr>
              <w:t>SIN REPORTE AL SUI</w:t>
            </w:r>
          </w:p>
        </w:tc>
      </w:tr>
      <w:tr w:rsidR="00AD4E79" w:rsidRPr="00AD4E79" w14:paraId="28F06201" w14:textId="77777777" w:rsidTr="00AD4E79">
        <w:trPr>
          <w:trHeight w:val="400"/>
        </w:trPr>
        <w:tc>
          <w:tcPr>
            <w:tcW w:w="523" w:type="dxa"/>
            <w:tcBorders>
              <w:top w:val="nil"/>
              <w:left w:val="single" w:sz="4" w:space="0" w:color="auto"/>
              <w:bottom w:val="single" w:sz="4" w:space="0" w:color="auto"/>
              <w:right w:val="single" w:sz="4" w:space="0" w:color="auto"/>
            </w:tcBorders>
            <w:shd w:val="clear" w:color="auto" w:fill="auto"/>
            <w:vAlign w:val="center"/>
            <w:hideMark/>
          </w:tcPr>
          <w:p w14:paraId="49415953" w14:textId="77777777" w:rsidR="00273A63" w:rsidRPr="00AD4E79" w:rsidRDefault="00273A63" w:rsidP="00D22441">
            <w:pPr>
              <w:jc w:val="center"/>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21</w:t>
            </w:r>
          </w:p>
        </w:tc>
        <w:tc>
          <w:tcPr>
            <w:tcW w:w="1030" w:type="dxa"/>
            <w:tcBorders>
              <w:top w:val="nil"/>
              <w:left w:val="nil"/>
              <w:bottom w:val="single" w:sz="4" w:space="0" w:color="auto"/>
              <w:right w:val="single" w:sz="4" w:space="0" w:color="auto"/>
            </w:tcBorders>
            <w:shd w:val="clear" w:color="auto" w:fill="auto"/>
            <w:vAlign w:val="center"/>
            <w:hideMark/>
          </w:tcPr>
          <w:p w14:paraId="6B0CAD86" w14:textId="77777777" w:rsidR="00273A63" w:rsidRPr="00AD4E79" w:rsidRDefault="00273A63" w:rsidP="00D22441">
            <w:pPr>
              <w:jc w:val="center"/>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900.251.955</w:t>
            </w:r>
          </w:p>
        </w:tc>
        <w:tc>
          <w:tcPr>
            <w:tcW w:w="363" w:type="dxa"/>
            <w:tcBorders>
              <w:top w:val="nil"/>
              <w:left w:val="nil"/>
              <w:bottom w:val="single" w:sz="4" w:space="0" w:color="auto"/>
              <w:right w:val="single" w:sz="4" w:space="0" w:color="auto"/>
            </w:tcBorders>
            <w:shd w:val="clear" w:color="auto" w:fill="auto"/>
            <w:vAlign w:val="center"/>
            <w:hideMark/>
          </w:tcPr>
          <w:p w14:paraId="6069EEDB" w14:textId="77777777" w:rsidR="00273A63" w:rsidRPr="00AD4E79" w:rsidRDefault="00273A63" w:rsidP="00D22441">
            <w:pPr>
              <w:jc w:val="center"/>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1</w:t>
            </w:r>
          </w:p>
        </w:tc>
        <w:tc>
          <w:tcPr>
            <w:tcW w:w="585" w:type="dxa"/>
            <w:tcBorders>
              <w:top w:val="nil"/>
              <w:left w:val="nil"/>
              <w:bottom w:val="single" w:sz="4" w:space="0" w:color="auto"/>
              <w:right w:val="single" w:sz="4" w:space="0" w:color="auto"/>
            </w:tcBorders>
            <w:shd w:val="clear" w:color="auto" w:fill="auto"/>
            <w:vAlign w:val="center"/>
            <w:hideMark/>
          </w:tcPr>
          <w:p w14:paraId="5AFD2717" w14:textId="77777777" w:rsidR="00273A63" w:rsidRPr="00AD4E79" w:rsidRDefault="00273A63" w:rsidP="00D22441">
            <w:pPr>
              <w:jc w:val="center"/>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22511</w:t>
            </w:r>
          </w:p>
        </w:tc>
        <w:tc>
          <w:tcPr>
            <w:tcW w:w="4298" w:type="dxa"/>
            <w:tcBorders>
              <w:top w:val="nil"/>
              <w:left w:val="nil"/>
              <w:bottom w:val="single" w:sz="4" w:space="0" w:color="auto"/>
              <w:right w:val="single" w:sz="4" w:space="0" w:color="auto"/>
            </w:tcBorders>
            <w:shd w:val="clear" w:color="auto" w:fill="auto"/>
            <w:vAlign w:val="center"/>
            <w:hideMark/>
          </w:tcPr>
          <w:p w14:paraId="3CD18DE6" w14:textId="77777777" w:rsidR="00273A63" w:rsidRPr="00AD4E79" w:rsidRDefault="00273A63" w:rsidP="00D22441">
            <w:pPr>
              <w:jc w:val="left"/>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EMPRESA MUNICIPAL DE SERVICIOS PUBLICOS DE OROCUE SA ESP</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3D83A6" w14:textId="68378EBB" w:rsidR="00273A63" w:rsidRPr="00AD4E79" w:rsidRDefault="00273A63" w:rsidP="00D22441">
            <w:pPr>
              <w:jc w:val="center"/>
              <w:rPr>
                <w:rFonts w:ascii="Arial Narrow" w:hAnsi="Arial Narrow" w:cs="Calibri"/>
                <w:spacing w:val="0"/>
                <w:sz w:val="16"/>
                <w:szCs w:val="16"/>
                <w:lang w:val="es-MX" w:eastAsia="es-MX"/>
              </w:rPr>
            </w:pPr>
            <w:r w:rsidRPr="00AD4E79">
              <w:rPr>
                <w:rFonts w:ascii="Arial Narrow" w:hAnsi="Arial Narrow" w:cs="Calibri"/>
                <w:spacing w:val="0"/>
                <w:sz w:val="16"/>
                <w:szCs w:val="16"/>
                <w:lang w:val="es-MX" w:eastAsia="es-MX"/>
              </w:rPr>
              <w:t>REPORTANTE SUI</w:t>
            </w:r>
          </w:p>
        </w:tc>
      </w:tr>
      <w:tr w:rsidR="00AD4E79" w:rsidRPr="00AD4E79" w14:paraId="56F83C4A" w14:textId="77777777" w:rsidTr="00AD4E79">
        <w:trPr>
          <w:trHeight w:val="400"/>
        </w:trPr>
        <w:tc>
          <w:tcPr>
            <w:tcW w:w="523" w:type="dxa"/>
            <w:tcBorders>
              <w:top w:val="nil"/>
              <w:left w:val="single" w:sz="4" w:space="0" w:color="auto"/>
              <w:bottom w:val="single" w:sz="4" w:space="0" w:color="auto"/>
              <w:right w:val="single" w:sz="4" w:space="0" w:color="auto"/>
            </w:tcBorders>
            <w:shd w:val="clear" w:color="auto" w:fill="auto"/>
            <w:vAlign w:val="center"/>
            <w:hideMark/>
          </w:tcPr>
          <w:p w14:paraId="28EC8D04" w14:textId="77777777" w:rsidR="00273A63" w:rsidRPr="00AD4E79" w:rsidRDefault="00273A63" w:rsidP="00D22441">
            <w:pPr>
              <w:jc w:val="center"/>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22</w:t>
            </w:r>
          </w:p>
        </w:tc>
        <w:tc>
          <w:tcPr>
            <w:tcW w:w="1030" w:type="dxa"/>
            <w:tcBorders>
              <w:top w:val="nil"/>
              <w:left w:val="nil"/>
              <w:bottom w:val="single" w:sz="4" w:space="0" w:color="auto"/>
              <w:right w:val="single" w:sz="4" w:space="0" w:color="auto"/>
            </w:tcBorders>
            <w:shd w:val="clear" w:color="auto" w:fill="auto"/>
            <w:vAlign w:val="center"/>
            <w:hideMark/>
          </w:tcPr>
          <w:p w14:paraId="15EAA554" w14:textId="77777777" w:rsidR="00273A63" w:rsidRPr="00AD4E79" w:rsidRDefault="00273A63" w:rsidP="00D22441">
            <w:pPr>
              <w:jc w:val="center"/>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900.304.997</w:t>
            </w:r>
          </w:p>
        </w:tc>
        <w:tc>
          <w:tcPr>
            <w:tcW w:w="363" w:type="dxa"/>
            <w:tcBorders>
              <w:top w:val="nil"/>
              <w:left w:val="nil"/>
              <w:bottom w:val="single" w:sz="4" w:space="0" w:color="auto"/>
              <w:right w:val="single" w:sz="4" w:space="0" w:color="auto"/>
            </w:tcBorders>
            <w:shd w:val="clear" w:color="auto" w:fill="auto"/>
            <w:vAlign w:val="center"/>
            <w:hideMark/>
          </w:tcPr>
          <w:p w14:paraId="65D536F1" w14:textId="77777777" w:rsidR="00273A63" w:rsidRPr="00AD4E79" w:rsidRDefault="00273A63" w:rsidP="00D22441">
            <w:pPr>
              <w:jc w:val="center"/>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8</w:t>
            </w:r>
          </w:p>
        </w:tc>
        <w:tc>
          <w:tcPr>
            <w:tcW w:w="585" w:type="dxa"/>
            <w:tcBorders>
              <w:top w:val="nil"/>
              <w:left w:val="nil"/>
              <w:bottom w:val="single" w:sz="4" w:space="0" w:color="auto"/>
              <w:right w:val="single" w:sz="4" w:space="0" w:color="auto"/>
            </w:tcBorders>
            <w:shd w:val="clear" w:color="auto" w:fill="auto"/>
            <w:vAlign w:val="center"/>
            <w:hideMark/>
          </w:tcPr>
          <w:p w14:paraId="3FA9BAEE" w14:textId="77777777" w:rsidR="00273A63" w:rsidRPr="00AD4E79" w:rsidRDefault="00273A63" w:rsidP="00D22441">
            <w:pPr>
              <w:jc w:val="center"/>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23104</w:t>
            </w:r>
          </w:p>
        </w:tc>
        <w:tc>
          <w:tcPr>
            <w:tcW w:w="4298" w:type="dxa"/>
            <w:tcBorders>
              <w:top w:val="nil"/>
              <w:left w:val="nil"/>
              <w:bottom w:val="single" w:sz="4" w:space="0" w:color="auto"/>
              <w:right w:val="single" w:sz="4" w:space="0" w:color="auto"/>
            </w:tcBorders>
            <w:shd w:val="clear" w:color="auto" w:fill="auto"/>
            <w:vAlign w:val="center"/>
            <w:hideMark/>
          </w:tcPr>
          <w:p w14:paraId="6D750E35" w14:textId="77777777" w:rsidR="00273A63" w:rsidRPr="00AD4E79" w:rsidRDefault="00273A63" w:rsidP="00D22441">
            <w:pPr>
              <w:jc w:val="left"/>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EMPRESA ADMINISTRATIVA DE SERVICIOS PUBLICOS DOMICILIARIOS DE EL VALLE DEL GUAMUEZ S.A. E.S.P.</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AEE79D" w14:textId="7C7731D9" w:rsidR="00273A63" w:rsidRPr="00AD4E79" w:rsidRDefault="00273A63" w:rsidP="00D22441">
            <w:pPr>
              <w:jc w:val="center"/>
              <w:rPr>
                <w:rFonts w:ascii="Arial Narrow" w:hAnsi="Arial Narrow" w:cs="Calibri"/>
                <w:spacing w:val="0"/>
                <w:sz w:val="16"/>
                <w:szCs w:val="16"/>
                <w:lang w:val="es-MX" w:eastAsia="es-MX"/>
              </w:rPr>
            </w:pPr>
            <w:r w:rsidRPr="00AD4E79">
              <w:rPr>
                <w:rFonts w:ascii="Arial Narrow" w:hAnsi="Arial Narrow" w:cs="Calibri"/>
                <w:spacing w:val="0"/>
                <w:sz w:val="16"/>
                <w:szCs w:val="16"/>
                <w:lang w:val="es-MX" w:eastAsia="es-MX"/>
              </w:rPr>
              <w:t>SIN REPORTE AL SUI</w:t>
            </w:r>
          </w:p>
        </w:tc>
      </w:tr>
      <w:tr w:rsidR="00AD4E79" w:rsidRPr="00AD4E79" w14:paraId="6EFC06C6" w14:textId="77777777" w:rsidTr="00AD4E79">
        <w:trPr>
          <w:trHeight w:val="400"/>
        </w:trPr>
        <w:tc>
          <w:tcPr>
            <w:tcW w:w="523" w:type="dxa"/>
            <w:tcBorders>
              <w:top w:val="nil"/>
              <w:left w:val="single" w:sz="4" w:space="0" w:color="auto"/>
              <w:bottom w:val="single" w:sz="4" w:space="0" w:color="auto"/>
              <w:right w:val="single" w:sz="4" w:space="0" w:color="auto"/>
            </w:tcBorders>
            <w:shd w:val="clear" w:color="auto" w:fill="auto"/>
            <w:vAlign w:val="center"/>
            <w:hideMark/>
          </w:tcPr>
          <w:p w14:paraId="0C2DBCF3" w14:textId="77777777" w:rsidR="00273A63" w:rsidRPr="00AD4E79" w:rsidRDefault="00273A63" w:rsidP="00D22441">
            <w:pPr>
              <w:jc w:val="center"/>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23</w:t>
            </w:r>
          </w:p>
        </w:tc>
        <w:tc>
          <w:tcPr>
            <w:tcW w:w="1030" w:type="dxa"/>
            <w:tcBorders>
              <w:top w:val="nil"/>
              <w:left w:val="nil"/>
              <w:bottom w:val="single" w:sz="4" w:space="0" w:color="auto"/>
              <w:right w:val="single" w:sz="4" w:space="0" w:color="auto"/>
            </w:tcBorders>
            <w:shd w:val="clear" w:color="auto" w:fill="auto"/>
            <w:vAlign w:val="center"/>
            <w:hideMark/>
          </w:tcPr>
          <w:p w14:paraId="51B6767D" w14:textId="77777777" w:rsidR="00273A63" w:rsidRPr="00AD4E79" w:rsidRDefault="00273A63" w:rsidP="00D22441">
            <w:pPr>
              <w:jc w:val="center"/>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900.328.071</w:t>
            </w:r>
          </w:p>
        </w:tc>
        <w:tc>
          <w:tcPr>
            <w:tcW w:w="363" w:type="dxa"/>
            <w:tcBorders>
              <w:top w:val="nil"/>
              <w:left w:val="nil"/>
              <w:bottom w:val="single" w:sz="4" w:space="0" w:color="auto"/>
              <w:right w:val="single" w:sz="4" w:space="0" w:color="auto"/>
            </w:tcBorders>
            <w:shd w:val="clear" w:color="auto" w:fill="auto"/>
            <w:vAlign w:val="center"/>
            <w:hideMark/>
          </w:tcPr>
          <w:p w14:paraId="5FEC8CCC" w14:textId="77777777" w:rsidR="00273A63" w:rsidRPr="00AD4E79" w:rsidRDefault="00273A63" w:rsidP="00D22441">
            <w:pPr>
              <w:jc w:val="center"/>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7</w:t>
            </w:r>
          </w:p>
        </w:tc>
        <w:tc>
          <w:tcPr>
            <w:tcW w:w="585" w:type="dxa"/>
            <w:tcBorders>
              <w:top w:val="nil"/>
              <w:left w:val="nil"/>
              <w:bottom w:val="single" w:sz="4" w:space="0" w:color="auto"/>
              <w:right w:val="single" w:sz="4" w:space="0" w:color="auto"/>
            </w:tcBorders>
            <w:shd w:val="clear" w:color="auto" w:fill="auto"/>
            <w:vAlign w:val="center"/>
            <w:hideMark/>
          </w:tcPr>
          <w:p w14:paraId="10E263D3" w14:textId="77777777" w:rsidR="00273A63" w:rsidRPr="00AD4E79" w:rsidRDefault="00273A63" w:rsidP="00D22441">
            <w:pPr>
              <w:jc w:val="center"/>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23361</w:t>
            </w:r>
          </w:p>
        </w:tc>
        <w:tc>
          <w:tcPr>
            <w:tcW w:w="4298" w:type="dxa"/>
            <w:tcBorders>
              <w:top w:val="nil"/>
              <w:left w:val="nil"/>
              <w:bottom w:val="single" w:sz="4" w:space="0" w:color="auto"/>
              <w:right w:val="single" w:sz="4" w:space="0" w:color="auto"/>
            </w:tcBorders>
            <w:shd w:val="clear" w:color="auto" w:fill="auto"/>
            <w:vAlign w:val="center"/>
            <w:hideMark/>
          </w:tcPr>
          <w:p w14:paraId="581C56D7" w14:textId="77777777" w:rsidR="00273A63" w:rsidRPr="00AD4E79" w:rsidRDefault="00273A63" w:rsidP="00D22441">
            <w:pPr>
              <w:jc w:val="left"/>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EMPRESA DE SERVICIOS PUBLICOS DOMICILAIRIOS DE CARMEN DEL DARIEN SA ESP</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3C50FE" w14:textId="01605451" w:rsidR="00273A63" w:rsidRPr="00AD4E79" w:rsidRDefault="00273A63" w:rsidP="00D22441">
            <w:pPr>
              <w:jc w:val="center"/>
              <w:rPr>
                <w:rFonts w:ascii="Arial Narrow" w:hAnsi="Arial Narrow" w:cs="Calibri"/>
                <w:spacing w:val="0"/>
                <w:sz w:val="16"/>
                <w:szCs w:val="16"/>
                <w:lang w:val="es-MX" w:eastAsia="es-MX"/>
              </w:rPr>
            </w:pPr>
            <w:r w:rsidRPr="00AD4E79">
              <w:rPr>
                <w:rFonts w:ascii="Arial Narrow" w:hAnsi="Arial Narrow" w:cs="Calibri"/>
                <w:spacing w:val="0"/>
                <w:sz w:val="16"/>
                <w:szCs w:val="16"/>
                <w:lang w:val="es-MX" w:eastAsia="es-MX"/>
              </w:rPr>
              <w:t>SIN REPORTE AL SUI</w:t>
            </w:r>
          </w:p>
        </w:tc>
      </w:tr>
      <w:tr w:rsidR="00AD4E79" w:rsidRPr="00AD4E79" w14:paraId="46A86FD8" w14:textId="77777777" w:rsidTr="00AD4E79">
        <w:trPr>
          <w:trHeight w:val="290"/>
        </w:trPr>
        <w:tc>
          <w:tcPr>
            <w:tcW w:w="523" w:type="dxa"/>
            <w:tcBorders>
              <w:top w:val="nil"/>
              <w:left w:val="single" w:sz="4" w:space="0" w:color="auto"/>
              <w:bottom w:val="single" w:sz="4" w:space="0" w:color="auto"/>
              <w:right w:val="single" w:sz="4" w:space="0" w:color="auto"/>
            </w:tcBorders>
            <w:shd w:val="clear" w:color="auto" w:fill="auto"/>
            <w:vAlign w:val="center"/>
            <w:hideMark/>
          </w:tcPr>
          <w:p w14:paraId="559CC65A" w14:textId="77777777" w:rsidR="00273A63" w:rsidRPr="00AD4E79" w:rsidRDefault="00273A63" w:rsidP="00D22441">
            <w:pPr>
              <w:jc w:val="center"/>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24</w:t>
            </w:r>
          </w:p>
        </w:tc>
        <w:tc>
          <w:tcPr>
            <w:tcW w:w="1030" w:type="dxa"/>
            <w:tcBorders>
              <w:top w:val="nil"/>
              <w:left w:val="nil"/>
              <w:bottom w:val="single" w:sz="4" w:space="0" w:color="auto"/>
              <w:right w:val="single" w:sz="4" w:space="0" w:color="auto"/>
            </w:tcBorders>
            <w:shd w:val="clear" w:color="auto" w:fill="auto"/>
            <w:vAlign w:val="center"/>
            <w:hideMark/>
          </w:tcPr>
          <w:p w14:paraId="7A723E3D" w14:textId="77777777" w:rsidR="00273A63" w:rsidRPr="00AD4E79" w:rsidRDefault="00273A63" w:rsidP="00D22441">
            <w:pPr>
              <w:jc w:val="center"/>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900.483.036</w:t>
            </w:r>
          </w:p>
        </w:tc>
        <w:tc>
          <w:tcPr>
            <w:tcW w:w="363" w:type="dxa"/>
            <w:tcBorders>
              <w:top w:val="nil"/>
              <w:left w:val="nil"/>
              <w:bottom w:val="single" w:sz="4" w:space="0" w:color="auto"/>
              <w:right w:val="single" w:sz="4" w:space="0" w:color="auto"/>
            </w:tcBorders>
            <w:shd w:val="clear" w:color="auto" w:fill="auto"/>
            <w:vAlign w:val="center"/>
            <w:hideMark/>
          </w:tcPr>
          <w:p w14:paraId="0BCA984F" w14:textId="77777777" w:rsidR="00273A63" w:rsidRPr="00AD4E79" w:rsidRDefault="00273A63" w:rsidP="00D22441">
            <w:pPr>
              <w:jc w:val="center"/>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1</w:t>
            </w:r>
          </w:p>
        </w:tc>
        <w:tc>
          <w:tcPr>
            <w:tcW w:w="585" w:type="dxa"/>
            <w:tcBorders>
              <w:top w:val="nil"/>
              <w:left w:val="nil"/>
              <w:bottom w:val="single" w:sz="4" w:space="0" w:color="auto"/>
              <w:right w:val="single" w:sz="4" w:space="0" w:color="auto"/>
            </w:tcBorders>
            <w:shd w:val="clear" w:color="auto" w:fill="auto"/>
            <w:vAlign w:val="center"/>
            <w:hideMark/>
          </w:tcPr>
          <w:p w14:paraId="7641C2C5" w14:textId="77777777" w:rsidR="00273A63" w:rsidRPr="00AD4E79" w:rsidRDefault="00273A63" w:rsidP="00D22441">
            <w:pPr>
              <w:jc w:val="center"/>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26030</w:t>
            </w:r>
          </w:p>
        </w:tc>
        <w:tc>
          <w:tcPr>
            <w:tcW w:w="4298" w:type="dxa"/>
            <w:tcBorders>
              <w:top w:val="nil"/>
              <w:left w:val="nil"/>
              <w:bottom w:val="single" w:sz="4" w:space="0" w:color="auto"/>
              <w:right w:val="single" w:sz="4" w:space="0" w:color="auto"/>
            </w:tcBorders>
            <w:shd w:val="clear" w:color="auto" w:fill="auto"/>
            <w:vAlign w:val="center"/>
            <w:hideMark/>
          </w:tcPr>
          <w:p w14:paraId="53DA08FC" w14:textId="77777777" w:rsidR="00273A63" w:rsidRPr="00AD4E79" w:rsidRDefault="00273A63" w:rsidP="00D22441">
            <w:pPr>
              <w:jc w:val="left"/>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ENERGIA &amp; AGUA SAS ESP</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978A7A" w14:textId="0293769A" w:rsidR="00273A63" w:rsidRPr="00AD4E79" w:rsidRDefault="00273A63" w:rsidP="00D22441">
            <w:pPr>
              <w:jc w:val="center"/>
              <w:rPr>
                <w:rFonts w:ascii="Arial Narrow" w:hAnsi="Arial Narrow" w:cs="Calibri"/>
                <w:spacing w:val="0"/>
                <w:sz w:val="16"/>
                <w:szCs w:val="16"/>
                <w:lang w:val="es-MX" w:eastAsia="es-MX"/>
              </w:rPr>
            </w:pPr>
            <w:r w:rsidRPr="00AD4E79">
              <w:rPr>
                <w:rFonts w:ascii="Arial Narrow" w:hAnsi="Arial Narrow" w:cs="Calibri"/>
                <w:spacing w:val="0"/>
                <w:sz w:val="16"/>
                <w:szCs w:val="16"/>
                <w:lang w:val="es-MX" w:eastAsia="es-MX"/>
              </w:rPr>
              <w:t>SIN REPORTE AL SUI</w:t>
            </w:r>
          </w:p>
        </w:tc>
      </w:tr>
      <w:tr w:rsidR="00AD4E79" w:rsidRPr="00AD4E79" w14:paraId="1F22BA40" w14:textId="77777777" w:rsidTr="00AD4E79">
        <w:trPr>
          <w:trHeight w:val="290"/>
        </w:trPr>
        <w:tc>
          <w:tcPr>
            <w:tcW w:w="523" w:type="dxa"/>
            <w:tcBorders>
              <w:top w:val="nil"/>
              <w:left w:val="single" w:sz="4" w:space="0" w:color="auto"/>
              <w:bottom w:val="single" w:sz="4" w:space="0" w:color="auto"/>
              <w:right w:val="single" w:sz="4" w:space="0" w:color="auto"/>
            </w:tcBorders>
            <w:shd w:val="clear" w:color="auto" w:fill="auto"/>
            <w:vAlign w:val="center"/>
            <w:hideMark/>
          </w:tcPr>
          <w:p w14:paraId="46D77F52" w14:textId="77777777" w:rsidR="00273A63" w:rsidRPr="00AD4E79" w:rsidRDefault="00273A63" w:rsidP="00D22441">
            <w:pPr>
              <w:jc w:val="center"/>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25</w:t>
            </w:r>
          </w:p>
        </w:tc>
        <w:tc>
          <w:tcPr>
            <w:tcW w:w="1030" w:type="dxa"/>
            <w:tcBorders>
              <w:top w:val="nil"/>
              <w:left w:val="nil"/>
              <w:bottom w:val="single" w:sz="4" w:space="0" w:color="auto"/>
              <w:right w:val="single" w:sz="4" w:space="0" w:color="auto"/>
            </w:tcBorders>
            <w:shd w:val="clear" w:color="auto" w:fill="auto"/>
            <w:vAlign w:val="center"/>
            <w:hideMark/>
          </w:tcPr>
          <w:p w14:paraId="543C3C10" w14:textId="77777777" w:rsidR="00273A63" w:rsidRPr="00AD4E79" w:rsidRDefault="00273A63" w:rsidP="00D22441">
            <w:pPr>
              <w:jc w:val="center"/>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900.648.934</w:t>
            </w:r>
          </w:p>
        </w:tc>
        <w:tc>
          <w:tcPr>
            <w:tcW w:w="363" w:type="dxa"/>
            <w:tcBorders>
              <w:top w:val="nil"/>
              <w:left w:val="nil"/>
              <w:bottom w:val="single" w:sz="4" w:space="0" w:color="auto"/>
              <w:right w:val="single" w:sz="4" w:space="0" w:color="auto"/>
            </w:tcBorders>
            <w:shd w:val="clear" w:color="auto" w:fill="auto"/>
            <w:vAlign w:val="center"/>
            <w:hideMark/>
          </w:tcPr>
          <w:p w14:paraId="25D91266" w14:textId="77777777" w:rsidR="00273A63" w:rsidRPr="00AD4E79" w:rsidRDefault="00273A63" w:rsidP="00D22441">
            <w:pPr>
              <w:jc w:val="center"/>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0</w:t>
            </w:r>
          </w:p>
        </w:tc>
        <w:tc>
          <w:tcPr>
            <w:tcW w:w="585" w:type="dxa"/>
            <w:tcBorders>
              <w:top w:val="nil"/>
              <w:left w:val="nil"/>
              <w:bottom w:val="single" w:sz="4" w:space="0" w:color="auto"/>
              <w:right w:val="single" w:sz="4" w:space="0" w:color="auto"/>
            </w:tcBorders>
            <w:shd w:val="clear" w:color="auto" w:fill="auto"/>
            <w:vAlign w:val="center"/>
            <w:hideMark/>
          </w:tcPr>
          <w:p w14:paraId="13A38BB4" w14:textId="77777777" w:rsidR="00273A63" w:rsidRPr="00AD4E79" w:rsidRDefault="00273A63" w:rsidP="00D22441">
            <w:pPr>
              <w:jc w:val="center"/>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26772</w:t>
            </w:r>
          </w:p>
        </w:tc>
        <w:tc>
          <w:tcPr>
            <w:tcW w:w="4298" w:type="dxa"/>
            <w:tcBorders>
              <w:top w:val="nil"/>
              <w:left w:val="nil"/>
              <w:bottom w:val="single" w:sz="4" w:space="0" w:color="auto"/>
              <w:right w:val="single" w:sz="4" w:space="0" w:color="auto"/>
            </w:tcBorders>
            <w:shd w:val="clear" w:color="auto" w:fill="auto"/>
            <w:vAlign w:val="center"/>
            <w:hideMark/>
          </w:tcPr>
          <w:p w14:paraId="04333829" w14:textId="77777777" w:rsidR="00273A63" w:rsidRPr="00AD4E79" w:rsidRDefault="00273A63" w:rsidP="00D22441">
            <w:pPr>
              <w:jc w:val="left"/>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EMPRESA DE SERVICIOS PUBLICOS DE SANTANDER S.A.E.S.P.</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E201D" w14:textId="55F08350" w:rsidR="00273A63" w:rsidRPr="00AD4E79" w:rsidRDefault="00273A63" w:rsidP="00D22441">
            <w:pPr>
              <w:jc w:val="center"/>
              <w:rPr>
                <w:rFonts w:ascii="Arial Narrow" w:hAnsi="Arial Narrow" w:cs="Calibri"/>
                <w:spacing w:val="0"/>
                <w:sz w:val="16"/>
                <w:szCs w:val="16"/>
                <w:lang w:val="es-MX" w:eastAsia="es-MX"/>
              </w:rPr>
            </w:pPr>
            <w:r w:rsidRPr="00AD4E79">
              <w:rPr>
                <w:rFonts w:ascii="Arial Narrow" w:hAnsi="Arial Narrow" w:cs="Calibri"/>
                <w:spacing w:val="0"/>
                <w:sz w:val="16"/>
                <w:szCs w:val="16"/>
                <w:lang w:val="es-MX" w:eastAsia="es-MX"/>
              </w:rPr>
              <w:t>REPORTANTE SUI</w:t>
            </w:r>
          </w:p>
        </w:tc>
      </w:tr>
      <w:tr w:rsidR="00AD4E79" w:rsidRPr="00AD4E79" w14:paraId="4CFF8E0B" w14:textId="77777777" w:rsidTr="00AD4E79">
        <w:trPr>
          <w:trHeight w:val="400"/>
        </w:trPr>
        <w:tc>
          <w:tcPr>
            <w:tcW w:w="523" w:type="dxa"/>
            <w:tcBorders>
              <w:top w:val="nil"/>
              <w:left w:val="single" w:sz="4" w:space="0" w:color="auto"/>
              <w:bottom w:val="single" w:sz="4" w:space="0" w:color="auto"/>
              <w:right w:val="single" w:sz="4" w:space="0" w:color="auto"/>
            </w:tcBorders>
            <w:shd w:val="clear" w:color="auto" w:fill="auto"/>
            <w:vAlign w:val="center"/>
            <w:hideMark/>
          </w:tcPr>
          <w:p w14:paraId="124FE831" w14:textId="77777777" w:rsidR="00273A63" w:rsidRPr="00AD4E79" w:rsidRDefault="00273A63" w:rsidP="00D22441">
            <w:pPr>
              <w:jc w:val="center"/>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26</w:t>
            </w:r>
          </w:p>
        </w:tc>
        <w:tc>
          <w:tcPr>
            <w:tcW w:w="1030" w:type="dxa"/>
            <w:tcBorders>
              <w:top w:val="nil"/>
              <w:left w:val="nil"/>
              <w:bottom w:val="single" w:sz="4" w:space="0" w:color="auto"/>
              <w:right w:val="single" w:sz="4" w:space="0" w:color="auto"/>
            </w:tcBorders>
            <w:shd w:val="clear" w:color="auto" w:fill="auto"/>
            <w:vAlign w:val="center"/>
            <w:hideMark/>
          </w:tcPr>
          <w:p w14:paraId="1E8B6975" w14:textId="77777777" w:rsidR="00273A63" w:rsidRPr="00AD4E79" w:rsidRDefault="00273A63" w:rsidP="00D22441">
            <w:pPr>
              <w:jc w:val="center"/>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900.715.327</w:t>
            </w:r>
          </w:p>
        </w:tc>
        <w:tc>
          <w:tcPr>
            <w:tcW w:w="363" w:type="dxa"/>
            <w:tcBorders>
              <w:top w:val="nil"/>
              <w:left w:val="nil"/>
              <w:bottom w:val="single" w:sz="4" w:space="0" w:color="auto"/>
              <w:right w:val="single" w:sz="4" w:space="0" w:color="auto"/>
            </w:tcBorders>
            <w:shd w:val="clear" w:color="auto" w:fill="auto"/>
            <w:vAlign w:val="center"/>
            <w:hideMark/>
          </w:tcPr>
          <w:p w14:paraId="6559762F" w14:textId="77777777" w:rsidR="00273A63" w:rsidRPr="00AD4E79" w:rsidRDefault="00273A63" w:rsidP="00D22441">
            <w:pPr>
              <w:jc w:val="center"/>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7</w:t>
            </w:r>
          </w:p>
        </w:tc>
        <w:tc>
          <w:tcPr>
            <w:tcW w:w="585" w:type="dxa"/>
            <w:tcBorders>
              <w:top w:val="nil"/>
              <w:left w:val="nil"/>
              <w:bottom w:val="single" w:sz="4" w:space="0" w:color="auto"/>
              <w:right w:val="single" w:sz="4" w:space="0" w:color="auto"/>
            </w:tcBorders>
            <w:shd w:val="clear" w:color="auto" w:fill="auto"/>
            <w:vAlign w:val="center"/>
            <w:hideMark/>
          </w:tcPr>
          <w:p w14:paraId="3417CA42" w14:textId="77777777" w:rsidR="00273A63" w:rsidRPr="00AD4E79" w:rsidRDefault="00273A63" w:rsidP="00D22441">
            <w:pPr>
              <w:jc w:val="center"/>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27271</w:t>
            </w:r>
          </w:p>
        </w:tc>
        <w:tc>
          <w:tcPr>
            <w:tcW w:w="4298" w:type="dxa"/>
            <w:tcBorders>
              <w:top w:val="nil"/>
              <w:left w:val="nil"/>
              <w:bottom w:val="single" w:sz="4" w:space="0" w:color="auto"/>
              <w:right w:val="single" w:sz="4" w:space="0" w:color="auto"/>
            </w:tcBorders>
            <w:shd w:val="clear" w:color="auto" w:fill="auto"/>
            <w:vAlign w:val="center"/>
            <w:hideMark/>
          </w:tcPr>
          <w:p w14:paraId="0FB71002" w14:textId="77777777" w:rsidR="00273A63" w:rsidRPr="00AD4E79" w:rsidRDefault="00273A63" w:rsidP="00D22441">
            <w:pPr>
              <w:jc w:val="left"/>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EMPRESA DE ACUEDUCTO, ALCANTARILLADO, ASEO Y ENERGIA (ZNI) DE PUERTO GUZMAN S.A ESP</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EDE1E2" w14:textId="25146106" w:rsidR="00273A63" w:rsidRPr="00AD4E79" w:rsidRDefault="00273A63" w:rsidP="00D22441">
            <w:pPr>
              <w:jc w:val="center"/>
              <w:rPr>
                <w:rFonts w:ascii="Arial Narrow" w:hAnsi="Arial Narrow" w:cs="Calibri"/>
                <w:spacing w:val="0"/>
                <w:sz w:val="16"/>
                <w:szCs w:val="16"/>
                <w:lang w:val="es-MX" w:eastAsia="es-MX"/>
              </w:rPr>
            </w:pPr>
            <w:r w:rsidRPr="00AD4E79">
              <w:rPr>
                <w:rFonts w:ascii="Arial Narrow" w:hAnsi="Arial Narrow" w:cs="Calibri"/>
                <w:spacing w:val="0"/>
                <w:sz w:val="16"/>
                <w:szCs w:val="16"/>
                <w:lang w:val="es-MX" w:eastAsia="es-MX"/>
              </w:rPr>
              <w:t>SIN REPORTE AL SUI</w:t>
            </w:r>
          </w:p>
        </w:tc>
      </w:tr>
      <w:tr w:rsidR="00AD4E79" w:rsidRPr="00AD4E79" w14:paraId="35AC1BF9" w14:textId="77777777" w:rsidTr="00AD4E79">
        <w:trPr>
          <w:trHeight w:val="400"/>
        </w:trPr>
        <w:tc>
          <w:tcPr>
            <w:tcW w:w="523" w:type="dxa"/>
            <w:tcBorders>
              <w:top w:val="nil"/>
              <w:left w:val="single" w:sz="4" w:space="0" w:color="auto"/>
              <w:bottom w:val="single" w:sz="4" w:space="0" w:color="auto"/>
              <w:right w:val="single" w:sz="4" w:space="0" w:color="auto"/>
            </w:tcBorders>
            <w:shd w:val="clear" w:color="auto" w:fill="auto"/>
            <w:vAlign w:val="center"/>
            <w:hideMark/>
          </w:tcPr>
          <w:p w14:paraId="02F9080D" w14:textId="77777777" w:rsidR="00273A63" w:rsidRPr="00AD4E79" w:rsidRDefault="00273A63" w:rsidP="00D22441">
            <w:pPr>
              <w:jc w:val="center"/>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27</w:t>
            </w:r>
          </w:p>
        </w:tc>
        <w:tc>
          <w:tcPr>
            <w:tcW w:w="1030" w:type="dxa"/>
            <w:tcBorders>
              <w:top w:val="nil"/>
              <w:left w:val="nil"/>
              <w:bottom w:val="single" w:sz="4" w:space="0" w:color="auto"/>
              <w:right w:val="single" w:sz="4" w:space="0" w:color="auto"/>
            </w:tcBorders>
            <w:shd w:val="clear" w:color="auto" w:fill="auto"/>
            <w:vAlign w:val="center"/>
            <w:hideMark/>
          </w:tcPr>
          <w:p w14:paraId="26B69C36" w14:textId="77777777" w:rsidR="00273A63" w:rsidRPr="00AD4E79" w:rsidRDefault="00273A63" w:rsidP="00D22441">
            <w:pPr>
              <w:jc w:val="center"/>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900.927.089</w:t>
            </w:r>
          </w:p>
        </w:tc>
        <w:tc>
          <w:tcPr>
            <w:tcW w:w="363" w:type="dxa"/>
            <w:tcBorders>
              <w:top w:val="nil"/>
              <w:left w:val="nil"/>
              <w:bottom w:val="single" w:sz="4" w:space="0" w:color="auto"/>
              <w:right w:val="single" w:sz="4" w:space="0" w:color="auto"/>
            </w:tcBorders>
            <w:shd w:val="clear" w:color="auto" w:fill="auto"/>
            <w:vAlign w:val="center"/>
            <w:hideMark/>
          </w:tcPr>
          <w:p w14:paraId="46939404" w14:textId="77777777" w:rsidR="00273A63" w:rsidRPr="00AD4E79" w:rsidRDefault="00273A63" w:rsidP="00D22441">
            <w:pPr>
              <w:jc w:val="center"/>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9</w:t>
            </w:r>
          </w:p>
        </w:tc>
        <w:tc>
          <w:tcPr>
            <w:tcW w:w="585" w:type="dxa"/>
            <w:tcBorders>
              <w:top w:val="nil"/>
              <w:left w:val="nil"/>
              <w:bottom w:val="single" w:sz="4" w:space="0" w:color="auto"/>
              <w:right w:val="single" w:sz="4" w:space="0" w:color="auto"/>
            </w:tcBorders>
            <w:shd w:val="clear" w:color="auto" w:fill="auto"/>
            <w:vAlign w:val="center"/>
            <w:hideMark/>
          </w:tcPr>
          <w:p w14:paraId="26A24A7A" w14:textId="77777777" w:rsidR="00273A63" w:rsidRPr="00AD4E79" w:rsidRDefault="00273A63" w:rsidP="00D22441">
            <w:pPr>
              <w:jc w:val="center"/>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32194</w:t>
            </w:r>
          </w:p>
        </w:tc>
        <w:tc>
          <w:tcPr>
            <w:tcW w:w="4298" w:type="dxa"/>
            <w:tcBorders>
              <w:top w:val="nil"/>
              <w:left w:val="nil"/>
              <w:bottom w:val="single" w:sz="4" w:space="0" w:color="auto"/>
              <w:right w:val="single" w:sz="4" w:space="0" w:color="auto"/>
            </w:tcBorders>
            <w:shd w:val="clear" w:color="auto" w:fill="auto"/>
            <w:vAlign w:val="center"/>
            <w:hideMark/>
          </w:tcPr>
          <w:p w14:paraId="3B0FE8D0" w14:textId="77777777" w:rsidR="00273A63" w:rsidRPr="00AD4E79" w:rsidRDefault="00273A63" w:rsidP="00D22441">
            <w:pPr>
              <w:jc w:val="left"/>
              <w:rPr>
                <w:rFonts w:ascii="Arial Narrow" w:hAnsi="Arial Narrow" w:cs="Arial"/>
                <w:spacing w:val="0"/>
                <w:sz w:val="16"/>
                <w:szCs w:val="16"/>
                <w:lang w:val="es-MX" w:eastAsia="es-MX"/>
              </w:rPr>
            </w:pPr>
            <w:r w:rsidRPr="00AD4E79">
              <w:rPr>
                <w:rFonts w:ascii="Arial Narrow" w:hAnsi="Arial Narrow" w:cs="Arial"/>
                <w:spacing w:val="0"/>
                <w:sz w:val="16"/>
                <w:szCs w:val="16"/>
                <w:lang w:val="es-MX" w:eastAsia="es-MX"/>
              </w:rPr>
              <w:t>EMPRESA DE SERVICIOS PUBLICOS DEL ALTO BAUDO E.S.P. S.A.S.</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6339C5" w14:textId="7C6F50EE" w:rsidR="00273A63" w:rsidRPr="00AD4E79" w:rsidRDefault="00273A63" w:rsidP="00D22441">
            <w:pPr>
              <w:jc w:val="center"/>
              <w:rPr>
                <w:rFonts w:ascii="Arial Narrow" w:hAnsi="Arial Narrow" w:cs="Calibri"/>
                <w:spacing w:val="0"/>
                <w:sz w:val="16"/>
                <w:szCs w:val="16"/>
                <w:lang w:val="es-MX" w:eastAsia="es-MX"/>
              </w:rPr>
            </w:pPr>
            <w:r w:rsidRPr="00AD4E79">
              <w:rPr>
                <w:rFonts w:ascii="Arial Narrow" w:hAnsi="Arial Narrow" w:cs="Calibri"/>
                <w:spacing w:val="0"/>
                <w:sz w:val="16"/>
                <w:szCs w:val="16"/>
                <w:lang w:val="es-MX" w:eastAsia="es-MX"/>
              </w:rPr>
              <w:t>SIN REPORTE AL SUI</w:t>
            </w:r>
          </w:p>
        </w:tc>
      </w:tr>
    </w:tbl>
    <w:p w14:paraId="536BCCCE" w14:textId="77777777" w:rsidR="0071736D" w:rsidRDefault="0071736D" w:rsidP="00D22441">
      <w:pPr>
        <w:pStyle w:val="Textoindependiente"/>
        <w:spacing w:after="0" w:line="240" w:lineRule="auto"/>
        <w:rPr>
          <w:rFonts w:cs="Arial"/>
          <w:sz w:val="22"/>
          <w:szCs w:val="22"/>
        </w:rPr>
      </w:pPr>
    </w:p>
    <w:p w14:paraId="651FB30D" w14:textId="77777777" w:rsidR="00853143" w:rsidRDefault="00853143" w:rsidP="00D22441">
      <w:pPr>
        <w:pStyle w:val="Textoindependiente"/>
        <w:spacing w:after="0" w:line="240" w:lineRule="auto"/>
        <w:rPr>
          <w:rFonts w:cs="Arial"/>
          <w:sz w:val="22"/>
          <w:szCs w:val="22"/>
        </w:rPr>
      </w:pPr>
    </w:p>
    <w:p w14:paraId="6E8FDB9D" w14:textId="562F4F65" w:rsidR="00875E3C" w:rsidRDefault="00F11C3F" w:rsidP="00D22441">
      <w:pPr>
        <w:pStyle w:val="Ttulo10"/>
        <w:numPr>
          <w:ilvl w:val="0"/>
          <w:numId w:val="37"/>
        </w:numPr>
        <w:spacing w:before="0" w:after="0"/>
        <w:rPr>
          <w:sz w:val="22"/>
          <w:szCs w:val="22"/>
        </w:rPr>
      </w:pPr>
      <w:bookmarkStart w:id="74" w:name="_Toc147154321"/>
      <w:r>
        <w:rPr>
          <w:sz w:val="22"/>
          <w:szCs w:val="22"/>
        </w:rPr>
        <w:t>OBLIGACIÓN TRIBUTARIA, OMISOS, MOROSIDAD Y REPORTE AL BDME</w:t>
      </w:r>
      <w:r w:rsidR="00C447D2">
        <w:rPr>
          <w:sz w:val="22"/>
          <w:szCs w:val="22"/>
        </w:rPr>
        <w:t>.</w:t>
      </w:r>
      <w:bookmarkEnd w:id="74"/>
    </w:p>
    <w:p w14:paraId="20AF7D16" w14:textId="77777777" w:rsidR="00625376" w:rsidRDefault="00625376" w:rsidP="00625376">
      <w:pPr>
        <w:pStyle w:val="Ttulo10"/>
        <w:spacing w:before="0" w:after="0"/>
        <w:ind w:left="720"/>
        <w:jc w:val="both"/>
        <w:rPr>
          <w:sz w:val="22"/>
          <w:szCs w:val="22"/>
        </w:rPr>
      </w:pPr>
    </w:p>
    <w:p w14:paraId="28A6DDFD" w14:textId="2D535934" w:rsidR="00F11C3F" w:rsidRPr="009368AA" w:rsidRDefault="00E35A60" w:rsidP="009368AA">
      <w:pPr>
        <w:pStyle w:val="Subttulo"/>
        <w:numPr>
          <w:ilvl w:val="1"/>
          <w:numId w:val="37"/>
        </w:numPr>
        <w:spacing w:after="0"/>
        <w:ind w:left="357" w:hanging="357"/>
        <w:jc w:val="left"/>
        <w:rPr>
          <w:b/>
          <w:bCs/>
          <w:sz w:val="22"/>
          <w:szCs w:val="22"/>
        </w:rPr>
      </w:pPr>
      <w:bookmarkStart w:id="75" w:name="_Toc147154322"/>
      <w:r w:rsidRPr="009368AA">
        <w:rPr>
          <w:b/>
          <w:bCs/>
          <w:sz w:val="22"/>
          <w:szCs w:val="22"/>
        </w:rPr>
        <w:t>OBLIGACIÓN TRIBUTARIA</w:t>
      </w:r>
      <w:bookmarkEnd w:id="75"/>
    </w:p>
    <w:p w14:paraId="1FE9114C" w14:textId="77777777" w:rsidR="00875E3C" w:rsidRPr="002750F4" w:rsidRDefault="00875E3C" w:rsidP="00D22441">
      <w:pPr>
        <w:autoSpaceDE w:val="0"/>
        <w:autoSpaceDN w:val="0"/>
        <w:adjustRightInd w:val="0"/>
        <w:rPr>
          <w:rFonts w:cs="Arial"/>
          <w:sz w:val="22"/>
          <w:szCs w:val="22"/>
        </w:rPr>
      </w:pPr>
    </w:p>
    <w:p w14:paraId="5BFB5577" w14:textId="0DC5A21F" w:rsidR="00F65331" w:rsidRDefault="007A1963" w:rsidP="00D22441">
      <w:pPr>
        <w:rPr>
          <w:rFonts w:cs="Arial"/>
          <w:bCs/>
          <w:sz w:val="22"/>
          <w:szCs w:val="22"/>
        </w:rPr>
      </w:pPr>
      <w:r w:rsidRPr="007A1963">
        <w:rPr>
          <w:rFonts w:cs="Arial"/>
          <w:bCs/>
          <w:sz w:val="22"/>
          <w:szCs w:val="22"/>
        </w:rPr>
        <w:lastRenderedPageBreak/>
        <w:t>Al ser la contribución especial a favor de la CREG una tasa parafiscal, ingreso tributario de la nación, la normatividad vigente conmina a los regulados a cumplir con su obligación formal de declarar y su obligación sustancial de pagar la contribución de ser el caso.</w:t>
      </w:r>
    </w:p>
    <w:p w14:paraId="1BED1B95" w14:textId="77777777" w:rsidR="007A1963" w:rsidRDefault="007A1963" w:rsidP="00D22441">
      <w:pPr>
        <w:rPr>
          <w:rFonts w:cs="Arial"/>
          <w:bCs/>
          <w:sz w:val="22"/>
          <w:szCs w:val="22"/>
        </w:rPr>
      </w:pPr>
    </w:p>
    <w:p w14:paraId="342A63D5" w14:textId="77777777" w:rsidR="009368AA" w:rsidRPr="009368AA" w:rsidRDefault="009368AA" w:rsidP="009368AA">
      <w:pPr>
        <w:pStyle w:val="Subttulo"/>
        <w:numPr>
          <w:ilvl w:val="1"/>
          <w:numId w:val="37"/>
        </w:numPr>
        <w:spacing w:after="0"/>
        <w:ind w:left="357" w:hanging="357"/>
        <w:jc w:val="left"/>
        <w:rPr>
          <w:b/>
          <w:bCs/>
          <w:sz w:val="22"/>
          <w:szCs w:val="22"/>
        </w:rPr>
      </w:pPr>
      <w:bookmarkStart w:id="76" w:name="_Toc147154323"/>
      <w:r w:rsidRPr="009368AA">
        <w:rPr>
          <w:b/>
          <w:bCs/>
          <w:sz w:val="22"/>
          <w:szCs w:val="22"/>
        </w:rPr>
        <w:t>REGULADOS OMISOS</w:t>
      </w:r>
      <w:bookmarkEnd w:id="76"/>
    </w:p>
    <w:p w14:paraId="5944BA91" w14:textId="77777777" w:rsidR="009368AA" w:rsidRPr="00C32EA1" w:rsidRDefault="009368AA" w:rsidP="009368AA">
      <w:pPr>
        <w:rPr>
          <w:rFonts w:cs="Arial"/>
          <w:bCs/>
          <w:sz w:val="22"/>
          <w:szCs w:val="22"/>
        </w:rPr>
      </w:pPr>
    </w:p>
    <w:p w14:paraId="3CB644DC" w14:textId="77777777" w:rsidR="009368AA" w:rsidRPr="00C32EA1" w:rsidRDefault="009368AA" w:rsidP="009368AA">
      <w:pPr>
        <w:rPr>
          <w:rFonts w:cs="Arial"/>
          <w:bCs/>
          <w:sz w:val="22"/>
          <w:szCs w:val="22"/>
        </w:rPr>
      </w:pPr>
      <w:r w:rsidRPr="00C32EA1">
        <w:rPr>
          <w:rFonts w:cs="Arial"/>
          <w:bCs/>
          <w:sz w:val="22"/>
          <w:szCs w:val="22"/>
        </w:rPr>
        <w:t xml:space="preserve">Son regulados omisos y serán requeridos en fiscalización a los prestadores de servicios del ámbito de regulación de la CREG, a los cuales no fue posible determinar su liquidación de la contribución especial correspondiente al respectivo año gravable objeto de la obligación. </w:t>
      </w:r>
    </w:p>
    <w:p w14:paraId="377C9340" w14:textId="77777777" w:rsidR="009368AA" w:rsidRPr="00C32EA1" w:rsidRDefault="009368AA" w:rsidP="009368AA">
      <w:pPr>
        <w:rPr>
          <w:rFonts w:cs="Arial"/>
          <w:bCs/>
          <w:sz w:val="22"/>
          <w:szCs w:val="22"/>
        </w:rPr>
      </w:pPr>
    </w:p>
    <w:p w14:paraId="4129C43C" w14:textId="6193AEB1" w:rsidR="009368AA" w:rsidRPr="00C32EA1" w:rsidRDefault="009368AA" w:rsidP="009368AA">
      <w:pPr>
        <w:rPr>
          <w:rFonts w:cs="Arial"/>
          <w:bCs/>
          <w:sz w:val="22"/>
          <w:szCs w:val="22"/>
        </w:rPr>
      </w:pPr>
      <w:r w:rsidRPr="00C32EA1">
        <w:rPr>
          <w:rFonts w:cs="Arial"/>
          <w:bCs/>
          <w:sz w:val="22"/>
          <w:szCs w:val="22"/>
        </w:rPr>
        <w:t>Lo anterior debido entre otras situaciones a las siguientes, ocurridas en fecha posterior a la consulta de información por parte de la CREG en el SUI – SSDP: (i) la regulada no reportó su información financiera, (</w:t>
      </w:r>
      <w:proofErr w:type="spellStart"/>
      <w:r w:rsidRPr="00C32EA1">
        <w:rPr>
          <w:rFonts w:cs="Arial"/>
          <w:bCs/>
          <w:sz w:val="22"/>
          <w:szCs w:val="22"/>
        </w:rPr>
        <w:t>ii</w:t>
      </w:r>
      <w:proofErr w:type="spellEnd"/>
      <w:r w:rsidRPr="00C32EA1">
        <w:rPr>
          <w:rFonts w:cs="Arial"/>
          <w:bCs/>
          <w:sz w:val="22"/>
          <w:szCs w:val="22"/>
        </w:rPr>
        <w:t>) la regulada realizó ajustes o modificaciones posteriores a la información financiera reportada, (</w:t>
      </w:r>
      <w:proofErr w:type="spellStart"/>
      <w:r w:rsidRPr="00C32EA1">
        <w:rPr>
          <w:rFonts w:cs="Arial"/>
          <w:bCs/>
          <w:sz w:val="22"/>
          <w:szCs w:val="22"/>
        </w:rPr>
        <w:t>iii</w:t>
      </w:r>
      <w:proofErr w:type="spellEnd"/>
      <w:r w:rsidRPr="00C32EA1">
        <w:rPr>
          <w:rFonts w:cs="Arial"/>
          <w:bCs/>
          <w:sz w:val="22"/>
          <w:szCs w:val="22"/>
        </w:rPr>
        <w:t xml:space="preserve">) </w:t>
      </w:r>
      <w:r w:rsidR="005D0C43">
        <w:rPr>
          <w:rFonts w:cs="Arial"/>
          <w:bCs/>
          <w:sz w:val="22"/>
          <w:szCs w:val="22"/>
        </w:rPr>
        <w:t xml:space="preserve">por </w:t>
      </w:r>
      <w:r w:rsidR="00D501CD">
        <w:rPr>
          <w:rFonts w:cs="Arial"/>
          <w:bCs/>
          <w:sz w:val="22"/>
          <w:szCs w:val="22"/>
        </w:rPr>
        <w:t>modificaciones en el RUPS o (</w:t>
      </w:r>
      <w:proofErr w:type="spellStart"/>
      <w:r w:rsidR="00D501CD">
        <w:rPr>
          <w:rFonts w:cs="Arial"/>
          <w:bCs/>
          <w:sz w:val="22"/>
          <w:szCs w:val="22"/>
        </w:rPr>
        <w:t>iv</w:t>
      </w:r>
      <w:proofErr w:type="spellEnd"/>
      <w:r w:rsidR="00D501CD">
        <w:rPr>
          <w:rFonts w:cs="Arial"/>
          <w:bCs/>
          <w:sz w:val="22"/>
          <w:szCs w:val="22"/>
        </w:rPr>
        <w:t xml:space="preserve">) por </w:t>
      </w:r>
      <w:r w:rsidR="005D0C43">
        <w:rPr>
          <w:rFonts w:cs="Arial"/>
          <w:bCs/>
          <w:sz w:val="22"/>
          <w:szCs w:val="22"/>
        </w:rPr>
        <w:t>la ocurrencia</w:t>
      </w:r>
      <w:r w:rsidRPr="00C32EA1">
        <w:rPr>
          <w:rFonts w:cs="Arial"/>
          <w:bCs/>
          <w:sz w:val="22"/>
          <w:szCs w:val="22"/>
        </w:rPr>
        <w:t xml:space="preserve"> de novedades administrativas </w:t>
      </w:r>
      <w:r w:rsidR="00D501CD">
        <w:rPr>
          <w:rFonts w:cs="Arial"/>
          <w:bCs/>
          <w:sz w:val="22"/>
          <w:szCs w:val="22"/>
        </w:rPr>
        <w:t>de la regulada</w:t>
      </w:r>
      <w:r w:rsidRPr="00C32EA1">
        <w:rPr>
          <w:rFonts w:cs="Arial"/>
          <w:bCs/>
          <w:sz w:val="22"/>
          <w:szCs w:val="22"/>
        </w:rPr>
        <w:t>.</w:t>
      </w:r>
    </w:p>
    <w:p w14:paraId="7A59FE4C" w14:textId="77777777" w:rsidR="009368AA" w:rsidRPr="00C32EA1" w:rsidRDefault="009368AA" w:rsidP="009368AA">
      <w:pPr>
        <w:rPr>
          <w:rFonts w:cs="Arial"/>
          <w:bCs/>
          <w:sz w:val="22"/>
          <w:szCs w:val="22"/>
        </w:rPr>
      </w:pPr>
    </w:p>
    <w:p w14:paraId="697D94E8" w14:textId="77777777" w:rsidR="009368AA" w:rsidRDefault="009368AA" w:rsidP="009368AA">
      <w:pPr>
        <w:rPr>
          <w:rFonts w:cs="Arial"/>
          <w:bCs/>
          <w:sz w:val="22"/>
          <w:szCs w:val="22"/>
        </w:rPr>
      </w:pPr>
      <w:r w:rsidRPr="00C32EA1">
        <w:rPr>
          <w:rFonts w:cs="Arial"/>
          <w:bCs/>
          <w:sz w:val="22"/>
          <w:szCs w:val="22"/>
        </w:rPr>
        <w:t>A los regulados omisos se les liquidará para cada vigencia omitida, con la metodología para hallar la respectiva base gravable, a la tarifa y el factor determinado en la resolución de contribución especial de la respectiva vigencia.</w:t>
      </w:r>
    </w:p>
    <w:p w14:paraId="11C66652" w14:textId="77777777" w:rsidR="009368AA" w:rsidRDefault="009368AA" w:rsidP="009368AA">
      <w:pPr>
        <w:rPr>
          <w:rFonts w:cs="Arial"/>
          <w:bCs/>
          <w:sz w:val="22"/>
          <w:szCs w:val="22"/>
        </w:rPr>
      </w:pPr>
    </w:p>
    <w:p w14:paraId="035009B2" w14:textId="4FDE37C6" w:rsidR="009368AA" w:rsidRDefault="009368AA" w:rsidP="009368AA">
      <w:pPr>
        <w:rPr>
          <w:rFonts w:cs="Arial"/>
          <w:bCs/>
          <w:sz w:val="22"/>
          <w:szCs w:val="22"/>
        </w:rPr>
      </w:pPr>
      <w:r>
        <w:rPr>
          <w:rFonts w:cs="Arial"/>
          <w:bCs/>
          <w:sz w:val="22"/>
          <w:szCs w:val="22"/>
        </w:rPr>
        <w:t xml:space="preserve">Para aquellas personas, empresas, entidades u organizaciones que estén prestando servicios regulados por la SSPD y no estén inscritas en el RUPS se le requiere a realizar la gestión </w:t>
      </w:r>
      <w:r w:rsidR="00E42408">
        <w:rPr>
          <w:rFonts w:cs="Arial"/>
          <w:bCs/>
          <w:sz w:val="22"/>
          <w:szCs w:val="22"/>
        </w:rPr>
        <w:t xml:space="preserve">administrativa </w:t>
      </w:r>
      <w:r>
        <w:rPr>
          <w:rFonts w:cs="Arial"/>
          <w:bCs/>
          <w:sz w:val="22"/>
          <w:szCs w:val="22"/>
        </w:rPr>
        <w:t>correspondiente ante la SSPD</w:t>
      </w:r>
      <w:r w:rsidR="008E601E">
        <w:rPr>
          <w:rFonts w:cs="Arial"/>
          <w:bCs/>
          <w:sz w:val="22"/>
          <w:szCs w:val="22"/>
        </w:rPr>
        <w:t>,</w:t>
      </w:r>
      <w:r w:rsidR="00A16DE2">
        <w:rPr>
          <w:rFonts w:cs="Arial"/>
          <w:bCs/>
          <w:sz w:val="22"/>
          <w:szCs w:val="22"/>
        </w:rPr>
        <w:t xml:space="preserve"> así como otras entidades e instancias</w:t>
      </w:r>
      <w:r>
        <w:rPr>
          <w:rFonts w:cs="Arial"/>
          <w:bCs/>
          <w:sz w:val="22"/>
          <w:szCs w:val="22"/>
        </w:rPr>
        <w:t xml:space="preserve">, normalizar su situación </w:t>
      </w:r>
      <w:r w:rsidR="00A16DE2">
        <w:rPr>
          <w:rFonts w:cs="Arial"/>
          <w:bCs/>
          <w:sz w:val="22"/>
          <w:szCs w:val="22"/>
        </w:rPr>
        <w:t>legal</w:t>
      </w:r>
      <w:r>
        <w:rPr>
          <w:rFonts w:cs="Arial"/>
          <w:bCs/>
          <w:sz w:val="22"/>
          <w:szCs w:val="22"/>
        </w:rPr>
        <w:t xml:space="preserve"> de la actividad económica desarrollada y reportar la información financiera requerida al SUI.</w:t>
      </w:r>
    </w:p>
    <w:p w14:paraId="3090A418" w14:textId="77777777" w:rsidR="009368AA" w:rsidRDefault="009368AA" w:rsidP="009368AA">
      <w:pPr>
        <w:rPr>
          <w:rFonts w:cs="Arial"/>
          <w:bCs/>
          <w:sz w:val="22"/>
          <w:szCs w:val="22"/>
        </w:rPr>
      </w:pPr>
    </w:p>
    <w:p w14:paraId="784E22B8" w14:textId="09C9DB32" w:rsidR="00F30253" w:rsidRDefault="00A73B82" w:rsidP="009368AA">
      <w:pPr>
        <w:rPr>
          <w:rFonts w:cs="Arial"/>
          <w:bCs/>
          <w:sz w:val="22"/>
          <w:szCs w:val="22"/>
        </w:rPr>
      </w:pPr>
      <w:r>
        <w:rPr>
          <w:rFonts w:cs="Arial"/>
          <w:bCs/>
          <w:sz w:val="22"/>
          <w:szCs w:val="22"/>
        </w:rPr>
        <w:t>Sin perjuicio de otras sanciones</w:t>
      </w:r>
      <w:r w:rsidR="00ED6168">
        <w:rPr>
          <w:rFonts w:cs="Arial"/>
          <w:bCs/>
          <w:sz w:val="22"/>
          <w:szCs w:val="22"/>
        </w:rPr>
        <w:t xml:space="preserve">, </w:t>
      </w:r>
      <w:r>
        <w:rPr>
          <w:rFonts w:cs="Arial"/>
          <w:bCs/>
          <w:sz w:val="22"/>
          <w:szCs w:val="22"/>
        </w:rPr>
        <w:t>serán aplicables las</w:t>
      </w:r>
      <w:r w:rsidR="00F30253">
        <w:rPr>
          <w:rFonts w:cs="Arial"/>
          <w:bCs/>
          <w:sz w:val="22"/>
          <w:szCs w:val="22"/>
        </w:rPr>
        <w:t xml:space="preserve"> determinadas e</w:t>
      </w:r>
      <w:r w:rsidR="00956D48">
        <w:rPr>
          <w:rFonts w:cs="Arial"/>
          <w:bCs/>
          <w:sz w:val="22"/>
          <w:szCs w:val="22"/>
        </w:rPr>
        <w:t xml:space="preserve">l inciso final del artículo 73 </w:t>
      </w:r>
      <w:r w:rsidR="007D3E41">
        <w:rPr>
          <w:rFonts w:cs="Arial"/>
          <w:bCs/>
          <w:sz w:val="22"/>
          <w:szCs w:val="22"/>
        </w:rPr>
        <w:t xml:space="preserve">y el artículo 81 </w:t>
      </w:r>
      <w:r w:rsidR="00956D48">
        <w:rPr>
          <w:rFonts w:cs="Arial"/>
          <w:bCs/>
          <w:sz w:val="22"/>
          <w:szCs w:val="22"/>
        </w:rPr>
        <w:t>de la Ley 142 de 1994</w:t>
      </w:r>
      <w:r w:rsidR="00ED6168">
        <w:rPr>
          <w:rFonts w:cs="Arial"/>
          <w:bCs/>
          <w:sz w:val="22"/>
          <w:szCs w:val="22"/>
        </w:rPr>
        <w:t xml:space="preserve">, así como en la Resolución CREG </w:t>
      </w:r>
      <w:proofErr w:type="spellStart"/>
      <w:r w:rsidR="00ED6168">
        <w:rPr>
          <w:rFonts w:cs="Arial"/>
          <w:bCs/>
          <w:sz w:val="22"/>
          <w:szCs w:val="22"/>
        </w:rPr>
        <w:t>N°</w:t>
      </w:r>
      <w:proofErr w:type="spellEnd"/>
      <w:r w:rsidR="00ED6168">
        <w:rPr>
          <w:rFonts w:cs="Arial"/>
          <w:bCs/>
          <w:sz w:val="22"/>
          <w:szCs w:val="22"/>
        </w:rPr>
        <w:t xml:space="preserve"> 064 de 1998.</w:t>
      </w:r>
    </w:p>
    <w:p w14:paraId="3D6F8BAC" w14:textId="77777777" w:rsidR="00F30253" w:rsidRDefault="00F30253" w:rsidP="009368AA">
      <w:pPr>
        <w:rPr>
          <w:rFonts w:cs="Arial"/>
          <w:bCs/>
          <w:sz w:val="22"/>
          <w:szCs w:val="22"/>
        </w:rPr>
      </w:pPr>
    </w:p>
    <w:p w14:paraId="37F3E990" w14:textId="63F5EA15" w:rsidR="009368AA" w:rsidRPr="009368AA" w:rsidRDefault="009368AA" w:rsidP="009368AA">
      <w:pPr>
        <w:pStyle w:val="Subttulo"/>
        <w:numPr>
          <w:ilvl w:val="1"/>
          <w:numId w:val="37"/>
        </w:numPr>
        <w:spacing w:after="0"/>
        <w:ind w:left="357" w:hanging="357"/>
        <w:jc w:val="left"/>
        <w:rPr>
          <w:b/>
          <w:bCs/>
          <w:sz w:val="22"/>
          <w:szCs w:val="22"/>
        </w:rPr>
      </w:pPr>
      <w:bookmarkStart w:id="77" w:name="_Toc147154324"/>
      <w:r w:rsidRPr="009368AA">
        <w:rPr>
          <w:b/>
          <w:bCs/>
          <w:sz w:val="22"/>
          <w:szCs w:val="22"/>
        </w:rPr>
        <w:t>MOROSIDAD</w:t>
      </w:r>
      <w:bookmarkEnd w:id="77"/>
    </w:p>
    <w:p w14:paraId="235416AD" w14:textId="77777777" w:rsidR="009368AA" w:rsidRDefault="009368AA" w:rsidP="009368AA">
      <w:pPr>
        <w:rPr>
          <w:rFonts w:cs="Arial"/>
          <w:bCs/>
          <w:sz w:val="22"/>
          <w:szCs w:val="22"/>
        </w:rPr>
      </w:pPr>
    </w:p>
    <w:p w14:paraId="6BF6AAC2" w14:textId="77777777" w:rsidR="009368AA" w:rsidRPr="00426C21" w:rsidRDefault="009368AA" w:rsidP="009368AA">
      <w:pPr>
        <w:rPr>
          <w:rFonts w:cs="Arial"/>
          <w:b/>
          <w:i/>
          <w:iCs/>
        </w:rPr>
      </w:pPr>
      <w:r>
        <w:rPr>
          <w:rFonts w:cs="Arial"/>
          <w:sz w:val="22"/>
          <w:szCs w:val="22"/>
        </w:rPr>
        <w:t>Para la aplicación de sanciones por mora y liquidación de intereses de realizarán teniendo en cuenta el numeral 85.6 del artículo 85 de la Ley 142 de 1994, que establece</w:t>
      </w:r>
      <w:r w:rsidRPr="00426C21">
        <w:rPr>
          <w:rFonts w:cs="Arial"/>
          <w:i/>
          <w:iCs/>
          <w:sz w:val="22"/>
          <w:szCs w:val="22"/>
        </w:rPr>
        <w:t>: “85.6. Una vez en firme las liquidaciones deberán ser canceladas dentro del mes siguiente. Se aplicará el mismo régimen de sanción por mora aplicable al impuesto sobre la renta y complementarios, sin perjuicio de las demás sanciones de que trata esta Ley”.</w:t>
      </w:r>
    </w:p>
    <w:p w14:paraId="7101D25A" w14:textId="77777777" w:rsidR="009368AA" w:rsidRPr="00C32EA1" w:rsidRDefault="009368AA" w:rsidP="009368AA">
      <w:pPr>
        <w:rPr>
          <w:rFonts w:cs="Arial"/>
          <w:bCs/>
          <w:sz w:val="22"/>
          <w:szCs w:val="22"/>
        </w:rPr>
      </w:pPr>
    </w:p>
    <w:p w14:paraId="6DEFCCE4" w14:textId="0189A49C" w:rsidR="009368AA" w:rsidRPr="009368AA" w:rsidRDefault="009368AA" w:rsidP="009368AA">
      <w:pPr>
        <w:pStyle w:val="Subttulo"/>
        <w:numPr>
          <w:ilvl w:val="1"/>
          <w:numId w:val="37"/>
        </w:numPr>
        <w:spacing w:after="0"/>
        <w:ind w:left="357" w:hanging="357"/>
        <w:jc w:val="left"/>
        <w:rPr>
          <w:b/>
          <w:bCs/>
          <w:sz w:val="22"/>
          <w:szCs w:val="22"/>
        </w:rPr>
      </w:pPr>
      <w:bookmarkStart w:id="78" w:name="_Toc147154325"/>
      <w:r w:rsidRPr="009368AA">
        <w:rPr>
          <w:b/>
          <w:bCs/>
          <w:sz w:val="22"/>
          <w:szCs w:val="22"/>
        </w:rPr>
        <w:t xml:space="preserve">REPORTE </w:t>
      </w:r>
      <w:r w:rsidR="00407519">
        <w:rPr>
          <w:b/>
          <w:bCs/>
          <w:sz w:val="22"/>
          <w:szCs w:val="22"/>
        </w:rPr>
        <w:t xml:space="preserve">AL </w:t>
      </w:r>
      <w:r w:rsidRPr="009368AA">
        <w:rPr>
          <w:b/>
          <w:bCs/>
          <w:sz w:val="22"/>
          <w:szCs w:val="22"/>
        </w:rPr>
        <w:t>BDME</w:t>
      </w:r>
      <w:bookmarkEnd w:id="78"/>
    </w:p>
    <w:p w14:paraId="23942CF5" w14:textId="77777777" w:rsidR="009368AA" w:rsidRPr="00C32EA1" w:rsidRDefault="009368AA" w:rsidP="009368AA">
      <w:pPr>
        <w:rPr>
          <w:rFonts w:cs="Arial"/>
          <w:bCs/>
          <w:sz w:val="22"/>
          <w:szCs w:val="22"/>
        </w:rPr>
      </w:pPr>
    </w:p>
    <w:p w14:paraId="068D7CAA" w14:textId="77777777" w:rsidR="009368AA" w:rsidRPr="00C32EA1" w:rsidRDefault="009368AA" w:rsidP="009368AA">
      <w:pPr>
        <w:rPr>
          <w:rFonts w:cs="Arial"/>
          <w:sz w:val="22"/>
          <w:szCs w:val="22"/>
        </w:rPr>
      </w:pPr>
      <w:r w:rsidRPr="00C32EA1">
        <w:rPr>
          <w:rFonts w:cs="Arial"/>
          <w:sz w:val="22"/>
          <w:szCs w:val="22"/>
        </w:rPr>
        <w:t xml:space="preserve">Se reportará en el Boletín de Deudores Morosos del Estado (BDME) de la Contaduría General de la Nación (CGN), las personas naturales y jurídicas que, a cualquier título, a una fecha de corte, tienen contraída una obligación en mora a favor de la Comisión de Regulación de Energía y Gas – CREG, según lo dispuesto y en las condiciones establecidas en el parágrafo 3º del artículo 2º de la Ley 901 </w:t>
      </w:r>
      <w:r w:rsidRPr="00C32EA1">
        <w:rPr>
          <w:rFonts w:cs="Arial"/>
          <w:sz w:val="22"/>
          <w:szCs w:val="22"/>
        </w:rPr>
        <w:lastRenderedPageBreak/>
        <w:t>de 2004, y del numeral 5º del artículo 2º de la Ley 1066 de 2006; a través del sistema CHIP de la Contaduría General de la Nación (CGN), en los diez (10) primeros días de los meses de junio y de diciembre, con fecha de corte de obligación adeudada a 31 de mayo y 30 de noviembre respectivamente.</w:t>
      </w:r>
    </w:p>
    <w:p w14:paraId="3559C7CC" w14:textId="77777777" w:rsidR="00F65331" w:rsidRDefault="00F65331" w:rsidP="00D22441">
      <w:pPr>
        <w:rPr>
          <w:rFonts w:cs="Arial"/>
          <w:bCs/>
          <w:sz w:val="22"/>
          <w:szCs w:val="22"/>
        </w:rPr>
      </w:pPr>
    </w:p>
    <w:p w14:paraId="37053177" w14:textId="540A9743" w:rsidR="00875E3C" w:rsidRDefault="00875E3C" w:rsidP="00D22441">
      <w:pPr>
        <w:rPr>
          <w:rFonts w:cs="Arial"/>
          <w:bCs/>
          <w:sz w:val="22"/>
          <w:szCs w:val="22"/>
        </w:rPr>
      </w:pPr>
      <w:r w:rsidRPr="002750F4">
        <w:rPr>
          <w:rFonts w:cs="Arial"/>
          <w:bCs/>
          <w:sz w:val="22"/>
          <w:szCs w:val="22"/>
        </w:rPr>
        <w:t>Aquell</w:t>
      </w:r>
      <w:r>
        <w:rPr>
          <w:rFonts w:cs="Arial"/>
          <w:bCs/>
          <w:sz w:val="22"/>
          <w:szCs w:val="22"/>
        </w:rPr>
        <w:t>o</w:t>
      </w:r>
      <w:r w:rsidRPr="002750F4">
        <w:rPr>
          <w:rFonts w:cs="Arial"/>
          <w:bCs/>
          <w:sz w:val="22"/>
          <w:szCs w:val="22"/>
        </w:rPr>
        <w:t xml:space="preserve">s </w:t>
      </w:r>
      <w:r>
        <w:rPr>
          <w:rFonts w:cs="Arial"/>
          <w:bCs/>
          <w:sz w:val="22"/>
          <w:szCs w:val="22"/>
        </w:rPr>
        <w:t>regulados</w:t>
      </w:r>
      <w:r w:rsidRPr="002750F4">
        <w:rPr>
          <w:rFonts w:cs="Arial"/>
          <w:bCs/>
          <w:sz w:val="22"/>
          <w:szCs w:val="22"/>
        </w:rPr>
        <w:t xml:space="preserve"> </w:t>
      </w:r>
      <w:r>
        <w:rPr>
          <w:rFonts w:cs="Arial"/>
          <w:bCs/>
          <w:sz w:val="22"/>
          <w:szCs w:val="22"/>
        </w:rPr>
        <w:t>omisos</w:t>
      </w:r>
      <w:r w:rsidRPr="002750F4">
        <w:rPr>
          <w:rFonts w:cs="Arial"/>
          <w:bCs/>
          <w:sz w:val="22"/>
          <w:szCs w:val="22"/>
        </w:rPr>
        <w:t xml:space="preserve"> que no han reportado y que reporten posterior a la publicación de la resolución de contribución especial, se liquidar</w:t>
      </w:r>
      <w:r>
        <w:rPr>
          <w:rFonts w:cs="Arial"/>
          <w:bCs/>
          <w:sz w:val="22"/>
          <w:szCs w:val="22"/>
        </w:rPr>
        <w:t>á</w:t>
      </w:r>
      <w:r w:rsidRPr="002750F4">
        <w:rPr>
          <w:rFonts w:cs="Arial"/>
          <w:bCs/>
          <w:sz w:val="22"/>
          <w:szCs w:val="22"/>
        </w:rPr>
        <w:t>n en las próximas vigencias al factor generado en cada año de reporte</w:t>
      </w:r>
      <w:r>
        <w:rPr>
          <w:rFonts w:cs="Arial"/>
          <w:bCs/>
          <w:sz w:val="22"/>
          <w:szCs w:val="22"/>
        </w:rPr>
        <w:t xml:space="preserve"> y con la metodología aplicable vigente </w:t>
      </w:r>
      <w:r w:rsidR="00FB2BBD">
        <w:rPr>
          <w:rFonts w:cs="Arial"/>
          <w:bCs/>
          <w:sz w:val="22"/>
          <w:szCs w:val="22"/>
        </w:rPr>
        <w:t>de determinación de</w:t>
      </w:r>
      <w:r>
        <w:rPr>
          <w:rFonts w:cs="Arial"/>
          <w:bCs/>
          <w:sz w:val="22"/>
          <w:szCs w:val="22"/>
        </w:rPr>
        <w:t xml:space="preserve"> la respectiva base gravable.</w:t>
      </w:r>
    </w:p>
    <w:p w14:paraId="01EC214B" w14:textId="77777777" w:rsidR="00F65331" w:rsidRDefault="00F65331" w:rsidP="00D22441">
      <w:pPr>
        <w:jc w:val="left"/>
        <w:rPr>
          <w:rFonts w:cs="Arial"/>
          <w:bCs/>
          <w:sz w:val="22"/>
          <w:szCs w:val="22"/>
        </w:rPr>
      </w:pPr>
    </w:p>
    <w:p w14:paraId="389C42E2" w14:textId="231F5E28" w:rsidR="00875E3C" w:rsidRPr="001C63E6" w:rsidRDefault="00875E3C" w:rsidP="00D22441">
      <w:pPr>
        <w:pStyle w:val="Ttulo10"/>
        <w:numPr>
          <w:ilvl w:val="0"/>
          <w:numId w:val="37"/>
        </w:numPr>
        <w:spacing w:before="0" w:after="0"/>
        <w:rPr>
          <w:sz w:val="22"/>
          <w:szCs w:val="22"/>
        </w:rPr>
      </w:pPr>
      <w:bookmarkStart w:id="79" w:name="_Toc54170186"/>
      <w:bookmarkStart w:id="80" w:name="_Toc147154326"/>
      <w:r w:rsidRPr="001C63E6">
        <w:rPr>
          <w:sz w:val="22"/>
          <w:szCs w:val="22"/>
        </w:rPr>
        <w:t>INFORMACIÓN REPORTADA</w:t>
      </w:r>
      <w:bookmarkEnd w:id="79"/>
      <w:r w:rsidR="00C447D2">
        <w:rPr>
          <w:sz w:val="22"/>
          <w:szCs w:val="22"/>
        </w:rPr>
        <w:t>.</w:t>
      </w:r>
      <w:bookmarkEnd w:id="80"/>
    </w:p>
    <w:p w14:paraId="5DBEB576" w14:textId="77777777" w:rsidR="00875E3C" w:rsidRDefault="00875E3C" w:rsidP="00D22441">
      <w:pPr>
        <w:rPr>
          <w:rFonts w:cs="Arial"/>
          <w:b/>
          <w:sz w:val="22"/>
          <w:szCs w:val="22"/>
        </w:rPr>
      </w:pPr>
    </w:p>
    <w:p w14:paraId="44C16068" w14:textId="056BDD68" w:rsidR="00887ECC" w:rsidRPr="00BB14CB" w:rsidRDefault="00887ECC" w:rsidP="00D22441">
      <w:pPr>
        <w:pStyle w:val="Subttulo"/>
        <w:numPr>
          <w:ilvl w:val="1"/>
          <w:numId w:val="37"/>
        </w:numPr>
        <w:spacing w:after="0"/>
        <w:ind w:left="357" w:hanging="357"/>
        <w:jc w:val="left"/>
        <w:rPr>
          <w:b/>
          <w:bCs/>
          <w:sz w:val="22"/>
          <w:szCs w:val="22"/>
        </w:rPr>
      </w:pPr>
      <w:bookmarkStart w:id="81" w:name="_Toc147154327"/>
      <w:r>
        <w:rPr>
          <w:b/>
          <w:bCs/>
          <w:sz w:val="22"/>
          <w:szCs w:val="22"/>
        </w:rPr>
        <w:t xml:space="preserve">PLAZOS </w:t>
      </w:r>
      <w:r w:rsidR="0078267D">
        <w:rPr>
          <w:b/>
          <w:bCs/>
          <w:sz w:val="22"/>
          <w:szCs w:val="22"/>
        </w:rPr>
        <w:t xml:space="preserve">SSPD PARA EL </w:t>
      </w:r>
      <w:r>
        <w:rPr>
          <w:b/>
          <w:bCs/>
          <w:sz w:val="22"/>
          <w:szCs w:val="22"/>
        </w:rPr>
        <w:t xml:space="preserve">CARGUE </w:t>
      </w:r>
      <w:r w:rsidR="0078267D">
        <w:rPr>
          <w:b/>
          <w:bCs/>
          <w:sz w:val="22"/>
          <w:szCs w:val="22"/>
        </w:rPr>
        <w:t xml:space="preserve">AL SUI </w:t>
      </w:r>
      <w:r>
        <w:rPr>
          <w:b/>
          <w:bCs/>
          <w:sz w:val="22"/>
          <w:szCs w:val="22"/>
        </w:rPr>
        <w:t>DE LA INFORMACIÓN FINANCIERA</w:t>
      </w:r>
      <w:r w:rsidR="00C447D2">
        <w:rPr>
          <w:b/>
          <w:bCs/>
          <w:sz w:val="22"/>
          <w:szCs w:val="22"/>
        </w:rPr>
        <w:t>.</w:t>
      </w:r>
      <w:bookmarkEnd w:id="81"/>
    </w:p>
    <w:p w14:paraId="25D89364" w14:textId="77777777" w:rsidR="00F15869" w:rsidRPr="00F15869" w:rsidRDefault="00F15869" w:rsidP="00D22441">
      <w:pPr>
        <w:rPr>
          <w:rFonts w:cs="Arial"/>
          <w:sz w:val="22"/>
          <w:szCs w:val="22"/>
        </w:rPr>
      </w:pPr>
    </w:p>
    <w:p w14:paraId="6E28E58B" w14:textId="0DAE147A" w:rsidR="00F15869" w:rsidRPr="00F15869" w:rsidRDefault="00F15869" w:rsidP="00D22441">
      <w:pPr>
        <w:rPr>
          <w:rFonts w:cs="Arial"/>
          <w:sz w:val="22"/>
          <w:szCs w:val="22"/>
        </w:rPr>
      </w:pPr>
      <w:r w:rsidRPr="00F15869">
        <w:rPr>
          <w:rFonts w:cs="Arial"/>
          <w:sz w:val="22"/>
          <w:szCs w:val="22"/>
        </w:rPr>
        <w:t xml:space="preserve">Mediante Resolución </w:t>
      </w:r>
      <w:r w:rsidR="00F4172F">
        <w:rPr>
          <w:rFonts w:cs="Arial"/>
          <w:sz w:val="22"/>
          <w:szCs w:val="22"/>
        </w:rPr>
        <w:t xml:space="preserve">SSPD </w:t>
      </w:r>
      <w:proofErr w:type="spellStart"/>
      <w:r w:rsidRPr="00F15869">
        <w:rPr>
          <w:rFonts w:cs="Arial"/>
          <w:sz w:val="22"/>
          <w:szCs w:val="22"/>
        </w:rPr>
        <w:t>N°</w:t>
      </w:r>
      <w:proofErr w:type="spellEnd"/>
      <w:r w:rsidRPr="00F15869">
        <w:rPr>
          <w:rFonts w:cs="Arial"/>
          <w:sz w:val="22"/>
          <w:szCs w:val="22"/>
        </w:rPr>
        <w:t xml:space="preserve"> </w:t>
      </w:r>
      <w:r w:rsidR="00D1664E" w:rsidRPr="00D1664E">
        <w:rPr>
          <w:rFonts w:cs="Arial"/>
          <w:sz w:val="22"/>
          <w:szCs w:val="22"/>
        </w:rPr>
        <w:t>20231000215345</w:t>
      </w:r>
      <w:r w:rsidRPr="00F15869">
        <w:rPr>
          <w:rFonts w:cs="Arial"/>
          <w:sz w:val="22"/>
          <w:szCs w:val="22"/>
        </w:rPr>
        <w:t xml:space="preserve"> del </w:t>
      </w:r>
      <w:r w:rsidR="00D1664E">
        <w:rPr>
          <w:rFonts w:cs="Arial"/>
          <w:sz w:val="22"/>
          <w:szCs w:val="22"/>
        </w:rPr>
        <w:t>29</w:t>
      </w:r>
      <w:r w:rsidRPr="00F15869">
        <w:rPr>
          <w:rFonts w:cs="Arial"/>
          <w:sz w:val="22"/>
          <w:szCs w:val="22"/>
        </w:rPr>
        <w:t xml:space="preserve"> de marzo de 202</w:t>
      </w:r>
      <w:r w:rsidR="00D1664E">
        <w:rPr>
          <w:rFonts w:cs="Arial"/>
          <w:sz w:val="22"/>
          <w:szCs w:val="22"/>
        </w:rPr>
        <w:t>3</w:t>
      </w:r>
      <w:r w:rsidR="005725AE">
        <w:rPr>
          <w:rStyle w:val="Refdenotaalpie"/>
          <w:rFonts w:cs="Arial"/>
          <w:sz w:val="22"/>
          <w:szCs w:val="22"/>
        </w:rPr>
        <w:footnoteReference w:id="26"/>
      </w:r>
      <w:r w:rsidRPr="00F15869">
        <w:rPr>
          <w:rFonts w:cs="Arial"/>
          <w:sz w:val="22"/>
          <w:szCs w:val="22"/>
        </w:rPr>
        <w:t>, la SSPD estableció los plazos para el cargue de la información financiera con corte a 31 de diciembre de 202</w:t>
      </w:r>
      <w:r w:rsidR="00D1664E">
        <w:rPr>
          <w:rFonts w:cs="Arial"/>
          <w:sz w:val="22"/>
          <w:szCs w:val="22"/>
        </w:rPr>
        <w:t>2</w:t>
      </w:r>
      <w:r w:rsidRPr="00F15869">
        <w:rPr>
          <w:rFonts w:cs="Arial"/>
          <w:sz w:val="22"/>
          <w:szCs w:val="22"/>
        </w:rPr>
        <w:t>, la cual es la base para liquidar la contribución especial 202</w:t>
      </w:r>
      <w:r w:rsidR="00600310">
        <w:rPr>
          <w:rFonts w:cs="Arial"/>
          <w:sz w:val="22"/>
          <w:szCs w:val="22"/>
        </w:rPr>
        <w:t>3</w:t>
      </w:r>
      <w:r w:rsidRPr="00F15869">
        <w:rPr>
          <w:rFonts w:cs="Arial"/>
          <w:sz w:val="22"/>
          <w:szCs w:val="22"/>
        </w:rPr>
        <w:t>, determinada en el artículo 85 de la Ley 142 de 1994</w:t>
      </w:r>
      <w:r w:rsidR="00600310">
        <w:rPr>
          <w:rFonts w:cs="Arial"/>
          <w:sz w:val="22"/>
          <w:szCs w:val="22"/>
        </w:rPr>
        <w:t>.</w:t>
      </w:r>
    </w:p>
    <w:p w14:paraId="7B261FC9" w14:textId="77777777" w:rsidR="00F15869" w:rsidRPr="00F15869" w:rsidRDefault="00F15869" w:rsidP="00D22441">
      <w:pPr>
        <w:rPr>
          <w:rFonts w:cs="Arial"/>
          <w:sz w:val="22"/>
          <w:szCs w:val="22"/>
        </w:rPr>
      </w:pPr>
    </w:p>
    <w:p w14:paraId="1F7B916A" w14:textId="51451BCE" w:rsidR="00211CBF" w:rsidRPr="00F15869" w:rsidRDefault="00750172" w:rsidP="00D22441">
      <w:pPr>
        <w:pStyle w:val="Textoindependiente"/>
        <w:spacing w:after="0" w:line="240" w:lineRule="auto"/>
        <w:rPr>
          <w:rFonts w:cs="Arial"/>
          <w:sz w:val="22"/>
          <w:szCs w:val="22"/>
        </w:rPr>
      </w:pPr>
      <w:r w:rsidRPr="00F15869">
        <w:rPr>
          <w:rFonts w:cs="Arial"/>
          <w:sz w:val="22"/>
          <w:szCs w:val="22"/>
        </w:rPr>
        <w:t>Si el reporte se efectúa con posterioridad a las fechas indicadas será extemporáneo y, en consecuencia, podrán iniciarse las actuaciones administrativas a que haya lugar.</w:t>
      </w:r>
    </w:p>
    <w:p w14:paraId="1244A712" w14:textId="1395BC2E" w:rsidR="00C906EF" w:rsidRPr="00F15869" w:rsidRDefault="00C906EF" w:rsidP="00D22441">
      <w:pPr>
        <w:pStyle w:val="Textoindependiente"/>
        <w:spacing w:after="0" w:line="240" w:lineRule="auto"/>
        <w:rPr>
          <w:rFonts w:cs="Arial"/>
          <w:sz w:val="22"/>
          <w:szCs w:val="22"/>
        </w:rPr>
      </w:pPr>
    </w:p>
    <w:p w14:paraId="123DB174" w14:textId="1A59641F" w:rsidR="00887ECC" w:rsidRDefault="00887ECC" w:rsidP="00D22441">
      <w:pPr>
        <w:pStyle w:val="Subttulo"/>
        <w:numPr>
          <w:ilvl w:val="1"/>
          <w:numId w:val="37"/>
        </w:numPr>
        <w:spacing w:after="0"/>
        <w:ind w:left="357" w:hanging="357"/>
        <w:jc w:val="left"/>
        <w:rPr>
          <w:b/>
          <w:bCs/>
          <w:sz w:val="22"/>
          <w:szCs w:val="22"/>
        </w:rPr>
      </w:pPr>
      <w:bookmarkStart w:id="82" w:name="_Toc54170188"/>
      <w:bookmarkStart w:id="83" w:name="_Toc147154328"/>
      <w:r w:rsidRPr="001C63E6">
        <w:rPr>
          <w:b/>
          <w:bCs/>
          <w:sz w:val="22"/>
          <w:szCs w:val="22"/>
        </w:rPr>
        <w:t xml:space="preserve">EMPRESAS </w:t>
      </w:r>
      <w:r>
        <w:rPr>
          <w:b/>
          <w:bCs/>
          <w:sz w:val="22"/>
          <w:szCs w:val="22"/>
        </w:rPr>
        <w:t>EN RÉGIMEN DE REESTRUCTURACIÓN</w:t>
      </w:r>
      <w:r w:rsidR="00384F7A">
        <w:rPr>
          <w:b/>
          <w:bCs/>
          <w:sz w:val="22"/>
          <w:szCs w:val="22"/>
        </w:rPr>
        <w:t>,</w:t>
      </w:r>
      <w:r>
        <w:rPr>
          <w:b/>
          <w:bCs/>
          <w:sz w:val="22"/>
          <w:szCs w:val="22"/>
        </w:rPr>
        <w:t xml:space="preserve"> INSOLVENCIA</w:t>
      </w:r>
      <w:r w:rsidR="00384F7A">
        <w:rPr>
          <w:b/>
          <w:bCs/>
          <w:sz w:val="22"/>
          <w:szCs w:val="22"/>
        </w:rPr>
        <w:t xml:space="preserve"> O INACTIVAS</w:t>
      </w:r>
      <w:r>
        <w:rPr>
          <w:b/>
          <w:bCs/>
          <w:sz w:val="22"/>
          <w:szCs w:val="22"/>
        </w:rPr>
        <w:t>.</w:t>
      </w:r>
      <w:bookmarkEnd w:id="82"/>
      <w:bookmarkEnd w:id="83"/>
    </w:p>
    <w:p w14:paraId="7260F92A" w14:textId="27B172CD" w:rsidR="00750172" w:rsidRPr="00887ECC" w:rsidRDefault="00750172" w:rsidP="00D22441">
      <w:pPr>
        <w:pStyle w:val="Textoindependiente"/>
        <w:spacing w:after="0" w:line="240" w:lineRule="auto"/>
        <w:rPr>
          <w:rFonts w:cs="Arial"/>
          <w:sz w:val="22"/>
          <w:szCs w:val="22"/>
        </w:rPr>
      </w:pPr>
    </w:p>
    <w:p w14:paraId="0C5F46F5" w14:textId="451E4EC7" w:rsidR="003279BE" w:rsidRPr="003279BE" w:rsidRDefault="003279BE" w:rsidP="00D22441">
      <w:pPr>
        <w:rPr>
          <w:rFonts w:cs="Arial"/>
          <w:bCs/>
          <w:sz w:val="22"/>
          <w:szCs w:val="22"/>
        </w:rPr>
      </w:pPr>
      <w:r w:rsidRPr="003279BE">
        <w:rPr>
          <w:rFonts w:cs="Arial"/>
          <w:bCs/>
          <w:sz w:val="22"/>
          <w:szCs w:val="22"/>
        </w:rPr>
        <w:t>Para las empresas reguladas que se encuentren en proceso de liquidación, cancelación, fusión, escisión, toma de posesión para administrar con fines liquidatarios, y que hubieren operado al menos</w:t>
      </w:r>
      <w:r w:rsidR="003E23D0">
        <w:rPr>
          <w:rFonts w:cs="Arial"/>
          <w:bCs/>
          <w:sz w:val="22"/>
          <w:szCs w:val="22"/>
        </w:rPr>
        <w:t xml:space="preserve"> un día durante la vigencia 202</w:t>
      </w:r>
      <w:r w:rsidR="00415CF5">
        <w:rPr>
          <w:rFonts w:cs="Arial"/>
          <w:bCs/>
          <w:sz w:val="22"/>
          <w:szCs w:val="22"/>
        </w:rPr>
        <w:t>3</w:t>
      </w:r>
      <w:r w:rsidRPr="003279BE">
        <w:rPr>
          <w:rFonts w:cs="Arial"/>
          <w:bCs/>
          <w:sz w:val="22"/>
          <w:szCs w:val="22"/>
        </w:rPr>
        <w:t>, se les liquidará la contribución especial de regulación con base en l</w:t>
      </w:r>
      <w:r w:rsidR="002664BA">
        <w:rPr>
          <w:rFonts w:cs="Arial"/>
          <w:bCs/>
          <w:sz w:val="22"/>
          <w:szCs w:val="22"/>
        </w:rPr>
        <w:t>a información financiera de 202</w:t>
      </w:r>
      <w:r w:rsidR="00415CF5">
        <w:rPr>
          <w:rFonts w:cs="Arial"/>
          <w:bCs/>
          <w:sz w:val="22"/>
          <w:szCs w:val="22"/>
        </w:rPr>
        <w:t>2</w:t>
      </w:r>
      <w:r w:rsidRPr="003279BE">
        <w:rPr>
          <w:rFonts w:cs="Arial"/>
          <w:bCs/>
          <w:sz w:val="22"/>
          <w:szCs w:val="22"/>
        </w:rPr>
        <w:t xml:space="preserve"> reportada en el SUI de la SSPD, siempre que hubieren generado gastos de regulación a la CREG</w:t>
      </w:r>
      <w:r w:rsidR="00C85432">
        <w:rPr>
          <w:rFonts w:cs="Arial"/>
          <w:bCs/>
          <w:sz w:val="22"/>
          <w:szCs w:val="22"/>
        </w:rPr>
        <w:t xml:space="preserve"> </w:t>
      </w:r>
      <w:r w:rsidRPr="003279BE">
        <w:rPr>
          <w:rFonts w:cs="Arial"/>
          <w:bCs/>
          <w:sz w:val="22"/>
          <w:szCs w:val="22"/>
        </w:rPr>
        <w:t>en la vigencia 202</w:t>
      </w:r>
      <w:r w:rsidR="00415CF5">
        <w:rPr>
          <w:rFonts w:cs="Arial"/>
          <w:bCs/>
          <w:sz w:val="22"/>
          <w:szCs w:val="22"/>
        </w:rPr>
        <w:t>2</w:t>
      </w:r>
      <w:r w:rsidRPr="003279BE">
        <w:rPr>
          <w:rFonts w:cs="Arial"/>
          <w:bCs/>
          <w:sz w:val="22"/>
          <w:szCs w:val="22"/>
        </w:rPr>
        <w:t>, por prestación del servicio para el cual se hubieren encontrado habilitadas, por haber suministrado el servicio correspondiente a sus usuarios, durante la señalada vigencia.</w:t>
      </w:r>
    </w:p>
    <w:p w14:paraId="37617ADE" w14:textId="77777777" w:rsidR="003279BE" w:rsidRPr="003279BE" w:rsidRDefault="003279BE" w:rsidP="00D22441">
      <w:pPr>
        <w:rPr>
          <w:rFonts w:cs="Arial"/>
          <w:bCs/>
          <w:sz w:val="22"/>
          <w:szCs w:val="22"/>
        </w:rPr>
      </w:pPr>
    </w:p>
    <w:p w14:paraId="31B36E64" w14:textId="77777777" w:rsidR="003279BE" w:rsidRPr="00F90CAB" w:rsidRDefault="003279BE" w:rsidP="00D22441">
      <w:pPr>
        <w:rPr>
          <w:rFonts w:cs="Arial"/>
          <w:bCs/>
          <w:sz w:val="22"/>
          <w:szCs w:val="22"/>
        </w:rPr>
      </w:pPr>
      <w:r w:rsidRPr="00F90CAB">
        <w:rPr>
          <w:rFonts w:cs="Arial"/>
          <w:bCs/>
          <w:sz w:val="22"/>
          <w:szCs w:val="22"/>
        </w:rPr>
        <w:t xml:space="preserve">Lo anterior, teniendo en cuenta que, la función de regulación de la CREG a los agentes del </w:t>
      </w:r>
      <w:proofErr w:type="gramStart"/>
      <w:r w:rsidRPr="00F90CAB">
        <w:rPr>
          <w:rFonts w:cs="Arial"/>
          <w:bCs/>
          <w:sz w:val="22"/>
          <w:szCs w:val="22"/>
        </w:rPr>
        <w:t>mercado,</w:t>
      </w:r>
      <w:proofErr w:type="gramEnd"/>
      <w:r w:rsidRPr="00F90CAB">
        <w:rPr>
          <w:rFonts w:cs="Arial"/>
          <w:bCs/>
          <w:sz w:val="22"/>
          <w:szCs w:val="22"/>
        </w:rPr>
        <w:t xml:space="preserve"> se fundamenta en la prestación efectiva del servicio público regulado, para poder asegurar una adecuada prestación del mismo, en condiciones de disponibilidad, competencia, calidad y eficiencia.</w:t>
      </w:r>
    </w:p>
    <w:p w14:paraId="4B9EC0B4" w14:textId="77777777" w:rsidR="003279BE" w:rsidRPr="00F90CAB" w:rsidRDefault="003279BE" w:rsidP="00D22441">
      <w:pPr>
        <w:rPr>
          <w:rFonts w:cs="Arial"/>
          <w:bCs/>
          <w:sz w:val="22"/>
          <w:szCs w:val="22"/>
        </w:rPr>
      </w:pPr>
    </w:p>
    <w:p w14:paraId="4B2489CE" w14:textId="22C9C310" w:rsidR="003279BE" w:rsidRPr="00F90CAB" w:rsidRDefault="003279BE" w:rsidP="00D22441">
      <w:pPr>
        <w:rPr>
          <w:rFonts w:cs="Arial"/>
          <w:bCs/>
          <w:sz w:val="22"/>
          <w:szCs w:val="22"/>
        </w:rPr>
      </w:pPr>
      <w:r w:rsidRPr="00F90CAB">
        <w:rPr>
          <w:rFonts w:cs="Arial"/>
          <w:bCs/>
          <w:sz w:val="22"/>
          <w:szCs w:val="22"/>
        </w:rPr>
        <w:t xml:space="preserve">Por tanto, las empresas reguladas </w:t>
      </w:r>
      <w:r w:rsidR="00C85432" w:rsidRPr="00F90CAB">
        <w:rPr>
          <w:rFonts w:cs="Arial"/>
          <w:bCs/>
          <w:sz w:val="22"/>
          <w:szCs w:val="22"/>
        </w:rPr>
        <w:t xml:space="preserve">con </w:t>
      </w:r>
      <w:r w:rsidRPr="00F90CAB">
        <w:rPr>
          <w:rFonts w:cs="Arial"/>
          <w:bCs/>
          <w:sz w:val="22"/>
          <w:szCs w:val="22"/>
        </w:rPr>
        <w:t xml:space="preserve">las condiciones arriba descritas, </w:t>
      </w:r>
      <w:r w:rsidR="00C85432" w:rsidRPr="00F90CAB">
        <w:rPr>
          <w:rFonts w:cs="Arial"/>
          <w:bCs/>
          <w:sz w:val="22"/>
          <w:szCs w:val="22"/>
        </w:rPr>
        <w:t xml:space="preserve">de ser el caso, </w:t>
      </w:r>
      <w:r w:rsidRPr="00F90CAB">
        <w:rPr>
          <w:rFonts w:cs="Arial"/>
          <w:bCs/>
          <w:sz w:val="22"/>
          <w:szCs w:val="22"/>
        </w:rPr>
        <w:t>deben provisionar y pagar proporciona</w:t>
      </w:r>
      <w:r w:rsidR="003E23D0">
        <w:rPr>
          <w:rFonts w:cs="Arial"/>
          <w:bCs/>
          <w:sz w:val="22"/>
          <w:szCs w:val="22"/>
        </w:rPr>
        <w:t>lmente a la fracción de año 202</w:t>
      </w:r>
      <w:r w:rsidR="00415CF5">
        <w:rPr>
          <w:rFonts w:cs="Arial"/>
          <w:bCs/>
          <w:sz w:val="22"/>
          <w:szCs w:val="22"/>
        </w:rPr>
        <w:t>3</w:t>
      </w:r>
      <w:r w:rsidRPr="00F90CAB">
        <w:rPr>
          <w:rFonts w:cs="Arial"/>
          <w:bCs/>
          <w:sz w:val="22"/>
          <w:szCs w:val="22"/>
        </w:rPr>
        <w:t xml:space="preserve"> que hubiere prestado el servicio público.</w:t>
      </w:r>
    </w:p>
    <w:p w14:paraId="1AD7CAE7" w14:textId="41DE3E13" w:rsidR="003279BE" w:rsidRPr="00F90CAB" w:rsidRDefault="003279BE" w:rsidP="00D22441">
      <w:pPr>
        <w:pStyle w:val="Textoindependiente"/>
        <w:spacing w:after="0" w:line="240" w:lineRule="auto"/>
        <w:rPr>
          <w:rFonts w:cs="Arial"/>
          <w:sz w:val="22"/>
          <w:szCs w:val="22"/>
        </w:rPr>
      </w:pPr>
    </w:p>
    <w:p w14:paraId="375EC3BD" w14:textId="00D92D04" w:rsidR="00271B60" w:rsidRDefault="00961025" w:rsidP="00D22441">
      <w:pPr>
        <w:rPr>
          <w:rFonts w:cs="Arial"/>
          <w:sz w:val="22"/>
          <w:szCs w:val="22"/>
        </w:rPr>
      </w:pPr>
      <w:r w:rsidRPr="003B72DD">
        <w:rPr>
          <w:rFonts w:cs="Arial"/>
          <w:sz w:val="22"/>
          <w:szCs w:val="22"/>
        </w:rPr>
        <w:lastRenderedPageBreak/>
        <w:t xml:space="preserve">No serán sujetos pasivos de la contribución especial </w:t>
      </w:r>
      <w:r w:rsidR="002C1B51" w:rsidRPr="003B72DD">
        <w:rPr>
          <w:rFonts w:cs="Arial"/>
          <w:sz w:val="22"/>
          <w:szCs w:val="22"/>
        </w:rPr>
        <w:t>2</w:t>
      </w:r>
      <w:r w:rsidR="003E23D0">
        <w:rPr>
          <w:rFonts w:cs="Arial"/>
          <w:sz w:val="22"/>
          <w:szCs w:val="22"/>
        </w:rPr>
        <w:t>02</w:t>
      </w:r>
      <w:r w:rsidR="00415CF5">
        <w:rPr>
          <w:rFonts w:cs="Arial"/>
          <w:sz w:val="22"/>
          <w:szCs w:val="22"/>
        </w:rPr>
        <w:t>3</w:t>
      </w:r>
      <w:r w:rsidR="002C1B51" w:rsidRPr="003B72DD">
        <w:rPr>
          <w:rFonts w:cs="Arial"/>
          <w:sz w:val="22"/>
          <w:szCs w:val="22"/>
        </w:rPr>
        <w:t xml:space="preserve"> </w:t>
      </w:r>
      <w:r w:rsidRPr="003B72DD">
        <w:rPr>
          <w:rFonts w:cs="Arial"/>
          <w:sz w:val="22"/>
          <w:szCs w:val="22"/>
        </w:rPr>
        <w:t xml:space="preserve">a favor de la CREG, </w:t>
      </w:r>
      <w:r w:rsidR="00FB3C30" w:rsidRPr="003B72DD">
        <w:rPr>
          <w:rFonts w:cs="Arial"/>
          <w:sz w:val="22"/>
          <w:szCs w:val="22"/>
        </w:rPr>
        <w:t xml:space="preserve">aquellos </w:t>
      </w:r>
      <w:r w:rsidRPr="003B72DD">
        <w:rPr>
          <w:rFonts w:cs="Arial"/>
          <w:sz w:val="22"/>
          <w:szCs w:val="22"/>
        </w:rPr>
        <w:t>regulados</w:t>
      </w:r>
      <w:r w:rsidR="00FB3C30" w:rsidRPr="003B72DD">
        <w:rPr>
          <w:rFonts w:cs="Arial"/>
          <w:sz w:val="22"/>
          <w:szCs w:val="22"/>
        </w:rPr>
        <w:t xml:space="preserve"> que</w:t>
      </w:r>
      <w:r w:rsidR="00F90CAB" w:rsidRPr="003B72DD">
        <w:rPr>
          <w:rFonts w:cs="Arial"/>
          <w:sz w:val="22"/>
          <w:szCs w:val="22"/>
        </w:rPr>
        <w:t>,</w:t>
      </w:r>
      <w:r w:rsidR="003E23D0">
        <w:rPr>
          <w:rFonts w:cs="Arial"/>
          <w:sz w:val="22"/>
          <w:szCs w:val="22"/>
        </w:rPr>
        <w:t xml:space="preserve"> a 31 de diciembre de 202</w:t>
      </w:r>
      <w:r w:rsidR="00415CF5">
        <w:rPr>
          <w:rFonts w:cs="Arial"/>
          <w:sz w:val="22"/>
          <w:szCs w:val="22"/>
        </w:rPr>
        <w:t>2</w:t>
      </w:r>
      <w:r w:rsidR="00C561A7" w:rsidRPr="003B72DD">
        <w:rPr>
          <w:rFonts w:cs="Arial"/>
          <w:sz w:val="22"/>
          <w:szCs w:val="22"/>
        </w:rPr>
        <w:t>, no</w:t>
      </w:r>
      <w:r w:rsidR="00FB3C30" w:rsidRPr="003B72DD">
        <w:rPr>
          <w:rFonts w:cs="Arial"/>
          <w:sz w:val="22"/>
          <w:szCs w:val="22"/>
        </w:rPr>
        <w:t xml:space="preserve"> </w:t>
      </w:r>
      <w:r w:rsidR="00C561A7" w:rsidRPr="003B72DD">
        <w:rPr>
          <w:rFonts w:cs="Arial"/>
          <w:sz w:val="22"/>
          <w:szCs w:val="22"/>
        </w:rPr>
        <w:t>cumplan</w:t>
      </w:r>
      <w:r w:rsidRPr="003B72DD">
        <w:rPr>
          <w:rFonts w:cs="Arial"/>
          <w:sz w:val="22"/>
          <w:szCs w:val="22"/>
        </w:rPr>
        <w:t xml:space="preserve"> las condiciones de</w:t>
      </w:r>
      <w:r w:rsidR="00FB3C30" w:rsidRPr="003B72DD">
        <w:rPr>
          <w:rFonts w:cs="Arial"/>
          <w:sz w:val="22"/>
          <w:szCs w:val="22"/>
        </w:rPr>
        <w:t xml:space="preserve"> los supuestos de la hipótesis de</w:t>
      </w:r>
      <w:r w:rsidR="00DA7BEF">
        <w:rPr>
          <w:rFonts w:cs="Arial"/>
          <w:sz w:val="22"/>
          <w:szCs w:val="22"/>
        </w:rPr>
        <w:t xml:space="preserve">l negocio </w:t>
      </w:r>
      <w:r w:rsidR="00FB3C30" w:rsidRPr="003B72DD">
        <w:rPr>
          <w:rFonts w:cs="Arial"/>
          <w:sz w:val="22"/>
          <w:szCs w:val="22"/>
        </w:rPr>
        <w:t>en marcha correspondiente a la técnica contable</w:t>
      </w:r>
      <w:r w:rsidR="00DA7BEF">
        <w:rPr>
          <w:rFonts w:cs="Arial"/>
          <w:sz w:val="22"/>
          <w:szCs w:val="22"/>
        </w:rPr>
        <w:t>, las razones financieras o indicadores pertinentes para cada tipo de sociedad, modelo de negocio o sector.</w:t>
      </w:r>
    </w:p>
    <w:p w14:paraId="7DF8E556" w14:textId="77777777" w:rsidR="00271B60" w:rsidRDefault="00271B60" w:rsidP="00D22441">
      <w:pPr>
        <w:rPr>
          <w:rFonts w:cs="Arial"/>
          <w:sz w:val="22"/>
          <w:szCs w:val="22"/>
        </w:rPr>
      </w:pPr>
    </w:p>
    <w:p w14:paraId="295858D3" w14:textId="281B730C" w:rsidR="00FB3C30" w:rsidRPr="003B72DD" w:rsidRDefault="00C561A7" w:rsidP="00D22441">
      <w:pPr>
        <w:rPr>
          <w:rFonts w:cs="Arial"/>
          <w:sz w:val="22"/>
          <w:szCs w:val="22"/>
        </w:rPr>
      </w:pPr>
      <w:r w:rsidRPr="003B72DD">
        <w:rPr>
          <w:rFonts w:cs="Arial"/>
          <w:sz w:val="22"/>
          <w:szCs w:val="22"/>
        </w:rPr>
        <w:t xml:space="preserve">En estos casos </w:t>
      </w:r>
      <w:r w:rsidR="00FB3C30" w:rsidRPr="003B72DD">
        <w:rPr>
          <w:rFonts w:cs="Arial"/>
          <w:sz w:val="22"/>
          <w:szCs w:val="22"/>
        </w:rPr>
        <w:t>los estados financieros se preparan bajo el supuesto que la empresa se encuentra en operación, y que continuará sus operaciones durante un periodo de tiempo razonable</w:t>
      </w:r>
      <w:r w:rsidR="00090BA0">
        <w:rPr>
          <w:rFonts w:cs="Arial"/>
          <w:sz w:val="22"/>
          <w:szCs w:val="22"/>
        </w:rPr>
        <w:t>,</w:t>
      </w:r>
      <w:r w:rsidR="00F90CAB" w:rsidRPr="003B72DD">
        <w:rPr>
          <w:rFonts w:cs="Arial"/>
          <w:sz w:val="22"/>
          <w:szCs w:val="22"/>
        </w:rPr>
        <w:t xml:space="preserve"> por lo cual</w:t>
      </w:r>
      <w:r w:rsidR="00FB3C30" w:rsidRPr="003B72DD">
        <w:rPr>
          <w:rFonts w:cs="Arial"/>
          <w:sz w:val="22"/>
          <w:szCs w:val="22"/>
        </w:rPr>
        <w:t xml:space="preserve"> </w:t>
      </w:r>
      <w:r w:rsidRPr="003B72DD">
        <w:rPr>
          <w:rFonts w:cs="Arial"/>
          <w:sz w:val="22"/>
          <w:szCs w:val="22"/>
        </w:rPr>
        <w:t xml:space="preserve">no </w:t>
      </w:r>
      <w:r w:rsidR="00FB3C30" w:rsidRPr="003B72DD">
        <w:rPr>
          <w:rFonts w:cs="Arial"/>
          <w:sz w:val="22"/>
          <w:szCs w:val="22"/>
        </w:rPr>
        <w:t>se observ</w:t>
      </w:r>
      <w:r w:rsidR="00F90CAB" w:rsidRPr="003B72DD">
        <w:rPr>
          <w:rFonts w:cs="Arial"/>
          <w:sz w:val="22"/>
          <w:szCs w:val="22"/>
        </w:rPr>
        <w:t>a</w:t>
      </w:r>
      <w:r w:rsidR="007C7135">
        <w:rPr>
          <w:rFonts w:cs="Arial"/>
          <w:sz w:val="22"/>
          <w:szCs w:val="22"/>
        </w:rPr>
        <w:t>:</w:t>
      </w:r>
      <w:r w:rsidR="00FB3C30" w:rsidRPr="003B72DD">
        <w:rPr>
          <w:rFonts w:cs="Arial"/>
          <w:sz w:val="22"/>
          <w:szCs w:val="22"/>
        </w:rPr>
        <w:t xml:space="preserve"> una inminente cesación en el pago de las obligaciones mercantiles</w:t>
      </w:r>
      <w:r w:rsidR="00DA7BEF">
        <w:rPr>
          <w:rFonts w:cs="Arial"/>
          <w:sz w:val="22"/>
          <w:szCs w:val="22"/>
        </w:rPr>
        <w:t>, laborales y/o tributarias</w:t>
      </w:r>
      <w:r w:rsidR="007C7135">
        <w:rPr>
          <w:rFonts w:cs="Arial"/>
          <w:sz w:val="22"/>
          <w:szCs w:val="22"/>
        </w:rPr>
        <w:t xml:space="preserve">, pérdida de un mercado </w:t>
      </w:r>
      <w:r w:rsidR="00090BA0">
        <w:rPr>
          <w:rFonts w:cs="Arial"/>
          <w:sz w:val="22"/>
          <w:szCs w:val="22"/>
        </w:rPr>
        <w:t>importante</w:t>
      </w:r>
      <w:r w:rsidR="007C7135">
        <w:rPr>
          <w:rFonts w:cs="Arial"/>
          <w:sz w:val="22"/>
          <w:szCs w:val="22"/>
        </w:rPr>
        <w:t xml:space="preserve">, </w:t>
      </w:r>
      <w:r w:rsidR="00DA7BEF">
        <w:rPr>
          <w:rFonts w:cs="Arial"/>
          <w:sz w:val="22"/>
          <w:szCs w:val="22"/>
        </w:rPr>
        <w:t xml:space="preserve">prestación del servicio por parte de otros agentes del mercado, escasez de suministros </w:t>
      </w:r>
      <w:r w:rsidR="00090BA0">
        <w:rPr>
          <w:rFonts w:cs="Arial"/>
          <w:sz w:val="22"/>
          <w:szCs w:val="22"/>
        </w:rPr>
        <w:t>esenciales</w:t>
      </w:r>
      <w:r w:rsidR="00DA7BEF">
        <w:rPr>
          <w:rFonts w:cs="Arial"/>
          <w:sz w:val="22"/>
          <w:szCs w:val="22"/>
        </w:rPr>
        <w:t xml:space="preserve">, </w:t>
      </w:r>
      <w:r w:rsidR="007C7135">
        <w:rPr>
          <w:rFonts w:cs="Arial"/>
          <w:sz w:val="22"/>
          <w:szCs w:val="22"/>
        </w:rPr>
        <w:t>cambios en disposiciones legales que afecten negativamente la empresa, pérdidas históricas y proyectadas sustanciales</w:t>
      </w:r>
      <w:r w:rsidR="00DA7BEF">
        <w:rPr>
          <w:rFonts w:cs="Arial"/>
          <w:sz w:val="22"/>
          <w:szCs w:val="22"/>
        </w:rPr>
        <w:t>,</w:t>
      </w:r>
      <w:r w:rsidR="007C7135">
        <w:rPr>
          <w:rFonts w:cs="Arial"/>
          <w:sz w:val="22"/>
          <w:szCs w:val="22"/>
        </w:rPr>
        <w:t xml:space="preserve"> deterioro significativo del valor de los activos, deterioro patrimonial</w:t>
      </w:r>
      <w:r w:rsidR="00DA7BEF">
        <w:rPr>
          <w:rFonts w:cs="Arial"/>
          <w:sz w:val="22"/>
          <w:szCs w:val="22"/>
        </w:rPr>
        <w:t xml:space="preserve">, </w:t>
      </w:r>
      <w:r w:rsidR="007C7135">
        <w:rPr>
          <w:rFonts w:cs="Arial"/>
          <w:sz w:val="22"/>
          <w:szCs w:val="22"/>
        </w:rPr>
        <w:t>riesgos de insolvencia</w:t>
      </w:r>
      <w:r w:rsidR="00DA7BEF">
        <w:rPr>
          <w:rFonts w:cs="Arial"/>
          <w:sz w:val="22"/>
          <w:szCs w:val="22"/>
        </w:rPr>
        <w:t xml:space="preserve"> y/o incertidumbres importantes que generen dudas significativas sobre la capacidad para continuar como un negocio en marcha, y por lo tanto </w:t>
      </w:r>
      <w:r w:rsidR="007C7135">
        <w:rPr>
          <w:rFonts w:cs="Arial"/>
          <w:sz w:val="22"/>
          <w:szCs w:val="22"/>
        </w:rPr>
        <w:t xml:space="preserve">la empresa no tiene alternativas reales diferentes de </w:t>
      </w:r>
      <w:r w:rsidR="00090BA0">
        <w:rPr>
          <w:rFonts w:cs="Arial"/>
          <w:sz w:val="22"/>
          <w:szCs w:val="22"/>
        </w:rPr>
        <w:t xml:space="preserve">ceder el mercado, </w:t>
      </w:r>
      <w:r w:rsidR="007C7135">
        <w:rPr>
          <w:rFonts w:cs="Arial"/>
          <w:sz w:val="22"/>
          <w:szCs w:val="22"/>
        </w:rPr>
        <w:t>terminar sus operaciones o liquidarse.</w:t>
      </w:r>
    </w:p>
    <w:p w14:paraId="67C06DBC" w14:textId="77777777" w:rsidR="00FB3C30" w:rsidRPr="003B72DD" w:rsidRDefault="00FB3C30" w:rsidP="00D22441">
      <w:pPr>
        <w:rPr>
          <w:rFonts w:cs="Arial"/>
          <w:sz w:val="22"/>
          <w:szCs w:val="22"/>
        </w:rPr>
      </w:pPr>
    </w:p>
    <w:p w14:paraId="1580731D" w14:textId="025FF42F" w:rsidR="00FB3C30" w:rsidRDefault="00FB3C30" w:rsidP="00D22441">
      <w:pPr>
        <w:rPr>
          <w:rFonts w:cs="Arial"/>
          <w:sz w:val="22"/>
          <w:szCs w:val="22"/>
        </w:rPr>
      </w:pPr>
      <w:r w:rsidRPr="003B72DD">
        <w:rPr>
          <w:rFonts w:cs="Arial"/>
          <w:sz w:val="22"/>
          <w:szCs w:val="22"/>
        </w:rPr>
        <w:t xml:space="preserve">Lo anterior teniendo en cuenta el principio de revelación plena, el marco normativo contable aplicable a cada grupo o naturaleza de la empresa </w:t>
      </w:r>
      <w:r w:rsidR="001F690D" w:rsidRPr="003B72DD">
        <w:rPr>
          <w:rFonts w:cs="Arial"/>
          <w:sz w:val="22"/>
          <w:szCs w:val="22"/>
        </w:rPr>
        <w:t>o se presente también</w:t>
      </w:r>
      <w:r w:rsidRPr="003B72DD">
        <w:rPr>
          <w:rFonts w:cs="Arial"/>
          <w:sz w:val="22"/>
          <w:szCs w:val="22"/>
        </w:rPr>
        <w:t xml:space="preserve"> </w:t>
      </w:r>
      <w:r w:rsidR="003E23D0">
        <w:rPr>
          <w:rFonts w:cs="Arial"/>
          <w:sz w:val="22"/>
          <w:szCs w:val="22"/>
        </w:rPr>
        <w:t>la situación que durante el 2022</w:t>
      </w:r>
      <w:r w:rsidRPr="003B72DD">
        <w:rPr>
          <w:rFonts w:cs="Arial"/>
          <w:sz w:val="22"/>
          <w:szCs w:val="22"/>
        </w:rPr>
        <w:t xml:space="preserve"> ya no sea un prestador de servicios públicos domiciliarios en los términos de la Ley 142 de 1994; por cuanto, no existirían costos asociados al servicio regulatorio que la CREG deba recuperar para la presente vigencia.</w:t>
      </w:r>
    </w:p>
    <w:p w14:paraId="36274D7F" w14:textId="77777777" w:rsidR="00F15869" w:rsidRPr="003B72DD" w:rsidRDefault="00F15869" w:rsidP="00D22441">
      <w:pPr>
        <w:rPr>
          <w:rFonts w:cs="Arial"/>
          <w:sz w:val="22"/>
          <w:szCs w:val="22"/>
        </w:rPr>
      </w:pPr>
    </w:p>
    <w:p w14:paraId="55CADE7D" w14:textId="02D43091" w:rsidR="00384F7A" w:rsidRDefault="002A6E63" w:rsidP="00D22441">
      <w:pPr>
        <w:rPr>
          <w:rFonts w:cs="Arial"/>
          <w:sz w:val="22"/>
          <w:szCs w:val="22"/>
        </w:rPr>
      </w:pPr>
      <w:r>
        <w:rPr>
          <w:rFonts w:cs="Arial"/>
          <w:sz w:val="22"/>
          <w:szCs w:val="22"/>
        </w:rPr>
        <w:t>En lo corresponden a las empresas inactivas no serán tenidas en cuenta al no haber reportado inf</w:t>
      </w:r>
      <w:r w:rsidR="00F15869">
        <w:rPr>
          <w:rFonts w:cs="Arial"/>
          <w:sz w:val="22"/>
          <w:szCs w:val="22"/>
        </w:rPr>
        <w:t>ormación financiera del año 202</w:t>
      </w:r>
      <w:r w:rsidR="00415CF5">
        <w:rPr>
          <w:rFonts w:cs="Arial"/>
          <w:sz w:val="22"/>
          <w:szCs w:val="22"/>
        </w:rPr>
        <w:t>2</w:t>
      </w:r>
      <w:r>
        <w:rPr>
          <w:rFonts w:cs="Arial"/>
          <w:sz w:val="22"/>
          <w:szCs w:val="22"/>
        </w:rPr>
        <w:t xml:space="preserve"> al SUI</w:t>
      </w:r>
      <w:r w:rsidR="00C85432">
        <w:rPr>
          <w:rFonts w:cs="Arial"/>
          <w:sz w:val="22"/>
          <w:szCs w:val="22"/>
        </w:rPr>
        <w:t xml:space="preserve"> y no ser prestadores de servicio</w:t>
      </w:r>
      <w:r w:rsidR="00FB3C30">
        <w:rPr>
          <w:rFonts w:cs="Arial"/>
          <w:sz w:val="22"/>
          <w:szCs w:val="22"/>
        </w:rPr>
        <w:t>.</w:t>
      </w:r>
    </w:p>
    <w:p w14:paraId="2157DF47" w14:textId="431D6DE7" w:rsidR="0099652E" w:rsidRDefault="0099652E" w:rsidP="00D22441">
      <w:pPr>
        <w:rPr>
          <w:rFonts w:cs="Arial"/>
          <w:sz w:val="22"/>
          <w:szCs w:val="22"/>
        </w:rPr>
      </w:pPr>
    </w:p>
    <w:p w14:paraId="55AFF881" w14:textId="77777777" w:rsidR="0099652E" w:rsidRDefault="0099652E" w:rsidP="00D22441">
      <w:pPr>
        <w:pStyle w:val="Subttulo"/>
        <w:numPr>
          <w:ilvl w:val="1"/>
          <w:numId w:val="37"/>
        </w:numPr>
        <w:spacing w:after="0"/>
        <w:ind w:left="357" w:hanging="357"/>
        <w:jc w:val="left"/>
        <w:rPr>
          <w:b/>
          <w:bCs/>
          <w:sz w:val="22"/>
          <w:szCs w:val="22"/>
        </w:rPr>
      </w:pPr>
      <w:bookmarkStart w:id="84" w:name="_Toc147154329"/>
      <w:r w:rsidRPr="0085721C">
        <w:rPr>
          <w:b/>
          <w:bCs/>
          <w:sz w:val="22"/>
          <w:szCs w:val="22"/>
        </w:rPr>
        <w:t xml:space="preserve">EMPRESAS </w:t>
      </w:r>
      <w:r>
        <w:rPr>
          <w:b/>
          <w:bCs/>
          <w:sz w:val="22"/>
          <w:szCs w:val="22"/>
        </w:rPr>
        <w:t>CUYO VALOR DE CONTRIBUCIÓN ES INFERIOR A LA CUANTÍA MÍNIMA.</w:t>
      </w:r>
      <w:bookmarkEnd w:id="84"/>
    </w:p>
    <w:p w14:paraId="5ADD5CF4" w14:textId="77777777" w:rsidR="0099652E" w:rsidRDefault="0099652E" w:rsidP="00D22441">
      <w:pPr>
        <w:rPr>
          <w:rFonts w:cs="Arial"/>
          <w:sz w:val="22"/>
          <w:szCs w:val="22"/>
          <w:lang w:val="es-MX"/>
        </w:rPr>
      </w:pPr>
    </w:p>
    <w:p w14:paraId="7943F2A6" w14:textId="39FBD6D2" w:rsidR="0099652E" w:rsidRDefault="0099652E" w:rsidP="00D22441">
      <w:pPr>
        <w:rPr>
          <w:rFonts w:cs="Arial"/>
          <w:sz w:val="22"/>
          <w:szCs w:val="22"/>
          <w:lang w:val="es-MX"/>
        </w:rPr>
      </w:pPr>
      <w:r w:rsidRPr="00A35A48">
        <w:rPr>
          <w:rFonts w:cs="Arial"/>
          <w:sz w:val="22"/>
          <w:szCs w:val="22"/>
          <w:lang w:val="es-MX"/>
        </w:rPr>
        <w:t xml:space="preserve">Teniendo en cuenta la cuantía mínima óptima de </w:t>
      </w:r>
      <w:r>
        <w:rPr>
          <w:rFonts w:cs="Arial"/>
          <w:sz w:val="22"/>
          <w:szCs w:val="22"/>
          <w:lang w:val="es-MX"/>
        </w:rPr>
        <w:t>TRESCIENTOS TREINTA Y NUEVE</w:t>
      </w:r>
      <w:r w:rsidRPr="00A35A48">
        <w:rPr>
          <w:rFonts w:cs="Arial"/>
          <w:sz w:val="22"/>
          <w:szCs w:val="22"/>
          <w:lang w:val="es-MX"/>
        </w:rPr>
        <w:t xml:space="preserve"> MIL PESOS M/CTE ($</w:t>
      </w:r>
      <w:r>
        <w:rPr>
          <w:rFonts w:cs="Arial"/>
          <w:sz w:val="22"/>
          <w:szCs w:val="22"/>
          <w:lang w:val="es-MX"/>
        </w:rPr>
        <w:t>339</w:t>
      </w:r>
      <w:r w:rsidRPr="00A35A48">
        <w:rPr>
          <w:rFonts w:cs="Arial"/>
          <w:sz w:val="22"/>
          <w:szCs w:val="22"/>
          <w:lang w:val="es-MX"/>
        </w:rPr>
        <w:t>.</w:t>
      </w:r>
      <w:r>
        <w:rPr>
          <w:rFonts w:cs="Arial"/>
          <w:sz w:val="22"/>
          <w:szCs w:val="22"/>
          <w:lang w:val="es-MX"/>
        </w:rPr>
        <w:t>000</w:t>
      </w:r>
      <w:r w:rsidRPr="00A35A48">
        <w:rPr>
          <w:rFonts w:cs="Arial"/>
          <w:sz w:val="22"/>
          <w:szCs w:val="22"/>
          <w:lang w:val="es-MX"/>
        </w:rPr>
        <w:t xml:space="preserve">), por debajo de la cual no resulta eficiente, </w:t>
      </w:r>
      <w:r>
        <w:rPr>
          <w:rFonts w:cs="Arial"/>
          <w:sz w:val="22"/>
          <w:szCs w:val="22"/>
          <w:lang w:val="es-MX"/>
        </w:rPr>
        <w:t>liquidar y gestionar</w:t>
      </w:r>
      <w:r w:rsidRPr="00A35A48">
        <w:rPr>
          <w:rFonts w:cs="Arial"/>
          <w:sz w:val="22"/>
          <w:szCs w:val="22"/>
          <w:lang w:val="es-MX"/>
        </w:rPr>
        <w:t xml:space="preserve"> la contribución especial</w:t>
      </w:r>
      <w:r>
        <w:rPr>
          <w:rFonts w:cs="Arial"/>
          <w:sz w:val="22"/>
          <w:szCs w:val="22"/>
          <w:lang w:val="es-MX"/>
        </w:rPr>
        <w:t xml:space="preserve"> para la vigencia del 2023</w:t>
      </w:r>
      <w:r w:rsidRPr="00A35A48">
        <w:rPr>
          <w:rFonts w:cs="Arial"/>
          <w:sz w:val="22"/>
          <w:szCs w:val="22"/>
          <w:lang w:val="es-MX"/>
        </w:rPr>
        <w:t xml:space="preserve">, no serán objeto de liquidación </w:t>
      </w:r>
      <w:r>
        <w:rPr>
          <w:rFonts w:cs="Arial"/>
          <w:sz w:val="22"/>
          <w:szCs w:val="22"/>
          <w:lang w:val="es-MX"/>
        </w:rPr>
        <w:t xml:space="preserve">oficial </w:t>
      </w:r>
      <w:r w:rsidRPr="00A35A48">
        <w:rPr>
          <w:rFonts w:cs="Arial"/>
          <w:sz w:val="22"/>
          <w:szCs w:val="22"/>
          <w:lang w:val="es-MX"/>
        </w:rPr>
        <w:t>los siguientes</w:t>
      </w:r>
      <w:r>
        <w:rPr>
          <w:rFonts w:cs="Arial"/>
          <w:sz w:val="22"/>
          <w:szCs w:val="22"/>
          <w:lang w:val="es-MX"/>
        </w:rPr>
        <w:t xml:space="preserve"> 14 </w:t>
      </w:r>
      <w:r w:rsidRPr="00A35A48">
        <w:rPr>
          <w:rFonts w:cs="Arial"/>
          <w:sz w:val="22"/>
          <w:szCs w:val="22"/>
          <w:lang w:val="es-MX"/>
        </w:rPr>
        <w:t>regulados:</w:t>
      </w:r>
    </w:p>
    <w:p w14:paraId="63802683" w14:textId="77777777" w:rsidR="005341B7" w:rsidRDefault="005341B7" w:rsidP="00D22441">
      <w:pPr>
        <w:rPr>
          <w:rFonts w:cs="Arial"/>
          <w:sz w:val="22"/>
          <w:szCs w:val="22"/>
          <w:lang w:val="es-MX"/>
        </w:rPr>
      </w:pPr>
    </w:p>
    <w:p w14:paraId="6B273BCA" w14:textId="35EA9EE6" w:rsidR="00091A5B" w:rsidRPr="00B24EC3" w:rsidRDefault="00091A5B" w:rsidP="00091A5B">
      <w:pPr>
        <w:pStyle w:val="Descripcin"/>
        <w:rPr>
          <w:i w:val="0"/>
          <w:iCs w:val="0"/>
          <w:color w:val="auto"/>
        </w:rPr>
      </w:pPr>
      <w:bookmarkStart w:id="85" w:name="_Toc145486442"/>
      <w:r w:rsidRPr="002C4392">
        <w:rPr>
          <w:i w:val="0"/>
          <w:iCs w:val="0"/>
          <w:color w:val="auto"/>
        </w:rPr>
        <w:t xml:space="preserve">Tabla </w:t>
      </w:r>
      <w:r w:rsidRPr="002C4392">
        <w:rPr>
          <w:i w:val="0"/>
          <w:iCs w:val="0"/>
          <w:color w:val="auto"/>
        </w:rPr>
        <w:fldChar w:fldCharType="begin"/>
      </w:r>
      <w:r w:rsidRPr="002C4392">
        <w:rPr>
          <w:i w:val="0"/>
          <w:iCs w:val="0"/>
          <w:color w:val="auto"/>
        </w:rPr>
        <w:instrText xml:space="preserve"> SEQ Tabla \* ARABIC </w:instrText>
      </w:r>
      <w:r w:rsidRPr="002C4392">
        <w:rPr>
          <w:i w:val="0"/>
          <w:iCs w:val="0"/>
          <w:color w:val="auto"/>
        </w:rPr>
        <w:fldChar w:fldCharType="separate"/>
      </w:r>
      <w:r w:rsidR="00C07347">
        <w:rPr>
          <w:i w:val="0"/>
          <w:iCs w:val="0"/>
          <w:noProof/>
          <w:color w:val="auto"/>
        </w:rPr>
        <w:t>16</w:t>
      </w:r>
      <w:r w:rsidRPr="002C4392">
        <w:rPr>
          <w:i w:val="0"/>
          <w:iCs w:val="0"/>
          <w:color w:val="auto"/>
        </w:rPr>
        <w:fldChar w:fldCharType="end"/>
      </w:r>
      <w:r w:rsidRPr="002C4392">
        <w:rPr>
          <w:i w:val="0"/>
          <w:iCs w:val="0"/>
          <w:color w:val="auto"/>
        </w:rPr>
        <w:t xml:space="preserve">. </w:t>
      </w:r>
      <w:r>
        <w:rPr>
          <w:i w:val="0"/>
          <w:iCs w:val="0"/>
          <w:color w:val="auto"/>
        </w:rPr>
        <w:t xml:space="preserve">Prestadores </w:t>
      </w:r>
      <w:r w:rsidR="00C07347">
        <w:rPr>
          <w:i w:val="0"/>
          <w:iCs w:val="0"/>
          <w:color w:val="auto"/>
        </w:rPr>
        <w:t>con mínima cuantía contribución especial 2023.</w:t>
      </w:r>
      <w:bookmarkEnd w:id="85"/>
    </w:p>
    <w:tbl>
      <w:tblPr>
        <w:tblW w:w="10453" w:type="dxa"/>
        <w:tblLayout w:type="fixed"/>
        <w:tblCellMar>
          <w:left w:w="70" w:type="dxa"/>
          <w:right w:w="70" w:type="dxa"/>
        </w:tblCellMar>
        <w:tblLook w:val="04A0" w:firstRow="1" w:lastRow="0" w:firstColumn="1" w:lastColumn="0" w:noHBand="0" w:noVBand="1"/>
      </w:tblPr>
      <w:tblGrid>
        <w:gridCol w:w="320"/>
        <w:gridCol w:w="578"/>
        <w:gridCol w:w="800"/>
        <w:gridCol w:w="2586"/>
        <w:gridCol w:w="1614"/>
        <w:gridCol w:w="1134"/>
        <w:gridCol w:w="993"/>
        <w:gridCol w:w="1010"/>
        <w:gridCol w:w="1418"/>
      </w:tblGrid>
      <w:tr w:rsidR="006B166A" w:rsidRPr="00382869" w14:paraId="53002BA6" w14:textId="77777777" w:rsidTr="00F44E07">
        <w:trPr>
          <w:trHeight w:val="454"/>
          <w:tblHeader/>
        </w:trPr>
        <w:tc>
          <w:tcPr>
            <w:tcW w:w="320" w:type="dxa"/>
            <w:tcBorders>
              <w:top w:val="single" w:sz="4" w:space="0" w:color="auto"/>
              <w:left w:val="single" w:sz="4" w:space="0" w:color="auto"/>
              <w:bottom w:val="single" w:sz="4" w:space="0" w:color="auto"/>
              <w:right w:val="single" w:sz="4" w:space="0" w:color="auto"/>
            </w:tcBorders>
            <w:shd w:val="clear" w:color="000000" w:fill="D6DCE4"/>
            <w:noWrap/>
            <w:vAlign w:val="center"/>
            <w:hideMark/>
          </w:tcPr>
          <w:p w14:paraId="43A87CF4" w14:textId="68CDD80B" w:rsidR="006B166A" w:rsidRPr="00382869" w:rsidRDefault="00382869" w:rsidP="00D22441">
            <w:pPr>
              <w:jc w:val="center"/>
              <w:rPr>
                <w:rFonts w:ascii="Arial Narrow" w:hAnsi="Arial Narrow" w:cs="Arial"/>
                <w:b/>
                <w:bCs/>
                <w:color w:val="000000"/>
                <w:spacing w:val="0"/>
                <w:sz w:val="16"/>
                <w:szCs w:val="16"/>
                <w:lang w:val="es-MX" w:eastAsia="es-MX"/>
              </w:rPr>
            </w:pPr>
            <w:r>
              <w:rPr>
                <w:rFonts w:ascii="Arial Narrow" w:hAnsi="Arial Narrow" w:cs="Arial"/>
                <w:b/>
                <w:bCs/>
                <w:color w:val="000000"/>
                <w:spacing w:val="0"/>
                <w:sz w:val="16"/>
                <w:szCs w:val="16"/>
                <w:lang w:val="es-MX" w:eastAsia="es-MX"/>
              </w:rPr>
              <w:t>ITEM</w:t>
            </w:r>
          </w:p>
        </w:tc>
        <w:tc>
          <w:tcPr>
            <w:tcW w:w="578" w:type="dxa"/>
            <w:tcBorders>
              <w:top w:val="single" w:sz="4" w:space="0" w:color="auto"/>
              <w:left w:val="nil"/>
              <w:bottom w:val="single" w:sz="4" w:space="0" w:color="auto"/>
              <w:right w:val="single" w:sz="4" w:space="0" w:color="auto"/>
            </w:tcBorders>
            <w:shd w:val="clear" w:color="000000" w:fill="D6DCE4"/>
            <w:vAlign w:val="center"/>
            <w:hideMark/>
          </w:tcPr>
          <w:p w14:paraId="31CE7BCD" w14:textId="77777777" w:rsidR="006B166A" w:rsidRPr="00382869" w:rsidRDefault="006B166A" w:rsidP="00D22441">
            <w:pPr>
              <w:jc w:val="center"/>
              <w:rPr>
                <w:rFonts w:ascii="Arial Narrow" w:hAnsi="Arial Narrow" w:cs="Arial"/>
                <w:b/>
                <w:bCs/>
                <w:color w:val="000000"/>
                <w:spacing w:val="0"/>
                <w:sz w:val="16"/>
                <w:szCs w:val="16"/>
                <w:lang w:val="es-MX" w:eastAsia="es-MX"/>
              </w:rPr>
            </w:pPr>
            <w:r w:rsidRPr="00382869">
              <w:rPr>
                <w:rFonts w:ascii="Arial Narrow" w:hAnsi="Arial Narrow" w:cs="Arial"/>
                <w:b/>
                <w:bCs/>
                <w:color w:val="000000"/>
                <w:spacing w:val="0"/>
                <w:sz w:val="16"/>
                <w:szCs w:val="16"/>
                <w:lang w:val="es-MX" w:eastAsia="es-MX"/>
              </w:rPr>
              <w:t>RUPS</w:t>
            </w:r>
          </w:p>
        </w:tc>
        <w:tc>
          <w:tcPr>
            <w:tcW w:w="800" w:type="dxa"/>
            <w:tcBorders>
              <w:top w:val="single" w:sz="4" w:space="0" w:color="auto"/>
              <w:left w:val="nil"/>
              <w:bottom w:val="single" w:sz="4" w:space="0" w:color="auto"/>
              <w:right w:val="single" w:sz="4" w:space="0" w:color="auto"/>
            </w:tcBorders>
            <w:shd w:val="clear" w:color="000000" w:fill="D6DCE4"/>
            <w:vAlign w:val="center"/>
            <w:hideMark/>
          </w:tcPr>
          <w:p w14:paraId="5970352C" w14:textId="77777777" w:rsidR="006B166A" w:rsidRPr="00382869" w:rsidRDefault="006B166A" w:rsidP="00D22441">
            <w:pPr>
              <w:jc w:val="center"/>
              <w:rPr>
                <w:rFonts w:ascii="Arial Narrow" w:hAnsi="Arial Narrow" w:cs="Arial"/>
                <w:b/>
                <w:bCs/>
                <w:color w:val="000000"/>
                <w:spacing w:val="0"/>
                <w:sz w:val="16"/>
                <w:szCs w:val="16"/>
                <w:lang w:val="es-MX" w:eastAsia="es-MX"/>
              </w:rPr>
            </w:pPr>
            <w:r w:rsidRPr="00382869">
              <w:rPr>
                <w:rFonts w:ascii="Arial Narrow" w:hAnsi="Arial Narrow" w:cs="Arial"/>
                <w:b/>
                <w:bCs/>
                <w:color w:val="000000"/>
                <w:spacing w:val="0"/>
                <w:sz w:val="16"/>
                <w:szCs w:val="16"/>
                <w:lang w:val="es-MX" w:eastAsia="es-MX"/>
              </w:rPr>
              <w:t>NIT</w:t>
            </w:r>
          </w:p>
        </w:tc>
        <w:tc>
          <w:tcPr>
            <w:tcW w:w="2586" w:type="dxa"/>
            <w:tcBorders>
              <w:top w:val="single" w:sz="4" w:space="0" w:color="auto"/>
              <w:left w:val="nil"/>
              <w:bottom w:val="single" w:sz="4" w:space="0" w:color="auto"/>
              <w:right w:val="single" w:sz="4" w:space="0" w:color="auto"/>
            </w:tcBorders>
            <w:shd w:val="clear" w:color="000000" w:fill="D6DCE4"/>
            <w:vAlign w:val="center"/>
            <w:hideMark/>
          </w:tcPr>
          <w:p w14:paraId="40B4C0AF" w14:textId="3BE604A6" w:rsidR="006B166A" w:rsidRPr="00382869" w:rsidRDefault="006B166A" w:rsidP="00D22441">
            <w:pPr>
              <w:jc w:val="center"/>
              <w:rPr>
                <w:rFonts w:ascii="Arial Narrow" w:hAnsi="Arial Narrow" w:cs="Arial"/>
                <w:b/>
                <w:bCs/>
                <w:color w:val="000000"/>
                <w:spacing w:val="0"/>
                <w:sz w:val="16"/>
                <w:szCs w:val="16"/>
                <w:lang w:val="es-MX" w:eastAsia="es-MX"/>
              </w:rPr>
            </w:pPr>
            <w:r w:rsidRPr="00382869">
              <w:rPr>
                <w:rFonts w:ascii="Arial Narrow" w:hAnsi="Arial Narrow" w:cs="Arial"/>
                <w:b/>
                <w:bCs/>
                <w:color w:val="000000"/>
                <w:spacing w:val="0"/>
                <w:sz w:val="16"/>
                <w:szCs w:val="16"/>
                <w:lang w:val="es-MX" w:eastAsia="es-MX"/>
              </w:rPr>
              <w:t>Razón social</w:t>
            </w:r>
          </w:p>
        </w:tc>
        <w:tc>
          <w:tcPr>
            <w:tcW w:w="1614" w:type="dxa"/>
            <w:tcBorders>
              <w:top w:val="single" w:sz="4" w:space="0" w:color="auto"/>
              <w:left w:val="nil"/>
              <w:bottom w:val="single" w:sz="4" w:space="0" w:color="auto"/>
              <w:right w:val="single" w:sz="4" w:space="0" w:color="auto"/>
            </w:tcBorders>
            <w:shd w:val="clear" w:color="000000" w:fill="D6DCE4"/>
            <w:vAlign w:val="center"/>
            <w:hideMark/>
          </w:tcPr>
          <w:p w14:paraId="7150E265" w14:textId="77777777" w:rsidR="006B166A" w:rsidRPr="00382869" w:rsidRDefault="006B166A" w:rsidP="00D22441">
            <w:pPr>
              <w:jc w:val="center"/>
              <w:rPr>
                <w:rFonts w:ascii="Arial Narrow" w:hAnsi="Arial Narrow" w:cs="Arial"/>
                <w:b/>
                <w:bCs/>
                <w:color w:val="000000"/>
                <w:spacing w:val="0"/>
                <w:sz w:val="16"/>
                <w:szCs w:val="16"/>
                <w:lang w:val="es-MX" w:eastAsia="es-MX"/>
              </w:rPr>
            </w:pPr>
            <w:r w:rsidRPr="00382869">
              <w:rPr>
                <w:rFonts w:ascii="Arial Narrow" w:hAnsi="Arial Narrow" w:cs="Arial"/>
                <w:b/>
                <w:bCs/>
                <w:color w:val="000000"/>
                <w:spacing w:val="0"/>
                <w:sz w:val="16"/>
                <w:szCs w:val="16"/>
                <w:lang w:val="es-MX" w:eastAsia="es-MX"/>
              </w:rPr>
              <w:t>Base gravable gastos administrativos depurados</w:t>
            </w:r>
          </w:p>
        </w:tc>
        <w:tc>
          <w:tcPr>
            <w:tcW w:w="1134" w:type="dxa"/>
            <w:tcBorders>
              <w:top w:val="single" w:sz="4" w:space="0" w:color="auto"/>
              <w:left w:val="nil"/>
              <w:bottom w:val="single" w:sz="4" w:space="0" w:color="auto"/>
              <w:right w:val="single" w:sz="4" w:space="0" w:color="auto"/>
            </w:tcBorders>
            <w:shd w:val="clear" w:color="000000" w:fill="D6DCE4"/>
            <w:vAlign w:val="center"/>
            <w:hideMark/>
          </w:tcPr>
          <w:p w14:paraId="470A4150" w14:textId="77777777" w:rsidR="006B166A" w:rsidRPr="00382869" w:rsidRDefault="006B166A" w:rsidP="00D22441">
            <w:pPr>
              <w:jc w:val="center"/>
              <w:rPr>
                <w:rFonts w:ascii="Arial Narrow" w:hAnsi="Arial Narrow" w:cs="Arial"/>
                <w:b/>
                <w:bCs/>
                <w:color w:val="000000"/>
                <w:spacing w:val="0"/>
                <w:sz w:val="16"/>
                <w:szCs w:val="16"/>
                <w:lang w:val="es-MX" w:eastAsia="es-MX"/>
              </w:rPr>
            </w:pPr>
            <w:r w:rsidRPr="00382869">
              <w:rPr>
                <w:rFonts w:ascii="Arial Narrow" w:hAnsi="Arial Narrow" w:cs="Arial"/>
                <w:b/>
                <w:bCs/>
                <w:color w:val="000000"/>
                <w:spacing w:val="0"/>
                <w:sz w:val="16"/>
                <w:szCs w:val="16"/>
                <w:lang w:val="es-MX" w:eastAsia="es-MX"/>
              </w:rPr>
              <w:t>Base gravable porción gastos operativos</w:t>
            </w:r>
          </w:p>
        </w:tc>
        <w:tc>
          <w:tcPr>
            <w:tcW w:w="993" w:type="dxa"/>
            <w:tcBorders>
              <w:top w:val="single" w:sz="4" w:space="0" w:color="auto"/>
              <w:left w:val="nil"/>
              <w:bottom w:val="single" w:sz="4" w:space="0" w:color="auto"/>
              <w:right w:val="single" w:sz="4" w:space="0" w:color="auto"/>
            </w:tcBorders>
            <w:shd w:val="clear" w:color="000000" w:fill="D6DCE4"/>
            <w:vAlign w:val="center"/>
            <w:hideMark/>
          </w:tcPr>
          <w:p w14:paraId="6F788761" w14:textId="77777777" w:rsidR="006B166A" w:rsidRPr="00382869" w:rsidRDefault="006B166A" w:rsidP="00D22441">
            <w:pPr>
              <w:jc w:val="center"/>
              <w:rPr>
                <w:rFonts w:ascii="Arial Narrow" w:hAnsi="Arial Narrow" w:cs="Arial"/>
                <w:b/>
                <w:bCs/>
                <w:color w:val="000000"/>
                <w:spacing w:val="0"/>
                <w:sz w:val="16"/>
                <w:szCs w:val="16"/>
                <w:lang w:val="es-MX" w:eastAsia="es-MX"/>
              </w:rPr>
            </w:pPr>
            <w:proofErr w:type="gramStart"/>
            <w:r w:rsidRPr="00382869">
              <w:rPr>
                <w:rFonts w:ascii="Arial Narrow" w:hAnsi="Arial Narrow" w:cs="Arial"/>
                <w:b/>
                <w:bCs/>
                <w:color w:val="000000"/>
                <w:spacing w:val="0"/>
                <w:sz w:val="16"/>
                <w:szCs w:val="16"/>
                <w:lang w:val="es-MX" w:eastAsia="es-MX"/>
              </w:rPr>
              <w:t>Total</w:t>
            </w:r>
            <w:proofErr w:type="gramEnd"/>
            <w:r w:rsidRPr="00382869">
              <w:rPr>
                <w:rFonts w:ascii="Arial Narrow" w:hAnsi="Arial Narrow" w:cs="Arial"/>
                <w:b/>
                <w:bCs/>
                <w:color w:val="000000"/>
                <w:spacing w:val="0"/>
                <w:sz w:val="16"/>
                <w:szCs w:val="16"/>
                <w:lang w:val="es-MX" w:eastAsia="es-MX"/>
              </w:rPr>
              <w:t xml:space="preserve"> base gravable</w:t>
            </w:r>
          </w:p>
        </w:tc>
        <w:tc>
          <w:tcPr>
            <w:tcW w:w="1010" w:type="dxa"/>
            <w:tcBorders>
              <w:top w:val="single" w:sz="4" w:space="0" w:color="auto"/>
              <w:left w:val="nil"/>
              <w:bottom w:val="single" w:sz="4" w:space="0" w:color="auto"/>
              <w:right w:val="single" w:sz="4" w:space="0" w:color="auto"/>
            </w:tcBorders>
            <w:shd w:val="clear" w:color="000000" w:fill="D6DCE4"/>
            <w:vAlign w:val="center"/>
            <w:hideMark/>
          </w:tcPr>
          <w:p w14:paraId="7DEE94F6" w14:textId="77777777" w:rsidR="006B166A" w:rsidRPr="00382869" w:rsidRDefault="006B166A" w:rsidP="00D22441">
            <w:pPr>
              <w:jc w:val="center"/>
              <w:rPr>
                <w:rFonts w:ascii="Arial Narrow" w:hAnsi="Arial Narrow" w:cs="Arial"/>
                <w:b/>
                <w:bCs/>
                <w:color w:val="000000"/>
                <w:spacing w:val="0"/>
                <w:sz w:val="16"/>
                <w:szCs w:val="16"/>
                <w:lang w:val="es-MX" w:eastAsia="es-MX"/>
              </w:rPr>
            </w:pPr>
            <w:r w:rsidRPr="00382869">
              <w:rPr>
                <w:rFonts w:ascii="Arial Narrow" w:hAnsi="Arial Narrow" w:cs="Arial"/>
                <w:b/>
                <w:bCs/>
                <w:color w:val="000000"/>
                <w:spacing w:val="0"/>
                <w:sz w:val="16"/>
                <w:szCs w:val="16"/>
                <w:lang w:val="es-MX" w:eastAsia="es-MX"/>
              </w:rPr>
              <w:t>Contribución especial</w:t>
            </w:r>
            <w:r w:rsidRPr="00382869">
              <w:rPr>
                <w:rFonts w:ascii="Arial Narrow" w:hAnsi="Arial Narrow" w:cs="Arial"/>
                <w:b/>
                <w:bCs/>
                <w:color w:val="000000"/>
                <w:spacing w:val="0"/>
                <w:sz w:val="16"/>
                <w:szCs w:val="16"/>
                <w:lang w:val="es-MX" w:eastAsia="es-MX"/>
              </w:rPr>
              <w:br/>
              <w:t>1%</w:t>
            </w:r>
          </w:p>
        </w:tc>
        <w:tc>
          <w:tcPr>
            <w:tcW w:w="1418" w:type="dxa"/>
            <w:tcBorders>
              <w:top w:val="single" w:sz="4" w:space="0" w:color="auto"/>
              <w:left w:val="nil"/>
              <w:bottom w:val="single" w:sz="4" w:space="0" w:color="auto"/>
              <w:right w:val="single" w:sz="4" w:space="0" w:color="auto"/>
            </w:tcBorders>
            <w:shd w:val="clear" w:color="000000" w:fill="D6DCE4"/>
            <w:vAlign w:val="center"/>
            <w:hideMark/>
          </w:tcPr>
          <w:p w14:paraId="44D5A3F8" w14:textId="77777777" w:rsidR="006B166A" w:rsidRPr="00382869" w:rsidRDefault="006B166A" w:rsidP="00D22441">
            <w:pPr>
              <w:jc w:val="center"/>
              <w:rPr>
                <w:rFonts w:ascii="Arial Narrow" w:hAnsi="Arial Narrow" w:cs="Arial"/>
                <w:b/>
                <w:bCs/>
                <w:color w:val="000000"/>
                <w:spacing w:val="0"/>
                <w:sz w:val="16"/>
                <w:szCs w:val="16"/>
                <w:lang w:val="es-MX" w:eastAsia="es-MX"/>
              </w:rPr>
            </w:pPr>
            <w:r w:rsidRPr="00382869">
              <w:rPr>
                <w:rFonts w:ascii="Arial Narrow" w:hAnsi="Arial Narrow" w:cs="Arial"/>
                <w:b/>
                <w:bCs/>
                <w:color w:val="000000"/>
                <w:spacing w:val="0"/>
                <w:sz w:val="16"/>
                <w:szCs w:val="16"/>
                <w:lang w:val="es-MX" w:eastAsia="es-MX"/>
              </w:rPr>
              <w:t>Servicio prestado</w:t>
            </w:r>
          </w:p>
        </w:tc>
      </w:tr>
      <w:tr w:rsidR="006B166A" w:rsidRPr="00382869" w14:paraId="387DCF71" w14:textId="77777777" w:rsidTr="00F44E07">
        <w:trPr>
          <w:trHeight w:val="418"/>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48974EE1" w14:textId="77777777" w:rsidR="006B166A" w:rsidRPr="00382869" w:rsidRDefault="006B166A" w:rsidP="00D22441">
            <w:pPr>
              <w:jc w:val="right"/>
              <w:rPr>
                <w:rFonts w:ascii="Arial Narrow" w:hAnsi="Arial Narrow" w:cs="Arial"/>
                <w:spacing w:val="0"/>
                <w:sz w:val="16"/>
                <w:szCs w:val="16"/>
                <w:lang w:val="es-MX" w:eastAsia="es-MX"/>
              </w:rPr>
            </w:pPr>
            <w:r w:rsidRPr="00382869">
              <w:rPr>
                <w:rFonts w:ascii="Arial Narrow" w:hAnsi="Arial Narrow" w:cs="Arial"/>
                <w:spacing w:val="0"/>
                <w:sz w:val="16"/>
                <w:szCs w:val="16"/>
                <w:lang w:val="es-MX" w:eastAsia="es-MX"/>
              </w:rPr>
              <w:t>1</w:t>
            </w:r>
          </w:p>
        </w:tc>
        <w:tc>
          <w:tcPr>
            <w:tcW w:w="578" w:type="dxa"/>
            <w:tcBorders>
              <w:top w:val="nil"/>
              <w:left w:val="nil"/>
              <w:bottom w:val="single" w:sz="4" w:space="0" w:color="auto"/>
              <w:right w:val="single" w:sz="4" w:space="0" w:color="auto"/>
            </w:tcBorders>
            <w:shd w:val="clear" w:color="auto" w:fill="auto"/>
            <w:noWrap/>
            <w:vAlign w:val="center"/>
            <w:hideMark/>
          </w:tcPr>
          <w:p w14:paraId="6FB9E3D4" w14:textId="77777777" w:rsidR="006B166A" w:rsidRPr="00382869" w:rsidRDefault="006B166A" w:rsidP="00D22441">
            <w:pPr>
              <w:jc w:val="right"/>
              <w:rPr>
                <w:rFonts w:ascii="Arial Narrow" w:hAnsi="Arial Narrow" w:cs="Arial"/>
                <w:spacing w:val="0"/>
                <w:sz w:val="16"/>
                <w:szCs w:val="16"/>
                <w:lang w:val="es-MX" w:eastAsia="es-MX"/>
              </w:rPr>
            </w:pPr>
            <w:r w:rsidRPr="00382869">
              <w:rPr>
                <w:rFonts w:ascii="Arial Narrow" w:hAnsi="Arial Narrow" w:cs="Arial"/>
                <w:spacing w:val="0"/>
                <w:sz w:val="16"/>
                <w:szCs w:val="16"/>
                <w:lang w:val="es-MX" w:eastAsia="es-MX"/>
              </w:rPr>
              <w:t>42776</w:t>
            </w:r>
          </w:p>
        </w:tc>
        <w:tc>
          <w:tcPr>
            <w:tcW w:w="800" w:type="dxa"/>
            <w:tcBorders>
              <w:top w:val="nil"/>
              <w:left w:val="nil"/>
              <w:bottom w:val="single" w:sz="4" w:space="0" w:color="auto"/>
              <w:right w:val="single" w:sz="4" w:space="0" w:color="auto"/>
            </w:tcBorders>
            <w:shd w:val="clear" w:color="auto" w:fill="auto"/>
            <w:noWrap/>
            <w:vAlign w:val="center"/>
            <w:hideMark/>
          </w:tcPr>
          <w:p w14:paraId="496630E7" w14:textId="77777777" w:rsidR="006B166A" w:rsidRPr="00382869" w:rsidRDefault="006B166A" w:rsidP="00D22441">
            <w:pPr>
              <w:jc w:val="right"/>
              <w:rPr>
                <w:rFonts w:ascii="Arial Narrow" w:hAnsi="Arial Narrow" w:cs="Arial"/>
                <w:spacing w:val="0"/>
                <w:sz w:val="16"/>
                <w:szCs w:val="16"/>
                <w:lang w:val="es-MX" w:eastAsia="es-MX"/>
              </w:rPr>
            </w:pPr>
            <w:r w:rsidRPr="00382869">
              <w:rPr>
                <w:rFonts w:ascii="Arial Narrow" w:hAnsi="Arial Narrow" w:cs="Arial"/>
                <w:spacing w:val="0"/>
                <w:sz w:val="16"/>
                <w:szCs w:val="16"/>
                <w:lang w:val="es-MX" w:eastAsia="es-MX"/>
              </w:rPr>
              <w:t>901213527</w:t>
            </w:r>
          </w:p>
        </w:tc>
        <w:tc>
          <w:tcPr>
            <w:tcW w:w="2586" w:type="dxa"/>
            <w:tcBorders>
              <w:top w:val="nil"/>
              <w:left w:val="nil"/>
              <w:bottom w:val="single" w:sz="4" w:space="0" w:color="auto"/>
              <w:right w:val="single" w:sz="4" w:space="0" w:color="auto"/>
            </w:tcBorders>
            <w:shd w:val="clear" w:color="auto" w:fill="auto"/>
            <w:vAlign w:val="center"/>
            <w:hideMark/>
          </w:tcPr>
          <w:p w14:paraId="706EF58B" w14:textId="77777777" w:rsidR="006B166A" w:rsidRPr="00382869" w:rsidRDefault="006B166A" w:rsidP="00D22441">
            <w:pPr>
              <w:jc w:val="left"/>
              <w:rPr>
                <w:rFonts w:ascii="Arial Narrow" w:hAnsi="Arial Narrow" w:cs="Arial"/>
                <w:spacing w:val="0"/>
                <w:sz w:val="16"/>
                <w:szCs w:val="16"/>
                <w:lang w:val="es-MX" w:eastAsia="es-MX"/>
              </w:rPr>
            </w:pPr>
            <w:r w:rsidRPr="00382869">
              <w:rPr>
                <w:rFonts w:ascii="Arial Narrow" w:hAnsi="Arial Narrow" w:cs="Arial"/>
                <w:spacing w:val="0"/>
                <w:sz w:val="16"/>
                <w:szCs w:val="16"/>
                <w:lang w:val="es-MX" w:eastAsia="es-MX"/>
              </w:rPr>
              <w:t>SERVICIOS PUBLICOS COLOMBIANOS S.A.S. E.S.P.</w:t>
            </w:r>
          </w:p>
        </w:tc>
        <w:tc>
          <w:tcPr>
            <w:tcW w:w="1614" w:type="dxa"/>
            <w:tcBorders>
              <w:top w:val="nil"/>
              <w:left w:val="nil"/>
              <w:bottom w:val="single" w:sz="4" w:space="0" w:color="auto"/>
              <w:right w:val="single" w:sz="4" w:space="0" w:color="auto"/>
            </w:tcBorders>
            <w:shd w:val="clear" w:color="auto" w:fill="auto"/>
            <w:noWrap/>
            <w:vAlign w:val="center"/>
            <w:hideMark/>
          </w:tcPr>
          <w:p w14:paraId="6BCEB75A" w14:textId="77777777" w:rsidR="006B166A" w:rsidRPr="00382869" w:rsidRDefault="006B166A" w:rsidP="00D22441">
            <w:pPr>
              <w:jc w:val="right"/>
              <w:rPr>
                <w:rFonts w:ascii="Arial Narrow" w:hAnsi="Arial Narrow" w:cs="Arial"/>
                <w:spacing w:val="0"/>
                <w:sz w:val="16"/>
                <w:szCs w:val="16"/>
                <w:lang w:val="es-MX" w:eastAsia="es-MX"/>
              </w:rPr>
            </w:pPr>
            <w:r w:rsidRPr="00382869">
              <w:rPr>
                <w:rFonts w:ascii="Arial Narrow" w:hAnsi="Arial Narrow" w:cs="Arial"/>
                <w:spacing w:val="0"/>
                <w:sz w:val="16"/>
                <w:szCs w:val="16"/>
                <w:lang w:val="es-MX" w:eastAsia="es-MX"/>
              </w:rPr>
              <w:t>$ 121.095</w:t>
            </w:r>
          </w:p>
        </w:tc>
        <w:tc>
          <w:tcPr>
            <w:tcW w:w="1134" w:type="dxa"/>
            <w:tcBorders>
              <w:top w:val="nil"/>
              <w:left w:val="nil"/>
              <w:bottom w:val="single" w:sz="4" w:space="0" w:color="auto"/>
              <w:right w:val="single" w:sz="4" w:space="0" w:color="auto"/>
            </w:tcBorders>
            <w:shd w:val="clear" w:color="auto" w:fill="auto"/>
            <w:noWrap/>
            <w:vAlign w:val="center"/>
            <w:hideMark/>
          </w:tcPr>
          <w:p w14:paraId="745CDA39" w14:textId="77777777" w:rsidR="006B166A" w:rsidRPr="00382869" w:rsidRDefault="006B166A" w:rsidP="00D22441">
            <w:pPr>
              <w:jc w:val="right"/>
              <w:rPr>
                <w:rFonts w:ascii="Arial Narrow" w:hAnsi="Arial Narrow" w:cs="Arial"/>
                <w:spacing w:val="0"/>
                <w:sz w:val="16"/>
                <w:szCs w:val="16"/>
                <w:lang w:val="es-MX" w:eastAsia="es-MX"/>
              </w:rPr>
            </w:pPr>
            <w:r w:rsidRPr="00382869">
              <w:rPr>
                <w:rFonts w:ascii="Arial Narrow" w:hAnsi="Arial Narrow" w:cs="Arial"/>
                <w:spacing w:val="0"/>
                <w:sz w:val="16"/>
                <w:szCs w:val="16"/>
                <w:lang w:val="es-MX" w:eastAsia="es-MX"/>
              </w:rPr>
              <w:t>$ 0</w:t>
            </w:r>
          </w:p>
        </w:tc>
        <w:tc>
          <w:tcPr>
            <w:tcW w:w="993" w:type="dxa"/>
            <w:tcBorders>
              <w:top w:val="nil"/>
              <w:left w:val="nil"/>
              <w:bottom w:val="single" w:sz="4" w:space="0" w:color="auto"/>
              <w:right w:val="single" w:sz="4" w:space="0" w:color="auto"/>
            </w:tcBorders>
            <w:shd w:val="clear" w:color="auto" w:fill="auto"/>
            <w:noWrap/>
            <w:vAlign w:val="center"/>
            <w:hideMark/>
          </w:tcPr>
          <w:p w14:paraId="292CB784" w14:textId="77777777" w:rsidR="006B166A" w:rsidRPr="00382869" w:rsidRDefault="006B166A" w:rsidP="00D22441">
            <w:pPr>
              <w:jc w:val="right"/>
              <w:rPr>
                <w:rFonts w:ascii="Arial Narrow" w:hAnsi="Arial Narrow" w:cs="Arial"/>
                <w:spacing w:val="0"/>
                <w:sz w:val="16"/>
                <w:szCs w:val="16"/>
                <w:lang w:val="es-MX" w:eastAsia="es-MX"/>
              </w:rPr>
            </w:pPr>
            <w:r w:rsidRPr="00382869">
              <w:rPr>
                <w:rFonts w:ascii="Arial Narrow" w:hAnsi="Arial Narrow" w:cs="Arial"/>
                <w:spacing w:val="0"/>
                <w:sz w:val="16"/>
                <w:szCs w:val="16"/>
                <w:lang w:val="es-MX" w:eastAsia="es-MX"/>
              </w:rPr>
              <w:t>$ 121.095</w:t>
            </w:r>
          </w:p>
        </w:tc>
        <w:tc>
          <w:tcPr>
            <w:tcW w:w="1010" w:type="dxa"/>
            <w:tcBorders>
              <w:top w:val="nil"/>
              <w:left w:val="nil"/>
              <w:bottom w:val="single" w:sz="4" w:space="0" w:color="auto"/>
              <w:right w:val="single" w:sz="4" w:space="0" w:color="auto"/>
            </w:tcBorders>
            <w:shd w:val="clear" w:color="auto" w:fill="auto"/>
            <w:noWrap/>
            <w:vAlign w:val="center"/>
            <w:hideMark/>
          </w:tcPr>
          <w:p w14:paraId="338911B4" w14:textId="77777777" w:rsidR="006B166A" w:rsidRPr="00382869" w:rsidRDefault="006B166A" w:rsidP="00D22441">
            <w:pPr>
              <w:jc w:val="right"/>
              <w:rPr>
                <w:rFonts w:ascii="Arial Narrow" w:hAnsi="Arial Narrow" w:cs="Arial"/>
                <w:spacing w:val="0"/>
                <w:sz w:val="16"/>
                <w:szCs w:val="16"/>
                <w:lang w:val="es-MX" w:eastAsia="es-MX"/>
              </w:rPr>
            </w:pPr>
            <w:r w:rsidRPr="00382869">
              <w:rPr>
                <w:rFonts w:ascii="Arial Narrow" w:hAnsi="Arial Narrow" w:cs="Arial"/>
                <w:spacing w:val="0"/>
                <w:sz w:val="16"/>
                <w:szCs w:val="16"/>
                <w:lang w:val="es-MX" w:eastAsia="es-MX"/>
              </w:rPr>
              <w:t>$ 1.211</w:t>
            </w:r>
          </w:p>
        </w:tc>
        <w:tc>
          <w:tcPr>
            <w:tcW w:w="1418" w:type="dxa"/>
            <w:tcBorders>
              <w:top w:val="nil"/>
              <w:left w:val="nil"/>
              <w:bottom w:val="single" w:sz="4" w:space="0" w:color="auto"/>
              <w:right w:val="single" w:sz="4" w:space="0" w:color="auto"/>
            </w:tcBorders>
            <w:shd w:val="clear" w:color="auto" w:fill="auto"/>
            <w:vAlign w:val="center"/>
            <w:hideMark/>
          </w:tcPr>
          <w:p w14:paraId="2C78FC8F" w14:textId="239EAFC3" w:rsidR="005D30CB" w:rsidRPr="00382869" w:rsidRDefault="005D30CB" w:rsidP="00D22441">
            <w:pPr>
              <w:jc w:val="left"/>
              <w:rPr>
                <w:rFonts w:ascii="Arial Narrow" w:hAnsi="Arial Narrow" w:cs="Arial"/>
                <w:spacing w:val="0"/>
                <w:sz w:val="16"/>
                <w:szCs w:val="16"/>
                <w:lang w:val="es-MX" w:eastAsia="es-MX"/>
              </w:rPr>
            </w:pPr>
            <w:r w:rsidRPr="00382869">
              <w:rPr>
                <w:rFonts w:ascii="Arial Narrow" w:hAnsi="Arial Narrow" w:cs="Arial"/>
                <w:spacing w:val="0"/>
                <w:sz w:val="16"/>
                <w:szCs w:val="16"/>
                <w:lang w:val="es-MX" w:eastAsia="es-MX"/>
              </w:rPr>
              <w:t>GAS POR REDES</w:t>
            </w:r>
          </w:p>
        </w:tc>
      </w:tr>
      <w:tr w:rsidR="006B166A" w:rsidRPr="00382869" w14:paraId="3C95BC55" w14:textId="77777777" w:rsidTr="00F44E07">
        <w:trPr>
          <w:trHeight w:val="367"/>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4D8C058E" w14:textId="77777777" w:rsidR="006B166A" w:rsidRPr="00382869" w:rsidRDefault="006B166A" w:rsidP="00D22441">
            <w:pPr>
              <w:jc w:val="right"/>
              <w:rPr>
                <w:rFonts w:ascii="Arial Narrow" w:hAnsi="Arial Narrow" w:cs="Arial"/>
                <w:spacing w:val="0"/>
                <w:sz w:val="16"/>
                <w:szCs w:val="16"/>
                <w:lang w:val="es-MX" w:eastAsia="es-MX"/>
              </w:rPr>
            </w:pPr>
            <w:r w:rsidRPr="00382869">
              <w:rPr>
                <w:rFonts w:ascii="Arial Narrow" w:hAnsi="Arial Narrow" w:cs="Arial"/>
                <w:spacing w:val="0"/>
                <w:sz w:val="16"/>
                <w:szCs w:val="16"/>
                <w:lang w:val="es-MX" w:eastAsia="es-MX"/>
              </w:rPr>
              <w:t>2</w:t>
            </w:r>
          </w:p>
        </w:tc>
        <w:tc>
          <w:tcPr>
            <w:tcW w:w="578" w:type="dxa"/>
            <w:tcBorders>
              <w:top w:val="nil"/>
              <w:left w:val="nil"/>
              <w:bottom w:val="single" w:sz="4" w:space="0" w:color="auto"/>
              <w:right w:val="single" w:sz="4" w:space="0" w:color="auto"/>
            </w:tcBorders>
            <w:shd w:val="clear" w:color="auto" w:fill="auto"/>
            <w:noWrap/>
            <w:vAlign w:val="center"/>
            <w:hideMark/>
          </w:tcPr>
          <w:p w14:paraId="0FBDFAD2" w14:textId="77777777" w:rsidR="006B166A" w:rsidRPr="00382869" w:rsidRDefault="006B166A" w:rsidP="00D22441">
            <w:pPr>
              <w:jc w:val="right"/>
              <w:rPr>
                <w:rFonts w:ascii="Arial Narrow" w:hAnsi="Arial Narrow" w:cs="Arial"/>
                <w:spacing w:val="0"/>
                <w:sz w:val="16"/>
                <w:szCs w:val="16"/>
                <w:lang w:val="es-MX" w:eastAsia="es-MX"/>
              </w:rPr>
            </w:pPr>
            <w:r w:rsidRPr="00382869">
              <w:rPr>
                <w:rFonts w:ascii="Arial Narrow" w:hAnsi="Arial Narrow" w:cs="Arial"/>
                <w:spacing w:val="0"/>
                <w:sz w:val="16"/>
                <w:szCs w:val="16"/>
                <w:lang w:val="es-MX" w:eastAsia="es-MX"/>
              </w:rPr>
              <w:t>54787</w:t>
            </w:r>
          </w:p>
        </w:tc>
        <w:tc>
          <w:tcPr>
            <w:tcW w:w="800" w:type="dxa"/>
            <w:tcBorders>
              <w:top w:val="nil"/>
              <w:left w:val="nil"/>
              <w:bottom w:val="single" w:sz="4" w:space="0" w:color="auto"/>
              <w:right w:val="single" w:sz="4" w:space="0" w:color="auto"/>
            </w:tcBorders>
            <w:shd w:val="clear" w:color="auto" w:fill="auto"/>
            <w:noWrap/>
            <w:vAlign w:val="center"/>
            <w:hideMark/>
          </w:tcPr>
          <w:p w14:paraId="064C02CA" w14:textId="77777777" w:rsidR="006B166A" w:rsidRPr="00382869" w:rsidRDefault="006B166A" w:rsidP="00D22441">
            <w:pPr>
              <w:jc w:val="right"/>
              <w:rPr>
                <w:rFonts w:ascii="Arial Narrow" w:hAnsi="Arial Narrow" w:cs="Arial"/>
                <w:spacing w:val="0"/>
                <w:sz w:val="16"/>
                <w:szCs w:val="16"/>
                <w:lang w:val="es-MX" w:eastAsia="es-MX"/>
              </w:rPr>
            </w:pPr>
            <w:r w:rsidRPr="00382869">
              <w:rPr>
                <w:rFonts w:ascii="Arial Narrow" w:hAnsi="Arial Narrow" w:cs="Arial"/>
                <w:spacing w:val="0"/>
                <w:sz w:val="16"/>
                <w:szCs w:val="16"/>
                <w:lang w:val="es-MX" w:eastAsia="es-MX"/>
              </w:rPr>
              <w:t>901370213</w:t>
            </w:r>
          </w:p>
        </w:tc>
        <w:tc>
          <w:tcPr>
            <w:tcW w:w="2586" w:type="dxa"/>
            <w:tcBorders>
              <w:top w:val="nil"/>
              <w:left w:val="nil"/>
              <w:bottom w:val="single" w:sz="4" w:space="0" w:color="auto"/>
              <w:right w:val="single" w:sz="4" w:space="0" w:color="auto"/>
            </w:tcBorders>
            <w:shd w:val="clear" w:color="auto" w:fill="auto"/>
            <w:vAlign w:val="center"/>
            <w:hideMark/>
          </w:tcPr>
          <w:p w14:paraId="2D13B136" w14:textId="555058C7" w:rsidR="006B166A" w:rsidRPr="00382869" w:rsidRDefault="006B166A" w:rsidP="00D22441">
            <w:pPr>
              <w:jc w:val="left"/>
              <w:rPr>
                <w:rFonts w:ascii="Arial Narrow" w:hAnsi="Arial Narrow" w:cs="Arial"/>
                <w:spacing w:val="0"/>
                <w:sz w:val="16"/>
                <w:szCs w:val="16"/>
                <w:lang w:val="es-MX" w:eastAsia="es-MX"/>
              </w:rPr>
            </w:pPr>
            <w:r w:rsidRPr="00382869">
              <w:rPr>
                <w:rFonts w:ascii="Arial Narrow" w:hAnsi="Arial Narrow" w:cs="Arial"/>
                <w:spacing w:val="0"/>
                <w:sz w:val="16"/>
                <w:szCs w:val="16"/>
                <w:lang w:val="es-MX" w:eastAsia="es-MX"/>
              </w:rPr>
              <w:t>SUNCO ENERGY SAS</w:t>
            </w:r>
          </w:p>
        </w:tc>
        <w:tc>
          <w:tcPr>
            <w:tcW w:w="1614" w:type="dxa"/>
            <w:tcBorders>
              <w:top w:val="nil"/>
              <w:left w:val="nil"/>
              <w:bottom w:val="single" w:sz="4" w:space="0" w:color="auto"/>
              <w:right w:val="single" w:sz="4" w:space="0" w:color="auto"/>
            </w:tcBorders>
            <w:shd w:val="clear" w:color="auto" w:fill="auto"/>
            <w:noWrap/>
            <w:vAlign w:val="center"/>
            <w:hideMark/>
          </w:tcPr>
          <w:p w14:paraId="67823670" w14:textId="77777777" w:rsidR="006B166A" w:rsidRPr="00382869" w:rsidRDefault="006B166A" w:rsidP="00D22441">
            <w:pPr>
              <w:jc w:val="right"/>
              <w:rPr>
                <w:rFonts w:ascii="Arial Narrow" w:hAnsi="Arial Narrow" w:cs="Arial"/>
                <w:spacing w:val="0"/>
                <w:sz w:val="16"/>
                <w:szCs w:val="16"/>
                <w:lang w:val="es-MX" w:eastAsia="es-MX"/>
              </w:rPr>
            </w:pPr>
            <w:r w:rsidRPr="00382869">
              <w:rPr>
                <w:rFonts w:ascii="Arial Narrow" w:hAnsi="Arial Narrow" w:cs="Arial"/>
                <w:spacing w:val="0"/>
                <w:sz w:val="16"/>
                <w:szCs w:val="16"/>
                <w:lang w:val="es-MX" w:eastAsia="es-MX"/>
              </w:rPr>
              <w:t>$ 655.000</w:t>
            </w:r>
          </w:p>
        </w:tc>
        <w:tc>
          <w:tcPr>
            <w:tcW w:w="1134" w:type="dxa"/>
            <w:tcBorders>
              <w:top w:val="nil"/>
              <w:left w:val="nil"/>
              <w:bottom w:val="single" w:sz="4" w:space="0" w:color="auto"/>
              <w:right w:val="single" w:sz="4" w:space="0" w:color="auto"/>
            </w:tcBorders>
            <w:shd w:val="clear" w:color="auto" w:fill="auto"/>
            <w:noWrap/>
            <w:vAlign w:val="center"/>
            <w:hideMark/>
          </w:tcPr>
          <w:p w14:paraId="096F4E04" w14:textId="77777777" w:rsidR="006B166A" w:rsidRPr="00382869" w:rsidRDefault="006B166A" w:rsidP="00D22441">
            <w:pPr>
              <w:jc w:val="right"/>
              <w:rPr>
                <w:rFonts w:ascii="Arial Narrow" w:hAnsi="Arial Narrow" w:cs="Arial"/>
                <w:spacing w:val="0"/>
                <w:sz w:val="16"/>
                <w:szCs w:val="16"/>
                <w:lang w:val="es-MX" w:eastAsia="es-MX"/>
              </w:rPr>
            </w:pPr>
            <w:r w:rsidRPr="00382869">
              <w:rPr>
                <w:rFonts w:ascii="Arial Narrow" w:hAnsi="Arial Narrow" w:cs="Arial"/>
                <w:spacing w:val="0"/>
                <w:sz w:val="16"/>
                <w:szCs w:val="16"/>
                <w:lang w:val="es-MX" w:eastAsia="es-MX"/>
              </w:rPr>
              <w:t>$ 0</w:t>
            </w:r>
          </w:p>
        </w:tc>
        <w:tc>
          <w:tcPr>
            <w:tcW w:w="993" w:type="dxa"/>
            <w:tcBorders>
              <w:top w:val="nil"/>
              <w:left w:val="nil"/>
              <w:bottom w:val="single" w:sz="4" w:space="0" w:color="auto"/>
              <w:right w:val="single" w:sz="4" w:space="0" w:color="auto"/>
            </w:tcBorders>
            <w:shd w:val="clear" w:color="auto" w:fill="auto"/>
            <w:noWrap/>
            <w:vAlign w:val="center"/>
            <w:hideMark/>
          </w:tcPr>
          <w:p w14:paraId="0E10B571" w14:textId="77777777" w:rsidR="006B166A" w:rsidRPr="00382869" w:rsidRDefault="006B166A" w:rsidP="00D22441">
            <w:pPr>
              <w:jc w:val="right"/>
              <w:rPr>
                <w:rFonts w:ascii="Arial Narrow" w:hAnsi="Arial Narrow" w:cs="Arial"/>
                <w:spacing w:val="0"/>
                <w:sz w:val="16"/>
                <w:szCs w:val="16"/>
                <w:lang w:val="es-MX" w:eastAsia="es-MX"/>
              </w:rPr>
            </w:pPr>
            <w:r w:rsidRPr="00382869">
              <w:rPr>
                <w:rFonts w:ascii="Arial Narrow" w:hAnsi="Arial Narrow" w:cs="Arial"/>
                <w:spacing w:val="0"/>
                <w:sz w:val="16"/>
                <w:szCs w:val="16"/>
                <w:lang w:val="es-MX" w:eastAsia="es-MX"/>
              </w:rPr>
              <w:t>$ 655.000</w:t>
            </w:r>
          </w:p>
        </w:tc>
        <w:tc>
          <w:tcPr>
            <w:tcW w:w="1010" w:type="dxa"/>
            <w:tcBorders>
              <w:top w:val="nil"/>
              <w:left w:val="nil"/>
              <w:bottom w:val="single" w:sz="4" w:space="0" w:color="auto"/>
              <w:right w:val="single" w:sz="4" w:space="0" w:color="auto"/>
            </w:tcBorders>
            <w:shd w:val="clear" w:color="auto" w:fill="auto"/>
            <w:noWrap/>
            <w:vAlign w:val="center"/>
            <w:hideMark/>
          </w:tcPr>
          <w:p w14:paraId="320D5631" w14:textId="77777777" w:rsidR="006B166A" w:rsidRPr="00382869" w:rsidRDefault="006B166A" w:rsidP="00D22441">
            <w:pPr>
              <w:jc w:val="right"/>
              <w:rPr>
                <w:rFonts w:ascii="Arial Narrow" w:hAnsi="Arial Narrow" w:cs="Arial"/>
                <w:spacing w:val="0"/>
                <w:sz w:val="16"/>
                <w:szCs w:val="16"/>
                <w:lang w:val="es-MX" w:eastAsia="es-MX"/>
              </w:rPr>
            </w:pPr>
            <w:r w:rsidRPr="00382869">
              <w:rPr>
                <w:rFonts w:ascii="Arial Narrow" w:hAnsi="Arial Narrow" w:cs="Arial"/>
                <w:spacing w:val="0"/>
                <w:sz w:val="16"/>
                <w:szCs w:val="16"/>
                <w:lang w:val="es-MX" w:eastAsia="es-MX"/>
              </w:rPr>
              <w:t>$ 6.550</w:t>
            </w:r>
          </w:p>
        </w:tc>
        <w:tc>
          <w:tcPr>
            <w:tcW w:w="1418" w:type="dxa"/>
            <w:tcBorders>
              <w:top w:val="nil"/>
              <w:left w:val="nil"/>
              <w:bottom w:val="single" w:sz="4" w:space="0" w:color="auto"/>
              <w:right w:val="single" w:sz="4" w:space="0" w:color="auto"/>
            </w:tcBorders>
            <w:shd w:val="clear" w:color="auto" w:fill="auto"/>
            <w:vAlign w:val="center"/>
            <w:hideMark/>
          </w:tcPr>
          <w:p w14:paraId="44B05ABC" w14:textId="77777777" w:rsidR="006B166A" w:rsidRPr="00382869" w:rsidRDefault="006B166A" w:rsidP="00D22441">
            <w:pPr>
              <w:jc w:val="left"/>
              <w:rPr>
                <w:rFonts w:ascii="Arial Narrow" w:hAnsi="Arial Narrow" w:cs="Arial"/>
                <w:spacing w:val="0"/>
                <w:sz w:val="16"/>
                <w:szCs w:val="16"/>
                <w:lang w:val="es-MX" w:eastAsia="es-MX"/>
              </w:rPr>
            </w:pPr>
            <w:r w:rsidRPr="00382869">
              <w:rPr>
                <w:rFonts w:ascii="Arial Narrow" w:hAnsi="Arial Narrow" w:cs="Arial"/>
                <w:spacing w:val="0"/>
                <w:sz w:val="16"/>
                <w:szCs w:val="16"/>
                <w:lang w:val="es-MX" w:eastAsia="es-MX"/>
              </w:rPr>
              <w:t>ENERGIA ELECTRICA</w:t>
            </w:r>
          </w:p>
        </w:tc>
      </w:tr>
      <w:tr w:rsidR="006B166A" w:rsidRPr="00382869" w14:paraId="40D882B0" w14:textId="77777777" w:rsidTr="00F44E07">
        <w:trPr>
          <w:trHeight w:val="316"/>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5766E125" w14:textId="77777777" w:rsidR="006B166A" w:rsidRPr="00382869" w:rsidRDefault="006B166A" w:rsidP="00D22441">
            <w:pPr>
              <w:jc w:val="right"/>
              <w:rPr>
                <w:rFonts w:ascii="Arial Narrow" w:hAnsi="Arial Narrow" w:cs="Arial"/>
                <w:spacing w:val="0"/>
                <w:sz w:val="16"/>
                <w:szCs w:val="16"/>
                <w:lang w:val="es-MX" w:eastAsia="es-MX"/>
              </w:rPr>
            </w:pPr>
            <w:r w:rsidRPr="00382869">
              <w:rPr>
                <w:rFonts w:ascii="Arial Narrow" w:hAnsi="Arial Narrow" w:cs="Arial"/>
                <w:spacing w:val="0"/>
                <w:sz w:val="16"/>
                <w:szCs w:val="16"/>
                <w:lang w:val="es-MX" w:eastAsia="es-MX"/>
              </w:rPr>
              <w:t>3</w:t>
            </w:r>
          </w:p>
        </w:tc>
        <w:tc>
          <w:tcPr>
            <w:tcW w:w="578" w:type="dxa"/>
            <w:tcBorders>
              <w:top w:val="nil"/>
              <w:left w:val="nil"/>
              <w:bottom w:val="single" w:sz="4" w:space="0" w:color="auto"/>
              <w:right w:val="single" w:sz="4" w:space="0" w:color="auto"/>
            </w:tcBorders>
            <w:shd w:val="clear" w:color="auto" w:fill="auto"/>
            <w:noWrap/>
            <w:vAlign w:val="center"/>
            <w:hideMark/>
          </w:tcPr>
          <w:p w14:paraId="20D8213C" w14:textId="77777777" w:rsidR="006B166A" w:rsidRPr="00382869" w:rsidRDefault="006B166A" w:rsidP="00D22441">
            <w:pPr>
              <w:jc w:val="right"/>
              <w:rPr>
                <w:rFonts w:ascii="Arial Narrow" w:hAnsi="Arial Narrow" w:cs="Arial"/>
                <w:spacing w:val="0"/>
                <w:sz w:val="16"/>
                <w:szCs w:val="16"/>
                <w:lang w:val="es-MX" w:eastAsia="es-MX"/>
              </w:rPr>
            </w:pPr>
            <w:r w:rsidRPr="00382869">
              <w:rPr>
                <w:rFonts w:ascii="Arial Narrow" w:hAnsi="Arial Narrow" w:cs="Arial"/>
                <w:spacing w:val="0"/>
                <w:sz w:val="16"/>
                <w:szCs w:val="16"/>
                <w:lang w:val="es-MX" w:eastAsia="es-MX"/>
              </w:rPr>
              <w:t>41998</w:t>
            </w:r>
          </w:p>
        </w:tc>
        <w:tc>
          <w:tcPr>
            <w:tcW w:w="800" w:type="dxa"/>
            <w:tcBorders>
              <w:top w:val="nil"/>
              <w:left w:val="nil"/>
              <w:bottom w:val="single" w:sz="4" w:space="0" w:color="auto"/>
              <w:right w:val="single" w:sz="4" w:space="0" w:color="auto"/>
            </w:tcBorders>
            <w:shd w:val="clear" w:color="auto" w:fill="auto"/>
            <w:noWrap/>
            <w:vAlign w:val="center"/>
            <w:hideMark/>
          </w:tcPr>
          <w:p w14:paraId="1E7FB7A4" w14:textId="77777777" w:rsidR="006B166A" w:rsidRPr="00382869" w:rsidRDefault="006B166A" w:rsidP="00D22441">
            <w:pPr>
              <w:jc w:val="right"/>
              <w:rPr>
                <w:rFonts w:ascii="Arial Narrow" w:hAnsi="Arial Narrow" w:cs="Arial"/>
                <w:spacing w:val="0"/>
                <w:sz w:val="16"/>
                <w:szCs w:val="16"/>
                <w:lang w:val="es-MX" w:eastAsia="es-MX"/>
              </w:rPr>
            </w:pPr>
            <w:r w:rsidRPr="00382869">
              <w:rPr>
                <w:rFonts w:ascii="Arial Narrow" w:hAnsi="Arial Narrow" w:cs="Arial"/>
                <w:spacing w:val="0"/>
                <w:sz w:val="16"/>
                <w:szCs w:val="16"/>
                <w:lang w:val="es-MX" w:eastAsia="es-MX"/>
              </w:rPr>
              <w:t>901199778</w:t>
            </w:r>
          </w:p>
        </w:tc>
        <w:tc>
          <w:tcPr>
            <w:tcW w:w="2586" w:type="dxa"/>
            <w:tcBorders>
              <w:top w:val="nil"/>
              <w:left w:val="nil"/>
              <w:bottom w:val="single" w:sz="4" w:space="0" w:color="auto"/>
              <w:right w:val="single" w:sz="4" w:space="0" w:color="auto"/>
            </w:tcBorders>
            <w:shd w:val="clear" w:color="auto" w:fill="auto"/>
            <w:vAlign w:val="center"/>
            <w:hideMark/>
          </w:tcPr>
          <w:p w14:paraId="24B4D4F0" w14:textId="77777777" w:rsidR="006B166A" w:rsidRPr="00382869" w:rsidRDefault="006B166A" w:rsidP="00D22441">
            <w:pPr>
              <w:jc w:val="left"/>
              <w:rPr>
                <w:rFonts w:ascii="Arial Narrow" w:hAnsi="Arial Narrow" w:cs="Arial"/>
                <w:spacing w:val="0"/>
                <w:sz w:val="16"/>
                <w:szCs w:val="16"/>
                <w:lang w:val="es-MX" w:eastAsia="es-MX"/>
              </w:rPr>
            </w:pPr>
            <w:r w:rsidRPr="00382869">
              <w:rPr>
                <w:rFonts w:ascii="Arial Narrow" w:hAnsi="Arial Narrow" w:cs="Arial"/>
                <w:spacing w:val="0"/>
                <w:sz w:val="16"/>
                <w:szCs w:val="16"/>
                <w:lang w:val="es-MX" w:eastAsia="es-MX"/>
              </w:rPr>
              <w:t>LATINOAMERICAN ENERGY SAS ESP</w:t>
            </w:r>
          </w:p>
        </w:tc>
        <w:tc>
          <w:tcPr>
            <w:tcW w:w="1614" w:type="dxa"/>
            <w:tcBorders>
              <w:top w:val="nil"/>
              <w:left w:val="nil"/>
              <w:bottom w:val="single" w:sz="4" w:space="0" w:color="auto"/>
              <w:right w:val="single" w:sz="4" w:space="0" w:color="auto"/>
            </w:tcBorders>
            <w:shd w:val="clear" w:color="auto" w:fill="auto"/>
            <w:noWrap/>
            <w:vAlign w:val="center"/>
            <w:hideMark/>
          </w:tcPr>
          <w:p w14:paraId="4859C42B" w14:textId="77777777" w:rsidR="006B166A" w:rsidRPr="00382869" w:rsidRDefault="006B166A" w:rsidP="00D22441">
            <w:pPr>
              <w:jc w:val="right"/>
              <w:rPr>
                <w:rFonts w:ascii="Arial Narrow" w:hAnsi="Arial Narrow" w:cs="Arial"/>
                <w:spacing w:val="0"/>
                <w:sz w:val="16"/>
                <w:szCs w:val="16"/>
                <w:lang w:val="es-MX" w:eastAsia="es-MX"/>
              </w:rPr>
            </w:pPr>
            <w:r w:rsidRPr="00382869">
              <w:rPr>
                <w:rFonts w:ascii="Arial Narrow" w:hAnsi="Arial Narrow" w:cs="Arial"/>
                <w:spacing w:val="0"/>
                <w:sz w:val="16"/>
                <w:szCs w:val="16"/>
                <w:lang w:val="es-MX" w:eastAsia="es-MX"/>
              </w:rPr>
              <w:t>$ 1.194.000</w:t>
            </w:r>
          </w:p>
        </w:tc>
        <w:tc>
          <w:tcPr>
            <w:tcW w:w="1134" w:type="dxa"/>
            <w:tcBorders>
              <w:top w:val="nil"/>
              <w:left w:val="nil"/>
              <w:bottom w:val="single" w:sz="4" w:space="0" w:color="auto"/>
              <w:right w:val="single" w:sz="4" w:space="0" w:color="auto"/>
            </w:tcBorders>
            <w:shd w:val="clear" w:color="auto" w:fill="auto"/>
            <w:noWrap/>
            <w:vAlign w:val="center"/>
            <w:hideMark/>
          </w:tcPr>
          <w:p w14:paraId="36C77C50" w14:textId="77777777" w:rsidR="006B166A" w:rsidRPr="00382869" w:rsidRDefault="006B166A" w:rsidP="00D22441">
            <w:pPr>
              <w:jc w:val="right"/>
              <w:rPr>
                <w:rFonts w:ascii="Arial Narrow" w:hAnsi="Arial Narrow" w:cs="Arial"/>
                <w:spacing w:val="0"/>
                <w:sz w:val="16"/>
                <w:szCs w:val="16"/>
                <w:lang w:val="es-MX" w:eastAsia="es-MX"/>
              </w:rPr>
            </w:pPr>
            <w:r w:rsidRPr="00382869">
              <w:rPr>
                <w:rFonts w:ascii="Arial Narrow" w:hAnsi="Arial Narrow" w:cs="Arial"/>
                <w:spacing w:val="0"/>
                <w:sz w:val="16"/>
                <w:szCs w:val="16"/>
                <w:lang w:val="es-MX" w:eastAsia="es-MX"/>
              </w:rPr>
              <w:t>$ 0</w:t>
            </w:r>
          </w:p>
        </w:tc>
        <w:tc>
          <w:tcPr>
            <w:tcW w:w="993" w:type="dxa"/>
            <w:tcBorders>
              <w:top w:val="nil"/>
              <w:left w:val="nil"/>
              <w:bottom w:val="single" w:sz="4" w:space="0" w:color="auto"/>
              <w:right w:val="single" w:sz="4" w:space="0" w:color="auto"/>
            </w:tcBorders>
            <w:shd w:val="clear" w:color="auto" w:fill="auto"/>
            <w:noWrap/>
            <w:vAlign w:val="center"/>
            <w:hideMark/>
          </w:tcPr>
          <w:p w14:paraId="1DF8E8F9" w14:textId="77777777" w:rsidR="006B166A" w:rsidRPr="00382869" w:rsidRDefault="006B166A" w:rsidP="00D22441">
            <w:pPr>
              <w:jc w:val="right"/>
              <w:rPr>
                <w:rFonts w:ascii="Arial Narrow" w:hAnsi="Arial Narrow" w:cs="Arial"/>
                <w:spacing w:val="0"/>
                <w:sz w:val="16"/>
                <w:szCs w:val="16"/>
                <w:lang w:val="es-MX" w:eastAsia="es-MX"/>
              </w:rPr>
            </w:pPr>
            <w:r w:rsidRPr="00382869">
              <w:rPr>
                <w:rFonts w:ascii="Arial Narrow" w:hAnsi="Arial Narrow" w:cs="Arial"/>
                <w:spacing w:val="0"/>
                <w:sz w:val="16"/>
                <w:szCs w:val="16"/>
                <w:lang w:val="es-MX" w:eastAsia="es-MX"/>
              </w:rPr>
              <w:t>$ 1.194.000</w:t>
            </w:r>
          </w:p>
        </w:tc>
        <w:tc>
          <w:tcPr>
            <w:tcW w:w="1010" w:type="dxa"/>
            <w:tcBorders>
              <w:top w:val="nil"/>
              <w:left w:val="nil"/>
              <w:bottom w:val="single" w:sz="4" w:space="0" w:color="auto"/>
              <w:right w:val="single" w:sz="4" w:space="0" w:color="auto"/>
            </w:tcBorders>
            <w:shd w:val="clear" w:color="auto" w:fill="auto"/>
            <w:noWrap/>
            <w:vAlign w:val="center"/>
            <w:hideMark/>
          </w:tcPr>
          <w:p w14:paraId="710E5F1D" w14:textId="77777777" w:rsidR="006B166A" w:rsidRPr="00382869" w:rsidRDefault="006B166A" w:rsidP="00D22441">
            <w:pPr>
              <w:jc w:val="right"/>
              <w:rPr>
                <w:rFonts w:ascii="Arial Narrow" w:hAnsi="Arial Narrow" w:cs="Arial"/>
                <w:spacing w:val="0"/>
                <w:sz w:val="16"/>
                <w:szCs w:val="16"/>
                <w:lang w:val="es-MX" w:eastAsia="es-MX"/>
              </w:rPr>
            </w:pPr>
            <w:r w:rsidRPr="00382869">
              <w:rPr>
                <w:rFonts w:ascii="Arial Narrow" w:hAnsi="Arial Narrow" w:cs="Arial"/>
                <w:spacing w:val="0"/>
                <w:sz w:val="16"/>
                <w:szCs w:val="16"/>
                <w:lang w:val="es-MX" w:eastAsia="es-MX"/>
              </w:rPr>
              <w:t>$ 11.940</w:t>
            </w:r>
          </w:p>
        </w:tc>
        <w:tc>
          <w:tcPr>
            <w:tcW w:w="1418" w:type="dxa"/>
            <w:tcBorders>
              <w:top w:val="nil"/>
              <w:left w:val="nil"/>
              <w:bottom w:val="single" w:sz="4" w:space="0" w:color="auto"/>
              <w:right w:val="single" w:sz="4" w:space="0" w:color="auto"/>
            </w:tcBorders>
            <w:shd w:val="clear" w:color="auto" w:fill="auto"/>
            <w:vAlign w:val="center"/>
            <w:hideMark/>
          </w:tcPr>
          <w:p w14:paraId="4F63C063" w14:textId="77777777" w:rsidR="006B166A" w:rsidRPr="00382869" w:rsidRDefault="006B166A" w:rsidP="00D22441">
            <w:pPr>
              <w:jc w:val="left"/>
              <w:rPr>
                <w:rFonts w:ascii="Arial Narrow" w:hAnsi="Arial Narrow" w:cs="Arial"/>
                <w:spacing w:val="0"/>
                <w:sz w:val="16"/>
                <w:szCs w:val="16"/>
                <w:lang w:val="es-MX" w:eastAsia="es-MX"/>
              </w:rPr>
            </w:pPr>
            <w:r w:rsidRPr="00382869">
              <w:rPr>
                <w:rFonts w:ascii="Arial Narrow" w:hAnsi="Arial Narrow" w:cs="Arial"/>
                <w:spacing w:val="0"/>
                <w:sz w:val="16"/>
                <w:szCs w:val="16"/>
                <w:lang w:val="es-MX" w:eastAsia="es-MX"/>
              </w:rPr>
              <w:t>ENERGIA ELECTRICA</w:t>
            </w:r>
          </w:p>
        </w:tc>
      </w:tr>
      <w:tr w:rsidR="006B166A" w:rsidRPr="00382869" w14:paraId="22654DE1" w14:textId="77777777" w:rsidTr="00F44E07">
        <w:trPr>
          <w:trHeight w:val="421"/>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4D1A62EB" w14:textId="77777777" w:rsidR="006B166A" w:rsidRPr="00382869" w:rsidRDefault="006B166A" w:rsidP="00D22441">
            <w:pPr>
              <w:jc w:val="right"/>
              <w:rPr>
                <w:rFonts w:ascii="Arial Narrow" w:hAnsi="Arial Narrow" w:cs="Arial"/>
                <w:spacing w:val="0"/>
                <w:sz w:val="16"/>
                <w:szCs w:val="16"/>
                <w:lang w:val="es-MX" w:eastAsia="es-MX"/>
              </w:rPr>
            </w:pPr>
            <w:r w:rsidRPr="00382869">
              <w:rPr>
                <w:rFonts w:ascii="Arial Narrow" w:hAnsi="Arial Narrow" w:cs="Arial"/>
                <w:spacing w:val="0"/>
                <w:sz w:val="16"/>
                <w:szCs w:val="16"/>
                <w:lang w:val="es-MX" w:eastAsia="es-MX"/>
              </w:rPr>
              <w:t>4</w:t>
            </w:r>
          </w:p>
        </w:tc>
        <w:tc>
          <w:tcPr>
            <w:tcW w:w="578" w:type="dxa"/>
            <w:tcBorders>
              <w:top w:val="nil"/>
              <w:left w:val="nil"/>
              <w:bottom w:val="single" w:sz="4" w:space="0" w:color="auto"/>
              <w:right w:val="single" w:sz="4" w:space="0" w:color="auto"/>
            </w:tcBorders>
            <w:shd w:val="clear" w:color="auto" w:fill="auto"/>
            <w:noWrap/>
            <w:vAlign w:val="center"/>
            <w:hideMark/>
          </w:tcPr>
          <w:p w14:paraId="0851A811" w14:textId="77777777" w:rsidR="006B166A" w:rsidRPr="00382869" w:rsidRDefault="006B166A" w:rsidP="00D22441">
            <w:pPr>
              <w:jc w:val="right"/>
              <w:rPr>
                <w:rFonts w:ascii="Arial Narrow" w:hAnsi="Arial Narrow" w:cs="Arial"/>
                <w:spacing w:val="0"/>
                <w:sz w:val="16"/>
                <w:szCs w:val="16"/>
                <w:lang w:val="es-MX" w:eastAsia="es-MX"/>
              </w:rPr>
            </w:pPr>
            <w:r w:rsidRPr="00382869">
              <w:rPr>
                <w:rFonts w:ascii="Arial Narrow" w:hAnsi="Arial Narrow" w:cs="Arial"/>
                <w:spacing w:val="0"/>
                <w:sz w:val="16"/>
                <w:szCs w:val="16"/>
                <w:lang w:val="es-MX" w:eastAsia="es-MX"/>
              </w:rPr>
              <w:t>41616</w:t>
            </w:r>
          </w:p>
        </w:tc>
        <w:tc>
          <w:tcPr>
            <w:tcW w:w="800" w:type="dxa"/>
            <w:tcBorders>
              <w:top w:val="nil"/>
              <w:left w:val="nil"/>
              <w:bottom w:val="single" w:sz="4" w:space="0" w:color="auto"/>
              <w:right w:val="single" w:sz="4" w:space="0" w:color="auto"/>
            </w:tcBorders>
            <w:shd w:val="clear" w:color="auto" w:fill="auto"/>
            <w:noWrap/>
            <w:vAlign w:val="center"/>
            <w:hideMark/>
          </w:tcPr>
          <w:p w14:paraId="3FA94DB9" w14:textId="77777777" w:rsidR="006B166A" w:rsidRPr="00382869" w:rsidRDefault="006B166A" w:rsidP="00D22441">
            <w:pPr>
              <w:jc w:val="right"/>
              <w:rPr>
                <w:rFonts w:ascii="Arial Narrow" w:hAnsi="Arial Narrow" w:cs="Arial"/>
                <w:spacing w:val="0"/>
                <w:sz w:val="16"/>
                <w:szCs w:val="16"/>
                <w:lang w:val="es-MX" w:eastAsia="es-MX"/>
              </w:rPr>
            </w:pPr>
            <w:r w:rsidRPr="00382869">
              <w:rPr>
                <w:rFonts w:ascii="Arial Narrow" w:hAnsi="Arial Narrow" w:cs="Arial"/>
                <w:spacing w:val="0"/>
                <w:sz w:val="16"/>
                <w:szCs w:val="16"/>
                <w:lang w:val="es-MX" w:eastAsia="es-MX"/>
              </w:rPr>
              <w:t>901070018</w:t>
            </w:r>
          </w:p>
        </w:tc>
        <w:tc>
          <w:tcPr>
            <w:tcW w:w="2586" w:type="dxa"/>
            <w:tcBorders>
              <w:top w:val="nil"/>
              <w:left w:val="nil"/>
              <w:bottom w:val="single" w:sz="4" w:space="0" w:color="auto"/>
              <w:right w:val="single" w:sz="4" w:space="0" w:color="auto"/>
            </w:tcBorders>
            <w:shd w:val="clear" w:color="auto" w:fill="auto"/>
            <w:vAlign w:val="center"/>
            <w:hideMark/>
          </w:tcPr>
          <w:p w14:paraId="5D1778DD" w14:textId="77777777" w:rsidR="006B166A" w:rsidRPr="00382869" w:rsidRDefault="006B166A" w:rsidP="00D22441">
            <w:pPr>
              <w:jc w:val="left"/>
              <w:rPr>
                <w:rFonts w:ascii="Arial Narrow" w:hAnsi="Arial Narrow" w:cs="Arial"/>
                <w:spacing w:val="0"/>
                <w:sz w:val="16"/>
                <w:szCs w:val="16"/>
                <w:lang w:val="es-MX" w:eastAsia="es-MX"/>
              </w:rPr>
            </w:pPr>
            <w:r w:rsidRPr="00382869">
              <w:rPr>
                <w:rFonts w:ascii="Arial Narrow" w:hAnsi="Arial Narrow" w:cs="Arial"/>
                <w:spacing w:val="0"/>
                <w:sz w:val="16"/>
                <w:szCs w:val="16"/>
                <w:lang w:val="es-MX" w:eastAsia="es-MX"/>
              </w:rPr>
              <w:t>COMPAÑIA COMERCIALIZADORA DE RECURSOS ENERGETICOS E.S.P SAS</w:t>
            </w:r>
          </w:p>
        </w:tc>
        <w:tc>
          <w:tcPr>
            <w:tcW w:w="1614" w:type="dxa"/>
            <w:tcBorders>
              <w:top w:val="nil"/>
              <w:left w:val="nil"/>
              <w:bottom w:val="single" w:sz="4" w:space="0" w:color="auto"/>
              <w:right w:val="single" w:sz="4" w:space="0" w:color="auto"/>
            </w:tcBorders>
            <w:shd w:val="clear" w:color="auto" w:fill="auto"/>
            <w:noWrap/>
            <w:vAlign w:val="center"/>
            <w:hideMark/>
          </w:tcPr>
          <w:p w14:paraId="68849B23" w14:textId="77777777" w:rsidR="006B166A" w:rsidRPr="00382869" w:rsidRDefault="006B166A" w:rsidP="00D22441">
            <w:pPr>
              <w:jc w:val="right"/>
              <w:rPr>
                <w:rFonts w:ascii="Arial Narrow" w:hAnsi="Arial Narrow" w:cs="Arial"/>
                <w:spacing w:val="0"/>
                <w:sz w:val="16"/>
                <w:szCs w:val="16"/>
                <w:lang w:val="es-MX" w:eastAsia="es-MX"/>
              </w:rPr>
            </w:pPr>
            <w:r w:rsidRPr="00382869">
              <w:rPr>
                <w:rFonts w:ascii="Arial Narrow" w:hAnsi="Arial Narrow" w:cs="Arial"/>
                <w:spacing w:val="0"/>
                <w:sz w:val="16"/>
                <w:szCs w:val="16"/>
                <w:lang w:val="es-MX" w:eastAsia="es-MX"/>
              </w:rPr>
              <w:t>$ 1.957.357</w:t>
            </w:r>
          </w:p>
        </w:tc>
        <w:tc>
          <w:tcPr>
            <w:tcW w:w="1134" w:type="dxa"/>
            <w:tcBorders>
              <w:top w:val="nil"/>
              <w:left w:val="nil"/>
              <w:bottom w:val="single" w:sz="4" w:space="0" w:color="auto"/>
              <w:right w:val="single" w:sz="4" w:space="0" w:color="auto"/>
            </w:tcBorders>
            <w:shd w:val="clear" w:color="auto" w:fill="auto"/>
            <w:noWrap/>
            <w:vAlign w:val="center"/>
            <w:hideMark/>
          </w:tcPr>
          <w:p w14:paraId="42407A49" w14:textId="77777777" w:rsidR="006B166A" w:rsidRPr="00382869" w:rsidRDefault="006B166A" w:rsidP="00D22441">
            <w:pPr>
              <w:jc w:val="right"/>
              <w:rPr>
                <w:rFonts w:ascii="Arial Narrow" w:hAnsi="Arial Narrow" w:cs="Arial"/>
                <w:spacing w:val="0"/>
                <w:sz w:val="16"/>
                <w:szCs w:val="16"/>
                <w:lang w:val="es-MX" w:eastAsia="es-MX"/>
              </w:rPr>
            </w:pPr>
            <w:r w:rsidRPr="00382869">
              <w:rPr>
                <w:rFonts w:ascii="Arial Narrow" w:hAnsi="Arial Narrow" w:cs="Arial"/>
                <w:spacing w:val="0"/>
                <w:sz w:val="16"/>
                <w:szCs w:val="16"/>
                <w:lang w:val="es-MX" w:eastAsia="es-MX"/>
              </w:rPr>
              <w:t>$ 0</w:t>
            </w:r>
          </w:p>
        </w:tc>
        <w:tc>
          <w:tcPr>
            <w:tcW w:w="993" w:type="dxa"/>
            <w:tcBorders>
              <w:top w:val="nil"/>
              <w:left w:val="nil"/>
              <w:bottom w:val="single" w:sz="4" w:space="0" w:color="auto"/>
              <w:right w:val="single" w:sz="4" w:space="0" w:color="auto"/>
            </w:tcBorders>
            <w:shd w:val="clear" w:color="auto" w:fill="auto"/>
            <w:noWrap/>
            <w:vAlign w:val="center"/>
            <w:hideMark/>
          </w:tcPr>
          <w:p w14:paraId="3EA023ED" w14:textId="77777777" w:rsidR="006B166A" w:rsidRPr="00382869" w:rsidRDefault="006B166A" w:rsidP="00D22441">
            <w:pPr>
              <w:jc w:val="right"/>
              <w:rPr>
                <w:rFonts w:ascii="Arial Narrow" w:hAnsi="Arial Narrow" w:cs="Arial"/>
                <w:spacing w:val="0"/>
                <w:sz w:val="16"/>
                <w:szCs w:val="16"/>
                <w:lang w:val="es-MX" w:eastAsia="es-MX"/>
              </w:rPr>
            </w:pPr>
            <w:r w:rsidRPr="00382869">
              <w:rPr>
                <w:rFonts w:ascii="Arial Narrow" w:hAnsi="Arial Narrow" w:cs="Arial"/>
                <w:spacing w:val="0"/>
                <w:sz w:val="16"/>
                <w:szCs w:val="16"/>
                <w:lang w:val="es-MX" w:eastAsia="es-MX"/>
              </w:rPr>
              <w:t>$ 1.957.357</w:t>
            </w:r>
          </w:p>
        </w:tc>
        <w:tc>
          <w:tcPr>
            <w:tcW w:w="1010" w:type="dxa"/>
            <w:tcBorders>
              <w:top w:val="nil"/>
              <w:left w:val="nil"/>
              <w:bottom w:val="single" w:sz="4" w:space="0" w:color="auto"/>
              <w:right w:val="single" w:sz="4" w:space="0" w:color="auto"/>
            </w:tcBorders>
            <w:shd w:val="clear" w:color="auto" w:fill="auto"/>
            <w:noWrap/>
            <w:vAlign w:val="center"/>
            <w:hideMark/>
          </w:tcPr>
          <w:p w14:paraId="208F1A09" w14:textId="77777777" w:rsidR="006B166A" w:rsidRPr="00382869" w:rsidRDefault="006B166A" w:rsidP="00D22441">
            <w:pPr>
              <w:jc w:val="right"/>
              <w:rPr>
                <w:rFonts w:ascii="Arial Narrow" w:hAnsi="Arial Narrow" w:cs="Arial"/>
                <w:spacing w:val="0"/>
                <w:sz w:val="16"/>
                <w:szCs w:val="16"/>
                <w:lang w:val="es-MX" w:eastAsia="es-MX"/>
              </w:rPr>
            </w:pPr>
            <w:r w:rsidRPr="00382869">
              <w:rPr>
                <w:rFonts w:ascii="Arial Narrow" w:hAnsi="Arial Narrow" w:cs="Arial"/>
                <w:spacing w:val="0"/>
                <w:sz w:val="16"/>
                <w:szCs w:val="16"/>
                <w:lang w:val="es-MX" w:eastAsia="es-MX"/>
              </w:rPr>
              <w:t>$ 19.574</w:t>
            </w:r>
          </w:p>
        </w:tc>
        <w:tc>
          <w:tcPr>
            <w:tcW w:w="1418" w:type="dxa"/>
            <w:tcBorders>
              <w:top w:val="nil"/>
              <w:left w:val="nil"/>
              <w:bottom w:val="single" w:sz="4" w:space="0" w:color="auto"/>
              <w:right w:val="single" w:sz="4" w:space="0" w:color="auto"/>
            </w:tcBorders>
            <w:shd w:val="clear" w:color="auto" w:fill="auto"/>
            <w:vAlign w:val="center"/>
            <w:hideMark/>
          </w:tcPr>
          <w:p w14:paraId="2CE68411" w14:textId="018C6F9A" w:rsidR="006B166A" w:rsidRPr="00382869" w:rsidRDefault="00382869" w:rsidP="00D22441">
            <w:pPr>
              <w:jc w:val="left"/>
              <w:rPr>
                <w:rFonts w:ascii="Arial Narrow" w:hAnsi="Arial Narrow" w:cs="Arial"/>
                <w:spacing w:val="0"/>
                <w:sz w:val="16"/>
                <w:szCs w:val="16"/>
                <w:lang w:val="es-MX" w:eastAsia="es-MX"/>
              </w:rPr>
            </w:pPr>
            <w:r w:rsidRPr="00382869">
              <w:rPr>
                <w:rFonts w:ascii="Arial Narrow" w:hAnsi="Arial Narrow" w:cs="Arial"/>
                <w:spacing w:val="0"/>
                <w:sz w:val="16"/>
                <w:szCs w:val="16"/>
                <w:lang w:val="es-MX" w:eastAsia="es-MX"/>
              </w:rPr>
              <w:t>GAS PÓR REDES</w:t>
            </w:r>
          </w:p>
        </w:tc>
      </w:tr>
      <w:tr w:rsidR="006B166A" w:rsidRPr="00382869" w14:paraId="7B8FC9C1" w14:textId="77777777" w:rsidTr="00F44E07">
        <w:trPr>
          <w:trHeight w:val="23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23697214" w14:textId="77777777" w:rsidR="006B166A" w:rsidRPr="00382869" w:rsidRDefault="006B166A" w:rsidP="00D22441">
            <w:pPr>
              <w:jc w:val="right"/>
              <w:rPr>
                <w:rFonts w:ascii="Arial Narrow" w:hAnsi="Arial Narrow" w:cs="Arial"/>
                <w:spacing w:val="0"/>
                <w:sz w:val="16"/>
                <w:szCs w:val="16"/>
                <w:lang w:val="es-MX" w:eastAsia="es-MX"/>
              </w:rPr>
            </w:pPr>
            <w:r w:rsidRPr="00382869">
              <w:rPr>
                <w:rFonts w:ascii="Arial Narrow" w:hAnsi="Arial Narrow" w:cs="Arial"/>
                <w:spacing w:val="0"/>
                <w:sz w:val="16"/>
                <w:szCs w:val="16"/>
                <w:lang w:val="es-MX" w:eastAsia="es-MX"/>
              </w:rPr>
              <w:lastRenderedPageBreak/>
              <w:t>5</w:t>
            </w:r>
          </w:p>
        </w:tc>
        <w:tc>
          <w:tcPr>
            <w:tcW w:w="578" w:type="dxa"/>
            <w:tcBorders>
              <w:top w:val="nil"/>
              <w:left w:val="nil"/>
              <w:bottom w:val="single" w:sz="4" w:space="0" w:color="auto"/>
              <w:right w:val="single" w:sz="4" w:space="0" w:color="auto"/>
            </w:tcBorders>
            <w:shd w:val="clear" w:color="auto" w:fill="auto"/>
            <w:noWrap/>
            <w:vAlign w:val="center"/>
            <w:hideMark/>
          </w:tcPr>
          <w:p w14:paraId="1F4A2BBB" w14:textId="77777777" w:rsidR="006B166A" w:rsidRPr="00382869" w:rsidRDefault="006B166A" w:rsidP="00D22441">
            <w:pPr>
              <w:jc w:val="right"/>
              <w:rPr>
                <w:rFonts w:ascii="Arial Narrow" w:hAnsi="Arial Narrow" w:cs="Arial"/>
                <w:spacing w:val="0"/>
                <w:sz w:val="16"/>
                <w:szCs w:val="16"/>
                <w:lang w:val="es-MX" w:eastAsia="es-MX"/>
              </w:rPr>
            </w:pPr>
            <w:r w:rsidRPr="00382869">
              <w:rPr>
                <w:rFonts w:ascii="Arial Narrow" w:hAnsi="Arial Narrow" w:cs="Arial"/>
                <w:spacing w:val="0"/>
                <w:sz w:val="16"/>
                <w:szCs w:val="16"/>
                <w:lang w:val="es-MX" w:eastAsia="es-MX"/>
              </w:rPr>
              <w:t>26109</w:t>
            </w:r>
          </w:p>
        </w:tc>
        <w:tc>
          <w:tcPr>
            <w:tcW w:w="800" w:type="dxa"/>
            <w:tcBorders>
              <w:top w:val="nil"/>
              <w:left w:val="nil"/>
              <w:bottom w:val="single" w:sz="4" w:space="0" w:color="auto"/>
              <w:right w:val="single" w:sz="4" w:space="0" w:color="auto"/>
            </w:tcBorders>
            <w:shd w:val="clear" w:color="auto" w:fill="auto"/>
            <w:noWrap/>
            <w:vAlign w:val="center"/>
            <w:hideMark/>
          </w:tcPr>
          <w:p w14:paraId="7B7C5CD4" w14:textId="77777777" w:rsidR="006B166A" w:rsidRPr="00382869" w:rsidRDefault="006B166A" w:rsidP="00D22441">
            <w:pPr>
              <w:jc w:val="right"/>
              <w:rPr>
                <w:rFonts w:ascii="Arial Narrow" w:hAnsi="Arial Narrow" w:cs="Arial"/>
                <w:spacing w:val="0"/>
                <w:sz w:val="16"/>
                <w:szCs w:val="16"/>
                <w:lang w:val="es-MX" w:eastAsia="es-MX"/>
              </w:rPr>
            </w:pPr>
            <w:r w:rsidRPr="00382869">
              <w:rPr>
                <w:rFonts w:ascii="Arial Narrow" w:hAnsi="Arial Narrow" w:cs="Arial"/>
                <w:spacing w:val="0"/>
                <w:sz w:val="16"/>
                <w:szCs w:val="16"/>
                <w:lang w:val="es-MX" w:eastAsia="es-MX"/>
              </w:rPr>
              <w:t>900436006</w:t>
            </w:r>
          </w:p>
        </w:tc>
        <w:tc>
          <w:tcPr>
            <w:tcW w:w="2586" w:type="dxa"/>
            <w:tcBorders>
              <w:top w:val="nil"/>
              <w:left w:val="nil"/>
              <w:bottom w:val="single" w:sz="4" w:space="0" w:color="auto"/>
              <w:right w:val="single" w:sz="4" w:space="0" w:color="auto"/>
            </w:tcBorders>
            <w:shd w:val="clear" w:color="auto" w:fill="auto"/>
            <w:vAlign w:val="center"/>
            <w:hideMark/>
          </w:tcPr>
          <w:p w14:paraId="6D021E2F" w14:textId="77777777" w:rsidR="006B166A" w:rsidRPr="00382869" w:rsidRDefault="006B166A" w:rsidP="00D22441">
            <w:pPr>
              <w:jc w:val="left"/>
              <w:rPr>
                <w:rFonts w:ascii="Arial Narrow" w:hAnsi="Arial Narrow" w:cs="Arial"/>
                <w:spacing w:val="0"/>
                <w:sz w:val="16"/>
                <w:szCs w:val="16"/>
                <w:lang w:val="es-MX" w:eastAsia="es-MX"/>
              </w:rPr>
            </w:pPr>
            <w:r w:rsidRPr="00382869">
              <w:rPr>
                <w:rFonts w:ascii="Arial Narrow" w:hAnsi="Arial Narrow" w:cs="Arial"/>
                <w:spacing w:val="0"/>
                <w:sz w:val="16"/>
                <w:szCs w:val="16"/>
                <w:lang w:val="es-MX" w:eastAsia="es-MX"/>
              </w:rPr>
              <w:t>GENERPUTUMAYO S.A.S E.S.P.</w:t>
            </w:r>
          </w:p>
        </w:tc>
        <w:tc>
          <w:tcPr>
            <w:tcW w:w="1614" w:type="dxa"/>
            <w:tcBorders>
              <w:top w:val="nil"/>
              <w:left w:val="nil"/>
              <w:bottom w:val="single" w:sz="4" w:space="0" w:color="auto"/>
              <w:right w:val="single" w:sz="4" w:space="0" w:color="auto"/>
            </w:tcBorders>
            <w:shd w:val="clear" w:color="auto" w:fill="auto"/>
            <w:noWrap/>
            <w:vAlign w:val="center"/>
            <w:hideMark/>
          </w:tcPr>
          <w:p w14:paraId="054CE3F1" w14:textId="77777777" w:rsidR="006B166A" w:rsidRPr="00382869" w:rsidRDefault="006B166A" w:rsidP="00D22441">
            <w:pPr>
              <w:jc w:val="right"/>
              <w:rPr>
                <w:rFonts w:ascii="Arial Narrow" w:hAnsi="Arial Narrow" w:cs="Arial"/>
                <w:spacing w:val="0"/>
                <w:sz w:val="16"/>
                <w:szCs w:val="16"/>
                <w:lang w:val="es-MX" w:eastAsia="es-MX"/>
              </w:rPr>
            </w:pPr>
            <w:r w:rsidRPr="00382869">
              <w:rPr>
                <w:rFonts w:ascii="Arial Narrow" w:hAnsi="Arial Narrow" w:cs="Arial"/>
                <w:spacing w:val="0"/>
                <w:sz w:val="16"/>
                <w:szCs w:val="16"/>
                <w:lang w:val="es-MX" w:eastAsia="es-MX"/>
              </w:rPr>
              <w:t>$ 2.249.000</w:t>
            </w:r>
          </w:p>
        </w:tc>
        <w:tc>
          <w:tcPr>
            <w:tcW w:w="1134" w:type="dxa"/>
            <w:tcBorders>
              <w:top w:val="nil"/>
              <w:left w:val="nil"/>
              <w:bottom w:val="single" w:sz="4" w:space="0" w:color="auto"/>
              <w:right w:val="single" w:sz="4" w:space="0" w:color="auto"/>
            </w:tcBorders>
            <w:shd w:val="clear" w:color="auto" w:fill="auto"/>
            <w:noWrap/>
            <w:vAlign w:val="center"/>
            <w:hideMark/>
          </w:tcPr>
          <w:p w14:paraId="71D1598F" w14:textId="77777777" w:rsidR="006B166A" w:rsidRPr="00382869" w:rsidRDefault="006B166A" w:rsidP="00D22441">
            <w:pPr>
              <w:jc w:val="right"/>
              <w:rPr>
                <w:rFonts w:ascii="Arial Narrow" w:hAnsi="Arial Narrow" w:cs="Arial"/>
                <w:spacing w:val="0"/>
                <w:sz w:val="16"/>
                <w:szCs w:val="16"/>
                <w:lang w:val="es-MX" w:eastAsia="es-MX"/>
              </w:rPr>
            </w:pPr>
            <w:r w:rsidRPr="00382869">
              <w:rPr>
                <w:rFonts w:ascii="Arial Narrow" w:hAnsi="Arial Narrow" w:cs="Arial"/>
                <w:spacing w:val="0"/>
                <w:sz w:val="16"/>
                <w:szCs w:val="16"/>
                <w:lang w:val="es-MX" w:eastAsia="es-MX"/>
              </w:rPr>
              <w:t>$ 0</w:t>
            </w:r>
          </w:p>
        </w:tc>
        <w:tc>
          <w:tcPr>
            <w:tcW w:w="993" w:type="dxa"/>
            <w:tcBorders>
              <w:top w:val="nil"/>
              <w:left w:val="nil"/>
              <w:bottom w:val="single" w:sz="4" w:space="0" w:color="auto"/>
              <w:right w:val="single" w:sz="4" w:space="0" w:color="auto"/>
            </w:tcBorders>
            <w:shd w:val="clear" w:color="auto" w:fill="auto"/>
            <w:noWrap/>
            <w:vAlign w:val="center"/>
            <w:hideMark/>
          </w:tcPr>
          <w:p w14:paraId="0765A7F5" w14:textId="77777777" w:rsidR="006B166A" w:rsidRPr="00382869" w:rsidRDefault="006B166A" w:rsidP="00D22441">
            <w:pPr>
              <w:jc w:val="right"/>
              <w:rPr>
                <w:rFonts w:ascii="Arial Narrow" w:hAnsi="Arial Narrow" w:cs="Arial"/>
                <w:spacing w:val="0"/>
                <w:sz w:val="16"/>
                <w:szCs w:val="16"/>
                <w:lang w:val="es-MX" w:eastAsia="es-MX"/>
              </w:rPr>
            </w:pPr>
            <w:r w:rsidRPr="00382869">
              <w:rPr>
                <w:rFonts w:ascii="Arial Narrow" w:hAnsi="Arial Narrow" w:cs="Arial"/>
                <w:spacing w:val="0"/>
                <w:sz w:val="16"/>
                <w:szCs w:val="16"/>
                <w:lang w:val="es-MX" w:eastAsia="es-MX"/>
              </w:rPr>
              <w:t>$ 2.249.000</w:t>
            </w:r>
          </w:p>
        </w:tc>
        <w:tc>
          <w:tcPr>
            <w:tcW w:w="1010" w:type="dxa"/>
            <w:tcBorders>
              <w:top w:val="nil"/>
              <w:left w:val="nil"/>
              <w:bottom w:val="single" w:sz="4" w:space="0" w:color="auto"/>
              <w:right w:val="single" w:sz="4" w:space="0" w:color="auto"/>
            </w:tcBorders>
            <w:shd w:val="clear" w:color="auto" w:fill="auto"/>
            <w:noWrap/>
            <w:vAlign w:val="center"/>
            <w:hideMark/>
          </w:tcPr>
          <w:p w14:paraId="61E90FC9" w14:textId="77777777" w:rsidR="006B166A" w:rsidRPr="00382869" w:rsidRDefault="006B166A" w:rsidP="00D22441">
            <w:pPr>
              <w:jc w:val="right"/>
              <w:rPr>
                <w:rFonts w:ascii="Arial Narrow" w:hAnsi="Arial Narrow" w:cs="Arial"/>
                <w:spacing w:val="0"/>
                <w:sz w:val="16"/>
                <w:szCs w:val="16"/>
                <w:lang w:val="es-MX" w:eastAsia="es-MX"/>
              </w:rPr>
            </w:pPr>
            <w:r w:rsidRPr="00382869">
              <w:rPr>
                <w:rFonts w:ascii="Arial Narrow" w:hAnsi="Arial Narrow" w:cs="Arial"/>
                <w:spacing w:val="0"/>
                <w:sz w:val="16"/>
                <w:szCs w:val="16"/>
                <w:lang w:val="es-MX" w:eastAsia="es-MX"/>
              </w:rPr>
              <w:t>$ 22.490</w:t>
            </w:r>
          </w:p>
        </w:tc>
        <w:tc>
          <w:tcPr>
            <w:tcW w:w="1418" w:type="dxa"/>
            <w:tcBorders>
              <w:top w:val="nil"/>
              <w:left w:val="nil"/>
              <w:bottom w:val="single" w:sz="4" w:space="0" w:color="auto"/>
              <w:right w:val="single" w:sz="4" w:space="0" w:color="auto"/>
            </w:tcBorders>
            <w:shd w:val="clear" w:color="auto" w:fill="auto"/>
            <w:vAlign w:val="center"/>
            <w:hideMark/>
          </w:tcPr>
          <w:p w14:paraId="450F6B2F" w14:textId="5889ED93" w:rsidR="006B166A" w:rsidRPr="00382869" w:rsidRDefault="00382869" w:rsidP="00D22441">
            <w:pPr>
              <w:jc w:val="left"/>
              <w:rPr>
                <w:rFonts w:ascii="Arial Narrow" w:hAnsi="Arial Narrow" w:cs="Arial"/>
                <w:spacing w:val="0"/>
                <w:sz w:val="16"/>
                <w:szCs w:val="16"/>
                <w:lang w:val="es-MX" w:eastAsia="es-MX"/>
              </w:rPr>
            </w:pPr>
            <w:r w:rsidRPr="00382869">
              <w:rPr>
                <w:rFonts w:ascii="Arial Narrow" w:hAnsi="Arial Narrow" w:cs="Arial"/>
                <w:spacing w:val="0"/>
                <w:sz w:val="16"/>
                <w:szCs w:val="16"/>
                <w:lang w:val="es-MX" w:eastAsia="es-MX"/>
              </w:rPr>
              <w:t>ENERGIA ELECTRICA</w:t>
            </w:r>
          </w:p>
        </w:tc>
      </w:tr>
      <w:tr w:rsidR="00382869" w:rsidRPr="00382869" w14:paraId="0F733280" w14:textId="77777777" w:rsidTr="00CA62D4">
        <w:trPr>
          <w:trHeight w:val="352"/>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563BEF97" w14:textId="77777777" w:rsidR="00382869" w:rsidRPr="00382869" w:rsidRDefault="00382869" w:rsidP="00D22441">
            <w:pPr>
              <w:jc w:val="right"/>
              <w:rPr>
                <w:rFonts w:ascii="Arial Narrow" w:hAnsi="Arial Narrow" w:cs="Arial"/>
                <w:spacing w:val="0"/>
                <w:sz w:val="16"/>
                <w:szCs w:val="16"/>
                <w:lang w:val="es-MX" w:eastAsia="es-MX"/>
              </w:rPr>
            </w:pPr>
            <w:r w:rsidRPr="00382869">
              <w:rPr>
                <w:rFonts w:ascii="Arial Narrow" w:hAnsi="Arial Narrow" w:cs="Arial"/>
                <w:spacing w:val="0"/>
                <w:sz w:val="16"/>
                <w:szCs w:val="16"/>
                <w:lang w:val="es-MX" w:eastAsia="es-MX"/>
              </w:rPr>
              <w:t>6</w:t>
            </w:r>
          </w:p>
        </w:tc>
        <w:tc>
          <w:tcPr>
            <w:tcW w:w="578" w:type="dxa"/>
            <w:tcBorders>
              <w:top w:val="nil"/>
              <w:left w:val="nil"/>
              <w:bottom w:val="single" w:sz="4" w:space="0" w:color="auto"/>
              <w:right w:val="single" w:sz="4" w:space="0" w:color="auto"/>
            </w:tcBorders>
            <w:shd w:val="clear" w:color="auto" w:fill="auto"/>
            <w:noWrap/>
            <w:vAlign w:val="center"/>
            <w:hideMark/>
          </w:tcPr>
          <w:p w14:paraId="54636512" w14:textId="77777777" w:rsidR="00382869" w:rsidRPr="00382869" w:rsidRDefault="00382869" w:rsidP="00D22441">
            <w:pPr>
              <w:jc w:val="right"/>
              <w:rPr>
                <w:rFonts w:ascii="Arial Narrow" w:hAnsi="Arial Narrow" w:cs="Arial"/>
                <w:spacing w:val="0"/>
                <w:sz w:val="16"/>
                <w:szCs w:val="16"/>
                <w:lang w:val="es-MX" w:eastAsia="es-MX"/>
              </w:rPr>
            </w:pPr>
            <w:r w:rsidRPr="00382869">
              <w:rPr>
                <w:rFonts w:ascii="Arial Narrow" w:hAnsi="Arial Narrow" w:cs="Arial"/>
                <w:spacing w:val="0"/>
                <w:sz w:val="16"/>
                <w:szCs w:val="16"/>
                <w:lang w:val="es-MX" w:eastAsia="es-MX"/>
              </w:rPr>
              <w:t>37094</w:t>
            </w:r>
          </w:p>
        </w:tc>
        <w:tc>
          <w:tcPr>
            <w:tcW w:w="800" w:type="dxa"/>
            <w:tcBorders>
              <w:top w:val="nil"/>
              <w:left w:val="nil"/>
              <w:bottom w:val="single" w:sz="4" w:space="0" w:color="auto"/>
              <w:right w:val="single" w:sz="4" w:space="0" w:color="auto"/>
            </w:tcBorders>
            <w:shd w:val="clear" w:color="auto" w:fill="auto"/>
            <w:noWrap/>
            <w:vAlign w:val="center"/>
            <w:hideMark/>
          </w:tcPr>
          <w:p w14:paraId="04294EFD" w14:textId="77777777" w:rsidR="00382869" w:rsidRPr="00382869" w:rsidRDefault="00382869" w:rsidP="00D22441">
            <w:pPr>
              <w:jc w:val="right"/>
              <w:rPr>
                <w:rFonts w:ascii="Arial Narrow" w:hAnsi="Arial Narrow" w:cs="Arial"/>
                <w:spacing w:val="0"/>
                <w:sz w:val="16"/>
                <w:szCs w:val="16"/>
                <w:lang w:val="es-MX" w:eastAsia="es-MX"/>
              </w:rPr>
            </w:pPr>
            <w:r w:rsidRPr="00382869">
              <w:rPr>
                <w:rFonts w:ascii="Arial Narrow" w:hAnsi="Arial Narrow" w:cs="Arial"/>
                <w:spacing w:val="0"/>
                <w:sz w:val="16"/>
                <w:szCs w:val="16"/>
                <w:lang w:val="es-MX" w:eastAsia="es-MX"/>
              </w:rPr>
              <w:t>900864051</w:t>
            </w:r>
          </w:p>
        </w:tc>
        <w:tc>
          <w:tcPr>
            <w:tcW w:w="2586" w:type="dxa"/>
            <w:tcBorders>
              <w:top w:val="nil"/>
              <w:left w:val="nil"/>
              <w:bottom w:val="single" w:sz="4" w:space="0" w:color="auto"/>
              <w:right w:val="single" w:sz="4" w:space="0" w:color="auto"/>
            </w:tcBorders>
            <w:shd w:val="clear" w:color="auto" w:fill="auto"/>
            <w:vAlign w:val="center"/>
            <w:hideMark/>
          </w:tcPr>
          <w:p w14:paraId="3FC80585" w14:textId="77777777" w:rsidR="00382869" w:rsidRPr="00382869" w:rsidRDefault="00382869" w:rsidP="00D22441">
            <w:pPr>
              <w:jc w:val="left"/>
              <w:rPr>
                <w:rFonts w:ascii="Arial Narrow" w:hAnsi="Arial Narrow" w:cs="Arial"/>
                <w:spacing w:val="0"/>
                <w:sz w:val="16"/>
                <w:szCs w:val="16"/>
                <w:lang w:val="es-MX" w:eastAsia="es-MX"/>
              </w:rPr>
            </w:pPr>
            <w:r w:rsidRPr="00382869">
              <w:rPr>
                <w:rFonts w:ascii="Arial Narrow" w:hAnsi="Arial Narrow" w:cs="Arial"/>
                <w:spacing w:val="0"/>
                <w:sz w:val="16"/>
                <w:szCs w:val="16"/>
                <w:lang w:val="es-MX" w:eastAsia="es-MX"/>
              </w:rPr>
              <w:t>FRANCA ENERGIA SA ESP</w:t>
            </w:r>
          </w:p>
        </w:tc>
        <w:tc>
          <w:tcPr>
            <w:tcW w:w="1614" w:type="dxa"/>
            <w:tcBorders>
              <w:top w:val="nil"/>
              <w:left w:val="nil"/>
              <w:bottom w:val="single" w:sz="4" w:space="0" w:color="auto"/>
              <w:right w:val="single" w:sz="4" w:space="0" w:color="auto"/>
            </w:tcBorders>
            <w:shd w:val="clear" w:color="auto" w:fill="auto"/>
            <w:noWrap/>
            <w:vAlign w:val="center"/>
            <w:hideMark/>
          </w:tcPr>
          <w:p w14:paraId="77888F56" w14:textId="77777777" w:rsidR="00382869" w:rsidRPr="00382869" w:rsidRDefault="00382869" w:rsidP="00D22441">
            <w:pPr>
              <w:jc w:val="right"/>
              <w:rPr>
                <w:rFonts w:ascii="Arial Narrow" w:hAnsi="Arial Narrow" w:cs="Arial"/>
                <w:spacing w:val="0"/>
                <w:sz w:val="16"/>
                <w:szCs w:val="16"/>
                <w:lang w:val="es-MX" w:eastAsia="es-MX"/>
              </w:rPr>
            </w:pPr>
            <w:r w:rsidRPr="00382869">
              <w:rPr>
                <w:rFonts w:ascii="Arial Narrow" w:hAnsi="Arial Narrow" w:cs="Arial"/>
                <w:spacing w:val="0"/>
                <w:sz w:val="16"/>
                <w:szCs w:val="16"/>
                <w:lang w:val="es-MX" w:eastAsia="es-MX"/>
              </w:rPr>
              <w:t>$ 2.438.074</w:t>
            </w:r>
          </w:p>
        </w:tc>
        <w:tc>
          <w:tcPr>
            <w:tcW w:w="1134" w:type="dxa"/>
            <w:tcBorders>
              <w:top w:val="nil"/>
              <w:left w:val="nil"/>
              <w:bottom w:val="single" w:sz="4" w:space="0" w:color="auto"/>
              <w:right w:val="single" w:sz="4" w:space="0" w:color="auto"/>
            </w:tcBorders>
            <w:shd w:val="clear" w:color="auto" w:fill="auto"/>
            <w:noWrap/>
            <w:vAlign w:val="center"/>
            <w:hideMark/>
          </w:tcPr>
          <w:p w14:paraId="4CEFD625" w14:textId="77777777" w:rsidR="00382869" w:rsidRPr="00382869" w:rsidRDefault="00382869" w:rsidP="00D22441">
            <w:pPr>
              <w:jc w:val="right"/>
              <w:rPr>
                <w:rFonts w:ascii="Arial Narrow" w:hAnsi="Arial Narrow" w:cs="Arial"/>
                <w:spacing w:val="0"/>
                <w:sz w:val="16"/>
                <w:szCs w:val="16"/>
                <w:lang w:val="es-MX" w:eastAsia="es-MX"/>
              </w:rPr>
            </w:pPr>
            <w:r w:rsidRPr="00382869">
              <w:rPr>
                <w:rFonts w:ascii="Arial Narrow" w:hAnsi="Arial Narrow" w:cs="Arial"/>
                <w:spacing w:val="0"/>
                <w:sz w:val="16"/>
                <w:szCs w:val="16"/>
                <w:lang w:val="es-MX" w:eastAsia="es-MX"/>
              </w:rPr>
              <w:t>$ 0</w:t>
            </w:r>
          </w:p>
        </w:tc>
        <w:tc>
          <w:tcPr>
            <w:tcW w:w="993" w:type="dxa"/>
            <w:tcBorders>
              <w:top w:val="nil"/>
              <w:left w:val="nil"/>
              <w:bottom w:val="single" w:sz="4" w:space="0" w:color="auto"/>
              <w:right w:val="single" w:sz="4" w:space="0" w:color="auto"/>
            </w:tcBorders>
            <w:shd w:val="clear" w:color="auto" w:fill="auto"/>
            <w:noWrap/>
            <w:vAlign w:val="center"/>
            <w:hideMark/>
          </w:tcPr>
          <w:p w14:paraId="27F725AE" w14:textId="77777777" w:rsidR="00382869" w:rsidRPr="00382869" w:rsidRDefault="00382869" w:rsidP="00D22441">
            <w:pPr>
              <w:jc w:val="right"/>
              <w:rPr>
                <w:rFonts w:ascii="Arial Narrow" w:hAnsi="Arial Narrow" w:cs="Arial"/>
                <w:spacing w:val="0"/>
                <w:sz w:val="16"/>
                <w:szCs w:val="16"/>
                <w:lang w:val="es-MX" w:eastAsia="es-MX"/>
              </w:rPr>
            </w:pPr>
            <w:r w:rsidRPr="00382869">
              <w:rPr>
                <w:rFonts w:ascii="Arial Narrow" w:hAnsi="Arial Narrow" w:cs="Arial"/>
                <w:spacing w:val="0"/>
                <w:sz w:val="16"/>
                <w:szCs w:val="16"/>
                <w:lang w:val="es-MX" w:eastAsia="es-MX"/>
              </w:rPr>
              <w:t>$ 2.438.074</w:t>
            </w:r>
          </w:p>
        </w:tc>
        <w:tc>
          <w:tcPr>
            <w:tcW w:w="1010" w:type="dxa"/>
            <w:tcBorders>
              <w:top w:val="nil"/>
              <w:left w:val="nil"/>
              <w:bottom w:val="single" w:sz="4" w:space="0" w:color="auto"/>
              <w:right w:val="single" w:sz="4" w:space="0" w:color="auto"/>
            </w:tcBorders>
            <w:shd w:val="clear" w:color="auto" w:fill="auto"/>
            <w:noWrap/>
            <w:vAlign w:val="center"/>
            <w:hideMark/>
          </w:tcPr>
          <w:p w14:paraId="4F6D4EB0" w14:textId="77777777" w:rsidR="00382869" w:rsidRPr="00382869" w:rsidRDefault="00382869" w:rsidP="00D22441">
            <w:pPr>
              <w:jc w:val="right"/>
              <w:rPr>
                <w:rFonts w:ascii="Arial Narrow" w:hAnsi="Arial Narrow" w:cs="Arial"/>
                <w:spacing w:val="0"/>
                <w:sz w:val="16"/>
                <w:szCs w:val="16"/>
                <w:lang w:val="es-MX" w:eastAsia="es-MX"/>
              </w:rPr>
            </w:pPr>
            <w:r w:rsidRPr="00382869">
              <w:rPr>
                <w:rFonts w:ascii="Arial Narrow" w:hAnsi="Arial Narrow" w:cs="Arial"/>
                <w:spacing w:val="0"/>
                <w:sz w:val="16"/>
                <w:szCs w:val="16"/>
                <w:lang w:val="es-MX" w:eastAsia="es-MX"/>
              </w:rPr>
              <w:t>$ 24.381</w:t>
            </w:r>
          </w:p>
        </w:tc>
        <w:tc>
          <w:tcPr>
            <w:tcW w:w="1418" w:type="dxa"/>
            <w:tcBorders>
              <w:top w:val="nil"/>
              <w:left w:val="nil"/>
              <w:bottom w:val="single" w:sz="4" w:space="0" w:color="auto"/>
              <w:right w:val="single" w:sz="4" w:space="0" w:color="auto"/>
            </w:tcBorders>
            <w:shd w:val="clear" w:color="auto" w:fill="auto"/>
            <w:vAlign w:val="center"/>
            <w:hideMark/>
          </w:tcPr>
          <w:p w14:paraId="2F70A4E8" w14:textId="57E108B3" w:rsidR="00382869" w:rsidRPr="00382869" w:rsidRDefault="00382869" w:rsidP="00D22441">
            <w:pPr>
              <w:jc w:val="left"/>
              <w:rPr>
                <w:rFonts w:ascii="Arial Narrow" w:hAnsi="Arial Narrow" w:cs="Arial"/>
                <w:spacing w:val="0"/>
                <w:sz w:val="16"/>
                <w:szCs w:val="16"/>
                <w:lang w:val="es-MX" w:eastAsia="es-MX"/>
              </w:rPr>
            </w:pPr>
            <w:r w:rsidRPr="00382869">
              <w:rPr>
                <w:rFonts w:ascii="Arial Narrow" w:hAnsi="Arial Narrow" w:cs="Arial"/>
                <w:spacing w:val="0"/>
                <w:sz w:val="16"/>
                <w:szCs w:val="16"/>
                <w:lang w:val="es-MX" w:eastAsia="es-MX"/>
              </w:rPr>
              <w:t>ENERGIA ELECTRICA</w:t>
            </w:r>
          </w:p>
        </w:tc>
      </w:tr>
      <w:tr w:rsidR="006B166A" w:rsidRPr="00382869" w14:paraId="1E0CAEE2" w14:textId="77777777" w:rsidTr="00F44E07">
        <w:trPr>
          <w:trHeight w:val="23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51650049" w14:textId="77777777" w:rsidR="006B166A" w:rsidRPr="00382869" w:rsidRDefault="006B166A" w:rsidP="00D22441">
            <w:pPr>
              <w:jc w:val="right"/>
              <w:rPr>
                <w:rFonts w:ascii="Arial Narrow" w:hAnsi="Arial Narrow" w:cs="Arial"/>
                <w:spacing w:val="0"/>
                <w:sz w:val="16"/>
                <w:szCs w:val="16"/>
                <w:lang w:val="es-MX" w:eastAsia="es-MX"/>
              </w:rPr>
            </w:pPr>
            <w:r w:rsidRPr="00382869">
              <w:rPr>
                <w:rFonts w:ascii="Arial Narrow" w:hAnsi="Arial Narrow" w:cs="Arial"/>
                <w:spacing w:val="0"/>
                <w:sz w:val="16"/>
                <w:szCs w:val="16"/>
                <w:lang w:val="es-MX" w:eastAsia="es-MX"/>
              </w:rPr>
              <w:t>7</w:t>
            </w:r>
          </w:p>
        </w:tc>
        <w:tc>
          <w:tcPr>
            <w:tcW w:w="578" w:type="dxa"/>
            <w:tcBorders>
              <w:top w:val="nil"/>
              <w:left w:val="nil"/>
              <w:bottom w:val="single" w:sz="4" w:space="0" w:color="auto"/>
              <w:right w:val="single" w:sz="4" w:space="0" w:color="auto"/>
            </w:tcBorders>
            <w:shd w:val="clear" w:color="auto" w:fill="auto"/>
            <w:noWrap/>
            <w:vAlign w:val="center"/>
            <w:hideMark/>
          </w:tcPr>
          <w:p w14:paraId="2AC8DBAB" w14:textId="77777777" w:rsidR="006B166A" w:rsidRPr="00382869" w:rsidRDefault="006B166A" w:rsidP="00D22441">
            <w:pPr>
              <w:jc w:val="right"/>
              <w:rPr>
                <w:rFonts w:ascii="Arial Narrow" w:hAnsi="Arial Narrow" w:cs="Arial"/>
                <w:spacing w:val="0"/>
                <w:sz w:val="16"/>
                <w:szCs w:val="16"/>
                <w:lang w:val="es-MX" w:eastAsia="es-MX"/>
              </w:rPr>
            </w:pPr>
            <w:r w:rsidRPr="00382869">
              <w:rPr>
                <w:rFonts w:ascii="Arial Narrow" w:hAnsi="Arial Narrow" w:cs="Arial"/>
                <w:spacing w:val="0"/>
                <w:sz w:val="16"/>
                <w:szCs w:val="16"/>
                <w:lang w:val="es-MX" w:eastAsia="es-MX"/>
              </w:rPr>
              <w:t>62732</w:t>
            </w:r>
          </w:p>
        </w:tc>
        <w:tc>
          <w:tcPr>
            <w:tcW w:w="800" w:type="dxa"/>
            <w:tcBorders>
              <w:top w:val="nil"/>
              <w:left w:val="nil"/>
              <w:bottom w:val="single" w:sz="4" w:space="0" w:color="auto"/>
              <w:right w:val="single" w:sz="4" w:space="0" w:color="auto"/>
            </w:tcBorders>
            <w:shd w:val="clear" w:color="auto" w:fill="auto"/>
            <w:noWrap/>
            <w:vAlign w:val="center"/>
            <w:hideMark/>
          </w:tcPr>
          <w:p w14:paraId="769FFF37" w14:textId="77777777" w:rsidR="006B166A" w:rsidRPr="00382869" w:rsidRDefault="006B166A" w:rsidP="00D22441">
            <w:pPr>
              <w:jc w:val="right"/>
              <w:rPr>
                <w:rFonts w:ascii="Arial Narrow" w:hAnsi="Arial Narrow" w:cs="Arial"/>
                <w:spacing w:val="0"/>
                <w:sz w:val="16"/>
                <w:szCs w:val="16"/>
                <w:lang w:val="es-MX" w:eastAsia="es-MX"/>
              </w:rPr>
            </w:pPr>
            <w:r w:rsidRPr="00382869">
              <w:rPr>
                <w:rFonts w:ascii="Arial Narrow" w:hAnsi="Arial Narrow" w:cs="Arial"/>
                <w:spacing w:val="0"/>
                <w:sz w:val="16"/>
                <w:szCs w:val="16"/>
                <w:lang w:val="es-MX" w:eastAsia="es-MX"/>
              </w:rPr>
              <w:t>901599899</w:t>
            </w:r>
          </w:p>
        </w:tc>
        <w:tc>
          <w:tcPr>
            <w:tcW w:w="2586" w:type="dxa"/>
            <w:tcBorders>
              <w:top w:val="nil"/>
              <w:left w:val="nil"/>
              <w:bottom w:val="single" w:sz="4" w:space="0" w:color="auto"/>
              <w:right w:val="single" w:sz="4" w:space="0" w:color="auto"/>
            </w:tcBorders>
            <w:shd w:val="clear" w:color="auto" w:fill="auto"/>
            <w:vAlign w:val="center"/>
            <w:hideMark/>
          </w:tcPr>
          <w:p w14:paraId="730EE7D9" w14:textId="77777777" w:rsidR="006B166A" w:rsidRPr="00382869" w:rsidRDefault="006B166A" w:rsidP="00D22441">
            <w:pPr>
              <w:jc w:val="left"/>
              <w:rPr>
                <w:rFonts w:ascii="Arial Narrow" w:hAnsi="Arial Narrow" w:cs="Arial"/>
                <w:spacing w:val="0"/>
                <w:sz w:val="16"/>
                <w:szCs w:val="16"/>
                <w:lang w:val="es-MX" w:eastAsia="es-MX"/>
              </w:rPr>
            </w:pPr>
            <w:r w:rsidRPr="00382869">
              <w:rPr>
                <w:rFonts w:ascii="Arial Narrow" w:hAnsi="Arial Narrow" w:cs="Arial"/>
                <w:spacing w:val="0"/>
                <w:sz w:val="16"/>
                <w:szCs w:val="16"/>
                <w:lang w:val="es-MX" w:eastAsia="es-MX"/>
              </w:rPr>
              <w:t>CENTRAL GAS SAS ESP</w:t>
            </w:r>
          </w:p>
        </w:tc>
        <w:tc>
          <w:tcPr>
            <w:tcW w:w="1614" w:type="dxa"/>
            <w:tcBorders>
              <w:top w:val="nil"/>
              <w:left w:val="nil"/>
              <w:bottom w:val="single" w:sz="4" w:space="0" w:color="auto"/>
              <w:right w:val="single" w:sz="4" w:space="0" w:color="auto"/>
            </w:tcBorders>
            <w:shd w:val="clear" w:color="auto" w:fill="auto"/>
            <w:noWrap/>
            <w:vAlign w:val="center"/>
            <w:hideMark/>
          </w:tcPr>
          <w:p w14:paraId="1DE16E3D" w14:textId="77777777" w:rsidR="006B166A" w:rsidRPr="00382869" w:rsidRDefault="006B166A" w:rsidP="00D22441">
            <w:pPr>
              <w:jc w:val="right"/>
              <w:rPr>
                <w:rFonts w:ascii="Arial Narrow" w:hAnsi="Arial Narrow" w:cs="Arial"/>
                <w:spacing w:val="0"/>
                <w:sz w:val="16"/>
                <w:szCs w:val="16"/>
                <w:lang w:val="es-MX" w:eastAsia="es-MX"/>
              </w:rPr>
            </w:pPr>
            <w:r w:rsidRPr="00382869">
              <w:rPr>
                <w:rFonts w:ascii="Arial Narrow" w:hAnsi="Arial Narrow" w:cs="Arial"/>
                <w:spacing w:val="0"/>
                <w:sz w:val="16"/>
                <w:szCs w:val="16"/>
                <w:lang w:val="es-MX" w:eastAsia="es-MX"/>
              </w:rPr>
              <w:t>$ 1.945.000</w:t>
            </w:r>
          </w:p>
        </w:tc>
        <w:tc>
          <w:tcPr>
            <w:tcW w:w="1134" w:type="dxa"/>
            <w:tcBorders>
              <w:top w:val="nil"/>
              <w:left w:val="nil"/>
              <w:bottom w:val="single" w:sz="4" w:space="0" w:color="auto"/>
              <w:right w:val="single" w:sz="4" w:space="0" w:color="auto"/>
            </w:tcBorders>
            <w:shd w:val="clear" w:color="auto" w:fill="auto"/>
            <w:noWrap/>
            <w:vAlign w:val="center"/>
            <w:hideMark/>
          </w:tcPr>
          <w:p w14:paraId="6C4EDE1E" w14:textId="77777777" w:rsidR="006B166A" w:rsidRPr="00382869" w:rsidRDefault="006B166A" w:rsidP="00D22441">
            <w:pPr>
              <w:jc w:val="right"/>
              <w:rPr>
                <w:rFonts w:ascii="Arial Narrow" w:hAnsi="Arial Narrow" w:cs="Arial"/>
                <w:spacing w:val="0"/>
                <w:sz w:val="16"/>
                <w:szCs w:val="16"/>
                <w:lang w:val="es-MX" w:eastAsia="es-MX"/>
              </w:rPr>
            </w:pPr>
            <w:r w:rsidRPr="00382869">
              <w:rPr>
                <w:rFonts w:ascii="Arial Narrow" w:hAnsi="Arial Narrow" w:cs="Arial"/>
                <w:spacing w:val="0"/>
                <w:sz w:val="16"/>
                <w:szCs w:val="16"/>
                <w:lang w:val="es-MX" w:eastAsia="es-MX"/>
              </w:rPr>
              <w:t>$ 4.216.849</w:t>
            </w:r>
          </w:p>
        </w:tc>
        <w:tc>
          <w:tcPr>
            <w:tcW w:w="993" w:type="dxa"/>
            <w:tcBorders>
              <w:top w:val="nil"/>
              <w:left w:val="nil"/>
              <w:bottom w:val="single" w:sz="4" w:space="0" w:color="auto"/>
              <w:right w:val="single" w:sz="4" w:space="0" w:color="auto"/>
            </w:tcBorders>
            <w:shd w:val="clear" w:color="auto" w:fill="auto"/>
            <w:noWrap/>
            <w:vAlign w:val="center"/>
            <w:hideMark/>
          </w:tcPr>
          <w:p w14:paraId="28AC1B70" w14:textId="77777777" w:rsidR="006B166A" w:rsidRPr="00382869" w:rsidRDefault="006B166A" w:rsidP="00D22441">
            <w:pPr>
              <w:jc w:val="right"/>
              <w:rPr>
                <w:rFonts w:ascii="Arial Narrow" w:hAnsi="Arial Narrow" w:cs="Arial"/>
                <w:spacing w:val="0"/>
                <w:sz w:val="16"/>
                <w:szCs w:val="16"/>
                <w:lang w:val="es-MX" w:eastAsia="es-MX"/>
              </w:rPr>
            </w:pPr>
            <w:r w:rsidRPr="00382869">
              <w:rPr>
                <w:rFonts w:ascii="Arial Narrow" w:hAnsi="Arial Narrow" w:cs="Arial"/>
                <w:spacing w:val="0"/>
                <w:sz w:val="16"/>
                <w:szCs w:val="16"/>
                <w:lang w:val="es-MX" w:eastAsia="es-MX"/>
              </w:rPr>
              <w:t>$ 6.161.849</w:t>
            </w:r>
          </w:p>
        </w:tc>
        <w:tc>
          <w:tcPr>
            <w:tcW w:w="1010" w:type="dxa"/>
            <w:tcBorders>
              <w:top w:val="nil"/>
              <w:left w:val="nil"/>
              <w:bottom w:val="single" w:sz="4" w:space="0" w:color="auto"/>
              <w:right w:val="single" w:sz="4" w:space="0" w:color="auto"/>
            </w:tcBorders>
            <w:shd w:val="clear" w:color="auto" w:fill="auto"/>
            <w:noWrap/>
            <w:vAlign w:val="center"/>
            <w:hideMark/>
          </w:tcPr>
          <w:p w14:paraId="6DA558F3" w14:textId="77777777" w:rsidR="006B166A" w:rsidRPr="00382869" w:rsidRDefault="006B166A" w:rsidP="00D22441">
            <w:pPr>
              <w:jc w:val="right"/>
              <w:rPr>
                <w:rFonts w:ascii="Arial Narrow" w:hAnsi="Arial Narrow" w:cs="Arial"/>
                <w:spacing w:val="0"/>
                <w:sz w:val="16"/>
                <w:szCs w:val="16"/>
                <w:lang w:val="es-MX" w:eastAsia="es-MX"/>
              </w:rPr>
            </w:pPr>
            <w:r w:rsidRPr="00382869">
              <w:rPr>
                <w:rFonts w:ascii="Arial Narrow" w:hAnsi="Arial Narrow" w:cs="Arial"/>
                <w:spacing w:val="0"/>
                <w:sz w:val="16"/>
                <w:szCs w:val="16"/>
                <w:lang w:val="es-MX" w:eastAsia="es-MX"/>
              </w:rPr>
              <w:t>$ 61.618</w:t>
            </w:r>
          </w:p>
        </w:tc>
        <w:tc>
          <w:tcPr>
            <w:tcW w:w="1418" w:type="dxa"/>
            <w:tcBorders>
              <w:top w:val="nil"/>
              <w:left w:val="nil"/>
              <w:bottom w:val="single" w:sz="4" w:space="0" w:color="auto"/>
              <w:right w:val="single" w:sz="4" w:space="0" w:color="auto"/>
            </w:tcBorders>
            <w:shd w:val="clear" w:color="auto" w:fill="auto"/>
            <w:vAlign w:val="center"/>
            <w:hideMark/>
          </w:tcPr>
          <w:p w14:paraId="7B524421" w14:textId="77777777" w:rsidR="006B166A" w:rsidRPr="00382869" w:rsidRDefault="006B166A" w:rsidP="00D22441">
            <w:pPr>
              <w:jc w:val="left"/>
              <w:rPr>
                <w:rFonts w:ascii="Arial Narrow" w:hAnsi="Arial Narrow" w:cs="Arial"/>
                <w:spacing w:val="0"/>
                <w:sz w:val="16"/>
                <w:szCs w:val="16"/>
                <w:lang w:val="es-MX" w:eastAsia="es-MX"/>
              </w:rPr>
            </w:pPr>
            <w:r w:rsidRPr="00382869">
              <w:rPr>
                <w:rFonts w:ascii="Arial Narrow" w:hAnsi="Arial Narrow" w:cs="Arial"/>
                <w:spacing w:val="0"/>
                <w:sz w:val="16"/>
                <w:szCs w:val="16"/>
                <w:lang w:val="es-MX" w:eastAsia="es-MX"/>
              </w:rPr>
              <w:t>GAS POR REDES</w:t>
            </w:r>
          </w:p>
        </w:tc>
      </w:tr>
      <w:tr w:rsidR="006B166A" w:rsidRPr="00382869" w14:paraId="42ECD094" w14:textId="77777777" w:rsidTr="00F44E07">
        <w:trPr>
          <w:trHeight w:val="259"/>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679DE88B" w14:textId="77777777" w:rsidR="006B166A" w:rsidRPr="00382869" w:rsidRDefault="006B166A" w:rsidP="00D22441">
            <w:pPr>
              <w:jc w:val="right"/>
              <w:rPr>
                <w:rFonts w:ascii="Arial Narrow" w:hAnsi="Arial Narrow" w:cs="Arial"/>
                <w:spacing w:val="0"/>
                <w:sz w:val="16"/>
                <w:szCs w:val="16"/>
                <w:lang w:val="es-MX" w:eastAsia="es-MX"/>
              </w:rPr>
            </w:pPr>
            <w:r w:rsidRPr="00382869">
              <w:rPr>
                <w:rFonts w:ascii="Arial Narrow" w:hAnsi="Arial Narrow" w:cs="Arial"/>
                <w:spacing w:val="0"/>
                <w:sz w:val="16"/>
                <w:szCs w:val="16"/>
                <w:lang w:val="es-MX" w:eastAsia="es-MX"/>
              </w:rPr>
              <w:t>8</w:t>
            </w:r>
          </w:p>
        </w:tc>
        <w:tc>
          <w:tcPr>
            <w:tcW w:w="578" w:type="dxa"/>
            <w:tcBorders>
              <w:top w:val="nil"/>
              <w:left w:val="nil"/>
              <w:bottom w:val="single" w:sz="4" w:space="0" w:color="auto"/>
              <w:right w:val="single" w:sz="4" w:space="0" w:color="auto"/>
            </w:tcBorders>
            <w:shd w:val="clear" w:color="auto" w:fill="auto"/>
            <w:noWrap/>
            <w:vAlign w:val="center"/>
            <w:hideMark/>
          </w:tcPr>
          <w:p w14:paraId="2FEF1189" w14:textId="77777777" w:rsidR="006B166A" w:rsidRPr="00382869" w:rsidRDefault="006B166A" w:rsidP="00D22441">
            <w:pPr>
              <w:jc w:val="right"/>
              <w:rPr>
                <w:rFonts w:ascii="Arial Narrow" w:hAnsi="Arial Narrow" w:cs="Arial"/>
                <w:spacing w:val="0"/>
                <w:sz w:val="16"/>
                <w:szCs w:val="16"/>
                <w:lang w:val="es-MX" w:eastAsia="es-MX"/>
              </w:rPr>
            </w:pPr>
            <w:r w:rsidRPr="00382869">
              <w:rPr>
                <w:rFonts w:ascii="Arial Narrow" w:hAnsi="Arial Narrow" w:cs="Arial"/>
                <w:spacing w:val="0"/>
                <w:sz w:val="16"/>
                <w:szCs w:val="16"/>
                <w:lang w:val="es-MX" w:eastAsia="es-MX"/>
              </w:rPr>
              <w:t>29131</w:t>
            </w:r>
          </w:p>
        </w:tc>
        <w:tc>
          <w:tcPr>
            <w:tcW w:w="800" w:type="dxa"/>
            <w:tcBorders>
              <w:top w:val="nil"/>
              <w:left w:val="nil"/>
              <w:bottom w:val="single" w:sz="4" w:space="0" w:color="auto"/>
              <w:right w:val="single" w:sz="4" w:space="0" w:color="auto"/>
            </w:tcBorders>
            <w:shd w:val="clear" w:color="auto" w:fill="auto"/>
            <w:noWrap/>
            <w:vAlign w:val="center"/>
            <w:hideMark/>
          </w:tcPr>
          <w:p w14:paraId="018083F9" w14:textId="77777777" w:rsidR="006B166A" w:rsidRPr="00382869" w:rsidRDefault="006B166A" w:rsidP="00D22441">
            <w:pPr>
              <w:jc w:val="right"/>
              <w:rPr>
                <w:rFonts w:ascii="Arial Narrow" w:hAnsi="Arial Narrow" w:cs="Arial"/>
                <w:spacing w:val="0"/>
                <w:sz w:val="16"/>
                <w:szCs w:val="16"/>
                <w:lang w:val="es-MX" w:eastAsia="es-MX"/>
              </w:rPr>
            </w:pPr>
            <w:r w:rsidRPr="00382869">
              <w:rPr>
                <w:rFonts w:ascii="Arial Narrow" w:hAnsi="Arial Narrow" w:cs="Arial"/>
                <w:spacing w:val="0"/>
                <w:sz w:val="16"/>
                <w:szCs w:val="16"/>
                <w:lang w:val="es-MX" w:eastAsia="es-MX"/>
              </w:rPr>
              <w:t>900808884</w:t>
            </w:r>
          </w:p>
        </w:tc>
        <w:tc>
          <w:tcPr>
            <w:tcW w:w="2586" w:type="dxa"/>
            <w:tcBorders>
              <w:top w:val="nil"/>
              <w:left w:val="nil"/>
              <w:bottom w:val="single" w:sz="4" w:space="0" w:color="auto"/>
              <w:right w:val="single" w:sz="4" w:space="0" w:color="auto"/>
            </w:tcBorders>
            <w:shd w:val="clear" w:color="auto" w:fill="auto"/>
            <w:vAlign w:val="center"/>
            <w:hideMark/>
          </w:tcPr>
          <w:p w14:paraId="3A539AB5" w14:textId="77777777" w:rsidR="006B166A" w:rsidRPr="00382869" w:rsidRDefault="006B166A" w:rsidP="00D22441">
            <w:pPr>
              <w:jc w:val="left"/>
              <w:rPr>
                <w:rFonts w:ascii="Arial Narrow" w:hAnsi="Arial Narrow" w:cs="Arial"/>
                <w:spacing w:val="0"/>
                <w:sz w:val="16"/>
                <w:szCs w:val="16"/>
                <w:lang w:val="es-MX" w:eastAsia="es-MX"/>
              </w:rPr>
            </w:pPr>
            <w:r w:rsidRPr="00382869">
              <w:rPr>
                <w:rFonts w:ascii="Arial Narrow" w:hAnsi="Arial Narrow" w:cs="Arial"/>
                <w:spacing w:val="0"/>
                <w:sz w:val="16"/>
                <w:szCs w:val="16"/>
                <w:lang w:val="es-MX" w:eastAsia="es-MX"/>
              </w:rPr>
              <w:t>CHIPALO ENERGY TRADING SAS ESP</w:t>
            </w:r>
          </w:p>
        </w:tc>
        <w:tc>
          <w:tcPr>
            <w:tcW w:w="1614" w:type="dxa"/>
            <w:tcBorders>
              <w:top w:val="nil"/>
              <w:left w:val="nil"/>
              <w:bottom w:val="single" w:sz="4" w:space="0" w:color="auto"/>
              <w:right w:val="single" w:sz="4" w:space="0" w:color="auto"/>
            </w:tcBorders>
            <w:shd w:val="clear" w:color="auto" w:fill="auto"/>
            <w:noWrap/>
            <w:vAlign w:val="center"/>
            <w:hideMark/>
          </w:tcPr>
          <w:p w14:paraId="3462F4E3" w14:textId="77777777" w:rsidR="006B166A" w:rsidRPr="00382869" w:rsidRDefault="006B166A" w:rsidP="00D22441">
            <w:pPr>
              <w:jc w:val="right"/>
              <w:rPr>
                <w:rFonts w:ascii="Arial Narrow" w:hAnsi="Arial Narrow" w:cs="Arial"/>
                <w:spacing w:val="0"/>
                <w:sz w:val="16"/>
                <w:szCs w:val="16"/>
                <w:lang w:val="es-MX" w:eastAsia="es-MX"/>
              </w:rPr>
            </w:pPr>
            <w:r w:rsidRPr="00382869">
              <w:rPr>
                <w:rFonts w:ascii="Arial Narrow" w:hAnsi="Arial Narrow" w:cs="Arial"/>
                <w:spacing w:val="0"/>
                <w:sz w:val="16"/>
                <w:szCs w:val="16"/>
                <w:lang w:val="es-MX" w:eastAsia="es-MX"/>
              </w:rPr>
              <w:t>$ 7.960.000</w:t>
            </w:r>
          </w:p>
        </w:tc>
        <w:tc>
          <w:tcPr>
            <w:tcW w:w="1134" w:type="dxa"/>
            <w:tcBorders>
              <w:top w:val="nil"/>
              <w:left w:val="nil"/>
              <w:bottom w:val="single" w:sz="4" w:space="0" w:color="auto"/>
              <w:right w:val="single" w:sz="4" w:space="0" w:color="auto"/>
            </w:tcBorders>
            <w:shd w:val="clear" w:color="auto" w:fill="auto"/>
            <w:noWrap/>
            <w:vAlign w:val="center"/>
            <w:hideMark/>
          </w:tcPr>
          <w:p w14:paraId="53597351" w14:textId="77777777" w:rsidR="006B166A" w:rsidRPr="00382869" w:rsidRDefault="006B166A" w:rsidP="00D22441">
            <w:pPr>
              <w:jc w:val="right"/>
              <w:rPr>
                <w:rFonts w:ascii="Arial Narrow" w:hAnsi="Arial Narrow" w:cs="Arial"/>
                <w:spacing w:val="0"/>
                <w:sz w:val="16"/>
                <w:szCs w:val="16"/>
                <w:lang w:val="es-MX" w:eastAsia="es-MX"/>
              </w:rPr>
            </w:pPr>
            <w:r w:rsidRPr="00382869">
              <w:rPr>
                <w:rFonts w:ascii="Arial Narrow" w:hAnsi="Arial Narrow" w:cs="Arial"/>
                <w:spacing w:val="0"/>
                <w:sz w:val="16"/>
                <w:szCs w:val="16"/>
                <w:lang w:val="es-MX" w:eastAsia="es-MX"/>
              </w:rPr>
              <w:t>$ 0</w:t>
            </w:r>
          </w:p>
        </w:tc>
        <w:tc>
          <w:tcPr>
            <w:tcW w:w="993" w:type="dxa"/>
            <w:tcBorders>
              <w:top w:val="nil"/>
              <w:left w:val="nil"/>
              <w:bottom w:val="single" w:sz="4" w:space="0" w:color="auto"/>
              <w:right w:val="single" w:sz="4" w:space="0" w:color="auto"/>
            </w:tcBorders>
            <w:shd w:val="clear" w:color="auto" w:fill="auto"/>
            <w:noWrap/>
            <w:vAlign w:val="center"/>
            <w:hideMark/>
          </w:tcPr>
          <w:p w14:paraId="29A9D5E0" w14:textId="77777777" w:rsidR="006B166A" w:rsidRPr="00382869" w:rsidRDefault="006B166A" w:rsidP="00D22441">
            <w:pPr>
              <w:jc w:val="right"/>
              <w:rPr>
                <w:rFonts w:ascii="Arial Narrow" w:hAnsi="Arial Narrow" w:cs="Arial"/>
                <w:spacing w:val="0"/>
                <w:sz w:val="16"/>
                <w:szCs w:val="16"/>
                <w:lang w:val="es-MX" w:eastAsia="es-MX"/>
              </w:rPr>
            </w:pPr>
            <w:r w:rsidRPr="00382869">
              <w:rPr>
                <w:rFonts w:ascii="Arial Narrow" w:hAnsi="Arial Narrow" w:cs="Arial"/>
                <w:spacing w:val="0"/>
                <w:sz w:val="16"/>
                <w:szCs w:val="16"/>
                <w:lang w:val="es-MX" w:eastAsia="es-MX"/>
              </w:rPr>
              <w:t>$ 7.960.000</w:t>
            </w:r>
          </w:p>
        </w:tc>
        <w:tc>
          <w:tcPr>
            <w:tcW w:w="1010" w:type="dxa"/>
            <w:tcBorders>
              <w:top w:val="nil"/>
              <w:left w:val="nil"/>
              <w:bottom w:val="single" w:sz="4" w:space="0" w:color="auto"/>
              <w:right w:val="single" w:sz="4" w:space="0" w:color="auto"/>
            </w:tcBorders>
            <w:shd w:val="clear" w:color="auto" w:fill="auto"/>
            <w:noWrap/>
            <w:vAlign w:val="center"/>
            <w:hideMark/>
          </w:tcPr>
          <w:p w14:paraId="737EB7FB" w14:textId="77777777" w:rsidR="006B166A" w:rsidRPr="00382869" w:rsidRDefault="006B166A" w:rsidP="00D22441">
            <w:pPr>
              <w:jc w:val="right"/>
              <w:rPr>
                <w:rFonts w:ascii="Arial Narrow" w:hAnsi="Arial Narrow" w:cs="Arial"/>
                <w:spacing w:val="0"/>
                <w:sz w:val="16"/>
                <w:szCs w:val="16"/>
                <w:lang w:val="es-MX" w:eastAsia="es-MX"/>
              </w:rPr>
            </w:pPr>
            <w:r w:rsidRPr="00382869">
              <w:rPr>
                <w:rFonts w:ascii="Arial Narrow" w:hAnsi="Arial Narrow" w:cs="Arial"/>
                <w:spacing w:val="0"/>
                <w:sz w:val="16"/>
                <w:szCs w:val="16"/>
                <w:lang w:val="es-MX" w:eastAsia="es-MX"/>
              </w:rPr>
              <w:t>$ 79.600</w:t>
            </w:r>
          </w:p>
        </w:tc>
        <w:tc>
          <w:tcPr>
            <w:tcW w:w="1418" w:type="dxa"/>
            <w:tcBorders>
              <w:top w:val="nil"/>
              <w:left w:val="nil"/>
              <w:bottom w:val="single" w:sz="4" w:space="0" w:color="auto"/>
              <w:right w:val="single" w:sz="4" w:space="0" w:color="auto"/>
            </w:tcBorders>
            <w:shd w:val="clear" w:color="auto" w:fill="auto"/>
            <w:vAlign w:val="center"/>
            <w:hideMark/>
          </w:tcPr>
          <w:p w14:paraId="5F650E92" w14:textId="77777777" w:rsidR="006B166A" w:rsidRPr="00382869" w:rsidRDefault="006B166A" w:rsidP="00D22441">
            <w:pPr>
              <w:jc w:val="left"/>
              <w:rPr>
                <w:rFonts w:ascii="Arial Narrow" w:hAnsi="Arial Narrow" w:cs="Arial"/>
                <w:spacing w:val="0"/>
                <w:sz w:val="16"/>
                <w:szCs w:val="16"/>
                <w:lang w:val="es-MX" w:eastAsia="es-MX"/>
              </w:rPr>
            </w:pPr>
            <w:r w:rsidRPr="00382869">
              <w:rPr>
                <w:rFonts w:ascii="Arial Narrow" w:hAnsi="Arial Narrow" w:cs="Arial"/>
                <w:spacing w:val="0"/>
                <w:sz w:val="16"/>
                <w:szCs w:val="16"/>
                <w:lang w:val="es-MX" w:eastAsia="es-MX"/>
              </w:rPr>
              <w:t>GAS POR REDES</w:t>
            </w:r>
          </w:p>
        </w:tc>
      </w:tr>
      <w:tr w:rsidR="006B166A" w:rsidRPr="00382869" w14:paraId="5D479E65" w14:textId="77777777" w:rsidTr="00F44E07">
        <w:trPr>
          <w:trHeight w:val="318"/>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120A99EE" w14:textId="77777777" w:rsidR="006B166A" w:rsidRPr="00382869" w:rsidRDefault="006B166A" w:rsidP="00D22441">
            <w:pPr>
              <w:jc w:val="right"/>
              <w:rPr>
                <w:rFonts w:ascii="Arial Narrow" w:hAnsi="Arial Narrow" w:cs="Arial"/>
                <w:spacing w:val="0"/>
                <w:sz w:val="16"/>
                <w:szCs w:val="16"/>
                <w:lang w:val="es-MX" w:eastAsia="es-MX"/>
              </w:rPr>
            </w:pPr>
            <w:r w:rsidRPr="00382869">
              <w:rPr>
                <w:rFonts w:ascii="Arial Narrow" w:hAnsi="Arial Narrow" w:cs="Arial"/>
                <w:spacing w:val="0"/>
                <w:sz w:val="16"/>
                <w:szCs w:val="16"/>
                <w:lang w:val="es-MX" w:eastAsia="es-MX"/>
              </w:rPr>
              <w:t>9</w:t>
            </w:r>
          </w:p>
        </w:tc>
        <w:tc>
          <w:tcPr>
            <w:tcW w:w="578" w:type="dxa"/>
            <w:tcBorders>
              <w:top w:val="nil"/>
              <w:left w:val="nil"/>
              <w:bottom w:val="single" w:sz="4" w:space="0" w:color="auto"/>
              <w:right w:val="single" w:sz="4" w:space="0" w:color="auto"/>
            </w:tcBorders>
            <w:shd w:val="clear" w:color="auto" w:fill="auto"/>
            <w:noWrap/>
            <w:vAlign w:val="center"/>
            <w:hideMark/>
          </w:tcPr>
          <w:p w14:paraId="3BC002F9" w14:textId="77777777" w:rsidR="006B166A" w:rsidRPr="00382869" w:rsidRDefault="006B166A" w:rsidP="00D22441">
            <w:pPr>
              <w:jc w:val="right"/>
              <w:rPr>
                <w:rFonts w:ascii="Arial Narrow" w:hAnsi="Arial Narrow" w:cs="Arial"/>
                <w:spacing w:val="0"/>
                <w:sz w:val="16"/>
                <w:szCs w:val="16"/>
                <w:lang w:val="es-MX" w:eastAsia="es-MX"/>
              </w:rPr>
            </w:pPr>
            <w:r w:rsidRPr="00382869">
              <w:rPr>
                <w:rFonts w:ascii="Arial Narrow" w:hAnsi="Arial Narrow" w:cs="Arial"/>
                <w:spacing w:val="0"/>
                <w:sz w:val="16"/>
                <w:szCs w:val="16"/>
                <w:lang w:val="es-MX" w:eastAsia="es-MX"/>
              </w:rPr>
              <w:t>63694</w:t>
            </w:r>
          </w:p>
        </w:tc>
        <w:tc>
          <w:tcPr>
            <w:tcW w:w="800" w:type="dxa"/>
            <w:tcBorders>
              <w:top w:val="nil"/>
              <w:left w:val="nil"/>
              <w:bottom w:val="single" w:sz="4" w:space="0" w:color="auto"/>
              <w:right w:val="single" w:sz="4" w:space="0" w:color="auto"/>
            </w:tcBorders>
            <w:shd w:val="clear" w:color="auto" w:fill="auto"/>
            <w:noWrap/>
            <w:vAlign w:val="center"/>
            <w:hideMark/>
          </w:tcPr>
          <w:p w14:paraId="503ED72F" w14:textId="77777777" w:rsidR="006B166A" w:rsidRPr="00382869" w:rsidRDefault="006B166A" w:rsidP="00D22441">
            <w:pPr>
              <w:jc w:val="right"/>
              <w:rPr>
                <w:rFonts w:ascii="Arial Narrow" w:hAnsi="Arial Narrow" w:cs="Arial"/>
                <w:spacing w:val="0"/>
                <w:sz w:val="16"/>
                <w:szCs w:val="16"/>
                <w:lang w:val="es-MX" w:eastAsia="es-MX"/>
              </w:rPr>
            </w:pPr>
            <w:r w:rsidRPr="00382869">
              <w:rPr>
                <w:rFonts w:ascii="Arial Narrow" w:hAnsi="Arial Narrow" w:cs="Arial"/>
                <w:spacing w:val="0"/>
                <w:sz w:val="16"/>
                <w:szCs w:val="16"/>
                <w:lang w:val="es-MX" w:eastAsia="es-MX"/>
              </w:rPr>
              <w:t>901624255</w:t>
            </w:r>
          </w:p>
        </w:tc>
        <w:tc>
          <w:tcPr>
            <w:tcW w:w="2586" w:type="dxa"/>
            <w:tcBorders>
              <w:top w:val="nil"/>
              <w:left w:val="nil"/>
              <w:bottom w:val="single" w:sz="4" w:space="0" w:color="auto"/>
              <w:right w:val="single" w:sz="4" w:space="0" w:color="auto"/>
            </w:tcBorders>
            <w:shd w:val="clear" w:color="auto" w:fill="auto"/>
            <w:vAlign w:val="center"/>
            <w:hideMark/>
          </w:tcPr>
          <w:p w14:paraId="15D1FFEB" w14:textId="77777777" w:rsidR="006B166A" w:rsidRPr="00382869" w:rsidRDefault="006B166A" w:rsidP="00D22441">
            <w:pPr>
              <w:jc w:val="left"/>
              <w:rPr>
                <w:rFonts w:ascii="Arial Narrow" w:hAnsi="Arial Narrow" w:cs="Arial"/>
                <w:spacing w:val="0"/>
                <w:sz w:val="16"/>
                <w:szCs w:val="16"/>
                <w:lang w:val="es-MX" w:eastAsia="es-MX"/>
              </w:rPr>
            </w:pPr>
            <w:r w:rsidRPr="00382869">
              <w:rPr>
                <w:rFonts w:ascii="Arial Narrow" w:hAnsi="Arial Narrow" w:cs="Arial"/>
                <w:spacing w:val="0"/>
                <w:sz w:val="16"/>
                <w:szCs w:val="16"/>
                <w:lang w:val="es-MX" w:eastAsia="es-MX"/>
              </w:rPr>
              <w:t>DRUMMOND POWER SAS ESP</w:t>
            </w:r>
          </w:p>
        </w:tc>
        <w:tc>
          <w:tcPr>
            <w:tcW w:w="1614" w:type="dxa"/>
            <w:tcBorders>
              <w:top w:val="nil"/>
              <w:left w:val="nil"/>
              <w:bottom w:val="single" w:sz="4" w:space="0" w:color="auto"/>
              <w:right w:val="single" w:sz="4" w:space="0" w:color="auto"/>
            </w:tcBorders>
            <w:shd w:val="clear" w:color="auto" w:fill="auto"/>
            <w:noWrap/>
            <w:vAlign w:val="center"/>
            <w:hideMark/>
          </w:tcPr>
          <w:p w14:paraId="345385AE" w14:textId="77777777" w:rsidR="006B166A" w:rsidRPr="00382869" w:rsidRDefault="006B166A" w:rsidP="00D22441">
            <w:pPr>
              <w:jc w:val="right"/>
              <w:rPr>
                <w:rFonts w:ascii="Arial Narrow" w:hAnsi="Arial Narrow" w:cs="Arial"/>
                <w:spacing w:val="0"/>
                <w:sz w:val="16"/>
                <w:szCs w:val="16"/>
                <w:lang w:val="es-MX" w:eastAsia="es-MX"/>
              </w:rPr>
            </w:pPr>
            <w:r w:rsidRPr="00382869">
              <w:rPr>
                <w:rFonts w:ascii="Arial Narrow" w:hAnsi="Arial Narrow" w:cs="Arial"/>
                <w:spacing w:val="0"/>
                <w:sz w:val="16"/>
                <w:szCs w:val="16"/>
                <w:lang w:val="es-MX" w:eastAsia="es-MX"/>
              </w:rPr>
              <w:t>$ 13.528.000</w:t>
            </w:r>
          </w:p>
        </w:tc>
        <w:tc>
          <w:tcPr>
            <w:tcW w:w="1134" w:type="dxa"/>
            <w:tcBorders>
              <w:top w:val="nil"/>
              <w:left w:val="nil"/>
              <w:bottom w:val="single" w:sz="4" w:space="0" w:color="auto"/>
              <w:right w:val="single" w:sz="4" w:space="0" w:color="auto"/>
            </w:tcBorders>
            <w:shd w:val="clear" w:color="auto" w:fill="auto"/>
            <w:noWrap/>
            <w:vAlign w:val="center"/>
            <w:hideMark/>
          </w:tcPr>
          <w:p w14:paraId="033C3D9B" w14:textId="77777777" w:rsidR="006B166A" w:rsidRPr="00382869" w:rsidRDefault="006B166A" w:rsidP="00D22441">
            <w:pPr>
              <w:jc w:val="right"/>
              <w:rPr>
                <w:rFonts w:ascii="Arial Narrow" w:hAnsi="Arial Narrow" w:cs="Arial"/>
                <w:spacing w:val="0"/>
                <w:sz w:val="16"/>
                <w:szCs w:val="16"/>
                <w:lang w:val="es-MX" w:eastAsia="es-MX"/>
              </w:rPr>
            </w:pPr>
            <w:r w:rsidRPr="00382869">
              <w:rPr>
                <w:rFonts w:ascii="Arial Narrow" w:hAnsi="Arial Narrow" w:cs="Arial"/>
                <w:spacing w:val="0"/>
                <w:sz w:val="16"/>
                <w:szCs w:val="16"/>
                <w:lang w:val="es-MX" w:eastAsia="es-MX"/>
              </w:rPr>
              <w:t>$ 0</w:t>
            </w:r>
          </w:p>
        </w:tc>
        <w:tc>
          <w:tcPr>
            <w:tcW w:w="993" w:type="dxa"/>
            <w:tcBorders>
              <w:top w:val="nil"/>
              <w:left w:val="nil"/>
              <w:bottom w:val="single" w:sz="4" w:space="0" w:color="auto"/>
              <w:right w:val="single" w:sz="4" w:space="0" w:color="auto"/>
            </w:tcBorders>
            <w:shd w:val="clear" w:color="auto" w:fill="auto"/>
            <w:noWrap/>
            <w:vAlign w:val="center"/>
            <w:hideMark/>
          </w:tcPr>
          <w:p w14:paraId="39140B2C" w14:textId="77777777" w:rsidR="006B166A" w:rsidRPr="00382869" w:rsidRDefault="006B166A" w:rsidP="00D22441">
            <w:pPr>
              <w:jc w:val="right"/>
              <w:rPr>
                <w:rFonts w:ascii="Arial Narrow" w:hAnsi="Arial Narrow" w:cs="Arial"/>
                <w:spacing w:val="0"/>
                <w:sz w:val="16"/>
                <w:szCs w:val="16"/>
                <w:lang w:val="es-MX" w:eastAsia="es-MX"/>
              </w:rPr>
            </w:pPr>
            <w:r w:rsidRPr="00382869">
              <w:rPr>
                <w:rFonts w:ascii="Arial Narrow" w:hAnsi="Arial Narrow" w:cs="Arial"/>
                <w:spacing w:val="0"/>
                <w:sz w:val="16"/>
                <w:szCs w:val="16"/>
                <w:lang w:val="es-MX" w:eastAsia="es-MX"/>
              </w:rPr>
              <w:t>$ 13.528.000</w:t>
            </w:r>
          </w:p>
        </w:tc>
        <w:tc>
          <w:tcPr>
            <w:tcW w:w="1010" w:type="dxa"/>
            <w:tcBorders>
              <w:top w:val="nil"/>
              <w:left w:val="nil"/>
              <w:bottom w:val="single" w:sz="4" w:space="0" w:color="auto"/>
              <w:right w:val="single" w:sz="4" w:space="0" w:color="auto"/>
            </w:tcBorders>
            <w:shd w:val="clear" w:color="auto" w:fill="auto"/>
            <w:noWrap/>
            <w:vAlign w:val="center"/>
            <w:hideMark/>
          </w:tcPr>
          <w:p w14:paraId="50FD62BD" w14:textId="77777777" w:rsidR="006B166A" w:rsidRPr="00382869" w:rsidRDefault="006B166A" w:rsidP="00D22441">
            <w:pPr>
              <w:jc w:val="right"/>
              <w:rPr>
                <w:rFonts w:ascii="Arial Narrow" w:hAnsi="Arial Narrow" w:cs="Arial"/>
                <w:spacing w:val="0"/>
                <w:sz w:val="16"/>
                <w:szCs w:val="16"/>
                <w:lang w:val="es-MX" w:eastAsia="es-MX"/>
              </w:rPr>
            </w:pPr>
            <w:r w:rsidRPr="00382869">
              <w:rPr>
                <w:rFonts w:ascii="Arial Narrow" w:hAnsi="Arial Narrow" w:cs="Arial"/>
                <w:spacing w:val="0"/>
                <w:sz w:val="16"/>
                <w:szCs w:val="16"/>
                <w:lang w:val="es-MX" w:eastAsia="es-MX"/>
              </w:rPr>
              <w:t>$ 135.280</w:t>
            </w:r>
          </w:p>
        </w:tc>
        <w:tc>
          <w:tcPr>
            <w:tcW w:w="1418" w:type="dxa"/>
            <w:tcBorders>
              <w:top w:val="nil"/>
              <w:left w:val="nil"/>
              <w:bottom w:val="single" w:sz="4" w:space="0" w:color="auto"/>
              <w:right w:val="single" w:sz="4" w:space="0" w:color="auto"/>
            </w:tcBorders>
            <w:shd w:val="clear" w:color="auto" w:fill="auto"/>
            <w:vAlign w:val="center"/>
            <w:hideMark/>
          </w:tcPr>
          <w:p w14:paraId="23C1CFA4" w14:textId="77777777" w:rsidR="006B166A" w:rsidRPr="00382869" w:rsidRDefault="006B166A" w:rsidP="00D22441">
            <w:pPr>
              <w:jc w:val="left"/>
              <w:rPr>
                <w:rFonts w:ascii="Arial Narrow" w:hAnsi="Arial Narrow" w:cs="Arial"/>
                <w:spacing w:val="0"/>
                <w:sz w:val="16"/>
                <w:szCs w:val="16"/>
                <w:lang w:val="es-MX" w:eastAsia="es-MX"/>
              </w:rPr>
            </w:pPr>
            <w:r w:rsidRPr="00382869">
              <w:rPr>
                <w:rFonts w:ascii="Arial Narrow" w:hAnsi="Arial Narrow" w:cs="Arial"/>
                <w:spacing w:val="0"/>
                <w:sz w:val="16"/>
                <w:szCs w:val="16"/>
                <w:lang w:val="es-MX" w:eastAsia="es-MX"/>
              </w:rPr>
              <w:t>ENERGIA ELECTRICA</w:t>
            </w:r>
          </w:p>
        </w:tc>
      </w:tr>
      <w:tr w:rsidR="006B166A" w:rsidRPr="00382869" w14:paraId="6E323F98" w14:textId="77777777" w:rsidTr="00F44E07">
        <w:trPr>
          <w:trHeight w:val="23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1F945E09" w14:textId="77777777" w:rsidR="006B166A" w:rsidRPr="00382869" w:rsidRDefault="006B166A" w:rsidP="00D22441">
            <w:pPr>
              <w:jc w:val="right"/>
              <w:rPr>
                <w:rFonts w:ascii="Arial Narrow" w:hAnsi="Arial Narrow" w:cs="Arial"/>
                <w:spacing w:val="0"/>
                <w:sz w:val="16"/>
                <w:szCs w:val="16"/>
                <w:lang w:val="es-MX" w:eastAsia="es-MX"/>
              </w:rPr>
            </w:pPr>
            <w:r w:rsidRPr="00382869">
              <w:rPr>
                <w:rFonts w:ascii="Arial Narrow" w:hAnsi="Arial Narrow" w:cs="Arial"/>
                <w:spacing w:val="0"/>
                <w:sz w:val="16"/>
                <w:szCs w:val="16"/>
                <w:lang w:val="es-MX" w:eastAsia="es-MX"/>
              </w:rPr>
              <w:t>10</w:t>
            </w:r>
          </w:p>
        </w:tc>
        <w:tc>
          <w:tcPr>
            <w:tcW w:w="578" w:type="dxa"/>
            <w:tcBorders>
              <w:top w:val="nil"/>
              <w:left w:val="nil"/>
              <w:bottom w:val="single" w:sz="4" w:space="0" w:color="auto"/>
              <w:right w:val="single" w:sz="4" w:space="0" w:color="auto"/>
            </w:tcBorders>
            <w:shd w:val="clear" w:color="auto" w:fill="auto"/>
            <w:noWrap/>
            <w:vAlign w:val="center"/>
            <w:hideMark/>
          </w:tcPr>
          <w:p w14:paraId="19E854D7" w14:textId="77777777" w:rsidR="006B166A" w:rsidRPr="00382869" w:rsidRDefault="006B166A" w:rsidP="00D22441">
            <w:pPr>
              <w:jc w:val="right"/>
              <w:rPr>
                <w:rFonts w:ascii="Arial Narrow" w:hAnsi="Arial Narrow" w:cs="Arial"/>
                <w:spacing w:val="0"/>
                <w:sz w:val="16"/>
                <w:szCs w:val="16"/>
                <w:lang w:val="es-MX" w:eastAsia="es-MX"/>
              </w:rPr>
            </w:pPr>
            <w:r w:rsidRPr="00382869">
              <w:rPr>
                <w:rFonts w:ascii="Arial Narrow" w:hAnsi="Arial Narrow" w:cs="Arial"/>
                <w:spacing w:val="0"/>
                <w:sz w:val="16"/>
                <w:szCs w:val="16"/>
                <w:lang w:val="es-MX" w:eastAsia="es-MX"/>
              </w:rPr>
              <w:t>39170</w:t>
            </w:r>
          </w:p>
        </w:tc>
        <w:tc>
          <w:tcPr>
            <w:tcW w:w="800" w:type="dxa"/>
            <w:tcBorders>
              <w:top w:val="nil"/>
              <w:left w:val="nil"/>
              <w:bottom w:val="single" w:sz="4" w:space="0" w:color="auto"/>
              <w:right w:val="single" w:sz="4" w:space="0" w:color="auto"/>
            </w:tcBorders>
            <w:shd w:val="clear" w:color="auto" w:fill="auto"/>
            <w:noWrap/>
            <w:vAlign w:val="center"/>
            <w:hideMark/>
          </w:tcPr>
          <w:p w14:paraId="010B8038" w14:textId="77777777" w:rsidR="006B166A" w:rsidRPr="00382869" w:rsidRDefault="006B166A" w:rsidP="00D22441">
            <w:pPr>
              <w:jc w:val="right"/>
              <w:rPr>
                <w:rFonts w:ascii="Arial Narrow" w:hAnsi="Arial Narrow" w:cs="Arial"/>
                <w:spacing w:val="0"/>
                <w:sz w:val="16"/>
                <w:szCs w:val="16"/>
                <w:lang w:val="es-MX" w:eastAsia="es-MX"/>
              </w:rPr>
            </w:pPr>
            <w:r w:rsidRPr="00382869">
              <w:rPr>
                <w:rFonts w:ascii="Arial Narrow" w:hAnsi="Arial Narrow" w:cs="Arial"/>
                <w:spacing w:val="0"/>
                <w:sz w:val="16"/>
                <w:szCs w:val="16"/>
                <w:lang w:val="es-MX" w:eastAsia="es-MX"/>
              </w:rPr>
              <w:t>811001850</w:t>
            </w:r>
          </w:p>
        </w:tc>
        <w:tc>
          <w:tcPr>
            <w:tcW w:w="2586" w:type="dxa"/>
            <w:tcBorders>
              <w:top w:val="nil"/>
              <w:left w:val="nil"/>
              <w:bottom w:val="single" w:sz="4" w:space="0" w:color="auto"/>
              <w:right w:val="single" w:sz="4" w:space="0" w:color="auto"/>
            </w:tcBorders>
            <w:shd w:val="clear" w:color="auto" w:fill="auto"/>
            <w:vAlign w:val="center"/>
            <w:hideMark/>
          </w:tcPr>
          <w:p w14:paraId="31429C17" w14:textId="77777777" w:rsidR="006B166A" w:rsidRPr="00382869" w:rsidRDefault="006B166A" w:rsidP="00D22441">
            <w:pPr>
              <w:jc w:val="left"/>
              <w:rPr>
                <w:rFonts w:ascii="Arial Narrow" w:hAnsi="Arial Narrow" w:cs="Arial"/>
                <w:spacing w:val="0"/>
                <w:sz w:val="16"/>
                <w:szCs w:val="16"/>
                <w:lang w:val="es-MX" w:eastAsia="es-MX"/>
              </w:rPr>
            </w:pPr>
            <w:r w:rsidRPr="00382869">
              <w:rPr>
                <w:rFonts w:ascii="Arial Narrow" w:hAnsi="Arial Narrow" w:cs="Arial"/>
                <w:spacing w:val="0"/>
                <w:sz w:val="16"/>
                <w:szCs w:val="16"/>
                <w:lang w:val="es-MX" w:eastAsia="es-MX"/>
              </w:rPr>
              <w:t>IC Asesorías y Proyectos SAS ESP</w:t>
            </w:r>
          </w:p>
        </w:tc>
        <w:tc>
          <w:tcPr>
            <w:tcW w:w="1614" w:type="dxa"/>
            <w:tcBorders>
              <w:top w:val="nil"/>
              <w:left w:val="nil"/>
              <w:bottom w:val="single" w:sz="4" w:space="0" w:color="auto"/>
              <w:right w:val="single" w:sz="4" w:space="0" w:color="auto"/>
            </w:tcBorders>
            <w:shd w:val="clear" w:color="auto" w:fill="auto"/>
            <w:noWrap/>
            <w:vAlign w:val="center"/>
            <w:hideMark/>
          </w:tcPr>
          <w:p w14:paraId="636AFD97" w14:textId="77777777" w:rsidR="006B166A" w:rsidRPr="00382869" w:rsidRDefault="006B166A" w:rsidP="00D22441">
            <w:pPr>
              <w:jc w:val="right"/>
              <w:rPr>
                <w:rFonts w:ascii="Arial Narrow" w:hAnsi="Arial Narrow" w:cs="Arial"/>
                <w:spacing w:val="0"/>
                <w:sz w:val="16"/>
                <w:szCs w:val="16"/>
                <w:lang w:val="es-MX" w:eastAsia="es-MX"/>
              </w:rPr>
            </w:pPr>
            <w:r w:rsidRPr="00382869">
              <w:rPr>
                <w:rFonts w:ascii="Arial Narrow" w:hAnsi="Arial Narrow" w:cs="Arial"/>
                <w:spacing w:val="0"/>
                <w:sz w:val="16"/>
                <w:szCs w:val="16"/>
                <w:lang w:val="es-MX" w:eastAsia="es-MX"/>
              </w:rPr>
              <w:t>$ 16.043.000</w:t>
            </w:r>
          </w:p>
        </w:tc>
        <w:tc>
          <w:tcPr>
            <w:tcW w:w="1134" w:type="dxa"/>
            <w:tcBorders>
              <w:top w:val="nil"/>
              <w:left w:val="nil"/>
              <w:bottom w:val="single" w:sz="4" w:space="0" w:color="auto"/>
              <w:right w:val="single" w:sz="4" w:space="0" w:color="auto"/>
            </w:tcBorders>
            <w:shd w:val="clear" w:color="auto" w:fill="auto"/>
            <w:noWrap/>
            <w:vAlign w:val="center"/>
            <w:hideMark/>
          </w:tcPr>
          <w:p w14:paraId="1A8F6A07" w14:textId="77777777" w:rsidR="006B166A" w:rsidRPr="00382869" w:rsidRDefault="006B166A" w:rsidP="00D22441">
            <w:pPr>
              <w:jc w:val="right"/>
              <w:rPr>
                <w:rFonts w:ascii="Arial Narrow" w:hAnsi="Arial Narrow" w:cs="Arial"/>
                <w:spacing w:val="0"/>
                <w:sz w:val="16"/>
                <w:szCs w:val="16"/>
                <w:lang w:val="es-MX" w:eastAsia="es-MX"/>
              </w:rPr>
            </w:pPr>
            <w:r w:rsidRPr="00382869">
              <w:rPr>
                <w:rFonts w:ascii="Arial Narrow" w:hAnsi="Arial Narrow" w:cs="Arial"/>
                <w:spacing w:val="0"/>
                <w:sz w:val="16"/>
                <w:szCs w:val="16"/>
                <w:lang w:val="es-MX" w:eastAsia="es-MX"/>
              </w:rPr>
              <w:t>$ 0</w:t>
            </w:r>
          </w:p>
        </w:tc>
        <w:tc>
          <w:tcPr>
            <w:tcW w:w="993" w:type="dxa"/>
            <w:tcBorders>
              <w:top w:val="nil"/>
              <w:left w:val="nil"/>
              <w:bottom w:val="single" w:sz="4" w:space="0" w:color="auto"/>
              <w:right w:val="single" w:sz="4" w:space="0" w:color="auto"/>
            </w:tcBorders>
            <w:shd w:val="clear" w:color="auto" w:fill="auto"/>
            <w:noWrap/>
            <w:vAlign w:val="center"/>
            <w:hideMark/>
          </w:tcPr>
          <w:p w14:paraId="0AE35A60" w14:textId="77777777" w:rsidR="006B166A" w:rsidRPr="00382869" w:rsidRDefault="006B166A" w:rsidP="00D22441">
            <w:pPr>
              <w:jc w:val="right"/>
              <w:rPr>
                <w:rFonts w:ascii="Arial Narrow" w:hAnsi="Arial Narrow" w:cs="Arial"/>
                <w:spacing w:val="0"/>
                <w:sz w:val="16"/>
                <w:szCs w:val="16"/>
                <w:lang w:val="es-MX" w:eastAsia="es-MX"/>
              </w:rPr>
            </w:pPr>
            <w:r w:rsidRPr="00382869">
              <w:rPr>
                <w:rFonts w:ascii="Arial Narrow" w:hAnsi="Arial Narrow" w:cs="Arial"/>
                <w:spacing w:val="0"/>
                <w:sz w:val="16"/>
                <w:szCs w:val="16"/>
                <w:lang w:val="es-MX" w:eastAsia="es-MX"/>
              </w:rPr>
              <w:t>$ 16.043.000</w:t>
            </w:r>
          </w:p>
        </w:tc>
        <w:tc>
          <w:tcPr>
            <w:tcW w:w="1010" w:type="dxa"/>
            <w:tcBorders>
              <w:top w:val="nil"/>
              <w:left w:val="nil"/>
              <w:bottom w:val="single" w:sz="4" w:space="0" w:color="auto"/>
              <w:right w:val="single" w:sz="4" w:space="0" w:color="auto"/>
            </w:tcBorders>
            <w:shd w:val="clear" w:color="auto" w:fill="auto"/>
            <w:noWrap/>
            <w:vAlign w:val="center"/>
            <w:hideMark/>
          </w:tcPr>
          <w:p w14:paraId="4F0EC175" w14:textId="77777777" w:rsidR="006B166A" w:rsidRPr="00382869" w:rsidRDefault="006B166A" w:rsidP="00D22441">
            <w:pPr>
              <w:jc w:val="right"/>
              <w:rPr>
                <w:rFonts w:ascii="Arial Narrow" w:hAnsi="Arial Narrow" w:cs="Arial"/>
                <w:spacing w:val="0"/>
                <w:sz w:val="16"/>
                <w:szCs w:val="16"/>
                <w:lang w:val="es-MX" w:eastAsia="es-MX"/>
              </w:rPr>
            </w:pPr>
            <w:r w:rsidRPr="00382869">
              <w:rPr>
                <w:rFonts w:ascii="Arial Narrow" w:hAnsi="Arial Narrow" w:cs="Arial"/>
                <w:spacing w:val="0"/>
                <w:sz w:val="16"/>
                <w:szCs w:val="16"/>
                <w:lang w:val="es-MX" w:eastAsia="es-MX"/>
              </w:rPr>
              <w:t>$ 160.430</w:t>
            </w:r>
          </w:p>
        </w:tc>
        <w:tc>
          <w:tcPr>
            <w:tcW w:w="1418" w:type="dxa"/>
            <w:tcBorders>
              <w:top w:val="nil"/>
              <w:left w:val="nil"/>
              <w:bottom w:val="single" w:sz="4" w:space="0" w:color="auto"/>
              <w:right w:val="single" w:sz="4" w:space="0" w:color="auto"/>
            </w:tcBorders>
            <w:shd w:val="clear" w:color="auto" w:fill="auto"/>
            <w:vAlign w:val="center"/>
            <w:hideMark/>
          </w:tcPr>
          <w:p w14:paraId="04208245" w14:textId="5B3769E4" w:rsidR="006B166A" w:rsidRPr="00382869" w:rsidRDefault="00382869" w:rsidP="00D22441">
            <w:pPr>
              <w:jc w:val="left"/>
              <w:rPr>
                <w:rFonts w:ascii="Arial Narrow" w:hAnsi="Arial Narrow" w:cs="Arial"/>
                <w:spacing w:val="0"/>
                <w:sz w:val="16"/>
                <w:szCs w:val="16"/>
                <w:lang w:val="es-MX" w:eastAsia="es-MX"/>
              </w:rPr>
            </w:pPr>
            <w:r w:rsidRPr="00382869">
              <w:rPr>
                <w:rFonts w:ascii="Arial Narrow" w:hAnsi="Arial Narrow" w:cs="Arial"/>
                <w:spacing w:val="0"/>
                <w:sz w:val="16"/>
                <w:szCs w:val="16"/>
                <w:lang w:val="es-MX" w:eastAsia="es-MX"/>
              </w:rPr>
              <w:t>ENERGIA ELECTRICA</w:t>
            </w:r>
          </w:p>
        </w:tc>
      </w:tr>
      <w:tr w:rsidR="006B166A" w:rsidRPr="00382869" w14:paraId="09A380DF" w14:textId="77777777" w:rsidTr="00F44E07">
        <w:trPr>
          <w:trHeight w:val="286"/>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18BEA2B5" w14:textId="77777777" w:rsidR="006B166A" w:rsidRPr="00382869" w:rsidRDefault="006B166A" w:rsidP="00D22441">
            <w:pPr>
              <w:jc w:val="right"/>
              <w:rPr>
                <w:rFonts w:ascii="Arial Narrow" w:hAnsi="Arial Narrow" w:cs="Arial"/>
                <w:spacing w:val="0"/>
                <w:sz w:val="16"/>
                <w:szCs w:val="16"/>
                <w:lang w:val="es-MX" w:eastAsia="es-MX"/>
              </w:rPr>
            </w:pPr>
            <w:r w:rsidRPr="00382869">
              <w:rPr>
                <w:rFonts w:ascii="Arial Narrow" w:hAnsi="Arial Narrow" w:cs="Arial"/>
                <w:spacing w:val="0"/>
                <w:sz w:val="16"/>
                <w:szCs w:val="16"/>
                <w:lang w:val="es-MX" w:eastAsia="es-MX"/>
              </w:rPr>
              <w:t>11</w:t>
            </w:r>
          </w:p>
        </w:tc>
        <w:tc>
          <w:tcPr>
            <w:tcW w:w="578" w:type="dxa"/>
            <w:tcBorders>
              <w:top w:val="nil"/>
              <w:left w:val="nil"/>
              <w:bottom w:val="single" w:sz="4" w:space="0" w:color="auto"/>
              <w:right w:val="single" w:sz="4" w:space="0" w:color="auto"/>
            </w:tcBorders>
            <w:shd w:val="clear" w:color="auto" w:fill="auto"/>
            <w:noWrap/>
            <w:vAlign w:val="center"/>
            <w:hideMark/>
          </w:tcPr>
          <w:p w14:paraId="6474B03A" w14:textId="77777777" w:rsidR="006B166A" w:rsidRPr="00382869" w:rsidRDefault="006B166A" w:rsidP="00D22441">
            <w:pPr>
              <w:jc w:val="right"/>
              <w:rPr>
                <w:rFonts w:ascii="Arial Narrow" w:hAnsi="Arial Narrow" w:cs="Arial"/>
                <w:spacing w:val="0"/>
                <w:sz w:val="16"/>
                <w:szCs w:val="16"/>
                <w:lang w:val="es-MX" w:eastAsia="es-MX"/>
              </w:rPr>
            </w:pPr>
            <w:r w:rsidRPr="00382869">
              <w:rPr>
                <w:rFonts w:ascii="Arial Narrow" w:hAnsi="Arial Narrow" w:cs="Arial"/>
                <w:spacing w:val="0"/>
                <w:sz w:val="16"/>
                <w:szCs w:val="16"/>
                <w:lang w:val="es-MX" w:eastAsia="es-MX"/>
              </w:rPr>
              <w:t>62071</w:t>
            </w:r>
          </w:p>
        </w:tc>
        <w:tc>
          <w:tcPr>
            <w:tcW w:w="800" w:type="dxa"/>
            <w:tcBorders>
              <w:top w:val="nil"/>
              <w:left w:val="nil"/>
              <w:bottom w:val="single" w:sz="4" w:space="0" w:color="auto"/>
              <w:right w:val="single" w:sz="4" w:space="0" w:color="auto"/>
            </w:tcBorders>
            <w:shd w:val="clear" w:color="auto" w:fill="auto"/>
            <w:noWrap/>
            <w:vAlign w:val="center"/>
            <w:hideMark/>
          </w:tcPr>
          <w:p w14:paraId="6B997CEE" w14:textId="77777777" w:rsidR="006B166A" w:rsidRPr="00382869" w:rsidRDefault="006B166A" w:rsidP="00D22441">
            <w:pPr>
              <w:jc w:val="right"/>
              <w:rPr>
                <w:rFonts w:ascii="Arial Narrow" w:hAnsi="Arial Narrow" w:cs="Arial"/>
                <w:spacing w:val="0"/>
                <w:sz w:val="16"/>
                <w:szCs w:val="16"/>
                <w:lang w:val="es-MX" w:eastAsia="es-MX"/>
              </w:rPr>
            </w:pPr>
            <w:r w:rsidRPr="00382869">
              <w:rPr>
                <w:rFonts w:ascii="Arial Narrow" w:hAnsi="Arial Narrow" w:cs="Arial"/>
                <w:spacing w:val="0"/>
                <w:sz w:val="16"/>
                <w:szCs w:val="16"/>
                <w:lang w:val="es-MX" w:eastAsia="es-MX"/>
              </w:rPr>
              <w:t>900351013</w:t>
            </w:r>
          </w:p>
        </w:tc>
        <w:tc>
          <w:tcPr>
            <w:tcW w:w="2586" w:type="dxa"/>
            <w:tcBorders>
              <w:top w:val="nil"/>
              <w:left w:val="nil"/>
              <w:bottom w:val="single" w:sz="4" w:space="0" w:color="auto"/>
              <w:right w:val="single" w:sz="4" w:space="0" w:color="auto"/>
            </w:tcBorders>
            <w:shd w:val="clear" w:color="auto" w:fill="auto"/>
            <w:vAlign w:val="center"/>
            <w:hideMark/>
          </w:tcPr>
          <w:p w14:paraId="7A5AAAD2" w14:textId="77777777" w:rsidR="006B166A" w:rsidRPr="00382869" w:rsidRDefault="006B166A" w:rsidP="00D22441">
            <w:pPr>
              <w:jc w:val="left"/>
              <w:rPr>
                <w:rFonts w:ascii="Arial Narrow" w:hAnsi="Arial Narrow" w:cs="Arial"/>
                <w:spacing w:val="0"/>
                <w:sz w:val="16"/>
                <w:szCs w:val="16"/>
                <w:lang w:val="es-MX" w:eastAsia="es-MX"/>
              </w:rPr>
            </w:pPr>
            <w:r w:rsidRPr="00382869">
              <w:rPr>
                <w:rFonts w:ascii="Arial Narrow" w:hAnsi="Arial Narrow" w:cs="Arial"/>
                <w:spacing w:val="0"/>
                <w:sz w:val="16"/>
                <w:szCs w:val="16"/>
                <w:lang w:val="es-MX" w:eastAsia="es-MX"/>
              </w:rPr>
              <w:t>Enel X Colombia SAS ESP</w:t>
            </w:r>
          </w:p>
        </w:tc>
        <w:tc>
          <w:tcPr>
            <w:tcW w:w="1614" w:type="dxa"/>
            <w:tcBorders>
              <w:top w:val="nil"/>
              <w:left w:val="nil"/>
              <w:bottom w:val="single" w:sz="4" w:space="0" w:color="auto"/>
              <w:right w:val="single" w:sz="4" w:space="0" w:color="auto"/>
            </w:tcBorders>
            <w:shd w:val="clear" w:color="auto" w:fill="auto"/>
            <w:noWrap/>
            <w:vAlign w:val="center"/>
            <w:hideMark/>
          </w:tcPr>
          <w:p w14:paraId="03583DF1" w14:textId="77777777" w:rsidR="006B166A" w:rsidRPr="00382869" w:rsidRDefault="006B166A" w:rsidP="00D22441">
            <w:pPr>
              <w:jc w:val="right"/>
              <w:rPr>
                <w:rFonts w:ascii="Arial Narrow" w:hAnsi="Arial Narrow" w:cs="Arial"/>
                <w:spacing w:val="0"/>
                <w:sz w:val="16"/>
                <w:szCs w:val="16"/>
                <w:lang w:val="es-MX" w:eastAsia="es-MX"/>
              </w:rPr>
            </w:pPr>
            <w:r w:rsidRPr="00382869">
              <w:rPr>
                <w:rFonts w:ascii="Arial Narrow" w:hAnsi="Arial Narrow" w:cs="Arial"/>
                <w:spacing w:val="0"/>
                <w:sz w:val="16"/>
                <w:szCs w:val="16"/>
                <w:lang w:val="es-MX" w:eastAsia="es-MX"/>
              </w:rPr>
              <w:t>$ 17.820.000</w:t>
            </w:r>
          </w:p>
        </w:tc>
        <w:tc>
          <w:tcPr>
            <w:tcW w:w="1134" w:type="dxa"/>
            <w:tcBorders>
              <w:top w:val="nil"/>
              <w:left w:val="nil"/>
              <w:bottom w:val="single" w:sz="4" w:space="0" w:color="auto"/>
              <w:right w:val="single" w:sz="4" w:space="0" w:color="auto"/>
            </w:tcBorders>
            <w:shd w:val="clear" w:color="auto" w:fill="auto"/>
            <w:noWrap/>
            <w:vAlign w:val="center"/>
            <w:hideMark/>
          </w:tcPr>
          <w:p w14:paraId="6B4CFF92" w14:textId="77777777" w:rsidR="006B166A" w:rsidRPr="00382869" w:rsidRDefault="006B166A" w:rsidP="00D22441">
            <w:pPr>
              <w:jc w:val="right"/>
              <w:rPr>
                <w:rFonts w:ascii="Arial Narrow" w:hAnsi="Arial Narrow" w:cs="Arial"/>
                <w:spacing w:val="0"/>
                <w:sz w:val="16"/>
                <w:szCs w:val="16"/>
                <w:lang w:val="es-MX" w:eastAsia="es-MX"/>
              </w:rPr>
            </w:pPr>
            <w:r w:rsidRPr="00382869">
              <w:rPr>
                <w:rFonts w:ascii="Arial Narrow" w:hAnsi="Arial Narrow" w:cs="Arial"/>
                <w:spacing w:val="0"/>
                <w:sz w:val="16"/>
                <w:szCs w:val="16"/>
                <w:lang w:val="es-MX" w:eastAsia="es-MX"/>
              </w:rPr>
              <w:t>$ 5.733.522</w:t>
            </w:r>
          </w:p>
        </w:tc>
        <w:tc>
          <w:tcPr>
            <w:tcW w:w="993" w:type="dxa"/>
            <w:tcBorders>
              <w:top w:val="nil"/>
              <w:left w:val="nil"/>
              <w:bottom w:val="single" w:sz="4" w:space="0" w:color="auto"/>
              <w:right w:val="single" w:sz="4" w:space="0" w:color="auto"/>
            </w:tcBorders>
            <w:shd w:val="clear" w:color="auto" w:fill="auto"/>
            <w:noWrap/>
            <w:vAlign w:val="center"/>
            <w:hideMark/>
          </w:tcPr>
          <w:p w14:paraId="03F566A6" w14:textId="77777777" w:rsidR="006B166A" w:rsidRPr="00382869" w:rsidRDefault="006B166A" w:rsidP="00D22441">
            <w:pPr>
              <w:jc w:val="right"/>
              <w:rPr>
                <w:rFonts w:ascii="Arial Narrow" w:hAnsi="Arial Narrow" w:cs="Arial"/>
                <w:spacing w:val="0"/>
                <w:sz w:val="16"/>
                <w:szCs w:val="16"/>
                <w:lang w:val="es-MX" w:eastAsia="es-MX"/>
              </w:rPr>
            </w:pPr>
            <w:r w:rsidRPr="00382869">
              <w:rPr>
                <w:rFonts w:ascii="Arial Narrow" w:hAnsi="Arial Narrow" w:cs="Arial"/>
                <w:spacing w:val="0"/>
                <w:sz w:val="16"/>
                <w:szCs w:val="16"/>
                <w:lang w:val="es-MX" w:eastAsia="es-MX"/>
              </w:rPr>
              <w:t>$ 23.553.522</w:t>
            </w:r>
          </w:p>
        </w:tc>
        <w:tc>
          <w:tcPr>
            <w:tcW w:w="1010" w:type="dxa"/>
            <w:tcBorders>
              <w:top w:val="nil"/>
              <w:left w:val="nil"/>
              <w:bottom w:val="single" w:sz="4" w:space="0" w:color="auto"/>
              <w:right w:val="single" w:sz="4" w:space="0" w:color="auto"/>
            </w:tcBorders>
            <w:shd w:val="clear" w:color="auto" w:fill="auto"/>
            <w:noWrap/>
            <w:vAlign w:val="center"/>
            <w:hideMark/>
          </w:tcPr>
          <w:p w14:paraId="786FA347" w14:textId="77777777" w:rsidR="006B166A" w:rsidRPr="00382869" w:rsidRDefault="006B166A" w:rsidP="00D22441">
            <w:pPr>
              <w:jc w:val="right"/>
              <w:rPr>
                <w:rFonts w:ascii="Arial Narrow" w:hAnsi="Arial Narrow" w:cs="Arial"/>
                <w:spacing w:val="0"/>
                <w:sz w:val="16"/>
                <w:szCs w:val="16"/>
                <w:lang w:val="es-MX" w:eastAsia="es-MX"/>
              </w:rPr>
            </w:pPr>
            <w:r w:rsidRPr="00382869">
              <w:rPr>
                <w:rFonts w:ascii="Arial Narrow" w:hAnsi="Arial Narrow" w:cs="Arial"/>
                <w:spacing w:val="0"/>
                <w:sz w:val="16"/>
                <w:szCs w:val="16"/>
                <w:lang w:val="es-MX" w:eastAsia="es-MX"/>
              </w:rPr>
              <w:t>$ 235.535</w:t>
            </w:r>
          </w:p>
        </w:tc>
        <w:tc>
          <w:tcPr>
            <w:tcW w:w="1418" w:type="dxa"/>
            <w:tcBorders>
              <w:top w:val="nil"/>
              <w:left w:val="nil"/>
              <w:bottom w:val="single" w:sz="4" w:space="0" w:color="auto"/>
              <w:right w:val="single" w:sz="4" w:space="0" w:color="auto"/>
            </w:tcBorders>
            <w:shd w:val="clear" w:color="auto" w:fill="auto"/>
            <w:vAlign w:val="center"/>
            <w:hideMark/>
          </w:tcPr>
          <w:p w14:paraId="6DD7C4BD" w14:textId="77777777" w:rsidR="006B166A" w:rsidRPr="00382869" w:rsidRDefault="006B166A" w:rsidP="00D22441">
            <w:pPr>
              <w:jc w:val="left"/>
              <w:rPr>
                <w:rFonts w:ascii="Arial Narrow" w:hAnsi="Arial Narrow" w:cs="Arial"/>
                <w:spacing w:val="0"/>
                <w:sz w:val="16"/>
                <w:szCs w:val="16"/>
                <w:lang w:val="es-MX" w:eastAsia="es-MX"/>
              </w:rPr>
            </w:pPr>
            <w:r w:rsidRPr="00382869">
              <w:rPr>
                <w:rFonts w:ascii="Arial Narrow" w:hAnsi="Arial Narrow" w:cs="Arial"/>
                <w:spacing w:val="0"/>
                <w:sz w:val="16"/>
                <w:szCs w:val="16"/>
                <w:lang w:val="es-MX" w:eastAsia="es-MX"/>
              </w:rPr>
              <w:t>ENERGIA ELECTRICA</w:t>
            </w:r>
          </w:p>
        </w:tc>
      </w:tr>
      <w:tr w:rsidR="006B166A" w:rsidRPr="00382869" w14:paraId="6A0AA839" w14:textId="77777777" w:rsidTr="00F44E07">
        <w:trPr>
          <w:trHeight w:val="23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6093A860" w14:textId="77777777" w:rsidR="006B166A" w:rsidRPr="00382869" w:rsidRDefault="006B166A" w:rsidP="00D22441">
            <w:pPr>
              <w:jc w:val="right"/>
              <w:rPr>
                <w:rFonts w:ascii="Arial Narrow" w:hAnsi="Arial Narrow" w:cs="Arial"/>
                <w:spacing w:val="0"/>
                <w:sz w:val="16"/>
                <w:szCs w:val="16"/>
                <w:lang w:val="es-MX" w:eastAsia="es-MX"/>
              </w:rPr>
            </w:pPr>
            <w:r w:rsidRPr="00382869">
              <w:rPr>
                <w:rFonts w:ascii="Arial Narrow" w:hAnsi="Arial Narrow" w:cs="Arial"/>
                <w:spacing w:val="0"/>
                <w:sz w:val="16"/>
                <w:szCs w:val="16"/>
                <w:lang w:val="es-MX" w:eastAsia="es-MX"/>
              </w:rPr>
              <w:t>12</w:t>
            </w:r>
          </w:p>
        </w:tc>
        <w:tc>
          <w:tcPr>
            <w:tcW w:w="578" w:type="dxa"/>
            <w:tcBorders>
              <w:top w:val="nil"/>
              <w:left w:val="nil"/>
              <w:bottom w:val="single" w:sz="4" w:space="0" w:color="auto"/>
              <w:right w:val="single" w:sz="4" w:space="0" w:color="auto"/>
            </w:tcBorders>
            <w:shd w:val="clear" w:color="auto" w:fill="auto"/>
            <w:noWrap/>
            <w:vAlign w:val="center"/>
            <w:hideMark/>
          </w:tcPr>
          <w:p w14:paraId="1BAF6203" w14:textId="77777777" w:rsidR="006B166A" w:rsidRPr="00382869" w:rsidRDefault="006B166A" w:rsidP="00D22441">
            <w:pPr>
              <w:jc w:val="right"/>
              <w:rPr>
                <w:rFonts w:ascii="Arial Narrow" w:hAnsi="Arial Narrow" w:cs="Arial"/>
                <w:spacing w:val="0"/>
                <w:sz w:val="16"/>
                <w:szCs w:val="16"/>
                <w:lang w:val="es-MX" w:eastAsia="es-MX"/>
              </w:rPr>
            </w:pPr>
            <w:r w:rsidRPr="00382869">
              <w:rPr>
                <w:rFonts w:ascii="Arial Narrow" w:hAnsi="Arial Narrow" w:cs="Arial"/>
                <w:spacing w:val="0"/>
                <w:sz w:val="16"/>
                <w:szCs w:val="16"/>
                <w:lang w:val="es-MX" w:eastAsia="es-MX"/>
              </w:rPr>
              <w:t>20154</w:t>
            </w:r>
          </w:p>
        </w:tc>
        <w:tc>
          <w:tcPr>
            <w:tcW w:w="800" w:type="dxa"/>
            <w:tcBorders>
              <w:top w:val="nil"/>
              <w:left w:val="nil"/>
              <w:bottom w:val="single" w:sz="4" w:space="0" w:color="auto"/>
              <w:right w:val="single" w:sz="4" w:space="0" w:color="auto"/>
            </w:tcBorders>
            <w:shd w:val="clear" w:color="auto" w:fill="auto"/>
            <w:noWrap/>
            <w:vAlign w:val="center"/>
            <w:hideMark/>
          </w:tcPr>
          <w:p w14:paraId="324FDF96" w14:textId="77777777" w:rsidR="006B166A" w:rsidRPr="00382869" w:rsidRDefault="006B166A" w:rsidP="00D22441">
            <w:pPr>
              <w:jc w:val="right"/>
              <w:rPr>
                <w:rFonts w:ascii="Arial Narrow" w:hAnsi="Arial Narrow" w:cs="Arial"/>
                <w:spacing w:val="0"/>
                <w:sz w:val="16"/>
                <w:szCs w:val="16"/>
                <w:lang w:val="es-MX" w:eastAsia="es-MX"/>
              </w:rPr>
            </w:pPr>
            <w:r w:rsidRPr="00382869">
              <w:rPr>
                <w:rFonts w:ascii="Arial Narrow" w:hAnsi="Arial Narrow" w:cs="Arial"/>
                <w:spacing w:val="0"/>
                <w:sz w:val="16"/>
                <w:szCs w:val="16"/>
                <w:lang w:val="es-MX" w:eastAsia="es-MX"/>
              </w:rPr>
              <w:t>832000219</w:t>
            </w:r>
          </w:p>
        </w:tc>
        <w:tc>
          <w:tcPr>
            <w:tcW w:w="2586" w:type="dxa"/>
            <w:tcBorders>
              <w:top w:val="nil"/>
              <w:left w:val="nil"/>
              <w:bottom w:val="single" w:sz="4" w:space="0" w:color="auto"/>
              <w:right w:val="single" w:sz="4" w:space="0" w:color="auto"/>
            </w:tcBorders>
            <w:shd w:val="clear" w:color="auto" w:fill="auto"/>
            <w:vAlign w:val="center"/>
            <w:hideMark/>
          </w:tcPr>
          <w:p w14:paraId="3D4156CF" w14:textId="77777777" w:rsidR="006B166A" w:rsidRPr="00382869" w:rsidRDefault="006B166A" w:rsidP="00D22441">
            <w:pPr>
              <w:jc w:val="left"/>
              <w:rPr>
                <w:rFonts w:ascii="Arial Narrow" w:hAnsi="Arial Narrow" w:cs="Arial"/>
                <w:spacing w:val="0"/>
                <w:sz w:val="16"/>
                <w:szCs w:val="16"/>
                <w:lang w:val="es-MX" w:eastAsia="es-MX"/>
              </w:rPr>
            </w:pPr>
            <w:r w:rsidRPr="00382869">
              <w:rPr>
                <w:rFonts w:ascii="Arial Narrow" w:hAnsi="Arial Narrow" w:cs="Arial"/>
                <w:spacing w:val="0"/>
                <w:sz w:val="16"/>
                <w:szCs w:val="16"/>
                <w:lang w:val="es-MX" w:eastAsia="es-MX"/>
              </w:rPr>
              <w:t>MUNICIPIO DE TARAIRA</w:t>
            </w:r>
          </w:p>
        </w:tc>
        <w:tc>
          <w:tcPr>
            <w:tcW w:w="1614" w:type="dxa"/>
            <w:tcBorders>
              <w:top w:val="nil"/>
              <w:left w:val="nil"/>
              <w:bottom w:val="single" w:sz="4" w:space="0" w:color="auto"/>
              <w:right w:val="single" w:sz="4" w:space="0" w:color="auto"/>
            </w:tcBorders>
            <w:shd w:val="clear" w:color="auto" w:fill="auto"/>
            <w:noWrap/>
            <w:vAlign w:val="center"/>
            <w:hideMark/>
          </w:tcPr>
          <w:p w14:paraId="0EAC0A76" w14:textId="77777777" w:rsidR="006B166A" w:rsidRPr="00382869" w:rsidRDefault="006B166A" w:rsidP="00D22441">
            <w:pPr>
              <w:jc w:val="right"/>
              <w:rPr>
                <w:rFonts w:ascii="Arial Narrow" w:hAnsi="Arial Narrow" w:cs="Arial"/>
                <w:spacing w:val="0"/>
                <w:sz w:val="16"/>
                <w:szCs w:val="16"/>
                <w:lang w:val="es-MX" w:eastAsia="es-MX"/>
              </w:rPr>
            </w:pPr>
            <w:r w:rsidRPr="00382869">
              <w:rPr>
                <w:rFonts w:ascii="Arial Narrow" w:hAnsi="Arial Narrow" w:cs="Arial"/>
                <w:spacing w:val="0"/>
                <w:sz w:val="16"/>
                <w:szCs w:val="16"/>
                <w:lang w:val="es-MX" w:eastAsia="es-MX"/>
              </w:rPr>
              <w:t>$ 11.072.000</w:t>
            </w:r>
          </w:p>
        </w:tc>
        <w:tc>
          <w:tcPr>
            <w:tcW w:w="1134" w:type="dxa"/>
            <w:tcBorders>
              <w:top w:val="nil"/>
              <w:left w:val="nil"/>
              <w:bottom w:val="single" w:sz="4" w:space="0" w:color="auto"/>
              <w:right w:val="single" w:sz="4" w:space="0" w:color="auto"/>
            </w:tcBorders>
            <w:shd w:val="clear" w:color="auto" w:fill="auto"/>
            <w:noWrap/>
            <w:vAlign w:val="center"/>
            <w:hideMark/>
          </w:tcPr>
          <w:p w14:paraId="7919FA60" w14:textId="77777777" w:rsidR="006B166A" w:rsidRPr="00382869" w:rsidRDefault="006B166A" w:rsidP="00D22441">
            <w:pPr>
              <w:jc w:val="right"/>
              <w:rPr>
                <w:rFonts w:ascii="Arial Narrow" w:hAnsi="Arial Narrow" w:cs="Arial"/>
                <w:spacing w:val="0"/>
                <w:sz w:val="16"/>
                <w:szCs w:val="16"/>
                <w:lang w:val="es-MX" w:eastAsia="es-MX"/>
              </w:rPr>
            </w:pPr>
            <w:r w:rsidRPr="00382869">
              <w:rPr>
                <w:rFonts w:ascii="Arial Narrow" w:hAnsi="Arial Narrow" w:cs="Arial"/>
                <w:spacing w:val="0"/>
                <w:sz w:val="16"/>
                <w:szCs w:val="16"/>
                <w:lang w:val="es-MX" w:eastAsia="es-MX"/>
              </w:rPr>
              <w:t>$ 13.019.009</w:t>
            </w:r>
          </w:p>
        </w:tc>
        <w:tc>
          <w:tcPr>
            <w:tcW w:w="993" w:type="dxa"/>
            <w:tcBorders>
              <w:top w:val="nil"/>
              <w:left w:val="nil"/>
              <w:bottom w:val="single" w:sz="4" w:space="0" w:color="auto"/>
              <w:right w:val="single" w:sz="4" w:space="0" w:color="auto"/>
            </w:tcBorders>
            <w:shd w:val="clear" w:color="auto" w:fill="auto"/>
            <w:noWrap/>
            <w:vAlign w:val="center"/>
            <w:hideMark/>
          </w:tcPr>
          <w:p w14:paraId="74A726D7" w14:textId="77777777" w:rsidR="006B166A" w:rsidRPr="00382869" w:rsidRDefault="006B166A" w:rsidP="00D22441">
            <w:pPr>
              <w:jc w:val="right"/>
              <w:rPr>
                <w:rFonts w:ascii="Arial Narrow" w:hAnsi="Arial Narrow" w:cs="Arial"/>
                <w:spacing w:val="0"/>
                <w:sz w:val="16"/>
                <w:szCs w:val="16"/>
                <w:lang w:val="es-MX" w:eastAsia="es-MX"/>
              </w:rPr>
            </w:pPr>
            <w:r w:rsidRPr="00382869">
              <w:rPr>
                <w:rFonts w:ascii="Arial Narrow" w:hAnsi="Arial Narrow" w:cs="Arial"/>
                <w:spacing w:val="0"/>
                <w:sz w:val="16"/>
                <w:szCs w:val="16"/>
                <w:lang w:val="es-MX" w:eastAsia="es-MX"/>
              </w:rPr>
              <w:t>$ 24.091.009</w:t>
            </w:r>
          </w:p>
        </w:tc>
        <w:tc>
          <w:tcPr>
            <w:tcW w:w="1010" w:type="dxa"/>
            <w:tcBorders>
              <w:top w:val="nil"/>
              <w:left w:val="nil"/>
              <w:bottom w:val="single" w:sz="4" w:space="0" w:color="auto"/>
              <w:right w:val="single" w:sz="4" w:space="0" w:color="auto"/>
            </w:tcBorders>
            <w:shd w:val="clear" w:color="auto" w:fill="auto"/>
            <w:noWrap/>
            <w:vAlign w:val="center"/>
            <w:hideMark/>
          </w:tcPr>
          <w:p w14:paraId="4B89EA95" w14:textId="77777777" w:rsidR="006B166A" w:rsidRPr="00382869" w:rsidRDefault="006B166A" w:rsidP="00D22441">
            <w:pPr>
              <w:jc w:val="right"/>
              <w:rPr>
                <w:rFonts w:ascii="Arial Narrow" w:hAnsi="Arial Narrow" w:cs="Arial"/>
                <w:spacing w:val="0"/>
                <w:sz w:val="16"/>
                <w:szCs w:val="16"/>
                <w:lang w:val="es-MX" w:eastAsia="es-MX"/>
              </w:rPr>
            </w:pPr>
            <w:r w:rsidRPr="00382869">
              <w:rPr>
                <w:rFonts w:ascii="Arial Narrow" w:hAnsi="Arial Narrow" w:cs="Arial"/>
                <w:spacing w:val="0"/>
                <w:sz w:val="16"/>
                <w:szCs w:val="16"/>
                <w:lang w:val="es-MX" w:eastAsia="es-MX"/>
              </w:rPr>
              <w:t>$ 240.910</w:t>
            </w:r>
          </w:p>
        </w:tc>
        <w:tc>
          <w:tcPr>
            <w:tcW w:w="1418" w:type="dxa"/>
            <w:tcBorders>
              <w:top w:val="nil"/>
              <w:left w:val="nil"/>
              <w:bottom w:val="single" w:sz="4" w:space="0" w:color="auto"/>
              <w:right w:val="single" w:sz="4" w:space="0" w:color="auto"/>
            </w:tcBorders>
            <w:shd w:val="clear" w:color="auto" w:fill="auto"/>
            <w:vAlign w:val="center"/>
            <w:hideMark/>
          </w:tcPr>
          <w:p w14:paraId="04F9464D" w14:textId="7A1C3D3D" w:rsidR="00984D90" w:rsidRPr="00382869" w:rsidRDefault="00984D90" w:rsidP="00D22441">
            <w:pPr>
              <w:jc w:val="left"/>
              <w:rPr>
                <w:rFonts w:ascii="Arial Narrow" w:hAnsi="Arial Narrow" w:cs="Arial"/>
                <w:spacing w:val="0"/>
                <w:sz w:val="16"/>
                <w:szCs w:val="16"/>
                <w:lang w:val="es-MX" w:eastAsia="es-MX"/>
              </w:rPr>
            </w:pPr>
            <w:r w:rsidRPr="00382869">
              <w:rPr>
                <w:rFonts w:ascii="Arial Narrow" w:hAnsi="Arial Narrow" w:cs="Arial"/>
                <w:spacing w:val="0"/>
                <w:sz w:val="16"/>
                <w:szCs w:val="16"/>
                <w:lang w:val="es-MX" w:eastAsia="es-MX"/>
              </w:rPr>
              <w:t>MULTISERVICIOS</w:t>
            </w:r>
          </w:p>
        </w:tc>
      </w:tr>
      <w:tr w:rsidR="006B166A" w:rsidRPr="00382869" w14:paraId="6E027325" w14:textId="77777777" w:rsidTr="00F44E07">
        <w:trPr>
          <w:trHeight w:val="469"/>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35E49203" w14:textId="77777777" w:rsidR="006B166A" w:rsidRPr="00382869" w:rsidRDefault="006B166A" w:rsidP="00D22441">
            <w:pPr>
              <w:jc w:val="right"/>
              <w:rPr>
                <w:rFonts w:ascii="Arial Narrow" w:hAnsi="Arial Narrow" w:cs="Arial"/>
                <w:spacing w:val="0"/>
                <w:sz w:val="16"/>
                <w:szCs w:val="16"/>
                <w:lang w:val="es-MX" w:eastAsia="es-MX"/>
              </w:rPr>
            </w:pPr>
            <w:r w:rsidRPr="00382869">
              <w:rPr>
                <w:rFonts w:ascii="Arial Narrow" w:hAnsi="Arial Narrow" w:cs="Arial"/>
                <w:spacing w:val="0"/>
                <w:sz w:val="16"/>
                <w:szCs w:val="16"/>
                <w:lang w:val="es-MX" w:eastAsia="es-MX"/>
              </w:rPr>
              <w:t>13</w:t>
            </w:r>
          </w:p>
        </w:tc>
        <w:tc>
          <w:tcPr>
            <w:tcW w:w="578" w:type="dxa"/>
            <w:tcBorders>
              <w:top w:val="nil"/>
              <w:left w:val="nil"/>
              <w:bottom w:val="single" w:sz="4" w:space="0" w:color="auto"/>
              <w:right w:val="single" w:sz="4" w:space="0" w:color="auto"/>
            </w:tcBorders>
            <w:shd w:val="clear" w:color="auto" w:fill="auto"/>
            <w:noWrap/>
            <w:vAlign w:val="center"/>
            <w:hideMark/>
          </w:tcPr>
          <w:p w14:paraId="1CC247DF" w14:textId="77777777" w:rsidR="006B166A" w:rsidRPr="00382869" w:rsidRDefault="006B166A" w:rsidP="00D22441">
            <w:pPr>
              <w:jc w:val="right"/>
              <w:rPr>
                <w:rFonts w:ascii="Arial Narrow" w:hAnsi="Arial Narrow" w:cs="Arial"/>
                <w:spacing w:val="0"/>
                <w:sz w:val="16"/>
                <w:szCs w:val="16"/>
                <w:lang w:val="es-MX" w:eastAsia="es-MX"/>
              </w:rPr>
            </w:pPr>
            <w:r w:rsidRPr="00382869">
              <w:rPr>
                <w:rFonts w:ascii="Arial Narrow" w:hAnsi="Arial Narrow" w:cs="Arial"/>
                <w:spacing w:val="0"/>
                <w:sz w:val="16"/>
                <w:szCs w:val="16"/>
                <w:lang w:val="es-MX" w:eastAsia="es-MX"/>
              </w:rPr>
              <w:t>26083</w:t>
            </w:r>
          </w:p>
        </w:tc>
        <w:tc>
          <w:tcPr>
            <w:tcW w:w="800" w:type="dxa"/>
            <w:tcBorders>
              <w:top w:val="nil"/>
              <w:left w:val="nil"/>
              <w:bottom w:val="single" w:sz="4" w:space="0" w:color="auto"/>
              <w:right w:val="single" w:sz="4" w:space="0" w:color="auto"/>
            </w:tcBorders>
            <w:shd w:val="clear" w:color="auto" w:fill="auto"/>
            <w:noWrap/>
            <w:vAlign w:val="center"/>
            <w:hideMark/>
          </w:tcPr>
          <w:p w14:paraId="644BF420" w14:textId="77777777" w:rsidR="006B166A" w:rsidRPr="00382869" w:rsidRDefault="006B166A" w:rsidP="00D22441">
            <w:pPr>
              <w:jc w:val="right"/>
              <w:rPr>
                <w:rFonts w:ascii="Arial Narrow" w:hAnsi="Arial Narrow" w:cs="Arial"/>
                <w:spacing w:val="0"/>
                <w:sz w:val="16"/>
                <w:szCs w:val="16"/>
                <w:lang w:val="es-MX" w:eastAsia="es-MX"/>
              </w:rPr>
            </w:pPr>
            <w:r w:rsidRPr="00382869">
              <w:rPr>
                <w:rFonts w:ascii="Arial Narrow" w:hAnsi="Arial Narrow" w:cs="Arial"/>
                <w:spacing w:val="0"/>
                <w:sz w:val="16"/>
                <w:szCs w:val="16"/>
                <w:lang w:val="es-MX" w:eastAsia="es-MX"/>
              </w:rPr>
              <w:t>900519539</w:t>
            </w:r>
          </w:p>
        </w:tc>
        <w:tc>
          <w:tcPr>
            <w:tcW w:w="2586" w:type="dxa"/>
            <w:tcBorders>
              <w:top w:val="nil"/>
              <w:left w:val="nil"/>
              <w:bottom w:val="single" w:sz="4" w:space="0" w:color="auto"/>
              <w:right w:val="single" w:sz="4" w:space="0" w:color="auto"/>
            </w:tcBorders>
            <w:shd w:val="clear" w:color="auto" w:fill="auto"/>
            <w:vAlign w:val="center"/>
            <w:hideMark/>
          </w:tcPr>
          <w:p w14:paraId="50E15FB8" w14:textId="77777777" w:rsidR="006B166A" w:rsidRPr="00382869" w:rsidRDefault="006B166A" w:rsidP="00D22441">
            <w:pPr>
              <w:jc w:val="left"/>
              <w:rPr>
                <w:rFonts w:ascii="Arial Narrow" w:hAnsi="Arial Narrow" w:cs="Arial"/>
                <w:spacing w:val="0"/>
                <w:sz w:val="16"/>
                <w:szCs w:val="16"/>
                <w:lang w:val="es-MX" w:eastAsia="es-MX"/>
              </w:rPr>
            </w:pPr>
            <w:r w:rsidRPr="00382869">
              <w:rPr>
                <w:rFonts w:ascii="Arial Narrow" w:hAnsi="Arial Narrow" w:cs="Arial"/>
                <w:spacing w:val="0"/>
                <w:sz w:val="16"/>
                <w:szCs w:val="16"/>
                <w:lang w:val="es-MX" w:eastAsia="es-MX"/>
              </w:rPr>
              <w:t>COMPAÑIA DE SERVICIOS PUBLICOS DOMICILIARIOS DE BOJAYA S.A E.S.P.</w:t>
            </w:r>
          </w:p>
        </w:tc>
        <w:tc>
          <w:tcPr>
            <w:tcW w:w="1614" w:type="dxa"/>
            <w:tcBorders>
              <w:top w:val="nil"/>
              <w:left w:val="nil"/>
              <w:bottom w:val="single" w:sz="4" w:space="0" w:color="auto"/>
              <w:right w:val="single" w:sz="4" w:space="0" w:color="auto"/>
            </w:tcBorders>
            <w:shd w:val="clear" w:color="auto" w:fill="auto"/>
            <w:noWrap/>
            <w:vAlign w:val="center"/>
            <w:hideMark/>
          </w:tcPr>
          <w:p w14:paraId="7121E57D" w14:textId="77777777" w:rsidR="006B166A" w:rsidRPr="00382869" w:rsidRDefault="006B166A" w:rsidP="00D22441">
            <w:pPr>
              <w:jc w:val="right"/>
              <w:rPr>
                <w:rFonts w:ascii="Arial Narrow" w:hAnsi="Arial Narrow" w:cs="Arial"/>
                <w:spacing w:val="0"/>
                <w:sz w:val="16"/>
                <w:szCs w:val="16"/>
                <w:lang w:val="es-MX" w:eastAsia="es-MX"/>
              </w:rPr>
            </w:pPr>
            <w:r w:rsidRPr="00382869">
              <w:rPr>
                <w:rFonts w:ascii="Arial Narrow" w:hAnsi="Arial Narrow" w:cs="Arial"/>
                <w:spacing w:val="0"/>
                <w:sz w:val="16"/>
                <w:szCs w:val="16"/>
                <w:lang w:val="es-MX" w:eastAsia="es-MX"/>
              </w:rPr>
              <w:t>$ 20.524.000</w:t>
            </w:r>
          </w:p>
        </w:tc>
        <w:tc>
          <w:tcPr>
            <w:tcW w:w="1134" w:type="dxa"/>
            <w:tcBorders>
              <w:top w:val="nil"/>
              <w:left w:val="nil"/>
              <w:bottom w:val="single" w:sz="4" w:space="0" w:color="auto"/>
              <w:right w:val="single" w:sz="4" w:space="0" w:color="auto"/>
            </w:tcBorders>
            <w:shd w:val="clear" w:color="auto" w:fill="auto"/>
            <w:noWrap/>
            <w:vAlign w:val="center"/>
            <w:hideMark/>
          </w:tcPr>
          <w:p w14:paraId="3C6DEFD6" w14:textId="77777777" w:rsidR="006B166A" w:rsidRPr="00382869" w:rsidRDefault="006B166A" w:rsidP="00D22441">
            <w:pPr>
              <w:jc w:val="right"/>
              <w:rPr>
                <w:rFonts w:ascii="Arial Narrow" w:hAnsi="Arial Narrow" w:cs="Arial"/>
                <w:spacing w:val="0"/>
                <w:sz w:val="16"/>
                <w:szCs w:val="16"/>
                <w:lang w:val="es-MX" w:eastAsia="es-MX"/>
              </w:rPr>
            </w:pPr>
            <w:r w:rsidRPr="00382869">
              <w:rPr>
                <w:rFonts w:ascii="Arial Narrow" w:hAnsi="Arial Narrow" w:cs="Arial"/>
                <w:spacing w:val="0"/>
                <w:sz w:val="16"/>
                <w:szCs w:val="16"/>
                <w:lang w:val="es-MX" w:eastAsia="es-MX"/>
              </w:rPr>
              <w:t>$ 3.852.563</w:t>
            </w:r>
          </w:p>
        </w:tc>
        <w:tc>
          <w:tcPr>
            <w:tcW w:w="993" w:type="dxa"/>
            <w:tcBorders>
              <w:top w:val="nil"/>
              <w:left w:val="nil"/>
              <w:bottom w:val="single" w:sz="4" w:space="0" w:color="auto"/>
              <w:right w:val="single" w:sz="4" w:space="0" w:color="auto"/>
            </w:tcBorders>
            <w:shd w:val="clear" w:color="auto" w:fill="auto"/>
            <w:noWrap/>
            <w:vAlign w:val="center"/>
            <w:hideMark/>
          </w:tcPr>
          <w:p w14:paraId="6096AF4B" w14:textId="77777777" w:rsidR="006B166A" w:rsidRPr="00382869" w:rsidRDefault="006B166A" w:rsidP="00D22441">
            <w:pPr>
              <w:jc w:val="right"/>
              <w:rPr>
                <w:rFonts w:ascii="Arial Narrow" w:hAnsi="Arial Narrow" w:cs="Arial"/>
                <w:spacing w:val="0"/>
                <w:sz w:val="16"/>
                <w:szCs w:val="16"/>
                <w:lang w:val="es-MX" w:eastAsia="es-MX"/>
              </w:rPr>
            </w:pPr>
            <w:r w:rsidRPr="00382869">
              <w:rPr>
                <w:rFonts w:ascii="Arial Narrow" w:hAnsi="Arial Narrow" w:cs="Arial"/>
                <w:spacing w:val="0"/>
                <w:sz w:val="16"/>
                <w:szCs w:val="16"/>
                <w:lang w:val="es-MX" w:eastAsia="es-MX"/>
              </w:rPr>
              <w:t>$ 24.376.563</w:t>
            </w:r>
          </w:p>
        </w:tc>
        <w:tc>
          <w:tcPr>
            <w:tcW w:w="1010" w:type="dxa"/>
            <w:tcBorders>
              <w:top w:val="nil"/>
              <w:left w:val="nil"/>
              <w:bottom w:val="single" w:sz="4" w:space="0" w:color="auto"/>
              <w:right w:val="single" w:sz="4" w:space="0" w:color="auto"/>
            </w:tcBorders>
            <w:shd w:val="clear" w:color="auto" w:fill="auto"/>
            <w:noWrap/>
            <w:vAlign w:val="center"/>
            <w:hideMark/>
          </w:tcPr>
          <w:p w14:paraId="0FCFC630" w14:textId="77777777" w:rsidR="006B166A" w:rsidRPr="00382869" w:rsidRDefault="006B166A" w:rsidP="00D22441">
            <w:pPr>
              <w:jc w:val="right"/>
              <w:rPr>
                <w:rFonts w:ascii="Arial Narrow" w:hAnsi="Arial Narrow" w:cs="Arial"/>
                <w:spacing w:val="0"/>
                <w:sz w:val="16"/>
                <w:szCs w:val="16"/>
                <w:lang w:val="es-MX" w:eastAsia="es-MX"/>
              </w:rPr>
            </w:pPr>
            <w:r w:rsidRPr="00382869">
              <w:rPr>
                <w:rFonts w:ascii="Arial Narrow" w:hAnsi="Arial Narrow" w:cs="Arial"/>
                <w:spacing w:val="0"/>
                <w:sz w:val="16"/>
                <w:szCs w:val="16"/>
                <w:lang w:val="es-MX" w:eastAsia="es-MX"/>
              </w:rPr>
              <w:t>$ 243.766</w:t>
            </w:r>
          </w:p>
        </w:tc>
        <w:tc>
          <w:tcPr>
            <w:tcW w:w="1418" w:type="dxa"/>
            <w:tcBorders>
              <w:top w:val="nil"/>
              <w:left w:val="nil"/>
              <w:bottom w:val="single" w:sz="4" w:space="0" w:color="auto"/>
              <w:right w:val="single" w:sz="4" w:space="0" w:color="auto"/>
            </w:tcBorders>
            <w:shd w:val="clear" w:color="auto" w:fill="auto"/>
            <w:vAlign w:val="center"/>
            <w:hideMark/>
          </w:tcPr>
          <w:p w14:paraId="30F2CF2B" w14:textId="77777777" w:rsidR="006B166A" w:rsidRPr="00382869" w:rsidRDefault="006B166A" w:rsidP="00D22441">
            <w:pPr>
              <w:jc w:val="left"/>
              <w:rPr>
                <w:rFonts w:ascii="Arial Narrow" w:hAnsi="Arial Narrow" w:cs="Arial"/>
                <w:spacing w:val="0"/>
                <w:sz w:val="16"/>
                <w:szCs w:val="16"/>
                <w:lang w:val="es-MX" w:eastAsia="es-MX"/>
              </w:rPr>
            </w:pPr>
            <w:r w:rsidRPr="00382869">
              <w:rPr>
                <w:rFonts w:ascii="Arial Narrow" w:hAnsi="Arial Narrow" w:cs="Arial"/>
                <w:spacing w:val="0"/>
                <w:sz w:val="16"/>
                <w:szCs w:val="16"/>
                <w:lang w:val="es-MX" w:eastAsia="es-MX"/>
              </w:rPr>
              <w:t>ENERGIA ELECTRICA</w:t>
            </w:r>
          </w:p>
        </w:tc>
      </w:tr>
      <w:tr w:rsidR="006B166A" w:rsidRPr="00382869" w14:paraId="0DE63E08" w14:textId="77777777" w:rsidTr="00F44E07">
        <w:trPr>
          <w:trHeight w:val="452"/>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6F083A11" w14:textId="77777777" w:rsidR="006B166A" w:rsidRPr="00382869" w:rsidRDefault="006B166A" w:rsidP="00D22441">
            <w:pPr>
              <w:jc w:val="right"/>
              <w:rPr>
                <w:rFonts w:ascii="Arial Narrow" w:hAnsi="Arial Narrow" w:cs="Arial"/>
                <w:spacing w:val="0"/>
                <w:sz w:val="16"/>
                <w:szCs w:val="16"/>
                <w:lang w:val="es-MX" w:eastAsia="es-MX"/>
              </w:rPr>
            </w:pPr>
            <w:r w:rsidRPr="00382869">
              <w:rPr>
                <w:rFonts w:ascii="Arial Narrow" w:hAnsi="Arial Narrow" w:cs="Arial"/>
                <w:spacing w:val="0"/>
                <w:sz w:val="16"/>
                <w:szCs w:val="16"/>
                <w:lang w:val="es-MX" w:eastAsia="es-MX"/>
              </w:rPr>
              <w:t>14</w:t>
            </w:r>
          </w:p>
        </w:tc>
        <w:tc>
          <w:tcPr>
            <w:tcW w:w="578" w:type="dxa"/>
            <w:tcBorders>
              <w:top w:val="nil"/>
              <w:left w:val="nil"/>
              <w:bottom w:val="single" w:sz="4" w:space="0" w:color="auto"/>
              <w:right w:val="single" w:sz="4" w:space="0" w:color="auto"/>
            </w:tcBorders>
            <w:shd w:val="clear" w:color="auto" w:fill="auto"/>
            <w:noWrap/>
            <w:vAlign w:val="center"/>
            <w:hideMark/>
          </w:tcPr>
          <w:p w14:paraId="29A8801C" w14:textId="77777777" w:rsidR="006B166A" w:rsidRPr="00382869" w:rsidRDefault="006B166A" w:rsidP="00D22441">
            <w:pPr>
              <w:jc w:val="right"/>
              <w:rPr>
                <w:rFonts w:ascii="Arial Narrow" w:hAnsi="Arial Narrow" w:cs="Arial"/>
                <w:spacing w:val="0"/>
                <w:sz w:val="16"/>
                <w:szCs w:val="16"/>
                <w:lang w:val="es-MX" w:eastAsia="es-MX"/>
              </w:rPr>
            </w:pPr>
            <w:r w:rsidRPr="00382869">
              <w:rPr>
                <w:rFonts w:ascii="Arial Narrow" w:hAnsi="Arial Narrow" w:cs="Arial"/>
                <w:spacing w:val="0"/>
                <w:sz w:val="16"/>
                <w:szCs w:val="16"/>
                <w:lang w:val="es-MX" w:eastAsia="es-MX"/>
              </w:rPr>
              <w:t>25688</w:t>
            </w:r>
          </w:p>
        </w:tc>
        <w:tc>
          <w:tcPr>
            <w:tcW w:w="800" w:type="dxa"/>
            <w:tcBorders>
              <w:top w:val="nil"/>
              <w:left w:val="nil"/>
              <w:bottom w:val="single" w:sz="4" w:space="0" w:color="auto"/>
              <w:right w:val="single" w:sz="4" w:space="0" w:color="auto"/>
            </w:tcBorders>
            <w:shd w:val="clear" w:color="auto" w:fill="auto"/>
            <w:noWrap/>
            <w:vAlign w:val="center"/>
            <w:hideMark/>
          </w:tcPr>
          <w:p w14:paraId="4047753C" w14:textId="77777777" w:rsidR="006B166A" w:rsidRPr="00382869" w:rsidRDefault="006B166A" w:rsidP="00D22441">
            <w:pPr>
              <w:jc w:val="right"/>
              <w:rPr>
                <w:rFonts w:ascii="Arial Narrow" w:hAnsi="Arial Narrow" w:cs="Arial"/>
                <w:spacing w:val="0"/>
                <w:sz w:val="16"/>
                <w:szCs w:val="16"/>
                <w:lang w:val="es-MX" w:eastAsia="es-MX"/>
              </w:rPr>
            </w:pPr>
            <w:r w:rsidRPr="00382869">
              <w:rPr>
                <w:rFonts w:ascii="Arial Narrow" w:hAnsi="Arial Narrow" w:cs="Arial"/>
                <w:spacing w:val="0"/>
                <w:sz w:val="16"/>
                <w:szCs w:val="16"/>
                <w:lang w:val="es-MX" w:eastAsia="es-MX"/>
              </w:rPr>
              <w:t>900319306</w:t>
            </w:r>
          </w:p>
        </w:tc>
        <w:tc>
          <w:tcPr>
            <w:tcW w:w="2586" w:type="dxa"/>
            <w:tcBorders>
              <w:top w:val="nil"/>
              <w:left w:val="nil"/>
              <w:bottom w:val="single" w:sz="4" w:space="0" w:color="auto"/>
              <w:right w:val="single" w:sz="4" w:space="0" w:color="auto"/>
            </w:tcBorders>
            <w:shd w:val="clear" w:color="auto" w:fill="auto"/>
            <w:vAlign w:val="center"/>
            <w:hideMark/>
          </w:tcPr>
          <w:p w14:paraId="10694814" w14:textId="3C2E0E02" w:rsidR="006B166A" w:rsidRPr="00382869" w:rsidRDefault="006B166A" w:rsidP="00D22441">
            <w:pPr>
              <w:jc w:val="left"/>
              <w:rPr>
                <w:rFonts w:ascii="Arial Narrow" w:hAnsi="Arial Narrow" w:cs="Arial"/>
                <w:spacing w:val="0"/>
                <w:sz w:val="16"/>
                <w:szCs w:val="16"/>
                <w:lang w:val="es-MX" w:eastAsia="es-MX"/>
              </w:rPr>
            </w:pPr>
            <w:r w:rsidRPr="00382869">
              <w:rPr>
                <w:rFonts w:ascii="Arial Narrow" w:hAnsi="Arial Narrow" w:cs="Arial"/>
                <w:spacing w:val="0"/>
                <w:sz w:val="16"/>
                <w:szCs w:val="16"/>
                <w:lang w:val="es-MX" w:eastAsia="es-MX"/>
              </w:rPr>
              <w:t>PETROLEUM BLENDING INTERNATIONAL S.A.S. EMPRESA DE SERVICIOS PUBLICOS E.S.P</w:t>
            </w:r>
            <w:r w:rsidR="00BF02C7" w:rsidRPr="00382869">
              <w:rPr>
                <w:rFonts w:ascii="Arial Narrow" w:hAnsi="Arial Narrow" w:cs="Arial"/>
                <w:spacing w:val="0"/>
                <w:sz w:val="16"/>
                <w:szCs w:val="16"/>
                <w:lang w:val="es-MX" w:eastAsia="es-MX"/>
              </w:rPr>
              <w:t>.</w:t>
            </w:r>
          </w:p>
        </w:tc>
        <w:tc>
          <w:tcPr>
            <w:tcW w:w="1614" w:type="dxa"/>
            <w:tcBorders>
              <w:top w:val="nil"/>
              <w:left w:val="nil"/>
              <w:bottom w:val="single" w:sz="4" w:space="0" w:color="auto"/>
              <w:right w:val="single" w:sz="4" w:space="0" w:color="auto"/>
            </w:tcBorders>
            <w:shd w:val="clear" w:color="auto" w:fill="auto"/>
            <w:noWrap/>
            <w:vAlign w:val="center"/>
            <w:hideMark/>
          </w:tcPr>
          <w:p w14:paraId="31FEF378" w14:textId="77777777" w:rsidR="006B166A" w:rsidRPr="00382869" w:rsidRDefault="006B166A" w:rsidP="00D22441">
            <w:pPr>
              <w:jc w:val="right"/>
              <w:rPr>
                <w:rFonts w:ascii="Arial Narrow" w:hAnsi="Arial Narrow" w:cs="Arial"/>
                <w:spacing w:val="0"/>
                <w:sz w:val="16"/>
                <w:szCs w:val="16"/>
                <w:lang w:val="es-MX" w:eastAsia="es-MX"/>
              </w:rPr>
            </w:pPr>
            <w:r w:rsidRPr="00382869">
              <w:rPr>
                <w:rFonts w:ascii="Arial Narrow" w:hAnsi="Arial Narrow" w:cs="Arial"/>
                <w:spacing w:val="0"/>
                <w:sz w:val="16"/>
                <w:szCs w:val="16"/>
                <w:lang w:val="es-MX" w:eastAsia="es-MX"/>
              </w:rPr>
              <w:t>$ 4.091.000</w:t>
            </w:r>
          </w:p>
        </w:tc>
        <w:tc>
          <w:tcPr>
            <w:tcW w:w="1134" w:type="dxa"/>
            <w:tcBorders>
              <w:top w:val="nil"/>
              <w:left w:val="nil"/>
              <w:bottom w:val="single" w:sz="4" w:space="0" w:color="auto"/>
              <w:right w:val="single" w:sz="4" w:space="0" w:color="auto"/>
            </w:tcBorders>
            <w:shd w:val="clear" w:color="auto" w:fill="auto"/>
            <w:noWrap/>
            <w:vAlign w:val="center"/>
            <w:hideMark/>
          </w:tcPr>
          <w:p w14:paraId="1CCF1205" w14:textId="77777777" w:rsidR="006B166A" w:rsidRPr="00382869" w:rsidRDefault="006B166A" w:rsidP="00D22441">
            <w:pPr>
              <w:jc w:val="right"/>
              <w:rPr>
                <w:rFonts w:ascii="Arial Narrow" w:hAnsi="Arial Narrow" w:cs="Arial"/>
                <w:spacing w:val="0"/>
                <w:sz w:val="16"/>
                <w:szCs w:val="16"/>
                <w:lang w:val="es-MX" w:eastAsia="es-MX"/>
              </w:rPr>
            </w:pPr>
            <w:r w:rsidRPr="00382869">
              <w:rPr>
                <w:rFonts w:ascii="Arial Narrow" w:hAnsi="Arial Narrow" w:cs="Arial"/>
                <w:spacing w:val="0"/>
                <w:sz w:val="16"/>
                <w:szCs w:val="16"/>
                <w:lang w:val="es-MX" w:eastAsia="es-MX"/>
              </w:rPr>
              <w:t>$ 28.678.107</w:t>
            </w:r>
          </w:p>
        </w:tc>
        <w:tc>
          <w:tcPr>
            <w:tcW w:w="993" w:type="dxa"/>
            <w:tcBorders>
              <w:top w:val="nil"/>
              <w:left w:val="nil"/>
              <w:bottom w:val="single" w:sz="4" w:space="0" w:color="auto"/>
              <w:right w:val="single" w:sz="4" w:space="0" w:color="auto"/>
            </w:tcBorders>
            <w:shd w:val="clear" w:color="auto" w:fill="auto"/>
            <w:noWrap/>
            <w:vAlign w:val="center"/>
            <w:hideMark/>
          </w:tcPr>
          <w:p w14:paraId="4EF311F9" w14:textId="77777777" w:rsidR="006B166A" w:rsidRPr="00382869" w:rsidRDefault="006B166A" w:rsidP="00D22441">
            <w:pPr>
              <w:jc w:val="right"/>
              <w:rPr>
                <w:rFonts w:ascii="Arial Narrow" w:hAnsi="Arial Narrow" w:cs="Arial"/>
                <w:spacing w:val="0"/>
                <w:sz w:val="16"/>
                <w:szCs w:val="16"/>
                <w:lang w:val="es-MX" w:eastAsia="es-MX"/>
              </w:rPr>
            </w:pPr>
            <w:r w:rsidRPr="00382869">
              <w:rPr>
                <w:rFonts w:ascii="Arial Narrow" w:hAnsi="Arial Narrow" w:cs="Arial"/>
                <w:spacing w:val="0"/>
                <w:sz w:val="16"/>
                <w:szCs w:val="16"/>
                <w:lang w:val="es-MX" w:eastAsia="es-MX"/>
              </w:rPr>
              <w:t>$ 32.769.107</w:t>
            </w:r>
          </w:p>
        </w:tc>
        <w:tc>
          <w:tcPr>
            <w:tcW w:w="1010" w:type="dxa"/>
            <w:tcBorders>
              <w:top w:val="nil"/>
              <w:left w:val="nil"/>
              <w:bottom w:val="single" w:sz="4" w:space="0" w:color="auto"/>
              <w:right w:val="single" w:sz="4" w:space="0" w:color="auto"/>
            </w:tcBorders>
            <w:shd w:val="clear" w:color="auto" w:fill="auto"/>
            <w:noWrap/>
            <w:vAlign w:val="center"/>
            <w:hideMark/>
          </w:tcPr>
          <w:p w14:paraId="5E055439" w14:textId="77777777" w:rsidR="006B166A" w:rsidRPr="00382869" w:rsidRDefault="006B166A" w:rsidP="00D22441">
            <w:pPr>
              <w:jc w:val="right"/>
              <w:rPr>
                <w:rFonts w:ascii="Arial Narrow" w:hAnsi="Arial Narrow" w:cs="Arial"/>
                <w:spacing w:val="0"/>
                <w:sz w:val="16"/>
                <w:szCs w:val="16"/>
                <w:lang w:val="es-MX" w:eastAsia="es-MX"/>
              </w:rPr>
            </w:pPr>
            <w:r w:rsidRPr="00382869">
              <w:rPr>
                <w:rFonts w:ascii="Arial Narrow" w:hAnsi="Arial Narrow" w:cs="Arial"/>
                <w:spacing w:val="0"/>
                <w:sz w:val="16"/>
                <w:szCs w:val="16"/>
                <w:lang w:val="es-MX" w:eastAsia="es-MX"/>
              </w:rPr>
              <w:t>$ 327.691</w:t>
            </w:r>
          </w:p>
        </w:tc>
        <w:tc>
          <w:tcPr>
            <w:tcW w:w="1418" w:type="dxa"/>
            <w:tcBorders>
              <w:top w:val="nil"/>
              <w:left w:val="nil"/>
              <w:bottom w:val="single" w:sz="4" w:space="0" w:color="auto"/>
              <w:right w:val="single" w:sz="4" w:space="0" w:color="auto"/>
            </w:tcBorders>
            <w:shd w:val="clear" w:color="auto" w:fill="auto"/>
            <w:vAlign w:val="center"/>
            <w:hideMark/>
          </w:tcPr>
          <w:p w14:paraId="0D7CF596" w14:textId="77777777" w:rsidR="006B166A" w:rsidRPr="00382869" w:rsidRDefault="006B166A" w:rsidP="00D22441">
            <w:pPr>
              <w:jc w:val="left"/>
              <w:rPr>
                <w:rFonts w:ascii="Arial Narrow" w:hAnsi="Arial Narrow" w:cs="Arial"/>
                <w:spacing w:val="0"/>
                <w:sz w:val="16"/>
                <w:szCs w:val="16"/>
                <w:lang w:val="es-MX" w:eastAsia="es-MX"/>
              </w:rPr>
            </w:pPr>
            <w:r w:rsidRPr="00382869">
              <w:rPr>
                <w:rFonts w:ascii="Arial Narrow" w:hAnsi="Arial Narrow" w:cs="Arial"/>
                <w:spacing w:val="0"/>
                <w:sz w:val="16"/>
                <w:szCs w:val="16"/>
                <w:lang w:val="es-MX" w:eastAsia="es-MX"/>
              </w:rPr>
              <w:t>GAS LICUADO DE PETROLEO - GAS POR REDES</w:t>
            </w:r>
          </w:p>
        </w:tc>
      </w:tr>
      <w:tr w:rsidR="006B166A" w:rsidRPr="00382869" w14:paraId="299F554C" w14:textId="77777777" w:rsidTr="00F44E07">
        <w:trPr>
          <w:trHeight w:val="390"/>
        </w:trPr>
        <w:tc>
          <w:tcPr>
            <w:tcW w:w="4284" w:type="dxa"/>
            <w:gridSpan w:val="4"/>
            <w:tcBorders>
              <w:top w:val="nil"/>
              <w:left w:val="single" w:sz="4" w:space="0" w:color="auto"/>
              <w:bottom w:val="single" w:sz="4" w:space="0" w:color="auto"/>
              <w:right w:val="single" w:sz="4" w:space="0" w:color="auto"/>
            </w:tcBorders>
            <w:shd w:val="clear" w:color="000000" w:fill="D6DCE4"/>
            <w:noWrap/>
            <w:vAlign w:val="center"/>
            <w:hideMark/>
          </w:tcPr>
          <w:p w14:paraId="54E677C5" w14:textId="77777777" w:rsidR="006B166A" w:rsidRPr="00382869" w:rsidRDefault="006B166A" w:rsidP="00D22441">
            <w:pPr>
              <w:jc w:val="center"/>
              <w:rPr>
                <w:rFonts w:ascii="Arial Narrow" w:hAnsi="Arial Narrow" w:cs="Arial"/>
                <w:b/>
                <w:bCs/>
                <w:spacing w:val="0"/>
                <w:sz w:val="16"/>
                <w:szCs w:val="16"/>
                <w:lang w:val="es-MX" w:eastAsia="es-MX"/>
              </w:rPr>
            </w:pPr>
            <w:r w:rsidRPr="00382869">
              <w:rPr>
                <w:rFonts w:ascii="Arial Narrow" w:hAnsi="Arial Narrow" w:cs="Arial"/>
                <w:b/>
                <w:bCs/>
                <w:spacing w:val="0"/>
                <w:sz w:val="16"/>
                <w:szCs w:val="16"/>
                <w:lang w:val="es-MX" w:eastAsia="es-MX"/>
              </w:rPr>
              <w:t>TOTALES</w:t>
            </w:r>
          </w:p>
        </w:tc>
        <w:tc>
          <w:tcPr>
            <w:tcW w:w="1614" w:type="dxa"/>
            <w:tcBorders>
              <w:top w:val="nil"/>
              <w:left w:val="nil"/>
              <w:bottom w:val="single" w:sz="4" w:space="0" w:color="auto"/>
              <w:right w:val="single" w:sz="4" w:space="0" w:color="auto"/>
            </w:tcBorders>
            <w:shd w:val="clear" w:color="000000" w:fill="D6DCE4"/>
            <w:noWrap/>
            <w:vAlign w:val="center"/>
            <w:hideMark/>
          </w:tcPr>
          <w:p w14:paraId="288DA99E" w14:textId="77777777" w:rsidR="006B166A" w:rsidRPr="00382869" w:rsidRDefault="006B166A" w:rsidP="00D22441">
            <w:pPr>
              <w:jc w:val="right"/>
              <w:rPr>
                <w:rFonts w:ascii="Arial Narrow" w:hAnsi="Arial Narrow" w:cs="Arial"/>
                <w:b/>
                <w:bCs/>
                <w:spacing w:val="0"/>
                <w:sz w:val="16"/>
                <w:szCs w:val="16"/>
                <w:lang w:val="es-MX" w:eastAsia="es-MX"/>
              </w:rPr>
            </w:pPr>
            <w:r w:rsidRPr="00382869">
              <w:rPr>
                <w:rFonts w:ascii="Arial Narrow" w:hAnsi="Arial Narrow" w:cs="Arial"/>
                <w:b/>
                <w:bCs/>
                <w:spacing w:val="0"/>
                <w:sz w:val="16"/>
                <w:szCs w:val="16"/>
                <w:lang w:val="es-MX" w:eastAsia="es-MX"/>
              </w:rPr>
              <w:t>$ 101.597.526</w:t>
            </w:r>
          </w:p>
        </w:tc>
        <w:tc>
          <w:tcPr>
            <w:tcW w:w="1134" w:type="dxa"/>
            <w:tcBorders>
              <w:top w:val="nil"/>
              <w:left w:val="nil"/>
              <w:bottom w:val="single" w:sz="4" w:space="0" w:color="auto"/>
              <w:right w:val="single" w:sz="4" w:space="0" w:color="auto"/>
            </w:tcBorders>
            <w:shd w:val="clear" w:color="000000" w:fill="D6DCE4"/>
            <w:noWrap/>
            <w:vAlign w:val="center"/>
            <w:hideMark/>
          </w:tcPr>
          <w:p w14:paraId="5DB0DF33" w14:textId="77777777" w:rsidR="006B166A" w:rsidRPr="00382869" w:rsidRDefault="006B166A" w:rsidP="00D22441">
            <w:pPr>
              <w:jc w:val="right"/>
              <w:rPr>
                <w:rFonts w:ascii="Arial Narrow" w:hAnsi="Arial Narrow" w:cs="Arial"/>
                <w:b/>
                <w:bCs/>
                <w:spacing w:val="0"/>
                <w:sz w:val="16"/>
                <w:szCs w:val="16"/>
                <w:lang w:val="es-MX" w:eastAsia="es-MX"/>
              </w:rPr>
            </w:pPr>
            <w:r w:rsidRPr="00382869">
              <w:rPr>
                <w:rFonts w:ascii="Arial Narrow" w:hAnsi="Arial Narrow" w:cs="Arial"/>
                <w:b/>
                <w:bCs/>
                <w:spacing w:val="0"/>
                <w:sz w:val="16"/>
                <w:szCs w:val="16"/>
                <w:lang w:val="es-MX" w:eastAsia="es-MX"/>
              </w:rPr>
              <w:t>$ 55.500.050</w:t>
            </w:r>
          </w:p>
        </w:tc>
        <w:tc>
          <w:tcPr>
            <w:tcW w:w="993" w:type="dxa"/>
            <w:tcBorders>
              <w:top w:val="nil"/>
              <w:left w:val="nil"/>
              <w:bottom w:val="single" w:sz="4" w:space="0" w:color="auto"/>
              <w:right w:val="single" w:sz="4" w:space="0" w:color="auto"/>
            </w:tcBorders>
            <w:shd w:val="clear" w:color="000000" w:fill="D6DCE4"/>
            <w:noWrap/>
            <w:vAlign w:val="center"/>
            <w:hideMark/>
          </w:tcPr>
          <w:p w14:paraId="656F8855" w14:textId="77777777" w:rsidR="006B166A" w:rsidRPr="00382869" w:rsidRDefault="006B166A" w:rsidP="00D22441">
            <w:pPr>
              <w:jc w:val="right"/>
              <w:rPr>
                <w:rFonts w:ascii="Arial Narrow" w:hAnsi="Arial Narrow" w:cs="Arial"/>
                <w:b/>
                <w:bCs/>
                <w:spacing w:val="0"/>
                <w:sz w:val="16"/>
                <w:szCs w:val="16"/>
                <w:lang w:val="es-MX" w:eastAsia="es-MX"/>
              </w:rPr>
            </w:pPr>
            <w:r w:rsidRPr="00382869">
              <w:rPr>
                <w:rFonts w:ascii="Arial Narrow" w:hAnsi="Arial Narrow" w:cs="Arial"/>
                <w:b/>
                <w:bCs/>
                <w:spacing w:val="0"/>
                <w:sz w:val="16"/>
                <w:szCs w:val="16"/>
                <w:lang w:val="es-MX" w:eastAsia="es-MX"/>
              </w:rPr>
              <w:t>$ 157.097.576</w:t>
            </w:r>
          </w:p>
        </w:tc>
        <w:tc>
          <w:tcPr>
            <w:tcW w:w="1010" w:type="dxa"/>
            <w:tcBorders>
              <w:top w:val="nil"/>
              <w:left w:val="nil"/>
              <w:bottom w:val="single" w:sz="4" w:space="0" w:color="auto"/>
              <w:right w:val="single" w:sz="4" w:space="0" w:color="auto"/>
            </w:tcBorders>
            <w:shd w:val="clear" w:color="000000" w:fill="D6DCE4"/>
            <w:noWrap/>
            <w:vAlign w:val="center"/>
            <w:hideMark/>
          </w:tcPr>
          <w:p w14:paraId="02CE18CC" w14:textId="77777777" w:rsidR="006B166A" w:rsidRPr="00382869" w:rsidRDefault="006B166A" w:rsidP="00D22441">
            <w:pPr>
              <w:jc w:val="right"/>
              <w:rPr>
                <w:rFonts w:ascii="Arial Narrow" w:hAnsi="Arial Narrow" w:cs="Arial"/>
                <w:b/>
                <w:bCs/>
                <w:spacing w:val="0"/>
                <w:sz w:val="16"/>
                <w:szCs w:val="16"/>
                <w:lang w:val="es-MX" w:eastAsia="es-MX"/>
              </w:rPr>
            </w:pPr>
            <w:r w:rsidRPr="00382869">
              <w:rPr>
                <w:rFonts w:ascii="Arial Narrow" w:hAnsi="Arial Narrow" w:cs="Arial"/>
                <w:b/>
                <w:bCs/>
                <w:spacing w:val="0"/>
                <w:sz w:val="16"/>
                <w:szCs w:val="16"/>
                <w:lang w:val="es-MX" w:eastAsia="es-MX"/>
              </w:rPr>
              <w:t>$ 1.570.976</w:t>
            </w:r>
          </w:p>
        </w:tc>
        <w:tc>
          <w:tcPr>
            <w:tcW w:w="1418" w:type="dxa"/>
            <w:tcBorders>
              <w:top w:val="nil"/>
              <w:left w:val="nil"/>
              <w:bottom w:val="nil"/>
              <w:right w:val="nil"/>
            </w:tcBorders>
            <w:shd w:val="clear" w:color="auto" w:fill="auto"/>
            <w:vAlign w:val="center"/>
            <w:hideMark/>
          </w:tcPr>
          <w:p w14:paraId="3799FD83" w14:textId="77777777" w:rsidR="006B166A" w:rsidRPr="00382869" w:rsidRDefault="006B166A" w:rsidP="00D22441">
            <w:pPr>
              <w:jc w:val="right"/>
              <w:rPr>
                <w:rFonts w:ascii="Arial Narrow" w:hAnsi="Arial Narrow" w:cs="Arial"/>
                <w:b/>
                <w:bCs/>
                <w:spacing w:val="0"/>
                <w:sz w:val="16"/>
                <w:szCs w:val="16"/>
                <w:lang w:val="es-MX" w:eastAsia="es-MX"/>
              </w:rPr>
            </w:pPr>
          </w:p>
        </w:tc>
      </w:tr>
    </w:tbl>
    <w:p w14:paraId="75BEE71F" w14:textId="77777777" w:rsidR="0099652E" w:rsidRPr="00025C20" w:rsidRDefault="0099652E" w:rsidP="00D22441">
      <w:pPr>
        <w:rPr>
          <w:rFonts w:cs="Arial"/>
          <w:sz w:val="22"/>
          <w:szCs w:val="22"/>
          <w:lang w:val="es-MX"/>
        </w:rPr>
      </w:pPr>
      <w:r w:rsidRPr="00025C20">
        <w:rPr>
          <w:rFonts w:cs="Arial"/>
          <w:sz w:val="22"/>
          <w:szCs w:val="22"/>
          <w:lang w:val="es-MX"/>
        </w:rPr>
        <w:t>El valor total de $1.570.976 será redistribuido entre los restantes regulados cuya contribución sea superior a la cuantía mínima, de manera proporcional con su participación de contribución al presupuesto total depurado a recaudar con la contribución especial 2023.</w:t>
      </w:r>
    </w:p>
    <w:p w14:paraId="37B597D8" w14:textId="77777777" w:rsidR="0099652E" w:rsidRPr="00FA0BE3" w:rsidRDefault="0099652E" w:rsidP="00D22441">
      <w:pPr>
        <w:rPr>
          <w:rFonts w:cs="Arial"/>
          <w:sz w:val="22"/>
          <w:szCs w:val="22"/>
          <w:lang w:val="es-MX"/>
        </w:rPr>
      </w:pPr>
    </w:p>
    <w:p w14:paraId="528E35BA" w14:textId="17150DFB" w:rsidR="008D2091" w:rsidRPr="00FA0BE3" w:rsidRDefault="006B0990" w:rsidP="00D22441">
      <w:pPr>
        <w:pStyle w:val="Subttulo"/>
        <w:numPr>
          <w:ilvl w:val="1"/>
          <w:numId w:val="37"/>
        </w:numPr>
        <w:spacing w:after="0"/>
        <w:ind w:left="357" w:hanging="357"/>
        <w:jc w:val="left"/>
        <w:rPr>
          <w:b/>
          <w:bCs/>
          <w:sz w:val="22"/>
          <w:szCs w:val="22"/>
        </w:rPr>
      </w:pPr>
      <w:bookmarkStart w:id="86" w:name="_Toc147154330"/>
      <w:r w:rsidRPr="00FA0BE3">
        <w:rPr>
          <w:b/>
          <w:bCs/>
          <w:sz w:val="22"/>
          <w:szCs w:val="22"/>
        </w:rPr>
        <w:t>EMPRESAS QUE REPORTARON EN EL SISTEMA SUI INFORMACION AL CIERRE DE DICIEMBRE 31 DE 20</w:t>
      </w:r>
      <w:r w:rsidR="00481EC4" w:rsidRPr="00FA0BE3">
        <w:rPr>
          <w:b/>
          <w:bCs/>
          <w:sz w:val="22"/>
          <w:szCs w:val="22"/>
        </w:rPr>
        <w:t>2</w:t>
      </w:r>
      <w:r w:rsidR="0099652E" w:rsidRPr="00FA0BE3">
        <w:rPr>
          <w:b/>
          <w:bCs/>
          <w:sz w:val="22"/>
          <w:szCs w:val="22"/>
        </w:rPr>
        <w:t>2</w:t>
      </w:r>
      <w:r w:rsidRPr="00FA0BE3">
        <w:rPr>
          <w:b/>
          <w:bCs/>
          <w:sz w:val="22"/>
          <w:szCs w:val="22"/>
        </w:rPr>
        <w:t xml:space="preserve"> Y </w:t>
      </w:r>
      <w:r w:rsidR="00321330" w:rsidRPr="00FA0BE3">
        <w:rPr>
          <w:b/>
          <w:bCs/>
          <w:sz w:val="22"/>
          <w:szCs w:val="22"/>
        </w:rPr>
        <w:t>AL CIERRE DE DICIEMBRE 31 DE 202</w:t>
      </w:r>
      <w:r w:rsidR="0099652E" w:rsidRPr="00FA0BE3">
        <w:rPr>
          <w:b/>
          <w:bCs/>
          <w:sz w:val="22"/>
          <w:szCs w:val="22"/>
        </w:rPr>
        <w:t>1</w:t>
      </w:r>
      <w:r w:rsidRPr="00FA0BE3">
        <w:rPr>
          <w:b/>
          <w:bCs/>
          <w:sz w:val="22"/>
          <w:szCs w:val="22"/>
        </w:rPr>
        <w:t>:</w:t>
      </w:r>
      <w:bookmarkEnd w:id="86"/>
    </w:p>
    <w:p w14:paraId="34B000C7" w14:textId="77777777" w:rsidR="008D2091" w:rsidRPr="00FA0BE3" w:rsidRDefault="008D2091" w:rsidP="00D22441">
      <w:pPr>
        <w:suppressAutoHyphens/>
        <w:rPr>
          <w:rFonts w:cs="Arial"/>
          <w:b/>
          <w:sz w:val="22"/>
          <w:szCs w:val="22"/>
        </w:rPr>
      </w:pPr>
    </w:p>
    <w:p w14:paraId="5F1AB4D2" w14:textId="650A6D7B" w:rsidR="008D2091" w:rsidRDefault="00070F3C" w:rsidP="00D22441">
      <w:pPr>
        <w:rPr>
          <w:rFonts w:cs="Arial"/>
          <w:sz w:val="22"/>
          <w:szCs w:val="22"/>
          <w:lang w:val="es-MX"/>
        </w:rPr>
      </w:pPr>
      <w:r w:rsidRPr="00FA0BE3">
        <w:rPr>
          <w:rFonts w:cs="Arial"/>
          <w:sz w:val="22"/>
          <w:szCs w:val="22"/>
          <w:lang w:val="es-MX"/>
        </w:rPr>
        <w:t>L</w:t>
      </w:r>
      <w:r w:rsidR="008D2091" w:rsidRPr="00FA0BE3">
        <w:rPr>
          <w:rFonts w:cs="Arial"/>
          <w:sz w:val="22"/>
          <w:szCs w:val="22"/>
          <w:lang w:val="es-MX"/>
        </w:rPr>
        <w:t xml:space="preserve">as siguientes </w:t>
      </w:r>
      <w:r w:rsidR="00246572" w:rsidRPr="00FA0BE3">
        <w:rPr>
          <w:rFonts w:cs="Arial"/>
          <w:sz w:val="22"/>
          <w:szCs w:val="22"/>
          <w:lang w:val="es-MX"/>
        </w:rPr>
        <w:t>2</w:t>
      </w:r>
      <w:r w:rsidR="009838E7" w:rsidRPr="00FA0BE3">
        <w:rPr>
          <w:rFonts w:cs="Arial"/>
          <w:sz w:val="22"/>
          <w:szCs w:val="22"/>
          <w:lang w:val="es-MX"/>
        </w:rPr>
        <w:t>69</w:t>
      </w:r>
      <w:r w:rsidR="00FF07E7" w:rsidRPr="00FA0BE3">
        <w:rPr>
          <w:rFonts w:cs="Arial"/>
          <w:sz w:val="22"/>
          <w:szCs w:val="22"/>
          <w:lang w:val="es-MX"/>
        </w:rPr>
        <w:t xml:space="preserve"> </w:t>
      </w:r>
      <w:r w:rsidRPr="00FA0BE3">
        <w:rPr>
          <w:rFonts w:cs="Arial"/>
          <w:sz w:val="22"/>
          <w:szCs w:val="22"/>
          <w:lang w:val="es-MX"/>
        </w:rPr>
        <w:t>empresas presentaron</w:t>
      </w:r>
      <w:r w:rsidR="00B0576A" w:rsidRPr="00FA0BE3">
        <w:rPr>
          <w:rFonts w:cs="Arial"/>
          <w:sz w:val="22"/>
          <w:szCs w:val="22"/>
          <w:lang w:val="es-MX"/>
        </w:rPr>
        <w:t xml:space="preserve"> </w:t>
      </w:r>
      <w:r w:rsidR="00B25AA6" w:rsidRPr="00FA0BE3">
        <w:rPr>
          <w:rFonts w:cs="Arial"/>
          <w:sz w:val="22"/>
          <w:szCs w:val="22"/>
          <w:lang w:val="es-MX"/>
        </w:rPr>
        <w:t>información financiera con corte a diciembre 31 de</w:t>
      </w:r>
      <w:r w:rsidR="00B0576A" w:rsidRPr="00FA0BE3">
        <w:rPr>
          <w:rFonts w:cs="Arial"/>
          <w:sz w:val="22"/>
          <w:szCs w:val="22"/>
          <w:lang w:val="es-MX"/>
        </w:rPr>
        <w:t xml:space="preserve"> 20</w:t>
      </w:r>
      <w:r w:rsidR="003E3895" w:rsidRPr="00FA0BE3">
        <w:rPr>
          <w:rFonts w:cs="Arial"/>
          <w:sz w:val="22"/>
          <w:szCs w:val="22"/>
          <w:lang w:val="es-MX"/>
        </w:rPr>
        <w:t>2</w:t>
      </w:r>
      <w:r w:rsidR="007B0FFB">
        <w:rPr>
          <w:rFonts w:cs="Arial"/>
          <w:sz w:val="22"/>
          <w:szCs w:val="22"/>
          <w:lang w:val="es-MX"/>
        </w:rPr>
        <w:t>1</w:t>
      </w:r>
      <w:r w:rsidR="002C09FE" w:rsidRPr="00FA0BE3">
        <w:rPr>
          <w:rFonts w:cs="Arial"/>
          <w:sz w:val="22"/>
          <w:szCs w:val="22"/>
          <w:lang w:val="es-MX"/>
        </w:rPr>
        <w:t xml:space="preserve"> y</w:t>
      </w:r>
      <w:r w:rsidR="00FA0BE3" w:rsidRPr="00FA0BE3">
        <w:rPr>
          <w:rFonts w:cs="Arial"/>
          <w:sz w:val="22"/>
          <w:szCs w:val="22"/>
          <w:lang w:val="es-MX"/>
        </w:rPr>
        <w:t xml:space="preserve"> </w:t>
      </w:r>
      <w:r w:rsidR="002C09FE" w:rsidRPr="00FA0BE3">
        <w:rPr>
          <w:rFonts w:cs="Arial"/>
          <w:sz w:val="22"/>
          <w:szCs w:val="22"/>
          <w:lang w:val="es-MX"/>
        </w:rPr>
        <w:t>20</w:t>
      </w:r>
      <w:r w:rsidR="003E3895" w:rsidRPr="00FA0BE3">
        <w:rPr>
          <w:rFonts w:cs="Arial"/>
          <w:sz w:val="22"/>
          <w:szCs w:val="22"/>
          <w:lang w:val="es-MX"/>
        </w:rPr>
        <w:t>2</w:t>
      </w:r>
      <w:r w:rsidR="00FA0BE3" w:rsidRPr="00FA0BE3">
        <w:rPr>
          <w:rFonts w:cs="Arial"/>
          <w:sz w:val="22"/>
          <w:szCs w:val="22"/>
          <w:lang w:val="es-MX"/>
        </w:rPr>
        <w:t>2</w:t>
      </w:r>
      <w:r w:rsidR="00B25AA6" w:rsidRPr="00FA0BE3">
        <w:rPr>
          <w:rFonts w:cs="Arial"/>
          <w:sz w:val="22"/>
          <w:szCs w:val="22"/>
          <w:lang w:val="es-MX"/>
        </w:rPr>
        <w:t>,</w:t>
      </w:r>
      <w:r w:rsidR="00FA0BE3" w:rsidRPr="00FA0BE3">
        <w:rPr>
          <w:rFonts w:cs="Arial"/>
          <w:sz w:val="22"/>
          <w:szCs w:val="22"/>
          <w:lang w:val="es-MX"/>
        </w:rPr>
        <w:t xml:space="preserve"> se detallan a continuación ordenados por su NIT </w:t>
      </w:r>
      <w:r w:rsidR="00B25AA6" w:rsidRPr="00FA0BE3">
        <w:rPr>
          <w:rFonts w:cs="Arial"/>
          <w:sz w:val="22"/>
          <w:szCs w:val="22"/>
          <w:lang w:val="es-MX"/>
        </w:rPr>
        <w:t>así:</w:t>
      </w:r>
    </w:p>
    <w:p w14:paraId="43F54A80" w14:textId="77777777" w:rsidR="002976FD" w:rsidRDefault="002976FD" w:rsidP="00D22441">
      <w:pPr>
        <w:rPr>
          <w:rFonts w:cs="Arial"/>
          <w:sz w:val="22"/>
          <w:szCs w:val="22"/>
          <w:lang w:val="es-MX"/>
        </w:rPr>
      </w:pPr>
    </w:p>
    <w:p w14:paraId="2739741F" w14:textId="30685FF1" w:rsidR="002976FD" w:rsidRPr="00B24EC3" w:rsidRDefault="002976FD" w:rsidP="002976FD">
      <w:pPr>
        <w:pStyle w:val="Descripcin"/>
        <w:rPr>
          <w:i w:val="0"/>
          <w:iCs w:val="0"/>
          <w:color w:val="auto"/>
        </w:rPr>
      </w:pPr>
      <w:bookmarkStart w:id="87" w:name="_Toc145486443"/>
      <w:r w:rsidRPr="002C4392">
        <w:rPr>
          <w:i w:val="0"/>
          <w:iCs w:val="0"/>
          <w:color w:val="auto"/>
        </w:rPr>
        <w:t xml:space="preserve">Tabla </w:t>
      </w:r>
      <w:r w:rsidRPr="002C4392">
        <w:rPr>
          <w:i w:val="0"/>
          <w:iCs w:val="0"/>
          <w:color w:val="auto"/>
        </w:rPr>
        <w:fldChar w:fldCharType="begin"/>
      </w:r>
      <w:r w:rsidRPr="002C4392">
        <w:rPr>
          <w:i w:val="0"/>
          <w:iCs w:val="0"/>
          <w:color w:val="auto"/>
        </w:rPr>
        <w:instrText xml:space="preserve"> SEQ Tabla \* ARABIC </w:instrText>
      </w:r>
      <w:r w:rsidRPr="002C4392">
        <w:rPr>
          <w:i w:val="0"/>
          <w:iCs w:val="0"/>
          <w:color w:val="auto"/>
        </w:rPr>
        <w:fldChar w:fldCharType="separate"/>
      </w:r>
      <w:r w:rsidR="00DD403A">
        <w:rPr>
          <w:i w:val="0"/>
          <w:iCs w:val="0"/>
          <w:noProof/>
          <w:color w:val="auto"/>
        </w:rPr>
        <w:t>17</w:t>
      </w:r>
      <w:r w:rsidRPr="002C4392">
        <w:rPr>
          <w:i w:val="0"/>
          <w:iCs w:val="0"/>
          <w:color w:val="auto"/>
        </w:rPr>
        <w:fldChar w:fldCharType="end"/>
      </w:r>
      <w:r w:rsidRPr="002C4392">
        <w:rPr>
          <w:i w:val="0"/>
          <w:iCs w:val="0"/>
          <w:color w:val="auto"/>
        </w:rPr>
        <w:t xml:space="preserve">. </w:t>
      </w:r>
      <w:r w:rsidR="00DD403A">
        <w:rPr>
          <w:i w:val="0"/>
          <w:iCs w:val="0"/>
          <w:color w:val="auto"/>
        </w:rPr>
        <w:t xml:space="preserve">Regulados </w:t>
      </w:r>
      <w:proofErr w:type="spellStart"/>
      <w:r w:rsidR="00DD403A">
        <w:rPr>
          <w:i w:val="0"/>
          <w:iCs w:val="0"/>
          <w:color w:val="auto"/>
        </w:rPr>
        <w:t>r</w:t>
      </w:r>
      <w:r w:rsidR="004717CC">
        <w:rPr>
          <w:i w:val="0"/>
          <w:iCs w:val="0"/>
          <w:color w:val="auto"/>
        </w:rPr>
        <w:t>eportantes</w:t>
      </w:r>
      <w:proofErr w:type="spellEnd"/>
      <w:r w:rsidR="004717CC">
        <w:rPr>
          <w:i w:val="0"/>
          <w:iCs w:val="0"/>
          <w:color w:val="auto"/>
        </w:rPr>
        <w:t xml:space="preserve"> </w:t>
      </w:r>
      <w:r w:rsidR="00DD403A">
        <w:rPr>
          <w:i w:val="0"/>
          <w:iCs w:val="0"/>
          <w:color w:val="auto"/>
        </w:rPr>
        <w:t>al SUI información financiera 2021 y 2022</w:t>
      </w:r>
      <w:r>
        <w:rPr>
          <w:i w:val="0"/>
          <w:iCs w:val="0"/>
          <w:color w:val="auto"/>
        </w:rPr>
        <w:t>.</w:t>
      </w:r>
      <w:bookmarkEnd w:id="87"/>
    </w:p>
    <w:tbl>
      <w:tblPr>
        <w:tblW w:w="9860" w:type="dxa"/>
        <w:tblCellMar>
          <w:left w:w="70" w:type="dxa"/>
          <w:right w:w="70" w:type="dxa"/>
        </w:tblCellMar>
        <w:tblLook w:val="04A0" w:firstRow="1" w:lastRow="0" w:firstColumn="1" w:lastColumn="0" w:noHBand="0" w:noVBand="1"/>
      </w:tblPr>
      <w:tblGrid>
        <w:gridCol w:w="454"/>
        <w:gridCol w:w="505"/>
        <w:gridCol w:w="797"/>
        <w:gridCol w:w="4844"/>
        <w:gridCol w:w="1600"/>
        <w:gridCol w:w="1660"/>
      </w:tblGrid>
      <w:tr w:rsidR="009838E7" w:rsidRPr="009838E7" w14:paraId="5439D9CB" w14:textId="77777777" w:rsidTr="00092F91">
        <w:trPr>
          <w:trHeight w:val="510"/>
          <w:tblHeader/>
        </w:trPr>
        <w:tc>
          <w:tcPr>
            <w:tcW w:w="45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8828F89" w14:textId="77777777" w:rsidR="009838E7" w:rsidRPr="009838E7" w:rsidRDefault="009838E7" w:rsidP="00D22441">
            <w:pPr>
              <w:jc w:val="center"/>
              <w:rPr>
                <w:rFonts w:ascii="Arial Narrow" w:hAnsi="Arial Narrow" w:cs="Calibri"/>
                <w:b/>
                <w:bCs/>
                <w:color w:val="000000"/>
                <w:spacing w:val="0"/>
                <w:sz w:val="16"/>
                <w:szCs w:val="16"/>
                <w:lang w:eastAsia="es-CO"/>
              </w:rPr>
            </w:pPr>
            <w:r w:rsidRPr="009838E7">
              <w:rPr>
                <w:rFonts w:ascii="Arial Narrow" w:hAnsi="Arial Narrow" w:cs="Calibri"/>
                <w:b/>
                <w:bCs/>
                <w:color w:val="000000"/>
                <w:spacing w:val="0"/>
                <w:sz w:val="16"/>
                <w:szCs w:val="16"/>
                <w:lang w:eastAsia="es-CO"/>
              </w:rPr>
              <w:t>ITEM</w:t>
            </w:r>
          </w:p>
        </w:tc>
        <w:tc>
          <w:tcPr>
            <w:tcW w:w="50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3C94698" w14:textId="77777777" w:rsidR="009838E7" w:rsidRPr="009838E7" w:rsidRDefault="009838E7" w:rsidP="00D22441">
            <w:pPr>
              <w:jc w:val="center"/>
              <w:rPr>
                <w:rFonts w:ascii="Arial Narrow" w:hAnsi="Arial Narrow" w:cs="Calibri"/>
                <w:b/>
                <w:bCs/>
                <w:color w:val="000000"/>
                <w:spacing w:val="0"/>
                <w:sz w:val="16"/>
                <w:szCs w:val="16"/>
                <w:lang w:eastAsia="es-CO"/>
              </w:rPr>
            </w:pPr>
            <w:r w:rsidRPr="009838E7">
              <w:rPr>
                <w:rFonts w:ascii="Arial Narrow" w:hAnsi="Arial Narrow" w:cs="Calibri"/>
                <w:b/>
                <w:bCs/>
                <w:color w:val="000000"/>
                <w:spacing w:val="0"/>
                <w:sz w:val="16"/>
                <w:szCs w:val="16"/>
                <w:lang w:eastAsia="es-CO"/>
              </w:rPr>
              <w:t>ID</w:t>
            </w:r>
          </w:p>
        </w:tc>
        <w:tc>
          <w:tcPr>
            <w:tcW w:w="797"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BA62E87" w14:textId="77777777" w:rsidR="009838E7" w:rsidRPr="009838E7" w:rsidRDefault="009838E7" w:rsidP="00D22441">
            <w:pPr>
              <w:jc w:val="center"/>
              <w:rPr>
                <w:rFonts w:ascii="Arial Narrow" w:hAnsi="Arial Narrow" w:cs="Calibri"/>
                <w:b/>
                <w:bCs/>
                <w:color w:val="000000"/>
                <w:spacing w:val="0"/>
                <w:sz w:val="16"/>
                <w:szCs w:val="16"/>
                <w:lang w:eastAsia="es-CO"/>
              </w:rPr>
            </w:pPr>
            <w:r w:rsidRPr="009838E7">
              <w:rPr>
                <w:rFonts w:ascii="Arial Narrow" w:hAnsi="Arial Narrow" w:cs="Calibri"/>
                <w:b/>
                <w:bCs/>
                <w:color w:val="000000"/>
                <w:spacing w:val="0"/>
                <w:sz w:val="16"/>
                <w:szCs w:val="16"/>
                <w:lang w:eastAsia="es-CO"/>
              </w:rPr>
              <w:t>NIT</w:t>
            </w:r>
          </w:p>
        </w:tc>
        <w:tc>
          <w:tcPr>
            <w:tcW w:w="484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153CDCD" w14:textId="77777777" w:rsidR="009838E7" w:rsidRPr="009838E7" w:rsidRDefault="009838E7" w:rsidP="00D22441">
            <w:pPr>
              <w:jc w:val="center"/>
              <w:rPr>
                <w:rFonts w:ascii="Arial Narrow" w:hAnsi="Arial Narrow" w:cs="Calibri"/>
                <w:b/>
                <w:bCs/>
                <w:color w:val="000000"/>
                <w:spacing w:val="0"/>
                <w:sz w:val="16"/>
                <w:szCs w:val="16"/>
                <w:lang w:eastAsia="es-CO"/>
              </w:rPr>
            </w:pPr>
            <w:r w:rsidRPr="009838E7">
              <w:rPr>
                <w:rFonts w:ascii="Arial Narrow" w:hAnsi="Arial Narrow" w:cs="Calibri"/>
                <w:b/>
                <w:bCs/>
                <w:color w:val="000000"/>
                <w:spacing w:val="0"/>
                <w:sz w:val="16"/>
                <w:szCs w:val="16"/>
                <w:lang w:eastAsia="es-CO"/>
              </w:rPr>
              <w:t>RAZÓN SOCIAL</w:t>
            </w:r>
          </w:p>
        </w:tc>
        <w:tc>
          <w:tcPr>
            <w:tcW w:w="16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70B2CBB" w14:textId="77777777" w:rsidR="009838E7" w:rsidRPr="009838E7" w:rsidRDefault="009838E7" w:rsidP="00D22441">
            <w:pPr>
              <w:jc w:val="center"/>
              <w:rPr>
                <w:rFonts w:ascii="Arial Narrow" w:hAnsi="Arial Narrow" w:cs="Calibri"/>
                <w:b/>
                <w:bCs/>
                <w:color w:val="000000"/>
                <w:spacing w:val="0"/>
                <w:sz w:val="16"/>
                <w:szCs w:val="16"/>
                <w:lang w:eastAsia="es-CO"/>
              </w:rPr>
            </w:pPr>
            <w:r w:rsidRPr="009838E7">
              <w:rPr>
                <w:rFonts w:ascii="Arial Narrow" w:hAnsi="Arial Narrow" w:cs="Calibri"/>
                <w:b/>
                <w:bCs/>
                <w:color w:val="000000"/>
                <w:spacing w:val="0"/>
                <w:sz w:val="16"/>
                <w:szCs w:val="16"/>
                <w:lang w:eastAsia="es-CO"/>
              </w:rPr>
              <w:t xml:space="preserve"> CONTRIBUCIÓN 2022</w:t>
            </w:r>
            <w:r w:rsidRPr="009838E7">
              <w:rPr>
                <w:rFonts w:ascii="Arial Narrow" w:hAnsi="Arial Narrow" w:cs="Calibri"/>
                <w:b/>
                <w:bCs/>
                <w:color w:val="000000"/>
                <w:spacing w:val="0"/>
                <w:sz w:val="16"/>
                <w:szCs w:val="16"/>
                <w:lang w:eastAsia="es-CO"/>
              </w:rPr>
              <w:br/>
              <w:t xml:space="preserve">BASE EEFF 2021 </w:t>
            </w:r>
          </w:p>
        </w:tc>
        <w:tc>
          <w:tcPr>
            <w:tcW w:w="166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2BFD421" w14:textId="77777777" w:rsidR="009838E7" w:rsidRPr="009838E7" w:rsidRDefault="009838E7" w:rsidP="00D22441">
            <w:pPr>
              <w:jc w:val="center"/>
              <w:rPr>
                <w:rFonts w:ascii="Arial Narrow" w:hAnsi="Arial Narrow" w:cs="Calibri"/>
                <w:b/>
                <w:bCs/>
                <w:color w:val="000000"/>
                <w:spacing w:val="0"/>
                <w:sz w:val="16"/>
                <w:szCs w:val="16"/>
                <w:lang w:eastAsia="es-CO"/>
              </w:rPr>
            </w:pPr>
            <w:r w:rsidRPr="009838E7">
              <w:rPr>
                <w:rFonts w:ascii="Arial Narrow" w:hAnsi="Arial Narrow" w:cs="Calibri"/>
                <w:b/>
                <w:bCs/>
                <w:color w:val="000000"/>
                <w:spacing w:val="0"/>
                <w:sz w:val="16"/>
                <w:szCs w:val="16"/>
                <w:lang w:eastAsia="es-CO"/>
              </w:rPr>
              <w:t xml:space="preserve"> CONTRIBUCIÓN 2023</w:t>
            </w:r>
            <w:r w:rsidRPr="009838E7">
              <w:rPr>
                <w:rFonts w:ascii="Arial Narrow" w:hAnsi="Arial Narrow" w:cs="Calibri"/>
                <w:b/>
                <w:bCs/>
                <w:color w:val="000000"/>
                <w:spacing w:val="0"/>
                <w:sz w:val="16"/>
                <w:szCs w:val="16"/>
                <w:lang w:eastAsia="es-CO"/>
              </w:rPr>
              <w:br/>
              <w:t xml:space="preserve">BASE EEFF 2022 </w:t>
            </w:r>
          </w:p>
        </w:tc>
      </w:tr>
      <w:tr w:rsidR="009838E7" w:rsidRPr="009838E7" w14:paraId="76F57CB7"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4A65187D"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1</w:t>
            </w:r>
          </w:p>
        </w:tc>
        <w:tc>
          <w:tcPr>
            <w:tcW w:w="505" w:type="dxa"/>
            <w:tcBorders>
              <w:top w:val="nil"/>
              <w:left w:val="nil"/>
              <w:bottom w:val="single" w:sz="4" w:space="0" w:color="auto"/>
              <w:right w:val="single" w:sz="4" w:space="0" w:color="auto"/>
            </w:tcBorders>
            <w:shd w:val="clear" w:color="auto" w:fill="auto"/>
            <w:noWrap/>
            <w:vAlign w:val="center"/>
            <w:hideMark/>
          </w:tcPr>
          <w:p w14:paraId="236941CA"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488</w:t>
            </w:r>
          </w:p>
        </w:tc>
        <w:tc>
          <w:tcPr>
            <w:tcW w:w="797" w:type="dxa"/>
            <w:tcBorders>
              <w:top w:val="nil"/>
              <w:left w:val="nil"/>
              <w:bottom w:val="single" w:sz="4" w:space="0" w:color="auto"/>
              <w:right w:val="single" w:sz="4" w:space="0" w:color="auto"/>
            </w:tcBorders>
            <w:shd w:val="clear" w:color="auto" w:fill="auto"/>
            <w:noWrap/>
            <w:vAlign w:val="center"/>
            <w:hideMark/>
          </w:tcPr>
          <w:p w14:paraId="180D95B6"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800007813</w:t>
            </w:r>
          </w:p>
        </w:tc>
        <w:tc>
          <w:tcPr>
            <w:tcW w:w="4844" w:type="dxa"/>
            <w:tcBorders>
              <w:top w:val="nil"/>
              <w:left w:val="nil"/>
              <w:bottom w:val="single" w:sz="4" w:space="0" w:color="auto"/>
              <w:right w:val="single" w:sz="4" w:space="0" w:color="auto"/>
            </w:tcBorders>
            <w:shd w:val="clear" w:color="auto" w:fill="auto"/>
            <w:vAlign w:val="center"/>
            <w:hideMark/>
          </w:tcPr>
          <w:p w14:paraId="5C352ADA"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GAS NATURAL S.A. E.S..P</w:t>
            </w:r>
          </w:p>
        </w:tc>
        <w:tc>
          <w:tcPr>
            <w:tcW w:w="1600" w:type="dxa"/>
            <w:tcBorders>
              <w:top w:val="nil"/>
              <w:left w:val="nil"/>
              <w:bottom w:val="single" w:sz="4" w:space="0" w:color="auto"/>
              <w:right w:val="single" w:sz="4" w:space="0" w:color="auto"/>
            </w:tcBorders>
            <w:shd w:val="clear" w:color="auto" w:fill="auto"/>
            <w:noWrap/>
            <w:vAlign w:val="center"/>
            <w:hideMark/>
          </w:tcPr>
          <w:p w14:paraId="7EB9CED3"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56.558.110.551 </w:t>
            </w:r>
          </w:p>
        </w:tc>
        <w:tc>
          <w:tcPr>
            <w:tcW w:w="1660" w:type="dxa"/>
            <w:tcBorders>
              <w:top w:val="nil"/>
              <w:left w:val="nil"/>
              <w:bottom w:val="single" w:sz="4" w:space="0" w:color="auto"/>
              <w:right w:val="single" w:sz="4" w:space="0" w:color="auto"/>
            </w:tcBorders>
            <w:shd w:val="clear" w:color="auto" w:fill="auto"/>
            <w:noWrap/>
            <w:vAlign w:val="center"/>
            <w:hideMark/>
          </w:tcPr>
          <w:p w14:paraId="3940687E"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60.708.654.602 </w:t>
            </w:r>
          </w:p>
        </w:tc>
      </w:tr>
      <w:tr w:rsidR="009838E7" w:rsidRPr="009838E7" w14:paraId="6A5BCD2B"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42BE7B9B"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w:t>
            </w:r>
          </w:p>
        </w:tc>
        <w:tc>
          <w:tcPr>
            <w:tcW w:w="505" w:type="dxa"/>
            <w:tcBorders>
              <w:top w:val="nil"/>
              <w:left w:val="nil"/>
              <w:bottom w:val="single" w:sz="4" w:space="0" w:color="auto"/>
              <w:right w:val="single" w:sz="4" w:space="0" w:color="auto"/>
            </w:tcBorders>
            <w:shd w:val="clear" w:color="auto" w:fill="auto"/>
            <w:noWrap/>
            <w:vAlign w:val="center"/>
            <w:hideMark/>
          </w:tcPr>
          <w:p w14:paraId="2098BE5B"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620</w:t>
            </w:r>
          </w:p>
        </w:tc>
        <w:tc>
          <w:tcPr>
            <w:tcW w:w="797" w:type="dxa"/>
            <w:tcBorders>
              <w:top w:val="nil"/>
              <w:left w:val="nil"/>
              <w:bottom w:val="single" w:sz="4" w:space="0" w:color="auto"/>
              <w:right w:val="single" w:sz="4" w:space="0" w:color="auto"/>
            </w:tcBorders>
            <w:shd w:val="clear" w:color="auto" w:fill="auto"/>
            <w:noWrap/>
            <w:vAlign w:val="center"/>
            <w:hideMark/>
          </w:tcPr>
          <w:p w14:paraId="1ECB62C1"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800021272</w:t>
            </w:r>
          </w:p>
        </w:tc>
        <w:tc>
          <w:tcPr>
            <w:tcW w:w="4844" w:type="dxa"/>
            <w:tcBorders>
              <w:top w:val="nil"/>
              <w:left w:val="nil"/>
              <w:bottom w:val="single" w:sz="4" w:space="0" w:color="auto"/>
              <w:right w:val="single" w:sz="4" w:space="0" w:color="auto"/>
            </w:tcBorders>
            <w:shd w:val="clear" w:color="auto" w:fill="auto"/>
            <w:vAlign w:val="center"/>
            <w:hideMark/>
          </w:tcPr>
          <w:p w14:paraId="7B985AB4"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GASES DEL LLANO S.A EMPRESA DE SERVICIOS PUBLICOS</w:t>
            </w:r>
          </w:p>
        </w:tc>
        <w:tc>
          <w:tcPr>
            <w:tcW w:w="1600" w:type="dxa"/>
            <w:tcBorders>
              <w:top w:val="nil"/>
              <w:left w:val="nil"/>
              <w:bottom w:val="single" w:sz="4" w:space="0" w:color="auto"/>
              <w:right w:val="single" w:sz="4" w:space="0" w:color="auto"/>
            </w:tcBorders>
            <w:shd w:val="clear" w:color="auto" w:fill="auto"/>
            <w:noWrap/>
            <w:vAlign w:val="center"/>
            <w:hideMark/>
          </w:tcPr>
          <w:p w14:paraId="1EDCAE5E"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5.129.171.748 </w:t>
            </w:r>
          </w:p>
        </w:tc>
        <w:tc>
          <w:tcPr>
            <w:tcW w:w="1660" w:type="dxa"/>
            <w:tcBorders>
              <w:top w:val="nil"/>
              <w:left w:val="nil"/>
              <w:bottom w:val="single" w:sz="4" w:space="0" w:color="auto"/>
              <w:right w:val="single" w:sz="4" w:space="0" w:color="auto"/>
            </w:tcBorders>
            <w:shd w:val="clear" w:color="auto" w:fill="auto"/>
            <w:noWrap/>
            <w:vAlign w:val="center"/>
            <w:hideMark/>
          </w:tcPr>
          <w:p w14:paraId="131A131C"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6.062.810.643 </w:t>
            </w:r>
          </w:p>
        </w:tc>
      </w:tr>
      <w:tr w:rsidR="009838E7" w:rsidRPr="009838E7" w14:paraId="5E0CEB7C"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5EDAED12"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3</w:t>
            </w:r>
          </w:p>
        </w:tc>
        <w:tc>
          <w:tcPr>
            <w:tcW w:w="505" w:type="dxa"/>
            <w:tcBorders>
              <w:top w:val="nil"/>
              <w:left w:val="nil"/>
              <w:bottom w:val="single" w:sz="4" w:space="0" w:color="auto"/>
              <w:right w:val="single" w:sz="4" w:space="0" w:color="auto"/>
            </w:tcBorders>
            <w:shd w:val="clear" w:color="auto" w:fill="auto"/>
            <w:noWrap/>
            <w:vAlign w:val="center"/>
            <w:hideMark/>
          </w:tcPr>
          <w:p w14:paraId="0FC5AE73"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523</w:t>
            </w:r>
          </w:p>
        </w:tc>
        <w:tc>
          <w:tcPr>
            <w:tcW w:w="797" w:type="dxa"/>
            <w:tcBorders>
              <w:top w:val="nil"/>
              <w:left w:val="nil"/>
              <w:bottom w:val="single" w:sz="4" w:space="0" w:color="auto"/>
              <w:right w:val="single" w:sz="4" w:space="0" w:color="auto"/>
            </w:tcBorders>
            <w:shd w:val="clear" w:color="auto" w:fill="auto"/>
            <w:noWrap/>
            <w:vAlign w:val="center"/>
            <w:hideMark/>
          </w:tcPr>
          <w:p w14:paraId="2DC21C43"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800052640</w:t>
            </w:r>
          </w:p>
        </w:tc>
        <w:tc>
          <w:tcPr>
            <w:tcW w:w="4844" w:type="dxa"/>
            <w:tcBorders>
              <w:top w:val="nil"/>
              <w:left w:val="nil"/>
              <w:bottom w:val="single" w:sz="4" w:space="0" w:color="auto"/>
              <w:right w:val="single" w:sz="4" w:space="0" w:color="auto"/>
            </w:tcBorders>
            <w:shd w:val="clear" w:color="auto" w:fill="auto"/>
            <w:vAlign w:val="center"/>
            <w:hideMark/>
          </w:tcPr>
          <w:p w14:paraId="0AC30FCF" w14:textId="7F6CE1C9"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EMPRESA DE ENERGIA DEL QUINDIO S.A.E.S.P.</w:t>
            </w:r>
          </w:p>
        </w:tc>
        <w:tc>
          <w:tcPr>
            <w:tcW w:w="1600" w:type="dxa"/>
            <w:tcBorders>
              <w:top w:val="nil"/>
              <w:left w:val="nil"/>
              <w:bottom w:val="single" w:sz="4" w:space="0" w:color="auto"/>
              <w:right w:val="single" w:sz="4" w:space="0" w:color="auto"/>
            </w:tcBorders>
            <w:shd w:val="clear" w:color="auto" w:fill="auto"/>
            <w:noWrap/>
            <w:vAlign w:val="center"/>
            <w:hideMark/>
          </w:tcPr>
          <w:p w14:paraId="78422707"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21.228.532.323 </w:t>
            </w:r>
          </w:p>
        </w:tc>
        <w:tc>
          <w:tcPr>
            <w:tcW w:w="1660" w:type="dxa"/>
            <w:tcBorders>
              <w:top w:val="nil"/>
              <w:left w:val="nil"/>
              <w:bottom w:val="single" w:sz="4" w:space="0" w:color="auto"/>
              <w:right w:val="single" w:sz="4" w:space="0" w:color="auto"/>
            </w:tcBorders>
            <w:shd w:val="clear" w:color="auto" w:fill="auto"/>
            <w:noWrap/>
            <w:vAlign w:val="center"/>
            <w:hideMark/>
          </w:tcPr>
          <w:p w14:paraId="1CE0258A"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24.274.775.869 </w:t>
            </w:r>
          </w:p>
        </w:tc>
      </w:tr>
      <w:tr w:rsidR="009838E7" w:rsidRPr="009838E7" w14:paraId="28559A6B"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30B2D169"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4</w:t>
            </w:r>
          </w:p>
        </w:tc>
        <w:tc>
          <w:tcPr>
            <w:tcW w:w="505" w:type="dxa"/>
            <w:tcBorders>
              <w:top w:val="nil"/>
              <w:left w:val="nil"/>
              <w:bottom w:val="single" w:sz="4" w:space="0" w:color="auto"/>
              <w:right w:val="single" w:sz="4" w:space="0" w:color="auto"/>
            </w:tcBorders>
            <w:shd w:val="clear" w:color="auto" w:fill="auto"/>
            <w:noWrap/>
            <w:vAlign w:val="center"/>
            <w:hideMark/>
          </w:tcPr>
          <w:p w14:paraId="5718690F"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330</w:t>
            </w:r>
          </w:p>
        </w:tc>
        <w:tc>
          <w:tcPr>
            <w:tcW w:w="797" w:type="dxa"/>
            <w:tcBorders>
              <w:top w:val="nil"/>
              <w:left w:val="nil"/>
              <w:bottom w:val="single" w:sz="4" w:space="0" w:color="auto"/>
              <w:right w:val="single" w:sz="4" w:space="0" w:color="auto"/>
            </w:tcBorders>
            <w:shd w:val="clear" w:color="auto" w:fill="auto"/>
            <w:noWrap/>
            <w:vAlign w:val="center"/>
            <w:hideMark/>
          </w:tcPr>
          <w:p w14:paraId="5E833BF7"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800063823</w:t>
            </w:r>
          </w:p>
        </w:tc>
        <w:tc>
          <w:tcPr>
            <w:tcW w:w="4844" w:type="dxa"/>
            <w:tcBorders>
              <w:top w:val="nil"/>
              <w:left w:val="nil"/>
              <w:bottom w:val="single" w:sz="4" w:space="0" w:color="auto"/>
              <w:right w:val="single" w:sz="4" w:space="0" w:color="auto"/>
            </w:tcBorders>
            <w:shd w:val="clear" w:color="auto" w:fill="auto"/>
            <w:vAlign w:val="center"/>
            <w:hideMark/>
          </w:tcPr>
          <w:p w14:paraId="6BA05290"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EMPRESAS PÚBLICAS DEL QUINDIO S.A.   E.S.P.</w:t>
            </w:r>
          </w:p>
        </w:tc>
        <w:tc>
          <w:tcPr>
            <w:tcW w:w="1600" w:type="dxa"/>
            <w:tcBorders>
              <w:top w:val="nil"/>
              <w:left w:val="nil"/>
              <w:bottom w:val="single" w:sz="4" w:space="0" w:color="auto"/>
              <w:right w:val="single" w:sz="4" w:space="0" w:color="auto"/>
            </w:tcBorders>
            <w:shd w:val="clear" w:color="auto" w:fill="auto"/>
            <w:noWrap/>
            <w:vAlign w:val="center"/>
            <w:hideMark/>
          </w:tcPr>
          <w:p w14:paraId="008C445E"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102.725.305 </w:t>
            </w:r>
          </w:p>
        </w:tc>
        <w:tc>
          <w:tcPr>
            <w:tcW w:w="1660" w:type="dxa"/>
            <w:tcBorders>
              <w:top w:val="nil"/>
              <w:left w:val="nil"/>
              <w:bottom w:val="single" w:sz="4" w:space="0" w:color="auto"/>
              <w:right w:val="single" w:sz="4" w:space="0" w:color="auto"/>
            </w:tcBorders>
            <w:shd w:val="clear" w:color="auto" w:fill="auto"/>
            <w:noWrap/>
            <w:vAlign w:val="center"/>
            <w:hideMark/>
          </w:tcPr>
          <w:p w14:paraId="20278CE9"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85.646.570 </w:t>
            </w:r>
          </w:p>
        </w:tc>
      </w:tr>
      <w:tr w:rsidR="009838E7" w:rsidRPr="009838E7" w14:paraId="4314D87A"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7711BCB1"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5</w:t>
            </w:r>
          </w:p>
        </w:tc>
        <w:tc>
          <w:tcPr>
            <w:tcW w:w="505" w:type="dxa"/>
            <w:tcBorders>
              <w:top w:val="nil"/>
              <w:left w:val="nil"/>
              <w:bottom w:val="single" w:sz="4" w:space="0" w:color="auto"/>
              <w:right w:val="single" w:sz="4" w:space="0" w:color="auto"/>
            </w:tcBorders>
            <w:shd w:val="clear" w:color="auto" w:fill="auto"/>
            <w:noWrap/>
            <w:vAlign w:val="center"/>
            <w:hideMark/>
          </w:tcPr>
          <w:p w14:paraId="7E80D53C"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1801</w:t>
            </w:r>
          </w:p>
        </w:tc>
        <w:tc>
          <w:tcPr>
            <w:tcW w:w="797" w:type="dxa"/>
            <w:tcBorders>
              <w:top w:val="nil"/>
              <w:left w:val="nil"/>
              <w:bottom w:val="single" w:sz="4" w:space="0" w:color="auto"/>
              <w:right w:val="single" w:sz="4" w:space="0" w:color="auto"/>
            </w:tcBorders>
            <w:shd w:val="clear" w:color="auto" w:fill="auto"/>
            <w:noWrap/>
            <w:vAlign w:val="center"/>
            <w:hideMark/>
          </w:tcPr>
          <w:p w14:paraId="2F815BDB"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800136258</w:t>
            </w:r>
          </w:p>
        </w:tc>
        <w:tc>
          <w:tcPr>
            <w:tcW w:w="4844" w:type="dxa"/>
            <w:tcBorders>
              <w:top w:val="nil"/>
              <w:left w:val="nil"/>
              <w:bottom w:val="single" w:sz="4" w:space="0" w:color="auto"/>
              <w:right w:val="single" w:sz="4" w:space="0" w:color="auto"/>
            </w:tcBorders>
            <w:shd w:val="clear" w:color="auto" w:fill="auto"/>
            <w:vAlign w:val="center"/>
            <w:hideMark/>
          </w:tcPr>
          <w:p w14:paraId="10AD9A2F"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GAS GUAVIARE S.A. E.S.P.</w:t>
            </w:r>
          </w:p>
        </w:tc>
        <w:tc>
          <w:tcPr>
            <w:tcW w:w="1600" w:type="dxa"/>
            <w:tcBorders>
              <w:top w:val="nil"/>
              <w:left w:val="nil"/>
              <w:bottom w:val="single" w:sz="4" w:space="0" w:color="auto"/>
              <w:right w:val="single" w:sz="4" w:space="0" w:color="auto"/>
            </w:tcBorders>
            <w:shd w:val="clear" w:color="auto" w:fill="auto"/>
            <w:noWrap/>
            <w:vAlign w:val="center"/>
            <w:hideMark/>
          </w:tcPr>
          <w:p w14:paraId="6F00A456"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214.332.791 </w:t>
            </w:r>
          </w:p>
        </w:tc>
        <w:tc>
          <w:tcPr>
            <w:tcW w:w="1660" w:type="dxa"/>
            <w:tcBorders>
              <w:top w:val="nil"/>
              <w:left w:val="nil"/>
              <w:bottom w:val="single" w:sz="4" w:space="0" w:color="auto"/>
              <w:right w:val="single" w:sz="4" w:space="0" w:color="auto"/>
            </w:tcBorders>
            <w:shd w:val="clear" w:color="auto" w:fill="auto"/>
            <w:noWrap/>
            <w:vAlign w:val="center"/>
            <w:hideMark/>
          </w:tcPr>
          <w:p w14:paraId="06AD57FA"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315.898.224 </w:t>
            </w:r>
          </w:p>
        </w:tc>
      </w:tr>
      <w:tr w:rsidR="009838E7" w:rsidRPr="009838E7" w14:paraId="2533BCF5" w14:textId="77777777" w:rsidTr="00092F91">
        <w:trPr>
          <w:trHeight w:val="61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11C1A52D"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6</w:t>
            </w:r>
          </w:p>
        </w:tc>
        <w:tc>
          <w:tcPr>
            <w:tcW w:w="505" w:type="dxa"/>
            <w:tcBorders>
              <w:top w:val="nil"/>
              <w:left w:val="nil"/>
              <w:bottom w:val="single" w:sz="4" w:space="0" w:color="auto"/>
              <w:right w:val="single" w:sz="4" w:space="0" w:color="auto"/>
            </w:tcBorders>
            <w:shd w:val="clear" w:color="auto" w:fill="auto"/>
            <w:noWrap/>
            <w:vAlign w:val="center"/>
            <w:hideMark/>
          </w:tcPr>
          <w:p w14:paraId="4CEA758E"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497</w:t>
            </w:r>
          </w:p>
        </w:tc>
        <w:tc>
          <w:tcPr>
            <w:tcW w:w="797" w:type="dxa"/>
            <w:tcBorders>
              <w:top w:val="nil"/>
              <w:left w:val="nil"/>
              <w:bottom w:val="single" w:sz="4" w:space="0" w:color="auto"/>
              <w:right w:val="single" w:sz="4" w:space="0" w:color="auto"/>
            </w:tcBorders>
            <w:shd w:val="clear" w:color="auto" w:fill="auto"/>
            <w:noWrap/>
            <w:vAlign w:val="center"/>
            <w:hideMark/>
          </w:tcPr>
          <w:p w14:paraId="59ACA9FE"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800149537</w:t>
            </w:r>
          </w:p>
        </w:tc>
        <w:tc>
          <w:tcPr>
            <w:tcW w:w="4844" w:type="dxa"/>
            <w:tcBorders>
              <w:top w:val="nil"/>
              <w:left w:val="nil"/>
              <w:bottom w:val="single" w:sz="4" w:space="0" w:color="auto"/>
              <w:right w:val="single" w:sz="4" w:space="0" w:color="auto"/>
            </w:tcBorders>
            <w:shd w:val="clear" w:color="auto" w:fill="auto"/>
            <w:vAlign w:val="center"/>
            <w:hideMark/>
          </w:tcPr>
          <w:p w14:paraId="50025435" w14:textId="2EDF1A9D"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PROMOTORA DE ENERGIA ELECTRICA DE CARTAGENA Y COMPANIA SOCIEDAD EN COMANDITA POR ACCIONES-EMPRESA DE SERVICIOS PUBLICOS</w:t>
            </w:r>
            <w:r w:rsidR="00FA0BE3">
              <w:rPr>
                <w:rFonts w:ascii="Arial Narrow" w:hAnsi="Arial Narrow" w:cs="Calibri"/>
                <w:color w:val="000000"/>
                <w:spacing w:val="0"/>
                <w:sz w:val="16"/>
                <w:szCs w:val="16"/>
                <w:lang w:eastAsia="es-CO"/>
              </w:rPr>
              <w:t>.</w:t>
            </w:r>
          </w:p>
        </w:tc>
        <w:tc>
          <w:tcPr>
            <w:tcW w:w="1600" w:type="dxa"/>
            <w:tcBorders>
              <w:top w:val="nil"/>
              <w:left w:val="nil"/>
              <w:bottom w:val="single" w:sz="4" w:space="0" w:color="auto"/>
              <w:right w:val="single" w:sz="4" w:space="0" w:color="auto"/>
            </w:tcBorders>
            <w:shd w:val="clear" w:color="auto" w:fill="auto"/>
            <w:noWrap/>
            <w:vAlign w:val="center"/>
            <w:hideMark/>
          </w:tcPr>
          <w:p w14:paraId="0465546B"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4.453.806.999 </w:t>
            </w:r>
          </w:p>
        </w:tc>
        <w:tc>
          <w:tcPr>
            <w:tcW w:w="1660" w:type="dxa"/>
            <w:tcBorders>
              <w:top w:val="nil"/>
              <w:left w:val="nil"/>
              <w:bottom w:val="single" w:sz="4" w:space="0" w:color="auto"/>
              <w:right w:val="single" w:sz="4" w:space="0" w:color="auto"/>
            </w:tcBorders>
            <w:shd w:val="clear" w:color="auto" w:fill="auto"/>
            <w:noWrap/>
            <w:vAlign w:val="center"/>
            <w:hideMark/>
          </w:tcPr>
          <w:p w14:paraId="3E643435"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6.031.255.803 </w:t>
            </w:r>
          </w:p>
        </w:tc>
      </w:tr>
      <w:tr w:rsidR="009838E7" w:rsidRPr="009838E7" w14:paraId="7FD63959"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4CE4C577"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7</w:t>
            </w:r>
          </w:p>
        </w:tc>
        <w:tc>
          <w:tcPr>
            <w:tcW w:w="505" w:type="dxa"/>
            <w:tcBorders>
              <w:top w:val="nil"/>
              <w:left w:val="nil"/>
              <w:bottom w:val="single" w:sz="4" w:space="0" w:color="auto"/>
              <w:right w:val="single" w:sz="4" w:space="0" w:color="auto"/>
            </w:tcBorders>
            <w:shd w:val="clear" w:color="auto" w:fill="auto"/>
            <w:noWrap/>
            <w:vAlign w:val="center"/>
            <w:hideMark/>
          </w:tcPr>
          <w:p w14:paraId="7F78447D"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1715</w:t>
            </w:r>
          </w:p>
        </w:tc>
        <w:tc>
          <w:tcPr>
            <w:tcW w:w="797" w:type="dxa"/>
            <w:tcBorders>
              <w:top w:val="nil"/>
              <w:left w:val="nil"/>
              <w:bottom w:val="single" w:sz="4" w:space="0" w:color="auto"/>
              <w:right w:val="single" w:sz="4" w:space="0" w:color="auto"/>
            </w:tcBorders>
            <w:shd w:val="clear" w:color="auto" w:fill="auto"/>
            <w:noWrap/>
            <w:vAlign w:val="center"/>
            <w:hideMark/>
          </w:tcPr>
          <w:p w14:paraId="43E85C95"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800150534</w:t>
            </w:r>
          </w:p>
        </w:tc>
        <w:tc>
          <w:tcPr>
            <w:tcW w:w="4844" w:type="dxa"/>
            <w:tcBorders>
              <w:top w:val="nil"/>
              <w:left w:val="nil"/>
              <w:bottom w:val="single" w:sz="4" w:space="0" w:color="auto"/>
              <w:right w:val="single" w:sz="4" w:space="0" w:color="auto"/>
            </w:tcBorders>
            <w:shd w:val="clear" w:color="auto" w:fill="auto"/>
            <w:vAlign w:val="center"/>
            <w:hideMark/>
          </w:tcPr>
          <w:p w14:paraId="44348CA1"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GAS EL SOL S.A. E.S.P.</w:t>
            </w:r>
          </w:p>
        </w:tc>
        <w:tc>
          <w:tcPr>
            <w:tcW w:w="1600" w:type="dxa"/>
            <w:tcBorders>
              <w:top w:val="nil"/>
              <w:left w:val="nil"/>
              <w:bottom w:val="single" w:sz="4" w:space="0" w:color="auto"/>
              <w:right w:val="single" w:sz="4" w:space="0" w:color="auto"/>
            </w:tcBorders>
            <w:shd w:val="clear" w:color="auto" w:fill="auto"/>
            <w:noWrap/>
            <w:vAlign w:val="center"/>
            <w:hideMark/>
          </w:tcPr>
          <w:p w14:paraId="2F03E7C9"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150.518.728 </w:t>
            </w:r>
          </w:p>
        </w:tc>
        <w:tc>
          <w:tcPr>
            <w:tcW w:w="1660" w:type="dxa"/>
            <w:tcBorders>
              <w:top w:val="nil"/>
              <w:left w:val="nil"/>
              <w:bottom w:val="single" w:sz="4" w:space="0" w:color="auto"/>
              <w:right w:val="single" w:sz="4" w:space="0" w:color="auto"/>
            </w:tcBorders>
            <w:shd w:val="clear" w:color="auto" w:fill="auto"/>
            <w:noWrap/>
            <w:vAlign w:val="center"/>
            <w:hideMark/>
          </w:tcPr>
          <w:p w14:paraId="43DFE80E"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164.294.000 </w:t>
            </w:r>
          </w:p>
        </w:tc>
      </w:tr>
      <w:tr w:rsidR="009838E7" w:rsidRPr="009838E7" w14:paraId="7E4F395D"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58630A7C"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8</w:t>
            </w:r>
          </w:p>
        </w:tc>
        <w:tc>
          <w:tcPr>
            <w:tcW w:w="505" w:type="dxa"/>
            <w:tcBorders>
              <w:top w:val="nil"/>
              <w:left w:val="nil"/>
              <w:bottom w:val="single" w:sz="4" w:space="0" w:color="auto"/>
              <w:right w:val="single" w:sz="4" w:space="0" w:color="auto"/>
            </w:tcBorders>
            <w:shd w:val="clear" w:color="auto" w:fill="auto"/>
            <w:noWrap/>
            <w:vAlign w:val="center"/>
            <w:hideMark/>
          </w:tcPr>
          <w:p w14:paraId="6A961A53"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1115</w:t>
            </w:r>
          </w:p>
        </w:tc>
        <w:tc>
          <w:tcPr>
            <w:tcW w:w="797" w:type="dxa"/>
            <w:tcBorders>
              <w:top w:val="nil"/>
              <w:left w:val="nil"/>
              <w:bottom w:val="single" w:sz="4" w:space="0" w:color="auto"/>
              <w:right w:val="single" w:sz="4" w:space="0" w:color="auto"/>
            </w:tcBorders>
            <w:shd w:val="clear" w:color="auto" w:fill="auto"/>
            <w:noWrap/>
            <w:vAlign w:val="center"/>
            <w:hideMark/>
          </w:tcPr>
          <w:p w14:paraId="1B7CD5D8"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800166132</w:t>
            </w:r>
          </w:p>
        </w:tc>
        <w:tc>
          <w:tcPr>
            <w:tcW w:w="4844" w:type="dxa"/>
            <w:tcBorders>
              <w:top w:val="nil"/>
              <w:left w:val="nil"/>
              <w:bottom w:val="single" w:sz="4" w:space="0" w:color="auto"/>
              <w:right w:val="single" w:sz="4" w:space="0" w:color="auto"/>
            </w:tcBorders>
            <w:shd w:val="clear" w:color="auto" w:fill="auto"/>
            <w:vAlign w:val="center"/>
            <w:hideMark/>
          </w:tcPr>
          <w:p w14:paraId="1F248455"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VELOGAS S.A.  E.S.P.</w:t>
            </w:r>
          </w:p>
        </w:tc>
        <w:tc>
          <w:tcPr>
            <w:tcW w:w="1600" w:type="dxa"/>
            <w:tcBorders>
              <w:top w:val="nil"/>
              <w:left w:val="nil"/>
              <w:bottom w:val="single" w:sz="4" w:space="0" w:color="auto"/>
              <w:right w:val="single" w:sz="4" w:space="0" w:color="auto"/>
            </w:tcBorders>
            <w:shd w:val="clear" w:color="auto" w:fill="auto"/>
            <w:noWrap/>
            <w:vAlign w:val="center"/>
            <w:hideMark/>
          </w:tcPr>
          <w:p w14:paraId="56F56195"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386.065.665 </w:t>
            </w:r>
          </w:p>
        </w:tc>
        <w:tc>
          <w:tcPr>
            <w:tcW w:w="1660" w:type="dxa"/>
            <w:tcBorders>
              <w:top w:val="nil"/>
              <w:left w:val="nil"/>
              <w:bottom w:val="single" w:sz="4" w:space="0" w:color="auto"/>
              <w:right w:val="single" w:sz="4" w:space="0" w:color="auto"/>
            </w:tcBorders>
            <w:shd w:val="clear" w:color="auto" w:fill="auto"/>
            <w:noWrap/>
            <w:vAlign w:val="center"/>
            <w:hideMark/>
          </w:tcPr>
          <w:p w14:paraId="1EAD6D85"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368.616.666 </w:t>
            </w:r>
          </w:p>
        </w:tc>
      </w:tr>
      <w:tr w:rsidR="009838E7" w:rsidRPr="009838E7" w14:paraId="36977C51" w14:textId="77777777" w:rsidTr="00092F91">
        <w:trPr>
          <w:trHeight w:val="306"/>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4058B1E0"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lastRenderedPageBreak/>
              <w:t>9</w:t>
            </w:r>
          </w:p>
        </w:tc>
        <w:tc>
          <w:tcPr>
            <w:tcW w:w="505" w:type="dxa"/>
            <w:tcBorders>
              <w:top w:val="nil"/>
              <w:left w:val="nil"/>
              <w:bottom w:val="single" w:sz="4" w:space="0" w:color="auto"/>
              <w:right w:val="single" w:sz="4" w:space="0" w:color="auto"/>
            </w:tcBorders>
            <w:shd w:val="clear" w:color="auto" w:fill="auto"/>
            <w:noWrap/>
            <w:vAlign w:val="center"/>
            <w:hideMark/>
          </w:tcPr>
          <w:p w14:paraId="25ACB96A"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629</w:t>
            </w:r>
          </w:p>
        </w:tc>
        <w:tc>
          <w:tcPr>
            <w:tcW w:w="797" w:type="dxa"/>
            <w:tcBorders>
              <w:top w:val="nil"/>
              <w:left w:val="nil"/>
              <w:bottom w:val="single" w:sz="4" w:space="0" w:color="auto"/>
              <w:right w:val="single" w:sz="4" w:space="0" w:color="auto"/>
            </w:tcBorders>
            <w:shd w:val="clear" w:color="auto" w:fill="auto"/>
            <w:noWrap/>
            <w:vAlign w:val="center"/>
            <w:hideMark/>
          </w:tcPr>
          <w:p w14:paraId="6E51E595"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800167643</w:t>
            </w:r>
          </w:p>
        </w:tc>
        <w:tc>
          <w:tcPr>
            <w:tcW w:w="4844" w:type="dxa"/>
            <w:tcBorders>
              <w:top w:val="nil"/>
              <w:left w:val="nil"/>
              <w:bottom w:val="single" w:sz="4" w:space="0" w:color="auto"/>
              <w:right w:val="single" w:sz="4" w:space="0" w:color="auto"/>
            </w:tcBorders>
            <w:shd w:val="clear" w:color="auto" w:fill="auto"/>
            <w:vAlign w:val="center"/>
            <w:hideMark/>
          </w:tcPr>
          <w:p w14:paraId="56E1694F"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GASES DE OCCIDENTE S. A. EMPRESA DE SERVICIOS PUBLICOS</w:t>
            </w:r>
          </w:p>
        </w:tc>
        <w:tc>
          <w:tcPr>
            <w:tcW w:w="1600" w:type="dxa"/>
            <w:tcBorders>
              <w:top w:val="nil"/>
              <w:left w:val="nil"/>
              <w:bottom w:val="single" w:sz="4" w:space="0" w:color="auto"/>
              <w:right w:val="single" w:sz="4" w:space="0" w:color="auto"/>
            </w:tcBorders>
            <w:shd w:val="clear" w:color="auto" w:fill="auto"/>
            <w:noWrap/>
            <w:vAlign w:val="center"/>
            <w:hideMark/>
          </w:tcPr>
          <w:p w14:paraId="2091CFFF"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36.999.240.191 </w:t>
            </w:r>
          </w:p>
        </w:tc>
        <w:tc>
          <w:tcPr>
            <w:tcW w:w="1660" w:type="dxa"/>
            <w:tcBorders>
              <w:top w:val="nil"/>
              <w:left w:val="nil"/>
              <w:bottom w:val="single" w:sz="4" w:space="0" w:color="auto"/>
              <w:right w:val="single" w:sz="4" w:space="0" w:color="auto"/>
            </w:tcBorders>
            <w:shd w:val="clear" w:color="auto" w:fill="auto"/>
            <w:noWrap/>
            <w:vAlign w:val="center"/>
            <w:hideMark/>
          </w:tcPr>
          <w:p w14:paraId="14E52A61"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49.085.998.585 </w:t>
            </w:r>
          </w:p>
        </w:tc>
      </w:tr>
      <w:tr w:rsidR="009838E7" w:rsidRPr="009838E7" w14:paraId="63A3453F"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6C89084A"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10</w:t>
            </w:r>
          </w:p>
        </w:tc>
        <w:tc>
          <w:tcPr>
            <w:tcW w:w="505" w:type="dxa"/>
            <w:tcBorders>
              <w:top w:val="nil"/>
              <w:left w:val="nil"/>
              <w:bottom w:val="single" w:sz="4" w:space="0" w:color="auto"/>
              <w:right w:val="single" w:sz="4" w:space="0" w:color="auto"/>
            </w:tcBorders>
            <w:shd w:val="clear" w:color="auto" w:fill="auto"/>
            <w:noWrap/>
            <w:vAlign w:val="center"/>
            <w:hideMark/>
          </w:tcPr>
          <w:p w14:paraId="600FE90E"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1626</w:t>
            </w:r>
          </w:p>
        </w:tc>
        <w:tc>
          <w:tcPr>
            <w:tcW w:w="797" w:type="dxa"/>
            <w:tcBorders>
              <w:top w:val="nil"/>
              <w:left w:val="nil"/>
              <w:bottom w:val="single" w:sz="4" w:space="0" w:color="auto"/>
              <w:right w:val="single" w:sz="4" w:space="0" w:color="auto"/>
            </w:tcBorders>
            <w:shd w:val="clear" w:color="auto" w:fill="auto"/>
            <w:noWrap/>
            <w:vAlign w:val="center"/>
            <w:hideMark/>
          </w:tcPr>
          <w:p w14:paraId="5D6CA6C2"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800170118</w:t>
            </w:r>
          </w:p>
        </w:tc>
        <w:tc>
          <w:tcPr>
            <w:tcW w:w="4844" w:type="dxa"/>
            <w:tcBorders>
              <w:top w:val="nil"/>
              <w:left w:val="nil"/>
              <w:bottom w:val="single" w:sz="4" w:space="0" w:color="auto"/>
              <w:right w:val="single" w:sz="4" w:space="0" w:color="auto"/>
            </w:tcBorders>
            <w:shd w:val="clear" w:color="auto" w:fill="auto"/>
            <w:vAlign w:val="center"/>
            <w:hideMark/>
          </w:tcPr>
          <w:p w14:paraId="2C46572A"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PROMOTORA DE GASES DEL SUR S.A. E.S.P.</w:t>
            </w:r>
          </w:p>
        </w:tc>
        <w:tc>
          <w:tcPr>
            <w:tcW w:w="1600" w:type="dxa"/>
            <w:tcBorders>
              <w:top w:val="nil"/>
              <w:left w:val="nil"/>
              <w:bottom w:val="single" w:sz="4" w:space="0" w:color="auto"/>
              <w:right w:val="single" w:sz="4" w:space="0" w:color="auto"/>
            </w:tcBorders>
            <w:shd w:val="clear" w:color="auto" w:fill="auto"/>
            <w:noWrap/>
            <w:vAlign w:val="center"/>
            <w:hideMark/>
          </w:tcPr>
          <w:p w14:paraId="218AB54F"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2.683.642.000 </w:t>
            </w:r>
          </w:p>
        </w:tc>
        <w:tc>
          <w:tcPr>
            <w:tcW w:w="1660" w:type="dxa"/>
            <w:tcBorders>
              <w:top w:val="nil"/>
              <w:left w:val="nil"/>
              <w:bottom w:val="single" w:sz="4" w:space="0" w:color="auto"/>
              <w:right w:val="single" w:sz="4" w:space="0" w:color="auto"/>
            </w:tcBorders>
            <w:shd w:val="clear" w:color="auto" w:fill="auto"/>
            <w:noWrap/>
            <w:vAlign w:val="center"/>
            <w:hideMark/>
          </w:tcPr>
          <w:p w14:paraId="615A6360"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3.165.292.000 </w:t>
            </w:r>
          </w:p>
        </w:tc>
      </w:tr>
      <w:tr w:rsidR="009838E7" w:rsidRPr="009838E7" w14:paraId="605E6F22"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09A466E5"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11</w:t>
            </w:r>
          </w:p>
        </w:tc>
        <w:tc>
          <w:tcPr>
            <w:tcW w:w="505" w:type="dxa"/>
            <w:tcBorders>
              <w:top w:val="nil"/>
              <w:left w:val="nil"/>
              <w:bottom w:val="single" w:sz="4" w:space="0" w:color="auto"/>
              <w:right w:val="single" w:sz="4" w:space="0" w:color="auto"/>
            </w:tcBorders>
            <w:shd w:val="clear" w:color="auto" w:fill="auto"/>
            <w:noWrap/>
            <w:vAlign w:val="center"/>
            <w:hideMark/>
          </w:tcPr>
          <w:p w14:paraId="030C0CFA"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2128</w:t>
            </w:r>
          </w:p>
        </w:tc>
        <w:tc>
          <w:tcPr>
            <w:tcW w:w="797" w:type="dxa"/>
            <w:tcBorders>
              <w:top w:val="nil"/>
              <w:left w:val="nil"/>
              <w:bottom w:val="single" w:sz="4" w:space="0" w:color="auto"/>
              <w:right w:val="single" w:sz="4" w:space="0" w:color="auto"/>
            </w:tcBorders>
            <w:shd w:val="clear" w:color="auto" w:fill="auto"/>
            <w:noWrap/>
            <w:vAlign w:val="center"/>
            <w:hideMark/>
          </w:tcPr>
          <w:p w14:paraId="005A85A0"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800175746</w:t>
            </w:r>
          </w:p>
        </w:tc>
        <w:tc>
          <w:tcPr>
            <w:tcW w:w="4844" w:type="dxa"/>
            <w:tcBorders>
              <w:top w:val="nil"/>
              <w:left w:val="nil"/>
              <w:bottom w:val="single" w:sz="4" w:space="0" w:color="auto"/>
              <w:right w:val="single" w:sz="4" w:space="0" w:color="auto"/>
            </w:tcBorders>
            <w:shd w:val="clear" w:color="auto" w:fill="auto"/>
            <w:vAlign w:val="center"/>
            <w:hideMark/>
          </w:tcPr>
          <w:p w14:paraId="2BC50473"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EMPRESA URRA S.A. E.S.P.</w:t>
            </w:r>
          </w:p>
        </w:tc>
        <w:tc>
          <w:tcPr>
            <w:tcW w:w="1600" w:type="dxa"/>
            <w:tcBorders>
              <w:top w:val="nil"/>
              <w:left w:val="nil"/>
              <w:bottom w:val="single" w:sz="4" w:space="0" w:color="auto"/>
              <w:right w:val="single" w:sz="4" w:space="0" w:color="auto"/>
            </w:tcBorders>
            <w:shd w:val="clear" w:color="auto" w:fill="auto"/>
            <w:noWrap/>
            <w:vAlign w:val="center"/>
            <w:hideMark/>
          </w:tcPr>
          <w:p w14:paraId="40487887"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13.211.076.977 </w:t>
            </w:r>
          </w:p>
        </w:tc>
        <w:tc>
          <w:tcPr>
            <w:tcW w:w="1660" w:type="dxa"/>
            <w:tcBorders>
              <w:top w:val="nil"/>
              <w:left w:val="nil"/>
              <w:bottom w:val="single" w:sz="4" w:space="0" w:color="auto"/>
              <w:right w:val="single" w:sz="4" w:space="0" w:color="auto"/>
            </w:tcBorders>
            <w:shd w:val="clear" w:color="auto" w:fill="auto"/>
            <w:noWrap/>
            <w:vAlign w:val="center"/>
            <w:hideMark/>
          </w:tcPr>
          <w:p w14:paraId="3744AAEF"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14.399.809.751 </w:t>
            </w:r>
          </w:p>
        </w:tc>
      </w:tr>
      <w:tr w:rsidR="009838E7" w:rsidRPr="009838E7" w14:paraId="213CE634"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21DA632A"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12</w:t>
            </w:r>
          </w:p>
        </w:tc>
        <w:tc>
          <w:tcPr>
            <w:tcW w:w="505" w:type="dxa"/>
            <w:tcBorders>
              <w:top w:val="nil"/>
              <w:left w:val="nil"/>
              <w:bottom w:val="single" w:sz="4" w:space="0" w:color="auto"/>
              <w:right w:val="single" w:sz="4" w:space="0" w:color="auto"/>
            </w:tcBorders>
            <w:shd w:val="clear" w:color="auto" w:fill="auto"/>
            <w:noWrap/>
            <w:vAlign w:val="center"/>
            <w:hideMark/>
          </w:tcPr>
          <w:p w14:paraId="521B06BE"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1414</w:t>
            </w:r>
          </w:p>
        </w:tc>
        <w:tc>
          <w:tcPr>
            <w:tcW w:w="797" w:type="dxa"/>
            <w:tcBorders>
              <w:top w:val="nil"/>
              <w:left w:val="nil"/>
              <w:bottom w:val="single" w:sz="4" w:space="0" w:color="auto"/>
              <w:right w:val="single" w:sz="4" w:space="0" w:color="auto"/>
            </w:tcBorders>
            <w:shd w:val="clear" w:color="auto" w:fill="auto"/>
            <w:noWrap/>
            <w:vAlign w:val="center"/>
            <w:hideMark/>
          </w:tcPr>
          <w:p w14:paraId="71DE819C"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800182395</w:t>
            </w:r>
          </w:p>
        </w:tc>
        <w:tc>
          <w:tcPr>
            <w:tcW w:w="4844" w:type="dxa"/>
            <w:tcBorders>
              <w:top w:val="nil"/>
              <w:left w:val="nil"/>
              <w:bottom w:val="single" w:sz="4" w:space="0" w:color="auto"/>
              <w:right w:val="single" w:sz="4" w:space="0" w:color="auto"/>
            </w:tcBorders>
            <w:shd w:val="clear" w:color="auto" w:fill="auto"/>
            <w:vAlign w:val="center"/>
            <w:hideMark/>
          </w:tcPr>
          <w:p w14:paraId="001F2EAB"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ENERGAS S.A. E.S.P.</w:t>
            </w:r>
          </w:p>
        </w:tc>
        <w:tc>
          <w:tcPr>
            <w:tcW w:w="1600" w:type="dxa"/>
            <w:tcBorders>
              <w:top w:val="nil"/>
              <w:left w:val="nil"/>
              <w:bottom w:val="single" w:sz="4" w:space="0" w:color="auto"/>
              <w:right w:val="single" w:sz="4" w:space="0" w:color="auto"/>
            </w:tcBorders>
            <w:shd w:val="clear" w:color="auto" w:fill="auto"/>
            <w:noWrap/>
            <w:vAlign w:val="center"/>
            <w:hideMark/>
          </w:tcPr>
          <w:p w14:paraId="474E064D"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362.652.319 </w:t>
            </w:r>
          </w:p>
        </w:tc>
        <w:tc>
          <w:tcPr>
            <w:tcW w:w="1660" w:type="dxa"/>
            <w:tcBorders>
              <w:top w:val="nil"/>
              <w:left w:val="nil"/>
              <w:bottom w:val="single" w:sz="4" w:space="0" w:color="auto"/>
              <w:right w:val="single" w:sz="4" w:space="0" w:color="auto"/>
            </w:tcBorders>
            <w:shd w:val="clear" w:color="auto" w:fill="auto"/>
            <w:noWrap/>
            <w:vAlign w:val="center"/>
            <w:hideMark/>
          </w:tcPr>
          <w:p w14:paraId="175489F3"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429.564.958 </w:t>
            </w:r>
          </w:p>
        </w:tc>
      </w:tr>
      <w:tr w:rsidR="009838E7" w:rsidRPr="009838E7" w14:paraId="243968C7"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385811D6"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13</w:t>
            </w:r>
          </w:p>
        </w:tc>
        <w:tc>
          <w:tcPr>
            <w:tcW w:w="505" w:type="dxa"/>
            <w:tcBorders>
              <w:top w:val="nil"/>
              <w:left w:val="nil"/>
              <w:bottom w:val="single" w:sz="4" w:space="0" w:color="auto"/>
              <w:right w:val="single" w:sz="4" w:space="0" w:color="auto"/>
            </w:tcBorders>
            <w:shd w:val="clear" w:color="auto" w:fill="auto"/>
            <w:noWrap/>
            <w:vAlign w:val="center"/>
            <w:hideMark/>
          </w:tcPr>
          <w:p w14:paraId="25B11A62"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1757</w:t>
            </w:r>
          </w:p>
        </w:tc>
        <w:tc>
          <w:tcPr>
            <w:tcW w:w="797" w:type="dxa"/>
            <w:tcBorders>
              <w:top w:val="nil"/>
              <w:left w:val="nil"/>
              <w:bottom w:val="single" w:sz="4" w:space="0" w:color="auto"/>
              <w:right w:val="single" w:sz="4" w:space="0" w:color="auto"/>
            </w:tcBorders>
            <w:shd w:val="clear" w:color="auto" w:fill="auto"/>
            <w:noWrap/>
            <w:vAlign w:val="center"/>
            <w:hideMark/>
          </w:tcPr>
          <w:p w14:paraId="164DDAB3"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800194208</w:t>
            </w:r>
          </w:p>
        </w:tc>
        <w:tc>
          <w:tcPr>
            <w:tcW w:w="4844" w:type="dxa"/>
            <w:tcBorders>
              <w:top w:val="nil"/>
              <w:left w:val="nil"/>
              <w:bottom w:val="single" w:sz="4" w:space="0" w:color="auto"/>
              <w:right w:val="single" w:sz="4" w:space="0" w:color="auto"/>
            </w:tcBorders>
            <w:shd w:val="clear" w:color="auto" w:fill="auto"/>
            <w:vAlign w:val="center"/>
            <w:hideMark/>
          </w:tcPr>
          <w:p w14:paraId="43CBC83D"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GESTION ENERGETICA S.A. ESP</w:t>
            </w:r>
          </w:p>
        </w:tc>
        <w:tc>
          <w:tcPr>
            <w:tcW w:w="1600" w:type="dxa"/>
            <w:tcBorders>
              <w:top w:val="nil"/>
              <w:left w:val="nil"/>
              <w:bottom w:val="single" w:sz="4" w:space="0" w:color="auto"/>
              <w:right w:val="single" w:sz="4" w:space="0" w:color="auto"/>
            </w:tcBorders>
            <w:shd w:val="clear" w:color="auto" w:fill="auto"/>
            <w:noWrap/>
            <w:vAlign w:val="center"/>
            <w:hideMark/>
          </w:tcPr>
          <w:p w14:paraId="7BCDA360"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17.147.467.314 </w:t>
            </w:r>
          </w:p>
        </w:tc>
        <w:tc>
          <w:tcPr>
            <w:tcW w:w="1660" w:type="dxa"/>
            <w:tcBorders>
              <w:top w:val="nil"/>
              <w:left w:val="nil"/>
              <w:bottom w:val="single" w:sz="4" w:space="0" w:color="auto"/>
              <w:right w:val="single" w:sz="4" w:space="0" w:color="auto"/>
            </w:tcBorders>
            <w:shd w:val="clear" w:color="auto" w:fill="auto"/>
            <w:noWrap/>
            <w:vAlign w:val="center"/>
            <w:hideMark/>
          </w:tcPr>
          <w:p w14:paraId="1B018433"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22.039.600.136 </w:t>
            </w:r>
          </w:p>
        </w:tc>
      </w:tr>
      <w:tr w:rsidR="009838E7" w:rsidRPr="009838E7" w14:paraId="30618500"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49756260"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14</w:t>
            </w:r>
          </w:p>
        </w:tc>
        <w:tc>
          <w:tcPr>
            <w:tcW w:w="505" w:type="dxa"/>
            <w:tcBorders>
              <w:top w:val="nil"/>
              <w:left w:val="nil"/>
              <w:bottom w:val="single" w:sz="4" w:space="0" w:color="auto"/>
              <w:right w:val="single" w:sz="4" w:space="0" w:color="auto"/>
            </w:tcBorders>
            <w:shd w:val="clear" w:color="auto" w:fill="auto"/>
            <w:noWrap/>
            <w:vAlign w:val="center"/>
            <w:hideMark/>
          </w:tcPr>
          <w:p w14:paraId="374BCCAD"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1887</w:t>
            </w:r>
          </w:p>
        </w:tc>
        <w:tc>
          <w:tcPr>
            <w:tcW w:w="797" w:type="dxa"/>
            <w:tcBorders>
              <w:top w:val="nil"/>
              <w:left w:val="nil"/>
              <w:bottom w:val="single" w:sz="4" w:space="0" w:color="auto"/>
              <w:right w:val="single" w:sz="4" w:space="0" w:color="auto"/>
            </w:tcBorders>
            <w:shd w:val="clear" w:color="auto" w:fill="auto"/>
            <w:noWrap/>
            <w:vAlign w:val="center"/>
            <w:hideMark/>
          </w:tcPr>
          <w:p w14:paraId="71F7CD7B"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800202395</w:t>
            </w:r>
          </w:p>
        </w:tc>
        <w:tc>
          <w:tcPr>
            <w:tcW w:w="4844" w:type="dxa"/>
            <w:tcBorders>
              <w:top w:val="nil"/>
              <w:left w:val="nil"/>
              <w:bottom w:val="single" w:sz="4" w:space="0" w:color="auto"/>
              <w:right w:val="single" w:sz="4" w:space="0" w:color="auto"/>
            </w:tcBorders>
            <w:shd w:val="clear" w:color="auto" w:fill="auto"/>
            <w:vAlign w:val="center"/>
            <w:hideMark/>
          </w:tcPr>
          <w:p w14:paraId="4A92D035" w14:textId="26C2F76F"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EFIGAS GAS NATURAL S.A E.S.P</w:t>
            </w:r>
            <w:r w:rsidR="00395CAC">
              <w:rPr>
                <w:rFonts w:ascii="Arial Narrow" w:hAnsi="Arial Narrow" w:cs="Calibri"/>
                <w:color w:val="000000"/>
                <w:spacing w:val="0"/>
                <w:sz w:val="16"/>
                <w:szCs w:val="16"/>
                <w:lang w:eastAsia="es-CO"/>
              </w:rPr>
              <w:t>.</w:t>
            </w:r>
            <w:r w:rsidRPr="009838E7">
              <w:rPr>
                <w:rFonts w:ascii="Arial Narrow" w:hAnsi="Arial Narrow" w:cs="Calibri"/>
                <w:color w:val="000000"/>
                <w:spacing w:val="0"/>
                <w:sz w:val="16"/>
                <w:szCs w:val="16"/>
                <w:lang w:eastAsia="es-CO"/>
              </w:rPr>
              <w:t xml:space="preserve"> </w:t>
            </w:r>
          </w:p>
        </w:tc>
        <w:tc>
          <w:tcPr>
            <w:tcW w:w="1600" w:type="dxa"/>
            <w:tcBorders>
              <w:top w:val="nil"/>
              <w:left w:val="nil"/>
              <w:bottom w:val="single" w:sz="4" w:space="0" w:color="auto"/>
              <w:right w:val="single" w:sz="4" w:space="0" w:color="auto"/>
            </w:tcBorders>
            <w:shd w:val="clear" w:color="auto" w:fill="auto"/>
            <w:noWrap/>
            <w:vAlign w:val="center"/>
            <w:hideMark/>
          </w:tcPr>
          <w:p w14:paraId="7D4A6A13"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12.514.074.000 </w:t>
            </w:r>
          </w:p>
        </w:tc>
        <w:tc>
          <w:tcPr>
            <w:tcW w:w="1660" w:type="dxa"/>
            <w:tcBorders>
              <w:top w:val="nil"/>
              <w:left w:val="nil"/>
              <w:bottom w:val="single" w:sz="4" w:space="0" w:color="auto"/>
              <w:right w:val="single" w:sz="4" w:space="0" w:color="auto"/>
            </w:tcBorders>
            <w:shd w:val="clear" w:color="auto" w:fill="auto"/>
            <w:noWrap/>
            <w:vAlign w:val="center"/>
            <w:hideMark/>
          </w:tcPr>
          <w:p w14:paraId="2AD45F87"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13.920.156.000 </w:t>
            </w:r>
          </w:p>
        </w:tc>
      </w:tr>
      <w:tr w:rsidR="009838E7" w:rsidRPr="009838E7" w14:paraId="2F67E811"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28382B5E"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15</w:t>
            </w:r>
          </w:p>
        </w:tc>
        <w:tc>
          <w:tcPr>
            <w:tcW w:w="505" w:type="dxa"/>
            <w:tcBorders>
              <w:top w:val="nil"/>
              <w:left w:val="nil"/>
              <w:bottom w:val="single" w:sz="4" w:space="0" w:color="auto"/>
              <w:right w:val="single" w:sz="4" w:space="0" w:color="auto"/>
            </w:tcBorders>
            <w:shd w:val="clear" w:color="auto" w:fill="auto"/>
            <w:noWrap/>
            <w:vAlign w:val="center"/>
            <w:hideMark/>
          </w:tcPr>
          <w:p w14:paraId="0DE46AE0"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481</w:t>
            </w:r>
          </w:p>
        </w:tc>
        <w:tc>
          <w:tcPr>
            <w:tcW w:w="797" w:type="dxa"/>
            <w:tcBorders>
              <w:top w:val="nil"/>
              <w:left w:val="nil"/>
              <w:bottom w:val="single" w:sz="4" w:space="0" w:color="auto"/>
              <w:right w:val="single" w:sz="4" w:space="0" w:color="auto"/>
            </w:tcBorders>
            <w:shd w:val="clear" w:color="auto" w:fill="auto"/>
            <w:noWrap/>
            <w:vAlign w:val="center"/>
            <w:hideMark/>
          </w:tcPr>
          <w:p w14:paraId="0EE4CFEC"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800215347</w:t>
            </w:r>
          </w:p>
        </w:tc>
        <w:tc>
          <w:tcPr>
            <w:tcW w:w="4844" w:type="dxa"/>
            <w:tcBorders>
              <w:top w:val="nil"/>
              <w:left w:val="nil"/>
              <w:bottom w:val="single" w:sz="4" w:space="0" w:color="auto"/>
              <w:right w:val="single" w:sz="4" w:space="0" w:color="auto"/>
            </w:tcBorders>
            <w:shd w:val="clear" w:color="auto" w:fill="auto"/>
            <w:vAlign w:val="center"/>
            <w:hideMark/>
          </w:tcPr>
          <w:p w14:paraId="7B093B37"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TRANSPORTADORA DE METANO E.S.P. S.A.</w:t>
            </w:r>
          </w:p>
        </w:tc>
        <w:tc>
          <w:tcPr>
            <w:tcW w:w="1600" w:type="dxa"/>
            <w:tcBorders>
              <w:top w:val="nil"/>
              <w:left w:val="nil"/>
              <w:bottom w:val="single" w:sz="4" w:space="0" w:color="auto"/>
              <w:right w:val="single" w:sz="4" w:space="0" w:color="auto"/>
            </w:tcBorders>
            <w:shd w:val="clear" w:color="auto" w:fill="auto"/>
            <w:noWrap/>
            <w:vAlign w:val="center"/>
            <w:hideMark/>
          </w:tcPr>
          <w:p w14:paraId="2C31ACCF"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6.160.304.000 </w:t>
            </w:r>
          </w:p>
        </w:tc>
        <w:tc>
          <w:tcPr>
            <w:tcW w:w="1660" w:type="dxa"/>
            <w:tcBorders>
              <w:top w:val="nil"/>
              <w:left w:val="nil"/>
              <w:bottom w:val="single" w:sz="4" w:space="0" w:color="auto"/>
              <w:right w:val="single" w:sz="4" w:space="0" w:color="auto"/>
            </w:tcBorders>
            <w:shd w:val="clear" w:color="auto" w:fill="auto"/>
            <w:noWrap/>
            <w:vAlign w:val="center"/>
            <w:hideMark/>
          </w:tcPr>
          <w:p w14:paraId="08BF568C"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7.434.913.000 </w:t>
            </w:r>
          </w:p>
        </w:tc>
      </w:tr>
      <w:tr w:rsidR="009838E7" w:rsidRPr="009838E7" w14:paraId="09EA79CB"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403E9849"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16</w:t>
            </w:r>
          </w:p>
        </w:tc>
        <w:tc>
          <w:tcPr>
            <w:tcW w:w="505" w:type="dxa"/>
            <w:tcBorders>
              <w:top w:val="nil"/>
              <w:left w:val="nil"/>
              <w:bottom w:val="single" w:sz="4" w:space="0" w:color="auto"/>
              <w:right w:val="single" w:sz="4" w:space="0" w:color="auto"/>
            </w:tcBorders>
            <w:shd w:val="clear" w:color="auto" w:fill="auto"/>
            <w:noWrap/>
            <w:vAlign w:val="center"/>
            <w:hideMark/>
          </w:tcPr>
          <w:p w14:paraId="3C6506A1"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541</w:t>
            </w:r>
          </w:p>
        </w:tc>
        <w:tc>
          <w:tcPr>
            <w:tcW w:w="797" w:type="dxa"/>
            <w:tcBorders>
              <w:top w:val="nil"/>
              <w:left w:val="nil"/>
              <w:bottom w:val="single" w:sz="4" w:space="0" w:color="auto"/>
              <w:right w:val="single" w:sz="4" w:space="0" w:color="auto"/>
            </w:tcBorders>
            <w:shd w:val="clear" w:color="auto" w:fill="auto"/>
            <w:noWrap/>
            <w:vAlign w:val="center"/>
            <w:hideMark/>
          </w:tcPr>
          <w:p w14:paraId="0ABC2DBA"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800218682</w:t>
            </w:r>
          </w:p>
        </w:tc>
        <w:tc>
          <w:tcPr>
            <w:tcW w:w="4844" w:type="dxa"/>
            <w:tcBorders>
              <w:top w:val="nil"/>
              <w:left w:val="nil"/>
              <w:bottom w:val="single" w:sz="4" w:space="0" w:color="auto"/>
              <w:right w:val="single" w:sz="4" w:space="0" w:color="auto"/>
            </w:tcBorders>
            <w:shd w:val="clear" w:color="auto" w:fill="auto"/>
            <w:vAlign w:val="center"/>
            <w:hideMark/>
          </w:tcPr>
          <w:p w14:paraId="7032E6E0" w14:textId="209B3092"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GASES DEL CUSIANA S.A. E.S.P</w:t>
            </w:r>
            <w:r w:rsidR="00395CAC">
              <w:rPr>
                <w:rFonts w:ascii="Arial Narrow" w:hAnsi="Arial Narrow" w:cs="Calibri"/>
                <w:color w:val="000000"/>
                <w:spacing w:val="0"/>
                <w:sz w:val="16"/>
                <w:szCs w:val="16"/>
                <w:lang w:eastAsia="es-CO"/>
              </w:rPr>
              <w:t>.</w:t>
            </w:r>
          </w:p>
        </w:tc>
        <w:tc>
          <w:tcPr>
            <w:tcW w:w="1600" w:type="dxa"/>
            <w:tcBorders>
              <w:top w:val="nil"/>
              <w:left w:val="nil"/>
              <w:bottom w:val="single" w:sz="4" w:space="0" w:color="auto"/>
              <w:right w:val="single" w:sz="4" w:space="0" w:color="auto"/>
            </w:tcBorders>
            <w:shd w:val="clear" w:color="auto" w:fill="auto"/>
            <w:noWrap/>
            <w:vAlign w:val="center"/>
            <w:hideMark/>
          </w:tcPr>
          <w:p w14:paraId="6BD002F4"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1.596.225.294 </w:t>
            </w:r>
          </w:p>
        </w:tc>
        <w:tc>
          <w:tcPr>
            <w:tcW w:w="1660" w:type="dxa"/>
            <w:tcBorders>
              <w:top w:val="nil"/>
              <w:left w:val="nil"/>
              <w:bottom w:val="single" w:sz="4" w:space="0" w:color="auto"/>
              <w:right w:val="single" w:sz="4" w:space="0" w:color="auto"/>
            </w:tcBorders>
            <w:shd w:val="clear" w:color="auto" w:fill="auto"/>
            <w:noWrap/>
            <w:vAlign w:val="center"/>
            <w:hideMark/>
          </w:tcPr>
          <w:p w14:paraId="260E33EB"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1.824.960.849 </w:t>
            </w:r>
          </w:p>
        </w:tc>
      </w:tr>
      <w:tr w:rsidR="009838E7" w:rsidRPr="009838E7" w14:paraId="772D1694"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034F15CD"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17</w:t>
            </w:r>
          </w:p>
        </w:tc>
        <w:tc>
          <w:tcPr>
            <w:tcW w:w="505" w:type="dxa"/>
            <w:tcBorders>
              <w:top w:val="nil"/>
              <w:left w:val="nil"/>
              <w:bottom w:val="single" w:sz="4" w:space="0" w:color="auto"/>
              <w:right w:val="single" w:sz="4" w:space="0" w:color="auto"/>
            </w:tcBorders>
            <w:shd w:val="clear" w:color="auto" w:fill="auto"/>
            <w:noWrap/>
            <w:vAlign w:val="center"/>
            <w:hideMark/>
          </w:tcPr>
          <w:p w14:paraId="0C03FDAB"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1058</w:t>
            </w:r>
          </w:p>
        </w:tc>
        <w:tc>
          <w:tcPr>
            <w:tcW w:w="797" w:type="dxa"/>
            <w:tcBorders>
              <w:top w:val="nil"/>
              <w:left w:val="nil"/>
              <w:bottom w:val="single" w:sz="4" w:space="0" w:color="auto"/>
              <w:right w:val="single" w:sz="4" w:space="0" w:color="auto"/>
            </w:tcBorders>
            <w:shd w:val="clear" w:color="auto" w:fill="auto"/>
            <w:noWrap/>
            <w:vAlign w:val="center"/>
            <w:hideMark/>
          </w:tcPr>
          <w:p w14:paraId="10273256"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800219925</w:t>
            </w:r>
          </w:p>
        </w:tc>
        <w:tc>
          <w:tcPr>
            <w:tcW w:w="4844" w:type="dxa"/>
            <w:tcBorders>
              <w:top w:val="nil"/>
              <w:left w:val="nil"/>
              <w:bottom w:val="single" w:sz="4" w:space="0" w:color="auto"/>
              <w:right w:val="single" w:sz="4" w:space="0" w:color="auto"/>
            </w:tcBorders>
            <w:shd w:val="clear" w:color="auto" w:fill="auto"/>
            <w:vAlign w:val="center"/>
            <w:hideMark/>
          </w:tcPr>
          <w:p w14:paraId="4AC2D3F7"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COMPAÑIA ELECTRICA DE SOCHAGOTA S.A. E.S.P.</w:t>
            </w:r>
          </w:p>
        </w:tc>
        <w:tc>
          <w:tcPr>
            <w:tcW w:w="1600" w:type="dxa"/>
            <w:tcBorders>
              <w:top w:val="nil"/>
              <w:left w:val="nil"/>
              <w:bottom w:val="single" w:sz="4" w:space="0" w:color="auto"/>
              <w:right w:val="single" w:sz="4" w:space="0" w:color="auto"/>
            </w:tcBorders>
            <w:shd w:val="clear" w:color="auto" w:fill="auto"/>
            <w:noWrap/>
            <w:vAlign w:val="center"/>
            <w:hideMark/>
          </w:tcPr>
          <w:p w14:paraId="2F4A874E"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5.323.577.815 </w:t>
            </w:r>
          </w:p>
        </w:tc>
        <w:tc>
          <w:tcPr>
            <w:tcW w:w="1660" w:type="dxa"/>
            <w:tcBorders>
              <w:top w:val="nil"/>
              <w:left w:val="nil"/>
              <w:bottom w:val="single" w:sz="4" w:space="0" w:color="auto"/>
              <w:right w:val="single" w:sz="4" w:space="0" w:color="auto"/>
            </w:tcBorders>
            <w:shd w:val="clear" w:color="auto" w:fill="auto"/>
            <w:noWrap/>
            <w:vAlign w:val="center"/>
            <w:hideMark/>
          </w:tcPr>
          <w:p w14:paraId="593591F4"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5.625.601.489 </w:t>
            </w:r>
          </w:p>
        </w:tc>
      </w:tr>
      <w:tr w:rsidR="009838E7" w:rsidRPr="009838E7" w14:paraId="0E0B1AA4"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17C81CE9"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18</w:t>
            </w:r>
          </w:p>
        </w:tc>
        <w:tc>
          <w:tcPr>
            <w:tcW w:w="505" w:type="dxa"/>
            <w:tcBorders>
              <w:top w:val="nil"/>
              <w:left w:val="nil"/>
              <w:bottom w:val="single" w:sz="4" w:space="0" w:color="auto"/>
              <w:right w:val="single" w:sz="4" w:space="0" w:color="auto"/>
            </w:tcBorders>
            <w:shd w:val="clear" w:color="auto" w:fill="auto"/>
            <w:noWrap/>
            <w:vAlign w:val="center"/>
            <w:hideMark/>
          </w:tcPr>
          <w:p w14:paraId="7309D4E8"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527</w:t>
            </w:r>
          </w:p>
        </w:tc>
        <w:tc>
          <w:tcPr>
            <w:tcW w:w="797" w:type="dxa"/>
            <w:tcBorders>
              <w:top w:val="nil"/>
              <w:left w:val="nil"/>
              <w:bottom w:val="single" w:sz="4" w:space="0" w:color="auto"/>
              <w:right w:val="single" w:sz="4" w:space="0" w:color="auto"/>
            </w:tcBorders>
            <w:shd w:val="clear" w:color="auto" w:fill="auto"/>
            <w:noWrap/>
            <w:vAlign w:val="center"/>
            <w:hideMark/>
          </w:tcPr>
          <w:p w14:paraId="5B39C64F"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800226766</w:t>
            </w:r>
          </w:p>
        </w:tc>
        <w:tc>
          <w:tcPr>
            <w:tcW w:w="4844" w:type="dxa"/>
            <w:tcBorders>
              <w:top w:val="nil"/>
              <w:left w:val="nil"/>
              <w:bottom w:val="single" w:sz="4" w:space="0" w:color="auto"/>
              <w:right w:val="single" w:sz="4" w:space="0" w:color="auto"/>
            </w:tcBorders>
            <w:shd w:val="clear" w:color="auto" w:fill="auto"/>
            <w:vAlign w:val="center"/>
            <w:hideMark/>
          </w:tcPr>
          <w:p w14:paraId="5279B29E"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PROMIORIENTE S.A. E.S.P.</w:t>
            </w:r>
          </w:p>
        </w:tc>
        <w:tc>
          <w:tcPr>
            <w:tcW w:w="1600" w:type="dxa"/>
            <w:tcBorders>
              <w:top w:val="nil"/>
              <w:left w:val="nil"/>
              <w:bottom w:val="single" w:sz="4" w:space="0" w:color="auto"/>
              <w:right w:val="single" w:sz="4" w:space="0" w:color="auto"/>
            </w:tcBorders>
            <w:shd w:val="clear" w:color="auto" w:fill="auto"/>
            <w:noWrap/>
            <w:vAlign w:val="center"/>
            <w:hideMark/>
          </w:tcPr>
          <w:p w14:paraId="21C64326"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6.051.450.000 </w:t>
            </w:r>
          </w:p>
        </w:tc>
        <w:tc>
          <w:tcPr>
            <w:tcW w:w="1660" w:type="dxa"/>
            <w:tcBorders>
              <w:top w:val="nil"/>
              <w:left w:val="nil"/>
              <w:bottom w:val="single" w:sz="4" w:space="0" w:color="auto"/>
              <w:right w:val="single" w:sz="4" w:space="0" w:color="auto"/>
            </w:tcBorders>
            <w:shd w:val="clear" w:color="auto" w:fill="auto"/>
            <w:noWrap/>
            <w:vAlign w:val="center"/>
            <w:hideMark/>
          </w:tcPr>
          <w:p w14:paraId="4E0AC3EC"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8.048.290.000 </w:t>
            </w:r>
          </w:p>
        </w:tc>
      </w:tr>
      <w:tr w:rsidR="009838E7" w:rsidRPr="009838E7" w14:paraId="73B37D15"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5B09BA40"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19</w:t>
            </w:r>
          </w:p>
        </w:tc>
        <w:tc>
          <w:tcPr>
            <w:tcW w:w="505" w:type="dxa"/>
            <w:tcBorders>
              <w:top w:val="nil"/>
              <w:left w:val="nil"/>
              <w:bottom w:val="single" w:sz="4" w:space="0" w:color="auto"/>
              <w:right w:val="single" w:sz="4" w:space="0" w:color="auto"/>
            </w:tcBorders>
            <w:shd w:val="clear" w:color="auto" w:fill="auto"/>
            <w:noWrap/>
            <w:vAlign w:val="center"/>
            <w:hideMark/>
          </w:tcPr>
          <w:p w14:paraId="1F3B1DB1"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485</w:t>
            </w:r>
          </w:p>
        </w:tc>
        <w:tc>
          <w:tcPr>
            <w:tcW w:w="797" w:type="dxa"/>
            <w:tcBorders>
              <w:top w:val="nil"/>
              <w:left w:val="nil"/>
              <w:bottom w:val="single" w:sz="4" w:space="0" w:color="auto"/>
              <w:right w:val="single" w:sz="4" w:space="0" w:color="auto"/>
            </w:tcBorders>
            <w:shd w:val="clear" w:color="auto" w:fill="auto"/>
            <w:noWrap/>
            <w:vAlign w:val="center"/>
            <w:hideMark/>
          </w:tcPr>
          <w:p w14:paraId="39EECD1E"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800245746</w:t>
            </w:r>
          </w:p>
        </w:tc>
        <w:tc>
          <w:tcPr>
            <w:tcW w:w="4844" w:type="dxa"/>
            <w:tcBorders>
              <w:top w:val="nil"/>
              <w:left w:val="nil"/>
              <w:bottom w:val="single" w:sz="4" w:space="0" w:color="auto"/>
              <w:right w:val="single" w:sz="4" w:space="0" w:color="auto"/>
            </w:tcBorders>
            <w:shd w:val="clear" w:color="auto" w:fill="auto"/>
            <w:vAlign w:val="center"/>
            <w:hideMark/>
          </w:tcPr>
          <w:p w14:paraId="193FCC1F"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TERMOBARRANQUILLA S.A. E.S.P.</w:t>
            </w:r>
          </w:p>
        </w:tc>
        <w:tc>
          <w:tcPr>
            <w:tcW w:w="1600" w:type="dxa"/>
            <w:tcBorders>
              <w:top w:val="nil"/>
              <w:left w:val="nil"/>
              <w:bottom w:val="single" w:sz="4" w:space="0" w:color="auto"/>
              <w:right w:val="single" w:sz="4" w:space="0" w:color="auto"/>
            </w:tcBorders>
            <w:shd w:val="clear" w:color="auto" w:fill="auto"/>
            <w:noWrap/>
            <w:vAlign w:val="center"/>
            <w:hideMark/>
          </w:tcPr>
          <w:p w14:paraId="3F867B08"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30.458.945.859 </w:t>
            </w:r>
          </w:p>
        </w:tc>
        <w:tc>
          <w:tcPr>
            <w:tcW w:w="1660" w:type="dxa"/>
            <w:tcBorders>
              <w:top w:val="nil"/>
              <w:left w:val="nil"/>
              <w:bottom w:val="single" w:sz="4" w:space="0" w:color="auto"/>
              <w:right w:val="single" w:sz="4" w:space="0" w:color="auto"/>
            </w:tcBorders>
            <w:shd w:val="clear" w:color="auto" w:fill="auto"/>
            <w:noWrap/>
            <w:vAlign w:val="center"/>
            <w:hideMark/>
          </w:tcPr>
          <w:p w14:paraId="252ABD78"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37.142.102.195 </w:t>
            </w:r>
          </w:p>
        </w:tc>
      </w:tr>
      <w:tr w:rsidR="009838E7" w:rsidRPr="009838E7" w14:paraId="7B641183"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47D27C53"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20</w:t>
            </w:r>
          </w:p>
        </w:tc>
        <w:tc>
          <w:tcPr>
            <w:tcW w:w="505" w:type="dxa"/>
            <w:tcBorders>
              <w:top w:val="nil"/>
              <w:left w:val="nil"/>
              <w:bottom w:val="single" w:sz="4" w:space="0" w:color="auto"/>
              <w:right w:val="single" w:sz="4" w:space="0" w:color="auto"/>
            </w:tcBorders>
            <w:shd w:val="clear" w:color="auto" w:fill="auto"/>
            <w:noWrap/>
            <w:vAlign w:val="center"/>
            <w:hideMark/>
          </w:tcPr>
          <w:p w14:paraId="70F852FE"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536</w:t>
            </w:r>
          </w:p>
        </w:tc>
        <w:tc>
          <w:tcPr>
            <w:tcW w:w="797" w:type="dxa"/>
            <w:tcBorders>
              <w:top w:val="nil"/>
              <w:left w:val="nil"/>
              <w:bottom w:val="single" w:sz="4" w:space="0" w:color="auto"/>
              <w:right w:val="single" w:sz="4" w:space="0" w:color="auto"/>
            </w:tcBorders>
            <w:shd w:val="clear" w:color="auto" w:fill="auto"/>
            <w:noWrap/>
            <w:vAlign w:val="center"/>
            <w:hideMark/>
          </w:tcPr>
          <w:p w14:paraId="0194C81F"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800249860</w:t>
            </w:r>
          </w:p>
        </w:tc>
        <w:tc>
          <w:tcPr>
            <w:tcW w:w="4844" w:type="dxa"/>
            <w:tcBorders>
              <w:top w:val="nil"/>
              <w:left w:val="nil"/>
              <w:bottom w:val="single" w:sz="4" w:space="0" w:color="auto"/>
              <w:right w:val="single" w:sz="4" w:space="0" w:color="auto"/>
            </w:tcBorders>
            <w:shd w:val="clear" w:color="auto" w:fill="auto"/>
            <w:vAlign w:val="center"/>
            <w:hideMark/>
          </w:tcPr>
          <w:p w14:paraId="43CE0BD4"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EMPRESA DE ENERGÍA DEL PACÍFICO S.A. E.S.P.</w:t>
            </w:r>
          </w:p>
        </w:tc>
        <w:tc>
          <w:tcPr>
            <w:tcW w:w="1600" w:type="dxa"/>
            <w:tcBorders>
              <w:top w:val="nil"/>
              <w:left w:val="nil"/>
              <w:bottom w:val="single" w:sz="4" w:space="0" w:color="auto"/>
              <w:right w:val="single" w:sz="4" w:space="0" w:color="auto"/>
            </w:tcBorders>
            <w:shd w:val="clear" w:color="auto" w:fill="auto"/>
            <w:noWrap/>
            <w:vAlign w:val="center"/>
            <w:hideMark/>
          </w:tcPr>
          <w:p w14:paraId="52A89131"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167.369.176.387 </w:t>
            </w:r>
          </w:p>
        </w:tc>
        <w:tc>
          <w:tcPr>
            <w:tcW w:w="1660" w:type="dxa"/>
            <w:tcBorders>
              <w:top w:val="nil"/>
              <w:left w:val="nil"/>
              <w:bottom w:val="single" w:sz="4" w:space="0" w:color="auto"/>
              <w:right w:val="single" w:sz="4" w:space="0" w:color="auto"/>
            </w:tcBorders>
            <w:shd w:val="clear" w:color="auto" w:fill="auto"/>
            <w:noWrap/>
            <w:vAlign w:val="center"/>
            <w:hideMark/>
          </w:tcPr>
          <w:p w14:paraId="27D6ED8D"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161.280.488.110 </w:t>
            </w:r>
          </w:p>
        </w:tc>
      </w:tr>
      <w:tr w:rsidR="009838E7" w:rsidRPr="009838E7" w14:paraId="7B41CB54"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4900BFE2"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21</w:t>
            </w:r>
          </w:p>
        </w:tc>
        <w:tc>
          <w:tcPr>
            <w:tcW w:w="505" w:type="dxa"/>
            <w:tcBorders>
              <w:top w:val="nil"/>
              <w:left w:val="nil"/>
              <w:bottom w:val="single" w:sz="4" w:space="0" w:color="auto"/>
              <w:right w:val="single" w:sz="4" w:space="0" w:color="auto"/>
            </w:tcBorders>
            <w:shd w:val="clear" w:color="auto" w:fill="auto"/>
            <w:noWrap/>
            <w:vAlign w:val="center"/>
            <w:hideMark/>
          </w:tcPr>
          <w:p w14:paraId="3CCE0D28"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1077</w:t>
            </w:r>
          </w:p>
        </w:tc>
        <w:tc>
          <w:tcPr>
            <w:tcW w:w="797" w:type="dxa"/>
            <w:tcBorders>
              <w:top w:val="nil"/>
              <w:left w:val="nil"/>
              <w:bottom w:val="single" w:sz="4" w:space="0" w:color="auto"/>
              <w:right w:val="single" w:sz="4" w:space="0" w:color="auto"/>
            </w:tcBorders>
            <w:shd w:val="clear" w:color="auto" w:fill="auto"/>
            <w:noWrap/>
            <w:vAlign w:val="center"/>
            <w:hideMark/>
          </w:tcPr>
          <w:p w14:paraId="47DB7905"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800253702</w:t>
            </w:r>
          </w:p>
        </w:tc>
        <w:tc>
          <w:tcPr>
            <w:tcW w:w="4844" w:type="dxa"/>
            <w:tcBorders>
              <w:top w:val="nil"/>
              <w:left w:val="nil"/>
              <w:bottom w:val="single" w:sz="4" w:space="0" w:color="auto"/>
              <w:right w:val="single" w:sz="4" w:space="0" w:color="auto"/>
            </w:tcBorders>
            <w:shd w:val="clear" w:color="auto" w:fill="auto"/>
            <w:vAlign w:val="center"/>
            <w:hideMark/>
          </w:tcPr>
          <w:p w14:paraId="49BE8537" w14:textId="1F53B886"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TERMOEMCALI I S.A. ESP</w:t>
            </w:r>
          </w:p>
        </w:tc>
        <w:tc>
          <w:tcPr>
            <w:tcW w:w="1600" w:type="dxa"/>
            <w:tcBorders>
              <w:top w:val="nil"/>
              <w:left w:val="nil"/>
              <w:bottom w:val="single" w:sz="4" w:space="0" w:color="auto"/>
              <w:right w:val="single" w:sz="4" w:space="0" w:color="auto"/>
            </w:tcBorders>
            <w:shd w:val="clear" w:color="auto" w:fill="auto"/>
            <w:noWrap/>
            <w:vAlign w:val="center"/>
            <w:hideMark/>
          </w:tcPr>
          <w:p w14:paraId="2D096500"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7.077.921.688 </w:t>
            </w:r>
          </w:p>
        </w:tc>
        <w:tc>
          <w:tcPr>
            <w:tcW w:w="1660" w:type="dxa"/>
            <w:tcBorders>
              <w:top w:val="nil"/>
              <w:left w:val="nil"/>
              <w:bottom w:val="single" w:sz="4" w:space="0" w:color="auto"/>
              <w:right w:val="single" w:sz="4" w:space="0" w:color="auto"/>
            </w:tcBorders>
            <w:shd w:val="clear" w:color="auto" w:fill="auto"/>
            <w:noWrap/>
            <w:vAlign w:val="center"/>
            <w:hideMark/>
          </w:tcPr>
          <w:p w14:paraId="5C74788E"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8.374.789.098 </w:t>
            </w:r>
          </w:p>
        </w:tc>
      </w:tr>
      <w:tr w:rsidR="009838E7" w:rsidRPr="009838E7" w14:paraId="461B799E"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26225D5D"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22</w:t>
            </w:r>
          </w:p>
        </w:tc>
        <w:tc>
          <w:tcPr>
            <w:tcW w:w="505" w:type="dxa"/>
            <w:tcBorders>
              <w:top w:val="nil"/>
              <w:left w:val="nil"/>
              <w:bottom w:val="single" w:sz="4" w:space="0" w:color="auto"/>
              <w:right w:val="single" w:sz="4" w:space="0" w:color="auto"/>
            </w:tcBorders>
            <w:shd w:val="clear" w:color="auto" w:fill="auto"/>
            <w:noWrap/>
            <w:vAlign w:val="center"/>
            <w:hideMark/>
          </w:tcPr>
          <w:p w14:paraId="0F647867"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2247</w:t>
            </w:r>
          </w:p>
        </w:tc>
        <w:tc>
          <w:tcPr>
            <w:tcW w:w="797" w:type="dxa"/>
            <w:tcBorders>
              <w:top w:val="nil"/>
              <w:left w:val="nil"/>
              <w:bottom w:val="single" w:sz="4" w:space="0" w:color="auto"/>
              <w:right w:val="single" w:sz="4" w:space="0" w:color="auto"/>
            </w:tcBorders>
            <w:shd w:val="clear" w:color="auto" w:fill="auto"/>
            <w:noWrap/>
            <w:vAlign w:val="center"/>
            <w:hideMark/>
          </w:tcPr>
          <w:p w14:paraId="1C6BC310"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802007669</w:t>
            </w:r>
          </w:p>
        </w:tc>
        <w:tc>
          <w:tcPr>
            <w:tcW w:w="4844" w:type="dxa"/>
            <w:tcBorders>
              <w:top w:val="nil"/>
              <w:left w:val="nil"/>
              <w:bottom w:val="single" w:sz="4" w:space="0" w:color="auto"/>
              <w:right w:val="single" w:sz="4" w:space="0" w:color="auto"/>
            </w:tcBorders>
            <w:shd w:val="clear" w:color="auto" w:fill="auto"/>
            <w:vAlign w:val="center"/>
            <w:hideMark/>
          </w:tcPr>
          <w:p w14:paraId="6D2706C4"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TRANSELCA S.A. E.S.P.</w:t>
            </w:r>
          </w:p>
        </w:tc>
        <w:tc>
          <w:tcPr>
            <w:tcW w:w="1600" w:type="dxa"/>
            <w:tcBorders>
              <w:top w:val="nil"/>
              <w:left w:val="nil"/>
              <w:bottom w:val="single" w:sz="4" w:space="0" w:color="auto"/>
              <w:right w:val="single" w:sz="4" w:space="0" w:color="auto"/>
            </w:tcBorders>
            <w:shd w:val="clear" w:color="auto" w:fill="auto"/>
            <w:noWrap/>
            <w:vAlign w:val="center"/>
            <w:hideMark/>
          </w:tcPr>
          <w:p w14:paraId="0D3B71C3"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28.462.757.000 </w:t>
            </w:r>
          </w:p>
        </w:tc>
        <w:tc>
          <w:tcPr>
            <w:tcW w:w="1660" w:type="dxa"/>
            <w:tcBorders>
              <w:top w:val="nil"/>
              <w:left w:val="nil"/>
              <w:bottom w:val="single" w:sz="4" w:space="0" w:color="auto"/>
              <w:right w:val="single" w:sz="4" w:space="0" w:color="auto"/>
            </w:tcBorders>
            <w:shd w:val="clear" w:color="auto" w:fill="auto"/>
            <w:noWrap/>
            <w:vAlign w:val="center"/>
            <w:hideMark/>
          </w:tcPr>
          <w:p w14:paraId="3C87F053"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36.188.612.000 </w:t>
            </w:r>
          </w:p>
        </w:tc>
      </w:tr>
      <w:tr w:rsidR="009838E7" w:rsidRPr="009838E7" w14:paraId="4DD480E7"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27157798"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23</w:t>
            </w:r>
          </w:p>
        </w:tc>
        <w:tc>
          <w:tcPr>
            <w:tcW w:w="505" w:type="dxa"/>
            <w:tcBorders>
              <w:top w:val="nil"/>
              <w:left w:val="nil"/>
              <w:bottom w:val="single" w:sz="4" w:space="0" w:color="auto"/>
              <w:right w:val="single" w:sz="4" w:space="0" w:color="auto"/>
            </w:tcBorders>
            <w:shd w:val="clear" w:color="auto" w:fill="auto"/>
            <w:noWrap/>
            <w:vAlign w:val="center"/>
            <w:hideMark/>
          </w:tcPr>
          <w:p w14:paraId="7D99C9D9"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20256</w:t>
            </w:r>
          </w:p>
        </w:tc>
        <w:tc>
          <w:tcPr>
            <w:tcW w:w="797" w:type="dxa"/>
            <w:tcBorders>
              <w:top w:val="nil"/>
              <w:left w:val="nil"/>
              <w:bottom w:val="single" w:sz="4" w:space="0" w:color="auto"/>
              <w:right w:val="single" w:sz="4" w:space="0" w:color="auto"/>
            </w:tcBorders>
            <w:shd w:val="clear" w:color="auto" w:fill="auto"/>
            <w:noWrap/>
            <w:vAlign w:val="center"/>
            <w:hideMark/>
          </w:tcPr>
          <w:p w14:paraId="0FE17C8D"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802025052</w:t>
            </w:r>
          </w:p>
        </w:tc>
        <w:tc>
          <w:tcPr>
            <w:tcW w:w="4844" w:type="dxa"/>
            <w:tcBorders>
              <w:top w:val="nil"/>
              <w:left w:val="nil"/>
              <w:bottom w:val="single" w:sz="4" w:space="0" w:color="auto"/>
              <w:right w:val="single" w:sz="4" w:space="0" w:color="auto"/>
            </w:tcBorders>
            <w:shd w:val="clear" w:color="auto" w:fill="auto"/>
            <w:vAlign w:val="center"/>
            <w:hideMark/>
          </w:tcPr>
          <w:p w14:paraId="5873E44B"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E2 ENERGIA EFICIENTE S.A. E.S.P.</w:t>
            </w:r>
          </w:p>
        </w:tc>
        <w:tc>
          <w:tcPr>
            <w:tcW w:w="1600" w:type="dxa"/>
            <w:tcBorders>
              <w:top w:val="nil"/>
              <w:left w:val="nil"/>
              <w:bottom w:val="single" w:sz="4" w:space="0" w:color="auto"/>
              <w:right w:val="single" w:sz="4" w:space="0" w:color="auto"/>
            </w:tcBorders>
            <w:shd w:val="clear" w:color="auto" w:fill="auto"/>
            <w:noWrap/>
            <w:vAlign w:val="center"/>
            <w:hideMark/>
          </w:tcPr>
          <w:p w14:paraId="7109FE7D"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1.916.256.724 </w:t>
            </w:r>
          </w:p>
        </w:tc>
        <w:tc>
          <w:tcPr>
            <w:tcW w:w="1660" w:type="dxa"/>
            <w:tcBorders>
              <w:top w:val="nil"/>
              <w:left w:val="nil"/>
              <w:bottom w:val="single" w:sz="4" w:space="0" w:color="auto"/>
              <w:right w:val="single" w:sz="4" w:space="0" w:color="auto"/>
            </w:tcBorders>
            <w:shd w:val="clear" w:color="auto" w:fill="auto"/>
            <w:noWrap/>
            <w:vAlign w:val="center"/>
            <w:hideMark/>
          </w:tcPr>
          <w:p w14:paraId="2774FB2C"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2.812.167.415 </w:t>
            </w:r>
          </w:p>
        </w:tc>
      </w:tr>
      <w:tr w:rsidR="009838E7" w:rsidRPr="009838E7" w14:paraId="099D457F" w14:textId="77777777" w:rsidTr="00092F91">
        <w:trPr>
          <w:trHeight w:val="341"/>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6C62076A"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24</w:t>
            </w:r>
          </w:p>
        </w:tc>
        <w:tc>
          <w:tcPr>
            <w:tcW w:w="505" w:type="dxa"/>
            <w:tcBorders>
              <w:top w:val="nil"/>
              <w:left w:val="nil"/>
              <w:bottom w:val="single" w:sz="4" w:space="0" w:color="auto"/>
              <w:right w:val="single" w:sz="4" w:space="0" w:color="auto"/>
            </w:tcBorders>
            <w:shd w:val="clear" w:color="auto" w:fill="auto"/>
            <w:noWrap/>
            <w:vAlign w:val="center"/>
            <w:hideMark/>
          </w:tcPr>
          <w:p w14:paraId="07C36420"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525</w:t>
            </w:r>
          </w:p>
        </w:tc>
        <w:tc>
          <w:tcPr>
            <w:tcW w:w="797" w:type="dxa"/>
            <w:tcBorders>
              <w:top w:val="nil"/>
              <w:left w:val="nil"/>
              <w:bottom w:val="single" w:sz="4" w:space="0" w:color="auto"/>
              <w:right w:val="single" w:sz="4" w:space="0" w:color="auto"/>
            </w:tcBorders>
            <w:shd w:val="clear" w:color="auto" w:fill="auto"/>
            <w:noWrap/>
            <w:vAlign w:val="center"/>
            <w:hideMark/>
          </w:tcPr>
          <w:p w14:paraId="6DE4C16A"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804000551</w:t>
            </w:r>
          </w:p>
        </w:tc>
        <w:tc>
          <w:tcPr>
            <w:tcW w:w="4844" w:type="dxa"/>
            <w:tcBorders>
              <w:top w:val="nil"/>
              <w:left w:val="nil"/>
              <w:bottom w:val="single" w:sz="4" w:space="0" w:color="auto"/>
              <w:right w:val="single" w:sz="4" w:space="0" w:color="auto"/>
            </w:tcBorders>
            <w:shd w:val="clear" w:color="auto" w:fill="auto"/>
            <w:vAlign w:val="center"/>
            <w:hideMark/>
          </w:tcPr>
          <w:p w14:paraId="7BDCFCA2"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GAS NATURAL DEL CESAR S.A. EMPRESA DE SERVICIOS PUBLICOS</w:t>
            </w:r>
          </w:p>
        </w:tc>
        <w:tc>
          <w:tcPr>
            <w:tcW w:w="1600" w:type="dxa"/>
            <w:tcBorders>
              <w:top w:val="nil"/>
              <w:left w:val="nil"/>
              <w:bottom w:val="single" w:sz="4" w:space="0" w:color="auto"/>
              <w:right w:val="single" w:sz="4" w:space="0" w:color="auto"/>
            </w:tcBorders>
            <w:shd w:val="clear" w:color="auto" w:fill="auto"/>
            <w:noWrap/>
            <w:vAlign w:val="center"/>
            <w:hideMark/>
          </w:tcPr>
          <w:p w14:paraId="67D4E03D"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761.659.827 </w:t>
            </w:r>
          </w:p>
        </w:tc>
        <w:tc>
          <w:tcPr>
            <w:tcW w:w="1660" w:type="dxa"/>
            <w:tcBorders>
              <w:top w:val="nil"/>
              <w:left w:val="nil"/>
              <w:bottom w:val="single" w:sz="4" w:space="0" w:color="auto"/>
              <w:right w:val="single" w:sz="4" w:space="0" w:color="auto"/>
            </w:tcBorders>
            <w:shd w:val="clear" w:color="auto" w:fill="auto"/>
            <w:noWrap/>
            <w:vAlign w:val="center"/>
            <w:hideMark/>
          </w:tcPr>
          <w:p w14:paraId="6CAB7B12"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939.624.845 </w:t>
            </w:r>
          </w:p>
        </w:tc>
      </w:tr>
      <w:tr w:rsidR="009838E7" w:rsidRPr="009838E7" w14:paraId="57E80EAE"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717FD899"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25</w:t>
            </w:r>
          </w:p>
        </w:tc>
        <w:tc>
          <w:tcPr>
            <w:tcW w:w="505" w:type="dxa"/>
            <w:tcBorders>
              <w:top w:val="nil"/>
              <w:left w:val="nil"/>
              <w:bottom w:val="single" w:sz="4" w:space="0" w:color="auto"/>
              <w:right w:val="single" w:sz="4" w:space="0" w:color="auto"/>
            </w:tcBorders>
            <w:shd w:val="clear" w:color="auto" w:fill="auto"/>
            <w:noWrap/>
            <w:vAlign w:val="center"/>
            <w:hideMark/>
          </w:tcPr>
          <w:p w14:paraId="50A56004"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1601</w:t>
            </w:r>
          </w:p>
        </w:tc>
        <w:tc>
          <w:tcPr>
            <w:tcW w:w="797" w:type="dxa"/>
            <w:tcBorders>
              <w:top w:val="nil"/>
              <w:left w:val="nil"/>
              <w:bottom w:val="single" w:sz="4" w:space="0" w:color="auto"/>
              <w:right w:val="single" w:sz="4" w:space="0" w:color="auto"/>
            </w:tcBorders>
            <w:shd w:val="clear" w:color="auto" w:fill="auto"/>
            <w:noWrap/>
            <w:vAlign w:val="center"/>
            <w:hideMark/>
          </w:tcPr>
          <w:p w14:paraId="73614BCC"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804002801</w:t>
            </w:r>
          </w:p>
        </w:tc>
        <w:tc>
          <w:tcPr>
            <w:tcW w:w="4844" w:type="dxa"/>
            <w:tcBorders>
              <w:top w:val="nil"/>
              <w:left w:val="nil"/>
              <w:bottom w:val="single" w:sz="4" w:space="0" w:color="auto"/>
              <w:right w:val="single" w:sz="4" w:space="0" w:color="auto"/>
            </w:tcBorders>
            <w:shd w:val="clear" w:color="auto" w:fill="auto"/>
            <w:vAlign w:val="center"/>
            <w:hideMark/>
          </w:tcPr>
          <w:p w14:paraId="76A5C2D9"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GASES DEL SUR DE SANTANDER S.A. E.S.P.</w:t>
            </w:r>
          </w:p>
        </w:tc>
        <w:tc>
          <w:tcPr>
            <w:tcW w:w="1600" w:type="dxa"/>
            <w:tcBorders>
              <w:top w:val="nil"/>
              <w:left w:val="nil"/>
              <w:bottom w:val="single" w:sz="4" w:space="0" w:color="auto"/>
              <w:right w:val="single" w:sz="4" w:space="0" w:color="auto"/>
            </w:tcBorders>
            <w:shd w:val="clear" w:color="auto" w:fill="auto"/>
            <w:noWrap/>
            <w:vAlign w:val="center"/>
            <w:hideMark/>
          </w:tcPr>
          <w:p w14:paraId="5030F4D8"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1.486.998.329 </w:t>
            </w:r>
          </w:p>
        </w:tc>
        <w:tc>
          <w:tcPr>
            <w:tcW w:w="1660" w:type="dxa"/>
            <w:tcBorders>
              <w:top w:val="nil"/>
              <w:left w:val="nil"/>
              <w:bottom w:val="single" w:sz="4" w:space="0" w:color="auto"/>
              <w:right w:val="single" w:sz="4" w:space="0" w:color="auto"/>
            </w:tcBorders>
            <w:shd w:val="clear" w:color="auto" w:fill="auto"/>
            <w:noWrap/>
            <w:vAlign w:val="center"/>
            <w:hideMark/>
          </w:tcPr>
          <w:p w14:paraId="012DDF9C"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675.892.815 </w:t>
            </w:r>
          </w:p>
        </w:tc>
      </w:tr>
      <w:tr w:rsidR="009838E7" w:rsidRPr="009838E7" w14:paraId="01F24D45" w14:textId="77777777" w:rsidTr="00092F91">
        <w:trPr>
          <w:trHeight w:val="293"/>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7C880D17"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26</w:t>
            </w:r>
          </w:p>
        </w:tc>
        <w:tc>
          <w:tcPr>
            <w:tcW w:w="505" w:type="dxa"/>
            <w:tcBorders>
              <w:top w:val="nil"/>
              <w:left w:val="nil"/>
              <w:bottom w:val="single" w:sz="4" w:space="0" w:color="auto"/>
              <w:right w:val="single" w:sz="4" w:space="0" w:color="auto"/>
            </w:tcBorders>
            <w:shd w:val="clear" w:color="auto" w:fill="auto"/>
            <w:noWrap/>
            <w:vAlign w:val="center"/>
            <w:hideMark/>
          </w:tcPr>
          <w:p w14:paraId="0A6B1588"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20527</w:t>
            </w:r>
          </w:p>
        </w:tc>
        <w:tc>
          <w:tcPr>
            <w:tcW w:w="797" w:type="dxa"/>
            <w:tcBorders>
              <w:top w:val="nil"/>
              <w:left w:val="nil"/>
              <w:bottom w:val="single" w:sz="4" w:space="0" w:color="auto"/>
              <w:right w:val="single" w:sz="4" w:space="0" w:color="auto"/>
            </w:tcBorders>
            <w:shd w:val="clear" w:color="auto" w:fill="auto"/>
            <w:noWrap/>
            <w:vAlign w:val="center"/>
            <w:hideMark/>
          </w:tcPr>
          <w:p w14:paraId="4925C4B8"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804002825</w:t>
            </w:r>
          </w:p>
        </w:tc>
        <w:tc>
          <w:tcPr>
            <w:tcW w:w="4844" w:type="dxa"/>
            <w:tcBorders>
              <w:top w:val="nil"/>
              <w:left w:val="nil"/>
              <w:bottom w:val="single" w:sz="4" w:space="0" w:color="auto"/>
              <w:right w:val="single" w:sz="4" w:space="0" w:color="auto"/>
            </w:tcBorders>
            <w:shd w:val="clear" w:color="auto" w:fill="auto"/>
            <w:vAlign w:val="center"/>
            <w:hideMark/>
          </w:tcPr>
          <w:p w14:paraId="48F8972B"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PROYECTOS DE INGENIERIA Y COMERCIALIZACION DE GAS S.A. ESP.</w:t>
            </w:r>
          </w:p>
        </w:tc>
        <w:tc>
          <w:tcPr>
            <w:tcW w:w="1600" w:type="dxa"/>
            <w:tcBorders>
              <w:top w:val="nil"/>
              <w:left w:val="nil"/>
              <w:bottom w:val="single" w:sz="4" w:space="0" w:color="auto"/>
              <w:right w:val="single" w:sz="4" w:space="0" w:color="auto"/>
            </w:tcBorders>
            <w:shd w:val="clear" w:color="auto" w:fill="auto"/>
            <w:noWrap/>
            <w:vAlign w:val="center"/>
            <w:hideMark/>
          </w:tcPr>
          <w:p w14:paraId="03CC1BAD"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634.155.026 </w:t>
            </w:r>
          </w:p>
        </w:tc>
        <w:tc>
          <w:tcPr>
            <w:tcW w:w="1660" w:type="dxa"/>
            <w:tcBorders>
              <w:top w:val="nil"/>
              <w:left w:val="nil"/>
              <w:bottom w:val="single" w:sz="4" w:space="0" w:color="auto"/>
              <w:right w:val="single" w:sz="4" w:space="0" w:color="auto"/>
            </w:tcBorders>
            <w:shd w:val="clear" w:color="auto" w:fill="auto"/>
            <w:noWrap/>
            <w:vAlign w:val="center"/>
            <w:hideMark/>
          </w:tcPr>
          <w:p w14:paraId="484E6129"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835.873.370 </w:t>
            </w:r>
          </w:p>
        </w:tc>
      </w:tr>
      <w:tr w:rsidR="009838E7" w:rsidRPr="009838E7" w14:paraId="4C746E1D" w14:textId="77777777" w:rsidTr="00092F91">
        <w:trPr>
          <w:trHeight w:val="418"/>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478B0EB5"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27</w:t>
            </w:r>
          </w:p>
        </w:tc>
        <w:tc>
          <w:tcPr>
            <w:tcW w:w="505" w:type="dxa"/>
            <w:tcBorders>
              <w:top w:val="nil"/>
              <w:left w:val="nil"/>
              <w:bottom w:val="single" w:sz="4" w:space="0" w:color="auto"/>
              <w:right w:val="single" w:sz="4" w:space="0" w:color="auto"/>
            </w:tcBorders>
            <w:shd w:val="clear" w:color="auto" w:fill="auto"/>
            <w:noWrap/>
            <w:vAlign w:val="center"/>
            <w:hideMark/>
          </w:tcPr>
          <w:p w14:paraId="3CC009E7"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22910</w:t>
            </w:r>
          </w:p>
        </w:tc>
        <w:tc>
          <w:tcPr>
            <w:tcW w:w="797" w:type="dxa"/>
            <w:tcBorders>
              <w:top w:val="nil"/>
              <w:left w:val="nil"/>
              <w:bottom w:val="single" w:sz="4" w:space="0" w:color="auto"/>
              <w:right w:val="single" w:sz="4" w:space="0" w:color="auto"/>
            </w:tcBorders>
            <w:shd w:val="clear" w:color="auto" w:fill="auto"/>
            <w:noWrap/>
            <w:vAlign w:val="center"/>
            <w:hideMark/>
          </w:tcPr>
          <w:p w14:paraId="2E48ACB9"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804011800</w:t>
            </w:r>
          </w:p>
        </w:tc>
        <w:tc>
          <w:tcPr>
            <w:tcW w:w="4844" w:type="dxa"/>
            <w:tcBorders>
              <w:top w:val="nil"/>
              <w:left w:val="nil"/>
              <w:bottom w:val="single" w:sz="4" w:space="0" w:color="auto"/>
              <w:right w:val="single" w:sz="4" w:space="0" w:color="auto"/>
            </w:tcBorders>
            <w:shd w:val="clear" w:color="auto" w:fill="auto"/>
            <w:vAlign w:val="center"/>
            <w:hideMark/>
          </w:tcPr>
          <w:p w14:paraId="35170BD3"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INGENIERÍA Y SERVICIOS SOCIEDAD ANÓNIMA EMPRESA DE SERVICIOS PÚBLICOS</w:t>
            </w:r>
          </w:p>
        </w:tc>
        <w:tc>
          <w:tcPr>
            <w:tcW w:w="1600" w:type="dxa"/>
            <w:tcBorders>
              <w:top w:val="nil"/>
              <w:left w:val="nil"/>
              <w:bottom w:val="single" w:sz="4" w:space="0" w:color="auto"/>
              <w:right w:val="single" w:sz="4" w:space="0" w:color="auto"/>
            </w:tcBorders>
            <w:shd w:val="clear" w:color="auto" w:fill="auto"/>
            <w:noWrap/>
            <w:vAlign w:val="center"/>
            <w:hideMark/>
          </w:tcPr>
          <w:p w14:paraId="502D7697"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937.757.757 </w:t>
            </w:r>
          </w:p>
        </w:tc>
        <w:tc>
          <w:tcPr>
            <w:tcW w:w="1660" w:type="dxa"/>
            <w:tcBorders>
              <w:top w:val="nil"/>
              <w:left w:val="nil"/>
              <w:bottom w:val="single" w:sz="4" w:space="0" w:color="auto"/>
              <w:right w:val="single" w:sz="4" w:space="0" w:color="auto"/>
            </w:tcBorders>
            <w:shd w:val="clear" w:color="auto" w:fill="auto"/>
            <w:noWrap/>
            <w:vAlign w:val="center"/>
            <w:hideMark/>
          </w:tcPr>
          <w:p w14:paraId="7B2B6FFE"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1.149.829.340 </w:t>
            </w:r>
          </w:p>
        </w:tc>
      </w:tr>
      <w:tr w:rsidR="009838E7" w:rsidRPr="009838E7" w14:paraId="6EF5A7A5"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29B13EB4"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28</w:t>
            </w:r>
          </w:p>
        </w:tc>
        <w:tc>
          <w:tcPr>
            <w:tcW w:w="505" w:type="dxa"/>
            <w:tcBorders>
              <w:top w:val="nil"/>
              <w:left w:val="nil"/>
              <w:bottom w:val="single" w:sz="4" w:space="0" w:color="auto"/>
              <w:right w:val="single" w:sz="4" w:space="0" w:color="auto"/>
            </w:tcBorders>
            <w:shd w:val="clear" w:color="auto" w:fill="auto"/>
            <w:noWrap/>
            <w:vAlign w:val="center"/>
            <w:hideMark/>
          </w:tcPr>
          <w:p w14:paraId="0FBF5603"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3227</w:t>
            </w:r>
          </w:p>
        </w:tc>
        <w:tc>
          <w:tcPr>
            <w:tcW w:w="797" w:type="dxa"/>
            <w:tcBorders>
              <w:top w:val="nil"/>
              <w:left w:val="nil"/>
              <w:bottom w:val="single" w:sz="4" w:space="0" w:color="auto"/>
              <w:right w:val="single" w:sz="4" w:space="0" w:color="auto"/>
            </w:tcBorders>
            <w:shd w:val="clear" w:color="auto" w:fill="auto"/>
            <w:noWrap/>
            <w:vAlign w:val="center"/>
            <w:hideMark/>
          </w:tcPr>
          <w:p w14:paraId="3A5363AB"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804013578</w:t>
            </w:r>
          </w:p>
        </w:tc>
        <w:tc>
          <w:tcPr>
            <w:tcW w:w="4844" w:type="dxa"/>
            <w:tcBorders>
              <w:top w:val="nil"/>
              <w:left w:val="nil"/>
              <w:bottom w:val="single" w:sz="4" w:space="0" w:color="auto"/>
              <w:right w:val="single" w:sz="4" w:space="0" w:color="auto"/>
            </w:tcBorders>
            <w:shd w:val="clear" w:color="auto" w:fill="auto"/>
            <w:vAlign w:val="center"/>
            <w:hideMark/>
          </w:tcPr>
          <w:p w14:paraId="2C2361E7"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PROMOTORA DE SERVICIOS PÚBLICOS S.A. E.S.P.</w:t>
            </w:r>
          </w:p>
        </w:tc>
        <w:tc>
          <w:tcPr>
            <w:tcW w:w="1600" w:type="dxa"/>
            <w:tcBorders>
              <w:top w:val="nil"/>
              <w:left w:val="nil"/>
              <w:bottom w:val="single" w:sz="4" w:space="0" w:color="auto"/>
              <w:right w:val="single" w:sz="4" w:space="0" w:color="auto"/>
            </w:tcBorders>
            <w:shd w:val="clear" w:color="auto" w:fill="auto"/>
            <w:noWrap/>
            <w:vAlign w:val="center"/>
            <w:hideMark/>
          </w:tcPr>
          <w:p w14:paraId="646F9908"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3.089.877.249 </w:t>
            </w:r>
          </w:p>
        </w:tc>
        <w:tc>
          <w:tcPr>
            <w:tcW w:w="1660" w:type="dxa"/>
            <w:tcBorders>
              <w:top w:val="nil"/>
              <w:left w:val="nil"/>
              <w:bottom w:val="single" w:sz="4" w:space="0" w:color="auto"/>
              <w:right w:val="single" w:sz="4" w:space="0" w:color="auto"/>
            </w:tcBorders>
            <w:shd w:val="clear" w:color="auto" w:fill="auto"/>
            <w:noWrap/>
            <w:vAlign w:val="center"/>
            <w:hideMark/>
          </w:tcPr>
          <w:p w14:paraId="284EB800"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1.932.806.726 </w:t>
            </w:r>
          </w:p>
        </w:tc>
      </w:tr>
      <w:tr w:rsidR="009838E7" w:rsidRPr="009838E7" w14:paraId="50F1C550"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612D685D"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29</w:t>
            </w:r>
          </w:p>
        </w:tc>
        <w:tc>
          <w:tcPr>
            <w:tcW w:w="505" w:type="dxa"/>
            <w:tcBorders>
              <w:top w:val="nil"/>
              <w:left w:val="nil"/>
              <w:bottom w:val="single" w:sz="4" w:space="0" w:color="auto"/>
              <w:right w:val="single" w:sz="4" w:space="0" w:color="auto"/>
            </w:tcBorders>
            <w:shd w:val="clear" w:color="auto" w:fill="auto"/>
            <w:noWrap/>
            <w:vAlign w:val="center"/>
            <w:hideMark/>
          </w:tcPr>
          <w:p w14:paraId="2609A8B4"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3326</w:t>
            </w:r>
          </w:p>
        </w:tc>
        <w:tc>
          <w:tcPr>
            <w:tcW w:w="797" w:type="dxa"/>
            <w:tcBorders>
              <w:top w:val="nil"/>
              <w:left w:val="nil"/>
              <w:bottom w:val="single" w:sz="4" w:space="0" w:color="auto"/>
              <w:right w:val="single" w:sz="4" w:space="0" w:color="auto"/>
            </w:tcBorders>
            <w:shd w:val="clear" w:color="auto" w:fill="auto"/>
            <w:noWrap/>
            <w:vAlign w:val="center"/>
            <w:hideMark/>
          </w:tcPr>
          <w:p w14:paraId="5B99D0F7"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804014885</w:t>
            </w:r>
          </w:p>
        </w:tc>
        <w:tc>
          <w:tcPr>
            <w:tcW w:w="4844" w:type="dxa"/>
            <w:tcBorders>
              <w:top w:val="nil"/>
              <w:left w:val="nil"/>
              <w:bottom w:val="single" w:sz="4" w:space="0" w:color="auto"/>
              <w:right w:val="single" w:sz="4" w:space="0" w:color="auto"/>
            </w:tcBorders>
            <w:shd w:val="clear" w:color="auto" w:fill="auto"/>
            <w:vAlign w:val="center"/>
            <w:hideMark/>
          </w:tcPr>
          <w:p w14:paraId="36F269D3"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ESPIGAS S.A. E.S.P.</w:t>
            </w:r>
          </w:p>
        </w:tc>
        <w:tc>
          <w:tcPr>
            <w:tcW w:w="1600" w:type="dxa"/>
            <w:tcBorders>
              <w:top w:val="nil"/>
              <w:left w:val="nil"/>
              <w:bottom w:val="single" w:sz="4" w:space="0" w:color="auto"/>
              <w:right w:val="single" w:sz="4" w:space="0" w:color="auto"/>
            </w:tcBorders>
            <w:shd w:val="clear" w:color="auto" w:fill="auto"/>
            <w:noWrap/>
            <w:vAlign w:val="center"/>
            <w:hideMark/>
          </w:tcPr>
          <w:p w14:paraId="0CD2922E"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154.152.231 </w:t>
            </w:r>
          </w:p>
        </w:tc>
        <w:tc>
          <w:tcPr>
            <w:tcW w:w="1660" w:type="dxa"/>
            <w:tcBorders>
              <w:top w:val="nil"/>
              <w:left w:val="nil"/>
              <w:bottom w:val="single" w:sz="4" w:space="0" w:color="auto"/>
              <w:right w:val="single" w:sz="4" w:space="0" w:color="auto"/>
            </w:tcBorders>
            <w:shd w:val="clear" w:color="auto" w:fill="auto"/>
            <w:noWrap/>
            <w:vAlign w:val="center"/>
            <w:hideMark/>
          </w:tcPr>
          <w:p w14:paraId="053EAFFA"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165.206.443 </w:t>
            </w:r>
          </w:p>
        </w:tc>
      </w:tr>
      <w:tr w:rsidR="009838E7" w:rsidRPr="009838E7" w14:paraId="48BC6F69"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662B7071"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30</w:t>
            </w:r>
          </w:p>
        </w:tc>
        <w:tc>
          <w:tcPr>
            <w:tcW w:w="505" w:type="dxa"/>
            <w:tcBorders>
              <w:top w:val="nil"/>
              <w:left w:val="nil"/>
              <w:bottom w:val="single" w:sz="4" w:space="0" w:color="auto"/>
              <w:right w:val="single" w:sz="4" w:space="0" w:color="auto"/>
            </w:tcBorders>
            <w:shd w:val="clear" w:color="auto" w:fill="auto"/>
            <w:noWrap/>
            <w:vAlign w:val="center"/>
            <w:hideMark/>
          </w:tcPr>
          <w:p w14:paraId="2B858BD9"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1806</w:t>
            </w:r>
          </w:p>
        </w:tc>
        <w:tc>
          <w:tcPr>
            <w:tcW w:w="797" w:type="dxa"/>
            <w:tcBorders>
              <w:top w:val="nil"/>
              <w:left w:val="nil"/>
              <w:bottom w:val="single" w:sz="4" w:space="0" w:color="auto"/>
              <w:right w:val="single" w:sz="4" w:space="0" w:color="auto"/>
            </w:tcBorders>
            <w:shd w:val="clear" w:color="auto" w:fill="auto"/>
            <w:noWrap/>
            <w:vAlign w:val="center"/>
            <w:hideMark/>
          </w:tcPr>
          <w:p w14:paraId="3D52D3C8"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805003351</w:t>
            </w:r>
          </w:p>
        </w:tc>
        <w:tc>
          <w:tcPr>
            <w:tcW w:w="4844" w:type="dxa"/>
            <w:tcBorders>
              <w:top w:val="nil"/>
              <w:left w:val="nil"/>
              <w:bottom w:val="single" w:sz="4" w:space="0" w:color="auto"/>
              <w:right w:val="single" w:sz="4" w:space="0" w:color="auto"/>
            </w:tcBorders>
            <w:shd w:val="clear" w:color="auto" w:fill="auto"/>
            <w:vAlign w:val="center"/>
            <w:hideMark/>
          </w:tcPr>
          <w:p w14:paraId="2D93723B" w14:textId="45A6D876"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TERMOVALLE S.A.S. E.S.P</w:t>
            </w:r>
            <w:r w:rsidR="006F2D43">
              <w:rPr>
                <w:rFonts w:ascii="Arial Narrow" w:hAnsi="Arial Narrow" w:cs="Calibri"/>
                <w:color w:val="000000"/>
                <w:spacing w:val="0"/>
                <w:sz w:val="16"/>
                <w:szCs w:val="16"/>
                <w:lang w:eastAsia="es-CO"/>
              </w:rPr>
              <w:t>.</w:t>
            </w:r>
          </w:p>
        </w:tc>
        <w:tc>
          <w:tcPr>
            <w:tcW w:w="1600" w:type="dxa"/>
            <w:tcBorders>
              <w:top w:val="nil"/>
              <w:left w:val="nil"/>
              <w:bottom w:val="single" w:sz="4" w:space="0" w:color="auto"/>
              <w:right w:val="single" w:sz="4" w:space="0" w:color="auto"/>
            </w:tcBorders>
            <w:shd w:val="clear" w:color="auto" w:fill="auto"/>
            <w:noWrap/>
            <w:vAlign w:val="center"/>
            <w:hideMark/>
          </w:tcPr>
          <w:p w14:paraId="0C91FB5B"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15.881.873.390 </w:t>
            </w:r>
          </w:p>
        </w:tc>
        <w:tc>
          <w:tcPr>
            <w:tcW w:w="1660" w:type="dxa"/>
            <w:tcBorders>
              <w:top w:val="nil"/>
              <w:left w:val="nil"/>
              <w:bottom w:val="single" w:sz="4" w:space="0" w:color="auto"/>
              <w:right w:val="single" w:sz="4" w:space="0" w:color="auto"/>
            </w:tcBorders>
            <w:shd w:val="clear" w:color="auto" w:fill="auto"/>
            <w:noWrap/>
            <w:vAlign w:val="center"/>
            <w:hideMark/>
          </w:tcPr>
          <w:p w14:paraId="57649531"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17.952.123.809 </w:t>
            </w:r>
          </w:p>
        </w:tc>
      </w:tr>
      <w:tr w:rsidR="009838E7" w:rsidRPr="009838E7" w14:paraId="74A7F84E"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000AFD98"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31</w:t>
            </w:r>
          </w:p>
        </w:tc>
        <w:tc>
          <w:tcPr>
            <w:tcW w:w="505" w:type="dxa"/>
            <w:tcBorders>
              <w:top w:val="nil"/>
              <w:left w:val="nil"/>
              <w:bottom w:val="single" w:sz="4" w:space="0" w:color="auto"/>
              <w:right w:val="single" w:sz="4" w:space="0" w:color="auto"/>
            </w:tcBorders>
            <w:shd w:val="clear" w:color="auto" w:fill="auto"/>
            <w:noWrap/>
            <w:vAlign w:val="center"/>
            <w:hideMark/>
          </w:tcPr>
          <w:p w14:paraId="40AF59A8"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1855</w:t>
            </w:r>
          </w:p>
        </w:tc>
        <w:tc>
          <w:tcPr>
            <w:tcW w:w="797" w:type="dxa"/>
            <w:tcBorders>
              <w:top w:val="nil"/>
              <w:left w:val="nil"/>
              <w:bottom w:val="single" w:sz="4" w:space="0" w:color="auto"/>
              <w:right w:val="single" w:sz="4" w:space="0" w:color="auto"/>
            </w:tcBorders>
            <w:shd w:val="clear" w:color="auto" w:fill="auto"/>
            <w:noWrap/>
            <w:vAlign w:val="center"/>
            <w:hideMark/>
          </w:tcPr>
          <w:p w14:paraId="220F46AB"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805003583</w:t>
            </w:r>
          </w:p>
        </w:tc>
        <w:tc>
          <w:tcPr>
            <w:tcW w:w="4844" w:type="dxa"/>
            <w:tcBorders>
              <w:top w:val="nil"/>
              <w:left w:val="nil"/>
              <w:bottom w:val="single" w:sz="4" w:space="0" w:color="auto"/>
              <w:right w:val="single" w:sz="4" w:space="0" w:color="auto"/>
            </w:tcBorders>
            <w:shd w:val="clear" w:color="auto" w:fill="auto"/>
            <w:vAlign w:val="center"/>
            <w:hideMark/>
          </w:tcPr>
          <w:p w14:paraId="3F16DDEC"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VELOGAS DE OCCIDENTE S.A. E.S.P.</w:t>
            </w:r>
          </w:p>
        </w:tc>
        <w:tc>
          <w:tcPr>
            <w:tcW w:w="1600" w:type="dxa"/>
            <w:tcBorders>
              <w:top w:val="nil"/>
              <w:left w:val="nil"/>
              <w:bottom w:val="single" w:sz="4" w:space="0" w:color="auto"/>
              <w:right w:val="single" w:sz="4" w:space="0" w:color="auto"/>
            </w:tcBorders>
            <w:shd w:val="clear" w:color="auto" w:fill="auto"/>
            <w:noWrap/>
            <w:vAlign w:val="center"/>
            <w:hideMark/>
          </w:tcPr>
          <w:p w14:paraId="6B4C6B5E"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375.029.508 </w:t>
            </w:r>
          </w:p>
        </w:tc>
        <w:tc>
          <w:tcPr>
            <w:tcW w:w="1660" w:type="dxa"/>
            <w:tcBorders>
              <w:top w:val="nil"/>
              <w:left w:val="nil"/>
              <w:bottom w:val="single" w:sz="4" w:space="0" w:color="auto"/>
              <w:right w:val="single" w:sz="4" w:space="0" w:color="auto"/>
            </w:tcBorders>
            <w:shd w:val="clear" w:color="auto" w:fill="auto"/>
            <w:noWrap/>
            <w:vAlign w:val="center"/>
            <w:hideMark/>
          </w:tcPr>
          <w:p w14:paraId="6DBFDDAC"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544.834.643 </w:t>
            </w:r>
          </w:p>
        </w:tc>
      </w:tr>
      <w:tr w:rsidR="009838E7" w:rsidRPr="009838E7" w14:paraId="214B1D61"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6AEDCD08"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32</w:t>
            </w:r>
          </w:p>
        </w:tc>
        <w:tc>
          <w:tcPr>
            <w:tcW w:w="505" w:type="dxa"/>
            <w:tcBorders>
              <w:top w:val="nil"/>
              <w:left w:val="nil"/>
              <w:bottom w:val="single" w:sz="4" w:space="0" w:color="auto"/>
              <w:right w:val="single" w:sz="4" w:space="0" w:color="auto"/>
            </w:tcBorders>
            <w:shd w:val="clear" w:color="auto" w:fill="auto"/>
            <w:noWrap/>
            <w:vAlign w:val="center"/>
            <w:hideMark/>
          </w:tcPr>
          <w:p w14:paraId="3FDFA01F"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2264</w:t>
            </w:r>
          </w:p>
        </w:tc>
        <w:tc>
          <w:tcPr>
            <w:tcW w:w="797" w:type="dxa"/>
            <w:tcBorders>
              <w:top w:val="nil"/>
              <w:left w:val="nil"/>
              <w:bottom w:val="single" w:sz="4" w:space="0" w:color="auto"/>
              <w:right w:val="single" w:sz="4" w:space="0" w:color="auto"/>
            </w:tcBorders>
            <w:shd w:val="clear" w:color="auto" w:fill="auto"/>
            <w:noWrap/>
            <w:vAlign w:val="center"/>
            <w:hideMark/>
          </w:tcPr>
          <w:p w14:paraId="010E949D"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805010599</w:t>
            </w:r>
          </w:p>
        </w:tc>
        <w:tc>
          <w:tcPr>
            <w:tcW w:w="4844" w:type="dxa"/>
            <w:tcBorders>
              <w:top w:val="nil"/>
              <w:left w:val="nil"/>
              <w:bottom w:val="single" w:sz="4" w:space="0" w:color="auto"/>
              <w:right w:val="single" w:sz="4" w:space="0" w:color="auto"/>
            </w:tcBorders>
            <w:shd w:val="clear" w:color="auto" w:fill="auto"/>
            <w:vAlign w:val="center"/>
            <w:hideMark/>
          </w:tcPr>
          <w:p w14:paraId="27680C39" w14:textId="2CCB0E1F"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TRANSOCCIDENTE S.A. E.S.P.</w:t>
            </w:r>
          </w:p>
        </w:tc>
        <w:tc>
          <w:tcPr>
            <w:tcW w:w="1600" w:type="dxa"/>
            <w:tcBorders>
              <w:top w:val="nil"/>
              <w:left w:val="nil"/>
              <w:bottom w:val="single" w:sz="4" w:space="0" w:color="auto"/>
              <w:right w:val="single" w:sz="4" w:space="0" w:color="auto"/>
            </w:tcBorders>
            <w:shd w:val="clear" w:color="auto" w:fill="auto"/>
            <w:noWrap/>
            <w:vAlign w:val="center"/>
            <w:hideMark/>
          </w:tcPr>
          <w:p w14:paraId="5DA9C198"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1.344.479.000 </w:t>
            </w:r>
          </w:p>
        </w:tc>
        <w:tc>
          <w:tcPr>
            <w:tcW w:w="1660" w:type="dxa"/>
            <w:tcBorders>
              <w:top w:val="nil"/>
              <w:left w:val="nil"/>
              <w:bottom w:val="single" w:sz="4" w:space="0" w:color="auto"/>
              <w:right w:val="single" w:sz="4" w:space="0" w:color="auto"/>
            </w:tcBorders>
            <w:shd w:val="clear" w:color="auto" w:fill="auto"/>
            <w:noWrap/>
            <w:vAlign w:val="center"/>
            <w:hideMark/>
          </w:tcPr>
          <w:p w14:paraId="5474D639"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1.489.527.000 </w:t>
            </w:r>
          </w:p>
        </w:tc>
      </w:tr>
      <w:tr w:rsidR="009838E7" w:rsidRPr="009838E7" w14:paraId="3B8C7B11"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59B2CF74"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33</w:t>
            </w:r>
          </w:p>
        </w:tc>
        <w:tc>
          <w:tcPr>
            <w:tcW w:w="505" w:type="dxa"/>
            <w:tcBorders>
              <w:top w:val="nil"/>
              <w:left w:val="nil"/>
              <w:bottom w:val="single" w:sz="4" w:space="0" w:color="auto"/>
              <w:right w:val="single" w:sz="4" w:space="0" w:color="auto"/>
            </w:tcBorders>
            <w:shd w:val="clear" w:color="auto" w:fill="auto"/>
            <w:noWrap/>
            <w:vAlign w:val="center"/>
            <w:hideMark/>
          </w:tcPr>
          <w:p w14:paraId="3BCD7E57"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2824</w:t>
            </w:r>
          </w:p>
        </w:tc>
        <w:tc>
          <w:tcPr>
            <w:tcW w:w="797" w:type="dxa"/>
            <w:tcBorders>
              <w:top w:val="nil"/>
              <w:left w:val="nil"/>
              <w:bottom w:val="single" w:sz="4" w:space="0" w:color="auto"/>
              <w:right w:val="single" w:sz="4" w:space="0" w:color="auto"/>
            </w:tcBorders>
            <w:shd w:val="clear" w:color="auto" w:fill="auto"/>
            <w:noWrap/>
            <w:vAlign w:val="center"/>
            <w:hideMark/>
          </w:tcPr>
          <w:p w14:paraId="5574AA58"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805016928</w:t>
            </w:r>
          </w:p>
        </w:tc>
        <w:tc>
          <w:tcPr>
            <w:tcW w:w="4844" w:type="dxa"/>
            <w:tcBorders>
              <w:top w:val="nil"/>
              <w:left w:val="nil"/>
              <w:bottom w:val="single" w:sz="4" w:space="0" w:color="auto"/>
              <w:right w:val="single" w:sz="4" w:space="0" w:color="auto"/>
            </w:tcBorders>
            <w:shd w:val="clear" w:color="auto" w:fill="auto"/>
            <w:vAlign w:val="center"/>
            <w:hideMark/>
          </w:tcPr>
          <w:p w14:paraId="77B7CA88"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ENERCO S.A. E.S.P.</w:t>
            </w:r>
          </w:p>
        </w:tc>
        <w:tc>
          <w:tcPr>
            <w:tcW w:w="1600" w:type="dxa"/>
            <w:tcBorders>
              <w:top w:val="nil"/>
              <w:left w:val="nil"/>
              <w:bottom w:val="single" w:sz="4" w:space="0" w:color="auto"/>
              <w:right w:val="single" w:sz="4" w:space="0" w:color="auto"/>
            </w:tcBorders>
            <w:shd w:val="clear" w:color="auto" w:fill="auto"/>
            <w:noWrap/>
            <w:vAlign w:val="center"/>
            <w:hideMark/>
          </w:tcPr>
          <w:p w14:paraId="60E1B811"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788.504.000 </w:t>
            </w:r>
          </w:p>
        </w:tc>
        <w:tc>
          <w:tcPr>
            <w:tcW w:w="1660" w:type="dxa"/>
            <w:tcBorders>
              <w:top w:val="nil"/>
              <w:left w:val="nil"/>
              <w:bottom w:val="single" w:sz="4" w:space="0" w:color="auto"/>
              <w:right w:val="single" w:sz="4" w:space="0" w:color="auto"/>
            </w:tcBorders>
            <w:shd w:val="clear" w:color="auto" w:fill="auto"/>
            <w:noWrap/>
            <w:vAlign w:val="center"/>
            <w:hideMark/>
          </w:tcPr>
          <w:p w14:paraId="4E5F5D56"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821.174.000 </w:t>
            </w:r>
          </w:p>
        </w:tc>
      </w:tr>
      <w:tr w:rsidR="009838E7" w:rsidRPr="009838E7" w14:paraId="6AA3ACA2" w14:textId="77777777" w:rsidTr="00092F91">
        <w:trPr>
          <w:trHeight w:val="37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175A1851"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34</w:t>
            </w:r>
          </w:p>
        </w:tc>
        <w:tc>
          <w:tcPr>
            <w:tcW w:w="505" w:type="dxa"/>
            <w:tcBorders>
              <w:top w:val="nil"/>
              <w:left w:val="nil"/>
              <w:bottom w:val="single" w:sz="4" w:space="0" w:color="auto"/>
              <w:right w:val="single" w:sz="4" w:space="0" w:color="auto"/>
            </w:tcBorders>
            <w:shd w:val="clear" w:color="auto" w:fill="auto"/>
            <w:noWrap/>
            <w:vAlign w:val="center"/>
            <w:hideMark/>
          </w:tcPr>
          <w:p w14:paraId="7663866E"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2261</w:t>
            </w:r>
          </w:p>
        </w:tc>
        <w:tc>
          <w:tcPr>
            <w:tcW w:w="797" w:type="dxa"/>
            <w:tcBorders>
              <w:top w:val="nil"/>
              <w:left w:val="nil"/>
              <w:bottom w:val="single" w:sz="4" w:space="0" w:color="auto"/>
              <w:right w:val="single" w:sz="4" w:space="0" w:color="auto"/>
            </w:tcBorders>
            <w:shd w:val="clear" w:color="auto" w:fill="auto"/>
            <w:noWrap/>
            <w:vAlign w:val="center"/>
            <w:hideMark/>
          </w:tcPr>
          <w:p w14:paraId="63293434"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806005008</w:t>
            </w:r>
          </w:p>
        </w:tc>
        <w:tc>
          <w:tcPr>
            <w:tcW w:w="4844" w:type="dxa"/>
            <w:tcBorders>
              <w:top w:val="nil"/>
              <w:left w:val="nil"/>
              <w:bottom w:val="single" w:sz="4" w:space="0" w:color="auto"/>
              <w:right w:val="single" w:sz="4" w:space="0" w:color="auto"/>
            </w:tcBorders>
            <w:shd w:val="clear" w:color="auto" w:fill="auto"/>
            <w:vAlign w:val="center"/>
            <w:hideMark/>
          </w:tcPr>
          <w:p w14:paraId="3EC48DAD"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TERMOCANDELARIA SOCIEDAD EN COMANDITA POR ACCIONES EMPRESA DE SERVICIOS PUBLICOS</w:t>
            </w:r>
          </w:p>
        </w:tc>
        <w:tc>
          <w:tcPr>
            <w:tcW w:w="1600" w:type="dxa"/>
            <w:tcBorders>
              <w:top w:val="nil"/>
              <w:left w:val="nil"/>
              <w:bottom w:val="single" w:sz="4" w:space="0" w:color="auto"/>
              <w:right w:val="single" w:sz="4" w:space="0" w:color="auto"/>
            </w:tcBorders>
            <w:shd w:val="clear" w:color="auto" w:fill="auto"/>
            <w:noWrap/>
            <w:vAlign w:val="center"/>
            <w:hideMark/>
          </w:tcPr>
          <w:p w14:paraId="157BF713"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8.246.846.711 </w:t>
            </w:r>
          </w:p>
        </w:tc>
        <w:tc>
          <w:tcPr>
            <w:tcW w:w="1660" w:type="dxa"/>
            <w:tcBorders>
              <w:top w:val="nil"/>
              <w:left w:val="nil"/>
              <w:bottom w:val="single" w:sz="4" w:space="0" w:color="auto"/>
              <w:right w:val="single" w:sz="4" w:space="0" w:color="auto"/>
            </w:tcBorders>
            <w:shd w:val="clear" w:color="auto" w:fill="auto"/>
            <w:noWrap/>
            <w:vAlign w:val="center"/>
            <w:hideMark/>
          </w:tcPr>
          <w:p w14:paraId="4FC2437B"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11.936.548.773 </w:t>
            </w:r>
          </w:p>
        </w:tc>
      </w:tr>
      <w:tr w:rsidR="009838E7" w:rsidRPr="009838E7" w14:paraId="204DD2F2"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2422B2B9"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35</w:t>
            </w:r>
          </w:p>
        </w:tc>
        <w:tc>
          <w:tcPr>
            <w:tcW w:w="505" w:type="dxa"/>
            <w:tcBorders>
              <w:top w:val="nil"/>
              <w:left w:val="nil"/>
              <w:bottom w:val="single" w:sz="4" w:space="0" w:color="auto"/>
              <w:right w:val="single" w:sz="4" w:space="0" w:color="auto"/>
            </w:tcBorders>
            <w:shd w:val="clear" w:color="auto" w:fill="auto"/>
            <w:noWrap/>
            <w:vAlign w:val="center"/>
            <w:hideMark/>
          </w:tcPr>
          <w:p w14:paraId="622F1DF3"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2081</w:t>
            </w:r>
          </w:p>
        </w:tc>
        <w:tc>
          <w:tcPr>
            <w:tcW w:w="797" w:type="dxa"/>
            <w:tcBorders>
              <w:top w:val="nil"/>
              <w:left w:val="nil"/>
              <w:bottom w:val="single" w:sz="4" w:space="0" w:color="auto"/>
              <w:right w:val="single" w:sz="4" w:space="0" w:color="auto"/>
            </w:tcBorders>
            <w:shd w:val="clear" w:color="auto" w:fill="auto"/>
            <w:noWrap/>
            <w:vAlign w:val="center"/>
            <w:hideMark/>
          </w:tcPr>
          <w:p w14:paraId="449CDCB4"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807001845</w:t>
            </w:r>
          </w:p>
        </w:tc>
        <w:tc>
          <w:tcPr>
            <w:tcW w:w="4844" w:type="dxa"/>
            <w:tcBorders>
              <w:top w:val="nil"/>
              <w:left w:val="nil"/>
              <w:bottom w:val="single" w:sz="4" w:space="0" w:color="auto"/>
              <w:right w:val="single" w:sz="4" w:space="0" w:color="auto"/>
            </w:tcBorders>
            <w:shd w:val="clear" w:color="auto" w:fill="auto"/>
            <w:vAlign w:val="center"/>
            <w:hideMark/>
          </w:tcPr>
          <w:p w14:paraId="50CBAEAB"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DISTASA S.A. E.S.P.</w:t>
            </w:r>
          </w:p>
        </w:tc>
        <w:tc>
          <w:tcPr>
            <w:tcW w:w="1600" w:type="dxa"/>
            <w:tcBorders>
              <w:top w:val="nil"/>
              <w:left w:val="nil"/>
              <w:bottom w:val="single" w:sz="4" w:space="0" w:color="auto"/>
              <w:right w:val="single" w:sz="4" w:space="0" w:color="auto"/>
            </w:tcBorders>
            <w:shd w:val="clear" w:color="auto" w:fill="auto"/>
            <w:noWrap/>
            <w:vAlign w:val="center"/>
            <w:hideMark/>
          </w:tcPr>
          <w:p w14:paraId="30F8C8B0"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2.244.513.000 </w:t>
            </w:r>
          </w:p>
        </w:tc>
        <w:tc>
          <w:tcPr>
            <w:tcW w:w="1660" w:type="dxa"/>
            <w:tcBorders>
              <w:top w:val="nil"/>
              <w:left w:val="nil"/>
              <w:bottom w:val="single" w:sz="4" w:space="0" w:color="auto"/>
              <w:right w:val="single" w:sz="4" w:space="0" w:color="auto"/>
            </w:tcBorders>
            <w:shd w:val="clear" w:color="auto" w:fill="auto"/>
            <w:noWrap/>
            <w:vAlign w:val="center"/>
            <w:hideMark/>
          </w:tcPr>
          <w:p w14:paraId="5337D75C"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3.152.374.000 </w:t>
            </w:r>
          </w:p>
        </w:tc>
      </w:tr>
      <w:tr w:rsidR="009838E7" w:rsidRPr="009838E7" w14:paraId="476DE4AE" w14:textId="77777777" w:rsidTr="00092F91">
        <w:trPr>
          <w:trHeight w:val="293"/>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64A23E51"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36</w:t>
            </w:r>
          </w:p>
        </w:tc>
        <w:tc>
          <w:tcPr>
            <w:tcW w:w="505" w:type="dxa"/>
            <w:tcBorders>
              <w:top w:val="nil"/>
              <w:left w:val="nil"/>
              <w:bottom w:val="single" w:sz="4" w:space="0" w:color="auto"/>
              <w:right w:val="single" w:sz="4" w:space="0" w:color="auto"/>
            </w:tcBorders>
            <w:shd w:val="clear" w:color="auto" w:fill="auto"/>
            <w:noWrap/>
            <w:vAlign w:val="center"/>
            <w:hideMark/>
          </w:tcPr>
          <w:p w14:paraId="3F3D904D"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22388</w:t>
            </w:r>
          </w:p>
        </w:tc>
        <w:tc>
          <w:tcPr>
            <w:tcW w:w="797" w:type="dxa"/>
            <w:tcBorders>
              <w:top w:val="nil"/>
              <w:left w:val="nil"/>
              <w:bottom w:val="single" w:sz="4" w:space="0" w:color="auto"/>
              <w:right w:val="single" w:sz="4" w:space="0" w:color="auto"/>
            </w:tcBorders>
            <w:shd w:val="clear" w:color="auto" w:fill="auto"/>
            <w:noWrap/>
            <w:vAlign w:val="center"/>
            <w:hideMark/>
          </w:tcPr>
          <w:p w14:paraId="37D5C2E0"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809010690</w:t>
            </w:r>
          </w:p>
        </w:tc>
        <w:tc>
          <w:tcPr>
            <w:tcW w:w="4844" w:type="dxa"/>
            <w:tcBorders>
              <w:top w:val="nil"/>
              <w:left w:val="nil"/>
              <w:bottom w:val="single" w:sz="4" w:space="0" w:color="auto"/>
              <w:right w:val="single" w:sz="4" w:space="0" w:color="auto"/>
            </w:tcBorders>
            <w:shd w:val="clear" w:color="auto" w:fill="auto"/>
            <w:vAlign w:val="center"/>
            <w:hideMark/>
          </w:tcPr>
          <w:p w14:paraId="1EA1CA3E"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EMPRESA INTEGRAL DE SERVICIOS OP&amp;S CONSTRUCCIONES SA ESP</w:t>
            </w:r>
          </w:p>
        </w:tc>
        <w:tc>
          <w:tcPr>
            <w:tcW w:w="1600" w:type="dxa"/>
            <w:tcBorders>
              <w:top w:val="nil"/>
              <w:left w:val="nil"/>
              <w:bottom w:val="single" w:sz="4" w:space="0" w:color="auto"/>
              <w:right w:val="single" w:sz="4" w:space="0" w:color="auto"/>
            </w:tcBorders>
            <w:shd w:val="clear" w:color="auto" w:fill="auto"/>
            <w:noWrap/>
            <w:vAlign w:val="center"/>
            <w:hideMark/>
          </w:tcPr>
          <w:p w14:paraId="3FD86F36"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1.262.899.040 </w:t>
            </w:r>
          </w:p>
        </w:tc>
        <w:tc>
          <w:tcPr>
            <w:tcW w:w="1660" w:type="dxa"/>
            <w:tcBorders>
              <w:top w:val="nil"/>
              <w:left w:val="nil"/>
              <w:bottom w:val="single" w:sz="4" w:space="0" w:color="auto"/>
              <w:right w:val="single" w:sz="4" w:space="0" w:color="auto"/>
            </w:tcBorders>
            <w:shd w:val="clear" w:color="auto" w:fill="auto"/>
            <w:noWrap/>
            <w:vAlign w:val="center"/>
            <w:hideMark/>
          </w:tcPr>
          <w:p w14:paraId="6D2F376B"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2.297.833.887 </w:t>
            </w:r>
          </w:p>
        </w:tc>
      </w:tr>
      <w:tr w:rsidR="009838E7" w:rsidRPr="009838E7" w14:paraId="6310592F"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5DEAB4C3"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37</w:t>
            </w:r>
          </w:p>
        </w:tc>
        <w:tc>
          <w:tcPr>
            <w:tcW w:w="505" w:type="dxa"/>
            <w:tcBorders>
              <w:top w:val="nil"/>
              <w:left w:val="nil"/>
              <w:bottom w:val="single" w:sz="4" w:space="0" w:color="auto"/>
              <w:right w:val="single" w:sz="4" w:space="0" w:color="auto"/>
            </w:tcBorders>
            <w:shd w:val="clear" w:color="auto" w:fill="auto"/>
            <w:noWrap/>
            <w:vAlign w:val="center"/>
            <w:hideMark/>
          </w:tcPr>
          <w:p w14:paraId="1025769B"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480</w:t>
            </w:r>
          </w:p>
        </w:tc>
        <w:tc>
          <w:tcPr>
            <w:tcW w:w="797" w:type="dxa"/>
            <w:tcBorders>
              <w:top w:val="nil"/>
              <w:left w:val="nil"/>
              <w:bottom w:val="single" w:sz="4" w:space="0" w:color="auto"/>
              <w:right w:val="single" w:sz="4" w:space="0" w:color="auto"/>
            </w:tcBorders>
            <w:shd w:val="clear" w:color="auto" w:fill="auto"/>
            <w:noWrap/>
            <w:vAlign w:val="center"/>
            <w:hideMark/>
          </w:tcPr>
          <w:p w14:paraId="0843E304"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811000740</w:t>
            </w:r>
          </w:p>
        </w:tc>
        <w:tc>
          <w:tcPr>
            <w:tcW w:w="4844" w:type="dxa"/>
            <w:tcBorders>
              <w:top w:val="nil"/>
              <w:left w:val="nil"/>
              <w:bottom w:val="single" w:sz="4" w:space="0" w:color="auto"/>
              <w:right w:val="single" w:sz="4" w:space="0" w:color="auto"/>
            </w:tcBorders>
            <w:shd w:val="clear" w:color="auto" w:fill="auto"/>
            <w:vAlign w:val="center"/>
            <w:hideMark/>
          </w:tcPr>
          <w:p w14:paraId="2F68C79A" w14:textId="77777777" w:rsidR="009838E7" w:rsidRPr="002C5AEF" w:rsidRDefault="009838E7" w:rsidP="00D22441">
            <w:pPr>
              <w:jc w:val="left"/>
              <w:rPr>
                <w:rFonts w:ascii="Arial Narrow" w:hAnsi="Arial Narrow" w:cs="Calibri"/>
                <w:color w:val="000000"/>
                <w:spacing w:val="0"/>
                <w:sz w:val="16"/>
                <w:szCs w:val="16"/>
                <w:lang w:val="en-GB" w:eastAsia="es-CO"/>
              </w:rPr>
            </w:pPr>
            <w:r w:rsidRPr="002C5AEF">
              <w:rPr>
                <w:rFonts w:ascii="Arial Narrow" w:hAnsi="Arial Narrow" w:cs="Calibri"/>
                <w:color w:val="000000"/>
                <w:spacing w:val="0"/>
                <w:sz w:val="16"/>
                <w:szCs w:val="16"/>
                <w:lang w:val="en-GB" w:eastAsia="es-CO"/>
              </w:rPr>
              <w:t>ISAGEN S.A. E.S.P.</w:t>
            </w:r>
          </w:p>
        </w:tc>
        <w:tc>
          <w:tcPr>
            <w:tcW w:w="1600" w:type="dxa"/>
            <w:tcBorders>
              <w:top w:val="nil"/>
              <w:left w:val="nil"/>
              <w:bottom w:val="single" w:sz="4" w:space="0" w:color="auto"/>
              <w:right w:val="single" w:sz="4" w:space="0" w:color="auto"/>
            </w:tcBorders>
            <w:shd w:val="clear" w:color="auto" w:fill="auto"/>
            <w:noWrap/>
            <w:vAlign w:val="center"/>
            <w:hideMark/>
          </w:tcPr>
          <w:p w14:paraId="61BE2CCB" w14:textId="77777777" w:rsidR="009838E7" w:rsidRPr="009838E7" w:rsidRDefault="009838E7" w:rsidP="00D22441">
            <w:pPr>
              <w:jc w:val="left"/>
              <w:rPr>
                <w:rFonts w:ascii="Arial Narrow" w:hAnsi="Arial Narrow" w:cs="Calibri"/>
                <w:color w:val="000000"/>
                <w:spacing w:val="0"/>
                <w:sz w:val="16"/>
                <w:szCs w:val="16"/>
                <w:lang w:eastAsia="es-CO"/>
              </w:rPr>
            </w:pPr>
            <w:r w:rsidRPr="002C5AEF">
              <w:rPr>
                <w:rFonts w:ascii="Arial Narrow" w:hAnsi="Arial Narrow" w:cs="Calibri"/>
                <w:color w:val="000000"/>
                <w:spacing w:val="0"/>
                <w:sz w:val="16"/>
                <w:szCs w:val="16"/>
                <w:lang w:val="en-GB" w:eastAsia="es-CO"/>
              </w:rPr>
              <w:t xml:space="preserve">           </w:t>
            </w:r>
            <w:r w:rsidRPr="009838E7">
              <w:rPr>
                <w:rFonts w:ascii="Arial Narrow" w:hAnsi="Arial Narrow" w:cs="Calibri"/>
                <w:color w:val="000000"/>
                <w:spacing w:val="0"/>
                <w:sz w:val="16"/>
                <w:szCs w:val="16"/>
                <w:lang w:eastAsia="es-CO"/>
              </w:rPr>
              <w:t xml:space="preserve">94.011.352.308 </w:t>
            </w:r>
          </w:p>
        </w:tc>
        <w:tc>
          <w:tcPr>
            <w:tcW w:w="1660" w:type="dxa"/>
            <w:tcBorders>
              <w:top w:val="nil"/>
              <w:left w:val="nil"/>
              <w:bottom w:val="single" w:sz="4" w:space="0" w:color="auto"/>
              <w:right w:val="single" w:sz="4" w:space="0" w:color="auto"/>
            </w:tcBorders>
            <w:shd w:val="clear" w:color="auto" w:fill="auto"/>
            <w:noWrap/>
            <w:vAlign w:val="center"/>
            <w:hideMark/>
          </w:tcPr>
          <w:p w14:paraId="57C95D62"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133.685.225.171 </w:t>
            </w:r>
          </w:p>
        </w:tc>
      </w:tr>
      <w:tr w:rsidR="009838E7" w:rsidRPr="009838E7" w14:paraId="270104A6"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053A3F16"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38</w:t>
            </w:r>
          </w:p>
        </w:tc>
        <w:tc>
          <w:tcPr>
            <w:tcW w:w="505" w:type="dxa"/>
            <w:tcBorders>
              <w:top w:val="nil"/>
              <w:left w:val="nil"/>
              <w:bottom w:val="single" w:sz="4" w:space="0" w:color="auto"/>
              <w:right w:val="single" w:sz="4" w:space="0" w:color="auto"/>
            </w:tcBorders>
            <w:shd w:val="clear" w:color="auto" w:fill="auto"/>
            <w:noWrap/>
            <w:vAlign w:val="center"/>
            <w:hideMark/>
          </w:tcPr>
          <w:p w14:paraId="2692EEC2"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1078</w:t>
            </w:r>
          </w:p>
        </w:tc>
        <w:tc>
          <w:tcPr>
            <w:tcW w:w="797" w:type="dxa"/>
            <w:tcBorders>
              <w:top w:val="nil"/>
              <w:left w:val="nil"/>
              <w:bottom w:val="single" w:sz="4" w:space="0" w:color="auto"/>
              <w:right w:val="single" w:sz="4" w:space="0" w:color="auto"/>
            </w:tcBorders>
            <w:shd w:val="clear" w:color="auto" w:fill="auto"/>
            <w:noWrap/>
            <w:vAlign w:val="center"/>
            <w:hideMark/>
          </w:tcPr>
          <w:p w14:paraId="6DDE520E"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811003083</w:t>
            </w:r>
          </w:p>
        </w:tc>
        <w:tc>
          <w:tcPr>
            <w:tcW w:w="4844" w:type="dxa"/>
            <w:tcBorders>
              <w:top w:val="nil"/>
              <w:left w:val="nil"/>
              <w:bottom w:val="single" w:sz="4" w:space="0" w:color="auto"/>
              <w:right w:val="single" w:sz="4" w:space="0" w:color="auto"/>
            </w:tcBorders>
            <w:shd w:val="clear" w:color="auto" w:fill="auto"/>
            <w:vAlign w:val="center"/>
            <w:hideMark/>
          </w:tcPr>
          <w:p w14:paraId="04FECB2A"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GENERADORA COLOMBIANA DE ELECTRICIDAD SA ESP</w:t>
            </w:r>
          </w:p>
        </w:tc>
        <w:tc>
          <w:tcPr>
            <w:tcW w:w="1600" w:type="dxa"/>
            <w:tcBorders>
              <w:top w:val="nil"/>
              <w:left w:val="nil"/>
              <w:bottom w:val="single" w:sz="4" w:space="0" w:color="auto"/>
              <w:right w:val="single" w:sz="4" w:space="0" w:color="auto"/>
            </w:tcBorders>
            <w:shd w:val="clear" w:color="auto" w:fill="auto"/>
            <w:noWrap/>
            <w:vAlign w:val="center"/>
            <w:hideMark/>
          </w:tcPr>
          <w:p w14:paraId="3DC4C946"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63.851.389 </w:t>
            </w:r>
          </w:p>
        </w:tc>
        <w:tc>
          <w:tcPr>
            <w:tcW w:w="1660" w:type="dxa"/>
            <w:tcBorders>
              <w:top w:val="nil"/>
              <w:left w:val="nil"/>
              <w:bottom w:val="single" w:sz="4" w:space="0" w:color="auto"/>
              <w:right w:val="single" w:sz="4" w:space="0" w:color="auto"/>
            </w:tcBorders>
            <w:shd w:val="clear" w:color="auto" w:fill="auto"/>
            <w:noWrap/>
            <w:vAlign w:val="center"/>
            <w:hideMark/>
          </w:tcPr>
          <w:p w14:paraId="416A530E"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78.890.550 </w:t>
            </w:r>
          </w:p>
        </w:tc>
      </w:tr>
      <w:tr w:rsidR="009838E7" w:rsidRPr="009838E7" w14:paraId="10C751EE"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6D1C0F7F"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39</w:t>
            </w:r>
          </w:p>
        </w:tc>
        <w:tc>
          <w:tcPr>
            <w:tcW w:w="505" w:type="dxa"/>
            <w:tcBorders>
              <w:top w:val="nil"/>
              <w:left w:val="nil"/>
              <w:bottom w:val="single" w:sz="4" w:space="0" w:color="auto"/>
              <w:right w:val="single" w:sz="4" w:space="0" w:color="auto"/>
            </w:tcBorders>
            <w:shd w:val="clear" w:color="auto" w:fill="auto"/>
            <w:noWrap/>
            <w:vAlign w:val="center"/>
            <w:hideMark/>
          </w:tcPr>
          <w:p w14:paraId="688B6801"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22190</w:t>
            </w:r>
          </w:p>
        </w:tc>
        <w:tc>
          <w:tcPr>
            <w:tcW w:w="797" w:type="dxa"/>
            <w:tcBorders>
              <w:top w:val="nil"/>
              <w:left w:val="nil"/>
              <w:bottom w:val="single" w:sz="4" w:space="0" w:color="auto"/>
              <w:right w:val="single" w:sz="4" w:space="0" w:color="auto"/>
            </w:tcBorders>
            <w:shd w:val="clear" w:color="auto" w:fill="auto"/>
            <w:noWrap/>
            <w:vAlign w:val="center"/>
            <w:hideMark/>
          </w:tcPr>
          <w:p w14:paraId="4721EBB8"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811031656</w:t>
            </w:r>
          </w:p>
        </w:tc>
        <w:tc>
          <w:tcPr>
            <w:tcW w:w="4844" w:type="dxa"/>
            <w:tcBorders>
              <w:top w:val="nil"/>
              <w:left w:val="nil"/>
              <w:bottom w:val="single" w:sz="4" w:space="0" w:color="auto"/>
              <w:right w:val="single" w:sz="4" w:space="0" w:color="auto"/>
            </w:tcBorders>
            <w:shd w:val="clear" w:color="auto" w:fill="auto"/>
            <w:vAlign w:val="center"/>
            <w:hideMark/>
          </w:tcPr>
          <w:p w14:paraId="7B5CC742"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ENERGIA DEL RIO PIEDRAS S.A. E.S.P.</w:t>
            </w:r>
          </w:p>
        </w:tc>
        <w:tc>
          <w:tcPr>
            <w:tcW w:w="1600" w:type="dxa"/>
            <w:tcBorders>
              <w:top w:val="nil"/>
              <w:left w:val="nil"/>
              <w:bottom w:val="single" w:sz="4" w:space="0" w:color="auto"/>
              <w:right w:val="single" w:sz="4" w:space="0" w:color="auto"/>
            </w:tcBorders>
            <w:shd w:val="clear" w:color="auto" w:fill="auto"/>
            <w:noWrap/>
            <w:vAlign w:val="center"/>
            <w:hideMark/>
          </w:tcPr>
          <w:p w14:paraId="315531E1"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183.222.596 </w:t>
            </w:r>
          </w:p>
        </w:tc>
        <w:tc>
          <w:tcPr>
            <w:tcW w:w="1660" w:type="dxa"/>
            <w:tcBorders>
              <w:top w:val="nil"/>
              <w:left w:val="nil"/>
              <w:bottom w:val="single" w:sz="4" w:space="0" w:color="auto"/>
              <w:right w:val="single" w:sz="4" w:space="0" w:color="auto"/>
            </w:tcBorders>
            <w:shd w:val="clear" w:color="auto" w:fill="auto"/>
            <w:noWrap/>
            <w:vAlign w:val="center"/>
            <w:hideMark/>
          </w:tcPr>
          <w:p w14:paraId="2C6744CE"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199.660.315 </w:t>
            </w:r>
          </w:p>
        </w:tc>
      </w:tr>
      <w:tr w:rsidR="009838E7" w:rsidRPr="009838E7" w14:paraId="26CB64FF"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499EC8B0"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40</w:t>
            </w:r>
          </w:p>
        </w:tc>
        <w:tc>
          <w:tcPr>
            <w:tcW w:w="505" w:type="dxa"/>
            <w:tcBorders>
              <w:top w:val="nil"/>
              <w:left w:val="nil"/>
              <w:bottom w:val="single" w:sz="4" w:space="0" w:color="auto"/>
              <w:right w:val="single" w:sz="4" w:space="0" w:color="auto"/>
            </w:tcBorders>
            <w:shd w:val="clear" w:color="auto" w:fill="auto"/>
            <w:noWrap/>
            <w:vAlign w:val="center"/>
            <w:hideMark/>
          </w:tcPr>
          <w:p w14:paraId="6B85EEBD"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1598</w:t>
            </w:r>
          </w:p>
        </w:tc>
        <w:tc>
          <w:tcPr>
            <w:tcW w:w="797" w:type="dxa"/>
            <w:tcBorders>
              <w:top w:val="nil"/>
              <w:left w:val="nil"/>
              <w:bottom w:val="single" w:sz="4" w:space="0" w:color="auto"/>
              <w:right w:val="single" w:sz="4" w:space="0" w:color="auto"/>
            </w:tcBorders>
            <w:shd w:val="clear" w:color="auto" w:fill="auto"/>
            <w:noWrap/>
            <w:vAlign w:val="center"/>
            <w:hideMark/>
          </w:tcPr>
          <w:p w14:paraId="0C24AA98"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813002696</w:t>
            </w:r>
          </w:p>
        </w:tc>
        <w:tc>
          <w:tcPr>
            <w:tcW w:w="4844" w:type="dxa"/>
            <w:tcBorders>
              <w:top w:val="nil"/>
              <w:left w:val="nil"/>
              <w:bottom w:val="single" w:sz="4" w:space="0" w:color="auto"/>
              <w:right w:val="single" w:sz="4" w:space="0" w:color="auto"/>
            </w:tcBorders>
            <w:shd w:val="clear" w:color="auto" w:fill="auto"/>
            <w:vAlign w:val="center"/>
            <w:hideMark/>
          </w:tcPr>
          <w:p w14:paraId="75B14C47" w14:textId="7F47E06E"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GAS NEIVA S.A. E.S.P</w:t>
            </w:r>
            <w:r w:rsidR="006F2D43">
              <w:rPr>
                <w:rFonts w:ascii="Arial Narrow" w:hAnsi="Arial Narrow" w:cs="Calibri"/>
                <w:color w:val="000000"/>
                <w:spacing w:val="0"/>
                <w:sz w:val="16"/>
                <w:szCs w:val="16"/>
                <w:lang w:eastAsia="es-CO"/>
              </w:rPr>
              <w:t>.</w:t>
            </w:r>
          </w:p>
        </w:tc>
        <w:tc>
          <w:tcPr>
            <w:tcW w:w="1600" w:type="dxa"/>
            <w:tcBorders>
              <w:top w:val="nil"/>
              <w:left w:val="nil"/>
              <w:bottom w:val="single" w:sz="4" w:space="0" w:color="auto"/>
              <w:right w:val="single" w:sz="4" w:space="0" w:color="auto"/>
            </w:tcBorders>
            <w:shd w:val="clear" w:color="auto" w:fill="auto"/>
            <w:noWrap/>
            <w:vAlign w:val="center"/>
            <w:hideMark/>
          </w:tcPr>
          <w:p w14:paraId="2DC82F70"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1.570.358.073 </w:t>
            </w:r>
          </w:p>
        </w:tc>
        <w:tc>
          <w:tcPr>
            <w:tcW w:w="1660" w:type="dxa"/>
            <w:tcBorders>
              <w:top w:val="nil"/>
              <w:left w:val="nil"/>
              <w:bottom w:val="single" w:sz="4" w:space="0" w:color="auto"/>
              <w:right w:val="single" w:sz="4" w:space="0" w:color="auto"/>
            </w:tcBorders>
            <w:shd w:val="clear" w:color="auto" w:fill="auto"/>
            <w:noWrap/>
            <w:vAlign w:val="center"/>
            <w:hideMark/>
          </w:tcPr>
          <w:p w14:paraId="73D0A809"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1.695.725.315 </w:t>
            </w:r>
          </w:p>
        </w:tc>
      </w:tr>
      <w:tr w:rsidR="009838E7" w:rsidRPr="009838E7" w14:paraId="273DC32E"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63EE4AB3"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41</w:t>
            </w:r>
          </w:p>
        </w:tc>
        <w:tc>
          <w:tcPr>
            <w:tcW w:w="505" w:type="dxa"/>
            <w:tcBorders>
              <w:top w:val="nil"/>
              <w:left w:val="nil"/>
              <w:bottom w:val="single" w:sz="4" w:space="0" w:color="auto"/>
              <w:right w:val="single" w:sz="4" w:space="0" w:color="auto"/>
            </w:tcBorders>
            <w:shd w:val="clear" w:color="auto" w:fill="auto"/>
            <w:noWrap/>
            <w:vAlign w:val="center"/>
            <w:hideMark/>
          </w:tcPr>
          <w:p w14:paraId="47B49A7B"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3372</w:t>
            </w:r>
          </w:p>
        </w:tc>
        <w:tc>
          <w:tcPr>
            <w:tcW w:w="797" w:type="dxa"/>
            <w:tcBorders>
              <w:top w:val="nil"/>
              <w:left w:val="nil"/>
              <w:bottom w:val="single" w:sz="4" w:space="0" w:color="auto"/>
              <w:right w:val="single" w:sz="4" w:space="0" w:color="auto"/>
            </w:tcBorders>
            <w:shd w:val="clear" w:color="auto" w:fill="auto"/>
            <w:noWrap/>
            <w:vAlign w:val="center"/>
            <w:hideMark/>
          </w:tcPr>
          <w:p w14:paraId="76973846"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814002979</w:t>
            </w:r>
          </w:p>
        </w:tc>
        <w:tc>
          <w:tcPr>
            <w:tcW w:w="4844" w:type="dxa"/>
            <w:tcBorders>
              <w:top w:val="nil"/>
              <w:left w:val="nil"/>
              <w:bottom w:val="single" w:sz="4" w:space="0" w:color="auto"/>
              <w:right w:val="single" w:sz="4" w:space="0" w:color="auto"/>
            </w:tcBorders>
            <w:shd w:val="clear" w:color="auto" w:fill="auto"/>
            <w:vAlign w:val="center"/>
            <w:hideMark/>
          </w:tcPr>
          <w:p w14:paraId="2256BC3C"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A.S.C INGENIERIA SOCIEDAD ANONIMA SA ESP.</w:t>
            </w:r>
          </w:p>
        </w:tc>
        <w:tc>
          <w:tcPr>
            <w:tcW w:w="1600" w:type="dxa"/>
            <w:tcBorders>
              <w:top w:val="nil"/>
              <w:left w:val="nil"/>
              <w:bottom w:val="single" w:sz="4" w:space="0" w:color="auto"/>
              <w:right w:val="single" w:sz="4" w:space="0" w:color="auto"/>
            </w:tcBorders>
            <w:shd w:val="clear" w:color="auto" w:fill="auto"/>
            <w:noWrap/>
            <w:vAlign w:val="center"/>
            <w:hideMark/>
          </w:tcPr>
          <w:p w14:paraId="7480055D"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421.989.000 </w:t>
            </w:r>
          </w:p>
        </w:tc>
        <w:tc>
          <w:tcPr>
            <w:tcW w:w="1660" w:type="dxa"/>
            <w:tcBorders>
              <w:top w:val="nil"/>
              <w:left w:val="nil"/>
              <w:bottom w:val="single" w:sz="4" w:space="0" w:color="auto"/>
              <w:right w:val="single" w:sz="4" w:space="0" w:color="auto"/>
            </w:tcBorders>
            <w:shd w:val="clear" w:color="auto" w:fill="auto"/>
            <w:noWrap/>
            <w:vAlign w:val="center"/>
            <w:hideMark/>
          </w:tcPr>
          <w:p w14:paraId="6E5AAA22"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343.413.000 </w:t>
            </w:r>
          </w:p>
        </w:tc>
      </w:tr>
      <w:tr w:rsidR="009838E7" w:rsidRPr="009838E7" w14:paraId="2D6EED34"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077573B0"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42</w:t>
            </w:r>
          </w:p>
        </w:tc>
        <w:tc>
          <w:tcPr>
            <w:tcW w:w="505" w:type="dxa"/>
            <w:tcBorders>
              <w:top w:val="nil"/>
              <w:left w:val="nil"/>
              <w:bottom w:val="single" w:sz="4" w:space="0" w:color="auto"/>
              <w:right w:val="single" w:sz="4" w:space="0" w:color="auto"/>
            </w:tcBorders>
            <w:shd w:val="clear" w:color="auto" w:fill="auto"/>
            <w:noWrap/>
            <w:vAlign w:val="center"/>
            <w:hideMark/>
          </w:tcPr>
          <w:p w14:paraId="3FE3CE5A"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2676</w:t>
            </w:r>
          </w:p>
        </w:tc>
        <w:tc>
          <w:tcPr>
            <w:tcW w:w="797" w:type="dxa"/>
            <w:tcBorders>
              <w:top w:val="nil"/>
              <w:left w:val="nil"/>
              <w:bottom w:val="single" w:sz="4" w:space="0" w:color="auto"/>
              <w:right w:val="single" w:sz="4" w:space="0" w:color="auto"/>
            </w:tcBorders>
            <w:shd w:val="clear" w:color="auto" w:fill="auto"/>
            <w:noWrap/>
            <w:vAlign w:val="center"/>
            <w:hideMark/>
          </w:tcPr>
          <w:p w14:paraId="21701B01"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814003050</w:t>
            </w:r>
          </w:p>
        </w:tc>
        <w:tc>
          <w:tcPr>
            <w:tcW w:w="4844" w:type="dxa"/>
            <w:tcBorders>
              <w:top w:val="nil"/>
              <w:left w:val="nil"/>
              <w:bottom w:val="single" w:sz="4" w:space="0" w:color="auto"/>
              <w:right w:val="single" w:sz="4" w:space="0" w:color="auto"/>
            </w:tcBorders>
            <w:shd w:val="clear" w:color="auto" w:fill="auto"/>
            <w:vAlign w:val="center"/>
            <w:hideMark/>
          </w:tcPr>
          <w:p w14:paraId="64C8B3B4"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SUPERGAS DE NARIÑO S.A. E.S.P.</w:t>
            </w:r>
          </w:p>
        </w:tc>
        <w:tc>
          <w:tcPr>
            <w:tcW w:w="1600" w:type="dxa"/>
            <w:tcBorders>
              <w:top w:val="nil"/>
              <w:left w:val="nil"/>
              <w:bottom w:val="single" w:sz="4" w:space="0" w:color="auto"/>
              <w:right w:val="single" w:sz="4" w:space="0" w:color="auto"/>
            </w:tcBorders>
            <w:shd w:val="clear" w:color="auto" w:fill="auto"/>
            <w:noWrap/>
            <w:vAlign w:val="center"/>
            <w:hideMark/>
          </w:tcPr>
          <w:p w14:paraId="02A2DF07"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2.802.760.169 </w:t>
            </w:r>
          </w:p>
        </w:tc>
        <w:tc>
          <w:tcPr>
            <w:tcW w:w="1660" w:type="dxa"/>
            <w:tcBorders>
              <w:top w:val="nil"/>
              <w:left w:val="nil"/>
              <w:bottom w:val="single" w:sz="4" w:space="0" w:color="auto"/>
              <w:right w:val="single" w:sz="4" w:space="0" w:color="auto"/>
            </w:tcBorders>
            <w:shd w:val="clear" w:color="auto" w:fill="auto"/>
            <w:noWrap/>
            <w:vAlign w:val="center"/>
            <w:hideMark/>
          </w:tcPr>
          <w:p w14:paraId="3D52D2D4"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3.210.245.339 </w:t>
            </w:r>
          </w:p>
        </w:tc>
      </w:tr>
      <w:tr w:rsidR="009838E7" w:rsidRPr="009838E7" w14:paraId="69D47954" w14:textId="77777777" w:rsidTr="00092F91">
        <w:trPr>
          <w:trHeight w:val="386"/>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138EBABC"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43</w:t>
            </w:r>
          </w:p>
        </w:tc>
        <w:tc>
          <w:tcPr>
            <w:tcW w:w="505" w:type="dxa"/>
            <w:tcBorders>
              <w:top w:val="nil"/>
              <w:left w:val="nil"/>
              <w:bottom w:val="single" w:sz="4" w:space="0" w:color="auto"/>
              <w:right w:val="single" w:sz="4" w:space="0" w:color="auto"/>
            </w:tcBorders>
            <w:shd w:val="clear" w:color="auto" w:fill="auto"/>
            <w:noWrap/>
            <w:vAlign w:val="center"/>
            <w:hideMark/>
          </w:tcPr>
          <w:p w14:paraId="659E85C7"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2020</w:t>
            </w:r>
          </w:p>
        </w:tc>
        <w:tc>
          <w:tcPr>
            <w:tcW w:w="797" w:type="dxa"/>
            <w:tcBorders>
              <w:top w:val="nil"/>
              <w:left w:val="nil"/>
              <w:bottom w:val="single" w:sz="4" w:space="0" w:color="auto"/>
              <w:right w:val="single" w:sz="4" w:space="0" w:color="auto"/>
            </w:tcBorders>
            <w:shd w:val="clear" w:color="auto" w:fill="auto"/>
            <w:noWrap/>
            <w:vAlign w:val="center"/>
            <w:hideMark/>
          </w:tcPr>
          <w:p w14:paraId="0D7F0813"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815000896</w:t>
            </w:r>
          </w:p>
        </w:tc>
        <w:tc>
          <w:tcPr>
            <w:tcW w:w="4844" w:type="dxa"/>
            <w:tcBorders>
              <w:top w:val="nil"/>
              <w:left w:val="nil"/>
              <w:bottom w:val="single" w:sz="4" w:space="0" w:color="auto"/>
              <w:right w:val="single" w:sz="4" w:space="0" w:color="auto"/>
            </w:tcBorders>
            <w:shd w:val="clear" w:color="auto" w:fill="auto"/>
            <w:vAlign w:val="center"/>
            <w:hideMark/>
          </w:tcPr>
          <w:p w14:paraId="5D658024"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DISTRIBUIDORA Y COMERCIALIZADORA DE ENERGIA ELECTRICA S.A. E.S.P.</w:t>
            </w:r>
          </w:p>
        </w:tc>
        <w:tc>
          <w:tcPr>
            <w:tcW w:w="1600" w:type="dxa"/>
            <w:tcBorders>
              <w:top w:val="nil"/>
              <w:left w:val="nil"/>
              <w:bottom w:val="single" w:sz="4" w:space="0" w:color="auto"/>
              <w:right w:val="single" w:sz="4" w:space="0" w:color="auto"/>
            </w:tcBorders>
            <w:shd w:val="clear" w:color="auto" w:fill="auto"/>
            <w:noWrap/>
            <w:vAlign w:val="center"/>
            <w:hideMark/>
          </w:tcPr>
          <w:p w14:paraId="19F1CA9C"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4.001.634.879 </w:t>
            </w:r>
          </w:p>
        </w:tc>
        <w:tc>
          <w:tcPr>
            <w:tcW w:w="1660" w:type="dxa"/>
            <w:tcBorders>
              <w:top w:val="nil"/>
              <w:left w:val="nil"/>
              <w:bottom w:val="single" w:sz="4" w:space="0" w:color="auto"/>
              <w:right w:val="single" w:sz="4" w:space="0" w:color="auto"/>
            </w:tcBorders>
            <w:shd w:val="clear" w:color="auto" w:fill="auto"/>
            <w:noWrap/>
            <w:vAlign w:val="center"/>
            <w:hideMark/>
          </w:tcPr>
          <w:p w14:paraId="6BF67ADE"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4.631.730.054 </w:t>
            </w:r>
          </w:p>
        </w:tc>
      </w:tr>
      <w:tr w:rsidR="009838E7" w:rsidRPr="009838E7" w14:paraId="722EC004"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173F6DE6"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44</w:t>
            </w:r>
          </w:p>
        </w:tc>
        <w:tc>
          <w:tcPr>
            <w:tcW w:w="505" w:type="dxa"/>
            <w:tcBorders>
              <w:top w:val="nil"/>
              <w:left w:val="nil"/>
              <w:bottom w:val="single" w:sz="4" w:space="0" w:color="auto"/>
              <w:right w:val="single" w:sz="4" w:space="0" w:color="auto"/>
            </w:tcBorders>
            <w:shd w:val="clear" w:color="auto" w:fill="auto"/>
            <w:noWrap/>
            <w:vAlign w:val="center"/>
            <w:hideMark/>
          </w:tcPr>
          <w:p w14:paraId="7767D6FC"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2378</w:t>
            </w:r>
          </w:p>
        </w:tc>
        <w:tc>
          <w:tcPr>
            <w:tcW w:w="797" w:type="dxa"/>
            <w:tcBorders>
              <w:top w:val="nil"/>
              <w:left w:val="nil"/>
              <w:bottom w:val="single" w:sz="4" w:space="0" w:color="auto"/>
              <w:right w:val="single" w:sz="4" w:space="0" w:color="auto"/>
            </w:tcBorders>
            <w:shd w:val="clear" w:color="auto" w:fill="auto"/>
            <w:noWrap/>
            <w:vAlign w:val="center"/>
            <w:hideMark/>
          </w:tcPr>
          <w:p w14:paraId="65AF77DB"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815001901</w:t>
            </w:r>
          </w:p>
        </w:tc>
        <w:tc>
          <w:tcPr>
            <w:tcW w:w="4844" w:type="dxa"/>
            <w:tcBorders>
              <w:top w:val="nil"/>
              <w:left w:val="nil"/>
              <w:bottom w:val="single" w:sz="4" w:space="0" w:color="auto"/>
              <w:right w:val="single" w:sz="4" w:space="0" w:color="auto"/>
            </w:tcBorders>
            <w:shd w:val="clear" w:color="auto" w:fill="auto"/>
            <w:vAlign w:val="center"/>
            <w:hideMark/>
          </w:tcPr>
          <w:p w14:paraId="17960592"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DICELER S.A E.S.P.</w:t>
            </w:r>
          </w:p>
        </w:tc>
        <w:tc>
          <w:tcPr>
            <w:tcW w:w="1600" w:type="dxa"/>
            <w:tcBorders>
              <w:top w:val="nil"/>
              <w:left w:val="nil"/>
              <w:bottom w:val="single" w:sz="4" w:space="0" w:color="auto"/>
              <w:right w:val="single" w:sz="4" w:space="0" w:color="auto"/>
            </w:tcBorders>
            <w:shd w:val="clear" w:color="auto" w:fill="auto"/>
            <w:noWrap/>
            <w:vAlign w:val="center"/>
            <w:hideMark/>
          </w:tcPr>
          <w:p w14:paraId="716072ED"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409.763.207 </w:t>
            </w:r>
          </w:p>
        </w:tc>
        <w:tc>
          <w:tcPr>
            <w:tcW w:w="1660" w:type="dxa"/>
            <w:tcBorders>
              <w:top w:val="nil"/>
              <w:left w:val="nil"/>
              <w:bottom w:val="single" w:sz="4" w:space="0" w:color="auto"/>
              <w:right w:val="single" w:sz="4" w:space="0" w:color="auto"/>
            </w:tcBorders>
            <w:shd w:val="clear" w:color="auto" w:fill="auto"/>
            <w:noWrap/>
            <w:vAlign w:val="center"/>
            <w:hideMark/>
          </w:tcPr>
          <w:p w14:paraId="1C25D37A"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484.105.575 </w:t>
            </w:r>
          </w:p>
        </w:tc>
      </w:tr>
      <w:tr w:rsidR="009838E7" w:rsidRPr="009838E7" w14:paraId="07E1EC27"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06894B59"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lastRenderedPageBreak/>
              <w:t>45</w:t>
            </w:r>
          </w:p>
        </w:tc>
        <w:tc>
          <w:tcPr>
            <w:tcW w:w="505" w:type="dxa"/>
            <w:tcBorders>
              <w:top w:val="nil"/>
              <w:left w:val="nil"/>
              <w:bottom w:val="single" w:sz="4" w:space="0" w:color="auto"/>
              <w:right w:val="single" w:sz="4" w:space="0" w:color="auto"/>
            </w:tcBorders>
            <w:shd w:val="clear" w:color="auto" w:fill="auto"/>
            <w:noWrap/>
            <w:vAlign w:val="center"/>
            <w:hideMark/>
          </w:tcPr>
          <w:p w14:paraId="5C1C4C67"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2073</w:t>
            </w:r>
          </w:p>
        </w:tc>
        <w:tc>
          <w:tcPr>
            <w:tcW w:w="797" w:type="dxa"/>
            <w:tcBorders>
              <w:top w:val="nil"/>
              <w:left w:val="nil"/>
              <w:bottom w:val="single" w:sz="4" w:space="0" w:color="auto"/>
              <w:right w:val="single" w:sz="4" w:space="0" w:color="auto"/>
            </w:tcBorders>
            <w:shd w:val="clear" w:color="auto" w:fill="auto"/>
            <w:noWrap/>
            <w:vAlign w:val="center"/>
            <w:hideMark/>
          </w:tcPr>
          <w:p w14:paraId="44ABF8AA"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816002019</w:t>
            </w:r>
          </w:p>
        </w:tc>
        <w:tc>
          <w:tcPr>
            <w:tcW w:w="4844" w:type="dxa"/>
            <w:tcBorders>
              <w:top w:val="nil"/>
              <w:left w:val="nil"/>
              <w:bottom w:val="single" w:sz="4" w:space="0" w:color="auto"/>
              <w:right w:val="single" w:sz="4" w:space="0" w:color="auto"/>
            </w:tcBorders>
            <w:shd w:val="clear" w:color="auto" w:fill="auto"/>
            <w:vAlign w:val="center"/>
            <w:hideMark/>
          </w:tcPr>
          <w:p w14:paraId="146F6528"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EMPRESA DE ENERGÍA DE PEREIRA S.A. ESP.</w:t>
            </w:r>
          </w:p>
        </w:tc>
        <w:tc>
          <w:tcPr>
            <w:tcW w:w="1600" w:type="dxa"/>
            <w:tcBorders>
              <w:top w:val="nil"/>
              <w:left w:val="nil"/>
              <w:bottom w:val="single" w:sz="4" w:space="0" w:color="auto"/>
              <w:right w:val="single" w:sz="4" w:space="0" w:color="auto"/>
            </w:tcBorders>
            <w:shd w:val="clear" w:color="auto" w:fill="auto"/>
            <w:noWrap/>
            <w:vAlign w:val="center"/>
            <w:hideMark/>
          </w:tcPr>
          <w:p w14:paraId="10886961"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12.743.762.472 </w:t>
            </w:r>
          </w:p>
        </w:tc>
        <w:tc>
          <w:tcPr>
            <w:tcW w:w="1660" w:type="dxa"/>
            <w:tcBorders>
              <w:top w:val="nil"/>
              <w:left w:val="nil"/>
              <w:bottom w:val="single" w:sz="4" w:space="0" w:color="auto"/>
              <w:right w:val="single" w:sz="4" w:space="0" w:color="auto"/>
            </w:tcBorders>
            <w:shd w:val="clear" w:color="auto" w:fill="auto"/>
            <w:noWrap/>
            <w:vAlign w:val="center"/>
            <w:hideMark/>
          </w:tcPr>
          <w:p w14:paraId="5C3F6A68"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16.556.945.964 </w:t>
            </w:r>
          </w:p>
        </w:tc>
      </w:tr>
      <w:tr w:rsidR="009838E7" w:rsidRPr="009838E7" w14:paraId="10B26FD5"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012D5BE1"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46</w:t>
            </w:r>
          </w:p>
        </w:tc>
        <w:tc>
          <w:tcPr>
            <w:tcW w:w="505" w:type="dxa"/>
            <w:tcBorders>
              <w:top w:val="nil"/>
              <w:left w:val="nil"/>
              <w:bottom w:val="single" w:sz="4" w:space="0" w:color="auto"/>
              <w:right w:val="single" w:sz="4" w:space="0" w:color="auto"/>
            </w:tcBorders>
            <w:shd w:val="clear" w:color="auto" w:fill="auto"/>
            <w:noWrap/>
            <w:vAlign w:val="center"/>
            <w:hideMark/>
          </w:tcPr>
          <w:p w14:paraId="442A73B2"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2398</w:t>
            </w:r>
          </w:p>
        </w:tc>
        <w:tc>
          <w:tcPr>
            <w:tcW w:w="797" w:type="dxa"/>
            <w:tcBorders>
              <w:top w:val="nil"/>
              <w:left w:val="nil"/>
              <w:bottom w:val="single" w:sz="4" w:space="0" w:color="auto"/>
              <w:right w:val="single" w:sz="4" w:space="0" w:color="auto"/>
            </w:tcBorders>
            <w:shd w:val="clear" w:color="auto" w:fill="auto"/>
            <w:noWrap/>
            <w:vAlign w:val="center"/>
            <w:hideMark/>
          </w:tcPr>
          <w:p w14:paraId="2BA54CE8"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817000362</w:t>
            </w:r>
          </w:p>
        </w:tc>
        <w:tc>
          <w:tcPr>
            <w:tcW w:w="4844" w:type="dxa"/>
            <w:tcBorders>
              <w:top w:val="nil"/>
              <w:left w:val="nil"/>
              <w:bottom w:val="single" w:sz="4" w:space="0" w:color="auto"/>
              <w:right w:val="single" w:sz="4" w:space="0" w:color="auto"/>
            </w:tcBorders>
            <w:shd w:val="clear" w:color="auto" w:fill="auto"/>
            <w:vAlign w:val="center"/>
            <w:hideMark/>
          </w:tcPr>
          <w:p w14:paraId="7F842C08"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PROYECTOS ENERGETICOS DEL CAUCA S.A. E.S.P.</w:t>
            </w:r>
          </w:p>
        </w:tc>
        <w:tc>
          <w:tcPr>
            <w:tcW w:w="1600" w:type="dxa"/>
            <w:tcBorders>
              <w:top w:val="nil"/>
              <w:left w:val="nil"/>
              <w:bottom w:val="single" w:sz="4" w:space="0" w:color="auto"/>
              <w:right w:val="single" w:sz="4" w:space="0" w:color="auto"/>
            </w:tcBorders>
            <w:shd w:val="clear" w:color="auto" w:fill="auto"/>
            <w:noWrap/>
            <w:vAlign w:val="center"/>
            <w:hideMark/>
          </w:tcPr>
          <w:p w14:paraId="0C9A2140"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875.417.480 </w:t>
            </w:r>
          </w:p>
        </w:tc>
        <w:tc>
          <w:tcPr>
            <w:tcW w:w="1660" w:type="dxa"/>
            <w:tcBorders>
              <w:top w:val="nil"/>
              <w:left w:val="nil"/>
              <w:bottom w:val="single" w:sz="4" w:space="0" w:color="auto"/>
              <w:right w:val="single" w:sz="4" w:space="0" w:color="auto"/>
            </w:tcBorders>
            <w:shd w:val="clear" w:color="auto" w:fill="auto"/>
            <w:noWrap/>
            <w:vAlign w:val="center"/>
            <w:hideMark/>
          </w:tcPr>
          <w:p w14:paraId="0FFA4EEC"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1.438.136.280 </w:t>
            </w:r>
          </w:p>
        </w:tc>
      </w:tr>
      <w:tr w:rsidR="009838E7" w:rsidRPr="009838E7" w14:paraId="3F76FCFE"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2878E56B"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47</w:t>
            </w:r>
          </w:p>
        </w:tc>
        <w:tc>
          <w:tcPr>
            <w:tcW w:w="505" w:type="dxa"/>
            <w:tcBorders>
              <w:top w:val="nil"/>
              <w:left w:val="nil"/>
              <w:bottom w:val="single" w:sz="4" w:space="0" w:color="auto"/>
              <w:right w:val="single" w:sz="4" w:space="0" w:color="auto"/>
            </w:tcBorders>
            <w:shd w:val="clear" w:color="auto" w:fill="auto"/>
            <w:noWrap/>
            <w:vAlign w:val="center"/>
            <w:hideMark/>
          </w:tcPr>
          <w:p w14:paraId="410605B3"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2322</w:t>
            </w:r>
          </w:p>
        </w:tc>
        <w:tc>
          <w:tcPr>
            <w:tcW w:w="797" w:type="dxa"/>
            <w:tcBorders>
              <w:top w:val="nil"/>
              <w:left w:val="nil"/>
              <w:bottom w:val="single" w:sz="4" w:space="0" w:color="auto"/>
              <w:right w:val="single" w:sz="4" w:space="0" w:color="auto"/>
            </w:tcBorders>
            <w:shd w:val="clear" w:color="auto" w:fill="auto"/>
            <w:noWrap/>
            <w:vAlign w:val="center"/>
            <w:hideMark/>
          </w:tcPr>
          <w:p w14:paraId="1F1576FA"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817001892</w:t>
            </w:r>
          </w:p>
        </w:tc>
        <w:tc>
          <w:tcPr>
            <w:tcW w:w="4844" w:type="dxa"/>
            <w:tcBorders>
              <w:top w:val="nil"/>
              <w:left w:val="nil"/>
              <w:bottom w:val="single" w:sz="4" w:space="0" w:color="auto"/>
              <w:right w:val="single" w:sz="4" w:space="0" w:color="auto"/>
            </w:tcBorders>
            <w:shd w:val="clear" w:color="auto" w:fill="auto"/>
            <w:vAlign w:val="center"/>
            <w:hideMark/>
          </w:tcPr>
          <w:p w14:paraId="15820B39"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VATIA S.A. E.S.P.</w:t>
            </w:r>
          </w:p>
        </w:tc>
        <w:tc>
          <w:tcPr>
            <w:tcW w:w="1600" w:type="dxa"/>
            <w:tcBorders>
              <w:top w:val="nil"/>
              <w:left w:val="nil"/>
              <w:bottom w:val="single" w:sz="4" w:space="0" w:color="auto"/>
              <w:right w:val="single" w:sz="4" w:space="0" w:color="auto"/>
            </w:tcBorders>
            <w:shd w:val="clear" w:color="auto" w:fill="auto"/>
            <w:noWrap/>
            <w:vAlign w:val="center"/>
            <w:hideMark/>
          </w:tcPr>
          <w:p w14:paraId="38F5383D"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20.423.007.339 </w:t>
            </w:r>
          </w:p>
        </w:tc>
        <w:tc>
          <w:tcPr>
            <w:tcW w:w="1660" w:type="dxa"/>
            <w:tcBorders>
              <w:top w:val="nil"/>
              <w:left w:val="nil"/>
              <w:bottom w:val="single" w:sz="4" w:space="0" w:color="auto"/>
              <w:right w:val="single" w:sz="4" w:space="0" w:color="auto"/>
            </w:tcBorders>
            <w:shd w:val="clear" w:color="auto" w:fill="auto"/>
            <w:noWrap/>
            <w:vAlign w:val="center"/>
            <w:hideMark/>
          </w:tcPr>
          <w:p w14:paraId="327B4E48"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25.941.931.729 </w:t>
            </w:r>
          </w:p>
        </w:tc>
      </w:tr>
      <w:tr w:rsidR="009838E7" w:rsidRPr="009838E7" w14:paraId="56D12510" w14:textId="77777777" w:rsidTr="00092F91">
        <w:trPr>
          <w:trHeight w:val="256"/>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52D47822"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48</w:t>
            </w:r>
          </w:p>
        </w:tc>
        <w:tc>
          <w:tcPr>
            <w:tcW w:w="505" w:type="dxa"/>
            <w:tcBorders>
              <w:top w:val="nil"/>
              <w:left w:val="nil"/>
              <w:bottom w:val="single" w:sz="4" w:space="0" w:color="auto"/>
              <w:right w:val="single" w:sz="4" w:space="0" w:color="auto"/>
            </w:tcBorders>
            <w:shd w:val="clear" w:color="auto" w:fill="auto"/>
            <w:noWrap/>
            <w:vAlign w:val="center"/>
            <w:hideMark/>
          </w:tcPr>
          <w:p w14:paraId="3C11A4B7"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2080</w:t>
            </w:r>
          </w:p>
        </w:tc>
        <w:tc>
          <w:tcPr>
            <w:tcW w:w="797" w:type="dxa"/>
            <w:tcBorders>
              <w:top w:val="nil"/>
              <w:left w:val="nil"/>
              <w:bottom w:val="single" w:sz="4" w:space="0" w:color="auto"/>
              <w:right w:val="single" w:sz="4" w:space="0" w:color="auto"/>
            </w:tcBorders>
            <w:shd w:val="clear" w:color="auto" w:fill="auto"/>
            <w:noWrap/>
            <w:vAlign w:val="center"/>
            <w:hideMark/>
          </w:tcPr>
          <w:p w14:paraId="0BE8DDB2"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818000276</w:t>
            </w:r>
          </w:p>
        </w:tc>
        <w:tc>
          <w:tcPr>
            <w:tcW w:w="4844" w:type="dxa"/>
            <w:tcBorders>
              <w:top w:val="nil"/>
              <w:left w:val="nil"/>
              <w:bottom w:val="single" w:sz="4" w:space="0" w:color="auto"/>
              <w:right w:val="single" w:sz="4" w:space="0" w:color="auto"/>
            </w:tcBorders>
            <w:shd w:val="clear" w:color="auto" w:fill="auto"/>
            <w:vAlign w:val="center"/>
            <w:hideMark/>
          </w:tcPr>
          <w:p w14:paraId="7F8DA7A3" w14:textId="7672D83E"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JUNTA ADMINISTRADORA DE SERVICIOS PÚBLICOS DE CAPURGANA</w:t>
            </w:r>
          </w:p>
        </w:tc>
        <w:tc>
          <w:tcPr>
            <w:tcW w:w="1600" w:type="dxa"/>
            <w:tcBorders>
              <w:top w:val="nil"/>
              <w:left w:val="nil"/>
              <w:bottom w:val="single" w:sz="4" w:space="0" w:color="auto"/>
              <w:right w:val="single" w:sz="4" w:space="0" w:color="auto"/>
            </w:tcBorders>
            <w:shd w:val="clear" w:color="auto" w:fill="auto"/>
            <w:noWrap/>
            <w:vAlign w:val="center"/>
            <w:hideMark/>
          </w:tcPr>
          <w:p w14:paraId="78651E55"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361.570.577 </w:t>
            </w:r>
          </w:p>
        </w:tc>
        <w:tc>
          <w:tcPr>
            <w:tcW w:w="1660" w:type="dxa"/>
            <w:tcBorders>
              <w:top w:val="nil"/>
              <w:left w:val="nil"/>
              <w:bottom w:val="single" w:sz="4" w:space="0" w:color="auto"/>
              <w:right w:val="single" w:sz="4" w:space="0" w:color="auto"/>
            </w:tcBorders>
            <w:shd w:val="clear" w:color="auto" w:fill="auto"/>
            <w:noWrap/>
            <w:vAlign w:val="center"/>
            <w:hideMark/>
          </w:tcPr>
          <w:p w14:paraId="5A49A87A"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290.409.236 </w:t>
            </w:r>
          </w:p>
        </w:tc>
      </w:tr>
      <w:tr w:rsidR="009838E7" w:rsidRPr="009838E7" w14:paraId="3A715B00"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3087C15D"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49</w:t>
            </w:r>
          </w:p>
        </w:tc>
        <w:tc>
          <w:tcPr>
            <w:tcW w:w="505" w:type="dxa"/>
            <w:tcBorders>
              <w:top w:val="nil"/>
              <w:left w:val="nil"/>
              <w:bottom w:val="single" w:sz="4" w:space="0" w:color="auto"/>
              <w:right w:val="single" w:sz="4" w:space="0" w:color="auto"/>
            </w:tcBorders>
            <w:shd w:val="clear" w:color="auto" w:fill="auto"/>
            <w:noWrap/>
            <w:vAlign w:val="center"/>
            <w:hideMark/>
          </w:tcPr>
          <w:p w14:paraId="6311CB80"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3226</w:t>
            </w:r>
          </w:p>
        </w:tc>
        <w:tc>
          <w:tcPr>
            <w:tcW w:w="797" w:type="dxa"/>
            <w:tcBorders>
              <w:top w:val="nil"/>
              <w:left w:val="nil"/>
              <w:bottom w:val="single" w:sz="4" w:space="0" w:color="auto"/>
              <w:right w:val="single" w:sz="4" w:space="0" w:color="auto"/>
            </w:tcBorders>
            <w:shd w:val="clear" w:color="auto" w:fill="auto"/>
            <w:noWrap/>
            <w:vAlign w:val="center"/>
            <w:hideMark/>
          </w:tcPr>
          <w:p w14:paraId="3CB8C89D"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818001629</w:t>
            </w:r>
          </w:p>
        </w:tc>
        <w:tc>
          <w:tcPr>
            <w:tcW w:w="4844" w:type="dxa"/>
            <w:tcBorders>
              <w:top w:val="nil"/>
              <w:left w:val="nil"/>
              <w:bottom w:val="single" w:sz="4" w:space="0" w:color="auto"/>
              <w:right w:val="single" w:sz="4" w:space="0" w:color="auto"/>
            </w:tcBorders>
            <w:shd w:val="clear" w:color="auto" w:fill="auto"/>
            <w:vAlign w:val="center"/>
            <w:hideMark/>
          </w:tcPr>
          <w:p w14:paraId="17F50415" w14:textId="2EDEC7BF"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EMPRESA DISTRIBUIDORA DEL PACIFICO S.A. E.S.P</w:t>
            </w:r>
            <w:r w:rsidR="006F2D43">
              <w:rPr>
                <w:rFonts w:ascii="Arial Narrow" w:hAnsi="Arial Narrow" w:cs="Calibri"/>
                <w:color w:val="000000"/>
                <w:spacing w:val="0"/>
                <w:sz w:val="16"/>
                <w:szCs w:val="16"/>
                <w:lang w:eastAsia="es-CO"/>
              </w:rPr>
              <w:t>.</w:t>
            </w:r>
          </w:p>
        </w:tc>
        <w:tc>
          <w:tcPr>
            <w:tcW w:w="1600" w:type="dxa"/>
            <w:tcBorders>
              <w:top w:val="nil"/>
              <w:left w:val="nil"/>
              <w:bottom w:val="single" w:sz="4" w:space="0" w:color="auto"/>
              <w:right w:val="single" w:sz="4" w:space="0" w:color="auto"/>
            </w:tcBorders>
            <w:shd w:val="clear" w:color="auto" w:fill="auto"/>
            <w:noWrap/>
            <w:vAlign w:val="center"/>
            <w:hideMark/>
          </w:tcPr>
          <w:p w14:paraId="2DAA5353"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4.913.831.132 </w:t>
            </w:r>
          </w:p>
        </w:tc>
        <w:tc>
          <w:tcPr>
            <w:tcW w:w="1660" w:type="dxa"/>
            <w:tcBorders>
              <w:top w:val="nil"/>
              <w:left w:val="nil"/>
              <w:bottom w:val="single" w:sz="4" w:space="0" w:color="auto"/>
              <w:right w:val="single" w:sz="4" w:space="0" w:color="auto"/>
            </w:tcBorders>
            <w:shd w:val="clear" w:color="auto" w:fill="auto"/>
            <w:noWrap/>
            <w:vAlign w:val="center"/>
            <w:hideMark/>
          </w:tcPr>
          <w:p w14:paraId="7A4B6BBE"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5.598.177.397 </w:t>
            </w:r>
          </w:p>
        </w:tc>
      </w:tr>
      <w:tr w:rsidR="009838E7" w:rsidRPr="009838E7" w14:paraId="5FBD2E30"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29BCD5F5"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50</w:t>
            </w:r>
          </w:p>
        </w:tc>
        <w:tc>
          <w:tcPr>
            <w:tcW w:w="505" w:type="dxa"/>
            <w:tcBorders>
              <w:top w:val="nil"/>
              <w:left w:val="nil"/>
              <w:bottom w:val="single" w:sz="4" w:space="0" w:color="auto"/>
              <w:right w:val="single" w:sz="4" w:space="0" w:color="auto"/>
            </w:tcBorders>
            <w:shd w:val="clear" w:color="auto" w:fill="auto"/>
            <w:noWrap/>
            <w:vAlign w:val="center"/>
            <w:hideMark/>
          </w:tcPr>
          <w:p w14:paraId="4C68F25E"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2097</w:t>
            </w:r>
          </w:p>
        </w:tc>
        <w:tc>
          <w:tcPr>
            <w:tcW w:w="797" w:type="dxa"/>
            <w:tcBorders>
              <w:top w:val="nil"/>
              <w:left w:val="nil"/>
              <w:bottom w:val="single" w:sz="4" w:space="0" w:color="auto"/>
              <w:right w:val="single" w:sz="4" w:space="0" w:color="auto"/>
            </w:tcBorders>
            <w:shd w:val="clear" w:color="auto" w:fill="auto"/>
            <w:noWrap/>
            <w:vAlign w:val="center"/>
            <w:hideMark/>
          </w:tcPr>
          <w:p w14:paraId="7126DC3C"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822001073</w:t>
            </w:r>
          </w:p>
        </w:tc>
        <w:tc>
          <w:tcPr>
            <w:tcW w:w="4844" w:type="dxa"/>
            <w:tcBorders>
              <w:top w:val="nil"/>
              <w:left w:val="nil"/>
              <w:bottom w:val="single" w:sz="4" w:space="0" w:color="auto"/>
              <w:right w:val="single" w:sz="4" w:space="0" w:color="auto"/>
            </w:tcBorders>
            <w:shd w:val="clear" w:color="auto" w:fill="auto"/>
            <w:vAlign w:val="center"/>
            <w:hideMark/>
          </w:tcPr>
          <w:p w14:paraId="7ADBCCB3"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MADIGAS INGENIEROS S.A. E.S.P.</w:t>
            </w:r>
          </w:p>
        </w:tc>
        <w:tc>
          <w:tcPr>
            <w:tcW w:w="1600" w:type="dxa"/>
            <w:tcBorders>
              <w:top w:val="nil"/>
              <w:left w:val="nil"/>
              <w:bottom w:val="single" w:sz="4" w:space="0" w:color="auto"/>
              <w:right w:val="single" w:sz="4" w:space="0" w:color="auto"/>
            </w:tcBorders>
            <w:shd w:val="clear" w:color="auto" w:fill="auto"/>
            <w:noWrap/>
            <w:vAlign w:val="center"/>
            <w:hideMark/>
          </w:tcPr>
          <w:p w14:paraId="5D48E63D"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912.263.069 </w:t>
            </w:r>
          </w:p>
        </w:tc>
        <w:tc>
          <w:tcPr>
            <w:tcW w:w="1660" w:type="dxa"/>
            <w:tcBorders>
              <w:top w:val="nil"/>
              <w:left w:val="nil"/>
              <w:bottom w:val="single" w:sz="4" w:space="0" w:color="auto"/>
              <w:right w:val="single" w:sz="4" w:space="0" w:color="auto"/>
            </w:tcBorders>
            <w:shd w:val="clear" w:color="auto" w:fill="auto"/>
            <w:noWrap/>
            <w:vAlign w:val="center"/>
            <w:hideMark/>
          </w:tcPr>
          <w:p w14:paraId="50B58BB3"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1.027.217.659 </w:t>
            </w:r>
          </w:p>
        </w:tc>
      </w:tr>
      <w:tr w:rsidR="009838E7" w:rsidRPr="009838E7" w14:paraId="0573ECE4" w14:textId="77777777" w:rsidTr="00092F91">
        <w:trPr>
          <w:trHeight w:val="449"/>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77A1D14F"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51</w:t>
            </w:r>
          </w:p>
        </w:tc>
        <w:tc>
          <w:tcPr>
            <w:tcW w:w="505" w:type="dxa"/>
            <w:tcBorders>
              <w:top w:val="nil"/>
              <w:left w:val="nil"/>
              <w:bottom w:val="single" w:sz="4" w:space="0" w:color="auto"/>
              <w:right w:val="single" w:sz="4" w:space="0" w:color="auto"/>
            </w:tcBorders>
            <w:shd w:val="clear" w:color="auto" w:fill="auto"/>
            <w:noWrap/>
            <w:vAlign w:val="center"/>
            <w:hideMark/>
          </w:tcPr>
          <w:p w14:paraId="15E7B6CB"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3076</w:t>
            </w:r>
          </w:p>
        </w:tc>
        <w:tc>
          <w:tcPr>
            <w:tcW w:w="797" w:type="dxa"/>
            <w:tcBorders>
              <w:top w:val="nil"/>
              <w:left w:val="nil"/>
              <w:bottom w:val="single" w:sz="4" w:space="0" w:color="auto"/>
              <w:right w:val="single" w:sz="4" w:space="0" w:color="auto"/>
            </w:tcBorders>
            <w:shd w:val="clear" w:color="auto" w:fill="auto"/>
            <w:noWrap/>
            <w:vAlign w:val="center"/>
            <w:hideMark/>
          </w:tcPr>
          <w:p w14:paraId="755C3D38"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822004680</w:t>
            </w:r>
          </w:p>
        </w:tc>
        <w:tc>
          <w:tcPr>
            <w:tcW w:w="4844" w:type="dxa"/>
            <w:tcBorders>
              <w:top w:val="nil"/>
              <w:left w:val="nil"/>
              <w:bottom w:val="single" w:sz="4" w:space="0" w:color="auto"/>
              <w:right w:val="single" w:sz="4" w:space="0" w:color="auto"/>
            </w:tcBorders>
            <w:shd w:val="clear" w:color="auto" w:fill="auto"/>
            <w:vAlign w:val="center"/>
            <w:hideMark/>
          </w:tcPr>
          <w:p w14:paraId="6EA58560"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EMPRESA DE ENERGIA ELECTRICA DEL DEPARTAMENTO DEL GUAVIARE SA ESP</w:t>
            </w:r>
          </w:p>
        </w:tc>
        <w:tc>
          <w:tcPr>
            <w:tcW w:w="1600" w:type="dxa"/>
            <w:tcBorders>
              <w:top w:val="nil"/>
              <w:left w:val="nil"/>
              <w:bottom w:val="single" w:sz="4" w:space="0" w:color="auto"/>
              <w:right w:val="single" w:sz="4" w:space="0" w:color="auto"/>
            </w:tcBorders>
            <w:shd w:val="clear" w:color="auto" w:fill="auto"/>
            <w:noWrap/>
            <w:vAlign w:val="center"/>
            <w:hideMark/>
          </w:tcPr>
          <w:p w14:paraId="5EFAB3C7"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5.009.996.103 </w:t>
            </w:r>
          </w:p>
        </w:tc>
        <w:tc>
          <w:tcPr>
            <w:tcW w:w="1660" w:type="dxa"/>
            <w:tcBorders>
              <w:top w:val="nil"/>
              <w:left w:val="nil"/>
              <w:bottom w:val="single" w:sz="4" w:space="0" w:color="auto"/>
              <w:right w:val="single" w:sz="4" w:space="0" w:color="auto"/>
            </w:tcBorders>
            <w:shd w:val="clear" w:color="auto" w:fill="auto"/>
            <w:noWrap/>
            <w:vAlign w:val="center"/>
            <w:hideMark/>
          </w:tcPr>
          <w:p w14:paraId="52CFB587"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5.483.655.991 </w:t>
            </w:r>
          </w:p>
        </w:tc>
      </w:tr>
      <w:tr w:rsidR="009838E7" w:rsidRPr="009838E7" w14:paraId="3240B636"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4B538912"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52</w:t>
            </w:r>
          </w:p>
        </w:tc>
        <w:tc>
          <w:tcPr>
            <w:tcW w:w="505" w:type="dxa"/>
            <w:tcBorders>
              <w:top w:val="nil"/>
              <w:left w:val="nil"/>
              <w:bottom w:val="single" w:sz="4" w:space="0" w:color="auto"/>
              <w:right w:val="single" w:sz="4" w:space="0" w:color="auto"/>
            </w:tcBorders>
            <w:shd w:val="clear" w:color="auto" w:fill="auto"/>
            <w:noWrap/>
            <w:vAlign w:val="center"/>
            <w:hideMark/>
          </w:tcPr>
          <w:p w14:paraId="5EBE51C0"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3080</w:t>
            </w:r>
          </w:p>
        </w:tc>
        <w:tc>
          <w:tcPr>
            <w:tcW w:w="797" w:type="dxa"/>
            <w:tcBorders>
              <w:top w:val="nil"/>
              <w:left w:val="nil"/>
              <w:bottom w:val="single" w:sz="4" w:space="0" w:color="auto"/>
              <w:right w:val="single" w:sz="4" w:space="0" w:color="auto"/>
            </w:tcBorders>
            <w:shd w:val="clear" w:color="auto" w:fill="auto"/>
            <w:noWrap/>
            <w:vAlign w:val="center"/>
            <w:hideMark/>
          </w:tcPr>
          <w:p w14:paraId="46532743"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822004727</w:t>
            </w:r>
          </w:p>
        </w:tc>
        <w:tc>
          <w:tcPr>
            <w:tcW w:w="4844" w:type="dxa"/>
            <w:tcBorders>
              <w:top w:val="nil"/>
              <w:left w:val="nil"/>
              <w:bottom w:val="single" w:sz="4" w:space="0" w:color="auto"/>
              <w:right w:val="single" w:sz="4" w:space="0" w:color="auto"/>
            </w:tcBorders>
            <w:shd w:val="clear" w:color="auto" w:fill="auto"/>
            <w:vAlign w:val="center"/>
            <w:hideMark/>
          </w:tcPr>
          <w:p w14:paraId="7F16207C"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LA LLAMA OLÍMPICA S.A, E.S.P.</w:t>
            </w:r>
          </w:p>
        </w:tc>
        <w:tc>
          <w:tcPr>
            <w:tcW w:w="1600" w:type="dxa"/>
            <w:tcBorders>
              <w:top w:val="nil"/>
              <w:left w:val="nil"/>
              <w:bottom w:val="single" w:sz="4" w:space="0" w:color="auto"/>
              <w:right w:val="single" w:sz="4" w:space="0" w:color="auto"/>
            </w:tcBorders>
            <w:shd w:val="clear" w:color="auto" w:fill="auto"/>
            <w:noWrap/>
            <w:vAlign w:val="center"/>
            <w:hideMark/>
          </w:tcPr>
          <w:p w14:paraId="0EE92B83"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156.265.063 </w:t>
            </w:r>
          </w:p>
        </w:tc>
        <w:tc>
          <w:tcPr>
            <w:tcW w:w="1660" w:type="dxa"/>
            <w:tcBorders>
              <w:top w:val="nil"/>
              <w:left w:val="nil"/>
              <w:bottom w:val="single" w:sz="4" w:space="0" w:color="auto"/>
              <w:right w:val="single" w:sz="4" w:space="0" w:color="auto"/>
            </w:tcBorders>
            <w:shd w:val="clear" w:color="auto" w:fill="auto"/>
            <w:noWrap/>
            <w:vAlign w:val="center"/>
            <w:hideMark/>
          </w:tcPr>
          <w:p w14:paraId="2236FAD0"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257.921.653 </w:t>
            </w:r>
          </w:p>
        </w:tc>
      </w:tr>
      <w:tr w:rsidR="009838E7" w:rsidRPr="009838E7" w14:paraId="575C13A8" w14:textId="77777777" w:rsidTr="00092F91">
        <w:trPr>
          <w:trHeight w:val="303"/>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779AF561"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53</w:t>
            </w:r>
          </w:p>
        </w:tc>
        <w:tc>
          <w:tcPr>
            <w:tcW w:w="505" w:type="dxa"/>
            <w:tcBorders>
              <w:top w:val="nil"/>
              <w:left w:val="nil"/>
              <w:bottom w:val="single" w:sz="4" w:space="0" w:color="auto"/>
              <w:right w:val="single" w:sz="4" w:space="0" w:color="auto"/>
            </w:tcBorders>
            <w:shd w:val="clear" w:color="auto" w:fill="auto"/>
            <w:noWrap/>
            <w:vAlign w:val="center"/>
            <w:hideMark/>
          </w:tcPr>
          <w:p w14:paraId="0EC47A2F"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1720</w:t>
            </w:r>
          </w:p>
        </w:tc>
        <w:tc>
          <w:tcPr>
            <w:tcW w:w="797" w:type="dxa"/>
            <w:tcBorders>
              <w:top w:val="nil"/>
              <w:left w:val="nil"/>
              <w:bottom w:val="single" w:sz="4" w:space="0" w:color="auto"/>
              <w:right w:val="single" w:sz="4" w:space="0" w:color="auto"/>
            </w:tcBorders>
            <w:shd w:val="clear" w:color="auto" w:fill="auto"/>
            <w:noWrap/>
            <w:vAlign w:val="center"/>
            <w:hideMark/>
          </w:tcPr>
          <w:p w14:paraId="22901EF0"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827000108</w:t>
            </w:r>
          </w:p>
        </w:tc>
        <w:tc>
          <w:tcPr>
            <w:tcW w:w="4844" w:type="dxa"/>
            <w:tcBorders>
              <w:top w:val="nil"/>
              <w:left w:val="nil"/>
              <w:bottom w:val="single" w:sz="4" w:space="0" w:color="auto"/>
              <w:right w:val="single" w:sz="4" w:space="0" w:color="auto"/>
            </w:tcBorders>
            <w:shd w:val="clear" w:color="auto" w:fill="auto"/>
            <w:vAlign w:val="center"/>
            <w:hideMark/>
          </w:tcPr>
          <w:p w14:paraId="0DFFAA11"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SOCIEDAD PRODUCTORA DE ENERGÍA DE SAN ANDRES Y PROVIDENCIA S.A. E.S.P.</w:t>
            </w:r>
          </w:p>
        </w:tc>
        <w:tc>
          <w:tcPr>
            <w:tcW w:w="1600" w:type="dxa"/>
            <w:tcBorders>
              <w:top w:val="nil"/>
              <w:left w:val="nil"/>
              <w:bottom w:val="single" w:sz="4" w:space="0" w:color="auto"/>
              <w:right w:val="single" w:sz="4" w:space="0" w:color="auto"/>
            </w:tcBorders>
            <w:shd w:val="clear" w:color="auto" w:fill="auto"/>
            <w:noWrap/>
            <w:vAlign w:val="center"/>
            <w:hideMark/>
          </w:tcPr>
          <w:p w14:paraId="242C0F97"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9.381.292.991 </w:t>
            </w:r>
          </w:p>
        </w:tc>
        <w:tc>
          <w:tcPr>
            <w:tcW w:w="1660" w:type="dxa"/>
            <w:tcBorders>
              <w:top w:val="nil"/>
              <w:left w:val="nil"/>
              <w:bottom w:val="single" w:sz="4" w:space="0" w:color="auto"/>
              <w:right w:val="single" w:sz="4" w:space="0" w:color="auto"/>
            </w:tcBorders>
            <w:shd w:val="clear" w:color="auto" w:fill="auto"/>
            <w:noWrap/>
            <w:vAlign w:val="center"/>
            <w:hideMark/>
          </w:tcPr>
          <w:p w14:paraId="495EDD49"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9.864.956.451 </w:t>
            </w:r>
          </w:p>
        </w:tc>
      </w:tr>
      <w:tr w:rsidR="009838E7" w:rsidRPr="009838E7" w14:paraId="793A09E4"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026B0195"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54</w:t>
            </w:r>
          </w:p>
        </w:tc>
        <w:tc>
          <w:tcPr>
            <w:tcW w:w="505" w:type="dxa"/>
            <w:tcBorders>
              <w:top w:val="nil"/>
              <w:left w:val="nil"/>
              <w:bottom w:val="single" w:sz="4" w:space="0" w:color="auto"/>
              <w:right w:val="single" w:sz="4" w:space="0" w:color="auto"/>
            </w:tcBorders>
            <w:shd w:val="clear" w:color="auto" w:fill="auto"/>
            <w:noWrap/>
            <w:vAlign w:val="center"/>
            <w:hideMark/>
          </w:tcPr>
          <w:p w14:paraId="5E2853AB"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543</w:t>
            </w:r>
          </w:p>
        </w:tc>
        <w:tc>
          <w:tcPr>
            <w:tcW w:w="797" w:type="dxa"/>
            <w:tcBorders>
              <w:top w:val="nil"/>
              <w:left w:val="nil"/>
              <w:bottom w:val="single" w:sz="4" w:space="0" w:color="auto"/>
              <w:right w:val="single" w:sz="4" w:space="0" w:color="auto"/>
            </w:tcBorders>
            <w:shd w:val="clear" w:color="auto" w:fill="auto"/>
            <w:noWrap/>
            <w:vAlign w:val="center"/>
            <w:hideMark/>
          </w:tcPr>
          <w:p w14:paraId="4C1EBD36"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827000149</w:t>
            </w:r>
          </w:p>
        </w:tc>
        <w:tc>
          <w:tcPr>
            <w:tcW w:w="4844" w:type="dxa"/>
            <w:tcBorders>
              <w:top w:val="nil"/>
              <w:left w:val="nil"/>
              <w:bottom w:val="single" w:sz="4" w:space="0" w:color="auto"/>
              <w:right w:val="single" w:sz="4" w:space="0" w:color="auto"/>
            </w:tcBorders>
            <w:shd w:val="clear" w:color="auto" w:fill="auto"/>
            <w:vAlign w:val="center"/>
            <w:hideMark/>
          </w:tcPr>
          <w:p w14:paraId="524D9549"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PROVIGAS S.A.  E.S.P.</w:t>
            </w:r>
          </w:p>
        </w:tc>
        <w:tc>
          <w:tcPr>
            <w:tcW w:w="1600" w:type="dxa"/>
            <w:tcBorders>
              <w:top w:val="nil"/>
              <w:left w:val="nil"/>
              <w:bottom w:val="single" w:sz="4" w:space="0" w:color="auto"/>
              <w:right w:val="single" w:sz="4" w:space="0" w:color="auto"/>
            </w:tcBorders>
            <w:shd w:val="clear" w:color="auto" w:fill="auto"/>
            <w:noWrap/>
            <w:vAlign w:val="center"/>
            <w:hideMark/>
          </w:tcPr>
          <w:p w14:paraId="0564F51A"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1.398.285.885 </w:t>
            </w:r>
          </w:p>
        </w:tc>
        <w:tc>
          <w:tcPr>
            <w:tcW w:w="1660" w:type="dxa"/>
            <w:tcBorders>
              <w:top w:val="nil"/>
              <w:left w:val="nil"/>
              <w:bottom w:val="single" w:sz="4" w:space="0" w:color="auto"/>
              <w:right w:val="single" w:sz="4" w:space="0" w:color="auto"/>
            </w:tcBorders>
            <w:shd w:val="clear" w:color="auto" w:fill="auto"/>
            <w:noWrap/>
            <w:vAlign w:val="center"/>
            <w:hideMark/>
          </w:tcPr>
          <w:p w14:paraId="0D1BA949"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1.529.175.834 </w:t>
            </w:r>
          </w:p>
        </w:tc>
      </w:tr>
      <w:tr w:rsidR="009838E7" w:rsidRPr="009838E7" w14:paraId="20823C4B" w14:textId="77777777" w:rsidTr="00092F91">
        <w:trPr>
          <w:trHeight w:val="423"/>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429A6EC2"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55</w:t>
            </w:r>
          </w:p>
        </w:tc>
        <w:tc>
          <w:tcPr>
            <w:tcW w:w="505" w:type="dxa"/>
            <w:tcBorders>
              <w:top w:val="nil"/>
              <w:left w:val="nil"/>
              <w:bottom w:val="single" w:sz="4" w:space="0" w:color="auto"/>
              <w:right w:val="single" w:sz="4" w:space="0" w:color="auto"/>
            </w:tcBorders>
            <w:shd w:val="clear" w:color="auto" w:fill="auto"/>
            <w:noWrap/>
            <w:vAlign w:val="center"/>
            <w:hideMark/>
          </w:tcPr>
          <w:p w14:paraId="3997D6ED"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569</w:t>
            </w:r>
          </w:p>
        </w:tc>
        <w:tc>
          <w:tcPr>
            <w:tcW w:w="797" w:type="dxa"/>
            <w:tcBorders>
              <w:top w:val="nil"/>
              <w:left w:val="nil"/>
              <w:bottom w:val="single" w:sz="4" w:space="0" w:color="auto"/>
              <w:right w:val="single" w:sz="4" w:space="0" w:color="auto"/>
            </w:tcBorders>
            <w:shd w:val="clear" w:color="auto" w:fill="auto"/>
            <w:noWrap/>
            <w:vAlign w:val="center"/>
            <w:hideMark/>
          </w:tcPr>
          <w:p w14:paraId="111D22C2"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828000191</w:t>
            </w:r>
          </w:p>
        </w:tc>
        <w:tc>
          <w:tcPr>
            <w:tcW w:w="4844" w:type="dxa"/>
            <w:tcBorders>
              <w:top w:val="nil"/>
              <w:left w:val="nil"/>
              <w:bottom w:val="single" w:sz="4" w:space="0" w:color="auto"/>
              <w:right w:val="single" w:sz="4" w:space="0" w:color="auto"/>
            </w:tcBorders>
            <w:shd w:val="clear" w:color="auto" w:fill="auto"/>
            <w:vAlign w:val="center"/>
            <w:hideMark/>
          </w:tcPr>
          <w:p w14:paraId="25CB2C18"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EMPRESA MUNICIPAL DE SERVICIOS PUBLICOS DE CARTAGENA DEL CHAIRA</w:t>
            </w:r>
          </w:p>
        </w:tc>
        <w:tc>
          <w:tcPr>
            <w:tcW w:w="1600" w:type="dxa"/>
            <w:tcBorders>
              <w:top w:val="nil"/>
              <w:left w:val="nil"/>
              <w:bottom w:val="single" w:sz="4" w:space="0" w:color="auto"/>
              <w:right w:val="single" w:sz="4" w:space="0" w:color="auto"/>
            </w:tcBorders>
            <w:shd w:val="clear" w:color="auto" w:fill="auto"/>
            <w:noWrap/>
            <w:vAlign w:val="center"/>
            <w:hideMark/>
          </w:tcPr>
          <w:p w14:paraId="7E67505C"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442.856.584 </w:t>
            </w:r>
          </w:p>
        </w:tc>
        <w:tc>
          <w:tcPr>
            <w:tcW w:w="1660" w:type="dxa"/>
            <w:tcBorders>
              <w:top w:val="nil"/>
              <w:left w:val="nil"/>
              <w:bottom w:val="single" w:sz="4" w:space="0" w:color="auto"/>
              <w:right w:val="single" w:sz="4" w:space="0" w:color="auto"/>
            </w:tcBorders>
            <w:shd w:val="clear" w:color="auto" w:fill="auto"/>
            <w:noWrap/>
            <w:vAlign w:val="center"/>
            <w:hideMark/>
          </w:tcPr>
          <w:p w14:paraId="5C82C9BD"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397.317.000 </w:t>
            </w:r>
          </w:p>
        </w:tc>
      </w:tr>
      <w:tr w:rsidR="009838E7" w:rsidRPr="009838E7" w14:paraId="2AB601E9"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3F4FBA8D"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56</w:t>
            </w:r>
          </w:p>
        </w:tc>
        <w:tc>
          <w:tcPr>
            <w:tcW w:w="505" w:type="dxa"/>
            <w:tcBorders>
              <w:top w:val="nil"/>
              <w:left w:val="nil"/>
              <w:bottom w:val="single" w:sz="4" w:space="0" w:color="auto"/>
              <w:right w:val="single" w:sz="4" w:space="0" w:color="auto"/>
            </w:tcBorders>
            <w:shd w:val="clear" w:color="auto" w:fill="auto"/>
            <w:noWrap/>
            <w:vAlign w:val="center"/>
            <w:hideMark/>
          </w:tcPr>
          <w:p w14:paraId="70B47AA0"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2180</w:t>
            </w:r>
          </w:p>
        </w:tc>
        <w:tc>
          <w:tcPr>
            <w:tcW w:w="797" w:type="dxa"/>
            <w:tcBorders>
              <w:top w:val="nil"/>
              <w:left w:val="nil"/>
              <w:bottom w:val="single" w:sz="4" w:space="0" w:color="auto"/>
              <w:right w:val="single" w:sz="4" w:space="0" w:color="auto"/>
            </w:tcBorders>
            <w:shd w:val="clear" w:color="auto" w:fill="auto"/>
            <w:noWrap/>
            <w:vAlign w:val="center"/>
            <w:hideMark/>
          </w:tcPr>
          <w:p w14:paraId="56D1504C"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828000499</w:t>
            </w:r>
          </w:p>
        </w:tc>
        <w:tc>
          <w:tcPr>
            <w:tcW w:w="4844" w:type="dxa"/>
            <w:tcBorders>
              <w:top w:val="nil"/>
              <w:left w:val="nil"/>
              <w:bottom w:val="single" w:sz="4" w:space="0" w:color="auto"/>
              <w:right w:val="single" w:sz="4" w:space="0" w:color="auto"/>
            </w:tcBorders>
            <w:shd w:val="clear" w:color="auto" w:fill="auto"/>
            <w:vAlign w:val="center"/>
            <w:hideMark/>
          </w:tcPr>
          <w:p w14:paraId="37025D56" w14:textId="6B7B1CAD"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GAS CAQUETA S.A</w:t>
            </w:r>
            <w:r w:rsidR="006F2D43">
              <w:rPr>
                <w:rFonts w:ascii="Arial Narrow" w:hAnsi="Arial Narrow" w:cs="Calibri"/>
                <w:color w:val="000000"/>
                <w:spacing w:val="0"/>
                <w:sz w:val="16"/>
                <w:szCs w:val="16"/>
                <w:lang w:eastAsia="es-CO"/>
              </w:rPr>
              <w:t>.</w:t>
            </w:r>
            <w:r w:rsidRPr="009838E7">
              <w:rPr>
                <w:rFonts w:ascii="Arial Narrow" w:hAnsi="Arial Narrow" w:cs="Calibri"/>
                <w:color w:val="000000"/>
                <w:spacing w:val="0"/>
                <w:sz w:val="16"/>
                <w:szCs w:val="16"/>
                <w:lang w:eastAsia="es-CO"/>
              </w:rPr>
              <w:t xml:space="preserve"> E.S.P</w:t>
            </w:r>
            <w:r w:rsidR="006F2D43">
              <w:rPr>
                <w:rFonts w:ascii="Arial Narrow" w:hAnsi="Arial Narrow" w:cs="Calibri"/>
                <w:color w:val="000000"/>
                <w:spacing w:val="0"/>
                <w:sz w:val="16"/>
                <w:szCs w:val="16"/>
                <w:lang w:eastAsia="es-CO"/>
              </w:rPr>
              <w:t>.</w:t>
            </w:r>
          </w:p>
        </w:tc>
        <w:tc>
          <w:tcPr>
            <w:tcW w:w="1600" w:type="dxa"/>
            <w:tcBorders>
              <w:top w:val="nil"/>
              <w:left w:val="nil"/>
              <w:bottom w:val="single" w:sz="4" w:space="0" w:color="auto"/>
              <w:right w:val="single" w:sz="4" w:space="0" w:color="auto"/>
            </w:tcBorders>
            <w:shd w:val="clear" w:color="auto" w:fill="auto"/>
            <w:noWrap/>
            <w:vAlign w:val="center"/>
            <w:hideMark/>
          </w:tcPr>
          <w:p w14:paraId="70C36B08"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4.989.986.551 </w:t>
            </w:r>
          </w:p>
        </w:tc>
        <w:tc>
          <w:tcPr>
            <w:tcW w:w="1660" w:type="dxa"/>
            <w:tcBorders>
              <w:top w:val="nil"/>
              <w:left w:val="nil"/>
              <w:bottom w:val="single" w:sz="4" w:space="0" w:color="auto"/>
              <w:right w:val="single" w:sz="4" w:space="0" w:color="auto"/>
            </w:tcBorders>
            <w:shd w:val="clear" w:color="auto" w:fill="auto"/>
            <w:noWrap/>
            <w:vAlign w:val="center"/>
            <w:hideMark/>
          </w:tcPr>
          <w:p w14:paraId="13EDF3FE"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4.039.316.672 </w:t>
            </w:r>
          </w:p>
        </w:tc>
      </w:tr>
      <w:tr w:rsidR="009838E7" w:rsidRPr="009838E7" w14:paraId="0EF69A3C"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237408AF"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57</w:t>
            </w:r>
          </w:p>
        </w:tc>
        <w:tc>
          <w:tcPr>
            <w:tcW w:w="505" w:type="dxa"/>
            <w:tcBorders>
              <w:top w:val="nil"/>
              <w:left w:val="nil"/>
              <w:bottom w:val="single" w:sz="4" w:space="0" w:color="auto"/>
              <w:right w:val="single" w:sz="4" w:space="0" w:color="auto"/>
            </w:tcBorders>
            <w:shd w:val="clear" w:color="auto" w:fill="auto"/>
            <w:noWrap/>
            <w:vAlign w:val="center"/>
            <w:hideMark/>
          </w:tcPr>
          <w:p w14:paraId="357DEE87"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26053</w:t>
            </w:r>
          </w:p>
        </w:tc>
        <w:tc>
          <w:tcPr>
            <w:tcW w:w="797" w:type="dxa"/>
            <w:tcBorders>
              <w:top w:val="nil"/>
              <w:left w:val="nil"/>
              <w:bottom w:val="single" w:sz="4" w:space="0" w:color="auto"/>
              <w:right w:val="single" w:sz="4" w:space="0" w:color="auto"/>
            </w:tcBorders>
            <w:shd w:val="clear" w:color="auto" w:fill="auto"/>
            <w:noWrap/>
            <w:vAlign w:val="center"/>
            <w:hideMark/>
          </w:tcPr>
          <w:p w14:paraId="3B34796D"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830013746</w:t>
            </w:r>
          </w:p>
        </w:tc>
        <w:tc>
          <w:tcPr>
            <w:tcW w:w="4844" w:type="dxa"/>
            <w:tcBorders>
              <w:top w:val="nil"/>
              <w:left w:val="nil"/>
              <w:bottom w:val="single" w:sz="4" w:space="0" w:color="auto"/>
              <w:right w:val="single" w:sz="4" w:space="0" w:color="auto"/>
            </w:tcBorders>
            <w:shd w:val="clear" w:color="auto" w:fill="auto"/>
            <w:vAlign w:val="center"/>
            <w:hideMark/>
          </w:tcPr>
          <w:p w14:paraId="67230FE7" w14:textId="5FB83954" w:rsidR="009838E7" w:rsidRPr="002C5AEF" w:rsidRDefault="009838E7" w:rsidP="00D22441">
            <w:pPr>
              <w:jc w:val="left"/>
              <w:rPr>
                <w:rFonts w:ascii="Arial Narrow" w:hAnsi="Arial Narrow" w:cs="Calibri"/>
                <w:color w:val="000000"/>
                <w:spacing w:val="0"/>
                <w:sz w:val="16"/>
                <w:szCs w:val="16"/>
                <w:lang w:val="en-GB" w:eastAsia="es-CO"/>
              </w:rPr>
            </w:pPr>
            <w:r w:rsidRPr="002C5AEF">
              <w:rPr>
                <w:rFonts w:ascii="Arial Narrow" w:hAnsi="Arial Narrow" w:cs="Calibri"/>
                <w:color w:val="000000"/>
                <w:spacing w:val="0"/>
                <w:sz w:val="16"/>
                <w:szCs w:val="16"/>
                <w:lang w:val="en-GB" w:eastAsia="es-CO"/>
              </w:rPr>
              <w:t>WELL LOGGING S.A.S</w:t>
            </w:r>
            <w:r w:rsidR="006F2D43">
              <w:rPr>
                <w:rFonts w:ascii="Arial Narrow" w:hAnsi="Arial Narrow" w:cs="Calibri"/>
                <w:color w:val="000000"/>
                <w:spacing w:val="0"/>
                <w:sz w:val="16"/>
                <w:szCs w:val="16"/>
                <w:lang w:val="en-GB" w:eastAsia="es-CO"/>
              </w:rPr>
              <w:t>.</w:t>
            </w:r>
          </w:p>
        </w:tc>
        <w:tc>
          <w:tcPr>
            <w:tcW w:w="1600" w:type="dxa"/>
            <w:tcBorders>
              <w:top w:val="nil"/>
              <w:left w:val="nil"/>
              <w:bottom w:val="single" w:sz="4" w:space="0" w:color="auto"/>
              <w:right w:val="single" w:sz="4" w:space="0" w:color="auto"/>
            </w:tcBorders>
            <w:shd w:val="clear" w:color="auto" w:fill="auto"/>
            <w:noWrap/>
            <w:vAlign w:val="center"/>
            <w:hideMark/>
          </w:tcPr>
          <w:p w14:paraId="472611CB" w14:textId="77777777" w:rsidR="009838E7" w:rsidRPr="009838E7" w:rsidRDefault="009838E7" w:rsidP="00D22441">
            <w:pPr>
              <w:jc w:val="left"/>
              <w:rPr>
                <w:rFonts w:ascii="Arial Narrow" w:hAnsi="Arial Narrow" w:cs="Calibri"/>
                <w:color w:val="000000"/>
                <w:spacing w:val="0"/>
                <w:sz w:val="16"/>
                <w:szCs w:val="16"/>
                <w:lang w:eastAsia="es-CO"/>
              </w:rPr>
            </w:pPr>
            <w:r w:rsidRPr="002C5AEF">
              <w:rPr>
                <w:rFonts w:ascii="Arial Narrow" w:hAnsi="Arial Narrow" w:cs="Calibri"/>
                <w:color w:val="000000"/>
                <w:spacing w:val="0"/>
                <w:sz w:val="16"/>
                <w:szCs w:val="16"/>
                <w:lang w:val="en-GB" w:eastAsia="es-CO"/>
              </w:rPr>
              <w:t xml:space="preserve">             </w:t>
            </w:r>
            <w:r w:rsidRPr="009838E7">
              <w:rPr>
                <w:rFonts w:ascii="Arial Narrow" w:hAnsi="Arial Narrow" w:cs="Calibri"/>
                <w:color w:val="000000"/>
                <w:spacing w:val="0"/>
                <w:sz w:val="16"/>
                <w:szCs w:val="16"/>
                <w:lang w:eastAsia="es-CO"/>
              </w:rPr>
              <w:t xml:space="preserve">4.569.084.000 </w:t>
            </w:r>
          </w:p>
        </w:tc>
        <w:tc>
          <w:tcPr>
            <w:tcW w:w="1660" w:type="dxa"/>
            <w:tcBorders>
              <w:top w:val="nil"/>
              <w:left w:val="nil"/>
              <w:bottom w:val="single" w:sz="4" w:space="0" w:color="auto"/>
              <w:right w:val="single" w:sz="4" w:space="0" w:color="auto"/>
            </w:tcBorders>
            <w:shd w:val="clear" w:color="auto" w:fill="auto"/>
            <w:noWrap/>
            <w:vAlign w:val="center"/>
            <w:hideMark/>
          </w:tcPr>
          <w:p w14:paraId="1A8582C6"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3.449.725.671 </w:t>
            </w:r>
          </w:p>
        </w:tc>
      </w:tr>
      <w:tr w:rsidR="009838E7" w:rsidRPr="009838E7" w14:paraId="433128F6"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25879B08"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58</w:t>
            </w:r>
          </w:p>
        </w:tc>
        <w:tc>
          <w:tcPr>
            <w:tcW w:w="505" w:type="dxa"/>
            <w:tcBorders>
              <w:top w:val="nil"/>
              <w:left w:val="nil"/>
              <w:bottom w:val="single" w:sz="4" w:space="0" w:color="auto"/>
              <w:right w:val="single" w:sz="4" w:space="0" w:color="auto"/>
            </w:tcBorders>
            <w:shd w:val="clear" w:color="auto" w:fill="auto"/>
            <w:noWrap/>
            <w:vAlign w:val="center"/>
            <w:hideMark/>
          </w:tcPr>
          <w:p w14:paraId="5E535453"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2225</w:t>
            </w:r>
          </w:p>
        </w:tc>
        <w:tc>
          <w:tcPr>
            <w:tcW w:w="797" w:type="dxa"/>
            <w:tcBorders>
              <w:top w:val="nil"/>
              <w:left w:val="nil"/>
              <w:bottom w:val="single" w:sz="4" w:space="0" w:color="auto"/>
              <w:right w:val="single" w:sz="4" w:space="0" w:color="auto"/>
            </w:tcBorders>
            <w:shd w:val="clear" w:color="auto" w:fill="auto"/>
            <w:noWrap/>
            <w:vAlign w:val="center"/>
            <w:hideMark/>
          </w:tcPr>
          <w:p w14:paraId="3DD6ECDD"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830045472</w:t>
            </w:r>
          </w:p>
        </w:tc>
        <w:tc>
          <w:tcPr>
            <w:tcW w:w="4844" w:type="dxa"/>
            <w:tcBorders>
              <w:top w:val="nil"/>
              <w:left w:val="nil"/>
              <w:bottom w:val="single" w:sz="4" w:space="0" w:color="auto"/>
              <w:right w:val="single" w:sz="4" w:space="0" w:color="auto"/>
            </w:tcBorders>
            <w:shd w:val="clear" w:color="auto" w:fill="auto"/>
            <w:vAlign w:val="center"/>
            <w:hideMark/>
          </w:tcPr>
          <w:p w14:paraId="7949A5A9"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GAS NATURAL CUNDIBOYACENSE SA ESP</w:t>
            </w:r>
          </w:p>
        </w:tc>
        <w:tc>
          <w:tcPr>
            <w:tcW w:w="1600" w:type="dxa"/>
            <w:tcBorders>
              <w:top w:val="nil"/>
              <w:left w:val="nil"/>
              <w:bottom w:val="single" w:sz="4" w:space="0" w:color="auto"/>
              <w:right w:val="single" w:sz="4" w:space="0" w:color="auto"/>
            </w:tcBorders>
            <w:shd w:val="clear" w:color="auto" w:fill="auto"/>
            <w:noWrap/>
            <w:vAlign w:val="center"/>
            <w:hideMark/>
          </w:tcPr>
          <w:p w14:paraId="19653A42"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6.563.377.638 </w:t>
            </w:r>
          </w:p>
        </w:tc>
        <w:tc>
          <w:tcPr>
            <w:tcW w:w="1660" w:type="dxa"/>
            <w:tcBorders>
              <w:top w:val="nil"/>
              <w:left w:val="nil"/>
              <w:bottom w:val="single" w:sz="4" w:space="0" w:color="auto"/>
              <w:right w:val="single" w:sz="4" w:space="0" w:color="auto"/>
            </w:tcBorders>
            <w:shd w:val="clear" w:color="auto" w:fill="auto"/>
            <w:noWrap/>
            <w:vAlign w:val="center"/>
            <w:hideMark/>
          </w:tcPr>
          <w:p w14:paraId="5B78C52D"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7.932.947.563 </w:t>
            </w:r>
          </w:p>
        </w:tc>
      </w:tr>
      <w:tr w:rsidR="009838E7" w:rsidRPr="009838E7" w14:paraId="6F823771"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4FFD487F"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59</w:t>
            </w:r>
          </w:p>
        </w:tc>
        <w:tc>
          <w:tcPr>
            <w:tcW w:w="505" w:type="dxa"/>
            <w:tcBorders>
              <w:top w:val="nil"/>
              <w:left w:val="nil"/>
              <w:bottom w:val="single" w:sz="4" w:space="0" w:color="auto"/>
              <w:right w:val="single" w:sz="4" w:space="0" w:color="auto"/>
            </w:tcBorders>
            <w:shd w:val="clear" w:color="auto" w:fill="auto"/>
            <w:noWrap/>
            <w:vAlign w:val="center"/>
            <w:hideMark/>
          </w:tcPr>
          <w:p w14:paraId="42D315E4"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1604</w:t>
            </w:r>
          </w:p>
        </w:tc>
        <w:tc>
          <w:tcPr>
            <w:tcW w:w="797" w:type="dxa"/>
            <w:tcBorders>
              <w:top w:val="nil"/>
              <w:left w:val="nil"/>
              <w:bottom w:val="single" w:sz="4" w:space="0" w:color="auto"/>
              <w:right w:val="single" w:sz="4" w:space="0" w:color="auto"/>
            </w:tcBorders>
            <w:shd w:val="clear" w:color="auto" w:fill="auto"/>
            <w:noWrap/>
            <w:vAlign w:val="center"/>
            <w:hideMark/>
          </w:tcPr>
          <w:p w14:paraId="36FB98EE"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830046209</w:t>
            </w:r>
          </w:p>
        </w:tc>
        <w:tc>
          <w:tcPr>
            <w:tcW w:w="4844" w:type="dxa"/>
            <w:tcBorders>
              <w:top w:val="nil"/>
              <w:left w:val="nil"/>
              <w:bottom w:val="single" w:sz="4" w:space="0" w:color="auto"/>
              <w:right w:val="single" w:sz="4" w:space="0" w:color="auto"/>
            </w:tcBorders>
            <w:shd w:val="clear" w:color="auto" w:fill="auto"/>
            <w:vAlign w:val="center"/>
            <w:hideMark/>
          </w:tcPr>
          <w:p w14:paraId="6D26B8C7"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DISTRIBUIDORA CENTRAL DE GAS SA ESP</w:t>
            </w:r>
          </w:p>
        </w:tc>
        <w:tc>
          <w:tcPr>
            <w:tcW w:w="1600" w:type="dxa"/>
            <w:tcBorders>
              <w:top w:val="nil"/>
              <w:left w:val="nil"/>
              <w:bottom w:val="single" w:sz="4" w:space="0" w:color="auto"/>
              <w:right w:val="single" w:sz="4" w:space="0" w:color="auto"/>
            </w:tcBorders>
            <w:shd w:val="clear" w:color="auto" w:fill="auto"/>
            <w:noWrap/>
            <w:vAlign w:val="center"/>
            <w:hideMark/>
          </w:tcPr>
          <w:p w14:paraId="018B8DBA"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797.756.636 </w:t>
            </w:r>
          </w:p>
        </w:tc>
        <w:tc>
          <w:tcPr>
            <w:tcW w:w="1660" w:type="dxa"/>
            <w:tcBorders>
              <w:top w:val="nil"/>
              <w:left w:val="nil"/>
              <w:bottom w:val="single" w:sz="4" w:space="0" w:color="auto"/>
              <w:right w:val="single" w:sz="4" w:space="0" w:color="auto"/>
            </w:tcBorders>
            <w:shd w:val="clear" w:color="auto" w:fill="auto"/>
            <w:noWrap/>
            <w:vAlign w:val="center"/>
            <w:hideMark/>
          </w:tcPr>
          <w:p w14:paraId="61C8CD8B"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738.109.191 </w:t>
            </w:r>
          </w:p>
        </w:tc>
      </w:tr>
      <w:tr w:rsidR="009838E7" w:rsidRPr="009838E7" w14:paraId="4BBF60BE"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7195EF92"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60</w:t>
            </w:r>
          </w:p>
        </w:tc>
        <w:tc>
          <w:tcPr>
            <w:tcW w:w="505" w:type="dxa"/>
            <w:tcBorders>
              <w:top w:val="nil"/>
              <w:left w:val="nil"/>
              <w:bottom w:val="single" w:sz="4" w:space="0" w:color="auto"/>
              <w:right w:val="single" w:sz="4" w:space="0" w:color="auto"/>
            </w:tcBorders>
            <w:shd w:val="clear" w:color="auto" w:fill="auto"/>
            <w:noWrap/>
            <w:vAlign w:val="center"/>
            <w:hideMark/>
          </w:tcPr>
          <w:p w14:paraId="2014A841"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22972</w:t>
            </w:r>
          </w:p>
        </w:tc>
        <w:tc>
          <w:tcPr>
            <w:tcW w:w="797" w:type="dxa"/>
            <w:tcBorders>
              <w:top w:val="nil"/>
              <w:left w:val="nil"/>
              <w:bottom w:val="single" w:sz="4" w:space="0" w:color="auto"/>
              <w:right w:val="single" w:sz="4" w:space="0" w:color="auto"/>
            </w:tcBorders>
            <w:shd w:val="clear" w:color="auto" w:fill="auto"/>
            <w:noWrap/>
            <w:vAlign w:val="center"/>
            <w:hideMark/>
          </w:tcPr>
          <w:p w14:paraId="538794F6"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830058558</w:t>
            </w:r>
          </w:p>
        </w:tc>
        <w:tc>
          <w:tcPr>
            <w:tcW w:w="4844" w:type="dxa"/>
            <w:tcBorders>
              <w:top w:val="nil"/>
              <w:left w:val="nil"/>
              <w:bottom w:val="single" w:sz="4" w:space="0" w:color="auto"/>
              <w:right w:val="single" w:sz="4" w:space="0" w:color="auto"/>
            </w:tcBorders>
            <w:shd w:val="clear" w:color="auto" w:fill="auto"/>
            <w:vAlign w:val="center"/>
            <w:hideMark/>
          </w:tcPr>
          <w:p w14:paraId="136A88EC"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TY GAS S.A. E.S.P.</w:t>
            </w:r>
          </w:p>
        </w:tc>
        <w:tc>
          <w:tcPr>
            <w:tcW w:w="1600" w:type="dxa"/>
            <w:tcBorders>
              <w:top w:val="nil"/>
              <w:left w:val="nil"/>
              <w:bottom w:val="single" w:sz="4" w:space="0" w:color="auto"/>
              <w:right w:val="single" w:sz="4" w:space="0" w:color="auto"/>
            </w:tcBorders>
            <w:shd w:val="clear" w:color="auto" w:fill="auto"/>
            <w:noWrap/>
            <w:vAlign w:val="center"/>
            <w:hideMark/>
          </w:tcPr>
          <w:p w14:paraId="79137A42"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424.565.000 </w:t>
            </w:r>
          </w:p>
        </w:tc>
        <w:tc>
          <w:tcPr>
            <w:tcW w:w="1660" w:type="dxa"/>
            <w:tcBorders>
              <w:top w:val="nil"/>
              <w:left w:val="nil"/>
              <w:bottom w:val="single" w:sz="4" w:space="0" w:color="auto"/>
              <w:right w:val="single" w:sz="4" w:space="0" w:color="auto"/>
            </w:tcBorders>
            <w:shd w:val="clear" w:color="auto" w:fill="auto"/>
            <w:noWrap/>
            <w:vAlign w:val="center"/>
            <w:hideMark/>
          </w:tcPr>
          <w:p w14:paraId="7B461C7A"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1.229.766.000 </w:t>
            </w:r>
          </w:p>
        </w:tc>
      </w:tr>
      <w:tr w:rsidR="009838E7" w:rsidRPr="009838E7" w14:paraId="74D0D30E"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07EF2C92"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61</w:t>
            </w:r>
          </w:p>
        </w:tc>
        <w:tc>
          <w:tcPr>
            <w:tcW w:w="505" w:type="dxa"/>
            <w:tcBorders>
              <w:top w:val="nil"/>
              <w:left w:val="nil"/>
              <w:bottom w:val="single" w:sz="4" w:space="0" w:color="auto"/>
              <w:right w:val="single" w:sz="4" w:space="0" w:color="auto"/>
            </w:tcBorders>
            <w:shd w:val="clear" w:color="auto" w:fill="auto"/>
            <w:noWrap/>
            <w:vAlign w:val="center"/>
            <w:hideMark/>
          </w:tcPr>
          <w:p w14:paraId="7D8DA4D1"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25705</w:t>
            </w:r>
          </w:p>
        </w:tc>
        <w:tc>
          <w:tcPr>
            <w:tcW w:w="797" w:type="dxa"/>
            <w:tcBorders>
              <w:top w:val="nil"/>
              <w:left w:val="nil"/>
              <w:bottom w:val="single" w:sz="4" w:space="0" w:color="auto"/>
              <w:right w:val="single" w:sz="4" w:space="0" w:color="auto"/>
            </w:tcBorders>
            <w:shd w:val="clear" w:color="auto" w:fill="auto"/>
            <w:noWrap/>
            <w:vAlign w:val="center"/>
            <w:hideMark/>
          </w:tcPr>
          <w:p w14:paraId="3DF8E694"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830080672</w:t>
            </w:r>
          </w:p>
        </w:tc>
        <w:tc>
          <w:tcPr>
            <w:tcW w:w="4844" w:type="dxa"/>
            <w:tcBorders>
              <w:top w:val="nil"/>
              <w:left w:val="nil"/>
              <w:bottom w:val="single" w:sz="4" w:space="0" w:color="auto"/>
              <w:right w:val="single" w:sz="4" w:space="0" w:color="auto"/>
            </w:tcBorders>
            <w:shd w:val="clear" w:color="auto" w:fill="auto"/>
            <w:vAlign w:val="center"/>
            <w:hideMark/>
          </w:tcPr>
          <w:p w14:paraId="10B290F6"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CEPSA COLOMBIA SA</w:t>
            </w:r>
          </w:p>
        </w:tc>
        <w:tc>
          <w:tcPr>
            <w:tcW w:w="1600" w:type="dxa"/>
            <w:tcBorders>
              <w:top w:val="nil"/>
              <w:left w:val="nil"/>
              <w:bottom w:val="single" w:sz="4" w:space="0" w:color="auto"/>
              <w:right w:val="single" w:sz="4" w:space="0" w:color="auto"/>
            </w:tcBorders>
            <w:shd w:val="clear" w:color="auto" w:fill="auto"/>
            <w:noWrap/>
            <w:vAlign w:val="center"/>
            <w:hideMark/>
          </w:tcPr>
          <w:p w14:paraId="2D6FF500"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34.300.000 </w:t>
            </w:r>
          </w:p>
        </w:tc>
        <w:tc>
          <w:tcPr>
            <w:tcW w:w="1660" w:type="dxa"/>
            <w:tcBorders>
              <w:top w:val="nil"/>
              <w:left w:val="nil"/>
              <w:bottom w:val="single" w:sz="4" w:space="0" w:color="auto"/>
              <w:right w:val="single" w:sz="4" w:space="0" w:color="auto"/>
            </w:tcBorders>
            <w:shd w:val="clear" w:color="auto" w:fill="auto"/>
            <w:noWrap/>
            <w:vAlign w:val="center"/>
            <w:hideMark/>
          </w:tcPr>
          <w:p w14:paraId="3B16CD5A"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45.924.000 </w:t>
            </w:r>
          </w:p>
        </w:tc>
      </w:tr>
      <w:tr w:rsidR="009838E7" w:rsidRPr="009838E7" w14:paraId="24E37CF1" w14:textId="77777777" w:rsidTr="00092F91">
        <w:trPr>
          <w:trHeight w:val="378"/>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0A3DA65E"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62</w:t>
            </w:r>
          </w:p>
        </w:tc>
        <w:tc>
          <w:tcPr>
            <w:tcW w:w="505" w:type="dxa"/>
            <w:tcBorders>
              <w:top w:val="nil"/>
              <w:left w:val="nil"/>
              <w:bottom w:val="single" w:sz="4" w:space="0" w:color="auto"/>
              <w:right w:val="single" w:sz="4" w:space="0" w:color="auto"/>
            </w:tcBorders>
            <w:shd w:val="clear" w:color="auto" w:fill="auto"/>
            <w:noWrap/>
            <w:vAlign w:val="center"/>
            <w:hideMark/>
          </w:tcPr>
          <w:p w14:paraId="7A241560"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3111</w:t>
            </w:r>
          </w:p>
        </w:tc>
        <w:tc>
          <w:tcPr>
            <w:tcW w:w="797" w:type="dxa"/>
            <w:tcBorders>
              <w:top w:val="nil"/>
              <w:left w:val="nil"/>
              <w:bottom w:val="single" w:sz="4" w:space="0" w:color="auto"/>
              <w:right w:val="single" w:sz="4" w:space="0" w:color="auto"/>
            </w:tcBorders>
            <w:shd w:val="clear" w:color="auto" w:fill="auto"/>
            <w:noWrap/>
            <w:vAlign w:val="center"/>
            <w:hideMark/>
          </w:tcPr>
          <w:p w14:paraId="5554EAAD"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830092965</w:t>
            </w:r>
          </w:p>
        </w:tc>
        <w:tc>
          <w:tcPr>
            <w:tcW w:w="4844" w:type="dxa"/>
            <w:tcBorders>
              <w:top w:val="nil"/>
              <w:left w:val="nil"/>
              <w:bottom w:val="single" w:sz="4" w:space="0" w:color="auto"/>
              <w:right w:val="single" w:sz="4" w:space="0" w:color="auto"/>
            </w:tcBorders>
            <w:shd w:val="clear" w:color="auto" w:fill="auto"/>
            <w:vAlign w:val="center"/>
            <w:hideMark/>
          </w:tcPr>
          <w:p w14:paraId="35BBD0C8"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ENERGETICOS S.A.S.  E.S.P. DISTRIBUIDORA Y COMERCIALIZADORA DE ENERGIA GAS E HIDROCARBUROS</w:t>
            </w:r>
          </w:p>
        </w:tc>
        <w:tc>
          <w:tcPr>
            <w:tcW w:w="1600" w:type="dxa"/>
            <w:tcBorders>
              <w:top w:val="nil"/>
              <w:left w:val="nil"/>
              <w:bottom w:val="single" w:sz="4" w:space="0" w:color="auto"/>
              <w:right w:val="single" w:sz="4" w:space="0" w:color="auto"/>
            </w:tcBorders>
            <w:shd w:val="clear" w:color="auto" w:fill="auto"/>
            <w:noWrap/>
            <w:vAlign w:val="center"/>
            <w:hideMark/>
          </w:tcPr>
          <w:p w14:paraId="01454BA5"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1.688.934.761 </w:t>
            </w:r>
          </w:p>
        </w:tc>
        <w:tc>
          <w:tcPr>
            <w:tcW w:w="1660" w:type="dxa"/>
            <w:tcBorders>
              <w:top w:val="nil"/>
              <w:left w:val="nil"/>
              <w:bottom w:val="single" w:sz="4" w:space="0" w:color="auto"/>
              <w:right w:val="single" w:sz="4" w:space="0" w:color="auto"/>
            </w:tcBorders>
            <w:shd w:val="clear" w:color="auto" w:fill="auto"/>
            <w:noWrap/>
            <w:vAlign w:val="center"/>
            <w:hideMark/>
          </w:tcPr>
          <w:p w14:paraId="5A73BB40"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1.930.975.399 </w:t>
            </w:r>
          </w:p>
        </w:tc>
      </w:tr>
      <w:tr w:rsidR="009838E7" w:rsidRPr="009838E7" w14:paraId="37B80F65"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463CDDB3"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63</w:t>
            </w:r>
          </w:p>
        </w:tc>
        <w:tc>
          <w:tcPr>
            <w:tcW w:w="505" w:type="dxa"/>
            <w:tcBorders>
              <w:top w:val="nil"/>
              <w:left w:val="nil"/>
              <w:bottom w:val="single" w:sz="4" w:space="0" w:color="auto"/>
              <w:right w:val="single" w:sz="4" w:space="0" w:color="auto"/>
            </w:tcBorders>
            <w:shd w:val="clear" w:color="auto" w:fill="auto"/>
            <w:noWrap/>
            <w:vAlign w:val="center"/>
            <w:hideMark/>
          </w:tcPr>
          <w:p w14:paraId="2812060D"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25891</w:t>
            </w:r>
          </w:p>
        </w:tc>
        <w:tc>
          <w:tcPr>
            <w:tcW w:w="797" w:type="dxa"/>
            <w:tcBorders>
              <w:top w:val="nil"/>
              <w:left w:val="nil"/>
              <w:bottom w:val="single" w:sz="4" w:space="0" w:color="auto"/>
              <w:right w:val="single" w:sz="4" w:space="0" w:color="auto"/>
            </w:tcBorders>
            <w:shd w:val="clear" w:color="auto" w:fill="auto"/>
            <w:noWrap/>
            <w:vAlign w:val="center"/>
            <w:hideMark/>
          </w:tcPr>
          <w:p w14:paraId="567EFB63"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830095563</w:t>
            </w:r>
          </w:p>
        </w:tc>
        <w:tc>
          <w:tcPr>
            <w:tcW w:w="4844" w:type="dxa"/>
            <w:tcBorders>
              <w:top w:val="nil"/>
              <w:left w:val="nil"/>
              <w:bottom w:val="single" w:sz="4" w:space="0" w:color="auto"/>
              <w:right w:val="single" w:sz="4" w:space="0" w:color="auto"/>
            </w:tcBorders>
            <w:shd w:val="clear" w:color="auto" w:fill="auto"/>
            <w:vAlign w:val="center"/>
            <w:hideMark/>
          </w:tcPr>
          <w:p w14:paraId="607ED68F"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CANACOL ENERGY COLOMBIA S.A.</w:t>
            </w:r>
          </w:p>
        </w:tc>
        <w:tc>
          <w:tcPr>
            <w:tcW w:w="1600" w:type="dxa"/>
            <w:tcBorders>
              <w:top w:val="nil"/>
              <w:left w:val="nil"/>
              <w:bottom w:val="single" w:sz="4" w:space="0" w:color="auto"/>
              <w:right w:val="single" w:sz="4" w:space="0" w:color="auto"/>
            </w:tcBorders>
            <w:shd w:val="clear" w:color="auto" w:fill="auto"/>
            <w:noWrap/>
            <w:vAlign w:val="center"/>
            <w:hideMark/>
          </w:tcPr>
          <w:p w14:paraId="7CFA24BB"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9.722.547.000 </w:t>
            </w:r>
          </w:p>
        </w:tc>
        <w:tc>
          <w:tcPr>
            <w:tcW w:w="1660" w:type="dxa"/>
            <w:tcBorders>
              <w:top w:val="nil"/>
              <w:left w:val="nil"/>
              <w:bottom w:val="single" w:sz="4" w:space="0" w:color="auto"/>
              <w:right w:val="single" w:sz="4" w:space="0" w:color="auto"/>
            </w:tcBorders>
            <w:shd w:val="clear" w:color="auto" w:fill="auto"/>
            <w:noWrap/>
            <w:vAlign w:val="center"/>
            <w:hideMark/>
          </w:tcPr>
          <w:p w14:paraId="236012A5"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46.086.658.173 </w:t>
            </w:r>
          </w:p>
        </w:tc>
      </w:tr>
      <w:tr w:rsidR="009838E7" w:rsidRPr="009838E7" w14:paraId="5D79A593"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2B336C29"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64</w:t>
            </w:r>
          </w:p>
        </w:tc>
        <w:tc>
          <w:tcPr>
            <w:tcW w:w="505" w:type="dxa"/>
            <w:tcBorders>
              <w:top w:val="nil"/>
              <w:left w:val="nil"/>
              <w:bottom w:val="single" w:sz="4" w:space="0" w:color="auto"/>
              <w:right w:val="single" w:sz="4" w:space="0" w:color="auto"/>
            </w:tcBorders>
            <w:shd w:val="clear" w:color="auto" w:fill="auto"/>
            <w:noWrap/>
            <w:vAlign w:val="center"/>
            <w:hideMark/>
          </w:tcPr>
          <w:p w14:paraId="6EC92BE5"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34533</w:t>
            </w:r>
          </w:p>
        </w:tc>
        <w:tc>
          <w:tcPr>
            <w:tcW w:w="797" w:type="dxa"/>
            <w:tcBorders>
              <w:top w:val="nil"/>
              <w:left w:val="nil"/>
              <w:bottom w:val="single" w:sz="4" w:space="0" w:color="auto"/>
              <w:right w:val="single" w:sz="4" w:space="0" w:color="auto"/>
            </w:tcBorders>
            <w:shd w:val="clear" w:color="auto" w:fill="auto"/>
            <w:noWrap/>
            <w:vAlign w:val="center"/>
            <w:hideMark/>
          </w:tcPr>
          <w:p w14:paraId="36A5E993"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830104866</w:t>
            </w:r>
          </w:p>
        </w:tc>
        <w:tc>
          <w:tcPr>
            <w:tcW w:w="4844" w:type="dxa"/>
            <w:tcBorders>
              <w:top w:val="nil"/>
              <w:left w:val="nil"/>
              <w:bottom w:val="single" w:sz="4" w:space="0" w:color="auto"/>
              <w:right w:val="single" w:sz="4" w:space="0" w:color="auto"/>
            </w:tcBorders>
            <w:shd w:val="clear" w:color="auto" w:fill="auto"/>
            <w:vAlign w:val="center"/>
            <w:hideMark/>
          </w:tcPr>
          <w:p w14:paraId="15FE9023"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NIKOIL ENERGY CORP SUC COLOMBIA</w:t>
            </w:r>
          </w:p>
        </w:tc>
        <w:tc>
          <w:tcPr>
            <w:tcW w:w="1600" w:type="dxa"/>
            <w:tcBorders>
              <w:top w:val="nil"/>
              <w:left w:val="nil"/>
              <w:bottom w:val="single" w:sz="4" w:space="0" w:color="auto"/>
              <w:right w:val="single" w:sz="4" w:space="0" w:color="auto"/>
            </w:tcBorders>
            <w:shd w:val="clear" w:color="auto" w:fill="auto"/>
            <w:noWrap/>
            <w:vAlign w:val="center"/>
            <w:hideMark/>
          </w:tcPr>
          <w:p w14:paraId="61EC391F"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1.491.522.408 </w:t>
            </w:r>
          </w:p>
        </w:tc>
        <w:tc>
          <w:tcPr>
            <w:tcW w:w="1660" w:type="dxa"/>
            <w:tcBorders>
              <w:top w:val="nil"/>
              <w:left w:val="nil"/>
              <w:bottom w:val="single" w:sz="4" w:space="0" w:color="auto"/>
              <w:right w:val="single" w:sz="4" w:space="0" w:color="auto"/>
            </w:tcBorders>
            <w:shd w:val="clear" w:color="auto" w:fill="auto"/>
            <w:noWrap/>
            <w:vAlign w:val="center"/>
            <w:hideMark/>
          </w:tcPr>
          <w:p w14:paraId="3E58531F"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2.477.985.990 </w:t>
            </w:r>
          </w:p>
        </w:tc>
      </w:tr>
      <w:tr w:rsidR="009838E7" w:rsidRPr="009838E7" w14:paraId="3C0B6948"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1ED1E606"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65</w:t>
            </w:r>
          </w:p>
        </w:tc>
        <w:tc>
          <w:tcPr>
            <w:tcW w:w="505" w:type="dxa"/>
            <w:tcBorders>
              <w:top w:val="nil"/>
              <w:left w:val="nil"/>
              <w:bottom w:val="single" w:sz="4" w:space="0" w:color="auto"/>
              <w:right w:val="single" w:sz="4" w:space="0" w:color="auto"/>
            </w:tcBorders>
            <w:shd w:val="clear" w:color="auto" w:fill="auto"/>
            <w:noWrap/>
            <w:vAlign w:val="center"/>
            <w:hideMark/>
          </w:tcPr>
          <w:p w14:paraId="7572440D"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21570</w:t>
            </w:r>
          </w:p>
        </w:tc>
        <w:tc>
          <w:tcPr>
            <w:tcW w:w="797" w:type="dxa"/>
            <w:tcBorders>
              <w:top w:val="nil"/>
              <w:left w:val="nil"/>
              <w:bottom w:val="single" w:sz="4" w:space="0" w:color="auto"/>
              <w:right w:val="single" w:sz="4" w:space="0" w:color="auto"/>
            </w:tcBorders>
            <w:shd w:val="clear" w:color="auto" w:fill="auto"/>
            <w:noWrap/>
            <w:vAlign w:val="center"/>
            <w:hideMark/>
          </w:tcPr>
          <w:p w14:paraId="3BA998B0"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830107528</w:t>
            </w:r>
          </w:p>
        </w:tc>
        <w:tc>
          <w:tcPr>
            <w:tcW w:w="4844" w:type="dxa"/>
            <w:tcBorders>
              <w:top w:val="nil"/>
              <w:left w:val="nil"/>
              <w:bottom w:val="single" w:sz="4" w:space="0" w:color="auto"/>
              <w:right w:val="single" w:sz="4" w:space="0" w:color="auto"/>
            </w:tcBorders>
            <w:shd w:val="clear" w:color="auto" w:fill="auto"/>
            <w:vAlign w:val="center"/>
            <w:hideMark/>
          </w:tcPr>
          <w:p w14:paraId="74537C6A"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GENERARCO S.A.S. E.S.P.</w:t>
            </w:r>
          </w:p>
        </w:tc>
        <w:tc>
          <w:tcPr>
            <w:tcW w:w="1600" w:type="dxa"/>
            <w:tcBorders>
              <w:top w:val="nil"/>
              <w:left w:val="nil"/>
              <w:bottom w:val="single" w:sz="4" w:space="0" w:color="auto"/>
              <w:right w:val="single" w:sz="4" w:space="0" w:color="auto"/>
            </w:tcBorders>
            <w:shd w:val="clear" w:color="auto" w:fill="auto"/>
            <w:noWrap/>
            <w:vAlign w:val="center"/>
            <w:hideMark/>
          </w:tcPr>
          <w:p w14:paraId="41D8DE9A"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2.556.675.174 </w:t>
            </w:r>
          </w:p>
        </w:tc>
        <w:tc>
          <w:tcPr>
            <w:tcW w:w="1660" w:type="dxa"/>
            <w:tcBorders>
              <w:top w:val="nil"/>
              <w:left w:val="nil"/>
              <w:bottom w:val="single" w:sz="4" w:space="0" w:color="auto"/>
              <w:right w:val="single" w:sz="4" w:space="0" w:color="auto"/>
            </w:tcBorders>
            <w:shd w:val="clear" w:color="auto" w:fill="auto"/>
            <w:noWrap/>
            <w:vAlign w:val="center"/>
            <w:hideMark/>
          </w:tcPr>
          <w:p w14:paraId="37E08998"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3.648.734.236 </w:t>
            </w:r>
          </w:p>
        </w:tc>
      </w:tr>
      <w:tr w:rsidR="009838E7" w:rsidRPr="009838E7" w14:paraId="55803954"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1CD2B990"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66</w:t>
            </w:r>
          </w:p>
        </w:tc>
        <w:tc>
          <w:tcPr>
            <w:tcW w:w="505" w:type="dxa"/>
            <w:tcBorders>
              <w:top w:val="nil"/>
              <w:left w:val="nil"/>
              <w:bottom w:val="single" w:sz="4" w:space="0" w:color="auto"/>
              <w:right w:val="single" w:sz="4" w:space="0" w:color="auto"/>
            </w:tcBorders>
            <w:shd w:val="clear" w:color="auto" w:fill="auto"/>
            <w:noWrap/>
            <w:vAlign w:val="center"/>
            <w:hideMark/>
          </w:tcPr>
          <w:p w14:paraId="5B258AF3"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3268</w:t>
            </w:r>
          </w:p>
        </w:tc>
        <w:tc>
          <w:tcPr>
            <w:tcW w:w="797" w:type="dxa"/>
            <w:tcBorders>
              <w:top w:val="nil"/>
              <w:left w:val="nil"/>
              <w:bottom w:val="single" w:sz="4" w:space="0" w:color="auto"/>
              <w:right w:val="single" w:sz="4" w:space="0" w:color="auto"/>
            </w:tcBorders>
            <w:shd w:val="clear" w:color="auto" w:fill="auto"/>
            <w:noWrap/>
            <w:vAlign w:val="center"/>
            <w:hideMark/>
          </w:tcPr>
          <w:p w14:paraId="4A506A9D"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830113630</w:t>
            </w:r>
          </w:p>
        </w:tc>
        <w:tc>
          <w:tcPr>
            <w:tcW w:w="4844" w:type="dxa"/>
            <w:tcBorders>
              <w:top w:val="nil"/>
              <w:left w:val="nil"/>
              <w:bottom w:val="single" w:sz="4" w:space="0" w:color="auto"/>
              <w:right w:val="single" w:sz="4" w:space="0" w:color="auto"/>
            </w:tcBorders>
            <w:shd w:val="clear" w:color="auto" w:fill="auto"/>
            <w:vAlign w:val="center"/>
            <w:hideMark/>
          </w:tcPr>
          <w:p w14:paraId="0A16D6D0"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ZONA FRANCA CELSIA S.A. E.S.P.</w:t>
            </w:r>
          </w:p>
        </w:tc>
        <w:tc>
          <w:tcPr>
            <w:tcW w:w="1600" w:type="dxa"/>
            <w:tcBorders>
              <w:top w:val="nil"/>
              <w:left w:val="nil"/>
              <w:bottom w:val="single" w:sz="4" w:space="0" w:color="auto"/>
              <w:right w:val="single" w:sz="4" w:space="0" w:color="auto"/>
            </w:tcBorders>
            <w:shd w:val="clear" w:color="auto" w:fill="auto"/>
            <w:noWrap/>
            <w:vAlign w:val="center"/>
            <w:hideMark/>
          </w:tcPr>
          <w:p w14:paraId="293BB1DF"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40.995.333.608 </w:t>
            </w:r>
          </w:p>
        </w:tc>
        <w:tc>
          <w:tcPr>
            <w:tcW w:w="1660" w:type="dxa"/>
            <w:tcBorders>
              <w:top w:val="nil"/>
              <w:left w:val="nil"/>
              <w:bottom w:val="single" w:sz="4" w:space="0" w:color="auto"/>
              <w:right w:val="single" w:sz="4" w:space="0" w:color="auto"/>
            </w:tcBorders>
            <w:shd w:val="clear" w:color="auto" w:fill="auto"/>
            <w:noWrap/>
            <w:vAlign w:val="center"/>
            <w:hideMark/>
          </w:tcPr>
          <w:p w14:paraId="72237659"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40.746.559.652 </w:t>
            </w:r>
          </w:p>
        </w:tc>
      </w:tr>
      <w:tr w:rsidR="009838E7" w:rsidRPr="009838E7" w14:paraId="622ABEE0" w14:textId="77777777" w:rsidTr="00A263AE">
        <w:trPr>
          <w:trHeight w:val="294"/>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3324353E"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67</w:t>
            </w:r>
          </w:p>
        </w:tc>
        <w:tc>
          <w:tcPr>
            <w:tcW w:w="505" w:type="dxa"/>
            <w:tcBorders>
              <w:top w:val="nil"/>
              <w:left w:val="nil"/>
              <w:bottom w:val="single" w:sz="4" w:space="0" w:color="auto"/>
              <w:right w:val="single" w:sz="4" w:space="0" w:color="auto"/>
            </w:tcBorders>
            <w:shd w:val="clear" w:color="auto" w:fill="auto"/>
            <w:noWrap/>
            <w:vAlign w:val="center"/>
            <w:hideMark/>
          </w:tcPr>
          <w:p w14:paraId="0F1B4A51"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3359</w:t>
            </w:r>
          </w:p>
        </w:tc>
        <w:tc>
          <w:tcPr>
            <w:tcW w:w="797" w:type="dxa"/>
            <w:tcBorders>
              <w:top w:val="nil"/>
              <w:left w:val="nil"/>
              <w:bottom w:val="single" w:sz="4" w:space="0" w:color="auto"/>
              <w:right w:val="single" w:sz="4" w:space="0" w:color="auto"/>
            </w:tcBorders>
            <w:shd w:val="clear" w:color="auto" w:fill="auto"/>
            <w:noWrap/>
            <w:vAlign w:val="center"/>
            <w:hideMark/>
          </w:tcPr>
          <w:p w14:paraId="24FEC125"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830118416</w:t>
            </w:r>
          </w:p>
        </w:tc>
        <w:tc>
          <w:tcPr>
            <w:tcW w:w="4844" w:type="dxa"/>
            <w:tcBorders>
              <w:top w:val="nil"/>
              <w:left w:val="nil"/>
              <w:bottom w:val="single" w:sz="4" w:space="0" w:color="auto"/>
              <w:right w:val="single" w:sz="4" w:space="0" w:color="auto"/>
            </w:tcBorders>
            <w:shd w:val="clear" w:color="auto" w:fill="auto"/>
            <w:vAlign w:val="center"/>
            <w:hideMark/>
          </w:tcPr>
          <w:p w14:paraId="5C44795D"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NACIONAL DE SERVICIOS PÚBLICOS DOMICILIARIOS S.A. E.S.P.</w:t>
            </w:r>
          </w:p>
        </w:tc>
        <w:tc>
          <w:tcPr>
            <w:tcW w:w="1600" w:type="dxa"/>
            <w:tcBorders>
              <w:top w:val="nil"/>
              <w:left w:val="nil"/>
              <w:bottom w:val="single" w:sz="4" w:space="0" w:color="auto"/>
              <w:right w:val="single" w:sz="4" w:space="0" w:color="auto"/>
            </w:tcBorders>
            <w:shd w:val="clear" w:color="auto" w:fill="auto"/>
            <w:noWrap/>
            <w:vAlign w:val="center"/>
            <w:hideMark/>
          </w:tcPr>
          <w:p w14:paraId="49F0C538"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700.280.000 </w:t>
            </w:r>
          </w:p>
        </w:tc>
        <w:tc>
          <w:tcPr>
            <w:tcW w:w="1660" w:type="dxa"/>
            <w:tcBorders>
              <w:top w:val="nil"/>
              <w:left w:val="nil"/>
              <w:bottom w:val="single" w:sz="4" w:space="0" w:color="auto"/>
              <w:right w:val="single" w:sz="4" w:space="0" w:color="auto"/>
            </w:tcBorders>
            <w:shd w:val="clear" w:color="auto" w:fill="auto"/>
            <w:noWrap/>
            <w:vAlign w:val="center"/>
            <w:hideMark/>
          </w:tcPr>
          <w:p w14:paraId="34CAC66B"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743.206.697 </w:t>
            </w:r>
          </w:p>
        </w:tc>
      </w:tr>
      <w:tr w:rsidR="009838E7" w:rsidRPr="009838E7" w14:paraId="5648B2B6"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1CE98692"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68</w:t>
            </w:r>
          </w:p>
        </w:tc>
        <w:tc>
          <w:tcPr>
            <w:tcW w:w="505" w:type="dxa"/>
            <w:tcBorders>
              <w:top w:val="nil"/>
              <w:left w:val="nil"/>
              <w:bottom w:val="single" w:sz="4" w:space="0" w:color="auto"/>
              <w:right w:val="single" w:sz="4" w:space="0" w:color="auto"/>
            </w:tcBorders>
            <w:shd w:val="clear" w:color="auto" w:fill="auto"/>
            <w:noWrap/>
            <w:vAlign w:val="center"/>
            <w:hideMark/>
          </w:tcPr>
          <w:p w14:paraId="45DC57CB"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20033</w:t>
            </w:r>
          </w:p>
        </w:tc>
        <w:tc>
          <w:tcPr>
            <w:tcW w:w="797" w:type="dxa"/>
            <w:tcBorders>
              <w:top w:val="nil"/>
              <w:left w:val="nil"/>
              <w:bottom w:val="single" w:sz="4" w:space="0" w:color="auto"/>
              <w:right w:val="single" w:sz="4" w:space="0" w:color="auto"/>
            </w:tcBorders>
            <w:shd w:val="clear" w:color="auto" w:fill="auto"/>
            <w:noWrap/>
            <w:vAlign w:val="center"/>
            <w:hideMark/>
          </w:tcPr>
          <w:p w14:paraId="3120EEE6"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830129277</w:t>
            </w:r>
          </w:p>
        </w:tc>
        <w:tc>
          <w:tcPr>
            <w:tcW w:w="4844" w:type="dxa"/>
            <w:tcBorders>
              <w:top w:val="nil"/>
              <w:left w:val="nil"/>
              <w:bottom w:val="single" w:sz="4" w:space="0" w:color="auto"/>
              <w:right w:val="single" w:sz="4" w:space="0" w:color="auto"/>
            </w:tcBorders>
            <w:shd w:val="clear" w:color="auto" w:fill="auto"/>
            <w:vAlign w:val="center"/>
            <w:hideMark/>
          </w:tcPr>
          <w:p w14:paraId="5779B376"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TERMOYOPAL GENERACION 2 S.A.S. E.S.P.</w:t>
            </w:r>
          </w:p>
        </w:tc>
        <w:tc>
          <w:tcPr>
            <w:tcW w:w="1600" w:type="dxa"/>
            <w:tcBorders>
              <w:top w:val="nil"/>
              <w:left w:val="nil"/>
              <w:bottom w:val="single" w:sz="4" w:space="0" w:color="auto"/>
              <w:right w:val="single" w:sz="4" w:space="0" w:color="auto"/>
            </w:tcBorders>
            <w:shd w:val="clear" w:color="auto" w:fill="auto"/>
            <w:noWrap/>
            <w:vAlign w:val="center"/>
            <w:hideMark/>
          </w:tcPr>
          <w:p w14:paraId="72E6A1C3"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2.447.630.908 </w:t>
            </w:r>
          </w:p>
        </w:tc>
        <w:tc>
          <w:tcPr>
            <w:tcW w:w="1660" w:type="dxa"/>
            <w:tcBorders>
              <w:top w:val="nil"/>
              <w:left w:val="nil"/>
              <w:bottom w:val="single" w:sz="4" w:space="0" w:color="auto"/>
              <w:right w:val="single" w:sz="4" w:space="0" w:color="auto"/>
            </w:tcBorders>
            <w:shd w:val="clear" w:color="auto" w:fill="auto"/>
            <w:noWrap/>
            <w:vAlign w:val="center"/>
            <w:hideMark/>
          </w:tcPr>
          <w:p w14:paraId="14D8A543"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2.972.226.575 </w:t>
            </w:r>
          </w:p>
        </w:tc>
      </w:tr>
      <w:tr w:rsidR="009838E7" w:rsidRPr="009838E7" w14:paraId="7C883A8D"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3DFCD2E0"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69</w:t>
            </w:r>
          </w:p>
        </w:tc>
        <w:tc>
          <w:tcPr>
            <w:tcW w:w="505" w:type="dxa"/>
            <w:tcBorders>
              <w:top w:val="nil"/>
              <w:left w:val="nil"/>
              <w:bottom w:val="single" w:sz="4" w:space="0" w:color="auto"/>
              <w:right w:val="single" w:sz="4" w:space="0" w:color="auto"/>
            </w:tcBorders>
            <w:shd w:val="clear" w:color="auto" w:fill="auto"/>
            <w:noWrap/>
            <w:vAlign w:val="center"/>
            <w:hideMark/>
          </w:tcPr>
          <w:p w14:paraId="27329E4A"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3358</w:t>
            </w:r>
          </w:p>
        </w:tc>
        <w:tc>
          <w:tcPr>
            <w:tcW w:w="797" w:type="dxa"/>
            <w:tcBorders>
              <w:top w:val="nil"/>
              <w:left w:val="nil"/>
              <w:bottom w:val="single" w:sz="4" w:space="0" w:color="auto"/>
              <w:right w:val="single" w:sz="4" w:space="0" w:color="auto"/>
            </w:tcBorders>
            <w:shd w:val="clear" w:color="auto" w:fill="auto"/>
            <w:noWrap/>
            <w:vAlign w:val="center"/>
            <w:hideMark/>
          </w:tcPr>
          <w:p w14:paraId="5BEF383A"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830130648</w:t>
            </w:r>
          </w:p>
        </w:tc>
        <w:tc>
          <w:tcPr>
            <w:tcW w:w="4844" w:type="dxa"/>
            <w:tcBorders>
              <w:top w:val="nil"/>
              <w:left w:val="nil"/>
              <w:bottom w:val="single" w:sz="4" w:space="0" w:color="auto"/>
              <w:right w:val="single" w:sz="4" w:space="0" w:color="auto"/>
            </w:tcBorders>
            <w:shd w:val="clear" w:color="auto" w:fill="auto"/>
            <w:vAlign w:val="center"/>
            <w:hideMark/>
          </w:tcPr>
          <w:p w14:paraId="034CDD85" w14:textId="777C6204"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COMPAÑIA DE SERVICIOS PUBLICOS S.A E.S.P</w:t>
            </w:r>
            <w:r w:rsidR="006F2D43">
              <w:rPr>
                <w:rFonts w:ascii="Arial Narrow" w:hAnsi="Arial Narrow" w:cs="Calibri"/>
                <w:color w:val="000000"/>
                <w:spacing w:val="0"/>
                <w:sz w:val="16"/>
                <w:szCs w:val="16"/>
                <w:lang w:eastAsia="es-CO"/>
              </w:rPr>
              <w:t>.</w:t>
            </w:r>
          </w:p>
        </w:tc>
        <w:tc>
          <w:tcPr>
            <w:tcW w:w="1600" w:type="dxa"/>
            <w:tcBorders>
              <w:top w:val="nil"/>
              <w:left w:val="nil"/>
              <w:bottom w:val="single" w:sz="4" w:space="0" w:color="auto"/>
              <w:right w:val="single" w:sz="4" w:space="0" w:color="auto"/>
            </w:tcBorders>
            <w:shd w:val="clear" w:color="auto" w:fill="auto"/>
            <w:noWrap/>
            <w:vAlign w:val="center"/>
            <w:hideMark/>
          </w:tcPr>
          <w:p w14:paraId="36DADFA1"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664.029.927 </w:t>
            </w:r>
          </w:p>
        </w:tc>
        <w:tc>
          <w:tcPr>
            <w:tcW w:w="1660" w:type="dxa"/>
            <w:tcBorders>
              <w:top w:val="nil"/>
              <w:left w:val="nil"/>
              <w:bottom w:val="single" w:sz="4" w:space="0" w:color="auto"/>
              <w:right w:val="single" w:sz="4" w:space="0" w:color="auto"/>
            </w:tcBorders>
            <w:shd w:val="clear" w:color="auto" w:fill="auto"/>
            <w:noWrap/>
            <w:vAlign w:val="center"/>
            <w:hideMark/>
          </w:tcPr>
          <w:p w14:paraId="05C1F2B2"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1.633.242.237 </w:t>
            </w:r>
          </w:p>
        </w:tc>
      </w:tr>
      <w:tr w:rsidR="009838E7" w:rsidRPr="009838E7" w14:paraId="0A0F643F" w14:textId="77777777" w:rsidTr="00092F91">
        <w:trPr>
          <w:trHeight w:val="264"/>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113B33A7"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70</w:t>
            </w:r>
          </w:p>
        </w:tc>
        <w:tc>
          <w:tcPr>
            <w:tcW w:w="505" w:type="dxa"/>
            <w:tcBorders>
              <w:top w:val="nil"/>
              <w:left w:val="nil"/>
              <w:bottom w:val="single" w:sz="4" w:space="0" w:color="auto"/>
              <w:right w:val="single" w:sz="4" w:space="0" w:color="auto"/>
            </w:tcBorders>
            <w:shd w:val="clear" w:color="auto" w:fill="auto"/>
            <w:noWrap/>
            <w:vAlign w:val="center"/>
            <w:hideMark/>
          </w:tcPr>
          <w:p w14:paraId="27394E09"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21590</w:t>
            </w:r>
          </w:p>
        </w:tc>
        <w:tc>
          <w:tcPr>
            <w:tcW w:w="797" w:type="dxa"/>
            <w:tcBorders>
              <w:top w:val="nil"/>
              <w:left w:val="nil"/>
              <w:bottom w:val="single" w:sz="4" w:space="0" w:color="auto"/>
              <w:right w:val="single" w:sz="4" w:space="0" w:color="auto"/>
            </w:tcBorders>
            <w:shd w:val="clear" w:color="auto" w:fill="auto"/>
            <w:noWrap/>
            <w:vAlign w:val="center"/>
            <w:hideMark/>
          </w:tcPr>
          <w:p w14:paraId="5C7363DE"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830140206</w:t>
            </w:r>
          </w:p>
        </w:tc>
        <w:tc>
          <w:tcPr>
            <w:tcW w:w="4844" w:type="dxa"/>
            <w:tcBorders>
              <w:top w:val="nil"/>
              <w:left w:val="nil"/>
              <w:bottom w:val="single" w:sz="4" w:space="0" w:color="auto"/>
              <w:right w:val="single" w:sz="4" w:space="0" w:color="auto"/>
            </w:tcBorders>
            <w:shd w:val="clear" w:color="auto" w:fill="auto"/>
            <w:vAlign w:val="center"/>
            <w:hideMark/>
          </w:tcPr>
          <w:p w14:paraId="51CB291E"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SOCIEDAD DE UNIDAD EMPRESARIAL DE SERVICIOS PUBLICOS SA ESP</w:t>
            </w:r>
          </w:p>
        </w:tc>
        <w:tc>
          <w:tcPr>
            <w:tcW w:w="1600" w:type="dxa"/>
            <w:tcBorders>
              <w:top w:val="nil"/>
              <w:left w:val="nil"/>
              <w:bottom w:val="single" w:sz="4" w:space="0" w:color="auto"/>
              <w:right w:val="single" w:sz="4" w:space="0" w:color="auto"/>
            </w:tcBorders>
            <w:shd w:val="clear" w:color="auto" w:fill="auto"/>
            <w:noWrap/>
            <w:vAlign w:val="center"/>
            <w:hideMark/>
          </w:tcPr>
          <w:p w14:paraId="79F54C32"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2.442.928.234 </w:t>
            </w:r>
          </w:p>
        </w:tc>
        <w:tc>
          <w:tcPr>
            <w:tcW w:w="1660" w:type="dxa"/>
            <w:tcBorders>
              <w:top w:val="nil"/>
              <w:left w:val="nil"/>
              <w:bottom w:val="single" w:sz="4" w:space="0" w:color="auto"/>
              <w:right w:val="single" w:sz="4" w:space="0" w:color="auto"/>
            </w:tcBorders>
            <w:shd w:val="clear" w:color="auto" w:fill="auto"/>
            <w:noWrap/>
            <w:vAlign w:val="center"/>
            <w:hideMark/>
          </w:tcPr>
          <w:p w14:paraId="5279145F"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2.442.532.357 </w:t>
            </w:r>
          </w:p>
        </w:tc>
      </w:tr>
      <w:tr w:rsidR="009838E7" w:rsidRPr="009838E7" w14:paraId="352986A4"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0B856F4D"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71</w:t>
            </w:r>
          </w:p>
        </w:tc>
        <w:tc>
          <w:tcPr>
            <w:tcW w:w="505" w:type="dxa"/>
            <w:tcBorders>
              <w:top w:val="nil"/>
              <w:left w:val="nil"/>
              <w:bottom w:val="single" w:sz="4" w:space="0" w:color="auto"/>
              <w:right w:val="single" w:sz="4" w:space="0" w:color="auto"/>
            </w:tcBorders>
            <w:shd w:val="clear" w:color="auto" w:fill="auto"/>
            <w:noWrap/>
            <w:vAlign w:val="center"/>
            <w:hideMark/>
          </w:tcPr>
          <w:p w14:paraId="190B891C"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20156</w:t>
            </w:r>
          </w:p>
        </w:tc>
        <w:tc>
          <w:tcPr>
            <w:tcW w:w="797" w:type="dxa"/>
            <w:tcBorders>
              <w:top w:val="nil"/>
              <w:left w:val="nil"/>
              <w:bottom w:val="single" w:sz="4" w:space="0" w:color="auto"/>
              <w:right w:val="single" w:sz="4" w:space="0" w:color="auto"/>
            </w:tcBorders>
            <w:shd w:val="clear" w:color="auto" w:fill="auto"/>
            <w:noWrap/>
            <w:vAlign w:val="center"/>
            <w:hideMark/>
          </w:tcPr>
          <w:p w14:paraId="6A97AA1F"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830147341</w:t>
            </w:r>
          </w:p>
        </w:tc>
        <w:tc>
          <w:tcPr>
            <w:tcW w:w="4844" w:type="dxa"/>
            <w:tcBorders>
              <w:top w:val="nil"/>
              <w:left w:val="nil"/>
              <w:bottom w:val="single" w:sz="4" w:space="0" w:color="auto"/>
              <w:right w:val="single" w:sz="4" w:space="0" w:color="auto"/>
            </w:tcBorders>
            <w:shd w:val="clear" w:color="auto" w:fill="auto"/>
            <w:vAlign w:val="center"/>
            <w:hideMark/>
          </w:tcPr>
          <w:p w14:paraId="576654E1"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COMERCIALIZADORA DEL CAFE S.A.S. E.S.P.</w:t>
            </w:r>
          </w:p>
        </w:tc>
        <w:tc>
          <w:tcPr>
            <w:tcW w:w="1600" w:type="dxa"/>
            <w:tcBorders>
              <w:top w:val="nil"/>
              <w:left w:val="nil"/>
              <w:bottom w:val="single" w:sz="4" w:space="0" w:color="auto"/>
              <w:right w:val="single" w:sz="4" w:space="0" w:color="auto"/>
            </w:tcBorders>
            <w:shd w:val="clear" w:color="auto" w:fill="auto"/>
            <w:noWrap/>
            <w:vAlign w:val="center"/>
            <w:hideMark/>
          </w:tcPr>
          <w:p w14:paraId="0BD331FB"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164.211.509 </w:t>
            </w:r>
          </w:p>
        </w:tc>
        <w:tc>
          <w:tcPr>
            <w:tcW w:w="1660" w:type="dxa"/>
            <w:tcBorders>
              <w:top w:val="nil"/>
              <w:left w:val="nil"/>
              <w:bottom w:val="single" w:sz="4" w:space="0" w:color="auto"/>
              <w:right w:val="single" w:sz="4" w:space="0" w:color="auto"/>
            </w:tcBorders>
            <w:shd w:val="clear" w:color="auto" w:fill="auto"/>
            <w:noWrap/>
            <w:vAlign w:val="center"/>
            <w:hideMark/>
          </w:tcPr>
          <w:p w14:paraId="40310F6C"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194.266.820 </w:t>
            </w:r>
          </w:p>
        </w:tc>
      </w:tr>
      <w:tr w:rsidR="009838E7" w:rsidRPr="009838E7" w14:paraId="6FC3761F"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151F0458"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72</w:t>
            </w:r>
          </w:p>
        </w:tc>
        <w:tc>
          <w:tcPr>
            <w:tcW w:w="505" w:type="dxa"/>
            <w:tcBorders>
              <w:top w:val="nil"/>
              <w:left w:val="nil"/>
              <w:bottom w:val="single" w:sz="4" w:space="0" w:color="auto"/>
              <w:right w:val="single" w:sz="4" w:space="0" w:color="auto"/>
            </w:tcBorders>
            <w:shd w:val="clear" w:color="auto" w:fill="auto"/>
            <w:noWrap/>
            <w:vAlign w:val="center"/>
            <w:hideMark/>
          </w:tcPr>
          <w:p w14:paraId="61F65160"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20518</w:t>
            </w:r>
          </w:p>
        </w:tc>
        <w:tc>
          <w:tcPr>
            <w:tcW w:w="797" w:type="dxa"/>
            <w:tcBorders>
              <w:top w:val="nil"/>
              <w:left w:val="nil"/>
              <w:bottom w:val="single" w:sz="4" w:space="0" w:color="auto"/>
              <w:right w:val="single" w:sz="4" w:space="0" w:color="auto"/>
            </w:tcBorders>
            <w:shd w:val="clear" w:color="auto" w:fill="auto"/>
            <w:noWrap/>
            <w:vAlign w:val="center"/>
            <w:hideMark/>
          </w:tcPr>
          <w:p w14:paraId="419CAC90"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830510717</w:t>
            </w:r>
          </w:p>
        </w:tc>
        <w:tc>
          <w:tcPr>
            <w:tcW w:w="4844" w:type="dxa"/>
            <w:tcBorders>
              <w:top w:val="nil"/>
              <w:left w:val="nil"/>
              <w:bottom w:val="single" w:sz="4" w:space="0" w:color="auto"/>
              <w:right w:val="single" w:sz="4" w:space="0" w:color="auto"/>
            </w:tcBorders>
            <w:shd w:val="clear" w:color="auto" w:fill="auto"/>
            <w:vAlign w:val="center"/>
            <w:hideMark/>
          </w:tcPr>
          <w:p w14:paraId="3294DE3D" w14:textId="79C93081"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SURCOLOMBIANA DE GAS S.A E.S.P</w:t>
            </w:r>
            <w:r w:rsidR="006F2D43">
              <w:rPr>
                <w:rFonts w:ascii="Arial Narrow" w:hAnsi="Arial Narrow" w:cs="Calibri"/>
                <w:color w:val="000000"/>
                <w:spacing w:val="0"/>
                <w:sz w:val="16"/>
                <w:szCs w:val="16"/>
                <w:lang w:eastAsia="es-CO"/>
              </w:rPr>
              <w:t>.</w:t>
            </w:r>
          </w:p>
        </w:tc>
        <w:tc>
          <w:tcPr>
            <w:tcW w:w="1600" w:type="dxa"/>
            <w:tcBorders>
              <w:top w:val="nil"/>
              <w:left w:val="nil"/>
              <w:bottom w:val="single" w:sz="4" w:space="0" w:color="auto"/>
              <w:right w:val="single" w:sz="4" w:space="0" w:color="auto"/>
            </w:tcBorders>
            <w:shd w:val="clear" w:color="auto" w:fill="auto"/>
            <w:noWrap/>
            <w:vAlign w:val="center"/>
            <w:hideMark/>
          </w:tcPr>
          <w:p w14:paraId="141EA068"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3.764.821.472 </w:t>
            </w:r>
          </w:p>
        </w:tc>
        <w:tc>
          <w:tcPr>
            <w:tcW w:w="1660" w:type="dxa"/>
            <w:tcBorders>
              <w:top w:val="nil"/>
              <w:left w:val="nil"/>
              <w:bottom w:val="single" w:sz="4" w:space="0" w:color="auto"/>
              <w:right w:val="single" w:sz="4" w:space="0" w:color="auto"/>
            </w:tcBorders>
            <w:shd w:val="clear" w:color="auto" w:fill="auto"/>
            <w:noWrap/>
            <w:vAlign w:val="center"/>
            <w:hideMark/>
          </w:tcPr>
          <w:p w14:paraId="75FC6BE0"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5.085.918.301 </w:t>
            </w:r>
          </w:p>
        </w:tc>
      </w:tr>
      <w:tr w:rsidR="009838E7" w:rsidRPr="009838E7" w14:paraId="48B914FE"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389765F1"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73</w:t>
            </w:r>
          </w:p>
        </w:tc>
        <w:tc>
          <w:tcPr>
            <w:tcW w:w="505" w:type="dxa"/>
            <w:tcBorders>
              <w:top w:val="nil"/>
              <w:left w:val="nil"/>
              <w:bottom w:val="single" w:sz="4" w:space="0" w:color="auto"/>
              <w:right w:val="single" w:sz="4" w:space="0" w:color="auto"/>
            </w:tcBorders>
            <w:shd w:val="clear" w:color="auto" w:fill="auto"/>
            <w:noWrap/>
            <w:vAlign w:val="center"/>
            <w:hideMark/>
          </w:tcPr>
          <w:p w14:paraId="232EB0EF"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2923</w:t>
            </w:r>
          </w:p>
        </w:tc>
        <w:tc>
          <w:tcPr>
            <w:tcW w:w="797" w:type="dxa"/>
            <w:tcBorders>
              <w:top w:val="nil"/>
              <w:left w:val="nil"/>
              <w:bottom w:val="single" w:sz="4" w:space="0" w:color="auto"/>
              <w:right w:val="single" w:sz="4" w:space="0" w:color="auto"/>
            </w:tcBorders>
            <w:shd w:val="clear" w:color="auto" w:fill="auto"/>
            <w:noWrap/>
            <w:vAlign w:val="center"/>
            <w:hideMark/>
          </w:tcPr>
          <w:p w14:paraId="51468742"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834001051</w:t>
            </w:r>
          </w:p>
        </w:tc>
        <w:tc>
          <w:tcPr>
            <w:tcW w:w="4844" w:type="dxa"/>
            <w:tcBorders>
              <w:top w:val="nil"/>
              <w:left w:val="nil"/>
              <w:bottom w:val="single" w:sz="4" w:space="0" w:color="auto"/>
              <w:right w:val="single" w:sz="4" w:space="0" w:color="auto"/>
            </w:tcBorders>
            <w:shd w:val="clear" w:color="auto" w:fill="auto"/>
            <w:vAlign w:val="center"/>
            <w:hideMark/>
          </w:tcPr>
          <w:p w14:paraId="19BFBEED"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DISTRIBUIDORA DE GAS MONZAGAS S.A. E.S.P.</w:t>
            </w:r>
          </w:p>
        </w:tc>
        <w:tc>
          <w:tcPr>
            <w:tcW w:w="1600" w:type="dxa"/>
            <w:tcBorders>
              <w:top w:val="nil"/>
              <w:left w:val="nil"/>
              <w:bottom w:val="single" w:sz="4" w:space="0" w:color="auto"/>
              <w:right w:val="single" w:sz="4" w:space="0" w:color="auto"/>
            </w:tcBorders>
            <w:shd w:val="clear" w:color="auto" w:fill="auto"/>
            <w:noWrap/>
            <w:vAlign w:val="center"/>
            <w:hideMark/>
          </w:tcPr>
          <w:p w14:paraId="6C0C5CAB"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121.196.194 </w:t>
            </w:r>
          </w:p>
        </w:tc>
        <w:tc>
          <w:tcPr>
            <w:tcW w:w="1660" w:type="dxa"/>
            <w:tcBorders>
              <w:top w:val="nil"/>
              <w:left w:val="nil"/>
              <w:bottom w:val="single" w:sz="4" w:space="0" w:color="auto"/>
              <w:right w:val="single" w:sz="4" w:space="0" w:color="auto"/>
            </w:tcBorders>
            <w:shd w:val="clear" w:color="auto" w:fill="auto"/>
            <w:noWrap/>
            <w:vAlign w:val="center"/>
            <w:hideMark/>
          </w:tcPr>
          <w:p w14:paraId="314BEC68"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873.445.124 </w:t>
            </w:r>
          </w:p>
        </w:tc>
      </w:tr>
      <w:tr w:rsidR="009838E7" w:rsidRPr="009838E7" w14:paraId="12C67ED3"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7F672B7D"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74</w:t>
            </w:r>
          </w:p>
        </w:tc>
        <w:tc>
          <w:tcPr>
            <w:tcW w:w="505" w:type="dxa"/>
            <w:tcBorders>
              <w:top w:val="nil"/>
              <w:left w:val="nil"/>
              <w:bottom w:val="single" w:sz="4" w:space="0" w:color="auto"/>
              <w:right w:val="single" w:sz="4" w:space="0" w:color="auto"/>
            </w:tcBorders>
            <w:shd w:val="clear" w:color="auto" w:fill="auto"/>
            <w:noWrap/>
            <w:vAlign w:val="center"/>
            <w:hideMark/>
          </w:tcPr>
          <w:p w14:paraId="33FC44BC"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1892</w:t>
            </w:r>
          </w:p>
        </w:tc>
        <w:tc>
          <w:tcPr>
            <w:tcW w:w="797" w:type="dxa"/>
            <w:tcBorders>
              <w:top w:val="nil"/>
              <w:left w:val="nil"/>
              <w:bottom w:val="single" w:sz="4" w:space="0" w:color="auto"/>
              <w:right w:val="single" w:sz="4" w:space="0" w:color="auto"/>
            </w:tcBorders>
            <w:shd w:val="clear" w:color="auto" w:fill="auto"/>
            <w:noWrap/>
            <w:vAlign w:val="center"/>
            <w:hideMark/>
          </w:tcPr>
          <w:p w14:paraId="6FE5B08B"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835000142</w:t>
            </w:r>
          </w:p>
        </w:tc>
        <w:tc>
          <w:tcPr>
            <w:tcW w:w="4844" w:type="dxa"/>
            <w:tcBorders>
              <w:top w:val="nil"/>
              <w:left w:val="nil"/>
              <w:bottom w:val="single" w:sz="4" w:space="0" w:color="auto"/>
              <w:right w:val="single" w:sz="4" w:space="0" w:color="auto"/>
            </w:tcBorders>
            <w:shd w:val="clear" w:color="auto" w:fill="auto"/>
            <w:vAlign w:val="center"/>
            <w:hideMark/>
          </w:tcPr>
          <w:p w14:paraId="59B2B2F0" w14:textId="19D05602"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EMPRESA DE ENERGÍA DE GUAPI S.A. E.S.P.</w:t>
            </w:r>
          </w:p>
        </w:tc>
        <w:tc>
          <w:tcPr>
            <w:tcW w:w="1600" w:type="dxa"/>
            <w:tcBorders>
              <w:top w:val="nil"/>
              <w:left w:val="nil"/>
              <w:bottom w:val="single" w:sz="4" w:space="0" w:color="auto"/>
              <w:right w:val="single" w:sz="4" w:space="0" w:color="auto"/>
            </w:tcBorders>
            <w:shd w:val="clear" w:color="auto" w:fill="auto"/>
            <w:noWrap/>
            <w:vAlign w:val="center"/>
            <w:hideMark/>
          </w:tcPr>
          <w:p w14:paraId="37879780"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982.820.952 </w:t>
            </w:r>
          </w:p>
        </w:tc>
        <w:tc>
          <w:tcPr>
            <w:tcW w:w="1660" w:type="dxa"/>
            <w:tcBorders>
              <w:top w:val="nil"/>
              <w:left w:val="nil"/>
              <w:bottom w:val="single" w:sz="4" w:space="0" w:color="auto"/>
              <w:right w:val="single" w:sz="4" w:space="0" w:color="auto"/>
            </w:tcBorders>
            <w:shd w:val="clear" w:color="auto" w:fill="auto"/>
            <w:noWrap/>
            <w:vAlign w:val="center"/>
            <w:hideMark/>
          </w:tcPr>
          <w:p w14:paraId="67CBDC12"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667.241.000 </w:t>
            </w:r>
          </w:p>
        </w:tc>
      </w:tr>
      <w:tr w:rsidR="009838E7" w:rsidRPr="009838E7" w14:paraId="142213C1"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63FC27C9"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75</w:t>
            </w:r>
          </w:p>
        </w:tc>
        <w:tc>
          <w:tcPr>
            <w:tcW w:w="505" w:type="dxa"/>
            <w:tcBorders>
              <w:top w:val="nil"/>
              <w:left w:val="nil"/>
              <w:bottom w:val="single" w:sz="4" w:space="0" w:color="auto"/>
              <w:right w:val="single" w:sz="4" w:space="0" w:color="auto"/>
            </w:tcBorders>
            <w:shd w:val="clear" w:color="auto" w:fill="auto"/>
            <w:noWrap/>
            <w:vAlign w:val="center"/>
            <w:hideMark/>
          </w:tcPr>
          <w:p w14:paraId="5B8F40A1"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2170</w:t>
            </w:r>
          </w:p>
        </w:tc>
        <w:tc>
          <w:tcPr>
            <w:tcW w:w="797" w:type="dxa"/>
            <w:tcBorders>
              <w:top w:val="nil"/>
              <w:left w:val="nil"/>
              <w:bottom w:val="single" w:sz="4" w:space="0" w:color="auto"/>
              <w:right w:val="single" w:sz="4" w:space="0" w:color="auto"/>
            </w:tcBorders>
            <w:shd w:val="clear" w:color="auto" w:fill="auto"/>
            <w:noWrap/>
            <w:vAlign w:val="center"/>
            <w:hideMark/>
          </w:tcPr>
          <w:p w14:paraId="21AF4EEF"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842000030</w:t>
            </w:r>
          </w:p>
        </w:tc>
        <w:tc>
          <w:tcPr>
            <w:tcW w:w="4844" w:type="dxa"/>
            <w:tcBorders>
              <w:top w:val="nil"/>
              <w:left w:val="nil"/>
              <w:bottom w:val="single" w:sz="4" w:space="0" w:color="auto"/>
              <w:right w:val="single" w:sz="4" w:space="0" w:color="auto"/>
            </w:tcBorders>
            <w:shd w:val="clear" w:color="auto" w:fill="auto"/>
            <w:vAlign w:val="center"/>
            <w:hideMark/>
          </w:tcPr>
          <w:p w14:paraId="5D73F69F"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EMPRESA SIGLO XXI EICE ESP</w:t>
            </w:r>
          </w:p>
        </w:tc>
        <w:tc>
          <w:tcPr>
            <w:tcW w:w="1600" w:type="dxa"/>
            <w:tcBorders>
              <w:top w:val="nil"/>
              <w:left w:val="nil"/>
              <w:bottom w:val="single" w:sz="4" w:space="0" w:color="auto"/>
              <w:right w:val="single" w:sz="4" w:space="0" w:color="auto"/>
            </w:tcBorders>
            <w:shd w:val="clear" w:color="auto" w:fill="auto"/>
            <w:noWrap/>
            <w:vAlign w:val="center"/>
            <w:hideMark/>
          </w:tcPr>
          <w:p w14:paraId="44C91CC2"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433.071.067 </w:t>
            </w:r>
          </w:p>
        </w:tc>
        <w:tc>
          <w:tcPr>
            <w:tcW w:w="1660" w:type="dxa"/>
            <w:tcBorders>
              <w:top w:val="nil"/>
              <w:left w:val="nil"/>
              <w:bottom w:val="single" w:sz="4" w:space="0" w:color="auto"/>
              <w:right w:val="single" w:sz="4" w:space="0" w:color="auto"/>
            </w:tcBorders>
            <w:shd w:val="clear" w:color="auto" w:fill="auto"/>
            <w:noWrap/>
            <w:vAlign w:val="center"/>
            <w:hideMark/>
          </w:tcPr>
          <w:p w14:paraId="72612700"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562.687.869 </w:t>
            </w:r>
          </w:p>
        </w:tc>
      </w:tr>
      <w:tr w:rsidR="009838E7" w:rsidRPr="009838E7" w14:paraId="375386CA"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7A5C8430"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76</w:t>
            </w:r>
          </w:p>
        </w:tc>
        <w:tc>
          <w:tcPr>
            <w:tcW w:w="505" w:type="dxa"/>
            <w:tcBorders>
              <w:top w:val="nil"/>
              <w:left w:val="nil"/>
              <w:bottom w:val="single" w:sz="4" w:space="0" w:color="auto"/>
              <w:right w:val="single" w:sz="4" w:space="0" w:color="auto"/>
            </w:tcBorders>
            <w:shd w:val="clear" w:color="auto" w:fill="auto"/>
            <w:noWrap/>
            <w:vAlign w:val="center"/>
            <w:hideMark/>
          </w:tcPr>
          <w:p w14:paraId="4A4824AA"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3370</w:t>
            </w:r>
          </w:p>
        </w:tc>
        <w:tc>
          <w:tcPr>
            <w:tcW w:w="797" w:type="dxa"/>
            <w:tcBorders>
              <w:top w:val="nil"/>
              <w:left w:val="nil"/>
              <w:bottom w:val="single" w:sz="4" w:space="0" w:color="auto"/>
              <w:right w:val="single" w:sz="4" w:space="0" w:color="auto"/>
            </w:tcBorders>
            <w:shd w:val="clear" w:color="auto" w:fill="auto"/>
            <w:noWrap/>
            <w:vAlign w:val="center"/>
            <w:hideMark/>
          </w:tcPr>
          <w:p w14:paraId="4CB37815"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844004576</w:t>
            </w:r>
          </w:p>
        </w:tc>
        <w:tc>
          <w:tcPr>
            <w:tcW w:w="4844" w:type="dxa"/>
            <w:tcBorders>
              <w:top w:val="nil"/>
              <w:left w:val="nil"/>
              <w:bottom w:val="single" w:sz="4" w:space="0" w:color="auto"/>
              <w:right w:val="single" w:sz="4" w:space="0" w:color="auto"/>
            </w:tcBorders>
            <w:shd w:val="clear" w:color="auto" w:fill="auto"/>
            <w:vAlign w:val="center"/>
            <w:hideMark/>
          </w:tcPr>
          <w:p w14:paraId="1C128DCE"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EMPRESA DE ENERGIA DE CASANARE SA ESP</w:t>
            </w:r>
          </w:p>
        </w:tc>
        <w:tc>
          <w:tcPr>
            <w:tcW w:w="1600" w:type="dxa"/>
            <w:tcBorders>
              <w:top w:val="nil"/>
              <w:left w:val="nil"/>
              <w:bottom w:val="single" w:sz="4" w:space="0" w:color="auto"/>
              <w:right w:val="single" w:sz="4" w:space="0" w:color="auto"/>
            </w:tcBorders>
            <w:shd w:val="clear" w:color="auto" w:fill="auto"/>
            <w:noWrap/>
            <w:vAlign w:val="center"/>
            <w:hideMark/>
          </w:tcPr>
          <w:p w14:paraId="0ED6D8F4"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6.418.808.034 </w:t>
            </w:r>
          </w:p>
        </w:tc>
        <w:tc>
          <w:tcPr>
            <w:tcW w:w="1660" w:type="dxa"/>
            <w:tcBorders>
              <w:top w:val="nil"/>
              <w:left w:val="nil"/>
              <w:bottom w:val="single" w:sz="4" w:space="0" w:color="auto"/>
              <w:right w:val="single" w:sz="4" w:space="0" w:color="auto"/>
            </w:tcBorders>
            <w:shd w:val="clear" w:color="auto" w:fill="auto"/>
            <w:noWrap/>
            <w:vAlign w:val="center"/>
            <w:hideMark/>
          </w:tcPr>
          <w:p w14:paraId="634DB632"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7.183.550.398 </w:t>
            </w:r>
          </w:p>
        </w:tc>
      </w:tr>
      <w:tr w:rsidR="009838E7" w:rsidRPr="009838E7" w14:paraId="7C6A7942"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1A66B912"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77</w:t>
            </w:r>
          </w:p>
        </w:tc>
        <w:tc>
          <w:tcPr>
            <w:tcW w:w="505" w:type="dxa"/>
            <w:tcBorders>
              <w:top w:val="nil"/>
              <w:left w:val="nil"/>
              <w:bottom w:val="single" w:sz="4" w:space="0" w:color="auto"/>
              <w:right w:val="single" w:sz="4" w:space="0" w:color="auto"/>
            </w:tcBorders>
            <w:shd w:val="clear" w:color="auto" w:fill="auto"/>
            <w:noWrap/>
            <w:vAlign w:val="center"/>
            <w:hideMark/>
          </w:tcPr>
          <w:p w14:paraId="71D6982A"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2016</w:t>
            </w:r>
          </w:p>
        </w:tc>
        <w:tc>
          <w:tcPr>
            <w:tcW w:w="797" w:type="dxa"/>
            <w:tcBorders>
              <w:top w:val="nil"/>
              <w:left w:val="nil"/>
              <w:bottom w:val="single" w:sz="4" w:space="0" w:color="auto"/>
              <w:right w:val="single" w:sz="4" w:space="0" w:color="auto"/>
            </w:tcBorders>
            <w:shd w:val="clear" w:color="auto" w:fill="auto"/>
            <w:noWrap/>
            <w:vAlign w:val="center"/>
            <w:hideMark/>
          </w:tcPr>
          <w:p w14:paraId="50987F0A"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846000241</w:t>
            </w:r>
          </w:p>
        </w:tc>
        <w:tc>
          <w:tcPr>
            <w:tcW w:w="4844" w:type="dxa"/>
            <w:tcBorders>
              <w:top w:val="nil"/>
              <w:left w:val="nil"/>
              <w:bottom w:val="single" w:sz="4" w:space="0" w:color="auto"/>
              <w:right w:val="single" w:sz="4" w:space="0" w:color="auto"/>
            </w:tcBorders>
            <w:shd w:val="clear" w:color="auto" w:fill="auto"/>
            <w:vAlign w:val="center"/>
            <w:hideMark/>
          </w:tcPr>
          <w:p w14:paraId="054E7F2C"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EMPRESA DE ENERGIA DEL PUTUMAYO S.A. ESP</w:t>
            </w:r>
          </w:p>
        </w:tc>
        <w:tc>
          <w:tcPr>
            <w:tcW w:w="1600" w:type="dxa"/>
            <w:tcBorders>
              <w:top w:val="nil"/>
              <w:left w:val="nil"/>
              <w:bottom w:val="single" w:sz="4" w:space="0" w:color="auto"/>
              <w:right w:val="single" w:sz="4" w:space="0" w:color="auto"/>
            </w:tcBorders>
            <w:shd w:val="clear" w:color="auto" w:fill="auto"/>
            <w:noWrap/>
            <w:vAlign w:val="center"/>
            <w:hideMark/>
          </w:tcPr>
          <w:p w14:paraId="2F717AF9"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3.325.293.118 </w:t>
            </w:r>
          </w:p>
        </w:tc>
        <w:tc>
          <w:tcPr>
            <w:tcW w:w="1660" w:type="dxa"/>
            <w:tcBorders>
              <w:top w:val="nil"/>
              <w:left w:val="nil"/>
              <w:bottom w:val="single" w:sz="4" w:space="0" w:color="auto"/>
              <w:right w:val="single" w:sz="4" w:space="0" w:color="auto"/>
            </w:tcBorders>
            <w:shd w:val="clear" w:color="auto" w:fill="auto"/>
            <w:noWrap/>
            <w:vAlign w:val="center"/>
            <w:hideMark/>
          </w:tcPr>
          <w:p w14:paraId="2F8780F1"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4.552.879.903 </w:t>
            </w:r>
          </w:p>
        </w:tc>
      </w:tr>
      <w:tr w:rsidR="009838E7" w:rsidRPr="009838E7" w14:paraId="430A9B00"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1BBAE5C5"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78</w:t>
            </w:r>
          </w:p>
        </w:tc>
        <w:tc>
          <w:tcPr>
            <w:tcW w:w="505" w:type="dxa"/>
            <w:tcBorders>
              <w:top w:val="nil"/>
              <w:left w:val="nil"/>
              <w:bottom w:val="single" w:sz="4" w:space="0" w:color="auto"/>
              <w:right w:val="single" w:sz="4" w:space="0" w:color="auto"/>
            </w:tcBorders>
            <w:shd w:val="clear" w:color="auto" w:fill="auto"/>
            <w:noWrap/>
            <w:vAlign w:val="center"/>
            <w:hideMark/>
          </w:tcPr>
          <w:p w14:paraId="6C0D75BB"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2371</w:t>
            </w:r>
          </w:p>
        </w:tc>
        <w:tc>
          <w:tcPr>
            <w:tcW w:w="797" w:type="dxa"/>
            <w:tcBorders>
              <w:top w:val="nil"/>
              <w:left w:val="nil"/>
              <w:bottom w:val="single" w:sz="4" w:space="0" w:color="auto"/>
              <w:right w:val="single" w:sz="4" w:space="0" w:color="auto"/>
            </w:tcBorders>
            <w:shd w:val="clear" w:color="auto" w:fill="auto"/>
            <w:noWrap/>
            <w:vAlign w:val="center"/>
            <w:hideMark/>
          </w:tcPr>
          <w:p w14:paraId="5B6A657E"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846000553</w:t>
            </w:r>
          </w:p>
        </w:tc>
        <w:tc>
          <w:tcPr>
            <w:tcW w:w="4844" w:type="dxa"/>
            <w:tcBorders>
              <w:top w:val="nil"/>
              <w:left w:val="nil"/>
              <w:bottom w:val="single" w:sz="4" w:space="0" w:color="auto"/>
              <w:right w:val="single" w:sz="4" w:space="0" w:color="auto"/>
            </w:tcBorders>
            <w:shd w:val="clear" w:color="auto" w:fill="auto"/>
            <w:vAlign w:val="center"/>
            <w:hideMark/>
          </w:tcPr>
          <w:p w14:paraId="1BC4759B" w14:textId="3EB29F20"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EMPRESA DE ENERGIA DEL BAJO PUTUMAYO S.A.  E.S.P.</w:t>
            </w:r>
          </w:p>
        </w:tc>
        <w:tc>
          <w:tcPr>
            <w:tcW w:w="1600" w:type="dxa"/>
            <w:tcBorders>
              <w:top w:val="nil"/>
              <w:left w:val="nil"/>
              <w:bottom w:val="single" w:sz="4" w:space="0" w:color="auto"/>
              <w:right w:val="single" w:sz="4" w:space="0" w:color="auto"/>
            </w:tcBorders>
            <w:shd w:val="clear" w:color="auto" w:fill="auto"/>
            <w:noWrap/>
            <w:vAlign w:val="center"/>
            <w:hideMark/>
          </w:tcPr>
          <w:p w14:paraId="5AE08530"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4.064.459.192 </w:t>
            </w:r>
          </w:p>
        </w:tc>
        <w:tc>
          <w:tcPr>
            <w:tcW w:w="1660" w:type="dxa"/>
            <w:tcBorders>
              <w:top w:val="nil"/>
              <w:left w:val="nil"/>
              <w:bottom w:val="single" w:sz="4" w:space="0" w:color="auto"/>
              <w:right w:val="single" w:sz="4" w:space="0" w:color="auto"/>
            </w:tcBorders>
            <w:shd w:val="clear" w:color="auto" w:fill="auto"/>
            <w:noWrap/>
            <w:vAlign w:val="center"/>
            <w:hideMark/>
          </w:tcPr>
          <w:p w14:paraId="72626005"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3.944.681.081 </w:t>
            </w:r>
          </w:p>
        </w:tc>
      </w:tr>
      <w:tr w:rsidR="009838E7" w:rsidRPr="009838E7" w14:paraId="4EE2E72C"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08E91A28"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79</w:t>
            </w:r>
          </w:p>
        </w:tc>
        <w:tc>
          <w:tcPr>
            <w:tcW w:w="505" w:type="dxa"/>
            <w:tcBorders>
              <w:top w:val="nil"/>
              <w:left w:val="nil"/>
              <w:bottom w:val="single" w:sz="4" w:space="0" w:color="auto"/>
              <w:right w:val="single" w:sz="4" w:space="0" w:color="auto"/>
            </w:tcBorders>
            <w:shd w:val="clear" w:color="auto" w:fill="auto"/>
            <w:noWrap/>
            <w:vAlign w:val="center"/>
            <w:hideMark/>
          </w:tcPr>
          <w:p w14:paraId="719D2B1F"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592</w:t>
            </w:r>
          </w:p>
        </w:tc>
        <w:tc>
          <w:tcPr>
            <w:tcW w:w="797" w:type="dxa"/>
            <w:tcBorders>
              <w:top w:val="nil"/>
              <w:left w:val="nil"/>
              <w:bottom w:val="single" w:sz="4" w:space="0" w:color="auto"/>
              <w:right w:val="single" w:sz="4" w:space="0" w:color="auto"/>
            </w:tcBorders>
            <w:shd w:val="clear" w:color="auto" w:fill="auto"/>
            <w:noWrap/>
            <w:vAlign w:val="center"/>
            <w:hideMark/>
          </w:tcPr>
          <w:p w14:paraId="358C461D"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860016610</w:t>
            </w:r>
          </w:p>
        </w:tc>
        <w:tc>
          <w:tcPr>
            <w:tcW w:w="4844" w:type="dxa"/>
            <w:tcBorders>
              <w:top w:val="nil"/>
              <w:left w:val="nil"/>
              <w:bottom w:val="single" w:sz="4" w:space="0" w:color="auto"/>
              <w:right w:val="single" w:sz="4" w:space="0" w:color="auto"/>
            </w:tcBorders>
            <w:shd w:val="clear" w:color="auto" w:fill="auto"/>
            <w:vAlign w:val="center"/>
            <w:hideMark/>
          </w:tcPr>
          <w:p w14:paraId="616A9821"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INTERCONEXION ELECTRICA S.A. E.S.P.</w:t>
            </w:r>
          </w:p>
        </w:tc>
        <w:tc>
          <w:tcPr>
            <w:tcW w:w="1600" w:type="dxa"/>
            <w:tcBorders>
              <w:top w:val="nil"/>
              <w:left w:val="nil"/>
              <w:bottom w:val="single" w:sz="4" w:space="0" w:color="auto"/>
              <w:right w:val="single" w:sz="4" w:space="0" w:color="auto"/>
            </w:tcBorders>
            <w:shd w:val="clear" w:color="auto" w:fill="auto"/>
            <w:noWrap/>
            <w:vAlign w:val="center"/>
            <w:hideMark/>
          </w:tcPr>
          <w:p w14:paraId="515B22C6"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12.040.753.000 </w:t>
            </w:r>
          </w:p>
        </w:tc>
        <w:tc>
          <w:tcPr>
            <w:tcW w:w="1660" w:type="dxa"/>
            <w:tcBorders>
              <w:top w:val="nil"/>
              <w:left w:val="nil"/>
              <w:bottom w:val="single" w:sz="4" w:space="0" w:color="auto"/>
              <w:right w:val="single" w:sz="4" w:space="0" w:color="auto"/>
            </w:tcBorders>
            <w:shd w:val="clear" w:color="auto" w:fill="auto"/>
            <w:noWrap/>
            <w:vAlign w:val="center"/>
            <w:hideMark/>
          </w:tcPr>
          <w:p w14:paraId="3051D847"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12.962.331.000 </w:t>
            </w:r>
          </w:p>
        </w:tc>
      </w:tr>
      <w:tr w:rsidR="009838E7" w:rsidRPr="009838E7" w14:paraId="0889F38A"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71CB527B"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80</w:t>
            </w:r>
          </w:p>
        </w:tc>
        <w:tc>
          <w:tcPr>
            <w:tcW w:w="505" w:type="dxa"/>
            <w:tcBorders>
              <w:top w:val="nil"/>
              <w:left w:val="nil"/>
              <w:bottom w:val="single" w:sz="4" w:space="0" w:color="auto"/>
              <w:right w:val="single" w:sz="4" w:space="0" w:color="auto"/>
            </w:tcBorders>
            <w:shd w:val="clear" w:color="auto" w:fill="auto"/>
            <w:noWrap/>
            <w:vAlign w:val="center"/>
            <w:hideMark/>
          </w:tcPr>
          <w:p w14:paraId="20282E2C"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1714</w:t>
            </w:r>
          </w:p>
        </w:tc>
        <w:tc>
          <w:tcPr>
            <w:tcW w:w="797" w:type="dxa"/>
            <w:tcBorders>
              <w:top w:val="nil"/>
              <w:left w:val="nil"/>
              <w:bottom w:val="single" w:sz="4" w:space="0" w:color="auto"/>
              <w:right w:val="single" w:sz="4" w:space="0" w:color="auto"/>
            </w:tcBorders>
            <w:shd w:val="clear" w:color="auto" w:fill="auto"/>
            <w:noWrap/>
            <w:vAlign w:val="center"/>
            <w:hideMark/>
          </w:tcPr>
          <w:p w14:paraId="408020A1"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860025611</w:t>
            </w:r>
          </w:p>
        </w:tc>
        <w:tc>
          <w:tcPr>
            <w:tcW w:w="4844" w:type="dxa"/>
            <w:tcBorders>
              <w:top w:val="nil"/>
              <w:left w:val="nil"/>
              <w:bottom w:val="single" w:sz="4" w:space="0" w:color="auto"/>
              <w:right w:val="single" w:sz="4" w:space="0" w:color="auto"/>
            </w:tcBorders>
            <w:shd w:val="clear" w:color="auto" w:fill="auto"/>
            <w:vAlign w:val="center"/>
            <w:hideMark/>
          </w:tcPr>
          <w:p w14:paraId="0E70A7BE"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VILLA GAS S.A. E.S.P.</w:t>
            </w:r>
          </w:p>
        </w:tc>
        <w:tc>
          <w:tcPr>
            <w:tcW w:w="1600" w:type="dxa"/>
            <w:tcBorders>
              <w:top w:val="nil"/>
              <w:left w:val="nil"/>
              <w:bottom w:val="single" w:sz="4" w:space="0" w:color="auto"/>
              <w:right w:val="single" w:sz="4" w:space="0" w:color="auto"/>
            </w:tcBorders>
            <w:shd w:val="clear" w:color="auto" w:fill="auto"/>
            <w:noWrap/>
            <w:vAlign w:val="center"/>
            <w:hideMark/>
          </w:tcPr>
          <w:p w14:paraId="12DFE30B"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469.058.438 </w:t>
            </w:r>
          </w:p>
        </w:tc>
        <w:tc>
          <w:tcPr>
            <w:tcW w:w="1660" w:type="dxa"/>
            <w:tcBorders>
              <w:top w:val="nil"/>
              <w:left w:val="nil"/>
              <w:bottom w:val="single" w:sz="4" w:space="0" w:color="auto"/>
              <w:right w:val="single" w:sz="4" w:space="0" w:color="auto"/>
            </w:tcBorders>
            <w:shd w:val="clear" w:color="auto" w:fill="auto"/>
            <w:noWrap/>
            <w:vAlign w:val="center"/>
            <w:hideMark/>
          </w:tcPr>
          <w:p w14:paraId="3215C742"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528.349.000 </w:t>
            </w:r>
          </w:p>
        </w:tc>
      </w:tr>
      <w:tr w:rsidR="009838E7" w:rsidRPr="009838E7" w14:paraId="42178F64"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2F50B054"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lastRenderedPageBreak/>
              <w:t>81</w:t>
            </w:r>
          </w:p>
        </w:tc>
        <w:tc>
          <w:tcPr>
            <w:tcW w:w="505" w:type="dxa"/>
            <w:tcBorders>
              <w:top w:val="nil"/>
              <w:left w:val="nil"/>
              <w:bottom w:val="single" w:sz="4" w:space="0" w:color="auto"/>
              <w:right w:val="single" w:sz="4" w:space="0" w:color="auto"/>
            </w:tcBorders>
            <w:shd w:val="clear" w:color="auto" w:fill="auto"/>
            <w:noWrap/>
            <w:vAlign w:val="center"/>
            <w:hideMark/>
          </w:tcPr>
          <w:p w14:paraId="45894D06"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976</w:t>
            </w:r>
          </w:p>
        </w:tc>
        <w:tc>
          <w:tcPr>
            <w:tcW w:w="797" w:type="dxa"/>
            <w:tcBorders>
              <w:top w:val="nil"/>
              <w:left w:val="nil"/>
              <w:bottom w:val="single" w:sz="4" w:space="0" w:color="auto"/>
              <w:right w:val="single" w:sz="4" w:space="0" w:color="auto"/>
            </w:tcBorders>
            <w:shd w:val="clear" w:color="auto" w:fill="auto"/>
            <w:noWrap/>
            <w:vAlign w:val="center"/>
            <w:hideMark/>
          </w:tcPr>
          <w:p w14:paraId="3F5CB619"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860026070</w:t>
            </w:r>
          </w:p>
        </w:tc>
        <w:tc>
          <w:tcPr>
            <w:tcW w:w="4844" w:type="dxa"/>
            <w:tcBorders>
              <w:top w:val="nil"/>
              <w:left w:val="nil"/>
              <w:bottom w:val="single" w:sz="4" w:space="0" w:color="auto"/>
              <w:right w:val="single" w:sz="4" w:space="0" w:color="auto"/>
            </w:tcBorders>
            <w:shd w:val="clear" w:color="auto" w:fill="auto"/>
            <w:vAlign w:val="center"/>
            <w:hideMark/>
          </w:tcPr>
          <w:p w14:paraId="62C2AB88" w14:textId="4BE65509"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GAS ZIPA SAS ESP</w:t>
            </w:r>
            <w:r w:rsidR="006F2D43">
              <w:rPr>
                <w:rFonts w:ascii="Arial Narrow" w:hAnsi="Arial Narrow" w:cs="Calibri"/>
                <w:color w:val="000000"/>
                <w:spacing w:val="0"/>
                <w:sz w:val="16"/>
                <w:szCs w:val="16"/>
                <w:lang w:eastAsia="es-CO"/>
              </w:rPr>
              <w:t>.</w:t>
            </w:r>
          </w:p>
        </w:tc>
        <w:tc>
          <w:tcPr>
            <w:tcW w:w="1600" w:type="dxa"/>
            <w:tcBorders>
              <w:top w:val="nil"/>
              <w:left w:val="nil"/>
              <w:bottom w:val="single" w:sz="4" w:space="0" w:color="auto"/>
              <w:right w:val="single" w:sz="4" w:space="0" w:color="auto"/>
            </w:tcBorders>
            <w:shd w:val="clear" w:color="auto" w:fill="auto"/>
            <w:noWrap/>
            <w:vAlign w:val="center"/>
            <w:hideMark/>
          </w:tcPr>
          <w:p w14:paraId="613B6110"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38.431.985.000 </w:t>
            </w:r>
          </w:p>
        </w:tc>
        <w:tc>
          <w:tcPr>
            <w:tcW w:w="1660" w:type="dxa"/>
            <w:tcBorders>
              <w:top w:val="nil"/>
              <w:left w:val="nil"/>
              <w:bottom w:val="single" w:sz="4" w:space="0" w:color="auto"/>
              <w:right w:val="single" w:sz="4" w:space="0" w:color="auto"/>
            </w:tcBorders>
            <w:shd w:val="clear" w:color="auto" w:fill="auto"/>
            <w:noWrap/>
            <w:vAlign w:val="center"/>
            <w:hideMark/>
          </w:tcPr>
          <w:p w14:paraId="3E0788CA"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2.770.088.702 </w:t>
            </w:r>
          </w:p>
        </w:tc>
      </w:tr>
      <w:tr w:rsidR="009838E7" w:rsidRPr="009838E7" w14:paraId="3BC57CB3"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1CE4B949"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82</w:t>
            </w:r>
          </w:p>
        </w:tc>
        <w:tc>
          <w:tcPr>
            <w:tcW w:w="505" w:type="dxa"/>
            <w:tcBorders>
              <w:top w:val="nil"/>
              <w:left w:val="nil"/>
              <w:bottom w:val="single" w:sz="4" w:space="0" w:color="auto"/>
              <w:right w:val="single" w:sz="4" w:space="0" w:color="auto"/>
            </w:tcBorders>
            <w:shd w:val="clear" w:color="auto" w:fill="auto"/>
            <w:noWrap/>
            <w:vAlign w:val="center"/>
            <w:hideMark/>
          </w:tcPr>
          <w:p w14:paraId="0DA4E3B7"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1634</w:t>
            </w:r>
          </w:p>
        </w:tc>
        <w:tc>
          <w:tcPr>
            <w:tcW w:w="797" w:type="dxa"/>
            <w:tcBorders>
              <w:top w:val="nil"/>
              <w:left w:val="nil"/>
              <w:bottom w:val="single" w:sz="4" w:space="0" w:color="auto"/>
              <w:right w:val="single" w:sz="4" w:space="0" w:color="auto"/>
            </w:tcBorders>
            <w:shd w:val="clear" w:color="auto" w:fill="auto"/>
            <w:noWrap/>
            <w:vAlign w:val="center"/>
            <w:hideMark/>
          </w:tcPr>
          <w:p w14:paraId="09C08DD2"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860033633</w:t>
            </w:r>
          </w:p>
        </w:tc>
        <w:tc>
          <w:tcPr>
            <w:tcW w:w="4844" w:type="dxa"/>
            <w:tcBorders>
              <w:top w:val="nil"/>
              <w:left w:val="nil"/>
              <w:bottom w:val="single" w:sz="4" w:space="0" w:color="auto"/>
              <w:right w:val="single" w:sz="4" w:space="0" w:color="auto"/>
            </w:tcBorders>
            <w:shd w:val="clear" w:color="auto" w:fill="auto"/>
            <w:vAlign w:val="center"/>
            <w:hideMark/>
          </w:tcPr>
          <w:p w14:paraId="3B0D5674"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RAYOGAS S.A. ESP</w:t>
            </w:r>
          </w:p>
        </w:tc>
        <w:tc>
          <w:tcPr>
            <w:tcW w:w="1600" w:type="dxa"/>
            <w:tcBorders>
              <w:top w:val="nil"/>
              <w:left w:val="nil"/>
              <w:bottom w:val="single" w:sz="4" w:space="0" w:color="auto"/>
              <w:right w:val="single" w:sz="4" w:space="0" w:color="auto"/>
            </w:tcBorders>
            <w:shd w:val="clear" w:color="auto" w:fill="auto"/>
            <w:noWrap/>
            <w:vAlign w:val="center"/>
            <w:hideMark/>
          </w:tcPr>
          <w:p w14:paraId="09BA7D94"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7.206.894.220 </w:t>
            </w:r>
          </w:p>
        </w:tc>
        <w:tc>
          <w:tcPr>
            <w:tcW w:w="1660" w:type="dxa"/>
            <w:tcBorders>
              <w:top w:val="nil"/>
              <w:left w:val="nil"/>
              <w:bottom w:val="single" w:sz="4" w:space="0" w:color="auto"/>
              <w:right w:val="single" w:sz="4" w:space="0" w:color="auto"/>
            </w:tcBorders>
            <w:shd w:val="clear" w:color="auto" w:fill="auto"/>
            <w:noWrap/>
            <w:vAlign w:val="center"/>
            <w:hideMark/>
          </w:tcPr>
          <w:p w14:paraId="52705DA6"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8.001.980.294 </w:t>
            </w:r>
          </w:p>
        </w:tc>
      </w:tr>
      <w:tr w:rsidR="009838E7" w:rsidRPr="009838E7" w14:paraId="7CD84320"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224DBF3D"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83</w:t>
            </w:r>
          </w:p>
        </w:tc>
        <w:tc>
          <w:tcPr>
            <w:tcW w:w="505" w:type="dxa"/>
            <w:tcBorders>
              <w:top w:val="nil"/>
              <w:left w:val="nil"/>
              <w:bottom w:val="single" w:sz="4" w:space="0" w:color="auto"/>
              <w:right w:val="single" w:sz="4" w:space="0" w:color="auto"/>
            </w:tcBorders>
            <w:shd w:val="clear" w:color="auto" w:fill="auto"/>
            <w:noWrap/>
            <w:vAlign w:val="center"/>
            <w:hideMark/>
          </w:tcPr>
          <w:p w14:paraId="1BAE4355"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597</w:t>
            </w:r>
          </w:p>
        </w:tc>
        <w:tc>
          <w:tcPr>
            <w:tcW w:w="797" w:type="dxa"/>
            <w:tcBorders>
              <w:top w:val="nil"/>
              <w:left w:val="nil"/>
              <w:bottom w:val="single" w:sz="4" w:space="0" w:color="auto"/>
              <w:right w:val="single" w:sz="4" w:space="0" w:color="auto"/>
            </w:tcBorders>
            <w:shd w:val="clear" w:color="auto" w:fill="auto"/>
            <w:noWrap/>
            <w:vAlign w:val="center"/>
            <w:hideMark/>
          </w:tcPr>
          <w:p w14:paraId="0759C1E3"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860063875</w:t>
            </w:r>
          </w:p>
        </w:tc>
        <w:tc>
          <w:tcPr>
            <w:tcW w:w="4844" w:type="dxa"/>
            <w:tcBorders>
              <w:top w:val="nil"/>
              <w:left w:val="nil"/>
              <w:bottom w:val="single" w:sz="4" w:space="0" w:color="auto"/>
              <w:right w:val="single" w:sz="4" w:space="0" w:color="auto"/>
            </w:tcBorders>
            <w:shd w:val="clear" w:color="auto" w:fill="auto"/>
            <w:vAlign w:val="center"/>
            <w:hideMark/>
          </w:tcPr>
          <w:p w14:paraId="196FE92D"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EMGESA S.A. E.S.P.</w:t>
            </w:r>
          </w:p>
        </w:tc>
        <w:tc>
          <w:tcPr>
            <w:tcW w:w="1600" w:type="dxa"/>
            <w:tcBorders>
              <w:top w:val="nil"/>
              <w:left w:val="nil"/>
              <w:bottom w:val="single" w:sz="4" w:space="0" w:color="auto"/>
              <w:right w:val="single" w:sz="4" w:space="0" w:color="auto"/>
            </w:tcBorders>
            <w:shd w:val="clear" w:color="auto" w:fill="auto"/>
            <w:noWrap/>
            <w:vAlign w:val="center"/>
            <w:hideMark/>
          </w:tcPr>
          <w:p w14:paraId="7551104D"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67.088.332.873 </w:t>
            </w:r>
          </w:p>
        </w:tc>
        <w:tc>
          <w:tcPr>
            <w:tcW w:w="1660" w:type="dxa"/>
            <w:tcBorders>
              <w:top w:val="nil"/>
              <w:left w:val="nil"/>
              <w:bottom w:val="single" w:sz="4" w:space="0" w:color="auto"/>
              <w:right w:val="single" w:sz="4" w:space="0" w:color="auto"/>
            </w:tcBorders>
            <w:shd w:val="clear" w:color="auto" w:fill="auto"/>
            <w:noWrap/>
            <w:vAlign w:val="center"/>
            <w:hideMark/>
          </w:tcPr>
          <w:p w14:paraId="41EB5993"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186.193.777.191 </w:t>
            </w:r>
          </w:p>
        </w:tc>
      </w:tr>
      <w:tr w:rsidR="009838E7" w:rsidRPr="009838E7" w14:paraId="5CBE7714"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0F9423F4"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84</w:t>
            </w:r>
          </w:p>
        </w:tc>
        <w:tc>
          <w:tcPr>
            <w:tcW w:w="505" w:type="dxa"/>
            <w:tcBorders>
              <w:top w:val="nil"/>
              <w:left w:val="nil"/>
              <w:bottom w:val="single" w:sz="4" w:space="0" w:color="auto"/>
              <w:right w:val="single" w:sz="4" w:space="0" w:color="auto"/>
            </w:tcBorders>
            <w:shd w:val="clear" w:color="auto" w:fill="auto"/>
            <w:noWrap/>
            <w:vAlign w:val="center"/>
            <w:hideMark/>
          </w:tcPr>
          <w:p w14:paraId="41340EE6"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22068</w:t>
            </w:r>
          </w:p>
        </w:tc>
        <w:tc>
          <w:tcPr>
            <w:tcW w:w="797" w:type="dxa"/>
            <w:tcBorders>
              <w:top w:val="nil"/>
              <w:left w:val="nil"/>
              <w:bottom w:val="single" w:sz="4" w:space="0" w:color="auto"/>
              <w:right w:val="single" w:sz="4" w:space="0" w:color="auto"/>
            </w:tcBorders>
            <w:shd w:val="clear" w:color="auto" w:fill="auto"/>
            <w:noWrap/>
            <w:vAlign w:val="center"/>
            <w:hideMark/>
          </w:tcPr>
          <w:p w14:paraId="052C5D6F"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860072134</w:t>
            </w:r>
          </w:p>
        </w:tc>
        <w:tc>
          <w:tcPr>
            <w:tcW w:w="4844" w:type="dxa"/>
            <w:tcBorders>
              <w:top w:val="nil"/>
              <w:left w:val="nil"/>
              <w:bottom w:val="single" w:sz="4" w:space="0" w:color="auto"/>
              <w:right w:val="single" w:sz="4" w:space="0" w:color="auto"/>
            </w:tcBorders>
            <w:shd w:val="clear" w:color="auto" w:fill="auto"/>
            <w:vAlign w:val="center"/>
            <w:hideMark/>
          </w:tcPr>
          <w:p w14:paraId="12091091" w14:textId="5E592770"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HOCOL S.A</w:t>
            </w:r>
            <w:r w:rsidR="006F2D43">
              <w:rPr>
                <w:rFonts w:ascii="Arial Narrow" w:hAnsi="Arial Narrow" w:cs="Calibri"/>
                <w:color w:val="000000"/>
                <w:spacing w:val="0"/>
                <w:sz w:val="16"/>
                <w:szCs w:val="16"/>
                <w:lang w:eastAsia="es-CO"/>
              </w:rPr>
              <w:t>.</w:t>
            </w:r>
          </w:p>
        </w:tc>
        <w:tc>
          <w:tcPr>
            <w:tcW w:w="1600" w:type="dxa"/>
            <w:tcBorders>
              <w:top w:val="nil"/>
              <w:left w:val="nil"/>
              <w:bottom w:val="single" w:sz="4" w:space="0" w:color="auto"/>
              <w:right w:val="single" w:sz="4" w:space="0" w:color="auto"/>
            </w:tcBorders>
            <w:shd w:val="clear" w:color="auto" w:fill="auto"/>
            <w:noWrap/>
            <w:vAlign w:val="center"/>
            <w:hideMark/>
          </w:tcPr>
          <w:p w14:paraId="00CD48B8"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19.600.173.211 </w:t>
            </w:r>
          </w:p>
        </w:tc>
        <w:tc>
          <w:tcPr>
            <w:tcW w:w="1660" w:type="dxa"/>
            <w:tcBorders>
              <w:top w:val="nil"/>
              <w:left w:val="nil"/>
              <w:bottom w:val="single" w:sz="4" w:space="0" w:color="auto"/>
              <w:right w:val="single" w:sz="4" w:space="0" w:color="auto"/>
            </w:tcBorders>
            <w:shd w:val="clear" w:color="auto" w:fill="auto"/>
            <w:noWrap/>
            <w:vAlign w:val="center"/>
            <w:hideMark/>
          </w:tcPr>
          <w:p w14:paraId="5E6B7D9A"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31.100.567.803 </w:t>
            </w:r>
          </w:p>
        </w:tc>
      </w:tr>
      <w:tr w:rsidR="009838E7" w:rsidRPr="009838E7" w14:paraId="36A04C62"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11EB226B"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85</w:t>
            </w:r>
          </w:p>
        </w:tc>
        <w:tc>
          <w:tcPr>
            <w:tcW w:w="505" w:type="dxa"/>
            <w:tcBorders>
              <w:top w:val="nil"/>
              <w:left w:val="nil"/>
              <w:bottom w:val="single" w:sz="4" w:space="0" w:color="auto"/>
              <w:right w:val="single" w:sz="4" w:space="0" w:color="auto"/>
            </w:tcBorders>
            <w:shd w:val="clear" w:color="auto" w:fill="auto"/>
            <w:noWrap/>
            <w:vAlign w:val="center"/>
            <w:hideMark/>
          </w:tcPr>
          <w:p w14:paraId="049428C8"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29311</w:t>
            </w:r>
          </w:p>
        </w:tc>
        <w:tc>
          <w:tcPr>
            <w:tcW w:w="797" w:type="dxa"/>
            <w:tcBorders>
              <w:top w:val="nil"/>
              <w:left w:val="nil"/>
              <w:bottom w:val="single" w:sz="4" w:space="0" w:color="auto"/>
              <w:right w:val="single" w:sz="4" w:space="0" w:color="auto"/>
            </w:tcBorders>
            <w:shd w:val="clear" w:color="auto" w:fill="auto"/>
            <w:noWrap/>
            <w:vAlign w:val="center"/>
            <w:hideMark/>
          </w:tcPr>
          <w:p w14:paraId="42ED4631"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860076426</w:t>
            </w:r>
          </w:p>
        </w:tc>
        <w:tc>
          <w:tcPr>
            <w:tcW w:w="4844" w:type="dxa"/>
            <w:tcBorders>
              <w:top w:val="nil"/>
              <w:left w:val="nil"/>
              <w:bottom w:val="single" w:sz="4" w:space="0" w:color="auto"/>
              <w:right w:val="single" w:sz="4" w:space="0" w:color="auto"/>
            </w:tcBorders>
            <w:shd w:val="clear" w:color="auto" w:fill="auto"/>
            <w:vAlign w:val="center"/>
            <w:hideMark/>
          </w:tcPr>
          <w:p w14:paraId="23AA8EDC"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ENERGETICA SA ESP</w:t>
            </w:r>
          </w:p>
        </w:tc>
        <w:tc>
          <w:tcPr>
            <w:tcW w:w="1600" w:type="dxa"/>
            <w:tcBorders>
              <w:top w:val="nil"/>
              <w:left w:val="nil"/>
              <w:bottom w:val="single" w:sz="4" w:space="0" w:color="auto"/>
              <w:right w:val="single" w:sz="4" w:space="0" w:color="auto"/>
            </w:tcBorders>
            <w:shd w:val="clear" w:color="auto" w:fill="auto"/>
            <w:noWrap/>
            <w:vAlign w:val="center"/>
            <w:hideMark/>
          </w:tcPr>
          <w:p w14:paraId="61374538"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32.738.000 </w:t>
            </w:r>
          </w:p>
        </w:tc>
        <w:tc>
          <w:tcPr>
            <w:tcW w:w="1660" w:type="dxa"/>
            <w:tcBorders>
              <w:top w:val="nil"/>
              <w:left w:val="nil"/>
              <w:bottom w:val="single" w:sz="4" w:space="0" w:color="auto"/>
              <w:right w:val="single" w:sz="4" w:space="0" w:color="auto"/>
            </w:tcBorders>
            <w:shd w:val="clear" w:color="auto" w:fill="auto"/>
            <w:noWrap/>
            <w:vAlign w:val="center"/>
            <w:hideMark/>
          </w:tcPr>
          <w:p w14:paraId="20675122"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43.543.000 </w:t>
            </w:r>
          </w:p>
        </w:tc>
      </w:tr>
      <w:tr w:rsidR="009838E7" w:rsidRPr="009838E7" w14:paraId="2EE5DFEE"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3E9F2CEF"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86</w:t>
            </w:r>
          </w:p>
        </w:tc>
        <w:tc>
          <w:tcPr>
            <w:tcW w:w="505" w:type="dxa"/>
            <w:tcBorders>
              <w:top w:val="nil"/>
              <w:left w:val="nil"/>
              <w:bottom w:val="single" w:sz="4" w:space="0" w:color="auto"/>
              <w:right w:val="single" w:sz="4" w:space="0" w:color="auto"/>
            </w:tcBorders>
            <w:shd w:val="clear" w:color="auto" w:fill="auto"/>
            <w:noWrap/>
            <w:vAlign w:val="center"/>
            <w:hideMark/>
          </w:tcPr>
          <w:p w14:paraId="7B8BA4C9"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1545</w:t>
            </w:r>
          </w:p>
        </w:tc>
        <w:tc>
          <w:tcPr>
            <w:tcW w:w="797" w:type="dxa"/>
            <w:tcBorders>
              <w:top w:val="nil"/>
              <w:left w:val="nil"/>
              <w:bottom w:val="single" w:sz="4" w:space="0" w:color="auto"/>
              <w:right w:val="single" w:sz="4" w:space="0" w:color="auto"/>
            </w:tcBorders>
            <w:shd w:val="clear" w:color="auto" w:fill="auto"/>
            <w:noWrap/>
            <w:vAlign w:val="center"/>
            <w:hideMark/>
          </w:tcPr>
          <w:p w14:paraId="373DBCAA"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860450098</w:t>
            </w:r>
          </w:p>
        </w:tc>
        <w:tc>
          <w:tcPr>
            <w:tcW w:w="4844" w:type="dxa"/>
            <w:tcBorders>
              <w:top w:val="nil"/>
              <w:left w:val="nil"/>
              <w:bottom w:val="single" w:sz="4" w:space="0" w:color="auto"/>
              <w:right w:val="single" w:sz="4" w:space="0" w:color="auto"/>
            </w:tcBorders>
            <w:shd w:val="clear" w:color="auto" w:fill="auto"/>
            <w:vAlign w:val="center"/>
            <w:hideMark/>
          </w:tcPr>
          <w:p w14:paraId="567B9328"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GAS SUMAPAZ S.A. E.S.P.</w:t>
            </w:r>
          </w:p>
        </w:tc>
        <w:tc>
          <w:tcPr>
            <w:tcW w:w="1600" w:type="dxa"/>
            <w:tcBorders>
              <w:top w:val="nil"/>
              <w:left w:val="nil"/>
              <w:bottom w:val="single" w:sz="4" w:space="0" w:color="auto"/>
              <w:right w:val="single" w:sz="4" w:space="0" w:color="auto"/>
            </w:tcBorders>
            <w:shd w:val="clear" w:color="auto" w:fill="auto"/>
            <w:noWrap/>
            <w:vAlign w:val="center"/>
            <w:hideMark/>
          </w:tcPr>
          <w:p w14:paraId="5DC957B8"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157.811.236 </w:t>
            </w:r>
          </w:p>
        </w:tc>
        <w:tc>
          <w:tcPr>
            <w:tcW w:w="1660" w:type="dxa"/>
            <w:tcBorders>
              <w:top w:val="nil"/>
              <w:left w:val="nil"/>
              <w:bottom w:val="single" w:sz="4" w:space="0" w:color="auto"/>
              <w:right w:val="single" w:sz="4" w:space="0" w:color="auto"/>
            </w:tcBorders>
            <w:shd w:val="clear" w:color="auto" w:fill="auto"/>
            <w:noWrap/>
            <w:vAlign w:val="center"/>
            <w:hideMark/>
          </w:tcPr>
          <w:p w14:paraId="10372728"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180.041.733 </w:t>
            </w:r>
          </w:p>
        </w:tc>
      </w:tr>
      <w:tr w:rsidR="009838E7" w:rsidRPr="009838E7" w14:paraId="64624492"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43CC825B"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87</w:t>
            </w:r>
          </w:p>
        </w:tc>
        <w:tc>
          <w:tcPr>
            <w:tcW w:w="505" w:type="dxa"/>
            <w:tcBorders>
              <w:top w:val="nil"/>
              <w:left w:val="nil"/>
              <w:bottom w:val="single" w:sz="4" w:space="0" w:color="auto"/>
              <w:right w:val="single" w:sz="4" w:space="0" w:color="auto"/>
            </w:tcBorders>
            <w:shd w:val="clear" w:color="auto" w:fill="auto"/>
            <w:noWrap/>
            <w:vAlign w:val="center"/>
            <w:hideMark/>
          </w:tcPr>
          <w:p w14:paraId="17B1AF2F"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1638</w:t>
            </w:r>
          </w:p>
        </w:tc>
        <w:tc>
          <w:tcPr>
            <w:tcW w:w="797" w:type="dxa"/>
            <w:tcBorders>
              <w:top w:val="nil"/>
              <w:left w:val="nil"/>
              <w:bottom w:val="single" w:sz="4" w:space="0" w:color="auto"/>
              <w:right w:val="single" w:sz="4" w:space="0" w:color="auto"/>
            </w:tcBorders>
            <w:shd w:val="clear" w:color="auto" w:fill="auto"/>
            <w:noWrap/>
            <w:vAlign w:val="center"/>
            <w:hideMark/>
          </w:tcPr>
          <w:p w14:paraId="169A548D"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860508892</w:t>
            </w:r>
          </w:p>
        </w:tc>
        <w:tc>
          <w:tcPr>
            <w:tcW w:w="4844" w:type="dxa"/>
            <w:tcBorders>
              <w:top w:val="nil"/>
              <w:left w:val="nil"/>
              <w:bottom w:val="single" w:sz="4" w:space="0" w:color="auto"/>
              <w:right w:val="single" w:sz="4" w:space="0" w:color="auto"/>
            </w:tcBorders>
            <w:shd w:val="clear" w:color="auto" w:fill="auto"/>
            <w:vAlign w:val="center"/>
            <w:hideMark/>
          </w:tcPr>
          <w:p w14:paraId="39AA5AB9"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COMPAÑIA DE ALMACENAMIENTO DE GAS S.A. ESP</w:t>
            </w:r>
          </w:p>
        </w:tc>
        <w:tc>
          <w:tcPr>
            <w:tcW w:w="1600" w:type="dxa"/>
            <w:tcBorders>
              <w:top w:val="nil"/>
              <w:left w:val="nil"/>
              <w:bottom w:val="single" w:sz="4" w:space="0" w:color="auto"/>
              <w:right w:val="single" w:sz="4" w:space="0" w:color="auto"/>
            </w:tcBorders>
            <w:shd w:val="clear" w:color="auto" w:fill="auto"/>
            <w:noWrap/>
            <w:vAlign w:val="center"/>
            <w:hideMark/>
          </w:tcPr>
          <w:p w14:paraId="57673935"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2.600.830.493 </w:t>
            </w:r>
          </w:p>
        </w:tc>
        <w:tc>
          <w:tcPr>
            <w:tcW w:w="1660" w:type="dxa"/>
            <w:tcBorders>
              <w:top w:val="nil"/>
              <w:left w:val="nil"/>
              <w:bottom w:val="single" w:sz="4" w:space="0" w:color="auto"/>
              <w:right w:val="single" w:sz="4" w:space="0" w:color="auto"/>
            </w:tcBorders>
            <w:shd w:val="clear" w:color="auto" w:fill="auto"/>
            <w:noWrap/>
            <w:vAlign w:val="center"/>
            <w:hideMark/>
          </w:tcPr>
          <w:p w14:paraId="2E0A8377"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2.173.446.206 </w:t>
            </w:r>
          </w:p>
        </w:tc>
      </w:tr>
      <w:tr w:rsidR="009838E7" w:rsidRPr="009838E7" w14:paraId="7765F86B"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28ED74CD"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88</w:t>
            </w:r>
          </w:p>
        </w:tc>
        <w:tc>
          <w:tcPr>
            <w:tcW w:w="505" w:type="dxa"/>
            <w:tcBorders>
              <w:top w:val="nil"/>
              <w:left w:val="nil"/>
              <w:bottom w:val="single" w:sz="4" w:space="0" w:color="auto"/>
              <w:right w:val="single" w:sz="4" w:space="0" w:color="auto"/>
            </w:tcBorders>
            <w:shd w:val="clear" w:color="auto" w:fill="auto"/>
            <w:noWrap/>
            <w:vAlign w:val="center"/>
            <w:hideMark/>
          </w:tcPr>
          <w:p w14:paraId="38A69532"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513</w:t>
            </w:r>
          </w:p>
        </w:tc>
        <w:tc>
          <w:tcPr>
            <w:tcW w:w="797" w:type="dxa"/>
            <w:tcBorders>
              <w:top w:val="nil"/>
              <w:left w:val="nil"/>
              <w:bottom w:val="single" w:sz="4" w:space="0" w:color="auto"/>
              <w:right w:val="single" w:sz="4" w:space="0" w:color="auto"/>
            </w:tcBorders>
            <w:shd w:val="clear" w:color="auto" w:fill="auto"/>
            <w:noWrap/>
            <w:vAlign w:val="center"/>
            <w:hideMark/>
          </w:tcPr>
          <w:p w14:paraId="69B665E5"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860515802</w:t>
            </w:r>
          </w:p>
        </w:tc>
        <w:tc>
          <w:tcPr>
            <w:tcW w:w="4844" w:type="dxa"/>
            <w:tcBorders>
              <w:top w:val="nil"/>
              <w:left w:val="nil"/>
              <w:bottom w:val="single" w:sz="4" w:space="0" w:color="auto"/>
              <w:right w:val="single" w:sz="4" w:space="0" w:color="auto"/>
            </w:tcBorders>
            <w:shd w:val="clear" w:color="auto" w:fill="auto"/>
            <w:vAlign w:val="center"/>
            <w:hideMark/>
          </w:tcPr>
          <w:p w14:paraId="156FEE04"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PLEXA SAS ESP</w:t>
            </w:r>
          </w:p>
        </w:tc>
        <w:tc>
          <w:tcPr>
            <w:tcW w:w="1600" w:type="dxa"/>
            <w:tcBorders>
              <w:top w:val="nil"/>
              <w:left w:val="nil"/>
              <w:bottom w:val="single" w:sz="4" w:space="0" w:color="auto"/>
              <w:right w:val="single" w:sz="4" w:space="0" w:color="auto"/>
            </w:tcBorders>
            <w:shd w:val="clear" w:color="auto" w:fill="auto"/>
            <w:noWrap/>
            <w:vAlign w:val="center"/>
            <w:hideMark/>
          </w:tcPr>
          <w:p w14:paraId="020AD18B"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56.537.008.000 </w:t>
            </w:r>
          </w:p>
        </w:tc>
        <w:tc>
          <w:tcPr>
            <w:tcW w:w="1660" w:type="dxa"/>
            <w:tcBorders>
              <w:top w:val="nil"/>
              <w:left w:val="nil"/>
              <w:bottom w:val="single" w:sz="4" w:space="0" w:color="auto"/>
              <w:right w:val="single" w:sz="4" w:space="0" w:color="auto"/>
            </w:tcBorders>
            <w:shd w:val="clear" w:color="auto" w:fill="auto"/>
            <w:noWrap/>
            <w:vAlign w:val="center"/>
            <w:hideMark/>
          </w:tcPr>
          <w:p w14:paraId="74157CE9"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3.184.410.371 </w:t>
            </w:r>
          </w:p>
        </w:tc>
      </w:tr>
      <w:tr w:rsidR="009838E7" w:rsidRPr="009838E7" w14:paraId="4FA10612"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1DF828DE"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89</w:t>
            </w:r>
          </w:p>
        </w:tc>
        <w:tc>
          <w:tcPr>
            <w:tcW w:w="505" w:type="dxa"/>
            <w:tcBorders>
              <w:top w:val="nil"/>
              <w:left w:val="nil"/>
              <w:bottom w:val="single" w:sz="4" w:space="0" w:color="auto"/>
              <w:right w:val="single" w:sz="4" w:space="0" w:color="auto"/>
            </w:tcBorders>
            <w:shd w:val="clear" w:color="auto" w:fill="auto"/>
            <w:noWrap/>
            <w:vAlign w:val="center"/>
            <w:hideMark/>
          </w:tcPr>
          <w:p w14:paraId="54449A33"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28591</w:t>
            </w:r>
          </w:p>
        </w:tc>
        <w:tc>
          <w:tcPr>
            <w:tcW w:w="797" w:type="dxa"/>
            <w:tcBorders>
              <w:top w:val="nil"/>
              <w:left w:val="nil"/>
              <w:bottom w:val="single" w:sz="4" w:space="0" w:color="auto"/>
              <w:right w:val="single" w:sz="4" w:space="0" w:color="auto"/>
            </w:tcBorders>
            <w:shd w:val="clear" w:color="auto" w:fill="auto"/>
            <w:noWrap/>
            <w:vAlign w:val="center"/>
            <w:hideMark/>
          </w:tcPr>
          <w:p w14:paraId="66DC704A"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860516431</w:t>
            </w:r>
          </w:p>
        </w:tc>
        <w:tc>
          <w:tcPr>
            <w:tcW w:w="4844" w:type="dxa"/>
            <w:tcBorders>
              <w:top w:val="nil"/>
              <w:left w:val="nil"/>
              <w:bottom w:val="single" w:sz="4" w:space="0" w:color="auto"/>
              <w:right w:val="single" w:sz="4" w:space="0" w:color="auto"/>
            </w:tcBorders>
            <w:shd w:val="clear" w:color="auto" w:fill="auto"/>
            <w:vAlign w:val="center"/>
            <w:hideMark/>
          </w:tcPr>
          <w:p w14:paraId="31CCB7F3"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GRAN TIERRA ENERGY COLOMBIA LTD</w:t>
            </w:r>
          </w:p>
        </w:tc>
        <w:tc>
          <w:tcPr>
            <w:tcW w:w="1600" w:type="dxa"/>
            <w:tcBorders>
              <w:top w:val="nil"/>
              <w:left w:val="nil"/>
              <w:bottom w:val="single" w:sz="4" w:space="0" w:color="auto"/>
              <w:right w:val="single" w:sz="4" w:space="0" w:color="auto"/>
            </w:tcBorders>
            <w:shd w:val="clear" w:color="auto" w:fill="auto"/>
            <w:noWrap/>
            <w:vAlign w:val="center"/>
            <w:hideMark/>
          </w:tcPr>
          <w:p w14:paraId="15B9C2CA"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285.622.000 </w:t>
            </w:r>
          </w:p>
        </w:tc>
        <w:tc>
          <w:tcPr>
            <w:tcW w:w="1660" w:type="dxa"/>
            <w:tcBorders>
              <w:top w:val="nil"/>
              <w:left w:val="nil"/>
              <w:bottom w:val="single" w:sz="4" w:space="0" w:color="auto"/>
              <w:right w:val="single" w:sz="4" w:space="0" w:color="auto"/>
            </w:tcBorders>
            <w:shd w:val="clear" w:color="auto" w:fill="auto"/>
            <w:noWrap/>
            <w:vAlign w:val="center"/>
            <w:hideMark/>
          </w:tcPr>
          <w:p w14:paraId="12728D3D"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397.519.000 </w:t>
            </w:r>
          </w:p>
        </w:tc>
      </w:tr>
      <w:tr w:rsidR="009838E7" w:rsidRPr="009838E7" w14:paraId="2B29797E"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6F72C11E"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90</w:t>
            </w:r>
          </w:p>
        </w:tc>
        <w:tc>
          <w:tcPr>
            <w:tcW w:w="505" w:type="dxa"/>
            <w:tcBorders>
              <w:top w:val="nil"/>
              <w:left w:val="nil"/>
              <w:bottom w:val="single" w:sz="4" w:space="0" w:color="auto"/>
              <w:right w:val="single" w:sz="4" w:space="0" w:color="auto"/>
            </w:tcBorders>
            <w:shd w:val="clear" w:color="auto" w:fill="auto"/>
            <w:noWrap/>
            <w:vAlign w:val="center"/>
            <w:hideMark/>
          </w:tcPr>
          <w:p w14:paraId="2067A146"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20000</w:t>
            </w:r>
          </w:p>
        </w:tc>
        <w:tc>
          <w:tcPr>
            <w:tcW w:w="797" w:type="dxa"/>
            <w:tcBorders>
              <w:top w:val="nil"/>
              <w:left w:val="nil"/>
              <w:bottom w:val="single" w:sz="4" w:space="0" w:color="auto"/>
              <w:right w:val="single" w:sz="4" w:space="0" w:color="auto"/>
            </w:tcBorders>
            <w:shd w:val="clear" w:color="auto" w:fill="auto"/>
            <w:noWrap/>
            <w:vAlign w:val="center"/>
            <w:hideMark/>
          </w:tcPr>
          <w:p w14:paraId="42A2BA32"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860529657</w:t>
            </w:r>
          </w:p>
        </w:tc>
        <w:tc>
          <w:tcPr>
            <w:tcW w:w="4844" w:type="dxa"/>
            <w:tcBorders>
              <w:top w:val="nil"/>
              <w:left w:val="nil"/>
              <w:bottom w:val="single" w:sz="4" w:space="0" w:color="auto"/>
              <w:right w:val="single" w:sz="4" w:space="0" w:color="auto"/>
            </w:tcBorders>
            <w:shd w:val="clear" w:color="auto" w:fill="auto"/>
            <w:vAlign w:val="center"/>
            <w:hideMark/>
          </w:tcPr>
          <w:p w14:paraId="77CDD9BE" w14:textId="77777777" w:rsidR="009838E7" w:rsidRPr="002C5AEF" w:rsidRDefault="009838E7" w:rsidP="00D22441">
            <w:pPr>
              <w:jc w:val="left"/>
              <w:rPr>
                <w:rFonts w:ascii="Arial Narrow" w:hAnsi="Arial Narrow" w:cs="Calibri"/>
                <w:color w:val="000000"/>
                <w:spacing w:val="0"/>
                <w:sz w:val="16"/>
                <w:szCs w:val="16"/>
                <w:lang w:val="en-GB" w:eastAsia="es-CO"/>
              </w:rPr>
            </w:pPr>
            <w:r w:rsidRPr="002C5AEF">
              <w:rPr>
                <w:rFonts w:ascii="Arial Narrow" w:hAnsi="Arial Narrow" w:cs="Calibri"/>
                <w:color w:val="000000"/>
                <w:spacing w:val="0"/>
                <w:sz w:val="16"/>
                <w:szCs w:val="16"/>
                <w:lang w:val="en-GB" w:eastAsia="es-CO"/>
              </w:rPr>
              <w:t>INTEROIL COLOMBIA EXPLORATION AND PRODUCTION</w:t>
            </w:r>
          </w:p>
        </w:tc>
        <w:tc>
          <w:tcPr>
            <w:tcW w:w="1600" w:type="dxa"/>
            <w:tcBorders>
              <w:top w:val="nil"/>
              <w:left w:val="nil"/>
              <w:bottom w:val="single" w:sz="4" w:space="0" w:color="auto"/>
              <w:right w:val="single" w:sz="4" w:space="0" w:color="auto"/>
            </w:tcBorders>
            <w:shd w:val="clear" w:color="auto" w:fill="auto"/>
            <w:noWrap/>
            <w:vAlign w:val="center"/>
            <w:hideMark/>
          </w:tcPr>
          <w:p w14:paraId="2F27361A" w14:textId="77777777" w:rsidR="009838E7" w:rsidRPr="009838E7" w:rsidRDefault="009838E7" w:rsidP="00D22441">
            <w:pPr>
              <w:jc w:val="left"/>
              <w:rPr>
                <w:rFonts w:ascii="Arial Narrow" w:hAnsi="Arial Narrow" w:cs="Calibri"/>
                <w:color w:val="000000"/>
                <w:spacing w:val="0"/>
                <w:sz w:val="16"/>
                <w:szCs w:val="16"/>
                <w:lang w:eastAsia="es-CO"/>
              </w:rPr>
            </w:pPr>
            <w:r w:rsidRPr="002C5AEF">
              <w:rPr>
                <w:rFonts w:ascii="Arial Narrow" w:hAnsi="Arial Narrow" w:cs="Calibri"/>
                <w:color w:val="000000"/>
                <w:spacing w:val="0"/>
                <w:sz w:val="16"/>
                <w:szCs w:val="16"/>
                <w:lang w:val="en-GB" w:eastAsia="es-CO"/>
              </w:rPr>
              <w:t xml:space="preserve">                </w:t>
            </w:r>
            <w:r w:rsidRPr="009838E7">
              <w:rPr>
                <w:rFonts w:ascii="Arial Narrow" w:hAnsi="Arial Narrow" w:cs="Calibri"/>
                <w:color w:val="000000"/>
                <w:spacing w:val="0"/>
                <w:sz w:val="16"/>
                <w:szCs w:val="16"/>
                <w:lang w:eastAsia="es-CO"/>
              </w:rPr>
              <w:t xml:space="preserve">170.051.000 </w:t>
            </w:r>
          </w:p>
        </w:tc>
        <w:tc>
          <w:tcPr>
            <w:tcW w:w="1660" w:type="dxa"/>
            <w:tcBorders>
              <w:top w:val="nil"/>
              <w:left w:val="nil"/>
              <w:bottom w:val="single" w:sz="4" w:space="0" w:color="auto"/>
              <w:right w:val="single" w:sz="4" w:space="0" w:color="auto"/>
            </w:tcBorders>
            <w:shd w:val="clear" w:color="auto" w:fill="auto"/>
            <w:noWrap/>
            <w:vAlign w:val="center"/>
            <w:hideMark/>
          </w:tcPr>
          <w:p w14:paraId="0E534277"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396.119.000 </w:t>
            </w:r>
          </w:p>
        </w:tc>
      </w:tr>
      <w:tr w:rsidR="009838E7" w:rsidRPr="009838E7" w14:paraId="0B33AAA8"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71269B55"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91</w:t>
            </w:r>
          </w:p>
        </w:tc>
        <w:tc>
          <w:tcPr>
            <w:tcW w:w="505" w:type="dxa"/>
            <w:tcBorders>
              <w:top w:val="nil"/>
              <w:left w:val="nil"/>
              <w:bottom w:val="single" w:sz="4" w:space="0" w:color="auto"/>
              <w:right w:val="single" w:sz="4" w:space="0" w:color="auto"/>
            </w:tcBorders>
            <w:shd w:val="clear" w:color="auto" w:fill="auto"/>
            <w:noWrap/>
            <w:vAlign w:val="center"/>
            <w:hideMark/>
          </w:tcPr>
          <w:p w14:paraId="7121ED6F"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484</w:t>
            </w:r>
          </w:p>
        </w:tc>
        <w:tc>
          <w:tcPr>
            <w:tcW w:w="797" w:type="dxa"/>
            <w:tcBorders>
              <w:top w:val="nil"/>
              <w:left w:val="nil"/>
              <w:bottom w:val="single" w:sz="4" w:space="0" w:color="auto"/>
              <w:right w:val="single" w:sz="4" w:space="0" w:color="auto"/>
            </w:tcBorders>
            <w:shd w:val="clear" w:color="auto" w:fill="auto"/>
            <w:noWrap/>
            <w:vAlign w:val="center"/>
            <w:hideMark/>
          </w:tcPr>
          <w:p w14:paraId="3D9EA858"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890101691</w:t>
            </w:r>
          </w:p>
        </w:tc>
        <w:tc>
          <w:tcPr>
            <w:tcW w:w="4844" w:type="dxa"/>
            <w:tcBorders>
              <w:top w:val="nil"/>
              <w:left w:val="nil"/>
              <w:bottom w:val="single" w:sz="4" w:space="0" w:color="auto"/>
              <w:right w:val="single" w:sz="4" w:space="0" w:color="auto"/>
            </w:tcBorders>
            <w:shd w:val="clear" w:color="auto" w:fill="auto"/>
            <w:vAlign w:val="center"/>
            <w:hideMark/>
          </w:tcPr>
          <w:p w14:paraId="0AAD1CE7"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GASES DEL CARIBE S.A. EMPRESA DE SERVICIOS PUBLICOS </w:t>
            </w:r>
          </w:p>
        </w:tc>
        <w:tc>
          <w:tcPr>
            <w:tcW w:w="1600" w:type="dxa"/>
            <w:tcBorders>
              <w:top w:val="nil"/>
              <w:left w:val="nil"/>
              <w:bottom w:val="single" w:sz="4" w:space="0" w:color="auto"/>
              <w:right w:val="single" w:sz="4" w:space="0" w:color="auto"/>
            </w:tcBorders>
            <w:shd w:val="clear" w:color="auto" w:fill="auto"/>
            <w:noWrap/>
            <w:vAlign w:val="center"/>
            <w:hideMark/>
          </w:tcPr>
          <w:p w14:paraId="2E3A70BB"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44.403.705.293 </w:t>
            </w:r>
          </w:p>
        </w:tc>
        <w:tc>
          <w:tcPr>
            <w:tcW w:w="1660" w:type="dxa"/>
            <w:tcBorders>
              <w:top w:val="nil"/>
              <w:left w:val="nil"/>
              <w:bottom w:val="single" w:sz="4" w:space="0" w:color="auto"/>
              <w:right w:val="single" w:sz="4" w:space="0" w:color="auto"/>
            </w:tcBorders>
            <w:shd w:val="clear" w:color="auto" w:fill="auto"/>
            <w:noWrap/>
            <w:vAlign w:val="center"/>
            <w:hideMark/>
          </w:tcPr>
          <w:p w14:paraId="13039339"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50.025.292.969 </w:t>
            </w:r>
          </w:p>
        </w:tc>
      </w:tr>
      <w:tr w:rsidR="009838E7" w:rsidRPr="009838E7" w14:paraId="3B1E8AA6"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5826A44E"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92</w:t>
            </w:r>
          </w:p>
        </w:tc>
        <w:tc>
          <w:tcPr>
            <w:tcW w:w="505" w:type="dxa"/>
            <w:tcBorders>
              <w:top w:val="nil"/>
              <w:left w:val="nil"/>
              <w:bottom w:val="single" w:sz="4" w:space="0" w:color="auto"/>
              <w:right w:val="single" w:sz="4" w:space="0" w:color="auto"/>
            </w:tcBorders>
            <w:shd w:val="clear" w:color="auto" w:fill="auto"/>
            <w:noWrap/>
            <w:vAlign w:val="center"/>
            <w:hideMark/>
          </w:tcPr>
          <w:p w14:paraId="5D7A23CB"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1069</w:t>
            </w:r>
          </w:p>
        </w:tc>
        <w:tc>
          <w:tcPr>
            <w:tcW w:w="797" w:type="dxa"/>
            <w:tcBorders>
              <w:top w:val="nil"/>
              <w:left w:val="nil"/>
              <w:bottom w:val="single" w:sz="4" w:space="0" w:color="auto"/>
              <w:right w:val="single" w:sz="4" w:space="0" w:color="auto"/>
            </w:tcBorders>
            <w:shd w:val="clear" w:color="auto" w:fill="auto"/>
            <w:noWrap/>
            <w:vAlign w:val="center"/>
            <w:hideMark/>
          </w:tcPr>
          <w:p w14:paraId="31BC0C52"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890105526</w:t>
            </w:r>
          </w:p>
        </w:tc>
        <w:tc>
          <w:tcPr>
            <w:tcW w:w="4844" w:type="dxa"/>
            <w:tcBorders>
              <w:top w:val="nil"/>
              <w:left w:val="nil"/>
              <w:bottom w:val="single" w:sz="4" w:space="0" w:color="auto"/>
              <w:right w:val="single" w:sz="4" w:space="0" w:color="auto"/>
            </w:tcBorders>
            <w:shd w:val="clear" w:color="auto" w:fill="auto"/>
            <w:vAlign w:val="center"/>
            <w:hideMark/>
          </w:tcPr>
          <w:p w14:paraId="16317D02"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PROMIGAS S.A. E.S.P.</w:t>
            </w:r>
          </w:p>
        </w:tc>
        <w:tc>
          <w:tcPr>
            <w:tcW w:w="1600" w:type="dxa"/>
            <w:tcBorders>
              <w:top w:val="nil"/>
              <w:left w:val="nil"/>
              <w:bottom w:val="single" w:sz="4" w:space="0" w:color="auto"/>
              <w:right w:val="single" w:sz="4" w:space="0" w:color="auto"/>
            </w:tcBorders>
            <w:shd w:val="clear" w:color="auto" w:fill="auto"/>
            <w:noWrap/>
            <w:vAlign w:val="center"/>
            <w:hideMark/>
          </w:tcPr>
          <w:p w14:paraId="039579B1"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98.222.146.014 </w:t>
            </w:r>
          </w:p>
        </w:tc>
        <w:tc>
          <w:tcPr>
            <w:tcW w:w="1660" w:type="dxa"/>
            <w:tcBorders>
              <w:top w:val="nil"/>
              <w:left w:val="nil"/>
              <w:bottom w:val="single" w:sz="4" w:space="0" w:color="auto"/>
              <w:right w:val="single" w:sz="4" w:space="0" w:color="auto"/>
            </w:tcBorders>
            <w:shd w:val="clear" w:color="auto" w:fill="auto"/>
            <w:noWrap/>
            <w:vAlign w:val="center"/>
            <w:hideMark/>
          </w:tcPr>
          <w:p w14:paraId="186A251D"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146.935.966.693 </w:t>
            </w:r>
          </w:p>
        </w:tc>
      </w:tr>
      <w:tr w:rsidR="009838E7" w:rsidRPr="009838E7" w14:paraId="7C41EC0F"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1DB9D63A"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93</w:t>
            </w:r>
          </w:p>
        </w:tc>
        <w:tc>
          <w:tcPr>
            <w:tcW w:w="505" w:type="dxa"/>
            <w:tcBorders>
              <w:top w:val="nil"/>
              <w:left w:val="nil"/>
              <w:bottom w:val="single" w:sz="4" w:space="0" w:color="auto"/>
              <w:right w:val="single" w:sz="4" w:space="0" w:color="auto"/>
            </w:tcBorders>
            <w:shd w:val="clear" w:color="auto" w:fill="auto"/>
            <w:noWrap/>
            <w:vAlign w:val="center"/>
            <w:hideMark/>
          </w:tcPr>
          <w:p w14:paraId="7D5C3354"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524</w:t>
            </w:r>
          </w:p>
        </w:tc>
        <w:tc>
          <w:tcPr>
            <w:tcW w:w="797" w:type="dxa"/>
            <w:tcBorders>
              <w:top w:val="nil"/>
              <w:left w:val="nil"/>
              <w:bottom w:val="single" w:sz="4" w:space="0" w:color="auto"/>
              <w:right w:val="single" w:sz="4" w:space="0" w:color="auto"/>
            </w:tcBorders>
            <w:shd w:val="clear" w:color="auto" w:fill="auto"/>
            <w:noWrap/>
            <w:vAlign w:val="center"/>
            <w:hideMark/>
          </w:tcPr>
          <w:p w14:paraId="552A0990"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890201230</w:t>
            </w:r>
          </w:p>
        </w:tc>
        <w:tc>
          <w:tcPr>
            <w:tcW w:w="4844" w:type="dxa"/>
            <w:tcBorders>
              <w:top w:val="nil"/>
              <w:left w:val="nil"/>
              <w:bottom w:val="single" w:sz="4" w:space="0" w:color="auto"/>
              <w:right w:val="single" w:sz="4" w:space="0" w:color="auto"/>
            </w:tcBorders>
            <w:shd w:val="clear" w:color="auto" w:fill="auto"/>
            <w:vAlign w:val="center"/>
            <w:hideMark/>
          </w:tcPr>
          <w:p w14:paraId="48BDB074"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ELECTRIFICADORA DE SANTANDER S.A. E.S.P.</w:t>
            </w:r>
          </w:p>
        </w:tc>
        <w:tc>
          <w:tcPr>
            <w:tcW w:w="1600" w:type="dxa"/>
            <w:tcBorders>
              <w:top w:val="nil"/>
              <w:left w:val="nil"/>
              <w:bottom w:val="single" w:sz="4" w:space="0" w:color="auto"/>
              <w:right w:val="single" w:sz="4" w:space="0" w:color="auto"/>
            </w:tcBorders>
            <w:shd w:val="clear" w:color="auto" w:fill="auto"/>
            <w:noWrap/>
            <w:vAlign w:val="center"/>
            <w:hideMark/>
          </w:tcPr>
          <w:p w14:paraId="3027357F"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60.436.396.110 </w:t>
            </w:r>
          </w:p>
        </w:tc>
        <w:tc>
          <w:tcPr>
            <w:tcW w:w="1660" w:type="dxa"/>
            <w:tcBorders>
              <w:top w:val="nil"/>
              <w:left w:val="nil"/>
              <w:bottom w:val="single" w:sz="4" w:space="0" w:color="auto"/>
              <w:right w:val="single" w:sz="4" w:space="0" w:color="auto"/>
            </w:tcBorders>
            <w:shd w:val="clear" w:color="auto" w:fill="auto"/>
            <w:noWrap/>
            <w:vAlign w:val="center"/>
            <w:hideMark/>
          </w:tcPr>
          <w:p w14:paraId="6B3C1D6E"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74.705.638.614 </w:t>
            </w:r>
          </w:p>
        </w:tc>
      </w:tr>
      <w:tr w:rsidR="009838E7" w:rsidRPr="009838E7" w14:paraId="074685F5"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0809F942"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94</w:t>
            </w:r>
          </w:p>
        </w:tc>
        <w:tc>
          <w:tcPr>
            <w:tcW w:w="505" w:type="dxa"/>
            <w:tcBorders>
              <w:top w:val="nil"/>
              <w:left w:val="nil"/>
              <w:bottom w:val="single" w:sz="4" w:space="0" w:color="auto"/>
              <w:right w:val="single" w:sz="4" w:space="0" w:color="auto"/>
            </w:tcBorders>
            <w:shd w:val="clear" w:color="auto" w:fill="auto"/>
            <w:noWrap/>
            <w:vAlign w:val="center"/>
            <w:hideMark/>
          </w:tcPr>
          <w:p w14:paraId="01AC0B8F"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526</w:t>
            </w:r>
          </w:p>
        </w:tc>
        <w:tc>
          <w:tcPr>
            <w:tcW w:w="797" w:type="dxa"/>
            <w:tcBorders>
              <w:top w:val="nil"/>
              <w:left w:val="nil"/>
              <w:bottom w:val="single" w:sz="4" w:space="0" w:color="auto"/>
              <w:right w:val="single" w:sz="4" w:space="0" w:color="auto"/>
            </w:tcBorders>
            <w:shd w:val="clear" w:color="auto" w:fill="auto"/>
            <w:noWrap/>
            <w:vAlign w:val="center"/>
            <w:hideMark/>
          </w:tcPr>
          <w:p w14:paraId="4044115D"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890205952</w:t>
            </w:r>
          </w:p>
        </w:tc>
        <w:tc>
          <w:tcPr>
            <w:tcW w:w="4844" w:type="dxa"/>
            <w:tcBorders>
              <w:top w:val="nil"/>
              <w:left w:val="nil"/>
              <w:bottom w:val="single" w:sz="4" w:space="0" w:color="auto"/>
              <w:right w:val="single" w:sz="4" w:space="0" w:color="auto"/>
            </w:tcBorders>
            <w:shd w:val="clear" w:color="auto" w:fill="auto"/>
            <w:vAlign w:val="center"/>
            <w:hideMark/>
          </w:tcPr>
          <w:p w14:paraId="0E5B0145"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GAS NATURAL DEL ORIENTE SA ESP</w:t>
            </w:r>
          </w:p>
        </w:tc>
        <w:tc>
          <w:tcPr>
            <w:tcW w:w="1600" w:type="dxa"/>
            <w:tcBorders>
              <w:top w:val="nil"/>
              <w:left w:val="nil"/>
              <w:bottom w:val="single" w:sz="4" w:space="0" w:color="auto"/>
              <w:right w:val="single" w:sz="4" w:space="0" w:color="auto"/>
            </w:tcBorders>
            <w:shd w:val="clear" w:color="auto" w:fill="auto"/>
            <w:noWrap/>
            <w:vAlign w:val="center"/>
            <w:hideMark/>
          </w:tcPr>
          <w:p w14:paraId="544C6E6F"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3.962.044.571 </w:t>
            </w:r>
          </w:p>
        </w:tc>
        <w:tc>
          <w:tcPr>
            <w:tcW w:w="1660" w:type="dxa"/>
            <w:tcBorders>
              <w:top w:val="nil"/>
              <w:left w:val="nil"/>
              <w:bottom w:val="single" w:sz="4" w:space="0" w:color="auto"/>
              <w:right w:val="single" w:sz="4" w:space="0" w:color="auto"/>
            </w:tcBorders>
            <w:shd w:val="clear" w:color="auto" w:fill="auto"/>
            <w:noWrap/>
            <w:vAlign w:val="center"/>
            <w:hideMark/>
          </w:tcPr>
          <w:p w14:paraId="13358546"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4.617.353.017 </w:t>
            </w:r>
          </w:p>
        </w:tc>
      </w:tr>
      <w:tr w:rsidR="009838E7" w:rsidRPr="009838E7" w14:paraId="261DE749"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378DABF8"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95</w:t>
            </w:r>
          </w:p>
        </w:tc>
        <w:tc>
          <w:tcPr>
            <w:tcW w:w="505" w:type="dxa"/>
            <w:tcBorders>
              <w:top w:val="nil"/>
              <w:left w:val="nil"/>
              <w:bottom w:val="single" w:sz="4" w:space="0" w:color="auto"/>
              <w:right w:val="single" w:sz="4" w:space="0" w:color="auto"/>
            </w:tcBorders>
            <w:shd w:val="clear" w:color="auto" w:fill="auto"/>
            <w:noWrap/>
            <w:vAlign w:val="center"/>
            <w:hideMark/>
          </w:tcPr>
          <w:p w14:paraId="510B2A20"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1173</w:t>
            </w:r>
          </w:p>
        </w:tc>
        <w:tc>
          <w:tcPr>
            <w:tcW w:w="797" w:type="dxa"/>
            <w:tcBorders>
              <w:top w:val="nil"/>
              <w:left w:val="nil"/>
              <w:bottom w:val="single" w:sz="4" w:space="0" w:color="auto"/>
              <w:right w:val="single" w:sz="4" w:space="0" w:color="auto"/>
            </w:tcBorders>
            <w:shd w:val="clear" w:color="auto" w:fill="auto"/>
            <w:noWrap/>
            <w:vAlign w:val="center"/>
            <w:hideMark/>
          </w:tcPr>
          <w:p w14:paraId="345BF015"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890208316</w:t>
            </w:r>
          </w:p>
        </w:tc>
        <w:tc>
          <w:tcPr>
            <w:tcW w:w="4844" w:type="dxa"/>
            <w:tcBorders>
              <w:top w:val="nil"/>
              <w:left w:val="nil"/>
              <w:bottom w:val="single" w:sz="4" w:space="0" w:color="auto"/>
              <w:right w:val="single" w:sz="4" w:space="0" w:color="auto"/>
            </w:tcBorders>
            <w:shd w:val="clear" w:color="auto" w:fill="auto"/>
            <w:vAlign w:val="center"/>
            <w:hideMark/>
          </w:tcPr>
          <w:p w14:paraId="46162308"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METROGAS DE COLOMBIA S.A. E.S.P. </w:t>
            </w:r>
          </w:p>
        </w:tc>
        <w:tc>
          <w:tcPr>
            <w:tcW w:w="1600" w:type="dxa"/>
            <w:tcBorders>
              <w:top w:val="nil"/>
              <w:left w:val="nil"/>
              <w:bottom w:val="single" w:sz="4" w:space="0" w:color="auto"/>
              <w:right w:val="single" w:sz="4" w:space="0" w:color="auto"/>
            </w:tcBorders>
            <w:shd w:val="clear" w:color="auto" w:fill="auto"/>
            <w:noWrap/>
            <w:vAlign w:val="center"/>
            <w:hideMark/>
          </w:tcPr>
          <w:p w14:paraId="5A4AB5BB"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3.480.349.173 </w:t>
            </w:r>
          </w:p>
        </w:tc>
        <w:tc>
          <w:tcPr>
            <w:tcW w:w="1660" w:type="dxa"/>
            <w:tcBorders>
              <w:top w:val="nil"/>
              <w:left w:val="nil"/>
              <w:bottom w:val="single" w:sz="4" w:space="0" w:color="auto"/>
              <w:right w:val="single" w:sz="4" w:space="0" w:color="auto"/>
            </w:tcBorders>
            <w:shd w:val="clear" w:color="auto" w:fill="auto"/>
            <w:noWrap/>
            <w:vAlign w:val="center"/>
            <w:hideMark/>
          </w:tcPr>
          <w:p w14:paraId="7F2AC03D"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4.193.580.768 </w:t>
            </w:r>
          </w:p>
        </w:tc>
      </w:tr>
      <w:tr w:rsidR="009838E7" w:rsidRPr="009838E7" w14:paraId="2CE97459"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643EB090"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96</w:t>
            </w:r>
          </w:p>
        </w:tc>
        <w:tc>
          <w:tcPr>
            <w:tcW w:w="505" w:type="dxa"/>
            <w:tcBorders>
              <w:top w:val="nil"/>
              <w:left w:val="nil"/>
              <w:bottom w:val="single" w:sz="4" w:space="0" w:color="auto"/>
              <w:right w:val="single" w:sz="4" w:space="0" w:color="auto"/>
            </w:tcBorders>
            <w:shd w:val="clear" w:color="auto" w:fill="auto"/>
            <w:noWrap/>
            <w:vAlign w:val="center"/>
            <w:hideMark/>
          </w:tcPr>
          <w:p w14:paraId="5408645F"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2438</w:t>
            </w:r>
          </w:p>
        </w:tc>
        <w:tc>
          <w:tcPr>
            <w:tcW w:w="797" w:type="dxa"/>
            <w:tcBorders>
              <w:top w:val="nil"/>
              <w:left w:val="nil"/>
              <w:bottom w:val="single" w:sz="4" w:space="0" w:color="auto"/>
              <w:right w:val="single" w:sz="4" w:space="0" w:color="auto"/>
            </w:tcBorders>
            <w:shd w:val="clear" w:color="auto" w:fill="auto"/>
            <w:noWrap/>
            <w:vAlign w:val="center"/>
            <w:hideMark/>
          </w:tcPr>
          <w:p w14:paraId="60FF651B"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890399003</w:t>
            </w:r>
          </w:p>
        </w:tc>
        <w:tc>
          <w:tcPr>
            <w:tcW w:w="4844" w:type="dxa"/>
            <w:tcBorders>
              <w:top w:val="nil"/>
              <w:left w:val="nil"/>
              <w:bottom w:val="single" w:sz="4" w:space="0" w:color="auto"/>
              <w:right w:val="single" w:sz="4" w:space="0" w:color="auto"/>
            </w:tcBorders>
            <w:shd w:val="clear" w:color="auto" w:fill="auto"/>
            <w:vAlign w:val="center"/>
            <w:hideMark/>
          </w:tcPr>
          <w:p w14:paraId="40D6996C" w14:textId="7B9D5475"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EMPRESAS MUNICIPALES DE CALI   E.I.C.E</w:t>
            </w:r>
            <w:r w:rsidR="006F2D43">
              <w:rPr>
                <w:rFonts w:ascii="Arial Narrow" w:hAnsi="Arial Narrow" w:cs="Calibri"/>
                <w:color w:val="000000"/>
                <w:spacing w:val="0"/>
                <w:sz w:val="16"/>
                <w:szCs w:val="16"/>
                <w:lang w:eastAsia="es-CO"/>
              </w:rPr>
              <w:t>.</w:t>
            </w:r>
            <w:r w:rsidRPr="009838E7">
              <w:rPr>
                <w:rFonts w:ascii="Arial Narrow" w:hAnsi="Arial Narrow" w:cs="Calibri"/>
                <w:color w:val="000000"/>
                <w:spacing w:val="0"/>
                <w:sz w:val="16"/>
                <w:szCs w:val="16"/>
                <w:lang w:eastAsia="es-CO"/>
              </w:rPr>
              <w:t xml:space="preserve"> E.S.P</w:t>
            </w:r>
            <w:r w:rsidR="006F2D43">
              <w:rPr>
                <w:rFonts w:ascii="Arial Narrow" w:hAnsi="Arial Narrow" w:cs="Calibri"/>
                <w:color w:val="000000"/>
                <w:spacing w:val="0"/>
                <w:sz w:val="16"/>
                <w:szCs w:val="16"/>
                <w:lang w:eastAsia="es-CO"/>
              </w:rPr>
              <w:t>.</w:t>
            </w:r>
          </w:p>
        </w:tc>
        <w:tc>
          <w:tcPr>
            <w:tcW w:w="1600" w:type="dxa"/>
            <w:tcBorders>
              <w:top w:val="nil"/>
              <w:left w:val="nil"/>
              <w:bottom w:val="single" w:sz="4" w:space="0" w:color="auto"/>
              <w:right w:val="single" w:sz="4" w:space="0" w:color="auto"/>
            </w:tcBorders>
            <w:shd w:val="clear" w:color="auto" w:fill="auto"/>
            <w:noWrap/>
            <w:vAlign w:val="center"/>
            <w:hideMark/>
          </w:tcPr>
          <w:p w14:paraId="03C88B32"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75.837.869.275 </w:t>
            </w:r>
          </w:p>
        </w:tc>
        <w:tc>
          <w:tcPr>
            <w:tcW w:w="1660" w:type="dxa"/>
            <w:tcBorders>
              <w:top w:val="nil"/>
              <w:left w:val="nil"/>
              <w:bottom w:val="single" w:sz="4" w:space="0" w:color="auto"/>
              <w:right w:val="single" w:sz="4" w:space="0" w:color="auto"/>
            </w:tcBorders>
            <w:shd w:val="clear" w:color="auto" w:fill="auto"/>
            <w:noWrap/>
            <w:vAlign w:val="center"/>
            <w:hideMark/>
          </w:tcPr>
          <w:p w14:paraId="3F90B12A"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83.082.966.097 </w:t>
            </w:r>
          </w:p>
        </w:tc>
      </w:tr>
      <w:tr w:rsidR="009838E7" w:rsidRPr="009838E7" w14:paraId="733B248D" w14:textId="77777777" w:rsidTr="00092F91">
        <w:trPr>
          <w:trHeight w:val="274"/>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132136E1"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97</w:t>
            </w:r>
          </w:p>
        </w:tc>
        <w:tc>
          <w:tcPr>
            <w:tcW w:w="505" w:type="dxa"/>
            <w:tcBorders>
              <w:top w:val="nil"/>
              <w:left w:val="nil"/>
              <w:bottom w:val="single" w:sz="4" w:space="0" w:color="auto"/>
              <w:right w:val="single" w:sz="4" w:space="0" w:color="auto"/>
            </w:tcBorders>
            <w:shd w:val="clear" w:color="auto" w:fill="auto"/>
            <w:noWrap/>
            <w:vAlign w:val="center"/>
            <w:hideMark/>
          </w:tcPr>
          <w:p w14:paraId="7C430038"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498</w:t>
            </w:r>
          </w:p>
        </w:tc>
        <w:tc>
          <w:tcPr>
            <w:tcW w:w="797" w:type="dxa"/>
            <w:tcBorders>
              <w:top w:val="nil"/>
              <w:left w:val="nil"/>
              <w:bottom w:val="single" w:sz="4" w:space="0" w:color="auto"/>
              <w:right w:val="single" w:sz="4" w:space="0" w:color="auto"/>
            </w:tcBorders>
            <w:shd w:val="clear" w:color="auto" w:fill="auto"/>
            <w:noWrap/>
            <w:vAlign w:val="center"/>
            <w:hideMark/>
          </w:tcPr>
          <w:p w14:paraId="316C642C"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890400869</w:t>
            </w:r>
          </w:p>
        </w:tc>
        <w:tc>
          <w:tcPr>
            <w:tcW w:w="4844" w:type="dxa"/>
            <w:tcBorders>
              <w:top w:val="nil"/>
              <w:left w:val="nil"/>
              <w:bottom w:val="single" w:sz="4" w:space="0" w:color="auto"/>
              <w:right w:val="single" w:sz="4" w:space="0" w:color="auto"/>
            </w:tcBorders>
            <w:shd w:val="clear" w:color="auto" w:fill="auto"/>
            <w:vAlign w:val="center"/>
            <w:hideMark/>
          </w:tcPr>
          <w:p w14:paraId="264BC154"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SURTIDORA DE GAS DEL CARIBE S.A. EMPRESA DE SERVICIOS PUBLICOS </w:t>
            </w:r>
          </w:p>
        </w:tc>
        <w:tc>
          <w:tcPr>
            <w:tcW w:w="1600" w:type="dxa"/>
            <w:tcBorders>
              <w:top w:val="nil"/>
              <w:left w:val="nil"/>
              <w:bottom w:val="single" w:sz="4" w:space="0" w:color="auto"/>
              <w:right w:val="single" w:sz="4" w:space="0" w:color="auto"/>
            </w:tcBorders>
            <w:shd w:val="clear" w:color="auto" w:fill="auto"/>
            <w:noWrap/>
            <w:vAlign w:val="center"/>
            <w:hideMark/>
          </w:tcPr>
          <w:p w14:paraId="43448915"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35.825.951.715 </w:t>
            </w:r>
          </w:p>
        </w:tc>
        <w:tc>
          <w:tcPr>
            <w:tcW w:w="1660" w:type="dxa"/>
            <w:tcBorders>
              <w:top w:val="nil"/>
              <w:left w:val="nil"/>
              <w:bottom w:val="single" w:sz="4" w:space="0" w:color="auto"/>
              <w:right w:val="single" w:sz="4" w:space="0" w:color="auto"/>
            </w:tcBorders>
            <w:shd w:val="clear" w:color="auto" w:fill="auto"/>
            <w:noWrap/>
            <w:vAlign w:val="center"/>
            <w:hideMark/>
          </w:tcPr>
          <w:p w14:paraId="374BD51A"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44.703.552.685 </w:t>
            </w:r>
          </w:p>
        </w:tc>
      </w:tr>
      <w:tr w:rsidR="009838E7" w:rsidRPr="009838E7" w14:paraId="61241DEA" w14:textId="77777777" w:rsidTr="00092F91">
        <w:trPr>
          <w:trHeight w:val="284"/>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3EF63AD2"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98</w:t>
            </w:r>
          </w:p>
        </w:tc>
        <w:tc>
          <w:tcPr>
            <w:tcW w:w="505" w:type="dxa"/>
            <w:tcBorders>
              <w:top w:val="nil"/>
              <w:left w:val="nil"/>
              <w:bottom w:val="single" w:sz="4" w:space="0" w:color="auto"/>
              <w:right w:val="single" w:sz="4" w:space="0" w:color="auto"/>
            </w:tcBorders>
            <w:shd w:val="clear" w:color="auto" w:fill="auto"/>
            <w:noWrap/>
            <w:vAlign w:val="center"/>
            <w:hideMark/>
          </w:tcPr>
          <w:p w14:paraId="073B5F09"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604</w:t>
            </w:r>
          </w:p>
        </w:tc>
        <w:tc>
          <w:tcPr>
            <w:tcW w:w="797" w:type="dxa"/>
            <w:tcBorders>
              <w:top w:val="nil"/>
              <w:left w:val="nil"/>
              <w:bottom w:val="single" w:sz="4" w:space="0" w:color="auto"/>
              <w:right w:val="single" w:sz="4" w:space="0" w:color="auto"/>
            </w:tcBorders>
            <w:shd w:val="clear" w:color="auto" w:fill="auto"/>
            <w:noWrap/>
            <w:vAlign w:val="center"/>
            <w:hideMark/>
          </w:tcPr>
          <w:p w14:paraId="0BB9A075"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890500514</w:t>
            </w:r>
          </w:p>
        </w:tc>
        <w:tc>
          <w:tcPr>
            <w:tcW w:w="4844" w:type="dxa"/>
            <w:tcBorders>
              <w:top w:val="nil"/>
              <w:left w:val="nil"/>
              <w:bottom w:val="single" w:sz="4" w:space="0" w:color="auto"/>
              <w:right w:val="single" w:sz="4" w:space="0" w:color="auto"/>
            </w:tcBorders>
            <w:shd w:val="clear" w:color="auto" w:fill="auto"/>
            <w:vAlign w:val="center"/>
            <w:hideMark/>
          </w:tcPr>
          <w:p w14:paraId="6B4D6737"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CENTRALES ELECTRICAS DEL NORTE DE SANTANDER S.A. ESP</w:t>
            </w:r>
          </w:p>
        </w:tc>
        <w:tc>
          <w:tcPr>
            <w:tcW w:w="1600" w:type="dxa"/>
            <w:tcBorders>
              <w:top w:val="nil"/>
              <w:left w:val="nil"/>
              <w:bottom w:val="single" w:sz="4" w:space="0" w:color="auto"/>
              <w:right w:val="single" w:sz="4" w:space="0" w:color="auto"/>
            </w:tcBorders>
            <w:shd w:val="clear" w:color="auto" w:fill="auto"/>
            <w:noWrap/>
            <w:vAlign w:val="center"/>
            <w:hideMark/>
          </w:tcPr>
          <w:p w14:paraId="137DAA76"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51.959.905.710 </w:t>
            </w:r>
          </w:p>
        </w:tc>
        <w:tc>
          <w:tcPr>
            <w:tcW w:w="1660" w:type="dxa"/>
            <w:tcBorders>
              <w:top w:val="nil"/>
              <w:left w:val="nil"/>
              <w:bottom w:val="single" w:sz="4" w:space="0" w:color="auto"/>
              <w:right w:val="single" w:sz="4" w:space="0" w:color="auto"/>
            </w:tcBorders>
            <w:shd w:val="clear" w:color="auto" w:fill="auto"/>
            <w:noWrap/>
            <w:vAlign w:val="center"/>
            <w:hideMark/>
          </w:tcPr>
          <w:p w14:paraId="57011F8C"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66.459.885.634 </w:t>
            </w:r>
          </w:p>
        </w:tc>
      </w:tr>
      <w:tr w:rsidR="009838E7" w:rsidRPr="009838E7" w14:paraId="2C58407D"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419C94F7"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99</w:t>
            </w:r>
          </w:p>
        </w:tc>
        <w:tc>
          <w:tcPr>
            <w:tcW w:w="505" w:type="dxa"/>
            <w:tcBorders>
              <w:top w:val="nil"/>
              <w:left w:val="nil"/>
              <w:bottom w:val="single" w:sz="4" w:space="0" w:color="auto"/>
              <w:right w:val="single" w:sz="4" w:space="0" w:color="auto"/>
            </w:tcBorders>
            <w:shd w:val="clear" w:color="auto" w:fill="auto"/>
            <w:noWrap/>
            <w:vAlign w:val="center"/>
            <w:hideMark/>
          </w:tcPr>
          <w:p w14:paraId="2F0BA458"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522</w:t>
            </w:r>
          </w:p>
        </w:tc>
        <w:tc>
          <w:tcPr>
            <w:tcW w:w="797" w:type="dxa"/>
            <w:tcBorders>
              <w:top w:val="nil"/>
              <w:left w:val="nil"/>
              <w:bottom w:val="single" w:sz="4" w:space="0" w:color="auto"/>
              <w:right w:val="single" w:sz="4" w:space="0" w:color="auto"/>
            </w:tcBorders>
            <w:shd w:val="clear" w:color="auto" w:fill="auto"/>
            <w:noWrap/>
            <w:vAlign w:val="center"/>
            <w:hideMark/>
          </w:tcPr>
          <w:p w14:paraId="6CAC8AEC"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890500726</w:t>
            </w:r>
          </w:p>
        </w:tc>
        <w:tc>
          <w:tcPr>
            <w:tcW w:w="4844" w:type="dxa"/>
            <w:tcBorders>
              <w:top w:val="nil"/>
              <w:left w:val="nil"/>
              <w:bottom w:val="single" w:sz="4" w:space="0" w:color="auto"/>
              <w:right w:val="single" w:sz="4" w:space="0" w:color="auto"/>
            </w:tcBorders>
            <w:shd w:val="clear" w:color="auto" w:fill="auto"/>
            <w:vAlign w:val="center"/>
            <w:hideMark/>
          </w:tcPr>
          <w:p w14:paraId="325A8076"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NORTESANTANDEREANA DE GAS S.A. E.S.P.</w:t>
            </w:r>
          </w:p>
        </w:tc>
        <w:tc>
          <w:tcPr>
            <w:tcW w:w="1600" w:type="dxa"/>
            <w:tcBorders>
              <w:top w:val="nil"/>
              <w:left w:val="nil"/>
              <w:bottom w:val="single" w:sz="4" w:space="0" w:color="auto"/>
              <w:right w:val="single" w:sz="4" w:space="0" w:color="auto"/>
            </w:tcBorders>
            <w:shd w:val="clear" w:color="auto" w:fill="auto"/>
            <w:noWrap/>
            <w:vAlign w:val="center"/>
            <w:hideMark/>
          </w:tcPr>
          <w:p w14:paraId="54FF0B1A"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25.723.878.751 </w:t>
            </w:r>
          </w:p>
        </w:tc>
        <w:tc>
          <w:tcPr>
            <w:tcW w:w="1660" w:type="dxa"/>
            <w:tcBorders>
              <w:top w:val="nil"/>
              <w:left w:val="nil"/>
              <w:bottom w:val="single" w:sz="4" w:space="0" w:color="auto"/>
              <w:right w:val="single" w:sz="4" w:space="0" w:color="auto"/>
            </w:tcBorders>
            <w:shd w:val="clear" w:color="auto" w:fill="auto"/>
            <w:noWrap/>
            <w:vAlign w:val="center"/>
            <w:hideMark/>
          </w:tcPr>
          <w:p w14:paraId="5759D549"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29.386.383.222 </w:t>
            </w:r>
          </w:p>
        </w:tc>
      </w:tr>
      <w:tr w:rsidR="009838E7" w:rsidRPr="009838E7" w14:paraId="4BD19C44" w14:textId="77777777" w:rsidTr="00092F91">
        <w:trPr>
          <w:trHeight w:val="434"/>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50AED5A0"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100</w:t>
            </w:r>
          </w:p>
        </w:tc>
        <w:tc>
          <w:tcPr>
            <w:tcW w:w="505" w:type="dxa"/>
            <w:tcBorders>
              <w:top w:val="nil"/>
              <w:left w:val="nil"/>
              <w:bottom w:val="single" w:sz="4" w:space="0" w:color="auto"/>
              <w:right w:val="single" w:sz="4" w:space="0" w:color="auto"/>
            </w:tcBorders>
            <w:shd w:val="clear" w:color="auto" w:fill="auto"/>
            <w:noWrap/>
            <w:vAlign w:val="center"/>
            <w:hideMark/>
          </w:tcPr>
          <w:p w14:paraId="5E462946"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1302</w:t>
            </w:r>
          </w:p>
        </w:tc>
        <w:tc>
          <w:tcPr>
            <w:tcW w:w="797" w:type="dxa"/>
            <w:tcBorders>
              <w:top w:val="nil"/>
              <w:left w:val="nil"/>
              <w:bottom w:val="single" w:sz="4" w:space="0" w:color="auto"/>
              <w:right w:val="single" w:sz="4" w:space="0" w:color="auto"/>
            </w:tcBorders>
            <w:shd w:val="clear" w:color="auto" w:fill="auto"/>
            <w:noWrap/>
            <w:vAlign w:val="center"/>
            <w:hideMark/>
          </w:tcPr>
          <w:p w14:paraId="44AA4D94"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890503900</w:t>
            </w:r>
          </w:p>
        </w:tc>
        <w:tc>
          <w:tcPr>
            <w:tcW w:w="4844" w:type="dxa"/>
            <w:tcBorders>
              <w:top w:val="nil"/>
              <w:left w:val="nil"/>
              <w:bottom w:val="single" w:sz="4" w:space="0" w:color="auto"/>
              <w:right w:val="single" w:sz="4" w:space="0" w:color="auto"/>
            </w:tcBorders>
            <w:shd w:val="clear" w:color="auto" w:fill="auto"/>
            <w:vAlign w:val="center"/>
            <w:hideMark/>
          </w:tcPr>
          <w:p w14:paraId="546EF6DD"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GASES DEL ORIENTE S.A.  EMPRESA DE SERVICIOS PUBLICOS DOMICILIARIOS</w:t>
            </w:r>
          </w:p>
        </w:tc>
        <w:tc>
          <w:tcPr>
            <w:tcW w:w="1600" w:type="dxa"/>
            <w:tcBorders>
              <w:top w:val="nil"/>
              <w:left w:val="nil"/>
              <w:bottom w:val="single" w:sz="4" w:space="0" w:color="auto"/>
              <w:right w:val="single" w:sz="4" w:space="0" w:color="auto"/>
            </w:tcBorders>
            <w:shd w:val="clear" w:color="auto" w:fill="auto"/>
            <w:noWrap/>
            <w:vAlign w:val="center"/>
            <w:hideMark/>
          </w:tcPr>
          <w:p w14:paraId="40015CCB"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5.388.081.834 </w:t>
            </w:r>
          </w:p>
        </w:tc>
        <w:tc>
          <w:tcPr>
            <w:tcW w:w="1660" w:type="dxa"/>
            <w:tcBorders>
              <w:top w:val="nil"/>
              <w:left w:val="nil"/>
              <w:bottom w:val="single" w:sz="4" w:space="0" w:color="auto"/>
              <w:right w:val="single" w:sz="4" w:space="0" w:color="auto"/>
            </w:tcBorders>
            <w:shd w:val="clear" w:color="auto" w:fill="auto"/>
            <w:noWrap/>
            <w:vAlign w:val="center"/>
            <w:hideMark/>
          </w:tcPr>
          <w:p w14:paraId="0F51AFCA"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6.831.128.910 </w:t>
            </w:r>
          </w:p>
        </w:tc>
      </w:tr>
      <w:tr w:rsidR="009838E7" w:rsidRPr="009838E7" w14:paraId="793F4C64"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4364CC45"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101</w:t>
            </w:r>
          </w:p>
        </w:tc>
        <w:tc>
          <w:tcPr>
            <w:tcW w:w="505" w:type="dxa"/>
            <w:tcBorders>
              <w:top w:val="nil"/>
              <w:left w:val="nil"/>
              <w:bottom w:val="single" w:sz="4" w:space="0" w:color="auto"/>
              <w:right w:val="single" w:sz="4" w:space="0" w:color="auto"/>
            </w:tcBorders>
            <w:shd w:val="clear" w:color="auto" w:fill="auto"/>
            <w:noWrap/>
            <w:vAlign w:val="center"/>
            <w:hideMark/>
          </w:tcPr>
          <w:p w14:paraId="0CFD5EAB"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1713</w:t>
            </w:r>
          </w:p>
        </w:tc>
        <w:tc>
          <w:tcPr>
            <w:tcW w:w="797" w:type="dxa"/>
            <w:tcBorders>
              <w:top w:val="nil"/>
              <w:left w:val="nil"/>
              <w:bottom w:val="single" w:sz="4" w:space="0" w:color="auto"/>
              <w:right w:val="single" w:sz="4" w:space="0" w:color="auto"/>
            </w:tcBorders>
            <w:shd w:val="clear" w:color="auto" w:fill="auto"/>
            <w:noWrap/>
            <w:vAlign w:val="center"/>
            <w:hideMark/>
          </w:tcPr>
          <w:p w14:paraId="6F25734D"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890600185</w:t>
            </w:r>
          </w:p>
        </w:tc>
        <w:tc>
          <w:tcPr>
            <w:tcW w:w="4844" w:type="dxa"/>
            <w:tcBorders>
              <w:top w:val="nil"/>
              <w:left w:val="nil"/>
              <w:bottom w:val="single" w:sz="4" w:space="0" w:color="auto"/>
              <w:right w:val="single" w:sz="4" w:space="0" w:color="auto"/>
            </w:tcBorders>
            <w:shd w:val="clear" w:color="auto" w:fill="auto"/>
            <w:vAlign w:val="center"/>
            <w:hideMark/>
          </w:tcPr>
          <w:p w14:paraId="0AC53F1F"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INTERMUNICIPAL DE GAS S.A. E.S.P.</w:t>
            </w:r>
          </w:p>
        </w:tc>
        <w:tc>
          <w:tcPr>
            <w:tcW w:w="1600" w:type="dxa"/>
            <w:tcBorders>
              <w:top w:val="nil"/>
              <w:left w:val="nil"/>
              <w:bottom w:val="single" w:sz="4" w:space="0" w:color="auto"/>
              <w:right w:val="single" w:sz="4" w:space="0" w:color="auto"/>
            </w:tcBorders>
            <w:shd w:val="clear" w:color="auto" w:fill="auto"/>
            <w:noWrap/>
            <w:vAlign w:val="center"/>
            <w:hideMark/>
          </w:tcPr>
          <w:p w14:paraId="4C133C56"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122.152.987 </w:t>
            </w:r>
          </w:p>
        </w:tc>
        <w:tc>
          <w:tcPr>
            <w:tcW w:w="1660" w:type="dxa"/>
            <w:tcBorders>
              <w:top w:val="nil"/>
              <w:left w:val="nil"/>
              <w:bottom w:val="single" w:sz="4" w:space="0" w:color="auto"/>
              <w:right w:val="single" w:sz="4" w:space="0" w:color="auto"/>
            </w:tcBorders>
            <w:shd w:val="clear" w:color="auto" w:fill="auto"/>
            <w:noWrap/>
            <w:vAlign w:val="center"/>
            <w:hideMark/>
          </w:tcPr>
          <w:p w14:paraId="18FE924D"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118.421.000 </w:t>
            </w:r>
          </w:p>
        </w:tc>
      </w:tr>
      <w:tr w:rsidR="009838E7" w:rsidRPr="009838E7" w14:paraId="51B81BC4" w14:textId="77777777" w:rsidTr="00092F91">
        <w:trPr>
          <w:trHeight w:val="41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0C628FEB"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102</w:t>
            </w:r>
          </w:p>
        </w:tc>
        <w:tc>
          <w:tcPr>
            <w:tcW w:w="505" w:type="dxa"/>
            <w:tcBorders>
              <w:top w:val="nil"/>
              <w:left w:val="nil"/>
              <w:bottom w:val="single" w:sz="4" w:space="0" w:color="auto"/>
              <w:right w:val="single" w:sz="4" w:space="0" w:color="auto"/>
            </w:tcBorders>
            <w:shd w:val="clear" w:color="auto" w:fill="auto"/>
            <w:noWrap/>
            <w:vAlign w:val="center"/>
            <w:hideMark/>
          </w:tcPr>
          <w:p w14:paraId="3C37D9F3"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1195</w:t>
            </w:r>
          </w:p>
        </w:tc>
        <w:tc>
          <w:tcPr>
            <w:tcW w:w="797" w:type="dxa"/>
            <w:tcBorders>
              <w:top w:val="nil"/>
              <w:left w:val="nil"/>
              <w:bottom w:val="single" w:sz="4" w:space="0" w:color="auto"/>
              <w:right w:val="single" w:sz="4" w:space="0" w:color="auto"/>
            </w:tcBorders>
            <w:shd w:val="clear" w:color="auto" w:fill="auto"/>
            <w:noWrap/>
            <w:vAlign w:val="center"/>
            <w:hideMark/>
          </w:tcPr>
          <w:p w14:paraId="45B1263B"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890701766</w:t>
            </w:r>
          </w:p>
        </w:tc>
        <w:tc>
          <w:tcPr>
            <w:tcW w:w="4844" w:type="dxa"/>
            <w:tcBorders>
              <w:top w:val="nil"/>
              <w:left w:val="nil"/>
              <w:bottom w:val="single" w:sz="4" w:space="0" w:color="auto"/>
              <w:right w:val="single" w:sz="4" w:space="0" w:color="auto"/>
            </w:tcBorders>
            <w:shd w:val="clear" w:color="auto" w:fill="auto"/>
            <w:vAlign w:val="center"/>
            <w:hideMark/>
          </w:tcPr>
          <w:p w14:paraId="38146EF0"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ENVASADORA DE GAS DE PUERTO SALGAR S.A. EMPRESA DE SERVICIOS PUBLICOS</w:t>
            </w:r>
          </w:p>
        </w:tc>
        <w:tc>
          <w:tcPr>
            <w:tcW w:w="1600" w:type="dxa"/>
            <w:tcBorders>
              <w:top w:val="nil"/>
              <w:left w:val="nil"/>
              <w:bottom w:val="single" w:sz="4" w:space="0" w:color="auto"/>
              <w:right w:val="single" w:sz="4" w:space="0" w:color="auto"/>
            </w:tcBorders>
            <w:shd w:val="clear" w:color="auto" w:fill="auto"/>
            <w:noWrap/>
            <w:vAlign w:val="center"/>
            <w:hideMark/>
          </w:tcPr>
          <w:p w14:paraId="02F0CE4C"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525.424.061 </w:t>
            </w:r>
          </w:p>
        </w:tc>
        <w:tc>
          <w:tcPr>
            <w:tcW w:w="1660" w:type="dxa"/>
            <w:tcBorders>
              <w:top w:val="nil"/>
              <w:left w:val="nil"/>
              <w:bottom w:val="single" w:sz="4" w:space="0" w:color="auto"/>
              <w:right w:val="single" w:sz="4" w:space="0" w:color="auto"/>
            </w:tcBorders>
            <w:shd w:val="clear" w:color="auto" w:fill="auto"/>
            <w:noWrap/>
            <w:vAlign w:val="center"/>
            <w:hideMark/>
          </w:tcPr>
          <w:p w14:paraId="6B26FCAB"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777.850.700 </w:t>
            </w:r>
          </w:p>
        </w:tc>
      </w:tr>
      <w:tr w:rsidR="009838E7" w:rsidRPr="009838E7" w14:paraId="23F4A510"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1F0E117C"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103</w:t>
            </w:r>
          </w:p>
        </w:tc>
        <w:tc>
          <w:tcPr>
            <w:tcW w:w="505" w:type="dxa"/>
            <w:tcBorders>
              <w:top w:val="nil"/>
              <w:left w:val="nil"/>
              <w:bottom w:val="single" w:sz="4" w:space="0" w:color="auto"/>
              <w:right w:val="single" w:sz="4" w:space="0" w:color="auto"/>
            </w:tcBorders>
            <w:shd w:val="clear" w:color="auto" w:fill="auto"/>
            <w:noWrap/>
            <w:vAlign w:val="center"/>
            <w:hideMark/>
          </w:tcPr>
          <w:p w14:paraId="79C18F5F"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502</w:t>
            </w:r>
          </w:p>
        </w:tc>
        <w:tc>
          <w:tcPr>
            <w:tcW w:w="797" w:type="dxa"/>
            <w:tcBorders>
              <w:top w:val="nil"/>
              <w:left w:val="nil"/>
              <w:bottom w:val="single" w:sz="4" w:space="0" w:color="auto"/>
              <w:right w:val="single" w:sz="4" w:space="0" w:color="auto"/>
            </w:tcBorders>
            <w:shd w:val="clear" w:color="auto" w:fill="auto"/>
            <w:noWrap/>
            <w:vAlign w:val="center"/>
            <w:hideMark/>
          </w:tcPr>
          <w:p w14:paraId="11A61ABD"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890800128</w:t>
            </w:r>
          </w:p>
        </w:tc>
        <w:tc>
          <w:tcPr>
            <w:tcW w:w="4844" w:type="dxa"/>
            <w:tcBorders>
              <w:top w:val="nil"/>
              <w:left w:val="nil"/>
              <w:bottom w:val="single" w:sz="4" w:space="0" w:color="auto"/>
              <w:right w:val="single" w:sz="4" w:space="0" w:color="auto"/>
            </w:tcBorders>
            <w:shd w:val="clear" w:color="auto" w:fill="auto"/>
            <w:vAlign w:val="center"/>
            <w:hideMark/>
          </w:tcPr>
          <w:p w14:paraId="2C5C7571"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CENTRAL HIDROELECTRICA DE CALDAS S.A. E.S.P.</w:t>
            </w:r>
          </w:p>
        </w:tc>
        <w:tc>
          <w:tcPr>
            <w:tcW w:w="1600" w:type="dxa"/>
            <w:tcBorders>
              <w:top w:val="nil"/>
              <w:left w:val="nil"/>
              <w:bottom w:val="single" w:sz="4" w:space="0" w:color="auto"/>
              <w:right w:val="single" w:sz="4" w:space="0" w:color="auto"/>
            </w:tcBorders>
            <w:shd w:val="clear" w:color="auto" w:fill="auto"/>
            <w:noWrap/>
            <w:vAlign w:val="center"/>
            <w:hideMark/>
          </w:tcPr>
          <w:p w14:paraId="72122D0A"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44.810.965.225 </w:t>
            </w:r>
          </w:p>
        </w:tc>
        <w:tc>
          <w:tcPr>
            <w:tcW w:w="1660" w:type="dxa"/>
            <w:tcBorders>
              <w:top w:val="nil"/>
              <w:left w:val="nil"/>
              <w:bottom w:val="single" w:sz="4" w:space="0" w:color="auto"/>
              <w:right w:val="single" w:sz="4" w:space="0" w:color="auto"/>
            </w:tcBorders>
            <w:shd w:val="clear" w:color="auto" w:fill="auto"/>
            <w:noWrap/>
            <w:vAlign w:val="center"/>
            <w:hideMark/>
          </w:tcPr>
          <w:p w14:paraId="3E56D34A"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54.781.222.898 </w:t>
            </w:r>
          </w:p>
        </w:tc>
      </w:tr>
      <w:tr w:rsidR="009838E7" w:rsidRPr="009838E7" w14:paraId="7CD9CA42"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7B6D0EDB"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104</w:t>
            </w:r>
          </w:p>
        </w:tc>
        <w:tc>
          <w:tcPr>
            <w:tcW w:w="505" w:type="dxa"/>
            <w:tcBorders>
              <w:top w:val="nil"/>
              <w:left w:val="nil"/>
              <w:bottom w:val="single" w:sz="4" w:space="0" w:color="auto"/>
              <w:right w:val="single" w:sz="4" w:space="0" w:color="auto"/>
            </w:tcBorders>
            <w:shd w:val="clear" w:color="auto" w:fill="auto"/>
            <w:noWrap/>
            <w:vAlign w:val="center"/>
            <w:hideMark/>
          </w:tcPr>
          <w:p w14:paraId="21DFE2AB"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564</w:t>
            </w:r>
          </w:p>
        </w:tc>
        <w:tc>
          <w:tcPr>
            <w:tcW w:w="797" w:type="dxa"/>
            <w:tcBorders>
              <w:top w:val="nil"/>
              <w:left w:val="nil"/>
              <w:bottom w:val="single" w:sz="4" w:space="0" w:color="auto"/>
              <w:right w:val="single" w:sz="4" w:space="0" w:color="auto"/>
            </w:tcBorders>
            <w:shd w:val="clear" w:color="auto" w:fill="auto"/>
            <w:noWrap/>
            <w:vAlign w:val="center"/>
            <w:hideMark/>
          </w:tcPr>
          <w:p w14:paraId="25077E62"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890904996</w:t>
            </w:r>
          </w:p>
        </w:tc>
        <w:tc>
          <w:tcPr>
            <w:tcW w:w="4844" w:type="dxa"/>
            <w:tcBorders>
              <w:top w:val="nil"/>
              <w:left w:val="nil"/>
              <w:bottom w:val="single" w:sz="4" w:space="0" w:color="auto"/>
              <w:right w:val="single" w:sz="4" w:space="0" w:color="auto"/>
            </w:tcBorders>
            <w:shd w:val="clear" w:color="auto" w:fill="auto"/>
            <w:vAlign w:val="center"/>
            <w:hideMark/>
          </w:tcPr>
          <w:p w14:paraId="2B883B49"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EMPRESAS PÚBLICAS DE MEDELLIN E.S.P.</w:t>
            </w:r>
          </w:p>
        </w:tc>
        <w:tc>
          <w:tcPr>
            <w:tcW w:w="1600" w:type="dxa"/>
            <w:tcBorders>
              <w:top w:val="nil"/>
              <w:left w:val="nil"/>
              <w:bottom w:val="single" w:sz="4" w:space="0" w:color="auto"/>
              <w:right w:val="single" w:sz="4" w:space="0" w:color="auto"/>
            </w:tcBorders>
            <w:shd w:val="clear" w:color="auto" w:fill="auto"/>
            <w:noWrap/>
            <w:vAlign w:val="center"/>
            <w:hideMark/>
          </w:tcPr>
          <w:p w14:paraId="24573683"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490.330.035.193 </w:t>
            </w:r>
          </w:p>
        </w:tc>
        <w:tc>
          <w:tcPr>
            <w:tcW w:w="1660" w:type="dxa"/>
            <w:tcBorders>
              <w:top w:val="nil"/>
              <w:left w:val="nil"/>
              <w:bottom w:val="single" w:sz="4" w:space="0" w:color="auto"/>
              <w:right w:val="single" w:sz="4" w:space="0" w:color="auto"/>
            </w:tcBorders>
            <w:shd w:val="clear" w:color="auto" w:fill="auto"/>
            <w:noWrap/>
            <w:vAlign w:val="center"/>
            <w:hideMark/>
          </w:tcPr>
          <w:p w14:paraId="40D31502"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551.793.105.267 </w:t>
            </w:r>
          </w:p>
        </w:tc>
      </w:tr>
      <w:tr w:rsidR="009838E7" w:rsidRPr="009838E7" w14:paraId="6CE42258"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4A3152B1"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105</w:t>
            </w:r>
          </w:p>
        </w:tc>
        <w:tc>
          <w:tcPr>
            <w:tcW w:w="505" w:type="dxa"/>
            <w:tcBorders>
              <w:top w:val="nil"/>
              <w:left w:val="nil"/>
              <w:bottom w:val="single" w:sz="4" w:space="0" w:color="auto"/>
              <w:right w:val="single" w:sz="4" w:space="0" w:color="auto"/>
            </w:tcBorders>
            <w:shd w:val="clear" w:color="auto" w:fill="auto"/>
            <w:noWrap/>
            <w:vAlign w:val="center"/>
            <w:hideMark/>
          </w:tcPr>
          <w:p w14:paraId="613E2EEF"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618</w:t>
            </w:r>
          </w:p>
        </w:tc>
        <w:tc>
          <w:tcPr>
            <w:tcW w:w="797" w:type="dxa"/>
            <w:tcBorders>
              <w:top w:val="nil"/>
              <w:left w:val="nil"/>
              <w:bottom w:val="single" w:sz="4" w:space="0" w:color="auto"/>
              <w:right w:val="single" w:sz="4" w:space="0" w:color="auto"/>
            </w:tcBorders>
            <w:shd w:val="clear" w:color="auto" w:fill="auto"/>
            <w:noWrap/>
            <w:vAlign w:val="center"/>
            <w:hideMark/>
          </w:tcPr>
          <w:p w14:paraId="299B707A"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891101577</w:t>
            </w:r>
          </w:p>
        </w:tc>
        <w:tc>
          <w:tcPr>
            <w:tcW w:w="4844" w:type="dxa"/>
            <w:tcBorders>
              <w:top w:val="nil"/>
              <w:left w:val="nil"/>
              <w:bottom w:val="single" w:sz="4" w:space="0" w:color="auto"/>
              <w:right w:val="single" w:sz="4" w:space="0" w:color="auto"/>
            </w:tcBorders>
            <w:shd w:val="clear" w:color="auto" w:fill="auto"/>
            <w:vAlign w:val="center"/>
            <w:hideMark/>
          </w:tcPr>
          <w:p w14:paraId="4B36B024"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ALCANOS DE COLOMBIA S.A. E.S.P.</w:t>
            </w:r>
          </w:p>
        </w:tc>
        <w:tc>
          <w:tcPr>
            <w:tcW w:w="1600" w:type="dxa"/>
            <w:tcBorders>
              <w:top w:val="nil"/>
              <w:left w:val="nil"/>
              <w:bottom w:val="single" w:sz="4" w:space="0" w:color="auto"/>
              <w:right w:val="single" w:sz="4" w:space="0" w:color="auto"/>
            </w:tcBorders>
            <w:shd w:val="clear" w:color="auto" w:fill="auto"/>
            <w:noWrap/>
            <w:vAlign w:val="center"/>
            <w:hideMark/>
          </w:tcPr>
          <w:p w14:paraId="0C103B49"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22.129.264.046 </w:t>
            </w:r>
          </w:p>
        </w:tc>
        <w:tc>
          <w:tcPr>
            <w:tcW w:w="1660" w:type="dxa"/>
            <w:tcBorders>
              <w:top w:val="nil"/>
              <w:left w:val="nil"/>
              <w:bottom w:val="single" w:sz="4" w:space="0" w:color="auto"/>
              <w:right w:val="single" w:sz="4" w:space="0" w:color="auto"/>
            </w:tcBorders>
            <w:shd w:val="clear" w:color="auto" w:fill="auto"/>
            <w:noWrap/>
            <w:vAlign w:val="center"/>
            <w:hideMark/>
          </w:tcPr>
          <w:p w14:paraId="65BF09B4"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26.337.896.477 </w:t>
            </w:r>
          </w:p>
        </w:tc>
      </w:tr>
      <w:tr w:rsidR="009838E7" w:rsidRPr="009838E7" w14:paraId="1A4AD2C6"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07066FA6"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106</w:t>
            </w:r>
          </w:p>
        </w:tc>
        <w:tc>
          <w:tcPr>
            <w:tcW w:w="505" w:type="dxa"/>
            <w:tcBorders>
              <w:top w:val="nil"/>
              <w:left w:val="nil"/>
              <w:bottom w:val="single" w:sz="4" w:space="0" w:color="auto"/>
              <w:right w:val="single" w:sz="4" w:space="0" w:color="auto"/>
            </w:tcBorders>
            <w:shd w:val="clear" w:color="auto" w:fill="auto"/>
            <w:noWrap/>
            <w:vAlign w:val="center"/>
            <w:hideMark/>
          </w:tcPr>
          <w:p w14:paraId="1CF5F984"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1014</w:t>
            </w:r>
          </w:p>
        </w:tc>
        <w:tc>
          <w:tcPr>
            <w:tcW w:w="797" w:type="dxa"/>
            <w:tcBorders>
              <w:top w:val="nil"/>
              <w:left w:val="nil"/>
              <w:bottom w:val="single" w:sz="4" w:space="0" w:color="auto"/>
              <w:right w:val="single" w:sz="4" w:space="0" w:color="auto"/>
            </w:tcBorders>
            <w:shd w:val="clear" w:color="auto" w:fill="auto"/>
            <w:noWrap/>
            <w:vAlign w:val="center"/>
            <w:hideMark/>
          </w:tcPr>
          <w:p w14:paraId="2371F800"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891180001</w:t>
            </w:r>
          </w:p>
        </w:tc>
        <w:tc>
          <w:tcPr>
            <w:tcW w:w="4844" w:type="dxa"/>
            <w:tcBorders>
              <w:top w:val="nil"/>
              <w:left w:val="nil"/>
              <w:bottom w:val="single" w:sz="4" w:space="0" w:color="auto"/>
              <w:right w:val="single" w:sz="4" w:space="0" w:color="auto"/>
            </w:tcBorders>
            <w:shd w:val="clear" w:color="auto" w:fill="auto"/>
            <w:vAlign w:val="center"/>
            <w:hideMark/>
          </w:tcPr>
          <w:p w14:paraId="6643D092"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ELECTRIFICADORA DEL HUILA S.A. E.S.P.</w:t>
            </w:r>
          </w:p>
        </w:tc>
        <w:tc>
          <w:tcPr>
            <w:tcW w:w="1600" w:type="dxa"/>
            <w:tcBorders>
              <w:top w:val="nil"/>
              <w:left w:val="nil"/>
              <w:bottom w:val="single" w:sz="4" w:space="0" w:color="auto"/>
              <w:right w:val="single" w:sz="4" w:space="0" w:color="auto"/>
            </w:tcBorders>
            <w:shd w:val="clear" w:color="auto" w:fill="auto"/>
            <w:noWrap/>
            <w:vAlign w:val="center"/>
            <w:hideMark/>
          </w:tcPr>
          <w:p w14:paraId="52A55032"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30.467.750.660 </w:t>
            </w:r>
          </w:p>
        </w:tc>
        <w:tc>
          <w:tcPr>
            <w:tcW w:w="1660" w:type="dxa"/>
            <w:tcBorders>
              <w:top w:val="nil"/>
              <w:left w:val="nil"/>
              <w:bottom w:val="single" w:sz="4" w:space="0" w:color="auto"/>
              <w:right w:val="single" w:sz="4" w:space="0" w:color="auto"/>
            </w:tcBorders>
            <w:shd w:val="clear" w:color="auto" w:fill="auto"/>
            <w:noWrap/>
            <w:vAlign w:val="center"/>
            <w:hideMark/>
          </w:tcPr>
          <w:p w14:paraId="2B02823B"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31.471.526.459 </w:t>
            </w:r>
          </w:p>
        </w:tc>
      </w:tr>
      <w:tr w:rsidR="009838E7" w:rsidRPr="009838E7" w14:paraId="18AA3272"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4384B864"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107</w:t>
            </w:r>
          </w:p>
        </w:tc>
        <w:tc>
          <w:tcPr>
            <w:tcW w:w="505" w:type="dxa"/>
            <w:tcBorders>
              <w:top w:val="nil"/>
              <w:left w:val="nil"/>
              <w:bottom w:val="single" w:sz="4" w:space="0" w:color="auto"/>
              <w:right w:val="single" w:sz="4" w:space="0" w:color="auto"/>
            </w:tcBorders>
            <w:shd w:val="clear" w:color="auto" w:fill="auto"/>
            <w:noWrap/>
            <w:vAlign w:val="center"/>
            <w:hideMark/>
          </w:tcPr>
          <w:p w14:paraId="55A2B296"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1032</w:t>
            </w:r>
          </w:p>
        </w:tc>
        <w:tc>
          <w:tcPr>
            <w:tcW w:w="797" w:type="dxa"/>
            <w:tcBorders>
              <w:top w:val="nil"/>
              <w:left w:val="nil"/>
              <w:bottom w:val="single" w:sz="4" w:space="0" w:color="auto"/>
              <w:right w:val="single" w:sz="4" w:space="0" w:color="auto"/>
            </w:tcBorders>
            <w:shd w:val="clear" w:color="auto" w:fill="auto"/>
            <w:noWrap/>
            <w:vAlign w:val="center"/>
            <w:hideMark/>
          </w:tcPr>
          <w:p w14:paraId="5DAA11A9"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891190127</w:t>
            </w:r>
          </w:p>
        </w:tc>
        <w:tc>
          <w:tcPr>
            <w:tcW w:w="4844" w:type="dxa"/>
            <w:tcBorders>
              <w:top w:val="nil"/>
              <w:left w:val="nil"/>
              <w:bottom w:val="single" w:sz="4" w:space="0" w:color="auto"/>
              <w:right w:val="single" w:sz="4" w:space="0" w:color="auto"/>
            </w:tcBorders>
            <w:shd w:val="clear" w:color="auto" w:fill="auto"/>
            <w:vAlign w:val="center"/>
            <w:hideMark/>
          </w:tcPr>
          <w:p w14:paraId="6074732F"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ELECTRIFICADORA DEL CAQUETA S.A. ESP</w:t>
            </w:r>
          </w:p>
        </w:tc>
        <w:tc>
          <w:tcPr>
            <w:tcW w:w="1600" w:type="dxa"/>
            <w:tcBorders>
              <w:top w:val="nil"/>
              <w:left w:val="nil"/>
              <w:bottom w:val="single" w:sz="4" w:space="0" w:color="auto"/>
              <w:right w:val="single" w:sz="4" w:space="0" w:color="auto"/>
            </w:tcBorders>
            <w:shd w:val="clear" w:color="auto" w:fill="auto"/>
            <w:noWrap/>
            <w:vAlign w:val="center"/>
            <w:hideMark/>
          </w:tcPr>
          <w:p w14:paraId="6E73B667"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6.820.082.104 </w:t>
            </w:r>
          </w:p>
        </w:tc>
        <w:tc>
          <w:tcPr>
            <w:tcW w:w="1660" w:type="dxa"/>
            <w:tcBorders>
              <w:top w:val="nil"/>
              <w:left w:val="nil"/>
              <w:bottom w:val="single" w:sz="4" w:space="0" w:color="auto"/>
              <w:right w:val="single" w:sz="4" w:space="0" w:color="auto"/>
            </w:tcBorders>
            <w:shd w:val="clear" w:color="auto" w:fill="auto"/>
            <w:noWrap/>
            <w:vAlign w:val="center"/>
            <w:hideMark/>
          </w:tcPr>
          <w:p w14:paraId="68296F92"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9.033.254.275 </w:t>
            </w:r>
          </w:p>
        </w:tc>
      </w:tr>
      <w:tr w:rsidR="009838E7" w:rsidRPr="009838E7" w14:paraId="57D3CC3A"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545E034C"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108</w:t>
            </w:r>
          </w:p>
        </w:tc>
        <w:tc>
          <w:tcPr>
            <w:tcW w:w="505" w:type="dxa"/>
            <w:tcBorders>
              <w:top w:val="nil"/>
              <w:left w:val="nil"/>
              <w:bottom w:val="single" w:sz="4" w:space="0" w:color="auto"/>
              <w:right w:val="single" w:sz="4" w:space="0" w:color="auto"/>
            </w:tcBorders>
            <w:shd w:val="clear" w:color="auto" w:fill="auto"/>
            <w:noWrap/>
            <w:vAlign w:val="center"/>
            <w:hideMark/>
          </w:tcPr>
          <w:p w14:paraId="35B16A2E"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520</w:t>
            </w:r>
          </w:p>
        </w:tc>
        <w:tc>
          <w:tcPr>
            <w:tcW w:w="797" w:type="dxa"/>
            <w:tcBorders>
              <w:top w:val="nil"/>
              <w:left w:val="nil"/>
              <w:bottom w:val="single" w:sz="4" w:space="0" w:color="auto"/>
              <w:right w:val="single" w:sz="4" w:space="0" w:color="auto"/>
            </w:tcBorders>
            <w:shd w:val="clear" w:color="auto" w:fill="auto"/>
            <w:noWrap/>
            <w:vAlign w:val="center"/>
            <w:hideMark/>
          </w:tcPr>
          <w:p w14:paraId="72432BF1"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891200200</w:t>
            </w:r>
          </w:p>
        </w:tc>
        <w:tc>
          <w:tcPr>
            <w:tcW w:w="4844" w:type="dxa"/>
            <w:tcBorders>
              <w:top w:val="nil"/>
              <w:left w:val="nil"/>
              <w:bottom w:val="single" w:sz="4" w:space="0" w:color="auto"/>
              <w:right w:val="single" w:sz="4" w:space="0" w:color="auto"/>
            </w:tcBorders>
            <w:shd w:val="clear" w:color="auto" w:fill="auto"/>
            <w:vAlign w:val="center"/>
            <w:hideMark/>
          </w:tcPr>
          <w:p w14:paraId="15F9B676"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CENTRALES ELECTRICAS DE NARIÑO S.A. E.S.P.</w:t>
            </w:r>
          </w:p>
        </w:tc>
        <w:tc>
          <w:tcPr>
            <w:tcW w:w="1600" w:type="dxa"/>
            <w:tcBorders>
              <w:top w:val="nil"/>
              <w:left w:val="nil"/>
              <w:bottom w:val="single" w:sz="4" w:space="0" w:color="auto"/>
              <w:right w:val="single" w:sz="4" w:space="0" w:color="auto"/>
            </w:tcBorders>
            <w:shd w:val="clear" w:color="auto" w:fill="auto"/>
            <w:noWrap/>
            <w:vAlign w:val="center"/>
            <w:hideMark/>
          </w:tcPr>
          <w:p w14:paraId="27D994BA"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20.547.946.303 </w:t>
            </w:r>
          </w:p>
        </w:tc>
        <w:tc>
          <w:tcPr>
            <w:tcW w:w="1660" w:type="dxa"/>
            <w:tcBorders>
              <w:top w:val="nil"/>
              <w:left w:val="nil"/>
              <w:bottom w:val="single" w:sz="4" w:space="0" w:color="auto"/>
              <w:right w:val="single" w:sz="4" w:space="0" w:color="auto"/>
            </w:tcBorders>
            <w:shd w:val="clear" w:color="auto" w:fill="auto"/>
            <w:noWrap/>
            <w:vAlign w:val="center"/>
            <w:hideMark/>
          </w:tcPr>
          <w:p w14:paraId="612B5E76"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24.186.854.806 </w:t>
            </w:r>
          </w:p>
        </w:tc>
      </w:tr>
      <w:tr w:rsidR="009838E7" w:rsidRPr="009838E7" w14:paraId="22052C1C"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734EB478"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109</w:t>
            </w:r>
          </w:p>
        </w:tc>
        <w:tc>
          <w:tcPr>
            <w:tcW w:w="505" w:type="dxa"/>
            <w:tcBorders>
              <w:top w:val="nil"/>
              <w:left w:val="nil"/>
              <w:bottom w:val="single" w:sz="4" w:space="0" w:color="auto"/>
              <w:right w:val="single" w:sz="4" w:space="0" w:color="auto"/>
            </w:tcBorders>
            <w:shd w:val="clear" w:color="auto" w:fill="auto"/>
            <w:noWrap/>
            <w:vAlign w:val="center"/>
            <w:hideMark/>
          </w:tcPr>
          <w:p w14:paraId="2D6E52E9"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6026</w:t>
            </w:r>
          </w:p>
        </w:tc>
        <w:tc>
          <w:tcPr>
            <w:tcW w:w="797" w:type="dxa"/>
            <w:tcBorders>
              <w:top w:val="nil"/>
              <w:left w:val="nil"/>
              <w:bottom w:val="single" w:sz="4" w:space="0" w:color="auto"/>
              <w:right w:val="single" w:sz="4" w:space="0" w:color="auto"/>
            </w:tcBorders>
            <w:shd w:val="clear" w:color="auto" w:fill="auto"/>
            <w:noWrap/>
            <w:vAlign w:val="center"/>
            <w:hideMark/>
          </w:tcPr>
          <w:p w14:paraId="7C6F7D19"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891202203</w:t>
            </w:r>
          </w:p>
        </w:tc>
        <w:tc>
          <w:tcPr>
            <w:tcW w:w="4844" w:type="dxa"/>
            <w:tcBorders>
              <w:top w:val="nil"/>
              <w:left w:val="nil"/>
              <w:bottom w:val="single" w:sz="4" w:space="0" w:color="auto"/>
              <w:right w:val="single" w:sz="4" w:space="0" w:color="auto"/>
            </w:tcBorders>
            <w:shd w:val="clear" w:color="auto" w:fill="auto"/>
            <w:vAlign w:val="center"/>
            <w:hideMark/>
          </w:tcPr>
          <w:p w14:paraId="5C1F1AB9" w14:textId="77777777" w:rsidR="009838E7" w:rsidRPr="002C5AEF" w:rsidRDefault="009838E7" w:rsidP="00D22441">
            <w:pPr>
              <w:jc w:val="left"/>
              <w:rPr>
                <w:rFonts w:ascii="Arial Narrow" w:hAnsi="Arial Narrow" w:cs="Calibri"/>
                <w:color w:val="000000"/>
                <w:spacing w:val="0"/>
                <w:sz w:val="16"/>
                <w:szCs w:val="16"/>
                <w:lang w:val="en-GB" w:eastAsia="es-CO"/>
              </w:rPr>
            </w:pPr>
            <w:r w:rsidRPr="002C5AEF">
              <w:rPr>
                <w:rFonts w:ascii="Arial Narrow" w:hAnsi="Arial Narrow" w:cs="Calibri"/>
                <w:color w:val="000000"/>
                <w:spacing w:val="0"/>
                <w:sz w:val="16"/>
                <w:szCs w:val="16"/>
                <w:lang w:val="en-GB" w:eastAsia="es-CO"/>
              </w:rPr>
              <w:t>MONTAGAS S.A. E.S.P.</w:t>
            </w:r>
          </w:p>
        </w:tc>
        <w:tc>
          <w:tcPr>
            <w:tcW w:w="1600" w:type="dxa"/>
            <w:tcBorders>
              <w:top w:val="nil"/>
              <w:left w:val="nil"/>
              <w:bottom w:val="single" w:sz="4" w:space="0" w:color="auto"/>
              <w:right w:val="single" w:sz="4" w:space="0" w:color="auto"/>
            </w:tcBorders>
            <w:shd w:val="clear" w:color="auto" w:fill="auto"/>
            <w:noWrap/>
            <w:vAlign w:val="center"/>
            <w:hideMark/>
          </w:tcPr>
          <w:p w14:paraId="305101C0" w14:textId="77777777" w:rsidR="009838E7" w:rsidRPr="009838E7" w:rsidRDefault="009838E7" w:rsidP="00D22441">
            <w:pPr>
              <w:jc w:val="left"/>
              <w:rPr>
                <w:rFonts w:ascii="Arial Narrow" w:hAnsi="Arial Narrow" w:cs="Calibri"/>
                <w:color w:val="000000"/>
                <w:spacing w:val="0"/>
                <w:sz w:val="16"/>
                <w:szCs w:val="16"/>
                <w:lang w:eastAsia="es-CO"/>
              </w:rPr>
            </w:pPr>
            <w:r w:rsidRPr="002C5AEF">
              <w:rPr>
                <w:rFonts w:ascii="Arial Narrow" w:hAnsi="Arial Narrow" w:cs="Calibri"/>
                <w:color w:val="000000"/>
                <w:spacing w:val="0"/>
                <w:sz w:val="16"/>
                <w:szCs w:val="16"/>
                <w:lang w:val="en-GB" w:eastAsia="es-CO"/>
              </w:rPr>
              <w:t xml:space="preserve">             </w:t>
            </w:r>
            <w:r w:rsidRPr="009838E7">
              <w:rPr>
                <w:rFonts w:ascii="Arial Narrow" w:hAnsi="Arial Narrow" w:cs="Calibri"/>
                <w:color w:val="000000"/>
                <w:spacing w:val="0"/>
                <w:sz w:val="16"/>
                <w:szCs w:val="16"/>
                <w:lang w:eastAsia="es-CO"/>
              </w:rPr>
              <w:t xml:space="preserve">4.992.002.824 </w:t>
            </w:r>
          </w:p>
        </w:tc>
        <w:tc>
          <w:tcPr>
            <w:tcW w:w="1660" w:type="dxa"/>
            <w:tcBorders>
              <w:top w:val="nil"/>
              <w:left w:val="nil"/>
              <w:bottom w:val="single" w:sz="4" w:space="0" w:color="auto"/>
              <w:right w:val="single" w:sz="4" w:space="0" w:color="auto"/>
            </w:tcBorders>
            <w:shd w:val="clear" w:color="auto" w:fill="auto"/>
            <w:noWrap/>
            <w:vAlign w:val="center"/>
            <w:hideMark/>
          </w:tcPr>
          <w:p w14:paraId="2EBCF4B9"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6.096.467.071 </w:t>
            </w:r>
          </w:p>
        </w:tc>
      </w:tr>
      <w:tr w:rsidR="009838E7" w:rsidRPr="009838E7" w14:paraId="6369C69E"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3B79EBEA"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110</w:t>
            </w:r>
          </w:p>
        </w:tc>
        <w:tc>
          <w:tcPr>
            <w:tcW w:w="505" w:type="dxa"/>
            <w:tcBorders>
              <w:top w:val="nil"/>
              <w:left w:val="nil"/>
              <w:bottom w:val="single" w:sz="4" w:space="0" w:color="auto"/>
              <w:right w:val="single" w:sz="4" w:space="0" w:color="auto"/>
            </w:tcBorders>
            <w:shd w:val="clear" w:color="auto" w:fill="auto"/>
            <w:noWrap/>
            <w:vAlign w:val="center"/>
            <w:hideMark/>
          </w:tcPr>
          <w:p w14:paraId="4F5C3D42"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1854</w:t>
            </w:r>
          </w:p>
        </w:tc>
        <w:tc>
          <w:tcPr>
            <w:tcW w:w="797" w:type="dxa"/>
            <w:tcBorders>
              <w:top w:val="nil"/>
              <w:left w:val="nil"/>
              <w:bottom w:val="single" w:sz="4" w:space="0" w:color="auto"/>
              <w:right w:val="single" w:sz="4" w:space="0" w:color="auto"/>
            </w:tcBorders>
            <w:shd w:val="clear" w:color="auto" w:fill="auto"/>
            <w:noWrap/>
            <w:vAlign w:val="center"/>
            <w:hideMark/>
          </w:tcPr>
          <w:p w14:paraId="20A6F13C"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891300973</w:t>
            </w:r>
          </w:p>
        </w:tc>
        <w:tc>
          <w:tcPr>
            <w:tcW w:w="4844" w:type="dxa"/>
            <w:tcBorders>
              <w:top w:val="nil"/>
              <w:left w:val="nil"/>
              <w:bottom w:val="single" w:sz="4" w:space="0" w:color="auto"/>
              <w:right w:val="single" w:sz="4" w:space="0" w:color="auto"/>
            </w:tcBorders>
            <w:shd w:val="clear" w:color="auto" w:fill="auto"/>
            <w:vAlign w:val="center"/>
            <w:hideMark/>
          </w:tcPr>
          <w:p w14:paraId="3F813F9F"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LIDAGAS S.A E.S.P.</w:t>
            </w:r>
          </w:p>
        </w:tc>
        <w:tc>
          <w:tcPr>
            <w:tcW w:w="1600" w:type="dxa"/>
            <w:tcBorders>
              <w:top w:val="nil"/>
              <w:left w:val="nil"/>
              <w:bottom w:val="single" w:sz="4" w:space="0" w:color="auto"/>
              <w:right w:val="single" w:sz="4" w:space="0" w:color="auto"/>
            </w:tcBorders>
            <w:shd w:val="clear" w:color="auto" w:fill="auto"/>
            <w:noWrap/>
            <w:vAlign w:val="center"/>
            <w:hideMark/>
          </w:tcPr>
          <w:p w14:paraId="5C7292C6"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1.205.685.407 </w:t>
            </w:r>
          </w:p>
        </w:tc>
        <w:tc>
          <w:tcPr>
            <w:tcW w:w="1660" w:type="dxa"/>
            <w:tcBorders>
              <w:top w:val="nil"/>
              <w:left w:val="nil"/>
              <w:bottom w:val="single" w:sz="4" w:space="0" w:color="auto"/>
              <w:right w:val="single" w:sz="4" w:space="0" w:color="auto"/>
            </w:tcBorders>
            <w:shd w:val="clear" w:color="auto" w:fill="auto"/>
            <w:noWrap/>
            <w:vAlign w:val="center"/>
            <w:hideMark/>
          </w:tcPr>
          <w:p w14:paraId="327591DE"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1.380.296.703 </w:t>
            </w:r>
          </w:p>
        </w:tc>
      </w:tr>
      <w:tr w:rsidR="009838E7" w:rsidRPr="009838E7" w14:paraId="5BEE89A8"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6BF5747C"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111</w:t>
            </w:r>
          </w:p>
        </w:tc>
        <w:tc>
          <w:tcPr>
            <w:tcW w:w="505" w:type="dxa"/>
            <w:tcBorders>
              <w:top w:val="nil"/>
              <w:left w:val="nil"/>
              <w:bottom w:val="single" w:sz="4" w:space="0" w:color="auto"/>
              <w:right w:val="single" w:sz="4" w:space="0" w:color="auto"/>
            </w:tcBorders>
            <w:shd w:val="clear" w:color="auto" w:fill="auto"/>
            <w:noWrap/>
            <w:vAlign w:val="center"/>
            <w:hideMark/>
          </w:tcPr>
          <w:p w14:paraId="4282B820"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1564</w:t>
            </w:r>
          </w:p>
        </w:tc>
        <w:tc>
          <w:tcPr>
            <w:tcW w:w="797" w:type="dxa"/>
            <w:tcBorders>
              <w:top w:val="nil"/>
              <w:left w:val="nil"/>
              <w:bottom w:val="single" w:sz="4" w:space="0" w:color="auto"/>
              <w:right w:val="single" w:sz="4" w:space="0" w:color="auto"/>
            </w:tcBorders>
            <w:shd w:val="clear" w:color="auto" w:fill="auto"/>
            <w:noWrap/>
            <w:vAlign w:val="center"/>
            <w:hideMark/>
          </w:tcPr>
          <w:p w14:paraId="2BDE7FDD"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891400900</w:t>
            </w:r>
          </w:p>
        </w:tc>
        <w:tc>
          <w:tcPr>
            <w:tcW w:w="4844" w:type="dxa"/>
            <w:tcBorders>
              <w:top w:val="nil"/>
              <w:left w:val="nil"/>
              <w:bottom w:val="single" w:sz="4" w:space="0" w:color="auto"/>
              <w:right w:val="single" w:sz="4" w:space="0" w:color="auto"/>
            </w:tcBorders>
            <w:shd w:val="clear" w:color="auto" w:fill="auto"/>
            <w:vAlign w:val="center"/>
            <w:hideMark/>
          </w:tcPr>
          <w:p w14:paraId="11DC0BC4"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ELECTROGAS SA ESP</w:t>
            </w:r>
          </w:p>
        </w:tc>
        <w:tc>
          <w:tcPr>
            <w:tcW w:w="1600" w:type="dxa"/>
            <w:tcBorders>
              <w:top w:val="nil"/>
              <w:left w:val="nil"/>
              <w:bottom w:val="single" w:sz="4" w:space="0" w:color="auto"/>
              <w:right w:val="single" w:sz="4" w:space="0" w:color="auto"/>
            </w:tcBorders>
            <w:shd w:val="clear" w:color="auto" w:fill="auto"/>
            <w:noWrap/>
            <w:vAlign w:val="center"/>
            <w:hideMark/>
          </w:tcPr>
          <w:p w14:paraId="41BC26CF"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153.115.573 </w:t>
            </w:r>
          </w:p>
        </w:tc>
        <w:tc>
          <w:tcPr>
            <w:tcW w:w="1660" w:type="dxa"/>
            <w:tcBorders>
              <w:top w:val="nil"/>
              <w:left w:val="nil"/>
              <w:bottom w:val="single" w:sz="4" w:space="0" w:color="auto"/>
              <w:right w:val="single" w:sz="4" w:space="0" w:color="auto"/>
            </w:tcBorders>
            <w:shd w:val="clear" w:color="auto" w:fill="auto"/>
            <w:noWrap/>
            <w:vAlign w:val="center"/>
            <w:hideMark/>
          </w:tcPr>
          <w:p w14:paraId="6A29AD69"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308.982.334 </w:t>
            </w:r>
          </w:p>
        </w:tc>
      </w:tr>
      <w:tr w:rsidR="009838E7" w:rsidRPr="009838E7" w14:paraId="348B84B4"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6923DD2D"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112</w:t>
            </w:r>
          </w:p>
        </w:tc>
        <w:tc>
          <w:tcPr>
            <w:tcW w:w="505" w:type="dxa"/>
            <w:tcBorders>
              <w:top w:val="nil"/>
              <w:left w:val="nil"/>
              <w:bottom w:val="single" w:sz="4" w:space="0" w:color="auto"/>
              <w:right w:val="single" w:sz="4" w:space="0" w:color="auto"/>
            </w:tcBorders>
            <w:shd w:val="clear" w:color="auto" w:fill="auto"/>
            <w:noWrap/>
            <w:vAlign w:val="center"/>
            <w:hideMark/>
          </w:tcPr>
          <w:p w14:paraId="1FE8FDD0"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694</w:t>
            </w:r>
          </w:p>
        </w:tc>
        <w:tc>
          <w:tcPr>
            <w:tcW w:w="797" w:type="dxa"/>
            <w:tcBorders>
              <w:top w:val="nil"/>
              <w:left w:val="nil"/>
              <w:bottom w:val="single" w:sz="4" w:space="0" w:color="auto"/>
              <w:right w:val="single" w:sz="4" w:space="0" w:color="auto"/>
            </w:tcBorders>
            <w:shd w:val="clear" w:color="auto" w:fill="auto"/>
            <w:noWrap/>
            <w:vAlign w:val="center"/>
            <w:hideMark/>
          </w:tcPr>
          <w:p w14:paraId="485DCEB5"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891500061</w:t>
            </w:r>
          </w:p>
        </w:tc>
        <w:tc>
          <w:tcPr>
            <w:tcW w:w="4844" w:type="dxa"/>
            <w:tcBorders>
              <w:top w:val="nil"/>
              <w:left w:val="nil"/>
              <w:bottom w:val="single" w:sz="4" w:space="0" w:color="auto"/>
              <w:right w:val="single" w:sz="4" w:space="0" w:color="auto"/>
            </w:tcBorders>
            <w:shd w:val="clear" w:color="auto" w:fill="auto"/>
            <w:vAlign w:val="center"/>
            <w:hideMark/>
          </w:tcPr>
          <w:p w14:paraId="51CFCDCB" w14:textId="06F24235"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EMPRESA MUNICIPAL DE ENERGÍA ELÉCTRICA S.A</w:t>
            </w:r>
            <w:r w:rsidR="006F2D43">
              <w:rPr>
                <w:rFonts w:ascii="Arial Narrow" w:hAnsi="Arial Narrow" w:cs="Calibri"/>
                <w:color w:val="000000"/>
                <w:spacing w:val="0"/>
                <w:sz w:val="16"/>
                <w:szCs w:val="16"/>
                <w:lang w:eastAsia="es-CO"/>
              </w:rPr>
              <w:t xml:space="preserve">. </w:t>
            </w:r>
            <w:r w:rsidRPr="009838E7">
              <w:rPr>
                <w:rFonts w:ascii="Arial Narrow" w:hAnsi="Arial Narrow" w:cs="Calibri"/>
                <w:color w:val="000000"/>
                <w:spacing w:val="0"/>
                <w:sz w:val="16"/>
                <w:szCs w:val="16"/>
                <w:lang w:eastAsia="es-CO"/>
              </w:rPr>
              <w:t>E.S.P</w:t>
            </w:r>
            <w:r w:rsidR="006F2D43">
              <w:rPr>
                <w:rFonts w:ascii="Arial Narrow" w:hAnsi="Arial Narrow" w:cs="Calibri"/>
                <w:color w:val="000000"/>
                <w:spacing w:val="0"/>
                <w:sz w:val="16"/>
                <w:szCs w:val="16"/>
                <w:lang w:eastAsia="es-CO"/>
              </w:rPr>
              <w:t>.</w:t>
            </w:r>
          </w:p>
        </w:tc>
        <w:tc>
          <w:tcPr>
            <w:tcW w:w="1600" w:type="dxa"/>
            <w:tcBorders>
              <w:top w:val="nil"/>
              <w:left w:val="nil"/>
              <w:bottom w:val="single" w:sz="4" w:space="0" w:color="auto"/>
              <w:right w:val="single" w:sz="4" w:space="0" w:color="auto"/>
            </w:tcBorders>
            <w:shd w:val="clear" w:color="auto" w:fill="auto"/>
            <w:noWrap/>
            <w:vAlign w:val="center"/>
            <w:hideMark/>
          </w:tcPr>
          <w:p w14:paraId="2C16CEFF"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2.180.855.171 </w:t>
            </w:r>
          </w:p>
        </w:tc>
        <w:tc>
          <w:tcPr>
            <w:tcW w:w="1660" w:type="dxa"/>
            <w:tcBorders>
              <w:top w:val="nil"/>
              <w:left w:val="nil"/>
              <w:bottom w:val="single" w:sz="4" w:space="0" w:color="auto"/>
              <w:right w:val="single" w:sz="4" w:space="0" w:color="auto"/>
            </w:tcBorders>
            <w:shd w:val="clear" w:color="auto" w:fill="auto"/>
            <w:noWrap/>
            <w:vAlign w:val="center"/>
            <w:hideMark/>
          </w:tcPr>
          <w:p w14:paraId="020FD5D9"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2.542.125.804 </w:t>
            </w:r>
          </w:p>
        </w:tc>
      </w:tr>
      <w:tr w:rsidR="009838E7" w:rsidRPr="009838E7" w14:paraId="2B45065A"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676EC0F0"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113</w:t>
            </w:r>
          </w:p>
        </w:tc>
        <w:tc>
          <w:tcPr>
            <w:tcW w:w="505" w:type="dxa"/>
            <w:tcBorders>
              <w:top w:val="nil"/>
              <w:left w:val="nil"/>
              <w:bottom w:val="single" w:sz="4" w:space="0" w:color="auto"/>
              <w:right w:val="single" w:sz="4" w:space="0" w:color="auto"/>
            </w:tcBorders>
            <w:shd w:val="clear" w:color="auto" w:fill="auto"/>
            <w:noWrap/>
            <w:vAlign w:val="center"/>
            <w:hideMark/>
          </w:tcPr>
          <w:p w14:paraId="1EEC95F9"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1330</w:t>
            </w:r>
          </w:p>
        </w:tc>
        <w:tc>
          <w:tcPr>
            <w:tcW w:w="797" w:type="dxa"/>
            <w:tcBorders>
              <w:top w:val="nil"/>
              <w:left w:val="nil"/>
              <w:bottom w:val="single" w:sz="4" w:space="0" w:color="auto"/>
              <w:right w:val="single" w:sz="4" w:space="0" w:color="auto"/>
            </w:tcBorders>
            <w:shd w:val="clear" w:color="auto" w:fill="auto"/>
            <w:noWrap/>
            <w:vAlign w:val="center"/>
            <w:hideMark/>
          </w:tcPr>
          <w:p w14:paraId="754242AD"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891800082</w:t>
            </w:r>
          </w:p>
        </w:tc>
        <w:tc>
          <w:tcPr>
            <w:tcW w:w="4844" w:type="dxa"/>
            <w:tcBorders>
              <w:top w:val="nil"/>
              <w:left w:val="nil"/>
              <w:bottom w:val="single" w:sz="4" w:space="0" w:color="auto"/>
              <w:right w:val="single" w:sz="4" w:space="0" w:color="auto"/>
            </w:tcBorders>
            <w:shd w:val="clear" w:color="auto" w:fill="auto"/>
            <w:vAlign w:val="center"/>
            <w:hideMark/>
          </w:tcPr>
          <w:p w14:paraId="0A04E328"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GRANADOS, GOMEZ Y CIA S.A. E.S.P.</w:t>
            </w:r>
          </w:p>
        </w:tc>
        <w:tc>
          <w:tcPr>
            <w:tcW w:w="1600" w:type="dxa"/>
            <w:tcBorders>
              <w:top w:val="nil"/>
              <w:left w:val="nil"/>
              <w:bottom w:val="single" w:sz="4" w:space="0" w:color="auto"/>
              <w:right w:val="single" w:sz="4" w:space="0" w:color="auto"/>
            </w:tcBorders>
            <w:shd w:val="clear" w:color="auto" w:fill="auto"/>
            <w:noWrap/>
            <w:vAlign w:val="center"/>
            <w:hideMark/>
          </w:tcPr>
          <w:p w14:paraId="788B3631"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982.706.647 </w:t>
            </w:r>
          </w:p>
        </w:tc>
        <w:tc>
          <w:tcPr>
            <w:tcW w:w="1660" w:type="dxa"/>
            <w:tcBorders>
              <w:top w:val="nil"/>
              <w:left w:val="nil"/>
              <w:bottom w:val="single" w:sz="4" w:space="0" w:color="auto"/>
              <w:right w:val="single" w:sz="4" w:space="0" w:color="auto"/>
            </w:tcBorders>
            <w:shd w:val="clear" w:color="auto" w:fill="auto"/>
            <w:noWrap/>
            <w:vAlign w:val="center"/>
            <w:hideMark/>
          </w:tcPr>
          <w:p w14:paraId="0FAAECA4"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1.033.807.546 </w:t>
            </w:r>
          </w:p>
        </w:tc>
      </w:tr>
      <w:tr w:rsidR="009838E7" w:rsidRPr="009838E7" w14:paraId="5E3C782B"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12117C12"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114</w:t>
            </w:r>
          </w:p>
        </w:tc>
        <w:tc>
          <w:tcPr>
            <w:tcW w:w="505" w:type="dxa"/>
            <w:tcBorders>
              <w:top w:val="nil"/>
              <w:left w:val="nil"/>
              <w:bottom w:val="single" w:sz="4" w:space="0" w:color="auto"/>
              <w:right w:val="single" w:sz="4" w:space="0" w:color="auto"/>
            </w:tcBorders>
            <w:shd w:val="clear" w:color="auto" w:fill="auto"/>
            <w:noWrap/>
            <w:vAlign w:val="center"/>
            <w:hideMark/>
          </w:tcPr>
          <w:p w14:paraId="43D17C0E"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500</w:t>
            </w:r>
          </w:p>
        </w:tc>
        <w:tc>
          <w:tcPr>
            <w:tcW w:w="797" w:type="dxa"/>
            <w:tcBorders>
              <w:top w:val="nil"/>
              <w:left w:val="nil"/>
              <w:bottom w:val="single" w:sz="4" w:space="0" w:color="auto"/>
              <w:right w:val="single" w:sz="4" w:space="0" w:color="auto"/>
            </w:tcBorders>
            <w:shd w:val="clear" w:color="auto" w:fill="auto"/>
            <w:noWrap/>
            <w:vAlign w:val="center"/>
            <w:hideMark/>
          </w:tcPr>
          <w:p w14:paraId="569103CB"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891800219</w:t>
            </w:r>
          </w:p>
        </w:tc>
        <w:tc>
          <w:tcPr>
            <w:tcW w:w="4844" w:type="dxa"/>
            <w:tcBorders>
              <w:top w:val="nil"/>
              <w:left w:val="nil"/>
              <w:bottom w:val="single" w:sz="4" w:space="0" w:color="auto"/>
              <w:right w:val="single" w:sz="4" w:space="0" w:color="auto"/>
            </w:tcBorders>
            <w:shd w:val="clear" w:color="auto" w:fill="auto"/>
            <w:vAlign w:val="center"/>
            <w:hideMark/>
          </w:tcPr>
          <w:p w14:paraId="144B735E"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EMPRESA DE ENERGIA DE BOYACA S.A. ESP</w:t>
            </w:r>
          </w:p>
        </w:tc>
        <w:tc>
          <w:tcPr>
            <w:tcW w:w="1600" w:type="dxa"/>
            <w:tcBorders>
              <w:top w:val="nil"/>
              <w:left w:val="nil"/>
              <w:bottom w:val="single" w:sz="4" w:space="0" w:color="auto"/>
              <w:right w:val="single" w:sz="4" w:space="0" w:color="auto"/>
            </w:tcBorders>
            <w:shd w:val="clear" w:color="auto" w:fill="auto"/>
            <w:noWrap/>
            <w:vAlign w:val="center"/>
            <w:hideMark/>
          </w:tcPr>
          <w:p w14:paraId="2D9590DA"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18.474.034.810 </w:t>
            </w:r>
          </w:p>
        </w:tc>
        <w:tc>
          <w:tcPr>
            <w:tcW w:w="1660" w:type="dxa"/>
            <w:tcBorders>
              <w:top w:val="nil"/>
              <w:left w:val="nil"/>
              <w:bottom w:val="single" w:sz="4" w:space="0" w:color="auto"/>
              <w:right w:val="single" w:sz="4" w:space="0" w:color="auto"/>
            </w:tcBorders>
            <w:shd w:val="clear" w:color="auto" w:fill="auto"/>
            <w:noWrap/>
            <w:vAlign w:val="center"/>
            <w:hideMark/>
          </w:tcPr>
          <w:p w14:paraId="5DE2BB68"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21.456.640.866 </w:t>
            </w:r>
          </w:p>
        </w:tc>
      </w:tr>
      <w:tr w:rsidR="009838E7" w:rsidRPr="009838E7" w14:paraId="7BC4A86D"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50DAFF55"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115</w:t>
            </w:r>
          </w:p>
        </w:tc>
        <w:tc>
          <w:tcPr>
            <w:tcW w:w="505" w:type="dxa"/>
            <w:tcBorders>
              <w:top w:val="nil"/>
              <w:left w:val="nil"/>
              <w:bottom w:val="single" w:sz="4" w:space="0" w:color="auto"/>
              <w:right w:val="single" w:sz="4" w:space="0" w:color="auto"/>
            </w:tcBorders>
            <w:shd w:val="clear" w:color="auto" w:fill="auto"/>
            <w:noWrap/>
            <w:vAlign w:val="center"/>
            <w:hideMark/>
          </w:tcPr>
          <w:p w14:paraId="7C82476D"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637</w:t>
            </w:r>
          </w:p>
        </w:tc>
        <w:tc>
          <w:tcPr>
            <w:tcW w:w="797" w:type="dxa"/>
            <w:tcBorders>
              <w:top w:val="nil"/>
              <w:left w:val="nil"/>
              <w:bottom w:val="single" w:sz="4" w:space="0" w:color="auto"/>
              <w:right w:val="single" w:sz="4" w:space="0" w:color="auto"/>
            </w:tcBorders>
            <w:shd w:val="clear" w:color="auto" w:fill="auto"/>
            <w:noWrap/>
            <w:vAlign w:val="center"/>
            <w:hideMark/>
          </w:tcPr>
          <w:p w14:paraId="2CFB21DA"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891900101</w:t>
            </w:r>
          </w:p>
        </w:tc>
        <w:tc>
          <w:tcPr>
            <w:tcW w:w="4844" w:type="dxa"/>
            <w:tcBorders>
              <w:top w:val="nil"/>
              <w:left w:val="nil"/>
              <w:bottom w:val="single" w:sz="4" w:space="0" w:color="auto"/>
              <w:right w:val="single" w:sz="4" w:space="0" w:color="auto"/>
            </w:tcBorders>
            <w:shd w:val="clear" w:color="auto" w:fill="auto"/>
            <w:vAlign w:val="center"/>
            <w:hideMark/>
          </w:tcPr>
          <w:p w14:paraId="394E6869"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COMPAÑÍA DE ELECTRICIDAD DE TULUÁ S.A. E.S.P.</w:t>
            </w:r>
          </w:p>
        </w:tc>
        <w:tc>
          <w:tcPr>
            <w:tcW w:w="1600" w:type="dxa"/>
            <w:tcBorders>
              <w:top w:val="nil"/>
              <w:left w:val="nil"/>
              <w:bottom w:val="single" w:sz="4" w:space="0" w:color="auto"/>
              <w:right w:val="single" w:sz="4" w:space="0" w:color="auto"/>
            </w:tcBorders>
            <w:shd w:val="clear" w:color="auto" w:fill="auto"/>
            <w:noWrap/>
            <w:vAlign w:val="center"/>
            <w:hideMark/>
          </w:tcPr>
          <w:p w14:paraId="1008512D"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2.973.606.507 </w:t>
            </w:r>
          </w:p>
        </w:tc>
        <w:tc>
          <w:tcPr>
            <w:tcW w:w="1660" w:type="dxa"/>
            <w:tcBorders>
              <w:top w:val="nil"/>
              <w:left w:val="nil"/>
              <w:bottom w:val="single" w:sz="4" w:space="0" w:color="auto"/>
              <w:right w:val="single" w:sz="4" w:space="0" w:color="auto"/>
            </w:tcBorders>
            <w:shd w:val="clear" w:color="auto" w:fill="auto"/>
            <w:noWrap/>
            <w:vAlign w:val="center"/>
            <w:hideMark/>
          </w:tcPr>
          <w:p w14:paraId="2A1ED456"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2.666.732.640 </w:t>
            </w:r>
          </w:p>
        </w:tc>
      </w:tr>
      <w:tr w:rsidR="009838E7" w:rsidRPr="009838E7" w14:paraId="716A8668"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427E5ED9"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116</w:t>
            </w:r>
          </w:p>
        </w:tc>
        <w:tc>
          <w:tcPr>
            <w:tcW w:w="505" w:type="dxa"/>
            <w:tcBorders>
              <w:top w:val="nil"/>
              <w:left w:val="nil"/>
              <w:bottom w:val="single" w:sz="4" w:space="0" w:color="auto"/>
              <w:right w:val="single" w:sz="4" w:space="0" w:color="auto"/>
            </w:tcBorders>
            <w:shd w:val="clear" w:color="auto" w:fill="auto"/>
            <w:noWrap/>
            <w:vAlign w:val="center"/>
            <w:hideMark/>
          </w:tcPr>
          <w:p w14:paraId="0509916A"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600</w:t>
            </w:r>
          </w:p>
        </w:tc>
        <w:tc>
          <w:tcPr>
            <w:tcW w:w="797" w:type="dxa"/>
            <w:tcBorders>
              <w:top w:val="nil"/>
              <w:left w:val="nil"/>
              <w:bottom w:val="single" w:sz="4" w:space="0" w:color="auto"/>
              <w:right w:val="single" w:sz="4" w:space="0" w:color="auto"/>
            </w:tcBorders>
            <w:shd w:val="clear" w:color="auto" w:fill="auto"/>
            <w:noWrap/>
            <w:vAlign w:val="center"/>
            <w:hideMark/>
          </w:tcPr>
          <w:p w14:paraId="5B1C362B"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892002210</w:t>
            </w:r>
          </w:p>
        </w:tc>
        <w:tc>
          <w:tcPr>
            <w:tcW w:w="4844" w:type="dxa"/>
            <w:tcBorders>
              <w:top w:val="nil"/>
              <w:left w:val="nil"/>
              <w:bottom w:val="single" w:sz="4" w:space="0" w:color="auto"/>
              <w:right w:val="single" w:sz="4" w:space="0" w:color="auto"/>
            </w:tcBorders>
            <w:shd w:val="clear" w:color="auto" w:fill="auto"/>
            <w:vAlign w:val="center"/>
            <w:hideMark/>
          </w:tcPr>
          <w:p w14:paraId="64570555"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ELECTRIFICADORA DEL META S.A. E.S.P.</w:t>
            </w:r>
          </w:p>
        </w:tc>
        <w:tc>
          <w:tcPr>
            <w:tcW w:w="1600" w:type="dxa"/>
            <w:tcBorders>
              <w:top w:val="nil"/>
              <w:left w:val="nil"/>
              <w:bottom w:val="single" w:sz="4" w:space="0" w:color="auto"/>
              <w:right w:val="single" w:sz="4" w:space="0" w:color="auto"/>
            </w:tcBorders>
            <w:shd w:val="clear" w:color="auto" w:fill="auto"/>
            <w:noWrap/>
            <w:vAlign w:val="center"/>
            <w:hideMark/>
          </w:tcPr>
          <w:p w14:paraId="7974756D"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19.600.982.859 </w:t>
            </w:r>
          </w:p>
        </w:tc>
        <w:tc>
          <w:tcPr>
            <w:tcW w:w="1660" w:type="dxa"/>
            <w:tcBorders>
              <w:top w:val="nil"/>
              <w:left w:val="nil"/>
              <w:bottom w:val="single" w:sz="4" w:space="0" w:color="auto"/>
              <w:right w:val="single" w:sz="4" w:space="0" w:color="auto"/>
            </w:tcBorders>
            <w:shd w:val="clear" w:color="auto" w:fill="auto"/>
            <w:noWrap/>
            <w:vAlign w:val="center"/>
            <w:hideMark/>
          </w:tcPr>
          <w:p w14:paraId="03C9D7DA"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24.290.822.785 </w:t>
            </w:r>
          </w:p>
        </w:tc>
      </w:tr>
      <w:tr w:rsidR="009838E7" w:rsidRPr="009838E7" w14:paraId="3DA11172"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1EB3372C"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lastRenderedPageBreak/>
              <w:t>117</w:t>
            </w:r>
          </w:p>
        </w:tc>
        <w:tc>
          <w:tcPr>
            <w:tcW w:w="505" w:type="dxa"/>
            <w:tcBorders>
              <w:top w:val="nil"/>
              <w:left w:val="nil"/>
              <w:bottom w:val="single" w:sz="4" w:space="0" w:color="auto"/>
              <w:right w:val="single" w:sz="4" w:space="0" w:color="auto"/>
            </w:tcBorders>
            <w:shd w:val="clear" w:color="auto" w:fill="auto"/>
            <w:noWrap/>
            <w:vAlign w:val="center"/>
            <w:hideMark/>
          </w:tcPr>
          <w:p w14:paraId="5C586255"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599</w:t>
            </w:r>
          </w:p>
        </w:tc>
        <w:tc>
          <w:tcPr>
            <w:tcW w:w="797" w:type="dxa"/>
            <w:tcBorders>
              <w:top w:val="nil"/>
              <w:left w:val="nil"/>
              <w:bottom w:val="single" w:sz="4" w:space="0" w:color="auto"/>
              <w:right w:val="single" w:sz="4" w:space="0" w:color="auto"/>
            </w:tcBorders>
            <w:shd w:val="clear" w:color="auto" w:fill="auto"/>
            <w:noWrap/>
            <w:vAlign w:val="center"/>
            <w:hideMark/>
          </w:tcPr>
          <w:p w14:paraId="45C13E6E"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892099499</w:t>
            </w:r>
          </w:p>
        </w:tc>
        <w:tc>
          <w:tcPr>
            <w:tcW w:w="4844" w:type="dxa"/>
            <w:tcBorders>
              <w:top w:val="nil"/>
              <w:left w:val="nil"/>
              <w:bottom w:val="single" w:sz="4" w:space="0" w:color="auto"/>
              <w:right w:val="single" w:sz="4" w:space="0" w:color="auto"/>
            </w:tcBorders>
            <w:shd w:val="clear" w:color="auto" w:fill="auto"/>
            <w:vAlign w:val="center"/>
            <w:hideMark/>
          </w:tcPr>
          <w:p w14:paraId="2184DCDA"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EMPRESA DE ENERGIA DE ARAUCA</w:t>
            </w:r>
          </w:p>
        </w:tc>
        <w:tc>
          <w:tcPr>
            <w:tcW w:w="1600" w:type="dxa"/>
            <w:tcBorders>
              <w:top w:val="nil"/>
              <w:left w:val="nil"/>
              <w:bottom w:val="single" w:sz="4" w:space="0" w:color="auto"/>
              <w:right w:val="single" w:sz="4" w:space="0" w:color="auto"/>
            </w:tcBorders>
            <w:shd w:val="clear" w:color="auto" w:fill="auto"/>
            <w:noWrap/>
            <w:vAlign w:val="center"/>
            <w:hideMark/>
          </w:tcPr>
          <w:p w14:paraId="01195757"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11.347.541.720 </w:t>
            </w:r>
          </w:p>
        </w:tc>
        <w:tc>
          <w:tcPr>
            <w:tcW w:w="1660" w:type="dxa"/>
            <w:tcBorders>
              <w:top w:val="nil"/>
              <w:left w:val="nil"/>
              <w:bottom w:val="single" w:sz="4" w:space="0" w:color="auto"/>
              <w:right w:val="single" w:sz="4" w:space="0" w:color="auto"/>
            </w:tcBorders>
            <w:shd w:val="clear" w:color="auto" w:fill="auto"/>
            <w:noWrap/>
            <w:vAlign w:val="center"/>
            <w:hideMark/>
          </w:tcPr>
          <w:p w14:paraId="4438444D"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9.119.733.369 </w:t>
            </w:r>
          </w:p>
        </w:tc>
      </w:tr>
      <w:tr w:rsidR="009838E7" w:rsidRPr="009838E7" w14:paraId="79B2BEA2" w14:textId="77777777" w:rsidTr="00092F91">
        <w:trPr>
          <w:trHeight w:val="280"/>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67270EB0"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118</w:t>
            </w:r>
          </w:p>
        </w:tc>
        <w:tc>
          <w:tcPr>
            <w:tcW w:w="505" w:type="dxa"/>
            <w:tcBorders>
              <w:top w:val="nil"/>
              <w:left w:val="nil"/>
              <w:bottom w:val="single" w:sz="4" w:space="0" w:color="auto"/>
              <w:right w:val="single" w:sz="4" w:space="0" w:color="auto"/>
            </w:tcBorders>
            <w:shd w:val="clear" w:color="auto" w:fill="auto"/>
            <w:noWrap/>
            <w:vAlign w:val="center"/>
            <w:hideMark/>
          </w:tcPr>
          <w:p w14:paraId="606B72B1"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978</w:t>
            </w:r>
          </w:p>
        </w:tc>
        <w:tc>
          <w:tcPr>
            <w:tcW w:w="797" w:type="dxa"/>
            <w:tcBorders>
              <w:top w:val="nil"/>
              <w:left w:val="nil"/>
              <w:bottom w:val="single" w:sz="4" w:space="0" w:color="auto"/>
              <w:right w:val="single" w:sz="4" w:space="0" w:color="auto"/>
            </w:tcBorders>
            <w:shd w:val="clear" w:color="auto" w:fill="auto"/>
            <w:noWrap/>
            <w:vAlign w:val="center"/>
            <w:hideMark/>
          </w:tcPr>
          <w:p w14:paraId="151BDAB4"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892115036</w:t>
            </w:r>
          </w:p>
        </w:tc>
        <w:tc>
          <w:tcPr>
            <w:tcW w:w="4844" w:type="dxa"/>
            <w:tcBorders>
              <w:top w:val="nil"/>
              <w:left w:val="nil"/>
              <w:bottom w:val="single" w:sz="4" w:space="0" w:color="auto"/>
              <w:right w:val="single" w:sz="4" w:space="0" w:color="auto"/>
            </w:tcBorders>
            <w:shd w:val="clear" w:color="auto" w:fill="auto"/>
            <w:vAlign w:val="center"/>
            <w:hideMark/>
          </w:tcPr>
          <w:p w14:paraId="68A1DC2B"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GASES DE LA GUAJIRA S.A., EMPRESA DE SERVICIOS PUBLICOS</w:t>
            </w:r>
          </w:p>
        </w:tc>
        <w:tc>
          <w:tcPr>
            <w:tcW w:w="1600" w:type="dxa"/>
            <w:tcBorders>
              <w:top w:val="nil"/>
              <w:left w:val="nil"/>
              <w:bottom w:val="single" w:sz="4" w:space="0" w:color="auto"/>
              <w:right w:val="single" w:sz="4" w:space="0" w:color="auto"/>
            </w:tcBorders>
            <w:shd w:val="clear" w:color="auto" w:fill="auto"/>
            <w:noWrap/>
            <w:vAlign w:val="center"/>
            <w:hideMark/>
          </w:tcPr>
          <w:p w14:paraId="248840FA"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5.287.938.091 </w:t>
            </w:r>
          </w:p>
        </w:tc>
        <w:tc>
          <w:tcPr>
            <w:tcW w:w="1660" w:type="dxa"/>
            <w:tcBorders>
              <w:top w:val="nil"/>
              <w:left w:val="nil"/>
              <w:bottom w:val="single" w:sz="4" w:space="0" w:color="auto"/>
              <w:right w:val="single" w:sz="4" w:space="0" w:color="auto"/>
            </w:tcBorders>
            <w:shd w:val="clear" w:color="auto" w:fill="auto"/>
            <w:noWrap/>
            <w:vAlign w:val="center"/>
            <w:hideMark/>
          </w:tcPr>
          <w:p w14:paraId="1A318B1E"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7.107.831.089 </w:t>
            </w:r>
          </w:p>
        </w:tc>
      </w:tr>
      <w:tr w:rsidR="009838E7" w:rsidRPr="009838E7" w14:paraId="38922C94"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59484AA8"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119</w:t>
            </w:r>
          </w:p>
        </w:tc>
        <w:tc>
          <w:tcPr>
            <w:tcW w:w="505" w:type="dxa"/>
            <w:tcBorders>
              <w:top w:val="nil"/>
              <w:left w:val="nil"/>
              <w:bottom w:val="single" w:sz="4" w:space="0" w:color="auto"/>
              <w:right w:val="single" w:sz="4" w:space="0" w:color="auto"/>
            </w:tcBorders>
            <w:shd w:val="clear" w:color="auto" w:fill="auto"/>
            <w:noWrap/>
            <w:vAlign w:val="center"/>
            <w:hideMark/>
          </w:tcPr>
          <w:p w14:paraId="4564E7F9"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3206</w:t>
            </w:r>
          </w:p>
        </w:tc>
        <w:tc>
          <w:tcPr>
            <w:tcW w:w="797" w:type="dxa"/>
            <w:tcBorders>
              <w:top w:val="nil"/>
              <w:left w:val="nil"/>
              <w:bottom w:val="single" w:sz="4" w:space="0" w:color="auto"/>
              <w:right w:val="single" w:sz="4" w:space="0" w:color="auto"/>
            </w:tcBorders>
            <w:shd w:val="clear" w:color="auto" w:fill="auto"/>
            <w:noWrap/>
            <w:vAlign w:val="center"/>
            <w:hideMark/>
          </w:tcPr>
          <w:p w14:paraId="4B24063C"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899999068</w:t>
            </w:r>
          </w:p>
        </w:tc>
        <w:tc>
          <w:tcPr>
            <w:tcW w:w="4844" w:type="dxa"/>
            <w:tcBorders>
              <w:top w:val="nil"/>
              <w:left w:val="nil"/>
              <w:bottom w:val="single" w:sz="4" w:space="0" w:color="auto"/>
              <w:right w:val="single" w:sz="4" w:space="0" w:color="auto"/>
            </w:tcBorders>
            <w:shd w:val="clear" w:color="auto" w:fill="auto"/>
            <w:vAlign w:val="center"/>
            <w:hideMark/>
          </w:tcPr>
          <w:p w14:paraId="40101047"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ECOPETROL S.A.</w:t>
            </w:r>
          </w:p>
        </w:tc>
        <w:tc>
          <w:tcPr>
            <w:tcW w:w="1600" w:type="dxa"/>
            <w:tcBorders>
              <w:top w:val="nil"/>
              <w:left w:val="nil"/>
              <w:bottom w:val="single" w:sz="4" w:space="0" w:color="auto"/>
              <w:right w:val="single" w:sz="4" w:space="0" w:color="auto"/>
            </w:tcBorders>
            <w:shd w:val="clear" w:color="auto" w:fill="auto"/>
            <w:noWrap/>
            <w:vAlign w:val="center"/>
            <w:hideMark/>
          </w:tcPr>
          <w:p w14:paraId="434D3D86"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292.806.576.000 </w:t>
            </w:r>
          </w:p>
        </w:tc>
        <w:tc>
          <w:tcPr>
            <w:tcW w:w="1660" w:type="dxa"/>
            <w:tcBorders>
              <w:top w:val="nil"/>
              <w:left w:val="nil"/>
              <w:bottom w:val="single" w:sz="4" w:space="0" w:color="auto"/>
              <w:right w:val="single" w:sz="4" w:space="0" w:color="auto"/>
            </w:tcBorders>
            <w:shd w:val="clear" w:color="auto" w:fill="auto"/>
            <w:noWrap/>
            <w:vAlign w:val="center"/>
            <w:hideMark/>
          </w:tcPr>
          <w:p w14:paraId="053E0D55"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448.321.888.000 </w:t>
            </w:r>
          </w:p>
        </w:tc>
      </w:tr>
      <w:tr w:rsidR="009838E7" w:rsidRPr="009838E7" w14:paraId="74D2B290"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5AC4F42B"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120</w:t>
            </w:r>
          </w:p>
        </w:tc>
        <w:tc>
          <w:tcPr>
            <w:tcW w:w="505" w:type="dxa"/>
            <w:tcBorders>
              <w:top w:val="nil"/>
              <w:left w:val="nil"/>
              <w:bottom w:val="single" w:sz="4" w:space="0" w:color="auto"/>
              <w:right w:val="single" w:sz="4" w:space="0" w:color="auto"/>
            </w:tcBorders>
            <w:shd w:val="clear" w:color="auto" w:fill="auto"/>
            <w:noWrap/>
            <w:vAlign w:val="center"/>
            <w:hideMark/>
          </w:tcPr>
          <w:p w14:paraId="50D7FD9F"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594</w:t>
            </w:r>
          </w:p>
        </w:tc>
        <w:tc>
          <w:tcPr>
            <w:tcW w:w="797" w:type="dxa"/>
            <w:tcBorders>
              <w:top w:val="nil"/>
              <w:left w:val="nil"/>
              <w:bottom w:val="single" w:sz="4" w:space="0" w:color="auto"/>
              <w:right w:val="single" w:sz="4" w:space="0" w:color="auto"/>
            </w:tcBorders>
            <w:shd w:val="clear" w:color="auto" w:fill="auto"/>
            <w:noWrap/>
            <w:vAlign w:val="center"/>
            <w:hideMark/>
          </w:tcPr>
          <w:p w14:paraId="09299B1A"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899999082</w:t>
            </w:r>
          </w:p>
        </w:tc>
        <w:tc>
          <w:tcPr>
            <w:tcW w:w="4844" w:type="dxa"/>
            <w:tcBorders>
              <w:top w:val="nil"/>
              <w:left w:val="nil"/>
              <w:bottom w:val="single" w:sz="4" w:space="0" w:color="auto"/>
              <w:right w:val="single" w:sz="4" w:space="0" w:color="auto"/>
            </w:tcBorders>
            <w:shd w:val="clear" w:color="auto" w:fill="auto"/>
            <w:vAlign w:val="center"/>
            <w:hideMark/>
          </w:tcPr>
          <w:p w14:paraId="1C2FDBDC"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EMPRESA DE ENERGIA DE BOGOTA S.A. ESP.</w:t>
            </w:r>
          </w:p>
        </w:tc>
        <w:tc>
          <w:tcPr>
            <w:tcW w:w="1600" w:type="dxa"/>
            <w:tcBorders>
              <w:top w:val="nil"/>
              <w:left w:val="nil"/>
              <w:bottom w:val="single" w:sz="4" w:space="0" w:color="auto"/>
              <w:right w:val="single" w:sz="4" w:space="0" w:color="auto"/>
            </w:tcBorders>
            <w:shd w:val="clear" w:color="auto" w:fill="auto"/>
            <w:noWrap/>
            <w:vAlign w:val="center"/>
            <w:hideMark/>
          </w:tcPr>
          <w:p w14:paraId="73124F3A"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27.058.147.000 </w:t>
            </w:r>
          </w:p>
        </w:tc>
        <w:tc>
          <w:tcPr>
            <w:tcW w:w="1660" w:type="dxa"/>
            <w:tcBorders>
              <w:top w:val="nil"/>
              <w:left w:val="nil"/>
              <w:bottom w:val="single" w:sz="4" w:space="0" w:color="auto"/>
              <w:right w:val="single" w:sz="4" w:space="0" w:color="auto"/>
            </w:tcBorders>
            <w:shd w:val="clear" w:color="auto" w:fill="auto"/>
            <w:noWrap/>
            <w:vAlign w:val="center"/>
            <w:hideMark/>
          </w:tcPr>
          <w:p w14:paraId="207648C7"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21.096.769.000 </w:t>
            </w:r>
          </w:p>
        </w:tc>
      </w:tr>
      <w:tr w:rsidR="009838E7" w:rsidRPr="009838E7" w14:paraId="2556645A"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521927F6"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121</w:t>
            </w:r>
          </w:p>
        </w:tc>
        <w:tc>
          <w:tcPr>
            <w:tcW w:w="505" w:type="dxa"/>
            <w:tcBorders>
              <w:top w:val="nil"/>
              <w:left w:val="nil"/>
              <w:bottom w:val="single" w:sz="4" w:space="0" w:color="auto"/>
              <w:right w:val="single" w:sz="4" w:space="0" w:color="auto"/>
            </w:tcBorders>
            <w:shd w:val="clear" w:color="auto" w:fill="auto"/>
            <w:noWrap/>
            <w:vAlign w:val="center"/>
            <w:hideMark/>
          </w:tcPr>
          <w:p w14:paraId="2A1EE6B4"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20420</w:t>
            </w:r>
          </w:p>
        </w:tc>
        <w:tc>
          <w:tcPr>
            <w:tcW w:w="797" w:type="dxa"/>
            <w:tcBorders>
              <w:top w:val="nil"/>
              <w:left w:val="nil"/>
              <w:bottom w:val="single" w:sz="4" w:space="0" w:color="auto"/>
              <w:right w:val="single" w:sz="4" w:space="0" w:color="auto"/>
            </w:tcBorders>
            <w:shd w:val="clear" w:color="auto" w:fill="auto"/>
            <w:noWrap/>
            <w:vAlign w:val="center"/>
            <w:hideMark/>
          </w:tcPr>
          <w:p w14:paraId="7E85552A"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900028111</w:t>
            </w:r>
          </w:p>
        </w:tc>
        <w:tc>
          <w:tcPr>
            <w:tcW w:w="4844" w:type="dxa"/>
            <w:tcBorders>
              <w:top w:val="nil"/>
              <w:left w:val="nil"/>
              <w:bottom w:val="single" w:sz="4" w:space="0" w:color="auto"/>
              <w:right w:val="single" w:sz="4" w:space="0" w:color="auto"/>
            </w:tcBorders>
            <w:shd w:val="clear" w:color="auto" w:fill="auto"/>
            <w:vAlign w:val="center"/>
            <w:hideMark/>
          </w:tcPr>
          <w:p w14:paraId="5C211AED"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TURGAS S.A. E.S.P.</w:t>
            </w:r>
          </w:p>
        </w:tc>
        <w:tc>
          <w:tcPr>
            <w:tcW w:w="1600" w:type="dxa"/>
            <w:tcBorders>
              <w:top w:val="nil"/>
              <w:left w:val="nil"/>
              <w:bottom w:val="single" w:sz="4" w:space="0" w:color="auto"/>
              <w:right w:val="single" w:sz="4" w:space="0" w:color="auto"/>
            </w:tcBorders>
            <w:shd w:val="clear" w:color="auto" w:fill="auto"/>
            <w:noWrap/>
            <w:vAlign w:val="center"/>
            <w:hideMark/>
          </w:tcPr>
          <w:p w14:paraId="7D12DADF"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2.347.733.378 </w:t>
            </w:r>
          </w:p>
        </w:tc>
        <w:tc>
          <w:tcPr>
            <w:tcW w:w="1660" w:type="dxa"/>
            <w:tcBorders>
              <w:top w:val="nil"/>
              <w:left w:val="nil"/>
              <w:bottom w:val="single" w:sz="4" w:space="0" w:color="auto"/>
              <w:right w:val="single" w:sz="4" w:space="0" w:color="auto"/>
            </w:tcBorders>
            <w:shd w:val="clear" w:color="auto" w:fill="auto"/>
            <w:noWrap/>
            <w:vAlign w:val="center"/>
            <w:hideMark/>
          </w:tcPr>
          <w:p w14:paraId="5763A8FA"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3.250.876.419 </w:t>
            </w:r>
          </w:p>
        </w:tc>
      </w:tr>
      <w:tr w:rsidR="009838E7" w:rsidRPr="009838E7" w14:paraId="390FD1A5"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7E5488E3"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122</w:t>
            </w:r>
          </w:p>
        </w:tc>
        <w:tc>
          <w:tcPr>
            <w:tcW w:w="505" w:type="dxa"/>
            <w:tcBorders>
              <w:top w:val="nil"/>
              <w:left w:val="nil"/>
              <w:bottom w:val="single" w:sz="4" w:space="0" w:color="auto"/>
              <w:right w:val="single" w:sz="4" w:space="0" w:color="auto"/>
            </w:tcBorders>
            <w:shd w:val="clear" w:color="auto" w:fill="auto"/>
            <w:noWrap/>
            <w:vAlign w:val="center"/>
            <w:hideMark/>
          </w:tcPr>
          <w:p w14:paraId="0C147583"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38641</w:t>
            </w:r>
          </w:p>
        </w:tc>
        <w:tc>
          <w:tcPr>
            <w:tcW w:w="797" w:type="dxa"/>
            <w:tcBorders>
              <w:top w:val="nil"/>
              <w:left w:val="nil"/>
              <w:bottom w:val="single" w:sz="4" w:space="0" w:color="auto"/>
              <w:right w:val="single" w:sz="4" w:space="0" w:color="auto"/>
            </w:tcBorders>
            <w:shd w:val="clear" w:color="auto" w:fill="auto"/>
            <w:noWrap/>
            <w:vAlign w:val="center"/>
            <w:hideMark/>
          </w:tcPr>
          <w:p w14:paraId="07ECDE9C"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900039770</w:t>
            </w:r>
          </w:p>
        </w:tc>
        <w:tc>
          <w:tcPr>
            <w:tcW w:w="4844" w:type="dxa"/>
            <w:tcBorders>
              <w:top w:val="nil"/>
              <w:left w:val="nil"/>
              <w:bottom w:val="single" w:sz="4" w:space="0" w:color="auto"/>
              <w:right w:val="single" w:sz="4" w:space="0" w:color="auto"/>
            </w:tcBorders>
            <w:shd w:val="clear" w:color="auto" w:fill="auto"/>
            <w:vAlign w:val="center"/>
            <w:hideMark/>
          </w:tcPr>
          <w:p w14:paraId="2524CD1B"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VERAGAS SAS ESP</w:t>
            </w:r>
          </w:p>
        </w:tc>
        <w:tc>
          <w:tcPr>
            <w:tcW w:w="1600" w:type="dxa"/>
            <w:tcBorders>
              <w:top w:val="nil"/>
              <w:left w:val="nil"/>
              <w:bottom w:val="single" w:sz="4" w:space="0" w:color="auto"/>
              <w:right w:val="single" w:sz="4" w:space="0" w:color="auto"/>
            </w:tcBorders>
            <w:shd w:val="clear" w:color="auto" w:fill="auto"/>
            <w:noWrap/>
            <w:vAlign w:val="center"/>
            <w:hideMark/>
          </w:tcPr>
          <w:p w14:paraId="0FDD54C3"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323.488.000 </w:t>
            </w:r>
          </w:p>
        </w:tc>
        <w:tc>
          <w:tcPr>
            <w:tcW w:w="1660" w:type="dxa"/>
            <w:tcBorders>
              <w:top w:val="nil"/>
              <w:left w:val="nil"/>
              <w:bottom w:val="single" w:sz="4" w:space="0" w:color="auto"/>
              <w:right w:val="single" w:sz="4" w:space="0" w:color="auto"/>
            </w:tcBorders>
            <w:shd w:val="clear" w:color="auto" w:fill="auto"/>
            <w:noWrap/>
            <w:vAlign w:val="center"/>
            <w:hideMark/>
          </w:tcPr>
          <w:p w14:paraId="3909690C"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506.514.000 </w:t>
            </w:r>
          </w:p>
        </w:tc>
      </w:tr>
      <w:tr w:rsidR="009838E7" w:rsidRPr="009838E7" w14:paraId="6A4D4D61"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2EEA6A14"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123</w:t>
            </w:r>
          </w:p>
        </w:tc>
        <w:tc>
          <w:tcPr>
            <w:tcW w:w="505" w:type="dxa"/>
            <w:tcBorders>
              <w:top w:val="nil"/>
              <w:left w:val="nil"/>
              <w:bottom w:val="single" w:sz="4" w:space="0" w:color="auto"/>
              <w:right w:val="single" w:sz="4" w:space="0" w:color="auto"/>
            </w:tcBorders>
            <w:shd w:val="clear" w:color="auto" w:fill="auto"/>
            <w:noWrap/>
            <w:vAlign w:val="center"/>
            <w:hideMark/>
          </w:tcPr>
          <w:p w14:paraId="71F45183"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20437</w:t>
            </w:r>
          </w:p>
        </w:tc>
        <w:tc>
          <w:tcPr>
            <w:tcW w:w="797" w:type="dxa"/>
            <w:tcBorders>
              <w:top w:val="nil"/>
              <w:left w:val="nil"/>
              <w:bottom w:val="single" w:sz="4" w:space="0" w:color="auto"/>
              <w:right w:val="single" w:sz="4" w:space="0" w:color="auto"/>
            </w:tcBorders>
            <w:shd w:val="clear" w:color="auto" w:fill="auto"/>
            <w:noWrap/>
            <w:vAlign w:val="center"/>
            <w:hideMark/>
          </w:tcPr>
          <w:p w14:paraId="44E7FD09"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900039901</w:t>
            </w:r>
          </w:p>
        </w:tc>
        <w:tc>
          <w:tcPr>
            <w:tcW w:w="4844" w:type="dxa"/>
            <w:tcBorders>
              <w:top w:val="nil"/>
              <w:left w:val="nil"/>
              <w:bottom w:val="single" w:sz="4" w:space="0" w:color="auto"/>
              <w:right w:val="single" w:sz="4" w:space="0" w:color="auto"/>
            </w:tcBorders>
            <w:shd w:val="clear" w:color="auto" w:fill="auto"/>
            <w:vAlign w:val="center"/>
            <w:hideMark/>
          </w:tcPr>
          <w:p w14:paraId="12E31239"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ENERTOTAL S.A. E.S.P.</w:t>
            </w:r>
          </w:p>
        </w:tc>
        <w:tc>
          <w:tcPr>
            <w:tcW w:w="1600" w:type="dxa"/>
            <w:tcBorders>
              <w:top w:val="nil"/>
              <w:left w:val="nil"/>
              <w:bottom w:val="single" w:sz="4" w:space="0" w:color="auto"/>
              <w:right w:val="single" w:sz="4" w:space="0" w:color="auto"/>
            </w:tcBorders>
            <w:shd w:val="clear" w:color="auto" w:fill="auto"/>
            <w:noWrap/>
            <w:vAlign w:val="center"/>
            <w:hideMark/>
          </w:tcPr>
          <w:p w14:paraId="2C3EC0EB"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2.918.863.000 </w:t>
            </w:r>
          </w:p>
        </w:tc>
        <w:tc>
          <w:tcPr>
            <w:tcW w:w="1660" w:type="dxa"/>
            <w:tcBorders>
              <w:top w:val="nil"/>
              <w:left w:val="nil"/>
              <w:bottom w:val="single" w:sz="4" w:space="0" w:color="auto"/>
              <w:right w:val="single" w:sz="4" w:space="0" w:color="auto"/>
            </w:tcBorders>
            <w:shd w:val="clear" w:color="auto" w:fill="auto"/>
            <w:noWrap/>
            <w:vAlign w:val="center"/>
            <w:hideMark/>
          </w:tcPr>
          <w:p w14:paraId="7E7BB14A"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2.824.375.000 </w:t>
            </w:r>
          </w:p>
        </w:tc>
      </w:tr>
      <w:tr w:rsidR="009838E7" w:rsidRPr="009838E7" w14:paraId="2D9E8183"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329E78DA"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124</w:t>
            </w:r>
          </w:p>
        </w:tc>
        <w:tc>
          <w:tcPr>
            <w:tcW w:w="505" w:type="dxa"/>
            <w:tcBorders>
              <w:top w:val="nil"/>
              <w:left w:val="nil"/>
              <w:bottom w:val="single" w:sz="4" w:space="0" w:color="auto"/>
              <w:right w:val="single" w:sz="4" w:space="0" w:color="auto"/>
            </w:tcBorders>
            <w:shd w:val="clear" w:color="auto" w:fill="auto"/>
            <w:noWrap/>
            <w:vAlign w:val="center"/>
            <w:hideMark/>
          </w:tcPr>
          <w:p w14:paraId="048F0B48"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20481</w:t>
            </w:r>
          </w:p>
        </w:tc>
        <w:tc>
          <w:tcPr>
            <w:tcW w:w="797" w:type="dxa"/>
            <w:tcBorders>
              <w:top w:val="nil"/>
              <w:left w:val="nil"/>
              <w:bottom w:val="single" w:sz="4" w:space="0" w:color="auto"/>
              <w:right w:val="single" w:sz="4" w:space="0" w:color="auto"/>
            </w:tcBorders>
            <w:shd w:val="clear" w:color="auto" w:fill="auto"/>
            <w:noWrap/>
            <w:vAlign w:val="center"/>
            <w:hideMark/>
          </w:tcPr>
          <w:p w14:paraId="7EB07297"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900042857</w:t>
            </w:r>
          </w:p>
        </w:tc>
        <w:tc>
          <w:tcPr>
            <w:tcW w:w="4844" w:type="dxa"/>
            <w:tcBorders>
              <w:top w:val="nil"/>
              <w:left w:val="nil"/>
              <w:bottom w:val="single" w:sz="4" w:space="0" w:color="auto"/>
              <w:right w:val="single" w:sz="4" w:space="0" w:color="auto"/>
            </w:tcBorders>
            <w:shd w:val="clear" w:color="auto" w:fill="auto"/>
            <w:vAlign w:val="center"/>
            <w:hideMark/>
          </w:tcPr>
          <w:p w14:paraId="5228F5DA"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XM COMPAÑIA DE EXPERTOS EN MERCADOS S.A. E.S.P.</w:t>
            </w:r>
          </w:p>
        </w:tc>
        <w:tc>
          <w:tcPr>
            <w:tcW w:w="1600" w:type="dxa"/>
            <w:tcBorders>
              <w:top w:val="nil"/>
              <w:left w:val="nil"/>
              <w:bottom w:val="single" w:sz="4" w:space="0" w:color="auto"/>
              <w:right w:val="single" w:sz="4" w:space="0" w:color="auto"/>
            </w:tcBorders>
            <w:shd w:val="clear" w:color="auto" w:fill="auto"/>
            <w:noWrap/>
            <w:vAlign w:val="center"/>
            <w:hideMark/>
          </w:tcPr>
          <w:p w14:paraId="086C94B9"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49.076.232.000 </w:t>
            </w:r>
          </w:p>
        </w:tc>
        <w:tc>
          <w:tcPr>
            <w:tcW w:w="1660" w:type="dxa"/>
            <w:tcBorders>
              <w:top w:val="nil"/>
              <w:left w:val="nil"/>
              <w:bottom w:val="single" w:sz="4" w:space="0" w:color="auto"/>
              <w:right w:val="single" w:sz="4" w:space="0" w:color="auto"/>
            </w:tcBorders>
            <w:shd w:val="clear" w:color="auto" w:fill="auto"/>
            <w:noWrap/>
            <w:vAlign w:val="center"/>
            <w:hideMark/>
          </w:tcPr>
          <w:p w14:paraId="48923F98"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61.668.959.000 </w:t>
            </w:r>
          </w:p>
        </w:tc>
      </w:tr>
      <w:tr w:rsidR="009838E7" w:rsidRPr="009838E7" w14:paraId="791CAC53"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34DB4985"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125</w:t>
            </w:r>
          </w:p>
        </w:tc>
        <w:tc>
          <w:tcPr>
            <w:tcW w:w="505" w:type="dxa"/>
            <w:tcBorders>
              <w:top w:val="nil"/>
              <w:left w:val="nil"/>
              <w:bottom w:val="single" w:sz="4" w:space="0" w:color="auto"/>
              <w:right w:val="single" w:sz="4" w:space="0" w:color="auto"/>
            </w:tcBorders>
            <w:shd w:val="clear" w:color="auto" w:fill="auto"/>
            <w:noWrap/>
            <w:vAlign w:val="center"/>
            <w:hideMark/>
          </w:tcPr>
          <w:p w14:paraId="5BA03F5E"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20510</w:t>
            </w:r>
          </w:p>
        </w:tc>
        <w:tc>
          <w:tcPr>
            <w:tcW w:w="797" w:type="dxa"/>
            <w:tcBorders>
              <w:top w:val="nil"/>
              <w:left w:val="nil"/>
              <w:bottom w:val="single" w:sz="4" w:space="0" w:color="auto"/>
              <w:right w:val="single" w:sz="4" w:space="0" w:color="auto"/>
            </w:tcBorders>
            <w:shd w:val="clear" w:color="auto" w:fill="auto"/>
            <w:noWrap/>
            <w:vAlign w:val="center"/>
            <w:hideMark/>
          </w:tcPr>
          <w:p w14:paraId="2DABE100"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900052841</w:t>
            </w:r>
          </w:p>
        </w:tc>
        <w:tc>
          <w:tcPr>
            <w:tcW w:w="4844" w:type="dxa"/>
            <w:tcBorders>
              <w:top w:val="nil"/>
              <w:left w:val="nil"/>
              <w:bottom w:val="single" w:sz="4" w:space="0" w:color="auto"/>
              <w:right w:val="single" w:sz="4" w:space="0" w:color="auto"/>
            </w:tcBorders>
            <w:shd w:val="clear" w:color="auto" w:fill="auto"/>
            <w:vAlign w:val="center"/>
            <w:hideMark/>
          </w:tcPr>
          <w:p w14:paraId="35E38D66"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CITYGAS COLOMBIA S.A. ESP.</w:t>
            </w:r>
          </w:p>
        </w:tc>
        <w:tc>
          <w:tcPr>
            <w:tcW w:w="1600" w:type="dxa"/>
            <w:tcBorders>
              <w:top w:val="nil"/>
              <w:left w:val="nil"/>
              <w:bottom w:val="single" w:sz="4" w:space="0" w:color="auto"/>
              <w:right w:val="single" w:sz="4" w:space="0" w:color="auto"/>
            </w:tcBorders>
            <w:shd w:val="clear" w:color="auto" w:fill="auto"/>
            <w:noWrap/>
            <w:vAlign w:val="center"/>
            <w:hideMark/>
          </w:tcPr>
          <w:p w14:paraId="75B45812"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748.581.390 </w:t>
            </w:r>
          </w:p>
        </w:tc>
        <w:tc>
          <w:tcPr>
            <w:tcW w:w="1660" w:type="dxa"/>
            <w:tcBorders>
              <w:top w:val="nil"/>
              <w:left w:val="nil"/>
              <w:bottom w:val="single" w:sz="4" w:space="0" w:color="auto"/>
              <w:right w:val="single" w:sz="4" w:space="0" w:color="auto"/>
            </w:tcBorders>
            <w:shd w:val="clear" w:color="auto" w:fill="auto"/>
            <w:noWrap/>
            <w:vAlign w:val="center"/>
            <w:hideMark/>
          </w:tcPr>
          <w:p w14:paraId="22A39876"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769.989.534 </w:t>
            </w:r>
          </w:p>
        </w:tc>
      </w:tr>
      <w:tr w:rsidR="009838E7" w:rsidRPr="009838E7" w14:paraId="3EAF0BE0"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5C0BD49A"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126</w:t>
            </w:r>
          </w:p>
        </w:tc>
        <w:tc>
          <w:tcPr>
            <w:tcW w:w="505" w:type="dxa"/>
            <w:tcBorders>
              <w:top w:val="nil"/>
              <w:left w:val="nil"/>
              <w:bottom w:val="single" w:sz="4" w:space="0" w:color="auto"/>
              <w:right w:val="single" w:sz="4" w:space="0" w:color="auto"/>
            </w:tcBorders>
            <w:shd w:val="clear" w:color="auto" w:fill="auto"/>
            <w:noWrap/>
            <w:vAlign w:val="center"/>
            <w:hideMark/>
          </w:tcPr>
          <w:p w14:paraId="4CE7F9E0"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21770</w:t>
            </w:r>
          </w:p>
        </w:tc>
        <w:tc>
          <w:tcPr>
            <w:tcW w:w="797" w:type="dxa"/>
            <w:tcBorders>
              <w:top w:val="nil"/>
              <w:left w:val="nil"/>
              <w:bottom w:val="single" w:sz="4" w:space="0" w:color="auto"/>
              <w:right w:val="single" w:sz="4" w:space="0" w:color="auto"/>
            </w:tcBorders>
            <w:shd w:val="clear" w:color="auto" w:fill="auto"/>
            <w:noWrap/>
            <w:vAlign w:val="center"/>
            <w:hideMark/>
          </w:tcPr>
          <w:p w14:paraId="7A69EFB9"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900073583</w:t>
            </w:r>
          </w:p>
        </w:tc>
        <w:tc>
          <w:tcPr>
            <w:tcW w:w="4844" w:type="dxa"/>
            <w:tcBorders>
              <w:top w:val="nil"/>
              <w:left w:val="nil"/>
              <w:bottom w:val="single" w:sz="4" w:space="0" w:color="auto"/>
              <w:right w:val="single" w:sz="4" w:space="0" w:color="auto"/>
            </w:tcBorders>
            <w:shd w:val="clear" w:color="auto" w:fill="auto"/>
            <w:vAlign w:val="center"/>
            <w:hideMark/>
          </w:tcPr>
          <w:p w14:paraId="4D1E74E2"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LA CASCADA S.A.S E.S.P.</w:t>
            </w:r>
          </w:p>
        </w:tc>
        <w:tc>
          <w:tcPr>
            <w:tcW w:w="1600" w:type="dxa"/>
            <w:tcBorders>
              <w:top w:val="nil"/>
              <w:left w:val="nil"/>
              <w:bottom w:val="single" w:sz="4" w:space="0" w:color="auto"/>
              <w:right w:val="single" w:sz="4" w:space="0" w:color="auto"/>
            </w:tcBorders>
            <w:shd w:val="clear" w:color="auto" w:fill="auto"/>
            <w:noWrap/>
            <w:vAlign w:val="center"/>
            <w:hideMark/>
          </w:tcPr>
          <w:p w14:paraId="2476D280"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822.139.000 </w:t>
            </w:r>
          </w:p>
        </w:tc>
        <w:tc>
          <w:tcPr>
            <w:tcW w:w="1660" w:type="dxa"/>
            <w:tcBorders>
              <w:top w:val="nil"/>
              <w:left w:val="nil"/>
              <w:bottom w:val="single" w:sz="4" w:space="0" w:color="auto"/>
              <w:right w:val="single" w:sz="4" w:space="0" w:color="auto"/>
            </w:tcBorders>
            <w:shd w:val="clear" w:color="auto" w:fill="auto"/>
            <w:noWrap/>
            <w:vAlign w:val="center"/>
            <w:hideMark/>
          </w:tcPr>
          <w:p w14:paraId="7D764E84"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3.225.928.000 </w:t>
            </w:r>
          </w:p>
        </w:tc>
      </w:tr>
      <w:tr w:rsidR="009838E7" w:rsidRPr="009838E7" w14:paraId="3330EA0A"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5C6755D5"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127</w:t>
            </w:r>
          </w:p>
        </w:tc>
        <w:tc>
          <w:tcPr>
            <w:tcW w:w="505" w:type="dxa"/>
            <w:tcBorders>
              <w:top w:val="nil"/>
              <w:left w:val="nil"/>
              <w:bottom w:val="single" w:sz="4" w:space="0" w:color="auto"/>
              <w:right w:val="single" w:sz="4" w:space="0" w:color="auto"/>
            </w:tcBorders>
            <w:shd w:val="clear" w:color="auto" w:fill="auto"/>
            <w:noWrap/>
            <w:vAlign w:val="center"/>
            <w:hideMark/>
          </w:tcPr>
          <w:p w14:paraId="0354B4D5"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20612</w:t>
            </w:r>
          </w:p>
        </w:tc>
        <w:tc>
          <w:tcPr>
            <w:tcW w:w="797" w:type="dxa"/>
            <w:tcBorders>
              <w:top w:val="nil"/>
              <w:left w:val="nil"/>
              <w:bottom w:val="single" w:sz="4" w:space="0" w:color="auto"/>
              <w:right w:val="single" w:sz="4" w:space="0" w:color="auto"/>
            </w:tcBorders>
            <w:shd w:val="clear" w:color="auto" w:fill="auto"/>
            <w:noWrap/>
            <w:vAlign w:val="center"/>
            <w:hideMark/>
          </w:tcPr>
          <w:p w14:paraId="63AA0ACC"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900076284</w:t>
            </w:r>
          </w:p>
        </w:tc>
        <w:tc>
          <w:tcPr>
            <w:tcW w:w="4844" w:type="dxa"/>
            <w:tcBorders>
              <w:top w:val="nil"/>
              <w:left w:val="nil"/>
              <w:bottom w:val="single" w:sz="4" w:space="0" w:color="auto"/>
              <w:right w:val="single" w:sz="4" w:space="0" w:color="auto"/>
            </w:tcBorders>
            <w:shd w:val="clear" w:color="auto" w:fill="auto"/>
            <w:vAlign w:val="center"/>
            <w:hideMark/>
          </w:tcPr>
          <w:p w14:paraId="0D6D0F87"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COENERSA S.A.S E.S.P.</w:t>
            </w:r>
          </w:p>
        </w:tc>
        <w:tc>
          <w:tcPr>
            <w:tcW w:w="1600" w:type="dxa"/>
            <w:tcBorders>
              <w:top w:val="nil"/>
              <w:left w:val="nil"/>
              <w:bottom w:val="single" w:sz="4" w:space="0" w:color="auto"/>
              <w:right w:val="single" w:sz="4" w:space="0" w:color="auto"/>
            </w:tcBorders>
            <w:shd w:val="clear" w:color="auto" w:fill="auto"/>
            <w:noWrap/>
            <w:vAlign w:val="center"/>
            <w:hideMark/>
          </w:tcPr>
          <w:p w14:paraId="2BF9693D"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252.211.529 </w:t>
            </w:r>
          </w:p>
        </w:tc>
        <w:tc>
          <w:tcPr>
            <w:tcW w:w="1660" w:type="dxa"/>
            <w:tcBorders>
              <w:top w:val="nil"/>
              <w:left w:val="nil"/>
              <w:bottom w:val="single" w:sz="4" w:space="0" w:color="auto"/>
              <w:right w:val="single" w:sz="4" w:space="0" w:color="auto"/>
            </w:tcBorders>
            <w:shd w:val="clear" w:color="auto" w:fill="auto"/>
            <w:noWrap/>
            <w:vAlign w:val="center"/>
            <w:hideMark/>
          </w:tcPr>
          <w:p w14:paraId="1A470FAC"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656.549.948 </w:t>
            </w:r>
          </w:p>
        </w:tc>
      </w:tr>
      <w:tr w:rsidR="009838E7" w:rsidRPr="009838E7" w14:paraId="283E2E87" w14:textId="77777777" w:rsidTr="00092F91">
        <w:trPr>
          <w:trHeight w:val="289"/>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768F5014"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128</w:t>
            </w:r>
          </w:p>
        </w:tc>
        <w:tc>
          <w:tcPr>
            <w:tcW w:w="505" w:type="dxa"/>
            <w:tcBorders>
              <w:top w:val="nil"/>
              <w:left w:val="nil"/>
              <w:bottom w:val="single" w:sz="4" w:space="0" w:color="auto"/>
              <w:right w:val="single" w:sz="4" w:space="0" w:color="auto"/>
            </w:tcBorders>
            <w:shd w:val="clear" w:color="auto" w:fill="auto"/>
            <w:noWrap/>
            <w:vAlign w:val="center"/>
            <w:hideMark/>
          </w:tcPr>
          <w:p w14:paraId="73001649"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21600</w:t>
            </w:r>
          </w:p>
        </w:tc>
        <w:tc>
          <w:tcPr>
            <w:tcW w:w="797" w:type="dxa"/>
            <w:tcBorders>
              <w:top w:val="nil"/>
              <w:left w:val="nil"/>
              <w:bottom w:val="single" w:sz="4" w:space="0" w:color="auto"/>
              <w:right w:val="single" w:sz="4" w:space="0" w:color="auto"/>
            </w:tcBorders>
            <w:shd w:val="clear" w:color="auto" w:fill="auto"/>
            <w:noWrap/>
            <w:vAlign w:val="center"/>
            <w:hideMark/>
          </w:tcPr>
          <w:p w14:paraId="6563D4A5"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900082143</w:t>
            </w:r>
          </w:p>
        </w:tc>
        <w:tc>
          <w:tcPr>
            <w:tcW w:w="4844" w:type="dxa"/>
            <w:tcBorders>
              <w:top w:val="nil"/>
              <w:left w:val="nil"/>
              <w:bottom w:val="single" w:sz="4" w:space="0" w:color="auto"/>
              <w:right w:val="single" w:sz="4" w:space="0" w:color="auto"/>
            </w:tcBorders>
            <w:shd w:val="clear" w:color="auto" w:fill="auto"/>
            <w:vAlign w:val="center"/>
            <w:hideMark/>
          </w:tcPr>
          <w:p w14:paraId="41E1ADF6" w14:textId="0FF36576"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GENERADORA Y COMERCIALIZADORA DE ENERGIA DEL CARIBE S.A E.S.P</w:t>
            </w:r>
            <w:r w:rsidR="006F2D43">
              <w:rPr>
                <w:rFonts w:ascii="Arial Narrow" w:hAnsi="Arial Narrow" w:cs="Calibri"/>
                <w:color w:val="000000"/>
                <w:spacing w:val="0"/>
                <w:sz w:val="16"/>
                <w:szCs w:val="16"/>
                <w:lang w:eastAsia="es-CO"/>
              </w:rPr>
              <w:t>.</w:t>
            </w:r>
          </w:p>
        </w:tc>
        <w:tc>
          <w:tcPr>
            <w:tcW w:w="1600" w:type="dxa"/>
            <w:tcBorders>
              <w:top w:val="nil"/>
              <w:left w:val="nil"/>
              <w:bottom w:val="single" w:sz="4" w:space="0" w:color="auto"/>
              <w:right w:val="single" w:sz="4" w:space="0" w:color="auto"/>
            </w:tcBorders>
            <w:shd w:val="clear" w:color="auto" w:fill="auto"/>
            <w:noWrap/>
            <w:vAlign w:val="center"/>
            <w:hideMark/>
          </w:tcPr>
          <w:p w14:paraId="09DB7F0D"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72.053.575.345 </w:t>
            </w:r>
          </w:p>
        </w:tc>
        <w:tc>
          <w:tcPr>
            <w:tcW w:w="1660" w:type="dxa"/>
            <w:tcBorders>
              <w:top w:val="nil"/>
              <w:left w:val="nil"/>
              <w:bottom w:val="single" w:sz="4" w:space="0" w:color="auto"/>
              <w:right w:val="single" w:sz="4" w:space="0" w:color="auto"/>
            </w:tcBorders>
            <w:shd w:val="clear" w:color="auto" w:fill="auto"/>
            <w:noWrap/>
            <w:vAlign w:val="center"/>
            <w:hideMark/>
          </w:tcPr>
          <w:p w14:paraId="44A5D08B"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73.822.633.496 </w:t>
            </w:r>
          </w:p>
        </w:tc>
      </w:tr>
      <w:tr w:rsidR="009838E7" w:rsidRPr="009838E7" w14:paraId="592AD034"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748BB633"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129</w:t>
            </w:r>
          </w:p>
        </w:tc>
        <w:tc>
          <w:tcPr>
            <w:tcW w:w="505" w:type="dxa"/>
            <w:tcBorders>
              <w:top w:val="nil"/>
              <w:left w:val="nil"/>
              <w:bottom w:val="single" w:sz="4" w:space="0" w:color="auto"/>
              <w:right w:val="single" w:sz="4" w:space="0" w:color="auto"/>
            </w:tcBorders>
            <w:shd w:val="clear" w:color="auto" w:fill="auto"/>
            <w:noWrap/>
            <w:vAlign w:val="center"/>
            <w:hideMark/>
          </w:tcPr>
          <w:p w14:paraId="2ED9B578"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29191</w:t>
            </w:r>
          </w:p>
        </w:tc>
        <w:tc>
          <w:tcPr>
            <w:tcW w:w="797" w:type="dxa"/>
            <w:tcBorders>
              <w:top w:val="nil"/>
              <w:left w:val="nil"/>
              <w:bottom w:val="single" w:sz="4" w:space="0" w:color="auto"/>
              <w:right w:val="single" w:sz="4" w:space="0" w:color="auto"/>
            </w:tcBorders>
            <w:shd w:val="clear" w:color="auto" w:fill="auto"/>
            <w:noWrap/>
            <w:vAlign w:val="center"/>
            <w:hideMark/>
          </w:tcPr>
          <w:p w14:paraId="711388A5"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900089276</w:t>
            </w:r>
          </w:p>
        </w:tc>
        <w:tc>
          <w:tcPr>
            <w:tcW w:w="4844" w:type="dxa"/>
            <w:tcBorders>
              <w:top w:val="nil"/>
              <w:left w:val="nil"/>
              <w:bottom w:val="single" w:sz="4" w:space="0" w:color="auto"/>
              <w:right w:val="single" w:sz="4" w:space="0" w:color="auto"/>
            </w:tcBorders>
            <w:shd w:val="clear" w:color="auto" w:fill="auto"/>
            <w:vAlign w:val="center"/>
            <w:hideMark/>
          </w:tcPr>
          <w:p w14:paraId="156E09CC"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LEWIS ENERGY COLOMBIA INC </w:t>
            </w:r>
          </w:p>
        </w:tc>
        <w:tc>
          <w:tcPr>
            <w:tcW w:w="1600" w:type="dxa"/>
            <w:tcBorders>
              <w:top w:val="nil"/>
              <w:left w:val="nil"/>
              <w:bottom w:val="single" w:sz="4" w:space="0" w:color="auto"/>
              <w:right w:val="single" w:sz="4" w:space="0" w:color="auto"/>
            </w:tcBorders>
            <w:shd w:val="clear" w:color="auto" w:fill="auto"/>
            <w:noWrap/>
            <w:vAlign w:val="center"/>
            <w:hideMark/>
          </w:tcPr>
          <w:p w14:paraId="397A814B"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36.638.313.786 </w:t>
            </w:r>
          </w:p>
        </w:tc>
        <w:tc>
          <w:tcPr>
            <w:tcW w:w="1660" w:type="dxa"/>
            <w:tcBorders>
              <w:top w:val="nil"/>
              <w:left w:val="nil"/>
              <w:bottom w:val="single" w:sz="4" w:space="0" w:color="auto"/>
              <w:right w:val="single" w:sz="4" w:space="0" w:color="auto"/>
            </w:tcBorders>
            <w:shd w:val="clear" w:color="auto" w:fill="auto"/>
            <w:noWrap/>
            <w:vAlign w:val="center"/>
            <w:hideMark/>
          </w:tcPr>
          <w:p w14:paraId="2BBEFE34"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5.403.997.000 </w:t>
            </w:r>
          </w:p>
        </w:tc>
      </w:tr>
      <w:tr w:rsidR="009838E7" w:rsidRPr="009838E7" w14:paraId="6DB804F7"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5A824763"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130</w:t>
            </w:r>
          </w:p>
        </w:tc>
        <w:tc>
          <w:tcPr>
            <w:tcW w:w="505" w:type="dxa"/>
            <w:tcBorders>
              <w:top w:val="nil"/>
              <w:left w:val="nil"/>
              <w:bottom w:val="single" w:sz="4" w:space="0" w:color="auto"/>
              <w:right w:val="single" w:sz="4" w:space="0" w:color="auto"/>
            </w:tcBorders>
            <w:shd w:val="clear" w:color="auto" w:fill="auto"/>
            <w:noWrap/>
            <w:vAlign w:val="center"/>
            <w:hideMark/>
          </w:tcPr>
          <w:p w14:paraId="52F97B67"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21938</w:t>
            </w:r>
          </w:p>
        </w:tc>
        <w:tc>
          <w:tcPr>
            <w:tcW w:w="797" w:type="dxa"/>
            <w:tcBorders>
              <w:top w:val="nil"/>
              <w:left w:val="nil"/>
              <w:bottom w:val="single" w:sz="4" w:space="0" w:color="auto"/>
              <w:right w:val="single" w:sz="4" w:space="0" w:color="auto"/>
            </w:tcBorders>
            <w:shd w:val="clear" w:color="auto" w:fill="auto"/>
            <w:noWrap/>
            <w:vAlign w:val="center"/>
            <w:hideMark/>
          </w:tcPr>
          <w:p w14:paraId="48000179"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900097320</w:t>
            </w:r>
          </w:p>
        </w:tc>
        <w:tc>
          <w:tcPr>
            <w:tcW w:w="4844" w:type="dxa"/>
            <w:tcBorders>
              <w:top w:val="nil"/>
              <w:left w:val="nil"/>
              <w:bottom w:val="single" w:sz="4" w:space="0" w:color="auto"/>
              <w:right w:val="single" w:sz="4" w:space="0" w:color="auto"/>
            </w:tcBorders>
            <w:shd w:val="clear" w:color="auto" w:fill="auto"/>
            <w:vAlign w:val="center"/>
            <w:hideMark/>
          </w:tcPr>
          <w:p w14:paraId="43455DBE" w14:textId="335F716A"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HIDROTOLIMA S.A.S E.S.P</w:t>
            </w:r>
            <w:r w:rsidR="006F2D43">
              <w:rPr>
                <w:rFonts w:ascii="Arial Narrow" w:hAnsi="Arial Narrow" w:cs="Calibri"/>
                <w:color w:val="000000"/>
                <w:spacing w:val="0"/>
                <w:sz w:val="16"/>
                <w:szCs w:val="16"/>
                <w:lang w:eastAsia="es-CO"/>
              </w:rPr>
              <w:t>.</w:t>
            </w:r>
          </w:p>
        </w:tc>
        <w:tc>
          <w:tcPr>
            <w:tcW w:w="1600" w:type="dxa"/>
            <w:tcBorders>
              <w:top w:val="nil"/>
              <w:left w:val="nil"/>
              <w:bottom w:val="single" w:sz="4" w:space="0" w:color="auto"/>
              <w:right w:val="single" w:sz="4" w:space="0" w:color="auto"/>
            </w:tcBorders>
            <w:shd w:val="clear" w:color="auto" w:fill="auto"/>
            <w:noWrap/>
            <w:vAlign w:val="center"/>
            <w:hideMark/>
          </w:tcPr>
          <w:p w14:paraId="572A133F"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863.061.000 </w:t>
            </w:r>
          </w:p>
        </w:tc>
        <w:tc>
          <w:tcPr>
            <w:tcW w:w="1660" w:type="dxa"/>
            <w:tcBorders>
              <w:top w:val="nil"/>
              <w:left w:val="nil"/>
              <w:bottom w:val="single" w:sz="4" w:space="0" w:color="auto"/>
              <w:right w:val="single" w:sz="4" w:space="0" w:color="auto"/>
            </w:tcBorders>
            <w:shd w:val="clear" w:color="auto" w:fill="auto"/>
            <w:noWrap/>
            <w:vAlign w:val="center"/>
            <w:hideMark/>
          </w:tcPr>
          <w:p w14:paraId="04312DD5"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950.579.226 </w:t>
            </w:r>
          </w:p>
        </w:tc>
      </w:tr>
      <w:tr w:rsidR="009838E7" w:rsidRPr="009838E7" w14:paraId="3B94081E"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47A36799"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131</w:t>
            </w:r>
          </w:p>
        </w:tc>
        <w:tc>
          <w:tcPr>
            <w:tcW w:w="505" w:type="dxa"/>
            <w:tcBorders>
              <w:top w:val="nil"/>
              <w:left w:val="nil"/>
              <w:bottom w:val="single" w:sz="4" w:space="0" w:color="auto"/>
              <w:right w:val="single" w:sz="4" w:space="0" w:color="auto"/>
            </w:tcBorders>
            <w:shd w:val="clear" w:color="auto" w:fill="auto"/>
            <w:noWrap/>
            <w:vAlign w:val="center"/>
            <w:hideMark/>
          </w:tcPr>
          <w:p w14:paraId="62CA39C3"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21002</w:t>
            </w:r>
          </w:p>
        </w:tc>
        <w:tc>
          <w:tcPr>
            <w:tcW w:w="797" w:type="dxa"/>
            <w:tcBorders>
              <w:top w:val="nil"/>
              <w:left w:val="nil"/>
              <w:bottom w:val="single" w:sz="4" w:space="0" w:color="auto"/>
              <w:right w:val="single" w:sz="4" w:space="0" w:color="auto"/>
            </w:tcBorders>
            <w:shd w:val="clear" w:color="auto" w:fill="auto"/>
            <w:noWrap/>
            <w:vAlign w:val="center"/>
            <w:hideMark/>
          </w:tcPr>
          <w:p w14:paraId="0316DE3C"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900100553</w:t>
            </w:r>
          </w:p>
        </w:tc>
        <w:tc>
          <w:tcPr>
            <w:tcW w:w="4844" w:type="dxa"/>
            <w:tcBorders>
              <w:top w:val="nil"/>
              <w:left w:val="nil"/>
              <w:bottom w:val="single" w:sz="4" w:space="0" w:color="auto"/>
              <w:right w:val="single" w:sz="4" w:space="0" w:color="auto"/>
            </w:tcBorders>
            <w:shd w:val="clear" w:color="auto" w:fill="auto"/>
            <w:vAlign w:val="center"/>
            <w:hideMark/>
          </w:tcPr>
          <w:p w14:paraId="1F5868F5"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COINOBRAS GAS S.A. ESP</w:t>
            </w:r>
          </w:p>
        </w:tc>
        <w:tc>
          <w:tcPr>
            <w:tcW w:w="1600" w:type="dxa"/>
            <w:tcBorders>
              <w:top w:val="nil"/>
              <w:left w:val="nil"/>
              <w:bottom w:val="single" w:sz="4" w:space="0" w:color="auto"/>
              <w:right w:val="single" w:sz="4" w:space="0" w:color="auto"/>
            </w:tcBorders>
            <w:shd w:val="clear" w:color="auto" w:fill="auto"/>
            <w:noWrap/>
            <w:vAlign w:val="center"/>
            <w:hideMark/>
          </w:tcPr>
          <w:p w14:paraId="1DBF4B96"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631.228.595 </w:t>
            </w:r>
          </w:p>
        </w:tc>
        <w:tc>
          <w:tcPr>
            <w:tcW w:w="1660" w:type="dxa"/>
            <w:tcBorders>
              <w:top w:val="nil"/>
              <w:left w:val="nil"/>
              <w:bottom w:val="single" w:sz="4" w:space="0" w:color="auto"/>
              <w:right w:val="single" w:sz="4" w:space="0" w:color="auto"/>
            </w:tcBorders>
            <w:shd w:val="clear" w:color="auto" w:fill="auto"/>
            <w:noWrap/>
            <w:vAlign w:val="center"/>
            <w:hideMark/>
          </w:tcPr>
          <w:p w14:paraId="4EC37609"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777.494.441 </w:t>
            </w:r>
          </w:p>
        </w:tc>
      </w:tr>
      <w:tr w:rsidR="009838E7" w:rsidRPr="009838E7" w14:paraId="490429EE"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3908405D"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132</w:t>
            </w:r>
          </w:p>
        </w:tc>
        <w:tc>
          <w:tcPr>
            <w:tcW w:w="505" w:type="dxa"/>
            <w:tcBorders>
              <w:top w:val="nil"/>
              <w:left w:val="nil"/>
              <w:bottom w:val="single" w:sz="4" w:space="0" w:color="auto"/>
              <w:right w:val="single" w:sz="4" w:space="0" w:color="auto"/>
            </w:tcBorders>
            <w:shd w:val="clear" w:color="auto" w:fill="auto"/>
            <w:noWrap/>
            <w:vAlign w:val="center"/>
            <w:hideMark/>
          </w:tcPr>
          <w:p w14:paraId="0C9A04FB"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22488</w:t>
            </w:r>
          </w:p>
        </w:tc>
        <w:tc>
          <w:tcPr>
            <w:tcW w:w="797" w:type="dxa"/>
            <w:tcBorders>
              <w:top w:val="nil"/>
              <w:left w:val="nil"/>
              <w:bottom w:val="single" w:sz="4" w:space="0" w:color="auto"/>
              <w:right w:val="single" w:sz="4" w:space="0" w:color="auto"/>
            </w:tcBorders>
            <w:shd w:val="clear" w:color="auto" w:fill="auto"/>
            <w:noWrap/>
            <w:vAlign w:val="center"/>
            <w:hideMark/>
          </w:tcPr>
          <w:p w14:paraId="0BBDD8D2"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900103542</w:t>
            </w:r>
          </w:p>
        </w:tc>
        <w:tc>
          <w:tcPr>
            <w:tcW w:w="4844" w:type="dxa"/>
            <w:tcBorders>
              <w:top w:val="nil"/>
              <w:left w:val="nil"/>
              <w:bottom w:val="single" w:sz="4" w:space="0" w:color="auto"/>
              <w:right w:val="single" w:sz="4" w:space="0" w:color="auto"/>
            </w:tcBorders>
            <w:shd w:val="clear" w:color="auto" w:fill="auto"/>
            <w:vAlign w:val="center"/>
            <w:hideMark/>
          </w:tcPr>
          <w:p w14:paraId="0D339648"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GNI GAS NATURAL INDUSTRIAL DE COLOMBIA S.A.S. E.S.P.</w:t>
            </w:r>
          </w:p>
        </w:tc>
        <w:tc>
          <w:tcPr>
            <w:tcW w:w="1600" w:type="dxa"/>
            <w:tcBorders>
              <w:top w:val="nil"/>
              <w:left w:val="nil"/>
              <w:bottom w:val="single" w:sz="4" w:space="0" w:color="auto"/>
              <w:right w:val="single" w:sz="4" w:space="0" w:color="auto"/>
            </w:tcBorders>
            <w:shd w:val="clear" w:color="auto" w:fill="auto"/>
            <w:noWrap/>
            <w:vAlign w:val="center"/>
            <w:hideMark/>
          </w:tcPr>
          <w:p w14:paraId="0F18FF28"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1.046.920.447 </w:t>
            </w:r>
          </w:p>
        </w:tc>
        <w:tc>
          <w:tcPr>
            <w:tcW w:w="1660" w:type="dxa"/>
            <w:tcBorders>
              <w:top w:val="nil"/>
              <w:left w:val="nil"/>
              <w:bottom w:val="single" w:sz="4" w:space="0" w:color="auto"/>
              <w:right w:val="single" w:sz="4" w:space="0" w:color="auto"/>
            </w:tcBorders>
            <w:shd w:val="clear" w:color="auto" w:fill="auto"/>
            <w:noWrap/>
            <w:vAlign w:val="center"/>
            <w:hideMark/>
          </w:tcPr>
          <w:p w14:paraId="4D016172"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1.336.679.885 </w:t>
            </w:r>
          </w:p>
        </w:tc>
      </w:tr>
      <w:tr w:rsidR="009838E7" w:rsidRPr="009838E7" w14:paraId="1389ED20"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3FC96F4B"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133</w:t>
            </w:r>
          </w:p>
        </w:tc>
        <w:tc>
          <w:tcPr>
            <w:tcW w:w="505" w:type="dxa"/>
            <w:tcBorders>
              <w:top w:val="nil"/>
              <w:left w:val="nil"/>
              <w:bottom w:val="single" w:sz="4" w:space="0" w:color="auto"/>
              <w:right w:val="single" w:sz="4" w:space="0" w:color="auto"/>
            </w:tcBorders>
            <w:shd w:val="clear" w:color="auto" w:fill="auto"/>
            <w:noWrap/>
            <w:vAlign w:val="center"/>
            <w:hideMark/>
          </w:tcPr>
          <w:p w14:paraId="2DBF764D"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21870</w:t>
            </w:r>
          </w:p>
        </w:tc>
        <w:tc>
          <w:tcPr>
            <w:tcW w:w="797" w:type="dxa"/>
            <w:tcBorders>
              <w:top w:val="nil"/>
              <w:left w:val="nil"/>
              <w:bottom w:val="single" w:sz="4" w:space="0" w:color="auto"/>
              <w:right w:val="single" w:sz="4" w:space="0" w:color="auto"/>
            </w:tcBorders>
            <w:shd w:val="clear" w:color="auto" w:fill="auto"/>
            <w:noWrap/>
            <w:vAlign w:val="center"/>
            <w:hideMark/>
          </w:tcPr>
          <w:p w14:paraId="252A2A96"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900112515</w:t>
            </w:r>
          </w:p>
        </w:tc>
        <w:tc>
          <w:tcPr>
            <w:tcW w:w="4844" w:type="dxa"/>
            <w:tcBorders>
              <w:top w:val="nil"/>
              <w:left w:val="nil"/>
              <w:bottom w:val="single" w:sz="4" w:space="0" w:color="auto"/>
              <w:right w:val="single" w:sz="4" w:space="0" w:color="auto"/>
            </w:tcBorders>
            <w:shd w:val="clear" w:color="auto" w:fill="auto"/>
            <w:vAlign w:val="center"/>
            <w:hideMark/>
          </w:tcPr>
          <w:p w14:paraId="5DB08253"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REFINERIA DE CARTAGENA S.A.</w:t>
            </w:r>
          </w:p>
        </w:tc>
        <w:tc>
          <w:tcPr>
            <w:tcW w:w="1600" w:type="dxa"/>
            <w:tcBorders>
              <w:top w:val="nil"/>
              <w:left w:val="nil"/>
              <w:bottom w:val="single" w:sz="4" w:space="0" w:color="auto"/>
              <w:right w:val="single" w:sz="4" w:space="0" w:color="auto"/>
            </w:tcBorders>
            <w:shd w:val="clear" w:color="auto" w:fill="auto"/>
            <w:noWrap/>
            <w:vAlign w:val="center"/>
            <w:hideMark/>
          </w:tcPr>
          <w:p w14:paraId="57848F14"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7.783.916.768 </w:t>
            </w:r>
          </w:p>
        </w:tc>
        <w:tc>
          <w:tcPr>
            <w:tcW w:w="1660" w:type="dxa"/>
            <w:tcBorders>
              <w:top w:val="nil"/>
              <w:left w:val="nil"/>
              <w:bottom w:val="single" w:sz="4" w:space="0" w:color="auto"/>
              <w:right w:val="single" w:sz="4" w:space="0" w:color="auto"/>
            </w:tcBorders>
            <w:shd w:val="clear" w:color="auto" w:fill="auto"/>
            <w:noWrap/>
            <w:vAlign w:val="center"/>
            <w:hideMark/>
          </w:tcPr>
          <w:p w14:paraId="1371E5CF"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7.253.581.785 </w:t>
            </w:r>
          </w:p>
        </w:tc>
      </w:tr>
      <w:tr w:rsidR="009838E7" w:rsidRPr="009838E7" w14:paraId="0BADCE23"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2D5A9D92"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134</w:t>
            </w:r>
          </w:p>
        </w:tc>
        <w:tc>
          <w:tcPr>
            <w:tcW w:w="505" w:type="dxa"/>
            <w:tcBorders>
              <w:top w:val="nil"/>
              <w:left w:val="nil"/>
              <w:bottom w:val="single" w:sz="4" w:space="0" w:color="auto"/>
              <w:right w:val="single" w:sz="4" w:space="0" w:color="auto"/>
            </w:tcBorders>
            <w:shd w:val="clear" w:color="auto" w:fill="auto"/>
            <w:noWrap/>
            <w:vAlign w:val="center"/>
            <w:hideMark/>
          </w:tcPr>
          <w:p w14:paraId="085BC5AE"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21643</w:t>
            </w:r>
          </w:p>
        </w:tc>
        <w:tc>
          <w:tcPr>
            <w:tcW w:w="797" w:type="dxa"/>
            <w:tcBorders>
              <w:top w:val="nil"/>
              <w:left w:val="nil"/>
              <w:bottom w:val="single" w:sz="4" w:space="0" w:color="auto"/>
              <w:right w:val="single" w:sz="4" w:space="0" w:color="auto"/>
            </w:tcBorders>
            <w:shd w:val="clear" w:color="auto" w:fill="auto"/>
            <w:noWrap/>
            <w:vAlign w:val="center"/>
            <w:hideMark/>
          </w:tcPr>
          <w:p w14:paraId="43BB5D4E"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900134459</w:t>
            </w:r>
          </w:p>
        </w:tc>
        <w:tc>
          <w:tcPr>
            <w:tcW w:w="4844" w:type="dxa"/>
            <w:tcBorders>
              <w:top w:val="nil"/>
              <w:left w:val="nil"/>
              <w:bottom w:val="single" w:sz="4" w:space="0" w:color="auto"/>
              <w:right w:val="single" w:sz="4" w:space="0" w:color="auto"/>
            </w:tcBorders>
            <w:shd w:val="clear" w:color="auto" w:fill="auto"/>
            <w:vAlign w:val="center"/>
            <w:hideMark/>
          </w:tcPr>
          <w:p w14:paraId="05F762EA"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TRANSPORTADORA DE GAS INTERNACIONAL S.A. E.S.P.</w:t>
            </w:r>
          </w:p>
        </w:tc>
        <w:tc>
          <w:tcPr>
            <w:tcW w:w="1600" w:type="dxa"/>
            <w:tcBorders>
              <w:top w:val="nil"/>
              <w:left w:val="nil"/>
              <w:bottom w:val="single" w:sz="4" w:space="0" w:color="auto"/>
              <w:right w:val="single" w:sz="4" w:space="0" w:color="auto"/>
            </w:tcBorders>
            <w:shd w:val="clear" w:color="auto" w:fill="auto"/>
            <w:noWrap/>
            <w:vAlign w:val="center"/>
            <w:hideMark/>
          </w:tcPr>
          <w:p w14:paraId="7E9A5BDC"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89.205.613.685 </w:t>
            </w:r>
          </w:p>
        </w:tc>
        <w:tc>
          <w:tcPr>
            <w:tcW w:w="1660" w:type="dxa"/>
            <w:tcBorders>
              <w:top w:val="nil"/>
              <w:left w:val="nil"/>
              <w:bottom w:val="single" w:sz="4" w:space="0" w:color="auto"/>
              <w:right w:val="single" w:sz="4" w:space="0" w:color="auto"/>
            </w:tcBorders>
            <w:shd w:val="clear" w:color="auto" w:fill="auto"/>
            <w:noWrap/>
            <w:vAlign w:val="center"/>
            <w:hideMark/>
          </w:tcPr>
          <w:p w14:paraId="02C2F140"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99.213.370.748 </w:t>
            </w:r>
          </w:p>
        </w:tc>
      </w:tr>
      <w:tr w:rsidR="009838E7" w:rsidRPr="009838E7" w14:paraId="5CB2363D"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25C9DCCD"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135</w:t>
            </w:r>
          </w:p>
        </w:tc>
        <w:tc>
          <w:tcPr>
            <w:tcW w:w="505" w:type="dxa"/>
            <w:tcBorders>
              <w:top w:val="nil"/>
              <w:left w:val="nil"/>
              <w:bottom w:val="single" w:sz="4" w:space="0" w:color="auto"/>
              <w:right w:val="single" w:sz="4" w:space="0" w:color="auto"/>
            </w:tcBorders>
            <w:shd w:val="clear" w:color="auto" w:fill="auto"/>
            <w:noWrap/>
            <w:vAlign w:val="center"/>
            <w:hideMark/>
          </w:tcPr>
          <w:p w14:paraId="4C2864E7"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44077</w:t>
            </w:r>
          </w:p>
        </w:tc>
        <w:tc>
          <w:tcPr>
            <w:tcW w:w="797" w:type="dxa"/>
            <w:tcBorders>
              <w:top w:val="nil"/>
              <w:left w:val="nil"/>
              <w:bottom w:val="single" w:sz="4" w:space="0" w:color="auto"/>
              <w:right w:val="single" w:sz="4" w:space="0" w:color="auto"/>
            </w:tcBorders>
            <w:shd w:val="clear" w:color="auto" w:fill="auto"/>
            <w:noWrap/>
            <w:vAlign w:val="center"/>
            <w:hideMark/>
          </w:tcPr>
          <w:p w14:paraId="44B3C49A"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900148768</w:t>
            </w:r>
          </w:p>
        </w:tc>
        <w:tc>
          <w:tcPr>
            <w:tcW w:w="4844" w:type="dxa"/>
            <w:tcBorders>
              <w:top w:val="nil"/>
              <w:left w:val="nil"/>
              <w:bottom w:val="single" w:sz="4" w:space="0" w:color="auto"/>
              <w:right w:val="single" w:sz="4" w:space="0" w:color="auto"/>
            </w:tcBorders>
            <w:shd w:val="clear" w:color="auto" w:fill="auto"/>
            <w:vAlign w:val="center"/>
            <w:hideMark/>
          </w:tcPr>
          <w:p w14:paraId="3F8A1F76"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ENERMAS SAS ESP</w:t>
            </w:r>
          </w:p>
        </w:tc>
        <w:tc>
          <w:tcPr>
            <w:tcW w:w="1600" w:type="dxa"/>
            <w:tcBorders>
              <w:top w:val="nil"/>
              <w:left w:val="nil"/>
              <w:bottom w:val="single" w:sz="4" w:space="0" w:color="auto"/>
              <w:right w:val="single" w:sz="4" w:space="0" w:color="auto"/>
            </w:tcBorders>
            <w:shd w:val="clear" w:color="auto" w:fill="auto"/>
            <w:noWrap/>
            <w:vAlign w:val="center"/>
            <w:hideMark/>
          </w:tcPr>
          <w:p w14:paraId="30E5D1B4"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527.045.243 </w:t>
            </w:r>
          </w:p>
        </w:tc>
        <w:tc>
          <w:tcPr>
            <w:tcW w:w="1660" w:type="dxa"/>
            <w:tcBorders>
              <w:top w:val="nil"/>
              <w:left w:val="nil"/>
              <w:bottom w:val="single" w:sz="4" w:space="0" w:color="auto"/>
              <w:right w:val="single" w:sz="4" w:space="0" w:color="auto"/>
            </w:tcBorders>
            <w:shd w:val="clear" w:color="auto" w:fill="auto"/>
            <w:noWrap/>
            <w:vAlign w:val="center"/>
            <w:hideMark/>
          </w:tcPr>
          <w:p w14:paraId="7BAAA614"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509.891.198 </w:t>
            </w:r>
          </w:p>
        </w:tc>
      </w:tr>
      <w:tr w:rsidR="009838E7" w:rsidRPr="009838E7" w14:paraId="0491EA3F"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3BD7AE6F"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136</w:t>
            </w:r>
          </w:p>
        </w:tc>
        <w:tc>
          <w:tcPr>
            <w:tcW w:w="505" w:type="dxa"/>
            <w:tcBorders>
              <w:top w:val="nil"/>
              <w:left w:val="nil"/>
              <w:bottom w:val="single" w:sz="4" w:space="0" w:color="auto"/>
              <w:right w:val="single" w:sz="4" w:space="0" w:color="auto"/>
            </w:tcBorders>
            <w:shd w:val="clear" w:color="auto" w:fill="auto"/>
            <w:noWrap/>
            <w:vAlign w:val="center"/>
            <w:hideMark/>
          </w:tcPr>
          <w:p w14:paraId="5C4B9DDB"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21837</w:t>
            </w:r>
          </w:p>
        </w:tc>
        <w:tc>
          <w:tcPr>
            <w:tcW w:w="797" w:type="dxa"/>
            <w:tcBorders>
              <w:top w:val="nil"/>
              <w:left w:val="nil"/>
              <w:bottom w:val="single" w:sz="4" w:space="0" w:color="auto"/>
              <w:right w:val="single" w:sz="4" w:space="0" w:color="auto"/>
            </w:tcBorders>
            <w:shd w:val="clear" w:color="auto" w:fill="auto"/>
            <w:noWrap/>
            <w:vAlign w:val="center"/>
            <w:hideMark/>
          </w:tcPr>
          <w:p w14:paraId="5BF3C9FA"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900154878</w:t>
            </w:r>
          </w:p>
        </w:tc>
        <w:tc>
          <w:tcPr>
            <w:tcW w:w="4844" w:type="dxa"/>
            <w:tcBorders>
              <w:top w:val="nil"/>
              <w:left w:val="nil"/>
              <w:bottom w:val="single" w:sz="4" w:space="0" w:color="auto"/>
              <w:right w:val="single" w:sz="4" w:space="0" w:color="auto"/>
            </w:tcBorders>
            <w:shd w:val="clear" w:color="auto" w:fill="auto"/>
            <w:vAlign w:val="center"/>
            <w:hideMark/>
          </w:tcPr>
          <w:p w14:paraId="3298597B"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AMERICANA DE ENERGIA S.A.S. E.S.P.</w:t>
            </w:r>
          </w:p>
        </w:tc>
        <w:tc>
          <w:tcPr>
            <w:tcW w:w="1600" w:type="dxa"/>
            <w:tcBorders>
              <w:top w:val="nil"/>
              <w:left w:val="nil"/>
              <w:bottom w:val="single" w:sz="4" w:space="0" w:color="auto"/>
              <w:right w:val="single" w:sz="4" w:space="0" w:color="auto"/>
            </w:tcBorders>
            <w:shd w:val="clear" w:color="auto" w:fill="auto"/>
            <w:noWrap/>
            <w:vAlign w:val="center"/>
            <w:hideMark/>
          </w:tcPr>
          <w:p w14:paraId="19AD9F79"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1.423.369.322 </w:t>
            </w:r>
          </w:p>
        </w:tc>
        <w:tc>
          <w:tcPr>
            <w:tcW w:w="1660" w:type="dxa"/>
            <w:tcBorders>
              <w:top w:val="nil"/>
              <w:left w:val="nil"/>
              <w:bottom w:val="single" w:sz="4" w:space="0" w:color="auto"/>
              <w:right w:val="single" w:sz="4" w:space="0" w:color="auto"/>
            </w:tcBorders>
            <w:shd w:val="clear" w:color="auto" w:fill="auto"/>
            <w:noWrap/>
            <w:vAlign w:val="center"/>
            <w:hideMark/>
          </w:tcPr>
          <w:p w14:paraId="34CBABFD"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1.907.335.533 </w:t>
            </w:r>
          </w:p>
        </w:tc>
      </w:tr>
      <w:tr w:rsidR="009838E7" w:rsidRPr="009838E7" w14:paraId="37A16AD6"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6CD4247D"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137</w:t>
            </w:r>
          </w:p>
        </w:tc>
        <w:tc>
          <w:tcPr>
            <w:tcW w:w="505" w:type="dxa"/>
            <w:tcBorders>
              <w:top w:val="nil"/>
              <w:left w:val="nil"/>
              <w:bottom w:val="single" w:sz="4" w:space="0" w:color="auto"/>
              <w:right w:val="single" w:sz="4" w:space="0" w:color="auto"/>
            </w:tcBorders>
            <w:shd w:val="clear" w:color="auto" w:fill="auto"/>
            <w:noWrap/>
            <w:vAlign w:val="center"/>
            <w:hideMark/>
          </w:tcPr>
          <w:p w14:paraId="2188B2B1"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22143</w:t>
            </w:r>
          </w:p>
        </w:tc>
        <w:tc>
          <w:tcPr>
            <w:tcW w:w="797" w:type="dxa"/>
            <w:tcBorders>
              <w:top w:val="nil"/>
              <w:left w:val="nil"/>
              <w:bottom w:val="single" w:sz="4" w:space="0" w:color="auto"/>
              <w:right w:val="single" w:sz="4" w:space="0" w:color="auto"/>
            </w:tcBorders>
            <w:shd w:val="clear" w:color="auto" w:fill="auto"/>
            <w:noWrap/>
            <w:vAlign w:val="center"/>
            <w:hideMark/>
          </w:tcPr>
          <w:p w14:paraId="143BFDB4"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900154879</w:t>
            </w:r>
          </w:p>
        </w:tc>
        <w:tc>
          <w:tcPr>
            <w:tcW w:w="4844" w:type="dxa"/>
            <w:tcBorders>
              <w:top w:val="nil"/>
              <w:left w:val="nil"/>
              <w:bottom w:val="single" w:sz="4" w:space="0" w:color="auto"/>
              <w:right w:val="single" w:sz="4" w:space="0" w:color="auto"/>
            </w:tcBorders>
            <w:shd w:val="clear" w:color="auto" w:fill="auto"/>
            <w:vAlign w:val="center"/>
            <w:hideMark/>
          </w:tcPr>
          <w:p w14:paraId="5C80AE37" w14:textId="77777777" w:rsidR="009838E7" w:rsidRPr="002C5AEF" w:rsidRDefault="009838E7" w:rsidP="00D22441">
            <w:pPr>
              <w:jc w:val="left"/>
              <w:rPr>
                <w:rFonts w:ascii="Arial Narrow" w:hAnsi="Arial Narrow" w:cs="Calibri"/>
                <w:color w:val="000000"/>
                <w:spacing w:val="0"/>
                <w:sz w:val="16"/>
                <w:szCs w:val="16"/>
                <w:lang w:val="en-GB" w:eastAsia="es-CO"/>
              </w:rPr>
            </w:pPr>
            <w:r w:rsidRPr="002C5AEF">
              <w:rPr>
                <w:rFonts w:ascii="Arial Narrow" w:hAnsi="Arial Narrow" w:cs="Calibri"/>
                <w:color w:val="000000"/>
                <w:spacing w:val="0"/>
                <w:sz w:val="16"/>
                <w:szCs w:val="16"/>
                <w:lang w:val="en-GB" w:eastAsia="es-CO"/>
              </w:rPr>
              <w:t>GENERSYS S.A.S E.S.P.</w:t>
            </w:r>
          </w:p>
        </w:tc>
        <w:tc>
          <w:tcPr>
            <w:tcW w:w="1600" w:type="dxa"/>
            <w:tcBorders>
              <w:top w:val="nil"/>
              <w:left w:val="nil"/>
              <w:bottom w:val="single" w:sz="4" w:space="0" w:color="auto"/>
              <w:right w:val="single" w:sz="4" w:space="0" w:color="auto"/>
            </w:tcBorders>
            <w:shd w:val="clear" w:color="auto" w:fill="auto"/>
            <w:noWrap/>
            <w:vAlign w:val="center"/>
            <w:hideMark/>
          </w:tcPr>
          <w:p w14:paraId="4FA86D4A" w14:textId="77777777" w:rsidR="009838E7" w:rsidRPr="009838E7" w:rsidRDefault="009838E7" w:rsidP="00D22441">
            <w:pPr>
              <w:jc w:val="left"/>
              <w:rPr>
                <w:rFonts w:ascii="Arial Narrow" w:hAnsi="Arial Narrow" w:cs="Calibri"/>
                <w:color w:val="000000"/>
                <w:spacing w:val="0"/>
                <w:sz w:val="16"/>
                <w:szCs w:val="16"/>
                <w:lang w:eastAsia="es-CO"/>
              </w:rPr>
            </w:pPr>
            <w:r w:rsidRPr="002C5AEF">
              <w:rPr>
                <w:rFonts w:ascii="Arial Narrow" w:hAnsi="Arial Narrow" w:cs="Calibri"/>
                <w:color w:val="000000"/>
                <w:spacing w:val="0"/>
                <w:sz w:val="16"/>
                <w:szCs w:val="16"/>
                <w:lang w:val="en-GB" w:eastAsia="es-CO"/>
              </w:rPr>
              <w:t xml:space="preserve">                </w:t>
            </w:r>
            <w:r w:rsidRPr="009838E7">
              <w:rPr>
                <w:rFonts w:ascii="Arial Narrow" w:hAnsi="Arial Narrow" w:cs="Calibri"/>
                <w:color w:val="000000"/>
                <w:spacing w:val="0"/>
                <w:sz w:val="16"/>
                <w:szCs w:val="16"/>
                <w:lang w:eastAsia="es-CO"/>
              </w:rPr>
              <w:t xml:space="preserve">331.681.211 </w:t>
            </w:r>
          </w:p>
        </w:tc>
        <w:tc>
          <w:tcPr>
            <w:tcW w:w="1660" w:type="dxa"/>
            <w:tcBorders>
              <w:top w:val="nil"/>
              <w:left w:val="nil"/>
              <w:bottom w:val="single" w:sz="4" w:space="0" w:color="auto"/>
              <w:right w:val="single" w:sz="4" w:space="0" w:color="auto"/>
            </w:tcBorders>
            <w:shd w:val="clear" w:color="auto" w:fill="auto"/>
            <w:noWrap/>
            <w:vAlign w:val="center"/>
            <w:hideMark/>
          </w:tcPr>
          <w:p w14:paraId="0B758CA6"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867.677.519 </w:t>
            </w:r>
          </w:p>
        </w:tc>
      </w:tr>
      <w:tr w:rsidR="009838E7" w:rsidRPr="009838E7" w14:paraId="4DA27BE3"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468C65DD"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138</w:t>
            </w:r>
          </w:p>
        </w:tc>
        <w:tc>
          <w:tcPr>
            <w:tcW w:w="505" w:type="dxa"/>
            <w:tcBorders>
              <w:top w:val="nil"/>
              <w:left w:val="nil"/>
              <w:bottom w:val="single" w:sz="4" w:space="0" w:color="auto"/>
              <w:right w:val="single" w:sz="4" w:space="0" w:color="auto"/>
            </w:tcBorders>
            <w:shd w:val="clear" w:color="auto" w:fill="auto"/>
            <w:noWrap/>
            <w:vAlign w:val="center"/>
            <w:hideMark/>
          </w:tcPr>
          <w:p w14:paraId="132CAC20"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22144</w:t>
            </w:r>
          </w:p>
        </w:tc>
        <w:tc>
          <w:tcPr>
            <w:tcW w:w="797" w:type="dxa"/>
            <w:tcBorders>
              <w:top w:val="nil"/>
              <w:left w:val="nil"/>
              <w:bottom w:val="single" w:sz="4" w:space="0" w:color="auto"/>
              <w:right w:val="single" w:sz="4" w:space="0" w:color="auto"/>
            </w:tcBorders>
            <w:shd w:val="clear" w:color="auto" w:fill="auto"/>
            <w:noWrap/>
            <w:vAlign w:val="center"/>
            <w:hideMark/>
          </w:tcPr>
          <w:p w14:paraId="33D3FD20"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900161460</w:t>
            </w:r>
          </w:p>
        </w:tc>
        <w:tc>
          <w:tcPr>
            <w:tcW w:w="4844" w:type="dxa"/>
            <w:tcBorders>
              <w:top w:val="nil"/>
              <w:left w:val="nil"/>
              <w:bottom w:val="single" w:sz="4" w:space="0" w:color="auto"/>
              <w:right w:val="single" w:sz="4" w:space="0" w:color="auto"/>
            </w:tcBorders>
            <w:shd w:val="clear" w:color="auto" w:fill="auto"/>
            <w:vAlign w:val="center"/>
            <w:hideMark/>
          </w:tcPr>
          <w:p w14:paraId="66A282A0"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TERMOTASAJERO SA ESP</w:t>
            </w:r>
          </w:p>
        </w:tc>
        <w:tc>
          <w:tcPr>
            <w:tcW w:w="1600" w:type="dxa"/>
            <w:tcBorders>
              <w:top w:val="nil"/>
              <w:left w:val="nil"/>
              <w:bottom w:val="single" w:sz="4" w:space="0" w:color="auto"/>
              <w:right w:val="single" w:sz="4" w:space="0" w:color="auto"/>
            </w:tcBorders>
            <w:shd w:val="clear" w:color="auto" w:fill="auto"/>
            <w:noWrap/>
            <w:vAlign w:val="center"/>
            <w:hideMark/>
          </w:tcPr>
          <w:p w14:paraId="037A1157"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10.708.633.305 </w:t>
            </w:r>
          </w:p>
        </w:tc>
        <w:tc>
          <w:tcPr>
            <w:tcW w:w="1660" w:type="dxa"/>
            <w:tcBorders>
              <w:top w:val="nil"/>
              <w:left w:val="nil"/>
              <w:bottom w:val="single" w:sz="4" w:space="0" w:color="auto"/>
              <w:right w:val="single" w:sz="4" w:space="0" w:color="auto"/>
            </w:tcBorders>
            <w:shd w:val="clear" w:color="auto" w:fill="auto"/>
            <w:noWrap/>
            <w:vAlign w:val="center"/>
            <w:hideMark/>
          </w:tcPr>
          <w:p w14:paraId="7CF7E894"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13.004.549.211 </w:t>
            </w:r>
          </w:p>
        </w:tc>
      </w:tr>
      <w:tr w:rsidR="009838E7" w:rsidRPr="009838E7" w14:paraId="3F5F6718"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6D7792B2"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139</w:t>
            </w:r>
          </w:p>
        </w:tc>
        <w:tc>
          <w:tcPr>
            <w:tcW w:w="505" w:type="dxa"/>
            <w:tcBorders>
              <w:top w:val="nil"/>
              <w:left w:val="nil"/>
              <w:bottom w:val="single" w:sz="4" w:space="0" w:color="auto"/>
              <w:right w:val="single" w:sz="4" w:space="0" w:color="auto"/>
            </w:tcBorders>
            <w:shd w:val="clear" w:color="auto" w:fill="auto"/>
            <w:noWrap/>
            <w:vAlign w:val="center"/>
            <w:hideMark/>
          </w:tcPr>
          <w:p w14:paraId="1F43B1B3"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22140</w:t>
            </w:r>
          </w:p>
        </w:tc>
        <w:tc>
          <w:tcPr>
            <w:tcW w:w="797" w:type="dxa"/>
            <w:tcBorders>
              <w:top w:val="nil"/>
              <w:left w:val="nil"/>
              <w:bottom w:val="single" w:sz="4" w:space="0" w:color="auto"/>
              <w:right w:val="single" w:sz="4" w:space="0" w:color="auto"/>
            </w:tcBorders>
            <w:shd w:val="clear" w:color="auto" w:fill="auto"/>
            <w:noWrap/>
            <w:vAlign w:val="center"/>
            <w:hideMark/>
          </w:tcPr>
          <w:p w14:paraId="0304DD66"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900181771</w:t>
            </w:r>
          </w:p>
        </w:tc>
        <w:tc>
          <w:tcPr>
            <w:tcW w:w="4844" w:type="dxa"/>
            <w:tcBorders>
              <w:top w:val="nil"/>
              <w:left w:val="nil"/>
              <w:bottom w:val="single" w:sz="4" w:space="0" w:color="auto"/>
              <w:right w:val="single" w:sz="4" w:space="0" w:color="auto"/>
            </w:tcBorders>
            <w:shd w:val="clear" w:color="auto" w:fill="auto"/>
            <w:vAlign w:val="center"/>
            <w:hideMark/>
          </w:tcPr>
          <w:p w14:paraId="6CAE3C76" w14:textId="52E097BD"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ENERGIA RENOVABLE DE COLOMBIA S.A. E.S.P</w:t>
            </w:r>
            <w:r w:rsidR="006F2D43">
              <w:rPr>
                <w:rFonts w:ascii="Arial Narrow" w:hAnsi="Arial Narrow" w:cs="Calibri"/>
                <w:color w:val="000000"/>
                <w:spacing w:val="0"/>
                <w:sz w:val="16"/>
                <w:szCs w:val="16"/>
                <w:lang w:eastAsia="es-CO"/>
              </w:rPr>
              <w:t>.</w:t>
            </w:r>
          </w:p>
        </w:tc>
        <w:tc>
          <w:tcPr>
            <w:tcW w:w="1600" w:type="dxa"/>
            <w:tcBorders>
              <w:top w:val="nil"/>
              <w:left w:val="nil"/>
              <w:bottom w:val="single" w:sz="4" w:space="0" w:color="auto"/>
              <w:right w:val="single" w:sz="4" w:space="0" w:color="auto"/>
            </w:tcBorders>
            <w:shd w:val="clear" w:color="auto" w:fill="auto"/>
            <w:noWrap/>
            <w:vAlign w:val="center"/>
            <w:hideMark/>
          </w:tcPr>
          <w:p w14:paraId="735273BA"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132.122.000 </w:t>
            </w:r>
          </w:p>
        </w:tc>
        <w:tc>
          <w:tcPr>
            <w:tcW w:w="1660" w:type="dxa"/>
            <w:tcBorders>
              <w:top w:val="nil"/>
              <w:left w:val="nil"/>
              <w:bottom w:val="single" w:sz="4" w:space="0" w:color="auto"/>
              <w:right w:val="single" w:sz="4" w:space="0" w:color="auto"/>
            </w:tcBorders>
            <w:shd w:val="clear" w:color="auto" w:fill="auto"/>
            <w:noWrap/>
            <w:vAlign w:val="center"/>
            <w:hideMark/>
          </w:tcPr>
          <w:p w14:paraId="3D2E96E3"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250.904.000 </w:t>
            </w:r>
          </w:p>
        </w:tc>
      </w:tr>
      <w:tr w:rsidR="009838E7" w:rsidRPr="009838E7" w14:paraId="5815D679"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4A02DB62"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140</w:t>
            </w:r>
          </w:p>
        </w:tc>
        <w:tc>
          <w:tcPr>
            <w:tcW w:w="505" w:type="dxa"/>
            <w:tcBorders>
              <w:top w:val="nil"/>
              <w:left w:val="nil"/>
              <w:bottom w:val="single" w:sz="4" w:space="0" w:color="auto"/>
              <w:right w:val="single" w:sz="4" w:space="0" w:color="auto"/>
            </w:tcBorders>
            <w:shd w:val="clear" w:color="auto" w:fill="auto"/>
            <w:noWrap/>
            <w:vAlign w:val="center"/>
            <w:hideMark/>
          </w:tcPr>
          <w:p w14:paraId="6AA72C5F"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23095</w:t>
            </w:r>
          </w:p>
        </w:tc>
        <w:tc>
          <w:tcPr>
            <w:tcW w:w="797" w:type="dxa"/>
            <w:tcBorders>
              <w:top w:val="nil"/>
              <w:left w:val="nil"/>
              <w:bottom w:val="single" w:sz="4" w:space="0" w:color="auto"/>
              <w:right w:val="single" w:sz="4" w:space="0" w:color="auto"/>
            </w:tcBorders>
            <w:shd w:val="clear" w:color="auto" w:fill="auto"/>
            <w:noWrap/>
            <w:vAlign w:val="center"/>
            <w:hideMark/>
          </w:tcPr>
          <w:p w14:paraId="2A5E1653"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900185106</w:t>
            </w:r>
          </w:p>
        </w:tc>
        <w:tc>
          <w:tcPr>
            <w:tcW w:w="4844" w:type="dxa"/>
            <w:tcBorders>
              <w:top w:val="nil"/>
              <w:left w:val="nil"/>
              <w:bottom w:val="single" w:sz="4" w:space="0" w:color="auto"/>
              <w:right w:val="single" w:sz="4" w:space="0" w:color="auto"/>
            </w:tcBorders>
            <w:shd w:val="clear" w:color="auto" w:fill="auto"/>
            <w:vAlign w:val="center"/>
            <w:hideMark/>
          </w:tcPr>
          <w:p w14:paraId="768B3183" w14:textId="6F8EC320"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CARUQUIA S.A.S E.S.P</w:t>
            </w:r>
            <w:r w:rsidR="006F2D43">
              <w:rPr>
                <w:rFonts w:ascii="Arial Narrow" w:hAnsi="Arial Narrow" w:cs="Calibri"/>
                <w:color w:val="000000"/>
                <w:spacing w:val="0"/>
                <w:sz w:val="16"/>
                <w:szCs w:val="16"/>
                <w:lang w:eastAsia="es-CO"/>
              </w:rPr>
              <w:t>.</w:t>
            </w:r>
          </w:p>
        </w:tc>
        <w:tc>
          <w:tcPr>
            <w:tcW w:w="1600" w:type="dxa"/>
            <w:tcBorders>
              <w:top w:val="nil"/>
              <w:left w:val="nil"/>
              <w:bottom w:val="single" w:sz="4" w:space="0" w:color="auto"/>
              <w:right w:val="single" w:sz="4" w:space="0" w:color="auto"/>
            </w:tcBorders>
            <w:shd w:val="clear" w:color="auto" w:fill="auto"/>
            <w:noWrap/>
            <w:vAlign w:val="center"/>
            <w:hideMark/>
          </w:tcPr>
          <w:p w14:paraId="54F753BE"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1.015.335.000 </w:t>
            </w:r>
          </w:p>
        </w:tc>
        <w:tc>
          <w:tcPr>
            <w:tcW w:w="1660" w:type="dxa"/>
            <w:tcBorders>
              <w:top w:val="nil"/>
              <w:left w:val="nil"/>
              <w:bottom w:val="single" w:sz="4" w:space="0" w:color="auto"/>
              <w:right w:val="single" w:sz="4" w:space="0" w:color="auto"/>
            </w:tcBorders>
            <w:shd w:val="clear" w:color="auto" w:fill="auto"/>
            <w:noWrap/>
            <w:vAlign w:val="center"/>
            <w:hideMark/>
          </w:tcPr>
          <w:p w14:paraId="2F548241"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981.731.000 </w:t>
            </w:r>
          </w:p>
        </w:tc>
      </w:tr>
      <w:tr w:rsidR="009838E7" w:rsidRPr="009838E7" w14:paraId="61B157EB"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58D1B825"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141</w:t>
            </w:r>
          </w:p>
        </w:tc>
        <w:tc>
          <w:tcPr>
            <w:tcW w:w="505" w:type="dxa"/>
            <w:tcBorders>
              <w:top w:val="nil"/>
              <w:left w:val="nil"/>
              <w:bottom w:val="single" w:sz="4" w:space="0" w:color="auto"/>
              <w:right w:val="single" w:sz="4" w:space="0" w:color="auto"/>
            </w:tcBorders>
            <w:shd w:val="clear" w:color="auto" w:fill="auto"/>
            <w:noWrap/>
            <w:vAlign w:val="center"/>
            <w:hideMark/>
          </w:tcPr>
          <w:p w14:paraId="00925BA1"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43597</w:t>
            </w:r>
          </w:p>
        </w:tc>
        <w:tc>
          <w:tcPr>
            <w:tcW w:w="797" w:type="dxa"/>
            <w:tcBorders>
              <w:top w:val="nil"/>
              <w:left w:val="nil"/>
              <w:bottom w:val="single" w:sz="4" w:space="0" w:color="auto"/>
              <w:right w:val="single" w:sz="4" w:space="0" w:color="auto"/>
            </w:tcBorders>
            <w:shd w:val="clear" w:color="auto" w:fill="auto"/>
            <w:noWrap/>
            <w:vAlign w:val="center"/>
            <w:hideMark/>
          </w:tcPr>
          <w:p w14:paraId="09D1F074"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900190893</w:t>
            </w:r>
          </w:p>
        </w:tc>
        <w:tc>
          <w:tcPr>
            <w:tcW w:w="4844" w:type="dxa"/>
            <w:tcBorders>
              <w:top w:val="nil"/>
              <w:left w:val="nil"/>
              <w:bottom w:val="single" w:sz="4" w:space="0" w:color="auto"/>
              <w:right w:val="single" w:sz="4" w:space="0" w:color="auto"/>
            </w:tcBorders>
            <w:shd w:val="clear" w:color="auto" w:fill="auto"/>
            <w:vAlign w:val="center"/>
            <w:hideMark/>
          </w:tcPr>
          <w:p w14:paraId="56025820"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ENERGIA DEL SUROESTE S.A. E.S.P.</w:t>
            </w:r>
          </w:p>
        </w:tc>
        <w:tc>
          <w:tcPr>
            <w:tcW w:w="1600" w:type="dxa"/>
            <w:tcBorders>
              <w:top w:val="nil"/>
              <w:left w:val="nil"/>
              <w:bottom w:val="single" w:sz="4" w:space="0" w:color="auto"/>
              <w:right w:val="single" w:sz="4" w:space="0" w:color="auto"/>
            </w:tcBorders>
            <w:shd w:val="clear" w:color="auto" w:fill="auto"/>
            <w:noWrap/>
            <w:vAlign w:val="center"/>
            <w:hideMark/>
          </w:tcPr>
          <w:p w14:paraId="32FB9BA1"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817.326.000 </w:t>
            </w:r>
          </w:p>
        </w:tc>
        <w:tc>
          <w:tcPr>
            <w:tcW w:w="1660" w:type="dxa"/>
            <w:tcBorders>
              <w:top w:val="nil"/>
              <w:left w:val="nil"/>
              <w:bottom w:val="single" w:sz="4" w:space="0" w:color="auto"/>
              <w:right w:val="single" w:sz="4" w:space="0" w:color="auto"/>
            </w:tcBorders>
            <w:shd w:val="clear" w:color="auto" w:fill="auto"/>
            <w:noWrap/>
            <w:vAlign w:val="center"/>
            <w:hideMark/>
          </w:tcPr>
          <w:p w14:paraId="798E431B"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472.465.000 </w:t>
            </w:r>
          </w:p>
        </w:tc>
      </w:tr>
      <w:tr w:rsidR="009838E7" w:rsidRPr="009838E7" w14:paraId="3AD1AFED"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6B86CEF9"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142</w:t>
            </w:r>
          </w:p>
        </w:tc>
        <w:tc>
          <w:tcPr>
            <w:tcW w:w="505" w:type="dxa"/>
            <w:tcBorders>
              <w:top w:val="nil"/>
              <w:left w:val="nil"/>
              <w:bottom w:val="single" w:sz="4" w:space="0" w:color="auto"/>
              <w:right w:val="single" w:sz="4" w:space="0" w:color="auto"/>
            </w:tcBorders>
            <w:shd w:val="clear" w:color="auto" w:fill="auto"/>
            <w:noWrap/>
            <w:vAlign w:val="center"/>
            <w:hideMark/>
          </w:tcPr>
          <w:p w14:paraId="2DBF2949"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26035</w:t>
            </w:r>
          </w:p>
        </w:tc>
        <w:tc>
          <w:tcPr>
            <w:tcW w:w="797" w:type="dxa"/>
            <w:tcBorders>
              <w:top w:val="nil"/>
              <w:left w:val="nil"/>
              <w:bottom w:val="single" w:sz="4" w:space="0" w:color="auto"/>
              <w:right w:val="single" w:sz="4" w:space="0" w:color="auto"/>
            </w:tcBorders>
            <w:shd w:val="clear" w:color="auto" w:fill="auto"/>
            <w:noWrap/>
            <w:vAlign w:val="center"/>
            <w:hideMark/>
          </w:tcPr>
          <w:p w14:paraId="199F8EB1"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900197640</w:t>
            </w:r>
          </w:p>
        </w:tc>
        <w:tc>
          <w:tcPr>
            <w:tcW w:w="4844" w:type="dxa"/>
            <w:tcBorders>
              <w:top w:val="nil"/>
              <w:left w:val="nil"/>
              <w:bottom w:val="single" w:sz="4" w:space="0" w:color="auto"/>
              <w:right w:val="single" w:sz="4" w:space="0" w:color="auto"/>
            </w:tcBorders>
            <w:shd w:val="clear" w:color="auto" w:fill="auto"/>
            <w:vAlign w:val="center"/>
            <w:hideMark/>
          </w:tcPr>
          <w:p w14:paraId="1931E67C"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HEGA SA ESP</w:t>
            </w:r>
          </w:p>
        </w:tc>
        <w:tc>
          <w:tcPr>
            <w:tcW w:w="1600" w:type="dxa"/>
            <w:tcBorders>
              <w:top w:val="nil"/>
              <w:left w:val="nil"/>
              <w:bottom w:val="single" w:sz="4" w:space="0" w:color="auto"/>
              <w:right w:val="single" w:sz="4" w:space="0" w:color="auto"/>
            </w:tcBorders>
            <w:shd w:val="clear" w:color="auto" w:fill="auto"/>
            <w:noWrap/>
            <w:vAlign w:val="center"/>
            <w:hideMark/>
          </w:tcPr>
          <w:p w14:paraId="2A63CFC8"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136.682.223 </w:t>
            </w:r>
          </w:p>
        </w:tc>
        <w:tc>
          <w:tcPr>
            <w:tcW w:w="1660" w:type="dxa"/>
            <w:tcBorders>
              <w:top w:val="nil"/>
              <w:left w:val="nil"/>
              <w:bottom w:val="single" w:sz="4" w:space="0" w:color="auto"/>
              <w:right w:val="single" w:sz="4" w:space="0" w:color="auto"/>
            </w:tcBorders>
            <w:shd w:val="clear" w:color="auto" w:fill="auto"/>
            <w:noWrap/>
            <w:vAlign w:val="center"/>
            <w:hideMark/>
          </w:tcPr>
          <w:p w14:paraId="5226EFFD"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80.973.069 </w:t>
            </w:r>
          </w:p>
        </w:tc>
      </w:tr>
      <w:tr w:rsidR="009838E7" w:rsidRPr="009838E7" w14:paraId="7F39C164"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1956E9F9"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143</w:t>
            </w:r>
          </w:p>
        </w:tc>
        <w:tc>
          <w:tcPr>
            <w:tcW w:w="505" w:type="dxa"/>
            <w:tcBorders>
              <w:top w:val="nil"/>
              <w:left w:val="nil"/>
              <w:bottom w:val="single" w:sz="4" w:space="0" w:color="auto"/>
              <w:right w:val="single" w:sz="4" w:space="0" w:color="auto"/>
            </w:tcBorders>
            <w:shd w:val="clear" w:color="auto" w:fill="auto"/>
            <w:noWrap/>
            <w:vAlign w:val="center"/>
            <w:hideMark/>
          </w:tcPr>
          <w:p w14:paraId="365AA4E3"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22635</w:t>
            </w:r>
          </w:p>
        </w:tc>
        <w:tc>
          <w:tcPr>
            <w:tcW w:w="797" w:type="dxa"/>
            <w:tcBorders>
              <w:top w:val="nil"/>
              <w:left w:val="nil"/>
              <w:bottom w:val="single" w:sz="4" w:space="0" w:color="auto"/>
              <w:right w:val="single" w:sz="4" w:space="0" w:color="auto"/>
            </w:tcBorders>
            <w:shd w:val="clear" w:color="auto" w:fill="auto"/>
            <w:noWrap/>
            <w:vAlign w:val="center"/>
            <w:hideMark/>
          </w:tcPr>
          <w:p w14:paraId="4E74717B"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900207628</w:t>
            </w:r>
          </w:p>
        </w:tc>
        <w:tc>
          <w:tcPr>
            <w:tcW w:w="4844" w:type="dxa"/>
            <w:tcBorders>
              <w:top w:val="nil"/>
              <w:left w:val="nil"/>
              <w:bottom w:val="single" w:sz="4" w:space="0" w:color="auto"/>
              <w:right w:val="single" w:sz="4" w:space="0" w:color="auto"/>
            </w:tcBorders>
            <w:shd w:val="clear" w:color="auto" w:fill="auto"/>
            <w:vAlign w:val="center"/>
            <w:hideMark/>
          </w:tcPr>
          <w:p w14:paraId="64324D6E"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ENERLIM S.A. E.S.P.</w:t>
            </w:r>
          </w:p>
        </w:tc>
        <w:tc>
          <w:tcPr>
            <w:tcW w:w="1600" w:type="dxa"/>
            <w:tcBorders>
              <w:top w:val="nil"/>
              <w:left w:val="nil"/>
              <w:bottom w:val="single" w:sz="4" w:space="0" w:color="auto"/>
              <w:right w:val="single" w:sz="4" w:space="0" w:color="auto"/>
            </w:tcBorders>
            <w:shd w:val="clear" w:color="auto" w:fill="auto"/>
            <w:noWrap/>
            <w:vAlign w:val="center"/>
            <w:hideMark/>
          </w:tcPr>
          <w:p w14:paraId="78D15551"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147.318.000 </w:t>
            </w:r>
          </w:p>
        </w:tc>
        <w:tc>
          <w:tcPr>
            <w:tcW w:w="1660" w:type="dxa"/>
            <w:tcBorders>
              <w:top w:val="nil"/>
              <w:left w:val="nil"/>
              <w:bottom w:val="single" w:sz="4" w:space="0" w:color="auto"/>
              <w:right w:val="single" w:sz="4" w:space="0" w:color="auto"/>
            </w:tcBorders>
            <w:shd w:val="clear" w:color="auto" w:fill="auto"/>
            <w:noWrap/>
            <w:vAlign w:val="center"/>
            <w:hideMark/>
          </w:tcPr>
          <w:p w14:paraId="11C2F4E5"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162.143.717 </w:t>
            </w:r>
          </w:p>
        </w:tc>
      </w:tr>
      <w:tr w:rsidR="009838E7" w:rsidRPr="009838E7" w14:paraId="0F6CB110"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65BD0F1D"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144</w:t>
            </w:r>
          </w:p>
        </w:tc>
        <w:tc>
          <w:tcPr>
            <w:tcW w:w="505" w:type="dxa"/>
            <w:tcBorders>
              <w:top w:val="nil"/>
              <w:left w:val="nil"/>
              <w:bottom w:val="single" w:sz="4" w:space="0" w:color="auto"/>
              <w:right w:val="single" w:sz="4" w:space="0" w:color="auto"/>
            </w:tcBorders>
            <w:shd w:val="clear" w:color="auto" w:fill="auto"/>
            <w:noWrap/>
            <w:vAlign w:val="center"/>
            <w:hideMark/>
          </w:tcPr>
          <w:p w14:paraId="20F9BA0E"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23419</w:t>
            </w:r>
          </w:p>
        </w:tc>
        <w:tc>
          <w:tcPr>
            <w:tcW w:w="797" w:type="dxa"/>
            <w:tcBorders>
              <w:top w:val="nil"/>
              <w:left w:val="nil"/>
              <w:bottom w:val="single" w:sz="4" w:space="0" w:color="auto"/>
              <w:right w:val="single" w:sz="4" w:space="0" w:color="auto"/>
            </w:tcBorders>
            <w:shd w:val="clear" w:color="auto" w:fill="auto"/>
            <w:noWrap/>
            <w:vAlign w:val="center"/>
            <w:hideMark/>
          </w:tcPr>
          <w:p w14:paraId="276381DB"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900210455</w:t>
            </w:r>
          </w:p>
        </w:tc>
        <w:tc>
          <w:tcPr>
            <w:tcW w:w="4844" w:type="dxa"/>
            <w:tcBorders>
              <w:top w:val="nil"/>
              <w:left w:val="nil"/>
              <w:bottom w:val="single" w:sz="4" w:space="0" w:color="auto"/>
              <w:right w:val="single" w:sz="4" w:space="0" w:color="auto"/>
            </w:tcBorders>
            <w:shd w:val="clear" w:color="auto" w:fill="auto"/>
            <w:vAlign w:val="center"/>
            <w:hideMark/>
          </w:tcPr>
          <w:p w14:paraId="2F796F13" w14:textId="1EAA15A0"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GUANAQUITAS S.A.S E.S.P</w:t>
            </w:r>
            <w:r w:rsidR="006F2D43">
              <w:rPr>
                <w:rFonts w:ascii="Arial Narrow" w:hAnsi="Arial Narrow" w:cs="Calibri"/>
                <w:color w:val="000000"/>
                <w:spacing w:val="0"/>
                <w:sz w:val="16"/>
                <w:szCs w:val="16"/>
                <w:lang w:eastAsia="es-CO"/>
              </w:rPr>
              <w:t>.</w:t>
            </w:r>
          </w:p>
        </w:tc>
        <w:tc>
          <w:tcPr>
            <w:tcW w:w="1600" w:type="dxa"/>
            <w:tcBorders>
              <w:top w:val="nil"/>
              <w:left w:val="nil"/>
              <w:bottom w:val="single" w:sz="4" w:space="0" w:color="auto"/>
              <w:right w:val="single" w:sz="4" w:space="0" w:color="auto"/>
            </w:tcBorders>
            <w:shd w:val="clear" w:color="auto" w:fill="auto"/>
            <w:noWrap/>
            <w:vAlign w:val="center"/>
            <w:hideMark/>
          </w:tcPr>
          <w:p w14:paraId="60A6EE70"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1.601.383.000 </w:t>
            </w:r>
          </w:p>
        </w:tc>
        <w:tc>
          <w:tcPr>
            <w:tcW w:w="1660" w:type="dxa"/>
            <w:tcBorders>
              <w:top w:val="nil"/>
              <w:left w:val="nil"/>
              <w:bottom w:val="single" w:sz="4" w:space="0" w:color="auto"/>
              <w:right w:val="single" w:sz="4" w:space="0" w:color="auto"/>
            </w:tcBorders>
            <w:shd w:val="clear" w:color="auto" w:fill="auto"/>
            <w:noWrap/>
            <w:vAlign w:val="center"/>
            <w:hideMark/>
          </w:tcPr>
          <w:p w14:paraId="7F1623E9"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1.121.399.000 </w:t>
            </w:r>
          </w:p>
        </w:tc>
      </w:tr>
      <w:tr w:rsidR="009838E7" w:rsidRPr="009838E7" w14:paraId="4CE30B0E"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57D15966"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145</w:t>
            </w:r>
          </w:p>
        </w:tc>
        <w:tc>
          <w:tcPr>
            <w:tcW w:w="505" w:type="dxa"/>
            <w:tcBorders>
              <w:top w:val="nil"/>
              <w:left w:val="nil"/>
              <w:bottom w:val="single" w:sz="4" w:space="0" w:color="auto"/>
              <w:right w:val="single" w:sz="4" w:space="0" w:color="auto"/>
            </w:tcBorders>
            <w:shd w:val="clear" w:color="auto" w:fill="auto"/>
            <w:noWrap/>
            <w:vAlign w:val="center"/>
            <w:hideMark/>
          </w:tcPr>
          <w:p w14:paraId="155F8CCD"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30671</w:t>
            </w:r>
          </w:p>
        </w:tc>
        <w:tc>
          <w:tcPr>
            <w:tcW w:w="797" w:type="dxa"/>
            <w:tcBorders>
              <w:top w:val="nil"/>
              <w:left w:val="nil"/>
              <w:bottom w:val="single" w:sz="4" w:space="0" w:color="auto"/>
              <w:right w:val="single" w:sz="4" w:space="0" w:color="auto"/>
            </w:tcBorders>
            <w:shd w:val="clear" w:color="auto" w:fill="auto"/>
            <w:noWrap/>
            <w:vAlign w:val="center"/>
            <w:hideMark/>
          </w:tcPr>
          <w:p w14:paraId="0DA959C9"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900214588</w:t>
            </w:r>
          </w:p>
        </w:tc>
        <w:tc>
          <w:tcPr>
            <w:tcW w:w="4844" w:type="dxa"/>
            <w:tcBorders>
              <w:top w:val="nil"/>
              <w:left w:val="nil"/>
              <w:bottom w:val="single" w:sz="4" w:space="0" w:color="auto"/>
              <w:right w:val="single" w:sz="4" w:space="0" w:color="auto"/>
            </w:tcBorders>
            <w:shd w:val="clear" w:color="auto" w:fill="auto"/>
            <w:vAlign w:val="center"/>
            <w:hideMark/>
          </w:tcPr>
          <w:p w14:paraId="34E6282C"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ESPACIO PRODUCTIVO SAS ESP</w:t>
            </w:r>
          </w:p>
        </w:tc>
        <w:tc>
          <w:tcPr>
            <w:tcW w:w="1600" w:type="dxa"/>
            <w:tcBorders>
              <w:top w:val="nil"/>
              <w:left w:val="nil"/>
              <w:bottom w:val="single" w:sz="4" w:space="0" w:color="auto"/>
              <w:right w:val="single" w:sz="4" w:space="0" w:color="auto"/>
            </w:tcBorders>
            <w:shd w:val="clear" w:color="auto" w:fill="auto"/>
            <w:noWrap/>
            <w:vAlign w:val="center"/>
            <w:hideMark/>
          </w:tcPr>
          <w:p w14:paraId="7C9FE3A4"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6.167.356.304 </w:t>
            </w:r>
          </w:p>
        </w:tc>
        <w:tc>
          <w:tcPr>
            <w:tcW w:w="1660" w:type="dxa"/>
            <w:tcBorders>
              <w:top w:val="nil"/>
              <w:left w:val="nil"/>
              <w:bottom w:val="single" w:sz="4" w:space="0" w:color="auto"/>
              <w:right w:val="single" w:sz="4" w:space="0" w:color="auto"/>
            </w:tcBorders>
            <w:shd w:val="clear" w:color="auto" w:fill="auto"/>
            <w:noWrap/>
            <w:vAlign w:val="center"/>
            <w:hideMark/>
          </w:tcPr>
          <w:p w14:paraId="1CED0B9B"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9.267.414.000 </w:t>
            </w:r>
          </w:p>
        </w:tc>
      </w:tr>
      <w:tr w:rsidR="009838E7" w:rsidRPr="009838E7" w14:paraId="39E245A5"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3D2BF872"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146</w:t>
            </w:r>
          </w:p>
        </w:tc>
        <w:tc>
          <w:tcPr>
            <w:tcW w:w="505" w:type="dxa"/>
            <w:tcBorders>
              <w:top w:val="nil"/>
              <w:left w:val="nil"/>
              <w:bottom w:val="single" w:sz="4" w:space="0" w:color="auto"/>
              <w:right w:val="single" w:sz="4" w:space="0" w:color="auto"/>
            </w:tcBorders>
            <w:shd w:val="clear" w:color="auto" w:fill="auto"/>
            <w:noWrap/>
            <w:vAlign w:val="center"/>
            <w:hideMark/>
          </w:tcPr>
          <w:p w14:paraId="5AE6F784"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55368</w:t>
            </w:r>
          </w:p>
        </w:tc>
        <w:tc>
          <w:tcPr>
            <w:tcW w:w="797" w:type="dxa"/>
            <w:tcBorders>
              <w:top w:val="nil"/>
              <w:left w:val="nil"/>
              <w:bottom w:val="single" w:sz="4" w:space="0" w:color="auto"/>
              <w:right w:val="single" w:sz="4" w:space="0" w:color="auto"/>
            </w:tcBorders>
            <w:shd w:val="clear" w:color="auto" w:fill="auto"/>
            <w:noWrap/>
            <w:vAlign w:val="center"/>
            <w:hideMark/>
          </w:tcPr>
          <w:p w14:paraId="69B27571"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900235929</w:t>
            </w:r>
          </w:p>
        </w:tc>
        <w:tc>
          <w:tcPr>
            <w:tcW w:w="4844" w:type="dxa"/>
            <w:tcBorders>
              <w:top w:val="nil"/>
              <w:left w:val="nil"/>
              <w:bottom w:val="single" w:sz="4" w:space="0" w:color="auto"/>
              <w:right w:val="single" w:sz="4" w:space="0" w:color="auto"/>
            </w:tcBorders>
            <w:shd w:val="clear" w:color="auto" w:fill="auto"/>
            <w:vAlign w:val="center"/>
            <w:hideMark/>
          </w:tcPr>
          <w:p w14:paraId="7E505EDE"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GASES DEL FUTURO SAS E.S.P. </w:t>
            </w:r>
          </w:p>
        </w:tc>
        <w:tc>
          <w:tcPr>
            <w:tcW w:w="1600" w:type="dxa"/>
            <w:tcBorders>
              <w:top w:val="nil"/>
              <w:left w:val="nil"/>
              <w:bottom w:val="single" w:sz="4" w:space="0" w:color="auto"/>
              <w:right w:val="single" w:sz="4" w:space="0" w:color="auto"/>
            </w:tcBorders>
            <w:shd w:val="clear" w:color="auto" w:fill="auto"/>
            <w:noWrap/>
            <w:vAlign w:val="center"/>
            <w:hideMark/>
          </w:tcPr>
          <w:p w14:paraId="6C545D49"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88.771.129 </w:t>
            </w:r>
          </w:p>
        </w:tc>
        <w:tc>
          <w:tcPr>
            <w:tcW w:w="1660" w:type="dxa"/>
            <w:tcBorders>
              <w:top w:val="nil"/>
              <w:left w:val="nil"/>
              <w:bottom w:val="single" w:sz="4" w:space="0" w:color="auto"/>
              <w:right w:val="single" w:sz="4" w:space="0" w:color="auto"/>
            </w:tcBorders>
            <w:shd w:val="clear" w:color="auto" w:fill="auto"/>
            <w:noWrap/>
            <w:vAlign w:val="center"/>
            <w:hideMark/>
          </w:tcPr>
          <w:p w14:paraId="7B8BB66C"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437.601.814 </w:t>
            </w:r>
          </w:p>
        </w:tc>
      </w:tr>
      <w:tr w:rsidR="009838E7" w:rsidRPr="009838E7" w14:paraId="141C97C0"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3896A0E3"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147</w:t>
            </w:r>
          </w:p>
        </w:tc>
        <w:tc>
          <w:tcPr>
            <w:tcW w:w="505" w:type="dxa"/>
            <w:tcBorders>
              <w:top w:val="nil"/>
              <w:left w:val="nil"/>
              <w:bottom w:val="single" w:sz="4" w:space="0" w:color="auto"/>
              <w:right w:val="single" w:sz="4" w:space="0" w:color="auto"/>
            </w:tcBorders>
            <w:shd w:val="clear" w:color="auto" w:fill="auto"/>
            <w:noWrap/>
            <w:vAlign w:val="center"/>
            <w:hideMark/>
          </w:tcPr>
          <w:p w14:paraId="05A6E50F"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40935</w:t>
            </w:r>
          </w:p>
        </w:tc>
        <w:tc>
          <w:tcPr>
            <w:tcW w:w="797" w:type="dxa"/>
            <w:tcBorders>
              <w:top w:val="nil"/>
              <w:left w:val="nil"/>
              <w:bottom w:val="single" w:sz="4" w:space="0" w:color="auto"/>
              <w:right w:val="single" w:sz="4" w:space="0" w:color="auto"/>
            </w:tcBorders>
            <w:shd w:val="clear" w:color="auto" w:fill="auto"/>
            <w:noWrap/>
            <w:vAlign w:val="center"/>
            <w:hideMark/>
          </w:tcPr>
          <w:p w14:paraId="6EAE1397"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900244325</w:t>
            </w:r>
          </w:p>
        </w:tc>
        <w:tc>
          <w:tcPr>
            <w:tcW w:w="4844" w:type="dxa"/>
            <w:tcBorders>
              <w:top w:val="nil"/>
              <w:left w:val="nil"/>
              <w:bottom w:val="single" w:sz="4" w:space="0" w:color="auto"/>
              <w:right w:val="single" w:sz="4" w:space="0" w:color="auto"/>
            </w:tcBorders>
            <w:shd w:val="clear" w:color="auto" w:fill="auto"/>
            <w:vAlign w:val="center"/>
            <w:hideMark/>
          </w:tcPr>
          <w:p w14:paraId="273268F7"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GENERACIÓN DE ENERGÍA S.A.S. E.S.P.</w:t>
            </w:r>
          </w:p>
        </w:tc>
        <w:tc>
          <w:tcPr>
            <w:tcW w:w="1600" w:type="dxa"/>
            <w:tcBorders>
              <w:top w:val="nil"/>
              <w:left w:val="nil"/>
              <w:bottom w:val="single" w:sz="4" w:space="0" w:color="auto"/>
              <w:right w:val="single" w:sz="4" w:space="0" w:color="auto"/>
            </w:tcBorders>
            <w:shd w:val="clear" w:color="auto" w:fill="auto"/>
            <w:noWrap/>
            <w:vAlign w:val="center"/>
            <w:hideMark/>
          </w:tcPr>
          <w:p w14:paraId="53F18ECA"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372.660.000 </w:t>
            </w:r>
          </w:p>
        </w:tc>
        <w:tc>
          <w:tcPr>
            <w:tcW w:w="1660" w:type="dxa"/>
            <w:tcBorders>
              <w:top w:val="nil"/>
              <w:left w:val="nil"/>
              <w:bottom w:val="single" w:sz="4" w:space="0" w:color="auto"/>
              <w:right w:val="single" w:sz="4" w:space="0" w:color="auto"/>
            </w:tcBorders>
            <w:shd w:val="clear" w:color="auto" w:fill="auto"/>
            <w:noWrap/>
            <w:vAlign w:val="center"/>
            <w:hideMark/>
          </w:tcPr>
          <w:p w14:paraId="74FFCB06"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189.356.000 </w:t>
            </w:r>
          </w:p>
        </w:tc>
      </w:tr>
      <w:tr w:rsidR="009838E7" w:rsidRPr="009838E7" w14:paraId="5845AC77" w14:textId="77777777" w:rsidTr="00092F91">
        <w:trPr>
          <w:trHeight w:val="397"/>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27F649E3"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148</w:t>
            </w:r>
          </w:p>
        </w:tc>
        <w:tc>
          <w:tcPr>
            <w:tcW w:w="505" w:type="dxa"/>
            <w:tcBorders>
              <w:top w:val="nil"/>
              <w:left w:val="nil"/>
              <w:bottom w:val="single" w:sz="4" w:space="0" w:color="auto"/>
              <w:right w:val="single" w:sz="4" w:space="0" w:color="auto"/>
            </w:tcBorders>
            <w:shd w:val="clear" w:color="auto" w:fill="auto"/>
            <w:noWrap/>
            <w:vAlign w:val="center"/>
            <w:hideMark/>
          </w:tcPr>
          <w:p w14:paraId="2E7D5897"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22543</w:t>
            </w:r>
          </w:p>
        </w:tc>
        <w:tc>
          <w:tcPr>
            <w:tcW w:w="797" w:type="dxa"/>
            <w:tcBorders>
              <w:top w:val="nil"/>
              <w:left w:val="nil"/>
              <w:bottom w:val="single" w:sz="4" w:space="0" w:color="auto"/>
              <w:right w:val="single" w:sz="4" w:space="0" w:color="auto"/>
            </w:tcBorders>
            <w:shd w:val="clear" w:color="auto" w:fill="auto"/>
            <w:noWrap/>
            <w:vAlign w:val="center"/>
            <w:hideMark/>
          </w:tcPr>
          <w:p w14:paraId="19BC6B81"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900251423</w:t>
            </w:r>
          </w:p>
        </w:tc>
        <w:tc>
          <w:tcPr>
            <w:tcW w:w="4844" w:type="dxa"/>
            <w:tcBorders>
              <w:top w:val="nil"/>
              <w:left w:val="nil"/>
              <w:bottom w:val="single" w:sz="4" w:space="0" w:color="auto"/>
              <w:right w:val="single" w:sz="4" w:space="0" w:color="auto"/>
            </w:tcBorders>
            <w:shd w:val="clear" w:color="auto" w:fill="auto"/>
            <w:vAlign w:val="center"/>
            <w:hideMark/>
          </w:tcPr>
          <w:p w14:paraId="6C74F4C0"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EMPRESA DE GENERACION Y PROMOCION DE ENERGIA DE ANTIOQUIA SA ESP</w:t>
            </w:r>
          </w:p>
        </w:tc>
        <w:tc>
          <w:tcPr>
            <w:tcW w:w="1600" w:type="dxa"/>
            <w:tcBorders>
              <w:top w:val="nil"/>
              <w:left w:val="nil"/>
              <w:bottom w:val="single" w:sz="4" w:space="0" w:color="auto"/>
              <w:right w:val="single" w:sz="4" w:space="0" w:color="auto"/>
            </w:tcBorders>
            <w:shd w:val="clear" w:color="auto" w:fill="auto"/>
            <w:noWrap/>
            <w:vAlign w:val="center"/>
            <w:hideMark/>
          </w:tcPr>
          <w:p w14:paraId="5DDE4F20"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2.443.156.000 </w:t>
            </w:r>
          </w:p>
        </w:tc>
        <w:tc>
          <w:tcPr>
            <w:tcW w:w="1660" w:type="dxa"/>
            <w:tcBorders>
              <w:top w:val="nil"/>
              <w:left w:val="nil"/>
              <w:bottom w:val="single" w:sz="4" w:space="0" w:color="auto"/>
              <w:right w:val="single" w:sz="4" w:space="0" w:color="auto"/>
            </w:tcBorders>
            <w:shd w:val="clear" w:color="auto" w:fill="auto"/>
            <w:noWrap/>
            <w:vAlign w:val="center"/>
            <w:hideMark/>
          </w:tcPr>
          <w:p w14:paraId="348E75B0"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3.345.610.000 </w:t>
            </w:r>
          </w:p>
        </w:tc>
      </w:tr>
      <w:tr w:rsidR="009838E7" w:rsidRPr="009838E7" w14:paraId="5E19E46A" w14:textId="77777777" w:rsidTr="00A263AE">
        <w:trPr>
          <w:trHeight w:val="27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03F62EAC"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149</w:t>
            </w:r>
          </w:p>
        </w:tc>
        <w:tc>
          <w:tcPr>
            <w:tcW w:w="505" w:type="dxa"/>
            <w:tcBorders>
              <w:top w:val="nil"/>
              <w:left w:val="nil"/>
              <w:bottom w:val="single" w:sz="4" w:space="0" w:color="auto"/>
              <w:right w:val="single" w:sz="4" w:space="0" w:color="auto"/>
            </w:tcBorders>
            <w:shd w:val="clear" w:color="auto" w:fill="auto"/>
            <w:noWrap/>
            <w:vAlign w:val="center"/>
            <w:hideMark/>
          </w:tcPr>
          <w:p w14:paraId="16691D02"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22511</w:t>
            </w:r>
          </w:p>
        </w:tc>
        <w:tc>
          <w:tcPr>
            <w:tcW w:w="797" w:type="dxa"/>
            <w:tcBorders>
              <w:top w:val="nil"/>
              <w:left w:val="nil"/>
              <w:bottom w:val="single" w:sz="4" w:space="0" w:color="auto"/>
              <w:right w:val="single" w:sz="4" w:space="0" w:color="auto"/>
            </w:tcBorders>
            <w:shd w:val="clear" w:color="auto" w:fill="auto"/>
            <w:noWrap/>
            <w:vAlign w:val="center"/>
            <w:hideMark/>
          </w:tcPr>
          <w:p w14:paraId="598A82C2"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900251955</w:t>
            </w:r>
          </w:p>
        </w:tc>
        <w:tc>
          <w:tcPr>
            <w:tcW w:w="4844" w:type="dxa"/>
            <w:tcBorders>
              <w:top w:val="nil"/>
              <w:left w:val="nil"/>
              <w:bottom w:val="single" w:sz="4" w:space="0" w:color="auto"/>
              <w:right w:val="single" w:sz="4" w:space="0" w:color="auto"/>
            </w:tcBorders>
            <w:shd w:val="clear" w:color="auto" w:fill="auto"/>
            <w:vAlign w:val="center"/>
            <w:hideMark/>
          </w:tcPr>
          <w:p w14:paraId="31C72CB0"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EMPRESA MUNICIPAL DE SERVICIOS PUBLICOS DE OROCUE SA ESP</w:t>
            </w:r>
          </w:p>
        </w:tc>
        <w:tc>
          <w:tcPr>
            <w:tcW w:w="1600" w:type="dxa"/>
            <w:tcBorders>
              <w:top w:val="nil"/>
              <w:left w:val="nil"/>
              <w:bottom w:val="single" w:sz="4" w:space="0" w:color="auto"/>
              <w:right w:val="single" w:sz="4" w:space="0" w:color="auto"/>
            </w:tcBorders>
            <w:shd w:val="clear" w:color="auto" w:fill="auto"/>
            <w:noWrap/>
            <w:vAlign w:val="center"/>
            <w:hideMark/>
          </w:tcPr>
          <w:p w14:paraId="410A181B"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123.715.000 </w:t>
            </w:r>
          </w:p>
        </w:tc>
        <w:tc>
          <w:tcPr>
            <w:tcW w:w="1660" w:type="dxa"/>
            <w:tcBorders>
              <w:top w:val="nil"/>
              <w:left w:val="nil"/>
              <w:bottom w:val="single" w:sz="4" w:space="0" w:color="auto"/>
              <w:right w:val="single" w:sz="4" w:space="0" w:color="auto"/>
            </w:tcBorders>
            <w:shd w:val="clear" w:color="auto" w:fill="auto"/>
            <w:noWrap/>
            <w:vAlign w:val="center"/>
            <w:hideMark/>
          </w:tcPr>
          <w:p w14:paraId="3B4B982E"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341.779.000 </w:t>
            </w:r>
          </w:p>
        </w:tc>
      </w:tr>
      <w:tr w:rsidR="009838E7" w:rsidRPr="009838E7" w14:paraId="7BD572A7" w14:textId="77777777" w:rsidTr="00A263AE">
        <w:trPr>
          <w:trHeight w:val="422"/>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225CB032"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150</w:t>
            </w:r>
          </w:p>
        </w:tc>
        <w:tc>
          <w:tcPr>
            <w:tcW w:w="505" w:type="dxa"/>
            <w:tcBorders>
              <w:top w:val="nil"/>
              <w:left w:val="nil"/>
              <w:bottom w:val="single" w:sz="4" w:space="0" w:color="auto"/>
              <w:right w:val="single" w:sz="4" w:space="0" w:color="auto"/>
            </w:tcBorders>
            <w:shd w:val="clear" w:color="auto" w:fill="auto"/>
            <w:noWrap/>
            <w:vAlign w:val="center"/>
            <w:hideMark/>
          </w:tcPr>
          <w:p w14:paraId="58E0210A"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22594</w:t>
            </w:r>
          </w:p>
        </w:tc>
        <w:tc>
          <w:tcPr>
            <w:tcW w:w="797" w:type="dxa"/>
            <w:tcBorders>
              <w:top w:val="nil"/>
              <w:left w:val="nil"/>
              <w:bottom w:val="single" w:sz="4" w:space="0" w:color="auto"/>
              <w:right w:val="single" w:sz="4" w:space="0" w:color="auto"/>
            </w:tcBorders>
            <w:shd w:val="clear" w:color="auto" w:fill="auto"/>
            <w:noWrap/>
            <w:vAlign w:val="center"/>
            <w:hideMark/>
          </w:tcPr>
          <w:p w14:paraId="29606349"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900260857</w:t>
            </w:r>
          </w:p>
        </w:tc>
        <w:tc>
          <w:tcPr>
            <w:tcW w:w="4844" w:type="dxa"/>
            <w:tcBorders>
              <w:top w:val="nil"/>
              <w:left w:val="nil"/>
              <w:bottom w:val="single" w:sz="4" w:space="0" w:color="auto"/>
              <w:right w:val="single" w:sz="4" w:space="0" w:color="auto"/>
            </w:tcBorders>
            <w:shd w:val="clear" w:color="auto" w:fill="auto"/>
            <w:vAlign w:val="center"/>
            <w:hideMark/>
          </w:tcPr>
          <w:p w14:paraId="71CDBB83"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ASOCIACIÓN DE USUARIOS DEL SERVICIO DE ENERGÍA ELÉCTRICA DE LA ZONA RURAL DE SANTA BARBARA DE ISCUANDE </w:t>
            </w:r>
          </w:p>
        </w:tc>
        <w:tc>
          <w:tcPr>
            <w:tcW w:w="1600" w:type="dxa"/>
            <w:tcBorders>
              <w:top w:val="nil"/>
              <w:left w:val="nil"/>
              <w:bottom w:val="single" w:sz="4" w:space="0" w:color="auto"/>
              <w:right w:val="single" w:sz="4" w:space="0" w:color="auto"/>
            </w:tcBorders>
            <w:shd w:val="clear" w:color="auto" w:fill="auto"/>
            <w:noWrap/>
            <w:vAlign w:val="center"/>
            <w:hideMark/>
          </w:tcPr>
          <w:p w14:paraId="7C9F822E"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51.140.341 </w:t>
            </w:r>
          </w:p>
        </w:tc>
        <w:tc>
          <w:tcPr>
            <w:tcW w:w="1660" w:type="dxa"/>
            <w:tcBorders>
              <w:top w:val="nil"/>
              <w:left w:val="nil"/>
              <w:bottom w:val="single" w:sz="4" w:space="0" w:color="auto"/>
              <w:right w:val="single" w:sz="4" w:space="0" w:color="auto"/>
            </w:tcBorders>
            <w:shd w:val="clear" w:color="auto" w:fill="auto"/>
            <w:noWrap/>
            <w:vAlign w:val="center"/>
            <w:hideMark/>
          </w:tcPr>
          <w:p w14:paraId="0E5206A4"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102.307.901 </w:t>
            </w:r>
          </w:p>
        </w:tc>
      </w:tr>
      <w:tr w:rsidR="009838E7" w:rsidRPr="009838E7" w14:paraId="5C01A23B"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469C6FE5"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151</w:t>
            </w:r>
          </w:p>
        </w:tc>
        <w:tc>
          <w:tcPr>
            <w:tcW w:w="505" w:type="dxa"/>
            <w:tcBorders>
              <w:top w:val="nil"/>
              <w:left w:val="nil"/>
              <w:bottom w:val="single" w:sz="4" w:space="0" w:color="auto"/>
              <w:right w:val="single" w:sz="4" w:space="0" w:color="auto"/>
            </w:tcBorders>
            <w:shd w:val="clear" w:color="auto" w:fill="auto"/>
            <w:noWrap/>
            <w:vAlign w:val="center"/>
            <w:hideMark/>
          </w:tcPr>
          <w:p w14:paraId="7A7D8E83"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26645</w:t>
            </w:r>
          </w:p>
        </w:tc>
        <w:tc>
          <w:tcPr>
            <w:tcW w:w="797" w:type="dxa"/>
            <w:tcBorders>
              <w:top w:val="nil"/>
              <w:left w:val="nil"/>
              <w:bottom w:val="single" w:sz="4" w:space="0" w:color="auto"/>
              <w:right w:val="single" w:sz="4" w:space="0" w:color="auto"/>
            </w:tcBorders>
            <w:shd w:val="clear" w:color="auto" w:fill="auto"/>
            <w:noWrap/>
            <w:vAlign w:val="center"/>
            <w:hideMark/>
          </w:tcPr>
          <w:p w14:paraId="3DD12E20"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900268747</w:t>
            </w:r>
          </w:p>
        </w:tc>
        <w:tc>
          <w:tcPr>
            <w:tcW w:w="4844" w:type="dxa"/>
            <w:tcBorders>
              <w:top w:val="nil"/>
              <w:left w:val="nil"/>
              <w:bottom w:val="single" w:sz="4" w:space="0" w:color="auto"/>
              <w:right w:val="single" w:sz="4" w:space="0" w:color="auto"/>
            </w:tcBorders>
            <w:shd w:val="clear" w:color="auto" w:fill="auto"/>
            <w:vAlign w:val="center"/>
            <w:hideMark/>
          </w:tcPr>
          <w:p w14:paraId="1CE36941"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PAREX RESOURCES COLOMBIA LTD SUCURSAL</w:t>
            </w:r>
          </w:p>
        </w:tc>
        <w:tc>
          <w:tcPr>
            <w:tcW w:w="1600" w:type="dxa"/>
            <w:tcBorders>
              <w:top w:val="nil"/>
              <w:left w:val="nil"/>
              <w:bottom w:val="single" w:sz="4" w:space="0" w:color="auto"/>
              <w:right w:val="single" w:sz="4" w:space="0" w:color="auto"/>
            </w:tcBorders>
            <w:shd w:val="clear" w:color="auto" w:fill="auto"/>
            <w:noWrap/>
            <w:vAlign w:val="center"/>
            <w:hideMark/>
          </w:tcPr>
          <w:p w14:paraId="5B499E1B"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7.857.532.000 </w:t>
            </w:r>
          </w:p>
        </w:tc>
        <w:tc>
          <w:tcPr>
            <w:tcW w:w="1660" w:type="dxa"/>
            <w:tcBorders>
              <w:top w:val="nil"/>
              <w:left w:val="nil"/>
              <w:bottom w:val="single" w:sz="4" w:space="0" w:color="auto"/>
              <w:right w:val="single" w:sz="4" w:space="0" w:color="auto"/>
            </w:tcBorders>
            <w:shd w:val="clear" w:color="auto" w:fill="auto"/>
            <w:noWrap/>
            <w:vAlign w:val="center"/>
            <w:hideMark/>
          </w:tcPr>
          <w:p w14:paraId="32435431"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13.179.005.198 </w:t>
            </w:r>
          </w:p>
        </w:tc>
      </w:tr>
      <w:tr w:rsidR="009838E7" w:rsidRPr="009838E7" w14:paraId="15920CFB" w14:textId="77777777" w:rsidTr="00A263AE">
        <w:trPr>
          <w:trHeight w:val="303"/>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45B9A7BF"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152</w:t>
            </w:r>
          </w:p>
        </w:tc>
        <w:tc>
          <w:tcPr>
            <w:tcW w:w="505" w:type="dxa"/>
            <w:tcBorders>
              <w:top w:val="nil"/>
              <w:left w:val="nil"/>
              <w:bottom w:val="single" w:sz="4" w:space="0" w:color="auto"/>
              <w:right w:val="single" w:sz="4" w:space="0" w:color="auto"/>
            </w:tcBorders>
            <w:shd w:val="clear" w:color="auto" w:fill="auto"/>
            <w:noWrap/>
            <w:vAlign w:val="center"/>
            <w:hideMark/>
          </w:tcPr>
          <w:p w14:paraId="7E651CF4"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22728</w:t>
            </w:r>
          </w:p>
        </w:tc>
        <w:tc>
          <w:tcPr>
            <w:tcW w:w="797" w:type="dxa"/>
            <w:tcBorders>
              <w:top w:val="nil"/>
              <w:left w:val="nil"/>
              <w:bottom w:val="single" w:sz="4" w:space="0" w:color="auto"/>
              <w:right w:val="single" w:sz="4" w:space="0" w:color="auto"/>
            </w:tcBorders>
            <w:shd w:val="clear" w:color="auto" w:fill="auto"/>
            <w:noWrap/>
            <w:vAlign w:val="center"/>
            <w:hideMark/>
          </w:tcPr>
          <w:p w14:paraId="0814C34A"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900274902</w:t>
            </w:r>
          </w:p>
        </w:tc>
        <w:tc>
          <w:tcPr>
            <w:tcW w:w="4844" w:type="dxa"/>
            <w:tcBorders>
              <w:top w:val="nil"/>
              <w:left w:val="nil"/>
              <w:bottom w:val="single" w:sz="4" w:space="0" w:color="auto"/>
              <w:right w:val="single" w:sz="4" w:space="0" w:color="auto"/>
            </w:tcBorders>
            <w:shd w:val="clear" w:color="auto" w:fill="auto"/>
            <w:vAlign w:val="center"/>
            <w:hideMark/>
          </w:tcPr>
          <w:p w14:paraId="1F94B119"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ASOCIACION DE USUARIOS DE SERVICIOS PUBLICOS DEL MEDIO BAUDO</w:t>
            </w:r>
          </w:p>
        </w:tc>
        <w:tc>
          <w:tcPr>
            <w:tcW w:w="1600" w:type="dxa"/>
            <w:tcBorders>
              <w:top w:val="nil"/>
              <w:left w:val="nil"/>
              <w:bottom w:val="single" w:sz="4" w:space="0" w:color="auto"/>
              <w:right w:val="single" w:sz="4" w:space="0" w:color="auto"/>
            </w:tcBorders>
            <w:shd w:val="clear" w:color="auto" w:fill="auto"/>
            <w:noWrap/>
            <w:vAlign w:val="center"/>
            <w:hideMark/>
          </w:tcPr>
          <w:p w14:paraId="265ABCF0"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306.123.402 </w:t>
            </w:r>
          </w:p>
        </w:tc>
        <w:tc>
          <w:tcPr>
            <w:tcW w:w="1660" w:type="dxa"/>
            <w:tcBorders>
              <w:top w:val="nil"/>
              <w:left w:val="nil"/>
              <w:bottom w:val="single" w:sz="4" w:space="0" w:color="auto"/>
              <w:right w:val="single" w:sz="4" w:space="0" w:color="auto"/>
            </w:tcBorders>
            <w:shd w:val="clear" w:color="auto" w:fill="auto"/>
            <w:noWrap/>
            <w:vAlign w:val="center"/>
            <w:hideMark/>
          </w:tcPr>
          <w:p w14:paraId="020F0727"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337.878.261 </w:t>
            </w:r>
          </w:p>
        </w:tc>
      </w:tr>
      <w:tr w:rsidR="009838E7" w:rsidRPr="009838E7" w14:paraId="73250D23"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1F08BA4D"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lastRenderedPageBreak/>
              <w:t>153</w:t>
            </w:r>
          </w:p>
        </w:tc>
        <w:tc>
          <w:tcPr>
            <w:tcW w:w="505" w:type="dxa"/>
            <w:tcBorders>
              <w:top w:val="nil"/>
              <w:left w:val="nil"/>
              <w:bottom w:val="single" w:sz="4" w:space="0" w:color="auto"/>
              <w:right w:val="single" w:sz="4" w:space="0" w:color="auto"/>
            </w:tcBorders>
            <w:shd w:val="clear" w:color="auto" w:fill="auto"/>
            <w:noWrap/>
            <w:vAlign w:val="center"/>
            <w:hideMark/>
          </w:tcPr>
          <w:p w14:paraId="2CDFE089"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26234</w:t>
            </w:r>
          </w:p>
        </w:tc>
        <w:tc>
          <w:tcPr>
            <w:tcW w:w="797" w:type="dxa"/>
            <w:tcBorders>
              <w:top w:val="nil"/>
              <w:left w:val="nil"/>
              <w:bottom w:val="single" w:sz="4" w:space="0" w:color="auto"/>
              <w:right w:val="single" w:sz="4" w:space="0" w:color="auto"/>
            </w:tcBorders>
            <w:shd w:val="clear" w:color="auto" w:fill="auto"/>
            <w:noWrap/>
            <w:vAlign w:val="center"/>
            <w:hideMark/>
          </w:tcPr>
          <w:p w14:paraId="23B5A2F7"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900275349</w:t>
            </w:r>
          </w:p>
        </w:tc>
        <w:tc>
          <w:tcPr>
            <w:tcW w:w="4844" w:type="dxa"/>
            <w:tcBorders>
              <w:top w:val="nil"/>
              <w:left w:val="nil"/>
              <w:bottom w:val="single" w:sz="4" w:space="0" w:color="auto"/>
              <w:right w:val="single" w:sz="4" w:space="0" w:color="auto"/>
            </w:tcBorders>
            <w:shd w:val="clear" w:color="auto" w:fill="auto"/>
            <w:vAlign w:val="center"/>
            <w:hideMark/>
          </w:tcPr>
          <w:p w14:paraId="0A39A43E" w14:textId="412E6104"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BARROSO S.A.S. E.S.P</w:t>
            </w:r>
            <w:r w:rsidR="006F2D43">
              <w:rPr>
                <w:rFonts w:ascii="Arial Narrow" w:hAnsi="Arial Narrow" w:cs="Calibri"/>
                <w:color w:val="000000"/>
                <w:spacing w:val="0"/>
                <w:sz w:val="16"/>
                <w:szCs w:val="16"/>
                <w:lang w:eastAsia="es-CO"/>
              </w:rPr>
              <w:t>.</w:t>
            </w:r>
          </w:p>
        </w:tc>
        <w:tc>
          <w:tcPr>
            <w:tcW w:w="1600" w:type="dxa"/>
            <w:tcBorders>
              <w:top w:val="nil"/>
              <w:left w:val="nil"/>
              <w:bottom w:val="single" w:sz="4" w:space="0" w:color="auto"/>
              <w:right w:val="single" w:sz="4" w:space="0" w:color="auto"/>
            </w:tcBorders>
            <w:shd w:val="clear" w:color="auto" w:fill="auto"/>
            <w:noWrap/>
            <w:vAlign w:val="center"/>
            <w:hideMark/>
          </w:tcPr>
          <w:p w14:paraId="605E8F13"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2.230.747.000 </w:t>
            </w:r>
          </w:p>
        </w:tc>
        <w:tc>
          <w:tcPr>
            <w:tcW w:w="1660" w:type="dxa"/>
            <w:tcBorders>
              <w:top w:val="nil"/>
              <w:left w:val="nil"/>
              <w:bottom w:val="single" w:sz="4" w:space="0" w:color="auto"/>
              <w:right w:val="single" w:sz="4" w:space="0" w:color="auto"/>
            </w:tcBorders>
            <w:shd w:val="clear" w:color="auto" w:fill="auto"/>
            <w:noWrap/>
            <w:vAlign w:val="center"/>
            <w:hideMark/>
          </w:tcPr>
          <w:p w14:paraId="26A3C0B8"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4.534.479.000 </w:t>
            </w:r>
          </w:p>
        </w:tc>
      </w:tr>
      <w:tr w:rsidR="009838E7" w:rsidRPr="009838E7" w14:paraId="0189725C"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6F75DDB1"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154</w:t>
            </w:r>
          </w:p>
        </w:tc>
        <w:tc>
          <w:tcPr>
            <w:tcW w:w="505" w:type="dxa"/>
            <w:tcBorders>
              <w:top w:val="nil"/>
              <w:left w:val="nil"/>
              <w:bottom w:val="single" w:sz="4" w:space="0" w:color="auto"/>
              <w:right w:val="single" w:sz="4" w:space="0" w:color="auto"/>
            </w:tcBorders>
            <w:shd w:val="clear" w:color="auto" w:fill="auto"/>
            <w:noWrap/>
            <w:vAlign w:val="center"/>
            <w:hideMark/>
          </w:tcPr>
          <w:p w14:paraId="17C6B162"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23390</w:t>
            </w:r>
          </w:p>
        </w:tc>
        <w:tc>
          <w:tcPr>
            <w:tcW w:w="797" w:type="dxa"/>
            <w:tcBorders>
              <w:top w:val="nil"/>
              <w:left w:val="nil"/>
              <w:bottom w:val="single" w:sz="4" w:space="0" w:color="auto"/>
              <w:right w:val="single" w:sz="4" w:space="0" w:color="auto"/>
            </w:tcBorders>
            <w:shd w:val="clear" w:color="auto" w:fill="auto"/>
            <w:noWrap/>
            <w:vAlign w:val="center"/>
            <w:hideMark/>
          </w:tcPr>
          <w:p w14:paraId="3C8FCD99"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900282813</w:t>
            </w:r>
          </w:p>
        </w:tc>
        <w:tc>
          <w:tcPr>
            <w:tcW w:w="4844" w:type="dxa"/>
            <w:tcBorders>
              <w:top w:val="nil"/>
              <w:left w:val="nil"/>
              <w:bottom w:val="single" w:sz="4" w:space="0" w:color="auto"/>
              <w:right w:val="single" w:sz="4" w:space="0" w:color="auto"/>
            </w:tcBorders>
            <w:shd w:val="clear" w:color="auto" w:fill="auto"/>
            <w:vAlign w:val="center"/>
            <w:hideMark/>
          </w:tcPr>
          <w:p w14:paraId="73CF4DFB"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COLENERGIA S.A.  ESP</w:t>
            </w:r>
          </w:p>
        </w:tc>
        <w:tc>
          <w:tcPr>
            <w:tcW w:w="1600" w:type="dxa"/>
            <w:tcBorders>
              <w:top w:val="nil"/>
              <w:left w:val="nil"/>
              <w:bottom w:val="single" w:sz="4" w:space="0" w:color="auto"/>
              <w:right w:val="single" w:sz="4" w:space="0" w:color="auto"/>
            </w:tcBorders>
            <w:shd w:val="clear" w:color="auto" w:fill="auto"/>
            <w:noWrap/>
            <w:vAlign w:val="center"/>
            <w:hideMark/>
          </w:tcPr>
          <w:p w14:paraId="72EF897F"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706.375.935 </w:t>
            </w:r>
          </w:p>
        </w:tc>
        <w:tc>
          <w:tcPr>
            <w:tcW w:w="1660" w:type="dxa"/>
            <w:tcBorders>
              <w:top w:val="nil"/>
              <w:left w:val="nil"/>
              <w:bottom w:val="single" w:sz="4" w:space="0" w:color="auto"/>
              <w:right w:val="single" w:sz="4" w:space="0" w:color="auto"/>
            </w:tcBorders>
            <w:shd w:val="clear" w:color="auto" w:fill="auto"/>
            <w:noWrap/>
            <w:vAlign w:val="center"/>
            <w:hideMark/>
          </w:tcPr>
          <w:p w14:paraId="6A7ABBF4"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626.023.771 </w:t>
            </w:r>
          </w:p>
        </w:tc>
      </w:tr>
      <w:tr w:rsidR="009838E7" w:rsidRPr="009838E7" w14:paraId="44807DF1"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10F4EA6C"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155</w:t>
            </w:r>
          </w:p>
        </w:tc>
        <w:tc>
          <w:tcPr>
            <w:tcW w:w="505" w:type="dxa"/>
            <w:tcBorders>
              <w:top w:val="nil"/>
              <w:left w:val="nil"/>
              <w:bottom w:val="single" w:sz="4" w:space="0" w:color="auto"/>
              <w:right w:val="single" w:sz="4" w:space="0" w:color="auto"/>
            </w:tcBorders>
            <w:shd w:val="clear" w:color="auto" w:fill="auto"/>
            <w:noWrap/>
            <w:vAlign w:val="center"/>
            <w:hideMark/>
          </w:tcPr>
          <w:p w14:paraId="1ED1F127"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23015</w:t>
            </w:r>
          </w:p>
        </w:tc>
        <w:tc>
          <w:tcPr>
            <w:tcW w:w="797" w:type="dxa"/>
            <w:tcBorders>
              <w:top w:val="nil"/>
              <w:left w:val="nil"/>
              <w:bottom w:val="single" w:sz="4" w:space="0" w:color="auto"/>
              <w:right w:val="single" w:sz="4" w:space="0" w:color="auto"/>
            </w:tcBorders>
            <w:shd w:val="clear" w:color="auto" w:fill="auto"/>
            <w:noWrap/>
            <w:vAlign w:val="center"/>
            <w:hideMark/>
          </w:tcPr>
          <w:p w14:paraId="771D21D2"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900305404</w:t>
            </w:r>
          </w:p>
        </w:tc>
        <w:tc>
          <w:tcPr>
            <w:tcW w:w="4844" w:type="dxa"/>
            <w:tcBorders>
              <w:top w:val="nil"/>
              <w:left w:val="nil"/>
              <w:bottom w:val="single" w:sz="4" w:space="0" w:color="auto"/>
              <w:right w:val="single" w:sz="4" w:space="0" w:color="auto"/>
            </w:tcBorders>
            <w:shd w:val="clear" w:color="auto" w:fill="auto"/>
            <w:vAlign w:val="center"/>
            <w:hideMark/>
          </w:tcPr>
          <w:p w14:paraId="33A763C6"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VP INGENERGIA S.A. E.S.P.</w:t>
            </w:r>
          </w:p>
        </w:tc>
        <w:tc>
          <w:tcPr>
            <w:tcW w:w="1600" w:type="dxa"/>
            <w:tcBorders>
              <w:top w:val="nil"/>
              <w:left w:val="nil"/>
              <w:bottom w:val="single" w:sz="4" w:space="0" w:color="auto"/>
              <w:right w:val="single" w:sz="4" w:space="0" w:color="auto"/>
            </w:tcBorders>
            <w:shd w:val="clear" w:color="auto" w:fill="auto"/>
            <w:noWrap/>
            <w:vAlign w:val="center"/>
            <w:hideMark/>
          </w:tcPr>
          <w:p w14:paraId="37AB6325"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4.062.659.535 </w:t>
            </w:r>
          </w:p>
        </w:tc>
        <w:tc>
          <w:tcPr>
            <w:tcW w:w="1660" w:type="dxa"/>
            <w:tcBorders>
              <w:top w:val="nil"/>
              <w:left w:val="nil"/>
              <w:bottom w:val="single" w:sz="4" w:space="0" w:color="auto"/>
              <w:right w:val="single" w:sz="4" w:space="0" w:color="auto"/>
            </w:tcBorders>
            <w:shd w:val="clear" w:color="auto" w:fill="auto"/>
            <w:noWrap/>
            <w:vAlign w:val="center"/>
            <w:hideMark/>
          </w:tcPr>
          <w:p w14:paraId="45074F78"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8.837.752.277 </w:t>
            </w:r>
          </w:p>
        </w:tc>
      </w:tr>
      <w:tr w:rsidR="009838E7" w:rsidRPr="009838E7" w14:paraId="02C97852"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106C6E1B"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156</w:t>
            </w:r>
          </w:p>
        </w:tc>
        <w:tc>
          <w:tcPr>
            <w:tcW w:w="505" w:type="dxa"/>
            <w:tcBorders>
              <w:top w:val="nil"/>
              <w:left w:val="nil"/>
              <w:bottom w:val="single" w:sz="4" w:space="0" w:color="auto"/>
              <w:right w:val="single" w:sz="4" w:space="0" w:color="auto"/>
            </w:tcBorders>
            <w:shd w:val="clear" w:color="auto" w:fill="auto"/>
            <w:noWrap/>
            <w:vAlign w:val="center"/>
            <w:hideMark/>
          </w:tcPr>
          <w:p w14:paraId="2AC8B656"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31152</w:t>
            </w:r>
          </w:p>
        </w:tc>
        <w:tc>
          <w:tcPr>
            <w:tcW w:w="797" w:type="dxa"/>
            <w:tcBorders>
              <w:top w:val="nil"/>
              <w:left w:val="nil"/>
              <w:bottom w:val="single" w:sz="4" w:space="0" w:color="auto"/>
              <w:right w:val="single" w:sz="4" w:space="0" w:color="auto"/>
            </w:tcBorders>
            <w:shd w:val="clear" w:color="auto" w:fill="auto"/>
            <w:noWrap/>
            <w:vAlign w:val="center"/>
            <w:hideMark/>
          </w:tcPr>
          <w:p w14:paraId="7107C161"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900308744</w:t>
            </w:r>
          </w:p>
        </w:tc>
        <w:tc>
          <w:tcPr>
            <w:tcW w:w="4844" w:type="dxa"/>
            <w:tcBorders>
              <w:top w:val="nil"/>
              <w:left w:val="nil"/>
              <w:bottom w:val="single" w:sz="4" w:space="0" w:color="auto"/>
              <w:right w:val="single" w:sz="4" w:space="0" w:color="auto"/>
            </w:tcBorders>
            <w:shd w:val="clear" w:color="auto" w:fill="auto"/>
            <w:vAlign w:val="center"/>
            <w:hideMark/>
          </w:tcPr>
          <w:p w14:paraId="519292A9"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GECELCA 3 S.A.S. E.S.P.</w:t>
            </w:r>
          </w:p>
        </w:tc>
        <w:tc>
          <w:tcPr>
            <w:tcW w:w="1600" w:type="dxa"/>
            <w:tcBorders>
              <w:top w:val="nil"/>
              <w:left w:val="nil"/>
              <w:bottom w:val="single" w:sz="4" w:space="0" w:color="auto"/>
              <w:right w:val="single" w:sz="4" w:space="0" w:color="auto"/>
            </w:tcBorders>
            <w:shd w:val="clear" w:color="auto" w:fill="auto"/>
            <w:noWrap/>
            <w:vAlign w:val="center"/>
            <w:hideMark/>
          </w:tcPr>
          <w:p w14:paraId="7F1130F0"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1.247.883.231 </w:t>
            </w:r>
          </w:p>
        </w:tc>
        <w:tc>
          <w:tcPr>
            <w:tcW w:w="1660" w:type="dxa"/>
            <w:tcBorders>
              <w:top w:val="nil"/>
              <w:left w:val="nil"/>
              <w:bottom w:val="single" w:sz="4" w:space="0" w:color="auto"/>
              <w:right w:val="single" w:sz="4" w:space="0" w:color="auto"/>
            </w:tcBorders>
            <w:shd w:val="clear" w:color="auto" w:fill="auto"/>
            <w:noWrap/>
            <w:vAlign w:val="center"/>
            <w:hideMark/>
          </w:tcPr>
          <w:p w14:paraId="518F5555"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2.447.250.659 </w:t>
            </w:r>
          </w:p>
        </w:tc>
      </w:tr>
      <w:tr w:rsidR="009838E7" w:rsidRPr="009838E7" w14:paraId="4F5C7456"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06199E7C"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157</w:t>
            </w:r>
          </w:p>
        </w:tc>
        <w:tc>
          <w:tcPr>
            <w:tcW w:w="505" w:type="dxa"/>
            <w:tcBorders>
              <w:top w:val="nil"/>
              <w:left w:val="nil"/>
              <w:bottom w:val="single" w:sz="4" w:space="0" w:color="auto"/>
              <w:right w:val="single" w:sz="4" w:space="0" w:color="auto"/>
            </w:tcBorders>
            <w:shd w:val="clear" w:color="auto" w:fill="auto"/>
            <w:noWrap/>
            <w:vAlign w:val="center"/>
            <w:hideMark/>
          </w:tcPr>
          <w:p w14:paraId="1FE1B379"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25164</w:t>
            </w:r>
          </w:p>
        </w:tc>
        <w:tc>
          <w:tcPr>
            <w:tcW w:w="797" w:type="dxa"/>
            <w:tcBorders>
              <w:top w:val="nil"/>
              <w:left w:val="nil"/>
              <w:bottom w:val="single" w:sz="4" w:space="0" w:color="auto"/>
              <w:right w:val="single" w:sz="4" w:space="0" w:color="auto"/>
            </w:tcBorders>
            <w:shd w:val="clear" w:color="auto" w:fill="auto"/>
            <w:noWrap/>
            <w:vAlign w:val="center"/>
            <w:hideMark/>
          </w:tcPr>
          <w:p w14:paraId="30AEEAD0"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900321520</w:t>
            </w:r>
          </w:p>
        </w:tc>
        <w:tc>
          <w:tcPr>
            <w:tcW w:w="4844" w:type="dxa"/>
            <w:tcBorders>
              <w:top w:val="nil"/>
              <w:left w:val="nil"/>
              <w:bottom w:val="single" w:sz="4" w:space="0" w:color="auto"/>
              <w:right w:val="single" w:sz="4" w:space="0" w:color="auto"/>
            </w:tcBorders>
            <w:shd w:val="clear" w:color="auto" w:fill="auto"/>
            <w:vAlign w:val="center"/>
            <w:hideMark/>
          </w:tcPr>
          <w:p w14:paraId="4172EB31"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COMERCIALIZADORA DE GASES NATURALES SAS ESP</w:t>
            </w:r>
          </w:p>
        </w:tc>
        <w:tc>
          <w:tcPr>
            <w:tcW w:w="1600" w:type="dxa"/>
            <w:tcBorders>
              <w:top w:val="nil"/>
              <w:left w:val="nil"/>
              <w:bottom w:val="single" w:sz="4" w:space="0" w:color="auto"/>
              <w:right w:val="single" w:sz="4" w:space="0" w:color="auto"/>
            </w:tcBorders>
            <w:shd w:val="clear" w:color="auto" w:fill="auto"/>
            <w:noWrap/>
            <w:vAlign w:val="center"/>
            <w:hideMark/>
          </w:tcPr>
          <w:p w14:paraId="70B58CC7"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1.120.169.061 </w:t>
            </w:r>
          </w:p>
        </w:tc>
        <w:tc>
          <w:tcPr>
            <w:tcW w:w="1660" w:type="dxa"/>
            <w:tcBorders>
              <w:top w:val="nil"/>
              <w:left w:val="nil"/>
              <w:bottom w:val="single" w:sz="4" w:space="0" w:color="auto"/>
              <w:right w:val="single" w:sz="4" w:space="0" w:color="auto"/>
            </w:tcBorders>
            <w:shd w:val="clear" w:color="auto" w:fill="auto"/>
            <w:noWrap/>
            <w:vAlign w:val="center"/>
            <w:hideMark/>
          </w:tcPr>
          <w:p w14:paraId="7FE6ABDF"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1.629.029.723 </w:t>
            </w:r>
          </w:p>
        </w:tc>
      </w:tr>
      <w:tr w:rsidR="009838E7" w:rsidRPr="009838E7" w14:paraId="32E1FF87"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28E7D77E"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158</w:t>
            </w:r>
          </w:p>
        </w:tc>
        <w:tc>
          <w:tcPr>
            <w:tcW w:w="505" w:type="dxa"/>
            <w:tcBorders>
              <w:top w:val="nil"/>
              <w:left w:val="nil"/>
              <w:bottom w:val="single" w:sz="4" w:space="0" w:color="auto"/>
              <w:right w:val="single" w:sz="4" w:space="0" w:color="auto"/>
            </w:tcBorders>
            <w:shd w:val="clear" w:color="auto" w:fill="auto"/>
            <w:noWrap/>
            <w:vAlign w:val="center"/>
            <w:hideMark/>
          </w:tcPr>
          <w:p w14:paraId="6142C4DA"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30951</w:t>
            </w:r>
          </w:p>
        </w:tc>
        <w:tc>
          <w:tcPr>
            <w:tcW w:w="797" w:type="dxa"/>
            <w:tcBorders>
              <w:top w:val="nil"/>
              <w:left w:val="nil"/>
              <w:bottom w:val="single" w:sz="4" w:space="0" w:color="auto"/>
              <w:right w:val="single" w:sz="4" w:space="0" w:color="auto"/>
            </w:tcBorders>
            <w:shd w:val="clear" w:color="auto" w:fill="auto"/>
            <w:noWrap/>
            <w:vAlign w:val="center"/>
            <w:hideMark/>
          </w:tcPr>
          <w:p w14:paraId="5986D55B"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900325920</w:t>
            </w:r>
          </w:p>
        </w:tc>
        <w:tc>
          <w:tcPr>
            <w:tcW w:w="4844" w:type="dxa"/>
            <w:tcBorders>
              <w:top w:val="nil"/>
              <w:left w:val="nil"/>
              <w:bottom w:val="single" w:sz="4" w:space="0" w:color="auto"/>
              <w:right w:val="single" w:sz="4" w:space="0" w:color="auto"/>
            </w:tcBorders>
            <w:shd w:val="clear" w:color="auto" w:fill="auto"/>
            <w:vAlign w:val="center"/>
            <w:hideMark/>
          </w:tcPr>
          <w:p w14:paraId="24B3EF0F"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AGENTE EXPERTO EN SERVICIOS PUBLICOS SA ESP</w:t>
            </w:r>
          </w:p>
        </w:tc>
        <w:tc>
          <w:tcPr>
            <w:tcW w:w="1600" w:type="dxa"/>
            <w:tcBorders>
              <w:top w:val="nil"/>
              <w:left w:val="nil"/>
              <w:bottom w:val="single" w:sz="4" w:space="0" w:color="auto"/>
              <w:right w:val="single" w:sz="4" w:space="0" w:color="auto"/>
            </w:tcBorders>
            <w:shd w:val="clear" w:color="auto" w:fill="auto"/>
            <w:noWrap/>
            <w:vAlign w:val="center"/>
            <w:hideMark/>
          </w:tcPr>
          <w:p w14:paraId="25E6D49D"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1.047.614.941 </w:t>
            </w:r>
          </w:p>
        </w:tc>
        <w:tc>
          <w:tcPr>
            <w:tcW w:w="1660" w:type="dxa"/>
            <w:tcBorders>
              <w:top w:val="nil"/>
              <w:left w:val="nil"/>
              <w:bottom w:val="single" w:sz="4" w:space="0" w:color="auto"/>
              <w:right w:val="single" w:sz="4" w:space="0" w:color="auto"/>
            </w:tcBorders>
            <w:shd w:val="clear" w:color="auto" w:fill="auto"/>
            <w:noWrap/>
            <w:vAlign w:val="center"/>
            <w:hideMark/>
          </w:tcPr>
          <w:p w14:paraId="23774D6C"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632.125.542 </w:t>
            </w:r>
          </w:p>
        </w:tc>
      </w:tr>
      <w:tr w:rsidR="009838E7" w:rsidRPr="009838E7" w14:paraId="61893E94"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2314A8F9"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159</w:t>
            </w:r>
          </w:p>
        </w:tc>
        <w:tc>
          <w:tcPr>
            <w:tcW w:w="505" w:type="dxa"/>
            <w:tcBorders>
              <w:top w:val="nil"/>
              <w:left w:val="nil"/>
              <w:bottom w:val="single" w:sz="4" w:space="0" w:color="auto"/>
              <w:right w:val="single" w:sz="4" w:space="0" w:color="auto"/>
            </w:tcBorders>
            <w:shd w:val="clear" w:color="auto" w:fill="auto"/>
            <w:noWrap/>
            <w:vAlign w:val="center"/>
            <w:hideMark/>
          </w:tcPr>
          <w:p w14:paraId="6AA32482"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23250</w:t>
            </w:r>
          </w:p>
        </w:tc>
        <w:tc>
          <w:tcPr>
            <w:tcW w:w="797" w:type="dxa"/>
            <w:tcBorders>
              <w:top w:val="nil"/>
              <w:left w:val="nil"/>
              <w:bottom w:val="single" w:sz="4" w:space="0" w:color="auto"/>
              <w:right w:val="single" w:sz="4" w:space="0" w:color="auto"/>
            </w:tcBorders>
            <w:shd w:val="clear" w:color="auto" w:fill="auto"/>
            <w:noWrap/>
            <w:vAlign w:val="center"/>
            <w:hideMark/>
          </w:tcPr>
          <w:p w14:paraId="0FBC7715"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900330027</w:t>
            </w:r>
          </w:p>
        </w:tc>
        <w:tc>
          <w:tcPr>
            <w:tcW w:w="4844" w:type="dxa"/>
            <w:tcBorders>
              <w:top w:val="nil"/>
              <w:left w:val="nil"/>
              <w:bottom w:val="single" w:sz="4" w:space="0" w:color="auto"/>
              <w:right w:val="single" w:sz="4" w:space="0" w:color="auto"/>
            </w:tcBorders>
            <w:shd w:val="clear" w:color="auto" w:fill="auto"/>
            <w:vAlign w:val="center"/>
            <w:hideMark/>
          </w:tcPr>
          <w:p w14:paraId="4C310AAA"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PETROMILGAS S.A. ESP</w:t>
            </w:r>
          </w:p>
        </w:tc>
        <w:tc>
          <w:tcPr>
            <w:tcW w:w="1600" w:type="dxa"/>
            <w:tcBorders>
              <w:top w:val="nil"/>
              <w:left w:val="nil"/>
              <w:bottom w:val="single" w:sz="4" w:space="0" w:color="auto"/>
              <w:right w:val="single" w:sz="4" w:space="0" w:color="auto"/>
            </w:tcBorders>
            <w:shd w:val="clear" w:color="auto" w:fill="auto"/>
            <w:noWrap/>
            <w:vAlign w:val="center"/>
            <w:hideMark/>
          </w:tcPr>
          <w:p w14:paraId="1072F1C7"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4.997.754.000 </w:t>
            </w:r>
          </w:p>
        </w:tc>
        <w:tc>
          <w:tcPr>
            <w:tcW w:w="1660" w:type="dxa"/>
            <w:tcBorders>
              <w:top w:val="nil"/>
              <w:left w:val="nil"/>
              <w:bottom w:val="single" w:sz="4" w:space="0" w:color="auto"/>
              <w:right w:val="single" w:sz="4" w:space="0" w:color="auto"/>
            </w:tcBorders>
            <w:shd w:val="clear" w:color="auto" w:fill="auto"/>
            <w:noWrap/>
            <w:vAlign w:val="center"/>
            <w:hideMark/>
          </w:tcPr>
          <w:p w14:paraId="24B226DA"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4.459.492.000 </w:t>
            </w:r>
          </w:p>
        </w:tc>
      </w:tr>
      <w:tr w:rsidR="009838E7" w:rsidRPr="009838E7" w14:paraId="249C5C24"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6932953F"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160</w:t>
            </w:r>
          </w:p>
        </w:tc>
        <w:tc>
          <w:tcPr>
            <w:tcW w:w="505" w:type="dxa"/>
            <w:tcBorders>
              <w:top w:val="nil"/>
              <w:left w:val="nil"/>
              <w:bottom w:val="single" w:sz="4" w:space="0" w:color="auto"/>
              <w:right w:val="single" w:sz="4" w:space="0" w:color="auto"/>
            </w:tcBorders>
            <w:shd w:val="clear" w:color="auto" w:fill="auto"/>
            <w:noWrap/>
            <w:vAlign w:val="center"/>
            <w:hideMark/>
          </w:tcPr>
          <w:p w14:paraId="549477CA"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31993</w:t>
            </w:r>
          </w:p>
        </w:tc>
        <w:tc>
          <w:tcPr>
            <w:tcW w:w="797" w:type="dxa"/>
            <w:tcBorders>
              <w:top w:val="nil"/>
              <w:left w:val="nil"/>
              <w:bottom w:val="single" w:sz="4" w:space="0" w:color="auto"/>
              <w:right w:val="single" w:sz="4" w:space="0" w:color="auto"/>
            </w:tcBorders>
            <w:shd w:val="clear" w:color="auto" w:fill="auto"/>
            <w:noWrap/>
            <w:vAlign w:val="center"/>
            <w:hideMark/>
          </w:tcPr>
          <w:p w14:paraId="5EC45B6B"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900331322</w:t>
            </w:r>
          </w:p>
        </w:tc>
        <w:tc>
          <w:tcPr>
            <w:tcW w:w="4844" w:type="dxa"/>
            <w:tcBorders>
              <w:top w:val="nil"/>
              <w:left w:val="nil"/>
              <w:bottom w:val="single" w:sz="4" w:space="0" w:color="auto"/>
              <w:right w:val="single" w:sz="4" w:space="0" w:color="auto"/>
            </w:tcBorders>
            <w:shd w:val="clear" w:color="auto" w:fill="auto"/>
            <w:vAlign w:val="center"/>
            <w:hideMark/>
          </w:tcPr>
          <w:p w14:paraId="2DF40C50"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PAREX VERANO LIMITED SUCURSAL</w:t>
            </w:r>
          </w:p>
        </w:tc>
        <w:tc>
          <w:tcPr>
            <w:tcW w:w="1600" w:type="dxa"/>
            <w:tcBorders>
              <w:top w:val="nil"/>
              <w:left w:val="nil"/>
              <w:bottom w:val="single" w:sz="4" w:space="0" w:color="auto"/>
              <w:right w:val="single" w:sz="4" w:space="0" w:color="auto"/>
            </w:tcBorders>
            <w:shd w:val="clear" w:color="auto" w:fill="auto"/>
            <w:noWrap/>
            <w:vAlign w:val="center"/>
            <w:hideMark/>
          </w:tcPr>
          <w:p w14:paraId="068916E2"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5.956.636.000 </w:t>
            </w:r>
          </w:p>
        </w:tc>
        <w:tc>
          <w:tcPr>
            <w:tcW w:w="1660" w:type="dxa"/>
            <w:tcBorders>
              <w:top w:val="nil"/>
              <w:left w:val="nil"/>
              <w:bottom w:val="single" w:sz="4" w:space="0" w:color="auto"/>
              <w:right w:val="single" w:sz="4" w:space="0" w:color="auto"/>
            </w:tcBorders>
            <w:shd w:val="clear" w:color="auto" w:fill="auto"/>
            <w:noWrap/>
            <w:vAlign w:val="center"/>
            <w:hideMark/>
          </w:tcPr>
          <w:p w14:paraId="543F89F5"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6.040.606.000 </w:t>
            </w:r>
          </w:p>
        </w:tc>
      </w:tr>
      <w:tr w:rsidR="009838E7" w:rsidRPr="009838E7" w14:paraId="3E6B5D68"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1D878648"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161</w:t>
            </w:r>
          </w:p>
        </w:tc>
        <w:tc>
          <w:tcPr>
            <w:tcW w:w="505" w:type="dxa"/>
            <w:tcBorders>
              <w:top w:val="nil"/>
              <w:left w:val="nil"/>
              <w:bottom w:val="single" w:sz="4" w:space="0" w:color="auto"/>
              <w:right w:val="single" w:sz="4" w:space="0" w:color="auto"/>
            </w:tcBorders>
            <w:shd w:val="clear" w:color="auto" w:fill="auto"/>
            <w:noWrap/>
            <w:vAlign w:val="center"/>
            <w:hideMark/>
          </w:tcPr>
          <w:p w14:paraId="73372A48"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37814</w:t>
            </w:r>
          </w:p>
        </w:tc>
        <w:tc>
          <w:tcPr>
            <w:tcW w:w="797" w:type="dxa"/>
            <w:tcBorders>
              <w:top w:val="nil"/>
              <w:left w:val="nil"/>
              <w:bottom w:val="single" w:sz="4" w:space="0" w:color="auto"/>
              <w:right w:val="single" w:sz="4" w:space="0" w:color="auto"/>
            </w:tcBorders>
            <w:shd w:val="clear" w:color="auto" w:fill="auto"/>
            <w:noWrap/>
            <w:vAlign w:val="center"/>
            <w:hideMark/>
          </w:tcPr>
          <w:p w14:paraId="265DF9DA"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900334431</w:t>
            </w:r>
          </w:p>
        </w:tc>
        <w:tc>
          <w:tcPr>
            <w:tcW w:w="4844" w:type="dxa"/>
            <w:tcBorders>
              <w:top w:val="nil"/>
              <w:left w:val="nil"/>
              <w:bottom w:val="single" w:sz="4" w:space="0" w:color="auto"/>
              <w:right w:val="single" w:sz="4" w:space="0" w:color="auto"/>
            </w:tcBorders>
            <w:shd w:val="clear" w:color="auto" w:fill="auto"/>
            <w:vAlign w:val="center"/>
            <w:hideMark/>
          </w:tcPr>
          <w:p w14:paraId="7E46F709"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TERMONORTE SAS ESP</w:t>
            </w:r>
          </w:p>
        </w:tc>
        <w:tc>
          <w:tcPr>
            <w:tcW w:w="1600" w:type="dxa"/>
            <w:tcBorders>
              <w:top w:val="nil"/>
              <w:left w:val="nil"/>
              <w:bottom w:val="single" w:sz="4" w:space="0" w:color="auto"/>
              <w:right w:val="single" w:sz="4" w:space="0" w:color="auto"/>
            </w:tcBorders>
            <w:shd w:val="clear" w:color="auto" w:fill="auto"/>
            <w:noWrap/>
            <w:vAlign w:val="center"/>
            <w:hideMark/>
          </w:tcPr>
          <w:p w14:paraId="0380021E"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4.051.544.832 </w:t>
            </w:r>
          </w:p>
        </w:tc>
        <w:tc>
          <w:tcPr>
            <w:tcW w:w="1660" w:type="dxa"/>
            <w:tcBorders>
              <w:top w:val="nil"/>
              <w:left w:val="nil"/>
              <w:bottom w:val="single" w:sz="4" w:space="0" w:color="auto"/>
              <w:right w:val="single" w:sz="4" w:space="0" w:color="auto"/>
            </w:tcBorders>
            <w:shd w:val="clear" w:color="auto" w:fill="auto"/>
            <w:noWrap/>
            <w:vAlign w:val="center"/>
            <w:hideMark/>
          </w:tcPr>
          <w:p w14:paraId="60DDF776"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17.365.298.653 </w:t>
            </w:r>
          </w:p>
        </w:tc>
      </w:tr>
      <w:tr w:rsidR="009838E7" w:rsidRPr="009838E7" w14:paraId="7C2246E0"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37EB3C11"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162</w:t>
            </w:r>
          </w:p>
        </w:tc>
        <w:tc>
          <w:tcPr>
            <w:tcW w:w="505" w:type="dxa"/>
            <w:tcBorders>
              <w:top w:val="nil"/>
              <w:left w:val="nil"/>
              <w:bottom w:val="single" w:sz="4" w:space="0" w:color="auto"/>
              <w:right w:val="single" w:sz="4" w:space="0" w:color="auto"/>
            </w:tcBorders>
            <w:shd w:val="clear" w:color="auto" w:fill="auto"/>
            <w:noWrap/>
            <w:vAlign w:val="center"/>
            <w:hideMark/>
          </w:tcPr>
          <w:p w14:paraId="566C377C"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23312</w:t>
            </w:r>
          </w:p>
        </w:tc>
        <w:tc>
          <w:tcPr>
            <w:tcW w:w="797" w:type="dxa"/>
            <w:tcBorders>
              <w:top w:val="nil"/>
              <w:left w:val="nil"/>
              <w:bottom w:val="single" w:sz="4" w:space="0" w:color="auto"/>
              <w:right w:val="single" w:sz="4" w:space="0" w:color="auto"/>
            </w:tcBorders>
            <w:shd w:val="clear" w:color="auto" w:fill="auto"/>
            <w:noWrap/>
            <w:vAlign w:val="center"/>
            <w:hideMark/>
          </w:tcPr>
          <w:p w14:paraId="10996BB0"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900335279</w:t>
            </w:r>
          </w:p>
        </w:tc>
        <w:tc>
          <w:tcPr>
            <w:tcW w:w="4844" w:type="dxa"/>
            <w:tcBorders>
              <w:top w:val="nil"/>
              <w:left w:val="nil"/>
              <w:bottom w:val="single" w:sz="4" w:space="0" w:color="auto"/>
              <w:right w:val="single" w:sz="4" w:space="0" w:color="auto"/>
            </w:tcBorders>
            <w:shd w:val="clear" w:color="auto" w:fill="auto"/>
            <w:vAlign w:val="center"/>
            <w:hideMark/>
          </w:tcPr>
          <w:p w14:paraId="68C4F808"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INVERSIONES GLP SAS ESP</w:t>
            </w:r>
          </w:p>
        </w:tc>
        <w:tc>
          <w:tcPr>
            <w:tcW w:w="1600" w:type="dxa"/>
            <w:tcBorders>
              <w:top w:val="nil"/>
              <w:left w:val="nil"/>
              <w:bottom w:val="single" w:sz="4" w:space="0" w:color="auto"/>
              <w:right w:val="single" w:sz="4" w:space="0" w:color="auto"/>
            </w:tcBorders>
            <w:shd w:val="clear" w:color="auto" w:fill="auto"/>
            <w:noWrap/>
            <w:vAlign w:val="center"/>
            <w:hideMark/>
          </w:tcPr>
          <w:p w14:paraId="676C347A"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15.059.634.917 </w:t>
            </w:r>
          </w:p>
        </w:tc>
        <w:tc>
          <w:tcPr>
            <w:tcW w:w="1660" w:type="dxa"/>
            <w:tcBorders>
              <w:top w:val="nil"/>
              <w:left w:val="nil"/>
              <w:bottom w:val="single" w:sz="4" w:space="0" w:color="auto"/>
              <w:right w:val="single" w:sz="4" w:space="0" w:color="auto"/>
            </w:tcBorders>
            <w:shd w:val="clear" w:color="auto" w:fill="auto"/>
            <w:noWrap/>
            <w:vAlign w:val="center"/>
            <w:hideMark/>
          </w:tcPr>
          <w:p w14:paraId="3D2629E7"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12.615.763.918 </w:t>
            </w:r>
          </w:p>
        </w:tc>
      </w:tr>
      <w:tr w:rsidR="009838E7" w:rsidRPr="009838E7" w14:paraId="094CEF97"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4A05F5E9"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163</w:t>
            </w:r>
          </w:p>
        </w:tc>
        <w:tc>
          <w:tcPr>
            <w:tcW w:w="505" w:type="dxa"/>
            <w:tcBorders>
              <w:top w:val="nil"/>
              <w:left w:val="nil"/>
              <w:bottom w:val="single" w:sz="4" w:space="0" w:color="auto"/>
              <w:right w:val="single" w:sz="4" w:space="0" w:color="auto"/>
            </w:tcBorders>
            <w:shd w:val="clear" w:color="auto" w:fill="auto"/>
            <w:noWrap/>
            <w:vAlign w:val="center"/>
            <w:hideMark/>
          </w:tcPr>
          <w:p w14:paraId="61B7D345"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23430</w:t>
            </w:r>
          </w:p>
        </w:tc>
        <w:tc>
          <w:tcPr>
            <w:tcW w:w="797" w:type="dxa"/>
            <w:tcBorders>
              <w:top w:val="nil"/>
              <w:left w:val="nil"/>
              <w:bottom w:val="single" w:sz="4" w:space="0" w:color="auto"/>
              <w:right w:val="single" w:sz="4" w:space="0" w:color="auto"/>
            </w:tcBorders>
            <w:shd w:val="clear" w:color="auto" w:fill="auto"/>
            <w:noWrap/>
            <w:vAlign w:val="center"/>
            <w:hideMark/>
          </w:tcPr>
          <w:p w14:paraId="6430DFEC"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900339174</w:t>
            </w:r>
          </w:p>
        </w:tc>
        <w:tc>
          <w:tcPr>
            <w:tcW w:w="4844" w:type="dxa"/>
            <w:tcBorders>
              <w:top w:val="nil"/>
              <w:left w:val="nil"/>
              <w:bottom w:val="single" w:sz="4" w:space="0" w:color="auto"/>
              <w:right w:val="single" w:sz="4" w:space="0" w:color="auto"/>
            </w:tcBorders>
            <w:shd w:val="clear" w:color="auto" w:fill="auto"/>
            <w:vAlign w:val="center"/>
            <w:hideMark/>
          </w:tcPr>
          <w:p w14:paraId="420B431E"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ENERGIA PARA EL AMAZONAS S.A. ESP</w:t>
            </w:r>
          </w:p>
        </w:tc>
        <w:tc>
          <w:tcPr>
            <w:tcW w:w="1600" w:type="dxa"/>
            <w:tcBorders>
              <w:top w:val="nil"/>
              <w:left w:val="nil"/>
              <w:bottom w:val="single" w:sz="4" w:space="0" w:color="auto"/>
              <w:right w:val="single" w:sz="4" w:space="0" w:color="auto"/>
            </w:tcBorders>
            <w:shd w:val="clear" w:color="auto" w:fill="auto"/>
            <w:noWrap/>
            <w:vAlign w:val="center"/>
            <w:hideMark/>
          </w:tcPr>
          <w:p w14:paraId="451A9C55"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3.066.504.532 </w:t>
            </w:r>
          </w:p>
        </w:tc>
        <w:tc>
          <w:tcPr>
            <w:tcW w:w="1660" w:type="dxa"/>
            <w:tcBorders>
              <w:top w:val="nil"/>
              <w:left w:val="nil"/>
              <w:bottom w:val="single" w:sz="4" w:space="0" w:color="auto"/>
              <w:right w:val="single" w:sz="4" w:space="0" w:color="auto"/>
            </w:tcBorders>
            <w:shd w:val="clear" w:color="auto" w:fill="auto"/>
            <w:noWrap/>
            <w:vAlign w:val="center"/>
            <w:hideMark/>
          </w:tcPr>
          <w:p w14:paraId="28EC38D4"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2.136.341.074 </w:t>
            </w:r>
          </w:p>
        </w:tc>
      </w:tr>
      <w:tr w:rsidR="009838E7" w:rsidRPr="009838E7" w14:paraId="6D005CC6"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67902DC6"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164</w:t>
            </w:r>
          </w:p>
        </w:tc>
        <w:tc>
          <w:tcPr>
            <w:tcW w:w="505" w:type="dxa"/>
            <w:tcBorders>
              <w:top w:val="nil"/>
              <w:left w:val="nil"/>
              <w:bottom w:val="single" w:sz="4" w:space="0" w:color="auto"/>
              <w:right w:val="single" w:sz="4" w:space="0" w:color="auto"/>
            </w:tcBorders>
            <w:shd w:val="clear" w:color="auto" w:fill="auto"/>
            <w:noWrap/>
            <w:vAlign w:val="center"/>
            <w:hideMark/>
          </w:tcPr>
          <w:p w14:paraId="2138EE6E"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26559</w:t>
            </w:r>
          </w:p>
        </w:tc>
        <w:tc>
          <w:tcPr>
            <w:tcW w:w="797" w:type="dxa"/>
            <w:tcBorders>
              <w:top w:val="nil"/>
              <w:left w:val="nil"/>
              <w:bottom w:val="single" w:sz="4" w:space="0" w:color="auto"/>
              <w:right w:val="single" w:sz="4" w:space="0" w:color="auto"/>
            </w:tcBorders>
            <w:shd w:val="clear" w:color="auto" w:fill="auto"/>
            <w:noWrap/>
            <w:vAlign w:val="center"/>
            <w:hideMark/>
          </w:tcPr>
          <w:p w14:paraId="201FC236"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900344208</w:t>
            </w:r>
          </w:p>
        </w:tc>
        <w:tc>
          <w:tcPr>
            <w:tcW w:w="4844" w:type="dxa"/>
            <w:tcBorders>
              <w:top w:val="nil"/>
              <w:left w:val="nil"/>
              <w:bottom w:val="single" w:sz="4" w:space="0" w:color="auto"/>
              <w:right w:val="single" w:sz="4" w:space="0" w:color="auto"/>
            </w:tcBorders>
            <w:shd w:val="clear" w:color="auto" w:fill="auto"/>
            <w:vAlign w:val="center"/>
            <w:hideMark/>
          </w:tcPr>
          <w:p w14:paraId="7D6A59B2"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IA ENERGIA Y GESTION S.A.S. E.S.P.</w:t>
            </w:r>
          </w:p>
        </w:tc>
        <w:tc>
          <w:tcPr>
            <w:tcW w:w="1600" w:type="dxa"/>
            <w:tcBorders>
              <w:top w:val="nil"/>
              <w:left w:val="nil"/>
              <w:bottom w:val="single" w:sz="4" w:space="0" w:color="auto"/>
              <w:right w:val="single" w:sz="4" w:space="0" w:color="auto"/>
            </w:tcBorders>
            <w:shd w:val="clear" w:color="auto" w:fill="auto"/>
            <w:noWrap/>
            <w:vAlign w:val="center"/>
            <w:hideMark/>
          </w:tcPr>
          <w:p w14:paraId="73FFF7D3"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1.097.548.622 </w:t>
            </w:r>
          </w:p>
        </w:tc>
        <w:tc>
          <w:tcPr>
            <w:tcW w:w="1660" w:type="dxa"/>
            <w:tcBorders>
              <w:top w:val="nil"/>
              <w:left w:val="nil"/>
              <w:bottom w:val="single" w:sz="4" w:space="0" w:color="auto"/>
              <w:right w:val="single" w:sz="4" w:space="0" w:color="auto"/>
            </w:tcBorders>
            <w:shd w:val="clear" w:color="auto" w:fill="auto"/>
            <w:noWrap/>
            <w:vAlign w:val="center"/>
            <w:hideMark/>
          </w:tcPr>
          <w:p w14:paraId="3DD344BA"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1.403.070.809 </w:t>
            </w:r>
          </w:p>
        </w:tc>
      </w:tr>
      <w:tr w:rsidR="009838E7" w:rsidRPr="009838E7" w14:paraId="5AA49917"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41F40387"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165</w:t>
            </w:r>
          </w:p>
        </w:tc>
        <w:tc>
          <w:tcPr>
            <w:tcW w:w="505" w:type="dxa"/>
            <w:tcBorders>
              <w:top w:val="nil"/>
              <w:left w:val="nil"/>
              <w:bottom w:val="single" w:sz="4" w:space="0" w:color="auto"/>
              <w:right w:val="single" w:sz="4" w:space="0" w:color="auto"/>
            </w:tcBorders>
            <w:shd w:val="clear" w:color="auto" w:fill="auto"/>
            <w:noWrap/>
            <w:vAlign w:val="center"/>
            <w:hideMark/>
          </w:tcPr>
          <w:p w14:paraId="49382596"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23423</w:t>
            </w:r>
          </w:p>
        </w:tc>
        <w:tc>
          <w:tcPr>
            <w:tcW w:w="797" w:type="dxa"/>
            <w:tcBorders>
              <w:top w:val="nil"/>
              <w:left w:val="nil"/>
              <w:bottom w:val="single" w:sz="4" w:space="0" w:color="auto"/>
              <w:right w:val="single" w:sz="4" w:space="0" w:color="auto"/>
            </w:tcBorders>
            <w:shd w:val="clear" w:color="auto" w:fill="auto"/>
            <w:noWrap/>
            <w:vAlign w:val="center"/>
            <w:hideMark/>
          </w:tcPr>
          <w:p w14:paraId="0A06D9A4"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900352055</w:t>
            </w:r>
          </w:p>
        </w:tc>
        <w:tc>
          <w:tcPr>
            <w:tcW w:w="4844" w:type="dxa"/>
            <w:tcBorders>
              <w:top w:val="nil"/>
              <w:left w:val="nil"/>
              <w:bottom w:val="single" w:sz="4" w:space="0" w:color="auto"/>
              <w:right w:val="single" w:sz="4" w:space="0" w:color="auto"/>
            </w:tcBorders>
            <w:shd w:val="clear" w:color="auto" w:fill="auto"/>
            <w:vAlign w:val="center"/>
            <w:hideMark/>
          </w:tcPr>
          <w:p w14:paraId="43D81C81"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EMPRESA ASOCIATIVA DE TRABAJO ENERGIA DEL SUR</w:t>
            </w:r>
          </w:p>
        </w:tc>
        <w:tc>
          <w:tcPr>
            <w:tcW w:w="1600" w:type="dxa"/>
            <w:tcBorders>
              <w:top w:val="nil"/>
              <w:left w:val="nil"/>
              <w:bottom w:val="single" w:sz="4" w:space="0" w:color="auto"/>
              <w:right w:val="single" w:sz="4" w:space="0" w:color="auto"/>
            </w:tcBorders>
            <w:shd w:val="clear" w:color="auto" w:fill="auto"/>
            <w:noWrap/>
            <w:vAlign w:val="center"/>
            <w:hideMark/>
          </w:tcPr>
          <w:p w14:paraId="54CA55FB"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199.055.501 </w:t>
            </w:r>
          </w:p>
        </w:tc>
        <w:tc>
          <w:tcPr>
            <w:tcW w:w="1660" w:type="dxa"/>
            <w:tcBorders>
              <w:top w:val="nil"/>
              <w:left w:val="nil"/>
              <w:bottom w:val="single" w:sz="4" w:space="0" w:color="auto"/>
              <w:right w:val="single" w:sz="4" w:space="0" w:color="auto"/>
            </w:tcBorders>
            <w:shd w:val="clear" w:color="auto" w:fill="auto"/>
            <w:noWrap/>
            <w:vAlign w:val="center"/>
            <w:hideMark/>
          </w:tcPr>
          <w:p w14:paraId="71516535"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334.444.261 </w:t>
            </w:r>
          </w:p>
        </w:tc>
      </w:tr>
      <w:tr w:rsidR="009838E7" w:rsidRPr="009838E7" w14:paraId="6BD75BA9"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7791E47D"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166</w:t>
            </w:r>
          </w:p>
        </w:tc>
        <w:tc>
          <w:tcPr>
            <w:tcW w:w="505" w:type="dxa"/>
            <w:tcBorders>
              <w:top w:val="nil"/>
              <w:left w:val="nil"/>
              <w:bottom w:val="single" w:sz="4" w:space="0" w:color="auto"/>
              <w:right w:val="single" w:sz="4" w:space="0" w:color="auto"/>
            </w:tcBorders>
            <w:shd w:val="clear" w:color="auto" w:fill="auto"/>
            <w:noWrap/>
            <w:vAlign w:val="center"/>
            <w:hideMark/>
          </w:tcPr>
          <w:p w14:paraId="32F78726"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24838</w:t>
            </w:r>
          </w:p>
        </w:tc>
        <w:tc>
          <w:tcPr>
            <w:tcW w:w="797" w:type="dxa"/>
            <w:tcBorders>
              <w:top w:val="nil"/>
              <w:left w:val="nil"/>
              <w:bottom w:val="single" w:sz="4" w:space="0" w:color="auto"/>
              <w:right w:val="single" w:sz="4" w:space="0" w:color="auto"/>
            </w:tcBorders>
            <w:shd w:val="clear" w:color="auto" w:fill="auto"/>
            <w:noWrap/>
            <w:vAlign w:val="center"/>
            <w:hideMark/>
          </w:tcPr>
          <w:p w14:paraId="5D087A78"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900358272</w:t>
            </w:r>
          </w:p>
        </w:tc>
        <w:tc>
          <w:tcPr>
            <w:tcW w:w="4844" w:type="dxa"/>
            <w:tcBorders>
              <w:top w:val="nil"/>
              <w:left w:val="nil"/>
              <w:bottom w:val="single" w:sz="4" w:space="0" w:color="auto"/>
              <w:right w:val="single" w:sz="4" w:space="0" w:color="auto"/>
            </w:tcBorders>
            <w:shd w:val="clear" w:color="auto" w:fill="auto"/>
            <w:vAlign w:val="center"/>
            <w:hideMark/>
          </w:tcPr>
          <w:p w14:paraId="294F3A3E"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HZ ENERGY S.A.S. E.S.P.</w:t>
            </w:r>
          </w:p>
        </w:tc>
        <w:tc>
          <w:tcPr>
            <w:tcW w:w="1600" w:type="dxa"/>
            <w:tcBorders>
              <w:top w:val="nil"/>
              <w:left w:val="nil"/>
              <w:bottom w:val="single" w:sz="4" w:space="0" w:color="auto"/>
              <w:right w:val="single" w:sz="4" w:space="0" w:color="auto"/>
            </w:tcBorders>
            <w:shd w:val="clear" w:color="auto" w:fill="auto"/>
            <w:noWrap/>
            <w:vAlign w:val="center"/>
            <w:hideMark/>
          </w:tcPr>
          <w:p w14:paraId="5F7A1E89"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773.826.359 </w:t>
            </w:r>
          </w:p>
        </w:tc>
        <w:tc>
          <w:tcPr>
            <w:tcW w:w="1660" w:type="dxa"/>
            <w:tcBorders>
              <w:top w:val="nil"/>
              <w:left w:val="nil"/>
              <w:bottom w:val="single" w:sz="4" w:space="0" w:color="auto"/>
              <w:right w:val="single" w:sz="4" w:space="0" w:color="auto"/>
            </w:tcBorders>
            <w:shd w:val="clear" w:color="auto" w:fill="auto"/>
            <w:noWrap/>
            <w:vAlign w:val="center"/>
            <w:hideMark/>
          </w:tcPr>
          <w:p w14:paraId="6AF24895"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868.782.789 </w:t>
            </w:r>
          </w:p>
        </w:tc>
      </w:tr>
      <w:tr w:rsidR="009838E7" w:rsidRPr="009838E7" w14:paraId="66441BF7"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3FE45303"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167</w:t>
            </w:r>
          </w:p>
        </w:tc>
        <w:tc>
          <w:tcPr>
            <w:tcW w:w="505" w:type="dxa"/>
            <w:tcBorders>
              <w:top w:val="nil"/>
              <w:left w:val="nil"/>
              <w:bottom w:val="single" w:sz="4" w:space="0" w:color="auto"/>
              <w:right w:val="single" w:sz="4" w:space="0" w:color="auto"/>
            </w:tcBorders>
            <w:shd w:val="clear" w:color="auto" w:fill="auto"/>
            <w:noWrap/>
            <w:vAlign w:val="center"/>
            <w:hideMark/>
          </w:tcPr>
          <w:p w14:paraId="3551743B"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23442</w:t>
            </w:r>
          </w:p>
        </w:tc>
        <w:tc>
          <w:tcPr>
            <w:tcW w:w="797" w:type="dxa"/>
            <w:tcBorders>
              <w:top w:val="nil"/>
              <w:left w:val="nil"/>
              <w:bottom w:val="single" w:sz="4" w:space="0" w:color="auto"/>
              <w:right w:val="single" w:sz="4" w:space="0" w:color="auto"/>
            </w:tcBorders>
            <w:shd w:val="clear" w:color="auto" w:fill="auto"/>
            <w:noWrap/>
            <w:vAlign w:val="center"/>
            <w:hideMark/>
          </w:tcPr>
          <w:p w14:paraId="10E4C29E"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900366010</w:t>
            </w:r>
          </w:p>
        </w:tc>
        <w:tc>
          <w:tcPr>
            <w:tcW w:w="4844" w:type="dxa"/>
            <w:tcBorders>
              <w:top w:val="nil"/>
              <w:left w:val="nil"/>
              <w:bottom w:val="single" w:sz="4" w:space="0" w:color="auto"/>
              <w:right w:val="single" w:sz="4" w:space="0" w:color="auto"/>
            </w:tcBorders>
            <w:shd w:val="clear" w:color="auto" w:fill="auto"/>
            <w:vAlign w:val="center"/>
            <w:hideMark/>
          </w:tcPr>
          <w:p w14:paraId="330AF04E"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COMPAÑIA ENERGETICA DE OCCIDENTE S.A.S.  E.S.P.</w:t>
            </w:r>
          </w:p>
        </w:tc>
        <w:tc>
          <w:tcPr>
            <w:tcW w:w="1600" w:type="dxa"/>
            <w:tcBorders>
              <w:top w:val="nil"/>
              <w:left w:val="nil"/>
              <w:bottom w:val="single" w:sz="4" w:space="0" w:color="auto"/>
              <w:right w:val="single" w:sz="4" w:space="0" w:color="auto"/>
            </w:tcBorders>
            <w:shd w:val="clear" w:color="auto" w:fill="auto"/>
            <w:noWrap/>
            <w:vAlign w:val="center"/>
            <w:hideMark/>
          </w:tcPr>
          <w:p w14:paraId="45B1B00F"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25.956.246.174 </w:t>
            </w:r>
          </w:p>
        </w:tc>
        <w:tc>
          <w:tcPr>
            <w:tcW w:w="1660" w:type="dxa"/>
            <w:tcBorders>
              <w:top w:val="nil"/>
              <w:left w:val="nil"/>
              <w:bottom w:val="single" w:sz="4" w:space="0" w:color="auto"/>
              <w:right w:val="single" w:sz="4" w:space="0" w:color="auto"/>
            </w:tcBorders>
            <w:shd w:val="clear" w:color="auto" w:fill="auto"/>
            <w:noWrap/>
            <w:vAlign w:val="center"/>
            <w:hideMark/>
          </w:tcPr>
          <w:p w14:paraId="4CBC137A"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33.768.682.691 </w:t>
            </w:r>
          </w:p>
        </w:tc>
      </w:tr>
      <w:tr w:rsidR="009838E7" w:rsidRPr="009838E7" w14:paraId="7A372077"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5DF1BB1B"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168</w:t>
            </w:r>
          </w:p>
        </w:tc>
        <w:tc>
          <w:tcPr>
            <w:tcW w:w="505" w:type="dxa"/>
            <w:tcBorders>
              <w:top w:val="nil"/>
              <w:left w:val="nil"/>
              <w:bottom w:val="single" w:sz="4" w:space="0" w:color="auto"/>
              <w:right w:val="single" w:sz="4" w:space="0" w:color="auto"/>
            </w:tcBorders>
            <w:shd w:val="clear" w:color="auto" w:fill="auto"/>
            <w:noWrap/>
            <w:vAlign w:val="center"/>
            <w:hideMark/>
          </w:tcPr>
          <w:p w14:paraId="1DA3D5A0"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26847</w:t>
            </w:r>
          </w:p>
        </w:tc>
        <w:tc>
          <w:tcPr>
            <w:tcW w:w="797" w:type="dxa"/>
            <w:tcBorders>
              <w:top w:val="nil"/>
              <w:left w:val="nil"/>
              <w:bottom w:val="single" w:sz="4" w:space="0" w:color="auto"/>
              <w:right w:val="single" w:sz="4" w:space="0" w:color="auto"/>
            </w:tcBorders>
            <w:shd w:val="clear" w:color="auto" w:fill="auto"/>
            <w:noWrap/>
            <w:vAlign w:val="center"/>
            <w:hideMark/>
          </w:tcPr>
          <w:p w14:paraId="3147144C"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900374375</w:t>
            </w:r>
          </w:p>
        </w:tc>
        <w:tc>
          <w:tcPr>
            <w:tcW w:w="4844" w:type="dxa"/>
            <w:tcBorders>
              <w:top w:val="nil"/>
              <w:left w:val="nil"/>
              <w:bottom w:val="single" w:sz="4" w:space="0" w:color="auto"/>
              <w:right w:val="single" w:sz="4" w:space="0" w:color="auto"/>
            </w:tcBorders>
            <w:shd w:val="clear" w:color="auto" w:fill="auto"/>
            <w:vAlign w:val="center"/>
            <w:hideMark/>
          </w:tcPr>
          <w:p w14:paraId="0EE271CB"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POPAL SAS ESP</w:t>
            </w:r>
          </w:p>
        </w:tc>
        <w:tc>
          <w:tcPr>
            <w:tcW w:w="1600" w:type="dxa"/>
            <w:tcBorders>
              <w:top w:val="nil"/>
              <w:left w:val="nil"/>
              <w:bottom w:val="single" w:sz="4" w:space="0" w:color="auto"/>
              <w:right w:val="single" w:sz="4" w:space="0" w:color="auto"/>
            </w:tcBorders>
            <w:shd w:val="clear" w:color="auto" w:fill="auto"/>
            <w:noWrap/>
            <w:vAlign w:val="center"/>
            <w:hideMark/>
          </w:tcPr>
          <w:p w14:paraId="2034257B"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3.974.674.000 </w:t>
            </w:r>
          </w:p>
        </w:tc>
        <w:tc>
          <w:tcPr>
            <w:tcW w:w="1660" w:type="dxa"/>
            <w:tcBorders>
              <w:top w:val="nil"/>
              <w:left w:val="nil"/>
              <w:bottom w:val="single" w:sz="4" w:space="0" w:color="auto"/>
              <w:right w:val="single" w:sz="4" w:space="0" w:color="auto"/>
            </w:tcBorders>
            <w:shd w:val="clear" w:color="auto" w:fill="auto"/>
            <w:noWrap/>
            <w:vAlign w:val="center"/>
            <w:hideMark/>
          </w:tcPr>
          <w:p w14:paraId="0B8EA406"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3.292.797.000 </w:t>
            </w:r>
          </w:p>
        </w:tc>
      </w:tr>
      <w:tr w:rsidR="009838E7" w:rsidRPr="009838E7" w14:paraId="1993679D"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2FE56E77"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169</w:t>
            </w:r>
          </w:p>
        </w:tc>
        <w:tc>
          <w:tcPr>
            <w:tcW w:w="505" w:type="dxa"/>
            <w:tcBorders>
              <w:top w:val="nil"/>
              <w:left w:val="nil"/>
              <w:bottom w:val="single" w:sz="4" w:space="0" w:color="auto"/>
              <w:right w:val="single" w:sz="4" w:space="0" w:color="auto"/>
            </w:tcBorders>
            <w:shd w:val="clear" w:color="auto" w:fill="auto"/>
            <w:noWrap/>
            <w:vAlign w:val="center"/>
            <w:hideMark/>
          </w:tcPr>
          <w:p w14:paraId="0FCBA12D"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24860</w:t>
            </w:r>
          </w:p>
        </w:tc>
        <w:tc>
          <w:tcPr>
            <w:tcW w:w="797" w:type="dxa"/>
            <w:tcBorders>
              <w:top w:val="nil"/>
              <w:left w:val="nil"/>
              <w:bottom w:val="single" w:sz="4" w:space="0" w:color="auto"/>
              <w:right w:val="single" w:sz="4" w:space="0" w:color="auto"/>
            </w:tcBorders>
            <w:shd w:val="clear" w:color="auto" w:fill="auto"/>
            <w:noWrap/>
            <w:vAlign w:val="center"/>
            <w:hideMark/>
          </w:tcPr>
          <w:p w14:paraId="11F2FBF0"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900396040</w:t>
            </w:r>
          </w:p>
        </w:tc>
        <w:tc>
          <w:tcPr>
            <w:tcW w:w="4844" w:type="dxa"/>
            <w:tcBorders>
              <w:top w:val="nil"/>
              <w:left w:val="nil"/>
              <w:bottom w:val="single" w:sz="4" w:space="0" w:color="auto"/>
              <w:right w:val="single" w:sz="4" w:space="0" w:color="auto"/>
            </w:tcBorders>
            <w:shd w:val="clear" w:color="auto" w:fill="auto"/>
            <w:vAlign w:val="center"/>
            <w:hideMark/>
          </w:tcPr>
          <w:p w14:paraId="31B7EFB1" w14:textId="77777777" w:rsidR="009838E7" w:rsidRPr="002C5AEF" w:rsidRDefault="009838E7" w:rsidP="00D22441">
            <w:pPr>
              <w:jc w:val="left"/>
              <w:rPr>
                <w:rFonts w:ascii="Arial Narrow" w:hAnsi="Arial Narrow" w:cs="Calibri"/>
                <w:color w:val="000000"/>
                <w:spacing w:val="0"/>
                <w:sz w:val="16"/>
                <w:szCs w:val="16"/>
                <w:lang w:val="en-GB" w:eastAsia="es-CO"/>
              </w:rPr>
            </w:pPr>
            <w:r w:rsidRPr="002C5AEF">
              <w:rPr>
                <w:rFonts w:ascii="Arial Narrow" w:hAnsi="Arial Narrow" w:cs="Calibri"/>
                <w:color w:val="000000"/>
                <w:spacing w:val="0"/>
                <w:sz w:val="16"/>
                <w:szCs w:val="16"/>
                <w:lang w:val="en-GB" w:eastAsia="es-CO"/>
              </w:rPr>
              <w:t>FEDEGAS S.A.S.  E.S.P.</w:t>
            </w:r>
          </w:p>
        </w:tc>
        <w:tc>
          <w:tcPr>
            <w:tcW w:w="1600" w:type="dxa"/>
            <w:tcBorders>
              <w:top w:val="nil"/>
              <w:left w:val="nil"/>
              <w:bottom w:val="single" w:sz="4" w:space="0" w:color="auto"/>
              <w:right w:val="single" w:sz="4" w:space="0" w:color="auto"/>
            </w:tcBorders>
            <w:shd w:val="clear" w:color="auto" w:fill="auto"/>
            <w:noWrap/>
            <w:vAlign w:val="center"/>
            <w:hideMark/>
          </w:tcPr>
          <w:p w14:paraId="78733A68" w14:textId="77777777" w:rsidR="009838E7" w:rsidRPr="009838E7" w:rsidRDefault="009838E7" w:rsidP="00D22441">
            <w:pPr>
              <w:jc w:val="left"/>
              <w:rPr>
                <w:rFonts w:ascii="Arial Narrow" w:hAnsi="Arial Narrow" w:cs="Calibri"/>
                <w:color w:val="000000"/>
                <w:spacing w:val="0"/>
                <w:sz w:val="16"/>
                <w:szCs w:val="16"/>
                <w:lang w:eastAsia="es-CO"/>
              </w:rPr>
            </w:pPr>
            <w:r w:rsidRPr="002C5AEF">
              <w:rPr>
                <w:rFonts w:ascii="Arial Narrow" w:hAnsi="Arial Narrow" w:cs="Calibri"/>
                <w:color w:val="000000"/>
                <w:spacing w:val="0"/>
                <w:sz w:val="16"/>
                <w:szCs w:val="16"/>
                <w:lang w:val="en-GB" w:eastAsia="es-CO"/>
              </w:rPr>
              <w:t xml:space="preserve">                </w:t>
            </w:r>
            <w:r w:rsidRPr="009838E7">
              <w:rPr>
                <w:rFonts w:ascii="Arial Narrow" w:hAnsi="Arial Narrow" w:cs="Calibri"/>
                <w:color w:val="000000"/>
                <w:spacing w:val="0"/>
                <w:sz w:val="16"/>
                <w:szCs w:val="16"/>
                <w:lang w:eastAsia="es-CO"/>
              </w:rPr>
              <w:t xml:space="preserve">282.043.213 </w:t>
            </w:r>
          </w:p>
        </w:tc>
        <w:tc>
          <w:tcPr>
            <w:tcW w:w="1660" w:type="dxa"/>
            <w:tcBorders>
              <w:top w:val="nil"/>
              <w:left w:val="nil"/>
              <w:bottom w:val="single" w:sz="4" w:space="0" w:color="auto"/>
              <w:right w:val="single" w:sz="4" w:space="0" w:color="auto"/>
            </w:tcBorders>
            <w:shd w:val="clear" w:color="auto" w:fill="auto"/>
            <w:noWrap/>
            <w:vAlign w:val="center"/>
            <w:hideMark/>
          </w:tcPr>
          <w:p w14:paraId="77949134"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2.163.562.000 </w:t>
            </w:r>
          </w:p>
        </w:tc>
      </w:tr>
      <w:tr w:rsidR="009838E7" w:rsidRPr="009838E7" w14:paraId="52B77451"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46FA9EEB"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170</w:t>
            </w:r>
          </w:p>
        </w:tc>
        <w:tc>
          <w:tcPr>
            <w:tcW w:w="505" w:type="dxa"/>
            <w:tcBorders>
              <w:top w:val="nil"/>
              <w:left w:val="nil"/>
              <w:bottom w:val="single" w:sz="4" w:space="0" w:color="auto"/>
              <w:right w:val="single" w:sz="4" w:space="0" w:color="auto"/>
            </w:tcBorders>
            <w:shd w:val="clear" w:color="auto" w:fill="auto"/>
            <w:noWrap/>
            <w:vAlign w:val="center"/>
            <w:hideMark/>
          </w:tcPr>
          <w:p w14:paraId="17AF6FA5"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24869</w:t>
            </w:r>
          </w:p>
        </w:tc>
        <w:tc>
          <w:tcPr>
            <w:tcW w:w="797" w:type="dxa"/>
            <w:tcBorders>
              <w:top w:val="nil"/>
              <w:left w:val="nil"/>
              <w:bottom w:val="single" w:sz="4" w:space="0" w:color="auto"/>
              <w:right w:val="single" w:sz="4" w:space="0" w:color="auto"/>
            </w:tcBorders>
            <w:shd w:val="clear" w:color="auto" w:fill="auto"/>
            <w:noWrap/>
            <w:vAlign w:val="center"/>
            <w:hideMark/>
          </w:tcPr>
          <w:p w14:paraId="405AD15A"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900396759</w:t>
            </w:r>
          </w:p>
        </w:tc>
        <w:tc>
          <w:tcPr>
            <w:tcW w:w="4844" w:type="dxa"/>
            <w:tcBorders>
              <w:top w:val="nil"/>
              <w:left w:val="nil"/>
              <w:bottom w:val="single" w:sz="4" w:space="0" w:color="auto"/>
              <w:right w:val="single" w:sz="4" w:space="0" w:color="auto"/>
            </w:tcBorders>
            <w:shd w:val="clear" w:color="auto" w:fill="auto"/>
            <w:vAlign w:val="center"/>
            <w:hideMark/>
          </w:tcPr>
          <w:p w14:paraId="771E3D50"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CHILCO DISTRIBUIDORA DE GAS Y ENERGIA SAS ESP</w:t>
            </w:r>
          </w:p>
        </w:tc>
        <w:tc>
          <w:tcPr>
            <w:tcW w:w="1600" w:type="dxa"/>
            <w:tcBorders>
              <w:top w:val="nil"/>
              <w:left w:val="nil"/>
              <w:bottom w:val="single" w:sz="4" w:space="0" w:color="auto"/>
              <w:right w:val="single" w:sz="4" w:space="0" w:color="auto"/>
            </w:tcBorders>
            <w:shd w:val="clear" w:color="auto" w:fill="auto"/>
            <w:noWrap/>
            <w:vAlign w:val="center"/>
            <w:hideMark/>
          </w:tcPr>
          <w:p w14:paraId="5E231B2D"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8.221.864.589 </w:t>
            </w:r>
          </w:p>
        </w:tc>
        <w:tc>
          <w:tcPr>
            <w:tcW w:w="1660" w:type="dxa"/>
            <w:tcBorders>
              <w:top w:val="nil"/>
              <w:left w:val="nil"/>
              <w:bottom w:val="single" w:sz="4" w:space="0" w:color="auto"/>
              <w:right w:val="single" w:sz="4" w:space="0" w:color="auto"/>
            </w:tcBorders>
            <w:shd w:val="clear" w:color="auto" w:fill="auto"/>
            <w:noWrap/>
            <w:vAlign w:val="center"/>
            <w:hideMark/>
          </w:tcPr>
          <w:p w14:paraId="03D66398"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14.004.489.220 </w:t>
            </w:r>
          </w:p>
        </w:tc>
      </w:tr>
      <w:tr w:rsidR="009838E7" w:rsidRPr="009838E7" w14:paraId="5D371351"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62F626CF"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171</w:t>
            </w:r>
          </w:p>
        </w:tc>
        <w:tc>
          <w:tcPr>
            <w:tcW w:w="505" w:type="dxa"/>
            <w:tcBorders>
              <w:top w:val="nil"/>
              <w:left w:val="nil"/>
              <w:bottom w:val="single" w:sz="4" w:space="0" w:color="auto"/>
              <w:right w:val="single" w:sz="4" w:space="0" w:color="auto"/>
            </w:tcBorders>
            <w:shd w:val="clear" w:color="auto" w:fill="auto"/>
            <w:noWrap/>
            <w:vAlign w:val="center"/>
            <w:hideMark/>
          </w:tcPr>
          <w:p w14:paraId="183BB5CF"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25655</w:t>
            </w:r>
          </w:p>
        </w:tc>
        <w:tc>
          <w:tcPr>
            <w:tcW w:w="797" w:type="dxa"/>
            <w:tcBorders>
              <w:top w:val="nil"/>
              <w:left w:val="nil"/>
              <w:bottom w:val="single" w:sz="4" w:space="0" w:color="auto"/>
              <w:right w:val="single" w:sz="4" w:space="0" w:color="auto"/>
            </w:tcBorders>
            <w:shd w:val="clear" w:color="auto" w:fill="auto"/>
            <w:noWrap/>
            <w:vAlign w:val="center"/>
            <w:hideMark/>
          </w:tcPr>
          <w:p w14:paraId="45BA7B2C"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900409371</w:t>
            </w:r>
          </w:p>
        </w:tc>
        <w:tc>
          <w:tcPr>
            <w:tcW w:w="4844" w:type="dxa"/>
            <w:tcBorders>
              <w:top w:val="nil"/>
              <w:left w:val="nil"/>
              <w:bottom w:val="single" w:sz="4" w:space="0" w:color="auto"/>
              <w:right w:val="single" w:sz="4" w:space="0" w:color="auto"/>
            </w:tcBorders>
            <w:shd w:val="clear" w:color="auto" w:fill="auto"/>
            <w:vAlign w:val="center"/>
            <w:hideMark/>
          </w:tcPr>
          <w:p w14:paraId="1E1430EF"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FUENTES DE ENERGÍAS RENOVABLES S.A.S. ESP</w:t>
            </w:r>
          </w:p>
        </w:tc>
        <w:tc>
          <w:tcPr>
            <w:tcW w:w="1600" w:type="dxa"/>
            <w:tcBorders>
              <w:top w:val="nil"/>
              <w:left w:val="nil"/>
              <w:bottom w:val="single" w:sz="4" w:space="0" w:color="auto"/>
              <w:right w:val="single" w:sz="4" w:space="0" w:color="auto"/>
            </w:tcBorders>
            <w:shd w:val="clear" w:color="auto" w:fill="auto"/>
            <w:noWrap/>
            <w:vAlign w:val="center"/>
            <w:hideMark/>
          </w:tcPr>
          <w:p w14:paraId="07A61486"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2.660.805.000 </w:t>
            </w:r>
          </w:p>
        </w:tc>
        <w:tc>
          <w:tcPr>
            <w:tcW w:w="1660" w:type="dxa"/>
            <w:tcBorders>
              <w:top w:val="nil"/>
              <w:left w:val="nil"/>
              <w:bottom w:val="single" w:sz="4" w:space="0" w:color="auto"/>
              <w:right w:val="single" w:sz="4" w:space="0" w:color="auto"/>
            </w:tcBorders>
            <w:shd w:val="clear" w:color="auto" w:fill="auto"/>
            <w:noWrap/>
            <w:vAlign w:val="center"/>
            <w:hideMark/>
          </w:tcPr>
          <w:p w14:paraId="096E080A"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9.238.234.000 </w:t>
            </w:r>
          </w:p>
        </w:tc>
      </w:tr>
      <w:tr w:rsidR="009838E7" w:rsidRPr="009838E7" w14:paraId="0C74CAB4"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24ECE04C"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172</w:t>
            </w:r>
          </w:p>
        </w:tc>
        <w:tc>
          <w:tcPr>
            <w:tcW w:w="505" w:type="dxa"/>
            <w:tcBorders>
              <w:top w:val="nil"/>
              <w:left w:val="nil"/>
              <w:bottom w:val="single" w:sz="4" w:space="0" w:color="auto"/>
              <w:right w:val="single" w:sz="4" w:space="0" w:color="auto"/>
            </w:tcBorders>
            <w:shd w:val="clear" w:color="auto" w:fill="auto"/>
            <w:noWrap/>
            <w:vAlign w:val="center"/>
            <w:hideMark/>
          </w:tcPr>
          <w:p w14:paraId="2E657D3B"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25954</w:t>
            </w:r>
          </w:p>
        </w:tc>
        <w:tc>
          <w:tcPr>
            <w:tcW w:w="797" w:type="dxa"/>
            <w:tcBorders>
              <w:top w:val="nil"/>
              <w:left w:val="nil"/>
              <w:bottom w:val="single" w:sz="4" w:space="0" w:color="auto"/>
              <w:right w:val="single" w:sz="4" w:space="0" w:color="auto"/>
            </w:tcBorders>
            <w:shd w:val="clear" w:color="auto" w:fill="auto"/>
            <w:noWrap/>
            <w:vAlign w:val="center"/>
            <w:hideMark/>
          </w:tcPr>
          <w:p w14:paraId="06820E10"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900428208</w:t>
            </w:r>
          </w:p>
        </w:tc>
        <w:tc>
          <w:tcPr>
            <w:tcW w:w="4844" w:type="dxa"/>
            <w:tcBorders>
              <w:top w:val="nil"/>
              <w:left w:val="nil"/>
              <w:bottom w:val="single" w:sz="4" w:space="0" w:color="auto"/>
              <w:right w:val="single" w:sz="4" w:space="0" w:color="auto"/>
            </w:tcBorders>
            <w:shd w:val="clear" w:color="auto" w:fill="auto"/>
            <w:vAlign w:val="center"/>
            <w:hideMark/>
          </w:tcPr>
          <w:p w14:paraId="4662362E"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DISTRIBUIDORA DE GAS DEL PACIFICO DIGAS SAS ESP</w:t>
            </w:r>
          </w:p>
        </w:tc>
        <w:tc>
          <w:tcPr>
            <w:tcW w:w="1600" w:type="dxa"/>
            <w:tcBorders>
              <w:top w:val="nil"/>
              <w:left w:val="nil"/>
              <w:bottom w:val="single" w:sz="4" w:space="0" w:color="auto"/>
              <w:right w:val="single" w:sz="4" w:space="0" w:color="auto"/>
            </w:tcBorders>
            <w:shd w:val="clear" w:color="auto" w:fill="auto"/>
            <w:noWrap/>
            <w:vAlign w:val="center"/>
            <w:hideMark/>
          </w:tcPr>
          <w:p w14:paraId="40C56FA8"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1.550.102.543 </w:t>
            </w:r>
          </w:p>
        </w:tc>
        <w:tc>
          <w:tcPr>
            <w:tcW w:w="1660" w:type="dxa"/>
            <w:tcBorders>
              <w:top w:val="nil"/>
              <w:left w:val="nil"/>
              <w:bottom w:val="single" w:sz="4" w:space="0" w:color="auto"/>
              <w:right w:val="single" w:sz="4" w:space="0" w:color="auto"/>
            </w:tcBorders>
            <w:shd w:val="clear" w:color="auto" w:fill="auto"/>
            <w:noWrap/>
            <w:vAlign w:val="center"/>
            <w:hideMark/>
          </w:tcPr>
          <w:p w14:paraId="71595DEA"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1.852.149.007 </w:t>
            </w:r>
          </w:p>
        </w:tc>
      </w:tr>
      <w:tr w:rsidR="009838E7" w:rsidRPr="009838E7" w14:paraId="0B71997F"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7791160E"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173</w:t>
            </w:r>
          </w:p>
        </w:tc>
        <w:tc>
          <w:tcPr>
            <w:tcW w:w="505" w:type="dxa"/>
            <w:tcBorders>
              <w:top w:val="nil"/>
              <w:left w:val="nil"/>
              <w:bottom w:val="single" w:sz="4" w:space="0" w:color="auto"/>
              <w:right w:val="single" w:sz="4" w:space="0" w:color="auto"/>
            </w:tcBorders>
            <w:shd w:val="clear" w:color="auto" w:fill="auto"/>
            <w:noWrap/>
            <w:vAlign w:val="center"/>
            <w:hideMark/>
          </w:tcPr>
          <w:p w14:paraId="14081FE8"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26050</w:t>
            </w:r>
          </w:p>
        </w:tc>
        <w:tc>
          <w:tcPr>
            <w:tcW w:w="797" w:type="dxa"/>
            <w:tcBorders>
              <w:top w:val="nil"/>
              <w:left w:val="nil"/>
              <w:bottom w:val="single" w:sz="4" w:space="0" w:color="auto"/>
              <w:right w:val="single" w:sz="4" w:space="0" w:color="auto"/>
            </w:tcBorders>
            <w:shd w:val="clear" w:color="auto" w:fill="auto"/>
            <w:noWrap/>
            <w:vAlign w:val="center"/>
            <w:hideMark/>
          </w:tcPr>
          <w:p w14:paraId="16BCD4D6"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900431226</w:t>
            </w:r>
          </w:p>
        </w:tc>
        <w:tc>
          <w:tcPr>
            <w:tcW w:w="4844" w:type="dxa"/>
            <w:tcBorders>
              <w:top w:val="nil"/>
              <w:left w:val="nil"/>
              <w:bottom w:val="single" w:sz="4" w:space="0" w:color="auto"/>
              <w:right w:val="single" w:sz="4" w:space="0" w:color="auto"/>
            </w:tcBorders>
            <w:shd w:val="clear" w:color="auto" w:fill="auto"/>
            <w:vAlign w:val="center"/>
            <w:hideMark/>
          </w:tcPr>
          <w:p w14:paraId="653DC924" w14:textId="66BDFE60" w:rsidR="009838E7" w:rsidRPr="002C5AEF" w:rsidRDefault="009838E7" w:rsidP="00D22441">
            <w:pPr>
              <w:jc w:val="left"/>
              <w:rPr>
                <w:rFonts w:ascii="Arial Narrow" w:hAnsi="Arial Narrow" w:cs="Calibri"/>
                <w:color w:val="000000"/>
                <w:spacing w:val="0"/>
                <w:sz w:val="16"/>
                <w:szCs w:val="16"/>
                <w:lang w:val="en-GB" w:eastAsia="es-CO"/>
              </w:rPr>
            </w:pPr>
            <w:r w:rsidRPr="002C5AEF">
              <w:rPr>
                <w:rFonts w:ascii="Arial Narrow" w:hAnsi="Arial Narrow" w:cs="Calibri"/>
                <w:color w:val="000000"/>
                <w:spacing w:val="0"/>
                <w:sz w:val="16"/>
                <w:szCs w:val="16"/>
                <w:lang w:val="en-GB" w:eastAsia="es-CO"/>
              </w:rPr>
              <w:t>FORCEFUL ENERGY S.A.S E.S.P</w:t>
            </w:r>
            <w:r w:rsidR="006F2D43">
              <w:rPr>
                <w:rFonts w:ascii="Arial Narrow" w:hAnsi="Arial Narrow" w:cs="Calibri"/>
                <w:color w:val="000000"/>
                <w:spacing w:val="0"/>
                <w:sz w:val="16"/>
                <w:szCs w:val="16"/>
                <w:lang w:val="en-GB" w:eastAsia="es-CO"/>
              </w:rPr>
              <w:t>.</w:t>
            </w:r>
          </w:p>
        </w:tc>
        <w:tc>
          <w:tcPr>
            <w:tcW w:w="1600" w:type="dxa"/>
            <w:tcBorders>
              <w:top w:val="nil"/>
              <w:left w:val="nil"/>
              <w:bottom w:val="single" w:sz="4" w:space="0" w:color="auto"/>
              <w:right w:val="single" w:sz="4" w:space="0" w:color="auto"/>
            </w:tcBorders>
            <w:shd w:val="clear" w:color="auto" w:fill="auto"/>
            <w:noWrap/>
            <w:vAlign w:val="center"/>
            <w:hideMark/>
          </w:tcPr>
          <w:p w14:paraId="0E5A5B26" w14:textId="77777777" w:rsidR="009838E7" w:rsidRPr="009838E7" w:rsidRDefault="009838E7" w:rsidP="00D22441">
            <w:pPr>
              <w:jc w:val="left"/>
              <w:rPr>
                <w:rFonts w:ascii="Arial Narrow" w:hAnsi="Arial Narrow" w:cs="Calibri"/>
                <w:color w:val="000000"/>
                <w:spacing w:val="0"/>
                <w:sz w:val="16"/>
                <w:szCs w:val="16"/>
                <w:lang w:eastAsia="es-CO"/>
              </w:rPr>
            </w:pPr>
            <w:r w:rsidRPr="002C5AEF">
              <w:rPr>
                <w:rFonts w:ascii="Arial Narrow" w:hAnsi="Arial Narrow" w:cs="Calibri"/>
                <w:color w:val="000000"/>
                <w:spacing w:val="0"/>
                <w:sz w:val="16"/>
                <w:szCs w:val="16"/>
                <w:lang w:val="en-GB" w:eastAsia="es-CO"/>
              </w:rPr>
              <w:t xml:space="preserve">                 </w:t>
            </w:r>
            <w:r w:rsidRPr="009838E7">
              <w:rPr>
                <w:rFonts w:ascii="Arial Narrow" w:hAnsi="Arial Narrow" w:cs="Calibri"/>
                <w:color w:val="000000"/>
                <w:spacing w:val="0"/>
                <w:sz w:val="16"/>
                <w:szCs w:val="16"/>
                <w:lang w:eastAsia="es-CO"/>
              </w:rPr>
              <w:t xml:space="preserve">78.256.000 </w:t>
            </w:r>
          </w:p>
        </w:tc>
        <w:tc>
          <w:tcPr>
            <w:tcW w:w="1660" w:type="dxa"/>
            <w:tcBorders>
              <w:top w:val="nil"/>
              <w:left w:val="nil"/>
              <w:bottom w:val="single" w:sz="4" w:space="0" w:color="auto"/>
              <w:right w:val="single" w:sz="4" w:space="0" w:color="auto"/>
            </w:tcBorders>
            <w:shd w:val="clear" w:color="auto" w:fill="auto"/>
            <w:noWrap/>
            <w:vAlign w:val="center"/>
            <w:hideMark/>
          </w:tcPr>
          <w:p w14:paraId="3B6777F4"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73.207.000 </w:t>
            </w:r>
          </w:p>
        </w:tc>
      </w:tr>
      <w:tr w:rsidR="009838E7" w:rsidRPr="009838E7" w14:paraId="514E22B1"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201A460D"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174</w:t>
            </w:r>
          </w:p>
        </w:tc>
        <w:tc>
          <w:tcPr>
            <w:tcW w:w="505" w:type="dxa"/>
            <w:tcBorders>
              <w:top w:val="nil"/>
              <w:left w:val="nil"/>
              <w:bottom w:val="single" w:sz="4" w:space="0" w:color="auto"/>
              <w:right w:val="single" w:sz="4" w:space="0" w:color="auto"/>
            </w:tcBorders>
            <w:shd w:val="clear" w:color="auto" w:fill="auto"/>
            <w:noWrap/>
            <w:vAlign w:val="center"/>
            <w:hideMark/>
          </w:tcPr>
          <w:p w14:paraId="2AFE1AF2"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25680</w:t>
            </w:r>
          </w:p>
        </w:tc>
        <w:tc>
          <w:tcPr>
            <w:tcW w:w="797" w:type="dxa"/>
            <w:tcBorders>
              <w:top w:val="nil"/>
              <w:left w:val="nil"/>
              <w:bottom w:val="single" w:sz="4" w:space="0" w:color="auto"/>
              <w:right w:val="single" w:sz="4" w:space="0" w:color="auto"/>
            </w:tcBorders>
            <w:shd w:val="clear" w:color="auto" w:fill="auto"/>
            <w:noWrap/>
            <w:vAlign w:val="center"/>
            <w:hideMark/>
          </w:tcPr>
          <w:p w14:paraId="715C6E8F"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900432368</w:t>
            </w:r>
          </w:p>
        </w:tc>
        <w:tc>
          <w:tcPr>
            <w:tcW w:w="4844" w:type="dxa"/>
            <w:tcBorders>
              <w:top w:val="nil"/>
              <w:left w:val="nil"/>
              <w:bottom w:val="single" w:sz="4" w:space="0" w:color="auto"/>
              <w:right w:val="single" w:sz="4" w:space="0" w:color="auto"/>
            </w:tcBorders>
            <w:shd w:val="clear" w:color="auto" w:fill="auto"/>
            <w:vAlign w:val="center"/>
            <w:hideMark/>
          </w:tcPr>
          <w:p w14:paraId="020A4A15"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ELECTRIFICADORA DE MAPIRIPÁN S.A. E.S.P.</w:t>
            </w:r>
          </w:p>
        </w:tc>
        <w:tc>
          <w:tcPr>
            <w:tcW w:w="1600" w:type="dxa"/>
            <w:tcBorders>
              <w:top w:val="nil"/>
              <w:left w:val="nil"/>
              <w:bottom w:val="single" w:sz="4" w:space="0" w:color="auto"/>
              <w:right w:val="single" w:sz="4" w:space="0" w:color="auto"/>
            </w:tcBorders>
            <w:shd w:val="clear" w:color="auto" w:fill="auto"/>
            <w:noWrap/>
            <w:vAlign w:val="center"/>
            <w:hideMark/>
          </w:tcPr>
          <w:p w14:paraId="5FC8AAEB"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193.939.460 </w:t>
            </w:r>
          </w:p>
        </w:tc>
        <w:tc>
          <w:tcPr>
            <w:tcW w:w="1660" w:type="dxa"/>
            <w:tcBorders>
              <w:top w:val="nil"/>
              <w:left w:val="nil"/>
              <w:bottom w:val="single" w:sz="4" w:space="0" w:color="auto"/>
              <w:right w:val="single" w:sz="4" w:space="0" w:color="auto"/>
            </w:tcBorders>
            <w:shd w:val="clear" w:color="auto" w:fill="auto"/>
            <w:noWrap/>
            <w:vAlign w:val="center"/>
            <w:hideMark/>
          </w:tcPr>
          <w:p w14:paraId="3051E86B"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232.312.752 </w:t>
            </w:r>
          </w:p>
        </w:tc>
      </w:tr>
      <w:tr w:rsidR="009838E7" w:rsidRPr="009838E7" w14:paraId="45FD716F"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3D95C7A1"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175</w:t>
            </w:r>
          </w:p>
        </w:tc>
        <w:tc>
          <w:tcPr>
            <w:tcW w:w="505" w:type="dxa"/>
            <w:tcBorders>
              <w:top w:val="nil"/>
              <w:left w:val="nil"/>
              <w:bottom w:val="single" w:sz="4" w:space="0" w:color="auto"/>
              <w:right w:val="single" w:sz="4" w:space="0" w:color="auto"/>
            </w:tcBorders>
            <w:shd w:val="clear" w:color="auto" w:fill="auto"/>
            <w:noWrap/>
            <w:vAlign w:val="center"/>
            <w:hideMark/>
          </w:tcPr>
          <w:p w14:paraId="36183179"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31191</w:t>
            </w:r>
          </w:p>
        </w:tc>
        <w:tc>
          <w:tcPr>
            <w:tcW w:w="797" w:type="dxa"/>
            <w:tcBorders>
              <w:top w:val="nil"/>
              <w:left w:val="nil"/>
              <w:bottom w:val="single" w:sz="4" w:space="0" w:color="auto"/>
              <w:right w:val="single" w:sz="4" w:space="0" w:color="auto"/>
            </w:tcBorders>
            <w:shd w:val="clear" w:color="auto" w:fill="auto"/>
            <w:noWrap/>
            <w:vAlign w:val="center"/>
            <w:hideMark/>
          </w:tcPr>
          <w:p w14:paraId="592EBB75"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900433032</w:t>
            </w:r>
          </w:p>
        </w:tc>
        <w:tc>
          <w:tcPr>
            <w:tcW w:w="4844" w:type="dxa"/>
            <w:tcBorders>
              <w:top w:val="nil"/>
              <w:left w:val="nil"/>
              <w:bottom w:val="single" w:sz="4" w:space="0" w:color="auto"/>
              <w:right w:val="single" w:sz="4" w:space="0" w:color="auto"/>
            </w:tcBorders>
            <w:shd w:val="clear" w:color="auto" w:fill="auto"/>
            <w:vAlign w:val="center"/>
            <w:hideMark/>
          </w:tcPr>
          <w:p w14:paraId="70DA62CC" w14:textId="21D49945"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TERPEL ENERGIA S.A.S E.S.P</w:t>
            </w:r>
            <w:r w:rsidR="006F2D43">
              <w:rPr>
                <w:rFonts w:ascii="Arial Narrow" w:hAnsi="Arial Narrow" w:cs="Calibri"/>
                <w:color w:val="000000"/>
                <w:spacing w:val="0"/>
                <w:sz w:val="16"/>
                <w:szCs w:val="16"/>
                <w:lang w:eastAsia="es-CO"/>
              </w:rPr>
              <w:t>.</w:t>
            </w:r>
          </w:p>
        </w:tc>
        <w:tc>
          <w:tcPr>
            <w:tcW w:w="1600" w:type="dxa"/>
            <w:tcBorders>
              <w:top w:val="nil"/>
              <w:left w:val="nil"/>
              <w:bottom w:val="single" w:sz="4" w:space="0" w:color="auto"/>
              <w:right w:val="single" w:sz="4" w:space="0" w:color="auto"/>
            </w:tcBorders>
            <w:shd w:val="clear" w:color="auto" w:fill="auto"/>
            <w:noWrap/>
            <w:vAlign w:val="center"/>
            <w:hideMark/>
          </w:tcPr>
          <w:p w14:paraId="050D3083"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875.688.734 </w:t>
            </w:r>
          </w:p>
        </w:tc>
        <w:tc>
          <w:tcPr>
            <w:tcW w:w="1660" w:type="dxa"/>
            <w:tcBorders>
              <w:top w:val="nil"/>
              <w:left w:val="nil"/>
              <w:bottom w:val="single" w:sz="4" w:space="0" w:color="auto"/>
              <w:right w:val="single" w:sz="4" w:space="0" w:color="auto"/>
            </w:tcBorders>
            <w:shd w:val="clear" w:color="auto" w:fill="auto"/>
            <w:noWrap/>
            <w:vAlign w:val="center"/>
            <w:hideMark/>
          </w:tcPr>
          <w:p w14:paraId="660AC391"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1.353.920.246 </w:t>
            </w:r>
          </w:p>
        </w:tc>
      </w:tr>
      <w:tr w:rsidR="009838E7" w:rsidRPr="009838E7" w14:paraId="5F309074"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26F58E69"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176</w:t>
            </w:r>
          </w:p>
        </w:tc>
        <w:tc>
          <w:tcPr>
            <w:tcW w:w="505" w:type="dxa"/>
            <w:tcBorders>
              <w:top w:val="nil"/>
              <w:left w:val="nil"/>
              <w:bottom w:val="single" w:sz="4" w:space="0" w:color="auto"/>
              <w:right w:val="single" w:sz="4" w:space="0" w:color="auto"/>
            </w:tcBorders>
            <w:shd w:val="clear" w:color="auto" w:fill="auto"/>
            <w:noWrap/>
            <w:vAlign w:val="center"/>
            <w:hideMark/>
          </w:tcPr>
          <w:p w14:paraId="356518E1"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37294</w:t>
            </w:r>
          </w:p>
        </w:tc>
        <w:tc>
          <w:tcPr>
            <w:tcW w:w="797" w:type="dxa"/>
            <w:tcBorders>
              <w:top w:val="nil"/>
              <w:left w:val="nil"/>
              <w:bottom w:val="single" w:sz="4" w:space="0" w:color="auto"/>
              <w:right w:val="single" w:sz="4" w:space="0" w:color="auto"/>
            </w:tcBorders>
            <w:shd w:val="clear" w:color="auto" w:fill="auto"/>
            <w:noWrap/>
            <w:vAlign w:val="center"/>
            <w:hideMark/>
          </w:tcPr>
          <w:p w14:paraId="02783533"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900438187</w:t>
            </w:r>
          </w:p>
        </w:tc>
        <w:tc>
          <w:tcPr>
            <w:tcW w:w="4844" w:type="dxa"/>
            <w:tcBorders>
              <w:top w:val="nil"/>
              <w:left w:val="nil"/>
              <w:bottom w:val="single" w:sz="4" w:space="0" w:color="auto"/>
              <w:right w:val="single" w:sz="4" w:space="0" w:color="auto"/>
            </w:tcBorders>
            <w:shd w:val="clear" w:color="auto" w:fill="auto"/>
            <w:vAlign w:val="center"/>
            <w:hideMark/>
          </w:tcPr>
          <w:p w14:paraId="589DA79D"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PROVIGAS COLOMBIA S.A. ESP</w:t>
            </w:r>
          </w:p>
        </w:tc>
        <w:tc>
          <w:tcPr>
            <w:tcW w:w="1600" w:type="dxa"/>
            <w:tcBorders>
              <w:top w:val="nil"/>
              <w:left w:val="nil"/>
              <w:bottom w:val="single" w:sz="4" w:space="0" w:color="auto"/>
              <w:right w:val="single" w:sz="4" w:space="0" w:color="auto"/>
            </w:tcBorders>
            <w:shd w:val="clear" w:color="auto" w:fill="auto"/>
            <w:noWrap/>
            <w:vAlign w:val="center"/>
            <w:hideMark/>
          </w:tcPr>
          <w:p w14:paraId="333413D2"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485.403.923 </w:t>
            </w:r>
          </w:p>
        </w:tc>
        <w:tc>
          <w:tcPr>
            <w:tcW w:w="1660" w:type="dxa"/>
            <w:tcBorders>
              <w:top w:val="nil"/>
              <w:left w:val="nil"/>
              <w:bottom w:val="single" w:sz="4" w:space="0" w:color="auto"/>
              <w:right w:val="single" w:sz="4" w:space="0" w:color="auto"/>
            </w:tcBorders>
            <w:shd w:val="clear" w:color="auto" w:fill="auto"/>
            <w:noWrap/>
            <w:vAlign w:val="center"/>
            <w:hideMark/>
          </w:tcPr>
          <w:p w14:paraId="6FE92B57"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372.298.000 </w:t>
            </w:r>
          </w:p>
        </w:tc>
      </w:tr>
      <w:tr w:rsidR="009838E7" w:rsidRPr="009838E7" w14:paraId="6A152FE3"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6522A90D"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177</w:t>
            </w:r>
          </w:p>
        </w:tc>
        <w:tc>
          <w:tcPr>
            <w:tcW w:w="505" w:type="dxa"/>
            <w:tcBorders>
              <w:top w:val="nil"/>
              <w:left w:val="nil"/>
              <w:bottom w:val="single" w:sz="4" w:space="0" w:color="auto"/>
              <w:right w:val="single" w:sz="4" w:space="0" w:color="auto"/>
            </w:tcBorders>
            <w:shd w:val="clear" w:color="auto" w:fill="auto"/>
            <w:noWrap/>
            <w:vAlign w:val="center"/>
            <w:hideMark/>
          </w:tcPr>
          <w:p w14:paraId="7DBC3BAC"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38033</w:t>
            </w:r>
          </w:p>
        </w:tc>
        <w:tc>
          <w:tcPr>
            <w:tcW w:w="797" w:type="dxa"/>
            <w:tcBorders>
              <w:top w:val="nil"/>
              <w:left w:val="nil"/>
              <w:bottom w:val="single" w:sz="4" w:space="0" w:color="auto"/>
              <w:right w:val="single" w:sz="4" w:space="0" w:color="auto"/>
            </w:tcBorders>
            <w:shd w:val="clear" w:color="auto" w:fill="auto"/>
            <w:noWrap/>
            <w:vAlign w:val="center"/>
            <w:hideMark/>
          </w:tcPr>
          <w:p w14:paraId="394A4187"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900440491</w:t>
            </w:r>
          </w:p>
        </w:tc>
        <w:tc>
          <w:tcPr>
            <w:tcW w:w="4844" w:type="dxa"/>
            <w:tcBorders>
              <w:top w:val="nil"/>
              <w:left w:val="nil"/>
              <w:bottom w:val="single" w:sz="4" w:space="0" w:color="auto"/>
              <w:right w:val="single" w:sz="4" w:space="0" w:color="auto"/>
            </w:tcBorders>
            <w:shd w:val="clear" w:color="auto" w:fill="auto"/>
            <w:vAlign w:val="center"/>
            <w:hideMark/>
          </w:tcPr>
          <w:p w14:paraId="70C09E40"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JADAPE SAS ESP</w:t>
            </w:r>
          </w:p>
        </w:tc>
        <w:tc>
          <w:tcPr>
            <w:tcW w:w="1600" w:type="dxa"/>
            <w:tcBorders>
              <w:top w:val="nil"/>
              <w:left w:val="nil"/>
              <w:bottom w:val="single" w:sz="4" w:space="0" w:color="auto"/>
              <w:right w:val="single" w:sz="4" w:space="0" w:color="auto"/>
            </w:tcBorders>
            <w:shd w:val="clear" w:color="auto" w:fill="auto"/>
            <w:noWrap/>
            <w:vAlign w:val="center"/>
            <w:hideMark/>
          </w:tcPr>
          <w:p w14:paraId="2883DEA9"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203.887.000 </w:t>
            </w:r>
          </w:p>
        </w:tc>
        <w:tc>
          <w:tcPr>
            <w:tcW w:w="1660" w:type="dxa"/>
            <w:tcBorders>
              <w:top w:val="nil"/>
              <w:left w:val="nil"/>
              <w:bottom w:val="single" w:sz="4" w:space="0" w:color="auto"/>
              <w:right w:val="single" w:sz="4" w:space="0" w:color="auto"/>
            </w:tcBorders>
            <w:shd w:val="clear" w:color="auto" w:fill="auto"/>
            <w:noWrap/>
            <w:vAlign w:val="center"/>
            <w:hideMark/>
          </w:tcPr>
          <w:p w14:paraId="6601B1F7"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318.585.572 </w:t>
            </w:r>
          </w:p>
        </w:tc>
      </w:tr>
      <w:tr w:rsidR="009838E7" w:rsidRPr="009838E7" w14:paraId="1574FF21"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49DB0B87"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178</w:t>
            </w:r>
          </w:p>
        </w:tc>
        <w:tc>
          <w:tcPr>
            <w:tcW w:w="505" w:type="dxa"/>
            <w:tcBorders>
              <w:top w:val="nil"/>
              <w:left w:val="nil"/>
              <w:bottom w:val="single" w:sz="4" w:space="0" w:color="auto"/>
              <w:right w:val="single" w:sz="4" w:space="0" w:color="auto"/>
            </w:tcBorders>
            <w:shd w:val="clear" w:color="auto" w:fill="auto"/>
            <w:noWrap/>
            <w:vAlign w:val="center"/>
            <w:hideMark/>
          </w:tcPr>
          <w:p w14:paraId="735621BE"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28632</w:t>
            </w:r>
          </w:p>
        </w:tc>
        <w:tc>
          <w:tcPr>
            <w:tcW w:w="797" w:type="dxa"/>
            <w:tcBorders>
              <w:top w:val="nil"/>
              <w:left w:val="nil"/>
              <w:bottom w:val="single" w:sz="4" w:space="0" w:color="auto"/>
              <w:right w:val="single" w:sz="4" w:space="0" w:color="auto"/>
            </w:tcBorders>
            <w:shd w:val="clear" w:color="auto" w:fill="auto"/>
            <w:noWrap/>
            <w:vAlign w:val="center"/>
            <w:hideMark/>
          </w:tcPr>
          <w:p w14:paraId="4A595ED9"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900448956</w:t>
            </w:r>
          </w:p>
        </w:tc>
        <w:tc>
          <w:tcPr>
            <w:tcW w:w="4844" w:type="dxa"/>
            <w:tcBorders>
              <w:top w:val="nil"/>
              <w:left w:val="nil"/>
              <w:bottom w:val="single" w:sz="4" w:space="0" w:color="auto"/>
              <w:right w:val="single" w:sz="4" w:space="0" w:color="auto"/>
            </w:tcBorders>
            <w:shd w:val="clear" w:color="auto" w:fill="auto"/>
            <w:vAlign w:val="center"/>
            <w:hideMark/>
          </w:tcPr>
          <w:p w14:paraId="6198892A" w14:textId="7408B139"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CENTRAL HIDROELÉCTRICA EL EDÉN S.A.S. E.S.P</w:t>
            </w:r>
            <w:r w:rsidR="006F2D43">
              <w:rPr>
                <w:rFonts w:ascii="Arial Narrow" w:hAnsi="Arial Narrow" w:cs="Calibri"/>
                <w:color w:val="000000"/>
                <w:spacing w:val="0"/>
                <w:sz w:val="16"/>
                <w:szCs w:val="16"/>
                <w:lang w:eastAsia="es-CO"/>
              </w:rPr>
              <w:t>.</w:t>
            </w:r>
          </w:p>
        </w:tc>
        <w:tc>
          <w:tcPr>
            <w:tcW w:w="1600" w:type="dxa"/>
            <w:tcBorders>
              <w:top w:val="nil"/>
              <w:left w:val="nil"/>
              <w:bottom w:val="single" w:sz="4" w:space="0" w:color="auto"/>
              <w:right w:val="single" w:sz="4" w:space="0" w:color="auto"/>
            </w:tcBorders>
            <w:shd w:val="clear" w:color="auto" w:fill="auto"/>
            <w:noWrap/>
            <w:vAlign w:val="center"/>
            <w:hideMark/>
          </w:tcPr>
          <w:p w14:paraId="33D30466"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279.504.893 </w:t>
            </w:r>
          </w:p>
        </w:tc>
        <w:tc>
          <w:tcPr>
            <w:tcW w:w="1660" w:type="dxa"/>
            <w:tcBorders>
              <w:top w:val="nil"/>
              <w:left w:val="nil"/>
              <w:bottom w:val="single" w:sz="4" w:space="0" w:color="auto"/>
              <w:right w:val="single" w:sz="4" w:space="0" w:color="auto"/>
            </w:tcBorders>
            <w:shd w:val="clear" w:color="auto" w:fill="auto"/>
            <w:noWrap/>
            <w:vAlign w:val="center"/>
            <w:hideMark/>
          </w:tcPr>
          <w:p w14:paraId="415C855C"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258.041.980 </w:t>
            </w:r>
          </w:p>
        </w:tc>
      </w:tr>
      <w:tr w:rsidR="009838E7" w:rsidRPr="009838E7" w14:paraId="1449D5C1"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446C4D42"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179</w:t>
            </w:r>
          </w:p>
        </w:tc>
        <w:tc>
          <w:tcPr>
            <w:tcW w:w="505" w:type="dxa"/>
            <w:tcBorders>
              <w:top w:val="nil"/>
              <w:left w:val="nil"/>
              <w:bottom w:val="single" w:sz="4" w:space="0" w:color="auto"/>
              <w:right w:val="single" w:sz="4" w:space="0" w:color="auto"/>
            </w:tcBorders>
            <w:shd w:val="clear" w:color="auto" w:fill="auto"/>
            <w:noWrap/>
            <w:vAlign w:val="center"/>
            <w:hideMark/>
          </w:tcPr>
          <w:p w14:paraId="09DCC6A1"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25939</w:t>
            </w:r>
          </w:p>
        </w:tc>
        <w:tc>
          <w:tcPr>
            <w:tcW w:w="797" w:type="dxa"/>
            <w:tcBorders>
              <w:top w:val="nil"/>
              <w:left w:val="nil"/>
              <w:bottom w:val="single" w:sz="4" w:space="0" w:color="auto"/>
              <w:right w:val="single" w:sz="4" w:space="0" w:color="auto"/>
            </w:tcBorders>
            <w:shd w:val="clear" w:color="auto" w:fill="auto"/>
            <w:noWrap/>
            <w:vAlign w:val="center"/>
            <w:hideMark/>
          </w:tcPr>
          <w:p w14:paraId="75BCC64F"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900453463</w:t>
            </w:r>
          </w:p>
        </w:tc>
        <w:tc>
          <w:tcPr>
            <w:tcW w:w="4844" w:type="dxa"/>
            <w:tcBorders>
              <w:top w:val="nil"/>
              <w:left w:val="nil"/>
              <w:bottom w:val="single" w:sz="4" w:space="0" w:color="auto"/>
              <w:right w:val="single" w:sz="4" w:space="0" w:color="auto"/>
            </w:tcBorders>
            <w:shd w:val="clear" w:color="auto" w:fill="auto"/>
            <w:vAlign w:val="center"/>
            <w:hideMark/>
          </w:tcPr>
          <w:p w14:paraId="6610AAE6" w14:textId="0C83CAA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CITYGAS DISTRIBUIDORA S.A.S. E.S.P</w:t>
            </w:r>
            <w:r w:rsidR="006F2D43">
              <w:rPr>
                <w:rFonts w:ascii="Arial Narrow" w:hAnsi="Arial Narrow" w:cs="Calibri"/>
                <w:color w:val="000000"/>
                <w:spacing w:val="0"/>
                <w:sz w:val="16"/>
                <w:szCs w:val="16"/>
                <w:lang w:eastAsia="es-CO"/>
              </w:rPr>
              <w:t>.</w:t>
            </w:r>
          </w:p>
        </w:tc>
        <w:tc>
          <w:tcPr>
            <w:tcW w:w="1600" w:type="dxa"/>
            <w:tcBorders>
              <w:top w:val="nil"/>
              <w:left w:val="nil"/>
              <w:bottom w:val="single" w:sz="4" w:space="0" w:color="auto"/>
              <w:right w:val="single" w:sz="4" w:space="0" w:color="auto"/>
            </w:tcBorders>
            <w:shd w:val="clear" w:color="auto" w:fill="auto"/>
            <w:noWrap/>
            <w:vAlign w:val="center"/>
            <w:hideMark/>
          </w:tcPr>
          <w:p w14:paraId="28793078"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293.503.914 </w:t>
            </w:r>
          </w:p>
        </w:tc>
        <w:tc>
          <w:tcPr>
            <w:tcW w:w="1660" w:type="dxa"/>
            <w:tcBorders>
              <w:top w:val="nil"/>
              <w:left w:val="nil"/>
              <w:bottom w:val="single" w:sz="4" w:space="0" w:color="auto"/>
              <w:right w:val="single" w:sz="4" w:space="0" w:color="auto"/>
            </w:tcBorders>
            <w:shd w:val="clear" w:color="auto" w:fill="auto"/>
            <w:noWrap/>
            <w:vAlign w:val="center"/>
            <w:hideMark/>
          </w:tcPr>
          <w:p w14:paraId="4C45292F"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491.726.520 </w:t>
            </w:r>
          </w:p>
        </w:tc>
      </w:tr>
      <w:tr w:rsidR="009838E7" w:rsidRPr="009838E7" w14:paraId="129A84D3"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6F9A133E"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180</w:t>
            </w:r>
          </w:p>
        </w:tc>
        <w:tc>
          <w:tcPr>
            <w:tcW w:w="505" w:type="dxa"/>
            <w:tcBorders>
              <w:top w:val="nil"/>
              <w:left w:val="nil"/>
              <w:bottom w:val="single" w:sz="4" w:space="0" w:color="auto"/>
              <w:right w:val="single" w:sz="4" w:space="0" w:color="auto"/>
            </w:tcBorders>
            <w:shd w:val="clear" w:color="auto" w:fill="auto"/>
            <w:noWrap/>
            <w:vAlign w:val="center"/>
            <w:hideMark/>
          </w:tcPr>
          <w:p w14:paraId="04E13254"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26192</w:t>
            </w:r>
          </w:p>
        </w:tc>
        <w:tc>
          <w:tcPr>
            <w:tcW w:w="797" w:type="dxa"/>
            <w:tcBorders>
              <w:top w:val="nil"/>
              <w:left w:val="nil"/>
              <w:bottom w:val="single" w:sz="4" w:space="0" w:color="auto"/>
              <w:right w:val="single" w:sz="4" w:space="0" w:color="auto"/>
            </w:tcBorders>
            <w:shd w:val="clear" w:color="auto" w:fill="auto"/>
            <w:noWrap/>
            <w:vAlign w:val="center"/>
            <w:hideMark/>
          </w:tcPr>
          <w:p w14:paraId="4E547D48"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900462761</w:t>
            </w:r>
          </w:p>
        </w:tc>
        <w:tc>
          <w:tcPr>
            <w:tcW w:w="4844" w:type="dxa"/>
            <w:tcBorders>
              <w:top w:val="nil"/>
              <w:left w:val="nil"/>
              <w:bottom w:val="single" w:sz="4" w:space="0" w:color="auto"/>
              <w:right w:val="single" w:sz="4" w:space="0" w:color="auto"/>
            </w:tcBorders>
            <w:shd w:val="clear" w:color="auto" w:fill="auto"/>
            <w:vAlign w:val="center"/>
            <w:hideMark/>
          </w:tcPr>
          <w:p w14:paraId="1A5718E9"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RISARALDA ENERGIA S.A.S. E.S.P.</w:t>
            </w:r>
          </w:p>
        </w:tc>
        <w:tc>
          <w:tcPr>
            <w:tcW w:w="1600" w:type="dxa"/>
            <w:tcBorders>
              <w:top w:val="nil"/>
              <w:left w:val="nil"/>
              <w:bottom w:val="single" w:sz="4" w:space="0" w:color="auto"/>
              <w:right w:val="single" w:sz="4" w:space="0" w:color="auto"/>
            </w:tcBorders>
            <w:shd w:val="clear" w:color="auto" w:fill="auto"/>
            <w:noWrap/>
            <w:vAlign w:val="center"/>
            <w:hideMark/>
          </w:tcPr>
          <w:p w14:paraId="1A636FC0"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1.432.032.000 </w:t>
            </w:r>
          </w:p>
        </w:tc>
        <w:tc>
          <w:tcPr>
            <w:tcW w:w="1660" w:type="dxa"/>
            <w:tcBorders>
              <w:top w:val="nil"/>
              <w:left w:val="nil"/>
              <w:bottom w:val="single" w:sz="4" w:space="0" w:color="auto"/>
              <w:right w:val="single" w:sz="4" w:space="0" w:color="auto"/>
            </w:tcBorders>
            <w:shd w:val="clear" w:color="auto" w:fill="auto"/>
            <w:noWrap/>
            <w:vAlign w:val="center"/>
            <w:hideMark/>
          </w:tcPr>
          <w:p w14:paraId="73C2C8B4"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1.736.366.000 </w:t>
            </w:r>
          </w:p>
        </w:tc>
      </w:tr>
      <w:tr w:rsidR="009838E7" w:rsidRPr="009838E7" w14:paraId="200EB4B6"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4CE647A0"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181</w:t>
            </w:r>
          </w:p>
        </w:tc>
        <w:tc>
          <w:tcPr>
            <w:tcW w:w="505" w:type="dxa"/>
            <w:tcBorders>
              <w:top w:val="nil"/>
              <w:left w:val="nil"/>
              <w:bottom w:val="single" w:sz="4" w:space="0" w:color="auto"/>
              <w:right w:val="single" w:sz="4" w:space="0" w:color="auto"/>
            </w:tcBorders>
            <w:shd w:val="clear" w:color="auto" w:fill="auto"/>
            <w:noWrap/>
            <w:vAlign w:val="center"/>
            <w:hideMark/>
          </w:tcPr>
          <w:p w14:paraId="3956AF13"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25975</w:t>
            </w:r>
          </w:p>
        </w:tc>
        <w:tc>
          <w:tcPr>
            <w:tcW w:w="797" w:type="dxa"/>
            <w:tcBorders>
              <w:top w:val="nil"/>
              <w:left w:val="nil"/>
              <w:bottom w:val="single" w:sz="4" w:space="0" w:color="auto"/>
              <w:right w:val="single" w:sz="4" w:space="0" w:color="auto"/>
            </w:tcBorders>
            <w:shd w:val="clear" w:color="auto" w:fill="auto"/>
            <w:noWrap/>
            <w:vAlign w:val="center"/>
            <w:hideMark/>
          </w:tcPr>
          <w:p w14:paraId="4D873F99"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900466775</w:t>
            </w:r>
          </w:p>
        </w:tc>
        <w:tc>
          <w:tcPr>
            <w:tcW w:w="4844" w:type="dxa"/>
            <w:tcBorders>
              <w:top w:val="nil"/>
              <w:left w:val="nil"/>
              <w:bottom w:val="single" w:sz="4" w:space="0" w:color="auto"/>
              <w:right w:val="single" w:sz="4" w:space="0" w:color="auto"/>
            </w:tcBorders>
            <w:shd w:val="clear" w:color="auto" w:fill="auto"/>
            <w:vAlign w:val="center"/>
            <w:hideMark/>
          </w:tcPr>
          <w:p w14:paraId="589FA64C" w14:textId="0B42DB0C"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HIDROELECTRICA DEL ALTO PORCE S.A.S</w:t>
            </w:r>
            <w:r w:rsidR="006F2D43">
              <w:rPr>
                <w:rFonts w:ascii="Arial Narrow" w:hAnsi="Arial Narrow" w:cs="Calibri"/>
                <w:color w:val="000000"/>
                <w:spacing w:val="0"/>
                <w:sz w:val="16"/>
                <w:szCs w:val="16"/>
                <w:lang w:eastAsia="es-CO"/>
              </w:rPr>
              <w:t>.</w:t>
            </w:r>
            <w:r w:rsidRPr="009838E7">
              <w:rPr>
                <w:rFonts w:ascii="Arial Narrow" w:hAnsi="Arial Narrow" w:cs="Calibri"/>
                <w:color w:val="000000"/>
                <w:spacing w:val="0"/>
                <w:sz w:val="16"/>
                <w:szCs w:val="16"/>
                <w:lang w:eastAsia="es-CO"/>
              </w:rPr>
              <w:t xml:space="preserve"> E.S.P</w:t>
            </w:r>
            <w:r w:rsidR="006F2D43">
              <w:rPr>
                <w:rFonts w:ascii="Arial Narrow" w:hAnsi="Arial Narrow" w:cs="Calibri"/>
                <w:color w:val="000000"/>
                <w:spacing w:val="0"/>
                <w:sz w:val="16"/>
                <w:szCs w:val="16"/>
                <w:lang w:eastAsia="es-CO"/>
              </w:rPr>
              <w:t>.</w:t>
            </w:r>
          </w:p>
        </w:tc>
        <w:tc>
          <w:tcPr>
            <w:tcW w:w="1600" w:type="dxa"/>
            <w:tcBorders>
              <w:top w:val="nil"/>
              <w:left w:val="nil"/>
              <w:bottom w:val="single" w:sz="4" w:space="0" w:color="auto"/>
              <w:right w:val="single" w:sz="4" w:space="0" w:color="auto"/>
            </w:tcBorders>
            <w:shd w:val="clear" w:color="auto" w:fill="auto"/>
            <w:noWrap/>
            <w:vAlign w:val="center"/>
            <w:hideMark/>
          </w:tcPr>
          <w:p w14:paraId="7FBBAA04"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207.664.430 </w:t>
            </w:r>
          </w:p>
        </w:tc>
        <w:tc>
          <w:tcPr>
            <w:tcW w:w="1660" w:type="dxa"/>
            <w:tcBorders>
              <w:top w:val="nil"/>
              <w:left w:val="nil"/>
              <w:bottom w:val="single" w:sz="4" w:space="0" w:color="auto"/>
              <w:right w:val="single" w:sz="4" w:space="0" w:color="auto"/>
            </w:tcBorders>
            <w:shd w:val="clear" w:color="auto" w:fill="auto"/>
            <w:noWrap/>
            <w:vAlign w:val="center"/>
            <w:hideMark/>
          </w:tcPr>
          <w:p w14:paraId="5D7657AF"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307.932.000 </w:t>
            </w:r>
          </w:p>
        </w:tc>
      </w:tr>
      <w:tr w:rsidR="009838E7" w:rsidRPr="009838E7" w14:paraId="59BCC729"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6F375F50"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182</w:t>
            </w:r>
          </w:p>
        </w:tc>
        <w:tc>
          <w:tcPr>
            <w:tcW w:w="505" w:type="dxa"/>
            <w:tcBorders>
              <w:top w:val="nil"/>
              <w:left w:val="nil"/>
              <w:bottom w:val="single" w:sz="4" w:space="0" w:color="auto"/>
              <w:right w:val="single" w:sz="4" w:space="0" w:color="auto"/>
            </w:tcBorders>
            <w:shd w:val="clear" w:color="auto" w:fill="auto"/>
            <w:noWrap/>
            <w:vAlign w:val="center"/>
            <w:hideMark/>
          </w:tcPr>
          <w:p w14:paraId="3A507EEB"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39390</w:t>
            </w:r>
          </w:p>
        </w:tc>
        <w:tc>
          <w:tcPr>
            <w:tcW w:w="797" w:type="dxa"/>
            <w:tcBorders>
              <w:top w:val="nil"/>
              <w:left w:val="nil"/>
              <w:bottom w:val="single" w:sz="4" w:space="0" w:color="auto"/>
              <w:right w:val="single" w:sz="4" w:space="0" w:color="auto"/>
            </w:tcBorders>
            <w:shd w:val="clear" w:color="auto" w:fill="auto"/>
            <w:noWrap/>
            <w:vAlign w:val="center"/>
            <w:hideMark/>
          </w:tcPr>
          <w:p w14:paraId="3D21C4C7"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900466858</w:t>
            </w:r>
          </w:p>
        </w:tc>
        <w:tc>
          <w:tcPr>
            <w:tcW w:w="4844" w:type="dxa"/>
            <w:tcBorders>
              <w:top w:val="nil"/>
              <w:left w:val="nil"/>
              <w:bottom w:val="single" w:sz="4" w:space="0" w:color="auto"/>
              <w:right w:val="single" w:sz="4" w:space="0" w:color="auto"/>
            </w:tcBorders>
            <w:shd w:val="clear" w:color="auto" w:fill="auto"/>
            <w:vAlign w:val="center"/>
            <w:hideMark/>
          </w:tcPr>
          <w:p w14:paraId="5386E41A"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SURENERGY SAS ESP</w:t>
            </w:r>
          </w:p>
        </w:tc>
        <w:tc>
          <w:tcPr>
            <w:tcW w:w="1600" w:type="dxa"/>
            <w:tcBorders>
              <w:top w:val="nil"/>
              <w:left w:val="nil"/>
              <w:bottom w:val="single" w:sz="4" w:space="0" w:color="auto"/>
              <w:right w:val="single" w:sz="4" w:space="0" w:color="auto"/>
            </w:tcBorders>
            <w:shd w:val="clear" w:color="auto" w:fill="auto"/>
            <w:noWrap/>
            <w:vAlign w:val="center"/>
            <w:hideMark/>
          </w:tcPr>
          <w:p w14:paraId="78E9A32A"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1.989.652.544 </w:t>
            </w:r>
          </w:p>
        </w:tc>
        <w:tc>
          <w:tcPr>
            <w:tcW w:w="1660" w:type="dxa"/>
            <w:tcBorders>
              <w:top w:val="nil"/>
              <w:left w:val="nil"/>
              <w:bottom w:val="single" w:sz="4" w:space="0" w:color="auto"/>
              <w:right w:val="single" w:sz="4" w:space="0" w:color="auto"/>
            </w:tcBorders>
            <w:shd w:val="clear" w:color="auto" w:fill="auto"/>
            <w:noWrap/>
            <w:vAlign w:val="center"/>
            <w:hideMark/>
          </w:tcPr>
          <w:p w14:paraId="36258DC6"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1.735.262.084 </w:t>
            </w:r>
          </w:p>
        </w:tc>
      </w:tr>
      <w:tr w:rsidR="009838E7" w:rsidRPr="009838E7" w14:paraId="29EF8FB7"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3A314EC1"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183</w:t>
            </w:r>
          </w:p>
        </w:tc>
        <w:tc>
          <w:tcPr>
            <w:tcW w:w="505" w:type="dxa"/>
            <w:tcBorders>
              <w:top w:val="nil"/>
              <w:left w:val="nil"/>
              <w:bottom w:val="single" w:sz="4" w:space="0" w:color="auto"/>
              <w:right w:val="single" w:sz="4" w:space="0" w:color="auto"/>
            </w:tcBorders>
            <w:shd w:val="clear" w:color="auto" w:fill="auto"/>
            <w:noWrap/>
            <w:vAlign w:val="center"/>
            <w:hideMark/>
          </w:tcPr>
          <w:p w14:paraId="10A71A4F"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25982</w:t>
            </w:r>
          </w:p>
        </w:tc>
        <w:tc>
          <w:tcPr>
            <w:tcW w:w="797" w:type="dxa"/>
            <w:tcBorders>
              <w:top w:val="nil"/>
              <w:left w:val="nil"/>
              <w:bottom w:val="single" w:sz="4" w:space="0" w:color="auto"/>
              <w:right w:val="single" w:sz="4" w:space="0" w:color="auto"/>
            </w:tcBorders>
            <w:shd w:val="clear" w:color="auto" w:fill="auto"/>
            <w:noWrap/>
            <w:vAlign w:val="center"/>
            <w:hideMark/>
          </w:tcPr>
          <w:p w14:paraId="75A8F428"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900475298</w:t>
            </w:r>
          </w:p>
        </w:tc>
        <w:tc>
          <w:tcPr>
            <w:tcW w:w="4844" w:type="dxa"/>
            <w:tcBorders>
              <w:top w:val="nil"/>
              <w:left w:val="nil"/>
              <w:bottom w:val="single" w:sz="4" w:space="0" w:color="auto"/>
              <w:right w:val="single" w:sz="4" w:space="0" w:color="auto"/>
            </w:tcBorders>
            <w:shd w:val="clear" w:color="auto" w:fill="auto"/>
            <w:vAlign w:val="center"/>
            <w:hideMark/>
          </w:tcPr>
          <w:p w14:paraId="6DAB89DB"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BIOGAS COLOMBIA GENERSA S.A.S E.S.P.</w:t>
            </w:r>
          </w:p>
        </w:tc>
        <w:tc>
          <w:tcPr>
            <w:tcW w:w="1600" w:type="dxa"/>
            <w:tcBorders>
              <w:top w:val="nil"/>
              <w:left w:val="nil"/>
              <w:bottom w:val="single" w:sz="4" w:space="0" w:color="auto"/>
              <w:right w:val="single" w:sz="4" w:space="0" w:color="auto"/>
            </w:tcBorders>
            <w:shd w:val="clear" w:color="auto" w:fill="auto"/>
            <w:noWrap/>
            <w:vAlign w:val="center"/>
            <w:hideMark/>
          </w:tcPr>
          <w:p w14:paraId="68D482FA"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2.188.884.860 </w:t>
            </w:r>
          </w:p>
        </w:tc>
        <w:tc>
          <w:tcPr>
            <w:tcW w:w="1660" w:type="dxa"/>
            <w:tcBorders>
              <w:top w:val="nil"/>
              <w:left w:val="nil"/>
              <w:bottom w:val="single" w:sz="4" w:space="0" w:color="auto"/>
              <w:right w:val="single" w:sz="4" w:space="0" w:color="auto"/>
            </w:tcBorders>
            <w:shd w:val="clear" w:color="auto" w:fill="auto"/>
            <w:noWrap/>
            <w:vAlign w:val="center"/>
            <w:hideMark/>
          </w:tcPr>
          <w:p w14:paraId="3BB1AABB"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2.776.676.473 </w:t>
            </w:r>
          </w:p>
        </w:tc>
      </w:tr>
      <w:tr w:rsidR="009838E7" w:rsidRPr="009838E7" w14:paraId="300F1262"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666939C4"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184</w:t>
            </w:r>
          </w:p>
        </w:tc>
        <w:tc>
          <w:tcPr>
            <w:tcW w:w="505" w:type="dxa"/>
            <w:tcBorders>
              <w:top w:val="nil"/>
              <w:left w:val="nil"/>
              <w:bottom w:val="single" w:sz="4" w:space="0" w:color="auto"/>
              <w:right w:val="single" w:sz="4" w:space="0" w:color="auto"/>
            </w:tcBorders>
            <w:shd w:val="clear" w:color="auto" w:fill="auto"/>
            <w:noWrap/>
            <w:vAlign w:val="center"/>
            <w:hideMark/>
          </w:tcPr>
          <w:p w14:paraId="6DDA0FAF"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32593</w:t>
            </w:r>
          </w:p>
        </w:tc>
        <w:tc>
          <w:tcPr>
            <w:tcW w:w="797" w:type="dxa"/>
            <w:tcBorders>
              <w:top w:val="nil"/>
              <w:left w:val="nil"/>
              <w:bottom w:val="single" w:sz="4" w:space="0" w:color="auto"/>
              <w:right w:val="single" w:sz="4" w:space="0" w:color="auto"/>
            </w:tcBorders>
            <w:shd w:val="clear" w:color="auto" w:fill="auto"/>
            <w:noWrap/>
            <w:vAlign w:val="center"/>
            <w:hideMark/>
          </w:tcPr>
          <w:p w14:paraId="61989399"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900493235</w:t>
            </w:r>
          </w:p>
        </w:tc>
        <w:tc>
          <w:tcPr>
            <w:tcW w:w="4844" w:type="dxa"/>
            <w:tcBorders>
              <w:top w:val="nil"/>
              <w:left w:val="nil"/>
              <w:bottom w:val="single" w:sz="4" w:space="0" w:color="auto"/>
              <w:right w:val="single" w:sz="4" w:space="0" w:color="auto"/>
            </w:tcBorders>
            <w:shd w:val="clear" w:color="auto" w:fill="auto"/>
            <w:vAlign w:val="center"/>
            <w:hideMark/>
          </w:tcPr>
          <w:p w14:paraId="35634B7F"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GENERADORA ALEJANDRIA S.A.S. - E.S.P.</w:t>
            </w:r>
          </w:p>
        </w:tc>
        <w:tc>
          <w:tcPr>
            <w:tcW w:w="1600" w:type="dxa"/>
            <w:tcBorders>
              <w:top w:val="nil"/>
              <w:left w:val="nil"/>
              <w:bottom w:val="single" w:sz="4" w:space="0" w:color="auto"/>
              <w:right w:val="single" w:sz="4" w:space="0" w:color="auto"/>
            </w:tcBorders>
            <w:shd w:val="clear" w:color="auto" w:fill="auto"/>
            <w:noWrap/>
            <w:vAlign w:val="center"/>
            <w:hideMark/>
          </w:tcPr>
          <w:p w14:paraId="3D5404BA"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1.317.921.000 </w:t>
            </w:r>
          </w:p>
        </w:tc>
        <w:tc>
          <w:tcPr>
            <w:tcW w:w="1660" w:type="dxa"/>
            <w:tcBorders>
              <w:top w:val="nil"/>
              <w:left w:val="nil"/>
              <w:bottom w:val="single" w:sz="4" w:space="0" w:color="auto"/>
              <w:right w:val="single" w:sz="4" w:space="0" w:color="auto"/>
            </w:tcBorders>
            <w:shd w:val="clear" w:color="auto" w:fill="auto"/>
            <w:noWrap/>
            <w:vAlign w:val="center"/>
            <w:hideMark/>
          </w:tcPr>
          <w:p w14:paraId="5B46393F"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2.046.052.000 </w:t>
            </w:r>
          </w:p>
        </w:tc>
      </w:tr>
      <w:tr w:rsidR="009838E7" w:rsidRPr="009838E7" w14:paraId="1554BF85"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4D41140A"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185</w:t>
            </w:r>
          </w:p>
        </w:tc>
        <w:tc>
          <w:tcPr>
            <w:tcW w:w="505" w:type="dxa"/>
            <w:tcBorders>
              <w:top w:val="nil"/>
              <w:left w:val="nil"/>
              <w:bottom w:val="single" w:sz="4" w:space="0" w:color="auto"/>
              <w:right w:val="single" w:sz="4" w:space="0" w:color="auto"/>
            </w:tcBorders>
            <w:shd w:val="clear" w:color="auto" w:fill="auto"/>
            <w:noWrap/>
            <w:vAlign w:val="center"/>
            <w:hideMark/>
          </w:tcPr>
          <w:p w14:paraId="54AAA6B0"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28391</w:t>
            </w:r>
          </w:p>
        </w:tc>
        <w:tc>
          <w:tcPr>
            <w:tcW w:w="797" w:type="dxa"/>
            <w:tcBorders>
              <w:top w:val="nil"/>
              <w:left w:val="nil"/>
              <w:bottom w:val="single" w:sz="4" w:space="0" w:color="auto"/>
              <w:right w:val="single" w:sz="4" w:space="0" w:color="auto"/>
            </w:tcBorders>
            <w:shd w:val="clear" w:color="auto" w:fill="auto"/>
            <w:noWrap/>
            <w:vAlign w:val="center"/>
            <w:hideMark/>
          </w:tcPr>
          <w:p w14:paraId="31C98CB9"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900495129</w:t>
            </w:r>
          </w:p>
        </w:tc>
        <w:tc>
          <w:tcPr>
            <w:tcW w:w="4844" w:type="dxa"/>
            <w:tcBorders>
              <w:top w:val="nil"/>
              <w:left w:val="nil"/>
              <w:bottom w:val="single" w:sz="4" w:space="0" w:color="auto"/>
              <w:right w:val="single" w:sz="4" w:space="0" w:color="auto"/>
            </w:tcBorders>
            <w:shd w:val="clear" w:color="auto" w:fill="auto"/>
            <w:vAlign w:val="center"/>
            <w:hideMark/>
          </w:tcPr>
          <w:p w14:paraId="1C28666F"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PETROLEOS SUD AMERICANOS SUCURSAL COLOMBIA</w:t>
            </w:r>
          </w:p>
        </w:tc>
        <w:tc>
          <w:tcPr>
            <w:tcW w:w="1600" w:type="dxa"/>
            <w:tcBorders>
              <w:top w:val="nil"/>
              <w:left w:val="nil"/>
              <w:bottom w:val="single" w:sz="4" w:space="0" w:color="auto"/>
              <w:right w:val="single" w:sz="4" w:space="0" w:color="auto"/>
            </w:tcBorders>
            <w:shd w:val="clear" w:color="auto" w:fill="auto"/>
            <w:noWrap/>
            <w:vAlign w:val="center"/>
            <w:hideMark/>
          </w:tcPr>
          <w:p w14:paraId="54EE5FE7"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4.559.393.000 </w:t>
            </w:r>
          </w:p>
        </w:tc>
        <w:tc>
          <w:tcPr>
            <w:tcW w:w="1660" w:type="dxa"/>
            <w:tcBorders>
              <w:top w:val="nil"/>
              <w:left w:val="nil"/>
              <w:bottom w:val="single" w:sz="4" w:space="0" w:color="auto"/>
              <w:right w:val="single" w:sz="4" w:space="0" w:color="auto"/>
            </w:tcBorders>
            <w:shd w:val="clear" w:color="auto" w:fill="auto"/>
            <w:noWrap/>
            <w:vAlign w:val="center"/>
            <w:hideMark/>
          </w:tcPr>
          <w:p w14:paraId="57E207DE"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2.545.049.000 </w:t>
            </w:r>
          </w:p>
        </w:tc>
      </w:tr>
      <w:tr w:rsidR="009838E7" w:rsidRPr="009838E7" w14:paraId="3851166C"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6F440C0F"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186</w:t>
            </w:r>
          </w:p>
        </w:tc>
        <w:tc>
          <w:tcPr>
            <w:tcW w:w="505" w:type="dxa"/>
            <w:tcBorders>
              <w:top w:val="nil"/>
              <w:left w:val="nil"/>
              <w:bottom w:val="single" w:sz="4" w:space="0" w:color="auto"/>
              <w:right w:val="single" w:sz="4" w:space="0" w:color="auto"/>
            </w:tcBorders>
            <w:shd w:val="clear" w:color="auto" w:fill="auto"/>
            <w:noWrap/>
            <w:vAlign w:val="center"/>
            <w:hideMark/>
          </w:tcPr>
          <w:p w14:paraId="208F84E0"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26653</w:t>
            </w:r>
          </w:p>
        </w:tc>
        <w:tc>
          <w:tcPr>
            <w:tcW w:w="797" w:type="dxa"/>
            <w:tcBorders>
              <w:top w:val="nil"/>
              <w:left w:val="nil"/>
              <w:bottom w:val="single" w:sz="4" w:space="0" w:color="auto"/>
              <w:right w:val="single" w:sz="4" w:space="0" w:color="auto"/>
            </w:tcBorders>
            <w:shd w:val="clear" w:color="auto" w:fill="auto"/>
            <w:noWrap/>
            <w:vAlign w:val="center"/>
            <w:hideMark/>
          </w:tcPr>
          <w:p w14:paraId="3CE94EBB"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900499252</w:t>
            </w:r>
          </w:p>
        </w:tc>
        <w:tc>
          <w:tcPr>
            <w:tcW w:w="4844" w:type="dxa"/>
            <w:tcBorders>
              <w:top w:val="nil"/>
              <w:left w:val="nil"/>
              <w:bottom w:val="single" w:sz="4" w:space="0" w:color="auto"/>
              <w:right w:val="single" w:sz="4" w:space="0" w:color="auto"/>
            </w:tcBorders>
            <w:shd w:val="clear" w:color="auto" w:fill="auto"/>
            <w:vAlign w:val="center"/>
            <w:hideMark/>
          </w:tcPr>
          <w:p w14:paraId="5D7E2F1A"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ECOMMERCIAL SAS ESP</w:t>
            </w:r>
          </w:p>
        </w:tc>
        <w:tc>
          <w:tcPr>
            <w:tcW w:w="1600" w:type="dxa"/>
            <w:tcBorders>
              <w:top w:val="nil"/>
              <w:left w:val="nil"/>
              <w:bottom w:val="single" w:sz="4" w:space="0" w:color="auto"/>
              <w:right w:val="single" w:sz="4" w:space="0" w:color="auto"/>
            </w:tcBorders>
            <w:shd w:val="clear" w:color="auto" w:fill="auto"/>
            <w:noWrap/>
            <w:vAlign w:val="center"/>
            <w:hideMark/>
          </w:tcPr>
          <w:p w14:paraId="4CE1EA1C"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1.760.442.000 </w:t>
            </w:r>
          </w:p>
        </w:tc>
        <w:tc>
          <w:tcPr>
            <w:tcW w:w="1660" w:type="dxa"/>
            <w:tcBorders>
              <w:top w:val="nil"/>
              <w:left w:val="nil"/>
              <w:bottom w:val="single" w:sz="4" w:space="0" w:color="auto"/>
              <w:right w:val="single" w:sz="4" w:space="0" w:color="auto"/>
            </w:tcBorders>
            <w:shd w:val="clear" w:color="auto" w:fill="auto"/>
            <w:noWrap/>
            <w:vAlign w:val="center"/>
            <w:hideMark/>
          </w:tcPr>
          <w:p w14:paraId="11DF2312"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5.289.242.000 </w:t>
            </w:r>
          </w:p>
        </w:tc>
      </w:tr>
      <w:tr w:rsidR="009838E7" w:rsidRPr="009838E7" w14:paraId="592E1951"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19D5FF82"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187</w:t>
            </w:r>
          </w:p>
        </w:tc>
        <w:tc>
          <w:tcPr>
            <w:tcW w:w="505" w:type="dxa"/>
            <w:tcBorders>
              <w:top w:val="nil"/>
              <w:left w:val="nil"/>
              <w:bottom w:val="single" w:sz="4" w:space="0" w:color="auto"/>
              <w:right w:val="single" w:sz="4" w:space="0" w:color="auto"/>
            </w:tcBorders>
            <w:shd w:val="clear" w:color="auto" w:fill="auto"/>
            <w:noWrap/>
            <w:vAlign w:val="center"/>
            <w:hideMark/>
          </w:tcPr>
          <w:p w14:paraId="41B7E2A3"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28071</w:t>
            </w:r>
          </w:p>
        </w:tc>
        <w:tc>
          <w:tcPr>
            <w:tcW w:w="797" w:type="dxa"/>
            <w:tcBorders>
              <w:top w:val="nil"/>
              <w:left w:val="nil"/>
              <w:bottom w:val="single" w:sz="4" w:space="0" w:color="auto"/>
              <w:right w:val="single" w:sz="4" w:space="0" w:color="auto"/>
            </w:tcBorders>
            <w:shd w:val="clear" w:color="auto" w:fill="auto"/>
            <w:noWrap/>
            <w:vAlign w:val="center"/>
            <w:hideMark/>
          </w:tcPr>
          <w:p w14:paraId="467E5AD6"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900516015</w:t>
            </w:r>
          </w:p>
        </w:tc>
        <w:tc>
          <w:tcPr>
            <w:tcW w:w="4844" w:type="dxa"/>
            <w:tcBorders>
              <w:top w:val="nil"/>
              <w:left w:val="nil"/>
              <w:bottom w:val="single" w:sz="4" w:space="0" w:color="auto"/>
              <w:right w:val="single" w:sz="4" w:space="0" w:color="auto"/>
            </w:tcBorders>
            <w:shd w:val="clear" w:color="auto" w:fill="auto"/>
            <w:vAlign w:val="center"/>
            <w:hideMark/>
          </w:tcPr>
          <w:p w14:paraId="786F927D"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IAC ENERGY SAS ESP</w:t>
            </w:r>
          </w:p>
        </w:tc>
        <w:tc>
          <w:tcPr>
            <w:tcW w:w="1600" w:type="dxa"/>
            <w:tcBorders>
              <w:top w:val="nil"/>
              <w:left w:val="nil"/>
              <w:bottom w:val="single" w:sz="4" w:space="0" w:color="auto"/>
              <w:right w:val="single" w:sz="4" w:space="0" w:color="auto"/>
            </w:tcBorders>
            <w:shd w:val="clear" w:color="auto" w:fill="auto"/>
            <w:noWrap/>
            <w:vAlign w:val="center"/>
            <w:hideMark/>
          </w:tcPr>
          <w:p w14:paraId="6B53C1F0"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169.238.872 </w:t>
            </w:r>
          </w:p>
        </w:tc>
        <w:tc>
          <w:tcPr>
            <w:tcW w:w="1660" w:type="dxa"/>
            <w:tcBorders>
              <w:top w:val="nil"/>
              <w:left w:val="nil"/>
              <w:bottom w:val="single" w:sz="4" w:space="0" w:color="auto"/>
              <w:right w:val="single" w:sz="4" w:space="0" w:color="auto"/>
            </w:tcBorders>
            <w:shd w:val="clear" w:color="auto" w:fill="auto"/>
            <w:noWrap/>
            <w:vAlign w:val="center"/>
            <w:hideMark/>
          </w:tcPr>
          <w:p w14:paraId="07441033"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219.174.567 </w:t>
            </w:r>
          </w:p>
        </w:tc>
      </w:tr>
      <w:tr w:rsidR="009838E7" w:rsidRPr="009838E7" w14:paraId="1A915F90"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588E1962"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188</w:t>
            </w:r>
          </w:p>
        </w:tc>
        <w:tc>
          <w:tcPr>
            <w:tcW w:w="505" w:type="dxa"/>
            <w:tcBorders>
              <w:top w:val="nil"/>
              <w:left w:val="nil"/>
              <w:bottom w:val="single" w:sz="4" w:space="0" w:color="auto"/>
              <w:right w:val="single" w:sz="4" w:space="0" w:color="auto"/>
            </w:tcBorders>
            <w:shd w:val="clear" w:color="auto" w:fill="auto"/>
            <w:noWrap/>
            <w:vAlign w:val="center"/>
            <w:hideMark/>
          </w:tcPr>
          <w:p w14:paraId="5E70A016"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26108</w:t>
            </w:r>
          </w:p>
        </w:tc>
        <w:tc>
          <w:tcPr>
            <w:tcW w:w="797" w:type="dxa"/>
            <w:tcBorders>
              <w:top w:val="nil"/>
              <w:left w:val="nil"/>
              <w:bottom w:val="single" w:sz="4" w:space="0" w:color="auto"/>
              <w:right w:val="single" w:sz="4" w:space="0" w:color="auto"/>
            </w:tcBorders>
            <w:shd w:val="clear" w:color="auto" w:fill="auto"/>
            <w:noWrap/>
            <w:vAlign w:val="center"/>
            <w:hideMark/>
          </w:tcPr>
          <w:p w14:paraId="21BA63E1"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900519716</w:t>
            </w:r>
          </w:p>
        </w:tc>
        <w:tc>
          <w:tcPr>
            <w:tcW w:w="4844" w:type="dxa"/>
            <w:tcBorders>
              <w:top w:val="nil"/>
              <w:left w:val="nil"/>
              <w:bottom w:val="single" w:sz="4" w:space="0" w:color="auto"/>
              <w:right w:val="single" w:sz="4" w:space="0" w:color="auto"/>
            </w:tcBorders>
            <w:shd w:val="clear" w:color="auto" w:fill="auto"/>
            <w:vAlign w:val="center"/>
            <w:hideMark/>
          </w:tcPr>
          <w:p w14:paraId="06967A32"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TERMOTASAJERO DOS S.A. E.S.P.</w:t>
            </w:r>
          </w:p>
        </w:tc>
        <w:tc>
          <w:tcPr>
            <w:tcW w:w="1600" w:type="dxa"/>
            <w:tcBorders>
              <w:top w:val="nil"/>
              <w:left w:val="nil"/>
              <w:bottom w:val="single" w:sz="4" w:space="0" w:color="auto"/>
              <w:right w:val="single" w:sz="4" w:space="0" w:color="auto"/>
            </w:tcBorders>
            <w:shd w:val="clear" w:color="auto" w:fill="auto"/>
            <w:noWrap/>
            <w:vAlign w:val="center"/>
            <w:hideMark/>
          </w:tcPr>
          <w:p w14:paraId="55DA8044"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1.989.035.994 </w:t>
            </w:r>
          </w:p>
        </w:tc>
        <w:tc>
          <w:tcPr>
            <w:tcW w:w="1660" w:type="dxa"/>
            <w:tcBorders>
              <w:top w:val="nil"/>
              <w:left w:val="nil"/>
              <w:bottom w:val="single" w:sz="4" w:space="0" w:color="auto"/>
              <w:right w:val="single" w:sz="4" w:space="0" w:color="auto"/>
            </w:tcBorders>
            <w:shd w:val="clear" w:color="auto" w:fill="auto"/>
            <w:noWrap/>
            <w:vAlign w:val="center"/>
            <w:hideMark/>
          </w:tcPr>
          <w:p w14:paraId="3A77A212"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2.949.545.285 </w:t>
            </w:r>
          </w:p>
        </w:tc>
      </w:tr>
      <w:tr w:rsidR="009838E7" w:rsidRPr="009838E7" w14:paraId="71630A5C"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560BD4AE"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189</w:t>
            </w:r>
          </w:p>
        </w:tc>
        <w:tc>
          <w:tcPr>
            <w:tcW w:w="505" w:type="dxa"/>
            <w:tcBorders>
              <w:top w:val="nil"/>
              <w:left w:val="nil"/>
              <w:bottom w:val="single" w:sz="4" w:space="0" w:color="auto"/>
              <w:right w:val="single" w:sz="4" w:space="0" w:color="auto"/>
            </w:tcBorders>
            <w:shd w:val="clear" w:color="auto" w:fill="auto"/>
            <w:noWrap/>
            <w:vAlign w:val="center"/>
            <w:hideMark/>
          </w:tcPr>
          <w:p w14:paraId="1EEAE7FC"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26096</w:t>
            </w:r>
          </w:p>
        </w:tc>
        <w:tc>
          <w:tcPr>
            <w:tcW w:w="797" w:type="dxa"/>
            <w:tcBorders>
              <w:top w:val="nil"/>
              <w:left w:val="nil"/>
              <w:bottom w:val="single" w:sz="4" w:space="0" w:color="auto"/>
              <w:right w:val="single" w:sz="4" w:space="0" w:color="auto"/>
            </w:tcBorders>
            <w:shd w:val="clear" w:color="auto" w:fill="auto"/>
            <w:noWrap/>
            <w:vAlign w:val="center"/>
            <w:hideMark/>
          </w:tcPr>
          <w:p w14:paraId="34D2810B"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900522263</w:t>
            </w:r>
          </w:p>
        </w:tc>
        <w:tc>
          <w:tcPr>
            <w:tcW w:w="4844" w:type="dxa"/>
            <w:tcBorders>
              <w:top w:val="nil"/>
              <w:left w:val="nil"/>
              <w:bottom w:val="single" w:sz="4" w:space="0" w:color="auto"/>
              <w:right w:val="single" w:sz="4" w:space="0" w:color="auto"/>
            </w:tcBorders>
            <w:shd w:val="clear" w:color="auto" w:fill="auto"/>
            <w:vAlign w:val="center"/>
            <w:hideMark/>
          </w:tcPr>
          <w:p w14:paraId="0AAD5C50"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YAVEGAS S.A. E.S.P.</w:t>
            </w:r>
          </w:p>
        </w:tc>
        <w:tc>
          <w:tcPr>
            <w:tcW w:w="1600" w:type="dxa"/>
            <w:tcBorders>
              <w:top w:val="nil"/>
              <w:left w:val="nil"/>
              <w:bottom w:val="single" w:sz="4" w:space="0" w:color="auto"/>
              <w:right w:val="single" w:sz="4" w:space="0" w:color="auto"/>
            </w:tcBorders>
            <w:shd w:val="clear" w:color="auto" w:fill="auto"/>
            <w:noWrap/>
            <w:vAlign w:val="center"/>
            <w:hideMark/>
          </w:tcPr>
          <w:p w14:paraId="37BB3052"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818.990.755 </w:t>
            </w:r>
          </w:p>
        </w:tc>
        <w:tc>
          <w:tcPr>
            <w:tcW w:w="1660" w:type="dxa"/>
            <w:tcBorders>
              <w:top w:val="nil"/>
              <w:left w:val="nil"/>
              <w:bottom w:val="single" w:sz="4" w:space="0" w:color="auto"/>
              <w:right w:val="single" w:sz="4" w:space="0" w:color="auto"/>
            </w:tcBorders>
            <w:shd w:val="clear" w:color="auto" w:fill="auto"/>
            <w:noWrap/>
            <w:vAlign w:val="center"/>
            <w:hideMark/>
          </w:tcPr>
          <w:p w14:paraId="233989AA"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1.095.740.073 </w:t>
            </w:r>
          </w:p>
        </w:tc>
      </w:tr>
      <w:tr w:rsidR="009838E7" w:rsidRPr="009838E7" w14:paraId="36B3BCB8"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7F914FD2"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190</w:t>
            </w:r>
          </w:p>
        </w:tc>
        <w:tc>
          <w:tcPr>
            <w:tcW w:w="505" w:type="dxa"/>
            <w:tcBorders>
              <w:top w:val="nil"/>
              <w:left w:val="nil"/>
              <w:bottom w:val="single" w:sz="4" w:space="0" w:color="auto"/>
              <w:right w:val="single" w:sz="4" w:space="0" w:color="auto"/>
            </w:tcBorders>
            <w:shd w:val="clear" w:color="auto" w:fill="auto"/>
            <w:noWrap/>
            <w:vAlign w:val="center"/>
            <w:hideMark/>
          </w:tcPr>
          <w:p w14:paraId="04B03AC8"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26600</w:t>
            </w:r>
          </w:p>
        </w:tc>
        <w:tc>
          <w:tcPr>
            <w:tcW w:w="797" w:type="dxa"/>
            <w:tcBorders>
              <w:top w:val="nil"/>
              <w:left w:val="nil"/>
              <w:bottom w:val="single" w:sz="4" w:space="0" w:color="auto"/>
              <w:right w:val="single" w:sz="4" w:space="0" w:color="auto"/>
            </w:tcBorders>
            <w:shd w:val="clear" w:color="auto" w:fill="auto"/>
            <w:noWrap/>
            <w:vAlign w:val="center"/>
            <w:hideMark/>
          </w:tcPr>
          <w:p w14:paraId="77CBB822"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900531210</w:t>
            </w:r>
          </w:p>
        </w:tc>
        <w:tc>
          <w:tcPr>
            <w:tcW w:w="4844" w:type="dxa"/>
            <w:tcBorders>
              <w:top w:val="nil"/>
              <w:left w:val="nil"/>
              <w:bottom w:val="single" w:sz="4" w:space="0" w:color="auto"/>
              <w:right w:val="single" w:sz="4" w:space="0" w:color="auto"/>
            </w:tcBorders>
            <w:shd w:val="clear" w:color="auto" w:fill="auto"/>
            <w:vAlign w:val="center"/>
            <w:hideMark/>
          </w:tcPr>
          <w:p w14:paraId="5D63FA5E"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CENIT TRANSPORTE Y LOGISTICA DE HIDROCARBUROS S.A.S</w:t>
            </w:r>
          </w:p>
        </w:tc>
        <w:tc>
          <w:tcPr>
            <w:tcW w:w="1600" w:type="dxa"/>
            <w:tcBorders>
              <w:top w:val="nil"/>
              <w:left w:val="nil"/>
              <w:bottom w:val="single" w:sz="4" w:space="0" w:color="auto"/>
              <w:right w:val="single" w:sz="4" w:space="0" w:color="auto"/>
            </w:tcBorders>
            <w:shd w:val="clear" w:color="auto" w:fill="auto"/>
            <w:noWrap/>
            <w:vAlign w:val="center"/>
            <w:hideMark/>
          </w:tcPr>
          <w:p w14:paraId="5F88D877"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2.011.973.000 </w:t>
            </w:r>
          </w:p>
        </w:tc>
        <w:tc>
          <w:tcPr>
            <w:tcW w:w="1660" w:type="dxa"/>
            <w:tcBorders>
              <w:top w:val="nil"/>
              <w:left w:val="nil"/>
              <w:bottom w:val="single" w:sz="4" w:space="0" w:color="auto"/>
              <w:right w:val="single" w:sz="4" w:space="0" w:color="auto"/>
            </w:tcBorders>
            <w:shd w:val="clear" w:color="auto" w:fill="auto"/>
            <w:noWrap/>
            <w:vAlign w:val="center"/>
            <w:hideMark/>
          </w:tcPr>
          <w:p w14:paraId="1FE531C9"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2.557.861.000 </w:t>
            </w:r>
          </w:p>
        </w:tc>
      </w:tr>
      <w:tr w:rsidR="009838E7" w:rsidRPr="009838E7" w14:paraId="3545E3D6"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285BAA60"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lastRenderedPageBreak/>
              <w:t>191</w:t>
            </w:r>
          </w:p>
        </w:tc>
        <w:tc>
          <w:tcPr>
            <w:tcW w:w="505" w:type="dxa"/>
            <w:tcBorders>
              <w:top w:val="nil"/>
              <w:left w:val="nil"/>
              <w:bottom w:val="single" w:sz="4" w:space="0" w:color="auto"/>
              <w:right w:val="single" w:sz="4" w:space="0" w:color="auto"/>
            </w:tcBorders>
            <w:shd w:val="clear" w:color="auto" w:fill="auto"/>
            <w:noWrap/>
            <w:vAlign w:val="center"/>
            <w:hideMark/>
          </w:tcPr>
          <w:p w14:paraId="5FA3DBF2"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26745</w:t>
            </w:r>
          </w:p>
        </w:tc>
        <w:tc>
          <w:tcPr>
            <w:tcW w:w="797" w:type="dxa"/>
            <w:tcBorders>
              <w:top w:val="nil"/>
              <w:left w:val="nil"/>
              <w:bottom w:val="single" w:sz="4" w:space="0" w:color="auto"/>
              <w:right w:val="single" w:sz="4" w:space="0" w:color="auto"/>
            </w:tcBorders>
            <w:shd w:val="clear" w:color="auto" w:fill="auto"/>
            <w:noWrap/>
            <w:vAlign w:val="center"/>
            <w:hideMark/>
          </w:tcPr>
          <w:p w14:paraId="2C39C029"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900542835</w:t>
            </w:r>
          </w:p>
        </w:tc>
        <w:tc>
          <w:tcPr>
            <w:tcW w:w="4844" w:type="dxa"/>
            <w:tcBorders>
              <w:top w:val="nil"/>
              <w:left w:val="nil"/>
              <w:bottom w:val="single" w:sz="4" w:space="0" w:color="auto"/>
              <w:right w:val="single" w:sz="4" w:space="0" w:color="auto"/>
            </w:tcBorders>
            <w:shd w:val="clear" w:color="auto" w:fill="auto"/>
            <w:vAlign w:val="center"/>
            <w:hideMark/>
          </w:tcPr>
          <w:p w14:paraId="3E8DB84A"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G8 PROYECTOS ENERGETICOS SAS ESP</w:t>
            </w:r>
          </w:p>
        </w:tc>
        <w:tc>
          <w:tcPr>
            <w:tcW w:w="1600" w:type="dxa"/>
            <w:tcBorders>
              <w:top w:val="nil"/>
              <w:left w:val="nil"/>
              <w:bottom w:val="single" w:sz="4" w:space="0" w:color="auto"/>
              <w:right w:val="single" w:sz="4" w:space="0" w:color="auto"/>
            </w:tcBorders>
            <w:shd w:val="clear" w:color="auto" w:fill="auto"/>
            <w:noWrap/>
            <w:vAlign w:val="center"/>
            <w:hideMark/>
          </w:tcPr>
          <w:p w14:paraId="5DE3CF17"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342.943.016 </w:t>
            </w:r>
          </w:p>
        </w:tc>
        <w:tc>
          <w:tcPr>
            <w:tcW w:w="1660" w:type="dxa"/>
            <w:tcBorders>
              <w:top w:val="nil"/>
              <w:left w:val="nil"/>
              <w:bottom w:val="single" w:sz="4" w:space="0" w:color="auto"/>
              <w:right w:val="single" w:sz="4" w:space="0" w:color="auto"/>
            </w:tcBorders>
            <w:shd w:val="clear" w:color="auto" w:fill="auto"/>
            <w:noWrap/>
            <w:vAlign w:val="center"/>
            <w:hideMark/>
          </w:tcPr>
          <w:p w14:paraId="078C87E4"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590.244.406 </w:t>
            </w:r>
          </w:p>
        </w:tc>
      </w:tr>
      <w:tr w:rsidR="009838E7" w:rsidRPr="009838E7" w14:paraId="0E3A0FB5"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55425073"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192</w:t>
            </w:r>
          </w:p>
        </w:tc>
        <w:tc>
          <w:tcPr>
            <w:tcW w:w="505" w:type="dxa"/>
            <w:tcBorders>
              <w:top w:val="nil"/>
              <w:left w:val="nil"/>
              <w:bottom w:val="single" w:sz="4" w:space="0" w:color="auto"/>
              <w:right w:val="single" w:sz="4" w:space="0" w:color="auto"/>
            </w:tcBorders>
            <w:shd w:val="clear" w:color="auto" w:fill="auto"/>
            <w:noWrap/>
            <w:vAlign w:val="center"/>
            <w:hideMark/>
          </w:tcPr>
          <w:p w14:paraId="6C151F18"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26178</w:t>
            </w:r>
          </w:p>
        </w:tc>
        <w:tc>
          <w:tcPr>
            <w:tcW w:w="797" w:type="dxa"/>
            <w:tcBorders>
              <w:top w:val="nil"/>
              <w:left w:val="nil"/>
              <w:bottom w:val="single" w:sz="4" w:space="0" w:color="auto"/>
              <w:right w:val="single" w:sz="4" w:space="0" w:color="auto"/>
            </w:tcBorders>
            <w:shd w:val="clear" w:color="auto" w:fill="auto"/>
            <w:noWrap/>
            <w:vAlign w:val="center"/>
            <w:hideMark/>
          </w:tcPr>
          <w:p w14:paraId="0156DB53"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900555031</w:t>
            </w:r>
          </w:p>
        </w:tc>
        <w:tc>
          <w:tcPr>
            <w:tcW w:w="4844" w:type="dxa"/>
            <w:tcBorders>
              <w:top w:val="nil"/>
              <w:left w:val="nil"/>
              <w:bottom w:val="single" w:sz="4" w:space="0" w:color="auto"/>
              <w:right w:val="single" w:sz="4" w:space="0" w:color="auto"/>
            </w:tcBorders>
            <w:shd w:val="clear" w:color="auto" w:fill="auto"/>
            <w:vAlign w:val="center"/>
            <w:hideMark/>
          </w:tcPr>
          <w:p w14:paraId="7C28BF83"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KRONOS ENERGY S.A. E.S.P.</w:t>
            </w:r>
          </w:p>
        </w:tc>
        <w:tc>
          <w:tcPr>
            <w:tcW w:w="1600" w:type="dxa"/>
            <w:tcBorders>
              <w:top w:val="nil"/>
              <w:left w:val="nil"/>
              <w:bottom w:val="single" w:sz="4" w:space="0" w:color="auto"/>
              <w:right w:val="single" w:sz="4" w:space="0" w:color="auto"/>
            </w:tcBorders>
            <w:shd w:val="clear" w:color="auto" w:fill="auto"/>
            <w:noWrap/>
            <w:vAlign w:val="center"/>
            <w:hideMark/>
          </w:tcPr>
          <w:p w14:paraId="424805EB"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2.629.518.000 </w:t>
            </w:r>
          </w:p>
        </w:tc>
        <w:tc>
          <w:tcPr>
            <w:tcW w:w="1660" w:type="dxa"/>
            <w:tcBorders>
              <w:top w:val="nil"/>
              <w:left w:val="nil"/>
              <w:bottom w:val="single" w:sz="4" w:space="0" w:color="auto"/>
              <w:right w:val="single" w:sz="4" w:space="0" w:color="auto"/>
            </w:tcBorders>
            <w:shd w:val="clear" w:color="auto" w:fill="auto"/>
            <w:noWrap/>
            <w:vAlign w:val="center"/>
            <w:hideMark/>
          </w:tcPr>
          <w:p w14:paraId="6017DB04"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3.543.998.285 </w:t>
            </w:r>
          </w:p>
        </w:tc>
      </w:tr>
      <w:tr w:rsidR="009838E7" w:rsidRPr="009838E7" w14:paraId="0FDD6BCC"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647951C4"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193</w:t>
            </w:r>
          </w:p>
        </w:tc>
        <w:tc>
          <w:tcPr>
            <w:tcW w:w="505" w:type="dxa"/>
            <w:tcBorders>
              <w:top w:val="nil"/>
              <w:left w:val="nil"/>
              <w:bottom w:val="single" w:sz="4" w:space="0" w:color="auto"/>
              <w:right w:val="single" w:sz="4" w:space="0" w:color="auto"/>
            </w:tcBorders>
            <w:shd w:val="clear" w:color="auto" w:fill="auto"/>
            <w:noWrap/>
            <w:vAlign w:val="center"/>
            <w:hideMark/>
          </w:tcPr>
          <w:p w14:paraId="1D42C331"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26201</w:t>
            </w:r>
          </w:p>
        </w:tc>
        <w:tc>
          <w:tcPr>
            <w:tcW w:w="797" w:type="dxa"/>
            <w:tcBorders>
              <w:top w:val="nil"/>
              <w:left w:val="nil"/>
              <w:bottom w:val="single" w:sz="4" w:space="0" w:color="auto"/>
              <w:right w:val="single" w:sz="4" w:space="0" w:color="auto"/>
            </w:tcBorders>
            <w:shd w:val="clear" w:color="auto" w:fill="auto"/>
            <w:noWrap/>
            <w:vAlign w:val="center"/>
            <w:hideMark/>
          </w:tcPr>
          <w:p w14:paraId="2546F35D"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900563448</w:t>
            </w:r>
          </w:p>
        </w:tc>
        <w:tc>
          <w:tcPr>
            <w:tcW w:w="4844" w:type="dxa"/>
            <w:tcBorders>
              <w:top w:val="nil"/>
              <w:left w:val="nil"/>
              <w:bottom w:val="single" w:sz="4" w:space="0" w:color="auto"/>
              <w:right w:val="single" w:sz="4" w:space="0" w:color="auto"/>
            </w:tcBorders>
            <w:shd w:val="clear" w:color="auto" w:fill="auto"/>
            <w:vAlign w:val="center"/>
            <w:hideMark/>
          </w:tcPr>
          <w:p w14:paraId="2DF2F1FB"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DISTICON SAS ESP</w:t>
            </w:r>
          </w:p>
        </w:tc>
        <w:tc>
          <w:tcPr>
            <w:tcW w:w="1600" w:type="dxa"/>
            <w:tcBorders>
              <w:top w:val="nil"/>
              <w:left w:val="nil"/>
              <w:bottom w:val="single" w:sz="4" w:space="0" w:color="auto"/>
              <w:right w:val="single" w:sz="4" w:space="0" w:color="auto"/>
            </w:tcBorders>
            <w:shd w:val="clear" w:color="auto" w:fill="auto"/>
            <w:noWrap/>
            <w:vAlign w:val="center"/>
            <w:hideMark/>
          </w:tcPr>
          <w:p w14:paraId="5C39F0B1"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699.428.191 </w:t>
            </w:r>
          </w:p>
        </w:tc>
        <w:tc>
          <w:tcPr>
            <w:tcW w:w="1660" w:type="dxa"/>
            <w:tcBorders>
              <w:top w:val="nil"/>
              <w:left w:val="nil"/>
              <w:bottom w:val="single" w:sz="4" w:space="0" w:color="auto"/>
              <w:right w:val="single" w:sz="4" w:space="0" w:color="auto"/>
            </w:tcBorders>
            <w:shd w:val="clear" w:color="auto" w:fill="auto"/>
            <w:noWrap/>
            <w:vAlign w:val="center"/>
            <w:hideMark/>
          </w:tcPr>
          <w:p w14:paraId="35D38D38"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359.633.277 </w:t>
            </w:r>
          </w:p>
        </w:tc>
      </w:tr>
      <w:tr w:rsidR="009838E7" w:rsidRPr="009838E7" w14:paraId="0C13C8F4" w14:textId="77777777" w:rsidTr="00092F91">
        <w:trPr>
          <w:trHeight w:val="258"/>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3C7D2B67"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194</w:t>
            </w:r>
          </w:p>
        </w:tc>
        <w:tc>
          <w:tcPr>
            <w:tcW w:w="505" w:type="dxa"/>
            <w:tcBorders>
              <w:top w:val="nil"/>
              <w:left w:val="nil"/>
              <w:bottom w:val="single" w:sz="4" w:space="0" w:color="auto"/>
              <w:right w:val="single" w:sz="4" w:space="0" w:color="auto"/>
            </w:tcBorders>
            <w:shd w:val="clear" w:color="auto" w:fill="auto"/>
            <w:noWrap/>
            <w:vAlign w:val="center"/>
            <w:hideMark/>
          </w:tcPr>
          <w:p w14:paraId="28F6F466"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26226</w:t>
            </w:r>
          </w:p>
        </w:tc>
        <w:tc>
          <w:tcPr>
            <w:tcW w:w="797" w:type="dxa"/>
            <w:tcBorders>
              <w:top w:val="nil"/>
              <w:left w:val="nil"/>
              <w:bottom w:val="single" w:sz="4" w:space="0" w:color="auto"/>
              <w:right w:val="single" w:sz="4" w:space="0" w:color="auto"/>
            </w:tcBorders>
            <w:shd w:val="clear" w:color="auto" w:fill="auto"/>
            <w:noWrap/>
            <w:vAlign w:val="center"/>
            <w:hideMark/>
          </w:tcPr>
          <w:p w14:paraId="250AA8B3"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900565871</w:t>
            </w:r>
          </w:p>
        </w:tc>
        <w:tc>
          <w:tcPr>
            <w:tcW w:w="4844" w:type="dxa"/>
            <w:tcBorders>
              <w:top w:val="nil"/>
              <w:left w:val="nil"/>
              <w:bottom w:val="single" w:sz="4" w:space="0" w:color="auto"/>
              <w:right w:val="single" w:sz="4" w:space="0" w:color="auto"/>
            </w:tcBorders>
            <w:shd w:val="clear" w:color="auto" w:fill="auto"/>
            <w:vAlign w:val="center"/>
            <w:hideMark/>
          </w:tcPr>
          <w:p w14:paraId="24F6A4FC" w14:textId="1EDA0B04"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COMPROPANO SOCIEDAD POR ACCIONES SIMPLIFICADA E.S.P</w:t>
            </w:r>
            <w:r w:rsidR="006F2D43">
              <w:rPr>
                <w:rFonts w:ascii="Arial Narrow" w:hAnsi="Arial Narrow" w:cs="Calibri"/>
                <w:color w:val="000000"/>
                <w:spacing w:val="0"/>
                <w:sz w:val="16"/>
                <w:szCs w:val="16"/>
                <w:lang w:eastAsia="es-CO"/>
              </w:rPr>
              <w:t>.</w:t>
            </w:r>
          </w:p>
        </w:tc>
        <w:tc>
          <w:tcPr>
            <w:tcW w:w="1600" w:type="dxa"/>
            <w:tcBorders>
              <w:top w:val="nil"/>
              <w:left w:val="nil"/>
              <w:bottom w:val="single" w:sz="4" w:space="0" w:color="auto"/>
              <w:right w:val="single" w:sz="4" w:space="0" w:color="auto"/>
            </w:tcBorders>
            <w:shd w:val="clear" w:color="auto" w:fill="auto"/>
            <w:noWrap/>
            <w:vAlign w:val="center"/>
            <w:hideMark/>
          </w:tcPr>
          <w:p w14:paraId="252415BD"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168.209.060 </w:t>
            </w:r>
          </w:p>
        </w:tc>
        <w:tc>
          <w:tcPr>
            <w:tcW w:w="1660" w:type="dxa"/>
            <w:tcBorders>
              <w:top w:val="nil"/>
              <w:left w:val="nil"/>
              <w:bottom w:val="single" w:sz="4" w:space="0" w:color="auto"/>
              <w:right w:val="single" w:sz="4" w:space="0" w:color="auto"/>
            </w:tcBorders>
            <w:shd w:val="clear" w:color="auto" w:fill="auto"/>
            <w:noWrap/>
            <w:vAlign w:val="center"/>
            <w:hideMark/>
          </w:tcPr>
          <w:p w14:paraId="7462C45B"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182.722.536 </w:t>
            </w:r>
          </w:p>
        </w:tc>
      </w:tr>
      <w:tr w:rsidR="009838E7" w:rsidRPr="009838E7" w14:paraId="600E2D53"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6E10EFB6"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195</w:t>
            </w:r>
          </w:p>
        </w:tc>
        <w:tc>
          <w:tcPr>
            <w:tcW w:w="505" w:type="dxa"/>
            <w:tcBorders>
              <w:top w:val="nil"/>
              <w:left w:val="nil"/>
              <w:bottom w:val="single" w:sz="4" w:space="0" w:color="auto"/>
              <w:right w:val="single" w:sz="4" w:space="0" w:color="auto"/>
            </w:tcBorders>
            <w:shd w:val="clear" w:color="auto" w:fill="auto"/>
            <w:noWrap/>
            <w:vAlign w:val="center"/>
            <w:hideMark/>
          </w:tcPr>
          <w:p w14:paraId="1AC9065E"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26219</w:t>
            </w:r>
          </w:p>
        </w:tc>
        <w:tc>
          <w:tcPr>
            <w:tcW w:w="797" w:type="dxa"/>
            <w:tcBorders>
              <w:top w:val="nil"/>
              <w:left w:val="nil"/>
              <w:bottom w:val="single" w:sz="4" w:space="0" w:color="auto"/>
              <w:right w:val="single" w:sz="4" w:space="0" w:color="auto"/>
            </w:tcBorders>
            <w:shd w:val="clear" w:color="auto" w:fill="auto"/>
            <w:noWrap/>
            <w:vAlign w:val="center"/>
            <w:hideMark/>
          </w:tcPr>
          <w:p w14:paraId="2D05F155"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900566834</w:t>
            </w:r>
          </w:p>
        </w:tc>
        <w:tc>
          <w:tcPr>
            <w:tcW w:w="4844" w:type="dxa"/>
            <w:tcBorders>
              <w:top w:val="nil"/>
              <w:left w:val="nil"/>
              <w:bottom w:val="single" w:sz="4" w:space="0" w:color="auto"/>
              <w:right w:val="single" w:sz="4" w:space="0" w:color="auto"/>
            </w:tcBorders>
            <w:shd w:val="clear" w:color="auto" w:fill="auto"/>
            <w:vAlign w:val="center"/>
            <w:hideMark/>
          </w:tcPr>
          <w:p w14:paraId="580811A9"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GAS EXPRESS COLOMBIA SAS ESP</w:t>
            </w:r>
          </w:p>
        </w:tc>
        <w:tc>
          <w:tcPr>
            <w:tcW w:w="1600" w:type="dxa"/>
            <w:tcBorders>
              <w:top w:val="nil"/>
              <w:left w:val="nil"/>
              <w:bottom w:val="single" w:sz="4" w:space="0" w:color="auto"/>
              <w:right w:val="single" w:sz="4" w:space="0" w:color="auto"/>
            </w:tcBorders>
            <w:shd w:val="clear" w:color="auto" w:fill="auto"/>
            <w:noWrap/>
            <w:vAlign w:val="center"/>
            <w:hideMark/>
          </w:tcPr>
          <w:p w14:paraId="489A5AAF"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910.412.940 </w:t>
            </w:r>
          </w:p>
        </w:tc>
        <w:tc>
          <w:tcPr>
            <w:tcW w:w="1660" w:type="dxa"/>
            <w:tcBorders>
              <w:top w:val="nil"/>
              <w:left w:val="nil"/>
              <w:bottom w:val="single" w:sz="4" w:space="0" w:color="auto"/>
              <w:right w:val="single" w:sz="4" w:space="0" w:color="auto"/>
            </w:tcBorders>
            <w:shd w:val="clear" w:color="auto" w:fill="auto"/>
            <w:noWrap/>
            <w:vAlign w:val="center"/>
            <w:hideMark/>
          </w:tcPr>
          <w:p w14:paraId="6495C0B1"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239.309.697 </w:t>
            </w:r>
          </w:p>
        </w:tc>
      </w:tr>
      <w:tr w:rsidR="009838E7" w:rsidRPr="009838E7" w14:paraId="07CACEE7"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1AEDBFFE"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196</w:t>
            </w:r>
          </w:p>
        </w:tc>
        <w:tc>
          <w:tcPr>
            <w:tcW w:w="505" w:type="dxa"/>
            <w:tcBorders>
              <w:top w:val="nil"/>
              <w:left w:val="nil"/>
              <w:bottom w:val="single" w:sz="4" w:space="0" w:color="auto"/>
              <w:right w:val="single" w:sz="4" w:space="0" w:color="auto"/>
            </w:tcBorders>
            <w:shd w:val="clear" w:color="auto" w:fill="auto"/>
            <w:noWrap/>
            <w:vAlign w:val="center"/>
            <w:hideMark/>
          </w:tcPr>
          <w:p w14:paraId="2DEB29E6"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26548</w:t>
            </w:r>
          </w:p>
        </w:tc>
        <w:tc>
          <w:tcPr>
            <w:tcW w:w="797" w:type="dxa"/>
            <w:tcBorders>
              <w:top w:val="nil"/>
              <w:left w:val="nil"/>
              <w:bottom w:val="single" w:sz="4" w:space="0" w:color="auto"/>
              <w:right w:val="single" w:sz="4" w:space="0" w:color="auto"/>
            </w:tcBorders>
            <w:shd w:val="clear" w:color="auto" w:fill="auto"/>
            <w:noWrap/>
            <w:vAlign w:val="center"/>
            <w:hideMark/>
          </w:tcPr>
          <w:p w14:paraId="31B31FFE"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900570262</w:t>
            </w:r>
          </w:p>
        </w:tc>
        <w:tc>
          <w:tcPr>
            <w:tcW w:w="4844" w:type="dxa"/>
            <w:tcBorders>
              <w:top w:val="nil"/>
              <w:left w:val="nil"/>
              <w:bottom w:val="single" w:sz="4" w:space="0" w:color="auto"/>
              <w:right w:val="single" w:sz="4" w:space="0" w:color="auto"/>
            </w:tcBorders>
            <w:shd w:val="clear" w:color="auto" w:fill="auto"/>
            <w:vAlign w:val="center"/>
            <w:hideMark/>
          </w:tcPr>
          <w:p w14:paraId="3FDF1908"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GASES ANDINOS DE COLOMBIA S.A.S. E.S.P.</w:t>
            </w:r>
          </w:p>
        </w:tc>
        <w:tc>
          <w:tcPr>
            <w:tcW w:w="1600" w:type="dxa"/>
            <w:tcBorders>
              <w:top w:val="nil"/>
              <w:left w:val="nil"/>
              <w:bottom w:val="single" w:sz="4" w:space="0" w:color="auto"/>
              <w:right w:val="single" w:sz="4" w:space="0" w:color="auto"/>
            </w:tcBorders>
            <w:shd w:val="clear" w:color="auto" w:fill="auto"/>
            <w:noWrap/>
            <w:vAlign w:val="center"/>
            <w:hideMark/>
          </w:tcPr>
          <w:p w14:paraId="6CD025DD"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972.382.186 </w:t>
            </w:r>
          </w:p>
        </w:tc>
        <w:tc>
          <w:tcPr>
            <w:tcW w:w="1660" w:type="dxa"/>
            <w:tcBorders>
              <w:top w:val="nil"/>
              <w:left w:val="nil"/>
              <w:bottom w:val="single" w:sz="4" w:space="0" w:color="auto"/>
              <w:right w:val="single" w:sz="4" w:space="0" w:color="auto"/>
            </w:tcBorders>
            <w:shd w:val="clear" w:color="auto" w:fill="auto"/>
            <w:noWrap/>
            <w:vAlign w:val="center"/>
            <w:hideMark/>
          </w:tcPr>
          <w:p w14:paraId="084986F3"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337.704.922 </w:t>
            </w:r>
          </w:p>
        </w:tc>
      </w:tr>
      <w:tr w:rsidR="009838E7" w:rsidRPr="009838E7" w14:paraId="1ACC3BE7" w14:textId="77777777" w:rsidTr="00092F91">
        <w:trPr>
          <w:trHeight w:val="311"/>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0A70375B"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197</w:t>
            </w:r>
          </w:p>
        </w:tc>
        <w:tc>
          <w:tcPr>
            <w:tcW w:w="505" w:type="dxa"/>
            <w:tcBorders>
              <w:top w:val="nil"/>
              <w:left w:val="nil"/>
              <w:bottom w:val="single" w:sz="4" w:space="0" w:color="auto"/>
              <w:right w:val="single" w:sz="4" w:space="0" w:color="auto"/>
            </w:tcBorders>
            <w:shd w:val="clear" w:color="auto" w:fill="auto"/>
            <w:noWrap/>
            <w:vAlign w:val="center"/>
            <w:hideMark/>
          </w:tcPr>
          <w:p w14:paraId="0E0863D2"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26237</w:t>
            </w:r>
          </w:p>
        </w:tc>
        <w:tc>
          <w:tcPr>
            <w:tcW w:w="797" w:type="dxa"/>
            <w:tcBorders>
              <w:top w:val="nil"/>
              <w:left w:val="nil"/>
              <w:bottom w:val="single" w:sz="4" w:space="0" w:color="auto"/>
              <w:right w:val="single" w:sz="4" w:space="0" w:color="auto"/>
            </w:tcBorders>
            <w:shd w:val="clear" w:color="auto" w:fill="auto"/>
            <w:noWrap/>
            <w:vAlign w:val="center"/>
            <w:hideMark/>
          </w:tcPr>
          <w:p w14:paraId="72EA26E2"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900572958</w:t>
            </w:r>
          </w:p>
        </w:tc>
        <w:tc>
          <w:tcPr>
            <w:tcW w:w="4844" w:type="dxa"/>
            <w:tcBorders>
              <w:top w:val="nil"/>
              <w:left w:val="nil"/>
              <w:bottom w:val="single" w:sz="4" w:space="0" w:color="auto"/>
              <w:right w:val="single" w:sz="4" w:space="0" w:color="auto"/>
            </w:tcBorders>
            <w:shd w:val="clear" w:color="auto" w:fill="auto"/>
            <w:vAlign w:val="center"/>
            <w:hideMark/>
          </w:tcPr>
          <w:p w14:paraId="1BE2A3C4"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COMERCIALIZADORA DE COMBUSTIBLES, ENERGIA Y GAS S.A.S.  E.S.P.</w:t>
            </w:r>
          </w:p>
        </w:tc>
        <w:tc>
          <w:tcPr>
            <w:tcW w:w="1600" w:type="dxa"/>
            <w:tcBorders>
              <w:top w:val="nil"/>
              <w:left w:val="nil"/>
              <w:bottom w:val="single" w:sz="4" w:space="0" w:color="auto"/>
              <w:right w:val="single" w:sz="4" w:space="0" w:color="auto"/>
            </w:tcBorders>
            <w:shd w:val="clear" w:color="auto" w:fill="auto"/>
            <w:noWrap/>
            <w:vAlign w:val="center"/>
            <w:hideMark/>
          </w:tcPr>
          <w:p w14:paraId="60B14CD3"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253.943.849 </w:t>
            </w:r>
          </w:p>
        </w:tc>
        <w:tc>
          <w:tcPr>
            <w:tcW w:w="1660" w:type="dxa"/>
            <w:tcBorders>
              <w:top w:val="nil"/>
              <w:left w:val="nil"/>
              <w:bottom w:val="single" w:sz="4" w:space="0" w:color="auto"/>
              <w:right w:val="single" w:sz="4" w:space="0" w:color="auto"/>
            </w:tcBorders>
            <w:shd w:val="clear" w:color="auto" w:fill="auto"/>
            <w:noWrap/>
            <w:vAlign w:val="center"/>
            <w:hideMark/>
          </w:tcPr>
          <w:p w14:paraId="0CDD2474"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675.486.805 </w:t>
            </w:r>
          </w:p>
        </w:tc>
      </w:tr>
      <w:tr w:rsidR="009838E7" w:rsidRPr="009838E7" w14:paraId="35782A9B"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2822C484"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198</w:t>
            </w:r>
          </w:p>
        </w:tc>
        <w:tc>
          <w:tcPr>
            <w:tcW w:w="505" w:type="dxa"/>
            <w:tcBorders>
              <w:top w:val="nil"/>
              <w:left w:val="nil"/>
              <w:bottom w:val="single" w:sz="4" w:space="0" w:color="auto"/>
              <w:right w:val="single" w:sz="4" w:space="0" w:color="auto"/>
            </w:tcBorders>
            <w:shd w:val="clear" w:color="auto" w:fill="auto"/>
            <w:noWrap/>
            <w:vAlign w:val="center"/>
            <w:hideMark/>
          </w:tcPr>
          <w:p w14:paraId="58D9CD40"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26580</w:t>
            </w:r>
          </w:p>
        </w:tc>
        <w:tc>
          <w:tcPr>
            <w:tcW w:w="797" w:type="dxa"/>
            <w:tcBorders>
              <w:top w:val="nil"/>
              <w:left w:val="nil"/>
              <w:bottom w:val="single" w:sz="4" w:space="0" w:color="auto"/>
              <w:right w:val="single" w:sz="4" w:space="0" w:color="auto"/>
            </w:tcBorders>
            <w:shd w:val="clear" w:color="auto" w:fill="auto"/>
            <w:noWrap/>
            <w:vAlign w:val="center"/>
            <w:hideMark/>
          </w:tcPr>
          <w:p w14:paraId="36A3ED29"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900579800</w:t>
            </w:r>
          </w:p>
        </w:tc>
        <w:tc>
          <w:tcPr>
            <w:tcW w:w="4844" w:type="dxa"/>
            <w:tcBorders>
              <w:top w:val="nil"/>
              <w:left w:val="nil"/>
              <w:bottom w:val="single" w:sz="4" w:space="0" w:color="auto"/>
              <w:right w:val="single" w:sz="4" w:space="0" w:color="auto"/>
            </w:tcBorders>
            <w:shd w:val="clear" w:color="auto" w:fill="auto"/>
            <w:vAlign w:val="center"/>
            <w:hideMark/>
          </w:tcPr>
          <w:p w14:paraId="49CE20BA"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GENSER POWER SAS ESP</w:t>
            </w:r>
          </w:p>
        </w:tc>
        <w:tc>
          <w:tcPr>
            <w:tcW w:w="1600" w:type="dxa"/>
            <w:tcBorders>
              <w:top w:val="nil"/>
              <w:left w:val="nil"/>
              <w:bottom w:val="single" w:sz="4" w:space="0" w:color="auto"/>
              <w:right w:val="single" w:sz="4" w:space="0" w:color="auto"/>
            </w:tcBorders>
            <w:shd w:val="clear" w:color="auto" w:fill="auto"/>
            <w:noWrap/>
            <w:vAlign w:val="center"/>
            <w:hideMark/>
          </w:tcPr>
          <w:p w14:paraId="03CA4974"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695.615.000 </w:t>
            </w:r>
          </w:p>
        </w:tc>
        <w:tc>
          <w:tcPr>
            <w:tcW w:w="1660" w:type="dxa"/>
            <w:tcBorders>
              <w:top w:val="nil"/>
              <w:left w:val="nil"/>
              <w:bottom w:val="single" w:sz="4" w:space="0" w:color="auto"/>
              <w:right w:val="single" w:sz="4" w:space="0" w:color="auto"/>
            </w:tcBorders>
            <w:shd w:val="clear" w:color="auto" w:fill="auto"/>
            <w:noWrap/>
            <w:vAlign w:val="center"/>
            <w:hideMark/>
          </w:tcPr>
          <w:p w14:paraId="02709E5E"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910.083.000 </w:t>
            </w:r>
          </w:p>
        </w:tc>
      </w:tr>
      <w:tr w:rsidR="009838E7" w:rsidRPr="009838E7" w14:paraId="71066FF5"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5E074776"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199</w:t>
            </w:r>
          </w:p>
        </w:tc>
        <w:tc>
          <w:tcPr>
            <w:tcW w:w="505" w:type="dxa"/>
            <w:tcBorders>
              <w:top w:val="nil"/>
              <w:left w:val="nil"/>
              <w:bottom w:val="single" w:sz="4" w:space="0" w:color="auto"/>
              <w:right w:val="single" w:sz="4" w:space="0" w:color="auto"/>
            </w:tcBorders>
            <w:shd w:val="clear" w:color="auto" w:fill="auto"/>
            <w:noWrap/>
            <w:vAlign w:val="center"/>
            <w:hideMark/>
          </w:tcPr>
          <w:p w14:paraId="584D71D4"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38014</w:t>
            </w:r>
          </w:p>
        </w:tc>
        <w:tc>
          <w:tcPr>
            <w:tcW w:w="797" w:type="dxa"/>
            <w:tcBorders>
              <w:top w:val="nil"/>
              <w:left w:val="nil"/>
              <w:bottom w:val="single" w:sz="4" w:space="0" w:color="auto"/>
              <w:right w:val="single" w:sz="4" w:space="0" w:color="auto"/>
            </w:tcBorders>
            <w:shd w:val="clear" w:color="auto" w:fill="auto"/>
            <w:noWrap/>
            <w:vAlign w:val="center"/>
            <w:hideMark/>
          </w:tcPr>
          <w:p w14:paraId="2E14A470"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900582235</w:t>
            </w:r>
          </w:p>
        </w:tc>
        <w:tc>
          <w:tcPr>
            <w:tcW w:w="4844" w:type="dxa"/>
            <w:tcBorders>
              <w:top w:val="nil"/>
              <w:left w:val="nil"/>
              <w:bottom w:val="single" w:sz="4" w:space="0" w:color="auto"/>
              <w:right w:val="single" w:sz="4" w:space="0" w:color="auto"/>
            </w:tcBorders>
            <w:shd w:val="clear" w:color="auto" w:fill="auto"/>
            <w:vAlign w:val="center"/>
            <w:hideMark/>
          </w:tcPr>
          <w:p w14:paraId="68F52F08"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PCHS LOS MOLINOS S.A.S. E.S.P.</w:t>
            </w:r>
          </w:p>
        </w:tc>
        <w:tc>
          <w:tcPr>
            <w:tcW w:w="1600" w:type="dxa"/>
            <w:tcBorders>
              <w:top w:val="nil"/>
              <w:left w:val="nil"/>
              <w:bottom w:val="single" w:sz="4" w:space="0" w:color="auto"/>
              <w:right w:val="single" w:sz="4" w:space="0" w:color="auto"/>
            </w:tcBorders>
            <w:shd w:val="clear" w:color="auto" w:fill="auto"/>
            <w:noWrap/>
            <w:vAlign w:val="center"/>
            <w:hideMark/>
          </w:tcPr>
          <w:p w14:paraId="211A37A6"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6.747.278.000 </w:t>
            </w:r>
          </w:p>
        </w:tc>
        <w:tc>
          <w:tcPr>
            <w:tcW w:w="1660" w:type="dxa"/>
            <w:tcBorders>
              <w:top w:val="nil"/>
              <w:left w:val="nil"/>
              <w:bottom w:val="single" w:sz="4" w:space="0" w:color="auto"/>
              <w:right w:val="single" w:sz="4" w:space="0" w:color="auto"/>
            </w:tcBorders>
            <w:shd w:val="clear" w:color="auto" w:fill="auto"/>
            <w:noWrap/>
            <w:vAlign w:val="center"/>
            <w:hideMark/>
          </w:tcPr>
          <w:p w14:paraId="05D5AACF"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4.503.814.000 </w:t>
            </w:r>
          </w:p>
        </w:tc>
      </w:tr>
      <w:tr w:rsidR="009838E7" w:rsidRPr="009838E7" w14:paraId="73BEB563"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1F020304"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200</w:t>
            </w:r>
          </w:p>
        </w:tc>
        <w:tc>
          <w:tcPr>
            <w:tcW w:w="505" w:type="dxa"/>
            <w:tcBorders>
              <w:top w:val="nil"/>
              <w:left w:val="nil"/>
              <w:bottom w:val="single" w:sz="4" w:space="0" w:color="auto"/>
              <w:right w:val="single" w:sz="4" w:space="0" w:color="auto"/>
            </w:tcBorders>
            <w:shd w:val="clear" w:color="auto" w:fill="auto"/>
            <w:noWrap/>
            <w:vAlign w:val="center"/>
            <w:hideMark/>
          </w:tcPr>
          <w:p w14:paraId="2B3A716B"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46882</w:t>
            </w:r>
          </w:p>
        </w:tc>
        <w:tc>
          <w:tcPr>
            <w:tcW w:w="797" w:type="dxa"/>
            <w:tcBorders>
              <w:top w:val="nil"/>
              <w:left w:val="nil"/>
              <w:bottom w:val="single" w:sz="4" w:space="0" w:color="auto"/>
              <w:right w:val="single" w:sz="4" w:space="0" w:color="auto"/>
            </w:tcBorders>
            <w:shd w:val="clear" w:color="auto" w:fill="auto"/>
            <w:noWrap/>
            <w:vAlign w:val="center"/>
            <w:hideMark/>
          </w:tcPr>
          <w:p w14:paraId="7C1DDBDA"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900584846</w:t>
            </w:r>
          </w:p>
        </w:tc>
        <w:tc>
          <w:tcPr>
            <w:tcW w:w="4844" w:type="dxa"/>
            <w:tcBorders>
              <w:top w:val="nil"/>
              <w:left w:val="nil"/>
              <w:bottom w:val="single" w:sz="4" w:space="0" w:color="auto"/>
              <w:right w:val="single" w:sz="4" w:space="0" w:color="auto"/>
            </w:tcBorders>
            <w:shd w:val="clear" w:color="auto" w:fill="auto"/>
            <w:vAlign w:val="center"/>
            <w:hideMark/>
          </w:tcPr>
          <w:p w14:paraId="20882D10" w14:textId="19DF4E13" w:rsidR="009838E7" w:rsidRPr="009838E7" w:rsidRDefault="00395CAC"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Hidroeléctrica</w:t>
            </w:r>
            <w:r w:rsidR="009838E7" w:rsidRPr="009838E7">
              <w:rPr>
                <w:rFonts w:ascii="Arial Narrow" w:hAnsi="Arial Narrow" w:cs="Calibri"/>
                <w:color w:val="000000"/>
                <w:spacing w:val="0"/>
                <w:sz w:val="16"/>
                <w:szCs w:val="16"/>
                <w:lang w:eastAsia="es-CO"/>
              </w:rPr>
              <w:t xml:space="preserve"> Barrancas S.A.S E.S.P</w:t>
            </w:r>
            <w:r w:rsidR="006F2D43">
              <w:rPr>
                <w:rFonts w:ascii="Arial Narrow" w:hAnsi="Arial Narrow" w:cs="Calibri"/>
                <w:color w:val="000000"/>
                <w:spacing w:val="0"/>
                <w:sz w:val="16"/>
                <w:szCs w:val="16"/>
                <w:lang w:eastAsia="es-CO"/>
              </w:rPr>
              <w:t>.</w:t>
            </w:r>
          </w:p>
        </w:tc>
        <w:tc>
          <w:tcPr>
            <w:tcW w:w="1600" w:type="dxa"/>
            <w:tcBorders>
              <w:top w:val="nil"/>
              <w:left w:val="nil"/>
              <w:bottom w:val="single" w:sz="4" w:space="0" w:color="auto"/>
              <w:right w:val="single" w:sz="4" w:space="0" w:color="auto"/>
            </w:tcBorders>
            <w:shd w:val="clear" w:color="auto" w:fill="auto"/>
            <w:noWrap/>
            <w:vAlign w:val="center"/>
            <w:hideMark/>
          </w:tcPr>
          <w:p w14:paraId="233583D3"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238.840.000 </w:t>
            </w:r>
          </w:p>
        </w:tc>
        <w:tc>
          <w:tcPr>
            <w:tcW w:w="1660" w:type="dxa"/>
            <w:tcBorders>
              <w:top w:val="nil"/>
              <w:left w:val="nil"/>
              <w:bottom w:val="single" w:sz="4" w:space="0" w:color="auto"/>
              <w:right w:val="single" w:sz="4" w:space="0" w:color="auto"/>
            </w:tcBorders>
            <w:shd w:val="clear" w:color="auto" w:fill="auto"/>
            <w:noWrap/>
            <w:vAlign w:val="center"/>
            <w:hideMark/>
          </w:tcPr>
          <w:p w14:paraId="570EF44B"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661.736.000 </w:t>
            </w:r>
          </w:p>
        </w:tc>
      </w:tr>
      <w:tr w:rsidR="009838E7" w:rsidRPr="009838E7" w14:paraId="1417573D"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7641967D"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201</w:t>
            </w:r>
          </w:p>
        </w:tc>
        <w:tc>
          <w:tcPr>
            <w:tcW w:w="505" w:type="dxa"/>
            <w:tcBorders>
              <w:top w:val="nil"/>
              <w:left w:val="nil"/>
              <w:bottom w:val="single" w:sz="4" w:space="0" w:color="auto"/>
              <w:right w:val="single" w:sz="4" w:space="0" w:color="auto"/>
            </w:tcBorders>
            <w:shd w:val="clear" w:color="auto" w:fill="auto"/>
            <w:noWrap/>
            <w:vAlign w:val="center"/>
            <w:hideMark/>
          </w:tcPr>
          <w:p w14:paraId="4D373F9B"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26554</w:t>
            </w:r>
          </w:p>
        </w:tc>
        <w:tc>
          <w:tcPr>
            <w:tcW w:w="797" w:type="dxa"/>
            <w:tcBorders>
              <w:top w:val="nil"/>
              <w:left w:val="nil"/>
              <w:bottom w:val="single" w:sz="4" w:space="0" w:color="auto"/>
              <w:right w:val="single" w:sz="4" w:space="0" w:color="auto"/>
            </w:tcBorders>
            <w:shd w:val="clear" w:color="auto" w:fill="auto"/>
            <w:noWrap/>
            <w:vAlign w:val="center"/>
            <w:hideMark/>
          </w:tcPr>
          <w:p w14:paraId="5B90036F"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900586170</w:t>
            </w:r>
          </w:p>
        </w:tc>
        <w:tc>
          <w:tcPr>
            <w:tcW w:w="4844" w:type="dxa"/>
            <w:tcBorders>
              <w:top w:val="nil"/>
              <w:left w:val="nil"/>
              <w:bottom w:val="single" w:sz="4" w:space="0" w:color="auto"/>
              <w:right w:val="single" w:sz="4" w:space="0" w:color="auto"/>
            </w:tcBorders>
            <w:shd w:val="clear" w:color="auto" w:fill="auto"/>
            <w:vAlign w:val="center"/>
            <w:hideMark/>
          </w:tcPr>
          <w:p w14:paraId="3EE0A944"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GAS UNION DE COLOMBIA S.A.S. E.S.P.</w:t>
            </w:r>
          </w:p>
        </w:tc>
        <w:tc>
          <w:tcPr>
            <w:tcW w:w="1600" w:type="dxa"/>
            <w:tcBorders>
              <w:top w:val="nil"/>
              <w:left w:val="nil"/>
              <w:bottom w:val="single" w:sz="4" w:space="0" w:color="auto"/>
              <w:right w:val="single" w:sz="4" w:space="0" w:color="auto"/>
            </w:tcBorders>
            <w:shd w:val="clear" w:color="auto" w:fill="auto"/>
            <w:noWrap/>
            <w:vAlign w:val="center"/>
            <w:hideMark/>
          </w:tcPr>
          <w:p w14:paraId="4BCA7DC7"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1.277.373.645 </w:t>
            </w:r>
          </w:p>
        </w:tc>
        <w:tc>
          <w:tcPr>
            <w:tcW w:w="1660" w:type="dxa"/>
            <w:tcBorders>
              <w:top w:val="nil"/>
              <w:left w:val="nil"/>
              <w:bottom w:val="single" w:sz="4" w:space="0" w:color="auto"/>
              <w:right w:val="single" w:sz="4" w:space="0" w:color="auto"/>
            </w:tcBorders>
            <w:shd w:val="clear" w:color="auto" w:fill="auto"/>
            <w:noWrap/>
            <w:vAlign w:val="center"/>
            <w:hideMark/>
          </w:tcPr>
          <w:p w14:paraId="32482099"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960.665.795 </w:t>
            </w:r>
          </w:p>
        </w:tc>
      </w:tr>
      <w:tr w:rsidR="009838E7" w:rsidRPr="009838E7" w14:paraId="658C15DF"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5E7A87D7"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202</w:t>
            </w:r>
          </w:p>
        </w:tc>
        <w:tc>
          <w:tcPr>
            <w:tcW w:w="505" w:type="dxa"/>
            <w:tcBorders>
              <w:top w:val="nil"/>
              <w:left w:val="nil"/>
              <w:bottom w:val="single" w:sz="4" w:space="0" w:color="auto"/>
              <w:right w:val="single" w:sz="4" w:space="0" w:color="auto"/>
            </w:tcBorders>
            <w:shd w:val="clear" w:color="auto" w:fill="auto"/>
            <w:noWrap/>
            <w:vAlign w:val="center"/>
            <w:hideMark/>
          </w:tcPr>
          <w:p w14:paraId="1DBA244A"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26641</w:t>
            </w:r>
          </w:p>
        </w:tc>
        <w:tc>
          <w:tcPr>
            <w:tcW w:w="797" w:type="dxa"/>
            <w:tcBorders>
              <w:top w:val="nil"/>
              <w:left w:val="nil"/>
              <w:bottom w:val="single" w:sz="4" w:space="0" w:color="auto"/>
              <w:right w:val="single" w:sz="4" w:space="0" w:color="auto"/>
            </w:tcBorders>
            <w:shd w:val="clear" w:color="auto" w:fill="auto"/>
            <w:noWrap/>
            <w:vAlign w:val="center"/>
            <w:hideMark/>
          </w:tcPr>
          <w:p w14:paraId="090EF4EA"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900589503</w:t>
            </w:r>
          </w:p>
        </w:tc>
        <w:tc>
          <w:tcPr>
            <w:tcW w:w="4844" w:type="dxa"/>
            <w:tcBorders>
              <w:top w:val="nil"/>
              <w:left w:val="nil"/>
              <w:bottom w:val="single" w:sz="4" w:space="0" w:color="auto"/>
              <w:right w:val="single" w:sz="4" w:space="0" w:color="auto"/>
            </w:tcBorders>
            <w:shd w:val="clear" w:color="auto" w:fill="auto"/>
            <w:vAlign w:val="center"/>
            <w:hideMark/>
          </w:tcPr>
          <w:p w14:paraId="1DD67A2B"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RENOVATIO TRADING AMERICAS SAS ESP</w:t>
            </w:r>
          </w:p>
        </w:tc>
        <w:tc>
          <w:tcPr>
            <w:tcW w:w="1600" w:type="dxa"/>
            <w:tcBorders>
              <w:top w:val="nil"/>
              <w:left w:val="nil"/>
              <w:bottom w:val="single" w:sz="4" w:space="0" w:color="auto"/>
              <w:right w:val="single" w:sz="4" w:space="0" w:color="auto"/>
            </w:tcBorders>
            <w:shd w:val="clear" w:color="auto" w:fill="auto"/>
            <w:noWrap/>
            <w:vAlign w:val="center"/>
            <w:hideMark/>
          </w:tcPr>
          <w:p w14:paraId="48199033"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3.308.074.000 </w:t>
            </w:r>
          </w:p>
        </w:tc>
        <w:tc>
          <w:tcPr>
            <w:tcW w:w="1660" w:type="dxa"/>
            <w:tcBorders>
              <w:top w:val="nil"/>
              <w:left w:val="nil"/>
              <w:bottom w:val="single" w:sz="4" w:space="0" w:color="auto"/>
              <w:right w:val="single" w:sz="4" w:space="0" w:color="auto"/>
            </w:tcBorders>
            <w:shd w:val="clear" w:color="auto" w:fill="auto"/>
            <w:noWrap/>
            <w:vAlign w:val="center"/>
            <w:hideMark/>
          </w:tcPr>
          <w:p w14:paraId="17BDC06F"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2.693.737.000 </w:t>
            </w:r>
          </w:p>
        </w:tc>
      </w:tr>
      <w:tr w:rsidR="009838E7" w:rsidRPr="009838E7" w14:paraId="6FB7E725"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4A300B04"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203</w:t>
            </w:r>
          </w:p>
        </w:tc>
        <w:tc>
          <w:tcPr>
            <w:tcW w:w="505" w:type="dxa"/>
            <w:tcBorders>
              <w:top w:val="nil"/>
              <w:left w:val="nil"/>
              <w:bottom w:val="single" w:sz="4" w:space="0" w:color="auto"/>
              <w:right w:val="single" w:sz="4" w:space="0" w:color="auto"/>
            </w:tcBorders>
            <w:shd w:val="clear" w:color="auto" w:fill="auto"/>
            <w:noWrap/>
            <w:vAlign w:val="center"/>
            <w:hideMark/>
          </w:tcPr>
          <w:p w14:paraId="30236DB9"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29011</w:t>
            </w:r>
          </w:p>
        </w:tc>
        <w:tc>
          <w:tcPr>
            <w:tcW w:w="797" w:type="dxa"/>
            <w:tcBorders>
              <w:top w:val="nil"/>
              <w:left w:val="nil"/>
              <w:bottom w:val="single" w:sz="4" w:space="0" w:color="auto"/>
              <w:right w:val="single" w:sz="4" w:space="0" w:color="auto"/>
            </w:tcBorders>
            <w:shd w:val="clear" w:color="auto" w:fill="auto"/>
            <w:noWrap/>
            <w:vAlign w:val="center"/>
            <w:hideMark/>
          </w:tcPr>
          <w:p w14:paraId="5A3520CE"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900637368</w:t>
            </w:r>
          </w:p>
        </w:tc>
        <w:tc>
          <w:tcPr>
            <w:tcW w:w="4844" w:type="dxa"/>
            <w:tcBorders>
              <w:top w:val="nil"/>
              <w:left w:val="nil"/>
              <w:bottom w:val="single" w:sz="4" w:space="0" w:color="auto"/>
              <w:right w:val="single" w:sz="4" w:space="0" w:color="auto"/>
            </w:tcBorders>
            <w:shd w:val="clear" w:color="auto" w:fill="auto"/>
            <w:vAlign w:val="center"/>
            <w:hideMark/>
          </w:tcPr>
          <w:p w14:paraId="43386D6E"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TERMO MECHERO MORRO SAS ESP</w:t>
            </w:r>
          </w:p>
        </w:tc>
        <w:tc>
          <w:tcPr>
            <w:tcW w:w="1600" w:type="dxa"/>
            <w:tcBorders>
              <w:top w:val="nil"/>
              <w:left w:val="nil"/>
              <w:bottom w:val="single" w:sz="4" w:space="0" w:color="auto"/>
              <w:right w:val="single" w:sz="4" w:space="0" w:color="auto"/>
            </w:tcBorders>
            <w:shd w:val="clear" w:color="auto" w:fill="auto"/>
            <w:noWrap/>
            <w:vAlign w:val="center"/>
            <w:hideMark/>
          </w:tcPr>
          <w:p w14:paraId="66CAF2B2"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3.030.018.052 </w:t>
            </w:r>
          </w:p>
        </w:tc>
        <w:tc>
          <w:tcPr>
            <w:tcW w:w="1660" w:type="dxa"/>
            <w:tcBorders>
              <w:top w:val="nil"/>
              <w:left w:val="nil"/>
              <w:bottom w:val="single" w:sz="4" w:space="0" w:color="auto"/>
              <w:right w:val="single" w:sz="4" w:space="0" w:color="auto"/>
            </w:tcBorders>
            <w:shd w:val="clear" w:color="auto" w:fill="auto"/>
            <w:noWrap/>
            <w:vAlign w:val="center"/>
            <w:hideMark/>
          </w:tcPr>
          <w:p w14:paraId="12CD796C"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4.025.884.181 </w:t>
            </w:r>
          </w:p>
        </w:tc>
      </w:tr>
      <w:tr w:rsidR="009838E7" w:rsidRPr="009838E7" w14:paraId="6C45034C"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7D2B5825"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204</w:t>
            </w:r>
          </w:p>
        </w:tc>
        <w:tc>
          <w:tcPr>
            <w:tcW w:w="505" w:type="dxa"/>
            <w:tcBorders>
              <w:top w:val="nil"/>
              <w:left w:val="nil"/>
              <w:bottom w:val="single" w:sz="4" w:space="0" w:color="auto"/>
              <w:right w:val="single" w:sz="4" w:space="0" w:color="auto"/>
            </w:tcBorders>
            <w:shd w:val="clear" w:color="auto" w:fill="auto"/>
            <w:noWrap/>
            <w:vAlign w:val="center"/>
            <w:hideMark/>
          </w:tcPr>
          <w:p w14:paraId="02E17E41"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26677</w:t>
            </w:r>
          </w:p>
        </w:tc>
        <w:tc>
          <w:tcPr>
            <w:tcW w:w="797" w:type="dxa"/>
            <w:tcBorders>
              <w:top w:val="nil"/>
              <w:left w:val="nil"/>
              <w:bottom w:val="single" w:sz="4" w:space="0" w:color="auto"/>
              <w:right w:val="single" w:sz="4" w:space="0" w:color="auto"/>
            </w:tcBorders>
            <w:shd w:val="clear" w:color="auto" w:fill="auto"/>
            <w:noWrap/>
            <w:vAlign w:val="center"/>
            <w:hideMark/>
          </w:tcPr>
          <w:p w14:paraId="1FB52C00"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900643166</w:t>
            </w:r>
          </w:p>
        </w:tc>
        <w:tc>
          <w:tcPr>
            <w:tcW w:w="4844" w:type="dxa"/>
            <w:tcBorders>
              <w:top w:val="nil"/>
              <w:left w:val="nil"/>
              <w:bottom w:val="single" w:sz="4" w:space="0" w:color="auto"/>
              <w:right w:val="single" w:sz="4" w:space="0" w:color="auto"/>
            </w:tcBorders>
            <w:shd w:val="clear" w:color="auto" w:fill="auto"/>
            <w:vAlign w:val="center"/>
            <w:hideMark/>
          </w:tcPr>
          <w:p w14:paraId="0465D22D"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CENTRAL DE HIDROCARBUROS GC SAS ESP</w:t>
            </w:r>
          </w:p>
        </w:tc>
        <w:tc>
          <w:tcPr>
            <w:tcW w:w="1600" w:type="dxa"/>
            <w:tcBorders>
              <w:top w:val="nil"/>
              <w:left w:val="nil"/>
              <w:bottom w:val="single" w:sz="4" w:space="0" w:color="auto"/>
              <w:right w:val="single" w:sz="4" w:space="0" w:color="auto"/>
            </w:tcBorders>
            <w:shd w:val="clear" w:color="auto" w:fill="auto"/>
            <w:noWrap/>
            <w:vAlign w:val="center"/>
            <w:hideMark/>
          </w:tcPr>
          <w:p w14:paraId="513CA81E"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136.346.666 </w:t>
            </w:r>
          </w:p>
        </w:tc>
        <w:tc>
          <w:tcPr>
            <w:tcW w:w="1660" w:type="dxa"/>
            <w:tcBorders>
              <w:top w:val="nil"/>
              <w:left w:val="nil"/>
              <w:bottom w:val="single" w:sz="4" w:space="0" w:color="auto"/>
              <w:right w:val="single" w:sz="4" w:space="0" w:color="auto"/>
            </w:tcBorders>
            <w:shd w:val="clear" w:color="auto" w:fill="auto"/>
            <w:noWrap/>
            <w:vAlign w:val="center"/>
            <w:hideMark/>
          </w:tcPr>
          <w:p w14:paraId="1F0A6157"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131.324.432 </w:t>
            </w:r>
          </w:p>
        </w:tc>
      </w:tr>
      <w:tr w:rsidR="009838E7" w:rsidRPr="009838E7" w14:paraId="45338494"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2E9C5965"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205</w:t>
            </w:r>
          </w:p>
        </w:tc>
        <w:tc>
          <w:tcPr>
            <w:tcW w:w="505" w:type="dxa"/>
            <w:tcBorders>
              <w:top w:val="nil"/>
              <w:left w:val="nil"/>
              <w:bottom w:val="single" w:sz="4" w:space="0" w:color="auto"/>
              <w:right w:val="single" w:sz="4" w:space="0" w:color="auto"/>
            </w:tcBorders>
            <w:shd w:val="clear" w:color="auto" w:fill="auto"/>
            <w:noWrap/>
            <w:vAlign w:val="center"/>
            <w:hideMark/>
          </w:tcPr>
          <w:p w14:paraId="3F1E48FD"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33573</w:t>
            </w:r>
          </w:p>
        </w:tc>
        <w:tc>
          <w:tcPr>
            <w:tcW w:w="797" w:type="dxa"/>
            <w:tcBorders>
              <w:top w:val="nil"/>
              <w:left w:val="nil"/>
              <w:bottom w:val="single" w:sz="4" w:space="0" w:color="auto"/>
              <w:right w:val="single" w:sz="4" w:space="0" w:color="auto"/>
            </w:tcBorders>
            <w:shd w:val="clear" w:color="auto" w:fill="auto"/>
            <w:noWrap/>
            <w:vAlign w:val="center"/>
            <w:hideMark/>
          </w:tcPr>
          <w:p w14:paraId="07E2EED3"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900643723</w:t>
            </w:r>
          </w:p>
        </w:tc>
        <w:tc>
          <w:tcPr>
            <w:tcW w:w="4844" w:type="dxa"/>
            <w:tcBorders>
              <w:top w:val="nil"/>
              <w:left w:val="nil"/>
              <w:bottom w:val="single" w:sz="4" w:space="0" w:color="auto"/>
              <w:right w:val="single" w:sz="4" w:space="0" w:color="auto"/>
            </w:tcBorders>
            <w:shd w:val="clear" w:color="auto" w:fill="auto"/>
            <w:vAlign w:val="center"/>
            <w:hideMark/>
          </w:tcPr>
          <w:p w14:paraId="27F0D11F" w14:textId="590BD3E2"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COMERCIALIZADORA G.L.P</w:t>
            </w:r>
            <w:r w:rsidR="006F2D43">
              <w:rPr>
                <w:rFonts w:ascii="Arial Narrow" w:hAnsi="Arial Narrow" w:cs="Calibri"/>
                <w:color w:val="000000"/>
                <w:spacing w:val="0"/>
                <w:sz w:val="16"/>
                <w:szCs w:val="16"/>
                <w:lang w:eastAsia="es-CO"/>
              </w:rPr>
              <w:t>.</w:t>
            </w:r>
            <w:r w:rsidRPr="009838E7">
              <w:rPr>
                <w:rFonts w:ascii="Arial Narrow" w:hAnsi="Arial Narrow" w:cs="Calibri"/>
                <w:color w:val="000000"/>
                <w:spacing w:val="0"/>
                <w:sz w:val="16"/>
                <w:szCs w:val="16"/>
                <w:lang w:eastAsia="es-CO"/>
              </w:rPr>
              <w:t xml:space="preserve"> DEL ORIENTE SAS   ESP</w:t>
            </w:r>
          </w:p>
        </w:tc>
        <w:tc>
          <w:tcPr>
            <w:tcW w:w="1600" w:type="dxa"/>
            <w:tcBorders>
              <w:top w:val="nil"/>
              <w:left w:val="nil"/>
              <w:bottom w:val="single" w:sz="4" w:space="0" w:color="auto"/>
              <w:right w:val="single" w:sz="4" w:space="0" w:color="auto"/>
            </w:tcBorders>
            <w:shd w:val="clear" w:color="auto" w:fill="auto"/>
            <w:noWrap/>
            <w:vAlign w:val="center"/>
            <w:hideMark/>
          </w:tcPr>
          <w:p w14:paraId="5C935C24"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146.312.076 </w:t>
            </w:r>
          </w:p>
        </w:tc>
        <w:tc>
          <w:tcPr>
            <w:tcW w:w="1660" w:type="dxa"/>
            <w:tcBorders>
              <w:top w:val="nil"/>
              <w:left w:val="nil"/>
              <w:bottom w:val="single" w:sz="4" w:space="0" w:color="auto"/>
              <w:right w:val="single" w:sz="4" w:space="0" w:color="auto"/>
            </w:tcBorders>
            <w:shd w:val="clear" w:color="auto" w:fill="auto"/>
            <w:noWrap/>
            <w:vAlign w:val="center"/>
            <w:hideMark/>
          </w:tcPr>
          <w:p w14:paraId="1C42AEAB"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606.025.897 </w:t>
            </w:r>
          </w:p>
        </w:tc>
      </w:tr>
      <w:tr w:rsidR="009838E7" w:rsidRPr="009838E7" w14:paraId="36433A22" w14:textId="77777777" w:rsidTr="00092F91">
        <w:trPr>
          <w:trHeight w:val="220"/>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6471ECEB"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206</w:t>
            </w:r>
          </w:p>
        </w:tc>
        <w:tc>
          <w:tcPr>
            <w:tcW w:w="505" w:type="dxa"/>
            <w:tcBorders>
              <w:top w:val="nil"/>
              <w:left w:val="nil"/>
              <w:bottom w:val="single" w:sz="4" w:space="0" w:color="auto"/>
              <w:right w:val="single" w:sz="4" w:space="0" w:color="auto"/>
            </w:tcBorders>
            <w:shd w:val="clear" w:color="auto" w:fill="auto"/>
            <w:noWrap/>
            <w:vAlign w:val="center"/>
            <w:hideMark/>
          </w:tcPr>
          <w:p w14:paraId="019AD455"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26772</w:t>
            </w:r>
          </w:p>
        </w:tc>
        <w:tc>
          <w:tcPr>
            <w:tcW w:w="797" w:type="dxa"/>
            <w:tcBorders>
              <w:top w:val="nil"/>
              <w:left w:val="nil"/>
              <w:bottom w:val="single" w:sz="4" w:space="0" w:color="auto"/>
              <w:right w:val="single" w:sz="4" w:space="0" w:color="auto"/>
            </w:tcBorders>
            <w:shd w:val="clear" w:color="auto" w:fill="auto"/>
            <w:noWrap/>
            <w:vAlign w:val="center"/>
            <w:hideMark/>
          </w:tcPr>
          <w:p w14:paraId="2BD07601"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900648934</w:t>
            </w:r>
          </w:p>
        </w:tc>
        <w:tc>
          <w:tcPr>
            <w:tcW w:w="4844" w:type="dxa"/>
            <w:tcBorders>
              <w:top w:val="nil"/>
              <w:left w:val="nil"/>
              <w:bottom w:val="single" w:sz="4" w:space="0" w:color="auto"/>
              <w:right w:val="single" w:sz="4" w:space="0" w:color="auto"/>
            </w:tcBorders>
            <w:shd w:val="clear" w:color="auto" w:fill="auto"/>
            <w:vAlign w:val="center"/>
            <w:hideMark/>
          </w:tcPr>
          <w:p w14:paraId="774BD5E2"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EMPRESA DE SERVICIOS PUBLICOS DE SANTANDER S.A.E.S.P.</w:t>
            </w:r>
          </w:p>
        </w:tc>
        <w:tc>
          <w:tcPr>
            <w:tcW w:w="1600" w:type="dxa"/>
            <w:tcBorders>
              <w:top w:val="nil"/>
              <w:left w:val="nil"/>
              <w:bottom w:val="single" w:sz="4" w:space="0" w:color="auto"/>
              <w:right w:val="single" w:sz="4" w:space="0" w:color="auto"/>
            </w:tcBorders>
            <w:shd w:val="clear" w:color="auto" w:fill="auto"/>
            <w:noWrap/>
            <w:vAlign w:val="center"/>
            <w:hideMark/>
          </w:tcPr>
          <w:p w14:paraId="33593C6C"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977.216.260 </w:t>
            </w:r>
          </w:p>
        </w:tc>
        <w:tc>
          <w:tcPr>
            <w:tcW w:w="1660" w:type="dxa"/>
            <w:tcBorders>
              <w:top w:val="nil"/>
              <w:left w:val="nil"/>
              <w:bottom w:val="single" w:sz="4" w:space="0" w:color="auto"/>
              <w:right w:val="single" w:sz="4" w:space="0" w:color="auto"/>
            </w:tcBorders>
            <w:shd w:val="clear" w:color="auto" w:fill="auto"/>
            <w:noWrap/>
            <w:vAlign w:val="center"/>
            <w:hideMark/>
          </w:tcPr>
          <w:p w14:paraId="016FBA1A"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398.295.000 </w:t>
            </w:r>
          </w:p>
        </w:tc>
      </w:tr>
      <w:tr w:rsidR="009838E7" w:rsidRPr="009838E7" w14:paraId="02840CBC"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4C19F727"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207</w:t>
            </w:r>
          </w:p>
        </w:tc>
        <w:tc>
          <w:tcPr>
            <w:tcW w:w="505" w:type="dxa"/>
            <w:tcBorders>
              <w:top w:val="nil"/>
              <w:left w:val="nil"/>
              <w:bottom w:val="single" w:sz="4" w:space="0" w:color="auto"/>
              <w:right w:val="single" w:sz="4" w:space="0" w:color="auto"/>
            </w:tcBorders>
            <w:shd w:val="clear" w:color="auto" w:fill="auto"/>
            <w:noWrap/>
            <w:vAlign w:val="center"/>
            <w:hideMark/>
          </w:tcPr>
          <w:p w14:paraId="1B2B7F71"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26992</w:t>
            </w:r>
          </w:p>
        </w:tc>
        <w:tc>
          <w:tcPr>
            <w:tcW w:w="797" w:type="dxa"/>
            <w:tcBorders>
              <w:top w:val="nil"/>
              <w:left w:val="nil"/>
              <w:bottom w:val="single" w:sz="4" w:space="0" w:color="auto"/>
              <w:right w:val="single" w:sz="4" w:space="0" w:color="auto"/>
            </w:tcBorders>
            <w:shd w:val="clear" w:color="auto" w:fill="auto"/>
            <w:noWrap/>
            <w:vAlign w:val="center"/>
            <w:hideMark/>
          </w:tcPr>
          <w:p w14:paraId="6EC4D795"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900652188</w:t>
            </w:r>
          </w:p>
        </w:tc>
        <w:tc>
          <w:tcPr>
            <w:tcW w:w="4844" w:type="dxa"/>
            <w:tcBorders>
              <w:top w:val="nil"/>
              <w:left w:val="nil"/>
              <w:bottom w:val="single" w:sz="4" w:space="0" w:color="auto"/>
              <w:right w:val="single" w:sz="4" w:space="0" w:color="auto"/>
            </w:tcBorders>
            <w:shd w:val="clear" w:color="auto" w:fill="auto"/>
            <w:vAlign w:val="center"/>
            <w:hideMark/>
          </w:tcPr>
          <w:p w14:paraId="108F5E8D"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REDEGAS DOMICILIARIO S. A.  ESP</w:t>
            </w:r>
          </w:p>
        </w:tc>
        <w:tc>
          <w:tcPr>
            <w:tcW w:w="1600" w:type="dxa"/>
            <w:tcBorders>
              <w:top w:val="nil"/>
              <w:left w:val="nil"/>
              <w:bottom w:val="single" w:sz="4" w:space="0" w:color="auto"/>
              <w:right w:val="single" w:sz="4" w:space="0" w:color="auto"/>
            </w:tcBorders>
            <w:shd w:val="clear" w:color="auto" w:fill="auto"/>
            <w:noWrap/>
            <w:vAlign w:val="center"/>
            <w:hideMark/>
          </w:tcPr>
          <w:p w14:paraId="672AFE98"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558.766.888 </w:t>
            </w:r>
          </w:p>
        </w:tc>
        <w:tc>
          <w:tcPr>
            <w:tcW w:w="1660" w:type="dxa"/>
            <w:tcBorders>
              <w:top w:val="nil"/>
              <w:left w:val="nil"/>
              <w:bottom w:val="single" w:sz="4" w:space="0" w:color="auto"/>
              <w:right w:val="single" w:sz="4" w:space="0" w:color="auto"/>
            </w:tcBorders>
            <w:shd w:val="clear" w:color="auto" w:fill="auto"/>
            <w:noWrap/>
            <w:vAlign w:val="center"/>
            <w:hideMark/>
          </w:tcPr>
          <w:p w14:paraId="7775EFF9"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433.293.324 </w:t>
            </w:r>
          </w:p>
        </w:tc>
      </w:tr>
      <w:tr w:rsidR="009838E7" w:rsidRPr="009838E7" w14:paraId="65619F88"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1EE943B8"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208</w:t>
            </w:r>
          </w:p>
        </w:tc>
        <w:tc>
          <w:tcPr>
            <w:tcW w:w="505" w:type="dxa"/>
            <w:tcBorders>
              <w:top w:val="nil"/>
              <w:left w:val="nil"/>
              <w:bottom w:val="single" w:sz="4" w:space="0" w:color="auto"/>
              <w:right w:val="single" w:sz="4" w:space="0" w:color="auto"/>
            </w:tcBorders>
            <w:shd w:val="clear" w:color="auto" w:fill="auto"/>
            <w:noWrap/>
            <w:vAlign w:val="center"/>
            <w:hideMark/>
          </w:tcPr>
          <w:p w14:paraId="75D79EE4"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27631</w:t>
            </w:r>
          </w:p>
        </w:tc>
        <w:tc>
          <w:tcPr>
            <w:tcW w:w="797" w:type="dxa"/>
            <w:tcBorders>
              <w:top w:val="nil"/>
              <w:left w:val="nil"/>
              <w:bottom w:val="single" w:sz="4" w:space="0" w:color="auto"/>
              <w:right w:val="single" w:sz="4" w:space="0" w:color="auto"/>
            </w:tcBorders>
            <w:shd w:val="clear" w:color="auto" w:fill="auto"/>
            <w:noWrap/>
            <w:vAlign w:val="center"/>
            <w:hideMark/>
          </w:tcPr>
          <w:p w14:paraId="6BF798BF"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900652334</w:t>
            </w:r>
          </w:p>
        </w:tc>
        <w:tc>
          <w:tcPr>
            <w:tcW w:w="4844" w:type="dxa"/>
            <w:tcBorders>
              <w:top w:val="nil"/>
              <w:left w:val="nil"/>
              <w:bottom w:val="single" w:sz="4" w:space="0" w:color="auto"/>
              <w:right w:val="single" w:sz="4" w:space="0" w:color="auto"/>
            </w:tcBorders>
            <w:shd w:val="clear" w:color="auto" w:fill="auto"/>
            <w:vAlign w:val="center"/>
            <w:hideMark/>
          </w:tcPr>
          <w:p w14:paraId="14ABC469"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RIOPAILA ENERGÍA SAS ESP</w:t>
            </w:r>
          </w:p>
        </w:tc>
        <w:tc>
          <w:tcPr>
            <w:tcW w:w="1600" w:type="dxa"/>
            <w:tcBorders>
              <w:top w:val="nil"/>
              <w:left w:val="nil"/>
              <w:bottom w:val="single" w:sz="4" w:space="0" w:color="auto"/>
              <w:right w:val="single" w:sz="4" w:space="0" w:color="auto"/>
            </w:tcBorders>
            <w:shd w:val="clear" w:color="auto" w:fill="auto"/>
            <w:noWrap/>
            <w:vAlign w:val="center"/>
            <w:hideMark/>
          </w:tcPr>
          <w:p w14:paraId="1C9AAEB6"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97.787.748 </w:t>
            </w:r>
          </w:p>
        </w:tc>
        <w:tc>
          <w:tcPr>
            <w:tcW w:w="1660" w:type="dxa"/>
            <w:tcBorders>
              <w:top w:val="nil"/>
              <w:left w:val="nil"/>
              <w:bottom w:val="single" w:sz="4" w:space="0" w:color="auto"/>
              <w:right w:val="single" w:sz="4" w:space="0" w:color="auto"/>
            </w:tcBorders>
            <w:shd w:val="clear" w:color="auto" w:fill="auto"/>
            <w:noWrap/>
            <w:vAlign w:val="center"/>
            <w:hideMark/>
          </w:tcPr>
          <w:p w14:paraId="752D494A"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807.754.199 </w:t>
            </w:r>
          </w:p>
        </w:tc>
      </w:tr>
      <w:tr w:rsidR="009838E7" w:rsidRPr="009838E7" w14:paraId="530577B3"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6D3203CA"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209</w:t>
            </w:r>
          </w:p>
        </w:tc>
        <w:tc>
          <w:tcPr>
            <w:tcW w:w="505" w:type="dxa"/>
            <w:tcBorders>
              <w:top w:val="nil"/>
              <w:left w:val="nil"/>
              <w:bottom w:val="single" w:sz="4" w:space="0" w:color="auto"/>
              <w:right w:val="single" w:sz="4" w:space="0" w:color="auto"/>
            </w:tcBorders>
            <w:shd w:val="clear" w:color="auto" w:fill="auto"/>
            <w:noWrap/>
            <w:vAlign w:val="center"/>
            <w:hideMark/>
          </w:tcPr>
          <w:p w14:paraId="32C83EFD"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32213</w:t>
            </w:r>
          </w:p>
        </w:tc>
        <w:tc>
          <w:tcPr>
            <w:tcW w:w="797" w:type="dxa"/>
            <w:tcBorders>
              <w:top w:val="nil"/>
              <w:left w:val="nil"/>
              <w:bottom w:val="single" w:sz="4" w:space="0" w:color="auto"/>
              <w:right w:val="single" w:sz="4" w:space="0" w:color="auto"/>
            </w:tcBorders>
            <w:shd w:val="clear" w:color="auto" w:fill="auto"/>
            <w:noWrap/>
            <w:vAlign w:val="center"/>
            <w:hideMark/>
          </w:tcPr>
          <w:p w14:paraId="47254B3F"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900653272</w:t>
            </w:r>
          </w:p>
        </w:tc>
        <w:tc>
          <w:tcPr>
            <w:tcW w:w="4844" w:type="dxa"/>
            <w:tcBorders>
              <w:top w:val="nil"/>
              <w:left w:val="nil"/>
              <w:bottom w:val="single" w:sz="4" w:space="0" w:color="auto"/>
              <w:right w:val="single" w:sz="4" w:space="0" w:color="auto"/>
            </w:tcBorders>
            <w:shd w:val="clear" w:color="auto" w:fill="auto"/>
            <w:vAlign w:val="center"/>
            <w:hideMark/>
          </w:tcPr>
          <w:p w14:paraId="7CC499D5"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KEOPS Y ASOCIADOS SAS ESP</w:t>
            </w:r>
          </w:p>
        </w:tc>
        <w:tc>
          <w:tcPr>
            <w:tcW w:w="1600" w:type="dxa"/>
            <w:tcBorders>
              <w:top w:val="nil"/>
              <w:left w:val="nil"/>
              <w:bottom w:val="single" w:sz="4" w:space="0" w:color="auto"/>
              <w:right w:val="single" w:sz="4" w:space="0" w:color="auto"/>
            </w:tcBorders>
            <w:shd w:val="clear" w:color="auto" w:fill="auto"/>
            <w:noWrap/>
            <w:vAlign w:val="center"/>
            <w:hideMark/>
          </w:tcPr>
          <w:p w14:paraId="1D4E7A71"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260.878.221 </w:t>
            </w:r>
          </w:p>
        </w:tc>
        <w:tc>
          <w:tcPr>
            <w:tcW w:w="1660" w:type="dxa"/>
            <w:tcBorders>
              <w:top w:val="nil"/>
              <w:left w:val="nil"/>
              <w:bottom w:val="single" w:sz="4" w:space="0" w:color="auto"/>
              <w:right w:val="single" w:sz="4" w:space="0" w:color="auto"/>
            </w:tcBorders>
            <w:shd w:val="clear" w:color="auto" w:fill="auto"/>
            <w:noWrap/>
            <w:vAlign w:val="center"/>
            <w:hideMark/>
          </w:tcPr>
          <w:p w14:paraId="66BBF07A"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430.970.263 </w:t>
            </w:r>
          </w:p>
        </w:tc>
      </w:tr>
      <w:tr w:rsidR="009838E7" w:rsidRPr="009838E7" w14:paraId="58E7FC3E"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13CDDFC7"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210</w:t>
            </w:r>
          </w:p>
        </w:tc>
        <w:tc>
          <w:tcPr>
            <w:tcW w:w="505" w:type="dxa"/>
            <w:tcBorders>
              <w:top w:val="nil"/>
              <w:left w:val="nil"/>
              <w:bottom w:val="single" w:sz="4" w:space="0" w:color="auto"/>
              <w:right w:val="single" w:sz="4" w:space="0" w:color="auto"/>
            </w:tcBorders>
            <w:shd w:val="clear" w:color="auto" w:fill="auto"/>
            <w:noWrap/>
            <w:vAlign w:val="center"/>
            <w:hideMark/>
          </w:tcPr>
          <w:p w14:paraId="5C0E8F49"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44956</w:t>
            </w:r>
          </w:p>
        </w:tc>
        <w:tc>
          <w:tcPr>
            <w:tcW w:w="797" w:type="dxa"/>
            <w:tcBorders>
              <w:top w:val="nil"/>
              <w:left w:val="nil"/>
              <w:bottom w:val="single" w:sz="4" w:space="0" w:color="auto"/>
              <w:right w:val="single" w:sz="4" w:space="0" w:color="auto"/>
            </w:tcBorders>
            <w:shd w:val="clear" w:color="auto" w:fill="auto"/>
            <w:noWrap/>
            <w:vAlign w:val="center"/>
            <w:hideMark/>
          </w:tcPr>
          <w:p w14:paraId="359BD3FD"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900654403</w:t>
            </w:r>
          </w:p>
        </w:tc>
        <w:tc>
          <w:tcPr>
            <w:tcW w:w="4844" w:type="dxa"/>
            <w:tcBorders>
              <w:top w:val="nil"/>
              <w:left w:val="nil"/>
              <w:bottom w:val="single" w:sz="4" w:space="0" w:color="auto"/>
              <w:right w:val="single" w:sz="4" w:space="0" w:color="auto"/>
            </w:tcBorders>
            <w:shd w:val="clear" w:color="auto" w:fill="auto"/>
            <w:vAlign w:val="center"/>
            <w:hideMark/>
          </w:tcPr>
          <w:p w14:paraId="36205D0A"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VOLTAJE EMPRESARIAL SAS ESP</w:t>
            </w:r>
          </w:p>
        </w:tc>
        <w:tc>
          <w:tcPr>
            <w:tcW w:w="1600" w:type="dxa"/>
            <w:tcBorders>
              <w:top w:val="nil"/>
              <w:left w:val="nil"/>
              <w:bottom w:val="single" w:sz="4" w:space="0" w:color="auto"/>
              <w:right w:val="single" w:sz="4" w:space="0" w:color="auto"/>
            </w:tcBorders>
            <w:shd w:val="clear" w:color="auto" w:fill="auto"/>
            <w:noWrap/>
            <w:vAlign w:val="center"/>
            <w:hideMark/>
          </w:tcPr>
          <w:p w14:paraId="129E1117"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220.627.647 </w:t>
            </w:r>
          </w:p>
        </w:tc>
        <w:tc>
          <w:tcPr>
            <w:tcW w:w="1660" w:type="dxa"/>
            <w:tcBorders>
              <w:top w:val="nil"/>
              <w:left w:val="nil"/>
              <w:bottom w:val="single" w:sz="4" w:space="0" w:color="auto"/>
              <w:right w:val="single" w:sz="4" w:space="0" w:color="auto"/>
            </w:tcBorders>
            <w:shd w:val="clear" w:color="auto" w:fill="auto"/>
            <w:noWrap/>
            <w:vAlign w:val="center"/>
            <w:hideMark/>
          </w:tcPr>
          <w:p w14:paraId="55026BA2"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246.633.796 </w:t>
            </w:r>
          </w:p>
        </w:tc>
      </w:tr>
      <w:tr w:rsidR="009838E7" w:rsidRPr="009838E7" w14:paraId="718EB376"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56C4C0EC"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211</w:t>
            </w:r>
          </w:p>
        </w:tc>
        <w:tc>
          <w:tcPr>
            <w:tcW w:w="505" w:type="dxa"/>
            <w:tcBorders>
              <w:top w:val="nil"/>
              <w:left w:val="nil"/>
              <w:bottom w:val="single" w:sz="4" w:space="0" w:color="auto"/>
              <w:right w:val="single" w:sz="4" w:space="0" w:color="auto"/>
            </w:tcBorders>
            <w:shd w:val="clear" w:color="auto" w:fill="auto"/>
            <w:noWrap/>
            <w:vAlign w:val="center"/>
            <w:hideMark/>
          </w:tcPr>
          <w:p w14:paraId="5529F4E0"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39854</w:t>
            </w:r>
          </w:p>
        </w:tc>
        <w:tc>
          <w:tcPr>
            <w:tcW w:w="797" w:type="dxa"/>
            <w:tcBorders>
              <w:top w:val="nil"/>
              <w:left w:val="nil"/>
              <w:bottom w:val="single" w:sz="4" w:space="0" w:color="auto"/>
              <w:right w:val="single" w:sz="4" w:space="0" w:color="auto"/>
            </w:tcBorders>
            <w:shd w:val="clear" w:color="auto" w:fill="auto"/>
            <w:noWrap/>
            <w:vAlign w:val="center"/>
            <w:hideMark/>
          </w:tcPr>
          <w:p w14:paraId="45A418BB"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900660650</w:t>
            </w:r>
          </w:p>
        </w:tc>
        <w:tc>
          <w:tcPr>
            <w:tcW w:w="4844" w:type="dxa"/>
            <w:tcBorders>
              <w:top w:val="nil"/>
              <w:left w:val="nil"/>
              <w:bottom w:val="single" w:sz="4" w:space="0" w:color="auto"/>
              <w:right w:val="single" w:sz="4" w:space="0" w:color="auto"/>
            </w:tcBorders>
            <w:shd w:val="clear" w:color="auto" w:fill="auto"/>
            <w:vAlign w:val="center"/>
            <w:hideMark/>
          </w:tcPr>
          <w:p w14:paraId="4355923A"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GENERADORA CANTAYUS SAS ESP</w:t>
            </w:r>
          </w:p>
        </w:tc>
        <w:tc>
          <w:tcPr>
            <w:tcW w:w="1600" w:type="dxa"/>
            <w:tcBorders>
              <w:top w:val="nil"/>
              <w:left w:val="nil"/>
              <w:bottom w:val="single" w:sz="4" w:space="0" w:color="auto"/>
              <w:right w:val="single" w:sz="4" w:space="0" w:color="auto"/>
            </w:tcBorders>
            <w:shd w:val="clear" w:color="auto" w:fill="auto"/>
            <w:noWrap/>
            <w:vAlign w:val="center"/>
            <w:hideMark/>
          </w:tcPr>
          <w:p w14:paraId="44D7A22C"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114.346.000 </w:t>
            </w:r>
          </w:p>
        </w:tc>
        <w:tc>
          <w:tcPr>
            <w:tcW w:w="1660" w:type="dxa"/>
            <w:tcBorders>
              <w:top w:val="nil"/>
              <w:left w:val="nil"/>
              <w:bottom w:val="single" w:sz="4" w:space="0" w:color="auto"/>
              <w:right w:val="single" w:sz="4" w:space="0" w:color="auto"/>
            </w:tcBorders>
            <w:shd w:val="clear" w:color="auto" w:fill="auto"/>
            <w:noWrap/>
            <w:vAlign w:val="center"/>
            <w:hideMark/>
          </w:tcPr>
          <w:p w14:paraId="1F75496E"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320.437.000 </w:t>
            </w:r>
          </w:p>
        </w:tc>
      </w:tr>
      <w:tr w:rsidR="009838E7" w:rsidRPr="009838E7" w14:paraId="54EE0580"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0A87A00B"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212</w:t>
            </w:r>
          </w:p>
        </w:tc>
        <w:tc>
          <w:tcPr>
            <w:tcW w:w="505" w:type="dxa"/>
            <w:tcBorders>
              <w:top w:val="nil"/>
              <w:left w:val="nil"/>
              <w:bottom w:val="single" w:sz="4" w:space="0" w:color="auto"/>
              <w:right w:val="single" w:sz="4" w:space="0" w:color="auto"/>
            </w:tcBorders>
            <w:shd w:val="clear" w:color="auto" w:fill="auto"/>
            <w:noWrap/>
            <w:vAlign w:val="center"/>
            <w:hideMark/>
          </w:tcPr>
          <w:p w14:paraId="10138850"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26728</w:t>
            </w:r>
          </w:p>
        </w:tc>
        <w:tc>
          <w:tcPr>
            <w:tcW w:w="797" w:type="dxa"/>
            <w:tcBorders>
              <w:top w:val="nil"/>
              <w:left w:val="nil"/>
              <w:bottom w:val="single" w:sz="4" w:space="0" w:color="auto"/>
              <w:right w:val="single" w:sz="4" w:space="0" w:color="auto"/>
            </w:tcBorders>
            <w:shd w:val="clear" w:color="auto" w:fill="auto"/>
            <w:noWrap/>
            <w:vAlign w:val="center"/>
            <w:hideMark/>
          </w:tcPr>
          <w:p w14:paraId="58610F05"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900666756</w:t>
            </w:r>
          </w:p>
        </w:tc>
        <w:tc>
          <w:tcPr>
            <w:tcW w:w="4844" w:type="dxa"/>
            <w:tcBorders>
              <w:top w:val="nil"/>
              <w:left w:val="nil"/>
              <w:bottom w:val="single" w:sz="4" w:space="0" w:color="auto"/>
              <w:right w:val="single" w:sz="4" w:space="0" w:color="auto"/>
            </w:tcBorders>
            <w:shd w:val="clear" w:color="auto" w:fill="auto"/>
            <w:vAlign w:val="center"/>
            <w:hideMark/>
          </w:tcPr>
          <w:p w14:paraId="1E8A283B"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VIDA GAS POR NATURALEZA S.A. E.S.P.</w:t>
            </w:r>
          </w:p>
        </w:tc>
        <w:tc>
          <w:tcPr>
            <w:tcW w:w="1600" w:type="dxa"/>
            <w:tcBorders>
              <w:top w:val="nil"/>
              <w:left w:val="nil"/>
              <w:bottom w:val="single" w:sz="4" w:space="0" w:color="auto"/>
              <w:right w:val="single" w:sz="4" w:space="0" w:color="auto"/>
            </w:tcBorders>
            <w:shd w:val="clear" w:color="auto" w:fill="auto"/>
            <w:noWrap/>
            <w:vAlign w:val="center"/>
            <w:hideMark/>
          </w:tcPr>
          <w:p w14:paraId="35362B1D"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168.803.847 </w:t>
            </w:r>
          </w:p>
        </w:tc>
        <w:tc>
          <w:tcPr>
            <w:tcW w:w="1660" w:type="dxa"/>
            <w:tcBorders>
              <w:top w:val="nil"/>
              <w:left w:val="nil"/>
              <w:bottom w:val="single" w:sz="4" w:space="0" w:color="auto"/>
              <w:right w:val="single" w:sz="4" w:space="0" w:color="auto"/>
            </w:tcBorders>
            <w:shd w:val="clear" w:color="auto" w:fill="auto"/>
            <w:noWrap/>
            <w:vAlign w:val="center"/>
            <w:hideMark/>
          </w:tcPr>
          <w:p w14:paraId="7A20BC8A"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225.081.246 </w:t>
            </w:r>
          </w:p>
        </w:tc>
      </w:tr>
      <w:tr w:rsidR="009838E7" w:rsidRPr="009838E7" w14:paraId="62D5E600"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4A55D3A5"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213</w:t>
            </w:r>
          </w:p>
        </w:tc>
        <w:tc>
          <w:tcPr>
            <w:tcW w:w="505" w:type="dxa"/>
            <w:tcBorders>
              <w:top w:val="nil"/>
              <w:left w:val="nil"/>
              <w:bottom w:val="single" w:sz="4" w:space="0" w:color="auto"/>
              <w:right w:val="single" w:sz="4" w:space="0" w:color="auto"/>
            </w:tcBorders>
            <w:shd w:val="clear" w:color="auto" w:fill="auto"/>
            <w:noWrap/>
            <w:vAlign w:val="center"/>
            <w:hideMark/>
          </w:tcPr>
          <w:p w14:paraId="59A53A1B"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26730</w:t>
            </w:r>
          </w:p>
        </w:tc>
        <w:tc>
          <w:tcPr>
            <w:tcW w:w="797" w:type="dxa"/>
            <w:tcBorders>
              <w:top w:val="nil"/>
              <w:left w:val="nil"/>
              <w:bottom w:val="single" w:sz="4" w:space="0" w:color="auto"/>
              <w:right w:val="single" w:sz="4" w:space="0" w:color="auto"/>
            </w:tcBorders>
            <w:shd w:val="clear" w:color="auto" w:fill="auto"/>
            <w:noWrap/>
            <w:vAlign w:val="center"/>
            <w:hideMark/>
          </w:tcPr>
          <w:p w14:paraId="32B2FD7E"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900667590</w:t>
            </w:r>
          </w:p>
        </w:tc>
        <w:tc>
          <w:tcPr>
            <w:tcW w:w="4844" w:type="dxa"/>
            <w:tcBorders>
              <w:top w:val="nil"/>
              <w:left w:val="nil"/>
              <w:bottom w:val="single" w:sz="4" w:space="0" w:color="auto"/>
              <w:right w:val="single" w:sz="4" w:space="0" w:color="auto"/>
            </w:tcBorders>
            <w:shd w:val="clear" w:color="auto" w:fill="auto"/>
            <w:vAlign w:val="center"/>
            <w:hideMark/>
          </w:tcPr>
          <w:p w14:paraId="17B3A2E4" w14:textId="0F490358"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INTERCOLOMBIA S.A. E.S.P</w:t>
            </w:r>
            <w:r w:rsidR="006F2D43">
              <w:rPr>
                <w:rFonts w:ascii="Arial Narrow" w:hAnsi="Arial Narrow" w:cs="Calibri"/>
                <w:color w:val="000000"/>
                <w:spacing w:val="0"/>
                <w:sz w:val="16"/>
                <w:szCs w:val="16"/>
                <w:lang w:eastAsia="es-CO"/>
              </w:rPr>
              <w:t>.</w:t>
            </w:r>
          </w:p>
        </w:tc>
        <w:tc>
          <w:tcPr>
            <w:tcW w:w="1600" w:type="dxa"/>
            <w:tcBorders>
              <w:top w:val="nil"/>
              <w:left w:val="nil"/>
              <w:bottom w:val="single" w:sz="4" w:space="0" w:color="auto"/>
              <w:right w:val="single" w:sz="4" w:space="0" w:color="auto"/>
            </w:tcBorders>
            <w:shd w:val="clear" w:color="auto" w:fill="auto"/>
            <w:noWrap/>
            <w:vAlign w:val="center"/>
            <w:hideMark/>
          </w:tcPr>
          <w:p w14:paraId="617CCFAE"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64.580.326.000 </w:t>
            </w:r>
          </w:p>
        </w:tc>
        <w:tc>
          <w:tcPr>
            <w:tcW w:w="1660" w:type="dxa"/>
            <w:tcBorders>
              <w:top w:val="nil"/>
              <w:left w:val="nil"/>
              <w:bottom w:val="single" w:sz="4" w:space="0" w:color="auto"/>
              <w:right w:val="single" w:sz="4" w:space="0" w:color="auto"/>
            </w:tcBorders>
            <w:shd w:val="clear" w:color="auto" w:fill="auto"/>
            <w:noWrap/>
            <w:vAlign w:val="center"/>
            <w:hideMark/>
          </w:tcPr>
          <w:p w14:paraId="0C3831A9"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66.785.406.000 </w:t>
            </w:r>
          </w:p>
        </w:tc>
      </w:tr>
      <w:tr w:rsidR="009838E7" w:rsidRPr="009838E7" w14:paraId="13CC3751"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42E58463"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214</w:t>
            </w:r>
          </w:p>
        </w:tc>
        <w:tc>
          <w:tcPr>
            <w:tcW w:w="505" w:type="dxa"/>
            <w:tcBorders>
              <w:top w:val="nil"/>
              <w:left w:val="nil"/>
              <w:bottom w:val="single" w:sz="4" w:space="0" w:color="auto"/>
              <w:right w:val="single" w:sz="4" w:space="0" w:color="auto"/>
            </w:tcBorders>
            <w:shd w:val="clear" w:color="auto" w:fill="auto"/>
            <w:noWrap/>
            <w:vAlign w:val="center"/>
            <w:hideMark/>
          </w:tcPr>
          <w:p w14:paraId="7A14A380"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28491</w:t>
            </w:r>
          </w:p>
        </w:tc>
        <w:tc>
          <w:tcPr>
            <w:tcW w:w="797" w:type="dxa"/>
            <w:tcBorders>
              <w:top w:val="nil"/>
              <w:left w:val="nil"/>
              <w:bottom w:val="single" w:sz="4" w:space="0" w:color="auto"/>
              <w:right w:val="single" w:sz="4" w:space="0" w:color="auto"/>
            </w:tcBorders>
            <w:shd w:val="clear" w:color="auto" w:fill="auto"/>
            <w:noWrap/>
            <w:vAlign w:val="center"/>
            <w:hideMark/>
          </w:tcPr>
          <w:p w14:paraId="04D16807"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900691280</w:t>
            </w:r>
          </w:p>
        </w:tc>
        <w:tc>
          <w:tcPr>
            <w:tcW w:w="4844" w:type="dxa"/>
            <w:tcBorders>
              <w:top w:val="nil"/>
              <w:left w:val="nil"/>
              <w:bottom w:val="single" w:sz="4" w:space="0" w:color="auto"/>
              <w:right w:val="single" w:sz="4" w:space="0" w:color="auto"/>
            </w:tcBorders>
            <w:shd w:val="clear" w:color="auto" w:fill="auto"/>
            <w:vAlign w:val="center"/>
            <w:hideMark/>
          </w:tcPr>
          <w:p w14:paraId="70909833"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NITRO ENERGY COLOMBIA S.A.S. E.S.P.</w:t>
            </w:r>
          </w:p>
        </w:tc>
        <w:tc>
          <w:tcPr>
            <w:tcW w:w="1600" w:type="dxa"/>
            <w:tcBorders>
              <w:top w:val="nil"/>
              <w:left w:val="nil"/>
              <w:bottom w:val="single" w:sz="4" w:space="0" w:color="auto"/>
              <w:right w:val="single" w:sz="4" w:space="0" w:color="auto"/>
            </w:tcBorders>
            <w:shd w:val="clear" w:color="auto" w:fill="auto"/>
            <w:noWrap/>
            <w:vAlign w:val="center"/>
            <w:hideMark/>
          </w:tcPr>
          <w:p w14:paraId="762BDD8D"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8.575.209.030 </w:t>
            </w:r>
          </w:p>
        </w:tc>
        <w:tc>
          <w:tcPr>
            <w:tcW w:w="1660" w:type="dxa"/>
            <w:tcBorders>
              <w:top w:val="nil"/>
              <w:left w:val="nil"/>
              <w:bottom w:val="single" w:sz="4" w:space="0" w:color="auto"/>
              <w:right w:val="single" w:sz="4" w:space="0" w:color="auto"/>
            </w:tcBorders>
            <w:shd w:val="clear" w:color="auto" w:fill="auto"/>
            <w:noWrap/>
            <w:vAlign w:val="center"/>
            <w:hideMark/>
          </w:tcPr>
          <w:p w14:paraId="0BDF6256"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16.084.557.200 </w:t>
            </w:r>
          </w:p>
        </w:tc>
      </w:tr>
      <w:tr w:rsidR="009838E7" w:rsidRPr="009838E7" w14:paraId="1E22257A"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1C72C923"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215</w:t>
            </w:r>
          </w:p>
        </w:tc>
        <w:tc>
          <w:tcPr>
            <w:tcW w:w="505" w:type="dxa"/>
            <w:tcBorders>
              <w:top w:val="nil"/>
              <w:left w:val="nil"/>
              <w:bottom w:val="single" w:sz="4" w:space="0" w:color="auto"/>
              <w:right w:val="single" w:sz="4" w:space="0" w:color="auto"/>
            </w:tcBorders>
            <w:shd w:val="clear" w:color="auto" w:fill="auto"/>
            <w:noWrap/>
            <w:vAlign w:val="center"/>
            <w:hideMark/>
          </w:tcPr>
          <w:p w14:paraId="7A9B0BB8"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26817</w:t>
            </w:r>
          </w:p>
        </w:tc>
        <w:tc>
          <w:tcPr>
            <w:tcW w:w="797" w:type="dxa"/>
            <w:tcBorders>
              <w:top w:val="nil"/>
              <w:left w:val="nil"/>
              <w:bottom w:val="single" w:sz="4" w:space="0" w:color="auto"/>
              <w:right w:val="single" w:sz="4" w:space="0" w:color="auto"/>
            </w:tcBorders>
            <w:shd w:val="clear" w:color="auto" w:fill="auto"/>
            <w:noWrap/>
            <w:vAlign w:val="center"/>
            <w:hideMark/>
          </w:tcPr>
          <w:p w14:paraId="291D810A"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900701845</w:t>
            </w:r>
          </w:p>
        </w:tc>
        <w:tc>
          <w:tcPr>
            <w:tcW w:w="4844" w:type="dxa"/>
            <w:tcBorders>
              <w:top w:val="nil"/>
              <w:left w:val="nil"/>
              <w:bottom w:val="single" w:sz="4" w:space="0" w:color="auto"/>
              <w:right w:val="single" w:sz="4" w:space="0" w:color="auto"/>
            </w:tcBorders>
            <w:shd w:val="clear" w:color="auto" w:fill="auto"/>
            <w:vAlign w:val="center"/>
            <w:hideMark/>
          </w:tcPr>
          <w:p w14:paraId="6BEC2563"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GAS PROPANO DE COLOMBIA S.A.S. E.S.P.</w:t>
            </w:r>
          </w:p>
        </w:tc>
        <w:tc>
          <w:tcPr>
            <w:tcW w:w="1600" w:type="dxa"/>
            <w:tcBorders>
              <w:top w:val="nil"/>
              <w:left w:val="nil"/>
              <w:bottom w:val="single" w:sz="4" w:space="0" w:color="auto"/>
              <w:right w:val="single" w:sz="4" w:space="0" w:color="auto"/>
            </w:tcBorders>
            <w:shd w:val="clear" w:color="auto" w:fill="auto"/>
            <w:noWrap/>
            <w:vAlign w:val="center"/>
            <w:hideMark/>
          </w:tcPr>
          <w:p w14:paraId="5D632F1D"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300.213.768 </w:t>
            </w:r>
          </w:p>
        </w:tc>
        <w:tc>
          <w:tcPr>
            <w:tcW w:w="1660" w:type="dxa"/>
            <w:tcBorders>
              <w:top w:val="nil"/>
              <w:left w:val="nil"/>
              <w:bottom w:val="single" w:sz="4" w:space="0" w:color="auto"/>
              <w:right w:val="single" w:sz="4" w:space="0" w:color="auto"/>
            </w:tcBorders>
            <w:shd w:val="clear" w:color="auto" w:fill="auto"/>
            <w:noWrap/>
            <w:vAlign w:val="center"/>
            <w:hideMark/>
          </w:tcPr>
          <w:p w14:paraId="411357F5"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299.225.465 </w:t>
            </w:r>
          </w:p>
        </w:tc>
      </w:tr>
      <w:tr w:rsidR="009838E7" w:rsidRPr="009838E7" w14:paraId="7613E39A"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1F047A23"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216</w:t>
            </w:r>
          </w:p>
        </w:tc>
        <w:tc>
          <w:tcPr>
            <w:tcW w:w="505" w:type="dxa"/>
            <w:tcBorders>
              <w:top w:val="nil"/>
              <w:left w:val="nil"/>
              <w:bottom w:val="single" w:sz="4" w:space="0" w:color="auto"/>
              <w:right w:val="single" w:sz="4" w:space="0" w:color="auto"/>
            </w:tcBorders>
            <w:shd w:val="clear" w:color="auto" w:fill="auto"/>
            <w:noWrap/>
            <w:vAlign w:val="center"/>
            <w:hideMark/>
          </w:tcPr>
          <w:p w14:paraId="09CE48C4"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31493</w:t>
            </w:r>
          </w:p>
        </w:tc>
        <w:tc>
          <w:tcPr>
            <w:tcW w:w="797" w:type="dxa"/>
            <w:tcBorders>
              <w:top w:val="nil"/>
              <w:left w:val="nil"/>
              <w:bottom w:val="single" w:sz="4" w:space="0" w:color="auto"/>
              <w:right w:val="single" w:sz="4" w:space="0" w:color="auto"/>
            </w:tcBorders>
            <w:shd w:val="clear" w:color="auto" w:fill="auto"/>
            <w:noWrap/>
            <w:vAlign w:val="center"/>
            <w:hideMark/>
          </w:tcPr>
          <w:p w14:paraId="49CA3595"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900713658</w:t>
            </w:r>
          </w:p>
        </w:tc>
        <w:tc>
          <w:tcPr>
            <w:tcW w:w="4844" w:type="dxa"/>
            <w:tcBorders>
              <w:top w:val="nil"/>
              <w:left w:val="nil"/>
              <w:bottom w:val="single" w:sz="4" w:space="0" w:color="auto"/>
              <w:right w:val="single" w:sz="4" w:space="0" w:color="auto"/>
            </w:tcBorders>
            <w:shd w:val="clear" w:color="auto" w:fill="auto"/>
            <w:vAlign w:val="center"/>
            <w:hideMark/>
          </w:tcPr>
          <w:p w14:paraId="6D767FAD"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CNE OIL &amp; GAS SAS</w:t>
            </w:r>
          </w:p>
        </w:tc>
        <w:tc>
          <w:tcPr>
            <w:tcW w:w="1600" w:type="dxa"/>
            <w:tcBorders>
              <w:top w:val="nil"/>
              <w:left w:val="nil"/>
              <w:bottom w:val="single" w:sz="4" w:space="0" w:color="auto"/>
              <w:right w:val="single" w:sz="4" w:space="0" w:color="auto"/>
            </w:tcBorders>
            <w:shd w:val="clear" w:color="auto" w:fill="auto"/>
            <w:noWrap/>
            <w:vAlign w:val="center"/>
            <w:hideMark/>
          </w:tcPr>
          <w:p w14:paraId="760CF4EC"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47.587.555.000 </w:t>
            </w:r>
          </w:p>
        </w:tc>
        <w:tc>
          <w:tcPr>
            <w:tcW w:w="1660" w:type="dxa"/>
            <w:tcBorders>
              <w:top w:val="nil"/>
              <w:left w:val="nil"/>
              <w:bottom w:val="single" w:sz="4" w:space="0" w:color="auto"/>
              <w:right w:val="single" w:sz="4" w:space="0" w:color="auto"/>
            </w:tcBorders>
            <w:shd w:val="clear" w:color="auto" w:fill="auto"/>
            <w:noWrap/>
            <w:vAlign w:val="center"/>
            <w:hideMark/>
          </w:tcPr>
          <w:p w14:paraId="6A1D0348"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51.519.840.768 </w:t>
            </w:r>
          </w:p>
        </w:tc>
      </w:tr>
      <w:tr w:rsidR="009838E7" w:rsidRPr="009838E7" w14:paraId="68942903" w14:textId="77777777" w:rsidTr="00092F91">
        <w:trPr>
          <w:trHeight w:val="203"/>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740F9436"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217</w:t>
            </w:r>
          </w:p>
        </w:tc>
        <w:tc>
          <w:tcPr>
            <w:tcW w:w="505" w:type="dxa"/>
            <w:tcBorders>
              <w:top w:val="nil"/>
              <w:left w:val="nil"/>
              <w:bottom w:val="single" w:sz="4" w:space="0" w:color="auto"/>
              <w:right w:val="single" w:sz="4" w:space="0" w:color="auto"/>
            </w:tcBorders>
            <w:shd w:val="clear" w:color="auto" w:fill="auto"/>
            <w:noWrap/>
            <w:vAlign w:val="center"/>
            <w:hideMark/>
          </w:tcPr>
          <w:p w14:paraId="14B5D2D5"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37354</w:t>
            </w:r>
          </w:p>
        </w:tc>
        <w:tc>
          <w:tcPr>
            <w:tcW w:w="797" w:type="dxa"/>
            <w:tcBorders>
              <w:top w:val="nil"/>
              <w:left w:val="nil"/>
              <w:bottom w:val="single" w:sz="4" w:space="0" w:color="auto"/>
              <w:right w:val="single" w:sz="4" w:space="0" w:color="auto"/>
            </w:tcBorders>
            <w:shd w:val="clear" w:color="auto" w:fill="auto"/>
            <w:noWrap/>
            <w:vAlign w:val="center"/>
            <w:hideMark/>
          </w:tcPr>
          <w:p w14:paraId="1E65E88F"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900716459</w:t>
            </w:r>
          </w:p>
        </w:tc>
        <w:tc>
          <w:tcPr>
            <w:tcW w:w="4844" w:type="dxa"/>
            <w:tcBorders>
              <w:top w:val="nil"/>
              <w:left w:val="nil"/>
              <w:bottom w:val="single" w:sz="4" w:space="0" w:color="auto"/>
              <w:right w:val="single" w:sz="4" w:space="0" w:color="auto"/>
            </w:tcBorders>
            <w:shd w:val="clear" w:color="auto" w:fill="auto"/>
            <w:vAlign w:val="center"/>
            <w:hideMark/>
          </w:tcPr>
          <w:p w14:paraId="46976BBF" w14:textId="7F11EF80"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COLOMBIANA DE SERVICIOS PÚBLICOS SOSTENIBLES S.A E.S.P</w:t>
            </w:r>
            <w:r w:rsidR="006F2D43">
              <w:rPr>
                <w:rFonts w:ascii="Arial Narrow" w:hAnsi="Arial Narrow" w:cs="Calibri"/>
                <w:color w:val="000000"/>
                <w:spacing w:val="0"/>
                <w:sz w:val="16"/>
                <w:szCs w:val="16"/>
                <w:lang w:eastAsia="es-CO"/>
              </w:rPr>
              <w:t>.</w:t>
            </w:r>
          </w:p>
        </w:tc>
        <w:tc>
          <w:tcPr>
            <w:tcW w:w="1600" w:type="dxa"/>
            <w:tcBorders>
              <w:top w:val="nil"/>
              <w:left w:val="nil"/>
              <w:bottom w:val="single" w:sz="4" w:space="0" w:color="auto"/>
              <w:right w:val="single" w:sz="4" w:space="0" w:color="auto"/>
            </w:tcBorders>
            <w:shd w:val="clear" w:color="auto" w:fill="auto"/>
            <w:noWrap/>
            <w:vAlign w:val="center"/>
            <w:hideMark/>
          </w:tcPr>
          <w:p w14:paraId="3A0D6843"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263.124.904 </w:t>
            </w:r>
          </w:p>
        </w:tc>
        <w:tc>
          <w:tcPr>
            <w:tcW w:w="1660" w:type="dxa"/>
            <w:tcBorders>
              <w:top w:val="nil"/>
              <w:left w:val="nil"/>
              <w:bottom w:val="single" w:sz="4" w:space="0" w:color="auto"/>
              <w:right w:val="single" w:sz="4" w:space="0" w:color="auto"/>
            </w:tcBorders>
            <w:shd w:val="clear" w:color="auto" w:fill="auto"/>
            <w:noWrap/>
            <w:vAlign w:val="center"/>
            <w:hideMark/>
          </w:tcPr>
          <w:p w14:paraId="2F659F11"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436.401.255 </w:t>
            </w:r>
          </w:p>
        </w:tc>
      </w:tr>
      <w:tr w:rsidR="009838E7" w:rsidRPr="009838E7" w14:paraId="0B30C32C"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16F65021"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218</w:t>
            </w:r>
          </w:p>
        </w:tc>
        <w:tc>
          <w:tcPr>
            <w:tcW w:w="505" w:type="dxa"/>
            <w:tcBorders>
              <w:top w:val="nil"/>
              <w:left w:val="nil"/>
              <w:bottom w:val="single" w:sz="4" w:space="0" w:color="auto"/>
              <w:right w:val="single" w:sz="4" w:space="0" w:color="auto"/>
            </w:tcBorders>
            <w:shd w:val="clear" w:color="auto" w:fill="auto"/>
            <w:noWrap/>
            <w:vAlign w:val="center"/>
            <w:hideMark/>
          </w:tcPr>
          <w:p w14:paraId="026CB505"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27572</w:t>
            </w:r>
          </w:p>
        </w:tc>
        <w:tc>
          <w:tcPr>
            <w:tcW w:w="797" w:type="dxa"/>
            <w:tcBorders>
              <w:top w:val="nil"/>
              <w:left w:val="nil"/>
              <w:bottom w:val="single" w:sz="4" w:space="0" w:color="auto"/>
              <w:right w:val="single" w:sz="4" w:space="0" w:color="auto"/>
            </w:tcBorders>
            <w:shd w:val="clear" w:color="auto" w:fill="auto"/>
            <w:noWrap/>
            <w:vAlign w:val="center"/>
            <w:hideMark/>
          </w:tcPr>
          <w:p w14:paraId="1F6928AE"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900746422</w:t>
            </w:r>
          </w:p>
        </w:tc>
        <w:tc>
          <w:tcPr>
            <w:tcW w:w="4844" w:type="dxa"/>
            <w:tcBorders>
              <w:top w:val="nil"/>
              <w:left w:val="nil"/>
              <w:bottom w:val="single" w:sz="4" w:space="0" w:color="auto"/>
              <w:right w:val="single" w:sz="4" w:space="0" w:color="auto"/>
            </w:tcBorders>
            <w:shd w:val="clear" w:color="auto" w:fill="auto"/>
            <w:vAlign w:val="center"/>
            <w:hideMark/>
          </w:tcPr>
          <w:p w14:paraId="204A66F8"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CEMEX ENERGY SAS ESP</w:t>
            </w:r>
          </w:p>
        </w:tc>
        <w:tc>
          <w:tcPr>
            <w:tcW w:w="1600" w:type="dxa"/>
            <w:tcBorders>
              <w:top w:val="nil"/>
              <w:left w:val="nil"/>
              <w:bottom w:val="single" w:sz="4" w:space="0" w:color="auto"/>
              <w:right w:val="single" w:sz="4" w:space="0" w:color="auto"/>
            </w:tcBorders>
            <w:shd w:val="clear" w:color="auto" w:fill="auto"/>
            <w:noWrap/>
            <w:vAlign w:val="center"/>
            <w:hideMark/>
          </w:tcPr>
          <w:p w14:paraId="615CF4B6"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1.301.067.629 </w:t>
            </w:r>
          </w:p>
        </w:tc>
        <w:tc>
          <w:tcPr>
            <w:tcW w:w="1660" w:type="dxa"/>
            <w:tcBorders>
              <w:top w:val="nil"/>
              <w:left w:val="nil"/>
              <w:bottom w:val="single" w:sz="4" w:space="0" w:color="auto"/>
              <w:right w:val="single" w:sz="4" w:space="0" w:color="auto"/>
            </w:tcBorders>
            <w:shd w:val="clear" w:color="auto" w:fill="auto"/>
            <w:noWrap/>
            <w:vAlign w:val="center"/>
            <w:hideMark/>
          </w:tcPr>
          <w:p w14:paraId="4624C1EF"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2.694.097.430 </w:t>
            </w:r>
          </w:p>
        </w:tc>
      </w:tr>
      <w:tr w:rsidR="009838E7" w:rsidRPr="009838E7" w14:paraId="3827E702"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68BC1E30"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219</w:t>
            </w:r>
          </w:p>
        </w:tc>
        <w:tc>
          <w:tcPr>
            <w:tcW w:w="505" w:type="dxa"/>
            <w:tcBorders>
              <w:top w:val="nil"/>
              <w:left w:val="nil"/>
              <w:bottom w:val="single" w:sz="4" w:space="0" w:color="auto"/>
              <w:right w:val="single" w:sz="4" w:space="0" w:color="auto"/>
            </w:tcBorders>
            <w:shd w:val="clear" w:color="auto" w:fill="auto"/>
            <w:noWrap/>
            <w:vAlign w:val="center"/>
            <w:hideMark/>
          </w:tcPr>
          <w:p w14:paraId="13DF01EA"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30431</w:t>
            </w:r>
          </w:p>
        </w:tc>
        <w:tc>
          <w:tcPr>
            <w:tcW w:w="797" w:type="dxa"/>
            <w:tcBorders>
              <w:top w:val="nil"/>
              <w:left w:val="nil"/>
              <w:bottom w:val="single" w:sz="4" w:space="0" w:color="auto"/>
              <w:right w:val="single" w:sz="4" w:space="0" w:color="auto"/>
            </w:tcBorders>
            <w:shd w:val="clear" w:color="auto" w:fill="auto"/>
            <w:noWrap/>
            <w:vAlign w:val="center"/>
            <w:hideMark/>
          </w:tcPr>
          <w:p w14:paraId="6D5925C1"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900759883</w:t>
            </w:r>
          </w:p>
        </w:tc>
        <w:tc>
          <w:tcPr>
            <w:tcW w:w="4844" w:type="dxa"/>
            <w:tcBorders>
              <w:top w:val="nil"/>
              <w:left w:val="nil"/>
              <w:bottom w:val="single" w:sz="4" w:space="0" w:color="auto"/>
              <w:right w:val="single" w:sz="4" w:space="0" w:color="auto"/>
            </w:tcBorders>
            <w:shd w:val="clear" w:color="auto" w:fill="auto"/>
            <w:vAlign w:val="center"/>
            <w:hideMark/>
          </w:tcPr>
          <w:p w14:paraId="100A3C5A"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CENTRAL HIDROELÉCTRICA CONCORDIA SAS ESP </w:t>
            </w:r>
          </w:p>
        </w:tc>
        <w:tc>
          <w:tcPr>
            <w:tcW w:w="1600" w:type="dxa"/>
            <w:tcBorders>
              <w:top w:val="nil"/>
              <w:left w:val="nil"/>
              <w:bottom w:val="single" w:sz="4" w:space="0" w:color="auto"/>
              <w:right w:val="single" w:sz="4" w:space="0" w:color="auto"/>
            </w:tcBorders>
            <w:shd w:val="clear" w:color="auto" w:fill="auto"/>
            <w:noWrap/>
            <w:vAlign w:val="center"/>
            <w:hideMark/>
          </w:tcPr>
          <w:p w14:paraId="73B9F713"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1.335.674.000 </w:t>
            </w:r>
          </w:p>
        </w:tc>
        <w:tc>
          <w:tcPr>
            <w:tcW w:w="1660" w:type="dxa"/>
            <w:tcBorders>
              <w:top w:val="nil"/>
              <w:left w:val="nil"/>
              <w:bottom w:val="single" w:sz="4" w:space="0" w:color="auto"/>
              <w:right w:val="single" w:sz="4" w:space="0" w:color="auto"/>
            </w:tcBorders>
            <w:shd w:val="clear" w:color="auto" w:fill="auto"/>
            <w:noWrap/>
            <w:vAlign w:val="center"/>
            <w:hideMark/>
          </w:tcPr>
          <w:p w14:paraId="40487E73"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48.713.000 </w:t>
            </w:r>
          </w:p>
        </w:tc>
      </w:tr>
      <w:tr w:rsidR="009838E7" w:rsidRPr="009838E7" w14:paraId="76EA7732"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6DD5FA69"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220</w:t>
            </w:r>
          </w:p>
        </w:tc>
        <w:tc>
          <w:tcPr>
            <w:tcW w:w="505" w:type="dxa"/>
            <w:tcBorders>
              <w:top w:val="nil"/>
              <w:left w:val="nil"/>
              <w:bottom w:val="single" w:sz="4" w:space="0" w:color="auto"/>
              <w:right w:val="single" w:sz="4" w:space="0" w:color="auto"/>
            </w:tcBorders>
            <w:shd w:val="clear" w:color="auto" w:fill="auto"/>
            <w:noWrap/>
            <w:vAlign w:val="center"/>
            <w:hideMark/>
          </w:tcPr>
          <w:p w14:paraId="44F4814F"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27812</w:t>
            </w:r>
          </w:p>
        </w:tc>
        <w:tc>
          <w:tcPr>
            <w:tcW w:w="797" w:type="dxa"/>
            <w:tcBorders>
              <w:top w:val="nil"/>
              <w:left w:val="nil"/>
              <w:bottom w:val="single" w:sz="4" w:space="0" w:color="auto"/>
              <w:right w:val="single" w:sz="4" w:space="0" w:color="auto"/>
            </w:tcBorders>
            <w:shd w:val="clear" w:color="auto" w:fill="auto"/>
            <w:noWrap/>
            <w:vAlign w:val="center"/>
            <w:hideMark/>
          </w:tcPr>
          <w:p w14:paraId="73119494"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900771588</w:t>
            </w:r>
          </w:p>
        </w:tc>
        <w:tc>
          <w:tcPr>
            <w:tcW w:w="4844" w:type="dxa"/>
            <w:tcBorders>
              <w:top w:val="nil"/>
              <w:left w:val="nil"/>
              <w:bottom w:val="single" w:sz="4" w:space="0" w:color="auto"/>
              <w:right w:val="single" w:sz="4" w:space="0" w:color="auto"/>
            </w:tcBorders>
            <w:shd w:val="clear" w:color="auto" w:fill="auto"/>
            <w:vAlign w:val="center"/>
            <w:hideMark/>
          </w:tcPr>
          <w:p w14:paraId="047DECA7"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GAS PAC S.A.S. ESP.</w:t>
            </w:r>
          </w:p>
        </w:tc>
        <w:tc>
          <w:tcPr>
            <w:tcW w:w="1600" w:type="dxa"/>
            <w:tcBorders>
              <w:top w:val="nil"/>
              <w:left w:val="nil"/>
              <w:bottom w:val="single" w:sz="4" w:space="0" w:color="auto"/>
              <w:right w:val="single" w:sz="4" w:space="0" w:color="auto"/>
            </w:tcBorders>
            <w:shd w:val="clear" w:color="auto" w:fill="auto"/>
            <w:noWrap/>
            <w:vAlign w:val="center"/>
            <w:hideMark/>
          </w:tcPr>
          <w:p w14:paraId="6DEC71F2"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279.147.905 </w:t>
            </w:r>
          </w:p>
        </w:tc>
        <w:tc>
          <w:tcPr>
            <w:tcW w:w="1660" w:type="dxa"/>
            <w:tcBorders>
              <w:top w:val="nil"/>
              <w:left w:val="nil"/>
              <w:bottom w:val="single" w:sz="4" w:space="0" w:color="auto"/>
              <w:right w:val="single" w:sz="4" w:space="0" w:color="auto"/>
            </w:tcBorders>
            <w:shd w:val="clear" w:color="auto" w:fill="auto"/>
            <w:noWrap/>
            <w:vAlign w:val="center"/>
            <w:hideMark/>
          </w:tcPr>
          <w:p w14:paraId="22DC425C"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282.893.902 </w:t>
            </w:r>
          </w:p>
        </w:tc>
      </w:tr>
      <w:tr w:rsidR="009838E7" w:rsidRPr="009838E7" w14:paraId="7BE821C7"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1BEBA6B6"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221</w:t>
            </w:r>
          </w:p>
        </w:tc>
        <w:tc>
          <w:tcPr>
            <w:tcW w:w="505" w:type="dxa"/>
            <w:tcBorders>
              <w:top w:val="nil"/>
              <w:left w:val="nil"/>
              <w:bottom w:val="single" w:sz="4" w:space="0" w:color="auto"/>
              <w:right w:val="single" w:sz="4" w:space="0" w:color="auto"/>
            </w:tcBorders>
            <w:shd w:val="clear" w:color="auto" w:fill="auto"/>
            <w:noWrap/>
            <w:vAlign w:val="center"/>
            <w:hideMark/>
          </w:tcPr>
          <w:p w14:paraId="3A675D2C"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27791</w:t>
            </w:r>
          </w:p>
        </w:tc>
        <w:tc>
          <w:tcPr>
            <w:tcW w:w="797" w:type="dxa"/>
            <w:tcBorders>
              <w:top w:val="nil"/>
              <w:left w:val="nil"/>
              <w:bottom w:val="single" w:sz="4" w:space="0" w:color="auto"/>
              <w:right w:val="single" w:sz="4" w:space="0" w:color="auto"/>
            </w:tcBorders>
            <w:shd w:val="clear" w:color="auto" w:fill="auto"/>
            <w:noWrap/>
            <w:vAlign w:val="center"/>
            <w:hideMark/>
          </w:tcPr>
          <w:p w14:paraId="2A6E3EA5"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900778095</w:t>
            </w:r>
          </w:p>
        </w:tc>
        <w:tc>
          <w:tcPr>
            <w:tcW w:w="4844" w:type="dxa"/>
            <w:tcBorders>
              <w:top w:val="nil"/>
              <w:left w:val="nil"/>
              <w:bottom w:val="single" w:sz="4" w:space="0" w:color="auto"/>
              <w:right w:val="single" w:sz="4" w:space="0" w:color="auto"/>
            </w:tcBorders>
            <w:shd w:val="clear" w:color="auto" w:fill="auto"/>
            <w:vAlign w:val="center"/>
            <w:hideMark/>
          </w:tcPr>
          <w:p w14:paraId="62661BBA"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DESARROLLO ELECTRICO DEL SURIA S.A.S. E.S.P.</w:t>
            </w:r>
          </w:p>
        </w:tc>
        <w:tc>
          <w:tcPr>
            <w:tcW w:w="1600" w:type="dxa"/>
            <w:tcBorders>
              <w:top w:val="nil"/>
              <w:left w:val="nil"/>
              <w:bottom w:val="single" w:sz="4" w:space="0" w:color="auto"/>
              <w:right w:val="single" w:sz="4" w:space="0" w:color="auto"/>
            </w:tcBorders>
            <w:shd w:val="clear" w:color="auto" w:fill="auto"/>
            <w:noWrap/>
            <w:vAlign w:val="center"/>
            <w:hideMark/>
          </w:tcPr>
          <w:p w14:paraId="02429BF8"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856.353.067 </w:t>
            </w:r>
          </w:p>
        </w:tc>
        <w:tc>
          <w:tcPr>
            <w:tcW w:w="1660" w:type="dxa"/>
            <w:tcBorders>
              <w:top w:val="nil"/>
              <w:left w:val="nil"/>
              <w:bottom w:val="single" w:sz="4" w:space="0" w:color="auto"/>
              <w:right w:val="single" w:sz="4" w:space="0" w:color="auto"/>
            </w:tcBorders>
            <w:shd w:val="clear" w:color="auto" w:fill="auto"/>
            <w:noWrap/>
            <w:vAlign w:val="center"/>
            <w:hideMark/>
          </w:tcPr>
          <w:p w14:paraId="50663410"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414.312.687 </w:t>
            </w:r>
          </w:p>
        </w:tc>
      </w:tr>
      <w:tr w:rsidR="009838E7" w:rsidRPr="009838E7" w14:paraId="7ED62F71" w14:textId="77777777" w:rsidTr="00092F91">
        <w:trPr>
          <w:trHeight w:val="351"/>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1364C994"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222</w:t>
            </w:r>
          </w:p>
        </w:tc>
        <w:tc>
          <w:tcPr>
            <w:tcW w:w="505" w:type="dxa"/>
            <w:tcBorders>
              <w:top w:val="nil"/>
              <w:left w:val="nil"/>
              <w:bottom w:val="single" w:sz="4" w:space="0" w:color="auto"/>
              <w:right w:val="single" w:sz="4" w:space="0" w:color="auto"/>
            </w:tcBorders>
            <w:shd w:val="clear" w:color="auto" w:fill="auto"/>
            <w:noWrap/>
            <w:vAlign w:val="center"/>
            <w:hideMark/>
          </w:tcPr>
          <w:p w14:paraId="1C95F707"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28111</w:t>
            </w:r>
          </w:p>
        </w:tc>
        <w:tc>
          <w:tcPr>
            <w:tcW w:w="797" w:type="dxa"/>
            <w:tcBorders>
              <w:top w:val="nil"/>
              <w:left w:val="nil"/>
              <w:bottom w:val="single" w:sz="4" w:space="0" w:color="auto"/>
              <w:right w:val="single" w:sz="4" w:space="0" w:color="auto"/>
            </w:tcBorders>
            <w:shd w:val="clear" w:color="auto" w:fill="auto"/>
            <w:noWrap/>
            <w:vAlign w:val="center"/>
            <w:hideMark/>
          </w:tcPr>
          <w:p w14:paraId="40328D3A"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900787764</w:t>
            </w:r>
          </w:p>
        </w:tc>
        <w:tc>
          <w:tcPr>
            <w:tcW w:w="4844" w:type="dxa"/>
            <w:tcBorders>
              <w:top w:val="nil"/>
              <w:left w:val="nil"/>
              <w:bottom w:val="single" w:sz="4" w:space="0" w:color="auto"/>
              <w:right w:val="single" w:sz="4" w:space="0" w:color="auto"/>
            </w:tcBorders>
            <w:shd w:val="clear" w:color="auto" w:fill="auto"/>
            <w:vAlign w:val="center"/>
            <w:hideMark/>
          </w:tcPr>
          <w:p w14:paraId="6E60C10F"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EMPRESA DE SERVICIOS PUBLICOS DE ENERGIA ELECTRICA DEL CAUCA </w:t>
            </w:r>
          </w:p>
        </w:tc>
        <w:tc>
          <w:tcPr>
            <w:tcW w:w="1600" w:type="dxa"/>
            <w:tcBorders>
              <w:top w:val="nil"/>
              <w:left w:val="nil"/>
              <w:bottom w:val="single" w:sz="4" w:space="0" w:color="auto"/>
              <w:right w:val="single" w:sz="4" w:space="0" w:color="auto"/>
            </w:tcBorders>
            <w:shd w:val="clear" w:color="auto" w:fill="auto"/>
            <w:noWrap/>
            <w:vAlign w:val="center"/>
            <w:hideMark/>
          </w:tcPr>
          <w:p w14:paraId="10DB583C"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372.021.721 </w:t>
            </w:r>
          </w:p>
        </w:tc>
        <w:tc>
          <w:tcPr>
            <w:tcW w:w="1660" w:type="dxa"/>
            <w:tcBorders>
              <w:top w:val="nil"/>
              <w:left w:val="nil"/>
              <w:bottom w:val="single" w:sz="4" w:space="0" w:color="auto"/>
              <w:right w:val="single" w:sz="4" w:space="0" w:color="auto"/>
            </w:tcBorders>
            <w:shd w:val="clear" w:color="auto" w:fill="auto"/>
            <w:noWrap/>
            <w:vAlign w:val="center"/>
            <w:hideMark/>
          </w:tcPr>
          <w:p w14:paraId="49D4ABF8"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493.742.297 </w:t>
            </w:r>
          </w:p>
        </w:tc>
      </w:tr>
      <w:tr w:rsidR="009838E7" w:rsidRPr="009838E7" w14:paraId="5B09B472"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79E706E5"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223</w:t>
            </w:r>
          </w:p>
        </w:tc>
        <w:tc>
          <w:tcPr>
            <w:tcW w:w="505" w:type="dxa"/>
            <w:tcBorders>
              <w:top w:val="nil"/>
              <w:left w:val="nil"/>
              <w:bottom w:val="single" w:sz="4" w:space="0" w:color="auto"/>
              <w:right w:val="single" w:sz="4" w:space="0" w:color="auto"/>
            </w:tcBorders>
            <w:shd w:val="clear" w:color="auto" w:fill="auto"/>
            <w:noWrap/>
            <w:vAlign w:val="center"/>
            <w:hideMark/>
          </w:tcPr>
          <w:p w14:paraId="2F008158"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36314</w:t>
            </w:r>
          </w:p>
        </w:tc>
        <w:tc>
          <w:tcPr>
            <w:tcW w:w="797" w:type="dxa"/>
            <w:tcBorders>
              <w:top w:val="nil"/>
              <w:left w:val="nil"/>
              <w:bottom w:val="single" w:sz="4" w:space="0" w:color="auto"/>
              <w:right w:val="single" w:sz="4" w:space="0" w:color="auto"/>
            </w:tcBorders>
            <w:shd w:val="clear" w:color="auto" w:fill="auto"/>
            <w:noWrap/>
            <w:vAlign w:val="center"/>
            <w:hideMark/>
          </w:tcPr>
          <w:p w14:paraId="416ED413"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900851785</w:t>
            </w:r>
          </w:p>
        </w:tc>
        <w:tc>
          <w:tcPr>
            <w:tcW w:w="4844" w:type="dxa"/>
            <w:tcBorders>
              <w:top w:val="nil"/>
              <w:left w:val="nil"/>
              <w:bottom w:val="single" w:sz="4" w:space="0" w:color="auto"/>
              <w:right w:val="single" w:sz="4" w:space="0" w:color="auto"/>
            </w:tcBorders>
            <w:shd w:val="clear" w:color="auto" w:fill="auto"/>
            <w:vAlign w:val="center"/>
            <w:hideMark/>
          </w:tcPr>
          <w:p w14:paraId="53CAC534"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CALAMARI LNG SA ESP</w:t>
            </w:r>
          </w:p>
        </w:tc>
        <w:tc>
          <w:tcPr>
            <w:tcW w:w="1600" w:type="dxa"/>
            <w:tcBorders>
              <w:top w:val="nil"/>
              <w:left w:val="nil"/>
              <w:bottom w:val="single" w:sz="4" w:space="0" w:color="auto"/>
              <w:right w:val="single" w:sz="4" w:space="0" w:color="auto"/>
            </w:tcBorders>
            <w:shd w:val="clear" w:color="auto" w:fill="auto"/>
            <w:noWrap/>
            <w:vAlign w:val="center"/>
            <w:hideMark/>
          </w:tcPr>
          <w:p w14:paraId="24FC2FBD"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1.264.627.000 </w:t>
            </w:r>
          </w:p>
        </w:tc>
        <w:tc>
          <w:tcPr>
            <w:tcW w:w="1660" w:type="dxa"/>
            <w:tcBorders>
              <w:top w:val="nil"/>
              <w:left w:val="nil"/>
              <w:bottom w:val="single" w:sz="4" w:space="0" w:color="auto"/>
              <w:right w:val="single" w:sz="4" w:space="0" w:color="auto"/>
            </w:tcBorders>
            <w:shd w:val="clear" w:color="auto" w:fill="auto"/>
            <w:noWrap/>
            <w:vAlign w:val="center"/>
            <w:hideMark/>
          </w:tcPr>
          <w:p w14:paraId="79C022F3"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1.283.675.000 </w:t>
            </w:r>
          </w:p>
        </w:tc>
      </w:tr>
      <w:tr w:rsidR="009838E7" w:rsidRPr="009838E7" w14:paraId="01D9731C"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1E5C501C"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224</w:t>
            </w:r>
          </w:p>
        </w:tc>
        <w:tc>
          <w:tcPr>
            <w:tcW w:w="505" w:type="dxa"/>
            <w:tcBorders>
              <w:top w:val="nil"/>
              <w:left w:val="nil"/>
              <w:bottom w:val="single" w:sz="4" w:space="0" w:color="auto"/>
              <w:right w:val="single" w:sz="4" w:space="0" w:color="auto"/>
            </w:tcBorders>
            <w:shd w:val="clear" w:color="auto" w:fill="auto"/>
            <w:noWrap/>
            <w:vAlign w:val="center"/>
            <w:hideMark/>
          </w:tcPr>
          <w:p w14:paraId="5679FBB7"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32793</w:t>
            </w:r>
          </w:p>
        </w:tc>
        <w:tc>
          <w:tcPr>
            <w:tcW w:w="797" w:type="dxa"/>
            <w:tcBorders>
              <w:top w:val="nil"/>
              <w:left w:val="nil"/>
              <w:bottom w:val="single" w:sz="4" w:space="0" w:color="auto"/>
              <w:right w:val="single" w:sz="4" w:space="0" w:color="auto"/>
            </w:tcBorders>
            <w:shd w:val="clear" w:color="auto" w:fill="auto"/>
            <w:noWrap/>
            <w:vAlign w:val="center"/>
            <w:hideMark/>
          </w:tcPr>
          <w:p w14:paraId="20BA8881"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900863649</w:t>
            </w:r>
          </w:p>
        </w:tc>
        <w:tc>
          <w:tcPr>
            <w:tcW w:w="4844" w:type="dxa"/>
            <w:tcBorders>
              <w:top w:val="nil"/>
              <w:left w:val="nil"/>
              <w:bottom w:val="single" w:sz="4" w:space="0" w:color="auto"/>
              <w:right w:val="single" w:sz="4" w:space="0" w:color="auto"/>
            </w:tcBorders>
            <w:shd w:val="clear" w:color="auto" w:fill="auto"/>
            <w:vAlign w:val="center"/>
            <w:hideMark/>
          </w:tcPr>
          <w:p w14:paraId="2F137B5B"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COLOMBOGAS S.A.S. E.S.P.</w:t>
            </w:r>
          </w:p>
        </w:tc>
        <w:tc>
          <w:tcPr>
            <w:tcW w:w="1600" w:type="dxa"/>
            <w:tcBorders>
              <w:top w:val="nil"/>
              <w:left w:val="nil"/>
              <w:bottom w:val="single" w:sz="4" w:space="0" w:color="auto"/>
              <w:right w:val="single" w:sz="4" w:space="0" w:color="auto"/>
            </w:tcBorders>
            <w:shd w:val="clear" w:color="auto" w:fill="auto"/>
            <w:noWrap/>
            <w:vAlign w:val="center"/>
            <w:hideMark/>
          </w:tcPr>
          <w:p w14:paraId="19701845"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220.119.108 </w:t>
            </w:r>
          </w:p>
        </w:tc>
        <w:tc>
          <w:tcPr>
            <w:tcW w:w="1660" w:type="dxa"/>
            <w:tcBorders>
              <w:top w:val="nil"/>
              <w:left w:val="nil"/>
              <w:bottom w:val="single" w:sz="4" w:space="0" w:color="auto"/>
              <w:right w:val="single" w:sz="4" w:space="0" w:color="auto"/>
            </w:tcBorders>
            <w:shd w:val="clear" w:color="auto" w:fill="auto"/>
            <w:noWrap/>
            <w:vAlign w:val="center"/>
            <w:hideMark/>
          </w:tcPr>
          <w:p w14:paraId="7C5FCA1B"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239.812.674 </w:t>
            </w:r>
          </w:p>
        </w:tc>
      </w:tr>
      <w:tr w:rsidR="009838E7" w:rsidRPr="009838E7" w14:paraId="745FD599"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0E21B20C"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225</w:t>
            </w:r>
          </w:p>
        </w:tc>
        <w:tc>
          <w:tcPr>
            <w:tcW w:w="505" w:type="dxa"/>
            <w:tcBorders>
              <w:top w:val="nil"/>
              <w:left w:val="nil"/>
              <w:bottom w:val="single" w:sz="4" w:space="0" w:color="auto"/>
              <w:right w:val="single" w:sz="4" w:space="0" w:color="auto"/>
            </w:tcBorders>
            <w:shd w:val="clear" w:color="auto" w:fill="auto"/>
            <w:noWrap/>
            <w:vAlign w:val="center"/>
            <w:hideMark/>
          </w:tcPr>
          <w:p w14:paraId="3DB824AB"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30111</w:t>
            </w:r>
          </w:p>
        </w:tc>
        <w:tc>
          <w:tcPr>
            <w:tcW w:w="797" w:type="dxa"/>
            <w:tcBorders>
              <w:top w:val="nil"/>
              <w:left w:val="nil"/>
              <w:bottom w:val="single" w:sz="4" w:space="0" w:color="auto"/>
              <w:right w:val="single" w:sz="4" w:space="0" w:color="auto"/>
            </w:tcBorders>
            <w:shd w:val="clear" w:color="auto" w:fill="auto"/>
            <w:noWrap/>
            <w:vAlign w:val="center"/>
            <w:hideMark/>
          </w:tcPr>
          <w:p w14:paraId="5C638857"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900879149</w:t>
            </w:r>
          </w:p>
        </w:tc>
        <w:tc>
          <w:tcPr>
            <w:tcW w:w="4844" w:type="dxa"/>
            <w:tcBorders>
              <w:top w:val="nil"/>
              <w:left w:val="nil"/>
              <w:bottom w:val="single" w:sz="4" w:space="0" w:color="auto"/>
              <w:right w:val="single" w:sz="4" w:space="0" w:color="auto"/>
            </w:tcBorders>
            <w:shd w:val="clear" w:color="auto" w:fill="auto"/>
            <w:vAlign w:val="center"/>
            <w:hideMark/>
          </w:tcPr>
          <w:p w14:paraId="717251BC" w14:textId="045CCA19"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CONELCA S.A.S.  E.S.P.</w:t>
            </w:r>
          </w:p>
        </w:tc>
        <w:tc>
          <w:tcPr>
            <w:tcW w:w="1600" w:type="dxa"/>
            <w:tcBorders>
              <w:top w:val="nil"/>
              <w:left w:val="nil"/>
              <w:bottom w:val="single" w:sz="4" w:space="0" w:color="auto"/>
              <w:right w:val="single" w:sz="4" w:space="0" w:color="auto"/>
            </w:tcBorders>
            <w:shd w:val="clear" w:color="auto" w:fill="auto"/>
            <w:noWrap/>
            <w:vAlign w:val="center"/>
            <w:hideMark/>
          </w:tcPr>
          <w:p w14:paraId="49B69B39"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393.825.000 </w:t>
            </w:r>
          </w:p>
        </w:tc>
        <w:tc>
          <w:tcPr>
            <w:tcW w:w="1660" w:type="dxa"/>
            <w:tcBorders>
              <w:top w:val="nil"/>
              <w:left w:val="nil"/>
              <w:bottom w:val="single" w:sz="4" w:space="0" w:color="auto"/>
              <w:right w:val="single" w:sz="4" w:space="0" w:color="auto"/>
            </w:tcBorders>
            <w:shd w:val="clear" w:color="auto" w:fill="auto"/>
            <w:noWrap/>
            <w:vAlign w:val="center"/>
            <w:hideMark/>
          </w:tcPr>
          <w:p w14:paraId="7D6DB258"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354.124.000 </w:t>
            </w:r>
          </w:p>
        </w:tc>
      </w:tr>
      <w:tr w:rsidR="009838E7" w:rsidRPr="009838E7" w14:paraId="663A9FCF" w14:textId="77777777" w:rsidTr="00092F91">
        <w:trPr>
          <w:trHeight w:val="597"/>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1B9243B3"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226</w:t>
            </w:r>
          </w:p>
        </w:tc>
        <w:tc>
          <w:tcPr>
            <w:tcW w:w="505" w:type="dxa"/>
            <w:tcBorders>
              <w:top w:val="nil"/>
              <w:left w:val="nil"/>
              <w:bottom w:val="single" w:sz="4" w:space="0" w:color="auto"/>
              <w:right w:val="single" w:sz="4" w:space="0" w:color="auto"/>
            </w:tcBorders>
            <w:shd w:val="clear" w:color="auto" w:fill="auto"/>
            <w:noWrap/>
            <w:vAlign w:val="center"/>
            <w:hideMark/>
          </w:tcPr>
          <w:p w14:paraId="553BD9E8"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36695</w:t>
            </w:r>
          </w:p>
        </w:tc>
        <w:tc>
          <w:tcPr>
            <w:tcW w:w="797" w:type="dxa"/>
            <w:tcBorders>
              <w:top w:val="nil"/>
              <w:left w:val="nil"/>
              <w:bottom w:val="single" w:sz="4" w:space="0" w:color="auto"/>
              <w:right w:val="single" w:sz="4" w:space="0" w:color="auto"/>
            </w:tcBorders>
            <w:shd w:val="clear" w:color="auto" w:fill="auto"/>
            <w:noWrap/>
            <w:vAlign w:val="center"/>
            <w:hideMark/>
          </w:tcPr>
          <w:p w14:paraId="742375BD"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900883057</w:t>
            </w:r>
          </w:p>
        </w:tc>
        <w:tc>
          <w:tcPr>
            <w:tcW w:w="4844" w:type="dxa"/>
            <w:tcBorders>
              <w:top w:val="nil"/>
              <w:left w:val="nil"/>
              <w:bottom w:val="single" w:sz="4" w:space="0" w:color="auto"/>
              <w:right w:val="single" w:sz="4" w:space="0" w:color="auto"/>
            </w:tcBorders>
            <w:shd w:val="clear" w:color="auto" w:fill="auto"/>
            <w:vAlign w:val="center"/>
            <w:hideMark/>
          </w:tcPr>
          <w:p w14:paraId="0F68D969"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DISTRIBUIDORA DE GAS DEL FONCE SOCIEDAD POR ACCIONES SIMPLIFICADA EMPRESA DE SERVICIO PUBLICOS DOMICILIARIOS S.A.S. E.S.P.</w:t>
            </w:r>
          </w:p>
        </w:tc>
        <w:tc>
          <w:tcPr>
            <w:tcW w:w="1600" w:type="dxa"/>
            <w:tcBorders>
              <w:top w:val="nil"/>
              <w:left w:val="nil"/>
              <w:bottom w:val="single" w:sz="4" w:space="0" w:color="auto"/>
              <w:right w:val="single" w:sz="4" w:space="0" w:color="auto"/>
            </w:tcBorders>
            <w:shd w:val="clear" w:color="auto" w:fill="auto"/>
            <w:noWrap/>
            <w:vAlign w:val="center"/>
            <w:hideMark/>
          </w:tcPr>
          <w:p w14:paraId="44694D76"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121.317.064 </w:t>
            </w:r>
          </w:p>
        </w:tc>
        <w:tc>
          <w:tcPr>
            <w:tcW w:w="1660" w:type="dxa"/>
            <w:tcBorders>
              <w:top w:val="nil"/>
              <w:left w:val="nil"/>
              <w:bottom w:val="single" w:sz="4" w:space="0" w:color="auto"/>
              <w:right w:val="single" w:sz="4" w:space="0" w:color="auto"/>
            </w:tcBorders>
            <w:shd w:val="clear" w:color="auto" w:fill="auto"/>
            <w:noWrap/>
            <w:vAlign w:val="center"/>
            <w:hideMark/>
          </w:tcPr>
          <w:p w14:paraId="16CD8A2D"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64.394.293 </w:t>
            </w:r>
          </w:p>
        </w:tc>
      </w:tr>
      <w:tr w:rsidR="009838E7" w:rsidRPr="009838E7" w14:paraId="754C35A6"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7211C2A1"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lastRenderedPageBreak/>
              <w:t>227</w:t>
            </w:r>
          </w:p>
        </w:tc>
        <w:tc>
          <w:tcPr>
            <w:tcW w:w="505" w:type="dxa"/>
            <w:tcBorders>
              <w:top w:val="nil"/>
              <w:left w:val="nil"/>
              <w:bottom w:val="single" w:sz="4" w:space="0" w:color="auto"/>
              <w:right w:val="single" w:sz="4" w:space="0" w:color="auto"/>
            </w:tcBorders>
            <w:shd w:val="clear" w:color="auto" w:fill="auto"/>
            <w:noWrap/>
            <w:vAlign w:val="center"/>
            <w:hideMark/>
          </w:tcPr>
          <w:p w14:paraId="2E64930D"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32453</w:t>
            </w:r>
          </w:p>
        </w:tc>
        <w:tc>
          <w:tcPr>
            <w:tcW w:w="797" w:type="dxa"/>
            <w:tcBorders>
              <w:top w:val="nil"/>
              <w:left w:val="nil"/>
              <w:bottom w:val="single" w:sz="4" w:space="0" w:color="auto"/>
              <w:right w:val="single" w:sz="4" w:space="0" w:color="auto"/>
            </w:tcBorders>
            <w:shd w:val="clear" w:color="auto" w:fill="auto"/>
            <w:noWrap/>
            <w:vAlign w:val="center"/>
            <w:hideMark/>
          </w:tcPr>
          <w:p w14:paraId="636A173D"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900912454</w:t>
            </w:r>
          </w:p>
        </w:tc>
        <w:tc>
          <w:tcPr>
            <w:tcW w:w="4844" w:type="dxa"/>
            <w:tcBorders>
              <w:top w:val="nil"/>
              <w:left w:val="nil"/>
              <w:bottom w:val="single" w:sz="4" w:space="0" w:color="auto"/>
              <w:right w:val="single" w:sz="4" w:space="0" w:color="auto"/>
            </w:tcBorders>
            <w:shd w:val="clear" w:color="auto" w:fill="auto"/>
            <w:vAlign w:val="center"/>
            <w:hideMark/>
          </w:tcPr>
          <w:p w14:paraId="780A5DDE" w14:textId="7F0F79D6"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ENERGY GAS S.A.S. E.S.P</w:t>
            </w:r>
            <w:r w:rsidR="006F2D43">
              <w:rPr>
                <w:rFonts w:ascii="Arial Narrow" w:hAnsi="Arial Narrow" w:cs="Calibri"/>
                <w:color w:val="000000"/>
                <w:spacing w:val="0"/>
                <w:sz w:val="16"/>
                <w:szCs w:val="16"/>
                <w:lang w:eastAsia="es-CO"/>
              </w:rPr>
              <w:t>.</w:t>
            </w:r>
          </w:p>
        </w:tc>
        <w:tc>
          <w:tcPr>
            <w:tcW w:w="1600" w:type="dxa"/>
            <w:tcBorders>
              <w:top w:val="nil"/>
              <w:left w:val="nil"/>
              <w:bottom w:val="single" w:sz="4" w:space="0" w:color="auto"/>
              <w:right w:val="single" w:sz="4" w:space="0" w:color="auto"/>
            </w:tcBorders>
            <w:shd w:val="clear" w:color="auto" w:fill="auto"/>
            <w:noWrap/>
            <w:vAlign w:val="center"/>
            <w:hideMark/>
          </w:tcPr>
          <w:p w14:paraId="40BFFE44"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1.021.102.893 </w:t>
            </w:r>
          </w:p>
        </w:tc>
        <w:tc>
          <w:tcPr>
            <w:tcW w:w="1660" w:type="dxa"/>
            <w:tcBorders>
              <w:top w:val="nil"/>
              <w:left w:val="nil"/>
              <w:bottom w:val="single" w:sz="4" w:space="0" w:color="auto"/>
              <w:right w:val="single" w:sz="4" w:space="0" w:color="auto"/>
            </w:tcBorders>
            <w:shd w:val="clear" w:color="auto" w:fill="auto"/>
            <w:noWrap/>
            <w:vAlign w:val="center"/>
            <w:hideMark/>
          </w:tcPr>
          <w:p w14:paraId="208A50D8"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1.176.683.599 </w:t>
            </w:r>
          </w:p>
        </w:tc>
      </w:tr>
      <w:tr w:rsidR="009838E7" w:rsidRPr="009838E7" w14:paraId="18298DF1"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07B31094"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228</w:t>
            </w:r>
          </w:p>
        </w:tc>
        <w:tc>
          <w:tcPr>
            <w:tcW w:w="505" w:type="dxa"/>
            <w:tcBorders>
              <w:top w:val="nil"/>
              <w:left w:val="nil"/>
              <w:bottom w:val="single" w:sz="4" w:space="0" w:color="auto"/>
              <w:right w:val="single" w:sz="4" w:space="0" w:color="auto"/>
            </w:tcBorders>
            <w:shd w:val="clear" w:color="auto" w:fill="auto"/>
            <w:noWrap/>
            <w:vAlign w:val="center"/>
            <w:hideMark/>
          </w:tcPr>
          <w:p w14:paraId="7B8FA733"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32353</w:t>
            </w:r>
          </w:p>
        </w:tc>
        <w:tc>
          <w:tcPr>
            <w:tcW w:w="797" w:type="dxa"/>
            <w:tcBorders>
              <w:top w:val="nil"/>
              <w:left w:val="nil"/>
              <w:bottom w:val="single" w:sz="4" w:space="0" w:color="auto"/>
              <w:right w:val="single" w:sz="4" w:space="0" w:color="auto"/>
            </w:tcBorders>
            <w:shd w:val="clear" w:color="auto" w:fill="auto"/>
            <w:noWrap/>
            <w:vAlign w:val="center"/>
            <w:hideMark/>
          </w:tcPr>
          <w:p w14:paraId="510E3A86"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900921416</w:t>
            </w:r>
          </w:p>
        </w:tc>
        <w:tc>
          <w:tcPr>
            <w:tcW w:w="4844" w:type="dxa"/>
            <w:tcBorders>
              <w:top w:val="nil"/>
              <w:left w:val="nil"/>
              <w:bottom w:val="single" w:sz="4" w:space="0" w:color="auto"/>
              <w:right w:val="single" w:sz="4" w:space="0" w:color="auto"/>
            </w:tcBorders>
            <w:shd w:val="clear" w:color="auto" w:fill="auto"/>
            <w:vAlign w:val="center"/>
            <w:hideMark/>
          </w:tcPr>
          <w:p w14:paraId="29E80F35"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ENERGIA ELECTRICA DE LA COSTA ATLANTICA S.A.S. E.S.P.</w:t>
            </w:r>
          </w:p>
        </w:tc>
        <w:tc>
          <w:tcPr>
            <w:tcW w:w="1600" w:type="dxa"/>
            <w:tcBorders>
              <w:top w:val="nil"/>
              <w:left w:val="nil"/>
              <w:bottom w:val="single" w:sz="4" w:space="0" w:color="auto"/>
              <w:right w:val="single" w:sz="4" w:space="0" w:color="auto"/>
            </w:tcBorders>
            <w:shd w:val="clear" w:color="auto" w:fill="auto"/>
            <w:noWrap/>
            <w:vAlign w:val="center"/>
            <w:hideMark/>
          </w:tcPr>
          <w:p w14:paraId="469C26A4"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232.483.000 </w:t>
            </w:r>
          </w:p>
        </w:tc>
        <w:tc>
          <w:tcPr>
            <w:tcW w:w="1660" w:type="dxa"/>
            <w:tcBorders>
              <w:top w:val="nil"/>
              <w:left w:val="nil"/>
              <w:bottom w:val="single" w:sz="4" w:space="0" w:color="auto"/>
              <w:right w:val="single" w:sz="4" w:space="0" w:color="auto"/>
            </w:tcBorders>
            <w:shd w:val="clear" w:color="auto" w:fill="auto"/>
            <w:noWrap/>
            <w:vAlign w:val="center"/>
            <w:hideMark/>
          </w:tcPr>
          <w:p w14:paraId="6F8338DE"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326.970.000 </w:t>
            </w:r>
          </w:p>
        </w:tc>
      </w:tr>
      <w:tr w:rsidR="009838E7" w:rsidRPr="009838E7" w14:paraId="2A91E5BE"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0D37229B"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229</w:t>
            </w:r>
          </w:p>
        </w:tc>
        <w:tc>
          <w:tcPr>
            <w:tcW w:w="505" w:type="dxa"/>
            <w:tcBorders>
              <w:top w:val="nil"/>
              <w:left w:val="nil"/>
              <w:bottom w:val="single" w:sz="4" w:space="0" w:color="auto"/>
              <w:right w:val="single" w:sz="4" w:space="0" w:color="auto"/>
            </w:tcBorders>
            <w:shd w:val="clear" w:color="auto" w:fill="auto"/>
            <w:noWrap/>
            <w:vAlign w:val="center"/>
            <w:hideMark/>
          </w:tcPr>
          <w:p w14:paraId="173755CC"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32215</w:t>
            </w:r>
          </w:p>
        </w:tc>
        <w:tc>
          <w:tcPr>
            <w:tcW w:w="797" w:type="dxa"/>
            <w:tcBorders>
              <w:top w:val="nil"/>
              <w:left w:val="nil"/>
              <w:bottom w:val="single" w:sz="4" w:space="0" w:color="auto"/>
              <w:right w:val="single" w:sz="4" w:space="0" w:color="auto"/>
            </w:tcBorders>
            <w:shd w:val="clear" w:color="auto" w:fill="auto"/>
            <w:noWrap/>
            <w:vAlign w:val="center"/>
            <w:hideMark/>
          </w:tcPr>
          <w:p w14:paraId="40E34382"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900922760</w:t>
            </w:r>
          </w:p>
        </w:tc>
        <w:tc>
          <w:tcPr>
            <w:tcW w:w="4844" w:type="dxa"/>
            <w:tcBorders>
              <w:top w:val="nil"/>
              <w:left w:val="nil"/>
              <w:bottom w:val="single" w:sz="4" w:space="0" w:color="auto"/>
              <w:right w:val="single" w:sz="4" w:space="0" w:color="auto"/>
            </w:tcBorders>
            <w:shd w:val="clear" w:color="auto" w:fill="auto"/>
            <w:vAlign w:val="center"/>
            <w:hideMark/>
          </w:tcPr>
          <w:p w14:paraId="69A1A83E"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GLOBAL, REDES Y OBRAS S.A.S. E.S.P. </w:t>
            </w:r>
          </w:p>
        </w:tc>
        <w:tc>
          <w:tcPr>
            <w:tcW w:w="1600" w:type="dxa"/>
            <w:tcBorders>
              <w:top w:val="nil"/>
              <w:left w:val="nil"/>
              <w:bottom w:val="single" w:sz="4" w:space="0" w:color="auto"/>
              <w:right w:val="single" w:sz="4" w:space="0" w:color="auto"/>
            </w:tcBorders>
            <w:shd w:val="clear" w:color="auto" w:fill="auto"/>
            <w:noWrap/>
            <w:vAlign w:val="center"/>
            <w:hideMark/>
          </w:tcPr>
          <w:p w14:paraId="79C04071"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295.875.612 </w:t>
            </w:r>
          </w:p>
        </w:tc>
        <w:tc>
          <w:tcPr>
            <w:tcW w:w="1660" w:type="dxa"/>
            <w:tcBorders>
              <w:top w:val="nil"/>
              <w:left w:val="nil"/>
              <w:bottom w:val="single" w:sz="4" w:space="0" w:color="auto"/>
              <w:right w:val="single" w:sz="4" w:space="0" w:color="auto"/>
            </w:tcBorders>
            <w:shd w:val="clear" w:color="auto" w:fill="auto"/>
            <w:noWrap/>
            <w:vAlign w:val="center"/>
            <w:hideMark/>
          </w:tcPr>
          <w:p w14:paraId="5F751ACC"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186.726.536 </w:t>
            </w:r>
          </w:p>
        </w:tc>
      </w:tr>
      <w:tr w:rsidR="009838E7" w:rsidRPr="009838E7" w14:paraId="3E439F58"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3A277780"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230</w:t>
            </w:r>
          </w:p>
        </w:tc>
        <w:tc>
          <w:tcPr>
            <w:tcW w:w="505" w:type="dxa"/>
            <w:tcBorders>
              <w:top w:val="nil"/>
              <w:left w:val="nil"/>
              <w:bottom w:val="single" w:sz="4" w:space="0" w:color="auto"/>
              <w:right w:val="single" w:sz="4" w:space="0" w:color="auto"/>
            </w:tcBorders>
            <w:shd w:val="clear" w:color="auto" w:fill="auto"/>
            <w:noWrap/>
            <w:vAlign w:val="center"/>
            <w:hideMark/>
          </w:tcPr>
          <w:p w14:paraId="17203C4C"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32374</w:t>
            </w:r>
          </w:p>
        </w:tc>
        <w:tc>
          <w:tcPr>
            <w:tcW w:w="797" w:type="dxa"/>
            <w:tcBorders>
              <w:top w:val="nil"/>
              <w:left w:val="nil"/>
              <w:bottom w:val="single" w:sz="4" w:space="0" w:color="auto"/>
              <w:right w:val="single" w:sz="4" w:space="0" w:color="auto"/>
            </w:tcBorders>
            <w:shd w:val="clear" w:color="auto" w:fill="auto"/>
            <w:noWrap/>
            <w:vAlign w:val="center"/>
            <w:hideMark/>
          </w:tcPr>
          <w:p w14:paraId="4AB5FE6F"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900932147</w:t>
            </w:r>
          </w:p>
        </w:tc>
        <w:tc>
          <w:tcPr>
            <w:tcW w:w="4844" w:type="dxa"/>
            <w:tcBorders>
              <w:top w:val="nil"/>
              <w:left w:val="nil"/>
              <w:bottom w:val="single" w:sz="4" w:space="0" w:color="auto"/>
              <w:right w:val="single" w:sz="4" w:space="0" w:color="auto"/>
            </w:tcBorders>
            <w:shd w:val="clear" w:color="auto" w:fill="auto"/>
            <w:vAlign w:val="center"/>
            <w:hideMark/>
          </w:tcPr>
          <w:p w14:paraId="42EEC576"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AMPERIA SA ESP</w:t>
            </w:r>
          </w:p>
        </w:tc>
        <w:tc>
          <w:tcPr>
            <w:tcW w:w="1600" w:type="dxa"/>
            <w:tcBorders>
              <w:top w:val="nil"/>
              <w:left w:val="nil"/>
              <w:bottom w:val="single" w:sz="4" w:space="0" w:color="auto"/>
              <w:right w:val="single" w:sz="4" w:space="0" w:color="auto"/>
            </w:tcBorders>
            <w:shd w:val="clear" w:color="auto" w:fill="auto"/>
            <w:noWrap/>
            <w:vAlign w:val="center"/>
            <w:hideMark/>
          </w:tcPr>
          <w:p w14:paraId="5D1A113D"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2.850.312.792 </w:t>
            </w:r>
          </w:p>
        </w:tc>
        <w:tc>
          <w:tcPr>
            <w:tcW w:w="1660" w:type="dxa"/>
            <w:tcBorders>
              <w:top w:val="nil"/>
              <w:left w:val="nil"/>
              <w:bottom w:val="single" w:sz="4" w:space="0" w:color="auto"/>
              <w:right w:val="single" w:sz="4" w:space="0" w:color="auto"/>
            </w:tcBorders>
            <w:shd w:val="clear" w:color="auto" w:fill="auto"/>
            <w:noWrap/>
            <w:vAlign w:val="center"/>
            <w:hideMark/>
          </w:tcPr>
          <w:p w14:paraId="4C14350A"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787.635.183 </w:t>
            </w:r>
          </w:p>
        </w:tc>
      </w:tr>
      <w:tr w:rsidR="009838E7" w:rsidRPr="009838E7" w14:paraId="7EA21854"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4344BD39"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231</w:t>
            </w:r>
          </w:p>
        </w:tc>
        <w:tc>
          <w:tcPr>
            <w:tcW w:w="505" w:type="dxa"/>
            <w:tcBorders>
              <w:top w:val="nil"/>
              <w:left w:val="nil"/>
              <w:bottom w:val="single" w:sz="4" w:space="0" w:color="auto"/>
              <w:right w:val="single" w:sz="4" w:space="0" w:color="auto"/>
            </w:tcBorders>
            <w:shd w:val="clear" w:color="auto" w:fill="auto"/>
            <w:noWrap/>
            <w:vAlign w:val="center"/>
            <w:hideMark/>
          </w:tcPr>
          <w:p w14:paraId="3F1C0DC5"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32773</w:t>
            </w:r>
          </w:p>
        </w:tc>
        <w:tc>
          <w:tcPr>
            <w:tcW w:w="797" w:type="dxa"/>
            <w:tcBorders>
              <w:top w:val="nil"/>
              <w:left w:val="nil"/>
              <w:bottom w:val="single" w:sz="4" w:space="0" w:color="auto"/>
              <w:right w:val="single" w:sz="4" w:space="0" w:color="auto"/>
            </w:tcBorders>
            <w:shd w:val="clear" w:color="auto" w:fill="auto"/>
            <w:noWrap/>
            <w:vAlign w:val="center"/>
            <w:hideMark/>
          </w:tcPr>
          <w:p w14:paraId="32492525"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900949673</w:t>
            </w:r>
          </w:p>
        </w:tc>
        <w:tc>
          <w:tcPr>
            <w:tcW w:w="4844" w:type="dxa"/>
            <w:tcBorders>
              <w:top w:val="nil"/>
              <w:left w:val="nil"/>
              <w:bottom w:val="single" w:sz="4" w:space="0" w:color="auto"/>
              <w:right w:val="single" w:sz="4" w:space="0" w:color="auto"/>
            </w:tcBorders>
            <w:shd w:val="clear" w:color="auto" w:fill="auto"/>
            <w:vAlign w:val="center"/>
            <w:hideMark/>
          </w:tcPr>
          <w:p w14:paraId="3B22C978"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SMARTEN SAS ESP</w:t>
            </w:r>
          </w:p>
        </w:tc>
        <w:tc>
          <w:tcPr>
            <w:tcW w:w="1600" w:type="dxa"/>
            <w:tcBorders>
              <w:top w:val="nil"/>
              <w:left w:val="nil"/>
              <w:bottom w:val="single" w:sz="4" w:space="0" w:color="auto"/>
              <w:right w:val="single" w:sz="4" w:space="0" w:color="auto"/>
            </w:tcBorders>
            <w:shd w:val="clear" w:color="auto" w:fill="auto"/>
            <w:noWrap/>
            <w:vAlign w:val="center"/>
            <w:hideMark/>
          </w:tcPr>
          <w:p w14:paraId="4097CFF1"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1.509.235.000 </w:t>
            </w:r>
          </w:p>
        </w:tc>
        <w:tc>
          <w:tcPr>
            <w:tcW w:w="1660" w:type="dxa"/>
            <w:tcBorders>
              <w:top w:val="nil"/>
              <w:left w:val="nil"/>
              <w:bottom w:val="single" w:sz="4" w:space="0" w:color="auto"/>
              <w:right w:val="single" w:sz="4" w:space="0" w:color="auto"/>
            </w:tcBorders>
            <w:shd w:val="clear" w:color="auto" w:fill="auto"/>
            <w:noWrap/>
            <w:vAlign w:val="center"/>
            <w:hideMark/>
          </w:tcPr>
          <w:p w14:paraId="1B11381B"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1.262.331.000 </w:t>
            </w:r>
          </w:p>
        </w:tc>
      </w:tr>
      <w:tr w:rsidR="009838E7" w:rsidRPr="009838E7" w14:paraId="32C71265" w14:textId="77777777" w:rsidTr="00092F91">
        <w:trPr>
          <w:trHeight w:val="370"/>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2B8C5B62"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232</w:t>
            </w:r>
          </w:p>
        </w:tc>
        <w:tc>
          <w:tcPr>
            <w:tcW w:w="505" w:type="dxa"/>
            <w:tcBorders>
              <w:top w:val="nil"/>
              <w:left w:val="nil"/>
              <w:bottom w:val="single" w:sz="4" w:space="0" w:color="auto"/>
              <w:right w:val="single" w:sz="4" w:space="0" w:color="auto"/>
            </w:tcBorders>
            <w:shd w:val="clear" w:color="auto" w:fill="auto"/>
            <w:noWrap/>
            <w:vAlign w:val="center"/>
            <w:hideMark/>
          </w:tcPr>
          <w:p w14:paraId="429A84A9"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34833</w:t>
            </w:r>
          </w:p>
        </w:tc>
        <w:tc>
          <w:tcPr>
            <w:tcW w:w="797" w:type="dxa"/>
            <w:tcBorders>
              <w:top w:val="nil"/>
              <w:left w:val="nil"/>
              <w:bottom w:val="single" w:sz="4" w:space="0" w:color="auto"/>
              <w:right w:val="single" w:sz="4" w:space="0" w:color="auto"/>
            </w:tcBorders>
            <w:shd w:val="clear" w:color="auto" w:fill="auto"/>
            <w:noWrap/>
            <w:vAlign w:val="center"/>
            <w:hideMark/>
          </w:tcPr>
          <w:p w14:paraId="3CE01ADD"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900963765</w:t>
            </w:r>
          </w:p>
        </w:tc>
        <w:tc>
          <w:tcPr>
            <w:tcW w:w="4844" w:type="dxa"/>
            <w:tcBorders>
              <w:top w:val="nil"/>
              <w:left w:val="nil"/>
              <w:bottom w:val="single" w:sz="4" w:space="0" w:color="auto"/>
              <w:right w:val="single" w:sz="4" w:space="0" w:color="auto"/>
            </w:tcBorders>
            <w:shd w:val="clear" w:color="auto" w:fill="auto"/>
            <w:vAlign w:val="center"/>
            <w:hideMark/>
          </w:tcPr>
          <w:p w14:paraId="7C737775"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EMPRESA ASOCIATIVA DE TRABAJO ELECTRIFICADORA DEL PACIFICO SUR</w:t>
            </w:r>
          </w:p>
        </w:tc>
        <w:tc>
          <w:tcPr>
            <w:tcW w:w="1600" w:type="dxa"/>
            <w:tcBorders>
              <w:top w:val="nil"/>
              <w:left w:val="nil"/>
              <w:bottom w:val="single" w:sz="4" w:space="0" w:color="auto"/>
              <w:right w:val="single" w:sz="4" w:space="0" w:color="auto"/>
            </w:tcBorders>
            <w:shd w:val="clear" w:color="auto" w:fill="auto"/>
            <w:noWrap/>
            <w:vAlign w:val="center"/>
            <w:hideMark/>
          </w:tcPr>
          <w:p w14:paraId="74BAC846"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449.118.982 </w:t>
            </w:r>
          </w:p>
        </w:tc>
        <w:tc>
          <w:tcPr>
            <w:tcW w:w="1660" w:type="dxa"/>
            <w:tcBorders>
              <w:top w:val="nil"/>
              <w:left w:val="nil"/>
              <w:bottom w:val="single" w:sz="4" w:space="0" w:color="auto"/>
              <w:right w:val="single" w:sz="4" w:space="0" w:color="auto"/>
            </w:tcBorders>
            <w:shd w:val="clear" w:color="auto" w:fill="auto"/>
            <w:noWrap/>
            <w:vAlign w:val="center"/>
            <w:hideMark/>
          </w:tcPr>
          <w:p w14:paraId="3CA2208A"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482.706.013 </w:t>
            </w:r>
          </w:p>
        </w:tc>
      </w:tr>
      <w:tr w:rsidR="009838E7" w:rsidRPr="009838E7" w14:paraId="6579C1FA"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1A197261"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233</w:t>
            </w:r>
          </w:p>
        </w:tc>
        <w:tc>
          <w:tcPr>
            <w:tcW w:w="505" w:type="dxa"/>
            <w:tcBorders>
              <w:top w:val="nil"/>
              <w:left w:val="nil"/>
              <w:bottom w:val="single" w:sz="4" w:space="0" w:color="auto"/>
              <w:right w:val="single" w:sz="4" w:space="0" w:color="auto"/>
            </w:tcBorders>
            <w:shd w:val="clear" w:color="auto" w:fill="auto"/>
            <w:noWrap/>
            <w:vAlign w:val="center"/>
            <w:hideMark/>
          </w:tcPr>
          <w:p w14:paraId="5D45A3DE"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33453</w:t>
            </w:r>
          </w:p>
        </w:tc>
        <w:tc>
          <w:tcPr>
            <w:tcW w:w="797" w:type="dxa"/>
            <w:tcBorders>
              <w:top w:val="nil"/>
              <w:left w:val="nil"/>
              <w:bottom w:val="single" w:sz="4" w:space="0" w:color="auto"/>
              <w:right w:val="single" w:sz="4" w:space="0" w:color="auto"/>
            </w:tcBorders>
            <w:shd w:val="clear" w:color="auto" w:fill="auto"/>
            <w:noWrap/>
            <w:vAlign w:val="center"/>
            <w:hideMark/>
          </w:tcPr>
          <w:p w14:paraId="53AC5111"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900970665</w:t>
            </w:r>
          </w:p>
        </w:tc>
        <w:tc>
          <w:tcPr>
            <w:tcW w:w="4844" w:type="dxa"/>
            <w:tcBorders>
              <w:top w:val="nil"/>
              <w:left w:val="nil"/>
              <w:bottom w:val="single" w:sz="4" w:space="0" w:color="auto"/>
              <w:right w:val="single" w:sz="4" w:space="0" w:color="auto"/>
            </w:tcBorders>
            <w:shd w:val="clear" w:color="auto" w:fill="auto"/>
            <w:vAlign w:val="center"/>
            <w:hideMark/>
          </w:tcPr>
          <w:p w14:paraId="14AED5B7"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GAS COLOMBIA SAS ESP</w:t>
            </w:r>
          </w:p>
        </w:tc>
        <w:tc>
          <w:tcPr>
            <w:tcW w:w="1600" w:type="dxa"/>
            <w:tcBorders>
              <w:top w:val="nil"/>
              <w:left w:val="nil"/>
              <w:bottom w:val="single" w:sz="4" w:space="0" w:color="auto"/>
              <w:right w:val="single" w:sz="4" w:space="0" w:color="auto"/>
            </w:tcBorders>
            <w:shd w:val="clear" w:color="auto" w:fill="auto"/>
            <w:noWrap/>
            <w:vAlign w:val="center"/>
            <w:hideMark/>
          </w:tcPr>
          <w:p w14:paraId="12498D79"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199.685.773 </w:t>
            </w:r>
          </w:p>
        </w:tc>
        <w:tc>
          <w:tcPr>
            <w:tcW w:w="1660" w:type="dxa"/>
            <w:tcBorders>
              <w:top w:val="nil"/>
              <w:left w:val="nil"/>
              <w:bottom w:val="single" w:sz="4" w:space="0" w:color="auto"/>
              <w:right w:val="single" w:sz="4" w:space="0" w:color="auto"/>
            </w:tcBorders>
            <w:shd w:val="clear" w:color="auto" w:fill="auto"/>
            <w:noWrap/>
            <w:vAlign w:val="center"/>
            <w:hideMark/>
          </w:tcPr>
          <w:p w14:paraId="2AC51314"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204.725.820 </w:t>
            </w:r>
          </w:p>
        </w:tc>
      </w:tr>
      <w:tr w:rsidR="009838E7" w:rsidRPr="009838E7" w14:paraId="743D27B2"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0B137A40"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234</w:t>
            </w:r>
          </w:p>
        </w:tc>
        <w:tc>
          <w:tcPr>
            <w:tcW w:w="505" w:type="dxa"/>
            <w:tcBorders>
              <w:top w:val="nil"/>
              <w:left w:val="nil"/>
              <w:bottom w:val="single" w:sz="4" w:space="0" w:color="auto"/>
              <w:right w:val="single" w:sz="4" w:space="0" w:color="auto"/>
            </w:tcBorders>
            <w:shd w:val="clear" w:color="auto" w:fill="auto"/>
            <w:noWrap/>
            <w:vAlign w:val="center"/>
            <w:hideMark/>
          </w:tcPr>
          <w:p w14:paraId="0545A858"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45016</w:t>
            </w:r>
          </w:p>
        </w:tc>
        <w:tc>
          <w:tcPr>
            <w:tcW w:w="797" w:type="dxa"/>
            <w:tcBorders>
              <w:top w:val="nil"/>
              <w:left w:val="nil"/>
              <w:bottom w:val="single" w:sz="4" w:space="0" w:color="auto"/>
              <w:right w:val="single" w:sz="4" w:space="0" w:color="auto"/>
            </w:tcBorders>
            <w:shd w:val="clear" w:color="auto" w:fill="auto"/>
            <w:noWrap/>
            <w:vAlign w:val="center"/>
            <w:hideMark/>
          </w:tcPr>
          <w:p w14:paraId="5C57E932"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900983468</w:t>
            </w:r>
          </w:p>
        </w:tc>
        <w:tc>
          <w:tcPr>
            <w:tcW w:w="4844" w:type="dxa"/>
            <w:tcBorders>
              <w:top w:val="nil"/>
              <w:left w:val="nil"/>
              <w:bottom w:val="single" w:sz="4" w:space="0" w:color="auto"/>
              <w:right w:val="single" w:sz="4" w:space="0" w:color="auto"/>
            </w:tcBorders>
            <w:shd w:val="clear" w:color="auto" w:fill="auto"/>
            <w:vAlign w:val="center"/>
            <w:hideMark/>
          </w:tcPr>
          <w:p w14:paraId="339A09F7" w14:textId="68430B7D"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HIDROENERGIA DE LA MONTAÑA S.A.S E.S.P</w:t>
            </w:r>
            <w:r w:rsidR="006F2D43">
              <w:rPr>
                <w:rFonts w:ascii="Arial Narrow" w:hAnsi="Arial Narrow" w:cs="Calibri"/>
                <w:color w:val="000000"/>
                <w:spacing w:val="0"/>
                <w:sz w:val="16"/>
                <w:szCs w:val="16"/>
                <w:lang w:eastAsia="es-CO"/>
              </w:rPr>
              <w:t>.</w:t>
            </w:r>
          </w:p>
        </w:tc>
        <w:tc>
          <w:tcPr>
            <w:tcW w:w="1600" w:type="dxa"/>
            <w:tcBorders>
              <w:top w:val="nil"/>
              <w:left w:val="nil"/>
              <w:bottom w:val="single" w:sz="4" w:space="0" w:color="auto"/>
              <w:right w:val="single" w:sz="4" w:space="0" w:color="auto"/>
            </w:tcBorders>
            <w:shd w:val="clear" w:color="auto" w:fill="auto"/>
            <w:noWrap/>
            <w:vAlign w:val="center"/>
            <w:hideMark/>
          </w:tcPr>
          <w:p w14:paraId="377D2AAA"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38.547.992 </w:t>
            </w:r>
          </w:p>
        </w:tc>
        <w:tc>
          <w:tcPr>
            <w:tcW w:w="1660" w:type="dxa"/>
            <w:tcBorders>
              <w:top w:val="nil"/>
              <w:left w:val="nil"/>
              <w:bottom w:val="single" w:sz="4" w:space="0" w:color="auto"/>
              <w:right w:val="single" w:sz="4" w:space="0" w:color="auto"/>
            </w:tcBorders>
            <w:shd w:val="clear" w:color="auto" w:fill="auto"/>
            <w:noWrap/>
            <w:vAlign w:val="center"/>
            <w:hideMark/>
          </w:tcPr>
          <w:p w14:paraId="57DA7EBE"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78.229.108 </w:t>
            </w:r>
          </w:p>
        </w:tc>
      </w:tr>
      <w:tr w:rsidR="009838E7" w:rsidRPr="009838E7" w14:paraId="1F3F2950"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6928CE59"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235</w:t>
            </w:r>
          </w:p>
        </w:tc>
        <w:tc>
          <w:tcPr>
            <w:tcW w:w="505" w:type="dxa"/>
            <w:tcBorders>
              <w:top w:val="nil"/>
              <w:left w:val="nil"/>
              <w:bottom w:val="single" w:sz="4" w:space="0" w:color="auto"/>
              <w:right w:val="single" w:sz="4" w:space="0" w:color="auto"/>
            </w:tcBorders>
            <w:shd w:val="clear" w:color="auto" w:fill="auto"/>
            <w:noWrap/>
            <w:vAlign w:val="center"/>
            <w:hideMark/>
          </w:tcPr>
          <w:p w14:paraId="5D8121BE"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41797</w:t>
            </w:r>
          </w:p>
        </w:tc>
        <w:tc>
          <w:tcPr>
            <w:tcW w:w="797" w:type="dxa"/>
            <w:tcBorders>
              <w:top w:val="nil"/>
              <w:left w:val="nil"/>
              <w:bottom w:val="single" w:sz="4" w:space="0" w:color="auto"/>
              <w:right w:val="single" w:sz="4" w:space="0" w:color="auto"/>
            </w:tcBorders>
            <w:shd w:val="clear" w:color="auto" w:fill="auto"/>
            <w:noWrap/>
            <w:vAlign w:val="center"/>
            <w:hideMark/>
          </w:tcPr>
          <w:p w14:paraId="3DF86811"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901007478</w:t>
            </w:r>
          </w:p>
        </w:tc>
        <w:tc>
          <w:tcPr>
            <w:tcW w:w="4844" w:type="dxa"/>
            <w:tcBorders>
              <w:top w:val="nil"/>
              <w:left w:val="nil"/>
              <w:bottom w:val="single" w:sz="4" w:space="0" w:color="auto"/>
              <w:right w:val="single" w:sz="4" w:space="0" w:color="auto"/>
            </w:tcBorders>
            <w:shd w:val="clear" w:color="auto" w:fill="auto"/>
            <w:vAlign w:val="center"/>
            <w:hideMark/>
          </w:tcPr>
          <w:p w14:paraId="7DBD192E"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ENERGIAS DE LA SIERRA SAS ESP</w:t>
            </w:r>
          </w:p>
        </w:tc>
        <w:tc>
          <w:tcPr>
            <w:tcW w:w="1600" w:type="dxa"/>
            <w:tcBorders>
              <w:top w:val="nil"/>
              <w:left w:val="nil"/>
              <w:bottom w:val="single" w:sz="4" w:space="0" w:color="auto"/>
              <w:right w:val="single" w:sz="4" w:space="0" w:color="auto"/>
            </w:tcBorders>
            <w:shd w:val="clear" w:color="auto" w:fill="auto"/>
            <w:noWrap/>
            <w:vAlign w:val="center"/>
            <w:hideMark/>
          </w:tcPr>
          <w:p w14:paraId="5A7C0514"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2.597.503.682 </w:t>
            </w:r>
          </w:p>
        </w:tc>
        <w:tc>
          <w:tcPr>
            <w:tcW w:w="1660" w:type="dxa"/>
            <w:tcBorders>
              <w:top w:val="nil"/>
              <w:left w:val="nil"/>
              <w:bottom w:val="single" w:sz="4" w:space="0" w:color="auto"/>
              <w:right w:val="single" w:sz="4" w:space="0" w:color="auto"/>
            </w:tcBorders>
            <w:shd w:val="clear" w:color="auto" w:fill="auto"/>
            <w:noWrap/>
            <w:vAlign w:val="center"/>
            <w:hideMark/>
          </w:tcPr>
          <w:p w14:paraId="62DBA469"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6.769.222.010 </w:t>
            </w:r>
          </w:p>
        </w:tc>
      </w:tr>
      <w:tr w:rsidR="009838E7" w:rsidRPr="009838E7" w14:paraId="1E864EC6"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55209B62"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236</w:t>
            </w:r>
          </w:p>
        </w:tc>
        <w:tc>
          <w:tcPr>
            <w:tcW w:w="505" w:type="dxa"/>
            <w:tcBorders>
              <w:top w:val="nil"/>
              <w:left w:val="nil"/>
              <w:bottom w:val="single" w:sz="4" w:space="0" w:color="auto"/>
              <w:right w:val="single" w:sz="4" w:space="0" w:color="auto"/>
            </w:tcBorders>
            <w:shd w:val="clear" w:color="auto" w:fill="auto"/>
            <w:noWrap/>
            <w:vAlign w:val="center"/>
            <w:hideMark/>
          </w:tcPr>
          <w:p w14:paraId="5EF5D6B7"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36775</w:t>
            </w:r>
          </w:p>
        </w:tc>
        <w:tc>
          <w:tcPr>
            <w:tcW w:w="797" w:type="dxa"/>
            <w:tcBorders>
              <w:top w:val="nil"/>
              <w:left w:val="nil"/>
              <w:bottom w:val="single" w:sz="4" w:space="0" w:color="auto"/>
              <w:right w:val="single" w:sz="4" w:space="0" w:color="auto"/>
            </w:tcBorders>
            <w:shd w:val="clear" w:color="auto" w:fill="auto"/>
            <w:noWrap/>
            <w:vAlign w:val="center"/>
            <w:hideMark/>
          </w:tcPr>
          <w:p w14:paraId="183B1BB3"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901008978</w:t>
            </w:r>
          </w:p>
        </w:tc>
        <w:tc>
          <w:tcPr>
            <w:tcW w:w="4844" w:type="dxa"/>
            <w:tcBorders>
              <w:top w:val="nil"/>
              <w:left w:val="nil"/>
              <w:bottom w:val="single" w:sz="4" w:space="0" w:color="auto"/>
              <w:right w:val="single" w:sz="4" w:space="0" w:color="auto"/>
            </w:tcBorders>
            <w:shd w:val="clear" w:color="auto" w:fill="auto"/>
            <w:vAlign w:val="center"/>
            <w:hideMark/>
          </w:tcPr>
          <w:p w14:paraId="2EA2671D"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SIMER COLOMBIA SAS ESP</w:t>
            </w:r>
          </w:p>
        </w:tc>
        <w:tc>
          <w:tcPr>
            <w:tcW w:w="1600" w:type="dxa"/>
            <w:tcBorders>
              <w:top w:val="nil"/>
              <w:left w:val="nil"/>
              <w:bottom w:val="single" w:sz="4" w:space="0" w:color="auto"/>
              <w:right w:val="single" w:sz="4" w:space="0" w:color="auto"/>
            </w:tcBorders>
            <w:shd w:val="clear" w:color="auto" w:fill="auto"/>
            <w:noWrap/>
            <w:vAlign w:val="center"/>
            <w:hideMark/>
          </w:tcPr>
          <w:p w14:paraId="275A8925"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912.281.958 </w:t>
            </w:r>
          </w:p>
        </w:tc>
        <w:tc>
          <w:tcPr>
            <w:tcW w:w="1660" w:type="dxa"/>
            <w:tcBorders>
              <w:top w:val="nil"/>
              <w:left w:val="nil"/>
              <w:bottom w:val="single" w:sz="4" w:space="0" w:color="auto"/>
              <w:right w:val="single" w:sz="4" w:space="0" w:color="auto"/>
            </w:tcBorders>
            <w:shd w:val="clear" w:color="auto" w:fill="auto"/>
            <w:noWrap/>
            <w:vAlign w:val="center"/>
            <w:hideMark/>
          </w:tcPr>
          <w:p w14:paraId="574C2077"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894.860.463 </w:t>
            </w:r>
          </w:p>
        </w:tc>
      </w:tr>
      <w:tr w:rsidR="009838E7" w:rsidRPr="009838E7" w14:paraId="0C1C8445"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2188B7BB"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237</w:t>
            </w:r>
          </w:p>
        </w:tc>
        <w:tc>
          <w:tcPr>
            <w:tcW w:w="505" w:type="dxa"/>
            <w:tcBorders>
              <w:top w:val="nil"/>
              <w:left w:val="nil"/>
              <w:bottom w:val="single" w:sz="4" w:space="0" w:color="auto"/>
              <w:right w:val="single" w:sz="4" w:space="0" w:color="auto"/>
            </w:tcBorders>
            <w:shd w:val="clear" w:color="auto" w:fill="auto"/>
            <w:noWrap/>
            <w:vAlign w:val="center"/>
            <w:hideMark/>
          </w:tcPr>
          <w:p w14:paraId="14FD4472"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35253</w:t>
            </w:r>
          </w:p>
        </w:tc>
        <w:tc>
          <w:tcPr>
            <w:tcW w:w="797" w:type="dxa"/>
            <w:tcBorders>
              <w:top w:val="nil"/>
              <w:left w:val="nil"/>
              <w:bottom w:val="single" w:sz="4" w:space="0" w:color="auto"/>
              <w:right w:val="single" w:sz="4" w:space="0" w:color="auto"/>
            </w:tcBorders>
            <w:shd w:val="clear" w:color="auto" w:fill="auto"/>
            <w:noWrap/>
            <w:vAlign w:val="center"/>
            <w:hideMark/>
          </w:tcPr>
          <w:p w14:paraId="53379624"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901009473</w:t>
            </w:r>
          </w:p>
        </w:tc>
        <w:tc>
          <w:tcPr>
            <w:tcW w:w="4844" w:type="dxa"/>
            <w:tcBorders>
              <w:top w:val="nil"/>
              <w:left w:val="nil"/>
              <w:bottom w:val="single" w:sz="4" w:space="0" w:color="auto"/>
              <w:right w:val="single" w:sz="4" w:space="0" w:color="auto"/>
            </w:tcBorders>
            <w:shd w:val="clear" w:color="auto" w:fill="auto"/>
            <w:vAlign w:val="center"/>
            <w:hideMark/>
          </w:tcPr>
          <w:p w14:paraId="1687BCEC"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ELECNORTE S.A.S. ESP</w:t>
            </w:r>
          </w:p>
        </w:tc>
        <w:tc>
          <w:tcPr>
            <w:tcW w:w="1600" w:type="dxa"/>
            <w:tcBorders>
              <w:top w:val="nil"/>
              <w:left w:val="nil"/>
              <w:bottom w:val="single" w:sz="4" w:space="0" w:color="auto"/>
              <w:right w:val="single" w:sz="4" w:space="0" w:color="auto"/>
            </w:tcBorders>
            <w:shd w:val="clear" w:color="auto" w:fill="auto"/>
            <w:noWrap/>
            <w:vAlign w:val="center"/>
            <w:hideMark/>
          </w:tcPr>
          <w:p w14:paraId="7067550A"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5.297.089.000 </w:t>
            </w:r>
          </w:p>
        </w:tc>
        <w:tc>
          <w:tcPr>
            <w:tcW w:w="1660" w:type="dxa"/>
            <w:tcBorders>
              <w:top w:val="nil"/>
              <w:left w:val="nil"/>
              <w:bottom w:val="single" w:sz="4" w:space="0" w:color="auto"/>
              <w:right w:val="single" w:sz="4" w:space="0" w:color="auto"/>
            </w:tcBorders>
            <w:shd w:val="clear" w:color="auto" w:fill="auto"/>
            <w:noWrap/>
            <w:vAlign w:val="center"/>
            <w:hideMark/>
          </w:tcPr>
          <w:p w14:paraId="47366063"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6.131.655.000 </w:t>
            </w:r>
          </w:p>
        </w:tc>
      </w:tr>
      <w:tr w:rsidR="009838E7" w:rsidRPr="009838E7" w14:paraId="663A8525"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3D0AF76D"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238</w:t>
            </w:r>
          </w:p>
        </w:tc>
        <w:tc>
          <w:tcPr>
            <w:tcW w:w="505" w:type="dxa"/>
            <w:tcBorders>
              <w:top w:val="nil"/>
              <w:left w:val="nil"/>
              <w:bottom w:val="single" w:sz="4" w:space="0" w:color="auto"/>
              <w:right w:val="single" w:sz="4" w:space="0" w:color="auto"/>
            </w:tcBorders>
            <w:shd w:val="clear" w:color="auto" w:fill="auto"/>
            <w:noWrap/>
            <w:vAlign w:val="center"/>
            <w:hideMark/>
          </w:tcPr>
          <w:p w14:paraId="68C2D874"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36033</w:t>
            </w:r>
          </w:p>
        </w:tc>
        <w:tc>
          <w:tcPr>
            <w:tcW w:w="797" w:type="dxa"/>
            <w:tcBorders>
              <w:top w:val="nil"/>
              <w:left w:val="nil"/>
              <w:bottom w:val="single" w:sz="4" w:space="0" w:color="auto"/>
              <w:right w:val="single" w:sz="4" w:space="0" w:color="auto"/>
            </w:tcBorders>
            <w:shd w:val="clear" w:color="auto" w:fill="auto"/>
            <w:noWrap/>
            <w:vAlign w:val="center"/>
            <w:hideMark/>
          </w:tcPr>
          <w:p w14:paraId="15F6BB67"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901020967</w:t>
            </w:r>
          </w:p>
        </w:tc>
        <w:tc>
          <w:tcPr>
            <w:tcW w:w="4844" w:type="dxa"/>
            <w:tcBorders>
              <w:top w:val="nil"/>
              <w:left w:val="nil"/>
              <w:bottom w:val="single" w:sz="4" w:space="0" w:color="auto"/>
              <w:right w:val="single" w:sz="4" w:space="0" w:color="auto"/>
            </w:tcBorders>
            <w:shd w:val="clear" w:color="auto" w:fill="auto"/>
            <w:vAlign w:val="center"/>
            <w:hideMark/>
          </w:tcPr>
          <w:p w14:paraId="3580090E"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COMPRIGAS S.A.S.  E.S.P.</w:t>
            </w:r>
          </w:p>
        </w:tc>
        <w:tc>
          <w:tcPr>
            <w:tcW w:w="1600" w:type="dxa"/>
            <w:tcBorders>
              <w:top w:val="nil"/>
              <w:left w:val="nil"/>
              <w:bottom w:val="single" w:sz="4" w:space="0" w:color="auto"/>
              <w:right w:val="single" w:sz="4" w:space="0" w:color="auto"/>
            </w:tcBorders>
            <w:shd w:val="clear" w:color="auto" w:fill="auto"/>
            <w:noWrap/>
            <w:vAlign w:val="center"/>
            <w:hideMark/>
          </w:tcPr>
          <w:p w14:paraId="0BE81F21"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127.891.514 </w:t>
            </w:r>
          </w:p>
        </w:tc>
        <w:tc>
          <w:tcPr>
            <w:tcW w:w="1660" w:type="dxa"/>
            <w:tcBorders>
              <w:top w:val="nil"/>
              <w:left w:val="nil"/>
              <w:bottom w:val="single" w:sz="4" w:space="0" w:color="auto"/>
              <w:right w:val="single" w:sz="4" w:space="0" w:color="auto"/>
            </w:tcBorders>
            <w:shd w:val="clear" w:color="auto" w:fill="auto"/>
            <w:noWrap/>
            <w:vAlign w:val="center"/>
            <w:hideMark/>
          </w:tcPr>
          <w:p w14:paraId="62FEDB93"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123.509.767 </w:t>
            </w:r>
          </w:p>
        </w:tc>
      </w:tr>
      <w:tr w:rsidR="009838E7" w:rsidRPr="009838E7" w14:paraId="229BE136"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6E12C81C"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239</w:t>
            </w:r>
          </w:p>
        </w:tc>
        <w:tc>
          <w:tcPr>
            <w:tcW w:w="505" w:type="dxa"/>
            <w:tcBorders>
              <w:top w:val="nil"/>
              <w:left w:val="nil"/>
              <w:bottom w:val="single" w:sz="4" w:space="0" w:color="auto"/>
              <w:right w:val="single" w:sz="4" w:space="0" w:color="auto"/>
            </w:tcBorders>
            <w:shd w:val="clear" w:color="auto" w:fill="auto"/>
            <w:noWrap/>
            <w:vAlign w:val="center"/>
            <w:hideMark/>
          </w:tcPr>
          <w:p w14:paraId="6193DB0C"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40516</w:t>
            </w:r>
          </w:p>
        </w:tc>
        <w:tc>
          <w:tcPr>
            <w:tcW w:w="797" w:type="dxa"/>
            <w:tcBorders>
              <w:top w:val="nil"/>
              <w:left w:val="nil"/>
              <w:bottom w:val="single" w:sz="4" w:space="0" w:color="auto"/>
              <w:right w:val="single" w:sz="4" w:space="0" w:color="auto"/>
            </w:tcBorders>
            <w:shd w:val="clear" w:color="auto" w:fill="auto"/>
            <w:noWrap/>
            <w:vAlign w:val="center"/>
            <w:hideMark/>
          </w:tcPr>
          <w:p w14:paraId="00474563"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901021569</w:t>
            </w:r>
          </w:p>
        </w:tc>
        <w:tc>
          <w:tcPr>
            <w:tcW w:w="4844" w:type="dxa"/>
            <w:tcBorders>
              <w:top w:val="nil"/>
              <w:left w:val="nil"/>
              <w:bottom w:val="single" w:sz="4" w:space="0" w:color="auto"/>
              <w:right w:val="single" w:sz="4" w:space="0" w:color="auto"/>
            </w:tcBorders>
            <w:shd w:val="clear" w:color="auto" w:fill="auto"/>
            <w:vAlign w:val="center"/>
            <w:hideMark/>
          </w:tcPr>
          <w:p w14:paraId="493D9B44"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GASTUMACO DEL PACIFICO SAS ESP</w:t>
            </w:r>
          </w:p>
        </w:tc>
        <w:tc>
          <w:tcPr>
            <w:tcW w:w="1600" w:type="dxa"/>
            <w:tcBorders>
              <w:top w:val="nil"/>
              <w:left w:val="nil"/>
              <w:bottom w:val="single" w:sz="4" w:space="0" w:color="auto"/>
              <w:right w:val="single" w:sz="4" w:space="0" w:color="auto"/>
            </w:tcBorders>
            <w:shd w:val="clear" w:color="auto" w:fill="auto"/>
            <w:noWrap/>
            <w:vAlign w:val="center"/>
            <w:hideMark/>
          </w:tcPr>
          <w:p w14:paraId="5B7A514D"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135.293.012 </w:t>
            </w:r>
          </w:p>
        </w:tc>
        <w:tc>
          <w:tcPr>
            <w:tcW w:w="1660" w:type="dxa"/>
            <w:tcBorders>
              <w:top w:val="nil"/>
              <w:left w:val="nil"/>
              <w:bottom w:val="single" w:sz="4" w:space="0" w:color="auto"/>
              <w:right w:val="single" w:sz="4" w:space="0" w:color="auto"/>
            </w:tcBorders>
            <w:shd w:val="clear" w:color="auto" w:fill="auto"/>
            <w:noWrap/>
            <w:vAlign w:val="center"/>
            <w:hideMark/>
          </w:tcPr>
          <w:p w14:paraId="7E8DD7C7"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177.951.787 </w:t>
            </w:r>
          </w:p>
        </w:tc>
      </w:tr>
      <w:tr w:rsidR="009838E7" w:rsidRPr="009838E7" w14:paraId="4A8ED297"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511B8818"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240</w:t>
            </w:r>
          </w:p>
        </w:tc>
        <w:tc>
          <w:tcPr>
            <w:tcW w:w="505" w:type="dxa"/>
            <w:tcBorders>
              <w:top w:val="nil"/>
              <w:left w:val="nil"/>
              <w:bottom w:val="single" w:sz="4" w:space="0" w:color="auto"/>
              <w:right w:val="single" w:sz="4" w:space="0" w:color="auto"/>
            </w:tcBorders>
            <w:shd w:val="clear" w:color="auto" w:fill="auto"/>
            <w:noWrap/>
            <w:vAlign w:val="center"/>
            <w:hideMark/>
          </w:tcPr>
          <w:p w14:paraId="2840D264"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36913</w:t>
            </w:r>
          </w:p>
        </w:tc>
        <w:tc>
          <w:tcPr>
            <w:tcW w:w="797" w:type="dxa"/>
            <w:tcBorders>
              <w:top w:val="nil"/>
              <w:left w:val="nil"/>
              <w:bottom w:val="single" w:sz="4" w:space="0" w:color="auto"/>
              <w:right w:val="single" w:sz="4" w:space="0" w:color="auto"/>
            </w:tcBorders>
            <w:shd w:val="clear" w:color="auto" w:fill="auto"/>
            <w:noWrap/>
            <w:vAlign w:val="center"/>
            <w:hideMark/>
          </w:tcPr>
          <w:p w14:paraId="59D41FB7"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901023319</w:t>
            </w:r>
          </w:p>
        </w:tc>
        <w:tc>
          <w:tcPr>
            <w:tcW w:w="4844" w:type="dxa"/>
            <w:tcBorders>
              <w:top w:val="nil"/>
              <w:left w:val="nil"/>
              <w:bottom w:val="single" w:sz="4" w:space="0" w:color="auto"/>
              <w:right w:val="single" w:sz="4" w:space="0" w:color="auto"/>
            </w:tcBorders>
            <w:shd w:val="clear" w:color="auto" w:fill="auto"/>
            <w:vAlign w:val="center"/>
            <w:hideMark/>
          </w:tcPr>
          <w:p w14:paraId="39D1A412" w14:textId="77777777" w:rsidR="009838E7" w:rsidRPr="002C5AEF" w:rsidRDefault="009838E7" w:rsidP="00D22441">
            <w:pPr>
              <w:jc w:val="left"/>
              <w:rPr>
                <w:rFonts w:ascii="Arial Narrow" w:hAnsi="Arial Narrow" w:cs="Calibri"/>
                <w:color w:val="000000"/>
                <w:spacing w:val="0"/>
                <w:sz w:val="16"/>
                <w:szCs w:val="16"/>
                <w:lang w:val="en-GB" w:eastAsia="es-CO"/>
              </w:rPr>
            </w:pPr>
            <w:r w:rsidRPr="002C5AEF">
              <w:rPr>
                <w:rFonts w:ascii="Arial Narrow" w:hAnsi="Arial Narrow" w:cs="Calibri"/>
                <w:color w:val="000000"/>
                <w:spacing w:val="0"/>
                <w:sz w:val="16"/>
                <w:szCs w:val="16"/>
                <w:lang w:val="en-GB" w:eastAsia="es-CO"/>
              </w:rPr>
              <w:t>Energy for the Caribbean S.A.S. E.S.P.</w:t>
            </w:r>
          </w:p>
        </w:tc>
        <w:tc>
          <w:tcPr>
            <w:tcW w:w="1600" w:type="dxa"/>
            <w:tcBorders>
              <w:top w:val="nil"/>
              <w:left w:val="nil"/>
              <w:bottom w:val="single" w:sz="4" w:space="0" w:color="auto"/>
              <w:right w:val="single" w:sz="4" w:space="0" w:color="auto"/>
            </w:tcBorders>
            <w:shd w:val="clear" w:color="auto" w:fill="auto"/>
            <w:noWrap/>
            <w:vAlign w:val="center"/>
            <w:hideMark/>
          </w:tcPr>
          <w:p w14:paraId="3A90124B" w14:textId="77777777" w:rsidR="009838E7" w:rsidRPr="009838E7" w:rsidRDefault="009838E7" w:rsidP="00D22441">
            <w:pPr>
              <w:jc w:val="left"/>
              <w:rPr>
                <w:rFonts w:ascii="Arial Narrow" w:hAnsi="Arial Narrow" w:cs="Calibri"/>
                <w:color w:val="000000"/>
                <w:spacing w:val="0"/>
                <w:sz w:val="16"/>
                <w:szCs w:val="16"/>
                <w:lang w:eastAsia="es-CO"/>
              </w:rPr>
            </w:pPr>
            <w:r w:rsidRPr="002C5AEF">
              <w:rPr>
                <w:rFonts w:ascii="Arial Narrow" w:hAnsi="Arial Narrow" w:cs="Calibri"/>
                <w:color w:val="000000"/>
                <w:spacing w:val="0"/>
                <w:sz w:val="16"/>
                <w:szCs w:val="16"/>
                <w:lang w:val="en-GB" w:eastAsia="es-CO"/>
              </w:rPr>
              <w:t xml:space="preserve">                </w:t>
            </w:r>
            <w:r w:rsidRPr="009838E7">
              <w:rPr>
                <w:rFonts w:ascii="Arial Narrow" w:hAnsi="Arial Narrow" w:cs="Calibri"/>
                <w:color w:val="000000"/>
                <w:spacing w:val="0"/>
                <w:sz w:val="16"/>
                <w:szCs w:val="16"/>
                <w:lang w:eastAsia="es-CO"/>
              </w:rPr>
              <w:t xml:space="preserve">399.448.327 </w:t>
            </w:r>
          </w:p>
        </w:tc>
        <w:tc>
          <w:tcPr>
            <w:tcW w:w="1660" w:type="dxa"/>
            <w:tcBorders>
              <w:top w:val="nil"/>
              <w:left w:val="nil"/>
              <w:bottom w:val="single" w:sz="4" w:space="0" w:color="auto"/>
              <w:right w:val="single" w:sz="4" w:space="0" w:color="auto"/>
            </w:tcBorders>
            <w:shd w:val="clear" w:color="auto" w:fill="auto"/>
            <w:noWrap/>
            <w:vAlign w:val="center"/>
            <w:hideMark/>
          </w:tcPr>
          <w:p w14:paraId="441A9339"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639.434.000 </w:t>
            </w:r>
          </w:p>
        </w:tc>
      </w:tr>
      <w:tr w:rsidR="009838E7" w:rsidRPr="009838E7" w14:paraId="4A3892A9"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6431BF5F"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241</w:t>
            </w:r>
          </w:p>
        </w:tc>
        <w:tc>
          <w:tcPr>
            <w:tcW w:w="505" w:type="dxa"/>
            <w:tcBorders>
              <w:top w:val="nil"/>
              <w:left w:val="nil"/>
              <w:bottom w:val="single" w:sz="4" w:space="0" w:color="auto"/>
              <w:right w:val="single" w:sz="4" w:space="0" w:color="auto"/>
            </w:tcBorders>
            <w:shd w:val="clear" w:color="auto" w:fill="auto"/>
            <w:noWrap/>
            <w:vAlign w:val="center"/>
            <w:hideMark/>
          </w:tcPr>
          <w:p w14:paraId="63879B84"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39136</w:t>
            </w:r>
          </w:p>
        </w:tc>
        <w:tc>
          <w:tcPr>
            <w:tcW w:w="797" w:type="dxa"/>
            <w:tcBorders>
              <w:top w:val="nil"/>
              <w:left w:val="nil"/>
              <w:bottom w:val="single" w:sz="4" w:space="0" w:color="auto"/>
              <w:right w:val="single" w:sz="4" w:space="0" w:color="auto"/>
            </w:tcBorders>
            <w:shd w:val="clear" w:color="auto" w:fill="auto"/>
            <w:noWrap/>
            <w:vAlign w:val="center"/>
            <w:hideMark/>
          </w:tcPr>
          <w:p w14:paraId="64660865"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901033186</w:t>
            </w:r>
          </w:p>
        </w:tc>
        <w:tc>
          <w:tcPr>
            <w:tcW w:w="4844" w:type="dxa"/>
            <w:tcBorders>
              <w:top w:val="nil"/>
              <w:left w:val="nil"/>
              <w:bottom w:val="single" w:sz="4" w:space="0" w:color="auto"/>
              <w:right w:val="single" w:sz="4" w:space="0" w:color="auto"/>
            </w:tcBorders>
            <w:shd w:val="clear" w:color="auto" w:fill="auto"/>
            <w:vAlign w:val="center"/>
            <w:hideMark/>
          </w:tcPr>
          <w:p w14:paraId="395CE4AE"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MESSER ENERGY SERVICES SAS ESP</w:t>
            </w:r>
          </w:p>
        </w:tc>
        <w:tc>
          <w:tcPr>
            <w:tcW w:w="1600" w:type="dxa"/>
            <w:tcBorders>
              <w:top w:val="nil"/>
              <w:left w:val="nil"/>
              <w:bottom w:val="single" w:sz="4" w:space="0" w:color="auto"/>
              <w:right w:val="single" w:sz="4" w:space="0" w:color="auto"/>
            </w:tcBorders>
            <w:shd w:val="clear" w:color="auto" w:fill="auto"/>
            <w:noWrap/>
            <w:vAlign w:val="center"/>
            <w:hideMark/>
          </w:tcPr>
          <w:p w14:paraId="3BBDC6D2"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90.380.240 </w:t>
            </w:r>
          </w:p>
        </w:tc>
        <w:tc>
          <w:tcPr>
            <w:tcW w:w="1660" w:type="dxa"/>
            <w:tcBorders>
              <w:top w:val="nil"/>
              <w:left w:val="nil"/>
              <w:bottom w:val="single" w:sz="4" w:space="0" w:color="auto"/>
              <w:right w:val="single" w:sz="4" w:space="0" w:color="auto"/>
            </w:tcBorders>
            <w:shd w:val="clear" w:color="auto" w:fill="auto"/>
            <w:noWrap/>
            <w:vAlign w:val="center"/>
            <w:hideMark/>
          </w:tcPr>
          <w:p w14:paraId="7A81376F"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66.283.000 </w:t>
            </w:r>
          </w:p>
        </w:tc>
      </w:tr>
      <w:tr w:rsidR="009838E7" w:rsidRPr="009838E7" w14:paraId="4B3BFFAD"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775F489D"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242</w:t>
            </w:r>
          </w:p>
        </w:tc>
        <w:tc>
          <w:tcPr>
            <w:tcW w:w="505" w:type="dxa"/>
            <w:tcBorders>
              <w:top w:val="nil"/>
              <w:left w:val="nil"/>
              <w:bottom w:val="single" w:sz="4" w:space="0" w:color="auto"/>
              <w:right w:val="single" w:sz="4" w:space="0" w:color="auto"/>
            </w:tcBorders>
            <w:shd w:val="clear" w:color="auto" w:fill="auto"/>
            <w:noWrap/>
            <w:vAlign w:val="center"/>
            <w:hideMark/>
          </w:tcPr>
          <w:p w14:paraId="1D71AC78"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37253</w:t>
            </w:r>
          </w:p>
        </w:tc>
        <w:tc>
          <w:tcPr>
            <w:tcW w:w="797" w:type="dxa"/>
            <w:tcBorders>
              <w:top w:val="nil"/>
              <w:left w:val="nil"/>
              <w:bottom w:val="single" w:sz="4" w:space="0" w:color="auto"/>
              <w:right w:val="single" w:sz="4" w:space="0" w:color="auto"/>
            </w:tcBorders>
            <w:shd w:val="clear" w:color="auto" w:fill="auto"/>
            <w:noWrap/>
            <w:vAlign w:val="center"/>
            <w:hideMark/>
          </w:tcPr>
          <w:p w14:paraId="2CF22DC5"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901034973</w:t>
            </w:r>
          </w:p>
        </w:tc>
        <w:tc>
          <w:tcPr>
            <w:tcW w:w="4844" w:type="dxa"/>
            <w:tcBorders>
              <w:top w:val="nil"/>
              <w:left w:val="nil"/>
              <w:bottom w:val="single" w:sz="4" w:space="0" w:color="auto"/>
              <w:right w:val="single" w:sz="4" w:space="0" w:color="auto"/>
            </w:tcBorders>
            <w:shd w:val="clear" w:color="auto" w:fill="auto"/>
            <w:vAlign w:val="center"/>
            <w:hideMark/>
          </w:tcPr>
          <w:p w14:paraId="61D29E8E"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EOS ENERGY S.A.S. E.S.P.</w:t>
            </w:r>
          </w:p>
        </w:tc>
        <w:tc>
          <w:tcPr>
            <w:tcW w:w="1600" w:type="dxa"/>
            <w:tcBorders>
              <w:top w:val="nil"/>
              <w:left w:val="nil"/>
              <w:bottom w:val="single" w:sz="4" w:space="0" w:color="auto"/>
              <w:right w:val="single" w:sz="4" w:space="0" w:color="auto"/>
            </w:tcBorders>
            <w:shd w:val="clear" w:color="auto" w:fill="auto"/>
            <w:noWrap/>
            <w:vAlign w:val="center"/>
            <w:hideMark/>
          </w:tcPr>
          <w:p w14:paraId="68198C12"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35.680.442 </w:t>
            </w:r>
          </w:p>
        </w:tc>
        <w:tc>
          <w:tcPr>
            <w:tcW w:w="1660" w:type="dxa"/>
            <w:tcBorders>
              <w:top w:val="nil"/>
              <w:left w:val="nil"/>
              <w:bottom w:val="single" w:sz="4" w:space="0" w:color="auto"/>
              <w:right w:val="single" w:sz="4" w:space="0" w:color="auto"/>
            </w:tcBorders>
            <w:shd w:val="clear" w:color="auto" w:fill="auto"/>
            <w:noWrap/>
            <w:vAlign w:val="center"/>
            <w:hideMark/>
          </w:tcPr>
          <w:p w14:paraId="371F6A41"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52.376.473 </w:t>
            </w:r>
          </w:p>
        </w:tc>
      </w:tr>
      <w:tr w:rsidR="009838E7" w:rsidRPr="009838E7" w14:paraId="02A8B261"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57CC754D"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243</w:t>
            </w:r>
          </w:p>
        </w:tc>
        <w:tc>
          <w:tcPr>
            <w:tcW w:w="505" w:type="dxa"/>
            <w:tcBorders>
              <w:top w:val="nil"/>
              <w:left w:val="nil"/>
              <w:bottom w:val="single" w:sz="4" w:space="0" w:color="auto"/>
              <w:right w:val="single" w:sz="4" w:space="0" w:color="auto"/>
            </w:tcBorders>
            <w:shd w:val="clear" w:color="auto" w:fill="auto"/>
            <w:noWrap/>
            <w:vAlign w:val="center"/>
            <w:hideMark/>
          </w:tcPr>
          <w:p w14:paraId="59BCE290"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50585</w:t>
            </w:r>
          </w:p>
        </w:tc>
        <w:tc>
          <w:tcPr>
            <w:tcW w:w="797" w:type="dxa"/>
            <w:tcBorders>
              <w:top w:val="nil"/>
              <w:left w:val="nil"/>
              <w:bottom w:val="single" w:sz="4" w:space="0" w:color="auto"/>
              <w:right w:val="single" w:sz="4" w:space="0" w:color="auto"/>
            </w:tcBorders>
            <w:shd w:val="clear" w:color="auto" w:fill="auto"/>
            <w:noWrap/>
            <w:vAlign w:val="center"/>
            <w:hideMark/>
          </w:tcPr>
          <w:p w14:paraId="3E4C951D"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901037565</w:t>
            </w:r>
          </w:p>
        </w:tc>
        <w:tc>
          <w:tcPr>
            <w:tcW w:w="4844" w:type="dxa"/>
            <w:tcBorders>
              <w:top w:val="nil"/>
              <w:left w:val="nil"/>
              <w:bottom w:val="single" w:sz="4" w:space="0" w:color="auto"/>
              <w:right w:val="single" w:sz="4" w:space="0" w:color="auto"/>
            </w:tcBorders>
            <w:shd w:val="clear" w:color="auto" w:fill="auto"/>
            <w:vAlign w:val="center"/>
            <w:hideMark/>
          </w:tcPr>
          <w:p w14:paraId="1B015B78"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GASES DEL SUR DE COLOMBIA E.S.P S.A.</w:t>
            </w:r>
          </w:p>
        </w:tc>
        <w:tc>
          <w:tcPr>
            <w:tcW w:w="1600" w:type="dxa"/>
            <w:tcBorders>
              <w:top w:val="nil"/>
              <w:left w:val="nil"/>
              <w:bottom w:val="single" w:sz="4" w:space="0" w:color="auto"/>
              <w:right w:val="single" w:sz="4" w:space="0" w:color="auto"/>
            </w:tcBorders>
            <w:shd w:val="clear" w:color="auto" w:fill="auto"/>
            <w:noWrap/>
            <w:vAlign w:val="center"/>
            <w:hideMark/>
          </w:tcPr>
          <w:p w14:paraId="1E1ECD95"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51.544.408 </w:t>
            </w:r>
          </w:p>
        </w:tc>
        <w:tc>
          <w:tcPr>
            <w:tcW w:w="1660" w:type="dxa"/>
            <w:tcBorders>
              <w:top w:val="nil"/>
              <w:left w:val="nil"/>
              <w:bottom w:val="single" w:sz="4" w:space="0" w:color="auto"/>
              <w:right w:val="single" w:sz="4" w:space="0" w:color="auto"/>
            </w:tcBorders>
            <w:shd w:val="clear" w:color="auto" w:fill="auto"/>
            <w:noWrap/>
            <w:vAlign w:val="center"/>
            <w:hideMark/>
          </w:tcPr>
          <w:p w14:paraId="1EC18F71"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262.110.287 </w:t>
            </w:r>
          </w:p>
        </w:tc>
      </w:tr>
      <w:tr w:rsidR="009838E7" w:rsidRPr="009838E7" w14:paraId="4FDE7028"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1CCFDBED"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244</w:t>
            </w:r>
          </w:p>
        </w:tc>
        <w:tc>
          <w:tcPr>
            <w:tcW w:w="505" w:type="dxa"/>
            <w:tcBorders>
              <w:top w:val="nil"/>
              <w:left w:val="nil"/>
              <w:bottom w:val="single" w:sz="4" w:space="0" w:color="auto"/>
              <w:right w:val="single" w:sz="4" w:space="0" w:color="auto"/>
            </w:tcBorders>
            <w:shd w:val="clear" w:color="auto" w:fill="auto"/>
            <w:noWrap/>
            <w:vAlign w:val="center"/>
            <w:hideMark/>
          </w:tcPr>
          <w:p w14:paraId="6D34DEC6"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42637</w:t>
            </w:r>
          </w:p>
        </w:tc>
        <w:tc>
          <w:tcPr>
            <w:tcW w:w="797" w:type="dxa"/>
            <w:tcBorders>
              <w:top w:val="nil"/>
              <w:left w:val="nil"/>
              <w:bottom w:val="single" w:sz="4" w:space="0" w:color="auto"/>
              <w:right w:val="single" w:sz="4" w:space="0" w:color="auto"/>
            </w:tcBorders>
            <w:shd w:val="clear" w:color="auto" w:fill="auto"/>
            <w:noWrap/>
            <w:vAlign w:val="center"/>
            <w:hideMark/>
          </w:tcPr>
          <w:p w14:paraId="2053544F"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901042368</w:t>
            </w:r>
          </w:p>
        </w:tc>
        <w:tc>
          <w:tcPr>
            <w:tcW w:w="4844" w:type="dxa"/>
            <w:tcBorders>
              <w:top w:val="nil"/>
              <w:left w:val="nil"/>
              <w:bottom w:val="single" w:sz="4" w:space="0" w:color="auto"/>
              <w:right w:val="single" w:sz="4" w:space="0" w:color="auto"/>
            </w:tcBorders>
            <w:shd w:val="clear" w:color="auto" w:fill="auto"/>
            <w:vAlign w:val="center"/>
            <w:hideMark/>
          </w:tcPr>
          <w:p w14:paraId="37D61046"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HELIOS ENERGIA S.A. ESP</w:t>
            </w:r>
          </w:p>
        </w:tc>
        <w:tc>
          <w:tcPr>
            <w:tcW w:w="1600" w:type="dxa"/>
            <w:tcBorders>
              <w:top w:val="nil"/>
              <w:left w:val="nil"/>
              <w:bottom w:val="single" w:sz="4" w:space="0" w:color="auto"/>
              <w:right w:val="single" w:sz="4" w:space="0" w:color="auto"/>
            </w:tcBorders>
            <w:shd w:val="clear" w:color="auto" w:fill="auto"/>
            <w:noWrap/>
            <w:vAlign w:val="center"/>
            <w:hideMark/>
          </w:tcPr>
          <w:p w14:paraId="2A3B2266"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2.802.504.000 </w:t>
            </w:r>
          </w:p>
        </w:tc>
        <w:tc>
          <w:tcPr>
            <w:tcW w:w="1660" w:type="dxa"/>
            <w:tcBorders>
              <w:top w:val="nil"/>
              <w:left w:val="nil"/>
              <w:bottom w:val="single" w:sz="4" w:space="0" w:color="auto"/>
              <w:right w:val="single" w:sz="4" w:space="0" w:color="auto"/>
            </w:tcBorders>
            <w:shd w:val="clear" w:color="auto" w:fill="auto"/>
            <w:noWrap/>
            <w:vAlign w:val="center"/>
            <w:hideMark/>
          </w:tcPr>
          <w:p w14:paraId="39A37C25"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1.528.509.000 </w:t>
            </w:r>
          </w:p>
        </w:tc>
      </w:tr>
      <w:tr w:rsidR="009838E7" w:rsidRPr="009838E7" w14:paraId="523C6E56"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23818AC5"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245</w:t>
            </w:r>
          </w:p>
        </w:tc>
        <w:tc>
          <w:tcPr>
            <w:tcW w:w="505" w:type="dxa"/>
            <w:tcBorders>
              <w:top w:val="nil"/>
              <w:left w:val="nil"/>
              <w:bottom w:val="single" w:sz="4" w:space="0" w:color="auto"/>
              <w:right w:val="single" w:sz="4" w:space="0" w:color="auto"/>
            </w:tcBorders>
            <w:shd w:val="clear" w:color="auto" w:fill="auto"/>
            <w:noWrap/>
            <w:vAlign w:val="center"/>
            <w:hideMark/>
          </w:tcPr>
          <w:p w14:paraId="3BB5720C"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36633</w:t>
            </w:r>
          </w:p>
        </w:tc>
        <w:tc>
          <w:tcPr>
            <w:tcW w:w="797" w:type="dxa"/>
            <w:tcBorders>
              <w:top w:val="nil"/>
              <w:left w:val="nil"/>
              <w:bottom w:val="single" w:sz="4" w:space="0" w:color="auto"/>
              <w:right w:val="single" w:sz="4" w:space="0" w:color="auto"/>
            </w:tcBorders>
            <w:shd w:val="clear" w:color="auto" w:fill="auto"/>
            <w:noWrap/>
            <w:vAlign w:val="center"/>
            <w:hideMark/>
          </w:tcPr>
          <w:p w14:paraId="3AE4FEF7"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901042814</w:t>
            </w:r>
          </w:p>
        </w:tc>
        <w:tc>
          <w:tcPr>
            <w:tcW w:w="4844" w:type="dxa"/>
            <w:tcBorders>
              <w:top w:val="nil"/>
              <w:left w:val="nil"/>
              <w:bottom w:val="single" w:sz="4" w:space="0" w:color="auto"/>
              <w:right w:val="single" w:sz="4" w:space="0" w:color="auto"/>
            </w:tcBorders>
            <w:shd w:val="clear" w:color="auto" w:fill="auto"/>
            <w:vAlign w:val="center"/>
            <w:hideMark/>
          </w:tcPr>
          <w:p w14:paraId="7E1623F1" w14:textId="36FA26B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REDNOVA SAS ESP</w:t>
            </w:r>
            <w:r w:rsidR="006F2D43">
              <w:rPr>
                <w:rFonts w:ascii="Arial Narrow" w:hAnsi="Arial Narrow" w:cs="Calibri"/>
                <w:color w:val="000000"/>
                <w:spacing w:val="0"/>
                <w:sz w:val="16"/>
                <w:szCs w:val="16"/>
                <w:lang w:eastAsia="es-CO"/>
              </w:rPr>
              <w:t>.</w:t>
            </w:r>
          </w:p>
        </w:tc>
        <w:tc>
          <w:tcPr>
            <w:tcW w:w="1600" w:type="dxa"/>
            <w:tcBorders>
              <w:top w:val="nil"/>
              <w:left w:val="nil"/>
              <w:bottom w:val="single" w:sz="4" w:space="0" w:color="auto"/>
              <w:right w:val="single" w:sz="4" w:space="0" w:color="auto"/>
            </w:tcBorders>
            <w:shd w:val="clear" w:color="auto" w:fill="auto"/>
            <w:noWrap/>
            <w:vAlign w:val="center"/>
            <w:hideMark/>
          </w:tcPr>
          <w:p w14:paraId="326DC911"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1.717.485.306 </w:t>
            </w:r>
          </w:p>
        </w:tc>
        <w:tc>
          <w:tcPr>
            <w:tcW w:w="1660" w:type="dxa"/>
            <w:tcBorders>
              <w:top w:val="nil"/>
              <w:left w:val="nil"/>
              <w:bottom w:val="single" w:sz="4" w:space="0" w:color="auto"/>
              <w:right w:val="single" w:sz="4" w:space="0" w:color="auto"/>
            </w:tcBorders>
            <w:shd w:val="clear" w:color="auto" w:fill="auto"/>
            <w:noWrap/>
            <w:vAlign w:val="center"/>
            <w:hideMark/>
          </w:tcPr>
          <w:p w14:paraId="38C75609"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7.449.091.926 </w:t>
            </w:r>
          </w:p>
        </w:tc>
      </w:tr>
      <w:tr w:rsidR="009838E7" w:rsidRPr="009838E7" w14:paraId="708BFA6A"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7361B5A0"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246</w:t>
            </w:r>
          </w:p>
        </w:tc>
        <w:tc>
          <w:tcPr>
            <w:tcW w:w="505" w:type="dxa"/>
            <w:tcBorders>
              <w:top w:val="nil"/>
              <w:left w:val="nil"/>
              <w:bottom w:val="single" w:sz="4" w:space="0" w:color="auto"/>
              <w:right w:val="single" w:sz="4" w:space="0" w:color="auto"/>
            </w:tcBorders>
            <w:shd w:val="clear" w:color="auto" w:fill="auto"/>
            <w:noWrap/>
            <w:vAlign w:val="center"/>
            <w:hideMark/>
          </w:tcPr>
          <w:p w14:paraId="0681B9E8"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41456</w:t>
            </w:r>
          </w:p>
        </w:tc>
        <w:tc>
          <w:tcPr>
            <w:tcW w:w="797" w:type="dxa"/>
            <w:tcBorders>
              <w:top w:val="nil"/>
              <w:left w:val="nil"/>
              <w:bottom w:val="single" w:sz="4" w:space="0" w:color="auto"/>
              <w:right w:val="single" w:sz="4" w:space="0" w:color="auto"/>
            </w:tcBorders>
            <w:shd w:val="clear" w:color="auto" w:fill="auto"/>
            <w:noWrap/>
            <w:vAlign w:val="center"/>
            <w:hideMark/>
          </w:tcPr>
          <w:p w14:paraId="39C5B9A5"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901043956</w:t>
            </w:r>
          </w:p>
        </w:tc>
        <w:tc>
          <w:tcPr>
            <w:tcW w:w="4844" w:type="dxa"/>
            <w:tcBorders>
              <w:top w:val="nil"/>
              <w:left w:val="nil"/>
              <w:bottom w:val="single" w:sz="4" w:space="0" w:color="auto"/>
              <w:right w:val="single" w:sz="4" w:space="0" w:color="auto"/>
            </w:tcBorders>
            <w:shd w:val="clear" w:color="auto" w:fill="auto"/>
            <w:vAlign w:val="center"/>
            <w:hideMark/>
          </w:tcPr>
          <w:p w14:paraId="716FC9E7"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PLUSENERGY SAS ESP</w:t>
            </w:r>
          </w:p>
        </w:tc>
        <w:tc>
          <w:tcPr>
            <w:tcW w:w="1600" w:type="dxa"/>
            <w:tcBorders>
              <w:top w:val="nil"/>
              <w:left w:val="nil"/>
              <w:bottom w:val="single" w:sz="4" w:space="0" w:color="auto"/>
              <w:right w:val="single" w:sz="4" w:space="0" w:color="auto"/>
            </w:tcBorders>
            <w:shd w:val="clear" w:color="auto" w:fill="auto"/>
            <w:noWrap/>
            <w:vAlign w:val="center"/>
            <w:hideMark/>
          </w:tcPr>
          <w:p w14:paraId="68A19063"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340.979.000 </w:t>
            </w:r>
          </w:p>
        </w:tc>
        <w:tc>
          <w:tcPr>
            <w:tcW w:w="1660" w:type="dxa"/>
            <w:tcBorders>
              <w:top w:val="nil"/>
              <w:left w:val="nil"/>
              <w:bottom w:val="single" w:sz="4" w:space="0" w:color="auto"/>
              <w:right w:val="single" w:sz="4" w:space="0" w:color="auto"/>
            </w:tcBorders>
            <w:shd w:val="clear" w:color="auto" w:fill="auto"/>
            <w:noWrap/>
            <w:vAlign w:val="center"/>
            <w:hideMark/>
          </w:tcPr>
          <w:p w14:paraId="192D0E58"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369.693.000 </w:t>
            </w:r>
          </w:p>
        </w:tc>
      </w:tr>
      <w:tr w:rsidR="009838E7" w:rsidRPr="009838E7" w14:paraId="4F76E6F6"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4512BA68"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247</w:t>
            </w:r>
          </w:p>
        </w:tc>
        <w:tc>
          <w:tcPr>
            <w:tcW w:w="505" w:type="dxa"/>
            <w:tcBorders>
              <w:top w:val="nil"/>
              <w:left w:val="nil"/>
              <w:bottom w:val="single" w:sz="4" w:space="0" w:color="auto"/>
              <w:right w:val="single" w:sz="4" w:space="0" w:color="auto"/>
            </w:tcBorders>
            <w:shd w:val="clear" w:color="auto" w:fill="auto"/>
            <w:noWrap/>
            <w:vAlign w:val="center"/>
            <w:hideMark/>
          </w:tcPr>
          <w:p w14:paraId="7A85F208"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54926</w:t>
            </w:r>
          </w:p>
        </w:tc>
        <w:tc>
          <w:tcPr>
            <w:tcW w:w="797" w:type="dxa"/>
            <w:tcBorders>
              <w:top w:val="nil"/>
              <w:left w:val="nil"/>
              <w:bottom w:val="single" w:sz="4" w:space="0" w:color="auto"/>
              <w:right w:val="single" w:sz="4" w:space="0" w:color="auto"/>
            </w:tcBorders>
            <w:shd w:val="clear" w:color="auto" w:fill="auto"/>
            <w:noWrap/>
            <w:vAlign w:val="center"/>
            <w:hideMark/>
          </w:tcPr>
          <w:p w14:paraId="7FA31D54"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901054344</w:t>
            </w:r>
          </w:p>
        </w:tc>
        <w:tc>
          <w:tcPr>
            <w:tcW w:w="4844" w:type="dxa"/>
            <w:tcBorders>
              <w:top w:val="nil"/>
              <w:left w:val="nil"/>
              <w:bottom w:val="single" w:sz="4" w:space="0" w:color="auto"/>
              <w:right w:val="single" w:sz="4" w:space="0" w:color="auto"/>
            </w:tcBorders>
            <w:shd w:val="clear" w:color="auto" w:fill="auto"/>
            <w:vAlign w:val="center"/>
            <w:hideMark/>
          </w:tcPr>
          <w:p w14:paraId="2FA92C9B"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CEE ENERGY SAS ESP</w:t>
            </w:r>
          </w:p>
        </w:tc>
        <w:tc>
          <w:tcPr>
            <w:tcW w:w="1600" w:type="dxa"/>
            <w:tcBorders>
              <w:top w:val="nil"/>
              <w:left w:val="nil"/>
              <w:bottom w:val="single" w:sz="4" w:space="0" w:color="auto"/>
              <w:right w:val="single" w:sz="4" w:space="0" w:color="auto"/>
            </w:tcBorders>
            <w:shd w:val="clear" w:color="auto" w:fill="auto"/>
            <w:noWrap/>
            <w:vAlign w:val="center"/>
            <w:hideMark/>
          </w:tcPr>
          <w:p w14:paraId="0821115A"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107.243.734 </w:t>
            </w:r>
          </w:p>
        </w:tc>
        <w:tc>
          <w:tcPr>
            <w:tcW w:w="1660" w:type="dxa"/>
            <w:tcBorders>
              <w:top w:val="nil"/>
              <w:left w:val="nil"/>
              <w:bottom w:val="single" w:sz="4" w:space="0" w:color="auto"/>
              <w:right w:val="single" w:sz="4" w:space="0" w:color="auto"/>
            </w:tcBorders>
            <w:shd w:val="clear" w:color="auto" w:fill="auto"/>
            <w:noWrap/>
            <w:vAlign w:val="center"/>
            <w:hideMark/>
          </w:tcPr>
          <w:p w14:paraId="77A35167"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437.863.392 </w:t>
            </w:r>
          </w:p>
        </w:tc>
      </w:tr>
      <w:tr w:rsidR="009838E7" w:rsidRPr="009838E7" w14:paraId="44CD4EFE" w14:textId="77777777" w:rsidTr="000736A5">
        <w:trPr>
          <w:trHeight w:val="309"/>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1F873FAA"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248</w:t>
            </w:r>
          </w:p>
        </w:tc>
        <w:tc>
          <w:tcPr>
            <w:tcW w:w="505" w:type="dxa"/>
            <w:tcBorders>
              <w:top w:val="nil"/>
              <w:left w:val="nil"/>
              <w:bottom w:val="single" w:sz="4" w:space="0" w:color="auto"/>
              <w:right w:val="single" w:sz="4" w:space="0" w:color="auto"/>
            </w:tcBorders>
            <w:shd w:val="clear" w:color="auto" w:fill="auto"/>
            <w:noWrap/>
            <w:vAlign w:val="center"/>
            <w:hideMark/>
          </w:tcPr>
          <w:p w14:paraId="22A21D7F"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38851</w:t>
            </w:r>
          </w:p>
        </w:tc>
        <w:tc>
          <w:tcPr>
            <w:tcW w:w="797" w:type="dxa"/>
            <w:tcBorders>
              <w:top w:val="nil"/>
              <w:left w:val="nil"/>
              <w:bottom w:val="single" w:sz="4" w:space="0" w:color="auto"/>
              <w:right w:val="single" w:sz="4" w:space="0" w:color="auto"/>
            </w:tcBorders>
            <w:shd w:val="clear" w:color="auto" w:fill="auto"/>
            <w:noWrap/>
            <w:vAlign w:val="center"/>
            <w:hideMark/>
          </w:tcPr>
          <w:p w14:paraId="40526894"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901094262</w:t>
            </w:r>
          </w:p>
        </w:tc>
        <w:tc>
          <w:tcPr>
            <w:tcW w:w="4844" w:type="dxa"/>
            <w:tcBorders>
              <w:top w:val="nil"/>
              <w:left w:val="nil"/>
              <w:bottom w:val="single" w:sz="4" w:space="0" w:color="auto"/>
              <w:right w:val="single" w:sz="4" w:space="0" w:color="auto"/>
            </w:tcBorders>
            <w:shd w:val="clear" w:color="auto" w:fill="auto"/>
            <w:vAlign w:val="center"/>
            <w:hideMark/>
          </w:tcPr>
          <w:p w14:paraId="3482CEA2" w14:textId="24A2EA54"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E.A.T. ELECTRIFICADORA DE LA ZONA FRONTERA Y RURAL DE TUMACO</w:t>
            </w:r>
          </w:p>
        </w:tc>
        <w:tc>
          <w:tcPr>
            <w:tcW w:w="1600" w:type="dxa"/>
            <w:tcBorders>
              <w:top w:val="nil"/>
              <w:left w:val="nil"/>
              <w:bottom w:val="single" w:sz="4" w:space="0" w:color="auto"/>
              <w:right w:val="single" w:sz="4" w:space="0" w:color="auto"/>
            </w:tcBorders>
            <w:shd w:val="clear" w:color="auto" w:fill="auto"/>
            <w:noWrap/>
            <w:vAlign w:val="center"/>
            <w:hideMark/>
          </w:tcPr>
          <w:p w14:paraId="193DE0AA"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137.438.690 </w:t>
            </w:r>
          </w:p>
        </w:tc>
        <w:tc>
          <w:tcPr>
            <w:tcW w:w="1660" w:type="dxa"/>
            <w:tcBorders>
              <w:top w:val="nil"/>
              <w:left w:val="nil"/>
              <w:bottom w:val="single" w:sz="4" w:space="0" w:color="auto"/>
              <w:right w:val="single" w:sz="4" w:space="0" w:color="auto"/>
            </w:tcBorders>
            <w:shd w:val="clear" w:color="auto" w:fill="auto"/>
            <w:noWrap/>
            <w:vAlign w:val="center"/>
            <w:hideMark/>
          </w:tcPr>
          <w:p w14:paraId="75E09BFE"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149.111.956 </w:t>
            </w:r>
          </w:p>
        </w:tc>
      </w:tr>
      <w:tr w:rsidR="009838E7" w:rsidRPr="009838E7" w14:paraId="1FDBCD7D"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135C3986"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249</w:t>
            </w:r>
          </w:p>
        </w:tc>
        <w:tc>
          <w:tcPr>
            <w:tcW w:w="505" w:type="dxa"/>
            <w:tcBorders>
              <w:top w:val="nil"/>
              <w:left w:val="nil"/>
              <w:bottom w:val="single" w:sz="4" w:space="0" w:color="auto"/>
              <w:right w:val="single" w:sz="4" w:space="0" w:color="auto"/>
            </w:tcBorders>
            <w:shd w:val="clear" w:color="auto" w:fill="auto"/>
            <w:noWrap/>
            <w:vAlign w:val="center"/>
            <w:hideMark/>
          </w:tcPr>
          <w:p w14:paraId="54177596"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38213</w:t>
            </w:r>
          </w:p>
        </w:tc>
        <w:tc>
          <w:tcPr>
            <w:tcW w:w="797" w:type="dxa"/>
            <w:tcBorders>
              <w:top w:val="nil"/>
              <w:left w:val="nil"/>
              <w:bottom w:val="single" w:sz="4" w:space="0" w:color="auto"/>
              <w:right w:val="single" w:sz="4" w:space="0" w:color="auto"/>
            </w:tcBorders>
            <w:shd w:val="clear" w:color="auto" w:fill="auto"/>
            <w:noWrap/>
            <w:vAlign w:val="center"/>
            <w:hideMark/>
          </w:tcPr>
          <w:p w14:paraId="2306E644"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901094947</w:t>
            </w:r>
          </w:p>
        </w:tc>
        <w:tc>
          <w:tcPr>
            <w:tcW w:w="4844" w:type="dxa"/>
            <w:tcBorders>
              <w:top w:val="nil"/>
              <w:left w:val="nil"/>
              <w:bottom w:val="single" w:sz="4" w:space="0" w:color="auto"/>
              <w:right w:val="single" w:sz="4" w:space="0" w:color="auto"/>
            </w:tcBorders>
            <w:shd w:val="clear" w:color="auto" w:fill="auto"/>
            <w:vAlign w:val="center"/>
            <w:hideMark/>
          </w:tcPr>
          <w:p w14:paraId="5ABC9252" w14:textId="19044C72"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CEN ENERGY S.A.S E.S.P</w:t>
            </w:r>
            <w:r w:rsidR="006F2D43">
              <w:rPr>
                <w:rFonts w:ascii="Arial Narrow" w:hAnsi="Arial Narrow" w:cs="Calibri"/>
                <w:color w:val="000000"/>
                <w:spacing w:val="0"/>
                <w:sz w:val="16"/>
                <w:szCs w:val="16"/>
                <w:lang w:eastAsia="es-CO"/>
              </w:rPr>
              <w:t>.</w:t>
            </w:r>
          </w:p>
        </w:tc>
        <w:tc>
          <w:tcPr>
            <w:tcW w:w="1600" w:type="dxa"/>
            <w:tcBorders>
              <w:top w:val="nil"/>
              <w:left w:val="nil"/>
              <w:bottom w:val="single" w:sz="4" w:space="0" w:color="auto"/>
              <w:right w:val="single" w:sz="4" w:space="0" w:color="auto"/>
            </w:tcBorders>
            <w:shd w:val="clear" w:color="auto" w:fill="auto"/>
            <w:noWrap/>
            <w:vAlign w:val="center"/>
            <w:hideMark/>
          </w:tcPr>
          <w:p w14:paraId="0F4648E8"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411.499.000 </w:t>
            </w:r>
          </w:p>
        </w:tc>
        <w:tc>
          <w:tcPr>
            <w:tcW w:w="1660" w:type="dxa"/>
            <w:tcBorders>
              <w:top w:val="nil"/>
              <w:left w:val="nil"/>
              <w:bottom w:val="single" w:sz="4" w:space="0" w:color="auto"/>
              <w:right w:val="single" w:sz="4" w:space="0" w:color="auto"/>
            </w:tcBorders>
            <w:shd w:val="clear" w:color="auto" w:fill="auto"/>
            <w:noWrap/>
            <w:vAlign w:val="center"/>
            <w:hideMark/>
          </w:tcPr>
          <w:p w14:paraId="16679C17"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388.462.000 </w:t>
            </w:r>
          </w:p>
        </w:tc>
      </w:tr>
      <w:tr w:rsidR="009838E7" w:rsidRPr="009838E7" w14:paraId="52ABF156"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4E66F18D"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250</w:t>
            </w:r>
          </w:p>
        </w:tc>
        <w:tc>
          <w:tcPr>
            <w:tcW w:w="505" w:type="dxa"/>
            <w:tcBorders>
              <w:top w:val="nil"/>
              <w:left w:val="nil"/>
              <w:bottom w:val="single" w:sz="4" w:space="0" w:color="auto"/>
              <w:right w:val="single" w:sz="4" w:space="0" w:color="auto"/>
            </w:tcBorders>
            <w:shd w:val="clear" w:color="auto" w:fill="auto"/>
            <w:noWrap/>
            <w:vAlign w:val="center"/>
            <w:hideMark/>
          </w:tcPr>
          <w:p w14:paraId="5E4D9074"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39313</w:t>
            </w:r>
          </w:p>
        </w:tc>
        <w:tc>
          <w:tcPr>
            <w:tcW w:w="797" w:type="dxa"/>
            <w:tcBorders>
              <w:top w:val="nil"/>
              <w:left w:val="nil"/>
              <w:bottom w:val="single" w:sz="4" w:space="0" w:color="auto"/>
              <w:right w:val="single" w:sz="4" w:space="0" w:color="auto"/>
            </w:tcBorders>
            <w:shd w:val="clear" w:color="auto" w:fill="auto"/>
            <w:noWrap/>
            <w:vAlign w:val="center"/>
            <w:hideMark/>
          </w:tcPr>
          <w:p w14:paraId="60AB9100"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901125404</w:t>
            </w:r>
          </w:p>
        </w:tc>
        <w:tc>
          <w:tcPr>
            <w:tcW w:w="4844" w:type="dxa"/>
            <w:tcBorders>
              <w:top w:val="nil"/>
              <w:left w:val="nil"/>
              <w:bottom w:val="single" w:sz="4" w:space="0" w:color="auto"/>
              <w:right w:val="single" w:sz="4" w:space="0" w:color="auto"/>
            </w:tcBorders>
            <w:shd w:val="clear" w:color="auto" w:fill="auto"/>
            <w:vAlign w:val="center"/>
            <w:hideMark/>
          </w:tcPr>
          <w:p w14:paraId="30E68531"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JULIA-RD SA ESP</w:t>
            </w:r>
          </w:p>
        </w:tc>
        <w:tc>
          <w:tcPr>
            <w:tcW w:w="1600" w:type="dxa"/>
            <w:tcBorders>
              <w:top w:val="nil"/>
              <w:left w:val="nil"/>
              <w:bottom w:val="single" w:sz="4" w:space="0" w:color="auto"/>
              <w:right w:val="single" w:sz="4" w:space="0" w:color="auto"/>
            </w:tcBorders>
            <w:shd w:val="clear" w:color="auto" w:fill="auto"/>
            <w:noWrap/>
            <w:vAlign w:val="center"/>
            <w:hideMark/>
          </w:tcPr>
          <w:p w14:paraId="16907AA0"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1.557.687.000 </w:t>
            </w:r>
          </w:p>
        </w:tc>
        <w:tc>
          <w:tcPr>
            <w:tcW w:w="1660" w:type="dxa"/>
            <w:tcBorders>
              <w:top w:val="nil"/>
              <w:left w:val="nil"/>
              <w:bottom w:val="single" w:sz="4" w:space="0" w:color="auto"/>
              <w:right w:val="single" w:sz="4" w:space="0" w:color="auto"/>
            </w:tcBorders>
            <w:shd w:val="clear" w:color="auto" w:fill="auto"/>
            <w:noWrap/>
            <w:vAlign w:val="center"/>
            <w:hideMark/>
          </w:tcPr>
          <w:p w14:paraId="3FBD0D17"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173.468.000 </w:t>
            </w:r>
          </w:p>
        </w:tc>
      </w:tr>
      <w:tr w:rsidR="009838E7" w:rsidRPr="009838E7" w14:paraId="22B95818"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2956631C"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251</w:t>
            </w:r>
          </w:p>
        </w:tc>
        <w:tc>
          <w:tcPr>
            <w:tcW w:w="505" w:type="dxa"/>
            <w:tcBorders>
              <w:top w:val="nil"/>
              <w:left w:val="nil"/>
              <w:bottom w:val="single" w:sz="4" w:space="0" w:color="auto"/>
              <w:right w:val="single" w:sz="4" w:space="0" w:color="auto"/>
            </w:tcBorders>
            <w:shd w:val="clear" w:color="auto" w:fill="auto"/>
            <w:noWrap/>
            <w:vAlign w:val="center"/>
            <w:hideMark/>
          </w:tcPr>
          <w:p w14:paraId="7224EE1A"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40255</w:t>
            </w:r>
          </w:p>
        </w:tc>
        <w:tc>
          <w:tcPr>
            <w:tcW w:w="797" w:type="dxa"/>
            <w:tcBorders>
              <w:top w:val="nil"/>
              <w:left w:val="nil"/>
              <w:bottom w:val="single" w:sz="4" w:space="0" w:color="auto"/>
              <w:right w:val="single" w:sz="4" w:space="0" w:color="auto"/>
            </w:tcBorders>
            <w:shd w:val="clear" w:color="auto" w:fill="auto"/>
            <w:noWrap/>
            <w:vAlign w:val="center"/>
            <w:hideMark/>
          </w:tcPr>
          <w:p w14:paraId="0DCF5FD9"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901157308</w:t>
            </w:r>
          </w:p>
        </w:tc>
        <w:tc>
          <w:tcPr>
            <w:tcW w:w="4844" w:type="dxa"/>
            <w:tcBorders>
              <w:top w:val="nil"/>
              <w:left w:val="nil"/>
              <w:bottom w:val="single" w:sz="4" w:space="0" w:color="auto"/>
              <w:right w:val="single" w:sz="4" w:space="0" w:color="auto"/>
            </w:tcBorders>
            <w:shd w:val="clear" w:color="auto" w:fill="auto"/>
            <w:vAlign w:val="center"/>
            <w:hideMark/>
          </w:tcPr>
          <w:p w14:paraId="679CB9CF"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BTU ENERGY S.A.S. E.S.P.</w:t>
            </w:r>
          </w:p>
        </w:tc>
        <w:tc>
          <w:tcPr>
            <w:tcW w:w="1600" w:type="dxa"/>
            <w:tcBorders>
              <w:top w:val="nil"/>
              <w:left w:val="nil"/>
              <w:bottom w:val="single" w:sz="4" w:space="0" w:color="auto"/>
              <w:right w:val="single" w:sz="4" w:space="0" w:color="auto"/>
            </w:tcBorders>
            <w:shd w:val="clear" w:color="auto" w:fill="auto"/>
            <w:noWrap/>
            <w:vAlign w:val="center"/>
            <w:hideMark/>
          </w:tcPr>
          <w:p w14:paraId="029119F6"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33.934.071 </w:t>
            </w:r>
          </w:p>
        </w:tc>
        <w:tc>
          <w:tcPr>
            <w:tcW w:w="1660" w:type="dxa"/>
            <w:tcBorders>
              <w:top w:val="nil"/>
              <w:left w:val="nil"/>
              <w:bottom w:val="single" w:sz="4" w:space="0" w:color="auto"/>
              <w:right w:val="single" w:sz="4" w:space="0" w:color="auto"/>
            </w:tcBorders>
            <w:shd w:val="clear" w:color="auto" w:fill="auto"/>
            <w:noWrap/>
            <w:vAlign w:val="center"/>
            <w:hideMark/>
          </w:tcPr>
          <w:p w14:paraId="139DAB17"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303.219.911 </w:t>
            </w:r>
          </w:p>
        </w:tc>
      </w:tr>
      <w:tr w:rsidR="009838E7" w:rsidRPr="009838E7" w14:paraId="5B7F9688" w14:textId="77777777" w:rsidTr="00092F91">
        <w:trPr>
          <w:trHeight w:val="288"/>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3B7546D1"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252</w:t>
            </w:r>
          </w:p>
        </w:tc>
        <w:tc>
          <w:tcPr>
            <w:tcW w:w="505" w:type="dxa"/>
            <w:tcBorders>
              <w:top w:val="nil"/>
              <w:left w:val="nil"/>
              <w:bottom w:val="single" w:sz="4" w:space="0" w:color="auto"/>
              <w:right w:val="single" w:sz="4" w:space="0" w:color="auto"/>
            </w:tcBorders>
            <w:shd w:val="clear" w:color="auto" w:fill="auto"/>
            <w:noWrap/>
            <w:vAlign w:val="center"/>
            <w:hideMark/>
          </w:tcPr>
          <w:p w14:paraId="1D2A9F50"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41836</w:t>
            </w:r>
          </w:p>
        </w:tc>
        <w:tc>
          <w:tcPr>
            <w:tcW w:w="797" w:type="dxa"/>
            <w:tcBorders>
              <w:top w:val="nil"/>
              <w:left w:val="nil"/>
              <w:bottom w:val="single" w:sz="4" w:space="0" w:color="auto"/>
              <w:right w:val="single" w:sz="4" w:space="0" w:color="auto"/>
            </w:tcBorders>
            <w:shd w:val="clear" w:color="auto" w:fill="auto"/>
            <w:noWrap/>
            <w:vAlign w:val="center"/>
            <w:hideMark/>
          </w:tcPr>
          <w:p w14:paraId="072E7C4F"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901164452</w:t>
            </w:r>
          </w:p>
        </w:tc>
        <w:tc>
          <w:tcPr>
            <w:tcW w:w="4844" w:type="dxa"/>
            <w:tcBorders>
              <w:top w:val="nil"/>
              <w:left w:val="nil"/>
              <w:bottom w:val="single" w:sz="4" w:space="0" w:color="auto"/>
              <w:right w:val="single" w:sz="4" w:space="0" w:color="auto"/>
            </w:tcBorders>
            <w:shd w:val="clear" w:color="auto" w:fill="auto"/>
            <w:vAlign w:val="center"/>
            <w:hideMark/>
          </w:tcPr>
          <w:p w14:paraId="1D6397AD"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EMPRESA DE SERVICIOS PUBLICOS ENERGIZAR DEL PACIFICO S.A. E.S.P.</w:t>
            </w:r>
          </w:p>
        </w:tc>
        <w:tc>
          <w:tcPr>
            <w:tcW w:w="1600" w:type="dxa"/>
            <w:tcBorders>
              <w:top w:val="nil"/>
              <w:left w:val="nil"/>
              <w:bottom w:val="single" w:sz="4" w:space="0" w:color="auto"/>
              <w:right w:val="single" w:sz="4" w:space="0" w:color="auto"/>
            </w:tcBorders>
            <w:shd w:val="clear" w:color="auto" w:fill="auto"/>
            <w:noWrap/>
            <w:vAlign w:val="center"/>
            <w:hideMark/>
          </w:tcPr>
          <w:p w14:paraId="10BE8B70"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426.371.917 </w:t>
            </w:r>
          </w:p>
        </w:tc>
        <w:tc>
          <w:tcPr>
            <w:tcW w:w="1660" w:type="dxa"/>
            <w:tcBorders>
              <w:top w:val="nil"/>
              <w:left w:val="nil"/>
              <w:bottom w:val="single" w:sz="4" w:space="0" w:color="auto"/>
              <w:right w:val="single" w:sz="4" w:space="0" w:color="auto"/>
            </w:tcBorders>
            <w:shd w:val="clear" w:color="auto" w:fill="auto"/>
            <w:noWrap/>
            <w:vAlign w:val="center"/>
            <w:hideMark/>
          </w:tcPr>
          <w:p w14:paraId="78F7F504"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450.193.002 </w:t>
            </w:r>
          </w:p>
        </w:tc>
      </w:tr>
      <w:tr w:rsidR="009838E7" w:rsidRPr="009838E7" w14:paraId="57C38E6B"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48BED7D1"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253</w:t>
            </w:r>
          </w:p>
        </w:tc>
        <w:tc>
          <w:tcPr>
            <w:tcW w:w="505" w:type="dxa"/>
            <w:tcBorders>
              <w:top w:val="nil"/>
              <w:left w:val="nil"/>
              <w:bottom w:val="single" w:sz="4" w:space="0" w:color="auto"/>
              <w:right w:val="single" w:sz="4" w:space="0" w:color="auto"/>
            </w:tcBorders>
            <w:shd w:val="clear" w:color="auto" w:fill="auto"/>
            <w:noWrap/>
            <w:vAlign w:val="center"/>
            <w:hideMark/>
          </w:tcPr>
          <w:p w14:paraId="5C6A42CB"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41335</w:t>
            </w:r>
          </w:p>
        </w:tc>
        <w:tc>
          <w:tcPr>
            <w:tcW w:w="797" w:type="dxa"/>
            <w:tcBorders>
              <w:top w:val="nil"/>
              <w:left w:val="nil"/>
              <w:bottom w:val="single" w:sz="4" w:space="0" w:color="auto"/>
              <w:right w:val="single" w:sz="4" w:space="0" w:color="auto"/>
            </w:tcBorders>
            <w:shd w:val="clear" w:color="auto" w:fill="auto"/>
            <w:noWrap/>
            <w:vAlign w:val="center"/>
            <w:hideMark/>
          </w:tcPr>
          <w:p w14:paraId="739145BA"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901165502</w:t>
            </w:r>
          </w:p>
        </w:tc>
        <w:tc>
          <w:tcPr>
            <w:tcW w:w="4844" w:type="dxa"/>
            <w:tcBorders>
              <w:top w:val="nil"/>
              <w:left w:val="nil"/>
              <w:bottom w:val="single" w:sz="4" w:space="0" w:color="auto"/>
              <w:right w:val="single" w:sz="4" w:space="0" w:color="auto"/>
            </w:tcBorders>
            <w:shd w:val="clear" w:color="auto" w:fill="auto"/>
            <w:vAlign w:val="center"/>
            <w:hideMark/>
          </w:tcPr>
          <w:p w14:paraId="272CE490"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ECOPETROL ENERGÍA S.A.S. E.S.P.</w:t>
            </w:r>
          </w:p>
        </w:tc>
        <w:tc>
          <w:tcPr>
            <w:tcW w:w="1600" w:type="dxa"/>
            <w:tcBorders>
              <w:top w:val="nil"/>
              <w:left w:val="nil"/>
              <w:bottom w:val="single" w:sz="4" w:space="0" w:color="auto"/>
              <w:right w:val="single" w:sz="4" w:space="0" w:color="auto"/>
            </w:tcBorders>
            <w:shd w:val="clear" w:color="auto" w:fill="auto"/>
            <w:noWrap/>
            <w:vAlign w:val="center"/>
            <w:hideMark/>
          </w:tcPr>
          <w:p w14:paraId="004922B0"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3.522.858.000 </w:t>
            </w:r>
          </w:p>
        </w:tc>
        <w:tc>
          <w:tcPr>
            <w:tcW w:w="1660" w:type="dxa"/>
            <w:tcBorders>
              <w:top w:val="nil"/>
              <w:left w:val="nil"/>
              <w:bottom w:val="single" w:sz="4" w:space="0" w:color="auto"/>
              <w:right w:val="single" w:sz="4" w:space="0" w:color="auto"/>
            </w:tcBorders>
            <w:shd w:val="clear" w:color="auto" w:fill="auto"/>
            <w:noWrap/>
            <w:vAlign w:val="center"/>
            <w:hideMark/>
          </w:tcPr>
          <w:p w14:paraId="10C45A29"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1.661.262.000 </w:t>
            </w:r>
          </w:p>
        </w:tc>
      </w:tr>
      <w:tr w:rsidR="009838E7" w:rsidRPr="009838E7" w14:paraId="26AD20AB" w14:textId="77777777" w:rsidTr="00092F91">
        <w:trPr>
          <w:trHeight w:val="248"/>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043B7792"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254</w:t>
            </w:r>
          </w:p>
        </w:tc>
        <w:tc>
          <w:tcPr>
            <w:tcW w:w="505" w:type="dxa"/>
            <w:tcBorders>
              <w:top w:val="nil"/>
              <w:left w:val="nil"/>
              <w:bottom w:val="single" w:sz="4" w:space="0" w:color="auto"/>
              <w:right w:val="single" w:sz="4" w:space="0" w:color="auto"/>
            </w:tcBorders>
            <w:shd w:val="clear" w:color="auto" w:fill="auto"/>
            <w:noWrap/>
            <w:vAlign w:val="center"/>
            <w:hideMark/>
          </w:tcPr>
          <w:p w14:paraId="7866D9C7"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44796</w:t>
            </w:r>
          </w:p>
        </w:tc>
        <w:tc>
          <w:tcPr>
            <w:tcW w:w="797" w:type="dxa"/>
            <w:tcBorders>
              <w:top w:val="nil"/>
              <w:left w:val="nil"/>
              <w:bottom w:val="single" w:sz="4" w:space="0" w:color="auto"/>
              <w:right w:val="single" w:sz="4" w:space="0" w:color="auto"/>
            </w:tcBorders>
            <w:shd w:val="clear" w:color="auto" w:fill="auto"/>
            <w:noWrap/>
            <w:vAlign w:val="center"/>
            <w:hideMark/>
          </w:tcPr>
          <w:p w14:paraId="1CBD9AE9"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901175206</w:t>
            </w:r>
          </w:p>
        </w:tc>
        <w:tc>
          <w:tcPr>
            <w:tcW w:w="4844" w:type="dxa"/>
            <w:tcBorders>
              <w:top w:val="nil"/>
              <w:left w:val="nil"/>
              <w:bottom w:val="single" w:sz="4" w:space="0" w:color="auto"/>
              <w:right w:val="single" w:sz="4" w:space="0" w:color="auto"/>
            </w:tcBorders>
            <w:shd w:val="clear" w:color="auto" w:fill="auto"/>
            <w:vAlign w:val="center"/>
            <w:hideMark/>
          </w:tcPr>
          <w:p w14:paraId="30EC9A9D"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Empresa Privada de Servicios Públicos de la Amazonía ZOMAC SAS</w:t>
            </w:r>
          </w:p>
        </w:tc>
        <w:tc>
          <w:tcPr>
            <w:tcW w:w="1600" w:type="dxa"/>
            <w:tcBorders>
              <w:top w:val="nil"/>
              <w:left w:val="nil"/>
              <w:bottom w:val="single" w:sz="4" w:space="0" w:color="auto"/>
              <w:right w:val="single" w:sz="4" w:space="0" w:color="auto"/>
            </w:tcBorders>
            <w:shd w:val="clear" w:color="auto" w:fill="auto"/>
            <w:noWrap/>
            <w:vAlign w:val="center"/>
            <w:hideMark/>
          </w:tcPr>
          <w:p w14:paraId="7FF434D3"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310.921.997 </w:t>
            </w:r>
          </w:p>
        </w:tc>
        <w:tc>
          <w:tcPr>
            <w:tcW w:w="1660" w:type="dxa"/>
            <w:tcBorders>
              <w:top w:val="nil"/>
              <w:left w:val="nil"/>
              <w:bottom w:val="single" w:sz="4" w:space="0" w:color="auto"/>
              <w:right w:val="single" w:sz="4" w:space="0" w:color="auto"/>
            </w:tcBorders>
            <w:shd w:val="clear" w:color="auto" w:fill="auto"/>
            <w:noWrap/>
            <w:vAlign w:val="center"/>
            <w:hideMark/>
          </w:tcPr>
          <w:p w14:paraId="569B80E8"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602.112.293 </w:t>
            </w:r>
          </w:p>
        </w:tc>
      </w:tr>
      <w:tr w:rsidR="009838E7" w:rsidRPr="009838E7" w14:paraId="71042E55"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5ACB1889"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255</w:t>
            </w:r>
          </w:p>
        </w:tc>
        <w:tc>
          <w:tcPr>
            <w:tcW w:w="505" w:type="dxa"/>
            <w:tcBorders>
              <w:top w:val="nil"/>
              <w:left w:val="nil"/>
              <w:bottom w:val="single" w:sz="4" w:space="0" w:color="auto"/>
              <w:right w:val="single" w:sz="4" w:space="0" w:color="auto"/>
            </w:tcBorders>
            <w:shd w:val="clear" w:color="auto" w:fill="auto"/>
            <w:noWrap/>
            <w:vAlign w:val="center"/>
            <w:hideMark/>
          </w:tcPr>
          <w:p w14:paraId="3C79267F"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42316</w:t>
            </w:r>
          </w:p>
        </w:tc>
        <w:tc>
          <w:tcPr>
            <w:tcW w:w="797" w:type="dxa"/>
            <w:tcBorders>
              <w:top w:val="nil"/>
              <w:left w:val="nil"/>
              <w:bottom w:val="single" w:sz="4" w:space="0" w:color="auto"/>
              <w:right w:val="single" w:sz="4" w:space="0" w:color="auto"/>
            </w:tcBorders>
            <w:shd w:val="clear" w:color="auto" w:fill="auto"/>
            <w:noWrap/>
            <w:vAlign w:val="center"/>
            <w:hideMark/>
          </w:tcPr>
          <w:p w14:paraId="0EC6B11A"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901200248</w:t>
            </w:r>
          </w:p>
        </w:tc>
        <w:tc>
          <w:tcPr>
            <w:tcW w:w="4844" w:type="dxa"/>
            <w:tcBorders>
              <w:top w:val="nil"/>
              <w:left w:val="nil"/>
              <w:bottom w:val="single" w:sz="4" w:space="0" w:color="auto"/>
              <w:right w:val="single" w:sz="4" w:space="0" w:color="auto"/>
            </w:tcBorders>
            <w:shd w:val="clear" w:color="auto" w:fill="auto"/>
            <w:vAlign w:val="center"/>
            <w:hideMark/>
          </w:tcPr>
          <w:p w14:paraId="7784F98D"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SANTA FE ENERGY ZOMAC S.A.S. E.S.P.</w:t>
            </w:r>
          </w:p>
        </w:tc>
        <w:tc>
          <w:tcPr>
            <w:tcW w:w="1600" w:type="dxa"/>
            <w:tcBorders>
              <w:top w:val="nil"/>
              <w:left w:val="nil"/>
              <w:bottom w:val="single" w:sz="4" w:space="0" w:color="auto"/>
              <w:right w:val="single" w:sz="4" w:space="0" w:color="auto"/>
            </w:tcBorders>
            <w:shd w:val="clear" w:color="auto" w:fill="auto"/>
            <w:noWrap/>
            <w:vAlign w:val="center"/>
            <w:hideMark/>
          </w:tcPr>
          <w:p w14:paraId="43667E86"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489.924.747 </w:t>
            </w:r>
          </w:p>
        </w:tc>
        <w:tc>
          <w:tcPr>
            <w:tcW w:w="1660" w:type="dxa"/>
            <w:tcBorders>
              <w:top w:val="nil"/>
              <w:left w:val="nil"/>
              <w:bottom w:val="single" w:sz="4" w:space="0" w:color="auto"/>
              <w:right w:val="single" w:sz="4" w:space="0" w:color="auto"/>
            </w:tcBorders>
            <w:shd w:val="clear" w:color="auto" w:fill="auto"/>
            <w:noWrap/>
            <w:vAlign w:val="center"/>
            <w:hideMark/>
          </w:tcPr>
          <w:p w14:paraId="4E10AE86"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551.352.042 </w:t>
            </w:r>
          </w:p>
        </w:tc>
      </w:tr>
      <w:tr w:rsidR="009838E7" w:rsidRPr="009838E7" w14:paraId="2777F727"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4872630C"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256</w:t>
            </w:r>
          </w:p>
        </w:tc>
        <w:tc>
          <w:tcPr>
            <w:tcW w:w="505" w:type="dxa"/>
            <w:tcBorders>
              <w:top w:val="nil"/>
              <w:left w:val="nil"/>
              <w:bottom w:val="single" w:sz="4" w:space="0" w:color="auto"/>
              <w:right w:val="single" w:sz="4" w:space="0" w:color="auto"/>
            </w:tcBorders>
            <w:shd w:val="clear" w:color="auto" w:fill="auto"/>
            <w:noWrap/>
            <w:vAlign w:val="center"/>
            <w:hideMark/>
          </w:tcPr>
          <w:p w14:paraId="674E9A0D"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53047</w:t>
            </w:r>
          </w:p>
        </w:tc>
        <w:tc>
          <w:tcPr>
            <w:tcW w:w="797" w:type="dxa"/>
            <w:tcBorders>
              <w:top w:val="nil"/>
              <w:left w:val="nil"/>
              <w:bottom w:val="single" w:sz="4" w:space="0" w:color="auto"/>
              <w:right w:val="single" w:sz="4" w:space="0" w:color="auto"/>
            </w:tcBorders>
            <w:shd w:val="clear" w:color="auto" w:fill="auto"/>
            <w:noWrap/>
            <w:vAlign w:val="center"/>
            <w:hideMark/>
          </w:tcPr>
          <w:p w14:paraId="4D78C4A1"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901215593</w:t>
            </w:r>
          </w:p>
        </w:tc>
        <w:tc>
          <w:tcPr>
            <w:tcW w:w="4844" w:type="dxa"/>
            <w:tcBorders>
              <w:top w:val="nil"/>
              <w:left w:val="nil"/>
              <w:bottom w:val="single" w:sz="4" w:space="0" w:color="auto"/>
              <w:right w:val="single" w:sz="4" w:space="0" w:color="auto"/>
            </w:tcBorders>
            <w:shd w:val="clear" w:color="auto" w:fill="auto"/>
            <w:vAlign w:val="center"/>
            <w:hideMark/>
          </w:tcPr>
          <w:p w14:paraId="2D1C4183"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ENERVISA SAS ESP</w:t>
            </w:r>
          </w:p>
        </w:tc>
        <w:tc>
          <w:tcPr>
            <w:tcW w:w="1600" w:type="dxa"/>
            <w:tcBorders>
              <w:top w:val="nil"/>
              <w:left w:val="nil"/>
              <w:bottom w:val="single" w:sz="4" w:space="0" w:color="auto"/>
              <w:right w:val="single" w:sz="4" w:space="0" w:color="auto"/>
            </w:tcBorders>
            <w:shd w:val="clear" w:color="auto" w:fill="auto"/>
            <w:noWrap/>
            <w:vAlign w:val="center"/>
            <w:hideMark/>
          </w:tcPr>
          <w:p w14:paraId="3009FD15"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789.829.307 </w:t>
            </w:r>
          </w:p>
        </w:tc>
        <w:tc>
          <w:tcPr>
            <w:tcW w:w="1660" w:type="dxa"/>
            <w:tcBorders>
              <w:top w:val="nil"/>
              <w:left w:val="nil"/>
              <w:bottom w:val="single" w:sz="4" w:space="0" w:color="auto"/>
              <w:right w:val="single" w:sz="4" w:space="0" w:color="auto"/>
            </w:tcBorders>
            <w:shd w:val="clear" w:color="auto" w:fill="auto"/>
            <w:noWrap/>
            <w:vAlign w:val="center"/>
            <w:hideMark/>
          </w:tcPr>
          <w:p w14:paraId="0A3ED4D7"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1.634.771.191 </w:t>
            </w:r>
          </w:p>
        </w:tc>
      </w:tr>
      <w:tr w:rsidR="009838E7" w:rsidRPr="009838E7" w14:paraId="5E67E8BB" w14:textId="77777777" w:rsidTr="00092F91">
        <w:trPr>
          <w:trHeight w:val="421"/>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40514BBD"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257</w:t>
            </w:r>
          </w:p>
        </w:tc>
        <w:tc>
          <w:tcPr>
            <w:tcW w:w="505" w:type="dxa"/>
            <w:tcBorders>
              <w:top w:val="nil"/>
              <w:left w:val="nil"/>
              <w:bottom w:val="single" w:sz="4" w:space="0" w:color="auto"/>
              <w:right w:val="single" w:sz="4" w:space="0" w:color="auto"/>
            </w:tcBorders>
            <w:shd w:val="clear" w:color="auto" w:fill="auto"/>
            <w:noWrap/>
            <w:vAlign w:val="center"/>
            <w:hideMark/>
          </w:tcPr>
          <w:p w14:paraId="09D370D3"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43836</w:t>
            </w:r>
          </w:p>
        </w:tc>
        <w:tc>
          <w:tcPr>
            <w:tcW w:w="797" w:type="dxa"/>
            <w:tcBorders>
              <w:top w:val="nil"/>
              <w:left w:val="nil"/>
              <w:bottom w:val="single" w:sz="4" w:space="0" w:color="auto"/>
              <w:right w:val="single" w:sz="4" w:space="0" w:color="auto"/>
            </w:tcBorders>
            <w:shd w:val="clear" w:color="auto" w:fill="auto"/>
            <w:noWrap/>
            <w:vAlign w:val="center"/>
            <w:hideMark/>
          </w:tcPr>
          <w:p w14:paraId="0F9BF5FE"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901219090</w:t>
            </w:r>
          </w:p>
        </w:tc>
        <w:tc>
          <w:tcPr>
            <w:tcW w:w="4844" w:type="dxa"/>
            <w:tcBorders>
              <w:top w:val="nil"/>
              <w:left w:val="nil"/>
              <w:bottom w:val="single" w:sz="4" w:space="0" w:color="auto"/>
              <w:right w:val="single" w:sz="4" w:space="0" w:color="auto"/>
            </w:tcBorders>
            <w:shd w:val="clear" w:color="auto" w:fill="auto"/>
            <w:vAlign w:val="center"/>
            <w:hideMark/>
          </w:tcPr>
          <w:p w14:paraId="6D38D29C"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EMPRESA DE SERVICIOS PÚBLICOS DE ENERGÍA LIMPIA DE COLOMBIA ENERLIMPIA S.A. E.S.P.</w:t>
            </w:r>
          </w:p>
        </w:tc>
        <w:tc>
          <w:tcPr>
            <w:tcW w:w="1600" w:type="dxa"/>
            <w:tcBorders>
              <w:top w:val="nil"/>
              <w:left w:val="nil"/>
              <w:bottom w:val="single" w:sz="4" w:space="0" w:color="auto"/>
              <w:right w:val="single" w:sz="4" w:space="0" w:color="auto"/>
            </w:tcBorders>
            <w:shd w:val="clear" w:color="auto" w:fill="auto"/>
            <w:noWrap/>
            <w:vAlign w:val="center"/>
            <w:hideMark/>
          </w:tcPr>
          <w:p w14:paraId="37F4937F"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235.857.284 </w:t>
            </w:r>
          </w:p>
        </w:tc>
        <w:tc>
          <w:tcPr>
            <w:tcW w:w="1660" w:type="dxa"/>
            <w:tcBorders>
              <w:top w:val="nil"/>
              <w:left w:val="nil"/>
              <w:bottom w:val="single" w:sz="4" w:space="0" w:color="auto"/>
              <w:right w:val="single" w:sz="4" w:space="0" w:color="auto"/>
            </w:tcBorders>
            <w:shd w:val="clear" w:color="auto" w:fill="auto"/>
            <w:noWrap/>
            <w:vAlign w:val="center"/>
            <w:hideMark/>
          </w:tcPr>
          <w:p w14:paraId="3CCB4D79"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232.371.102 </w:t>
            </w:r>
          </w:p>
        </w:tc>
      </w:tr>
      <w:tr w:rsidR="009838E7" w:rsidRPr="009838E7" w14:paraId="0D788578"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53583C9A"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258</w:t>
            </w:r>
          </w:p>
        </w:tc>
        <w:tc>
          <w:tcPr>
            <w:tcW w:w="505" w:type="dxa"/>
            <w:tcBorders>
              <w:top w:val="nil"/>
              <w:left w:val="nil"/>
              <w:bottom w:val="single" w:sz="4" w:space="0" w:color="auto"/>
              <w:right w:val="single" w:sz="4" w:space="0" w:color="auto"/>
            </w:tcBorders>
            <w:shd w:val="clear" w:color="auto" w:fill="auto"/>
            <w:noWrap/>
            <w:vAlign w:val="center"/>
            <w:hideMark/>
          </w:tcPr>
          <w:p w14:paraId="7B19C4A5"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43937</w:t>
            </w:r>
          </w:p>
        </w:tc>
        <w:tc>
          <w:tcPr>
            <w:tcW w:w="797" w:type="dxa"/>
            <w:tcBorders>
              <w:top w:val="nil"/>
              <w:left w:val="nil"/>
              <w:bottom w:val="single" w:sz="4" w:space="0" w:color="auto"/>
              <w:right w:val="single" w:sz="4" w:space="0" w:color="auto"/>
            </w:tcBorders>
            <w:shd w:val="clear" w:color="auto" w:fill="auto"/>
            <w:noWrap/>
            <w:vAlign w:val="center"/>
            <w:hideMark/>
          </w:tcPr>
          <w:p w14:paraId="2699F2F1"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901263317</w:t>
            </w:r>
          </w:p>
        </w:tc>
        <w:tc>
          <w:tcPr>
            <w:tcW w:w="4844" w:type="dxa"/>
            <w:tcBorders>
              <w:top w:val="nil"/>
              <w:left w:val="nil"/>
              <w:bottom w:val="single" w:sz="4" w:space="0" w:color="auto"/>
              <w:right w:val="single" w:sz="4" w:space="0" w:color="auto"/>
            </w:tcBorders>
            <w:shd w:val="clear" w:color="auto" w:fill="auto"/>
            <w:vAlign w:val="center"/>
            <w:hideMark/>
          </w:tcPr>
          <w:p w14:paraId="7B09CAE8" w14:textId="77777777" w:rsidR="009838E7" w:rsidRPr="002C5AEF" w:rsidRDefault="009838E7" w:rsidP="00D22441">
            <w:pPr>
              <w:jc w:val="left"/>
              <w:rPr>
                <w:rFonts w:ascii="Arial Narrow" w:hAnsi="Arial Narrow" w:cs="Calibri"/>
                <w:color w:val="000000"/>
                <w:spacing w:val="0"/>
                <w:sz w:val="16"/>
                <w:szCs w:val="16"/>
                <w:lang w:val="en-GB" w:eastAsia="es-CO"/>
              </w:rPr>
            </w:pPr>
            <w:r w:rsidRPr="002C5AEF">
              <w:rPr>
                <w:rFonts w:ascii="Arial Narrow" w:hAnsi="Arial Narrow" w:cs="Calibri"/>
                <w:color w:val="000000"/>
                <w:spacing w:val="0"/>
                <w:sz w:val="16"/>
                <w:szCs w:val="16"/>
                <w:lang w:val="en-GB" w:eastAsia="es-CO"/>
              </w:rPr>
              <w:t>ENERGY TRANSITIONS S.A.S. ESP</w:t>
            </w:r>
          </w:p>
        </w:tc>
        <w:tc>
          <w:tcPr>
            <w:tcW w:w="1600" w:type="dxa"/>
            <w:tcBorders>
              <w:top w:val="nil"/>
              <w:left w:val="nil"/>
              <w:bottom w:val="single" w:sz="4" w:space="0" w:color="auto"/>
              <w:right w:val="single" w:sz="4" w:space="0" w:color="auto"/>
            </w:tcBorders>
            <w:shd w:val="clear" w:color="auto" w:fill="auto"/>
            <w:noWrap/>
            <w:vAlign w:val="center"/>
            <w:hideMark/>
          </w:tcPr>
          <w:p w14:paraId="41BA31CC" w14:textId="77777777" w:rsidR="009838E7" w:rsidRPr="009838E7" w:rsidRDefault="009838E7" w:rsidP="00D22441">
            <w:pPr>
              <w:jc w:val="left"/>
              <w:rPr>
                <w:rFonts w:ascii="Arial Narrow" w:hAnsi="Arial Narrow" w:cs="Calibri"/>
                <w:color w:val="000000"/>
                <w:spacing w:val="0"/>
                <w:sz w:val="16"/>
                <w:szCs w:val="16"/>
                <w:lang w:eastAsia="es-CO"/>
              </w:rPr>
            </w:pPr>
            <w:r w:rsidRPr="002C5AEF">
              <w:rPr>
                <w:rFonts w:ascii="Arial Narrow" w:hAnsi="Arial Narrow" w:cs="Calibri"/>
                <w:color w:val="000000"/>
                <w:spacing w:val="0"/>
                <w:sz w:val="16"/>
                <w:szCs w:val="16"/>
                <w:lang w:val="en-GB" w:eastAsia="es-CO"/>
              </w:rPr>
              <w:t xml:space="preserve">                </w:t>
            </w:r>
            <w:r w:rsidRPr="009838E7">
              <w:rPr>
                <w:rFonts w:ascii="Arial Narrow" w:hAnsi="Arial Narrow" w:cs="Calibri"/>
                <w:color w:val="000000"/>
                <w:spacing w:val="0"/>
                <w:sz w:val="16"/>
                <w:szCs w:val="16"/>
                <w:lang w:eastAsia="es-CO"/>
              </w:rPr>
              <w:t xml:space="preserve">747.355.000 </w:t>
            </w:r>
          </w:p>
        </w:tc>
        <w:tc>
          <w:tcPr>
            <w:tcW w:w="1660" w:type="dxa"/>
            <w:tcBorders>
              <w:top w:val="nil"/>
              <w:left w:val="nil"/>
              <w:bottom w:val="single" w:sz="4" w:space="0" w:color="auto"/>
              <w:right w:val="single" w:sz="4" w:space="0" w:color="auto"/>
            </w:tcBorders>
            <w:shd w:val="clear" w:color="auto" w:fill="auto"/>
            <w:noWrap/>
            <w:vAlign w:val="center"/>
            <w:hideMark/>
          </w:tcPr>
          <w:p w14:paraId="1F154158"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4.225.310.716 </w:t>
            </w:r>
          </w:p>
        </w:tc>
      </w:tr>
      <w:tr w:rsidR="009838E7" w:rsidRPr="009838E7" w14:paraId="4490269B"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63A4FE6B"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259</w:t>
            </w:r>
          </w:p>
        </w:tc>
        <w:tc>
          <w:tcPr>
            <w:tcW w:w="505" w:type="dxa"/>
            <w:tcBorders>
              <w:top w:val="nil"/>
              <w:left w:val="nil"/>
              <w:bottom w:val="single" w:sz="4" w:space="0" w:color="auto"/>
              <w:right w:val="single" w:sz="4" w:space="0" w:color="auto"/>
            </w:tcBorders>
            <w:shd w:val="clear" w:color="auto" w:fill="auto"/>
            <w:noWrap/>
            <w:vAlign w:val="center"/>
            <w:hideMark/>
          </w:tcPr>
          <w:p w14:paraId="4BC1470E"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45337</w:t>
            </w:r>
          </w:p>
        </w:tc>
        <w:tc>
          <w:tcPr>
            <w:tcW w:w="797" w:type="dxa"/>
            <w:tcBorders>
              <w:top w:val="nil"/>
              <w:left w:val="nil"/>
              <w:bottom w:val="single" w:sz="4" w:space="0" w:color="auto"/>
              <w:right w:val="single" w:sz="4" w:space="0" w:color="auto"/>
            </w:tcBorders>
            <w:shd w:val="clear" w:color="auto" w:fill="auto"/>
            <w:noWrap/>
            <w:vAlign w:val="center"/>
            <w:hideMark/>
          </w:tcPr>
          <w:p w14:paraId="50CFCB69"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901278277</w:t>
            </w:r>
          </w:p>
        </w:tc>
        <w:tc>
          <w:tcPr>
            <w:tcW w:w="4844" w:type="dxa"/>
            <w:tcBorders>
              <w:top w:val="nil"/>
              <w:left w:val="nil"/>
              <w:bottom w:val="single" w:sz="4" w:space="0" w:color="auto"/>
              <w:right w:val="single" w:sz="4" w:space="0" w:color="auto"/>
            </w:tcBorders>
            <w:shd w:val="clear" w:color="auto" w:fill="auto"/>
            <w:vAlign w:val="center"/>
            <w:hideMark/>
          </w:tcPr>
          <w:p w14:paraId="4EBB677E"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SVC E.S.P. S.A.S. ZOMAC</w:t>
            </w:r>
          </w:p>
        </w:tc>
        <w:tc>
          <w:tcPr>
            <w:tcW w:w="1600" w:type="dxa"/>
            <w:tcBorders>
              <w:top w:val="nil"/>
              <w:left w:val="nil"/>
              <w:bottom w:val="single" w:sz="4" w:space="0" w:color="auto"/>
              <w:right w:val="single" w:sz="4" w:space="0" w:color="auto"/>
            </w:tcBorders>
            <w:shd w:val="clear" w:color="auto" w:fill="auto"/>
            <w:noWrap/>
            <w:vAlign w:val="center"/>
            <w:hideMark/>
          </w:tcPr>
          <w:p w14:paraId="067E1947"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98.270.057 </w:t>
            </w:r>
          </w:p>
        </w:tc>
        <w:tc>
          <w:tcPr>
            <w:tcW w:w="1660" w:type="dxa"/>
            <w:tcBorders>
              <w:top w:val="nil"/>
              <w:left w:val="nil"/>
              <w:bottom w:val="single" w:sz="4" w:space="0" w:color="auto"/>
              <w:right w:val="single" w:sz="4" w:space="0" w:color="auto"/>
            </w:tcBorders>
            <w:shd w:val="clear" w:color="auto" w:fill="auto"/>
            <w:noWrap/>
            <w:vAlign w:val="center"/>
            <w:hideMark/>
          </w:tcPr>
          <w:p w14:paraId="2E9C7DBA"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218.464.000 </w:t>
            </w:r>
          </w:p>
        </w:tc>
      </w:tr>
      <w:tr w:rsidR="009838E7" w:rsidRPr="009838E7" w14:paraId="654F3AB6"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6925E092"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260</w:t>
            </w:r>
          </w:p>
        </w:tc>
        <w:tc>
          <w:tcPr>
            <w:tcW w:w="505" w:type="dxa"/>
            <w:tcBorders>
              <w:top w:val="nil"/>
              <w:left w:val="nil"/>
              <w:bottom w:val="single" w:sz="4" w:space="0" w:color="auto"/>
              <w:right w:val="single" w:sz="4" w:space="0" w:color="auto"/>
            </w:tcBorders>
            <w:shd w:val="clear" w:color="auto" w:fill="auto"/>
            <w:noWrap/>
            <w:vAlign w:val="center"/>
            <w:hideMark/>
          </w:tcPr>
          <w:p w14:paraId="6D254031"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44478</w:t>
            </w:r>
          </w:p>
        </w:tc>
        <w:tc>
          <w:tcPr>
            <w:tcW w:w="797" w:type="dxa"/>
            <w:tcBorders>
              <w:top w:val="nil"/>
              <w:left w:val="nil"/>
              <w:bottom w:val="single" w:sz="4" w:space="0" w:color="auto"/>
              <w:right w:val="single" w:sz="4" w:space="0" w:color="auto"/>
            </w:tcBorders>
            <w:shd w:val="clear" w:color="auto" w:fill="auto"/>
            <w:noWrap/>
            <w:vAlign w:val="center"/>
            <w:hideMark/>
          </w:tcPr>
          <w:p w14:paraId="491C7B01"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901285410</w:t>
            </w:r>
          </w:p>
        </w:tc>
        <w:tc>
          <w:tcPr>
            <w:tcW w:w="4844" w:type="dxa"/>
            <w:tcBorders>
              <w:top w:val="nil"/>
              <w:left w:val="nil"/>
              <w:bottom w:val="single" w:sz="4" w:space="0" w:color="auto"/>
              <w:right w:val="single" w:sz="4" w:space="0" w:color="auto"/>
            </w:tcBorders>
            <w:shd w:val="clear" w:color="auto" w:fill="auto"/>
            <w:vAlign w:val="center"/>
            <w:hideMark/>
          </w:tcPr>
          <w:p w14:paraId="64A7C215"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SOUL ENERGY SAS ESP</w:t>
            </w:r>
          </w:p>
        </w:tc>
        <w:tc>
          <w:tcPr>
            <w:tcW w:w="1600" w:type="dxa"/>
            <w:tcBorders>
              <w:top w:val="nil"/>
              <w:left w:val="nil"/>
              <w:bottom w:val="single" w:sz="4" w:space="0" w:color="auto"/>
              <w:right w:val="single" w:sz="4" w:space="0" w:color="auto"/>
            </w:tcBorders>
            <w:shd w:val="clear" w:color="auto" w:fill="auto"/>
            <w:noWrap/>
            <w:vAlign w:val="center"/>
            <w:hideMark/>
          </w:tcPr>
          <w:p w14:paraId="12CD8EFA"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555.859.244 </w:t>
            </w:r>
          </w:p>
        </w:tc>
        <w:tc>
          <w:tcPr>
            <w:tcW w:w="1660" w:type="dxa"/>
            <w:tcBorders>
              <w:top w:val="nil"/>
              <w:left w:val="nil"/>
              <w:bottom w:val="single" w:sz="4" w:space="0" w:color="auto"/>
              <w:right w:val="single" w:sz="4" w:space="0" w:color="auto"/>
            </w:tcBorders>
            <w:shd w:val="clear" w:color="auto" w:fill="auto"/>
            <w:noWrap/>
            <w:vAlign w:val="center"/>
            <w:hideMark/>
          </w:tcPr>
          <w:p w14:paraId="72F2BD25"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159.901.000 </w:t>
            </w:r>
          </w:p>
        </w:tc>
      </w:tr>
      <w:tr w:rsidR="009838E7" w:rsidRPr="009838E7" w14:paraId="1A2420B7"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2B8C4524"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261</w:t>
            </w:r>
          </w:p>
        </w:tc>
        <w:tc>
          <w:tcPr>
            <w:tcW w:w="505" w:type="dxa"/>
            <w:tcBorders>
              <w:top w:val="nil"/>
              <w:left w:val="nil"/>
              <w:bottom w:val="single" w:sz="4" w:space="0" w:color="auto"/>
              <w:right w:val="single" w:sz="4" w:space="0" w:color="auto"/>
            </w:tcBorders>
            <w:shd w:val="clear" w:color="auto" w:fill="auto"/>
            <w:noWrap/>
            <w:vAlign w:val="center"/>
            <w:hideMark/>
          </w:tcPr>
          <w:p w14:paraId="3F453492"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45317</w:t>
            </w:r>
          </w:p>
        </w:tc>
        <w:tc>
          <w:tcPr>
            <w:tcW w:w="797" w:type="dxa"/>
            <w:tcBorders>
              <w:top w:val="nil"/>
              <w:left w:val="nil"/>
              <w:bottom w:val="single" w:sz="4" w:space="0" w:color="auto"/>
              <w:right w:val="single" w:sz="4" w:space="0" w:color="auto"/>
            </w:tcBorders>
            <w:shd w:val="clear" w:color="auto" w:fill="auto"/>
            <w:noWrap/>
            <w:vAlign w:val="center"/>
            <w:hideMark/>
          </w:tcPr>
          <w:p w14:paraId="5CFE8B3F"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901288781</w:t>
            </w:r>
          </w:p>
        </w:tc>
        <w:tc>
          <w:tcPr>
            <w:tcW w:w="4844" w:type="dxa"/>
            <w:tcBorders>
              <w:top w:val="nil"/>
              <w:left w:val="nil"/>
              <w:bottom w:val="single" w:sz="4" w:space="0" w:color="auto"/>
              <w:right w:val="single" w:sz="4" w:space="0" w:color="auto"/>
            </w:tcBorders>
            <w:shd w:val="clear" w:color="auto" w:fill="auto"/>
            <w:vAlign w:val="center"/>
            <w:hideMark/>
          </w:tcPr>
          <w:p w14:paraId="2C30D14C"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DEPI ENERGY S.A.S. E.S.P.</w:t>
            </w:r>
          </w:p>
        </w:tc>
        <w:tc>
          <w:tcPr>
            <w:tcW w:w="1600" w:type="dxa"/>
            <w:tcBorders>
              <w:top w:val="nil"/>
              <w:left w:val="nil"/>
              <w:bottom w:val="single" w:sz="4" w:space="0" w:color="auto"/>
              <w:right w:val="single" w:sz="4" w:space="0" w:color="auto"/>
            </w:tcBorders>
            <w:shd w:val="clear" w:color="auto" w:fill="auto"/>
            <w:noWrap/>
            <w:vAlign w:val="center"/>
            <w:hideMark/>
          </w:tcPr>
          <w:p w14:paraId="67DA092E"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1.055.742.000 </w:t>
            </w:r>
          </w:p>
        </w:tc>
        <w:tc>
          <w:tcPr>
            <w:tcW w:w="1660" w:type="dxa"/>
            <w:tcBorders>
              <w:top w:val="nil"/>
              <w:left w:val="nil"/>
              <w:bottom w:val="single" w:sz="4" w:space="0" w:color="auto"/>
              <w:right w:val="single" w:sz="4" w:space="0" w:color="auto"/>
            </w:tcBorders>
            <w:shd w:val="clear" w:color="auto" w:fill="auto"/>
            <w:noWrap/>
            <w:vAlign w:val="center"/>
            <w:hideMark/>
          </w:tcPr>
          <w:p w14:paraId="329F08DF"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4.024.178.000 </w:t>
            </w:r>
          </w:p>
        </w:tc>
      </w:tr>
      <w:tr w:rsidR="009838E7" w:rsidRPr="009838E7" w14:paraId="25AE7945"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7707CDD1"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262</w:t>
            </w:r>
          </w:p>
        </w:tc>
        <w:tc>
          <w:tcPr>
            <w:tcW w:w="505" w:type="dxa"/>
            <w:tcBorders>
              <w:top w:val="nil"/>
              <w:left w:val="nil"/>
              <w:bottom w:val="single" w:sz="4" w:space="0" w:color="auto"/>
              <w:right w:val="single" w:sz="4" w:space="0" w:color="auto"/>
            </w:tcBorders>
            <w:shd w:val="clear" w:color="auto" w:fill="auto"/>
            <w:noWrap/>
            <w:vAlign w:val="center"/>
            <w:hideMark/>
          </w:tcPr>
          <w:p w14:paraId="016FB3C1"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44997</w:t>
            </w:r>
          </w:p>
        </w:tc>
        <w:tc>
          <w:tcPr>
            <w:tcW w:w="797" w:type="dxa"/>
            <w:tcBorders>
              <w:top w:val="nil"/>
              <w:left w:val="nil"/>
              <w:bottom w:val="single" w:sz="4" w:space="0" w:color="auto"/>
              <w:right w:val="single" w:sz="4" w:space="0" w:color="auto"/>
            </w:tcBorders>
            <w:shd w:val="clear" w:color="auto" w:fill="auto"/>
            <w:noWrap/>
            <w:vAlign w:val="center"/>
            <w:hideMark/>
          </w:tcPr>
          <w:p w14:paraId="354FAB16"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901296315</w:t>
            </w:r>
          </w:p>
        </w:tc>
        <w:tc>
          <w:tcPr>
            <w:tcW w:w="4844" w:type="dxa"/>
            <w:tcBorders>
              <w:top w:val="nil"/>
              <w:left w:val="nil"/>
              <w:bottom w:val="single" w:sz="4" w:space="0" w:color="auto"/>
              <w:right w:val="single" w:sz="4" w:space="0" w:color="auto"/>
            </w:tcBorders>
            <w:shd w:val="clear" w:color="auto" w:fill="auto"/>
            <w:vAlign w:val="center"/>
            <w:hideMark/>
          </w:tcPr>
          <w:p w14:paraId="4C6338C5"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ELECTRIFICADORA ENTRE RIOS S.A.S</w:t>
            </w:r>
          </w:p>
        </w:tc>
        <w:tc>
          <w:tcPr>
            <w:tcW w:w="1600" w:type="dxa"/>
            <w:tcBorders>
              <w:top w:val="nil"/>
              <w:left w:val="nil"/>
              <w:bottom w:val="single" w:sz="4" w:space="0" w:color="auto"/>
              <w:right w:val="single" w:sz="4" w:space="0" w:color="auto"/>
            </w:tcBorders>
            <w:shd w:val="clear" w:color="auto" w:fill="auto"/>
            <w:noWrap/>
            <w:vAlign w:val="center"/>
            <w:hideMark/>
          </w:tcPr>
          <w:p w14:paraId="1585B160"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125.984.954 </w:t>
            </w:r>
          </w:p>
        </w:tc>
        <w:tc>
          <w:tcPr>
            <w:tcW w:w="1660" w:type="dxa"/>
            <w:tcBorders>
              <w:top w:val="nil"/>
              <w:left w:val="nil"/>
              <w:bottom w:val="single" w:sz="4" w:space="0" w:color="auto"/>
              <w:right w:val="single" w:sz="4" w:space="0" w:color="auto"/>
            </w:tcBorders>
            <w:shd w:val="clear" w:color="auto" w:fill="auto"/>
            <w:noWrap/>
            <w:vAlign w:val="center"/>
            <w:hideMark/>
          </w:tcPr>
          <w:p w14:paraId="44F27CE7"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135.011.422 </w:t>
            </w:r>
          </w:p>
        </w:tc>
      </w:tr>
      <w:tr w:rsidR="009838E7" w:rsidRPr="009838E7" w14:paraId="32574916" w14:textId="77777777" w:rsidTr="00092F91">
        <w:trPr>
          <w:trHeight w:val="362"/>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316F0D41"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lastRenderedPageBreak/>
              <w:t>263</w:t>
            </w:r>
          </w:p>
        </w:tc>
        <w:tc>
          <w:tcPr>
            <w:tcW w:w="505" w:type="dxa"/>
            <w:tcBorders>
              <w:top w:val="nil"/>
              <w:left w:val="nil"/>
              <w:bottom w:val="single" w:sz="4" w:space="0" w:color="auto"/>
              <w:right w:val="single" w:sz="4" w:space="0" w:color="auto"/>
            </w:tcBorders>
            <w:shd w:val="clear" w:color="auto" w:fill="auto"/>
            <w:noWrap/>
            <w:vAlign w:val="center"/>
            <w:hideMark/>
          </w:tcPr>
          <w:p w14:paraId="0C5C5181"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45396</w:t>
            </w:r>
          </w:p>
        </w:tc>
        <w:tc>
          <w:tcPr>
            <w:tcW w:w="797" w:type="dxa"/>
            <w:tcBorders>
              <w:top w:val="nil"/>
              <w:left w:val="nil"/>
              <w:bottom w:val="single" w:sz="4" w:space="0" w:color="auto"/>
              <w:right w:val="single" w:sz="4" w:space="0" w:color="auto"/>
            </w:tcBorders>
            <w:shd w:val="clear" w:color="auto" w:fill="auto"/>
            <w:noWrap/>
            <w:vAlign w:val="center"/>
            <w:hideMark/>
          </w:tcPr>
          <w:p w14:paraId="4CAF8200"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901306019</w:t>
            </w:r>
          </w:p>
        </w:tc>
        <w:tc>
          <w:tcPr>
            <w:tcW w:w="4844" w:type="dxa"/>
            <w:tcBorders>
              <w:top w:val="nil"/>
              <w:left w:val="nil"/>
              <w:bottom w:val="single" w:sz="4" w:space="0" w:color="auto"/>
              <w:right w:val="single" w:sz="4" w:space="0" w:color="auto"/>
            </w:tcBorders>
            <w:shd w:val="clear" w:color="auto" w:fill="auto"/>
            <w:vAlign w:val="center"/>
            <w:hideMark/>
          </w:tcPr>
          <w:p w14:paraId="041B266D"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GIGAS ENERGY SOCIEDAD POR ACCIONES SIMPLIFICADAS EMPRESA DE SERVICIOS PUBLICOS</w:t>
            </w:r>
          </w:p>
        </w:tc>
        <w:tc>
          <w:tcPr>
            <w:tcW w:w="1600" w:type="dxa"/>
            <w:tcBorders>
              <w:top w:val="nil"/>
              <w:left w:val="nil"/>
              <w:bottom w:val="single" w:sz="4" w:space="0" w:color="auto"/>
              <w:right w:val="single" w:sz="4" w:space="0" w:color="auto"/>
            </w:tcBorders>
            <w:shd w:val="clear" w:color="auto" w:fill="auto"/>
            <w:noWrap/>
            <w:vAlign w:val="center"/>
            <w:hideMark/>
          </w:tcPr>
          <w:p w14:paraId="209DD0B5"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1.785.739.857 </w:t>
            </w:r>
          </w:p>
        </w:tc>
        <w:tc>
          <w:tcPr>
            <w:tcW w:w="1660" w:type="dxa"/>
            <w:tcBorders>
              <w:top w:val="nil"/>
              <w:left w:val="nil"/>
              <w:bottom w:val="single" w:sz="4" w:space="0" w:color="auto"/>
              <w:right w:val="single" w:sz="4" w:space="0" w:color="auto"/>
            </w:tcBorders>
            <w:shd w:val="clear" w:color="auto" w:fill="auto"/>
            <w:noWrap/>
            <w:vAlign w:val="center"/>
            <w:hideMark/>
          </w:tcPr>
          <w:p w14:paraId="615C7091"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268.240.187 </w:t>
            </w:r>
          </w:p>
        </w:tc>
      </w:tr>
      <w:tr w:rsidR="009838E7" w:rsidRPr="009838E7" w14:paraId="31F9BC8B"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599BA5BC"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264</w:t>
            </w:r>
          </w:p>
        </w:tc>
        <w:tc>
          <w:tcPr>
            <w:tcW w:w="505" w:type="dxa"/>
            <w:tcBorders>
              <w:top w:val="nil"/>
              <w:left w:val="nil"/>
              <w:bottom w:val="single" w:sz="4" w:space="0" w:color="auto"/>
              <w:right w:val="single" w:sz="4" w:space="0" w:color="auto"/>
            </w:tcBorders>
            <w:shd w:val="clear" w:color="auto" w:fill="auto"/>
            <w:noWrap/>
            <w:vAlign w:val="center"/>
            <w:hideMark/>
          </w:tcPr>
          <w:p w14:paraId="433207D8"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47363</w:t>
            </w:r>
          </w:p>
        </w:tc>
        <w:tc>
          <w:tcPr>
            <w:tcW w:w="797" w:type="dxa"/>
            <w:tcBorders>
              <w:top w:val="nil"/>
              <w:left w:val="nil"/>
              <w:bottom w:val="single" w:sz="4" w:space="0" w:color="auto"/>
              <w:right w:val="single" w:sz="4" w:space="0" w:color="auto"/>
            </w:tcBorders>
            <w:shd w:val="clear" w:color="auto" w:fill="auto"/>
            <w:noWrap/>
            <w:vAlign w:val="center"/>
            <w:hideMark/>
          </w:tcPr>
          <w:p w14:paraId="7163CE8B"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901315859</w:t>
            </w:r>
          </w:p>
        </w:tc>
        <w:tc>
          <w:tcPr>
            <w:tcW w:w="4844" w:type="dxa"/>
            <w:tcBorders>
              <w:top w:val="nil"/>
              <w:left w:val="nil"/>
              <w:bottom w:val="single" w:sz="4" w:space="0" w:color="auto"/>
              <w:right w:val="single" w:sz="4" w:space="0" w:color="auto"/>
            </w:tcBorders>
            <w:shd w:val="clear" w:color="auto" w:fill="auto"/>
            <w:vAlign w:val="center"/>
            <w:hideMark/>
          </w:tcPr>
          <w:p w14:paraId="1CF7ABFA"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HIDROCARBUROS TRIPLE A SAS ESP</w:t>
            </w:r>
          </w:p>
        </w:tc>
        <w:tc>
          <w:tcPr>
            <w:tcW w:w="1600" w:type="dxa"/>
            <w:tcBorders>
              <w:top w:val="nil"/>
              <w:left w:val="nil"/>
              <w:bottom w:val="single" w:sz="4" w:space="0" w:color="auto"/>
              <w:right w:val="single" w:sz="4" w:space="0" w:color="auto"/>
            </w:tcBorders>
            <w:shd w:val="clear" w:color="auto" w:fill="auto"/>
            <w:noWrap/>
            <w:vAlign w:val="center"/>
            <w:hideMark/>
          </w:tcPr>
          <w:p w14:paraId="648D4480"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185.694.429 </w:t>
            </w:r>
          </w:p>
        </w:tc>
        <w:tc>
          <w:tcPr>
            <w:tcW w:w="1660" w:type="dxa"/>
            <w:tcBorders>
              <w:top w:val="nil"/>
              <w:left w:val="nil"/>
              <w:bottom w:val="single" w:sz="4" w:space="0" w:color="auto"/>
              <w:right w:val="single" w:sz="4" w:space="0" w:color="auto"/>
            </w:tcBorders>
            <w:shd w:val="clear" w:color="auto" w:fill="auto"/>
            <w:noWrap/>
            <w:vAlign w:val="center"/>
            <w:hideMark/>
          </w:tcPr>
          <w:p w14:paraId="1A89C290"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182.134.967 </w:t>
            </w:r>
          </w:p>
        </w:tc>
      </w:tr>
      <w:tr w:rsidR="009838E7" w:rsidRPr="009838E7" w14:paraId="3EF1205C" w14:textId="77777777" w:rsidTr="00092F91">
        <w:trPr>
          <w:trHeight w:val="30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54C2FD1B"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265</w:t>
            </w:r>
          </w:p>
        </w:tc>
        <w:tc>
          <w:tcPr>
            <w:tcW w:w="505" w:type="dxa"/>
            <w:tcBorders>
              <w:top w:val="nil"/>
              <w:left w:val="nil"/>
              <w:bottom w:val="single" w:sz="4" w:space="0" w:color="auto"/>
              <w:right w:val="single" w:sz="4" w:space="0" w:color="auto"/>
            </w:tcBorders>
            <w:shd w:val="clear" w:color="auto" w:fill="auto"/>
            <w:noWrap/>
            <w:vAlign w:val="center"/>
            <w:hideMark/>
          </w:tcPr>
          <w:p w14:paraId="5774E221"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48986</w:t>
            </w:r>
          </w:p>
        </w:tc>
        <w:tc>
          <w:tcPr>
            <w:tcW w:w="797" w:type="dxa"/>
            <w:tcBorders>
              <w:top w:val="nil"/>
              <w:left w:val="nil"/>
              <w:bottom w:val="single" w:sz="4" w:space="0" w:color="auto"/>
              <w:right w:val="single" w:sz="4" w:space="0" w:color="auto"/>
            </w:tcBorders>
            <w:shd w:val="clear" w:color="auto" w:fill="auto"/>
            <w:noWrap/>
            <w:vAlign w:val="center"/>
            <w:hideMark/>
          </w:tcPr>
          <w:p w14:paraId="3A13E65A"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901326470</w:t>
            </w:r>
          </w:p>
        </w:tc>
        <w:tc>
          <w:tcPr>
            <w:tcW w:w="4844" w:type="dxa"/>
            <w:tcBorders>
              <w:top w:val="nil"/>
              <w:left w:val="nil"/>
              <w:bottom w:val="single" w:sz="4" w:space="0" w:color="auto"/>
              <w:right w:val="single" w:sz="4" w:space="0" w:color="auto"/>
            </w:tcBorders>
            <w:shd w:val="clear" w:color="auto" w:fill="auto"/>
            <w:vAlign w:val="center"/>
            <w:hideMark/>
          </w:tcPr>
          <w:p w14:paraId="2878E6C9"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PROENERGY SOCIEDAD POR ACCIONES SIMPLIFICADAS EMPRESA DE SERVICIOS PUBLICOS DOMICILIARIOS</w:t>
            </w:r>
          </w:p>
        </w:tc>
        <w:tc>
          <w:tcPr>
            <w:tcW w:w="1600" w:type="dxa"/>
            <w:tcBorders>
              <w:top w:val="nil"/>
              <w:left w:val="nil"/>
              <w:bottom w:val="single" w:sz="4" w:space="0" w:color="auto"/>
              <w:right w:val="single" w:sz="4" w:space="0" w:color="auto"/>
            </w:tcBorders>
            <w:shd w:val="clear" w:color="auto" w:fill="auto"/>
            <w:noWrap/>
            <w:vAlign w:val="center"/>
            <w:hideMark/>
          </w:tcPr>
          <w:p w14:paraId="413A6990"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2.026.686.712 </w:t>
            </w:r>
          </w:p>
        </w:tc>
        <w:tc>
          <w:tcPr>
            <w:tcW w:w="1660" w:type="dxa"/>
            <w:tcBorders>
              <w:top w:val="nil"/>
              <w:left w:val="nil"/>
              <w:bottom w:val="single" w:sz="4" w:space="0" w:color="auto"/>
              <w:right w:val="single" w:sz="4" w:space="0" w:color="auto"/>
            </w:tcBorders>
            <w:shd w:val="clear" w:color="auto" w:fill="auto"/>
            <w:noWrap/>
            <w:vAlign w:val="center"/>
            <w:hideMark/>
          </w:tcPr>
          <w:p w14:paraId="78F08A28"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5.506.771.606 </w:t>
            </w:r>
          </w:p>
        </w:tc>
      </w:tr>
      <w:tr w:rsidR="009838E7" w:rsidRPr="009838E7" w14:paraId="65AD1786"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43733EC4"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266</w:t>
            </w:r>
          </w:p>
        </w:tc>
        <w:tc>
          <w:tcPr>
            <w:tcW w:w="505" w:type="dxa"/>
            <w:tcBorders>
              <w:top w:val="nil"/>
              <w:left w:val="nil"/>
              <w:bottom w:val="single" w:sz="4" w:space="0" w:color="auto"/>
              <w:right w:val="single" w:sz="4" w:space="0" w:color="auto"/>
            </w:tcBorders>
            <w:shd w:val="clear" w:color="auto" w:fill="auto"/>
            <w:noWrap/>
            <w:vAlign w:val="center"/>
            <w:hideMark/>
          </w:tcPr>
          <w:p w14:paraId="373BBAC6"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48343</w:t>
            </w:r>
          </w:p>
        </w:tc>
        <w:tc>
          <w:tcPr>
            <w:tcW w:w="797" w:type="dxa"/>
            <w:tcBorders>
              <w:top w:val="nil"/>
              <w:left w:val="nil"/>
              <w:bottom w:val="single" w:sz="4" w:space="0" w:color="auto"/>
              <w:right w:val="single" w:sz="4" w:space="0" w:color="auto"/>
            </w:tcBorders>
            <w:shd w:val="clear" w:color="auto" w:fill="auto"/>
            <w:noWrap/>
            <w:vAlign w:val="center"/>
            <w:hideMark/>
          </w:tcPr>
          <w:p w14:paraId="0979020B"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901371247</w:t>
            </w:r>
          </w:p>
        </w:tc>
        <w:tc>
          <w:tcPr>
            <w:tcW w:w="4844" w:type="dxa"/>
            <w:tcBorders>
              <w:top w:val="nil"/>
              <w:left w:val="nil"/>
              <w:bottom w:val="single" w:sz="4" w:space="0" w:color="auto"/>
              <w:right w:val="single" w:sz="4" w:space="0" w:color="auto"/>
            </w:tcBorders>
            <w:shd w:val="clear" w:color="auto" w:fill="auto"/>
            <w:vAlign w:val="center"/>
            <w:hideMark/>
          </w:tcPr>
          <w:p w14:paraId="025017BF"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ENERGIA LIMPIA Y EFICIENTE SAS ESP</w:t>
            </w:r>
          </w:p>
        </w:tc>
        <w:tc>
          <w:tcPr>
            <w:tcW w:w="1600" w:type="dxa"/>
            <w:tcBorders>
              <w:top w:val="nil"/>
              <w:left w:val="nil"/>
              <w:bottom w:val="single" w:sz="4" w:space="0" w:color="auto"/>
              <w:right w:val="single" w:sz="4" w:space="0" w:color="auto"/>
            </w:tcBorders>
            <w:shd w:val="clear" w:color="auto" w:fill="auto"/>
            <w:noWrap/>
            <w:vAlign w:val="center"/>
            <w:hideMark/>
          </w:tcPr>
          <w:p w14:paraId="55ABB342"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35.687.000 </w:t>
            </w:r>
          </w:p>
        </w:tc>
        <w:tc>
          <w:tcPr>
            <w:tcW w:w="1660" w:type="dxa"/>
            <w:tcBorders>
              <w:top w:val="nil"/>
              <w:left w:val="nil"/>
              <w:bottom w:val="single" w:sz="4" w:space="0" w:color="auto"/>
              <w:right w:val="single" w:sz="4" w:space="0" w:color="auto"/>
            </w:tcBorders>
            <w:shd w:val="clear" w:color="auto" w:fill="auto"/>
            <w:noWrap/>
            <w:vAlign w:val="center"/>
            <w:hideMark/>
          </w:tcPr>
          <w:p w14:paraId="3708BFA6"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2.376.103.146 </w:t>
            </w:r>
          </w:p>
        </w:tc>
      </w:tr>
      <w:tr w:rsidR="009838E7" w:rsidRPr="009838E7" w14:paraId="1F0A5336"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3C6C4FD0"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267</w:t>
            </w:r>
          </w:p>
        </w:tc>
        <w:tc>
          <w:tcPr>
            <w:tcW w:w="505" w:type="dxa"/>
            <w:tcBorders>
              <w:top w:val="nil"/>
              <w:left w:val="nil"/>
              <w:bottom w:val="single" w:sz="4" w:space="0" w:color="auto"/>
              <w:right w:val="single" w:sz="4" w:space="0" w:color="auto"/>
            </w:tcBorders>
            <w:shd w:val="clear" w:color="auto" w:fill="auto"/>
            <w:noWrap/>
            <w:vAlign w:val="center"/>
            <w:hideMark/>
          </w:tcPr>
          <w:p w14:paraId="223EBA21"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48307</w:t>
            </w:r>
          </w:p>
        </w:tc>
        <w:tc>
          <w:tcPr>
            <w:tcW w:w="797" w:type="dxa"/>
            <w:tcBorders>
              <w:top w:val="nil"/>
              <w:left w:val="nil"/>
              <w:bottom w:val="single" w:sz="4" w:space="0" w:color="auto"/>
              <w:right w:val="single" w:sz="4" w:space="0" w:color="auto"/>
            </w:tcBorders>
            <w:shd w:val="clear" w:color="auto" w:fill="auto"/>
            <w:noWrap/>
            <w:vAlign w:val="center"/>
            <w:hideMark/>
          </w:tcPr>
          <w:p w14:paraId="5B77361D"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901380930</w:t>
            </w:r>
          </w:p>
        </w:tc>
        <w:tc>
          <w:tcPr>
            <w:tcW w:w="4844" w:type="dxa"/>
            <w:tcBorders>
              <w:top w:val="nil"/>
              <w:left w:val="nil"/>
              <w:bottom w:val="single" w:sz="4" w:space="0" w:color="auto"/>
              <w:right w:val="single" w:sz="4" w:space="0" w:color="auto"/>
            </w:tcBorders>
            <w:shd w:val="clear" w:color="auto" w:fill="auto"/>
            <w:vAlign w:val="center"/>
            <w:hideMark/>
          </w:tcPr>
          <w:p w14:paraId="0763E43C"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AIR-E S.A.S. E.S.P.</w:t>
            </w:r>
          </w:p>
        </w:tc>
        <w:tc>
          <w:tcPr>
            <w:tcW w:w="1600" w:type="dxa"/>
            <w:tcBorders>
              <w:top w:val="nil"/>
              <w:left w:val="nil"/>
              <w:bottom w:val="single" w:sz="4" w:space="0" w:color="auto"/>
              <w:right w:val="single" w:sz="4" w:space="0" w:color="auto"/>
            </w:tcBorders>
            <w:shd w:val="clear" w:color="auto" w:fill="auto"/>
            <w:noWrap/>
            <w:vAlign w:val="center"/>
            <w:hideMark/>
          </w:tcPr>
          <w:p w14:paraId="1E378247"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75.215.364.924 </w:t>
            </w:r>
          </w:p>
        </w:tc>
        <w:tc>
          <w:tcPr>
            <w:tcW w:w="1660" w:type="dxa"/>
            <w:tcBorders>
              <w:top w:val="nil"/>
              <w:left w:val="nil"/>
              <w:bottom w:val="single" w:sz="4" w:space="0" w:color="auto"/>
              <w:right w:val="single" w:sz="4" w:space="0" w:color="auto"/>
            </w:tcBorders>
            <w:shd w:val="clear" w:color="auto" w:fill="auto"/>
            <w:noWrap/>
            <w:vAlign w:val="center"/>
            <w:hideMark/>
          </w:tcPr>
          <w:p w14:paraId="528DA546"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88.681.941.126 </w:t>
            </w:r>
          </w:p>
        </w:tc>
      </w:tr>
      <w:tr w:rsidR="009838E7" w:rsidRPr="009838E7" w14:paraId="171EA53F"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6A26FDDB"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268</w:t>
            </w:r>
          </w:p>
        </w:tc>
        <w:tc>
          <w:tcPr>
            <w:tcW w:w="505" w:type="dxa"/>
            <w:tcBorders>
              <w:top w:val="nil"/>
              <w:left w:val="nil"/>
              <w:bottom w:val="single" w:sz="4" w:space="0" w:color="auto"/>
              <w:right w:val="single" w:sz="4" w:space="0" w:color="auto"/>
            </w:tcBorders>
            <w:shd w:val="clear" w:color="auto" w:fill="auto"/>
            <w:noWrap/>
            <w:vAlign w:val="center"/>
            <w:hideMark/>
          </w:tcPr>
          <w:p w14:paraId="74E5A015"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48305</w:t>
            </w:r>
          </w:p>
        </w:tc>
        <w:tc>
          <w:tcPr>
            <w:tcW w:w="797" w:type="dxa"/>
            <w:tcBorders>
              <w:top w:val="nil"/>
              <w:left w:val="nil"/>
              <w:bottom w:val="single" w:sz="4" w:space="0" w:color="auto"/>
              <w:right w:val="single" w:sz="4" w:space="0" w:color="auto"/>
            </w:tcBorders>
            <w:shd w:val="clear" w:color="auto" w:fill="auto"/>
            <w:noWrap/>
            <w:vAlign w:val="center"/>
            <w:hideMark/>
          </w:tcPr>
          <w:p w14:paraId="283B4A8E"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901380949</w:t>
            </w:r>
          </w:p>
        </w:tc>
        <w:tc>
          <w:tcPr>
            <w:tcW w:w="4844" w:type="dxa"/>
            <w:tcBorders>
              <w:top w:val="nil"/>
              <w:left w:val="nil"/>
              <w:bottom w:val="single" w:sz="4" w:space="0" w:color="auto"/>
              <w:right w:val="single" w:sz="4" w:space="0" w:color="auto"/>
            </w:tcBorders>
            <w:shd w:val="clear" w:color="auto" w:fill="auto"/>
            <w:vAlign w:val="center"/>
            <w:hideMark/>
          </w:tcPr>
          <w:p w14:paraId="05A7E60F"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CARIBEMAR DE LA COSTA S.A.S. E.S.P.</w:t>
            </w:r>
          </w:p>
        </w:tc>
        <w:tc>
          <w:tcPr>
            <w:tcW w:w="1600" w:type="dxa"/>
            <w:tcBorders>
              <w:top w:val="nil"/>
              <w:left w:val="nil"/>
              <w:bottom w:val="single" w:sz="4" w:space="0" w:color="auto"/>
              <w:right w:val="single" w:sz="4" w:space="0" w:color="auto"/>
            </w:tcBorders>
            <w:shd w:val="clear" w:color="auto" w:fill="auto"/>
            <w:noWrap/>
            <w:vAlign w:val="center"/>
            <w:hideMark/>
          </w:tcPr>
          <w:p w14:paraId="153170F8"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51.576.727.609 </w:t>
            </w:r>
          </w:p>
        </w:tc>
        <w:tc>
          <w:tcPr>
            <w:tcW w:w="1660" w:type="dxa"/>
            <w:tcBorders>
              <w:top w:val="nil"/>
              <w:left w:val="nil"/>
              <w:bottom w:val="single" w:sz="4" w:space="0" w:color="auto"/>
              <w:right w:val="single" w:sz="4" w:space="0" w:color="auto"/>
            </w:tcBorders>
            <w:shd w:val="clear" w:color="auto" w:fill="auto"/>
            <w:noWrap/>
            <w:vAlign w:val="center"/>
            <w:hideMark/>
          </w:tcPr>
          <w:p w14:paraId="24C79151"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68.969.574.175 </w:t>
            </w:r>
          </w:p>
        </w:tc>
      </w:tr>
      <w:tr w:rsidR="009838E7" w:rsidRPr="009838E7" w14:paraId="16E4DF24" w14:textId="77777777" w:rsidTr="00092F9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0DB62D0B"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269</w:t>
            </w:r>
          </w:p>
        </w:tc>
        <w:tc>
          <w:tcPr>
            <w:tcW w:w="505" w:type="dxa"/>
            <w:tcBorders>
              <w:top w:val="nil"/>
              <w:left w:val="nil"/>
              <w:bottom w:val="single" w:sz="4" w:space="0" w:color="auto"/>
              <w:right w:val="single" w:sz="4" w:space="0" w:color="auto"/>
            </w:tcBorders>
            <w:shd w:val="clear" w:color="auto" w:fill="auto"/>
            <w:noWrap/>
            <w:vAlign w:val="center"/>
            <w:hideMark/>
          </w:tcPr>
          <w:p w14:paraId="20EAB998"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50426</w:t>
            </w:r>
          </w:p>
        </w:tc>
        <w:tc>
          <w:tcPr>
            <w:tcW w:w="797" w:type="dxa"/>
            <w:tcBorders>
              <w:top w:val="nil"/>
              <w:left w:val="nil"/>
              <w:bottom w:val="single" w:sz="4" w:space="0" w:color="auto"/>
              <w:right w:val="single" w:sz="4" w:space="0" w:color="auto"/>
            </w:tcBorders>
            <w:shd w:val="clear" w:color="auto" w:fill="auto"/>
            <w:noWrap/>
            <w:vAlign w:val="center"/>
            <w:hideMark/>
          </w:tcPr>
          <w:p w14:paraId="67DEB157" w14:textId="77777777" w:rsidR="009838E7" w:rsidRPr="009838E7" w:rsidRDefault="009838E7" w:rsidP="00D22441">
            <w:pPr>
              <w:jc w:val="righ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901411134</w:t>
            </w:r>
          </w:p>
        </w:tc>
        <w:tc>
          <w:tcPr>
            <w:tcW w:w="4844" w:type="dxa"/>
            <w:tcBorders>
              <w:top w:val="nil"/>
              <w:left w:val="nil"/>
              <w:bottom w:val="single" w:sz="4" w:space="0" w:color="auto"/>
              <w:right w:val="single" w:sz="4" w:space="0" w:color="auto"/>
            </w:tcBorders>
            <w:shd w:val="clear" w:color="auto" w:fill="auto"/>
            <w:vAlign w:val="center"/>
            <w:hideMark/>
          </w:tcPr>
          <w:p w14:paraId="65464E7D"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GAS D-UNO SAS ESP</w:t>
            </w:r>
          </w:p>
        </w:tc>
        <w:tc>
          <w:tcPr>
            <w:tcW w:w="1600" w:type="dxa"/>
            <w:tcBorders>
              <w:top w:val="nil"/>
              <w:left w:val="nil"/>
              <w:bottom w:val="single" w:sz="4" w:space="0" w:color="auto"/>
              <w:right w:val="single" w:sz="4" w:space="0" w:color="auto"/>
            </w:tcBorders>
            <w:shd w:val="clear" w:color="auto" w:fill="auto"/>
            <w:noWrap/>
            <w:vAlign w:val="center"/>
            <w:hideMark/>
          </w:tcPr>
          <w:p w14:paraId="553E033A"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104.756.662 </w:t>
            </w:r>
          </w:p>
        </w:tc>
        <w:tc>
          <w:tcPr>
            <w:tcW w:w="1660" w:type="dxa"/>
            <w:tcBorders>
              <w:top w:val="nil"/>
              <w:left w:val="nil"/>
              <w:bottom w:val="single" w:sz="4" w:space="0" w:color="auto"/>
              <w:right w:val="single" w:sz="4" w:space="0" w:color="auto"/>
            </w:tcBorders>
            <w:shd w:val="clear" w:color="auto" w:fill="auto"/>
            <w:noWrap/>
            <w:vAlign w:val="center"/>
            <w:hideMark/>
          </w:tcPr>
          <w:p w14:paraId="470E9E8A" w14:textId="77777777" w:rsidR="009838E7" w:rsidRPr="009838E7" w:rsidRDefault="009838E7" w:rsidP="00D22441">
            <w:pPr>
              <w:jc w:val="left"/>
              <w:rPr>
                <w:rFonts w:ascii="Arial Narrow" w:hAnsi="Arial Narrow" w:cs="Calibri"/>
                <w:color w:val="000000"/>
                <w:spacing w:val="0"/>
                <w:sz w:val="16"/>
                <w:szCs w:val="16"/>
                <w:lang w:eastAsia="es-CO"/>
              </w:rPr>
            </w:pPr>
            <w:r w:rsidRPr="009838E7">
              <w:rPr>
                <w:rFonts w:ascii="Arial Narrow" w:hAnsi="Arial Narrow" w:cs="Calibri"/>
                <w:color w:val="000000"/>
                <w:spacing w:val="0"/>
                <w:sz w:val="16"/>
                <w:szCs w:val="16"/>
                <w:lang w:eastAsia="es-CO"/>
              </w:rPr>
              <w:t xml:space="preserve">                 336.359.210 </w:t>
            </w:r>
          </w:p>
        </w:tc>
      </w:tr>
    </w:tbl>
    <w:p w14:paraId="16A0FFDE" w14:textId="77777777" w:rsidR="009838E7" w:rsidRDefault="009838E7" w:rsidP="00D22441">
      <w:pPr>
        <w:rPr>
          <w:rFonts w:cs="Arial"/>
          <w:color w:val="FF0000"/>
          <w:sz w:val="22"/>
          <w:szCs w:val="22"/>
          <w:lang w:val="es-MX"/>
        </w:rPr>
      </w:pPr>
    </w:p>
    <w:p w14:paraId="504CF12D" w14:textId="11484425" w:rsidR="00542B77" w:rsidRPr="00454717" w:rsidRDefault="006B0990" w:rsidP="00D22441">
      <w:pPr>
        <w:pStyle w:val="Subttulo"/>
        <w:numPr>
          <w:ilvl w:val="1"/>
          <w:numId w:val="37"/>
        </w:numPr>
        <w:spacing w:after="0"/>
        <w:ind w:left="357" w:hanging="357"/>
        <w:jc w:val="left"/>
        <w:rPr>
          <w:b/>
          <w:bCs/>
          <w:sz w:val="22"/>
          <w:szCs w:val="22"/>
        </w:rPr>
      </w:pPr>
      <w:bookmarkStart w:id="88" w:name="_Toc147154331"/>
      <w:r w:rsidRPr="00454717">
        <w:rPr>
          <w:b/>
          <w:bCs/>
          <w:sz w:val="22"/>
          <w:szCs w:val="22"/>
        </w:rPr>
        <w:t>EMPRESAS QUE REPORTARON EN EL SISTEMA SUI INFORMACIÓN AL CIERRE DE DICIEMBRE DE  20</w:t>
      </w:r>
      <w:r w:rsidR="00E36931" w:rsidRPr="00454717">
        <w:rPr>
          <w:b/>
          <w:bCs/>
          <w:sz w:val="22"/>
          <w:szCs w:val="22"/>
        </w:rPr>
        <w:t>2</w:t>
      </w:r>
      <w:r w:rsidR="0099652E" w:rsidRPr="00454717">
        <w:rPr>
          <w:b/>
          <w:bCs/>
          <w:sz w:val="22"/>
          <w:szCs w:val="22"/>
        </w:rPr>
        <w:t>2</w:t>
      </w:r>
      <w:r w:rsidRPr="00454717">
        <w:rPr>
          <w:b/>
          <w:bCs/>
          <w:sz w:val="22"/>
          <w:szCs w:val="22"/>
        </w:rPr>
        <w:t xml:space="preserve"> Y NO REPOR</w:t>
      </w:r>
      <w:r w:rsidR="00552383" w:rsidRPr="00454717">
        <w:rPr>
          <w:b/>
          <w:bCs/>
          <w:sz w:val="22"/>
          <w:szCs w:val="22"/>
        </w:rPr>
        <w:t xml:space="preserve">TARON AL CIERRE DE DICIEMBRE </w:t>
      </w:r>
      <w:r w:rsidRPr="00454717">
        <w:rPr>
          <w:b/>
          <w:bCs/>
          <w:sz w:val="22"/>
          <w:szCs w:val="22"/>
        </w:rPr>
        <w:t>DE  20</w:t>
      </w:r>
      <w:r w:rsidR="00552383" w:rsidRPr="00454717">
        <w:rPr>
          <w:b/>
          <w:bCs/>
          <w:sz w:val="22"/>
          <w:szCs w:val="22"/>
        </w:rPr>
        <w:t>2</w:t>
      </w:r>
      <w:r w:rsidR="0099652E" w:rsidRPr="00454717">
        <w:rPr>
          <w:b/>
          <w:bCs/>
          <w:sz w:val="22"/>
          <w:szCs w:val="22"/>
        </w:rPr>
        <w:t>1</w:t>
      </w:r>
      <w:r w:rsidRPr="00454717">
        <w:rPr>
          <w:b/>
          <w:bCs/>
          <w:sz w:val="22"/>
          <w:szCs w:val="22"/>
        </w:rPr>
        <w:t>:</w:t>
      </w:r>
      <w:bookmarkEnd w:id="88"/>
    </w:p>
    <w:p w14:paraId="4EA2842B" w14:textId="6FC9D12B" w:rsidR="00552383" w:rsidRPr="00454717" w:rsidRDefault="00552383" w:rsidP="00D22441">
      <w:pPr>
        <w:pStyle w:val="Subttulo"/>
        <w:spacing w:after="0"/>
        <w:jc w:val="left"/>
        <w:rPr>
          <w:b/>
          <w:bCs/>
          <w:sz w:val="22"/>
          <w:szCs w:val="22"/>
        </w:rPr>
      </w:pPr>
    </w:p>
    <w:p w14:paraId="7F1E0BA7" w14:textId="3FB768D4" w:rsidR="00454717" w:rsidRDefault="00454717" w:rsidP="00D22441">
      <w:pPr>
        <w:rPr>
          <w:rFonts w:cs="Arial"/>
          <w:sz w:val="22"/>
          <w:szCs w:val="22"/>
          <w:lang w:val="es-MX"/>
        </w:rPr>
      </w:pPr>
      <w:r w:rsidRPr="00FA0BE3">
        <w:rPr>
          <w:rFonts w:cs="Arial"/>
          <w:sz w:val="22"/>
          <w:szCs w:val="22"/>
          <w:lang w:val="es-MX"/>
        </w:rPr>
        <w:t xml:space="preserve">Las siguientes </w:t>
      </w:r>
      <w:r>
        <w:rPr>
          <w:rFonts w:cs="Arial"/>
          <w:sz w:val="22"/>
          <w:szCs w:val="22"/>
          <w:lang w:val="es-MX"/>
        </w:rPr>
        <w:t>44</w:t>
      </w:r>
      <w:r w:rsidRPr="00FA0BE3">
        <w:rPr>
          <w:rFonts w:cs="Arial"/>
          <w:sz w:val="22"/>
          <w:szCs w:val="22"/>
          <w:lang w:val="es-MX"/>
        </w:rPr>
        <w:t xml:space="preserve"> empresas presentaron información financiera con corte a diciembre 31 de 2022</w:t>
      </w:r>
      <w:r>
        <w:rPr>
          <w:rFonts w:cs="Arial"/>
          <w:sz w:val="22"/>
          <w:szCs w:val="22"/>
          <w:lang w:val="es-MX"/>
        </w:rPr>
        <w:t xml:space="preserve">, pero no presentaron información </w:t>
      </w:r>
      <w:r w:rsidRPr="00FA0BE3">
        <w:rPr>
          <w:rFonts w:cs="Arial"/>
          <w:sz w:val="22"/>
          <w:szCs w:val="22"/>
          <w:lang w:val="es-MX"/>
        </w:rPr>
        <w:t>con corte al 2022, se detallan a continuación ordenados por su NIT así:</w:t>
      </w:r>
    </w:p>
    <w:p w14:paraId="3466F841" w14:textId="77777777" w:rsidR="00C104D4" w:rsidRDefault="00C104D4" w:rsidP="00D22441">
      <w:pPr>
        <w:rPr>
          <w:rFonts w:cs="Arial"/>
          <w:sz w:val="22"/>
          <w:szCs w:val="22"/>
          <w:lang w:val="es-MX"/>
        </w:rPr>
      </w:pPr>
    </w:p>
    <w:p w14:paraId="51F57B01" w14:textId="5897E882" w:rsidR="00454717" w:rsidRPr="00DD403A" w:rsidRDefault="00DD403A" w:rsidP="00DD403A">
      <w:pPr>
        <w:pStyle w:val="Descripcin"/>
        <w:rPr>
          <w:i w:val="0"/>
          <w:iCs w:val="0"/>
          <w:color w:val="auto"/>
        </w:rPr>
      </w:pPr>
      <w:bookmarkStart w:id="89" w:name="_Toc145486444"/>
      <w:r w:rsidRPr="002C4392">
        <w:rPr>
          <w:i w:val="0"/>
          <w:iCs w:val="0"/>
          <w:color w:val="auto"/>
        </w:rPr>
        <w:t xml:space="preserve">Tabla </w:t>
      </w:r>
      <w:r w:rsidRPr="002C4392">
        <w:rPr>
          <w:i w:val="0"/>
          <w:iCs w:val="0"/>
          <w:color w:val="auto"/>
        </w:rPr>
        <w:fldChar w:fldCharType="begin"/>
      </w:r>
      <w:r w:rsidRPr="002C4392">
        <w:rPr>
          <w:i w:val="0"/>
          <w:iCs w:val="0"/>
          <w:color w:val="auto"/>
        </w:rPr>
        <w:instrText xml:space="preserve"> SEQ Tabla \* ARABIC </w:instrText>
      </w:r>
      <w:r w:rsidRPr="002C4392">
        <w:rPr>
          <w:i w:val="0"/>
          <w:iCs w:val="0"/>
          <w:color w:val="auto"/>
        </w:rPr>
        <w:fldChar w:fldCharType="separate"/>
      </w:r>
      <w:r>
        <w:rPr>
          <w:i w:val="0"/>
          <w:iCs w:val="0"/>
          <w:noProof/>
          <w:color w:val="auto"/>
        </w:rPr>
        <w:t>18</w:t>
      </w:r>
      <w:r w:rsidRPr="002C4392">
        <w:rPr>
          <w:i w:val="0"/>
          <w:iCs w:val="0"/>
          <w:color w:val="auto"/>
        </w:rPr>
        <w:fldChar w:fldCharType="end"/>
      </w:r>
      <w:r w:rsidRPr="002C4392">
        <w:rPr>
          <w:i w:val="0"/>
          <w:iCs w:val="0"/>
          <w:color w:val="auto"/>
        </w:rPr>
        <w:t xml:space="preserve">. </w:t>
      </w:r>
      <w:r>
        <w:rPr>
          <w:i w:val="0"/>
          <w:iCs w:val="0"/>
          <w:color w:val="auto"/>
        </w:rPr>
        <w:t>Regulados que reportaron información financiera al SUI 2021 y no reportaron 2022.</w:t>
      </w:r>
      <w:bookmarkEnd w:id="89"/>
    </w:p>
    <w:tbl>
      <w:tblPr>
        <w:tblW w:w="9520" w:type="dxa"/>
        <w:tblCellMar>
          <w:left w:w="70" w:type="dxa"/>
          <w:right w:w="70" w:type="dxa"/>
        </w:tblCellMar>
        <w:tblLook w:val="04A0" w:firstRow="1" w:lastRow="0" w:firstColumn="1" w:lastColumn="0" w:noHBand="0" w:noVBand="1"/>
      </w:tblPr>
      <w:tblGrid>
        <w:gridCol w:w="454"/>
        <w:gridCol w:w="505"/>
        <w:gridCol w:w="797"/>
        <w:gridCol w:w="4564"/>
        <w:gridCol w:w="1600"/>
        <w:gridCol w:w="1600"/>
      </w:tblGrid>
      <w:tr w:rsidR="00454717" w:rsidRPr="00454717" w14:paraId="2B4CFB08" w14:textId="77777777" w:rsidTr="006F2D43">
        <w:trPr>
          <w:trHeight w:val="521"/>
          <w:tblHeader/>
        </w:trPr>
        <w:tc>
          <w:tcPr>
            <w:tcW w:w="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84D4FAB" w14:textId="77777777" w:rsidR="00454717" w:rsidRPr="00454717" w:rsidRDefault="00454717" w:rsidP="00D22441">
            <w:pPr>
              <w:jc w:val="center"/>
              <w:rPr>
                <w:rFonts w:ascii="Arial Narrow" w:hAnsi="Arial Narrow" w:cs="Calibri"/>
                <w:b/>
                <w:bCs/>
                <w:color w:val="000000"/>
                <w:spacing w:val="0"/>
                <w:sz w:val="16"/>
                <w:szCs w:val="16"/>
                <w:lang w:eastAsia="es-CO"/>
              </w:rPr>
            </w:pPr>
            <w:r w:rsidRPr="00454717">
              <w:rPr>
                <w:rFonts w:ascii="Arial Narrow" w:hAnsi="Arial Narrow" w:cs="Calibri"/>
                <w:b/>
                <w:bCs/>
                <w:color w:val="000000"/>
                <w:spacing w:val="0"/>
                <w:sz w:val="16"/>
                <w:szCs w:val="16"/>
                <w:lang w:eastAsia="es-CO"/>
              </w:rPr>
              <w:t>ITEM</w:t>
            </w:r>
          </w:p>
        </w:tc>
        <w:tc>
          <w:tcPr>
            <w:tcW w:w="48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8F60014" w14:textId="77777777" w:rsidR="00454717" w:rsidRPr="00454717" w:rsidRDefault="00454717" w:rsidP="00D22441">
            <w:pPr>
              <w:jc w:val="center"/>
              <w:rPr>
                <w:rFonts w:ascii="Arial Narrow" w:hAnsi="Arial Narrow" w:cs="Calibri"/>
                <w:b/>
                <w:bCs/>
                <w:color w:val="000000"/>
                <w:spacing w:val="0"/>
                <w:sz w:val="16"/>
                <w:szCs w:val="16"/>
                <w:lang w:eastAsia="es-CO"/>
              </w:rPr>
            </w:pPr>
            <w:r w:rsidRPr="00454717">
              <w:rPr>
                <w:rFonts w:ascii="Arial Narrow" w:hAnsi="Arial Narrow" w:cs="Calibri"/>
                <w:b/>
                <w:bCs/>
                <w:color w:val="000000"/>
                <w:spacing w:val="0"/>
                <w:sz w:val="16"/>
                <w:szCs w:val="16"/>
                <w:lang w:eastAsia="es-CO"/>
              </w:rPr>
              <w:t>ID</w:t>
            </w:r>
          </w:p>
        </w:tc>
        <w:tc>
          <w:tcPr>
            <w:tcW w:w="78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06DE402" w14:textId="77777777" w:rsidR="00454717" w:rsidRPr="00454717" w:rsidRDefault="00454717" w:rsidP="00D22441">
            <w:pPr>
              <w:jc w:val="center"/>
              <w:rPr>
                <w:rFonts w:ascii="Arial Narrow" w:hAnsi="Arial Narrow" w:cs="Calibri"/>
                <w:b/>
                <w:bCs/>
                <w:color w:val="000000"/>
                <w:spacing w:val="0"/>
                <w:sz w:val="16"/>
                <w:szCs w:val="16"/>
                <w:lang w:eastAsia="es-CO"/>
              </w:rPr>
            </w:pPr>
            <w:r w:rsidRPr="00454717">
              <w:rPr>
                <w:rFonts w:ascii="Arial Narrow" w:hAnsi="Arial Narrow" w:cs="Calibri"/>
                <w:b/>
                <w:bCs/>
                <w:color w:val="000000"/>
                <w:spacing w:val="0"/>
                <w:sz w:val="16"/>
                <w:szCs w:val="16"/>
                <w:lang w:eastAsia="es-CO"/>
              </w:rPr>
              <w:t>NIT</w:t>
            </w:r>
          </w:p>
        </w:tc>
        <w:tc>
          <w:tcPr>
            <w:tcW w:w="462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2D0EFB3" w14:textId="77777777" w:rsidR="00454717" w:rsidRPr="00454717" w:rsidRDefault="00454717" w:rsidP="00D22441">
            <w:pPr>
              <w:jc w:val="center"/>
              <w:rPr>
                <w:rFonts w:ascii="Arial Narrow" w:hAnsi="Arial Narrow" w:cs="Calibri"/>
                <w:b/>
                <w:bCs/>
                <w:color w:val="000000"/>
                <w:spacing w:val="0"/>
                <w:sz w:val="16"/>
                <w:szCs w:val="16"/>
                <w:lang w:eastAsia="es-CO"/>
              </w:rPr>
            </w:pPr>
            <w:r w:rsidRPr="00454717">
              <w:rPr>
                <w:rFonts w:ascii="Arial Narrow" w:hAnsi="Arial Narrow" w:cs="Calibri"/>
                <w:b/>
                <w:bCs/>
                <w:color w:val="000000"/>
                <w:spacing w:val="0"/>
                <w:sz w:val="16"/>
                <w:szCs w:val="16"/>
                <w:lang w:eastAsia="es-CO"/>
              </w:rPr>
              <w:t>RAZÓN SOCIAL</w:t>
            </w:r>
          </w:p>
        </w:tc>
        <w:tc>
          <w:tcPr>
            <w:tcW w:w="16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488911A" w14:textId="1E4CF36F" w:rsidR="00454717" w:rsidRPr="00454717" w:rsidRDefault="00454717" w:rsidP="00D22441">
            <w:pPr>
              <w:jc w:val="center"/>
              <w:rPr>
                <w:rFonts w:ascii="Arial Narrow" w:hAnsi="Arial Narrow" w:cs="Calibri"/>
                <w:b/>
                <w:bCs/>
                <w:color w:val="000000"/>
                <w:spacing w:val="0"/>
                <w:sz w:val="16"/>
                <w:szCs w:val="16"/>
                <w:lang w:eastAsia="es-CO"/>
              </w:rPr>
            </w:pPr>
            <w:r w:rsidRPr="00454717">
              <w:rPr>
                <w:rFonts w:ascii="Arial Narrow" w:hAnsi="Arial Narrow" w:cs="Calibri"/>
                <w:b/>
                <w:bCs/>
                <w:color w:val="000000"/>
                <w:spacing w:val="0"/>
                <w:sz w:val="16"/>
                <w:szCs w:val="16"/>
                <w:lang w:eastAsia="es-CO"/>
              </w:rPr>
              <w:t xml:space="preserve"> CONTRIBUCIÓN 2022</w:t>
            </w:r>
            <w:r w:rsidRPr="00454717">
              <w:rPr>
                <w:rFonts w:ascii="Arial Narrow" w:hAnsi="Arial Narrow" w:cs="Calibri"/>
                <w:b/>
                <w:bCs/>
                <w:color w:val="000000"/>
                <w:spacing w:val="0"/>
                <w:sz w:val="16"/>
                <w:szCs w:val="16"/>
                <w:lang w:eastAsia="es-CO"/>
              </w:rPr>
              <w:br/>
              <w:t>BASE EEFF 2021</w:t>
            </w:r>
          </w:p>
        </w:tc>
        <w:tc>
          <w:tcPr>
            <w:tcW w:w="16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6335B93" w14:textId="0923BB60" w:rsidR="00454717" w:rsidRPr="00454717" w:rsidRDefault="00454717" w:rsidP="00D22441">
            <w:pPr>
              <w:jc w:val="center"/>
              <w:rPr>
                <w:rFonts w:ascii="Arial Narrow" w:hAnsi="Arial Narrow" w:cs="Calibri"/>
                <w:b/>
                <w:bCs/>
                <w:color w:val="000000"/>
                <w:spacing w:val="0"/>
                <w:sz w:val="16"/>
                <w:szCs w:val="16"/>
                <w:lang w:eastAsia="es-CO"/>
              </w:rPr>
            </w:pPr>
            <w:r w:rsidRPr="00454717">
              <w:rPr>
                <w:rFonts w:ascii="Arial Narrow" w:hAnsi="Arial Narrow" w:cs="Calibri"/>
                <w:b/>
                <w:bCs/>
                <w:color w:val="000000"/>
                <w:spacing w:val="0"/>
                <w:sz w:val="16"/>
                <w:szCs w:val="16"/>
                <w:lang w:eastAsia="es-CO"/>
              </w:rPr>
              <w:t xml:space="preserve"> CONTRIBUCIÓN 2023</w:t>
            </w:r>
            <w:r w:rsidRPr="00454717">
              <w:rPr>
                <w:rFonts w:ascii="Arial Narrow" w:hAnsi="Arial Narrow" w:cs="Calibri"/>
                <w:b/>
                <w:bCs/>
                <w:color w:val="000000"/>
                <w:spacing w:val="0"/>
                <w:sz w:val="16"/>
                <w:szCs w:val="16"/>
                <w:lang w:eastAsia="es-CO"/>
              </w:rPr>
              <w:br/>
              <w:t>BASE EEFF 2022</w:t>
            </w:r>
          </w:p>
        </w:tc>
      </w:tr>
      <w:tr w:rsidR="00454717" w:rsidRPr="00454717" w14:paraId="66490992" w14:textId="77777777" w:rsidTr="00395CAC">
        <w:trPr>
          <w:trHeight w:val="399"/>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434739A6" w14:textId="77777777" w:rsidR="00454717" w:rsidRPr="00454717" w:rsidRDefault="00454717" w:rsidP="00D22441">
            <w:pPr>
              <w:jc w:val="righ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1</w:t>
            </w:r>
          </w:p>
        </w:tc>
        <w:tc>
          <w:tcPr>
            <w:tcW w:w="480" w:type="dxa"/>
            <w:tcBorders>
              <w:top w:val="nil"/>
              <w:left w:val="nil"/>
              <w:bottom w:val="single" w:sz="4" w:space="0" w:color="auto"/>
              <w:right w:val="single" w:sz="4" w:space="0" w:color="auto"/>
            </w:tcBorders>
            <w:shd w:val="clear" w:color="auto" w:fill="auto"/>
            <w:noWrap/>
            <w:vAlign w:val="center"/>
            <w:hideMark/>
          </w:tcPr>
          <w:p w14:paraId="1E7B63AF" w14:textId="77777777" w:rsidR="00454717" w:rsidRPr="00454717" w:rsidRDefault="00454717" w:rsidP="00D22441">
            <w:pPr>
              <w:jc w:val="righ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622</w:t>
            </w:r>
          </w:p>
        </w:tc>
        <w:tc>
          <w:tcPr>
            <w:tcW w:w="780" w:type="dxa"/>
            <w:tcBorders>
              <w:top w:val="nil"/>
              <w:left w:val="nil"/>
              <w:bottom w:val="single" w:sz="4" w:space="0" w:color="auto"/>
              <w:right w:val="single" w:sz="4" w:space="0" w:color="auto"/>
            </w:tcBorders>
            <w:shd w:val="clear" w:color="auto" w:fill="auto"/>
            <w:noWrap/>
            <w:vAlign w:val="center"/>
            <w:hideMark/>
          </w:tcPr>
          <w:p w14:paraId="7EABE3E6" w14:textId="77777777" w:rsidR="00454717" w:rsidRPr="00454717" w:rsidRDefault="00454717" w:rsidP="00D22441">
            <w:pPr>
              <w:jc w:val="righ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800163392</w:t>
            </w:r>
          </w:p>
        </w:tc>
        <w:tc>
          <w:tcPr>
            <w:tcW w:w="4620" w:type="dxa"/>
            <w:tcBorders>
              <w:top w:val="nil"/>
              <w:left w:val="nil"/>
              <w:bottom w:val="single" w:sz="4" w:space="0" w:color="auto"/>
              <w:right w:val="single" w:sz="4" w:space="0" w:color="auto"/>
            </w:tcBorders>
            <w:shd w:val="clear" w:color="auto" w:fill="auto"/>
            <w:vAlign w:val="center"/>
            <w:hideMark/>
          </w:tcPr>
          <w:p w14:paraId="2352D8A8" w14:textId="77777777" w:rsidR="00454717" w:rsidRPr="00454717" w:rsidRDefault="00454717" w:rsidP="00D22441">
            <w:pPr>
              <w:jc w:val="lef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EMPRESA COMUNITARIA DE ACUEDUCTO, ALCANTARILLADO Y ASEO DE SARAVENA</w:t>
            </w:r>
          </w:p>
        </w:tc>
        <w:tc>
          <w:tcPr>
            <w:tcW w:w="1600" w:type="dxa"/>
            <w:tcBorders>
              <w:top w:val="nil"/>
              <w:left w:val="nil"/>
              <w:bottom w:val="single" w:sz="4" w:space="0" w:color="auto"/>
              <w:right w:val="single" w:sz="4" w:space="0" w:color="auto"/>
            </w:tcBorders>
            <w:shd w:val="clear" w:color="auto" w:fill="auto"/>
            <w:noWrap/>
            <w:vAlign w:val="center"/>
            <w:hideMark/>
          </w:tcPr>
          <w:p w14:paraId="3C4E604D" w14:textId="77777777" w:rsidR="00454717" w:rsidRPr="00454717" w:rsidRDefault="00454717" w:rsidP="00D22441">
            <w:pPr>
              <w:jc w:val="lef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 xml:space="preserve">                156.363.146 </w:t>
            </w:r>
          </w:p>
        </w:tc>
        <w:tc>
          <w:tcPr>
            <w:tcW w:w="1600" w:type="dxa"/>
            <w:tcBorders>
              <w:top w:val="nil"/>
              <w:left w:val="nil"/>
              <w:bottom w:val="single" w:sz="4" w:space="0" w:color="auto"/>
              <w:right w:val="single" w:sz="4" w:space="0" w:color="auto"/>
            </w:tcBorders>
            <w:shd w:val="clear" w:color="auto" w:fill="auto"/>
            <w:noWrap/>
            <w:vAlign w:val="center"/>
            <w:hideMark/>
          </w:tcPr>
          <w:p w14:paraId="25D13773" w14:textId="77777777" w:rsidR="00454717" w:rsidRPr="00454717" w:rsidRDefault="00454717" w:rsidP="00D22441">
            <w:pPr>
              <w:jc w:val="lef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 xml:space="preserve"> No reportó </w:t>
            </w:r>
          </w:p>
        </w:tc>
      </w:tr>
      <w:tr w:rsidR="00454717" w:rsidRPr="00454717" w14:paraId="574DCD98" w14:textId="77777777" w:rsidTr="00454717">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1B011B3B" w14:textId="77777777" w:rsidR="00454717" w:rsidRPr="00454717" w:rsidRDefault="00454717" w:rsidP="00D22441">
            <w:pPr>
              <w:jc w:val="righ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2</w:t>
            </w:r>
          </w:p>
        </w:tc>
        <w:tc>
          <w:tcPr>
            <w:tcW w:w="480" w:type="dxa"/>
            <w:tcBorders>
              <w:top w:val="nil"/>
              <w:left w:val="nil"/>
              <w:bottom w:val="single" w:sz="4" w:space="0" w:color="auto"/>
              <w:right w:val="single" w:sz="4" w:space="0" w:color="auto"/>
            </w:tcBorders>
            <w:shd w:val="clear" w:color="auto" w:fill="auto"/>
            <w:noWrap/>
            <w:vAlign w:val="center"/>
            <w:hideMark/>
          </w:tcPr>
          <w:p w14:paraId="147E5D36" w14:textId="77777777" w:rsidR="00454717" w:rsidRPr="00454717" w:rsidRDefault="00454717" w:rsidP="00D22441">
            <w:pPr>
              <w:jc w:val="righ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997</w:t>
            </w:r>
          </w:p>
        </w:tc>
        <w:tc>
          <w:tcPr>
            <w:tcW w:w="780" w:type="dxa"/>
            <w:tcBorders>
              <w:top w:val="nil"/>
              <w:left w:val="nil"/>
              <w:bottom w:val="single" w:sz="4" w:space="0" w:color="auto"/>
              <w:right w:val="single" w:sz="4" w:space="0" w:color="auto"/>
            </w:tcBorders>
            <w:shd w:val="clear" w:color="auto" w:fill="auto"/>
            <w:noWrap/>
            <w:vAlign w:val="center"/>
            <w:hideMark/>
          </w:tcPr>
          <w:p w14:paraId="4ECA8BA0" w14:textId="77777777" w:rsidR="00454717" w:rsidRPr="00454717" w:rsidRDefault="00454717" w:rsidP="00D22441">
            <w:pPr>
              <w:jc w:val="righ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890000377</w:t>
            </w:r>
          </w:p>
        </w:tc>
        <w:tc>
          <w:tcPr>
            <w:tcW w:w="4620" w:type="dxa"/>
            <w:tcBorders>
              <w:top w:val="nil"/>
              <w:left w:val="nil"/>
              <w:bottom w:val="single" w:sz="4" w:space="0" w:color="auto"/>
              <w:right w:val="single" w:sz="4" w:space="0" w:color="auto"/>
            </w:tcBorders>
            <w:shd w:val="clear" w:color="auto" w:fill="auto"/>
            <w:vAlign w:val="center"/>
            <w:hideMark/>
          </w:tcPr>
          <w:p w14:paraId="4B5B5D01" w14:textId="44C61EB3" w:rsidR="00454717" w:rsidRPr="00454717" w:rsidRDefault="00454717" w:rsidP="00D22441">
            <w:pPr>
              <w:jc w:val="lef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EMPRESAS PUBLICAS DE CALARCA</w:t>
            </w:r>
            <w:r w:rsidR="006F2D43">
              <w:rPr>
                <w:rFonts w:ascii="Arial Narrow" w:hAnsi="Arial Narrow" w:cs="Calibri"/>
                <w:color w:val="000000"/>
                <w:spacing w:val="0"/>
                <w:sz w:val="16"/>
                <w:szCs w:val="16"/>
                <w:lang w:eastAsia="es-CO"/>
              </w:rPr>
              <w:t>.</w:t>
            </w:r>
            <w:r w:rsidRPr="00454717">
              <w:rPr>
                <w:rFonts w:ascii="Arial Narrow" w:hAnsi="Arial Narrow" w:cs="Calibri"/>
                <w:color w:val="000000"/>
                <w:spacing w:val="0"/>
                <w:sz w:val="16"/>
                <w:szCs w:val="16"/>
                <w:lang w:eastAsia="es-CO"/>
              </w:rPr>
              <w:t xml:space="preserve">  E.S.P.</w:t>
            </w:r>
          </w:p>
        </w:tc>
        <w:tc>
          <w:tcPr>
            <w:tcW w:w="1600" w:type="dxa"/>
            <w:tcBorders>
              <w:top w:val="nil"/>
              <w:left w:val="nil"/>
              <w:bottom w:val="single" w:sz="4" w:space="0" w:color="auto"/>
              <w:right w:val="single" w:sz="4" w:space="0" w:color="auto"/>
            </w:tcBorders>
            <w:shd w:val="clear" w:color="auto" w:fill="auto"/>
            <w:noWrap/>
            <w:vAlign w:val="center"/>
            <w:hideMark/>
          </w:tcPr>
          <w:p w14:paraId="0B0BCE14" w14:textId="77777777" w:rsidR="00454717" w:rsidRPr="00454717" w:rsidRDefault="00454717" w:rsidP="00D22441">
            <w:pPr>
              <w:jc w:val="lef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 xml:space="preserve">                150.013.000 </w:t>
            </w:r>
          </w:p>
        </w:tc>
        <w:tc>
          <w:tcPr>
            <w:tcW w:w="1600" w:type="dxa"/>
            <w:tcBorders>
              <w:top w:val="nil"/>
              <w:left w:val="nil"/>
              <w:bottom w:val="single" w:sz="4" w:space="0" w:color="auto"/>
              <w:right w:val="single" w:sz="4" w:space="0" w:color="auto"/>
            </w:tcBorders>
            <w:shd w:val="clear" w:color="auto" w:fill="auto"/>
            <w:noWrap/>
            <w:vAlign w:val="center"/>
            <w:hideMark/>
          </w:tcPr>
          <w:p w14:paraId="5EED7928" w14:textId="77777777" w:rsidR="00454717" w:rsidRPr="00454717" w:rsidRDefault="00454717" w:rsidP="00D22441">
            <w:pPr>
              <w:jc w:val="lef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 xml:space="preserve"> No reportó </w:t>
            </w:r>
          </w:p>
        </w:tc>
      </w:tr>
      <w:tr w:rsidR="00454717" w:rsidRPr="00454717" w14:paraId="4D615DF8" w14:textId="77777777" w:rsidTr="00454717">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5ED526CB" w14:textId="77777777" w:rsidR="00454717" w:rsidRPr="00454717" w:rsidRDefault="00454717" w:rsidP="00D22441">
            <w:pPr>
              <w:jc w:val="righ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3</w:t>
            </w:r>
          </w:p>
        </w:tc>
        <w:tc>
          <w:tcPr>
            <w:tcW w:w="480" w:type="dxa"/>
            <w:tcBorders>
              <w:top w:val="nil"/>
              <w:left w:val="nil"/>
              <w:bottom w:val="single" w:sz="4" w:space="0" w:color="auto"/>
              <w:right w:val="single" w:sz="4" w:space="0" w:color="auto"/>
            </w:tcBorders>
            <w:shd w:val="clear" w:color="auto" w:fill="auto"/>
            <w:noWrap/>
            <w:vAlign w:val="center"/>
            <w:hideMark/>
          </w:tcPr>
          <w:p w14:paraId="323E2D23" w14:textId="77777777" w:rsidR="00454717" w:rsidRPr="00454717" w:rsidRDefault="00454717" w:rsidP="00D22441">
            <w:pPr>
              <w:jc w:val="righ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1891</w:t>
            </w:r>
          </w:p>
        </w:tc>
        <w:tc>
          <w:tcPr>
            <w:tcW w:w="780" w:type="dxa"/>
            <w:tcBorders>
              <w:top w:val="nil"/>
              <w:left w:val="nil"/>
              <w:bottom w:val="single" w:sz="4" w:space="0" w:color="auto"/>
              <w:right w:val="single" w:sz="4" w:space="0" w:color="auto"/>
            </w:tcBorders>
            <w:shd w:val="clear" w:color="auto" w:fill="auto"/>
            <w:noWrap/>
            <w:vAlign w:val="center"/>
            <w:hideMark/>
          </w:tcPr>
          <w:p w14:paraId="16566711" w14:textId="77777777" w:rsidR="00454717" w:rsidRPr="00454717" w:rsidRDefault="00454717" w:rsidP="00D22441">
            <w:pPr>
              <w:jc w:val="righ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818000263</w:t>
            </w:r>
          </w:p>
        </w:tc>
        <w:tc>
          <w:tcPr>
            <w:tcW w:w="4620" w:type="dxa"/>
            <w:tcBorders>
              <w:top w:val="nil"/>
              <w:left w:val="nil"/>
              <w:bottom w:val="single" w:sz="4" w:space="0" w:color="auto"/>
              <w:right w:val="single" w:sz="4" w:space="0" w:color="auto"/>
            </w:tcBorders>
            <w:shd w:val="clear" w:color="auto" w:fill="auto"/>
            <w:vAlign w:val="center"/>
            <w:hideMark/>
          </w:tcPr>
          <w:p w14:paraId="0BBCB85E" w14:textId="77777777" w:rsidR="00454717" w:rsidRPr="00454717" w:rsidRDefault="00454717" w:rsidP="00D22441">
            <w:pPr>
              <w:jc w:val="lef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EMPRESA DE SERVICIOS PUBLICOS DE BAHIA SOLANO S.A. ESP</w:t>
            </w:r>
          </w:p>
        </w:tc>
        <w:tc>
          <w:tcPr>
            <w:tcW w:w="1600" w:type="dxa"/>
            <w:tcBorders>
              <w:top w:val="nil"/>
              <w:left w:val="nil"/>
              <w:bottom w:val="single" w:sz="4" w:space="0" w:color="auto"/>
              <w:right w:val="single" w:sz="4" w:space="0" w:color="auto"/>
            </w:tcBorders>
            <w:shd w:val="clear" w:color="auto" w:fill="auto"/>
            <w:noWrap/>
            <w:vAlign w:val="center"/>
            <w:hideMark/>
          </w:tcPr>
          <w:p w14:paraId="61F9A2AC" w14:textId="77777777" w:rsidR="00454717" w:rsidRPr="00454717" w:rsidRDefault="00454717" w:rsidP="00D22441">
            <w:pPr>
              <w:jc w:val="lef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 xml:space="preserve">                983.008.000 </w:t>
            </w:r>
          </w:p>
        </w:tc>
        <w:tc>
          <w:tcPr>
            <w:tcW w:w="1600" w:type="dxa"/>
            <w:tcBorders>
              <w:top w:val="nil"/>
              <w:left w:val="nil"/>
              <w:bottom w:val="single" w:sz="4" w:space="0" w:color="auto"/>
              <w:right w:val="single" w:sz="4" w:space="0" w:color="auto"/>
            </w:tcBorders>
            <w:shd w:val="clear" w:color="auto" w:fill="auto"/>
            <w:noWrap/>
            <w:vAlign w:val="center"/>
            <w:hideMark/>
          </w:tcPr>
          <w:p w14:paraId="40E286FD" w14:textId="77777777" w:rsidR="00454717" w:rsidRPr="00454717" w:rsidRDefault="00454717" w:rsidP="00D22441">
            <w:pPr>
              <w:jc w:val="lef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 xml:space="preserve"> No reportó </w:t>
            </w:r>
          </w:p>
        </w:tc>
      </w:tr>
      <w:tr w:rsidR="00454717" w:rsidRPr="00454717" w14:paraId="7CDE6E87" w14:textId="77777777" w:rsidTr="00454717">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2B5EC691" w14:textId="77777777" w:rsidR="00454717" w:rsidRPr="00454717" w:rsidRDefault="00454717" w:rsidP="00D22441">
            <w:pPr>
              <w:jc w:val="righ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4</w:t>
            </w:r>
          </w:p>
        </w:tc>
        <w:tc>
          <w:tcPr>
            <w:tcW w:w="480" w:type="dxa"/>
            <w:tcBorders>
              <w:top w:val="nil"/>
              <w:left w:val="nil"/>
              <w:bottom w:val="single" w:sz="4" w:space="0" w:color="auto"/>
              <w:right w:val="single" w:sz="4" w:space="0" w:color="auto"/>
            </w:tcBorders>
            <w:shd w:val="clear" w:color="auto" w:fill="auto"/>
            <w:noWrap/>
            <w:vAlign w:val="center"/>
            <w:hideMark/>
          </w:tcPr>
          <w:p w14:paraId="6DF4697C" w14:textId="77777777" w:rsidR="00454717" w:rsidRPr="00454717" w:rsidRDefault="00454717" w:rsidP="00D22441">
            <w:pPr>
              <w:jc w:val="righ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3325</w:t>
            </w:r>
          </w:p>
        </w:tc>
        <w:tc>
          <w:tcPr>
            <w:tcW w:w="780" w:type="dxa"/>
            <w:tcBorders>
              <w:top w:val="nil"/>
              <w:left w:val="nil"/>
              <w:bottom w:val="single" w:sz="4" w:space="0" w:color="auto"/>
              <w:right w:val="single" w:sz="4" w:space="0" w:color="auto"/>
            </w:tcBorders>
            <w:shd w:val="clear" w:color="auto" w:fill="auto"/>
            <w:noWrap/>
            <w:vAlign w:val="center"/>
            <w:hideMark/>
          </w:tcPr>
          <w:p w14:paraId="547FBED2" w14:textId="77777777" w:rsidR="00454717" w:rsidRPr="00454717" w:rsidRDefault="00454717" w:rsidP="00D22441">
            <w:pPr>
              <w:jc w:val="righ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804014818</w:t>
            </w:r>
          </w:p>
        </w:tc>
        <w:tc>
          <w:tcPr>
            <w:tcW w:w="4620" w:type="dxa"/>
            <w:tcBorders>
              <w:top w:val="nil"/>
              <w:left w:val="nil"/>
              <w:bottom w:val="single" w:sz="4" w:space="0" w:color="auto"/>
              <w:right w:val="single" w:sz="4" w:space="0" w:color="auto"/>
            </w:tcBorders>
            <w:shd w:val="clear" w:color="auto" w:fill="auto"/>
            <w:vAlign w:val="center"/>
            <w:hideMark/>
          </w:tcPr>
          <w:p w14:paraId="43C85308" w14:textId="77777777" w:rsidR="00454717" w:rsidRPr="00454717" w:rsidRDefault="00454717" w:rsidP="00D22441">
            <w:pPr>
              <w:jc w:val="lef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PROMESA S.A. ESP</w:t>
            </w:r>
          </w:p>
        </w:tc>
        <w:tc>
          <w:tcPr>
            <w:tcW w:w="1600" w:type="dxa"/>
            <w:tcBorders>
              <w:top w:val="nil"/>
              <w:left w:val="nil"/>
              <w:bottom w:val="single" w:sz="4" w:space="0" w:color="auto"/>
              <w:right w:val="single" w:sz="4" w:space="0" w:color="auto"/>
            </w:tcBorders>
            <w:shd w:val="clear" w:color="auto" w:fill="auto"/>
            <w:noWrap/>
            <w:vAlign w:val="center"/>
            <w:hideMark/>
          </w:tcPr>
          <w:p w14:paraId="77264474" w14:textId="77777777" w:rsidR="00454717" w:rsidRPr="00454717" w:rsidRDefault="00454717" w:rsidP="00D22441">
            <w:pPr>
              <w:jc w:val="lef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 xml:space="preserve">                372.720.330 </w:t>
            </w:r>
          </w:p>
        </w:tc>
        <w:tc>
          <w:tcPr>
            <w:tcW w:w="1600" w:type="dxa"/>
            <w:tcBorders>
              <w:top w:val="nil"/>
              <w:left w:val="nil"/>
              <w:bottom w:val="single" w:sz="4" w:space="0" w:color="auto"/>
              <w:right w:val="single" w:sz="4" w:space="0" w:color="auto"/>
            </w:tcBorders>
            <w:shd w:val="clear" w:color="auto" w:fill="auto"/>
            <w:noWrap/>
            <w:vAlign w:val="center"/>
            <w:hideMark/>
          </w:tcPr>
          <w:p w14:paraId="121CFB39" w14:textId="77777777" w:rsidR="00454717" w:rsidRPr="00454717" w:rsidRDefault="00454717" w:rsidP="00D22441">
            <w:pPr>
              <w:jc w:val="lef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 xml:space="preserve"> No reportó </w:t>
            </w:r>
          </w:p>
        </w:tc>
      </w:tr>
      <w:tr w:rsidR="00454717" w:rsidRPr="00454717" w14:paraId="04A8772E" w14:textId="77777777" w:rsidTr="00454717">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7C43336A" w14:textId="77777777" w:rsidR="00454717" w:rsidRPr="00454717" w:rsidRDefault="00454717" w:rsidP="00D22441">
            <w:pPr>
              <w:jc w:val="righ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5</w:t>
            </w:r>
          </w:p>
        </w:tc>
        <w:tc>
          <w:tcPr>
            <w:tcW w:w="480" w:type="dxa"/>
            <w:tcBorders>
              <w:top w:val="nil"/>
              <w:left w:val="nil"/>
              <w:bottom w:val="single" w:sz="4" w:space="0" w:color="auto"/>
              <w:right w:val="single" w:sz="4" w:space="0" w:color="auto"/>
            </w:tcBorders>
            <w:shd w:val="clear" w:color="auto" w:fill="auto"/>
            <w:noWrap/>
            <w:vAlign w:val="center"/>
            <w:hideMark/>
          </w:tcPr>
          <w:p w14:paraId="39186BCF" w14:textId="77777777" w:rsidR="00454717" w:rsidRPr="00454717" w:rsidRDefault="00454717" w:rsidP="00D22441">
            <w:pPr>
              <w:jc w:val="righ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20081</w:t>
            </w:r>
          </w:p>
        </w:tc>
        <w:tc>
          <w:tcPr>
            <w:tcW w:w="780" w:type="dxa"/>
            <w:tcBorders>
              <w:top w:val="nil"/>
              <w:left w:val="nil"/>
              <w:bottom w:val="single" w:sz="4" w:space="0" w:color="auto"/>
              <w:right w:val="single" w:sz="4" w:space="0" w:color="auto"/>
            </w:tcBorders>
            <w:shd w:val="clear" w:color="auto" w:fill="auto"/>
            <w:noWrap/>
            <w:vAlign w:val="center"/>
            <w:hideMark/>
          </w:tcPr>
          <w:p w14:paraId="78ECB93D" w14:textId="77777777" w:rsidR="00454717" w:rsidRPr="00454717" w:rsidRDefault="00454717" w:rsidP="00D22441">
            <w:pPr>
              <w:jc w:val="righ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840000929</w:t>
            </w:r>
          </w:p>
        </w:tc>
        <w:tc>
          <w:tcPr>
            <w:tcW w:w="4620" w:type="dxa"/>
            <w:tcBorders>
              <w:top w:val="nil"/>
              <w:left w:val="nil"/>
              <w:bottom w:val="single" w:sz="4" w:space="0" w:color="auto"/>
              <w:right w:val="single" w:sz="4" w:space="0" w:color="auto"/>
            </w:tcBorders>
            <w:shd w:val="clear" w:color="auto" w:fill="auto"/>
            <w:vAlign w:val="center"/>
            <w:hideMark/>
          </w:tcPr>
          <w:p w14:paraId="2C8B5F95" w14:textId="7F948C45" w:rsidR="00454717" w:rsidRPr="00454717" w:rsidRDefault="00454717" w:rsidP="00D22441">
            <w:pPr>
              <w:jc w:val="lef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EMPRESA DE ENERGIA DE MAGUI PAYAN S.A E.S.P</w:t>
            </w:r>
            <w:r w:rsidR="006F2D43">
              <w:rPr>
                <w:rFonts w:ascii="Arial Narrow" w:hAnsi="Arial Narrow" w:cs="Calibri"/>
                <w:color w:val="000000"/>
                <w:spacing w:val="0"/>
                <w:sz w:val="16"/>
                <w:szCs w:val="16"/>
                <w:lang w:eastAsia="es-CO"/>
              </w:rPr>
              <w:t>.</w:t>
            </w:r>
          </w:p>
        </w:tc>
        <w:tc>
          <w:tcPr>
            <w:tcW w:w="1600" w:type="dxa"/>
            <w:tcBorders>
              <w:top w:val="nil"/>
              <w:left w:val="nil"/>
              <w:bottom w:val="single" w:sz="4" w:space="0" w:color="auto"/>
              <w:right w:val="single" w:sz="4" w:space="0" w:color="auto"/>
            </w:tcBorders>
            <w:shd w:val="clear" w:color="auto" w:fill="auto"/>
            <w:noWrap/>
            <w:vAlign w:val="center"/>
            <w:hideMark/>
          </w:tcPr>
          <w:p w14:paraId="79DEABDF" w14:textId="77777777" w:rsidR="00454717" w:rsidRPr="00454717" w:rsidRDefault="00454717" w:rsidP="00D22441">
            <w:pPr>
              <w:jc w:val="lef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 xml:space="preserve">                518.831.696 </w:t>
            </w:r>
          </w:p>
        </w:tc>
        <w:tc>
          <w:tcPr>
            <w:tcW w:w="1600" w:type="dxa"/>
            <w:tcBorders>
              <w:top w:val="nil"/>
              <w:left w:val="nil"/>
              <w:bottom w:val="single" w:sz="4" w:space="0" w:color="auto"/>
              <w:right w:val="single" w:sz="4" w:space="0" w:color="auto"/>
            </w:tcBorders>
            <w:shd w:val="clear" w:color="auto" w:fill="auto"/>
            <w:noWrap/>
            <w:vAlign w:val="center"/>
            <w:hideMark/>
          </w:tcPr>
          <w:p w14:paraId="6E74748F" w14:textId="77777777" w:rsidR="00454717" w:rsidRPr="00454717" w:rsidRDefault="00454717" w:rsidP="00D22441">
            <w:pPr>
              <w:jc w:val="lef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 xml:space="preserve"> No reportó </w:t>
            </w:r>
          </w:p>
        </w:tc>
      </w:tr>
      <w:tr w:rsidR="00454717" w:rsidRPr="00454717" w14:paraId="006AA764" w14:textId="77777777" w:rsidTr="00454717">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4DF0E279" w14:textId="77777777" w:rsidR="00454717" w:rsidRPr="00454717" w:rsidRDefault="00454717" w:rsidP="00D22441">
            <w:pPr>
              <w:jc w:val="righ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6</w:t>
            </w:r>
          </w:p>
        </w:tc>
        <w:tc>
          <w:tcPr>
            <w:tcW w:w="480" w:type="dxa"/>
            <w:tcBorders>
              <w:top w:val="nil"/>
              <w:left w:val="nil"/>
              <w:bottom w:val="single" w:sz="4" w:space="0" w:color="auto"/>
              <w:right w:val="single" w:sz="4" w:space="0" w:color="auto"/>
            </w:tcBorders>
            <w:shd w:val="clear" w:color="auto" w:fill="auto"/>
            <w:noWrap/>
            <w:vAlign w:val="center"/>
            <w:hideMark/>
          </w:tcPr>
          <w:p w14:paraId="2D2D0FBA" w14:textId="77777777" w:rsidR="00454717" w:rsidRPr="00454717" w:rsidRDefault="00454717" w:rsidP="00D22441">
            <w:pPr>
              <w:jc w:val="righ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21597</w:t>
            </w:r>
          </w:p>
        </w:tc>
        <w:tc>
          <w:tcPr>
            <w:tcW w:w="780" w:type="dxa"/>
            <w:tcBorders>
              <w:top w:val="nil"/>
              <w:left w:val="nil"/>
              <w:bottom w:val="single" w:sz="4" w:space="0" w:color="auto"/>
              <w:right w:val="single" w:sz="4" w:space="0" w:color="auto"/>
            </w:tcBorders>
            <w:shd w:val="clear" w:color="auto" w:fill="auto"/>
            <w:noWrap/>
            <w:vAlign w:val="center"/>
            <w:hideMark/>
          </w:tcPr>
          <w:p w14:paraId="34C12F42" w14:textId="77777777" w:rsidR="00454717" w:rsidRPr="00454717" w:rsidRDefault="00454717" w:rsidP="00D22441">
            <w:pPr>
              <w:jc w:val="righ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900122435</w:t>
            </w:r>
          </w:p>
        </w:tc>
        <w:tc>
          <w:tcPr>
            <w:tcW w:w="4620" w:type="dxa"/>
            <w:tcBorders>
              <w:top w:val="nil"/>
              <w:left w:val="nil"/>
              <w:bottom w:val="single" w:sz="4" w:space="0" w:color="auto"/>
              <w:right w:val="single" w:sz="4" w:space="0" w:color="auto"/>
            </w:tcBorders>
            <w:shd w:val="clear" w:color="auto" w:fill="auto"/>
            <w:vAlign w:val="center"/>
            <w:hideMark/>
          </w:tcPr>
          <w:p w14:paraId="723EC4E6" w14:textId="77777777" w:rsidR="00454717" w:rsidRPr="00454717" w:rsidRDefault="00454717" w:rsidP="00D22441">
            <w:pPr>
              <w:jc w:val="lef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COOPERATIVA DE SERVICIOS PÚBLICOS DE LÓPEZ DE MICAY</w:t>
            </w:r>
          </w:p>
        </w:tc>
        <w:tc>
          <w:tcPr>
            <w:tcW w:w="1600" w:type="dxa"/>
            <w:tcBorders>
              <w:top w:val="nil"/>
              <w:left w:val="nil"/>
              <w:bottom w:val="single" w:sz="4" w:space="0" w:color="auto"/>
              <w:right w:val="single" w:sz="4" w:space="0" w:color="auto"/>
            </w:tcBorders>
            <w:shd w:val="clear" w:color="auto" w:fill="auto"/>
            <w:noWrap/>
            <w:vAlign w:val="center"/>
            <w:hideMark/>
          </w:tcPr>
          <w:p w14:paraId="6D14A828" w14:textId="77777777" w:rsidR="00454717" w:rsidRPr="00454717" w:rsidRDefault="00454717" w:rsidP="00D22441">
            <w:pPr>
              <w:jc w:val="lef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 xml:space="preserve">                393.216.686 </w:t>
            </w:r>
          </w:p>
        </w:tc>
        <w:tc>
          <w:tcPr>
            <w:tcW w:w="1600" w:type="dxa"/>
            <w:tcBorders>
              <w:top w:val="nil"/>
              <w:left w:val="nil"/>
              <w:bottom w:val="single" w:sz="4" w:space="0" w:color="auto"/>
              <w:right w:val="single" w:sz="4" w:space="0" w:color="auto"/>
            </w:tcBorders>
            <w:shd w:val="clear" w:color="auto" w:fill="auto"/>
            <w:noWrap/>
            <w:vAlign w:val="center"/>
            <w:hideMark/>
          </w:tcPr>
          <w:p w14:paraId="4C84096E" w14:textId="77777777" w:rsidR="00454717" w:rsidRPr="00454717" w:rsidRDefault="00454717" w:rsidP="00D22441">
            <w:pPr>
              <w:jc w:val="lef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 xml:space="preserve"> No reportó </w:t>
            </w:r>
          </w:p>
        </w:tc>
      </w:tr>
      <w:tr w:rsidR="00454717" w:rsidRPr="00454717" w14:paraId="5A956D46" w14:textId="77777777" w:rsidTr="00454717">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16A4666C" w14:textId="77777777" w:rsidR="00454717" w:rsidRPr="00454717" w:rsidRDefault="00454717" w:rsidP="00D22441">
            <w:pPr>
              <w:jc w:val="righ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7</w:t>
            </w:r>
          </w:p>
        </w:tc>
        <w:tc>
          <w:tcPr>
            <w:tcW w:w="480" w:type="dxa"/>
            <w:tcBorders>
              <w:top w:val="nil"/>
              <w:left w:val="nil"/>
              <w:bottom w:val="single" w:sz="4" w:space="0" w:color="auto"/>
              <w:right w:val="single" w:sz="4" w:space="0" w:color="auto"/>
            </w:tcBorders>
            <w:shd w:val="clear" w:color="auto" w:fill="auto"/>
            <w:noWrap/>
            <w:vAlign w:val="center"/>
            <w:hideMark/>
          </w:tcPr>
          <w:p w14:paraId="3BF9EE77" w14:textId="77777777" w:rsidR="00454717" w:rsidRPr="00454717" w:rsidRDefault="00454717" w:rsidP="00D22441">
            <w:pPr>
              <w:jc w:val="righ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22818</w:t>
            </w:r>
          </w:p>
        </w:tc>
        <w:tc>
          <w:tcPr>
            <w:tcW w:w="780" w:type="dxa"/>
            <w:tcBorders>
              <w:top w:val="nil"/>
              <w:left w:val="nil"/>
              <w:bottom w:val="single" w:sz="4" w:space="0" w:color="auto"/>
              <w:right w:val="single" w:sz="4" w:space="0" w:color="auto"/>
            </w:tcBorders>
            <w:shd w:val="clear" w:color="auto" w:fill="auto"/>
            <w:noWrap/>
            <w:vAlign w:val="center"/>
            <w:hideMark/>
          </w:tcPr>
          <w:p w14:paraId="7E3E172B" w14:textId="77777777" w:rsidR="00454717" w:rsidRPr="00454717" w:rsidRDefault="00454717" w:rsidP="00D22441">
            <w:pPr>
              <w:jc w:val="righ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900175830</w:t>
            </w:r>
          </w:p>
        </w:tc>
        <w:tc>
          <w:tcPr>
            <w:tcW w:w="4620" w:type="dxa"/>
            <w:tcBorders>
              <w:top w:val="nil"/>
              <w:left w:val="nil"/>
              <w:bottom w:val="single" w:sz="4" w:space="0" w:color="auto"/>
              <w:right w:val="single" w:sz="4" w:space="0" w:color="auto"/>
            </w:tcBorders>
            <w:shd w:val="clear" w:color="auto" w:fill="auto"/>
            <w:vAlign w:val="center"/>
            <w:hideMark/>
          </w:tcPr>
          <w:p w14:paraId="2F0BBD2A" w14:textId="77777777" w:rsidR="00454717" w:rsidRPr="00454717" w:rsidRDefault="00454717" w:rsidP="00D22441">
            <w:pPr>
              <w:jc w:val="lef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 xml:space="preserve">COMBUSTIBLES LÍQUIDOS DE COLOMBIA S.A. E.S.P. </w:t>
            </w:r>
          </w:p>
        </w:tc>
        <w:tc>
          <w:tcPr>
            <w:tcW w:w="1600" w:type="dxa"/>
            <w:tcBorders>
              <w:top w:val="nil"/>
              <w:left w:val="nil"/>
              <w:bottom w:val="single" w:sz="4" w:space="0" w:color="auto"/>
              <w:right w:val="single" w:sz="4" w:space="0" w:color="auto"/>
            </w:tcBorders>
            <w:shd w:val="clear" w:color="auto" w:fill="auto"/>
            <w:noWrap/>
            <w:vAlign w:val="center"/>
            <w:hideMark/>
          </w:tcPr>
          <w:p w14:paraId="7064C780" w14:textId="77777777" w:rsidR="00454717" w:rsidRPr="00454717" w:rsidRDefault="00454717" w:rsidP="00D22441">
            <w:pPr>
              <w:jc w:val="lef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 xml:space="preserve">                409.740.058 </w:t>
            </w:r>
          </w:p>
        </w:tc>
        <w:tc>
          <w:tcPr>
            <w:tcW w:w="1600" w:type="dxa"/>
            <w:tcBorders>
              <w:top w:val="nil"/>
              <w:left w:val="nil"/>
              <w:bottom w:val="single" w:sz="4" w:space="0" w:color="auto"/>
              <w:right w:val="single" w:sz="4" w:space="0" w:color="auto"/>
            </w:tcBorders>
            <w:shd w:val="clear" w:color="auto" w:fill="auto"/>
            <w:noWrap/>
            <w:vAlign w:val="center"/>
            <w:hideMark/>
          </w:tcPr>
          <w:p w14:paraId="65467222" w14:textId="77777777" w:rsidR="00454717" w:rsidRPr="00454717" w:rsidRDefault="00454717" w:rsidP="00D22441">
            <w:pPr>
              <w:jc w:val="lef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 xml:space="preserve"> No reportó </w:t>
            </w:r>
          </w:p>
        </w:tc>
      </w:tr>
      <w:tr w:rsidR="00454717" w:rsidRPr="00454717" w14:paraId="2B19DEF8" w14:textId="77777777" w:rsidTr="00454717">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318DF7FD" w14:textId="77777777" w:rsidR="00454717" w:rsidRPr="00454717" w:rsidRDefault="00454717" w:rsidP="00D22441">
            <w:pPr>
              <w:jc w:val="righ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8</w:t>
            </w:r>
          </w:p>
        </w:tc>
        <w:tc>
          <w:tcPr>
            <w:tcW w:w="480" w:type="dxa"/>
            <w:tcBorders>
              <w:top w:val="nil"/>
              <w:left w:val="nil"/>
              <w:bottom w:val="single" w:sz="4" w:space="0" w:color="auto"/>
              <w:right w:val="single" w:sz="4" w:space="0" w:color="auto"/>
            </w:tcBorders>
            <w:shd w:val="clear" w:color="auto" w:fill="auto"/>
            <w:noWrap/>
            <w:vAlign w:val="center"/>
            <w:hideMark/>
          </w:tcPr>
          <w:p w14:paraId="2E6F6B6B" w14:textId="77777777" w:rsidR="00454717" w:rsidRPr="00454717" w:rsidRDefault="00454717" w:rsidP="00D22441">
            <w:pPr>
              <w:jc w:val="righ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23330</w:t>
            </w:r>
          </w:p>
        </w:tc>
        <w:tc>
          <w:tcPr>
            <w:tcW w:w="780" w:type="dxa"/>
            <w:tcBorders>
              <w:top w:val="nil"/>
              <w:left w:val="nil"/>
              <w:bottom w:val="single" w:sz="4" w:space="0" w:color="auto"/>
              <w:right w:val="single" w:sz="4" w:space="0" w:color="auto"/>
            </w:tcBorders>
            <w:shd w:val="clear" w:color="auto" w:fill="auto"/>
            <w:noWrap/>
            <w:vAlign w:val="center"/>
            <w:hideMark/>
          </w:tcPr>
          <w:p w14:paraId="0378BECB" w14:textId="77777777" w:rsidR="00454717" w:rsidRPr="00454717" w:rsidRDefault="00454717" w:rsidP="00D22441">
            <w:pPr>
              <w:jc w:val="righ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900341483</w:t>
            </w:r>
          </w:p>
        </w:tc>
        <w:tc>
          <w:tcPr>
            <w:tcW w:w="4620" w:type="dxa"/>
            <w:tcBorders>
              <w:top w:val="nil"/>
              <w:left w:val="nil"/>
              <w:bottom w:val="single" w:sz="4" w:space="0" w:color="auto"/>
              <w:right w:val="single" w:sz="4" w:space="0" w:color="auto"/>
            </w:tcBorders>
            <w:shd w:val="clear" w:color="auto" w:fill="auto"/>
            <w:vAlign w:val="center"/>
            <w:hideMark/>
          </w:tcPr>
          <w:p w14:paraId="4A3C19D5" w14:textId="00D62BB5" w:rsidR="00454717" w:rsidRPr="00454717" w:rsidRDefault="00454717" w:rsidP="00D22441">
            <w:pPr>
              <w:jc w:val="lef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PROFESIONALES EN ENERGÍA S.A E.S.P</w:t>
            </w:r>
            <w:r w:rsidR="006F2D43">
              <w:rPr>
                <w:rFonts w:ascii="Arial Narrow" w:hAnsi="Arial Narrow" w:cs="Calibri"/>
                <w:color w:val="000000"/>
                <w:spacing w:val="0"/>
                <w:sz w:val="16"/>
                <w:szCs w:val="16"/>
                <w:lang w:eastAsia="es-CO"/>
              </w:rPr>
              <w:t>.</w:t>
            </w:r>
          </w:p>
        </w:tc>
        <w:tc>
          <w:tcPr>
            <w:tcW w:w="1600" w:type="dxa"/>
            <w:tcBorders>
              <w:top w:val="nil"/>
              <w:left w:val="nil"/>
              <w:bottom w:val="single" w:sz="4" w:space="0" w:color="auto"/>
              <w:right w:val="single" w:sz="4" w:space="0" w:color="auto"/>
            </w:tcBorders>
            <w:shd w:val="clear" w:color="auto" w:fill="auto"/>
            <w:noWrap/>
            <w:vAlign w:val="center"/>
            <w:hideMark/>
          </w:tcPr>
          <w:p w14:paraId="7EB7E108" w14:textId="77777777" w:rsidR="00454717" w:rsidRPr="00454717" w:rsidRDefault="00454717" w:rsidP="00D22441">
            <w:pPr>
              <w:jc w:val="lef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 xml:space="preserve">             2.119.132.620 </w:t>
            </w:r>
          </w:p>
        </w:tc>
        <w:tc>
          <w:tcPr>
            <w:tcW w:w="1600" w:type="dxa"/>
            <w:tcBorders>
              <w:top w:val="nil"/>
              <w:left w:val="nil"/>
              <w:bottom w:val="single" w:sz="4" w:space="0" w:color="auto"/>
              <w:right w:val="single" w:sz="4" w:space="0" w:color="auto"/>
            </w:tcBorders>
            <w:shd w:val="clear" w:color="auto" w:fill="auto"/>
            <w:noWrap/>
            <w:vAlign w:val="center"/>
            <w:hideMark/>
          </w:tcPr>
          <w:p w14:paraId="6F40FC3F" w14:textId="77777777" w:rsidR="00454717" w:rsidRPr="00454717" w:rsidRDefault="00454717" w:rsidP="00D22441">
            <w:pPr>
              <w:jc w:val="lef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 xml:space="preserve"> No reportó </w:t>
            </w:r>
          </w:p>
        </w:tc>
      </w:tr>
      <w:tr w:rsidR="00454717" w:rsidRPr="00454717" w14:paraId="426F8E90" w14:textId="77777777" w:rsidTr="006F2D43">
        <w:trPr>
          <w:trHeight w:val="356"/>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1A8BA118" w14:textId="77777777" w:rsidR="00454717" w:rsidRPr="00454717" w:rsidRDefault="00454717" w:rsidP="00D22441">
            <w:pPr>
              <w:jc w:val="righ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9</w:t>
            </w:r>
          </w:p>
        </w:tc>
        <w:tc>
          <w:tcPr>
            <w:tcW w:w="480" w:type="dxa"/>
            <w:tcBorders>
              <w:top w:val="nil"/>
              <w:left w:val="nil"/>
              <w:bottom w:val="single" w:sz="4" w:space="0" w:color="auto"/>
              <w:right w:val="single" w:sz="4" w:space="0" w:color="auto"/>
            </w:tcBorders>
            <w:shd w:val="clear" w:color="auto" w:fill="auto"/>
            <w:noWrap/>
            <w:vAlign w:val="center"/>
            <w:hideMark/>
          </w:tcPr>
          <w:p w14:paraId="79AFD6C1" w14:textId="77777777" w:rsidR="00454717" w:rsidRPr="00454717" w:rsidRDefault="00454717" w:rsidP="00D22441">
            <w:pPr>
              <w:jc w:val="righ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25965</w:t>
            </w:r>
          </w:p>
        </w:tc>
        <w:tc>
          <w:tcPr>
            <w:tcW w:w="780" w:type="dxa"/>
            <w:tcBorders>
              <w:top w:val="nil"/>
              <w:left w:val="nil"/>
              <w:bottom w:val="single" w:sz="4" w:space="0" w:color="auto"/>
              <w:right w:val="single" w:sz="4" w:space="0" w:color="auto"/>
            </w:tcBorders>
            <w:shd w:val="clear" w:color="auto" w:fill="auto"/>
            <w:noWrap/>
            <w:vAlign w:val="center"/>
            <w:hideMark/>
          </w:tcPr>
          <w:p w14:paraId="69CE9D6D" w14:textId="77777777" w:rsidR="00454717" w:rsidRPr="00454717" w:rsidRDefault="00454717" w:rsidP="00D22441">
            <w:pPr>
              <w:jc w:val="righ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900470256</w:t>
            </w:r>
          </w:p>
        </w:tc>
        <w:tc>
          <w:tcPr>
            <w:tcW w:w="4620" w:type="dxa"/>
            <w:tcBorders>
              <w:top w:val="nil"/>
              <w:left w:val="nil"/>
              <w:bottom w:val="single" w:sz="4" w:space="0" w:color="auto"/>
              <w:right w:val="single" w:sz="4" w:space="0" w:color="auto"/>
            </w:tcBorders>
            <w:shd w:val="clear" w:color="auto" w:fill="auto"/>
            <w:vAlign w:val="center"/>
            <w:hideMark/>
          </w:tcPr>
          <w:p w14:paraId="367A4D6B" w14:textId="77777777" w:rsidR="00454717" w:rsidRPr="00454717" w:rsidRDefault="00454717" w:rsidP="00D22441">
            <w:pPr>
              <w:jc w:val="lef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 xml:space="preserve">EMPRESA ASOCIATIVA DE TRABAJO ELECTROSOLEDAD DE ISCUANDE </w:t>
            </w:r>
          </w:p>
        </w:tc>
        <w:tc>
          <w:tcPr>
            <w:tcW w:w="1600" w:type="dxa"/>
            <w:tcBorders>
              <w:top w:val="nil"/>
              <w:left w:val="nil"/>
              <w:bottom w:val="single" w:sz="4" w:space="0" w:color="auto"/>
              <w:right w:val="single" w:sz="4" w:space="0" w:color="auto"/>
            </w:tcBorders>
            <w:shd w:val="clear" w:color="auto" w:fill="auto"/>
            <w:noWrap/>
            <w:vAlign w:val="center"/>
            <w:hideMark/>
          </w:tcPr>
          <w:p w14:paraId="0CF8CE27" w14:textId="77777777" w:rsidR="00454717" w:rsidRPr="00454717" w:rsidRDefault="00454717" w:rsidP="00D22441">
            <w:pPr>
              <w:jc w:val="lef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 xml:space="preserve">                195.462.946 </w:t>
            </w:r>
          </w:p>
        </w:tc>
        <w:tc>
          <w:tcPr>
            <w:tcW w:w="1600" w:type="dxa"/>
            <w:tcBorders>
              <w:top w:val="nil"/>
              <w:left w:val="nil"/>
              <w:bottom w:val="single" w:sz="4" w:space="0" w:color="auto"/>
              <w:right w:val="single" w:sz="4" w:space="0" w:color="auto"/>
            </w:tcBorders>
            <w:shd w:val="clear" w:color="auto" w:fill="auto"/>
            <w:noWrap/>
            <w:vAlign w:val="center"/>
            <w:hideMark/>
          </w:tcPr>
          <w:p w14:paraId="40095E33" w14:textId="77777777" w:rsidR="00454717" w:rsidRPr="00454717" w:rsidRDefault="00454717" w:rsidP="00D22441">
            <w:pPr>
              <w:jc w:val="lef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 xml:space="preserve"> No reportó </w:t>
            </w:r>
          </w:p>
        </w:tc>
      </w:tr>
      <w:tr w:rsidR="00454717" w:rsidRPr="00454717" w14:paraId="2B001A7F" w14:textId="77777777" w:rsidTr="00454717">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4CBD0174" w14:textId="77777777" w:rsidR="00454717" w:rsidRPr="00454717" w:rsidRDefault="00454717" w:rsidP="00D22441">
            <w:pPr>
              <w:jc w:val="righ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10</w:t>
            </w:r>
          </w:p>
        </w:tc>
        <w:tc>
          <w:tcPr>
            <w:tcW w:w="480" w:type="dxa"/>
            <w:tcBorders>
              <w:top w:val="nil"/>
              <w:left w:val="nil"/>
              <w:bottom w:val="single" w:sz="4" w:space="0" w:color="auto"/>
              <w:right w:val="single" w:sz="4" w:space="0" w:color="auto"/>
            </w:tcBorders>
            <w:shd w:val="clear" w:color="auto" w:fill="auto"/>
            <w:noWrap/>
            <w:vAlign w:val="center"/>
            <w:hideMark/>
          </w:tcPr>
          <w:p w14:paraId="09EDA280" w14:textId="77777777" w:rsidR="00454717" w:rsidRPr="00454717" w:rsidRDefault="00454717" w:rsidP="00D22441">
            <w:pPr>
              <w:jc w:val="righ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25984</w:t>
            </w:r>
          </w:p>
        </w:tc>
        <w:tc>
          <w:tcPr>
            <w:tcW w:w="780" w:type="dxa"/>
            <w:tcBorders>
              <w:top w:val="nil"/>
              <w:left w:val="nil"/>
              <w:bottom w:val="single" w:sz="4" w:space="0" w:color="auto"/>
              <w:right w:val="single" w:sz="4" w:space="0" w:color="auto"/>
            </w:tcBorders>
            <w:shd w:val="clear" w:color="auto" w:fill="auto"/>
            <w:noWrap/>
            <w:vAlign w:val="center"/>
            <w:hideMark/>
          </w:tcPr>
          <w:p w14:paraId="7C7FB66D" w14:textId="77777777" w:rsidR="00454717" w:rsidRPr="00454717" w:rsidRDefault="00454717" w:rsidP="00D22441">
            <w:pPr>
              <w:jc w:val="righ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900428468</w:t>
            </w:r>
          </w:p>
        </w:tc>
        <w:tc>
          <w:tcPr>
            <w:tcW w:w="4620" w:type="dxa"/>
            <w:tcBorders>
              <w:top w:val="nil"/>
              <w:left w:val="nil"/>
              <w:bottom w:val="single" w:sz="4" w:space="0" w:color="auto"/>
              <w:right w:val="single" w:sz="4" w:space="0" w:color="auto"/>
            </w:tcBorders>
            <w:shd w:val="clear" w:color="auto" w:fill="auto"/>
            <w:vAlign w:val="center"/>
            <w:hideMark/>
          </w:tcPr>
          <w:p w14:paraId="4A868110" w14:textId="77777777" w:rsidR="00454717" w:rsidRPr="00454717" w:rsidRDefault="00454717" w:rsidP="00D22441">
            <w:pPr>
              <w:jc w:val="lef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ITALCOL ENERGIA S.A. ESP.</w:t>
            </w:r>
          </w:p>
        </w:tc>
        <w:tc>
          <w:tcPr>
            <w:tcW w:w="1600" w:type="dxa"/>
            <w:tcBorders>
              <w:top w:val="nil"/>
              <w:left w:val="nil"/>
              <w:bottom w:val="single" w:sz="4" w:space="0" w:color="auto"/>
              <w:right w:val="single" w:sz="4" w:space="0" w:color="auto"/>
            </w:tcBorders>
            <w:shd w:val="clear" w:color="auto" w:fill="auto"/>
            <w:noWrap/>
            <w:vAlign w:val="center"/>
            <w:hideMark/>
          </w:tcPr>
          <w:p w14:paraId="25121A41" w14:textId="77777777" w:rsidR="00454717" w:rsidRPr="00454717" w:rsidRDefault="00454717" w:rsidP="00D22441">
            <w:pPr>
              <w:jc w:val="lef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 xml:space="preserve">             2.355.580.668 </w:t>
            </w:r>
          </w:p>
        </w:tc>
        <w:tc>
          <w:tcPr>
            <w:tcW w:w="1600" w:type="dxa"/>
            <w:tcBorders>
              <w:top w:val="nil"/>
              <w:left w:val="nil"/>
              <w:bottom w:val="single" w:sz="4" w:space="0" w:color="auto"/>
              <w:right w:val="single" w:sz="4" w:space="0" w:color="auto"/>
            </w:tcBorders>
            <w:shd w:val="clear" w:color="auto" w:fill="auto"/>
            <w:noWrap/>
            <w:vAlign w:val="center"/>
            <w:hideMark/>
          </w:tcPr>
          <w:p w14:paraId="4286087A" w14:textId="77777777" w:rsidR="00454717" w:rsidRPr="00454717" w:rsidRDefault="00454717" w:rsidP="00D22441">
            <w:pPr>
              <w:jc w:val="lef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 xml:space="preserve"> No reportó </w:t>
            </w:r>
          </w:p>
        </w:tc>
      </w:tr>
      <w:tr w:rsidR="00454717" w:rsidRPr="00454717" w14:paraId="74ECEB01" w14:textId="77777777" w:rsidTr="00454717">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3E053C60" w14:textId="77777777" w:rsidR="00454717" w:rsidRPr="00454717" w:rsidRDefault="00454717" w:rsidP="00D22441">
            <w:pPr>
              <w:jc w:val="righ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11</w:t>
            </w:r>
          </w:p>
        </w:tc>
        <w:tc>
          <w:tcPr>
            <w:tcW w:w="480" w:type="dxa"/>
            <w:tcBorders>
              <w:top w:val="nil"/>
              <w:left w:val="nil"/>
              <w:bottom w:val="single" w:sz="4" w:space="0" w:color="auto"/>
              <w:right w:val="single" w:sz="4" w:space="0" w:color="auto"/>
            </w:tcBorders>
            <w:shd w:val="clear" w:color="auto" w:fill="auto"/>
            <w:noWrap/>
            <w:vAlign w:val="center"/>
            <w:hideMark/>
          </w:tcPr>
          <w:p w14:paraId="69E9F83A" w14:textId="77777777" w:rsidR="00454717" w:rsidRPr="00454717" w:rsidRDefault="00454717" w:rsidP="00D22441">
            <w:pPr>
              <w:jc w:val="righ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26953</w:t>
            </w:r>
          </w:p>
        </w:tc>
        <w:tc>
          <w:tcPr>
            <w:tcW w:w="780" w:type="dxa"/>
            <w:tcBorders>
              <w:top w:val="nil"/>
              <w:left w:val="nil"/>
              <w:bottom w:val="single" w:sz="4" w:space="0" w:color="auto"/>
              <w:right w:val="single" w:sz="4" w:space="0" w:color="auto"/>
            </w:tcBorders>
            <w:shd w:val="clear" w:color="auto" w:fill="auto"/>
            <w:noWrap/>
            <w:vAlign w:val="center"/>
            <w:hideMark/>
          </w:tcPr>
          <w:p w14:paraId="4FE4C29A" w14:textId="77777777" w:rsidR="00454717" w:rsidRPr="00454717" w:rsidRDefault="00454717" w:rsidP="00D22441">
            <w:pPr>
              <w:jc w:val="righ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900181508</w:t>
            </w:r>
          </w:p>
        </w:tc>
        <w:tc>
          <w:tcPr>
            <w:tcW w:w="4620" w:type="dxa"/>
            <w:tcBorders>
              <w:top w:val="nil"/>
              <w:left w:val="nil"/>
              <w:bottom w:val="single" w:sz="4" w:space="0" w:color="auto"/>
              <w:right w:val="single" w:sz="4" w:space="0" w:color="auto"/>
            </w:tcBorders>
            <w:shd w:val="clear" w:color="auto" w:fill="auto"/>
            <w:vAlign w:val="center"/>
            <w:hideMark/>
          </w:tcPr>
          <w:p w14:paraId="160A7F9D" w14:textId="3995B7D6" w:rsidR="00454717" w:rsidRPr="00454717" w:rsidRDefault="00454717" w:rsidP="00D22441">
            <w:pPr>
              <w:jc w:val="lef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BIOGAS DONA JUANA S.A.S</w:t>
            </w:r>
            <w:r w:rsidR="006F2D43">
              <w:rPr>
                <w:rFonts w:ascii="Arial Narrow" w:hAnsi="Arial Narrow" w:cs="Calibri"/>
                <w:color w:val="000000"/>
                <w:spacing w:val="0"/>
                <w:sz w:val="16"/>
                <w:szCs w:val="16"/>
                <w:lang w:eastAsia="es-CO"/>
              </w:rPr>
              <w:t>.</w:t>
            </w:r>
            <w:r w:rsidRPr="00454717">
              <w:rPr>
                <w:rFonts w:ascii="Arial Narrow" w:hAnsi="Arial Narrow" w:cs="Calibri"/>
                <w:color w:val="000000"/>
                <w:spacing w:val="0"/>
                <w:sz w:val="16"/>
                <w:szCs w:val="16"/>
                <w:lang w:eastAsia="es-CO"/>
              </w:rPr>
              <w:t xml:space="preserve"> E.S.P.</w:t>
            </w:r>
          </w:p>
        </w:tc>
        <w:tc>
          <w:tcPr>
            <w:tcW w:w="1600" w:type="dxa"/>
            <w:tcBorders>
              <w:top w:val="nil"/>
              <w:left w:val="nil"/>
              <w:bottom w:val="single" w:sz="4" w:space="0" w:color="auto"/>
              <w:right w:val="single" w:sz="4" w:space="0" w:color="auto"/>
            </w:tcBorders>
            <w:shd w:val="clear" w:color="auto" w:fill="auto"/>
            <w:noWrap/>
            <w:vAlign w:val="center"/>
            <w:hideMark/>
          </w:tcPr>
          <w:p w14:paraId="2BCE7291" w14:textId="77777777" w:rsidR="00454717" w:rsidRPr="00454717" w:rsidRDefault="00454717" w:rsidP="00D22441">
            <w:pPr>
              <w:jc w:val="lef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 xml:space="preserve">                 39.616.177 </w:t>
            </w:r>
          </w:p>
        </w:tc>
        <w:tc>
          <w:tcPr>
            <w:tcW w:w="1600" w:type="dxa"/>
            <w:tcBorders>
              <w:top w:val="nil"/>
              <w:left w:val="nil"/>
              <w:bottom w:val="single" w:sz="4" w:space="0" w:color="auto"/>
              <w:right w:val="single" w:sz="4" w:space="0" w:color="auto"/>
            </w:tcBorders>
            <w:shd w:val="clear" w:color="auto" w:fill="auto"/>
            <w:noWrap/>
            <w:vAlign w:val="center"/>
            <w:hideMark/>
          </w:tcPr>
          <w:p w14:paraId="2A0DF7EC" w14:textId="77777777" w:rsidR="00454717" w:rsidRPr="00454717" w:rsidRDefault="00454717" w:rsidP="00D22441">
            <w:pPr>
              <w:jc w:val="lef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 xml:space="preserve"> No reportó </w:t>
            </w:r>
          </w:p>
        </w:tc>
      </w:tr>
      <w:tr w:rsidR="00454717" w:rsidRPr="00454717" w14:paraId="0FF27A24" w14:textId="77777777" w:rsidTr="00454717">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40007023" w14:textId="77777777" w:rsidR="00454717" w:rsidRPr="00454717" w:rsidRDefault="00454717" w:rsidP="00D22441">
            <w:pPr>
              <w:jc w:val="righ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12</w:t>
            </w:r>
          </w:p>
        </w:tc>
        <w:tc>
          <w:tcPr>
            <w:tcW w:w="480" w:type="dxa"/>
            <w:tcBorders>
              <w:top w:val="nil"/>
              <w:left w:val="nil"/>
              <w:bottom w:val="single" w:sz="4" w:space="0" w:color="auto"/>
              <w:right w:val="single" w:sz="4" w:space="0" w:color="auto"/>
            </w:tcBorders>
            <w:shd w:val="clear" w:color="auto" w:fill="auto"/>
            <w:noWrap/>
            <w:vAlign w:val="center"/>
            <w:hideMark/>
          </w:tcPr>
          <w:p w14:paraId="6BDAC268" w14:textId="77777777" w:rsidR="00454717" w:rsidRPr="00454717" w:rsidRDefault="00454717" w:rsidP="00D22441">
            <w:pPr>
              <w:jc w:val="righ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27691</w:t>
            </w:r>
          </w:p>
        </w:tc>
        <w:tc>
          <w:tcPr>
            <w:tcW w:w="780" w:type="dxa"/>
            <w:tcBorders>
              <w:top w:val="nil"/>
              <w:left w:val="nil"/>
              <w:bottom w:val="single" w:sz="4" w:space="0" w:color="auto"/>
              <w:right w:val="single" w:sz="4" w:space="0" w:color="auto"/>
            </w:tcBorders>
            <w:shd w:val="clear" w:color="auto" w:fill="auto"/>
            <w:noWrap/>
            <w:vAlign w:val="center"/>
            <w:hideMark/>
          </w:tcPr>
          <w:p w14:paraId="42610BDD" w14:textId="77777777" w:rsidR="00454717" w:rsidRPr="00454717" w:rsidRDefault="00454717" w:rsidP="00D22441">
            <w:pPr>
              <w:jc w:val="righ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900677732</w:t>
            </w:r>
          </w:p>
        </w:tc>
        <w:tc>
          <w:tcPr>
            <w:tcW w:w="4620" w:type="dxa"/>
            <w:tcBorders>
              <w:top w:val="nil"/>
              <w:left w:val="nil"/>
              <w:bottom w:val="single" w:sz="4" w:space="0" w:color="auto"/>
              <w:right w:val="single" w:sz="4" w:space="0" w:color="auto"/>
            </w:tcBorders>
            <w:shd w:val="clear" w:color="auto" w:fill="auto"/>
            <w:vAlign w:val="center"/>
            <w:hideMark/>
          </w:tcPr>
          <w:p w14:paraId="2010EF55" w14:textId="77777777" w:rsidR="00454717" w:rsidRPr="00454717" w:rsidRDefault="00454717" w:rsidP="00D22441">
            <w:pPr>
              <w:jc w:val="lef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QI ENERGY SAS ESP</w:t>
            </w:r>
          </w:p>
        </w:tc>
        <w:tc>
          <w:tcPr>
            <w:tcW w:w="1600" w:type="dxa"/>
            <w:tcBorders>
              <w:top w:val="nil"/>
              <w:left w:val="nil"/>
              <w:bottom w:val="single" w:sz="4" w:space="0" w:color="auto"/>
              <w:right w:val="single" w:sz="4" w:space="0" w:color="auto"/>
            </w:tcBorders>
            <w:shd w:val="clear" w:color="auto" w:fill="auto"/>
            <w:noWrap/>
            <w:vAlign w:val="center"/>
            <w:hideMark/>
          </w:tcPr>
          <w:p w14:paraId="44BA65BF" w14:textId="77777777" w:rsidR="00454717" w:rsidRPr="00454717" w:rsidRDefault="00454717" w:rsidP="00D22441">
            <w:pPr>
              <w:jc w:val="lef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 xml:space="preserve">             1.689.577.000 </w:t>
            </w:r>
          </w:p>
        </w:tc>
        <w:tc>
          <w:tcPr>
            <w:tcW w:w="1600" w:type="dxa"/>
            <w:tcBorders>
              <w:top w:val="nil"/>
              <w:left w:val="nil"/>
              <w:bottom w:val="single" w:sz="4" w:space="0" w:color="auto"/>
              <w:right w:val="single" w:sz="4" w:space="0" w:color="auto"/>
            </w:tcBorders>
            <w:shd w:val="clear" w:color="auto" w:fill="auto"/>
            <w:noWrap/>
            <w:vAlign w:val="center"/>
            <w:hideMark/>
          </w:tcPr>
          <w:p w14:paraId="3DDE305F" w14:textId="77777777" w:rsidR="00454717" w:rsidRPr="00454717" w:rsidRDefault="00454717" w:rsidP="00D22441">
            <w:pPr>
              <w:jc w:val="lef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 xml:space="preserve"> No reportó </w:t>
            </w:r>
          </w:p>
        </w:tc>
      </w:tr>
      <w:tr w:rsidR="00454717" w:rsidRPr="00454717" w14:paraId="4C4FDE53" w14:textId="77777777" w:rsidTr="00454717">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64447172" w14:textId="77777777" w:rsidR="00454717" w:rsidRPr="00454717" w:rsidRDefault="00454717" w:rsidP="00D22441">
            <w:pPr>
              <w:jc w:val="righ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13</w:t>
            </w:r>
          </w:p>
        </w:tc>
        <w:tc>
          <w:tcPr>
            <w:tcW w:w="480" w:type="dxa"/>
            <w:tcBorders>
              <w:top w:val="nil"/>
              <w:left w:val="nil"/>
              <w:bottom w:val="single" w:sz="4" w:space="0" w:color="auto"/>
              <w:right w:val="single" w:sz="4" w:space="0" w:color="auto"/>
            </w:tcBorders>
            <w:shd w:val="clear" w:color="auto" w:fill="auto"/>
            <w:noWrap/>
            <w:vAlign w:val="center"/>
            <w:hideMark/>
          </w:tcPr>
          <w:p w14:paraId="30C10F5C" w14:textId="77777777" w:rsidR="00454717" w:rsidRPr="00454717" w:rsidRDefault="00454717" w:rsidP="00D22441">
            <w:pPr>
              <w:jc w:val="righ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31513</w:t>
            </w:r>
          </w:p>
        </w:tc>
        <w:tc>
          <w:tcPr>
            <w:tcW w:w="780" w:type="dxa"/>
            <w:tcBorders>
              <w:top w:val="nil"/>
              <w:left w:val="nil"/>
              <w:bottom w:val="single" w:sz="4" w:space="0" w:color="auto"/>
              <w:right w:val="single" w:sz="4" w:space="0" w:color="auto"/>
            </w:tcBorders>
            <w:shd w:val="clear" w:color="auto" w:fill="auto"/>
            <w:noWrap/>
            <w:vAlign w:val="center"/>
            <w:hideMark/>
          </w:tcPr>
          <w:p w14:paraId="79771A4E" w14:textId="77777777" w:rsidR="00454717" w:rsidRPr="00454717" w:rsidRDefault="00454717" w:rsidP="00D22441">
            <w:pPr>
              <w:jc w:val="righ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900718988</w:t>
            </w:r>
          </w:p>
        </w:tc>
        <w:tc>
          <w:tcPr>
            <w:tcW w:w="4620" w:type="dxa"/>
            <w:tcBorders>
              <w:top w:val="nil"/>
              <w:left w:val="nil"/>
              <w:bottom w:val="single" w:sz="4" w:space="0" w:color="auto"/>
              <w:right w:val="single" w:sz="4" w:space="0" w:color="auto"/>
            </w:tcBorders>
            <w:shd w:val="clear" w:color="auto" w:fill="auto"/>
            <w:vAlign w:val="center"/>
            <w:hideMark/>
          </w:tcPr>
          <w:p w14:paraId="69391307" w14:textId="77777777" w:rsidR="00454717" w:rsidRPr="00454717" w:rsidRDefault="00454717" w:rsidP="00D22441">
            <w:pPr>
              <w:jc w:val="lef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CENTAURO GAS SA ESP</w:t>
            </w:r>
          </w:p>
        </w:tc>
        <w:tc>
          <w:tcPr>
            <w:tcW w:w="1600" w:type="dxa"/>
            <w:tcBorders>
              <w:top w:val="nil"/>
              <w:left w:val="nil"/>
              <w:bottom w:val="single" w:sz="4" w:space="0" w:color="auto"/>
              <w:right w:val="single" w:sz="4" w:space="0" w:color="auto"/>
            </w:tcBorders>
            <w:shd w:val="clear" w:color="auto" w:fill="auto"/>
            <w:noWrap/>
            <w:vAlign w:val="center"/>
            <w:hideMark/>
          </w:tcPr>
          <w:p w14:paraId="4D9BD493" w14:textId="77777777" w:rsidR="00454717" w:rsidRPr="00454717" w:rsidRDefault="00454717" w:rsidP="00D22441">
            <w:pPr>
              <w:jc w:val="lef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 xml:space="preserve">                 52.634.305 </w:t>
            </w:r>
          </w:p>
        </w:tc>
        <w:tc>
          <w:tcPr>
            <w:tcW w:w="1600" w:type="dxa"/>
            <w:tcBorders>
              <w:top w:val="nil"/>
              <w:left w:val="nil"/>
              <w:bottom w:val="single" w:sz="4" w:space="0" w:color="auto"/>
              <w:right w:val="single" w:sz="4" w:space="0" w:color="auto"/>
            </w:tcBorders>
            <w:shd w:val="clear" w:color="auto" w:fill="auto"/>
            <w:noWrap/>
            <w:vAlign w:val="center"/>
            <w:hideMark/>
          </w:tcPr>
          <w:p w14:paraId="6E36EDDB" w14:textId="77777777" w:rsidR="00454717" w:rsidRPr="00454717" w:rsidRDefault="00454717" w:rsidP="00D22441">
            <w:pPr>
              <w:jc w:val="lef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 xml:space="preserve"> No reportó </w:t>
            </w:r>
          </w:p>
        </w:tc>
      </w:tr>
      <w:tr w:rsidR="00454717" w:rsidRPr="00454717" w14:paraId="315B3B53" w14:textId="77777777" w:rsidTr="00454717">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2F10E20E" w14:textId="77777777" w:rsidR="00454717" w:rsidRPr="00454717" w:rsidRDefault="00454717" w:rsidP="00D22441">
            <w:pPr>
              <w:jc w:val="righ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14</w:t>
            </w:r>
          </w:p>
        </w:tc>
        <w:tc>
          <w:tcPr>
            <w:tcW w:w="480" w:type="dxa"/>
            <w:tcBorders>
              <w:top w:val="nil"/>
              <w:left w:val="nil"/>
              <w:bottom w:val="single" w:sz="4" w:space="0" w:color="auto"/>
              <w:right w:val="single" w:sz="4" w:space="0" w:color="auto"/>
            </w:tcBorders>
            <w:shd w:val="clear" w:color="auto" w:fill="auto"/>
            <w:noWrap/>
            <w:vAlign w:val="center"/>
            <w:hideMark/>
          </w:tcPr>
          <w:p w14:paraId="35BD0D00" w14:textId="77777777" w:rsidR="00454717" w:rsidRPr="00454717" w:rsidRDefault="00454717" w:rsidP="00D22441">
            <w:pPr>
              <w:jc w:val="righ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32073</w:t>
            </w:r>
          </w:p>
        </w:tc>
        <w:tc>
          <w:tcPr>
            <w:tcW w:w="780" w:type="dxa"/>
            <w:tcBorders>
              <w:top w:val="nil"/>
              <w:left w:val="nil"/>
              <w:bottom w:val="single" w:sz="4" w:space="0" w:color="auto"/>
              <w:right w:val="single" w:sz="4" w:space="0" w:color="auto"/>
            </w:tcBorders>
            <w:shd w:val="clear" w:color="auto" w:fill="auto"/>
            <w:noWrap/>
            <w:vAlign w:val="center"/>
            <w:hideMark/>
          </w:tcPr>
          <w:p w14:paraId="30A891A4" w14:textId="77777777" w:rsidR="00454717" w:rsidRPr="00454717" w:rsidRDefault="00454717" w:rsidP="00D22441">
            <w:pPr>
              <w:jc w:val="righ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900913507</w:t>
            </w:r>
          </w:p>
        </w:tc>
        <w:tc>
          <w:tcPr>
            <w:tcW w:w="4620" w:type="dxa"/>
            <w:tcBorders>
              <w:top w:val="nil"/>
              <w:left w:val="nil"/>
              <w:bottom w:val="single" w:sz="4" w:space="0" w:color="auto"/>
              <w:right w:val="single" w:sz="4" w:space="0" w:color="auto"/>
            </w:tcBorders>
            <w:shd w:val="clear" w:color="auto" w:fill="auto"/>
            <w:vAlign w:val="center"/>
            <w:hideMark/>
          </w:tcPr>
          <w:p w14:paraId="4DE815D9" w14:textId="77777777" w:rsidR="00454717" w:rsidRPr="00454717" w:rsidRDefault="00454717" w:rsidP="00D22441">
            <w:pPr>
              <w:jc w:val="lef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MEGAS S.A.S. ESP</w:t>
            </w:r>
          </w:p>
        </w:tc>
        <w:tc>
          <w:tcPr>
            <w:tcW w:w="1600" w:type="dxa"/>
            <w:tcBorders>
              <w:top w:val="nil"/>
              <w:left w:val="nil"/>
              <w:bottom w:val="single" w:sz="4" w:space="0" w:color="auto"/>
              <w:right w:val="single" w:sz="4" w:space="0" w:color="auto"/>
            </w:tcBorders>
            <w:shd w:val="clear" w:color="auto" w:fill="auto"/>
            <w:noWrap/>
            <w:vAlign w:val="center"/>
            <w:hideMark/>
          </w:tcPr>
          <w:p w14:paraId="5B9AF46E" w14:textId="77777777" w:rsidR="00454717" w:rsidRPr="00454717" w:rsidRDefault="00454717" w:rsidP="00D22441">
            <w:pPr>
              <w:jc w:val="lef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 xml:space="preserve">             1.850.106.261 </w:t>
            </w:r>
          </w:p>
        </w:tc>
        <w:tc>
          <w:tcPr>
            <w:tcW w:w="1600" w:type="dxa"/>
            <w:tcBorders>
              <w:top w:val="nil"/>
              <w:left w:val="nil"/>
              <w:bottom w:val="single" w:sz="4" w:space="0" w:color="auto"/>
              <w:right w:val="single" w:sz="4" w:space="0" w:color="auto"/>
            </w:tcBorders>
            <w:shd w:val="clear" w:color="auto" w:fill="auto"/>
            <w:noWrap/>
            <w:vAlign w:val="center"/>
            <w:hideMark/>
          </w:tcPr>
          <w:p w14:paraId="62A00E8E" w14:textId="77777777" w:rsidR="00454717" w:rsidRPr="00454717" w:rsidRDefault="00454717" w:rsidP="00D22441">
            <w:pPr>
              <w:jc w:val="lef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 xml:space="preserve"> No reportó </w:t>
            </w:r>
          </w:p>
        </w:tc>
      </w:tr>
      <w:tr w:rsidR="00454717" w:rsidRPr="00454717" w14:paraId="77357C58" w14:textId="77777777" w:rsidTr="00454717">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13FF9B8C" w14:textId="77777777" w:rsidR="00454717" w:rsidRPr="00454717" w:rsidRDefault="00454717" w:rsidP="00D22441">
            <w:pPr>
              <w:jc w:val="righ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15</w:t>
            </w:r>
          </w:p>
        </w:tc>
        <w:tc>
          <w:tcPr>
            <w:tcW w:w="480" w:type="dxa"/>
            <w:tcBorders>
              <w:top w:val="nil"/>
              <w:left w:val="nil"/>
              <w:bottom w:val="single" w:sz="4" w:space="0" w:color="auto"/>
              <w:right w:val="single" w:sz="4" w:space="0" w:color="auto"/>
            </w:tcBorders>
            <w:shd w:val="clear" w:color="auto" w:fill="auto"/>
            <w:noWrap/>
            <w:vAlign w:val="center"/>
            <w:hideMark/>
          </w:tcPr>
          <w:p w14:paraId="4FFF0CC5" w14:textId="77777777" w:rsidR="00454717" w:rsidRPr="00454717" w:rsidRDefault="00454717" w:rsidP="00D22441">
            <w:pPr>
              <w:jc w:val="righ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32733</w:t>
            </w:r>
          </w:p>
        </w:tc>
        <w:tc>
          <w:tcPr>
            <w:tcW w:w="780" w:type="dxa"/>
            <w:tcBorders>
              <w:top w:val="nil"/>
              <w:left w:val="nil"/>
              <w:bottom w:val="single" w:sz="4" w:space="0" w:color="auto"/>
              <w:right w:val="single" w:sz="4" w:space="0" w:color="auto"/>
            </w:tcBorders>
            <w:shd w:val="clear" w:color="auto" w:fill="auto"/>
            <w:noWrap/>
            <w:vAlign w:val="center"/>
            <w:hideMark/>
          </w:tcPr>
          <w:p w14:paraId="0699C347" w14:textId="77777777" w:rsidR="00454717" w:rsidRPr="00454717" w:rsidRDefault="00454717" w:rsidP="00D22441">
            <w:pPr>
              <w:jc w:val="righ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900948809</w:t>
            </w:r>
          </w:p>
        </w:tc>
        <w:tc>
          <w:tcPr>
            <w:tcW w:w="4620" w:type="dxa"/>
            <w:tcBorders>
              <w:top w:val="nil"/>
              <w:left w:val="nil"/>
              <w:bottom w:val="single" w:sz="4" w:space="0" w:color="auto"/>
              <w:right w:val="single" w:sz="4" w:space="0" w:color="auto"/>
            </w:tcBorders>
            <w:shd w:val="clear" w:color="auto" w:fill="auto"/>
            <w:vAlign w:val="center"/>
            <w:hideMark/>
          </w:tcPr>
          <w:p w14:paraId="53E528DF" w14:textId="77777777" w:rsidR="00454717" w:rsidRPr="00454717" w:rsidRDefault="00454717" w:rsidP="00D22441">
            <w:pPr>
              <w:jc w:val="lef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EMPRESA MIXTA DE GAS S.A.S. E.S.P.</w:t>
            </w:r>
          </w:p>
        </w:tc>
        <w:tc>
          <w:tcPr>
            <w:tcW w:w="1600" w:type="dxa"/>
            <w:tcBorders>
              <w:top w:val="nil"/>
              <w:left w:val="nil"/>
              <w:bottom w:val="single" w:sz="4" w:space="0" w:color="auto"/>
              <w:right w:val="single" w:sz="4" w:space="0" w:color="auto"/>
            </w:tcBorders>
            <w:shd w:val="clear" w:color="auto" w:fill="auto"/>
            <w:noWrap/>
            <w:vAlign w:val="center"/>
            <w:hideMark/>
          </w:tcPr>
          <w:p w14:paraId="195DE80D" w14:textId="77777777" w:rsidR="00454717" w:rsidRPr="00454717" w:rsidRDefault="00454717" w:rsidP="00D22441">
            <w:pPr>
              <w:jc w:val="lef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 xml:space="preserve">                212.586.712 </w:t>
            </w:r>
          </w:p>
        </w:tc>
        <w:tc>
          <w:tcPr>
            <w:tcW w:w="1600" w:type="dxa"/>
            <w:tcBorders>
              <w:top w:val="nil"/>
              <w:left w:val="nil"/>
              <w:bottom w:val="single" w:sz="4" w:space="0" w:color="auto"/>
              <w:right w:val="single" w:sz="4" w:space="0" w:color="auto"/>
            </w:tcBorders>
            <w:shd w:val="clear" w:color="auto" w:fill="auto"/>
            <w:noWrap/>
            <w:vAlign w:val="center"/>
            <w:hideMark/>
          </w:tcPr>
          <w:p w14:paraId="429C09EC" w14:textId="77777777" w:rsidR="00454717" w:rsidRPr="00454717" w:rsidRDefault="00454717" w:rsidP="00D22441">
            <w:pPr>
              <w:jc w:val="lef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 xml:space="preserve"> No reportó </w:t>
            </w:r>
          </w:p>
        </w:tc>
      </w:tr>
      <w:tr w:rsidR="00454717" w:rsidRPr="00454717" w14:paraId="535DE8C4" w14:textId="77777777" w:rsidTr="00454717">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59F04576" w14:textId="77777777" w:rsidR="00454717" w:rsidRPr="00454717" w:rsidRDefault="00454717" w:rsidP="00D22441">
            <w:pPr>
              <w:jc w:val="righ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16</w:t>
            </w:r>
          </w:p>
        </w:tc>
        <w:tc>
          <w:tcPr>
            <w:tcW w:w="480" w:type="dxa"/>
            <w:tcBorders>
              <w:top w:val="nil"/>
              <w:left w:val="nil"/>
              <w:bottom w:val="single" w:sz="4" w:space="0" w:color="auto"/>
              <w:right w:val="single" w:sz="4" w:space="0" w:color="auto"/>
            </w:tcBorders>
            <w:shd w:val="clear" w:color="auto" w:fill="auto"/>
            <w:noWrap/>
            <w:vAlign w:val="center"/>
            <w:hideMark/>
          </w:tcPr>
          <w:p w14:paraId="71A5A5B1" w14:textId="77777777" w:rsidR="00454717" w:rsidRPr="00454717" w:rsidRDefault="00454717" w:rsidP="00D22441">
            <w:pPr>
              <w:jc w:val="righ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40096</w:t>
            </w:r>
          </w:p>
        </w:tc>
        <w:tc>
          <w:tcPr>
            <w:tcW w:w="780" w:type="dxa"/>
            <w:tcBorders>
              <w:top w:val="nil"/>
              <w:left w:val="nil"/>
              <w:bottom w:val="single" w:sz="4" w:space="0" w:color="auto"/>
              <w:right w:val="single" w:sz="4" w:space="0" w:color="auto"/>
            </w:tcBorders>
            <w:shd w:val="clear" w:color="auto" w:fill="auto"/>
            <w:noWrap/>
            <w:vAlign w:val="center"/>
            <w:hideMark/>
          </w:tcPr>
          <w:p w14:paraId="7AD271BB" w14:textId="77777777" w:rsidR="00454717" w:rsidRPr="00454717" w:rsidRDefault="00454717" w:rsidP="00D22441">
            <w:pPr>
              <w:jc w:val="righ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830126302</w:t>
            </w:r>
          </w:p>
        </w:tc>
        <w:tc>
          <w:tcPr>
            <w:tcW w:w="4620" w:type="dxa"/>
            <w:tcBorders>
              <w:top w:val="nil"/>
              <w:left w:val="nil"/>
              <w:bottom w:val="single" w:sz="4" w:space="0" w:color="auto"/>
              <w:right w:val="single" w:sz="4" w:space="0" w:color="auto"/>
            </w:tcBorders>
            <w:shd w:val="clear" w:color="auto" w:fill="auto"/>
            <w:vAlign w:val="center"/>
            <w:hideMark/>
          </w:tcPr>
          <w:p w14:paraId="76620BA4" w14:textId="6AA261B5" w:rsidR="00454717" w:rsidRPr="00454717" w:rsidRDefault="00454717" w:rsidP="00D22441">
            <w:pPr>
              <w:jc w:val="lef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FRONTERA ENERGY COLOMBIA CORP. SUCURSAL COLOMBIA</w:t>
            </w:r>
          </w:p>
        </w:tc>
        <w:tc>
          <w:tcPr>
            <w:tcW w:w="1600" w:type="dxa"/>
            <w:tcBorders>
              <w:top w:val="nil"/>
              <w:left w:val="nil"/>
              <w:bottom w:val="single" w:sz="4" w:space="0" w:color="auto"/>
              <w:right w:val="single" w:sz="4" w:space="0" w:color="auto"/>
            </w:tcBorders>
            <w:shd w:val="clear" w:color="auto" w:fill="auto"/>
            <w:noWrap/>
            <w:vAlign w:val="center"/>
            <w:hideMark/>
          </w:tcPr>
          <w:p w14:paraId="2A658465" w14:textId="77777777" w:rsidR="00454717" w:rsidRPr="00454717" w:rsidRDefault="00454717" w:rsidP="00D22441">
            <w:pPr>
              <w:jc w:val="lef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 xml:space="preserve">                841.442.980 </w:t>
            </w:r>
          </w:p>
        </w:tc>
        <w:tc>
          <w:tcPr>
            <w:tcW w:w="1600" w:type="dxa"/>
            <w:tcBorders>
              <w:top w:val="nil"/>
              <w:left w:val="nil"/>
              <w:bottom w:val="single" w:sz="4" w:space="0" w:color="auto"/>
              <w:right w:val="single" w:sz="4" w:space="0" w:color="auto"/>
            </w:tcBorders>
            <w:shd w:val="clear" w:color="auto" w:fill="auto"/>
            <w:noWrap/>
            <w:vAlign w:val="center"/>
            <w:hideMark/>
          </w:tcPr>
          <w:p w14:paraId="1394ED3D" w14:textId="77777777" w:rsidR="00454717" w:rsidRPr="00454717" w:rsidRDefault="00454717" w:rsidP="00D22441">
            <w:pPr>
              <w:jc w:val="lef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 xml:space="preserve"> No reportó </w:t>
            </w:r>
          </w:p>
        </w:tc>
      </w:tr>
      <w:tr w:rsidR="00454717" w:rsidRPr="00454717" w14:paraId="2D88FE81" w14:textId="77777777" w:rsidTr="00454717">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54B79C77" w14:textId="77777777" w:rsidR="00454717" w:rsidRPr="00454717" w:rsidRDefault="00454717" w:rsidP="00D22441">
            <w:pPr>
              <w:jc w:val="righ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lastRenderedPageBreak/>
              <w:t>17</w:t>
            </w:r>
          </w:p>
        </w:tc>
        <w:tc>
          <w:tcPr>
            <w:tcW w:w="480" w:type="dxa"/>
            <w:tcBorders>
              <w:top w:val="nil"/>
              <w:left w:val="nil"/>
              <w:bottom w:val="single" w:sz="4" w:space="0" w:color="auto"/>
              <w:right w:val="single" w:sz="4" w:space="0" w:color="auto"/>
            </w:tcBorders>
            <w:shd w:val="clear" w:color="auto" w:fill="auto"/>
            <w:noWrap/>
            <w:vAlign w:val="center"/>
            <w:hideMark/>
          </w:tcPr>
          <w:p w14:paraId="22FA6556" w14:textId="77777777" w:rsidR="00454717" w:rsidRPr="00454717" w:rsidRDefault="00454717" w:rsidP="00D22441">
            <w:pPr>
              <w:jc w:val="righ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40476</w:t>
            </w:r>
          </w:p>
        </w:tc>
        <w:tc>
          <w:tcPr>
            <w:tcW w:w="780" w:type="dxa"/>
            <w:tcBorders>
              <w:top w:val="nil"/>
              <w:left w:val="nil"/>
              <w:bottom w:val="single" w:sz="4" w:space="0" w:color="auto"/>
              <w:right w:val="single" w:sz="4" w:space="0" w:color="auto"/>
            </w:tcBorders>
            <w:shd w:val="clear" w:color="auto" w:fill="auto"/>
            <w:noWrap/>
            <w:vAlign w:val="center"/>
            <w:hideMark/>
          </w:tcPr>
          <w:p w14:paraId="7B0E617D" w14:textId="77777777" w:rsidR="00454717" w:rsidRPr="00454717" w:rsidRDefault="00454717" w:rsidP="00D22441">
            <w:pPr>
              <w:jc w:val="righ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900928926</w:t>
            </w:r>
          </w:p>
        </w:tc>
        <w:tc>
          <w:tcPr>
            <w:tcW w:w="4620" w:type="dxa"/>
            <w:tcBorders>
              <w:top w:val="nil"/>
              <w:left w:val="nil"/>
              <w:bottom w:val="single" w:sz="4" w:space="0" w:color="auto"/>
              <w:right w:val="single" w:sz="4" w:space="0" w:color="auto"/>
            </w:tcBorders>
            <w:shd w:val="clear" w:color="auto" w:fill="auto"/>
            <w:vAlign w:val="center"/>
            <w:hideMark/>
          </w:tcPr>
          <w:p w14:paraId="71BF0306" w14:textId="77777777" w:rsidR="00454717" w:rsidRPr="00454717" w:rsidRDefault="00454717" w:rsidP="00D22441">
            <w:pPr>
              <w:jc w:val="lef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BOSQUES SOLARES DE LOS LLANOS 1 SAS ESP</w:t>
            </w:r>
          </w:p>
        </w:tc>
        <w:tc>
          <w:tcPr>
            <w:tcW w:w="1600" w:type="dxa"/>
            <w:tcBorders>
              <w:top w:val="nil"/>
              <w:left w:val="nil"/>
              <w:bottom w:val="single" w:sz="4" w:space="0" w:color="auto"/>
              <w:right w:val="single" w:sz="4" w:space="0" w:color="auto"/>
            </w:tcBorders>
            <w:shd w:val="clear" w:color="auto" w:fill="auto"/>
            <w:noWrap/>
            <w:vAlign w:val="center"/>
            <w:hideMark/>
          </w:tcPr>
          <w:p w14:paraId="47E3FEE1" w14:textId="77777777" w:rsidR="00454717" w:rsidRPr="00454717" w:rsidRDefault="00454717" w:rsidP="00D22441">
            <w:pPr>
              <w:jc w:val="lef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 xml:space="preserve">             1.006.145.000 </w:t>
            </w:r>
          </w:p>
        </w:tc>
        <w:tc>
          <w:tcPr>
            <w:tcW w:w="1600" w:type="dxa"/>
            <w:tcBorders>
              <w:top w:val="nil"/>
              <w:left w:val="nil"/>
              <w:bottom w:val="single" w:sz="4" w:space="0" w:color="auto"/>
              <w:right w:val="single" w:sz="4" w:space="0" w:color="auto"/>
            </w:tcBorders>
            <w:shd w:val="clear" w:color="auto" w:fill="auto"/>
            <w:noWrap/>
            <w:vAlign w:val="center"/>
            <w:hideMark/>
          </w:tcPr>
          <w:p w14:paraId="10B5E7C4" w14:textId="77777777" w:rsidR="00454717" w:rsidRPr="00454717" w:rsidRDefault="00454717" w:rsidP="00D22441">
            <w:pPr>
              <w:jc w:val="lef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 xml:space="preserve"> No reportó </w:t>
            </w:r>
          </w:p>
        </w:tc>
      </w:tr>
      <w:tr w:rsidR="00454717" w:rsidRPr="00454717" w14:paraId="4B221CD5" w14:textId="77777777" w:rsidTr="00454717">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7B986C75" w14:textId="77777777" w:rsidR="00454717" w:rsidRPr="00454717" w:rsidRDefault="00454717" w:rsidP="00D22441">
            <w:pPr>
              <w:jc w:val="righ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18</w:t>
            </w:r>
          </w:p>
        </w:tc>
        <w:tc>
          <w:tcPr>
            <w:tcW w:w="480" w:type="dxa"/>
            <w:tcBorders>
              <w:top w:val="nil"/>
              <w:left w:val="nil"/>
              <w:bottom w:val="single" w:sz="4" w:space="0" w:color="auto"/>
              <w:right w:val="single" w:sz="4" w:space="0" w:color="auto"/>
            </w:tcBorders>
            <w:shd w:val="clear" w:color="auto" w:fill="auto"/>
            <w:noWrap/>
            <w:vAlign w:val="center"/>
            <w:hideMark/>
          </w:tcPr>
          <w:p w14:paraId="2185BD4A" w14:textId="77777777" w:rsidR="00454717" w:rsidRPr="00454717" w:rsidRDefault="00454717" w:rsidP="00D22441">
            <w:pPr>
              <w:jc w:val="righ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40477</w:t>
            </w:r>
          </w:p>
        </w:tc>
        <w:tc>
          <w:tcPr>
            <w:tcW w:w="780" w:type="dxa"/>
            <w:tcBorders>
              <w:top w:val="nil"/>
              <w:left w:val="nil"/>
              <w:bottom w:val="single" w:sz="4" w:space="0" w:color="auto"/>
              <w:right w:val="single" w:sz="4" w:space="0" w:color="auto"/>
            </w:tcBorders>
            <w:shd w:val="clear" w:color="auto" w:fill="auto"/>
            <w:noWrap/>
            <w:vAlign w:val="center"/>
            <w:hideMark/>
          </w:tcPr>
          <w:p w14:paraId="22BB923B" w14:textId="77777777" w:rsidR="00454717" w:rsidRPr="00454717" w:rsidRDefault="00454717" w:rsidP="00D22441">
            <w:pPr>
              <w:jc w:val="righ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900928962</w:t>
            </w:r>
          </w:p>
        </w:tc>
        <w:tc>
          <w:tcPr>
            <w:tcW w:w="4620" w:type="dxa"/>
            <w:tcBorders>
              <w:top w:val="nil"/>
              <w:left w:val="nil"/>
              <w:bottom w:val="single" w:sz="4" w:space="0" w:color="auto"/>
              <w:right w:val="single" w:sz="4" w:space="0" w:color="auto"/>
            </w:tcBorders>
            <w:shd w:val="clear" w:color="auto" w:fill="auto"/>
            <w:vAlign w:val="center"/>
            <w:hideMark/>
          </w:tcPr>
          <w:p w14:paraId="10E5ACD1" w14:textId="77777777" w:rsidR="00454717" w:rsidRPr="00454717" w:rsidRDefault="00454717" w:rsidP="00D22441">
            <w:pPr>
              <w:jc w:val="lef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BOSQUES SOLARES DE LOS LLANOS 2 SAS ESP</w:t>
            </w:r>
          </w:p>
        </w:tc>
        <w:tc>
          <w:tcPr>
            <w:tcW w:w="1600" w:type="dxa"/>
            <w:tcBorders>
              <w:top w:val="nil"/>
              <w:left w:val="nil"/>
              <w:bottom w:val="single" w:sz="4" w:space="0" w:color="auto"/>
              <w:right w:val="single" w:sz="4" w:space="0" w:color="auto"/>
            </w:tcBorders>
            <w:shd w:val="clear" w:color="auto" w:fill="auto"/>
            <w:noWrap/>
            <w:vAlign w:val="center"/>
            <w:hideMark/>
          </w:tcPr>
          <w:p w14:paraId="5623770F" w14:textId="77777777" w:rsidR="00454717" w:rsidRPr="00454717" w:rsidRDefault="00454717" w:rsidP="00D22441">
            <w:pPr>
              <w:jc w:val="lef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 xml:space="preserve">             1.027.458.000 </w:t>
            </w:r>
          </w:p>
        </w:tc>
        <w:tc>
          <w:tcPr>
            <w:tcW w:w="1600" w:type="dxa"/>
            <w:tcBorders>
              <w:top w:val="nil"/>
              <w:left w:val="nil"/>
              <w:bottom w:val="single" w:sz="4" w:space="0" w:color="auto"/>
              <w:right w:val="single" w:sz="4" w:space="0" w:color="auto"/>
            </w:tcBorders>
            <w:shd w:val="clear" w:color="auto" w:fill="auto"/>
            <w:noWrap/>
            <w:vAlign w:val="center"/>
            <w:hideMark/>
          </w:tcPr>
          <w:p w14:paraId="299B6FF0" w14:textId="77777777" w:rsidR="00454717" w:rsidRPr="00454717" w:rsidRDefault="00454717" w:rsidP="00D22441">
            <w:pPr>
              <w:jc w:val="lef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 xml:space="preserve"> No reportó </w:t>
            </w:r>
          </w:p>
        </w:tc>
      </w:tr>
      <w:tr w:rsidR="00454717" w:rsidRPr="00454717" w14:paraId="101B49BC" w14:textId="77777777" w:rsidTr="00454717">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76B8FEA1" w14:textId="77777777" w:rsidR="00454717" w:rsidRPr="00454717" w:rsidRDefault="00454717" w:rsidP="00D22441">
            <w:pPr>
              <w:jc w:val="righ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19</w:t>
            </w:r>
          </w:p>
        </w:tc>
        <w:tc>
          <w:tcPr>
            <w:tcW w:w="480" w:type="dxa"/>
            <w:tcBorders>
              <w:top w:val="nil"/>
              <w:left w:val="nil"/>
              <w:bottom w:val="single" w:sz="4" w:space="0" w:color="auto"/>
              <w:right w:val="single" w:sz="4" w:space="0" w:color="auto"/>
            </w:tcBorders>
            <w:shd w:val="clear" w:color="auto" w:fill="auto"/>
            <w:noWrap/>
            <w:vAlign w:val="center"/>
            <w:hideMark/>
          </w:tcPr>
          <w:p w14:paraId="320D4BDE" w14:textId="77777777" w:rsidR="00454717" w:rsidRPr="00454717" w:rsidRDefault="00454717" w:rsidP="00D22441">
            <w:pPr>
              <w:jc w:val="righ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40478</w:t>
            </w:r>
          </w:p>
        </w:tc>
        <w:tc>
          <w:tcPr>
            <w:tcW w:w="780" w:type="dxa"/>
            <w:tcBorders>
              <w:top w:val="nil"/>
              <w:left w:val="nil"/>
              <w:bottom w:val="single" w:sz="4" w:space="0" w:color="auto"/>
              <w:right w:val="single" w:sz="4" w:space="0" w:color="auto"/>
            </w:tcBorders>
            <w:shd w:val="clear" w:color="auto" w:fill="auto"/>
            <w:noWrap/>
            <w:vAlign w:val="center"/>
            <w:hideMark/>
          </w:tcPr>
          <w:p w14:paraId="43245459" w14:textId="77777777" w:rsidR="00454717" w:rsidRPr="00454717" w:rsidRDefault="00454717" w:rsidP="00D22441">
            <w:pPr>
              <w:jc w:val="righ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900929832</w:t>
            </w:r>
          </w:p>
        </w:tc>
        <w:tc>
          <w:tcPr>
            <w:tcW w:w="4620" w:type="dxa"/>
            <w:tcBorders>
              <w:top w:val="nil"/>
              <w:left w:val="nil"/>
              <w:bottom w:val="single" w:sz="4" w:space="0" w:color="auto"/>
              <w:right w:val="single" w:sz="4" w:space="0" w:color="auto"/>
            </w:tcBorders>
            <w:shd w:val="clear" w:color="auto" w:fill="auto"/>
            <w:vAlign w:val="center"/>
            <w:hideMark/>
          </w:tcPr>
          <w:p w14:paraId="63C4A5DC" w14:textId="77777777" w:rsidR="00454717" w:rsidRPr="00454717" w:rsidRDefault="00454717" w:rsidP="00D22441">
            <w:pPr>
              <w:jc w:val="lef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BOSQUES SOLARES DE LOS LLANOS 3 SAS ESP</w:t>
            </w:r>
          </w:p>
        </w:tc>
        <w:tc>
          <w:tcPr>
            <w:tcW w:w="1600" w:type="dxa"/>
            <w:tcBorders>
              <w:top w:val="nil"/>
              <w:left w:val="nil"/>
              <w:bottom w:val="single" w:sz="4" w:space="0" w:color="auto"/>
              <w:right w:val="single" w:sz="4" w:space="0" w:color="auto"/>
            </w:tcBorders>
            <w:shd w:val="clear" w:color="auto" w:fill="auto"/>
            <w:noWrap/>
            <w:vAlign w:val="center"/>
            <w:hideMark/>
          </w:tcPr>
          <w:p w14:paraId="0A1BC65C" w14:textId="77777777" w:rsidR="00454717" w:rsidRPr="00454717" w:rsidRDefault="00454717" w:rsidP="00D22441">
            <w:pPr>
              <w:jc w:val="lef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 xml:space="preserve">             1.020.352.000 </w:t>
            </w:r>
          </w:p>
        </w:tc>
        <w:tc>
          <w:tcPr>
            <w:tcW w:w="1600" w:type="dxa"/>
            <w:tcBorders>
              <w:top w:val="nil"/>
              <w:left w:val="nil"/>
              <w:bottom w:val="single" w:sz="4" w:space="0" w:color="auto"/>
              <w:right w:val="single" w:sz="4" w:space="0" w:color="auto"/>
            </w:tcBorders>
            <w:shd w:val="clear" w:color="auto" w:fill="auto"/>
            <w:noWrap/>
            <w:vAlign w:val="center"/>
            <w:hideMark/>
          </w:tcPr>
          <w:p w14:paraId="66957E4D" w14:textId="77777777" w:rsidR="00454717" w:rsidRPr="00454717" w:rsidRDefault="00454717" w:rsidP="00D22441">
            <w:pPr>
              <w:jc w:val="lef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 xml:space="preserve"> No reportó </w:t>
            </w:r>
          </w:p>
        </w:tc>
      </w:tr>
      <w:tr w:rsidR="00454717" w:rsidRPr="00454717" w14:paraId="22ABBB1D" w14:textId="77777777" w:rsidTr="00454717">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01E86B25" w14:textId="77777777" w:rsidR="00454717" w:rsidRPr="00454717" w:rsidRDefault="00454717" w:rsidP="00D22441">
            <w:pPr>
              <w:jc w:val="righ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20</w:t>
            </w:r>
          </w:p>
        </w:tc>
        <w:tc>
          <w:tcPr>
            <w:tcW w:w="480" w:type="dxa"/>
            <w:tcBorders>
              <w:top w:val="nil"/>
              <w:left w:val="nil"/>
              <w:bottom w:val="single" w:sz="4" w:space="0" w:color="auto"/>
              <w:right w:val="single" w:sz="4" w:space="0" w:color="auto"/>
            </w:tcBorders>
            <w:shd w:val="clear" w:color="auto" w:fill="auto"/>
            <w:noWrap/>
            <w:vAlign w:val="center"/>
            <w:hideMark/>
          </w:tcPr>
          <w:p w14:paraId="4C63269C" w14:textId="77777777" w:rsidR="00454717" w:rsidRPr="00454717" w:rsidRDefault="00454717" w:rsidP="00D22441">
            <w:pPr>
              <w:jc w:val="righ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42417</w:t>
            </w:r>
          </w:p>
        </w:tc>
        <w:tc>
          <w:tcPr>
            <w:tcW w:w="780" w:type="dxa"/>
            <w:tcBorders>
              <w:top w:val="nil"/>
              <w:left w:val="nil"/>
              <w:bottom w:val="single" w:sz="4" w:space="0" w:color="auto"/>
              <w:right w:val="single" w:sz="4" w:space="0" w:color="auto"/>
            </w:tcBorders>
            <w:shd w:val="clear" w:color="auto" w:fill="auto"/>
            <w:noWrap/>
            <w:vAlign w:val="center"/>
            <w:hideMark/>
          </w:tcPr>
          <w:p w14:paraId="12CD030C" w14:textId="77777777" w:rsidR="00454717" w:rsidRPr="00454717" w:rsidRDefault="00454717" w:rsidP="00D22441">
            <w:pPr>
              <w:jc w:val="righ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901209614</w:t>
            </w:r>
          </w:p>
        </w:tc>
        <w:tc>
          <w:tcPr>
            <w:tcW w:w="4620" w:type="dxa"/>
            <w:tcBorders>
              <w:top w:val="nil"/>
              <w:left w:val="nil"/>
              <w:bottom w:val="single" w:sz="4" w:space="0" w:color="auto"/>
              <w:right w:val="single" w:sz="4" w:space="0" w:color="auto"/>
            </w:tcBorders>
            <w:shd w:val="clear" w:color="auto" w:fill="auto"/>
            <w:vAlign w:val="center"/>
            <w:hideMark/>
          </w:tcPr>
          <w:p w14:paraId="5DFA9BB4" w14:textId="4DE40262" w:rsidR="00454717" w:rsidRPr="00454717" w:rsidRDefault="00454717" w:rsidP="00D22441">
            <w:pPr>
              <w:jc w:val="lef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EMPRESA DE ENERGY Y SERVICIOS S.A.S</w:t>
            </w:r>
            <w:r w:rsidR="006F2D43">
              <w:rPr>
                <w:rFonts w:ascii="Arial Narrow" w:hAnsi="Arial Narrow" w:cs="Calibri"/>
                <w:color w:val="000000"/>
                <w:spacing w:val="0"/>
                <w:sz w:val="16"/>
                <w:szCs w:val="16"/>
                <w:lang w:eastAsia="es-CO"/>
              </w:rPr>
              <w:t>.</w:t>
            </w:r>
            <w:r w:rsidRPr="00454717">
              <w:rPr>
                <w:rFonts w:ascii="Arial Narrow" w:hAnsi="Arial Narrow" w:cs="Calibri"/>
                <w:color w:val="000000"/>
                <w:spacing w:val="0"/>
                <w:sz w:val="16"/>
                <w:szCs w:val="16"/>
                <w:lang w:eastAsia="es-CO"/>
              </w:rPr>
              <w:t xml:space="preserve"> E.S.P</w:t>
            </w:r>
            <w:r w:rsidR="000022EE">
              <w:rPr>
                <w:rFonts w:ascii="Arial Narrow" w:hAnsi="Arial Narrow" w:cs="Calibri"/>
                <w:color w:val="000000"/>
                <w:spacing w:val="0"/>
                <w:sz w:val="16"/>
                <w:szCs w:val="16"/>
                <w:lang w:eastAsia="es-CO"/>
              </w:rPr>
              <w:t>.</w:t>
            </w:r>
          </w:p>
        </w:tc>
        <w:tc>
          <w:tcPr>
            <w:tcW w:w="1600" w:type="dxa"/>
            <w:tcBorders>
              <w:top w:val="nil"/>
              <w:left w:val="nil"/>
              <w:bottom w:val="single" w:sz="4" w:space="0" w:color="auto"/>
              <w:right w:val="single" w:sz="4" w:space="0" w:color="auto"/>
            </w:tcBorders>
            <w:shd w:val="clear" w:color="auto" w:fill="auto"/>
            <w:noWrap/>
            <w:vAlign w:val="center"/>
            <w:hideMark/>
          </w:tcPr>
          <w:p w14:paraId="72343901" w14:textId="77777777" w:rsidR="00454717" w:rsidRPr="00454717" w:rsidRDefault="00454717" w:rsidP="00D22441">
            <w:pPr>
              <w:jc w:val="lef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 xml:space="preserve">                136.450.239 </w:t>
            </w:r>
          </w:p>
        </w:tc>
        <w:tc>
          <w:tcPr>
            <w:tcW w:w="1600" w:type="dxa"/>
            <w:tcBorders>
              <w:top w:val="nil"/>
              <w:left w:val="nil"/>
              <w:bottom w:val="single" w:sz="4" w:space="0" w:color="auto"/>
              <w:right w:val="single" w:sz="4" w:space="0" w:color="auto"/>
            </w:tcBorders>
            <w:shd w:val="clear" w:color="auto" w:fill="auto"/>
            <w:noWrap/>
            <w:vAlign w:val="center"/>
            <w:hideMark/>
          </w:tcPr>
          <w:p w14:paraId="587BDBCA" w14:textId="77777777" w:rsidR="00454717" w:rsidRPr="00454717" w:rsidRDefault="00454717" w:rsidP="00D22441">
            <w:pPr>
              <w:jc w:val="lef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 xml:space="preserve"> No reportó </w:t>
            </w:r>
          </w:p>
        </w:tc>
      </w:tr>
      <w:tr w:rsidR="00454717" w:rsidRPr="00454717" w14:paraId="58D13DDB" w14:textId="77777777" w:rsidTr="00454717">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3135FC23" w14:textId="77777777" w:rsidR="00454717" w:rsidRPr="00454717" w:rsidRDefault="00454717" w:rsidP="00D22441">
            <w:pPr>
              <w:jc w:val="righ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21</w:t>
            </w:r>
          </w:p>
        </w:tc>
        <w:tc>
          <w:tcPr>
            <w:tcW w:w="480" w:type="dxa"/>
            <w:tcBorders>
              <w:top w:val="nil"/>
              <w:left w:val="nil"/>
              <w:bottom w:val="single" w:sz="4" w:space="0" w:color="auto"/>
              <w:right w:val="single" w:sz="4" w:space="0" w:color="auto"/>
            </w:tcBorders>
            <w:shd w:val="clear" w:color="auto" w:fill="auto"/>
            <w:noWrap/>
            <w:vAlign w:val="center"/>
            <w:hideMark/>
          </w:tcPr>
          <w:p w14:paraId="7F1691D1" w14:textId="77777777" w:rsidR="00454717" w:rsidRPr="00454717" w:rsidRDefault="00454717" w:rsidP="00D22441">
            <w:pPr>
              <w:jc w:val="righ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43739</w:t>
            </w:r>
          </w:p>
        </w:tc>
        <w:tc>
          <w:tcPr>
            <w:tcW w:w="780" w:type="dxa"/>
            <w:tcBorders>
              <w:top w:val="nil"/>
              <w:left w:val="nil"/>
              <w:bottom w:val="single" w:sz="4" w:space="0" w:color="auto"/>
              <w:right w:val="single" w:sz="4" w:space="0" w:color="auto"/>
            </w:tcBorders>
            <w:shd w:val="clear" w:color="auto" w:fill="auto"/>
            <w:noWrap/>
            <w:vAlign w:val="center"/>
            <w:hideMark/>
          </w:tcPr>
          <w:p w14:paraId="1FE50D97" w14:textId="77777777" w:rsidR="00454717" w:rsidRPr="00454717" w:rsidRDefault="00454717" w:rsidP="00D22441">
            <w:pPr>
              <w:jc w:val="righ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901236609</w:t>
            </w:r>
          </w:p>
        </w:tc>
        <w:tc>
          <w:tcPr>
            <w:tcW w:w="4620" w:type="dxa"/>
            <w:tcBorders>
              <w:top w:val="nil"/>
              <w:left w:val="nil"/>
              <w:bottom w:val="single" w:sz="4" w:space="0" w:color="auto"/>
              <w:right w:val="single" w:sz="4" w:space="0" w:color="auto"/>
            </w:tcBorders>
            <w:shd w:val="clear" w:color="auto" w:fill="auto"/>
            <w:vAlign w:val="center"/>
            <w:hideMark/>
          </w:tcPr>
          <w:p w14:paraId="31472DB4" w14:textId="77777777" w:rsidR="00454717" w:rsidRPr="00454717" w:rsidRDefault="00454717" w:rsidP="00D22441">
            <w:pPr>
              <w:jc w:val="lef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EMCOLEN S.A.S. E.S.P.</w:t>
            </w:r>
          </w:p>
        </w:tc>
        <w:tc>
          <w:tcPr>
            <w:tcW w:w="1600" w:type="dxa"/>
            <w:tcBorders>
              <w:top w:val="nil"/>
              <w:left w:val="nil"/>
              <w:bottom w:val="single" w:sz="4" w:space="0" w:color="auto"/>
              <w:right w:val="single" w:sz="4" w:space="0" w:color="auto"/>
            </w:tcBorders>
            <w:shd w:val="clear" w:color="auto" w:fill="auto"/>
            <w:noWrap/>
            <w:vAlign w:val="center"/>
            <w:hideMark/>
          </w:tcPr>
          <w:p w14:paraId="12B10FAF" w14:textId="77777777" w:rsidR="00454717" w:rsidRPr="00454717" w:rsidRDefault="00454717" w:rsidP="00D22441">
            <w:pPr>
              <w:jc w:val="lef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 xml:space="preserve">                378.254.521 </w:t>
            </w:r>
          </w:p>
        </w:tc>
        <w:tc>
          <w:tcPr>
            <w:tcW w:w="1600" w:type="dxa"/>
            <w:tcBorders>
              <w:top w:val="nil"/>
              <w:left w:val="nil"/>
              <w:bottom w:val="single" w:sz="4" w:space="0" w:color="auto"/>
              <w:right w:val="single" w:sz="4" w:space="0" w:color="auto"/>
            </w:tcBorders>
            <w:shd w:val="clear" w:color="auto" w:fill="auto"/>
            <w:noWrap/>
            <w:vAlign w:val="center"/>
            <w:hideMark/>
          </w:tcPr>
          <w:p w14:paraId="2DB37661" w14:textId="77777777" w:rsidR="00454717" w:rsidRPr="00454717" w:rsidRDefault="00454717" w:rsidP="00D22441">
            <w:pPr>
              <w:jc w:val="lef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 xml:space="preserve"> No reportó </w:t>
            </w:r>
          </w:p>
        </w:tc>
      </w:tr>
      <w:tr w:rsidR="00454717" w:rsidRPr="00454717" w14:paraId="691BA34B" w14:textId="77777777" w:rsidTr="00454717">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6E3ED37F" w14:textId="77777777" w:rsidR="00454717" w:rsidRPr="00454717" w:rsidRDefault="00454717" w:rsidP="00D22441">
            <w:pPr>
              <w:jc w:val="righ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22</w:t>
            </w:r>
          </w:p>
        </w:tc>
        <w:tc>
          <w:tcPr>
            <w:tcW w:w="480" w:type="dxa"/>
            <w:tcBorders>
              <w:top w:val="nil"/>
              <w:left w:val="nil"/>
              <w:bottom w:val="single" w:sz="4" w:space="0" w:color="auto"/>
              <w:right w:val="single" w:sz="4" w:space="0" w:color="auto"/>
            </w:tcBorders>
            <w:shd w:val="clear" w:color="auto" w:fill="auto"/>
            <w:noWrap/>
            <w:vAlign w:val="center"/>
            <w:hideMark/>
          </w:tcPr>
          <w:p w14:paraId="7B44A046" w14:textId="77777777" w:rsidR="00454717" w:rsidRPr="00454717" w:rsidRDefault="00454717" w:rsidP="00D22441">
            <w:pPr>
              <w:jc w:val="righ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46716</w:t>
            </w:r>
          </w:p>
        </w:tc>
        <w:tc>
          <w:tcPr>
            <w:tcW w:w="780" w:type="dxa"/>
            <w:tcBorders>
              <w:top w:val="nil"/>
              <w:left w:val="nil"/>
              <w:bottom w:val="single" w:sz="4" w:space="0" w:color="auto"/>
              <w:right w:val="single" w:sz="4" w:space="0" w:color="auto"/>
            </w:tcBorders>
            <w:shd w:val="clear" w:color="auto" w:fill="auto"/>
            <w:noWrap/>
            <w:vAlign w:val="center"/>
            <w:hideMark/>
          </w:tcPr>
          <w:p w14:paraId="12C5A86D" w14:textId="77777777" w:rsidR="00454717" w:rsidRPr="00454717" w:rsidRDefault="00454717" w:rsidP="00D22441">
            <w:pPr>
              <w:jc w:val="righ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900681653</w:t>
            </w:r>
          </w:p>
        </w:tc>
        <w:tc>
          <w:tcPr>
            <w:tcW w:w="4620" w:type="dxa"/>
            <w:tcBorders>
              <w:top w:val="nil"/>
              <w:left w:val="nil"/>
              <w:bottom w:val="single" w:sz="4" w:space="0" w:color="auto"/>
              <w:right w:val="single" w:sz="4" w:space="0" w:color="auto"/>
            </w:tcBorders>
            <w:shd w:val="clear" w:color="auto" w:fill="auto"/>
            <w:vAlign w:val="center"/>
            <w:hideMark/>
          </w:tcPr>
          <w:p w14:paraId="43DB0EFA" w14:textId="77777777" w:rsidR="00454717" w:rsidRPr="00454717" w:rsidRDefault="00454717" w:rsidP="00D22441">
            <w:pPr>
              <w:jc w:val="lef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Vientos del Norte S.A.S. E.S.P.</w:t>
            </w:r>
          </w:p>
        </w:tc>
        <w:tc>
          <w:tcPr>
            <w:tcW w:w="1600" w:type="dxa"/>
            <w:tcBorders>
              <w:top w:val="nil"/>
              <w:left w:val="nil"/>
              <w:bottom w:val="single" w:sz="4" w:space="0" w:color="auto"/>
              <w:right w:val="single" w:sz="4" w:space="0" w:color="auto"/>
            </w:tcBorders>
            <w:shd w:val="clear" w:color="auto" w:fill="auto"/>
            <w:noWrap/>
            <w:vAlign w:val="center"/>
            <w:hideMark/>
          </w:tcPr>
          <w:p w14:paraId="45DA5B32" w14:textId="77777777" w:rsidR="00454717" w:rsidRPr="00454717" w:rsidRDefault="00454717" w:rsidP="00D22441">
            <w:pPr>
              <w:jc w:val="lef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 xml:space="preserve">           10.582.765.476 </w:t>
            </w:r>
          </w:p>
        </w:tc>
        <w:tc>
          <w:tcPr>
            <w:tcW w:w="1600" w:type="dxa"/>
            <w:tcBorders>
              <w:top w:val="nil"/>
              <w:left w:val="nil"/>
              <w:bottom w:val="single" w:sz="4" w:space="0" w:color="auto"/>
              <w:right w:val="single" w:sz="4" w:space="0" w:color="auto"/>
            </w:tcBorders>
            <w:shd w:val="clear" w:color="auto" w:fill="auto"/>
            <w:noWrap/>
            <w:vAlign w:val="center"/>
            <w:hideMark/>
          </w:tcPr>
          <w:p w14:paraId="64E966DA" w14:textId="77777777" w:rsidR="00454717" w:rsidRPr="00454717" w:rsidRDefault="00454717" w:rsidP="00D22441">
            <w:pPr>
              <w:jc w:val="lef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 xml:space="preserve"> No reportó </w:t>
            </w:r>
          </w:p>
        </w:tc>
      </w:tr>
      <w:tr w:rsidR="00454717" w:rsidRPr="00454717" w14:paraId="115C9876" w14:textId="77777777" w:rsidTr="00454717">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645455E0" w14:textId="77777777" w:rsidR="00454717" w:rsidRPr="00454717" w:rsidRDefault="00454717" w:rsidP="00D22441">
            <w:pPr>
              <w:jc w:val="righ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23</w:t>
            </w:r>
          </w:p>
        </w:tc>
        <w:tc>
          <w:tcPr>
            <w:tcW w:w="480" w:type="dxa"/>
            <w:tcBorders>
              <w:top w:val="nil"/>
              <w:left w:val="nil"/>
              <w:bottom w:val="single" w:sz="4" w:space="0" w:color="auto"/>
              <w:right w:val="single" w:sz="4" w:space="0" w:color="auto"/>
            </w:tcBorders>
            <w:shd w:val="clear" w:color="auto" w:fill="auto"/>
            <w:noWrap/>
            <w:vAlign w:val="center"/>
            <w:hideMark/>
          </w:tcPr>
          <w:p w14:paraId="126F6638" w14:textId="77777777" w:rsidR="00454717" w:rsidRPr="00454717" w:rsidRDefault="00454717" w:rsidP="00D22441">
            <w:pPr>
              <w:jc w:val="righ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46717</w:t>
            </w:r>
          </w:p>
        </w:tc>
        <w:tc>
          <w:tcPr>
            <w:tcW w:w="780" w:type="dxa"/>
            <w:tcBorders>
              <w:top w:val="nil"/>
              <w:left w:val="nil"/>
              <w:bottom w:val="single" w:sz="4" w:space="0" w:color="auto"/>
              <w:right w:val="single" w:sz="4" w:space="0" w:color="auto"/>
            </w:tcBorders>
            <w:shd w:val="clear" w:color="auto" w:fill="auto"/>
            <w:noWrap/>
            <w:vAlign w:val="center"/>
            <w:hideMark/>
          </w:tcPr>
          <w:p w14:paraId="56B11EC6" w14:textId="77777777" w:rsidR="00454717" w:rsidRPr="00454717" w:rsidRDefault="00454717" w:rsidP="00D22441">
            <w:pPr>
              <w:jc w:val="righ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900681857</w:t>
            </w:r>
          </w:p>
        </w:tc>
        <w:tc>
          <w:tcPr>
            <w:tcW w:w="4620" w:type="dxa"/>
            <w:tcBorders>
              <w:top w:val="nil"/>
              <w:left w:val="nil"/>
              <w:bottom w:val="single" w:sz="4" w:space="0" w:color="auto"/>
              <w:right w:val="single" w:sz="4" w:space="0" w:color="auto"/>
            </w:tcBorders>
            <w:shd w:val="clear" w:color="auto" w:fill="auto"/>
            <w:vAlign w:val="center"/>
            <w:hideMark/>
          </w:tcPr>
          <w:p w14:paraId="63F6871E" w14:textId="77777777" w:rsidR="00454717" w:rsidRPr="00454717" w:rsidRDefault="00454717" w:rsidP="00D22441">
            <w:pPr>
              <w:jc w:val="left"/>
              <w:rPr>
                <w:rFonts w:ascii="Arial Narrow" w:hAnsi="Arial Narrow" w:cs="Calibri"/>
                <w:color w:val="000000"/>
                <w:spacing w:val="0"/>
                <w:sz w:val="16"/>
                <w:szCs w:val="16"/>
                <w:lang w:eastAsia="es-CO"/>
              </w:rPr>
            </w:pPr>
            <w:proofErr w:type="spellStart"/>
            <w:r w:rsidRPr="00454717">
              <w:rPr>
                <w:rFonts w:ascii="Arial Narrow" w:hAnsi="Arial Narrow" w:cs="Calibri"/>
                <w:color w:val="000000"/>
                <w:spacing w:val="0"/>
                <w:sz w:val="16"/>
                <w:szCs w:val="16"/>
                <w:lang w:eastAsia="es-CO"/>
              </w:rPr>
              <w:t>Eolos</w:t>
            </w:r>
            <w:proofErr w:type="spellEnd"/>
            <w:r w:rsidRPr="00454717">
              <w:rPr>
                <w:rFonts w:ascii="Arial Narrow" w:hAnsi="Arial Narrow" w:cs="Calibri"/>
                <w:color w:val="000000"/>
                <w:spacing w:val="0"/>
                <w:sz w:val="16"/>
                <w:szCs w:val="16"/>
                <w:lang w:eastAsia="es-CO"/>
              </w:rPr>
              <w:t xml:space="preserve"> Energía S.A.S. E.S.P.</w:t>
            </w:r>
          </w:p>
        </w:tc>
        <w:tc>
          <w:tcPr>
            <w:tcW w:w="1600" w:type="dxa"/>
            <w:tcBorders>
              <w:top w:val="nil"/>
              <w:left w:val="nil"/>
              <w:bottom w:val="single" w:sz="4" w:space="0" w:color="auto"/>
              <w:right w:val="single" w:sz="4" w:space="0" w:color="auto"/>
            </w:tcBorders>
            <w:shd w:val="clear" w:color="auto" w:fill="auto"/>
            <w:noWrap/>
            <w:vAlign w:val="center"/>
            <w:hideMark/>
          </w:tcPr>
          <w:p w14:paraId="03AA670A" w14:textId="77777777" w:rsidR="00454717" w:rsidRPr="00454717" w:rsidRDefault="00454717" w:rsidP="00D22441">
            <w:pPr>
              <w:jc w:val="lef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 xml:space="preserve">           11.244.002.117 </w:t>
            </w:r>
          </w:p>
        </w:tc>
        <w:tc>
          <w:tcPr>
            <w:tcW w:w="1600" w:type="dxa"/>
            <w:tcBorders>
              <w:top w:val="nil"/>
              <w:left w:val="nil"/>
              <w:bottom w:val="single" w:sz="4" w:space="0" w:color="auto"/>
              <w:right w:val="single" w:sz="4" w:space="0" w:color="auto"/>
            </w:tcBorders>
            <w:shd w:val="clear" w:color="auto" w:fill="auto"/>
            <w:noWrap/>
            <w:vAlign w:val="center"/>
            <w:hideMark/>
          </w:tcPr>
          <w:p w14:paraId="3B3F95A4" w14:textId="77777777" w:rsidR="00454717" w:rsidRPr="00454717" w:rsidRDefault="00454717" w:rsidP="00D22441">
            <w:pPr>
              <w:jc w:val="lef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 xml:space="preserve"> No reportó </w:t>
            </w:r>
          </w:p>
        </w:tc>
      </w:tr>
      <w:tr w:rsidR="00454717" w:rsidRPr="00454717" w14:paraId="792F64E0" w14:textId="77777777" w:rsidTr="00454717">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28519F37" w14:textId="77777777" w:rsidR="00454717" w:rsidRPr="00454717" w:rsidRDefault="00454717" w:rsidP="00D22441">
            <w:pPr>
              <w:jc w:val="righ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24</w:t>
            </w:r>
          </w:p>
        </w:tc>
        <w:tc>
          <w:tcPr>
            <w:tcW w:w="480" w:type="dxa"/>
            <w:tcBorders>
              <w:top w:val="nil"/>
              <w:left w:val="nil"/>
              <w:bottom w:val="single" w:sz="4" w:space="0" w:color="auto"/>
              <w:right w:val="single" w:sz="4" w:space="0" w:color="auto"/>
            </w:tcBorders>
            <w:shd w:val="clear" w:color="auto" w:fill="auto"/>
            <w:noWrap/>
            <w:vAlign w:val="center"/>
            <w:hideMark/>
          </w:tcPr>
          <w:p w14:paraId="5E55CB3C" w14:textId="77777777" w:rsidR="00454717" w:rsidRPr="00454717" w:rsidRDefault="00454717" w:rsidP="00D22441">
            <w:pPr>
              <w:jc w:val="righ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47483</w:t>
            </w:r>
          </w:p>
        </w:tc>
        <w:tc>
          <w:tcPr>
            <w:tcW w:w="780" w:type="dxa"/>
            <w:tcBorders>
              <w:top w:val="nil"/>
              <w:left w:val="nil"/>
              <w:bottom w:val="single" w:sz="4" w:space="0" w:color="auto"/>
              <w:right w:val="single" w:sz="4" w:space="0" w:color="auto"/>
            </w:tcBorders>
            <w:shd w:val="clear" w:color="auto" w:fill="auto"/>
            <w:noWrap/>
            <w:vAlign w:val="center"/>
            <w:hideMark/>
          </w:tcPr>
          <w:p w14:paraId="1C6296DD" w14:textId="77777777" w:rsidR="00454717" w:rsidRPr="00454717" w:rsidRDefault="00454717" w:rsidP="00D22441">
            <w:pPr>
              <w:jc w:val="righ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804011155</w:t>
            </w:r>
          </w:p>
        </w:tc>
        <w:tc>
          <w:tcPr>
            <w:tcW w:w="4620" w:type="dxa"/>
            <w:tcBorders>
              <w:top w:val="nil"/>
              <w:left w:val="nil"/>
              <w:bottom w:val="single" w:sz="4" w:space="0" w:color="auto"/>
              <w:right w:val="single" w:sz="4" w:space="0" w:color="auto"/>
            </w:tcBorders>
            <w:shd w:val="clear" w:color="auto" w:fill="auto"/>
            <w:vAlign w:val="center"/>
            <w:hideMark/>
          </w:tcPr>
          <w:p w14:paraId="0D425C81" w14:textId="77777777" w:rsidR="00454717" w:rsidRPr="00454717" w:rsidRDefault="00454717" w:rsidP="00D22441">
            <w:pPr>
              <w:jc w:val="lef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CIAZ SAS ESP</w:t>
            </w:r>
          </w:p>
        </w:tc>
        <w:tc>
          <w:tcPr>
            <w:tcW w:w="1600" w:type="dxa"/>
            <w:tcBorders>
              <w:top w:val="nil"/>
              <w:left w:val="nil"/>
              <w:bottom w:val="single" w:sz="4" w:space="0" w:color="auto"/>
              <w:right w:val="single" w:sz="4" w:space="0" w:color="auto"/>
            </w:tcBorders>
            <w:shd w:val="clear" w:color="auto" w:fill="auto"/>
            <w:noWrap/>
            <w:vAlign w:val="center"/>
            <w:hideMark/>
          </w:tcPr>
          <w:p w14:paraId="45E36787" w14:textId="77777777" w:rsidR="00454717" w:rsidRPr="00454717" w:rsidRDefault="00454717" w:rsidP="00D22441">
            <w:pPr>
              <w:jc w:val="lef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 xml:space="preserve">                 41.591.494 </w:t>
            </w:r>
          </w:p>
        </w:tc>
        <w:tc>
          <w:tcPr>
            <w:tcW w:w="1600" w:type="dxa"/>
            <w:tcBorders>
              <w:top w:val="nil"/>
              <w:left w:val="nil"/>
              <w:bottom w:val="single" w:sz="4" w:space="0" w:color="auto"/>
              <w:right w:val="single" w:sz="4" w:space="0" w:color="auto"/>
            </w:tcBorders>
            <w:shd w:val="clear" w:color="auto" w:fill="auto"/>
            <w:noWrap/>
            <w:vAlign w:val="center"/>
            <w:hideMark/>
          </w:tcPr>
          <w:p w14:paraId="40077564" w14:textId="77777777" w:rsidR="00454717" w:rsidRPr="00454717" w:rsidRDefault="00454717" w:rsidP="00D22441">
            <w:pPr>
              <w:jc w:val="lef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 xml:space="preserve"> No reportó </w:t>
            </w:r>
          </w:p>
        </w:tc>
      </w:tr>
      <w:tr w:rsidR="00454717" w:rsidRPr="00454717" w14:paraId="4FD378C4" w14:textId="77777777" w:rsidTr="00454717">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2A3DE6A1" w14:textId="77777777" w:rsidR="00454717" w:rsidRPr="00454717" w:rsidRDefault="00454717" w:rsidP="00D22441">
            <w:pPr>
              <w:jc w:val="righ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25</w:t>
            </w:r>
          </w:p>
        </w:tc>
        <w:tc>
          <w:tcPr>
            <w:tcW w:w="480" w:type="dxa"/>
            <w:tcBorders>
              <w:top w:val="nil"/>
              <w:left w:val="nil"/>
              <w:bottom w:val="single" w:sz="4" w:space="0" w:color="auto"/>
              <w:right w:val="single" w:sz="4" w:space="0" w:color="auto"/>
            </w:tcBorders>
            <w:shd w:val="clear" w:color="auto" w:fill="auto"/>
            <w:noWrap/>
            <w:vAlign w:val="center"/>
            <w:hideMark/>
          </w:tcPr>
          <w:p w14:paraId="23C56EB4" w14:textId="77777777" w:rsidR="00454717" w:rsidRPr="00454717" w:rsidRDefault="00454717" w:rsidP="00D22441">
            <w:pPr>
              <w:jc w:val="righ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49172</w:t>
            </w:r>
          </w:p>
        </w:tc>
        <w:tc>
          <w:tcPr>
            <w:tcW w:w="780" w:type="dxa"/>
            <w:tcBorders>
              <w:top w:val="nil"/>
              <w:left w:val="nil"/>
              <w:bottom w:val="single" w:sz="4" w:space="0" w:color="auto"/>
              <w:right w:val="single" w:sz="4" w:space="0" w:color="auto"/>
            </w:tcBorders>
            <w:shd w:val="clear" w:color="auto" w:fill="auto"/>
            <w:noWrap/>
            <w:vAlign w:val="center"/>
            <w:hideMark/>
          </w:tcPr>
          <w:p w14:paraId="6834BC6A" w14:textId="77777777" w:rsidR="00454717" w:rsidRPr="00454717" w:rsidRDefault="00454717" w:rsidP="00D22441">
            <w:pPr>
              <w:jc w:val="righ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901217206</w:t>
            </w:r>
          </w:p>
        </w:tc>
        <w:tc>
          <w:tcPr>
            <w:tcW w:w="4620" w:type="dxa"/>
            <w:tcBorders>
              <w:top w:val="nil"/>
              <w:left w:val="nil"/>
              <w:bottom w:val="single" w:sz="4" w:space="0" w:color="auto"/>
              <w:right w:val="single" w:sz="4" w:space="0" w:color="auto"/>
            </w:tcBorders>
            <w:shd w:val="clear" w:color="auto" w:fill="auto"/>
            <w:vAlign w:val="center"/>
            <w:hideMark/>
          </w:tcPr>
          <w:p w14:paraId="4A2D2438" w14:textId="77777777" w:rsidR="00454717" w:rsidRPr="00454717" w:rsidRDefault="00454717" w:rsidP="00D22441">
            <w:pPr>
              <w:jc w:val="lef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ATINKANA S.A.S. E.S.P.</w:t>
            </w:r>
          </w:p>
        </w:tc>
        <w:tc>
          <w:tcPr>
            <w:tcW w:w="1600" w:type="dxa"/>
            <w:tcBorders>
              <w:top w:val="nil"/>
              <w:left w:val="nil"/>
              <w:bottom w:val="single" w:sz="4" w:space="0" w:color="auto"/>
              <w:right w:val="single" w:sz="4" w:space="0" w:color="auto"/>
            </w:tcBorders>
            <w:shd w:val="clear" w:color="auto" w:fill="auto"/>
            <w:noWrap/>
            <w:vAlign w:val="center"/>
            <w:hideMark/>
          </w:tcPr>
          <w:p w14:paraId="40D35FE5" w14:textId="77777777" w:rsidR="00454717" w:rsidRPr="00454717" w:rsidRDefault="00454717" w:rsidP="00D22441">
            <w:pPr>
              <w:jc w:val="lef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 xml:space="preserve">                724.873.764 </w:t>
            </w:r>
          </w:p>
        </w:tc>
        <w:tc>
          <w:tcPr>
            <w:tcW w:w="1600" w:type="dxa"/>
            <w:tcBorders>
              <w:top w:val="nil"/>
              <w:left w:val="nil"/>
              <w:bottom w:val="single" w:sz="4" w:space="0" w:color="auto"/>
              <w:right w:val="single" w:sz="4" w:space="0" w:color="auto"/>
            </w:tcBorders>
            <w:shd w:val="clear" w:color="auto" w:fill="auto"/>
            <w:noWrap/>
            <w:vAlign w:val="center"/>
            <w:hideMark/>
          </w:tcPr>
          <w:p w14:paraId="0812AF15" w14:textId="77777777" w:rsidR="00454717" w:rsidRPr="00454717" w:rsidRDefault="00454717" w:rsidP="00D22441">
            <w:pPr>
              <w:jc w:val="lef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 xml:space="preserve"> No reportó </w:t>
            </w:r>
          </w:p>
        </w:tc>
      </w:tr>
      <w:tr w:rsidR="00454717" w:rsidRPr="00454717" w14:paraId="1FBF375E" w14:textId="77777777" w:rsidTr="00454717">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7ECCE39F" w14:textId="77777777" w:rsidR="00454717" w:rsidRPr="00454717" w:rsidRDefault="00454717" w:rsidP="00D22441">
            <w:pPr>
              <w:jc w:val="righ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26</w:t>
            </w:r>
          </w:p>
        </w:tc>
        <w:tc>
          <w:tcPr>
            <w:tcW w:w="480" w:type="dxa"/>
            <w:tcBorders>
              <w:top w:val="nil"/>
              <w:left w:val="nil"/>
              <w:bottom w:val="single" w:sz="4" w:space="0" w:color="auto"/>
              <w:right w:val="single" w:sz="4" w:space="0" w:color="auto"/>
            </w:tcBorders>
            <w:shd w:val="clear" w:color="auto" w:fill="auto"/>
            <w:noWrap/>
            <w:vAlign w:val="center"/>
            <w:hideMark/>
          </w:tcPr>
          <w:p w14:paraId="15454499" w14:textId="77777777" w:rsidR="00454717" w:rsidRPr="00454717" w:rsidRDefault="00454717" w:rsidP="00D22441">
            <w:pPr>
              <w:jc w:val="righ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50205</w:t>
            </w:r>
          </w:p>
        </w:tc>
        <w:tc>
          <w:tcPr>
            <w:tcW w:w="780" w:type="dxa"/>
            <w:tcBorders>
              <w:top w:val="nil"/>
              <w:left w:val="nil"/>
              <w:bottom w:val="single" w:sz="4" w:space="0" w:color="auto"/>
              <w:right w:val="single" w:sz="4" w:space="0" w:color="auto"/>
            </w:tcBorders>
            <w:shd w:val="clear" w:color="auto" w:fill="auto"/>
            <w:noWrap/>
            <w:vAlign w:val="center"/>
            <w:hideMark/>
          </w:tcPr>
          <w:p w14:paraId="1D65628C" w14:textId="77777777" w:rsidR="00454717" w:rsidRPr="00454717" w:rsidRDefault="00454717" w:rsidP="00D22441">
            <w:pPr>
              <w:jc w:val="righ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901409438</w:t>
            </w:r>
          </w:p>
        </w:tc>
        <w:tc>
          <w:tcPr>
            <w:tcW w:w="4620" w:type="dxa"/>
            <w:tcBorders>
              <w:top w:val="nil"/>
              <w:left w:val="nil"/>
              <w:bottom w:val="single" w:sz="4" w:space="0" w:color="auto"/>
              <w:right w:val="single" w:sz="4" w:space="0" w:color="auto"/>
            </w:tcBorders>
            <w:shd w:val="clear" w:color="auto" w:fill="auto"/>
            <w:vAlign w:val="center"/>
            <w:hideMark/>
          </w:tcPr>
          <w:p w14:paraId="55825AD7" w14:textId="77777777" w:rsidR="00454717" w:rsidRPr="002C5AEF" w:rsidRDefault="00454717" w:rsidP="00D22441">
            <w:pPr>
              <w:jc w:val="left"/>
              <w:rPr>
                <w:rFonts w:ascii="Arial Narrow" w:hAnsi="Arial Narrow" w:cs="Calibri"/>
                <w:color w:val="000000"/>
                <w:spacing w:val="0"/>
                <w:sz w:val="16"/>
                <w:szCs w:val="16"/>
                <w:lang w:val="en-GB" w:eastAsia="es-CO"/>
              </w:rPr>
            </w:pPr>
            <w:r w:rsidRPr="002C5AEF">
              <w:rPr>
                <w:rFonts w:ascii="Arial Narrow" w:hAnsi="Arial Narrow" w:cs="Calibri"/>
                <w:color w:val="000000"/>
                <w:spacing w:val="0"/>
                <w:sz w:val="16"/>
                <w:szCs w:val="16"/>
                <w:lang w:val="en-GB" w:eastAsia="es-CO"/>
              </w:rPr>
              <w:t>GAP ENERGY GROUP S.A.S ESP</w:t>
            </w:r>
          </w:p>
        </w:tc>
        <w:tc>
          <w:tcPr>
            <w:tcW w:w="1600" w:type="dxa"/>
            <w:tcBorders>
              <w:top w:val="nil"/>
              <w:left w:val="nil"/>
              <w:bottom w:val="single" w:sz="4" w:space="0" w:color="auto"/>
              <w:right w:val="single" w:sz="4" w:space="0" w:color="auto"/>
            </w:tcBorders>
            <w:shd w:val="clear" w:color="auto" w:fill="auto"/>
            <w:noWrap/>
            <w:vAlign w:val="center"/>
            <w:hideMark/>
          </w:tcPr>
          <w:p w14:paraId="04E3DCF9" w14:textId="77777777" w:rsidR="00454717" w:rsidRPr="00454717" w:rsidRDefault="00454717" w:rsidP="00D22441">
            <w:pPr>
              <w:jc w:val="left"/>
              <w:rPr>
                <w:rFonts w:ascii="Arial Narrow" w:hAnsi="Arial Narrow" w:cs="Calibri"/>
                <w:color w:val="000000"/>
                <w:spacing w:val="0"/>
                <w:sz w:val="16"/>
                <w:szCs w:val="16"/>
                <w:lang w:eastAsia="es-CO"/>
              </w:rPr>
            </w:pPr>
            <w:r w:rsidRPr="002C5AEF">
              <w:rPr>
                <w:rFonts w:ascii="Arial Narrow" w:hAnsi="Arial Narrow" w:cs="Calibri"/>
                <w:color w:val="000000"/>
                <w:spacing w:val="0"/>
                <w:sz w:val="16"/>
                <w:szCs w:val="16"/>
                <w:lang w:val="en-GB" w:eastAsia="es-CO"/>
              </w:rPr>
              <w:t xml:space="preserve">                </w:t>
            </w:r>
            <w:r w:rsidRPr="00454717">
              <w:rPr>
                <w:rFonts w:ascii="Arial Narrow" w:hAnsi="Arial Narrow" w:cs="Calibri"/>
                <w:color w:val="000000"/>
                <w:spacing w:val="0"/>
                <w:sz w:val="16"/>
                <w:szCs w:val="16"/>
                <w:lang w:eastAsia="es-CO"/>
              </w:rPr>
              <w:t xml:space="preserve">948.981.000 </w:t>
            </w:r>
          </w:p>
        </w:tc>
        <w:tc>
          <w:tcPr>
            <w:tcW w:w="1600" w:type="dxa"/>
            <w:tcBorders>
              <w:top w:val="nil"/>
              <w:left w:val="nil"/>
              <w:bottom w:val="single" w:sz="4" w:space="0" w:color="auto"/>
              <w:right w:val="single" w:sz="4" w:space="0" w:color="auto"/>
            </w:tcBorders>
            <w:shd w:val="clear" w:color="auto" w:fill="auto"/>
            <w:noWrap/>
            <w:vAlign w:val="center"/>
            <w:hideMark/>
          </w:tcPr>
          <w:p w14:paraId="34A10164" w14:textId="77777777" w:rsidR="00454717" w:rsidRPr="00454717" w:rsidRDefault="00454717" w:rsidP="00D22441">
            <w:pPr>
              <w:jc w:val="lef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 xml:space="preserve"> No reportó </w:t>
            </w:r>
          </w:p>
        </w:tc>
      </w:tr>
      <w:tr w:rsidR="00454717" w:rsidRPr="00454717" w14:paraId="595D385E" w14:textId="77777777" w:rsidTr="00454717">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05BBC30E" w14:textId="77777777" w:rsidR="00454717" w:rsidRPr="00454717" w:rsidRDefault="00454717" w:rsidP="00D22441">
            <w:pPr>
              <w:jc w:val="righ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27</w:t>
            </w:r>
          </w:p>
        </w:tc>
        <w:tc>
          <w:tcPr>
            <w:tcW w:w="480" w:type="dxa"/>
            <w:tcBorders>
              <w:top w:val="nil"/>
              <w:left w:val="nil"/>
              <w:bottom w:val="single" w:sz="4" w:space="0" w:color="auto"/>
              <w:right w:val="single" w:sz="4" w:space="0" w:color="auto"/>
            </w:tcBorders>
            <w:shd w:val="clear" w:color="auto" w:fill="auto"/>
            <w:noWrap/>
            <w:vAlign w:val="center"/>
            <w:hideMark/>
          </w:tcPr>
          <w:p w14:paraId="0F36A284" w14:textId="77777777" w:rsidR="00454717" w:rsidRPr="00454717" w:rsidRDefault="00454717" w:rsidP="00D22441">
            <w:pPr>
              <w:jc w:val="righ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50303</w:t>
            </w:r>
          </w:p>
        </w:tc>
        <w:tc>
          <w:tcPr>
            <w:tcW w:w="780" w:type="dxa"/>
            <w:tcBorders>
              <w:top w:val="nil"/>
              <w:left w:val="nil"/>
              <w:bottom w:val="single" w:sz="4" w:space="0" w:color="auto"/>
              <w:right w:val="single" w:sz="4" w:space="0" w:color="auto"/>
            </w:tcBorders>
            <w:shd w:val="clear" w:color="auto" w:fill="auto"/>
            <w:noWrap/>
            <w:vAlign w:val="center"/>
            <w:hideMark/>
          </w:tcPr>
          <w:p w14:paraId="3E055ECC" w14:textId="77777777" w:rsidR="00454717" w:rsidRPr="00454717" w:rsidRDefault="00454717" w:rsidP="00D22441">
            <w:pPr>
              <w:jc w:val="righ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901261711</w:t>
            </w:r>
          </w:p>
        </w:tc>
        <w:tc>
          <w:tcPr>
            <w:tcW w:w="4620" w:type="dxa"/>
            <w:tcBorders>
              <w:top w:val="nil"/>
              <w:left w:val="nil"/>
              <w:bottom w:val="single" w:sz="4" w:space="0" w:color="auto"/>
              <w:right w:val="single" w:sz="4" w:space="0" w:color="auto"/>
            </w:tcBorders>
            <w:shd w:val="clear" w:color="auto" w:fill="auto"/>
            <w:vAlign w:val="center"/>
            <w:hideMark/>
          </w:tcPr>
          <w:p w14:paraId="6F127E77" w14:textId="77777777" w:rsidR="00454717" w:rsidRPr="00454717" w:rsidRDefault="00454717" w:rsidP="00D22441">
            <w:pPr>
              <w:jc w:val="lef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AAGES DEVELOPMENT COLOMBIA SAS ESP</w:t>
            </w:r>
          </w:p>
        </w:tc>
        <w:tc>
          <w:tcPr>
            <w:tcW w:w="1600" w:type="dxa"/>
            <w:tcBorders>
              <w:top w:val="nil"/>
              <w:left w:val="nil"/>
              <w:bottom w:val="single" w:sz="4" w:space="0" w:color="auto"/>
              <w:right w:val="single" w:sz="4" w:space="0" w:color="auto"/>
            </w:tcBorders>
            <w:shd w:val="clear" w:color="auto" w:fill="auto"/>
            <w:noWrap/>
            <w:vAlign w:val="center"/>
            <w:hideMark/>
          </w:tcPr>
          <w:p w14:paraId="338A8A93" w14:textId="77777777" w:rsidR="00454717" w:rsidRPr="00454717" w:rsidRDefault="00454717" w:rsidP="00D22441">
            <w:pPr>
              <w:jc w:val="lef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 xml:space="preserve">             3.135.317.000 </w:t>
            </w:r>
          </w:p>
        </w:tc>
        <w:tc>
          <w:tcPr>
            <w:tcW w:w="1600" w:type="dxa"/>
            <w:tcBorders>
              <w:top w:val="nil"/>
              <w:left w:val="nil"/>
              <w:bottom w:val="single" w:sz="4" w:space="0" w:color="auto"/>
              <w:right w:val="single" w:sz="4" w:space="0" w:color="auto"/>
            </w:tcBorders>
            <w:shd w:val="clear" w:color="auto" w:fill="auto"/>
            <w:noWrap/>
            <w:vAlign w:val="center"/>
            <w:hideMark/>
          </w:tcPr>
          <w:p w14:paraId="64F3003E" w14:textId="77777777" w:rsidR="00454717" w:rsidRPr="00454717" w:rsidRDefault="00454717" w:rsidP="00D22441">
            <w:pPr>
              <w:jc w:val="lef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 xml:space="preserve"> No reportó </w:t>
            </w:r>
          </w:p>
        </w:tc>
      </w:tr>
      <w:tr w:rsidR="00454717" w:rsidRPr="00454717" w14:paraId="49A91660" w14:textId="77777777" w:rsidTr="00454717">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684852ED" w14:textId="77777777" w:rsidR="00454717" w:rsidRPr="00454717" w:rsidRDefault="00454717" w:rsidP="00D22441">
            <w:pPr>
              <w:jc w:val="righ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28</w:t>
            </w:r>
          </w:p>
        </w:tc>
        <w:tc>
          <w:tcPr>
            <w:tcW w:w="480" w:type="dxa"/>
            <w:tcBorders>
              <w:top w:val="nil"/>
              <w:left w:val="nil"/>
              <w:bottom w:val="single" w:sz="4" w:space="0" w:color="auto"/>
              <w:right w:val="single" w:sz="4" w:space="0" w:color="auto"/>
            </w:tcBorders>
            <w:shd w:val="clear" w:color="auto" w:fill="auto"/>
            <w:noWrap/>
            <w:vAlign w:val="center"/>
            <w:hideMark/>
          </w:tcPr>
          <w:p w14:paraId="39A233B3" w14:textId="77777777" w:rsidR="00454717" w:rsidRPr="00454717" w:rsidRDefault="00454717" w:rsidP="00D22441">
            <w:pPr>
              <w:jc w:val="righ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50885</w:t>
            </w:r>
          </w:p>
        </w:tc>
        <w:tc>
          <w:tcPr>
            <w:tcW w:w="780" w:type="dxa"/>
            <w:tcBorders>
              <w:top w:val="nil"/>
              <w:left w:val="nil"/>
              <w:bottom w:val="single" w:sz="4" w:space="0" w:color="auto"/>
              <w:right w:val="single" w:sz="4" w:space="0" w:color="auto"/>
            </w:tcBorders>
            <w:shd w:val="clear" w:color="auto" w:fill="auto"/>
            <w:noWrap/>
            <w:vAlign w:val="center"/>
            <w:hideMark/>
          </w:tcPr>
          <w:p w14:paraId="1EA63F8F" w14:textId="77777777" w:rsidR="00454717" w:rsidRPr="00454717" w:rsidRDefault="00454717" w:rsidP="00D22441">
            <w:pPr>
              <w:jc w:val="righ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901251202</w:t>
            </w:r>
          </w:p>
        </w:tc>
        <w:tc>
          <w:tcPr>
            <w:tcW w:w="4620" w:type="dxa"/>
            <w:tcBorders>
              <w:top w:val="nil"/>
              <w:left w:val="nil"/>
              <w:bottom w:val="single" w:sz="4" w:space="0" w:color="auto"/>
              <w:right w:val="single" w:sz="4" w:space="0" w:color="auto"/>
            </w:tcBorders>
            <w:shd w:val="clear" w:color="auto" w:fill="auto"/>
            <w:vAlign w:val="center"/>
            <w:hideMark/>
          </w:tcPr>
          <w:p w14:paraId="6AE10925" w14:textId="77777777" w:rsidR="00454717" w:rsidRPr="00454717" w:rsidRDefault="00454717" w:rsidP="00D22441">
            <w:pPr>
              <w:jc w:val="lef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CENTRAL HIDROELECTRICA ZEUS SAS ESP</w:t>
            </w:r>
          </w:p>
        </w:tc>
        <w:tc>
          <w:tcPr>
            <w:tcW w:w="1600" w:type="dxa"/>
            <w:tcBorders>
              <w:top w:val="nil"/>
              <w:left w:val="nil"/>
              <w:bottom w:val="single" w:sz="4" w:space="0" w:color="auto"/>
              <w:right w:val="single" w:sz="4" w:space="0" w:color="auto"/>
            </w:tcBorders>
            <w:shd w:val="clear" w:color="auto" w:fill="auto"/>
            <w:noWrap/>
            <w:vAlign w:val="center"/>
            <w:hideMark/>
          </w:tcPr>
          <w:p w14:paraId="5628B31F" w14:textId="77777777" w:rsidR="00454717" w:rsidRPr="00454717" w:rsidRDefault="00454717" w:rsidP="00D22441">
            <w:pPr>
              <w:jc w:val="lef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 xml:space="preserve">                 59.863.000 </w:t>
            </w:r>
          </w:p>
        </w:tc>
        <w:tc>
          <w:tcPr>
            <w:tcW w:w="1600" w:type="dxa"/>
            <w:tcBorders>
              <w:top w:val="nil"/>
              <w:left w:val="nil"/>
              <w:bottom w:val="single" w:sz="4" w:space="0" w:color="auto"/>
              <w:right w:val="single" w:sz="4" w:space="0" w:color="auto"/>
            </w:tcBorders>
            <w:shd w:val="clear" w:color="auto" w:fill="auto"/>
            <w:noWrap/>
            <w:vAlign w:val="center"/>
            <w:hideMark/>
          </w:tcPr>
          <w:p w14:paraId="726C8EA4" w14:textId="77777777" w:rsidR="00454717" w:rsidRPr="00454717" w:rsidRDefault="00454717" w:rsidP="00D22441">
            <w:pPr>
              <w:jc w:val="lef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 xml:space="preserve"> No reportó </w:t>
            </w:r>
          </w:p>
        </w:tc>
      </w:tr>
      <w:tr w:rsidR="00454717" w:rsidRPr="00454717" w14:paraId="211DEE57" w14:textId="77777777" w:rsidTr="00454717">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76CC30D2" w14:textId="77777777" w:rsidR="00454717" w:rsidRPr="00454717" w:rsidRDefault="00454717" w:rsidP="00D22441">
            <w:pPr>
              <w:jc w:val="righ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29</w:t>
            </w:r>
          </w:p>
        </w:tc>
        <w:tc>
          <w:tcPr>
            <w:tcW w:w="480" w:type="dxa"/>
            <w:tcBorders>
              <w:top w:val="nil"/>
              <w:left w:val="nil"/>
              <w:bottom w:val="single" w:sz="4" w:space="0" w:color="auto"/>
              <w:right w:val="single" w:sz="4" w:space="0" w:color="auto"/>
            </w:tcBorders>
            <w:shd w:val="clear" w:color="auto" w:fill="auto"/>
            <w:noWrap/>
            <w:vAlign w:val="center"/>
            <w:hideMark/>
          </w:tcPr>
          <w:p w14:paraId="1279E13A" w14:textId="77777777" w:rsidR="00454717" w:rsidRPr="00454717" w:rsidRDefault="00454717" w:rsidP="00D22441">
            <w:pPr>
              <w:jc w:val="righ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51566</w:t>
            </w:r>
          </w:p>
        </w:tc>
        <w:tc>
          <w:tcPr>
            <w:tcW w:w="780" w:type="dxa"/>
            <w:tcBorders>
              <w:top w:val="nil"/>
              <w:left w:val="nil"/>
              <w:bottom w:val="single" w:sz="4" w:space="0" w:color="auto"/>
              <w:right w:val="single" w:sz="4" w:space="0" w:color="auto"/>
            </w:tcBorders>
            <w:shd w:val="clear" w:color="auto" w:fill="auto"/>
            <w:noWrap/>
            <w:vAlign w:val="center"/>
            <w:hideMark/>
          </w:tcPr>
          <w:p w14:paraId="68C22823" w14:textId="77777777" w:rsidR="00454717" w:rsidRPr="00454717" w:rsidRDefault="00454717" w:rsidP="00D22441">
            <w:pPr>
              <w:jc w:val="righ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901426492</w:t>
            </w:r>
          </w:p>
        </w:tc>
        <w:tc>
          <w:tcPr>
            <w:tcW w:w="4620" w:type="dxa"/>
            <w:tcBorders>
              <w:top w:val="nil"/>
              <w:left w:val="nil"/>
              <w:bottom w:val="single" w:sz="4" w:space="0" w:color="auto"/>
              <w:right w:val="single" w:sz="4" w:space="0" w:color="auto"/>
            </w:tcBorders>
            <w:shd w:val="clear" w:color="auto" w:fill="auto"/>
            <w:vAlign w:val="center"/>
            <w:hideMark/>
          </w:tcPr>
          <w:p w14:paraId="7B8ABE26" w14:textId="77777777" w:rsidR="00454717" w:rsidRPr="00454717" w:rsidRDefault="00454717" w:rsidP="00D22441">
            <w:pPr>
              <w:jc w:val="lef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BIOPLANET SERVICES SAS ESP</w:t>
            </w:r>
          </w:p>
        </w:tc>
        <w:tc>
          <w:tcPr>
            <w:tcW w:w="1600" w:type="dxa"/>
            <w:tcBorders>
              <w:top w:val="nil"/>
              <w:left w:val="nil"/>
              <w:bottom w:val="single" w:sz="4" w:space="0" w:color="auto"/>
              <w:right w:val="single" w:sz="4" w:space="0" w:color="auto"/>
            </w:tcBorders>
            <w:shd w:val="clear" w:color="auto" w:fill="auto"/>
            <w:noWrap/>
            <w:vAlign w:val="center"/>
            <w:hideMark/>
          </w:tcPr>
          <w:p w14:paraId="14ADA62D" w14:textId="77777777" w:rsidR="00454717" w:rsidRPr="00454717" w:rsidRDefault="00454717" w:rsidP="00D22441">
            <w:pPr>
              <w:jc w:val="lef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 xml:space="preserve">                 98.679.000 </w:t>
            </w:r>
          </w:p>
        </w:tc>
        <w:tc>
          <w:tcPr>
            <w:tcW w:w="1600" w:type="dxa"/>
            <w:tcBorders>
              <w:top w:val="nil"/>
              <w:left w:val="nil"/>
              <w:bottom w:val="single" w:sz="4" w:space="0" w:color="auto"/>
              <w:right w:val="single" w:sz="4" w:space="0" w:color="auto"/>
            </w:tcBorders>
            <w:shd w:val="clear" w:color="auto" w:fill="auto"/>
            <w:noWrap/>
            <w:vAlign w:val="center"/>
            <w:hideMark/>
          </w:tcPr>
          <w:p w14:paraId="64CCD540" w14:textId="77777777" w:rsidR="00454717" w:rsidRPr="00454717" w:rsidRDefault="00454717" w:rsidP="00D22441">
            <w:pPr>
              <w:jc w:val="lef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 xml:space="preserve"> No reportó </w:t>
            </w:r>
          </w:p>
        </w:tc>
      </w:tr>
      <w:tr w:rsidR="00454717" w:rsidRPr="00454717" w14:paraId="0D197A82" w14:textId="77777777" w:rsidTr="000022EE">
        <w:trPr>
          <w:trHeight w:val="307"/>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144D3D46" w14:textId="77777777" w:rsidR="00454717" w:rsidRPr="00454717" w:rsidRDefault="00454717" w:rsidP="00D22441">
            <w:pPr>
              <w:jc w:val="righ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30</w:t>
            </w:r>
          </w:p>
        </w:tc>
        <w:tc>
          <w:tcPr>
            <w:tcW w:w="480" w:type="dxa"/>
            <w:tcBorders>
              <w:top w:val="nil"/>
              <w:left w:val="nil"/>
              <w:bottom w:val="single" w:sz="4" w:space="0" w:color="auto"/>
              <w:right w:val="single" w:sz="4" w:space="0" w:color="auto"/>
            </w:tcBorders>
            <w:shd w:val="clear" w:color="auto" w:fill="auto"/>
            <w:noWrap/>
            <w:vAlign w:val="center"/>
            <w:hideMark/>
          </w:tcPr>
          <w:p w14:paraId="72346CB6" w14:textId="77777777" w:rsidR="00454717" w:rsidRPr="00454717" w:rsidRDefault="00454717" w:rsidP="00D22441">
            <w:pPr>
              <w:jc w:val="righ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54406</w:t>
            </w:r>
          </w:p>
        </w:tc>
        <w:tc>
          <w:tcPr>
            <w:tcW w:w="780" w:type="dxa"/>
            <w:tcBorders>
              <w:top w:val="nil"/>
              <w:left w:val="nil"/>
              <w:bottom w:val="single" w:sz="4" w:space="0" w:color="auto"/>
              <w:right w:val="single" w:sz="4" w:space="0" w:color="auto"/>
            </w:tcBorders>
            <w:shd w:val="clear" w:color="auto" w:fill="auto"/>
            <w:noWrap/>
            <w:vAlign w:val="center"/>
            <w:hideMark/>
          </w:tcPr>
          <w:p w14:paraId="603B6A7E" w14:textId="77777777" w:rsidR="00454717" w:rsidRPr="00454717" w:rsidRDefault="00454717" w:rsidP="00D22441">
            <w:pPr>
              <w:jc w:val="righ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900206503</w:t>
            </w:r>
          </w:p>
        </w:tc>
        <w:tc>
          <w:tcPr>
            <w:tcW w:w="4620" w:type="dxa"/>
            <w:tcBorders>
              <w:top w:val="nil"/>
              <w:left w:val="nil"/>
              <w:bottom w:val="single" w:sz="4" w:space="0" w:color="auto"/>
              <w:right w:val="single" w:sz="4" w:space="0" w:color="auto"/>
            </w:tcBorders>
            <w:shd w:val="clear" w:color="auto" w:fill="auto"/>
            <w:vAlign w:val="center"/>
            <w:hideMark/>
          </w:tcPr>
          <w:p w14:paraId="62713EA9" w14:textId="2E724460" w:rsidR="00454717" w:rsidRPr="00454717" w:rsidRDefault="00454717" w:rsidP="00D22441">
            <w:pPr>
              <w:jc w:val="lef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 xml:space="preserve">Transacciones </w:t>
            </w:r>
            <w:r w:rsidR="000022EE" w:rsidRPr="00454717">
              <w:rPr>
                <w:rFonts w:ascii="Arial Narrow" w:hAnsi="Arial Narrow" w:cs="Calibri"/>
                <w:color w:val="000000"/>
                <w:spacing w:val="0"/>
                <w:sz w:val="16"/>
                <w:szCs w:val="16"/>
                <w:lang w:eastAsia="es-CO"/>
              </w:rPr>
              <w:t>Energéticas</w:t>
            </w:r>
            <w:r w:rsidRPr="00454717">
              <w:rPr>
                <w:rFonts w:ascii="Arial Narrow" w:hAnsi="Arial Narrow" w:cs="Calibri"/>
                <w:color w:val="000000"/>
                <w:spacing w:val="0"/>
                <w:sz w:val="16"/>
                <w:szCs w:val="16"/>
                <w:lang w:eastAsia="es-CO"/>
              </w:rPr>
              <w:t xml:space="preserve"> S.A.S Empresa de Servicios Públicos E.S.P</w:t>
            </w:r>
            <w:r w:rsidR="000022EE">
              <w:rPr>
                <w:rFonts w:ascii="Arial Narrow" w:hAnsi="Arial Narrow" w:cs="Calibri"/>
                <w:color w:val="000000"/>
                <w:spacing w:val="0"/>
                <w:sz w:val="16"/>
                <w:szCs w:val="16"/>
                <w:lang w:eastAsia="es-CO"/>
              </w:rPr>
              <w:t>.</w:t>
            </w:r>
          </w:p>
        </w:tc>
        <w:tc>
          <w:tcPr>
            <w:tcW w:w="1600" w:type="dxa"/>
            <w:tcBorders>
              <w:top w:val="nil"/>
              <w:left w:val="nil"/>
              <w:bottom w:val="single" w:sz="4" w:space="0" w:color="auto"/>
              <w:right w:val="single" w:sz="4" w:space="0" w:color="auto"/>
            </w:tcBorders>
            <w:shd w:val="clear" w:color="auto" w:fill="auto"/>
            <w:noWrap/>
            <w:vAlign w:val="center"/>
            <w:hideMark/>
          </w:tcPr>
          <w:p w14:paraId="2D7DBFE6" w14:textId="77777777" w:rsidR="00454717" w:rsidRPr="00454717" w:rsidRDefault="00454717" w:rsidP="00D22441">
            <w:pPr>
              <w:jc w:val="lef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 xml:space="preserve">                738.388.175 </w:t>
            </w:r>
          </w:p>
        </w:tc>
        <w:tc>
          <w:tcPr>
            <w:tcW w:w="1600" w:type="dxa"/>
            <w:tcBorders>
              <w:top w:val="nil"/>
              <w:left w:val="nil"/>
              <w:bottom w:val="single" w:sz="4" w:space="0" w:color="auto"/>
              <w:right w:val="single" w:sz="4" w:space="0" w:color="auto"/>
            </w:tcBorders>
            <w:shd w:val="clear" w:color="auto" w:fill="auto"/>
            <w:noWrap/>
            <w:vAlign w:val="center"/>
            <w:hideMark/>
          </w:tcPr>
          <w:p w14:paraId="4C37A09D" w14:textId="77777777" w:rsidR="00454717" w:rsidRPr="00454717" w:rsidRDefault="00454717" w:rsidP="00D22441">
            <w:pPr>
              <w:jc w:val="lef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 xml:space="preserve"> No reportó </w:t>
            </w:r>
          </w:p>
        </w:tc>
      </w:tr>
      <w:tr w:rsidR="00454717" w:rsidRPr="00454717" w14:paraId="2F9B5530" w14:textId="77777777" w:rsidTr="00454717">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257D8E0B" w14:textId="77777777" w:rsidR="00454717" w:rsidRPr="00454717" w:rsidRDefault="00454717" w:rsidP="00D22441">
            <w:pPr>
              <w:jc w:val="righ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31</w:t>
            </w:r>
          </w:p>
        </w:tc>
        <w:tc>
          <w:tcPr>
            <w:tcW w:w="480" w:type="dxa"/>
            <w:tcBorders>
              <w:top w:val="nil"/>
              <w:left w:val="nil"/>
              <w:bottom w:val="single" w:sz="4" w:space="0" w:color="auto"/>
              <w:right w:val="single" w:sz="4" w:space="0" w:color="auto"/>
            </w:tcBorders>
            <w:shd w:val="clear" w:color="auto" w:fill="auto"/>
            <w:noWrap/>
            <w:vAlign w:val="center"/>
            <w:hideMark/>
          </w:tcPr>
          <w:p w14:paraId="5CBEF40B" w14:textId="77777777" w:rsidR="00454717" w:rsidRPr="00454717" w:rsidRDefault="00454717" w:rsidP="00D22441">
            <w:pPr>
              <w:jc w:val="righ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54786</w:t>
            </w:r>
          </w:p>
        </w:tc>
        <w:tc>
          <w:tcPr>
            <w:tcW w:w="780" w:type="dxa"/>
            <w:tcBorders>
              <w:top w:val="nil"/>
              <w:left w:val="nil"/>
              <w:bottom w:val="single" w:sz="4" w:space="0" w:color="auto"/>
              <w:right w:val="single" w:sz="4" w:space="0" w:color="auto"/>
            </w:tcBorders>
            <w:shd w:val="clear" w:color="auto" w:fill="auto"/>
            <w:noWrap/>
            <w:vAlign w:val="center"/>
            <w:hideMark/>
          </w:tcPr>
          <w:p w14:paraId="24A51EBE" w14:textId="77777777" w:rsidR="00454717" w:rsidRPr="00454717" w:rsidRDefault="00454717" w:rsidP="00D22441">
            <w:pPr>
              <w:jc w:val="righ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901335304</w:t>
            </w:r>
          </w:p>
        </w:tc>
        <w:tc>
          <w:tcPr>
            <w:tcW w:w="4620" w:type="dxa"/>
            <w:tcBorders>
              <w:top w:val="nil"/>
              <w:left w:val="nil"/>
              <w:bottom w:val="single" w:sz="4" w:space="0" w:color="auto"/>
              <w:right w:val="single" w:sz="4" w:space="0" w:color="auto"/>
            </w:tcBorders>
            <w:shd w:val="clear" w:color="auto" w:fill="auto"/>
            <w:vAlign w:val="center"/>
            <w:hideMark/>
          </w:tcPr>
          <w:p w14:paraId="6D992335" w14:textId="77777777" w:rsidR="00454717" w:rsidRPr="00454717" w:rsidRDefault="00454717" w:rsidP="00D22441">
            <w:pPr>
              <w:jc w:val="lef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TRINA SOLAR GENERADOR COLOMBIA SAN FELIPE SAS</w:t>
            </w:r>
          </w:p>
        </w:tc>
        <w:tc>
          <w:tcPr>
            <w:tcW w:w="1600" w:type="dxa"/>
            <w:tcBorders>
              <w:top w:val="nil"/>
              <w:left w:val="nil"/>
              <w:bottom w:val="single" w:sz="4" w:space="0" w:color="auto"/>
              <w:right w:val="single" w:sz="4" w:space="0" w:color="auto"/>
            </w:tcBorders>
            <w:shd w:val="clear" w:color="auto" w:fill="auto"/>
            <w:noWrap/>
            <w:vAlign w:val="center"/>
            <w:hideMark/>
          </w:tcPr>
          <w:p w14:paraId="26E88D56" w14:textId="77777777" w:rsidR="00454717" w:rsidRPr="00454717" w:rsidRDefault="00454717" w:rsidP="00D22441">
            <w:pPr>
              <w:jc w:val="lef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 xml:space="preserve">                 46.545.798 </w:t>
            </w:r>
          </w:p>
        </w:tc>
        <w:tc>
          <w:tcPr>
            <w:tcW w:w="1600" w:type="dxa"/>
            <w:tcBorders>
              <w:top w:val="nil"/>
              <w:left w:val="nil"/>
              <w:bottom w:val="single" w:sz="4" w:space="0" w:color="auto"/>
              <w:right w:val="single" w:sz="4" w:space="0" w:color="auto"/>
            </w:tcBorders>
            <w:shd w:val="clear" w:color="auto" w:fill="auto"/>
            <w:noWrap/>
            <w:vAlign w:val="center"/>
            <w:hideMark/>
          </w:tcPr>
          <w:p w14:paraId="4282D111" w14:textId="77777777" w:rsidR="00454717" w:rsidRPr="00454717" w:rsidRDefault="00454717" w:rsidP="00D22441">
            <w:pPr>
              <w:jc w:val="lef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 xml:space="preserve"> No reportó </w:t>
            </w:r>
          </w:p>
        </w:tc>
      </w:tr>
      <w:tr w:rsidR="00454717" w:rsidRPr="00454717" w14:paraId="64575E1D" w14:textId="77777777" w:rsidTr="00454717">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751FEE5F" w14:textId="77777777" w:rsidR="00454717" w:rsidRPr="00454717" w:rsidRDefault="00454717" w:rsidP="00D22441">
            <w:pPr>
              <w:jc w:val="righ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32</w:t>
            </w:r>
          </w:p>
        </w:tc>
        <w:tc>
          <w:tcPr>
            <w:tcW w:w="480" w:type="dxa"/>
            <w:tcBorders>
              <w:top w:val="nil"/>
              <w:left w:val="nil"/>
              <w:bottom w:val="single" w:sz="4" w:space="0" w:color="auto"/>
              <w:right w:val="single" w:sz="4" w:space="0" w:color="auto"/>
            </w:tcBorders>
            <w:shd w:val="clear" w:color="auto" w:fill="auto"/>
            <w:noWrap/>
            <w:vAlign w:val="center"/>
            <w:hideMark/>
          </w:tcPr>
          <w:p w14:paraId="6508ADD7" w14:textId="77777777" w:rsidR="00454717" w:rsidRPr="00454717" w:rsidRDefault="00454717" w:rsidP="00D22441">
            <w:pPr>
              <w:jc w:val="righ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56126</w:t>
            </w:r>
          </w:p>
        </w:tc>
        <w:tc>
          <w:tcPr>
            <w:tcW w:w="780" w:type="dxa"/>
            <w:tcBorders>
              <w:top w:val="nil"/>
              <w:left w:val="nil"/>
              <w:bottom w:val="single" w:sz="4" w:space="0" w:color="auto"/>
              <w:right w:val="single" w:sz="4" w:space="0" w:color="auto"/>
            </w:tcBorders>
            <w:shd w:val="clear" w:color="auto" w:fill="auto"/>
            <w:noWrap/>
            <w:vAlign w:val="center"/>
            <w:hideMark/>
          </w:tcPr>
          <w:p w14:paraId="190210B6" w14:textId="77777777" w:rsidR="00454717" w:rsidRPr="00454717" w:rsidRDefault="00454717" w:rsidP="00D22441">
            <w:pPr>
              <w:jc w:val="righ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901335349</w:t>
            </w:r>
          </w:p>
        </w:tc>
        <w:tc>
          <w:tcPr>
            <w:tcW w:w="4620" w:type="dxa"/>
            <w:tcBorders>
              <w:top w:val="nil"/>
              <w:left w:val="nil"/>
              <w:bottom w:val="single" w:sz="4" w:space="0" w:color="auto"/>
              <w:right w:val="single" w:sz="4" w:space="0" w:color="auto"/>
            </w:tcBorders>
            <w:shd w:val="clear" w:color="auto" w:fill="auto"/>
            <w:vAlign w:val="center"/>
            <w:hideMark/>
          </w:tcPr>
          <w:p w14:paraId="7F47D667" w14:textId="3A98B3C8" w:rsidR="00454717" w:rsidRPr="00454717" w:rsidRDefault="00454717" w:rsidP="00D22441">
            <w:pPr>
              <w:jc w:val="lef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TRINA SOLAR GENERADOR COLOMBIA - CARTAGO S.A.S E.S.P</w:t>
            </w:r>
            <w:r w:rsidR="000022EE">
              <w:rPr>
                <w:rFonts w:ascii="Arial Narrow" w:hAnsi="Arial Narrow" w:cs="Calibri"/>
                <w:color w:val="000000"/>
                <w:spacing w:val="0"/>
                <w:sz w:val="16"/>
                <w:szCs w:val="16"/>
                <w:lang w:eastAsia="es-CO"/>
              </w:rPr>
              <w:t>.</w:t>
            </w:r>
          </w:p>
        </w:tc>
        <w:tc>
          <w:tcPr>
            <w:tcW w:w="1600" w:type="dxa"/>
            <w:tcBorders>
              <w:top w:val="nil"/>
              <w:left w:val="nil"/>
              <w:bottom w:val="single" w:sz="4" w:space="0" w:color="auto"/>
              <w:right w:val="single" w:sz="4" w:space="0" w:color="auto"/>
            </w:tcBorders>
            <w:shd w:val="clear" w:color="auto" w:fill="auto"/>
            <w:noWrap/>
            <w:vAlign w:val="center"/>
            <w:hideMark/>
          </w:tcPr>
          <w:p w14:paraId="01F927C8" w14:textId="77777777" w:rsidR="00454717" w:rsidRPr="00454717" w:rsidRDefault="00454717" w:rsidP="00D22441">
            <w:pPr>
              <w:jc w:val="lef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 xml:space="preserve">                 51.117.336 </w:t>
            </w:r>
          </w:p>
        </w:tc>
        <w:tc>
          <w:tcPr>
            <w:tcW w:w="1600" w:type="dxa"/>
            <w:tcBorders>
              <w:top w:val="nil"/>
              <w:left w:val="nil"/>
              <w:bottom w:val="single" w:sz="4" w:space="0" w:color="auto"/>
              <w:right w:val="single" w:sz="4" w:space="0" w:color="auto"/>
            </w:tcBorders>
            <w:shd w:val="clear" w:color="auto" w:fill="auto"/>
            <w:noWrap/>
            <w:vAlign w:val="center"/>
            <w:hideMark/>
          </w:tcPr>
          <w:p w14:paraId="4E77C898" w14:textId="77777777" w:rsidR="00454717" w:rsidRPr="00454717" w:rsidRDefault="00454717" w:rsidP="00D22441">
            <w:pPr>
              <w:jc w:val="lef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 xml:space="preserve"> No reportó </w:t>
            </w:r>
          </w:p>
        </w:tc>
      </w:tr>
      <w:tr w:rsidR="00454717" w:rsidRPr="00454717" w14:paraId="7141CB2F" w14:textId="77777777" w:rsidTr="00454717">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06C268CA" w14:textId="77777777" w:rsidR="00454717" w:rsidRPr="00454717" w:rsidRDefault="00454717" w:rsidP="00D22441">
            <w:pPr>
              <w:jc w:val="righ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33</w:t>
            </w:r>
          </w:p>
        </w:tc>
        <w:tc>
          <w:tcPr>
            <w:tcW w:w="480" w:type="dxa"/>
            <w:tcBorders>
              <w:top w:val="nil"/>
              <w:left w:val="nil"/>
              <w:bottom w:val="single" w:sz="4" w:space="0" w:color="auto"/>
              <w:right w:val="single" w:sz="4" w:space="0" w:color="auto"/>
            </w:tcBorders>
            <w:shd w:val="clear" w:color="auto" w:fill="auto"/>
            <w:noWrap/>
            <w:vAlign w:val="center"/>
            <w:hideMark/>
          </w:tcPr>
          <w:p w14:paraId="6B3AB039" w14:textId="77777777" w:rsidR="00454717" w:rsidRPr="00454717" w:rsidRDefault="00454717" w:rsidP="00D22441">
            <w:pPr>
              <w:jc w:val="righ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56127</w:t>
            </w:r>
          </w:p>
        </w:tc>
        <w:tc>
          <w:tcPr>
            <w:tcW w:w="780" w:type="dxa"/>
            <w:tcBorders>
              <w:top w:val="nil"/>
              <w:left w:val="nil"/>
              <w:bottom w:val="single" w:sz="4" w:space="0" w:color="auto"/>
              <w:right w:val="single" w:sz="4" w:space="0" w:color="auto"/>
            </w:tcBorders>
            <w:shd w:val="clear" w:color="auto" w:fill="auto"/>
            <w:noWrap/>
            <w:vAlign w:val="center"/>
            <w:hideMark/>
          </w:tcPr>
          <w:p w14:paraId="4587664E" w14:textId="77777777" w:rsidR="00454717" w:rsidRPr="00454717" w:rsidRDefault="00454717" w:rsidP="00D22441">
            <w:pPr>
              <w:jc w:val="righ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901335318</w:t>
            </w:r>
          </w:p>
        </w:tc>
        <w:tc>
          <w:tcPr>
            <w:tcW w:w="4620" w:type="dxa"/>
            <w:tcBorders>
              <w:top w:val="nil"/>
              <w:left w:val="nil"/>
              <w:bottom w:val="single" w:sz="4" w:space="0" w:color="auto"/>
              <w:right w:val="single" w:sz="4" w:space="0" w:color="auto"/>
            </w:tcBorders>
            <w:shd w:val="clear" w:color="auto" w:fill="auto"/>
            <w:vAlign w:val="center"/>
            <w:hideMark/>
          </w:tcPr>
          <w:p w14:paraId="766C91E1" w14:textId="0F35C259" w:rsidR="00454717" w:rsidRPr="00454717" w:rsidRDefault="00454717" w:rsidP="00D22441">
            <w:pPr>
              <w:jc w:val="lef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TRINA SOLAR GENERADOR COLOMBIA - CAMPANO S.A.S. E.S.P</w:t>
            </w:r>
            <w:r w:rsidR="000022EE">
              <w:rPr>
                <w:rFonts w:ascii="Arial Narrow" w:hAnsi="Arial Narrow" w:cs="Calibri"/>
                <w:color w:val="000000"/>
                <w:spacing w:val="0"/>
                <w:sz w:val="16"/>
                <w:szCs w:val="16"/>
                <w:lang w:eastAsia="es-CO"/>
              </w:rPr>
              <w:t>.</w:t>
            </w:r>
          </w:p>
        </w:tc>
        <w:tc>
          <w:tcPr>
            <w:tcW w:w="1600" w:type="dxa"/>
            <w:tcBorders>
              <w:top w:val="nil"/>
              <w:left w:val="nil"/>
              <w:bottom w:val="single" w:sz="4" w:space="0" w:color="auto"/>
              <w:right w:val="single" w:sz="4" w:space="0" w:color="auto"/>
            </w:tcBorders>
            <w:shd w:val="clear" w:color="auto" w:fill="auto"/>
            <w:noWrap/>
            <w:vAlign w:val="center"/>
            <w:hideMark/>
          </w:tcPr>
          <w:p w14:paraId="3E2552E2" w14:textId="77777777" w:rsidR="00454717" w:rsidRPr="00454717" w:rsidRDefault="00454717" w:rsidP="00D22441">
            <w:pPr>
              <w:jc w:val="lef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 xml:space="preserve">                 51.533.006 </w:t>
            </w:r>
          </w:p>
        </w:tc>
        <w:tc>
          <w:tcPr>
            <w:tcW w:w="1600" w:type="dxa"/>
            <w:tcBorders>
              <w:top w:val="nil"/>
              <w:left w:val="nil"/>
              <w:bottom w:val="single" w:sz="4" w:space="0" w:color="auto"/>
              <w:right w:val="single" w:sz="4" w:space="0" w:color="auto"/>
            </w:tcBorders>
            <w:shd w:val="clear" w:color="auto" w:fill="auto"/>
            <w:noWrap/>
            <w:vAlign w:val="center"/>
            <w:hideMark/>
          </w:tcPr>
          <w:p w14:paraId="38E9828A" w14:textId="77777777" w:rsidR="00454717" w:rsidRPr="00454717" w:rsidRDefault="00454717" w:rsidP="00D22441">
            <w:pPr>
              <w:jc w:val="lef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 xml:space="preserve"> No reportó </w:t>
            </w:r>
          </w:p>
        </w:tc>
      </w:tr>
      <w:tr w:rsidR="00454717" w:rsidRPr="00454717" w14:paraId="259F4648" w14:textId="77777777" w:rsidTr="00454717">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041CCF3A" w14:textId="77777777" w:rsidR="00454717" w:rsidRPr="00454717" w:rsidRDefault="00454717" w:rsidP="00D22441">
            <w:pPr>
              <w:jc w:val="righ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34</w:t>
            </w:r>
          </w:p>
        </w:tc>
        <w:tc>
          <w:tcPr>
            <w:tcW w:w="480" w:type="dxa"/>
            <w:tcBorders>
              <w:top w:val="nil"/>
              <w:left w:val="nil"/>
              <w:bottom w:val="single" w:sz="4" w:space="0" w:color="auto"/>
              <w:right w:val="single" w:sz="4" w:space="0" w:color="auto"/>
            </w:tcBorders>
            <w:shd w:val="clear" w:color="auto" w:fill="auto"/>
            <w:noWrap/>
            <w:vAlign w:val="center"/>
            <w:hideMark/>
          </w:tcPr>
          <w:p w14:paraId="60468F01" w14:textId="77777777" w:rsidR="00454717" w:rsidRPr="00454717" w:rsidRDefault="00454717" w:rsidP="00D22441">
            <w:pPr>
              <w:jc w:val="righ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58633</w:t>
            </w:r>
          </w:p>
        </w:tc>
        <w:tc>
          <w:tcPr>
            <w:tcW w:w="780" w:type="dxa"/>
            <w:tcBorders>
              <w:top w:val="nil"/>
              <w:left w:val="nil"/>
              <w:bottom w:val="single" w:sz="4" w:space="0" w:color="auto"/>
              <w:right w:val="single" w:sz="4" w:space="0" w:color="auto"/>
            </w:tcBorders>
            <w:shd w:val="clear" w:color="auto" w:fill="auto"/>
            <w:noWrap/>
            <w:vAlign w:val="center"/>
            <w:hideMark/>
          </w:tcPr>
          <w:p w14:paraId="0DE8F647" w14:textId="77777777" w:rsidR="00454717" w:rsidRPr="00454717" w:rsidRDefault="00454717" w:rsidP="00D22441">
            <w:pPr>
              <w:jc w:val="righ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901503260</w:t>
            </w:r>
          </w:p>
        </w:tc>
        <w:tc>
          <w:tcPr>
            <w:tcW w:w="4620" w:type="dxa"/>
            <w:tcBorders>
              <w:top w:val="nil"/>
              <w:left w:val="nil"/>
              <w:bottom w:val="single" w:sz="4" w:space="0" w:color="auto"/>
              <w:right w:val="single" w:sz="4" w:space="0" w:color="auto"/>
            </w:tcBorders>
            <w:shd w:val="clear" w:color="auto" w:fill="auto"/>
            <w:vAlign w:val="center"/>
            <w:hideMark/>
          </w:tcPr>
          <w:p w14:paraId="3D3CBE43" w14:textId="77777777" w:rsidR="00454717" w:rsidRPr="00454717" w:rsidRDefault="00454717" w:rsidP="00D22441">
            <w:pPr>
              <w:jc w:val="lef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EMEGAS POR COLOMBIA 24 7 SAS ESP</w:t>
            </w:r>
          </w:p>
        </w:tc>
        <w:tc>
          <w:tcPr>
            <w:tcW w:w="1600" w:type="dxa"/>
            <w:tcBorders>
              <w:top w:val="nil"/>
              <w:left w:val="nil"/>
              <w:bottom w:val="single" w:sz="4" w:space="0" w:color="auto"/>
              <w:right w:val="single" w:sz="4" w:space="0" w:color="auto"/>
            </w:tcBorders>
            <w:shd w:val="clear" w:color="auto" w:fill="auto"/>
            <w:noWrap/>
            <w:vAlign w:val="center"/>
            <w:hideMark/>
          </w:tcPr>
          <w:p w14:paraId="5E5BDA38" w14:textId="77777777" w:rsidR="00454717" w:rsidRPr="00454717" w:rsidRDefault="00454717" w:rsidP="00D22441">
            <w:pPr>
              <w:jc w:val="lef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 xml:space="preserve">                117.176.028 </w:t>
            </w:r>
          </w:p>
        </w:tc>
        <w:tc>
          <w:tcPr>
            <w:tcW w:w="1600" w:type="dxa"/>
            <w:tcBorders>
              <w:top w:val="nil"/>
              <w:left w:val="nil"/>
              <w:bottom w:val="single" w:sz="4" w:space="0" w:color="auto"/>
              <w:right w:val="single" w:sz="4" w:space="0" w:color="auto"/>
            </w:tcBorders>
            <w:shd w:val="clear" w:color="auto" w:fill="auto"/>
            <w:noWrap/>
            <w:vAlign w:val="center"/>
            <w:hideMark/>
          </w:tcPr>
          <w:p w14:paraId="04CF73EF" w14:textId="77777777" w:rsidR="00454717" w:rsidRPr="00454717" w:rsidRDefault="00454717" w:rsidP="00D22441">
            <w:pPr>
              <w:jc w:val="lef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 xml:space="preserve"> No reportó </w:t>
            </w:r>
          </w:p>
        </w:tc>
      </w:tr>
      <w:tr w:rsidR="00454717" w:rsidRPr="00454717" w14:paraId="6EA6BBD1" w14:textId="77777777" w:rsidTr="00454717">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6A58034F" w14:textId="77777777" w:rsidR="00454717" w:rsidRPr="00454717" w:rsidRDefault="00454717" w:rsidP="00D22441">
            <w:pPr>
              <w:jc w:val="righ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35</w:t>
            </w:r>
          </w:p>
        </w:tc>
        <w:tc>
          <w:tcPr>
            <w:tcW w:w="480" w:type="dxa"/>
            <w:tcBorders>
              <w:top w:val="nil"/>
              <w:left w:val="nil"/>
              <w:bottom w:val="single" w:sz="4" w:space="0" w:color="auto"/>
              <w:right w:val="single" w:sz="4" w:space="0" w:color="auto"/>
            </w:tcBorders>
            <w:shd w:val="clear" w:color="auto" w:fill="auto"/>
            <w:noWrap/>
            <w:vAlign w:val="center"/>
            <w:hideMark/>
          </w:tcPr>
          <w:p w14:paraId="4D83CEA8" w14:textId="77777777" w:rsidR="00454717" w:rsidRPr="00454717" w:rsidRDefault="00454717" w:rsidP="00D22441">
            <w:pPr>
              <w:jc w:val="righ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59010</w:t>
            </w:r>
          </w:p>
        </w:tc>
        <w:tc>
          <w:tcPr>
            <w:tcW w:w="780" w:type="dxa"/>
            <w:tcBorders>
              <w:top w:val="nil"/>
              <w:left w:val="nil"/>
              <w:bottom w:val="single" w:sz="4" w:space="0" w:color="auto"/>
              <w:right w:val="single" w:sz="4" w:space="0" w:color="auto"/>
            </w:tcBorders>
            <w:shd w:val="clear" w:color="auto" w:fill="auto"/>
            <w:noWrap/>
            <w:vAlign w:val="center"/>
            <w:hideMark/>
          </w:tcPr>
          <w:p w14:paraId="549BDE85" w14:textId="77777777" w:rsidR="00454717" w:rsidRPr="00454717" w:rsidRDefault="00454717" w:rsidP="00D22441">
            <w:pPr>
              <w:jc w:val="righ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901345530</w:t>
            </w:r>
          </w:p>
        </w:tc>
        <w:tc>
          <w:tcPr>
            <w:tcW w:w="4620" w:type="dxa"/>
            <w:tcBorders>
              <w:top w:val="nil"/>
              <w:left w:val="nil"/>
              <w:bottom w:val="single" w:sz="4" w:space="0" w:color="auto"/>
              <w:right w:val="single" w:sz="4" w:space="0" w:color="auto"/>
            </w:tcBorders>
            <w:shd w:val="clear" w:color="auto" w:fill="auto"/>
            <w:vAlign w:val="center"/>
            <w:hideMark/>
          </w:tcPr>
          <w:p w14:paraId="7AB465D6" w14:textId="77777777" w:rsidR="00454717" w:rsidRPr="00454717" w:rsidRDefault="00454717" w:rsidP="00D22441">
            <w:pPr>
              <w:jc w:val="lef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NOVA ENERGY STAR S.A.S. E.S.P.</w:t>
            </w:r>
          </w:p>
        </w:tc>
        <w:tc>
          <w:tcPr>
            <w:tcW w:w="1600" w:type="dxa"/>
            <w:tcBorders>
              <w:top w:val="nil"/>
              <w:left w:val="nil"/>
              <w:bottom w:val="single" w:sz="4" w:space="0" w:color="auto"/>
              <w:right w:val="single" w:sz="4" w:space="0" w:color="auto"/>
            </w:tcBorders>
            <w:shd w:val="clear" w:color="auto" w:fill="auto"/>
            <w:noWrap/>
            <w:vAlign w:val="center"/>
            <w:hideMark/>
          </w:tcPr>
          <w:p w14:paraId="75B3B48E" w14:textId="77777777" w:rsidR="00454717" w:rsidRPr="00454717" w:rsidRDefault="00454717" w:rsidP="00D22441">
            <w:pPr>
              <w:jc w:val="lef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 xml:space="preserve">                717.614.752 </w:t>
            </w:r>
          </w:p>
        </w:tc>
        <w:tc>
          <w:tcPr>
            <w:tcW w:w="1600" w:type="dxa"/>
            <w:tcBorders>
              <w:top w:val="nil"/>
              <w:left w:val="nil"/>
              <w:bottom w:val="single" w:sz="4" w:space="0" w:color="auto"/>
              <w:right w:val="single" w:sz="4" w:space="0" w:color="auto"/>
            </w:tcBorders>
            <w:shd w:val="clear" w:color="auto" w:fill="auto"/>
            <w:noWrap/>
            <w:vAlign w:val="center"/>
            <w:hideMark/>
          </w:tcPr>
          <w:p w14:paraId="0A22A87F" w14:textId="77777777" w:rsidR="00454717" w:rsidRPr="00454717" w:rsidRDefault="00454717" w:rsidP="00D22441">
            <w:pPr>
              <w:jc w:val="lef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 xml:space="preserve"> No reportó </w:t>
            </w:r>
          </w:p>
        </w:tc>
      </w:tr>
      <w:tr w:rsidR="00454717" w:rsidRPr="00454717" w14:paraId="69E9F218" w14:textId="77777777" w:rsidTr="00454717">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0D803D29" w14:textId="77777777" w:rsidR="00454717" w:rsidRPr="00454717" w:rsidRDefault="00454717" w:rsidP="00D22441">
            <w:pPr>
              <w:jc w:val="righ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36</w:t>
            </w:r>
          </w:p>
        </w:tc>
        <w:tc>
          <w:tcPr>
            <w:tcW w:w="480" w:type="dxa"/>
            <w:tcBorders>
              <w:top w:val="nil"/>
              <w:left w:val="nil"/>
              <w:bottom w:val="single" w:sz="4" w:space="0" w:color="auto"/>
              <w:right w:val="single" w:sz="4" w:space="0" w:color="auto"/>
            </w:tcBorders>
            <w:shd w:val="clear" w:color="auto" w:fill="auto"/>
            <w:noWrap/>
            <w:vAlign w:val="center"/>
            <w:hideMark/>
          </w:tcPr>
          <w:p w14:paraId="0BB707AB" w14:textId="77777777" w:rsidR="00454717" w:rsidRPr="00454717" w:rsidRDefault="00454717" w:rsidP="00D22441">
            <w:pPr>
              <w:jc w:val="righ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59850</w:t>
            </w:r>
          </w:p>
        </w:tc>
        <w:tc>
          <w:tcPr>
            <w:tcW w:w="780" w:type="dxa"/>
            <w:tcBorders>
              <w:top w:val="nil"/>
              <w:left w:val="nil"/>
              <w:bottom w:val="single" w:sz="4" w:space="0" w:color="auto"/>
              <w:right w:val="single" w:sz="4" w:space="0" w:color="auto"/>
            </w:tcBorders>
            <w:shd w:val="clear" w:color="auto" w:fill="auto"/>
            <w:noWrap/>
            <w:vAlign w:val="center"/>
            <w:hideMark/>
          </w:tcPr>
          <w:p w14:paraId="07ADE053" w14:textId="77777777" w:rsidR="00454717" w:rsidRPr="00454717" w:rsidRDefault="00454717" w:rsidP="00D22441">
            <w:pPr>
              <w:jc w:val="righ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901543313</w:t>
            </w:r>
          </w:p>
        </w:tc>
        <w:tc>
          <w:tcPr>
            <w:tcW w:w="4620" w:type="dxa"/>
            <w:tcBorders>
              <w:top w:val="nil"/>
              <w:left w:val="nil"/>
              <w:bottom w:val="single" w:sz="4" w:space="0" w:color="auto"/>
              <w:right w:val="single" w:sz="4" w:space="0" w:color="auto"/>
            </w:tcBorders>
            <w:shd w:val="clear" w:color="auto" w:fill="auto"/>
            <w:vAlign w:val="center"/>
            <w:hideMark/>
          </w:tcPr>
          <w:p w14:paraId="34838248" w14:textId="77777777" w:rsidR="00454717" w:rsidRPr="00454717" w:rsidRDefault="00454717" w:rsidP="00D22441">
            <w:pPr>
              <w:jc w:val="lef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ENERBIT SAS ESP</w:t>
            </w:r>
          </w:p>
        </w:tc>
        <w:tc>
          <w:tcPr>
            <w:tcW w:w="1600" w:type="dxa"/>
            <w:tcBorders>
              <w:top w:val="nil"/>
              <w:left w:val="nil"/>
              <w:bottom w:val="single" w:sz="4" w:space="0" w:color="auto"/>
              <w:right w:val="single" w:sz="4" w:space="0" w:color="auto"/>
            </w:tcBorders>
            <w:shd w:val="clear" w:color="auto" w:fill="auto"/>
            <w:noWrap/>
            <w:vAlign w:val="center"/>
            <w:hideMark/>
          </w:tcPr>
          <w:p w14:paraId="3429CB7D" w14:textId="77777777" w:rsidR="00454717" w:rsidRPr="00454717" w:rsidRDefault="00454717" w:rsidP="00D22441">
            <w:pPr>
              <w:jc w:val="lef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 xml:space="preserve">             3.632.905.810 </w:t>
            </w:r>
          </w:p>
        </w:tc>
        <w:tc>
          <w:tcPr>
            <w:tcW w:w="1600" w:type="dxa"/>
            <w:tcBorders>
              <w:top w:val="nil"/>
              <w:left w:val="nil"/>
              <w:bottom w:val="single" w:sz="4" w:space="0" w:color="auto"/>
              <w:right w:val="single" w:sz="4" w:space="0" w:color="auto"/>
            </w:tcBorders>
            <w:shd w:val="clear" w:color="auto" w:fill="auto"/>
            <w:noWrap/>
            <w:vAlign w:val="center"/>
            <w:hideMark/>
          </w:tcPr>
          <w:p w14:paraId="42705141" w14:textId="77777777" w:rsidR="00454717" w:rsidRPr="00454717" w:rsidRDefault="00454717" w:rsidP="00D22441">
            <w:pPr>
              <w:jc w:val="lef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 xml:space="preserve"> No reportó </w:t>
            </w:r>
          </w:p>
        </w:tc>
      </w:tr>
      <w:tr w:rsidR="00454717" w:rsidRPr="00454717" w14:paraId="3981D8C3" w14:textId="77777777" w:rsidTr="00454717">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4EF9677F" w14:textId="77777777" w:rsidR="00454717" w:rsidRPr="00454717" w:rsidRDefault="00454717" w:rsidP="00D22441">
            <w:pPr>
              <w:jc w:val="righ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37</w:t>
            </w:r>
          </w:p>
        </w:tc>
        <w:tc>
          <w:tcPr>
            <w:tcW w:w="480" w:type="dxa"/>
            <w:tcBorders>
              <w:top w:val="nil"/>
              <w:left w:val="nil"/>
              <w:bottom w:val="single" w:sz="4" w:space="0" w:color="auto"/>
              <w:right w:val="single" w:sz="4" w:space="0" w:color="auto"/>
            </w:tcBorders>
            <w:shd w:val="clear" w:color="auto" w:fill="auto"/>
            <w:noWrap/>
            <w:vAlign w:val="center"/>
            <w:hideMark/>
          </w:tcPr>
          <w:p w14:paraId="510458BD" w14:textId="77777777" w:rsidR="00454717" w:rsidRPr="00454717" w:rsidRDefault="00454717" w:rsidP="00D22441">
            <w:pPr>
              <w:jc w:val="righ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60594</w:t>
            </w:r>
          </w:p>
        </w:tc>
        <w:tc>
          <w:tcPr>
            <w:tcW w:w="780" w:type="dxa"/>
            <w:tcBorders>
              <w:top w:val="nil"/>
              <w:left w:val="nil"/>
              <w:bottom w:val="single" w:sz="4" w:space="0" w:color="auto"/>
              <w:right w:val="single" w:sz="4" w:space="0" w:color="auto"/>
            </w:tcBorders>
            <w:shd w:val="clear" w:color="auto" w:fill="auto"/>
            <w:noWrap/>
            <w:vAlign w:val="center"/>
            <w:hideMark/>
          </w:tcPr>
          <w:p w14:paraId="2ECD3030" w14:textId="77777777" w:rsidR="00454717" w:rsidRPr="00454717" w:rsidRDefault="00454717" w:rsidP="00D22441">
            <w:pPr>
              <w:jc w:val="righ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900461106</w:t>
            </w:r>
          </w:p>
        </w:tc>
        <w:tc>
          <w:tcPr>
            <w:tcW w:w="4620" w:type="dxa"/>
            <w:tcBorders>
              <w:top w:val="nil"/>
              <w:left w:val="nil"/>
              <w:bottom w:val="single" w:sz="4" w:space="0" w:color="auto"/>
              <w:right w:val="single" w:sz="4" w:space="0" w:color="auto"/>
            </w:tcBorders>
            <w:shd w:val="clear" w:color="auto" w:fill="auto"/>
            <w:vAlign w:val="center"/>
            <w:hideMark/>
          </w:tcPr>
          <w:p w14:paraId="10BE8000" w14:textId="77777777" w:rsidR="00454717" w:rsidRPr="00454717" w:rsidRDefault="00454717" w:rsidP="00D22441">
            <w:pPr>
              <w:jc w:val="lef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PCH SAN BARTOLOME SAS ESP</w:t>
            </w:r>
          </w:p>
        </w:tc>
        <w:tc>
          <w:tcPr>
            <w:tcW w:w="1600" w:type="dxa"/>
            <w:tcBorders>
              <w:top w:val="nil"/>
              <w:left w:val="nil"/>
              <w:bottom w:val="single" w:sz="4" w:space="0" w:color="auto"/>
              <w:right w:val="single" w:sz="4" w:space="0" w:color="auto"/>
            </w:tcBorders>
            <w:shd w:val="clear" w:color="auto" w:fill="auto"/>
            <w:noWrap/>
            <w:vAlign w:val="center"/>
            <w:hideMark/>
          </w:tcPr>
          <w:p w14:paraId="77413C50" w14:textId="77777777" w:rsidR="00454717" w:rsidRPr="00454717" w:rsidRDefault="00454717" w:rsidP="00D22441">
            <w:pPr>
              <w:jc w:val="lef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 xml:space="preserve">             1.062.159.000 </w:t>
            </w:r>
          </w:p>
        </w:tc>
        <w:tc>
          <w:tcPr>
            <w:tcW w:w="1600" w:type="dxa"/>
            <w:tcBorders>
              <w:top w:val="nil"/>
              <w:left w:val="nil"/>
              <w:bottom w:val="single" w:sz="4" w:space="0" w:color="auto"/>
              <w:right w:val="single" w:sz="4" w:space="0" w:color="auto"/>
            </w:tcBorders>
            <w:shd w:val="clear" w:color="auto" w:fill="auto"/>
            <w:noWrap/>
            <w:vAlign w:val="center"/>
            <w:hideMark/>
          </w:tcPr>
          <w:p w14:paraId="1CB3D1BC" w14:textId="77777777" w:rsidR="00454717" w:rsidRPr="00454717" w:rsidRDefault="00454717" w:rsidP="00D22441">
            <w:pPr>
              <w:jc w:val="lef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 xml:space="preserve"> No reportó </w:t>
            </w:r>
          </w:p>
        </w:tc>
      </w:tr>
      <w:tr w:rsidR="00454717" w:rsidRPr="00454717" w14:paraId="10DC711C" w14:textId="77777777" w:rsidTr="00454717">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456584E9" w14:textId="77777777" w:rsidR="00454717" w:rsidRPr="00454717" w:rsidRDefault="00454717" w:rsidP="00D22441">
            <w:pPr>
              <w:jc w:val="righ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38</w:t>
            </w:r>
          </w:p>
        </w:tc>
        <w:tc>
          <w:tcPr>
            <w:tcW w:w="480" w:type="dxa"/>
            <w:tcBorders>
              <w:top w:val="nil"/>
              <w:left w:val="nil"/>
              <w:bottom w:val="single" w:sz="4" w:space="0" w:color="auto"/>
              <w:right w:val="single" w:sz="4" w:space="0" w:color="auto"/>
            </w:tcBorders>
            <w:shd w:val="clear" w:color="auto" w:fill="auto"/>
            <w:noWrap/>
            <w:vAlign w:val="center"/>
            <w:hideMark/>
          </w:tcPr>
          <w:p w14:paraId="62A8B0D7" w14:textId="77777777" w:rsidR="00454717" w:rsidRPr="00454717" w:rsidRDefault="00454717" w:rsidP="00D22441">
            <w:pPr>
              <w:jc w:val="righ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60670</w:t>
            </w:r>
          </w:p>
        </w:tc>
        <w:tc>
          <w:tcPr>
            <w:tcW w:w="780" w:type="dxa"/>
            <w:tcBorders>
              <w:top w:val="nil"/>
              <w:left w:val="nil"/>
              <w:bottom w:val="single" w:sz="4" w:space="0" w:color="auto"/>
              <w:right w:val="single" w:sz="4" w:space="0" w:color="auto"/>
            </w:tcBorders>
            <w:shd w:val="clear" w:color="auto" w:fill="auto"/>
            <w:noWrap/>
            <w:vAlign w:val="center"/>
            <w:hideMark/>
          </w:tcPr>
          <w:p w14:paraId="7C950BE8" w14:textId="77777777" w:rsidR="00454717" w:rsidRPr="00454717" w:rsidRDefault="00454717" w:rsidP="00D22441">
            <w:pPr>
              <w:jc w:val="righ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900594772</w:t>
            </w:r>
          </w:p>
        </w:tc>
        <w:tc>
          <w:tcPr>
            <w:tcW w:w="4620" w:type="dxa"/>
            <w:tcBorders>
              <w:top w:val="nil"/>
              <w:left w:val="nil"/>
              <w:bottom w:val="single" w:sz="4" w:space="0" w:color="auto"/>
              <w:right w:val="single" w:sz="4" w:space="0" w:color="auto"/>
            </w:tcBorders>
            <w:shd w:val="clear" w:color="auto" w:fill="auto"/>
            <w:vAlign w:val="center"/>
            <w:hideMark/>
          </w:tcPr>
          <w:p w14:paraId="7CF6C162" w14:textId="77777777" w:rsidR="00454717" w:rsidRPr="00454717" w:rsidRDefault="00454717" w:rsidP="00D22441">
            <w:pPr>
              <w:jc w:val="lef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4E GROUP SAS ESP</w:t>
            </w:r>
          </w:p>
        </w:tc>
        <w:tc>
          <w:tcPr>
            <w:tcW w:w="1600" w:type="dxa"/>
            <w:tcBorders>
              <w:top w:val="nil"/>
              <w:left w:val="nil"/>
              <w:bottom w:val="single" w:sz="4" w:space="0" w:color="auto"/>
              <w:right w:val="single" w:sz="4" w:space="0" w:color="auto"/>
            </w:tcBorders>
            <w:shd w:val="clear" w:color="auto" w:fill="auto"/>
            <w:noWrap/>
            <w:vAlign w:val="center"/>
            <w:hideMark/>
          </w:tcPr>
          <w:p w14:paraId="2165C16B" w14:textId="77777777" w:rsidR="00454717" w:rsidRPr="00454717" w:rsidRDefault="00454717" w:rsidP="00D22441">
            <w:pPr>
              <w:jc w:val="lef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 xml:space="preserve">                233.023.000 </w:t>
            </w:r>
          </w:p>
        </w:tc>
        <w:tc>
          <w:tcPr>
            <w:tcW w:w="1600" w:type="dxa"/>
            <w:tcBorders>
              <w:top w:val="nil"/>
              <w:left w:val="nil"/>
              <w:bottom w:val="single" w:sz="4" w:space="0" w:color="auto"/>
              <w:right w:val="single" w:sz="4" w:space="0" w:color="auto"/>
            </w:tcBorders>
            <w:shd w:val="clear" w:color="auto" w:fill="auto"/>
            <w:noWrap/>
            <w:vAlign w:val="center"/>
            <w:hideMark/>
          </w:tcPr>
          <w:p w14:paraId="57B9E03D" w14:textId="77777777" w:rsidR="00454717" w:rsidRPr="00454717" w:rsidRDefault="00454717" w:rsidP="00D22441">
            <w:pPr>
              <w:jc w:val="lef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 xml:space="preserve"> No reportó </w:t>
            </w:r>
          </w:p>
        </w:tc>
      </w:tr>
      <w:tr w:rsidR="00454717" w:rsidRPr="00454717" w14:paraId="01A322CD" w14:textId="77777777" w:rsidTr="00454717">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73EBF6B1" w14:textId="77777777" w:rsidR="00454717" w:rsidRPr="00454717" w:rsidRDefault="00454717" w:rsidP="00D22441">
            <w:pPr>
              <w:jc w:val="righ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39</w:t>
            </w:r>
          </w:p>
        </w:tc>
        <w:tc>
          <w:tcPr>
            <w:tcW w:w="480" w:type="dxa"/>
            <w:tcBorders>
              <w:top w:val="nil"/>
              <w:left w:val="nil"/>
              <w:bottom w:val="single" w:sz="4" w:space="0" w:color="auto"/>
              <w:right w:val="single" w:sz="4" w:space="0" w:color="auto"/>
            </w:tcBorders>
            <w:shd w:val="clear" w:color="auto" w:fill="auto"/>
            <w:noWrap/>
            <w:vAlign w:val="center"/>
            <w:hideMark/>
          </w:tcPr>
          <w:p w14:paraId="3E63D4FE" w14:textId="77777777" w:rsidR="00454717" w:rsidRPr="00454717" w:rsidRDefault="00454717" w:rsidP="00D22441">
            <w:pPr>
              <w:jc w:val="righ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61291</w:t>
            </w:r>
          </w:p>
        </w:tc>
        <w:tc>
          <w:tcPr>
            <w:tcW w:w="780" w:type="dxa"/>
            <w:tcBorders>
              <w:top w:val="nil"/>
              <w:left w:val="nil"/>
              <w:bottom w:val="single" w:sz="4" w:space="0" w:color="auto"/>
              <w:right w:val="single" w:sz="4" w:space="0" w:color="auto"/>
            </w:tcBorders>
            <w:shd w:val="clear" w:color="auto" w:fill="auto"/>
            <w:noWrap/>
            <w:vAlign w:val="center"/>
            <w:hideMark/>
          </w:tcPr>
          <w:p w14:paraId="16EEF54F" w14:textId="77777777" w:rsidR="00454717" w:rsidRPr="00454717" w:rsidRDefault="00454717" w:rsidP="00D22441">
            <w:pPr>
              <w:jc w:val="righ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901574072</w:t>
            </w:r>
          </w:p>
        </w:tc>
        <w:tc>
          <w:tcPr>
            <w:tcW w:w="4620" w:type="dxa"/>
            <w:tcBorders>
              <w:top w:val="nil"/>
              <w:left w:val="nil"/>
              <w:bottom w:val="single" w:sz="4" w:space="0" w:color="auto"/>
              <w:right w:val="single" w:sz="4" w:space="0" w:color="auto"/>
            </w:tcBorders>
            <w:shd w:val="clear" w:color="auto" w:fill="auto"/>
            <w:vAlign w:val="center"/>
            <w:hideMark/>
          </w:tcPr>
          <w:p w14:paraId="684593CA" w14:textId="70B5E46C" w:rsidR="00454717" w:rsidRPr="00454717" w:rsidRDefault="00454717" w:rsidP="00D22441">
            <w:pPr>
              <w:jc w:val="lef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BTG PACTUAL COMERCIALIZADORA DE ENERGIA S.A.S. E.S.P.</w:t>
            </w:r>
          </w:p>
        </w:tc>
        <w:tc>
          <w:tcPr>
            <w:tcW w:w="1600" w:type="dxa"/>
            <w:tcBorders>
              <w:top w:val="nil"/>
              <w:left w:val="nil"/>
              <w:bottom w:val="single" w:sz="4" w:space="0" w:color="auto"/>
              <w:right w:val="single" w:sz="4" w:space="0" w:color="auto"/>
            </w:tcBorders>
            <w:shd w:val="clear" w:color="auto" w:fill="auto"/>
            <w:noWrap/>
            <w:vAlign w:val="center"/>
            <w:hideMark/>
          </w:tcPr>
          <w:p w14:paraId="5043A025" w14:textId="77777777" w:rsidR="00454717" w:rsidRPr="00454717" w:rsidRDefault="00454717" w:rsidP="00D22441">
            <w:pPr>
              <w:jc w:val="lef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 xml:space="preserve">                728.087.439 </w:t>
            </w:r>
          </w:p>
        </w:tc>
        <w:tc>
          <w:tcPr>
            <w:tcW w:w="1600" w:type="dxa"/>
            <w:tcBorders>
              <w:top w:val="nil"/>
              <w:left w:val="nil"/>
              <w:bottom w:val="single" w:sz="4" w:space="0" w:color="auto"/>
              <w:right w:val="single" w:sz="4" w:space="0" w:color="auto"/>
            </w:tcBorders>
            <w:shd w:val="clear" w:color="auto" w:fill="auto"/>
            <w:noWrap/>
            <w:vAlign w:val="center"/>
            <w:hideMark/>
          </w:tcPr>
          <w:p w14:paraId="4D639DA2" w14:textId="77777777" w:rsidR="00454717" w:rsidRPr="00454717" w:rsidRDefault="00454717" w:rsidP="00D22441">
            <w:pPr>
              <w:jc w:val="lef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 xml:space="preserve"> No reportó </w:t>
            </w:r>
          </w:p>
        </w:tc>
      </w:tr>
      <w:tr w:rsidR="00454717" w:rsidRPr="00454717" w14:paraId="042ECA76" w14:textId="77777777" w:rsidTr="00454717">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6A7AC8DE" w14:textId="77777777" w:rsidR="00454717" w:rsidRPr="00454717" w:rsidRDefault="00454717" w:rsidP="00D22441">
            <w:pPr>
              <w:jc w:val="righ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40</w:t>
            </w:r>
          </w:p>
        </w:tc>
        <w:tc>
          <w:tcPr>
            <w:tcW w:w="480" w:type="dxa"/>
            <w:tcBorders>
              <w:top w:val="nil"/>
              <w:left w:val="nil"/>
              <w:bottom w:val="single" w:sz="4" w:space="0" w:color="auto"/>
              <w:right w:val="single" w:sz="4" w:space="0" w:color="auto"/>
            </w:tcBorders>
            <w:shd w:val="clear" w:color="auto" w:fill="auto"/>
            <w:noWrap/>
            <w:vAlign w:val="center"/>
            <w:hideMark/>
          </w:tcPr>
          <w:p w14:paraId="0378E7E9" w14:textId="77777777" w:rsidR="00454717" w:rsidRPr="00454717" w:rsidRDefault="00454717" w:rsidP="00D22441">
            <w:pPr>
              <w:jc w:val="righ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62292</w:t>
            </w:r>
          </w:p>
        </w:tc>
        <w:tc>
          <w:tcPr>
            <w:tcW w:w="780" w:type="dxa"/>
            <w:tcBorders>
              <w:top w:val="nil"/>
              <w:left w:val="nil"/>
              <w:bottom w:val="single" w:sz="4" w:space="0" w:color="auto"/>
              <w:right w:val="single" w:sz="4" w:space="0" w:color="auto"/>
            </w:tcBorders>
            <w:shd w:val="clear" w:color="auto" w:fill="auto"/>
            <w:noWrap/>
            <w:vAlign w:val="center"/>
            <w:hideMark/>
          </w:tcPr>
          <w:p w14:paraId="50658CDE" w14:textId="77777777" w:rsidR="00454717" w:rsidRPr="00454717" w:rsidRDefault="00454717" w:rsidP="00D22441">
            <w:pPr>
              <w:jc w:val="righ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901496875</w:t>
            </w:r>
          </w:p>
        </w:tc>
        <w:tc>
          <w:tcPr>
            <w:tcW w:w="4620" w:type="dxa"/>
            <w:tcBorders>
              <w:top w:val="nil"/>
              <w:left w:val="nil"/>
              <w:bottom w:val="single" w:sz="4" w:space="0" w:color="auto"/>
              <w:right w:val="single" w:sz="4" w:space="0" w:color="auto"/>
            </w:tcBorders>
            <w:shd w:val="clear" w:color="auto" w:fill="auto"/>
            <w:vAlign w:val="center"/>
            <w:hideMark/>
          </w:tcPr>
          <w:p w14:paraId="62D9F577" w14:textId="77777777" w:rsidR="00454717" w:rsidRPr="00454717" w:rsidRDefault="00454717" w:rsidP="00D22441">
            <w:pPr>
              <w:jc w:val="lef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Parque Solar Los Girasoles SAS ESP</w:t>
            </w:r>
          </w:p>
        </w:tc>
        <w:tc>
          <w:tcPr>
            <w:tcW w:w="1600" w:type="dxa"/>
            <w:tcBorders>
              <w:top w:val="nil"/>
              <w:left w:val="nil"/>
              <w:bottom w:val="single" w:sz="4" w:space="0" w:color="auto"/>
              <w:right w:val="single" w:sz="4" w:space="0" w:color="auto"/>
            </w:tcBorders>
            <w:shd w:val="clear" w:color="auto" w:fill="auto"/>
            <w:noWrap/>
            <w:vAlign w:val="center"/>
            <w:hideMark/>
          </w:tcPr>
          <w:p w14:paraId="5EAAC7BF" w14:textId="77777777" w:rsidR="00454717" w:rsidRPr="00454717" w:rsidRDefault="00454717" w:rsidP="00D22441">
            <w:pPr>
              <w:jc w:val="lef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 xml:space="preserve">             3.677.544.000 </w:t>
            </w:r>
          </w:p>
        </w:tc>
        <w:tc>
          <w:tcPr>
            <w:tcW w:w="1600" w:type="dxa"/>
            <w:tcBorders>
              <w:top w:val="nil"/>
              <w:left w:val="nil"/>
              <w:bottom w:val="single" w:sz="4" w:space="0" w:color="auto"/>
              <w:right w:val="single" w:sz="4" w:space="0" w:color="auto"/>
            </w:tcBorders>
            <w:shd w:val="clear" w:color="auto" w:fill="auto"/>
            <w:noWrap/>
            <w:vAlign w:val="center"/>
            <w:hideMark/>
          </w:tcPr>
          <w:p w14:paraId="58BDCB58" w14:textId="77777777" w:rsidR="00454717" w:rsidRPr="00454717" w:rsidRDefault="00454717" w:rsidP="00D22441">
            <w:pPr>
              <w:jc w:val="lef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 xml:space="preserve"> No reportó </w:t>
            </w:r>
          </w:p>
        </w:tc>
      </w:tr>
      <w:tr w:rsidR="00454717" w:rsidRPr="00454717" w14:paraId="46AD3898" w14:textId="77777777" w:rsidTr="00454717">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1219BC07" w14:textId="77777777" w:rsidR="00454717" w:rsidRPr="00454717" w:rsidRDefault="00454717" w:rsidP="00D22441">
            <w:pPr>
              <w:jc w:val="righ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41</w:t>
            </w:r>
          </w:p>
        </w:tc>
        <w:tc>
          <w:tcPr>
            <w:tcW w:w="480" w:type="dxa"/>
            <w:tcBorders>
              <w:top w:val="nil"/>
              <w:left w:val="nil"/>
              <w:bottom w:val="single" w:sz="4" w:space="0" w:color="auto"/>
              <w:right w:val="single" w:sz="4" w:space="0" w:color="auto"/>
            </w:tcBorders>
            <w:shd w:val="clear" w:color="auto" w:fill="auto"/>
            <w:noWrap/>
            <w:vAlign w:val="center"/>
            <w:hideMark/>
          </w:tcPr>
          <w:p w14:paraId="004F2400" w14:textId="77777777" w:rsidR="00454717" w:rsidRPr="00454717" w:rsidRDefault="00454717" w:rsidP="00D22441">
            <w:pPr>
              <w:jc w:val="righ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62371</w:t>
            </w:r>
          </w:p>
        </w:tc>
        <w:tc>
          <w:tcPr>
            <w:tcW w:w="780" w:type="dxa"/>
            <w:tcBorders>
              <w:top w:val="nil"/>
              <w:left w:val="nil"/>
              <w:bottom w:val="single" w:sz="4" w:space="0" w:color="auto"/>
              <w:right w:val="single" w:sz="4" w:space="0" w:color="auto"/>
            </w:tcBorders>
            <w:shd w:val="clear" w:color="auto" w:fill="auto"/>
            <w:noWrap/>
            <w:vAlign w:val="center"/>
            <w:hideMark/>
          </w:tcPr>
          <w:p w14:paraId="7724C41A" w14:textId="77777777" w:rsidR="00454717" w:rsidRPr="00454717" w:rsidRDefault="00454717" w:rsidP="00D22441">
            <w:pPr>
              <w:jc w:val="righ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901588412</w:t>
            </w:r>
          </w:p>
        </w:tc>
        <w:tc>
          <w:tcPr>
            <w:tcW w:w="4620" w:type="dxa"/>
            <w:tcBorders>
              <w:top w:val="nil"/>
              <w:left w:val="nil"/>
              <w:bottom w:val="single" w:sz="4" w:space="0" w:color="auto"/>
              <w:right w:val="single" w:sz="4" w:space="0" w:color="auto"/>
            </w:tcBorders>
            <w:shd w:val="clear" w:color="auto" w:fill="auto"/>
            <w:vAlign w:val="center"/>
            <w:hideMark/>
          </w:tcPr>
          <w:p w14:paraId="58840AD0" w14:textId="77777777" w:rsidR="00454717" w:rsidRPr="00454717" w:rsidRDefault="00454717" w:rsidP="00D22441">
            <w:pPr>
              <w:jc w:val="lef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BIA ENERGY SAS ESP</w:t>
            </w:r>
          </w:p>
        </w:tc>
        <w:tc>
          <w:tcPr>
            <w:tcW w:w="1600" w:type="dxa"/>
            <w:tcBorders>
              <w:top w:val="nil"/>
              <w:left w:val="nil"/>
              <w:bottom w:val="single" w:sz="4" w:space="0" w:color="auto"/>
              <w:right w:val="single" w:sz="4" w:space="0" w:color="auto"/>
            </w:tcBorders>
            <w:shd w:val="clear" w:color="auto" w:fill="auto"/>
            <w:noWrap/>
            <w:vAlign w:val="center"/>
            <w:hideMark/>
          </w:tcPr>
          <w:p w14:paraId="5C9FAF0B" w14:textId="77777777" w:rsidR="00454717" w:rsidRPr="00454717" w:rsidRDefault="00454717" w:rsidP="00D22441">
            <w:pPr>
              <w:jc w:val="lef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 xml:space="preserve">             4.394.525.000 </w:t>
            </w:r>
          </w:p>
        </w:tc>
        <w:tc>
          <w:tcPr>
            <w:tcW w:w="1600" w:type="dxa"/>
            <w:tcBorders>
              <w:top w:val="nil"/>
              <w:left w:val="nil"/>
              <w:bottom w:val="single" w:sz="4" w:space="0" w:color="auto"/>
              <w:right w:val="single" w:sz="4" w:space="0" w:color="auto"/>
            </w:tcBorders>
            <w:shd w:val="clear" w:color="auto" w:fill="auto"/>
            <w:noWrap/>
            <w:vAlign w:val="center"/>
            <w:hideMark/>
          </w:tcPr>
          <w:p w14:paraId="750B1EE5" w14:textId="77777777" w:rsidR="00454717" w:rsidRPr="00454717" w:rsidRDefault="00454717" w:rsidP="00D22441">
            <w:pPr>
              <w:jc w:val="lef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 xml:space="preserve"> No reportó </w:t>
            </w:r>
          </w:p>
        </w:tc>
      </w:tr>
      <w:tr w:rsidR="00454717" w:rsidRPr="00454717" w14:paraId="330F215B" w14:textId="77777777" w:rsidTr="00454717">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7E60ED5E" w14:textId="77777777" w:rsidR="00454717" w:rsidRPr="00454717" w:rsidRDefault="00454717" w:rsidP="00D22441">
            <w:pPr>
              <w:jc w:val="righ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42</w:t>
            </w:r>
          </w:p>
        </w:tc>
        <w:tc>
          <w:tcPr>
            <w:tcW w:w="480" w:type="dxa"/>
            <w:tcBorders>
              <w:top w:val="nil"/>
              <w:left w:val="nil"/>
              <w:bottom w:val="single" w:sz="4" w:space="0" w:color="auto"/>
              <w:right w:val="single" w:sz="4" w:space="0" w:color="auto"/>
            </w:tcBorders>
            <w:shd w:val="clear" w:color="auto" w:fill="auto"/>
            <w:noWrap/>
            <w:vAlign w:val="center"/>
            <w:hideMark/>
          </w:tcPr>
          <w:p w14:paraId="677F1A4B" w14:textId="77777777" w:rsidR="00454717" w:rsidRPr="00454717" w:rsidRDefault="00454717" w:rsidP="00D22441">
            <w:pPr>
              <w:jc w:val="righ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62970</w:t>
            </w:r>
          </w:p>
        </w:tc>
        <w:tc>
          <w:tcPr>
            <w:tcW w:w="780" w:type="dxa"/>
            <w:tcBorders>
              <w:top w:val="nil"/>
              <w:left w:val="nil"/>
              <w:bottom w:val="single" w:sz="4" w:space="0" w:color="auto"/>
              <w:right w:val="single" w:sz="4" w:space="0" w:color="auto"/>
            </w:tcBorders>
            <w:shd w:val="clear" w:color="auto" w:fill="auto"/>
            <w:noWrap/>
            <w:vAlign w:val="center"/>
            <w:hideMark/>
          </w:tcPr>
          <w:p w14:paraId="1220A5DC" w14:textId="77777777" w:rsidR="00454717" w:rsidRPr="00454717" w:rsidRDefault="00454717" w:rsidP="00D22441">
            <w:pPr>
              <w:jc w:val="righ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901601851</w:t>
            </w:r>
          </w:p>
        </w:tc>
        <w:tc>
          <w:tcPr>
            <w:tcW w:w="4620" w:type="dxa"/>
            <w:tcBorders>
              <w:top w:val="nil"/>
              <w:left w:val="nil"/>
              <w:bottom w:val="single" w:sz="4" w:space="0" w:color="auto"/>
              <w:right w:val="single" w:sz="4" w:space="0" w:color="auto"/>
            </w:tcBorders>
            <w:shd w:val="clear" w:color="auto" w:fill="auto"/>
            <w:vAlign w:val="center"/>
            <w:hideMark/>
          </w:tcPr>
          <w:p w14:paraId="0987B102" w14:textId="77777777" w:rsidR="00454717" w:rsidRPr="00454717" w:rsidRDefault="00454717" w:rsidP="00D22441">
            <w:pPr>
              <w:jc w:val="lef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ENERGIA Y GAS DE COLOMBIA SAS ESP</w:t>
            </w:r>
          </w:p>
        </w:tc>
        <w:tc>
          <w:tcPr>
            <w:tcW w:w="1600" w:type="dxa"/>
            <w:tcBorders>
              <w:top w:val="nil"/>
              <w:left w:val="nil"/>
              <w:bottom w:val="single" w:sz="4" w:space="0" w:color="auto"/>
              <w:right w:val="single" w:sz="4" w:space="0" w:color="auto"/>
            </w:tcBorders>
            <w:shd w:val="clear" w:color="auto" w:fill="auto"/>
            <w:noWrap/>
            <w:vAlign w:val="center"/>
            <w:hideMark/>
          </w:tcPr>
          <w:p w14:paraId="359E432A" w14:textId="77777777" w:rsidR="00454717" w:rsidRPr="00454717" w:rsidRDefault="00454717" w:rsidP="00D22441">
            <w:pPr>
              <w:jc w:val="lef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 xml:space="preserve">                 75.446.636 </w:t>
            </w:r>
          </w:p>
        </w:tc>
        <w:tc>
          <w:tcPr>
            <w:tcW w:w="1600" w:type="dxa"/>
            <w:tcBorders>
              <w:top w:val="nil"/>
              <w:left w:val="nil"/>
              <w:bottom w:val="single" w:sz="4" w:space="0" w:color="auto"/>
              <w:right w:val="single" w:sz="4" w:space="0" w:color="auto"/>
            </w:tcBorders>
            <w:shd w:val="clear" w:color="auto" w:fill="auto"/>
            <w:noWrap/>
            <w:vAlign w:val="center"/>
            <w:hideMark/>
          </w:tcPr>
          <w:p w14:paraId="138366E5" w14:textId="77777777" w:rsidR="00454717" w:rsidRPr="00454717" w:rsidRDefault="00454717" w:rsidP="00D22441">
            <w:pPr>
              <w:jc w:val="lef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 xml:space="preserve"> No reportó </w:t>
            </w:r>
          </w:p>
        </w:tc>
      </w:tr>
      <w:tr w:rsidR="00454717" w:rsidRPr="00454717" w14:paraId="616FDF5C" w14:textId="77777777" w:rsidTr="00454717">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667F6271" w14:textId="77777777" w:rsidR="00454717" w:rsidRPr="00454717" w:rsidRDefault="00454717" w:rsidP="00D22441">
            <w:pPr>
              <w:jc w:val="righ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43</w:t>
            </w:r>
          </w:p>
        </w:tc>
        <w:tc>
          <w:tcPr>
            <w:tcW w:w="480" w:type="dxa"/>
            <w:tcBorders>
              <w:top w:val="nil"/>
              <w:left w:val="nil"/>
              <w:bottom w:val="single" w:sz="4" w:space="0" w:color="auto"/>
              <w:right w:val="single" w:sz="4" w:space="0" w:color="auto"/>
            </w:tcBorders>
            <w:shd w:val="clear" w:color="auto" w:fill="auto"/>
            <w:noWrap/>
            <w:vAlign w:val="center"/>
            <w:hideMark/>
          </w:tcPr>
          <w:p w14:paraId="3FF086B5" w14:textId="77777777" w:rsidR="00454717" w:rsidRPr="00454717" w:rsidRDefault="00454717" w:rsidP="00D22441">
            <w:pPr>
              <w:jc w:val="righ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63854</w:t>
            </w:r>
          </w:p>
        </w:tc>
        <w:tc>
          <w:tcPr>
            <w:tcW w:w="780" w:type="dxa"/>
            <w:tcBorders>
              <w:top w:val="nil"/>
              <w:left w:val="nil"/>
              <w:bottom w:val="single" w:sz="4" w:space="0" w:color="auto"/>
              <w:right w:val="single" w:sz="4" w:space="0" w:color="auto"/>
            </w:tcBorders>
            <w:shd w:val="clear" w:color="auto" w:fill="auto"/>
            <w:noWrap/>
            <w:vAlign w:val="center"/>
            <w:hideMark/>
          </w:tcPr>
          <w:p w14:paraId="096C98B0" w14:textId="77777777" w:rsidR="00454717" w:rsidRPr="00454717" w:rsidRDefault="00454717" w:rsidP="00D22441">
            <w:pPr>
              <w:jc w:val="righ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901063906</w:t>
            </w:r>
          </w:p>
        </w:tc>
        <w:tc>
          <w:tcPr>
            <w:tcW w:w="4620" w:type="dxa"/>
            <w:tcBorders>
              <w:top w:val="nil"/>
              <w:left w:val="nil"/>
              <w:bottom w:val="single" w:sz="4" w:space="0" w:color="auto"/>
              <w:right w:val="single" w:sz="4" w:space="0" w:color="auto"/>
            </w:tcBorders>
            <w:shd w:val="clear" w:color="auto" w:fill="auto"/>
            <w:vAlign w:val="center"/>
            <w:hideMark/>
          </w:tcPr>
          <w:p w14:paraId="262A3DA1" w14:textId="77777777" w:rsidR="00454717" w:rsidRPr="00454717" w:rsidRDefault="00454717" w:rsidP="00D22441">
            <w:pPr>
              <w:jc w:val="lef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SOLARPACK COLOMBIA SAS ESP</w:t>
            </w:r>
          </w:p>
        </w:tc>
        <w:tc>
          <w:tcPr>
            <w:tcW w:w="1600" w:type="dxa"/>
            <w:tcBorders>
              <w:top w:val="nil"/>
              <w:left w:val="nil"/>
              <w:bottom w:val="single" w:sz="4" w:space="0" w:color="auto"/>
              <w:right w:val="single" w:sz="4" w:space="0" w:color="auto"/>
            </w:tcBorders>
            <w:shd w:val="clear" w:color="auto" w:fill="auto"/>
            <w:noWrap/>
            <w:vAlign w:val="center"/>
            <w:hideMark/>
          </w:tcPr>
          <w:p w14:paraId="3D8B0AFA" w14:textId="77777777" w:rsidR="00454717" w:rsidRPr="00454717" w:rsidRDefault="00454717" w:rsidP="00D22441">
            <w:pPr>
              <w:jc w:val="lef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 xml:space="preserve">             6.077.753.000 </w:t>
            </w:r>
          </w:p>
        </w:tc>
        <w:tc>
          <w:tcPr>
            <w:tcW w:w="1600" w:type="dxa"/>
            <w:tcBorders>
              <w:top w:val="nil"/>
              <w:left w:val="nil"/>
              <w:bottom w:val="single" w:sz="4" w:space="0" w:color="auto"/>
              <w:right w:val="single" w:sz="4" w:space="0" w:color="auto"/>
            </w:tcBorders>
            <w:shd w:val="clear" w:color="auto" w:fill="auto"/>
            <w:noWrap/>
            <w:vAlign w:val="center"/>
            <w:hideMark/>
          </w:tcPr>
          <w:p w14:paraId="1A30E939" w14:textId="77777777" w:rsidR="00454717" w:rsidRPr="00454717" w:rsidRDefault="00454717" w:rsidP="00D22441">
            <w:pPr>
              <w:jc w:val="lef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 xml:space="preserve"> No reportó </w:t>
            </w:r>
          </w:p>
        </w:tc>
      </w:tr>
      <w:tr w:rsidR="00454717" w:rsidRPr="00454717" w14:paraId="0999DE30" w14:textId="77777777" w:rsidTr="00454717">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1BD8BA58" w14:textId="77777777" w:rsidR="00454717" w:rsidRPr="00454717" w:rsidRDefault="00454717" w:rsidP="00D22441">
            <w:pPr>
              <w:jc w:val="righ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44</w:t>
            </w:r>
          </w:p>
        </w:tc>
        <w:tc>
          <w:tcPr>
            <w:tcW w:w="480" w:type="dxa"/>
            <w:tcBorders>
              <w:top w:val="nil"/>
              <w:left w:val="nil"/>
              <w:bottom w:val="single" w:sz="4" w:space="0" w:color="auto"/>
              <w:right w:val="single" w:sz="4" w:space="0" w:color="auto"/>
            </w:tcBorders>
            <w:shd w:val="clear" w:color="auto" w:fill="auto"/>
            <w:noWrap/>
            <w:vAlign w:val="center"/>
            <w:hideMark/>
          </w:tcPr>
          <w:p w14:paraId="6471875A" w14:textId="77777777" w:rsidR="00454717" w:rsidRPr="00454717" w:rsidRDefault="00454717" w:rsidP="00D22441">
            <w:pPr>
              <w:jc w:val="righ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64034</w:t>
            </w:r>
          </w:p>
        </w:tc>
        <w:tc>
          <w:tcPr>
            <w:tcW w:w="780" w:type="dxa"/>
            <w:tcBorders>
              <w:top w:val="nil"/>
              <w:left w:val="nil"/>
              <w:bottom w:val="single" w:sz="4" w:space="0" w:color="auto"/>
              <w:right w:val="single" w:sz="4" w:space="0" w:color="auto"/>
            </w:tcBorders>
            <w:shd w:val="clear" w:color="auto" w:fill="auto"/>
            <w:noWrap/>
            <w:vAlign w:val="center"/>
            <w:hideMark/>
          </w:tcPr>
          <w:p w14:paraId="7262692D" w14:textId="77777777" w:rsidR="00454717" w:rsidRPr="00454717" w:rsidRDefault="00454717" w:rsidP="00D22441">
            <w:pPr>
              <w:jc w:val="righ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901201734</w:t>
            </w:r>
          </w:p>
        </w:tc>
        <w:tc>
          <w:tcPr>
            <w:tcW w:w="4620" w:type="dxa"/>
            <w:tcBorders>
              <w:top w:val="nil"/>
              <w:left w:val="nil"/>
              <w:bottom w:val="single" w:sz="4" w:space="0" w:color="auto"/>
              <w:right w:val="single" w:sz="4" w:space="0" w:color="auto"/>
            </w:tcBorders>
            <w:shd w:val="clear" w:color="auto" w:fill="auto"/>
            <w:vAlign w:val="center"/>
            <w:hideMark/>
          </w:tcPr>
          <w:p w14:paraId="4469C940" w14:textId="77777777" w:rsidR="00454717" w:rsidRPr="00454717" w:rsidRDefault="00454717" w:rsidP="00D22441">
            <w:pPr>
              <w:jc w:val="lef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GENERSOL S.A.S. E.S.P.</w:t>
            </w:r>
          </w:p>
        </w:tc>
        <w:tc>
          <w:tcPr>
            <w:tcW w:w="1600" w:type="dxa"/>
            <w:tcBorders>
              <w:top w:val="nil"/>
              <w:left w:val="nil"/>
              <w:bottom w:val="single" w:sz="4" w:space="0" w:color="auto"/>
              <w:right w:val="single" w:sz="4" w:space="0" w:color="auto"/>
            </w:tcBorders>
            <w:shd w:val="clear" w:color="auto" w:fill="auto"/>
            <w:noWrap/>
            <w:vAlign w:val="center"/>
            <w:hideMark/>
          </w:tcPr>
          <w:p w14:paraId="295A774A" w14:textId="77777777" w:rsidR="00454717" w:rsidRPr="00454717" w:rsidRDefault="00454717" w:rsidP="00D22441">
            <w:pPr>
              <w:jc w:val="lef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 xml:space="preserve">                560.673.000 </w:t>
            </w:r>
          </w:p>
        </w:tc>
        <w:tc>
          <w:tcPr>
            <w:tcW w:w="1600" w:type="dxa"/>
            <w:tcBorders>
              <w:top w:val="nil"/>
              <w:left w:val="nil"/>
              <w:bottom w:val="single" w:sz="4" w:space="0" w:color="auto"/>
              <w:right w:val="single" w:sz="4" w:space="0" w:color="auto"/>
            </w:tcBorders>
            <w:shd w:val="clear" w:color="auto" w:fill="auto"/>
            <w:noWrap/>
            <w:vAlign w:val="center"/>
            <w:hideMark/>
          </w:tcPr>
          <w:p w14:paraId="0E9F1FF6" w14:textId="77777777" w:rsidR="00454717" w:rsidRPr="00454717" w:rsidRDefault="00454717" w:rsidP="00D22441">
            <w:pPr>
              <w:jc w:val="left"/>
              <w:rPr>
                <w:rFonts w:ascii="Arial Narrow" w:hAnsi="Arial Narrow" w:cs="Calibri"/>
                <w:color w:val="000000"/>
                <w:spacing w:val="0"/>
                <w:sz w:val="16"/>
                <w:szCs w:val="16"/>
                <w:lang w:eastAsia="es-CO"/>
              </w:rPr>
            </w:pPr>
            <w:r w:rsidRPr="00454717">
              <w:rPr>
                <w:rFonts w:ascii="Arial Narrow" w:hAnsi="Arial Narrow" w:cs="Calibri"/>
                <w:color w:val="000000"/>
                <w:spacing w:val="0"/>
                <w:sz w:val="16"/>
                <w:szCs w:val="16"/>
                <w:lang w:eastAsia="es-CO"/>
              </w:rPr>
              <w:t xml:space="preserve"> No reportó </w:t>
            </w:r>
          </w:p>
        </w:tc>
      </w:tr>
    </w:tbl>
    <w:p w14:paraId="39AA54EC" w14:textId="5688B62D" w:rsidR="00454717" w:rsidRDefault="00454717" w:rsidP="00D22441">
      <w:pPr>
        <w:pStyle w:val="Subttulo"/>
        <w:spacing w:after="0"/>
        <w:jc w:val="left"/>
        <w:rPr>
          <w:b/>
          <w:bCs/>
          <w:color w:val="FF0000"/>
          <w:sz w:val="22"/>
          <w:szCs w:val="22"/>
        </w:rPr>
      </w:pPr>
    </w:p>
    <w:p w14:paraId="726BF428" w14:textId="16198D17" w:rsidR="004217E9" w:rsidRPr="00391CDD" w:rsidRDefault="004217E9" w:rsidP="00D22441">
      <w:pPr>
        <w:pStyle w:val="Ttulo10"/>
        <w:numPr>
          <w:ilvl w:val="0"/>
          <w:numId w:val="37"/>
        </w:numPr>
        <w:spacing w:before="0" w:after="0"/>
        <w:rPr>
          <w:sz w:val="22"/>
          <w:szCs w:val="22"/>
        </w:rPr>
      </w:pPr>
      <w:bookmarkStart w:id="90" w:name="_Toc147154332"/>
      <w:r w:rsidRPr="00391CDD">
        <w:rPr>
          <w:sz w:val="22"/>
          <w:szCs w:val="22"/>
        </w:rPr>
        <w:t>LIQUIDACIÓN CONTRIBUCIÓN ESPECIAL PARA LA VIGENCIA 202</w:t>
      </w:r>
      <w:r w:rsidR="0098559D" w:rsidRPr="00391CDD">
        <w:rPr>
          <w:sz w:val="22"/>
          <w:szCs w:val="22"/>
        </w:rPr>
        <w:t>3</w:t>
      </w:r>
      <w:r w:rsidR="00C447D2">
        <w:rPr>
          <w:sz w:val="22"/>
          <w:szCs w:val="22"/>
        </w:rPr>
        <w:t>.</w:t>
      </w:r>
      <w:bookmarkEnd w:id="90"/>
    </w:p>
    <w:p w14:paraId="7955CECA" w14:textId="6BEB20AE" w:rsidR="004217E9" w:rsidRDefault="004217E9" w:rsidP="00D22441">
      <w:pPr>
        <w:rPr>
          <w:rFonts w:cs="Arial"/>
          <w:sz w:val="22"/>
          <w:szCs w:val="22"/>
        </w:rPr>
      </w:pPr>
    </w:p>
    <w:p w14:paraId="22178350" w14:textId="6D466892" w:rsidR="004217E9" w:rsidRPr="00BB14CB" w:rsidRDefault="004217E9" w:rsidP="00D22441">
      <w:pPr>
        <w:pStyle w:val="Subttulo"/>
        <w:numPr>
          <w:ilvl w:val="1"/>
          <w:numId w:val="37"/>
        </w:numPr>
        <w:spacing w:after="0"/>
        <w:ind w:left="357" w:hanging="357"/>
        <w:jc w:val="left"/>
        <w:rPr>
          <w:b/>
          <w:bCs/>
          <w:sz w:val="22"/>
          <w:szCs w:val="22"/>
        </w:rPr>
      </w:pPr>
      <w:bookmarkStart w:id="91" w:name="_Toc147154333"/>
      <w:r>
        <w:rPr>
          <w:b/>
          <w:bCs/>
          <w:sz w:val="22"/>
          <w:szCs w:val="22"/>
        </w:rPr>
        <w:t>PRESUPUESTO NETO ENERGÍA Y GAS COMBUSTIBLE VIGENCIA 202</w:t>
      </w:r>
      <w:r w:rsidR="0098559D">
        <w:rPr>
          <w:b/>
          <w:bCs/>
          <w:sz w:val="22"/>
          <w:szCs w:val="22"/>
        </w:rPr>
        <w:t>3</w:t>
      </w:r>
      <w:r w:rsidR="00C447D2">
        <w:rPr>
          <w:b/>
          <w:bCs/>
          <w:sz w:val="22"/>
          <w:szCs w:val="22"/>
        </w:rPr>
        <w:t>.</w:t>
      </w:r>
      <w:bookmarkEnd w:id="91"/>
    </w:p>
    <w:p w14:paraId="36519272" w14:textId="77777777" w:rsidR="004217E9" w:rsidRDefault="004217E9" w:rsidP="00D22441">
      <w:pPr>
        <w:rPr>
          <w:rFonts w:cs="Arial"/>
          <w:sz w:val="22"/>
          <w:szCs w:val="22"/>
        </w:rPr>
      </w:pPr>
    </w:p>
    <w:p w14:paraId="154AEFA3" w14:textId="124D6816" w:rsidR="00ED23AE" w:rsidRDefault="00ED23AE" w:rsidP="00ED23AE">
      <w:pPr>
        <w:rPr>
          <w:rFonts w:cs="Arial"/>
          <w:sz w:val="22"/>
          <w:szCs w:val="22"/>
        </w:rPr>
      </w:pPr>
      <w:r w:rsidRPr="00A43221">
        <w:rPr>
          <w:rFonts w:cs="Arial"/>
          <w:sz w:val="22"/>
          <w:szCs w:val="22"/>
        </w:rPr>
        <w:lastRenderedPageBreak/>
        <w:t>Para la liquidación de la contribuc</w:t>
      </w:r>
      <w:r>
        <w:rPr>
          <w:rFonts w:cs="Arial"/>
          <w:sz w:val="22"/>
          <w:szCs w:val="22"/>
        </w:rPr>
        <w:t>ión especial de la vigencia 2023</w:t>
      </w:r>
      <w:r w:rsidRPr="00A43221">
        <w:rPr>
          <w:rFonts w:cs="Arial"/>
          <w:sz w:val="22"/>
          <w:szCs w:val="22"/>
        </w:rPr>
        <w:t xml:space="preserve">, se realizó la depuración a partir de los gastos de funcionamiento (gastos administrativos menos las exclusiones), para de esta manera </w:t>
      </w:r>
      <w:r>
        <w:rPr>
          <w:rFonts w:cs="Arial"/>
          <w:sz w:val="22"/>
          <w:szCs w:val="22"/>
        </w:rPr>
        <w:t>encontrar</w:t>
      </w:r>
      <w:r w:rsidRPr="00A43221">
        <w:rPr>
          <w:rFonts w:cs="Arial"/>
          <w:sz w:val="22"/>
          <w:szCs w:val="22"/>
        </w:rPr>
        <w:t xml:space="preserve"> la base gravable de las empresas reguladas y determinar con ella el cubrimiento del presupuesto apropiado</w:t>
      </w:r>
      <w:r>
        <w:rPr>
          <w:rFonts w:cs="Arial"/>
          <w:sz w:val="22"/>
          <w:szCs w:val="22"/>
        </w:rPr>
        <w:t xml:space="preserve"> a la CREG para la vigencia 2023</w:t>
      </w:r>
      <w:r w:rsidRPr="00A43221">
        <w:rPr>
          <w:rFonts w:cs="Arial"/>
          <w:sz w:val="22"/>
          <w:szCs w:val="22"/>
        </w:rPr>
        <w:t>.</w:t>
      </w:r>
      <w:r w:rsidR="00D615C4">
        <w:rPr>
          <w:rFonts w:cs="Arial"/>
          <w:sz w:val="22"/>
          <w:szCs w:val="22"/>
        </w:rPr>
        <w:t xml:space="preserve"> </w:t>
      </w:r>
    </w:p>
    <w:p w14:paraId="453ECCFD" w14:textId="77777777" w:rsidR="00ED23AE" w:rsidRDefault="00ED23AE" w:rsidP="00D22441">
      <w:pPr>
        <w:rPr>
          <w:rFonts w:cs="Arial"/>
          <w:sz w:val="22"/>
          <w:szCs w:val="22"/>
        </w:rPr>
      </w:pPr>
    </w:p>
    <w:p w14:paraId="4052E6F8" w14:textId="7B88AC16" w:rsidR="00797EB2" w:rsidRDefault="00260B13" w:rsidP="00D22441">
      <w:pPr>
        <w:rPr>
          <w:rFonts w:cs="Arial"/>
          <w:sz w:val="22"/>
          <w:szCs w:val="22"/>
        </w:rPr>
      </w:pPr>
      <w:r>
        <w:rPr>
          <w:rFonts w:cs="Arial"/>
          <w:sz w:val="22"/>
          <w:szCs w:val="22"/>
        </w:rPr>
        <w:t xml:space="preserve">Conforme </w:t>
      </w:r>
      <w:r w:rsidR="00C84552">
        <w:rPr>
          <w:rFonts w:cs="Arial"/>
          <w:sz w:val="22"/>
          <w:szCs w:val="22"/>
        </w:rPr>
        <w:t>a lo expuesto en e</w:t>
      </w:r>
      <w:r w:rsidR="00E437D7">
        <w:rPr>
          <w:rFonts w:cs="Arial"/>
          <w:sz w:val="22"/>
          <w:szCs w:val="22"/>
        </w:rPr>
        <w:t>l numeral:</w:t>
      </w:r>
      <w:r>
        <w:rPr>
          <w:rFonts w:cs="Arial"/>
          <w:sz w:val="22"/>
          <w:szCs w:val="22"/>
        </w:rPr>
        <w:t xml:space="preserve"> </w:t>
      </w:r>
      <w:hyperlink w:anchor="PRESUPUESTOCREG_AÑO2023" w:history="1">
        <w:r w:rsidRPr="00676827">
          <w:rPr>
            <w:rStyle w:val="Hipervnculo"/>
            <w:rFonts w:cs="Arial"/>
            <w:sz w:val="22"/>
            <w:szCs w:val="22"/>
            <w:lang w:val="es-CO"/>
          </w:rPr>
          <w:t>4.1</w:t>
        </w:r>
        <w:r w:rsidR="00E437D7" w:rsidRPr="00676827">
          <w:rPr>
            <w:rStyle w:val="Hipervnculo"/>
            <w:rFonts w:cs="Arial"/>
            <w:sz w:val="22"/>
            <w:szCs w:val="22"/>
            <w:lang w:val="es-CO"/>
          </w:rPr>
          <w:t xml:space="preserve"> </w:t>
        </w:r>
        <w:r w:rsidRPr="00676827">
          <w:rPr>
            <w:rStyle w:val="Hipervnculo"/>
            <w:rFonts w:cs="Arial"/>
            <w:sz w:val="22"/>
            <w:szCs w:val="22"/>
            <w:lang w:val="es-CO"/>
          </w:rPr>
          <w:t>PRESUPUESTO DE LA CREG PARA LA VIGENCIA 2023</w:t>
        </w:r>
      </w:hyperlink>
      <w:r w:rsidR="00C84552">
        <w:rPr>
          <w:rFonts w:cs="Arial"/>
          <w:sz w:val="22"/>
          <w:szCs w:val="22"/>
        </w:rPr>
        <w:t xml:space="preserve">, del presente documento, las </w:t>
      </w:r>
      <w:r w:rsidR="00A155FF" w:rsidRPr="00EA5C80">
        <w:rPr>
          <w:rFonts w:cs="Arial"/>
          <w:sz w:val="22"/>
          <w:szCs w:val="22"/>
        </w:rPr>
        <w:t>apropiaciones presupuestales aprobadas</w:t>
      </w:r>
      <w:r w:rsidR="00A155FF">
        <w:rPr>
          <w:rFonts w:cs="Arial"/>
          <w:sz w:val="22"/>
          <w:szCs w:val="22"/>
        </w:rPr>
        <w:t xml:space="preserve"> y vigentes</w:t>
      </w:r>
      <w:r w:rsidR="00A155FF" w:rsidRPr="00EA5C80">
        <w:rPr>
          <w:rFonts w:cs="Arial"/>
          <w:sz w:val="22"/>
          <w:szCs w:val="22"/>
        </w:rPr>
        <w:t xml:space="preserve"> a favor de la CREG para la vigencia fiscal 202</w:t>
      </w:r>
      <w:r w:rsidR="00797EB2">
        <w:rPr>
          <w:rFonts w:cs="Arial"/>
          <w:sz w:val="22"/>
          <w:szCs w:val="22"/>
        </w:rPr>
        <w:t>3</w:t>
      </w:r>
      <w:r w:rsidR="00A155FF">
        <w:rPr>
          <w:rFonts w:cs="Arial"/>
          <w:sz w:val="22"/>
          <w:szCs w:val="22"/>
        </w:rPr>
        <w:t xml:space="preserve">, </w:t>
      </w:r>
      <w:r w:rsidR="003D59B0" w:rsidRPr="003D59B0">
        <w:rPr>
          <w:rFonts w:cs="Arial"/>
          <w:sz w:val="22"/>
          <w:szCs w:val="22"/>
        </w:rPr>
        <w:t xml:space="preserve">ascendieron a la </w:t>
      </w:r>
      <w:r w:rsidR="003D59B0" w:rsidRPr="00797EB2">
        <w:rPr>
          <w:rFonts w:cs="Arial"/>
          <w:sz w:val="22"/>
          <w:szCs w:val="22"/>
        </w:rPr>
        <w:t xml:space="preserve">suma </w:t>
      </w:r>
      <w:r w:rsidR="00017459" w:rsidRPr="00797EB2">
        <w:rPr>
          <w:rFonts w:cs="Arial"/>
          <w:sz w:val="22"/>
          <w:szCs w:val="22"/>
        </w:rPr>
        <w:t xml:space="preserve">total </w:t>
      </w:r>
      <w:r w:rsidR="003D59B0" w:rsidRPr="003D59B0">
        <w:rPr>
          <w:rFonts w:cs="Arial"/>
          <w:sz w:val="22"/>
          <w:szCs w:val="22"/>
        </w:rPr>
        <w:t xml:space="preserve">de </w:t>
      </w:r>
      <w:r w:rsidR="00797EB2">
        <w:rPr>
          <w:rFonts w:cs="Arial"/>
          <w:sz w:val="22"/>
          <w:szCs w:val="22"/>
        </w:rPr>
        <w:t>CUARENTA Y CINCO MIL CUATROCIENTOS CUARENTA Y CINCO MILLONES CIENTO SETENTA Y CUATRO MIL CUATRO PESOS M/CTE. (</w:t>
      </w:r>
      <w:r w:rsidR="00797EB2" w:rsidRPr="00AE2E66">
        <w:rPr>
          <w:rFonts w:cs="Arial"/>
          <w:sz w:val="22"/>
          <w:szCs w:val="22"/>
        </w:rPr>
        <w:t>$45.445.174.004</w:t>
      </w:r>
      <w:r w:rsidR="00797EB2">
        <w:rPr>
          <w:rFonts w:cs="Arial"/>
          <w:sz w:val="22"/>
          <w:szCs w:val="22"/>
        </w:rPr>
        <w:t>)</w:t>
      </w:r>
      <w:r w:rsidR="00C84552">
        <w:rPr>
          <w:rFonts w:cs="Arial"/>
          <w:sz w:val="22"/>
          <w:szCs w:val="22"/>
        </w:rPr>
        <w:t>.</w:t>
      </w:r>
    </w:p>
    <w:p w14:paraId="17943330" w14:textId="77777777" w:rsidR="00345622" w:rsidRDefault="00345622" w:rsidP="00D22441">
      <w:pPr>
        <w:rPr>
          <w:rFonts w:cs="Arial"/>
          <w:sz w:val="22"/>
          <w:szCs w:val="22"/>
        </w:rPr>
      </w:pPr>
    </w:p>
    <w:p w14:paraId="6374F170" w14:textId="43B46718" w:rsidR="00345622" w:rsidRDefault="00345622" w:rsidP="00D22441">
      <w:pPr>
        <w:rPr>
          <w:rFonts w:cs="Arial"/>
          <w:sz w:val="22"/>
          <w:szCs w:val="22"/>
        </w:rPr>
      </w:pPr>
      <w:r>
        <w:rPr>
          <w:sz w:val="22"/>
          <w:szCs w:val="22"/>
        </w:rPr>
        <w:t>Como resultado de la anterior determinación, el valor a recuperar mediante la liquidación y cobro de la contribución especial a favor de la CREG para el 2023</w:t>
      </w:r>
      <w:r w:rsidR="00CD6B4B">
        <w:rPr>
          <w:sz w:val="22"/>
          <w:szCs w:val="22"/>
        </w:rPr>
        <w:t xml:space="preserve">, de los recursos </w:t>
      </w:r>
      <w:r w:rsidR="0055424D">
        <w:rPr>
          <w:sz w:val="22"/>
          <w:szCs w:val="22"/>
        </w:rPr>
        <w:t xml:space="preserve">16 – Fondos especiales, por </w:t>
      </w:r>
      <w:r w:rsidR="00CD6B4B" w:rsidRPr="00017459">
        <w:rPr>
          <w:rFonts w:cs="Arial"/>
          <w:sz w:val="22"/>
          <w:szCs w:val="22"/>
        </w:rPr>
        <w:t>$40.194.783.004</w:t>
      </w:r>
      <w:r w:rsidR="00CD6B4B" w:rsidRPr="003D59B0">
        <w:rPr>
          <w:rFonts w:cs="Arial"/>
          <w:sz w:val="22"/>
          <w:szCs w:val="22"/>
        </w:rPr>
        <w:t>, restando las transferencias de excedentes al Fondo Empresarial</w:t>
      </w:r>
      <w:r w:rsidR="0055424D">
        <w:rPr>
          <w:rFonts w:cs="Arial"/>
          <w:sz w:val="22"/>
          <w:szCs w:val="22"/>
        </w:rPr>
        <w:t xml:space="preserve"> por $</w:t>
      </w:r>
      <w:r w:rsidR="00823B59" w:rsidRPr="00823B59">
        <w:rPr>
          <w:rFonts w:cs="Arial"/>
          <w:sz w:val="22"/>
          <w:szCs w:val="22"/>
        </w:rPr>
        <w:t>2.444.416.949</w:t>
      </w:r>
      <w:r w:rsidR="00823B59">
        <w:rPr>
          <w:rFonts w:cs="Arial"/>
          <w:sz w:val="22"/>
          <w:szCs w:val="22"/>
        </w:rPr>
        <w:t>,</w:t>
      </w:r>
      <w:r w:rsidR="003273C4">
        <w:rPr>
          <w:rFonts w:cs="Arial"/>
          <w:sz w:val="22"/>
          <w:szCs w:val="22"/>
        </w:rPr>
        <w:t xml:space="preserve"> </w:t>
      </w:r>
      <w:r>
        <w:rPr>
          <w:sz w:val="22"/>
          <w:szCs w:val="22"/>
        </w:rPr>
        <w:t xml:space="preserve">asciende a </w:t>
      </w:r>
      <w:r w:rsidRPr="004756AE">
        <w:rPr>
          <w:sz w:val="22"/>
          <w:szCs w:val="22"/>
        </w:rPr>
        <w:t xml:space="preserve">un valor neto </w:t>
      </w:r>
      <w:r>
        <w:rPr>
          <w:sz w:val="22"/>
          <w:szCs w:val="22"/>
        </w:rPr>
        <w:t xml:space="preserve">de </w:t>
      </w:r>
      <w:r w:rsidRPr="004756AE">
        <w:rPr>
          <w:sz w:val="22"/>
          <w:szCs w:val="22"/>
        </w:rPr>
        <w:t xml:space="preserve">TREINTA Y </w:t>
      </w:r>
      <w:r>
        <w:rPr>
          <w:sz w:val="22"/>
          <w:szCs w:val="22"/>
        </w:rPr>
        <w:t>SIETE</w:t>
      </w:r>
      <w:r w:rsidRPr="004756AE">
        <w:rPr>
          <w:sz w:val="22"/>
          <w:szCs w:val="22"/>
        </w:rPr>
        <w:t xml:space="preserve"> MIL </w:t>
      </w:r>
      <w:r>
        <w:rPr>
          <w:sz w:val="22"/>
          <w:szCs w:val="22"/>
        </w:rPr>
        <w:t xml:space="preserve">SETECIENTOS CINCUENTA MILLONES TRESCIENTOS SESENTA Y SEIS MIL CINCUENTA </w:t>
      </w:r>
      <w:r w:rsidRPr="004756AE">
        <w:rPr>
          <w:sz w:val="22"/>
          <w:szCs w:val="22"/>
        </w:rPr>
        <w:t xml:space="preserve">Y </w:t>
      </w:r>
      <w:r>
        <w:rPr>
          <w:sz w:val="22"/>
          <w:szCs w:val="22"/>
        </w:rPr>
        <w:t xml:space="preserve">CINCO </w:t>
      </w:r>
      <w:r w:rsidRPr="004756AE">
        <w:rPr>
          <w:sz w:val="22"/>
          <w:szCs w:val="22"/>
        </w:rPr>
        <w:t>PESOS M/CTE. (</w:t>
      </w:r>
      <w:r w:rsidRPr="00EB0134">
        <w:rPr>
          <w:sz w:val="22"/>
          <w:szCs w:val="22"/>
        </w:rPr>
        <w:t>$37.750.366.055</w:t>
      </w:r>
      <w:r w:rsidRPr="004756AE">
        <w:rPr>
          <w:sz w:val="22"/>
          <w:szCs w:val="22"/>
        </w:rPr>
        <w:t>)</w:t>
      </w:r>
      <w:r>
        <w:rPr>
          <w:sz w:val="22"/>
          <w:szCs w:val="22"/>
        </w:rPr>
        <w:t xml:space="preserve">, </w:t>
      </w:r>
      <w:r w:rsidR="003273C4">
        <w:rPr>
          <w:sz w:val="22"/>
          <w:szCs w:val="22"/>
        </w:rPr>
        <w:t>detallado en el</w:t>
      </w:r>
      <w:r w:rsidR="002E7430">
        <w:rPr>
          <w:sz w:val="22"/>
          <w:szCs w:val="22"/>
        </w:rPr>
        <w:t xml:space="preserve"> presente documento en el</w:t>
      </w:r>
      <w:r w:rsidR="003273C4">
        <w:rPr>
          <w:sz w:val="22"/>
          <w:szCs w:val="22"/>
        </w:rPr>
        <w:t xml:space="preserve"> numeral: </w:t>
      </w:r>
      <w:hyperlink w:anchor="COSTOSACTIVIDADREGULATORIA2023" w:history="1">
        <w:r w:rsidR="003273C4" w:rsidRPr="00DE0AAC">
          <w:rPr>
            <w:rStyle w:val="Hipervnculo"/>
            <w:sz w:val="22"/>
            <w:szCs w:val="22"/>
            <w:lang w:val="es-CO"/>
          </w:rPr>
          <w:t>4.2 COSTOS DE LA ACTIVIDAD REGULATORIA</w:t>
        </w:r>
      </w:hyperlink>
      <w:r w:rsidR="002E7430">
        <w:rPr>
          <w:sz w:val="22"/>
          <w:szCs w:val="22"/>
        </w:rPr>
        <w:t>.</w:t>
      </w:r>
    </w:p>
    <w:p w14:paraId="1A1AEDC0" w14:textId="77777777" w:rsidR="0033774D" w:rsidRDefault="0033774D" w:rsidP="0033774D">
      <w:pPr>
        <w:ind w:right="-91"/>
        <w:rPr>
          <w:rFonts w:cs="Arial"/>
          <w:sz w:val="22"/>
          <w:szCs w:val="22"/>
        </w:rPr>
      </w:pPr>
    </w:p>
    <w:p w14:paraId="0D528A08" w14:textId="4A3DB23A" w:rsidR="004217E9" w:rsidRPr="004217E9" w:rsidRDefault="00896740" w:rsidP="00D22441">
      <w:pPr>
        <w:pStyle w:val="Subttulo"/>
        <w:numPr>
          <w:ilvl w:val="1"/>
          <w:numId w:val="37"/>
        </w:numPr>
        <w:spacing w:after="0"/>
        <w:ind w:left="357" w:hanging="357"/>
        <w:jc w:val="left"/>
        <w:rPr>
          <w:b/>
          <w:bCs/>
          <w:sz w:val="22"/>
          <w:szCs w:val="22"/>
        </w:rPr>
      </w:pPr>
      <w:bookmarkStart w:id="92" w:name="_Toc147154334"/>
      <w:r>
        <w:rPr>
          <w:b/>
          <w:bCs/>
          <w:sz w:val="22"/>
          <w:szCs w:val="22"/>
        </w:rPr>
        <w:t>FALTANTE PRESUPUESTAL CONTRIBUCIÓN ESPE</w:t>
      </w:r>
      <w:r w:rsidR="00860870">
        <w:rPr>
          <w:b/>
          <w:bCs/>
          <w:sz w:val="22"/>
          <w:szCs w:val="22"/>
        </w:rPr>
        <w:t>CIAL VIGENCIA 202</w:t>
      </w:r>
      <w:r w:rsidR="0098559D">
        <w:rPr>
          <w:b/>
          <w:bCs/>
          <w:sz w:val="22"/>
          <w:szCs w:val="22"/>
        </w:rPr>
        <w:t>3</w:t>
      </w:r>
      <w:r>
        <w:rPr>
          <w:b/>
          <w:bCs/>
          <w:sz w:val="22"/>
          <w:szCs w:val="22"/>
        </w:rPr>
        <w:t>.</w:t>
      </w:r>
      <w:bookmarkEnd w:id="92"/>
    </w:p>
    <w:p w14:paraId="594CDA68" w14:textId="34918F4E" w:rsidR="00A43221" w:rsidRDefault="00A43221" w:rsidP="00D22441">
      <w:pPr>
        <w:rPr>
          <w:rFonts w:cs="Arial"/>
          <w:sz w:val="22"/>
          <w:szCs w:val="22"/>
        </w:rPr>
      </w:pPr>
    </w:p>
    <w:p w14:paraId="04121CCB" w14:textId="5FDA50BC" w:rsidR="001B635C" w:rsidRDefault="00171EC3" w:rsidP="00D22441">
      <w:pPr>
        <w:rPr>
          <w:rFonts w:cs="Arial"/>
          <w:sz w:val="22"/>
          <w:szCs w:val="22"/>
        </w:rPr>
      </w:pPr>
      <w:r w:rsidRPr="00A43221">
        <w:rPr>
          <w:rFonts w:cs="Arial"/>
          <w:sz w:val="22"/>
          <w:szCs w:val="22"/>
        </w:rPr>
        <w:t xml:space="preserve">La CREG realizó el análisis de la información financiera </w:t>
      </w:r>
      <w:r>
        <w:rPr>
          <w:rFonts w:cs="Arial"/>
          <w:sz w:val="22"/>
          <w:szCs w:val="22"/>
        </w:rPr>
        <w:t>cargada y certificada</w:t>
      </w:r>
      <w:r w:rsidRPr="00A43221">
        <w:rPr>
          <w:rFonts w:cs="Arial"/>
          <w:sz w:val="22"/>
          <w:szCs w:val="22"/>
        </w:rPr>
        <w:t xml:space="preserve"> al SUI</w:t>
      </w:r>
      <w:r>
        <w:rPr>
          <w:rFonts w:cs="Arial"/>
          <w:sz w:val="22"/>
          <w:szCs w:val="22"/>
        </w:rPr>
        <w:t xml:space="preserve"> con corte al </w:t>
      </w:r>
      <w:r w:rsidR="0098559D">
        <w:rPr>
          <w:rFonts w:cs="Arial"/>
          <w:sz w:val="22"/>
          <w:szCs w:val="22"/>
        </w:rPr>
        <w:t>1</w:t>
      </w:r>
      <w:r w:rsidR="00821343">
        <w:rPr>
          <w:rFonts w:cs="Arial"/>
          <w:sz w:val="22"/>
          <w:szCs w:val="22"/>
        </w:rPr>
        <w:t>2</w:t>
      </w:r>
      <w:r w:rsidR="00F0101B">
        <w:rPr>
          <w:rFonts w:cs="Arial"/>
          <w:sz w:val="22"/>
          <w:szCs w:val="22"/>
        </w:rPr>
        <w:t xml:space="preserve"> de </w:t>
      </w:r>
      <w:r w:rsidR="0098559D">
        <w:rPr>
          <w:rFonts w:cs="Arial"/>
          <w:sz w:val="22"/>
          <w:szCs w:val="22"/>
        </w:rPr>
        <w:t>julio</w:t>
      </w:r>
      <w:r>
        <w:rPr>
          <w:rFonts w:cs="Arial"/>
          <w:sz w:val="22"/>
          <w:szCs w:val="22"/>
        </w:rPr>
        <w:t xml:space="preserve"> de 202</w:t>
      </w:r>
      <w:r w:rsidR="0098559D">
        <w:rPr>
          <w:rFonts w:cs="Arial"/>
          <w:sz w:val="22"/>
          <w:szCs w:val="22"/>
        </w:rPr>
        <w:t>3</w:t>
      </w:r>
      <w:r w:rsidRPr="00A43221">
        <w:rPr>
          <w:rFonts w:cs="Arial"/>
          <w:sz w:val="22"/>
          <w:szCs w:val="22"/>
        </w:rPr>
        <w:t xml:space="preserve">, </w:t>
      </w:r>
      <w:r w:rsidR="00D52F03">
        <w:rPr>
          <w:rFonts w:cs="Arial"/>
          <w:sz w:val="22"/>
          <w:szCs w:val="22"/>
        </w:rPr>
        <w:t xml:space="preserve">detallada en el numeral: </w:t>
      </w:r>
      <w:hyperlink w:anchor="INFOEEFF2022REPORTESUI" w:history="1">
        <w:r w:rsidR="00D52F03" w:rsidRPr="00D52F03">
          <w:rPr>
            <w:rStyle w:val="Hipervnculo"/>
            <w:rFonts w:cs="Arial"/>
            <w:sz w:val="22"/>
            <w:szCs w:val="22"/>
            <w:lang w:val="es-CO"/>
          </w:rPr>
          <w:t>3.7. INFORMACIÓN FINANCIERA 2022 REPORTADA AL SUI</w:t>
        </w:r>
      </w:hyperlink>
      <w:r w:rsidR="00D52F03">
        <w:rPr>
          <w:rFonts w:cs="Arial"/>
          <w:sz w:val="22"/>
          <w:szCs w:val="22"/>
        </w:rPr>
        <w:t xml:space="preserve"> del presente documento</w:t>
      </w:r>
      <w:r w:rsidR="00AA0CCF">
        <w:rPr>
          <w:rFonts w:cs="Arial"/>
          <w:sz w:val="22"/>
          <w:szCs w:val="22"/>
        </w:rPr>
        <w:t>, tenido en cuenta los siguientes valores:</w:t>
      </w:r>
    </w:p>
    <w:p w14:paraId="18F533B8" w14:textId="77777777" w:rsidR="00D615C4" w:rsidRDefault="00D615C4" w:rsidP="00D22441">
      <w:pPr>
        <w:rPr>
          <w:rFonts w:cs="Arial"/>
          <w:sz w:val="22"/>
          <w:szCs w:val="22"/>
        </w:rPr>
      </w:pPr>
    </w:p>
    <w:p w14:paraId="162098A0" w14:textId="0EFE90EB" w:rsidR="00007351" w:rsidRPr="00DD403A" w:rsidRDefault="00007351" w:rsidP="00007351">
      <w:pPr>
        <w:pStyle w:val="Descripcin"/>
        <w:rPr>
          <w:i w:val="0"/>
          <w:iCs w:val="0"/>
          <w:color w:val="auto"/>
        </w:rPr>
      </w:pPr>
      <w:bookmarkStart w:id="93" w:name="_Toc145486445"/>
      <w:r w:rsidRPr="002C4392">
        <w:rPr>
          <w:i w:val="0"/>
          <w:iCs w:val="0"/>
          <w:color w:val="auto"/>
        </w:rPr>
        <w:t xml:space="preserve">Tabla </w:t>
      </w:r>
      <w:r w:rsidRPr="002C4392">
        <w:rPr>
          <w:i w:val="0"/>
          <w:iCs w:val="0"/>
          <w:color w:val="auto"/>
        </w:rPr>
        <w:fldChar w:fldCharType="begin"/>
      </w:r>
      <w:r w:rsidRPr="002C4392">
        <w:rPr>
          <w:i w:val="0"/>
          <w:iCs w:val="0"/>
          <w:color w:val="auto"/>
        </w:rPr>
        <w:instrText xml:space="preserve"> SEQ Tabla \* ARABIC </w:instrText>
      </w:r>
      <w:r w:rsidRPr="002C4392">
        <w:rPr>
          <w:i w:val="0"/>
          <w:iCs w:val="0"/>
          <w:color w:val="auto"/>
        </w:rPr>
        <w:fldChar w:fldCharType="separate"/>
      </w:r>
      <w:r w:rsidR="00E75800">
        <w:rPr>
          <w:i w:val="0"/>
          <w:iCs w:val="0"/>
          <w:noProof/>
          <w:color w:val="auto"/>
        </w:rPr>
        <w:t>19</w:t>
      </w:r>
      <w:r w:rsidRPr="002C4392">
        <w:rPr>
          <w:i w:val="0"/>
          <w:iCs w:val="0"/>
          <w:color w:val="auto"/>
        </w:rPr>
        <w:fldChar w:fldCharType="end"/>
      </w:r>
      <w:r w:rsidRPr="002C4392">
        <w:rPr>
          <w:i w:val="0"/>
          <w:iCs w:val="0"/>
          <w:color w:val="auto"/>
        </w:rPr>
        <w:t xml:space="preserve">. </w:t>
      </w:r>
      <w:r>
        <w:rPr>
          <w:i w:val="0"/>
          <w:iCs w:val="0"/>
          <w:color w:val="auto"/>
        </w:rPr>
        <w:t xml:space="preserve">Consolidado de gastos 2022 reportados al SUI </w:t>
      </w:r>
      <w:r w:rsidR="00E75800">
        <w:rPr>
          <w:i w:val="0"/>
          <w:iCs w:val="0"/>
          <w:color w:val="auto"/>
        </w:rPr>
        <w:t>base gravable contribución especial 2023.</w:t>
      </w:r>
      <w:bookmarkEnd w:id="93"/>
    </w:p>
    <w:tbl>
      <w:tblPr>
        <w:tblW w:w="9346" w:type="dxa"/>
        <w:tblCellMar>
          <w:left w:w="70" w:type="dxa"/>
          <w:right w:w="70" w:type="dxa"/>
        </w:tblCellMar>
        <w:tblLook w:val="04A0" w:firstRow="1" w:lastRow="0" w:firstColumn="1" w:lastColumn="0" w:noHBand="0" w:noVBand="1"/>
      </w:tblPr>
      <w:tblGrid>
        <w:gridCol w:w="6941"/>
        <w:gridCol w:w="2405"/>
      </w:tblGrid>
      <w:tr w:rsidR="00AA7034" w:rsidRPr="00924175" w14:paraId="402B21C2" w14:textId="77777777" w:rsidTr="00EC36EF">
        <w:trPr>
          <w:trHeight w:val="364"/>
        </w:trPr>
        <w:tc>
          <w:tcPr>
            <w:tcW w:w="6941"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5CBC851E" w14:textId="076E0E53" w:rsidR="00AA7034" w:rsidRPr="00924175" w:rsidRDefault="00007351" w:rsidP="00AA7034">
            <w:pPr>
              <w:jc w:val="center"/>
              <w:rPr>
                <w:rFonts w:ascii="Bookman Old Style" w:hAnsi="Bookman Old Style" w:cs="Arial"/>
                <w:b/>
                <w:bCs/>
                <w:color w:val="000000"/>
                <w:sz w:val="16"/>
                <w:szCs w:val="16"/>
                <w:lang w:eastAsia="es-CO"/>
              </w:rPr>
            </w:pPr>
            <w:r>
              <w:rPr>
                <w:rFonts w:ascii="Bookman Old Style" w:hAnsi="Bookman Old Style" w:cs="Arial"/>
                <w:b/>
                <w:bCs/>
                <w:color w:val="000000"/>
                <w:sz w:val="16"/>
                <w:szCs w:val="16"/>
                <w:lang w:val="es-MX" w:eastAsia="es-CO"/>
              </w:rPr>
              <w:t>GASTOS CONSOLIDADOS REPORTADOS</w:t>
            </w:r>
            <w:r w:rsidR="00AA7034" w:rsidRPr="00924175">
              <w:rPr>
                <w:rFonts w:ascii="Bookman Old Style" w:hAnsi="Bookman Old Style" w:cs="Arial"/>
                <w:b/>
                <w:bCs/>
                <w:color w:val="000000"/>
                <w:sz w:val="16"/>
                <w:szCs w:val="16"/>
                <w:lang w:val="es-MX" w:eastAsia="es-CO"/>
              </w:rPr>
              <w:t xml:space="preserve"> AL SUI INFORMACIÓN FINANCIERA 2022</w:t>
            </w:r>
          </w:p>
        </w:tc>
        <w:tc>
          <w:tcPr>
            <w:tcW w:w="2405"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474BC0AA" w14:textId="77777777" w:rsidR="00AA7034" w:rsidRPr="00924175" w:rsidRDefault="00AA7034" w:rsidP="00AA7034">
            <w:pPr>
              <w:jc w:val="center"/>
              <w:rPr>
                <w:rFonts w:ascii="Bookman Old Style" w:hAnsi="Bookman Old Style" w:cs="Arial"/>
                <w:b/>
                <w:bCs/>
                <w:color w:val="000000"/>
                <w:sz w:val="16"/>
                <w:szCs w:val="16"/>
                <w:lang w:eastAsia="es-CO"/>
              </w:rPr>
            </w:pPr>
            <w:r w:rsidRPr="00924175">
              <w:rPr>
                <w:rFonts w:ascii="Bookman Old Style" w:hAnsi="Bookman Old Style" w:cs="Arial"/>
                <w:b/>
                <w:bCs/>
                <w:color w:val="000000"/>
                <w:sz w:val="16"/>
                <w:szCs w:val="16"/>
                <w:lang w:val="es-MX" w:eastAsia="es-CO"/>
              </w:rPr>
              <w:t>VALOR</w:t>
            </w:r>
          </w:p>
        </w:tc>
      </w:tr>
      <w:tr w:rsidR="00AA7034" w:rsidRPr="00924175" w14:paraId="00C65BEA" w14:textId="77777777" w:rsidTr="00EC36EF">
        <w:trPr>
          <w:trHeight w:val="284"/>
        </w:trPr>
        <w:tc>
          <w:tcPr>
            <w:tcW w:w="69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BAEDCF" w14:textId="77777777" w:rsidR="00AA7034" w:rsidRPr="00924175" w:rsidRDefault="00AA7034" w:rsidP="00D70396">
            <w:pPr>
              <w:rPr>
                <w:rFonts w:ascii="Bookman Old Style" w:hAnsi="Bookman Old Style" w:cs="Arial"/>
                <w:color w:val="000000"/>
                <w:sz w:val="16"/>
                <w:szCs w:val="16"/>
                <w:lang w:eastAsia="es-CO"/>
              </w:rPr>
            </w:pPr>
            <w:r w:rsidRPr="00924175">
              <w:rPr>
                <w:rFonts w:ascii="Bookman Old Style" w:hAnsi="Bookman Old Style" w:cs="Arial"/>
                <w:color w:val="000000"/>
                <w:sz w:val="16"/>
                <w:szCs w:val="16"/>
                <w:lang w:val="es-MX" w:eastAsia="es-CO"/>
              </w:rPr>
              <w:t>SUBTOTAL GASTOS ADMINISTRATIVOS (FUNCIONAMIENTO)</w:t>
            </w:r>
          </w:p>
        </w:tc>
        <w:tc>
          <w:tcPr>
            <w:tcW w:w="2405" w:type="dxa"/>
            <w:tcBorders>
              <w:top w:val="nil"/>
              <w:left w:val="nil"/>
              <w:bottom w:val="single" w:sz="4" w:space="0" w:color="auto"/>
              <w:right w:val="single" w:sz="4" w:space="0" w:color="auto"/>
            </w:tcBorders>
            <w:shd w:val="clear" w:color="auto" w:fill="auto"/>
            <w:noWrap/>
            <w:vAlign w:val="center"/>
            <w:hideMark/>
          </w:tcPr>
          <w:p w14:paraId="0B421257" w14:textId="77777777" w:rsidR="00AA7034" w:rsidRPr="00924175" w:rsidRDefault="00AA7034" w:rsidP="00D70396">
            <w:pPr>
              <w:jc w:val="right"/>
              <w:rPr>
                <w:rFonts w:ascii="Bookman Old Style" w:hAnsi="Bookman Old Style" w:cs="Arial"/>
                <w:color w:val="000000"/>
                <w:sz w:val="16"/>
                <w:szCs w:val="16"/>
                <w:lang w:eastAsia="es-CO"/>
              </w:rPr>
            </w:pPr>
            <w:r w:rsidRPr="00924175">
              <w:rPr>
                <w:rFonts w:ascii="Bookman Old Style" w:hAnsi="Bookman Old Style" w:cs="Arial"/>
                <w:color w:val="000000"/>
                <w:sz w:val="16"/>
                <w:szCs w:val="16"/>
                <w:lang w:val="es-MX" w:eastAsia="es-CO"/>
              </w:rPr>
              <w:t>$ 3.456.756.690.706</w:t>
            </w:r>
          </w:p>
        </w:tc>
      </w:tr>
      <w:tr w:rsidR="00AA7034" w:rsidRPr="00924175" w14:paraId="68C32AD7" w14:textId="77777777" w:rsidTr="00EC36EF">
        <w:trPr>
          <w:trHeight w:val="260"/>
        </w:trPr>
        <w:tc>
          <w:tcPr>
            <w:tcW w:w="69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C0DE59" w14:textId="77777777" w:rsidR="00AA7034" w:rsidRPr="00924175" w:rsidRDefault="00AA7034" w:rsidP="00D70396">
            <w:pPr>
              <w:rPr>
                <w:rFonts w:ascii="Bookman Old Style" w:hAnsi="Bookman Old Style" w:cs="Arial"/>
                <w:color w:val="000000"/>
                <w:sz w:val="16"/>
                <w:szCs w:val="16"/>
                <w:lang w:eastAsia="es-CO"/>
              </w:rPr>
            </w:pPr>
            <w:r w:rsidRPr="00924175">
              <w:rPr>
                <w:rFonts w:ascii="Bookman Old Style" w:hAnsi="Bookman Old Style" w:cs="Arial"/>
                <w:color w:val="000000"/>
                <w:sz w:val="16"/>
                <w:szCs w:val="16"/>
                <w:lang w:val="es-MX" w:eastAsia="es-CO"/>
              </w:rPr>
              <w:t>SUBTOTAL GASTOS OPERATIVOS</w:t>
            </w:r>
          </w:p>
        </w:tc>
        <w:tc>
          <w:tcPr>
            <w:tcW w:w="2405" w:type="dxa"/>
            <w:tcBorders>
              <w:top w:val="nil"/>
              <w:left w:val="nil"/>
              <w:bottom w:val="single" w:sz="4" w:space="0" w:color="auto"/>
              <w:right w:val="single" w:sz="4" w:space="0" w:color="auto"/>
            </w:tcBorders>
            <w:shd w:val="clear" w:color="auto" w:fill="auto"/>
            <w:noWrap/>
            <w:vAlign w:val="center"/>
            <w:hideMark/>
          </w:tcPr>
          <w:p w14:paraId="061EDAF9" w14:textId="77777777" w:rsidR="00AA7034" w:rsidRPr="00924175" w:rsidRDefault="00AA7034" w:rsidP="00D70396">
            <w:pPr>
              <w:jc w:val="right"/>
              <w:rPr>
                <w:rFonts w:ascii="Bookman Old Style" w:hAnsi="Bookman Old Style" w:cs="Arial"/>
                <w:color w:val="000000"/>
                <w:sz w:val="16"/>
                <w:szCs w:val="16"/>
                <w:lang w:eastAsia="es-CO"/>
              </w:rPr>
            </w:pPr>
            <w:r w:rsidRPr="00924175">
              <w:rPr>
                <w:rFonts w:ascii="Bookman Old Style" w:hAnsi="Bookman Old Style" w:cs="Arial"/>
                <w:color w:val="000000"/>
                <w:sz w:val="16"/>
                <w:szCs w:val="16"/>
                <w:lang w:val="es-MX" w:eastAsia="es-CO"/>
              </w:rPr>
              <w:t>$ 39.653.191.539.633</w:t>
            </w:r>
          </w:p>
        </w:tc>
      </w:tr>
      <w:tr w:rsidR="00AA7034" w:rsidRPr="00924175" w14:paraId="23FEA343" w14:textId="77777777" w:rsidTr="00EC36EF">
        <w:trPr>
          <w:trHeight w:val="277"/>
        </w:trPr>
        <w:tc>
          <w:tcPr>
            <w:tcW w:w="69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4F76A3" w14:textId="2CD47BB9" w:rsidR="00AA7034" w:rsidRPr="00924175" w:rsidRDefault="00AA7034" w:rsidP="00D70396">
            <w:pPr>
              <w:rPr>
                <w:rFonts w:ascii="Bookman Old Style" w:hAnsi="Bookman Old Style" w:cs="Arial"/>
                <w:b/>
                <w:bCs/>
                <w:color w:val="000000"/>
                <w:sz w:val="16"/>
                <w:szCs w:val="16"/>
                <w:lang w:eastAsia="es-CO"/>
              </w:rPr>
            </w:pPr>
            <w:proofErr w:type="gramStart"/>
            <w:r w:rsidRPr="00924175">
              <w:rPr>
                <w:rFonts w:ascii="Bookman Old Style" w:hAnsi="Bookman Old Style" w:cs="Arial"/>
                <w:b/>
                <w:bCs/>
                <w:color w:val="000000"/>
                <w:sz w:val="16"/>
                <w:szCs w:val="16"/>
                <w:lang w:val="es-MX" w:eastAsia="es-CO"/>
              </w:rPr>
              <w:t>TOTAL</w:t>
            </w:r>
            <w:proofErr w:type="gramEnd"/>
            <w:r w:rsidRPr="00924175">
              <w:rPr>
                <w:rFonts w:ascii="Bookman Old Style" w:hAnsi="Bookman Old Style" w:cs="Arial"/>
                <w:b/>
                <w:bCs/>
                <w:color w:val="000000"/>
                <w:sz w:val="16"/>
                <w:szCs w:val="16"/>
                <w:lang w:val="es-MX" w:eastAsia="es-CO"/>
              </w:rPr>
              <w:t xml:space="preserve"> BASE GRAVABLE </w:t>
            </w:r>
            <w:r w:rsidR="00007351">
              <w:rPr>
                <w:rFonts w:ascii="Bookman Old Style" w:hAnsi="Bookman Old Style" w:cs="Arial"/>
                <w:b/>
                <w:bCs/>
                <w:color w:val="000000"/>
                <w:sz w:val="16"/>
                <w:szCs w:val="16"/>
                <w:lang w:val="es-MX" w:eastAsia="es-CO"/>
              </w:rPr>
              <w:t xml:space="preserve">2023 </w:t>
            </w:r>
            <w:r w:rsidRPr="00924175">
              <w:rPr>
                <w:rFonts w:ascii="Bookman Old Style" w:hAnsi="Bookman Old Style" w:cs="Arial"/>
                <w:b/>
                <w:bCs/>
                <w:color w:val="000000"/>
                <w:sz w:val="16"/>
                <w:szCs w:val="16"/>
                <w:lang w:val="es-MX" w:eastAsia="es-CO"/>
              </w:rPr>
              <w:t>CON REPORTE</w:t>
            </w:r>
            <w:r w:rsidR="00007351">
              <w:rPr>
                <w:rFonts w:ascii="Bookman Old Style" w:hAnsi="Bookman Old Style" w:cs="Arial"/>
                <w:b/>
                <w:bCs/>
                <w:color w:val="000000"/>
                <w:sz w:val="16"/>
                <w:szCs w:val="16"/>
                <w:lang w:val="es-MX" w:eastAsia="es-CO"/>
              </w:rPr>
              <w:t xml:space="preserve"> 2022</w:t>
            </w:r>
          </w:p>
        </w:tc>
        <w:tc>
          <w:tcPr>
            <w:tcW w:w="2405" w:type="dxa"/>
            <w:tcBorders>
              <w:top w:val="nil"/>
              <w:left w:val="nil"/>
              <w:bottom w:val="single" w:sz="4" w:space="0" w:color="auto"/>
              <w:right w:val="single" w:sz="4" w:space="0" w:color="auto"/>
            </w:tcBorders>
            <w:shd w:val="clear" w:color="auto" w:fill="auto"/>
            <w:noWrap/>
            <w:vAlign w:val="center"/>
            <w:hideMark/>
          </w:tcPr>
          <w:p w14:paraId="5D8720B5" w14:textId="77777777" w:rsidR="00AA7034" w:rsidRPr="00924175" w:rsidRDefault="00AA7034" w:rsidP="00D70396">
            <w:pPr>
              <w:jc w:val="right"/>
              <w:rPr>
                <w:rFonts w:ascii="Bookman Old Style" w:hAnsi="Bookman Old Style" w:cs="Arial"/>
                <w:b/>
                <w:bCs/>
                <w:color w:val="000000"/>
                <w:sz w:val="16"/>
                <w:szCs w:val="16"/>
                <w:lang w:eastAsia="es-CO"/>
              </w:rPr>
            </w:pPr>
            <w:r w:rsidRPr="00924175">
              <w:rPr>
                <w:rFonts w:ascii="Bookman Old Style" w:hAnsi="Bookman Old Style" w:cs="Arial"/>
                <w:b/>
                <w:bCs/>
                <w:color w:val="000000"/>
                <w:sz w:val="16"/>
                <w:szCs w:val="16"/>
                <w:lang w:val="es-MX" w:eastAsia="es-CO"/>
              </w:rPr>
              <w:t>$ 43.109.948.230.339</w:t>
            </w:r>
          </w:p>
        </w:tc>
      </w:tr>
    </w:tbl>
    <w:p w14:paraId="54466680" w14:textId="77777777" w:rsidR="001B635C" w:rsidRDefault="001B635C" w:rsidP="00D22441">
      <w:pPr>
        <w:rPr>
          <w:rFonts w:cs="Arial"/>
          <w:sz w:val="22"/>
          <w:szCs w:val="22"/>
        </w:rPr>
      </w:pPr>
    </w:p>
    <w:p w14:paraId="156CDD80" w14:textId="04C40272" w:rsidR="00AD403B" w:rsidRDefault="001B635C" w:rsidP="00D22441">
      <w:pPr>
        <w:rPr>
          <w:rFonts w:cs="Arial"/>
          <w:sz w:val="22"/>
          <w:szCs w:val="22"/>
        </w:rPr>
      </w:pPr>
      <w:r>
        <w:rPr>
          <w:rFonts w:cs="Arial"/>
          <w:sz w:val="22"/>
          <w:szCs w:val="22"/>
        </w:rPr>
        <w:t xml:space="preserve">Lo anterior </w:t>
      </w:r>
      <w:r w:rsidR="00171EC3" w:rsidRPr="00A43221">
        <w:rPr>
          <w:rFonts w:cs="Arial"/>
          <w:sz w:val="22"/>
          <w:szCs w:val="22"/>
        </w:rPr>
        <w:t>a efectos de depurar y establecer la base gravable y el monto de la tarifa de la contribució</w:t>
      </w:r>
      <w:r w:rsidR="00171EC3">
        <w:rPr>
          <w:rFonts w:cs="Arial"/>
          <w:sz w:val="22"/>
          <w:szCs w:val="22"/>
        </w:rPr>
        <w:t>n especial para la vigencia 202</w:t>
      </w:r>
      <w:r w:rsidR="00E53F80">
        <w:rPr>
          <w:rFonts w:cs="Arial"/>
          <w:sz w:val="22"/>
          <w:szCs w:val="22"/>
        </w:rPr>
        <w:t>3</w:t>
      </w:r>
      <w:r w:rsidR="00171EC3" w:rsidRPr="00A43221">
        <w:rPr>
          <w:rFonts w:cs="Arial"/>
          <w:sz w:val="22"/>
          <w:szCs w:val="22"/>
        </w:rPr>
        <w:t xml:space="preserve">, a partir del presupuesto base neto de la CREG a recuperar como costo de prestación del servicio de regulación por </w:t>
      </w:r>
      <w:r w:rsidR="00171EC3" w:rsidRPr="004D6254">
        <w:rPr>
          <w:rFonts w:cs="Arial"/>
          <w:sz w:val="22"/>
          <w:szCs w:val="22"/>
        </w:rPr>
        <w:t>$</w:t>
      </w:r>
      <w:r w:rsidR="008C06B4" w:rsidRPr="004D6254">
        <w:rPr>
          <w:rFonts w:cs="Arial"/>
          <w:sz w:val="22"/>
          <w:szCs w:val="22"/>
        </w:rPr>
        <w:t>37.750.366.055</w:t>
      </w:r>
      <w:r w:rsidR="00AD403B">
        <w:rPr>
          <w:rFonts w:cs="Arial"/>
          <w:sz w:val="22"/>
          <w:szCs w:val="22"/>
        </w:rPr>
        <w:t>, tomando los gastos de administración 2022 reportados por las empresas</w:t>
      </w:r>
      <w:r w:rsidR="00797158">
        <w:rPr>
          <w:rFonts w:cs="Arial"/>
          <w:sz w:val="22"/>
          <w:szCs w:val="22"/>
        </w:rPr>
        <w:t>, presentado a continuación:</w:t>
      </w:r>
    </w:p>
    <w:p w14:paraId="498CBF6D" w14:textId="77777777" w:rsidR="00AD403B" w:rsidRDefault="00AD403B" w:rsidP="00D22441">
      <w:pPr>
        <w:rPr>
          <w:rFonts w:cs="Arial"/>
          <w:sz w:val="22"/>
          <w:szCs w:val="22"/>
        </w:rPr>
      </w:pPr>
    </w:p>
    <w:p w14:paraId="3F968EF8" w14:textId="357B8D14" w:rsidR="008402EA" w:rsidRDefault="008402EA" w:rsidP="008402EA">
      <w:pPr>
        <w:pStyle w:val="Descripcin"/>
        <w:rPr>
          <w:rFonts w:cs="Arial"/>
          <w:sz w:val="22"/>
          <w:szCs w:val="22"/>
        </w:rPr>
      </w:pPr>
      <w:bookmarkStart w:id="94" w:name="_Toc145486446"/>
      <w:r w:rsidRPr="002C4392">
        <w:rPr>
          <w:i w:val="0"/>
          <w:iCs w:val="0"/>
          <w:color w:val="auto"/>
        </w:rPr>
        <w:t xml:space="preserve">Tabla </w:t>
      </w:r>
      <w:r w:rsidRPr="002C4392">
        <w:rPr>
          <w:i w:val="0"/>
          <w:iCs w:val="0"/>
          <w:color w:val="auto"/>
        </w:rPr>
        <w:fldChar w:fldCharType="begin"/>
      </w:r>
      <w:r w:rsidRPr="002C4392">
        <w:rPr>
          <w:i w:val="0"/>
          <w:iCs w:val="0"/>
          <w:color w:val="auto"/>
        </w:rPr>
        <w:instrText xml:space="preserve"> SEQ Tabla \* ARABIC </w:instrText>
      </w:r>
      <w:r w:rsidRPr="002C4392">
        <w:rPr>
          <w:i w:val="0"/>
          <w:iCs w:val="0"/>
          <w:color w:val="auto"/>
        </w:rPr>
        <w:fldChar w:fldCharType="separate"/>
      </w:r>
      <w:r w:rsidR="009028EA">
        <w:rPr>
          <w:i w:val="0"/>
          <w:iCs w:val="0"/>
          <w:noProof/>
          <w:color w:val="auto"/>
        </w:rPr>
        <w:t>20</w:t>
      </w:r>
      <w:r w:rsidRPr="002C4392">
        <w:rPr>
          <w:i w:val="0"/>
          <w:iCs w:val="0"/>
          <w:color w:val="auto"/>
        </w:rPr>
        <w:fldChar w:fldCharType="end"/>
      </w:r>
      <w:r w:rsidRPr="002C4392">
        <w:rPr>
          <w:i w:val="0"/>
          <w:iCs w:val="0"/>
          <w:color w:val="auto"/>
        </w:rPr>
        <w:t xml:space="preserve">. </w:t>
      </w:r>
      <w:r w:rsidR="009028EA">
        <w:rPr>
          <w:i w:val="0"/>
          <w:iCs w:val="0"/>
          <w:color w:val="auto"/>
        </w:rPr>
        <w:t>Faltante presupuestal 2023 tomando únicamente los gastos de administración</w:t>
      </w:r>
      <w:r>
        <w:rPr>
          <w:i w:val="0"/>
          <w:iCs w:val="0"/>
          <w:color w:val="auto"/>
        </w:rPr>
        <w:t>.</w:t>
      </w:r>
      <w:bookmarkEnd w:id="94"/>
    </w:p>
    <w:tbl>
      <w:tblPr>
        <w:tblW w:w="9189" w:type="dxa"/>
        <w:jc w:val="center"/>
        <w:tblCellMar>
          <w:left w:w="70" w:type="dxa"/>
          <w:right w:w="70" w:type="dxa"/>
        </w:tblCellMar>
        <w:tblLook w:val="04A0" w:firstRow="1" w:lastRow="0" w:firstColumn="1" w:lastColumn="0" w:noHBand="0" w:noVBand="1"/>
      </w:tblPr>
      <w:tblGrid>
        <w:gridCol w:w="3737"/>
        <w:gridCol w:w="1787"/>
        <w:gridCol w:w="1964"/>
        <w:gridCol w:w="1701"/>
      </w:tblGrid>
      <w:tr w:rsidR="008402EA" w:rsidRPr="00924175" w14:paraId="6406E297" w14:textId="40F72D6B" w:rsidTr="00EC36EF">
        <w:trPr>
          <w:trHeight w:val="465"/>
          <w:jc w:val="center"/>
        </w:trPr>
        <w:tc>
          <w:tcPr>
            <w:tcW w:w="373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9A69994" w14:textId="77777777" w:rsidR="008402EA" w:rsidRPr="00924175" w:rsidRDefault="008402EA" w:rsidP="008402EA">
            <w:pPr>
              <w:jc w:val="center"/>
              <w:rPr>
                <w:rFonts w:ascii="Bookman Old Style" w:hAnsi="Bookman Old Style" w:cs="Arial"/>
                <w:b/>
                <w:bCs/>
                <w:color w:val="000000"/>
                <w:sz w:val="16"/>
                <w:szCs w:val="16"/>
                <w:lang w:eastAsia="es-CO"/>
              </w:rPr>
            </w:pPr>
            <w:r w:rsidRPr="00924175">
              <w:rPr>
                <w:rFonts w:ascii="Bookman Old Style" w:hAnsi="Bookman Old Style" w:cs="Arial"/>
                <w:b/>
                <w:bCs/>
                <w:color w:val="000000"/>
                <w:sz w:val="16"/>
                <w:szCs w:val="16"/>
                <w:lang w:val="es-MX" w:eastAsia="es-CO"/>
              </w:rPr>
              <w:t>CONCEPTOS</w:t>
            </w:r>
          </w:p>
        </w:tc>
        <w:tc>
          <w:tcPr>
            <w:tcW w:w="1787" w:type="dxa"/>
            <w:tcBorders>
              <w:top w:val="single" w:sz="4" w:space="0" w:color="auto"/>
              <w:left w:val="nil"/>
              <w:bottom w:val="single" w:sz="4" w:space="0" w:color="auto"/>
              <w:right w:val="single" w:sz="4" w:space="0" w:color="auto"/>
            </w:tcBorders>
            <w:shd w:val="clear" w:color="auto" w:fill="E7E6E6" w:themeFill="background2"/>
            <w:vAlign w:val="center"/>
            <w:hideMark/>
          </w:tcPr>
          <w:p w14:paraId="775E90C3" w14:textId="77777777" w:rsidR="008402EA" w:rsidRPr="00924175" w:rsidRDefault="008402EA" w:rsidP="008402EA">
            <w:pPr>
              <w:jc w:val="center"/>
              <w:rPr>
                <w:rFonts w:ascii="Bookman Old Style" w:hAnsi="Bookman Old Style" w:cs="Arial"/>
                <w:b/>
                <w:bCs/>
                <w:color w:val="000000"/>
                <w:sz w:val="16"/>
                <w:szCs w:val="16"/>
                <w:lang w:eastAsia="es-CO"/>
              </w:rPr>
            </w:pPr>
            <w:r w:rsidRPr="00924175">
              <w:rPr>
                <w:rFonts w:ascii="Bookman Old Style" w:hAnsi="Bookman Old Style" w:cs="Arial"/>
                <w:b/>
                <w:bCs/>
                <w:color w:val="000000"/>
                <w:sz w:val="16"/>
                <w:szCs w:val="16"/>
                <w:lang w:val="es-MX" w:eastAsia="es-CO"/>
              </w:rPr>
              <w:t>BASE GASTOS DE ADMINISTRACIÓN</w:t>
            </w:r>
          </w:p>
        </w:tc>
        <w:tc>
          <w:tcPr>
            <w:tcW w:w="1964" w:type="dxa"/>
            <w:tcBorders>
              <w:top w:val="single" w:sz="4" w:space="0" w:color="auto"/>
              <w:left w:val="nil"/>
              <w:bottom w:val="single" w:sz="4" w:space="0" w:color="auto"/>
              <w:right w:val="single" w:sz="4" w:space="0" w:color="auto"/>
            </w:tcBorders>
            <w:shd w:val="clear" w:color="auto" w:fill="E7E6E6" w:themeFill="background2"/>
            <w:vAlign w:val="center"/>
            <w:hideMark/>
          </w:tcPr>
          <w:p w14:paraId="7F292BC0" w14:textId="77777777" w:rsidR="008402EA" w:rsidRDefault="008402EA" w:rsidP="008402EA">
            <w:pPr>
              <w:jc w:val="center"/>
              <w:rPr>
                <w:rFonts w:ascii="Bookman Old Style" w:hAnsi="Bookman Old Style" w:cs="Arial"/>
                <w:b/>
                <w:bCs/>
                <w:color w:val="000000"/>
                <w:sz w:val="16"/>
                <w:szCs w:val="16"/>
                <w:lang w:eastAsia="es-CO"/>
              </w:rPr>
            </w:pPr>
            <w:r>
              <w:rPr>
                <w:rFonts w:ascii="Bookman Old Style" w:hAnsi="Bookman Old Style" w:cs="Arial"/>
                <w:b/>
                <w:bCs/>
                <w:color w:val="000000"/>
                <w:sz w:val="16"/>
                <w:szCs w:val="16"/>
                <w:lang w:eastAsia="es-CO"/>
              </w:rPr>
              <w:t xml:space="preserve">PRESUPUESTO 2023 </w:t>
            </w:r>
          </w:p>
          <w:p w14:paraId="37EB96D9" w14:textId="1061488E" w:rsidR="008402EA" w:rsidRPr="00924175" w:rsidRDefault="008402EA" w:rsidP="008402EA">
            <w:pPr>
              <w:jc w:val="center"/>
              <w:rPr>
                <w:rFonts w:ascii="Bookman Old Style" w:hAnsi="Bookman Old Style" w:cs="Arial"/>
                <w:b/>
                <w:bCs/>
                <w:color w:val="000000"/>
                <w:sz w:val="16"/>
                <w:szCs w:val="16"/>
                <w:lang w:eastAsia="es-CO"/>
              </w:rPr>
            </w:pPr>
            <w:r>
              <w:rPr>
                <w:rFonts w:ascii="Bookman Old Style" w:hAnsi="Bookman Old Style" w:cs="Arial"/>
                <w:b/>
                <w:bCs/>
                <w:color w:val="000000"/>
                <w:sz w:val="16"/>
                <w:szCs w:val="16"/>
                <w:lang w:eastAsia="es-CO"/>
              </w:rPr>
              <w:t>A RECUPERAR</w:t>
            </w:r>
          </w:p>
        </w:tc>
        <w:tc>
          <w:tcPr>
            <w:tcW w:w="1701" w:type="dxa"/>
            <w:tcBorders>
              <w:top w:val="single" w:sz="4" w:space="0" w:color="auto"/>
              <w:left w:val="nil"/>
              <w:bottom w:val="single" w:sz="4" w:space="0" w:color="auto"/>
              <w:right w:val="single" w:sz="4" w:space="0" w:color="auto"/>
            </w:tcBorders>
            <w:shd w:val="clear" w:color="auto" w:fill="E7E6E6" w:themeFill="background2"/>
            <w:vAlign w:val="center"/>
          </w:tcPr>
          <w:p w14:paraId="65963291" w14:textId="6533D438" w:rsidR="008402EA" w:rsidRPr="00924175" w:rsidRDefault="008402EA" w:rsidP="008402EA">
            <w:pPr>
              <w:jc w:val="center"/>
              <w:rPr>
                <w:rFonts w:ascii="Bookman Old Style" w:hAnsi="Bookman Old Style" w:cs="Arial"/>
                <w:b/>
                <w:bCs/>
                <w:color w:val="000000"/>
                <w:sz w:val="16"/>
                <w:szCs w:val="16"/>
                <w:lang w:eastAsia="es-CO"/>
              </w:rPr>
            </w:pPr>
            <w:r>
              <w:rPr>
                <w:rFonts w:ascii="Bookman Old Style" w:hAnsi="Bookman Old Style" w:cs="Arial"/>
                <w:b/>
                <w:bCs/>
                <w:color w:val="000000"/>
                <w:sz w:val="16"/>
                <w:szCs w:val="16"/>
                <w:lang w:eastAsia="es-CO"/>
              </w:rPr>
              <w:t>FALTANTE PRESUPUESTAL</w:t>
            </w:r>
          </w:p>
        </w:tc>
      </w:tr>
      <w:tr w:rsidR="008402EA" w:rsidRPr="00924175" w14:paraId="6366C5E4" w14:textId="5D665D6A" w:rsidTr="00EC36EF">
        <w:trPr>
          <w:trHeight w:val="239"/>
          <w:jc w:val="center"/>
        </w:trPr>
        <w:tc>
          <w:tcPr>
            <w:tcW w:w="3737" w:type="dxa"/>
            <w:tcBorders>
              <w:top w:val="nil"/>
              <w:left w:val="single" w:sz="4" w:space="0" w:color="auto"/>
              <w:bottom w:val="single" w:sz="4" w:space="0" w:color="auto"/>
              <w:right w:val="single" w:sz="4" w:space="0" w:color="auto"/>
            </w:tcBorders>
            <w:shd w:val="clear" w:color="auto" w:fill="auto"/>
            <w:noWrap/>
            <w:vAlign w:val="center"/>
            <w:hideMark/>
          </w:tcPr>
          <w:p w14:paraId="772FB0F0" w14:textId="77777777" w:rsidR="008402EA" w:rsidRPr="00924175" w:rsidRDefault="008402EA" w:rsidP="008402EA">
            <w:pPr>
              <w:rPr>
                <w:rFonts w:ascii="Bookman Old Style" w:hAnsi="Bookman Old Style" w:cs="Arial"/>
                <w:color w:val="000000"/>
                <w:sz w:val="16"/>
                <w:szCs w:val="16"/>
                <w:lang w:eastAsia="es-CO"/>
              </w:rPr>
            </w:pPr>
            <w:proofErr w:type="gramStart"/>
            <w:r w:rsidRPr="00924175">
              <w:rPr>
                <w:rFonts w:ascii="Bookman Old Style" w:hAnsi="Bookman Old Style" w:cs="Arial"/>
                <w:color w:val="000000"/>
                <w:sz w:val="16"/>
                <w:szCs w:val="16"/>
                <w:lang w:eastAsia="es-CO"/>
              </w:rPr>
              <w:t>TOTAL</w:t>
            </w:r>
            <w:proofErr w:type="gramEnd"/>
            <w:r w:rsidRPr="00924175">
              <w:rPr>
                <w:rFonts w:ascii="Bookman Old Style" w:hAnsi="Bookman Old Style" w:cs="Arial"/>
                <w:color w:val="000000"/>
                <w:sz w:val="16"/>
                <w:szCs w:val="16"/>
                <w:lang w:eastAsia="es-CO"/>
              </w:rPr>
              <w:t xml:space="preserve"> BASE GRAVABLE</w:t>
            </w:r>
          </w:p>
        </w:tc>
        <w:tc>
          <w:tcPr>
            <w:tcW w:w="1787" w:type="dxa"/>
            <w:tcBorders>
              <w:top w:val="nil"/>
              <w:left w:val="nil"/>
              <w:bottom w:val="single" w:sz="4" w:space="0" w:color="auto"/>
              <w:right w:val="single" w:sz="4" w:space="0" w:color="auto"/>
            </w:tcBorders>
            <w:shd w:val="clear" w:color="auto" w:fill="auto"/>
            <w:noWrap/>
            <w:vAlign w:val="center"/>
            <w:hideMark/>
          </w:tcPr>
          <w:p w14:paraId="7BA3F194" w14:textId="77777777" w:rsidR="008402EA" w:rsidRPr="00924175" w:rsidRDefault="008402EA" w:rsidP="008402EA">
            <w:pPr>
              <w:jc w:val="right"/>
              <w:rPr>
                <w:rFonts w:ascii="Bookman Old Style" w:hAnsi="Bookman Old Style" w:cs="Arial"/>
                <w:color w:val="000000"/>
                <w:sz w:val="16"/>
                <w:szCs w:val="16"/>
                <w:lang w:eastAsia="es-CO"/>
              </w:rPr>
            </w:pPr>
            <w:r w:rsidRPr="00924175">
              <w:rPr>
                <w:rFonts w:ascii="Bookman Old Style" w:hAnsi="Bookman Old Style" w:cs="Arial"/>
                <w:color w:val="000000"/>
                <w:sz w:val="16"/>
                <w:szCs w:val="16"/>
                <w:lang w:eastAsia="es-CO"/>
              </w:rPr>
              <w:t>$3.456.756.690.706</w:t>
            </w:r>
          </w:p>
        </w:tc>
        <w:tc>
          <w:tcPr>
            <w:tcW w:w="1964" w:type="dxa"/>
            <w:tcBorders>
              <w:top w:val="nil"/>
              <w:left w:val="nil"/>
              <w:bottom w:val="single" w:sz="4" w:space="0" w:color="auto"/>
              <w:right w:val="single" w:sz="4" w:space="0" w:color="auto"/>
            </w:tcBorders>
            <w:shd w:val="clear" w:color="auto" w:fill="auto"/>
            <w:noWrap/>
            <w:vAlign w:val="center"/>
            <w:hideMark/>
          </w:tcPr>
          <w:p w14:paraId="18612F78" w14:textId="77777777" w:rsidR="008402EA" w:rsidRPr="00924175" w:rsidRDefault="008402EA" w:rsidP="008402EA">
            <w:pPr>
              <w:jc w:val="right"/>
              <w:rPr>
                <w:rFonts w:ascii="Bookman Old Style" w:hAnsi="Bookman Old Style" w:cs="Arial"/>
                <w:color w:val="000000"/>
                <w:sz w:val="16"/>
                <w:szCs w:val="16"/>
                <w:lang w:eastAsia="es-CO"/>
              </w:rPr>
            </w:pPr>
            <w:r w:rsidRPr="00924175">
              <w:rPr>
                <w:rFonts w:ascii="Bookman Old Style" w:hAnsi="Bookman Old Style" w:cs="Arial"/>
                <w:color w:val="000000"/>
                <w:sz w:val="16"/>
                <w:szCs w:val="16"/>
                <w:lang w:eastAsia="es-CO"/>
              </w:rPr>
              <w:t>$ 3.775.036.605.500</w:t>
            </w:r>
          </w:p>
        </w:tc>
        <w:tc>
          <w:tcPr>
            <w:tcW w:w="1701" w:type="dxa"/>
            <w:tcBorders>
              <w:top w:val="nil"/>
              <w:left w:val="nil"/>
              <w:bottom w:val="single" w:sz="4" w:space="0" w:color="auto"/>
              <w:right w:val="single" w:sz="4" w:space="0" w:color="auto"/>
            </w:tcBorders>
            <w:vAlign w:val="center"/>
          </w:tcPr>
          <w:p w14:paraId="3B1AA544" w14:textId="7C3C822B" w:rsidR="008402EA" w:rsidRPr="00924175" w:rsidRDefault="008402EA" w:rsidP="008402EA">
            <w:pPr>
              <w:jc w:val="right"/>
              <w:rPr>
                <w:rFonts w:ascii="Bookman Old Style" w:hAnsi="Bookman Old Style" w:cs="Arial"/>
                <w:color w:val="000000"/>
                <w:sz w:val="16"/>
                <w:szCs w:val="16"/>
                <w:lang w:eastAsia="es-CO"/>
              </w:rPr>
            </w:pPr>
            <w:r w:rsidRPr="00924175">
              <w:rPr>
                <w:rFonts w:ascii="Bookman Old Style" w:hAnsi="Bookman Old Style" w:cs="Arial"/>
                <w:color w:val="000000"/>
                <w:sz w:val="16"/>
                <w:szCs w:val="16"/>
                <w:lang w:eastAsia="es-CO"/>
              </w:rPr>
              <w:t>$ 318.279.914.794</w:t>
            </w:r>
          </w:p>
        </w:tc>
      </w:tr>
      <w:tr w:rsidR="008402EA" w:rsidRPr="00924175" w14:paraId="409E2BE6" w14:textId="4737D4B8" w:rsidTr="00EC36EF">
        <w:trPr>
          <w:trHeight w:val="271"/>
          <w:jc w:val="center"/>
        </w:trPr>
        <w:tc>
          <w:tcPr>
            <w:tcW w:w="3737" w:type="dxa"/>
            <w:tcBorders>
              <w:top w:val="nil"/>
              <w:left w:val="single" w:sz="4" w:space="0" w:color="auto"/>
              <w:bottom w:val="single" w:sz="4" w:space="0" w:color="auto"/>
              <w:right w:val="single" w:sz="4" w:space="0" w:color="auto"/>
            </w:tcBorders>
            <w:shd w:val="clear" w:color="auto" w:fill="auto"/>
            <w:noWrap/>
            <w:vAlign w:val="center"/>
            <w:hideMark/>
          </w:tcPr>
          <w:p w14:paraId="78C2979D" w14:textId="77777777" w:rsidR="008402EA" w:rsidRPr="00924175" w:rsidRDefault="008402EA" w:rsidP="008402EA">
            <w:pPr>
              <w:rPr>
                <w:rFonts w:ascii="Bookman Old Style" w:hAnsi="Bookman Old Style" w:cs="Arial"/>
                <w:color w:val="000000"/>
                <w:sz w:val="16"/>
                <w:szCs w:val="16"/>
                <w:lang w:eastAsia="es-CO"/>
              </w:rPr>
            </w:pPr>
            <w:r w:rsidRPr="00924175">
              <w:rPr>
                <w:rFonts w:ascii="Bookman Old Style" w:hAnsi="Bookman Old Style" w:cs="Arial"/>
                <w:color w:val="000000"/>
                <w:sz w:val="16"/>
                <w:szCs w:val="16"/>
                <w:lang w:eastAsia="es-CO"/>
              </w:rPr>
              <w:lastRenderedPageBreak/>
              <w:t>TARIFA 1%</w:t>
            </w:r>
          </w:p>
        </w:tc>
        <w:tc>
          <w:tcPr>
            <w:tcW w:w="1787" w:type="dxa"/>
            <w:tcBorders>
              <w:top w:val="nil"/>
              <w:left w:val="nil"/>
              <w:bottom w:val="single" w:sz="4" w:space="0" w:color="auto"/>
              <w:right w:val="single" w:sz="4" w:space="0" w:color="auto"/>
            </w:tcBorders>
            <w:shd w:val="clear" w:color="auto" w:fill="auto"/>
            <w:noWrap/>
            <w:vAlign w:val="center"/>
            <w:hideMark/>
          </w:tcPr>
          <w:p w14:paraId="5C3F4F6E" w14:textId="77777777" w:rsidR="008402EA" w:rsidRPr="00924175" w:rsidRDefault="008402EA" w:rsidP="008402EA">
            <w:pPr>
              <w:jc w:val="right"/>
              <w:rPr>
                <w:rFonts w:ascii="Bookman Old Style" w:hAnsi="Bookman Old Style" w:cs="Arial"/>
                <w:color w:val="000000"/>
                <w:sz w:val="16"/>
                <w:szCs w:val="16"/>
                <w:lang w:eastAsia="es-CO"/>
              </w:rPr>
            </w:pPr>
            <w:r w:rsidRPr="00924175">
              <w:rPr>
                <w:rFonts w:ascii="Bookman Old Style" w:hAnsi="Bookman Old Style" w:cs="Arial"/>
                <w:color w:val="000000"/>
                <w:sz w:val="16"/>
                <w:szCs w:val="16"/>
                <w:lang w:eastAsia="es-CO"/>
              </w:rPr>
              <w:t>$ 34.567.566.907</w:t>
            </w:r>
          </w:p>
        </w:tc>
        <w:tc>
          <w:tcPr>
            <w:tcW w:w="1964" w:type="dxa"/>
            <w:tcBorders>
              <w:top w:val="nil"/>
              <w:left w:val="nil"/>
              <w:bottom w:val="single" w:sz="4" w:space="0" w:color="auto"/>
              <w:right w:val="single" w:sz="4" w:space="0" w:color="auto"/>
            </w:tcBorders>
            <w:shd w:val="clear" w:color="auto" w:fill="auto"/>
            <w:noWrap/>
            <w:vAlign w:val="center"/>
            <w:hideMark/>
          </w:tcPr>
          <w:p w14:paraId="6C98E536" w14:textId="77777777" w:rsidR="008402EA" w:rsidRPr="00924175" w:rsidRDefault="008402EA" w:rsidP="008402EA">
            <w:pPr>
              <w:jc w:val="right"/>
              <w:rPr>
                <w:rFonts w:ascii="Bookman Old Style" w:hAnsi="Bookman Old Style" w:cs="Arial"/>
                <w:color w:val="000000"/>
                <w:sz w:val="16"/>
                <w:szCs w:val="16"/>
                <w:lang w:eastAsia="es-CO"/>
              </w:rPr>
            </w:pPr>
            <w:r w:rsidRPr="00924175">
              <w:rPr>
                <w:rFonts w:ascii="Bookman Old Style" w:hAnsi="Bookman Old Style" w:cs="Arial"/>
                <w:color w:val="000000"/>
                <w:sz w:val="16"/>
                <w:szCs w:val="16"/>
                <w:lang w:eastAsia="es-CO"/>
              </w:rPr>
              <w:t>$ 37.750.366.055</w:t>
            </w:r>
          </w:p>
        </w:tc>
        <w:tc>
          <w:tcPr>
            <w:tcW w:w="1701" w:type="dxa"/>
            <w:tcBorders>
              <w:top w:val="nil"/>
              <w:left w:val="nil"/>
              <w:bottom w:val="single" w:sz="4" w:space="0" w:color="auto"/>
              <w:right w:val="single" w:sz="4" w:space="0" w:color="auto"/>
            </w:tcBorders>
            <w:vAlign w:val="center"/>
          </w:tcPr>
          <w:p w14:paraId="43E85E8D" w14:textId="385AA215" w:rsidR="008402EA" w:rsidRPr="00924175" w:rsidRDefault="008402EA" w:rsidP="008402EA">
            <w:pPr>
              <w:jc w:val="right"/>
              <w:rPr>
                <w:rFonts w:ascii="Bookman Old Style" w:hAnsi="Bookman Old Style" w:cs="Arial"/>
                <w:color w:val="000000"/>
                <w:sz w:val="16"/>
                <w:szCs w:val="16"/>
                <w:lang w:eastAsia="es-CO"/>
              </w:rPr>
            </w:pPr>
            <w:r w:rsidRPr="00924175">
              <w:rPr>
                <w:rFonts w:ascii="Bookman Old Style" w:hAnsi="Bookman Old Style" w:cs="Arial"/>
                <w:color w:val="000000"/>
                <w:sz w:val="16"/>
                <w:szCs w:val="16"/>
                <w:lang w:eastAsia="es-CO"/>
              </w:rPr>
              <w:t>$ 3.182.799.148</w:t>
            </w:r>
          </w:p>
        </w:tc>
      </w:tr>
      <w:tr w:rsidR="008402EA" w:rsidRPr="00924175" w14:paraId="1A8B8CE7" w14:textId="37D955F3" w:rsidTr="00EC36EF">
        <w:trPr>
          <w:trHeight w:val="275"/>
          <w:jc w:val="center"/>
        </w:trPr>
        <w:tc>
          <w:tcPr>
            <w:tcW w:w="3737" w:type="dxa"/>
            <w:tcBorders>
              <w:top w:val="nil"/>
              <w:left w:val="single" w:sz="4" w:space="0" w:color="auto"/>
              <w:bottom w:val="single" w:sz="4" w:space="0" w:color="auto"/>
              <w:right w:val="single" w:sz="4" w:space="0" w:color="auto"/>
            </w:tcBorders>
            <w:shd w:val="clear" w:color="auto" w:fill="auto"/>
            <w:vAlign w:val="center"/>
            <w:hideMark/>
          </w:tcPr>
          <w:p w14:paraId="0F06E3F5" w14:textId="77777777" w:rsidR="008402EA" w:rsidRPr="00924175" w:rsidRDefault="008402EA" w:rsidP="008402EA">
            <w:pPr>
              <w:rPr>
                <w:rFonts w:ascii="Bookman Old Style" w:hAnsi="Bookman Old Style" w:cs="Arial"/>
                <w:color w:val="000000"/>
                <w:sz w:val="16"/>
                <w:szCs w:val="16"/>
                <w:lang w:eastAsia="es-CO"/>
              </w:rPr>
            </w:pPr>
            <w:r w:rsidRPr="00924175">
              <w:rPr>
                <w:rFonts w:ascii="Bookman Old Style" w:hAnsi="Bookman Old Style" w:cs="Arial"/>
                <w:color w:val="000000"/>
                <w:sz w:val="16"/>
                <w:szCs w:val="16"/>
                <w:lang w:eastAsia="es-CO"/>
              </w:rPr>
              <w:t>PORCENTAJE DEL PRESUPUESTO POR BASE</w:t>
            </w:r>
          </w:p>
        </w:tc>
        <w:tc>
          <w:tcPr>
            <w:tcW w:w="1787" w:type="dxa"/>
            <w:tcBorders>
              <w:top w:val="nil"/>
              <w:left w:val="nil"/>
              <w:bottom w:val="single" w:sz="4" w:space="0" w:color="auto"/>
              <w:right w:val="single" w:sz="4" w:space="0" w:color="auto"/>
            </w:tcBorders>
            <w:shd w:val="clear" w:color="auto" w:fill="auto"/>
            <w:noWrap/>
            <w:vAlign w:val="center"/>
            <w:hideMark/>
          </w:tcPr>
          <w:p w14:paraId="1663F9D6" w14:textId="77777777" w:rsidR="008402EA" w:rsidRPr="00924175" w:rsidRDefault="008402EA" w:rsidP="008402EA">
            <w:pPr>
              <w:jc w:val="right"/>
              <w:rPr>
                <w:rFonts w:ascii="Bookman Old Style" w:hAnsi="Bookman Old Style" w:cs="Arial"/>
                <w:sz w:val="16"/>
                <w:szCs w:val="16"/>
                <w:lang w:eastAsia="es-CO"/>
              </w:rPr>
            </w:pPr>
            <w:r w:rsidRPr="00924175">
              <w:rPr>
                <w:rFonts w:ascii="Bookman Old Style" w:hAnsi="Bookman Old Style" w:cs="Arial"/>
                <w:sz w:val="16"/>
                <w:szCs w:val="16"/>
                <w:lang w:eastAsia="es-CO"/>
              </w:rPr>
              <w:t>91,56883%</w:t>
            </w:r>
          </w:p>
        </w:tc>
        <w:tc>
          <w:tcPr>
            <w:tcW w:w="1964" w:type="dxa"/>
            <w:tcBorders>
              <w:top w:val="nil"/>
              <w:left w:val="nil"/>
              <w:bottom w:val="single" w:sz="4" w:space="0" w:color="auto"/>
              <w:right w:val="single" w:sz="4" w:space="0" w:color="auto"/>
            </w:tcBorders>
            <w:shd w:val="clear" w:color="auto" w:fill="auto"/>
            <w:noWrap/>
            <w:vAlign w:val="center"/>
            <w:hideMark/>
          </w:tcPr>
          <w:p w14:paraId="48E1D3EA" w14:textId="77777777" w:rsidR="008402EA" w:rsidRPr="00924175" w:rsidRDefault="008402EA" w:rsidP="008402EA">
            <w:pPr>
              <w:jc w:val="right"/>
              <w:rPr>
                <w:rFonts w:ascii="Bookman Old Style" w:hAnsi="Bookman Old Style" w:cs="Arial"/>
                <w:sz w:val="16"/>
                <w:szCs w:val="16"/>
                <w:lang w:eastAsia="es-CO"/>
              </w:rPr>
            </w:pPr>
            <w:r w:rsidRPr="00924175">
              <w:rPr>
                <w:rFonts w:ascii="Bookman Old Style" w:hAnsi="Bookman Old Style" w:cs="Arial"/>
                <w:sz w:val="16"/>
                <w:szCs w:val="16"/>
                <w:lang w:eastAsia="es-CO"/>
              </w:rPr>
              <w:t>100,00000%</w:t>
            </w:r>
          </w:p>
        </w:tc>
        <w:tc>
          <w:tcPr>
            <w:tcW w:w="1701" w:type="dxa"/>
            <w:tcBorders>
              <w:top w:val="nil"/>
              <w:left w:val="nil"/>
              <w:bottom w:val="single" w:sz="4" w:space="0" w:color="auto"/>
              <w:right w:val="single" w:sz="4" w:space="0" w:color="auto"/>
            </w:tcBorders>
            <w:vAlign w:val="center"/>
          </w:tcPr>
          <w:p w14:paraId="27C31F46" w14:textId="0808E037" w:rsidR="008402EA" w:rsidRPr="00924175" w:rsidRDefault="008402EA" w:rsidP="008402EA">
            <w:pPr>
              <w:jc w:val="right"/>
              <w:rPr>
                <w:rFonts w:ascii="Bookman Old Style" w:hAnsi="Bookman Old Style" w:cs="Arial"/>
                <w:sz w:val="16"/>
                <w:szCs w:val="16"/>
                <w:lang w:eastAsia="es-CO"/>
              </w:rPr>
            </w:pPr>
            <w:r w:rsidRPr="00924175">
              <w:rPr>
                <w:rFonts w:ascii="Bookman Old Style" w:hAnsi="Bookman Old Style" w:cs="Arial"/>
                <w:sz w:val="16"/>
                <w:szCs w:val="16"/>
                <w:lang w:eastAsia="es-CO"/>
              </w:rPr>
              <w:t>8,43117%</w:t>
            </w:r>
          </w:p>
        </w:tc>
      </w:tr>
      <w:tr w:rsidR="008402EA" w:rsidRPr="00924175" w14:paraId="3A62F894" w14:textId="3F937647" w:rsidTr="008402EA">
        <w:trPr>
          <w:trHeight w:val="40"/>
          <w:jc w:val="center"/>
        </w:trPr>
        <w:tc>
          <w:tcPr>
            <w:tcW w:w="3737" w:type="dxa"/>
            <w:tcBorders>
              <w:top w:val="nil"/>
              <w:left w:val="nil"/>
              <w:bottom w:val="nil"/>
              <w:right w:val="nil"/>
            </w:tcBorders>
            <w:shd w:val="clear" w:color="auto" w:fill="auto"/>
            <w:noWrap/>
            <w:vAlign w:val="center"/>
            <w:hideMark/>
          </w:tcPr>
          <w:p w14:paraId="23AA1C30" w14:textId="77777777" w:rsidR="008402EA" w:rsidRPr="00924175" w:rsidRDefault="008402EA" w:rsidP="008402EA">
            <w:pPr>
              <w:rPr>
                <w:rFonts w:ascii="Bookman Old Style" w:hAnsi="Bookman Old Style" w:cs="Arial"/>
                <w:color w:val="000000"/>
                <w:sz w:val="16"/>
                <w:szCs w:val="16"/>
                <w:lang w:eastAsia="es-CO"/>
              </w:rPr>
            </w:pPr>
          </w:p>
        </w:tc>
        <w:tc>
          <w:tcPr>
            <w:tcW w:w="1787" w:type="dxa"/>
            <w:tcBorders>
              <w:top w:val="nil"/>
              <w:left w:val="nil"/>
              <w:bottom w:val="nil"/>
              <w:right w:val="nil"/>
            </w:tcBorders>
            <w:shd w:val="clear" w:color="auto" w:fill="auto"/>
            <w:noWrap/>
            <w:vAlign w:val="center"/>
            <w:hideMark/>
          </w:tcPr>
          <w:p w14:paraId="50083195" w14:textId="77777777" w:rsidR="008402EA" w:rsidRPr="00924175" w:rsidRDefault="008402EA" w:rsidP="008402EA">
            <w:pPr>
              <w:jc w:val="right"/>
              <w:rPr>
                <w:rFonts w:ascii="Bookman Old Style" w:hAnsi="Bookman Old Style"/>
                <w:sz w:val="16"/>
                <w:szCs w:val="16"/>
                <w:lang w:eastAsia="es-CO"/>
              </w:rPr>
            </w:pPr>
          </w:p>
        </w:tc>
        <w:tc>
          <w:tcPr>
            <w:tcW w:w="1964" w:type="dxa"/>
            <w:tcBorders>
              <w:top w:val="nil"/>
              <w:left w:val="nil"/>
              <w:bottom w:val="nil"/>
              <w:right w:val="nil"/>
            </w:tcBorders>
            <w:shd w:val="clear" w:color="auto" w:fill="auto"/>
            <w:noWrap/>
            <w:vAlign w:val="center"/>
            <w:hideMark/>
          </w:tcPr>
          <w:p w14:paraId="2128EEEF" w14:textId="77777777" w:rsidR="008402EA" w:rsidRPr="00924175" w:rsidRDefault="008402EA" w:rsidP="008402EA">
            <w:pPr>
              <w:jc w:val="right"/>
              <w:rPr>
                <w:rFonts w:ascii="Bookman Old Style" w:hAnsi="Bookman Old Style"/>
                <w:sz w:val="16"/>
                <w:szCs w:val="16"/>
                <w:lang w:eastAsia="es-CO"/>
              </w:rPr>
            </w:pPr>
          </w:p>
        </w:tc>
        <w:tc>
          <w:tcPr>
            <w:tcW w:w="1701" w:type="dxa"/>
            <w:tcBorders>
              <w:top w:val="nil"/>
              <w:left w:val="nil"/>
              <w:bottom w:val="nil"/>
              <w:right w:val="nil"/>
            </w:tcBorders>
            <w:vAlign w:val="center"/>
          </w:tcPr>
          <w:p w14:paraId="172D61B4" w14:textId="77777777" w:rsidR="008402EA" w:rsidRPr="00924175" w:rsidRDefault="008402EA" w:rsidP="008402EA">
            <w:pPr>
              <w:jc w:val="right"/>
              <w:rPr>
                <w:rFonts w:ascii="Bookman Old Style" w:hAnsi="Bookman Old Style"/>
                <w:sz w:val="16"/>
                <w:szCs w:val="16"/>
                <w:lang w:eastAsia="es-CO"/>
              </w:rPr>
            </w:pPr>
          </w:p>
        </w:tc>
      </w:tr>
    </w:tbl>
    <w:p w14:paraId="0A0DB9E1" w14:textId="09DD6121" w:rsidR="00B1248F" w:rsidRPr="00B1248F" w:rsidRDefault="00E00A6C" w:rsidP="00D22441">
      <w:pPr>
        <w:rPr>
          <w:rFonts w:cs="Arial"/>
          <w:b/>
          <w:bCs/>
          <w:sz w:val="22"/>
          <w:szCs w:val="22"/>
        </w:rPr>
      </w:pPr>
      <w:r>
        <w:rPr>
          <w:rFonts w:cs="Arial"/>
          <w:sz w:val="22"/>
          <w:szCs w:val="22"/>
        </w:rPr>
        <w:t>Como se observa en la anterior tabla</w:t>
      </w:r>
      <w:r w:rsidR="00C80638">
        <w:rPr>
          <w:rFonts w:cs="Arial"/>
          <w:sz w:val="22"/>
          <w:szCs w:val="22"/>
        </w:rPr>
        <w:t>, a</w:t>
      </w:r>
      <w:r w:rsidR="00B1248F" w:rsidRPr="00B1248F">
        <w:rPr>
          <w:rFonts w:cs="Arial"/>
          <w:sz w:val="22"/>
          <w:szCs w:val="22"/>
        </w:rPr>
        <w:t xml:space="preserve">l aplicar la tarifa del </w:t>
      </w:r>
      <w:r w:rsidR="00B1248F" w:rsidRPr="00B1248F">
        <w:rPr>
          <w:rFonts w:cs="Arial"/>
          <w:b/>
          <w:bCs/>
          <w:sz w:val="22"/>
          <w:szCs w:val="22"/>
        </w:rPr>
        <w:t>1%</w:t>
      </w:r>
      <w:r w:rsidR="00B1248F" w:rsidRPr="00B1248F">
        <w:rPr>
          <w:rFonts w:cs="Arial"/>
          <w:sz w:val="22"/>
          <w:szCs w:val="22"/>
        </w:rPr>
        <w:t xml:space="preserve"> a la suma de </w:t>
      </w:r>
      <w:r w:rsidR="00B1248F" w:rsidRPr="00B1248F">
        <w:rPr>
          <w:rFonts w:cs="Arial"/>
          <w:b/>
          <w:bCs/>
          <w:sz w:val="22"/>
          <w:szCs w:val="22"/>
        </w:rPr>
        <w:t>$3.456.756.690.706</w:t>
      </w:r>
      <w:r w:rsidR="00B1248F" w:rsidRPr="00B1248F">
        <w:rPr>
          <w:rFonts w:cs="Arial"/>
          <w:sz w:val="22"/>
          <w:szCs w:val="22"/>
        </w:rPr>
        <w:t xml:space="preserve">, valor neto de los gastos de funcionamiento de los regulados depurados (como resultado de aplicar las anteriores exclusiones listadas), la Comisión de Regulación Energía y Gas – CREG, recaudaría el valor de </w:t>
      </w:r>
      <w:r w:rsidR="00B1248F" w:rsidRPr="00B1248F">
        <w:rPr>
          <w:rFonts w:cs="Arial"/>
          <w:b/>
          <w:bCs/>
          <w:sz w:val="22"/>
          <w:szCs w:val="22"/>
        </w:rPr>
        <w:t>$34.567.566.907</w:t>
      </w:r>
      <w:r w:rsidR="00B1248F" w:rsidRPr="00B1248F">
        <w:rPr>
          <w:rFonts w:cs="Arial"/>
          <w:sz w:val="22"/>
          <w:szCs w:val="22"/>
        </w:rPr>
        <w:t xml:space="preserve">, monto que es inferior en </w:t>
      </w:r>
      <w:r w:rsidR="00B1248F" w:rsidRPr="00B1248F">
        <w:rPr>
          <w:rFonts w:cs="Arial"/>
          <w:b/>
          <w:bCs/>
          <w:sz w:val="22"/>
          <w:szCs w:val="22"/>
        </w:rPr>
        <w:t>$3.182.799.148</w:t>
      </w:r>
      <w:r w:rsidR="00B1248F" w:rsidRPr="00B1248F">
        <w:rPr>
          <w:rFonts w:cs="Arial"/>
          <w:sz w:val="22"/>
          <w:szCs w:val="22"/>
        </w:rPr>
        <w:t xml:space="preserve">, con respecto al valor que debe ser cubierto con el recaudo de la contribución especial a favor de la Comisión, determinado en la suma de </w:t>
      </w:r>
      <w:r w:rsidR="00B1248F" w:rsidRPr="00B1248F">
        <w:rPr>
          <w:rFonts w:cs="Arial"/>
          <w:b/>
          <w:bCs/>
          <w:sz w:val="22"/>
          <w:szCs w:val="22"/>
        </w:rPr>
        <w:t>$37.750.366.055.</w:t>
      </w:r>
    </w:p>
    <w:p w14:paraId="78EC503E" w14:textId="77777777" w:rsidR="009B19E1" w:rsidRPr="00B1248F" w:rsidRDefault="009B19E1" w:rsidP="00D22441">
      <w:pPr>
        <w:rPr>
          <w:rFonts w:cs="Arial"/>
          <w:b/>
          <w:bCs/>
          <w:sz w:val="22"/>
          <w:szCs w:val="22"/>
        </w:rPr>
      </w:pPr>
    </w:p>
    <w:p w14:paraId="50D98680" w14:textId="3F363F2C" w:rsidR="00636010" w:rsidRPr="00924D06" w:rsidRDefault="00636010" w:rsidP="00D22441">
      <w:pPr>
        <w:pStyle w:val="Subttulo"/>
        <w:numPr>
          <w:ilvl w:val="1"/>
          <w:numId w:val="37"/>
        </w:numPr>
        <w:spacing w:after="0"/>
        <w:ind w:left="357" w:hanging="357"/>
        <w:jc w:val="left"/>
        <w:rPr>
          <w:b/>
          <w:bCs/>
          <w:sz w:val="22"/>
          <w:szCs w:val="22"/>
        </w:rPr>
      </w:pPr>
      <w:bookmarkStart w:id="95" w:name="_Toc147154335"/>
      <w:r w:rsidRPr="00924D06">
        <w:rPr>
          <w:b/>
          <w:bCs/>
          <w:sz w:val="22"/>
          <w:szCs w:val="22"/>
        </w:rPr>
        <w:t>APLICACIÓN DEL PARÁGRAFO 2 DEL ARTÍCULO 85 DE LA LEY 142 DE 1994.</w:t>
      </w:r>
      <w:bookmarkEnd w:id="95"/>
    </w:p>
    <w:p w14:paraId="06D913CE" w14:textId="77777777" w:rsidR="00636010" w:rsidRDefault="00636010" w:rsidP="00D22441">
      <w:pPr>
        <w:rPr>
          <w:rFonts w:cs="Arial"/>
          <w:sz w:val="22"/>
          <w:szCs w:val="22"/>
        </w:rPr>
      </w:pPr>
    </w:p>
    <w:p w14:paraId="445DB32D" w14:textId="7A1497C7" w:rsidR="0011738B" w:rsidRDefault="0011738B" w:rsidP="00D22441">
      <w:pPr>
        <w:rPr>
          <w:rFonts w:cs="Arial"/>
          <w:sz w:val="22"/>
          <w:szCs w:val="22"/>
        </w:rPr>
      </w:pPr>
      <w:r w:rsidRPr="00B1248F">
        <w:rPr>
          <w:rFonts w:cs="Arial"/>
          <w:sz w:val="22"/>
          <w:szCs w:val="22"/>
        </w:rPr>
        <w:t xml:space="preserve">Conforme a lo </w:t>
      </w:r>
      <w:r w:rsidR="002730A0">
        <w:rPr>
          <w:rFonts w:cs="Arial"/>
          <w:sz w:val="22"/>
          <w:szCs w:val="22"/>
        </w:rPr>
        <w:t xml:space="preserve">anteriormente </w:t>
      </w:r>
      <w:r w:rsidRPr="00B1248F">
        <w:rPr>
          <w:rFonts w:cs="Arial"/>
          <w:sz w:val="22"/>
          <w:szCs w:val="22"/>
        </w:rPr>
        <w:t xml:space="preserve">expuesto, al aplicar la tarifa del 1% sobre valor neto de los gastos de funcionamiento </w:t>
      </w:r>
      <w:r w:rsidR="00F41E3E">
        <w:rPr>
          <w:rFonts w:cs="Arial"/>
          <w:sz w:val="22"/>
          <w:szCs w:val="22"/>
        </w:rPr>
        <w:t xml:space="preserve">2022 </w:t>
      </w:r>
      <w:r w:rsidRPr="00B1248F">
        <w:rPr>
          <w:rFonts w:cs="Arial"/>
          <w:sz w:val="22"/>
          <w:szCs w:val="22"/>
        </w:rPr>
        <w:t xml:space="preserve">depurados de los contribuyentes, la CREG identifica un faltante para cubrir el costo del servicio de regulación para la vigencia 2023, razón por la cual es necesario adicionar a la base gravable los rubros </w:t>
      </w:r>
      <w:r w:rsidR="00F41E3E">
        <w:rPr>
          <w:rFonts w:cs="Arial"/>
          <w:sz w:val="22"/>
          <w:szCs w:val="22"/>
        </w:rPr>
        <w:t xml:space="preserve">de los gastos operativos, </w:t>
      </w:r>
      <w:r w:rsidRPr="00B1248F">
        <w:rPr>
          <w:rFonts w:cs="Arial"/>
          <w:sz w:val="22"/>
          <w:szCs w:val="22"/>
        </w:rPr>
        <w:t>que autoriza el parágrafo 2° del artículo 85 de la Ley 142 de 1994, en la proporción en que sean indispensables para cubrir el faltante presupuestal.</w:t>
      </w:r>
    </w:p>
    <w:p w14:paraId="38052015" w14:textId="77777777" w:rsidR="0033774D" w:rsidRPr="00B1248F" w:rsidRDefault="0033774D" w:rsidP="00D22441">
      <w:pPr>
        <w:rPr>
          <w:rFonts w:cs="Arial"/>
          <w:sz w:val="22"/>
          <w:szCs w:val="22"/>
        </w:rPr>
      </w:pPr>
    </w:p>
    <w:p w14:paraId="3E7C686B" w14:textId="0486CFF9" w:rsidR="00707ED7" w:rsidRPr="004217E9" w:rsidRDefault="00707ED7" w:rsidP="00D22441">
      <w:pPr>
        <w:pStyle w:val="Subttulo"/>
        <w:numPr>
          <w:ilvl w:val="1"/>
          <w:numId w:val="37"/>
        </w:numPr>
        <w:spacing w:after="0"/>
        <w:ind w:left="357" w:hanging="357"/>
        <w:jc w:val="left"/>
        <w:rPr>
          <w:b/>
          <w:bCs/>
          <w:sz w:val="22"/>
          <w:szCs w:val="22"/>
        </w:rPr>
      </w:pPr>
      <w:bookmarkStart w:id="96" w:name="_Toc147154336"/>
      <w:r>
        <w:rPr>
          <w:b/>
          <w:bCs/>
          <w:sz w:val="22"/>
          <w:szCs w:val="22"/>
        </w:rPr>
        <w:t xml:space="preserve">LIQUIDACIÓN </w:t>
      </w:r>
      <w:r w:rsidR="00FA612F">
        <w:rPr>
          <w:b/>
          <w:bCs/>
          <w:sz w:val="22"/>
          <w:szCs w:val="22"/>
        </w:rPr>
        <w:t xml:space="preserve">GENERAL DE LA </w:t>
      </w:r>
      <w:r>
        <w:rPr>
          <w:b/>
          <w:bCs/>
          <w:sz w:val="22"/>
          <w:szCs w:val="22"/>
        </w:rPr>
        <w:t>CONTRIBUCIÓN ESPECIAL 202</w:t>
      </w:r>
      <w:r w:rsidR="00105473">
        <w:rPr>
          <w:b/>
          <w:bCs/>
          <w:sz w:val="22"/>
          <w:szCs w:val="22"/>
        </w:rPr>
        <w:t>3</w:t>
      </w:r>
      <w:r>
        <w:rPr>
          <w:b/>
          <w:bCs/>
          <w:sz w:val="22"/>
          <w:szCs w:val="22"/>
        </w:rPr>
        <w:t>.</w:t>
      </w:r>
      <w:bookmarkEnd w:id="96"/>
    </w:p>
    <w:p w14:paraId="78A6FF01" w14:textId="77777777" w:rsidR="007079E3" w:rsidRDefault="007079E3" w:rsidP="00D22441">
      <w:pPr>
        <w:rPr>
          <w:rFonts w:cs="Arial"/>
          <w:sz w:val="22"/>
          <w:szCs w:val="22"/>
        </w:rPr>
      </w:pPr>
    </w:p>
    <w:p w14:paraId="4CBE99B0" w14:textId="4BD491F9" w:rsidR="00A4267A" w:rsidRDefault="003A79AD" w:rsidP="00D22441">
      <w:pPr>
        <w:rPr>
          <w:rFonts w:cs="Arial"/>
          <w:sz w:val="22"/>
          <w:szCs w:val="22"/>
        </w:rPr>
      </w:pPr>
      <w:r w:rsidRPr="002D44CE">
        <w:rPr>
          <w:rFonts w:cs="Arial"/>
          <w:sz w:val="22"/>
          <w:szCs w:val="22"/>
        </w:rPr>
        <w:t>Con se expuso anteriormente</w:t>
      </w:r>
      <w:r w:rsidR="00A4267A" w:rsidRPr="002D44CE">
        <w:rPr>
          <w:rFonts w:cs="Arial"/>
          <w:sz w:val="22"/>
          <w:szCs w:val="22"/>
        </w:rPr>
        <w:t>, del total de gastos operativos por $</w:t>
      </w:r>
      <w:r w:rsidR="00A9160D" w:rsidRPr="002D44CE">
        <w:rPr>
          <w:rFonts w:cs="Arial"/>
          <w:sz w:val="22"/>
          <w:szCs w:val="22"/>
        </w:rPr>
        <w:t>39.6</w:t>
      </w:r>
      <w:r w:rsidR="0024471E" w:rsidRPr="002D44CE">
        <w:rPr>
          <w:rFonts w:cs="Arial"/>
          <w:sz w:val="22"/>
          <w:szCs w:val="22"/>
        </w:rPr>
        <w:t>53</w:t>
      </w:r>
      <w:r w:rsidR="00A9160D" w:rsidRPr="002D44CE">
        <w:rPr>
          <w:rFonts w:cs="Arial"/>
          <w:sz w:val="22"/>
          <w:szCs w:val="22"/>
        </w:rPr>
        <w:t>.</w:t>
      </w:r>
      <w:r w:rsidR="0024471E" w:rsidRPr="002D44CE">
        <w:rPr>
          <w:rFonts w:cs="Arial"/>
          <w:sz w:val="22"/>
          <w:szCs w:val="22"/>
        </w:rPr>
        <w:t>191</w:t>
      </w:r>
      <w:r w:rsidR="00A9160D" w:rsidRPr="002D44CE">
        <w:rPr>
          <w:rFonts w:cs="Arial"/>
          <w:sz w:val="22"/>
          <w:szCs w:val="22"/>
        </w:rPr>
        <w:t>.</w:t>
      </w:r>
      <w:r w:rsidR="0024471E" w:rsidRPr="002D44CE">
        <w:rPr>
          <w:rFonts w:cs="Arial"/>
          <w:sz w:val="22"/>
          <w:szCs w:val="22"/>
        </w:rPr>
        <w:t>539</w:t>
      </w:r>
      <w:r w:rsidR="00A9160D" w:rsidRPr="002D44CE">
        <w:rPr>
          <w:rFonts w:cs="Arial"/>
          <w:sz w:val="22"/>
          <w:szCs w:val="22"/>
        </w:rPr>
        <w:t>.</w:t>
      </w:r>
      <w:r w:rsidR="0024471E" w:rsidRPr="002D44CE">
        <w:rPr>
          <w:rFonts w:cs="Arial"/>
          <w:sz w:val="22"/>
          <w:szCs w:val="22"/>
        </w:rPr>
        <w:t>633</w:t>
      </w:r>
      <w:r w:rsidR="00A9160D" w:rsidRPr="002D44CE">
        <w:rPr>
          <w:rFonts w:cs="Arial"/>
          <w:sz w:val="22"/>
          <w:szCs w:val="22"/>
        </w:rPr>
        <w:t xml:space="preserve"> </w:t>
      </w:r>
      <w:r w:rsidR="00A4267A" w:rsidRPr="002D44CE">
        <w:rPr>
          <w:rFonts w:cs="Arial"/>
          <w:sz w:val="22"/>
          <w:szCs w:val="22"/>
        </w:rPr>
        <w:t xml:space="preserve">se </w:t>
      </w:r>
      <w:r w:rsidR="00D75CAC" w:rsidRPr="002D44CE">
        <w:rPr>
          <w:rFonts w:cs="Arial"/>
          <w:sz w:val="22"/>
          <w:szCs w:val="22"/>
        </w:rPr>
        <w:t>tomó</w:t>
      </w:r>
      <w:r w:rsidR="00A4267A" w:rsidRPr="002D44CE">
        <w:rPr>
          <w:rFonts w:cs="Arial"/>
          <w:sz w:val="22"/>
          <w:szCs w:val="22"/>
        </w:rPr>
        <w:t xml:space="preserve"> </w:t>
      </w:r>
      <w:r w:rsidR="00D75CAC" w:rsidRPr="002D44CE">
        <w:rPr>
          <w:rFonts w:cs="Arial"/>
          <w:sz w:val="22"/>
          <w:szCs w:val="22"/>
        </w:rPr>
        <w:t>una porción de</w:t>
      </w:r>
      <w:r w:rsidR="00A4267A" w:rsidRPr="002D44CE">
        <w:rPr>
          <w:rFonts w:cs="Arial"/>
          <w:sz w:val="22"/>
          <w:szCs w:val="22"/>
        </w:rPr>
        <w:t xml:space="preserve"> $</w:t>
      </w:r>
      <w:r w:rsidR="00462E86" w:rsidRPr="002D44CE">
        <w:rPr>
          <w:rFonts w:cs="Arial"/>
          <w:sz w:val="22"/>
          <w:szCs w:val="22"/>
        </w:rPr>
        <w:t>3.18</w:t>
      </w:r>
      <w:r w:rsidR="006B7933" w:rsidRPr="002D44CE">
        <w:rPr>
          <w:rFonts w:cs="Arial"/>
          <w:sz w:val="22"/>
          <w:szCs w:val="22"/>
        </w:rPr>
        <w:t>2</w:t>
      </w:r>
      <w:r w:rsidR="00462E86" w:rsidRPr="002D44CE">
        <w:rPr>
          <w:rFonts w:cs="Arial"/>
          <w:sz w:val="22"/>
          <w:szCs w:val="22"/>
        </w:rPr>
        <w:t>.</w:t>
      </w:r>
      <w:r w:rsidR="006B7933" w:rsidRPr="002D44CE">
        <w:rPr>
          <w:rFonts w:cs="Arial"/>
          <w:sz w:val="22"/>
          <w:szCs w:val="22"/>
        </w:rPr>
        <w:t>799</w:t>
      </w:r>
      <w:r w:rsidR="00462E86" w:rsidRPr="002D44CE">
        <w:rPr>
          <w:rFonts w:cs="Arial"/>
          <w:sz w:val="22"/>
          <w:szCs w:val="22"/>
        </w:rPr>
        <w:t>.</w:t>
      </w:r>
      <w:r w:rsidR="006B7933" w:rsidRPr="002D44CE">
        <w:rPr>
          <w:rFonts w:cs="Arial"/>
          <w:sz w:val="22"/>
          <w:szCs w:val="22"/>
        </w:rPr>
        <w:t>148</w:t>
      </w:r>
      <w:r w:rsidR="00707ED7" w:rsidRPr="002D44CE">
        <w:rPr>
          <w:rFonts w:cs="Arial"/>
          <w:sz w:val="22"/>
          <w:szCs w:val="22"/>
        </w:rPr>
        <w:t xml:space="preserve">, </w:t>
      </w:r>
      <w:r w:rsidR="00A4267A" w:rsidRPr="002D44CE">
        <w:rPr>
          <w:rFonts w:cs="Arial"/>
          <w:sz w:val="22"/>
          <w:szCs w:val="22"/>
        </w:rPr>
        <w:t xml:space="preserve">en una proporción de </w:t>
      </w:r>
      <w:r w:rsidR="00462E86" w:rsidRPr="002D44CE">
        <w:rPr>
          <w:rFonts w:cs="Arial"/>
          <w:sz w:val="22"/>
          <w:szCs w:val="22"/>
        </w:rPr>
        <w:t>0,0080</w:t>
      </w:r>
      <w:r w:rsidR="006B7933" w:rsidRPr="002D44CE">
        <w:rPr>
          <w:rFonts w:cs="Arial"/>
          <w:sz w:val="22"/>
          <w:szCs w:val="22"/>
        </w:rPr>
        <w:t>266</w:t>
      </w:r>
      <w:r w:rsidR="002C7C22" w:rsidRPr="002D44CE">
        <w:rPr>
          <w:rFonts w:cs="Arial"/>
          <w:sz w:val="22"/>
          <w:szCs w:val="22"/>
        </w:rPr>
        <w:t>%</w:t>
      </w:r>
      <w:r w:rsidR="00A4267A" w:rsidRPr="002D44CE">
        <w:rPr>
          <w:rFonts w:cs="Arial"/>
          <w:sz w:val="22"/>
          <w:szCs w:val="22"/>
        </w:rPr>
        <w:t>, que son los indispensables para cubrir el faltante presupuestal para ser incluidos en la base gravable de la contribución especial de la vigencia 202</w:t>
      </w:r>
      <w:r w:rsidR="00105473" w:rsidRPr="002D44CE">
        <w:rPr>
          <w:rFonts w:cs="Arial"/>
          <w:sz w:val="22"/>
          <w:szCs w:val="22"/>
        </w:rPr>
        <w:t>3</w:t>
      </w:r>
      <w:r w:rsidR="00A4267A" w:rsidRPr="002D44CE">
        <w:rPr>
          <w:rFonts w:cs="Arial"/>
          <w:sz w:val="22"/>
          <w:szCs w:val="22"/>
        </w:rPr>
        <w:t xml:space="preserve">, quedando como propuesta </w:t>
      </w:r>
      <w:r w:rsidR="00C4008C">
        <w:rPr>
          <w:rFonts w:cs="Arial"/>
          <w:sz w:val="22"/>
          <w:szCs w:val="22"/>
        </w:rPr>
        <w:t xml:space="preserve">general </w:t>
      </w:r>
      <w:r w:rsidR="00A4267A" w:rsidRPr="002D44CE">
        <w:rPr>
          <w:rFonts w:cs="Arial"/>
          <w:sz w:val="22"/>
          <w:szCs w:val="22"/>
        </w:rPr>
        <w:t xml:space="preserve">de liquidación </w:t>
      </w:r>
      <w:r w:rsidR="00FA612F">
        <w:rPr>
          <w:rFonts w:cs="Arial"/>
          <w:sz w:val="22"/>
          <w:szCs w:val="22"/>
        </w:rPr>
        <w:t xml:space="preserve">de contribución </w:t>
      </w:r>
      <w:r w:rsidR="00A4267A" w:rsidRPr="002D44CE">
        <w:rPr>
          <w:rFonts w:cs="Arial"/>
          <w:sz w:val="22"/>
          <w:szCs w:val="22"/>
        </w:rPr>
        <w:t>la siguiente:</w:t>
      </w:r>
    </w:p>
    <w:p w14:paraId="09530861" w14:textId="77777777" w:rsidR="009B19E1" w:rsidRDefault="009B19E1" w:rsidP="00D22441">
      <w:pPr>
        <w:rPr>
          <w:rFonts w:cs="Arial"/>
          <w:sz w:val="22"/>
          <w:szCs w:val="22"/>
        </w:rPr>
      </w:pPr>
    </w:p>
    <w:p w14:paraId="42FE345E" w14:textId="77777777" w:rsidR="00EC36EF" w:rsidRDefault="00EC36EF" w:rsidP="00D22441">
      <w:pPr>
        <w:rPr>
          <w:rFonts w:cs="Arial"/>
          <w:sz w:val="22"/>
          <w:szCs w:val="22"/>
        </w:rPr>
      </w:pPr>
    </w:p>
    <w:p w14:paraId="06CB8031" w14:textId="77777777" w:rsidR="00EC36EF" w:rsidRDefault="00EC36EF" w:rsidP="00D22441">
      <w:pPr>
        <w:rPr>
          <w:rFonts w:cs="Arial"/>
          <w:sz w:val="22"/>
          <w:szCs w:val="22"/>
        </w:rPr>
      </w:pPr>
    </w:p>
    <w:p w14:paraId="3FCBE5DA" w14:textId="586F5F24" w:rsidR="009B19E1" w:rsidRDefault="009B19E1" w:rsidP="009B19E1">
      <w:pPr>
        <w:pStyle w:val="Descripcin"/>
        <w:rPr>
          <w:rFonts w:cs="Arial"/>
          <w:sz w:val="22"/>
          <w:szCs w:val="22"/>
        </w:rPr>
      </w:pPr>
      <w:bookmarkStart w:id="97" w:name="_Toc145486447"/>
      <w:r w:rsidRPr="002C4392">
        <w:rPr>
          <w:i w:val="0"/>
          <w:iCs w:val="0"/>
          <w:color w:val="auto"/>
        </w:rPr>
        <w:t xml:space="preserve">Tabla </w:t>
      </w:r>
      <w:r w:rsidRPr="002C4392">
        <w:rPr>
          <w:i w:val="0"/>
          <w:iCs w:val="0"/>
          <w:color w:val="auto"/>
        </w:rPr>
        <w:fldChar w:fldCharType="begin"/>
      </w:r>
      <w:r w:rsidRPr="002C4392">
        <w:rPr>
          <w:i w:val="0"/>
          <w:iCs w:val="0"/>
          <w:color w:val="auto"/>
        </w:rPr>
        <w:instrText xml:space="preserve"> SEQ Tabla \* ARABIC </w:instrText>
      </w:r>
      <w:r w:rsidRPr="002C4392">
        <w:rPr>
          <w:i w:val="0"/>
          <w:iCs w:val="0"/>
          <w:color w:val="auto"/>
        </w:rPr>
        <w:fldChar w:fldCharType="separate"/>
      </w:r>
      <w:r w:rsidR="00622C5C">
        <w:rPr>
          <w:i w:val="0"/>
          <w:iCs w:val="0"/>
          <w:noProof/>
          <w:color w:val="auto"/>
        </w:rPr>
        <w:t>21</w:t>
      </w:r>
      <w:r w:rsidRPr="002C4392">
        <w:rPr>
          <w:i w:val="0"/>
          <w:iCs w:val="0"/>
          <w:color w:val="auto"/>
        </w:rPr>
        <w:fldChar w:fldCharType="end"/>
      </w:r>
      <w:r w:rsidRPr="002C4392">
        <w:rPr>
          <w:i w:val="0"/>
          <w:iCs w:val="0"/>
          <w:color w:val="auto"/>
        </w:rPr>
        <w:t xml:space="preserve">. </w:t>
      </w:r>
      <w:r>
        <w:rPr>
          <w:i w:val="0"/>
          <w:iCs w:val="0"/>
          <w:color w:val="auto"/>
        </w:rPr>
        <w:t>Liquidación</w:t>
      </w:r>
      <w:r w:rsidR="00C4008C">
        <w:rPr>
          <w:i w:val="0"/>
          <w:iCs w:val="0"/>
          <w:color w:val="auto"/>
        </w:rPr>
        <w:t xml:space="preserve"> general de la</w:t>
      </w:r>
      <w:r>
        <w:rPr>
          <w:i w:val="0"/>
          <w:iCs w:val="0"/>
          <w:color w:val="auto"/>
        </w:rPr>
        <w:t xml:space="preserve"> contribución especial 2023.</w:t>
      </w:r>
      <w:bookmarkEnd w:id="97"/>
    </w:p>
    <w:tbl>
      <w:tblPr>
        <w:tblW w:w="9346" w:type="dxa"/>
        <w:tblCellMar>
          <w:left w:w="70" w:type="dxa"/>
          <w:right w:w="70" w:type="dxa"/>
        </w:tblCellMar>
        <w:tblLook w:val="04A0" w:firstRow="1" w:lastRow="0" w:firstColumn="1" w:lastColumn="0" w:noHBand="0" w:noVBand="1"/>
      </w:tblPr>
      <w:tblGrid>
        <w:gridCol w:w="2319"/>
        <w:gridCol w:w="2354"/>
        <w:gridCol w:w="2093"/>
        <w:gridCol w:w="2580"/>
      </w:tblGrid>
      <w:tr w:rsidR="0024471E" w:rsidRPr="00AA0CCF" w14:paraId="106B7EB1" w14:textId="77777777" w:rsidTr="00D615C4">
        <w:trPr>
          <w:trHeight w:val="474"/>
        </w:trPr>
        <w:tc>
          <w:tcPr>
            <w:tcW w:w="23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BCDE19" w14:textId="77777777" w:rsidR="0024471E" w:rsidRPr="00AA0CCF" w:rsidRDefault="0024471E" w:rsidP="00D22441">
            <w:pPr>
              <w:jc w:val="center"/>
              <w:rPr>
                <w:rFonts w:ascii="Arial Narrow" w:hAnsi="Arial Narrow" w:cs="Arial"/>
                <w:b/>
                <w:bCs/>
                <w:color w:val="000000"/>
                <w:sz w:val="18"/>
                <w:szCs w:val="18"/>
                <w:lang w:eastAsia="es-CO"/>
              </w:rPr>
            </w:pPr>
            <w:r w:rsidRPr="00AA0CCF">
              <w:rPr>
                <w:rFonts w:ascii="Arial Narrow" w:hAnsi="Arial Narrow" w:cs="Arial"/>
                <w:b/>
                <w:bCs/>
                <w:color w:val="000000"/>
                <w:sz w:val="18"/>
                <w:szCs w:val="18"/>
                <w:lang w:val="es-MX" w:eastAsia="es-CO"/>
              </w:rPr>
              <w:t>CONCEPTOS</w:t>
            </w:r>
          </w:p>
        </w:tc>
        <w:tc>
          <w:tcPr>
            <w:tcW w:w="235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0A1363C" w14:textId="77777777" w:rsidR="0024471E" w:rsidRPr="00AA0CCF" w:rsidRDefault="0024471E" w:rsidP="00D22441">
            <w:pPr>
              <w:jc w:val="center"/>
              <w:rPr>
                <w:rFonts w:ascii="Arial Narrow" w:hAnsi="Arial Narrow" w:cs="Arial"/>
                <w:b/>
                <w:bCs/>
                <w:color w:val="000000"/>
                <w:sz w:val="18"/>
                <w:szCs w:val="18"/>
                <w:lang w:eastAsia="es-CO"/>
              </w:rPr>
            </w:pPr>
            <w:r w:rsidRPr="00AA0CCF">
              <w:rPr>
                <w:rFonts w:ascii="Arial Narrow" w:hAnsi="Arial Narrow" w:cs="Arial"/>
                <w:b/>
                <w:bCs/>
                <w:color w:val="000000"/>
                <w:sz w:val="18"/>
                <w:szCs w:val="18"/>
                <w:lang w:val="es-MX" w:eastAsia="es-CO"/>
              </w:rPr>
              <w:t>BASE GASTOS DE ADMINISTRACIÓN</w:t>
            </w:r>
          </w:p>
        </w:tc>
        <w:tc>
          <w:tcPr>
            <w:tcW w:w="209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3AA4469" w14:textId="77777777" w:rsidR="0024471E" w:rsidRPr="00AA0CCF" w:rsidRDefault="0024471E" w:rsidP="00D22441">
            <w:pPr>
              <w:jc w:val="center"/>
              <w:rPr>
                <w:rFonts w:ascii="Arial Narrow" w:hAnsi="Arial Narrow" w:cs="Arial"/>
                <w:b/>
                <w:bCs/>
                <w:color w:val="000000"/>
                <w:sz w:val="18"/>
                <w:szCs w:val="18"/>
                <w:lang w:eastAsia="es-CO"/>
              </w:rPr>
            </w:pPr>
            <w:r w:rsidRPr="00AA0CCF">
              <w:rPr>
                <w:rFonts w:ascii="Arial Narrow" w:hAnsi="Arial Narrow" w:cs="Arial"/>
                <w:b/>
                <w:bCs/>
                <w:color w:val="000000"/>
                <w:sz w:val="18"/>
                <w:szCs w:val="18"/>
                <w:lang w:eastAsia="es-CO"/>
              </w:rPr>
              <w:t>BASE GASTOS DE OPERACIÓN</w:t>
            </w:r>
          </w:p>
        </w:tc>
        <w:tc>
          <w:tcPr>
            <w:tcW w:w="258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60F34DC" w14:textId="77777777" w:rsidR="0024471E" w:rsidRPr="00AA0CCF" w:rsidRDefault="0024471E" w:rsidP="00D22441">
            <w:pPr>
              <w:jc w:val="center"/>
              <w:rPr>
                <w:rFonts w:ascii="Arial Narrow" w:hAnsi="Arial Narrow" w:cs="Arial"/>
                <w:b/>
                <w:bCs/>
                <w:color w:val="000000"/>
                <w:sz w:val="18"/>
                <w:szCs w:val="18"/>
                <w:lang w:eastAsia="es-CO"/>
              </w:rPr>
            </w:pPr>
            <w:r w:rsidRPr="00AA0CCF">
              <w:rPr>
                <w:rFonts w:ascii="Arial Narrow" w:hAnsi="Arial Narrow" w:cs="Arial"/>
                <w:b/>
                <w:bCs/>
                <w:color w:val="000000"/>
                <w:sz w:val="18"/>
                <w:szCs w:val="18"/>
                <w:lang w:eastAsia="es-CO"/>
              </w:rPr>
              <w:t>TOTALES</w:t>
            </w:r>
          </w:p>
        </w:tc>
      </w:tr>
      <w:tr w:rsidR="0024471E" w:rsidRPr="00AA0CCF" w14:paraId="5A7E564C" w14:textId="77777777" w:rsidTr="00D70396">
        <w:trPr>
          <w:trHeight w:val="221"/>
        </w:trPr>
        <w:tc>
          <w:tcPr>
            <w:tcW w:w="2319" w:type="dxa"/>
            <w:tcBorders>
              <w:top w:val="nil"/>
              <w:left w:val="single" w:sz="4" w:space="0" w:color="auto"/>
              <w:bottom w:val="single" w:sz="4" w:space="0" w:color="auto"/>
              <w:right w:val="single" w:sz="4" w:space="0" w:color="auto"/>
            </w:tcBorders>
            <w:shd w:val="clear" w:color="auto" w:fill="auto"/>
            <w:noWrap/>
            <w:vAlign w:val="center"/>
            <w:hideMark/>
          </w:tcPr>
          <w:p w14:paraId="06E80A92" w14:textId="77777777" w:rsidR="0024471E" w:rsidRPr="00AA0CCF" w:rsidRDefault="0024471E" w:rsidP="00AA0CCF">
            <w:pPr>
              <w:jc w:val="left"/>
              <w:rPr>
                <w:rFonts w:ascii="Arial Narrow" w:hAnsi="Arial Narrow" w:cs="Arial"/>
                <w:color w:val="000000"/>
                <w:sz w:val="18"/>
                <w:szCs w:val="18"/>
                <w:lang w:eastAsia="es-CO"/>
              </w:rPr>
            </w:pPr>
            <w:proofErr w:type="gramStart"/>
            <w:r w:rsidRPr="00AA0CCF">
              <w:rPr>
                <w:rFonts w:ascii="Arial Narrow" w:hAnsi="Arial Narrow" w:cs="Arial"/>
                <w:color w:val="000000"/>
                <w:sz w:val="18"/>
                <w:szCs w:val="18"/>
                <w:lang w:eastAsia="es-CO"/>
              </w:rPr>
              <w:t>TOTAL</w:t>
            </w:r>
            <w:proofErr w:type="gramEnd"/>
            <w:r w:rsidRPr="00AA0CCF">
              <w:rPr>
                <w:rFonts w:ascii="Arial Narrow" w:hAnsi="Arial Narrow" w:cs="Arial"/>
                <w:color w:val="000000"/>
                <w:sz w:val="18"/>
                <w:szCs w:val="18"/>
                <w:lang w:eastAsia="es-CO"/>
              </w:rPr>
              <w:t xml:space="preserve"> BASE GRAVABLE</w:t>
            </w:r>
          </w:p>
        </w:tc>
        <w:tc>
          <w:tcPr>
            <w:tcW w:w="2354" w:type="dxa"/>
            <w:tcBorders>
              <w:top w:val="nil"/>
              <w:left w:val="nil"/>
              <w:bottom w:val="single" w:sz="4" w:space="0" w:color="auto"/>
              <w:right w:val="single" w:sz="4" w:space="0" w:color="auto"/>
            </w:tcBorders>
            <w:shd w:val="clear" w:color="auto" w:fill="auto"/>
            <w:noWrap/>
            <w:vAlign w:val="center"/>
            <w:hideMark/>
          </w:tcPr>
          <w:p w14:paraId="0EEA3458" w14:textId="77777777" w:rsidR="0024471E" w:rsidRPr="00AA0CCF" w:rsidRDefault="0024471E" w:rsidP="00D22441">
            <w:pPr>
              <w:jc w:val="right"/>
              <w:rPr>
                <w:rFonts w:ascii="Arial Narrow" w:hAnsi="Arial Narrow" w:cs="Arial"/>
                <w:color w:val="000000"/>
                <w:sz w:val="18"/>
                <w:szCs w:val="18"/>
                <w:lang w:eastAsia="es-CO"/>
              </w:rPr>
            </w:pPr>
            <w:r w:rsidRPr="00AA0CCF">
              <w:rPr>
                <w:rFonts w:ascii="Arial Narrow" w:hAnsi="Arial Narrow" w:cs="Arial"/>
                <w:color w:val="000000"/>
                <w:sz w:val="18"/>
                <w:szCs w:val="18"/>
                <w:lang w:eastAsia="es-CO"/>
              </w:rPr>
              <w:t>$3.456.756.690.706</w:t>
            </w:r>
          </w:p>
        </w:tc>
        <w:tc>
          <w:tcPr>
            <w:tcW w:w="2093" w:type="dxa"/>
            <w:tcBorders>
              <w:top w:val="nil"/>
              <w:left w:val="nil"/>
              <w:bottom w:val="single" w:sz="4" w:space="0" w:color="auto"/>
              <w:right w:val="single" w:sz="4" w:space="0" w:color="auto"/>
            </w:tcBorders>
            <w:shd w:val="clear" w:color="auto" w:fill="auto"/>
            <w:noWrap/>
            <w:vAlign w:val="center"/>
            <w:hideMark/>
          </w:tcPr>
          <w:p w14:paraId="49E6DB60" w14:textId="77777777" w:rsidR="0024471E" w:rsidRPr="00AA0CCF" w:rsidRDefault="0024471E" w:rsidP="00D22441">
            <w:pPr>
              <w:jc w:val="right"/>
              <w:rPr>
                <w:rFonts w:ascii="Arial Narrow" w:hAnsi="Arial Narrow" w:cs="Arial"/>
                <w:color w:val="000000"/>
                <w:sz w:val="18"/>
                <w:szCs w:val="18"/>
                <w:lang w:eastAsia="es-CO"/>
              </w:rPr>
            </w:pPr>
            <w:r w:rsidRPr="00AA0CCF">
              <w:rPr>
                <w:rFonts w:ascii="Arial Narrow" w:hAnsi="Arial Narrow" w:cs="Arial"/>
                <w:color w:val="000000"/>
                <w:sz w:val="18"/>
                <w:szCs w:val="18"/>
                <w:lang w:eastAsia="es-CO"/>
              </w:rPr>
              <w:t>$ 318.279.914.794</w:t>
            </w:r>
          </w:p>
        </w:tc>
        <w:tc>
          <w:tcPr>
            <w:tcW w:w="2580" w:type="dxa"/>
            <w:tcBorders>
              <w:top w:val="nil"/>
              <w:left w:val="nil"/>
              <w:bottom w:val="single" w:sz="4" w:space="0" w:color="auto"/>
              <w:right w:val="single" w:sz="4" w:space="0" w:color="auto"/>
            </w:tcBorders>
            <w:shd w:val="clear" w:color="auto" w:fill="auto"/>
            <w:noWrap/>
            <w:vAlign w:val="center"/>
            <w:hideMark/>
          </w:tcPr>
          <w:p w14:paraId="387ACFB0" w14:textId="77777777" w:rsidR="0024471E" w:rsidRPr="00AA0CCF" w:rsidRDefault="0024471E" w:rsidP="00D22441">
            <w:pPr>
              <w:jc w:val="right"/>
              <w:rPr>
                <w:rFonts w:ascii="Arial Narrow" w:hAnsi="Arial Narrow" w:cs="Arial"/>
                <w:color w:val="000000"/>
                <w:sz w:val="18"/>
                <w:szCs w:val="18"/>
                <w:lang w:eastAsia="es-CO"/>
              </w:rPr>
            </w:pPr>
            <w:r w:rsidRPr="00AA0CCF">
              <w:rPr>
                <w:rFonts w:ascii="Arial Narrow" w:hAnsi="Arial Narrow" w:cs="Arial"/>
                <w:color w:val="000000"/>
                <w:sz w:val="18"/>
                <w:szCs w:val="18"/>
                <w:lang w:eastAsia="es-CO"/>
              </w:rPr>
              <w:t>$ 3.775.036.605.500</w:t>
            </w:r>
          </w:p>
        </w:tc>
      </w:tr>
      <w:tr w:rsidR="0024471E" w:rsidRPr="00AA0CCF" w14:paraId="1AB46561" w14:textId="77777777" w:rsidTr="00D70396">
        <w:trPr>
          <w:trHeight w:val="221"/>
        </w:trPr>
        <w:tc>
          <w:tcPr>
            <w:tcW w:w="2319" w:type="dxa"/>
            <w:tcBorders>
              <w:top w:val="nil"/>
              <w:left w:val="single" w:sz="4" w:space="0" w:color="auto"/>
              <w:bottom w:val="single" w:sz="4" w:space="0" w:color="auto"/>
              <w:right w:val="single" w:sz="4" w:space="0" w:color="auto"/>
            </w:tcBorders>
            <w:shd w:val="clear" w:color="auto" w:fill="auto"/>
            <w:noWrap/>
            <w:vAlign w:val="center"/>
            <w:hideMark/>
          </w:tcPr>
          <w:p w14:paraId="3BC186C3" w14:textId="77777777" w:rsidR="0024471E" w:rsidRPr="00AA0CCF" w:rsidRDefault="0024471E" w:rsidP="00AA0CCF">
            <w:pPr>
              <w:jc w:val="left"/>
              <w:rPr>
                <w:rFonts w:ascii="Arial Narrow" w:hAnsi="Arial Narrow" w:cs="Arial"/>
                <w:color w:val="000000"/>
                <w:sz w:val="18"/>
                <w:szCs w:val="18"/>
                <w:lang w:eastAsia="es-CO"/>
              </w:rPr>
            </w:pPr>
            <w:r w:rsidRPr="00AA0CCF">
              <w:rPr>
                <w:rFonts w:ascii="Arial Narrow" w:hAnsi="Arial Narrow" w:cs="Arial"/>
                <w:color w:val="000000"/>
                <w:sz w:val="18"/>
                <w:szCs w:val="18"/>
                <w:lang w:eastAsia="es-CO"/>
              </w:rPr>
              <w:t>TARIFA 1%</w:t>
            </w:r>
          </w:p>
        </w:tc>
        <w:tc>
          <w:tcPr>
            <w:tcW w:w="2354" w:type="dxa"/>
            <w:tcBorders>
              <w:top w:val="nil"/>
              <w:left w:val="nil"/>
              <w:bottom w:val="single" w:sz="4" w:space="0" w:color="auto"/>
              <w:right w:val="single" w:sz="4" w:space="0" w:color="auto"/>
            </w:tcBorders>
            <w:shd w:val="clear" w:color="auto" w:fill="auto"/>
            <w:noWrap/>
            <w:vAlign w:val="center"/>
            <w:hideMark/>
          </w:tcPr>
          <w:p w14:paraId="0A5BC8ED" w14:textId="77777777" w:rsidR="0024471E" w:rsidRPr="00AA0CCF" w:rsidRDefault="0024471E" w:rsidP="00D22441">
            <w:pPr>
              <w:jc w:val="right"/>
              <w:rPr>
                <w:rFonts w:ascii="Arial Narrow" w:hAnsi="Arial Narrow" w:cs="Arial"/>
                <w:color w:val="000000"/>
                <w:sz w:val="18"/>
                <w:szCs w:val="18"/>
                <w:lang w:eastAsia="es-CO"/>
              </w:rPr>
            </w:pPr>
            <w:r w:rsidRPr="00AA0CCF">
              <w:rPr>
                <w:rFonts w:ascii="Arial Narrow" w:hAnsi="Arial Narrow" w:cs="Arial"/>
                <w:color w:val="000000"/>
                <w:sz w:val="18"/>
                <w:szCs w:val="18"/>
                <w:lang w:eastAsia="es-CO"/>
              </w:rPr>
              <w:t>$ 34.567.566.907</w:t>
            </w:r>
          </w:p>
        </w:tc>
        <w:tc>
          <w:tcPr>
            <w:tcW w:w="2093" w:type="dxa"/>
            <w:tcBorders>
              <w:top w:val="nil"/>
              <w:left w:val="nil"/>
              <w:bottom w:val="single" w:sz="4" w:space="0" w:color="auto"/>
              <w:right w:val="single" w:sz="4" w:space="0" w:color="auto"/>
            </w:tcBorders>
            <w:shd w:val="clear" w:color="auto" w:fill="auto"/>
            <w:noWrap/>
            <w:vAlign w:val="center"/>
            <w:hideMark/>
          </w:tcPr>
          <w:p w14:paraId="7E37D6A7" w14:textId="77777777" w:rsidR="0024471E" w:rsidRPr="00AA0CCF" w:rsidRDefault="0024471E" w:rsidP="00D22441">
            <w:pPr>
              <w:jc w:val="right"/>
              <w:rPr>
                <w:rFonts w:ascii="Arial Narrow" w:hAnsi="Arial Narrow" w:cs="Arial"/>
                <w:color w:val="000000"/>
                <w:sz w:val="18"/>
                <w:szCs w:val="18"/>
                <w:lang w:eastAsia="es-CO"/>
              </w:rPr>
            </w:pPr>
            <w:r w:rsidRPr="00AA0CCF">
              <w:rPr>
                <w:rFonts w:ascii="Arial Narrow" w:hAnsi="Arial Narrow" w:cs="Arial"/>
                <w:color w:val="000000"/>
                <w:sz w:val="18"/>
                <w:szCs w:val="18"/>
                <w:lang w:eastAsia="es-CO"/>
              </w:rPr>
              <w:t>$ 3.182.799.148</w:t>
            </w:r>
          </w:p>
        </w:tc>
        <w:tc>
          <w:tcPr>
            <w:tcW w:w="2580" w:type="dxa"/>
            <w:tcBorders>
              <w:top w:val="nil"/>
              <w:left w:val="nil"/>
              <w:bottom w:val="single" w:sz="4" w:space="0" w:color="auto"/>
              <w:right w:val="single" w:sz="4" w:space="0" w:color="auto"/>
            </w:tcBorders>
            <w:shd w:val="clear" w:color="auto" w:fill="auto"/>
            <w:noWrap/>
            <w:vAlign w:val="center"/>
            <w:hideMark/>
          </w:tcPr>
          <w:p w14:paraId="3F32CB77" w14:textId="77777777" w:rsidR="0024471E" w:rsidRPr="00AA0CCF" w:rsidRDefault="0024471E" w:rsidP="00D22441">
            <w:pPr>
              <w:jc w:val="right"/>
              <w:rPr>
                <w:rFonts w:ascii="Arial Narrow" w:hAnsi="Arial Narrow" w:cs="Arial"/>
                <w:color w:val="000000"/>
                <w:sz w:val="18"/>
                <w:szCs w:val="18"/>
                <w:lang w:eastAsia="es-CO"/>
              </w:rPr>
            </w:pPr>
            <w:r w:rsidRPr="00AA0CCF">
              <w:rPr>
                <w:rFonts w:ascii="Arial Narrow" w:hAnsi="Arial Narrow" w:cs="Arial"/>
                <w:color w:val="000000"/>
                <w:sz w:val="18"/>
                <w:szCs w:val="18"/>
                <w:lang w:eastAsia="es-CO"/>
              </w:rPr>
              <w:t>$ 37.750.366.055</w:t>
            </w:r>
          </w:p>
        </w:tc>
      </w:tr>
      <w:tr w:rsidR="0024471E" w:rsidRPr="00AA0CCF" w14:paraId="2B20C286" w14:textId="77777777" w:rsidTr="00D70396">
        <w:trPr>
          <w:trHeight w:val="248"/>
        </w:trPr>
        <w:tc>
          <w:tcPr>
            <w:tcW w:w="2319" w:type="dxa"/>
            <w:tcBorders>
              <w:top w:val="nil"/>
              <w:left w:val="single" w:sz="4" w:space="0" w:color="auto"/>
              <w:bottom w:val="single" w:sz="4" w:space="0" w:color="auto"/>
              <w:right w:val="single" w:sz="4" w:space="0" w:color="auto"/>
            </w:tcBorders>
            <w:shd w:val="clear" w:color="auto" w:fill="auto"/>
            <w:vAlign w:val="center"/>
            <w:hideMark/>
          </w:tcPr>
          <w:p w14:paraId="15A20937" w14:textId="77777777" w:rsidR="0024471E" w:rsidRPr="00AA0CCF" w:rsidRDefault="0024471E" w:rsidP="00AA0CCF">
            <w:pPr>
              <w:jc w:val="left"/>
              <w:rPr>
                <w:rFonts w:ascii="Arial Narrow" w:hAnsi="Arial Narrow" w:cs="Arial"/>
                <w:color w:val="000000"/>
                <w:sz w:val="18"/>
                <w:szCs w:val="18"/>
                <w:lang w:eastAsia="es-CO"/>
              </w:rPr>
            </w:pPr>
            <w:r w:rsidRPr="00AA0CCF">
              <w:rPr>
                <w:rFonts w:ascii="Arial Narrow" w:hAnsi="Arial Narrow" w:cs="Arial"/>
                <w:color w:val="000000"/>
                <w:sz w:val="18"/>
                <w:szCs w:val="18"/>
                <w:lang w:eastAsia="es-CO"/>
              </w:rPr>
              <w:t>PORCENTAJE DEL PRESUPUESTO POR BASE</w:t>
            </w:r>
          </w:p>
        </w:tc>
        <w:tc>
          <w:tcPr>
            <w:tcW w:w="2354" w:type="dxa"/>
            <w:tcBorders>
              <w:top w:val="nil"/>
              <w:left w:val="nil"/>
              <w:bottom w:val="single" w:sz="4" w:space="0" w:color="auto"/>
              <w:right w:val="single" w:sz="4" w:space="0" w:color="auto"/>
            </w:tcBorders>
            <w:shd w:val="clear" w:color="auto" w:fill="auto"/>
            <w:noWrap/>
            <w:vAlign w:val="center"/>
            <w:hideMark/>
          </w:tcPr>
          <w:p w14:paraId="044847B2" w14:textId="77777777" w:rsidR="0024471E" w:rsidRPr="00AA0CCF" w:rsidRDefault="0024471E" w:rsidP="00D22441">
            <w:pPr>
              <w:jc w:val="right"/>
              <w:rPr>
                <w:rFonts w:ascii="Arial Narrow" w:hAnsi="Arial Narrow" w:cs="Arial"/>
                <w:sz w:val="18"/>
                <w:szCs w:val="18"/>
                <w:lang w:eastAsia="es-CO"/>
              </w:rPr>
            </w:pPr>
            <w:r w:rsidRPr="00AA0CCF">
              <w:rPr>
                <w:rFonts w:ascii="Arial Narrow" w:hAnsi="Arial Narrow" w:cs="Arial"/>
                <w:sz w:val="18"/>
                <w:szCs w:val="18"/>
                <w:lang w:eastAsia="es-CO"/>
              </w:rPr>
              <w:t>91,56883%</w:t>
            </w:r>
          </w:p>
        </w:tc>
        <w:tc>
          <w:tcPr>
            <w:tcW w:w="2093" w:type="dxa"/>
            <w:tcBorders>
              <w:top w:val="nil"/>
              <w:left w:val="nil"/>
              <w:bottom w:val="single" w:sz="4" w:space="0" w:color="auto"/>
              <w:right w:val="single" w:sz="4" w:space="0" w:color="auto"/>
            </w:tcBorders>
            <w:shd w:val="clear" w:color="auto" w:fill="auto"/>
            <w:noWrap/>
            <w:vAlign w:val="center"/>
            <w:hideMark/>
          </w:tcPr>
          <w:p w14:paraId="63F31A6E" w14:textId="77777777" w:rsidR="0024471E" w:rsidRPr="00AA0CCF" w:rsidRDefault="0024471E" w:rsidP="00D22441">
            <w:pPr>
              <w:jc w:val="right"/>
              <w:rPr>
                <w:rFonts w:ascii="Arial Narrow" w:hAnsi="Arial Narrow" w:cs="Arial"/>
                <w:sz w:val="18"/>
                <w:szCs w:val="18"/>
                <w:lang w:eastAsia="es-CO"/>
              </w:rPr>
            </w:pPr>
            <w:r w:rsidRPr="00AA0CCF">
              <w:rPr>
                <w:rFonts w:ascii="Arial Narrow" w:hAnsi="Arial Narrow" w:cs="Arial"/>
                <w:sz w:val="18"/>
                <w:szCs w:val="18"/>
                <w:lang w:eastAsia="es-CO"/>
              </w:rPr>
              <w:t>8,43117%</w:t>
            </w:r>
          </w:p>
        </w:tc>
        <w:tc>
          <w:tcPr>
            <w:tcW w:w="2580" w:type="dxa"/>
            <w:tcBorders>
              <w:top w:val="nil"/>
              <w:left w:val="nil"/>
              <w:bottom w:val="single" w:sz="4" w:space="0" w:color="auto"/>
              <w:right w:val="single" w:sz="4" w:space="0" w:color="auto"/>
            </w:tcBorders>
            <w:shd w:val="clear" w:color="auto" w:fill="auto"/>
            <w:noWrap/>
            <w:vAlign w:val="center"/>
            <w:hideMark/>
          </w:tcPr>
          <w:p w14:paraId="0049D298" w14:textId="77777777" w:rsidR="0024471E" w:rsidRPr="00AA0CCF" w:rsidRDefault="0024471E" w:rsidP="00D22441">
            <w:pPr>
              <w:jc w:val="right"/>
              <w:rPr>
                <w:rFonts w:ascii="Arial Narrow" w:hAnsi="Arial Narrow" w:cs="Arial"/>
                <w:sz w:val="18"/>
                <w:szCs w:val="18"/>
                <w:lang w:eastAsia="es-CO"/>
              </w:rPr>
            </w:pPr>
            <w:r w:rsidRPr="00AA0CCF">
              <w:rPr>
                <w:rFonts w:ascii="Arial Narrow" w:hAnsi="Arial Narrow" w:cs="Arial"/>
                <w:sz w:val="18"/>
                <w:szCs w:val="18"/>
                <w:lang w:eastAsia="es-CO"/>
              </w:rPr>
              <w:t>100,00000%</w:t>
            </w:r>
          </w:p>
        </w:tc>
      </w:tr>
      <w:tr w:rsidR="0024471E" w:rsidRPr="00AA0CCF" w14:paraId="03C75871" w14:textId="77777777" w:rsidTr="00D70396">
        <w:trPr>
          <w:trHeight w:val="221"/>
        </w:trPr>
        <w:tc>
          <w:tcPr>
            <w:tcW w:w="2319" w:type="dxa"/>
            <w:tcBorders>
              <w:top w:val="nil"/>
              <w:left w:val="single" w:sz="4" w:space="0" w:color="auto"/>
              <w:bottom w:val="single" w:sz="4" w:space="0" w:color="auto"/>
              <w:right w:val="single" w:sz="4" w:space="0" w:color="auto"/>
            </w:tcBorders>
            <w:shd w:val="clear" w:color="auto" w:fill="auto"/>
            <w:noWrap/>
            <w:vAlign w:val="center"/>
            <w:hideMark/>
          </w:tcPr>
          <w:p w14:paraId="22D35617" w14:textId="77777777" w:rsidR="0024471E" w:rsidRPr="00AA0CCF" w:rsidRDefault="0024471E" w:rsidP="00AA0CCF">
            <w:pPr>
              <w:jc w:val="left"/>
              <w:rPr>
                <w:rFonts w:ascii="Arial Narrow" w:hAnsi="Arial Narrow" w:cs="Arial"/>
                <w:color w:val="000000"/>
                <w:sz w:val="18"/>
                <w:szCs w:val="18"/>
                <w:lang w:eastAsia="es-CO"/>
              </w:rPr>
            </w:pPr>
            <w:proofErr w:type="gramStart"/>
            <w:r w:rsidRPr="00AA0CCF">
              <w:rPr>
                <w:rFonts w:ascii="Arial Narrow" w:hAnsi="Arial Narrow" w:cs="Arial"/>
                <w:color w:val="000000"/>
                <w:sz w:val="18"/>
                <w:szCs w:val="18"/>
                <w:lang w:eastAsia="es-CO"/>
              </w:rPr>
              <w:t>TOTAL</w:t>
            </w:r>
            <w:proofErr w:type="gramEnd"/>
            <w:r w:rsidRPr="00AA0CCF">
              <w:rPr>
                <w:rFonts w:ascii="Arial Narrow" w:hAnsi="Arial Narrow" w:cs="Arial"/>
                <w:color w:val="000000"/>
                <w:sz w:val="18"/>
                <w:szCs w:val="18"/>
                <w:lang w:eastAsia="es-CO"/>
              </w:rPr>
              <w:t xml:space="preserve"> PRESUPUESTO 2023</w:t>
            </w:r>
          </w:p>
        </w:tc>
        <w:tc>
          <w:tcPr>
            <w:tcW w:w="2354" w:type="dxa"/>
            <w:tcBorders>
              <w:top w:val="nil"/>
              <w:left w:val="nil"/>
              <w:bottom w:val="single" w:sz="4" w:space="0" w:color="auto"/>
              <w:right w:val="single" w:sz="4" w:space="0" w:color="auto"/>
            </w:tcBorders>
            <w:shd w:val="clear" w:color="auto" w:fill="auto"/>
            <w:noWrap/>
            <w:vAlign w:val="center"/>
            <w:hideMark/>
          </w:tcPr>
          <w:p w14:paraId="209A7631" w14:textId="77777777" w:rsidR="0024471E" w:rsidRPr="00AA0CCF" w:rsidRDefault="0024471E" w:rsidP="00D22441">
            <w:pPr>
              <w:jc w:val="right"/>
              <w:rPr>
                <w:rFonts w:ascii="Arial Narrow" w:hAnsi="Arial Narrow" w:cs="Arial"/>
                <w:color w:val="000000"/>
                <w:sz w:val="18"/>
                <w:szCs w:val="18"/>
                <w:lang w:eastAsia="es-CO"/>
              </w:rPr>
            </w:pPr>
            <w:r w:rsidRPr="00AA0CCF">
              <w:rPr>
                <w:rFonts w:ascii="Arial Narrow" w:hAnsi="Arial Narrow" w:cs="Arial"/>
                <w:color w:val="000000"/>
                <w:sz w:val="18"/>
                <w:szCs w:val="18"/>
                <w:lang w:eastAsia="es-CO"/>
              </w:rPr>
              <w:t>$ 37.750.366.055</w:t>
            </w:r>
          </w:p>
        </w:tc>
        <w:tc>
          <w:tcPr>
            <w:tcW w:w="2093" w:type="dxa"/>
            <w:tcBorders>
              <w:top w:val="nil"/>
              <w:left w:val="nil"/>
              <w:bottom w:val="single" w:sz="4" w:space="0" w:color="auto"/>
              <w:right w:val="single" w:sz="4" w:space="0" w:color="auto"/>
            </w:tcBorders>
            <w:shd w:val="clear" w:color="auto" w:fill="auto"/>
            <w:noWrap/>
            <w:vAlign w:val="center"/>
            <w:hideMark/>
          </w:tcPr>
          <w:p w14:paraId="60B4F45D" w14:textId="77777777" w:rsidR="0024471E" w:rsidRPr="00AA0CCF" w:rsidRDefault="0024471E" w:rsidP="00D22441">
            <w:pPr>
              <w:jc w:val="right"/>
              <w:rPr>
                <w:rFonts w:ascii="Arial Narrow" w:hAnsi="Arial Narrow" w:cs="Arial"/>
                <w:color w:val="000000"/>
                <w:sz w:val="18"/>
                <w:szCs w:val="18"/>
                <w:lang w:eastAsia="es-CO"/>
              </w:rPr>
            </w:pPr>
            <w:r w:rsidRPr="00AA0CCF">
              <w:rPr>
                <w:rFonts w:ascii="Arial Narrow" w:hAnsi="Arial Narrow" w:cs="Arial"/>
                <w:color w:val="000000"/>
                <w:sz w:val="18"/>
                <w:szCs w:val="18"/>
                <w:lang w:eastAsia="es-CO"/>
              </w:rPr>
              <w:t> </w:t>
            </w:r>
          </w:p>
        </w:tc>
        <w:tc>
          <w:tcPr>
            <w:tcW w:w="2580" w:type="dxa"/>
            <w:tcBorders>
              <w:top w:val="nil"/>
              <w:left w:val="nil"/>
              <w:bottom w:val="single" w:sz="4" w:space="0" w:color="auto"/>
              <w:right w:val="single" w:sz="4" w:space="0" w:color="auto"/>
            </w:tcBorders>
            <w:shd w:val="clear" w:color="auto" w:fill="auto"/>
            <w:noWrap/>
            <w:vAlign w:val="center"/>
            <w:hideMark/>
          </w:tcPr>
          <w:p w14:paraId="190F8754" w14:textId="77777777" w:rsidR="0024471E" w:rsidRPr="00AA0CCF" w:rsidRDefault="0024471E" w:rsidP="00D22441">
            <w:pPr>
              <w:jc w:val="right"/>
              <w:rPr>
                <w:rFonts w:ascii="Arial Narrow" w:hAnsi="Arial Narrow" w:cs="Arial"/>
                <w:color w:val="000000"/>
                <w:sz w:val="18"/>
                <w:szCs w:val="18"/>
                <w:lang w:eastAsia="es-CO"/>
              </w:rPr>
            </w:pPr>
            <w:r w:rsidRPr="00AA0CCF">
              <w:rPr>
                <w:rFonts w:ascii="Arial Narrow" w:hAnsi="Arial Narrow" w:cs="Arial"/>
                <w:color w:val="000000"/>
                <w:sz w:val="18"/>
                <w:szCs w:val="18"/>
                <w:lang w:eastAsia="es-CO"/>
              </w:rPr>
              <w:t> </w:t>
            </w:r>
          </w:p>
        </w:tc>
      </w:tr>
      <w:tr w:rsidR="0024471E" w:rsidRPr="00AA0CCF" w14:paraId="045431DA" w14:textId="77777777" w:rsidTr="00D70396">
        <w:trPr>
          <w:trHeight w:val="40"/>
        </w:trPr>
        <w:tc>
          <w:tcPr>
            <w:tcW w:w="2319" w:type="dxa"/>
            <w:tcBorders>
              <w:top w:val="nil"/>
              <w:left w:val="nil"/>
              <w:bottom w:val="nil"/>
              <w:right w:val="nil"/>
            </w:tcBorders>
            <w:shd w:val="clear" w:color="auto" w:fill="auto"/>
            <w:noWrap/>
            <w:vAlign w:val="center"/>
            <w:hideMark/>
          </w:tcPr>
          <w:p w14:paraId="1198A000" w14:textId="77777777" w:rsidR="0024471E" w:rsidRPr="00AA0CCF" w:rsidRDefault="0024471E" w:rsidP="00AA0CCF">
            <w:pPr>
              <w:jc w:val="left"/>
              <w:rPr>
                <w:rFonts w:ascii="Arial Narrow" w:hAnsi="Arial Narrow" w:cs="Arial"/>
                <w:color w:val="000000"/>
                <w:sz w:val="18"/>
                <w:szCs w:val="18"/>
                <w:lang w:eastAsia="es-CO"/>
              </w:rPr>
            </w:pPr>
          </w:p>
        </w:tc>
        <w:tc>
          <w:tcPr>
            <w:tcW w:w="2354" w:type="dxa"/>
            <w:tcBorders>
              <w:top w:val="nil"/>
              <w:left w:val="nil"/>
              <w:bottom w:val="nil"/>
              <w:right w:val="nil"/>
            </w:tcBorders>
            <w:shd w:val="clear" w:color="auto" w:fill="auto"/>
            <w:noWrap/>
            <w:vAlign w:val="center"/>
            <w:hideMark/>
          </w:tcPr>
          <w:p w14:paraId="273ED547" w14:textId="77777777" w:rsidR="0024471E" w:rsidRPr="00AA0CCF" w:rsidRDefault="0024471E" w:rsidP="00D22441">
            <w:pPr>
              <w:jc w:val="right"/>
              <w:rPr>
                <w:rFonts w:ascii="Arial Narrow" w:hAnsi="Arial Narrow"/>
                <w:sz w:val="18"/>
                <w:szCs w:val="18"/>
                <w:lang w:eastAsia="es-CO"/>
              </w:rPr>
            </w:pPr>
          </w:p>
        </w:tc>
        <w:tc>
          <w:tcPr>
            <w:tcW w:w="2093" w:type="dxa"/>
            <w:tcBorders>
              <w:top w:val="nil"/>
              <w:left w:val="nil"/>
              <w:bottom w:val="nil"/>
              <w:right w:val="nil"/>
            </w:tcBorders>
            <w:shd w:val="clear" w:color="auto" w:fill="auto"/>
            <w:noWrap/>
            <w:vAlign w:val="center"/>
            <w:hideMark/>
          </w:tcPr>
          <w:p w14:paraId="3088BDE4" w14:textId="77777777" w:rsidR="0024471E" w:rsidRPr="00AA0CCF" w:rsidRDefault="0024471E" w:rsidP="00D22441">
            <w:pPr>
              <w:jc w:val="right"/>
              <w:rPr>
                <w:rFonts w:ascii="Arial Narrow" w:hAnsi="Arial Narrow"/>
                <w:sz w:val="18"/>
                <w:szCs w:val="18"/>
                <w:lang w:eastAsia="es-CO"/>
              </w:rPr>
            </w:pPr>
          </w:p>
        </w:tc>
        <w:tc>
          <w:tcPr>
            <w:tcW w:w="2580" w:type="dxa"/>
            <w:tcBorders>
              <w:top w:val="nil"/>
              <w:left w:val="nil"/>
              <w:bottom w:val="nil"/>
              <w:right w:val="nil"/>
            </w:tcBorders>
            <w:shd w:val="clear" w:color="auto" w:fill="auto"/>
            <w:noWrap/>
            <w:vAlign w:val="center"/>
            <w:hideMark/>
          </w:tcPr>
          <w:p w14:paraId="08E9970B" w14:textId="77777777" w:rsidR="0024471E" w:rsidRPr="00AA0CCF" w:rsidRDefault="0024471E" w:rsidP="00D22441">
            <w:pPr>
              <w:jc w:val="right"/>
              <w:rPr>
                <w:rFonts w:ascii="Arial Narrow" w:hAnsi="Arial Narrow"/>
                <w:sz w:val="18"/>
                <w:szCs w:val="18"/>
                <w:lang w:eastAsia="es-CO"/>
              </w:rPr>
            </w:pPr>
          </w:p>
        </w:tc>
      </w:tr>
      <w:tr w:rsidR="0024471E" w:rsidRPr="00AA0CCF" w14:paraId="331C3F4D" w14:textId="77777777" w:rsidTr="00D70396">
        <w:trPr>
          <w:trHeight w:val="221"/>
        </w:trPr>
        <w:tc>
          <w:tcPr>
            <w:tcW w:w="2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93C28" w14:textId="77777777" w:rsidR="0024471E" w:rsidRPr="00AA0CCF" w:rsidRDefault="0024471E" w:rsidP="00AA0CCF">
            <w:pPr>
              <w:jc w:val="left"/>
              <w:rPr>
                <w:rFonts w:ascii="Arial Narrow" w:hAnsi="Arial Narrow" w:cs="Arial"/>
                <w:color w:val="000000"/>
                <w:sz w:val="18"/>
                <w:szCs w:val="18"/>
                <w:lang w:eastAsia="es-CO"/>
              </w:rPr>
            </w:pPr>
            <w:r w:rsidRPr="00AA0CCF">
              <w:rPr>
                <w:rFonts w:ascii="Arial Narrow" w:hAnsi="Arial Narrow" w:cs="Arial"/>
                <w:color w:val="000000"/>
                <w:sz w:val="18"/>
                <w:szCs w:val="18"/>
                <w:lang w:eastAsia="es-CO"/>
              </w:rPr>
              <w:t>BASE GASTOS OPERATIVOS</w:t>
            </w:r>
          </w:p>
        </w:tc>
        <w:tc>
          <w:tcPr>
            <w:tcW w:w="2354" w:type="dxa"/>
            <w:tcBorders>
              <w:top w:val="single" w:sz="4" w:space="0" w:color="auto"/>
              <w:left w:val="nil"/>
              <w:bottom w:val="single" w:sz="4" w:space="0" w:color="auto"/>
              <w:right w:val="single" w:sz="4" w:space="0" w:color="auto"/>
            </w:tcBorders>
            <w:shd w:val="clear" w:color="auto" w:fill="auto"/>
            <w:noWrap/>
            <w:vAlign w:val="center"/>
            <w:hideMark/>
          </w:tcPr>
          <w:p w14:paraId="56559AB4" w14:textId="77777777" w:rsidR="0024471E" w:rsidRPr="00AA0CCF" w:rsidRDefault="0024471E" w:rsidP="00D22441">
            <w:pPr>
              <w:jc w:val="right"/>
              <w:rPr>
                <w:rFonts w:ascii="Arial Narrow" w:hAnsi="Arial Narrow" w:cs="Arial"/>
                <w:color w:val="000000"/>
                <w:sz w:val="18"/>
                <w:szCs w:val="18"/>
                <w:lang w:eastAsia="es-CO"/>
              </w:rPr>
            </w:pPr>
            <w:r w:rsidRPr="00AA0CCF">
              <w:rPr>
                <w:rFonts w:ascii="Arial Narrow" w:hAnsi="Arial Narrow" w:cs="Arial"/>
                <w:color w:val="000000"/>
                <w:sz w:val="18"/>
                <w:szCs w:val="18"/>
                <w:lang w:eastAsia="es-CO"/>
              </w:rPr>
              <w:t> </w:t>
            </w:r>
          </w:p>
        </w:tc>
        <w:tc>
          <w:tcPr>
            <w:tcW w:w="2093" w:type="dxa"/>
            <w:tcBorders>
              <w:top w:val="single" w:sz="4" w:space="0" w:color="auto"/>
              <w:left w:val="nil"/>
              <w:bottom w:val="single" w:sz="4" w:space="0" w:color="auto"/>
              <w:right w:val="single" w:sz="4" w:space="0" w:color="auto"/>
            </w:tcBorders>
            <w:shd w:val="clear" w:color="auto" w:fill="auto"/>
            <w:noWrap/>
            <w:vAlign w:val="center"/>
            <w:hideMark/>
          </w:tcPr>
          <w:p w14:paraId="2D1CD2DE" w14:textId="77777777" w:rsidR="0024471E" w:rsidRPr="00AA0CCF" w:rsidRDefault="0024471E" w:rsidP="00D22441">
            <w:pPr>
              <w:jc w:val="right"/>
              <w:rPr>
                <w:rFonts w:ascii="Arial Narrow" w:hAnsi="Arial Narrow" w:cs="Arial"/>
                <w:color w:val="000000"/>
                <w:sz w:val="18"/>
                <w:szCs w:val="18"/>
                <w:lang w:eastAsia="es-CO"/>
              </w:rPr>
            </w:pPr>
            <w:r w:rsidRPr="00AA0CCF">
              <w:rPr>
                <w:rFonts w:ascii="Arial Narrow" w:hAnsi="Arial Narrow" w:cs="Arial"/>
                <w:color w:val="000000"/>
                <w:sz w:val="18"/>
                <w:szCs w:val="18"/>
                <w:lang w:eastAsia="es-CO"/>
              </w:rPr>
              <w:t>$39.653.191.539.633</w:t>
            </w:r>
          </w:p>
        </w:tc>
        <w:tc>
          <w:tcPr>
            <w:tcW w:w="2580" w:type="dxa"/>
            <w:tcBorders>
              <w:top w:val="single" w:sz="4" w:space="0" w:color="auto"/>
              <w:left w:val="nil"/>
              <w:bottom w:val="single" w:sz="4" w:space="0" w:color="auto"/>
              <w:right w:val="single" w:sz="4" w:space="0" w:color="auto"/>
            </w:tcBorders>
            <w:shd w:val="clear" w:color="auto" w:fill="auto"/>
            <w:noWrap/>
            <w:vAlign w:val="center"/>
            <w:hideMark/>
          </w:tcPr>
          <w:p w14:paraId="45D26291" w14:textId="77777777" w:rsidR="0024471E" w:rsidRPr="00AA0CCF" w:rsidRDefault="0024471E" w:rsidP="00D22441">
            <w:pPr>
              <w:jc w:val="right"/>
              <w:rPr>
                <w:rFonts w:ascii="Arial Narrow" w:hAnsi="Arial Narrow" w:cs="Arial"/>
                <w:color w:val="000000"/>
                <w:sz w:val="18"/>
                <w:szCs w:val="18"/>
                <w:lang w:eastAsia="es-CO"/>
              </w:rPr>
            </w:pPr>
            <w:r w:rsidRPr="00AA0CCF">
              <w:rPr>
                <w:rFonts w:ascii="Arial Narrow" w:hAnsi="Arial Narrow" w:cs="Arial"/>
                <w:color w:val="000000"/>
                <w:sz w:val="18"/>
                <w:szCs w:val="18"/>
                <w:lang w:eastAsia="es-CO"/>
              </w:rPr>
              <w:t> </w:t>
            </w:r>
          </w:p>
        </w:tc>
      </w:tr>
      <w:tr w:rsidR="0024471E" w:rsidRPr="00AA0CCF" w14:paraId="5BCE8040" w14:textId="77777777" w:rsidTr="00D70396">
        <w:trPr>
          <w:trHeight w:val="351"/>
        </w:trPr>
        <w:tc>
          <w:tcPr>
            <w:tcW w:w="2319" w:type="dxa"/>
            <w:tcBorders>
              <w:top w:val="nil"/>
              <w:left w:val="single" w:sz="4" w:space="0" w:color="auto"/>
              <w:bottom w:val="single" w:sz="4" w:space="0" w:color="auto"/>
              <w:right w:val="single" w:sz="4" w:space="0" w:color="auto"/>
            </w:tcBorders>
            <w:shd w:val="clear" w:color="auto" w:fill="auto"/>
            <w:vAlign w:val="center"/>
            <w:hideMark/>
          </w:tcPr>
          <w:p w14:paraId="5DB532A8" w14:textId="77777777" w:rsidR="0024471E" w:rsidRPr="00AA0CCF" w:rsidRDefault="0024471E" w:rsidP="00AA0CCF">
            <w:pPr>
              <w:jc w:val="left"/>
              <w:rPr>
                <w:rFonts w:ascii="Arial Narrow" w:hAnsi="Arial Narrow" w:cs="Arial"/>
                <w:color w:val="000000"/>
                <w:sz w:val="18"/>
                <w:szCs w:val="18"/>
                <w:lang w:eastAsia="es-CO"/>
              </w:rPr>
            </w:pPr>
            <w:r w:rsidRPr="00AA0CCF">
              <w:rPr>
                <w:rFonts w:ascii="Arial Narrow" w:hAnsi="Arial Narrow" w:cs="Arial"/>
                <w:color w:val="000000"/>
                <w:sz w:val="18"/>
                <w:szCs w:val="18"/>
                <w:lang w:eastAsia="es-CO"/>
              </w:rPr>
              <w:t>PORCENTAJE ADICIONAL GASTOS OPERATIVOS</w:t>
            </w:r>
          </w:p>
        </w:tc>
        <w:tc>
          <w:tcPr>
            <w:tcW w:w="2354" w:type="dxa"/>
            <w:tcBorders>
              <w:top w:val="nil"/>
              <w:left w:val="nil"/>
              <w:bottom w:val="single" w:sz="4" w:space="0" w:color="auto"/>
              <w:right w:val="single" w:sz="4" w:space="0" w:color="auto"/>
            </w:tcBorders>
            <w:shd w:val="clear" w:color="auto" w:fill="auto"/>
            <w:noWrap/>
            <w:vAlign w:val="center"/>
            <w:hideMark/>
          </w:tcPr>
          <w:p w14:paraId="0B652E07" w14:textId="77777777" w:rsidR="0024471E" w:rsidRPr="00AA0CCF" w:rsidRDefault="0024471E" w:rsidP="00D22441">
            <w:pPr>
              <w:jc w:val="right"/>
              <w:rPr>
                <w:rFonts w:ascii="Arial Narrow" w:hAnsi="Arial Narrow" w:cs="Arial"/>
                <w:color w:val="000000"/>
                <w:sz w:val="18"/>
                <w:szCs w:val="18"/>
                <w:lang w:eastAsia="es-CO"/>
              </w:rPr>
            </w:pPr>
            <w:r w:rsidRPr="00AA0CCF">
              <w:rPr>
                <w:rFonts w:ascii="Arial Narrow" w:hAnsi="Arial Narrow" w:cs="Arial"/>
                <w:color w:val="000000"/>
                <w:sz w:val="18"/>
                <w:szCs w:val="18"/>
                <w:lang w:eastAsia="es-CO"/>
              </w:rPr>
              <w:t> </w:t>
            </w:r>
          </w:p>
        </w:tc>
        <w:tc>
          <w:tcPr>
            <w:tcW w:w="2093" w:type="dxa"/>
            <w:tcBorders>
              <w:top w:val="nil"/>
              <w:left w:val="nil"/>
              <w:bottom w:val="single" w:sz="4" w:space="0" w:color="auto"/>
              <w:right w:val="single" w:sz="4" w:space="0" w:color="auto"/>
            </w:tcBorders>
            <w:shd w:val="clear" w:color="auto" w:fill="auto"/>
            <w:noWrap/>
            <w:vAlign w:val="center"/>
            <w:hideMark/>
          </w:tcPr>
          <w:p w14:paraId="43A37199" w14:textId="77777777" w:rsidR="0024471E" w:rsidRPr="00AA0CCF" w:rsidRDefault="0024471E" w:rsidP="00D22441">
            <w:pPr>
              <w:jc w:val="right"/>
              <w:rPr>
                <w:rFonts w:ascii="Arial Narrow" w:hAnsi="Arial Narrow" w:cs="Arial"/>
                <w:sz w:val="18"/>
                <w:szCs w:val="18"/>
                <w:lang w:eastAsia="es-CO"/>
              </w:rPr>
            </w:pPr>
            <w:r w:rsidRPr="00AA0CCF">
              <w:rPr>
                <w:rFonts w:ascii="Arial Narrow" w:hAnsi="Arial Narrow" w:cs="Arial"/>
                <w:sz w:val="18"/>
                <w:szCs w:val="18"/>
                <w:lang w:eastAsia="es-CO"/>
              </w:rPr>
              <w:t>0,0080266%</w:t>
            </w:r>
          </w:p>
        </w:tc>
        <w:tc>
          <w:tcPr>
            <w:tcW w:w="2580" w:type="dxa"/>
            <w:tcBorders>
              <w:top w:val="nil"/>
              <w:left w:val="nil"/>
              <w:bottom w:val="single" w:sz="4" w:space="0" w:color="auto"/>
              <w:right w:val="single" w:sz="4" w:space="0" w:color="auto"/>
            </w:tcBorders>
            <w:shd w:val="clear" w:color="auto" w:fill="auto"/>
            <w:noWrap/>
            <w:vAlign w:val="center"/>
            <w:hideMark/>
          </w:tcPr>
          <w:p w14:paraId="7049D71E" w14:textId="77777777" w:rsidR="0024471E" w:rsidRPr="00AA0CCF" w:rsidRDefault="0024471E" w:rsidP="00D22441">
            <w:pPr>
              <w:jc w:val="right"/>
              <w:rPr>
                <w:rFonts w:ascii="Arial Narrow" w:hAnsi="Arial Narrow" w:cs="Arial"/>
                <w:color w:val="000000"/>
                <w:sz w:val="18"/>
                <w:szCs w:val="18"/>
                <w:lang w:eastAsia="es-CO"/>
              </w:rPr>
            </w:pPr>
            <w:r w:rsidRPr="00AA0CCF">
              <w:rPr>
                <w:rFonts w:ascii="Arial Narrow" w:hAnsi="Arial Narrow" w:cs="Arial"/>
                <w:color w:val="000000"/>
                <w:sz w:val="18"/>
                <w:szCs w:val="18"/>
                <w:lang w:eastAsia="es-CO"/>
              </w:rPr>
              <w:t> </w:t>
            </w:r>
          </w:p>
        </w:tc>
      </w:tr>
      <w:tr w:rsidR="0024471E" w:rsidRPr="00AA0CCF" w14:paraId="67E93B17" w14:textId="77777777" w:rsidTr="00D70396">
        <w:trPr>
          <w:trHeight w:val="221"/>
        </w:trPr>
        <w:tc>
          <w:tcPr>
            <w:tcW w:w="2319" w:type="dxa"/>
            <w:tcBorders>
              <w:top w:val="nil"/>
              <w:left w:val="single" w:sz="4" w:space="0" w:color="auto"/>
              <w:bottom w:val="single" w:sz="4" w:space="0" w:color="auto"/>
              <w:right w:val="single" w:sz="4" w:space="0" w:color="auto"/>
            </w:tcBorders>
            <w:shd w:val="clear" w:color="auto" w:fill="auto"/>
            <w:noWrap/>
            <w:vAlign w:val="center"/>
            <w:hideMark/>
          </w:tcPr>
          <w:p w14:paraId="1C1AF5E3" w14:textId="77777777" w:rsidR="0024471E" w:rsidRPr="00AA0CCF" w:rsidRDefault="0024471E" w:rsidP="00AA0CCF">
            <w:pPr>
              <w:jc w:val="left"/>
              <w:rPr>
                <w:rFonts w:ascii="Arial Narrow" w:hAnsi="Arial Narrow" w:cs="Arial"/>
                <w:color w:val="000000"/>
                <w:sz w:val="18"/>
                <w:szCs w:val="18"/>
                <w:lang w:eastAsia="es-CO"/>
              </w:rPr>
            </w:pPr>
            <w:r w:rsidRPr="00AA0CCF">
              <w:rPr>
                <w:rFonts w:ascii="Arial Narrow" w:hAnsi="Arial Narrow" w:cs="Arial"/>
                <w:color w:val="000000"/>
                <w:sz w:val="18"/>
                <w:szCs w:val="18"/>
                <w:lang w:eastAsia="es-CO"/>
              </w:rPr>
              <w:t>FALTANTE PRESUPUESTAL</w:t>
            </w:r>
          </w:p>
        </w:tc>
        <w:tc>
          <w:tcPr>
            <w:tcW w:w="2354" w:type="dxa"/>
            <w:tcBorders>
              <w:top w:val="nil"/>
              <w:left w:val="nil"/>
              <w:bottom w:val="single" w:sz="4" w:space="0" w:color="auto"/>
              <w:right w:val="single" w:sz="4" w:space="0" w:color="auto"/>
            </w:tcBorders>
            <w:shd w:val="clear" w:color="auto" w:fill="auto"/>
            <w:noWrap/>
            <w:vAlign w:val="center"/>
            <w:hideMark/>
          </w:tcPr>
          <w:p w14:paraId="5157C8C0" w14:textId="77777777" w:rsidR="0024471E" w:rsidRPr="00AA0CCF" w:rsidRDefault="0024471E" w:rsidP="00D22441">
            <w:pPr>
              <w:jc w:val="right"/>
              <w:rPr>
                <w:rFonts w:ascii="Arial Narrow" w:hAnsi="Arial Narrow" w:cs="Arial"/>
                <w:color w:val="000000"/>
                <w:sz w:val="18"/>
                <w:szCs w:val="18"/>
                <w:lang w:eastAsia="es-CO"/>
              </w:rPr>
            </w:pPr>
            <w:r w:rsidRPr="00AA0CCF">
              <w:rPr>
                <w:rFonts w:ascii="Arial Narrow" w:hAnsi="Arial Narrow" w:cs="Arial"/>
                <w:color w:val="000000"/>
                <w:sz w:val="18"/>
                <w:szCs w:val="18"/>
                <w:lang w:eastAsia="es-CO"/>
              </w:rPr>
              <w:t> </w:t>
            </w:r>
          </w:p>
        </w:tc>
        <w:tc>
          <w:tcPr>
            <w:tcW w:w="2093" w:type="dxa"/>
            <w:tcBorders>
              <w:top w:val="nil"/>
              <w:left w:val="nil"/>
              <w:bottom w:val="single" w:sz="4" w:space="0" w:color="auto"/>
              <w:right w:val="single" w:sz="4" w:space="0" w:color="auto"/>
            </w:tcBorders>
            <w:shd w:val="clear" w:color="auto" w:fill="auto"/>
            <w:noWrap/>
            <w:vAlign w:val="center"/>
            <w:hideMark/>
          </w:tcPr>
          <w:p w14:paraId="2FBD4BF0" w14:textId="77777777" w:rsidR="0024471E" w:rsidRPr="00AA0CCF" w:rsidRDefault="0024471E" w:rsidP="00D22441">
            <w:pPr>
              <w:jc w:val="right"/>
              <w:rPr>
                <w:rFonts w:ascii="Arial Narrow" w:hAnsi="Arial Narrow" w:cs="Arial"/>
                <w:color w:val="000000"/>
                <w:sz w:val="18"/>
                <w:szCs w:val="18"/>
                <w:lang w:eastAsia="es-CO"/>
              </w:rPr>
            </w:pPr>
            <w:r w:rsidRPr="00AA0CCF">
              <w:rPr>
                <w:rFonts w:ascii="Arial Narrow" w:hAnsi="Arial Narrow" w:cs="Arial"/>
                <w:color w:val="000000"/>
                <w:sz w:val="18"/>
                <w:szCs w:val="18"/>
                <w:lang w:eastAsia="es-CO"/>
              </w:rPr>
              <w:t>$ 3.182.799.148</w:t>
            </w:r>
          </w:p>
        </w:tc>
        <w:tc>
          <w:tcPr>
            <w:tcW w:w="2580" w:type="dxa"/>
            <w:tcBorders>
              <w:top w:val="nil"/>
              <w:left w:val="nil"/>
              <w:bottom w:val="single" w:sz="4" w:space="0" w:color="auto"/>
              <w:right w:val="single" w:sz="4" w:space="0" w:color="auto"/>
            </w:tcBorders>
            <w:shd w:val="clear" w:color="auto" w:fill="auto"/>
            <w:noWrap/>
            <w:vAlign w:val="center"/>
            <w:hideMark/>
          </w:tcPr>
          <w:p w14:paraId="0C16F608" w14:textId="77777777" w:rsidR="0024471E" w:rsidRPr="00AA0CCF" w:rsidRDefault="0024471E" w:rsidP="00D22441">
            <w:pPr>
              <w:jc w:val="right"/>
              <w:rPr>
                <w:rFonts w:ascii="Arial Narrow" w:hAnsi="Arial Narrow" w:cs="Arial"/>
                <w:color w:val="000000"/>
                <w:sz w:val="18"/>
                <w:szCs w:val="18"/>
                <w:lang w:eastAsia="es-CO"/>
              </w:rPr>
            </w:pPr>
            <w:r w:rsidRPr="00AA0CCF">
              <w:rPr>
                <w:rFonts w:ascii="Arial Narrow" w:hAnsi="Arial Narrow" w:cs="Arial"/>
                <w:color w:val="000000"/>
                <w:sz w:val="18"/>
                <w:szCs w:val="18"/>
                <w:lang w:eastAsia="es-CO"/>
              </w:rPr>
              <w:t> </w:t>
            </w:r>
          </w:p>
        </w:tc>
      </w:tr>
    </w:tbl>
    <w:p w14:paraId="4671D66C" w14:textId="77777777" w:rsidR="00353349" w:rsidRDefault="00353349" w:rsidP="00D22441">
      <w:pPr>
        <w:rPr>
          <w:rFonts w:ascii="Bookman Old Style" w:hAnsi="Bookman Old Style" w:cs="Arial"/>
        </w:rPr>
      </w:pPr>
    </w:p>
    <w:p w14:paraId="18E0C93C" w14:textId="6422FCC9" w:rsidR="00CF1DE7" w:rsidRPr="004217E9" w:rsidRDefault="006732F9" w:rsidP="00D22441">
      <w:pPr>
        <w:pStyle w:val="Subttulo"/>
        <w:numPr>
          <w:ilvl w:val="1"/>
          <w:numId w:val="37"/>
        </w:numPr>
        <w:spacing w:after="0"/>
        <w:ind w:left="357" w:hanging="357"/>
        <w:jc w:val="left"/>
        <w:rPr>
          <w:b/>
          <w:bCs/>
          <w:sz w:val="22"/>
          <w:szCs w:val="22"/>
        </w:rPr>
      </w:pPr>
      <w:bookmarkStart w:id="98" w:name="_Toc147154337"/>
      <w:r>
        <w:rPr>
          <w:b/>
          <w:bCs/>
          <w:sz w:val="22"/>
          <w:szCs w:val="22"/>
        </w:rPr>
        <w:t xml:space="preserve">CONTRIBUCIÓN ESPECIAL 2023 DE LAS </w:t>
      </w:r>
      <w:r w:rsidR="00CF1DE7">
        <w:rPr>
          <w:b/>
          <w:bCs/>
          <w:sz w:val="22"/>
          <w:szCs w:val="22"/>
        </w:rPr>
        <w:t xml:space="preserve">EMPRESAS POR </w:t>
      </w:r>
      <w:r w:rsidR="00A9160D">
        <w:rPr>
          <w:b/>
          <w:bCs/>
          <w:sz w:val="22"/>
          <w:szCs w:val="22"/>
        </w:rPr>
        <w:t>SERVICIO</w:t>
      </w:r>
      <w:r w:rsidR="003E23D0">
        <w:rPr>
          <w:b/>
          <w:bCs/>
          <w:sz w:val="22"/>
          <w:szCs w:val="22"/>
        </w:rPr>
        <w:t xml:space="preserve"> </w:t>
      </w:r>
      <w:r>
        <w:rPr>
          <w:b/>
          <w:bCs/>
          <w:sz w:val="22"/>
          <w:szCs w:val="22"/>
        </w:rPr>
        <w:t>PRESTADO</w:t>
      </w:r>
      <w:r w:rsidR="00CF1DE7">
        <w:rPr>
          <w:b/>
          <w:bCs/>
          <w:sz w:val="22"/>
          <w:szCs w:val="22"/>
        </w:rPr>
        <w:t>.</w:t>
      </w:r>
      <w:bookmarkEnd w:id="98"/>
    </w:p>
    <w:p w14:paraId="3F221086" w14:textId="77777777" w:rsidR="00CF1DE7" w:rsidRDefault="00CF1DE7" w:rsidP="00D22441">
      <w:pPr>
        <w:ind w:right="-91"/>
        <w:rPr>
          <w:rFonts w:cs="Arial"/>
          <w:sz w:val="22"/>
          <w:szCs w:val="22"/>
        </w:rPr>
      </w:pPr>
    </w:p>
    <w:p w14:paraId="63FD5B7A" w14:textId="4C457B82" w:rsidR="00CF1DE7" w:rsidRDefault="00CF1DE7" w:rsidP="00D22441">
      <w:pPr>
        <w:rPr>
          <w:rFonts w:cs="Arial"/>
          <w:sz w:val="22"/>
          <w:szCs w:val="22"/>
        </w:rPr>
      </w:pPr>
      <w:r w:rsidRPr="008A6C3A">
        <w:rPr>
          <w:rFonts w:cs="Arial"/>
          <w:sz w:val="22"/>
          <w:szCs w:val="22"/>
        </w:rPr>
        <w:lastRenderedPageBreak/>
        <w:t xml:space="preserve">A continuación, se relaciona </w:t>
      </w:r>
      <w:r w:rsidR="006732F9">
        <w:rPr>
          <w:rFonts w:cs="Arial"/>
          <w:sz w:val="22"/>
          <w:szCs w:val="22"/>
        </w:rPr>
        <w:t xml:space="preserve">un consolidado de la contribución especial 2023, clasificada por servicio prestado de las </w:t>
      </w:r>
      <w:r>
        <w:rPr>
          <w:rFonts w:cs="Arial"/>
          <w:sz w:val="22"/>
          <w:szCs w:val="22"/>
        </w:rPr>
        <w:t>empresas reguladas.</w:t>
      </w:r>
    </w:p>
    <w:p w14:paraId="37EDFA49" w14:textId="77777777" w:rsidR="009B19E1" w:rsidRDefault="009B19E1" w:rsidP="00D22441">
      <w:pPr>
        <w:rPr>
          <w:rFonts w:cs="Arial"/>
          <w:sz w:val="22"/>
          <w:szCs w:val="22"/>
        </w:rPr>
      </w:pPr>
    </w:p>
    <w:p w14:paraId="641B133B" w14:textId="543A9C7E" w:rsidR="009B19E1" w:rsidRDefault="009B19E1" w:rsidP="009B19E1">
      <w:pPr>
        <w:pStyle w:val="Descripcin"/>
        <w:rPr>
          <w:rFonts w:cs="Arial"/>
          <w:sz w:val="22"/>
          <w:szCs w:val="22"/>
        </w:rPr>
      </w:pPr>
      <w:bookmarkStart w:id="99" w:name="_Toc145486448"/>
      <w:r w:rsidRPr="002C4392">
        <w:rPr>
          <w:i w:val="0"/>
          <w:iCs w:val="0"/>
          <w:color w:val="auto"/>
        </w:rPr>
        <w:t xml:space="preserve">Tabla </w:t>
      </w:r>
      <w:r w:rsidRPr="002C4392">
        <w:rPr>
          <w:i w:val="0"/>
          <w:iCs w:val="0"/>
          <w:color w:val="auto"/>
        </w:rPr>
        <w:fldChar w:fldCharType="begin"/>
      </w:r>
      <w:r w:rsidRPr="002C4392">
        <w:rPr>
          <w:i w:val="0"/>
          <w:iCs w:val="0"/>
          <w:color w:val="auto"/>
        </w:rPr>
        <w:instrText xml:space="preserve"> SEQ Tabla \* ARABIC </w:instrText>
      </w:r>
      <w:r w:rsidRPr="002C4392">
        <w:rPr>
          <w:i w:val="0"/>
          <w:iCs w:val="0"/>
          <w:color w:val="auto"/>
        </w:rPr>
        <w:fldChar w:fldCharType="separate"/>
      </w:r>
      <w:r w:rsidR="00622C5C">
        <w:rPr>
          <w:i w:val="0"/>
          <w:iCs w:val="0"/>
          <w:noProof/>
          <w:color w:val="auto"/>
        </w:rPr>
        <w:t>22</w:t>
      </w:r>
      <w:r w:rsidRPr="002C4392">
        <w:rPr>
          <w:i w:val="0"/>
          <w:iCs w:val="0"/>
          <w:color w:val="auto"/>
        </w:rPr>
        <w:fldChar w:fldCharType="end"/>
      </w:r>
      <w:r w:rsidRPr="002C4392">
        <w:rPr>
          <w:i w:val="0"/>
          <w:iCs w:val="0"/>
          <w:color w:val="auto"/>
        </w:rPr>
        <w:t xml:space="preserve">. </w:t>
      </w:r>
      <w:r>
        <w:rPr>
          <w:i w:val="0"/>
          <w:iCs w:val="0"/>
          <w:color w:val="auto"/>
        </w:rPr>
        <w:t xml:space="preserve">Consolidado </w:t>
      </w:r>
      <w:r w:rsidR="00622C5C">
        <w:rPr>
          <w:i w:val="0"/>
          <w:iCs w:val="0"/>
          <w:color w:val="auto"/>
        </w:rPr>
        <w:t xml:space="preserve">por servicios prestado de la </w:t>
      </w:r>
      <w:r>
        <w:rPr>
          <w:i w:val="0"/>
          <w:iCs w:val="0"/>
          <w:color w:val="auto"/>
        </w:rPr>
        <w:t>contribución especial 2023.</w:t>
      </w:r>
      <w:bookmarkEnd w:id="99"/>
    </w:p>
    <w:tbl>
      <w:tblPr>
        <w:tblW w:w="9776" w:type="dxa"/>
        <w:jc w:val="center"/>
        <w:tblCellMar>
          <w:left w:w="70" w:type="dxa"/>
          <w:right w:w="70" w:type="dxa"/>
        </w:tblCellMar>
        <w:tblLook w:val="04A0" w:firstRow="1" w:lastRow="0" w:firstColumn="1" w:lastColumn="0" w:noHBand="0" w:noVBand="1"/>
      </w:tblPr>
      <w:tblGrid>
        <w:gridCol w:w="928"/>
        <w:gridCol w:w="702"/>
        <w:gridCol w:w="1720"/>
        <w:gridCol w:w="1560"/>
        <w:gridCol w:w="1464"/>
        <w:gridCol w:w="1276"/>
        <w:gridCol w:w="942"/>
        <w:gridCol w:w="1184"/>
      </w:tblGrid>
      <w:tr w:rsidR="00D81BAC" w:rsidRPr="00D81BAC" w14:paraId="48E1A0B9" w14:textId="77777777" w:rsidTr="002C6042">
        <w:trPr>
          <w:trHeight w:val="807"/>
          <w:tblHeader/>
          <w:jc w:val="center"/>
        </w:trPr>
        <w:tc>
          <w:tcPr>
            <w:tcW w:w="928"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62A31F4" w14:textId="77777777" w:rsidR="00DF2A09" w:rsidRPr="00D81BAC" w:rsidRDefault="00DF2A09" w:rsidP="00D22441">
            <w:pPr>
              <w:jc w:val="center"/>
              <w:rPr>
                <w:rFonts w:ascii="Arial Narrow" w:hAnsi="Arial Narrow" w:cs="Arial"/>
                <w:b/>
                <w:bCs/>
                <w:spacing w:val="0"/>
                <w:sz w:val="16"/>
                <w:szCs w:val="16"/>
                <w:lang w:eastAsia="es-CO"/>
              </w:rPr>
            </w:pPr>
            <w:r w:rsidRPr="00D81BAC">
              <w:rPr>
                <w:rFonts w:ascii="Arial Narrow" w:hAnsi="Arial Narrow" w:cs="Arial"/>
                <w:b/>
                <w:bCs/>
                <w:spacing w:val="0"/>
                <w:sz w:val="16"/>
                <w:szCs w:val="16"/>
                <w:lang w:eastAsia="es-CO"/>
              </w:rPr>
              <w:t>Servicio</w:t>
            </w:r>
          </w:p>
        </w:tc>
        <w:tc>
          <w:tcPr>
            <w:tcW w:w="702" w:type="dxa"/>
            <w:tcBorders>
              <w:top w:val="single" w:sz="4" w:space="0" w:color="auto"/>
              <w:left w:val="nil"/>
              <w:bottom w:val="single" w:sz="4" w:space="0" w:color="auto"/>
              <w:right w:val="single" w:sz="4" w:space="0" w:color="auto"/>
            </w:tcBorders>
            <w:shd w:val="clear" w:color="auto" w:fill="E7E6E6" w:themeFill="background2"/>
            <w:vAlign w:val="center"/>
            <w:hideMark/>
          </w:tcPr>
          <w:p w14:paraId="0BCB2E7E" w14:textId="5C9028B7" w:rsidR="00DF2A09" w:rsidRPr="00D81BAC" w:rsidRDefault="00DF2A09" w:rsidP="00D22441">
            <w:pPr>
              <w:jc w:val="center"/>
              <w:rPr>
                <w:rFonts w:ascii="Arial Narrow" w:hAnsi="Arial Narrow" w:cs="Arial"/>
                <w:b/>
                <w:bCs/>
                <w:spacing w:val="0"/>
                <w:sz w:val="16"/>
                <w:szCs w:val="16"/>
                <w:lang w:eastAsia="es-CO"/>
              </w:rPr>
            </w:pPr>
            <w:r w:rsidRPr="00D81BAC">
              <w:rPr>
                <w:rFonts w:ascii="Arial Narrow" w:hAnsi="Arial Narrow" w:cs="Arial"/>
                <w:b/>
                <w:bCs/>
                <w:spacing w:val="0"/>
                <w:sz w:val="16"/>
                <w:szCs w:val="16"/>
                <w:lang w:eastAsia="es-CO"/>
              </w:rPr>
              <w:t>Cantidad</w:t>
            </w:r>
          </w:p>
        </w:tc>
        <w:tc>
          <w:tcPr>
            <w:tcW w:w="1720" w:type="dxa"/>
            <w:tcBorders>
              <w:top w:val="single" w:sz="4" w:space="0" w:color="auto"/>
              <w:left w:val="nil"/>
              <w:bottom w:val="single" w:sz="4" w:space="0" w:color="auto"/>
              <w:right w:val="single" w:sz="4" w:space="0" w:color="auto"/>
            </w:tcBorders>
            <w:shd w:val="clear" w:color="auto" w:fill="E7E6E6" w:themeFill="background2"/>
            <w:vAlign w:val="center"/>
            <w:hideMark/>
          </w:tcPr>
          <w:p w14:paraId="0CC34AE1" w14:textId="77777777" w:rsidR="00DF2A09" w:rsidRPr="00D81BAC" w:rsidRDefault="00DF2A09" w:rsidP="00D22441">
            <w:pPr>
              <w:jc w:val="center"/>
              <w:rPr>
                <w:rFonts w:ascii="Arial Narrow" w:hAnsi="Arial Narrow" w:cs="Arial"/>
                <w:b/>
                <w:bCs/>
                <w:spacing w:val="0"/>
                <w:sz w:val="16"/>
                <w:szCs w:val="16"/>
                <w:lang w:eastAsia="es-CO"/>
              </w:rPr>
            </w:pPr>
            <w:r w:rsidRPr="00D81BAC">
              <w:rPr>
                <w:rFonts w:ascii="Arial Narrow" w:hAnsi="Arial Narrow" w:cs="Arial"/>
                <w:b/>
                <w:bCs/>
                <w:spacing w:val="0"/>
                <w:sz w:val="16"/>
                <w:szCs w:val="16"/>
                <w:lang w:eastAsia="es-CO"/>
              </w:rPr>
              <w:t>Gastos administrativos reportados SUI y depurados</w:t>
            </w:r>
          </w:p>
        </w:tc>
        <w:tc>
          <w:tcPr>
            <w:tcW w:w="1560" w:type="dxa"/>
            <w:tcBorders>
              <w:top w:val="single" w:sz="4" w:space="0" w:color="auto"/>
              <w:left w:val="nil"/>
              <w:bottom w:val="single" w:sz="4" w:space="0" w:color="auto"/>
              <w:right w:val="single" w:sz="4" w:space="0" w:color="auto"/>
            </w:tcBorders>
            <w:shd w:val="clear" w:color="auto" w:fill="E7E6E6" w:themeFill="background2"/>
            <w:vAlign w:val="center"/>
            <w:hideMark/>
          </w:tcPr>
          <w:p w14:paraId="3B1C4892" w14:textId="77777777" w:rsidR="00DF2A09" w:rsidRPr="00D81BAC" w:rsidRDefault="00DF2A09" w:rsidP="00D22441">
            <w:pPr>
              <w:jc w:val="center"/>
              <w:rPr>
                <w:rFonts w:ascii="Arial Narrow" w:hAnsi="Arial Narrow" w:cs="Arial"/>
                <w:b/>
                <w:bCs/>
                <w:spacing w:val="0"/>
                <w:sz w:val="16"/>
                <w:szCs w:val="16"/>
                <w:lang w:eastAsia="es-CO"/>
              </w:rPr>
            </w:pPr>
            <w:r w:rsidRPr="00D81BAC">
              <w:rPr>
                <w:rFonts w:ascii="Arial Narrow" w:hAnsi="Arial Narrow" w:cs="Arial"/>
                <w:b/>
                <w:bCs/>
                <w:spacing w:val="0"/>
                <w:sz w:val="16"/>
                <w:szCs w:val="16"/>
                <w:lang w:eastAsia="es-CO"/>
              </w:rPr>
              <w:t>Porción de gastos operativos reportados SUI</w:t>
            </w:r>
          </w:p>
        </w:tc>
        <w:tc>
          <w:tcPr>
            <w:tcW w:w="1464" w:type="dxa"/>
            <w:tcBorders>
              <w:top w:val="single" w:sz="4" w:space="0" w:color="auto"/>
              <w:left w:val="nil"/>
              <w:bottom w:val="single" w:sz="4" w:space="0" w:color="auto"/>
              <w:right w:val="single" w:sz="4" w:space="0" w:color="auto"/>
            </w:tcBorders>
            <w:shd w:val="clear" w:color="auto" w:fill="E7E6E6" w:themeFill="background2"/>
            <w:vAlign w:val="center"/>
            <w:hideMark/>
          </w:tcPr>
          <w:p w14:paraId="4718D0AC" w14:textId="77777777" w:rsidR="00DF2A09" w:rsidRPr="00D81BAC" w:rsidRDefault="00DF2A09" w:rsidP="00D22441">
            <w:pPr>
              <w:jc w:val="center"/>
              <w:rPr>
                <w:rFonts w:ascii="Arial Narrow" w:hAnsi="Arial Narrow" w:cs="Arial"/>
                <w:b/>
                <w:bCs/>
                <w:spacing w:val="0"/>
                <w:sz w:val="16"/>
                <w:szCs w:val="16"/>
                <w:lang w:eastAsia="es-CO"/>
              </w:rPr>
            </w:pPr>
            <w:proofErr w:type="gramStart"/>
            <w:r w:rsidRPr="00D81BAC">
              <w:rPr>
                <w:rFonts w:ascii="Arial Narrow" w:hAnsi="Arial Narrow" w:cs="Arial"/>
                <w:b/>
                <w:bCs/>
                <w:spacing w:val="0"/>
                <w:sz w:val="16"/>
                <w:szCs w:val="16"/>
                <w:lang w:eastAsia="es-CO"/>
              </w:rPr>
              <w:t>Total</w:t>
            </w:r>
            <w:proofErr w:type="gramEnd"/>
            <w:r w:rsidRPr="00D81BAC">
              <w:rPr>
                <w:rFonts w:ascii="Arial Narrow" w:hAnsi="Arial Narrow" w:cs="Arial"/>
                <w:b/>
                <w:bCs/>
                <w:spacing w:val="0"/>
                <w:sz w:val="16"/>
                <w:szCs w:val="16"/>
                <w:lang w:eastAsia="es-CO"/>
              </w:rPr>
              <w:t xml:space="preserve"> base gravable reportada</w:t>
            </w:r>
          </w:p>
        </w:tc>
        <w:tc>
          <w:tcPr>
            <w:tcW w:w="1276" w:type="dxa"/>
            <w:tcBorders>
              <w:top w:val="single" w:sz="4" w:space="0" w:color="auto"/>
              <w:left w:val="nil"/>
              <w:bottom w:val="single" w:sz="4" w:space="0" w:color="auto"/>
              <w:right w:val="single" w:sz="4" w:space="0" w:color="auto"/>
            </w:tcBorders>
            <w:shd w:val="clear" w:color="auto" w:fill="E7E6E6" w:themeFill="background2"/>
            <w:vAlign w:val="center"/>
            <w:hideMark/>
          </w:tcPr>
          <w:p w14:paraId="1E0A22D7" w14:textId="77777777" w:rsidR="00DF2A09" w:rsidRPr="00D81BAC" w:rsidRDefault="00DF2A09" w:rsidP="00D22441">
            <w:pPr>
              <w:jc w:val="center"/>
              <w:rPr>
                <w:rFonts w:ascii="Arial Narrow" w:hAnsi="Arial Narrow" w:cs="Arial"/>
                <w:b/>
                <w:bCs/>
                <w:spacing w:val="0"/>
                <w:sz w:val="16"/>
                <w:szCs w:val="16"/>
                <w:lang w:eastAsia="es-CO"/>
              </w:rPr>
            </w:pPr>
            <w:r w:rsidRPr="00D81BAC">
              <w:rPr>
                <w:rFonts w:ascii="Arial Narrow" w:hAnsi="Arial Narrow" w:cs="Arial"/>
                <w:b/>
                <w:bCs/>
                <w:spacing w:val="0"/>
                <w:sz w:val="16"/>
                <w:szCs w:val="16"/>
                <w:lang w:eastAsia="es-CO"/>
              </w:rPr>
              <w:t xml:space="preserve">Valor bruto contribución especial 2023 </w:t>
            </w:r>
          </w:p>
        </w:tc>
        <w:tc>
          <w:tcPr>
            <w:tcW w:w="942" w:type="dxa"/>
            <w:tcBorders>
              <w:top w:val="single" w:sz="4" w:space="0" w:color="auto"/>
              <w:left w:val="nil"/>
              <w:bottom w:val="single" w:sz="4" w:space="0" w:color="auto"/>
              <w:right w:val="single" w:sz="4" w:space="0" w:color="auto"/>
            </w:tcBorders>
            <w:shd w:val="clear" w:color="auto" w:fill="E7E6E6" w:themeFill="background2"/>
            <w:vAlign w:val="center"/>
            <w:hideMark/>
          </w:tcPr>
          <w:p w14:paraId="05E7491B" w14:textId="77777777" w:rsidR="00DF2A09" w:rsidRPr="00D81BAC" w:rsidRDefault="00DF2A09" w:rsidP="00D22441">
            <w:pPr>
              <w:jc w:val="center"/>
              <w:rPr>
                <w:rFonts w:ascii="Arial Narrow" w:hAnsi="Arial Narrow" w:cs="Arial"/>
                <w:b/>
                <w:bCs/>
                <w:spacing w:val="0"/>
                <w:sz w:val="16"/>
                <w:szCs w:val="16"/>
                <w:lang w:eastAsia="es-CO"/>
              </w:rPr>
            </w:pPr>
            <w:r w:rsidRPr="00D81BAC">
              <w:rPr>
                <w:rFonts w:ascii="Arial Narrow" w:hAnsi="Arial Narrow" w:cs="Arial"/>
                <w:b/>
                <w:bCs/>
                <w:spacing w:val="0"/>
                <w:sz w:val="16"/>
                <w:szCs w:val="16"/>
                <w:lang w:eastAsia="es-CO"/>
              </w:rPr>
              <w:t>Cuantía mínima proporcional 2023</w:t>
            </w:r>
          </w:p>
        </w:tc>
        <w:tc>
          <w:tcPr>
            <w:tcW w:w="1184" w:type="dxa"/>
            <w:tcBorders>
              <w:top w:val="single" w:sz="4" w:space="0" w:color="auto"/>
              <w:left w:val="nil"/>
              <w:bottom w:val="single" w:sz="4" w:space="0" w:color="auto"/>
              <w:right w:val="single" w:sz="4" w:space="0" w:color="auto"/>
            </w:tcBorders>
            <w:shd w:val="clear" w:color="auto" w:fill="E7E6E6" w:themeFill="background2"/>
            <w:vAlign w:val="center"/>
            <w:hideMark/>
          </w:tcPr>
          <w:p w14:paraId="14EC50BA" w14:textId="77777777" w:rsidR="00DF2A09" w:rsidRPr="00D81BAC" w:rsidRDefault="00DF2A09" w:rsidP="00D22441">
            <w:pPr>
              <w:jc w:val="center"/>
              <w:rPr>
                <w:rFonts w:ascii="Arial Narrow" w:hAnsi="Arial Narrow" w:cs="Arial"/>
                <w:b/>
                <w:bCs/>
                <w:spacing w:val="0"/>
                <w:sz w:val="16"/>
                <w:szCs w:val="16"/>
                <w:lang w:eastAsia="es-CO"/>
              </w:rPr>
            </w:pPr>
            <w:r w:rsidRPr="00D81BAC">
              <w:rPr>
                <w:rFonts w:ascii="Arial Narrow" w:hAnsi="Arial Narrow" w:cs="Arial"/>
                <w:b/>
                <w:bCs/>
                <w:spacing w:val="0"/>
                <w:sz w:val="16"/>
                <w:szCs w:val="16"/>
                <w:lang w:eastAsia="es-CO"/>
              </w:rPr>
              <w:t>Valor neto de la contribución especial 2023 a pagar</w:t>
            </w:r>
          </w:p>
        </w:tc>
      </w:tr>
      <w:tr w:rsidR="00D81BAC" w:rsidRPr="00D81BAC" w14:paraId="5C032EAB" w14:textId="77777777" w:rsidTr="001459B2">
        <w:trPr>
          <w:trHeight w:val="255"/>
          <w:jc w:val="center"/>
        </w:trPr>
        <w:tc>
          <w:tcPr>
            <w:tcW w:w="928" w:type="dxa"/>
            <w:tcBorders>
              <w:top w:val="nil"/>
              <w:left w:val="single" w:sz="4" w:space="0" w:color="auto"/>
              <w:bottom w:val="single" w:sz="4" w:space="0" w:color="auto"/>
              <w:right w:val="single" w:sz="4" w:space="0" w:color="auto"/>
            </w:tcBorders>
            <w:shd w:val="clear" w:color="auto" w:fill="FFFFFF" w:themeFill="background1"/>
            <w:vAlign w:val="center"/>
            <w:hideMark/>
          </w:tcPr>
          <w:p w14:paraId="12DFB90B" w14:textId="77777777" w:rsidR="00DF2A09" w:rsidRPr="00D81BAC" w:rsidRDefault="00DF2A09" w:rsidP="00D22441">
            <w:pPr>
              <w:jc w:val="center"/>
              <w:rPr>
                <w:rFonts w:ascii="Arial Narrow" w:hAnsi="Arial Narrow" w:cs="Arial"/>
                <w:spacing w:val="0"/>
                <w:sz w:val="16"/>
                <w:szCs w:val="16"/>
                <w:lang w:eastAsia="es-CO"/>
              </w:rPr>
            </w:pPr>
            <w:r w:rsidRPr="00D81BAC">
              <w:rPr>
                <w:rFonts w:ascii="Arial Narrow" w:hAnsi="Arial Narrow" w:cs="Arial"/>
                <w:spacing w:val="0"/>
                <w:sz w:val="16"/>
                <w:szCs w:val="16"/>
                <w:lang w:eastAsia="es-CO"/>
              </w:rPr>
              <w:t>Energía</w:t>
            </w:r>
          </w:p>
        </w:tc>
        <w:tc>
          <w:tcPr>
            <w:tcW w:w="702" w:type="dxa"/>
            <w:tcBorders>
              <w:top w:val="nil"/>
              <w:left w:val="nil"/>
              <w:bottom w:val="single" w:sz="4" w:space="0" w:color="auto"/>
              <w:right w:val="single" w:sz="4" w:space="0" w:color="auto"/>
            </w:tcBorders>
            <w:shd w:val="clear" w:color="auto" w:fill="FFFFFF" w:themeFill="background1"/>
            <w:vAlign w:val="center"/>
            <w:hideMark/>
          </w:tcPr>
          <w:p w14:paraId="2BCA9AB0" w14:textId="77777777" w:rsidR="00DF2A09" w:rsidRPr="00D81BAC" w:rsidRDefault="00DF2A09" w:rsidP="00D22441">
            <w:pPr>
              <w:jc w:val="center"/>
              <w:rPr>
                <w:rFonts w:ascii="Arial Narrow" w:hAnsi="Arial Narrow" w:cs="Arial"/>
                <w:b/>
                <w:bCs/>
                <w:spacing w:val="0"/>
                <w:sz w:val="16"/>
                <w:szCs w:val="16"/>
                <w:lang w:eastAsia="es-CO"/>
              </w:rPr>
            </w:pPr>
            <w:r w:rsidRPr="00D81BAC">
              <w:rPr>
                <w:rFonts w:ascii="Arial Narrow" w:hAnsi="Arial Narrow" w:cs="Arial"/>
                <w:b/>
                <w:bCs/>
                <w:spacing w:val="0"/>
                <w:sz w:val="16"/>
                <w:szCs w:val="16"/>
                <w:lang w:eastAsia="es-CO"/>
              </w:rPr>
              <w:t>157</w:t>
            </w:r>
          </w:p>
        </w:tc>
        <w:tc>
          <w:tcPr>
            <w:tcW w:w="1720" w:type="dxa"/>
            <w:tcBorders>
              <w:top w:val="nil"/>
              <w:left w:val="nil"/>
              <w:bottom w:val="single" w:sz="4" w:space="0" w:color="auto"/>
              <w:right w:val="single" w:sz="4" w:space="0" w:color="auto"/>
            </w:tcBorders>
            <w:shd w:val="clear" w:color="auto" w:fill="FFFFFF" w:themeFill="background1"/>
            <w:noWrap/>
            <w:vAlign w:val="center"/>
            <w:hideMark/>
          </w:tcPr>
          <w:p w14:paraId="169D148D" w14:textId="77777777" w:rsidR="00DF2A09" w:rsidRPr="00D81BAC" w:rsidRDefault="00DF2A09" w:rsidP="00D22441">
            <w:pPr>
              <w:jc w:val="right"/>
              <w:rPr>
                <w:rFonts w:ascii="Arial Narrow" w:hAnsi="Arial Narrow" w:cs="Arial"/>
                <w:spacing w:val="0"/>
                <w:sz w:val="16"/>
                <w:szCs w:val="16"/>
                <w:lang w:eastAsia="es-CO"/>
              </w:rPr>
            </w:pPr>
            <w:r w:rsidRPr="00D81BAC">
              <w:rPr>
                <w:rFonts w:ascii="Arial Narrow" w:hAnsi="Arial Narrow" w:cs="Arial"/>
                <w:spacing w:val="0"/>
                <w:sz w:val="16"/>
                <w:szCs w:val="16"/>
                <w:lang w:eastAsia="es-CO"/>
              </w:rPr>
              <w:t>$ 1.025.966.463.501</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14:paraId="232A2B0F" w14:textId="77777777" w:rsidR="00DF2A09" w:rsidRPr="00D81BAC" w:rsidRDefault="00DF2A09" w:rsidP="00D22441">
            <w:pPr>
              <w:jc w:val="right"/>
              <w:rPr>
                <w:rFonts w:ascii="Arial Narrow" w:hAnsi="Arial Narrow" w:cs="Arial"/>
                <w:spacing w:val="0"/>
                <w:sz w:val="16"/>
                <w:szCs w:val="16"/>
                <w:lang w:eastAsia="es-CO"/>
              </w:rPr>
            </w:pPr>
            <w:r w:rsidRPr="00D81BAC">
              <w:rPr>
                <w:rFonts w:ascii="Arial Narrow" w:hAnsi="Arial Narrow" w:cs="Arial"/>
                <w:spacing w:val="0"/>
                <w:sz w:val="16"/>
                <w:szCs w:val="16"/>
                <w:lang w:eastAsia="es-CO"/>
              </w:rPr>
              <w:t>$ 127.009.921.824</w:t>
            </w:r>
          </w:p>
        </w:tc>
        <w:tc>
          <w:tcPr>
            <w:tcW w:w="1464" w:type="dxa"/>
            <w:tcBorders>
              <w:top w:val="nil"/>
              <w:left w:val="nil"/>
              <w:bottom w:val="single" w:sz="4" w:space="0" w:color="auto"/>
              <w:right w:val="single" w:sz="4" w:space="0" w:color="auto"/>
            </w:tcBorders>
            <w:shd w:val="clear" w:color="auto" w:fill="FFFFFF" w:themeFill="background1"/>
            <w:noWrap/>
            <w:vAlign w:val="center"/>
            <w:hideMark/>
          </w:tcPr>
          <w:p w14:paraId="23C29D04" w14:textId="77777777" w:rsidR="00DF2A09" w:rsidRPr="00D81BAC" w:rsidRDefault="00DF2A09" w:rsidP="00D22441">
            <w:pPr>
              <w:jc w:val="right"/>
              <w:rPr>
                <w:rFonts w:ascii="Arial Narrow" w:hAnsi="Arial Narrow" w:cs="Arial"/>
                <w:spacing w:val="0"/>
                <w:sz w:val="16"/>
                <w:szCs w:val="16"/>
                <w:lang w:eastAsia="es-CO"/>
              </w:rPr>
            </w:pPr>
            <w:r w:rsidRPr="00D81BAC">
              <w:rPr>
                <w:rFonts w:ascii="Arial Narrow" w:hAnsi="Arial Narrow" w:cs="Arial"/>
                <w:spacing w:val="0"/>
                <w:sz w:val="16"/>
                <w:szCs w:val="16"/>
                <w:lang w:eastAsia="es-CO"/>
              </w:rPr>
              <w:t>$ 1.152.976.385.325</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7C0E6FA0" w14:textId="77777777" w:rsidR="00DF2A09" w:rsidRPr="00D81BAC" w:rsidRDefault="00DF2A09" w:rsidP="00D22441">
            <w:pPr>
              <w:jc w:val="right"/>
              <w:rPr>
                <w:rFonts w:ascii="Arial Narrow" w:hAnsi="Arial Narrow" w:cs="Arial"/>
                <w:spacing w:val="0"/>
                <w:sz w:val="16"/>
                <w:szCs w:val="16"/>
                <w:lang w:eastAsia="es-CO"/>
              </w:rPr>
            </w:pPr>
            <w:r w:rsidRPr="00D81BAC">
              <w:rPr>
                <w:rFonts w:ascii="Arial Narrow" w:hAnsi="Arial Narrow" w:cs="Arial"/>
                <w:spacing w:val="0"/>
                <w:sz w:val="16"/>
                <w:szCs w:val="16"/>
                <w:lang w:eastAsia="es-CO"/>
              </w:rPr>
              <w:t>$ 11.529.763.854</w:t>
            </w:r>
          </w:p>
        </w:tc>
        <w:tc>
          <w:tcPr>
            <w:tcW w:w="942" w:type="dxa"/>
            <w:tcBorders>
              <w:top w:val="nil"/>
              <w:left w:val="nil"/>
              <w:bottom w:val="single" w:sz="4" w:space="0" w:color="auto"/>
              <w:right w:val="single" w:sz="4" w:space="0" w:color="auto"/>
            </w:tcBorders>
            <w:shd w:val="clear" w:color="auto" w:fill="FFFFFF" w:themeFill="background1"/>
            <w:noWrap/>
            <w:vAlign w:val="center"/>
            <w:hideMark/>
          </w:tcPr>
          <w:p w14:paraId="50DD50C6" w14:textId="77777777" w:rsidR="00DF2A09" w:rsidRPr="00D81BAC" w:rsidRDefault="00DF2A09" w:rsidP="00D22441">
            <w:pPr>
              <w:jc w:val="right"/>
              <w:rPr>
                <w:rFonts w:ascii="Arial Narrow" w:hAnsi="Arial Narrow" w:cs="Arial"/>
                <w:spacing w:val="0"/>
                <w:sz w:val="16"/>
                <w:szCs w:val="16"/>
                <w:lang w:eastAsia="es-CO"/>
              </w:rPr>
            </w:pPr>
            <w:r w:rsidRPr="00D81BAC">
              <w:rPr>
                <w:rFonts w:ascii="Arial Narrow" w:hAnsi="Arial Narrow" w:cs="Arial"/>
                <w:spacing w:val="0"/>
                <w:sz w:val="16"/>
                <w:szCs w:val="16"/>
                <w:lang w:eastAsia="es-CO"/>
              </w:rPr>
              <w:t>$ 479.828</w:t>
            </w:r>
          </w:p>
        </w:tc>
        <w:tc>
          <w:tcPr>
            <w:tcW w:w="1184" w:type="dxa"/>
            <w:tcBorders>
              <w:top w:val="nil"/>
              <w:left w:val="nil"/>
              <w:bottom w:val="single" w:sz="4" w:space="0" w:color="auto"/>
              <w:right w:val="single" w:sz="4" w:space="0" w:color="auto"/>
            </w:tcBorders>
            <w:shd w:val="clear" w:color="auto" w:fill="FFFFFF" w:themeFill="background1"/>
            <w:noWrap/>
            <w:vAlign w:val="center"/>
            <w:hideMark/>
          </w:tcPr>
          <w:p w14:paraId="55709B50" w14:textId="77777777" w:rsidR="00DF2A09" w:rsidRPr="00D81BAC" w:rsidRDefault="00DF2A09" w:rsidP="00D22441">
            <w:pPr>
              <w:jc w:val="right"/>
              <w:rPr>
                <w:rFonts w:ascii="Arial Narrow" w:hAnsi="Arial Narrow" w:cs="Arial"/>
                <w:spacing w:val="0"/>
                <w:sz w:val="16"/>
                <w:szCs w:val="16"/>
                <w:lang w:eastAsia="es-CO"/>
              </w:rPr>
            </w:pPr>
            <w:r w:rsidRPr="00D81BAC">
              <w:rPr>
                <w:rFonts w:ascii="Arial Narrow" w:hAnsi="Arial Narrow" w:cs="Arial"/>
                <w:spacing w:val="0"/>
                <w:sz w:val="16"/>
                <w:szCs w:val="16"/>
                <w:lang w:eastAsia="es-CO"/>
              </w:rPr>
              <w:t>$ 11.530.243.685</w:t>
            </w:r>
          </w:p>
        </w:tc>
      </w:tr>
      <w:tr w:rsidR="00D81BAC" w:rsidRPr="00D81BAC" w14:paraId="05C1B856" w14:textId="77777777" w:rsidTr="002C6042">
        <w:trPr>
          <w:trHeight w:val="297"/>
          <w:jc w:val="center"/>
        </w:trPr>
        <w:tc>
          <w:tcPr>
            <w:tcW w:w="928" w:type="dxa"/>
            <w:tcBorders>
              <w:top w:val="nil"/>
              <w:left w:val="single" w:sz="4" w:space="0" w:color="auto"/>
              <w:bottom w:val="single" w:sz="4" w:space="0" w:color="auto"/>
              <w:right w:val="single" w:sz="4" w:space="0" w:color="auto"/>
            </w:tcBorders>
            <w:shd w:val="clear" w:color="auto" w:fill="FFFFFF" w:themeFill="background1"/>
            <w:vAlign w:val="center"/>
            <w:hideMark/>
          </w:tcPr>
          <w:p w14:paraId="01223176" w14:textId="77777777" w:rsidR="00DF2A09" w:rsidRPr="00D81BAC" w:rsidRDefault="00DF2A09" w:rsidP="00D22441">
            <w:pPr>
              <w:jc w:val="center"/>
              <w:rPr>
                <w:rFonts w:ascii="Arial Narrow" w:hAnsi="Arial Narrow" w:cs="Arial"/>
                <w:spacing w:val="0"/>
                <w:sz w:val="16"/>
                <w:szCs w:val="16"/>
                <w:lang w:eastAsia="es-CO"/>
              </w:rPr>
            </w:pPr>
            <w:r w:rsidRPr="00D81BAC">
              <w:rPr>
                <w:rFonts w:ascii="Arial Narrow" w:hAnsi="Arial Narrow" w:cs="Arial"/>
                <w:spacing w:val="0"/>
                <w:sz w:val="16"/>
                <w:szCs w:val="16"/>
                <w:lang w:eastAsia="es-CO"/>
              </w:rPr>
              <w:t>Energía – Gas</w:t>
            </w:r>
          </w:p>
        </w:tc>
        <w:tc>
          <w:tcPr>
            <w:tcW w:w="702" w:type="dxa"/>
            <w:tcBorders>
              <w:top w:val="nil"/>
              <w:left w:val="nil"/>
              <w:bottom w:val="single" w:sz="4" w:space="0" w:color="auto"/>
              <w:right w:val="single" w:sz="4" w:space="0" w:color="auto"/>
            </w:tcBorders>
            <w:shd w:val="clear" w:color="auto" w:fill="FFFFFF" w:themeFill="background1"/>
            <w:vAlign w:val="center"/>
            <w:hideMark/>
          </w:tcPr>
          <w:p w14:paraId="17D03F75" w14:textId="77777777" w:rsidR="00DF2A09" w:rsidRPr="00D81BAC" w:rsidRDefault="00DF2A09" w:rsidP="00D22441">
            <w:pPr>
              <w:jc w:val="center"/>
              <w:rPr>
                <w:rFonts w:ascii="Arial Narrow" w:hAnsi="Arial Narrow" w:cs="Arial"/>
                <w:b/>
                <w:bCs/>
                <w:spacing w:val="0"/>
                <w:sz w:val="16"/>
                <w:szCs w:val="16"/>
                <w:lang w:eastAsia="es-CO"/>
              </w:rPr>
            </w:pPr>
            <w:r w:rsidRPr="00D81BAC">
              <w:rPr>
                <w:rFonts w:ascii="Arial Narrow" w:hAnsi="Arial Narrow" w:cs="Arial"/>
                <w:b/>
                <w:bCs/>
                <w:spacing w:val="0"/>
                <w:sz w:val="16"/>
                <w:szCs w:val="16"/>
                <w:lang w:eastAsia="es-CO"/>
              </w:rPr>
              <w:t>11</w:t>
            </w:r>
          </w:p>
        </w:tc>
        <w:tc>
          <w:tcPr>
            <w:tcW w:w="1720" w:type="dxa"/>
            <w:tcBorders>
              <w:top w:val="nil"/>
              <w:left w:val="nil"/>
              <w:bottom w:val="single" w:sz="4" w:space="0" w:color="auto"/>
              <w:right w:val="single" w:sz="4" w:space="0" w:color="auto"/>
            </w:tcBorders>
            <w:shd w:val="clear" w:color="auto" w:fill="FFFFFF" w:themeFill="background1"/>
            <w:noWrap/>
            <w:vAlign w:val="center"/>
            <w:hideMark/>
          </w:tcPr>
          <w:p w14:paraId="2B1F18D7" w14:textId="77777777" w:rsidR="00DF2A09" w:rsidRPr="00D81BAC" w:rsidRDefault="00DF2A09" w:rsidP="00D22441">
            <w:pPr>
              <w:jc w:val="right"/>
              <w:rPr>
                <w:rFonts w:ascii="Arial Narrow" w:hAnsi="Arial Narrow" w:cs="Arial"/>
                <w:spacing w:val="0"/>
                <w:sz w:val="16"/>
                <w:szCs w:val="16"/>
                <w:lang w:eastAsia="es-CO"/>
              </w:rPr>
            </w:pPr>
            <w:r w:rsidRPr="00D81BAC">
              <w:rPr>
                <w:rFonts w:ascii="Arial Narrow" w:hAnsi="Arial Narrow" w:cs="Arial"/>
                <w:spacing w:val="0"/>
                <w:sz w:val="16"/>
                <w:szCs w:val="16"/>
                <w:lang w:eastAsia="es-CO"/>
              </w:rPr>
              <w:t>$ 562.313.481.000</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14:paraId="6308AAF6" w14:textId="77777777" w:rsidR="00DF2A09" w:rsidRPr="00D81BAC" w:rsidRDefault="00DF2A09" w:rsidP="00D22441">
            <w:pPr>
              <w:jc w:val="right"/>
              <w:rPr>
                <w:rFonts w:ascii="Arial Narrow" w:hAnsi="Arial Narrow" w:cs="Arial"/>
                <w:spacing w:val="0"/>
                <w:sz w:val="16"/>
                <w:szCs w:val="16"/>
                <w:lang w:eastAsia="es-CO"/>
              </w:rPr>
            </w:pPr>
            <w:r w:rsidRPr="00D81BAC">
              <w:rPr>
                <w:rFonts w:ascii="Arial Narrow" w:hAnsi="Arial Narrow" w:cs="Arial"/>
                <w:spacing w:val="0"/>
                <w:sz w:val="16"/>
                <w:szCs w:val="16"/>
                <w:lang w:eastAsia="es-CO"/>
              </w:rPr>
              <w:t>$ 65.465.287.080</w:t>
            </w:r>
          </w:p>
        </w:tc>
        <w:tc>
          <w:tcPr>
            <w:tcW w:w="1464" w:type="dxa"/>
            <w:tcBorders>
              <w:top w:val="nil"/>
              <w:left w:val="nil"/>
              <w:bottom w:val="single" w:sz="4" w:space="0" w:color="auto"/>
              <w:right w:val="single" w:sz="4" w:space="0" w:color="auto"/>
            </w:tcBorders>
            <w:shd w:val="clear" w:color="auto" w:fill="FFFFFF" w:themeFill="background1"/>
            <w:noWrap/>
            <w:vAlign w:val="center"/>
            <w:hideMark/>
          </w:tcPr>
          <w:p w14:paraId="5E938010" w14:textId="77777777" w:rsidR="00DF2A09" w:rsidRPr="00D81BAC" w:rsidRDefault="00DF2A09" w:rsidP="00D22441">
            <w:pPr>
              <w:jc w:val="right"/>
              <w:rPr>
                <w:rFonts w:ascii="Arial Narrow" w:hAnsi="Arial Narrow" w:cs="Arial"/>
                <w:spacing w:val="0"/>
                <w:sz w:val="16"/>
                <w:szCs w:val="16"/>
                <w:lang w:eastAsia="es-CO"/>
              </w:rPr>
            </w:pPr>
            <w:r w:rsidRPr="00D81BAC">
              <w:rPr>
                <w:rFonts w:ascii="Arial Narrow" w:hAnsi="Arial Narrow" w:cs="Arial"/>
                <w:spacing w:val="0"/>
                <w:sz w:val="16"/>
                <w:szCs w:val="16"/>
                <w:lang w:eastAsia="es-CO"/>
              </w:rPr>
              <w:t>$ 627.778.768.080</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5BA4BC21" w14:textId="77777777" w:rsidR="00DF2A09" w:rsidRPr="00D81BAC" w:rsidRDefault="00DF2A09" w:rsidP="00D22441">
            <w:pPr>
              <w:jc w:val="right"/>
              <w:rPr>
                <w:rFonts w:ascii="Arial Narrow" w:hAnsi="Arial Narrow" w:cs="Arial"/>
                <w:spacing w:val="0"/>
                <w:sz w:val="16"/>
                <w:szCs w:val="16"/>
                <w:lang w:eastAsia="es-CO"/>
              </w:rPr>
            </w:pPr>
            <w:r w:rsidRPr="00D81BAC">
              <w:rPr>
                <w:rFonts w:ascii="Arial Narrow" w:hAnsi="Arial Narrow" w:cs="Arial"/>
                <w:spacing w:val="0"/>
                <w:sz w:val="16"/>
                <w:szCs w:val="16"/>
                <w:lang w:eastAsia="es-CO"/>
              </w:rPr>
              <w:t>$ 6.277.787.681</w:t>
            </w:r>
          </w:p>
        </w:tc>
        <w:tc>
          <w:tcPr>
            <w:tcW w:w="942" w:type="dxa"/>
            <w:tcBorders>
              <w:top w:val="nil"/>
              <w:left w:val="nil"/>
              <w:bottom w:val="single" w:sz="4" w:space="0" w:color="auto"/>
              <w:right w:val="single" w:sz="4" w:space="0" w:color="auto"/>
            </w:tcBorders>
            <w:shd w:val="clear" w:color="auto" w:fill="FFFFFF" w:themeFill="background1"/>
            <w:noWrap/>
            <w:vAlign w:val="center"/>
            <w:hideMark/>
          </w:tcPr>
          <w:p w14:paraId="59D2216B" w14:textId="77777777" w:rsidR="00DF2A09" w:rsidRPr="00D81BAC" w:rsidRDefault="00DF2A09" w:rsidP="00D22441">
            <w:pPr>
              <w:jc w:val="right"/>
              <w:rPr>
                <w:rFonts w:ascii="Arial Narrow" w:hAnsi="Arial Narrow" w:cs="Arial"/>
                <w:spacing w:val="0"/>
                <w:sz w:val="16"/>
                <w:szCs w:val="16"/>
                <w:lang w:eastAsia="es-CO"/>
              </w:rPr>
            </w:pPr>
            <w:r w:rsidRPr="00D81BAC">
              <w:rPr>
                <w:rFonts w:ascii="Arial Narrow" w:hAnsi="Arial Narrow" w:cs="Arial"/>
                <w:spacing w:val="0"/>
                <w:sz w:val="16"/>
                <w:szCs w:val="16"/>
                <w:lang w:eastAsia="es-CO"/>
              </w:rPr>
              <w:t>$ 261.260</w:t>
            </w:r>
          </w:p>
        </w:tc>
        <w:tc>
          <w:tcPr>
            <w:tcW w:w="1184" w:type="dxa"/>
            <w:tcBorders>
              <w:top w:val="nil"/>
              <w:left w:val="nil"/>
              <w:bottom w:val="single" w:sz="4" w:space="0" w:color="auto"/>
              <w:right w:val="single" w:sz="4" w:space="0" w:color="auto"/>
            </w:tcBorders>
            <w:shd w:val="clear" w:color="auto" w:fill="FFFFFF" w:themeFill="background1"/>
            <w:noWrap/>
            <w:vAlign w:val="center"/>
            <w:hideMark/>
          </w:tcPr>
          <w:p w14:paraId="6D58E122" w14:textId="77777777" w:rsidR="00DF2A09" w:rsidRPr="00D81BAC" w:rsidRDefault="00DF2A09" w:rsidP="00D22441">
            <w:pPr>
              <w:jc w:val="right"/>
              <w:rPr>
                <w:rFonts w:ascii="Arial Narrow" w:hAnsi="Arial Narrow" w:cs="Arial"/>
                <w:spacing w:val="0"/>
                <w:sz w:val="16"/>
                <w:szCs w:val="16"/>
                <w:lang w:eastAsia="es-CO"/>
              </w:rPr>
            </w:pPr>
            <w:r w:rsidRPr="00D81BAC">
              <w:rPr>
                <w:rFonts w:ascii="Arial Narrow" w:hAnsi="Arial Narrow" w:cs="Arial"/>
                <w:spacing w:val="0"/>
                <w:sz w:val="16"/>
                <w:szCs w:val="16"/>
                <w:lang w:eastAsia="es-CO"/>
              </w:rPr>
              <w:t>$ 6.278.048.941</w:t>
            </w:r>
          </w:p>
        </w:tc>
      </w:tr>
      <w:tr w:rsidR="00D81BAC" w:rsidRPr="00D81BAC" w14:paraId="6B7BD1EB" w14:textId="77777777" w:rsidTr="001459B2">
        <w:trPr>
          <w:trHeight w:val="510"/>
          <w:jc w:val="center"/>
        </w:trPr>
        <w:tc>
          <w:tcPr>
            <w:tcW w:w="928" w:type="dxa"/>
            <w:tcBorders>
              <w:top w:val="nil"/>
              <w:left w:val="single" w:sz="4" w:space="0" w:color="auto"/>
              <w:bottom w:val="single" w:sz="4" w:space="0" w:color="auto"/>
              <w:right w:val="single" w:sz="4" w:space="0" w:color="auto"/>
            </w:tcBorders>
            <w:shd w:val="clear" w:color="auto" w:fill="FFFFFF" w:themeFill="background1"/>
            <w:vAlign w:val="center"/>
            <w:hideMark/>
          </w:tcPr>
          <w:p w14:paraId="73C96CC4" w14:textId="77777777" w:rsidR="00DF2A09" w:rsidRPr="00D81BAC" w:rsidRDefault="00DF2A09" w:rsidP="00D22441">
            <w:pPr>
              <w:jc w:val="center"/>
              <w:rPr>
                <w:rFonts w:ascii="Arial Narrow" w:hAnsi="Arial Narrow" w:cs="Arial"/>
                <w:spacing w:val="0"/>
                <w:sz w:val="16"/>
                <w:szCs w:val="16"/>
                <w:lang w:eastAsia="es-CO"/>
              </w:rPr>
            </w:pPr>
            <w:r w:rsidRPr="00D81BAC">
              <w:rPr>
                <w:rFonts w:ascii="Arial Narrow" w:hAnsi="Arial Narrow" w:cs="Arial"/>
                <w:spacing w:val="0"/>
                <w:sz w:val="16"/>
                <w:szCs w:val="16"/>
                <w:lang w:eastAsia="es-CO"/>
              </w:rPr>
              <w:t>GLP – Gas por redes</w:t>
            </w:r>
          </w:p>
        </w:tc>
        <w:tc>
          <w:tcPr>
            <w:tcW w:w="702" w:type="dxa"/>
            <w:tcBorders>
              <w:top w:val="nil"/>
              <w:left w:val="nil"/>
              <w:bottom w:val="single" w:sz="4" w:space="0" w:color="auto"/>
              <w:right w:val="single" w:sz="4" w:space="0" w:color="auto"/>
            </w:tcBorders>
            <w:shd w:val="clear" w:color="auto" w:fill="FFFFFF" w:themeFill="background1"/>
            <w:vAlign w:val="center"/>
            <w:hideMark/>
          </w:tcPr>
          <w:p w14:paraId="115E9DE2" w14:textId="77777777" w:rsidR="00DF2A09" w:rsidRPr="00D81BAC" w:rsidRDefault="00DF2A09" w:rsidP="00D22441">
            <w:pPr>
              <w:jc w:val="center"/>
              <w:rPr>
                <w:rFonts w:ascii="Arial Narrow" w:hAnsi="Arial Narrow" w:cs="Arial"/>
                <w:b/>
                <w:bCs/>
                <w:spacing w:val="0"/>
                <w:sz w:val="16"/>
                <w:szCs w:val="16"/>
                <w:lang w:eastAsia="es-CO"/>
              </w:rPr>
            </w:pPr>
            <w:r w:rsidRPr="00D81BAC">
              <w:rPr>
                <w:rFonts w:ascii="Arial Narrow" w:hAnsi="Arial Narrow" w:cs="Arial"/>
                <w:b/>
                <w:bCs/>
                <w:spacing w:val="0"/>
                <w:sz w:val="16"/>
                <w:szCs w:val="16"/>
                <w:lang w:eastAsia="es-CO"/>
              </w:rPr>
              <w:t>136</w:t>
            </w:r>
          </w:p>
        </w:tc>
        <w:tc>
          <w:tcPr>
            <w:tcW w:w="1720" w:type="dxa"/>
            <w:tcBorders>
              <w:top w:val="nil"/>
              <w:left w:val="nil"/>
              <w:bottom w:val="single" w:sz="4" w:space="0" w:color="auto"/>
              <w:right w:val="single" w:sz="4" w:space="0" w:color="auto"/>
            </w:tcBorders>
            <w:shd w:val="clear" w:color="auto" w:fill="FFFFFF" w:themeFill="background1"/>
            <w:noWrap/>
            <w:vAlign w:val="center"/>
            <w:hideMark/>
          </w:tcPr>
          <w:p w14:paraId="75DB922F" w14:textId="77777777" w:rsidR="00DF2A09" w:rsidRPr="00D81BAC" w:rsidRDefault="00DF2A09" w:rsidP="00D22441">
            <w:pPr>
              <w:jc w:val="right"/>
              <w:rPr>
                <w:rFonts w:ascii="Arial Narrow" w:hAnsi="Arial Narrow" w:cs="Arial"/>
                <w:spacing w:val="0"/>
                <w:sz w:val="16"/>
                <w:szCs w:val="16"/>
                <w:lang w:eastAsia="es-CO"/>
              </w:rPr>
            </w:pPr>
            <w:r w:rsidRPr="00D81BAC">
              <w:rPr>
                <w:rFonts w:ascii="Arial Narrow" w:hAnsi="Arial Narrow" w:cs="Arial"/>
                <w:spacing w:val="0"/>
                <w:sz w:val="16"/>
                <w:szCs w:val="16"/>
                <w:lang w:eastAsia="es-CO"/>
              </w:rPr>
              <w:t>$ 1.286.746.806.940</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14:paraId="0383FFED" w14:textId="77777777" w:rsidR="00DF2A09" w:rsidRPr="00D81BAC" w:rsidRDefault="00DF2A09" w:rsidP="00D22441">
            <w:pPr>
              <w:jc w:val="right"/>
              <w:rPr>
                <w:rFonts w:ascii="Arial Narrow" w:hAnsi="Arial Narrow" w:cs="Arial"/>
                <w:spacing w:val="0"/>
                <w:sz w:val="16"/>
                <w:szCs w:val="16"/>
                <w:lang w:eastAsia="es-CO"/>
              </w:rPr>
            </w:pPr>
            <w:r w:rsidRPr="00D81BAC">
              <w:rPr>
                <w:rFonts w:ascii="Arial Narrow" w:hAnsi="Arial Narrow" w:cs="Arial"/>
                <w:spacing w:val="0"/>
                <w:sz w:val="16"/>
                <w:szCs w:val="16"/>
                <w:lang w:eastAsia="es-CO"/>
              </w:rPr>
              <w:t>$ 70.436.680.719</w:t>
            </w:r>
          </w:p>
        </w:tc>
        <w:tc>
          <w:tcPr>
            <w:tcW w:w="1464" w:type="dxa"/>
            <w:tcBorders>
              <w:top w:val="nil"/>
              <w:left w:val="nil"/>
              <w:bottom w:val="single" w:sz="4" w:space="0" w:color="auto"/>
              <w:right w:val="single" w:sz="4" w:space="0" w:color="auto"/>
            </w:tcBorders>
            <w:shd w:val="clear" w:color="auto" w:fill="FFFFFF" w:themeFill="background1"/>
            <w:noWrap/>
            <w:vAlign w:val="center"/>
            <w:hideMark/>
          </w:tcPr>
          <w:p w14:paraId="79FDDB78" w14:textId="77777777" w:rsidR="00DF2A09" w:rsidRPr="00D81BAC" w:rsidRDefault="00DF2A09" w:rsidP="00D22441">
            <w:pPr>
              <w:jc w:val="right"/>
              <w:rPr>
                <w:rFonts w:ascii="Arial Narrow" w:hAnsi="Arial Narrow" w:cs="Arial"/>
                <w:spacing w:val="0"/>
                <w:sz w:val="16"/>
                <w:szCs w:val="16"/>
                <w:lang w:eastAsia="es-CO"/>
              </w:rPr>
            </w:pPr>
            <w:r w:rsidRPr="00D81BAC">
              <w:rPr>
                <w:rFonts w:ascii="Arial Narrow" w:hAnsi="Arial Narrow" w:cs="Arial"/>
                <w:spacing w:val="0"/>
                <w:sz w:val="16"/>
                <w:szCs w:val="16"/>
                <w:lang w:eastAsia="es-CO"/>
              </w:rPr>
              <w:t>$ 1.357.183.487.659</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1AD98986" w14:textId="77777777" w:rsidR="00DF2A09" w:rsidRPr="00D81BAC" w:rsidRDefault="00DF2A09" w:rsidP="00D22441">
            <w:pPr>
              <w:jc w:val="right"/>
              <w:rPr>
                <w:rFonts w:ascii="Arial Narrow" w:hAnsi="Arial Narrow" w:cs="Arial"/>
                <w:spacing w:val="0"/>
                <w:sz w:val="16"/>
                <w:szCs w:val="16"/>
                <w:lang w:eastAsia="es-CO"/>
              </w:rPr>
            </w:pPr>
            <w:r w:rsidRPr="00D81BAC">
              <w:rPr>
                <w:rFonts w:ascii="Arial Narrow" w:hAnsi="Arial Narrow" w:cs="Arial"/>
                <w:spacing w:val="0"/>
                <w:sz w:val="16"/>
                <w:szCs w:val="16"/>
                <w:lang w:eastAsia="es-CO"/>
              </w:rPr>
              <w:t>$ 13.571.834.877</w:t>
            </w:r>
          </w:p>
        </w:tc>
        <w:tc>
          <w:tcPr>
            <w:tcW w:w="942" w:type="dxa"/>
            <w:tcBorders>
              <w:top w:val="nil"/>
              <w:left w:val="nil"/>
              <w:bottom w:val="single" w:sz="4" w:space="0" w:color="auto"/>
              <w:right w:val="single" w:sz="4" w:space="0" w:color="auto"/>
            </w:tcBorders>
            <w:shd w:val="clear" w:color="auto" w:fill="FFFFFF" w:themeFill="background1"/>
            <w:noWrap/>
            <w:vAlign w:val="center"/>
            <w:hideMark/>
          </w:tcPr>
          <w:p w14:paraId="267DA822" w14:textId="77777777" w:rsidR="00DF2A09" w:rsidRPr="00D81BAC" w:rsidRDefault="00DF2A09" w:rsidP="00D22441">
            <w:pPr>
              <w:jc w:val="right"/>
              <w:rPr>
                <w:rFonts w:ascii="Arial Narrow" w:hAnsi="Arial Narrow" w:cs="Arial"/>
                <w:spacing w:val="0"/>
                <w:sz w:val="16"/>
                <w:szCs w:val="16"/>
                <w:lang w:eastAsia="es-CO"/>
              </w:rPr>
            </w:pPr>
            <w:r w:rsidRPr="00D81BAC">
              <w:rPr>
                <w:rFonts w:ascii="Arial Narrow" w:hAnsi="Arial Narrow" w:cs="Arial"/>
                <w:spacing w:val="0"/>
                <w:sz w:val="16"/>
                <w:szCs w:val="16"/>
                <w:lang w:eastAsia="es-CO"/>
              </w:rPr>
              <w:t>$ 564.813</w:t>
            </w:r>
          </w:p>
        </w:tc>
        <w:tc>
          <w:tcPr>
            <w:tcW w:w="1184" w:type="dxa"/>
            <w:tcBorders>
              <w:top w:val="nil"/>
              <w:left w:val="nil"/>
              <w:bottom w:val="single" w:sz="4" w:space="0" w:color="auto"/>
              <w:right w:val="single" w:sz="4" w:space="0" w:color="auto"/>
            </w:tcBorders>
            <w:shd w:val="clear" w:color="auto" w:fill="FFFFFF" w:themeFill="background1"/>
            <w:noWrap/>
            <w:vAlign w:val="center"/>
            <w:hideMark/>
          </w:tcPr>
          <w:p w14:paraId="3DA7DAA5" w14:textId="77777777" w:rsidR="00DF2A09" w:rsidRPr="00D81BAC" w:rsidRDefault="00DF2A09" w:rsidP="00D22441">
            <w:pPr>
              <w:jc w:val="right"/>
              <w:rPr>
                <w:rFonts w:ascii="Arial Narrow" w:hAnsi="Arial Narrow" w:cs="Arial"/>
                <w:spacing w:val="0"/>
                <w:sz w:val="16"/>
                <w:szCs w:val="16"/>
                <w:lang w:eastAsia="es-CO"/>
              </w:rPr>
            </w:pPr>
            <w:r w:rsidRPr="00D81BAC">
              <w:rPr>
                <w:rFonts w:ascii="Arial Narrow" w:hAnsi="Arial Narrow" w:cs="Arial"/>
                <w:spacing w:val="0"/>
                <w:sz w:val="16"/>
                <w:szCs w:val="16"/>
                <w:lang w:eastAsia="es-CO"/>
              </w:rPr>
              <w:t>$ 13.572.399.688</w:t>
            </w:r>
          </w:p>
        </w:tc>
      </w:tr>
      <w:tr w:rsidR="00D81BAC" w:rsidRPr="00D81BAC" w14:paraId="35AC0C59" w14:textId="77777777" w:rsidTr="002C6042">
        <w:trPr>
          <w:trHeight w:val="47"/>
          <w:jc w:val="center"/>
        </w:trPr>
        <w:tc>
          <w:tcPr>
            <w:tcW w:w="928" w:type="dxa"/>
            <w:tcBorders>
              <w:top w:val="nil"/>
              <w:left w:val="single" w:sz="4" w:space="0" w:color="auto"/>
              <w:bottom w:val="single" w:sz="4" w:space="0" w:color="auto"/>
              <w:right w:val="single" w:sz="4" w:space="0" w:color="auto"/>
            </w:tcBorders>
            <w:shd w:val="clear" w:color="auto" w:fill="FFFFFF" w:themeFill="background1"/>
            <w:vAlign w:val="center"/>
            <w:hideMark/>
          </w:tcPr>
          <w:p w14:paraId="08310662" w14:textId="77777777" w:rsidR="00DF2A09" w:rsidRPr="00D81BAC" w:rsidRDefault="00DF2A09" w:rsidP="00D22441">
            <w:pPr>
              <w:jc w:val="center"/>
              <w:rPr>
                <w:rFonts w:ascii="Arial Narrow" w:hAnsi="Arial Narrow" w:cs="Arial"/>
                <w:spacing w:val="0"/>
                <w:sz w:val="16"/>
                <w:szCs w:val="16"/>
                <w:lang w:eastAsia="es-CO"/>
              </w:rPr>
            </w:pPr>
            <w:r w:rsidRPr="00D81BAC">
              <w:rPr>
                <w:rFonts w:ascii="Arial Narrow" w:hAnsi="Arial Narrow" w:cs="Arial"/>
                <w:spacing w:val="0"/>
                <w:sz w:val="16"/>
                <w:szCs w:val="16"/>
                <w:lang w:eastAsia="es-CO"/>
              </w:rPr>
              <w:t>Multiservicios</w:t>
            </w:r>
          </w:p>
        </w:tc>
        <w:tc>
          <w:tcPr>
            <w:tcW w:w="702" w:type="dxa"/>
            <w:tcBorders>
              <w:top w:val="nil"/>
              <w:left w:val="nil"/>
              <w:bottom w:val="single" w:sz="4" w:space="0" w:color="auto"/>
              <w:right w:val="single" w:sz="4" w:space="0" w:color="auto"/>
            </w:tcBorders>
            <w:shd w:val="clear" w:color="auto" w:fill="FFFFFF" w:themeFill="background1"/>
            <w:vAlign w:val="center"/>
            <w:hideMark/>
          </w:tcPr>
          <w:p w14:paraId="5BCE8131" w14:textId="77777777" w:rsidR="00DF2A09" w:rsidRPr="00D81BAC" w:rsidRDefault="00DF2A09" w:rsidP="00D22441">
            <w:pPr>
              <w:jc w:val="center"/>
              <w:rPr>
                <w:rFonts w:ascii="Arial Narrow" w:hAnsi="Arial Narrow" w:cs="Arial"/>
                <w:b/>
                <w:bCs/>
                <w:spacing w:val="0"/>
                <w:sz w:val="16"/>
                <w:szCs w:val="16"/>
                <w:lang w:eastAsia="es-CO"/>
              </w:rPr>
            </w:pPr>
            <w:r w:rsidRPr="00D81BAC">
              <w:rPr>
                <w:rFonts w:ascii="Arial Narrow" w:hAnsi="Arial Narrow" w:cs="Arial"/>
                <w:b/>
                <w:bCs/>
                <w:spacing w:val="0"/>
                <w:sz w:val="16"/>
                <w:szCs w:val="16"/>
                <w:lang w:eastAsia="es-CO"/>
              </w:rPr>
              <w:t>9</w:t>
            </w:r>
          </w:p>
        </w:tc>
        <w:tc>
          <w:tcPr>
            <w:tcW w:w="1720" w:type="dxa"/>
            <w:tcBorders>
              <w:top w:val="nil"/>
              <w:left w:val="nil"/>
              <w:bottom w:val="single" w:sz="4" w:space="0" w:color="auto"/>
              <w:right w:val="single" w:sz="4" w:space="0" w:color="auto"/>
            </w:tcBorders>
            <w:shd w:val="clear" w:color="auto" w:fill="FFFFFF" w:themeFill="background1"/>
            <w:noWrap/>
            <w:vAlign w:val="center"/>
            <w:hideMark/>
          </w:tcPr>
          <w:p w14:paraId="1C3F195B" w14:textId="77777777" w:rsidR="00DF2A09" w:rsidRPr="00D81BAC" w:rsidRDefault="00DF2A09" w:rsidP="00D22441">
            <w:pPr>
              <w:jc w:val="right"/>
              <w:rPr>
                <w:rFonts w:ascii="Arial Narrow" w:hAnsi="Arial Narrow" w:cs="Arial"/>
                <w:spacing w:val="0"/>
                <w:sz w:val="16"/>
                <w:szCs w:val="16"/>
                <w:lang w:eastAsia="es-CO"/>
              </w:rPr>
            </w:pPr>
            <w:r w:rsidRPr="00D81BAC">
              <w:rPr>
                <w:rFonts w:ascii="Arial Narrow" w:hAnsi="Arial Narrow" w:cs="Arial"/>
                <w:spacing w:val="0"/>
                <w:sz w:val="16"/>
                <w:szCs w:val="16"/>
                <w:lang w:eastAsia="es-CO"/>
              </w:rPr>
              <w:t>$ 581.628.341.739</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14:paraId="3BBC88C2" w14:textId="77777777" w:rsidR="00DF2A09" w:rsidRPr="00D81BAC" w:rsidRDefault="00DF2A09" w:rsidP="00D22441">
            <w:pPr>
              <w:jc w:val="right"/>
              <w:rPr>
                <w:rFonts w:ascii="Arial Narrow" w:hAnsi="Arial Narrow" w:cs="Arial"/>
                <w:spacing w:val="0"/>
                <w:sz w:val="16"/>
                <w:szCs w:val="16"/>
                <w:lang w:eastAsia="es-CO"/>
              </w:rPr>
            </w:pPr>
            <w:r w:rsidRPr="00D81BAC">
              <w:rPr>
                <w:rFonts w:ascii="Arial Narrow" w:hAnsi="Arial Narrow" w:cs="Arial"/>
                <w:spacing w:val="0"/>
                <w:sz w:val="16"/>
                <w:szCs w:val="16"/>
                <w:lang w:eastAsia="es-CO"/>
              </w:rPr>
              <w:t>$ 55.312.525.123</w:t>
            </w:r>
          </w:p>
        </w:tc>
        <w:tc>
          <w:tcPr>
            <w:tcW w:w="1464" w:type="dxa"/>
            <w:tcBorders>
              <w:top w:val="nil"/>
              <w:left w:val="nil"/>
              <w:bottom w:val="single" w:sz="4" w:space="0" w:color="auto"/>
              <w:right w:val="single" w:sz="4" w:space="0" w:color="auto"/>
            </w:tcBorders>
            <w:shd w:val="clear" w:color="auto" w:fill="FFFFFF" w:themeFill="background1"/>
            <w:noWrap/>
            <w:vAlign w:val="center"/>
            <w:hideMark/>
          </w:tcPr>
          <w:p w14:paraId="4AD74601" w14:textId="77777777" w:rsidR="00DF2A09" w:rsidRPr="00D81BAC" w:rsidRDefault="00DF2A09" w:rsidP="00D22441">
            <w:pPr>
              <w:jc w:val="right"/>
              <w:rPr>
                <w:rFonts w:ascii="Arial Narrow" w:hAnsi="Arial Narrow" w:cs="Arial"/>
                <w:spacing w:val="0"/>
                <w:sz w:val="16"/>
                <w:szCs w:val="16"/>
                <w:lang w:eastAsia="es-CO"/>
              </w:rPr>
            </w:pPr>
            <w:r w:rsidRPr="00D81BAC">
              <w:rPr>
                <w:rFonts w:ascii="Arial Narrow" w:hAnsi="Arial Narrow" w:cs="Arial"/>
                <w:spacing w:val="0"/>
                <w:sz w:val="16"/>
                <w:szCs w:val="16"/>
                <w:lang w:eastAsia="es-CO"/>
              </w:rPr>
              <w:t>$ 636.940.866.862</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3FA571CD" w14:textId="77777777" w:rsidR="00DF2A09" w:rsidRPr="00D81BAC" w:rsidRDefault="00DF2A09" w:rsidP="00D22441">
            <w:pPr>
              <w:jc w:val="right"/>
              <w:rPr>
                <w:rFonts w:ascii="Arial Narrow" w:hAnsi="Arial Narrow" w:cs="Arial"/>
                <w:spacing w:val="0"/>
                <w:sz w:val="16"/>
                <w:szCs w:val="16"/>
                <w:lang w:eastAsia="es-CO"/>
              </w:rPr>
            </w:pPr>
            <w:r w:rsidRPr="00D81BAC">
              <w:rPr>
                <w:rFonts w:ascii="Arial Narrow" w:hAnsi="Arial Narrow" w:cs="Arial"/>
                <w:spacing w:val="0"/>
                <w:sz w:val="16"/>
                <w:szCs w:val="16"/>
                <w:lang w:eastAsia="es-CO"/>
              </w:rPr>
              <w:t>$ 6.369.408.669</w:t>
            </w:r>
          </w:p>
        </w:tc>
        <w:tc>
          <w:tcPr>
            <w:tcW w:w="942" w:type="dxa"/>
            <w:tcBorders>
              <w:top w:val="nil"/>
              <w:left w:val="nil"/>
              <w:bottom w:val="single" w:sz="4" w:space="0" w:color="auto"/>
              <w:right w:val="single" w:sz="4" w:space="0" w:color="auto"/>
            </w:tcBorders>
            <w:shd w:val="clear" w:color="auto" w:fill="FFFFFF" w:themeFill="background1"/>
            <w:noWrap/>
            <w:vAlign w:val="center"/>
            <w:hideMark/>
          </w:tcPr>
          <w:p w14:paraId="490B8C5B" w14:textId="77777777" w:rsidR="00DF2A09" w:rsidRPr="00D81BAC" w:rsidRDefault="00DF2A09" w:rsidP="00D22441">
            <w:pPr>
              <w:jc w:val="right"/>
              <w:rPr>
                <w:rFonts w:ascii="Arial Narrow" w:hAnsi="Arial Narrow" w:cs="Arial"/>
                <w:spacing w:val="0"/>
                <w:sz w:val="16"/>
                <w:szCs w:val="16"/>
                <w:lang w:eastAsia="es-CO"/>
              </w:rPr>
            </w:pPr>
            <w:r w:rsidRPr="00D81BAC">
              <w:rPr>
                <w:rFonts w:ascii="Arial Narrow" w:hAnsi="Arial Narrow" w:cs="Arial"/>
                <w:spacing w:val="0"/>
                <w:sz w:val="16"/>
                <w:szCs w:val="16"/>
                <w:lang w:eastAsia="es-CO"/>
              </w:rPr>
              <w:t>$ 265.073</w:t>
            </w:r>
          </w:p>
        </w:tc>
        <w:tc>
          <w:tcPr>
            <w:tcW w:w="1184" w:type="dxa"/>
            <w:tcBorders>
              <w:top w:val="nil"/>
              <w:left w:val="nil"/>
              <w:bottom w:val="single" w:sz="4" w:space="0" w:color="auto"/>
              <w:right w:val="single" w:sz="4" w:space="0" w:color="auto"/>
            </w:tcBorders>
            <w:shd w:val="clear" w:color="auto" w:fill="FFFFFF" w:themeFill="background1"/>
            <w:noWrap/>
            <w:vAlign w:val="center"/>
            <w:hideMark/>
          </w:tcPr>
          <w:p w14:paraId="5B145274" w14:textId="77777777" w:rsidR="00DF2A09" w:rsidRPr="00D81BAC" w:rsidRDefault="00DF2A09" w:rsidP="00D22441">
            <w:pPr>
              <w:jc w:val="right"/>
              <w:rPr>
                <w:rFonts w:ascii="Arial Narrow" w:hAnsi="Arial Narrow" w:cs="Arial"/>
                <w:spacing w:val="0"/>
                <w:sz w:val="16"/>
                <w:szCs w:val="16"/>
                <w:lang w:eastAsia="es-CO"/>
              </w:rPr>
            </w:pPr>
            <w:r w:rsidRPr="00D81BAC">
              <w:rPr>
                <w:rFonts w:ascii="Arial Narrow" w:hAnsi="Arial Narrow" w:cs="Arial"/>
                <w:spacing w:val="0"/>
                <w:sz w:val="16"/>
                <w:szCs w:val="16"/>
                <w:lang w:eastAsia="es-CO"/>
              </w:rPr>
              <w:t>$ 6.369.673.741</w:t>
            </w:r>
          </w:p>
        </w:tc>
      </w:tr>
      <w:tr w:rsidR="00D81BAC" w:rsidRPr="00D81BAC" w14:paraId="58146FA0" w14:textId="77777777" w:rsidTr="00DF2A09">
        <w:trPr>
          <w:trHeight w:val="255"/>
          <w:jc w:val="center"/>
        </w:trPr>
        <w:tc>
          <w:tcPr>
            <w:tcW w:w="928" w:type="dxa"/>
            <w:tcBorders>
              <w:top w:val="nil"/>
              <w:left w:val="single" w:sz="4" w:space="0" w:color="auto"/>
              <w:bottom w:val="single" w:sz="4" w:space="0" w:color="auto"/>
              <w:right w:val="single" w:sz="4" w:space="0" w:color="auto"/>
            </w:tcBorders>
            <w:shd w:val="clear" w:color="000000" w:fill="FFFFFF"/>
            <w:vAlign w:val="center"/>
            <w:hideMark/>
          </w:tcPr>
          <w:p w14:paraId="246294DD" w14:textId="77777777" w:rsidR="00DF2A09" w:rsidRPr="00D81BAC" w:rsidRDefault="00DF2A09" w:rsidP="00D22441">
            <w:pPr>
              <w:jc w:val="center"/>
              <w:rPr>
                <w:rFonts w:ascii="Arial Narrow" w:hAnsi="Arial Narrow" w:cs="Arial"/>
                <w:b/>
                <w:bCs/>
                <w:spacing w:val="0"/>
                <w:sz w:val="16"/>
                <w:szCs w:val="16"/>
                <w:lang w:eastAsia="es-CO"/>
              </w:rPr>
            </w:pPr>
            <w:r w:rsidRPr="00D81BAC">
              <w:rPr>
                <w:rFonts w:ascii="Arial Narrow" w:hAnsi="Arial Narrow" w:cs="Arial"/>
                <w:b/>
                <w:bCs/>
                <w:spacing w:val="0"/>
                <w:sz w:val="16"/>
                <w:szCs w:val="16"/>
                <w:lang w:eastAsia="es-CO"/>
              </w:rPr>
              <w:t>TOTAL</w:t>
            </w:r>
          </w:p>
        </w:tc>
        <w:tc>
          <w:tcPr>
            <w:tcW w:w="702" w:type="dxa"/>
            <w:tcBorders>
              <w:top w:val="nil"/>
              <w:left w:val="nil"/>
              <w:bottom w:val="single" w:sz="4" w:space="0" w:color="auto"/>
              <w:right w:val="single" w:sz="4" w:space="0" w:color="auto"/>
            </w:tcBorders>
            <w:shd w:val="clear" w:color="000000" w:fill="FFFFFF"/>
            <w:vAlign w:val="center"/>
            <w:hideMark/>
          </w:tcPr>
          <w:p w14:paraId="74F5B6A7" w14:textId="77777777" w:rsidR="00DF2A09" w:rsidRPr="00D81BAC" w:rsidRDefault="00DF2A09" w:rsidP="00D22441">
            <w:pPr>
              <w:jc w:val="center"/>
              <w:rPr>
                <w:rFonts w:ascii="Arial Narrow" w:hAnsi="Arial Narrow" w:cs="Arial"/>
                <w:b/>
                <w:bCs/>
                <w:spacing w:val="0"/>
                <w:sz w:val="16"/>
                <w:szCs w:val="16"/>
                <w:lang w:eastAsia="es-CO"/>
              </w:rPr>
            </w:pPr>
            <w:r w:rsidRPr="00D81BAC">
              <w:rPr>
                <w:rFonts w:ascii="Arial Narrow" w:hAnsi="Arial Narrow" w:cs="Arial"/>
                <w:b/>
                <w:bCs/>
                <w:spacing w:val="0"/>
                <w:sz w:val="16"/>
                <w:szCs w:val="16"/>
                <w:lang w:eastAsia="es-CO"/>
              </w:rPr>
              <w:t>313</w:t>
            </w:r>
          </w:p>
        </w:tc>
        <w:tc>
          <w:tcPr>
            <w:tcW w:w="1720" w:type="dxa"/>
            <w:tcBorders>
              <w:top w:val="nil"/>
              <w:left w:val="nil"/>
              <w:bottom w:val="single" w:sz="4" w:space="0" w:color="auto"/>
              <w:right w:val="single" w:sz="4" w:space="0" w:color="auto"/>
            </w:tcBorders>
            <w:shd w:val="clear" w:color="000000" w:fill="F2F2F2"/>
            <w:noWrap/>
            <w:vAlign w:val="center"/>
            <w:hideMark/>
          </w:tcPr>
          <w:p w14:paraId="116D12BE" w14:textId="77777777" w:rsidR="00DF2A09" w:rsidRPr="00D81BAC" w:rsidRDefault="00DF2A09" w:rsidP="00D22441">
            <w:pPr>
              <w:jc w:val="right"/>
              <w:rPr>
                <w:rFonts w:ascii="Arial Narrow" w:hAnsi="Arial Narrow" w:cs="Arial"/>
                <w:b/>
                <w:bCs/>
                <w:spacing w:val="0"/>
                <w:sz w:val="16"/>
                <w:szCs w:val="16"/>
                <w:lang w:eastAsia="es-CO"/>
              </w:rPr>
            </w:pPr>
            <w:r w:rsidRPr="00D81BAC">
              <w:rPr>
                <w:rFonts w:ascii="Arial Narrow" w:hAnsi="Arial Narrow" w:cs="Arial"/>
                <w:b/>
                <w:bCs/>
                <w:spacing w:val="0"/>
                <w:sz w:val="16"/>
                <w:szCs w:val="16"/>
                <w:lang w:eastAsia="es-CO"/>
              </w:rPr>
              <w:t>$ 3.456.655.093.180</w:t>
            </w:r>
          </w:p>
        </w:tc>
        <w:tc>
          <w:tcPr>
            <w:tcW w:w="1560" w:type="dxa"/>
            <w:tcBorders>
              <w:top w:val="nil"/>
              <w:left w:val="nil"/>
              <w:bottom w:val="single" w:sz="4" w:space="0" w:color="auto"/>
              <w:right w:val="single" w:sz="4" w:space="0" w:color="auto"/>
            </w:tcBorders>
            <w:shd w:val="clear" w:color="000000" w:fill="F2F2F2"/>
            <w:noWrap/>
            <w:vAlign w:val="center"/>
            <w:hideMark/>
          </w:tcPr>
          <w:p w14:paraId="2074B00F" w14:textId="77777777" w:rsidR="00DF2A09" w:rsidRPr="00D81BAC" w:rsidRDefault="00DF2A09" w:rsidP="00D22441">
            <w:pPr>
              <w:jc w:val="right"/>
              <w:rPr>
                <w:rFonts w:ascii="Arial Narrow" w:hAnsi="Arial Narrow" w:cs="Arial"/>
                <w:b/>
                <w:bCs/>
                <w:spacing w:val="0"/>
                <w:sz w:val="16"/>
                <w:szCs w:val="16"/>
                <w:lang w:eastAsia="es-CO"/>
              </w:rPr>
            </w:pPr>
            <w:r w:rsidRPr="00D81BAC">
              <w:rPr>
                <w:rFonts w:ascii="Arial Narrow" w:hAnsi="Arial Narrow" w:cs="Arial"/>
                <w:b/>
                <w:bCs/>
                <w:spacing w:val="0"/>
                <w:sz w:val="16"/>
                <w:szCs w:val="16"/>
                <w:lang w:eastAsia="es-CO"/>
              </w:rPr>
              <w:t>$ 318.224.414.746</w:t>
            </w:r>
          </w:p>
        </w:tc>
        <w:tc>
          <w:tcPr>
            <w:tcW w:w="1464" w:type="dxa"/>
            <w:tcBorders>
              <w:top w:val="nil"/>
              <w:left w:val="nil"/>
              <w:bottom w:val="single" w:sz="4" w:space="0" w:color="auto"/>
              <w:right w:val="single" w:sz="4" w:space="0" w:color="auto"/>
            </w:tcBorders>
            <w:shd w:val="clear" w:color="000000" w:fill="F2F2F2"/>
            <w:noWrap/>
            <w:vAlign w:val="center"/>
            <w:hideMark/>
          </w:tcPr>
          <w:p w14:paraId="3792E94B" w14:textId="77777777" w:rsidR="00DF2A09" w:rsidRPr="00D81BAC" w:rsidRDefault="00DF2A09" w:rsidP="00D22441">
            <w:pPr>
              <w:jc w:val="right"/>
              <w:rPr>
                <w:rFonts w:ascii="Arial Narrow" w:hAnsi="Arial Narrow" w:cs="Arial"/>
                <w:b/>
                <w:bCs/>
                <w:spacing w:val="0"/>
                <w:sz w:val="16"/>
                <w:szCs w:val="16"/>
                <w:lang w:eastAsia="es-CO"/>
              </w:rPr>
            </w:pPr>
            <w:r w:rsidRPr="00D81BAC">
              <w:rPr>
                <w:rFonts w:ascii="Arial Narrow" w:hAnsi="Arial Narrow" w:cs="Arial"/>
                <w:b/>
                <w:bCs/>
                <w:spacing w:val="0"/>
                <w:sz w:val="16"/>
                <w:szCs w:val="16"/>
                <w:lang w:eastAsia="es-CO"/>
              </w:rPr>
              <w:t>$ 3.774.879.507.926</w:t>
            </w:r>
          </w:p>
        </w:tc>
        <w:tc>
          <w:tcPr>
            <w:tcW w:w="1276" w:type="dxa"/>
            <w:tcBorders>
              <w:top w:val="nil"/>
              <w:left w:val="nil"/>
              <w:bottom w:val="single" w:sz="4" w:space="0" w:color="auto"/>
              <w:right w:val="single" w:sz="4" w:space="0" w:color="auto"/>
            </w:tcBorders>
            <w:shd w:val="clear" w:color="000000" w:fill="F2F2F2"/>
            <w:noWrap/>
            <w:vAlign w:val="center"/>
            <w:hideMark/>
          </w:tcPr>
          <w:p w14:paraId="1A0CC4C8" w14:textId="77777777" w:rsidR="00DF2A09" w:rsidRPr="00D81BAC" w:rsidRDefault="00DF2A09" w:rsidP="00D22441">
            <w:pPr>
              <w:jc w:val="right"/>
              <w:rPr>
                <w:rFonts w:ascii="Arial Narrow" w:hAnsi="Arial Narrow" w:cs="Arial"/>
                <w:b/>
                <w:bCs/>
                <w:spacing w:val="0"/>
                <w:sz w:val="16"/>
                <w:szCs w:val="16"/>
                <w:lang w:eastAsia="es-CO"/>
              </w:rPr>
            </w:pPr>
            <w:r w:rsidRPr="00D81BAC">
              <w:rPr>
                <w:rFonts w:ascii="Arial Narrow" w:hAnsi="Arial Narrow" w:cs="Arial"/>
                <w:b/>
                <w:bCs/>
                <w:spacing w:val="0"/>
                <w:sz w:val="16"/>
                <w:szCs w:val="16"/>
                <w:lang w:eastAsia="es-CO"/>
              </w:rPr>
              <w:t>$ 37.748.795.080</w:t>
            </w:r>
          </w:p>
        </w:tc>
        <w:tc>
          <w:tcPr>
            <w:tcW w:w="942" w:type="dxa"/>
            <w:tcBorders>
              <w:top w:val="nil"/>
              <w:left w:val="nil"/>
              <w:bottom w:val="single" w:sz="4" w:space="0" w:color="auto"/>
              <w:right w:val="single" w:sz="4" w:space="0" w:color="auto"/>
            </w:tcBorders>
            <w:shd w:val="clear" w:color="000000" w:fill="F2F2F2"/>
            <w:noWrap/>
            <w:vAlign w:val="center"/>
            <w:hideMark/>
          </w:tcPr>
          <w:p w14:paraId="76E5DAA9" w14:textId="77777777" w:rsidR="00DF2A09" w:rsidRPr="00D81BAC" w:rsidRDefault="00DF2A09" w:rsidP="00D22441">
            <w:pPr>
              <w:jc w:val="right"/>
              <w:rPr>
                <w:rFonts w:ascii="Arial Narrow" w:hAnsi="Arial Narrow" w:cs="Arial"/>
                <w:b/>
                <w:bCs/>
                <w:spacing w:val="0"/>
                <w:sz w:val="16"/>
                <w:szCs w:val="16"/>
                <w:lang w:eastAsia="es-CO"/>
              </w:rPr>
            </w:pPr>
            <w:r w:rsidRPr="00D81BAC">
              <w:rPr>
                <w:rFonts w:ascii="Arial Narrow" w:hAnsi="Arial Narrow" w:cs="Arial"/>
                <w:b/>
                <w:bCs/>
                <w:spacing w:val="0"/>
                <w:sz w:val="16"/>
                <w:szCs w:val="16"/>
                <w:lang w:eastAsia="es-CO"/>
              </w:rPr>
              <w:t>$ 1.570.974</w:t>
            </w:r>
          </w:p>
        </w:tc>
        <w:tc>
          <w:tcPr>
            <w:tcW w:w="1184" w:type="dxa"/>
            <w:tcBorders>
              <w:top w:val="nil"/>
              <w:left w:val="nil"/>
              <w:bottom w:val="single" w:sz="4" w:space="0" w:color="auto"/>
              <w:right w:val="single" w:sz="4" w:space="0" w:color="auto"/>
            </w:tcBorders>
            <w:shd w:val="clear" w:color="000000" w:fill="F2F2F2"/>
            <w:noWrap/>
            <w:vAlign w:val="center"/>
            <w:hideMark/>
          </w:tcPr>
          <w:p w14:paraId="6B027376" w14:textId="77777777" w:rsidR="00DF2A09" w:rsidRPr="00D81BAC" w:rsidRDefault="00DF2A09" w:rsidP="00D22441">
            <w:pPr>
              <w:jc w:val="right"/>
              <w:rPr>
                <w:rFonts w:ascii="Arial Narrow" w:hAnsi="Arial Narrow" w:cs="Arial"/>
                <w:b/>
                <w:bCs/>
                <w:spacing w:val="0"/>
                <w:sz w:val="16"/>
                <w:szCs w:val="16"/>
                <w:lang w:eastAsia="es-CO"/>
              </w:rPr>
            </w:pPr>
            <w:r w:rsidRPr="00D81BAC">
              <w:rPr>
                <w:rFonts w:ascii="Arial Narrow" w:hAnsi="Arial Narrow" w:cs="Arial"/>
                <w:b/>
                <w:bCs/>
                <w:spacing w:val="0"/>
                <w:sz w:val="16"/>
                <w:szCs w:val="16"/>
                <w:lang w:eastAsia="es-CO"/>
              </w:rPr>
              <w:t>$ 37.750.366.055</w:t>
            </w:r>
          </w:p>
        </w:tc>
      </w:tr>
    </w:tbl>
    <w:p w14:paraId="5481E721" w14:textId="77777777" w:rsidR="00DF2A09" w:rsidRDefault="00DF2A09" w:rsidP="00D22441">
      <w:pPr>
        <w:rPr>
          <w:rFonts w:cs="Arial"/>
          <w:sz w:val="22"/>
          <w:szCs w:val="22"/>
        </w:rPr>
      </w:pPr>
    </w:p>
    <w:p w14:paraId="6541AE4F" w14:textId="4AE8BF17" w:rsidR="000C08F0" w:rsidRDefault="000C08F0" w:rsidP="00D22441">
      <w:pPr>
        <w:rPr>
          <w:rFonts w:cs="Arial"/>
          <w:sz w:val="22"/>
          <w:szCs w:val="22"/>
        </w:rPr>
      </w:pPr>
      <w:r>
        <w:rPr>
          <w:rFonts w:cs="Arial"/>
          <w:sz w:val="22"/>
          <w:szCs w:val="22"/>
        </w:rPr>
        <w:t>L</w:t>
      </w:r>
      <w:r w:rsidRPr="00922569">
        <w:rPr>
          <w:rFonts w:cs="Arial"/>
          <w:sz w:val="22"/>
          <w:szCs w:val="22"/>
        </w:rPr>
        <w:t xml:space="preserve">a SSPD </w:t>
      </w:r>
      <w:r w:rsidR="00222367">
        <w:rPr>
          <w:rFonts w:cs="Arial"/>
          <w:sz w:val="22"/>
          <w:szCs w:val="22"/>
        </w:rPr>
        <w:t>señaló</w:t>
      </w:r>
      <w:r w:rsidRPr="00922569">
        <w:rPr>
          <w:rFonts w:cs="Arial"/>
          <w:sz w:val="22"/>
          <w:szCs w:val="22"/>
        </w:rPr>
        <w:t xml:space="preserve"> </w:t>
      </w:r>
      <w:r>
        <w:rPr>
          <w:rFonts w:cs="Arial"/>
          <w:sz w:val="22"/>
          <w:szCs w:val="22"/>
        </w:rPr>
        <w:t>como</w:t>
      </w:r>
      <w:r w:rsidRPr="00922569">
        <w:rPr>
          <w:rFonts w:cs="Arial"/>
          <w:sz w:val="22"/>
          <w:szCs w:val="22"/>
        </w:rPr>
        <w:t xml:space="preserve"> </w:t>
      </w:r>
      <w:r>
        <w:rPr>
          <w:rFonts w:cs="Arial"/>
          <w:sz w:val="22"/>
          <w:szCs w:val="22"/>
        </w:rPr>
        <w:t xml:space="preserve">multiservicios a los </w:t>
      </w:r>
      <w:r w:rsidRPr="00922569">
        <w:rPr>
          <w:rFonts w:cs="Arial"/>
          <w:sz w:val="22"/>
          <w:szCs w:val="22"/>
        </w:rPr>
        <w:t>prestadores de dos o más servicios, que son tanto del ámbito de regulación de la CREG como de la Comisión de Regulación de Agua Potable y Saneamiento Básico (CRA), los cuales son del ámbito de regulación de la CREG.</w:t>
      </w:r>
    </w:p>
    <w:p w14:paraId="13BA1844" w14:textId="77777777" w:rsidR="000C08F0" w:rsidRDefault="000C08F0" w:rsidP="00D22441">
      <w:pPr>
        <w:rPr>
          <w:rFonts w:cs="Arial"/>
          <w:sz w:val="22"/>
          <w:szCs w:val="22"/>
        </w:rPr>
      </w:pPr>
    </w:p>
    <w:p w14:paraId="713BF17A" w14:textId="4126923D" w:rsidR="007F2319" w:rsidRPr="00391CDD" w:rsidRDefault="007F2319" w:rsidP="00D22441">
      <w:pPr>
        <w:pStyle w:val="Ttulo10"/>
        <w:numPr>
          <w:ilvl w:val="0"/>
          <w:numId w:val="37"/>
        </w:numPr>
        <w:spacing w:before="0" w:after="0"/>
        <w:rPr>
          <w:sz w:val="22"/>
          <w:szCs w:val="22"/>
        </w:rPr>
      </w:pPr>
      <w:bookmarkStart w:id="100" w:name="_Toc147154338"/>
      <w:r w:rsidRPr="00391CDD">
        <w:rPr>
          <w:sz w:val="22"/>
          <w:szCs w:val="22"/>
        </w:rPr>
        <w:t>B</w:t>
      </w:r>
      <w:r w:rsidR="0036083C" w:rsidRPr="00391CDD">
        <w:rPr>
          <w:sz w:val="22"/>
          <w:szCs w:val="22"/>
        </w:rPr>
        <w:t xml:space="preserve">ASE </w:t>
      </w:r>
      <w:r w:rsidR="00E23AF2" w:rsidRPr="00391CDD">
        <w:rPr>
          <w:sz w:val="22"/>
          <w:szCs w:val="22"/>
        </w:rPr>
        <w:t xml:space="preserve">GRAVABLE </w:t>
      </w:r>
      <w:r w:rsidR="004217E9" w:rsidRPr="00391CDD">
        <w:rPr>
          <w:sz w:val="22"/>
          <w:szCs w:val="22"/>
        </w:rPr>
        <w:t xml:space="preserve">Y </w:t>
      </w:r>
      <w:r w:rsidRPr="00391CDD">
        <w:rPr>
          <w:sz w:val="22"/>
          <w:szCs w:val="22"/>
        </w:rPr>
        <w:t xml:space="preserve">CONTRIBUCIÓN ESPECIAL AÑO </w:t>
      </w:r>
      <w:r w:rsidR="00BD4E53" w:rsidRPr="00391CDD">
        <w:rPr>
          <w:sz w:val="22"/>
          <w:szCs w:val="22"/>
        </w:rPr>
        <w:t>20</w:t>
      </w:r>
      <w:r w:rsidR="00446E1E" w:rsidRPr="00391CDD">
        <w:rPr>
          <w:sz w:val="22"/>
          <w:szCs w:val="22"/>
        </w:rPr>
        <w:t>2</w:t>
      </w:r>
      <w:r w:rsidR="00105473" w:rsidRPr="00391CDD">
        <w:rPr>
          <w:sz w:val="22"/>
          <w:szCs w:val="22"/>
        </w:rPr>
        <w:t>3</w:t>
      </w:r>
      <w:r w:rsidR="00C447D2">
        <w:rPr>
          <w:sz w:val="22"/>
          <w:szCs w:val="22"/>
        </w:rPr>
        <w:t>.</w:t>
      </w:r>
      <w:bookmarkEnd w:id="100"/>
    </w:p>
    <w:p w14:paraId="08B27D37" w14:textId="77777777" w:rsidR="00E23AF2" w:rsidRDefault="00E23AF2" w:rsidP="00D22441">
      <w:pPr>
        <w:rPr>
          <w:rFonts w:cs="Arial"/>
          <w:sz w:val="22"/>
          <w:szCs w:val="22"/>
        </w:rPr>
      </w:pPr>
    </w:p>
    <w:p w14:paraId="53822965" w14:textId="5C7AD0C9" w:rsidR="00585A76" w:rsidRDefault="00585A76" w:rsidP="00D22441">
      <w:pPr>
        <w:rPr>
          <w:rFonts w:cs="Arial"/>
          <w:sz w:val="22"/>
          <w:szCs w:val="22"/>
        </w:rPr>
      </w:pPr>
      <w:r>
        <w:rPr>
          <w:rFonts w:cs="Arial"/>
          <w:sz w:val="22"/>
          <w:szCs w:val="22"/>
        </w:rPr>
        <w:t xml:space="preserve">Se relacionan por </w:t>
      </w:r>
      <w:r w:rsidR="00507C6F">
        <w:rPr>
          <w:rFonts w:cs="Arial"/>
          <w:sz w:val="22"/>
          <w:szCs w:val="22"/>
        </w:rPr>
        <w:t xml:space="preserve">cada </w:t>
      </w:r>
      <w:r w:rsidR="00AB45C1">
        <w:rPr>
          <w:rFonts w:cs="Arial"/>
          <w:sz w:val="22"/>
          <w:szCs w:val="22"/>
        </w:rPr>
        <w:t>servicio prestado</w:t>
      </w:r>
      <w:r>
        <w:rPr>
          <w:rFonts w:cs="Arial"/>
          <w:sz w:val="22"/>
          <w:szCs w:val="22"/>
        </w:rPr>
        <w:t xml:space="preserve"> la contribución especial para </w:t>
      </w:r>
      <w:r w:rsidR="00640777">
        <w:rPr>
          <w:rFonts w:cs="Arial"/>
          <w:sz w:val="22"/>
          <w:szCs w:val="22"/>
        </w:rPr>
        <w:t xml:space="preserve">la vigencia 2023, </w:t>
      </w:r>
      <w:r w:rsidR="00AB45C1">
        <w:rPr>
          <w:rFonts w:cs="Arial"/>
          <w:sz w:val="22"/>
          <w:szCs w:val="22"/>
        </w:rPr>
        <w:t xml:space="preserve">por </w:t>
      </w:r>
      <w:r>
        <w:rPr>
          <w:rFonts w:cs="Arial"/>
          <w:sz w:val="22"/>
          <w:szCs w:val="22"/>
        </w:rPr>
        <w:t>cada uno de los regulados</w:t>
      </w:r>
      <w:r w:rsidR="00AB45C1">
        <w:rPr>
          <w:rFonts w:cs="Arial"/>
          <w:sz w:val="22"/>
          <w:szCs w:val="22"/>
        </w:rPr>
        <w:t xml:space="preserve"> contribuyentes,</w:t>
      </w:r>
      <w:r>
        <w:rPr>
          <w:rFonts w:cs="Arial"/>
          <w:sz w:val="22"/>
          <w:szCs w:val="22"/>
        </w:rPr>
        <w:t xml:space="preserve"> la base gravable</w:t>
      </w:r>
      <w:r w:rsidR="000C0A64">
        <w:rPr>
          <w:rFonts w:cs="Arial"/>
          <w:sz w:val="22"/>
          <w:szCs w:val="22"/>
        </w:rPr>
        <w:t xml:space="preserve"> incluye los gastos de funcionamiento (</w:t>
      </w:r>
      <w:r>
        <w:rPr>
          <w:rFonts w:cs="Arial"/>
          <w:sz w:val="22"/>
          <w:szCs w:val="22"/>
        </w:rPr>
        <w:t>gastos administrativos</w:t>
      </w:r>
      <w:r w:rsidR="000C0A64">
        <w:rPr>
          <w:rFonts w:cs="Arial"/>
          <w:sz w:val="22"/>
          <w:szCs w:val="22"/>
        </w:rPr>
        <w:t>)</w:t>
      </w:r>
      <w:r>
        <w:rPr>
          <w:rFonts w:cs="Arial"/>
          <w:sz w:val="22"/>
          <w:szCs w:val="22"/>
        </w:rPr>
        <w:t xml:space="preserve"> </w:t>
      </w:r>
      <w:r w:rsidR="00AB45C1">
        <w:rPr>
          <w:rFonts w:cs="Arial"/>
          <w:sz w:val="22"/>
          <w:szCs w:val="22"/>
        </w:rPr>
        <w:t xml:space="preserve">depurados </w:t>
      </w:r>
      <w:r>
        <w:rPr>
          <w:rFonts w:cs="Arial"/>
          <w:sz w:val="22"/>
          <w:szCs w:val="22"/>
        </w:rPr>
        <w:t xml:space="preserve">y la porción de base gravable de gastos operativos </w:t>
      </w:r>
      <w:r w:rsidR="000C0A64">
        <w:rPr>
          <w:rFonts w:cs="Arial"/>
          <w:sz w:val="22"/>
          <w:szCs w:val="22"/>
        </w:rPr>
        <w:t xml:space="preserve">indispensables </w:t>
      </w:r>
      <w:r>
        <w:rPr>
          <w:rFonts w:cs="Arial"/>
          <w:sz w:val="22"/>
          <w:szCs w:val="22"/>
        </w:rPr>
        <w:t>para cubrir el faltante presupuestal</w:t>
      </w:r>
      <w:r w:rsidR="000C0A64">
        <w:rPr>
          <w:rFonts w:cs="Arial"/>
          <w:sz w:val="22"/>
          <w:szCs w:val="22"/>
        </w:rPr>
        <w:t xml:space="preserve">, </w:t>
      </w:r>
      <w:r>
        <w:rPr>
          <w:rFonts w:cs="Arial"/>
          <w:sz w:val="22"/>
          <w:szCs w:val="22"/>
        </w:rPr>
        <w:t>con el fin de financiar el presupuesto de la CREG para la vigencia 20</w:t>
      </w:r>
      <w:r w:rsidR="000C0A64">
        <w:rPr>
          <w:rFonts w:cs="Arial"/>
          <w:sz w:val="22"/>
          <w:szCs w:val="22"/>
        </w:rPr>
        <w:t>2</w:t>
      </w:r>
      <w:r w:rsidR="00CC58E8">
        <w:rPr>
          <w:rFonts w:cs="Arial"/>
          <w:sz w:val="22"/>
          <w:szCs w:val="22"/>
        </w:rPr>
        <w:t>3</w:t>
      </w:r>
      <w:r>
        <w:rPr>
          <w:rFonts w:cs="Arial"/>
          <w:sz w:val="22"/>
          <w:szCs w:val="22"/>
        </w:rPr>
        <w:t xml:space="preserve"> </w:t>
      </w:r>
      <w:r w:rsidR="00353349">
        <w:rPr>
          <w:rFonts w:cs="Arial"/>
          <w:sz w:val="22"/>
          <w:szCs w:val="22"/>
        </w:rPr>
        <w:t xml:space="preserve">a través de la contribución especial </w:t>
      </w:r>
      <w:r w:rsidR="00CC58E8">
        <w:rPr>
          <w:rFonts w:cs="Arial"/>
          <w:sz w:val="22"/>
          <w:szCs w:val="22"/>
        </w:rPr>
        <w:t xml:space="preserve">de regulación </w:t>
      </w:r>
      <w:r>
        <w:rPr>
          <w:rFonts w:cs="Arial"/>
          <w:sz w:val="22"/>
          <w:szCs w:val="22"/>
        </w:rPr>
        <w:t>por</w:t>
      </w:r>
      <w:r w:rsidR="000C0A64">
        <w:rPr>
          <w:rFonts w:cs="Arial"/>
          <w:sz w:val="22"/>
          <w:szCs w:val="22"/>
        </w:rPr>
        <w:t xml:space="preserve"> la suma de</w:t>
      </w:r>
      <w:r w:rsidR="00507C6F" w:rsidRPr="001459B2">
        <w:rPr>
          <w:rFonts w:cs="Arial"/>
          <w:sz w:val="22"/>
          <w:szCs w:val="22"/>
        </w:rPr>
        <w:t xml:space="preserve"> </w:t>
      </w:r>
      <w:r w:rsidR="000C0A64" w:rsidRPr="001459B2">
        <w:rPr>
          <w:rFonts w:cs="Arial"/>
          <w:sz w:val="22"/>
          <w:szCs w:val="22"/>
        </w:rPr>
        <w:t xml:space="preserve">TREINTA </w:t>
      </w:r>
      <w:r w:rsidR="008C3A62" w:rsidRPr="001459B2">
        <w:rPr>
          <w:rFonts w:cs="Arial"/>
          <w:sz w:val="22"/>
          <w:szCs w:val="22"/>
        </w:rPr>
        <w:t>Y SIETE</w:t>
      </w:r>
      <w:r w:rsidR="000C0A64" w:rsidRPr="001459B2">
        <w:rPr>
          <w:rFonts w:cs="Arial"/>
          <w:sz w:val="22"/>
          <w:szCs w:val="22"/>
        </w:rPr>
        <w:t xml:space="preserve"> MIL </w:t>
      </w:r>
      <w:r w:rsidR="008C3A62" w:rsidRPr="001459B2">
        <w:rPr>
          <w:rFonts w:cs="Arial"/>
          <w:sz w:val="22"/>
          <w:szCs w:val="22"/>
        </w:rPr>
        <w:t>SETECIENTOS CINCUENTA</w:t>
      </w:r>
      <w:r w:rsidR="000C0A64" w:rsidRPr="001459B2">
        <w:rPr>
          <w:rFonts w:cs="Arial"/>
          <w:sz w:val="22"/>
          <w:szCs w:val="22"/>
        </w:rPr>
        <w:t xml:space="preserve"> MILLONES </w:t>
      </w:r>
      <w:r w:rsidR="00BB12A0" w:rsidRPr="001459B2">
        <w:rPr>
          <w:rFonts w:cs="Arial"/>
          <w:sz w:val="22"/>
          <w:szCs w:val="22"/>
        </w:rPr>
        <w:t>TRESCIENTOS SESENTA Y SEIS</w:t>
      </w:r>
      <w:r w:rsidR="000C0A64" w:rsidRPr="001459B2">
        <w:rPr>
          <w:rFonts w:cs="Arial"/>
          <w:sz w:val="22"/>
          <w:szCs w:val="22"/>
        </w:rPr>
        <w:t xml:space="preserve"> MIL </w:t>
      </w:r>
      <w:r w:rsidR="00BB12A0" w:rsidRPr="001459B2">
        <w:rPr>
          <w:rFonts w:cs="Arial"/>
          <w:sz w:val="22"/>
          <w:szCs w:val="22"/>
        </w:rPr>
        <w:t>CINCUENTA Y CINCO</w:t>
      </w:r>
      <w:r w:rsidR="000C0A64" w:rsidRPr="001459B2">
        <w:rPr>
          <w:rFonts w:cs="Arial"/>
          <w:sz w:val="22"/>
          <w:szCs w:val="22"/>
        </w:rPr>
        <w:t xml:space="preserve"> PESOS M/CTE CON 00/100 CTVOS. ($</w:t>
      </w:r>
      <w:r w:rsidR="008C3A62" w:rsidRPr="001459B2">
        <w:rPr>
          <w:rFonts w:cs="Arial"/>
          <w:sz w:val="22"/>
          <w:szCs w:val="22"/>
        </w:rPr>
        <w:t>37.750.366.055</w:t>
      </w:r>
      <w:r w:rsidR="00801382" w:rsidRPr="001459B2">
        <w:rPr>
          <w:rFonts w:cs="Arial"/>
          <w:sz w:val="22"/>
          <w:szCs w:val="22"/>
        </w:rPr>
        <w:t>,</w:t>
      </w:r>
      <w:r w:rsidR="000C0A64" w:rsidRPr="001459B2">
        <w:rPr>
          <w:rFonts w:cs="Arial"/>
          <w:sz w:val="22"/>
          <w:szCs w:val="22"/>
        </w:rPr>
        <w:t>00)</w:t>
      </w:r>
      <w:r w:rsidR="00471213" w:rsidRPr="001459B2">
        <w:rPr>
          <w:rFonts w:cs="Arial"/>
          <w:sz w:val="22"/>
          <w:szCs w:val="22"/>
        </w:rPr>
        <w:t>.</w:t>
      </w:r>
      <w:r w:rsidR="00D615C4">
        <w:rPr>
          <w:rFonts w:cs="Arial"/>
          <w:sz w:val="22"/>
          <w:szCs w:val="22"/>
        </w:rPr>
        <w:t xml:space="preserve"> </w:t>
      </w:r>
      <w:r w:rsidR="00471213">
        <w:rPr>
          <w:rFonts w:cs="Arial"/>
          <w:sz w:val="22"/>
          <w:szCs w:val="22"/>
        </w:rPr>
        <w:t>A continuación, se relacionan las contribuciones</w:t>
      </w:r>
      <w:r w:rsidR="00626C3F">
        <w:rPr>
          <w:rFonts w:cs="Arial"/>
          <w:sz w:val="22"/>
          <w:szCs w:val="22"/>
        </w:rPr>
        <w:t xml:space="preserve"> especiales para la vigencia 2023</w:t>
      </w:r>
      <w:r w:rsidR="00471213">
        <w:rPr>
          <w:rFonts w:cs="Arial"/>
          <w:sz w:val="22"/>
          <w:szCs w:val="22"/>
        </w:rPr>
        <w:t xml:space="preserve"> que deben pagar </w:t>
      </w:r>
      <w:r w:rsidR="00640777">
        <w:rPr>
          <w:rFonts w:cs="Arial"/>
          <w:sz w:val="22"/>
          <w:szCs w:val="22"/>
        </w:rPr>
        <w:t>las</w:t>
      </w:r>
      <w:r w:rsidR="00471213">
        <w:rPr>
          <w:rFonts w:cs="Arial"/>
          <w:sz w:val="22"/>
          <w:szCs w:val="22"/>
        </w:rPr>
        <w:t xml:space="preserve"> reguladas clasificadas por servicio</w:t>
      </w:r>
      <w:r w:rsidR="00640777">
        <w:rPr>
          <w:rFonts w:cs="Arial"/>
          <w:sz w:val="22"/>
          <w:szCs w:val="22"/>
        </w:rPr>
        <w:t>, así</w:t>
      </w:r>
      <w:r w:rsidR="00471213">
        <w:rPr>
          <w:rFonts w:cs="Arial"/>
          <w:sz w:val="22"/>
          <w:szCs w:val="22"/>
        </w:rPr>
        <w:t>: (i) energía, (</w:t>
      </w:r>
      <w:proofErr w:type="spellStart"/>
      <w:r w:rsidR="00471213">
        <w:rPr>
          <w:rFonts w:cs="Arial"/>
          <w:sz w:val="22"/>
          <w:szCs w:val="22"/>
        </w:rPr>
        <w:t>ii</w:t>
      </w:r>
      <w:proofErr w:type="spellEnd"/>
      <w:r w:rsidR="00471213">
        <w:rPr>
          <w:rFonts w:cs="Arial"/>
          <w:sz w:val="22"/>
          <w:szCs w:val="22"/>
        </w:rPr>
        <w:t xml:space="preserve">) </w:t>
      </w:r>
      <w:r w:rsidR="00DF6800">
        <w:rPr>
          <w:rFonts w:cs="Arial"/>
          <w:sz w:val="22"/>
          <w:szCs w:val="22"/>
        </w:rPr>
        <w:t>energía – gas</w:t>
      </w:r>
      <w:r w:rsidR="0053003D">
        <w:rPr>
          <w:rFonts w:cs="Arial"/>
          <w:sz w:val="22"/>
          <w:szCs w:val="22"/>
        </w:rPr>
        <w:t xml:space="preserve">, </w:t>
      </w:r>
      <w:r w:rsidR="00471213">
        <w:rPr>
          <w:rFonts w:cs="Arial"/>
          <w:sz w:val="22"/>
          <w:szCs w:val="22"/>
        </w:rPr>
        <w:t>(</w:t>
      </w:r>
      <w:proofErr w:type="spellStart"/>
      <w:r w:rsidR="00471213">
        <w:rPr>
          <w:rFonts w:cs="Arial"/>
          <w:sz w:val="22"/>
          <w:szCs w:val="22"/>
        </w:rPr>
        <w:t>iii</w:t>
      </w:r>
      <w:proofErr w:type="spellEnd"/>
      <w:r w:rsidR="00471213">
        <w:rPr>
          <w:rFonts w:cs="Arial"/>
          <w:sz w:val="22"/>
          <w:szCs w:val="22"/>
        </w:rPr>
        <w:t>) GLP</w:t>
      </w:r>
      <w:r w:rsidR="00DF6800">
        <w:rPr>
          <w:rFonts w:cs="Arial"/>
          <w:sz w:val="22"/>
          <w:szCs w:val="22"/>
        </w:rPr>
        <w:t xml:space="preserve"> – gas por redes</w:t>
      </w:r>
      <w:r w:rsidR="00570A42">
        <w:rPr>
          <w:rFonts w:cs="Arial"/>
          <w:sz w:val="22"/>
          <w:szCs w:val="22"/>
        </w:rPr>
        <w:t>,</w:t>
      </w:r>
      <w:r w:rsidR="0053003D">
        <w:rPr>
          <w:rFonts w:cs="Arial"/>
          <w:sz w:val="22"/>
          <w:szCs w:val="22"/>
        </w:rPr>
        <w:t xml:space="preserve"> </w:t>
      </w:r>
      <w:r w:rsidR="00DF6800">
        <w:rPr>
          <w:rFonts w:cs="Arial"/>
          <w:sz w:val="22"/>
          <w:szCs w:val="22"/>
        </w:rPr>
        <w:t xml:space="preserve">y </w:t>
      </w:r>
      <w:r w:rsidR="0053003D">
        <w:rPr>
          <w:rFonts w:cs="Arial"/>
          <w:sz w:val="22"/>
          <w:szCs w:val="22"/>
        </w:rPr>
        <w:t>(</w:t>
      </w:r>
      <w:proofErr w:type="spellStart"/>
      <w:r w:rsidR="0053003D">
        <w:rPr>
          <w:rFonts w:cs="Arial"/>
          <w:sz w:val="22"/>
          <w:szCs w:val="22"/>
        </w:rPr>
        <w:t>iv</w:t>
      </w:r>
      <w:proofErr w:type="spellEnd"/>
      <w:r w:rsidR="0053003D">
        <w:rPr>
          <w:rFonts w:cs="Arial"/>
          <w:sz w:val="22"/>
          <w:szCs w:val="22"/>
        </w:rPr>
        <w:t xml:space="preserve">) </w:t>
      </w:r>
      <w:r w:rsidR="00570A42">
        <w:rPr>
          <w:rFonts w:cs="Arial"/>
          <w:sz w:val="22"/>
          <w:szCs w:val="22"/>
        </w:rPr>
        <w:t>Multiservicios</w:t>
      </w:r>
      <w:r w:rsidR="00DF6800">
        <w:rPr>
          <w:rFonts w:cs="Arial"/>
          <w:sz w:val="22"/>
          <w:szCs w:val="22"/>
        </w:rPr>
        <w:t>.</w:t>
      </w:r>
      <w:r w:rsidR="00871526">
        <w:rPr>
          <w:rFonts w:cs="Arial"/>
          <w:sz w:val="22"/>
          <w:szCs w:val="22"/>
        </w:rPr>
        <w:t xml:space="preserve"> </w:t>
      </w:r>
    </w:p>
    <w:p w14:paraId="5574D2F1" w14:textId="19E6E23D" w:rsidR="00AC602E" w:rsidRDefault="00AC602E" w:rsidP="00D22441">
      <w:pPr>
        <w:jc w:val="left"/>
        <w:rPr>
          <w:rFonts w:cs="Arial"/>
          <w:sz w:val="22"/>
          <w:szCs w:val="22"/>
        </w:rPr>
        <w:sectPr w:rsidR="00AC602E" w:rsidSect="00867F11">
          <w:headerReference w:type="first" r:id="rId24"/>
          <w:pgSz w:w="12242" w:h="15842" w:code="1"/>
          <w:pgMar w:top="1701" w:right="1418" w:bottom="1418" w:left="1418" w:header="709" w:footer="862" w:gutter="0"/>
          <w:cols w:space="720"/>
          <w:titlePg/>
          <w:docGrid w:linePitch="272"/>
        </w:sectPr>
      </w:pPr>
    </w:p>
    <w:p w14:paraId="7A02F200" w14:textId="7FC508E5" w:rsidR="0065697C" w:rsidRPr="00767202" w:rsidRDefault="0065697C" w:rsidP="00D22441">
      <w:pPr>
        <w:pStyle w:val="Subttulo"/>
        <w:numPr>
          <w:ilvl w:val="1"/>
          <w:numId w:val="37"/>
        </w:numPr>
        <w:spacing w:after="0"/>
        <w:ind w:left="357" w:hanging="357"/>
        <w:jc w:val="left"/>
        <w:rPr>
          <w:b/>
          <w:bCs/>
          <w:sz w:val="22"/>
          <w:szCs w:val="22"/>
        </w:rPr>
      </w:pPr>
      <w:bookmarkStart w:id="101" w:name="_Toc147154339"/>
      <w:r>
        <w:rPr>
          <w:b/>
          <w:bCs/>
          <w:sz w:val="22"/>
          <w:szCs w:val="22"/>
        </w:rPr>
        <w:lastRenderedPageBreak/>
        <w:t>CONSOLIDADO GENERAL CONTRIBUCIÓN 2023</w:t>
      </w:r>
      <w:r w:rsidR="00C447D2">
        <w:rPr>
          <w:b/>
          <w:bCs/>
          <w:sz w:val="22"/>
          <w:szCs w:val="22"/>
        </w:rPr>
        <w:t>.</w:t>
      </w:r>
      <w:bookmarkEnd w:id="101"/>
    </w:p>
    <w:p w14:paraId="5E0AE5EE" w14:textId="77777777" w:rsidR="0065697C" w:rsidRDefault="0065697C" w:rsidP="00D22441">
      <w:pPr>
        <w:jc w:val="left"/>
        <w:rPr>
          <w:sz w:val="22"/>
          <w:szCs w:val="22"/>
        </w:rPr>
      </w:pPr>
    </w:p>
    <w:p w14:paraId="76DFBB0C" w14:textId="7DBBD560" w:rsidR="00C4008C" w:rsidRDefault="0065697C" w:rsidP="00D22441">
      <w:pPr>
        <w:jc w:val="left"/>
        <w:rPr>
          <w:sz w:val="22"/>
          <w:szCs w:val="22"/>
        </w:rPr>
      </w:pPr>
      <w:r>
        <w:rPr>
          <w:sz w:val="22"/>
          <w:szCs w:val="22"/>
        </w:rPr>
        <w:t xml:space="preserve">A continuación, se relaciona el consolidado general de los </w:t>
      </w:r>
      <w:r w:rsidR="00382869">
        <w:rPr>
          <w:sz w:val="22"/>
          <w:szCs w:val="22"/>
        </w:rPr>
        <w:t xml:space="preserve">313 </w:t>
      </w:r>
      <w:r>
        <w:rPr>
          <w:sz w:val="22"/>
          <w:szCs w:val="22"/>
        </w:rPr>
        <w:t>regulados</w:t>
      </w:r>
      <w:r w:rsidR="00B07312">
        <w:rPr>
          <w:sz w:val="22"/>
          <w:szCs w:val="22"/>
        </w:rPr>
        <w:t>, que son</w:t>
      </w:r>
      <w:r>
        <w:rPr>
          <w:sz w:val="22"/>
          <w:szCs w:val="22"/>
        </w:rPr>
        <w:t xml:space="preserve"> sujetos pasivos de la contribución especial 2023</w:t>
      </w:r>
      <w:r w:rsidR="00382869">
        <w:rPr>
          <w:sz w:val="22"/>
          <w:szCs w:val="22"/>
        </w:rPr>
        <w:t xml:space="preserve"> con corte al 12 de julio de 2023</w:t>
      </w:r>
      <w:r w:rsidR="008071F0">
        <w:rPr>
          <w:sz w:val="22"/>
          <w:szCs w:val="22"/>
        </w:rPr>
        <w:t>, ordenados por su número de NIT</w:t>
      </w:r>
      <w:r>
        <w:rPr>
          <w:sz w:val="22"/>
          <w:szCs w:val="22"/>
        </w:rPr>
        <w:t>:</w:t>
      </w:r>
    </w:p>
    <w:p w14:paraId="544D8690" w14:textId="77777777" w:rsidR="00C4008C" w:rsidRDefault="00C4008C" w:rsidP="00D22441">
      <w:pPr>
        <w:jc w:val="left"/>
        <w:rPr>
          <w:sz w:val="22"/>
          <w:szCs w:val="22"/>
        </w:rPr>
      </w:pPr>
    </w:p>
    <w:p w14:paraId="7FAE8E09" w14:textId="65135D35" w:rsidR="007D7F49" w:rsidRPr="00622C5C" w:rsidRDefault="00C4008C" w:rsidP="00622C5C">
      <w:pPr>
        <w:pStyle w:val="Descripcin"/>
        <w:rPr>
          <w:rFonts w:cs="Arial"/>
          <w:sz w:val="22"/>
          <w:szCs w:val="22"/>
        </w:rPr>
      </w:pPr>
      <w:bookmarkStart w:id="102" w:name="_Toc145486449"/>
      <w:r w:rsidRPr="002C4392">
        <w:rPr>
          <w:i w:val="0"/>
          <w:iCs w:val="0"/>
          <w:color w:val="auto"/>
        </w:rPr>
        <w:t xml:space="preserve">Tabla </w:t>
      </w:r>
      <w:r w:rsidRPr="002C4392">
        <w:rPr>
          <w:i w:val="0"/>
          <w:iCs w:val="0"/>
          <w:color w:val="auto"/>
        </w:rPr>
        <w:fldChar w:fldCharType="begin"/>
      </w:r>
      <w:r w:rsidRPr="002C4392">
        <w:rPr>
          <w:i w:val="0"/>
          <w:iCs w:val="0"/>
          <w:color w:val="auto"/>
        </w:rPr>
        <w:instrText xml:space="preserve"> SEQ Tabla \* ARABIC </w:instrText>
      </w:r>
      <w:r w:rsidRPr="002C4392">
        <w:rPr>
          <w:i w:val="0"/>
          <w:iCs w:val="0"/>
          <w:color w:val="auto"/>
        </w:rPr>
        <w:fldChar w:fldCharType="separate"/>
      </w:r>
      <w:r w:rsidR="00622C5C">
        <w:rPr>
          <w:i w:val="0"/>
          <w:iCs w:val="0"/>
          <w:noProof/>
          <w:color w:val="auto"/>
        </w:rPr>
        <w:t>23</w:t>
      </w:r>
      <w:r w:rsidRPr="002C4392">
        <w:rPr>
          <w:i w:val="0"/>
          <w:iCs w:val="0"/>
          <w:color w:val="auto"/>
        </w:rPr>
        <w:fldChar w:fldCharType="end"/>
      </w:r>
      <w:r w:rsidRPr="002C4392">
        <w:rPr>
          <w:i w:val="0"/>
          <w:iCs w:val="0"/>
          <w:color w:val="auto"/>
        </w:rPr>
        <w:t xml:space="preserve">. </w:t>
      </w:r>
      <w:r>
        <w:rPr>
          <w:i w:val="0"/>
          <w:iCs w:val="0"/>
          <w:color w:val="auto"/>
        </w:rPr>
        <w:t xml:space="preserve">Consolidado </w:t>
      </w:r>
      <w:r w:rsidR="00622C5C">
        <w:rPr>
          <w:i w:val="0"/>
          <w:iCs w:val="0"/>
          <w:color w:val="auto"/>
        </w:rPr>
        <w:t xml:space="preserve">general de </w:t>
      </w:r>
      <w:r>
        <w:rPr>
          <w:i w:val="0"/>
          <w:iCs w:val="0"/>
          <w:color w:val="auto"/>
        </w:rPr>
        <w:t>regulados contribuyentes contribución especial 2023.</w:t>
      </w:r>
      <w:bookmarkEnd w:id="102"/>
    </w:p>
    <w:tbl>
      <w:tblPr>
        <w:tblW w:w="14040" w:type="dxa"/>
        <w:jc w:val="center"/>
        <w:tblCellMar>
          <w:left w:w="70" w:type="dxa"/>
          <w:right w:w="70" w:type="dxa"/>
        </w:tblCellMar>
        <w:tblLook w:val="04A0" w:firstRow="1" w:lastRow="0" w:firstColumn="1" w:lastColumn="0" w:noHBand="0" w:noVBand="1"/>
      </w:tblPr>
      <w:tblGrid>
        <w:gridCol w:w="400"/>
        <w:gridCol w:w="560"/>
        <w:gridCol w:w="920"/>
        <w:gridCol w:w="2180"/>
        <w:gridCol w:w="1520"/>
        <w:gridCol w:w="1440"/>
        <w:gridCol w:w="1460"/>
        <w:gridCol w:w="1260"/>
        <w:gridCol w:w="1120"/>
        <w:gridCol w:w="1260"/>
        <w:gridCol w:w="1920"/>
      </w:tblGrid>
      <w:tr w:rsidR="00D705A6" w:rsidRPr="002E0BB9" w14:paraId="09D54585" w14:textId="77777777" w:rsidTr="007D1249">
        <w:trPr>
          <w:trHeight w:val="840"/>
          <w:tblHeader/>
          <w:jc w:val="center"/>
        </w:trPr>
        <w:tc>
          <w:tcPr>
            <w:tcW w:w="40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761B1DD" w14:textId="77777777" w:rsidR="00D705A6" w:rsidRPr="002E0BB9" w:rsidRDefault="00D705A6" w:rsidP="00D22441">
            <w:pPr>
              <w:jc w:val="center"/>
              <w:rPr>
                <w:rFonts w:ascii="Arial Narrow" w:hAnsi="Arial Narrow" w:cs="Arial"/>
                <w:b/>
                <w:bCs/>
                <w:color w:val="000000"/>
                <w:spacing w:val="0"/>
                <w:sz w:val="16"/>
                <w:szCs w:val="16"/>
                <w:lang w:val="es-MX" w:eastAsia="es-MX"/>
              </w:rPr>
            </w:pPr>
            <w:r w:rsidRPr="002E0BB9">
              <w:rPr>
                <w:rFonts w:ascii="Arial Narrow" w:hAnsi="Arial Narrow" w:cs="Arial"/>
                <w:b/>
                <w:bCs/>
                <w:color w:val="000000"/>
                <w:spacing w:val="0"/>
                <w:sz w:val="16"/>
                <w:szCs w:val="16"/>
                <w:lang w:val="en-US" w:eastAsia="es-MX"/>
              </w:rPr>
              <w:t>N°</w:t>
            </w:r>
          </w:p>
        </w:tc>
        <w:tc>
          <w:tcPr>
            <w:tcW w:w="560" w:type="dxa"/>
            <w:tcBorders>
              <w:top w:val="single" w:sz="4" w:space="0" w:color="auto"/>
              <w:left w:val="nil"/>
              <w:bottom w:val="single" w:sz="4" w:space="0" w:color="auto"/>
              <w:right w:val="single" w:sz="4" w:space="0" w:color="auto"/>
            </w:tcBorders>
            <w:shd w:val="clear" w:color="000000" w:fill="D9D9D9"/>
            <w:vAlign w:val="center"/>
            <w:hideMark/>
          </w:tcPr>
          <w:p w14:paraId="49F12D26" w14:textId="77777777" w:rsidR="00D705A6" w:rsidRPr="002E0BB9" w:rsidRDefault="00D705A6" w:rsidP="00D22441">
            <w:pPr>
              <w:jc w:val="center"/>
              <w:rPr>
                <w:rFonts w:ascii="Arial Narrow" w:hAnsi="Arial Narrow" w:cs="Arial"/>
                <w:b/>
                <w:bCs/>
                <w:color w:val="000000"/>
                <w:spacing w:val="0"/>
                <w:sz w:val="16"/>
                <w:szCs w:val="16"/>
                <w:lang w:val="es-MX" w:eastAsia="es-MX"/>
              </w:rPr>
            </w:pPr>
            <w:r w:rsidRPr="002E0BB9">
              <w:rPr>
                <w:rFonts w:ascii="Arial Narrow" w:hAnsi="Arial Narrow" w:cs="Arial"/>
                <w:b/>
                <w:bCs/>
                <w:color w:val="000000"/>
                <w:spacing w:val="0"/>
                <w:sz w:val="16"/>
                <w:szCs w:val="16"/>
                <w:lang w:val="en-US" w:eastAsia="es-MX"/>
              </w:rPr>
              <w:t>RUPS</w:t>
            </w:r>
          </w:p>
        </w:tc>
        <w:tc>
          <w:tcPr>
            <w:tcW w:w="920" w:type="dxa"/>
            <w:tcBorders>
              <w:top w:val="single" w:sz="4" w:space="0" w:color="auto"/>
              <w:left w:val="nil"/>
              <w:bottom w:val="single" w:sz="4" w:space="0" w:color="auto"/>
              <w:right w:val="single" w:sz="4" w:space="0" w:color="auto"/>
            </w:tcBorders>
            <w:shd w:val="clear" w:color="000000" w:fill="D9D9D9"/>
            <w:vAlign w:val="center"/>
            <w:hideMark/>
          </w:tcPr>
          <w:p w14:paraId="445DD7AE" w14:textId="77777777" w:rsidR="00D705A6" w:rsidRPr="002E0BB9" w:rsidRDefault="00D705A6" w:rsidP="00D22441">
            <w:pPr>
              <w:jc w:val="center"/>
              <w:rPr>
                <w:rFonts w:ascii="Arial Narrow" w:hAnsi="Arial Narrow" w:cs="Arial"/>
                <w:b/>
                <w:bCs/>
                <w:color w:val="000000"/>
                <w:spacing w:val="0"/>
                <w:sz w:val="16"/>
                <w:szCs w:val="16"/>
                <w:lang w:val="es-MX" w:eastAsia="es-MX"/>
              </w:rPr>
            </w:pPr>
            <w:r w:rsidRPr="002E0BB9">
              <w:rPr>
                <w:rFonts w:ascii="Arial Narrow" w:hAnsi="Arial Narrow" w:cs="Arial"/>
                <w:b/>
                <w:bCs/>
                <w:color w:val="000000"/>
                <w:spacing w:val="0"/>
                <w:sz w:val="16"/>
                <w:szCs w:val="16"/>
                <w:lang w:val="en-US" w:eastAsia="es-MX"/>
              </w:rPr>
              <w:t>NIT</w:t>
            </w:r>
          </w:p>
        </w:tc>
        <w:tc>
          <w:tcPr>
            <w:tcW w:w="2180" w:type="dxa"/>
            <w:tcBorders>
              <w:top w:val="single" w:sz="4" w:space="0" w:color="auto"/>
              <w:left w:val="nil"/>
              <w:bottom w:val="single" w:sz="4" w:space="0" w:color="auto"/>
              <w:right w:val="single" w:sz="4" w:space="0" w:color="auto"/>
            </w:tcBorders>
            <w:shd w:val="clear" w:color="000000" w:fill="D9D9D9"/>
            <w:vAlign w:val="center"/>
            <w:hideMark/>
          </w:tcPr>
          <w:p w14:paraId="5F2815FC" w14:textId="77777777" w:rsidR="00D705A6" w:rsidRPr="002E0BB9" w:rsidRDefault="00D705A6" w:rsidP="00D22441">
            <w:pPr>
              <w:jc w:val="center"/>
              <w:rPr>
                <w:rFonts w:ascii="Arial Narrow" w:hAnsi="Arial Narrow" w:cs="Arial"/>
                <w:b/>
                <w:bCs/>
                <w:color w:val="000000"/>
                <w:spacing w:val="0"/>
                <w:sz w:val="16"/>
                <w:szCs w:val="16"/>
                <w:lang w:val="es-MX" w:eastAsia="es-MX"/>
              </w:rPr>
            </w:pPr>
            <w:proofErr w:type="spellStart"/>
            <w:r w:rsidRPr="002E0BB9">
              <w:rPr>
                <w:rFonts w:ascii="Arial Narrow" w:hAnsi="Arial Narrow" w:cs="Arial"/>
                <w:b/>
                <w:bCs/>
                <w:color w:val="000000"/>
                <w:spacing w:val="0"/>
                <w:sz w:val="16"/>
                <w:szCs w:val="16"/>
                <w:lang w:val="en-US" w:eastAsia="es-MX"/>
              </w:rPr>
              <w:t>Razón</w:t>
            </w:r>
            <w:proofErr w:type="spellEnd"/>
            <w:r w:rsidRPr="002E0BB9">
              <w:rPr>
                <w:rFonts w:ascii="Arial Narrow" w:hAnsi="Arial Narrow" w:cs="Arial"/>
                <w:b/>
                <w:bCs/>
                <w:color w:val="000000"/>
                <w:spacing w:val="0"/>
                <w:sz w:val="16"/>
                <w:szCs w:val="16"/>
                <w:lang w:val="en-US" w:eastAsia="es-MX"/>
              </w:rPr>
              <w:t xml:space="preserve"> social </w:t>
            </w:r>
            <w:proofErr w:type="spellStart"/>
            <w:r w:rsidRPr="002E0BB9">
              <w:rPr>
                <w:rFonts w:ascii="Arial Narrow" w:hAnsi="Arial Narrow" w:cs="Arial"/>
                <w:b/>
                <w:bCs/>
                <w:color w:val="000000"/>
                <w:spacing w:val="0"/>
                <w:sz w:val="16"/>
                <w:szCs w:val="16"/>
                <w:lang w:val="en-US" w:eastAsia="es-MX"/>
              </w:rPr>
              <w:t>empresa</w:t>
            </w:r>
            <w:proofErr w:type="spellEnd"/>
            <w:r w:rsidRPr="002E0BB9">
              <w:rPr>
                <w:rFonts w:ascii="Arial Narrow" w:hAnsi="Arial Narrow" w:cs="Arial"/>
                <w:b/>
                <w:bCs/>
                <w:color w:val="000000"/>
                <w:spacing w:val="0"/>
                <w:sz w:val="16"/>
                <w:szCs w:val="16"/>
                <w:lang w:val="en-US" w:eastAsia="es-MX"/>
              </w:rPr>
              <w:t xml:space="preserve"> </w:t>
            </w:r>
            <w:proofErr w:type="spellStart"/>
            <w:r w:rsidRPr="002E0BB9">
              <w:rPr>
                <w:rFonts w:ascii="Arial Narrow" w:hAnsi="Arial Narrow" w:cs="Arial"/>
                <w:b/>
                <w:bCs/>
                <w:color w:val="000000"/>
                <w:spacing w:val="0"/>
                <w:sz w:val="16"/>
                <w:szCs w:val="16"/>
                <w:lang w:val="en-US" w:eastAsia="es-MX"/>
              </w:rPr>
              <w:t>regulada</w:t>
            </w:r>
            <w:proofErr w:type="spellEnd"/>
          </w:p>
        </w:tc>
        <w:tc>
          <w:tcPr>
            <w:tcW w:w="1520" w:type="dxa"/>
            <w:tcBorders>
              <w:top w:val="single" w:sz="4" w:space="0" w:color="auto"/>
              <w:left w:val="nil"/>
              <w:bottom w:val="single" w:sz="4" w:space="0" w:color="auto"/>
              <w:right w:val="single" w:sz="4" w:space="0" w:color="auto"/>
            </w:tcBorders>
            <w:shd w:val="clear" w:color="000000" w:fill="ACB9CA"/>
            <w:vAlign w:val="center"/>
            <w:hideMark/>
          </w:tcPr>
          <w:p w14:paraId="1FE05458" w14:textId="77777777" w:rsidR="00D705A6" w:rsidRPr="002E0BB9" w:rsidRDefault="00D705A6" w:rsidP="00D22441">
            <w:pPr>
              <w:jc w:val="center"/>
              <w:rPr>
                <w:rFonts w:ascii="Arial Narrow" w:hAnsi="Arial Narrow" w:cs="Arial"/>
                <w:b/>
                <w:bCs/>
                <w:color w:val="000000"/>
                <w:spacing w:val="0"/>
                <w:sz w:val="16"/>
                <w:szCs w:val="16"/>
                <w:lang w:val="es-MX" w:eastAsia="es-MX"/>
              </w:rPr>
            </w:pPr>
            <w:r w:rsidRPr="002E0BB9">
              <w:rPr>
                <w:rFonts w:ascii="Arial Narrow" w:hAnsi="Arial Narrow" w:cs="Arial"/>
                <w:b/>
                <w:bCs/>
                <w:color w:val="000000"/>
                <w:spacing w:val="0"/>
                <w:sz w:val="16"/>
                <w:szCs w:val="16"/>
                <w:lang w:eastAsia="es-MX"/>
              </w:rPr>
              <w:t>Gastos administrativos reportados SUI y depurados</w:t>
            </w:r>
          </w:p>
        </w:tc>
        <w:tc>
          <w:tcPr>
            <w:tcW w:w="1440" w:type="dxa"/>
            <w:tcBorders>
              <w:top w:val="single" w:sz="4" w:space="0" w:color="auto"/>
              <w:left w:val="nil"/>
              <w:bottom w:val="single" w:sz="4" w:space="0" w:color="auto"/>
              <w:right w:val="single" w:sz="4" w:space="0" w:color="auto"/>
            </w:tcBorders>
            <w:shd w:val="clear" w:color="000000" w:fill="ACB9CA"/>
            <w:vAlign w:val="center"/>
            <w:hideMark/>
          </w:tcPr>
          <w:p w14:paraId="7C1067BE" w14:textId="77777777" w:rsidR="00D705A6" w:rsidRPr="002E0BB9" w:rsidRDefault="00D705A6" w:rsidP="00D22441">
            <w:pPr>
              <w:jc w:val="center"/>
              <w:rPr>
                <w:rFonts w:ascii="Arial Narrow" w:hAnsi="Arial Narrow" w:cs="Arial"/>
                <w:b/>
                <w:bCs/>
                <w:color w:val="000000"/>
                <w:spacing w:val="0"/>
                <w:sz w:val="16"/>
                <w:szCs w:val="16"/>
                <w:lang w:val="es-MX" w:eastAsia="es-MX"/>
              </w:rPr>
            </w:pPr>
            <w:r w:rsidRPr="002E0BB9">
              <w:rPr>
                <w:rFonts w:ascii="Arial Narrow" w:hAnsi="Arial Narrow" w:cs="Arial"/>
                <w:b/>
                <w:bCs/>
                <w:color w:val="000000"/>
                <w:spacing w:val="0"/>
                <w:sz w:val="16"/>
                <w:szCs w:val="16"/>
                <w:lang w:eastAsia="es-MX"/>
              </w:rPr>
              <w:t>Porción de gastos operativos reportados SUI</w:t>
            </w:r>
          </w:p>
        </w:tc>
        <w:tc>
          <w:tcPr>
            <w:tcW w:w="1460" w:type="dxa"/>
            <w:tcBorders>
              <w:top w:val="single" w:sz="4" w:space="0" w:color="auto"/>
              <w:left w:val="nil"/>
              <w:bottom w:val="single" w:sz="4" w:space="0" w:color="auto"/>
              <w:right w:val="single" w:sz="4" w:space="0" w:color="auto"/>
            </w:tcBorders>
            <w:shd w:val="clear" w:color="000000" w:fill="D9D9D9"/>
            <w:vAlign w:val="center"/>
            <w:hideMark/>
          </w:tcPr>
          <w:p w14:paraId="1C68D192" w14:textId="77777777" w:rsidR="00D705A6" w:rsidRPr="002E0BB9" w:rsidRDefault="00D705A6" w:rsidP="00D22441">
            <w:pPr>
              <w:jc w:val="center"/>
              <w:rPr>
                <w:rFonts w:ascii="Arial Narrow" w:hAnsi="Arial Narrow" w:cs="Arial"/>
                <w:b/>
                <w:bCs/>
                <w:color w:val="000000"/>
                <w:spacing w:val="0"/>
                <w:sz w:val="16"/>
                <w:szCs w:val="16"/>
                <w:lang w:val="es-MX" w:eastAsia="es-MX"/>
              </w:rPr>
            </w:pPr>
            <w:r w:rsidRPr="002E0BB9">
              <w:rPr>
                <w:rFonts w:ascii="Arial Narrow" w:hAnsi="Arial Narrow" w:cs="Arial"/>
                <w:b/>
                <w:bCs/>
                <w:color w:val="000000"/>
                <w:spacing w:val="0"/>
                <w:sz w:val="16"/>
                <w:szCs w:val="16"/>
                <w:lang w:val="en-US" w:eastAsia="es-MX"/>
              </w:rPr>
              <w:t xml:space="preserve">Total base </w:t>
            </w:r>
            <w:proofErr w:type="spellStart"/>
            <w:r w:rsidRPr="002E0BB9">
              <w:rPr>
                <w:rFonts w:ascii="Arial Narrow" w:hAnsi="Arial Narrow" w:cs="Arial"/>
                <w:b/>
                <w:bCs/>
                <w:color w:val="000000"/>
                <w:spacing w:val="0"/>
                <w:sz w:val="16"/>
                <w:szCs w:val="16"/>
                <w:lang w:val="en-US" w:eastAsia="es-MX"/>
              </w:rPr>
              <w:t>gravable</w:t>
            </w:r>
            <w:proofErr w:type="spellEnd"/>
            <w:r w:rsidRPr="002E0BB9">
              <w:rPr>
                <w:rFonts w:ascii="Arial Narrow" w:hAnsi="Arial Narrow" w:cs="Arial"/>
                <w:b/>
                <w:bCs/>
                <w:color w:val="000000"/>
                <w:spacing w:val="0"/>
                <w:sz w:val="16"/>
                <w:szCs w:val="16"/>
                <w:lang w:val="en-US" w:eastAsia="es-MX"/>
              </w:rPr>
              <w:t xml:space="preserve"> </w:t>
            </w:r>
            <w:proofErr w:type="spellStart"/>
            <w:r w:rsidRPr="002E0BB9">
              <w:rPr>
                <w:rFonts w:ascii="Arial Narrow" w:hAnsi="Arial Narrow" w:cs="Arial"/>
                <w:b/>
                <w:bCs/>
                <w:color w:val="000000"/>
                <w:spacing w:val="0"/>
                <w:sz w:val="16"/>
                <w:szCs w:val="16"/>
                <w:lang w:val="en-US" w:eastAsia="es-MX"/>
              </w:rPr>
              <w:t>reportada</w:t>
            </w:r>
            <w:proofErr w:type="spellEnd"/>
          </w:p>
        </w:tc>
        <w:tc>
          <w:tcPr>
            <w:tcW w:w="1260" w:type="dxa"/>
            <w:tcBorders>
              <w:top w:val="single" w:sz="4" w:space="0" w:color="auto"/>
              <w:left w:val="nil"/>
              <w:bottom w:val="single" w:sz="4" w:space="0" w:color="auto"/>
              <w:right w:val="single" w:sz="4" w:space="0" w:color="auto"/>
            </w:tcBorders>
            <w:shd w:val="clear" w:color="000000" w:fill="D9D9D9"/>
            <w:vAlign w:val="center"/>
            <w:hideMark/>
          </w:tcPr>
          <w:p w14:paraId="7C3C9717" w14:textId="77777777" w:rsidR="00D705A6" w:rsidRPr="002E0BB9" w:rsidRDefault="00D705A6" w:rsidP="00D22441">
            <w:pPr>
              <w:jc w:val="center"/>
              <w:rPr>
                <w:rFonts w:ascii="Arial Narrow" w:hAnsi="Arial Narrow" w:cs="Arial"/>
                <w:b/>
                <w:bCs/>
                <w:color w:val="000000"/>
                <w:spacing w:val="0"/>
                <w:sz w:val="16"/>
                <w:szCs w:val="16"/>
                <w:lang w:val="es-MX" w:eastAsia="es-MX"/>
              </w:rPr>
            </w:pPr>
            <w:r w:rsidRPr="002E0BB9">
              <w:rPr>
                <w:rFonts w:ascii="Arial Narrow" w:hAnsi="Arial Narrow" w:cs="Arial"/>
                <w:b/>
                <w:bCs/>
                <w:color w:val="000000"/>
                <w:spacing w:val="0"/>
                <w:sz w:val="16"/>
                <w:szCs w:val="16"/>
                <w:lang w:val="es-MX" w:eastAsia="es-MX"/>
              </w:rPr>
              <w:t xml:space="preserve">Valor bruto contribución especial 2023 </w:t>
            </w:r>
          </w:p>
        </w:tc>
        <w:tc>
          <w:tcPr>
            <w:tcW w:w="1120" w:type="dxa"/>
            <w:tcBorders>
              <w:top w:val="single" w:sz="4" w:space="0" w:color="auto"/>
              <w:left w:val="nil"/>
              <w:bottom w:val="single" w:sz="4" w:space="0" w:color="auto"/>
              <w:right w:val="single" w:sz="4" w:space="0" w:color="auto"/>
            </w:tcBorders>
            <w:shd w:val="clear" w:color="000000" w:fill="D9D9D9"/>
            <w:vAlign w:val="center"/>
            <w:hideMark/>
          </w:tcPr>
          <w:p w14:paraId="3B7D5161" w14:textId="3670468F" w:rsidR="00D705A6" w:rsidRPr="002E0BB9" w:rsidRDefault="007D1249" w:rsidP="00D22441">
            <w:pPr>
              <w:jc w:val="center"/>
              <w:rPr>
                <w:rFonts w:ascii="Arial Narrow" w:hAnsi="Arial Narrow" w:cs="Arial"/>
                <w:b/>
                <w:bCs/>
                <w:color w:val="000000"/>
                <w:spacing w:val="0"/>
                <w:sz w:val="16"/>
                <w:szCs w:val="16"/>
                <w:lang w:val="es-MX" w:eastAsia="es-MX"/>
              </w:rPr>
            </w:pPr>
            <w:proofErr w:type="spellStart"/>
            <w:r w:rsidRPr="002E0BB9">
              <w:rPr>
                <w:rFonts w:ascii="Arial Narrow" w:hAnsi="Arial Narrow" w:cs="Arial"/>
                <w:b/>
                <w:bCs/>
                <w:color w:val="000000"/>
                <w:spacing w:val="0"/>
                <w:sz w:val="16"/>
                <w:szCs w:val="16"/>
                <w:lang w:val="en-US" w:eastAsia="es-MX"/>
              </w:rPr>
              <w:t>Cuantía</w:t>
            </w:r>
            <w:proofErr w:type="spellEnd"/>
            <w:r w:rsidRPr="002E0BB9">
              <w:rPr>
                <w:rFonts w:ascii="Arial Narrow" w:hAnsi="Arial Narrow" w:cs="Arial"/>
                <w:b/>
                <w:bCs/>
                <w:color w:val="000000"/>
                <w:spacing w:val="0"/>
                <w:sz w:val="16"/>
                <w:szCs w:val="16"/>
                <w:lang w:val="en-US" w:eastAsia="es-MX"/>
              </w:rPr>
              <w:t xml:space="preserve"> </w:t>
            </w:r>
            <w:r w:rsidR="00D705A6" w:rsidRPr="002E0BB9">
              <w:rPr>
                <w:rFonts w:ascii="Arial Narrow" w:hAnsi="Arial Narrow" w:cs="Arial"/>
                <w:b/>
                <w:bCs/>
                <w:color w:val="000000"/>
                <w:spacing w:val="0"/>
                <w:sz w:val="16"/>
                <w:szCs w:val="16"/>
                <w:lang w:val="en-US" w:eastAsia="es-MX"/>
              </w:rPr>
              <w:t xml:space="preserve">minima </w:t>
            </w:r>
            <w:proofErr w:type="spellStart"/>
            <w:r w:rsidR="00406D70" w:rsidRPr="002E0BB9">
              <w:rPr>
                <w:rFonts w:ascii="Arial Narrow" w:hAnsi="Arial Narrow" w:cs="Arial"/>
                <w:b/>
                <w:bCs/>
                <w:color w:val="000000"/>
                <w:spacing w:val="0"/>
                <w:sz w:val="16"/>
                <w:szCs w:val="16"/>
                <w:lang w:val="en-US" w:eastAsia="es-MX"/>
              </w:rPr>
              <w:t>p</w:t>
            </w:r>
            <w:r w:rsidRPr="002E0BB9">
              <w:rPr>
                <w:rFonts w:ascii="Arial Narrow" w:hAnsi="Arial Narrow" w:cs="Arial"/>
                <w:b/>
                <w:bCs/>
                <w:color w:val="000000"/>
                <w:spacing w:val="0"/>
                <w:sz w:val="16"/>
                <w:szCs w:val="16"/>
                <w:lang w:val="en-US" w:eastAsia="es-MX"/>
              </w:rPr>
              <w:t>roporcional</w:t>
            </w:r>
            <w:proofErr w:type="spellEnd"/>
            <w:r w:rsidRPr="002E0BB9">
              <w:rPr>
                <w:rFonts w:ascii="Arial Narrow" w:hAnsi="Arial Narrow" w:cs="Arial"/>
                <w:b/>
                <w:bCs/>
                <w:color w:val="000000"/>
                <w:spacing w:val="0"/>
                <w:sz w:val="16"/>
                <w:szCs w:val="16"/>
                <w:lang w:val="en-US" w:eastAsia="es-MX"/>
              </w:rPr>
              <w:t xml:space="preserve"> </w:t>
            </w:r>
            <w:r w:rsidR="00D705A6" w:rsidRPr="002E0BB9">
              <w:rPr>
                <w:rFonts w:ascii="Arial Narrow" w:hAnsi="Arial Narrow" w:cs="Arial"/>
                <w:b/>
                <w:bCs/>
                <w:color w:val="000000"/>
                <w:spacing w:val="0"/>
                <w:sz w:val="16"/>
                <w:szCs w:val="16"/>
                <w:lang w:val="en-US" w:eastAsia="es-MX"/>
              </w:rPr>
              <w:t>2023</w:t>
            </w:r>
          </w:p>
        </w:tc>
        <w:tc>
          <w:tcPr>
            <w:tcW w:w="1260" w:type="dxa"/>
            <w:tcBorders>
              <w:top w:val="single" w:sz="4" w:space="0" w:color="auto"/>
              <w:left w:val="nil"/>
              <w:bottom w:val="single" w:sz="4" w:space="0" w:color="auto"/>
              <w:right w:val="single" w:sz="4" w:space="0" w:color="auto"/>
            </w:tcBorders>
            <w:shd w:val="clear" w:color="000000" w:fill="D9D9D9"/>
            <w:vAlign w:val="center"/>
            <w:hideMark/>
          </w:tcPr>
          <w:p w14:paraId="51A7D22D" w14:textId="77777777" w:rsidR="00D705A6" w:rsidRPr="002E0BB9" w:rsidRDefault="00D705A6" w:rsidP="00D22441">
            <w:pPr>
              <w:jc w:val="center"/>
              <w:rPr>
                <w:rFonts w:ascii="Arial Narrow" w:hAnsi="Arial Narrow" w:cs="Arial"/>
                <w:b/>
                <w:bCs/>
                <w:color w:val="000000"/>
                <w:spacing w:val="0"/>
                <w:sz w:val="16"/>
                <w:szCs w:val="16"/>
                <w:lang w:val="es-MX" w:eastAsia="es-MX"/>
              </w:rPr>
            </w:pPr>
            <w:r w:rsidRPr="002E0BB9">
              <w:rPr>
                <w:rFonts w:ascii="Arial Narrow" w:hAnsi="Arial Narrow" w:cs="Arial"/>
                <w:b/>
                <w:bCs/>
                <w:color w:val="000000"/>
                <w:spacing w:val="0"/>
                <w:sz w:val="16"/>
                <w:szCs w:val="16"/>
                <w:lang w:val="es-MX" w:eastAsia="es-MX"/>
              </w:rPr>
              <w:t>Valor neto de la contribución especial 2023 a pagar</w:t>
            </w:r>
          </w:p>
        </w:tc>
        <w:tc>
          <w:tcPr>
            <w:tcW w:w="1920" w:type="dxa"/>
            <w:tcBorders>
              <w:top w:val="single" w:sz="4" w:space="0" w:color="auto"/>
              <w:left w:val="nil"/>
              <w:bottom w:val="single" w:sz="4" w:space="0" w:color="auto"/>
              <w:right w:val="single" w:sz="4" w:space="0" w:color="auto"/>
            </w:tcBorders>
            <w:shd w:val="clear" w:color="000000" w:fill="D9D9D9"/>
            <w:vAlign w:val="center"/>
            <w:hideMark/>
          </w:tcPr>
          <w:p w14:paraId="2E36DD51" w14:textId="77777777" w:rsidR="00D705A6" w:rsidRPr="002E0BB9" w:rsidRDefault="00D705A6" w:rsidP="00D22441">
            <w:pPr>
              <w:jc w:val="center"/>
              <w:rPr>
                <w:rFonts w:ascii="Arial Narrow" w:hAnsi="Arial Narrow" w:cs="Arial"/>
                <w:b/>
                <w:bCs/>
                <w:color w:val="000000"/>
                <w:spacing w:val="0"/>
                <w:sz w:val="16"/>
                <w:szCs w:val="16"/>
                <w:lang w:val="es-MX" w:eastAsia="es-MX"/>
              </w:rPr>
            </w:pPr>
            <w:r w:rsidRPr="002E0BB9">
              <w:rPr>
                <w:rFonts w:ascii="Arial Narrow" w:hAnsi="Arial Narrow" w:cs="Arial"/>
                <w:b/>
                <w:bCs/>
                <w:color w:val="000000"/>
                <w:spacing w:val="0"/>
                <w:sz w:val="16"/>
                <w:szCs w:val="16"/>
                <w:lang w:val="es-MX" w:eastAsia="es-MX"/>
              </w:rPr>
              <w:t>Servicios prestados</w:t>
            </w:r>
          </w:p>
        </w:tc>
      </w:tr>
      <w:tr w:rsidR="00D705A6" w:rsidRPr="002E0BB9" w14:paraId="5AF2D3D6" w14:textId="77777777" w:rsidTr="007D1249">
        <w:trPr>
          <w:trHeight w:val="2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55D8B1AB"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1</w:t>
            </w:r>
          </w:p>
        </w:tc>
        <w:tc>
          <w:tcPr>
            <w:tcW w:w="560" w:type="dxa"/>
            <w:tcBorders>
              <w:top w:val="nil"/>
              <w:left w:val="nil"/>
              <w:bottom w:val="single" w:sz="4" w:space="0" w:color="auto"/>
              <w:right w:val="single" w:sz="4" w:space="0" w:color="auto"/>
            </w:tcBorders>
            <w:shd w:val="clear" w:color="000000" w:fill="F2F2F2"/>
            <w:noWrap/>
            <w:vAlign w:val="center"/>
            <w:hideMark/>
          </w:tcPr>
          <w:p w14:paraId="7524C95B"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488</w:t>
            </w:r>
          </w:p>
        </w:tc>
        <w:tc>
          <w:tcPr>
            <w:tcW w:w="920" w:type="dxa"/>
            <w:tcBorders>
              <w:top w:val="nil"/>
              <w:left w:val="nil"/>
              <w:bottom w:val="single" w:sz="4" w:space="0" w:color="auto"/>
              <w:right w:val="single" w:sz="4" w:space="0" w:color="auto"/>
            </w:tcBorders>
            <w:shd w:val="clear" w:color="000000" w:fill="F2F2F2"/>
            <w:noWrap/>
            <w:vAlign w:val="center"/>
            <w:hideMark/>
          </w:tcPr>
          <w:p w14:paraId="1F4D98E7"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800007813</w:t>
            </w:r>
          </w:p>
        </w:tc>
        <w:tc>
          <w:tcPr>
            <w:tcW w:w="2180" w:type="dxa"/>
            <w:tcBorders>
              <w:top w:val="nil"/>
              <w:left w:val="nil"/>
              <w:bottom w:val="single" w:sz="4" w:space="0" w:color="auto"/>
              <w:right w:val="single" w:sz="4" w:space="0" w:color="auto"/>
            </w:tcBorders>
            <w:shd w:val="clear" w:color="000000" w:fill="F2F2F2"/>
            <w:vAlign w:val="center"/>
            <w:hideMark/>
          </w:tcPr>
          <w:p w14:paraId="7EEF9EAB"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VANTI S.A. ESP</w:t>
            </w:r>
          </w:p>
        </w:tc>
        <w:tc>
          <w:tcPr>
            <w:tcW w:w="1520" w:type="dxa"/>
            <w:tcBorders>
              <w:top w:val="nil"/>
              <w:left w:val="nil"/>
              <w:bottom w:val="single" w:sz="4" w:space="0" w:color="auto"/>
              <w:right w:val="single" w:sz="4" w:space="0" w:color="auto"/>
            </w:tcBorders>
            <w:shd w:val="clear" w:color="000000" w:fill="F2F2F2"/>
            <w:noWrap/>
            <w:vAlign w:val="center"/>
            <w:hideMark/>
          </w:tcPr>
          <w:p w14:paraId="49A714A2"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$ 41.327.497.000</w:t>
            </w:r>
          </w:p>
        </w:tc>
        <w:tc>
          <w:tcPr>
            <w:tcW w:w="1440" w:type="dxa"/>
            <w:tcBorders>
              <w:top w:val="nil"/>
              <w:left w:val="nil"/>
              <w:bottom w:val="single" w:sz="4" w:space="0" w:color="auto"/>
              <w:right w:val="single" w:sz="4" w:space="0" w:color="auto"/>
            </w:tcBorders>
            <w:shd w:val="clear" w:color="000000" w:fill="F2F2F2"/>
            <w:noWrap/>
            <w:vAlign w:val="center"/>
            <w:hideMark/>
          </w:tcPr>
          <w:p w14:paraId="29CF7746"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$ 19.371.594.443</w:t>
            </w:r>
          </w:p>
        </w:tc>
        <w:tc>
          <w:tcPr>
            <w:tcW w:w="1460" w:type="dxa"/>
            <w:tcBorders>
              <w:top w:val="nil"/>
              <w:left w:val="nil"/>
              <w:bottom w:val="single" w:sz="4" w:space="0" w:color="auto"/>
              <w:right w:val="single" w:sz="4" w:space="0" w:color="auto"/>
            </w:tcBorders>
            <w:shd w:val="clear" w:color="000000" w:fill="F2F2F2"/>
            <w:noWrap/>
            <w:vAlign w:val="center"/>
            <w:hideMark/>
          </w:tcPr>
          <w:p w14:paraId="171F8BE7"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$ 60.699.091.443</w:t>
            </w:r>
          </w:p>
        </w:tc>
        <w:tc>
          <w:tcPr>
            <w:tcW w:w="1260" w:type="dxa"/>
            <w:tcBorders>
              <w:top w:val="nil"/>
              <w:left w:val="nil"/>
              <w:bottom w:val="single" w:sz="4" w:space="0" w:color="auto"/>
              <w:right w:val="single" w:sz="4" w:space="0" w:color="auto"/>
            </w:tcBorders>
            <w:shd w:val="clear" w:color="000000" w:fill="F2F2F2"/>
            <w:noWrap/>
            <w:vAlign w:val="center"/>
            <w:hideMark/>
          </w:tcPr>
          <w:p w14:paraId="3046DDBB"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$ 606.990.914</w:t>
            </w:r>
          </w:p>
        </w:tc>
        <w:tc>
          <w:tcPr>
            <w:tcW w:w="1120" w:type="dxa"/>
            <w:tcBorders>
              <w:top w:val="nil"/>
              <w:left w:val="nil"/>
              <w:bottom w:val="single" w:sz="4" w:space="0" w:color="auto"/>
              <w:right w:val="single" w:sz="4" w:space="0" w:color="auto"/>
            </w:tcBorders>
            <w:shd w:val="clear" w:color="000000" w:fill="F2F2F2"/>
            <w:noWrap/>
            <w:vAlign w:val="center"/>
            <w:hideMark/>
          </w:tcPr>
          <w:p w14:paraId="29B52D5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$ 25.261</w:t>
            </w:r>
          </w:p>
        </w:tc>
        <w:tc>
          <w:tcPr>
            <w:tcW w:w="1260" w:type="dxa"/>
            <w:tcBorders>
              <w:top w:val="nil"/>
              <w:left w:val="nil"/>
              <w:bottom w:val="single" w:sz="4" w:space="0" w:color="auto"/>
              <w:right w:val="single" w:sz="4" w:space="0" w:color="auto"/>
            </w:tcBorders>
            <w:shd w:val="clear" w:color="000000" w:fill="F2F2F2"/>
            <w:noWrap/>
            <w:vAlign w:val="center"/>
            <w:hideMark/>
          </w:tcPr>
          <w:p w14:paraId="26995DB7"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$ 607.016.175</w:t>
            </w:r>
          </w:p>
        </w:tc>
        <w:tc>
          <w:tcPr>
            <w:tcW w:w="1920" w:type="dxa"/>
            <w:tcBorders>
              <w:top w:val="nil"/>
              <w:left w:val="nil"/>
              <w:bottom w:val="single" w:sz="4" w:space="0" w:color="auto"/>
              <w:right w:val="single" w:sz="4" w:space="0" w:color="auto"/>
            </w:tcBorders>
            <w:shd w:val="clear" w:color="000000" w:fill="F2F2F2"/>
            <w:vAlign w:val="center"/>
            <w:hideMark/>
          </w:tcPr>
          <w:p w14:paraId="64ACF9AA"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GAS POR REDES</w:t>
            </w:r>
          </w:p>
        </w:tc>
      </w:tr>
      <w:tr w:rsidR="00D705A6" w:rsidRPr="002E0BB9" w14:paraId="6727AB2F" w14:textId="77777777" w:rsidTr="007D1249">
        <w:trPr>
          <w:trHeight w:val="6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30B593DB"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w:t>
            </w:r>
          </w:p>
        </w:tc>
        <w:tc>
          <w:tcPr>
            <w:tcW w:w="560" w:type="dxa"/>
            <w:tcBorders>
              <w:top w:val="nil"/>
              <w:left w:val="nil"/>
              <w:bottom w:val="single" w:sz="4" w:space="0" w:color="auto"/>
              <w:right w:val="single" w:sz="4" w:space="0" w:color="auto"/>
            </w:tcBorders>
            <w:shd w:val="clear" w:color="000000" w:fill="F2F2F2"/>
            <w:noWrap/>
            <w:vAlign w:val="center"/>
            <w:hideMark/>
          </w:tcPr>
          <w:p w14:paraId="40F60D9A"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620</w:t>
            </w:r>
          </w:p>
        </w:tc>
        <w:tc>
          <w:tcPr>
            <w:tcW w:w="920" w:type="dxa"/>
            <w:tcBorders>
              <w:top w:val="nil"/>
              <w:left w:val="nil"/>
              <w:bottom w:val="single" w:sz="4" w:space="0" w:color="auto"/>
              <w:right w:val="single" w:sz="4" w:space="0" w:color="auto"/>
            </w:tcBorders>
            <w:shd w:val="clear" w:color="000000" w:fill="F2F2F2"/>
            <w:noWrap/>
            <w:vAlign w:val="center"/>
            <w:hideMark/>
          </w:tcPr>
          <w:p w14:paraId="3A74AD01"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800021272</w:t>
            </w:r>
          </w:p>
        </w:tc>
        <w:tc>
          <w:tcPr>
            <w:tcW w:w="2180" w:type="dxa"/>
            <w:tcBorders>
              <w:top w:val="nil"/>
              <w:left w:val="nil"/>
              <w:bottom w:val="single" w:sz="4" w:space="0" w:color="auto"/>
              <w:right w:val="single" w:sz="4" w:space="0" w:color="auto"/>
            </w:tcBorders>
            <w:shd w:val="clear" w:color="000000" w:fill="F2F2F2"/>
            <w:vAlign w:val="center"/>
            <w:hideMark/>
          </w:tcPr>
          <w:p w14:paraId="291DD3F6"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GASES DEL LLANO S.A EMPRESA DE SERVICIOS PUBLICOS</w:t>
            </w:r>
          </w:p>
        </w:tc>
        <w:tc>
          <w:tcPr>
            <w:tcW w:w="1520" w:type="dxa"/>
            <w:tcBorders>
              <w:top w:val="nil"/>
              <w:left w:val="nil"/>
              <w:bottom w:val="single" w:sz="4" w:space="0" w:color="auto"/>
              <w:right w:val="single" w:sz="4" w:space="0" w:color="auto"/>
            </w:tcBorders>
            <w:shd w:val="clear" w:color="000000" w:fill="F2F2F2"/>
            <w:noWrap/>
            <w:vAlign w:val="center"/>
            <w:hideMark/>
          </w:tcPr>
          <w:p w14:paraId="78593A9D"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$ 5.955.660.000</w:t>
            </w:r>
          </w:p>
        </w:tc>
        <w:tc>
          <w:tcPr>
            <w:tcW w:w="1440" w:type="dxa"/>
            <w:tcBorders>
              <w:top w:val="nil"/>
              <w:left w:val="nil"/>
              <w:bottom w:val="single" w:sz="4" w:space="0" w:color="auto"/>
              <w:right w:val="single" w:sz="4" w:space="0" w:color="auto"/>
            </w:tcBorders>
            <w:shd w:val="clear" w:color="000000" w:fill="F2F2F2"/>
            <w:noWrap/>
            <w:vAlign w:val="center"/>
            <w:hideMark/>
          </w:tcPr>
          <w:p w14:paraId="122A865C"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$ 107.097.772</w:t>
            </w:r>
          </w:p>
        </w:tc>
        <w:tc>
          <w:tcPr>
            <w:tcW w:w="1460" w:type="dxa"/>
            <w:tcBorders>
              <w:top w:val="nil"/>
              <w:left w:val="nil"/>
              <w:bottom w:val="single" w:sz="4" w:space="0" w:color="auto"/>
              <w:right w:val="single" w:sz="4" w:space="0" w:color="auto"/>
            </w:tcBorders>
            <w:shd w:val="clear" w:color="000000" w:fill="F2F2F2"/>
            <w:noWrap/>
            <w:vAlign w:val="center"/>
            <w:hideMark/>
          </w:tcPr>
          <w:p w14:paraId="04712B8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$ 6.062.757.772</w:t>
            </w:r>
          </w:p>
        </w:tc>
        <w:tc>
          <w:tcPr>
            <w:tcW w:w="1260" w:type="dxa"/>
            <w:tcBorders>
              <w:top w:val="nil"/>
              <w:left w:val="nil"/>
              <w:bottom w:val="single" w:sz="4" w:space="0" w:color="auto"/>
              <w:right w:val="single" w:sz="4" w:space="0" w:color="auto"/>
            </w:tcBorders>
            <w:shd w:val="clear" w:color="000000" w:fill="F2F2F2"/>
            <w:noWrap/>
            <w:vAlign w:val="center"/>
            <w:hideMark/>
          </w:tcPr>
          <w:p w14:paraId="049E8A32"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$ 60.627.578</w:t>
            </w:r>
          </w:p>
        </w:tc>
        <w:tc>
          <w:tcPr>
            <w:tcW w:w="1120" w:type="dxa"/>
            <w:tcBorders>
              <w:top w:val="nil"/>
              <w:left w:val="nil"/>
              <w:bottom w:val="single" w:sz="4" w:space="0" w:color="auto"/>
              <w:right w:val="single" w:sz="4" w:space="0" w:color="auto"/>
            </w:tcBorders>
            <w:shd w:val="clear" w:color="000000" w:fill="F2F2F2"/>
            <w:noWrap/>
            <w:vAlign w:val="center"/>
            <w:hideMark/>
          </w:tcPr>
          <w:p w14:paraId="51285896"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$ 2.523</w:t>
            </w:r>
          </w:p>
        </w:tc>
        <w:tc>
          <w:tcPr>
            <w:tcW w:w="1260" w:type="dxa"/>
            <w:tcBorders>
              <w:top w:val="nil"/>
              <w:left w:val="nil"/>
              <w:bottom w:val="single" w:sz="4" w:space="0" w:color="auto"/>
              <w:right w:val="single" w:sz="4" w:space="0" w:color="auto"/>
            </w:tcBorders>
            <w:shd w:val="clear" w:color="000000" w:fill="F2F2F2"/>
            <w:noWrap/>
            <w:vAlign w:val="center"/>
            <w:hideMark/>
          </w:tcPr>
          <w:p w14:paraId="13DB43B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$ 60.630.101</w:t>
            </w:r>
          </w:p>
        </w:tc>
        <w:tc>
          <w:tcPr>
            <w:tcW w:w="1920" w:type="dxa"/>
            <w:tcBorders>
              <w:top w:val="nil"/>
              <w:left w:val="nil"/>
              <w:bottom w:val="single" w:sz="4" w:space="0" w:color="auto"/>
              <w:right w:val="single" w:sz="4" w:space="0" w:color="auto"/>
            </w:tcBorders>
            <w:shd w:val="clear" w:color="000000" w:fill="F2F2F2"/>
            <w:vAlign w:val="center"/>
            <w:hideMark/>
          </w:tcPr>
          <w:p w14:paraId="5DC1996C"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GAS POR REDES</w:t>
            </w:r>
          </w:p>
        </w:tc>
      </w:tr>
      <w:tr w:rsidR="00D705A6" w:rsidRPr="002E0BB9" w14:paraId="1183A5DB" w14:textId="77777777" w:rsidTr="007D1249">
        <w:trPr>
          <w:trHeight w:val="4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77DF19F0"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3</w:t>
            </w:r>
          </w:p>
        </w:tc>
        <w:tc>
          <w:tcPr>
            <w:tcW w:w="560" w:type="dxa"/>
            <w:tcBorders>
              <w:top w:val="nil"/>
              <w:left w:val="nil"/>
              <w:bottom w:val="single" w:sz="4" w:space="0" w:color="auto"/>
              <w:right w:val="single" w:sz="4" w:space="0" w:color="auto"/>
            </w:tcBorders>
            <w:shd w:val="clear" w:color="000000" w:fill="F2F2F2"/>
            <w:noWrap/>
            <w:vAlign w:val="center"/>
            <w:hideMark/>
          </w:tcPr>
          <w:p w14:paraId="44F313A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523</w:t>
            </w:r>
          </w:p>
        </w:tc>
        <w:tc>
          <w:tcPr>
            <w:tcW w:w="920" w:type="dxa"/>
            <w:tcBorders>
              <w:top w:val="nil"/>
              <w:left w:val="nil"/>
              <w:bottom w:val="single" w:sz="4" w:space="0" w:color="auto"/>
              <w:right w:val="single" w:sz="4" w:space="0" w:color="auto"/>
            </w:tcBorders>
            <w:shd w:val="clear" w:color="000000" w:fill="F2F2F2"/>
            <w:noWrap/>
            <w:vAlign w:val="center"/>
            <w:hideMark/>
          </w:tcPr>
          <w:p w14:paraId="3C45FD75"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800052640</w:t>
            </w:r>
          </w:p>
        </w:tc>
        <w:tc>
          <w:tcPr>
            <w:tcW w:w="2180" w:type="dxa"/>
            <w:tcBorders>
              <w:top w:val="nil"/>
              <w:left w:val="nil"/>
              <w:bottom w:val="single" w:sz="4" w:space="0" w:color="auto"/>
              <w:right w:val="single" w:sz="4" w:space="0" w:color="auto"/>
            </w:tcBorders>
            <w:shd w:val="clear" w:color="000000" w:fill="F2F2F2"/>
            <w:vAlign w:val="center"/>
            <w:hideMark/>
          </w:tcPr>
          <w:p w14:paraId="64193AC8" w14:textId="3ACBB8B3"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EMPRESA DE ENERGIA DEL QUINDIO S.A.E.S.P.</w:t>
            </w:r>
          </w:p>
        </w:tc>
        <w:tc>
          <w:tcPr>
            <w:tcW w:w="1520" w:type="dxa"/>
            <w:tcBorders>
              <w:top w:val="nil"/>
              <w:left w:val="nil"/>
              <w:bottom w:val="single" w:sz="4" w:space="0" w:color="auto"/>
              <w:right w:val="single" w:sz="4" w:space="0" w:color="auto"/>
            </w:tcBorders>
            <w:shd w:val="clear" w:color="000000" w:fill="F2F2F2"/>
            <w:noWrap/>
            <w:vAlign w:val="center"/>
            <w:hideMark/>
          </w:tcPr>
          <w:p w14:paraId="36F0FD3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$ 23.000.048.000</w:t>
            </w:r>
          </w:p>
        </w:tc>
        <w:tc>
          <w:tcPr>
            <w:tcW w:w="1440" w:type="dxa"/>
            <w:tcBorders>
              <w:top w:val="nil"/>
              <w:left w:val="nil"/>
              <w:bottom w:val="single" w:sz="4" w:space="0" w:color="auto"/>
              <w:right w:val="single" w:sz="4" w:space="0" w:color="auto"/>
            </w:tcBorders>
            <w:shd w:val="clear" w:color="000000" w:fill="F2F2F2"/>
            <w:noWrap/>
            <w:vAlign w:val="center"/>
            <w:hideMark/>
          </w:tcPr>
          <w:p w14:paraId="562F4321"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$ 1.274.098.886</w:t>
            </w:r>
          </w:p>
        </w:tc>
        <w:tc>
          <w:tcPr>
            <w:tcW w:w="1460" w:type="dxa"/>
            <w:tcBorders>
              <w:top w:val="nil"/>
              <w:left w:val="nil"/>
              <w:bottom w:val="single" w:sz="4" w:space="0" w:color="auto"/>
              <w:right w:val="single" w:sz="4" w:space="0" w:color="auto"/>
            </w:tcBorders>
            <w:shd w:val="clear" w:color="000000" w:fill="F2F2F2"/>
            <w:noWrap/>
            <w:vAlign w:val="center"/>
            <w:hideMark/>
          </w:tcPr>
          <w:p w14:paraId="6E2F3781"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$ 24.274.146.886</w:t>
            </w:r>
          </w:p>
        </w:tc>
        <w:tc>
          <w:tcPr>
            <w:tcW w:w="1260" w:type="dxa"/>
            <w:tcBorders>
              <w:top w:val="nil"/>
              <w:left w:val="nil"/>
              <w:bottom w:val="single" w:sz="4" w:space="0" w:color="auto"/>
              <w:right w:val="single" w:sz="4" w:space="0" w:color="auto"/>
            </w:tcBorders>
            <w:shd w:val="clear" w:color="000000" w:fill="F2F2F2"/>
            <w:noWrap/>
            <w:vAlign w:val="center"/>
            <w:hideMark/>
          </w:tcPr>
          <w:p w14:paraId="24714CF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$ 242.741.469</w:t>
            </w:r>
          </w:p>
        </w:tc>
        <w:tc>
          <w:tcPr>
            <w:tcW w:w="1120" w:type="dxa"/>
            <w:tcBorders>
              <w:top w:val="nil"/>
              <w:left w:val="nil"/>
              <w:bottom w:val="single" w:sz="4" w:space="0" w:color="auto"/>
              <w:right w:val="single" w:sz="4" w:space="0" w:color="auto"/>
            </w:tcBorders>
            <w:shd w:val="clear" w:color="000000" w:fill="F2F2F2"/>
            <w:noWrap/>
            <w:vAlign w:val="center"/>
            <w:hideMark/>
          </w:tcPr>
          <w:p w14:paraId="29A3934D"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$ 10.102</w:t>
            </w:r>
          </w:p>
        </w:tc>
        <w:tc>
          <w:tcPr>
            <w:tcW w:w="1260" w:type="dxa"/>
            <w:tcBorders>
              <w:top w:val="nil"/>
              <w:left w:val="nil"/>
              <w:bottom w:val="single" w:sz="4" w:space="0" w:color="auto"/>
              <w:right w:val="single" w:sz="4" w:space="0" w:color="auto"/>
            </w:tcBorders>
            <w:shd w:val="clear" w:color="000000" w:fill="F2F2F2"/>
            <w:noWrap/>
            <w:vAlign w:val="center"/>
            <w:hideMark/>
          </w:tcPr>
          <w:p w14:paraId="0356C17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$ 242.751.571</w:t>
            </w:r>
          </w:p>
        </w:tc>
        <w:tc>
          <w:tcPr>
            <w:tcW w:w="1920" w:type="dxa"/>
            <w:tcBorders>
              <w:top w:val="nil"/>
              <w:left w:val="nil"/>
              <w:bottom w:val="single" w:sz="4" w:space="0" w:color="auto"/>
              <w:right w:val="single" w:sz="4" w:space="0" w:color="auto"/>
            </w:tcBorders>
            <w:shd w:val="clear" w:color="000000" w:fill="F2F2F2"/>
            <w:vAlign w:val="center"/>
            <w:hideMark/>
          </w:tcPr>
          <w:p w14:paraId="32480F67"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w:t>
            </w:r>
          </w:p>
        </w:tc>
      </w:tr>
      <w:tr w:rsidR="00D705A6" w:rsidRPr="002E0BB9" w14:paraId="7386AF10" w14:textId="77777777" w:rsidTr="007D1249">
        <w:trPr>
          <w:trHeight w:val="6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027E8852"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4</w:t>
            </w:r>
          </w:p>
        </w:tc>
        <w:tc>
          <w:tcPr>
            <w:tcW w:w="560" w:type="dxa"/>
            <w:tcBorders>
              <w:top w:val="nil"/>
              <w:left w:val="nil"/>
              <w:bottom w:val="single" w:sz="4" w:space="0" w:color="auto"/>
              <w:right w:val="single" w:sz="4" w:space="0" w:color="auto"/>
            </w:tcBorders>
            <w:shd w:val="clear" w:color="000000" w:fill="F2F2F2"/>
            <w:noWrap/>
            <w:vAlign w:val="center"/>
            <w:hideMark/>
          </w:tcPr>
          <w:p w14:paraId="4B40696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330</w:t>
            </w:r>
          </w:p>
        </w:tc>
        <w:tc>
          <w:tcPr>
            <w:tcW w:w="920" w:type="dxa"/>
            <w:tcBorders>
              <w:top w:val="nil"/>
              <w:left w:val="nil"/>
              <w:bottom w:val="single" w:sz="4" w:space="0" w:color="auto"/>
              <w:right w:val="single" w:sz="4" w:space="0" w:color="auto"/>
            </w:tcBorders>
            <w:shd w:val="clear" w:color="000000" w:fill="F2F2F2"/>
            <w:noWrap/>
            <w:vAlign w:val="center"/>
            <w:hideMark/>
          </w:tcPr>
          <w:p w14:paraId="0117CC45"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800063823</w:t>
            </w:r>
          </w:p>
        </w:tc>
        <w:tc>
          <w:tcPr>
            <w:tcW w:w="2180" w:type="dxa"/>
            <w:tcBorders>
              <w:top w:val="nil"/>
              <w:left w:val="nil"/>
              <w:bottom w:val="single" w:sz="4" w:space="0" w:color="auto"/>
              <w:right w:val="single" w:sz="4" w:space="0" w:color="auto"/>
            </w:tcBorders>
            <w:shd w:val="clear" w:color="000000" w:fill="F2F2F2"/>
            <w:vAlign w:val="center"/>
            <w:hideMark/>
          </w:tcPr>
          <w:p w14:paraId="09041A42"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EMPRESAS PÚBLICAS DEL QUINDIO S.A.   E.S.P.</w:t>
            </w:r>
          </w:p>
        </w:tc>
        <w:tc>
          <w:tcPr>
            <w:tcW w:w="1520" w:type="dxa"/>
            <w:tcBorders>
              <w:top w:val="nil"/>
              <w:left w:val="nil"/>
              <w:bottom w:val="single" w:sz="4" w:space="0" w:color="auto"/>
              <w:right w:val="single" w:sz="4" w:space="0" w:color="auto"/>
            </w:tcBorders>
            <w:shd w:val="clear" w:color="000000" w:fill="F2F2F2"/>
            <w:noWrap/>
            <w:vAlign w:val="center"/>
            <w:hideMark/>
          </w:tcPr>
          <w:p w14:paraId="7D70096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$ 73.817.739</w:t>
            </w:r>
          </w:p>
        </w:tc>
        <w:tc>
          <w:tcPr>
            <w:tcW w:w="1440" w:type="dxa"/>
            <w:tcBorders>
              <w:top w:val="nil"/>
              <w:left w:val="nil"/>
              <w:bottom w:val="single" w:sz="4" w:space="0" w:color="auto"/>
              <w:right w:val="single" w:sz="4" w:space="0" w:color="auto"/>
            </w:tcBorders>
            <w:shd w:val="clear" w:color="000000" w:fill="F2F2F2"/>
            <w:noWrap/>
            <w:vAlign w:val="center"/>
            <w:hideMark/>
          </w:tcPr>
          <w:p w14:paraId="4E24A471"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$ 11.822.994</w:t>
            </w:r>
          </w:p>
        </w:tc>
        <w:tc>
          <w:tcPr>
            <w:tcW w:w="1460" w:type="dxa"/>
            <w:tcBorders>
              <w:top w:val="nil"/>
              <w:left w:val="nil"/>
              <w:bottom w:val="single" w:sz="4" w:space="0" w:color="auto"/>
              <w:right w:val="single" w:sz="4" w:space="0" w:color="auto"/>
            </w:tcBorders>
            <w:shd w:val="clear" w:color="000000" w:fill="F2F2F2"/>
            <w:noWrap/>
            <w:vAlign w:val="center"/>
            <w:hideMark/>
          </w:tcPr>
          <w:p w14:paraId="6EC56F52"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$ 85.640.733</w:t>
            </w:r>
          </w:p>
        </w:tc>
        <w:tc>
          <w:tcPr>
            <w:tcW w:w="1260" w:type="dxa"/>
            <w:tcBorders>
              <w:top w:val="nil"/>
              <w:left w:val="nil"/>
              <w:bottom w:val="single" w:sz="4" w:space="0" w:color="auto"/>
              <w:right w:val="single" w:sz="4" w:space="0" w:color="auto"/>
            </w:tcBorders>
            <w:shd w:val="clear" w:color="000000" w:fill="F2F2F2"/>
            <w:noWrap/>
            <w:vAlign w:val="center"/>
            <w:hideMark/>
          </w:tcPr>
          <w:p w14:paraId="274C88B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$ 856.407</w:t>
            </w:r>
          </w:p>
        </w:tc>
        <w:tc>
          <w:tcPr>
            <w:tcW w:w="1120" w:type="dxa"/>
            <w:tcBorders>
              <w:top w:val="nil"/>
              <w:left w:val="nil"/>
              <w:bottom w:val="single" w:sz="4" w:space="0" w:color="auto"/>
              <w:right w:val="single" w:sz="4" w:space="0" w:color="auto"/>
            </w:tcBorders>
            <w:shd w:val="clear" w:color="000000" w:fill="F2F2F2"/>
            <w:noWrap/>
            <w:vAlign w:val="center"/>
            <w:hideMark/>
          </w:tcPr>
          <w:p w14:paraId="3E2490FE"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$ 36</w:t>
            </w:r>
          </w:p>
        </w:tc>
        <w:tc>
          <w:tcPr>
            <w:tcW w:w="1260" w:type="dxa"/>
            <w:tcBorders>
              <w:top w:val="nil"/>
              <w:left w:val="nil"/>
              <w:bottom w:val="single" w:sz="4" w:space="0" w:color="auto"/>
              <w:right w:val="single" w:sz="4" w:space="0" w:color="auto"/>
            </w:tcBorders>
            <w:shd w:val="clear" w:color="000000" w:fill="F2F2F2"/>
            <w:noWrap/>
            <w:vAlign w:val="center"/>
            <w:hideMark/>
          </w:tcPr>
          <w:p w14:paraId="1BDB3DF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$ 856.443</w:t>
            </w:r>
          </w:p>
        </w:tc>
        <w:tc>
          <w:tcPr>
            <w:tcW w:w="1920" w:type="dxa"/>
            <w:tcBorders>
              <w:top w:val="nil"/>
              <w:left w:val="nil"/>
              <w:bottom w:val="single" w:sz="4" w:space="0" w:color="auto"/>
              <w:right w:val="single" w:sz="4" w:space="0" w:color="auto"/>
            </w:tcBorders>
            <w:shd w:val="clear" w:color="000000" w:fill="F2F2F2"/>
            <w:vAlign w:val="center"/>
            <w:hideMark/>
          </w:tcPr>
          <w:p w14:paraId="44E3D59D"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GAS POR REDES - ACUEDUCTO - ALCANTARILLADO</w:t>
            </w:r>
          </w:p>
        </w:tc>
      </w:tr>
      <w:tr w:rsidR="00D705A6" w:rsidRPr="002E0BB9" w14:paraId="7D7C61E1" w14:textId="77777777" w:rsidTr="007D1249">
        <w:trPr>
          <w:trHeight w:val="4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10F70083"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5</w:t>
            </w:r>
          </w:p>
        </w:tc>
        <w:tc>
          <w:tcPr>
            <w:tcW w:w="560" w:type="dxa"/>
            <w:tcBorders>
              <w:top w:val="nil"/>
              <w:left w:val="nil"/>
              <w:bottom w:val="single" w:sz="4" w:space="0" w:color="auto"/>
              <w:right w:val="single" w:sz="4" w:space="0" w:color="auto"/>
            </w:tcBorders>
            <w:shd w:val="clear" w:color="000000" w:fill="F2F2F2"/>
            <w:noWrap/>
            <w:vAlign w:val="center"/>
            <w:hideMark/>
          </w:tcPr>
          <w:p w14:paraId="6EDB534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1801</w:t>
            </w:r>
          </w:p>
        </w:tc>
        <w:tc>
          <w:tcPr>
            <w:tcW w:w="920" w:type="dxa"/>
            <w:tcBorders>
              <w:top w:val="nil"/>
              <w:left w:val="nil"/>
              <w:bottom w:val="single" w:sz="4" w:space="0" w:color="auto"/>
              <w:right w:val="single" w:sz="4" w:space="0" w:color="auto"/>
            </w:tcBorders>
            <w:shd w:val="clear" w:color="000000" w:fill="F2F2F2"/>
            <w:noWrap/>
            <w:vAlign w:val="center"/>
            <w:hideMark/>
          </w:tcPr>
          <w:p w14:paraId="6F1641F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800136258</w:t>
            </w:r>
          </w:p>
        </w:tc>
        <w:tc>
          <w:tcPr>
            <w:tcW w:w="2180" w:type="dxa"/>
            <w:tcBorders>
              <w:top w:val="nil"/>
              <w:left w:val="nil"/>
              <w:bottom w:val="single" w:sz="4" w:space="0" w:color="auto"/>
              <w:right w:val="single" w:sz="4" w:space="0" w:color="auto"/>
            </w:tcBorders>
            <w:shd w:val="clear" w:color="000000" w:fill="F2F2F2"/>
            <w:vAlign w:val="center"/>
            <w:hideMark/>
          </w:tcPr>
          <w:p w14:paraId="43ECF6FF"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GAS GUAVIARE S.A. E.S.P.</w:t>
            </w:r>
          </w:p>
        </w:tc>
        <w:tc>
          <w:tcPr>
            <w:tcW w:w="1520" w:type="dxa"/>
            <w:tcBorders>
              <w:top w:val="nil"/>
              <w:left w:val="nil"/>
              <w:bottom w:val="single" w:sz="4" w:space="0" w:color="auto"/>
              <w:right w:val="single" w:sz="4" w:space="0" w:color="auto"/>
            </w:tcBorders>
            <w:shd w:val="clear" w:color="000000" w:fill="F2F2F2"/>
            <w:noWrap/>
            <w:vAlign w:val="center"/>
            <w:hideMark/>
          </w:tcPr>
          <w:p w14:paraId="74CC67E1"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$ 276.665.000</w:t>
            </w:r>
          </w:p>
        </w:tc>
        <w:tc>
          <w:tcPr>
            <w:tcW w:w="1440" w:type="dxa"/>
            <w:tcBorders>
              <w:top w:val="nil"/>
              <w:left w:val="nil"/>
              <w:bottom w:val="single" w:sz="4" w:space="0" w:color="auto"/>
              <w:right w:val="single" w:sz="4" w:space="0" w:color="auto"/>
            </w:tcBorders>
            <w:shd w:val="clear" w:color="000000" w:fill="F2F2F2"/>
            <w:noWrap/>
            <w:vAlign w:val="center"/>
            <w:hideMark/>
          </w:tcPr>
          <w:p w14:paraId="60BA1B5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$ 39.213.866</w:t>
            </w:r>
          </w:p>
        </w:tc>
        <w:tc>
          <w:tcPr>
            <w:tcW w:w="1460" w:type="dxa"/>
            <w:tcBorders>
              <w:top w:val="nil"/>
              <w:left w:val="nil"/>
              <w:bottom w:val="single" w:sz="4" w:space="0" w:color="auto"/>
              <w:right w:val="single" w:sz="4" w:space="0" w:color="auto"/>
            </w:tcBorders>
            <w:shd w:val="clear" w:color="000000" w:fill="F2F2F2"/>
            <w:noWrap/>
            <w:vAlign w:val="center"/>
            <w:hideMark/>
          </w:tcPr>
          <w:p w14:paraId="5EB8F66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$ 315.878.866</w:t>
            </w:r>
          </w:p>
        </w:tc>
        <w:tc>
          <w:tcPr>
            <w:tcW w:w="1260" w:type="dxa"/>
            <w:tcBorders>
              <w:top w:val="nil"/>
              <w:left w:val="nil"/>
              <w:bottom w:val="single" w:sz="4" w:space="0" w:color="auto"/>
              <w:right w:val="single" w:sz="4" w:space="0" w:color="auto"/>
            </w:tcBorders>
            <w:shd w:val="clear" w:color="000000" w:fill="F2F2F2"/>
            <w:noWrap/>
            <w:vAlign w:val="center"/>
            <w:hideMark/>
          </w:tcPr>
          <w:p w14:paraId="78D2E1E1"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$ 3.158.789</w:t>
            </w:r>
          </w:p>
        </w:tc>
        <w:tc>
          <w:tcPr>
            <w:tcW w:w="1120" w:type="dxa"/>
            <w:tcBorders>
              <w:top w:val="nil"/>
              <w:left w:val="nil"/>
              <w:bottom w:val="single" w:sz="4" w:space="0" w:color="auto"/>
              <w:right w:val="single" w:sz="4" w:space="0" w:color="auto"/>
            </w:tcBorders>
            <w:shd w:val="clear" w:color="000000" w:fill="F2F2F2"/>
            <w:noWrap/>
            <w:vAlign w:val="center"/>
            <w:hideMark/>
          </w:tcPr>
          <w:p w14:paraId="4D30619C"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$ 131</w:t>
            </w:r>
          </w:p>
        </w:tc>
        <w:tc>
          <w:tcPr>
            <w:tcW w:w="1260" w:type="dxa"/>
            <w:tcBorders>
              <w:top w:val="nil"/>
              <w:left w:val="nil"/>
              <w:bottom w:val="single" w:sz="4" w:space="0" w:color="auto"/>
              <w:right w:val="single" w:sz="4" w:space="0" w:color="auto"/>
            </w:tcBorders>
            <w:shd w:val="clear" w:color="000000" w:fill="F2F2F2"/>
            <w:noWrap/>
            <w:vAlign w:val="center"/>
            <w:hideMark/>
          </w:tcPr>
          <w:p w14:paraId="541D74AA"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$ 3.158.920</w:t>
            </w:r>
          </w:p>
        </w:tc>
        <w:tc>
          <w:tcPr>
            <w:tcW w:w="1920" w:type="dxa"/>
            <w:tcBorders>
              <w:top w:val="nil"/>
              <w:left w:val="nil"/>
              <w:bottom w:val="single" w:sz="4" w:space="0" w:color="auto"/>
              <w:right w:val="single" w:sz="4" w:space="0" w:color="auto"/>
            </w:tcBorders>
            <w:shd w:val="clear" w:color="000000" w:fill="F2F2F2"/>
            <w:vAlign w:val="center"/>
            <w:hideMark/>
          </w:tcPr>
          <w:p w14:paraId="0911732E"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GAS LICUADO DEL PETROLEO</w:t>
            </w:r>
          </w:p>
        </w:tc>
      </w:tr>
      <w:tr w:rsidR="00D705A6" w:rsidRPr="002E0BB9" w14:paraId="122D6E92" w14:textId="77777777" w:rsidTr="002E0BB9">
        <w:trPr>
          <w:trHeight w:val="1068"/>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27C40175"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6</w:t>
            </w:r>
          </w:p>
        </w:tc>
        <w:tc>
          <w:tcPr>
            <w:tcW w:w="560" w:type="dxa"/>
            <w:tcBorders>
              <w:top w:val="nil"/>
              <w:left w:val="nil"/>
              <w:bottom w:val="single" w:sz="4" w:space="0" w:color="auto"/>
              <w:right w:val="single" w:sz="4" w:space="0" w:color="auto"/>
            </w:tcBorders>
            <w:shd w:val="clear" w:color="000000" w:fill="F2F2F2"/>
            <w:noWrap/>
            <w:vAlign w:val="center"/>
            <w:hideMark/>
          </w:tcPr>
          <w:p w14:paraId="25789DC7"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497</w:t>
            </w:r>
          </w:p>
        </w:tc>
        <w:tc>
          <w:tcPr>
            <w:tcW w:w="920" w:type="dxa"/>
            <w:tcBorders>
              <w:top w:val="nil"/>
              <w:left w:val="nil"/>
              <w:bottom w:val="single" w:sz="4" w:space="0" w:color="auto"/>
              <w:right w:val="single" w:sz="4" w:space="0" w:color="auto"/>
            </w:tcBorders>
            <w:shd w:val="clear" w:color="000000" w:fill="F2F2F2"/>
            <w:noWrap/>
            <w:vAlign w:val="center"/>
            <w:hideMark/>
          </w:tcPr>
          <w:p w14:paraId="1F499E95"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800149537</w:t>
            </w:r>
          </w:p>
        </w:tc>
        <w:tc>
          <w:tcPr>
            <w:tcW w:w="2180" w:type="dxa"/>
            <w:tcBorders>
              <w:top w:val="nil"/>
              <w:left w:val="nil"/>
              <w:bottom w:val="single" w:sz="4" w:space="0" w:color="auto"/>
              <w:right w:val="single" w:sz="4" w:space="0" w:color="auto"/>
            </w:tcBorders>
            <w:shd w:val="clear" w:color="000000" w:fill="F2F2F2"/>
            <w:vAlign w:val="center"/>
            <w:hideMark/>
          </w:tcPr>
          <w:p w14:paraId="665571F3" w14:textId="4FC64B48"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PROMOTORA DE ENERGIA ELECTRICA DE CARTAGENA Y COMPANIA SOCIEDAD EN COMANDITA POR ACCIONES-EMPRESA DE SERVICIOS PUBLICOS</w:t>
            </w:r>
            <w:r w:rsidR="002E0BB9">
              <w:rPr>
                <w:rFonts w:ascii="Arial Narrow" w:hAnsi="Arial Narrow" w:cs="Arial"/>
                <w:spacing w:val="0"/>
                <w:sz w:val="16"/>
                <w:szCs w:val="16"/>
                <w:lang w:val="es-MX" w:eastAsia="es-MX"/>
              </w:rPr>
              <w:t>.</w:t>
            </w:r>
          </w:p>
        </w:tc>
        <w:tc>
          <w:tcPr>
            <w:tcW w:w="1520" w:type="dxa"/>
            <w:tcBorders>
              <w:top w:val="nil"/>
              <w:left w:val="nil"/>
              <w:bottom w:val="single" w:sz="4" w:space="0" w:color="auto"/>
              <w:right w:val="single" w:sz="4" w:space="0" w:color="auto"/>
            </w:tcBorders>
            <w:shd w:val="clear" w:color="000000" w:fill="F2F2F2"/>
            <w:noWrap/>
            <w:vAlign w:val="center"/>
            <w:hideMark/>
          </w:tcPr>
          <w:p w14:paraId="77015D7A"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$ 5.190.252.000</w:t>
            </w:r>
          </w:p>
        </w:tc>
        <w:tc>
          <w:tcPr>
            <w:tcW w:w="1440" w:type="dxa"/>
            <w:tcBorders>
              <w:top w:val="nil"/>
              <w:left w:val="nil"/>
              <w:bottom w:val="single" w:sz="4" w:space="0" w:color="auto"/>
              <w:right w:val="single" w:sz="4" w:space="0" w:color="auto"/>
            </w:tcBorders>
            <w:shd w:val="clear" w:color="000000" w:fill="F2F2F2"/>
            <w:noWrap/>
            <w:vAlign w:val="center"/>
            <w:hideMark/>
          </w:tcPr>
          <w:p w14:paraId="0A6C083C"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$ 840.588.830</w:t>
            </w:r>
          </w:p>
        </w:tc>
        <w:tc>
          <w:tcPr>
            <w:tcW w:w="1460" w:type="dxa"/>
            <w:tcBorders>
              <w:top w:val="nil"/>
              <w:left w:val="nil"/>
              <w:bottom w:val="single" w:sz="4" w:space="0" w:color="auto"/>
              <w:right w:val="single" w:sz="4" w:space="0" w:color="auto"/>
            </w:tcBorders>
            <w:shd w:val="clear" w:color="000000" w:fill="F2F2F2"/>
            <w:noWrap/>
            <w:vAlign w:val="center"/>
            <w:hideMark/>
          </w:tcPr>
          <w:p w14:paraId="6D84A376"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$ 6.030.840.830</w:t>
            </w:r>
          </w:p>
        </w:tc>
        <w:tc>
          <w:tcPr>
            <w:tcW w:w="1260" w:type="dxa"/>
            <w:tcBorders>
              <w:top w:val="nil"/>
              <w:left w:val="nil"/>
              <w:bottom w:val="single" w:sz="4" w:space="0" w:color="auto"/>
              <w:right w:val="single" w:sz="4" w:space="0" w:color="auto"/>
            </w:tcBorders>
            <w:shd w:val="clear" w:color="000000" w:fill="F2F2F2"/>
            <w:noWrap/>
            <w:vAlign w:val="center"/>
            <w:hideMark/>
          </w:tcPr>
          <w:p w14:paraId="147FD28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$ 60.308.408</w:t>
            </w:r>
          </w:p>
        </w:tc>
        <w:tc>
          <w:tcPr>
            <w:tcW w:w="1120" w:type="dxa"/>
            <w:tcBorders>
              <w:top w:val="nil"/>
              <w:left w:val="nil"/>
              <w:bottom w:val="single" w:sz="4" w:space="0" w:color="auto"/>
              <w:right w:val="single" w:sz="4" w:space="0" w:color="auto"/>
            </w:tcBorders>
            <w:shd w:val="clear" w:color="000000" w:fill="F2F2F2"/>
            <w:noWrap/>
            <w:vAlign w:val="center"/>
            <w:hideMark/>
          </w:tcPr>
          <w:p w14:paraId="06BBD41E"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$ 2.510</w:t>
            </w:r>
          </w:p>
        </w:tc>
        <w:tc>
          <w:tcPr>
            <w:tcW w:w="1260" w:type="dxa"/>
            <w:tcBorders>
              <w:top w:val="nil"/>
              <w:left w:val="nil"/>
              <w:bottom w:val="single" w:sz="4" w:space="0" w:color="auto"/>
              <w:right w:val="single" w:sz="4" w:space="0" w:color="auto"/>
            </w:tcBorders>
            <w:shd w:val="clear" w:color="000000" w:fill="F2F2F2"/>
            <w:noWrap/>
            <w:vAlign w:val="center"/>
            <w:hideMark/>
          </w:tcPr>
          <w:p w14:paraId="6EC5454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$ 60.310.918</w:t>
            </w:r>
          </w:p>
        </w:tc>
        <w:tc>
          <w:tcPr>
            <w:tcW w:w="1920" w:type="dxa"/>
            <w:tcBorders>
              <w:top w:val="nil"/>
              <w:left w:val="nil"/>
              <w:bottom w:val="single" w:sz="4" w:space="0" w:color="auto"/>
              <w:right w:val="single" w:sz="4" w:space="0" w:color="auto"/>
            </w:tcBorders>
            <w:shd w:val="clear" w:color="000000" w:fill="F2F2F2"/>
            <w:vAlign w:val="center"/>
            <w:hideMark/>
          </w:tcPr>
          <w:p w14:paraId="20FFD8D0"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w:t>
            </w:r>
          </w:p>
        </w:tc>
      </w:tr>
      <w:tr w:rsidR="00D705A6" w:rsidRPr="002E0BB9" w14:paraId="1285B1BD" w14:textId="77777777" w:rsidTr="007D1249">
        <w:trPr>
          <w:trHeight w:val="4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73F783B2"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7</w:t>
            </w:r>
          </w:p>
        </w:tc>
        <w:tc>
          <w:tcPr>
            <w:tcW w:w="560" w:type="dxa"/>
            <w:tcBorders>
              <w:top w:val="nil"/>
              <w:left w:val="nil"/>
              <w:bottom w:val="single" w:sz="4" w:space="0" w:color="auto"/>
              <w:right w:val="single" w:sz="4" w:space="0" w:color="auto"/>
            </w:tcBorders>
            <w:shd w:val="clear" w:color="000000" w:fill="F2F2F2"/>
            <w:noWrap/>
            <w:vAlign w:val="center"/>
            <w:hideMark/>
          </w:tcPr>
          <w:p w14:paraId="7984276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1715</w:t>
            </w:r>
          </w:p>
        </w:tc>
        <w:tc>
          <w:tcPr>
            <w:tcW w:w="920" w:type="dxa"/>
            <w:tcBorders>
              <w:top w:val="nil"/>
              <w:left w:val="nil"/>
              <w:bottom w:val="single" w:sz="4" w:space="0" w:color="auto"/>
              <w:right w:val="single" w:sz="4" w:space="0" w:color="auto"/>
            </w:tcBorders>
            <w:shd w:val="clear" w:color="000000" w:fill="F2F2F2"/>
            <w:noWrap/>
            <w:vAlign w:val="center"/>
            <w:hideMark/>
          </w:tcPr>
          <w:p w14:paraId="5DE81E8A"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800150534</w:t>
            </w:r>
          </w:p>
        </w:tc>
        <w:tc>
          <w:tcPr>
            <w:tcW w:w="2180" w:type="dxa"/>
            <w:tcBorders>
              <w:top w:val="nil"/>
              <w:left w:val="nil"/>
              <w:bottom w:val="single" w:sz="4" w:space="0" w:color="auto"/>
              <w:right w:val="single" w:sz="4" w:space="0" w:color="auto"/>
            </w:tcBorders>
            <w:shd w:val="clear" w:color="000000" w:fill="F2F2F2"/>
            <w:vAlign w:val="center"/>
            <w:hideMark/>
          </w:tcPr>
          <w:p w14:paraId="2CE86DAC"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GAS EL SOL S.A. E.S.P.</w:t>
            </w:r>
          </w:p>
        </w:tc>
        <w:tc>
          <w:tcPr>
            <w:tcW w:w="1520" w:type="dxa"/>
            <w:tcBorders>
              <w:top w:val="nil"/>
              <w:left w:val="nil"/>
              <w:bottom w:val="single" w:sz="4" w:space="0" w:color="auto"/>
              <w:right w:val="single" w:sz="4" w:space="0" w:color="auto"/>
            </w:tcBorders>
            <w:shd w:val="clear" w:color="000000" w:fill="F2F2F2"/>
            <w:noWrap/>
            <w:vAlign w:val="center"/>
            <w:hideMark/>
          </w:tcPr>
          <w:p w14:paraId="6BC43BA5"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$ 164.294.000</w:t>
            </w:r>
          </w:p>
        </w:tc>
        <w:tc>
          <w:tcPr>
            <w:tcW w:w="1440" w:type="dxa"/>
            <w:tcBorders>
              <w:top w:val="nil"/>
              <w:left w:val="nil"/>
              <w:bottom w:val="single" w:sz="4" w:space="0" w:color="auto"/>
              <w:right w:val="single" w:sz="4" w:space="0" w:color="auto"/>
            </w:tcBorders>
            <w:shd w:val="clear" w:color="000000" w:fill="F2F2F2"/>
            <w:noWrap/>
            <w:vAlign w:val="center"/>
            <w:hideMark/>
          </w:tcPr>
          <w:p w14:paraId="623112D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$ 0</w:t>
            </w:r>
          </w:p>
        </w:tc>
        <w:tc>
          <w:tcPr>
            <w:tcW w:w="1460" w:type="dxa"/>
            <w:tcBorders>
              <w:top w:val="nil"/>
              <w:left w:val="nil"/>
              <w:bottom w:val="single" w:sz="4" w:space="0" w:color="auto"/>
              <w:right w:val="single" w:sz="4" w:space="0" w:color="auto"/>
            </w:tcBorders>
            <w:shd w:val="clear" w:color="000000" w:fill="F2F2F2"/>
            <w:noWrap/>
            <w:vAlign w:val="center"/>
            <w:hideMark/>
          </w:tcPr>
          <w:p w14:paraId="0FABA8BB"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$ 164.294.000</w:t>
            </w:r>
          </w:p>
        </w:tc>
        <w:tc>
          <w:tcPr>
            <w:tcW w:w="1260" w:type="dxa"/>
            <w:tcBorders>
              <w:top w:val="nil"/>
              <w:left w:val="nil"/>
              <w:bottom w:val="single" w:sz="4" w:space="0" w:color="auto"/>
              <w:right w:val="single" w:sz="4" w:space="0" w:color="auto"/>
            </w:tcBorders>
            <w:shd w:val="clear" w:color="000000" w:fill="F2F2F2"/>
            <w:noWrap/>
            <w:vAlign w:val="center"/>
            <w:hideMark/>
          </w:tcPr>
          <w:p w14:paraId="4774C861"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$ 1.642.940</w:t>
            </w:r>
          </w:p>
        </w:tc>
        <w:tc>
          <w:tcPr>
            <w:tcW w:w="1120" w:type="dxa"/>
            <w:tcBorders>
              <w:top w:val="nil"/>
              <w:left w:val="nil"/>
              <w:bottom w:val="single" w:sz="4" w:space="0" w:color="auto"/>
              <w:right w:val="single" w:sz="4" w:space="0" w:color="auto"/>
            </w:tcBorders>
            <w:shd w:val="clear" w:color="000000" w:fill="F2F2F2"/>
            <w:noWrap/>
            <w:vAlign w:val="center"/>
            <w:hideMark/>
          </w:tcPr>
          <w:p w14:paraId="6637FEC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$ 68</w:t>
            </w:r>
          </w:p>
        </w:tc>
        <w:tc>
          <w:tcPr>
            <w:tcW w:w="1260" w:type="dxa"/>
            <w:tcBorders>
              <w:top w:val="nil"/>
              <w:left w:val="nil"/>
              <w:bottom w:val="single" w:sz="4" w:space="0" w:color="auto"/>
              <w:right w:val="single" w:sz="4" w:space="0" w:color="auto"/>
            </w:tcBorders>
            <w:shd w:val="clear" w:color="000000" w:fill="F2F2F2"/>
            <w:noWrap/>
            <w:vAlign w:val="center"/>
            <w:hideMark/>
          </w:tcPr>
          <w:p w14:paraId="0D366526"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$ 1.643.008</w:t>
            </w:r>
          </w:p>
        </w:tc>
        <w:tc>
          <w:tcPr>
            <w:tcW w:w="1920" w:type="dxa"/>
            <w:tcBorders>
              <w:top w:val="nil"/>
              <w:left w:val="nil"/>
              <w:bottom w:val="single" w:sz="4" w:space="0" w:color="auto"/>
              <w:right w:val="single" w:sz="4" w:space="0" w:color="auto"/>
            </w:tcBorders>
            <w:shd w:val="clear" w:color="000000" w:fill="F2F2F2"/>
            <w:vAlign w:val="center"/>
            <w:hideMark/>
          </w:tcPr>
          <w:p w14:paraId="7AD32D81"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GAS LICUADO DEL PETROLEO</w:t>
            </w:r>
          </w:p>
        </w:tc>
      </w:tr>
      <w:tr w:rsidR="00D705A6" w:rsidRPr="002E0BB9" w14:paraId="177E1017" w14:textId="77777777" w:rsidTr="007D1249">
        <w:trPr>
          <w:trHeight w:val="8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2E006D83"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8</w:t>
            </w:r>
          </w:p>
        </w:tc>
        <w:tc>
          <w:tcPr>
            <w:tcW w:w="560" w:type="dxa"/>
            <w:tcBorders>
              <w:top w:val="nil"/>
              <w:left w:val="nil"/>
              <w:bottom w:val="single" w:sz="4" w:space="0" w:color="auto"/>
              <w:right w:val="single" w:sz="4" w:space="0" w:color="auto"/>
            </w:tcBorders>
            <w:shd w:val="clear" w:color="000000" w:fill="F2F2F2"/>
            <w:noWrap/>
            <w:vAlign w:val="center"/>
            <w:hideMark/>
          </w:tcPr>
          <w:p w14:paraId="617609DD"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622</w:t>
            </w:r>
          </w:p>
        </w:tc>
        <w:tc>
          <w:tcPr>
            <w:tcW w:w="920" w:type="dxa"/>
            <w:tcBorders>
              <w:top w:val="nil"/>
              <w:left w:val="nil"/>
              <w:bottom w:val="single" w:sz="4" w:space="0" w:color="auto"/>
              <w:right w:val="single" w:sz="4" w:space="0" w:color="auto"/>
            </w:tcBorders>
            <w:shd w:val="clear" w:color="000000" w:fill="F2F2F2"/>
            <w:noWrap/>
            <w:vAlign w:val="center"/>
            <w:hideMark/>
          </w:tcPr>
          <w:p w14:paraId="086543D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800163392</w:t>
            </w:r>
          </w:p>
        </w:tc>
        <w:tc>
          <w:tcPr>
            <w:tcW w:w="2180" w:type="dxa"/>
            <w:tcBorders>
              <w:top w:val="nil"/>
              <w:left w:val="nil"/>
              <w:bottom w:val="single" w:sz="4" w:space="0" w:color="auto"/>
              <w:right w:val="single" w:sz="4" w:space="0" w:color="auto"/>
            </w:tcBorders>
            <w:shd w:val="clear" w:color="000000" w:fill="F2F2F2"/>
            <w:vAlign w:val="center"/>
            <w:hideMark/>
          </w:tcPr>
          <w:p w14:paraId="2FE97AA9"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EMPRESA COMUNITARIA DE ACUEDUCTO, ALCANTARILLADO Y ASEO DE SARAVENA</w:t>
            </w:r>
          </w:p>
        </w:tc>
        <w:tc>
          <w:tcPr>
            <w:tcW w:w="1520" w:type="dxa"/>
            <w:tcBorders>
              <w:top w:val="nil"/>
              <w:left w:val="nil"/>
              <w:bottom w:val="single" w:sz="4" w:space="0" w:color="auto"/>
              <w:right w:val="single" w:sz="4" w:space="0" w:color="auto"/>
            </w:tcBorders>
            <w:shd w:val="clear" w:color="000000" w:fill="F2F2F2"/>
            <w:noWrap/>
            <w:vAlign w:val="center"/>
            <w:hideMark/>
          </w:tcPr>
          <w:p w14:paraId="2B13652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$ 151.808.000</w:t>
            </w:r>
          </w:p>
        </w:tc>
        <w:tc>
          <w:tcPr>
            <w:tcW w:w="1440" w:type="dxa"/>
            <w:tcBorders>
              <w:top w:val="nil"/>
              <w:left w:val="nil"/>
              <w:bottom w:val="single" w:sz="4" w:space="0" w:color="auto"/>
              <w:right w:val="single" w:sz="4" w:space="0" w:color="auto"/>
            </w:tcBorders>
            <w:shd w:val="clear" w:color="000000" w:fill="F2F2F2"/>
            <w:noWrap/>
            <w:vAlign w:val="center"/>
            <w:hideMark/>
          </w:tcPr>
          <w:p w14:paraId="221C9F7A"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$ 4.552.899</w:t>
            </w:r>
          </w:p>
        </w:tc>
        <w:tc>
          <w:tcPr>
            <w:tcW w:w="1460" w:type="dxa"/>
            <w:tcBorders>
              <w:top w:val="nil"/>
              <w:left w:val="nil"/>
              <w:bottom w:val="single" w:sz="4" w:space="0" w:color="auto"/>
              <w:right w:val="single" w:sz="4" w:space="0" w:color="auto"/>
            </w:tcBorders>
            <w:shd w:val="clear" w:color="000000" w:fill="F2F2F2"/>
            <w:noWrap/>
            <w:vAlign w:val="center"/>
            <w:hideMark/>
          </w:tcPr>
          <w:p w14:paraId="3F1ECD0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$ 156.360.899</w:t>
            </w:r>
          </w:p>
        </w:tc>
        <w:tc>
          <w:tcPr>
            <w:tcW w:w="1260" w:type="dxa"/>
            <w:tcBorders>
              <w:top w:val="nil"/>
              <w:left w:val="nil"/>
              <w:bottom w:val="single" w:sz="4" w:space="0" w:color="auto"/>
              <w:right w:val="single" w:sz="4" w:space="0" w:color="auto"/>
            </w:tcBorders>
            <w:shd w:val="clear" w:color="000000" w:fill="F2F2F2"/>
            <w:noWrap/>
            <w:vAlign w:val="center"/>
            <w:hideMark/>
          </w:tcPr>
          <w:p w14:paraId="1BAC9136"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$ 1.563.609</w:t>
            </w:r>
          </w:p>
        </w:tc>
        <w:tc>
          <w:tcPr>
            <w:tcW w:w="1120" w:type="dxa"/>
            <w:tcBorders>
              <w:top w:val="nil"/>
              <w:left w:val="nil"/>
              <w:bottom w:val="single" w:sz="4" w:space="0" w:color="auto"/>
              <w:right w:val="single" w:sz="4" w:space="0" w:color="auto"/>
            </w:tcBorders>
            <w:shd w:val="clear" w:color="000000" w:fill="F2F2F2"/>
            <w:noWrap/>
            <w:vAlign w:val="center"/>
            <w:hideMark/>
          </w:tcPr>
          <w:p w14:paraId="464B8E46"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$ 65</w:t>
            </w:r>
          </w:p>
        </w:tc>
        <w:tc>
          <w:tcPr>
            <w:tcW w:w="1260" w:type="dxa"/>
            <w:tcBorders>
              <w:top w:val="nil"/>
              <w:left w:val="nil"/>
              <w:bottom w:val="single" w:sz="4" w:space="0" w:color="auto"/>
              <w:right w:val="single" w:sz="4" w:space="0" w:color="auto"/>
            </w:tcBorders>
            <w:shd w:val="clear" w:color="000000" w:fill="F2F2F2"/>
            <w:noWrap/>
            <w:vAlign w:val="center"/>
            <w:hideMark/>
          </w:tcPr>
          <w:p w14:paraId="5B9DDC1C"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$ 1.563.674</w:t>
            </w:r>
          </w:p>
        </w:tc>
        <w:tc>
          <w:tcPr>
            <w:tcW w:w="1920" w:type="dxa"/>
            <w:tcBorders>
              <w:top w:val="nil"/>
              <w:left w:val="nil"/>
              <w:bottom w:val="single" w:sz="4" w:space="0" w:color="auto"/>
              <w:right w:val="single" w:sz="4" w:space="0" w:color="auto"/>
            </w:tcBorders>
            <w:shd w:val="clear" w:color="000000" w:fill="F2F2F2"/>
            <w:vAlign w:val="center"/>
            <w:hideMark/>
          </w:tcPr>
          <w:p w14:paraId="5211FF5A"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GAS POR REDES - ACUEDUCTO - ALCANTARILLADO - ASEO</w:t>
            </w:r>
          </w:p>
        </w:tc>
      </w:tr>
      <w:tr w:rsidR="00D705A6" w:rsidRPr="002E0BB9" w14:paraId="14AC1AC7" w14:textId="77777777" w:rsidTr="007D1249">
        <w:trPr>
          <w:trHeight w:val="4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5A3C0783"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w:t>
            </w:r>
          </w:p>
        </w:tc>
        <w:tc>
          <w:tcPr>
            <w:tcW w:w="560" w:type="dxa"/>
            <w:tcBorders>
              <w:top w:val="nil"/>
              <w:left w:val="nil"/>
              <w:bottom w:val="single" w:sz="4" w:space="0" w:color="auto"/>
              <w:right w:val="single" w:sz="4" w:space="0" w:color="auto"/>
            </w:tcBorders>
            <w:shd w:val="clear" w:color="000000" w:fill="F2F2F2"/>
            <w:noWrap/>
            <w:vAlign w:val="center"/>
            <w:hideMark/>
          </w:tcPr>
          <w:p w14:paraId="4BF91F8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1115</w:t>
            </w:r>
          </w:p>
        </w:tc>
        <w:tc>
          <w:tcPr>
            <w:tcW w:w="920" w:type="dxa"/>
            <w:tcBorders>
              <w:top w:val="nil"/>
              <w:left w:val="nil"/>
              <w:bottom w:val="single" w:sz="4" w:space="0" w:color="auto"/>
              <w:right w:val="single" w:sz="4" w:space="0" w:color="auto"/>
            </w:tcBorders>
            <w:shd w:val="clear" w:color="000000" w:fill="F2F2F2"/>
            <w:noWrap/>
            <w:vAlign w:val="center"/>
            <w:hideMark/>
          </w:tcPr>
          <w:p w14:paraId="2F3B704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800166132</w:t>
            </w:r>
          </w:p>
        </w:tc>
        <w:tc>
          <w:tcPr>
            <w:tcW w:w="2180" w:type="dxa"/>
            <w:tcBorders>
              <w:top w:val="nil"/>
              <w:left w:val="nil"/>
              <w:bottom w:val="single" w:sz="4" w:space="0" w:color="auto"/>
              <w:right w:val="single" w:sz="4" w:space="0" w:color="auto"/>
            </w:tcBorders>
            <w:shd w:val="clear" w:color="000000" w:fill="F2F2F2"/>
            <w:vAlign w:val="center"/>
            <w:hideMark/>
          </w:tcPr>
          <w:p w14:paraId="1650609E"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VELOGAS S.A.  E.S.P.</w:t>
            </w:r>
          </w:p>
        </w:tc>
        <w:tc>
          <w:tcPr>
            <w:tcW w:w="1520" w:type="dxa"/>
            <w:tcBorders>
              <w:top w:val="nil"/>
              <w:left w:val="nil"/>
              <w:bottom w:val="single" w:sz="4" w:space="0" w:color="auto"/>
              <w:right w:val="single" w:sz="4" w:space="0" w:color="auto"/>
            </w:tcBorders>
            <w:shd w:val="clear" w:color="000000" w:fill="F2F2F2"/>
            <w:noWrap/>
            <w:vAlign w:val="center"/>
            <w:hideMark/>
          </w:tcPr>
          <w:p w14:paraId="24973FAD"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$ 353.458.393</w:t>
            </w:r>
          </w:p>
        </w:tc>
        <w:tc>
          <w:tcPr>
            <w:tcW w:w="1440" w:type="dxa"/>
            <w:tcBorders>
              <w:top w:val="nil"/>
              <w:left w:val="nil"/>
              <w:bottom w:val="single" w:sz="4" w:space="0" w:color="auto"/>
              <w:right w:val="single" w:sz="4" w:space="0" w:color="auto"/>
            </w:tcBorders>
            <w:shd w:val="clear" w:color="000000" w:fill="F2F2F2"/>
            <w:noWrap/>
            <w:vAlign w:val="center"/>
            <w:hideMark/>
          </w:tcPr>
          <w:p w14:paraId="5972A51D"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$ 15.150.793</w:t>
            </w:r>
          </w:p>
        </w:tc>
        <w:tc>
          <w:tcPr>
            <w:tcW w:w="1460" w:type="dxa"/>
            <w:tcBorders>
              <w:top w:val="nil"/>
              <w:left w:val="nil"/>
              <w:bottom w:val="single" w:sz="4" w:space="0" w:color="auto"/>
              <w:right w:val="single" w:sz="4" w:space="0" w:color="auto"/>
            </w:tcBorders>
            <w:shd w:val="clear" w:color="000000" w:fill="F2F2F2"/>
            <w:noWrap/>
            <w:vAlign w:val="center"/>
            <w:hideMark/>
          </w:tcPr>
          <w:p w14:paraId="1E353E8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$ 368.609.186</w:t>
            </w:r>
          </w:p>
        </w:tc>
        <w:tc>
          <w:tcPr>
            <w:tcW w:w="1260" w:type="dxa"/>
            <w:tcBorders>
              <w:top w:val="nil"/>
              <w:left w:val="nil"/>
              <w:bottom w:val="single" w:sz="4" w:space="0" w:color="auto"/>
              <w:right w:val="single" w:sz="4" w:space="0" w:color="auto"/>
            </w:tcBorders>
            <w:shd w:val="clear" w:color="000000" w:fill="F2F2F2"/>
            <w:noWrap/>
            <w:vAlign w:val="center"/>
            <w:hideMark/>
          </w:tcPr>
          <w:p w14:paraId="7BAB7CBA"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$ 3.686.092</w:t>
            </w:r>
          </w:p>
        </w:tc>
        <w:tc>
          <w:tcPr>
            <w:tcW w:w="1120" w:type="dxa"/>
            <w:tcBorders>
              <w:top w:val="nil"/>
              <w:left w:val="nil"/>
              <w:bottom w:val="single" w:sz="4" w:space="0" w:color="auto"/>
              <w:right w:val="single" w:sz="4" w:space="0" w:color="auto"/>
            </w:tcBorders>
            <w:shd w:val="clear" w:color="000000" w:fill="F2F2F2"/>
            <w:noWrap/>
            <w:vAlign w:val="center"/>
            <w:hideMark/>
          </w:tcPr>
          <w:p w14:paraId="7CDCEFAA"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$ 153</w:t>
            </w:r>
          </w:p>
        </w:tc>
        <w:tc>
          <w:tcPr>
            <w:tcW w:w="1260" w:type="dxa"/>
            <w:tcBorders>
              <w:top w:val="nil"/>
              <w:left w:val="nil"/>
              <w:bottom w:val="single" w:sz="4" w:space="0" w:color="auto"/>
              <w:right w:val="single" w:sz="4" w:space="0" w:color="auto"/>
            </w:tcBorders>
            <w:shd w:val="clear" w:color="000000" w:fill="F2F2F2"/>
            <w:noWrap/>
            <w:vAlign w:val="center"/>
            <w:hideMark/>
          </w:tcPr>
          <w:p w14:paraId="42E355F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$ 3.686.245</w:t>
            </w:r>
          </w:p>
        </w:tc>
        <w:tc>
          <w:tcPr>
            <w:tcW w:w="1920" w:type="dxa"/>
            <w:tcBorders>
              <w:top w:val="nil"/>
              <w:left w:val="nil"/>
              <w:bottom w:val="single" w:sz="4" w:space="0" w:color="auto"/>
              <w:right w:val="single" w:sz="4" w:space="0" w:color="auto"/>
            </w:tcBorders>
            <w:shd w:val="clear" w:color="000000" w:fill="F2F2F2"/>
            <w:vAlign w:val="center"/>
            <w:hideMark/>
          </w:tcPr>
          <w:p w14:paraId="26653B99"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GAS LICUADO DEL PETROLEO</w:t>
            </w:r>
          </w:p>
        </w:tc>
      </w:tr>
      <w:tr w:rsidR="00D705A6" w:rsidRPr="002E0BB9" w14:paraId="15596B6A" w14:textId="77777777" w:rsidTr="007D1249">
        <w:trPr>
          <w:trHeight w:val="6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298BEEA1"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10</w:t>
            </w:r>
          </w:p>
        </w:tc>
        <w:tc>
          <w:tcPr>
            <w:tcW w:w="560" w:type="dxa"/>
            <w:tcBorders>
              <w:top w:val="nil"/>
              <w:left w:val="nil"/>
              <w:bottom w:val="single" w:sz="4" w:space="0" w:color="auto"/>
              <w:right w:val="single" w:sz="4" w:space="0" w:color="auto"/>
            </w:tcBorders>
            <w:shd w:val="clear" w:color="000000" w:fill="F2F2F2"/>
            <w:noWrap/>
            <w:vAlign w:val="center"/>
            <w:hideMark/>
          </w:tcPr>
          <w:p w14:paraId="784E620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629</w:t>
            </w:r>
          </w:p>
        </w:tc>
        <w:tc>
          <w:tcPr>
            <w:tcW w:w="920" w:type="dxa"/>
            <w:tcBorders>
              <w:top w:val="nil"/>
              <w:left w:val="nil"/>
              <w:bottom w:val="single" w:sz="4" w:space="0" w:color="auto"/>
              <w:right w:val="single" w:sz="4" w:space="0" w:color="auto"/>
            </w:tcBorders>
            <w:shd w:val="clear" w:color="000000" w:fill="F2F2F2"/>
            <w:noWrap/>
            <w:vAlign w:val="center"/>
            <w:hideMark/>
          </w:tcPr>
          <w:p w14:paraId="721310E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800167643</w:t>
            </w:r>
          </w:p>
        </w:tc>
        <w:tc>
          <w:tcPr>
            <w:tcW w:w="2180" w:type="dxa"/>
            <w:tcBorders>
              <w:top w:val="nil"/>
              <w:left w:val="nil"/>
              <w:bottom w:val="single" w:sz="4" w:space="0" w:color="auto"/>
              <w:right w:val="single" w:sz="4" w:space="0" w:color="auto"/>
            </w:tcBorders>
            <w:shd w:val="clear" w:color="000000" w:fill="F2F2F2"/>
            <w:vAlign w:val="center"/>
            <w:hideMark/>
          </w:tcPr>
          <w:p w14:paraId="607BC1C9"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GASES DE OCCIDENTE S. A. EMPRESA DE SERVICIOS PUBLICOS</w:t>
            </w:r>
          </w:p>
        </w:tc>
        <w:tc>
          <w:tcPr>
            <w:tcW w:w="1520" w:type="dxa"/>
            <w:tcBorders>
              <w:top w:val="nil"/>
              <w:left w:val="nil"/>
              <w:bottom w:val="single" w:sz="4" w:space="0" w:color="auto"/>
              <w:right w:val="single" w:sz="4" w:space="0" w:color="auto"/>
            </w:tcBorders>
            <w:shd w:val="clear" w:color="000000" w:fill="F2F2F2"/>
            <w:noWrap/>
            <w:vAlign w:val="center"/>
            <w:hideMark/>
          </w:tcPr>
          <w:p w14:paraId="06C61676"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$ 40.587.584.000</w:t>
            </w:r>
          </w:p>
        </w:tc>
        <w:tc>
          <w:tcPr>
            <w:tcW w:w="1440" w:type="dxa"/>
            <w:tcBorders>
              <w:top w:val="nil"/>
              <w:left w:val="nil"/>
              <w:bottom w:val="single" w:sz="4" w:space="0" w:color="auto"/>
              <w:right w:val="single" w:sz="4" w:space="0" w:color="auto"/>
            </w:tcBorders>
            <w:shd w:val="clear" w:color="000000" w:fill="F2F2F2"/>
            <w:noWrap/>
            <w:vAlign w:val="center"/>
            <w:hideMark/>
          </w:tcPr>
          <w:p w14:paraId="7858698E"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$ 8.494.221.250</w:t>
            </w:r>
          </w:p>
        </w:tc>
        <w:tc>
          <w:tcPr>
            <w:tcW w:w="1460" w:type="dxa"/>
            <w:tcBorders>
              <w:top w:val="nil"/>
              <w:left w:val="nil"/>
              <w:bottom w:val="single" w:sz="4" w:space="0" w:color="auto"/>
              <w:right w:val="single" w:sz="4" w:space="0" w:color="auto"/>
            </w:tcBorders>
            <w:shd w:val="clear" w:color="000000" w:fill="F2F2F2"/>
            <w:noWrap/>
            <w:vAlign w:val="center"/>
            <w:hideMark/>
          </w:tcPr>
          <w:p w14:paraId="72D671BB"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$ 49.081.805.250</w:t>
            </w:r>
          </w:p>
        </w:tc>
        <w:tc>
          <w:tcPr>
            <w:tcW w:w="1260" w:type="dxa"/>
            <w:tcBorders>
              <w:top w:val="nil"/>
              <w:left w:val="nil"/>
              <w:bottom w:val="single" w:sz="4" w:space="0" w:color="auto"/>
              <w:right w:val="single" w:sz="4" w:space="0" w:color="auto"/>
            </w:tcBorders>
            <w:shd w:val="clear" w:color="000000" w:fill="F2F2F2"/>
            <w:noWrap/>
            <w:vAlign w:val="center"/>
            <w:hideMark/>
          </w:tcPr>
          <w:p w14:paraId="27D60A9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$ 490.818.052</w:t>
            </w:r>
          </w:p>
        </w:tc>
        <w:tc>
          <w:tcPr>
            <w:tcW w:w="1120" w:type="dxa"/>
            <w:tcBorders>
              <w:top w:val="nil"/>
              <w:left w:val="nil"/>
              <w:bottom w:val="single" w:sz="4" w:space="0" w:color="auto"/>
              <w:right w:val="single" w:sz="4" w:space="0" w:color="auto"/>
            </w:tcBorders>
            <w:shd w:val="clear" w:color="000000" w:fill="F2F2F2"/>
            <w:noWrap/>
            <w:vAlign w:val="center"/>
            <w:hideMark/>
          </w:tcPr>
          <w:p w14:paraId="5961463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$ 20.426</w:t>
            </w:r>
          </w:p>
        </w:tc>
        <w:tc>
          <w:tcPr>
            <w:tcW w:w="1260" w:type="dxa"/>
            <w:tcBorders>
              <w:top w:val="nil"/>
              <w:left w:val="nil"/>
              <w:bottom w:val="single" w:sz="4" w:space="0" w:color="auto"/>
              <w:right w:val="single" w:sz="4" w:space="0" w:color="auto"/>
            </w:tcBorders>
            <w:shd w:val="clear" w:color="000000" w:fill="F2F2F2"/>
            <w:noWrap/>
            <w:vAlign w:val="center"/>
            <w:hideMark/>
          </w:tcPr>
          <w:p w14:paraId="03CF22B2"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$ 490.838.479</w:t>
            </w:r>
          </w:p>
        </w:tc>
        <w:tc>
          <w:tcPr>
            <w:tcW w:w="1920" w:type="dxa"/>
            <w:tcBorders>
              <w:top w:val="nil"/>
              <w:left w:val="nil"/>
              <w:bottom w:val="single" w:sz="4" w:space="0" w:color="auto"/>
              <w:right w:val="single" w:sz="4" w:space="0" w:color="auto"/>
            </w:tcBorders>
            <w:shd w:val="clear" w:color="000000" w:fill="F2F2F2"/>
            <w:vAlign w:val="center"/>
            <w:hideMark/>
          </w:tcPr>
          <w:p w14:paraId="3C72A60F"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GAS POR REDES</w:t>
            </w:r>
          </w:p>
        </w:tc>
      </w:tr>
      <w:tr w:rsidR="00D705A6" w:rsidRPr="002E0BB9" w14:paraId="4A2EB9C2" w14:textId="77777777" w:rsidTr="007D1249">
        <w:trPr>
          <w:trHeight w:val="4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227A6C72"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lastRenderedPageBreak/>
              <w:t>11</w:t>
            </w:r>
          </w:p>
        </w:tc>
        <w:tc>
          <w:tcPr>
            <w:tcW w:w="560" w:type="dxa"/>
            <w:tcBorders>
              <w:top w:val="nil"/>
              <w:left w:val="nil"/>
              <w:bottom w:val="single" w:sz="4" w:space="0" w:color="auto"/>
              <w:right w:val="single" w:sz="4" w:space="0" w:color="auto"/>
            </w:tcBorders>
            <w:shd w:val="clear" w:color="000000" w:fill="F2F2F2"/>
            <w:noWrap/>
            <w:vAlign w:val="center"/>
            <w:hideMark/>
          </w:tcPr>
          <w:p w14:paraId="4D9F07F6"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1626</w:t>
            </w:r>
          </w:p>
        </w:tc>
        <w:tc>
          <w:tcPr>
            <w:tcW w:w="920" w:type="dxa"/>
            <w:tcBorders>
              <w:top w:val="nil"/>
              <w:left w:val="nil"/>
              <w:bottom w:val="single" w:sz="4" w:space="0" w:color="auto"/>
              <w:right w:val="single" w:sz="4" w:space="0" w:color="auto"/>
            </w:tcBorders>
            <w:shd w:val="clear" w:color="000000" w:fill="F2F2F2"/>
            <w:noWrap/>
            <w:vAlign w:val="center"/>
            <w:hideMark/>
          </w:tcPr>
          <w:p w14:paraId="69014B32"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800170118</w:t>
            </w:r>
          </w:p>
        </w:tc>
        <w:tc>
          <w:tcPr>
            <w:tcW w:w="2180" w:type="dxa"/>
            <w:tcBorders>
              <w:top w:val="nil"/>
              <w:left w:val="nil"/>
              <w:bottom w:val="single" w:sz="4" w:space="0" w:color="auto"/>
              <w:right w:val="single" w:sz="4" w:space="0" w:color="auto"/>
            </w:tcBorders>
            <w:shd w:val="clear" w:color="000000" w:fill="F2F2F2"/>
            <w:vAlign w:val="center"/>
            <w:hideMark/>
          </w:tcPr>
          <w:p w14:paraId="71AEAD67"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PROMOTORA DE GASES DEL SUR S.A. E.S.P.</w:t>
            </w:r>
          </w:p>
        </w:tc>
        <w:tc>
          <w:tcPr>
            <w:tcW w:w="1520" w:type="dxa"/>
            <w:tcBorders>
              <w:top w:val="nil"/>
              <w:left w:val="nil"/>
              <w:bottom w:val="single" w:sz="4" w:space="0" w:color="auto"/>
              <w:right w:val="single" w:sz="4" w:space="0" w:color="auto"/>
            </w:tcBorders>
            <w:shd w:val="clear" w:color="000000" w:fill="F2F2F2"/>
            <w:noWrap/>
            <w:vAlign w:val="center"/>
            <w:hideMark/>
          </w:tcPr>
          <w:p w14:paraId="553F4C5E"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$ 3.165.292.000</w:t>
            </w:r>
          </w:p>
        </w:tc>
        <w:tc>
          <w:tcPr>
            <w:tcW w:w="1440" w:type="dxa"/>
            <w:tcBorders>
              <w:top w:val="nil"/>
              <w:left w:val="nil"/>
              <w:bottom w:val="single" w:sz="4" w:space="0" w:color="auto"/>
              <w:right w:val="single" w:sz="4" w:space="0" w:color="auto"/>
            </w:tcBorders>
            <w:shd w:val="clear" w:color="000000" w:fill="F2F2F2"/>
            <w:noWrap/>
            <w:vAlign w:val="center"/>
            <w:hideMark/>
          </w:tcPr>
          <w:p w14:paraId="7861870A"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$ 0</w:t>
            </w:r>
          </w:p>
        </w:tc>
        <w:tc>
          <w:tcPr>
            <w:tcW w:w="1460" w:type="dxa"/>
            <w:tcBorders>
              <w:top w:val="nil"/>
              <w:left w:val="nil"/>
              <w:bottom w:val="single" w:sz="4" w:space="0" w:color="auto"/>
              <w:right w:val="single" w:sz="4" w:space="0" w:color="auto"/>
            </w:tcBorders>
            <w:shd w:val="clear" w:color="000000" w:fill="F2F2F2"/>
            <w:noWrap/>
            <w:vAlign w:val="center"/>
            <w:hideMark/>
          </w:tcPr>
          <w:p w14:paraId="5086831E"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$ 3.165.292.000</w:t>
            </w:r>
          </w:p>
        </w:tc>
        <w:tc>
          <w:tcPr>
            <w:tcW w:w="1260" w:type="dxa"/>
            <w:tcBorders>
              <w:top w:val="nil"/>
              <w:left w:val="nil"/>
              <w:bottom w:val="single" w:sz="4" w:space="0" w:color="auto"/>
              <w:right w:val="single" w:sz="4" w:space="0" w:color="auto"/>
            </w:tcBorders>
            <w:shd w:val="clear" w:color="000000" w:fill="F2F2F2"/>
            <w:noWrap/>
            <w:vAlign w:val="center"/>
            <w:hideMark/>
          </w:tcPr>
          <w:p w14:paraId="5360F2BC"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$ 31.652.920</w:t>
            </w:r>
          </w:p>
        </w:tc>
        <w:tc>
          <w:tcPr>
            <w:tcW w:w="1120" w:type="dxa"/>
            <w:tcBorders>
              <w:top w:val="nil"/>
              <w:left w:val="nil"/>
              <w:bottom w:val="single" w:sz="4" w:space="0" w:color="auto"/>
              <w:right w:val="single" w:sz="4" w:space="0" w:color="auto"/>
            </w:tcBorders>
            <w:shd w:val="clear" w:color="000000" w:fill="F2F2F2"/>
            <w:noWrap/>
            <w:vAlign w:val="center"/>
            <w:hideMark/>
          </w:tcPr>
          <w:p w14:paraId="494CF22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$ 1.317</w:t>
            </w:r>
          </w:p>
        </w:tc>
        <w:tc>
          <w:tcPr>
            <w:tcW w:w="1260" w:type="dxa"/>
            <w:tcBorders>
              <w:top w:val="nil"/>
              <w:left w:val="nil"/>
              <w:bottom w:val="single" w:sz="4" w:space="0" w:color="auto"/>
              <w:right w:val="single" w:sz="4" w:space="0" w:color="auto"/>
            </w:tcBorders>
            <w:shd w:val="clear" w:color="000000" w:fill="F2F2F2"/>
            <w:noWrap/>
            <w:vAlign w:val="center"/>
            <w:hideMark/>
          </w:tcPr>
          <w:p w14:paraId="27F2DCE6"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$ 31.654.237</w:t>
            </w:r>
          </w:p>
        </w:tc>
        <w:tc>
          <w:tcPr>
            <w:tcW w:w="1920" w:type="dxa"/>
            <w:tcBorders>
              <w:top w:val="nil"/>
              <w:left w:val="nil"/>
              <w:bottom w:val="single" w:sz="4" w:space="0" w:color="auto"/>
              <w:right w:val="single" w:sz="4" w:space="0" w:color="auto"/>
            </w:tcBorders>
            <w:shd w:val="clear" w:color="000000" w:fill="F2F2F2"/>
            <w:vAlign w:val="center"/>
            <w:hideMark/>
          </w:tcPr>
          <w:p w14:paraId="2B111A67"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GAS POR REDES</w:t>
            </w:r>
          </w:p>
        </w:tc>
      </w:tr>
      <w:tr w:rsidR="00D705A6" w:rsidRPr="002E0BB9" w14:paraId="11FACE53" w14:textId="77777777" w:rsidTr="007D1249">
        <w:trPr>
          <w:trHeight w:val="4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7D99273B"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12</w:t>
            </w:r>
          </w:p>
        </w:tc>
        <w:tc>
          <w:tcPr>
            <w:tcW w:w="560" w:type="dxa"/>
            <w:tcBorders>
              <w:top w:val="nil"/>
              <w:left w:val="nil"/>
              <w:bottom w:val="single" w:sz="4" w:space="0" w:color="auto"/>
              <w:right w:val="single" w:sz="4" w:space="0" w:color="auto"/>
            </w:tcBorders>
            <w:shd w:val="clear" w:color="000000" w:fill="F2F2F2"/>
            <w:noWrap/>
            <w:vAlign w:val="center"/>
            <w:hideMark/>
          </w:tcPr>
          <w:p w14:paraId="778307E1"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2128</w:t>
            </w:r>
          </w:p>
        </w:tc>
        <w:tc>
          <w:tcPr>
            <w:tcW w:w="920" w:type="dxa"/>
            <w:tcBorders>
              <w:top w:val="nil"/>
              <w:left w:val="nil"/>
              <w:bottom w:val="single" w:sz="4" w:space="0" w:color="auto"/>
              <w:right w:val="single" w:sz="4" w:space="0" w:color="auto"/>
            </w:tcBorders>
            <w:shd w:val="clear" w:color="000000" w:fill="F2F2F2"/>
            <w:noWrap/>
            <w:vAlign w:val="center"/>
            <w:hideMark/>
          </w:tcPr>
          <w:p w14:paraId="78D22FE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800175746</w:t>
            </w:r>
          </w:p>
        </w:tc>
        <w:tc>
          <w:tcPr>
            <w:tcW w:w="2180" w:type="dxa"/>
            <w:tcBorders>
              <w:top w:val="nil"/>
              <w:left w:val="nil"/>
              <w:bottom w:val="single" w:sz="4" w:space="0" w:color="auto"/>
              <w:right w:val="single" w:sz="4" w:space="0" w:color="auto"/>
            </w:tcBorders>
            <w:shd w:val="clear" w:color="000000" w:fill="F2F2F2"/>
            <w:vAlign w:val="center"/>
            <w:hideMark/>
          </w:tcPr>
          <w:p w14:paraId="3284CA26"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EMPRESA URRA S.A. E.S.P.</w:t>
            </w:r>
          </w:p>
        </w:tc>
        <w:tc>
          <w:tcPr>
            <w:tcW w:w="1520" w:type="dxa"/>
            <w:tcBorders>
              <w:top w:val="nil"/>
              <w:left w:val="nil"/>
              <w:bottom w:val="single" w:sz="4" w:space="0" w:color="auto"/>
              <w:right w:val="single" w:sz="4" w:space="0" w:color="auto"/>
            </w:tcBorders>
            <w:shd w:val="clear" w:color="000000" w:fill="F2F2F2"/>
            <w:noWrap/>
            <w:vAlign w:val="center"/>
            <w:hideMark/>
          </w:tcPr>
          <w:p w14:paraId="2B4BD8D1"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$ 14.249.352.000</w:t>
            </w:r>
          </w:p>
        </w:tc>
        <w:tc>
          <w:tcPr>
            <w:tcW w:w="1440" w:type="dxa"/>
            <w:tcBorders>
              <w:top w:val="nil"/>
              <w:left w:val="nil"/>
              <w:bottom w:val="single" w:sz="4" w:space="0" w:color="auto"/>
              <w:right w:val="single" w:sz="4" w:space="0" w:color="auto"/>
            </w:tcBorders>
            <w:shd w:val="clear" w:color="000000" w:fill="F2F2F2"/>
            <w:noWrap/>
            <w:vAlign w:val="center"/>
            <w:hideMark/>
          </w:tcPr>
          <w:p w14:paraId="17C98892"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$ 150.383.511</w:t>
            </w:r>
          </w:p>
        </w:tc>
        <w:tc>
          <w:tcPr>
            <w:tcW w:w="1460" w:type="dxa"/>
            <w:tcBorders>
              <w:top w:val="nil"/>
              <w:left w:val="nil"/>
              <w:bottom w:val="single" w:sz="4" w:space="0" w:color="auto"/>
              <w:right w:val="single" w:sz="4" w:space="0" w:color="auto"/>
            </w:tcBorders>
            <w:shd w:val="clear" w:color="000000" w:fill="F2F2F2"/>
            <w:noWrap/>
            <w:vAlign w:val="center"/>
            <w:hideMark/>
          </w:tcPr>
          <w:p w14:paraId="2988F6D2"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$ 14.399.735.511</w:t>
            </w:r>
          </w:p>
        </w:tc>
        <w:tc>
          <w:tcPr>
            <w:tcW w:w="1260" w:type="dxa"/>
            <w:tcBorders>
              <w:top w:val="nil"/>
              <w:left w:val="nil"/>
              <w:bottom w:val="single" w:sz="4" w:space="0" w:color="auto"/>
              <w:right w:val="single" w:sz="4" w:space="0" w:color="auto"/>
            </w:tcBorders>
            <w:shd w:val="clear" w:color="000000" w:fill="F2F2F2"/>
            <w:noWrap/>
            <w:vAlign w:val="center"/>
            <w:hideMark/>
          </w:tcPr>
          <w:p w14:paraId="0671AF75"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$ 143.997.355</w:t>
            </w:r>
          </w:p>
        </w:tc>
        <w:tc>
          <w:tcPr>
            <w:tcW w:w="1120" w:type="dxa"/>
            <w:tcBorders>
              <w:top w:val="nil"/>
              <w:left w:val="nil"/>
              <w:bottom w:val="single" w:sz="4" w:space="0" w:color="auto"/>
              <w:right w:val="single" w:sz="4" w:space="0" w:color="auto"/>
            </w:tcBorders>
            <w:shd w:val="clear" w:color="000000" w:fill="F2F2F2"/>
            <w:noWrap/>
            <w:vAlign w:val="center"/>
            <w:hideMark/>
          </w:tcPr>
          <w:p w14:paraId="5264D4D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$ 5.993</w:t>
            </w:r>
          </w:p>
        </w:tc>
        <w:tc>
          <w:tcPr>
            <w:tcW w:w="1260" w:type="dxa"/>
            <w:tcBorders>
              <w:top w:val="nil"/>
              <w:left w:val="nil"/>
              <w:bottom w:val="single" w:sz="4" w:space="0" w:color="auto"/>
              <w:right w:val="single" w:sz="4" w:space="0" w:color="auto"/>
            </w:tcBorders>
            <w:shd w:val="clear" w:color="000000" w:fill="F2F2F2"/>
            <w:noWrap/>
            <w:vAlign w:val="center"/>
            <w:hideMark/>
          </w:tcPr>
          <w:p w14:paraId="01457AC6"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$ 144.003.348</w:t>
            </w:r>
          </w:p>
        </w:tc>
        <w:tc>
          <w:tcPr>
            <w:tcW w:w="1920" w:type="dxa"/>
            <w:tcBorders>
              <w:top w:val="nil"/>
              <w:left w:val="nil"/>
              <w:bottom w:val="single" w:sz="4" w:space="0" w:color="auto"/>
              <w:right w:val="single" w:sz="4" w:space="0" w:color="auto"/>
            </w:tcBorders>
            <w:shd w:val="clear" w:color="000000" w:fill="F2F2F2"/>
            <w:vAlign w:val="center"/>
            <w:hideMark/>
          </w:tcPr>
          <w:p w14:paraId="6183A26B"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w:t>
            </w:r>
          </w:p>
        </w:tc>
      </w:tr>
      <w:tr w:rsidR="00D705A6" w:rsidRPr="002E0BB9" w14:paraId="324A405F" w14:textId="77777777" w:rsidTr="007D1249">
        <w:trPr>
          <w:trHeight w:val="4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5DC9F0DC"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13</w:t>
            </w:r>
          </w:p>
        </w:tc>
        <w:tc>
          <w:tcPr>
            <w:tcW w:w="560" w:type="dxa"/>
            <w:tcBorders>
              <w:top w:val="nil"/>
              <w:left w:val="nil"/>
              <w:bottom w:val="single" w:sz="4" w:space="0" w:color="auto"/>
              <w:right w:val="single" w:sz="4" w:space="0" w:color="auto"/>
            </w:tcBorders>
            <w:shd w:val="clear" w:color="000000" w:fill="F2F2F2"/>
            <w:noWrap/>
            <w:vAlign w:val="center"/>
            <w:hideMark/>
          </w:tcPr>
          <w:p w14:paraId="272A164B"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1414</w:t>
            </w:r>
          </w:p>
        </w:tc>
        <w:tc>
          <w:tcPr>
            <w:tcW w:w="920" w:type="dxa"/>
            <w:tcBorders>
              <w:top w:val="nil"/>
              <w:left w:val="nil"/>
              <w:bottom w:val="single" w:sz="4" w:space="0" w:color="auto"/>
              <w:right w:val="single" w:sz="4" w:space="0" w:color="auto"/>
            </w:tcBorders>
            <w:shd w:val="clear" w:color="000000" w:fill="F2F2F2"/>
            <w:noWrap/>
            <w:vAlign w:val="center"/>
            <w:hideMark/>
          </w:tcPr>
          <w:p w14:paraId="14A6041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800182395</w:t>
            </w:r>
          </w:p>
        </w:tc>
        <w:tc>
          <w:tcPr>
            <w:tcW w:w="2180" w:type="dxa"/>
            <w:tcBorders>
              <w:top w:val="nil"/>
              <w:left w:val="nil"/>
              <w:bottom w:val="single" w:sz="4" w:space="0" w:color="auto"/>
              <w:right w:val="single" w:sz="4" w:space="0" w:color="auto"/>
            </w:tcBorders>
            <w:shd w:val="clear" w:color="000000" w:fill="F2F2F2"/>
            <w:vAlign w:val="center"/>
            <w:hideMark/>
          </w:tcPr>
          <w:p w14:paraId="3FF73C05"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ENERGAS S.A. E.S.P.</w:t>
            </w:r>
          </w:p>
        </w:tc>
        <w:tc>
          <w:tcPr>
            <w:tcW w:w="1520" w:type="dxa"/>
            <w:tcBorders>
              <w:top w:val="nil"/>
              <w:left w:val="nil"/>
              <w:bottom w:val="single" w:sz="4" w:space="0" w:color="auto"/>
              <w:right w:val="single" w:sz="4" w:space="0" w:color="auto"/>
            </w:tcBorders>
            <w:shd w:val="clear" w:color="000000" w:fill="F2F2F2"/>
            <w:noWrap/>
            <w:vAlign w:val="center"/>
            <w:hideMark/>
          </w:tcPr>
          <w:p w14:paraId="0AC673F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$ 319.657.000</w:t>
            </w:r>
          </w:p>
        </w:tc>
        <w:tc>
          <w:tcPr>
            <w:tcW w:w="1440" w:type="dxa"/>
            <w:tcBorders>
              <w:top w:val="nil"/>
              <w:left w:val="nil"/>
              <w:bottom w:val="single" w:sz="4" w:space="0" w:color="auto"/>
              <w:right w:val="single" w:sz="4" w:space="0" w:color="auto"/>
            </w:tcBorders>
            <w:shd w:val="clear" w:color="000000" w:fill="F2F2F2"/>
            <w:noWrap/>
            <w:vAlign w:val="center"/>
            <w:hideMark/>
          </w:tcPr>
          <w:p w14:paraId="7A5BB70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$ 109.853.726</w:t>
            </w:r>
          </w:p>
        </w:tc>
        <w:tc>
          <w:tcPr>
            <w:tcW w:w="1460" w:type="dxa"/>
            <w:tcBorders>
              <w:top w:val="nil"/>
              <w:left w:val="nil"/>
              <w:bottom w:val="single" w:sz="4" w:space="0" w:color="auto"/>
              <w:right w:val="single" w:sz="4" w:space="0" w:color="auto"/>
            </w:tcBorders>
            <w:shd w:val="clear" w:color="000000" w:fill="F2F2F2"/>
            <w:noWrap/>
            <w:vAlign w:val="center"/>
            <w:hideMark/>
          </w:tcPr>
          <w:p w14:paraId="2B8866E6"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$ 429.510.726</w:t>
            </w:r>
          </w:p>
        </w:tc>
        <w:tc>
          <w:tcPr>
            <w:tcW w:w="1260" w:type="dxa"/>
            <w:tcBorders>
              <w:top w:val="nil"/>
              <w:left w:val="nil"/>
              <w:bottom w:val="single" w:sz="4" w:space="0" w:color="auto"/>
              <w:right w:val="single" w:sz="4" w:space="0" w:color="auto"/>
            </w:tcBorders>
            <w:shd w:val="clear" w:color="000000" w:fill="F2F2F2"/>
            <w:noWrap/>
            <w:vAlign w:val="center"/>
            <w:hideMark/>
          </w:tcPr>
          <w:p w14:paraId="2AE04E9D"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$ 4.295.107</w:t>
            </w:r>
          </w:p>
        </w:tc>
        <w:tc>
          <w:tcPr>
            <w:tcW w:w="1120" w:type="dxa"/>
            <w:tcBorders>
              <w:top w:val="nil"/>
              <w:left w:val="nil"/>
              <w:bottom w:val="single" w:sz="4" w:space="0" w:color="auto"/>
              <w:right w:val="single" w:sz="4" w:space="0" w:color="auto"/>
            </w:tcBorders>
            <w:shd w:val="clear" w:color="000000" w:fill="F2F2F2"/>
            <w:noWrap/>
            <w:vAlign w:val="center"/>
            <w:hideMark/>
          </w:tcPr>
          <w:p w14:paraId="7A34945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$ 179</w:t>
            </w:r>
          </w:p>
        </w:tc>
        <w:tc>
          <w:tcPr>
            <w:tcW w:w="1260" w:type="dxa"/>
            <w:tcBorders>
              <w:top w:val="nil"/>
              <w:left w:val="nil"/>
              <w:bottom w:val="single" w:sz="4" w:space="0" w:color="auto"/>
              <w:right w:val="single" w:sz="4" w:space="0" w:color="auto"/>
            </w:tcBorders>
            <w:shd w:val="clear" w:color="000000" w:fill="F2F2F2"/>
            <w:noWrap/>
            <w:vAlign w:val="center"/>
            <w:hideMark/>
          </w:tcPr>
          <w:p w14:paraId="4E2B5CAA"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$ 4.295.286</w:t>
            </w:r>
          </w:p>
        </w:tc>
        <w:tc>
          <w:tcPr>
            <w:tcW w:w="1920" w:type="dxa"/>
            <w:tcBorders>
              <w:top w:val="nil"/>
              <w:left w:val="nil"/>
              <w:bottom w:val="single" w:sz="4" w:space="0" w:color="auto"/>
              <w:right w:val="single" w:sz="4" w:space="0" w:color="auto"/>
            </w:tcBorders>
            <w:shd w:val="clear" w:color="000000" w:fill="F2F2F2"/>
            <w:vAlign w:val="center"/>
            <w:hideMark/>
          </w:tcPr>
          <w:p w14:paraId="708ED33A"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GAS LICUADO DEL PETROLEO</w:t>
            </w:r>
          </w:p>
        </w:tc>
      </w:tr>
      <w:tr w:rsidR="00D705A6" w:rsidRPr="002E0BB9" w14:paraId="4C44F2FA" w14:textId="77777777" w:rsidTr="007D1249">
        <w:trPr>
          <w:trHeight w:val="4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6594505B"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14</w:t>
            </w:r>
          </w:p>
        </w:tc>
        <w:tc>
          <w:tcPr>
            <w:tcW w:w="560" w:type="dxa"/>
            <w:tcBorders>
              <w:top w:val="nil"/>
              <w:left w:val="nil"/>
              <w:bottom w:val="single" w:sz="4" w:space="0" w:color="auto"/>
              <w:right w:val="single" w:sz="4" w:space="0" w:color="auto"/>
            </w:tcBorders>
            <w:shd w:val="clear" w:color="000000" w:fill="F2F2F2"/>
            <w:noWrap/>
            <w:vAlign w:val="center"/>
            <w:hideMark/>
          </w:tcPr>
          <w:p w14:paraId="05DB96B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1757</w:t>
            </w:r>
          </w:p>
        </w:tc>
        <w:tc>
          <w:tcPr>
            <w:tcW w:w="920" w:type="dxa"/>
            <w:tcBorders>
              <w:top w:val="nil"/>
              <w:left w:val="nil"/>
              <w:bottom w:val="single" w:sz="4" w:space="0" w:color="auto"/>
              <w:right w:val="single" w:sz="4" w:space="0" w:color="auto"/>
            </w:tcBorders>
            <w:shd w:val="clear" w:color="000000" w:fill="F2F2F2"/>
            <w:noWrap/>
            <w:vAlign w:val="center"/>
            <w:hideMark/>
          </w:tcPr>
          <w:p w14:paraId="5431B44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800194208</w:t>
            </w:r>
          </w:p>
        </w:tc>
        <w:tc>
          <w:tcPr>
            <w:tcW w:w="2180" w:type="dxa"/>
            <w:tcBorders>
              <w:top w:val="nil"/>
              <w:left w:val="nil"/>
              <w:bottom w:val="single" w:sz="4" w:space="0" w:color="auto"/>
              <w:right w:val="single" w:sz="4" w:space="0" w:color="auto"/>
            </w:tcBorders>
            <w:shd w:val="clear" w:color="000000" w:fill="F2F2F2"/>
            <w:vAlign w:val="center"/>
            <w:hideMark/>
          </w:tcPr>
          <w:p w14:paraId="11DE2B24"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GESTION ENERGETICA S.A. ESP</w:t>
            </w:r>
          </w:p>
        </w:tc>
        <w:tc>
          <w:tcPr>
            <w:tcW w:w="1520" w:type="dxa"/>
            <w:tcBorders>
              <w:top w:val="nil"/>
              <w:left w:val="nil"/>
              <w:bottom w:val="single" w:sz="4" w:space="0" w:color="auto"/>
              <w:right w:val="single" w:sz="4" w:space="0" w:color="auto"/>
            </w:tcBorders>
            <w:shd w:val="clear" w:color="000000" w:fill="F2F2F2"/>
            <w:noWrap/>
            <w:vAlign w:val="center"/>
            <w:hideMark/>
          </w:tcPr>
          <w:p w14:paraId="1329B6A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$ 18.025.902.000</w:t>
            </w:r>
          </w:p>
        </w:tc>
        <w:tc>
          <w:tcPr>
            <w:tcW w:w="1440" w:type="dxa"/>
            <w:tcBorders>
              <w:top w:val="nil"/>
              <w:left w:val="nil"/>
              <w:bottom w:val="single" w:sz="4" w:space="0" w:color="auto"/>
              <w:right w:val="single" w:sz="4" w:space="0" w:color="auto"/>
            </w:tcBorders>
            <w:shd w:val="clear" w:color="000000" w:fill="F2F2F2"/>
            <w:noWrap/>
            <w:vAlign w:val="center"/>
            <w:hideMark/>
          </w:tcPr>
          <w:p w14:paraId="425115C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$ 4.011.717.674</w:t>
            </w:r>
          </w:p>
        </w:tc>
        <w:tc>
          <w:tcPr>
            <w:tcW w:w="1460" w:type="dxa"/>
            <w:tcBorders>
              <w:top w:val="nil"/>
              <w:left w:val="nil"/>
              <w:bottom w:val="single" w:sz="4" w:space="0" w:color="auto"/>
              <w:right w:val="single" w:sz="4" w:space="0" w:color="auto"/>
            </w:tcBorders>
            <w:shd w:val="clear" w:color="000000" w:fill="F2F2F2"/>
            <w:noWrap/>
            <w:vAlign w:val="center"/>
            <w:hideMark/>
          </w:tcPr>
          <w:p w14:paraId="3BBE8AAE"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$ 22.037.619.674</w:t>
            </w:r>
          </w:p>
        </w:tc>
        <w:tc>
          <w:tcPr>
            <w:tcW w:w="1260" w:type="dxa"/>
            <w:tcBorders>
              <w:top w:val="nil"/>
              <w:left w:val="nil"/>
              <w:bottom w:val="single" w:sz="4" w:space="0" w:color="auto"/>
              <w:right w:val="single" w:sz="4" w:space="0" w:color="auto"/>
            </w:tcBorders>
            <w:shd w:val="clear" w:color="000000" w:fill="F2F2F2"/>
            <w:noWrap/>
            <w:vAlign w:val="center"/>
            <w:hideMark/>
          </w:tcPr>
          <w:p w14:paraId="17DAFEF1"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$ 220.376.197</w:t>
            </w:r>
          </w:p>
        </w:tc>
        <w:tc>
          <w:tcPr>
            <w:tcW w:w="1120" w:type="dxa"/>
            <w:tcBorders>
              <w:top w:val="nil"/>
              <w:left w:val="nil"/>
              <w:bottom w:val="single" w:sz="4" w:space="0" w:color="auto"/>
              <w:right w:val="single" w:sz="4" w:space="0" w:color="auto"/>
            </w:tcBorders>
            <w:shd w:val="clear" w:color="000000" w:fill="F2F2F2"/>
            <w:noWrap/>
            <w:vAlign w:val="center"/>
            <w:hideMark/>
          </w:tcPr>
          <w:p w14:paraId="4773333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$ 9.171</w:t>
            </w:r>
          </w:p>
        </w:tc>
        <w:tc>
          <w:tcPr>
            <w:tcW w:w="1260" w:type="dxa"/>
            <w:tcBorders>
              <w:top w:val="nil"/>
              <w:left w:val="nil"/>
              <w:bottom w:val="single" w:sz="4" w:space="0" w:color="auto"/>
              <w:right w:val="single" w:sz="4" w:space="0" w:color="auto"/>
            </w:tcBorders>
            <w:shd w:val="clear" w:color="000000" w:fill="F2F2F2"/>
            <w:noWrap/>
            <w:vAlign w:val="center"/>
            <w:hideMark/>
          </w:tcPr>
          <w:p w14:paraId="29800897"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$ 220.385.368</w:t>
            </w:r>
          </w:p>
        </w:tc>
        <w:tc>
          <w:tcPr>
            <w:tcW w:w="1920" w:type="dxa"/>
            <w:tcBorders>
              <w:top w:val="nil"/>
              <w:left w:val="nil"/>
              <w:bottom w:val="single" w:sz="4" w:space="0" w:color="auto"/>
              <w:right w:val="single" w:sz="4" w:space="0" w:color="auto"/>
            </w:tcBorders>
            <w:shd w:val="clear" w:color="000000" w:fill="F2F2F2"/>
            <w:vAlign w:val="center"/>
            <w:hideMark/>
          </w:tcPr>
          <w:p w14:paraId="2FD65343"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w:t>
            </w:r>
          </w:p>
        </w:tc>
      </w:tr>
      <w:tr w:rsidR="00D705A6" w:rsidRPr="002E0BB9" w14:paraId="23B557D1" w14:textId="77777777" w:rsidTr="007D1249">
        <w:trPr>
          <w:trHeight w:val="4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0C2A3F29"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15</w:t>
            </w:r>
          </w:p>
        </w:tc>
        <w:tc>
          <w:tcPr>
            <w:tcW w:w="560" w:type="dxa"/>
            <w:tcBorders>
              <w:top w:val="nil"/>
              <w:left w:val="nil"/>
              <w:bottom w:val="single" w:sz="4" w:space="0" w:color="auto"/>
              <w:right w:val="single" w:sz="4" w:space="0" w:color="auto"/>
            </w:tcBorders>
            <w:shd w:val="clear" w:color="000000" w:fill="F2F2F2"/>
            <w:noWrap/>
            <w:vAlign w:val="center"/>
            <w:hideMark/>
          </w:tcPr>
          <w:p w14:paraId="4BC5AF4E"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1887</w:t>
            </w:r>
          </w:p>
        </w:tc>
        <w:tc>
          <w:tcPr>
            <w:tcW w:w="920" w:type="dxa"/>
            <w:tcBorders>
              <w:top w:val="nil"/>
              <w:left w:val="nil"/>
              <w:bottom w:val="single" w:sz="4" w:space="0" w:color="auto"/>
              <w:right w:val="single" w:sz="4" w:space="0" w:color="auto"/>
            </w:tcBorders>
            <w:shd w:val="clear" w:color="000000" w:fill="F2F2F2"/>
            <w:noWrap/>
            <w:vAlign w:val="center"/>
            <w:hideMark/>
          </w:tcPr>
          <w:p w14:paraId="79E3320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800202395</w:t>
            </w:r>
          </w:p>
        </w:tc>
        <w:tc>
          <w:tcPr>
            <w:tcW w:w="2180" w:type="dxa"/>
            <w:tcBorders>
              <w:top w:val="nil"/>
              <w:left w:val="nil"/>
              <w:bottom w:val="single" w:sz="4" w:space="0" w:color="auto"/>
              <w:right w:val="single" w:sz="4" w:space="0" w:color="auto"/>
            </w:tcBorders>
            <w:shd w:val="clear" w:color="000000" w:fill="F2F2F2"/>
            <w:vAlign w:val="center"/>
            <w:hideMark/>
          </w:tcPr>
          <w:p w14:paraId="1C023512" w14:textId="44DFAEDB"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EFIGAS GAS NATURAL S.A E.S.P</w:t>
            </w:r>
            <w:r w:rsidR="00EA2661" w:rsidRPr="002E0BB9">
              <w:rPr>
                <w:rFonts w:ascii="Arial Narrow" w:hAnsi="Arial Narrow" w:cs="Arial"/>
                <w:spacing w:val="0"/>
                <w:sz w:val="16"/>
                <w:szCs w:val="16"/>
                <w:lang w:val="es-MX" w:eastAsia="es-MX"/>
              </w:rPr>
              <w:t>.</w:t>
            </w:r>
          </w:p>
        </w:tc>
        <w:tc>
          <w:tcPr>
            <w:tcW w:w="1520" w:type="dxa"/>
            <w:tcBorders>
              <w:top w:val="nil"/>
              <w:left w:val="nil"/>
              <w:bottom w:val="single" w:sz="4" w:space="0" w:color="auto"/>
              <w:right w:val="single" w:sz="4" w:space="0" w:color="auto"/>
            </w:tcBorders>
            <w:shd w:val="clear" w:color="000000" w:fill="F2F2F2"/>
            <w:noWrap/>
            <w:vAlign w:val="center"/>
            <w:hideMark/>
          </w:tcPr>
          <w:p w14:paraId="1BBAABD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$ 13.920.156.000</w:t>
            </w:r>
          </w:p>
        </w:tc>
        <w:tc>
          <w:tcPr>
            <w:tcW w:w="1440" w:type="dxa"/>
            <w:tcBorders>
              <w:top w:val="nil"/>
              <w:left w:val="nil"/>
              <w:bottom w:val="single" w:sz="4" w:space="0" w:color="auto"/>
              <w:right w:val="single" w:sz="4" w:space="0" w:color="auto"/>
            </w:tcBorders>
            <w:shd w:val="clear" w:color="000000" w:fill="F2F2F2"/>
            <w:noWrap/>
            <w:vAlign w:val="center"/>
            <w:hideMark/>
          </w:tcPr>
          <w:p w14:paraId="635E0DD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$ 0</w:t>
            </w:r>
          </w:p>
        </w:tc>
        <w:tc>
          <w:tcPr>
            <w:tcW w:w="1460" w:type="dxa"/>
            <w:tcBorders>
              <w:top w:val="nil"/>
              <w:left w:val="nil"/>
              <w:bottom w:val="single" w:sz="4" w:space="0" w:color="auto"/>
              <w:right w:val="single" w:sz="4" w:space="0" w:color="auto"/>
            </w:tcBorders>
            <w:shd w:val="clear" w:color="000000" w:fill="F2F2F2"/>
            <w:noWrap/>
            <w:vAlign w:val="center"/>
            <w:hideMark/>
          </w:tcPr>
          <w:p w14:paraId="2A461C05"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$ 13.920.156.000</w:t>
            </w:r>
          </w:p>
        </w:tc>
        <w:tc>
          <w:tcPr>
            <w:tcW w:w="1260" w:type="dxa"/>
            <w:tcBorders>
              <w:top w:val="nil"/>
              <w:left w:val="nil"/>
              <w:bottom w:val="single" w:sz="4" w:space="0" w:color="auto"/>
              <w:right w:val="single" w:sz="4" w:space="0" w:color="auto"/>
            </w:tcBorders>
            <w:shd w:val="clear" w:color="000000" w:fill="F2F2F2"/>
            <w:noWrap/>
            <w:vAlign w:val="center"/>
            <w:hideMark/>
          </w:tcPr>
          <w:p w14:paraId="5EADABA7"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$ 139.201.560</w:t>
            </w:r>
          </w:p>
        </w:tc>
        <w:tc>
          <w:tcPr>
            <w:tcW w:w="1120" w:type="dxa"/>
            <w:tcBorders>
              <w:top w:val="nil"/>
              <w:left w:val="nil"/>
              <w:bottom w:val="single" w:sz="4" w:space="0" w:color="auto"/>
              <w:right w:val="single" w:sz="4" w:space="0" w:color="auto"/>
            </w:tcBorders>
            <w:shd w:val="clear" w:color="000000" w:fill="F2F2F2"/>
            <w:noWrap/>
            <w:vAlign w:val="center"/>
            <w:hideMark/>
          </w:tcPr>
          <w:p w14:paraId="479F1C9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$ 5.793</w:t>
            </w:r>
          </w:p>
        </w:tc>
        <w:tc>
          <w:tcPr>
            <w:tcW w:w="1260" w:type="dxa"/>
            <w:tcBorders>
              <w:top w:val="nil"/>
              <w:left w:val="nil"/>
              <w:bottom w:val="single" w:sz="4" w:space="0" w:color="auto"/>
              <w:right w:val="single" w:sz="4" w:space="0" w:color="auto"/>
            </w:tcBorders>
            <w:shd w:val="clear" w:color="000000" w:fill="F2F2F2"/>
            <w:noWrap/>
            <w:vAlign w:val="center"/>
            <w:hideMark/>
          </w:tcPr>
          <w:p w14:paraId="3E183DB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$ 139.207.353</w:t>
            </w:r>
          </w:p>
        </w:tc>
        <w:tc>
          <w:tcPr>
            <w:tcW w:w="1920" w:type="dxa"/>
            <w:tcBorders>
              <w:top w:val="nil"/>
              <w:left w:val="nil"/>
              <w:bottom w:val="single" w:sz="4" w:space="0" w:color="auto"/>
              <w:right w:val="single" w:sz="4" w:space="0" w:color="auto"/>
            </w:tcBorders>
            <w:shd w:val="clear" w:color="000000" w:fill="F2F2F2"/>
            <w:vAlign w:val="center"/>
            <w:hideMark/>
          </w:tcPr>
          <w:p w14:paraId="4304A186"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GAS POR REDES</w:t>
            </w:r>
          </w:p>
        </w:tc>
      </w:tr>
      <w:tr w:rsidR="00D705A6" w:rsidRPr="002E0BB9" w14:paraId="607105E0" w14:textId="77777777" w:rsidTr="007D1249">
        <w:trPr>
          <w:trHeight w:val="4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7EF6A0FF"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16</w:t>
            </w:r>
          </w:p>
        </w:tc>
        <w:tc>
          <w:tcPr>
            <w:tcW w:w="560" w:type="dxa"/>
            <w:tcBorders>
              <w:top w:val="nil"/>
              <w:left w:val="nil"/>
              <w:bottom w:val="single" w:sz="4" w:space="0" w:color="auto"/>
              <w:right w:val="single" w:sz="4" w:space="0" w:color="auto"/>
            </w:tcBorders>
            <w:shd w:val="clear" w:color="000000" w:fill="F2F2F2"/>
            <w:noWrap/>
            <w:vAlign w:val="center"/>
            <w:hideMark/>
          </w:tcPr>
          <w:p w14:paraId="568B600E"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481</w:t>
            </w:r>
          </w:p>
        </w:tc>
        <w:tc>
          <w:tcPr>
            <w:tcW w:w="920" w:type="dxa"/>
            <w:tcBorders>
              <w:top w:val="nil"/>
              <w:left w:val="nil"/>
              <w:bottom w:val="single" w:sz="4" w:space="0" w:color="auto"/>
              <w:right w:val="single" w:sz="4" w:space="0" w:color="auto"/>
            </w:tcBorders>
            <w:shd w:val="clear" w:color="000000" w:fill="F2F2F2"/>
            <w:noWrap/>
            <w:vAlign w:val="center"/>
            <w:hideMark/>
          </w:tcPr>
          <w:p w14:paraId="3BF0D805"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800215347</w:t>
            </w:r>
          </w:p>
        </w:tc>
        <w:tc>
          <w:tcPr>
            <w:tcW w:w="2180" w:type="dxa"/>
            <w:tcBorders>
              <w:top w:val="nil"/>
              <w:left w:val="nil"/>
              <w:bottom w:val="single" w:sz="4" w:space="0" w:color="auto"/>
              <w:right w:val="single" w:sz="4" w:space="0" w:color="auto"/>
            </w:tcBorders>
            <w:shd w:val="clear" w:color="000000" w:fill="F2F2F2"/>
            <w:vAlign w:val="center"/>
            <w:hideMark/>
          </w:tcPr>
          <w:p w14:paraId="219C16FA"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TRANSPORTADORA DE METANO E.S.P. S.A.</w:t>
            </w:r>
          </w:p>
        </w:tc>
        <w:tc>
          <w:tcPr>
            <w:tcW w:w="1520" w:type="dxa"/>
            <w:tcBorders>
              <w:top w:val="nil"/>
              <w:left w:val="nil"/>
              <w:bottom w:val="single" w:sz="4" w:space="0" w:color="auto"/>
              <w:right w:val="single" w:sz="4" w:space="0" w:color="auto"/>
            </w:tcBorders>
            <w:shd w:val="clear" w:color="000000" w:fill="F2F2F2"/>
            <w:noWrap/>
            <w:vAlign w:val="center"/>
            <w:hideMark/>
          </w:tcPr>
          <w:p w14:paraId="7C2A4285"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$ 7.434.913.000</w:t>
            </w:r>
          </w:p>
        </w:tc>
        <w:tc>
          <w:tcPr>
            <w:tcW w:w="1440" w:type="dxa"/>
            <w:tcBorders>
              <w:top w:val="nil"/>
              <w:left w:val="nil"/>
              <w:bottom w:val="single" w:sz="4" w:space="0" w:color="auto"/>
              <w:right w:val="single" w:sz="4" w:space="0" w:color="auto"/>
            </w:tcBorders>
            <w:shd w:val="clear" w:color="000000" w:fill="F2F2F2"/>
            <w:noWrap/>
            <w:vAlign w:val="center"/>
            <w:hideMark/>
          </w:tcPr>
          <w:p w14:paraId="7C46D00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$ 0</w:t>
            </w:r>
          </w:p>
        </w:tc>
        <w:tc>
          <w:tcPr>
            <w:tcW w:w="1460" w:type="dxa"/>
            <w:tcBorders>
              <w:top w:val="nil"/>
              <w:left w:val="nil"/>
              <w:bottom w:val="single" w:sz="4" w:space="0" w:color="auto"/>
              <w:right w:val="single" w:sz="4" w:space="0" w:color="auto"/>
            </w:tcBorders>
            <w:shd w:val="clear" w:color="000000" w:fill="F2F2F2"/>
            <w:noWrap/>
            <w:vAlign w:val="center"/>
            <w:hideMark/>
          </w:tcPr>
          <w:p w14:paraId="43A71247"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$ 7.434.913.000</w:t>
            </w:r>
          </w:p>
        </w:tc>
        <w:tc>
          <w:tcPr>
            <w:tcW w:w="1260" w:type="dxa"/>
            <w:tcBorders>
              <w:top w:val="nil"/>
              <w:left w:val="nil"/>
              <w:bottom w:val="single" w:sz="4" w:space="0" w:color="auto"/>
              <w:right w:val="single" w:sz="4" w:space="0" w:color="auto"/>
            </w:tcBorders>
            <w:shd w:val="clear" w:color="000000" w:fill="F2F2F2"/>
            <w:noWrap/>
            <w:vAlign w:val="center"/>
            <w:hideMark/>
          </w:tcPr>
          <w:p w14:paraId="7B750C2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$ 74.349.130</w:t>
            </w:r>
          </w:p>
        </w:tc>
        <w:tc>
          <w:tcPr>
            <w:tcW w:w="1120" w:type="dxa"/>
            <w:tcBorders>
              <w:top w:val="nil"/>
              <w:left w:val="nil"/>
              <w:bottom w:val="single" w:sz="4" w:space="0" w:color="auto"/>
              <w:right w:val="single" w:sz="4" w:space="0" w:color="auto"/>
            </w:tcBorders>
            <w:shd w:val="clear" w:color="000000" w:fill="F2F2F2"/>
            <w:noWrap/>
            <w:vAlign w:val="center"/>
            <w:hideMark/>
          </w:tcPr>
          <w:p w14:paraId="545F1BC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$ 3.094</w:t>
            </w:r>
          </w:p>
        </w:tc>
        <w:tc>
          <w:tcPr>
            <w:tcW w:w="1260" w:type="dxa"/>
            <w:tcBorders>
              <w:top w:val="nil"/>
              <w:left w:val="nil"/>
              <w:bottom w:val="single" w:sz="4" w:space="0" w:color="auto"/>
              <w:right w:val="single" w:sz="4" w:space="0" w:color="auto"/>
            </w:tcBorders>
            <w:shd w:val="clear" w:color="000000" w:fill="F2F2F2"/>
            <w:noWrap/>
            <w:vAlign w:val="center"/>
            <w:hideMark/>
          </w:tcPr>
          <w:p w14:paraId="5FB8F6A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$ 74.352.224</w:t>
            </w:r>
          </w:p>
        </w:tc>
        <w:tc>
          <w:tcPr>
            <w:tcW w:w="1920" w:type="dxa"/>
            <w:tcBorders>
              <w:top w:val="nil"/>
              <w:left w:val="nil"/>
              <w:bottom w:val="single" w:sz="4" w:space="0" w:color="auto"/>
              <w:right w:val="single" w:sz="4" w:space="0" w:color="auto"/>
            </w:tcBorders>
            <w:shd w:val="clear" w:color="000000" w:fill="F2F2F2"/>
            <w:vAlign w:val="center"/>
            <w:hideMark/>
          </w:tcPr>
          <w:p w14:paraId="55DB7DAC"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GAS POR REDES</w:t>
            </w:r>
          </w:p>
        </w:tc>
      </w:tr>
      <w:tr w:rsidR="00D705A6" w:rsidRPr="002E0BB9" w14:paraId="7EDF6BE3" w14:textId="77777777" w:rsidTr="007D1249">
        <w:trPr>
          <w:trHeight w:val="4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6AFB4CC5"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17</w:t>
            </w:r>
          </w:p>
        </w:tc>
        <w:tc>
          <w:tcPr>
            <w:tcW w:w="560" w:type="dxa"/>
            <w:tcBorders>
              <w:top w:val="nil"/>
              <w:left w:val="nil"/>
              <w:bottom w:val="single" w:sz="4" w:space="0" w:color="auto"/>
              <w:right w:val="single" w:sz="4" w:space="0" w:color="auto"/>
            </w:tcBorders>
            <w:shd w:val="clear" w:color="000000" w:fill="F2F2F2"/>
            <w:noWrap/>
            <w:vAlign w:val="center"/>
            <w:hideMark/>
          </w:tcPr>
          <w:p w14:paraId="45BD1F12"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541</w:t>
            </w:r>
          </w:p>
        </w:tc>
        <w:tc>
          <w:tcPr>
            <w:tcW w:w="920" w:type="dxa"/>
            <w:tcBorders>
              <w:top w:val="nil"/>
              <w:left w:val="nil"/>
              <w:bottom w:val="single" w:sz="4" w:space="0" w:color="auto"/>
              <w:right w:val="single" w:sz="4" w:space="0" w:color="auto"/>
            </w:tcBorders>
            <w:shd w:val="clear" w:color="000000" w:fill="F2F2F2"/>
            <w:noWrap/>
            <w:vAlign w:val="center"/>
            <w:hideMark/>
          </w:tcPr>
          <w:p w14:paraId="035DD8F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800218682</w:t>
            </w:r>
          </w:p>
        </w:tc>
        <w:tc>
          <w:tcPr>
            <w:tcW w:w="2180" w:type="dxa"/>
            <w:tcBorders>
              <w:top w:val="nil"/>
              <w:left w:val="nil"/>
              <w:bottom w:val="single" w:sz="4" w:space="0" w:color="auto"/>
              <w:right w:val="single" w:sz="4" w:space="0" w:color="auto"/>
            </w:tcBorders>
            <w:shd w:val="clear" w:color="000000" w:fill="F2F2F2"/>
            <w:vAlign w:val="center"/>
            <w:hideMark/>
          </w:tcPr>
          <w:p w14:paraId="42597D5B"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GASES DEL CUSIANA S.A.S E.S.P BIC</w:t>
            </w:r>
          </w:p>
        </w:tc>
        <w:tc>
          <w:tcPr>
            <w:tcW w:w="1520" w:type="dxa"/>
            <w:tcBorders>
              <w:top w:val="nil"/>
              <w:left w:val="nil"/>
              <w:bottom w:val="single" w:sz="4" w:space="0" w:color="auto"/>
              <w:right w:val="single" w:sz="4" w:space="0" w:color="auto"/>
            </w:tcBorders>
            <w:shd w:val="clear" w:color="000000" w:fill="F2F2F2"/>
            <w:noWrap/>
            <w:vAlign w:val="center"/>
            <w:hideMark/>
          </w:tcPr>
          <w:p w14:paraId="7E2AEF0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$ 1.814.491.000</w:t>
            </w:r>
          </w:p>
        </w:tc>
        <w:tc>
          <w:tcPr>
            <w:tcW w:w="1440" w:type="dxa"/>
            <w:tcBorders>
              <w:top w:val="nil"/>
              <w:left w:val="nil"/>
              <w:bottom w:val="single" w:sz="4" w:space="0" w:color="auto"/>
              <w:right w:val="single" w:sz="4" w:space="0" w:color="auto"/>
            </w:tcBorders>
            <w:shd w:val="clear" w:color="000000" w:fill="F2F2F2"/>
            <w:noWrap/>
            <w:vAlign w:val="center"/>
            <w:hideMark/>
          </w:tcPr>
          <w:p w14:paraId="50212A7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$ 10.464.683</w:t>
            </w:r>
          </w:p>
        </w:tc>
        <w:tc>
          <w:tcPr>
            <w:tcW w:w="1460" w:type="dxa"/>
            <w:tcBorders>
              <w:top w:val="nil"/>
              <w:left w:val="nil"/>
              <w:bottom w:val="single" w:sz="4" w:space="0" w:color="auto"/>
              <w:right w:val="single" w:sz="4" w:space="0" w:color="auto"/>
            </w:tcBorders>
            <w:shd w:val="clear" w:color="000000" w:fill="F2F2F2"/>
            <w:noWrap/>
            <w:vAlign w:val="center"/>
            <w:hideMark/>
          </w:tcPr>
          <w:p w14:paraId="2366531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$ 1.824.955.683</w:t>
            </w:r>
          </w:p>
        </w:tc>
        <w:tc>
          <w:tcPr>
            <w:tcW w:w="1260" w:type="dxa"/>
            <w:tcBorders>
              <w:top w:val="nil"/>
              <w:left w:val="nil"/>
              <w:bottom w:val="single" w:sz="4" w:space="0" w:color="auto"/>
              <w:right w:val="single" w:sz="4" w:space="0" w:color="auto"/>
            </w:tcBorders>
            <w:shd w:val="clear" w:color="000000" w:fill="F2F2F2"/>
            <w:noWrap/>
            <w:vAlign w:val="center"/>
            <w:hideMark/>
          </w:tcPr>
          <w:p w14:paraId="278FA1D5"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$ 18.249.557</w:t>
            </w:r>
          </w:p>
        </w:tc>
        <w:tc>
          <w:tcPr>
            <w:tcW w:w="1120" w:type="dxa"/>
            <w:tcBorders>
              <w:top w:val="nil"/>
              <w:left w:val="nil"/>
              <w:bottom w:val="single" w:sz="4" w:space="0" w:color="auto"/>
              <w:right w:val="single" w:sz="4" w:space="0" w:color="auto"/>
            </w:tcBorders>
            <w:shd w:val="clear" w:color="000000" w:fill="F2F2F2"/>
            <w:noWrap/>
            <w:vAlign w:val="center"/>
            <w:hideMark/>
          </w:tcPr>
          <w:p w14:paraId="4C402C7D"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$ 759</w:t>
            </w:r>
          </w:p>
        </w:tc>
        <w:tc>
          <w:tcPr>
            <w:tcW w:w="1260" w:type="dxa"/>
            <w:tcBorders>
              <w:top w:val="nil"/>
              <w:left w:val="nil"/>
              <w:bottom w:val="single" w:sz="4" w:space="0" w:color="auto"/>
              <w:right w:val="single" w:sz="4" w:space="0" w:color="auto"/>
            </w:tcBorders>
            <w:shd w:val="clear" w:color="000000" w:fill="F2F2F2"/>
            <w:noWrap/>
            <w:vAlign w:val="center"/>
            <w:hideMark/>
          </w:tcPr>
          <w:p w14:paraId="54F79585"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$ 18.250.316</w:t>
            </w:r>
          </w:p>
        </w:tc>
        <w:tc>
          <w:tcPr>
            <w:tcW w:w="1920" w:type="dxa"/>
            <w:tcBorders>
              <w:top w:val="nil"/>
              <w:left w:val="nil"/>
              <w:bottom w:val="single" w:sz="4" w:space="0" w:color="auto"/>
              <w:right w:val="single" w:sz="4" w:space="0" w:color="auto"/>
            </w:tcBorders>
            <w:shd w:val="clear" w:color="000000" w:fill="F2F2F2"/>
            <w:vAlign w:val="center"/>
            <w:hideMark/>
          </w:tcPr>
          <w:p w14:paraId="392FEE8D"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GAS POR REDES</w:t>
            </w:r>
          </w:p>
        </w:tc>
      </w:tr>
      <w:tr w:rsidR="00D705A6" w:rsidRPr="002E0BB9" w14:paraId="14F6649D" w14:textId="77777777" w:rsidTr="007D1249">
        <w:trPr>
          <w:trHeight w:val="4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5C3AED68"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18</w:t>
            </w:r>
          </w:p>
        </w:tc>
        <w:tc>
          <w:tcPr>
            <w:tcW w:w="560" w:type="dxa"/>
            <w:tcBorders>
              <w:top w:val="nil"/>
              <w:left w:val="nil"/>
              <w:bottom w:val="single" w:sz="4" w:space="0" w:color="auto"/>
              <w:right w:val="single" w:sz="4" w:space="0" w:color="auto"/>
            </w:tcBorders>
            <w:shd w:val="clear" w:color="000000" w:fill="F2F2F2"/>
            <w:noWrap/>
            <w:vAlign w:val="center"/>
            <w:hideMark/>
          </w:tcPr>
          <w:p w14:paraId="5BB2980E"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1058</w:t>
            </w:r>
          </w:p>
        </w:tc>
        <w:tc>
          <w:tcPr>
            <w:tcW w:w="920" w:type="dxa"/>
            <w:tcBorders>
              <w:top w:val="nil"/>
              <w:left w:val="nil"/>
              <w:bottom w:val="single" w:sz="4" w:space="0" w:color="auto"/>
              <w:right w:val="single" w:sz="4" w:space="0" w:color="auto"/>
            </w:tcBorders>
            <w:shd w:val="clear" w:color="000000" w:fill="F2F2F2"/>
            <w:noWrap/>
            <w:vAlign w:val="center"/>
            <w:hideMark/>
          </w:tcPr>
          <w:p w14:paraId="6D8032CA"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800219925</w:t>
            </w:r>
          </w:p>
        </w:tc>
        <w:tc>
          <w:tcPr>
            <w:tcW w:w="2180" w:type="dxa"/>
            <w:tcBorders>
              <w:top w:val="nil"/>
              <w:left w:val="nil"/>
              <w:bottom w:val="single" w:sz="4" w:space="0" w:color="auto"/>
              <w:right w:val="single" w:sz="4" w:space="0" w:color="auto"/>
            </w:tcBorders>
            <w:shd w:val="clear" w:color="000000" w:fill="F2F2F2"/>
            <w:vAlign w:val="center"/>
            <w:hideMark/>
          </w:tcPr>
          <w:p w14:paraId="6A296A30"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COMPAÑIA ELECTRICA DE SOCHAGOTA S.A. E.S.P.</w:t>
            </w:r>
          </w:p>
        </w:tc>
        <w:tc>
          <w:tcPr>
            <w:tcW w:w="1520" w:type="dxa"/>
            <w:tcBorders>
              <w:top w:val="nil"/>
              <w:left w:val="nil"/>
              <w:bottom w:val="single" w:sz="4" w:space="0" w:color="auto"/>
              <w:right w:val="single" w:sz="4" w:space="0" w:color="auto"/>
            </w:tcBorders>
            <w:shd w:val="clear" w:color="000000" w:fill="F2F2F2"/>
            <w:noWrap/>
            <w:vAlign w:val="center"/>
            <w:hideMark/>
          </w:tcPr>
          <w:p w14:paraId="51DBA88D"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$ 5.433.656.000</w:t>
            </w:r>
          </w:p>
        </w:tc>
        <w:tc>
          <w:tcPr>
            <w:tcW w:w="1440" w:type="dxa"/>
            <w:tcBorders>
              <w:top w:val="nil"/>
              <w:left w:val="nil"/>
              <w:bottom w:val="single" w:sz="4" w:space="0" w:color="auto"/>
              <w:right w:val="single" w:sz="4" w:space="0" w:color="auto"/>
            </w:tcBorders>
            <w:shd w:val="clear" w:color="000000" w:fill="F2F2F2"/>
            <w:noWrap/>
            <w:vAlign w:val="center"/>
            <w:hideMark/>
          </w:tcPr>
          <w:p w14:paraId="72DDFF6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$ 191.850.778</w:t>
            </w:r>
          </w:p>
        </w:tc>
        <w:tc>
          <w:tcPr>
            <w:tcW w:w="1460" w:type="dxa"/>
            <w:tcBorders>
              <w:top w:val="nil"/>
              <w:left w:val="nil"/>
              <w:bottom w:val="single" w:sz="4" w:space="0" w:color="auto"/>
              <w:right w:val="single" w:sz="4" w:space="0" w:color="auto"/>
            </w:tcBorders>
            <w:shd w:val="clear" w:color="000000" w:fill="F2F2F2"/>
            <w:noWrap/>
            <w:vAlign w:val="center"/>
            <w:hideMark/>
          </w:tcPr>
          <w:p w14:paraId="499B74D2"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$ 5.625.506.778</w:t>
            </w:r>
          </w:p>
        </w:tc>
        <w:tc>
          <w:tcPr>
            <w:tcW w:w="1260" w:type="dxa"/>
            <w:tcBorders>
              <w:top w:val="nil"/>
              <w:left w:val="nil"/>
              <w:bottom w:val="single" w:sz="4" w:space="0" w:color="auto"/>
              <w:right w:val="single" w:sz="4" w:space="0" w:color="auto"/>
            </w:tcBorders>
            <w:shd w:val="clear" w:color="000000" w:fill="F2F2F2"/>
            <w:noWrap/>
            <w:vAlign w:val="center"/>
            <w:hideMark/>
          </w:tcPr>
          <w:p w14:paraId="6BDD7FDE"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$ 56.255.068</w:t>
            </w:r>
          </w:p>
        </w:tc>
        <w:tc>
          <w:tcPr>
            <w:tcW w:w="1120" w:type="dxa"/>
            <w:tcBorders>
              <w:top w:val="nil"/>
              <w:left w:val="nil"/>
              <w:bottom w:val="single" w:sz="4" w:space="0" w:color="auto"/>
              <w:right w:val="single" w:sz="4" w:space="0" w:color="auto"/>
            </w:tcBorders>
            <w:shd w:val="clear" w:color="000000" w:fill="F2F2F2"/>
            <w:noWrap/>
            <w:vAlign w:val="center"/>
            <w:hideMark/>
          </w:tcPr>
          <w:p w14:paraId="2B7F50D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$ 2.341</w:t>
            </w:r>
          </w:p>
        </w:tc>
        <w:tc>
          <w:tcPr>
            <w:tcW w:w="1260" w:type="dxa"/>
            <w:tcBorders>
              <w:top w:val="nil"/>
              <w:left w:val="nil"/>
              <w:bottom w:val="single" w:sz="4" w:space="0" w:color="auto"/>
              <w:right w:val="single" w:sz="4" w:space="0" w:color="auto"/>
            </w:tcBorders>
            <w:shd w:val="clear" w:color="000000" w:fill="F2F2F2"/>
            <w:noWrap/>
            <w:vAlign w:val="center"/>
            <w:hideMark/>
          </w:tcPr>
          <w:p w14:paraId="4E4D6F92"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$ 56.257.409</w:t>
            </w:r>
          </w:p>
        </w:tc>
        <w:tc>
          <w:tcPr>
            <w:tcW w:w="1920" w:type="dxa"/>
            <w:tcBorders>
              <w:top w:val="nil"/>
              <w:left w:val="nil"/>
              <w:bottom w:val="single" w:sz="4" w:space="0" w:color="auto"/>
              <w:right w:val="single" w:sz="4" w:space="0" w:color="auto"/>
            </w:tcBorders>
            <w:shd w:val="clear" w:color="000000" w:fill="F2F2F2"/>
            <w:vAlign w:val="center"/>
            <w:hideMark/>
          </w:tcPr>
          <w:p w14:paraId="0BBE0C9C"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w:t>
            </w:r>
          </w:p>
        </w:tc>
      </w:tr>
      <w:tr w:rsidR="00D705A6" w:rsidRPr="002E0BB9" w14:paraId="57D14F14" w14:textId="77777777" w:rsidTr="007D1249">
        <w:trPr>
          <w:trHeight w:val="2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4B7E8764"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19</w:t>
            </w:r>
          </w:p>
        </w:tc>
        <w:tc>
          <w:tcPr>
            <w:tcW w:w="560" w:type="dxa"/>
            <w:tcBorders>
              <w:top w:val="nil"/>
              <w:left w:val="nil"/>
              <w:bottom w:val="single" w:sz="4" w:space="0" w:color="auto"/>
              <w:right w:val="single" w:sz="4" w:space="0" w:color="auto"/>
            </w:tcBorders>
            <w:shd w:val="clear" w:color="000000" w:fill="F2F2F2"/>
            <w:noWrap/>
            <w:vAlign w:val="center"/>
            <w:hideMark/>
          </w:tcPr>
          <w:p w14:paraId="501CF58C"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527</w:t>
            </w:r>
          </w:p>
        </w:tc>
        <w:tc>
          <w:tcPr>
            <w:tcW w:w="920" w:type="dxa"/>
            <w:tcBorders>
              <w:top w:val="nil"/>
              <w:left w:val="nil"/>
              <w:bottom w:val="single" w:sz="4" w:space="0" w:color="auto"/>
              <w:right w:val="single" w:sz="4" w:space="0" w:color="auto"/>
            </w:tcBorders>
            <w:shd w:val="clear" w:color="000000" w:fill="F2F2F2"/>
            <w:noWrap/>
            <w:vAlign w:val="center"/>
            <w:hideMark/>
          </w:tcPr>
          <w:p w14:paraId="0204DD1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800226766</w:t>
            </w:r>
          </w:p>
        </w:tc>
        <w:tc>
          <w:tcPr>
            <w:tcW w:w="2180" w:type="dxa"/>
            <w:tcBorders>
              <w:top w:val="nil"/>
              <w:left w:val="nil"/>
              <w:bottom w:val="single" w:sz="4" w:space="0" w:color="auto"/>
              <w:right w:val="single" w:sz="4" w:space="0" w:color="auto"/>
            </w:tcBorders>
            <w:shd w:val="clear" w:color="000000" w:fill="F2F2F2"/>
            <w:vAlign w:val="center"/>
            <w:hideMark/>
          </w:tcPr>
          <w:p w14:paraId="0FA398E6"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PROMIORIENTE S.A. E.S.P.</w:t>
            </w:r>
          </w:p>
        </w:tc>
        <w:tc>
          <w:tcPr>
            <w:tcW w:w="1520" w:type="dxa"/>
            <w:tcBorders>
              <w:top w:val="nil"/>
              <w:left w:val="nil"/>
              <w:bottom w:val="single" w:sz="4" w:space="0" w:color="auto"/>
              <w:right w:val="single" w:sz="4" w:space="0" w:color="auto"/>
            </w:tcBorders>
            <w:shd w:val="clear" w:color="000000" w:fill="F2F2F2"/>
            <w:noWrap/>
            <w:vAlign w:val="center"/>
            <w:hideMark/>
          </w:tcPr>
          <w:p w14:paraId="122D709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$ 8.048.290.000</w:t>
            </w:r>
          </w:p>
        </w:tc>
        <w:tc>
          <w:tcPr>
            <w:tcW w:w="1440" w:type="dxa"/>
            <w:tcBorders>
              <w:top w:val="nil"/>
              <w:left w:val="nil"/>
              <w:bottom w:val="single" w:sz="4" w:space="0" w:color="auto"/>
              <w:right w:val="single" w:sz="4" w:space="0" w:color="auto"/>
            </w:tcBorders>
            <w:shd w:val="clear" w:color="000000" w:fill="F2F2F2"/>
            <w:noWrap/>
            <w:vAlign w:val="center"/>
            <w:hideMark/>
          </w:tcPr>
          <w:p w14:paraId="74455B2C"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$ 0</w:t>
            </w:r>
          </w:p>
        </w:tc>
        <w:tc>
          <w:tcPr>
            <w:tcW w:w="1460" w:type="dxa"/>
            <w:tcBorders>
              <w:top w:val="nil"/>
              <w:left w:val="nil"/>
              <w:bottom w:val="single" w:sz="4" w:space="0" w:color="auto"/>
              <w:right w:val="single" w:sz="4" w:space="0" w:color="auto"/>
            </w:tcBorders>
            <w:shd w:val="clear" w:color="000000" w:fill="F2F2F2"/>
            <w:noWrap/>
            <w:vAlign w:val="center"/>
            <w:hideMark/>
          </w:tcPr>
          <w:p w14:paraId="23C78CAA"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$ 8.048.290.000</w:t>
            </w:r>
          </w:p>
        </w:tc>
        <w:tc>
          <w:tcPr>
            <w:tcW w:w="1260" w:type="dxa"/>
            <w:tcBorders>
              <w:top w:val="nil"/>
              <w:left w:val="nil"/>
              <w:bottom w:val="single" w:sz="4" w:space="0" w:color="auto"/>
              <w:right w:val="single" w:sz="4" w:space="0" w:color="auto"/>
            </w:tcBorders>
            <w:shd w:val="clear" w:color="000000" w:fill="F2F2F2"/>
            <w:noWrap/>
            <w:vAlign w:val="center"/>
            <w:hideMark/>
          </w:tcPr>
          <w:p w14:paraId="396C1BF7"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$ 80.482.900</w:t>
            </w:r>
          </w:p>
        </w:tc>
        <w:tc>
          <w:tcPr>
            <w:tcW w:w="1120" w:type="dxa"/>
            <w:tcBorders>
              <w:top w:val="nil"/>
              <w:left w:val="nil"/>
              <w:bottom w:val="single" w:sz="4" w:space="0" w:color="auto"/>
              <w:right w:val="single" w:sz="4" w:space="0" w:color="auto"/>
            </w:tcBorders>
            <w:shd w:val="clear" w:color="000000" w:fill="F2F2F2"/>
            <w:noWrap/>
            <w:vAlign w:val="center"/>
            <w:hideMark/>
          </w:tcPr>
          <w:p w14:paraId="0379B42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$ 3.349</w:t>
            </w:r>
          </w:p>
        </w:tc>
        <w:tc>
          <w:tcPr>
            <w:tcW w:w="1260" w:type="dxa"/>
            <w:tcBorders>
              <w:top w:val="nil"/>
              <w:left w:val="nil"/>
              <w:bottom w:val="single" w:sz="4" w:space="0" w:color="auto"/>
              <w:right w:val="single" w:sz="4" w:space="0" w:color="auto"/>
            </w:tcBorders>
            <w:shd w:val="clear" w:color="000000" w:fill="F2F2F2"/>
            <w:noWrap/>
            <w:vAlign w:val="center"/>
            <w:hideMark/>
          </w:tcPr>
          <w:p w14:paraId="6F0081A5"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$ 80.486.249</w:t>
            </w:r>
          </w:p>
        </w:tc>
        <w:tc>
          <w:tcPr>
            <w:tcW w:w="1920" w:type="dxa"/>
            <w:tcBorders>
              <w:top w:val="nil"/>
              <w:left w:val="nil"/>
              <w:bottom w:val="single" w:sz="4" w:space="0" w:color="auto"/>
              <w:right w:val="single" w:sz="4" w:space="0" w:color="auto"/>
            </w:tcBorders>
            <w:shd w:val="clear" w:color="000000" w:fill="F2F2F2"/>
            <w:vAlign w:val="center"/>
            <w:hideMark/>
          </w:tcPr>
          <w:p w14:paraId="017A9C78"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GAS POR REDES</w:t>
            </w:r>
          </w:p>
        </w:tc>
      </w:tr>
      <w:tr w:rsidR="00D705A6" w:rsidRPr="002E0BB9" w14:paraId="05A33F43" w14:textId="77777777" w:rsidTr="007D1249">
        <w:trPr>
          <w:trHeight w:val="4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13D3A7E8"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20</w:t>
            </w:r>
          </w:p>
        </w:tc>
        <w:tc>
          <w:tcPr>
            <w:tcW w:w="560" w:type="dxa"/>
            <w:tcBorders>
              <w:top w:val="nil"/>
              <w:left w:val="nil"/>
              <w:bottom w:val="single" w:sz="4" w:space="0" w:color="auto"/>
              <w:right w:val="single" w:sz="4" w:space="0" w:color="auto"/>
            </w:tcBorders>
            <w:shd w:val="clear" w:color="000000" w:fill="F2F2F2"/>
            <w:noWrap/>
            <w:vAlign w:val="center"/>
            <w:hideMark/>
          </w:tcPr>
          <w:p w14:paraId="39DD34F7"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485</w:t>
            </w:r>
          </w:p>
        </w:tc>
        <w:tc>
          <w:tcPr>
            <w:tcW w:w="920" w:type="dxa"/>
            <w:tcBorders>
              <w:top w:val="nil"/>
              <w:left w:val="nil"/>
              <w:bottom w:val="single" w:sz="4" w:space="0" w:color="auto"/>
              <w:right w:val="single" w:sz="4" w:space="0" w:color="auto"/>
            </w:tcBorders>
            <w:shd w:val="clear" w:color="000000" w:fill="F2F2F2"/>
            <w:noWrap/>
            <w:vAlign w:val="center"/>
            <w:hideMark/>
          </w:tcPr>
          <w:p w14:paraId="7645BEB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800245746</w:t>
            </w:r>
          </w:p>
        </w:tc>
        <w:tc>
          <w:tcPr>
            <w:tcW w:w="2180" w:type="dxa"/>
            <w:tcBorders>
              <w:top w:val="nil"/>
              <w:left w:val="nil"/>
              <w:bottom w:val="single" w:sz="4" w:space="0" w:color="auto"/>
              <w:right w:val="single" w:sz="4" w:space="0" w:color="auto"/>
            </w:tcBorders>
            <w:shd w:val="clear" w:color="000000" w:fill="F2F2F2"/>
            <w:vAlign w:val="center"/>
            <w:hideMark/>
          </w:tcPr>
          <w:p w14:paraId="6CB2949F"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TERMOBARRANQUILLA S.A. E.S.P.</w:t>
            </w:r>
          </w:p>
        </w:tc>
        <w:tc>
          <w:tcPr>
            <w:tcW w:w="1520" w:type="dxa"/>
            <w:tcBorders>
              <w:top w:val="nil"/>
              <w:left w:val="nil"/>
              <w:bottom w:val="single" w:sz="4" w:space="0" w:color="auto"/>
              <w:right w:val="single" w:sz="4" w:space="0" w:color="auto"/>
            </w:tcBorders>
            <w:shd w:val="clear" w:color="000000" w:fill="F2F2F2"/>
            <w:noWrap/>
            <w:vAlign w:val="center"/>
            <w:hideMark/>
          </w:tcPr>
          <w:p w14:paraId="19FC9AAA"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$ 26.802.072.000</w:t>
            </w:r>
          </w:p>
        </w:tc>
        <w:tc>
          <w:tcPr>
            <w:tcW w:w="1440" w:type="dxa"/>
            <w:tcBorders>
              <w:top w:val="nil"/>
              <w:left w:val="nil"/>
              <w:bottom w:val="single" w:sz="4" w:space="0" w:color="auto"/>
              <w:right w:val="single" w:sz="4" w:space="0" w:color="auto"/>
            </w:tcBorders>
            <w:shd w:val="clear" w:color="000000" w:fill="F2F2F2"/>
            <w:noWrap/>
            <w:vAlign w:val="center"/>
            <w:hideMark/>
          </w:tcPr>
          <w:p w14:paraId="0AC62BD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$ 10.334.928.160</w:t>
            </w:r>
          </w:p>
        </w:tc>
        <w:tc>
          <w:tcPr>
            <w:tcW w:w="1460" w:type="dxa"/>
            <w:tcBorders>
              <w:top w:val="nil"/>
              <w:left w:val="nil"/>
              <w:bottom w:val="single" w:sz="4" w:space="0" w:color="auto"/>
              <w:right w:val="single" w:sz="4" w:space="0" w:color="auto"/>
            </w:tcBorders>
            <w:shd w:val="clear" w:color="000000" w:fill="F2F2F2"/>
            <w:noWrap/>
            <w:vAlign w:val="center"/>
            <w:hideMark/>
          </w:tcPr>
          <w:p w14:paraId="6F8BFCBD"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$ 37.137.000.160</w:t>
            </w:r>
          </w:p>
        </w:tc>
        <w:tc>
          <w:tcPr>
            <w:tcW w:w="1260" w:type="dxa"/>
            <w:tcBorders>
              <w:top w:val="nil"/>
              <w:left w:val="nil"/>
              <w:bottom w:val="single" w:sz="4" w:space="0" w:color="auto"/>
              <w:right w:val="single" w:sz="4" w:space="0" w:color="auto"/>
            </w:tcBorders>
            <w:shd w:val="clear" w:color="000000" w:fill="F2F2F2"/>
            <w:noWrap/>
            <w:vAlign w:val="center"/>
            <w:hideMark/>
          </w:tcPr>
          <w:p w14:paraId="686BDC9D"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$ 371.370.002</w:t>
            </w:r>
          </w:p>
        </w:tc>
        <w:tc>
          <w:tcPr>
            <w:tcW w:w="1120" w:type="dxa"/>
            <w:tcBorders>
              <w:top w:val="nil"/>
              <w:left w:val="nil"/>
              <w:bottom w:val="single" w:sz="4" w:space="0" w:color="auto"/>
              <w:right w:val="single" w:sz="4" w:space="0" w:color="auto"/>
            </w:tcBorders>
            <w:shd w:val="clear" w:color="000000" w:fill="F2F2F2"/>
            <w:noWrap/>
            <w:vAlign w:val="center"/>
            <w:hideMark/>
          </w:tcPr>
          <w:p w14:paraId="0CFB59EA"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$ 15.455</w:t>
            </w:r>
          </w:p>
        </w:tc>
        <w:tc>
          <w:tcPr>
            <w:tcW w:w="1260" w:type="dxa"/>
            <w:tcBorders>
              <w:top w:val="nil"/>
              <w:left w:val="nil"/>
              <w:bottom w:val="single" w:sz="4" w:space="0" w:color="auto"/>
              <w:right w:val="single" w:sz="4" w:space="0" w:color="auto"/>
            </w:tcBorders>
            <w:shd w:val="clear" w:color="000000" w:fill="F2F2F2"/>
            <w:noWrap/>
            <w:vAlign w:val="center"/>
            <w:hideMark/>
          </w:tcPr>
          <w:p w14:paraId="21B5288C"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$ 371.385.457</w:t>
            </w:r>
          </w:p>
        </w:tc>
        <w:tc>
          <w:tcPr>
            <w:tcW w:w="1920" w:type="dxa"/>
            <w:tcBorders>
              <w:top w:val="nil"/>
              <w:left w:val="nil"/>
              <w:bottom w:val="single" w:sz="4" w:space="0" w:color="auto"/>
              <w:right w:val="single" w:sz="4" w:space="0" w:color="auto"/>
            </w:tcBorders>
            <w:shd w:val="clear" w:color="000000" w:fill="F2F2F2"/>
            <w:vAlign w:val="center"/>
            <w:hideMark/>
          </w:tcPr>
          <w:p w14:paraId="3DE141BA"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 - GAS POR REDES</w:t>
            </w:r>
          </w:p>
        </w:tc>
      </w:tr>
      <w:tr w:rsidR="00D705A6" w:rsidRPr="002E0BB9" w14:paraId="004496BA" w14:textId="77777777" w:rsidTr="007D1249">
        <w:trPr>
          <w:trHeight w:val="4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62BE93C7"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21</w:t>
            </w:r>
          </w:p>
        </w:tc>
        <w:tc>
          <w:tcPr>
            <w:tcW w:w="560" w:type="dxa"/>
            <w:tcBorders>
              <w:top w:val="nil"/>
              <w:left w:val="nil"/>
              <w:bottom w:val="single" w:sz="4" w:space="0" w:color="auto"/>
              <w:right w:val="single" w:sz="4" w:space="0" w:color="auto"/>
            </w:tcBorders>
            <w:shd w:val="clear" w:color="000000" w:fill="F2F2F2"/>
            <w:noWrap/>
            <w:vAlign w:val="center"/>
            <w:hideMark/>
          </w:tcPr>
          <w:p w14:paraId="44381A1A"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536</w:t>
            </w:r>
          </w:p>
        </w:tc>
        <w:tc>
          <w:tcPr>
            <w:tcW w:w="920" w:type="dxa"/>
            <w:tcBorders>
              <w:top w:val="nil"/>
              <w:left w:val="nil"/>
              <w:bottom w:val="single" w:sz="4" w:space="0" w:color="auto"/>
              <w:right w:val="single" w:sz="4" w:space="0" w:color="auto"/>
            </w:tcBorders>
            <w:shd w:val="clear" w:color="000000" w:fill="F2F2F2"/>
            <w:noWrap/>
            <w:vAlign w:val="center"/>
            <w:hideMark/>
          </w:tcPr>
          <w:p w14:paraId="374E24F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800249860</w:t>
            </w:r>
          </w:p>
        </w:tc>
        <w:tc>
          <w:tcPr>
            <w:tcW w:w="2180" w:type="dxa"/>
            <w:tcBorders>
              <w:top w:val="nil"/>
              <w:left w:val="nil"/>
              <w:bottom w:val="single" w:sz="4" w:space="0" w:color="auto"/>
              <w:right w:val="single" w:sz="4" w:space="0" w:color="auto"/>
            </w:tcBorders>
            <w:shd w:val="clear" w:color="000000" w:fill="F2F2F2"/>
            <w:vAlign w:val="center"/>
            <w:hideMark/>
          </w:tcPr>
          <w:p w14:paraId="4BEE2467"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CELSIA COLOMBIA S.A. E.S.P.</w:t>
            </w:r>
          </w:p>
        </w:tc>
        <w:tc>
          <w:tcPr>
            <w:tcW w:w="1520" w:type="dxa"/>
            <w:tcBorders>
              <w:top w:val="nil"/>
              <w:left w:val="nil"/>
              <w:bottom w:val="single" w:sz="4" w:space="0" w:color="auto"/>
              <w:right w:val="single" w:sz="4" w:space="0" w:color="auto"/>
            </w:tcBorders>
            <w:shd w:val="clear" w:color="000000" w:fill="F2F2F2"/>
            <w:noWrap/>
            <w:vAlign w:val="center"/>
            <w:hideMark/>
          </w:tcPr>
          <w:p w14:paraId="09F74E2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$ 152.208.745.000</w:t>
            </w:r>
          </w:p>
        </w:tc>
        <w:tc>
          <w:tcPr>
            <w:tcW w:w="1440" w:type="dxa"/>
            <w:tcBorders>
              <w:top w:val="nil"/>
              <w:left w:val="nil"/>
              <w:bottom w:val="single" w:sz="4" w:space="0" w:color="auto"/>
              <w:right w:val="single" w:sz="4" w:space="0" w:color="auto"/>
            </w:tcBorders>
            <w:shd w:val="clear" w:color="000000" w:fill="F2F2F2"/>
            <w:noWrap/>
            <w:vAlign w:val="center"/>
            <w:hideMark/>
          </w:tcPr>
          <w:p w14:paraId="6F7CD8C5"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$ 9.067.266.880</w:t>
            </w:r>
          </w:p>
        </w:tc>
        <w:tc>
          <w:tcPr>
            <w:tcW w:w="1460" w:type="dxa"/>
            <w:tcBorders>
              <w:top w:val="nil"/>
              <w:left w:val="nil"/>
              <w:bottom w:val="single" w:sz="4" w:space="0" w:color="auto"/>
              <w:right w:val="single" w:sz="4" w:space="0" w:color="auto"/>
            </w:tcBorders>
            <w:shd w:val="clear" w:color="000000" w:fill="F2F2F2"/>
            <w:noWrap/>
            <w:vAlign w:val="center"/>
            <w:hideMark/>
          </w:tcPr>
          <w:p w14:paraId="2394F1C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$ 161.276.011.880</w:t>
            </w:r>
          </w:p>
        </w:tc>
        <w:tc>
          <w:tcPr>
            <w:tcW w:w="1260" w:type="dxa"/>
            <w:tcBorders>
              <w:top w:val="nil"/>
              <w:left w:val="nil"/>
              <w:bottom w:val="single" w:sz="4" w:space="0" w:color="auto"/>
              <w:right w:val="single" w:sz="4" w:space="0" w:color="auto"/>
            </w:tcBorders>
            <w:shd w:val="clear" w:color="000000" w:fill="F2F2F2"/>
            <w:noWrap/>
            <w:vAlign w:val="center"/>
            <w:hideMark/>
          </w:tcPr>
          <w:p w14:paraId="240C5502"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$ 1.612.760.119</w:t>
            </w:r>
          </w:p>
        </w:tc>
        <w:tc>
          <w:tcPr>
            <w:tcW w:w="1120" w:type="dxa"/>
            <w:tcBorders>
              <w:top w:val="nil"/>
              <w:left w:val="nil"/>
              <w:bottom w:val="single" w:sz="4" w:space="0" w:color="auto"/>
              <w:right w:val="single" w:sz="4" w:space="0" w:color="auto"/>
            </w:tcBorders>
            <w:shd w:val="clear" w:color="000000" w:fill="F2F2F2"/>
            <w:noWrap/>
            <w:vAlign w:val="center"/>
            <w:hideMark/>
          </w:tcPr>
          <w:p w14:paraId="0825EEEB"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$ 67.118</w:t>
            </w:r>
          </w:p>
        </w:tc>
        <w:tc>
          <w:tcPr>
            <w:tcW w:w="1260" w:type="dxa"/>
            <w:tcBorders>
              <w:top w:val="nil"/>
              <w:left w:val="nil"/>
              <w:bottom w:val="single" w:sz="4" w:space="0" w:color="auto"/>
              <w:right w:val="single" w:sz="4" w:space="0" w:color="auto"/>
            </w:tcBorders>
            <w:shd w:val="clear" w:color="000000" w:fill="F2F2F2"/>
            <w:noWrap/>
            <w:vAlign w:val="center"/>
            <w:hideMark/>
          </w:tcPr>
          <w:p w14:paraId="324B61E6"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$ 1.612.827.236</w:t>
            </w:r>
          </w:p>
        </w:tc>
        <w:tc>
          <w:tcPr>
            <w:tcW w:w="1920" w:type="dxa"/>
            <w:tcBorders>
              <w:top w:val="nil"/>
              <w:left w:val="nil"/>
              <w:bottom w:val="single" w:sz="4" w:space="0" w:color="auto"/>
              <w:right w:val="single" w:sz="4" w:space="0" w:color="auto"/>
            </w:tcBorders>
            <w:shd w:val="clear" w:color="000000" w:fill="F2F2F2"/>
            <w:vAlign w:val="center"/>
            <w:hideMark/>
          </w:tcPr>
          <w:p w14:paraId="10F774B2"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 - GAS POR REDES</w:t>
            </w:r>
          </w:p>
        </w:tc>
      </w:tr>
      <w:tr w:rsidR="00D705A6" w:rsidRPr="002E0BB9" w14:paraId="6CE38965" w14:textId="77777777" w:rsidTr="007D1249">
        <w:trPr>
          <w:trHeight w:val="4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62570AAD"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22</w:t>
            </w:r>
          </w:p>
        </w:tc>
        <w:tc>
          <w:tcPr>
            <w:tcW w:w="560" w:type="dxa"/>
            <w:tcBorders>
              <w:top w:val="nil"/>
              <w:left w:val="nil"/>
              <w:bottom w:val="single" w:sz="4" w:space="0" w:color="auto"/>
              <w:right w:val="single" w:sz="4" w:space="0" w:color="auto"/>
            </w:tcBorders>
            <w:shd w:val="clear" w:color="000000" w:fill="F2F2F2"/>
            <w:noWrap/>
            <w:vAlign w:val="center"/>
            <w:hideMark/>
          </w:tcPr>
          <w:p w14:paraId="40417607"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1077</w:t>
            </w:r>
          </w:p>
        </w:tc>
        <w:tc>
          <w:tcPr>
            <w:tcW w:w="920" w:type="dxa"/>
            <w:tcBorders>
              <w:top w:val="nil"/>
              <w:left w:val="nil"/>
              <w:bottom w:val="single" w:sz="4" w:space="0" w:color="auto"/>
              <w:right w:val="single" w:sz="4" w:space="0" w:color="auto"/>
            </w:tcBorders>
            <w:shd w:val="clear" w:color="000000" w:fill="F2F2F2"/>
            <w:noWrap/>
            <w:vAlign w:val="center"/>
            <w:hideMark/>
          </w:tcPr>
          <w:p w14:paraId="2A59B0FA"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800253702</w:t>
            </w:r>
          </w:p>
        </w:tc>
        <w:tc>
          <w:tcPr>
            <w:tcW w:w="2180" w:type="dxa"/>
            <w:tcBorders>
              <w:top w:val="nil"/>
              <w:left w:val="nil"/>
              <w:bottom w:val="single" w:sz="4" w:space="0" w:color="auto"/>
              <w:right w:val="single" w:sz="4" w:space="0" w:color="auto"/>
            </w:tcBorders>
            <w:shd w:val="clear" w:color="000000" w:fill="F2F2F2"/>
            <w:vAlign w:val="center"/>
            <w:hideMark/>
          </w:tcPr>
          <w:p w14:paraId="4DE736C5" w14:textId="03DA6F26"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TERMOEMCALI I S.A. ESP</w:t>
            </w:r>
          </w:p>
        </w:tc>
        <w:tc>
          <w:tcPr>
            <w:tcW w:w="1520" w:type="dxa"/>
            <w:tcBorders>
              <w:top w:val="nil"/>
              <w:left w:val="nil"/>
              <w:bottom w:val="single" w:sz="4" w:space="0" w:color="auto"/>
              <w:right w:val="single" w:sz="4" w:space="0" w:color="auto"/>
            </w:tcBorders>
            <w:shd w:val="clear" w:color="000000" w:fill="F2F2F2"/>
            <w:noWrap/>
            <w:vAlign w:val="center"/>
            <w:hideMark/>
          </w:tcPr>
          <w:p w14:paraId="3A2CF62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$ 8.325.454.000</w:t>
            </w:r>
          </w:p>
        </w:tc>
        <w:tc>
          <w:tcPr>
            <w:tcW w:w="1440" w:type="dxa"/>
            <w:tcBorders>
              <w:top w:val="nil"/>
              <w:left w:val="nil"/>
              <w:bottom w:val="single" w:sz="4" w:space="0" w:color="auto"/>
              <w:right w:val="single" w:sz="4" w:space="0" w:color="auto"/>
            </w:tcBorders>
            <w:shd w:val="clear" w:color="000000" w:fill="F2F2F2"/>
            <w:noWrap/>
            <w:vAlign w:val="center"/>
            <w:hideMark/>
          </w:tcPr>
          <w:p w14:paraId="69EB7CF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$ 49.310.754</w:t>
            </w:r>
          </w:p>
        </w:tc>
        <w:tc>
          <w:tcPr>
            <w:tcW w:w="1460" w:type="dxa"/>
            <w:tcBorders>
              <w:top w:val="nil"/>
              <w:left w:val="nil"/>
              <w:bottom w:val="single" w:sz="4" w:space="0" w:color="auto"/>
              <w:right w:val="single" w:sz="4" w:space="0" w:color="auto"/>
            </w:tcBorders>
            <w:shd w:val="clear" w:color="000000" w:fill="F2F2F2"/>
            <w:noWrap/>
            <w:vAlign w:val="center"/>
            <w:hideMark/>
          </w:tcPr>
          <w:p w14:paraId="0A272C2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$ 8.374.764.754</w:t>
            </w:r>
          </w:p>
        </w:tc>
        <w:tc>
          <w:tcPr>
            <w:tcW w:w="1260" w:type="dxa"/>
            <w:tcBorders>
              <w:top w:val="nil"/>
              <w:left w:val="nil"/>
              <w:bottom w:val="single" w:sz="4" w:space="0" w:color="auto"/>
              <w:right w:val="single" w:sz="4" w:space="0" w:color="auto"/>
            </w:tcBorders>
            <w:shd w:val="clear" w:color="000000" w:fill="F2F2F2"/>
            <w:noWrap/>
            <w:vAlign w:val="center"/>
            <w:hideMark/>
          </w:tcPr>
          <w:p w14:paraId="1BD50AF7"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$ 83.747.648</w:t>
            </w:r>
          </w:p>
        </w:tc>
        <w:tc>
          <w:tcPr>
            <w:tcW w:w="1120" w:type="dxa"/>
            <w:tcBorders>
              <w:top w:val="nil"/>
              <w:left w:val="nil"/>
              <w:bottom w:val="single" w:sz="4" w:space="0" w:color="auto"/>
              <w:right w:val="single" w:sz="4" w:space="0" w:color="auto"/>
            </w:tcBorders>
            <w:shd w:val="clear" w:color="000000" w:fill="F2F2F2"/>
            <w:noWrap/>
            <w:vAlign w:val="center"/>
            <w:hideMark/>
          </w:tcPr>
          <w:p w14:paraId="57126DC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$ 3.485</w:t>
            </w:r>
          </w:p>
        </w:tc>
        <w:tc>
          <w:tcPr>
            <w:tcW w:w="1260" w:type="dxa"/>
            <w:tcBorders>
              <w:top w:val="nil"/>
              <w:left w:val="nil"/>
              <w:bottom w:val="single" w:sz="4" w:space="0" w:color="auto"/>
              <w:right w:val="single" w:sz="4" w:space="0" w:color="auto"/>
            </w:tcBorders>
            <w:shd w:val="clear" w:color="000000" w:fill="F2F2F2"/>
            <w:noWrap/>
            <w:vAlign w:val="center"/>
            <w:hideMark/>
          </w:tcPr>
          <w:p w14:paraId="790B945C"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$ 83.751.133</w:t>
            </w:r>
          </w:p>
        </w:tc>
        <w:tc>
          <w:tcPr>
            <w:tcW w:w="1920" w:type="dxa"/>
            <w:tcBorders>
              <w:top w:val="nil"/>
              <w:left w:val="nil"/>
              <w:bottom w:val="single" w:sz="4" w:space="0" w:color="auto"/>
              <w:right w:val="single" w:sz="4" w:space="0" w:color="auto"/>
            </w:tcBorders>
            <w:shd w:val="clear" w:color="000000" w:fill="F2F2F2"/>
            <w:vAlign w:val="center"/>
            <w:hideMark/>
          </w:tcPr>
          <w:p w14:paraId="4C47786B"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 - GAS POR REDES</w:t>
            </w:r>
          </w:p>
        </w:tc>
      </w:tr>
      <w:tr w:rsidR="00D705A6" w:rsidRPr="002E0BB9" w14:paraId="54F24285" w14:textId="77777777" w:rsidTr="007D1249">
        <w:trPr>
          <w:trHeight w:val="2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701AD070"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23</w:t>
            </w:r>
          </w:p>
        </w:tc>
        <w:tc>
          <w:tcPr>
            <w:tcW w:w="560" w:type="dxa"/>
            <w:tcBorders>
              <w:top w:val="nil"/>
              <w:left w:val="nil"/>
              <w:bottom w:val="single" w:sz="4" w:space="0" w:color="auto"/>
              <w:right w:val="single" w:sz="4" w:space="0" w:color="auto"/>
            </w:tcBorders>
            <w:shd w:val="clear" w:color="000000" w:fill="F2F2F2"/>
            <w:noWrap/>
            <w:vAlign w:val="center"/>
            <w:hideMark/>
          </w:tcPr>
          <w:p w14:paraId="4FBB567E"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2247</w:t>
            </w:r>
          </w:p>
        </w:tc>
        <w:tc>
          <w:tcPr>
            <w:tcW w:w="920" w:type="dxa"/>
            <w:tcBorders>
              <w:top w:val="nil"/>
              <w:left w:val="nil"/>
              <w:bottom w:val="single" w:sz="4" w:space="0" w:color="auto"/>
              <w:right w:val="single" w:sz="4" w:space="0" w:color="auto"/>
            </w:tcBorders>
            <w:shd w:val="clear" w:color="000000" w:fill="F2F2F2"/>
            <w:noWrap/>
            <w:vAlign w:val="center"/>
            <w:hideMark/>
          </w:tcPr>
          <w:p w14:paraId="60F1F8B6"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802007669</w:t>
            </w:r>
          </w:p>
        </w:tc>
        <w:tc>
          <w:tcPr>
            <w:tcW w:w="2180" w:type="dxa"/>
            <w:tcBorders>
              <w:top w:val="nil"/>
              <w:left w:val="nil"/>
              <w:bottom w:val="single" w:sz="4" w:space="0" w:color="auto"/>
              <w:right w:val="single" w:sz="4" w:space="0" w:color="auto"/>
            </w:tcBorders>
            <w:shd w:val="clear" w:color="000000" w:fill="F2F2F2"/>
            <w:vAlign w:val="center"/>
            <w:hideMark/>
          </w:tcPr>
          <w:p w14:paraId="3DDF4F42"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TRANSELCA S.A. E.S.P.</w:t>
            </w:r>
          </w:p>
        </w:tc>
        <w:tc>
          <w:tcPr>
            <w:tcW w:w="1520" w:type="dxa"/>
            <w:tcBorders>
              <w:top w:val="nil"/>
              <w:left w:val="nil"/>
              <w:bottom w:val="single" w:sz="4" w:space="0" w:color="auto"/>
              <w:right w:val="single" w:sz="4" w:space="0" w:color="auto"/>
            </w:tcBorders>
            <w:shd w:val="clear" w:color="000000" w:fill="F2F2F2"/>
            <w:noWrap/>
            <w:vAlign w:val="center"/>
            <w:hideMark/>
          </w:tcPr>
          <w:p w14:paraId="3AF07B75"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$ 36.188.612.000</w:t>
            </w:r>
          </w:p>
        </w:tc>
        <w:tc>
          <w:tcPr>
            <w:tcW w:w="1440" w:type="dxa"/>
            <w:tcBorders>
              <w:top w:val="nil"/>
              <w:left w:val="nil"/>
              <w:bottom w:val="single" w:sz="4" w:space="0" w:color="auto"/>
              <w:right w:val="single" w:sz="4" w:space="0" w:color="auto"/>
            </w:tcBorders>
            <w:shd w:val="clear" w:color="000000" w:fill="F2F2F2"/>
            <w:noWrap/>
            <w:vAlign w:val="center"/>
            <w:hideMark/>
          </w:tcPr>
          <w:p w14:paraId="36BD013C"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$ 0</w:t>
            </w:r>
          </w:p>
        </w:tc>
        <w:tc>
          <w:tcPr>
            <w:tcW w:w="1460" w:type="dxa"/>
            <w:tcBorders>
              <w:top w:val="nil"/>
              <w:left w:val="nil"/>
              <w:bottom w:val="single" w:sz="4" w:space="0" w:color="auto"/>
              <w:right w:val="single" w:sz="4" w:space="0" w:color="auto"/>
            </w:tcBorders>
            <w:shd w:val="clear" w:color="000000" w:fill="F2F2F2"/>
            <w:noWrap/>
            <w:vAlign w:val="center"/>
            <w:hideMark/>
          </w:tcPr>
          <w:p w14:paraId="0BE52A7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$ 36.188.612.000</w:t>
            </w:r>
          </w:p>
        </w:tc>
        <w:tc>
          <w:tcPr>
            <w:tcW w:w="1260" w:type="dxa"/>
            <w:tcBorders>
              <w:top w:val="nil"/>
              <w:left w:val="nil"/>
              <w:bottom w:val="single" w:sz="4" w:space="0" w:color="auto"/>
              <w:right w:val="single" w:sz="4" w:space="0" w:color="auto"/>
            </w:tcBorders>
            <w:shd w:val="clear" w:color="000000" w:fill="F2F2F2"/>
            <w:noWrap/>
            <w:vAlign w:val="center"/>
            <w:hideMark/>
          </w:tcPr>
          <w:p w14:paraId="719A347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$ 361.886.120</w:t>
            </w:r>
          </w:p>
        </w:tc>
        <w:tc>
          <w:tcPr>
            <w:tcW w:w="1120" w:type="dxa"/>
            <w:tcBorders>
              <w:top w:val="nil"/>
              <w:left w:val="nil"/>
              <w:bottom w:val="single" w:sz="4" w:space="0" w:color="auto"/>
              <w:right w:val="single" w:sz="4" w:space="0" w:color="auto"/>
            </w:tcBorders>
            <w:shd w:val="clear" w:color="000000" w:fill="F2F2F2"/>
            <w:noWrap/>
            <w:vAlign w:val="center"/>
            <w:hideMark/>
          </w:tcPr>
          <w:p w14:paraId="43DBF6B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$ 15.060</w:t>
            </w:r>
          </w:p>
        </w:tc>
        <w:tc>
          <w:tcPr>
            <w:tcW w:w="1260" w:type="dxa"/>
            <w:tcBorders>
              <w:top w:val="nil"/>
              <w:left w:val="nil"/>
              <w:bottom w:val="single" w:sz="4" w:space="0" w:color="auto"/>
              <w:right w:val="single" w:sz="4" w:space="0" w:color="auto"/>
            </w:tcBorders>
            <w:shd w:val="clear" w:color="000000" w:fill="F2F2F2"/>
            <w:noWrap/>
            <w:vAlign w:val="center"/>
            <w:hideMark/>
          </w:tcPr>
          <w:p w14:paraId="6894FF4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$ 361.901.180</w:t>
            </w:r>
          </w:p>
        </w:tc>
        <w:tc>
          <w:tcPr>
            <w:tcW w:w="1920" w:type="dxa"/>
            <w:tcBorders>
              <w:top w:val="nil"/>
              <w:left w:val="nil"/>
              <w:bottom w:val="single" w:sz="4" w:space="0" w:color="auto"/>
              <w:right w:val="single" w:sz="4" w:space="0" w:color="auto"/>
            </w:tcBorders>
            <w:shd w:val="clear" w:color="000000" w:fill="F2F2F2"/>
            <w:vAlign w:val="center"/>
            <w:hideMark/>
          </w:tcPr>
          <w:p w14:paraId="37125276"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w:t>
            </w:r>
          </w:p>
        </w:tc>
      </w:tr>
      <w:tr w:rsidR="00D705A6" w:rsidRPr="002E0BB9" w14:paraId="57AB6936" w14:textId="77777777" w:rsidTr="007D1249">
        <w:trPr>
          <w:trHeight w:val="4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6CEED75C"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24</w:t>
            </w:r>
          </w:p>
        </w:tc>
        <w:tc>
          <w:tcPr>
            <w:tcW w:w="560" w:type="dxa"/>
            <w:tcBorders>
              <w:top w:val="nil"/>
              <w:left w:val="nil"/>
              <w:bottom w:val="single" w:sz="4" w:space="0" w:color="auto"/>
              <w:right w:val="single" w:sz="4" w:space="0" w:color="auto"/>
            </w:tcBorders>
            <w:shd w:val="clear" w:color="000000" w:fill="F2F2F2"/>
            <w:noWrap/>
            <w:vAlign w:val="center"/>
            <w:hideMark/>
          </w:tcPr>
          <w:p w14:paraId="21C8C59B"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20256</w:t>
            </w:r>
          </w:p>
        </w:tc>
        <w:tc>
          <w:tcPr>
            <w:tcW w:w="920" w:type="dxa"/>
            <w:tcBorders>
              <w:top w:val="nil"/>
              <w:left w:val="nil"/>
              <w:bottom w:val="single" w:sz="4" w:space="0" w:color="auto"/>
              <w:right w:val="single" w:sz="4" w:space="0" w:color="auto"/>
            </w:tcBorders>
            <w:shd w:val="clear" w:color="000000" w:fill="F2F2F2"/>
            <w:noWrap/>
            <w:vAlign w:val="center"/>
            <w:hideMark/>
          </w:tcPr>
          <w:p w14:paraId="2E51956A"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802025052</w:t>
            </w:r>
          </w:p>
        </w:tc>
        <w:tc>
          <w:tcPr>
            <w:tcW w:w="2180" w:type="dxa"/>
            <w:tcBorders>
              <w:top w:val="nil"/>
              <w:left w:val="nil"/>
              <w:bottom w:val="single" w:sz="4" w:space="0" w:color="auto"/>
              <w:right w:val="single" w:sz="4" w:space="0" w:color="auto"/>
            </w:tcBorders>
            <w:shd w:val="clear" w:color="000000" w:fill="F2F2F2"/>
            <w:vAlign w:val="center"/>
            <w:hideMark/>
          </w:tcPr>
          <w:p w14:paraId="0ADDCFA3"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E2 ENERGIA EFICIENTE S.A. E.S.P.</w:t>
            </w:r>
          </w:p>
        </w:tc>
        <w:tc>
          <w:tcPr>
            <w:tcW w:w="1520" w:type="dxa"/>
            <w:tcBorders>
              <w:top w:val="nil"/>
              <w:left w:val="nil"/>
              <w:bottom w:val="single" w:sz="4" w:space="0" w:color="auto"/>
              <w:right w:val="single" w:sz="4" w:space="0" w:color="auto"/>
            </w:tcBorders>
            <w:shd w:val="clear" w:color="000000" w:fill="F2F2F2"/>
            <w:noWrap/>
            <w:vAlign w:val="center"/>
            <w:hideMark/>
          </w:tcPr>
          <w:p w14:paraId="7A7368AB"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$ 937.899.000</w:t>
            </w:r>
          </w:p>
        </w:tc>
        <w:tc>
          <w:tcPr>
            <w:tcW w:w="1440" w:type="dxa"/>
            <w:tcBorders>
              <w:top w:val="nil"/>
              <w:left w:val="nil"/>
              <w:bottom w:val="single" w:sz="4" w:space="0" w:color="auto"/>
              <w:right w:val="single" w:sz="4" w:space="0" w:color="auto"/>
            </w:tcBorders>
            <w:shd w:val="clear" w:color="000000" w:fill="F2F2F2"/>
            <w:noWrap/>
            <w:vAlign w:val="center"/>
            <w:hideMark/>
          </w:tcPr>
          <w:p w14:paraId="38835AC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$ 1.873.343.603</w:t>
            </w:r>
          </w:p>
        </w:tc>
        <w:tc>
          <w:tcPr>
            <w:tcW w:w="1460" w:type="dxa"/>
            <w:tcBorders>
              <w:top w:val="nil"/>
              <w:left w:val="nil"/>
              <w:bottom w:val="single" w:sz="4" w:space="0" w:color="auto"/>
              <w:right w:val="single" w:sz="4" w:space="0" w:color="auto"/>
            </w:tcBorders>
            <w:shd w:val="clear" w:color="000000" w:fill="F2F2F2"/>
            <w:noWrap/>
            <w:vAlign w:val="center"/>
            <w:hideMark/>
          </w:tcPr>
          <w:p w14:paraId="223DC162"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$ 2.811.242.603</w:t>
            </w:r>
          </w:p>
        </w:tc>
        <w:tc>
          <w:tcPr>
            <w:tcW w:w="1260" w:type="dxa"/>
            <w:tcBorders>
              <w:top w:val="nil"/>
              <w:left w:val="nil"/>
              <w:bottom w:val="single" w:sz="4" w:space="0" w:color="auto"/>
              <w:right w:val="single" w:sz="4" w:space="0" w:color="auto"/>
            </w:tcBorders>
            <w:shd w:val="clear" w:color="000000" w:fill="F2F2F2"/>
            <w:noWrap/>
            <w:vAlign w:val="center"/>
            <w:hideMark/>
          </w:tcPr>
          <w:p w14:paraId="36309E9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$ 28.112.426</w:t>
            </w:r>
          </w:p>
        </w:tc>
        <w:tc>
          <w:tcPr>
            <w:tcW w:w="1120" w:type="dxa"/>
            <w:tcBorders>
              <w:top w:val="nil"/>
              <w:left w:val="nil"/>
              <w:bottom w:val="single" w:sz="4" w:space="0" w:color="auto"/>
              <w:right w:val="single" w:sz="4" w:space="0" w:color="auto"/>
            </w:tcBorders>
            <w:shd w:val="clear" w:color="000000" w:fill="F2F2F2"/>
            <w:noWrap/>
            <w:vAlign w:val="center"/>
            <w:hideMark/>
          </w:tcPr>
          <w:p w14:paraId="02403C4E"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$ 1.170</w:t>
            </w:r>
          </w:p>
        </w:tc>
        <w:tc>
          <w:tcPr>
            <w:tcW w:w="1260" w:type="dxa"/>
            <w:tcBorders>
              <w:top w:val="nil"/>
              <w:left w:val="nil"/>
              <w:bottom w:val="single" w:sz="4" w:space="0" w:color="auto"/>
              <w:right w:val="single" w:sz="4" w:space="0" w:color="auto"/>
            </w:tcBorders>
            <w:shd w:val="clear" w:color="000000" w:fill="F2F2F2"/>
            <w:noWrap/>
            <w:vAlign w:val="center"/>
            <w:hideMark/>
          </w:tcPr>
          <w:p w14:paraId="75563A1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$ 28.113.596</w:t>
            </w:r>
          </w:p>
        </w:tc>
        <w:tc>
          <w:tcPr>
            <w:tcW w:w="1920" w:type="dxa"/>
            <w:tcBorders>
              <w:top w:val="nil"/>
              <w:left w:val="nil"/>
              <w:bottom w:val="single" w:sz="4" w:space="0" w:color="auto"/>
              <w:right w:val="single" w:sz="4" w:space="0" w:color="auto"/>
            </w:tcBorders>
            <w:shd w:val="clear" w:color="000000" w:fill="F2F2F2"/>
            <w:vAlign w:val="center"/>
            <w:hideMark/>
          </w:tcPr>
          <w:p w14:paraId="07FEDE86"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 - GAS POR REDES</w:t>
            </w:r>
          </w:p>
        </w:tc>
      </w:tr>
      <w:tr w:rsidR="00D705A6" w:rsidRPr="002E0BB9" w14:paraId="69A5F9BB" w14:textId="77777777" w:rsidTr="007D1249">
        <w:trPr>
          <w:trHeight w:val="6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65F00EBD"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25</w:t>
            </w:r>
          </w:p>
        </w:tc>
        <w:tc>
          <w:tcPr>
            <w:tcW w:w="560" w:type="dxa"/>
            <w:tcBorders>
              <w:top w:val="nil"/>
              <w:left w:val="nil"/>
              <w:bottom w:val="single" w:sz="4" w:space="0" w:color="auto"/>
              <w:right w:val="single" w:sz="4" w:space="0" w:color="auto"/>
            </w:tcBorders>
            <w:shd w:val="clear" w:color="000000" w:fill="F2F2F2"/>
            <w:noWrap/>
            <w:vAlign w:val="center"/>
            <w:hideMark/>
          </w:tcPr>
          <w:p w14:paraId="4572457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525</w:t>
            </w:r>
          </w:p>
        </w:tc>
        <w:tc>
          <w:tcPr>
            <w:tcW w:w="920" w:type="dxa"/>
            <w:tcBorders>
              <w:top w:val="nil"/>
              <w:left w:val="nil"/>
              <w:bottom w:val="single" w:sz="4" w:space="0" w:color="auto"/>
              <w:right w:val="single" w:sz="4" w:space="0" w:color="auto"/>
            </w:tcBorders>
            <w:shd w:val="clear" w:color="000000" w:fill="F2F2F2"/>
            <w:noWrap/>
            <w:vAlign w:val="center"/>
            <w:hideMark/>
          </w:tcPr>
          <w:p w14:paraId="4BE0F50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804000551</w:t>
            </w:r>
          </w:p>
        </w:tc>
        <w:tc>
          <w:tcPr>
            <w:tcW w:w="2180" w:type="dxa"/>
            <w:tcBorders>
              <w:top w:val="nil"/>
              <w:left w:val="nil"/>
              <w:bottom w:val="single" w:sz="4" w:space="0" w:color="auto"/>
              <w:right w:val="single" w:sz="4" w:space="0" w:color="auto"/>
            </w:tcBorders>
            <w:shd w:val="clear" w:color="000000" w:fill="F2F2F2"/>
            <w:vAlign w:val="center"/>
            <w:hideMark/>
          </w:tcPr>
          <w:p w14:paraId="1023CF01"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GAS NATURAL DEL CESAR S.A. EMPRESA DE SERVICIOS PUBLICOS</w:t>
            </w:r>
          </w:p>
        </w:tc>
        <w:tc>
          <w:tcPr>
            <w:tcW w:w="1520" w:type="dxa"/>
            <w:tcBorders>
              <w:top w:val="nil"/>
              <w:left w:val="nil"/>
              <w:bottom w:val="single" w:sz="4" w:space="0" w:color="auto"/>
              <w:right w:val="single" w:sz="4" w:space="0" w:color="auto"/>
            </w:tcBorders>
            <w:shd w:val="clear" w:color="000000" w:fill="F2F2F2"/>
            <w:noWrap/>
            <w:vAlign w:val="center"/>
            <w:hideMark/>
          </w:tcPr>
          <w:p w14:paraId="48C91036"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$ 720.351.000</w:t>
            </w:r>
          </w:p>
        </w:tc>
        <w:tc>
          <w:tcPr>
            <w:tcW w:w="1440" w:type="dxa"/>
            <w:tcBorders>
              <w:top w:val="nil"/>
              <w:left w:val="nil"/>
              <w:bottom w:val="single" w:sz="4" w:space="0" w:color="auto"/>
              <w:right w:val="single" w:sz="4" w:space="0" w:color="auto"/>
            </w:tcBorders>
            <w:shd w:val="clear" w:color="000000" w:fill="F2F2F2"/>
            <w:noWrap/>
            <w:vAlign w:val="center"/>
            <w:hideMark/>
          </w:tcPr>
          <w:p w14:paraId="647FBFF5"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$ 219.165.649</w:t>
            </w:r>
          </w:p>
        </w:tc>
        <w:tc>
          <w:tcPr>
            <w:tcW w:w="1460" w:type="dxa"/>
            <w:tcBorders>
              <w:top w:val="nil"/>
              <w:left w:val="nil"/>
              <w:bottom w:val="single" w:sz="4" w:space="0" w:color="auto"/>
              <w:right w:val="single" w:sz="4" w:space="0" w:color="auto"/>
            </w:tcBorders>
            <w:shd w:val="clear" w:color="000000" w:fill="F2F2F2"/>
            <w:noWrap/>
            <w:vAlign w:val="center"/>
            <w:hideMark/>
          </w:tcPr>
          <w:p w14:paraId="13F3F9C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$ 939.516.649</w:t>
            </w:r>
          </w:p>
        </w:tc>
        <w:tc>
          <w:tcPr>
            <w:tcW w:w="1260" w:type="dxa"/>
            <w:tcBorders>
              <w:top w:val="nil"/>
              <w:left w:val="nil"/>
              <w:bottom w:val="single" w:sz="4" w:space="0" w:color="auto"/>
              <w:right w:val="single" w:sz="4" w:space="0" w:color="auto"/>
            </w:tcBorders>
            <w:shd w:val="clear" w:color="000000" w:fill="F2F2F2"/>
            <w:noWrap/>
            <w:vAlign w:val="center"/>
            <w:hideMark/>
          </w:tcPr>
          <w:p w14:paraId="11C18CED"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$ 9.395.166</w:t>
            </w:r>
          </w:p>
        </w:tc>
        <w:tc>
          <w:tcPr>
            <w:tcW w:w="1120" w:type="dxa"/>
            <w:tcBorders>
              <w:top w:val="nil"/>
              <w:left w:val="nil"/>
              <w:bottom w:val="single" w:sz="4" w:space="0" w:color="auto"/>
              <w:right w:val="single" w:sz="4" w:space="0" w:color="auto"/>
            </w:tcBorders>
            <w:shd w:val="clear" w:color="000000" w:fill="F2F2F2"/>
            <w:noWrap/>
            <w:vAlign w:val="center"/>
            <w:hideMark/>
          </w:tcPr>
          <w:p w14:paraId="494826D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$ 391</w:t>
            </w:r>
          </w:p>
        </w:tc>
        <w:tc>
          <w:tcPr>
            <w:tcW w:w="1260" w:type="dxa"/>
            <w:tcBorders>
              <w:top w:val="nil"/>
              <w:left w:val="nil"/>
              <w:bottom w:val="single" w:sz="4" w:space="0" w:color="auto"/>
              <w:right w:val="single" w:sz="4" w:space="0" w:color="auto"/>
            </w:tcBorders>
            <w:shd w:val="clear" w:color="000000" w:fill="F2F2F2"/>
            <w:noWrap/>
            <w:vAlign w:val="center"/>
            <w:hideMark/>
          </w:tcPr>
          <w:p w14:paraId="70067ED6"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$ 9.395.557</w:t>
            </w:r>
          </w:p>
        </w:tc>
        <w:tc>
          <w:tcPr>
            <w:tcW w:w="1920" w:type="dxa"/>
            <w:tcBorders>
              <w:top w:val="nil"/>
              <w:left w:val="nil"/>
              <w:bottom w:val="single" w:sz="4" w:space="0" w:color="auto"/>
              <w:right w:val="single" w:sz="4" w:space="0" w:color="auto"/>
            </w:tcBorders>
            <w:shd w:val="clear" w:color="000000" w:fill="F2F2F2"/>
            <w:vAlign w:val="center"/>
            <w:hideMark/>
          </w:tcPr>
          <w:p w14:paraId="443CC031"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GAS POR REDES</w:t>
            </w:r>
          </w:p>
        </w:tc>
      </w:tr>
      <w:tr w:rsidR="00D705A6" w:rsidRPr="002E0BB9" w14:paraId="07FF5120" w14:textId="77777777" w:rsidTr="007D1249">
        <w:trPr>
          <w:trHeight w:val="4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1F6A6449"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26</w:t>
            </w:r>
          </w:p>
        </w:tc>
        <w:tc>
          <w:tcPr>
            <w:tcW w:w="560" w:type="dxa"/>
            <w:tcBorders>
              <w:top w:val="nil"/>
              <w:left w:val="nil"/>
              <w:bottom w:val="single" w:sz="4" w:space="0" w:color="auto"/>
              <w:right w:val="single" w:sz="4" w:space="0" w:color="auto"/>
            </w:tcBorders>
            <w:shd w:val="clear" w:color="000000" w:fill="F2F2F2"/>
            <w:noWrap/>
            <w:vAlign w:val="center"/>
            <w:hideMark/>
          </w:tcPr>
          <w:p w14:paraId="4F9606D5"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1601</w:t>
            </w:r>
          </w:p>
        </w:tc>
        <w:tc>
          <w:tcPr>
            <w:tcW w:w="920" w:type="dxa"/>
            <w:tcBorders>
              <w:top w:val="nil"/>
              <w:left w:val="nil"/>
              <w:bottom w:val="single" w:sz="4" w:space="0" w:color="auto"/>
              <w:right w:val="single" w:sz="4" w:space="0" w:color="auto"/>
            </w:tcBorders>
            <w:shd w:val="clear" w:color="000000" w:fill="F2F2F2"/>
            <w:noWrap/>
            <w:vAlign w:val="center"/>
            <w:hideMark/>
          </w:tcPr>
          <w:p w14:paraId="4990E9B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804002801</w:t>
            </w:r>
          </w:p>
        </w:tc>
        <w:tc>
          <w:tcPr>
            <w:tcW w:w="2180" w:type="dxa"/>
            <w:tcBorders>
              <w:top w:val="nil"/>
              <w:left w:val="nil"/>
              <w:bottom w:val="single" w:sz="4" w:space="0" w:color="auto"/>
              <w:right w:val="single" w:sz="4" w:space="0" w:color="auto"/>
            </w:tcBorders>
            <w:shd w:val="clear" w:color="000000" w:fill="F2F2F2"/>
            <w:vAlign w:val="center"/>
            <w:hideMark/>
          </w:tcPr>
          <w:p w14:paraId="57626D70"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GASES DEL SUR DE SANTANDER S.A. E.S.P.</w:t>
            </w:r>
          </w:p>
        </w:tc>
        <w:tc>
          <w:tcPr>
            <w:tcW w:w="1520" w:type="dxa"/>
            <w:tcBorders>
              <w:top w:val="nil"/>
              <w:left w:val="nil"/>
              <w:bottom w:val="single" w:sz="4" w:space="0" w:color="auto"/>
              <w:right w:val="single" w:sz="4" w:space="0" w:color="auto"/>
            </w:tcBorders>
            <w:shd w:val="clear" w:color="000000" w:fill="F2F2F2"/>
            <w:noWrap/>
            <w:vAlign w:val="center"/>
            <w:hideMark/>
          </w:tcPr>
          <w:p w14:paraId="760D53BA"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$ 626.815.000</w:t>
            </w:r>
          </w:p>
        </w:tc>
        <w:tc>
          <w:tcPr>
            <w:tcW w:w="1440" w:type="dxa"/>
            <w:tcBorders>
              <w:top w:val="nil"/>
              <w:left w:val="nil"/>
              <w:bottom w:val="single" w:sz="4" w:space="0" w:color="auto"/>
              <w:right w:val="single" w:sz="4" w:space="0" w:color="auto"/>
            </w:tcBorders>
            <w:shd w:val="clear" w:color="000000" w:fill="F2F2F2"/>
            <w:noWrap/>
            <w:vAlign w:val="center"/>
            <w:hideMark/>
          </w:tcPr>
          <w:p w14:paraId="7851F1F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$ 49.053.598</w:t>
            </w:r>
          </w:p>
        </w:tc>
        <w:tc>
          <w:tcPr>
            <w:tcW w:w="1460" w:type="dxa"/>
            <w:tcBorders>
              <w:top w:val="nil"/>
              <w:left w:val="nil"/>
              <w:bottom w:val="single" w:sz="4" w:space="0" w:color="auto"/>
              <w:right w:val="single" w:sz="4" w:space="0" w:color="auto"/>
            </w:tcBorders>
            <w:shd w:val="clear" w:color="000000" w:fill="F2F2F2"/>
            <w:noWrap/>
            <w:vAlign w:val="center"/>
            <w:hideMark/>
          </w:tcPr>
          <w:p w14:paraId="7ABB8FA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$ 675.868.598</w:t>
            </w:r>
          </w:p>
        </w:tc>
        <w:tc>
          <w:tcPr>
            <w:tcW w:w="1260" w:type="dxa"/>
            <w:tcBorders>
              <w:top w:val="nil"/>
              <w:left w:val="nil"/>
              <w:bottom w:val="single" w:sz="4" w:space="0" w:color="auto"/>
              <w:right w:val="single" w:sz="4" w:space="0" w:color="auto"/>
            </w:tcBorders>
            <w:shd w:val="clear" w:color="000000" w:fill="F2F2F2"/>
            <w:noWrap/>
            <w:vAlign w:val="center"/>
            <w:hideMark/>
          </w:tcPr>
          <w:p w14:paraId="0881EEAE"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$ 6.758.686</w:t>
            </w:r>
          </w:p>
        </w:tc>
        <w:tc>
          <w:tcPr>
            <w:tcW w:w="1120" w:type="dxa"/>
            <w:tcBorders>
              <w:top w:val="nil"/>
              <w:left w:val="nil"/>
              <w:bottom w:val="single" w:sz="4" w:space="0" w:color="auto"/>
              <w:right w:val="single" w:sz="4" w:space="0" w:color="auto"/>
            </w:tcBorders>
            <w:shd w:val="clear" w:color="000000" w:fill="F2F2F2"/>
            <w:noWrap/>
            <w:vAlign w:val="center"/>
            <w:hideMark/>
          </w:tcPr>
          <w:p w14:paraId="7BAE3EEE"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$ 281</w:t>
            </w:r>
          </w:p>
        </w:tc>
        <w:tc>
          <w:tcPr>
            <w:tcW w:w="1260" w:type="dxa"/>
            <w:tcBorders>
              <w:top w:val="nil"/>
              <w:left w:val="nil"/>
              <w:bottom w:val="single" w:sz="4" w:space="0" w:color="auto"/>
              <w:right w:val="single" w:sz="4" w:space="0" w:color="auto"/>
            </w:tcBorders>
            <w:shd w:val="clear" w:color="000000" w:fill="F2F2F2"/>
            <w:noWrap/>
            <w:vAlign w:val="center"/>
            <w:hideMark/>
          </w:tcPr>
          <w:p w14:paraId="66B139BA"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$ 6.758.967</w:t>
            </w:r>
          </w:p>
        </w:tc>
        <w:tc>
          <w:tcPr>
            <w:tcW w:w="1920" w:type="dxa"/>
            <w:tcBorders>
              <w:top w:val="nil"/>
              <w:left w:val="nil"/>
              <w:bottom w:val="single" w:sz="4" w:space="0" w:color="auto"/>
              <w:right w:val="single" w:sz="4" w:space="0" w:color="auto"/>
            </w:tcBorders>
            <w:shd w:val="clear" w:color="000000" w:fill="F2F2F2"/>
            <w:vAlign w:val="center"/>
            <w:hideMark/>
          </w:tcPr>
          <w:p w14:paraId="38008BC8"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GAS POR REDES</w:t>
            </w:r>
          </w:p>
        </w:tc>
      </w:tr>
      <w:tr w:rsidR="00D705A6" w:rsidRPr="002E0BB9" w14:paraId="3D77AFD8" w14:textId="77777777" w:rsidTr="007D1249">
        <w:trPr>
          <w:trHeight w:val="8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68D7E774"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lastRenderedPageBreak/>
              <w:t>27</w:t>
            </w:r>
          </w:p>
        </w:tc>
        <w:tc>
          <w:tcPr>
            <w:tcW w:w="560" w:type="dxa"/>
            <w:tcBorders>
              <w:top w:val="nil"/>
              <w:left w:val="nil"/>
              <w:bottom w:val="single" w:sz="4" w:space="0" w:color="auto"/>
              <w:right w:val="single" w:sz="4" w:space="0" w:color="auto"/>
            </w:tcBorders>
            <w:shd w:val="clear" w:color="000000" w:fill="F2F2F2"/>
            <w:noWrap/>
            <w:vAlign w:val="center"/>
            <w:hideMark/>
          </w:tcPr>
          <w:p w14:paraId="3DD73B2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20527</w:t>
            </w:r>
          </w:p>
        </w:tc>
        <w:tc>
          <w:tcPr>
            <w:tcW w:w="920" w:type="dxa"/>
            <w:tcBorders>
              <w:top w:val="nil"/>
              <w:left w:val="nil"/>
              <w:bottom w:val="single" w:sz="4" w:space="0" w:color="auto"/>
              <w:right w:val="single" w:sz="4" w:space="0" w:color="auto"/>
            </w:tcBorders>
            <w:shd w:val="clear" w:color="000000" w:fill="F2F2F2"/>
            <w:noWrap/>
            <w:vAlign w:val="center"/>
            <w:hideMark/>
          </w:tcPr>
          <w:p w14:paraId="05047A12"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804002825</w:t>
            </w:r>
          </w:p>
        </w:tc>
        <w:tc>
          <w:tcPr>
            <w:tcW w:w="2180" w:type="dxa"/>
            <w:tcBorders>
              <w:top w:val="nil"/>
              <w:left w:val="nil"/>
              <w:bottom w:val="single" w:sz="4" w:space="0" w:color="auto"/>
              <w:right w:val="single" w:sz="4" w:space="0" w:color="auto"/>
            </w:tcBorders>
            <w:shd w:val="clear" w:color="000000" w:fill="F2F2F2"/>
            <w:vAlign w:val="center"/>
            <w:hideMark/>
          </w:tcPr>
          <w:p w14:paraId="17CBBB8A"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PROYECTOS DE INGENIERIA Y COMERCIALIZACION DE GAS S.A. ESP.</w:t>
            </w:r>
          </w:p>
        </w:tc>
        <w:tc>
          <w:tcPr>
            <w:tcW w:w="1520" w:type="dxa"/>
            <w:tcBorders>
              <w:top w:val="nil"/>
              <w:left w:val="nil"/>
              <w:bottom w:val="single" w:sz="4" w:space="0" w:color="auto"/>
              <w:right w:val="single" w:sz="4" w:space="0" w:color="auto"/>
            </w:tcBorders>
            <w:shd w:val="clear" w:color="000000" w:fill="F2F2F2"/>
            <w:noWrap/>
            <w:vAlign w:val="center"/>
            <w:hideMark/>
          </w:tcPr>
          <w:p w14:paraId="7DE65D0B"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$ 805.938.000</w:t>
            </w:r>
          </w:p>
        </w:tc>
        <w:tc>
          <w:tcPr>
            <w:tcW w:w="1440" w:type="dxa"/>
            <w:tcBorders>
              <w:top w:val="nil"/>
              <w:left w:val="nil"/>
              <w:bottom w:val="single" w:sz="4" w:space="0" w:color="auto"/>
              <w:right w:val="single" w:sz="4" w:space="0" w:color="auto"/>
            </w:tcBorders>
            <w:shd w:val="clear" w:color="000000" w:fill="F2F2F2"/>
            <w:noWrap/>
            <w:vAlign w:val="center"/>
            <w:hideMark/>
          </w:tcPr>
          <w:p w14:paraId="098C6CE1"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$ 29.920.600</w:t>
            </w:r>
          </w:p>
        </w:tc>
        <w:tc>
          <w:tcPr>
            <w:tcW w:w="1460" w:type="dxa"/>
            <w:tcBorders>
              <w:top w:val="nil"/>
              <w:left w:val="nil"/>
              <w:bottom w:val="single" w:sz="4" w:space="0" w:color="auto"/>
              <w:right w:val="single" w:sz="4" w:space="0" w:color="auto"/>
            </w:tcBorders>
            <w:shd w:val="clear" w:color="000000" w:fill="F2F2F2"/>
            <w:noWrap/>
            <w:vAlign w:val="center"/>
            <w:hideMark/>
          </w:tcPr>
          <w:p w14:paraId="6B39AD35"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$ 835.858.600</w:t>
            </w:r>
          </w:p>
        </w:tc>
        <w:tc>
          <w:tcPr>
            <w:tcW w:w="1260" w:type="dxa"/>
            <w:tcBorders>
              <w:top w:val="nil"/>
              <w:left w:val="nil"/>
              <w:bottom w:val="single" w:sz="4" w:space="0" w:color="auto"/>
              <w:right w:val="single" w:sz="4" w:space="0" w:color="auto"/>
            </w:tcBorders>
            <w:shd w:val="clear" w:color="000000" w:fill="F2F2F2"/>
            <w:noWrap/>
            <w:vAlign w:val="center"/>
            <w:hideMark/>
          </w:tcPr>
          <w:p w14:paraId="1EB6B04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$ 8.358.586</w:t>
            </w:r>
          </w:p>
        </w:tc>
        <w:tc>
          <w:tcPr>
            <w:tcW w:w="1120" w:type="dxa"/>
            <w:tcBorders>
              <w:top w:val="nil"/>
              <w:left w:val="nil"/>
              <w:bottom w:val="single" w:sz="4" w:space="0" w:color="auto"/>
              <w:right w:val="single" w:sz="4" w:space="0" w:color="auto"/>
            </w:tcBorders>
            <w:shd w:val="clear" w:color="000000" w:fill="F2F2F2"/>
            <w:noWrap/>
            <w:vAlign w:val="center"/>
            <w:hideMark/>
          </w:tcPr>
          <w:p w14:paraId="61968975"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$ 348</w:t>
            </w:r>
          </w:p>
        </w:tc>
        <w:tc>
          <w:tcPr>
            <w:tcW w:w="1260" w:type="dxa"/>
            <w:tcBorders>
              <w:top w:val="nil"/>
              <w:left w:val="nil"/>
              <w:bottom w:val="single" w:sz="4" w:space="0" w:color="auto"/>
              <w:right w:val="single" w:sz="4" w:space="0" w:color="auto"/>
            </w:tcBorders>
            <w:shd w:val="clear" w:color="000000" w:fill="F2F2F2"/>
            <w:noWrap/>
            <w:vAlign w:val="center"/>
            <w:hideMark/>
          </w:tcPr>
          <w:p w14:paraId="672447A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$ 8.358.934</w:t>
            </w:r>
          </w:p>
        </w:tc>
        <w:tc>
          <w:tcPr>
            <w:tcW w:w="1920" w:type="dxa"/>
            <w:tcBorders>
              <w:top w:val="nil"/>
              <w:left w:val="nil"/>
              <w:bottom w:val="single" w:sz="4" w:space="0" w:color="auto"/>
              <w:right w:val="single" w:sz="4" w:space="0" w:color="auto"/>
            </w:tcBorders>
            <w:shd w:val="clear" w:color="000000" w:fill="F2F2F2"/>
            <w:vAlign w:val="center"/>
            <w:hideMark/>
          </w:tcPr>
          <w:p w14:paraId="75DD14E6"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GAS POR REDES</w:t>
            </w:r>
          </w:p>
        </w:tc>
      </w:tr>
      <w:tr w:rsidR="00D705A6" w:rsidRPr="002E0BB9" w14:paraId="48A1E38A" w14:textId="77777777" w:rsidTr="007D1249">
        <w:trPr>
          <w:trHeight w:val="2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33A1C7B6"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28</w:t>
            </w:r>
          </w:p>
        </w:tc>
        <w:tc>
          <w:tcPr>
            <w:tcW w:w="560" w:type="dxa"/>
            <w:tcBorders>
              <w:top w:val="nil"/>
              <w:left w:val="nil"/>
              <w:bottom w:val="single" w:sz="4" w:space="0" w:color="auto"/>
              <w:right w:val="single" w:sz="4" w:space="0" w:color="auto"/>
            </w:tcBorders>
            <w:shd w:val="clear" w:color="000000" w:fill="F2F2F2"/>
            <w:noWrap/>
            <w:vAlign w:val="center"/>
            <w:hideMark/>
          </w:tcPr>
          <w:p w14:paraId="60776D9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47483</w:t>
            </w:r>
          </w:p>
        </w:tc>
        <w:tc>
          <w:tcPr>
            <w:tcW w:w="920" w:type="dxa"/>
            <w:tcBorders>
              <w:top w:val="nil"/>
              <w:left w:val="nil"/>
              <w:bottom w:val="single" w:sz="4" w:space="0" w:color="auto"/>
              <w:right w:val="single" w:sz="4" w:space="0" w:color="auto"/>
            </w:tcBorders>
            <w:shd w:val="clear" w:color="000000" w:fill="F2F2F2"/>
            <w:noWrap/>
            <w:vAlign w:val="center"/>
            <w:hideMark/>
          </w:tcPr>
          <w:p w14:paraId="60B3A626"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804011155</w:t>
            </w:r>
          </w:p>
        </w:tc>
        <w:tc>
          <w:tcPr>
            <w:tcW w:w="2180" w:type="dxa"/>
            <w:tcBorders>
              <w:top w:val="nil"/>
              <w:left w:val="nil"/>
              <w:bottom w:val="single" w:sz="4" w:space="0" w:color="auto"/>
              <w:right w:val="single" w:sz="4" w:space="0" w:color="auto"/>
            </w:tcBorders>
            <w:shd w:val="clear" w:color="000000" w:fill="F2F2F2"/>
            <w:vAlign w:val="center"/>
            <w:hideMark/>
          </w:tcPr>
          <w:p w14:paraId="66F9E269"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CIAZ SAS ESP</w:t>
            </w:r>
          </w:p>
        </w:tc>
        <w:tc>
          <w:tcPr>
            <w:tcW w:w="1520" w:type="dxa"/>
            <w:tcBorders>
              <w:top w:val="nil"/>
              <w:left w:val="nil"/>
              <w:bottom w:val="single" w:sz="4" w:space="0" w:color="auto"/>
              <w:right w:val="single" w:sz="4" w:space="0" w:color="auto"/>
            </w:tcBorders>
            <w:shd w:val="clear" w:color="000000" w:fill="F2F2F2"/>
            <w:noWrap/>
            <w:vAlign w:val="center"/>
            <w:hideMark/>
          </w:tcPr>
          <w:p w14:paraId="1B6FB17C"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$ 292.000</w:t>
            </w:r>
          </w:p>
        </w:tc>
        <w:tc>
          <w:tcPr>
            <w:tcW w:w="1440" w:type="dxa"/>
            <w:tcBorders>
              <w:top w:val="nil"/>
              <w:left w:val="nil"/>
              <w:bottom w:val="single" w:sz="4" w:space="0" w:color="auto"/>
              <w:right w:val="single" w:sz="4" w:space="0" w:color="auto"/>
            </w:tcBorders>
            <w:shd w:val="clear" w:color="000000" w:fill="F2F2F2"/>
            <w:noWrap/>
            <w:vAlign w:val="center"/>
            <w:hideMark/>
          </w:tcPr>
          <w:p w14:paraId="26F8A5A2"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$ 41.279.115</w:t>
            </w:r>
          </w:p>
        </w:tc>
        <w:tc>
          <w:tcPr>
            <w:tcW w:w="1460" w:type="dxa"/>
            <w:tcBorders>
              <w:top w:val="nil"/>
              <w:left w:val="nil"/>
              <w:bottom w:val="single" w:sz="4" w:space="0" w:color="auto"/>
              <w:right w:val="single" w:sz="4" w:space="0" w:color="auto"/>
            </w:tcBorders>
            <w:shd w:val="clear" w:color="000000" w:fill="F2F2F2"/>
            <w:noWrap/>
            <w:vAlign w:val="center"/>
            <w:hideMark/>
          </w:tcPr>
          <w:p w14:paraId="2BF70B8C"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$ 41.571.115</w:t>
            </w:r>
          </w:p>
        </w:tc>
        <w:tc>
          <w:tcPr>
            <w:tcW w:w="1260" w:type="dxa"/>
            <w:tcBorders>
              <w:top w:val="nil"/>
              <w:left w:val="nil"/>
              <w:bottom w:val="single" w:sz="4" w:space="0" w:color="auto"/>
              <w:right w:val="single" w:sz="4" w:space="0" w:color="auto"/>
            </w:tcBorders>
            <w:shd w:val="clear" w:color="000000" w:fill="F2F2F2"/>
            <w:noWrap/>
            <w:vAlign w:val="center"/>
            <w:hideMark/>
          </w:tcPr>
          <w:p w14:paraId="3F82CF9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$ 415.711</w:t>
            </w:r>
          </w:p>
        </w:tc>
        <w:tc>
          <w:tcPr>
            <w:tcW w:w="1120" w:type="dxa"/>
            <w:tcBorders>
              <w:top w:val="nil"/>
              <w:left w:val="nil"/>
              <w:bottom w:val="single" w:sz="4" w:space="0" w:color="auto"/>
              <w:right w:val="single" w:sz="4" w:space="0" w:color="auto"/>
            </w:tcBorders>
            <w:shd w:val="clear" w:color="000000" w:fill="F2F2F2"/>
            <w:noWrap/>
            <w:vAlign w:val="center"/>
            <w:hideMark/>
          </w:tcPr>
          <w:p w14:paraId="186232D1"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$ 17</w:t>
            </w:r>
          </w:p>
        </w:tc>
        <w:tc>
          <w:tcPr>
            <w:tcW w:w="1260" w:type="dxa"/>
            <w:tcBorders>
              <w:top w:val="nil"/>
              <w:left w:val="nil"/>
              <w:bottom w:val="single" w:sz="4" w:space="0" w:color="auto"/>
              <w:right w:val="single" w:sz="4" w:space="0" w:color="auto"/>
            </w:tcBorders>
            <w:shd w:val="clear" w:color="000000" w:fill="F2F2F2"/>
            <w:noWrap/>
            <w:vAlign w:val="center"/>
            <w:hideMark/>
          </w:tcPr>
          <w:p w14:paraId="0A442B6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$ 415.728</w:t>
            </w:r>
          </w:p>
        </w:tc>
        <w:tc>
          <w:tcPr>
            <w:tcW w:w="1920" w:type="dxa"/>
            <w:tcBorders>
              <w:top w:val="nil"/>
              <w:left w:val="nil"/>
              <w:bottom w:val="single" w:sz="4" w:space="0" w:color="auto"/>
              <w:right w:val="single" w:sz="4" w:space="0" w:color="auto"/>
            </w:tcBorders>
            <w:shd w:val="clear" w:color="000000" w:fill="F2F2F2"/>
            <w:vAlign w:val="center"/>
            <w:hideMark/>
          </w:tcPr>
          <w:p w14:paraId="7442FAF1"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GAS POR REDES</w:t>
            </w:r>
          </w:p>
        </w:tc>
      </w:tr>
      <w:tr w:rsidR="00D705A6" w:rsidRPr="002E0BB9" w14:paraId="060F3B6C" w14:textId="77777777" w:rsidTr="002E0BB9">
        <w:trPr>
          <w:trHeight w:val="714"/>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05A305DE"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29</w:t>
            </w:r>
          </w:p>
        </w:tc>
        <w:tc>
          <w:tcPr>
            <w:tcW w:w="560" w:type="dxa"/>
            <w:tcBorders>
              <w:top w:val="nil"/>
              <w:left w:val="nil"/>
              <w:bottom w:val="single" w:sz="4" w:space="0" w:color="auto"/>
              <w:right w:val="single" w:sz="4" w:space="0" w:color="auto"/>
            </w:tcBorders>
            <w:shd w:val="clear" w:color="000000" w:fill="F2F2F2"/>
            <w:noWrap/>
            <w:vAlign w:val="center"/>
            <w:hideMark/>
          </w:tcPr>
          <w:p w14:paraId="5A24DC3B"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22910</w:t>
            </w:r>
          </w:p>
        </w:tc>
        <w:tc>
          <w:tcPr>
            <w:tcW w:w="920" w:type="dxa"/>
            <w:tcBorders>
              <w:top w:val="nil"/>
              <w:left w:val="nil"/>
              <w:bottom w:val="single" w:sz="4" w:space="0" w:color="auto"/>
              <w:right w:val="single" w:sz="4" w:space="0" w:color="auto"/>
            </w:tcBorders>
            <w:shd w:val="clear" w:color="000000" w:fill="F2F2F2"/>
            <w:noWrap/>
            <w:vAlign w:val="center"/>
            <w:hideMark/>
          </w:tcPr>
          <w:p w14:paraId="5321A151"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804011800</w:t>
            </w:r>
          </w:p>
        </w:tc>
        <w:tc>
          <w:tcPr>
            <w:tcW w:w="2180" w:type="dxa"/>
            <w:tcBorders>
              <w:top w:val="nil"/>
              <w:left w:val="nil"/>
              <w:bottom w:val="single" w:sz="4" w:space="0" w:color="auto"/>
              <w:right w:val="single" w:sz="4" w:space="0" w:color="auto"/>
            </w:tcBorders>
            <w:shd w:val="clear" w:color="000000" w:fill="F2F2F2"/>
            <w:vAlign w:val="center"/>
            <w:hideMark/>
          </w:tcPr>
          <w:p w14:paraId="4C36911E"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INGENIERÍA Y SERVICIOS SOCIEDAD ANÓNIMA EMPRESA DE SERVICIOS PÚBLICOS</w:t>
            </w:r>
          </w:p>
        </w:tc>
        <w:tc>
          <w:tcPr>
            <w:tcW w:w="1520" w:type="dxa"/>
            <w:tcBorders>
              <w:top w:val="nil"/>
              <w:left w:val="nil"/>
              <w:bottom w:val="single" w:sz="4" w:space="0" w:color="auto"/>
              <w:right w:val="single" w:sz="4" w:space="0" w:color="auto"/>
            </w:tcBorders>
            <w:shd w:val="clear" w:color="000000" w:fill="F2F2F2"/>
            <w:noWrap/>
            <w:vAlign w:val="center"/>
            <w:hideMark/>
          </w:tcPr>
          <w:p w14:paraId="646A0CEE"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$ 1.072.893.000</w:t>
            </w:r>
          </w:p>
        </w:tc>
        <w:tc>
          <w:tcPr>
            <w:tcW w:w="1440" w:type="dxa"/>
            <w:tcBorders>
              <w:top w:val="nil"/>
              <w:left w:val="nil"/>
              <w:bottom w:val="single" w:sz="4" w:space="0" w:color="auto"/>
              <w:right w:val="single" w:sz="4" w:space="0" w:color="auto"/>
            </w:tcBorders>
            <w:shd w:val="clear" w:color="000000" w:fill="F2F2F2"/>
            <w:noWrap/>
            <w:vAlign w:val="center"/>
            <w:hideMark/>
          </w:tcPr>
          <w:p w14:paraId="537EE8EA"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$ 76.898.377</w:t>
            </w:r>
          </w:p>
        </w:tc>
        <w:tc>
          <w:tcPr>
            <w:tcW w:w="1460" w:type="dxa"/>
            <w:tcBorders>
              <w:top w:val="nil"/>
              <w:left w:val="nil"/>
              <w:bottom w:val="single" w:sz="4" w:space="0" w:color="auto"/>
              <w:right w:val="single" w:sz="4" w:space="0" w:color="auto"/>
            </w:tcBorders>
            <w:shd w:val="clear" w:color="000000" w:fill="F2F2F2"/>
            <w:noWrap/>
            <w:vAlign w:val="center"/>
            <w:hideMark/>
          </w:tcPr>
          <w:p w14:paraId="46BA4CC6"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$ 1.149.791.377</w:t>
            </w:r>
          </w:p>
        </w:tc>
        <w:tc>
          <w:tcPr>
            <w:tcW w:w="1260" w:type="dxa"/>
            <w:tcBorders>
              <w:top w:val="nil"/>
              <w:left w:val="nil"/>
              <w:bottom w:val="single" w:sz="4" w:space="0" w:color="auto"/>
              <w:right w:val="single" w:sz="4" w:space="0" w:color="auto"/>
            </w:tcBorders>
            <w:shd w:val="clear" w:color="000000" w:fill="F2F2F2"/>
            <w:noWrap/>
            <w:vAlign w:val="center"/>
            <w:hideMark/>
          </w:tcPr>
          <w:p w14:paraId="742013C1"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$ 11.497.914</w:t>
            </w:r>
          </w:p>
        </w:tc>
        <w:tc>
          <w:tcPr>
            <w:tcW w:w="1120" w:type="dxa"/>
            <w:tcBorders>
              <w:top w:val="nil"/>
              <w:left w:val="nil"/>
              <w:bottom w:val="single" w:sz="4" w:space="0" w:color="auto"/>
              <w:right w:val="single" w:sz="4" w:space="0" w:color="auto"/>
            </w:tcBorders>
            <w:shd w:val="clear" w:color="000000" w:fill="F2F2F2"/>
            <w:noWrap/>
            <w:vAlign w:val="center"/>
            <w:hideMark/>
          </w:tcPr>
          <w:p w14:paraId="0DA2CC6D"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$ 479</w:t>
            </w:r>
          </w:p>
        </w:tc>
        <w:tc>
          <w:tcPr>
            <w:tcW w:w="1260" w:type="dxa"/>
            <w:tcBorders>
              <w:top w:val="nil"/>
              <w:left w:val="nil"/>
              <w:bottom w:val="single" w:sz="4" w:space="0" w:color="auto"/>
              <w:right w:val="single" w:sz="4" w:space="0" w:color="auto"/>
            </w:tcBorders>
            <w:shd w:val="clear" w:color="000000" w:fill="F2F2F2"/>
            <w:noWrap/>
            <w:vAlign w:val="center"/>
            <w:hideMark/>
          </w:tcPr>
          <w:p w14:paraId="39892812"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$ 11.498.392</w:t>
            </w:r>
          </w:p>
        </w:tc>
        <w:tc>
          <w:tcPr>
            <w:tcW w:w="1920" w:type="dxa"/>
            <w:tcBorders>
              <w:top w:val="nil"/>
              <w:left w:val="nil"/>
              <w:bottom w:val="single" w:sz="4" w:space="0" w:color="auto"/>
              <w:right w:val="single" w:sz="4" w:space="0" w:color="auto"/>
            </w:tcBorders>
            <w:shd w:val="clear" w:color="000000" w:fill="F2F2F2"/>
            <w:vAlign w:val="center"/>
            <w:hideMark/>
          </w:tcPr>
          <w:p w14:paraId="5DD31666"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GAS POR REDES</w:t>
            </w:r>
          </w:p>
        </w:tc>
      </w:tr>
      <w:tr w:rsidR="00D705A6" w:rsidRPr="002E0BB9" w14:paraId="6429A022" w14:textId="77777777" w:rsidTr="007D1249">
        <w:trPr>
          <w:trHeight w:val="6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11675516"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30</w:t>
            </w:r>
          </w:p>
        </w:tc>
        <w:tc>
          <w:tcPr>
            <w:tcW w:w="560" w:type="dxa"/>
            <w:tcBorders>
              <w:top w:val="nil"/>
              <w:left w:val="nil"/>
              <w:bottom w:val="single" w:sz="4" w:space="0" w:color="auto"/>
              <w:right w:val="single" w:sz="4" w:space="0" w:color="auto"/>
            </w:tcBorders>
            <w:shd w:val="clear" w:color="000000" w:fill="F2F2F2"/>
            <w:noWrap/>
            <w:vAlign w:val="center"/>
            <w:hideMark/>
          </w:tcPr>
          <w:p w14:paraId="4437DEF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3227</w:t>
            </w:r>
          </w:p>
        </w:tc>
        <w:tc>
          <w:tcPr>
            <w:tcW w:w="920" w:type="dxa"/>
            <w:tcBorders>
              <w:top w:val="nil"/>
              <w:left w:val="nil"/>
              <w:bottom w:val="single" w:sz="4" w:space="0" w:color="auto"/>
              <w:right w:val="single" w:sz="4" w:space="0" w:color="auto"/>
            </w:tcBorders>
            <w:shd w:val="clear" w:color="000000" w:fill="F2F2F2"/>
            <w:noWrap/>
            <w:vAlign w:val="center"/>
            <w:hideMark/>
          </w:tcPr>
          <w:p w14:paraId="2E71AFDA"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804013578</w:t>
            </w:r>
          </w:p>
        </w:tc>
        <w:tc>
          <w:tcPr>
            <w:tcW w:w="2180" w:type="dxa"/>
            <w:tcBorders>
              <w:top w:val="nil"/>
              <w:left w:val="nil"/>
              <w:bottom w:val="single" w:sz="4" w:space="0" w:color="auto"/>
              <w:right w:val="single" w:sz="4" w:space="0" w:color="auto"/>
            </w:tcBorders>
            <w:shd w:val="clear" w:color="000000" w:fill="F2F2F2"/>
            <w:vAlign w:val="center"/>
            <w:hideMark/>
          </w:tcPr>
          <w:p w14:paraId="5A741D47"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PROMOTORA DE SERVICIOS PÚBLICOS S.A. E.S.P.</w:t>
            </w:r>
          </w:p>
        </w:tc>
        <w:tc>
          <w:tcPr>
            <w:tcW w:w="1520" w:type="dxa"/>
            <w:tcBorders>
              <w:top w:val="nil"/>
              <w:left w:val="nil"/>
              <w:bottom w:val="single" w:sz="4" w:space="0" w:color="auto"/>
              <w:right w:val="single" w:sz="4" w:space="0" w:color="auto"/>
            </w:tcBorders>
            <w:shd w:val="clear" w:color="000000" w:fill="F2F2F2"/>
            <w:noWrap/>
            <w:vAlign w:val="center"/>
            <w:hideMark/>
          </w:tcPr>
          <w:p w14:paraId="339419E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$ 1.792.964.000</w:t>
            </w:r>
          </w:p>
        </w:tc>
        <w:tc>
          <w:tcPr>
            <w:tcW w:w="1440" w:type="dxa"/>
            <w:tcBorders>
              <w:top w:val="nil"/>
              <w:left w:val="nil"/>
              <w:bottom w:val="single" w:sz="4" w:space="0" w:color="auto"/>
              <w:right w:val="single" w:sz="4" w:space="0" w:color="auto"/>
            </w:tcBorders>
            <w:shd w:val="clear" w:color="000000" w:fill="F2F2F2"/>
            <w:noWrap/>
            <w:vAlign w:val="center"/>
            <w:hideMark/>
          </w:tcPr>
          <w:p w14:paraId="53B2054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$ 139.773.724</w:t>
            </w:r>
          </w:p>
        </w:tc>
        <w:tc>
          <w:tcPr>
            <w:tcW w:w="1460" w:type="dxa"/>
            <w:tcBorders>
              <w:top w:val="nil"/>
              <w:left w:val="nil"/>
              <w:bottom w:val="single" w:sz="4" w:space="0" w:color="auto"/>
              <w:right w:val="single" w:sz="4" w:space="0" w:color="auto"/>
            </w:tcBorders>
            <w:shd w:val="clear" w:color="000000" w:fill="F2F2F2"/>
            <w:noWrap/>
            <w:vAlign w:val="center"/>
            <w:hideMark/>
          </w:tcPr>
          <w:p w14:paraId="6F81A9F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$ 1.932.737.724</w:t>
            </w:r>
          </w:p>
        </w:tc>
        <w:tc>
          <w:tcPr>
            <w:tcW w:w="1260" w:type="dxa"/>
            <w:tcBorders>
              <w:top w:val="nil"/>
              <w:left w:val="nil"/>
              <w:bottom w:val="single" w:sz="4" w:space="0" w:color="auto"/>
              <w:right w:val="single" w:sz="4" w:space="0" w:color="auto"/>
            </w:tcBorders>
            <w:shd w:val="clear" w:color="000000" w:fill="F2F2F2"/>
            <w:noWrap/>
            <w:vAlign w:val="center"/>
            <w:hideMark/>
          </w:tcPr>
          <w:p w14:paraId="5C6270E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$ 19.327.377</w:t>
            </w:r>
          </w:p>
        </w:tc>
        <w:tc>
          <w:tcPr>
            <w:tcW w:w="1120" w:type="dxa"/>
            <w:tcBorders>
              <w:top w:val="nil"/>
              <w:left w:val="nil"/>
              <w:bottom w:val="single" w:sz="4" w:space="0" w:color="auto"/>
              <w:right w:val="single" w:sz="4" w:space="0" w:color="auto"/>
            </w:tcBorders>
            <w:shd w:val="clear" w:color="000000" w:fill="F2F2F2"/>
            <w:noWrap/>
            <w:vAlign w:val="center"/>
            <w:hideMark/>
          </w:tcPr>
          <w:p w14:paraId="47911CDD"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$ 804</w:t>
            </w:r>
          </w:p>
        </w:tc>
        <w:tc>
          <w:tcPr>
            <w:tcW w:w="1260" w:type="dxa"/>
            <w:tcBorders>
              <w:top w:val="nil"/>
              <w:left w:val="nil"/>
              <w:bottom w:val="single" w:sz="4" w:space="0" w:color="auto"/>
              <w:right w:val="single" w:sz="4" w:space="0" w:color="auto"/>
            </w:tcBorders>
            <w:shd w:val="clear" w:color="000000" w:fill="F2F2F2"/>
            <w:noWrap/>
            <w:vAlign w:val="center"/>
            <w:hideMark/>
          </w:tcPr>
          <w:p w14:paraId="250D1BC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$ 19.328.182</w:t>
            </w:r>
          </w:p>
        </w:tc>
        <w:tc>
          <w:tcPr>
            <w:tcW w:w="1920" w:type="dxa"/>
            <w:tcBorders>
              <w:top w:val="nil"/>
              <w:left w:val="nil"/>
              <w:bottom w:val="single" w:sz="4" w:space="0" w:color="auto"/>
              <w:right w:val="single" w:sz="4" w:space="0" w:color="auto"/>
            </w:tcBorders>
            <w:shd w:val="clear" w:color="000000" w:fill="F2F2F2"/>
            <w:vAlign w:val="center"/>
            <w:hideMark/>
          </w:tcPr>
          <w:p w14:paraId="02F09FA8"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GAS POR REDES</w:t>
            </w:r>
          </w:p>
        </w:tc>
      </w:tr>
      <w:tr w:rsidR="00D705A6" w:rsidRPr="002E0BB9" w14:paraId="42F301F1" w14:textId="77777777" w:rsidTr="007D1249">
        <w:trPr>
          <w:trHeight w:val="2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2BF129B9"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31</w:t>
            </w:r>
          </w:p>
        </w:tc>
        <w:tc>
          <w:tcPr>
            <w:tcW w:w="560" w:type="dxa"/>
            <w:tcBorders>
              <w:top w:val="nil"/>
              <w:left w:val="nil"/>
              <w:bottom w:val="single" w:sz="4" w:space="0" w:color="auto"/>
              <w:right w:val="single" w:sz="4" w:space="0" w:color="auto"/>
            </w:tcBorders>
            <w:shd w:val="clear" w:color="000000" w:fill="F2F2F2"/>
            <w:noWrap/>
            <w:vAlign w:val="center"/>
            <w:hideMark/>
          </w:tcPr>
          <w:p w14:paraId="5DDA61DE"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3325</w:t>
            </w:r>
          </w:p>
        </w:tc>
        <w:tc>
          <w:tcPr>
            <w:tcW w:w="920" w:type="dxa"/>
            <w:tcBorders>
              <w:top w:val="nil"/>
              <w:left w:val="nil"/>
              <w:bottom w:val="single" w:sz="4" w:space="0" w:color="auto"/>
              <w:right w:val="single" w:sz="4" w:space="0" w:color="auto"/>
            </w:tcBorders>
            <w:shd w:val="clear" w:color="000000" w:fill="F2F2F2"/>
            <w:noWrap/>
            <w:vAlign w:val="center"/>
            <w:hideMark/>
          </w:tcPr>
          <w:p w14:paraId="1DE95C5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804014818</w:t>
            </w:r>
          </w:p>
        </w:tc>
        <w:tc>
          <w:tcPr>
            <w:tcW w:w="2180" w:type="dxa"/>
            <w:tcBorders>
              <w:top w:val="nil"/>
              <w:left w:val="nil"/>
              <w:bottom w:val="single" w:sz="4" w:space="0" w:color="auto"/>
              <w:right w:val="single" w:sz="4" w:space="0" w:color="auto"/>
            </w:tcBorders>
            <w:shd w:val="clear" w:color="000000" w:fill="F2F2F2"/>
            <w:vAlign w:val="center"/>
            <w:hideMark/>
          </w:tcPr>
          <w:p w14:paraId="1C873AA9"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PROMESA S.A. ESP</w:t>
            </w:r>
          </w:p>
        </w:tc>
        <w:tc>
          <w:tcPr>
            <w:tcW w:w="1520" w:type="dxa"/>
            <w:tcBorders>
              <w:top w:val="nil"/>
              <w:left w:val="nil"/>
              <w:bottom w:val="single" w:sz="4" w:space="0" w:color="auto"/>
              <w:right w:val="single" w:sz="4" w:space="0" w:color="auto"/>
            </w:tcBorders>
            <w:shd w:val="clear" w:color="000000" w:fill="F2F2F2"/>
            <w:noWrap/>
            <w:vAlign w:val="center"/>
            <w:hideMark/>
          </w:tcPr>
          <w:p w14:paraId="0AE237D2"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$ 367.014.018</w:t>
            </w:r>
          </w:p>
        </w:tc>
        <w:tc>
          <w:tcPr>
            <w:tcW w:w="1440" w:type="dxa"/>
            <w:tcBorders>
              <w:top w:val="nil"/>
              <w:left w:val="nil"/>
              <w:bottom w:val="single" w:sz="4" w:space="0" w:color="auto"/>
              <w:right w:val="single" w:sz="4" w:space="0" w:color="auto"/>
            </w:tcBorders>
            <w:shd w:val="clear" w:color="000000" w:fill="F2F2F2"/>
            <w:noWrap/>
            <w:vAlign w:val="center"/>
            <w:hideMark/>
          </w:tcPr>
          <w:p w14:paraId="23841F46"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$ 5.703.496</w:t>
            </w:r>
          </w:p>
        </w:tc>
        <w:tc>
          <w:tcPr>
            <w:tcW w:w="1460" w:type="dxa"/>
            <w:tcBorders>
              <w:top w:val="nil"/>
              <w:left w:val="nil"/>
              <w:bottom w:val="single" w:sz="4" w:space="0" w:color="auto"/>
              <w:right w:val="single" w:sz="4" w:space="0" w:color="auto"/>
            </w:tcBorders>
            <w:shd w:val="clear" w:color="000000" w:fill="F2F2F2"/>
            <w:noWrap/>
            <w:vAlign w:val="center"/>
            <w:hideMark/>
          </w:tcPr>
          <w:p w14:paraId="1EB08BC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$ 372.717.514</w:t>
            </w:r>
          </w:p>
        </w:tc>
        <w:tc>
          <w:tcPr>
            <w:tcW w:w="1260" w:type="dxa"/>
            <w:tcBorders>
              <w:top w:val="nil"/>
              <w:left w:val="nil"/>
              <w:bottom w:val="single" w:sz="4" w:space="0" w:color="auto"/>
              <w:right w:val="single" w:sz="4" w:space="0" w:color="auto"/>
            </w:tcBorders>
            <w:shd w:val="clear" w:color="000000" w:fill="F2F2F2"/>
            <w:noWrap/>
            <w:vAlign w:val="center"/>
            <w:hideMark/>
          </w:tcPr>
          <w:p w14:paraId="75F053B2"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$ 3.727.175</w:t>
            </w:r>
          </w:p>
        </w:tc>
        <w:tc>
          <w:tcPr>
            <w:tcW w:w="1120" w:type="dxa"/>
            <w:tcBorders>
              <w:top w:val="nil"/>
              <w:left w:val="nil"/>
              <w:bottom w:val="single" w:sz="4" w:space="0" w:color="auto"/>
              <w:right w:val="single" w:sz="4" w:space="0" w:color="auto"/>
            </w:tcBorders>
            <w:shd w:val="clear" w:color="000000" w:fill="F2F2F2"/>
            <w:noWrap/>
            <w:vAlign w:val="center"/>
            <w:hideMark/>
          </w:tcPr>
          <w:p w14:paraId="1FC7C927"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$ 155</w:t>
            </w:r>
          </w:p>
        </w:tc>
        <w:tc>
          <w:tcPr>
            <w:tcW w:w="1260" w:type="dxa"/>
            <w:tcBorders>
              <w:top w:val="nil"/>
              <w:left w:val="nil"/>
              <w:bottom w:val="single" w:sz="4" w:space="0" w:color="auto"/>
              <w:right w:val="single" w:sz="4" w:space="0" w:color="auto"/>
            </w:tcBorders>
            <w:shd w:val="clear" w:color="000000" w:fill="F2F2F2"/>
            <w:noWrap/>
            <w:vAlign w:val="center"/>
            <w:hideMark/>
          </w:tcPr>
          <w:p w14:paraId="4E7CAFD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$ 3.727.330</w:t>
            </w:r>
          </w:p>
        </w:tc>
        <w:tc>
          <w:tcPr>
            <w:tcW w:w="1920" w:type="dxa"/>
            <w:tcBorders>
              <w:top w:val="nil"/>
              <w:left w:val="nil"/>
              <w:bottom w:val="single" w:sz="4" w:space="0" w:color="auto"/>
              <w:right w:val="single" w:sz="4" w:space="0" w:color="auto"/>
            </w:tcBorders>
            <w:shd w:val="clear" w:color="000000" w:fill="F2F2F2"/>
            <w:vAlign w:val="center"/>
            <w:hideMark/>
          </w:tcPr>
          <w:p w14:paraId="2071A5D1"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GAS POR REDES</w:t>
            </w:r>
          </w:p>
        </w:tc>
      </w:tr>
      <w:tr w:rsidR="00D705A6" w:rsidRPr="002E0BB9" w14:paraId="6FA6120D" w14:textId="77777777" w:rsidTr="007D1249">
        <w:trPr>
          <w:trHeight w:val="2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7F9E4B2C"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32</w:t>
            </w:r>
          </w:p>
        </w:tc>
        <w:tc>
          <w:tcPr>
            <w:tcW w:w="560" w:type="dxa"/>
            <w:tcBorders>
              <w:top w:val="nil"/>
              <w:left w:val="nil"/>
              <w:bottom w:val="single" w:sz="4" w:space="0" w:color="auto"/>
              <w:right w:val="single" w:sz="4" w:space="0" w:color="auto"/>
            </w:tcBorders>
            <w:shd w:val="clear" w:color="000000" w:fill="F2F2F2"/>
            <w:noWrap/>
            <w:vAlign w:val="center"/>
            <w:hideMark/>
          </w:tcPr>
          <w:p w14:paraId="76B6C1E7"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3326</w:t>
            </w:r>
          </w:p>
        </w:tc>
        <w:tc>
          <w:tcPr>
            <w:tcW w:w="920" w:type="dxa"/>
            <w:tcBorders>
              <w:top w:val="nil"/>
              <w:left w:val="nil"/>
              <w:bottom w:val="single" w:sz="4" w:space="0" w:color="auto"/>
              <w:right w:val="single" w:sz="4" w:space="0" w:color="auto"/>
            </w:tcBorders>
            <w:shd w:val="clear" w:color="000000" w:fill="F2F2F2"/>
            <w:noWrap/>
            <w:vAlign w:val="center"/>
            <w:hideMark/>
          </w:tcPr>
          <w:p w14:paraId="5C39C2E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804014885</w:t>
            </w:r>
          </w:p>
        </w:tc>
        <w:tc>
          <w:tcPr>
            <w:tcW w:w="2180" w:type="dxa"/>
            <w:tcBorders>
              <w:top w:val="nil"/>
              <w:left w:val="nil"/>
              <w:bottom w:val="single" w:sz="4" w:space="0" w:color="auto"/>
              <w:right w:val="single" w:sz="4" w:space="0" w:color="auto"/>
            </w:tcBorders>
            <w:shd w:val="clear" w:color="000000" w:fill="F2F2F2"/>
            <w:vAlign w:val="center"/>
            <w:hideMark/>
          </w:tcPr>
          <w:p w14:paraId="2EF7588F"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ESPIGAS S.A. E.S.P.</w:t>
            </w:r>
          </w:p>
        </w:tc>
        <w:tc>
          <w:tcPr>
            <w:tcW w:w="1520" w:type="dxa"/>
            <w:tcBorders>
              <w:top w:val="nil"/>
              <w:left w:val="nil"/>
              <w:bottom w:val="single" w:sz="4" w:space="0" w:color="auto"/>
              <w:right w:val="single" w:sz="4" w:space="0" w:color="auto"/>
            </w:tcBorders>
            <w:shd w:val="clear" w:color="000000" w:fill="F2F2F2"/>
            <w:noWrap/>
            <w:vAlign w:val="center"/>
            <w:hideMark/>
          </w:tcPr>
          <w:p w14:paraId="620D3FB6"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$ 162.533.000</w:t>
            </w:r>
          </w:p>
        </w:tc>
        <w:tc>
          <w:tcPr>
            <w:tcW w:w="1440" w:type="dxa"/>
            <w:tcBorders>
              <w:top w:val="nil"/>
              <w:left w:val="nil"/>
              <w:bottom w:val="single" w:sz="4" w:space="0" w:color="auto"/>
              <w:right w:val="single" w:sz="4" w:space="0" w:color="auto"/>
            </w:tcBorders>
            <w:shd w:val="clear" w:color="000000" w:fill="F2F2F2"/>
            <w:noWrap/>
            <w:vAlign w:val="center"/>
            <w:hideMark/>
          </w:tcPr>
          <w:p w14:paraId="31521A2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$ 2.672.124</w:t>
            </w:r>
          </w:p>
        </w:tc>
        <w:tc>
          <w:tcPr>
            <w:tcW w:w="1460" w:type="dxa"/>
            <w:tcBorders>
              <w:top w:val="nil"/>
              <w:left w:val="nil"/>
              <w:bottom w:val="single" w:sz="4" w:space="0" w:color="auto"/>
              <w:right w:val="single" w:sz="4" w:space="0" w:color="auto"/>
            </w:tcBorders>
            <w:shd w:val="clear" w:color="000000" w:fill="F2F2F2"/>
            <w:noWrap/>
            <w:vAlign w:val="center"/>
            <w:hideMark/>
          </w:tcPr>
          <w:p w14:paraId="35C35A96"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$ 165.205.124</w:t>
            </w:r>
          </w:p>
        </w:tc>
        <w:tc>
          <w:tcPr>
            <w:tcW w:w="1260" w:type="dxa"/>
            <w:tcBorders>
              <w:top w:val="nil"/>
              <w:left w:val="nil"/>
              <w:bottom w:val="single" w:sz="4" w:space="0" w:color="auto"/>
              <w:right w:val="single" w:sz="4" w:space="0" w:color="auto"/>
            </w:tcBorders>
            <w:shd w:val="clear" w:color="000000" w:fill="F2F2F2"/>
            <w:noWrap/>
            <w:vAlign w:val="center"/>
            <w:hideMark/>
          </w:tcPr>
          <w:p w14:paraId="2276FA5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$ 1.652.051</w:t>
            </w:r>
          </w:p>
        </w:tc>
        <w:tc>
          <w:tcPr>
            <w:tcW w:w="1120" w:type="dxa"/>
            <w:tcBorders>
              <w:top w:val="nil"/>
              <w:left w:val="nil"/>
              <w:bottom w:val="single" w:sz="4" w:space="0" w:color="auto"/>
              <w:right w:val="single" w:sz="4" w:space="0" w:color="auto"/>
            </w:tcBorders>
            <w:shd w:val="clear" w:color="000000" w:fill="F2F2F2"/>
            <w:noWrap/>
            <w:vAlign w:val="center"/>
            <w:hideMark/>
          </w:tcPr>
          <w:p w14:paraId="496ED13E"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$ 69</w:t>
            </w:r>
          </w:p>
        </w:tc>
        <w:tc>
          <w:tcPr>
            <w:tcW w:w="1260" w:type="dxa"/>
            <w:tcBorders>
              <w:top w:val="nil"/>
              <w:left w:val="nil"/>
              <w:bottom w:val="single" w:sz="4" w:space="0" w:color="auto"/>
              <w:right w:val="single" w:sz="4" w:space="0" w:color="auto"/>
            </w:tcBorders>
            <w:shd w:val="clear" w:color="000000" w:fill="F2F2F2"/>
            <w:noWrap/>
            <w:vAlign w:val="center"/>
            <w:hideMark/>
          </w:tcPr>
          <w:p w14:paraId="3B5E181B"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$ 1.652.120</w:t>
            </w:r>
          </w:p>
        </w:tc>
        <w:tc>
          <w:tcPr>
            <w:tcW w:w="1920" w:type="dxa"/>
            <w:tcBorders>
              <w:top w:val="nil"/>
              <w:left w:val="nil"/>
              <w:bottom w:val="single" w:sz="4" w:space="0" w:color="auto"/>
              <w:right w:val="single" w:sz="4" w:space="0" w:color="auto"/>
            </w:tcBorders>
            <w:shd w:val="clear" w:color="000000" w:fill="F2F2F2"/>
            <w:vAlign w:val="center"/>
            <w:hideMark/>
          </w:tcPr>
          <w:p w14:paraId="23CFA2D2"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GAS POR REDES</w:t>
            </w:r>
          </w:p>
        </w:tc>
      </w:tr>
      <w:tr w:rsidR="00D705A6" w:rsidRPr="002E0BB9" w14:paraId="468F2CC5" w14:textId="77777777" w:rsidTr="007D1249">
        <w:trPr>
          <w:trHeight w:val="2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510F6CAA"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33</w:t>
            </w:r>
          </w:p>
        </w:tc>
        <w:tc>
          <w:tcPr>
            <w:tcW w:w="560" w:type="dxa"/>
            <w:tcBorders>
              <w:top w:val="nil"/>
              <w:left w:val="nil"/>
              <w:bottom w:val="single" w:sz="4" w:space="0" w:color="auto"/>
              <w:right w:val="single" w:sz="4" w:space="0" w:color="auto"/>
            </w:tcBorders>
            <w:shd w:val="clear" w:color="000000" w:fill="F2F2F2"/>
            <w:noWrap/>
            <w:vAlign w:val="center"/>
            <w:hideMark/>
          </w:tcPr>
          <w:p w14:paraId="57C89DFB"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1806</w:t>
            </w:r>
          </w:p>
        </w:tc>
        <w:tc>
          <w:tcPr>
            <w:tcW w:w="920" w:type="dxa"/>
            <w:tcBorders>
              <w:top w:val="nil"/>
              <w:left w:val="nil"/>
              <w:bottom w:val="single" w:sz="4" w:space="0" w:color="auto"/>
              <w:right w:val="single" w:sz="4" w:space="0" w:color="auto"/>
            </w:tcBorders>
            <w:shd w:val="clear" w:color="000000" w:fill="F2F2F2"/>
            <w:noWrap/>
            <w:vAlign w:val="center"/>
            <w:hideMark/>
          </w:tcPr>
          <w:p w14:paraId="4661996C"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805003351</w:t>
            </w:r>
          </w:p>
        </w:tc>
        <w:tc>
          <w:tcPr>
            <w:tcW w:w="2180" w:type="dxa"/>
            <w:tcBorders>
              <w:top w:val="nil"/>
              <w:left w:val="nil"/>
              <w:bottom w:val="single" w:sz="4" w:space="0" w:color="auto"/>
              <w:right w:val="single" w:sz="4" w:space="0" w:color="auto"/>
            </w:tcBorders>
            <w:shd w:val="clear" w:color="000000" w:fill="F2F2F2"/>
            <w:vAlign w:val="center"/>
            <w:hideMark/>
          </w:tcPr>
          <w:p w14:paraId="2947AC03" w14:textId="712D3748"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TERMOVALLE S.A.S. E.S.P</w:t>
            </w:r>
            <w:r w:rsidR="00EA2661" w:rsidRPr="002E0BB9">
              <w:rPr>
                <w:rFonts w:ascii="Arial Narrow" w:hAnsi="Arial Narrow" w:cs="Arial"/>
                <w:spacing w:val="0"/>
                <w:sz w:val="16"/>
                <w:szCs w:val="16"/>
                <w:lang w:val="es-MX" w:eastAsia="es-MX"/>
              </w:rPr>
              <w:t>.</w:t>
            </w:r>
          </w:p>
        </w:tc>
        <w:tc>
          <w:tcPr>
            <w:tcW w:w="1520" w:type="dxa"/>
            <w:tcBorders>
              <w:top w:val="nil"/>
              <w:left w:val="nil"/>
              <w:bottom w:val="single" w:sz="4" w:space="0" w:color="auto"/>
              <w:right w:val="single" w:sz="4" w:space="0" w:color="auto"/>
            </w:tcBorders>
            <w:shd w:val="clear" w:color="000000" w:fill="F2F2F2"/>
            <w:noWrap/>
            <w:vAlign w:val="center"/>
            <w:hideMark/>
          </w:tcPr>
          <w:p w14:paraId="3D9EB885"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$ 17.880.014.000</w:t>
            </w:r>
          </w:p>
        </w:tc>
        <w:tc>
          <w:tcPr>
            <w:tcW w:w="1440" w:type="dxa"/>
            <w:tcBorders>
              <w:top w:val="nil"/>
              <w:left w:val="nil"/>
              <w:bottom w:val="single" w:sz="4" w:space="0" w:color="auto"/>
              <w:right w:val="single" w:sz="4" w:space="0" w:color="auto"/>
            </w:tcBorders>
            <w:shd w:val="clear" w:color="000000" w:fill="F2F2F2"/>
            <w:noWrap/>
            <w:vAlign w:val="center"/>
            <w:hideMark/>
          </w:tcPr>
          <w:p w14:paraId="0D19A075"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$ 72.074.228</w:t>
            </w:r>
          </w:p>
        </w:tc>
        <w:tc>
          <w:tcPr>
            <w:tcW w:w="1460" w:type="dxa"/>
            <w:tcBorders>
              <w:top w:val="nil"/>
              <w:left w:val="nil"/>
              <w:bottom w:val="single" w:sz="4" w:space="0" w:color="auto"/>
              <w:right w:val="single" w:sz="4" w:space="0" w:color="auto"/>
            </w:tcBorders>
            <w:shd w:val="clear" w:color="000000" w:fill="F2F2F2"/>
            <w:noWrap/>
            <w:vAlign w:val="center"/>
            <w:hideMark/>
          </w:tcPr>
          <w:p w14:paraId="2B2D6FB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$ 17.952.088.228</w:t>
            </w:r>
          </w:p>
        </w:tc>
        <w:tc>
          <w:tcPr>
            <w:tcW w:w="1260" w:type="dxa"/>
            <w:tcBorders>
              <w:top w:val="nil"/>
              <w:left w:val="nil"/>
              <w:bottom w:val="single" w:sz="4" w:space="0" w:color="auto"/>
              <w:right w:val="single" w:sz="4" w:space="0" w:color="auto"/>
            </w:tcBorders>
            <w:shd w:val="clear" w:color="000000" w:fill="F2F2F2"/>
            <w:noWrap/>
            <w:vAlign w:val="center"/>
            <w:hideMark/>
          </w:tcPr>
          <w:p w14:paraId="09227BD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$ 179.520.882</w:t>
            </w:r>
          </w:p>
        </w:tc>
        <w:tc>
          <w:tcPr>
            <w:tcW w:w="1120" w:type="dxa"/>
            <w:tcBorders>
              <w:top w:val="nil"/>
              <w:left w:val="nil"/>
              <w:bottom w:val="single" w:sz="4" w:space="0" w:color="auto"/>
              <w:right w:val="single" w:sz="4" w:space="0" w:color="auto"/>
            </w:tcBorders>
            <w:shd w:val="clear" w:color="000000" w:fill="F2F2F2"/>
            <w:noWrap/>
            <w:vAlign w:val="center"/>
            <w:hideMark/>
          </w:tcPr>
          <w:p w14:paraId="0AF5DD32"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$ 7.471</w:t>
            </w:r>
          </w:p>
        </w:tc>
        <w:tc>
          <w:tcPr>
            <w:tcW w:w="1260" w:type="dxa"/>
            <w:tcBorders>
              <w:top w:val="nil"/>
              <w:left w:val="nil"/>
              <w:bottom w:val="single" w:sz="4" w:space="0" w:color="auto"/>
              <w:right w:val="single" w:sz="4" w:space="0" w:color="auto"/>
            </w:tcBorders>
            <w:shd w:val="clear" w:color="000000" w:fill="F2F2F2"/>
            <w:noWrap/>
            <w:vAlign w:val="center"/>
            <w:hideMark/>
          </w:tcPr>
          <w:p w14:paraId="153384D5"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$ 179.528.353</w:t>
            </w:r>
          </w:p>
        </w:tc>
        <w:tc>
          <w:tcPr>
            <w:tcW w:w="1920" w:type="dxa"/>
            <w:tcBorders>
              <w:top w:val="nil"/>
              <w:left w:val="nil"/>
              <w:bottom w:val="single" w:sz="4" w:space="0" w:color="auto"/>
              <w:right w:val="single" w:sz="4" w:space="0" w:color="auto"/>
            </w:tcBorders>
            <w:shd w:val="clear" w:color="000000" w:fill="F2F2F2"/>
            <w:vAlign w:val="center"/>
            <w:hideMark/>
          </w:tcPr>
          <w:p w14:paraId="747BA5A9"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w:t>
            </w:r>
          </w:p>
        </w:tc>
      </w:tr>
      <w:tr w:rsidR="00D705A6" w:rsidRPr="002E0BB9" w14:paraId="63D20B31" w14:textId="77777777" w:rsidTr="007D1249">
        <w:trPr>
          <w:trHeight w:val="4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7DB55C73"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34</w:t>
            </w:r>
          </w:p>
        </w:tc>
        <w:tc>
          <w:tcPr>
            <w:tcW w:w="560" w:type="dxa"/>
            <w:tcBorders>
              <w:top w:val="nil"/>
              <w:left w:val="nil"/>
              <w:bottom w:val="single" w:sz="4" w:space="0" w:color="auto"/>
              <w:right w:val="single" w:sz="4" w:space="0" w:color="auto"/>
            </w:tcBorders>
            <w:shd w:val="clear" w:color="000000" w:fill="F2F2F2"/>
            <w:noWrap/>
            <w:vAlign w:val="center"/>
            <w:hideMark/>
          </w:tcPr>
          <w:p w14:paraId="31A8B4A5"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1855</w:t>
            </w:r>
          </w:p>
        </w:tc>
        <w:tc>
          <w:tcPr>
            <w:tcW w:w="920" w:type="dxa"/>
            <w:tcBorders>
              <w:top w:val="nil"/>
              <w:left w:val="nil"/>
              <w:bottom w:val="single" w:sz="4" w:space="0" w:color="auto"/>
              <w:right w:val="single" w:sz="4" w:space="0" w:color="auto"/>
            </w:tcBorders>
            <w:shd w:val="clear" w:color="000000" w:fill="F2F2F2"/>
            <w:noWrap/>
            <w:vAlign w:val="center"/>
            <w:hideMark/>
          </w:tcPr>
          <w:p w14:paraId="3026E40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805003583</w:t>
            </w:r>
          </w:p>
        </w:tc>
        <w:tc>
          <w:tcPr>
            <w:tcW w:w="2180" w:type="dxa"/>
            <w:tcBorders>
              <w:top w:val="nil"/>
              <w:left w:val="nil"/>
              <w:bottom w:val="single" w:sz="4" w:space="0" w:color="auto"/>
              <w:right w:val="single" w:sz="4" w:space="0" w:color="auto"/>
            </w:tcBorders>
            <w:shd w:val="clear" w:color="000000" w:fill="F2F2F2"/>
            <w:vAlign w:val="center"/>
            <w:hideMark/>
          </w:tcPr>
          <w:p w14:paraId="5F05A778"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VELOGAS DE OCCIDENTE S.A. E.S.P.</w:t>
            </w:r>
          </w:p>
        </w:tc>
        <w:tc>
          <w:tcPr>
            <w:tcW w:w="1520" w:type="dxa"/>
            <w:tcBorders>
              <w:top w:val="nil"/>
              <w:left w:val="nil"/>
              <w:bottom w:val="single" w:sz="4" w:space="0" w:color="auto"/>
              <w:right w:val="single" w:sz="4" w:space="0" w:color="auto"/>
            </w:tcBorders>
            <w:shd w:val="clear" w:color="000000" w:fill="F2F2F2"/>
            <w:noWrap/>
            <w:vAlign w:val="center"/>
            <w:hideMark/>
          </w:tcPr>
          <w:p w14:paraId="76F68DC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$ 429.496.000</w:t>
            </w:r>
          </w:p>
        </w:tc>
        <w:tc>
          <w:tcPr>
            <w:tcW w:w="1440" w:type="dxa"/>
            <w:tcBorders>
              <w:top w:val="nil"/>
              <w:left w:val="nil"/>
              <w:bottom w:val="single" w:sz="4" w:space="0" w:color="auto"/>
              <w:right w:val="single" w:sz="4" w:space="0" w:color="auto"/>
            </w:tcBorders>
            <w:shd w:val="clear" w:color="000000" w:fill="F2F2F2"/>
            <w:noWrap/>
            <w:vAlign w:val="center"/>
            <w:hideMark/>
          </w:tcPr>
          <w:p w14:paraId="6BA99CF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$ 115.281.732</w:t>
            </w:r>
          </w:p>
        </w:tc>
        <w:tc>
          <w:tcPr>
            <w:tcW w:w="1460" w:type="dxa"/>
            <w:tcBorders>
              <w:top w:val="nil"/>
              <w:left w:val="nil"/>
              <w:bottom w:val="single" w:sz="4" w:space="0" w:color="auto"/>
              <w:right w:val="single" w:sz="4" w:space="0" w:color="auto"/>
            </w:tcBorders>
            <w:shd w:val="clear" w:color="000000" w:fill="F2F2F2"/>
            <w:noWrap/>
            <w:vAlign w:val="center"/>
            <w:hideMark/>
          </w:tcPr>
          <w:p w14:paraId="64F7F79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$ 544.777.732</w:t>
            </w:r>
          </w:p>
        </w:tc>
        <w:tc>
          <w:tcPr>
            <w:tcW w:w="1260" w:type="dxa"/>
            <w:tcBorders>
              <w:top w:val="nil"/>
              <w:left w:val="nil"/>
              <w:bottom w:val="single" w:sz="4" w:space="0" w:color="auto"/>
              <w:right w:val="single" w:sz="4" w:space="0" w:color="auto"/>
            </w:tcBorders>
            <w:shd w:val="clear" w:color="000000" w:fill="F2F2F2"/>
            <w:noWrap/>
            <w:vAlign w:val="center"/>
            <w:hideMark/>
          </w:tcPr>
          <w:p w14:paraId="17E139F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$ 5.447.777</w:t>
            </w:r>
          </w:p>
        </w:tc>
        <w:tc>
          <w:tcPr>
            <w:tcW w:w="1120" w:type="dxa"/>
            <w:tcBorders>
              <w:top w:val="nil"/>
              <w:left w:val="nil"/>
              <w:bottom w:val="single" w:sz="4" w:space="0" w:color="auto"/>
              <w:right w:val="single" w:sz="4" w:space="0" w:color="auto"/>
            </w:tcBorders>
            <w:shd w:val="clear" w:color="000000" w:fill="F2F2F2"/>
            <w:noWrap/>
            <w:vAlign w:val="center"/>
            <w:hideMark/>
          </w:tcPr>
          <w:p w14:paraId="367871D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$ 227</w:t>
            </w:r>
          </w:p>
        </w:tc>
        <w:tc>
          <w:tcPr>
            <w:tcW w:w="1260" w:type="dxa"/>
            <w:tcBorders>
              <w:top w:val="nil"/>
              <w:left w:val="nil"/>
              <w:bottom w:val="single" w:sz="4" w:space="0" w:color="auto"/>
              <w:right w:val="single" w:sz="4" w:space="0" w:color="auto"/>
            </w:tcBorders>
            <w:shd w:val="clear" w:color="000000" w:fill="F2F2F2"/>
            <w:noWrap/>
            <w:vAlign w:val="center"/>
            <w:hideMark/>
          </w:tcPr>
          <w:p w14:paraId="45B54F01"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$ 5.448.004</w:t>
            </w:r>
          </w:p>
        </w:tc>
        <w:tc>
          <w:tcPr>
            <w:tcW w:w="1920" w:type="dxa"/>
            <w:tcBorders>
              <w:top w:val="nil"/>
              <w:left w:val="nil"/>
              <w:bottom w:val="single" w:sz="4" w:space="0" w:color="auto"/>
              <w:right w:val="single" w:sz="4" w:space="0" w:color="auto"/>
            </w:tcBorders>
            <w:shd w:val="clear" w:color="000000" w:fill="F2F2F2"/>
            <w:vAlign w:val="center"/>
            <w:hideMark/>
          </w:tcPr>
          <w:p w14:paraId="57A4AEC8"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GAS LICUADO DEL PETROLEO</w:t>
            </w:r>
          </w:p>
        </w:tc>
      </w:tr>
      <w:tr w:rsidR="00D705A6" w:rsidRPr="002E0BB9" w14:paraId="0A85E33E" w14:textId="77777777" w:rsidTr="007D1249">
        <w:trPr>
          <w:trHeight w:val="4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0C043D28"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35</w:t>
            </w:r>
          </w:p>
        </w:tc>
        <w:tc>
          <w:tcPr>
            <w:tcW w:w="560" w:type="dxa"/>
            <w:tcBorders>
              <w:top w:val="nil"/>
              <w:left w:val="nil"/>
              <w:bottom w:val="single" w:sz="4" w:space="0" w:color="auto"/>
              <w:right w:val="single" w:sz="4" w:space="0" w:color="auto"/>
            </w:tcBorders>
            <w:shd w:val="clear" w:color="000000" w:fill="F2F2F2"/>
            <w:noWrap/>
            <w:vAlign w:val="center"/>
            <w:hideMark/>
          </w:tcPr>
          <w:p w14:paraId="19AADFA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2264</w:t>
            </w:r>
          </w:p>
        </w:tc>
        <w:tc>
          <w:tcPr>
            <w:tcW w:w="920" w:type="dxa"/>
            <w:tcBorders>
              <w:top w:val="nil"/>
              <w:left w:val="nil"/>
              <w:bottom w:val="single" w:sz="4" w:space="0" w:color="auto"/>
              <w:right w:val="single" w:sz="4" w:space="0" w:color="auto"/>
            </w:tcBorders>
            <w:shd w:val="clear" w:color="000000" w:fill="F2F2F2"/>
            <w:noWrap/>
            <w:vAlign w:val="center"/>
            <w:hideMark/>
          </w:tcPr>
          <w:p w14:paraId="4B52E561"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805010599</w:t>
            </w:r>
          </w:p>
        </w:tc>
        <w:tc>
          <w:tcPr>
            <w:tcW w:w="2180" w:type="dxa"/>
            <w:tcBorders>
              <w:top w:val="nil"/>
              <w:left w:val="nil"/>
              <w:bottom w:val="single" w:sz="4" w:space="0" w:color="auto"/>
              <w:right w:val="single" w:sz="4" w:space="0" w:color="auto"/>
            </w:tcBorders>
            <w:shd w:val="clear" w:color="000000" w:fill="F2F2F2"/>
            <w:vAlign w:val="center"/>
            <w:hideMark/>
          </w:tcPr>
          <w:p w14:paraId="4636A0AA" w14:textId="1FCC4F40"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TRANSOCCIDENTE S.A</w:t>
            </w:r>
            <w:r w:rsidR="00EA2661" w:rsidRPr="002E0BB9">
              <w:rPr>
                <w:rFonts w:ascii="Arial Narrow" w:hAnsi="Arial Narrow" w:cs="Arial"/>
                <w:spacing w:val="0"/>
                <w:sz w:val="16"/>
                <w:szCs w:val="16"/>
                <w:lang w:val="es-MX" w:eastAsia="es-MX"/>
              </w:rPr>
              <w:t>.</w:t>
            </w:r>
            <w:r w:rsidRPr="002E0BB9">
              <w:rPr>
                <w:rFonts w:ascii="Arial Narrow" w:hAnsi="Arial Narrow" w:cs="Arial"/>
                <w:spacing w:val="0"/>
                <w:sz w:val="16"/>
                <w:szCs w:val="16"/>
                <w:lang w:val="es-MX" w:eastAsia="es-MX"/>
              </w:rPr>
              <w:t xml:space="preserve"> E.S.P.</w:t>
            </w:r>
          </w:p>
        </w:tc>
        <w:tc>
          <w:tcPr>
            <w:tcW w:w="1520" w:type="dxa"/>
            <w:tcBorders>
              <w:top w:val="nil"/>
              <w:left w:val="nil"/>
              <w:bottom w:val="single" w:sz="4" w:space="0" w:color="auto"/>
              <w:right w:val="single" w:sz="4" w:space="0" w:color="auto"/>
            </w:tcBorders>
            <w:shd w:val="clear" w:color="000000" w:fill="F2F2F2"/>
            <w:noWrap/>
            <w:vAlign w:val="center"/>
            <w:hideMark/>
          </w:tcPr>
          <w:p w14:paraId="38BE7F36"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$ 1.489.527.000</w:t>
            </w:r>
          </w:p>
        </w:tc>
        <w:tc>
          <w:tcPr>
            <w:tcW w:w="1440" w:type="dxa"/>
            <w:tcBorders>
              <w:top w:val="nil"/>
              <w:left w:val="nil"/>
              <w:bottom w:val="single" w:sz="4" w:space="0" w:color="auto"/>
              <w:right w:val="single" w:sz="4" w:space="0" w:color="auto"/>
            </w:tcBorders>
            <w:shd w:val="clear" w:color="000000" w:fill="F2F2F2"/>
            <w:noWrap/>
            <w:vAlign w:val="center"/>
            <w:hideMark/>
          </w:tcPr>
          <w:p w14:paraId="7F23123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$ 0</w:t>
            </w:r>
          </w:p>
        </w:tc>
        <w:tc>
          <w:tcPr>
            <w:tcW w:w="1460" w:type="dxa"/>
            <w:tcBorders>
              <w:top w:val="nil"/>
              <w:left w:val="nil"/>
              <w:bottom w:val="single" w:sz="4" w:space="0" w:color="auto"/>
              <w:right w:val="single" w:sz="4" w:space="0" w:color="auto"/>
            </w:tcBorders>
            <w:shd w:val="clear" w:color="000000" w:fill="F2F2F2"/>
            <w:noWrap/>
            <w:vAlign w:val="center"/>
            <w:hideMark/>
          </w:tcPr>
          <w:p w14:paraId="7F7E620D"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$ 1.489.527.000</w:t>
            </w:r>
          </w:p>
        </w:tc>
        <w:tc>
          <w:tcPr>
            <w:tcW w:w="1260" w:type="dxa"/>
            <w:tcBorders>
              <w:top w:val="nil"/>
              <w:left w:val="nil"/>
              <w:bottom w:val="single" w:sz="4" w:space="0" w:color="auto"/>
              <w:right w:val="single" w:sz="4" w:space="0" w:color="auto"/>
            </w:tcBorders>
            <w:shd w:val="clear" w:color="000000" w:fill="F2F2F2"/>
            <w:noWrap/>
            <w:vAlign w:val="center"/>
            <w:hideMark/>
          </w:tcPr>
          <w:p w14:paraId="2E849505"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$ 14.895.270</w:t>
            </w:r>
          </w:p>
        </w:tc>
        <w:tc>
          <w:tcPr>
            <w:tcW w:w="1120" w:type="dxa"/>
            <w:tcBorders>
              <w:top w:val="nil"/>
              <w:left w:val="nil"/>
              <w:bottom w:val="single" w:sz="4" w:space="0" w:color="auto"/>
              <w:right w:val="single" w:sz="4" w:space="0" w:color="auto"/>
            </w:tcBorders>
            <w:shd w:val="clear" w:color="000000" w:fill="F2F2F2"/>
            <w:noWrap/>
            <w:vAlign w:val="center"/>
            <w:hideMark/>
          </w:tcPr>
          <w:p w14:paraId="2F55A3E1"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$ 620</w:t>
            </w:r>
          </w:p>
        </w:tc>
        <w:tc>
          <w:tcPr>
            <w:tcW w:w="1260" w:type="dxa"/>
            <w:tcBorders>
              <w:top w:val="nil"/>
              <w:left w:val="nil"/>
              <w:bottom w:val="single" w:sz="4" w:space="0" w:color="auto"/>
              <w:right w:val="single" w:sz="4" w:space="0" w:color="auto"/>
            </w:tcBorders>
            <w:shd w:val="clear" w:color="000000" w:fill="F2F2F2"/>
            <w:noWrap/>
            <w:vAlign w:val="center"/>
            <w:hideMark/>
          </w:tcPr>
          <w:p w14:paraId="037CB806"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$ 14.895.890</w:t>
            </w:r>
          </w:p>
        </w:tc>
        <w:tc>
          <w:tcPr>
            <w:tcW w:w="1920" w:type="dxa"/>
            <w:tcBorders>
              <w:top w:val="nil"/>
              <w:left w:val="nil"/>
              <w:bottom w:val="single" w:sz="4" w:space="0" w:color="auto"/>
              <w:right w:val="single" w:sz="4" w:space="0" w:color="auto"/>
            </w:tcBorders>
            <w:shd w:val="clear" w:color="000000" w:fill="F2F2F2"/>
            <w:vAlign w:val="center"/>
            <w:hideMark/>
          </w:tcPr>
          <w:p w14:paraId="62AC6404"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GAS POR REDES</w:t>
            </w:r>
          </w:p>
        </w:tc>
      </w:tr>
      <w:tr w:rsidR="00D705A6" w:rsidRPr="002E0BB9" w14:paraId="6B4267EA" w14:textId="77777777" w:rsidTr="007D1249">
        <w:trPr>
          <w:trHeight w:val="2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4D6B89AE"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36</w:t>
            </w:r>
          </w:p>
        </w:tc>
        <w:tc>
          <w:tcPr>
            <w:tcW w:w="560" w:type="dxa"/>
            <w:tcBorders>
              <w:top w:val="nil"/>
              <w:left w:val="nil"/>
              <w:bottom w:val="single" w:sz="4" w:space="0" w:color="auto"/>
              <w:right w:val="single" w:sz="4" w:space="0" w:color="auto"/>
            </w:tcBorders>
            <w:shd w:val="clear" w:color="000000" w:fill="F2F2F2"/>
            <w:noWrap/>
            <w:vAlign w:val="center"/>
            <w:hideMark/>
          </w:tcPr>
          <w:p w14:paraId="318DAEFB"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2824</w:t>
            </w:r>
          </w:p>
        </w:tc>
        <w:tc>
          <w:tcPr>
            <w:tcW w:w="920" w:type="dxa"/>
            <w:tcBorders>
              <w:top w:val="nil"/>
              <w:left w:val="nil"/>
              <w:bottom w:val="single" w:sz="4" w:space="0" w:color="auto"/>
              <w:right w:val="single" w:sz="4" w:space="0" w:color="auto"/>
            </w:tcBorders>
            <w:shd w:val="clear" w:color="000000" w:fill="F2F2F2"/>
            <w:noWrap/>
            <w:vAlign w:val="center"/>
            <w:hideMark/>
          </w:tcPr>
          <w:p w14:paraId="237E93B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805016928</w:t>
            </w:r>
          </w:p>
        </w:tc>
        <w:tc>
          <w:tcPr>
            <w:tcW w:w="2180" w:type="dxa"/>
            <w:tcBorders>
              <w:top w:val="nil"/>
              <w:left w:val="nil"/>
              <w:bottom w:val="single" w:sz="4" w:space="0" w:color="auto"/>
              <w:right w:val="single" w:sz="4" w:space="0" w:color="auto"/>
            </w:tcBorders>
            <w:shd w:val="clear" w:color="000000" w:fill="F2F2F2"/>
            <w:vAlign w:val="center"/>
            <w:hideMark/>
          </w:tcPr>
          <w:p w14:paraId="49F4FC90"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ENERCO S.A. E.S.P.</w:t>
            </w:r>
          </w:p>
        </w:tc>
        <w:tc>
          <w:tcPr>
            <w:tcW w:w="1520" w:type="dxa"/>
            <w:tcBorders>
              <w:top w:val="nil"/>
              <w:left w:val="nil"/>
              <w:bottom w:val="single" w:sz="4" w:space="0" w:color="auto"/>
              <w:right w:val="single" w:sz="4" w:space="0" w:color="auto"/>
            </w:tcBorders>
            <w:shd w:val="clear" w:color="000000" w:fill="F2F2F2"/>
            <w:noWrap/>
            <w:vAlign w:val="center"/>
            <w:hideMark/>
          </w:tcPr>
          <w:p w14:paraId="568A058A"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$ 821.174.000</w:t>
            </w:r>
          </w:p>
        </w:tc>
        <w:tc>
          <w:tcPr>
            <w:tcW w:w="1440" w:type="dxa"/>
            <w:tcBorders>
              <w:top w:val="nil"/>
              <w:left w:val="nil"/>
              <w:bottom w:val="single" w:sz="4" w:space="0" w:color="auto"/>
              <w:right w:val="single" w:sz="4" w:space="0" w:color="auto"/>
            </w:tcBorders>
            <w:shd w:val="clear" w:color="000000" w:fill="F2F2F2"/>
            <w:noWrap/>
            <w:vAlign w:val="center"/>
            <w:hideMark/>
          </w:tcPr>
          <w:p w14:paraId="0803683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$ 0</w:t>
            </w:r>
          </w:p>
        </w:tc>
        <w:tc>
          <w:tcPr>
            <w:tcW w:w="1460" w:type="dxa"/>
            <w:tcBorders>
              <w:top w:val="nil"/>
              <w:left w:val="nil"/>
              <w:bottom w:val="single" w:sz="4" w:space="0" w:color="auto"/>
              <w:right w:val="single" w:sz="4" w:space="0" w:color="auto"/>
            </w:tcBorders>
            <w:shd w:val="clear" w:color="000000" w:fill="F2F2F2"/>
            <w:noWrap/>
            <w:vAlign w:val="center"/>
            <w:hideMark/>
          </w:tcPr>
          <w:p w14:paraId="05C09FE1"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$ 821.174.000</w:t>
            </w:r>
          </w:p>
        </w:tc>
        <w:tc>
          <w:tcPr>
            <w:tcW w:w="1260" w:type="dxa"/>
            <w:tcBorders>
              <w:top w:val="nil"/>
              <w:left w:val="nil"/>
              <w:bottom w:val="single" w:sz="4" w:space="0" w:color="auto"/>
              <w:right w:val="single" w:sz="4" w:space="0" w:color="auto"/>
            </w:tcBorders>
            <w:shd w:val="clear" w:color="000000" w:fill="F2F2F2"/>
            <w:noWrap/>
            <w:vAlign w:val="center"/>
            <w:hideMark/>
          </w:tcPr>
          <w:p w14:paraId="49C2352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$ 8.211.740</w:t>
            </w:r>
          </w:p>
        </w:tc>
        <w:tc>
          <w:tcPr>
            <w:tcW w:w="1120" w:type="dxa"/>
            <w:tcBorders>
              <w:top w:val="nil"/>
              <w:left w:val="nil"/>
              <w:bottom w:val="single" w:sz="4" w:space="0" w:color="auto"/>
              <w:right w:val="single" w:sz="4" w:space="0" w:color="auto"/>
            </w:tcBorders>
            <w:shd w:val="clear" w:color="000000" w:fill="F2F2F2"/>
            <w:noWrap/>
            <w:vAlign w:val="center"/>
            <w:hideMark/>
          </w:tcPr>
          <w:p w14:paraId="3A7F19A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$ 342</w:t>
            </w:r>
          </w:p>
        </w:tc>
        <w:tc>
          <w:tcPr>
            <w:tcW w:w="1260" w:type="dxa"/>
            <w:tcBorders>
              <w:top w:val="nil"/>
              <w:left w:val="nil"/>
              <w:bottom w:val="single" w:sz="4" w:space="0" w:color="auto"/>
              <w:right w:val="single" w:sz="4" w:space="0" w:color="auto"/>
            </w:tcBorders>
            <w:shd w:val="clear" w:color="000000" w:fill="F2F2F2"/>
            <w:noWrap/>
            <w:vAlign w:val="center"/>
            <w:hideMark/>
          </w:tcPr>
          <w:p w14:paraId="3906E8E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$ 8.212.082</w:t>
            </w:r>
          </w:p>
        </w:tc>
        <w:tc>
          <w:tcPr>
            <w:tcW w:w="1920" w:type="dxa"/>
            <w:tcBorders>
              <w:top w:val="nil"/>
              <w:left w:val="nil"/>
              <w:bottom w:val="single" w:sz="4" w:space="0" w:color="auto"/>
              <w:right w:val="single" w:sz="4" w:space="0" w:color="auto"/>
            </w:tcBorders>
            <w:shd w:val="clear" w:color="000000" w:fill="F2F2F2"/>
            <w:vAlign w:val="center"/>
            <w:hideMark/>
          </w:tcPr>
          <w:p w14:paraId="59213D88"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w:t>
            </w:r>
          </w:p>
        </w:tc>
      </w:tr>
      <w:tr w:rsidR="00D705A6" w:rsidRPr="002E0BB9" w14:paraId="6C62DA07" w14:textId="77777777" w:rsidTr="002E0BB9">
        <w:trPr>
          <w:trHeight w:val="687"/>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6D997038"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37</w:t>
            </w:r>
          </w:p>
        </w:tc>
        <w:tc>
          <w:tcPr>
            <w:tcW w:w="560" w:type="dxa"/>
            <w:tcBorders>
              <w:top w:val="nil"/>
              <w:left w:val="nil"/>
              <w:bottom w:val="single" w:sz="4" w:space="0" w:color="auto"/>
              <w:right w:val="single" w:sz="4" w:space="0" w:color="auto"/>
            </w:tcBorders>
            <w:shd w:val="clear" w:color="000000" w:fill="F2F2F2"/>
            <w:noWrap/>
            <w:vAlign w:val="center"/>
            <w:hideMark/>
          </w:tcPr>
          <w:p w14:paraId="32730A0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2261</w:t>
            </w:r>
          </w:p>
        </w:tc>
        <w:tc>
          <w:tcPr>
            <w:tcW w:w="920" w:type="dxa"/>
            <w:tcBorders>
              <w:top w:val="nil"/>
              <w:left w:val="nil"/>
              <w:bottom w:val="single" w:sz="4" w:space="0" w:color="auto"/>
              <w:right w:val="single" w:sz="4" w:space="0" w:color="auto"/>
            </w:tcBorders>
            <w:shd w:val="clear" w:color="000000" w:fill="F2F2F2"/>
            <w:noWrap/>
            <w:vAlign w:val="center"/>
            <w:hideMark/>
          </w:tcPr>
          <w:p w14:paraId="0255A2B7"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806005008</w:t>
            </w:r>
          </w:p>
        </w:tc>
        <w:tc>
          <w:tcPr>
            <w:tcW w:w="2180" w:type="dxa"/>
            <w:tcBorders>
              <w:top w:val="nil"/>
              <w:left w:val="nil"/>
              <w:bottom w:val="single" w:sz="4" w:space="0" w:color="auto"/>
              <w:right w:val="single" w:sz="4" w:space="0" w:color="auto"/>
            </w:tcBorders>
            <w:shd w:val="clear" w:color="000000" w:fill="F2F2F2"/>
            <w:vAlign w:val="center"/>
            <w:hideMark/>
          </w:tcPr>
          <w:p w14:paraId="2A5001FA"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TERMOCANDELARIA SOCIEDAD EN COMANDITA POR ACCIONES EMPRESA DE SERVICIOS PUBLICOS</w:t>
            </w:r>
          </w:p>
        </w:tc>
        <w:tc>
          <w:tcPr>
            <w:tcW w:w="1520" w:type="dxa"/>
            <w:tcBorders>
              <w:top w:val="nil"/>
              <w:left w:val="nil"/>
              <w:bottom w:val="single" w:sz="4" w:space="0" w:color="auto"/>
              <w:right w:val="single" w:sz="4" w:space="0" w:color="auto"/>
            </w:tcBorders>
            <w:shd w:val="clear" w:color="000000" w:fill="F2F2F2"/>
            <w:noWrap/>
            <w:vAlign w:val="center"/>
            <w:hideMark/>
          </w:tcPr>
          <w:p w14:paraId="5A688FD7"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$ 11.246.379.000</w:t>
            </w:r>
          </w:p>
        </w:tc>
        <w:tc>
          <w:tcPr>
            <w:tcW w:w="1440" w:type="dxa"/>
            <w:tcBorders>
              <w:top w:val="nil"/>
              <w:left w:val="nil"/>
              <w:bottom w:val="single" w:sz="4" w:space="0" w:color="auto"/>
              <w:right w:val="single" w:sz="4" w:space="0" w:color="auto"/>
            </w:tcBorders>
            <w:shd w:val="clear" w:color="000000" w:fill="F2F2F2"/>
            <w:noWrap/>
            <w:vAlign w:val="center"/>
            <w:hideMark/>
          </w:tcPr>
          <w:p w14:paraId="7863088A"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$ 689.829.225</w:t>
            </w:r>
          </w:p>
        </w:tc>
        <w:tc>
          <w:tcPr>
            <w:tcW w:w="1460" w:type="dxa"/>
            <w:tcBorders>
              <w:top w:val="nil"/>
              <w:left w:val="nil"/>
              <w:bottom w:val="single" w:sz="4" w:space="0" w:color="auto"/>
              <w:right w:val="single" w:sz="4" w:space="0" w:color="auto"/>
            </w:tcBorders>
            <w:shd w:val="clear" w:color="000000" w:fill="F2F2F2"/>
            <w:noWrap/>
            <w:vAlign w:val="center"/>
            <w:hideMark/>
          </w:tcPr>
          <w:p w14:paraId="0A4B8362"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$ 11.936.208.225</w:t>
            </w:r>
          </w:p>
        </w:tc>
        <w:tc>
          <w:tcPr>
            <w:tcW w:w="1260" w:type="dxa"/>
            <w:tcBorders>
              <w:top w:val="nil"/>
              <w:left w:val="nil"/>
              <w:bottom w:val="single" w:sz="4" w:space="0" w:color="auto"/>
              <w:right w:val="single" w:sz="4" w:space="0" w:color="auto"/>
            </w:tcBorders>
            <w:shd w:val="clear" w:color="000000" w:fill="F2F2F2"/>
            <w:noWrap/>
            <w:vAlign w:val="center"/>
            <w:hideMark/>
          </w:tcPr>
          <w:p w14:paraId="0DFBF3C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$ 119.362.082</w:t>
            </w:r>
          </w:p>
        </w:tc>
        <w:tc>
          <w:tcPr>
            <w:tcW w:w="1120" w:type="dxa"/>
            <w:tcBorders>
              <w:top w:val="nil"/>
              <w:left w:val="nil"/>
              <w:bottom w:val="single" w:sz="4" w:space="0" w:color="auto"/>
              <w:right w:val="single" w:sz="4" w:space="0" w:color="auto"/>
            </w:tcBorders>
            <w:shd w:val="clear" w:color="000000" w:fill="F2F2F2"/>
            <w:noWrap/>
            <w:vAlign w:val="center"/>
            <w:hideMark/>
          </w:tcPr>
          <w:p w14:paraId="15C42DCE"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$ 4.967</w:t>
            </w:r>
          </w:p>
        </w:tc>
        <w:tc>
          <w:tcPr>
            <w:tcW w:w="1260" w:type="dxa"/>
            <w:tcBorders>
              <w:top w:val="nil"/>
              <w:left w:val="nil"/>
              <w:bottom w:val="single" w:sz="4" w:space="0" w:color="auto"/>
              <w:right w:val="single" w:sz="4" w:space="0" w:color="auto"/>
            </w:tcBorders>
            <w:shd w:val="clear" w:color="000000" w:fill="F2F2F2"/>
            <w:noWrap/>
            <w:vAlign w:val="center"/>
            <w:hideMark/>
          </w:tcPr>
          <w:p w14:paraId="221DEBC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$ 119.367.050</w:t>
            </w:r>
          </w:p>
        </w:tc>
        <w:tc>
          <w:tcPr>
            <w:tcW w:w="1920" w:type="dxa"/>
            <w:tcBorders>
              <w:top w:val="nil"/>
              <w:left w:val="nil"/>
              <w:bottom w:val="single" w:sz="4" w:space="0" w:color="auto"/>
              <w:right w:val="single" w:sz="4" w:space="0" w:color="auto"/>
            </w:tcBorders>
            <w:shd w:val="clear" w:color="000000" w:fill="F2F2F2"/>
            <w:vAlign w:val="center"/>
            <w:hideMark/>
          </w:tcPr>
          <w:p w14:paraId="70EA6CF5"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 - GAS POR REDES</w:t>
            </w:r>
          </w:p>
        </w:tc>
      </w:tr>
      <w:tr w:rsidR="00D705A6" w:rsidRPr="002E0BB9" w14:paraId="120CF9CE" w14:textId="77777777" w:rsidTr="007D1249">
        <w:trPr>
          <w:trHeight w:val="2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27533575"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38</w:t>
            </w:r>
          </w:p>
        </w:tc>
        <w:tc>
          <w:tcPr>
            <w:tcW w:w="560" w:type="dxa"/>
            <w:tcBorders>
              <w:top w:val="nil"/>
              <w:left w:val="nil"/>
              <w:bottom w:val="single" w:sz="4" w:space="0" w:color="auto"/>
              <w:right w:val="single" w:sz="4" w:space="0" w:color="auto"/>
            </w:tcBorders>
            <w:shd w:val="clear" w:color="000000" w:fill="F2F2F2"/>
            <w:noWrap/>
            <w:vAlign w:val="center"/>
            <w:hideMark/>
          </w:tcPr>
          <w:p w14:paraId="3E36872C"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2081</w:t>
            </w:r>
          </w:p>
        </w:tc>
        <w:tc>
          <w:tcPr>
            <w:tcW w:w="920" w:type="dxa"/>
            <w:tcBorders>
              <w:top w:val="nil"/>
              <w:left w:val="nil"/>
              <w:bottom w:val="single" w:sz="4" w:space="0" w:color="auto"/>
              <w:right w:val="single" w:sz="4" w:space="0" w:color="auto"/>
            </w:tcBorders>
            <w:shd w:val="clear" w:color="000000" w:fill="F2F2F2"/>
            <w:noWrap/>
            <w:vAlign w:val="center"/>
            <w:hideMark/>
          </w:tcPr>
          <w:p w14:paraId="4CEC694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807001845</w:t>
            </w:r>
          </w:p>
        </w:tc>
        <w:tc>
          <w:tcPr>
            <w:tcW w:w="2180" w:type="dxa"/>
            <w:tcBorders>
              <w:top w:val="nil"/>
              <w:left w:val="nil"/>
              <w:bottom w:val="single" w:sz="4" w:space="0" w:color="auto"/>
              <w:right w:val="single" w:sz="4" w:space="0" w:color="auto"/>
            </w:tcBorders>
            <w:shd w:val="clear" w:color="000000" w:fill="F2F2F2"/>
            <w:vAlign w:val="center"/>
            <w:hideMark/>
          </w:tcPr>
          <w:p w14:paraId="248F3E15"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DISTASA S.A. E.S.P.</w:t>
            </w:r>
          </w:p>
        </w:tc>
        <w:tc>
          <w:tcPr>
            <w:tcW w:w="1520" w:type="dxa"/>
            <w:tcBorders>
              <w:top w:val="nil"/>
              <w:left w:val="nil"/>
              <w:bottom w:val="single" w:sz="4" w:space="0" w:color="auto"/>
              <w:right w:val="single" w:sz="4" w:space="0" w:color="auto"/>
            </w:tcBorders>
            <w:shd w:val="clear" w:color="000000" w:fill="F2F2F2"/>
            <w:noWrap/>
            <w:vAlign w:val="center"/>
            <w:hideMark/>
          </w:tcPr>
          <w:p w14:paraId="264D6015"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$ 3.152.374.000</w:t>
            </w:r>
          </w:p>
        </w:tc>
        <w:tc>
          <w:tcPr>
            <w:tcW w:w="1440" w:type="dxa"/>
            <w:tcBorders>
              <w:top w:val="nil"/>
              <w:left w:val="nil"/>
              <w:bottom w:val="single" w:sz="4" w:space="0" w:color="auto"/>
              <w:right w:val="single" w:sz="4" w:space="0" w:color="auto"/>
            </w:tcBorders>
            <w:shd w:val="clear" w:color="000000" w:fill="F2F2F2"/>
            <w:noWrap/>
            <w:vAlign w:val="center"/>
            <w:hideMark/>
          </w:tcPr>
          <w:p w14:paraId="016BBECE"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$ 0</w:t>
            </w:r>
          </w:p>
        </w:tc>
        <w:tc>
          <w:tcPr>
            <w:tcW w:w="1460" w:type="dxa"/>
            <w:tcBorders>
              <w:top w:val="nil"/>
              <w:left w:val="nil"/>
              <w:bottom w:val="single" w:sz="4" w:space="0" w:color="auto"/>
              <w:right w:val="single" w:sz="4" w:space="0" w:color="auto"/>
            </w:tcBorders>
            <w:shd w:val="clear" w:color="000000" w:fill="F2F2F2"/>
            <w:noWrap/>
            <w:vAlign w:val="center"/>
            <w:hideMark/>
          </w:tcPr>
          <w:p w14:paraId="1D8388A7"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$ 3.152.374.000</w:t>
            </w:r>
          </w:p>
        </w:tc>
        <w:tc>
          <w:tcPr>
            <w:tcW w:w="1260" w:type="dxa"/>
            <w:tcBorders>
              <w:top w:val="nil"/>
              <w:left w:val="nil"/>
              <w:bottom w:val="single" w:sz="4" w:space="0" w:color="auto"/>
              <w:right w:val="single" w:sz="4" w:space="0" w:color="auto"/>
            </w:tcBorders>
            <w:shd w:val="clear" w:color="000000" w:fill="F2F2F2"/>
            <w:noWrap/>
            <w:vAlign w:val="center"/>
            <w:hideMark/>
          </w:tcPr>
          <w:p w14:paraId="5A1E41C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$ 31.523.740</w:t>
            </w:r>
          </w:p>
        </w:tc>
        <w:tc>
          <w:tcPr>
            <w:tcW w:w="1120" w:type="dxa"/>
            <w:tcBorders>
              <w:top w:val="nil"/>
              <w:left w:val="nil"/>
              <w:bottom w:val="single" w:sz="4" w:space="0" w:color="auto"/>
              <w:right w:val="single" w:sz="4" w:space="0" w:color="auto"/>
            </w:tcBorders>
            <w:shd w:val="clear" w:color="000000" w:fill="F2F2F2"/>
            <w:noWrap/>
            <w:vAlign w:val="center"/>
            <w:hideMark/>
          </w:tcPr>
          <w:p w14:paraId="55CDCC0A"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$ 1.312</w:t>
            </w:r>
          </w:p>
        </w:tc>
        <w:tc>
          <w:tcPr>
            <w:tcW w:w="1260" w:type="dxa"/>
            <w:tcBorders>
              <w:top w:val="nil"/>
              <w:left w:val="nil"/>
              <w:bottom w:val="single" w:sz="4" w:space="0" w:color="auto"/>
              <w:right w:val="single" w:sz="4" w:space="0" w:color="auto"/>
            </w:tcBorders>
            <w:shd w:val="clear" w:color="000000" w:fill="F2F2F2"/>
            <w:noWrap/>
            <w:vAlign w:val="center"/>
            <w:hideMark/>
          </w:tcPr>
          <w:p w14:paraId="531976E5"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$ 31.525.052</w:t>
            </w:r>
          </w:p>
        </w:tc>
        <w:tc>
          <w:tcPr>
            <w:tcW w:w="1920" w:type="dxa"/>
            <w:tcBorders>
              <w:top w:val="nil"/>
              <w:left w:val="nil"/>
              <w:bottom w:val="single" w:sz="4" w:space="0" w:color="auto"/>
              <w:right w:val="single" w:sz="4" w:space="0" w:color="auto"/>
            </w:tcBorders>
            <w:shd w:val="clear" w:color="000000" w:fill="F2F2F2"/>
            <w:vAlign w:val="center"/>
            <w:hideMark/>
          </w:tcPr>
          <w:p w14:paraId="12F3122D"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w:t>
            </w:r>
          </w:p>
        </w:tc>
      </w:tr>
      <w:tr w:rsidR="00D705A6" w:rsidRPr="002E0BB9" w14:paraId="69E85599" w14:textId="77777777" w:rsidTr="002E0BB9">
        <w:trPr>
          <w:trHeight w:val="6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16D802D2"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39</w:t>
            </w:r>
          </w:p>
        </w:tc>
        <w:tc>
          <w:tcPr>
            <w:tcW w:w="560" w:type="dxa"/>
            <w:tcBorders>
              <w:top w:val="nil"/>
              <w:left w:val="nil"/>
              <w:bottom w:val="single" w:sz="4" w:space="0" w:color="auto"/>
              <w:right w:val="single" w:sz="4" w:space="0" w:color="auto"/>
            </w:tcBorders>
            <w:shd w:val="clear" w:color="000000" w:fill="F2F2F2"/>
            <w:noWrap/>
            <w:vAlign w:val="center"/>
            <w:hideMark/>
          </w:tcPr>
          <w:p w14:paraId="77F0E17E"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22388</w:t>
            </w:r>
          </w:p>
        </w:tc>
        <w:tc>
          <w:tcPr>
            <w:tcW w:w="920" w:type="dxa"/>
            <w:tcBorders>
              <w:top w:val="nil"/>
              <w:left w:val="nil"/>
              <w:bottom w:val="single" w:sz="4" w:space="0" w:color="auto"/>
              <w:right w:val="single" w:sz="4" w:space="0" w:color="auto"/>
            </w:tcBorders>
            <w:shd w:val="clear" w:color="000000" w:fill="F2F2F2"/>
            <w:noWrap/>
            <w:vAlign w:val="center"/>
            <w:hideMark/>
          </w:tcPr>
          <w:p w14:paraId="6F07893E"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809010690</w:t>
            </w:r>
          </w:p>
        </w:tc>
        <w:tc>
          <w:tcPr>
            <w:tcW w:w="2180" w:type="dxa"/>
            <w:tcBorders>
              <w:top w:val="nil"/>
              <w:left w:val="nil"/>
              <w:bottom w:val="single" w:sz="4" w:space="0" w:color="auto"/>
              <w:right w:val="single" w:sz="4" w:space="0" w:color="auto"/>
            </w:tcBorders>
            <w:shd w:val="clear" w:color="000000" w:fill="F2F2F2"/>
            <w:vAlign w:val="center"/>
            <w:hideMark/>
          </w:tcPr>
          <w:p w14:paraId="0F291413"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EMPRESA INTEGRAL DE SERVICIOS OP&amp;S CONSTRUCCIONES SA ESP</w:t>
            </w:r>
          </w:p>
        </w:tc>
        <w:tc>
          <w:tcPr>
            <w:tcW w:w="1520" w:type="dxa"/>
            <w:tcBorders>
              <w:top w:val="nil"/>
              <w:left w:val="nil"/>
              <w:bottom w:val="single" w:sz="4" w:space="0" w:color="auto"/>
              <w:right w:val="single" w:sz="4" w:space="0" w:color="auto"/>
            </w:tcBorders>
            <w:shd w:val="clear" w:color="000000" w:fill="F2F2F2"/>
            <w:noWrap/>
            <w:vAlign w:val="center"/>
            <w:hideMark/>
          </w:tcPr>
          <w:p w14:paraId="35F3DCD1"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$ 2.060.600.000</w:t>
            </w:r>
          </w:p>
        </w:tc>
        <w:tc>
          <w:tcPr>
            <w:tcW w:w="1440" w:type="dxa"/>
            <w:tcBorders>
              <w:top w:val="nil"/>
              <w:left w:val="nil"/>
              <w:bottom w:val="single" w:sz="4" w:space="0" w:color="auto"/>
              <w:right w:val="single" w:sz="4" w:space="0" w:color="auto"/>
            </w:tcBorders>
            <w:shd w:val="clear" w:color="000000" w:fill="F2F2F2"/>
            <w:noWrap/>
            <w:vAlign w:val="center"/>
            <w:hideMark/>
          </w:tcPr>
          <w:p w14:paraId="676B1571"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$ 237.116.829</w:t>
            </w:r>
          </w:p>
        </w:tc>
        <w:tc>
          <w:tcPr>
            <w:tcW w:w="1460" w:type="dxa"/>
            <w:tcBorders>
              <w:top w:val="nil"/>
              <w:left w:val="nil"/>
              <w:bottom w:val="single" w:sz="4" w:space="0" w:color="auto"/>
              <w:right w:val="single" w:sz="4" w:space="0" w:color="auto"/>
            </w:tcBorders>
            <w:shd w:val="clear" w:color="000000" w:fill="F2F2F2"/>
            <w:noWrap/>
            <w:vAlign w:val="center"/>
            <w:hideMark/>
          </w:tcPr>
          <w:p w14:paraId="12226FE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$ 2.297.716.829</w:t>
            </w:r>
          </w:p>
        </w:tc>
        <w:tc>
          <w:tcPr>
            <w:tcW w:w="1260" w:type="dxa"/>
            <w:tcBorders>
              <w:top w:val="nil"/>
              <w:left w:val="nil"/>
              <w:bottom w:val="single" w:sz="4" w:space="0" w:color="auto"/>
              <w:right w:val="single" w:sz="4" w:space="0" w:color="auto"/>
            </w:tcBorders>
            <w:shd w:val="clear" w:color="000000" w:fill="F2F2F2"/>
            <w:noWrap/>
            <w:vAlign w:val="center"/>
            <w:hideMark/>
          </w:tcPr>
          <w:p w14:paraId="4E2B1727"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$ 22.977.168</w:t>
            </w:r>
          </w:p>
        </w:tc>
        <w:tc>
          <w:tcPr>
            <w:tcW w:w="1120" w:type="dxa"/>
            <w:tcBorders>
              <w:top w:val="nil"/>
              <w:left w:val="nil"/>
              <w:bottom w:val="single" w:sz="4" w:space="0" w:color="auto"/>
              <w:right w:val="single" w:sz="4" w:space="0" w:color="auto"/>
            </w:tcBorders>
            <w:shd w:val="clear" w:color="000000" w:fill="F2F2F2"/>
            <w:noWrap/>
            <w:vAlign w:val="center"/>
            <w:hideMark/>
          </w:tcPr>
          <w:p w14:paraId="66241C2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$ 956</w:t>
            </w:r>
          </w:p>
        </w:tc>
        <w:tc>
          <w:tcPr>
            <w:tcW w:w="1260" w:type="dxa"/>
            <w:tcBorders>
              <w:top w:val="nil"/>
              <w:left w:val="nil"/>
              <w:bottom w:val="single" w:sz="4" w:space="0" w:color="auto"/>
              <w:right w:val="single" w:sz="4" w:space="0" w:color="auto"/>
            </w:tcBorders>
            <w:shd w:val="clear" w:color="000000" w:fill="F2F2F2"/>
            <w:noWrap/>
            <w:vAlign w:val="center"/>
            <w:hideMark/>
          </w:tcPr>
          <w:p w14:paraId="12587D47"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$ 22.978.125</w:t>
            </w:r>
          </w:p>
        </w:tc>
        <w:tc>
          <w:tcPr>
            <w:tcW w:w="1920" w:type="dxa"/>
            <w:tcBorders>
              <w:top w:val="nil"/>
              <w:left w:val="nil"/>
              <w:bottom w:val="single" w:sz="4" w:space="0" w:color="auto"/>
              <w:right w:val="single" w:sz="4" w:space="0" w:color="auto"/>
            </w:tcBorders>
            <w:shd w:val="clear" w:color="000000" w:fill="F2F2F2"/>
            <w:vAlign w:val="center"/>
            <w:hideMark/>
          </w:tcPr>
          <w:p w14:paraId="67CACB5B"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GAS POR REDES</w:t>
            </w:r>
          </w:p>
        </w:tc>
      </w:tr>
      <w:tr w:rsidR="00D705A6" w:rsidRPr="002E0BB9" w14:paraId="473C8B8E" w14:textId="77777777" w:rsidTr="007D1249">
        <w:trPr>
          <w:trHeight w:val="4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1128ABDF"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40</w:t>
            </w:r>
          </w:p>
        </w:tc>
        <w:tc>
          <w:tcPr>
            <w:tcW w:w="560" w:type="dxa"/>
            <w:tcBorders>
              <w:top w:val="nil"/>
              <w:left w:val="nil"/>
              <w:bottom w:val="single" w:sz="4" w:space="0" w:color="auto"/>
              <w:right w:val="single" w:sz="4" w:space="0" w:color="auto"/>
            </w:tcBorders>
            <w:shd w:val="clear" w:color="000000" w:fill="F2F2F2"/>
            <w:noWrap/>
            <w:vAlign w:val="center"/>
            <w:hideMark/>
          </w:tcPr>
          <w:p w14:paraId="605642F5"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480</w:t>
            </w:r>
          </w:p>
        </w:tc>
        <w:tc>
          <w:tcPr>
            <w:tcW w:w="920" w:type="dxa"/>
            <w:tcBorders>
              <w:top w:val="nil"/>
              <w:left w:val="nil"/>
              <w:bottom w:val="single" w:sz="4" w:space="0" w:color="auto"/>
              <w:right w:val="single" w:sz="4" w:space="0" w:color="auto"/>
            </w:tcBorders>
            <w:shd w:val="clear" w:color="000000" w:fill="F2F2F2"/>
            <w:noWrap/>
            <w:vAlign w:val="center"/>
            <w:hideMark/>
          </w:tcPr>
          <w:p w14:paraId="68538CA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811000740</w:t>
            </w:r>
          </w:p>
        </w:tc>
        <w:tc>
          <w:tcPr>
            <w:tcW w:w="2180" w:type="dxa"/>
            <w:tcBorders>
              <w:top w:val="nil"/>
              <w:left w:val="nil"/>
              <w:bottom w:val="single" w:sz="4" w:space="0" w:color="auto"/>
              <w:right w:val="single" w:sz="4" w:space="0" w:color="auto"/>
            </w:tcBorders>
            <w:shd w:val="clear" w:color="000000" w:fill="F2F2F2"/>
            <w:vAlign w:val="center"/>
            <w:hideMark/>
          </w:tcPr>
          <w:p w14:paraId="68474F09" w14:textId="77777777" w:rsidR="00D705A6" w:rsidRPr="002E0BB9" w:rsidRDefault="00D705A6" w:rsidP="00D22441">
            <w:pPr>
              <w:jc w:val="left"/>
              <w:rPr>
                <w:rFonts w:ascii="Arial Narrow" w:hAnsi="Arial Narrow" w:cs="Arial"/>
                <w:spacing w:val="0"/>
                <w:sz w:val="16"/>
                <w:szCs w:val="16"/>
                <w:lang w:val="en-GB" w:eastAsia="es-MX"/>
              </w:rPr>
            </w:pPr>
            <w:r w:rsidRPr="002E0BB9">
              <w:rPr>
                <w:rFonts w:ascii="Arial Narrow" w:hAnsi="Arial Narrow" w:cs="Arial"/>
                <w:spacing w:val="0"/>
                <w:sz w:val="16"/>
                <w:szCs w:val="16"/>
                <w:lang w:val="en-GB" w:eastAsia="es-MX"/>
              </w:rPr>
              <w:t>ISAGEN S.A. E.S.P.</w:t>
            </w:r>
          </w:p>
        </w:tc>
        <w:tc>
          <w:tcPr>
            <w:tcW w:w="1520" w:type="dxa"/>
            <w:tcBorders>
              <w:top w:val="nil"/>
              <w:left w:val="nil"/>
              <w:bottom w:val="single" w:sz="4" w:space="0" w:color="auto"/>
              <w:right w:val="single" w:sz="4" w:space="0" w:color="auto"/>
            </w:tcBorders>
            <w:shd w:val="clear" w:color="000000" w:fill="F2F2F2"/>
            <w:noWrap/>
            <w:vAlign w:val="center"/>
            <w:hideMark/>
          </w:tcPr>
          <w:p w14:paraId="12AFF5D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$ 127.332.571.000</w:t>
            </w:r>
          </w:p>
        </w:tc>
        <w:tc>
          <w:tcPr>
            <w:tcW w:w="1440" w:type="dxa"/>
            <w:tcBorders>
              <w:top w:val="nil"/>
              <w:left w:val="nil"/>
              <w:bottom w:val="single" w:sz="4" w:space="0" w:color="auto"/>
              <w:right w:val="single" w:sz="4" w:space="0" w:color="auto"/>
            </w:tcBorders>
            <w:shd w:val="clear" w:color="000000" w:fill="F2F2F2"/>
            <w:noWrap/>
            <w:vAlign w:val="center"/>
            <w:hideMark/>
          </w:tcPr>
          <w:p w14:paraId="037736B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$ 6.349.519.609</w:t>
            </w:r>
          </w:p>
        </w:tc>
        <w:tc>
          <w:tcPr>
            <w:tcW w:w="1460" w:type="dxa"/>
            <w:tcBorders>
              <w:top w:val="nil"/>
              <w:left w:val="nil"/>
              <w:bottom w:val="single" w:sz="4" w:space="0" w:color="auto"/>
              <w:right w:val="single" w:sz="4" w:space="0" w:color="auto"/>
            </w:tcBorders>
            <w:shd w:val="clear" w:color="000000" w:fill="F2F2F2"/>
            <w:noWrap/>
            <w:vAlign w:val="center"/>
            <w:hideMark/>
          </w:tcPr>
          <w:p w14:paraId="0F79C1E7"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$ 133.682.090.609</w:t>
            </w:r>
          </w:p>
        </w:tc>
        <w:tc>
          <w:tcPr>
            <w:tcW w:w="1260" w:type="dxa"/>
            <w:tcBorders>
              <w:top w:val="nil"/>
              <w:left w:val="nil"/>
              <w:bottom w:val="single" w:sz="4" w:space="0" w:color="auto"/>
              <w:right w:val="single" w:sz="4" w:space="0" w:color="auto"/>
            </w:tcBorders>
            <w:shd w:val="clear" w:color="000000" w:fill="F2F2F2"/>
            <w:noWrap/>
            <w:vAlign w:val="center"/>
            <w:hideMark/>
          </w:tcPr>
          <w:p w14:paraId="4D1064BA"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$ 1.336.820.906</w:t>
            </w:r>
          </w:p>
        </w:tc>
        <w:tc>
          <w:tcPr>
            <w:tcW w:w="1120" w:type="dxa"/>
            <w:tcBorders>
              <w:top w:val="nil"/>
              <w:left w:val="nil"/>
              <w:bottom w:val="single" w:sz="4" w:space="0" w:color="auto"/>
              <w:right w:val="single" w:sz="4" w:space="0" w:color="auto"/>
            </w:tcBorders>
            <w:shd w:val="clear" w:color="000000" w:fill="F2F2F2"/>
            <w:noWrap/>
            <w:vAlign w:val="center"/>
            <w:hideMark/>
          </w:tcPr>
          <w:p w14:paraId="08F51B0D"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$ 55.634</w:t>
            </w:r>
          </w:p>
        </w:tc>
        <w:tc>
          <w:tcPr>
            <w:tcW w:w="1260" w:type="dxa"/>
            <w:tcBorders>
              <w:top w:val="nil"/>
              <w:left w:val="nil"/>
              <w:bottom w:val="single" w:sz="4" w:space="0" w:color="auto"/>
              <w:right w:val="single" w:sz="4" w:space="0" w:color="auto"/>
            </w:tcBorders>
            <w:shd w:val="clear" w:color="000000" w:fill="F2F2F2"/>
            <w:noWrap/>
            <w:vAlign w:val="center"/>
            <w:hideMark/>
          </w:tcPr>
          <w:p w14:paraId="3E1B6F4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$ 1.336.876.540</w:t>
            </w:r>
          </w:p>
        </w:tc>
        <w:tc>
          <w:tcPr>
            <w:tcW w:w="1920" w:type="dxa"/>
            <w:tcBorders>
              <w:top w:val="nil"/>
              <w:left w:val="nil"/>
              <w:bottom w:val="single" w:sz="4" w:space="0" w:color="auto"/>
              <w:right w:val="single" w:sz="4" w:space="0" w:color="auto"/>
            </w:tcBorders>
            <w:shd w:val="clear" w:color="000000" w:fill="F2F2F2"/>
            <w:vAlign w:val="center"/>
            <w:hideMark/>
          </w:tcPr>
          <w:p w14:paraId="3D88E16B"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 - GAS POR REDES</w:t>
            </w:r>
          </w:p>
        </w:tc>
      </w:tr>
      <w:tr w:rsidR="00D705A6" w:rsidRPr="002E0BB9" w14:paraId="6C63B80C" w14:textId="77777777" w:rsidTr="002E0BB9">
        <w:trPr>
          <w:trHeight w:val="431"/>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78C29D93"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lastRenderedPageBreak/>
              <w:t>41</w:t>
            </w:r>
          </w:p>
        </w:tc>
        <w:tc>
          <w:tcPr>
            <w:tcW w:w="560" w:type="dxa"/>
            <w:tcBorders>
              <w:top w:val="nil"/>
              <w:left w:val="nil"/>
              <w:bottom w:val="single" w:sz="4" w:space="0" w:color="auto"/>
              <w:right w:val="single" w:sz="4" w:space="0" w:color="auto"/>
            </w:tcBorders>
            <w:shd w:val="clear" w:color="000000" w:fill="F2F2F2"/>
            <w:noWrap/>
            <w:vAlign w:val="center"/>
            <w:hideMark/>
          </w:tcPr>
          <w:p w14:paraId="5D240C2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1078</w:t>
            </w:r>
          </w:p>
        </w:tc>
        <w:tc>
          <w:tcPr>
            <w:tcW w:w="920" w:type="dxa"/>
            <w:tcBorders>
              <w:top w:val="nil"/>
              <w:left w:val="nil"/>
              <w:bottom w:val="single" w:sz="4" w:space="0" w:color="auto"/>
              <w:right w:val="single" w:sz="4" w:space="0" w:color="auto"/>
            </w:tcBorders>
            <w:shd w:val="clear" w:color="000000" w:fill="F2F2F2"/>
            <w:noWrap/>
            <w:vAlign w:val="center"/>
            <w:hideMark/>
          </w:tcPr>
          <w:p w14:paraId="4AF4439C"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811003083</w:t>
            </w:r>
          </w:p>
        </w:tc>
        <w:tc>
          <w:tcPr>
            <w:tcW w:w="2180" w:type="dxa"/>
            <w:tcBorders>
              <w:top w:val="nil"/>
              <w:left w:val="nil"/>
              <w:bottom w:val="single" w:sz="4" w:space="0" w:color="auto"/>
              <w:right w:val="single" w:sz="4" w:space="0" w:color="auto"/>
            </w:tcBorders>
            <w:shd w:val="clear" w:color="000000" w:fill="F2F2F2"/>
            <w:vAlign w:val="center"/>
            <w:hideMark/>
          </w:tcPr>
          <w:p w14:paraId="17D29E07"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GENERADORA COLOMBIANA DE ELECTRICIDAD SA ESP</w:t>
            </w:r>
          </w:p>
        </w:tc>
        <w:tc>
          <w:tcPr>
            <w:tcW w:w="1520" w:type="dxa"/>
            <w:tcBorders>
              <w:top w:val="nil"/>
              <w:left w:val="nil"/>
              <w:bottom w:val="single" w:sz="4" w:space="0" w:color="auto"/>
              <w:right w:val="single" w:sz="4" w:space="0" w:color="auto"/>
            </w:tcBorders>
            <w:shd w:val="clear" w:color="000000" w:fill="F2F2F2"/>
            <w:noWrap/>
            <w:vAlign w:val="center"/>
            <w:hideMark/>
          </w:tcPr>
          <w:p w14:paraId="06052AAB"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$ 78.828.000</w:t>
            </w:r>
          </w:p>
        </w:tc>
        <w:tc>
          <w:tcPr>
            <w:tcW w:w="1440" w:type="dxa"/>
            <w:tcBorders>
              <w:top w:val="nil"/>
              <w:left w:val="nil"/>
              <w:bottom w:val="single" w:sz="4" w:space="0" w:color="auto"/>
              <w:right w:val="single" w:sz="4" w:space="0" w:color="auto"/>
            </w:tcBorders>
            <w:shd w:val="clear" w:color="000000" w:fill="F2F2F2"/>
            <w:noWrap/>
            <w:vAlign w:val="center"/>
            <w:hideMark/>
          </w:tcPr>
          <w:p w14:paraId="0F42977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$ 62.519</w:t>
            </w:r>
          </w:p>
        </w:tc>
        <w:tc>
          <w:tcPr>
            <w:tcW w:w="1460" w:type="dxa"/>
            <w:tcBorders>
              <w:top w:val="nil"/>
              <w:left w:val="nil"/>
              <w:bottom w:val="single" w:sz="4" w:space="0" w:color="auto"/>
              <w:right w:val="single" w:sz="4" w:space="0" w:color="auto"/>
            </w:tcBorders>
            <w:shd w:val="clear" w:color="000000" w:fill="F2F2F2"/>
            <w:noWrap/>
            <w:vAlign w:val="center"/>
            <w:hideMark/>
          </w:tcPr>
          <w:p w14:paraId="08B9BD06"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$ 78.890.519</w:t>
            </w:r>
          </w:p>
        </w:tc>
        <w:tc>
          <w:tcPr>
            <w:tcW w:w="1260" w:type="dxa"/>
            <w:tcBorders>
              <w:top w:val="nil"/>
              <w:left w:val="nil"/>
              <w:bottom w:val="single" w:sz="4" w:space="0" w:color="auto"/>
              <w:right w:val="single" w:sz="4" w:space="0" w:color="auto"/>
            </w:tcBorders>
            <w:shd w:val="clear" w:color="000000" w:fill="F2F2F2"/>
            <w:noWrap/>
            <w:vAlign w:val="center"/>
            <w:hideMark/>
          </w:tcPr>
          <w:p w14:paraId="58954E45"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$ 788.905</w:t>
            </w:r>
          </w:p>
        </w:tc>
        <w:tc>
          <w:tcPr>
            <w:tcW w:w="1120" w:type="dxa"/>
            <w:tcBorders>
              <w:top w:val="nil"/>
              <w:left w:val="nil"/>
              <w:bottom w:val="single" w:sz="4" w:space="0" w:color="auto"/>
              <w:right w:val="single" w:sz="4" w:space="0" w:color="auto"/>
            </w:tcBorders>
            <w:shd w:val="clear" w:color="000000" w:fill="F2F2F2"/>
            <w:noWrap/>
            <w:vAlign w:val="center"/>
            <w:hideMark/>
          </w:tcPr>
          <w:p w14:paraId="72E884A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$ 33</w:t>
            </w:r>
          </w:p>
        </w:tc>
        <w:tc>
          <w:tcPr>
            <w:tcW w:w="1260" w:type="dxa"/>
            <w:tcBorders>
              <w:top w:val="nil"/>
              <w:left w:val="nil"/>
              <w:bottom w:val="single" w:sz="4" w:space="0" w:color="auto"/>
              <w:right w:val="single" w:sz="4" w:space="0" w:color="auto"/>
            </w:tcBorders>
            <w:shd w:val="clear" w:color="000000" w:fill="F2F2F2"/>
            <w:noWrap/>
            <w:vAlign w:val="center"/>
            <w:hideMark/>
          </w:tcPr>
          <w:p w14:paraId="5D3607D5"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$ 788.938</w:t>
            </w:r>
          </w:p>
        </w:tc>
        <w:tc>
          <w:tcPr>
            <w:tcW w:w="1920" w:type="dxa"/>
            <w:tcBorders>
              <w:top w:val="nil"/>
              <w:left w:val="nil"/>
              <w:bottom w:val="single" w:sz="4" w:space="0" w:color="auto"/>
              <w:right w:val="single" w:sz="4" w:space="0" w:color="auto"/>
            </w:tcBorders>
            <w:shd w:val="clear" w:color="000000" w:fill="F2F2F2"/>
            <w:vAlign w:val="center"/>
            <w:hideMark/>
          </w:tcPr>
          <w:p w14:paraId="7CD7584F"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w:t>
            </w:r>
          </w:p>
        </w:tc>
      </w:tr>
      <w:tr w:rsidR="00D705A6" w:rsidRPr="002E0BB9" w14:paraId="0CC28A2F" w14:textId="77777777" w:rsidTr="007D1249">
        <w:trPr>
          <w:trHeight w:val="4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48988D2F"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42</w:t>
            </w:r>
          </w:p>
        </w:tc>
        <w:tc>
          <w:tcPr>
            <w:tcW w:w="560" w:type="dxa"/>
            <w:tcBorders>
              <w:top w:val="nil"/>
              <w:left w:val="nil"/>
              <w:bottom w:val="single" w:sz="4" w:space="0" w:color="auto"/>
              <w:right w:val="single" w:sz="4" w:space="0" w:color="auto"/>
            </w:tcBorders>
            <w:shd w:val="clear" w:color="000000" w:fill="F2F2F2"/>
            <w:noWrap/>
            <w:vAlign w:val="center"/>
            <w:hideMark/>
          </w:tcPr>
          <w:p w14:paraId="1F6D226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22190</w:t>
            </w:r>
          </w:p>
        </w:tc>
        <w:tc>
          <w:tcPr>
            <w:tcW w:w="920" w:type="dxa"/>
            <w:tcBorders>
              <w:top w:val="nil"/>
              <w:left w:val="nil"/>
              <w:bottom w:val="single" w:sz="4" w:space="0" w:color="auto"/>
              <w:right w:val="single" w:sz="4" w:space="0" w:color="auto"/>
            </w:tcBorders>
            <w:shd w:val="clear" w:color="000000" w:fill="F2F2F2"/>
            <w:noWrap/>
            <w:vAlign w:val="center"/>
            <w:hideMark/>
          </w:tcPr>
          <w:p w14:paraId="38CDE3EC"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811031656</w:t>
            </w:r>
          </w:p>
        </w:tc>
        <w:tc>
          <w:tcPr>
            <w:tcW w:w="2180" w:type="dxa"/>
            <w:tcBorders>
              <w:top w:val="nil"/>
              <w:left w:val="nil"/>
              <w:bottom w:val="single" w:sz="4" w:space="0" w:color="auto"/>
              <w:right w:val="single" w:sz="4" w:space="0" w:color="auto"/>
            </w:tcBorders>
            <w:shd w:val="clear" w:color="000000" w:fill="F2F2F2"/>
            <w:vAlign w:val="center"/>
            <w:hideMark/>
          </w:tcPr>
          <w:p w14:paraId="4DAD9D0A"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DEL RIO PIEDRAS S.A. E.S.P.</w:t>
            </w:r>
          </w:p>
        </w:tc>
        <w:tc>
          <w:tcPr>
            <w:tcW w:w="1520" w:type="dxa"/>
            <w:tcBorders>
              <w:top w:val="nil"/>
              <w:left w:val="nil"/>
              <w:bottom w:val="single" w:sz="4" w:space="0" w:color="auto"/>
              <w:right w:val="single" w:sz="4" w:space="0" w:color="auto"/>
            </w:tcBorders>
            <w:shd w:val="clear" w:color="000000" w:fill="F2F2F2"/>
            <w:noWrap/>
            <w:vAlign w:val="center"/>
            <w:hideMark/>
          </w:tcPr>
          <w:p w14:paraId="186E6D57"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$ 121.021.000</w:t>
            </w:r>
          </w:p>
        </w:tc>
        <w:tc>
          <w:tcPr>
            <w:tcW w:w="1440" w:type="dxa"/>
            <w:tcBorders>
              <w:top w:val="nil"/>
              <w:left w:val="nil"/>
              <w:bottom w:val="single" w:sz="4" w:space="0" w:color="auto"/>
              <w:right w:val="single" w:sz="4" w:space="0" w:color="auto"/>
            </w:tcBorders>
            <w:shd w:val="clear" w:color="000000" w:fill="F2F2F2"/>
            <w:noWrap/>
            <w:vAlign w:val="center"/>
            <w:hideMark/>
          </w:tcPr>
          <w:p w14:paraId="5F655AE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$ 78.600.512</w:t>
            </w:r>
          </w:p>
        </w:tc>
        <w:tc>
          <w:tcPr>
            <w:tcW w:w="1460" w:type="dxa"/>
            <w:tcBorders>
              <w:top w:val="nil"/>
              <w:left w:val="nil"/>
              <w:bottom w:val="single" w:sz="4" w:space="0" w:color="auto"/>
              <w:right w:val="single" w:sz="4" w:space="0" w:color="auto"/>
            </w:tcBorders>
            <w:shd w:val="clear" w:color="000000" w:fill="F2F2F2"/>
            <w:noWrap/>
            <w:vAlign w:val="center"/>
            <w:hideMark/>
          </w:tcPr>
          <w:p w14:paraId="4E5C2D06"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$ 199.621.512</w:t>
            </w:r>
          </w:p>
        </w:tc>
        <w:tc>
          <w:tcPr>
            <w:tcW w:w="1260" w:type="dxa"/>
            <w:tcBorders>
              <w:top w:val="nil"/>
              <w:left w:val="nil"/>
              <w:bottom w:val="single" w:sz="4" w:space="0" w:color="auto"/>
              <w:right w:val="single" w:sz="4" w:space="0" w:color="auto"/>
            </w:tcBorders>
            <w:shd w:val="clear" w:color="000000" w:fill="F2F2F2"/>
            <w:noWrap/>
            <w:vAlign w:val="center"/>
            <w:hideMark/>
          </w:tcPr>
          <w:p w14:paraId="41381D5D"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$ 1.996.215</w:t>
            </w:r>
          </w:p>
        </w:tc>
        <w:tc>
          <w:tcPr>
            <w:tcW w:w="1120" w:type="dxa"/>
            <w:tcBorders>
              <w:top w:val="nil"/>
              <w:left w:val="nil"/>
              <w:bottom w:val="single" w:sz="4" w:space="0" w:color="auto"/>
              <w:right w:val="single" w:sz="4" w:space="0" w:color="auto"/>
            </w:tcBorders>
            <w:shd w:val="clear" w:color="000000" w:fill="F2F2F2"/>
            <w:noWrap/>
            <w:vAlign w:val="center"/>
            <w:hideMark/>
          </w:tcPr>
          <w:p w14:paraId="20CB5EFD"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$ 83</w:t>
            </w:r>
          </w:p>
        </w:tc>
        <w:tc>
          <w:tcPr>
            <w:tcW w:w="1260" w:type="dxa"/>
            <w:tcBorders>
              <w:top w:val="nil"/>
              <w:left w:val="nil"/>
              <w:bottom w:val="single" w:sz="4" w:space="0" w:color="auto"/>
              <w:right w:val="single" w:sz="4" w:space="0" w:color="auto"/>
            </w:tcBorders>
            <w:shd w:val="clear" w:color="000000" w:fill="F2F2F2"/>
            <w:noWrap/>
            <w:vAlign w:val="center"/>
            <w:hideMark/>
          </w:tcPr>
          <w:p w14:paraId="3507E076"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$ 1.996.298</w:t>
            </w:r>
          </w:p>
        </w:tc>
        <w:tc>
          <w:tcPr>
            <w:tcW w:w="1920" w:type="dxa"/>
            <w:tcBorders>
              <w:top w:val="nil"/>
              <w:left w:val="nil"/>
              <w:bottom w:val="single" w:sz="4" w:space="0" w:color="auto"/>
              <w:right w:val="single" w:sz="4" w:space="0" w:color="auto"/>
            </w:tcBorders>
            <w:shd w:val="clear" w:color="000000" w:fill="F2F2F2"/>
            <w:vAlign w:val="center"/>
            <w:hideMark/>
          </w:tcPr>
          <w:p w14:paraId="0A3ACC76"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w:t>
            </w:r>
          </w:p>
        </w:tc>
      </w:tr>
      <w:tr w:rsidR="00D705A6" w:rsidRPr="002E0BB9" w14:paraId="660A1253" w14:textId="77777777" w:rsidTr="007D1249">
        <w:trPr>
          <w:trHeight w:val="4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1E3BF336"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43</w:t>
            </w:r>
          </w:p>
        </w:tc>
        <w:tc>
          <w:tcPr>
            <w:tcW w:w="560" w:type="dxa"/>
            <w:tcBorders>
              <w:top w:val="nil"/>
              <w:left w:val="nil"/>
              <w:bottom w:val="single" w:sz="4" w:space="0" w:color="auto"/>
              <w:right w:val="single" w:sz="4" w:space="0" w:color="auto"/>
            </w:tcBorders>
            <w:shd w:val="clear" w:color="000000" w:fill="F2F2F2"/>
            <w:noWrap/>
            <w:vAlign w:val="center"/>
            <w:hideMark/>
          </w:tcPr>
          <w:p w14:paraId="7CEE12B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1598</w:t>
            </w:r>
          </w:p>
        </w:tc>
        <w:tc>
          <w:tcPr>
            <w:tcW w:w="920" w:type="dxa"/>
            <w:tcBorders>
              <w:top w:val="nil"/>
              <w:left w:val="nil"/>
              <w:bottom w:val="single" w:sz="4" w:space="0" w:color="auto"/>
              <w:right w:val="single" w:sz="4" w:space="0" w:color="auto"/>
            </w:tcBorders>
            <w:shd w:val="clear" w:color="000000" w:fill="F2F2F2"/>
            <w:noWrap/>
            <w:vAlign w:val="center"/>
            <w:hideMark/>
          </w:tcPr>
          <w:p w14:paraId="544FF35B"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813002696</w:t>
            </w:r>
          </w:p>
        </w:tc>
        <w:tc>
          <w:tcPr>
            <w:tcW w:w="2180" w:type="dxa"/>
            <w:tcBorders>
              <w:top w:val="nil"/>
              <w:left w:val="nil"/>
              <w:bottom w:val="single" w:sz="4" w:space="0" w:color="auto"/>
              <w:right w:val="single" w:sz="4" w:space="0" w:color="auto"/>
            </w:tcBorders>
            <w:shd w:val="clear" w:color="000000" w:fill="F2F2F2"/>
            <w:vAlign w:val="center"/>
            <w:hideMark/>
          </w:tcPr>
          <w:p w14:paraId="1A37C8FF"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GAS NEIVA S.A. E.</w:t>
            </w:r>
            <w:proofErr w:type="gramStart"/>
            <w:r w:rsidRPr="002E0BB9">
              <w:rPr>
                <w:rFonts w:ascii="Arial Narrow" w:hAnsi="Arial Narrow" w:cs="Arial"/>
                <w:spacing w:val="0"/>
                <w:sz w:val="16"/>
                <w:szCs w:val="16"/>
                <w:lang w:val="es-MX" w:eastAsia="es-MX"/>
              </w:rPr>
              <w:t>S.P</w:t>
            </w:r>
            <w:proofErr w:type="gramEnd"/>
          </w:p>
        </w:tc>
        <w:tc>
          <w:tcPr>
            <w:tcW w:w="1520" w:type="dxa"/>
            <w:tcBorders>
              <w:top w:val="nil"/>
              <w:left w:val="nil"/>
              <w:bottom w:val="single" w:sz="4" w:space="0" w:color="auto"/>
              <w:right w:val="single" w:sz="4" w:space="0" w:color="auto"/>
            </w:tcBorders>
            <w:shd w:val="clear" w:color="000000" w:fill="F2F2F2"/>
            <w:noWrap/>
            <w:vAlign w:val="center"/>
            <w:hideMark/>
          </w:tcPr>
          <w:p w14:paraId="6926976E"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$ 1.544.846.000</w:t>
            </w:r>
          </w:p>
        </w:tc>
        <w:tc>
          <w:tcPr>
            <w:tcW w:w="1440" w:type="dxa"/>
            <w:tcBorders>
              <w:top w:val="nil"/>
              <w:left w:val="nil"/>
              <w:bottom w:val="single" w:sz="4" w:space="0" w:color="auto"/>
              <w:right w:val="single" w:sz="4" w:space="0" w:color="auto"/>
            </w:tcBorders>
            <w:shd w:val="clear" w:color="000000" w:fill="F2F2F2"/>
            <w:noWrap/>
            <w:vAlign w:val="center"/>
            <w:hideMark/>
          </w:tcPr>
          <w:p w14:paraId="088C4B07"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$ 150.804.867</w:t>
            </w:r>
          </w:p>
        </w:tc>
        <w:tc>
          <w:tcPr>
            <w:tcW w:w="1460" w:type="dxa"/>
            <w:tcBorders>
              <w:top w:val="nil"/>
              <w:left w:val="nil"/>
              <w:bottom w:val="single" w:sz="4" w:space="0" w:color="auto"/>
              <w:right w:val="single" w:sz="4" w:space="0" w:color="auto"/>
            </w:tcBorders>
            <w:shd w:val="clear" w:color="000000" w:fill="F2F2F2"/>
            <w:noWrap/>
            <w:vAlign w:val="center"/>
            <w:hideMark/>
          </w:tcPr>
          <w:p w14:paraId="09270CE2"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$ 1.695.650.867</w:t>
            </w:r>
          </w:p>
        </w:tc>
        <w:tc>
          <w:tcPr>
            <w:tcW w:w="1260" w:type="dxa"/>
            <w:tcBorders>
              <w:top w:val="nil"/>
              <w:left w:val="nil"/>
              <w:bottom w:val="single" w:sz="4" w:space="0" w:color="auto"/>
              <w:right w:val="single" w:sz="4" w:space="0" w:color="auto"/>
            </w:tcBorders>
            <w:shd w:val="clear" w:color="000000" w:fill="F2F2F2"/>
            <w:noWrap/>
            <w:vAlign w:val="center"/>
            <w:hideMark/>
          </w:tcPr>
          <w:p w14:paraId="3A25FC9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$ 16.956.509</w:t>
            </w:r>
          </w:p>
        </w:tc>
        <w:tc>
          <w:tcPr>
            <w:tcW w:w="1120" w:type="dxa"/>
            <w:tcBorders>
              <w:top w:val="nil"/>
              <w:left w:val="nil"/>
              <w:bottom w:val="single" w:sz="4" w:space="0" w:color="auto"/>
              <w:right w:val="single" w:sz="4" w:space="0" w:color="auto"/>
            </w:tcBorders>
            <w:shd w:val="clear" w:color="000000" w:fill="F2F2F2"/>
            <w:noWrap/>
            <w:vAlign w:val="center"/>
            <w:hideMark/>
          </w:tcPr>
          <w:p w14:paraId="5E56FE92"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$ 706</w:t>
            </w:r>
          </w:p>
        </w:tc>
        <w:tc>
          <w:tcPr>
            <w:tcW w:w="1260" w:type="dxa"/>
            <w:tcBorders>
              <w:top w:val="nil"/>
              <w:left w:val="nil"/>
              <w:bottom w:val="single" w:sz="4" w:space="0" w:color="auto"/>
              <w:right w:val="single" w:sz="4" w:space="0" w:color="auto"/>
            </w:tcBorders>
            <w:shd w:val="clear" w:color="000000" w:fill="F2F2F2"/>
            <w:noWrap/>
            <w:vAlign w:val="center"/>
            <w:hideMark/>
          </w:tcPr>
          <w:p w14:paraId="4A711436"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$ 16.957.214</w:t>
            </w:r>
          </w:p>
        </w:tc>
        <w:tc>
          <w:tcPr>
            <w:tcW w:w="1920" w:type="dxa"/>
            <w:tcBorders>
              <w:top w:val="nil"/>
              <w:left w:val="nil"/>
              <w:bottom w:val="single" w:sz="4" w:space="0" w:color="auto"/>
              <w:right w:val="single" w:sz="4" w:space="0" w:color="auto"/>
            </w:tcBorders>
            <w:shd w:val="clear" w:color="000000" w:fill="F2F2F2"/>
            <w:vAlign w:val="center"/>
            <w:hideMark/>
          </w:tcPr>
          <w:p w14:paraId="6F21280B"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GAS LICUADO DEL PETROLEO</w:t>
            </w:r>
          </w:p>
        </w:tc>
      </w:tr>
      <w:tr w:rsidR="00D705A6" w:rsidRPr="002E0BB9" w14:paraId="62CF61C7" w14:textId="77777777" w:rsidTr="007D1249">
        <w:trPr>
          <w:trHeight w:val="6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2B6DDC63"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44</w:t>
            </w:r>
          </w:p>
        </w:tc>
        <w:tc>
          <w:tcPr>
            <w:tcW w:w="560" w:type="dxa"/>
            <w:tcBorders>
              <w:top w:val="nil"/>
              <w:left w:val="nil"/>
              <w:bottom w:val="single" w:sz="4" w:space="0" w:color="auto"/>
              <w:right w:val="single" w:sz="4" w:space="0" w:color="auto"/>
            </w:tcBorders>
            <w:shd w:val="clear" w:color="000000" w:fill="F2F2F2"/>
            <w:noWrap/>
            <w:vAlign w:val="center"/>
            <w:hideMark/>
          </w:tcPr>
          <w:p w14:paraId="30AC7A76"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3372</w:t>
            </w:r>
          </w:p>
        </w:tc>
        <w:tc>
          <w:tcPr>
            <w:tcW w:w="920" w:type="dxa"/>
            <w:tcBorders>
              <w:top w:val="nil"/>
              <w:left w:val="nil"/>
              <w:bottom w:val="single" w:sz="4" w:space="0" w:color="auto"/>
              <w:right w:val="single" w:sz="4" w:space="0" w:color="auto"/>
            </w:tcBorders>
            <w:shd w:val="clear" w:color="000000" w:fill="F2F2F2"/>
            <w:noWrap/>
            <w:vAlign w:val="center"/>
            <w:hideMark/>
          </w:tcPr>
          <w:p w14:paraId="63E2D90E"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814002979</w:t>
            </w:r>
          </w:p>
        </w:tc>
        <w:tc>
          <w:tcPr>
            <w:tcW w:w="2180" w:type="dxa"/>
            <w:tcBorders>
              <w:top w:val="nil"/>
              <w:left w:val="nil"/>
              <w:bottom w:val="single" w:sz="4" w:space="0" w:color="auto"/>
              <w:right w:val="single" w:sz="4" w:space="0" w:color="auto"/>
            </w:tcBorders>
            <w:shd w:val="clear" w:color="000000" w:fill="F2F2F2"/>
            <w:vAlign w:val="center"/>
            <w:hideMark/>
          </w:tcPr>
          <w:p w14:paraId="10ADE646"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A.S.C INGENIERIA SOCIEDAD ANONIMA SA ESP.</w:t>
            </w:r>
          </w:p>
        </w:tc>
        <w:tc>
          <w:tcPr>
            <w:tcW w:w="1520" w:type="dxa"/>
            <w:tcBorders>
              <w:top w:val="nil"/>
              <w:left w:val="nil"/>
              <w:bottom w:val="single" w:sz="4" w:space="0" w:color="auto"/>
              <w:right w:val="single" w:sz="4" w:space="0" w:color="auto"/>
            </w:tcBorders>
            <w:shd w:val="clear" w:color="000000" w:fill="F2F2F2"/>
            <w:noWrap/>
            <w:vAlign w:val="center"/>
            <w:hideMark/>
          </w:tcPr>
          <w:p w14:paraId="7A67CC6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$ 343.413.000</w:t>
            </w:r>
          </w:p>
        </w:tc>
        <w:tc>
          <w:tcPr>
            <w:tcW w:w="1440" w:type="dxa"/>
            <w:tcBorders>
              <w:top w:val="nil"/>
              <w:left w:val="nil"/>
              <w:bottom w:val="single" w:sz="4" w:space="0" w:color="auto"/>
              <w:right w:val="single" w:sz="4" w:space="0" w:color="auto"/>
            </w:tcBorders>
            <w:shd w:val="clear" w:color="000000" w:fill="F2F2F2"/>
            <w:noWrap/>
            <w:vAlign w:val="center"/>
            <w:hideMark/>
          </w:tcPr>
          <w:p w14:paraId="7B1904AC"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$ 0</w:t>
            </w:r>
          </w:p>
        </w:tc>
        <w:tc>
          <w:tcPr>
            <w:tcW w:w="1460" w:type="dxa"/>
            <w:tcBorders>
              <w:top w:val="nil"/>
              <w:left w:val="nil"/>
              <w:bottom w:val="single" w:sz="4" w:space="0" w:color="auto"/>
              <w:right w:val="single" w:sz="4" w:space="0" w:color="auto"/>
            </w:tcBorders>
            <w:shd w:val="clear" w:color="000000" w:fill="F2F2F2"/>
            <w:noWrap/>
            <w:vAlign w:val="center"/>
            <w:hideMark/>
          </w:tcPr>
          <w:p w14:paraId="09D52D81"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$ 343.413.000</w:t>
            </w:r>
          </w:p>
        </w:tc>
        <w:tc>
          <w:tcPr>
            <w:tcW w:w="1260" w:type="dxa"/>
            <w:tcBorders>
              <w:top w:val="nil"/>
              <w:left w:val="nil"/>
              <w:bottom w:val="single" w:sz="4" w:space="0" w:color="auto"/>
              <w:right w:val="single" w:sz="4" w:space="0" w:color="auto"/>
            </w:tcBorders>
            <w:shd w:val="clear" w:color="000000" w:fill="F2F2F2"/>
            <w:noWrap/>
            <w:vAlign w:val="center"/>
            <w:hideMark/>
          </w:tcPr>
          <w:p w14:paraId="523F5A72"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$ 3.434.130</w:t>
            </w:r>
          </w:p>
        </w:tc>
        <w:tc>
          <w:tcPr>
            <w:tcW w:w="1120" w:type="dxa"/>
            <w:tcBorders>
              <w:top w:val="nil"/>
              <w:left w:val="nil"/>
              <w:bottom w:val="single" w:sz="4" w:space="0" w:color="auto"/>
              <w:right w:val="single" w:sz="4" w:space="0" w:color="auto"/>
            </w:tcBorders>
            <w:shd w:val="clear" w:color="000000" w:fill="F2F2F2"/>
            <w:noWrap/>
            <w:vAlign w:val="center"/>
            <w:hideMark/>
          </w:tcPr>
          <w:p w14:paraId="637DA42C"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$ 143</w:t>
            </w:r>
          </w:p>
        </w:tc>
        <w:tc>
          <w:tcPr>
            <w:tcW w:w="1260" w:type="dxa"/>
            <w:tcBorders>
              <w:top w:val="nil"/>
              <w:left w:val="nil"/>
              <w:bottom w:val="single" w:sz="4" w:space="0" w:color="auto"/>
              <w:right w:val="single" w:sz="4" w:space="0" w:color="auto"/>
            </w:tcBorders>
            <w:shd w:val="clear" w:color="000000" w:fill="F2F2F2"/>
            <w:noWrap/>
            <w:vAlign w:val="center"/>
            <w:hideMark/>
          </w:tcPr>
          <w:p w14:paraId="6610273D"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$ 3.434.273</w:t>
            </w:r>
          </w:p>
        </w:tc>
        <w:tc>
          <w:tcPr>
            <w:tcW w:w="1920" w:type="dxa"/>
            <w:tcBorders>
              <w:top w:val="nil"/>
              <w:left w:val="nil"/>
              <w:bottom w:val="single" w:sz="4" w:space="0" w:color="auto"/>
              <w:right w:val="single" w:sz="4" w:space="0" w:color="auto"/>
            </w:tcBorders>
            <w:shd w:val="clear" w:color="000000" w:fill="F2F2F2"/>
            <w:vAlign w:val="center"/>
            <w:hideMark/>
          </w:tcPr>
          <w:p w14:paraId="14BE47A6"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w:t>
            </w:r>
          </w:p>
        </w:tc>
      </w:tr>
      <w:tr w:rsidR="00D705A6" w:rsidRPr="002E0BB9" w14:paraId="2E983ED5" w14:textId="77777777" w:rsidTr="007D1249">
        <w:trPr>
          <w:trHeight w:val="4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48E6EB28"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45</w:t>
            </w:r>
          </w:p>
        </w:tc>
        <w:tc>
          <w:tcPr>
            <w:tcW w:w="560" w:type="dxa"/>
            <w:tcBorders>
              <w:top w:val="nil"/>
              <w:left w:val="nil"/>
              <w:bottom w:val="single" w:sz="4" w:space="0" w:color="auto"/>
              <w:right w:val="single" w:sz="4" w:space="0" w:color="auto"/>
            </w:tcBorders>
            <w:shd w:val="clear" w:color="000000" w:fill="F2F2F2"/>
            <w:noWrap/>
            <w:vAlign w:val="center"/>
            <w:hideMark/>
          </w:tcPr>
          <w:p w14:paraId="5DD82B8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2676</w:t>
            </w:r>
          </w:p>
        </w:tc>
        <w:tc>
          <w:tcPr>
            <w:tcW w:w="920" w:type="dxa"/>
            <w:tcBorders>
              <w:top w:val="nil"/>
              <w:left w:val="nil"/>
              <w:bottom w:val="single" w:sz="4" w:space="0" w:color="auto"/>
              <w:right w:val="single" w:sz="4" w:space="0" w:color="auto"/>
            </w:tcBorders>
            <w:shd w:val="clear" w:color="000000" w:fill="F2F2F2"/>
            <w:noWrap/>
            <w:vAlign w:val="center"/>
            <w:hideMark/>
          </w:tcPr>
          <w:p w14:paraId="490ADD9E"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814003050</w:t>
            </w:r>
          </w:p>
        </w:tc>
        <w:tc>
          <w:tcPr>
            <w:tcW w:w="2180" w:type="dxa"/>
            <w:tcBorders>
              <w:top w:val="nil"/>
              <w:left w:val="nil"/>
              <w:bottom w:val="single" w:sz="4" w:space="0" w:color="auto"/>
              <w:right w:val="single" w:sz="4" w:space="0" w:color="auto"/>
            </w:tcBorders>
            <w:shd w:val="clear" w:color="000000" w:fill="F2F2F2"/>
            <w:vAlign w:val="center"/>
            <w:hideMark/>
          </w:tcPr>
          <w:p w14:paraId="40E4CEBD"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SUPERGAS DE NARIÑO S.A. E.S.P.</w:t>
            </w:r>
          </w:p>
        </w:tc>
        <w:tc>
          <w:tcPr>
            <w:tcW w:w="1520" w:type="dxa"/>
            <w:tcBorders>
              <w:top w:val="nil"/>
              <w:left w:val="nil"/>
              <w:bottom w:val="single" w:sz="4" w:space="0" w:color="auto"/>
              <w:right w:val="single" w:sz="4" w:space="0" w:color="auto"/>
            </w:tcBorders>
            <w:shd w:val="clear" w:color="000000" w:fill="F2F2F2"/>
            <w:noWrap/>
            <w:vAlign w:val="center"/>
            <w:hideMark/>
          </w:tcPr>
          <w:p w14:paraId="24DC086C"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$ 3.110.727.670</w:t>
            </w:r>
          </w:p>
        </w:tc>
        <w:tc>
          <w:tcPr>
            <w:tcW w:w="1440" w:type="dxa"/>
            <w:tcBorders>
              <w:top w:val="nil"/>
              <w:left w:val="nil"/>
              <w:bottom w:val="single" w:sz="4" w:space="0" w:color="auto"/>
              <w:right w:val="single" w:sz="4" w:space="0" w:color="auto"/>
            </w:tcBorders>
            <w:shd w:val="clear" w:color="000000" w:fill="F2F2F2"/>
            <w:noWrap/>
            <w:vAlign w:val="center"/>
            <w:hideMark/>
          </w:tcPr>
          <w:p w14:paraId="283BCFF5"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$ 99.468.564</w:t>
            </w:r>
          </w:p>
        </w:tc>
        <w:tc>
          <w:tcPr>
            <w:tcW w:w="1460" w:type="dxa"/>
            <w:tcBorders>
              <w:top w:val="nil"/>
              <w:left w:val="nil"/>
              <w:bottom w:val="single" w:sz="4" w:space="0" w:color="auto"/>
              <w:right w:val="single" w:sz="4" w:space="0" w:color="auto"/>
            </w:tcBorders>
            <w:shd w:val="clear" w:color="000000" w:fill="F2F2F2"/>
            <w:noWrap/>
            <w:vAlign w:val="center"/>
            <w:hideMark/>
          </w:tcPr>
          <w:p w14:paraId="19A5B0BD"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$ 3.210.196.234</w:t>
            </w:r>
          </w:p>
        </w:tc>
        <w:tc>
          <w:tcPr>
            <w:tcW w:w="1260" w:type="dxa"/>
            <w:tcBorders>
              <w:top w:val="nil"/>
              <w:left w:val="nil"/>
              <w:bottom w:val="single" w:sz="4" w:space="0" w:color="auto"/>
              <w:right w:val="single" w:sz="4" w:space="0" w:color="auto"/>
            </w:tcBorders>
            <w:shd w:val="clear" w:color="000000" w:fill="F2F2F2"/>
            <w:noWrap/>
            <w:vAlign w:val="center"/>
            <w:hideMark/>
          </w:tcPr>
          <w:p w14:paraId="047A081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$ 32.101.962</w:t>
            </w:r>
          </w:p>
        </w:tc>
        <w:tc>
          <w:tcPr>
            <w:tcW w:w="1120" w:type="dxa"/>
            <w:tcBorders>
              <w:top w:val="nil"/>
              <w:left w:val="nil"/>
              <w:bottom w:val="single" w:sz="4" w:space="0" w:color="auto"/>
              <w:right w:val="single" w:sz="4" w:space="0" w:color="auto"/>
            </w:tcBorders>
            <w:shd w:val="clear" w:color="000000" w:fill="F2F2F2"/>
            <w:noWrap/>
            <w:vAlign w:val="center"/>
            <w:hideMark/>
          </w:tcPr>
          <w:p w14:paraId="58964F5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$ 1.336</w:t>
            </w:r>
          </w:p>
        </w:tc>
        <w:tc>
          <w:tcPr>
            <w:tcW w:w="1260" w:type="dxa"/>
            <w:tcBorders>
              <w:top w:val="nil"/>
              <w:left w:val="nil"/>
              <w:bottom w:val="single" w:sz="4" w:space="0" w:color="auto"/>
              <w:right w:val="single" w:sz="4" w:space="0" w:color="auto"/>
            </w:tcBorders>
            <w:shd w:val="clear" w:color="000000" w:fill="F2F2F2"/>
            <w:noWrap/>
            <w:vAlign w:val="center"/>
            <w:hideMark/>
          </w:tcPr>
          <w:p w14:paraId="196EEB1E"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$ 32.103.298</w:t>
            </w:r>
          </w:p>
        </w:tc>
        <w:tc>
          <w:tcPr>
            <w:tcW w:w="1920" w:type="dxa"/>
            <w:tcBorders>
              <w:top w:val="nil"/>
              <w:left w:val="nil"/>
              <w:bottom w:val="single" w:sz="4" w:space="0" w:color="auto"/>
              <w:right w:val="single" w:sz="4" w:space="0" w:color="auto"/>
            </w:tcBorders>
            <w:shd w:val="clear" w:color="000000" w:fill="F2F2F2"/>
            <w:vAlign w:val="center"/>
            <w:hideMark/>
          </w:tcPr>
          <w:p w14:paraId="4F3E92F2"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GAS LICUADO DEL PETROLEO</w:t>
            </w:r>
          </w:p>
        </w:tc>
      </w:tr>
      <w:tr w:rsidR="00D705A6" w:rsidRPr="002E0BB9" w14:paraId="560F95FA" w14:textId="77777777" w:rsidTr="007D1249">
        <w:trPr>
          <w:trHeight w:val="8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21AF40F4"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46</w:t>
            </w:r>
          </w:p>
        </w:tc>
        <w:tc>
          <w:tcPr>
            <w:tcW w:w="560" w:type="dxa"/>
            <w:tcBorders>
              <w:top w:val="nil"/>
              <w:left w:val="nil"/>
              <w:bottom w:val="single" w:sz="4" w:space="0" w:color="auto"/>
              <w:right w:val="single" w:sz="4" w:space="0" w:color="auto"/>
            </w:tcBorders>
            <w:shd w:val="clear" w:color="000000" w:fill="F2F2F2"/>
            <w:noWrap/>
            <w:vAlign w:val="center"/>
            <w:hideMark/>
          </w:tcPr>
          <w:p w14:paraId="5B5BA6BB"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2020</w:t>
            </w:r>
          </w:p>
        </w:tc>
        <w:tc>
          <w:tcPr>
            <w:tcW w:w="920" w:type="dxa"/>
            <w:tcBorders>
              <w:top w:val="nil"/>
              <w:left w:val="nil"/>
              <w:bottom w:val="single" w:sz="4" w:space="0" w:color="auto"/>
              <w:right w:val="single" w:sz="4" w:space="0" w:color="auto"/>
            </w:tcBorders>
            <w:shd w:val="clear" w:color="000000" w:fill="F2F2F2"/>
            <w:noWrap/>
            <w:vAlign w:val="center"/>
            <w:hideMark/>
          </w:tcPr>
          <w:p w14:paraId="661848D2"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815000896</w:t>
            </w:r>
          </w:p>
        </w:tc>
        <w:tc>
          <w:tcPr>
            <w:tcW w:w="2180" w:type="dxa"/>
            <w:tcBorders>
              <w:top w:val="nil"/>
              <w:left w:val="nil"/>
              <w:bottom w:val="single" w:sz="4" w:space="0" w:color="auto"/>
              <w:right w:val="single" w:sz="4" w:space="0" w:color="auto"/>
            </w:tcBorders>
            <w:shd w:val="clear" w:color="000000" w:fill="F2F2F2"/>
            <w:vAlign w:val="center"/>
            <w:hideMark/>
          </w:tcPr>
          <w:p w14:paraId="4CAE87EA"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DISTRIBUIDORA Y COMERCIALIZADORA DE ENERGIA ELECTRICA S.A. E.S.P.</w:t>
            </w:r>
          </w:p>
        </w:tc>
        <w:tc>
          <w:tcPr>
            <w:tcW w:w="1520" w:type="dxa"/>
            <w:tcBorders>
              <w:top w:val="nil"/>
              <w:left w:val="nil"/>
              <w:bottom w:val="single" w:sz="4" w:space="0" w:color="auto"/>
              <w:right w:val="single" w:sz="4" w:space="0" w:color="auto"/>
            </w:tcBorders>
            <w:shd w:val="clear" w:color="000000" w:fill="F2F2F2"/>
            <w:noWrap/>
            <w:vAlign w:val="center"/>
            <w:hideMark/>
          </w:tcPr>
          <w:p w14:paraId="5EA0FDDD"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$ 3.585.901.000</w:t>
            </w:r>
          </w:p>
        </w:tc>
        <w:tc>
          <w:tcPr>
            <w:tcW w:w="1440" w:type="dxa"/>
            <w:tcBorders>
              <w:top w:val="nil"/>
              <w:left w:val="nil"/>
              <w:bottom w:val="single" w:sz="4" w:space="0" w:color="auto"/>
              <w:right w:val="single" w:sz="4" w:space="0" w:color="auto"/>
            </w:tcBorders>
            <w:shd w:val="clear" w:color="000000" w:fill="F2F2F2"/>
            <w:noWrap/>
            <w:vAlign w:val="center"/>
            <w:hideMark/>
          </w:tcPr>
          <w:p w14:paraId="6137E9AA"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$ 1.045.313.015</w:t>
            </w:r>
          </w:p>
        </w:tc>
        <w:tc>
          <w:tcPr>
            <w:tcW w:w="1460" w:type="dxa"/>
            <w:tcBorders>
              <w:top w:val="nil"/>
              <w:left w:val="nil"/>
              <w:bottom w:val="single" w:sz="4" w:space="0" w:color="auto"/>
              <w:right w:val="single" w:sz="4" w:space="0" w:color="auto"/>
            </w:tcBorders>
            <w:shd w:val="clear" w:color="000000" w:fill="F2F2F2"/>
            <w:noWrap/>
            <w:vAlign w:val="center"/>
            <w:hideMark/>
          </w:tcPr>
          <w:p w14:paraId="390C0B8E"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$ 4.631.214.015</w:t>
            </w:r>
          </w:p>
        </w:tc>
        <w:tc>
          <w:tcPr>
            <w:tcW w:w="1260" w:type="dxa"/>
            <w:tcBorders>
              <w:top w:val="nil"/>
              <w:left w:val="nil"/>
              <w:bottom w:val="single" w:sz="4" w:space="0" w:color="auto"/>
              <w:right w:val="single" w:sz="4" w:space="0" w:color="auto"/>
            </w:tcBorders>
            <w:shd w:val="clear" w:color="000000" w:fill="F2F2F2"/>
            <w:noWrap/>
            <w:vAlign w:val="center"/>
            <w:hideMark/>
          </w:tcPr>
          <w:p w14:paraId="1E24168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$ 46.312.140</w:t>
            </w:r>
          </w:p>
        </w:tc>
        <w:tc>
          <w:tcPr>
            <w:tcW w:w="1120" w:type="dxa"/>
            <w:tcBorders>
              <w:top w:val="nil"/>
              <w:left w:val="nil"/>
              <w:bottom w:val="single" w:sz="4" w:space="0" w:color="auto"/>
              <w:right w:val="single" w:sz="4" w:space="0" w:color="auto"/>
            </w:tcBorders>
            <w:shd w:val="clear" w:color="000000" w:fill="F2F2F2"/>
            <w:noWrap/>
            <w:vAlign w:val="center"/>
            <w:hideMark/>
          </w:tcPr>
          <w:p w14:paraId="69815857"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$ 1.927</w:t>
            </w:r>
          </w:p>
        </w:tc>
        <w:tc>
          <w:tcPr>
            <w:tcW w:w="1260" w:type="dxa"/>
            <w:tcBorders>
              <w:top w:val="nil"/>
              <w:left w:val="nil"/>
              <w:bottom w:val="single" w:sz="4" w:space="0" w:color="auto"/>
              <w:right w:val="single" w:sz="4" w:space="0" w:color="auto"/>
            </w:tcBorders>
            <w:shd w:val="clear" w:color="000000" w:fill="F2F2F2"/>
            <w:noWrap/>
            <w:vAlign w:val="center"/>
            <w:hideMark/>
          </w:tcPr>
          <w:p w14:paraId="2226E1E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$ 46.314.068</w:t>
            </w:r>
          </w:p>
        </w:tc>
        <w:tc>
          <w:tcPr>
            <w:tcW w:w="1920" w:type="dxa"/>
            <w:tcBorders>
              <w:top w:val="nil"/>
              <w:left w:val="nil"/>
              <w:bottom w:val="single" w:sz="4" w:space="0" w:color="auto"/>
              <w:right w:val="single" w:sz="4" w:space="0" w:color="auto"/>
            </w:tcBorders>
            <w:shd w:val="clear" w:color="000000" w:fill="F2F2F2"/>
            <w:vAlign w:val="center"/>
            <w:hideMark/>
          </w:tcPr>
          <w:p w14:paraId="48B4AAF7"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w:t>
            </w:r>
          </w:p>
        </w:tc>
      </w:tr>
      <w:tr w:rsidR="00D705A6" w:rsidRPr="002E0BB9" w14:paraId="2712DA52" w14:textId="77777777" w:rsidTr="007D1249">
        <w:trPr>
          <w:trHeight w:val="2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2EF98644"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47</w:t>
            </w:r>
          </w:p>
        </w:tc>
        <w:tc>
          <w:tcPr>
            <w:tcW w:w="560" w:type="dxa"/>
            <w:tcBorders>
              <w:top w:val="nil"/>
              <w:left w:val="nil"/>
              <w:bottom w:val="single" w:sz="4" w:space="0" w:color="auto"/>
              <w:right w:val="single" w:sz="4" w:space="0" w:color="auto"/>
            </w:tcBorders>
            <w:shd w:val="clear" w:color="000000" w:fill="F2F2F2"/>
            <w:noWrap/>
            <w:vAlign w:val="center"/>
            <w:hideMark/>
          </w:tcPr>
          <w:p w14:paraId="35A0AE81"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2378</w:t>
            </w:r>
          </w:p>
        </w:tc>
        <w:tc>
          <w:tcPr>
            <w:tcW w:w="920" w:type="dxa"/>
            <w:tcBorders>
              <w:top w:val="nil"/>
              <w:left w:val="nil"/>
              <w:bottom w:val="single" w:sz="4" w:space="0" w:color="auto"/>
              <w:right w:val="single" w:sz="4" w:space="0" w:color="auto"/>
            </w:tcBorders>
            <w:shd w:val="clear" w:color="000000" w:fill="F2F2F2"/>
            <w:noWrap/>
            <w:vAlign w:val="center"/>
            <w:hideMark/>
          </w:tcPr>
          <w:p w14:paraId="70534F7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815001901</w:t>
            </w:r>
          </w:p>
        </w:tc>
        <w:tc>
          <w:tcPr>
            <w:tcW w:w="2180" w:type="dxa"/>
            <w:tcBorders>
              <w:top w:val="nil"/>
              <w:left w:val="nil"/>
              <w:bottom w:val="single" w:sz="4" w:space="0" w:color="auto"/>
              <w:right w:val="single" w:sz="4" w:space="0" w:color="auto"/>
            </w:tcBorders>
            <w:shd w:val="clear" w:color="000000" w:fill="F2F2F2"/>
            <w:vAlign w:val="center"/>
            <w:hideMark/>
          </w:tcPr>
          <w:p w14:paraId="471DA3A9"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DICELER S.A E.S.P.</w:t>
            </w:r>
          </w:p>
        </w:tc>
        <w:tc>
          <w:tcPr>
            <w:tcW w:w="1520" w:type="dxa"/>
            <w:tcBorders>
              <w:top w:val="nil"/>
              <w:left w:val="nil"/>
              <w:bottom w:val="single" w:sz="4" w:space="0" w:color="auto"/>
              <w:right w:val="single" w:sz="4" w:space="0" w:color="auto"/>
            </w:tcBorders>
            <w:shd w:val="clear" w:color="000000" w:fill="F2F2F2"/>
            <w:noWrap/>
            <w:vAlign w:val="center"/>
            <w:hideMark/>
          </w:tcPr>
          <w:p w14:paraId="571C733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$ 473.325.000</w:t>
            </w:r>
          </w:p>
        </w:tc>
        <w:tc>
          <w:tcPr>
            <w:tcW w:w="1440" w:type="dxa"/>
            <w:tcBorders>
              <w:top w:val="nil"/>
              <w:left w:val="nil"/>
              <w:bottom w:val="single" w:sz="4" w:space="0" w:color="auto"/>
              <w:right w:val="single" w:sz="4" w:space="0" w:color="auto"/>
            </w:tcBorders>
            <w:shd w:val="clear" w:color="000000" w:fill="F2F2F2"/>
            <w:noWrap/>
            <w:vAlign w:val="center"/>
            <w:hideMark/>
          </w:tcPr>
          <w:p w14:paraId="797D099A"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$ 10.775.256</w:t>
            </w:r>
          </w:p>
        </w:tc>
        <w:tc>
          <w:tcPr>
            <w:tcW w:w="1460" w:type="dxa"/>
            <w:tcBorders>
              <w:top w:val="nil"/>
              <w:left w:val="nil"/>
              <w:bottom w:val="single" w:sz="4" w:space="0" w:color="auto"/>
              <w:right w:val="single" w:sz="4" w:space="0" w:color="auto"/>
            </w:tcBorders>
            <w:shd w:val="clear" w:color="000000" w:fill="F2F2F2"/>
            <w:noWrap/>
            <w:vAlign w:val="center"/>
            <w:hideMark/>
          </w:tcPr>
          <w:p w14:paraId="4CE6461E"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$ 484.100.256</w:t>
            </w:r>
          </w:p>
        </w:tc>
        <w:tc>
          <w:tcPr>
            <w:tcW w:w="1260" w:type="dxa"/>
            <w:tcBorders>
              <w:top w:val="nil"/>
              <w:left w:val="nil"/>
              <w:bottom w:val="single" w:sz="4" w:space="0" w:color="auto"/>
              <w:right w:val="single" w:sz="4" w:space="0" w:color="auto"/>
            </w:tcBorders>
            <w:shd w:val="clear" w:color="000000" w:fill="F2F2F2"/>
            <w:noWrap/>
            <w:vAlign w:val="center"/>
            <w:hideMark/>
          </w:tcPr>
          <w:p w14:paraId="391CB967"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$ 4.841.003</w:t>
            </w:r>
          </w:p>
        </w:tc>
        <w:tc>
          <w:tcPr>
            <w:tcW w:w="1120" w:type="dxa"/>
            <w:tcBorders>
              <w:top w:val="nil"/>
              <w:left w:val="nil"/>
              <w:bottom w:val="single" w:sz="4" w:space="0" w:color="auto"/>
              <w:right w:val="single" w:sz="4" w:space="0" w:color="auto"/>
            </w:tcBorders>
            <w:shd w:val="clear" w:color="000000" w:fill="F2F2F2"/>
            <w:noWrap/>
            <w:vAlign w:val="center"/>
            <w:hideMark/>
          </w:tcPr>
          <w:p w14:paraId="1E01695B"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$ 201</w:t>
            </w:r>
          </w:p>
        </w:tc>
        <w:tc>
          <w:tcPr>
            <w:tcW w:w="1260" w:type="dxa"/>
            <w:tcBorders>
              <w:top w:val="nil"/>
              <w:left w:val="nil"/>
              <w:bottom w:val="single" w:sz="4" w:space="0" w:color="auto"/>
              <w:right w:val="single" w:sz="4" w:space="0" w:color="auto"/>
            </w:tcBorders>
            <w:shd w:val="clear" w:color="000000" w:fill="F2F2F2"/>
            <w:noWrap/>
            <w:vAlign w:val="center"/>
            <w:hideMark/>
          </w:tcPr>
          <w:p w14:paraId="37337FBB"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$ 4.841.204</w:t>
            </w:r>
          </w:p>
        </w:tc>
        <w:tc>
          <w:tcPr>
            <w:tcW w:w="1920" w:type="dxa"/>
            <w:tcBorders>
              <w:top w:val="nil"/>
              <w:left w:val="nil"/>
              <w:bottom w:val="single" w:sz="4" w:space="0" w:color="auto"/>
              <w:right w:val="single" w:sz="4" w:space="0" w:color="auto"/>
            </w:tcBorders>
            <w:shd w:val="clear" w:color="000000" w:fill="F2F2F2"/>
            <w:vAlign w:val="center"/>
            <w:hideMark/>
          </w:tcPr>
          <w:p w14:paraId="4DB80133"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w:t>
            </w:r>
          </w:p>
        </w:tc>
      </w:tr>
      <w:tr w:rsidR="00D705A6" w:rsidRPr="002E0BB9" w14:paraId="2B801416" w14:textId="77777777" w:rsidTr="007D1249">
        <w:trPr>
          <w:trHeight w:val="4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194E38A2"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48</w:t>
            </w:r>
          </w:p>
        </w:tc>
        <w:tc>
          <w:tcPr>
            <w:tcW w:w="560" w:type="dxa"/>
            <w:tcBorders>
              <w:top w:val="nil"/>
              <w:left w:val="nil"/>
              <w:bottom w:val="single" w:sz="4" w:space="0" w:color="auto"/>
              <w:right w:val="single" w:sz="4" w:space="0" w:color="auto"/>
            </w:tcBorders>
            <w:shd w:val="clear" w:color="000000" w:fill="F2F2F2"/>
            <w:noWrap/>
            <w:vAlign w:val="center"/>
            <w:hideMark/>
          </w:tcPr>
          <w:p w14:paraId="68DF6535"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2073</w:t>
            </w:r>
          </w:p>
        </w:tc>
        <w:tc>
          <w:tcPr>
            <w:tcW w:w="920" w:type="dxa"/>
            <w:tcBorders>
              <w:top w:val="nil"/>
              <w:left w:val="nil"/>
              <w:bottom w:val="single" w:sz="4" w:space="0" w:color="auto"/>
              <w:right w:val="single" w:sz="4" w:space="0" w:color="auto"/>
            </w:tcBorders>
            <w:shd w:val="clear" w:color="000000" w:fill="F2F2F2"/>
            <w:noWrap/>
            <w:vAlign w:val="center"/>
            <w:hideMark/>
          </w:tcPr>
          <w:p w14:paraId="5D3A919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816002019</w:t>
            </w:r>
          </w:p>
        </w:tc>
        <w:tc>
          <w:tcPr>
            <w:tcW w:w="2180" w:type="dxa"/>
            <w:tcBorders>
              <w:top w:val="nil"/>
              <w:left w:val="nil"/>
              <w:bottom w:val="single" w:sz="4" w:space="0" w:color="auto"/>
              <w:right w:val="single" w:sz="4" w:space="0" w:color="auto"/>
            </w:tcBorders>
            <w:shd w:val="clear" w:color="000000" w:fill="F2F2F2"/>
            <w:vAlign w:val="center"/>
            <w:hideMark/>
          </w:tcPr>
          <w:p w14:paraId="2AF07147"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EMPRESA DE ENERGÍA DE PEREIRA S.A. ESP.</w:t>
            </w:r>
          </w:p>
        </w:tc>
        <w:tc>
          <w:tcPr>
            <w:tcW w:w="1520" w:type="dxa"/>
            <w:tcBorders>
              <w:top w:val="nil"/>
              <w:left w:val="nil"/>
              <w:bottom w:val="single" w:sz="4" w:space="0" w:color="auto"/>
              <w:right w:val="single" w:sz="4" w:space="0" w:color="auto"/>
            </w:tcBorders>
            <w:shd w:val="clear" w:color="000000" w:fill="F2F2F2"/>
            <w:noWrap/>
            <w:vAlign w:val="center"/>
            <w:hideMark/>
          </w:tcPr>
          <w:p w14:paraId="65366A56"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$ 14.356.462.000</w:t>
            </w:r>
          </w:p>
        </w:tc>
        <w:tc>
          <w:tcPr>
            <w:tcW w:w="1440" w:type="dxa"/>
            <w:tcBorders>
              <w:top w:val="nil"/>
              <w:left w:val="nil"/>
              <w:bottom w:val="single" w:sz="4" w:space="0" w:color="auto"/>
              <w:right w:val="single" w:sz="4" w:space="0" w:color="auto"/>
            </w:tcBorders>
            <w:shd w:val="clear" w:color="000000" w:fill="F2F2F2"/>
            <w:noWrap/>
            <w:vAlign w:val="center"/>
            <w:hideMark/>
          </w:tcPr>
          <w:p w14:paraId="739A524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$ 2.199.398.189</w:t>
            </w:r>
          </w:p>
        </w:tc>
        <w:tc>
          <w:tcPr>
            <w:tcW w:w="1460" w:type="dxa"/>
            <w:tcBorders>
              <w:top w:val="nil"/>
              <w:left w:val="nil"/>
              <w:bottom w:val="single" w:sz="4" w:space="0" w:color="auto"/>
              <w:right w:val="single" w:sz="4" w:space="0" w:color="auto"/>
            </w:tcBorders>
            <w:shd w:val="clear" w:color="000000" w:fill="F2F2F2"/>
            <w:noWrap/>
            <w:vAlign w:val="center"/>
            <w:hideMark/>
          </w:tcPr>
          <w:p w14:paraId="0252B93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$ 16.555.860.189</w:t>
            </w:r>
          </w:p>
        </w:tc>
        <w:tc>
          <w:tcPr>
            <w:tcW w:w="1260" w:type="dxa"/>
            <w:tcBorders>
              <w:top w:val="nil"/>
              <w:left w:val="nil"/>
              <w:bottom w:val="single" w:sz="4" w:space="0" w:color="auto"/>
              <w:right w:val="single" w:sz="4" w:space="0" w:color="auto"/>
            </w:tcBorders>
            <w:shd w:val="clear" w:color="000000" w:fill="F2F2F2"/>
            <w:noWrap/>
            <w:vAlign w:val="center"/>
            <w:hideMark/>
          </w:tcPr>
          <w:p w14:paraId="3A977986"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$ 165.558.602</w:t>
            </w:r>
          </w:p>
        </w:tc>
        <w:tc>
          <w:tcPr>
            <w:tcW w:w="1120" w:type="dxa"/>
            <w:tcBorders>
              <w:top w:val="nil"/>
              <w:left w:val="nil"/>
              <w:bottom w:val="single" w:sz="4" w:space="0" w:color="auto"/>
              <w:right w:val="single" w:sz="4" w:space="0" w:color="auto"/>
            </w:tcBorders>
            <w:shd w:val="clear" w:color="000000" w:fill="F2F2F2"/>
            <w:noWrap/>
            <w:vAlign w:val="center"/>
            <w:hideMark/>
          </w:tcPr>
          <w:p w14:paraId="601DD2A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$ 6.890</w:t>
            </w:r>
          </w:p>
        </w:tc>
        <w:tc>
          <w:tcPr>
            <w:tcW w:w="1260" w:type="dxa"/>
            <w:tcBorders>
              <w:top w:val="nil"/>
              <w:left w:val="nil"/>
              <w:bottom w:val="single" w:sz="4" w:space="0" w:color="auto"/>
              <w:right w:val="single" w:sz="4" w:space="0" w:color="auto"/>
            </w:tcBorders>
            <w:shd w:val="clear" w:color="000000" w:fill="F2F2F2"/>
            <w:noWrap/>
            <w:vAlign w:val="center"/>
            <w:hideMark/>
          </w:tcPr>
          <w:p w14:paraId="73278B16"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$ 165.565.492</w:t>
            </w:r>
          </w:p>
        </w:tc>
        <w:tc>
          <w:tcPr>
            <w:tcW w:w="1920" w:type="dxa"/>
            <w:tcBorders>
              <w:top w:val="nil"/>
              <w:left w:val="nil"/>
              <w:bottom w:val="single" w:sz="4" w:space="0" w:color="auto"/>
              <w:right w:val="single" w:sz="4" w:space="0" w:color="auto"/>
            </w:tcBorders>
            <w:shd w:val="clear" w:color="000000" w:fill="F2F2F2"/>
            <w:vAlign w:val="center"/>
            <w:hideMark/>
          </w:tcPr>
          <w:p w14:paraId="4F0FC832"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w:t>
            </w:r>
          </w:p>
        </w:tc>
      </w:tr>
      <w:tr w:rsidR="00D705A6" w:rsidRPr="002E0BB9" w14:paraId="560746C9" w14:textId="77777777" w:rsidTr="007D1249">
        <w:trPr>
          <w:trHeight w:val="6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6B8F5560"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49</w:t>
            </w:r>
          </w:p>
        </w:tc>
        <w:tc>
          <w:tcPr>
            <w:tcW w:w="560" w:type="dxa"/>
            <w:tcBorders>
              <w:top w:val="nil"/>
              <w:left w:val="nil"/>
              <w:bottom w:val="single" w:sz="4" w:space="0" w:color="auto"/>
              <w:right w:val="single" w:sz="4" w:space="0" w:color="auto"/>
            </w:tcBorders>
            <w:shd w:val="clear" w:color="000000" w:fill="F2F2F2"/>
            <w:noWrap/>
            <w:vAlign w:val="center"/>
            <w:hideMark/>
          </w:tcPr>
          <w:p w14:paraId="74CB255B"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2398</w:t>
            </w:r>
          </w:p>
        </w:tc>
        <w:tc>
          <w:tcPr>
            <w:tcW w:w="920" w:type="dxa"/>
            <w:tcBorders>
              <w:top w:val="nil"/>
              <w:left w:val="nil"/>
              <w:bottom w:val="single" w:sz="4" w:space="0" w:color="auto"/>
              <w:right w:val="single" w:sz="4" w:space="0" w:color="auto"/>
            </w:tcBorders>
            <w:shd w:val="clear" w:color="000000" w:fill="F2F2F2"/>
            <w:noWrap/>
            <w:vAlign w:val="center"/>
            <w:hideMark/>
          </w:tcPr>
          <w:p w14:paraId="3064FA0A"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817000362</w:t>
            </w:r>
          </w:p>
        </w:tc>
        <w:tc>
          <w:tcPr>
            <w:tcW w:w="2180" w:type="dxa"/>
            <w:tcBorders>
              <w:top w:val="nil"/>
              <w:left w:val="nil"/>
              <w:bottom w:val="single" w:sz="4" w:space="0" w:color="auto"/>
              <w:right w:val="single" w:sz="4" w:space="0" w:color="auto"/>
            </w:tcBorders>
            <w:shd w:val="clear" w:color="000000" w:fill="F2F2F2"/>
            <w:vAlign w:val="center"/>
            <w:hideMark/>
          </w:tcPr>
          <w:p w14:paraId="2CD90D5A"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PROYECTOS ENERGETICOS DEL CAUCA S.A. E.S.P.</w:t>
            </w:r>
          </w:p>
        </w:tc>
        <w:tc>
          <w:tcPr>
            <w:tcW w:w="1520" w:type="dxa"/>
            <w:tcBorders>
              <w:top w:val="nil"/>
              <w:left w:val="nil"/>
              <w:bottom w:val="single" w:sz="4" w:space="0" w:color="auto"/>
              <w:right w:val="single" w:sz="4" w:space="0" w:color="auto"/>
            </w:tcBorders>
            <w:shd w:val="clear" w:color="000000" w:fill="F2F2F2"/>
            <w:noWrap/>
            <w:vAlign w:val="center"/>
            <w:hideMark/>
          </w:tcPr>
          <w:p w14:paraId="1DE2069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$ 1.267.599.000</w:t>
            </w:r>
          </w:p>
        </w:tc>
        <w:tc>
          <w:tcPr>
            <w:tcW w:w="1440" w:type="dxa"/>
            <w:tcBorders>
              <w:top w:val="nil"/>
              <w:left w:val="nil"/>
              <w:bottom w:val="single" w:sz="4" w:space="0" w:color="auto"/>
              <w:right w:val="single" w:sz="4" w:space="0" w:color="auto"/>
            </w:tcBorders>
            <w:shd w:val="clear" w:color="000000" w:fill="F2F2F2"/>
            <w:noWrap/>
            <w:vAlign w:val="center"/>
            <w:hideMark/>
          </w:tcPr>
          <w:p w14:paraId="0324BBD6"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$ 170.453.133</w:t>
            </w:r>
          </w:p>
        </w:tc>
        <w:tc>
          <w:tcPr>
            <w:tcW w:w="1460" w:type="dxa"/>
            <w:tcBorders>
              <w:top w:val="nil"/>
              <w:left w:val="nil"/>
              <w:bottom w:val="single" w:sz="4" w:space="0" w:color="auto"/>
              <w:right w:val="single" w:sz="4" w:space="0" w:color="auto"/>
            </w:tcBorders>
            <w:shd w:val="clear" w:color="000000" w:fill="F2F2F2"/>
            <w:noWrap/>
            <w:vAlign w:val="center"/>
            <w:hideMark/>
          </w:tcPr>
          <w:p w14:paraId="3346AB7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$ 1.438.052.133</w:t>
            </w:r>
          </w:p>
        </w:tc>
        <w:tc>
          <w:tcPr>
            <w:tcW w:w="1260" w:type="dxa"/>
            <w:tcBorders>
              <w:top w:val="nil"/>
              <w:left w:val="nil"/>
              <w:bottom w:val="single" w:sz="4" w:space="0" w:color="auto"/>
              <w:right w:val="single" w:sz="4" w:space="0" w:color="auto"/>
            </w:tcBorders>
            <w:shd w:val="clear" w:color="000000" w:fill="F2F2F2"/>
            <w:noWrap/>
            <w:vAlign w:val="center"/>
            <w:hideMark/>
          </w:tcPr>
          <w:p w14:paraId="392C4926"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$ 14.380.521</w:t>
            </w:r>
          </w:p>
        </w:tc>
        <w:tc>
          <w:tcPr>
            <w:tcW w:w="1120" w:type="dxa"/>
            <w:tcBorders>
              <w:top w:val="nil"/>
              <w:left w:val="nil"/>
              <w:bottom w:val="single" w:sz="4" w:space="0" w:color="auto"/>
              <w:right w:val="single" w:sz="4" w:space="0" w:color="auto"/>
            </w:tcBorders>
            <w:shd w:val="clear" w:color="000000" w:fill="F2F2F2"/>
            <w:noWrap/>
            <w:vAlign w:val="center"/>
            <w:hideMark/>
          </w:tcPr>
          <w:p w14:paraId="72FF16A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$ 598</w:t>
            </w:r>
          </w:p>
        </w:tc>
        <w:tc>
          <w:tcPr>
            <w:tcW w:w="1260" w:type="dxa"/>
            <w:tcBorders>
              <w:top w:val="nil"/>
              <w:left w:val="nil"/>
              <w:bottom w:val="single" w:sz="4" w:space="0" w:color="auto"/>
              <w:right w:val="single" w:sz="4" w:space="0" w:color="auto"/>
            </w:tcBorders>
            <w:shd w:val="clear" w:color="000000" w:fill="F2F2F2"/>
            <w:noWrap/>
            <w:vAlign w:val="center"/>
            <w:hideMark/>
          </w:tcPr>
          <w:p w14:paraId="3F14514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$ 14.381.120</w:t>
            </w:r>
          </w:p>
        </w:tc>
        <w:tc>
          <w:tcPr>
            <w:tcW w:w="1920" w:type="dxa"/>
            <w:tcBorders>
              <w:top w:val="nil"/>
              <w:left w:val="nil"/>
              <w:bottom w:val="single" w:sz="4" w:space="0" w:color="auto"/>
              <w:right w:val="single" w:sz="4" w:space="0" w:color="auto"/>
            </w:tcBorders>
            <w:shd w:val="clear" w:color="000000" w:fill="F2F2F2"/>
            <w:vAlign w:val="center"/>
            <w:hideMark/>
          </w:tcPr>
          <w:p w14:paraId="097E86D5"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w:t>
            </w:r>
          </w:p>
        </w:tc>
      </w:tr>
      <w:tr w:rsidR="00D705A6" w:rsidRPr="002E0BB9" w14:paraId="62A20D34" w14:textId="77777777" w:rsidTr="007D1249">
        <w:trPr>
          <w:trHeight w:val="2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703369B4"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50</w:t>
            </w:r>
          </w:p>
        </w:tc>
        <w:tc>
          <w:tcPr>
            <w:tcW w:w="560" w:type="dxa"/>
            <w:tcBorders>
              <w:top w:val="nil"/>
              <w:left w:val="nil"/>
              <w:bottom w:val="single" w:sz="4" w:space="0" w:color="auto"/>
              <w:right w:val="single" w:sz="4" w:space="0" w:color="auto"/>
            </w:tcBorders>
            <w:shd w:val="clear" w:color="000000" w:fill="F2F2F2"/>
            <w:noWrap/>
            <w:vAlign w:val="center"/>
            <w:hideMark/>
          </w:tcPr>
          <w:p w14:paraId="7F6B12AD"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2322</w:t>
            </w:r>
          </w:p>
        </w:tc>
        <w:tc>
          <w:tcPr>
            <w:tcW w:w="920" w:type="dxa"/>
            <w:tcBorders>
              <w:top w:val="nil"/>
              <w:left w:val="nil"/>
              <w:bottom w:val="single" w:sz="4" w:space="0" w:color="auto"/>
              <w:right w:val="single" w:sz="4" w:space="0" w:color="auto"/>
            </w:tcBorders>
            <w:shd w:val="clear" w:color="000000" w:fill="F2F2F2"/>
            <w:noWrap/>
            <w:vAlign w:val="center"/>
            <w:hideMark/>
          </w:tcPr>
          <w:p w14:paraId="49B8737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817001892</w:t>
            </w:r>
          </w:p>
        </w:tc>
        <w:tc>
          <w:tcPr>
            <w:tcW w:w="2180" w:type="dxa"/>
            <w:tcBorders>
              <w:top w:val="nil"/>
              <w:left w:val="nil"/>
              <w:bottom w:val="single" w:sz="4" w:space="0" w:color="auto"/>
              <w:right w:val="single" w:sz="4" w:space="0" w:color="auto"/>
            </w:tcBorders>
            <w:shd w:val="clear" w:color="000000" w:fill="F2F2F2"/>
            <w:vAlign w:val="center"/>
            <w:hideMark/>
          </w:tcPr>
          <w:p w14:paraId="443205AD"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VATIA S.A. E.S.P.</w:t>
            </w:r>
          </w:p>
        </w:tc>
        <w:tc>
          <w:tcPr>
            <w:tcW w:w="1520" w:type="dxa"/>
            <w:tcBorders>
              <w:top w:val="nil"/>
              <w:left w:val="nil"/>
              <w:bottom w:val="single" w:sz="4" w:space="0" w:color="auto"/>
              <w:right w:val="single" w:sz="4" w:space="0" w:color="auto"/>
            </w:tcBorders>
            <w:shd w:val="clear" w:color="000000" w:fill="F2F2F2"/>
            <w:noWrap/>
            <w:vAlign w:val="center"/>
            <w:hideMark/>
          </w:tcPr>
          <w:p w14:paraId="4E10A43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$ 21.499.123.000</w:t>
            </w:r>
          </w:p>
        </w:tc>
        <w:tc>
          <w:tcPr>
            <w:tcW w:w="1440" w:type="dxa"/>
            <w:tcBorders>
              <w:top w:val="nil"/>
              <w:left w:val="nil"/>
              <w:bottom w:val="single" w:sz="4" w:space="0" w:color="auto"/>
              <w:right w:val="single" w:sz="4" w:space="0" w:color="auto"/>
            </w:tcBorders>
            <w:shd w:val="clear" w:color="000000" w:fill="F2F2F2"/>
            <w:noWrap/>
            <w:vAlign w:val="center"/>
            <w:hideMark/>
          </w:tcPr>
          <w:p w14:paraId="6F781702"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$ 4.440.616.534</w:t>
            </w:r>
          </w:p>
        </w:tc>
        <w:tc>
          <w:tcPr>
            <w:tcW w:w="1460" w:type="dxa"/>
            <w:tcBorders>
              <w:top w:val="nil"/>
              <w:left w:val="nil"/>
              <w:bottom w:val="single" w:sz="4" w:space="0" w:color="auto"/>
              <w:right w:val="single" w:sz="4" w:space="0" w:color="auto"/>
            </w:tcBorders>
            <w:shd w:val="clear" w:color="000000" w:fill="F2F2F2"/>
            <w:noWrap/>
            <w:vAlign w:val="center"/>
            <w:hideMark/>
          </w:tcPr>
          <w:p w14:paraId="6D17A9CD"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$ 25.939.739.534</w:t>
            </w:r>
          </w:p>
        </w:tc>
        <w:tc>
          <w:tcPr>
            <w:tcW w:w="1260" w:type="dxa"/>
            <w:tcBorders>
              <w:top w:val="nil"/>
              <w:left w:val="nil"/>
              <w:bottom w:val="single" w:sz="4" w:space="0" w:color="auto"/>
              <w:right w:val="single" w:sz="4" w:space="0" w:color="auto"/>
            </w:tcBorders>
            <w:shd w:val="clear" w:color="000000" w:fill="F2F2F2"/>
            <w:noWrap/>
            <w:vAlign w:val="center"/>
            <w:hideMark/>
          </w:tcPr>
          <w:p w14:paraId="3FDA03E6"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$ 259.397.395</w:t>
            </w:r>
          </w:p>
        </w:tc>
        <w:tc>
          <w:tcPr>
            <w:tcW w:w="1120" w:type="dxa"/>
            <w:tcBorders>
              <w:top w:val="nil"/>
              <w:left w:val="nil"/>
              <w:bottom w:val="single" w:sz="4" w:space="0" w:color="auto"/>
              <w:right w:val="single" w:sz="4" w:space="0" w:color="auto"/>
            </w:tcBorders>
            <w:shd w:val="clear" w:color="000000" w:fill="F2F2F2"/>
            <w:noWrap/>
            <w:vAlign w:val="center"/>
            <w:hideMark/>
          </w:tcPr>
          <w:p w14:paraId="29D47416"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$ 10.795</w:t>
            </w:r>
          </w:p>
        </w:tc>
        <w:tc>
          <w:tcPr>
            <w:tcW w:w="1260" w:type="dxa"/>
            <w:tcBorders>
              <w:top w:val="nil"/>
              <w:left w:val="nil"/>
              <w:bottom w:val="single" w:sz="4" w:space="0" w:color="auto"/>
              <w:right w:val="single" w:sz="4" w:space="0" w:color="auto"/>
            </w:tcBorders>
            <w:shd w:val="clear" w:color="000000" w:fill="F2F2F2"/>
            <w:noWrap/>
            <w:vAlign w:val="center"/>
            <w:hideMark/>
          </w:tcPr>
          <w:p w14:paraId="5676283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$ 259.408.191</w:t>
            </w:r>
          </w:p>
        </w:tc>
        <w:tc>
          <w:tcPr>
            <w:tcW w:w="1920" w:type="dxa"/>
            <w:tcBorders>
              <w:top w:val="nil"/>
              <w:left w:val="nil"/>
              <w:bottom w:val="single" w:sz="4" w:space="0" w:color="auto"/>
              <w:right w:val="single" w:sz="4" w:space="0" w:color="auto"/>
            </w:tcBorders>
            <w:shd w:val="clear" w:color="000000" w:fill="F2F2F2"/>
            <w:vAlign w:val="center"/>
            <w:hideMark/>
          </w:tcPr>
          <w:p w14:paraId="0DF09C1F"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w:t>
            </w:r>
          </w:p>
        </w:tc>
      </w:tr>
      <w:tr w:rsidR="00D705A6" w:rsidRPr="002E0BB9" w14:paraId="2D00902E" w14:textId="77777777" w:rsidTr="007D1249">
        <w:trPr>
          <w:trHeight w:val="6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7DE169B7"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51</w:t>
            </w:r>
          </w:p>
        </w:tc>
        <w:tc>
          <w:tcPr>
            <w:tcW w:w="560" w:type="dxa"/>
            <w:tcBorders>
              <w:top w:val="nil"/>
              <w:left w:val="nil"/>
              <w:bottom w:val="single" w:sz="4" w:space="0" w:color="auto"/>
              <w:right w:val="single" w:sz="4" w:space="0" w:color="auto"/>
            </w:tcBorders>
            <w:shd w:val="clear" w:color="000000" w:fill="F2F2F2"/>
            <w:noWrap/>
            <w:vAlign w:val="center"/>
            <w:hideMark/>
          </w:tcPr>
          <w:p w14:paraId="4BA18BEA"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1891</w:t>
            </w:r>
          </w:p>
        </w:tc>
        <w:tc>
          <w:tcPr>
            <w:tcW w:w="920" w:type="dxa"/>
            <w:tcBorders>
              <w:top w:val="nil"/>
              <w:left w:val="nil"/>
              <w:bottom w:val="single" w:sz="4" w:space="0" w:color="auto"/>
              <w:right w:val="single" w:sz="4" w:space="0" w:color="auto"/>
            </w:tcBorders>
            <w:shd w:val="clear" w:color="000000" w:fill="F2F2F2"/>
            <w:noWrap/>
            <w:vAlign w:val="center"/>
            <w:hideMark/>
          </w:tcPr>
          <w:p w14:paraId="0F81625B"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818000263</w:t>
            </w:r>
          </w:p>
        </w:tc>
        <w:tc>
          <w:tcPr>
            <w:tcW w:w="2180" w:type="dxa"/>
            <w:tcBorders>
              <w:top w:val="nil"/>
              <w:left w:val="nil"/>
              <w:bottom w:val="single" w:sz="4" w:space="0" w:color="auto"/>
              <w:right w:val="single" w:sz="4" w:space="0" w:color="auto"/>
            </w:tcBorders>
            <w:shd w:val="clear" w:color="000000" w:fill="F2F2F2"/>
            <w:vAlign w:val="center"/>
            <w:hideMark/>
          </w:tcPr>
          <w:p w14:paraId="71A7086F"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EMPRESA DE SERVICIOS PUBLICOS DE BAHIA SOLANO S.A. ESP</w:t>
            </w:r>
          </w:p>
        </w:tc>
        <w:tc>
          <w:tcPr>
            <w:tcW w:w="1520" w:type="dxa"/>
            <w:tcBorders>
              <w:top w:val="nil"/>
              <w:left w:val="nil"/>
              <w:bottom w:val="single" w:sz="4" w:space="0" w:color="auto"/>
              <w:right w:val="single" w:sz="4" w:space="0" w:color="auto"/>
            </w:tcBorders>
            <w:shd w:val="clear" w:color="000000" w:fill="F2F2F2"/>
            <w:noWrap/>
            <w:vAlign w:val="center"/>
            <w:hideMark/>
          </w:tcPr>
          <w:p w14:paraId="2FFB803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$ 983.008.000</w:t>
            </w:r>
          </w:p>
        </w:tc>
        <w:tc>
          <w:tcPr>
            <w:tcW w:w="1440" w:type="dxa"/>
            <w:tcBorders>
              <w:top w:val="nil"/>
              <w:left w:val="nil"/>
              <w:bottom w:val="single" w:sz="4" w:space="0" w:color="auto"/>
              <w:right w:val="single" w:sz="4" w:space="0" w:color="auto"/>
            </w:tcBorders>
            <w:shd w:val="clear" w:color="000000" w:fill="F2F2F2"/>
            <w:noWrap/>
            <w:vAlign w:val="center"/>
            <w:hideMark/>
          </w:tcPr>
          <w:p w14:paraId="5E7180A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$ 0</w:t>
            </w:r>
          </w:p>
        </w:tc>
        <w:tc>
          <w:tcPr>
            <w:tcW w:w="1460" w:type="dxa"/>
            <w:tcBorders>
              <w:top w:val="nil"/>
              <w:left w:val="nil"/>
              <w:bottom w:val="single" w:sz="4" w:space="0" w:color="auto"/>
              <w:right w:val="single" w:sz="4" w:space="0" w:color="auto"/>
            </w:tcBorders>
            <w:shd w:val="clear" w:color="000000" w:fill="F2F2F2"/>
            <w:noWrap/>
            <w:vAlign w:val="center"/>
            <w:hideMark/>
          </w:tcPr>
          <w:p w14:paraId="4360C6D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$ 983.008.000</w:t>
            </w:r>
          </w:p>
        </w:tc>
        <w:tc>
          <w:tcPr>
            <w:tcW w:w="1260" w:type="dxa"/>
            <w:tcBorders>
              <w:top w:val="nil"/>
              <w:left w:val="nil"/>
              <w:bottom w:val="single" w:sz="4" w:space="0" w:color="auto"/>
              <w:right w:val="single" w:sz="4" w:space="0" w:color="auto"/>
            </w:tcBorders>
            <w:shd w:val="clear" w:color="000000" w:fill="F2F2F2"/>
            <w:noWrap/>
            <w:vAlign w:val="center"/>
            <w:hideMark/>
          </w:tcPr>
          <w:p w14:paraId="72B89625"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$ 9.830.080</w:t>
            </w:r>
          </w:p>
        </w:tc>
        <w:tc>
          <w:tcPr>
            <w:tcW w:w="1120" w:type="dxa"/>
            <w:tcBorders>
              <w:top w:val="nil"/>
              <w:left w:val="nil"/>
              <w:bottom w:val="single" w:sz="4" w:space="0" w:color="auto"/>
              <w:right w:val="single" w:sz="4" w:space="0" w:color="auto"/>
            </w:tcBorders>
            <w:shd w:val="clear" w:color="000000" w:fill="F2F2F2"/>
            <w:noWrap/>
            <w:vAlign w:val="center"/>
            <w:hideMark/>
          </w:tcPr>
          <w:p w14:paraId="2E64EF32"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$ 409</w:t>
            </w:r>
          </w:p>
        </w:tc>
        <w:tc>
          <w:tcPr>
            <w:tcW w:w="1260" w:type="dxa"/>
            <w:tcBorders>
              <w:top w:val="nil"/>
              <w:left w:val="nil"/>
              <w:bottom w:val="single" w:sz="4" w:space="0" w:color="auto"/>
              <w:right w:val="single" w:sz="4" w:space="0" w:color="auto"/>
            </w:tcBorders>
            <w:shd w:val="clear" w:color="000000" w:fill="F2F2F2"/>
            <w:noWrap/>
            <w:vAlign w:val="center"/>
            <w:hideMark/>
          </w:tcPr>
          <w:p w14:paraId="71391E6A"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$ 9.830.489</w:t>
            </w:r>
          </w:p>
        </w:tc>
        <w:tc>
          <w:tcPr>
            <w:tcW w:w="1920" w:type="dxa"/>
            <w:tcBorders>
              <w:top w:val="nil"/>
              <w:left w:val="nil"/>
              <w:bottom w:val="single" w:sz="4" w:space="0" w:color="auto"/>
              <w:right w:val="single" w:sz="4" w:space="0" w:color="auto"/>
            </w:tcBorders>
            <w:shd w:val="clear" w:color="000000" w:fill="F2F2F2"/>
            <w:vAlign w:val="center"/>
            <w:hideMark/>
          </w:tcPr>
          <w:p w14:paraId="3750ACC3"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w:t>
            </w:r>
          </w:p>
        </w:tc>
      </w:tr>
      <w:tr w:rsidR="00D705A6" w:rsidRPr="002E0BB9" w14:paraId="6BECFD80" w14:textId="77777777" w:rsidTr="007D1249">
        <w:trPr>
          <w:trHeight w:val="6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09A7F84D"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52</w:t>
            </w:r>
          </w:p>
        </w:tc>
        <w:tc>
          <w:tcPr>
            <w:tcW w:w="560" w:type="dxa"/>
            <w:tcBorders>
              <w:top w:val="nil"/>
              <w:left w:val="nil"/>
              <w:bottom w:val="single" w:sz="4" w:space="0" w:color="auto"/>
              <w:right w:val="single" w:sz="4" w:space="0" w:color="auto"/>
            </w:tcBorders>
            <w:shd w:val="clear" w:color="000000" w:fill="F2F2F2"/>
            <w:noWrap/>
            <w:vAlign w:val="center"/>
            <w:hideMark/>
          </w:tcPr>
          <w:p w14:paraId="0BED4F4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2080</w:t>
            </w:r>
          </w:p>
        </w:tc>
        <w:tc>
          <w:tcPr>
            <w:tcW w:w="920" w:type="dxa"/>
            <w:tcBorders>
              <w:top w:val="nil"/>
              <w:left w:val="nil"/>
              <w:bottom w:val="single" w:sz="4" w:space="0" w:color="auto"/>
              <w:right w:val="single" w:sz="4" w:space="0" w:color="auto"/>
            </w:tcBorders>
            <w:shd w:val="clear" w:color="000000" w:fill="F2F2F2"/>
            <w:noWrap/>
            <w:vAlign w:val="center"/>
            <w:hideMark/>
          </w:tcPr>
          <w:p w14:paraId="2A08390E"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818000276</w:t>
            </w:r>
          </w:p>
        </w:tc>
        <w:tc>
          <w:tcPr>
            <w:tcW w:w="2180" w:type="dxa"/>
            <w:tcBorders>
              <w:top w:val="nil"/>
              <w:left w:val="nil"/>
              <w:bottom w:val="single" w:sz="4" w:space="0" w:color="auto"/>
              <w:right w:val="single" w:sz="4" w:space="0" w:color="auto"/>
            </w:tcBorders>
            <w:shd w:val="clear" w:color="000000" w:fill="F2F2F2"/>
            <w:vAlign w:val="center"/>
            <w:hideMark/>
          </w:tcPr>
          <w:p w14:paraId="1881A023"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xml:space="preserve">JUNTA ADMINISTRADORA DE SERVICIOS </w:t>
            </w:r>
            <w:proofErr w:type="gramStart"/>
            <w:r w:rsidRPr="002E0BB9">
              <w:rPr>
                <w:rFonts w:ascii="Arial Narrow" w:hAnsi="Arial Narrow" w:cs="Arial"/>
                <w:spacing w:val="0"/>
                <w:sz w:val="16"/>
                <w:szCs w:val="16"/>
                <w:lang w:val="es-MX" w:eastAsia="es-MX"/>
              </w:rPr>
              <w:t>PÚBLICOS  DE</w:t>
            </w:r>
            <w:proofErr w:type="gramEnd"/>
            <w:r w:rsidRPr="002E0BB9">
              <w:rPr>
                <w:rFonts w:ascii="Arial Narrow" w:hAnsi="Arial Narrow" w:cs="Arial"/>
                <w:spacing w:val="0"/>
                <w:sz w:val="16"/>
                <w:szCs w:val="16"/>
                <w:lang w:val="es-MX" w:eastAsia="es-MX"/>
              </w:rPr>
              <w:t xml:space="preserve">  CAPURGANA</w:t>
            </w:r>
          </w:p>
        </w:tc>
        <w:tc>
          <w:tcPr>
            <w:tcW w:w="1520" w:type="dxa"/>
            <w:tcBorders>
              <w:top w:val="nil"/>
              <w:left w:val="nil"/>
              <w:bottom w:val="single" w:sz="4" w:space="0" w:color="auto"/>
              <w:right w:val="single" w:sz="4" w:space="0" w:color="auto"/>
            </w:tcBorders>
            <w:shd w:val="clear" w:color="000000" w:fill="F2F2F2"/>
            <w:noWrap/>
            <w:vAlign w:val="center"/>
            <w:hideMark/>
          </w:tcPr>
          <w:p w14:paraId="3FE90E3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$ 267.976.000</w:t>
            </w:r>
          </w:p>
        </w:tc>
        <w:tc>
          <w:tcPr>
            <w:tcW w:w="1440" w:type="dxa"/>
            <w:tcBorders>
              <w:top w:val="nil"/>
              <w:left w:val="nil"/>
              <w:bottom w:val="single" w:sz="4" w:space="0" w:color="auto"/>
              <w:right w:val="single" w:sz="4" w:space="0" w:color="auto"/>
            </w:tcBorders>
            <w:shd w:val="clear" w:color="000000" w:fill="F2F2F2"/>
            <w:noWrap/>
            <w:vAlign w:val="center"/>
            <w:hideMark/>
          </w:tcPr>
          <w:p w14:paraId="6AD35A5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$ 22.422.167</w:t>
            </w:r>
          </w:p>
        </w:tc>
        <w:tc>
          <w:tcPr>
            <w:tcW w:w="1460" w:type="dxa"/>
            <w:tcBorders>
              <w:top w:val="nil"/>
              <w:left w:val="nil"/>
              <w:bottom w:val="single" w:sz="4" w:space="0" w:color="auto"/>
              <w:right w:val="single" w:sz="4" w:space="0" w:color="auto"/>
            </w:tcBorders>
            <w:shd w:val="clear" w:color="000000" w:fill="F2F2F2"/>
            <w:noWrap/>
            <w:vAlign w:val="center"/>
            <w:hideMark/>
          </w:tcPr>
          <w:p w14:paraId="493D162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$ 290.398.167</w:t>
            </w:r>
          </w:p>
        </w:tc>
        <w:tc>
          <w:tcPr>
            <w:tcW w:w="1260" w:type="dxa"/>
            <w:tcBorders>
              <w:top w:val="nil"/>
              <w:left w:val="nil"/>
              <w:bottom w:val="single" w:sz="4" w:space="0" w:color="auto"/>
              <w:right w:val="single" w:sz="4" w:space="0" w:color="auto"/>
            </w:tcBorders>
            <w:shd w:val="clear" w:color="000000" w:fill="F2F2F2"/>
            <w:noWrap/>
            <w:vAlign w:val="center"/>
            <w:hideMark/>
          </w:tcPr>
          <w:p w14:paraId="478743C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$ 2.903.982</w:t>
            </w:r>
          </w:p>
        </w:tc>
        <w:tc>
          <w:tcPr>
            <w:tcW w:w="1120" w:type="dxa"/>
            <w:tcBorders>
              <w:top w:val="nil"/>
              <w:left w:val="nil"/>
              <w:bottom w:val="single" w:sz="4" w:space="0" w:color="auto"/>
              <w:right w:val="single" w:sz="4" w:space="0" w:color="auto"/>
            </w:tcBorders>
            <w:shd w:val="clear" w:color="000000" w:fill="F2F2F2"/>
            <w:noWrap/>
            <w:vAlign w:val="center"/>
            <w:hideMark/>
          </w:tcPr>
          <w:p w14:paraId="2B414926"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$ 121</w:t>
            </w:r>
          </w:p>
        </w:tc>
        <w:tc>
          <w:tcPr>
            <w:tcW w:w="1260" w:type="dxa"/>
            <w:tcBorders>
              <w:top w:val="nil"/>
              <w:left w:val="nil"/>
              <w:bottom w:val="single" w:sz="4" w:space="0" w:color="auto"/>
              <w:right w:val="single" w:sz="4" w:space="0" w:color="auto"/>
            </w:tcBorders>
            <w:shd w:val="clear" w:color="000000" w:fill="F2F2F2"/>
            <w:noWrap/>
            <w:vAlign w:val="center"/>
            <w:hideMark/>
          </w:tcPr>
          <w:p w14:paraId="029FEE55"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$ 2.904.103</w:t>
            </w:r>
          </w:p>
        </w:tc>
        <w:tc>
          <w:tcPr>
            <w:tcW w:w="1920" w:type="dxa"/>
            <w:tcBorders>
              <w:top w:val="nil"/>
              <w:left w:val="nil"/>
              <w:bottom w:val="single" w:sz="4" w:space="0" w:color="auto"/>
              <w:right w:val="single" w:sz="4" w:space="0" w:color="auto"/>
            </w:tcBorders>
            <w:shd w:val="clear" w:color="000000" w:fill="F2F2F2"/>
            <w:vAlign w:val="center"/>
            <w:hideMark/>
          </w:tcPr>
          <w:p w14:paraId="4C86D6D8"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w:t>
            </w:r>
          </w:p>
        </w:tc>
      </w:tr>
      <w:tr w:rsidR="00D705A6" w:rsidRPr="002E0BB9" w14:paraId="57B56B4B" w14:textId="77777777" w:rsidTr="007D1249">
        <w:trPr>
          <w:trHeight w:val="4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7DC610F5"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53</w:t>
            </w:r>
          </w:p>
        </w:tc>
        <w:tc>
          <w:tcPr>
            <w:tcW w:w="560" w:type="dxa"/>
            <w:tcBorders>
              <w:top w:val="nil"/>
              <w:left w:val="nil"/>
              <w:bottom w:val="single" w:sz="4" w:space="0" w:color="auto"/>
              <w:right w:val="single" w:sz="4" w:space="0" w:color="auto"/>
            </w:tcBorders>
            <w:shd w:val="clear" w:color="000000" w:fill="F2F2F2"/>
            <w:noWrap/>
            <w:vAlign w:val="center"/>
            <w:hideMark/>
          </w:tcPr>
          <w:p w14:paraId="328571C7"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3226</w:t>
            </w:r>
          </w:p>
        </w:tc>
        <w:tc>
          <w:tcPr>
            <w:tcW w:w="920" w:type="dxa"/>
            <w:tcBorders>
              <w:top w:val="nil"/>
              <w:left w:val="nil"/>
              <w:bottom w:val="single" w:sz="4" w:space="0" w:color="auto"/>
              <w:right w:val="single" w:sz="4" w:space="0" w:color="auto"/>
            </w:tcBorders>
            <w:shd w:val="clear" w:color="000000" w:fill="F2F2F2"/>
            <w:noWrap/>
            <w:vAlign w:val="center"/>
            <w:hideMark/>
          </w:tcPr>
          <w:p w14:paraId="446AB2FD"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818001629</w:t>
            </w:r>
          </w:p>
        </w:tc>
        <w:tc>
          <w:tcPr>
            <w:tcW w:w="2180" w:type="dxa"/>
            <w:tcBorders>
              <w:top w:val="nil"/>
              <w:left w:val="nil"/>
              <w:bottom w:val="single" w:sz="4" w:space="0" w:color="auto"/>
              <w:right w:val="single" w:sz="4" w:space="0" w:color="auto"/>
            </w:tcBorders>
            <w:shd w:val="clear" w:color="000000" w:fill="F2F2F2"/>
            <w:vAlign w:val="center"/>
            <w:hideMark/>
          </w:tcPr>
          <w:p w14:paraId="4C6169A1"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EMPRESA DISTRIBUIDORA DEL PACIFICO S.A. E.</w:t>
            </w:r>
            <w:proofErr w:type="gramStart"/>
            <w:r w:rsidRPr="002E0BB9">
              <w:rPr>
                <w:rFonts w:ascii="Arial Narrow" w:hAnsi="Arial Narrow" w:cs="Arial"/>
                <w:spacing w:val="0"/>
                <w:sz w:val="16"/>
                <w:szCs w:val="16"/>
                <w:lang w:val="es-MX" w:eastAsia="es-MX"/>
              </w:rPr>
              <w:t>S.P</w:t>
            </w:r>
            <w:proofErr w:type="gramEnd"/>
          </w:p>
        </w:tc>
        <w:tc>
          <w:tcPr>
            <w:tcW w:w="1520" w:type="dxa"/>
            <w:tcBorders>
              <w:top w:val="nil"/>
              <w:left w:val="nil"/>
              <w:bottom w:val="single" w:sz="4" w:space="0" w:color="auto"/>
              <w:right w:val="single" w:sz="4" w:space="0" w:color="auto"/>
            </w:tcBorders>
            <w:shd w:val="clear" w:color="000000" w:fill="F2F2F2"/>
            <w:noWrap/>
            <w:vAlign w:val="center"/>
            <w:hideMark/>
          </w:tcPr>
          <w:p w14:paraId="501E178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$ 4.857.262.000</w:t>
            </w:r>
          </w:p>
        </w:tc>
        <w:tc>
          <w:tcPr>
            <w:tcW w:w="1440" w:type="dxa"/>
            <w:tcBorders>
              <w:top w:val="nil"/>
              <w:left w:val="nil"/>
              <w:bottom w:val="single" w:sz="4" w:space="0" w:color="auto"/>
              <w:right w:val="single" w:sz="4" w:space="0" w:color="auto"/>
            </w:tcBorders>
            <w:shd w:val="clear" w:color="000000" w:fill="F2F2F2"/>
            <w:noWrap/>
            <w:vAlign w:val="center"/>
            <w:hideMark/>
          </w:tcPr>
          <w:p w14:paraId="2D79B8A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$ 740.549.810</w:t>
            </w:r>
          </w:p>
        </w:tc>
        <w:tc>
          <w:tcPr>
            <w:tcW w:w="1460" w:type="dxa"/>
            <w:tcBorders>
              <w:top w:val="nil"/>
              <w:left w:val="nil"/>
              <w:bottom w:val="single" w:sz="4" w:space="0" w:color="auto"/>
              <w:right w:val="single" w:sz="4" w:space="0" w:color="auto"/>
            </w:tcBorders>
            <w:shd w:val="clear" w:color="000000" w:fill="F2F2F2"/>
            <w:noWrap/>
            <w:vAlign w:val="center"/>
            <w:hideMark/>
          </w:tcPr>
          <w:p w14:paraId="31AD253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$ 5.597.811.810</w:t>
            </w:r>
          </w:p>
        </w:tc>
        <w:tc>
          <w:tcPr>
            <w:tcW w:w="1260" w:type="dxa"/>
            <w:tcBorders>
              <w:top w:val="nil"/>
              <w:left w:val="nil"/>
              <w:bottom w:val="single" w:sz="4" w:space="0" w:color="auto"/>
              <w:right w:val="single" w:sz="4" w:space="0" w:color="auto"/>
            </w:tcBorders>
            <w:shd w:val="clear" w:color="000000" w:fill="F2F2F2"/>
            <w:noWrap/>
            <w:vAlign w:val="center"/>
            <w:hideMark/>
          </w:tcPr>
          <w:p w14:paraId="5A78E327"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$ 55.978.118</w:t>
            </w:r>
          </w:p>
        </w:tc>
        <w:tc>
          <w:tcPr>
            <w:tcW w:w="1120" w:type="dxa"/>
            <w:tcBorders>
              <w:top w:val="nil"/>
              <w:left w:val="nil"/>
              <w:bottom w:val="single" w:sz="4" w:space="0" w:color="auto"/>
              <w:right w:val="single" w:sz="4" w:space="0" w:color="auto"/>
            </w:tcBorders>
            <w:shd w:val="clear" w:color="000000" w:fill="F2F2F2"/>
            <w:noWrap/>
            <w:vAlign w:val="center"/>
            <w:hideMark/>
          </w:tcPr>
          <w:p w14:paraId="6AAF2FE6"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$ 2.330</w:t>
            </w:r>
          </w:p>
        </w:tc>
        <w:tc>
          <w:tcPr>
            <w:tcW w:w="1260" w:type="dxa"/>
            <w:tcBorders>
              <w:top w:val="nil"/>
              <w:left w:val="nil"/>
              <w:bottom w:val="single" w:sz="4" w:space="0" w:color="auto"/>
              <w:right w:val="single" w:sz="4" w:space="0" w:color="auto"/>
            </w:tcBorders>
            <w:shd w:val="clear" w:color="000000" w:fill="F2F2F2"/>
            <w:noWrap/>
            <w:vAlign w:val="center"/>
            <w:hideMark/>
          </w:tcPr>
          <w:p w14:paraId="5DCD778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$ 55.980.448</w:t>
            </w:r>
          </w:p>
        </w:tc>
        <w:tc>
          <w:tcPr>
            <w:tcW w:w="1920" w:type="dxa"/>
            <w:tcBorders>
              <w:top w:val="nil"/>
              <w:left w:val="nil"/>
              <w:bottom w:val="single" w:sz="4" w:space="0" w:color="auto"/>
              <w:right w:val="single" w:sz="4" w:space="0" w:color="auto"/>
            </w:tcBorders>
            <w:shd w:val="clear" w:color="000000" w:fill="F2F2F2"/>
            <w:vAlign w:val="center"/>
            <w:hideMark/>
          </w:tcPr>
          <w:p w14:paraId="2E6E4763"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w:t>
            </w:r>
          </w:p>
        </w:tc>
      </w:tr>
      <w:tr w:rsidR="00D705A6" w:rsidRPr="002E0BB9" w14:paraId="0C7CE525" w14:textId="77777777" w:rsidTr="007D1249">
        <w:trPr>
          <w:trHeight w:val="4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65E1FD47"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lastRenderedPageBreak/>
              <w:t>54</w:t>
            </w:r>
          </w:p>
        </w:tc>
        <w:tc>
          <w:tcPr>
            <w:tcW w:w="560" w:type="dxa"/>
            <w:tcBorders>
              <w:top w:val="nil"/>
              <w:left w:val="nil"/>
              <w:bottom w:val="single" w:sz="4" w:space="0" w:color="auto"/>
              <w:right w:val="single" w:sz="4" w:space="0" w:color="auto"/>
            </w:tcBorders>
            <w:shd w:val="clear" w:color="000000" w:fill="F2F2F2"/>
            <w:noWrap/>
            <w:vAlign w:val="center"/>
            <w:hideMark/>
          </w:tcPr>
          <w:p w14:paraId="29BE6F4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2097</w:t>
            </w:r>
          </w:p>
        </w:tc>
        <w:tc>
          <w:tcPr>
            <w:tcW w:w="920" w:type="dxa"/>
            <w:tcBorders>
              <w:top w:val="nil"/>
              <w:left w:val="nil"/>
              <w:bottom w:val="single" w:sz="4" w:space="0" w:color="auto"/>
              <w:right w:val="single" w:sz="4" w:space="0" w:color="auto"/>
            </w:tcBorders>
            <w:shd w:val="clear" w:color="000000" w:fill="F2F2F2"/>
            <w:noWrap/>
            <w:vAlign w:val="center"/>
            <w:hideMark/>
          </w:tcPr>
          <w:p w14:paraId="09BEB7A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822001073</w:t>
            </w:r>
          </w:p>
        </w:tc>
        <w:tc>
          <w:tcPr>
            <w:tcW w:w="2180" w:type="dxa"/>
            <w:tcBorders>
              <w:top w:val="nil"/>
              <w:left w:val="nil"/>
              <w:bottom w:val="single" w:sz="4" w:space="0" w:color="auto"/>
              <w:right w:val="single" w:sz="4" w:space="0" w:color="auto"/>
            </w:tcBorders>
            <w:shd w:val="clear" w:color="000000" w:fill="F2F2F2"/>
            <w:vAlign w:val="center"/>
            <w:hideMark/>
          </w:tcPr>
          <w:p w14:paraId="74984D7E"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MADIGAS INGENIEROS S.A. E.S.P.</w:t>
            </w:r>
          </w:p>
        </w:tc>
        <w:tc>
          <w:tcPr>
            <w:tcW w:w="1520" w:type="dxa"/>
            <w:tcBorders>
              <w:top w:val="nil"/>
              <w:left w:val="nil"/>
              <w:bottom w:val="single" w:sz="4" w:space="0" w:color="auto"/>
              <w:right w:val="single" w:sz="4" w:space="0" w:color="auto"/>
            </w:tcBorders>
            <w:shd w:val="clear" w:color="000000" w:fill="F2F2F2"/>
            <w:noWrap/>
            <w:vAlign w:val="center"/>
            <w:hideMark/>
          </w:tcPr>
          <w:p w14:paraId="11E1D416"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$ 933.960.000</w:t>
            </w:r>
          </w:p>
        </w:tc>
        <w:tc>
          <w:tcPr>
            <w:tcW w:w="1440" w:type="dxa"/>
            <w:tcBorders>
              <w:top w:val="nil"/>
              <w:left w:val="nil"/>
              <w:bottom w:val="single" w:sz="4" w:space="0" w:color="auto"/>
              <w:right w:val="single" w:sz="4" w:space="0" w:color="auto"/>
            </w:tcBorders>
            <w:shd w:val="clear" w:color="000000" w:fill="F2F2F2"/>
            <w:noWrap/>
            <w:vAlign w:val="center"/>
            <w:hideMark/>
          </w:tcPr>
          <w:p w14:paraId="1F92067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$ 93.211.643</w:t>
            </w:r>
          </w:p>
        </w:tc>
        <w:tc>
          <w:tcPr>
            <w:tcW w:w="1460" w:type="dxa"/>
            <w:tcBorders>
              <w:top w:val="nil"/>
              <w:left w:val="nil"/>
              <w:bottom w:val="single" w:sz="4" w:space="0" w:color="auto"/>
              <w:right w:val="single" w:sz="4" w:space="0" w:color="auto"/>
            </w:tcBorders>
            <w:shd w:val="clear" w:color="000000" w:fill="F2F2F2"/>
            <w:noWrap/>
            <w:vAlign w:val="center"/>
            <w:hideMark/>
          </w:tcPr>
          <w:p w14:paraId="400EDF1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$ 1.027.171.643</w:t>
            </w:r>
          </w:p>
        </w:tc>
        <w:tc>
          <w:tcPr>
            <w:tcW w:w="1260" w:type="dxa"/>
            <w:tcBorders>
              <w:top w:val="nil"/>
              <w:left w:val="nil"/>
              <w:bottom w:val="single" w:sz="4" w:space="0" w:color="auto"/>
              <w:right w:val="single" w:sz="4" w:space="0" w:color="auto"/>
            </w:tcBorders>
            <w:shd w:val="clear" w:color="000000" w:fill="F2F2F2"/>
            <w:noWrap/>
            <w:vAlign w:val="center"/>
            <w:hideMark/>
          </w:tcPr>
          <w:p w14:paraId="159169B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$ 10.271.716</w:t>
            </w:r>
          </w:p>
        </w:tc>
        <w:tc>
          <w:tcPr>
            <w:tcW w:w="1120" w:type="dxa"/>
            <w:tcBorders>
              <w:top w:val="nil"/>
              <w:left w:val="nil"/>
              <w:bottom w:val="single" w:sz="4" w:space="0" w:color="auto"/>
              <w:right w:val="single" w:sz="4" w:space="0" w:color="auto"/>
            </w:tcBorders>
            <w:shd w:val="clear" w:color="000000" w:fill="F2F2F2"/>
            <w:noWrap/>
            <w:vAlign w:val="center"/>
            <w:hideMark/>
          </w:tcPr>
          <w:p w14:paraId="0691950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$ 427</w:t>
            </w:r>
          </w:p>
        </w:tc>
        <w:tc>
          <w:tcPr>
            <w:tcW w:w="1260" w:type="dxa"/>
            <w:tcBorders>
              <w:top w:val="nil"/>
              <w:left w:val="nil"/>
              <w:bottom w:val="single" w:sz="4" w:space="0" w:color="auto"/>
              <w:right w:val="single" w:sz="4" w:space="0" w:color="auto"/>
            </w:tcBorders>
            <w:shd w:val="clear" w:color="000000" w:fill="F2F2F2"/>
            <w:noWrap/>
            <w:vAlign w:val="center"/>
            <w:hideMark/>
          </w:tcPr>
          <w:p w14:paraId="1A10126E"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$ 10.272.144</w:t>
            </w:r>
          </w:p>
        </w:tc>
        <w:tc>
          <w:tcPr>
            <w:tcW w:w="1920" w:type="dxa"/>
            <w:tcBorders>
              <w:top w:val="nil"/>
              <w:left w:val="nil"/>
              <w:bottom w:val="single" w:sz="4" w:space="0" w:color="auto"/>
              <w:right w:val="single" w:sz="4" w:space="0" w:color="auto"/>
            </w:tcBorders>
            <w:shd w:val="clear" w:color="000000" w:fill="F2F2F2"/>
            <w:vAlign w:val="center"/>
            <w:hideMark/>
          </w:tcPr>
          <w:p w14:paraId="759FBF5A"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GAS POR REDES</w:t>
            </w:r>
          </w:p>
        </w:tc>
      </w:tr>
      <w:tr w:rsidR="00D705A6" w:rsidRPr="002E0BB9" w14:paraId="0E98352D" w14:textId="77777777" w:rsidTr="007D1249">
        <w:trPr>
          <w:trHeight w:val="8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2E6F8340"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55</w:t>
            </w:r>
          </w:p>
        </w:tc>
        <w:tc>
          <w:tcPr>
            <w:tcW w:w="560" w:type="dxa"/>
            <w:tcBorders>
              <w:top w:val="nil"/>
              <w:left w:val="nil"/>
              <w:bottom w:val="single" w:sz="4" w:space="0" w:color="auto"/>
              <w:right w:val="single" w:sz="4" w:space="0" w:color="auto"/>
            </w:tcBorders>
            <w:shd w:val="clear" w:color="000000" w:fill="F2F2F2"/>
            <w:noWrap/>
            <w:vAlign w:val="center"/>
            <w:hideMark/>
          </w:tcPr>
          <w:p w14:paraId="070AFAAE"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3076</w:t>
            </w:r>
          </w:p>
        </w:tc>
        <w:tc>
          <w:tcPr>
            <w:tcW w:w="920" w:type="dxa"/>
            <w:tcBorders>
              <w:top w:val="nil"/>
              <w:left w:val="nil"/>
              <w:bottom w:val="single" w:sz="4" w:space="0" w:color="auto"/>
              <w:right w:val="single" w:sz="4" w:space="0" w:color="auto"/>
            </w:tcBorders>
            <w:shd w:val="clear" w:color="000000" w:fill="F2F2F2"/>
            <w:noWrap/>
            <w:vAlign w:val="center"/>
            <w:hideMark/>
          </w:tcPr>
          <w:p w14:paraId="4B3FA32D"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822004680</w:t>
            </w:r>
          </w:p>
        </w:tc>
        <w:tc>
          <w:tcPr>
            <w:tcW w:w="2180" w:type="dxa"/>
            <w:tcBorders>
              <w:top w:val="nil"/>
              <w:left w:val="nil"/>
              <w:bottom w:val="single" w:sz="4" w:space="0" w:color="auto"/>
              <w:right w:val="single" w:sz="4" w:space="0" w:color="auto"/>
            </w:tcBorders>
            <w:shd w:val="clear" w:color="000000" w:fill="F2F2F2"/>
            <w:vAlign w:val="center"/>
            <w:hideMark/>
          </w:tcPr>
          <w:p w14:paraId="6363D780"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EMPRESA DE ENERGIA ELECTRICA DEL DEPARTAMENTO DEL GUAVIARE SA ESP</w:t>
            </w:r>
          </w:p>
        </w:tc>
        <w:tc>
          <w:tcPr>
            <w:tcW w:w="1520" w:type="dxa"/>
            <w:tcBorders>
              <w:top w:val="nil"/>
              <w:left w:val="nil"/>
              <w:bottom w:val="single" w:sz="4" w:space="0" w:color="auto"/>
              <w:right w:val="single" w:sz="4" w:space="0" w:color="auto"/>
            </w:tcBorders>
            <w:shd w:val="clear" w:color="000000" w:fill="F2F2F2"/>
            <w:noWrap/>
            <w:vAlign w:val="center"/>
            <w:hideMark/>
          </w:tcPr>
          <w:p w14:paraId="084F47C2"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$ 5.219.324.218</w:t>
            </w:r>
          </w:p>
        </w:tc>
        <w:tc>
          <w:tcPr>
            <w:tcW w:w="1440" w:type="dxa"/>
            <w:tcBorders>
              <w:top w:val="nil"/>
              <w:left w:val="nil"/>
              <w:bottom w:val="single" w:sz="4" w:space="0" w:color="auto"/>
              <w:right w:val="single" w:sz="4" w:space="0" w:color="auto"/>
            </w:tcBorders>
            <w:shd w:val="clear" w:color="000000" w:fill="F2F2F2"/>
            <w:noWrap/>
            <w:vAlign w:val="center"/>
            <w:hideMark/>
          </w:tcPr>
          <w:p w14:paraId="6480936C"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$ 264.201.345</w:t>
            </w:r>
          </w:p>
        </w:tc>
        <w:tc>
          <w:tcPr>
            <w:tcW w:w="1460" w:type="dxa"/>
            <w:tcBorders>
              <w:top w:val="nil"/>
              <w:left w:val="nil"/>
              <w:bottom w:val="single" w:sz="4" w:space="0" w:color="auto"/>
              <w:right w:val="single" w:sz="4" w:space="0" w:color="auto"/>
            </w:tcBorders>
            <w:shd w:val="clear" w:color="000000" w:fill="F2F2F2"/>
            <w:noWrap/>
            <w:vAlign w:val="center"/>
            <w:hideMark/>
          </w:tcPr>
          <w:p w14:paraId="33A48E0C"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$ 5.483.525.563</w:t>
            </w:r>
          </w:p>
        </w:tc>
        <w:tc>
          <w:tcPr>
            <w:tcW w:w="1260" w:type="dxa"/>
            <w:tcBorders>
              <w:top w:val="nil"/>
              <w:left w:val="nil"/>
              <w:bottom w:val="single" w:sz="4" w:space="0" w:color="auto"/>
              <w:right w:val="single" w:sz="4" w:space="0" w:color="auto"/>
            </w:tcBorders>
            <w:shd w:val="clear" w:color="000000" w:fill="F2F2F2"/>
            <w:noWrap/>
            <w:vAlign w:val="center"/>
            <w:hideMark/>
          </w:tcPr>
          <w:p w14:paraId="4AEA26D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$ 54.835.256</w:t>
            </w:r>
          </w:p>
        </w:tc>
        <w:tc>
          <w:tcPr>
            <w:tcW w:w="1120" w:type="dxa"/>
            <w:tcBorders>
              <w:top w:val="nil"/>
              <w:left w:val="nil"/>
              <w:bottom w:val="single" w:sz="4" w:space="0" w:color="auto"/>
              <w:right w:val="single" w:sz="4" w:space="0" w:color="auto"/>
            </w:tcBorders>
            <w:shd w:val="clear" w:color="000000" w:fill="F2F2F2"/>
            <w:noWrap/>
            <w:vAlign w:val="center"/>
            <w:hideMark/>
          </w:tcPr>
          <w:p w14:paraId="13E1070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$ 2.282</w:t>
            </w:r>
          </w:p>
        </w:tc>
        <w:tc>
          <w:tcPr>
            <w:tcW w:w="1260" w:type="dxa"/>
            <w:tcBorders>
              <w:top w:val="nil"/>
              <w:left w:val="nil"/>
              <w:bottom w:val="single" w:sz="4" w:space="0" w:color="auto"/>
              <w:right w:val="single" w:sz="4" w:space="0" w:color="auto"/>
            </w:tcBorders>
            <w:shd w:val="clear" w:color="000000" w:fill="F2F2F2"/>
            <w:noWrap/>
            <w:vAlign w:val="center"/>
            <w:hideMark/>
          </w:tcPr>
          <w:p w14:paraId="3AD8951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$ 54.837.538</w:t>
            </w:r>
          </w:p>
        </w:tc>
        <w:tc>
          <w:tcPr>
            <w:tcW w:w="1920" w:type="dxa"/>
            <w:tcBorders>
              <w:top w:val="nil"/>
              <w:left w:val="nil"/>
              <w:bottom w:val="single" w:sz="4" w:space="0" w:color="auto"/>
              <w:right w:val="single" w:sz="4" w:space="0" w:color="auto"/>
            </w:tcBorders>
            <w:shd w:val="clear" w:color="000000" w:fill="F2F2F2"/>
            <w:vAlign w:val="center"/>
            <w:hideMark/>
          </w:tcPr>
          <w:p w14:paraId="21DBF6CF"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w:t>
            </w:r>
          </w:p>
        </w:tc>
      </w:tr>
      <w:tr w:rsidR="00D705A6" w:rsidRPr="002E0BB9" w14:paraId="7AC74150" w14:textId="77777777" w:rsidTr="007D1249">
        <w:trPr>
          <w:trHeight w:val="4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003CA7E3"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56</w:t>
            </w:r>
          </w:p>
        </w:tc>
        <w:tc>
          <w:tcPr>
            <w:tcW w:w="560" w:type="dxa"/>
            <w:tcBorders>
              <w:top w:val="nil"/>
              <w:left w:val="nil"/>
              <w:bottom w:val="single" w:sz="4" w:space="0" w:color="auto"/>
              <w:right w:val="single" w:sz="4" w:space="0" w:color="auto"/>
            </w:tcBorders>
            <w:shd w:val="clear" w:color="000000" w:fill="F2F2F2"/>
            <w:noWrap/>
            <w:vAlign w:val="center"/>
            <w:hideMark/>
          </w:tcPr>
          <w:p w14:paraId="32016D35"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3080</w:t>
            </w:r>
          </w:p>
        </w:tc>
        <w:tc>
          <w:tcPr>
            <w:tcW w:w="920" w:type="dxa"/>
            <w:tcBorders>
              <w:top w:val="nil"/>
              <w:left w:val="nil"/>
              <w:bottom w:val="single" w:sz="4" w:space="0" w:color="auto"/>
              <w:right w:val="single" w:sz="4" w:space="0" w:color="auto"/>
            </w:tcBorders>
            <w:shd w:val="clear" w:color="000000" w:fill="F2F2F2"/>
            <w:noWrap/>
            <w:vAlign w:val="center"/>
            <w:hideMark/>
          </w:tcPr>
          <w:p w14:paraId="7BC75781"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822004727</w:t>
            </w:r>
          </w:p>
        </w:tc>
        <w:tc>
          <w:tcPr>
            <w:tcW w:w="2180" w:type="dxa"/>
            <w:tcBorders>
              <w:top w:val="nil"/>
              <w:left w:val="nil"/>
              <w:bottom w:val="single" w:sz="4" w:space="0" w:color="auto"/>
              <w:right w:val="single" w:sz="4" w:space="0" w:color="auto"/>
            </w:tcBorders>
            <w:shd w:val="clear" w:color="000000" w:fill="F2F2F2"/>
            <w:vAlign w:val="center"/>
            <w:hideMark/>
          </w:tcPr>
          <w:p w14:paraId="2974E281"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LA LLAMA OLÍMPICA S.A, E.S.P.</w:t>
            </w:r>
          </w:p>
        </w:tc>
        <w:tc>
          <w:tcPr>
            <w:tcW w:w="1520" w:type="dxa"/>
            <w:tcBorders>
              <w:top w:val="nil"/>
              <w:left w:val="nil"/>
              <w:bottom w:val="single" w:sz="4" w:space="0" w:color="auto"/>
              <w:right w:val="single" w:sz="4" w:space="0" w:color="auto"/>
            </w:tcBorders>
            <w:shd w:val="clear" w:color="000000" w:fill="F2F2F2"/>
            <w:noWrap/>
            <w:vAlign w:val="center"/>
            <w:hideMark/>
          </w:tcPr>
          <w:p w14:paraId="0422456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$ 246.353.000</w:t>
            </w:r>
          </w:p>
        </w:tc>
        <w:tc>
          <w:tcPr>
            <w:tcW w:w="1440" w:type="dxa"/>
            <w:tcBorders>
              <w:top w:val="nil"/>
              <w:left w:val="nil"/>
              <w:bottom w:val="single" w:sz="4" w:space="0" w:color="auto"/>
              <w:right w:val="single" w:sz="4" w:space="0" w:color="auto"/>
            </w:tcBorders>
            <w:shd w:val="clear" w:color="000000" w:fill="F2F2F2"/>
            <w:noWrap/>
            <w:vAlign w:val="center"/>
            <w:hideMark/>
          </w:tcPr>
          <w:p w14:paraId="31CD78C1"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$ 11.562.945</w:t>
            </w:r>
          </w:p>
        </w:tc>
        <w:tc>
          <w:tcPr>
            <w:tcW w:w="1460" w:type="dxa"/>
            <w:tcBorders>
              <w:top w:val="nil"/>
              <w:left w:val="nil"/>
              <w:bottom w:val="single" w:sz="4" w:space="0" w:color="auto"/>
              <w:right w:val="single" w:sz="4" w:space="0" w:color="auto"/>
            </w:tcBorders>
            <w:shd w:val="clear" w:color="000000" w:fill="F2F2F2"/>
            <w:noWrap/>
            <w:vAlign w:val="center"/>
            <w:hideMark/>
          </w:tcPr>
          <w:p w14:paraId="329E530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$ 257.915.945</w:t>
            </w:r>
          </w:p>
        </w:tc>
        <w:tc>
          <w:tcPr>
            <w:tcW w:w="1260" w:type="dxa"/>
            <w:tcBorders>
              <w:top w:val="nil"/>
              <w:left w:val="nil"/>
              <w:bottom w:val="single" w:sz="4" w:space="0" w:color="auto"/>
              <w:right w:val="single" w:sz="4" w:space="0" w:color="auto"/>
            </w:tcBorders>
            <w:shd w:val="clear" w:color="000000" w:fill="F2F2F2"/>
            <w:noWrap/>
            <w:vAlign w:val="center"/>
            <w:hideMark/>
          </w:tcPr>
          <w:p w14:paraId="7EE37E31"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$ 2.579.159</w:t>
            </w:r>
          </w:p>
        </w:tc>
        <w:tc>
          <w:tcPr>
            <w:tcW w:w="1120" w:type="dxa"/>
            <w:tcBorders>
              <w:top w:val="nil"/>
              <w:left w:val="nil"/>
              <w:bottom w:val="single" w:sz="4" w:space="0" w:color="auto"/>
              <w:right w:val="single" w:sz="4" w:space="0" w:color="auto"/>
            </w:tcBorders>
            <w:shd w:val="clear" w:color="000000" w:fill="F2F2F2"/>
            <w:noWrap/>
            <w:vAlign w:val="center"/>
            <w:hideMark/>
          </w:tcPr>
          <w:p w14:paraId="786D116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$ 107</w:t>
            </w:r>
          </w:p>
        </w:tc>
        <w:tc>
          <w:tcPr>
            <w:tcW w:w="1260" w:type="dxa"/>
            <w:tcBorders>
              <w:top w:val="nil"/>
              <w:left w:val="nil"/>
              <w:bottom w:val="single" w:sz="4" w:space="0" w:color="auto"/>
              <w:right w:val="single" w:sz="4" w:space="0" w:color="auto"/>
            </w:tcBorders>
            <w:shd w:val="clear" w:color="000000" w:fill="F2F2F2"/>
            <w:noWrap/>
            <w:vAlign w:val="center"/>
            <w:hideMark/>
          </w:tcPr>
          <w:p w14:paraId="0B41F3D7"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$ 2.579.267</w:t>
            </w:r>
          </w:p>
        </w:tc>
        <w:tc>
          <w:tcPr>
            <w:tcW w:w="1920" w:type="dxa"/>
            <w:tcBorders>
              <w:top w:val="nil"/>
              <w:left w:val="nil"/>
              <w:bottom w:val="single" w:sz="4" w:space="0" w:color="auto"/>
              <w:right w:val="single" w:sz="4" w:space="0" w:color="auto"/>
            </w:tcBorders>
            <w:shd w:val="clear" w:color="000000" w:fill="F2F2F2"/>
            <w:vAlign w:val="center"/>
            <w:hideMark/>
          </w:tcPr>
          <w:p w14:paraId="7C343AF8"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GAS LICUADO DEL PETROLEO</w:t>
            </w:r>
          </w:p>
        </w:tc>
      </w:tr>
      <w:tr w:rsidR="00D705A6" w:rsidRPr="002E0BB9" w14:paraId="3750E9D7" w14:textId="77777777" w:rsidTr="002E0BB9">
        <w:trPr>
          <w:trHeight w:val="601"/>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492198C4"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57</w:t>
            </w:r>
          </w:p>
        </w:tc>
        <w:tc>
          <w:tcPr>
            <w:tcW w:w="560" w:type="dxa"/>
            <w:tcBorders>
              <w:top w:val="nil"/>
              <w:left w:val="nil"/>
              <w:bottom w:val="single" w:sz="4" w:space="0" w:color="auto"/>
              <w:right w:val="single" w:sz="4" w:space="0" w:color="auto"/>
            </w:tcBorders>
            <w:shd w:val="clear" w:color="000000" w:fill="F2F2F2"/>
            <w:noWrap/>
            <w:vAlign w:val="center"/>
            <w:hideMark/>
          </w:tcPr>
          <w:p w14:paraId="28EE770A"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1720</w:t>
            </w:r>
          </w:p>
        </w:tc>
        <w:tc>
          <w:tcPr>
            <w:tcW w:w="920" w:type="dxa"/>
            <w:tcBorders>
              <w:top w:val="nil"/>
              <w:left w:val="nil"/>
              <w:bottom w:val="single" w:sz="4" w:space="0" w:color="auto"/>
              <w:right w:val="single" w:sz="4" w:space="0" w:color="auto"/>
            </w:tcBorders>
            <w:shd w:val="clear" w:color="000000" w:fill="F2F2F2"/>
            <w:noWrap/>
            <w:vAlign w:val="center"/>
            <w:hideMark/>
          </w:tcPr>
          <w:p w14:paraId="5F597A52"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827000108</w:t>
            </w:r>
          </w:p>
        </w:tc>
        <w:tc>
          <w:tcPr>
            <w:tcW w:w="2180" w:type="dxa"/>
            <w:tcBorders>
              <w:top w:val="nil"/>
              <w:left w:val="nil"/>
              <w:bottom w:val="single" w:sz="4" w:space="0" w:color="auto"/>
              <w:right w:val="single" w:sz="4" w:space="0" w:color="auto"/>
            </w:tcBorders>
            <w:shd w:val="clear" w:color="000000" w:fill="F2F2F2"/>
            <w:vAlign w:val="center"/>
            <w:hideMark/>
          </w:tcPr>
          <w:p w14:paraId="06B684C4"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SOCIEDAD PRODUCTORA DE ENERGÍA DE SAN ANDRES Y PROVIDENCIA S.A. E.S.P.</w:t>
            </w:r>
          </w:p>
        </w:tc>
        <w:tc>
          <w:tcPr>
            <w:tcW w:w="1520" w:type="dxa"/>
            <w:tcBorders>
              <w:top w:val="nil"/>
              <w:left w:val="nil"/>
              <w:bottom w:val="single" w:sz="4" w:space="0" w:color="auto"/>
              <w:right w:val="single" w:sz="4" w:space="0" w:color="auto"/>
            </w:tcBorders>
            <w:shd w:val="clear" w:color="000000" w:fill="F2F2F2"/>
            <w:noWrap/>
            <w:vAlign w:val="center"/>
            <w:hideMark/>
          </w:tcPr>
          <w:p w14:paraId="2310190A"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$ 9.134.839.000</w:t>
            </w:r>
          </w:p>
        </w:tc>
        <w:tc>
          <w:tcPr>
            <w:tcW w:w="1440" w:type="dxa"/>
            <w:tcBorders>
              <w:top w:val="nil"/>
              <w:left w:val="nil"/>
              <w:bottom w:val="single" w:sz="4" w:space="0" w:color="auto"/>
              <w:right w:val="single" w:sz="4" w:space="0" w:color="auto"/>
            </w:tcBorders>
            <w:shd w:val="clear" w:color="000000" w:fill="F2F2F2"/>
            <w:noWrap/>
            <w:vAlign w:val="center"/>
            <w:hideMark/>
          </w:tcPr>
          <w:p w14:paraId="3B9D533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$ 729.757.193</w:t>
            </w:r>
          </w:p>
        </w:tc>
        <w:tc>
          <w:tcPr>
            <w:tcW w:w="1460" w:type="dxa"/>
            <w:tcBorders>
              <w:top w:val="nil"/>
              <w:left w:val="nil"/>
              <w:bottom w:val="single" w:sz="4" w:space="0" w:color="auto"/>
              <w:right w:val="single" w:sz="4" w:space="0" w:color="auto"/>
            </w:tcBorders>
            <w:shd w:val="clear" w:color="000000" w:fill="F2F2F2"/>
            <w:noWrap/>
            <w:vAlign w:val="center"/>
            <w:hideMark/>
          </w:tcPr>
          <w:p w14:paraId="1D8D98B5"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$ 9.864.596.193</w:t>
            </w:r>
          </w:p>
        </w:tc>
        <w:tc>
          <w:tcPr>
            <w:tcW w:w="1260" w:type="dxa"/>
            <w:tcBorders>
              <w:top w:val="nil"/>
              <w:left w:val="nil"/>
              <w:bottom w:val="single" w:sz="4" w:space="0" w:color="auto"/>
              <w:right w:val="single" w:sz="4" w:space="0" w:color="auto"/>
            </w:tcBorders>
            <w:shd w:val="clear" w:color="000000" w:fill="F2F2F2"/>
            <w:noWrap/>
            <w:vAlign w:val="center"/>
            <w:hideMark/>
          </w:tcPr>
          <w:p w14:paraId="5C280EAD"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$ 98.645.962</w:t>
            </w:r>
          </w:p>
        </w:tc>
        <w:tc>
          <w:tcPr>
            <w:tcW w:w="1120" w:type="dxa"/>
            <w:tcBorders>
              <w:top w:val="nil"/>
              <w:left w:val="nil"/>
              <w:bottom w:val="single" w:sz="4" w:space="0" w:color="auto"/>
              <w:right w:val="single" w:sz="4" w:space="0" w:color="auto"/>
            </w:tcBorders>
            <w:shd w:val="clear" w:color="000000" w:fill="F2F2F2"/>
            <w:noWrap/>
            <w:vAlign w:val="center"/>
            <w:hideMark/>
          </w:tcPr>
          <w:p w14:paraId="07C7E22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$ 4.105</w:t>
            </w:r>
          </w:p>
        </w:tc>
        <w:tc>
          <w:tcPr>
            <w:tcW w:w="1260" w:type="dxa"/>
            <w:tcBorders>
              <w:top w:val="nil"/>
              <w:left w:val="nil"/>
              <w:bottom w:val="single" w:sz="4" w:space="0" w:color="auto"/>
              <w:right w:val="single" w:sz="4" w:space="0" w:color="auto"/>
            </w:tcBorders>
            <w:shd w:val="clear" w:color="000000" w:fill="F2F2F2"/>
            <w:noWrap/>
            <w:vAlign w:val="center"/>
            <w:hideMark/>
          </w:tcPr>
          <w:p w14:paraId="1A3BF42C"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$ 98.650.067</w:t>
            </w:r>
          </w:p>
        </w:tc>
        <w:tc>
          <w:tcPr>
            <w:tcW w:w="1920" w:type="dxa"/>
            <w:tcBorders>
              <w:top w:val="nil"/>
              <w:left w:val="nil"/>
              <w:bottom w:val="single" w:sz="4" w:space="0" w:color="auto"/>
              <w:right w:val="single" w:sz="4" w:space="0" w:color="auto"/>
            </w:tcBorders>
            <w:shd w:val="clear" w:color="000000" w:fill="F2F2F2"/>
            <w:vAlign w:val="center"/>
            <w:hideMark/>
          </w:tcPr>
          <w:p w14:paraId="0912F515"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w:t>
            </w:r>
          </w:p>
        </w:tc>
      </w:tr>
      <w:tr w:rsidR="00D705A6" w:rsidRPr="002E0BB9" w14:paraId="00BC8A99" w14:textId="77777777" w:rsidTr="007D1249">
        <w:trPr>
          <w:trHeight w:val="4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3627B453"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58</w:t>
            </w:r>
          </w:p>
        </w:tc>
        <w:tc>
          <w:tcPr>
            <w:tcW w:w="560" w:type="dxa"/>
            <w:tcBorders>
              <w:top w:val="nil"/>
              <w:left w:val="nil"/>
              <w:bottom w:val="single" w:sz="4" w:space="0" w:color="auto"/>
              <w:right w:val="single" w:sz="4" w:space="0" w:color="auto"/>
            </w:tcBorders>
            <w:shd w:val="clear" w:color="000000" w:fill="F2F2F2"/>
            <w:noWrap/>
            <w:vAlign w:val="center"/>
            <w:hideMark/>
          </w:tcPr>
          <w:p w14:paraId="2C3D981D"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543</w:t>
            </w:r>
          </w:p>
        </w:tc>
        <w:tc>
          <w:tcPr>
            <w:tcW w:w="920" w:type="dxa"/>
            <w:tcBorders>
              <w:top w:val="nil"/>
              <w:left w:val="nil"/>
              <w:bottom w:val="single" w:sz="4" w:space="0" w:color="auto"/>
              <w:right w:val="single" w:sz="4" w:space="0" w:color="auto"/>
            </w:tcBorders>
            <w:shd w:val="clear" w:color="000000" w:fill="F2F2F2"/>
            <w:noWrap/>
            <w:vAlign w:val="center"/>
            <w:hideMark/>
          </w:tcPr>
          <w:p w14:paraId="520160B5"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827000149</w:t>
            </w:r>
          </w:p>
        </w:tc>
        <w:tc>
          <w:tcPr>
            <w:tcW w:w="2180" w:type="dxa"/>
            <w:tcBorders>
              <w:top w:val="nil"/>
              <w:left w:val="nil"/>
              <w:bottom w:val="single" w:sz="4" w:space="0" w:color="auto"/>
              <w:right w:val="single" w:sz="4" w:space="0" w:color="auto"/>
            </w:tcBorders>
            <w:shd w:val="clear" w:color="000000" w:fill="F2F2F2"/>
            <w:vAlign w:val="center"/>
            <w:hideMark/>
          </w:tcPr>
          <w:p w14:paraId="19E7E73C"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PROVIGAS S.A.  E.S.P.</w:t>
            </w:r>
          </w:p>
        </w:tc>
        <w:tc>
          <w:tcPr>
            <w:tcW w:w="1520" w:type="dxa"/>
            <w:tcBorders>
              <w:top w:val="nil"/>
              <w:left w:val="nil"/>
              <w:bottom w:val="single" w:sz="4" w:space="0" w:color="auto"/>
              <w:right w:val="single" w:sz="4" w:space="0" w:color="auto"/>
            </w:tcBorders>
            <w:shd w:val="clear" w:color="000000" w:fill="F2F2F2"/>
            <w:noWrap/>
            <w:vAlign w:val="center"/>
            <w:hideMark/>
          </w:tcPr>
          <w:p w14:paraId="709E965A"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$ 1.529.175.834</w:t>
            </w:r>
          </w:p>
        </w:tc>
        <w:tc>
          <w:tcPr>
            <w:tcW w:w="1440" w:type="dxa"/>
            <w:tcBorders>
              <w:top w:val="nil"/>
              <w:left w:val="nil"/>
              <w:bottom w:val="single" w:sz="4" w:space="0" w:color="auto"/>
              <w:right w:val="single" w:sz="4" w:space="0" w:color="auto"/>
            </w:tcBorders>
            <w:shd w:val="clear" w:color="000000" w:fill="F2F2F2"/>
            <w:noWrap/>
            <w:vAlign w:val="center"/>
            <w:hideMark/>
          </w:tcPr>
          <w:p w14:paraId="0EFAE552"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$ 0</w:t>
            </w:r>
          </w:p>
        </w:tc>
        <w:tc>
          <w:tcPr>
            <w:tcW w:w="1460" w:type="dxa"/>
            <w:tcBorders>
              <w:top w:val="nil"/>
              <w:left w:val="nil"/>
              <w:bottom w:val="single" w:sz="4" w:space="0" w:color="auto"/>
              <w:right w:val="single" w:sz="4" w:space="0" w:color="auto"/>
            </w:tcBorders>
            <w:shd w:val="clear" w:color="000000" w:fill="F2F2F2"/>
            <w:noWrap/>
            <w:vAlign w:val="center"/>
            <w:hideMark/>
          </w:tcPr>
          <w:p w14:paraId="4A3C408C"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$ 1.529.175.834</w:t>
            </w:r>
          </w:p>
        </w:tc>
        <w:tc>
          <w:tcPr>
            <w:tcW w:w="1260" w:type="dxa"/>
            <w:tcBorders>
              <w:top w:val="nil"/>
              <w:left w:val="nil"/>
              <w:bottom w:val="single" w:sz="4" w:space="0" w:color="auto"/>
              <w:right w:val="single" w:sz="4" w:space="0" w:color="auto"/>
            </w:tcBorders>
            <w:shd w:val="clear" w:color="000000" w:fill="F2F2F2"/>
            <w:noWrap/>
            <w:vAlign w:val="center"/>
            <w:hideMark/>
          </w:tcPr>
          <w:p w14:paraId="048518D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$ 15.291.758</w:t>
            </w:r>
          </w:p>
        </w:tc>
        <w:tc>
          <w:tcPr>
            <w:tcW w:w="1120" w:type="dxa"/>
            <w:tcBorders>
              <w:top w:val="nil"/>
              <w:left w:val="nil"/>
              <w:bottom w:val="single" w:sz="4" w:space="0" w:color="auto"/>
              <w:right w:val="single" w:sz="4" w:space="0" w:color="auto"/>
            </w:tcBorders>
            <w:shd w:val="clear" w:color="000000" w:fill="F2F2F2"/>
            <w:noWrap/>
            <w:vAlign w:val="center"/>
            <w:hideMark/>
          </w:tcPr>
          <w:p w14:paraId="01160197"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$ 636</w:t>
            </w:r>
          </w:p>
        </w:tc>
        <w:tc>
          <w:tcPr>
            <w:tcW w:w="1260" w:type="dxa"/>
            <w:tcBorders>
              <w:top w:val="nil"/>
              <w:left w:val="nil"/>
              <w:bottom w:val="single" w:sz="4" w:space="0" w:color="auto"/>
              <w:right w:val="single" w:sz="4" w:space="0" w:color="auto"/>
            </w:tcBorders>
            <w:shd w:val="clear" w:color="000000" w:fill="F2F2F2"/>
            <w:noWrap/>
            <w:vAlign w:val="center"/>
            <w:hideMark/>
          </w:tcPr>
          <w:p w14:paraId="4447B467"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$ 15.292.395</w:t>
            </w:r>
          </w:p>
        </w:tc>
        <w:tc>
          <w:tcPr>
            <w:tcW w:w="1920" w:type="dxa"/>
            <w:tcBorders>
              <w:top w:val="nil"/>
              <w:left w:val="nil"/>
              <w:bottom w:val="single" w:sz="4" w:space="0" w:color="auto"/>
              <w:right w:val="single" w:sz="4" w:space="0" w:color="auto"/>
            </w:tcBorders>
            <w:shd w:val="clear" w:color="000000" w:fill="F2F2F2"/>
            <w:vAlign w:val="center"/>
            <w:hideMark/>
          </w:tcPr>
          <w:p w14:paraId="0DE0B641"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GAS LICUADO DEL PETROLEO</w:t>
            </w:r>
          </w:p>
        </w:tc>
      </w:tr>
      <w:tr w:rsidR="00D705A6" w:rsidRPr="002E0BB9" w14:paraId="1CE3F0F9" w14:textId="77777777" w:rsidTr="002E0BB9">
        <w:trPr>
          <w:trHeight w:val="714"/>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5C1DBEC9"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59</w:t>
            </w:r>
          </w:p>
        </w:tc>
        <w:tc>
          <w:tcPr>
            <w:tcW w:w="560" w:type="dxa"/>
            <w:tcBorders>
              <w:top w:val="nil"/>
              <w:left w:val="nil"/>
              <w:bottom w:val="single" w:sz="4" w:space="0" w:color="auto"/>
              <w:right w:val="single" w:sz="4" w:space="0" w:color="auto"/>
            </w:tcBorders>
            <w:shd w:val="clear" w:color="000000" w:fill="F2F2F2"/>
            <w:noWrap/>
            <w:vAlign w:val="center"/>
            <w:hideMark/>
          </w:tcPr>
          <w:p w14:paraId="7C2D0F7E"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569</w:t>
            </w:r>
          </w:p>
        </w:tc>
        <w:tc>
          <w:tcPr>
            <w:tcW w:w="920" w:type="dxa"/>
            <w:tcBorders>
              <w:top w:val="nil"/>
              <w:left w:val="nil"/>
              <w:bottom w:val="single" w:sz="4" w:space="0" w:color="auto"/>
              <w:right w:val="single" w:sz="4" w:space="0" w:color="auto"/>
            </w:tcBorders>
            <w:shd w:val="clear" w:color="000000" w:fill="F2F2F2"/>
            <w:noWrap/>
            <w:vAlign w:val="center"/>
            <w:hideMark/>
          </w:tcPr>
          <w:p w14:paraId="67B83E5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828000191</w:t>
            </w:r>
          </w:p>
        </w:tc>
        <w:tc>
          <w:tcPr>
            <w:tcW w:w="2180" w:type="dxa"/>
            <w:tcBorders>
              <w:top w:val="nil"/>
              <w:left w:val="nil"/>
              <w:bottom w:val="single" w:sz="4" w:space="0" w:color="auto"/>
              <w:right w:val="single" w:sz="4" w:space="0" w:color="auto"/>
            </w:tcBorders>
            <w:shd w:val="clear" w:color="000000" w:fill="F2F2F2"/>
            <w:vAlign w:val="center"/>
            <w:hideMark/>
          </w:tcPr>
          <w:p w14:paraId="223CB3A0"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EMPRESA MUNICIPAL DE SERVICIOS PUBLICOS DE CARTAGENA DEL CHAIRA</w:t>
            </w:r>
          </w:p>
        </w:tc>
        <w:tc>
          <w:tcPr>
            <w:tcW w:w="1520" w:type="dxa"/>
            <w:tcBorders>
              <w:top w:val="nil"/>
              <w:left w:val="nil"/>
              <w:bottom w:val="single" w:sz="4" w:space="0" w:color="auto"/>
              <w:right w:val="single" w:sz="4" w:space="0" w:color="auto"/>
            </w:tcBorders>
            <w:shd w:val="clear" w:color="000000" w:fill="F2F2F2"/>
            <w:noWrap/>
            <w:vAlign w:val="center"/>
            <w:hideMark/>
          </w:tcPr>
          <w:p w14:paraId="0DC3CC0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$ 397.317.000</w:t>
            </w:r>
          </w:p>
        </w:tc>
        <w:tc>
          <w:tcPr>
            <w:tcW w:w="1440" w:type="dxa"/>
            <w:tcBorders>
              <w:top w:val="nil"/>
              <w:left w:val="nil"/>
              <w:bottom w:val="single" w:sz="4" w:space="0" w:color="auto"/>
              <w:right w:val="single" w:sz="4" w:space="0" w:color="auto"/>
            </w:tcBorders>
            <w:shd w:val="clear" w:color="000000" w:fill="F2F2F2"/>
            <w:noWrap/>
            <w:vAlign w:val="center"/>
            <w:hideMark/>
          </w:tcPr>
          <w:p w14:paraId="2B78012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$ 0</w:t>
            </w:r>
          </w:p>
        </w:tc>
        <w:tc>
          <w:tcPr>
            <w:tcW w:w="1460" w:type="dxa"/>
            <w:tcBorders>
              <w:top w:val="nil"/>
              <w:left w:val="nil"/>
              <w:bottom w:val="single" w:sz="4" w:space="0" w:color="auto"/>
              <w:right w:val="single" w:sz="4" w:space="0" w:color="auto"/>
            </w:tcBorders>
            <w:shd w:val="clear" w:color="000000" w:fill="F2F2F2"/>
            <w:noWrap/>
            <w:vAlign w:val="center"/>
            <w:hideMark/>
          </w:tcPr>
          <w:p w14:paraId="35D08391"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$ 397.317.000</w:t>
            </w:r>
          </w:p>
        </w:tc>
        <w:tc>
          <w:tcPr>
            <w:tcW w:w="1260" w:type="dxa"/>
            <w:tcBorders>
              <w:top w:val="nil"/>
              <w:left w:val="nil"/>
              <w:bottom w:val="single" w:sz="4" w:space="0" w:color="auto"/>
              <w:right w:val="single" w:sz="4" w:space="0" w:color="auto"/>
            </w:tcBorders>
            <w:shd w:val="clear" w:color="000000" w:fill="F2F2F2"/>
            <w:noWrap/>
            <w:vAlign w:val="center"/>
            <w:hideMark/>
          </w:tcPr>
          <w:p w14:paraId="1B54221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$ 3.973.170</w:t>
            </w:r>
          </w:p>
        </w:tc>
        <w:tc>
          <w:tcPr>
            <w:tcW w:w="1120" w:type="dxa"/>
            <w:tcBorders>
              <w:top w:val="nil"/>
              <w:left w:val="nil"/>
              <w:bottom w:val="single" w:sz="4" w:space="0" w:color="auto"/>
              <w:right w:val="single" w:sz="4" w:space="0" w:color="auto"/>
            </w:tcBorders>
            <w:shd w:val="clear" w:color="000000" w:fill="F2F2F2"/>
            <w:noWrap/>
            <w:vAlign w:val="center"/>
            <w:hideMark/>
          </w:tcPr>
          <w:p w14:paraId="05AC08ED"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$ 165</w:t>
            </w:r>
          </w:p>
        </w:tc>
        <w:tc>
          <w:tcPr>
            <w:tcW w:w="1260" w:type="dxa"/>
            <w:tcBorders>
              <w:top w:val="nil"/>
              <w:left w:val="nil"/>
              <w:bottom w:val="single" w:sz="4" w:space="0" w:color="auto"/>
              <w:right w:val="single" w:sz="4" w:space="0" w:color="auto"/>
            </w:tcBorders>
            <w:shd w:val="clear" w:color="000000" w:fill="F2F2F2"/>
            <w:noWrap/>
            <w:vAlign w:val="center"/>
            <w:hideMark/>
          </w:tcPr>
          <w:p w14:paraId="33DF0D4B"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$ 3.973.335</w:t>
            </w:r>
          </w:p>
        </w:tc>
        <w:tc>
          <w:tcPr>
            <w:tcW w:w="1920" w:type="dxa"/>
            <w:tcBorders>
              <w:top w:val="nil"/>
              <w:left w:val="nil"/>
              <w:bottom w:val="single" w:sz="4" w:space="0" w:color="auto"/>
              <w:right w:val="single" w:sz="4" w:space="0" w:color="auto"/>
            </w:tcBorders>
            <w:shd w:val="clear" w:color="000000" w:fill="F2F2F2"/>
            <w:vAlign w:val="center"/>
            <w:hideMark/>
          </w:tcPr>
          <w:p w14:paraId="0F0DBBA2"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 - ACUEDUCTO - ALCANTARILLADO - ASEO</w:t>
            </w:r>
          </w:p>
        </w:tc>
      </w:tr>
      <w:tr w:rsidR="00D705A6" w:rsidRPr="002E0BB9" w14:paraId="7BFD383E" w14:textId="77777777" w:rsidTr="007D1249">
        <w:trPr>
          <w:trHeight w:val="4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6FA03FFE"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60</w:t>
            </w:r>
          </w:p>
        </w:tc>
        <w:tc>
          <w:tcPr>
            <w:tcW w:w="560" w:type="dxa"/>
            <w:tcBorders>
              <w:top w:val="nil"/>
              <w:left w:val="nil"/>
              <w:bottom w:val="single" w:sz="4" w:space="0" w:color="auto"/>
              <w:right w:val="single" w:sz="4" w:space="0" w:color="auto"/>
            </w:tcBorders>
            <w:shd w:val="clear" w:color="000000" w:fill="F2F2F2"/>
            <w:noWrap/>
            <w:vAlign w:val="center"/>
            <w:hideMark/>
          </w:tcPr>
          <w:p w14:paraId="71C3F4AC"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2180</w:t>
            </w:r>
          </w:p>
        </w:tc>
        <w:tc>
          <w:tcPr>
            <w:tcW w:w="920" w:type="dxa"/>
            <w:tcBorders>
              <w:top w:val="nil"/>
              <w:left w:val="nil"/>
              <w:bottom w:val="single" w:sz="4" w:space="0" w:color="auto"/>
              <w:right w:val="single" w:sz="4" w:space="0" w:color="auto"/>
            </w:tcBorders>
            <w:shd w:val="clear" w:color="000000" w:fill="F2F2F2"/>
            <w:noWrap/>
            <w:vAlign w:val="center"/>
            <w:hideMark/>
          </w:tcPr>
          <w:p w14:paraId="058E5F0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828000499</w:t>
            </w:r>
          </w:p>
        </w:tc>
        <w:tc>
          <w:tcPr>
            <w:tcW w:w="2180" w:type="dxa"/>
            <w:tcBorders>
              <w:top w:val="nil"/>
              <w:left w:val="nil"/>
              <w:bottom w:val="single" w:sz="4" w:space="0" w:color="auto"/>
              <w:right w:val="single" w:sz="4" w:space="0" w:color="auto"/>
            </w:tcBorders>
            <w:shd w:val="clear" w:color="000000" w:fill="F2F2F2"/>
            <w:vAlign w:val="center"/>
            <w:hideMark/>
          </w:tcPr>
          <w:p w14:paraId="41DF47DC"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xml:space="preserve">GAS CAQUETA </w:t>
            </w:r>
            <w:proofErr w:type="gramStart"/>
            <w:r w:rsidRPr="002E0BB9">
              <w:rPr>
                <w:rFonts w:ascii="Arial Narrow" w:hAnsi="Arial Narrow" w:cs="Arial"/>
                <w:spacing w:val="0"/>
                <w:sz w:val="16"/>
                <w:szCs w:val="16"/>
                <w:lang w:val="es-MX" w:eastAsia="es-MX"/>
              </w:rPr>
              <w:t>S.A  E</w:t>
            </w:r>
            <w:proofErr w:type="gramEnd"/>
            <w:r w:rsidRPr="002E0BB9">
              <w:rPr>
                <w:rFonts w:ascii="Arial Narrow" w:hAnsi="Arial Narrow" w:cs="Arial"/>
                <w:spacing w:val="0"/>
                <w:sz w:val="16"/>
                <w:szCs w:val="16"/>
                <w:lang w:val="es-MX" w:eastAsia="es-MX"/>
              </w:rPr>
              <w:t>.S.P</w:t>
            </w:r>
          </w:p>
        </w:tc>
        <w:tc>
          <w:tcPr>
            <w:tcW w:w="1520" w:type="dxa"/>
            <w:tcBorders>
              <w:top w:val="nil"/>
              <w:left w:val="nil"/>
              <w:bottom w:val="single" w:sz="4" w:space="0" w:color="auto"/>
              <w:right w:val="single" w:sz="4" w:space="0" w:color="auto"/>
            </w:tcBorders>
            <w:shd w:val="clear" w:color="000000" w:fill="F2F2F2"/>
            <w:noWrap/>
            <w:vAlign w:val="center"/>
            <w:hideMark/>
          </w:tcPr>
          <w:p w14:paraId="2DD499FD"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$ 3.976.825.000</w:t>
            </w:r>
          </w:p>
        </w:tc>
        <w:tc>
          <w:tcPr>
            <w:tcW w:w="1440" w:type="dxa"/>
            <w:tcBorders>
              <w:top w:val="nil"/>
              <w:left w:val="nil"/>
              <w:bottom w:val="single" w:sz="4" w:space="0" w:color="auto"/>
              <w:right w:val="single" w:sz="4" w:space="0" w:color="auto"/>
            </w:tcBorders>
            <w:shd w:val="clear" w:color="000000" w:fill="F2F2F2"/>
            <w:noWrap/>
            <w:vAlign w:val="center"/>
            <w:hideMark/>
          </w:tcPr>
          <w:p w14:paraId="50245B4C"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$ 62.460.837</w:t>
            </w:r>
          </w:p>
        </w:tc>
        <w:tc>
          <w:tcPr>
            <w:tcW w:w="1460" w:type="dxa"/>
            <w:tcBorders>
              <w:top w:val="nil"/>
              <w:left w:val="nil"/>
              <w:bottom w:val="single" w:sz="4" w:space="0" w:color="auto"/>
              <w:right w:val="single" w:sz="4" w:space="0" w:color="auto"/>
            </w:tcBorders>
            <w:shd w:val="clear" w:color="000000" w:fill="F2F2F2"/>
            <w:noWrap/>
            <w:vAlign w:val="center"/>
            <w:hideMark/>
          </w:tcPr>
          <w:p w14:paraId="1DCF4B07"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$ 4.039.285.837</w:t>
            </w:r>
          </w:p>
        </w:tc>
        <w:tc>
          <w:tcPr>
            <w:tcW w:w="1260" w:type="dxa"/>
            <w:tcBorders>
              <w:top w:val="nil"/>
              <w:left w:val="nil"/>
              <w:bottom w:val="single" w:sz="4" w:space="0" w:color="auto"/>
              <w:right w:val="single" w:sz="4" w:space="0" w:color="auto"/>
            </w:tcBorders>
            <w:shd w:val="clear" w:color="000000" w:fill="F2F2F2"/>
            <w:noWrap/>
            <w:vAlign w:val="center"/>
            <w:hideMark/>
          </w:tcPr>
          <w:p w14:paraId="347E0BE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$ 40.392.858</w:t>
            </w:r>
          </w:p>
        </w:tc>
        <w:tc>
          <w:tcPr>
            <w:tcW w:w="1120" w:type="dxa"/>
            <w:tcBorders>
              <w:top w:val="nil"/>
              <w:left w:val="nil"/>
              <w:bottom w:val="single" w:sz="4" w:space="0" w:color="auto"/>
              <w:right w:val="single" w:sz="4" w:space="0" w:color="auto"/>
            </w:tcBorders>
            <w:shd w:val="clear" w:color="000000" w:fill="F2F2F2"/>
            <w:noWrap/>
            <w:vAlign w:val="center"/>
            <w:hideMark/>
          </w:tcPr>
          <w:p w14:paraId="629B9E3E"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$ 1.681</w:t>
            </w:r>
          </w:p>
        </w:tc>
        <w:tc>
          <w:tcPr>
            <w:tcW w:w="1260" w:type="dxa"/>
            <w:tcBorders>
              <w:top w:val="nil"/>
              <w:left w:val="nil"/>
              <w:bottom w:val="single" w:sz="4" w:space="0" w:color="auto"/>
              <w:right w:val="single" w:sz="4" w:space="0" w:color="auto"/>
            </w:tcBorders>
            <w:shd w:val="clear" w:color="000000" w:fill="F2F2F2"/>
            <w:noWrap/>
            <w:vAlign w:val="center"/>
            <w:hideMark/>
          </w:tcPr>
          <w:p w14:paraId="07129DF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$ 40.394.539</w:t>
            </w:r>
          </w:p>
        </w:tc>
        <w:tc>
          <w:tcPr>
            <w:tcW w:w="1920" w:type="dxa"/>
            <w:tcBorders>
              <w:top w:val="nil"/>
              <w:left w:val="nil"/>
              <w:bottom w:val="single" w:sz="4" w:space="0" w:color="auto"/>
              <w:right w:val="single" w:sz="4" w:space="0" w:color="auto"/>
            </w:tcBorders>
            <w:shd w:val="clear" w:color="000000" w:fill="F2F2F2"/>
            <w:vAlign w:val="center"/>
            <w:hideMark/>
          </w:tcPr>
          <w:p w14:paraId="70440192"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GAS LICUADO DEL PETROLEO</w:t>
            </w:r>
          </w:p>
        </w:tc>
      </w:tr>
      <w:tr w:rsidR="00D705A6" w:rsidRPr="002E0BB9" w14:paraId="2F92ACFE" w14:textId="77777777" w:rsidTr="007D1249">
        <w:trPr>
          <w:trHeight w:val="4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3C63AC9E"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61</w:t>
            </w:r>
          </w:p>
        </w:tc>
        <w:tc>
          <w:tcPr>
            <w:tcW w:w="560" w:type="dxa"/>
            <w:tcBorders>
              <w:top w:val="nil"/>
              <w:left w:val="nil"/>
              <w:bottom w:val="single" w:sz="4" w:space="0" w:color="auto"/>
              <w:right w:val="single" w:sz="4" w:space="0" w:color="auto"/>
            </w:tcBorders>
            <w:shd w:val="clear" w:color="000000" w:fill="F2F2F2"/>
            <w:noWrap/>
            <w:vAlign w:val="center"/>
            <w:hideMark/>
          </w:tcPr>
          <w:p w14:paraId="56E1FA3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26053</w:t>
            </w:r>
          </w:p>
        </w:tc>
        <w:tc>
          <w:tcPr>
            <w:tcW w:w="920" w:type="dxa"/>
            <w:tcBorders>
              <w:top w:val="nil"/>
              <w:left w:val="nil"/>
              <w:bottom w:val="single" w:sz="4" w:space="0" w:color="auto"/>
              <w:right w:val="single" w:sz="4" w:space="0" w:color="auto"/>
            </w:tcBorders>
            <w:shd w:val="clear" w:color="000000" w:fill="F2F2F2"/>
            <w:noWrap/>
            <w:vAlign w:val="center"/>
            <w:hideMark/>
          </w:tcPr>
          <w:p w14:paraId="364A1C5A"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830013746</w:t>
            </w:r>
          </w:p>
        </w:tc>
        <w:tc>
          <w:tcPr>
            <w:tcW w:w="2180" w:type="dxa"/>
            <w:tcBorders>
              <w:top w:val="nil"/>
              <w:left w:val="nil"/>
              <w:bottom w:val="single" w:sz="4" w:space="0" w:color="auto"/>
              <w:right w:val="single" w:sz="4" w:space="0" w:color="auto"/>
            </w:tcBorders>
            <w:shd w:val="clear" w:color="000000" w:fill="F2F2F2"/>
            <w:vAlign w:val="center"/>
            <w:hideMark/>
          </w:tcPr>
          <w:p w14:paraId="542E7DE3" w14:textId="77777777" w:rsidR="00D705A6" w:rsidRPr="002E0BB9" w:rsidRDefault="00D705A6" w:rsidP="00D22441">
            <w:pPr>
              <w:jc w:val="left"/>
              <w:rPr>
                <w:rFonts w:ascii="Arial Narrow" w:hAnsi="Arial Narrow" w:cs="Arial"/>
                <w:spacing w:val="0"/>
                <w:sz w:val="16"/>
                <w:szCs w:val="16"/>
                <w:lang w:val="en-GB" w:eastAsia="es-MX"/>
              </w:rPr>
            </w:pPr>
            <w:r w:rsidRPr="002E0BB9">
              <w:rPr>
                <w:rFonts w:ascii="Arial Narrow" w:hAnsi="Arial Narrow" w:cs="Arial"/>
                <w:spacing w:val="0"/>
                <w:sz w:val="16"/>
                <w:szCs w:val="16"/>
                <w:lang w:val="en-GB" w:eastAsia="es-MX"/>
              </w:rPr>
              <w:t>WATTLE PETROLEUM COMPANY S.A.S.</w:t>
            </w:r>
          </w:p>
        </w:tc>
        <w:tc>
          <w:tcPr>
            <w:tcW w:w="1520" w:type="dxa"/>
            <w:tcBorders>
              <w:top w:val="nil"/>
              <w:left w:val="nil"/>
              <w:bottom w:val="single" w:sz="4" w:space="0" w:color="auto"/>
              <w:right w:val="single" w:sz="4" w:space="0" w:color="auto"/>
            </w:tcBorders>
            <w:shd w:val="clear" w:color="000000" w:fill="F2F2F2"/>
            <w:noWrap/>
            <w:vAlign w:val="center"/>
            <w:hideMark/>
          </w:tcPr>
          <w:p w14:paraId="16A05B76"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$ 3.439.517.000</w:t>
            </w:r>
          </w:p>
        </w:tc>
        <w:tc>
          <w:tcPr>
            <w:tcW w:w="1440" w:type="dxa"/>
            <w:tcBorders>
              <w:top w:val="nil"/>
              <w:left w:val="nil"/>
              <w:bottom w:val="single" w:sz="4" w:space="0" w:color="auto"/>
              <w:right w:val="single" w:sz="4" w:space="0" w:color="auto"/>
            </w:tcBorders>
            <w:shd w:val="clear" w:color="000000" w:fill="F2F2F2"/>
            <w:noWrap/>
            <w:vAlign w:val="center"/>
            <w:hideMark/>
          </w:tcPr>
          <w:p w14:paraId="20E18A3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$ 10.203.634</w:t>
            </w:r>
          </w:p>
        </w:tc>
        <w:tc>
          <w:tcPr>
            <w:tcW w:w="1460" w:type="dxa"/>
            <w:tcBorders>
              <w:top w:val="nil"/>
              <w:left w:val="nil"/>
              <w:bottom w:val="single" w:sz="4" w:space="0" w:color="auto"/>
              <w:right w:val="single" w:sz="4" w:space="0" w:color="auto"/>
            </w:tcBorders>
            <w:shd w:val="clear" w:color="000000" w:fill="F2F2F2"/>
            <w:noWrap/>
            <w:vAlign w:val="center"/>
            <w:hideMark/>
          </w:tcPr>
          <w:p w14:paraId="078063B5"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$ 3.449.720.634</w:t>
            </w:r>
          </w:p>
        </w:tc>
        <w:tc>
          <w:tcPr>
            <w:tcW w:w="1260" w:type="dxa"/>
            <w:tcBorders>
              <w:top w:val="nil"/>
              <w:left w:val="nil"/>
              <w:bottom w:val="single" w:sz="4" w:space="0" w:color="auto"/>
              <w:right w:val="single" w:sz="4" w:space="0" w:color="auto"/>
            </w:tcBorders>
            <w:shd w:val="clear" w:color="000000" w:fill="F2F2F2"/>
            <w:noWrap/>
            <w:vAlign w:val="center"/>
            <w:hideMark/>
          </w:tcPr>
          <w:p w14:paraId="637DD6AA"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$ 34.497.206</w:t>
            </w:r>
          </w:p>
        </w:tc>
        <w:tc>
          <w:tcPr>
            <w:tcW w:w="1120" w:type="dxa"/>
            <w:tcBorders>
              <w:top w:val="nil"/>
              <w:left w:val="nil"/>
              <w:bottom w:val="single" w:sz="4" w:space="0" w:color="auto"/>
              <w:right w:val="single" w:sz="4" w:space="0" w:color="auto"/>
            </w:tcBorders>
            <w:shd w:val="clear" w:color="000000" w:fill="F2F2F2"/>
            <w:noWrap/>
            <w:vAlign w:val="center"/>
            <w:hideMark/>
          </w:tcPr>
          <w:p w14:paraId="6DA135A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$ 1.436</w:t>
            </w:r>
          </w:p>
        </w:tc>
        <w:tc>
          <w:tcPr>
            <w:tcW w:w="1260" w:type="dxa"/>
            <w:tcBorders>
              <w:top w:val="nil"/>
              <w:left w:val="nil"/>
              <w:bottom w:val="single" w:sz="4" w:space="0" w:color="auto"/>
              <w:right w:val="single" w:sz="4" w:space="0" w:color="auto"/>
            </w:tcBorders>
            <w:shd w:val="clear" w:color="000000" w:fill="F2F2F2"/>
            <w:noWrap/>
            <w:vAlign w:val="center"/>
            <w:hideMark/>
          </w:tcPr>
          <w:p w14:paraId="5C938E0C"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$ 34.498.642</w:t>
            </w:r>
          </w:p>
        </w:tc>
        <w:tc>
          <w:tcPr>
            <w:tcW w:w="1920" w:type="dxa"/>
            <w:tcBorders>
              <w:top w:val="nil"/>
              <w:left w:val="nil"/>
              <w:bottom w:val="single" w:sz="4" w:space="0" w:color="auto"/>
              <w:right w:val="single" w:sz="4" w:space="0" w:color="auto"/>
            </w:tcBorders>
            <w:shd w:val="clear" w:color="000000" w:fill="F2F2F2"/>
            <w:vAlign w:val="center"/>
            <w:hideMark/>
          </w:tcPr>
          <w:p w14:paraId="23BD487D"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GAS POR REDES</w:t>
            </w:r>
          </w:p>
        </w:tc>
      </w:tr>
      <w:tr w:rsidR="00D705A6" w:rsidRPr="002E0BB9" w14:paraId="4F010A2E" w14:textId="77777777" w:rsidTr="007D1249">
        <w:trPr>
          <w:trHeight w:val="6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29034DFD"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62</w:t>
            </w:r>
          </w:p>
        </w:tc>
        <w:tc>
          <w:tcPr>
            <w:tcW w:w="560" w:type="dxa"/>
            <w:tcBorders>
              <w:top w:val="nil"/>
              <w:left w:val="nil"/>
              <w:bottom w:val="single" w:sz="4" w:space="0" w:color="auto"/>
              <w:right w:val="single" w:sz="4" w:space="0" w:color="auto"/>
            </w:tcBorders>
            <w:shd w:val="clear" w:color="000000" w:fill="F2F2F2"/>
            <w:noWrap/>
            <w:vAlign w:val="center"/>
            <w:hideMark/>
          </w:tcPr>
          <w:p w14:paraId="7ED3A1D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2225</w:t>
            </w:r>
          </w:p>
        </w:tc>
        <w:tc>
          <w:tcPr>
            <w:tcW w:w="920" w:type="dxa"/>
            <w:tcBorders>
              <w:top w:val="nil"/>
              <w:left w:val="nil"/>
              <w:bottom w:val="single" w:sz="4" w:space="0" w:color="auto"/>
              <w:right w:val="single" w:sz="4" w:space="0" w:color="auto"/>
            </w:tcBorders>
            <w:shd w:val="clear" w:color="000000" w:fill="F2F2F2"/>
            <w:noWrap/>
            <w:vAlign w:val="center"/>
            <w:hideMark/>
          </w:tcPr>
          <w:p w14:paraId="17F4F1DA"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830045472</w:t>
            </w:r>
          </w:p>
        </w:tc>
        <w:tc>
          <w:tcPr>
            <w:tcW w:w="2180" w:type="dxa"/>
            <w:tcBorders>
              <w:top w:val="nil"/>
              <w:left w:val="nil"/>
              <w:bottom w:val="single" w:sz="4" w:space="0" w:color="auto"/>
              <w:right w:val="single" w:sz="4" w:space="0" w:color="auto"/>
            </w:tcBorders>
            <w:shd w:val="clear" w:color="000000" w:fill="F2F2F2"/>
            <w:vAlign w:val="center"/>
            <w:hideMark/>
          </w:tcPr>
          <w:p w14:paraId="2AEF00F4"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GAS NATURAL CUNDIBOYACENSE SA ESP</w:t>
            </w:r>
          </w:p>
        </w:tc>
        <w:tc>
          <w:tcPr>
            <w:tcW w:w="1520" w:type="dxa"/>
            <w:tcBorders>
              <w:top w:val="nil"/>
              <w:left w:val="nil"/>
              <w:bottom w:val="single" w:sz="4" w:space="0" w:color="auto"/>
              <w:right w:val="single" w:sz="4" w:space="0" w:color="auto"/>
            </w:tcBorders>
            <w:shd w:val="clear" w:color="000000" w:fill="F2F2F2"/>
            <w:noWrap/>
            <w:vAlign w:val="center"/>
            <w:hideMark/>
          </w:tcPr>
          <w:p w14:paraId="2E04526E"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$ 6.439.263.000</w:t>
            </w:r>
          </w:p>
        </w:tc>
        <w:tc>
          <w:tcPr>
            <w:tcW w:w="1440" w:type="dxa"/>
            <w:tcBorders>
              <w:top w:val="nil"/>
              <w:left w:val="nil"/>
              <w:bottom w:val="single" w:sz="4" w:space="0" w:color="auto"/>
              <w:right w:val="single" w:sz="4" w:space="0" w:color="auto"/>
            </w:tcBorders>
            <w:shd w:val="clear" w:color="000000" w:fill="F2F2F2"/>
            <w:noWrap/>
            <w:vAlign w:val="center"/>
            <w:hideMark/>
          </w:tcPr>
          <w:p w14:paraId="76DB0BDE"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$ 1.492.947.541</w:t>
            </w:r>
          </w:p>
        </w:tc>
        <w:tc>
          <w:tcPr>
            <w:tcW w:w="1460" w:type="dxa"/>
            <w:tcBorders>
              <w:top w:val="nil"/>
              <w:left w:val="nil"/>
              <w:bottom w:val="single" w:sz="4" w:space="0" w:color="auto"/>
              <w:right w:val="single" w:sz="4" w:space="0" w:color="auto"/>
            </w:tcBorders>
            <w:shd w:val="clear" w:color="000000" w:fill="F2F2F2"/>
            <w:noWrap/>
            <w:vAlign w:val="center"/>
            <w:hideMark/>
          </w:tcPr>
          <w:p w14:paraId="4C632F8B"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$ 7.932.210.541</w:t>
            </w:r>
          </w:p>
        </w:tc>
        <w:tc>
          <w:tcPr>
            <w:tcW w:w="1260" w:type="dxa"/>
            <w:tcBorders>
              <w:top w:val="nil"/>
              <w:left w:val="nil"/>
              <w:bottom w:val="single" w:sz="4" w:space="0" w:color="auto"/>
              <w:right w:val="single" w:sz="4" w:space="0" w:color="auto"/>
            </w:tcBorders>
            <w:shd w:val="clear" w:color="000000" w:fill="F2F2F2"/>
            <w:noWrap/>
            <w:vAlign w:val="center"/>
            <w:hideMark/>
          </w:tcPr>
          <w:p w14:paraId="1423D6EB"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$ 79.322.105</w:t>
            </w:r>
          </w:p>
        </w:tc>
        <w:tc>
          <w:tcPr>
            <w:tcW w:w="1120" w:type="dxa"/>
            <w:tcBorders>
              <w:top w:val="nil"/>
              <w:left w:val="nil"/>
              <w:bottom w:val="single" w:sz="4" w:space="0" w:color="auto"/>
              <w:right w:val="single" w:sz="4" w:space="0" w:color="auto"/>
            </w:tcBorders>
            <w:shd w:val="clear" w:color="000000" w:fill="F2F2F2"/>
            <w:noWrap/>
            <w:vAlign w:val="center"/>
            <w:hideMark/>
          </w:tcPr>
          <w:p w14:paraId="3DF8ACAB"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$ 3.301</w:t>
            </w:r>
          </w:p>
        </w:tc>
        <w:tc>
          <w:tcPr>
            <w:tcW w:w="1260" w:type="dxa"/>
            <w:tcBorders>
              <w:top w:val="nil"/>
              <w:left w:val="nil"/>
              <w:bottom w:val="single" w:sz="4" w:space="0" w:color="auto"/>
              <w:right w:val="single" w:sz="4" w:space="0" w:color="auto"/>
            </w:tcBorders>
            <w:shd w:val="clear" w:color="000000" w:fill="F2F2F2"/>
            <w:noWrap/>
            <w:vAlign w:val="center"/>
            <w:hideMark/>
          </w:tcPr>
          <w:p w14:paraId="0804F7E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$ 79.325.407</w:t>
            </w:r>
          </w:p>
        </w:tc>
        <w:tc>
          <w:tcPr>
            <w:tcW w:w="1920" w:type="dxa"/>
            <w:tcBorders>
              <w:top w:val="nil"/>
              <w:left w:val="nil"/>
              <w:bottom w:val="single" w:sz="4" w:space="0" w:color="auto"/>
              <w:right w:val="single" w:sz="4" w:space="0" w:color="auto"/>
            </w:tcBorders>
            <w:shd w:val="clear" w:color="000000" w:fill="F2F2F2"/>
            <w:vAlign w:val="center"/>
            <w:hideMark/>
          </w:tcPr>
          <w:p w14:paraId="41A76CAD"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GAS POR REDES</w:t>
            </w:r>
          </w:p>
        </w:tc>
      </w:tr>
      <w:tr w:rsidR="00D705A6" w:rsidRPr="002E0BB9" w14:paraId="560A6774" w14:textId="77777777" w:rsidTr="007D1249">
        <w:trPr>
          <w:trHeight w:val="4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75F05EAC"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63</w:t>
            </w:r>
          </w:p>
        </w:tc>
        <w:tc>
          <w:tcPr>
            <w:tcW w:w="560" w:type="dxa"/>
            <w:tcBorders>
              <w:top w:val="nil"/>
              <w:left w:val="nil"/>
              <w:bottom w:val="single" w:sz="4" w:space="0" w:color="auto"/>
              <w:right w:val="single" w:sz="4" w:space="0" w:color="auto"/>
            </w:tcBorders>
            <w:shd w:val="clear" w:color="000000" w:fill="F2F2F2"/>
            <w:noWrap/>
            <w:vAlign w:val="center"/>
            <w:hideMark/>
          </w:tcPr>
          <w:p w14:paraId="216CF621"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1604</w:t>
            </w:r>
          </w:p>
        </w:tc>
        <w:tc>
          <w:tcPr>
            <w:tcW w:w="920" w:type="dxa"/>
            <w:tcBorders>
              <w:top w:val="nil"/>
              <w:left w:val="nil"/>
              <w:bottom w:val="single" w:sz="4" w:space="0" w:color="auto"/>
              <w:right w:val="single" w:sz="4" w:space="0" w:color="auto"/>
            </w:tcBorders>
            <w:shd w:val="clear" w:color="000000" w:fill="F2F2F2"/>
            <w:noWrap/>
            <w:vAlign w:val="center"/>
            <w:hideMark/>
          </w:tcPr>
          <w:p w14:paraId="6C2B1D6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830046209</w:t>
            </w:r>
          </w:p>
        </w:tc>
        <w:tc>
          <w:tcPr>
            <w:tcW w:w="2180" w:type="dxa"/>
            <w:tcBorders>
              <w:top w:val="nil"/>
              <w:left w:val="nil"/>
              <w:bottom w:val="single" w:sz="4" w:space="0" w:color="auto"/>
              <w:right w:val="single" w:sz="4" w:space="0" w:color="auto"/>
            </w:tcBorders>
            <w:shd w:val="clear" w:color="000000" w:fill="F2F2F2"/>
            <w:vAlign w:val="center"/>
            <w:hideMark/>
          </w:tcPr>
          <w:p w14:paraId="4D135128"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DISTRIBUIDORA CENTRAL DE GAS SA ESP</w:t>
            </w:r>
          </w:p>
        </w:tc>
        <w:tc>
          <w:tcPr>
            <w:tcW w:w="1520" w:type="dxa"/>
            <w:tcBorders>
              <w:top w:val="nil"/>
              <w:left w:val="nil"/>
              <w:bottom w:val="single" w:sz="4" w:space="0" w:color="auto"/>
              <w:right w:val="single" w:sz="4" w:space="0" w:color="auto"/>
            </w:tcBorders>
            <w:shd w:val="clear" w:color="000000" w:fill="F2F2F2"/>
            <w:noWrap/>
            <w:vAlign w:val="center"/>
            <w:hideMark/>
          </w:tcPr>
          <w:p w14:paraId="791D3E7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$ 717.164.000</w:t>
            </w:r>
          </w:p>
        </w:tc>
        <w:tc>
          <w:tcPr>
            <w:tcW w:w="1440" w:type="dxa"/>
            <w:tcBorders>
              <w:top w:val="nil"/>
              <w:left w:val="nil"/>
              <w:bottom w:val="single" w:sz="4" w:space="0" w:color="auto"/>
              <w:right w:val="single" w:sz="4" w:space="0" w:color="auto"/>
            </w:tcBorders>
            <w:shd w:val="clear" w:color="000000" w:fill="F2F2F2"/>
            <w:noWrap/>
            <w:vAlign w:val="center"/>
            <w:hideMark/>
          </w:tcPr>
          <w:p w14:paraId="71F2AB1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$ 20.934.856</w:t>
            </w:r>
          </w:p>
        </w:tc>
        <w:tc>
          <w:tcPr>
            <w:tcW w:w="1460" w:type="dxa"/>
            <w:tcBorders>
              <w:top w:val="nil"/>
              <w:left w:val="nil"/>
              <w:bottom w:val="single" w:sz="4" w:space="0" w:color="auto"/>
              <w:right w:val="single" w:sz="4" w:space="0" w:color="auto"/>
            </w:tcBorders>
            <w:shd w:val="clear" w:color="000000" w:fill="F2F2F2"/>
            <w:noWrap/>
            <w:vAlign w:val="center"/>
            <w:hideMark/>
          </w:tcPr>
          <w:p w14:paraId="059A19AD"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$ 738.098.856</w:t>
            </w:r>
          </w:p>
        </w:tc>
        <w:tc>
          <w:tcPr>
            <w:tcW w:w="1260" w:type="dxa"/>
            <w:tcBorders>
              <w:top w:val="nil"/>
              <w:left w:val="nil"/>
              <w:bottom w:val="single" w:sz="4" w:space="0" w:color="auto"/>
              <w:right w:val="single" w:sz="4" w:space="0" w:color="auto"/>
            </w:tcBorders>
            <w:shd w:val="clear" w:color="000000" w:fill="F2F2F2"/>
            <w:noWrap/>
            <w:vAlign w:val="center"/>
            <w:hideMark/>
          </w:tcPr>
          <w:p w14:paraId="03D7BB9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$ 7.380.989</w:t>
            </w:r>
          </w:p>
        </w:tc>
        <w:tc>
          <w:tcPr>
            <w:tcW w:w="1120" w:type="dxa"/>
            <w:tcBorders>
              <w:top w:val="nil"/>
              <w:left w:val="nil"/>
              <w:bottom w:val="single" w:sz="4" w:space="0" w:color="auto"/>
              <w:right w:val="single" w:sz="4" w:space="0" w:color="auto"/>
            </w:tcBorders>
            <w:shd w:val="clear" w:color="000000" w:fill="F2F2F2"/>
            <w:noWrap/>
            <w:vAlign w:val="center"/>
            <w:hideMark/>
          </w:tcPr>
          <w:p w14:paraId="064577F7"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$ 307</w:t>
            </w:r>
          </w:p>
        </w:tc>
        <w:tc>
          <w:tcPr>
            <w:tcW w:w="1260" w:type="dxa"/>
            <w:tcBorders>
              <w:top w:val="nil"/>
              <w:left w:val="nil"/>
              <w:bottom w:val="single" w:sz="4" w:space="0" w:color="auto"/>
              <w:right w:val="single" w:sz="4" w:space="0" w:color="auto"/>
            </w:tcBorders>
            <w:shd w:val="clear" w:color="000000" w:fill="F2F2F2"/>
            <w:noWrap/>
            <w:vAlign w:val="center"/>
            <w:hideMark/>
          </w:tcPr>
          <w:p w14:paraId="3217F0DC"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$ 7.381.296</w:t>
            </w:r>
          </w:p>
        </w:tc>
        <w:tc>
          <w:tcPr>
            <w:tcW w:w="1920" w:type="dxa"/>
            <w:tcBorders>
              <w:top w:val="nil"/>
              <w:left w:val="nil"/>
              <w:bottom w:val="single" w:sz="4" w:space="0" w:color="auto"/>
              <w:right w:val="single" w:sz="4" w:space="0" w:color="auto"/>
            </w:tcBorders>
            <w:shd w:val="clear" w:color="000000" w:fill="F2F2F2"/>
            <w:vAlign w:val="center"/>
            <w:hideMark/>
          </w:tcPr>
          <w:p w14:paraId="5B7FEF41"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GAS LICUADO DEL PETROLEO</w:t>
            </w:r>
          </w:p>
        </w:tc>
      </w:tr>
      <w:tr w:rsidR="00D705A6" w:rsidRPr="002E0BB9" w14:paraId="0B18F6A7" w14:textId="77777777" w:rsidTr="007D1249">
        <w:trPr>
          <w:trHeight w:val="6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682FBAFC"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64</w:t>
            </w:r>
          </w:p>
        </w:tc>
        <w:tc>
          <w:tcPr>
            <w:tcW w:w="560" w:type="dxa"/>
            <w:tcBorders>
              <w:top w:val="nil"/>
              <w:left w:val="nil"/>
              <w:bottom w:val="single" w:sz="4" w:space="0" w:color="auto"/>
              <w:right w:val="single" w:sz="4" w:space="0" w:color="auto"/>
            </w:tcBorders>
            <w:shd w:val="clear" w:color="000000" w:fill="F2F2F2"/>
            <w:noWrap/>
            <w:vAlign w:val="center"/>
            <w:hideMark/>
          </w:tcPr>
          <w:p w14:paraId="0A253A5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22972</w:t>
            </w:r>
          </w:p>
        </w:tc>
        <w:tc>
          <w:tcPr>
            <w:tcW w:w="920" w:type="dxa"/>
            <w:tcBorders>
              <w:top w:val="nil"/>
              <w:left w:val="nil"/>
              <w:bottom w:val="single" w:sz="4" w:space="0" w:color="auto"/>
              <w:right w:val="single" w:sz="4" w:space="0" w:color="auto"/>
            </w:tcBorders>
            <w:shd w:val="clear" w:color="000000" w:fill="F2F2F2"/>
            <w:noWrap/>
            <w:vAlign w:val="center"/>
            <w:hideMark/>
          </w:tcPr>
          <w:p w14:paraId="513B67C1"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830058558</w:t>
            </w:r>
          </w:p>
        </w:tc>
        <w:tc>
          <w:tcPr>
            <w:tcW w:w="2180" w:type="dxa"/>
            <w:tcBorders>
              <w:top w:val="nil"/>
              <w:left w:val="nil"/>
              <w:bottom w:val="single" w:sz="4" w:space="0" w:color="auto"/>
              <w:right w:val="single" w:sz="4" w:space="0" w:color="auto"/>
            </w:tcBorders>
            <w:shd w:val="clear" w:color="000000" w:fill="F2F2F2"/>
            <w:vAlign w:val="center"/>
            <w:hideMark/>
          </w:tcPr>
          <w:p w14:paraId="6F083CA3"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TY GAS S.A. E.S.P.</w:t>
            </w:r>
          </w:p>
        </w:tc>
        <w:tc>
          <w:tcPr>
            <w:tcW w:w="1520" w:type="dxa"/>
            <w:tcBorders>
              <w:top w:val="nil"/>
              <w:left w:val="nil"/>
              <w:bottom w:val="single" w:sz="4" w:space="0" w:color="auto"/>
              <w:right w:val="single" w:sz="4" w:space="0" w:color="auto"/>
            </w:tcBorders>
            <w:shd w:val="clear" w:color="000000" w:fill="F2F2F2"/>
            <w:noWrap/>
            <w:vAlign w:val="center"/>
            <w:hideMark/>
          </w:tcPr>
          <w:p w14:paraId="2A0B3E2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$ 1.229.766.000</w:t>
            </w:r>
          </w:p>
        </w:tc>
        <w:tc>
          <w:tcPr>
            <w:tcW w:w="1440" w:type="dxa"/>
            <w:tcBorders>
              <w:top w:val="nil"/>
              <w:left w:val="nil"/>
              <w:bottom w:val="single" w:sz="4" w:space="0" w:color="auto"/>
              <w:right w:val="single" w:sz="4" w:space="0" w:color="auto"/>
            </w:tcBorders>
            <w:shd w:val="clear" w:color="000000" w:fill="F2F2F2"/>
            <w:noWrap/>
            <w:vAlign w:val="center"/>
            <w:hideMark/>
          </w:tcPr>
          <w:p w14:paraId="0C5BA78C"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$ 0</w:t>
            </w:r>
          </w:p>
        </w:tc>
        <w:tc>
          <w:tcPr>
            <w:tcW w:w="1460" w:type="dxa"/>
            <w:tcBorders>
              <w:top w:val="nil"/>
              <w:left w:val="nil"/>
              <w:bottom w:val="single" w:sz="4" w:space="0" w:color="auto"/>
              <w:right w:val="single" w:sz="4" w:space="0" w:color="auto"/>
            </w:tcBorders>
            <w:shd w:val="clear" w:color="000000" w:fill="F2F2F2"/>
            <w:noWrap/>
            <w:vAlign w:val="center"/>
            <w:hideMark/>
          </w:tcPr>
          <w:p w14:paraId="33376FBD"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$ 1.229.766.000</w:t>
            </w:r>
          </w:p>
        </w:tc>
        <w:tc>
          <w:tcPr>
            <w:tcW w:w="1260" w:type="dxa"/>
            <w:tcBorders>
              <w:top w:val="nil"/>
              <w:left w:val="nil"/>
              <w:bottom w:val="single" w:sz="4" w:space="0" w:color="auto"/>
              <w:right w:val="single" w:sz="4" w:space="0" w:color="auto"/>
            </w:tcBorders>
            <w:shd w:val="clear" w:color="000000" w:fill="F2F2F2"/>
            <w:noWrap/>
            <w:vAlign w:val="center"/>
            <w:hideMark/>
          </w:tcPr>
          <w:p w14:paraId="70C6833E"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$ 12.297.660</w:t>
            </w:r>
          </w:p>
        </w:tc>
        <w:tc>
          <w:tcPr>
            <w:tcW w:w="1120" w:type="dxa"/>
            <w:tcBorders>
              <w:top w:val="nil"/>
              <w:left w:val="nil"/>
              <w:bottom w:val="single" w:sz="4" w:space="0" w:color="auto"/>
              <w:right w:val="single" w:sz="4" w:space="0" w:color="auto"/>
            </w:tcBorders>
            <w:shd w:val="clear" w:color="000000" w:fill="F2F2F2"/>
            <w:noWrap/>
            <w:vAlign w:val="center"/>
            <w:hideMark/>
          </w:tcPr>
          <w:p w14:paraId="0AA5DCB6"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$ 512</w:t>
            </w:r>
          </w:p>
        </w:tc>
        <w:tc>
          <w:tcPr>
            <w:tcW w:w="1260" w:type="dxa"/>
            <w:tcBorders>
              <w:top w:val="nil"/>
              <w:left w:val="nil"/>
              <w:bottom w:val="single" w:sz="4" w:space="0" w:color="auto"/>
              <w:right w:val="single" w:sz="4" w:space="0" w:color="auto"/>
            </w:tcBorders>
            <w:shd w:val="clear" w:color="000000" w:fill="F2F2F2"/>
            <w:noWrap/>
            <w:vAlign w:val="center"/>
            <w:hideMark/>
          </w:tcPr>
          <w:p w14:paraId="1810D6E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$ 12.298.172</w:t>
            </w:r>
          </w:p>
        </w:tc>
        <w:tc>
          <w:tcPr>
            <w:tcW w:w="1920" w:type="dxa"/>
            <w:tcBorders>
              <w:top w:val="nil"/>
              <w:left w:val="nil"/>
              <w:bottom w:val="single" w:sz="4" w:space="0" w:color="auto"/>
              <w:right w:val="single" w:sz="4" w:space="0" w:color="auto"/>
            </w:tcBorders>
            <w:shd w:val="clear" w:color="000000" w:fill="F2F2F2"/>
            <w:vAlign w:val="center"/>
            <w:hideMark/>
          </w:tcPr>
          <w:p w14:paraId="5911633D"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GAS LICUADO DEL PETROLEO - GAS POR REDES</w:t>
            </w:r>
          </w:p>
        </w:tc>
      </w:tr>
      <w:tr w:rsidR="00D705A6" w:rsidRPr="002E0BB9" w14:paraId="2275BDA2" w14:textId="77777777" w:rsidTr="007D1249">
        <w:trPr>
          <w:trHeight w:val="2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57BB0FD3"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65</w:t>
            </w:r>
          </w:p>
        </w:tc>
        <w:tc>
          <w:tcPr>
            <w:tcW w:w="560" w:type="dxa"/>
            <w:tcBorders>
              <w:top w:val="nil"/>
              <w:left w:val="nil"/>
              <w:bottom w:val="single" w:sz="4" w:space="0" w:color="auto"/>
              <w:right w:val="single" w:sz="4" w:space="0" w:color="auto"/>
            </w:tcBorders>
            <w:shd w:val="clear" w:color="000000" w:fill="F2F2F2"/>
            <w:noWrap/>
            <w:vAlign w:val="center"/>
            <w:hideMark/>
          </w:tcPr>
          <w:p w14:paraId="3E5B037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25705</w:t>
            </w:r>
          </w:p>
        </w:tc>
        <w:tc>
          <w:tcPr>
            <w:tcW w:w="920" w:type="dxa"/>
            <w:tcBorders>
              <w:top w:val="nil"/>
              <w:left w:val="nil"/>
              <w:bottom w:val="single" w:sz="4" w:space="0" w:color="auto"/>
              <w:right w:val="single" w:sz="4" w:space="0" w:color="auto"/>
            </w:tcBorders>
            <w:shd w:val="clear" w:color="000000" w:fill="F2F2F2"/>
            <w:noWrap/>
            <w:vAlign w:val="center"/>
            <w:hideMark/>
          </w:tcPr>
          <w:p w14:paraId="44A0E91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830080672</w:t>
            </w:r>
          </w:p>
        </w:tc>
        <w:tc>
          <w:tcPr>
            <w:tcW w:w="2180" w:type="dxa"/>
            <w:tcBorders>
              <w:top w:val="nil"/>
              <w:left w:val="nil"/>
              <w:bottom w:val="single" w:sz="4" w:space="0" w:color="auto"/>
              <w:right w:val="single" w:sz="4" w:space="0" w:color="auto"/>
            </w:tcBorders>
            <w:shd w:val="clear" w:color="000000" w:fill="F2F2F2"/>
            <w:vAlign w:val="center"/>
            <w:hideMark/>
          </w:tcPr>
          <w:p w14:paraId="6C19D5D0"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CEPSA COLOMBIA SA</w:t>
            </w:r>
          </w:p>
        </w:tc>
        <w:tc>
          <w:tcPr>
            <w:tcW w:w="1520" w:type="dxa"/>
            <w:tcBorders>
              <w:top w:val="nil"/>
              <w:left w:val="nil"/>
              <w:bottom w:val="single" w:sz="4" w:space="0" w:color="auto"/>
              <w:right w:val="single" w:sz="4" w:space="0" w:color="auto"/>
            </w:tcBorders>
            <w:shd w:val="clear" w:color="000000" w:fill="F2F2F2"/>
            <w:noWrap/>
            <w:vAlign w:val="center"/>
            <w:hideMark/>
          </w:tcPr>
          <w:p w14:paraId="362C85F2"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$ 45.924.000</w:t>
            </w:r>
          </w:p>
        </w:tc>
        <w:tc>
          <w:tcPr>
            <w:tcW w:w="1440" w:type="dxa"/>
            <w:tcBorders>
              <w:top w:val="nil"/>
              <w:left w:val="nil"/>
              <w:bottom w:val="single" w:sz="4" w:space="0" w:color="auto"/>
              <w:right w:val="single" w:sz="4" w:space="0" w:color="auto"/>
            </w:tcBorders>
            <w:shd w:val="clear" w:color="000000" w:fill="F2F2F2"/>
            <w:noWrap/>
            <w:vAlign w:val="center"/>
            <w:hideMark/>
          </w:tcPr>
          <w:p w14:paraId="651B78A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$ 0</w:t>
            </w:r>
          </w:p>
        </w:tc>
        <w:tc>
          <w:tcPr>
            <w:tcW w:w="1460" w:type="dxa"/>
            <w:tcBorders>
              <w:top w:val="nil"/>
              <w:left w:val="nil"/>
              <w:bottom w:val="single" w:sz="4" w:space="0" w:color="auto"/>
              <w:right w:val="single" w:sz="4" w:space="0" w:color="auto"/>
            </w:tcBorders>
            <w:shd w:val="clear" w:color="000000" w:fill="F2F2F2"/>
            <w:noWrap/>
            <w:vAlign w:val="center"/>
            <w:hideMark/>
          </w:tcPr>
          <w:p w14:paraId="69F022B6"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$ 45.924.000</w:t>
            </w:r>
          </w:p>
        </w:tc>
        <w:tc>
          <w:tcPr>
            <w:tcW w:w="1260" w:type="dxa"/>
            <w:tcBorders>
              <w:top w:val="nil"/>
              <w:left w:val="nil"/>
              <w:bottom w:val="single" w:sz="4" w:space="0" w:color="auto"/>
              <w:right w:val="single" w:sz="4" w:space="0" w:color="auto"/>
            </w:tcBorders>
            <w:shd w:val="clear" w:color="000000" w:fill="F2F2F2"/>
            <w:noWrap/>
            <w:vAlign w:val="center"/>
            <w:hideMark/>
          </w:tcPr>
          <w:p w14:paraId="3C7098FA"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$ 459.240</w:t>
            </w:r>
          </w:p>
        </w:tc>
        <w:tc>
          <w:tcPr>
            <w:tcW w:w="1120" w:type="dxa"/>
            <w:tcBorders>
              <w:top w:val="nil"/>
              <w:left w:val="nil"/>
              <w:bottom w:val="single" w:sz="4" w:space="0" w:color="auto"/>
              <w:right w:val="single" w:sz="4" w:space="0" w:color="auto"/>
            </w:tcBorders>
            <w:shd w:val="clear" w:color="000000" w:fill="F2F2F2"/>
            <w:noWrap/>
            <w:vAlign w:val="center"/>
            <w:hideMark/>
          </w:tcPr>
          <w:p w14:paraId="46A98822"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$ 19</w:t>
            </w:r>
          </w:p>
        </w:tc>
        <w:tc>
          <w:tcPr>
            <w:tcW w:w="1260" w:type="dxa"/>
            <w:tcBorders>
              <w:top w:val="nil"/>
              <w:left w:val="nil"/>
              <w:bottom w:val="single" w:sz="4" w:space="0" w:color="auto"/>
              <w:right w:val="single" w:sz="4" w:space="0" w:color="auto"/>
            </w:tcBorders>
            <w:shd w:val="clear" w:color="000000" w:fill="F2F2F2"/>
            <w:noWrap/>
            <w:vAlign w:val="center"/>
            <w:hideMark/>
          </w:tcPr>
          <w:p w14:paraId="70D86DF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$ 459.259</w:t>
            </w:r>
          </w:p>
        </w:tc>
        <w:tc>
          <w:tcPr>
            <w:tcW w:w="1920" w:type="dxa"/>
            <w:tcBorders>
              <w:top w:val="nil"/>
              <w:left w:val="nil"/>
              <w:bottom w:val="single" w:sz="4" w:space="0" w:color="auto"/>
              <w:right w:val="single" w:sz="4" w:space="0" w:color="auto"/>
            </w:tcBorders>
            <w:shd w:val="clear" w:color="000000" w:fill="F2F2F2"/>
            <w:vAlign w:val="center"/>
            <w:hideMark/>
          </w:tcPr>
          <w:p w14:paraId="39FFB955"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GAS POR REDES</w:t>
            </w:r>
          </w:p>
        </w:tc>
      </w:tr>
      <w:tr w:rsidR="00D705A6" w:rsidRPr="002E0BB9" w14:paraId="51C1093D" w14:textId="77777777" w:rsidTr="007D1249">
        <w:trPr>
          <w:trHeight w:val="10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19F8BBD5"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lastRenderedPageBreak/>
              <w:t>66</w:t>
            </w:r>
          </w:p>
        </w:tc>
        <w:tc>
          <w:tcPr>
            <w:tcW w:w="560" w:type="dxa"/>
            <w:tcBorders>
              <w:top w:val="nil"/>
              <w:left w:val="nil"/>
              <w:bottom w:val="single" w:sz="4" w:space="0" w:color="auto"/>
              <w:right w:val="single" w:sz="4" w:space="0" w:color="auto"/>
            </w:tcBorders>
            <w:shd w:val="clear" w:color="000000" w:fill="F2F2F2"/>
            <w:noWrap/>
            <w:vAlign w:val="center"/>
            <w:hideMark/>
          </w:tcPr>
          <w:p w14:paraId="764A94E5"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3111</w:t>
            </w:r>
          </w:p>
        </w:tc>
        <w:tc>
          <w:tcPr>
            <w:tcW w:w="920" w:type="dxa"/>
            <w:tcBorders>
              <w:top w:val="nil"/>
              <w:left w:val="nil"/>
              <w:bottom w:val="single" w:sz="4" w:space="0" w:color="auto"/>
              <w:right w:val="single" w:sz="4" w:space="0" w:color="auto"/>
            </w:tcBorders>
            <w:shd w:val="clear" w:color="000000" w:fill="F2F2F2"/>
            <w:noWrap/>
            <w:vAlign w:val="center"/>
            <w:hideMark/>
          </w:tcPr>
          <w:p w14:paraId="263F101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830092965</w:t>
            </w:r>
          </w:p>
        </w:tc>
        <w:tc>
          <w:tcPr>
            <w:tcW w:w="2180" w:type="dxa"/>
            <w:tcBorders>
              <w:top w:val="nil"/>
              <w:left w:val="nil"/>
              <w:bottom w:val="single" w:sz="4" w:space="0" w:color="auto"/>
              <w:right w:val="single" w:sz="4" w:space="0" w:color="auto"/>
            </w:tcBorders>
            <w:shd w:val="clear" w:color="000000" w:fill="F2F2F2"/>
            <w:vAlign w:val="center"/>
            <w:hideMark/>
          </w:tcPr>
          <w:p w14:paraId="5C587E8B"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ENERGETICOS S.A.S.  E.S.P. DISTRIBUIDORA Y COMERCIALIZADORA DE ENERGIA GAS E HIDROCARBUROS</w:t>
            </w:r>
          </w:p>
        </w:tc>
        <w:tc>
          <w:tcPr>
            <w:tcW w:w="1520" w:type="dxa"/>
            <w:tcBorders>
              <w:top w:val="nil"/>
              <w:left w:val="nil"/>
              <w:bottom w:val="single" w:sz="4" w:space="0" w:color="auto"/>
              <w:right w:val="single" w:sz="4" w:space="0" w:color="auto"/>
            </w:tcBorders>
            <w:shd w:val="clear" w:color="000000" w:fill="F2F2F2"/>
            <w:noWrap/>
            <w:vAlign w:val="center"/>
            <w:hideMark/>
          </w:tcPr>
          <w:p w14:paraId="49FB8BF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$ 1.816.012.000</w:t>
            </w:r>
          </w:p>
        </w:tc>
        <w:tc>
          <w:tcPr>
            <w:tcW w:w="1440" w:type="dxa"/>
            <w:tcBorders>
              <w:top w:val="nil"/>
              <w:left w:val="nil"/>
              <w:bottom w:val="single" w:sz="4" w:space="0" w:color="auto"/>
              <w:right w:val="single" w:sz="4" w:space="0" w:color="auto"/>
            </w:tcBorders>
            <w:shd w:val="clear" w:color="000000" w:fill="F2F2F2"/>
            <w:noWrap/>
            <w:vAlign w:val="center"/>
            <w:hideMark/>
          </w:tcPr>
          <w:p w14:paraId="5234502D"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$ 114.906.673</w:t>
            </w:r>
          </w:p>
        </w:tc>
        <w:tc>
          <w:tcPr>
            <w:tcW w:w="1460" w:type="dxa"/>
            <w:tcBorders>
              <w:top w:val="nil"/>
              <w:left w:val="nil"/>
              <w:bottom w:val="single" w:sz="4" w:space="0" w:color="auto"/>
              <w:right w:val="single" w:sz="4" w:space="0" w:color="auto"/>
            </w:tcBorders>
            <w:shd w:val="clear" w:color="000000" w:fill="F2F2F2"/>
            <w:noWrap/>
            <w:vAlign w:val="center"/>
            <w:hideMark/>
          </w:tcPr>
          <w:p w14:paraId="3BF4ADF5"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$ 1.930.918.673</w:t>
            </w:r>
          </w:p>
        </w:tc>
        <w:tc>
          <w:tcPr>
            <w:tcW w:w="1260" w:type="dxa"/>
            <w:tcBorders>
              <w:top w:val="nil"/>
              <w:left w:val="nil"/>
              <w:bottom w:val="single" w:sz="4" w:space="0" w:color="auto"/>
              <w:right w:val="single" w:sz="4" w:space="0" w:color="auto"/>
            </w:tcBorders>
            <w:shd w:val="clear" w:color="000000" w:fill="F2F2F2"/>
            <w:noWrap/>
            <w:vAlign w:val="center"/>
            <w:hideMark/>
          </w:tcPr>
          <w:p w14:paraId="34C26127"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$ 19.309.187</w:t>
            </w:r>
          </w:p>
        </w:tc>
        <w:tc>
          <w:tcPr>
            <w:tcW w:w="1120" w:type="dxa"/>
            <w:tcBorders>
              <w:top w:val="nil"/>
              <w:left w:val="nil"/>
              <w:bottom w:val="single" w:sz="4" w:space="0" w:color="auto"/>
              <w:right w:val="single" w:sz="4" w:space="0" w:color="auto"/>
            </w:tcBorders>
            <w:shd w:val="clear" w:color="000000" w:fill="F2F2F2"/>
            <w:noWrap/>
            <w:vAlign w:val="center"/>
            <w:hideMark/>
          </w:tcPr>
          <w:p w14:paraId="2015E425"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$ 804</w:t>
            </w:r>
          </w:p>
        </w:tc>
        <w:tc>
          <w:tcPr>
            <w:tcW w:w="1260" w:type="dxa"/>
            <w:tcBorders>
              <w:top w:val="nil"/>
              <w:left w:val="nil"/>
              <w:bottom w:val="single" w:sz="4" w:space="0" w:color="auto"/>
              <w:right w:val="single" w:sz="4" w:space="0" w:color="auto"/>
            </w:tcBorders>
            <w:shd w:val="clear" w:color="000000" w:fill="F2F2F2"/>
            <w:noWrap/>
            <w:vAlign w:val="center"/>
            <w:hideMark/>
          </w:tcPr>
          <w:p w14:paraId="02DE242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$ 19.309.990</w:t>
            </w:r>
          </w:p>
        </w:tc>
        <w:tc>
          <w:tcPr>
            <w:tcW w:w="1920" w:type="dxa"/>
            <w:tcBorders>
              <w:top w:val="nil"/>
              <w:left w:val="nil"/>
              <w:bottom w:val="single" w:sz="4" w:space="0" w:color="auto"/>
              <w:right w:val="single" w:sz="4" w:space="0" w:color="auto"/>
            </w:tcBorders>
            <w:shd w:val="clear" w:color="000000" w:fill="F2F2F2"/>
            <w:vAlign w:val="center"/>
            <w:hideMark/>
          </w:tcPr>
          <w:p w14:paraId="1F1DB54D"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w:t>
            </w:r>
          </w:p>
        </w:tc>
      </w:tr>
      <w:tr w:rsidR="00D705A6" w:rsidRPr="002E0BB9" w14:paraId="2644B603" w14:textId="77777777" w:rsidTr="007D1249">
        <w:trPr>
          <w:trHeight w:val="4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758C57D4"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67</w:t>
            </w:r>
          </w:p>
        </w:tc>
        <w:tc>
          <w:tcPr>
            <w:tcW w:w="560" w:type="dxa"/>
            <w:tcBorders>
              <w:top w:val="nil"/>
              <w:left w:val="nil"/>
              <w:bottom w:val="single" w:sz="4" w:space="0" w:color="auto"/>
              <w:right w:val="single" w:sz="4" w:space="0" w:color="auto"/>
            </w:tcBorders>
            <w:shd w:val="clear" w:color="000000" w:fill="F2F2F2"/>
            <w:noWrap/>
            <w:vAlign w:val="center"/>
            <w:hideMark/>
          </w:tcPr>
          <w:p w14:paraId="241244B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25891</w:t>
            </w:r>
          </w:p>
        </w:tc>
        <w:tc>
          <w:tcPr>
            <w:tcW w:w="920" w:type="dxa"/>
            <w:tcBorders>
              <w:top w:val="nil"/>
              <w:left w:val="nil"/>
              <w:bottom w:val="single" w:sz="4" w:space="0" w:color="auto"/>
              <w:right w:val="single" w:sz="4" w:space="0" w:color="auto"/>
            </w:tcBorders>
            <w:shd w:val="clear" w:color="000000" w:fill="F2F2F2"/>
            <w:noWrap/>
            <w:vAlign w:val="center"/>
            <w:hideMark/>
          </w:tcPr>
          <w:p w14:paraId="6BE3257A"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830095563</w:t>
            </w:r>
          </w:p>
        </w:tc>
        <w:tc>
          <w:tcPr>
            <w:tcW w:w="2180" w:type="dxa"/>
            <w:tcBorders>
              <w:top w:val="nil"/>
              <w:left w:val="nil"/>
              <w:bottom w:val="single" w:sz="4" w:space="0" w:color="auto"/>
              <w:right w:val="single" w:sz="4" w:space="0" w:color="auto"/>
            </w:tcBorders>
            <w:shd w:val="clear" w:color="000000" w:fill="F2F2F2"/>
            <w:vAlign w:val="center"/>
            <w:hideMark/>
          </w:tcPr>
          <w:p w14:paraId="0421A2F9"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CANACOL ENERGY COLOMBIA S.A.</w:t>
            </w:r>
          </w:p>
        </w:tc>
        <w:tc>
          <w:tcPr>
            <w:tcW w:w="1520" w:type="dxa"/>
            <w:tcBorders>
              <w:top w:val="nil"/>
              <w:left w:val="nil"/>
              <w:bottom w:val="single" w:sz="4" w:space="0" w:color="auto"/>
              <w:right w:val="single" w:sz="4" w:space="0" w:color="auto"/>
            </w:tcBorders>
            <w:shd w:val="clear" w:color="000000" w:fill="F2F2F2"/>
            <w:noWrap/>
            <w:vAlign w:val="center"/>
            <w:hideMark/>
          </w:tcPr>
          <w:p w14:paraId="1975E26E"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$ 45.759.242.000</w:t>
            </w:r>
          </w:p>
        </w:tc>
        <w:tc>
          <w:tcPr>
            <w:tcW w:w="1440" w:type="dxa"/>
            <w:tcBorders>
              <w:top w:val="nil"/>
              <w:left w:val="nil"/>
              <w:bottom w:val="single" w:sz="4" w:space="0" w:color="auto"/>
              <w:right w:val="single" w:sz="4" w:space="0" w:color="auto"/>
            </w:tcBorders>
            <w:shd w:val="clear" w:color="000000" w:fill="F2F2F2"/>
            <w:noWrap/>
            <w:vAlign w:val="center"/>
            <w:hideMark/>
          </w:tcPr>
          <w:p w14:paraId="5A7C63BC"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$ 327.254.617</w:t>
            </w:r>
          </w:p>
        </w:tc>
        <w:tc>
          <w:tcPr>
            <w:tcW w:w="1460" w:type="dxa"/>
            <w:tcBorders>
              <w:top w:val="nil"/>
              <w:left w:val="nil"/>
              <w:bottom w:val="single" w:sz="4" w:space="0" w:color="auto"/>
              <w:right w:val="single" w:sz="4" w:space="0" w:color="auto"/>
            </w:tcBorders>
            <w:shd w:val="clear" w:color="000000" w:fill="F2F2F2"/>
            <w:noWrap/>
            <w:vAlign w:val="center"/>
            <w:hideMark/>
          </w:tcPr>
          <w:p w14:paraId="710B11F7"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$ 46.086.496.617</w:t>
            </w:r>
          </w:p>
        </w:tc>
        <w:tc>
          <w:tcPr>
            <w:tcW w:w="1260" w:type="dxa"/>
            <w:tcBorders>
              <w:top w:val="nil"/>
              <w:left w:val="nil"/>
              <w:bottom w:val="single" w:sz="4" w:space="0" w:color="auto"/>
              <w:right w:val="single" w:sz="4" w:space="0" w:color="auto"/>
            </w:tcBorders>
            <w:shd w:val="clear" w:color="000000" w:fill="F2F2F2"/>
            <w:noWrap/>
            <w:vAlign w:val="center"/>
            <w:hideMark/>
          </w:tcPr>
          <w:p w14:paraId="50BD156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$ 460.864.966</w:t>
            </w:r>
          </w:p>
        </w:tc>
        <w:tc>
          <w:tcPr>
            <w:tcW w:w="1120" w:type="dxa"/>
            <w:tcBorders>
              <w:top w:val="nil"/>
              <w:left w:val="nil"/>
              <w:bottom w:val="single" w:sz="4" w:space="0" w:color="auto"/>
              <w:right w:val="single" w:sz="4" w:space="0" w:color="auto"/>
            </w:tcBorders>
            <w:shd w:val="clear" w:color="000000" w:fill="F2F2F2"/>
            <w:noWrap/>
            <w:vAlign w:val="center"/>
            <w:hideMark/>
          </w:tcPr>
          <w:p w14:paraId="00EC21F6"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$ 19.180</w:t>
            </w:r>
          </w:p>
        </w:tc>
        <w:tc>
          <w:tcPr>
            <w:tcW w:w="1260" w:type="dxa"/>
            <w:tcBorders>
              <w:top w:val="nil"/>
              <w:left w:val="nil"/>
              <w:bottom w:val="single" w:sz="4" w:space="0" w:color="auto"/>
              <w:right w:val="single" w:sz="4" w:space="0" w:color="auto"/>
            </w:tcBorders>
            <w:shd w:val="clear" w:color="000000" w:fill="F2F2F2"/>
            <w:noWrap/>
            <w:vAlign w:val="center"/>
            <w:hideMark/>
          </w:tcPr>
          <w:p w14:paraId="7DDF9DA6"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$ 460.884.146</w:t>
            </w:r>
          </w:p>
        </w:tc>
        <w:tc>
          <w:tcPr>
            <w:tcW w:w="1920" w:type="dxa"/>
            <w:tcBorders>
              <w:top w:val="nil"/>
              <w:left w:val="nil"/>
              <w:bottom w:val="single" w:sz="4" w:space="0" w:color="auto"/>
              <w:right w:val="single" w:sz="4" w:space="0" w:color="auto"/>
            </w:tcBorders>
            <w:shd w:val="clear" w:color="000000" w:fill="F2F2F2"/>
            <w:vAlign w:val="center"/>
            <w:hideMark/>
          </w:tcPr>
          <w:p w14:paraId="06AFEDDC"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GAS POR REDES</w:t>
            </w:r>
          </w:p>
        </w:tc>
      </w:tr>
      <w:tr w:rsidR="00D705A6" w:rsidRPr="002E0BB9" w14:paraId="65673365" w14:textId="77777777" w:rsidTr="007D1249">
        <w:trPr>
          <w:trHeight w:val="4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3507678F"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68</w:t>
            </w:r>
          </w:p>
        </w:tc>
        <w:tc>
          <w:tcPr>
            <w:tcW w:w="560" w:type="dxa"/>
            <w:tcBorders>
              <w:top w:val="nil"/>
              <w:left w:val="nil"/>
              <w:bottom w:val="single" w:sz="4" w:space="0" w:color="auto"/>
              <w:right w:val="single" w:sz="4" w:space="0" w:color="auto"/>
            </w:tcBorders>
            <w:shd w:val="clear" w:color="000000" w:fill="F2F2F2"/>
            <w:noWrap/>
            <w:vAlign w:val="center"/>
            <w:hideMark/>
          </w:tcPr>
          <w:p w14:paraId="781CA3F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34533</w:t>
            </w:r>
          </w:p>
        </w:tc>
        <w:tc>
          <w:tcPr>
            <w:tcW w:w="920" w:type="dxa"/>
            <w:tcBorders>
              <w:top w:val="nil"/>
              <w:left w:val="nil"/>
              <w:bottom w:val="single" w:sz="4" w:space="0" w:color="auto"/>
              <w:right w:val="single" w:sz="4" w:space="0" w:color="auto"/>
            </w:tcBorders>
            <w:shd w:val="clear" w:color="000000" w:fill="F2F2F2"/>
            <w:noWrap/>
            <w:vAlign w:val="center"/>
            <w:hideMark/>
          </w:tcPr>
          <w:p w14:paraId="7DCA9AA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830104866</w:t>
            </w:r>
          </w:p>
        </w:tc>
        <w:tc>
          <w:tcPr>
            <w:tcW w:w="2180" w:type="dxa"/>
            <w:tcBorders>
              <w:top w:val="nil"/>
              <w:left w:val="nil"/>
              <w:bottom w:val="single" w:sz="4" w:space="0" w:color="auto"/>
              <w:right w:val="single" w:sz="4" w:space="0" w:color="auto"/>
            </w:tcBorders>
            <w:shd w:val="clear" w:color="000000" w:fill="F2F2F2"/>
            <w:vAlign w:val="center"/>
            <w:hideMark/>
          </w:tcPr>
          <w:p w14:paraId="609C291F"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NIKOIL ENERGY CORP SUC COLOMBIA</w:t>
            </w:r>
          </w:p>
        </w:tc>
        <w:tc>
          <w:tcPr>
            <w:tcW w:w="1520" w:type="dxa"/>
            <w:tcBorders>
              <w:top w:val="nil"/>
              <w:left w:val="nil"/>
              <w:bottom w:val="single" w:sz="4" w:space="0" w:color="auto"/>
              <w:right w:val="single" w:sz="4" w:space="0" w:color="auto"/>
            </w:tcBorders>
            <w:shd w:val="clear" w:color="000000" w:fill="F2F2F2"/>
            <w:noWrap/>
            <w:vAlign w:val="center"/>
            <w:hideMark/>
          </w:tcPr>
          <w:p w14:paraId="61E2817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$ 2.435.164.000</w:t>
            </w:r>
          </w:p>
        </w:tc>
        <w:tc>
          <w:tcPr>
            <w:tcW w:w="1440" w:type="dxa"/>
            <w:tcBorders>
              <w:top w:val="nil"/>
              <w:left w:val="nil"/>
              <w:bottom w:val="single" w:sz="4" w:space="0" w:color="auto"/>
              <w:right w:val="single" w:sz="4" w:space="0" w:color="auto"/>
            </w:tcBorders>
            <w:shd w:val="clear" w:color="000000" w:fill="F2F2F2"/>
            <w:noWrap/>
            <w:vAlign w:val="center"/>
            <w:hideMark/>
          </w:tcPr>
          <w:p w14:paraId="498DD86C"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$ 42.800.861</w:t>
            </w:r>
          </w:p>
        </w:tc>
        <w:tc>
          <w:tcPr>
            <w:tcW w:w="1460" w:type="dxa"/>
            <w:tcBorders>
              <w:top w:val="nil"/>
              <w:left w:val="nil"/>
              <w:bottom w:val="single" w:sz="4" w:space="0" w:color="auto"/>
              <w:right w:val="single" w:sz="4" w:space="0" w:color="auto"/>
            </w:tcBorders>
            <w:shd w:val="clear" w:color="000000" w:fill="F2F2F2"/>
            <w:noWrap/>
            <w:vAlign w:val="center"/>
            <w:hideMark/>
          </w:tcPr>
          <w:p w14:paraId="61B47C6D"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$ 2.477.964.861</w:t>
            </w:r>
          </w:p>
        </w:tc>
        <w:tc>
          <w:tcPr>
            <w:tcW w:w="1260" w:type="dxa"/>
            <w:tcBorders>
              <w:top w:val="nil"/>
              <w:left w:val="nil"/>
              <w:bottom w:val="single" w:sz="4" w:space="0" w:color="auto"/>
              <w:right w:val="single" w:sz="4" w:space="0" w:color="auto"/>
            </w:tcBorders>
            <w:shd w:val="clear" w:color="000000" w:fill="F2F2F2"/>
            <w:noWrap/>
            <w:vAlign w:val="center"/>
            <w:hideMark/>
          </w:tcPr>
          <w:p w14:paraId="64164F97"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$ 24.779.649</w:t>
            </w:r>
          </w:p>
        </w:tc>
        <w:tc>
          <w:tcPr>
            <w:tcW w:w="1120" w:type="dxa"/>
            <w:tcBorders>
              <w:top w:val="nil"/>
              <w:left w:val="nil"/>
              <w:bottom w:val="single" w:sz="4" w:space="0" w:color="auto"/>
              <w:right w:val="single" w:sz="4" w:space="0" w:color="auto"/>
            </w:tcBorders>
            <w:shd w:val="clear" w:color="000000" w:fill="F2F2F2"/>
            <w:noWrap/>
            <w:vAlign w:val="center"/>
            <w:hideMark/>
          </w:tcPr>
          <w:p w14:paraId="46F84692"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$ 1.031</w:t>
            </w:r>
          </w:p>
        </w:tc>
        <w:tc>
          <w:tcPr>
            <w:tcW w:w="1260" w:type="dxa"/>
            <w:tcBorders>
              <w:top w:val="nil"/>
              <w:left w:val="nil"/>
              <w:bottom w:val="single" w:sz="4" w:space="0" w:color="auto"/>
              <w:right w:val="single" w:sz="4" w:space="0" w:color="auto"/>
            </w:tcBorders>
            <w:shd w:val="clear" w:color="000000" w:fill="F2F2F2"/>
            <w:noWrap/>
            <w:vAlign w:val="center"/>
            <w:hideMark/>
          </w:tcPr>
          <w:p w14:paraId="3DB82C66"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$ 24.780.680</w:t>
            </w:r>
          </w:p>
        </w:tc>
        <w:tc>
          <w:tcPr>
            <w:tcW w:w="1920" w:type="dxa"/>
            <w:tcBorders>
              <w:top w:val="nil"/>
              <w:left w:val="nil"/>
              <w:bottom w:val="single" w:sz="4" w:space="0" w:color="auto"/>
              <w:right w:val="single" w:sz="4" w:space="0" w:color="auto"/>
            </w:tcBorders>
            <w:shd w:val="clear" w:color="000000" w:fill="F2F2F2"/>
            <w:vAlign w:val="center"/>
            <w:hideMark/>
          </w:tcPr>
          <w:p w14:paraId="5D8C2B55"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GAS POR REDES</w:t>
            </w:r>
          </w:p>
        </w:tc>
      </w:tr>
      <w:tr w:rsidR="00D705A6" w:rsidRPr="002E0BB9" w14:paraId="0338F62A" w14:textId="77777777" w:rsidTr="007D1249">
        <w:trPr>
          <w:trHeight w:val="2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432B8986"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69</w:t>
            </w:r>
          </w:p>
        </w:tc>
        <w:tc>
          <w:tcPr>
            <w:tcW w:w="560" w:type="dxa"/>
            <w:tcBorders>
              <w:top w:val="nil"/>
              <w:left w:val="nil"/>
              <w:bottom w:val="single" w:sz="4" w:space="0" w:color="auto"/>
              <w:right w:val="single" w:sz="4" w:space="0" w:color="auto"/>
            </w:tcBorders>
            <w:shd w:val="clear" w:color="000000" w:fill="F2F2F2"/>
            <w:noWrap/>
            <w:vAlign w:val="center"/>
            <w:hideMark/>
          </w:tcPr>
          <w:p w14:paraId="7847BFBB"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21570</w:t>
            </w:r>
          </w:p>
        </w:tc>
        <w:tc>
          <w:tcPr>
            <w:tcW w:w="920" w:type="dxa"/>
            <w:tcBorders>
              <w:top w:val="nil"/>
              <w:left w:val="nil"/>
              <w:bottom w:val="single" w:sz="4" w:space="0" w:color="auto"/>
              <w:right w:val="single" w:sz="4" w:space="0" w:color="auto"/>
            </w:tcBorders>
            <w:shd w:val="clear" w:color="000000" w:fill="F2F2F2"/>
            <w:noWrap/>
            <w:vAlign w:val="center"/>
            <w:hideMark/>
          </w:tcPr>
          <w:p w14:paraId="739351E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830107528</w:t>
            </w:r>
          </w:p>
        </w:tc>
        <w:tc>
          <w:tcPr>
            <w:tcW w:w="2180" w:type="dxa"/>
            <w:tcBorders>
              <w:top w:val="nil"/>
              <w:left w:val="nil"/>
              <w:bottom w:val="single" w:sz="4" w:space="0" w:color="auto"/>
              <w:right w:val="single" w:sz="4" w:space="0" w:color="auto"/>
            </w:tcBorders>
            <w:shd w:val="clear" w:color="000000" w:fill="F2F2F2"/>
            <w:vAlign w:val="center"/>
            <w:hideMark/>
          </w:tcPr>
          <w:p w14:paraId="75BA1D8D"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GENERARCO S.A.S. E.S.P.</w:t>
            </w:r>
          </w:p>
        </w:tc>
        <w:tc>
          <w:tcPr>
            <w:tcW w:w="1520" w:type="dxa"/>
            <w:tcBorders>
              <w:top w:val="nil"/>
              <w:left w:val="nil"/>
              <w:bottom w:val="single" w:sz="4" w:space="0" w:color="auto"/>
              <w:right w:val="single" w:sz="4" w:space="0" w:color="auto"/>
            </w:tcBorders>
            <w:shd w:val="clear" w:color="000000" w:fill="F2F2F2"/>
            <w:noWrap/>
            <w:vAlign w:val="center"/>
            <w:hideMark/>
          </w:tcPr>
          <w:p w14:paraId="000C963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$ 1.807.282.000</w:t>
            </w:r>
          </w:p>
        </w:tc>
        <w:tc>
          <w:tcPr>
            <w:tcW w:w="1440" w:type="dxa"/>
            <w:tcBorders>
              <w:top w:val="nil"/>
              <w:left w:val="nil"/>
              <w:bottom w:val="single" w:sz="4" w:space="0" w:color="auto"/>
              <w:right w:val="single" w:sz="4" w:space="0" w:color="auto"/>
            </w:tcBorders>
            <w:shd w:val="clear" w:color="000000" w:fill="F2F2F2"/>
            <w:noWrap/>
            <w:vAlign w:val="center"/>
            <w:hideMark/>
          </w:tcPr>
          <w:p w14:paraId="7DEACC42"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$ 1.840.543.617</w:t>
            </w:r>
          </w:p>
        </w:tc>
        <w:tc>
          <w:tcPr>
            <w:tcW w:w="1460" w:type="dxa"/>
            <w:tcBorders>
              <w:top w:val="nil"/>
              <w:left w:val="nil"/>
              <w:bottom w:val="single" w:sz="4" w:space="0" w:color="auto"/>
              <w:right w:val="single" w:sz="4" w:space="0" w:color="auto"/>
            </w:tcBorders>
            <w:shd w:val="clear" w:color="000000" w:fill="F2F2F2"/>
            <w:noWrap/>
            <w:vAlign w:val="center"/>
            <w:hideMark/>
          </w:tcPr>
          <w:p w14:paraId="33AB06DA"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$ 3.647.825.617</w:t>
            </w:r>
          </w:p>
        </w:tc>
        <w:tc>
          <w:tcPr>
            <w:tcW w:w="1260" w:type="dxa"/>
            <w:tcBorders>
              <w:top w:val="nil"/>
              <w:left w:val="nil"/>
              <w:bottom w:val="single" w:sz="4" w:space="0" w:color="auto"/>
              <w:right w:val="single" w:sz="4" w:space="0" w:color="auto"/>
            </w:tcBorders>
            <w:shd w:val="clear" w:color="000000" w:fill="F2F2F2"/>
            <w:noWrap/>
            <w:vAlign w:val="center"/>
            <w:hideMark/>
          </w:tcPr>
          <w:p w14:paraId="433298A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$ 36.478.256</w:t>
            </w:r>
          </w:p>
        </w:tc>
        <w:tc>
          <w:tcPr>
            <w:tcW w:w="1120" w:type="dxa"/>
            <w:tcBorders>
              <w:top w:val="nil"/>
              <w:left w:val="nil"/>
              <w:bottom w:val="single" w:sz="4" w:space="0" w:color="auto"/>
              <w:right w:val="single" w:sz="4" w:space="0" w:color="auto"/>
            </w:tcBorders>
            <w:shd w:val="clear" w:color="000000" w:fill="F2F2F2"/>
            <w:noWrap/>
            <w:vAlign w:val="center"/>
            <w:hideMark/>
          </w:tcPr>
          <w:p w14:paraId="07175F7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$ 1.518</w:t>
            </w:r>
          </w:p>
        </w:tc>
        <w:tc>
          <w:tcPr>
            <w:tcW w:w="1260" w:type="dxa"/>
            <w:tcBorders>
              <w:top w:val="nil"/>
              <w:left w:val="nil"/>
              <w:bottom w:val="single" w:sz="4" w:space="0" w:color="auto"/>
              <w:right w:val="single" w:sz="4" w:space="0" w:color="auto"/>
            </w:tcBorders>
            <w:shd w:val="clear" w:color="000000" w:fill="F2F2F2"/>
            <w:noWrap/>
            <w:vAlign w:val="center"/>
            <w:hideMark/>
          </w:tcPr>
          <w:p w14:paraId="26B62A6E"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$ 36.479.774</w:t>
            </w:r>
          </w:p>
        </w:tc>
        <w:tc>
          <w:tcPr>
            <w:tcW w:w="1920" w:type="dxa"/>
            <w:tcBorders>
              <w:top w:val="nil"/>
              <w:left w:val="nil"/>
              <w:bottom w:val="single" w:sz="4" w:space="0" w:color="auto"/>
              <w:right w:val="single" w:sz="4" w:space="0" w:color="auto"/>
            </w:tcBorders>
            <w:shd w:val="clear" w:color="000000" w:fill="F2F2F2"/>
            <w:vAlign w:val="center"/>
            <w:hideMark/>
          </w:tcPr>
          <w:p w14:paraId="35867B67"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w:t>
            </w:r>
          </w:p>
        </w:tc>
      </w:tr>
      <w:tr w:rsidR="00D705A6" w:rsidRPr="002E0BB9" w14:paraId="1F965652" w14:textId="77777777" w:rsidTr="007D1249">
        <w:trPr>
          <w:trHeight w:val="4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3B485145"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70</w:t>
            </w:r>
          </w:p>
        </w:tc>
        <w:tc>
          <w:tcPr>
            <w:tcW w:w="560" w:type="dxa"/>
            <w:tcBorders>
              <w:top w:val="nil"/>
              <w:left w:val="nil"/>
              <w:bottom w:val="single" w:sz="4" w:space="0" w:color="auto"/>
              <w:right w:val="single" w:sz="4" w:space="0" w:color="auto"/>
            </w:tcBorders>
            <w:shd w:val="clear" w:color="000000" w:fill="F2F2F2"/>
            <w:noWrap/>
            <w:vAlign w:val="center"/>
            <w:hideMark/>
          </w:tcPr>
          <w:p w14:paraId="60629DC2"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3268</w:t>
            </w:r>
          </w:p>
        </w:tc>
        <w:tc>
          <w:tcPr>
            <w:tcW w:w="920" w:type="dxa"/>
            <w:tcBorders>
              <w:top w:val="nil"/>
              <w:left w:val="nil"/>
              <w:bottom w:val="single" w:sz="4" w:space="0" w:color="auto"/>
              <w:right w:val="single" w:sz="4" w:space="0" w:color="auto"/>
            </w:tcBorders>
            <w:shd w:val="clear" w:color="000000" w:fill="F2F2F2"/>
            <w:noWrap/>
            <w:vAlign w:val="center"/>
            <w:hideMark/>
          </w:tcPr>
          <w:p w14:paraId="424AF637"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830113630</w:t>
            </w:r>
          </w:p>
        </w:tc>
        <w:tc>
          <w:tcPr>
            <w:tcW w:w="2180" w:type="dxa"/>
            <w:tcBorders>
              <w:top w:val="nil"/>
              <w:left w:val="nil"/>
              <w:bottom w:val="single" w:sz="4" w:space="0" w:color="auto"/>
              <w:right w:val="single" w:sz="4" w:space="0" w:color="auto"/>
            </w:tcBorders>
            <w:shd w:val="clear" w:color="000000" w:fill="F2F2F2"/>
            <w:vAlign w:val="center"/>
            <w:hideMark/>
          </w:tcPr>
          <w:p w14:paraId="50D4748C"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ZONA FRANCA CELSIA S.A. E.S.P.</w:t>
            </w:r>
          </w:p>
        </w:tc>
        <w:tc>
          <w:tcPr>
            <w:tcW w:w="1520" w:type="dxa"/>
            <w:tcBorders>
              <w:top w:val="nil"/>
              <w:left w:val="nil"/>
              <w:bottom w:val="single" w:sz="4" w:space="0" w:color="auto"/>
              <w:right w:val="single" w:sz="4" w:space="0" w:color="auto"/>
            </w:tcBorders>
            <w:shd w:val="clear" w:color="000000" w:fill="F2F2F2"/>
            <w:noWrap/>
            <w:vAlign w:val="center"/>
            <w:hideMark/>
          </w:tcPr>
          <w:p w14:paraId="0187ED2A"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$ 37.318.209.000</w:t>
            </w:r>
          </w:p>
        </w:tc>
        <w:tc>
          <w:tcPr>
            <w:tcW w:w="1440" w:type="dxa"/>
            <w:tcBorders>
              <w:top w:val="nil"/>
              <w:left w:val="nil"/>
              <w:bottom w:val="single" w:sz="4" w:space="0" w:color="auto"/>
              <w:right w:val="single" w:sz="4" w:space="0" w:color="auto"/>
            </w:tcBorders>
            <w:shd w:val="clear" w:color="000000" w:fill="F2F2F2"/>
            <w:noWrap/>
            <w:vAlign w:val="center"/>
            <w:hideMark/>
          </w:tcPr>
          <w:p w14:paraId="56A2109D"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$ 3.426.659.016</w:t>
            </w:r>
          </w:p>
        </w:tc>
        <w:tc>
          <w:tcPr>
            <w:tcW w:w="1460" w:type="dxa"/>
            <w:tcBorders>
              <w:top w:val="nil"/>
              <w:left w:val="nil"/>
              <w:bottom w:val="single" w:sz="4" w:space="0" w:color="auto"/>
              <w:right w:val="single" w:sz="4" w:space="0" w:color="auto"/>
            </w:tcBorders>
            <w:shd w:val="clear" w:color="000000" w:fill="F2F2F2"/>
            <w:noWrap/>
            <w:vAlign w:val="center"/>
            <w:hideMark/>
          </w:tcPr>
          <w:p w14:paraId="22644542"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$ 40.744.868.016</w:t>
            </w:r>
          </w:p>
        </w:tc>
        <w:tc>
          <w:tcPr>
            <w:tcW w:w="1260" w:type="dxa"/>
            <w:tcBorders>
              <w:top w:val="nil"/>
              <w:left w:val="nil"/>
              <w:bottom w:val="single" w:sz="4" w:space="0" w:color="auto"/>
              <w:right w:val="single" w:sz="4" w:space="0" w:color="auto"/>
            </w:tcBorders>
            <w:shd w:val="clear" w:color="000000" w:fill="F2F2F2"/>
            <w:noWrap/>
            <w:vAlign w:val="center"/>
            <w:hideMark/>
          </w:tcPr>
          <w:p w14:paraId="7BC1BB55"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$ 407.448.680</w:t>
            </w:r>
          </w:p>
        </w:tc>
        <w:tc>
          <w:tcPr>
            <w:tcW w:w="1120" w:type="dxa"/>
            <w:tcBorders>
              <w:top w:val="nil"/>
              <w:left w:val="nil"/>
              <w:bottom w:val="single" w:sz="4" w:space="0" w:color="auto"/>
              <w:right w:val="single" w:sz="4" w:space="0" w:color="auto"/>
            </w:tcBorders>
            <w:shd w:val="clear" w:color="000000" w:fill="F2F2F2"/>
            <w:noWrap/>
            <w:vAlign w:val="center"/>
            <w:hideMark/>
          </w:tcPr>
          <w:p w14:paraId="523C9B3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$ 16.957</w:t>
            </w:r>
          </w:p>
        </w:tc>
        <w:tc>
          <w:tcPr>
            <w:tcW w:w="1260" w:type="dxa"/>
            <w:tcBorders>
              <w:top w:val="nil"/>
              <w:left w:val="nil"/>
              <w:bottom w:val="single" w:sz="4" w:space="0" w:color="auto"/>
              <w:right w:val="single" w:sz="4" w:space="0" w:color="auto"/>
            </w:tcBorders>
            <w:shd w:val="clear" w:color="000000" w:fill="F2F2F2"/>
            <w:noWrap/>
            <w:vAlign w:val="center"/>
            <w:hideMark/>
          </w:tcPr>
          <w:p w14:paraId="7A1BB08C"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$ 407.465.637</w:t>
            </w:r>
          </w:p>
        </w:tc>
        <w:tc>
          <w:tcPr>
            <w:tcW w:w="1920" w:type="dxa"/>
            <w:tcBorders>
              <w:top w:val="nil"/>
              <w:left w:val="nil"/>
              <w:bottom w:val="single" w:sz="4" w:space="0" w:color="auto"/>
              <w:right w:val="single" w:sz="4" w:space="0" w:color="auto"/>
            </w:tcBorders>
            <w:shd w:val="clear" w:color="000000" w:fill="F2F2F2"/>
            <w:vAlign w:val="center"/>
            <w:hideMark/>
          </w:tcPr>
          <w:p w14:paraId="1350D8B5"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w:t>
            </w:r>
          </w:p>
        </w:tc>
      </w:tr>
      <w:tr w:rsidR="00D705A6" w:rsidRPr="002E0BB9" w14:paraId="09A990F4" w14:textId="77777777" w:rsidTr="007D1249">
        <w:trPr>
          <w:trHeight w:val="6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657A54F7"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71</w:t>
            </w:r>
          </w:p>
        </w:tc>
        <w:tc>
          <w:tcPr>
            <w:tcW w:w="560" w:type="dxa"/>
            <w:tcBorders>
              <w:top w:val="nil"/>
              <w:left w:val="nil"/>
              <w:bottom w:val="single" w:sz="4" w:space="0" w:color="auto"/>
              <w:right w:val="single" w:sz="4" w:space="0" w:color="auto"/>
            </w:tcBorders>
            <w:shd w:val="clear" w:color="000000" w:fill="F2F2F2"/>
            <w:noWrap/>
            <w:vAlign w:val="center"/>
            <w:hideMark/>
          </w:tcPr>
          <w:p w14:paraId="211A6505"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3359</w:t>
            </w:r>
          </w:p>
        </w:tc>
        <w:tc>
          <w:tcPr>
            <w:tcW w:w="920" w:type="dxa"/>
            <w:tcBorders>
              <w:top w:val="nil"/>
              <w:left w:val="nil"/>
              <w:bottom w:val="single" w:sz="4" w:space="0" w:color="auto"/>
              <w:right w:val="single" w:sz="4" w:space="0" w:color="auto"/>
            </w:tcBorders>
            <w:shd w:val="clear" w:color="000000" w:fill="F2F2F2"/>
            <w:noWrap/>
            <w:vAlign w:val="center"/>
            <w:hideMark/>
          </w:tcPr>
          <w:p w14:paraId="0CA229C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830118416</w:t>
            </w:r>
          </w:p>
        </w:tc>
        <w:tc>
          <w:tcPr>
            <w:tcW w:w="2180" w:type="dxa"/>
            <w:tcBorders>
              <w:top w:val="nil"/>
              <w:left w:val="nil"/>
              <w:bottom w:val="single" w:sz="4" w:space="0" w:color="auto"/>
              <w:right w:val="single" w:sz="4" w:space="0" w:color="auto"/>
            </w:tcBorders>
            <w:shd w:val="clear" w:color="000000" w:fill="F2F2F2"/>
            <w:vAlign w:val="center"/>
            <w:hideMark/>
          </w:tcPr>
          <w:p w14:paraId="4428F97A"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NACIONAL DE SERVICIOS PÚBLICOS DOMICILIARIOS S.A. E.S.P.</w:t>
            </w:r>
          </w:p>
        </w:tc>
        <w:tc>
          <w:tcPr>
            <w:tcW w:w="1520" w:type="dxa"/>
            <w:tcBorders>
              <w:top w:val="nil"/>
              <w:left w:val="nil"/>
              <w:bottom w:val="single" w:sz="4" w:space="0" w:color="auto"/>
              <w:right w:val="single" w:sz="4" w:space="0" w:color="auto"/>
            </w:tcBorders>
            <w:shd w:val="clear" w:color="000000" w:fill="F2F2F2"/>
            <w:noWrap/>
            <w:vAlign w:val="center"/>
            <w:hideMark/>
          </w:tcPr>
          <w:p w14:paraId="72F79CC7"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$ 708.202.000</w:t>
            </w:r>
          </w:p>
        </w:tc>
        <w:tc>
          <w:tcPr>
            <w:tcW w:w="1440" w:type="dxa"/>
            <w:tcBorders>
              <w:top w:val="nil"/>
              <w:left w:val="nil"/>
              <w:bottom w:val="single" w:sz="4" w:space="0" w:color="auto"/>
              <w:right w:val="single" w:sz="4" w:space="0" w:color="auto"/>
            </w:tcBorders>
            <w:shd w:val="clear" w:color="000000" w:fill="F2F2F2"/>
            <w:noWrap/>
            <w:vAlign w:val="center"/>
            <w:hideMark/>
          </w:tcPr>
          <w:p w14:paraId="204667D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$ 34.987.425</w:t>
            </w:r>
          </w:p>
        </w:tc>
        <w:tc>
          <w:tcPr>
            <w:tcW w:w="1460" w:type="dxa"/>
            <w:tcBorders>
              <w:top w:val="nil"/>
              <w:left w:val="nil"/>
              <w:bottom w:val="single" w:sz="4" w:space="0" w:color="auto"/>
              <w:right w:val="single" w:sz="4" w:space="0" w:color="auto"/>
            </w:tcBorders>
            <w:shd w:val="clear" w:color="000000" w:fill="F2F2F2"/>
            <w:noWrap/>
            <w:vAlign w:val="center"/>
            <w:hideMark/>
          </w:tcPr>
          <w:p w14:paraId="480B86F1"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$ 743.189.425</w:t>
            </w:r>
          </w:p>
        </w:tc>
        <w:tc>
          <w:tcPr>
            <w:tcW w:w="1260" w:type="dxa"/>
            <w:tcBorders>
              <w:top w:val="nil"/>
              <w:left w:val="nil"/>
              <w:bottom w:val="single" w:sz="4" w:space="0" w:color="auto"/>
              <w:right w:val="single" w:sz="4" w:space="0" w:color="auto"/>
            </w:tcBorders>
            <w:shd w:val="clear" w:color="000000" w:fill="F2F2F2"/>
            <w:noWrap/>
            <w:vAlign w:val="center"/>
            <w:hideMark/>
          </w:tcPr>
          <w:p w14:paraId="7D44967A"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$ 7.431.894</w:t>
            </w:r>
          </w:p>
        </w:tc>
        <w:tc>
          <w:tcPr>
            <w:tcW w:w="1120" w:type="dxa"/>
            <w:tcBorders>
              <w:top w:val="nil"/>
              <w:left w:val="nil"/>
              <w:bottom w:val="single" w:sz="4" w:space="0" w:color="auto"/>
              <w:right w:val="single" w:sz="4" w:space="0" w:color="auto"/>
            </w:tcBorders>
            <w:shd w:val="clear" w:color="000000" w:fill="F2F2F2"/>
            <w:noWrap/>
            <w:vAlign w:val="center"/>
            <w:hideMark/>
          </w:tcPr>
          <w:p w14:paraId="4B4DB8BC"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$ 309</w:t>
            </w:r>
          </w:p>
        </w:tc>
        <w:tc>
          <w:tcPr>
            <w:tcW w:w="1260" w:type="dxa"/>
            <w:tcBorders>
              <w:top w:val="nil"/>
              <w:left w:val="nil"/>
              <w:bottom w:val="single" w:sz="4" w:space="0" w:color="auto"/>
              <w:right w:val="single" w:sz="4" w:space="0" w:color="auto"/>
            </w:tcBorders>
            <w:shd w:val="clear" w:color="000000" w:fill="F2F2F2"/>
            <w:noWrap/>
            <w:vAlign w:val="center"/>
            <w:hideMark/>
          </w:tcPr>
          <w:p w14:paraId="7FB4EC3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$ 7.432.204</w:t>
            </w:r>
          </w:p>
        </w:tc>
        <w:tc>
          <w:tcPr>
            <w:tcW w:w="1920" w:type="dxa"/>
            <w:tcBorders>
              <w:top w:val="nil"/>
              <w:left w:val="nil"/>
              <w:bottom w:val="single" w:sz="4" w:space="0" w:color="auto"/>
              <w:right w:val="single" w:sz="4" w:space="0" w:color="auto"/>
            </w:tcBorders>
            <w:shd w:val="clear" w:color="000000" w:fill="F2F2F2"/>
            <w:vAlign w:val="center"/>
            <w:hideMark/>
          </w:tcPr>
          <w:p w14:paraId="5AD71E12"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GAS POR REDES</w:t>
            </w:r>
          </w:p>
        </w:tc>
      </w:tr>
      <w:tr w:rsidR="00D705A6" w:rsidRPr="002E0BB9" w14:paraId="6C734AC7" w14:textId="77777777" w:rsidTr="007D1249">
        <w:trPr>
          <w:trHeight w:val="6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492A9025"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72</w:t>
            </w:r>
          </w:p>
        </w:tc>
        <w:tc>
          <w:tcPr>
            <w:tcW w:w="560" w:type="dxa"/>
            <w:tcBorders>
              <w:top w:val="nil"/>
              <w:left w:val="nil"/>
              <w:bottom w:val="single" w:sz="4" w:space="0" w:color="auto"/>
              <w:right w:val="single" w:sz="4" w:space="0" w:color="auto"/>
            </w:tcBorders>
            <w:shd w:val="clear" w:color="000000" w:fill="F2F2F2"/>
            <w:noWrap/>
            <w:vAlign w:val="center"/>
            <w:hideMark/>
          </w:tcPr>
          <w:p w14:paraId="00E8BB6E"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40096</w:t>
            </w:r>
          </w:p>
        </w:tc>
        <w:tc>
          <w:tcPr>
            <w:tcW w:w="920" w:type="dxa"/>
            <w:tcBorders>
              <w:top w:val="nil"/>
              <w:left w:val="nil"/>
              <w:bottom w:val="single" w:sz="4" w:space="0" w:color="auto"/>
              <w:right w:val="single" w:sz="4" w:space="0" w:color="auto"/>
            </w:tcBorders>
            <w:shd w:val="clear" w:color="000000" w:fill="F2F2F2"/>
            <w:noWrap/>
            <w:vAlign w:val="center"/>
            <w:hideMark/>
          </w:tcPr>
          <w:p w14:paraId="7B6B123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830126302</w:t>
            </w:r>
          </w:p>
        </w:tc>
        <w:tc>
          <w:tcPr>
            <w:tcW w:w="2180" w:type="dxa"/>
            <w:tcBorders>
              <w:top w:val="nil"/>
              <w:left w:val="nil"/>
              <w:bottom w:val="single" w:sz="4" w:space="0" w:color="auto"/>
              <w:right w:val="single" w:sz="4" w:space="0" w:color="auto"/>
            </w:tcBorders>
            <w:shd w:val="clear" w:color="000000" w:fill="F2F2F2"/>
            <w:vAlign w:val="center"/>
            <w:hideMark/>
          </w:tcPr>
          <w:p w14:paraId="55A6F571"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FRONTERA ENERGY COLOMBIA CORP.</w:t>
            </w:r>
            <w:proofErr w:type="gramStart"/>
            <w:r w:rsidRPr="002E0BB9">
              <w:rPr>
                <w:rFonts w:ascii="Arial Narrow" w:hAnsi="Arial Narrow" w:cs="Arial"/>
                <w:spacing w:val="0"/>
                <w:sz w:val="16"/>
                <w:szCs w:val="16"/>
                <w:lang w:val="es-MX" w:eastAsia="es-MX"/>
              </w:rPr>
              <w:t>,  SUCURSAL</w:t>
            </w:r>
            <w:proofErr w:type="gramEnd"/>
            <w:r w:rsidRPr="002E0BB9">
              <w:rPr>
                <w:rFonts w:ascii="Arial Narrow" w:hAnsi="Arial Narrow" w:cs="Arial"/>
                <w:spacing w:val="0"/>
                <w:sz w:val="16"/>
                <w:szCs w:val="16"/>
                <w:lang w:val="es-MX" w:eastAsia="es-MX"/>
              </w:rPr>
              <w:t xml:space="preserve"> COLOMBIA</w:t>
            </w:r>
          </w:p>
        </w:tc>
        <w:tc>
          <w:tcPr>
            <w:tcW w:w="1520" w:type="dxa"/>
            <w:tcBorders>
              <w:top w:val="nil"/>
              <w:left w:val="nil"/>
              <w:bottom w:val="single" w:sz="4" w:space="0" w:color="auto"/>
              <w:right w:val="single" w:sz="4" w:space="0" w:color="auto"/>
            </w:tcBorders>
            <w:shd w:val="clear" w:color="000000" w:fill="F2F2F2"/>
            <w:noWrap/>
            <w:vAlign w:val="center"/>
            <w:hideMark/>
          </w:tcPr>
          <w:p w14:paraId="0122C24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$ 840.521.000</w:t>
            </w:r>
          </w:p>
        </w:tc>
        <w:tc>
          <w:tcPr>
            <w:tcW w:w="1440" w:type="dxa"/>
            <w:tcBorders>
              <w:top w:val="nil"/>
              <w:left w:val="nil"/>
              <w:bottom w:val="single" w:sz="4" w:space="0" w:color="auto"/>
              <w:right w:val="single" w:sz="4" w:space="0" w:color="auto"/>
            </w:tcBorders>
            <w:shd w:val="clear" w:color="000000" w:fill="F2F2F2"/>
            <w:noWrap/>
            <w:vAlign w:val="center"/>
            <w:hideMark/>
          </w:tcPr>
          <w:p w14:paraId="2D82CEB1"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$ 921.525</w:t>
            </w:r>
          </w:p>
        </w:tc>
        <w:tc>
          <w:tcPr>
            <w:tcW w:w="1460" w:type="dxa"/>
            <w:tcBorders>
              <w:top w:val="nil"/>
              <w:left w:val="nil"/>
              <w:bottom w:val="single" w:sz="4" w:space="0" w:color="auto"/>
              <w:right w:val="single" w:sz="4" w:space="0" w:color="auto"/>
            </w:tcBorders>
            <w:shd w:val="clear" w:color="000000" w:fill="F2F2F2"/>
            <w:noWrap/>
            <w:vAlign w:val="center"/>
            <w:hideMark/>
          </w:tcPr>
          <w:p w14:paraId="0E40340C"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$ 841.442.525</w:t>
            </w:r>
          </w:p>
        </w:tc>
        <w:tc>
          <w:tcPr>
            <w:tcW w:w="1260" w:type="dxa"/>
            <w:tcBorders>
              <w:top w:val="nil"/>
              <w:left w:val="nil"/>
              <w:bottom w:val="single" w:sz="4" w:space="0" w:color="auto"/>
              <w:right w:val="single" w:sz="4" w:space="0" w:color="auto"/>
            </w:tcBorders>
            <w:shd w:val="clear" w:color="000000" w:fill="F2F2F2"/>
            <w:noWrap/>
            <w:vAlign w:val="center"/>
            <w:hideMark/>
          </w:tcPr>
          <w:p w14:paraId="501963D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$ 8.414.425</w:t>
            </w:r>
          </w:p>
        </w:tc>
        <w:tc>
          <w:tcPr>
            <w:tcW w:w="1120" w:type="dxa"/>
            <w:tcBorders>
              <w:top w:val="nil"/>
              <w:left w:val="nil"/>
              <w:bottom w:val="single" w:sz="4" w:space="0" w:color="auto"/>
              <w:right w:val="single" w:sz="4" w:space="0" w:color="auto"/>
            </w:tcBorders>
            <w:shd w:val="clear" w:color="000000" w:fill="F2F2F2"/>
            <w:noWrap/>
            <w:vAlign w:val="center"/>
            <w:hideMark/>
          </w:tcPr>
          <w:p w14:paraId="79194A5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$ 350</w:t>
            </w:r>
          </w:p>
        </w:tc>
        <w:tc>
          <w:tcPr>
            <w:tcW w:w="1260" w:type="dxa"/>
            <w:tcBorders>
              <w:top w:val="nil"/>
              <w:left w:val="nil"/>
              <w:bottom w:val="single" w:sz="4" w:space="0" w:color="auto"/>
              <w:right w:val="single" w:sz="4" w:space="0" w:color="auto"/>
            </w:tcBorders>
            <w:shd w:val="clear" w:color="000000" w:fill="F2F2F2"/>
            <w:noWrap/>
            <w:vAlign w:val="center"/>
            <w:hideMark/>
          </w:tcPr>
          <w:p w14:paraId="5A4622E1"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$ 8.414.775</w:t>
            </w:r>
          </w:p>
        </w:tc>
        <w:tc>
          <w:tcPr>
            <w:tcW w:w="1920" w:type="dxa"/>
            <w:tcBorders>
              <w:top w:val="nil"/>
              <w:left w:val="nil"/>
              <w:bottom w:val="single" w:sz="4" w:space="0" w:color="auto"/>
              <w:right w:val="single" w:sz="4" w:space="0" w:color="auto"/>
            </w:tcBorders>
            <w:shd w:val="clear" w:color="000000" w:fill="F2F2F2"/>
            <w:vAlign w:val="center"/>
            <w:hideMark/>
          </w:tcPr>
          <w:p w14:paraId="4FB4F6F7"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GAS LICUADO DEL PETROLEO - GAS POR REDES</w:t>
            </w:r>
          </w:p>
        </w:tc>
      </w:tr>
      <w:tr w:rsidR="00D705A6" w:rsidRPr="002E0BB9" w14:paraId="13C2FA83" w14:textId="77777777" w:rsidTr="007D1249">
        <w:trPr>
          <w:trHeight w:val="6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1E08A776"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73</w:t>
            </w:r>
          </w:p>
        </w:tc>
        <w:tc>
          <w:tcPr>
            <w:tcW w:w="560" w:type="dxa"/>
            <w:tcBorders>
              <w:top w:val="nil"/>
              <w:left w:val="nil"/>
              <w:bottom w:val="single" w:sz="4" w:space="0" w:color="auto"/>
              <w:right w:val="single" w:sz="4" w:space="0" w:color="auto"/>
            </w:tcBorders>
            <w:shd w:val="clear" w:color="000000" w:fill="F2F2F2"/>
            <w:noWrap/>
            <w:vAlign w:val="center"/>
            <w:hideMark/>
          </w:tcPr>
          <w:p w14:paraId="4D0D146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20033</w:t>
            </w:r>
          </w:p>
        </w:tc>
        <w:tc>
          <w:tcPr>
            <w:tcW w:w="920" w:type="dxa"/>
            <w:tcBorders>
              <w:top w:val="nil"/>
              <w:left w:val="nil"/>
              <w:bottom w:val="single" w:sz="4" w:space="0" w:color="auto"/>
              <w:right w:val="single" w:sz="4" w:space="0" w:color="auto"/>
            </w:tcBorders>
            <w:shd w:val="clear" w:color="000000" w:fill="F2F2F2"/>
            <w:noWrap/>
            <w:vAlign w:val="center"/>
            <w:hideMark/>
          </w:tcPr>
          <w:p w14:paraId="09D3EE7D"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830129277</w:t>
            </w:r>
          </w:p>
        </w:tc>
        <w:tc>
          <w:tcPr>
            <w:tcW w:w="2180" w:type="dxa"/>
            <w:tcBorders>
              <w:top w:val="nil"/>
              <w:left w:val="nil"/>
              <w:bottom w:val="single" w:sz="4" w:space="0" w:color="auto"/>
              <w:right w:val="single" w:sz="4" w:space="0" w:color="auto"/>
            </w:tcBorders>
            <w:shd w:val="clear" w:color="000000" w:fill="F2F2F2"/>
            <w:vAlign w:val="center"/>
            <w:hideMark/>
          </w:tcPr>
          <w:p w14:paraId="2270E0B1"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TERMOYOPAL GENERACION 2 S.A.S. E.S.P.</w:t>
            </w:r>
          </w:p>
        </w:tc>
        <w:tc>
          <w:tcPr>
            <w:tcW w:w="1520" w:type="dxa"/>
            <w:tcBorders>
              <w:top w:val="nil"/>
              <w:left w:val="nil"/>
              <w:bottom w:val="single" w:sz="4" w:space="0" w:color="auto"/>
              <w:right w:val="single" w:sz="4" w:space="0" w:color="auto"/>
            </w:tcBorders>
            <w:shd w:val="clear" w:color="000000" w:fill="F2F2F2"/>
            <w:noWrap/>
            <w:vAlign w:val="center"/>
            <w:hideMark/>
          </w:tcPr>
          <w:p w14:paraId="5F68B161"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$ 2.909.487.000</w:t>
            </w:r>
          </w:p>
        </w:tc>
        <w:tc>
          <w:tcPr>
            <w:tcW w:w="1440" w:type="dxa"/>
            <w:tcBorders>
              <w:top w:val="nil"/>
              <w:left w:val="nil"/>
              <w:bottom w:val="single" w:sz="4" w:space="0" w:color="auto"/>
              <w:right w:val="single" w:sz="4" w:space="0" w:color="auto"/>
            </w:tcBorders>
            <w:shd w:val="clear" w:color="000000" w:fill="F2F2F2"/>
            <w:noWrap/>
            <w:vAlign w:val="center"/>
            <w:hideMark/>
          </w:tcPr>
          <w:p w14:paraId="4E69B03A"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$ 62.708.618</w:t>
            </w:r>
          </w:p>
        </w:tc>
        <w:tc>
          <w:tcPr>
            <w:tcW w:w="1460" w:type="dxa"/>
            <w:tcBorders>
              <w:top w:val="nil"/>
              <w:left w:val="nil"/>
              <w:bottom w:val="single" w:sz="4" w:space="0" w:color="auto"/>
              <w:right w:val="single" w:sz="4" w:space="0" w:color="auto"/>
            </w:tcBorders>
            <w:shd w:val="clear" w:color="000000" w:fill="F2F2F2"/>
            <w:noWrap/>
            <w:vAlign w:val="center"/>
            <w:hideMark/>
          </w:tcPr>
          <w:p w14:paraId="479A80AE"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$ 2.972.195.618</w:t>
            </w:r>
          </w:p>
        </w:tc>
        <w:tc>
          <w:tcPr>
            <w:tcW w:w="1260" w:type="dxa"/>
            <w:tcBorders>
              <w:top w:val="nil"/>
              <w:left w:val="nil"/>
              <w:bottom w:val="single" w:sz="4" w:space="0" w:color="auto"/>
              <w:right w:val="single" w:sz="4" w:space="0" w:color="auto"/>
            </w:tcBorders>
            <w:shd w:val="clear" w:color="000000" w:fill="F2F2F2"/>
            <w:noWrap/>
            <w:vAlign w:val="center"/>
            <w:hideMark/>
          </w:tcPr>
          <w:p w14:paraId="0D47645D"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$ 29.721.956</w:t>
            </w:r>
          </w:p>
        </w:tc>
        <w:tc>
          <w:tcPr>
            <w:tcW w:w="1120" w:type="dxa"/>
            <w:tcBorders>
              <w:top w:val="nil"/>
              <w:left w:val="nil"/>
              <w:bottom w:val="single" w:sz="4" w:space="0" w:color="auto"/>
              <w:right w:val="single" w:sz="4" w:space="0" w:color="auto"/>
            </w:tcBorders>
            <w:shd w:val="clear" w:color="000000" w:fill="F2F2F2"/>
            <w:noWrap/>
            <w:vAlign w:val="center"/>
            <w:hideMark/>
          </w:tcPr>
          <w:p w14:paraId="06E1EC66"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$ 1.237</w:t>
            </w:r>
          </w:p>
        </w:tc>
        <w:tc>
          <w:tcPr>
            <w:tcW w:w="1260" w:type="dxa"/>
            <w:tcBorders>
              <w:top w:val="nil"/>
              <w:left w:val="nil"/>
              <w:bottom w:val="single" w:sz="4" w:space="0" w:color="auto"/>
              <w:right w:val="single" w:sz="4" w:space="0" w:color="auto"/>
            </w:tcBorders>
            <w:shd w:val="clear" w:color="000000" w:fill="F2F2F2"/>
            <w:noWrap/>
            <w:vAlign w:val="center"/>
            <w:hideMark/>
          </w:tcPr>
          <w:p w14:paraId="2436C9C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$ 29.723.193</w:t>
            </w:r>
          </w:p>
        </w:tc>
        <w:tc>
          <w:tcPr>
            <w:tcW w:w="1920" w:type="dxa"/>
            <w:tcBorders>
              <w:top w:val="nil"/>
              <w:left w:val="nil"/>
              <w:bottom w:val="single" w:sz="4" w:space="0" w:color="auto"/>
              <w:right w:val="single" w:sz="4" w:space="0" w:color="auto"/>
            </w:tcBorders>
            <w:shd w:val="clear" w:color="000000" w:fill="F2F2F2"/>
            <w:vAlign w:val="center"/>
            <w:hideMark/>
          </w:tcPr>
          <w:p w14:paraId="64E72D55"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w:t>
            </w:r>
          </w:p>
        </w:tc>
      </w:tr>
      <w:tr w:rsidR="00D705A6" w:rsidRPr="002E0BB9" w14:paraId="784CB610" w14:textId="77777777" w:rsidTr="007D1249">
        <w:trPr>
          <w:trHeight w:val="4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3A1124E5"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74</w:t>
            </w:r>
          </w:p>
        </w:tc>
        <w:tc>
          <w:tcPr>
            <w:tcW w:w="560" w:type="dxa"/>
            <w:tcBorders>
              <w:top w:val="nil"/>
              <w:left w:val="nil"/>
              <w:bottom w:val="single" w:sz="4" w:space="0" w:color="auto"/>
              <w:right w:val="single" w:sz="4" w:space="0" w:color="auto"/>
            </w:tcBorders>
            <w:shd w:val="clear" w:color="000000" w:fill="F2F2F2"/>
            <w:noWrap/>
            <w:vAlign w:val="center"/>
            <w:hideMark/>
          </w:tcPr>
          <w:p w14:paraId="3EC12C9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3358</w:t>
            </w:r>
          </w:p>
        </w:tc>
        <w:tc>
          <w:tcPr>
            <w:tcW w:w="920" w:type="dxa"/>
            <w:tcBorders>
              <w:top w:val="nil"/>
              <w:left w:val="nil"/>
              <w:bottom w:val="single" w:sz="4" w:space="0" w:color="auto"/>
              <w:right w:val="single" w:sz="4" w:space="0" w:color="auto"/>
            </w:tcBorders>
            <w:shd w:val="clear" w:color="000000" w:fill="F2F2F2"/>
            <w:noWrap/>
            <w:vAlign w:val="center"/>
            <w:hideMark/>
          </w:tcPr>
          <w:p w14:paraId="13D8C765"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830130648</w:t>
            </w:r>
          </w:p>
        </w:tc>
        <w:tc>
          <w:tcPr>
            <w:tcW w:w="2180" w:type="dxa"/>
            <w:tcBorders>
              <w:top w:val="nil"/>
              <w:left w:val="nil"/>
              <w:bottom w:val="single" w:sz="4" w:space="0" w:color="auto"/>
              <w:right w:val="single" w:sz="4" w:space="0" w:color="auto"/>
            </w:tcBorders>
            <w:shd w:val="clear" w:color="000000" w:fill="F2F2F2"/>
            <w:vAlign w:val="center"/>
            <w:hideMark/>
          </w:tcPr>
          <w:p w14:paraId="7E66310C"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COMPAÑIA DE SERVICIOS PUBLICOS S.A E.</w:t>
            </w:r>
            <w:proofErr w:type="gramStart"/>
            <w:r w:rsidRPr="002E0BB9">
              <w:rPr>
                <w:rFonts w:ascii="Arial Narrow" w:hAnsi="Arial Narrow" w:cs="Arial"/>
                <w:spacing w:val="0"/>
                <w:sz w:val="16"/>
                <w:szCs w:val="16"/>
                <w:lang w:val="es-MX" w:eastAsia="es-MX"/>
              </w:rPr>
              <w:t>S.P</w:t>
            </w:r>
            <w:proofErr w:type="gramEnd"/>
          </w:p>
        </w:tc>
        <w:tc>
          <w:tcPr>
            <w:tcW w:w="1520" w:type="dxa"/>
            <w:tcBorders>
              <w:top w:val="nil"/>
              <w:left w:val="nil"/>
              <w:bottom w:val="single" w:sz="4" w:space="0" w:color="auto"/>
              <w:right w:val="single" w:sz="4" w:space="0" w:color="auto"/>
            </w:tcBorders>
            <w:shd w:val="clear" w:color="000000" w:fill="F2F2F2"/>
            <w:noWrap/>
            <w:vAlign w:val="center"/>
            <w:hideMark/>
          </w:tcPr>
          <w:p w14:paraId="3174A4E1"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$ 1.431.726.000</w:t>
            </w:r>
          </w:p>
        </w:tc>
        <w:tc>
          <w:tcPr>
            <w:tcW w:w="1440" w:type="dxa"/>
            <w:tcBorders>
              <w:top w:val="nil"/>
              <w:left w:val="nil"/>
              <w:bottom w:val="single" w:sz="4" w:space="0" w:color="auto"/>
              <w:right w:val="single" w:sz="4" w:space="0" w:color="auto"/>
            </w:tcBorders>
            <w:shd w:val="clear" w:color="000000" w:fill="F2F2F2"/>
            <w:noWrap/>
            <w:vAlign w:val="center"/>
            <w:hideMark/>
          </w:tcPr>
          <w:p w14:paraId="62E6079B"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$ 201.416.804</w:t>
            </w:r>
          </w:p>
        </w:tc>
        <w:tc>
          <w:tcPr>
            <w:tcW w:w="1460" w:type="dxa"/>
            <w:tcBorders>
              <w:top w:val="nil"/>
              <w:left w:val="nil"/>
              <w:bottom w:val="single" w:sz="4" w:space="0" w:color="auto"/>
              <w:right w:val="single" w:sz="4" w:space="0" w:color="auto"/>
            </w:tcBorders>
            <w:shd w:val="clear" w:color="000000" w:fill="F2F2F2"/>
            <w:noWrap/>
            <w:vAlign w:val="center"/>
            <w:hideMark/>
          </w:tcPr>
          <w:p w14:paraId="2DBEA42B"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$ 1.633.142.804</w:t>
            </w:r>
          </w:p>
        </w:tc>
        <w:tc>
          <w:tcPr>
            <w:tcW w:w="1260" w:type="dxa"/>
            <w:tcBorders>
              <w:top w:val="nil"/>
              <w:left w:val="nil"/>
              <w:bottom w:val="single" w:sz="4" w:space="0" w:color="auto"/>
              <w:right w:val="single" w:sz="4" w:space="0" w:color="auto"/>
            </w:tcBorders>
            <w:shd w:val="clear" w:color="000000" w:fill="F2F2F2"/>
            <w:noWrap/>
            <w:vAlign w:val="center"/>
            <w:hideMark/>
          </w:tcPr>
          <w:p w14:paraId="05ACDDD1"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$ 16.331.428</w:t>
            </w:r>
          </w:p>
        </w:tc>
        <w:tc>
          <w:tcPr>
            <w:tcW w:w="1120" w:type="dxa"/>
            <w:tcBorders>
              <w:top w:val="nil"/>
              <w:left w:val="nil"/>
              <w:bottom w:val="single" w:sz="4" w:space="0" w:color="auto"/>
              <w:right w:val="single" w:sz="4" w:space="0" w:color="auto"/>
            </w:tcBorders>
            <w:shd w:val="clear" w:color="000000" w:fill="F2F2F2"/>
            <w:noWrap/>
            <w:vAlign w:val="center"/>
            <w:hideMark/>
          </w:tcPr>
          <w:p w14:paraId="53C64662"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$ 680</w:t>
            </w:r>
          </w:p>
        </w:tc>
        <w:tc>
          <w:tcPr>
            <w:tcW w:w="1260" w:type="dxa"/>
            <w:tcBorders>
              <w:top w:val="nil"/>
              <w:left w:val="nil"/>
              <w:bottom w:val="single" w:sz="4" w:space="0" w:color="auto"/>
              <w:right w:val="single" w:sz="4" w:space="0" w:color="auto"/>
            </w:tcBorders>
            <w:shd w:val="clear" w:color="000000" w:fill="F2F2F2"/>
            <w:noWrap/>
            <w:vAlign w:val="center"/>
            <w:hideMark/>
          </w:tcPr>
          <w:p w14:paraId="788704ED"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$ 16.332.108</w:t>
            </w:r>
          </w:p>
        </w:tc>
        <w:tc>
          <w:tcPr>
            <w:tcW w:w="1920" w:type="dxa"/>
            <w:tcBorders>
              <w:top w:val="nil"/>
              <w:left w:val="nil"/>
              <w:bottom w:val="single" w:sz="4" w:space="0" w:color="auto"/>
              <w:right w:val="single" w:sz="4" w:space="0" w:color="auto"/>
            </w:tcBorders>
            <w:shd w:val="clear" w:color="000000" w:fill="F2F2F2"/>
            <w:vAlign w:val="center"/>
            <w:hideMark/>
          </w:tcPr>
          <w:p w14:paraId="6ED4E471"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GAS LICUADO DEL PETROLEO</w:t>
            </w:r>
          </w:p>
        </w:tc>
      </w:tr>
      <w:tr w:rsidR="00D705A6" w:rsidRPr="002E0BB9" w14:paraId="364A13BF" w14:textId="77777777" w:rsidTr="007D1249">
        <w:trPr>
          <w:trHeight w:val="2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31F17D1F"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75</w:t>
            </w:r>
          </w:p>
        </w:tc>
        <w:tc>
          <w:tcPr>
            <w:tcW w:w="560" w:type="dxa"/>
            <w:tcBorders>
              <w:top w:val="nil"/>
              <w:left w:val="nil"/>
              <w:bottom w:val="single" w:sz="4" w:space="0" w:color="auto"/>
              <w:right w:val="single" w:sz="4" w:space="0" w:color="auto"/>
            </w:tcBorders>
            <w:shd w:val="clear" w:color="000000" w:fill="F2F2F2"/>
            <w:noWrap/>
            <w:vAlign w:val="center"/>
            <w:hideMark/>
          </w:tcPr>
          <w:p w14:paraId="1859EB1A"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21590</w:t>
            </w:r>
          </w:p>
        </w:tc>
        <w:tc>
          <w:tcPr>
            <w:tcW w:w="920" w:type="dxa"/>
            <w:tcBorders>
              <w:top w:val="nil"/>
              <w:left w:val="nil"/>
              <w:bottom w:val="single" w:sz="4" w:space="0" w:color="auto"/>
              <w:right w:val="single" w:sz="4" w:space="0" w:color="auto"/>
            </w:tcBorders>
            <w:shd w:val="clear" w:color="000000" w:fill="F2F2F2"/>
            <w:noWrap/>
            <w:vAlign w:val="center"/>
            <w:hideMark/>
          </w:tcPr>
          <w:p w14:paraId="4C9CF9F2"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830140206</w:t>
            </w:r>
          </w:p>
        </w:tc>
        <w:tc>
          <w:tcPr>
            <w:tcW w:w="2180" w:type="dxa"/>
            <w:tcBorders>
              <w:top w:val="nil"/>
              <w:left w:val="nil"/>
              <w:bottom w:val="single" w:sz="4" w:space="0" w:color="auto"/>
              <w:right w:val="single" w:sz="4" w:space="0" w:color="auto"/>
            </w:tcBorders>
            <w:shd w:val="clear" w:color="000000" w:fill="F2F2F2"/>
            <w:vAlign w:val="center"/>
            <w:hideMark/>
          </w:tcPr>
          <w:p w14:paraId="3D2D86EA"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ENERCER S.A E.</w:t>
            </w:r>
            <w:proofErr w:type="gramStart"/>
            <w:r w:rsidRPr="002E0BB9">
              <w:rPr>
                <w:rFonts w:ascii="Arial Narrow" w:hAnsi="Arial Narrow" w:cs="Arial"/>
                <w:spacing w:val="0"/>
                <w:sz w:val="16"/>
                <w:szCs w:val="16"/>
                <w:lang w:val="es-MX" w:eastAsia="es-MX"/>
              </w:rPr>
              <w:t>S.P</w:t>
            </w:r>
            <w:proofErr w:type="gramEnd"/>
          </w:p>
        </w:tc>
        <w:tc>
          <w:tcPr>
            <w:tcW w:w="1520" w:type="dxa"/>
            <w:tcBorders>
              <w:top w:val="nil"/>
              <w:left w:val="nil"/>
              <w:bottom w:val="single" w:sz="4" w:space="0" w:color="auto"/>
              <w:right w:val="single" w:sz="4" w:space="0" w:color="auto"/>
            </w:tcBorders>
            <w:shd w:val="clear" w:color="000000" w:fill="F2F2F2"/>
            <w:noWrap/>
            <w:vAlign w:val="center"/>
            <w:hideMark/>
          </w:tcPr>
          <w:p w14:paraId="169D9C3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$ 2.408.277.462</w:t>
            </w:r>
          </w:p>
        </w:tc>
        <w:tc>
          <w:tcPr>
            <w:tcW w:w="1440" w:type="dxa"/>
            <w:tcBorders>
              <w:top w:val="nil"/>
              <w:left w:val="nil"/>
              <w:bottom w:val="single" w:sz="4" w:space="0" w:color="auto"/>
              <w:right w:val="single" w:sz="4" w:space="0" w:color="auto"/>
            </w:tcBorders>
            <w:shd w:val="clear" w:color="000000" w:fill="F2F2F2"/>
            <w:noWrap/>
            <w:vAlign w:val="center"/>
            <w:hideMark/>
          </w:tcPr>
          <w:p w14:paraId="377EE8A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$ 34.237.993</w:t>
            </w:r>
          </w:p>
        </w:tc>
        <w:tc>
          <w:tcPr>
            <w:tcW w:w="1460" w:type="dxa"/>
            <w:tcBorders>
              <w:top w:val="nil"/>
              <w:left w:val="nil"/>
              <w:bottom w:val="single" w:sz="4" w:space="0" w:color="auto"/>
              <w:right w:val="single" w:sz="4" w:space="0" w:color="auto"/>
            </w:tcBorders>
            <w:shd w:val="clear" w:color="000000" w:fill="F2F2F2"/>
            <w:noWrap/>
            <w:vAlign w:val="center"/>
            <w:hideMark/>
          </w:tcPr>
          <w:p w14:paraId="1AB16156"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$ 2.442.515.455</w:t>
            </w:r>
          </w:p>
        </w:tc>
        <w:tc>
          <w:tcPr>
            <w:tcW w:w="1260" w:type="dxa"/>
            <w:tcBorders>
              <w:top w:val="nil"/>
              <w:left w:val="nil"/>
              <w:bottom w:val="single" w:sz="4" w:space="0" w:color="auto"/>
              <w:right w:val="single" w:sz="4" w:space="0" w:color="auto"/>
            </w:tcBorders>
            <w:shd w:val="clear" w:color="000000" w:fill="F2F2F2"/>
            <w:noWrap/>
            <w:vAlign w:val="center"/>
            <w:hideMark/>
          </w:tcPr>
          <w:p w14:paraId="21EFD8F7"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$ 24.425.155</w:t>
            </w:r>
          </w:p>
        </w:tc>
        <w:tc>
          <w:tcPr>
            <w:tcW w:w="1120" w:type="dxa"/>
            <w:tcBorders>
              <w:top w:val="nil"/>
              <w:left w:val="nil"/>
              <w:bottom w:val="single" w:sz="4" w:space="0" w:color="auto"/>
              <w:right w:val="single" w:sz="4" w:space="0" w:color="auto"/>
            </w:tcBorders>
            <w:shd w:val="clear" w:color="000000" w:fill="F2F2F2"/>
            <w:noWrap/>
            <w:vAlign w:val="center"/>
            <w:hideMark/>
          </w:tcPr>
          <w:p w14:paraId="09634277"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$ 1.016</w:t>
            </w:r>
          </w:p>
        </w:tc>
        <w:tc>
          <w:tcPr>
            <w:tcW w:w="1260" w:type="dxa"/>
            <w:tcBorders>
              <w:top w:val="nil"/>
              <w:left w:val="nil"/>
              <w:bottom w:val="single" w:sz="4" w:space="0" w:color="auto"/>
              <w:right w:val="single" w:sz="4" w:space="0" w:color="auto"/>
            </w:tcBorders>
            <w:shd w:val="clear" w:color="000000" w:fill="F2F2F2"/>
            <w:noWrap/>
            <w:vAlign w:val="center"/>
            <w:hideMark/>
          </w:tcPr>
          <w:p w14:paraId="3FF994B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$ 24.426.171</w:t>
            </w:r>
          </w:p>
        </w:tc>
        <w:tc>
          <w:tcPr>
            <w:tcW w:w="1920" w:type="dxa"/>
            <w:tcBorders>
              <w:top w:val="nil"/>
              <w:left w:val="nil"/>
              <w:bottom w:val="single" w:sz="4" w:space="0" w:color="auto"/>
              <w:right w:val="single" w:sz="4" w:space="0" w:color="auto"/>
            </w:tcBorders>
            <w:shd w:val="clear" w:color="000000" w:fill="F2F2F2"/>
            <w:vAlign w:val="center"/>
            <w:hideMark/>
          </w:tcPr>
          <w:p w14:paraId="64CA0C63"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GAS POR REDES</w:t>
            </w:r>
          </w:p>
        </w:tc>
      </w:tr>
      <w:tr w:rsidR="00D705A6" w:rsidRPr="002E0BB9" w14:paraId="152E0252" w14:textId="77777777" w:rsidTr="007D1249">
        <w:trPr>
          <w:trHeight w:val="4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52E461CC"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76</w:t>
            </w:r>
          </w:p>
        </w:tc>
        <w:tc>
          <w:tcPr>
            <w:tcW w:w="560" w:type="dxa"/>
            <w:tcBorders>
              <w:top w:val="nil"/>
              <w:left w:val="nil"/>
              <w:bottom w:val="single" w:sz="4" w:space="0" w:color="auto"/>
              <w:right w:val="single" w:sz="4" w:space="0" w:color="auto"/>
            </w:tcBorders>
            <w:shd w:val="clear" w:color="000000" w:fill="F2F2F2"/>
            <w:noWrap/>
            <w:vAlign w:val="center"/>
            <w:hideMark/>
          </w:tcPr>
          <w:p w14:paraId="1E88C007"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20156</w:t>
            </w:r>
          </w:p>
        </w:tc>
        <w:tc>
          <w:tcPr>
            <w:tcW w:w="920" w:type="dxa"/>
            <w:tcBorders>
              <w:top w:val="nil"/>
              <w:left w:val="nil"/>
              <w:bottom w:val="single" w:sz="4" w:space="0" w:color="auto"/>
              <w:right w:val="single" w:sz="4" w:space="0" w:color="auto"/>
            </w:tcBorders>
            <w:shd w:val="clear" w:color="000000" w:fill="F2F2F2"/>
            <w:noWrap/>
            <w:vAlign w:val="center"/>
            <w:hideMark/>
          </w:tcPr>
          <w:p w14:paraId="7F3B9C1D"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830147341</w:t>
            </w:r>
          </w:p>
        </w:tc>
        <w:tc>
          <w:tcPr>
            <w:tcW w:w="2180" w:type="dxa"/>
            <w:tcBorders>
              <w:top w:val="nil"/>
              <w:left w:val="nil"/>
              <w:bottom w:val="single" w:sz="4" w:space="0" w:color="auto"/>
              <w:right w:val="single" w:sz="4" w:space="0" w:color="auto"/>
            </w:tcBorders>
            <w:shd w:val="clear" w:color="000000" w:fill="F2F2F2"/>
            <w:vAlign w:val="center"/>
            <w:hideMark/>
          </w:tcPr>
          <w:p w14:paraId="2CE100FE"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COMERCIALIZADORA DEL CAFE S.A.S. E.S.P.</w:t>
            </w:r>
          </w:p>
        </w:tc>
        <w:tc>
          <w:tcPr>
            <w:tcW w:w="1520" w:type="dxa"/>
            <w:tcBorders>
              <w:top w:val="nil"/>
              <w:left w:val="nil"/>
              <w:bottom w:val="single" w:sz="4" w:space="0" w:color="auto"/>
              <w:right w:val="single" w:sz="4" w:space="0" w:color="auto"/>
            </w:tcBorders>
            <w:shd w:val="clear" w:color="000000" w:fill="F2F2F2"/>
            <w:noWrap/>
            <w:vAlign w:val="center"/>
            <w:hideMark/>
          </w:tcPr>
          <w:p w14:paraId="4EEFDED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$ 68.145.000</w:t>
            </w:r>
          </w:p>
        </w:tc>
        <w:tc>
          <w:tcPr>
            <w:tcW w:w="1440" w:type="dxa"/>
            <w:tcBorders>
              <w:top w:val="nil"/>
              <w:left w:val="nil"/>
              <w:bottom w:val="single" w:sz="4" w:space="0" w:color="auto"/>
              <w:right w:val="single" w:sz="4" w:space="0" w:color="auto"/>
            </w:tcBorders>
            <w:shd w:val="clear" w:color="000000" w:fill="F2F2F2"/>
            <w:noWrap/>
            <w:vAlign w:val="center"/>
            <w:hideMark/>
          </w:tcPr>
          <w:p w14:paraId="6345FF9B"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$ 126.059.588</w:t>
            </w:r>
          </w:p>
        </w:tc>
        <w:tc>
          <w:tcPr>
            <w:tcW w:w="1460" w:type="dxa"/>
            <w:tcBorders>
              <w:top w:val="nil"/>
              <w:left w:val="nil"/>
              <w:bottom w:val="single" w:sz="4" w:space="0" w:color="auto"/>
              <w:right w:val="single" w:sz="4" w:space="0" w:color="auto"/>
            </w:tcBorders>
            <w:shd w:val="clear" w:color="000000" w:fill="F2F2F2"/>
            <w:noWrap/>
            <w:vAlign w:val="center"/>
            <w:hideMark/>
          </w:tcPr>
          <w:p w14:paraId="0F6BBB0C"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$ 194.204.588</w:t>
            </w:r>
          </w:p>
        </w:tc>
        <w:tc>
          <w:tcPr>
            <w:tcW w:w="1260" w:type="dxa"/>
            <w:tcBorders>
              <w:top w:val="nil"/>
              <w:left w:val="nil"/>
              <w:bottom w:val="single" w:sz="4" w:space="0" w:color="auto"/>
              <w:right w:val="single" w:sz="4" w:space="0" w:color="auto"/>
            </w:tcBorders>
            <w:shd w:val="clear" w:color="000000" w:fill="F2F2F2"/>
            <w:noWrap/>
            <w:vAlign w:val="center"/>
            <w:hideMark/>
          </w:tcPr>
          <w:p w14:paraId="32F377C1"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$ 1.942.046</w:t>
            </w:r>
          </w:p>
        </w:tc>
        <w:tc>
          <w:tcPr>
            <w:tcW w:w="1120" w:type="dxa"/>
            <w:tcBorders>
              <w:top w:val="nil"/>
              <w:left w:val="nil"/>
              <w:bottom w:val="single" w:sz="4" w:space="0" w:color="auto"/>
              <w:right w:val="single" w:sz="4" w:space="0" w:color="auto"/>
            </w:tcBorders>
            <w:shd w:val="clear" w:color="000000" w:fill="F2F2F2"/>
            <w:noWrap/>
            <w:vAlign w:val="center"/>
            <w:hideMark/>
          </w:tcPr>
          <w:p w14:paraId="4145EA06"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$ 81</w:t>
            </w:r>
          </w:p>
        </w:tc>
        <w:tc>
          <w:tcPr>
            <w:tcW w:w="1260" w:type="dxa"/>
            <w:tcBorders>
              <w:top w:val="nil"/>
              <w:left w:val="nil"/>
              <w:bottom w:val="single" w:sz="4" w:space="0" w:color="auto"/>
              <w:right w:val="single" w:sz="4" w:space="0" w:color="auto"/>
            </w:tcBorders>
            <w:shd w:val="clear" w:color="000000" w:fill="F2F2F2"/>
            <w:noWrap/>
            <w:vAlign w:val="center"/>
            <w:hideMark/>
          </w:tcPr>
          <w:p w14:paraId="322FC9E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$ 1.942.127</w:t>
            </w:r>
          </w:p>
        </w:tc>
        <w:tc>
          <w:tcPr>
            <w:tcW w:w="1920" w:type="dxa"/>
            <w:tcBorders>
              <w:top w:val="nil"/>
              <w:left w:val="nil"/>
              <w:bottom w:val="single" w:sz="4" w:space="0" w:color="auto"/>
              <w:right w:val="single" w:sz="4" w:space="0" w:color="auto"/>
            </w:tcBorders>
            <w:shd w:val="clear" w:color="000000" w:fill="F2F2F2"/>
            <w:vAlign w:val="center"/>
            <w:hideMark/>
          </w:tcPr>
          <w:p w14:paraId="6E60DDE8"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w:t>
            </w:r>
          </w:p>
        </w:tc>
      </w:tr>
      <w:tr w:rsidR="00D705A6" w:rsidRPr="002E0BB9" w14:paraId="12E705F2" w14:textId="77777777" w:rsidTr="007D1249">
        <w:trPr>
          <w:trHeight w:val="4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211BD324"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77</w:t>
            </w:r>
          </w:p>
        </w:tc>
        <w:tc>
          <w:tcPr>
            <w:tcW w:w="560" w:type="dxa"/>
            <w:tcBorders>
              <w:top w:val="nil"/>
              <w:left w:val="nil"/>
              <w:bottom w:val="single" w:sz="4" w:space="0" w:color="auto"/>
              <w:right w:val="single" w:sz="4" w:space="0" w:color="auto"/>
            </w:tcBorders>
            <w:shd w:val="clear" w:color="000000" w:fill="F2F2F2"/>
            <w:noWrap/>
            <w:vAlign w:val="center"/>
            <w:hideMark/>
          </w:tcPr>
          <w:p w14:paraId="437FCD4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20518</w:t>
            </w:r>
          </w:p>
        </w:tc>
        <w:tc>
          <w:tcPr>
            <w:tcW w:w="920" w:type="dxa"/>
            <w:tcBorders>
              <w:top w:val="nil"/>
              <w:left w:val="nil"/>
              <w:bottom w:val="single" w:sz="4" w:space="0" w:color="auto"/>
              <w:right w:val="single" w:sz="4" w:space="0" w:color="auto"/>
            </w:tcBorders>
            <w:shd w:val="clear" w:color="000000" w:fill="F2F2F2"/>
            <w:noWrap/>
            <w:vAlign w:val="center"/>
            <w:hideMark/>
          </w:tcPr>
          <w:p w14:paraId="18F2849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830510717</w:t>
            </w:r>
          </w:p>
        </w:tc>
        <w:tc>
          <w:tcPr>
            <w:tcW w:w="2180" w:type="dxa"/>
            <w:tcBorders>
              <w:top w:val="nil"/>
              <w:left w:val="nil"/>
              <w:bottom w:val="single" w:sz="4" w:space="0" w:color="auto"/>
              <w:right w:val="single" w:sz="4" w:space="0" w:color="auto"/>
            </w:tcBorders>
            <w:shd w:val="clear" w:color="000000" w:fill="F2F2F2"/>
            <w:vAlign w:val="center"/>
            <w:hideMark/>
          </w:tcPr>
          <w:p w14:paraId="2AD57B5C"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SURCOLOMBIANA DE GAS S.A E.</w:t>
            </w:r>
            <w:proofErr w:type="gramStart"/>
            <w:r w:rsidRPr="002E0BB9">
              <w:rPr>
                <w:rFonts w:ascii="Arial Narrow" w:hAnsi="Arial Narrow" w:cs="Arial"/>
                <w:spacing w:val="0"/>
                <w:sz w:val="16"/>
                <w:szCs w:val="16"/>
                <w:lang w:val="es-MX" w:eastAsia="es-MX"/>
              </w:rPr>
              <w:t>S.P</w:t>
            </w:r>
            <w:proofErr w:type="gramEnd"/>
          </w:p>
        </w:tc>
        <w:tc>
          <w:tcPr>
            <w:tcW w:w="1520" w:type="dxa"/>
            <w:tcBorders>
              <w:top w:val="nil"/>
              <w:left w:val="nil"/>
              <w:bottom w:val="single" w:sz="4" w:space="0" w:color="auto"/>
              <w:right w:val="single" w:sz="4" w:space="0" w:color="auto"/>
            </w:tcBorders>
            <w:shd w:val="clear" w:color="000000" w:fill="F2F2F2"/>
            <w:noWrap/>
            <w:vAlign w:val="center"/>
            <w:hideMark/>
          </w:tcPr>
          <w:p w14:paraId="5AEA3E7A"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$ 4.865.225.000</w:t>
            </w:r>
          </w:p>
        </w:tc>
        <w:tc>
          <w:tcPr>
            <w:tcW w:w="1440" w:type="dxa"/>
            <w:tcBorders>
              <w:top w:val="nil"/>
              <w:left w:val="nil"/>
              <w:bottom w:val="single" w:sz="4" w:space="0" w:color="auto"/>
              <w:right w:val="single" w:sz="4" w:space="0" w:color="auto"/>
            </w:tcBorders>
            <w:shd w:val="clear" w:color="000000" w:fill="F2F2F2"/>
            <w:noWrap/>
            <w:vAlign w:val="center"/>
            <w:hideMark/>
          </w:tcPr>
          <w:p w14:paraId="676BC827"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$ 220.584.405</w:t>
            </w:r>
          </w:p>
        </w:tc>
        <w:tc>
          <w:tcPr>
            <w:tcW w:w="1460" w:type="dxa"/>
            <w:tcBorders>
              <w:top w:val="nil"/>
              <w:left w:val="nil"/>
              <w:bottom w:val="single" w:sz="4" w:space="0" w:color="auto"/>
              <w:right w:val="single" w:sz="4" w:space="0" w:color="auto"/>
            </w:tcBorders>
            <w:shd w:val="clear" w:color="000000" w:fill="F2F2F2"/>
            <w:noWrap/>
            <w:vAlign w:val="center"/>
            <w:hideMark/>
          </w:tcPr>
          <w:p w14:paraId="2CEA675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$ 5.085.809.405</w:t>
            </w:r>
          </w:p>
        </w:tc>
        <w:tc>
          <w:tcPr>
            <w:tcW w:w="1260" w:type="dxa"/>
            <w:tcBorders>
              <w:top w:val="nil"/>
              <w:left w:val="nil"/>
              <w:bottom w:val="single" w:sz="4" w:space="0" w:color="auto"/>
              <w:right w:val="single" w:sz="4" w:space="0" w:color="auto"/>
            </w:tcBorders>
            <w:shd w:val="clear" w:color="000000" w:fill="F2F2F2"/>
            <w:noWrap/>
            <w:vAlign w:val="center"/>
            <w:hideMark/>
          </w:tcPr>
          <w:p w14:paraId="378B7961"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$ 50.858.094</w:t>
            </w:r>
          </w:p>
        </w:tc>
        <w:tc>
          <w:tcPr>
            <w:tcW w:w="1120" w:type="dxa"/>
            <w:tcBorders>
              <w:top w:val="nil"/>
              <w:left w:val="nil"/>
              <w:bottom w:val="single" w:sz="4" w:space="0" w:color="auto"/>
              <w:right w:val="single" w:sz="4" w:space="0" w:color="auto"/>
            </w:tcBorders>
            <w:shd w:val="clear" w:color="000000" w:fill="F2F2F2"/>
            <w:noWrap/>
            <w:vAlign w:val="center"/>
            <w:hideMark/>
          </w:tcPr>
          <w:p w14:paraId="7CBC52FB"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$ 2.117</w:t>
            </w:r>
          </w:p>
        </w:tc>
        <w:tc>
          <w:tcPr>
            <w:tcW w:w="1260" w:type="dxa"/>
            <w:tcBorders>
              <w:top w:val="nil"/>
              <w:left w:val="nil"/>
              <w:bottom w:val="single" w:sz="4" w:space="0" w:color="auto"/>
              <w:right w:val="single" w:sz="4" w:space="0" w:color="auto"/>
            </w:tcBorders>
            <w:shd w:val="clear" w:color="000000" w:fill="F2F2F2"/>
            <w:noWrap/>
            <w:vAlign w:val="center"/>
            <w:hideMark/>
          </w:tcPr>
          <w:p w14:paraId="5FC851BB"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$ 50.860.211</w:t>
            </w:r>
          </w:p>
        </w:tc>
        <w:tc>
          <w:tcPr>
            <w:tcW w:w="1920" w:type="dxa"/>
            <w:tcBorders>
              <w:top w:val="nil"/>
              <w:left w:val="nil"/>
              <w:bottom w:val="single" w:sz="4" w:space="0" w:color="auto"/>
              <w:right w:val="single" w:sz="4" w:space="0" w:color="auto"/>
            </w:tcBorders>
            <w:shd w:val="clear" w:color="000000" w:fill="F2F2F2"/>
            <w:vAlign w:val="center"/>
            <w:hideMark/>
          </w:tcPr>
          <w:p w14:paraId="22F4582A"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GAS POR REDES</w:t>
            </w:r>
          </w:p>
        </w:tc>
      </w:tr>
      <w:tr w:rsidR="00D705A6" w:rsidRPr="002E0BB9" w14:paraId="41C92CE3" w14:textId="77777777" w:rsidTr="007D1249">
        <w:trPr>
          <w:trHeight w:val="4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43DBE1B7"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78</w:t>
            </w:r>
          </w:p>
        </w:tc>
        <w:tc>
          <w:tcPr>
            <w:tcW w:w="560" w:type="dxa"/>
            <w:tcBorders>
              <w:top w:val="nil"/>
              <w:left w:val="nil"/>
              <w:bottom w:val="single" w:sz="4" w:space="0" w:color="auto"/>
              <w:right w:val="single" w:sz="4" w:space="0" w:color="auto"/>
            </w:tcBorders>
            <w:shd w:val="clear" w:color="000000" w:fill="F2F2F2"/>
            <w:noWrap/>
            <w:vAlign w:val="center"/>
            <w:hideMark/>
          </w:tcPr>
          <w:p w14:paraId="656F0A4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2923</w:t>
            </w:r>
          </w:p>
        </w:tc>
        <w:tc>
          <w:tcPr>
            <w:tcW w:w="920" w:type="dxa"/>
            <w:tcBorders>
              <w:top w:val="nil"/>
              <w:left w:val="nil"/>
              <w:bottom w:val="single" w:sz="4" w:space="0" w:color="auto"/>
              <w:right w:val="single" w:sz="4" w:space="0" w:color="auto"/>
            </w:tcBorders>
            <w:shd w:val="clear" w:color="000000" w:fill="F2F2F2"/>
            <w:noWrap/>
            <w:vAlign w:val="center"/>
            <w:hideMark/>
          </w:tcPr>
          <w:p w14:paraId="6FEA866E"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834001051</w:t>
            </w:r>
          </w:p>
        </w:tc>
        <w:tc>
          <w:tcPr>
            <w:tcW w:w="2180" w:type="dxa"/>
            <w:tcBorders>
              <w:top w:val="nil"/>
              <w:left w:val="nil"/>
              <w:bottom w:val="single" w:sz="4" w:space="0" w:color="auto"/>
              <w:right w:val="single" w:sz="4" w:space="0" w:color="auto"/>
            </w:tcBorders>
            <w:shd w:val="clear" w:color="000000" w:fill="F2F2F2"/>
            <w:vAlign w:val="center"/>
            <w:hideMark/>
          </w:tcPr>
          <w:p w14:paraId="13342A17"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DISTRIBUIDORA DE GAS MONZAGAS S.A. E.S.P.</w:t>
            </w:r>
          </w:p>
        </w:tc>
        <w:tc>
          <w:tcPr>
            <w:tcW w:w="1520" w:type="dxa"/>
            <w:tcBorders>
              <w:top w:val="nil"/>
              <w:left w:val="nil"/>
              <w:bottom w:val="single" w:sz="4" w:space="0" w:color="auto"/>
              <w:right w:val="single" w:sz="4" w:space="0" w:color="auto"/>
            </w:tcBorders>
            <w:shd w:val="clear" w:color="000000" w:fill="F2F2F2"/>
            <w:noWrap/>
            <w:vAlign w:val="center"/>
            <w:hideMark/>
          </w:tcPr>
          <w:p w14:paraId="533F7F35"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$ 843.543.000</w:t>
            </w:r>
          </w:p>
        </w:tc>
        <w:tc>
          <w:tcPr>
            <w:tcW w:w="1440" w:type="dxa"/>
            <w:tcBorders>
              <w:top w:val="nil"/>
              <w:left w:val="nil"/>
              <w:bottom w:val="single" w:sz="4" w:space="0" w:color="auto"/>
              <w:right w:val="single" w:sz="4" w:space="0" w:color="auto"/>
            </w:tcBorders>
            <w:shd w:val="clear" w:color="000000" w:fill="F2F2F2"/>
            <w:noWrap/>
            <w:vAlign w:val="center"/>
            <w:hideMark/>
          </w:tcPr>
          <w:p w14:paraId="45FFFFB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$ 29.887.369</w:t>
            </w:r>
          </w:p>
        </w:tc>
        <w:tc>
          <w:tcPr>
            <w:tcW w:w="1460" w:type="dxa"/>
            <w:tcBorders>
              <w:top w:val="nil"/>
              <w:left w:val="nil"/>
              <w:bottom w:val="single" w:sz="4" w:space="0" w:color="auto"/>
              <w:right w:val="single" w:sz="4" w:space="0" w:color="auto"/>
            </w:tcBorders>
            <w:shd w:val="clear" w:color="000000" w:fill="F2F2F2"/>
            <w:noWrap/>
            <w:vAlign w:val="center"/>
            <w:hideMark/>
          </w:tcPr>
          <w:p w14:paraId="09016201"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$ 873.430.369</w:t>
            </w:r>
          </w:p>
        </w:tc>
        <w:tc>
          <w:tcPr>
            <w:tcW w:w="1260" w:type="dxa"/>
            <w:tcBorders>
              <w:top w:val="nil"/>
              <w:left w:val="nil"/>
              <w:bottom w:val="single" w:sz="4" w:space="0" w:color="auto"/>
              <w:right w:val="single" w:sz="4" w:space="0" w:color="auto"/>
            </w:tcBorders>
            <w:shd w:val="clear" w:color="000000" w:fill="F2F2F2"/>
            <w:noWrap/>
            <w:vAlign w:val="center"/>
            <w:hideMark/>
          </w:tcPr>
          <w:p w14:paraId="15196A07"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$ 8.734.304</w:t>
            </w:r>
          </w:p>
        </w:tc>
        <w:tc>
          <w:tcPr>
            <w:tcW w:w="1120" w:type="dxa"/>
            <w:tcBorders>
              <w:top w:val="nil"/>
              <w:left w:val="nil"/>
              <w:bottom w:val="single" w:sz="4" w:space="0" w:color="auto"/>
              <w:right w:val="single" w:sz="4" w:space="0" w:color="auto"/>
            </w:tcBorders>
            <w:shd w:val="clear" w:color="000000" w:fill="F2F2F2"/>
            <w:noWrap/>
            <w:vAlign w:val="center"/>
            <w:hideMark/>
          </w:tcPr>
          <w:p w14:paraId="0B0541B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$ 363</w:t>
            </w:r>
          </w:p>
        </w:tc>
        <w:tc>
          <w:tcPr>
            <w:tcW w:w="1260" w:type="dxa"/>
            <w:tcBorders>
              <w:top w:val="nil"/>
              <w:left w:val="nil"/>
              <w:bottom w:val="single" w:sz="4" w:space="0" w:color="auto"/>
              <w:right w:val="single" w:sz="4" w:space="0" w:color="auto"/>
            </w:tcBorders>
            <w:shd w:val="clear" w:color="000000" w:fill="F2F2F2"/>
            <w:noWrap/>
            <w:vAlign w:val="center"/>
            <w:hideMark/>
          </w:tcPr>
          <w:p w14:paraId="63B70C01"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$ 8.734.667</w:t>
            </w:r>
          </w:p>
        </w:tc>
        <w:tc>
          <w:tcPr>
            <w:tcW w:w="1920" w:type="dxa"/>
            <w:tcBorders>
              <w:top w:val="nil"/>
              <w:left w:val="nil"/>
              <w:bottom w:val="single" w:sz="4" w:space="0" w:color="auto"/>
              <w:right w:val="single" w:sz="4" w:space="0" w:color="auto"/>
            </w:tcBorders>
            <w:shd w:val="clear" w:color="000000" w:fill="F2F2F2"/>
            <w:vAlign w:val="center"/>
            <w:hideMark/>
          </w:tcPr>
          <w:p w14:paraId="00546C3E"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GAS LICUADO DEL PETROLEO</w:t>
            </w:r>
          </w:p>
        </w:tc>
      </w:tr>
      <w:tr w:rsidR="00D705A6" w:rsidRPr="002E0BB9" w14:paraId="7A2FDFA8" w14:textId="77777777" w:rsidTr="007D1249">
        <w:trPr>
          <w:trHeight w:val="4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5DCBDA4E"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lastRenderedPageBreak/>
              <w:t>79</w:t>
            </w:r>
          </w:p>
        </w:tc>
        <w:tc>
          <w:tcPr>
            <w:tcW w:w="560" w:type="dxa"/>
            <w:tcBorders>
              <w:top w:val="nil"/>
              <w:left w:val="nil"/>
              <w:bottom w:val="single" w:sz="4" w:space="0" w:color="auto"/>
              <w:right w:val="single" w:sz="4" w:space="0" w:color="auto"/>
            </w:tcBorders>
            <w:shd w:val="clear" w:color="000000" w:fill="F2F2F2"/>
            <w:noWrap/>
            <w:vAlign w:val="center"/>
            <w:hideMark/>
          </w:tcPr>
          <w:p w14:paraId="7082C26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1892</w:t>
            </w:r>
          </w:p>
        </w:tc>
        <w:tc>
          <w:tcPr>
            <w:tcW w:w="920" w:type="dxa"/>
            <w:tcBorders>
              <w:top w:val="nil"/>
              <w:left w:val="nil"/>
              <w:bottom w:val="single" w:sz="4" w:space="0" w:color="auto"/>
              <w:right w:val="single" w:sz="4" w:space="0" w:color="auto"/>
            </w:tcBorders>
            <w:shd w:val="clear" w:color="000000" w:fill="F2F2F2"/>
            <w:noWrap/>
            <w:vAlign w:val="center"/>
            <w:hideMark/>
          </w:tcPr>
          <w:p w14:paraId="6368714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835000142</w:t>
            </w:r>
          </w:p>
        </w:tc>
        <w:tc>
          <w:tcPr>
            <w:tcW w:w="2180" w:type="dxa"/>
            <w:tcBorders>
              <w:top w:val="nil"/>
              <w:left w:val="nil"/>
              <w:bottom w:val="single" w:sz="4" w:space="0" w:color="auto"/>
              <w:right w:val="single" w:sz="4" w:space="0" w:color="auto"/>
            </w:tcBorders>
            <w:shd w:val="clear" w:color="000000" w:fill="F2F2F2"/>
            <w:vAlign w:val="center"/>
            <w:hideMark/>
          </w:tcPr>
          <w:p w14:paraId="38CEDA35"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xml:space="preserve">EMPRESA </w:t>
            </w:r>
            <w:proofErr w:type="gramStart"/>
            <w:r w:rsidRPr="002E0BB9">
              <w:rPr>
                <w:rFonts w:ascii="Arial Narrow" w:hAnsi="Arial Narrow" w:cs="Arial"/>
                <w:spacing w:val="0"/>
                <w:sz w:val="16"/>
                <w:szCs w:val="16"/>
                <w:lang w:val="es-MX" w:eastAsia="es-MX"/>
              </w:rPr>
              <w:t>DE  ENERGÍA</w:t>
            </w:r>
            <w:proofErr w:type="gramEnd"/>
            <w:r w:rsidRPr="002E0BB9">
              <w:rPr>
                <w:rFonts w:ascii="Arial Narrow" w:hAnsi="Arial Narrow" w:cs="Arial"/>
                <w:spacing w:val="0"/>
                <w:sz w:val="16"/>
                <w:szCs w:val="16"/>
                <w:lang w:val="es-MX" w:eastAsia="es-MX"/>
              </w:rPr>
              <w:t xml:space="preserve">  DE GUAPI  S.A. E.S.P.</w:t>
            </w:r>
          </w:p>
        </w:tc>
        <w:tc>
          <w:tcPr>
            <w:tcW w:w="1520" w:type="dxa"/>
            <w:tcBorders>
              <w:top w:val="nil"/>
              <w:left w:val="nil"/>
              <w:bottom w:val="single" w:sz="4" w:space="0" w:color="auto"/>
              <w:right w:val="single" w:sz="4" w:space="0" w:color="auto"/>
            </w:tcBorders>
            <w:shd w:val="clear" w:color="000000" w:fill="F2F2F2"/>
            <w:noWrap/>
            <w:vAlign w:val="center"/>
            <w:hideMark/>
          </w:tcPr>
          <w:p w14:paraId="7295F12D"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$ 667.241.000</w:t>
            </w:r>
          </w:p>
        </w:tc>
        <w:tc>
          <w:tcPr>
            <w:tcW w:w="1440" w:type="dxa"/>
            <w:tcBorders>
              <w:top w:val="nil"/>
              <w:left w:val="nil"/>
              <w:bottom w:val="single" w:sz="4" w:space="0" w:color="auto"/>
              <w:right w:val="single" w:sz="4" w:space="0" w:color="auto"/>
            </w:tcBorders>
            <w:shd w:val="clear" w:color="000000" w:fill="F2F2F2"/>
            <w:noWrap/>
            <w:vAlign w:val="center"/>
            <w:hideMark/>
          </w:tcPr>
          <w:p w14:paraId="7D5247F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$ 0</w:t>
            </w:r>
          </w:p>
        </w:tc>
        <w:tc>
          <w:tcPr>
            <w:tcW w:w="1460" w:type="dxa"/>
            <w:tcBorders>
              <w:top w:val="nil"/>
              <w:left w:val="nil"/>
              <w:bottom w:val="single" w:sz="4" w:space="0" w:color="auto"/>
              <w:right w:val="single" w:sz="4" w:space="0" w:color="auto"/>
            </w:tcBorders>
            <w:shd w:val="clear" w:color="000000" w:fill="F2F2F2"/>
            <w:noWrap/>
            <w:vAlign w:val="center"/>
            <w:hideMark/>
          </w:tcPr>
          <w:p w14:paraId="589F382D"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$ 667.241.000</w:t>
            </w:r>
          </w:p>
        </w:tc>
        <w:tc>
          <w:tcPr>
            <w:tcW w:w="1260" w:type="dxa"/>
            <w:tcBorders>
              <w:top w:val="nil"/>
              <w:left w:val="nil"/>
              <w:bottom w:val="single" w:sz="4" w:space="0" w:color="auto"/>
              <w:right w:val="single" w:sz="4" w:space="0" w:color="auto"/>
            </w:tcBorders>
            <w:shd w:val="clear" w:color="000000" w:fill="F2F2F2"/>
            <w:noWrap/>
            <w:vAlign w:val="center"/>
            <w:hideMark/>
          </w:tcPr>
          <w:p w14:paraId="6F3AFCC6"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$ 6.672.410</w:t>
            </w:r>
          </w:p>
        </w:tc>
        <w:tc>
          <w:tcPr>
            <w:tcW w:w="1120" w:type="dxa"/>
            <w:tcBorders>
              <w:top w:val="nil"/>
              <w:left w:val="nil"/>
              <w:bottom w:val="single" w:sz="4" w:space="0" w:color="auto"/>
              <w:right w:val="single" w:sz="4" w:space="0" w:color="auto"/>
            </w:tcBorders>
            <w:shd w:val="clear" w:color="000000" w:fill="F2F2F2"/>
            <w:noWrap/>
            <w:vAlign w:val="center"/>
            <w:hideMark/>
          </w:tcPr>
          <w:p w14:paraId="45001D62"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$ 278</w:t>
            </w:r>
          </w:p>
        </w:tc>
        <w:tc>
          <w:tcPr>
            <w:tcW w:w="1260" w:type="dxa"/>
            <w:tcBorders>
              <w:top w:val="nil"/>
              <w:left w:val="nil"/>
              <w:bottom w:val="single" w:sz="4" w:space="0" w:color="auto"/>
              <w:right w:val="single" w:sz="4" w:space="0" w:color="auto"/>
            </w:tcBorders>
            <w:shd w:val="clear" w:color="000000" w:fill="F2F2F2"/>
            <w:noWrap/>
            <w:vAlign w:val="center"/>
            <w:hideMark/>
          </w:tcPr>
          <w:p w14:paraId="3074105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$ 6.672.688</w:t>
            </w:r>
          </w:p>
        </w:tc>
        <w:tc>
          <w:tcPr>
            <w:tcW w:w="1920" w:type="dxa"/>
            <w:tcBorders>
              <w:top w:val="nil"/>
              <w:left w:val="nil"/>
              <w:bottom w:val="single" w:sz="4" w:space="0" w:color="auto"/>
              <w:right w:val="single" w:sz="4" w:space="0" w:color="auto"/>
            </w:tcBorders>
            <w:shd w:val="clear" w:color="000000" w:fill="F2F2F2"/>
            <w:vAlign w:val="center"/>
            <w:hideMark/>
          </w:tcPr>
          <w:p w14:paraId="6FA3CE57"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w:t>
            </w:r>
          </w:p>
        </w:tc>
      </w:tr>
      <w:tr w:rsidR="00D705A6" w:rsidRPr="002E0BB9" w14:paraId="133FD5A0" w14:textId="77777777" w:rsidTr="007D1249">
        <w:trPr>
          <w:trHeight w:val="6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19A41A35"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80</w:t>
            </w:r>
          </w:p>
        </w:tc>
        <w:tc>
          <w:tcPr>
            <w:tcW w:w="560" w:type="dxa"/>
            <w:tcBorders>
              <w:top w:val="nil"/>
              <w:left w:val="nil"/>
              <w:bottom w:val="single" w:sz="4" w:space="0" w:color="auto"/>
              <w:right w:val="single" w:sz="4" w:space="0" w:color="auto"/>
            </w:tcBorders>
            <w:shd w:val="clear" w:color="000000" w:fill="F2F2F2"/>
            <w:noWrap/>
            <w:vAlign w:val="center"/>
            <w:hideMark/>
          </w:tcPr>
          <w:p w14:paraId="478E2591"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20081</w:t>
            </w:r>
          </w:p>
        </w:tc>
        <w:tc>
          <w:tcPr>
            <w:tcW w:w="920" w:type="dxa"/>
            <w:tcBorders>
              <w:top w:val="nil"/>
              <w:left w:val="nil"/>
              <w:bottom w:val="single" w:sz="4" w:space="0" w:color="auto"/>
              <w:right w:val="single" w:sz="4" w:space="0" w:color="auto"/>
            </w:tcBorders>
            <w:shd w:val="clear" w:color="000000" w:fill="F2F2F2"/>
            <w:noWrap/>
            <w:vAlign w:val="center"/>
            <w:hideMark/>
          </w:tcPr>
          <w:p w14:paraId="3343FC0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840000929</w:t>
            </w:r>
          </w:p>
        </w:tc>
        <w:tc>
          <w:tcPr>
            <w:tcW w:w="2180" w:type="dxa"/>
            <w:tcBorders>
              <w:top w:val="nil"/>
              <w:left w:val="nil"/>
              <w:bottom w:val="single" w:sz="4" w:space="0" w:color="auto"/>
              <w:right w:val="single" w:sz="4" w:space="0" w:color="auto"/>
            </w:tcBorders>
            <w:shd w:val="clear" w:color="000000" w:fill="F2F2F2"/>
            <w:vAlign w:val="center"/>
            <w:hideMark/>
          </w:tcPr>
          <w:p w14:paraId="52275B0C"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EMPRESA DE ENERGIA DE MAGUI PAYAN S.A E.</w:t>
            </w:r>
            <w:proofErr w:type="gramStart"/>
            <w:r w:rsidRPr="002E0BB9">
              <w:rPr>
                <w:rFonts w:ascii="Arial Narrow" w:hAnsi="Arial Narrow" w:cs="Arial"/>
                <w:spacing w:val="0"/>
                <w:sz w:val="16"/>
                <w:szCs w:val="16"/>
                <w:lang w:val="es-MX" w:eastAsia="es-MX"/>
              </w:rPr>
              <w:t>S.P</w:t>
            </w:r>
            <w:proofErr w:type="gramEnd"/>
          </w:p>
        </w:tc>
        <w:tc>
          <w:tcPr>
            <w:tcW w:w="1520" w:type="dxa"/>
            <w:tcBorders>
              <w:top w:val="nil"/>
              <w:left w:val="nil"/>
              <w:bottom w:val="single" w:sz="4" w:space="0" w:color="auto"/>
              <w:right w:val="single" w:sz="4" w:space="0" w:color="auto"/>
            </w:tcBorders>
            <w:shd w:val="clear" w:color="000000" w:fill="F2F2F2"/>
            <w:noWrap/>
            <w:vAlign w:val="center"/>
            <w:hideMark/>
          </w:tcPr>
          <w:p w14:paraId="4ADCCD66"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$ 517.221.887</w:t>
            </w:r>
          </w:p>
        </w:tc>
        <w:tc>
          <w:tcPr>
            <w:tcW w:w="1440" w:type="dxa"/>
            <w:tcBorders>
              <w:top w:val="nil"/>
              <w:left w:val="nil"/>
              <w:bottom w:val="single" w:sz="4" w:space="0" w:color="auto"/>
              <w:right w:val="single" w:sz="4" w:space="0" w:color="auto"/>
            </w:tcBorders>
            <w:shd w:val="clear" w:color="000000" w:fill="F2F2F2"/>
            <w:noWrap/>
            <w:vAlign w:val="center"/>
            <w:hideMark/>
          </w:tcPr>
          <w:p w14:paraId="13C0AD6E"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$ 1.609.014</w:t>
            </w:r>
          </w:p>
        </w:tc>
        <w:tc>
          <w:tcPr>
            <w:tcW w:w="1460" w:type="dxa"/>
            <w:tcBorders>
              <w:top w:val="nil"/>
              <w:left w:val="nil"/>
              <w:bottom w:val="single" w:sz="4" w:space="0" w:color="auto"/>
              <w:right w:val="single" w:sz="4" w:space="0" w:color="auto"/>
            </w:tcBorders>
            <w:shd w:val="clear" w:color="000000" w:fill="F2F2F2"/>
            <w:noWrap/>
            <w:vAlign w:val="center"/>
            <w:hideMark/>
          </w:tcPr>
          <w:p w14:paraId="61CA139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$ 518.830.901</w:t>
            </w:r>
          </w:p>
        </w:tc>
        <w:tc>
          <w:tcPr>
            <w:tcW w:w="1260" w:type="dxa"/>
            <w:tcBorders>
              <w:top w:val="nil"/>
              <w:left w:val="nil"/>
              <w:bottom w:val="single" w:sz="4" w:space="0" w:color="auto"/>
              <w:right w:val="single" w:sz="4" w:space="0" w:color="auto"/>
            </w:tcBorders>
            <w:shd w:val="clear" w:color="000000" w:fill="F2F2F2"/>
            <w:noWrap/>
            <w:vAlign w:val="center"/>
            <w:hideMark/>
          </w:tcPr>
          <w:p w14:paraId="205ECF1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$ 5.188.309</w:t>
            </w:r>
          </w:p>
        </w:tc>
        <w:tc>
          <w:tcPr>
            <w:tcW w:w="1120" w:type="dxa"/>
            <w:tcBorders>
              <w:top w:val="nil"/>
              <w:left w:val="nil"/>
              <w:bottom w:val="single" w:sz="4" w:space="0" w:color="auto"/>
              <w:right w:val="single" w:sz="4" w:space="0" w:color="auto"/>
            </w:tcBorders>
            <w:shd w:val="clear" w:color="000000" w:fill="F2F2F2"/>
            <w:noWrap/>
            <w:vAlign w:val="center"/>
            <w:hideMark/>
          </w:tcPr>
          <w:p w14:paraId="703B7E8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$ 216</w:t>
            </w:r>
          </w:p>
        </w:tc>
        <w:tc>
          <w:tcPr>
            <w:tcW w:w="1260" w:type="dxa"/>
            <w:tcBorders>
              <w:top w:val="nil"/>
              <w:left w:val="nil"/>
              <w:bottom w:val="single" w:sz="4" w:space="0" w:color="auto"/>
              <w:right w:val="single" w:sz="4" w:space="0" w:color="auto"/>
            </w:tcBorders>
            <w:shd w:val="clear" w:color="000000" w:fill="F2F2F2"/>
            <w:noWrap/>
            <w:vAlign w:val="center"/>
            <w:hideMark/>
          </w:tcPr>
          <w:p w14:paraId="3571940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$ 5.188.525</w:t>
            </w:r>
          </w:p>
        </w:tc>
        <w:tc>
          <w:tcPr>
            <w:tcW w:w="1920" w:type="dxa"/>
            <w:tcBorders>
              <w:top w:val="nil"/>
              <w:left w:val="nil"/>
              <w:bottom w:val="single" w:sz="4" w:space="0" w:color="auto"/>
              <w:right w:val="single" w:sz="4" w:space="0" w:color="auto"/>
            </w:tcBorders>
            <w:shd w:val="clear" w:color="000000" w:fill="F2F2F2"/>
            <w:vAlign w:val="center"/>
            <w:hideMark/>
          </w:tcPr>
          <w:p w14:paraId="61479C30"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w:t>
            </w:r>
          </w:p>
        </w:tc>
      </w:tr>
      <w:tr w:rsidR="00D705A6" w:rsidRPr="002E0BB9" w14:paraId="64A5EAB7" w14:textId="77777777" w:rsidTr="007D1249">
        <w:trPr>
          <w:trHeight w:val="4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12F31C17"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81</w:t>
            </w:r>
          </w:p>
        </w:tc>
        <w:tc>
          <w:tcPr>
            <w:tcW w:w="560" w:type="dxa"/>
            <w:tcBorders>
              <w:top w:val="nil"/>
              <w:left w:val="nil"/>
              <w:bottom w:val="single" w:sz="4" w:space="0" w:color="auto"/>
              <w:right w:val="single" w:sz="4" w:space="0" w:color="auto"/>
            </w:tcBorders>
            <w:shd w:val="clear" w:color="000000" w:fill="F2F2F2"/>
            <w:noWrap/>
            <w:vAlign w:val="center"/>
            <w:hideMark/>
          </w:tcPr>
          <w:p w14:paraId="13896457"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2170</w:t>
            </w:r>
          </w:p>
        </w:tc>
        <w:tc>
          <w:tcPr>
            <w:tcW w:w="920" w:type="dxa"/>
            <w:tcBorders>
              <w:top w:val="nil"/>
              <w:left w:val="nil"/>
              <w:bottom w:val="single" w:sz="4" w:space="0" w:color="auto"/>
              <w:right w:val="single" w:sz="4" w:space="0" w:color="auto"/>
            </w:tcBorders>
            <w:shd w:val="clear" w:color="000000" w:fill="F2F2F2"/>
            <w:noWrap/>
            <w:vAlign w:val="center"/>
            <w:hideMark/>
          </w:tcPr>
          <w:p w14:paraId="18DB2A1C"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842000030</w:t>
            </w:r>
          </w:p>
        </w:tc>
        <w:tc>
          <w:tcPr>
            <w:tcW w:w="2180" w:type="dxa"/>
            <w:tcBorders>
              <w:top w:val="nil"/>
              <w:left w:val="nil"/>
              <w:bottom w:val="single" w:sz="4" w:space="0" w:color="auto"/>
              <w:right w:val="single" w:sz="4" w:space="0" w:color="auto"/>
            </w:tcBorders>
            <w:shd w:val="clear" w:color="000000" w:fill="F2F2F2"/>
            <w:vAlign w:val="center"/>
            <w:hideMark/>
          </w:tcPr>
          <w:p w14:paraId="2AEB391C"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EMPRESA SIGLO XXI EICE ESP</w:t>
            </w:r>
          </w:p>
        </w:tc>
        <w:tc>
          <w:tcPr>
            <w:tcW w:w="1520" w:type="dxa"/>
            <w:tcBorders>
              <w:top w:val="nil"/>
              <w:left w:val="nil"/>
              <w:bottom w:val="single" w:sz="4" w:space="0" w:color="auto"/>
              <w:right w:val="single" w:sz="4" w:space="0" w:color="auto"/>
            </w:tcBorders>
            <w:shd w:val="clear" w:color="000000" w:fill="F2F2F2"/>
            <w:noWrap/>
            <w:vAlign w:val="center"/>
            <w:hideMark/>
          </w:tcPr>
          <w:p w14:paraId="1CFA9ED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$ 547.345.000</w:t>
            </w:r>
          </w:p>
        </w:tc>
        <w:tc>
          <w:tcPr>
            <w:tcW w:w="1440" w:type="dxa"/>
            <w:tcBorders>
              <w:top w:val="nil"/>
              <w:left w:val="nil"/>
              <w:bottom w:val="single" w:sz="4" w:space="0" w:color="auto"/>
              <w:right w:val="single" w:sz="4" w:space="0" w:color="auto"/>
            </w:tcBorders>
            <w:shd w:val="clear" w:color="000000" w:fill="F2F2F2"/>
            <w:noWrap/>
            <w:vAlign w:val="center"/>
            <w:hideMark/>
          </w:tcPr>
          <w:p w14:paraId="55AC9CBC"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$ 15.335.298</w:t>
            </w:r>
          </w:p>
        </w:tc>
        <w:tc>
          <w:tcPr>
            <w:tcW w:w="1460" w:type="dxa"/>
            <w:tcBorders>
              <w:top w:val="nil"/>
              <w:left w:val="nil"/>
              <w:bottom w:val="single" w:sz="4" w:space="0" w:color="auto"/>
              <w:right w:val="single" w:sz="4" w:space="0" w:color="auto"/>
            </w:tcBorders>
            <w:shd w:val="clear" w:color="000000" w:fill="F2F2F2"/>
            <w:noWrap/>
            <w:vAlign w:val="center"/>
            <w:hideMark/>
          </w:tcPr>
          <w:p w14:paraId="5A05B116"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$ 562.680.298</w:t>
            </w:r>
          </w:p>
        </w:tc>
        <w:tc>
          <w:tcPr>
            <w:tcW w:w="1260" w:type="dxa"/>
            <w:tcBorders>
              <w:top w:val="nil"/>
              <w:left w:val="nil"/>
              <w:bottom w:val="single" w:sz="4" w:space="0" w:color="auto"/>
              <w:right w:val="single" w:sz="4" w:space="0" w:color="auto"/>
            </w:tcBorders>
            <w:shd w:val="clear" w:color="000000" w:fill="F2F2F2"/>
            <w:noWrap/>
            <w:vAlign w:val="center"/>
            <w:hideMark/>
          </w:tcPr>
          <w:p w14:paraId="27677C3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$ 5.626.803</w:t>
            </w:r>
          </w:p>
        </w:tc>
        <w:tc>
          <w:tcPr>
            <w:tcW w:w="1120" w:type="dxa"/>
            <w:tcBorders>
              <w:top w:val="nil"/>
              <w:left w:val="nil"/>
              <w:bottom w:val="single" w:sz="4" w:space="0" w:color="auto"/>
              <w:right w:val="single" w:sz="4" w:space="0" w:color="auto"/>
            </w:tcBorders>
            <w:shd w:val="clear" w:color="000000" w:fill="F2F2F2"/>
            <w:noWrap/>
            <w:vAlign w:val="center"/>
            <w:hideMark/>
          </w:tcPr>
          <w:p w14:paraId="481476E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$ 234</w:t>
            </w:r>
          </w:p>
        </w:tc>
        <w:tc>
          <w:tcPr>
            <w:tcW w:w="1260" w:type="dxa"/>
            <w:tcBorders>
              <w:top w:val="nil"/>
              <w:left w:val="nil"/>
              <w:bottom w:val="single" w:sz="4" w:space="0" w:color="auto"/>
              <w:right w:val="single" w:sz="4" w:space="0" w:color="auto"/>
            </w:tcBorders>
            <w:shd w:val="clear" w:color="000000" w:fill="F2F2F2"/>
            <w:noWrap/>
            <w:vAlign w:val="center"/>
            <w:hideMark/>
          </w:tcPr>
          <w:p w14:paraId="5421AB72"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$ 5.627.037</w:t>
            </w:r>
          </w:p>
        </w:tc>
        <w:tc>
          <w:tcPr>
            <w:tcW w:w="1920" w:type="dxa"/>
            <w:tcBorders>
              <w:top w:val="nil"/>
              <w:left w:val="nil"/>
              <w:bottom w:val="single" w:sz="4" w:space="0" w:color="auto"/>
              <w:right w:val="single" w:sz="4" w:space="0" w:color="auto"/>
            </w:tcBorders>
            <w:shd w:val="clear" w:color="000000" w:fill="F2F2F2"/>
            <w:vAlign w:val="center"/>
            <w:hideMark/>
          </w:tcPr>
          <w:p w14:paraId="2ABB0B1C"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 - ACUEDUCTO - ASEO</w:t>
            </w:r>
          </w:p>
        </w:tc>
      </w:tr>
      <w:tr w:rsidR="00D705A6" w:rsidRPr="002E0BB9" w14:paraId="552D75AB" w14:textId="77777777" w:rsidTr="007D1249">
        <w:trPr>
          <w:trHeight w:val="4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4C2A5B80"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82</w:t>
            </w:r>
          </w:p>
        </w:tc>
        <w:tc>
          <w:tcPr>
            <w:tcW w:w="560" w:type="dxa"/>
            <w:tcBorders>
              <w:top w:val="nil"/>
              <w:left w:val="nil"/>
              <w:bottom w:val="single" w:sz="4" w:space="0" w:color="auto"/>
              <w:right w:val="single" w:sz="4" w:space="0" w:color="auto"/>
            </w:tcBorders>
            <w:shd w:val="clear" w:color="000000" w:fill="F2F2F2"/>
            <w:noWrap/>
            <w:vAlign w:val="center"/>
            <w:hideMark/>
          </w:tcPr>
          <w:p w14:paraId="1005225B"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3370</w:t>
            </w:r>
          </w:p>
        </w:tc>
        <w:tc>
          <w:tcPr>
            <w:tcW w:w="920" w:type="dxa"/>
            <w:tcBorders>
              <w:top w:val="nil"/>
              <w:left w:val="nil"/>
              <w:bottom w:val="single" w:sz="4" w:space="0" w:color="auto"/>
              <w:right w:val="single" w:sz="4" w:space="0" w:color="auto"/>
            </w:tcBorders>
            <w:shd w:val="clear" w:color="000000" w:fill="F2F2F2"/>
            <w:noWrap/>
            <w:vAlign w:val="center"/>
            <w:hideMark/>
          </w:tcPr>
          <w:p w14:paraId="3003C345"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844004576</w:t>
            </w:r>
          </w:p>
        </w:tc>
        <w:tc>
          <w:tcPr>
            <w:tcW w:w="2180" w:type="dxa"/>
            <w:tcBorders>
              <w:top w:val="nil"/>
              <w:left w:val="nil"/>
              <w:bottom w:val="single" w:sz="4" w:space="0" w:color="auto"/>
              <w:right w:val="single" w:sz="4" w:space="0" w:color="auto"/>
            </w:tcBorders>
            <w:shd w:val="clear" w:color="000000" w:fill="F2F2F2"/>
            <w:vAlign w:val="center"/>
            <w:hideMark/>
          </w:tcPr>
          <w:p w14:paraId="1B66E91D"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EMPRESA DE ENERGIA DE CASANARE SA ESP</w:t>
            </w:r>
          </w:p>
        </w:tc>
        <w:tc>
          <w:tcPr>
            <w:tcW w:w="1520" w:type="dxa"/>
            <w:tcBorders>
              <w:top w:val="nil"/>
              <w:left w:val="nil"/>
              <w:bottom w:val="single" w:sz="4" w:space="0" w:color="auto"/>
              <w:right w:val="single" w:sz="4" w:space="0" w:color="auto"/>
            </w:tcBorders>
            <w:shd w:val="clear" w:color="000000" w:fill="F2F2F2"/>
            <w:noWrap/>
            <w:vAlign w:val="center"/>
            <w:hideMark/>
          </w:tcPr>
          <w:p w14:paraId="5609B61B"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$ 5.469.005.000</w:t>
            </w:r>
          </w:p>
        </w:tc>
        <w:tc>
          <w:tcPr>
            <w:tcW w:w="1440" w:type="dxa"/>
            <w:tcBorders>
              <w:top w:val="nil"/>
              <w:left w:val="nil"/>
              <w:bottom w:val="single" w:sz="4" w:space="0" w:color="auto"/>
              <w:right w:val="single" w:sz="4" w:space="0" w:color="auto"/>
            </w:tcBorders>
            <w:shd w:val="clear" w:color="000000" w:fill="F2F2F2"/>
            <w:noWrap/>
            <w:vAlign w:val="center"/>
            <w:hideMark/>
          </w:tcPr>
          <w:p w14:paraId="4D9C08F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$ 1.713.699.397</w:t>
            </w:r>
          </w:p>
        </w:tc>
        <w:tc>
          <w:tcPr>
            <w:tcW w:w="1460" w:type="dxa"/>
            <w:tcBorders>
              <w:top w:val="nil"/>
              <w:left w:val="nil"/>
              <w:bottom w:val="single" w:sz="4" w:space="0" w:color="auto"/>
              <w:right w:val="single" w:sz="4" w:space="0" w:color="auto"/>
            </w:tcBorders>
            <w:shd w:val="clear" w:color="000000" w:fill="F2F2F2"/>
            <w:noWrap/>
            <w:vAlign w:val="center"/>
            <w:hideMark/>
          </w:tcPr>
          <w:p w14:paraId="7610DFCB"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$ 7.182.704.397</w:t>
            </w:r>
          </w:p>
        </w:tc>
        <w:tc>
          <w:tcPr>
            <w:tcW w:w="1260" w:type="dxa"/>
            <w:tcBorders>
              <w:top w:val="nil"/>
              <w:left w:val="nil"/>
              <w:bottom w:val="single" w:sz="4" w:space="0" w:color="auto"/>
              <w:right w:val="single" w:sz="4" w:space="0" w:color="auto"/>
            </w:tcBorders>
            <w:shd w:val="clear" w:color="000000" w:fill="F2F2F2"/>
            <w:noWrap/>
            <w:vAlign w:val="center"/>
            <w:hideMark/>
          </w:tcPr>
          <w:p w14:paraId="0066567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$ 71.827.044</w:t>
            </w:r>
          </w:p>
        </w:tc>
        <w:tc>
          <w:tcPr>
            <w:tcW w:w="1120" w:type="dxa"/>
            <w:tcBorders>
              <w:top w:val="nil"/>
              <w:left w:val="nil"/>
              <w:bottom w:val="single" w:sz="4" w:space="0" w:color="auto"/>
              <w:right w:val="single" w:sz="4" w:space="0" w:color="auto"/>
            </w:tcBorders>
            <w:shd w:val="clear" w:color="000000" w:fill="F2F2F2"/>
            <w:noWrap/>
            <w:vAlign w:val="center"/>
            <w:hideMark/>
          </w:tcPr>
          <w:p w14:paraId="710F3C3C"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$ 2.989</w:t>
            </w:r>
          </w:p>
        </w:tc>
        <w:tc>
          <w:tcPr>
            <w:tcW w:w="1260" w:type="dxa"/>
            <w:tcBorders>
              <w:top w:val="nil"/>
              <w:left w:val="nil"/>
              <w:bottom w:val="single" w:sz="4" w:space="0" w:color="auto"/>
              <w:right w:val="single" w:sz="4" w:space="0" w:color="auto"/>
            </w:tcBorders>
            <w:shd w:val="clear" w:color="000000" w:fill="F2F2F2"/>
            <w:noWrap/>
            <w:vAlign w:val="center"/>
            <w:hideMark/>
          </w:tcPr>
          <w:p w14:paraId="7086CE6B"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$ 71.830.033</w:t>
            </w:r>
          </w:p>
        </w:tc>
        <w:tc>
          <w:tcPr>
            <w:tcW w:w="1920" w:type="dxa"/>
            <w:tcBorders>
              <w:top w:val="nil"/>
              <w:left w:val="nil"/>
              <w:bottom w:val="single" w:sz="4" w:space="0" w:color="auto"/>
              <w:right w:val="single" w:sz="4" w:space="0" w:color="auto"/>
            </w:tcBorders>
            <w:shd w:val="clear" w:color="000000" w:fill="F2F2F2"/>
            <w:vAlign w:val="center"/>
            <w:hideMark/>
          </w:tcPr>
          <w:p w14:paraId="7EA9DA6D"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 - GAS POR REDES</w:t>
            </w:r>
          </w:p>
        </w:tc>
      </w:tr>
      <w:tr w:rsidR="00D705A6" w:rsidRPr="002E0BB9" w14:paraId="39C07FE7" w14:textId="77777777" w:rsidTr="007D1249">
        <w:trPr>
          <w:trHeight w:val="4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4C07F484"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83</w:t>
            </w:r>
          </w:p>
        </w:tc>
        <w:tc>
          <w:tcPr>
            <w:tcW w:w="560" w:type="dxa"/>
            <w:tcBorders>
              <w:top w:val="nil"/>
              <w:left w:val="nil"/>
              <w:bottom w:val="single" w:sz="4" w:space="0" w:color="auto"/>
              <w:right w:val="single" w:sz="4" w:space="0" w:color="auto"/>
            </w:tcBorders>
            <w:shd w:val="clear" w:color="000000" w:fill="F2F2F2"/>
            <w:noWrap/>
            <w:vAlign w:val="center"/>
            <w:hideMark/>
          </w:tcPr>
          <w:p w14:paraId="683C4C2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2016</w:t>
            </w:r>
          </w:p>
        </w:tc>
        <w:tc>
          <w:tcPr>
            <w:tcW w:w="920" w:type="dxa"/>
            <w:tcBorders>
              <w:top w:val="nil"/>
              <w:left w:val="nil"/>
              <w:bottom w:val="single" w:sz="4" w:space="0" w:color="auto"/>
              <w:right w:val="single" w:sz="4" w:space="0" w:color="auto"/>
            </w:tcBorders>
            <w:shd w:val="clear" w:color="000000" w:fill="F2F2F2"/>
            <w:noWrap/>
            <w:vAlign w:val="center"/>
            <w:hideMark/>
          </w:tcPr>
          <w:p w14:paraId="6C42A36C"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846000241</w:t>
            </w:r>
          </w:p>
        </w:tc>
        <w:tc>
          <w:tcPr>
            <w:tcW w:w="2180" w:type="dxa"/>
            <w:tcBorders>
              <w:top w:val="nil"/>
              <w:left w:val="nil"/>
              <w:bottom w:val="single" w:sz="4" w:space="0" w:color="auto"/>
              <w:right w:val="single" w:sz="4" w:space="0" w:color="auto"/>
            </w:tcBorders>
            <w:shd w:val="clear" w:color="000000" w:fill="F2F2F2"/>
            <w:vAlign w:val="center"/>
            <w:hideMark/>
          </w:tcPr>
          <w:p w14:paraId="538460F7"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EMPRESA DE ENERGIA DEL PUTUMAYO S.A. ESP</w:t>
            </w:r>
          </w:p>
        </w:tc>
        <w:tc>
          <w:tcPr>
            <w:tcW w:w="1520" w:type="dxa"/>
            <w:tcBorders>
              <w:top w:val="nil"/>
              <w:left w:val="nil"/>
              <w:bottom w:val="single" w:sz="4" w:space="0" w:color="auto"/>
              <w:right w:val="single" w:sz="4" w:space="0" w:color="auto"/>
            </w:tcBorders>
            <w:shd w:val="clear" w:color="000000" w:fill="F2F2F2"/>
            <w:noWrap/>
            <w:vAlign w:val="center"/>
            <w:hideMark/>
          </w:tcPr>
          <w:p w14:paraId="1888D1F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$ 4.327.520.000</w:t>
            </w:r>
          </w:p>
        </w:tc>
        <w:tc>
          <w:tcPr>
            <w:tcW w:w="1440" w:type="dxa"/>
            <w:tcBorders>
              <w:top w:val="nil"/>
              <w:left w:val="nil"/>
              <w:bottom w:val="single" w:sz="4" w:space="0" w:color="auto"/>
              <w:right w:val="single" w:sz="4" w:space="0" w:color="auto"/>
            </w:tcBorders>
            <w:shd w:val="clear" w:color="000000" w:fill="F2F2F2"/>
            <w:noWrap/>
            <w:vAlign w:val="center"/>
            <w:hideMark/>
          </w:tcPr>
          <w:p w14:paraId="53EB388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$ 225.248.705</w:t>
            </w:r>
          </w:p>
        </w:tc>
        <w:tc>
          <w:tcPr>
            <w:tcW w:w="1460" w:type="dxa"/>
            <w:tcBorders>
              <w:top w:val="nil"/>
              <w:left w:val="nil"/>
              <w:bottom w:val="single" w:sz="4" w:space="0" w:color="auto"/>
              <w:right w:val="single" w:sz="4" w:space="0" w:color="auto"/>
            </w:tcBorders>
            <w:shd w:val="clear" w:color="000000" w:fill="F2F2F2"/>
            <w:noWrap/>
            <w:vAlign w:val="center"/>
            <w:hideMark/>
          </w:tcPr>
          <w:p w14:paraId="01E4B0C5"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$ 4.552.768.705</w:t>
            </w:r>
          </w:p>
        </w:tc>
        <w:tc>
          <w:tcPr>
            <w:tcW w:w="1260" w:type="dxa"/>
            <w:tcBorders>
              <w:top w:val="nil"/>
              <w:left w:val="nil"/>
              <w:bottom w:val="single" w:sz="4" w:space="0" w:color="auto"/>
              <w:right w:val="single" w:sz="4" w:space="0" w:color="auto"/>
            </w:tcBorders>
            <w:shd w:val="clear" w:color="000000" w:fill="F2F2F2"/>
            <w:noWrap/>
            <w:vAlign w:val="center"/>
            <w:hideMark/>
          </w:tcPr>
          <w:p w14:paraId="3D5E369B"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$ 45.527.687</w:t>
            </w:r>
          </w:p>
        </w:tc>
        <w:tc>
          <w:tcPr>
            <w:tcW w:w="1120" w:type="dxa"/>
            <w:tcBorders>
              <w:top w:val="nil"/>
              <w:left w:val="nil"/>
              <w:bottom w:val="single" w:sz="4" w:space="0" w:color="auto"/>
              <w:right w:val="single" w:sz="4" w:space="0" w:color="auto"/>
            </w:tcBorders>
            <w:shd w:val="clear" w:color="000000" w:fill="F2F2F2"/>
            <w:noWrap/>
            <w:vAlign w:val="center"/>
            <w:hideMark/>
          </w:tcPr>
          <w:p w14:paraId="6261A54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$ 1.895</w:t>
            </w:r>
          </w:p>
        </w:tc>
        <w:tc>
          <w:tcPr>
            <w:tcW w:w="1260" w:type="dxa"/>
            <w:tcBorders>
              <w:top w:val="nil"/>
              <w:left w:val="nil"/>
              <w:bottom w:val="single" w:sz="4" w:space="0" w:color="auto"/>
              <w:right w:val="single" w:sz="4" w:space="0" w:color="auto"/>
            </w:tcBorders>
            <w:shd w:val="clear" w:color="000000" w:fill="F2F2F2"/>
            <w:noWrap/>
            <w:vAlign w:val="center"/>
            <w:hideMark/>
          </w:tcPr>
          <w:p w14:paraId="570DDAB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$ 45.529.582</w:t>
            </w:r>
          </w:p>
        </w:tc>
        <w:tc>
          <w:tcPr>
            <w:tcW w:w="1920" w:type="dxa"/>
            <w:tcBorders>
              <w:top w:val="nil"/>
              <w:left w:val="nil"/>
              <w:bottom w:val="single" w:sz="4" w:space="0" w:color="auto"/>
              <w:right w:val="single" w:sz="4" w:space="0" w:color="auto"/>
            </w:tcBorders>
            <w:shd w:val="clear" w:color="000000" w:fill="F2F2F2"/>
            <w:vAlign w:val="center"/>
            <w:hideMark/>
          </w:tcPr>
          <w:p w14:paraId="498CCDD0"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w:t>
            </w:r>
          </w:p>
        </w:tc>
      </w:tr>
      <w:tr w:rsidR="00D705A6" w:rsidRPr="002E0BB9" w14:paraId="5877B3F2" w14:textId="77777777" w:rsidTr="007D1249">
        <w:trPr>
          <w:trHeight w:val="6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28F78481"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84</w:t>
            </w:r>
          </w:p>
        </w:tc>
        <w:tc>
          <w:tcPr>
            <w:tcW w:w="560" w:type="dxa"/>
            <w:tcBorders>
              <w:top w:val="nil"/>
              <w:left w:val="nil"/>
              <w:bottom w:val="single" w:sz="4" w:space="0" w:color="auto"/>
              <w:right w:val="single" w:sz="4" w:space="0" w:color="auto"/>
            </w:tcBorders>
            <w:shd w:val="clear" w:color="000000" w:fill="F2F2F2"/>
            <w:noWrap/>
            <w:vAlign w:val="center"/>
            <w:hideMark/>
          </w:tcPr>
          <w:p w14:paraId="3AA31C8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2371</w:t>
            </w:r>
          </w:p>
        </w:tc>
        <w:tc>
          <w:tcPr>
            <w:tcW w:w="920" w:type="dxa"/>
            <w:tcBorders>
              <w:top w:val="nil"/>
              <w:left w:val="nil"/>
              <w:bottom w:val="single" w:sz="4" w:space="0" w:color="auto"/>
              <w:right w:val="single" w:sz="4" w:space="0" w:color="auto"/>
            </w:tcBorders>
            <w:shd w:val="clear" w:color="000000" w:fill="F2F2F2"/>
            <w:noWrap/>
            <w:vAlign w:val="center"/>
            <w:hideMark/>
          </w:tcPr>
          <w:p w14:paraId="1E8B6FAB"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846000553</w:t>
            </w:r>
          </w:p>
        </w:tc>
        <w:tc>
          <w:tcPr>
            <w:tcW w:w="2180" w:type="dxa"/>
            <w:tcBorders>
              <w:top w:val="nil"/>
              <w:left w:val="nil"/>
              <w:bottom w:val="single" w:sz="4" w:space="0" w:color="auto"/>
              <w:right w:val="single" w:sz="4" w:space="0" w:color="auto"/>
            </w:tcBorders>
            <w:shd w:val="clear" w:color="000000" w:fill="F2F2F2"/>
            <w:vAlign w:val="center"/>
            <w:hideMark/>
          </w:tcPr>
          <w:p w14:paraId="6647C52A" w14:textId="283C2632"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EMPRESA DE ENERGIA DEL BAJO PUTUMAYO</w:t>
            </w:r>
            <w:r w:rsidR="005D7AAA" w:rsidRPr="002E0BB9">
              <w:rPr>
                <w:rFonts w:ascii="Arial Narrow" w:hAnsi="Arial Narrow" w:cs="Arial"/>
                <w:spacing w:val="0"/>
                <w:sz w:val="16"/>
                <w:szCs w:val="16"/>
                <w:lang w:val="es-MX" w:eastAsia="es-MX"/>
              </w:rPr>
              <w:t xml:space="preserve"> </w:t>
            </w:r>
            <w:r w:rsidRPr="002E0BB9">
              <w:rPr>
                <w:rFonts w:ascii="Arial Narrow" w:hAnsi="Arial Narrow" w:cs="Arial"/>
                <w:spacing w:val="0"/>
                <w:sz w:val="16"/>
                <w:szCs w:val="16"/>
                <w:lang w:val="es-MX" w:eastAsia="es-MX"/>
              </w:rPr>
              <w:t>S.A. E.S.P.</w:t>
            </w:r>
          </w:p>
        </w:tc>
        <w:tc>
          <w:tcPr>
            <w:tcW w:w="1520" w:type="dxa"/>
            <w:tcBorders>
              <w:top w:val="nil"/>
              <w:left w:val="nil"/>
              <w:bottom w:val="single" w:sz="4" w:space="0" w:color="auto"/>
              <w:right w:val="single" w:sz="4" w:space="0" w:color="auto"/>
            </w:tcBorders>
            <w:shd w:val="clear" w:color="000000" w:fill="F2F2F2"/>
            <w:noWrap/>
            <w:vAlign w:val="center"/>
            <w:hideMark/>
          </w:tcPr>
          <w:p w14:paraId="6A63D87D"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$ 3.648.822.000</w:t>
            </w:r>
          </w:p>
        </w:tc>
        <w:tc>
          <w:tcPr>
            <w:tcW w:w="1440" w:type="dxa"/>
            <w:tcBorders>
              <w:top w:val="nil"/>
              <w:left w:val="nil"/>
              <w:bottom w:val="single" w:sz="4" w:space="0" w:color="auto"/>
              <w:right w:val="single" w:sz="4" w:space="0" w:color="auto"/>
            </w:tcBorders>
            <w:shd w:val="clear" w:color="000000" w:fill="F2F2F2"/>
            <w:noWrap/>
            <w:vAlign w:val="center"/>
            <w:hideMark/>
          </w:tcPr>
          <w:p w14:paraId="13751365"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$ 295.713.096</w:t>
            </w:r>
          </w:p>
        </w:tc>
        <w:tc>
          <w:tcPr>
            <w:tcW w:w="1460" w:type="dxa"/>
            <w:tcBorders>
              <w:top w:val="nil"/>
              <w:left w:val="nil"/>
              <w:bottom w:val="single" w:sz="4" w:space="0" w:color="auto"/>
              <w:right w:val="single" w:sz="4" w:space="0" w:color="auto"/>
            </w:tcBorders>
            <w:shd w:val="clear" w:color="000000" w:fill="F2F2F2"/>
            <w:noWrap/>
            <w:vAlign w:val="center"/>
            <w:hideMark/>
          </w:tcPr>
          <w:p w14:paraId="0D75D752"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$ 3.944.535.096</w:t>
            </w:r>
          </w:p>
        </w:tc>
        <w:tc>
          <w:tcPr>
            <w:tcW w:w="1260" w:type="dxa"/>
            <w:tcBorders>
              <w:top w:val="nil"/>
              <w:left w:val="nil"/>
              <w:bottom w:val="single" w:sz="4" w:space="0" w:color="auto"/>
              <w:right w:val="single" w:sz="4" w:space="0" w:color="auto"/>
            </w:tcBorders>
            <w:shd w:val="clear" w:color="000000" w:fill="F2F2F2"/>
            <w:noWrap/>
            <w:vAlign w:val="center"/>
            <w:hideMark/>
          </w:tcPr>
          <w:p w14:paraId="7CD21F2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$ 39.445.351</w:t>
            </w:r>
          </w:p>
        </w:tc>
        <w:tc>
          <w:tcPr>
            <w:tcW w:w="1120" w:type="dxa"/>
            <w:tcBorders>
              <w:top w:val="nil"/>
              <w:left w:val="nil"/>
              <w:bottom w:val="single" w:sz="4" w:space="0" w:color="auto"/>
              <w:right w:val="single" w:sz="4" w:space="0" w:color="auto"/>
            </w:tcBorders>
            <w:shd w:val="clear" w:color="000000" w:fill="F2F2F2"/>
            <w:noWrap/>
            <w:vAlign w:val="center"/>
            <w:hideMark/>
          </w:tcPr>
          <w:p w14:paraId="24022E7B"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$ 1.642</w:t>
            </w:r>
          </w:p>
        </w:tc>
        <w:tc>
          <w:tcPr>
            <w:tcW w:w="1260" w:type="dxa"/>
            <w:tcBorders>
              <w:top w:val="nil"/>
              <w:left w:val="nil"/>
              <w:bottom w:val="single" w:sz="4" w:space="0" w:color="auto"/>
              <w:right w:val="single" w:sz="4" w:space="0" w:color="auto"/>
            </w:tcBorders>
            <w:shd w:val="clear" w:color="000000" w:fill="F2F2F2"/>
            <w:noWrap/>
            <w:vAlign w:val="center"/>
            <w:hideMark/>
          </w:tcPr>
          <w:p w14:paraId="02BDDC5C"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$ 39.446.993</w:t>
            </w:r>
          </w:p>
        </w:tc>
        <w:tc>
          <w:tcPr>
            <w:tcW w:w="1920" w:type="dxa"/>
            <w:tcBorders>
              <w:top w:val="nil"/>
              <w:left w:val="nil"/>
              <w:bottom w:val="single" w:sz="4" w:space="0" w:color="auto"/>
              <w:right w:val="single" w:sz="4" w:space="0" w:color="auto"/>
            </w:tcBorders>
            <w:shd w:val="clear" w:color="000000" w:fill="F2F2F2"/>
            <w:vAlign w:val="center"/>
            <w:hideMark/>
          </w:tcPr>
          <w:p w14:paraId="48BB6753"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w:t>
            </w:r>
          </w:p>
        </w:tc>
      </w:tr>
      <w:tr w:rsidR="00D705A6" w:rsidRPr="002E0BB9" w14:paraId="5B6590CC" w14:textId="77777777" w:rsidTr="007D1249">
        <w:trPr>
          <w:trHeight w:val="4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033F1EC3"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85</w:t>
            </w:r>
          </w:p>
        </w:tc>
        <w:tc>
          <w:tcPr>
            <w:tcW w:w="560" w:type="dxa"/>
            <w:tcBorders>
              <w:top w:val="nil"/>
              <w:left w:val="nil"/>
              <w:bottom w:val="single" w:sz="4" w:space="0" w:color="auto"/>
              <w:right w:val="single" w:sz="4" w:space="0" w:color="auto"/>
            </w:tcBorders>
            <w:shd w:val="clear" w:color="000000" w:fill="F2F2F2"/>
            <w:noWrap/>
            <w:vAlign w:val="center"/>
            <w:hideMark/>
          </w:tcPr>
          <w:p w14:paraId="278BDC22"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592</w:t>
            </w:r>
          </w:p>
        </w:tc>
        <w:tc>
          <w:tcPr>
            <w:tcW w:w="920" w:type="dxa"/>
            <w:tcBorders>
              <w:top w:val="nil"/>
              <w:left w:val="nil"/>
              <w:bottom w:val="single" w:sz="4" w:space="0" w:color="auto"/>
              <w:right w:val="single" w:sz="4" w:space="0" w:color="auto"/>
            </w:tcBorders>
            <w:shd w:val="clear" w:color="000000" w:fill="F2F2F2"/>
            <w:noWrap/>
            <w:vAlign w:val="center"/>
            <w:hideMark/>
          </w:tcPr>
          <w:p w14:paraId="3B88CE2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860016610</w:t>
            </w:r>
          </w:p>
        </w:tc>
        <w:tc>
          <w:tcPr>
            <w:tcW w:w="2180" w:type="dxa"/>
            <w:tcBorders>
              <w:top w:val="nil"/>
              <w:left w:val="nil"/>
              <w:bottom w:val="single" w:sz="4" w:space="0" w:color="auto"/>
              <w:right w:val="single" w:sz="4" w:space="0" w:color="auto"/>
            </w:tcBorders>
            <w:shd w:val="clear" w:color="000000" w:fill="F2F2F2"/>
            <w:vAlign w:val="center"/>
            <w:hideMark/>
          </w:tcPr>
          <w:p w14:paraId="0A59C228"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INTERCONEXION ELECTRICA S.A. E.S.P.</w:t>
            </w:r>
          </w:p>
        </w:tc>
        <w:tc>
          <w:tcPr>
            <w:tcW w:w="1520" w:type="dxa"/>
            <w:tcBorders>
              <w:top w:val="nil"/>
              <w:left w:val="nil"/>
              <w:bottom w:val="single" w:sz="4" w:space="0" w:color="auto"/>
              <w:right w:val="single" w:sz="4" w:space="0" w:color="auto"/>
            </w:tcBorders>
            <w:shd w:val="clear" w:color="000000" w:fill="F2F2F2"/>
            <w:noWrap/>
            <w:vAlign w:val="center"/>
            <w:hideMark/>
          </w:tcPr>
          <w:p w14:paraId="307A220B"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$ 12.962.331.000</w:t>
            </w:r>
          </w:p>
        </w:tc>
        <w:tc>
          <w:tcPr>
            <w:tcW w:w="1440" w:type="dxa"/>
            <w:tcBorders>
              <w:top w:val="nil"/>
              <w:left w:val="nil"/>
              <w:bottom w:val="single" w:sz="4" w:space="0" w:color="auto"/>
              <w:right w:val="single" w:sz="4" w:space="0" w:color="auto"/>
            </w:tcBorders>
            <w:shd w:val="clear" w:color="000000" w:fill="F2F2F2"/>
            <w:noWrap/>
            <w:vAlign w:val="center"/>
            <w:hideMark/>
          </w:tcPr>
          <w:p w14:paraId="5878CB9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$ 0</w:t>
            </w:r>
          </w:p>
        </w:tc>
        <w:tc>
          <w:tcPr>
            <w:tcW w:w="1460" w:type="dxa"/>
            <w:tcBorders>
              <w:top w:val="nil"/>
              <w:left w:val="nil"/>
              <w:bottom w:val="single" w:sz="4" w:space="0" w:color="auto"/>
              <w:right w:val="single" w:sz="4" w:space="0" w:color="auto"/>
            </w:tcBorders>
            <w:shd w:val="clear" w:color="000000" w:fill="F2F2F2"/>
            <w:noWrap/>
            <w:vAlign w:val="center"/>
            <w:hideMark/>
          </w:tcPr>
          <w:p w14:paraId="2D2790FD"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$ 12.962.331.000</w:t>
            </w:r>
          </w:p>
        </w:tc>
        <w:tc>
          <w:tcPr>
            <w:tcW w:w="1260" w:type="dxa"/>
            <w:tcBorders>
              <w:top w:val="nil"/>
              <w:left w:val="nil"/>
              <w:bottom w:val="single" w:sz="4" w:space="0" w:color="auto"/>
              <w:right w:val="single" w:sz="4" w:space="0" w:color="auto"/>
            </w:tcBorders>
            <w:shd w:val="clear" w:color="000000" w:fill="F2F2F2"/>
            <w:noWrap/>
            <w:vAlign w:val="center"/>
            <w:hideMark/>
          </w:tcPr>
          <w:p w14:paraId="61F1FCAB"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$ 129.623.310</w:t>
            </w:r>
          </w:p>
        </w:tc>
        <w:tc>
          <w:tcPr>
            <w:tcW w:w="1120" w:type="dxa"/>
            <w:tcBorders>
              <w:top w:val="nil"/>
              <w:left w:val="nil"/>
              <w:bottom w:val="single" w:sz="4" w:space="0" w:color="auto"/>
              <w:right w:val="single" w:sz="4" w:space="0" w:color="auto"/>
            </w:tcBorders>
            <w:shd w:val="clear" w:color="000000" w:fill="F2F2F2"/>
            <w:noWrap/>
            <w:vAlign w:val="center"/>
            <w:hideMark/>
          </w:tcPr>
          <w:p w14:paraId="1B772642"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$ 5.394</w:t>
            </w:r>
          </w:p>
        </w:tc>
        <w:tc>
          <w:tcPr>
            <w:tcW w:w="1260" w:type="dxa"/>
            <w:tcBorders>
              <w:top w:val="nil"/>
              <w:left w:val="nil"/>
              <w:bottom w:val="single" w:sz="4" w:space="0" w:color="auto"/>
              <w:right w:val="single" w:sz="4" w:space="0" w:color="auto"/>
            </w:tcBorders>
            <w:shd w:val="clear" w:color="000000" w:fill="F2F2F2"/>
            <w:noWrap/>
            <w:vAlign w:val="center"/>
            <w:hideMark/>
          </w:tcPr>
          <w:p w14:paraId="4503684D"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$ 129.628.704</w:t>
            </w:r>
          </w:p>
        </w:tc>
        <w:tc>
          <w:tcPr>
            <w:tcW w:w="1920" w:type="dxa"/>
            <w:tcBorders>
              <w:top w:val="nil"/>
              <w:left w:val="nil"/>
              <w:bottom w:val="single" w:sz="4" w:space="0" w:color="auto"/>
              <w:right w:val="single" w:sz="4" w:space="0" w:color="auto"/>
            </w:tcBorders>
            <w:shd w:val="clear" w:color="000000" w:fill="F2F2F2"/>
            <w:vAlign w:val="center"/>
            <w:hideMark/>
          </w:tcPr>
          <w:p w14:paraId="2EC51FE6"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w:t>
            </w:r>
          </w:p>
        </w:tc>
      </w:tr>
      <w:tr w:rsidR="00D705A6" w:rsidRPr="002E0BB9" w14:paraId="38B59B57" w14:textId="77777777" w:rsidTr="007D1249">
        <w:trPr>
          <w:trHeight w:val="4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6270BE92"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86</w:t>
            </w:r>
          </w:p>
        </w:tc>
        <w:tc>
          <w:tcPr>
            <w:tcW w:w="560" w:type="dxa"/>
            <w:tcBorders>
              <w:top w:val="nil"/>
              <w:left w:val="nil"/>
              <w:bottom w:val="single" w:sz="4" w:space="0" w:color="auto"/>
              <w:right w:val="single" w:sz="4" w:space="0" w:color="auto"/>
            </w:tcBorders>
            <w:shd w:val="clear" w:color="000000" w:fill="F2F2F2"/>
            <w:noWrap/>
            <w:vAlign w:val="center"/>
            <w:hideMark/>
          </w:tcPr>
          <w:p w14:paraId="1A4BC66D"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1714</w:t>
            </w:r>
          </w:p>
        </w:tc>
        <w:tc>
          <w:tcPr>
            <w:tcW w:w="920" w:type="dxa"/>
            <w:tcBorders>
              <w:top w:val="nil"/>
              <w:left w:val="nil"/>
              <w:bottom w:val="single" w:sz="4" w:space="0" w:color="auto"/>
              <w:right w:val="single" w:sz="4" w:space="0" w:color="auto"/>
            </w:tcBorders>
            <w:shd w:val="clear" w:color="000000" w:fill="F2F2F2"/>
            <w:noWrap/>
            <w:vAlign w:val="center"/>
            <w:hideMark/>
          </w:tcPr>
          <w:p w14:paraId="6807FFD6"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860025611</w:t>
            </w:r>
          </w:p>
        </w:tc>
        <w:tc>
          <w:tcPr>
            <w:tcW w:w="2180" w:type="dxa"/>
            <w:tcBorders>
              <w:top w:val="nil"/>
              <w:left w:val="nil"/>
              <w:bottom w:val="single" w:sz="4" w:space="0" w:color="auto"/>
              <w:right w:val="single" w:sz="4" w:space="0" w:color="auto"/>
            </w:tcBorders>
            <w:shd w:val="clear" w:color="000000" w:fill="F2F2F2"/>
            <w:vAlign w:val="center"/>
            <w:hideMark/>
          </w:tcPr>
          <w:p w14:paraId="15EEB672"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VILLA GAS S.A. E.S.P.</w:t>
            </w:r>
          </w:p>
        </w:tc>
        <w:tc>
          <w:tcPr>
            <w:tcW w:w="1520" w:type="dxa"/>
            <w:tcBorders>
              <w:top w:val="nil"/>
              <w:left w:val="nil"/>
              <w:bottom w:val="single" w:sz="4" w:space="0" w:color="auto"/>
              <w:right w:val="single" w:sz="4" w:space="0" w:color="auto"/>
            </w:tcBorders>
            <w:shd w:val="clear" w:color="000000" w:fill="F2F2F2"/>
            <w:noWrap/>
            <w:vAlign w:val="center"/>
            <w:hideMark/>
          </w:tcPr>
          <w:p w14:paraId="01D9F701"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$ 528.349.000</w:t>
            </w:r>
          </w:p>
        </w:tc>
        <w:tc>
          <w:tcPr>
            <w:tcW w:w="1440" w:type="dxa"/>
            <w:tcBorders>
              <w:top w:val="nil"/>
              <w:left w:val="nil"/>
              <w:bottom w:val="single" w:sz="4" w:space="0" w:color="auto"/>
              <w:right w:val="single" w:sz="4" w:space="0" w:color="auto"/>
            </w:tcBorders>
            <w:shd w:val="clear" w:color="000000" w:fill="F2F2F2"/>
            <w:noWrap/>
            <w:vAlign w:val="center"/>
            <w:hideMark/>
          </w:tcPr>
          <w:p w14:paraId="21E58EB2"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$ 0</w:t>
            </w:r>
          </w:p>
        </w:tc>
        <w:tc>
          <w:tcPr>
            <w:tcW w:w="1460" w:type="dxa"/>
            <w:tcBorders>
              <w:top w:val="nil"/>
              <w:left w:val="nil"/>
              <w:bottom w:val="single" w:sz="4" w:space="0" w:color="auto"/>
              <w:right w:val="single" w:sz="4" w:space="0" w:color="auto"/>
            </w:tcBorders>
            <w:shd w:val="clear" w:color="000000" w:fill="F2F2F2"/>
            <w:noWrap/>
            <w:vAlign w:val="center"/>
            <w:hideMark/>
          </w:tcPr>
          <w:p w14:paraId="7EA01862"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$ 528.349.000</w:t>
            </w:r>
          </w:p>
        </w:tc>
        <w:tc>
          <w:tcPr>
            <w:tcW w:w="1260" w:type="dxa"/>
            <w:tcBorders>
              <w:top w:val="nil"/>
              <w:left w:val="nil"/>
              <w:bottom w:val="single" w:sz="4" w:space="0" w:color="auto"/>
              <w:right w:val="single" w:sz="4" w:space="0" w:color="auto"/>
            </w:tcBorders>
            <w:shd w:val="clear" w:color="000000" w:fill="F2F2F2"/>
            <w:noWrap/>
            <w:vAlign w:val="center"/>
            <w:hideMark/>
          </w:tcPr>
          <w:p w14:paraId="5ED450A6"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$ 5.283.490</w:t>
            </w:r>
          </w:p>
        </w:tc>
        <w:tc>
          <w:tcPr>
            <w:tcW w:w="1120" w:type="dxa"/>
            <w:tcBorders>
              <w:top w:val="nil"/>
              <w:left w:val="nil"/>
              <w:bottom w:val="single" w:sz="4" w:space="0" w:color="auto"/>
              <w:right w:val="single" w:sz="4" w:space="0" w:color="auto"/>
            </w:tcBorders>
            <w:shd w:val="clear" w:color="000000" w:fill="F2F2F2"/>
            <w:noWrap/>
            <w:vAlign w:val="center"/>
            <w:hideMark/>
          </w:tcPr>
          <w:p w14:paraId="1226E39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$ 220</w:t>
            </w:r>
          </w:p>
        </w:tc>
        <w:tc>
          <w:tcPr>
            <w:tcW w:w="1260" w:type="dxa"/>
            <w:tcBorders>
              <w:top w:val="nil"/>
              <w:left w:val="nil"/>
              <w:bottom w:val="single" w:sz="4" w:space="0" w:color="auto"/>
              <w:right w:val="single" w:sz="4" w:space="0" w:color="auto"/>
            </w:tcBorders>
            <w:shd w:val="clear" w:color="000000" w:fill="F2F2F2"/>
            <w:noWrap/>
            <w:vAlign w:val="center"/>
            <w:hideMark/>
          </w:tcPr>
          <w:p w14:paraId="78F7132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$ 5.283.710</w:t>
            </w:r>
          </w:p>
        </w:tc>
        <w:tc>
          <w:tcPr>
            <w:tcW w:w="1920" w:type="dxa"/>
            <w:tcBorders>
              <w:top w:val="nil"/>
              <w:left w:val="nil"/>
              <w:bottom w:val="single" w:sz="4" w:space="0" w:color="auto"/>
              <w:right w:val="single" w:sz="4" w:space="0" w:color="auto"/>
            </w:tcBorders>
            <w:shd w:val="clear" w:color="000000" w:fill="F2F2F2"/>
            <w:vAlign w:val="center"/>
            <w:hideMark/>
          </w:tcPr>
          <w:p w14:paraId="39A637C0"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GAS LICUADO DEL PETROLEO</w:t>
            </w:r>
          </w:p>
        </w:tc>
      </w:tr>
      <w:tr w:rsidR="00D705A6" w:rsidRPr="002E0BB9" w14:paraId="7AC3E557" w14:textId="77777777" w:rsidTr="007D1249">
        <w:trPr>
          <w:trHeight w:val="4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2A15233C"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87</w:t>
            </w:r>
          </w:p>
        </w:tc>
        <w:tc>
          <w:tcPr>
            <w:tcW w:w="560" w:type="dxa"/>
            <w:tcBorders>
              <w:top w:val="nil"/>
              <w:left w:val="nil"/>
              <w:bottom w:val="single" w:sz="4" w:space="0" w:color="auto"/>
              <w:right w:val="single" w:sz="4" w:space="0" w:color="auto"/>
            </w:tcBorders>
            <w:shd w:val="clear" w:color="000000" w:fill="F2F2F2"/>
            <w:noWrap/>
            <w:vAlign w:val="center"/>
            <w:hideMark/>
          </w:tcPr>
          <w:p w14:paraId="07F58B5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976</w:t>
            </w:r>
          </w:p>
        </w:tc>
        <w:tc>
          <w:tcPr>
            <w:tcW w:w="920" w:type="dxa"/>
            <w:tcBorders>
              <w:top w:val="nil"/>
              <w:left w:val="nil"/>
              <w:bottom w:val="single" w:sz="4" w:space="0" w:color="auto"/>
              <w:right w:val="single" w:sz="4" w:space="0" w:color="auto"/>
            </w:tcBorders>
            <w:shd w:val="clear" w:color="000000" w:fill="F2F2F2"/>
            <w:noWrap/>
            <w:vAlign w:val="center"/>
            <w:hideMark/>
          </w:tcPr>
          <w:p w14:paraId="71EF5A9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860026070</w:t>
            </w:r>
          </w:p>
        </w:tc>
        <w:tc>
          <w:tcPr>
            <w:tcW w:w="2180" w:type="dxa"/>
            <w:tcBorders>
              <w:top w:val="nil"/>
              <w:left w:val="nil"/>
              <w:bottom w:val="single" w:sz="4" w:space="0" w:color="auto"/>
              <w:right w:val="single" w:sz="4" w:space="0" w:color="auto"/>
            </w:tcBorders>
            <w:shd w:val="clear" w:color="000000" w:fill="F2F2F2"/>
            <w:vAlign w:val="center"/>
            <w:hideMark/>
          </w:tcPr>
          <w:p w14:paraId="0672AEAB" w14:textId="26920AA8"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GAS ZIPA SAS ESP</w:t>
            </w:r>
          </w:p>
        </w:tc>
        <w:tc>
          <w:tcPr>
            <w:tcW w:w="1520" w:type="dxa"/>
            <w:tcBorders>
              <w:top w:val="nil"/>
              <w:left w:val="nil"/>
              <w:bottom w:val="single" w:sz="4" w:space="0" w:color="auto"/>
              <w:right w:val="single" w:sz="4" w:space="0" w:color="auto"/>
            </w:tcBorders>
            <w:shd w:val="clear" w:color="000000" w:fill="F2F2F2"/>
            <w:noWrap/>
            <w:vAlign w:val="center"/>
            <w:hideMark/>
          </w:tcPr>
          <w:p w14:paraId="78A393E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$ 2.569.489.000</w:t>
            </w:r>
          </w:p>
        </w:tc>
        <w:tc>
          <w:tcPr>
            <w:tcW w:w="1440" w:type="dxa"/>
            <w:tcBorders>
              <w:top w:val="nil"/>
              <w:left w:val="nil"/>
              <w:bottom w:val="single" w:sz="4" w:space="0" w:color="auto"/>
              <w:right w:val="single" w:sz="4" w:space="0" w:color="auto"/>
            </w:tcBorders>
            <w:shd w:val="clear" w:color="000000" w:fill="F2F2F2"/>
            <w:noWrap/>
            <w:vAlign w:val="center"/>
            <w:hideMark/>
          </w:tcPr>
          <w:p w14:paraId="366F326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$ 200.500.721</w:t>
            </w:r>
          </w:p>
        </w:tc>
        <w:tc>
          <w:tcPr>
            <w:tcW w:w="1460" w:type="dxa"/>
            <w:tcBorders>
              <w:top w:val="nil"/>
              <w:left w:val="nil"/>
              <w:bottom w:val="single" w:sz="4" w:space="0" w:color="auto"/>
              <w:right w:val="single" w:sz="4" w:space="0" w:color="auto"/>
            </w:tcBorders>
            <w:shd w:val="clear" w:color="000000" w:fill="F2F2F2"/>
            <w:noWrap/>
            <w:vAlign w:val="center"/>
            <w:hideMark/>
          </w:tcPr>
          <w:p w14:paraId="62ED9FEA"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$ 2.769.989.721</w:t>
            </w:r>
          </w:p>
        </w:tc>
        <w:tc>
          <w:tcPr>
            <w:tcW w:w="1260" w:type="dxa"/>
            <w:tcBorders>
              <w:top w:val="nil"/>
              <w:left w:val="nil"/>
              <w:bottom w:val="single" w:sz="4" w:space="0" w:color="auto"/>
              <w:right w:val="single" w:sz="4" w:space="0" w:color="auto"/>
            </w:tcBorders>
            <w:shd w:val="clear" w:color="000000" w:fill="F2F2F2"/>
            <w:noWrap/>
            <w:vAlign w:val="center"/>
            <w:hideMark/>
          </w:tcPr>
          <w:p w14:paraId="511CAF92"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$ 27.699.897</w:t>
            </w:r>
          </w:p>
        </w:tc>
        <w:tc>
          <w:tcPr>
            <w:tcW w:w="1120" w:type="dxa"/>
            <w:tcBorders>
              <w:top w:val="nil"/>
              <w:left w:val="nil"/>
              <w:bottom w:val="single" w:sz="4" w:space="0" w:color="auto"/>
              <w:right w:val="single" w:sz="4" w:space="0" w:color="auto"/>
            </w:tcBorders>
            <w:shd w:val="clear" w:color="000000" w:fill="F2F2F2"/>
            <w:noWrap/>
            <w:vAlign w:val="center"/>
            <w:hideMark/>
          </w:tcPr>
          <w:p w14:paraId="54884C87"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$ 1.153</w:t>
            </w:r>
          </w:p>
        </w:tc>
        <w:tc>
          <w:tcPr>
            <w:tcW w:w="1260" w:type="dxa"/>
            <w:tcBorders>
              <w:top w:val="nil"/>
              <w:left w:val="nil"/>
              <w:bottom w:val="single" w:sz="4" w:space="0" w:color="auto"/>
              <w:right w:val="single" w:sz="4" w:space="0" w:color="auto"/>
            </w:tcBorders>
            <w:shd w:val="clear" w:color="000000" w:fill="F2F2F2"/>
            <w:noWrap/>
            <w:vAlign w:val="center"/>
            <w:hideMark/>
          </w:tcPr>
          <w:p w14:paraId="0BECC4BE"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$ 27.701.050</w:t>
            </w:r>
          </w:p>
        </w:tc>
        <w:tc>
          <w:tcPr>
            <w:tcW w:w="1920" w:type="dxa"/>
            <w:tcBorders>
              <w:top w:val="nil"/>
              <w:left w:val="nil"/>
              <w:bottom w:val="single" w:sz="4" w:space="0" w:color="auto"/>
              <w:right w:val="single" w:sz="4" w:space="0" w:color="auto"/>
            </w:tcBorders>
            <w:shd w:val="clear" w:color="000000" w:fill="F2F2F2"/>
            <w:vAlign w:val="center"/>
            <w:hideMark/>
          </w:tcPr>
          <w:p w14:paraId="15445D81"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GAS LICUADO DEL PETROLEO</w:t>
            </w:r>
          </w:p>
        </w:tc>
      </w:tr>
      <w:tr w:rsidR="00D705A6" w:rsidRPr="002E0BB9" w14:paraId="296859C7" w14:textId="77777777" w:rsidTr="007D1249">
        <w:trPr>
          <w:trHeight w:val="4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484245BF"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88</w:t>
            </w:r>
          </w:p>
        </w:tc>
        <w:tc>
          <w:tcPr>
            <w:tcW w:w="560" w:type="dxa"/>
            <w:tcBorders>
              <w:top w:val="nil"/>
              <w:left w:val="nil"/>
              <w:bottom w:val="single" w:sz="4" w:space="0" w:color="auto"/>
              <w:right w:val="single" w:sz="4" w:space="0" w:color="auto"/>
            </w:tcBorders>
            <w:shd w:val="clear" w:color="000000" w:fill="F2F2F2"/>
            <w:noWrap/>
            <w:vAlign w:val="center"/>
            <w:hideMark/>
          </w:tcPr>
          <w:p w14:paraId="317A9611"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1634</w:t>
            </w:r>
          </w:p>
        </w:tc>
        <w:tc>
          <w:tcPr>
            <w:tcW w:w="920" w:type="dxa"/>
            <w:tcBorders>
              <w:top w:val="nil"/>
              <w:left w:val="nil"/>
              <w:bottom w:val="single" w:sz="4" w:space="0" w:color="auto"/>
              <w:right w:val="single" w:sz="4" w:space="0" w:color="auto"/>
            </w:tcBorders>
            <w:shd w:val="clear" w:color="000000" w:fill="F2F2F2"/>
            <w:noWrap/>
            <w:vAlign w:val="center"/>
            <w:hideMark/>
          </w:tcPr>
          <w:p w14:paraId="46DBD04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860033633</w:t>
            </w:r>
          </w:p>
        </w:tc>
        <w:tc>
          <w:tcPr>
            <w:tcW w:w="2180" w:type="dxa"/>
            <w:tcBorders>
              <w:top w:val="nil"/>
              <w:left w:val="nil"/>
              <w:bottom w:val="single" w:sz="4" w:space="0" w:color="auto"/>
              <w:right w:val="single" w:sz="4" w:space="0" w:color="auto"/>
            </w:tcBorders>
            <w:shd w:val="clear" w:color="000000" w:fill="F2F2F2"/>
            <w:vAlign w:val="center"/>
            <w:hideMark/>
          </w:tcPr>
          <w:p w14:paraId="79D34122"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RAYOGAS S.A. ESP</w:t>
            </w:r>
          </w:p>
        </w:tc>
        <w:tc>
          <w:tcPr>
            <w:tcW w:w="1520" w:type="dxa"/>
            <w:tcBorders>
              <w:top w:val="nil"/>
              <w:left w:val="nil"/>
              <w:bottom w:val="single" w:sz="4" w:space="0" w:color="auto"/>
              <w:right w:val="single" w:sz="4" w:space="0" w:color="auto"/>
            </w:tcBorders>
            <w:shd w:val="clear" w:color="000000" w:fill="F2F2F2"/>
            <w:noWrap/>
            <w:vAlign w:val="center"/>
            <w:hideMark/>
          </w:tcPr>
          <w:p w14:paraId="3876BEC5"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$ 7.588.612.000</w:t>
            </w:r>
          </w:p>
        </w:tc>
        <w:tc>
          <w:tcPr>
            <w:tcW w:w="1440" w:type="dxa"/>
            <w:tcBorders>
              <w:top w:val="nil"/>
              <w:left w:val="nil"/>
              <w:bottom w:val="single" w:sz="4" w:space="0" w:color="auto"/>
              <w:right w:val="single" w:sz="4" w:space="0" w:color="auto"/>
            </w:tcBorders>
            <w:shd w:val="clear" w:color="000000" w:fill="F2F2F2"/>
            <w:noWrap/>
            <w:vAlign w:val="center"/>
            <w:hideMark/>
          </w:tcPr>
          <w:p w14:paraId="3E816A8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$ 413.164.327</w:t>
            </w:r>
          </w:p>
        </w:tc>
        <w:tc>
          <w:tcPr>
            <w:tcW w:w="1460" w:type="dxa"/>
            <w:tcBorders>
              <w:top w:val="nil"/>
              <w:left w:val="nil"/>
              <w:bottom w:val="single" w:sz="4" w:space="0" w:color="auto"/>
              <w:right w:val="single" w:sz="4" w:space="0" w:color="auto"/>
            </w:tcBorders>
            <w:shd w:val="clear" w:color="000000" w:fill="F2F2F2"/>
            <w:noWrap/>
            <w:vAlign w:val="center"/>
            <w:hideMark/>
          </w:tcPr>
          <w:p w14:paraId="05DF8FAA"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$ 8.001.776.327</w:t>
            </w:r>
          </w:p>
        </w:tc>
        <w:tc>
          <w:tcPr>
            <w:tcW w:w="1260" w:type="dxa"/>
            <w:tcBorders>
              <w:top w:val="nil"/>
              <w:left w:val="nil"/>
              <w:bottom w:val="single" w:sz="4" w:space="0" w:color="auto"/>
              <w:right w:val="single" w:sz="4" w:space="0" w:color="auto"/>
            </w:tcBorders>
            <w:shd w:val="clear" w:color="000000" w:fill="F2F2F2"/>
            <w:noWrap/>
            <w:vAlign w:val="center"/>
            <w:hideMark/>
          </w:tcPr>
          <w:p w14:paraId="6C97141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$ 80.017.763</w:t>
            </w:r>
          </w:p>
        </w:tc>
        <w:tc>
          <w:tcPr>
            <w:tcW w:w="1120" w:type="dxa"/>
            <w:tcBorders>
              <w:top w:val="nil"/>
              <w:left w:val="nil"/>
              <w:bottom w:val="single" w:sz="4" w:space="0" w:color="auto"/>
              <w:right w:val="single" w:sz="4" w:space="0" w:color="auto"/>
            </w:tcBorders>
            <w:shd w:val="clear" w:color="000000" w:fill="F2F2F2"/>
            <w:noWrap/>
            <w:vAlign w:val="center"/>
            <w:hideMark/>
          </w:tcPr>
          <w:p w14:paraId="7AEAC46B"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$ 3.330</w:t>
            </w:r>
          </w:p>
        </w:tc>
        <w:tc>
          <w:tcPr>
            <w:tcW w:w="1260" w:type="dxa"/>
            <w:tcBorders>
              <w:top w:val="nil"/>
              <w:left w:val="nil"/>
              <w:bottom w:val="single" w:sz="4" w:space="0" w:color="auto"/>
              <w:right w:val="single" w:sz="4" w:space="0" w:color="auto"/>
            </w:tcBorders>
            <w:shd w:val="clear" w:color="000000" w:fill="F2F2F2"/>
            <w:noWrap/>
            <w:vAlign w:val="center"/>
            <w:hideMark/>
          </w:tcPr>
          <w:p w14:paraId="1B7E25B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$ 80.021.093</w:t>
            </w:r>
          </w:p>
        </w:tc>
        <w:tc>
          <w:tcPr>
            <w:tcW w:w="1920" w:type="dxa"/>
            <w:tcBorders>
              <w:top w:val="nil"/>
              <w:left w:val="nil"/>
              <w:bottom w:val="single" w:sz="4" w:space="0" w:color="auto"/>
              <w:right w:val="single" w:sz="4" w:space="0" w:color="auto"/>
            </w:tcBorders>
            <w:shd w:val="clear" w:color="000000" w:fill="F2F2F2"/>
            <w:vAlign w:val="center"/>
            <w:hideMark/>
          </w:tcPr>
          <w:p w14:paraId="5178FBFF"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GAS LICUADO DEL PETROLEO</w:t>
            </w:r>
          </w:p>
        </w:tc>
      </w:tr>
      <w:tr w:rsidR="00D705A6" w:rsidRPr="002E0BB9" w14:paraId="67288F19" w14:textId="77777777" w:rsidTr="007D1249">
        <w:trPr>
          <w:trHeight w:val="4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2348EF9A"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89</w:t>
            </w:r>
          </w:p>
        </w:tc>
        <w:tc>
          <w:tcPr>
            <w:tcW w:w="560" w:type="dxa"/>
            <w:tcBorders>
              <w:top w:val="nil"/>
              <w:left w:val="nil"/>
              <w:bottom w:val="single" w:sz="4" w:space="0" w:color="auto"/>
              <w:right w:val="single" w:sz="4" w:space="0" w:color="auto"/>
            </w:tcBorders>
            <w:shd w:val="clear" w:color="000000" w:fill="F2F2F2"/>
            <w:noWrap/>
            <w:vAlign w:val="center"/>
            <w:hideMark/>
          </w:tcPr>
          <w:p w14:paraId="401CA54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597</w:t>
            </w:r>
          </w:p>
        </w:tc>
        <w:tc>
          <w:tcPr>
            <w:tcW w:w="920" w:type="dxa"/>
            <w:tcBorders>
              <w:top w:val="nil"/>
              <w:left w:val="nil"/>
              <w:bottom w:val="single" w:sz="4" w:space="0" w:color="auto"/>
              <w:right w:val="single" w:sz="4" w:space="0" w:color="auto"/>
            </w:tcBorders>
            <w:shd w:val="clear" w:color="000000" w:fill="F2F2F2"/>
            <w:noWrap/>
            <w:vAlign w:val="center"/>
            <w:hideMark/>
          </w:tcPr>
          <w:p w14:paraId="25FDC02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860063875</w:t>
            </w:r>
          </w:p>
        </w:tc>
        <w:tc>
          <w:tcPr>
            <w:tcW w:w="2180" w:type="dxa"/>
            <w:tcBorders>
              <w:top w:val="nil"/>
              <w:left w:val="nil"/>
              <w:bottom w:val="single" w:sz="4" w:space="0" w:color="auto"/>
              <w:right w:val="single" w:sz="4" w:space="0" w:color="auto"/>
            </w:tcBorders>
            <w:shd w:val="clear" w:color="000000" w:fill="F2F2F2"/>
            <w:vAlign w:val="center"/>
            <w:hideMark/>
          </w:tcPr>
          <w:p w14:paraId="12C181D2"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EMGESA S.A. E.S.P.</w:t>
            </w:r>
          </w:p>
        </w:tc>
        <w:tc>
          <w:tcPr>
            <w:tcW w:w="1520" w:type="dxa"/>
            <w:tcBorders>
              <w:top w:val="nil"/>
              <w:left w:val="nil"/>
              <w:bottom w:val="single" w:sz="4" w:space="0" w:color="auto"/>
              <w:right w:val="single" w:sz="4" w:space="0" w:color="auto"/>
            </w:tcBorders>
            <w:shd w:val="clear" w:color="000000" w:fill="F2F2F2"/>
            <w:noWrap/>
            <w:vAlign w:val="center"/>
            <w:hideMark/>
          </w:tcPr>
          <w:p w14:paraId="249E0D1D"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$ 155.218.953.000</w:t>
            </w:r>
          </w:p>
        </w:tc>
        <w:tc>
          <w:tcPr>
            <w:tcW w:w="1440" w:type="dxa"/>
            <w:tcBorders>
              <w:top w:val="nil"/>
              <w:left w:val="nil"/>
              <w:bottom w:val="single" w:sz="4" w:space="0" w:color="auto"/>
              <w:right w:val="single" w:sz="4" w:space="0" w:color="auto"/>
            </w:tcBorders>
            <w:shd w:val="clear" w:color="000000" w:fill="F2F2F2"/>
            <w:noWrap/>
            <w:vAlign w:val="center"/>
            <w:hideMark/>
          </w:tcPr>
          <w:p w14:paraId="5E69D15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$ 30.959.540.421</w:t>
            </w:r>
          </w:p>
        </w:tc>
        <w:tc>
          <w:tcPr>
            <w:tcW w:w="1460" w:type="dxa"/>
            <w:tcBorders>
              <w:top w:val="nil"/>
              <w:left w:val="nil"/>
              <w:bottom w:val="single" w:sz="4" w:space="0" w:color="auto"/>
              <w:right w:val="single" w:sz="4" w:space="0" w:color="auto"/>
            </w:tcBorders>
            <w:shd w:val="clear" w:color="000000" w:fill="F2F2F2"/>
            <w:noWrap/>
            <w:vAlign w:val="center"/>
            <w:hideMark/>
          </w:tcPr>
          <w:p w14:paraId="1C92206D"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$ 186.178.493.421</w:t>
            </w:r>
          </w:p>
        </w:tc>
        <w:tc>
          <w:tcPr>
            <w:tcW w:w="1260" w:type="dxa"/>
            <w:tcBorders>
              <w:top w:val="nil"/>
              <w:left w:val="nil"/>
              <w:bottom w:val="single" w:sz="4" w:space="0" w:color="auto"/>
              <w:right w:val="single" w:sz="4" w:space="0" w:color="auto"/>
            </w:tcBorders>
            <w:shd w:val="clear" w:color="000000" w:fill="F2F2F2"/>
            <w:noWrap/>
            <w:vAlign w:val="center"/>
            <w:hideMark/>
          </w:tcPr>
          <w:p w14:paraId="2CF2B331"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$ 1.861.784.934</w:t>
            </w:r>
          </w:p>
        </w:tc>
        <w:tc>
          <w:tcPr>
            <w:tcW w:w="1120" w:type="dxa"/>
            <w:tcBorders>
              <w:top w:val="nil"/>
              <w:left w:val="nil"/>
              <w:bottom w:val="single" w:sz="4" w:space="0" w:color="auto"/>
              <w:right w:val="single" w:sz="4" w:space="0" w:color="auto"/>
            </w:tcBorders>
            <w:shd w:val="clear" w:color="000000" w:fill="F2F2F2"/>
            <w:noWrap/>
            <w:vAlign w:val="center"/>
            <w:hideMark/>
          </w:tcPr>
          <w:p w14:paraId="75D11E1D"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$ 77.481</w:t>
            </w:r>
          </w:p>
        </w:tc>
        <w:tc>
          <w:tcPr>
            <w:tcW w:w="1260" w:type="dxa"/>
            <w:tcBorders>
              <w:top w:val="nil"/>
              <w:left w:val="nil"/>
              <w:bottom w:val="single" w:sz="4" w:space="0" w:color="auto"/>
              <w:right w:val="single" w:sz="4" w:space="0" w:color="auto"/>
            </w:tcBorders>
            <w:shd w:val="clear" w:color="000000" w:fill="F2F2F2"/>
            <w:noWrap/>
            <w:vAlign w:val="center"/>
            <w:hideMark/>
          </w:tcPr>
          <w:p w14:paraId="727D2B07"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$ 1.861.862.415</w:t>
            </w:r>
          </w:p>
        </w:tc>
        <w:tc>
          <w:tcPr>
            <w:tcW w:w="1920" w:type="dxa"/>
            <w:tcBorders>
              <w:top w:val="nil"/>
              <w:left w:val="nil"/>
              <w:bottom w:val="single" w:sz="4" w:space="0" w:color="auto"/>
              <w:right w:val="single" w:sz="4" w:space="0" w:color="auto"/>
            </w:tcBorders>
            <w:shd w:val="clear" w:color="000000" w:fill="F2F2F2"/>
            <w:vAlign w:val="center"/>
            <w:hideMark/>
          </w:tcPr>
          <w:p w14:paraId="46E8AC58"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 - GAS POR REDES</w:t>
            </w:r>
          </w:p>
        </w:tc>
      </w:tr>
      <w:tr w:rsidR="00D705A6" w:rsidRPr="002E0BB9" w14:paraId="55C611E8" w14:textId="77777777" w:rsidTr="007D1249">
        <w:trPr>
          <w:trHeight w:val="2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1A0697D6"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w:t>
            </w:r>
          </w:p>
        </w:tc>
        <w:tc>
          <w:tcPr>
            <w:tcW w:w="560" w:type="dxa"/>
            <w:tcBorders>
              <w:top w:val="nil"/>
              <w:left w:val="nil"/>
              <w:bottom w:val="single" w:sz="4" w:space="0" w:color="auto"/>
              <w:right w:val="single" w:sz="4" w:space="0" w:color="auto"/>
            </w:tcBorders>
            <w:shd w:val="clear" w:color="000000" w:fill="F2F2F2"/>
            <w:noWrap/>
            <w:vAlign w:val="center"/>
            <w:hideMark/>
          </w:tcPr>
          <w:p w14:paraId="09FBB9D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22068</w:t>
            </w:r>
          </w:p>
        </w:tc>
        <w:tc>
          <w:tcPr>
            <w:tcW w:w="920" w:type="dxa"/>
            <w:tcBorders>
              <w:top w:val="nil"/>
              <w:left w:val="nil"/>
              <w:bottom w:val="single" w:sz="4" w:space="0" w:color="auto"/>
              <w:right w:val="single" w:sz="4" w:space="0" w:color="auto"/>
            </w:tcBorders>
            <w:shd w:val="clear" w:color="000000" w:fill="F2F2F2"/>
            <w:noWrap/>
            <w:vAlign w:val="center"/>
            <w:hideMark/>
          </w:tcPr>
          <w:p w14:paraId="191569CA"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860072134</w:t>
            </w:r>
          </w:p>
        </w:tc>
        <w:tc>
          <w:tcPr>
            <w:tcW w:w="2180" w:type="dxa"/>
            <w:tcBorders>
              <w:top w:val="nil"/>
              <w:left w:val="nil"/>
              <w:bottom w:val="single" w:sz="4" w:space="0" w:color="auto"/>
              <w:right w:val="single" w:sz="4" w:space="0" w:color="auto"/>
            </w:tcBorders>
            <w:shd w:val="clear" w:color="000000" w:fill="F2F2F2"/>
            <w:vAlign w:val="center"/>
            <w:hideMark/>
          </w:tcPr>
          <w:p w14:paraId="65882773" w14:textId="4BAF953D"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HOCOL S.A</w:t>
            </w:r>
            <w:r w:rsidR="005D7AAA" w:rsidRPr="002E0BB9">
              <w:rPr>
                <w:rFonts w:ascii="Arial Narrow" w:hAnsi="Arial Narrow" w:cs="Arial"/>
                <w:spacing w:val="0"/>
                <w:sz w:val="16"/>
                <w:szCs w:val="16"/>
                <w:lang w:val="es-MX" w:eastAsia="es-MX"/>
              </w:rPr>
              <w:t>.</w:t>
            </w:r>
          </w:p>
        </w:tc>
        <w:tc>
          <w:tcPr>
            <w:tcW w:w="1520" w:type="dxa"/>
            <w:tcBorders>
              <w:top w:val="nil"/>
              <w:left w:val="nil"/>
              <w:bottom w:val="single" w:sz="4" w:space="0" w:color="auto"/>
              <w:right w:val="single" w:sz="4" w:space="0" w:color="auto"/>
            </w:tcBorders>
            <w:shd w:val="clear" w:color="000000" w:fill="F2F2F2"/>
            <w:noWrap/>
            <w:vAlign w:val="center"/>
            <w:hideMark/>
          </w:tcPr>
          <w:p w14:paraId="335E420B"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$ 30.971.004.000</w:t>
            </w:r>
          </w:p>
        </w:tc>
        <w:tc>
          <w:tcPr>
            <w:tcW w:w="1440" w:type="dxa"/>
            <w:tcBorders>
              <w:top w:val="nil"/>
              <w:left w:val="nil"/>
              <w:bottom w:val="single" w:sz="4" w:space="0" w:color="auto"/>
              <w:right w:val="single" w:sz="4" w:space="0" w:color="auto"/>
            </w:tcBorders>
            <w:shd w:val="clear" w:color="000000" w:fill="F2F2F2"/>
            <w:noWrap/>
            <w:vAlign w:val="center"/>
            <w:hideMark/>
          </w:tcPr>
          <w:p w14:paraId="42185C9D"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$ 129.499.873</w:t>
            </w:r>
          </w:p>
        </w:tc>
        <w:tc>
          <w:tcPr>
            <w:tcW w:w="1460" w:type="dxa"/>
            <w:tcBorders>
              <w:top w:val="nil"/>
              <w:left w:val="nil"/>
              <w:bottom w:val="single" w:sz="4" w:space="0" w:color="auto"/>
              <w:right w:val="single" w:sz="4" w:space="0" w:color="auto"/>
            </w:tcBorders>
            <w:shd w:val="clear" w:color="000000" w:fill="F2F2F2"/>
            <w:noWrap/>
            <w:vAlign w:val="center"/>
            <w:hideMark/>
          </w:tcPr>
          <w:p w14:paraId="3BA5CADA"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$ 31.100.503.873</w:t>
            </w:r>
          </w:p>
        </w:tc>
        <w:tc>
          <w:tcPr>
            <w:tcW w:w="1260" w:type="dxa"/>
            <w:tcBorders>
              <w:top w:val="nil"/>
              <w:left w:val="nil"/>
              <w:bottom w:val="single" w:sz="4" w:space="0" w:color="auto"/>
              <w:right w:val="single" w:sz="4" w:space="0" w:color="auto"/>
            </w:tcBorders>
            <w:shd w:val="clear" w:color="000000" w:fill="F2F2F2"/>
            <w:noWrap/>
            <w:vAlign w:val="center"/>
            <w:hideMark/>
          </w:tcPr>
          <w:p w14:paraId="6263E28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$ 311.005.039</w:t>
            </w:r>
          </w:p>
        </w:tc>
        <w:tc>
          <w:tcPr>
            <w:tcW w:w="1120" w:type="dxa"/>
            <w:tcBorders>
              <w:top w:val="nil"/>
              <w:left w:val="nil"/>
              <w:bottom w:val="single" w:sz="4" w:space="0" w:color="auto"/>
              <w:right w:val="single" w:sz="4" w:space="0" w:color="auto"/>
            </w:tcBorders>
            <w:shd w:val="clear" w:color="000000" w:fill="F2F2F2"/>
            <w:noWrap/>
            <w:vAlign w:val="center"/>
            <w:hideMark/>
          </w:tcPr>
          <w:p w14:paraId="2CF69DB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$ 12.943</w:t>
            </w:r>
          </w:p>
        </w:tc>
        <w:tc>
          <w:tcPr>
            <w:tcW w:w="1260" w:type="dxa"/>
            <w:tcBorders>
              <w:top w:val="nil"/>
              <w:left w:val="nil"/>
              <w:bottom w:val="single" w:sz="4" w:space="0" w:color="auto"/>
              <w:right w:val="single" w:sz="4" w:space="0" w:color="auto"/>
            </w:tcBorders>
            <w:shd w:val="clear" w:color="000000" w:fill="F2F2F2"/>
            <w:noWrap/>
            <w:vAlign w:val="center"/>
            <w:hideMark/>
          </w:tcPr>
          <w:p w14:paraId="0C0CC681"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$ 311.017.982</w:t>
            </w:r>
          </w:p>
        </w:tc>
        <w:tc>
          <w:tcPr>
            <w:tcW w:w="1920" w:type="dxa"/>
            <w:tcBorders>
              <w:top w:val="nil"/>
              <w:left w:val="nil"/>
              <w:bottom w:val="single" w:sz="4" w:space="0" w:color="auto"/>
              <w:right w:val="single" w:sz="4" w:space="0" w:color="auto"/>
            </w:tcBorders>
            <w:shd w:val="clear" w:color="000000" w:fill="F2F2F2"/>
            <w:vAlign w:val="center"/>
            <w:hideMark/>
          </w:tcPr>
          <w:p w14:paraId="6127FA9C"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GAS POR REDES</w:t>
            </w:r>
          </w:p>
        </w:tc>
      </w:tr>
      <w:tr w:rsidR="00D705A6" w:rsidRPr="002E0BB9" w14:paraId="353C60F1" w14:textId="77777777" w:rsidTr="007D1249">
        <w:trPr>
          <w:trHeight w:val="2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2AA9C5F4"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91</w:t>
            </w:r>
          </w:p>
        </w:tc>
        <w:tc>
          <w:tcPr>
            <w:tcW w:w="560" w:type="dxa"/>
            <w:tcBorders>
              <w:top w:val="nil"/>
              <w:left w:val="nil"/>
              <w:bottom w:val="single" w:sz="4" w:space="0" w:color="auto"/>
              <w:right w:val="single" w:sz="4" w:space="0" w:color="auto"/>
            </w:tcBorders>
            <w:shd w:val="clear" w:color="000000" w:fill="F2F2F2"/>
            <w:noWrap/>
            <w:vAlign w:val="center"/>
            <w:hideMark/>
          </w:tcPr>
          <w:p w14:paraId="4E1BDEDB"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29311</w:t>
            </w:r>
          </w:p>
        </w:tc>
        <w:tc>
          <w:tcPr>
            <w:tcW w:w="920" w:type="dxa"/>
            <w:tcBorders>
              <w:top w:val="nil"/>
              <w:left w:val="nil"/>
              <w:bottom w:val="single" w:sz="4" w:space="0" w:color="auto"/>
              <w:right w:val="single" w:sz="4" w:space="0" w:color="auto"/>
            </w:tcBorders>
            <w:shd w:val="clear" w:color="000000" w:fill="F2F2F2"/>
            <w:noWrap/>
            <w:vAlign w:val="center"/>
            <w:hideMark/>
          </w:tcPr>
          <w:p w14:paraId="1E4160C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860076426</w:t>
            </w:r>
          </w:p>
        </w:tc>
        <w:tc>
          <w:tcPr>
            <w:tcW w:w="2180" w:type="dxa"/>
            <w:tcBorders>
              <w:top w:val="nil"/>
              <w:left w:val="nil"/>
              <w:bottom w:val="single" w:sz="4" w:space="0" w:color="auto"/>
              <w:right w:val="single" w:sz="4" w:space="0" w:color="auto"/>
            </w:tcBorders>
            <w:shd w:val="clear" w:color="000000" w:fill="F2F2F2"/>
            <w:vAlign w:val="center"/>
            <w:hideMark/>
          </w:tcPr>
          <w:p w14:paraId="4D29CD37"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ENERGETICA SA ESP</w:t>
            </w:r>
          </w:p>
        </w:tc>
        <w:tc>
          <w:tcPr>
            <w:tcW w:w="1520" w:type="dxa"/>
            <w:tcBorders>
              <w:top w:val="nil"/>
              <w:left w:val="nil"/>
              <w:bottom w:val="single" w:sz="4" w:space="0" w:color="auto"/>
              <w:right w:val="single" w:sz="4" w:space="0" w:color="auto"/>
            </w:tcBorders>
            <w:shd w:val="clear" w:color="000000" w:fill="F2F2F2"/>
            <w:noWrap/>
            <w:vAlign w:val="center"/>
            <w:hideMark/>
          </w:tcPr>
          <w:p w14:paraId="57B28F8B"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$ 43.543.000</w:t>
            </w:r>
          </w:p>
        </w:tc>
        <w:tc>
          <w:tcPr>
            <w:tcW w:w="1440" w:type="dxa"/>
            <w:tcBorders>
              <w:top w:val="nil"/>
              <w:left w:val="nil"/>
              <w:bottom w:val="single" w:sz="4" w:space="0" w:color="auto"/>
              <w:right w:val="single" w:sz="4" w:space="0" w:color="auto"/>
            </w:tcBorders>
            <w:shd w:val="clear" w:color="000000" w:fill="F2F2F2"/>
            <w:noWrap/>
            <w:vAlign w:val="center"/>
            <w:hideMark/>
          </w:tcPr>
          <w:p w14:paraId="7839BC2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$ 0</w:t>
            </w:r>
          </w:p>
        </w:tc>
        <w:tc>
          <w:tcPr>
            <w:tcW w:w="1460" w:type="dxa"/>
            <w:tcBorders>
              <w:top w:val="nil"/>
              <w:left w:val="nil"/>
              <w:bottom w:val="single" w:sz="4" w:space="0" w:color="auto"/>
              <w:right w:val="single" w:sz="4" w:space="0" w:color="auto"/>
            </w:tcBorders>
            <w:shd w:val="clear" w:color="000000" w:fill="F2F2F2"/>
            <w:noWrap/>
            <w:vAlign w:val="center"/>
            <w:hideMark/>
          </w:tcPr>
          <w:p w14:paraId="59F4439D"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$ 43.543.000</w:t>
            </w:r>
          </w:p>
        </w:tc>
        <w:tc>
          <w:tcPr>
            <w:tcW w:w="1260" w:type="dxa"/>
            <w:tcBorders>
              <w:top w:val="nil"/>
              <w:left w:val="nil"/>
              <w:bottom w:val="single" w:sz="4" w:space="0" w:color="auto"/>
              <w:right w:val="single" w:sz="4" w:space="0" w:color="auto"/>
            </w:tcBorders>
            <w:shd w:val="clear" w:color="000000" w:fill="F2F2F2"/>
            <w:noWrap/>
            <w:vAlign w:val="center"/>
            <w:hideMark/>
          </w:tcPr>
          <w:p w14:paraId="0AD2CC42"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$ 435.430</w:t>
            </w:r>
          </w:p>
        </w:tc>
        <w:tc>
          <w:tcPr>
            <w:tcW w:w="1120" w:type="dxa"/>
            <w:tcBorders>
              <w:top w:val="nil"/>
              <w:left w:val="nil"/>
              <w:bottom w:val="single" w:sz="4" w:space="0" w:color="auto"/>
              <w:right w:val="single" w:sz="4" w:space="0" w:color="auto"/>
            </w:tcBorders>
            <w:shd w:val="clear" w:color="000000" w:fill="F2F2F2"/>
            <w:noWrap/>
            <w:vAlign w:val="center"/>
            <w:hideMark/>
          </w:tcPr>
          <w:p w14:paraId="53F2BAD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$ 18</w:t>
            </w:r>
          </w:p>
        </w:tc>
        <w:tc>
          <w:tcPr>
            <w:tcW w:w="1260" w:type="dxa"/>
            <w:tcBorders>
              <w:top w:val="nil"/>
              <w:left w:val="nil"/>
              <w:bottom w:val="single" w:sz="4" w:space="0" w:color="auto"/>
              <w:right w:val="single" w:sz="4" w:space="0" w:color="auto"/>
            </w:tcBorders>
            <w:shd w:val="clear" w:color="000000" w:fill="F2F2F2"/>
            <w:noWrap/>
            <w:vAlign w:val="center"/>
            <w:hideMark/>
          </w:tcPr>
          <w:p w14:paraId="21F7CE0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$ 435.448</w:t>
            </w:r>
          </w:p>
        </w:tc>
        <w:tc>
          <w:tcPr>
            <w:tcW w:w="1920" w:type="dxa"/>
            <w:tcBorders>
              <w:top w:val="nil"/>
              <w:left w:val="nil"/>
              <w:bottom w:val="single" w:sz="4" w:space="0" w:color="auto"/>
              <w:right w:val="single" w:sz="4" w:space="0" w:color="auto"/>
            </w:tcBorders>
            <w:shd w:val="clear" w:color="000000" w:fill="F2F2F2"/>
            <w:vAlign w:val="center"/>
            <w:hideMark/>
          </w:tcPr>
          <w:p w14:paraId="3AA70A21"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w:t>
            </w:r>
          </w:p>
        </w:tc>
      </w:tr>
      <w:tr w:rsidR="00D705A6" w:rsidRPr="002E0BB9" w14:paraId="40E35E31" w14:textId="77777777" w:rsidTr="007D1249">
        <w:trPr>
          <w:trHeight w:val="4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685FC5EE"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92</w:t>
            </w:r>
          </w:p>
        </w:tc>
        <w:tc>
          <w:tcPr>
            <w:tcW w:w="560" w:type="dxa"/>
            <w:tcBorders>
              <w:top w:val="nil"/>
              <w:left w:val="nil"/>
              <w:bottom w:val="single" w:sz="4" w:space="0" w:color="auto"/>
              <w:right w:val="single" w:sz="4" w:space="0" w:color="auto"/>
            </w:tcBorders>
            <w:shd w:val="clear" w:color="000000" w:fill="F2F2F2"/>
            <w:noWrap/>
            <w:vAlign w:val="center"/>
            <w:hideMark/>
          </w:tcPr>
          <w:p w14:paraId="3D392722"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1545</w:t>
            </w:r>
          </w:p>
        </w:tc>
        <w:tc>
          <w:tcPr>
            <w:tcW w:w="920" w:type="dxa"/>
            <w:tcBorders>
              <w:top w:val="nil"/>
              <w:left w:val="nil"/>
              <w:bottom w:val="single" w:sz="4" w:space="0" w:color="auto"/>
              <w:right w:val="single" w:sz="4" w:space="0" w:color="auto"/>
            </w:tcBorders>
            <w:shd w:val="clear" w:color="000000" w:fill="F2F2F2"/>
            <w:noWrap/>
            <w:vAlign w:val="center"/>
            <w:hideMark/>
          </w:tcPr>
          <w:p w14:paraId="549F1DDD"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860450098</w:t>
            </w:r>
          </w:p>
        </w:tc>
        <w:tc>
          <w:tcPr>
            <w:tcW w:w="2180" w:type="dxa"/>
            <w:tcBorders>
              <w:top w:val="nil"/>
              <w:left w:val="nil"/>
              <w:bottom w:val="single" w:sz="4" w:space="0" w:color="auto"/>
              <w:right w:val="single" w:sz="4" w:space="0" w:color="auto"/>
            </w:tcBorders>
            <w:shd w:val="clear" w:color="000000" w:fill="F2F2F2"/>
            <w:vAlign w:val="center"/>
            <w:hideMark/>
          </w:tcPr>
          <w:p w14:paraId="7749914E"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GAS SUMAPAZ S.A. E.S.P.</w:t>
            </w:r>
          </w:p>
        </w:tc>
        <w:tc>
          <w:tcPr>
            <w:tcW w:w="1520" w:type="dxa"/>
            <w:tcBorders>
              <w:top w:val="nil"/>
              <w:left w:val="nil"/>
              <w:bottom w:val="single" w:sz="4" w:space="0" w:color="auto"/>
              <w:right w:val="single" w:sz="4" w:space="0" w:color="auto"/>
            </w:tcBorders>
            <w:shd w:val="clear" w:color="000000" w:fill="F2F2F2"/>
            <w:noWrap/>
            <w:vAlign w:val="center"/>
            <w:hideMark/>
          </w:tcPr>
          <w:p w14:paraId="5C585E5C"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$ 159.650.000</w:t>
            </w:r>
          </w:p>
        </w:tc>
        <w:tc>
          <w:tcPr>
            <w:tcW w:w="1440" w:type="dxa"/>
            <w:tcBorders>
              <w:top w:val="nil"/>
              <w:left w:val="nil"/>
              <w:bottom w:val="single" w:sz="4" w:space="0" w:color="auto"/>
              <w:right w:val="single" w:sz="4" w:space="0" w:color="auto"/>
            </w:tcBorders>
            <w:shd w:val="clear" w:color="000000" w:fill="F2F2F2"/>
            <w:noWrap/>
            <w:vAlign w:val="center"/>
            <w:hideMark/>
          </w:tcPr>
          <w:p w14:paraId="4528E78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$ 20.381.671</w:t>
            </w:r>
          </w:p>
        </w:tc>
        <w:tc>
          <w:tcPr>
            <w:tcW w:w="1460" w:type="dxa"/>
            <w:tcBorders>
              <w:top w:val="nil"/>
              <w:left w:val="nil"/>
              <w:bottom w:val="single" w:sz="4" w:space="0" w:color="auto"/>
              <w:right w:val="single" w:sz="4" w:space="0" w:color="auto"/>
            </w:tcBorders>
            <w:shd w:val="clear" w:color="000000" w:fill="F2F2F2"/>
            <w:noWrap/>
            <w:vAlign w:val="center"/>
            <w:hideMark/>
          </w:tcPr>
          <w:p w14:paraId="4D472CC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$ 180.031.671</w:t>
            </w:r>
          </w:p>
        </w:tc>
        <w:tc>
          <w:tcPr>
            <w:tcW w:w="1260" w:type="dxa"/>
            <w:tcBorders>
              <w:top w:val="nil"/>
              <w:left w:val="nil"/>
              <w:bottom w:val="single" w:sz="4" w:space="0" w:color="auto"/>
              <w:right w:val="single" w:sz="4" w:space="0" w:color="auto"/>
            </w:tcBorders>
            <w:shd w:val="clear" w:color="000000" w:fill="F2F2F2"/>
            <w:noWrap/>
            <w:vAlign w:val="center"/>
            <w:hideMark/>
          </w:tcPr>
          <w:p w14:paraId="3E8D254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$ 1.800.317</w:t>
            </w:r>
          </w:p>
        </w:tc>
        <w:tc>
          <w:tcPr>
            <w:tcW w:w="1120" w:type="dxa"/>
            <w:tcBorders>
              <w:top w:val="nil"/>
              <w:left w:val="nil"/>
              <w:bottom w:val="single" w:sz="4" w:space="0" w:color="auto"/>
              <w:right w:val="single" w:sz="4" w:space="0" w:color="auto"/>
            </w:tcBorders>
            <w:shd w:val="clear" w:color="000000" w:fill="F2F2F2"/>
            <w:noWrap/>
            <w:vAlign w:val="center"/>
            <w:hideMark/>
          </w:tcPr>
          <w:p w14:paraId="47DD13D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$ 75</w:t>
            </w:r>
          </w:p>
        </w:tc>
        <w:tc>
          <w:tcPr>
            <w:tcW w:w="1260" w:type="dxa"/>
            <w:tcBorders>
              <w:top w:val="nil"/>
              <w:left w:val="nil"/>
              <w:bottom w:val="single" w:sz="4" w:space="0" w:color="auto"/>
              <w:right w:val="single" w:sz="4" w:space="0" w:color="auto"/>
            </w:tcBorders>
            <w:shd w:val="clear" w:color="000000" w:fill="F2F2F2"/>
            <w:noWrap/>
            <w:vAlign w:val="center"/>
            <w:hideMark/>
          </w:tcPr>
          <w:p w14:paraId="074E747A"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$ 1.800.392</w:t>
            </w:r>
          </w:p>
        </w:tc>
        <w:tc>
          <w:tcPr>
            <w:tcW w:w="1920" w:type="dxa"/>
            <w:tcBorders>
              <w:top w:val="nil"/>
              <w:left w:val="nil"/>
              <w:bottom w:val="single" w:sz="4" w:space="0" w:color="auto"/>
              <w:right w:val="single" w:sz="4" w:space="0" w:color="auto"/>
            </w:tcBorders>
            <w:shd w:val="clear" w:color="000000" w:fill="F2F2F2"/>
            <w:vAlign w:val="center"/>
            <w:hideMark/>
          </w:tcPr>
          <w:p w14:paraId="67D7123B"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GAS LICUADO DEL PETROLEO</w:t>
            </w:r>
          </w:p>
        </w:tc>
      </w:tr>
      <w:tr w:rsidR="00D705A6" w:rsidRPr="002E0BB9" w14:paraId="17DB0735" w14:textId="77777777" w:rsidTr="007D1249">
        <w:trPr>
          <w:trHeight w:val="6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6DA141D5"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93</w:t>
            </w:r>
          </w:p>
        </w:tc>
        <w:tc>
          <w:tcPr>
            <w:tcW w:w="560" w:type="dxa"/>
            <w:tcBorders>
              <w:top w:val="nil"/>
              <w:left w:val="nil"/>
              <w:bottom w:val="single" w:sz="4" w:space="0" w:color="auto"/>
              <w:right w:val="single" w:sz="4" w:space="0" w:color="auto"/>
            </w:tcBorders>
            <w:shd w:val="clear" w:color="000000" w:fill="F2F2F2"/>
            <w:noWrap/>
            <w:vAlign w:val="center"/>
            <w:hideMark/>
          </w:tcPr>
          <w:p w14:paraId="5E6785E2"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1638</w:t>
            </w:r>
          </w:p>
        </w:tc>
        <w:tc>
          <w:tcPr>
            <w:tcW w:w="920" w:type="dxa"/>
            <w:tcBorders>
              <w:top w:val="nil"/>
              <w:left w:val="nil"/>
              <w:bottom w:val="single" w:sz="4" w:space="0" w:color="auto"/>
              <w:right w:val="single" w:sz="4" w:space="0" w:color="auto"/>
            </w:tcBorders>
            <w:shd w:val="clear" w:color="000000" w:fill="F2F2F2"/>
            <w:noWrap/>
            <w:vAlign w:val="center"/>
            <w:hideMark/>
          </w:tcPr>
          <w:p w14:paraId="4488128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860508892</w:t>
            </w:r>
          </w:p>
        </w:tc>
        <w:tc>
          <w:tcPr>
            <w:tcW w:w="2180" w:type="dxa"/>
            <w:tcBorders>
              <w:top w:val="nil"/>
              <w:left w:val="nil"/>
              <w:bottom w:val="single" w:sz="4" w:space="0" w:color="auto"/>
              <w:right w:val="single" w:sz="4" w:space="0" w:color="auto"/>
            </w:tcBorders>
            <w:shd w:val="clear" w:color="000000" w:fill="F2F2F2"/>
            <w:vAlign w:val="center"/>
            <w:hideMark/>
          </w:tcPr>
          <w:p w14:paraId="333BC6AC"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COMPAÑIA DE ALMACENAMIENTO DE GAS S.A. ESP</w:t>
            </w:r>
          </w:p>
        </w:tc>
        <w:tc>
          <w:tcPr>
            <w:tcW w:w="1520" w:type="dxa"/>
            <w:tcBorders>
              <w:top w:val="nil"/>
              <w:left w:val="nil"/>
              <w:bottom w:val="single" w:sz="4" w:space="0" w:color="auto"/>
              <w:right w:val="single" w:sz="4" w:space="0" w:color="auto"/>
            </w:tcBorders>
            <w:shd w:val="clear" w:color="000000" w:fill="F2F2F2"/>
            <w:noWrap/>
            <w:vAlign w:val="center"/>
            <w:hideMark/>
          </w:tcPr>
          <w:p w14:paraId="1741711B"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$ 1.862.429.000</w:t>
            </w:r>
          </w:p>
        </w:tc>
        <w:tc>
          <w:tcPr>
            <w:tcW w:w="1440" w:type="dxa"/>
            <w:tcBorders>
              <w:top w:val="nil"/>
              <w:left w:val="nil"/>
              <w:bottom w:val="single" w:sz="4" w:space="0" w:color="auto"/>
              <w:right w:val="single" w:sz="4" w:space="0" w:color="auto"/>
            </w:tcBorders>
            <w:shd w:val="clear" w:color="000000" w:fill="F2F2F2"/>
            <w:noWrap/>
            <w:vAlign w:val="center"/>
            <w:hideMark/>
          </w:tcPr>
          <w:p w14:paraId="449CCA4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$ 310.863.743</w:t>
            </w:r>
          </w:p>
        </w:tc>
        <w:tc>
          <w:tcPr>
            <w:tcW w:w="1460" w:type="dxa"/>
            <w:tcBorders>
              <w:top w:val="nil"/>
              <w:left w:val="nil"/>
              <w:bottom w:val="single" w:sz="4" w:space="0" w:color="auto"/>
              <w:right w:val="single" w:sz="4" w:space="0" w:color="auto"/>
            </w:tcBorders>
            <w:shd w:val="clear" w:color="000000" w:fill="F2F2F2"/>
            <w:noWrap/>
            <w:vAlign w:val="center"/>
            <w:hideMark/>
          </w:tcPr>
          <w:p w14:paraId="4E0841A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$ 2.173.292.743</w:t>
            </w:r>
          </w:p>
        </w:tc>
        <w:tc>
          <w:tcPr>
            <w:tcW w:w="1260" w:type="dxa"/>
            <w:tcBorders>
              <w:top w:val="nil"/>
              <w:left w:val="nil"/>
              <w:bottom w:val="single" w:sz="4" w:space="0" w:color="auto"/>
              <w:right w:val="single" w:sz="4" w:space="0" w:color="auto"/>
            </w:tcBorders>
            <w:shd w:val="clear" w:color="000000" w:fill="F2F2F2"/>
            <w:noWrap/>
            <w:vAlign w:val="center"/>
            <w:hideMark/>
          </w:tcPr>
          <w:p w14:paraId="2DCCAC25"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$ 21.732.927</w:t>
            </w:r>
          </w:p>
        </w:tc>
        <w:tc>
          <w:tcPr>
            <w:tcW w:w="1120" w:type="dxa"/>
            <w:tcBorders>
              <w:top w:val="nil"/>
              <w:left w:val="nil"/>
              <w:bottom w:val="single" w:sz="4" w:space="0" w:color="auto"/>
              <w:right w:val="single" w:sz="4" w:space="0" w:color="auto"/>
            </w:tcBorders>
            <w:shd w:val="clear" w:color="000000" w:fill="F2F2F2"/>
            <w:noWrap/>
            <w:vAlign w:val="center"/>
            <w:hideMark/>
          </w:tcPr>
          <w:p w14:paraId="1FF4CB8E"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$ 904</w:t>
            </w:r>
          </w:p>
        </w:tc>
        <w:tc>
          <w:tcPr>
            <w:tcW w:w="1260" w:type="dxa"/>
            <w:tcBorders>
              <w:top w:val="nil"/>
              <w:left w:val="nil"/>
              <w:bottom w:val="single" w:sz="4" w:space="0" w:color="auto"/>
              <w:right w:val="single" w:sz="4" w:space="0" w:color="auto"/>
            </w:tcBorders>
            <w:shd w:val="clear" w:color="000000" w:fill="F2F2F2"/>
            <w:noWrap/>
            <w:vAlign w:val="center"/>
            <w:hideMark/>
          </w:tcPr>
          <w:p w14:paraId="0D31BE56"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$ 21.733.832</w:t>
            </w:r>
          </w:p>
        </w:tc>
        <w:tc>
          <w:tcPr>
            <w:tcW w:w="1920" w:type="dxa"/>
            <w:tcBorders>
              <w:top w:val="nil"/>
              <w:left w:val="nil"/>
              <w:bottom w:val="single" w:sz="4" w:space="0" w:color="auto"/>
              <w:right w:val="single" w:sz="4" w:space="0" w:color="auto"/>
            </w:tcBorders>
            <w:shd w:val="clear" w:color="000000" w:fill="F2F2F2"/>
            <w:vAlign w:val="center"/>
            <w:hideMark/>
          </w:tcPr>
          <w:p w14:paraId="485FA21D"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GAS LICUADO DEL PETROLEO</w:t>
            </w:r>
          </w:p>
        </w:tc>
      </w:tr>
      <w:tr w:rsidR="00D705A6" w:rsidRPr="002E0BB9" w14:paraId="6C0AB5B2" w14:textId="77777777" w:rsidTr="007D1249">
        <w:trPr>
          <w:trHeight w:val="6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48B03978"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lastRenderedPageBreak/>
              <w:t>94</w:t>
            </w:r>
          </w:p>
        </w:tc>
        <w:tc>
          <w:tcPr>
            <w:tcW w:w="560" w:type="dxa"/>
            <w:tcBorders>
              <w:top w:val="nil"/>
              <w:left w:val="nil"/>
              <w:bottom w:val="single" w:sz="4" w:space="0" w:color="auto"/>
              <w:right w:val="single" w:sz="4" w:space="0" w:color="auto"/>
            </w:tcBorders>
            <w:shd w:val="clear" w:color="000000" w:fill="F2F2F2"/>
            <w:noWrap/>
            <w:vAlign w:val="center"/>
            <w:hideMark/>
          </w:tcPr>
          <w:p w14:paraId="2B9999CB"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513</w:t>
            </w:r>
          </w:p>
        </w:tc>
        <w:tc>
          <w:tcPr>
            <w:tcW w:w="920" w:type="dxa"/>
            <w:tcBorders>
              <w:top w:val="nil"/>
              <w:left w:val="nil"/>
              <w:bottom w:val="single" w:sz="4" w:space="0" w:color="auto"/>
              <w:right w:val="single" w:sz="4" w:space="0" w:color="auto"/>
            </w:tcBorders>
            <w:shd w:val="clear" w:color="000000" w:fill="F2F2F2"/>
            <w:noWrap/>
            <w:vAlign w:val="center"/>
            <w:hideMark/>
          </w:tcPr>
          <w:p w14:paraId="3EADDB7C"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860515802</w:t>
            </w:r>
          </w:p>
        </w:tc>
        <w:tc>
          <w:tcPr>
            <w:tcW w:w="2180" w:type="dxa"/>
            <w:tcBorders>
              <w:top w:val="nil"/>
              <w:left w:val="nil"/>
              <w:bottom w:val="single" w:sz="4" w:space="0" w:color="auto"/>
              <w:right w:val="single" w:sz="4" w:space="0" w:color="auto"/>
            </w:tcBorders>
            <w:shd w:val="clear" w:color="000000" w:fill="F2F2F2"/>
            <w:vAlign w:val="center"/>
            <w:hideMark/>
          </w:tcPr>
          <w:p w14:paraId="2EC9FC9D"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PLEXA SAS ESP</w:t>
            </w:r>
          </w:p>
        </w:tc>
        <w:tc>
          <w:tcPr>
            <w:tcW w:w="1520" w:type="dxa"/>
            <w:tcBorders>
              <w:top w:val="nil"/>
              <w:left w:val="nil"/>
              <w:bottom w:val="single" w:sz="4" w:space="0" w:color="auto"/>
              <w:right w:val="single" w:sz="4" w:space="0" w:color="auto"/>
            </w:tcBorders>
            <w:shd w:val="clear" w:color="000000" w:fill="F2F2F2"/>
            <w:noWrap/>
            <w:vAlign w:val="center"/>
            <w:hideMark/>
          </w:tcPr>
          <w:p w14:paraId="15ECE157"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$ 2.464.630.000</w:t>
            </w:r>
          </w:p>
        </w:tc>
        <w:tc>
          <w:tcPr>
            <w:tcW w:w="1440" w:type="dxa"/>
            <w:tcBorders>
              <w:top w:val="nil"/>
              <w:left w:val="nil"/>
              <w:bottom w:val="single" w:sz="4" w:space="0" w:color="auto"/>
              <w:right w:val="single" w:sz="4" w:space="0" w:color="auto"/>
            </w:tcBorders>
            <w:shd w:val="clear" w:color="000000" w:fill="F2F2F2"/>
            <w:noWrap/>
            <w:vAlign w:val="center"/>
            <w:hideMark/>
          </w:tcPr>
          <w:p w14:paraId="3B8D72F7"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$ 719.425.213</w:t>
            </w:r>
          </w:p>
        </w:tc>
        <w:tc>
          <w:tcPr>
            <w:tcW w:w="1460" w:type="dxa"/>
            <w:tcBorders>
              <w:top w:val="nil"/>
              <w:left w:val="nil"/>
              <w:bottom w:val="single" w:sz="4" w:space="0" w:color="auto"/>
              <w:right w:val="single" w:sz="4" w:space="0" w:color="auto"/>
            </w:tcBorders>
            <w:shd w:val="clear" w:color="000000" w:fill="F2F2F2"/>
            <w:noWrap/>
            <w:vAlign w:val="center"/>
            <w:hideMark/>
          </w:tcPr>
          <w:p w14:paraId="3C803596"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$ 3.184.055.213</w:t>
            </w:r>
          </w:p>
        </w:tc>
        <w:tc>
          <w:tcPr>
            <w:tcW w:w="1260" w:type="dxa"/>
            <w:tcBorders>
              <w:top w:val="nil"/>
              <w:left w:val="nil"/>
              <w:bottom w:val="single" w:sz="4" w:space="0" w:color="auto"/>
              <w:right w:val="single" w:sz="4" w:space="0" w:color="auto"/>
            </w:tcBorders>
            <w:shd w:val="clear" w:color="000000" w:fill="F2F2F2"/>
            <w:noWrap/>
            <w:vAlign w:val="center"/>
            <w:hideMark/>
          </w:tcPr>
          <w:p w14:paraId="1D949CC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$ 31.840.552</w:t>
            </w:r>
          </w:p>
        </w:tc>
        <w:tc>
          <w:tcPr>
            <w:tcW w:w="1120" w:type="dxa"/>
            <w:tcBorders>
              <w:top w:val="nil"/>
              <w:left w:val="nil"/>
              <w:bottom w:val="single" w:sz="4" w:space="0" w:color="auto"/>
              <w:right w:val="single" w:sz="4" w:space="0" w:color="auto"/>
            </w:tcBorders>
            <w:shd w:val="clear" w:color="000000" w:fill="F2F2F2"/>
            <w:noWrap/>
            <w:vAlign w:val="center"/>
            <w:hideMark/>
          </w:tcPr>
          <w:p w14:paraId="694E42B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$ 1.325</w:t>
            </w:r>
          </w:p>
        </w:tc>
        <w:tc>
          <w:tcPr>
            <w:tcW w:w="1260" w:type="dxa"/>
            <w:tcBorders>
              <w:top w:val="nil"/>
              <w:left w:val="nil"/>
              <w:bottom w:val="single" w:sz="4" w:space="0" w:color="auto"/>
              <w:right w:val="single" w:sz="4" w:space="0" w:color="auto"/>
            </w:tcBorders>
            <w:shd w:val="clear" w:color="000000" w:fill="F2F2F2"/>
            <w:noWrap/>
            <w:vAlign w:val="center"/>
            <w:hideMark/>
          </w:tcPr>
          <w:p w14:paraId="7A6380C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$ 31.841.877</w:t>
            </w:r>
          </w:p>
        </w:tc>
        <w:tc>
          <w:tcPr>
            <w:tcW w:w="1920" w:type="dxa"/>
            <w:tcBorders>
              <w:top w:val="nil"/>
              <w:left w:val="nil"/>
              <w:bottom w:val="single" w:sz="4" w:space="0" w:color="auto"/>
              <w:right w:val="single" w:sz="4" w:space="0" w:color="auto"/>
            </w:tcBorders>
            <w:shd w:val="clear" w:color="000000" w:fill="F2F2F2"/>
            <w:vAlign w:val="center"/>
            <w:hideMark/>
          </w:tcPr>
          <w:p w14:paraId="56509255"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GAS LICUADO DEL PETROLEO - GAS POR REDES</w:t>
            </w:r>
          </w:p>
        </w:tc>
      </w:tr>
      <w:tr w:rsidR="00D705A6" w:rsidRPr="002E0BB9" w14:paraId="65AC3F80" w14:textId="77777777" w:rsidTr="002E0BB9">
        <w:trPr>
          <w:trHeight w:val="455"/>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71E9604D"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95</w:t>
            </w:r>
          </w:p>
        </w:tc>
        <w:tc>
          <w:tcPr>
            <w:tcW w:w="560" w:type="dxa"/>
            <w:tcBorders>
              <w:top w:val="nil"/>
              <w:left w:val="nil"/>
              <w:bottom w:val="single" w:sz="4" w:space="0" w:color="auto"/>
              <w:right w:val="single" w:sz="4" w:space="0" w:color="auto"/>
            </w:tcBorders>
            <w:shd w:val="clear" w:color="000000" w:fill="F2F2F2"/>
            <w:noWrap/>
            <w:vAlign w:val="center"/>
            <w:hideMark/>
          </w:tcPr>
          <w:p w14:paraId="212066E1"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28591</w:t>
            </w:r>
          </w:p>
        </w:tc>
        <w:tc>
          <w:tcPr>
            <w:tcW w:w="920" w:type="dxa"/>
            <w:tcBorders>
              <w:top w:val="nil"/>
              <w:left w:val="nil"/>
              <w:bottom w:val="single" w:sz="4" w:space="0" w:color="auto"/>
              <w:right w:val="single" w:sz="4" w:space="0" w:color="auto"/>
            </w:tcBorders>
            <w:shd w:val="clear" w:color="000000" w:fill="F2F2F2"/>
            <w:noWrap/>
            <w:vAlign w:val="center"/>
            <w:hideMark/>
          </w:tcPr>
          <w:p w14:paraId="731797C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860516431</w:t>
            </w:r>
          </w:p>
        </w:tc>
        <w:tc>
          <w:tcPr>
            <w:tcW w:w="2180" w:type="dxa"/>
            <w:tcBorders>
              <w:top w:val="nil"/>
              <w:left w:val="nil"/>
              <w:bottom w:val="single" w:sz="4" w:space="0" w:color="auto"/>
              <w:right w:val="single" w:sz="4" w:space="0" w:color="auto"/>
            </w:tcBorders>
            <w:shd w:val="clear" w:color="000000" w:fill="F2F2F2"/>
            <w:vAlign w:val="center"/>
            <w:hideMark/>
          </w:tcPr>
          <w:p w14:paraId="6B26CFE3"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GRAN TIERRA ENERGY COLOMBIA, LLC SUCURSAL</w:t>
            </w:r>
          </w:p>
        </w:tc>
        <w:tc>
          <w:tcPr>
            <w:tcW w:w="1520" w:type="dxa"/>
            <w:tcBorders>
              <w:top w:val="nil"/>
              <w:left w:val="nil"/>
              <w:bottom w:val="single" w:sz="4" w:space="0" w:color="auto"/>
              <w:right w:val="single" w:sz="4" w:space="0" w:color="auto"/>
            </w:tcBorders>
            <w:shd w:val="clear" w:color="000000" w:fill="F2F2F2"/>
            <w:noWrap/>
            <w:vAlign w:val="center"/>
            <w:hideMark/>
          </w:tcPr>
          <w:p w14:paraId="4B02179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$ 397.519.000</w:t>
            </w:r>
          </w:p>
        </w:tc>
        <w:tc>
          <w:tcPr>
            <w:tcW w:w="1440" w:type="dxa"/>
            <w:tcBorders>
              <w:top w:val="nil"/>
              <w:left w:val="nil"/>
              <w:bottom w:val="single" w:sz="4" w:space="0" w:color="auto"/>
              <w:right w:val="single" w:sz="4" w:space="0" w:color="auto"/>
            </w:tcBorders>
            <w:shd w:val="clear" w:color="000000" w:fill="F2F2F2"/>
            <w:noWrap/>
            <w:vAlign w:val="center"/>
            <w:hideMark/>
          </w:tcPr>
          <w:p w14:paraId="2A50243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$ 0</w:t>
            </w:r>
          </w:p>
        </w:tc>
        <w:tc>
          <w:tcPr>
            <w:tcW w:w="1460" w:type="dxa"/>
            <w:tcBorders>
              <w:top w:val="nil"/>
              <w:left w:val="nil"/>
              <w:bottom w:val="single" w:sz="4" w:space="0" w:color="auto"/>
              <w:right w:val="single" w:sz="4" w:space="0" w:color="auto"/>
            </w:tcBorders>
            <w:shd w:val="clear" w:color="000000" w:fill="F2F2F2"/>
            <w:noWrap/>
            <w:vAlign w:val="center"/>
            <w:hideMark/>
          </w:tcPr>
          <w:p w14:paraId="5F8A57CD"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$ 397.519.000</w:t>
            </w:r>
          </w:p>
        </w:tc>
        <w:tc>
          <w:tcPr>
            <w:tcW w:w="1260" w:type="dxa"/>
            <w:tcBorders>
              <w:top w:val="nil"/>
              <w:left w:val="nil"/>
              <w:bottom w:val="single" w:sz="4" w:space="0" w:color="auto"/>
              <w:right w:val="single" w:sz="4" w:space="0" w:color="auto"/>
            </w:tcBorders>
            <w:shd w:val="clear" w:color="000000" w:fill="F2F2F2"/>
            <w:noWrap/>
            <w:vAlign w:val="center"/>
            <w:hideMark/>
          </w:tcPr>
          <w:p w14:paraId="59573D0C"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$ 3.975.190</w:t>
            </w:r>
          </w:p>
        </w:tc>
        <w:tc>
          <w:tcPr>
            <w:tcW w:w="1120" w:type="dxa"/>
            <w:tcBorders>
              <w:top w:val="nil"/>
              <w:left w:val="nil"/>
              <w:bottom w:val="single" w:sz="4" w:space="0" w:color="auto"/>
              <w:right w:val="single" w:sz="4" w:space="0" w:color="auto"/>
            </w:tcBorders>
            <w:shd w:val="clear" w:color="000000" w:fill="F2F2F2"/>
            <w:noWrap/>
            <w:vAlign w:val="center"/>
            <w:hideMark/>
          </w:tcPr>
          <w:p w14:paraId="02CDCC9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$ 165</w:t>
            </w:r>
          </w:p>
        </w:tc>
        <w:tc>
          <w:tcPr>
            <w:tcW w:w="1260" w:type="dxa"/>
            <w:tcBorders>
              <w:top w:val="nil"/>
              <w:left w:val="nil"/>
              <w:bottom w:val="single" w:sz="4" w:space="0" w:color="auto"/>
              <w:right w:val="single" w:sz="4" w:space="0" w:color="auto"/>
            </w:tcBorders>
            <w:shd w:val="clear" w:color="000000" w:fill="F2F2F2"/>
            <w:noWrap/>
            <w:vAlign w:val="center"/>
            <w:hideMark/>
          </w:tcPr>
          <w:p w14:paraId="2C2E0DBA"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$ 3.975.355</w:t>
            </w:r>
          </w:p>
        </w:tc>
        <w:tc>
          <w:tcPr>
            <w:tcW w:w="1920" w:type="dxa"/>
            <w:tcBorders>
              <w:top w:val="nil"/>
              <w:left w:val="nil"/>
              <w:bottom w:val="single" w:sz="4" w:space="0" w:color="auto"/>
              <w:right w:val="single" w:sz="4" w:space="0" w:color="auto"/>
            </w:tcBorders>
            <w:shd w:val="clear" w:color="000000" w:fill="F2F2F2"/>
            <w:vAlign w:val="center"/>
            <w:hideMark/>
          </w:tcPr>
          <w:p w14:paraId="7DD168BE"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GAS POR REDES</w:t>
            </w:r>
          </w:p>
        </w:tc>
      </w:tr>
      <w:tr w:rsidR="00D705A6" w:rsidRPr="002E0BB9" w14:paraId="6D12F358" w14:textId="77777777" w:rsidTr="007D1249">
        <w:trPr>
          <w:trHeight w:val="6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1C0D02B8"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96</w:t>
            </w:r>
          </w:p>
        </w:tc>
        <w:tc>
          <w:tcPr>
            <w:tcW w:w="560" w:type="dxa"/>
            <w:tcBorders>
              <w:top w:val="nil"/>
              <w:left w:val="nil"/>
              <w:bottom w:val="single" w:sz="4" w:space="0" w:color="auto"/>
              <w:right w:val="single" w:sz="4" w:space="0" w:color="auto"/>
            </w:tcBorders>
            <w:shd w:val="clear" w:color="000000" w:fill="F2F2F2"/>
            <w:noWrap/>
            <w:vAlign w:val="center"/>
            <w:hideMark/>
          </w:tcPr>
          <w:p w14:paraId="3A2E11EE"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20000</w:t>
            </w:r>
          </w:p>
        </w:tc>
        <w:tc>
          <w:tcPr>
            <w:tcW w:w="920" w:type="dxa"/>
            <w:tcBorders>
              <w:top w:val="nil"/>
              <w:left w:val="nil"/>
              <w:bottom w:val="single" w:sz="4" w:space="0" w:color="auto"/>
              <w:right w:val="single" w:sz="4" w:space="0" w:color="auto"/>
            </w:tcBorders>
            <w:shd w:val="clear" w:color="000000" w:fill="F2F2F2"/>
            <w:noWrap/>
            <w:vAlign w:val="center"/>
            <w:hideMark/>
          </w:tcPr>
          <w:p w14:paraId="14729D1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860529657</w:t>
            </w:r>
          </w:p>
        </w:tc>
        <w:tc>
          <w:tcPr>
            <w:tcW w:w="2180" w:type="dxa"/>
            <w:tcBorders>
              <w:top w:val="nil"/>
              <w:left w:val="nil"/>
              <w:bottom w:val="single" w:sz="4" w:space="0" w:color="auto"/>
              <w:right w:val="single" w:sz="4" w:space="0" w:color="auto"/>
            </w:tcBorders>
            <w:shd w:val="clear" w:color="000000" w:fill="F2F2F2"/>
            <w:vAlign w:val="center"/>
            <w:hideMark/>
          </w:tcPr>
          <w:p w14:paraId="0C008B91" w14:textId="77777777" w:rsidR="00D705A6" w:rsidRPr="002E0BB9" w:rsidRDefault="00D705A6" w:rsidP="00D22441">
            <w:pPr>
              <w:jc w:val="left"/>
              <w:rPr>
                <w:rFonts w:ascii="Arial Narrow" w:hAnsi="Arial Narrow" w:cs="Arial"/>
                <w:spacing w:val="0"/>
                <w:sz w:val="16"/>
                <w:szCs w:val="16"/>
                <w:lang w:val="en-GB" w:eastAsia="es-MX"/>
              </w:rPr>
            </w:pPr>
            <w:r w:rsidRPr="002E0BB9">
              <w:rPr>
                <w:rFonts w:ascii="Arial Narrow" w:hAnsi="Arial Narrow" w:cs="Arial"/>
                <w:spacing w:val="0"/>
                <w:sz w:val="16"/>
                <w:szCs w:val="16"/>
                <w:lang w:val="en-GB" w:eastAsia="es-MX"/>
              </w:rPr>
              <w:t>INTEROIL COLOMBIA EXPLORATION AND PRODUCTION</w:t>
            </w:r>
          </w:p>
        </w:tc>
        <w:tc>
          <w:tcPr>
            <w:tcW w:w="1520" w:type="dxa"/>
            <w:tcBorders>
              <w:top w:val="nil"/>
              <w:left w:val="nil"/>
              <w:bottom w:val="single" w:sz="4" w:space="0" w:color="auto"/>
              <w:right w:val="single" w:sz="4" w:space="0" w:color="auto"/>
            </w:tcBorders>
            <w:shd w:val="clear" w:color="000000" w:fill="F2F2F2"/>
            <w:noWrap/>
            <w:vAlign w:val="center"/>
            <w:hideMark/>
          </w:tcPr>
          <w:p w14:paraId="0BF6ECDB"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$ 396.119.000</w:t>
            </w:r>
          </w:p>
        </w:tc>
        <w:tc>
          <w:tcPr>
            <w:tcW w:w="1440" w:type="dxa"/>
            <w:tcBorders>
              <w:top w:val="nil"/>
              <w:left w:val="nil"/>
              <w:bottom w:val="single" w:sz="4" w:space="0" w:color="auto"/>
              <w:right w:val="single" w:sz="4" w:space="0" w:color="auto"/>
            </w:tcBorders>
            <w:shd w:val="clear" w:color="000000" w:fill="F2F2F2"/>
            <w:noWrap/>
            <w:vAlign w:val="center"/>
            <w:hideMark/>
          </w:tcPr>
          <w:p w14:paraId="1AE9435C"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$ 0</w:t>
            </w:r>
          </w:p>
        </w:tc>
        <w:tc>
          <w:tcPr>
            <w:tcW w:w="1460" w:type="dxa"/>
            <w:tcBorders>
              <w:top w:val="nil"/>
              <w:left w:val="nil"/>
              <w:bottom w:val="single" w:sz="4" w:space="0" w:color="auto"/>
              <w:right w:val="single" w:sz="4" w:space="0" w:color="auto"/>
            </w:tcBorders>
            <w:shd w:val="clear" w:color="000000" w:fill="F2F2F2"/>
            <w:noWrap/>
            <w:vAlign w:val="center"/>
            <w:hideMark/>
          </w:tcPr>
          <w:p w14:paraId="01C9E3F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$ 396.119.000</w:t>
            </w:r>
          </w:p>
        </w:tc>
        <w:tc>
          <w:tcPr>
            <w:tcW w:w="1260" w:type="dxa"/>
            <w:tcBorders>
              <w:top w:val="nil"/>
              <w:left w:val="nil"/>
              <w:bottom w:val="single" w:sz="4" w:space="0" w:color="auto"/>
              <w:right w:val="single" w:sz="4" w:space="0" w:color="auto"/>
            </w:tcBorders>
            <w:shd w:val="clear" w:color="000000" w:fill="F2F2F2"/>
            <w:noWrap/>
            <w:vAlign w:val="center"/>
            <w:hideMark/>
          </w:tcPr>
          <w:p w14:paraId="393A148D"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$ 3.961.190</w:t>
            </w:r>
          </w:p>
        </w:tc>
        <w:tc>
          <w:tcPr>
            <w:tcW w:w="1120" w:type="dxa"/>
            <w:tcBorders>
              <w:top w:val="nil"/>
              <w:left w:val="nil"/>
              <w:bottom w:val="single" w:sz="4" w:space="0" w:color="auto"/>
              <w:right w:val="single" w:sz="4" w:space="0" w:color="auto"/>
            </w:tcBorders>
            <w:shd w:val="clear" w:color="000000" w:fill="F2F2F2"/>
            <w:noWrap/>
            <w:vAlign w:val="center"/>
            <w:hideMark/>
          </w:tcPr>
          <w:p w14:paraId="04333F11"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$ 165</w:t>
            </w:r>
          </w:p>
        </w:tc>
        <w:tc>
          <w:tcPr>
            <w:tcW w:w="1260" w:type="dxa"/>
            <w:tcBorders>
              <w:top w:val="nil"/>
              <w:left w:val="nil"/>
              <w:bottom w:val="single" w:sz="4" w:space="0" w:color="auto"/>
              <w:right w:val="single" w:sz="4" w:space="0" w:color="auto"/>
            </w:tcBorders>
            <w:shd w:val="clear" w:color="000000" w:fill="F2F2F2"/>
            <w:noWrap/>
            <w:vAlign w:val="center"/>
            <w:hideMark/>
          </w:tcPr>
          <w:p w14:paraId="3D07317D"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$ 3.961.355</w:t>
            </w:r>
          </w:p>
        </w:tc>
        <w:tc>
          <w:tcPr>
            <w:tcW w:w="1920" w:type="dxa"/>
            <w:tcBorders>
              <w:top w:val="nil"/>
              <w:left w:val="nil"/>
              <w:bottom w:val="single" w:sz="4" w:space="0" w:color="auto"/>
              <w:right w:val="single" w:sz="4" w:space="0" w:color="auto"/>
            </w:tcBorders>
            <w:shd w:val="clear" w:color="000000" w:fill="F2F2F2"/>
            <w:vAlign w:val="center"/>
            <w:hideMark/>
          </w:tcPr>
          <w:p w14:paraId="580258BB"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GAS POR REDES</w:t>
            </w:r>
          </w:p>
        </w:tc>
      </w:tr>
      <w:tr w:rsidR="00D705A6" w:rsidRPr="002E0BB9" w14:paraId="74A6885D" w14:textId="77777777" w:rsidTr="002E0BB9">
        <w:trPr>
          <w:trHeight w:val="654"/>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0B0E6903"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97</w:t>
            </w:r>
          </w:p>
        </w:tc>
        <w:tc>
          <w:tcPr>
            <w:tcW w:w="560" w:type="dxa"/>
            <w:tcBorders>
              <w:top w:val="nil"/>
              <w:left w:val="nil"/>
              <w:bottom w:val="single" w:sz="4" w:space="0" w:color="auto"/>
              <w:right w:val="single" w:sz="4" w:space="0" w:color="auto"/>
            </w:tcBorders>
            <w:shd w:val="clear" w:color="000000" w:fill="F2F2F2"/>
            <w:noWrap/>
            <w:vAlign w:val="center"/>
            <w:hideMark/>
          </w:tcPr>
          <w:p w14:paraId="42DF5D4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997</w:t>
            </w:r>
          </w:p>
        </w:tc>
        <w:tc>
          <w:tcPr>
            <w:tcW w:w="920" w:type="dxa"/>
            <w:tcBorders>
              <w:top w:val="nil"/>
              <w:left w:val="nil"/>
              <w:bottom w:val="single" w:sz="4" w:space="0" w:color="auto"/>
              <w:right w:val="single" w:sz="4" w:space="0" w:color="auto"/>
            </w:tcBorders>
            <w:shd w:val="clear" w:color="000000" w:fill="F2F2F2"/>
            <w:noWrap/>
            <w:vAlign w:val="center"/>
            <w:hideMark/>
          </w:tcPr>
          <w:p w14:paraId="0E092CD5"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890000377</w:t>
            </w:r>
          </w:p>
        </w:tc>
        <w:tc>
          <w:tcPr>
            <w:tcW w:w="2180" w:type="dxa"/>
            <w:tcBorders>
              <w:top w:val="nil"/>
              <w:left w:val="nil"/>
              <w:bottom w:val="single" w:sz="4" w:space="0" w:color="auto"/>
              <w:right w:val="single" w:sz="4" w:space="0" w:color="auto"/>
            </w:tcBorders>
            <w:shd w:val="clear" w:color="000000" w:fill="F2F2F2"/>
            <w:vAlign w:val="center"/>
            <w:hideMark/>
          </w:tcPr>
          <w:p w14:paraId="11098CEC" w14:textId="503CAAD5"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EMPRESAS PUBLICAS DE CALARCA E.S.P</w:t>
            </w:r>
            <w:r w:rsidR="005D7AAA" w:rsidRPr="002E0BB9">
              <w:rPr>
                <w:rFonts w:ascii="Arial Narrow" w:hAnsi="Arial Narrow" w:cs="Arial"/>
                <w:spacing w:val="0"/>
                <w:sz w:val="16"/>
                <w:szCs w:val="16"/>
                <w:lang w:val="es-MX" w:eastAsia="es-MX"/>
              </w:rPr>
              <w:t>.</w:t>
            </w:r>
          </w:p>
        </w:tc>
        <w:tc>
          <w:tcPr>
            <w:tcW w:w="1520" w:type="dxa"/>
            <w:tcBorders>
              <w:top w:val="nil"/>
              <w:left w:val="nil"/>
              <w:bottom w:val="single" w:sz="4" w:space="0" w:color="auto"/>
              <w:right w:val="single" w:sz="4" w:space="0" w:color="auto"/>
            </w:tcBorders>
            <w:shd w:val="clear" w:color="000000" w:fill="F2F2F2"/>
            <w:noWrap/>
            <w:vAlign w:val="center"/>
            <w:hideMark/>
          </w:tcPr>
          <w:p w14:paraId="366FED4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$ 150.013.000</w:t>
            </w:r>
          </w:p>
        </w:tc>
        <w:tc>
          <w:tcPr>
            <w:tcW w:w="1440" w:type="dxa"/>
            <w:tcBorders>
              <w:top w:val="nil"/>
              <w:left w:val="nil"/>
              <w:bottom w:val="single" w:sz="4" w:space="0" w:color="auto"/>
              <w:right w:val="single" w:sz="4" w:space="0" w:color="auto"/>
            </w:tcBorders>
            <w:shd w:val="clear" w:color="000000" w:fill="F2F2F2"/>
            <w:noWrap/>
            <w:vAlign w:val="center"/>
            <w:hideMark/>
          </w:tcPr>
          <w:p w14:paraId="7EEEE22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$ 0</w:t>
            </w:r>
          </w:p>
        </w:tc>
        <w:tc>
          <w:tcPr>
            <w:tcW w:w="1460" w:type="dxa"/>
            <w:tcBorders>
              <w:top w:val="nil"/>
              <w:left w:val="nil"/>
              <w:bottom w:val="single" w:sz="4" w:space="0" w:color="auto"/>
              <w:right w:val="single" w:sz="4" w:space="0" w:color="auto"/>
            </w:tcBorders>
            <w:shd w:val="clear" w:color="000000" w:fill="F2F2F2"/>
            <w:noWrap/>
            <w:vAlign w:val="center"/>
            <w:hideMark/>
          </w:tcPr>
          <w:p w14:paraId="2D67142A"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$ 150.013.000</w:t>
            </w:r>
          </w:p>
        </w:tc>
        <w:tc>
          <w:tcPr>
            <w:tcW w:w="1260" w:type="dxa"/>
            <w:tcBorders>
              <w:top w:val="nil"/>
              <w:left w:val="nil"/>
              <w:bottom w:val="single" w:sz="4" w:space="0" w:color="auto"/>
              <w:right w:val="single" w:sz="4" w:space="0" w:color="auto"/>
            </w:tcBorders>
            <w:shd w:val="clear" w:color="000000" w:fill="F2F2F2"/>
            <w:noWrap/>
            <w:vAlign w:val="center"/>
            <w:hideMark/>
          </w:tcPr>
          <w:p w14:paraId="667D5E01"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$ 1.500.130</w:t>
            </w:r>
          </w:p>
        </w:tc>
        <w:tc>
          <w:tcPr>
            <w:tcW w:w="1120" w:type="dxa"/>
            <w:tcBorders>
              <w:top w:val="nil"/>
              <w:left w:val="nil"/>
              <w:bottom w:val="single" w:sz="4" w:space="0" w:color="auto"/>
              <w:right w:val="single" w:sz="4" w:space="0" w:color="auto"/>
            </w:tcBorders>
            <w:shd w:val="clear" w:color="000000" w:fill="F2F2F2"/>
            <w:noWrap/>
            <w:vAlign w:val="center"/>
            <w:hideMark/>
          </w:tcPr>
          <w:p w14:paraId="728C48E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$ 62</w:t>
            </w:r>
          </w:p>
        </w:tc>
        <w:tc>
          <w:tcPr>
            <w:tcW w:w="1260" w:type="dxa"/>
            <w:tcBorders>
              <w:top w:val="nil"/>
              <w:left w:val="nil"/>
              <w:bottom w:val="single" w:sz="4" w:space="0" w:color="auto"/>
              <w:right w:val="single" w:sz="4" w:space="0" w:color="auto"/>
            </w:tcBorders>
            <w:shd w:val="clear" w:color="000000" w:fill="F2F2F2"/>
            <w:noWrap/>
            <w:vAlign w:val="center"/>
            <w:hideMark/>
          </w:tcPr>
          <w:p w14:paraId="0AD54EB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$ 1.500.192</w:t>
            </w:r>
          </w:p>
        </w:tc>
        <w:tc>
          <w:tcPr>
            <w:tcW w:w="1920" w:type="dxa"/>
            <w:tcBorders>
              <w:top w:val="nil"/>
              <w:left w:val="nil"/>
              <w:bottom w:val="single" w:sz="4" w:space="0" w:color="auto"/>
              <w:right w:val="single" w:sz="4" w:space="0" w:color="auto"/>
            </w:tcBorders>
            <w:shd w:val="clear" w:color="000000" w:fill="F2F2F2"/>
            <w:vAlign w:val="center"/>
            <w:hideMark/>
          </w:tcPr>
          <w:p w14:paraId="34387328"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 - ACUEDUCTO - ALCANTARILLADO - ASEO</w:t>
            </w:r>
          </w:p>
        </w:tc>
      </w:tr>
      <w:tr w:rsidR="00D705A6" w:rsidRPr="002E0BB9" w14:paraId="08FE5647" w14:textId="77777777" w:rsidTr="007D1249">
        <w:trPr>
          <w:trHeight w:val="6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33CA58E3"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98</w:t>
            </w:r>
          </w:p>
        </w:tc>
        <w:tc>
          <w:tcPr>
            <w:tcW w:w="560" w:type="dxa"/>
            <w:tcBorders>
              <w:top w:val="nil"/>
              <w:left w:val="nil"/>
              <w:bottom w:val="single" w:sz="4" w:space="0" w:color="auto"/>
              <w:right w:val="single" w:sz="4" w:space="0" w:color="auto"/>
            </w:tcBorders>
            <w:shd w:val="clear" w:color="000000" w:fill="F2F2F2"/>
            <w:noWrap/>
            <w:vAlign w:val="center"/>
            <w:hideMark/>
          </w:tcPr>
          <w:p w14:paraId="74C0D51A"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484</w:t>
            </w:r>
          </w:p>
        </w:tc>
        <w:tc>
          <w:tcPr>
            <w:tcW w:w="920" w:type="dxa"/>
            <w:tcBorders>
              <w:top w:val="nil"/>
              <w:left w:val="nil"/>
              <w:bottom w:val="single" w:sz="4" w:space="0" w:color="auto"/>
              <w:right w:val="single" w:sz="4" w:space="0" w:color="auto"/>
            </w:tcBorders>
            <w:shd w:val="clear" w:color="000000" w:fill="F2F2F2"/>
            <w:noWrap/>
            <w:vAlign w:val="center"/>
            <w:hideMark/>
          </w:tcPr>
          <w:p w14:paraId="24BC421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890101691</w:t>
            </w:r>
          </w:p>
        </w:tc>
        <w:tc>
          <w:tcPr>
            <w:tcW w:w="2180" w:type="dxa"/>
            <w:tcBorders>
              <w:top w:val="nil"/>
              <w:left w:val="nil"/>
              <w:bottom w:val="single" w:sz="4" w:space="0" w:color="auto"/>
              <w:right w:val="single" w:sz="4" w:space="0" w:color="auto"/>
            </w:tcBorders>
            <w:shd w:val="clear" w:color="000000" w:fill="F2F2F2"/>
            <w:vAlign w:val="center"/>
            <w:hideMark/>
          </w:tcPr>
          <w:p w14:paraId="653FC803"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xml:space="preserve">GASES DEL CARIBE S.A. EMPRESA DE SERVICIOS PUBLICOS </w:t>
            </w:r>
          </w:p>
        </w:tc>
        <w:tc>
          <w:tcPr>
            <w:tcW w:w="1520" w:type="dxa"/>
            <w:tcBorders>
              <w:top w:val="nil"/>
              <w:left w:val="nil"/>
              <w:bottom w:val="single" w:sz="4" w:space="0" w:color="auto"/>
              <w:right w:val="single" w:sz="4" w:space="0" w:color="auto"/>
            </w:tcBorders>
            <w:shd w:val="clear" w:color="000000" w:fill="F2F2F2"/>
            <w:noWrap/>
            <w:vAlign w:val="center"/>
            <w:hideMark/>
          </w:tcPr>
          <w:p w14:paraId="5AE9179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$ 48.163.714.000</w:t>
            </w:r>
          </w:p>
        </w:tc>
        <w:tc>
          <w:tcPr>
            <w:tcW w:w="1440" w:type="dxa"/>
            <w:tcBorders>
              <w:top w:val="nil"/>
              <w:left w:val="nil"/>
              <w:bottom w:val="single" w:sz="4" w:space="0" w:color="auto"/>
              <w:right w:val="single" w:sz="4" w:space="0" w:color="auto"/>
            </w:tcBorders>
            <w:shd w:val="clear" w:color="000000" w:fill="F2F2F2"/>
            <w:noWrap/>
            <w:vAlign w:val="center"/>
            <w:hideMark/>
          </w:tcPr>
          <w:p w14:paraId="3B3C0441"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$ 1.860.660.419</w:t>
            </w:r>
          </w:p>
        </w:tc>
        <w:tc>
          <w:tcPr>
            <w:tcW w:w="1460" w:type="dxa"/>
            <w:tcBorders>
              <w:top w:val="nil"/>
              <w:left w:val="nil"/>
              <w:bottom w:val="single" w:sz="4" w:space="0" w:color="auto"/>
              <w:right w:val="single" w:sz="4" w:space="0" w:color="auto"/>
            </w:tcBorders>
            <w:shd w:val="clear" w:color="000000" w:fill="F2F2F2"/>
            <w:noWrap/>
            <w:vAlign w:val="center"/>
            <w:hideMark/>
          </w:tcPr>
          <w:p w14:paraId="087C151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$ 50.024.374.419</w:t>
            </w:r>
          </w:p>
        </w:tc>
        <w:tc>
          <w:tcPr>
            <w:tcW w:w="1260" w:type="dxa"/>
            <w:tcBorders>
              <w:top w:val="nil"/>
              <w:left w:val="nil"/>
              <w:bottom w:val="single" w:sz="4" w:space="0" w:color="auto"/>
              <w:right w:val="single" w:sz="4" w:space="0" w:color="auto"/>
            </w:tcBorders>
            <w:shd w:val="clear" w:color="000000" w:fill="F2F2F2"/>
            <w:noWrap/>
            <w:vAlign w:val="center"/>
            <w:hideMark/>
          </w:tcPr>
          <w:p w14:paraId="1B430222"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$ 500.243.744</w:t>
            </w:r>
          </w:p>
        </w:tc>
        <w:tc>
          <w:tcPr>
            <w:tcW w:w="1120" w:type="dxa"/>
            <w:tcBorders>
              <w:top w:val="nil"/>
              <w:left w:val="nil"/>
              <w:bottom w:val="single" w:sz="4" w:space="0" w:color="auto"/>
              <w:right w:val="single" w:sz="4" w:space="0" w:color="auto"/>
            </w:tcBorders>
            <w:shd w:val="clear" w:color="000000" w:fill="F2F2F2"/>
            <w:noWrap/>
            <w:vAlign w:val="center"/>
            <w:hideMark/>
          </w:tcPr>
          <w:p w14:paraId="74B58AD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$ 20.818</w:t>
            </w:r>
          </w:p>
        </w:tc>
        <w:tc>
          <w:tcPr>
            <w:tcW w:w="1260" w:type="dxa"/>
            <w:tcBorders>
              <w:top w:val="nil"/>
              <w:left w:val="nil"/>
              <w:bottom w:val="single" w:sz="4" w:space="0" w:color="auto"/>
              <w:right w:val="single" w:sz="4" w:space="0" w:color="auto"/>
            </w:tcBorders>
            <w:shd w:val="clear" w:color="000000" w:fill="F2F2F2"/>
            <w:noWrap/>
            <w:vAlign w:val="center"/>
            <w:hideMark/>
          </w:tcPr>
          <w:p w14:paraId="739C7F05"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$ 500.264.563</w:t>
            </w:r>
          </w:p>
        </w:tc>
        <w:tc>
          <w:tcPr>
            <w:tcW w:w="1920" w:type="dxa"/>
            <w:tcBorders>
              <w:top w:val="nil"/>
              <w:left w:val="nil"/>
              <w:bottom w:val="single" w:sz="4" w:space="0" w:color="auto"/>
              <w:right w:val="single" w:sz="4" w:space="0" w:color="auto"/>
            </w:tcBorders>
            <w:shd w:val="clear" w:color="000000" w:fill="F2F2F2"/>
            <w:vAlign w:val="center"/>
            <w:hideMark/>
          </w:tcPr>
          <w:p w14:paraId="55C1DB13"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GAS POR REDES</w:t>
            </w:r>
          </w:p>
        </w:tc>
      </w:tr>
      <w:tr w:rsidR="00D705A6" w:rsidRPr="002E0BB9" w14:paraId="6754090A" w14:textId="77777777" w:rsidTr="007D1249">
        <w:trPr>
          <w:trHeight w:val="2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20408443"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99</w:t>
            </w:r>
          </w:p>
        </w:tc>
        <w:tc>
          <w:tcPr>
            <w:tcW w:w="560" w:type="dxa"/>
            <w:tcBorders>
              <w:top w:val="nil"/>
              <w:left w:val="nil"/>
              <w:bottom w:val="single" w:sz="4" w:space="0" w:color="auto"/>
              <w:right w:val="single" w:sz="4" w:space="0" w:color="auto"/>
            </w:tcBorders>
            <w:shd w:val="clear" w:color="000000" w:fill="F2F2F2"/>
            <w:noWrap/>
            <w:vAlign w:val="center"/>
            <w:hideMark/>
          </w:tcPr>
          <w:p w14:paraId="661EC71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1069</w:t>
            </w:r>
          </w:p>
        </w:tc>
        <w:tc>
          <w:tcPr>
            <w:tcW w:w="920" w:type="dxa"/>
            <w:tcBorders>
              <w:top w:val="nil"/>
              <w:left w:val="nil"/>
              <w:bottom w:val="single" w:sz="4" w:space="0" w:color="auto"/>
              <w:right w:val="single" w:sz="4" w:space="0" w:color="auto"/>
            </w:tcBorders>
            <w:shd w:val="clear" w:color="000000" w:fill="F2F2F2"/>
            <w:noWrap/>
            <w:vAlign w:val="center"/>
            <w:hideMark/>
          </w:tcPr>
          <w:p w14:paraId="45C8CBDE"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890105526</w:t>
            </w:r>
          </w:p>
        </w:tc>
        <w:tc>
          <w:tcPr>
            <w:tcW w:w="2180" w:type="dxa"/>
            <w:tcBorders>
              <w:top w:val="nil"/>
              <w:left w:val="nil"/>
              <w:bottom w:val="single" w:sz="4" w:space="0" w:color="auto"/>
              <w:right w:val="single" w:sz="4" w:space="0" w:color="auto"/>
            </w:tcBorders>
            <w:shd w:val="clear" w:color="000000" w:fill="F2F2F2"/>
            <w:vAlign w:val="center"/>
            <w:hideMark/>
          </w:tcPr>
          <w:p w14:paraId="4341EFEC"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PROMIGAS S.A. E.S.P.</w:t>
            </w:r>
          </w:p>
        </w:tc>
        <w:tc>
          <w:tcPr>
            <w:tcW w:w="1520" w:type="dxa"/>
            <w:tcBorders>
              <w:top w:val="nil"/>
              <w:left w:val="nil"/>
              <w:bottom w:val="single" w:sz="4" w:space="0" w:color="auto"/>
              <w:right w:val="single" w:sz="4" w:space="0" w:color="auto"/>
            </w:tcBorders>
            <w:shd w:val="clear" w:color="000000" w:fill="F2F2F2"/>
            <w:noWrap/>
            <w:vAlign w:val="center"/>
            <w:hideMark/>
          </w:tcPr>
          <w:p w14:paraId="539DF64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$ 146.884.793.000</w:t>
            </w:r>
          </w:p>
        </w:tc>
        <w:tc>
          <w:tcPr>
            <w:tcW w:w="1440" w:type="dxa"/>
            <w:tcBorders>
              <w:top w:val="nil"/>
              <w:left w:val="nil"/>
              <w:bottom w:val="single" w:sz="4" w:space="0" w:color="auto"/>
              <w:right w:val="single" w:sz="4" w:space="0" w:color="auto"/>
            </w:tcBorders>
            <w:shd w:val="clear" w:color="000000" w:fill="F2F2F2"/>
            <w:noWrap/>
            <w:vAlign w:val="center"/>
            <w:hideMark/>
          </w:tcPr>
          <w:p w14:paraId="6DFD7E1E"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$ 51.148.442</w:t>
            </w:r>
          </w:p>
        </w:tc>
        <w:tc>
          <w:tcPr>
            <w:tcW w:w="1460" w:type="dxa"/>
            <w:tcBorders>
              <w:top w:val="nil"/>
              <w:left w:val="nil"/>
              <w:bottom w:val="single" w:sz="4" w:space="0" w:color="auto"/>
              <w:right w:val="single" w:sz="4" w:space="0" w:color="auto"/>
            </w:tcBorders>
            <w:shd w:val="clear" w:color="000000" w:fill="F2F2F2"/>
            <w:noWrap/>
            <w:vAlign w:val="center"/>
            <w:hideMark/>
          </w:tcPr>
          <w:p w14:paraId="30DC48EC"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$ 146.935.941.442</w:t>
            </w:r>
          </w:p>
        </w:tc>
        <w:tc>
          <w:tcPr>
            <w:tcW w:w="1260" w:type="dxa"/>
            <w:tcBorders>
              <w:top w:val="nil"/>
              <w:left w:val="nil"/>
              <w:bottom w:val="single" w:sz="4" w:space="0" w:color="auto"/>
              <w:right w:val="single" w:sz="4" w:space="0" w:color="auto"/>
            </w:tcBorders>
            <w:shd w:val="clear" w:color="000000" w:fill="F2F2F2"/>
            <w:noWrap/>
            <w:vAlign w:val="center"/>
            <w:hideMark/>
          </w:tcPr>
          <w:p w14:paraId="0DE661AD"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$ 1.469.359.414</w:t>
            </w:r>
          </w:p>
        </w:tc>
        <w:tc>
          <w:tcPr>
            <w:tcW w:w="1120" w:type="dxa"/>
            <w:tcBorders>
              <w:top w:val="nil"/>
              <w:left w:val="nil"/>
              <w:bottom w:val="single" w:sz="4" w:space="0" w:color="auto"/>
              <w:right w:val="single" w:sz="4" w:space="0" w:color="auto"/>
            </w:tcBorders>
            <w:shd w:val="clear" w:color="000000" w:fill="F2F2F2"/>
            <w:noWrap/>
            <w:vAlign w:val="center"/>
            <w:hideMark/>
          </w:tcPr>
          <w:p w14:paraId="5A3DD87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$ 61.150</w:t>
            </w:r>
          </w:p>
        </w:tc>
        <w:tc>
          <w:tcPr>
            <w:tcW w:w="1260" w:type="dxa"/>
            <w:tcBorders>
              <w:top w:val="nil"/>
              <w:left w:val="nil"/>
              <w:bottom w:val="single" w:sz="4" w:space="0" w:color="auto"/>
              <w:right w:val="single" w:sz="4" w:space="0" w:color="auto"/>
            </w:tcBorders>
            <w:shd w:val="clear" w:color="000000" w:fill="F2F2F2"/>
            <w:noWrap/>
            <w:vAlign w:val="center"/>
            <w:hideMark/>
          </w:tcPr>
          <w:p w14:paraId="11A5B33C"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$ 1.469.420.564</w:t>
            </w:r>
          </w:p>
        </w:tc>
        <w:tc>
          <w:tcPr>
            <w:tcW w:w="1920" w:type="dxa"/>
            <w:tcBorders>
              <w:top w:val="nil"/>
              <w:left w:val="nil"/>
              <w:bottom w:val="single" w:sz="4" w:space="0" w:color="auto"/>
              <w:right w:val="single" w:sz="4" w:space="0" w:color="auto"/>
            </w:tcBorders>
            <w:shd w:val="clear" w:color="000000" w:fill="F2F2F2"/>
            <w:vAlign w:val="center"/>
            <w:hideMark/>
          </w:tcPr>
          <w:p w14:paraId="1CD9B727"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GAS POR REDES</w:t>
            </w:r>
          </w:p>
        </w:tc>
      </w:tr>
      <w:tr w:rsidR="00D705A6" w:rsidRPr="002E0BB9" w14:paraId="593B6A3D" w14:textId="77777777" w:rsidTr="007D1249">
        <w:trPr>
          <w:trHeight w:val="4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1DEBB57A"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100</w:t>
            </w:r>
          </w:p>
        </w:tc>
        <w:tc>
          <w:tcPr>
            <w:tcW w:w="560" w:type="dxa"/>
            <w:tcBorders>
              <w:top w:val="nil"/>
              <w:left w:val="nil"/>
              <w:bottom w:val="single" w:sz="4" w:space="0" w:color="auto"/>
              <w:right w:val="single" w:sz="4" w:space="0" w:color="auto"/>
            </w:tcBorders>
            <w:shd w:val="clear" w:color="000000" w:fill="F2F2F2"/>
            <w:noWrap/>
            <w:vAlign w:val="center"/>
            <w:hideMark/>
          </w:tcPr>
          <w:p w14:paraId="769DD1EC"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524</w:t>
            </w:r>
          </w:p>
        </w:tc>
        <w:tc>
          <w:tcPr>
            <w:tcW w:w="920" w:type="dxa"/>
            <w:tcBorders>
              <w:top w:val="nil"/>
              <w:left w:val="nil"/>
              <w:bottom w:val="single" w:sz="4" w:space="0" w:color="auto"/>
              <w:right w:val="single" w:sz="4" w:space="0" w:color="auto"/>
            </w:tcBorders>
            <w:shd w:val="clear" w:color="000000" w:fill="F2F2F2"/>
            <w:noWrap/>
            <w:vAlign w:val="center"/>
            <w:hideMark/>
          </w:tcPr>
          <w:p w14:paraId="1F8B4B5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890201230</w:t>
            </w:r>
          </w:p>
        </w:tc>
        <w:tc>
          <w:tcPr>
            <w:tcW w:w="2180" w:type="dxa"/>
            <w:tcBorders>
              <w:top w:val="nil"/>
              <w:left w:val="nil"/>
              <w:bottom w:val="single" w:sz="4" w:space="0" w:color="auto"/>
              <w:right w:val="single" w:sz="4" w:space="0" w:color="auto"/>
            </w:tcBorders>
            <w:shd w:val="clear" w:color="000000" w:fill="F2F2F2"/>
            <w:vAlign w:val="center"/>
            <w:hideMark/>
          </w:tcPr>
          <w:p w14:paraId="3DD50A37"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ELECTRIFICADORA DE SANTANDER S.A. E.S.P.</w:t>
            </w:r>
          </w:p>
        </w:tc>
        <w:tc>
          <w:tcPr>
            <w:tcW w:w="1520" w:type="dxa"/>
            <w:tcBorders>
              <w:top w:val="nil"/>
              <w:left w:val="nil"/>
              <w:bottom w:val="single" w:sz="4" w:space="0" w:color="auto"/>
              <w:right w:val="single" w:sz="4" w:space="0" w:color="auto"/>
            </w:tcBorders>
            <w:shd w:val="clear" w:color="000000" w:fill="F2F2F2"/>
            <w:noWrap/>
            <w:vAlign w:val="center"/>
            <w:hideMark/>
          </w:tcPr>
          <w:p w14:paraId="30F5A4C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$ 68.249.850.000</w:t>
            </w:r>
          </w:p>
        </w:tc>
        <w:tc>
          <w:tcPr>
            <w:tcW w:w="1440" w:type="dxa"/>
            <w:tcBorders>
              <w:top w:val="nil"/>
              <w:left w:val="nil"/>
              <w:bottom w:val="single" w:sz="4" w:space="0" w:color="auto"/>
              <w:right w:val="single" w:sz="4" w:space="0" w:color="auto"/>
            </w:tcBorders>
            <w:shd w:val="clear" w:color="000000" w:fill="F2F2F2"/>
            <w:noWrap/>
            <w:vAlign w:val="center"/>
            <w:hideMark/>
          </w:tcPr>
          <w:p w14:paraId="5ABEC34D"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$ 6.452.603.163</w:t>
            </w:r>
          </w:p>
        </w:tc>
        <w:tc>
          <w:tcPr>
            <w:tcW w:w="1460" w:type="dxa"/>
            <w:tcBorders>
              <w:top w:val="nil"/>
              <w:left w:val="nil"/>
              <w:bottom w:val="single" w:sz="4" w:space="0" w:color="auto"/>
              <w:right w:val="single" w:sz="4" w:space="0" w:color="auto"/>
            </w:tcBorders>
            <w:shd w:val="clear" w:color="000000" w:fill="F2F2F2"/>
            <w:noWrap/>
            <w:vAlign w:val="center"/>
            <w:hideMark/>
          </w:tcPr>
          <w:p w14:paraId="6357417A"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$ 74.702.453.163</w:t>
            </w:r>
          </w:p>
        </w:tc>
        <w:tc>
          <w:tcPr>
            <w:tcW w:w="1260" w:type="dxa"/>
            <w:tcBorders>
              <w:top w:val="nil"/>
              <w:left w:val="nil"/>
              <w:bottom w:val="single" w:sz="4" w:space="0" w:color="auto"/>
              <w:right w:val="single" w:sz="4" w:space="0" w:color="auto"/>
            </w:tcBorders>
            <w:shd w:val="clear" w:color="000000" w:fill="F2F2F2"/>
            <w:noWrap/>
            <w:vAlign w:val="center"/>
            <w:hideMark/>
          </w:tcPr>
          <w:p w14:paraId="2577E3BA"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$ 747.024.532</w:t>
            </w:r>
          </w:p>
        </w:tc>
        <w:tc>
          <w:tcPr>
            <w:tcW w:w="1120" w:type="dxa"/>
            <w:tcBorders>
              <w:top w:val="nil"/>
              <w:left w:val="nil"/>
              <w:bottom w:val="single" w:sz="4" w:space="0" w:color="auto"/>
              <w:right w:val="single" w:sz="4" w:space="0" w:color="auto"/>
            </w:tcBorders>
            <w:shd w:val="clear" w:color="000000" w:fill="F2F2F2"/>
            <w:noWrap/>
            <w:vAlign w:val="center"/>
            <w:hideMark/>
          </w:tcPr>
          <w:p w14:paraId="03681A76"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$ 31.089</w:t>
            </w:r>
          </w:p>
        </w:tc>
        <w:tc>
          <w:tcPr>
            <w:tcW w:w="1260" w:type="dxa"/>
            <w:tcBorders>
              <w:top w:val="nil"/>
              <w:left w:val="nil"/>
              <w:bottom w:val="single" w:sz="4" w:space="0" w:color="auto"/>
              <w:right w:val="single" w:sz="4" w:space="0" w:color="auto"/>
            </w:tcBorders>
            <w:shd w:val="clear" w:color="000000" w:fill="F2F2F2"/>
            <w:noWrap/>
            <w:vAlign w:val="center"/>
            <w:hideMark/>
          </w:tcPr>
          <w:p w14:paraId="4BCBC3B5"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$ 747.055.620</w:t>
            </w:r>
          </w:p>
        </w:tc>
        <w:tc>
          <w:tcPr>
            <w:tcW w:w="1920" w:type="dxa"/>
            <w:tcBorders>
              <w:top w:val="nil"/>
              <w:left w:val="nil"/>
              <w:bottom w:val="single" w:sz="4" w:space="0" w:color="auto"/>
              <w:right w:val="single" w:sz="4" w:space="0" w:color="auto"/>
            </w:tcBorders>
            <w:shd w:val="clear" w:color="000000" w:fill="F2F2F2"/>
            <w:vAlign w:val="center"/>
            <w:hideMark/>
          </w:tcPr>
          <w:p w14:paraId="631FE259"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w:t>
            </w:r>
          </w:p>
        </w:tc>
      </w:tr>
      <w:tr w:rsidR="00D705A6" w:rsidRPr="002E0BB9" w14:paraId="0309FC1E" w14:textId="77777777" w:rsidTr="007D1249">
        <w:trPr>
          <w:trHeight w:val="4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5767944E"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101</w:t>
            </w:r>
          </w:p>
        </w:tc>
        <w:tc>
          <w:tcPr>
            <w:tcW w:w="560" w:type="dxa"/>
            <w:tcBorders>
              <w:top w:val="nil"/>
              <w:left w:val="nil"/>
              <w:bottom w:val="single" w:sz="4" w:space="0" w:color="auto"/>
              <w:right w:val="single" w:sz="4" w:space="0" w:color="auto"/>
            </w:tcBorders>
            <w:shd w:val="clear" w:color="000000" w:fill="F2F2F2"/>
            <w:noWrap/>
            <w:vAlign w:val="center"/>
            <w:hideMark/>
          </w:tcPr>
          <w:p w14:paraId="3BB14EA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526</w:t>
            </w:r>
          </w:p>
        </w:tc>
        <w:tc>
          <w:tcPr>
            <w:tcW w:w="920" w:type="dxa"/>
            <w:tcBorders>
              <w:top w:val="nil"/>
              <w:left w:val="nil"/>
              <w:bottom w:val="single" w:sz="4" w:space="0" w:color="auto"/>
              <w:right w:val="single" w:sz="4" w:space="0" w:color="auto"/>
            </w:tcBorders>
            <w:shd w:val="clear" w:color="000000" w:fill="F2F2F2"/>
            <w:noWrap/>
            <w:vAlign w:val="center"/>
            <w:hideMark/>
          </w:tcPr>
          <w:p w14:paraId="1C22253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890205952</w:t>
            </w:r>
          </w:p>
        </w:tc>
        <w:tc>
          <w:tcPr>
            <w:tcW w:w="2180" w:type="dxa"/>
            <w:tcBorders>
              <w:top w:val="nil"/>
              <w:left w:val="nil"/>
              <w:bottom w:val="single" w:sz="4" w:space="0" w:color="auto"/>
              <w:right w:val="single" w:sz="4" w:space="0" w:color="auto"/>
            </w:tcBorders>
            <w:shd w:val="clear" w:color="000000" w:fill="F2F2F2"/>
            <w:vAlign w:val="center"/>
            <w:hideMark/>
          </w:tcPr>
          <w:p w14:paraId="64FBA28C"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GAS NATURAL DEL ORIENTE SA ESP</w:t>
            </w:r>
          </w:p>
        </w:tc>
        <w:tc>
          <w:tcPr>
            <w:tcW w:w="1520" w:type="dxa"/>
            <w:tcBorders>
              <w:top w:val="nil"/>
              <w:left w:val="nil"/>
              <w:bottom w:val="single" w:sz="4" w:space="0" w:color="auto"/>
              <w:right w:val="single" w:sz="4" w:space="0" w:color="auto"/>
            </w:tcBorders>
            <w:shd w:val="clear" w:color="000000" w:fill="F2F2F2"/>
            <w:noWrap/>
            <w:vAlign w:val="center"/>
            <w:hideMark/>
          </w:tcPr>
          <w:p w14:paraId="2497CBB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$ 3.516.202.000</w:t>
            </w:r>
          </w:p>
        </w:tc>
        <w:tc>
          <w:tcPr>
            <w:tcW w:w="1440" w:type="dxa"/>
            <w:tcBorders>
              <w:top w:val="nil"/>
              <w:left w:val="nil"/>
              <w:bottom w:val="single" w:sz="4" w:space="0" w:color="auto"/>
              <w:right w:val="single" w:sz="4" w:space="0" w:color="auto"/>
            </w:tcBorders>
            <w:shd w:val="clear" w:color="000000" w:fill="F2F2F2"/>
            <w:noWrap/>
            <w:vAlign w:val="center"/>
            <w:hideMark/>
          </w:tcPr>
          <w:p w14:paraId="6E6E48A6"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$ 1.100.607.680</w:t>
            </w:r>
          </w:p>
        </w:tc>
        <w:tc>
          <w:tcPr>
            <w:tcW w:w="1460" w:type="dxa"/>
            <w:tcBorders>
              <w:top w:val="nil"/>
              <w:left w:val="nil"/>
              <w:bottom w:val="single" w:sz="4" w:space="0" w:color="auto"/>
              <w:right w:val="single" w:sz="4" w:space="0" w:color="auto"/>
            </w:tcBorders>
            <w:shd w:val="clear" w:color="000000" w:fill="F2F2F2"/>
            <w:noWrap/>
            <w:vAlign w:val="center"/>
            <w:hideMark/>
          </w:tcPr>
          <w:p w14:paraId="17E5F21B"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$ 4.616.809.680</w:t>
            </w:r>
          </w:p>
        </w:tc>
        <w:tc>
          <w:tcPr>
            <w:tcW w:w="1260" w:type="dxa"/>
            <w:tcBorders>
              <w:top w:val="nil"/>
              <w:left w:val="nil"/>
              <w:bottom w:val="single" w:sz="4" w:space="0" w:color="auto"/>
              <w:right w:val="single" w:sz="4" w:space="0" w:color="auto"/>
            </w:tcBorders>
            <w:shd w:val="clear" w:color="000000" w:fill="F2F2F2"/>
            <w:noWrap/>
            <w:vAlign w:val="center"/>
            <w:hideMark/>
          </w:tcPr>
          <w:p w14:paraId="6B85BB91"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$ 46.168.097</w:t>
            </w:r>
          </w:p>
        </w:tc>
        <w:tc>
          <w:tcPr>
            <w:tcW w:w="1120" w:type="dxa"/>
            <w:tcBorders>
              <w:top w:val="nil"/>
              <w:left w:val="nil"/>
              <w:bottom w:val="single" w:sz="4" w:space="0" w:color="auto"/>
              <w:right w:val="single" w:sz="4" w:space="0" w:color="auto"/>
            </w:tcBorders>
            <w:shd w:val="clear" w:color="000000" w:fill="F2F2F2"/>
            <w:noWrap/>
            <w:vAlign w:val="center"/>
            <w:hideMark/>
          </w:tcPr>
          <w:p w14:paraId="047987A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$ 1.921</w:t>
            </w:r>
          </w:p>
        </w:tc>
        <w:tc>
          <w:tcPr>
            <w:tcW w:w="1260" w:type="dxa"/>
            <w:tcBorders>
              <w:top w:val="nil"/>
              <w:left w:val="nil"/>
              <w:bottom w:val="single" w:sz="4" w:space="0" w:color="auto"/>
              <w:right w:val="single" w:sz="4" w:space="0" w:color="auto"/>
            </w:tcBorders>
            <w:shd w:val="clear" w:color="000000" w:fill="F2F2F2"/>
            <w:noWrap/>
            <w:vAlign w:val="center"/>
            <w:hideMark/>
          </w:tcPr>
          <w:p w14:paraId="455549A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$ 46.170.018</w:t>
            </w:r>
          </w:p>
        </w:tc>
        <w:tc>
          <w:tcPr>
            <w:tcW w:w="1920" w:type="dxa"/>
            <w:tcBorders>
              <w:top w:val="nil"/>
              <w:left w:val="nil"/>
              <w:bottom w:val="single" w:sz="4" w:space="0" w:color="auto"/>
              <w:right w:val="single" w:sz="4" w:space="0" w:color="auto"/>
            </w:tcBorders>
            <w:shd w:val="clear" w:color="000000" w:fill="F2F2F2"/>
            <w:vAlign w:val="center"/>
            <w:hideMark/>
          </w:tcPr>
          <w:p w14:paraId="73F7C33D"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GAS POR REDES</w:t>
            </w:r>
          </w:p>
        </w:tc>
      </w:tr>
      <w:tr w:rsidR="00D705A6" w:rsidRPr="002E0BB9" w14:paraId="3DF0033D" w14:textId="77777777" w:rsidTr="007D1249">
        <w:trPr>
          <w:trHeight w:val="4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3119AF3D"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102</w:t>
            </w:r>
          </w:p>
        </w:tc>
        <w:tc>
          <w:tcPr>
            <w:tcW w:w="560" w:type="dxa"/>
            <w:tcBorders>
              <w:top w:val="nil"/>
              <w:left w:val="nil"/>
              <w:bottom w:val="single" w:sz="4" w:space="0" w:color="auto"/>
              <w:right w:val="single" w:sz="4" w:space="0" w:color="auto"/>
            </w:tcBorders>
            <w:shd w:val="clear" w:color="000000" w:fill="F2F2F2"/>
            <w:noWrap/>
            <w:vAlign w:val="center"/>
            <w:hideMark/>
          </w:tcPr>
          <w:p w14:paraId="416494AC"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1173</w:t>
            </w:r>
          </w:p>
        </w:tc>
        <w:tc>
          <w:tcPr>
            <w:tcW w:w="920" w:type="dxa"/>
            <w:tcBorders>
              <w:top w:val="nil"/>
              <w:left w:val="nil"/>
              <w:bottom w:val="single" w:sz="4" w:space="0" w:color="auto"/>
              <w:right w:val="single" w:sz="4" w:space="0" w:color="auto"/>
            </w:tcBorders>
            <w:shd w:val="clear" w:color="000000" w:fill="F2F2F2"/>
            <w:noWrap/>
            <w:vAlign w:val="center"/>
            <w:hideMark/>
          </w:tcPr>
          <w:p w14:paraId="4AA86F56"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890208316</w:t>
            </w:r>
          </w:p>
        </w:tc>
        <w:tc>
          <w:tcPr>
            <w:tcW w:w="2180" w:type="dxa"/>
            <w:tcBorders>
              <w:top w:val="nil"/>
              <w:left w:val="nil"/>
              <w:bottom w:val="single" w:sz="4" w:space="0" w:color="auto"/>
              <w:right w:val="single" w:sz="4" w:space="0" w:color="auto"/>
            </w:tcBorders>
            <w:shd w:val="clear" w:color="000000" w:fill="F2F2F2"/>
            <w:vAlign w:val="center"/>
            <w:hideMark/>
          </w:tcPr>
          <w:p w14:paraId="3AC422D0"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xml:space="preserve">METROGAS DE COLOMBIA S.A. E.S.P. </w:t>
            </w:r>
          </w:p>
        </w:tc>
        <w:tc>
          <w:tcPr>
            <w:tcW w:w="1520" w:type="dxa"/>
            <w:tcBorders>
              <w:top w:val="nil"/>
              <w:left w:val="nil"/>
              <w:bottom w:val="single" w:sz="4" w:space="0" w:color="auto"/>
              <w:right w:val="single" w:sz="4" w:space="0" w:color="auto"/>
            </w:tcBorders>
            <w:shd w:val="clear" w:color="000000" w:fill="F2F2F2"/>
            <w:noWrap/>
            <w:vAlign w:val="center"/>
            <w:hideMark/>
          </w:tcPr>
          <w:p w14:paraId="117866F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$ 3.789.773.000</w:t>
            </w:r>
          </w:p>
        </w:tc>
        <w:tc>
          <w:tcPr>
            <w:tcW w:w="1440" w:type="dxa"/>
            <w:tcBorders>
              <w:top w:val="nil"/>
              <w:left w:val="nil"/>
              <w:bottom w:val="single" w:sz="4" w:space="0" w:color="auto"/>
              <w:right w:val="single" w:sz="4" w:space="0" w:color="auto"/>
            </w:tcBorders>
            <w:shd w:val="clear" w:color="000000" w:fill="F2F2F2"/>
            <w:noWrap/>
            <w:vAlign w:val="center"/>
            <w:hideMark/>
          </w:tcPr>
          <w:p w14:paraId="53131707"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$ 403.608.519</w:t>
            </w:r>
          </w:p>
        </w:tc>
        <w:tc>
          <w:tcPr>
            <w:tcW w:w="1460" w:type="dxa"/>
            <w:tcBorders>
              <w:top w:val="nil"/>
              <w:left w:val="nil"/>
              <w:bottom w:val="single" w:sz="4" w:space="0" w:color="auto"/>
              <w:right w:val="single" w:sz="4" w:space="0" w:color="auto"/>
            </w:tcBorders>
            <w:shd w:val="clear" w:color="000000" w:fill="F2F2F2"/>
            <w:noWrap/>
            <w:vAlign w:val="center"/>
            <w:hideMark/>
          </w:tcPr>
          <w:p w14:paraId="1E6746B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$ 4.193.381.519</w:t>
            </w:r>
          </w:p>
        </w:tc>
        <w:tc>
          <w:tcPr>
            <w:tcW w:w="1260" w:type="dxa"/>
            <w:tcBorders>
              <w:top w:val="nil"/>
              <w:left w:val="nil"/>
              <w:bottom w:val="single" w:sz="4" w:space="0" w:color="auto"/>
              <w:right w:val="single" w:sz="4" w:space="0" w:color="auto"/>
            </w:tcBorders>
            <w:shd w:val="clear" w:color="000000" w:fill="F2F2F2"/>
            <w:noWrap/>
            <w:vAlign w:val="center"/>
            <w:hideMark/>
          </w:tcPr>
          <w:p w14:paraId="7B103517"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$ 41.933.815</w:t>
            </w:r>
          </w:p>
        </w:tc>
        <w:tc>
          <w:tcPr>
            <w:tcW w:w="1120" w:type="dxa"/>
            <w:tcBorders>
              <w:top w:val="nil"/>
              <w:left w:val="nil"/>
              <w:bottom w:val="single" w:sz="4" w:space="0" w:color="auto"/>
              <w:right w:val="single" w:sz="4" w:space="0" w:color="auto"/>
            </w:tcBorders>
            <w:shd w:val="clear" w:color="000000" w:fill="F2F2F2"/>
            <w:noWrap/>
            <w:vAlign w:val="center"/>
            <w:hideMark/>
          </w:tcPr>
          <w:p w14:paraId="37D19B0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$ 1.745</w:t>
            </w:r>
          </w:p>
        </w:tc>
        <w:tc>
          <w:tcPr>
            <w:tcW w:w="1260" w:type="dxa"/>
            <w:tcBorders>
              <w:top w:val="nil"/>
              <w:left w:val="nil"/>
              <w:bottom w:val="single" w:sz="4" w:space="0" w:color="auto"/>
              <w:right w:val="single" w:sz="4" w:space="0" w:color="auto"/>
            </w:tcBorders>
            <w:shd w:val="clear" w:color="000000" w:fill="F2F2F2"/>
            <w:noWrap/>
            <w:vAlign w:val="center"/>
            <w:hideMark/>
          </w:tcPr>
          <w:p w14:paraId="7F3650E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$ 41.935.560</w:t>
            </w:r>
          </w:p>
        </w:tc>
        <w:tc>
          <w:tcPr>
            <w:tcW w:w="1920" w:type="dxa"/>
            <w:tcBorders>
              <w:top w:val="nil"/>
              <w:left w:val="nil"/>
              <w:bottom w:val="single" w:sz="4" w:space="0" w:color="auto"/>
              <w:right w:val="single" w:sz="4" w:space="0" w:color="auto"/>
            </w:tcBorders>
            <w:shd w:val="clear" w:color="000000" w:fill="F2F2F2"/>
            <w:vAlign w:val="center"/>
            <w:hideMark/>
          </w:tcPr>
          <w:p w14:paraId="61CAD8E7"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GAS POR REDES</w:t>
            </w:r>
          </w:p>
        </w:tc>
      </w:tr>
      <w:tr w:rsidR="00D705A6" w:rsidRPr="002E0BB9" w14:paraId="66B25607" w14:textId="77777777" w:rsidTr="007D1249">
        <w:trPr>
          <w:trHeight w:val="6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3BB91586"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103</w:t>
            </w:r>
          </w:p>
        </w:tc>
        <w:tc>
          <w:tcPr>
            <w:tcW w:w="560" w:type="dxa"/>
            <w:tcBorders>
              <w:top w:val="nil"/>
              <w:left w:val="nil"/>
              <w:bottom w:val="single" w:sz="4" w:space="0" w:color="auto"/>
              <w:right w:val="single" w:sz="4" w:space="0" w:color="auto"/>
            </w:tcBorders>
            <w:shd w:val="clear" w:color="000000" w:fill="F2F2F2"/>
            <w:noWrap/>
            <w:vAlign w:val="center"/>
            <w:hideMark/>
          </w:tcPr>
          <w:p w14:paraId="467B91C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2438</w:t>
            </w:r>
          </w:p>
        </w:tc>
        <w:tc>
          <w:tcPr>
            <w:tcW w:w="920" w:type="dxa"/>
            <w:tcBorders>
              <w:top w:val="nil"/>
              <w:left w:val="nil"/>
              <w:bottom w:val="single" w:sz="4" w:space="0" w:color="auto"/>
              <w:right w:val="single" w:sz="4" w:space="0" w:color="auto"/>
            </w:tcBorders>
            <w:shd w:val="clear" w:color="000000" w:fill="F2F2F2"/>
            <w:noWrap/>
            <w:vAlign w:val="center"/>
            <w:hideMark/>
          </w:tcPr>
          <w:p w14:paraId="0D93EF1D"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890399003</w:t>
            </w:r>
          </w:p>
        </w:tc>
        <w:tc>
          <w:tcPr>
            <w:tcW w:w="2180" w:type="dxa"/>
            <w:tcBorders>
              <w:top w:val="nil"/>
              <w:left w:val="nil"/>
              <w:bottom w:val="single" w:sz="4" w:space="0" w:color="auto"/>
              <w:right w:val="single" w:sz="4" w:space="0" w:color="auto"/>
            </w:tcBorders>
            <w:shd w:val="clear" w:color="000000" w:fill="F2F2F2"/>
            <w:vAlign w:val="center"/>
            <w:hideMark/>
          </w:tcPr>
          <w:p w14:paraId="7F48D604" w14:textId="47718B99"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EMPRESAS MUNICIPALES DE CALI   E.I.C.E</w:t>
            </w:r>
            <w:r w:rsidR="005D7AAA" w:rsidRPr="002E0BB9">
              <w:rPr>
                <w:rFonts w:ascii="Arial Narrow" w:hAnsi="Arial Narrow" w:cs="Arial"/>
                <w:spacing w:val="0"/>
                <w:sz w:val="16"/>
                <w:szCs w:val="16"/>
                <w:lang w:val="es-MX" w:eastAsia="es-MX"/>
              </w:rPr>
              <w:t>.</w:t>
            </w:r>
            <w:r w:rsidRPr="002E0BB9">
              <w:rPr>
                <w:rFonts w:ascii="Arial Narrow" w:hAnsi="Arial Narrow" w:cs="Arial"/>
                <w:spacing w:val="0"/>
                <w:sz w:val="16"/>
                <w:szCs w:val="16"/>
                <w:lang w:val="es-MX" w:eastAsia="es-MX"/>
              </w:rPr>
              <w:t xml:space="preserve"> E.S.P</w:t>
            </w:r>
            <w:r w:rsidR="00A425B8" w:rsidRPr="002E0BB9">
              <w:rPr>
                <w:rFonts w:ascii="Arial Narrow" w:hAnsi="Arial Narrow" w:cs="Arial"/>
                <w:spacing w:val="0"/>
                <w:sz w:val="16"/>
                <w:szCs w:val="16"/>
                <w:lang w:val="es-MX" w:eastAsia="es-MX"/>
              </w:rPr>
              <w:t>.</w:t>
            </w:r>
          </w:p>
        </w:tc>
        <w:tc>
          <w:tcPr>
            <w:tcW w:w="1520" w:type="dxa"/>
            <w:tcBorders>
              <w:top w:val="nil"/>
              <w:left w:val="nil"/>
              <w:bottom w:val="single" w:sz="4" w:space="0" w:color="auto"/>
              <w:right w:val="single" w:sz="4" w:space="0" w:color="auto"/>
            </w:tcBorders>
            <w:shd w:val="clear" w:color="000000" w:fill="F2F2F2"/>
            <w:noWrap/>
            <w:vAlign w:val="center"/>
            <w:hideMark/>
          </w:tcPr>
          <w:p w14:paraId="2847574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$ 72.580.684.000</w:t>
            </w:r>
          </w:p>
        </w:tc>
        <w:tc>
          <w:tcPr>
            <w:tcW w:w="1440" w:type="dxa"/>
            <w:tcBorders>
              <w:top w:val="nil"/>
              <w:left w:val="nil"/>
              <w:bottom w:val="single" w:sz="4" w:space="0" w:color="auto"/>
              <w:right w:val="single" w:sz="4" w:space="0" w:color="auto"/>
            </w:tcBorders>
            <w:shd w:val="clear" w:color="000000" w:fill="F2F2F2"/>
            <w:noWrap/>
            <w:vAlign w:val="center"/>
            <w:hideMark/>
          </w:tcPr>
          <w:p w14:paraId="53EC3A8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$ 10.497.100.003</w:t>
            </w:r>
          </w:p>
        </w:tc>
        <w:tc>
          <w:tcPr>
            <w:tcW w:w="1460" w:type="dxa"/>
            <w:tcBorders>
              <w:top w:val="nil"/>
              <w:left w:val="nil"/>
              <w:bottom w:val="single" w:sz="4" w:space="0" w:color="auto"/>
              <w:right w:val="single" w:sz="4" w:space="0" w:color="auto"/>
            </w:tcBorders>
            <w:shd w:val="clear" w:color="000000" w:fill="F2F2F2"/>
            <w:noWrap/>
            <w:vAlign w:val="center"/>
            <w:hideMark/>
          </w:tcPr>
          <w:p w14:paraId="288D1612"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$ 83.077.784.003</w:t>
            </w:r>
          </w:p>
        </w:tc>
        <w:tc>
          <w:tcPr>
            <w:tcW w:w="1260" w:type="dxa"/>
            <w:tcBorders>
              <w:top w:val="nil"/>
              <w:left w:val="nil"/>
              <w:bottom w:val="single" w:sz="4" w:space="0" w:color="auto"/>
              <w:right w:val="single" w:sz="4" w:space="0" w:color="auto"/>
            </w:tcBorders>
            <w:shd w:val="clear" w:color="000000" w:fill="F2F2F2"/>
            <w:noWrap/>
            <w:vAlign w:val="center"/>
            <w:hideMark/>
          </w:tcPr>
          <w:p w14:paraId="479474A6"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$ 830.777.840</w:t>
            </w:r>
          </w:p>
        </w:tc>
        <w:tc>
          <w:tcPr>
            <w:tcW w:w="1120" w:type="dxa"/>
            <w:tcBorders>
              <w:top w:val="nil"/>
              <w:left w:val="nil"/>
              <w:bottom w:val="single" w:sz="4" w:space="0" w:color="auto"/>
              <w:right w:val="single" w:sz="4" w:space="0" w:color="auto"/>
            </w:tcBorders>
            <w:shd w:val="clear" w:color="000000" w:fill="F2F2F2"/>
            <w:noWrap/>
            <w:vAlign w:val="center"/>
            <w:hideMark/>
          </w:tcPr>
          <w:p w14:paraId="254BE26B"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$ 34.574</w:t>
            </w:r>
          </w:p>
        </w:tc>
        <w:tc>
          <w:tcPr>
            <w:tcW w:w="1260" w:type="dxa"/>
            <w:tcBorders>
              <w:top w:val="nil"/>
              <w:left w:val="nil"/>
              <w:bottom w:val="single" w:sz="4" w:space="0" w:color="auto"/>
              <w:right w:val="single" w:sz="4" w:space="0" w:color="auto"/>
            </w:tcBorders>
            <w:shd w:val="clear" w:color="000000" w:fill="F2F2F2"/>
            <w:noWrap/>
            <w:vAlign w:val="center"/>
            <w:hideMark/>
          </w:tcPr>
          <w:p w14:paraId="6B39DBBD"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$ 830.812.414</w:t>
            </w:r>
          </w:p>
        </w:tc>
        <w:tc>
          <w:tcPr>
            <w:tcW w:w="1920" w:type="dxa"/>
            <w:tcBorders>
              <w:top w:val="nil"/>
              <w:left w:val="nil"/>
              <w:bottom w:val="single" w:sz="4" w:space="0" w:color="auto"/>
              <w:right w:val="single" w:sz="4" w:space="0" w:color="auto"/>
            </w:tcBorders>
            <w:shd w:val="clear" w:color="000000" w:fill="F2F2F2"/>
            <w:vAlign w:val="center"/>
            <w:hideMark/>
          </w:tcPr>
          <w:p w14:paraId="25AFDCB2"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 - ACUEDUCTO - ALCANTARILLADO</w:t>
            </w:r>
          </w:p>
        </w:tc>
      </w:tr>
      <w:tr w:rsidR="00D705A6" w:rsidRPr="002E0BB9" w14:paraId="3FE12E91" w14:textId="77777777" w:rsidTr="007D1249">
        <w:trPr>
          <w:trHeight w:val="6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629B41AD"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104</w:t>
            </w:r>
          </w:p>
        </w:tc>
        <w:tc>
          <w:tcPr>
            <w:tcW w:w="560" w:type="dxa"/>
            <w:tcBorders>
              <w:top w:val="nil"/>
              <w:left w:val="nil"/>
              <w:bottom w:val="single" w:sz="4" w:space="0" w:color="auto"/>
              <w:right w:val="single" w:sz="4" w:space="0" w:color="auto"/>
            </w:tcBorders>
            <w:shd w:val="clear" w:color="000000" w:fill="F2F2F2"/>
            <w:noWrap/>
            <w:vAlign w:val="center"/>
            <w:hideMark/>
          </w:tcPr>
          <w:p w14:paraId="793382B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498</w:t>
            </w:r>
          </w:p>
        </w:tc>
        <w:tc>
          <w:tcPr>
            <w:tcW w:w="920" w:type="dxa"/>
            <w:tcBorders>
              <w:top w:val="nil"/>
              <w:left w:val="nil"/>
              <w:bottom w:val="single" w:sz="4" w:space="0" w:color="auto"/>
              <w:right w:val="single" w:sz="4" w:space="0" w:color="auto"/>
            </w:tcBorders>
            <w:shd w:val="clear" w:color="000000" w:fill="F2F2F2"/>
            <w:noWrap/>
            <w:vAlign w:val="center"/>
            <w:hideMark/>
          </w:tcPr>
          <w:p w14:paraId="482A3311"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890400869</w:t>
            </w:r>
          </w:p>
        </w:tc>
        <w:tc>
          <w:tcPr>
            <w:tcW w:w="2180" w:type="dxa"/>
            <w:tcBorders>
              <w:top w:val="nil"/>
              <w:left w:val="nil"/>
              <w:bottom w:val="single" w:sz="4" w:space="0" w:color="auto"/>
              <w:right w:val="single" w:sz="4" w:space="0" w:color="auto"/>
            </w:tcBorders>
            <w:shd w:val="clear" w:color="000000" w:fill="F2F2F2"/>
            <w:vAlign w:val="center"/>
            <w:hideMark/>
          </w:tcPr>
          <w:p w14:paraId="15F600CC"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xml:space="preserve">SURTIDORA DE GAS DEL CARIBE S.A. EMPRESA DE SERVICIOS PUBLICOS </w:t>
            </w:r>
          </w:p>
        </w:tc>
        <w:tc>
          <w:tcPr>
            <w:tcW w:w="1520" w:type="dxa"/>
            <w:tcBorders>
              <w:top w:val="nil"/>
              <w:left w:val="nil"/>
              <w:bottom w:val="single" w:sz="4" w:space="0" w:color="auto"/>
              <w:right w:val="single" w:sz="4" w:space="0" w:color="auto"/>
            </w:tcBorders>
            <w:shd w:val="clear" w:color="000000" w:fill="F2F2F2"/>
            <w:noWrap/>
            <w:vAlign w:val="center"/>
            <w:hideMark/>
          </w:tcPr>
          <w:p w14:paraId="198961FC"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$ 38.407.872.000</w:t>
            </w:r>
          </w:p>
        </w:tc>
        <w:tc>
          <w:tcPr>
            <w:tcW w:w="1440" w:type="dxa"/>
            <w:tcBorders>
              <w:top w:val="nil"/>
              <w:left w:val="nil"/>
              <w:bottom w:val="single" w:sz="4" w:space="0" w:color="auto"/>
              <w:right w:val="single" w:sz="4" w:space="0" w:color="auto"/>
            </w:tcBorders>
            <w:shd w:val="clear" w:color="000000" w:fill="F2F2F2"/>
            <w:noWrap/>
            <w:vAlign w:val="center"/>
            <w:hideMark/>
          </w:tcPr>
          <w:p w14:paraId="4680CC26"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$ 6.292.574.235</w:t>
            </w:r>
          </w:p>
        </w:tc>
        <w:tc>
          <w:tcPr>
            <w:tcW w:w="1460" w:type="dxa"/>
            <w:tcBorders>
              <w:top w:val="nil"/>
              <w:left w:val="nil"/>
              <w:bottom w:val="single" w:sz="4" w:space="0" w:color="auto"/>
              <w:right w:val="single" w:sz="4" w:space="0" w:color="auto"/>
            </w:tcBorders>
            <w:shd w:val="clear" w:color="000000" w:fill="F2F2F2"/>
            <w:noWrap/>
            <w:vAlign w:val="center"/>
            <w:hideMark/>
          </w:tcPr>
          <w:p w14:paraId="5624B235"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$ 44.700.446.235</w:t>
            </w:r>
          </w:p>
        </w:tc>
        <w:tc>
          <w:tcPr>
            <w:tcW w:w="1260" w:type="dxa"/>
            <w:tcBorders>
              <w:top w:val="nil"/>
              <w:left w:val="nil"/>
              <w:bottom w:val="single" w:sz="4" w:space="0" w:color="auto"/>
              <w:right w:val="single" w:sz="4" w:space="0" w:color="auto"/>
            </w:tcBorders>
            <w:shd w:val="clear" w:color="000000" w:fill="F2F2F2"/>
            <w:noWrap/>
            <w:vAlign w:val="center"/>
            <w:hideMark/>
          </w:tcPr>
          <w:p w14:paraId="58D58461"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$ 447.004.462</w:t>
            </w:r>
          </w:p>
        </w:tc>
        <w:tc>
          <w:tcPr>
            <w:tcW w:w="1120" w:type="dxa"/>
            <w:tcBorders>
              <w:top w:val="nil"/>
              <w:left w:val="nil"/>
              <w:bottom w:val="single" w:sz="4" w:space="0" w:color="auto"/>
              <w:right w:val="single" w:sz="4" w:space="0" w:color="auto"/>
            </w:tcBorders>
            <w:shd w:val="clear" w:color="000000" w:fill="F2F2F2"/>
            <w:noWrap/>
            <w:vAlign w:val="center"/>
            <w:hideMark/>
          </w:tcPr>
          <w:p w14:paraId="1244510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$ 18.603</w:t>
            </w:r>
          </w:p>
        </w:tc>
        <w:tc>
          <w:tcPr>
            <w:tcW w:w="1260" w:type="dxa"/>
            <w:tcBorders>
              <w:top w:val="nil"/>
              <w:left w:val="nil"/>
              <w:bottom w:val="single" w:sz="4" w:space="0" w:color="auto"/>
              <w:right w:val="single" w:sz="4" w:space="0" w:color="auto"/>
            </w:tcBorders>
            <w:shd w:val="clear" w:color="000000" w:fill="F2F2F2"/>
            <w:noWrap/>
            <w:vAlign w:val="center"/>
            <w:hideMark/>
          </w:tcPr>
          <w:p w14:paraId="61E4966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$ 447.023.065</w:t>
            </w:r>
          </w:p>
        </w:tc>
        <w:tc>
          <w:tcPr>
            <w:tcW w:w="1920" w:type="dxa"/>
            <w:tcBorders>
              <w:top w:val="nil"/>
              <w:left w:val="nil"/>
              <w:bottom w:val="single" w:sz="4" w:space="0" w:color="auto"/>
              <w:right w:val="single" w:sz="4" w:space="0" w:color="auto"/>
            </w:tcBorders>
            <w:shd w:val="clear" w:color="000000" w:fill="F2F2F2"/>
            <w:vAlign w:val="center"/>
            <w:hideMark/>
          </w:tcPr>
          <w:p w14:paraId="196B2E70"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GAS POR REDES</w:t>
            </w:r>
          </w:p>
        </w:tc>
      </w:tr>
      <w:tr w:rsidR="00D705A6" w:rsidRPr="002E0BB9" w14:paraId="24F582D8" w14:textId="77777777" w:rsidTr="007D1249">
        <w:trPr>
          <w:trHeight w:val="6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3CC44D23"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105</w:t>
            </w:r>
          </w:p>
        </w:tc>
        <w:tc>
          <w:tcPr>
            <w:tcW w:w="560" w:type="dxa"/>
            <w:tcBorders>
              <w:top w:val="nil"/>
              <w:left w:val="nil"/>
              <w:bottom w:val="single" w:sz="4" w:space="0" w:color="auto"/>
              <w:right w:val="single" w:sz="4" w:space="0" w:color="auto"/>
            </w:tcBorders>
            <w:shd w:val="clear" w:color="000000" w:fill="F2F2F2"/>
            <w:noWrap/>
            <w:vAlign w:val="center"/>
            <w:hideMark/>
          </w:tcPr>
          <w:p w14:paraId="51D0171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604</w:t>
            </w:r>
          </w:p>
        </w:tc>
        <w:tc>
          <w:tcPr>
            <w:tcW w:w="920" w:type="dxa"/>
            <w:tcBorders>
              <w:top w:val="nil"/>
              <w:left w:val="nil"/>
              <w:bottom w:val="single" w:sz="4" w:space="0" w:color="auto"/>
              <w:right w:val="single" w:sz="4" w:space="0" w:color="auto"/>
            </w:tcBorders>
            <w:shd w:val="clear" w:color="000000" w:fill="F2F2F2"/>
            <w:noWrap/>
            <w:vAlign w:val="center"/>
            <w:hideMark/>
          </w:tcPr>
          <w:p w14:paraId="3712FCB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890500514</w:t>
            </w:r>
          </w:p>
        </w:tc>
        <w:tc>
          <w:tcPr>
            <w:tcW w:w="2180" w:type="dxa"/>
            <w:tcBorders>
              <w:top w:val="nil"/>
              <w:left w:val="nil"/>
              <w:bottom w:val="single" w:sz="4" w:space="0" w:color="auto"/>
              <w:right w:val="single" w:sz="4" w:space="0" w:color="auto"/>
            </w:tcBorders>
            <w:shd w:val="clear" w:color="000000" w:fill="F2F2F2"/>
            <w:vAlign w:val="center"/>
            <w:hideMark/>
          </w:tcPr>
          <w:p w14:paraId="6E74C746"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CENTRALES ELECTRICAS DEL NORTE DE SANTANDER S.A. ESP</w:t>
            </w:r>
          </w:p>
        </w:tc>
        <w:tc>
          <w:tcPr>
            <w:tcW w:w="1520" w:type="dxa"/>
            <w:tcBorders>
              <w:top w:val="nil"/>
              <w:left w:val="nil"/>
              <w:bottom w:val="single" w:sz="4" w:space="0" w:color="auto"/>
              <w:right w:val="single" w:sz="4" w:space="0" w:color="auto"/>
            </w:tcBorders>
            <w:shd w:val="clear" w:color="000000" w:fill="F2F2F2"/>
            <w:noWrap/>
            <w:vAlign w:val="center"/>
            <w:hideMark/>
          </w:tcPr>
          <w:p w14:paraId="110DB262"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$ 61.549.007.000</w:t>
            </w:r>
          </w:p>
        </w:tc>
        <w:tc>
          <w:tcPr>
            <w:tcW w:w="1440" w:type="dxa"/>
            <w:tcBorders>
              <w:top w:val="nil"/>
              <w:left w:val="nil"/>
              <w:bottom w:val="single" w:sz="4" w:space="0" w:color="auto"/>
              <w:right w:val="single" w:sz="4" w:space="0" w:color="auto"/>
            </w:tcBorders>
            <w:shd w:val="clear" w:color="000000" w:fill="F2F2F2"/>
            <w:noWrap/>
            <w:vAlign w:val="center"/>
            <w:hideMark/>
          </w:tcPr>
          <w:p w14:paraId="55810715"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$ 4.908.455.481</w:t>
            </w:r>
          </w:p>
        </w:tc>
        <w:tc>
          <w:tcPr>
            <w:tcW w:w="1460" w:type="dxa"/>
            <w:tcBorders>
              <w:top w:val="nil"/>
              <w:left w:val="nil"/>
              <w:bottom w:val="single" w:sz="4" w:space="0" w:color="auto"/>
              <w:right w:val="single" w:sz="4" w:space="0" w:color="auto"/>
            </w:tcBorders>
            <w:shd w:val="clear" w:color="000000" w:fill="F2F2F2"/>
            <w:noWrap/>
            <w:vAlign w:val="center"/>
            <w:hideMark/>
          </w:tcPr>
          <w:p w14:paraId="51F9944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$ 66.457.462.481</w:t>
            </w:r>
          </w:p>
        </w:tc>
        <w:tc>
          <w:tcPr>
            <w:tcW w:w="1260" w:type="dxa"/>
            <w:tcBorders>
              <w:top w:val="nil"/>
              <w:left w:val="nil"/>
              <w:bottom w:val="single" w:sz="4" w:space="0" w:color="auto"/>
              <w:right w:val="single" w:sz="4" w:space="0" w:color="auto"/>
            </w:tcBorders>
            <w:shd w:val="clear" w:color="000000" w:fill="F2F2F2"/>
            <w:noWrap/>
            <w:vAlign w:val="center"/>
            <w:hideMark/>
          </w:tcPr>
          <w:p w14:paraId="6EBA7E52"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$ 664.574.625</w:t>
            </w:r>
          </w:p>
        </w:tc>
        <w:tc>
          <w:tcPr>
            <w:tcW w:w="1120" w:type="dxa"/>
            <w:tcBorders>
              <w:top w:val="nil"/>
              <w:left w:val="nil"/>
              <w:bottom w:val="single" w:sz="4" w:space="0" w:color="auto"/>
              <w:right w:val="single" w:sz="4" w:space="0" w:color="auto"/>
            </w:tcBorders>
            <w:shd w:val="clear" w:color="000000" w:fill="F2F2F2"/>
            <w:noWrap/>
            <w:vAlign w:val="center"/>
            <w:hideMark/>
          </w:tcPr>
          <w:p w14:paraId="038D0CC6"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$ 27.657</w:t>
            </w:r>
          </w:p>
        </w:tc>
        <w:tc>
          <w:tcPr>
            <w:tcW w:w="1260" w:type="dxa"/>
            <w:tcBorders>
              <w:top w:val="nil"/>
              <w:left w:val="nil"/>
              <w:bottom w:val="single" w:sz="4" w:space="0" w:color="auto"/>
              <w:right w:val="single" w:sz="4" w:space="0" w:color="auto"/>
            </w:tcBorders>
            <w:shd w:val="clear" w:color="000000" w:fill="F2F2F2"/>
            <w:noWrap/>
            <w:vAlign w:val="center"/>
            <w:hideMark/>
          </w:tcPr>
          <w:p w14:paraId="552FBA81"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$ 664.602.282</w:t>
            </w:r>
          </w:p>
        </w:tc>
        <w:tc>
          <w:tcPr>
            <w:tcW w:w="1920" w:type="dxa"/>
            <w:tcBorders>
              <w:top w:val="nil"/>
              <w:left w:val="nil"/>
              <w:bottom w:val="single" w:sz="4" w:space="0" w:color="auto"/>
              <w:right w:val="single" w:sz="4" w:space="0" w:color="auto"/>
            </w:tcBorders>
            <w:shd w:val="clear" w:color="000000" w:fill="F2F2F2"/>
            <w:vAlign w:val="center"/>
            <w:hideMark/>
          </w:tcPr>
          <w:p w14:paraId="2312D802"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w:t>
            </w:r>
          </w:p>
        </w:tc>
      </w:tr>
      <w:tr w:rsidR="00D705A6" w:rsidRPr="002E0BB9" w14:paraId="4460ECD4" w14:textId="77777777" w:rsidTr="007D1249">
        <w:trPr>
          <w:trHeight w:val="6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79A96232"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lastRenderedPageBreak/>
              <w:t>106</w:t>
            </w:r>
          </w:p>
        </w:tc>
        <w:tc>
          <w:tcPr>
            <w:tcW w:w="560" w:type="dxa"/>
            <w:tcBorders>
              <w:top w:val="nil"/>
              <w:left w:val="nil"/>
              <w:bottom w:val="single" w:sz="4" w:space="0" w:color="auto"/>
              <w:right w:val="single" w:sz="4" w:space="0" w:color="auto"/>
            </w:tcBorders>
            <w:shd w:val="clear" w:color="000000" w:fill="F2F2F2"/>
            <w:noWrap/>
            <w:vAlign w:val="center"/>
            <w:hideMark/>
          </w:tcPr>
          <w:p w14:paraId="72290E2C"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522</w:t>
            </w:r>
          </w:p>
        </w:tc>
        <w:tc>
          <w:tcPr>
            <w:tcW w:w="920" w:type="dxa"/>
            <w:tcBorders>
              <w:top w:val="nil"/>
              <w:left w:val="nil"/>
              <w:bottom w:val="single" w:sz="4" w:space="0" w:color="auto"/>
              <w:right w:val="single" w:sz="4" w:space="0" w:color="auto"/>
            </w:tcBorders>
            <w:shd w:val="clear" w:color="000000" w:fill="F2F2F2"/>
            <w:noWrap/>
            <w:vAlign w:val="center"/>
            <w:hideMark/>
          </w:tcPr>
          <w:p w14:paraId="2C11B17C"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890500726</w:t>
            </w:r>
          </w:p>
        </w:tc>
        <w:tc>
          <w:tcPr>
            <w:tcW w:w="2180" w:type="dxa"/>
            <w:tcBorders>
              <w:top w:val="nil"/>
              <w:left w:val="nil"/>
              <w:bottom w:val="single" w:sz="4" w:space="0" w:color="auto"/>
              <w:right w:val="single" w:sz="4" w:space="0" w:color="auto"/>
            </w:tcBorders>
            <w:shd w:val="clear" w:color="000000" w:fill="F2F2F2"/>
            <w:vAlign w:val="center"/>
            <w:hideMark/>
          </w:tcPr>
          <w:p w14:paraId="3DD2B37F"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NORTESANTANDEREANA DE GAS S.A. E.S.P.</w:t>
            </w:r>
          </w:p>
        </w:tc>
        <w:tc>
          <w:tcPr>
            <w:tcW w:w="1520" w:type="dxa"/>
            <w:tcBorders>
              <w:top w:val="nil"/>
              <w:left w:val="nil"/>
              <w:bottom w:val="single" w:sz="4" w:space="0" w:color="auto"/>
              <w:right w:val="single" w:sz="4" w:space="0" w:color="auto"/>
            </w:tcBorders>
            <w:shd w:val="clear" w:color="000000" w:fill="F2F2F2"/>
            <w:noWrap/>
            <w:vAlign w:val="center"/>
            <w:hideMark/>
          </w:tcPr>
          <w:p w14:paraId="573CD39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$ 24.557.233.000</w:t>
            </w:r>
          </w:p>
        </w:tc>
        <w:tc>
          <w:tcPr>
            <w:tcW w:w="1440" w:type="dxa"/>
            <w:tcBorders>
              <w:top w:val="nil"/>
              <w:left w:val="nil"/>
              <w:bottom w:val="single" w:sz="4" w:space="0" w:color="auto"/>
              <w:right w:val="single" w:sz="4" w:space="0" w:color="auto"/>
            </w:tcBorders>
            <w:shd w:val="clear" w:color="000000" w:fill="F2F2F2"/>
            <w:noWrap/>
            <w:vAlign w:val="center"/>
            <w:hideMark/>
          </w:tcPr>
          <w:p w14:paraId="538F555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$ 4.826.767.396</w:t>
            </w:r>
          </w:p>
        </w:tc>
        <w:tc>
          <w:tcPr>
            <w:tcW w:w="1460" w:type="dxa"/>
            <w:tcBorders>
              <w:top w:val="nil"/>
              <w:left w:val="nil"/>
              <w:bottom w:val="single" w:sz="4" w:space="0" w:color="auto"/>
              <w:right w:val="single" w:sz="4" w:space="0" w:color="auto"/>
            </w:tcBorders>
            <w:shd w:val="clear" w:color="000000" w:fill="F2F2F2"/>
            <w:noWrap/>
            <w:vAlign w:val="center"/>
            <w:hideMark/>
          </w:tcPr>
          <w:p w14:paraId="3CCA285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$ 29.384.000.396</w:t>
            </w:r>
          </w:p>
        </w:tc>
        <w:tc>
          <w:tcPr>
            <w:tcW w:w="1260" w:type="dxa"/>
            <w:tcBorders>
              <w:top w:val="nil"/>
              <w:left w:val="nil"/>
              <w:bottom w:val="single" w:sz="4" w:space="0" w:color="auto"/>
              <w:right w:val="single" w:sz="4" w:space="0" w:color="auto"/>
            </w:tcBorders>
            <w:shd w:val="clear" w:color="000000" w:fill="F2F2F2"/>
            <w:noWrap/>
            <w:vAlign w:val="center"/>
            <w:hideMark/>
          </w:tcPr>
          <w:p w14:paraId="3279CEB2"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$ 293.840.004</w:t>
            </w:r>
          </w:p>
        </w:tc>
        <w:tc>
          <w:tcPr>
            <w:tcW w:w="1120" w:type="dxa"/>
            <w:tcBorders>
              <w:top w:val="nil"/>
              <w:left w:val="nil"/>
              <w:bottom w:val="single" w:sz="4" w:space="0" w:color="auto"/>
              <w:right w:val="single" w:sz="4" w:space="0" w:color="auto"/>
            </w:tcBorders>
            <w:shd w:val="clear" w:color="000000" w:fill="F2F2F2"/>
            <w:noWrap/>
            <w:vAlign w:val="center"/>
            <w:hideMark/>
          </w:tcPr>
          <w:p w14:paraId="05FB54A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$ 12.229</w:t>
            </w:r>
          </w:p>
        </w:tc>
        <w:tc>
          <w:tcPr>
            <w:tcW w:w="1260" w:type="dxa"/>
            <w:tcBorders>
              <w:top w:val="nil"/>
              <w:left w:val="nil"/>
              <w:bottom w:val="single" w:sz="4" w:space="0" w:color="auto"/>
              <w:right w:val="single" w:sz="4" w:space="0" w:color="auto"/>
            </w:tcBorders>
            <w:shd w:val="clear" w:color="000000" w:fill="F2F2F2"/>
            <w:noWrap/>
            <w:vAlign w:val="center"/>
            <w:hideMark/>
          </w:tcPr>
          <w:p w14:paraId="15EAC01E"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$ 293.852.233</w:t>
            </w:r>
          </w:p>
        </w:tc>
        <w:tc>
          <w:tcPr>
            <w:tcW w:w="1920" w:type="dxa"/>
            <w:tcBorders>
              <w:top w:val="nil"/>
              <w:left w:val="nil"/>
              <w:bottom w:val="single" w:sz="4" w:space="0" w:color="auto"/>
              <w:right w:val="single" w:sz="4" w:space="0" w:color="auto"/>
            </w:tcBorders>
            <w:shd w:val="clear" w:color="000000" w:fill="F2F2F2"/>
            <w:vAlign w:val="center"/>
            <w:hideMark/>
          </w:tcPr>
          <w:p w14:paraId="69D8FCA3"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GAS LICUADO DEL PETROLEO - GAS POR REDES</w:t>
            </w:r>
          </w:p>
        </w:tc>
      </w:tr>
      <w:tr w:rsidR="00D705A6" w:rsidRPr="002E0BB9" w14:paraId="63112732" w14:textId="77777777" w:rsidTr="007D1249">
        <w:trPr>
          <w:trHeight w:val="6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556A6545"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107</w:t>
            </w:r>
          </w:p>
        </w:tc>
        <w:tc>
          <w:tcPr>
            <w:tcW w:w="560" w:type="dxa"/>
            <w:tcBorders>
              <w:top w:val="nil"/>
              <w:left w:val="nil"/>
              <w:bottom w:val="single" w:sz="4" w:space="0" w:color="auto"/>
              <w:right w:val="single" w:sz="4" w:space="0" w:color="auto"/>
            </w:tcBorders>
            <w:shd w:val="clear" w:color="000000" w:fill="F2F2F2"/>
            <w:noWrap/>
            <w:vAlign w:val="center"/>
            <w:hideMark/>
          </w:tcPr>
          <w:p w14:paraId="6DBBE34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1302</w:t>
            </w:r>
          </w:p>
        </w:tc>
        <w:tc>
          <w:tcPr>
            <w:tcW w:w="920" w:type="dxa"/>
            <w:tcBorders>
              <w:top w:val="nil"/>
              <w:left w:val="nil"/>
              <w:bottom w:val="single" w:sz="4" w:space="0" w:color="auto"/>
              <w:right w:val="single" w:sz="4" w:space="0" w:color="auto"/>
            </w:tcBorders>
            <w:shd w:val="clear" w:color="000000" w:fill="F2F2F2"/>
            <w:noWrap/>
            <w:vAlign w:val="center"/>
            <w:hideMark/>
          </w:tcPr>
          <w:p w14:paraId="5C0A10A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890503900</w:t>
            </w:r>
          </w:p>
        </w:tc>
        <w:tc>
          <w:tcPr>
            <w:tcW w:w="2180" w:type="dxa"/>
            <w:tcBorders>
              <w:top w:val="nil"/>
              <w:left w:val="nil"/>
              <w:bottom w:val="single" w:sz="4" w:space="0" w:color="auto"/>
              <w:right w:val="single" w:sz="4" w:space="0" w:color="auto"/>
            </w:tcBorders>
            <w:shd w:val="clear" w:color="000000" w:fill="F2F2F2"/>
            <w:vAlign w:val="center"/>
            <w:hideMark/>
          </w:tcPr>
          <w:p w14:paraId="092CA611"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GASES DEL ORIENTE S.A.  EMPRESA DE SERVICIOS PUBLICOS DOMICILIARIOS</w:t>
            </w:r>
          </w:p>
        </w:tc>
        <w:tc>
          <w:tcPr>
            <w:tcW w:w="1520" w:type="dxa"/>
            <w:tcBorders>
              <w:top w:val="nil"/>
              <w:left w:val="nil"/>
              <w:bottom w:val="single" w:sz="4" w:space="0" w:color="auto"/>
              <w:right w:val="single" w:sz="4" w:space="0" w:color="auto"/>
            </w:tcBorders>
            <w:shd w:val="clear" w:color="000000" w:fill="F2F2F2"/>
            <w:noWrap/>
            <w:vAlign w:val="center"/>
            <w:hideMark/>
          </w:tcPr>
          <w:p w14:paraId="10EB88C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$ 6.213.918.000</w:t>
            </w:r>
          </w:p>
        </w:tc>
        <w:tc>
          <w:tcPr>
            <w:tcW w:w="1440" w:type="dxa"/>
            <w:tcBorders>
              <w:top w:val="nil"/>
              <w:left w:val="nil"/>
              <w:bottom w:val="single" w:sz="4" w:space="0" w:color="auto"/>
              <w:right w:val="single" w:sz="4" w:space="0" w:color="auto"/>
            </w:tcBorders>
            <w:shd w:val="clear" w:color="000000" w:fill="F2F2F2"/>
            <w:noWrap/>
            <w:vAlign w:val="center"/>
            <w:hideMark/>
          </w:tcPr>
          <w:p w14:paraId="36EB39B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$ 616.906.362</w:t>
            </w:r>
          </w:p>
        </w:tc>
        <w:tc>
          <w:tcPr>
            <w:tcW w:w="1460" w:type="dxa"/>
            <w:tcBorders>
              <w:top w:val="nil"/>
              <w:left w:val="nil"/>
              <w:bottom w:val="single" w:sz="4" w:space="0" w:color="auto"/>
              <w:right w:val="single" w:sz="4" w:space="0" w:color="auto"/>
            </w:tcBorders>
            <w:shd w:val="clear" w:color="000000" w:fill="F2F2F2"/>
            <w:noWrap/>
            <w:vAlign w:val="center"/>
            <w:hideMark/>
          </w:tcPr>
          <w:p w14:paraId="79132D1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$ 6.830.824.362</w:t>
            </w:r>
          </w:p>
        </w:tc>
        <w:tc>
          <w:tcPr>
            <w:tcW w:w="1260" w:type="dxa"/>
            <w:tcBorders>
              <w:top w:val="nil"/>
              <w:left w:val="nil"/>
              <w:bottom w:val="single" w:sz="4" w:space="0" w:color="auto"/>
              <w:right w:val="single" w:sz="4" w:space="0" w:color="auto"/>
            </w:tcBorders>
            <w:shd w:val="clear" w:color="000000" w:fill="F2F2F2"/>
            <w:noWrap/>
            <w:vAlign w:val="center"/>
            <w:hideMark/>
          </w:tcPr>
          <w:p w14:paraId="6FB61AAE"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$ 68.308.244</w:t>
            </w:r>
          </w:p>
        </w:tc>
        <w:tc>
          <w:tcPr>
            <w:tcW w:w="1120" w:type="dxa"/>
            <w:tcBorders>
              <w:top w:val="nil"/>
              <w:left w:val="nil"/>
              <w:bottom w:val="single" w:sz="4" w:space="0" w:color="auto"/>
              <w:right w:val="single" w:sz="4" w:space="0" w:color="auto"/>
            </w:tcBorders>
            <w:shd w:val="clear" w:color="000000" w:fill="F2F2F2"/>
            <w:noWrap/>
            <w:vAlign w:val="center"/>
            <w:hideMark/>
          </w:tcPr>
          <w:p w14:paraId="382A7621"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$ 2.843</w:t>
            </w:r>
          </w:p>
        </w:tc>
        <w:tc>
          <w:tcPr>
            <w:tcW w:w="1260" w:type="dxa"/>
            <w:tcBorders>
              <w:top w:val="nil"/>
              <w:left w:val="nil"/>
              <w:bottom w:val="single" w:sz="4" w:space="0" w:color="auto"/>
              <w:right w:val="single" w:sz="4" w:space="0" w:color="auto"/>
            </w:tcBorders>
            <w:shd w:val="clear" w:color="000000" w:fill="F2F2F2"/>
            <w:noWrap/>
            <w:vAlign w:val="center"/>
            <w:hideMark/>
          </w:tcPr>
          <w:p w14:paraId="50029FA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$ 68.311.086</w:t>
            </w:r>
          </w:p>
        </w:tc>
        <w:tc>
          <w:tcPr>
            <w:tcW w:w="1920" w:type="dxa"/>
            <w:tcBorders>
              <w:top w:val="nil"/>
              <w:left w:val="nil"/>
              <w:bottom w:val="single" w:sz="4" w:space="0" w:color="auto"/>
              <w:right w:val="single" w:sz="4" w:space="0" w:color="auto"/>
            </w:tcBorders>
            <w:shd w:val="clear" w:color="000000" w:fill="F2F2F2"/>
            <w:vAlign w:val="center"/>
            <w:hideMark/>
          </w:tcPr>
          <w:p w14:paraId="0FB30D47"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GAS POR REDES</w:t>
            </w:r>
          </w:p>
        </w:tc>
      </w:tr>
      <w:tr w:rsidR="00D705A6" w:rsidRPr="002E0BB9" w14:paraId="0FFA0E76" w14:textId="77777777" w:rsidTr="007D1249">
        <w:trPr>
          <w:trHeight w:val="4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2419912B"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108</w:t>
            </w:r>
          </w:p>
        </w:tc>
        <w:tc>
          <w:tcPr>
            <w:tcW w:w="560" w:type="dxa"/>
            <w:tcBorders>
              <w:top w:val="nil"/>
              <w:left w:val="nil"/>
              <w:bottom w:val="single" w:sz="4" w:space="0" w:color="auto"/>
              <w:right w:val="single" w:sz="4" w:space="0" w:color="auto"/>
            </w:tcBorders>
            <w:shd w:val="clear" w:color="000000" w:fill="F2F2F2"/>
            <w:noWrap/>
            <w:vAlign w:val="center"/>
            <w:hideMark/>
          </w:tcPr>
          <w:p w14:paraId="03E2D69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1713</w:t>
            </w:r>
          </w:p>
        </w:tc>
        <w:tc>
          <w:tcPr>
            <w:tcW w:w="920" w:type="dxa"/>
            <w:tcBorders>
              <w:top w:val="nil"/>
              <w:left w:val="nil"/>
              <w:bottom w:val="single" w:sz="4" w:space="0" w:color="auto"/>
              <w:right w:val="single" w:sz="4" w:space="0" w:color="auto"/>
            </w:tcBorders>
            <w:shd w:val="clear" w:color="000000" w:fill="F2F2F2"/>
            <w:noWrap/>
            <w:vAlign w:val="center"/>
            <w:hideMark/>
          </w:tcPr>
          <w:p w14:paraId="304F52F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890600185</w:t>
            </w:r>
          </w:p>
        </w:tc>
        <w:tc>
          <w:tcPr>
            <w:tcW w:w="2180" w:type="dxa"/>
            <w:tcBorders>
              <w:top w:val="nil"/>
              <w:left w:val="nil"/>
              <w:bottom w:val="single" w:sz="4" w:space="0" w:color="auto"/>
              <w:right w:val="single" w:sz="4" w:space="0" w:color="auto"/>
            </w:tcBorders>
            <w:shd w:val="clear" w:color="000000" w:fill="F2F2F2"/>
            <w:vAlign w:val="center"/>
            <w:hideMark/>
          </w:tcPr>
          <w:p w14:paraId="6E2FC8F1"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INTERMUNICIPAL DE GAS S.A. E.S.P.</w:t>
            </w:r>
          </w:p>
        </w:tc>
        <w:tc>
          <w:tcPr>
            <w:tcW w:w="1520" w:type="dxa"/>
            <w:tcBorders>
              <w:top w:val="nil"/>
              <w:left w:val="nil"/>
              <w:bottom w:val="single" w:sz="4" w:space="0" w:color="auto"/>
              <w:right w:val="single" w:sz="4" w:space="0" w:color="auto"/>
            </w:tcBorders>
            <w:shd w:val="clear" w:color="000000" w:fill="F2F2F2"/>
            <w:noWrap/>
            <w:vAlign w:val="center"/>
            <w:hideMark/>
          </w:tcPr>
          <w:p w14:paraId="3A3CAA41"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$ 118.421.000</w:t>
            </w:r>
          </w:p>
        </w:tc>
        <w:tc>
          <w:tcPr>
            <w:tcW w:w="1440" w:type="dxa"/>
            <w:tcBorders>
              <w:top w:val="nil"/>
              <w:left w:val="nil"/>
              <w:bottom w:val="single" w:sz="4" w:space="0" w:color="auto"/>
              <w:right w:val="single" w:sz="4" w:space="0" w:color="auto"/>
            </w:tcBorders>
            <w:shd w:val="clear" w:color="000000" w:fill="F2F2F2"/>
            <w:noWrap/>
            <w:vAlign w:val="center"/>
            <w:hideMark/>
          </w:tcPr>
          <w:p w14:paraId="445C5E3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$ 0</w:t>
            </w:r>
          </w:p>
        </w:tc>
        <w:tc>
          <w:tcPr>
            <w:tcW w:w="1460" w:type="dxa"/>
            <w:tcBorders>
              <w:top w:val="nil"/>
              <w:left w:val="nil"/>
              <w:bottom w:val="single" w:sz="4" w:space="0" w:color="auto"/>
              <w:right w:val="single" w:sz="4" w:space="0" w:color="auto"/>
            </w:tcBorders>
            <w:shd w:val="clear" w:color="000000" w:fill="F2F2F2"/>
            <w:noWrap/>
            <w:vAlign w:val="center"/>
            <w:hideMark/>
          </w:tcPr>
          <w:p w14:paraId="2698808A"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$ 118.421.000</w:t>
            </w:r>
          </w:p>
        </w:tc>
        <w:tc>
          <w:tcPr>
            <w:tcW w:w="1260" w:type="dxa"/>
            <w:tcBorders>
              <w:top w:val="nil"/>
              <w:left w:val="nil"/>
              <w:bottom w:val="single" w:sz="4" w:space="0" w:color="auto"/>
              <w:right w:val="single" w:sz="4" w:space="0" w:color="auto"/>
            </w:tcBorders>
            <w:shd w:val="clear" w:color="000000" w:fill="F2F2F2"/>
            <w:noWrap/>
            <w:vAlign w:val="center"/>
            <w:hideMark/>
          </w:tcPr>
          <w:p w14:paraId="4387E5F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$ 1.184.210</w:t>
            </w:r>
          </w:p>
        </w:tc>
        <w:tc>
          <w:tcPr>
            <w:tcW w:w="1120" w:type="dxa"/>
            <w:tcBorders>
              <w:top w:val="nil"/>
              <w:left w:val="nil"/>
              <w:bottom w:val="single" w:sz="4" w:space="0" w:color="auto"/>
              <w:right w:val="single" w:sz="4" w:space="0" w:color="auto"/>
            </w:tcBorders>
            <w:shd w:val="clear" w:color="000000" w:fill="F2F2F2"/>
            <w:noWrap/>
            <w:vAlign w:val="center"/>
            <w:hideMark/>
          </w:tcPr>
          <w:p w14:paraId="4F8DA7D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$ 49</w:t>
            </w:r>
          </w:p>
        </w:tc>
        <w:tc>
          <w:tcPr>
            <w:tcW w:w="1260" w:type="dxa"/>
            <w:tcBorders>
              <w:top w:val="nil"/>
              <w:left w:val="nil"/>
              <w:bottom w:val="single" w:sz="4" w:space="0" w:color="auto"/>
              <w:right w:val="single" w:sz="4" w:space="0" w:color="auto"/>
            </w:tcBorders>
            <w:shd w:val="clear" w:color="000000" w:fill="F2F2F2"/>
            <w:noWrap/>
            <w:vAlign w:val="center"/>
            <w:hideMark/>
          </w:tcPr>
          <w:p w14:paraId="086CDA05"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$ 1.184.259</w:t>
            </w:r>
          </w:p>
        </w:tc>
        <w:tc>
          <w:tcPr>
            <w:tcW w:w="1920" w:type="dxa"/>
            <w:tcBorders>
              <w:top w:val="nil"/>
              <w:left w:val="nil"/>
              <w:bottom w:val="single" w:sz="4" w:space="0" w:color="auto"/>
              <w:right w:val="single" w:sz="4" w:space="0" w:color="auto"/>
            </w:tcBorders>
            <w:shd w:val="clear" w:color="000000" w:fill="F2F2F2"/>
            <w:vAlign w:val="center"/>
            <w:hideMark/>
          </w:tcPr>
          <w:p w14:paraId="52F4AF68"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GAS LICUADO DEL PETROLEO</w:t>
            </w:r>
          </w:p>
        </w:tc>
      </w:tr>
      <w:tr w:rsidR="00D705A6" w:rsidRPr="002E0BB9" w14:paraId="30F49812" w14:textId="77777777" w:rsidTr="007D1249">
        <w:trPr>
          <w:trHeight w:val="8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07098B01"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109</w:t>
            </w:r>
          </w:p>
        </w:tc>
        <w:tc>
          <w:tcPr>
            <w:tcW w:w="560" w:type="dxa"/>
            <w:tcBorders>
              <w:top w:val="nil"/>
              <w:left w:val="nil"/>
              <w:bottom w:val="single" w:sz="4" w:space="0" w:color="auto"/>
              <w:right w:val="single" w:sz="4" w:space="0" w:color="auto"/>
            </w:tcBorders>
            <w:shd w:val="clear" w:color="000000" w:fill="F2F2F2"/>
            <w:noWrap/>
            <w:vAlign w:val="center"/>
            <w:hideMark/>
          </w:tcPr>
          <w:p w14:paraId="14265971"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1195</w:t>
            </w:r>
          </w:p>
        </w:tc>
        <w:tc>
          <w:tcPr>
            <w:tcW w:w="920" w:type="dxa"/>
            <w:tcBorders>
              <w:top w:val="nil"/>
              <w:left w:val="nil"/>
              <w:bottom w:val="single" w:sz="4" w:space="0" w:color="auto"/>
              <w:right w:val="single" w:sz="4" w:space="0" w:color="auto"/>
            </w:tcBorders>
            <w:shd w:val="clear" w:color="000000" w:fill="F2F2F2"/>
            <w:noWrap/>
            <w:vAlign w:val="center"/>
            <w:hideMark/>
          </w:tcPr>
          <w:p w14:paraId="1E4200B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890701766</w:t>
            </w:r>
          </w:p>
        </w:tc>
        <w:tc>
          <w:tcPr>
            <w:tcW w:w="2180" w:type="dxa"/>
            <w:tcBorders>
              <w:top w:val="nil"/>
              <w:left w:val="nil"/>
              <w:bottom w:val="single" w:sz="4" w:space="0" w:color="auto"/>
              <w:right w:val="single" w:sz="4" w:space="0" w:color="auto"/>
            </w:tcBorders>
            <w:shd w:val="clear" w:color="000000" w:fill="F2F2F2"/>
            <w:vAlign w:val="center"/>
            <w:hideMark/>
          </w:tcPr>
          <w:p w14:paraId="652357CE"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ENVASADORA DE GAS DE PUERTO SALGAR S.A. EMPRESA DE SERVICIOS PUBLICOS</w:t>
            </w:r>
          </w:p>
        </w:tc>
        <w:tc>
          <w:tcPr>
            <w:tcW w:w="1520" w:type="dxa"/>
            <w:tcBorders>
              <w:top w:val="nil"/>
              <w:left w:val="nil"/>
              <w:bottom w:val="single" w:sz="4" w:space="0" w:color="auto"/>
              <w:right w:val="single" w:sz="4" w:space="0" w:color="auto"/>
            </w:tcBorders>
            <w:shd w:val="clear" w:color="000000" w:fill="F2F2F2"/>
            <w:noWrap/>
            <w:vAlign w:val="center"/>
            <w:hideMark/>
          </w:tcPr>
          <w:p w14:paraId="17EC716D"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$ 724.832.295</w:t>
            </w:r>
          </w:p>
        </w:tc>
        <w:tc>
          <w:tcPr>
            <w:tcW w:w="1440" w:type="dxa"/>
            <w:tcBorders>
              <w:top w:val="nil"/>
              <w:left w:val="nil"/>
              <w:bottom w:val="single" w:sz="4" w:space="0" w:color="auto"/>
              <w:right w:val="single" w:sz="4" w:space="0" w:color="auto"/>
            </w:tcBorders>
            <w:shd w:val="clear" w:color="000000" w:fill="F2F2F2"/>
            <w:noWrap/>
            <w:vAlign w:val="center"/>
            <w:hideMark/>
          </w:tcPr>
          <w:p w14:paraId="64C8122D"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$ 52.992.244</w:t>
            </w:r>
          </w:p>
        </w:tc>
        <w:tc>
          <w:tcPr>
            <w:tcW w:w="1460" w:type="dxa"/>
            <w:tcBorders>
              <w:top w:val="nil"/>
              <w:left w:val="nil"/>
              <w:bottom w:val="single" w:sz="4" w:space="0" w:color="auto"/>
              <w:right w:val="single" w:sz="4" w:space="0" w:color="auto"/>
            </w:tcBorders>
            <w:shd w:val="clear" w:color="000000" w:fill="F2F2F2"/>
            <w:noWrap/>
            <w:vAlign w:val="center"/>
            <w:hideMark/>
          </w:tcPr>
          <w:p w14:paraId="6A6E2F4C"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$ 777.824.539</w:t>
            </w:r>
          </w:p>
        </w:tc>
        <w:tc>
          <w:tcPr>
            <w:tcW w:w="1260" w:type="dxa"/>
            <w:tcBorders>
              <w:top w:val="nil"/>
              <w:left w:val="nil"/>
              <w:bottom w:val="single" w:sz="4" w:space="0" w:color="auto"/>
              <w:right w:val="single" w:sz="4" w:space="0" w:color="auto"/>
            </w:tcBorders>
            <w:shd w:val="clear" w:color="000000" w:fill="F2F2F2"/>
            <w:noWrap/>
            <w:vAlign w:val="center"/>
            <w:hideMark/>
          </w:tcPr>
          <w:p w14:paraId="2019667B"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$ 7.778.245</w:t>
            </w:r>
          </w:p>
        </w:tc>
        <w:tc>
          <w:tcPr>
            <w:tcW w:w="1120" w:type="dxa"/>
            <w:tcBorders>
              <w:top w:val="nil"/>
              <w:left w:val="nil"/>
              <w:bottom w:val="single" w:sz="4" w:space="0" w:color="auto"/>
              <w:right w:val="single" w:sz="4" w:space="0" w:color="auto"/>
            </w:tcBorders>
            <w:shd w:val="clear" w:color="000000" w:fill="F2F2F2"/>
            <w:noWrap/>
            <w:vAlign w:val="center"/>
            <w:hideMark/>
          </w:tcPr>
          <w:p w14:paraId="097D376E"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$ 324</w:t>
            </w:r>
          </w:p>
        </w:tc>
        <w:tc>
          <w:tcPr>
            <w:tcW w:w="1260" w:type="dxa"/>
            <w:tcBorders>
              <w:top w:val="nil"/>
              <w:left w:val="nil"/>
              <w:bottom w:val="single" w:sz="4" w:space="0" w:color="auto"/>
              <w:right w:val="single" w:sz="4" w:space="0" w:color="auto"/>
            </w:tcBorders>
            <w:shd w:val="clear" w:color="000000" w:fill="F2F2F2"/>
            <w:noWrap/>
            <w:vAlign w:val="center"/>
            <w:hideMark/>
          </w:tcPr>
          <w:p w14:paraId="23C43A06"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$ 7.778.569</w:t>
            </w:r>
          </w:p>
        </w:tc>
        <w:tc>
          <w:tcPr>
            <w:tcW w:w="1920" w:type="dxa"/>
            <w:tcBorders>
              <w:top w:val="nil"/>
              <w:left w:val="nil"/>
              <w:bottom w:val="single" w:sz="4" w:space="0" w:color="auto"/>
              <w:right w:val="single" w:sz="4" w:space="0" w:color="auto"/>
            </w:tcBorders>
            <w:shd w:val="clear" w:color="000000" w:fill="F2F2F2"/>
            <w:vAlign w:val="center"/>
            <w:hideMark/>
          </w:tcPr>
          <w:p w14:paraId="39F2C176"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GAS LICUADO DEL PETROLEO</w:t>
            </w:r>
          </w:p>
        </w:tc>
      </w:tr>
      <w:tr w:rsidR="00D705A6" w:rsidRPr="002E0BB9" w14:paraId="4910B42D" w14:textId="77777777" w:rsidTr="002E0BB9">
        <w:trPr>
          <w:trHeight w:val="333"/>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327AB9F7"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110</w:t>
            </w:r>
          </w:p>
        </w:tc>
        <w:tc>
          <w:tcPr>
            <w:tcW w:w="560" w:type="dxa"/>
            <w:tcBorders>
              <w:top w:val="nil"/>
              <w:left w:val="nil"/>
              <w:bottom w:val="single" w:sz="4" w:space="0" w:color="auto"/>
              <w:right w:val="single" w:sz="4" w:space="0" w:color="auto"/>
            </w:tcBorders>
            <w:shd w:val="clear" w:color="000000" w:fill="F2F2F2"/>
            <w:noWrap/>
            <w:vAlign w:val="center"/>
            <w:hideMark/>
          </w:tcPr>
          <w:p w14:paraId="293D00E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502</w:t>
            </w:r>
          </w:p>
        </w:tc>
        <w:tc>
          <w:tcPr>
            <w:tcW w:w="920" w:type="dxa"/>
            <w:tcBorders>
              <w:top w:val="nil"/>
              <w:left w:val="nil"/>
              <w:bottom w:val="single" w:sz="4" w:space="0" w:color="auto"/>
              <w:right w:val="single" w:sz="4" w:space="0" w:color="auto"/>
            </w:tcBorders>
            <w:shd w:val="clear" w:color="000000" w:fill="F2F2F2"/>
            <w:noWrap/>
            <w:vAlign w:val="center"/>
            <w:hideMark/>
          </w:tcPr>
          <w:p w14:paraId="2457DB3C"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890800128</w:t>
            </w:r>
          </w:p>
        </w:tc>
        <w:tc>
          <w:tcPr>
            <w:tcW w:w="2180" w:type="dxa"/>
            <w:tcBorders>
              <w:top w:val="nil"/>
              <w:left w:val="nil"/>
              <w:bottom w:val="single" w:sz="4" w:space="0" w:color="auto"/>
              <w:right w:val="single" w:sz="4" w:space="0" w:color="auto"/>
            </w:tcBorders>
            <w:shd w:val="clear" w:color="000000" w:fill="F2F2F2"/>
            <w:vAlign w:val="center"/>
            <w:hideMark/>
          </w:tcPr>
          <w:p w14:paraId="59824D4F"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CENTRAL HIDROELECTRICA DE CALDAS S.A. E.S.P.</w:t>
            </w:r>
          </w:p>
        </w:tc>
        <w:tc>
          <w:tcPr>
            <w:tcW w:w="1520" w:type="dxa"/>
            <w:tcBorders>
              <w:top w:val="nil"/>
              <w:left w:val="nil"/>
              <w:bottom w:val="single" w:sz="4" w:space="0" w:color="auto"/>
              <w:right w:val="single" w:sz="4" w:space="0" w:color="auto"/>
            </w:tcBorders>
            <w:shd w:val="clear" w:color="000000" w:fill="F2F2F2"/>
            <w:noWrap/>
            <w:vAlign w:val="center"/>
            <w:hideMark/>
          </w:tcPr>
          <w:p w14:paraId="76DCB89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$ 51.865.460.000</w:t>
            </w:r>
          </w:p>
        </w:tc>
        <w:tc>
          <w:tcPr>
            <w:tcW w:w="1440" w:type="dxa"/>
            <w:tcBorders>
              <w:top w:val="nil"/>
              <w:left w:val="nil"/>
              <w:bottom w:val="single" w:sz="4" w:space="0" w:color="auto"/>
              <w:right w:val="single" w:sz="4" w:space="0" w:color="auto"/>
            </w:tcBorders>
            <w:shd w:val="clear" w:color="000000" w:fill="F2F2F2"/>
            <w:noWrap/>
            <w:vAlign w:val="center"/>
            <w:hideMark/>
          </w:tcPr>
          <w:p w14:paraId="0CA2AAD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$ 2.914.324.186</w:t>
            </w:r>
          </w:p>
        </w:tc>
        <w:tc>
          <w:tcPr>
            <w:tcW w:w="1460" w:type="dxa"/>
            <w:tcBorders>
              <w:top w:val="nil"/>
              <w:left w:val="nil"/>
              <w:bottom w:val="single" w:sz="4" w:space="0" w:color="auto"/>
              <w:right w:val="single" w:sz="4" w:space="0" w:color="auto"/>
            </w:tcBorders>
            <w:shd w:val="clear" w:color="000000" w:fill="F2F2F2"/>
            <w:noWrap/>
            <w:vAlign w:val="center"/>
            <w:hideMark/>
          </w:tcPr>
          <w:p w14:paraId="577FB05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$ 54.779.784.186</w:t>
            </w:r>
          </w:p>
        </w:tc>
        <w:tc>
          <w:tcPr>
            <w:tcW w:w="1260" w:type="dxa"/>
            <w:tcBorders>
              <w:top w:val="nil"/>
              <w:left w:val="nil"/>
              <w:bottom w:val="single" w:sz="4" w:space="0" w:color="auto"/>
              <w:right w:val="single" w:sz="4" w:space="0" w:color="auto"/>
            </w:tcBorders>
            <w:shd w:val="clear" w:color="000000" w:fill="F2F2F2"/>
            <w:noWrap/>
            <w:vAlign w:val="center"/>
            <w:hideMark/>
          </w:tcPr>
          <w:p w14:paraId="589C33EC"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$ 547.797.842</w:t>
            </w:r>
          </w:p>
        </w:tc>
        <w:tc>
          <w:tcPr>
            <w:tcW w:w="1120" w:type="dxa"/>
            <w:tcBorders>
              <w:top w:val="nil"/>
              <w:left w:val="nil"/>
              <w:bottom w:val="single" w:sz="4" w:space="0" w:color="auto"/>
              <w:right w:val="single" w:sz="4" w:space="0" w:color="auto"/>
            </w:tcBorders>
            <w:shd w:val="clear" w:color="000000" w:fill="F2F2F2"/>
            <w:noWrap/>
            <w:vAlign w:val="center"/>
            <w:hideMark/>
          </w:tcPr>
          <w:p w14:paraId="7B80C16B"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$ 22.797</w:t>
            </w:r>
          </w:p>
        </w:tc>
        <w:tc>
          <w:tcPr>
            <w:tcW w:w="1260" w:type="dxa"/>
            <w:tcBorders>
              <w:top w:val="nil"/>
              <w:left w:val="nil"/>
              <w:bottom w:val="single" w:sz="4" w:space="0" w:color="auto"/>
              <w:right w:val="single" w:sz="4" w:space="0" w:color="auto"/>
            </w:tcBorders>
            <w:shd w:val="clear" w:color="000000" w:fill="F2F2F2"/>
            <w:noWrap/>
            <w:vAlign w:val="center"/>
            <w:hideMark/>
          </w:tcPr>
          <w:p w14:paraId="15891A2A"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$ 547.820.639</w:t>
            </w:r>
          </w:p>
        </w:tc>
        <w:tc>
          <w:tcPr>
            <w:tcW w:w="1920" w:type="dxa"/>
            <w:tcBorders>
              <w:top w:val="nil"/>
              <w:left w:val="nil"/>
              <w:bottom w:val="single" w:sz="4" w:space="0" w:color="auto"/>
              <w:right w:val="single" w:sz="4" w:space="0" w:color="auto"/>
            </w:tcBorders>
            <w:shd w:val="clear" w:color="000000" w:fill="F2F2F2"/>
            <w:vAlign w:val="center"/>
            <w:hideMark/>
          </w:tcPr>
          <w:p w14:paraId="47BD6D23"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w:t>
            </w:r>
          </w:p>
        </w:tc>
      </w:tr>
      <w:tr w:rsidR="00D705A6" w:rsidRPr="002E0BB9" w14:paraId="27CBD7D8" w14:textId="77777777" w:rsidTr="002E0BB9">
        <w:trPr>
          <w:trHeight w:val="664"/>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20DD01BC"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111</w:t>
            </w:r>
          </w:p>
        </w:tc>
        <w:tc>
          <w:tcPr>
            <w:tcW w:w="560" w:type="dxa"/>
            <w:tcBorders>
              <w:top w:val="nil"/>
              <w:left w:val="nil"/>
              <w:bottom w:val="single" w:sz="4" w:space="0" w:color="auto"/>
              <w:right w:val="single" w:sz="4" w:space="0" w:color="auto"/>
            </w:tcBorders>
            <w:shd w:val="clear" w:color="000000" w:fill="F2F2F2"/>
            <w:noWrap/>
            <w:vAlign w:val="center"/>
            <w:hideMark/>
          </w:tcPr>
          <w:p w14:paraId="5998458A"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564</w:t>
            </w:r>
          </w:p>
        </w:tc>
        <w:tc>
          <w:tcPr>
            <w:tcW w:w="920" w:type="dxa"/>
            <w:tcBorders>
              <w:top w:val="nil"/>
              <w:left w:val="nil"/>
              <w:bottom w:val="single" w:sz="4" w:space="0" w:color="auto"/>
              <w:right w:val="single" w:sz="4" w:space="0" w:color="auto"/>
            </w:tcBorders>
            <w:shd w:val="clear" w:color="000000" w:fill="F2F2F2"/>
            <w:noWrap/>
            <w:vAlign w:val="center"/>
            <w:hideMark/>
          </w:tcPr>
          <w:p w14:paraId="41B09A7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890904996</w:t>
            </w:r>
          </w:p>
        </w:tc>
        <w:tc>
          <w:tcPr>
            <w:tcW w:w="2180" w:type="dxa"/>
            <w:tcBorders>
              <w:top w:val="nil"/>
              <w:left w:val="nil"/>
              <w:bottom w:val="single" w:sz="4" w:space="0" w:color="auto"/>
              <w:right w:val="single" w:sz="4" w:space="0" w:color="auto"/>
            </w:tcBorders>
            <w:shd w:val="clear" w:color="000000" w:fill="F2F2F2"/>
            <w:vAlign w:val="center"/>
            <w:hideMark/>
          </w:tcPr>
          <w:p w14:paraId="2F22D78B"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EMPRESAS PÚBLICAS DE MEDELLIN E.S.P.</w:t>
            </w:r>
          </w:p>
        </w:tc>
        <w:tc>
          <w:tcPr>
            <w:tcW w:w="1520" w:type="dxa"/>
            <w:tcBorders>
              <w:top w:val="nil"/>
              <w:left w:val="nil"/>
              <w:bottom w:val="single" w:sz="4" w:space="0" w:color="auto"/>
              <w:right w:val="single" w:sz="4" w:space="0" w:color="auto"/>
            </w:tcBorders>
            <w:shd w:val="clear" w:color="000000" w:fill="F2F2F2"/>
            <w:noWrap/>
            <w:vAlign w:val="center"/>
            <w:hideMark/>
          </w:tcPr>
          <w:p w14:paraId="66B3C33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$ 506.987.283.000</w:t>
            </w:r>
          </w:p>
        </w:tc>
        <w:tc>
          <w:tcPr>
            <w:tcW w:w="1440" w:type="dxa"/>
            <w:tcBorders>
              <w:top w:val="nil"/>
              <w:left w:val="nil"/>
              <w:bottom w:val="single" w:sz="4" w:space="0" w:color="auto"/>
              <w:right w:val="single" w:sz="4" w:space="0" w:color="auto"/>
            </w:tcBorders>
            <w:shd w:val="clear" w:color="000000" w:fill="F2F2F2"/>
            <w:noWrap/>
            <w:vAlign w:val="center"/>
            <w:hideMark/>
          </w:tcPr>
          <w:p w14:paraId="19540485"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$ 44.783.713.929</w:t>
            </w:r>
          </w:p>
        </w:tc>
        <w:tc>
          <w:tcPr>
            <w:tcW w:w="1460" w:type="dxa"/>
            <w:tcBorders>
              <w:top w:val="nil"/>
              <w:left w:val="nil"/>
              <w:bottom w:val="single" w:sz="4" w:space="0" w:color="auto"/>
              <w:right w:val="single" w:sz="4" w:space="0" w:color="auto"/>
            </w:tcBorders>
            <w:shd w:val="clear" w:color="000000" w:fill="F2F2F2"/>
            <w:noWrap/>
            <w:vAlign w:val="center"/>
            <w:hideMark/>
          </w:tcPr>
          <w:p w14:paraId="473E345D"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$ 551.770.996.929</w:t>
            </w:r>
          </w:p>
        </w:tc>
        <w:tc>
          <w:tcPr>
            <w:tcW w:w="1260" w:type="dxa"/>
            <w:tcBorders>
              <w:top w:val="nil"/>
              <w:left w:val="nil"/>
              <w:bottom w:val="single" w:sz="4" w:space="0" w:color="auto"/>
              <w:right w:val="single" w:sz="4" w:space="0" w:color="auto"/>
            </w:tcBorders>
            <w:shd w:val="clear" w:color="000000" w:fill="F2F2F2"/>
            <w:noWrap/>
            <w:vAlign w:val="center"/>
            <w:hideMark/>
          </w:tcPr>
          <w:p w14:paraId="386BA9A7"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$ 5.517.709.969</w:t>
            </w:r>
          </w:p>
        </w:tc>
        <w:tc>
          <w:tcPr>
            <w:tcW w:w="1120" w:type="dxa"/>
            <w:tcBorders>
              <w:top w:val="nil"/>
              <w:left w:val="nil"/>
              <w:bottom w:val="single" w:sz="4" w:space="0" w:color="auto"/>
              <w:right w:val="single" w:sz="4" w:space="0" w:color="auto"/>
            </w:tcBorders>
            <w:shd w:val="clear" w:color="000000" w:fill="F2F2F2"/>
            <w:noWrap/>
            <w:vAlign w:val="center"/>
            <w:hideMark/>
          </w:tcPr>
          <w:p w14:paraId="15584BA7"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$ 229.628</w:t>
            </w:r>
          </w:p>
        </w:tc>
        <w:tc>
          <w:tcPr>
            <w:tcW w:w="1260" w:type="dxa"/>
            <w:tcBorders>
              <w:top w:val="nil"/>
              <w:left w:val="nil"/>
              <w:bottom w:val="single" w:sz="4" w:space="0" w:color="auto"/>
              <w:right w:val="single" w:sz="4" w:space="0" w:color="auto"/>
            </w:tcBorders>
            <w:shd w:val="clear" w:color="000000" w:fill="F2F2F2"/>
            <w:noWrap/>
            <w:vAlign w:val="center"/>
            <w:hideMark/>
          </w:tcPr>
          <w:p w14:paraId="775B134A"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$ 5.517.939.598</w:t>
            </w:r>
          </w:p>
        </w:tc>
        <w:tc>
          <w:tcPr>
            <w:tcW w:w="1920" w:type="dxa"/>
            <w:tcBorders>
              <w:top w:val="nil"/>
              <w:left w:val="nil"/>
              <w:bottom w:val="single" w:sz="4" w:space="0" w:color="auto"/>
              <w:right w:val="single" w:sz="4" w:space="0" w:color="auto"/>
            </w:tcBorders>
            <w:shd w:val="clear" w:color="000000" w:fill="F2F2F2"/>
            <w:vAlign w:val="center"/>
            <w:hideMark/>
          </w:tcPr>
          <w:p w14:paraId="7C0004FA"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 - GAS POR REDES - ACUEDUCTO - ALCANTARILLADO</w:t>
            </w:r>
          </w:p>
        </w:tc>
      </w:tr>
      <w:tr w:rsidR="00D705A6" w:rsidRPr="002E0BB9" w14:paraId="25F93BA4" w14:textId="77777777" w:rsidTr="007D1249">
        <w:trPr>
          <w:trHeight w:val="4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52243808"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112</w:t>
            </w:r>
          </w:p>
        </w:tc>
        <w:tc>
          <w:tcPr>
            <w:tcW w:w="560" w:type="dxa"/>
            <w:tcBorders>
              <w:top w:val="nil"/>
              <w:left w:val="nil"/>
              <w:bottom w:val="single" w:sz="4" w:space="0" w:color="auto"/>
              <w:right w:val="single" w:sz="4" w:space="0" w:color="auto"/>
            </w:tcBorders>
            <w:shd w:val="clear" w:color="000000" w:fill="F2F2F2"/>
            <w:noWrap/>
            <w:vAlign w:val="center"/>
            <w:hideMark/>
          </w:tcPr>
          <w:p w14:paraId="52867E72"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618</w:t>
            </w:r>
          </w:p>
        </w:tc>
        <w:tc>
          <w:tcPr>
            <w:tcW w:w="920" w:type="dxa"/>
            <w:tcBorders>
              <w:top w:val="nil"/>
              <w:left w:val="nil"/>
              <w:bottom w:val="single" w:sz="4" w:space="0" w:color="auto"/>
              <w:right w:val="single" w:sz="4" w:space="0" w:color="auto"/>
            </w:tcBorders>
            <w:shd w:val="clear" w:color="000000" w:fill="F2F2F2"/>
            <w:noWrap/>
            <w:vAlign w:val="center"/>
            <w:hideMark/>
          </w:tcPr>
          <w:p w14:paraId="0CADB8B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891101577</w:t>
            </w:r>
          </w:p>
        </w:tc>
        <w:tc>
          <w:tcPr>
            <w:tcW w:w="2180" w:type="dxa"/>
            <w:tcBorders>
              <w:top w:val="nil"/>
              <w:left w:val="nil"/>
              <w:bottom w:val="single" w:sz="4" w:space="0" w:color="auto"/>
              <w:right w:val="single" w:sz="4" w:space="0" w:color="auto"/>
            </w:tcBorders>
            <w:shd w:val="clear" w:color="000000" w:fill="F2F2F2"/>
            <w:vAlign w:val="center"/>
            <w:hideMark/>
          </w:tcPr>
          <w:p w14:paraId="7F938A55"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ALCANOS DE COLOMBIA S.A. E.S.P.</w:t>
            </w:r>
          </w:p>
        </w:tc>
        <w:tc>
          <w:tcPr>
            <w:tcW w:w="1520" w:type="dxa"/>
            <w:tcBorders>
              <w:top w:val="nil"/>
              <w:left w:val="nil"/>
              <w:bottom w:val="single" w:sz="4" w:space="0" w:color="auto"/>
              <w:right w:val="single" w:sz="4" w:space="0" w:color="auto"/>
            </w:tcBorders>
            <w:shd w:val="clear" w:color="000000" w:fill="F2F2F2"/>
            <w:noWrap/>
            <w:vAlign w:val="center"/>
            <w:hideMark/>
          </w:tcPr>
          <w:p w14:paraId="5A2EE0E1"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$ 23.474.138.000</w:t>
            </w:r>
          </w:p>
        </w:tc>
        <w:tc>
          <w:tcPr>
            <w:tcW w:w="1440" w:type="dxa"/>
            <w:tcBorders>
              <w:top w:val="nil"/>
              <w:left w:val="nil"/>
              <w:bottom w:val="single" w:sz="4" w:space="0" w:color="auto"/>
              <w:right w:val="single" w:sz="4" w:space="0" w:color="auto"/>
            </w:tcBorders>
            <w:shd w:val="clear" w:color="000000" w:fill="F2F2F2"/>
            <w:noWrap/>
            <w:vAlign w:val="center"/>
            <w:hideMark/>
          </w:tcPr>
          <w:p w14:paraId="5375F745"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$ 2.862.345.425</w:t>
            </w:r>
          </w:p>
        </w:tc>
        <w:tc>
          <w:tcPr>
            <w:tcW w:w="1460" w:type="dxa"/>
            <w:tcBorders>
              <w:top w:val="nil"/>
              <w:left w:val="nil"/>
              <w:bottom w:val="single" w:sz="4" w:space="0" w:color="auto"/>
              <w:right w:val="single" w:sz="4" w:space="0" w:color="auto"/>
            </w:tcBorders>
            <w:shd w:val="clear" w:color="000000" w:fill="F2F2F2"/>
            <w:noWrap/>
            <w:vAlign w:val="center"/>
            <w:hideMark/>
          </w:tcPr>
          <w:p w14:paraId="6F9C029B"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$ 26.336.483.425</w:t>
            </w:r>
          </w:p>
        </w:tc>
        <w:tc>
          <w:tcPr>
            <w:tcW w:w="1260" w:type="dxa"/>
            <w:tcBorders>
              <w:top w:val="nil"/>
              <w:left w:val="nil"/>
              <w:bottom w:val="single" w:sz="4" w:space="0" w:color="auto"/>
              <w:right w:val="single" w:sz="4" w:space="0" w:color="auto"/>
            </w:tcBorders>
            <w:shd w:val="clear" w:color="000000" w:fill="F2F2F2"/>
            <w:noWrap/>
            <w:vAlign w:val="center"/>
            <w:hideMark/>
          </w:tcPr>
          <w:p w14:paraId="4F1CEDC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$ 263.364.834</w:t>
            </w:r>
          </w:p>
        </w:tc>
        <w:tc>
          <w:tcPr>
            <w:tcW w:w="1120" w:type="dxa"/>
            <w:tcBorders>
              <w:top w:val="nil"/>
              <w:left w:val="nil"/>
              <w:bottom w:val="single" w:sz="4" w:space="0" w:color="auto"/>
              <w:right w:val="single" w:sz="4" w:space="0" w:color="auto"/>
            </w:tcBorders>
            <w:shd w:val="clear" w:color="000000" w:fill="F2F2F2"/>
            <w:noWrap/>
            <w:vAlign w:val="center"/>
            <w:hideMark/>
          </w:tcPr>
          <w:p w14:paraId="23DA62FA"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$ 10.960</w:t>
            </w:r>
          </w:p>
        </w:tc>
        <w:tc>
          <w:tcPr>
            <w:tcW w:w="1260" w:type="dxa"/>
            <w:tcBorders>
              <w:top w:val="nil"/>
              <w:left w:val="nil"/>
              <w:bottom w:val="single" w:sz="4" w:space="0" w:color="auto"/>
              <w:right w:val="single" w:sz="4" w:space="0" w:color="auto"/>
            </w:tcBorders>
            <w:shd w:val="clear" w:color="000000" w:fill="F2F2F2"/>
            <w:noWrap/>
            <w:vAlign w:val="center"/>
            <w:hideMark/>
          </w:tcPr>
          <w:p w14:paraId="0C13E472"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$ 263.375.795</w:t>
            </w:r>
          </w:p>
        </w:tc>
        <w:tc>
          <w:tcPr>
            <w:tcW w:w="1920" w:type="dxa"/>
            <w:tcBorders>
              <w:top w:val="nil"/>
              <w:left w:val="nil"/>
              <w:bottom w:val="single" w:sz="4" w:space="0" w:color="auto"/>
              <w:right w:val="single" w:sz="4" w:space="0" w:color="auto"/>
            </w:tcBorders>
            <w:shd w:val="clear" w:color="000000" w:fill="F2F2F2"/>
            <w:vAlign w:val="center"/>
            <w:hideMark/>
          </w:tcPr>
          <w:p w14:paraId="722F91CC"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GAS POR REDES</w:t>
            </w:r>
          </w:p>
        </w:tc>
      </w:tr>
      <w:tr w:rsidR="00D705A6" w:rsidRPr="002E0BB9" w14:paraId="1273260D" w14:textId="77777777" w:rsidTr="007D1249">
        <w:trPr>
          <w:trHeight w:val="4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6571D838"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113</w:t>
            </w:r>
          </w:p>
        </w:tc>
        <w:tc>
          <w:tcPr>
            <w:tcW w:w="560" w:type="dxa"/>
            <w:tcBorders>
              <w:top w:val="nil"/>
              <w:left w:val="nil"/>
              <w:bottom w:val="single" w:sz="4" w:space="0" w:color="auto"/>
              <w:right w:val="single" w:sz="4" w:space="0" w:color="auto"/>
            </w:tcBorders>
            <w:shd w:val="clear" w:color="000000" w:fill="F2F2F2"/>
            <w:noWrap/>
            <w:vAlign w:val="center"/>
            <w:hideMark/>
          </w:tcPr>
          <w:p w14:paraId="5B80CDC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1014</w:t>
            </w:r>
          </w:p>
        </w:tc>
        <w:tc>
          <w:tcPr>
            <w:tcW w:w="920" w:type="dxa"/>
            <w:tcBorders>
              <w:top w:val="nil"/>
              <w:left w:val="nil"/>
              <w:bottom w:val="single" w:sz="4" w:space="0" w:color="auto"/>
              <w:right w:val="single" w:sz="4" w:space="0" w:color="auto"/>
            </w:tcBorders>
            <w:shd w:val="clear" w:color="000000" w:fill="F2F2F2"/>
            <w:noWrap/>
            <w:vAlign w:val="center"/>
            <w:hideMark/>
          </w:tcPr>
          <w:p w14:paraId="77637201"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891180001</w:t>
            </w:r>
          </w:p>
        </w:tc>
        <w:tc>
          <w:tcPr>
            <w:tcW w:w="2180" w:type="dxa"/>
            <w:tcBorders>
              <w:top w:val="nil"/>
              <w:left w:val="nil"/>
              <w:bottom w:val="single" w:sz="4" w:space="0" w:color="auto"/>
              <w:right w:val="single" w:sz="4" w:space="0" w:color="auto"/>
            </w:tcBorders>
            <w:shd w:val="clear" w:color="000000" w:fill="F2F2F2"/>
            <w:vAlign w:val="center"/>
            <w:hideMark/>
          </w:tcPr>
          <w:p w14:paraId="3D199656"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ELECTRIFICADORA DEL HUILA S.A. E.S.P.</w:t>
            </w:r>
          </w:p>
        </w:tc>
        <w:tc>
          <w:tcPr>
            <w:tcW w:w="1520" w:type="dxa"/>
            <w:tcBorders>
              <w:top w:val="nil"/>
              <w:left w:val="nil"/>
              <w:bottom w:val="single" w:sz="4" w:space="0" w:color="auto"/>
              <w:right w:val="single" w:sz="4" w:space="0" w:color="auto"/>
            </w:tcBorders>
            <w:shd w:val="clear" w:color="000000" w:fill="F2F2F2"/>
            <w:noWrap/>
            <w:vAlign w:val="center"/>
            <w:hideMark/>
          </w:tcPr>
          <w:p w14:paraId="19A9326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$ 28.162.856.000</w:t>
            </w:r>
          </w:p>
        </w:tc>
        <w:tc>
          <w:tcPr>
            <w:tcW w:w="1440" w:type="dxa"/>
            <w:tcBorders>
              <w:top w:val="nil"/>
              <w:left w:val="nil"/>
              <w:bottom w:val="single" w:sz="4" w:space="0" w:color="auto"/>
              <w:right w:val="single" w:sz="4" w:space="0" w:color="auto"/>
            </w:tcBorders>
            <w:shd w:val="clear" w:color="000000" w:fill="F2F2F2"/>
            <w:noWrap/>
            <w:vAlign w:val="center"/>
            <w:hideMark/>
          </w:tcPr>
          <w:p w14:paraId="0AFEF54E"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$ 3.307.037.877</w:t>
            </w:r>
          </w:p>
        </w:tc>
        <w:tc>
          <w:tcPr>
            <w:tcW w:w="1460" w:type="dxa"/>
            <w:tcBorders>
              <w:top w:val="nil"/>
              <w:left w:val="nil"/>
              <w:bottom w:val="single" w:sz="4" w:space="0" w:color="auto"/>
              <w:right w:val="single" w:sz="4" w:space="0" w:color="auto"/>
            </w:tcBorders>
            <w:shd w:val="clear" w:color="000000" w:fill="F2F2F2"/>
            <w:noWrap/>
            <w:vAlign w:val="center"/>
            <w:hideMark/>
          </w:tcPr>
          <w:p w14:paraId="7215760B"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$ 31.469.893.877</w:t>
            </w:r>
          </w:p>
        </w:tc>
        <w:tc>
          <w:tcPr>
            <w:tcW w:w="1260" w:type="dxa"/>
            <w:tcBorders>
              <w:top w:val="nil"/>
              <w:left w:val="nil"/>
              <w:bottom w:val="single" w:sz="4" w:space="0" w:color="auto"/>
              <w:right w:val="single" w:sz="4" w:space="0" w:color="auto"/>
            </w:tcBorders>
            <w:shd w:val="clear" w:color="000000" w:fill="F2F2F2"/>
            <w:noWrap/>
            <w:vAlign w:val="center"/>
            <w:hideMark/>
          </w:tcPr>
          <w:p w14:paraId="3C5E737D"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$ 314.698.939</w:t>
            </w:r>
          </w:p>
        </w:tc>
        <w:tc>
          <w:tcPr>
            <w:tcW w:w="1120" w:type="dxa"/>
            <w:tcBorders>
              <w:top w:val="nil"/>
              <w:left w:val="nil"/>
              <w:bottom w:val="single" w:sz="4" w:space="0" w:color="auto"/>
              <w:right w:val="single" w:sz="4" w:space="0" w:color="auto"/>
            </w:tcBorders>
            <w:shd w:val="clear" w:color="000000" w:fill="F2F2F2"/>
            <w:noWrap/>
            <w:vAlign w:val="center"/>
            <w:hideMark/>
          </w:tcPr>
          <w:p w14:paraId="0E81670B"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$ 13.097</w:t>
            </w:r>
          </w:p>
        </w:tc>
        <w:tc>
          <w:tcPr>
            <w:tcW w:w="1260" w:type="dxa"/>
            <w:tcBorders>
              <w:top w:val="nil"/>
              <w:left w:val="nil"/>
              <w:bottom w:val="single" w:sz="4" w:space="0" w:color="auto"/>
              <w:right w:val="single" w:sz="4" w:space="0" w:color="auto"/>
            </w:tcBorders>
            <w:shd w:val="clear" w:color="000000" w:fill="F2F2F2"/>
            <w:noWrap/>
            <w:vAlign w:val="center"/>
            <w:hideMark/>
          </w:tcPr>
          <w:p w14:paraId="155AC24D"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$ 314.712.035</w:t>
            </w:r>
          </w:p>
        </w:tc>
        <w:tc>
          <w:tcPr>
            <w:tcW w:w="1920" w:type="dxa"/>
            <w:tcBorders>
              <w:top w:val="nil"/>
              <w:left w:val="nil"/>
              <w:bottom w:val="single" w:sz="4" w:space="0" w:color="auto"/>
              <w:right w:val="single" w:sz="4" w:space="0" w:color="auto"/>
            </w:tcBorders>
            <w:shd w:val="clear" w:color="000000" w:fill="F2F2F2"/>
            <w:vAlign w:val="center"/>
            <w:hideMark/>
          </w:tcPr>
          <w:p w14:paraId="55DCCB61"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w:t>
            </w:r>
          </w:p>
        </w:tc>
      </w:tr>
      <w:tr w:rsidR="00D705A6" w:rsidRPr="002E0BB9" w14:paraId="04BA74C9" w14:textId="77777777" w:rsidTr="007D1249">
        <w:trPr>
          <w:trHeight w:val="4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66878415"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114</w:t>
            </w:r>
          </w:p>
        </w:tc>
        <w:tc>
          <w:tcPr>
            <w:tcW w:w="560" w:type="dxa"/>
            <w:tcBorders>
              <w:top w:val="nil"/>
              <w:left w:val="nil"/>
              <w:bottom w:val="single" w:sz="4" w:space="0" w:color="auto"/>
              <w:right w:val="single" w:sz="4" w:space="0" w:color="auto"/>
            </w:tcBorders>
            <w:shd w:val="clear" w:color="000000" w:fill="F2F2F2"/>
            <w:noWrap/>
            <w:vAlign w:val="center"/>
            <w:hideMark/>
          </w:tcPr>
          <w:p w14:paraId="77E2FEC7"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1032</w:t>
            </w:r>
          </w:p>
        </w:tc>
        <w:tc>
          <w:tcPr>
            <w:tcW w:w="920" w:type="dxa"/>
            <w:tcBorders>
              <w:top w:val="nil"/>
              <w:left w:val="nil"/>
              <w:bottom w:val="single" w:sz="4" w:space="0" w:color="auto"/>
              <w:right w:val="single" w:sz="4" w:space="0" w:color="auto"/>
            </w:tcBorders>
            <w:shd w:val="clear" w:color="000000" w:fill="F2F2F2"/>
            <w:noWrap/>
            <w:vAlign w:val="center"/>
            <w:hideMark/>
          </w:tcPr>
          <w:p w14:paraId="5A5520BC"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891190127</w:t>
            </w:r>
          </w:p>
        </w:tc>
        <w:tc>
          <w:tcPr>
            <w:tcW w:w="2180" w:type="dxa"/>
            <w:tcBorders>
              <w:top w:val="nil"/>
              <w:left w:val="nil"/>
              <w:bottom w:val="single" w:sz="4" w:space="0" w:color="auto"/>
              <w:right w:val="single" w:sz="4" w:space="0" w:color="auto"/>
            </w:tcBorders>
            <w:shd w:val="clear" w:color="000000" w:fill="F2F2F2"/>
            <w:vAlign w:val="center"/>
            <w:hideMark/>
          </w:tcPr>
          <w:p w14:paraId="0ED5C3A9"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ELECTRIFICADORA DEL CAQUETA S.A. ESP</w:t>
            </w:r>
          </w:p>
        </w:tc>
        <w:tc>
          <w:tcPr>
            <w:tcW w:w="1520" w:type="dxa"/>
            <w:tcBorders>
              <w:top w:val="nil"/>
              <w:left w:val="nil"/>
              <w:bottom w:val="single" w:sz="4" w:space="0" w:color="auto"/>
              <w:right w:val="single" w:sz="4" w:space="0" w:color="auto"/>
            </w:tcBorders>
            <w:shd w:val="clear" w:color="000000" w:fill="F2F2F2"/>
            <w:noWrap/>
            <w:vAlign w:val="center"/>
            <w:hideMark/>
          </w:tcPr>
          <w:p w14:paraId="39BFEB6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$ 8.202.125.000</w:t>
            </w:r>
          </w:p>
        </w:tc>
        <w:tc>
          <w:tcPr>
            <w:tcW w:w="1440" w:type="dxa"/>
            <w:tcBorders>
              <w:top w:val="nil"/>
              <w:left w:val="nil"/>
              <w:bottom w:val="single" w:sz="4" w:space="0" w:color="auto"/>
              <w:right w:val="single" w:sz="4" w:space="0" w:color="auto"/>
            </w:tcBorders>
            <w:shd w:val="clear" w:color="000000" w:fill="F2F2F2"/>
            <w:noWrap/>
            <w:vAlign w:val="center"/>
            <w:hideMark/>
          </w:tcPr>
          <w:p w14:paraId="12B7CE47"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$ 830.719.175</w:t>
            </w:r>
          </w:p>
        </w:tc>
        <w:tc>
          <w:tcPr>
            <w:tcW w:w="1460" w:type="dxa"/>
            <w:tcBorders>
              <w:top w:val="nil"/>
              <w:left w:val="nil"/>
              <w:bottom w:val="single" w:sz="4" w:space="0" w:color="auto"/>
              <w:right w:val="single" w:sz="4" w:space="0" w:color="auto"/>
            </w:tcBorders>
            <w:shd w:val="clear" w:color="000000" w:fill="F2F2F2"/>
            <w:noWrap/>
            <w:vAlign w:val="center"/>
            <w:hideMark/>
          </w:tcPr>
          <w:p w14:paraId="3071422D"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$ 9.032.844.175</w:t>
            </w:r>
          </w:p>
        </w:tc>
        <w:tc>
          <w:tcPr>
            <w:tcW w:w="1260" w:type="dxa"/>
            <w:tcBorders>
              <w:top w:val="nil"/>
              <w:left w:val="nil"/>
              <w:bottom w:val="single" w:sz="4" w:space="0" w:color="auto"/>
              <w:right w:val="single" w:sz="4" w:space="0" w:color="auto"/>
            </w:tcBorders>
            <w:shd w:val="clear" w:color="000000" w:fill="F2F2F2"/>
            <w:noWrap/>
            <w:vAlign w:val="center"/>
            <w:hideMark/>
          </w:tcPr>
          <w:p w14:paraId="04047DA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$ 90.328.442</w:t>
            </w:r>
          </w:p>
        </w:tc>
        <w:tc>
          <w:tcPr>
            <w:tcW w:w="1120" w:type="dxa"/>
            <w:tcBorders>
              <w:top w:val="nil"/>
              <w:left w:val="nil"/>
              <w:bottom w:val="single" w:sz="4" w:space="0" w:color="auto"/>
              <w:right w:val="single" w:sz="4" w:space="0" w:color="auto"/>
            </w:tcBorders>
            <w:shd w:val="clear" w:color="000000" w:fill="F2F2F2"/>
            <w:noWrap/>
            <w:vAlign w:val="center"/>
            <w:hideMark/>
          </w:tcPr>
          <w:p w14:paraId="3B55708C"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$ 3.759</w:t>
            </w:r>
          </w:p>
        </w:tc>
        <w:tc>
          <w:tcPr>
            <w:tcW w:w="1260" w:type="dxa"/>
            <w:tcBorders>
              <w:top w:val="nil"/>
              <w:left w:val="nil"/>
              <w:bottom w:val="single" w:sz="4" w:space="0" w:color="auto"/>
              <w:right w:val="single" w:sz="4" w:space="0" w:color="auto"/>
            </w:tcBorders>
            <w:shd w:val="clear" w:color="000000" w:fill="F2F2F2"/>
            <w:noWrap/>
            <w:vAlign w:val="center"/>
            <w:hideMark/>
          </w:tcPr>
          <w:p w14:paraId="57CB6E85"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$ 90.332.201</w:t>
            </w:r>
          </w:p>
        </w:tc>
        <w:tc>
          <w:tcPr>
            <w:tcW w:w="1920" w:type="dxa"/>
            <w:tcBorders>
              <w:top w:val="nil"/>
              <w:left w:val="nil"/>
              <w:bottom w:val="single" w:sz="4" w:space="0" w:color="auto"/>
              <w:right w:val="single" w:sz="4" w:space="0" w:color="auto"/>
            </w:tcBorders>
            <w:shd w:val="clear" w:color="000000" w:fill="F2F2F2"/>
            <w:vAlign w:val="center"/>
            <w:hideMark/>
          </w:tcPr>
          <w:p w14:paraId="325BBEFB"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w:t>
            </w:r>
          </w:p>
        </w:tc>
      </w:tr>
      <w:tr w:rsidR="00D705A6" w:rsidRPr="002E0BB9" w14:paraId="2CB5D193" w14:textId="77777777" w:rsidTr="007D1249">
        <w:trPr>
          <w:trHeight w:val="4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001EEF15"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115</w:t>
            </w:r>
          </w:p>
        </w:tc>
        <w:tc>
          <w:tcPr>
            <w:tcW w:w="560" w:type="dxa"/>
            <w:tcBorders>
              <w:top w:val="nil"/>
              <w:left w:val="nil"/>
              <w:bottom w:val="single" w:sz="4" w:space="0" w:color="auto"/>
              <w:right w:val="single" w:sz="4" w:space="0" w:color="auto"/>
            </w:tcBorders>
            <w:shd w:val="clear" w:color="000000" w:fill="F2F2F2"/>
            <w:noWrap/>
            <w:vAlign w:val="center"/>
            <w:hideMark/>
          </w:tcPr>
          <w:p w14:paraId="3DC6A49D"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520</w:t>
            </w:r>
          </w:p>
        </w:tc>
        <w:tc>
          <w:tcPr>
            <w:tcW w:w="920" w:type="dxa"/>
            <w:tcBorders>
              <w:top w:val="nil"/>
              <w:left w:val="nil"/>
              <w:bottom w:val="single" w:sz="4" w:space="0" w:color="auto"/>
              <w:right w:val="single" w:sz="4" w:space="0" w:color="auto"/>
            </w:tcBorders>
            <w:shd w:val="clear" w:color="000000" w:fill="F2F2F2"/>
            <w:noWrap/>
            <w:vAlign w:val="center"/>
            <w:hideMark/>
          </w:tcPr>
          <w:p w14:paraId="08A5E66B"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891200200</w:t>
            </w:r>
          </w:p>
        </w:tc>
        <w:tc>
          <w:tcPr>
            <w:tcW w:w="2180" w:type="dxa"/>
            <w:tcBorders>
              <w:top w:val="nil"/>
              <w:left w:val="nil"/>
              <w:bottom w:val="single" w:sz="4" w:space="0" w:color="auto"/>
              <w:right w:val="single" w:sz="4" w:space="0" w:color="auto"/>
            </w:tcBorders>
            <w:shd w:val="clear" w:color="000000" w:fill="F2F2F2"/>
            <w:vAlign w:val="center"/>
            <w:hideMark/>
          </w:tcPr>
          <w:p w14:paraId="5F854E64"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CENTRALES ELECTRICAS DE NARIÑO S.A. E.S.P.</w:t>
            </w:r>
          </w:p>
        </w:tc>
        <w:tc>
          <w:tcPr>
            <w:tcW w:w="1520" w:type="dxa"/>
            <w:tcBorders>
              <w:top w:val="nil"/>
              <w:left w:val="nil"/>
              <w:bottom w:val="single" w:sz="4" w:space="0" w:color="auto"/>
              <w:right w:val="single" w:sz="4" w:space="0" w:color="auto"/>
            </w:tcBorders>
            <w:shd w:val="clear" w:color="000000" w:fill="F2F2F2"/>
            <w:noWrap/>
            <w:vAlign w:val="center"/>
            <w:hideMark/>
          </w:tcPr>
          <w:p w14:paraId="181D4306"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$ 21.934.384.000</w:t>
            </w:r>
          </w:p>
        </w:tc>
        <w:tc>
          <w:tcPr>
            <w:tcW w:w="1440" w:type="dxa"/>
            <w:tcBorders>
              <w:top w:val="nil"/>
              <w:left w:val="nil"/>
              <w:bottom w:val="single" w:sz="4" w:space="0" w:color="auto"/>
              <w:right w:val="single" w:sz="4" w:space="0" w:color="auto"/>
            </w:tcBorders>
            <w:shd w:val="clear" w:color="000000" w:fill="F2F2F2"/>
            <w:noWrap/>
            <w:vAlign w:val="center"/>
            <w:hideMark/>
          </w:tcPr>
          <w:p w14:paraId="35A0F7D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$ 2.251.359.380</w:t>
            </w:r>
          </w:p>
        </w:tc>
        <w:tc>
          <w:tcPr>
            <w:tcW w:w="1460" w:type="dxa"/>
            <w:tcBorders>
              <w:top w:val="nil"/>
              <w:left w:val="nil"/>
              <w:bottom w:val="single" w:sz="4" w:space="0" w:color="auto"/>
              <w:right w:val="single" w:sz="4" w:space="0" w:color="auto"/>
            </w:tcBorders>
            <w:shd w:val="clear" w:color="000000" w:fill="F2F2F2"/>
            <w:noWrap/>
            <w:vAlign w:val="center"/>
            <w:hideMark/>
          </w:tcPr>
          <w:p w14:paraId="7B51224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$ 24.185.743.380</w:t>
            </w:r>
          </w:p>
        </w:tc>
        <w:tc>
          <w:tcPr>
            <w:tcW w:w="1260" w:type="dxa"/>
            <w:tcBorders>
              <w:top w:val="nil"/>
              <w:left w:val="nil"/>
              <w:bottom w:val="single" w:sz="4" w:space="0" w:color="auto"/>
              <w:right w:val="single" w:sz="4" w:space="0" w:color="auto"/>
            </w:tcBorders>
            <w:shd w:val="clear" w:color="000000" w:fill="F2F2F2"/>
            <w:noWrap/>
            <w:vAlign w:val="center"/>
            <w:hideMark/>
          </w:tcPr>
          <w:p w14:paraId="729D3E4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$ 241.857.434</w:t>
            </w:r>
          </w:p>
        </w:tc>
        <w:tc>
          <w:tcPr>
            <w:tcW w:w="1120" w:type="dxa"/>
            <w:tcBorders>
              <w:top w:val="nil"/>
              <w:left w:val="nil"/>
              <w:bottom w:val="single" w:sz="4" w:space="0" w:color="auto"/>
              <w:right w:val="single" w:sz="4" w:space="0" w:color="auto"/>
            </w:tcBorders>
            <w:shd w:val="clear" w:color="000000" w:fill="F2F2F2"/>
            <w:noWrap/>
            <w:vAlign w:val="center"/>
            <w:hideMark/>
          </w:tcPr>
          <w:p w14:paraId="156B426D"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$ 10.065</w:t>
            </w:r>
          </w:p>
        </w:tc>
        <w:tc>
          <w:tcPr>
            <w:tcW w:w="1260" w:type="dxa"/>
            <w:tcBorders>
              <w:top w:val="nil"/>
              <w:left w:val="nil"/>
              <w:bottom w:val="single" w:sz="4" w:space="0" w:color="auto"/>
              <w:right w:val="single" w:sz="4" w:space="0" w:color="auto"/>
            </w:tcBorders>
            <w:shd w:val="clear" w:color="000000" w:fill="F2F2F2"/>
            <w:noWrap/>
            <w:vAlign w:val="center"/>
            <w:hideMark/>
          </w:tcPr>
          <w:p w14:paraId="4EE0033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$ 241.867.499</w:t>
            </w:r>
          </w:p>
        </w:tc>
        <w:tc>
          <w:tcPr>
            <w:tcW w:w="1920" w:type="dxa"/>
            <w:tcBorders>
              <w:top w:val="nil"/>
              <w:left w:val="nil"/>
              <w:bottom w:val="single" w:sz="4" w:space="0" w:color="auto"/>
              <w:right w:val="single" w:sz="4" w:space="0" w:color="auto"/>
            </w:tcBorders>
            <w:shd w:val="clear" w:color="000000" w:fill="F2F2F2"/>
            <w:vAlign w:val="center"/>
            <w:hideMark/>
          </w:tcPr>
          <w:p w14:paraId="02E88152"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w:t>
            </w:r>
          </w:p>
        </w:tc>
      </w:tr>
      <w:tr w:rsidR="00D705A6" w:rsidRPr="002E0BB9" w14:paraId="217B2A6B" w14:textId="77777777" w:rsidTr="007D1249">
        <w:trPr>
          <w:trHeight w:val="6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5635C361"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116</w:t>
            </w:r>
          </w:p>
        </w:tc>
        <w:tc>
          <w:tcPr>
            <w:tcW w:w="560" w:type="dxa"/>
            <w:tcBorders>
              <w:top w:val="nil"/>
              <w:left w:val="nil"/>
              <w:bottom w:val="single" w:sz="4" w:space="0" w:color="auto"/>
              <w:right w:val="single" w:sz="4" w:space="0" w:color="auto"/>
            </w:tcBorders>
            <w:shd w:val="clear" w:color="000000" w:fill="F2F2F2"/>
            <w:noWrap/>
            <w:vAlign w:val="center"/>
            <w:hideMark/>
          </w:tcPr>
          <w:p w14:paraId="67953BF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6026</w:t>
            </w:r>
          </w:p>
        </w:tc>
        <w:tc>
          <w:tcPr>
            <w:tcW w:w="920" w:type="dxa"/>
            <w:tcBorders>
              <w:top w:val="nil"/>
              <w:left w:val="nil"/>
              <w:bottom w:val="single" w:sz="4" w:space="0" w:color="auto"/>
              <w:right w:val="single" w:sz="4" w:space="0" w:color="auto"/>
            </w:tcBorders>
            <w:shd w:val="clear" w:color="000000" w:fill="F2F2F2"/>
            <w:noWrap/>
            <w:vAlign w:val="center"/>
            <w:hideMark/>
          </w:tcPr>
          <w:p w14:paraId="6329BFB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891202203</w:t>
            </w:r>
          </w:p>
        </w:tc>
        <w:tc>
          <w:tcPr>
            <w:tcW w:w="2180" w:type="dxa"/>
            <w:tcBorders>
              <w:top w:val="nil"/>
              <w:left w:val="nil"/>
              <w:bottom w:val="single" w:sz="4" w:space="0" w:color="auto"/>
              <w:right w:val="single" w:sz="4" w:space="0" w:color="auto"/>
            </w:tcBorders>
            <w:shd w:val="clear" w:color="000000" w:fill="F2F2F2"/>
            <w:vAlign w:val="center"/>
            <w:hideMark/>
          </w:tcPr>
          <w:p w14:paraId="53AC41D8" w14:textId="77777777" w:rsidR="00D705A6" w:rsidRPr="002E0BB9" w:rsidRDefault="00D705A6" w:rsidP="00D22441">
            <w:pPr>
              <w:jc w:val="left"/>
              <w:rPr>
                <w:rFonts w:ascii="Arial Narrow" w:hAnsi="Arial Narrow" w:cs="Arial"/>
                <w:spacing w:val="0"/>
                <w:sz w:val="16"/>
                <w:szCs w:val="16"/>
                <w:lang w:val="en-GB" w:eastAsia="es-MX"/>
              </w:rPr>
            </w:pPr>
            <w:r w:rsidRPr="002E0BB9">
              <w:rPr>
                <w:rFonts w:ascii="Arial Narrow" w:hAnsi="Arial Narrow" w:cs="Arial"/>
                <w:spacing w:val="0"/>
                <w:sz w:val="16"/>
                <w:szCs w:val="16"/>
                <w:lang w:val="en-GB" w:eastAsia="es-MX"/>
              </w:rPr>
              <w:t>MONTAGAS S.A. E.S.P.</w:t>
            </w:r>
          </w:p>
        </w:tc>
        <w:tc>
          <w:tcPr>
            <w:tcW w:w="1520" w:type="dxa"/>
            <w:tcBorders>
              <w:top w:val="nil"/>
              <w:left w:val="nil"/>
              <w:bottom w:val="single" w:sz="4" w:space="0" w:color="auto"/>
              <w:right w:val="single" w:sz="4" w:space="0" w:color="auto"/>
            </w:tcBorders>
            <w:shd w:val="clear" w:color="000000" w:fill="F2F2F2"/>
            <w:noWrap/>
            <w:vAlign w:val="center"/>
            <w:hideMark/>
          </w:tcPr>
          <w:p w14:paraId="1266D31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$ 5.019.639.000</w:t>
            </w:r>
          </w:p>
        </w:tc>
        <w:tc>
          <w:tcPr>
            <w:tcW w:w="1440" w:type="dxa"/>
            <w:tcBorders>
              <w:top w:val="nil"/>
              <w:left w:val="nil"/>
              <w:bottom w:val="single" w:sz="4" w:space="0" w:color="auto"/>
              <w:right w:val="single" w:sz="4" w:space="0" w:color="auto"/>
            </w:tcBorders>
            <w:shd w:val="clear" w:color="000000" w:fill="F2F2F2"/>
            <w:noWrap/>
            <w:vAlign w:val="center"/>
            <w:hideMark/>
          </w:tcPr>
          <w:p w14:paraId="0DBBCD41"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$ 1.076.296.736</w:t>
            </w:r>
          </w:p>
        </w:tc>
        <w:tc>
          <w:tcPr>
            <w:tcW w:w="1460" w:type="dxa"/>
            <w:tcBorders>
              <w:top w:val="nil"/>
              <w:left w:val="nil"/>
              <w:bottom w:val="single" w:sz="4" w:space="0" w:color="auto"/>
              <w:right w:val="single" w:sz="4" w:space="0" w:color="auto"/>
            </w:tcBorders>
            <w:shd w:val="clear" w:color="000000" w:fill="F2F2F2"/>
            <w:noWrap/>
            <w:vAlign w:val="center"/>
            <w:hideMark/>
          </w:tcPr>
          <w:p w14:paraId="78BDF22E"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$ 6.095.935.736</w:t>
            </w:r>
          </w:p>
        </w:tc>
        <w:tc>
          <w:tcPr>
            <w:tcW w:w="1260" w:type="dxa"/>
            <w:tcBorders>
              <w:top w:val="nil"/>
              <w:left w:val="nil"/>
              <w:bottom w:val="single" w:sz="4" w:space="0" w:color="auto"/>
              <w:right w:val="single" w:sz="4" w:space="0" w:color="auto"/>
            </w:tcBorders>
            <w:shd w:val="clear" w:color="000000" w:fill="F2F2F2"/>
            <w:noWrap/>
            <w:vAlign w:val="center"/>
            <w:hideMark/>
          </w:tcPr>
          <w:p w14:paraId="2A00B81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$ 60.959.357</w:t>
            </w:r>
          </w:p>
        </w:tc>
        <w:tc>
          <w:tcPr>
            <w:tcW w:w="1120" w:type="dxa"/>
            <w:tcBorders>
              <w:top w:val="nil"/>
              <w:left w:val="nil"/>
              <w:bottom w:val="single" w:sz="4" w:space="0" w:color="auto"/>
              <w:right w:val="single" w:sz="4" w:space="0" w:color="auto"/>
            </w:tcBorders>
            <w:shd w:val="clear" w:color="000000" w:fill="F2F2F2"/>
            <w:noWrap/>
            <w:vAlign w:val="center"/>
            <w:hideMark/>
          </w:tcPr>
          <w:p w14:paraId="78A20045"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$ 2.537</w:t>
            </w:r>
          </w:p>
        </w:tc>
        <w:tc>
          <w:tcPr>
            <w:tcW w:w="1260" w:type="dxa"/>
            <w:tcBorders>
              <w:top w:val="nil"/>
              <w:left w:val="nil"/>
              <w:bottom w:val="single" w:sz="4" w:space="0" w:color="auto"/>
              <w:right w:val="single" w:sz="4" w:space="0" w:color="auto"/>
            </w:tcBorders>
            <w:shd w:val="clear" w:color="000000" w:fill="F2F2F2"/>
            <w:noWrap/>
            <w:vAlign w:val="center"/>
            <w:hideMark/>
          </w:tcPr>
          <w:p w14:paraId="79F15BB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$ 60.961.894</w:t>
            </w:r>
          </w:p>
        </w:tc>
        <w:tc>
          <w:tcPr>
            <w:tcW w:w="1920" w:type="dxa"/>
            <w:tcBorders>
              <w:top w:val="nil"/>
              <w:left w:val="nil"/>
              <w:bottom w:val="single" w:sz="4" w:space="0" w:color="auto"/>
              <w:right w:val="single" w:sz="4" w:space="0" w:color="auto"/>
            </w:tcBorders>
            <w:shd w:val="clear" w:color="000000" w:fill="F2F2F2"/>
            <w:vAlign w:val="center"/>
            <w:hideMark/>
          </w:tcPr>
          <w:p w14:paraId="3B575C42"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GAS LICUADO DEL PETROLEO - GAS POR REDES</w:t>
            </w:r>
          </w:p>
        </w:tc>
      </w:tr>
      <w:tr w:rsidR="00D705A6" w:rsidRPr="002E0BB9" w14:paraId="0D4BD36C" w14:textId="77777777" w:rsidTr="007D1249">
        <w:trPr>
          <w:trHeight w:val="4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0D170791"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117</w:t>
            </w:r>
          </w:p>
        </w:tc>
        <w:tc>
          <w:tcPr>
            <w:tcW w:w="560" w:type="dxa"/>
            <w:tcBorders>
              <w:top w:val="nil"/>
              <w:left w:val="nil"/>
              <w:bottom w:val="single" w:sz="4" w:space="0" w:color="auto"/>
              <w:right w:val="single" w:sz="4" w:space="0" w:color="auto"/>
            </w:tcBorders>
            <w:shd w:val="clear" w:color="000000" w:fill="F2F2F2"/>
            <w:noWrap/>
            <w:vAlign w:val="center"/>
            <w:hideMark/>
          </w:tcPr>
          <w:p w14:paraId="4789FE1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1854</w:t>
            </w:r>
          </w:p>
        </w:tc>
        <w:tc>
          <w:tcPr>
            <w:tcW w:w="920" w:type="dxa"/>
            <w:tcBorders>
              <w:top w:val="nil"/>
              <w:left w:val="nil"/>
              <w:bottom w:val="single" w:sz="4" w:space="0" w:color="auto"/>
              <w:right w:val="single" w:sz="4" w:space="0" w:color="auto"/>
            </w:tcBorders>
            <w:shd w:val="clear" w:color="000000" w:fill="F2F2F2"/>
            <w:noWrap/>
            <w:vAlign w:val="center"/>
            <w:hideMark/>
          </w:tcPr>
          <w:p w14:paraId="13E5D64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891300973</w:t>
            </w:r>
          </w:p>
        </w:tc>
        <w:tc>
          <w:tcPr>
            <w:tcW w:w="2180" w:type="dxa"/>
            <w:tcBorders>
              <w:top w:val="nil"/>
              <w:left w:val="nil"/>
              <w:bottom w:val="single" w:sz="4" w:space="0" w:color="auto"/>
              <w:right w:val="single" w:sz="4" w:space="0" w:color="auto"/>
            </w:tcBorders>
            <w:shd w:val="clear" w:color="000000" w:fill="F2F2F2"/>
            <w:vAlign w:val="center"/>
            <w:hideMark/>
          </w:tcPr>
          <w:p w14:paraId="735B4447"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LIDAGAS S.A E.S.P.</w:t>
            </w:r>
          </w:p>
        </w:tc>
        <w:tc>
          <w:tcPr>
            <w:tcW w:w="1520" w:type="dxa"/>
            <w:tcBorders>
              <w:top w:val="nil"/>
              <w:left w:val="nil"/>
              <w:bottom w:val="single" w:sz="4" w:space="0" w:color="auto"/>
              <w:right w:val="single" w:sz="4" w:space="0" w:color="auto"/>
            </w:tcBorders>
            <w:shd w:val="clear" w:color="000000" w:fill="F2F2F2"/>
            <w:noWrap/>
            <w:vAlign w:val="center"/>
            <w:hideMark/>
          </w:tcPr>
          <w:p w14:paraId="0F573EB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$ 1.254.582.000</w:t>
            </w:r>
          </w:p>
        </w:tc>
        <w:tc>
          <w:tcPr>
            <w:tcW w:w="1440" w:type="dxa"/>
            <w:tcBorders>
              <w:top w:val="nil"/>
              <w:left w:val="nil"/>
              <w:bottom w:val="single" w:sz="4" w:space="0" w:color="auto"/>
              <w:right w:val="single" w:sz="4" w:space="0" w:color="auto"/>
            </w:tcBorders>
            <w:shd w:val="clear" w:color="000000" w:fill="F2F2F2"/>
            <w:noWrap/>
            <w:vAlign w:val="center"/>
            <w:hideMark/>
          </w:tcPr>
          <w:p w14:paraId="210EEF0B"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$ 125.652.672</w:t>
            </w:r>
          </w:p>
        </w:tc>
        <w:tc>
          <w:tcPr>
            <w:tcW w:w="1460" w:type="dxa"/>
            <w:tcBorders>
              <w:top w:val="nil"/>
              <w:left w:val="nil"/>
              <w:bottom w:val="single" w:sz="4" w:space="0" w:color="auto"/>
              <w:right w:val="single" w:sz="4" w:space="0" w:color="auto"/>
            </w:tcBorders>
            <w:shd w:val="clear" w:color="000000" w:fill="F2F2F2"/>
            <w:noWrap/>
            <w:vAlign w:val="center"/>
            <w:hideMark/>
          </w:tcPr>
          <w:p w14:paraId="54F541AD"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$ 1.380.234.672</w:t>
            </w:r>
          </w:p>
        </w:tc>
        <w:tc>
          <w:tcPr>
            <w:tcW w:w="1260" w:type="dxa"/>
            <w:tcBorders>
              <w:top w:val="nil"/>
              <w:left w:val="nil"/>
              <w:bottom w:val="single" w:sz="4" w:space="0" w:color="auto"/>
              <w:right w:val="single" w:sz="4" w:space="0" w:color="auto"/>
            </w:tcBorders>
            <w:shd w:val="clear" w:color="000000" w:fill="F2F2F2"/>
            <w:noWrap/>
            <w:vAlign w:val="center"/>
            <w:hideMark/>
          </w:tcPr>
          <w:p w14:paraId="5FE56B07"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$ 13.802.347</w:t>
            </w:r>
          </w:p>
        </w:tc>
        <w:tc>
          <w:tcPr>
            <w:tcW w:w="1120" w:type="dxa"/>
            <w:tcBorders>
              <w:top w:val="nil"/>
              <w:left w:val="nil"/>
              <w:bottom w:val="single" w:sz="4" w:space="0" w:color="auto"/>
              <w:right w:val="single" w:sz="4" w:space="0" w:color="auto"/>
            </w:tcBorders>
            <w:shd w:val="clear" w:color="000000" w:fill="F2F2F2"/>
            <w:noWrap/>
            <w:vAlign w:val="center"/>
            <w:hideMark/>
          </w:tcPr>
          <w:p w14:paraId="7F47DBE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$ 574</w:t>
            </w:r>
          </w:p>
        </w:tc>
        <w:tc>
          <w:tcPr>
            <w:tcW w:w="1260" w:type="dxa"/>
            <w:tcBorders>
              <w:top w:val="nil"/>
              <w:left w:val="nil"/>
              <w:bottom w:val="single" w:sz="4" w:space="0" w:color="auto"/>
              <w:right w:val="single" w:sz="4" w:space="0" w:color="auto"/>
            </w:tcBorders>
            <w:shd w:val="clear" w:color="000000" w:fill="F2F2F2"/>
            <w:noWrap/>
            <w:vAlign w:val="center"/>
            <w:hideMark/>
          </w:tcPr>
          <w:p w14:paraId="02CD4B5A"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$ 13.802.921</w:t>
            </w:r>
          </w:p>
        </w:tc>
        <w:tc>
          <w:tcPr>
            <w:tcW w:w="1920" w:type="dxa"/>
            <w:tcBorders>
              <w:top w:val="nil"/>
              <w:left w:val="nil"/>
              <w:bottom w:val="single" w:sz="4" w:space="0" w:color="auto"/>
              <w:right w:val="single" w:sz="4" w:space="0" w:color="auto"/>
            </w:tcBorders>
            <w:shd w:val="clear" w:color="000000" w:fill="F2F2F2"/>
            <w:vAlign w:val="center"/>
            <w:hideMark/>
          </w:tcPr>
          <w:p w14:paraId="18D061FD"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GAS LICUADO DEL PETROLEO</w:t>
            </w:r>
          </w:p>
        </w:tc>
      </w:tr>
      <w:tr w:rsidR="00D705A6" w:rsidRPr="002E0BB9" w14:paraId="0ED279ED" w14:textId="77777777" w:rsidTr="007D1249">
        <w:trPr>
          <w:trHeight w:val="4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30FA9CAB"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lastRenderedPageBreak/>
              <w:t>118</w:t>
            </w:r>
          </w:p>
        </w:tc>
        <w:tc>
          <w:tcPr>
            <w:tcW w:w="560" w:type="dxa"/>
            <w:tcBorders>
              <w:top w:val="nil"/>
              <w:left w:val="nil"/>
              <w:bottom w:val="single" w:sz="4" w:space="0" w:color="auto"/>
              <w:right w:val="single" w:sz="4" w:space="0" w:color="auto"/>
            </w:tcBorders>
            <w:shd w:val="clear" w:color="000000" w:fill="F2F2F2"/>
            <w:noWrap/>
            <w:vAlign w:val="center"/>
            <w:hideMark/>
          </w:tcPr>
          <w:p w14:paraId="19591C1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1564</w:t>
            </w:r>
          </w:p>
        </w:tc>
        <w:tc>
          <w:tcPr>
            <w:tcW w:w="920" w:type="dxa"/>
            <w:tcBorders>
              <w:top w:val="nil"/>
              <w:left w:val="nil"/>
              <w:bottom w:val="single" w:sz="4" w:space="0" w:color="auto"/>
              <w:right w:val="single" w:sz="4" w:space="0" w:color="auto"/>
            </w:tcBorders>
            <w:shd w:val="clear" w:color="000000" w:fill="F2F2F2"/>
            <w:noWrap/>
            <w:vAlign w:val="center"/>
            <w:hideMark/>
          </w:tcPr>
          <w:p w14:paraId="0A96B11D"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891400900</w:t>
            </w:r>
          </w:p>
        </w:tc>
        <w:tc>
          <w:tcPr>
            <w:tcW w:w="2180" w:type="dxa"/>
            <w:tcBorders>
              <w:top w:val="nil"/>
              <w:left w:val="nil"/>
              <w:bottom w:val="single" w:sz="4" w:space="0" w:color="auto"/>
              <w:right w:val="single" w:sz="4" w:space="0" w:color="auto"/>
            </w:tcBorders>
            <w:shd w:val="clear" w:color="000000" w:fill="F2F2F2"/>
            <w:vAlign w:val="center"/>
            <w:hideMark/>
          </w:tcPr>
          <w:p w14:paraId="52155F74"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ELECTROGAS SA ESP</w:t>
            </w:r>
          </w:p>
        </w:tc>
        <w:tc>
          <w:tcPr>
            <w:tcW w:w="1520" w:type="dxa"/>
            <w:tcBorders>
              <w:top w:val="nil"/>
              <w:left w:val="nil"/>
              <w:bottom w:val="single" w:sz="4" w:space="0" w:color="auto"/>
              <w:right w:val="single" w:sz="4" w:space="0" w:color="auto"/>
            </w:tcBorders>
            <w:shd w:val="clear" w:color="000000" w:fill="F2F2F2"/>
            <w:noWrap/>
            <w:vAlign w:val="center"/>
            <w:hideMark/>
          </w:tcPr>
          <w:p w14:paraId="18FBCEA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$ 296.545.000</w:t>
            </w:r>
          </w:p>
        </w:tc>
        <w:tc>
          <w:tcPr>
            <w:tcW w:w="1440" w:type="dxa"/>
            <w:tcBorders>
              <w:top w:val="nil"/>
              <w:left w:val="nil"/>
              <w:bottom w:val="single" w:sz="4" w:space="0" w:color="auto"/>
              <w:right w:val="single" w:sz="4" w:space="0" w:color="auto"/>
            </w:tcBorders>
            <w:shd w:val="clear" w:color="000000" w:fill="F2F2F2"/>
            <w:noWrap/>
            <w:vAlign w:val="center"/>
            <w:hideMark/>
          </w:tcPr>
          <w:p w14:paraId="0F3339D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$ 12.431.197</w:t>
            </w:r>
          </w:p>
        </w:tc>
        <w:tc>
          <w:tcPr>
            <w:tcW w:w="1460" w:type="dxa"/>
            <w:tcBorders>
              <w:top w:val="nil"/>
              <w:left w:val="nil"/>
              <w:bottom w:val="single" w:sz="4" w:space="0" w:color="auto"/>
              <w:right w:val="single" w:sz="4" w:space="0" w:color="auto"/>
            </w:tcBorders>
            <w:shd w:val="clear" w:color="000000" w:fill="F2F2F2"/>
            <w:noWrap/>
            <w:vAlign w:val="center"/>
            <w:hideMark/>
          </w:tcPr>
          <w:p w14:paraId="3B3E421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$ 308.976.197</w:t>
            </w:r>
          </w:p>
        </w:tc>
        <w:tc>
          <w:tcPr>
            <w:tcW w:w="1260" w:type="dxa"/>
            <w:tcBorders>
              <w:top w:val="nil"/>
              <w:left w:val="nil"/>
              <w:bottom w:val="single" w:sz="4" w:space="0" w:color="auto"/>
              <w:right w:val="single" w:sz="4" w:space="0" w:color="auto"/>
            </w:tcBorders>
            <w:shd w:val="clear" w:color="000000" w:fill="F2F2F2"/>
            <w:noWrap/>
            <w:vAlign w:val="center"/>
            <w:hideMark/>
          </w:tcPr>
          <w:p w14:paraId="5E7A88E1"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$ 3.089.762</w:t>
            </w:r>
          </w:p>
        </w:tc>
        <w:tc>
          <w:tcPr>
            <w:tcW w:w="1120" w:type="dxa"/>
            <w:tcBorders>
              <w:top w:val="nil"/>
              <w:left w:val="nil"/>
              <w:bottom w:val="single" w:sz="4" w:space="0" w:color="auto"/>
              <w:right w:val="single" w:sz="4" w:space="0" w:color="auto"/>
            </w:tcBorders>
            <w:shd w:val="clear" w:color="000000" w:fill="F2F2F2"/>
            <w:noWrap/>
            <w:vAlign w:val="center"/>
            <w:hideMark/>
          </w:tcPr>
          <w:p w14:paraId="1DE20ABD"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$ 129</w:t>
            </w:r>
          </w:p>
        </w:tc>
        <w:tc>
          <w:tcPr>
            <w:tcW w:w="1260" w:type="dxa"/>
            <w:tcBorders>
              <w:top w:val="nil"/>
              <w:left w:val="nil"/>
              <w:bottom w:val="single" w:sz="4" w:space="0" w:color="auto"/>
              <w:right w:val="single" w:sz="4" w:space="0" w:color="auto"/>
            </w:tcBorders>
            <w:shd w:val="clear" w:color="000000" w:fill="F2F2F2"/>
            <w:noWrap/>
            <w:vAlign w:val="center"/>
            <w:hideMark/>
          </w:tcPr>
          <w:p w14:paraId="03C2B6D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$ 3.089.891</w:t>
            </w:r>
          </w:p>
        </w:tc>
        <w:tc>
          <w:tcPr>
            <w:tcW w:w="1920" w:type="dxa"/>
            <w:tcBorders>
              <w:top w:val="nil"/>
              <w:left w:val="nil"/>
              <w:bottom w:val="single" w:sz="4" w:space="0" w:color="auto"/>
              <w:right w:val="single" w:sz="4" w:space="0" w:color="auto"/>
            </w:tcBorders>
            <w:shd w:val="clear" w:color="000000" w:fill="F2F2F2"/>
            <w:vAlign w:val="center"/>
            <w:hideMark/>
          </w:tcPr>
          <w:p w14:paraId="5FEC7F0A"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GAS LICUADO DEL PETROLEO</w:t>
            </w:r>
          </w:p>
        </w:tc>
      </w:tr>
      <w:tr w:rsidR="00D705A6" w:rsidRPr="002E0BB9" w14:paraId="3D69757F" w14:textId="77777777" w:rsidTr="00053706">
        <w:trPr>
          <w:trHeight w:val="477"/>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3B9C4407"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119</w:t>
            </w:r>
          </w:p>
        </w:tc>
        <w:tc>
          <w:tcPr>
            <w:tcW w:w="560" w:type="dxa"/>
            <w:tcBorders>
              <w:top w:val="nil"/>
              <w:left w:val="nil"/>
              <w:bottom w:val="single" w:sz="4" w:space="0" w:color="auto"/>
              <w:right w:val="single" w:sz="4" w:space="0" w:color="auto"/>
            </w:tcBorders>
            <w:shd w:val="clear" w:color="000000" w:fill="F2F2F2"/>
            <w:noWrap/>
            <w:vAlign w:val="center"/>
            <w:hideMark/>
          </w:tcPr>
          <w:p w14:paraId="74EA8C9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694</w:t>
            </w:r>
          </w:p>
        </w:tc>
        <w:tc>
          <w:tcPr>
            <w:tcW w:w="920" w:type="dxa"/>
            <w:tcBorders>
              <w:top w:val="nil"/>
              <w:left w:val="nil"/>
              <w:bottom w:val="single" w:sz="4" w:space="0" w:color="auto"/>
              <w:right w:val="single" w:sz="4" w:space="0" w:color="auto"/>
            </w:tcBorders>
            <w:shd w:val="clear" w:color="000000" w:fill="F2F2F2"/>
            <w:noWrap/>
            <w:vAlign w:val="center"/>
            <w:hideMark/>
          </w:tcPr>
          <w:p w14:paraId="65208B11"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891500061</w:t>
            </w:r>
          </w:p>
        </w:tc>
        <w:tc>
          <w:tcPr>
            <w:tcW w:w="2180" w:type="dxa"/>
            <w:tcBorders>
              <w:top w:val="nil"/>
              <w:left w:val="nil"/>
              <w:bottom w:val="single" w:sz="4" w:space="0" w:color="auto"/>
              <w:right w:val="single" w:sz="4" w:space="0" w:color="auto"/>
            </w:tcBorders>
            <w:shd w:val="clear" w:color="000000" w:fill="F2F2F2"/>
            <w:vAlign w:val="center"/>
            <w:hideMark/>
          </w:tcPr>
          <w:p w14:paraId="2C840217" w14:textId="6A055721"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EMPRESA MUNICIPAL DE ENERGÍA ELÉCTRICA S.A-E.S.P</w:t>
            </w:r>
            <w:r w:rsidR="00A425B8" w:rsidRPr="002E0BB9">
              <w:rPr>
                <w:rFonts w:ascii="Arial Narrow" w:hAnsi="Arial Narrow" w:cs="Arial"/>
                <w:spacing w:val="0"/>
                <w:sz w:val="16"/>
                <w:szCs w:val="16"/>
                <w:lang w:val="es-MX" w:eastAsia="es-MX"/>
              </w:rPr>
              <w:t>.</w:t>
            </w:r>
          </w:p>
        </w:tc>
        <w:tc>
          <w:tcPr>
            <w:tcW w:w="1520" w:type="dxa"/>
            <w:tcBorders>
              <w:top w:val="nil"/>
              <w:left w:val="nil"/>
              <w:bottom w:val="single" w:sz="4" w:space="0" w:color="auto"/>
              <w:right w:val="single" w:sz="4" w:space="0" w:color="auto"/>
            </w:tcBorders>
            <w:shd w:val="clear" w:color="000000" w:fill="F2F2F2"/>
            <w:noWrap/>
            <w:vAlign w:val="center"/>
            <w:hideMark/>
          </w:tcPr>
          <w:p w14:paraId="5F50E9F2"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$ 2.392.545.165</w:t>
            </w:r>
          </w:p>
        </w:tc>
        <w:tc>
          <w:tcPr>
            <w:tcW w:w="1440" w:type="dxa"/>
            <w:tcBorders>
              <w:top w:val="nil"/>
              <w:left w:val="nil"/>
              <w:bottom w:val="single" w:sz="4" w:space="0" w:color="auto"/>
              <w:right w:val="single" w:sz="4" w:space="0" w:color="auto"/>
            </w:tcBorders>
            <w:shd w:val="clear" w:color="000000" w:fill="F2F2F2"/>
            <w:noWrap/>
            <w:vAlign w:val="center"/>
            <w:hideMark/>
          </w:tcPr>
          <w:p w14:paraId="3E2BCE9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$ 149.506.832</w:t>
            </w:r>
          </w:p>
        </w:tc>
        <w:tc>
          <w:tcPr>
            <w:tcW w:w="1460" w:type="dxa"/>
            <w:tcBorders>
              <w:top w:val="nil"/>
              <w:left w:val="nil"/>
              <w:bottom w:val="single" w:sz="4" w:space="0" w:color="auto"/>
              <w:right w:val="single" w:sz="4" w:space="0" w:color="auto"/>
            </w:tcBorders>
            <w:shd w:val="clear" w:color="000000" w:fill="F2F2F2"/>
            <w:noWrap/>
            <w:vAlign w:val="center"/>
            <w:hideMark/>
          </w:tcPr>
          <w:p w14:paraId="31A1635A"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$ 2.542.051.997</w:t>
            </w:r>
          </w:p>
        </w:tc>
        <w:tc>
          <w:tcPr>
            <w:tcW w:w="1260" w:type="dxa"/>
            <w:tcBorders>
              <w:top w:val="nil"/>
              <w:left w:val="nil"/>
              <w:bottom w:val="single" w:sz="4" w:space="0" w:color="auto"/>
              <w:right w:val="single" w:sz="4" w:space="0" w:color="auto"/>
            </w:tcBorders>
            <w:shd w:val="clear" w:color="000000" w:fill="F2F2F2"/>
            <w:noWrap/>
            <w:vAlign w:val="center"/>
            <w:hideMark/>
          </w:tcPr>
          <w:p w14:paraId="176D4E2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$ 25.420.520</w:t>
            </w:r>
          </w:p>
        </w:tc>
        <w:tc>
          <w:tcPr>
            <w:tcW w:w="1120" w:type="dxa"/>
            <w:tcBorders>
              <w:top w:val="nil"/>
              <w:left w:val="nil"/>
              <w:bottom w:val="single" w:sz="4" w:space="0" w:color="auto"/>
              <w:right w:val="single" w:sz="4" w:space="0" w:color="auto"/>
            </w:tcBorders>
            <w:shd w:val="clear" w:color="000000" w:fill="F2F2F2"/>
            <w:noWrap/>
            <w:vAlign w:val="center"/>
            <w:hideMark/>
          </w:tcPr>
          <w:p w14:paraId="575B516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$ 1.058</w:t>
            </w:r>
          </w:p>
        </w:tc>
        <w:tc>
          <w:tcPr>
            <w:tcW w:w="1260" w:type="dxa"/>
            <w:tcBorders>
              <w:top w:val="nil"/>
              <w:left w:val="nil"/>
              <w:bottom w:val="single" w:sz="4" w:space="0" w:color="auto"/>
              <w:right w:val="single" w:sz="4" w:space="0" w:color="auto"/>
            </w:tcBorders>
            <w:shd w:val="clear" w:color="000000" w:fill="F2F2F2"/>
            <w:noWrap/>
            <w:vAlign w:val="center"/>
            <w:hideMark/>
          </w:tcPr>
          <w:p w14:paraId="654EE19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$ 25.421.578</w:t>
            </w:r>
          </w:p>
        </w:tc>
        <w:tc>
          <w:tcPr>
            <w:tcW w:w="1920" w:type="dxa"/>
            <w:tcBorders>
              <w:top w:val="nil"/>
              <w:left w:val="nil"/>
              <w:bottom w:val="single" w:sz="4" w:space="0" w:color="auto"/>
              <w:right w:val="single" w:sz="4" w:space="0" w:color="auto"/>
            </w:tcBorders>
            <w:shd w:val="clear" w:color="000000" w:fill="F2F2F2"/>
            <w:vAlign w:val="center"/>
            <w:hideMark/>
          </w:tcPr>
          <w:p w14:paraId="1E3048E7"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w:t>
            </w:r>
          </w:p>
        </w:tc>
      </w:tr>
      <w:tr w:rsidR="00D705A6" w:rsidRPr="002E0BB9" w14:paraId="639D6601" w14:textId="77777777" w:rsidTr="007D1249">
        <w:trPr>
          <w:trHeight w:val="4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11CD7017"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120</w:t>
            </w:r>
          </w:p>
        </w:tc>
        <w:tc>
          <w:tcPr>
            <w:tcW w:w="560" w:type="dxa"/>
            <w:tcBorders>
              <w:top w:val="nil"/>
              <w:left w:val="nil"/>
              <w:bottom w:val="single" w:sz="4" w:space="0" w:color="auto"/>
              <w:right w:val="single" w:sz="4" w:space="0" w:color="auto"/>
            </w:tcBorders>
            <w:shd w:val="clear" w:color="000000" w:fill="F2F2F2"/>
            <w:noWrap/>
            <w:vAlign w:val="center"/>
            <w:hideMark/>
          </w:tcPr>
          <w:p w14:paraId="1151EBDD"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1330</w:t>
            </w:r>
          </w:p>
        </w:tc>
        <w:tc>
          <w:tcPr>
            <w:tcW w:w="920" w:type="dxa"/>
            <w:tcBorders>
              <w:top w:val="nil"/>
              <w:left w:val="nil"/>
              <w:bottom w:val="single" w:sz="4" w:space="0" w:color="auto"/>
              <w:right w:val="single" w:sz="4" w:space="0" w:color="auto"/>
            </w:tcBorders>
            <w:shd w:val="clear" w:color="000000" w:fill="F2F2F2"/>
            <w:noWrap/>
            <w:vAlign w:val="center"/>
            <w:hideMark/>
          </w:tcPr>
          <w:p w14:paraId="0ED2380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891800082</w:t>
            </w:r>
          </w:p>
        </w:tc>
        <w:tc>
          <w:tcPr>
            <w:tcW w:w="2180" w:type="dxa"/>
            <w:tcBorders>
              <w:top w:val="nil"/>
              <w:left w:val="nil"/>
              <w:bottom w:val="single" w:sz="4" w:space="0" w:color="auto"/>
              <w:right w:val="single" w:sz="4" w:space="0" w:color="auto"/>
            </w:tcBorders>
            <w:shd w:val="clear" w:color="000000" w:fill="F2F2F2"/>
            <w:vAlign w:val="center"/>
            <w:hideMark/>
          </w:tcPr>
          <w:p w14:paraId="31BC4DF8"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GRANADOS, GOMEZ Y CIA S.A. E.S.P.</w:t>
            </w:r>
          </w:p>
        </w:tc>
        <w:tc>
          <w:tcPr>
            <w:tcW w:w="1520" w:type="dxa"/>
            <w:tcBorders>
              <w:top w:val="nil"/>
              <w:left w:val="nil"/>
              <w:bottom w:val="single" w:sz="4" w:space="0" w:color="auto"/>
              <w:right w:val="single" w:sz="4" w:space="0" w:color="auto"/>
            </w:tcBorders>
            <w:shd w:val="clear" w:color="000000" w:fill="F2F2F2"/>
            <w:noWrap/>
            <w:vAlign w:val="center"/>
            <w:hideMark/>
          </w:tcPr>
          <w:p w14:paraId="2007EC6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$ 978.839.000</w:t>
            </w:r>
          </w:p>
        </w:tc>
        <w:tc>
          <w:tcPr>
            <w:tcW w:w="1440" w:type="dxa"/>
            <w:tcBorders>
              <w:top w:val="nil"/>
              <w:left w:val="nil"/>
              <w:bottom w:val="single" w:sz="4" w:space="0" w:color="auto"/>
              <w:right w:val="single" w:sz="4" w:space="0" w:color="auto"/>
            </w:tcBorders>
            <w:shd w:val="clear" w:color="000000" w:fill="F2F2F2"/>
            <w:noWrap/>
            <w:vAlign w:val="center"/>
            <w:hideMark/>
          </w:tcPr>
          <w:p w14:paraId="6B03EB1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$ 54.941.423</w:t>
            </w:r>
          </w:p>
        </w:tc>
        <w:tc>
          <w:tcPr>
            <w:tcW w:w="1460" w:type="dxa"/>
            <w:tcBorders>
              <w:top w:val="nil"/>
              <w:left w:val="nil"/>
              <w:bottom w:val="single" w:sz="4" w:space="0" w:color="auto"/>
              <w:right w:val="single" w:sz="4" w:space="0" w:color="auto"/>
            </w:tcBorders>
            <w:shd w:val="clear" w:color="000000" w:fill="F2F2F2"/>
            <w:noWrap/>
            <w:vAlign w:val="center"/>
            <w:hideMark/>
          </w:tcPr>
          <w:p w14:paraId="105E2DB1"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$ 1.033.780.423</w:t>
            </w:r>
          </w:p>
        </w:tc>
        <w:tc>
          <w:tcPr>
            <w:tcW w:w="1260" w:type="dxa"/>
            <w:tcBorders>
              <w:top w:val="nil"/>
              <w:left w:val="nil"/>
              <w:bottom w:val="single" w:sz="4" w:space="0" w:color="auto"/>
              <w:right w:val="single" w:sz="4" w:space="0" w:color="auto"/>
            </w:tcBorders>
            <w:shd w:val="clear" w:color="000000" w:fill="F2F2F2"/>
            <w:noWrap/>
            <w:vAlign w:val="center"/>
            <w:hideMark/>
          </w:tcPr>
          <w:p w14:paraId="080BA776"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$ 10.337.804</w:t>
            </w:r>
          </w:p>
        </w:tc>
        <w:tc>
          <w:tcPr>
            <w:tcW w:w="1120" w:type="dxa"/>
            <w:tcBorders>
              <w:top w:val="nil"/>
              <w:left w:val="nil"/>
              <w:bottom w:val="single" w:sz="4" w:space="0" w:color="auto"/>
              <w:right w:val="single" w:sz="4" w:space="0" w:color="auto"/>
            </w:tcBorders>
            <w:shd w:val="clear" w:color="000000" w:fill="F2F2F2"/>
            <w:noWrap/>
            <w:vAlign w:val="center"/>
            <w:hideMark/>
          </w:tcPr>
          <w:p w14:paraId="42240A45"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$ 430</w:t>
            </w:r>
          </w:p>
        </w:tc>
        <w:tc>
          <w:tcPr>
            <w:tcW w:w="1260" w:type="dxa"/>
            <w:tcBorders>
              <w:top w:val="nil"/>
              <w:left w:val="nil"/>
              <w:bottom w:val="single" w:sz="4" w:space="0" w:color="auto"/>
              <w:right w:val="single" w:sz="4" w:space="0" w:color="auto"/>
            </w:tcBorders>
            <w:shd w:val="clear" w:color="000000" w:fill="F2F2F2"/>
            <w:noWrap/>
            <w:vAlign w:val="center"/>
            <w:hideMark/>
          </w:tcPr>
          <w:p w14:paraId="7BAADFF1"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$ 10.338.234</w:t>
            </w:r>
          </w:p>
        </w:tc>
        <w:tc>
          <w:tcPr>
            <w:tcW w:w="1920" w:type="dxa"/>
            <w:tcBorders>
              <w:top w:val="nil"/>
              <w:left w:val="nil"/>
              <w:bottom w:val="single" w:sz="4" w:space="0" w:color="auto"/>
              <w:right w:val="single" w:sz="4" w:space="0" w:color="auto"/>
            </w:tcBorders>
            <w:shd w:val="clear" w:color="000000" w:fill="F2F2F2"/>
            <w:vAlign w:val="center"/>
            <w:hideMark/>
          </w:tcPr>
          <w:p w14:paraId="655E0973"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GAS LICUADO DEL PETROLEO</w:t>
            </w:r>
          </w:p>
        </w:tc>
      </w:tr>
      <w:tr w:rsidR="00D705A6" w:rsidRPr="002E0BB9" w14:paraId="0AC98C0F" w14:textId="77777777" w:rsidTr="007D1249">
        <w:trPr>
          <w:trHeight w:val="4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285F1D6A"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121</w:t>
            </w:r>
          </w:p>
        </w:tc>
        <w:tc>
          <w:tcPr>
            <w:tcW w:w="560" w:type="dxa"/>
            <w:tcBorders>
              <w:top w:val="nil"/>
              <w:left w:val="nil"/>
              <w:bottom w:val="single" w:sz="4" w:space="0" w:color="auto"/>
              <w:right w:val="single" w:sz="4" w:space="0" w:color="auto"/>
            </w:tcBorders>
            <w:shd w:val="clear" w:color="000000" w:fill="F2F2F2"/>
            <w:noWrap/>
            <w:vAlign w:val="center"/>
            <w:hideMark/>
          </w:tcPr>
          <w:p w14:paraId="63F8384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500</w:t>
            </w:r>
          </w:p>
        </w:tc>
        <w:tc>
          <w:tcPr>
            <w:tcW w:w="920" w:type="dxa"/>
            <w:tcBorders>
              <w:top w:val="nil"/>
              <w:left w:val="nil"/>
              <w:bottom w:val="single" w:sz="4" w:space="0" w:color="auto"/>
              <w:right w:val="single" w:sz="4" w:space="0" w:color="auto"/>
            </w:tcBorders>
            <w:shd w:val="clear" w:color="000000" w:fill="F2F2F2"/>
            <w:noWrap/>
            <w:vAlign w:val="center"/>
            <w:hideMark/>
          </w:tcPr>
          <w:p w14:paraId="44950F82"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891800219</w:t>
            </w:r>
          </w:p>
        </w:tc>
        <w:tc>
          <w:tcPr>
            <w:tcW w:w="2180" w:type="dxa"/>
            <w:tcBorders>
              <w:top w:val="nil"/>
              <w:left w:val="nil"/>
              <w:bottom w:val="single" w:sz="4" w:space="0" w:color="auto"/>
              <w:right w:val="single" w:sz="4" w:space="0" w:color="auto"/>
            </w:tcBorders>
            <w:shd w:val="clear" w:color="000000" w:fill="F2F2F2"/>
            <w:vAlign w:val="center"/>
            <w:hideMark/>
          </w:tcPr>
          <w:p w14:paraId="2580BBC7"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EMPRESA DE ENERGIA DE BOYACA S.A. ESP</w:t>
            </w:r>
          </w:p>
        </w:tc>
        <w:tc>
          <w:tcPr>
            <w:tcW w:w="1520" w:type="dxa"/>
            <w:tcBorders>
              <w:top w:val="nil"/>
              <w:left w:val="nil"/>
              <w:bottom w:val="single" w:sz="4" w:space="0" w:color="auto"/>
              <w:right w:val="single" w:sz="4" w:space="0" w:color="auto"/>
            </w:tcBorders>
            <w:shd w:val="clear" w:color="000000" w:fill="F2F2F2"/>
            <w:noWrap/>
            <w:vAlign w:val="center"/>
            <w:hideMark/>
          </w:tcPr>
          <w:p w14:paraId="56B09B0E"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$ 18.618.076.000</w:t>
            </w:r>
          </w:p>
        </w:tc>
        <w:tc>
          <w:tcPr>
            <w:tcW w:w="1440" w:type="dxa"/>
            <w:tcBorders>
              <w:top w:val="nil"/>
              <w:left w:val="nil"/>
              <w:bottom w:val="single" w:sz="4" w:space="0" w:color="auto"/>
              <w:right w:val="single" w:sz="4" w:space="0" w:color="auto"/>
            </w:tcBorders>
            <w:shd w:val="clear" w:color="000000" w:fill="F2F2F2"/>
            <w:noWrap/>
            <w:vAlign w:val="center"/>
            <w:hideMark/>
          </w:tcPr>
          <w:p w14:paraId="50395927"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$ 2.837.164.246</w:t>
            </w:r>
          </w:p>
        </w:tc>
        <w:tc>
          <w:tcPr>
            <w:tcW w:w="1460" w:type="dxa"/>
            <w:tcBorders>
              <w:top w:val="nil"/>
              <w:left w:val="nil"/>
              <w:bottom w:val="single" w:sz="4" w:space="0" w:color="auto"/>
              <w:right w:val="single" w:sz="4" w:space="0" w:color="auto"/>
            </w:tcBorders>
            <w:shd w:val="clear" w:color="000000" w:fill="F2F2F2"/>
            <w:noWrap/>
            <w:vAlign w:val="center"/>
            <w:hideMark/>
          </w:tcPr>
          <w:p w14:paraId="431E0AAE"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$ 21.455.240.246</w:t>
            </w:r>
          </w:p>
        </w:tc>
        <w:tc>
          <w:tcPr>
            <w:tcW w:w="1260" w:type="dxa"/>
            <w:tcBorders>
              <w:top w:val="nil"/>
              <w:left w:val="nil"/>
              <w:bottom w:val="single" w:sz="4" w:space="0" w:color="auto"/>
              <w:right w:val="single" w:sz="4" w:space="0" w:color="auto"/>
            </w:tcBorders>
            <w:shd w:val="clear" w:color="000000" w:fill="F2F2F2"/>
            <w:noWrap/>
            <w:vAlign w:val="center"/>
            <w:hideMark/>
          </w:tcPr>
          <w:p w14:paraId="728C830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$ 214.552.402</w:t>
            </w:r>
          </w:p>
        </w:tc>
        <w:tc>
          <w:tcPr>
            <w:tcW w:w="1120" w:type="dxa"/>
            <w:tcBorders>
              <w:top w:val="nil"/>
              <w:left w:val="nil"/>
              <w:bottom w:val="single" w:sz="4" w:space="0" w:color="auto"/>
              <w:right w:val="single" w:sz="4" w:space="0" w:color="auto"/>
            </w:tcBorders>
            <w:shd w:val="clear" w:color="000000" w:fill="F2F2F2"/>
            <w:noWrap/>
            <w:vAlign w:val="center"/>
            <w:hideMark/>
          </w:tcPr>
          <w:p w14:paraId="138CCC17"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$ 8.929</w:t>
            </w:r>
          </w:p>
        </w:tc>
        <w:tc>
          <w:tcPr>
            <w:tcW w:w="1260" w:type="dxa"/>
            <w:tcBorders>
              <w:top w:val="nil"/>
              <w:left w:val="nil"/>
              <w:bottom w:val="single" w:sz="4" w:space="0" w:color="auto"/>
              <w:right w:val="single" w:sz="4" w:space="0" w:color="auto"/>
            </w:tcBorders>
            <w:shd w:val="clear" w:color="000000" w:fill="F2F2F2"/>
            <w:noWrap/>
            <w:vAlign w:val="center"/>
            <w:hideMark/>
          </w:tcPr>
          <w:p w14:paraId="1B7E48BA"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$ 214.561.331</w:t>
            </w:r>
          </w:p>
        </w:tc>
        <w:tc>
          <w:tcPr>
            <w:tcW w:w="1920" w:type="dxa"/>
            <w:tcBorders>
              <w:top w:val="nil"/>
              <w:left w:val="nil"/>
              <w:bottom w:val="single" w:sz="4" w:space="0" w:color="auto"/>
              <w:right w:val="single" w:sz="4" w:space="0" w:color="auto"/>
            </w:tcBorders>
            <w:shd w:val="clear" w:color="000000" w:fill="F2F2F2"/>
            <w:vAlign w:val="center"/>
            <w:hideMark/>
          </w:tcPr>
          <w:p w14:paraId="56B8CE27"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w:t>
            </w:r>
          </w:p>
        </w:tc>
      </w:tr>
      <w:tr w:rsidR="00D705A6" w:rsidRPr="002E0BB9" w14:paraId="57FB618E" w14:textId="77777777" w:rsidTr="00053706">
        <w:trPr>
          <w:trHeight w:val="297"/>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710EBF6A"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122</w:t>
            </w:r>
          </w:p>
        </w:tc>
        <w:tc>
          <w:tcPr>
            <w:tcW w:w="560" w:type="dxa"/>
            <w:tcBorders>
              <w:top w:val="nil"/>
              <w:left w:val="nil"/>
              <w:bottom w:val="single" w:sz="4" w:space="0" w:color="auto"/>
              <w:right w:val="single" w:sz="4" w:space="0" w:color="auto"/>
            </w:tcBorders>
            <w:shd w:val="clear" w:color="000000" w:fill="F2F2F2"/>
            <w:noWrap/>
            <w:vAlign w:val="center"/>
            <w:hideMark/>
          </w:tcPr>
          <w:p w14:paraId="5DD2268A"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637</w:t>
            </w:r>
          </w:p>
        </w:tc>
        <w:tc>
          <w:tcPr>
            <w:tcW w:w="920" w:type="dxa"/>
            <w:tcBorders>
              <w:top w:val="nil"/>
              <w:left w:val="nil"/>
              <w:bottom w:val="single" w:sz="4" w:space="0" w:color="auto"/>
              <w:right w:val="single" w:sz="4" w:space="0" w:color="auto"/>
            </w:tcBorders>
            <w:shd w:val="clear" w:color="000000" w:fill="F2F2F2"/>
            <w:noWrap/>
            <w:vAlign w:val="center"/>
            <w:hideMark/>
          </w:tcPr>
          <w:p w14:paraId="621D5EA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891900101</w:t>
            </w:r>
          </w:p>
        </w:tc>
        <w:tc>
          <w:tcPr>
            <w:tcW w:w="2180" w:type="dxa"/>
            <w:tcBorders>
              <w:top w:val="nil"/>
              <w:left w:val="nil"/>
              <w:bottom w:val="single" w:sz="4" w:space="0" w:color="auto"/>
              <w:right w:val="single" w:sz="4" w:space="0" w:color="auto"/>
            </w:tcBorders>
            <w:shd w:val="clear" w:color="000000" w:fill="F2F2F2"/>
            <w:vAlign w:val="center"/>
            <w:hideMark/>
          </w:tcPr>
          <w:p w14:paraId="1BC57421"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COMPAÑÍA DE ELECTRICIDAD DE TULUÁ S.A. E.S.P.</w:t>
            </w:r>
          </w:p>
        </w:tc>
        <w:tc>
          <w:tcPr>
            <w:tcW w:w="1520" w:type="dxa"/>
            <w:tcBorders>
              <w:top w:val="nil"/>
              <w:left w:val="nil"/>
              <w:bottom w:val="single" w:sz="4" w:space="0" w:color="auto"/>
              <w:right w:val="single" w:sz="4" w:space="0" w:color="auto"/>
            </w:tcBorders>
            <w:shd w:val="clear" w:color="000000" w:fill="F2F2F2"/>
            <w:noWrap/>
            <w:vAlign w:val="center"/>
            <w:hideMark/>
          </w:tcPr>
          <w:p w14:paraId="0104DDB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$ 2.071.808.000</w:t>
            </w:r>
          </w:p>
        </w:tc>
        <w:tc>
          <w:tcPr>
            <w:tcW w:w="1440" w:type="dxa"/>
            <w:tcBorders>
              <w:top w:val="nil"/>
              <w:left w:val="nil"/>
              <w:bottom w:val="single" w:sz="4" w:space="0" w:color="auto"/>
              <w:right w:val="single" w:sz="4" w:space="0" w:color="auto"/>
            </w:tcBorders>
            <w:shd w:val="clear" w:color="000000" w:fill="F2F2F2"/>
            <w:noWrap/>
            <w:vAlign w:val="center"/>
            <w:hideMark/>
          </w:tcPr>
          <w:p w14:paraId="32B9C8FC"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$ 594.631.089</w:t>
            </w:r>
          </w:p>
        </w:tc>
        <w:tc>
          <w:tcPr>
            <w:tcW w:w="1460" w:type="dxa"/>
            <w:tcBorders>
              <w:top w:val="nil"/>
              <w:left w:val="nil"/>
              <w:bottom w:val="single" w:sz="4" w:space="0" w:color="auto"/>
              <w:right w:val="single" w:sz="4" w:space="0" w:color="auto"/>
            </w:tcBorders>
            <w:shd w:val="clear" w:color="000000" w:fill="F2F2F2"/>
            <w:noWrap/>
            <w:vAlign w:val="center"/>
            <w:hideMark/>
          </w:tcPr>
          <w:p w14:paraId="1C6044CA"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$ 2.666.439.089</w:t>
            </w:r>
          </w:p>
        </w:tc>
        <w:tc>
          <w:tcPr>
            <w:tcW w:w="1260" w:type="dxa"/>
            <w:tcBorders>
              <w:top w:val="nil"/>
              <w:left w:val="nil"/>
              <w:bottom w:val="single" w:sz="4" w:space="0" w:color="auto"/>
              <w:right w:val="single" w:sz="4" w:space="0" w:color="auto"/>
            </w:tcBorders>
            <w:shd w:val="clear" w:color="000000" w:fill="F2F2F2"/>
            <w:noWrap/>
            <w:vAlign w:val="center"/>
            <w:hideMark/>
          </w:tcPr>
          <w:p w14:paraId="343BC52C"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$ 26.664.391</w:t>
            </w:r>
          </w:p>
        </w:tc>
        <w:tc>
          <w:tcPr>
            <w:tcW w:w="1120" w:type="dxa"/>
            <w:tcBorders>
              <w:top w:val="nil"/>
              <w:left w:val="nil"/>
              <w:bottom w:val="single" w:sz="4" w:space="0" w:color="auto"/>
              <w:right w:val="single" w:sz="4" w:space="0" w:color="auto"/>
            </w:tcBorders>
            <w:shd w:val="clear" w:color="000000" w:fill="F2F2F2"/>
            <w:noWrap/>
            <w:vAlign w:val="center"/>
            <w:hideMark/>
          </w:tcPr>
          <w:p w14:paraId="74080BA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$ 1.110</w:t>
            </w:r>
          </w:p>
        </w:tc>
        <w:tc>
          <w:tcPr>
            <w:tcW w:w="1260" w:type="dxa"/>
            <w:tcBorders>
              <w:top w:val="nil"/>
              <w:left w:val="nil"/>
              <w:bottom w:val="single" w:sz="4" w:space="0" w:color="auto"/>
              <w:right w:val="single" w:sz="4" w:space="0" w:color="auto"/>
            </w:tcBorders>
            <w:shd w:val="clear" w:color="000000" w:fill="F2F2F2"/>
            <w:noWrap/>
            <w:vAlign w:val="center"/>
            <w:hideMark/>
          </w:tcPr>
          <w:p w14:paraId="73B2EB2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$ 26.665.501</w:t>
            </w:r>
          </w:p>
        </w:tc>
        <w:tc>
          <w:tcPr>
            <w:tcW w:w="1920" w:type="dxa"/>
            <w:tcBorders>
              <w:top w:val="nil"/>
              <w:left w:val="nil"/>
              <w:bottom w:val="single" w:sz="4" w:space="0" w:color="auto"/>
              <w:right w:val="single" w:sz="4" w:space="0" w:color="auto"/>
            </w:tcBorders>
            <w:shd w:val="clear" w:color="000000" w:fill="F2F2F2"/>
            <w:vAlign w:val="center"/>
            <w:hideMark/>
          </w:tcPr>
          <w:p w14:paraId="31F325BC"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w:t>
            </w:r>
          </w:p>
        </w:tc>
      </w:tr>
      <w:tr w:rsidR="00D705A6" w:rsidRPr="002E0BB9" w14:paraId="6F40B033" w14:textId="77777777" w:rsidTr="007D1249">
        <w:trPr>
          <w:trHeight w:val="4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61DA70A1"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123</w:t>
            </w:r>
          </w:p>
        </w:tc>
        <w:tc>
          <w:tcPr>
            <w:tcW w:w="560" w:type="dxa"/>
            <w:tcBorders>
              <w:top w:val="nil"/>
              <w:left w:val="nil"/>
              <w:bottom w:val="single" w:sz="4" w:space="0" w:color="auto"/>
              <w:right w:val="single" w:sz="4" w:space="0" w:color="auto"/>
            </w:tcBorders>
            <w:shd w:val="clear" w:color="000000" w:fill="F2F2F2"/>
            <w:noWrap/>
            <w:vAlign w:val="center"/>
            <w:hideMark/>
          </w:tcPr>
          <w:p w14:paraId="141FCDD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600</w:t>
            </w:r>
          </w:p>
        </w:tc>
        <w:tc>
          <w:tcPr>
            <w:tcW w:w="920" w:type="dxa"/>
            <w:tcBorders>
              <w:top w:val="nil"/>
              <w:left w:val="nil"/>
              <w:bottom w:val="single" w:sz="4" w:space="0" w:color="auto"/>
              <w:right w:val="single" w:sz="4" w:space="0" w:color="auto"/>
            </w:tcBorders>
            <w:shd w:val="clear" w:color="000000" w:fill="F2F2F2"/>
            <w:noWrap/>
            <w:vAlign w:val="center"/>
            <w:hideMark/>
          </w:tcPr>
          <w:p w14:paraId="2328ACE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892002210</w:t>
            </w:r>
          </w:p>
        </w:tc>
        <w:tc>
          <w:tcPr>
            <w:tcW w:w="2180" w:type="dxa"/>
            <w:tcBorders>
              <w:top w:val="nil"/>
              <w:left w:val="nil"/>
              <w:bottom w:val="single" w:sz="4" w:space="0" w:color="auto"/>
              <w:right w:val="single" w:sz="4" w:space="0" w:color="auto"/>
            </w:tcBorders>
            <w:shd w:val="clear" w:color="000000" w:fill="F2F2F2"/>
            <w:vAlign w:val="center"/>
            <w:hideMark/>
          </w:tcPr>
          <w:p w14:paraId="6A7D5D00"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ELECTRIFICADORA DEL META S.A. E.S.P.</w:t>
            </w:r>
          </w:p>
        </w:tc>
        <w:tc>
          <w:tcPr>
            <w:tcW w:w="1520" w:type="dxa"/>
            <w:tcBorders>
              <w:top w:val="nil"/>
              <w:left w:val="nil"/>
              <w:bottom w:val="single" w:sz="4" w:space="0" w:color="auto"/>
              <w:right w:val="single" w:sz="4" w:space="0" w:color="auto"/>
            </w:tcBorders>
            <w:shd w:val="clear" w:color="000000" w:fill="F2F2F2"/>
            <w:noWrap/>
            <w:vAlign w:val="center"/>
            <w:hideMark/>
          </w:tcPr>
          <w:p w14:paraId="6665AF5A"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$ 20.557.015.000</w:t>
            </w:r>
          </w:p>
        </w:tc>
        <w:tc>
          <w:tcPr>
            <w:tcW w:w="1440" w:type="dxa"/>
            <w:tcBorders>
              <w:top w:val="nil"/>
              <w:left w:val="nil"/>
              <w:bottom w:val="single" w:sz="4" w:space="0" w:color="auto"/>
              <w:right w:val="single" w:sz="4" w:space="0" w:color="auto"/>
            </w:tcBorders>
            <w:shd w:val="clear" w:color="000000" w:fill="F2F2F2"/>
            <w:noWrap/>
            <w:vAlign w:val="center"/>
            <w:hideMark/>
          </w:tcPr>
          <w:p w14:paraId="6604EE2E"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$ 3.731.965.429</w:t>
            </w:r>
          </w:p>
        </w:tc>
        <w:tc>
          <w:tcPr>
            <w:tcW w:w="1460" w:type="dxa"/>
            <w:tcBorders>
              <w:top w:val="nil"/>
              <w:left w:val="nil"/>
              <w:bottom w:val="single" w:sz="4" w:space="0" w:color="auto"/>
              <w:right w:val="single" w:sz="4" w:space="0" w:color="auto"/>
            </w:tcBorders>
            <w:shd w:val="clear" w:color="000000" w:fill="F2F2F2"/>
            <w:noWrap/>
            <w:vAlign w:val="center"/>
            <w:hideMark/>
          </w:tcPr>
          <w:p w14:paraId="6632366C"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$ 24.288.980.429</w:t>
            </w:r>
          </w:p>
        </w:tc>
        <w:tc>
          <w:tcPr>
            <w:tcW w:w="1260" w:type="dxa"/>
            <w:tcBorders>
              <w:top w:val="nil"/>
              <w:left w:val="nil"/>
              <w:bottom w:val="single" w:sz="4" w:space="0" w:color="auto"/>
              <w:right w:val="single" w:sz="4" w:space="0" w:color="auto"/>
            </w:tcBorders>
            <w:shd w:val="clear" w:color="000000" w:fill="F2F2F2"/>
            <w:noWrap/>
            <w:vAlign w:val="center"/>
            <w:hideMark/>
          </w:tcPr>
          <w:p w14:paraId="2F5EB3AA"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$ 242.889.804</w:t>
            </w:r>
          </w:p>
        </w:tc>
        <w:tc>
          <w:tcPr>
            <w:tcW w:w="1120" w:type="dxa"/>
            <w:tcBorders>
              <w:top w:val="nil"/>
              <w:left w:val="nil"/>
              <w:bottom w:val="single" w:sz="4" w:space="0" w:color="auto"/>
              <w:right w:val="single" w:sz="4" w:space="0" w:color="auto"/>
            </w:tcBorders>
            <w:shd w:val="clear" w:color="000000" w:fill="F2F2F2"/>
            <w:noWrap/>
            <w:vAlign w:val="center"/>
            <w:hideMark/>
          </w:tcPr>
          <w:p w14:paraId="5F1F3FD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$ 10.108</w:t>
            </w:r>
          </w:p>
        </w:tc>
        <w:tc>
          <w:tcPr>
            <w:tcW w:w="1260" w:type="dxa"/>
            <w:tcBorders>
              <w:top w:val="nil"/>
              <w:left w:val="nil"/>
              <w:bottom w:val="single" w:sz="4" w:space="0" w:color="auto"/>
              <w:right w:val="single" w:sz="4" w:space="0" w:color="auto"/>
            </w:tcBorders>
            <w:shd w:val="clear" w:color="000000" w:fill="F2F2F2"/>
            <w:noWrap/>
            <w:vAlign w:val="center"/>
            <w:hideMark/>
          </w:tcPr>
          <w:p w14:paraId="4CE13F6C"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$ 242.899.913</w:t>
            </w:r>
          </w:p>
        </w:tc>
        <w:tc>
          <w:tcPr>
            <w:tcW w:w="1920" w:type="dxa"/>
            <w:tcBorders>
              <w:top w:val="nil"/>
              <w:left w:val="nil"/>
              <w:bottom w:val="single" w:sz="4" w:space="0" w:color="auto"/>
              <w:right w:val="single" w:sz="4" w:space="0" w:color="auto"/>
            </w:tcBorders>
            <w:shd w:val="clear" w:color="000000" w:fill="F2F2F2"/>
            <w:vAlign w:val="center"/>
            <w:hideMark/>
          </w:tcPr>
          <w:p w14:paraId="784AF908"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w:t>
            </w:r>
          </w:p>
        </w:tc>
      </w:tr>
      <w:tr w:rsidR="00D705A6" w:rsidRPr="002E0BB9" w14:paraId="0BB3DA8C" w14:textId="77777777" w:rsidTr="007D1249">
        <w:trPr>
          <w:trHeight w:val="4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1FB47DF4"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124</w:t>
            </w:r>
          </w:p>
        </w:tc>
        <w:tc>
          <w:tcPr>
            <w:tcW w:w="560" w:type="dxa"/>
            <w:tcBorders>
              <w:top w:val="nil"/>
              <w:left w:val="nil"/>
              <w:bottom w:val="single" w:sz="4" w:space="0" w:color="auto"/>
              <w:right w:val="single" w:sz="4" w:space="0" w:color="auto"/>
            </w:tcBorders>
            <w:shd w:val="clear" w:color="000000" w:fill="F2F2F2"/>
            <w:noWrap/>
            <w:vAlign w:val="center"/>
            <w:hideMark/>
          </w:tcPr>
          <w:p w14:paraId="6A50C2FE"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599</w:t>
            </w:r>
          </w:p>
        </w:tc>
        <w:tc>
          <w:tcPr>
            <w:tcW w:w="920" w:type="dxa"/>
            <w:tcBorders>
              <w:top w:val="nil"/>
              <w:left w:val="nil"/>
              <w:bottom w:val="single" w:sz="4" w:space="0" w:color="auto"/>
              <w:right w:val="single" w:sz="4" w:space="0" w:color="auto"/>
            </w:tcBorders>
            <w:shd w:val="clear" w:color="000000" w:fill="F2F2F2"/>
            <w:noWrap/>
            <w:vAlign w:val="center"/>
            <w:hideMark/>
          </w:tcPr>
          <w:p w14:paraId="375583C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892099499</w:t>
            </w:r>
          </w:p>
        </w:tc>
        <w:tc>
          <w:tcPr>
            <w:tcW w:w="2180" w:type="dxa"/>
            <w:tcBorders>
              <w:top w:val="nil"/>
              <w:left w:val="nil"/>
              <w:bottom w:val="single" w:sz="4" w:space="0" w:color="auto"/>
              <w:right w:val="single" w:sz="4" w:space="0" w:color="auto"/>
            </w:tcBorders>
            <w:shd w:val="clear" w:color="000000" w:fill="F2F2F2"/>
            <w:vAlign w:val="center"/>
            <w:hideMark/>
          </w:tcPr>
          <w:p w14:paraId="66AE6780"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EMPRESA DE ENERGIA DE ARAUCA</w:t>
            </w:r>
          </w:p>
        </w:tc>
        <w:tc>
          <w:tcPr>
            <w:tcW w:w="1520" w:type="dxa"/>
            <w:tcBorders>
              <w:top w:val="nil"/>
              <w:left w:val="nil"/>
              <w:bottom w:val="single" w:sz="4" w:space="0" w:color="auto"/>
              <w:right w:val="single" w:sz="4" w:space="0" w:color="auto"/>
            </w:tcBorders>
            <w:shd w:val="clear" w:color="000000" w:fill="F2F2F2"/>
            <w:noWrap/>
            <w:vAlign w:val="center"/>
            <w:hideMark/>
          </w:tcPr>
          <w:p w14:paraId="4BC58865"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$ 8.188.537.000</w:t>
            </w:r>
          </w:p>
        </w:tc>
        <w:tc>
          <w:tcPr>
            <w:tcW w:w="1440" w:type="dxa"/>
            <w:tcBorders>
              <w:top w:val="nil"/>
              <w:left w:val="nil"/>
              <w:bottom w:val="single" w:sz="4" w:space="0" w:color="auto"/>
              <w:right w:val="single" w:sz="4" w:space="0" w:color="auto"/>
            </w:tcBorders>
            <w:shd w:val="clear" w:color="000000" w:fill="F2F2F2"/>
            <w:noWrap/>
            <w:vAlign w:val="center"/>
            <w:hideMark/>
          </w:tcPr>
          <w:p w14:paraId="740E5DE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$ 930.736.893</w:t>
            </w:r>
          </w:p>
        </w:tc>
        <w:tc>
          <w:tcPr>
            <w:tcW w:w="1460" w:type="dxa"/>
            <w:tcBorders>
              <w:top w:val="nil"/>
              <w:left w:val="nil"/>
              <w:bottom w:val="single" w:sz="4" w:space="0" w:color="auto"/>
              <w:right w:val="single" w:sz="4" w:space="0" w:color="auto"/>
            </w:tcBorders>
            <w:shd w:val="clear" w:color="000000" w:fill="F2F2F2"/>
            <w:noWrap/>
            <w:vAlign w:val="center"/>
            <w:hideMark/>
          </w:tcPr>
          <w:p w14:paraId="66369275"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$ 9.119.273.893</w:t>
            </w:r>
          </w:p>
        </w:tc>
        <w:tc>
          <w:tcPr>
            <w:tcW w:w="1260" w:type="dxa"/>
            <w:tcBorders>
              <w:top w:val="nil"/>
              <w:left w:val="nil"/>
              <w:bottom w:val="single" w:sz="4" w:space="0" w:color="auto"/>
              <w:right w:val="single" w:sz="4" w:space="0" w:color="auto"/>
            </w:tcBorders>
            <w:shd w:val="clear" w:color="000000" w:fill="F2F2F2"/>
            <w:noWrap/>
            <w:vAlign w:val="center"/>
            <w:hideMark/>
          </w:tcPr>
          <w:p w14:paraId="569D7D6D"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$ 91.192.739</w:t>
            </w:r>
          </w:p>
        </w:tc>
        <w:tc>
          <w:tcPr>
            <w:tcW w:w="1120" w:type="dxa"/>
            <w:tcBorders>
              <w:top w:val="nil"/>
              <w:left w:val="nil"/>
              <w:bottom w:val="single" w:sz="4" w:space="0" w:color="auto"/>
              <w:right w:val="single" w:sz="4" w:space="0" w:color="auto"/>
            </w:tcBorders>
            <w:shd w:val="clear" w:color="000000" w:fill="F2F2F2"/>
            <w:noWrap/>
            <w:vAlign w:val="center"/>
            <w:hideMark/>
          </w:tcPr>
          <w:p w14:paraId="72E1A027"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$ 3.795</w:t>
            </w:r>
          </w:p>
        </w:tc>
        <w:tc>
          <w:tcPr>
            <w:tcW w:w="1260" w:type="dxa"/>
            <w:tcBorders>
              <w:top w:val="nil"/>
              <w:left w:val="nil"/>
              <w:bottom w:val="single" w:sz="4" w:space="0" w:color="auto"/>
              <w:right w:val="single" w:sz="4" w:space="0" w:color="auto"/>
            </w:tcBorders>
            <w:shd w:val="clear" w:color="000000" w:fill="F2F2F2"/>
            <w:noWrap/>
            <w:vAlign w:val="center"/>
            <w:hideMark/>
          </w:tcPr>
          <w:p w14:paraId="54C9E50A"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$ 91.196.534</w:t>
            </w:r>
          </w:p>
        </w:tc>
        <w:tc>
          <w:tcPr>
            <w:tcW w:w="1920" w:type="dxa"/>
            <w:tcBorders>
              <w:top w:val="nil"/>
              <w:left w:val="nil"/>
              <w:bottom w:val="single" w:sz="4" w:space="0" w:color="auto"/>
              <w:right w:val="single" w:sz="4" w:space="0" w:color="auto"/>
            </w:tcBorders>
            <w:shd w:val="clear" w:color="000000" w:fill="F2F2F2"/>
            <w:vAlign w:val="center"/>
            <w:hideMark/>
          </w:tcPr>
          <w:p w14:paraId="6064879F"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w:t>
            </w:r>
          </w:p>
        </w:tc>
      </w:tr>
      <w:tr w:rsidR="00D705A6" w:rsidRPr="002E0BB9" w14:paraId="49AFB134" w14:textId="77777777" w:rsidTr="007D1249">
        <w:trPr>
          <w:trHeight w:val="6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0DD3E309"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125</w:t>
            </w:r>
          </w:p>
        </w:tc>
        <w:tc>
          <w:tcPr>
            <w:tcW w:w="560" w:type="dxa"/>
            <w:tcBorders>
              <w:top w:val="nil"/>
              <w:left w:val="nil"/>
              <w:bottom w:val="single" w:sz="4" w:space="0" w:color="auto"/>
              <w:right w:val="single" w:sz="4" w:space="0" w:color="auto"/>
            </w:tcBorders>
            <w:shd w:val="clear" w:color="000000" w:fill="F2F2F2"/>
            <w:noWrap/>
            <w:vAlign w:val="center"/>
            <w:hideMark/>
          </w:tcPr>
          <w:p w14:paraId="14B9904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978</w:t>
            </w:r>
          </w:p>
        </w:tc>
        <w:tc>
          <w:tcPr>
            <w:tcW w:w="920" w:type="dxa"/>
            <w:tcBorders>
              <w:top w:val="nil"/>
              <w:left w:val="nil"/>
              <w:bottom w:val="single" w:sz="4" w:space="0" w:color="auto"/>
              <w:right w:val="single" w:sz="4" w:space="0" w:color="auto"/>
            </w:tcBorders>
            <w:shd w:val="clear" w:color="000000" w:fill="F2F2F2"/>
            <w:noWrap/>
            <w:vAlign w:val="center"/>
            <w:hideMark/>
          </w:tcPr>
          <w:p w14:paraId="2DE01276"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892115036</w:t>
            </w:r>
          </w:p>
        </w:tc>
        <w:tc>
          <w:tcPr>
            <w:tcW w:w="2180" w:type="dxa"/>
            <w:tcBorders>
              <w:top w:val="nil"/>
              <w:left w:val="nil"/>
              <w:bottom w:val="single" w:sz="4" w:space="0" w:color="auto"/>
              <w:right w:val="single" w:sz="4" w:space="0" w:color="auto"/>
            </w:tcBorders>
            <w:shd w:val="clear" w:color="000000" w:fill="F2F2F2"/>
            <w:vAlign w:val="center"/>
            <w:hideMark/>
          </w:tcPr>
          <w:p w14:paraId="08311495"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GASES DE LA GUAJIRA S.A., EMPRESA DE SERVICIOS PUBLICOS</w:t>
            </w:r>
          </w:p>
        </w:tc>
        <w:tc>
          <w:tcPr>
            <w:tcW w:w="1520" w:type="dxa"/>
            <w:tcBorders>
              <w:top w:val="nil"/>
              <w:left w:val="nil"/>
              <w:bottom w:val="single" w:sz="4" w:space="0" w:color="auto"/>
              <w:right w:val="single" w:sz="4" w:space="0" w:color="auto"/>
            </w:tcBorders>
            <w:shd w:val="clear" w:color="000000" w:fill="F2F2F2"/>
            <w:noWrap/>
            <w:vAlign w:val="center"/>
            <w:hideMark/>
          </w:tcPr>
          <w:p w14:paraId="5DEF5831"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$ 7.028.145.000</w:t>
            </w:r>
          </w:p>
        </w:tc>
        <w:tc>
          <w:tcPr>
            <w:tcW w:w="1440" w:type="dxa"/>
            <w:tcBorders>
              <w:top w:val="nil"/>
              <w:left w:val="nil"/>
              <w:bottom w:val="single" w:sz="4" w:space="0" w:color="auto"/>
              <w:right w:val="single" w:sz="4" w:space="0" w:color="auto"/>
            </w:tcBorders>
            <w:shd w:val="clear" w:color="000000" w:fill="F2F2F2"/>
            <w:noWrap/>
            <w:vAlign w:val="center"/>
            <w:hideMark/>
          </w:tcPr>
          <w:p w14:paraId="42173541"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$ 79.646.770</w:t>
            </w:r>
          </w:p>
        </w:tc>
        <w:tc>
          <w:tcPr>
            <w:tcW w:w="1460" w:type="dxa"/>
            <w:tcBorders>
              <w:top w:val="nil"/>
              <w:left w:val="nil"/>
              <w:bottom w:val="single" w:sz="4" w:space="0" w:color="auto"/>
              <w:right w:val="single" w:sz="4" w:space="0" w:color="auto"/>
            </w:tcBorders>
            <w:shd w:val="clear" w:color="000000" w:fill="F2F2F2"/>
            <w:noWrap/>
            <w:vAlign w:val="center"/>
            <w:hideMark/>
          </w:tcPr>
          <w:p w14:paraId="0F62D635"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$ 7.107.791.770</w:t>
            </w:r>
          </w:p>
        </w:tc>
        <w:tc>
          <w:tcPr>
            <w:tcW w:w="1260" w:type="dxa"/>
            <w:tcBorders>
              <w:top w:val="nil"/>
              <w:left w:val="nil"/>
              <w:bottom w:val="single" w:sz="4" w:space="0" w:color="auto"/>
              <w:right w:val="single" w:sz="4" w:space="0" w:color="auto"/>
            </w:tcBorders>
            <w:shd w:val="clear" w:color="000000" w:fill="F2F2F2"/>
            <w:noWrap/>
            <w:vAlign w:val="center"/>
            <w:hideMark/>
          </w:tcPr>
          <w:p w14:paraId="5DC06FB1"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$ 71.077.918</w:t>
            </w:r>
          </w:p>
        </w:tc>
        <w:tc>
          <w:tcPr>
            <w:tcW w:w="1120" w:type="dxa"/>
            <w:tcBorders>
              <w:top w:val="nil"/>
              <w:left w:val="nil"/>
              <w:bottom w:val="single" w:sz="4" w:space="0" w:color="auto"/>
              <w:right w:val="single" w:sz="4" w:space="0" w:color="auto"/>
            </w:tcBorders>
            <w:shd w:val="clear" w:color="000000" w:fill="F2F2F2"/>
            <w:noWrap/>
            <w:vAlign w:val="center"/>
            <w:hideMark/>
          </w:tcPr>
          <w:p w14:paraId="3A89BB3C"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$ 2.958</w:t>
            </w:r>
          </w:p>
        </w:tc>
        <w:tc>
          <w:tcPr>
            <w:tcW w:w="1260" w:type="dxa"/>
            <w:tcBorders>
              <w:top w:val="nil"/>
              <w:left w:val="nil"/>
              <w:bottom w:val="single" w:sz="4" w:space="0" w:color="auto"/>
              <w:right w:val="single" w:sz="4" w:space="0" w:color="auto"/>
            </w:tcBorders>
            <w:shd w:val="clear" w:color="000000" w:fill="F2F2F2"/>
            <w:noWrap/>
            <w:vAlign w:val="center"/>
            <w:hideMark/>
          </w:tcPr>
          <w:p w14:paraId="50E0AFC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$ 71.080.876</w:t>
            </w:r>
          </w:p>
        </w:tc>
        <w:tc>
          <w:tcPr>
            <w:tcW w:w="1920" w:type="dxa"/>
            <w:tcBorders>
              <w:top w:val="nil"/>
              <w:left w:val="nil"/>
              <w:bottom w:val="single" w:sz="4" w:space="0" w:color="auto"/>
              <w:right w:val="single" w:sz="4" w:space="0" w:color="auto"/>
            </w:tcBorders>
            <w:shd w:val="clear" w:color="000000" w:fill="F2F2F2"/>
            <w:vAlign w:val="center"/>
            <w:hideMark/>
          </w:tcPr>
          <w:p w14:paraId="56C47454"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GAS POR REDES</w:t>
            </w:r>
          </w:p>
        </w:tc>
      </w:tr>
      <w:tr w:rsidR="00D705A6" w:rsidRPr="002E0BB9" w14:paraId="0B2F2991" w14:textId="77777777" w:rsidTr="007D1249">
        <w:trPr>
          <w:trHeight w:val="6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742DE6F0"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126</w:t>
            </w:r>
          </w:p>
        </w:tc>
        <w:tc>
          <w:tcPr>
            <w:tcW w:w="560" w:type="dxa"/>
            <w:tcBorders>
              <w:top w:val="nil"/>
              <w:left w:val="nil"/>
              <w:bottom w:val="single" w:sz="4" w:space="0" w:color="auto"/>
              <w:right w:val="single" w:sz="4" w:space="0" w:color="auto"/>
            </w:tcBorders>
            <w:shd w:val="clear" w:color="000000" w:fill="F2F2F2"/>
            <w:noWrap/>
            <w:vAlign w:val="center"/>
            <w:hideMark/>
          </w:tcPr>
          <w:p w14:paraId="2001773B"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3206</w:t>
            </w:r>
          </w:p>
        </w:tc>
        <w:tc>
          <w:tcPr>
            <w:tcW w:w="920" w:type="dxa"/>
            <w:tcBorders>
              <w:top w:val="nil"/>
              <w:left w:val="nil"/>
              <w:bottom w:val="single" w:sz="4" w:space="0" w:color="auto"/>
              <w:right w:val="single" w:sz="4" w:space="0" w:color="auto"/>
            </w:tcBorders>
            <w:shd w:val="clear" w:color="000000" w:fill="F2F2F2"/>
            <w:noWrap/>
            <w:vAlign w:val="center"/>
            <w:hideMark/>
          </w:tcPr>
          <w:p w14:paraId="7347D797"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899999068</w:t>
            </w:r>
          </w:p>
        </w:tc>
        <w:tc>
          <w:tcPr>
            <w:tcW w:w="2180" w:type="dxa"/>
            <w:tcBorders>
              <w:top w:val="nil"/>
              <w:left w:val="nil"/>
              <w:bottom w:val="single" w:sz="4" w:space="0" w:color="auto"/>
              <w:right w:val="single" w:sz="4" w:space="0" w:color="auto"/>
            </w:tcBorders>
            <w:shd w:val="clear" w:color="000000" w:fill="F2F2F2"/>
            <w:vAlign w:val="center"/>
            <w:hideMark/>
          </w:tcPr>
          <w:p w14:paraId="2626AECC"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ECOPETROL S.A.</w:t>
            </w:r>
          </w:p>
        </w:tc>
        <w:tc>
          <w:tcPr>
            <w:tcW w:w="1520" w:type="dxa"/>
            <w:tcBorders>
              <w:top w:val="nil"/>
              <w:left w:val="nil"/>
              <w:bottom w:val="single" w:sz="4" w:space="0" w:color="auto"/>
              <w:right w:val="single" w:sz="4" w:space="0" w:color="auto"/>
            </w:tcBorders>
            <w:shd w:val="clear" w:color="000000" w:fill="F2F2F2"/>
            <w:noWrap/>
            <w:vAlign w:val="center"/>
            <w:hideMark/>
          </w:tcPr>
          <w:p w14:paraId="350C942A"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$ 448.321.888.000</w:t>
            </w:r>
          </w:p>
        </w:tc>
        <w:tc>
          <w:tcPr>
            <w:tcW w:w="1440" w:type="dxa"/>
            <w:tcBorders>
              <w:top w:val="nil"/>
              <w:left w:val="nil"/>
              <w:bottom w:val="single" w:sz="4" w:space="0" w:color="auto"/>
              <w:right w:val="single" w:sz="4" w:space="0" w:color="auto"/>
            </w:tcBorders>
            <w:shd w:val="clear" w:color="000000" w:fill="F2F2F2"/>
            <w:noWrap/>
            <w:vAlign w:val="center"/>
            <w:hideMark/>
          </w:tcPr>
          <w:p w14:paraId="3E9CD0B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$ 0</w:t>
            </w:r>
          </w:p>
        </w:tc>
        <w:tc>
          <w:tcPr>
            <w:tcW w:w="1460" w:type="dxa"/>
            <w:tcBorders>
              <w:top w:val="nil"/>
              <w:left w:val="nil"/>
              <w:bottom w:val="single" w:sz="4" w:space="0" w:color="auto"/>
              <w:right w:val="single" w:sz="4" w:space="0" w:color="auto"/>
            </w:tcBorders>
            <w:shd w:val="clear" w:color="000000" w:fill="F2F2F2"/>
            <w:noWrap/>
            <w:vAlign w:val="center"/>
            <w:hideMark/>
          </w:tcPr>
          <w:p w14:paraId="2100FFC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$ 448.321.888.000</w:t>
            </w:r>
          </w:p>
        </w:tc>
        <w:tc>
          <w:tcPr>
            <w:tcW w:w="1260" w:type="dxa"/>
            <w:tcBorders>
              <w:top w:val="nil"/>
              <w:left w:val="nil"/>
              <w:bottom w:val="single" w:sz="4" w:space="0" w:color="auto"/>
              <w:right w:val="single" w:sz="4" w:space="0" w:color="auto"/>
            </w:tcBorders>
            <w:shd w:val="clear" w:color="000000" w:fill="F2F2F2"/>
            <w:noWrap/>
            <w:vAlign w:val="center"/>
            <w:hideMark/>
          </w:tcPr>
          <w:p w14:paraId="3E61980A"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$ 4.483.218.880</w:t>
            </w:r>
          </w:p>
        </w:tc>
        <w:tc>
          <w:tcPr>
            <w:tcW w:w="1120" w:type="dxa"/>
            <w:tcBorders>
              <w:top w:val="nil"/>
              <w:left w:val="nil"/>
              <w:bottom w:val="single" w:sz="4" w:space="0" w:color="auto"/>
              <w:right w:val="single" w:sz="4" w:space="0" w:color="auto"/>
            </w:tcBorders>
            <w:shd w:val="clear" w:color="000000" w:fill="F2F2F2"/>
            <w:noWrap/>
            <w:vAlign w:val="center"/>
            <w:hideMark/>
          </w:tcPr>
          <w:p w14:paraId="41127F31"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$ 186.576</w:t>
            </w:r>
          </w:p>
        </w:tc>
        <w:tc>
          <w:tcPr>
            <w:tcW w:w="1260" w:type="dxa"/>
            <w:tcBorders>
              <w:top w:val="nil"/>
              <w:left w:val="nil"/>
              <w:bottom w:val="single" w:sz="4" w:space="0" w:color="auto"/>
              <w:right w:val="single" w:sz="4" w:space="0" w:color="auto"/>
            </w:tcBorders>
            <w:shd w:val="clear" w:color="000000" w:fill="F2F2F2"/>
            <w:noWrap/>
            <w:vAlign w:val="center"/>
            <w:hideMark/>
          </w:tcPr>
          <w:p w14:paraId="7DA6402E"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$ 4.483.405.456</w:t>
            </w:r>
          </w:p>
        </w:tc>
        <w:tc>
          <w:tcPr>
            <w:tcW w:w="1920" w:type="dxa"/>
            <w:tcBorders>
              <w:top w:val="nil"/>
              <w:left w:val="nil"/>
              <w:bottom w:val="single" w:sz="4" w:space="0" w:color="auto"/>
              <w:right w:val="single" w:sz="4" w:space="0" w:color="auto"/>
            </w:tcBorders>
            <w:shd w:val="clear" w:color="000000" w:fill="F2F2F2"/>
            <w:vAlign w:val="center"/>
            <w:hideMark/>
          </w:tcPr>
          <w:p w14:paraId="6DF92C8E"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GAS LICUADO DEL PETROLEO - GAS POR REDES</w:t>
            </w:r>
          </w:p>
        </w:tc>
      </w:tr>
      <w:tr w:rsidR="00D705A6" w:rsidRPr="002E0BB9" w14:paraId="1B6D69CB" w14:textId="77777777" w:rsidTr="007D1249">
        <w:trPr>
          <w:trHeight w:val="4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2B5A5B65"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127</w:t>
            </w:r>
          </w:p>
        </w:tc>
        <w:tc>
          <w:tcPr>
            <w:tcW w:w="560" w:type="dxa"/>
            <w:tcBorders>
              <w:top w:val="nil"/>
              <w:left w:val="nil"/>
              <w:bottom w:val="single" w:sz="4" w:space="0" w:color="auto"/>
              <w:right w:val="single" w:sz="4" w:space="0" w:color="auto"/>
            </w:tcBorders>
            <w:shd w:val="clear" w:color="000000" w:fill="F2F2F2"/>
            <w:noWrap/>
            <w:vAlign w:val="center"/>
            <w:hideMark/>
          </w:tcPr>
          <w:p w14:paraId="4471029D"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594</w:t>
            </w:r>
          </w:p>
        </w:tc>
        <w:tc>
          <w:tcPr>
            <w:tcW w:w="920" w:type="dxa"/>
            <w:tcBorders>
              <w:top w:val="nil"/>
              <w:left w:val="nil"/>
              <w:bottom w:val="single" w:sz="4" w:space="0" w:color="auto"/>
              <w:right w:val="single" w:sz="4" w:space="0" w:color="auto"/>
            </w:tcBorders>
            <w:shd w:val="clear" w:color="000000" w:fill="F2F2F2"/>
            <w:noWrap/>
            <w:vAlign w:val="center"/>
            <w:hideMark/>
          </w:tcPr>
          <w:p w14:paraId="3E7E217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899999082</w:t>
            </w:r>
          </w:p>
        </w:tc>
        <w:tc>
          <w:tcPr>
            <w:tcW w:w="2180" w:type="dxa"/>
            <w:tcBorders>
              <w:top w:val="nil"/>
              <w:left w:val="nil"/>
              <w:bottom w:val="single" w:sz="4" w:space="0" w:color="auto"/>
              <w:right w:val="single" w:sz="4" w:space="0" w:color="auto"/>
            </w:tcBorders>
            <w:shd w:val="clear" w:color="000000" w:fill="F2F2F2"/>
            <w:vAlign w:val="center"/>
            <w:hideMark/>
          </w:tcPr>
          <w:p w14:paraId="07D6C9AB"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EMPRESA DE ENERGIA DE BOGOTA S.A. ESP.</w:t>
            </w:r>
          </w:p>
        </w:tc>
        <w:tc>
          <w:tcPr>
            <w:tcW w:w="1520" w:type="dxa"/>
            <w:tcBorders>
              <w:top w:val="nil"/>
              <w:left w:val="nil"/>
              <w:bottom w:val="single" w:sz="4" w:space="0" w:color="auto"/>
              <w:right w:val="single" w:sz="4" w:space="0" w:color="auto"/>
            </w:tcBorders>
            <w:shd w:val="clear" w:color="000000" w:fill="F2F2F2"/>
            <w:noWrap/>
            <w:vAlign w:val="center"/>
            <w:hideMark/>
          </w:tcPr>
          <w:p w14:paraId="56036D2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$ 21.096.769.000</w:t>
            </w:r>
          </w:p>
        </w:tc>
        <w:tc>
          <w:tcPr>
            <w:tcW w:w="1440" w:type="dxa"/>
            <w:tcBorders>
              <w:top w:val="nil"/>
              <w:left w:val="nil"/>
              <w:bottom w:val="single" w:sz="4" w:space="0" w:color="auto"/>
              <w:right w:val="single" w:sz="4" w:space="0" w:color="auto"/>
            </w:tcBorders>
            <w:shd w:val="clear" w:color="000000" w:fill="F2F2F2"/>
            <w:noWrap/>
            <w:vAlign w:val="center"/>
            <w:hideMark/>
          </w:tcPr>
          <w:p w14:paraId="5C7E53D1"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$ 0</w:t>
            </w:r>
          </w:p>
        </w:tc>
        <w:tc>
          <w:tcPr>
            <w:tcW w:w="1460" w:type="dxa"/>
            <w:tcBorders>
              <w:top w:val="nil"/>
              <w:left w:val="nil"/>
              <w:bottom w:val="single" w:sz="4" w:space="0" w:color="auto"/>
              <w:right w:val="single" w:sz="4" w:space="0" w:color="auto"/>
            </w:tcBorders>
            <w:shd w:val="clear" w:color="000000" w:fill="F2F2F2"/>
            <w:noWrap/>
            <w:vAlign w:val="center"/>
            <w:hideMark/>
          </w:tcPr>
          <w:p w14:paraId="7562680B"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$ 21.096.769.000</w:t>
            </w:r>
          </w:p>
        </w:tc>
        <w:tc>
          <w:tcPr>
            <w:tcW w:w="1260" w:type="dxa"/>
            <w:tcBorders>
              <w:top w:val="nil"/>
              <w:left w:val="nil"/>
              <w:bottom w:val="single" w:sz="4" w:space="0" w:color="auto"/>
              <w:right w:val="single" w:sz="4" w:space="0" w:color="auto"/>
            </w:tcBorders>
            <w:shd w:val="clear" w:color="000000" w:fill="F2F2F2"/>
            <w:noWrap/>
            <w:vAlign w:val="center"/>
            <w:hideMark/>
          </w:tcPr>
          <w:p w14:paraId="5B3E5625"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$ 210.967.690</w:t>
            </w:r>
          </w:p>
        </w:tc>
        <w:tc>
          <w:tcPr>
            <w:tcW w:w="1120" w:type="dxa"/>
            <w:tcBorders>
              <w:top w:val="nil"/>
              <w:left w:val="nil"/>
              <w:bottom w:val="single" w:sz="4" w:space="0" w:color="auto"/>
              <w:right w:val="single" w:sz="4" w:space="0" w:color="auto"/>
            </w:tcBorders>
            <w:shd w:val="clear" w:color="000000" w:fill="F2F2F2"/>
            <w:noWrap/>
            <w:vAlign w:val="center"/>
            <w:hideMark/>
          </w:tcPr>
          <w:p w14:paraId="017BB5DE"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$ 8.780</w:t>
            </w:r>
          </w:p>
        </w:tc>
        <w:tc>
          <w:tcPr>
            <w:tcW w:w="1260" w:type="dxa"/>
            <w:tcBorders>
              <w:top w:val="nil"/>
              <w:left w:val="nil"/>
              <w:bottom w:val="single" w:sz="4" w:space="0" w:color="auto"/>
              <w:right w:val="single" w:sz="4" w:space="0" w:color="auto"/>
            </w:tcBorders>
            <w:shd w:val="clear" w:color="000000" w:fill="F2F2F2"/>
            <w:noWrap/>
            <w:vAlign w:val="center"/>
            <w:hideMark/>
          </w:tcPr>
          <w:p w14:paraId="01FCB2C2"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$ 210.976.470</w:t>
            </w:r>
          </w:p>
        </w:tc>
        <w:tc>
          <w:tcPr>
            <w:tcW w:w="1920" w:type="dxa"/>
            <w:tcBorders>
              <w:top w:val="nil"/>
              <w:left w:val="nil"/>
              <w:bottom w:val="single" w:sz="4" w:space="0" w:color="auto"/>
              <w:right w:val="single" w:sz="4" w:space="0" w:color="auto"/>
            </w:tcBorders>
            <w:shd w:val="clear" w:color="000000" w:fill="F2F2F2"/>
            <w:vAlign w:val="center"/>
            <w:hideMark/>
          </w:tcPr>
          <w:p w14:paraId="56627D4A"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w:t>
            </w:r>
          </w:p>
        </w:tc>
      </w:tr>
      <w:tr w:rsidR="00D705A6" w:rsidRPr="002E0BB9" w14:paraId="6FAC411C" w14:textId="77777777" w:rsidTr="007D1249">
        <w:trPr>
          <w:trHeight w:val="6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4F805D2C"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128</w:t>
            </w:r>
          </w:p>
        </w:tc>
        <w:tc>
          <w:tcPr>
            <w:tcW w:w="560" w:type="dxa"/>
            <w:tcBorders>
              <w:top w:val="nil"/>
              <w:left w:val="nil"/>
              <w:bottom w:val="single" w:sz="4" w:space="0" w:color="auto"/>
              <w:right w:val="single" w:sz="4" w:space="0" w:color="auto"/>
            </w:tcBorders>
            <w:shd w:val="clear" w:color="000000" w:fill="F2F2F2"/>
            <w:noWrap/>
            <w:vAlign w:val="center"/>
            <w:hideMark/>
          </w:tcPr>
          <w:p w14:paraId="0A834551"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20420</w:t>
            </w:r>
          </w:p>
        </w:tc>
        <w:tc>
          <w:tcPr>
            <w:tcW w:w="920" w:type="dxa"/>
            <w:tcBorders>
              <w:top w:val="nil"/>
              <w:left w:val="nil"/>
              <w:bottom w:val="single" w:sz="4" w:space="0" w:color="auto"/>
              <w:right w:val="single" w:sz="4" w:space="0" w:color="auto"/>
            </w:tcBorders>
            <w:shd w:val="clear" w:color="000000" w:fill="F2F2F2"/>
            <w:noWrap/>
            <w:vAlign w:val="center"/>
            <w:hideMark/>
          </w:tcPr>
          <w:p w14:paraId="6906F037"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900028111</w:t>
            </w:r>
          </w:p>
        </w:tc>
        <w:tc>
          <w:tcPr>
            <w:tcW w:w="2180" w:type="dxa"/>
            <w:tcBorders>
              <w:top w:val="nil"/>
              <w:left w:val="nil"/>
              <w:bottom w:val="single" w:sz="4" w:space="0" w:color="auto"/>
              <w:right w:val="single" w:sz="4" w:space="0" w:color="auto"/>
            </w:tcBorders>
            <w:shd w:val="clear" w:color="000000" w:fill="F2F2F2"/>
            <w:vAlign w:val="center"/>
            <w:hideMark/>
          </w:tcPr>
          <w:p w14:paraId="4A3A6C3C"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TURGAS S.A. E.S.P.</w:t>
            </w:r>
          </w:p>
        </w:tc>
        <w:tc>
          <w:tcPr>
            <w:tcW w:w="1520" w:type="dxa"/>
            <w:tcBorders>
              <w:top w:val="nil"/>
              <w:left w:val="nil"/>
              <w:bottom w:val="single" w:sz="4" w:space="0" w:color="auto"/>
              <w:right w:val="single" w:sz="4" w:space="0" w:color="auto"/>
            </w:tcBorders>
            <w:shd w:val="clear" w:color="000000" w:fill="F2F2F2"/>
            <w:noWrap/>
            <w:vAlign w:val="center"/>
            <w:hideMark/>
          </w:tcPr>
          <w:p w14:paraId="3E57161C"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$ 2.820.315.775</w:t>
            </w:r>
          </w:p>
        </w:tc>
        <w:tc>
          <w:tcPr>
            <w:tcW w:w="1440" w:type="dxa"/>
            <w:tcBorders>
              <w:top w:val="nil"/>
              <w:left w:val="nil"/>
              <w:bottom w:val="single" w:sz="4" w:space="0" w:color="auto"/>
              <w:right w:val="single" w:sz="4" w:space="0" w:color="auto"/>
            </w:tcBorders>
            <w:shd w:val="clear" w:color="000000" w:fill="F2F2F2"/>
            <w:noWrap/>
            <w:vAlign w:val="center"/>
            <w:hideMark/>
          </w:tcPr>
          <w:p w14:paraId="2DF8019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$ 430.348.194</w:t>
            </w:r>
          </w:p>
        </w:tc>
        <w:tc>
          <w:tcPr>
            <w:tcW w:w="1460" w:type="dxa"/>
            <w:tcBorders>
              <w:top w:val="nil"/>
              <w:left w:val="nil"/>
              <w:bottom w:val="single" w:sz="4" w:space="0" w:color="auto"/>
              <w:right w:val="single" w:sz="4" w:space="0" w:color="auto"/>
            </w:tcBorders>
            <w:shd w:val="clear" w:color="000000" w:fill="F2F2F2"/>
            <w:noWrap/>
            <w:vAlign w:val="center"/>
            <w:hideMark/>
          </w:tcPr>
          <w:p w14:paraId="1E62F54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$ 3.250.663.969</w:t>
            </w:r>
          </w:p>
        </w:tc>
        <w:tc>
          <w:tcPr>
            <w:tcW w:w="1260" w:type="dxa"/>
            <w:tcBorders>
              <w:top w:val="nil"/>
              <w:left w:val="nil"/>
              <w:bottom w:val="single" w:sz="4" w:space="0" w:color="auto"/>
              <w:right w:val="single" w:sz="4" w:space="0" w:color="auto"/>
            </w:tcBorders>
            <w:shd w:val="clear" w:color="000000" w:fill="F2F2F2"/>
            <w:noWrap/>
            <w:vAlign w:val="center"/>
            <w:hideMark/>
          </w:tcPr>
          <w:p w14:paraId="55674C7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$ 32.506.640</w:t>
            </w:r>
          </w:p>
        </w:tc>
        <w:tc>
          <w:tcPr>
            <w:tcW w:w="1120" w:type="dxa"/>
            <w:tcBorders>
              <w:top w:val="nil"/>
              <w:left w:val="nil"/>
              <w:bottom w:val="single" w:sz="4" w:space="0" w:color="auto"/>
              <w:right w:val="single" w:sz="4" w:space="0" w:color="auto"/>
            </w:tcBorders>
            <w:shd w:val="clear" w:color="000000" w:fill="F2F2F2"/>
            <w:noWrap/>
            <w:vAlign w:val="center"/>
            <w:hideMark/>
          </w:tcPr>
          <w:p w14:paraId="76EDAEF2"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$ 1.353</w:t>
            </w:r>
          </w:p>
        </w:tc>
        <w:tc>
          <w:tcPr>
            <w:tcW w:w="1260" w:type="dxa"/>
            <w:tcBorders>
              <w:top w:val="nil"/>
              <w:left w:val="nil"/>
              <w:bottom w:val="single" w:sz="4" w:space="0" w:color="auto"/>
              <w:right w:val="single" w:sz="4" w:space="0" w:color="auto"/>
            </w:tcBorders>
            <w:shd w:val="clear" w:color="000000" w:fill="F2F2F2"/>
            <w:noWrap/>
            <w:vAlign w:val="center"/>
            <w:hideMark/>
          </w:tcPr>
          <w:p w14:paraId="175D76D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$ 32.507.993</w:t>
            </w:r>
          </w:p>
        </w:tc>
        <w:tc>
          <w:tcPr>
            <w:tcW w:w="1920" w:type="dxa"/>
            <w:tcBorders>
              <w:top w:val="nil"/>
              <w:left w:val="nil"/>
              <w:bottom w:val="single" w:sz="4" w:space="0" w:color="auto"/>
              <w:right w:val="single" w:sz="4" w:space="0" w:color="auto"/>
            </w:tcBorders>
            <w:shd w:val="clear" w:color="000000" w:fill="F2F2F2"/>
            <w:vAlign w:val="center"/>
            <w:hideMark/>
          </w:tcPr>
          <w:p w14:paraId="77A42855"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GAS LICUADO DEL PETROLEO - GAS POR REDES</w:t>
            </w:r>
          </w:p>
        </w:tc>
      </w:tr>
      <w:tr w:rsidR="00D705A6" w:rsidRPr="002E0BB9" w14:paraId="363D6885" w14:textId="77777777" w:rsidTr="007D1249">
        <w:trPr>
          <w:trHeight w:val="2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3E4AAF4E"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129</w:t>
            </w:r>
          </w:p>
        </w:tc>
        <w:tc>
          <w:tcPr>
            <w:tcW w:w="560" w:type="dxa"/>
            <w:tcBorders>
              <w:top w:val="nil"/>
              <w:left w:val="nil"/>
              <w:bottom w:val="single" w:sz="4" w:space="0" w:color="auto"/>
              <w:right w:val="single" w:sz="4" w:space="0" w:color="auto"/>
            </w:tcBorders>
            <w:shd w:val="clear" w:color="000000" w:fill="F2F2F2"/>
            <w:noWrap/>
            <w:vAlign w:val="center"/>
            <w:hideMark/>
          </w:tcPr>
          <w:p w14:paraId="52341EF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38641</w:t>
            </w:r>
          </w:p>
        </w:tc>
        <w:tc>
          <w:tcPr>
            <w:tcW w:w="920" w:type="dxa"/>
            <w:tcBorders>
              <w:top w:val="nil"/>
              <w:left w:val="nil"/>
              <w:bottom w:val="single" w:sz="4" w:space="0" w:color="auto"/>
              <w:right w:val="single" w:sz="4" w:space="0" w:color="auto"/>
            </w:tcBorders>
            <w:shd w:val="clear" w:color="000000" w:fill="F2F2F2"/>
            <w:noWrap/>
            <w:vAlign w:val="center"/>
            <w:hideMark/>
          </w:tcPr>
          <w:p w14:paraId="349515EB"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900039770</w:t>
            </w:r>
          </w:p>
        </w:tc>
        <w:tc>
          <w:tcPr>
            <w:tcW w:w="2180" w:type="dxa"/>
            <w:tcBorders>
              <w:top w:val="nil"/>
              <w:left w:val="nil"/>
              <w:bottom w:val="single" w:sz="4" w:space="0" w:color="auto"/>
              <w:right w:val="single" w:sz="4" w:space="0" w:color="auto"/>
            </w:tcBorders>
            <w:shd w:val="clear" w:color="000000" w:fill="F2F2F2"/>
            <w:vAlign w:val="center"/>
            <w:hideMark/>
          </w:tcPr>
          <w:p w14:paraId="56769B95"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VERAGAS SAS ESP</w:t>
            </w:r>
          </w:p>
        </w:tc>
        <w:tc>
          <w:tcPr>
            <w:tcW w:w="1520" w:type="dxa"/>
            <w:tcBorders>
              <w:top w:val="nil"/>
              <w:left w:val="nil"/>
              <w:bottom w:val="single" w:sz="4" w:space="0" w:color="auto"/>
              <w:right w:val="single" w:sz="4" w:space="0" w:color="auto"/>
            </w:tcBorders>
            <w:shd w:val="clear" w:color="000000" w:fill="F2F2F2"/>
            <w:noWrap/>
            <w:vAlign w:val="center"/>
            <w:hideMark/>
          </w:tcPr>
          <w:p w14:paraId="1F3B7A5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$ 506.514.000</w:t>
            </w:r>
          </w:p>
        </w:tc>
        <w:tc>
          <w:tcPr>
            <w:tcW w:w="1440" w:type="dxa"/>
            <w:tcBorders>
              <w:top w:val="nil"/>
              <w:left w:val="nil"/>
              <w:bottom w:val="single" w:sz="4" w:space="0" w:color="auto"/>
              <w:right w:val="single" w:sz="4" w:space="0" w:color="auto"/>
            </w:tcBorders>
            <w:shd w:val="clear" w:color="000000" w:fill="F2F2F2"/>
            <w:noWrap/>
            <w:vAlign w:val="center"/>
            <w:hideMark/>
          </w:tcPr>
          <w:p w14:paraId="47D16C4B"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$ 0</w:t>
            </w:r>
          </w:p>
        </w:tc>
        <w:tc>
          <w:tcPr>
            <w:tcW w:w="1460" w:type="dxa"/>
            <w:tcBorders>
              <w:top w:val="nil"/>
              <w:left w:val="nil"/>
              <w:bottom w:val="single" w:sz="4" w:space="0" w:color="auto"/>
              <w:right w:val="single" w:sz="4" w:space="0" w:color="auto"/>
            </w:tcBorders>
            <w:shd w:val="clear" w:color="000000" w:fill="F2F2F2"/>
            <w:noWrap/>
            <w:vAlign w:val="center"/>
            <w:hideMark/>
          </w:tcPr>
          <w:p w14:paraId="4834496B"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$ 506.514.000</w:t>
            </w:r>
          </w:p>
        </w:tc>
        <w:tc>
          <w:tcPr>
            <w:tcW w:w="1260" w:type="dxa"/>
            <w:tcBorders>
              <w:top w:val="nil"/>
              <w:left w:val="nil"/>
              <w:bottom w:val="single" w:sz="4" w:space="0" w:color="auto"/>
              <w:right w:val="single" w:sz="4" w:space="0" w:color="auto"/>
            </w:tcBorders>
            <w:shd w:val="clear" w:color="000000" w:fill="F2F2F2"/>
            <w:noWrap/>
            <w:vAlign w:val="center"/>
            <w:hideMark/>
          </w:tcPr>
          <w:p w14:paraId="18F1755A"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$ 5.065.140</w:t>
            </w:r>
          </w:p>
        </w:tc>
        <w:tc>
          <w:tcPr>
            <w:tcW w:w="1120" w:type="dxa"/>
            <w:tcBorders>
              <w:top w:val="nil"/>
              <w:left w:val="nil"/>
              <w:bottom w:val="single" w:sz="4" w:space="0" w:color="auto"/>
              <w:right w:val="single" w:sz="4" w:space="0" w:color="auto"/>
            </w:tcBorders>
            <w:shd w:val="clear" w:color="000000" w:fill="F2F2F2"/>
            <w:noWrap/>
            <w:vAlign w:val="center"/>
            <w:hideMark/>
          </w:tcPr>
          <w:p w14:paraId="022FAB41"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$ 211</w:t>
            </w:r>
          </w:p>
        </w:tc>
        <w:tc>
          <w:tcPr>
            <w:tcW w:w="1260" w:type="dxa"/>
            <w:tcBorders>
              <w:top w:val="nil"/>
              <w:left w:val="nil"/>
              <w:bottom w:val="single" w:sz="4" w:space="0" w:color="auto"/>
              <w:right w:val="single" w:sz="4" w:space="0" w:color="auto"/>
            </w:tcBorders>
            <w:shd w:val="clear" w:color="000000" w:fill="F2F2F2"/>
            <w:noWrap/>
            <w:vAlign w:val="center"/>
            <w:hideMark/>
          </w:tcPr>
          <w:p w14:paraId="79C9A0D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$ 5.065.351</w:t>
            </w:r>
          </w:p>
        </w:tc>
        <w:tc>
          <w:tcPr>
            <w:tcW w:w="1920" w:type="dxa"/>
            <w:tcBorders>
              <w:top w:val="nil"/>
              <w:left w:val="nil"/>
              <w:bottom w:val="single" w:sz="4" w:space="0" w:color="auto"/>
              <w:right w:val="single" w:sz="4" w:space="0" w:color="auto"/>
            </w:tcBorders>
            <w:shd w:val="clear" w:color="000000" w:fill="F2F2F2"/>
            <w:vAlign w:val="center"/>
            <w:hideMark/>
          </w:tcPr>
          <w:p w14:paraId="472D7710"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GAS POR REDES</w:t>
            </w:r>
          </w:p>
        </w:tc>
      </w:tr>
      <w:tr w:rsidR="00D705A6" w:rsidRPr="002E0BB9" w14:paraId="1ADA8B02" w14:textId="77777777" w:rsidTr="007D1249">
        <w:trPr>
          <w:trHeight w:val="2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6CDF89A2"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130</w:t>
            </w:r>
          </w:p>
        </w:tc>
        <w:tc>
          <w:tcPr>
            <w:tcW w:w="560" w:type="dxa"/>
            <w:tcBorders>
              <w:top w:val="nil"/>
              <w:left w:val="nil"/>
              <w:bottom w:val="single" w:sz="4" w:space="0" w:color="auto"/>
              <w:right w:val="single" w:sz="4" w:space="0" w:color="auto"/>
            </w:tcBorders>
            <w:shd w:val="clear" w:color="000000" w:fill="F2F2F2"/>
            <w:noWrap/>
            <w:vAlign w:val="center"/>
            <w:hideMark/>
          </w:tcPr>
          <w:p w14:paraId="56B00B7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20437</w:t>
            </w:r>
          </w:p>
        </w:tc>
        <w:tc>
          <w:tcPr>
            <w:tcW w:w="920" w:type="dxa"/>
            <w:tcBorders>
              <w:top w:val="nil"/>
              <w:left w:val="nil"/>
              <w:bottom w:val="single" w:sz="4" w:space="0" w:color="auto"/>
              <w:right w:val="single" w:sz="4" w:space="0" w:color="auto"/>
            </w:tcBorders>
            <w:shd w:val="clear" w:color="000000" w:fill="F2F2F2"/>
            <w:noWrap/>
            <w:vAlign w:val="center"/>
            <w:hideMark/>
          </w:tcPr>
          <w:p w14:paraId="3AB447DE"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900039901</w:t>
            </w:r>
          </w:p>
        </w:tc>
        <w:tc>
          <w:tcPr>
            <w:tcW w:w="2180" w:type="dxa"/>
            <w:tcBorders>
              <w:top w:val="nil"/>
              <w:left w:val="nil"/>
              <w:bottom w:val="single" w:sz="4" w:space="0" w:color="auto"/>
              <w:right w:val="single" w:sz="4" w:space="0" w:color="auto"/>
            </w:tcBorders>
            <w:shd w:val="clear" w:color="000000" w:fill="F2F2F2"/>
            <w:vAlign w:val="center"/>
            <w:hideMark/>
          </w:tcPr>
          <w:p w14:paraId="3135EA9D"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ENERTOTAL S.A. E.S.P.</w:t>
            </w:r>
          </w:p>
        </w:tc>
        <w:tc>
          <w:tcPr>
            <w:tcW w:w="1520" w:type="dxa"/>
            <w:tcBorders>
              <w:top w:val="nil"/>
              <w:left w:val="nil"/>
              <w:bottom w:val="single" w:sz="4" w:space="0" w:color="auto"/>
              <w:right w:val="single" w:sz="4" w:space="0" w:color="auto"/>
            </w:tcBorders>
            <w:shd w:val="clear" w:color="000000" w:fill="F2F2F2"/>
            <w:noWrap/>
            <w:vAlign w:val="center"/>
            <w:hideMark/>
          </w:tcPr>
          <w:p w14:paraId="7C76502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$ 2.824.375.000</w:t>
            </w:r>
          </w:p>
        </w:tc>
        <w:tc>
          <w:tcPr>
            <w:tcW w:w="1440" w:type="dxa"/>
            <w:tcBorders>
              <w:top w:val="nil"/>
              <w:left w:val="nil"/>
              <w:bottom w:val="single" w:sz="4" w:space="0" w:color="auto"/>
              <w:right w:val="single" w:sz="4" w:space="0" w:color="auto"/>
            </w:tcBorders>
            <w:shd w:val="clear" w:color="000000" w:fill="F2F2F2"/>
            <w:noWrap/>
            <w:vAlign w:val="center"/>
            <w:hideMark/>
          </w:tcPr>
          <w:p w14:paraId="61ED5D6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$ 0</w:t>
            </w:r>
          </w:p>
        </w:tc>
        <w:tc>
          <w:tcPr>
            <w:tcW w:w="1460" w:type="dxa"/>
            <w:tcBorders>
              <w:top w:val="nil"/>
              <w:left w:val="nil"/>
              <w:bottom w:val="single" w:sz="4" w:space="0" w:color="auto"/>
              <w:right w:val="single" w:sz="4" w:space="0" w:color="auto"/>
            </w:tcBorders>
            <w:shd w:val="clear" w:color="000000" w:fill="F2F2F2"/>
            <w:noWrap/>
            <w:vAlign w:val="center"/>
            <w:hideMark/>
          </w:tcPr>
          <w:p w14:paraId="6A242615"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$ 2.824.375.000</w:t>
            </w:r>
          </w:p>
        </w:tc>
        <w:tc>
          <w:tcPr>
            <w:tcW w:w="1260" w:type="dxa"/>
            <w:tcBorders>
              <w:top w:val="nil"/>
              <w:left w:val="nil"/>
              <w:bottom w:val="single" w:sz="4" w:space="0" w:color="auto"/>
              <w:right w:val="single" w:sz="4" w:space="0" w:color="auto"/>
            </w:tcBorders>
            <w:shd w:val="clear" w:color="000000" w:fill="F2F2F2"/>
            <w:noWrap/>
            <w:vAlign w:val="center"/>
            <w:hideMark/>
          </w:tcPr>
          <w:p w14:paraId="07D5D74A"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$ 28.243.750</w:t>
            </w:r>
          </w:p>
        </w:tc>
        <w:tc>
          <w:tcPr>
            <w:tcW w:w="1120" w:type="dxa"/>
            <w:tcBorders>
              <w:top w:val="nil"/>
              <w:left w:val="nil"/>
              <w:bottom w:val="single" w:sz="4" w:space="0" w:color="auto"/>
              <w:right w:val="single" w:sz="4" w:space="0" w:color="auto"/>
            </w:tcBorders>
            <w:shd w:val="clear" w:color="000000" w:fill="F2F2F2"/>
            <w:noWrap/>
            <w:vAlign w:val="center"/>
            <w:hideMark/>
          </w:tcPr>
          <w:p w14:paraId="31B0D55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$ 1.175</w:t>
            </w:r>
          </w:p>
        </w:tc>
        <w:tc>
          <w:tcPr>
            <w:tcW w:w="1260" w:type="dxa"/>
            <w:tcBorders>
              <w:top w:val="nil"/>
              <w:left w:val="nil"/>
              <w:bottom w:val="single" w:sz="4" w:space="0" w:color="auto"/>
              <w:right w:val="single" w:sz="4" w:space="0" w:color="auto"/>
            </w:tcBorders>
            <w:shd w:val="clear" w:color="000000" w:fill="F2F2F2"/>
            <w:noWrap/>
            <w:vAlign w:val="center"/>
            <w:hideMark/>
          </w:tcPr>
          <w:p w14:paraId="67F4A7C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$ 28.244.925</w:t>
            </w:r>
          </w:p>
        </w:tc>
        <w:tc>
          <w:tcPr>
            <w:tcW w:w="1920" w:type="dxa"/>
            <w:tcBorders>
              <w:top w:val="nil"/>
              <w:left w:val="nil"/>
              <w:bottom w:val="single" w:sz="4" w:space="0" w:color="auto"/>
              <w:right w:val="single" w:sz="4" w:space="0" w:color="auto"/>
            </w:tcBorders>
            <w:shd w:val="clear" w:color="000000" w:fill="F2F2F2"/>
            <w:vAlign w:val="center"/>
            <w:hideMark/>
          </w:tcPr>
          <w:p w14:paraId="2FD50982"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w:t>
            </w:r>
          </w:p>
        </w:tc>
      </w:tr>
      <w:tr w:rsidR="00D705A6" w:rsidRPr="002E0BB9" w14:paraId="2F9D0910" w14:textId="77777777" w:rsidTr="007D1249">
        <w:trPr>
          <w:trHeight w:val="6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4D1389D7"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131</w:t>
            </w:r>
          </w:p>
        </w:tc>
        <w:tc>
          <w:tcPr>
            <w:tcW w:w="560" w:type="dxa"/>
            <w:tcBorders>
              <w:top w:val="nil"/>
              <w:left w:val="nil"/>
              <w:bottom w:val="single" w:sz="4" w:space="0" w:color="auto"/>
              <w:right w:val="single" w:sz="4" w:space="0" w:color="auto"/>
            </w:tcBorders>
            <w:shd w:val="clear" w:color="000000" w:fill="F2F2F2"/>
            <w:noWrap/>
            <w:vAlign w:val="center"/>
            <w:hideMark/>
          </w:tcPr>
          <w:p w14:paraId="019BED3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20481</w:t>
            </w:r>
          </w:p>
        </w:tc>
        <w:tc>
          <w:tcPr>
            <w:tcW w:w="920" w:type="dxa"/>
            <w:tcBorders>
              <w:top w:val="nil"/>
              <w:left w:val="nil"/>
              <w:bottom w:val="single" w:sz="4" w:space="0" w:color="auto"/>
              <w:right w:val="single" w:sz="4" w:space="0" w:color="auto"/>
            </w:tcBorders>
            <w:shd w:val="clear" w:color="000000" w:fill="F2F2F2"/>
            <w:noWrap/>
            <w:vAlign w:val="center"/>
            <w:hideMark/>
          </w:tcPr>
          <w:p w14:paraId="55E78D2D"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900042857</w:t>
            </w:r>
          </w:p>
        </w:tc>
        <w:tc>
          <w:tcPr>
            <w:tcW w:w="2180" w:type="dxa"/>
            <w:tcBorders>
              <w:top w:val="nil"/>
              <w:left w:val="nil"/>
              <w:bottom w:val="single" w:sz="4" w:space="0" w:color="auto"/>
              <w:right w:val="single" w:sz="4" w:space="0" w:color="auto"/>
            </w:tcBorders>
            <w:shd w:val="clear" w:color="000000" w:fill="F2F2F2"/>
            <w:vAlign w:val="center"/>
            <w:hideMark/>
          </w:tcPr>
          <w:p w14:paraId="2F1FD469"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XM COMPAÑIA DE EXPERTOS EN MERCADOS S.A. E.S.P.</w:t>
            </w:r>
          </w:p>
        </w:tc>
        <w:tc>
          <w:tcPr>
            <w:tcW w:w="1520" w:type="dxa"/>
            <w:tcBorders>
              <w:top w:val="nil"/>
              <w:left w:val="nil"/>
              <w:bottom w:val="single" w:sz="4" w:space="0" w:color="auto"/>
              <w:right w:val="single" w:sz="4" w:space="0" w:color="auto"/>
            </w:tcBorders>
            <w:shd w:val="clear" w:color="000000" w:fill="F2F2F2"/>
            <w:noWrap/>
            <w:vAlign w:val="center"/>
            <w:hideMark/>
          </w:tcPr>
          <w:p w14:paraId="73249602"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$ 61.668.959.000</w:t>
            </w:r>
          </w:p>
        </w:tc>
        <w:tc>
          <w:tcPr>
            <w:tcW w:w="1440" w:type="dxa"/>
            <w:tcBorders>
              <w:top w:val="nil"/>
              <w:left w:val="nil"/>
              <w:bottom w:val="single" w:sz="4" w:space="0" w:color="auto"/>
              <w:right w:val="single" w:sz="4" w:space="0" w:color="auto"/>
            </w:tcBorders>
            <w:shd w:val="clear" w:color="000000" w:fill="F2F2F2"/>
            <w:noWrap/>
            <w:vAlign w:val="center"/>
            <w:hideMark/>
          </w:tcPr>
          <w:p w14:paraId="5D9BD112"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$ 0</w:t>
            </w:r>
          </w:p>
        </w:tc>
        <w:tc>
          <w:tcPr>
            <w:tcW w:w="1460" w:type="dxa"/>
            <w:tcBorders>
              <w:top w:val="nil"/>
              <w:left w:val="nil"/>
              <w:bottom w:val="single" w:sz="4" w:space="0" w:color="auto"/>
              <w:right w:val="single" w:sz="4" w:space="0" w:color="auto"/>
            </w:tcBorders>
            <w:shd w:val="clear" w:color="000000" w:fill="F2F2F2"/>
            <w:noWrap/>
            <w:vAlign w:val="center"/>
            <w:hideMark/>
          </w:tcPr>
          <w:p w14:paraId="3DB0939A"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$ 61.668.959.000</w:t>
            </w:r>
          </w:p>
        </w:tc>
        <w:tc>
          <w:tcPr>
            <w:tcW w:w="1260" w:type="dxa"/>
            <w:tcBorders>
              <w:top w:val="nil"/>
              <w:left w:val="nil"/>
              <w:bottom w:val="single" w:sz="4" w:space="0" w:color="auto"/>
              <w:right w:val="single" w:sz="4" w:space="0" w:color="auto"/>
            </w:tcBorders>
            <w:shd w:val="clear" w:color="000000" w:fill="F2F2F2"/>
            <w:noWrap/>
            <w:vAlign w:val="center"/>
            <w:hideMark/>
          </w:tcPr>
          <w:p w14:paraId="3A1B62A6"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$ 616.689.590</w:t>
            </w:r>
          </w:p>
        </w:tc>
        <w:tc>
          <w:tcPr>
            <w:tcW w:w="1120" w:type="dxa"/>
            <w:tcBorders>
              <w:top w:val="nil"/>
              <w:left w:val="nil"/>
              <w:bottom w:val="single" w:sz="4" w:space="0" w:color="auto"/>
              <w:right w:val="single" w:sz="4" w:space="0" w:color="auto"/>
            </w:tcBorders>
            <w:shd w:val="clear" w:color="000000" w:fill="F2F2F2"/>
            <w:noWrap/>
            <w:vAlign w:val="center"/>
            <w:hideMark/>
          </w:tcPr>
          <w:p w14:paraId="47A43CC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$ 25.665</w:t>
            </w:r>
          </w:p>
        </w:tc>
        <w:tc>
          <w:tcPr>
            <w:tcW w:w="1260" w:type="dxa"/>
            <w:tcBorders>
              <w:top w:val="nil"/>
              <w:left w:val="nil"/>
              <w:bottom w:val="single" w:sz="4" w:space="0" w:color="auto"/>
              <w:right w:val="single" w:sz="4" w:space="0" w:color="auto"/>
            </w:tcBorders>
            <w:shd w:val="clear" w:color="000000" w:fill="F2F2F2"/>
            <w:noWrap/>
            <w:vAlign w:val="center"/>
            <w:hideMark/>
          </w:tcPr>
          <w:p w14:paraId="02BC097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$ 616.715.255</w:t>
            </w:r>
          </w:p>
        </w:tc>
        <w:tc>
          <w:tcPr>
            <w:tcW w:w="1920" w:type="dxa"/>
            <w:tcBorders>
              <w:top w:val="nil"/>
              <w:left w:val="nil"/>
              <w:bottom w:val="single" w:sz="4" w:space="0" w:color="auto"/>
              <w:right w:val="single" w:sz="4" w:space="0" w:color="auto"/>
            </w:tcBorders>
            <w:shd w:val="clear" w:color="000000" w:fill="F2F2F2"/>
            <w:vAlign w:val="center"/>
            <w:hideMark/>
          </w:tcPr>
          <w:p w14:paraId="02C3E10B"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w:t>
            </w:r>
          </w:p>
        </w:tc>
      </w:tr>
      <w:tr w:rsidR="00D705A6" w:rsidRPr="002E0BB9" w14:paraId="5F259518" w14:textId="77777777" w:rsidTr="007D1249">
        <w:trPr>
          <w:trHeight w:val="4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36717FC7"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lastRenderedPageBreak/>
              <w:t>132</w:t>
            </w:r>
          </w:p>
        </w:tc>
        <w:tc>
          <w:tcPr>
            <w:tcW w:w="560" w:type="dxa"/>
            <w:tcBorders>
              <w:top w:val="nil"/>
              <w:left w:val="nil"/>
              <w:bottom w:val="single" w:sz="4" w:space="0" w:color="auto"/>
              <w:right w:val="single" w:sz="4" w:space="0" w:color="auto"/>
            </w:tcBorders>
            <w:shd w:val="clear" w:color="000000" w:fill="F2F2F2"/>
            <w:noWrap/>
            <w:vAlign w:val="center"/>
            <w:hideMark/>
          </w:tcPr>
          <w:p w14:paraId="3B3FC6BE"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20510</w:t>
            </w:r>
          </w:p>
        </w:tc>
        <w:tc>
          <w:tcPr>
            <w:tcW w:w="920" w:type="dxa"/>
            <w:tcBorders>
              <w:top w:val="nil"/>
              <w:left w:val="nil"/>
              <w:bottom w:val="single" w:sz="4" w:space="0" w:color="auto"/>
              <w:right w:val="single" w:sz="4" w:space="0" w:color="auto"/>
            </w:tcBorders>
            <w:shd w:val="clear" w:color="000000" w:fill="F2F2F2"/>
            <w:noWrap/>
            <w:vAlign w:val="center"/>
            <w:hideMark/>
          </w:tcPr>
          <w:p w14:paraId="18B82B8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900052841</w:t>
            </w:r>
          </w:p>
        </w:tc>
        <w:tc>
          <w:tcPr>
            <w:tcW w:w="2180" w:type="dxa"/>
            <w:tcBorders>
              <w:top w:val="nil"/>
              <w:left w:val="nil"/>
              <w:bottom w:val="single" w:sz="4" w:space="0" w:color="auto"/>
              <w:right w:val="single" w:sz="4" w:space="0" w:color="auto"/>
            </w:tcBorders>
            <w:shd w:val="clear" w:color="000000" w:fill="F2F2F2"/>
            <w:vAlign w:val="center"/>
            <w:hideMark/>
          </w:tcPr>
          <w:p w14:paraId="6C69F4D0"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CITYGAS COLOMBIA S.A. ESP.</w:t>
            </w:r>
          </w:p>
        </w:tc>
        <w:tc>
          <w:tcPr>
            <w:tcW w:w="1520" w:type="dxa"/>
            <w:tcBorders>
              <w:top w:val="nil"/>
              <w:left w:val="nil"/>
              <w:bottom w:val="single" w:sz="4" w:space="0" w:color="auto"/>
              <w:right w:val="single" w:sz="4" w:space="0" w:color="auto"/>
            </w:tcBorders>
            <w:shd w:val="clear" w:color="000000" w:fill="F2F2F2"/>
            <w:noWrap/>
            <w:vAlign w:val="center"/>
            <w:hideMark/>
          </w:tcPr>
          <w:p w14:paraId="37E1C08E"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$ 705.444.000</w:t>
            </w:r>
          </w:p>
        </w:tc>
        <w:tc>
          <w:tcPr>
            <w:tcW w:w="1440" w:type="dxa"/>
            <w:tcBorders>
              <w:top w:val="nil"/>
              <w:left w:val="nil"/>
              <w:bottom w:val="single" w:sz="4" w:space="0" w:color="auto"/>
              <w:right w:val="single" w:sz="4" w:space="0" w:color="auto"/>
            </w:tcBorders>
            <w:shd w:val="clear" w:color="000000" w:fill="F2F2F2"/>
            <w:noWrap/>
            <w:vAlign w:val="center"/>
            <w:hideMark/>
          </w:tcPr>
          <w:p w14:paraId="6AA4DE2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$ 64.513.686</w:t>
            </w:r>
          </w:p>
        </w:tc>
        <w:tc>
          <w:tcPr>
            <w:tcW w:w="1460" w:type="dxa"/>
            <w:tcBorders>
              <w:top w:val="nil"/>
              <w:left w:val="nil"/>
              <w:bottom w:val="single" w:sz="4" w:space="0" w:color="auto"/>
              <w:right w:val="single" w:sz="4" w:space="0" w:color="auto"/>
            </w:tcBorders>
            <w:shd w:val="clear" w:color="000000" w:fill="F2F2F2"/>
            <w:noWrap/>
            <w:vAlign w:val="center"/>
            <w:hideMark/>
          </w:tcPr>
          <w:p w14:paraId="51EA69F6"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$ 769.957.686</w:t>
            </w:r>
          </w:p>
        </w:tc>
        <w:tc>
          <w:tcPr>
            <w:tcW w:w="1260" w:type="dxa"/>
            <w:tcBorders>
              <w:top w:val="nil"/>
              <w:left w:val="nil"/>
              <w:bottom w:val="single" w:sz="4" w:space="0" w:color="auto"/>
              <w:right w:val="single" w:sz="4" w:space="0" w:color="auto"/>
            </w:tcBorders>
            <w:shd w:val="clear" w:color="000000" w:fill="F2F2F2"/>
            <w:noWrap/>
            <w:vAlign w:val="center"/>
            <w:hideMark/>
          </w:tcPr>
          <w:p w14:paraId="28EFD145"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$ 7.699.577</w:t>
            </w:r>
          </w:p>
        </w:tc>
        <w:tc>
          <w:tcPr>
            <w:tcW w:w="1120" w:type="dxa"/>
            <w:tcBorders>
              <w:top w:val="nil"/>
              <w:left w:val="nil"/>
              <w:bottom w:val="single" w:sz="4" w:space="0" w:color="auto"/>
              <w:right w:val="single" w:sz="4" w:space="0" w:color="auto"/>
            </w:tcBorders>
            <w:shd w:val="clear" w:color="000000" w:fill="F2F2F2"/>
            <w:noWrap/>
            <w:vAlign w:val="center"/>
            <w:hideMark/>
          </w:tcPr>
          <w:p w14:paraId="133C01C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$ 320</w:t>
            </w:r>
          </w:p>
        </w:tc>
        <w:tc>
          <w:tcPr>
            <w:tcW w:w="1260" w:type="dxa"/>
            <w:tcBorders>
              <w:top w:val="nil"/>
              <w:left w:val="nil"/>
              <w:bottom w:val="single" w:sz="4" w:space="0" w:color="auto"/>
              <w:right w:val="single" w:sz="4" w:space="0" w:color="auto"/>
            </w:tcBorders>
            <w:shd w:val="clear" w:color="000000" w:fill="F2F2F2"/>
            <w:noWrap/>
            <w:vAlign w:val="center"/>
            <w:hideMark/>
          </w:tcPr>
          <w:p w14:paraId="001E2F7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$ 7.699.897</w:t>
            </w:r>
          </w:p>
        </w:tc>
        <w:tc>
          <w:tcPr>
            <w:tcW w:w="1920" w:type="dxa"/>
            <w:tcBorders>
              <w:top w:val="nil"/>
              <w:left w:val="nil"/>
              <w:bottom w:val="single" w:sz="4" w:space="0" w:color="auto"/>
              <w:right w:val="single" w:sz="4" w:space="0" w:color="auto"/>
            </w:tcBorders>
            <w:shd w:val="clear" w:color="000000" w:fill="F2F2F2"/>
            <w:vAlign w:val="center"/>
            <w:hideMark/>
          </w:tcPr>
          <w:p w14:paraId="210F3309"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GAS LICUADO DEL PETROLEO</w:t>
            </w:r>
          </w:p>
        </w:tc>
      </w:tr>
      <w:tr w:rsidR="00D705A6" w:rsidRPr="002E0BB9" w14:paraId="03357DE7" w14:textId="77777777" w:rsidTr="007D1249">
        <w:trPr>
          <w:trHeight w:val="2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3FD5A41E"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133</w:t>
            </w:r>
          </w:p>
        </w:tc>
        <w:tc>
          <w:tcPr>
            <w:tcW w:w="560" w:type="dxa"/>
            <w:tcBorders>
              <w:top w:val="nil"/>
              <w:left w:val="nil"/>
              <w:bottom w:val="single" w:sz="4" w:space="0" w:color="auto"/>
              <w:right w:val="single" w:sz="4" w:space="0" w:color="auto"/>
            </w:tcBorders>
            <w:shd w:val="clear" w:color="000000" w:fill="F2F2F2"/>
            <w:noWrap/>
            <w:vAlign w:val="center"/>
            <w:hideMark/>
          </w:tcPr>
          <w:p w14:paraId="0205EA0B"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21770</w:t>
            </w:r>
          </w:p>
        </w:tc>
        <w:tc>
          <w:tcPr>
            <w:tcW w:w="920" w:type="dxa"/>
            <w:tcBorders>
              <w:top w:val="nil"/>
              <w:left w:val="nil"/>
              <w:bottom w:val="single" w:sz="4" w:space="0" w:color="auto"/>
              <w:right w:val="single" w:sz="4" w:space="0" w:color="auto"/>
            </w:tcBorders>
            <w:shd w:val="clear" w:color="000000" w:fill="F2F2F2"/>
            <w:noWrap/>
            <w:vAlign w:val="center"/>
            <w:hideMark/>
          </w:tcPr>
          <w:p w14:paraId="37F064FD"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900073583</w:t>
            </w:r>
          </w:p>
        </w:tc>
        <w:tc>
          <w:tcPr>
            <w:tcW w:w="2180" w:type="dxa"/>
            <w:tcBorders>
              <w:top w:val="nil"/>
              <w:left w:val="nil"/>
              <w:bottom w:val="single" w:sz="4" w:space="0" w:color="auto"/>
              <w:right w:val="single" w:sz="4" w:space="0" w:color="auto"/>
            </w:tcBorders>
            <w:shd w:val="clear" w:color="000000" w:fill="F2F2F2"/>
            <w:vAlign w:val="center"/>
            <w:hideMark/>
          </w:tcPr>
          <w:p w14:paraId="1C5F1236"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LA CASCADA S.A.S E.S.P.</w:t>
            </w:r>
          </w:p>
        </w:tc>
        <w:tc>
          <w:tcPr>
            <w:tcW w:w="1520" w:type="dxa"/>
            <w:tcBorders>
              <w:top w:val="nil"/>
              <w:left w:val="nil"/>
              <w:bottom w:val="single" w:sz="4" w:space="0" w:color="auto"/>
              <w:right w:val="single" w:sz="4" w:space="0" w:color="auto"/>
            </w:tcBorders>
            <w:shd w:val="clear" w:color="000000" w:fill="F2F2F2"/>
            <w:noWrap/>
            <w:vAlign w:val="center"/>
            <w:hideMark/>
          </w:tcPr>
          <w:p w14:paraId="064A530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$ 3.225.928.000</w:t>
            </w:r>
          </w:p>
        </w:tc>
        <w:tc>
          <w:tcPr>
            <w:tcW w:w="1440" w:type="dxa"/>
            <w:tcBorders>
              <w:top w:val="nil"/>
              <w:left w:val="nil"/>
              <w:bottom w:val="single" w:sz="4" w:space="0" w:color="auto"/>
              <w:right w:val="single" w:sz="4" w:space="0" w:color="auto"/>
            </w:tcBorders>
            <w:shd w:val="clear" w:color="000000" w:fill="F2F2F2"/>
            <w:noWrap/>
            <w:vAlign w:val="center"/>
            <w:hideMark/>
          </w:tcPr>
          <w:p w14:paraId="6C5ECF02"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$ 0</w:t>
            </w:r>
          </w:p>
        </w:tc>
        <w:tc>
          <w:tcPr>
            <w:tcW w:w="1460" w:type="dxa"/>
            <w:tcBorders>
              <w:top w:val="nil"/>
              <w:left w:val="nil"/>
              <w:bottom w:val="single" w:sz="4" w:space="0" w:color="auto"/>
              <w:right w:val="single" w:sz="4" w:space="0" w:color="auto"/>
            </w:tcBorders>
            <w:shd w:val="clear" w:color="000000" w:fill="F2F2F2"/>
            <w:noWrap/>
            <w:vAlign w:val="center"/>
            <w:hideMark/>
          </w:tcPr>
          <w:p w14:paraId="0C387FC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$ 3.225.928.000</w:t>
            </w:r>
          </w:p>
        </w:tc>
        <w:tc>
          <w:tcPr>
            <w:tcW w:w="1260" w:type="dxa"/>
            <w:tcBorders>
              <w:top w:val="nil"/>
              <w:left w:val="nil"/>
              <w:bottom w:val="single" w:sz="4" w:space="0" w:color="auto"/>
              <w:right w:val="single" w:sz="4" w:space="0" w:color="auto"/>
            </w:tcBorders>
            <w:shd w:val="clear" w:color="000000" w:fill="F2F2F2"/>
            <w:noWrap/>
            <w:vAlign w:val="center"/>
            <w:hideMark/>
          </w:tcPr>
          <w:p w14:paraId="6E8ADF77"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$ 32.259.280</w:t>
            </w:r>
          </w:p>
        </w:tc>
        <w:tc>
          <w:tcPr>
            <w:tcW w:w="1120" w:type="dxa"/>
            <w:tcBorders>
              <w:top w:val="nil"/>
              <w:left w:val="nil"/>
              <w:bottom w:val="single" w:sz="4" w:space="0" w:color="auto"/>
              <w:right w:val="single" w:sz="4" w:space="0" w:color="auto"/>
            </w:tcBorders>
            <w:shd w:val="clear" w:color="000000" w:fill="F2F2F2"/>
            <w:noWrap/>
            <w:vAlign w:val="center"/>
            <w:hideMark/>
          </w:tcPr>
          <w:p w14:paraId="60ABC0D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$ 1.343</w:t>
            </w:r>
          </w:p>
        </w:tc>
        <w:tc>
          <w:tcPr>
            <w:tcW w:w="1260" w:type="dxa"/>
            <w:tcBorders>
              <w:top w:val="nil"/>
              <w:left w:val="nil"/>
              <w:bottom w:val="single" w:sz="4" w:space="0" w:color="auto"/>
              <w:right w:val="single" w:sz="4" w:space="0" w:color="auto"/>
            </w:tcBorders>
            <w:shd w:val="clear" w:color="000000" w:fill="F2F2F2"/>
            <w:noWrap/>
            <w:vAlign w:val="center"/>
            <w:hideMark/>
          </w:tcPr>
          <w:p w14:paraId="381174BC"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$ 32.260.623</w:t>
            </w:r>
          </w:p>
        </w:tc>
        <w:tc>
          <w:tcPr>
            <w:tcW w:w="1920" w:type="dxa"/>
            <w:tcBorders>
              <w:top w:val="nil"/>
              <w:left w:val="nil"/>
              <w:bottom w:val="single" w:sz="4" w:space="0" w:color="auto"/>
              <w:right w:val="single" w:sz="4" w:space="0" w:color="auto"/>
            </w:tcBorders>
            <w:shd w:val="clear" w:color="000000" w:fill="F2F2F2"/>
            <w:vAlign w:val="center"/>
            <w:hideMark/>
          </w:tcPr>
          <w:p w14:paraId="10B82378"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w:t>
            </w:r>
          </w:p>
        </w:tc>
      </w:tr>
      <w:tr w:rsidR="00D705A6" w:rsidRPr="002E0BB9" w14:paraId="5EF2C8C3" w14:textId="77777777" w:rsidTr="007D1249">
        <w:trPr>
          <w:trHeight w:val="2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362BA916"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134</w:t>
            </w:r>
          </w:p>
        </w:tc>
        <w:tc>
          <w:tcPr>
            <w:tcW w:w="560" w:type="dxa"/>
            <w:tcBorders>
              <w:top w:val="nil"/>
              <w:left w:val="nil"/>
              <w:bottom w:val="single" w:sz="4" w:space="0" w:color="auto"/>
              <w:right w:val="single" w:sz="4" w:space="0" w:color="auto"/>
            </w:tcBorders>
            <w:shd w:val="clear" w:color="000000" w:fill="F2F2F2"/>
            <w:noWrap/>
            <w:vAlign w:val="center"/>
            <w:hideMark/>
          </w:tcPr>
          <w:p w14:paraId="4402843D"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20612</w:t>
            </w:r>
          </w:p>
        </w:tc>
        <w:tc>
          <w:tcPr>
            <w:tcW w:w="920" w:type="dxa"/>
            <w:tcBorders>
              <w:top w:val="nil"/>
              <w:left w:val="nil"/>
              <w:bottom w:val="single" w:sz="4" w:space="0" w:color="auto"/>
              <w:right w:val="single" w:sz="4" w:space="0" w:color="auto"/>
            </w:tcBorders>
            <w:shd w:val="clear" w:color="000000" w:fill="F2F2F2"/>
            <w:noWrap/>
            <w:vAlign w:val="center"/>
            <w:hideMark/>
          </w:tcPr>
          <w:p w14:paraId="2F98017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900076284</w:t>
            </w:r>
          </w:p>
        </w:tc>
        <w:tc>
          <w:tcPr>
            <w:tcW w:w="2180" w:type="dxa"/>
            <w:tcBorders>
              <w:top w:val="nil"/>
              <w:left w:val="nil"/>
              <w:bottom w:val="single" w:sz="4" w:space="0" w:color="auto"/>
              <w:right w:val="single" w:sz="4" w:space="0" w:color="auto"/>
            </w:tcBorders>
            <w:shd w:val="clear" w:color="000000" w:fill="F2F2F2"/>
            <w:vAlign w:val="center"/>
            <w:hideMark/>
          </w:tcPr>
          <w:p w14:paraId="757BE107"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COENERSA S.A.S E.S.P.</w:t>
            </w:r>
          </w:p>
        </w:tc>
        <w:tc>
          <w:tcPr>
            <w:tcW w:w="1520" w:type="dxa"/>
            <w:tcBorders>
              <w:top w:val="nil"/>
              <w:left w:val="nil"/>
              <w:bottom w:val="single" w:sz="4" w:space="0" w:color="auto"/>
              <w:right w:val="single" w:sz="4" w:space="0" w:color="auto"/>
            </w:tcBorders>
            <w:shd w:val="clear" w:color="000000" w:fill="F2F2F2"/>
            <w:noWrap/>
            <w:vAlign w:val="center"/>
            <w:hideMark/>
          </w:tcPr>
          <w:p w14:paraId="2C74C45A"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$ 302.589.000</w:t>
            </w:r>
          </w:p>
        </w:tc>
        <w:tc>
          <w:tcPr>
            <w:tcW w:w="1440" w:type="dxa"/>
            <w:tcBorders>
              <w:top w:val="nil"/>
              <w:left w:val="nil"/>
              <w:bottom w:val="single" w:sz="4" w:space="0" w:color="auto"/>
              <w:right w:val="single" w:sz="4" w:space="0" w:color="auto"/>
            </w:tcBorders>
            <w:shd w:val="clear" w:color="000000" w:fill="F2F2F2"/>
            <w:noWrap/>
            <w:vAlign w:val="center"/>
            <w:hideMark/>
          </w:tcPr>
          <w:p w14:paraId="169D7F7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$ 353.786.294</w:t>
            </w:r>
          </w:p>
        </w:tc>
        <w:tc>
          <w:tcPr>
            <w:tcW w:w="1460" w:type="dxa"/>
            <w:tcBorders>
              <w:top w:val="nil"/>
              <w:left w:val="nil"/>
              <w:bottom w:val="single" w:sz="4" w:space="0" w:color="auto"/>
              <w:right w:val="single" w:sz="4" w:space="0" w:color="auto"/>
            </w:tcBorders>
            <w:shd w:val="clear" w:color="000000" w:fill="F2F2F2"/>
            <w:noWrap/>
            <w:vAlign w:val="center"/>
            <w:hideMark/>
          </w:tcPr>
          <w:p w14:paraId="332F0E95"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$ 656.375.294</w:t>
            </w:r>
          </w:p>
        </w:tc>
        <w:tc>
          <w:tcPr>
            <w:tcW w:w="1260" w:type="dxa"/>
            <w:tcBorders>
              <w:top w:val="nil"/>
              <w:left w:val="nil"/>
              <w:bottom w:val="single" w:sz="4" w:space="0" w:color="auto"/>
              <w:right w:val="single" w:sz="4" w:space="0" w:color="auto"/>
            </w:tcBorders>
            <w:shd w:val="clear" w:color="000000" w:fill="F2F2F2"/>
            <w:noWrap/>
            <w:vAlign w:val="center"/>
            <w:hideMark/>
          </w:tcPr>
          <w:p w14:paraId="2F4F3FA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$ 6.563.753</w:t>
            </w:r>
          </w:p>
        </w:tc>
        <w:tc>
          <w:tcPr>
            <w:tcW w:w="1120" w:type="dxa"/>
            <w:tcBorders>
              <w:top w:val="nil"/>
              <w:left w:val="nil"/>
              <w:bottom w:val="single" w:sz="4" w:space="0" w:color="auto"/>
              <w:right w:val="single" w:sz="4" w:space="0" w:color="auto"/>
            </w:tcBorders>
            <w:shd w:val="clear" w:color="000000" w:fill="F2F2F2"/>
            <w:noWrap/>
            <w:vAlign w:val="center"/>
            <w:hideMark/>
          </w:tcPr>
          <w:p w14:paraId="0E489A45"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$ 273</w:t>
            </w:r>
          </w:p>
        </w:tc>
        <w:tc>
          <w:tcPr>
            <w:tcW w:w="1260" w:type="dxa"/>
            <w:tcBorders>
              <w:top w:val="nil"/>
              <w:left w:val="nil"/>
              <w:bottom w:val="single" w:sz="4" w:space="0" w:color="auto"/>
              <w:right w:val="single" w:sz="4" w:space="0" w:color="auto"/>
            </w:tcBorders>
            <w:shd w:val="clear" w:color="000000" w:fill="F2F2F2"/>
            <w:noWrap/>
            <w:vAlign w:val="center"/>
            <w:hideMark/>
          </w:tcPr>
          <w:p w14:paraId="125304F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$ 6.564.026</w:t>
            </w:r>
          </w:p>
        </w:tc>
        <w:tc>
          <w:tcPr>
            <w:tcW w:w="1920" w:type="dxa"/>
            <w:tcBorders>
              <w:top w:val="nil"/>
              <w:left w:val="nil"/>
              <w:bottom w:val="single" w:sz="4" w:space="0" w:color="auto"/>
              <w:right w:val="single" w:sz="4" w:space="0" w:color="auto"/>
            </w:tcBorders>
            <w:shd w:val="clear" w:color="000000" w:fill="F2F2F2"/>
            <w:vAlign w:val="center"/>
            <w:hideMark/>
          </w:tcPr>
          <w:p w14:paraId="15F123B0"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w:t>
            </w:r>
          </w:p>
        </w:tc>
      </w:tr>
      <w:tr w:rsidR="00D705A6" w:rsidRPr="002E0BB9" w14:paraId="4204BDFE" w14:textId="77777777" w:rsidTr="007D1249">
        <w:trPr>
          <w:trHeight w:val="8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230CD907"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135</w:t>
            </w:r>
          </w:p>
        </w:tc>
        <w:tc>
          <w:tcPr>
            <w:tcW w:w="560" w:type="dxa"/>
            <w:tcBorders>
              <w:top w:val="nil"/>
              <w:left w:val="nil"/>
              <w:bottom w:val="single" w:sz="4" w:space="0" w:color="auto"/>
              <w:right w:val="single" w:sz="4" w:space="0" w:color="auto"/>
            </w:tcBorders>
            <w:shd w:val="clear" w:color="000000" w:fill="F2F2F2"/>
            <w:noWrap/>
            <w:vAlign w:val="center"/>
            <w:hideMark/>
          </w:tcPr>
          <w:p w14:paraId="3EEEA282"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21600</w:t>
            </w:r>
          </w:p>
        </w:tc>
        <w:tc>
          <w:tcPr>
            <w:tcW w:w="920" w:type="dxa"/>
            <w:tcBorders>
              <w:top w:val="nil"/>
              <w:left w:val="nil"/>
              <w:bottom w:val="single" w:sz="4" w:space="0" w:color="auto"/>
              <w:right w:val="single" w:sz="4" w:space="0" w:color="auto"/>
            </w:tcBorders>
            <w:shd w:val="clear" w:color="000000" w:fill="F2F2F2"/>
            <w:noWrap/>
            <w:vAlign w:val="center"/>
            <w:hideMark/>
          </w:tcPr>
          <w:p w14:paraId="63DD1B35"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900082143</w:t>
            </w:r>
          </w:p>
        </w:tc>
        <w:tc>
          <w:tcPr>
            <w:tcW w:w="2180" w:type="dxa"/>
            <w:tcBorders>
              <w:top w:val="nil"/>
              <w:left w:val="nil"/>
              <w:bottom w:val="single" w:sz="4" w:space="0" w:color="auto"/>
              <w:right w:val="single" w:sz="4" w:space="0" w:color="auto"/>
            </w:tcBorders>
            <w:shd w:val="clear" w:color="000000" w:fill="F2F2F2"/>
            <w:vAlign w:val="center"/>
            <w:hideMark/>
          </w:tcPr>
          <w:p w14:paraId="3469B31F" w14:textId="69EC7210"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GENERADORA Y COMERCIALIZADORA DE ENERGIA DEL CARIBE S.A E.S.P</w:t>
            </w:r>
            <w:r w:rsidR="00A425B8" w:rsidRPr="002E0BB9">
              <w:rPr>
                <w:rFonts w:ascii="Arial Narrow" w:hAnsi="Arial Narrow" w:cs="Arial"/>
                <w:spacing w:val="0"/>
                <w:sz w:val="16"/>
                <w:szCs w:val="16"/>
                <w:lang w:val="es-MX" w:eastAsia="es-MX"/>
              </w:rPr>
              <w:t>.</w:t>
            </w:r>
          </w:p>
        </w:tc>
        <w:tc>
          <w:tcPr>
            <w:tcW w:w="1520" w:type="dxa"/>
            <w:tcBorders>
              <w:top w:val="nil"/>
              <w:left w:val="nil"/>
              <w:bottom w:val="single" w:sz="4" w:space="0" w:color="auto"/>
              <w:right w:val="single" w:sz="4" w:space="0" w:color="auto"/>
            </w:tcBorders>
            <w:shd w:val="clear" w:color="000000" w:fill="F2F2F2"/>
            <w:noWrap/>
            <w:vAlign w:val="center"/>
            <w:hideMark/>
          </w:tcPr>
          <w:p w14:paraId="56097132"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$ 69.969.457.000</w:t>
            </w:r>
          </w:p>
        </w:tc>
        <w:tc>
          <w:tcPr>
            <w:tcW w:w="1440" w:type="dxa"/>
            <w:tcBorders>
              <w:top w:val="nil"/>
              <w:left w:val="nil"/>
              <w:bottom w:val="single" w:sz="4" w:space="0" w:color="auto"/>
              <w:right w:val="single" w:sz="4" w:space="0" w:color="auto"/>
            </w:tcBorders>
            <w:shd w:val="clear" w:color="000000" w:fill="F2F2F2"/>
            <w:noWrap/>
            <w:vAlign w:val="center"/>
            <w:hideMark/>
          </w:tcPr>
          <w:p w14:paraId="4348693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$ 3.851.275.240</w:t>
            </w:r>
          </w:p>
        </w:tc>
        <w:tc>
          <w:tcPr>
            <w:tcW w:w="1460" w:type="dxa"/>
            <w:tcBorders>
              <w:top w:val="nil"/>
              <w:left w:val="nil"/>
              <w:bottom w:val="single" w:sz="4" w:space="0" w:color="auto"/>
              <w:right w:val="single" w:sz="4" w:space="0" w:color="auto"/>
            </w:tcBorders>
            <w:shd w:val="clear" w:color="000000" w:fill="F2F2F2"/>
            <w:noWrap/>
            <w:vAlign w:val="center"/>
            <w:hideMark/>
          </w:tcPr>
          <w:p w14:paraId="4BF8A1CB"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$ 73.820.732.240</w:t>
            </w:r>
          </w:p>
        </w:tc>
        <w:tc>
          <w:tcPr>
            <w:tcW w:w="1260" w:type="dxa"/>
            <w:tcBorders>
              <w:top w:val="nil"/>
              <w:left w:val="nil"/>
              <w:bottom w:val="single" w:sz="4" w:space="0" w:color="auto"/>
              <w:right w:val="single" w:sz="4" w:space="0" w:color="auto"/>
            </w:tcBorders>
            <w:shd w:val="clear" w:color="000000" w:fill="F2F2F2"/>
            <w:noWrap/>
            <w:vAlign w:val="center"/>
            <w:hideMark/>
          </w:tcPr>
          <w:p w14:paraId="1C63C18A"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$ 738.207.322</w:t>
            </w:r>
          </w:p>
        </w:tc>
        <w:tc>
          <w:tcPr>
            <w:tcW w:w="1120" w:type="dxa"/>
            <w:tcBorders>
              <w:top w:val="nil"/>
              <w:left w:val="nil"/>
              <w:bottom w:val="single" w:sz="4" w:space="0" w:color="auto"/>
              <w:right w:val="single" w:sz="4" w:space="0" w:color="auto"/>
            </w:tcBorders>
            <w:shd w:val="clear" w:color="000000" w:fill="F2F2F2"/>
            <w:noWrap/>
            <w:vAlign w:val="center"/>
            <w:hideMark/>
          </w:tcPr>
          <w:p w14:paraId="3A0487FA"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$ 30.722</w:t>
            </w:r>
          </w:p>
        </w:tc>
        <w:tc>
          <w:tcPr>
            <w:tcW w:w="1260" w:type="dxa"/>
            <w:tcBorders>
              <w:top w:val="nil"/>
              <w:left w:val="nil"/>
              <w:bottom w:val="single" w:sz="4" w:space="0" w:color="auto"/>
              <w:right w:val="single" w:sz="4" w:space="0" w:color="auto"/>
            </w:tcBorders>
            <w:shd w:val="clear" w:color="000000" w:fill="F2F2F2"/>
            <w:noWrap/>
            <w:vAlign w:val="center"/>
            <w:hideMark/>
          </w:tcPr>
          <w:p w14:paraId="5AE1482D"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$ 738.238.044</w:t>
            </w:r>
          </w:p>
        </w:tc>
        <w:tc>
          <w:tcPr>
            <w:tcW w:w="1920" w:type="dxa"/>
            <w:tcBorders>
              <w:top w:val="nil"/>
              <w:left w:val="nil"/>
              <w:bottom w:val="single" w:sz="4" w:space="0" w:color="auto"/>
              <w:right w:val="single" w:sz="4" w:space="0" w:color="auto"/>
            </w:tcBorders>
            <w:shd w:val="clear" w:color="000000" w:fill="F2F2F2"/>
            <w:vAlign w:val="center"/>
            <w:hideMark/>
          </w:tcPr>
          <w:p w14:paraId="0F9AD5B2"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 - GAS POR REDES</w:t>
            </w:r>
          </w:p>
        </w:tc>
      </w:tr>
      <w:tr w:rsidR="00D705A6" w:rsidRPr="002E0BB9" w14:paraId="5DB41869" w14:textId="77777777" w:rsidTr="007D1249">
        <w:trPr>
          <w:trHeight w:val="4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4AF9992E"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136</w:t>
            </w:r>
          </w:p>
        </w:tc>
        <w:tc>
          <w:tcPr>
            <w:tcW w:w="560" w:type="dxa"/>
            <w:tcBorders>
              <w:top w:val="nil"/>
              <w:left w:val="nil"/>
              <w:bottom w:val="single" w:sz="4" w:space="0" w:color="auto"/>
              <w:right w:val="single" w:sz="4" w:space="0" w:color="auto"/>
            </w:tcBorders>
            <w:shd w:val="clear" w:color="000000" w:fill="F2F2F2"/>
            <w:noWrap/>
            <w:vAlign w:val="center"/>
            <w:hideMark/>
          </w:tcPr>
          <w:p w14:paraId="647666BB"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29191</w:t>
            </w:r>
          </w:p>
        </w:tc>
        <w:tc>
          <w:tcPr>
            <w:tcW w:w="920" w:type="dxa"/>
            <w:tcBorders>
              <w:top w:val="nil"/>
              <w:left w:val="nil"/>
              <w:bottom w:val="single" w:sz="4" w:space="0" w:color="auto"/>
              <w:right w:val="single" w:sz="4" w:space="0" w:color="auto"/>
            </w:tcBorders>
            <w:shd w:val="clear" w:color="000000" w:fill="F2F2F2"/>
            <w:noWrap/>
            <w:vAlign w:val="center"/>
            <w:hideMark/>
          </w:tcPr>
          <w:p w14:paraId="2D4FF8CA"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900089276</w:t>
            </w:r>
          </w:p>
        </w:tc>
        <w:tc>
          <w:tcPr>
            <w:tcW w:w="2180" w:type="dxa"/>
            <w:tcBorders>
              <w:top w:val="nil"/>
              <w:left w:val="nil"/>
              <w:bottom w:val="single" w:sz="4" w:space="0" w:color="auto"/>
              <w:right w:val="single" w:sz="4" w:space="0" w:color="auto"/>
            </w:tcBorders>
            <w:shd w:val="clear" w:color="000000" w:fill="F2F2F2"/>
            <w:vAlign w:val="center"/>
            <w:hideMark/>
          </w:tcPr>
          <w:p w14:paraId="70082397"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xml:space="preserve">LEWIS ENERGY COLOMBIA INC </w:t>
            </w:r>
          </w:p>
        </w:tc>
        <w:tc>
          <w:tcPr>
            <w:tcW w:w="1520" w:type="dxa"/>
            <w:tcBorders>
              <w:top w:val="nil"/>
              <w:left w:val="nil"/>
              <w:bottom w:val="single" w:sz="4" w:space="0" w:color="auto"/>
              <w:right w:val="single" w:sz="4" w:space="0" w:color="auto"/>
            </w:tcBorders>
            <w:shd w:val="clear" w:color="000000" w:fill="F2F2F2"/>
            <w:noWrap/>
            <w:vAlign w:val="center"/>
            <w:hideMark/>
          </w:tcPr>
          <w:p w14:paraId="034A394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$ 5.403.997.000</w:t>
            </w:r>
          </w:p>
        </w:tc>
        <w:tc>
          <w:tcPr>
            <w:tcW w:w="1440" w:type="dxa"/>
            <w:tcBorders>
              <w:top w:val="nil"/>
              <w:left w:val="nil"/>
              <w:bottom w:val="single" w:sz="4" w:space="0" w:color="auto"/>
              <w:right w:val="single" w:sz="4" w:space="0" w:color="auto"/>
            </w:tcBorders>
            <w:shd w:val="clear" w:color="000000" w:fill="F2F2F2"/>
            <w:noWrap/>
            <w:vAlign w:val="center"/>
            <w:hideMark/>
          </w:tcPr>
          <w:p w14:paraId="51839E46"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$ 0</w:t>
            </w:r>
          </w:p>
        </w:tc>
        <w:tc>
          <w:tcPr>
            <w:tcW w:w="1460" w:type="dxa"/>
            <w:tcBorders>
              <w:top w:val="nil"/>
              <w:left w:val="nil"/>
              <w:bottom w:val="single" w:sz="4" w:space="0" w:color="auto"/>
              <w:right w:val="single" w:sz="4" w:space="0" w:color="auto"/>
            </w:tcBorders>
            <w:shd w:val="clear" w:color="000000" w:fill="F2F2F2"/>
            <w:noWrap/>
            <w:vAlign w:val="center"/>
            <w:hideMark/>
          </w:tcPr>
          <w:p w14:paraId="415BC297"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$ 5.403.997.000</w:t>
            </w:r>
          </w:p>
        </w:tc>
        <w:tc>
          <w:tcPr>
            <w:tcW w:w="1260" w:type="dxa"/>
            <w:tcBorders>
              <w:top w:val="nil"/>
              <w:left w:val="nil"/>
              <w:bottom w:val="single" w:sz="4" w:space="0" w:color="auto"/>
              <w:right w:val="single" w:sz="4" w:space="0" w:color="auto"/>
            </w:tcBorders>
            <w:shd w:val="clear" w:color="000000" w:fill="F2F2F2"/>
            <w:noWrap/>
            <w:vAlign w:val="center"/>
            <w:hideMark/>
          </w:tcPr>
          <w:p w14:paraId="7844FF8E"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$ 54.039.970</w:t>
            </w:r>
          </w:p>
        </w:tc>
        <w:tc>
          <w:tcPr>
            <w:tcW w:w="1120" w:type="dxa"/>
            <w:tcBorders>
              <w:top w:val="nil"/>
              <w:left w:val="nil"/>
              <w:bottom w:val="single" w:sz="4" w:space="0" w:color="auto"/>
              <w:right w:val="single" w:sz="4" w:space="0" w:color="auto"/>
            </w:tcBorders>
            <w:shd w:val="clear" w:color="000000" w:fill="F2F2F2"/>
            <w:noWrap/>
            <w:vAlign w:val="center"/>
            <w:hideMark/>
          </w:tcPr>
          <w:p w14:paraId="0A0CEF96"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$ 2.249</w:t>
            </w:r>
          </w:p>
        </w:tc>
        <w:tc>
          <w:tcPr>
            <w:tcW w:w="1260" w:type="dxa"/>
            <w:tcBorders>
              <w:top w:val="nil"/>
              <w:left w:val="nil"/>
              <w:bottom w:val="single" w:sz="4" w:space="0" w:color="auto"/>
              <w:right w:val="single" w:sz="4" w:space="0" w:color="auto"/>
            </w:tcBorders>
            <w:shd w:val="clear" w:color="000000" w:fill="F2F2F2"/>
            <w:noWrap/>
            <w:vAlign w:val="center"/>
            <w:hideMark/>
          </w:tcPr>
          <w:p w14:paraId="2D5010DB"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$ 54.042.219</w:t>
            </w:r>
          </w:p>
        </w:tc>
        <w:tc>
          <w:tcPr>
            <w:tcW w:w="1920" w:type="dxa"/>
            <w:tcBorders>
              <w:top w:val="nil"/>
              <w:left w:val="nil"/>
              <w:bottom w:val="single" w:sz="4" w:space="0" w:color="auto"/>
              <w:right w:val="single" w:sz="4" w:space="0" w:color="auto"/>
            </w:tcBorders>
            <w:shd w:val="clear" w:color="000000" w:fill="F2F2F2"/>
            <w:vAlign w:val="center"/>
            <w:hideMark/>
          </w:tcPr>
          <w:p w14:paraId="73A36058"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GAS POR REDES</w:t>
            </w:r>
          </w:p>
        </w:tc>
      </w:tr>
      <w:tr w:rsidR="00D705A6" w:rsidRPr="002E0BB9" w14:paraId="6B073B59" w14:textId="77777777" w:rsidTr="007D1249">
        <w:trPr>
          <w:trHeight w:val="2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61196B81"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137</w:t>
            </w:r>
          </w:p>
        </w:tc>
        <w:tc>
          <w:tcPr>
            <w:tcW w:w="560" w:type="dxa"/>
            <w:tcBorders>
              <w:top w:val="nil"/>
              <w:left w:val="nil"/>
              <w:bottom w:val="single" w:sz="4" w:space="0" w:color="auto"/>
              <w:right w:val="single" w:sz="4" w:space="0" w:color="auto"/>
            </w:tcBorders>
            <w:shd w:val="clear" w:color="000000" w:fill="F2F2F2"/>
            <w:noWrap/>
            <w:vAlign w:val="center"/>
            <w:hideMark/>
          </w:tcPr>
          <w:p w14:paraId="273E1B4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21938</w:t>
            </w:r>
          </w:p>
        </w:tc>
        <w:tc>
          <w:tcPr>
            <w:tcW w:w="920" w:type="dxa"/>
            <w:tcBorders>
              <w:top w:val="nil"/>
              <w:left w:val="nil"/>
              <w:bottom w:val="single" w:sz="4" w:space="0" w:color="auto"/>
              <w:right w:val="single" w:sz="4" w:space="0" w:color="auto"/>
            </w:tcBorders>
            <w:shd w:val="clear" w:color="000000" w:fill="F2F2F2"/>
            <w:noWrap/>
            <w:vAlign w:val="center"/>
            <w:hideMark/>
          </w:tcPr>
          <w:p w14:paraId="14A8CCA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900097320</w:t>
            </w:r>
          </w:p>
        </w:tc>
        <w:tc>
          <w:tcPr>
            <w:tcW w:w="2180" w:type="dxa"/>
            <w:tcBorders>
              <w:top w:val="nil"/>
              <w:left w:val="nil"/>
              <w:bottom w:val="single" w:sz="4" w:space="0" w:color="auto"/>
              <w:right w:val="single" w:sz="4" w:space="0" w:color="auto"/>
            </w:tcBorders>
            <w:shd w:val="clear" w:color="000000" w:fill="F2F2F2"/>
            <w:vAlign w:val="center"/>
            <w:hideMark/>
          </w:tcPr>
          <w:p w14:paraId="2AC0116A" w14:textId="2EE0D14A"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HIDROTOLIMA S.A.S E.S.P</w:t>
            </w:r>
            <w:r w:rsidR="00A425B8" w:rsidRPr="002E0BB9">
              <w:rPr>
                <w:rFonts w:ascii="Arial Narrow" w:hAnsi="Arial Narrow" w:cs="Arial"/>
                <w:spacing w:val="0"/>
                <w:sz w:val="16"/>
                <w:szCs w:val="16"/>
                <w:lang w:val="es-MX" w:eastAsia="es-MX"/>
              </w:rPr>
              <w:t>.</w:t>
            </w:r>
          </w:p>
        </w:tc>
        <w:tc>
          <w:tcPr>
            <w:tcW w:w="1520" w:type="dxa"/>
            <w:tcBorders>
              <w:top w:val="nil"/>
              <w:left w:val="nil"/>
              <w:bottom w:val="single" w:sz="4" w:space="0" w:color="auto"/>
              <w:right w:val="single" w:sz="4" w:space="0" w:color="auto"/>
            </w:tcBorders>
            <w:shd w:val="clear" w:color="000000" w:fill="F2F2F2"/>
            <w:noWrap/>
            <w:vAlign w:val="center"/>
            <w:hideMark/>
          </w:tcPr>
          <w:p w14:paraId="2568D4D2"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$ 950.480.000</w:t>
            </w:r>
          </w:p>
        </w:tc>
        <w:tc>
          <w:tcPr>
            <w:tcW w:w="1440" w:type="dxa"/>
            <w:tcBorders>
              <w:top w:val="nil"/>
              <w:left w:val="nil"/>
              <w:bottom w:val="single" w:sz="4" w:space="0" w:color="auto"/>
              <w:right w:val="single" w:sz="4" w:space="0" w:color="auto"/>
            </w:tcBorders>
            <w:shd w:val="clear" w:color="000000" w:fill="F2F2F2"/>
            <w:noWrap/>
            <w:vAlign w:val="center"/>
            <w:hideMark/>
          </w:tcPr>
          <w:p w14:paraId="41B9307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$ 99.177</w:t>
            </w:r>
          </w:p>
        </w:tc>
        <w:tc>
          <w:tcPr>
            <w:tcW w:w="1460" w:type="dxa"/>
            <w:tcBorders>
              <w:top w:val="nil"/>
              <w:left w:val="nil"/>
              <w:bottom w:val="single" w:sz="4" w:space="0" w:color="auto"/>
              <w:right w:val="single" w:sz="4" w:space="0" w:color="auto"/>
            </w:tcBorders>
            <w:shd w:val="clear" w:color="000000" w:fill="F2F2F2"/>
            <w:noWrap/>
            <w:vAlign w:val="center"/>
            <w:hideMark/>
          </w:tcPr>
          <w:p w14:paraId="788422B5"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$ 950.579.177</w:t>
            </w:r>
          </w:p>
        </w:tc>
        <w:tc>
          <w:tcPr>
            <w:tcW w:w="1260" w:type="dxa"/>
            <w:tcBorders>
              <w:top w:val="nil"/>
              <w:left w:val="nil"/>
              <w:bottom w:val="single" w:sz="4" w:space="0" w:color="auto"/>
              <w:right w:val="single" w:sz="4" w:space="0" w:color="auto"/>
            </w:tcBorders>
            <w:shd w:val="clear" w:color="000000" w:fill="F2F2F2"/>
            <w:noWrap/>
            <w:vAlign w:val="center"/>
            <w:hideMark/>
          </w:tcPr>
          <w:p w14:paraId="00347AC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$ 9.505.792</w:t>
            </w:r>
          </w:p>
        </w:tc>
        <w:tc>
          <w:tcPr>
            <w:tcW w:w="1120" w:type="dxa"/>
            <w:tcBorders>
              <w:top w:val="nil"/>
              <w:left w:val="nil"/>
              <w:bottom w:val="single" w:sz="4" w:space="0" w:color="auto"/>
              <w:right w:val="single" w:sz="4" w:space="0" w:color="auto"/>
            </w:tcBorders>
            <w:shd w:val="clear" w:color="000000" w:fill="F2F2F2"/>
            <w:noWrap/>
            <w:vAlign w:val="center"/>
            <w:hideMark/>
          </w:tcPr>
          <w:p w14:paraId="78571C66"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$ 396</w:t>
            </w:r>
          </w:p>
        </w:tc>
        <w:tc>
          <w:tcPr>
            <w:tcW w:w="1260" w:type="dxa"/>
            <w:tcBorders>
              <w:top w:val="nil"/>
              <w:left w:val="nil"/>
              <w:bottom w:val="single" w:sz="4" w:space="0" w:color="auto"/>
              <w:right w:val="single" w:sz="4" w:space="0" w:color="auto"/>
            </w:tcBorders>
            <w:shd w:val="clear" w:color="000000" w:fill="F2F2F2"/>
            <w:noWrap/>
            <w:vAlign w:val="center"/>
            <w:hideMark/>
          </w:tcPr>
          <w:p w14:paraId="40E97BC7"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$ 9.506.187</w:t>
            </w:r>
          </w:p>
        </w:tc>
        <w:tc>
          <w:tcPr>
            <w:tcW w:w="1920" w:type="dxa"/>
            <w:tcBorders>
              <w:top w:val="nil"/>
              <w:left w:val="nil"/>
              <w:bottom w:val="single" w:sz="4" w:space="0" w:color="auto"/>
              <w:right w:val="single" w:sz="4" w:space="0" w:color="auto"/>
            </w:tcBorders>
            <w:shd w:val="clear" w:color="000000" w:fill="F2F2F2"/>
            <w:vAlign w:val="center"/>
            <w:hideMark/>
          </w:tcPr>
          <w:p w14:paraId="583E59C8"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w:t>
            </w:r>
          </w:p>
        </w:tc>
      </w:tr>
      <w:tr w:rsidR="00D705A6" w:rsidRPr="002E0BB9" w14:paraId="11BA4C65" w14:textId="77777777" w:rsidTr="007D1249">
        <w:trPr>
          <w:trHeight w:val="2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0F7CC28A"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138</w:t>
            </w:r>
          </w:p>
        </w:tc>
        <w:tc>
          <w:tcPr>
            <w:tcW w:w="560" w:type="dxa"/>
            <w:tcBorders>
              <w:top w:val="nil"/>
              <w:left w:val="nil"/>
              <w:bottom w:val="single" w:sz="4" w:space="0" w:color="auto"/>
              <w:right w:val="single" w:sz="4" w:space="0" w:color="auto"/>
            </w:tcBorders>
            <w:shd w:val="clear" w:color="000000" w:fill="F2F2F2"/>
            <w:noWrap/>
            <w:vAlign w:val="center"/>
            <w:hideMark/>
          </w:tcPr>
          <w:p w14:paraId="403FEFB1"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21002</w:t>
            </w:r>
          </w:p>
        </w:tc>
        <w:tc>
          <w:tcPr>
            <w:tcW w:w="920" w:type="dxa"/>
            <w:tcBorders>
              <w:top w:val="nil"/>
              <w:left w:val="nil"/>
              <w:bottom w:val="single" w:sz="4" w:space="0" w:color="auto"/>
              <w:right w:val="single" w:sz="4" w:space="0" w:color="auto"/>
            </w:tcBorders>
            <w:shd w:val="clear" w:color="000000" w:fill="F2F2F2"/>
            <w:noWrap/>
            <w:vAlign w:val="center"/>
            <w:hideMark/>
          </w:tcPr>
          <w:p w14:paraId="6FDB1EA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900100553</w:t>
            </w:r>
          </w:p>
        </w:tc>
        <w:tc>
          <w:tcPr>
            <w:tcW w:w="2180" w:type="dxa"/>
            <w:tcBorders>
              <w:top w:val="nil"/>
              <w:left w:val="nil"/>
              <w:bottom w:val="single" w:sz="4" w:space="0" w:color="auto"/>
              <w:right w:val="single" w:sz="4" w:space="0" w:color="auto"/>
            </w:tcBorders>
            <w:shd w:val="clear" w:color="000000" w:fill="F2F2F2"/>
            <w:vAlign w:val="center"/>
            <w:hideMark/>
          </w:tcPr>
          <w:p w14:paraId="4435010E" w14:textId="01C9D8EE"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COINOGAS S.A. E.S.P</w:t>
            </w:r>
            <w:r w:rsidR="00A425B8" w:rsidRPr="002E0BB9">
              <w:rPr>
                <w:rFonts w:ascii="Arial Narrow" w:hAnsi="Arial Narrow" w:cs="Arial"/>
                <w:spacing w:val="0"/>
                <w:sz w:val="16"/>
                <w:szCs w:val="16"/>
                <w:lang w:val="es-MX" w:eastAsia="es-MX"/>
              </w:rPr>
              <w:t>.</w:t>
            </w:r>
          </w:p>
        </w:tc>
        <w:tc>
          <w:tcPr>
            <w:tcW w:w="1520" w:type="dxa"/>
            <w:tcBorders>
              <w:top w:val="nil"/>
              <w:left w:val="nil"/>
              <w:bottom w:val="single" w:sz="4" w:space="0" w:color="auto"/>
              <w:right w:val="single" w:sz="4" w:space="0" w:color="auto"/>
            </w:tcBorders>
            <w:shd w:val="clear" w:color="000000" w:fill="F2F2F2"/>
            <w:noWrap/>
            <w:vAlign w:val="center"/>
            <w:hideMark/>
          </w:tcPr>
          <w:p w14:paraId="40765C1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$ 777.490.000</w:t>
            </w:r>
          </w:p>
        </w:tc>
        <w:tc>
          <w:tcPr>
            <w:tcW w:w="1440" w:type="dxa"/>
            <w:tcBorders>
              <w:top w:val="nil"/>
              <w:left w:val="nil"/>
              <w:bottom w:val="single" w:sz="4" w:space="0" w:color="auto"/>
              <w:right w:val="single" w:sz="4" w:space="0" w:color="auto"/>
            </w:tcBorders>
            <w:shd w:val="clear" w:color="000000" w:fill="F2F2F2"/>
            <w:noWrap/>
            <w:vAlign w:val="center"/>
            <w:hideMark/>
          </w:tcPr>
          <w:p w14:paraId="17B6B3D2"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$ 4.439</w:t>
            </w:r>
          </w:p>
        </w:tc>
        <w:tc>
          <w:tcPr>
            <w:tcW w:w="1460" w:type="dxa"/>
            <w:tcBorders>
              <w:top w:val="nil"/>
              <w:left w:val="nil"/>
              <w:bottom w:val="single" w:sz="4" w:space="0" w:color="auto"/>
              <w:right w:val="single" w:sz="4" w:space="0" w:color="auto"/>
            </w:tcBorders>
            <w:shd w:val="clear" w:color="000000" w:fill="F2F2F2"/>
            <w:noWrap/>
            <w:vAlign w:val="center"/>
            <w:hideMark/>
          </w:tcPr>
          <w:p w14:paraId="571D493E"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$ 777.494.439</w:t>
            </w:r>
          </w:p>
        </w:tc>
        <w:tc>
          <w:tcPr>
            <w:tcW w:w="1260" w:type="dxa"/>
            <w:tcBorders>
              <w:top w:val="nil"/>
              <w:left w:val="nil"/>
              <w:bottom w:val="single" w:sz="4" w:space="0" w:color="auto"/>
              <w:right w:val="single" w:sz="4" w:space="0" w:color="auto"/>
            </w:tcBorders>
            <w:shd w:val="clear" w:color="000000" w:fill="F2F2F2"/>
            <w:noWrap/>
            <w:vAlign w:val="center"/>
            <w:hideMark/>
          </w:tcPr>
          <w:p w14:paraId="198FB41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$ 7.774.944</w:t>
            </w:r>
          </w:p>
        </w:tc>
        <w:tc>
          <w:tcPr>
            <w:tcW w:w="1120" w:type="dxa"/>
            <w:tcBorders>
              <w:top w:val="nil"/>
              <w:left w:val="nil"/>
              <w:bottom w:val="single" w:sz="4" w:space="0" w:color="auto"/>
              <w:right w:val="single" w:sz="4" w:space="0" w:color="auto"/>
            </w:tcBorders>
            <w:shd w:val="clear" w:color="000000" w:fill="F2F2F2"/>
            <w:noWrap/>
            <w:vAlign w:val="center"/>
            <w:hideMark/>
          </w:tcPr>
          <w:p w14:paraId="38FC33F7"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$ 324</w:t>
            </w:r>
          </w:p>
        </w:tc>
        <w:tc>
          <w:tcPr>
            <w:tcW w:w="1260" w:type="dxa"/>
            <w:tcBorders>
              <w:top w:val="nil"/>
              <w:left w:val="nil"/>
              <w:bottom w:val="single" w:sz="4" w:space="0" w:color="auto"/>
              <w:right w:val="single" w:sz="4" w:space="0" w:color="auto"/>
            </w:tcBorders>
            <w:shd w:val="clear" w:color="000000" w:fill="F2F2F2"/>
            <w:noWrap/>
            <w:vAlign w:val="center"/>
            <w:hideMark/>
          </w:tcPr>
          <w:p w14:paraId="3E625642"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$ 7.775.268</w:t>
            </w:r>
          </w:p>
        </w:tc>
        <w:tc>
          <w:tcPr>
            <w:tcW w:w="1920" w:type="dxa"/>
            <w:tcBorders>
              <w:top w:val="nil"/>
              <w:left w:val="nil"/>
              <w:bottom w:val="single" w:sz="4" w:space="0" w:color="auto"/>
              <w:right w:val="single" w:sz="4" w:space="0" w:color="auto"/>
            </w:tcBorders>
            <w:shd w:val="clear" w:color="000000" w:fill="F2F2F2"/>
            <w:vAlign w:val="center"/>
            <w:hideMark/>
          </w:tcPr>
          <w:p w14:paraId="5D93FF69"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GAS POR REDES</w:t>
            </w:r>
          </w:p>
        </w:tc>
      </w:tr>
      <w:tr w:rsidR="00D705A6" w:rsidRPr="002E0BB9" w14:paraId="2A4EC616" w14:textId="77777777" w:rsidTr="007D1249">
        <w:trPr>
          <w:trHeight w:val="6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33116BB9"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139</w:t>
            </w:r>
          </w:p>
        </w:tc>
        <w:tc>
          <w:tcPr>
            <w:tcW w:w="560" w:type="dxa"/>
            <w:tcBorders>
              <w:top w:val="nil"/>
              <w:left w:val="nil"/>
              <w:bottom w:val="single" w:sz="4" w:space="0" w:color="auto"/>
              <w:right w:val="single" w:sz="4" w:space="0" w:color="auto"/>
            </w:tcBorders>
            <w:shd w:val="clear" w:color="000000" w:fill="F2F2F2"/>
            <w:noWrap/>
            <w:vAlign w:val="center"/>
            <w:hideMark/>
          </w:tcPr>
          <w:p w14:paraId="3E5E786A"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22488</w:t>
            </w:r>
          </w:p>
        </w:tc>
        <w:tc>
          <w:tcPr>
            <w:tcW w:w="920" w:type="dxa"/>
            <w:tcBorders>
              <w:top w:val="nil"/>
              <w:left w:val="nil"/>
              <w:bottom w:val="single" w:sz="4" w:space="0" w:color="auto"/>
              <w:right w:val="single" w:sz="4" w:space="0" w:color="auto"/>
            </w:tcBorders>
            <w:shd w:val="clear" w:color="000000" w:fill="F2F2F2"/>
            <w:noWrap/>
            <w:vAlign w:val="center"/>
            <w:hideMark/>
          </w:tcPr>
          <w:p w14:paraId="493E5D0A"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900103542</w:t>
            </w:r>
          </w:p>
        </w:tc>
        <w:tc>
          <w:tcPr>
            <w:tcW w:w="2180" w:type="dxa"/>
            <w:tcBorders>
              <w:top w:val="nil"/>
              <w:left w:val="nil"/>
              <w:bottom w:val="single" w:sz="4" w:space="0" w:color="auto"/>
              <w:right w:val="single" w:sz="4" w:space="0" w:color="auto"/>
            </w:tcBorders>
            <w:shd w:val="clear" w:color="000000" w:fill="F2F2F2"/>
            <w:vAlign w:val="center"/>
            <w:hideMark/>
          </w:tcPr>
          <w:p w14:paraId="78841D00"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GNI GAS NATURAL INDUSTRIAL DE COLOMBIA S.A.S. E.S.P.</w:t>
            </w:r>
          </w:p>
        </w:tc>
        <w:tc>
          <w:tcPr>
            <w:tcW w:w="1520" w:type="dxa"/>
            <w:tcBorders>
              <w:top w:val="nil"/>
              <w:left w:val="nil"/>
              <w:bottom w:val="single" w:sz="4" w:space="0" w:color="auto"/>
              <w:right w:val="single" w:sz="4" w:space="0" w:color="auto"/>
            </w:tcBorders>
            <w:shd w:val="clear" w:color="000000" w:fill="F2F2F2"/>
            <w:noWrap/>
            <w:vAlign w:val="center"/>
            <w:hideMark/>
          </w:tcPr>
          <w:p w14:paraId="7F597711"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$ 1.236.849.274</w:t>
            </w:r>
          </w:p>
        </w:tc>
        <w:tc>
          <w:tcPr>
            <w:tcW w:w="1440" w:type="dxa"/>
            <w:tcBorders>
              <w:top w:val="nil"/>
              <w:left w:val="nil"/>
              <w:bottom w:val="single" w:sz="4" w:space="0" w:color="auto"/>
              <w:right w:val="single" w:sz="4" w:space="0" w:color="auto"/>
            </w:tcBorders>
            <w:shd w:val="clear" w:color="000000" w:fill="F2F2F2"/>
            <w:noWrap/>
            <w:vAlign w:val="center"/>
            <w:hideMark/>
          </w:tcPr>
          <w:p w14:paraId="2639C0F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$ 99.781.352</w:t>
            </w:r>
          </w:p>
        </w:tc>
        <w:tc>
          <w:tcPr>
            <w:tcW w:w="1460" w:type="dxa"/>
            <w:tcBorders>
              <w:top w:val="nil"/>
              <w:left w:val="nil"/>
              <w:bottom w:val="single" w:sz="4" w:space="0" w:color="auto"/>
              <w:right w:val="single" w:sz="4" w:space="0" w:color="auto"/>
            </w:tcBorders>
            <w:shd w:val="clear" w:color="000000" w:fill="F2F2F2"/>
            <w:noWrap/>
            <w:vAlign w:val="center"/>
            <w:hideMark/>
          </w:tcPr>
          <w:p w14:paraId="10AB711C"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$ 1.336.630.626</w:t>
            </w:r>
          </w:p>
        </w:tc>
        <w:tc>
          <w:tcPr>
            <w:tcW w:w="1260" w:type="dxa"/>
            <w:tcBorders>
              <w:top w:val="nil"/>
              <w:left w:val="nil"/>
              <w:bottom w:val="single" w:sz="4" w:space="0" w:color="auto"/>
              <w:right w:val="single" w:sz="4" w:space="0" w:color="auto"/>
            </w:tcBorders>
            <w:shd w:val="clear" w:color="000000" w:fill="F2F2F2"/>
            <w:noWrap/>
            <w:vAlign w:val="center"/>
            <w:hideMark/>
          </w:tcPr>
          <w:p w14:paraId="1C1F024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$ 13.366.306</w:t>
            </w:r>
          </w:p>
        </w:tc>
        <w:tc>
          <w:tcPr>
            <w:tcW w:w="1120" w:type="dxa"/>
            <w:tcBorders>
              <w:top w:val="nil"/>
              <w:left w:val="nil"/>
              <w:bottom w:val="single" w:sz="4" w:space="0" w:color="auto"/>
              <w:right w:val="single" w:sz="4" w:space="0" w:color="auto"/>
            </w:tcBorders>
            <w:shd w:val="clear" w:color="000000" w:fill="F2F2F2"/>
            <w:noWrap/>
            <w:vAlign w:val="center"/>
            <w:hideMark/>
          </w:tcPr>
          <w:p w14:paraId="6CA860F2"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$ 556</w:t>
            </w:r>
          </w:p>
        </w:tc>
        <w:tc>
          <w:tcPr>
            <w:tcW w:w="1260" w:type="dxa"/>
            <w:tcBorders>
              <w:top w:val="nil"/>
              <w:left w:val="nil"/>
              <w:bottom w:val="single" w:sz="4" w:space="0" w:color="auto"/>
              <w:right w:val="single" w:sz="4" w:space="0" w:color="auto"/>
            </w:tcBorders>
            <w:shd w:val="clear" w:color="000000" w:fill="F2F2F2"/>
            <w:noWrap/>
            <w:vAlign w:val="center"/>
            <w:hideMark/>
          </w:tcPr>
          <w:p w14:paraId="129C125D"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$ 13.366.863</w:t>
            </w:r>
          </w:p>
        </w:tc>
        <w:tc>
          <w:tcPr>
            <w:tcW w:w="1920" w:type="dxa"/>
            <w:tcBorders>
              <w:top w:val="nil"/>
              <w:left w:val="nil"/>
              <w:bottom w:val="single" w:sz="4" w:space="0" w:color="auto"/>
              <w:right w:val="single" w:sz="4" w:space="0" w:color="auto"/>
            </w:tcBorders>
            <w:shd w:val="clear" w:color="000000" w:fill="F2F2F2"/>
            <w:vAlign w:val="center"/>
            <w:hideMark/>
          </w:tcPr>
          <w:p w14:paraId="08792360"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GAS POR REDES</w:t>
            </w:r>
          </w:p>
        </w:tc>
      </w:tr>
      <w:tr w:rsidR="00D705A6" w:rsidRPr="002E0BB9" w14:paraId="7225F1B3" w14:textId="77777777" w:rsidTr="007D1249">
        <w:trPr>
          <w:trHeight w:val="4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2B11F3EA"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140</w:t>
            </w:r>
          </w:p>
        </w:tc>
        <w:tc>
          <w:tcPr>
            <w:tcW w:w="560" w:type="dxa"/>
            <w:tcBorders>
              <w:top w:val="nil"/>
              <w:left w:val="nil"/>
              <w:bottom w:val="single" w:sz="4" w:space="0" w:color="auto"/>
              <w:right w:val="single" w:sz="4" w:space="0" w:color="auto"/>
            </w:tcBorders>
            <w:shd w:val="clear" w:color="000000" w:fill="F2F2F2"/>
            <w:noWrap/>
            <w:vAlign w:val="center"/>
            <w:hideMark/>
          </w:tcPr>
          <w:p w14:paraId="6AC71B2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21870</w:t>
            </w:r>
          </w:p>
        </w:tc>
        <w:tc>
          <w:tcPr>
            <w:tcW w:w="920" w:type="dxa"/>
            <w:tcBorders>
              <w:top w:val="nil"/>
              <w:left w:val="nil"/>
              <w:bottom w:val="single" w:sz="4" w:space="0" w:color="auto"/>
              <w:right w:val="single" w:sz="4" w:space="0" w:color="auto"/>
            </w:tcBorders>
            <w:shd w:val="clear" w:color="000000" w:fill="F2F2F2"/>
            <w:noWrap/>
            <w:vAlign w:val="center"/>
            <w:hideMark/>
          </w:tcPr>
          <w:p w14:paraId="73692AB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900112515</w:t>
            </w:r>
          </w:p>
        </w:tc>
        <w:tc>
          <w:tcPr>
            <w:tcW w:w="2180" w:type="dxa"/>
            <w:tcBorders>
              <w:top w:val="nil"/>
              <w:left w:val="nil"/>
              <w:bottom w:val="single" w:sz="4" w:space="0" w:color="auto"/>
              <w:right w:val="single" w:sz="4" w:space="0" w:color="auto"/>
            </w:tcBorders>
            <w:shd w:val="clear" w:color="000000" w:fill="F2F2F2"/>
            <w:vAlign w:val="center"/>
            <w:hideMark/>
          </w:tcPr>
          <w:p w14:paraId="24979075"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REFINERIA DE CARTAGENA S.A.</w:t>
            </w:r>
          </w:p>
        </w:tc>
        <w:tc>
          <w:tcPr>
            <w:tcW w:w="1520" w:type="dxa"/>
            <w:tcBorders>
              <w:top w:val="nil"/>
              <w:left w:val="nil"/>
              <w:bottom w:val="single" w:sz="4" w:space="0" w:color="auto"/>
              <w:right w:val="single" w:sz="4" w:space="0" w:color="auto"/>
            </w:tcBorders>
            <w:shd w:val="clear" w:color="000000" w:fill="F2F2F2"/>
            <w:noWrap/>
            <w:vAlign w:val="center"/>
            <w:hideMark/>
          </w:tcPr>
          <w:p w14:paraId="658DAF5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$ 5.832.970.223</w:t>
            </w:r>
          </w:p>
        </w:tc>
        <w:tc>
          <w:tcPr>
            <w:tcW w:w="1440" w:type="dxa"/>
            <w:tcBorders>
              <w:top w:val="nil"/>
              <w:left w:val="nil"/>
              <w:bottom w:val="single" w:sz="4" w:space="0" w:color="auto"/>
              <w:right w:val="single" w:sz="4" w:space="0" w:color="auto"/>
            </w:tcBorders>
            <w:shd w:val="clear" w:color="000000" w:fill="F2F2F2"/>
            <w:noWrap/>
            <w:vAlign w:val="center"/>
            <w:hideMark/>
          </w:tcPr>
          <w:p w14:paraId="078CB0D1"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$ 1.419.910.596</w:t>
            </w:r>
          </w:p>
        </w:tc>
        <w:tc>
          <w:tcPr>
            <w:tcW w:w="1460" w:type="dxa"/>
            <w:tcBorders>
              <w:top w:val="nil"/>
              <w:left w:val="nil"/>
              <w:bottom w:val="single" w:sz="4" w:space="0" w:color="auto"/>
              <w:right w:val="single" w:sz="4" w:space="0" w:color="auto"/>
            </w:tcBorders>
            <w:shd w:val="clear" w:color="000000" w:fill="F2F2F2"/>
            <w:noWrap/>
            <w:vAlign w:val="center"/>
            <w:hideMark/>
          </w:tcPr>
          <w:p w14:paraId="3B680057"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$ 7.252.880.819</w:t>
            </w:r>
          </w:p>
        </w:tc>
        <w:tc>
          <w:tcPr>
            <w:tcW w:w="1260" w:type="dxa"/>
            <w:tcBorders>
              <w:top w:val="nil"/>
              <w:left w:val="nil"/>
              <w:bottom w:val="single" w:sz="4" w:space="0" w:color="auto"/>
              <w:right w:val="single" w:sz="4" w:space="0" w:color="auto"/>
            </w:tcBorders>
            <w:shd w:val="clear" w:color="000000" w:fill="F2F2F2"/>
            <w:noWrap/>
            <w:vAlign w:val="center"/>
            <w:hideMark/>
          </w:tcPr>
          <w:p w14:paraId="1FE1EF36"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$ 72.528.808</w:t>
            </w:r>
          </w:p>
        </w:tc>
        <w:tc>
          <w:tcPr>
            <w:tcW w:w="1120" w:type="dxa"/>
            <w:tcBorders>
              <w:top w:val="nil"/>
              <w:left w:val="nil"/>
              <w:bottom w:val="single" w:sz="4" w:space="0" w:color="auto"/>
              <w:right w:val="single" w:sz="4" w:space="0" w:color="auto"/>
            </w:tcBorders>
            <w:shd w:val="clear" w:color="000000" w:fill="F2F2F2"/>
            <w:noWrap/>
            <w:vAlign w:val="center"/>
            <w:hideMark/>
          </w:tcPr>
          <w:p w14:paraId="39A2A9C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$ 3.018</w:t>
            </w:r>
          </w:p>
        </w:tc>
        <w:tc>
          <w:tcPr>
            <w:tcW w:w="1260" w:type="dxa"/>
            <w:tcBorders>
              <w:top w:val="nil"/>
              <w:left w:val="nil"/>
              <w:bottom w:val="single" w:sz="4" w:space="0" w:color="auto"/>
              <w:right w:val="single" w:sz="4" w:space="0" w:color="auto"/>
            </w:tcBorders>
            <w:shd w:val="clear" w:color="000000" w:fill="F2F2F2"/>
            <w:noWrap/>
            <w:vAlign w:val="center"/>
            <w:hideMark/>
          </w:tcPr>
          <w:p w14:paraId="30583C3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$ 72.531.827</w:t>
            </w:r>
          </w:p>
        </w:tc>
        <w:tc>
          <w:tcPr>
            <w:tcW w:w="1920" w:type="dxa"/>
            <w:tcBorders>
              <w:top w:val="nil"/>
              <w:left w:val="nil"/>
              <w:bottom w:val="single" w:sz="4" w:space="0" w:color="auto"/>
              <w:right w:val="single" w:sz="4" w:space="0" w:color="auto"/>
            </w:tcBorders>
            <w:shd w:val="clear" w:color="000000" w:fill="F2F2F2"/>
            <w:vAlign w:val="center"/>
            <w:hideMark/>
          </w:tcPr>
          <w:p w14:paraId="440AECA9"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GAS LICUADO DEL PETROLEO</w:t>
            </w:r>
          </w:p>
        </w:tc>
      </w:tr>
      <w:tr w:rsidR="00D705A6" w:rsidRPr="002E0BB9" w14:paraId="2FCAA4F2" w14:textId="77777777" w:rsidTr="00053706">
        <w:trPr>
          <w:trHeight w:val="467"/>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34B645DB"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141</w:t>
            </w:r>
          </w:p>
        </w:tc>
        <w:tc>
          <w:tcPr>
            <w:tcW w:w="560" w:type="dxa"/>
            <w:tcBorders>
              <w:top w:val="nil"/>
              <w:left w:val="nil"/>
              <w:bottom w:val="single" w:sz="4" w:space="0" w:color="auto"/>
              <w:right w:val="single" w:sz="4" w:space="0" w:color="auto"/>
            </w:tcBorders>
            <w:shd w:val="clear" w:color="000000" w:fill="F2F2F2"/>
            <w:noWrap/>
            <w:vAlign w:val="center"/>
            <w:hideMark/>
          </w:tcPr>
          <w:p w14:paraId="4FA2B6B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21597</w:t>
            </w:r>
          </w:p>
        </w:tc>
        <w:tc>
          <w:tcPr>
            <w:tcW w:w="920" w:type="dxa"/>
            <w:tcBorders>
              <w:top w:val="nil"/>
              <w:left w:val="nil"/>
              <w:bottom w:val="single" w:sz="4" w:space="0" w:color="auto"/>
              <w:right w:val="single" w:sz="4" w:space="0" w:color="auto"/>
            </w:tcBorders>
            <w:shd w:val="clear" w:color="000000" w:fill="F2F2F2"/>
            <w:noWrap/>
            <w:vAlign w:val="center"/>
            <w:hideMark/>
          </w:tcPr>
          <w:p w14:paraId="3047F08E"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900122435</w:t>
            </w:r>
          </w:p>
        </w:tc>
        <w:tc>
          <w:tcPr>
            <w:tcW w:w="2180" w:type="dxa"/>
            <w:tcBorders>
              <w:top w:val="nil"/>
              <w:left w:val="nil"/>
              <w:bottom w:val="single" w:sz="4" w:space="0" w:color="auto"/>
              <w:right w:val="single" w:sz="4" w:space="0" w:color="auto"/>
            </w:tcBorders>
            <w:shd w:val="clear" w:color="000000" w:fill="F2F2F2"/>
            <w:vAlign w:val="center"/>
            <w:hideMark/>
          </w:tcPr>
          <w:p w14:paraId="52E45745"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COOPERATIVA DE SERVICIOS PÚBLICOS DE LÓPEZ DE MICAY</w:t>
            </w:r>
          </w:p>
        </w:tc>
        <w:tc>
          <w:tcPr>
            <w:tcW w:w="1520" w:type="dxa"/>
            <w:tcBorders>
              <w:top w:val="nil"/>
              <w:left w:val="nil"/>
              <w:bottom w:val="single" w:sz="4" w:space="0" w:color="auto"/>
              <w:right w:val="single" w:sz="4" w:space="0" w:color="auto"/>
            </w:tcBorders>
            <w:shd w:val="clear" w:color="000000" w:fill="F2F2F2"/>
            <w:noWrap/>
            <w:vAlign w:val="center"/>
            <w:hideMark/>
          </w:tcPr>
          <w:p w14:paraId="1CF4CA2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$ 381.568.000</w:t>
            </w:r>
          </w:p>
        </w:tc>
        <w:tc>
          <w:tcPr>
            <w:tcW w:w="1440" w:type="dxa"/>
            <w:tcBorders>
              <w:top w:val="nil"/>
              <w:left w:val="nil"/>
              <w:bottom w:val="single" w:sz="4" w:space="0" w:color="auto"/>
              <w:right w:val="single" w:sz="4" w:space="0" w:color="auto"/>
            </w:tcBorders>
            <w:shd w:val="clear" w:color="000000" w:fill="F2F2F2"/>
            <w:noWrap/>
            <w:vAlign w:val="center"/>
            <w:hideMark/>
          </w:tcPr>
          <w:p w14:paraId="75FD37ED"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$ 11.642.938</w:t>
            </w:r>
          </w:p>
        </w:tc>
        <w:tc>
          <w:tcPr>
            <w:tcW w:w="1460" w:type="dxa"/>
            <w:tcBorders>
              <w:top w:val="nil"/>
              <w:left w:val="nil"/>
              <w:bottom w:val="single" w:sz="4" w:space="0" w:color="auto"/>
              <w:right w:val="single" w:sz="4" w:space="0" w:color="auto"/>
            </w:tcBorders>
            <w:shd w:val="clear" w:color="000000" w:fill="F2F2F2"/>
            <w:noWrap/>
            <w:vAlign w:val="center"/>
            <w:hideMark/>
          </w:tcPr>
          <w:p w14:paraId="0E576A8C"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$ 393.210.938</w:t>
            </w:r>
          </w:p>
        </w:tc>
        <w:tc>
          <w:tcPr>
            <w:tcW w:w="1260" w:type="dxa"/>
            <w:tcBorders>
              <w:top w:val="nil"/>
              <w:left w:val="nil"/>
              <w:bottom w:val="single" w:sz="4" w:space="0" w:color="auto"/>
              <w:right w:val="single" w:sz="4" w:space="0" w:color="auto"/>
            </w:tcBorders>
            <w:shd w:val="clear" w:color="000000" w:fill="F2F2F2"/>
            <w:noWrap/>
            <w:vAlign w:val="center"/>
            <w:hideMark/>
          </w:tcPr>
          <w:p w14:paraId="4A9F429E"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$ 3.932.109</w:t>
            </w:r>
          </w:p>
        </w:tc>
        <w:tc>
          <w:tcPr>
            <w:tcW w:w="1120" w:type="dxa"/>
            <w:tcBorders>
              <w:top w:val="nil"/>
              <w:left w:val="nil"/>
              <w:bottom w:val="single" w:sz="4" w:space="0" w:color="auto"/>
              <w:right w:val="single" w:sz="4" w:space="0" w:color="auto"/>
            </w:tcBorders>
            <w:shd w:val="clear" w:color="000000" w:fill="F2F2F2"/>
            <w:noWrap/>
            <w:vAlign w:val="center"/>
            <w:hideMark/>
          </w:tcPr>
          <w:p w14:paraId="5ACB855B"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$ 164</w:t>
            </w:r>
          </w:p>
        </w:tc>
        <w:tc>
          <w:tcPr>
            <w:tcW w:w="1260" w:type="dxa"/>
            <w:tcBorders>
              <w:top w:val="nil"/>
              <w:left w:val="nil"/>
              <w:bottom w:val="single" w:sz="4" w:space="0" w:color="auto"/>
              <w:right w:val="single" w:sz="4" w:space="0" w:color="auto"/>
            </w:tcBorders>
            <w:shd w:val="clear" w:color="000000" w:fill="F2F2F2"/>
            <w:noWrap/>
            <w:vAlign w:val="center"/>
            <w:hideMark/>
          </w:tcPr>
          <w:p w14:paraId="4CC7EBB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$ 3.932.273</w:t>
            </w:r>
          </w:p>
        </w:tc>
        <w:tc>
          <w:tcPr>
            <w:tcW w:w="1920" w:type="dxa"/>
            <w:tcBorders>
              <w:top w:val="nil"/>
              <w:left w:val="nil"/>
              <w:bottom w:val="single" w:sz="4" w:space="0" w:color="auto"/>
              <w:right w:val="single" w:sz="4" w:space="0" w:color="auto"/>
            </w:tcBorders>
            <w:shd w:val="clear" w:color="000000" w:fill="F2F2F2"/>
            <w:vAlign w:val="center"/>
            <w:hideMark/>
          </w:tcPr>
          <w:p w14:paraId="2CAACEC2"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w:t>
            </w:r>
          </w:p>
        </w:tc>
      </w:tr>
      <w:tr w:rsidR="00D705A6" w:rsidRPr="002E0BB9" w14:paraId="6EFFDEAA" w14:textId="77777777" w:rsidTr="00053706">
        <w:trPr>
          <w:trHeight w:val="558"/>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0C26A1CC"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142</w:t>
            </w:r>
          </w:p>
        </w:tc>
        <w:tc>
          <w:tcPr>
            <w:tcW w:w="560" w:type="dxa"/>
            <w:tcBorders>
              <w:top w:val="nil"/>
              <w:left w:val="nil"/>
              <w:bottom w:val="single" w:sz="4" w:space="0" w:color="auto"/>
              <w:right w:val="single" w:sz="4" w:space="0" w:color="auto"/>
            </w:tcBorders>
            <w:shd w:val="clear" w:color="000000" w:fill="F2F2F2"/>
            <w:noWrap/>
            <w:vAlign w:val="center"/>
            <w:hideMark/>
          </w:tcPr>
          <w:p w14:paraId="4119C655"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21643</w:t>
            </w:r>
          </w:p>
        </w:tc>
        <w:tc>
          <w:tcPr>
            <w:tcW w:w="920" w:type="dxa"/>
            <w:tcBorders>
              <w:top w:val="nil"/>
              <w:left w:val="nil"/>
              <w:bottom w:val="single" w:sz="4" w:space="0" w:color="auto"/>
              <w:right w:val="single" w:sz="4" w:space="0" w:color="auto"/>
            </w:tcBorders>
            <w:shd w:val="clear" w:color="000000" w:fill="F2F2F2"/>
            <w:noWrap/>
            <w:vAlign w:val="center"/>
            <w:hideMark/>
          </w:tcPr>
          <w:p w14:paraId="14DA7FB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900134459</w:t>
            </w:r>
          </w:p>
        </w:tc>
        <w:tc>
          <w:tcPr>
            <w:tcW w:w="2180" w:type="dxa"/>
            <w:tcBorders>
              <w:top w:val="nil"/>
              <w:left w:val="nil"/>
              <w:bottom w:val="single" w:sz="4" w:space="0" w:color="auto"/>
              <w:right w:val="single" w:sz="4" w:space="0" w:color="auto"/>
            </w:tcBorders>
            <w:shd w:val="clear" w:color="000000" w:fill="F2F2F2"/>
            <w:vAlign w:val="center"/>
            <w:hideMark/>
          </w:tcPr>
          <w:p w14:paraId="1D61C12F"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TRANSPORTADORA DE GAS INTERNACIONAL S.A. E.S.P.</w:t>
            </w:r>
          </w:p>
        </w:tc>
        <w:tc>
          <w:tcPr>
            <w:tcW w:w="1520" w:type="dxa"/>
            <w:tcBorders>
              <w:top w:val="nil"/>
              <w:left w:val="nil"/>
              <w:bottom w:val="single" w:sz="4" w:space="0" w:color="auto"/>
              <w:right w:val="single" w:sz="4" w:space="0" w:color="auto"/>
            </w:tcBorders>
            <w:shd w:val="clear" w:color="000000" w:fill="F2F2F2"/>
            <w:noWrap/>
            <w:vAlign w:val="center"/>
            <w:hideMark/>
          </w:tcPr>
          <w:p w14:paraId="4A3CE2AB"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$ 98.894.736.000</w:t>
            </w:r>
          </w:p>
        </w:tc>
        <w:tc>
          <w:tcPr>
            <w:tcW w:w="1440" w:type="dxa"/>
            <w:tcBorders>
              <w:top w:val="nil"/>
              <w:left w:val="nil"/>
              <w:bottom w:val="single" w:sz="4" w:space="0" w:color="auto"/>
              <w:right w:val="single" w:sz="4" w:space="0" w:color="auto"/>
            </w:tcBorders>
            <w:shd w:val="clear" w:color="000000" w:fill="F2F2F2"/>
            <w:noWrap/>
            <w:vAlign w:val="center"/>
            <w:hideMark/>
          </w:tcPr>
          <w:p w14:paraId="1CD0959C"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$ 318.477.525</w:t>
            </w:r>
          </w:p>
        </w:tc>
        <w:tc>
          <w:tcPr>
            <w:tcW w:w="1460" w:type="dxa"/>
            <w:tcBorders>
              <w:top w:val="nil"/>
              <w:left w:val="nil"/>
              <w:bottom w:val="single" w:sz="4" w:space="0" w:color="auto"/>
              <w:right w:val="single" w:sz="4" w:space="0" w:color="auto"/>
            </w:tcBorders>
            <w:shd w:val="clear" w:color="000000" w:fill="F2F2F2"/>
            <w:noWrap/>
            <w:vAlign w:val="center"/>
            <w:hideMark/>
          </w:tcPr>
          <w:p w14:paraId="0908533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$ 99.213.213.525</w:t>
            </w:r>
          </w:p>
        </w:tc>
        <w:tc>
          <w:tcPr>
            <w:tcW w:w="1260" w:type="dxa"/>
            <w:tcBorders>
              <w:top w:val="nil"/>
              <w:left w:val="nil"/>
              <w:bottom w:val="single" w:sz="4" w:space="0" w:color="auto"/>
              <w:right w:val="single" w:sz="4" w:space="0" w:color="auto"/>
            </w:tcBorders>
            <w:shd w:val="clear" w:color="000000" w:fill="F2F2F2"/>
            <w:noWrap/>
            <w:vAlign w:val="center"/>
            <w:hideMark/>
          </w:tcPr>
          <w:p w14:paraId="1F6C709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$ 992.132.135</w:t>
            </w:r>
          </w:p>
        </w:tc>
        <w:tc>
          <w:tcPr>
            <w:tcW w:w="1120" w:type="dxa"/>
            <w:tcBorders>
              <w:top w:val="nil"/>
              <w:left w:val="nil"/>
              <w:bottom w:val="single" w:sz="4" w:space="0" w:color="auto"/>
              <w:right w:val="single" w:sz="4" w:space="0" w:color="auto"/>
            </w:tcBorders>
            <w:shd w:val="clear" w:color="000000" w:fill="F2F2F2"/>
            <w:noWrap/>
            <w:vAlign w:val="center"/>
            <w:hideMark/>
          </w:tcPr>
          <w:p w14:paraId="1E2933DE"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$ 41.289</w:t>
            </w:r>
          </w:p>
        </w:tc>
        <w:tc>
          <w:tcPr>
            <w:tcW w:w="1260" w:type="dxa"/>
            <w:tcBorders>
              <w:top w:val="nil"/>
              <w:left w:val="nil"/>
              <w:bottom w:val="single" w:sz="4" w:space="0" w:color="auto"/>
              <w:right w:val="single" w:sz="4" w:space="0" w:color="auto"/>
            </w:tcBorders>
            <w:shd w:val="clear" w:color="000000" w:fill="F2F2F2"/>
            <w:noWrap/>
            <w:vAlign w:val="center"/>
            <w:hideMark/>
          </w:tcPr>
          <w:p w14:paraId="2DB796A7"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$ 992.173.424</w:t>
            </w:r>
          </w:p>
        </w:tc>
        <w:tc>
          <w:tcPr>
            <w:tcW w:w="1920" w:type="dxa"/>
            <w:tcBorders>
              <w:top w:val="nil"/>
              <w:left w:val="nil"/>
              <w:bottom w:val="single" w:sz="4" w:space="0" w:color="auto"/>
              <w:right w:val="single" w:sz="4" w:space="0" w:color="auto"/>
            </w:tcBorders>
            <w:shd w:val="clear" w:color="000000" w:fill="F2F2F2"/>
            <w:vAlign w:val="center"/>
            <w:hideMark/>
          </w:tcPr>
          <w:p w14:paraId="771B57AF"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GAS POR REDES</w:t>
            </w:r>
          </w:p>
        </w:tc>
      </w:tr>
      <w:tr w:rsidR="00D705A6" w:rsidRPr="002E0BB9" w14:paraId="3701CAF4" w14:textId="77777777" w:rsidTr="007D1249">
        <w:trPr>
          <w:trHeight w:val="2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690E16F7"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143</w:t>
            </w:r>
          </w:p>
        </w:tc>
        <w:tc>
          <w:tcPr>
            <w:tcW w:w="560" w:type="dxa"/>
            <w:tcBorders>
              <w:top w:val="nil"/>
              <w:left w:val="nil"/>
              <w:bottom w:val="single" w:sz="4" w:space="0" w:color="auto"/>
              <w:right w:val="single" w:sz="4" w:space="0" w:color="auto"/>
            </w:tcBorders>
            <w:shd w:val="clear" w:color="000000" w:fill="F2F2F2"/>
            <w:noWrap/>
            <w:vAlign w:val="center"/>
            <w:hideMark/>
          </w:tcPr>
          <w:p w14:paraId="5C9401A2"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44077</w:t>
            </w:r>
          </w:p>
        </w:tc>
        <w:tc>
          <w:tcPr>
            <w:tcW w:w="920" w:type="dxa"/>
            <w:tcBorders>
              <w:top w:val="nil"/>
              <w:left w:val="nil"/>
              <w:bottom w:val="single" w:sz="4" w:space="0" w:color="auto"/>
              <w:right w:val="single" w:sz="4" w:space="0" w:color="auto"/>
            </w:tcBorders>
            <w:shd w:val="clear" w:color="000000" w:fill="F2F2F2"/>
            <w:noWrap/>
            <w:vAlign w:val="center"/>
            <w:hideMark/>
          </w:tcPr>
          <w:p w14:paraId="350F800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900148768</w:t>
            </w:r>
          </w:p>
        </w:tc>
        <w:tc>
          <w:tcPr>
            <w:tcW w:w="2180" w:type="dxa"/>
            <w:tcBorders>
              <w:top w:val="nil"/>
              <w:left w:val="nil"/>
              <w:bottom w:val="single" w:sz="4" w:space="0" w:color="auto"/>
              <w:right w:val="single" w:sz="4" w:space="0" w:color="auto"/>
            </w:tcBorders>
            <w:shd w:val="clear" w:color="000000" w:fill="F2F2F2"/>
            <w:vAlign w:val="center"/>
            <w:hideMark/>
          </w:tcPr>
          <w:p w14:paraId="2EAEDCF7"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ENERMAS SAS ESP</w:t>
            </w:r>
          </w:p>
        </w:tc>
        <w:tc>
          <w:tcPr>
            <w:tcW w:w="1520" w:type="dxa"/>
            <w:tcBorders>
              <w:top w:val="nil"/>
              <w:left w:val="nil"/>
              <w:bottom w:val="single" w:sz="4" w:space="0" w:color="auto"/>
              <w:right w:val="single" w:sz="4" w:space="0" w:color="auto"/>
            </w:tcBorders>
            <w:shd w:val="clear" w:color="000000" w:fill="F2F2F2"/>
            <w:noWrap/>
            <w:vAlign w:val="center"/>
            <w:hideMark/>
          </w:tcPr>
          <w:p w14:paraId="055FBC76"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$ 381.849.000</w:t>
            </w:r>
          </w:p>
        </w:tc>
        <w:tc>
          <w:tcPr>
            <w:tcW w:w="1440" w:type="dxa"/>
            <w:tcBorders>
              <w:top w:val="nil"/>
              <w:left w:val="nil"/>
              <w:bottom w:val="single" w:sz="4" w:space="0" w:color="auto"/>
              <w:right w:val="single" w:sz="4" w:space="0" w:color="auto"/>
            </w:tcBorders>
            <w:shd w:val="clear" w:color="000000" w:fill="F2F2F2"/>
            <w:noWrap/>
            <w:vAlign w:val="center"/>
            <w:hideMark/>
          </w:tcPr>
          <w:p w14:paraId="44CDAE5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$ 127.979.019</w:t>
            </w:r>
          </w:p>
        </w:tc>
        <w:tc>
          <w:tcPr>
            <w:tcW w:w="1460" w:type="dxa"/>
            <w:tcBorders>
              <w:top w:val="nil"/>
              <w:left w:val="nil"/>
              <w:bottom w:val="single" w:sz="4" w:space="0" w:color="auto"/>
              <w:right w:val="single" w:sz="4" w:space="0" w:color="auto"/>
            </w:tcBorders>
            <w:shd w:val="clear" w:color="000000" w:fill="F2F2F2"/>
            <w:noWrap/>
            <w:vAlign w:val="center"/>
            <w:hideMark/>
          </w:tcPr>
          <w:p w14:paraId="21A637A5"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$ 509.828.019</w:t>
            </w:r>
          </w:p>
        </w:tc>
        <w:tc>
          <w:tcPr>
            <w:tcW w:w="1260" w:type="dxa"/>
            <w:tcBorders>
              <w:top w:val="nil"/>
              <w:left w:val="nil"/>
              <w:bottom w:val="single" w:sz="4" w:space="0" w:color="auto"/>
              <w:right w:val="single" w:sz="4" w:space="0" w:color="auto"/>
            </w:tcBorders>
            <w:shd w:val="clear" w:color="000000" w:fill="F2F2F2"/>
            <w:noWrap/>
            <w:vAlign w:val="center"/>
            <w:hideMark/>
          </w:tcPr>
          <w:p w14:paraId="00B167F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$ 5.098.280</w:t>
            </w:r>
          </w:p>
        </w:tc>
        <w:tc>
          <w:tcPr>
            <w:tcW w:w="1120" w:type="dxa"/>
            <w:tcBorders>
              <w:top w:val="nil"/>
              <w:left w:val="nil"/>
              <w:bottom w:val="single" w:sz="4" w:space="0" w:color="auto"/>
              <w:right w:val="single" w:sz="4" w:space="0" w:color="auto"/>
            </w:tcBorders>
            <w:shd w:val="clear" w:color="000000" w:fill="F2F2F2"/>
            <w:noWrap/>
            <w:vAlign w:val="center"/>
            <w:hideMark/>
          </w:tcPr>
          <w:p w14:paraId="30EE6352"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$ 212</w:t>
            </w:r>
          </w:p>
        </w:tc>
        <w:tc>
          <w:tcPr>
            <w:tcW w:w="1260" w:type="dxa"/>
            <w:tcBorders>
              <w:top w:val="nil"/>
              <w:left w:val="nil"/>
              <w:bottom w:val="single" w:sz="4" w:space="0" w:color="auto"/>
              <w:right w:val="single" w:sz="4" w:space="0" w:color="auto"/>
            </w:tcBorders>
            <w:shd w:val="clear" w:color="000000" w:fill="F2F2F2"/>
            <w:noWrap/>
            <w:vAlign w:val="center"/>
            <w:hideMark/>
          </w:tcPr>
          <w:p w14:paraId="44650C8B"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$ 5.098.492</w:t>
            </w:r>
          </w:p>
        </w:tc>
        <w:tc>
          <w:tcPr>
            <w:tcW w:w="1920" w:type="dxa"/>
            <w:tcBorders>
              <w:top w:val="nil"/>
              <w:left w:val="nil"/>
              <w:bottom w:val="single" w:sz="4" w:space="0" w:color="auto"/>
              <w:right w:val="single" w:sz="4" w:space="0" w:color="auto"/>
            </w:tcBorders>
            <w:shd w:val="clear" w:color="000000" w:fill="F2F2F2"/>
            <w:vAlign w:val="center"/>
            <w:hideMark/>
          </w:tcPr>
          <w:p w14:paraId="739F07F9"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w:t>
            </w:r>
          </w:p>
        </w:tc>
      </w:tr>
      <w:tr w:rsidR="00D705A6" w:rsidRPr="002E0BB9" w14:paraId="4C81ED5F" w14:textId="77777777" w:rsidTr="007D1249">
        <w:trPr>
          <w:trHeight w:val="4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5AD3B0E8"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144</w:t>
            </w:r>
          </w:p>
        </w:tc>
        <w:tc>
          <w:tcPr>
            <w:tcW w:w="560" w:type="dxa"/>
            <w:tcBorders>
              <w:top w:val="nil"/>
              <w:left w:val="nil"/>
              <w:bottom w:val="single" w:sz="4" w:space="0" w:color="auto"/>
              <w:right w:val="single" w:sz="4" w:space="0" w:color="auto"/>
            </w:tcBorders>
            <w:shd w:val="clear" w:color="000000" w:fill="F2F2F2"/>
            <w:noWrap/>
            <w:vAlign w:val="center"/>
            <w:hideMark/>
          </w:tcPr>
          <w:p w14:paraId="06368BF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21837</w:t>
            </w:r>
          </w:p>
        </w:tc>
        <w:tc>
          <w:tcPr>
            <w:tcW w:w="920" w:type="dxa"/>
            <w:tcBorders>
              <w:top w:val="nil"/>
              <w:left w:val="nil"/>
              <w:bottom w:val="single" w:sz="4" w:space="0" w:color="auto"/>
              <w:right w:val="single" w:sz="4" w:space="0" w:color="auto"/>
            </w:tcBorders>
            <w:shd w:val="clear" w:color="000000" w:fill="F2F2F2"/>
            <w:noWrap/>
            <w:vAlign w:val="center"/>
            <w:hideMark/>
          </w:tcPr>
          <w:p w14:paraId="75A3B0AE"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900154878</w:t>
            </w:r>
          </w:p>
        </w:tc>
        <w:tc>
          <w:tcPr>
            <w:tcW w:w="2180" w:type="dxa"/>
            <w:tcBorders>
              <w:top w:val="nil"/>
              <w:left w:val="nil"/>
              <w:bottom w:val="single" w:sz="4" w:space="0" w:color="auto"/>
              <w:right w:val="single" w:sz="4" w:space="0" w:color="auto"/>
            </w:tcBorders>
            <w:shd w:val="clear" w:color="000000" w:fill="F2F2F2"/>
            <w:vAlign w:val="center"/>
            <w:hideMark/>
          </w:tcPr>
          <w:p w14:paraId="23BE0763"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AMERICANA DE ENERGIA S.A.S. E.S.P.</w:t>
            </w:r>
          </w:p>
        </w:tc>
        <w:tc>
          <w:tcPr>
            <w:tcW w:w="1520" w:type="dxa"/>
            <w:tcBorders>
              <w:top w:val="nil"/>
              <w:left w:val="nil"/>
              <w:bottom w:val="single" w:sz="4" w:space="0" w:color="auto"/>
              <w:right w:val="single" w:sz="4" w:space="0" w:color="auto"/>
            </w:tcBorders>
            <w:shd w:val="clear" w:color="000000" w:fill="F2F2F2"/>
            <w:noWrap/>
            <w:vAlign w:val="center"/>
            <w:hideMark/>
          </w:tcPr>
          <w:p w14:paraId="4C2E245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$ 125.410.000</w:t>
            </w:r>
          </w:p>
        </w:tc>
        <w:tc>
          <w:tcPr>
            <w:tcW w:w="1440" w:type="dxa"/>
            <w:tcBorders>
              <w:top w:val="nil"/>
              <w:left w:val="nil"/>
              <w:bottom w:val="single" w:sz="4" w:space="0" w:color="auto"/>
              <w:right w:val="single" w:sz="4" w:space="0" w:color="auto"/>
            </w:tcBorders>
            <w:shd w:val="clear" w:color="000000" w:fill="F2F2F2"/>
            <w:noWrap/>
            <w:vAlign w:val="center"/>
            <w:hideMark/>
          </w:tcPr>
          <w:p w14:paraId="2134694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$ 1.781.046.285</w:t>
            </w:r>
          </w:p>
        </w:tc>
        <w:tc>
          <w:tcPr>
            <w:tcW w:w="1460" w:type="dxa"/>
            <w:tcBorders>
              <w:top w:val="nil"/>
              <w:left w:val="nil"/>
              <w:bottom w:val="single" w:sz="4" w:space="0" w:color="auto"/>
              <w:right w:val="single" w:sz="4" w:space="0" w:color="auto"/>
            </w:tcBorders>
            <w:shd w:val="clear" w:color="000000" w:fill="F2F2F2"/>
            <w:noWrap/>
            <w:vAlign w:val="center"/>
            <w:hideMark/>
          </w:tcPr>
          <w:p w14:paraId="72B8B76A"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$ 1.906.456.285</w:t>
            </w:r>
          </w:p>
        </w:tc>
        <w:tc>
          <w:tcPr>
            <w:tcW w:w="1260" w:type="dxa"/>
            <w:tcBorders>
              <w:top w:val="nil"/>
              <w:left w:val="nil"/>
              <w:bottom w:val="single" w:sz="4" w:space="0" w:color="auto"/>
              <w:right w:val="single" w:sz="4" w:space="0" w:color="auto"/>
            </w:tcBorders>
            <w:shd w:val="clear" w:color="000000" w:fill="F2F2F2"/>
            <w:noWrap/>
            <w:vAlign w:val="center"/>
            <w:hideMark/>
          </w:tcPr>
          <w:p w14:paraId="336154CB"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$ 19.064.563</w:t>
            </w:r>
          </w:p>
        </w:tc>
        <w:tc>
          <w:tcPr>
            <w:tcW w:w="1120" w:type="dxa"/>
            <w:tcBorders>
              <w:top w:val="nil"/>
              <w:left w:val="nil"/>
              <w:bottom w:val="single" w:sz="4" w:space="0" w:color="auto"/>
              <w:right w:val="single" w:sz="4" w:space="0" w:color="auto"/>
            </w:tcBorders>
            <w:shd w:val="clear" w:color="000000" w:fill="F2F2F2"/>
            <w:noWrap/>
            <w:vAlign w:val="center"/>
            <w:hideMark/>
          </w:tcPr>
          <w:p w14:paraId="37FED02E"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$ 793</w:t>
            </w:r>
          </w:p>
        </w:tc>
        <w:tc>
          <w:tcPr>
            <w:tcW w:w="1260" w:type="dxa"/>
            <w:tcBorders>
              <w:top w:val="nil"/>
              <w:left w:val="nil"/>
              <w:bottom w:val="single" w:sz="4" w:space="0" w:color="auto"/>
              <w:right w:val="single" w:sz="4" w:space="0" w:color="auto"/>
            </w:tcBorders>
            <w:shd w:val="clear" w:color="000000" w:fill="F2F2F2"/>
            <w:noWrap/>
            <w:vAlign w:val="center"/>
            <w:hideMark/>
          </w:tcPr>
          <w:p w14:paraId="458545C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$ 19.065.356</w:t>
            </w:r>
          </w:p>
        </w:tc>
        <w:tc>
          <w:tcPr>
            <w:tcW w:w="1920" w:type="dxa"/>
            <w:tcBorders>
              <w:top w:val="nil"/>
              <w:left w:val="nil"/>
              <w:bottom w:val="single" w:sz="4" w:space="0" w:color="auto"/>
              <w:right w:val="single" w:sz="4" w:space="0" w:color="auto"/>
            </w:tcBorders>
            <w:shd w:val="clear" w:color="000000" w:fill="F2F2F2"/>
            <w:vAlign w:val="center"/>
            <w:hideMark/>
          </w:tcPr>
          <w:p w14:paraId="24D2F807"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w:t>
            </w:r>
          </w:p>
        </w:tc>
      </w:tr>
      <w:tr w:rsidR="00D705A6" w:rsidRPr="002E0BB9" w14:paraId="0DA6394D" w14:textId="77777777" w:rsidTr="007D1249">
        <w:trPr>
          <w:trHeight w:val="2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2F7C44A2"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145</w:t>
            </w:r>
          </w:p>
        </w:tc>
        <w:tc>
          <w:tcPr>
            <w:tcW w:w="560" w:type="dxa"/>
            <w:tcBorders>
              <w:top w:val="nil"/>
              <w:left w:val="nil"/>
              <w:bottom w:val="single" w:sz="4" w:space="0" w:color="auto"/>
              <w:right w:val="single" w:sz="4" w:space="0" w:color="auto"/>
            </w:tcBorders>
            <w:shd w:val="clear" w:color="000000" w:fill="F2F2F2"/>
            <w:noWrap/>
            <w:vAlign w:val="center"/>
            <w:hideMark/>
          </w:tcPr>
          <w:p w14:paraId="4D61BCA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22143</w:t>
            </w:r>
          </w:p>
        </w:tc>
        <w:tc>
          <w:tcPr>
            <w:tcW w:w="920" w:type="dxa"/>
            <w:tcBorders>
              <w:top w:val="nil"/>
              <w:left w:val="nil"/>
              <w:bottom w:val="single" w:sz="4" w:space="0" w:color="auto"/>
              <w:right w:val="single" w:sz="4" w:space="0" w:color="auto"/>
            </w:tcBorders>
            <w:shd w:val="clear" w:color="000000" w:fill="F2F2F2"/>
            <w:noWrap/>
            <w:vAlign w:val="center"/>
            <w:hideMark/>
          </w:tcPr>
          <w:p w14:paraId="398EA57D"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900154879</w:t>
            </w:r>
          </w:p>
        </w:tc>
        <w:tc>
          <w:tcPr>
            <w:tcW w:w="2180" w:type="dxa"/>
            <w:tcBorders>
              <w:top w:val="nil"/>
              <w:left w:val="nil"/>
              <w:bottom w:val="single" w:sz="4" w:space="0" w:color="auto"/>
              <w:right w:val="single" w:sz="4" w:space="0" w:color="auto"/>
            </w:tcBorders>
            <w:shd w:val="clear" w:color="000000" w:fill="F2F2F2"/>
            <w:vAlign w:val="center"/>
            <w:hideMark/>
          </w:tcPr>
          <w:p w14:paraId="306F71F2" w14:textId="77777777" w:rsidR="00D705A6" w:rsidRPr="002E0BB9" w:rsidRDefault="00D705A6" w:rsidP="00D22441">
            <w:pPr>
              <w:jc w:val="left"/>
              <w:rPr>
                <w:rFonts w:ascii="Arial Narrow" w:hAnsi="Arial Narrow" w:cs="Arial"/>
                <w:spacing w:val="0"/>
                <w:sz w:val="16"/>
                <w:szCs w:val="16"/>
                <w:lang w:val="en-GB" w:eastAsia="es-MX"/>
              </w:rPr>
            </w:pPr>
            <w:r w:rsidRPr="002E0BB9">
              <w:rPr>
                <w:rFonts w:ascii="Arial Narrow" w:hAnsi="Arial Narrow" w:cs="Arial"/>
                <w:spacing w:val="0"/>
                <w:sz w:val="16"/>
                <w:szCs w:val="16"/>
                <w:lang w:val="en-GB" w:eastAsia="es-MX"/>
              </w:rPr>
              <w:t>GENERSYS S.A.S E.S.P.</w:t>
            </w:r>
          </w:p>
        </w:tc>
        <w:tc>
          <w:tcPr>
            <w:tcW w:w="1520" w:type="dxa"/>
            <w:tcBorders>
              <w:top w:val="nil"/>
              <w:left w:val="nil"/>
              <w:bottom w:val="single" w:sz="4" w:space="0" w:color="auto"/>
              <w:right w:val="single" w:sz="4" w:space="0" w:color="auto"/>
            </w:tcBorders>
            <w:shd w:val="clear" w:color="000000" w:fill="F2F2F2"/>
            <w:noWrap/>
            <w:vAlign w:val="center"/>
            <w:hideMark/>
          </w:tcPr>
          <w:p w14:paraId="3E7319F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$ 67.075.000</w:t>
            </w:r>
          </w:p>
        </w:tc>
        <w:tc>
          <w:tcPr>
            <w:tcW w:w="1440" w:type="dxa"/>
            <w:tcBorders>
              <w:top w:val="nil"/>
              <w:left w:val="nil"/>
              <w:bottom w:val="single" w:sz="4" w:space="0" w:color="auto"/>
              <w:right w:val="single" w:sz="4" w:space="0" w:color="auto"/>
            </w:tcBorders>
            <w:shd w:val="clear" w:color="000000" w:fill="F2F2F2"/>
            <w:noWrap/>
            <w:vAlign w:val="center"/>
            <w:hideMark/>
          </w:tcPr>
          <w:p w14:paraId="60B81CC1"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$ 800.207.481</w:t>
            </w:r>
          </w:p>
        </w:tc>
        <w:tc>
          <w:tcPr>
            <w:tcW w:w="1460" w:type="dxa"/>
            <w:tcBorders>
              <w:top w:val="nil"/>
              <w:left w:val="nil"/>
              <w:bottom w:val="single" w:sz="4" w:space="0" w:color="auto"/>
              <w:right w:val="single" w:sz="4" w:space="0" w:color="auto"/>
            </w:tcBorders>
            <w:shd w:val="clear" w:color="000000" w:fill="F2F2F2"/>
            <w:noWrap/>
            <w:vAlign w:val="center"/>
            <w:hideMark/>
          </w:tcPr>
          <w:p w14:paraId="1233F3E7"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$ 867.282.481</w:t>
            </w:r>
          </w:p>
        </w:tc>
        <w:tc>
          <w:tcPr>
            <w:tcW w:w="1260" w:type="dxa"/>
            <w:tcBorders>
              <w:top w:val="nil"/>
              <w:left w:val="nil"/>
              <w:bottom w:val="single" w:sz="4" w:space="0" w:color="auto"/>
              <w:right w:val="single" w:sz="4" w:space="0" w:color="auto"/>
            </w:tcBorders>
            <w:shd w:val="clear" w:color="000000" w:fill="F2F2F2"/>
            <w:noWrap/>
            <w:vAlign w:val="center"/>
            <w:hideMark/>
          </w:tcPr>
          <w:p w14:paraId="6E20ABF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$ 8.672.825</w:t>
            </w:r>
          </w:p>
        </w:tc>
        <w:tc>
          <w:tcPr>
            <w:tcW w:w="1120" w:type="dxa"/>
            <w:tcBorders>
              <w:top w:val="nil"/>
              <w:left w:val="nil"/>
              <w:bottom w:val="single" w:sz="4" w:space="0" w:color="auto"/>
              <w:right w:val="single" w:sz="4" w:space="0" w:color="auto"/>
            </w:tcBorders>
            <w:shd w:val="clear" w:color="000000" w:fill="F2F2F2"/>
            <w:noWrap/>
            <w:vAlign w:val="center"/>
            <w:hideMark/>
          </w:tcPr>
          <w:p w14:paraId="76716A9B"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$ 361</w:t>
            </w:r>
          </w:p>
        </w:tc>
        <w:tc>
          <w:tcPr>
            <w:tcW w:w="1260" w:type="dxa"/>
            <w:tcBorders>
              <w:top w:val="nil"/>
              <w:left w:val="nil"/>
              <w:bottom w:val="single" w:sz="4" w:space="0" w:color="auto"/>
              <w:right w:val="single" w:sz="4" w:space="0" w:color="auto"/>
            </w:tcBorders>
            <w:shd w:val="clear" w:color="000000" w:fill="F2F2F2"/>
            <w:noWrap/>
            <w:vAlign w:val="center"/>
            <w:hideMark/>
          </w:tcPr>
          <w:p w14:paraId="7813BAB6"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$ 8.673.186</w:t>
            </w:r>
          </w:p>
        </w:tc>
        <w:tc>
          <w:tcPr>
            <w:tcW w:w="1920" w:type="dxa"/>
            <w:tcBorders>
              <w:top w:val="nil"/>
              <w:left w:val="nil"/>
              <w:bottom w:val="single" w:sz="4" w:space="0" w:color="auto"/>
              <w:right w:val="single" w:sz="4" w:space="0" w:color="auto"/>
            </w:tcBorders>
            <w:shd w:val="clear" w:color="000000" w:fill="F2F2F2"/>
            <w:vAlign w:val="center"/>
            <w:hideMark/>
          </w:tcPr>
          <w:p w14:paraId="27EEC271"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w:t>
            </w:r>
          </w:p>
        </w:tc>
      </w:tr>
      <w:tr w:rsidR="00D705A6" w:rsidRPr="002E0BB9" w14:paraId="25AE04E0" w14:textId="77777777" w:rsidTr="007D1249">
        <w:trPr>
          <w:trHeight w:val="2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3CF1070E"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146</w:t>
            </w:r>
          </w:p>
        </w:tc>
        <w:tc>
          <w:tcPr>
            <w:tcW w:w="560" w:type="dxa"/>
            <w:tcBorders>
              <w:top w:val="nil"/>
              <w:left w:val="nil"/>
              <w:bottom w:val="single" w:sz="4" w:space="0" w:color="auto"/>
              <w:right w:val="single" w:sz="4" w:space="0" w:color="auto"/>
            </w:tcBorders>
            <w:shd w:val="clear" w:color="000000" w:fill="F2F2F2"/>
            <w:noWrap/>
            <w:vAlign w:val="center"/>
            <w:hideMark/>
          </w:tcPr>
          <w:p w14:paraId="05A873E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22144</w:t>
            </w:r>
          </w:p>
        </w:tc>
        <w:tc>
          <w:tcPr>
            <w:tcW w:w="920" w:type="dxa"/>
            <w:tcBorders>
              <w:top w:val="nil"/>
              <w:left w:val="nil"/>
              <w:bottom w:val="single" w:sz="4" w:space="0" w:color="auto"/>
              <w:right w:val="single" w:sz="4" w:space="0" w:color="auto"/>
            </w:tcBorders>
            <w:shd w:val="clear" w:color="000000" w:fill="F2F2F2"/>
            <w:noWrap/>
            <w:vAlign w:val="center"/>
            <w:hideMark/>
          </w:tcPr>
          <w:p w14:paraId="2A72901A"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900161460</w:t>
            </w:r>
          </w:p>
        </w:tc>
        <w:tc>
          <w:tcPr>
            <w:tcW w:w="2180" w:type="dxa"/>
            <w:tcBorders>
              <w:top w:val="nil"/>
              <w:left w:val="nil"/>
              <w:bottom w:val="single" w:sz="4" w:space="0" w:color="auto"/>
              <w:right w:val="single" w:sz="4" w:space="0" w:color="auto"/>
            </w:tcBorders>
            <w:shd w:val="clear" w:color="000000" w:fill="F2F2F2"/>
            <w:vAlign w:val="center"/>
            <w:hideMark/>
          </w:tcPr>
          <w:p w14:paraId="080EF79C"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TERMOTASAJERO SA ESP</w:t>
            </w:r>
          </w:p>
        </w:tc>
        <w:tc>
          <w:tcPr>
            <w:tcW w:w="1520" w:type="dxa"/>
            <w:tcBorders>
              <w:top w:val="nil"/>
              <w:left w:val="nil"/>
              <w:bottom w:val="single" w:sz="4" w:space="0" w:color="auto"/>
              <w:right w:val="single" w:sz="4" w:space="0" w:color="auto"/>
            </w:tcBorders>
            <w:shd w:val="clear" w:color="000000" w:fill="F2F2F2"/>
            <w:noWrap/>
            <w:vAlign w:val="center"/>
            <w:hideMark/>
          </w:tcPr>
          <w:p w14:paraId="413DDE0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$ 12.296.004.000</w:t>
            </w:r>
          </w:p>
        </w:tc>
        <w:tc>
          <w:tcPr>
            <w:tcW w:w="1440" w:type="dxa"/>
            <w:tcBorders>
              <w:top w:val="nil"/>
              <w:left w:val="nil"/>
              <w:bottom w:val="single" w:sz="4" w:space="0" w:color="auto"/>
              <w:right w:val="single" w:sz="4" w:space="0" w:color="auto"/>
            </w:tcBorders>
            <w:shd w:val="clear" w:color="000000" w:fill="F2F2F2"/>
            <w:noWrap/>
            <w:vAlign w:val="center"/>
            <w:hideMark/>
          </w:tcPr>
          <w:p w14:paraId="7D7CBCBD"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$ 708.195.596</w:t>
            </w:r>
          </w:p>
        </w:tc>
        <w:tc>
          <w:tcPr>
            <w:tcW w:w="1460" w:type="dxa"/>
            <w:tcBorders>
              <w:top w:val="nil"/>
              <w:left w:val="nil"/>
              <w:bottom w:val="single" w:sz="4" w:space="0" w:color="auto"/>
              <w:right w:val="single" w:sz="4" w:space="0" w:color="auto"/>
            </w:tcBorders>
            <w:shd w:val="clear" w:color="000000" w:fill="F2F2F2"/>
            <w:noWrap/>
            <w:vAlign w:val="center"/>
            <w:hideMark/>
          </w:tcPr>
          <w:p w14:paraId="35618FF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$ 13.004.199.596</w:t>
            </w:r>
          </w:p>
        </w:tc>
        <w:tc>
          <w:tcPr>
            <w:tcW w:w="1260" w:type="dxa"/>
            <w:tcBorders>
              <w:top w:val="nil"/>
              <w:left w:val="nil"/>
              <w:bottom w:val="single" w:sz="4" w:space="0" w:color="auto"/>
              <w:right w:val="single" w:sz="4" w:space="0" w:color="auto"/>
            </w:tcBorders>
            <w:shd w:val="clear" w:color="000000" w:fill="F2F2F2"/>
            <w:noWrap/>
            <w:vAlign w:val="center"/>
            <w:hideMark/>
          </w:tcPr>
          <w:p w14:paraId="7ADC4FB1"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$ 130.041.996</w:t>
            </w:r>
          </w:p>
        </w:tc>
        <w:tc>
          <w:tcPr>
            <w:tcW w:w="1120" w:type="dxa"/>
            <w:tcBorders>
              <w:top w:val="nil"/>
              <w:left w:val="nil"/>
              <w:bottom w:val="single" w:sz="4" w:space="0" w:color="auto"/>
              <w:right w:val="single" w:sz="4" w:space="0" w:color="auto"/>
            </w:tcBorders>
            <w:shd w:val="clear" w:color="000000" w:fill="F2F2F2"/>
            <w:noWrap/>
            <w:vAlign w:val="center"/>
            <w:hideMark/>
          </w:tcPr>
          <w:p w14:paraId="70EA2126"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$ 5.412</w:t>
            </w:r>
          </w:p>
        </w:tc>
        <w:tc>
          <w:tcPr>
            <w:tcW w:w="1260" w:type="dxa"/>
            <w:tcBorders>
              <w:top w:val="nil"/>
              <w:left w:val="nil"/>
              <w:bottom w:val="single" w:sz="4" w:space="0" w:color="auto"/>
              <w:right w:val="single" w:sz="4" w:space="0" w:color="auto"/>
            </w:tcBorders>
            <w:shd w:val="clear" w:color="000000" w:fill="F2F2F2"/>
            <w:noWrap/>
            <w:vAlign w:val="center"/>
            <w:hideMark/>
          </w:tcPr>
          <w:p w14:paraId="6106A5B7"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$ 130.047.408</w:t>
            </w:r>
          </w:p>
        </w:tc>
        <w:tc>
          <w:tcPr>
            <w:tcW w:w="1920" w:type="dxa"/>
            <w:tcBorders>
              <w:top w:val="nil"/>
              <w:left w:val="nil"/>
              <w:bottom w:val="single" w:sz="4" w:space="0" w:color="auto"/>
              <w:right w:val="single" w:sz="4" w:space="0" w:color="auto"/>
            </w:tcBorders>
            <w:shd w:val="clear" w:color="000000" w:fill="F2F2F2"/>
            <w:vAlign w:val="center"/>
            <w:hideMark/>
          </w:tcPr>
          <w:p w14:paraId="57104182"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w:t>
            </w:r>
          </w:p>
        </w:tc>
      </w:tr>
      <w:tr w:rsidR="00D705A6" w:rsidRPr="002E0BB9" w14:paraId="50AC42B4" w14:textId="77777777" w:rsidTr="007D1249">
        <w:trPr>
          <w:trHeight w:val="4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1FFDC764"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147</w:t>
            </w:r>
          </w:p>
        </w:tc>
        <w:tc>
          <w:tcPr>
            <w:tcW w:w="560" w:type="dxa"/>
            <w:tcBorders>
              <w:top w:val="nil"/>
              <w:left w:val="nil"/>
              <w:bottom w:val="single" w:sz="4" w:space="0" w:color="auto"/>
              <w:right w:val="single" w:sz="4" w:space="0" w:color="auto"/>
            </w:tcBorders>
            <w:shd w:val="clear" w:color="000000" w:fill="F2F2F2"/>
            <w:noWrap/>
            <w:vAlign w:val="center"/>
            <w:hideMark/>
          </w:tcPr>
          <w:p w14:paraId="65D6FBC7"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22818</w:t>
            </w:r>
          </w:p>
        </w:tc>
        <w:tc>
          <w:tcPr>
            <w:tcW w:w="920" w:type="dxa"/>
            <w:tcBorders>
              <w:top w:val="nil"/>
              <w:left w:val="nil"/>
              <w:bottom w:val="single" w:sz="4" w:space="0" w:color="auto"/>
              <w:right w:val="single" w:sz="4" w:space="0" w:color="auto"/>
            </w:tcBorders>
            <w:shd w:val="clear" w:color="000000" w:fill="F2F2F2"/>
            <w:noWrap/>
            <w:vAlign w:val="center"/>
            <w:hideMark/>
          </w:tcPr>
          <w:p w14:paraId="0385E0D5"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900175830</w:t>
            </w:r>
          </w:p>
        </w:tc>
        <w:tc>
          <w:tcPr>
            <w:tcW w:w="2180" w:type="dxa"/>
            <w:tcBorders>
              <w:top w:val="nil"/>
              <w:left w:val="nil"/>
              <w:bottom w:val="single" w:sz="4" w:space="0" w:color="auto"/>
              <w:right w:val="single" w:sz="4" w:space="0" w:color="auto"/>
            </w:tcBorders>
            <w:shd w:val="clear" w:color="000000" w:fill="F2F2F2"/>
            <w:vAlign w:val="center"/>
            <w:hideMark/>
          </w:tcPr>
          <w:p w14:paraId="420EEF32"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xml:space="preserve">COMBUSTIBLES LÍQUIDOS DE COLOMBIA S.A. E.S.P. </w:t>
            </w:r>
          </w:p>
        </w:tc>
        <w:tc>
          <w:tcPr>
            <w:tcW w:w="1520" w:type="dxa"/>
            <w:tcBorders>
              <w:top w:val="nil"/>
              <w:left w:val="nil"/>
              <w:bottom w:val="single" w:sz="4" w:space="0" w:color="auto"/>
              <w:right w:val="single" w:sz="4" w:space="0" w:color="auto"/>
            </w:tcBorders>
            <w:shd w:val="clear" w:color="000000" w:fill="F2F2F2"/>
            <w:noWrap/>
            <w:vAlign w:val="center"/>
            <w:hideMark/>
          </w:tcPr>
          <w:p w14:paraId="51FB2442"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$ 0</w:t>
            </w:r>
          </w:p>
        </w:tc>
        <w:tc>
          <w:tcPr>
            <w:tcW w:w="1440" w:type="dxa"/>
            <w:tcBorders>
              <w:top w:val="nil"/>
              <w:left w:val="nil"/>
              <w:bottom w:val="single" w:sz="4" w:space="0" w:color="auto"/>
              <w:right w:val="single" w:sz="4" w:space="0" w:color="auto"/>
            </w:tcBorders>
            <w:shd w:val="clear" w:color="000000" w:fill="F2F2F2"/>
            <w:noWrap/>
            <w:vAlign w:val="center"/>
            <w:hideMark/>
          </w:tcPr>
          <w:p w14:paraId="2AAAE2AD"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$ 409.537.882</w:t>
            </w:r>
          </w:p>
        </w:tc>
        <w:tc>
          <w:tcPr>
            <w:tcW w:w="1460" w:type="dxa"/>
            <w:tcBorders>
              <w:top w:val="nil"/>
              <w:left w:val="nil"/>
              <w:bottom w:val="single" w:sz="4" w:space="0" w:color="auto"/>
              <w:right w:val="single" w:sz="4" w:space="0" w:color="auto"/>
            </w:tcBorders>
            <w:shd w:val="clear" w:color="000000" w:fill="F2F2F2"/>
            <w:noWrap/>
            <w:vAlign w:val="center"/>
            <w:hideMark/>
          </w:tcPr>
          <w:p w14:paraId="78C6D37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$ 409.537.882</w:t>
            </w:r>
          </w:p>
        </w:tc>
        <w:tc>
          <w:tcPr>
            <w:tcW w:w="1260" w:type="dxa"/>
            <w:tcBorders>
              <w:top w:val="nil"/>
              <w:left w:val="nil"/>
              <w:bottom w:val="single" w:sz="4" w:space="0" w:color="auto"/>
              <w:right w:val="single" w:sz="4" w:space="0" w:color="auto"/>
            </w:tcBorders>
            <w:shd w:val="clear" w:color="000000" w:fill="F2F2F2"/>
            <w:noWrap/>
            <w:vAlign w:val="center"/>
            <w:hideMark/>
          </w:tcPr>
          <w:p w14:paraId="7EACA85E"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$ 4.095.379</w:t>
            </w:r>
          </w:p>
        </w:tc>
        <w:tc>
          <w:tcPr>
            <w:tcW w:w="1120" w:type="dxa"/>
            <w:tcBorders>
              <w:top w:val="nil"/>
              <w:left w:val="nil"/>
              <w:bottom w:val="single" w:sz="4" w:space="0" w:color="auto"/>
              <w:right w:val="single" w:sz="4" w:space="0" w:color="auto"/>
            </w:tcBorders>
            <w:shd w:val="clear" w:color="000000" w:fill="F2F2F2"/>
            <w:noWrap/>
            <w:vAlign w:val="center"/>
            <w:hideMark/>
          </w:tcPr>
          <w:p w14:paraId="40C41A7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$ 170</w:t>
            </w:r>
          </w:p>
        </w:tc>
        <w:tc>
          <w:tcPr>
            <w:tcW w:w="1260" w:type="dxa"/>
            <w:tcBorders>
              <w:top w:val="nil"/>
              <w:left w:val="nil"/>
              <w:bottom w:val="single" w:sz="4" w:space="0" w:color="auto"/>
              <w:right w:val="single" w:sz="4" w:space="0" w:color="auto"/>
            </w:tcBorders>
            <w:shd w:val="clear" w:color="000000" w:fill="F2F2F2"/>
            <w:noWrap/>
            <w:vAlign w:val="center"/>
            <w:hideMark/>
          </w:tcPr>
          <w:p w14:paraId="3E37BB2B"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$ 4.095.549</w:t>
            </w:r>
          </w:p>
        </w:tc>
        <w:tc>
          <w:tcPr>
            <w:tcW w:w="1920" w:type="dxa"/>
            <w:tcBorders>
              <w:top w:val="nil"/>
              <w:left w:val="nil"/>
              <w:bottom w:val="single" w:sz="4" w:space="0" w:color="auto"/>
              <w:right w:val="single" w:sz="4" w:space="0" w:color="auto"/>
            </w:tcBorders>
            <w:shd w:val="clear" w:color="000000" w:fill="F2F2F2"/>
            <w:vAlign w:val="center"/>
            <w:hideMark/>
          </w:tcPr>
          <w:p w14:paraId="7B143117"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GAS LICUADO DEL PETROLEO</w:t>
            </w:r>
          </w:p>
        </w:tc>
      </w:tr>
      <w:tr w:rsidR="00D705A6" w:rsidRPr="002E0BB9" w14:paraId="4E617F24" w14:textId="77777777" w:rsidTr="007D1249">
        <w:trPr>
          <w:trHeight w:val="4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7B87DD43"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148</w:t>
            </w:r>
          </w:p>
        </w:tc>
        <w:tc>
          <w:tcPr>
            <w:tcW w:w="560" w:type="dxa"/>
            <w:tcBorders>
              <w:top w:val="nil"/>
              <w:left w:val="nil"/>
              <w:bottom w:val="single" w:sz="4" w:space="0" w:color="auto"/>
              <w:right w:val="single" w:sz="4" w:space="0" w:color="auto"/>
            </w:tcBorders>
            <w:shd w:val="clear" w:color="000000" w:fill="F2F2F2"/>
            <w:noWrap/>
            <w:vAlign w:val="center"/>
            <w:hideMark/>
          </w:tcPr>
          <w:p w14:paraId="2640466E"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26953</w:t>
            </w:r>
          </w:p>
        </w:tc>
        <w:tc>
          <w:tcPr>
            <w:tcW w:w="920" w:type="dxa"/>
            <w:tcBorders>
              <w:top w:val="nil"/>
              <w:left w:val="nil"/>
              <w:bottom w:val="single" w:sz="4" w:space="0" w:color="auto"/>
              <w:right w:val="single" w:sz="4" w:space="0" w:color="auto"/>
            </w:tcBorders>
            <w:shd w:val="clear" w:color="000000" w:fill="F2F2F2"/>
            <w:noWrap/>
            <w:vAlign w:val="center"/>
            <w:hideMark/>
          </w:tcPr>
          <w:p w14:paraId="0ADAC3CE"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900181508</w:t>
            </w:r>
          </w:p>
        </w:tc>
        <w:tc>
          <w:tcPr>
            <w:tcW w:w="2180" w:type="dxa"/>
            <w:tcBorders>
              <w:top w:val="nil"/>
              <w:left w:val="nil"/>
              <w:bottom w:val="single" w:sz="4" w:space="0" w:color="auto"/>
              <w:right w:val="single" w:sz="4" w:space="0" w:color="auto"/>
            </w:tcBorders>
            <w:shd w:val="clear" w:color="000000" w:fill="F2F2F2"/>
            <w:vAlign w:val="center"/>
            <w:hideMark/>
          </w:tcPr>
          <w:p w14:paraId="05966126" w14:textId="3E71BF21"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BIOGAS DONA JUANA S.A.S</w:t>
            </w:r>
            <w:r w:rsidR="00A425B8" w:rsidRPr="002E0BB9">
              <w:rPr>
                <w:rFonts w:ascii="Arial Narrow" w:hAnsi="Arial Narrow" w:cs="Arial"/>
                <w:spacing w:val="0"/>
                <w:sz w:val="16"/>
                <w:szCs w:val="16"/>
                <w:lang w:val="es-MX" w:eastAsia="es-MX"/>
              </w:rPr>
              <w:t>.</w:t>
            </w:r>
            <w:r w:rsidRPr="002E0BB9">
              <w:rPr>
                <w:rFonts w:ascii="Arial Narrow" w:hAnsi="Arial Narrow" w:cs="Arial"/>
                <w:spacing w:val="0"/>
                <w:sz w:val="16"/>
                <w:szCs w:val="16"/>
                <w:lang w:val="es-MX" w:eastAsia="es-MX"/>
              </w:rPr>
              <w:t xml:space="preserve"> E.S.P.</w:t>
            </w:r>
          </w:p>
        </w:tc>
        <w:tc>
          <w:tcPr>
            <w:tcW w:w="1520" w:type="dxa"/>
            <w:tcBorders>
              <w:top w:val="nil"/>
              <w:left w:val="nil"/>
              <w:bottom w:val="single" w:sz="4" w:space="0" w:color="auto"/>
              <w:right w:val="single" w:sz="4" w:space="0" w:color="auto"/>
            </w:tcBorders>
            <w:shd w:val="clear" w:color="000000" w:fill="F2F2F2"/>
            <w:noWrap/>
            <w:vAlign w:val="center"/>
            <w:hideMark/>
          </w:tcPr>
          <w:p w14:paraId="7519A1D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$ 39.599.000</w:t>
            </w:r>
          </w:p>
        </w:tc>
        <w:tc>
          <w:tcPr>
            <w:tcW w:w="1440" w:type="dxa"/>
            <w:tcBorders>
              <w:top w:val="nil"/>
              <w:left w:val="nil"/>
              <w:bottom w:val="single" w:sz="4" w:space="0" w:color="auto"/>
              <w:right w:val="single" w:sz="4" w:space="0" w:color="auto"/>
            </w:tcBorders>
            <w:shd w:val="clear" w:color="000000" w:fill="F2F2F2"/>
            <w:noWrap/>
            <w:vAlign w:val="center"/>
            <w:hideMark/>
          </w:tcPr>
          <w:p w14:paraId="7362369A"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$ 17.169</w:t>
            </w:r>
          </w:p>
        </w:tc>
        <w:tc>
          <w:tcPr>
            <w:tcW w:w="1460" w:type="dxa"/>
            <w:tcBorders>
              <w:top w:val="nil"/>
              <w:left w:val="nil"/>
              <w:bottom w:val="single" w:sz="4" w:space="0" w:color="auto"/>
              <w:right w:val="single" w:sz="4" w:space="0" w:color="auto"/>
            </w:tcBorders>
            <w:shd w:val="clear" w:color="000000" w:fill="F2F2F2"/>
            <w:noWrap/>
            <w:vAlign w:val="center"/>
            <w:hideMark/>
          </w:tcPr>
          <w:p w14:paraId="19D5A41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$ 39.616.169</w:t>
            </w:r>
          </w:p>
        </w:tc>
        <w:tc>
          <w:tcPr>
            <w:tcW w:w="1260" w:type="dxa"/>
            <w:tcBorders>
              <w:top w:val="nil"/>
              <w:left w:val="nil"/>
              <w:bottom w:val="single" w:sz="4" w:space="0" w:color="auto"/>
              <w:right w:val="single" w:sz="4" w:space="0" w:color="auto"/>
            </w:tcBorders>
            <w:shd w:val="clear" w:color="000000" w:fill="F2F2F2"/>
            <w:noWrap/>
            <w:vAlign w:val="center"/>
            <w:hideMark/>
          </w:tcPr>
          <w:p w14:paraId="3403C5DE"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$ 396.162</w:t>
            </w:r>
          </w:p>
        </w:tc>
        <w:tc>
          <w:tcPr>
            <w:tcW w:w="1120" w:type="dxa"/>
            <w:tcBorders>
              <w:top w:val="nil"/>
              <w:left w:val="nil"/>
              <w:bottom w:val="single" w:sz="4" w:space="0" w:color="auto"/>
              <w:right w:val="single" w:sz="4" w:space="0" w:color="auto"/>
            </w:tcBorders>
            <w:shd w:val="clear" w:color="000000" w:fill="F2F2F2"/>
            <w:noWrap/>
            <w:vAlign w:val="center"/>
            <w:hideMark/>
          </w:tcPr>
          <w:p w14:paraId="0FCA972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$ 16</w:t>
            </w:r>
          </w:p>
        </w:tc>
        <w:tc>
          <w:tcPr>
            <w:tcW w:w="1260" w:type="dxa"/>
            <w:tcBorders>
              <w:top w:val="nil"/>
              <w:left w:val="nil"/>
              <w:bottom w:val="single" w:sz="4" w:space="0" w:color="auto"/>
              <w:right w:val="single" w:sz="4" w:space="0" w:color="auto"/>
            </w:tcBorders>
            <w:shd w:val="clear" w:color="000000" w:fill="F2F2F2"/>
            <w:noWrap/>
            <w:vAlign w:val="center"/>
            <w:hideMark/>
          </w:tcPr>
          <w:p w14:paraId="6A14EA1C"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$ 396.178</w:t>
            </w:r>
          </w:p>
        </w:tc>
        <w:tc>
          <w:tcPr>
            <w:tcW w:w="1920" w:type="dxa"/>
            <w:tcBorders>
              <w:top w:val="nil"/>
              <w:left w:val="nil"/>
              <w:bottom w:val="single" w:sz="4" w:space="0" w:color="auto"/>
              <w:right w:val="single" w:sz="4" w:space="0" w:color="auto"/>
            </w:tcBorders>
            <w:shd w:val="clear" w:color="000000" w:fill="F2F2F2"/>
            <w:vAlign w:val="center"/>
            <w:hideMark/>
          </w:tcPr>
          <w:p w14:paraId="3F66308E"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w:t>
            </w:r>
          </w:p>
        </w:tc>
      </w:tr>
      <w:tr w:rsidR="00D705A6" w:rsidRPr="002E0BB9" w14:paraId="28921311" w14:textId="77777777" w:rsidTr="007D1249">
        <w:trPr>
          <w:trHeight w:val="4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0D5773D4"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lastRenderedPageBreak/>
              <w:t>149</w:t>
            </w:r>
          </w:p>
        </w:tc>
        <w:tc>
          <w:tcPr>
            <w:tcW w:w="560" w:type="dxa"/>
            <w:tcBorders>
              <w:top w:val="nil"/>
              <w:left w:val="nil"/>
              <w:bottom w:val="single" w:sz="4" w:space="0" w:color="auto"/>
              <w:right w:val="single" w:sz="4" w:space="0" w:color="auto"/>
            </w:tcBorders>
            <w:shd w:val="clear" w:color="000000" w:fill="F2F2F2"/>
            <w:noWrap/>
            <w:vAlign w:val="center"/>
            <w:hideMark/>
          </w:tcPr>
          <w:p w14:paraId="6F034722"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22140</w:t>
            </w:r>
          </w:p>
        </w:tc>
        <w:tc>
          <w:tcPr>
            <w:tcW w:w="920" w:type="dxa"/>
            <w:tcBorders>
              <w:top w:val="nil"/>
              <w:left w:val="nil"/>
              <w:bottom w:val="single" w:sz="4" w:space="0" w:color="auto"/>
              <w:right w:val="single" w:sz="4" w:space="0" w:color="auto"/>
            </w:tcBorders>
            <w:shd w:val="clear" w:color="000000" w:fill="F2F2F2"/>
            <w:noWrap/>
            <w:vAlign w:val="center"/>
            <w:hideMark/>
          </w:tcPr>
          <w:p w14:paraId="6BCCC94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900181771</w:t>
            </w:r>
          </w:p>
        </w:tc>
        <w:tc>
          <w:tcPr>
            <w:tcW w:w="2180" w:type="dxa"/>
            <w:tcBorders>
              <w:top w:val="nil"/>
              <w:left w:val="nil"/>
              <w:bottom w:val="single" w:sz="4" w:space="0" w:color="auto"/>
              <w:right w:val="single" w:sz="4" w:space="0" w:color="auto"/>
            </w:tcBorders>
            <w:shd w:val="clear" w:color="000000" w:fill="F2F2F2"/>
            <w:vAlign w:val="center"/>
            <w:hideMark/>
          </w:tcPr>
          <w:p w14:paraId="2A519DA7" w14:textId="15B057B3"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RENOVABLE DE COLOMBIA S.A. E.S</w:t>
            </w:r>
            <w:r w:rsidR="00A425B8" w:rsidRPr="002E0BB9">
              <w:rPr>
                <w:rFonts w:ascii="Arial Narrow" w:hAnsi="Arial Narrow" w:cs="Arial"/>
                <w:spacing w:val="0"/>
                <w:sz w:val="16"/>
                <w:szCs w:val="16"/>
                <w:lang w:val="es-MX" w:eastAsia="es-MX"/>
              </w:rPr>
              <w:t>.</w:t>
            </w:r>
            <w:r w:rsidRPr="002E0BB9">
              <w:rPr>
                <w:rFonts w:ascii="Arial Narrow" w:hAnsi="Arial Narrow" w:cs="Arial"/>
                <w:spacing w:val="0"/>
                <w:sz w:val="16"/>
                <w:szCs w:val="16"/>
                <w:lang w:val="es-MX" w:eastAsia="es-MX"/>
              </w:rPr>
              <w:t>P</w:t>
            </w:r>
            <w:r w:rsidR="00A425B8" w:rsidRPr="002E0BB9">
              <w:rPr>
                <w:rFonts w:ascii="Arial Narrow" w:hAnsi="Arial Narrow" w:cs="Arial"/>
                <w:spacing w:val="0"/>
                <w:sz w:val="16"/>
                <w:szCs w:val="16"/>
                <w:lang w:val="es-MX" w:eastAsia="es-MX"/>
              </w:rPr>
              <w:t>.</w:t>
            </w:r>
          </w:p>
        </w:tc>
        <w:tc>
          <w:tcPr>
            <w:tcW w:w="1520" w:type="dxa"/>
            <w:tcBorders>
              <w:top w:val="nil"/>
              <w:left w:val="nil"/>
              <w:bottom w:val="single" w:sz="4" w:space="0" w:color="auto"/>
              <w:right w:val="single" w:sz="4" w:space="0" w:color="auto"/>
            </w:tcBorders>
            <w:shd w:val="clear" w:color="000000" w:fill="F2F2F2"/>
            <w:noWrap/>
            <w:vAlign w:val="center"/>
            <w:hideMark/>
          </w:tcPr>
          <w:p w14:paraId="1819DDD2"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$ 250.904.000</w:t>
            </w:r>
          </w:p>
        </w:tc>
        <w:tc>
          <w:tcPr>
            <w:tcW w:w="1440" w:type="dxa"/>
            <w:tcBorders>
              <w:top w:val="nil"/>
              <w:left w:val="nil"/>
              <w:bottom w:val="single" w:sz="4" w:space="0" w:color="auto"/>
              <w:right w:val="single" w:sz="4" w:space="0" w:color="auto"/>
            </w:tcBorders>
            <w:shd w:val="clear" w:color="000000" w:fill="F2F2F2"/>
            <w:noWrap/>
            <w:vAlign w:val="center"/>
            <w:hideMark/>
          </w:tcPr>
          <w:p w14:paraId="335F861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$ 0</w:t>
            </w:r>
          </w:p>
        </w:tc>
        <w:tc>
          <w:tcPr>
            <w:tcW w:w="1460" w:type="dxa"/>
            <w:tcBorders>
              <w:top w:val="nil"/>
              <w:left w:val="nil"/>
              <w:bottom w:val="single" w:sz="4" w:space="0" w:color="auto"/>
              <w:right w:val="single" w:sz="4" w:space="0" w:color="auto"/>
            </w:tcBorders>
            <w:shd w:val="clear" w:color="000000" w:fill="F2F2F2"/>
            <w:noWrap/>
            <w:vAlign w:val="center"/>
            <w:hideMark/>
          </w:tcPr>
          <w:p w14:paraId="72A756F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$ 250.904.000</w:t>
            </w:r>
          </w:p>
        </w:tc>
        <w:tc>
          <w:tcPr>
            <w:tcW w:w="1260" w:type="dxa"/>
            <w:tcBorders>
              <w:top w:val="nil"/>
              <w:left w:val="nil"/>
              <w:bottom w:val="single" w:sz="4" w:space="0" w:color="auto"/>
              <w:right w:val="single" w:sz="4" w:space="0" w:color="auto"/>
            </w:tcBorders>
            <w:shd w:val="clear" w:color="000000" w:fill="F2F2F2"/>
            <w:noWrap/>
            <w:vAlign w:val="center"/>
            <w:hideMark/>
          </w:tcPr>
          <w:p w14:paraId="18C17B8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$ 2.509.040</w:t>
            </w:r>
          </w:p>
        </w:tc>
        <w:tc>
          <w:tcPr>
            <w:tcW w:w="1120" w:type="dxa"/>
            <w:tcBorders>
              <w:top w:val="nil"/>
              <w:left w:val="nil"/>
              <w:bottom w:val="single" w:sz="4" w:space="0" w:color="auto"/>
              <w:right w:val="single" w:sz="4" w:space="0" w:color="auto"/>
            </w:tcBorders>
            <w:shd w:val="clear" w:color="000000" w:fill="F2F2F2"/>
            <w:noWrap/>
            <w:vAlign w:val="center"/>
            <w:hideMark/>
          </w:tcPr>
          <w:p w14:paraId="51AC024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$ 104</w:t>
            </w:r>
          </w:p>
        </w:tc>
        <w:tc>
          <w:tcPr>
            <w:tcW w:w="1260" w:type="dxa"/>
            <w:tcBorders>
              <w:top w:val="nil"/>
              <w:left w:val="nil"/>
              <w:bottom w:val="single" w:sz="4" w:space="0" w:color="auto"/>
              <w:right w:val="single" w:sz="4" w:space="0" w:color="auto"/>
            </w:tcBorders>
            <w:shd w:val="clear" w:color="000000" w:fill="F2F2F2"/>
            <w:noWrap/>
            <w:vAlign w:val="center"/>
            <w:hideMark/>
          </w:tcPr>
          <w:p w14:paraId="4EDFD4F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$ 2.509.144</w:t>
            </w:r>
          </w:p>
        </w:tc>
        <w:tc>
          <w:tcPr>
            <w:tcW w:w="1920" w:type="dxa"/>
            <w:tcBorders>
              <w:top w:val="nil"/>
              <w:left w:val="nil"/>
              <w:bottom w:val="single" w:sz="4" w:space="0" w:color="auto"/>
              <w:right w:val="single" w:sz="4" w:space="0" w:color="auto"/>
            </w:tcBorders>
            <w:shd w:val="clear" w:color="000000" w:fill="F2F2F2"/>
            <w:vAlign w:val="center"/>
            <w:hideMark/>
          </w:tcPr>
          <w:p w14:paraId="7BF95DD8"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w:t>
            </w:r>
          </w:p>
        </w:tc>
      </w:tr>
      <w:tr w:rsidR="00D705A6" w:rsidRPr="002E0BB9" w14:paraId="037B5DC9" w14:textId="77777777" w:rsidTr="007D1249">
        <w:trPr>
          <w:trHeight w:val="2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06F246BA"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150</w:t>
            </w:r>
          </w:p>
        </w:tc>
        <w:tc>
          <w:tcPr>
            <w:tcW w:w="560" w:type="dxa"/>
            <w:tcBorders>
              <w:top w:val="nil"/>
              <w:left w:val="nil"/>
              <w:bottom w:val="single" w:sz="4" w:space="0" w:color="auto"/>
              <w:right w:val="single" w:sz="4" w:space="0" w:color="auto"/>
            </w:tcBorders>
            <w:shd w:val="clear" w:color="000000" w:fill="F2F2F2"/>
            <w:noWrap/>
            <w:vAlign w:val="center"/>
            <w:hideMark/>
          </w:tcPr>
          <w:p w14:paraId="178FEEFE"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23095</w:t>
            </w:r>
          </w:p>
        </w:tc>
        <w:tc>
          <w:tcPr>
            <w:tcW w:w="920" w:type="dxa"/>
            <w:tcBorders>
              <w:top w:val="nil"/>
              <w:left w:val="nil"/>
              <w:bottom w:val="single" w:sz="4" w:space="0" w:color="auto"/>
              <w:right w:val="single" w:sz="4" w:space="0" w:color="auto"/>
            </w:tcBorders>
            <w:shd w:val="clear" w:color="000000" w:fill="F2F2F2"/>
            <w:noWrap/>
            <w:vAlign w:val="center"/>
            <w:hideMark/>
          </w:tcPr>
          <w:p w14:paraId="07D03A3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900185106</w:t>
            </w:r>
          </w:p>
        </w:tc>
        <w:tc>
          <w:tcPr>
            <w:tcW w:w="2180" w:type="dxa"/>
            <w:tcBorders>
              <w:top w:val="nil"/>
              <w:left w:val="nil"/>
              <w:bottom w:val="single" w:sz="4" w:space="0" w:color="auto"/>
              <w:right w:val="single" w:sz="4" w:space="0" w:color="auto"/>
            </w:tcBorders>
            <w:shd w:val="clear" w:color="000000" w:fill="F2F2F2"/>
            <w:vAlign w:val="center"/>
            <w:hideMark/>
          </w:tcPr>
          <w:p w14:paraId="5A558BA5" w14:textId="292123AD"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CARUQUIA S.A.S E.S.P</w:t>
            </w:r>
            <w:r w:rsidR="00A425B8" w:rsidRPr="002E0BB9">
              <w:rPr>
                <w:rFonts w:ascii="Arial Narrow" w:hAnsi="Arial Narrow" w:cs="Arial"/>
                <w:spacing w:val="0"/>
                <w:sz w:val="16"/>
                <w:szCs w:val="16"/>
                <w:lang w:val="es-MX" w:eastAsia="es-MX"/>
              </w:rPr>
              <w:t>.</w:t>
            </w:r>
          </w:p>
        </w:tc>
        <w:tc>
          <w:tcPr>
            <w:tcW w:w="1520" w:type="dxa"/>
            <w:tcBorders>
              <w:top w:val="nil"/>
              <w:left w:val="nil"/>
              <w:bottom w:val="single" w:sz="4" w:space="0" w:color="auto"/>
              <w:right w:val="single" w:sz="4" w:space="0" w:color="auto"/>
            </w:tcBorders>
            <w:shd w:val="clear" w:color="000000" w:fill="F2F2F2"/>
            <w:noWrap/>
            <w:vAlign w:val="center"/>
            <w:hideMark/>
          </w:tcPr>
          <w:p w14:paraId="1EDB1FF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$ 981.731.000</w:t>
            </w:r>
          </w:p>
        </w:tc>
        <w:tc>
          <w:tcPr>
            <w:tcW w:w="1440" w:type="dxa"/>
            <w:tcBorders>
              <w:top w:val="nil"/>
              <w:left w:val="nil"/>
              <w:bottom w:val="single" w:sz="4" w:space="0" w:color="auto"/>
              <w:right w:val="single" w:sz="4" w:space="0" w:color="auto"/>
            </w:tcBorders>
            <w:shd w:val="clear" w:color="000000" w:fill="F2F2F2"/>
            <w:noWrap/>
            <w:vAlign w:val="center"/>
            <w:hideMark/>
          </w:tcPr>
          <w:p w14:paraId="57663D91"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$ 0</w:t>
            </w:r>
          </w:p>
        </w:tc>
        <w:tc>
          <w:tcPr>
            <w:tcW w:w="1460" w:type="dxa"/>
            <w:tcBorders>
              <w:top w:val="nil"/>
              <w:left w:val="nil"/>
              <w:bottom w:val="single" w:sz="4" w:space="0" w:color="auto"/>
              <w:right w:val="single" w:sz="4" w:space="0" w:color="auto"/>
            </w:tcBorders>
            <w:shd w:val="clear" w:color="000000" w:fill="F2F2F2"/>
            <w:noWrap/>
            <w:vAlign w:val="center"/>
            <w:hideMark/>
          </w:tcPr>
          <w:p w14:paraId="0854C0AA"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$ 981.731.000</w:t>
            </w:r>
          </w:p>
        </w:tc>
        <w:tc>
          <w:tcPr>
            <w:tcW w:w="1260" w:type="dxa"/>
            <w:tcBorders>
              <w:top w:val="nil"/>
              <w:left w:val="nil"/>
              <w:bottom w:val="single" w:sz="4" w:space="0" w:color="auto"/>
              <w:right w:val="single" w:sz="4" w:space="0" w:color="auto"/>
            </w:tcBorders>
            <w:shd w:val="clear" w:color="000000" w:fill="F2F2F2"/>
            <w:noWrap/>
            <w:vAlign w:val="center"/>
            <w:hideMark/>
          </w:tcPr>
          <w:p w14:paraId="366FFD32"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$ 9.817.310</w:t>
            </w:r>
          </w:p>
        </w:tc>
        <w:tc>
          <w:tcPr>
            <w:tcW w:w="1120" w:type="dxa"/>
            <w:tcBorders>
              <w:top w:val="nil"/>
              <w:left w:val="nil"/>
              <w:bottom w:val="single" w:sz="4" w:space="0" w:color="auto"/>
              <w:right w:val="single" w:sz="4" w:space="0" w:color="auto"/>
            </w:tcBorders>
            <w:shd w:val="clear" w:color="000000" w:fill="F2F2F2"/>
            <w:noWrap/>
            <w:vAlign w:val="center"/>
            <w:hideMark/>
          </w:tcPr>
          <w:p w14:paraId="01512CED"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$ 409</w:t>
            </w:r>
          </w:p>
        </w:tc>
        <w:tc>
          <w:tcPr>
            <w:tcW w:w="1260" w:type="dxa"/>
            <w:tcBorders>
              <w:top w:val="nil"/>
              <w:left w:val="nil"/>
              <w:bottom w:val="single" w:sz="4" w:space="0" w:color="auto"/>
              <w:right w:val="single" w:sz="4" w:space="0" w:color="auto"/>
            </w:tcBorders>
            <w:shd w:val="clear" w:color="000000" w:fill="F2F2F2"/>
            <w:noWrap/>
            <w:vAlign w:val="center"/>
            <w:hideMark/>
          </w:tcPr>
          <w:p w14:paraId="223537B2"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$ 9.817.719</w:t>
            </w:r>
          </w:p>
        </w:tc>
        <w:tc>
          <w:tcPr>
            <w:tcW w:w="1920" w:type="dxa"/>
            <w:tcBorders>
              <w:top w:val="nil"/>
              <w:left w:val="nil"/>
              <w:bottom w:val="single" w:sz="4" w:space="0" w:color="auto"/>
              <w:right w:val="single" w:sz="4" w:space="0" w:color="auto"/>
            </w:tcBorders>
            <w:shd w:val="clear" w:color="000000" w:fill="F2F2F2"/>
            <w:vAlign w:val="center"/>
            <w:hideMark/>
          </w:tcPr>
          <w:p w14:paraId="6EA678F6"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w:t>
            </w:r>
          </w:p>
        </w:tc>
      </w:tr>
      <w:tr w:rsidR="00D705A6" w:rsidRPr="002E0BB9" w14:paraId="4EE80D55" w14:textId="77777777" w:rsidTr="007D1249">
        <w:trPr>
          <w:trHeight w:val="4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2EC98CD0"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151</w:t>
            </w:r>
          </w:p>
        </w:tc>
        <w:tc>
          <w:tcPr>
            <w:tcW w:w="560" w:type="dxa"/>
            <w:tcBorders>
              <w:top w:val="nil"/>
              <w:left w:val="nil"/>
              <w:bottom w:val="single" w:sz="4" w:space="0" w:color="auto"/>
              <w:right w:val="single" w:sz="4" w:space="0" w:color="auto"/>
            </w:tcBorders>
            <w:shd w:val="clear" w:color="000000" w:fill="F2F2F2"/>
            <w:noWrap/>
            <w:vAlign w:val="center"/>
            <w:hideMark/>
          </w:tcPr>
          <w:p w14:paraId="052BC22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43597</w:t>
            </w:r>
          </w:p>
        </w:tc>
        <w:tc>
          <w:tcPr>
            <w:tcW w:w="920" w:type="dxa"/>
            <w:tcBorders>
              <w:top w:val="nil"/>
              <w:left w:val="nil"/>
              <w:bottom w:val="single" w:sz="4" w:space="0" w:color="auto"/>
              <w:right w:val="single" w:sz="4" w:space="0" w:color="auto"/>
            </w:tcBorders>
            <w:shd w:val="clear" w:color="000000" w:fill="F2F2F2"/>
            <w:noWrap/>
            <w:vAlign w:val="center"/>
            <w:hideMark/>
          </w:tcPr>
          <w:p w14:paraId="7AC4540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900190893</w:t>
            </w:r>
          </w:p>
        </w:tc>
        <w:tc>
          <w:tcPr>
            <w:tcW w:w="2180" w:type="dxa"/>
            <w:tcBorders>
              <w:top w:val="nil"/>
              <w:left w:val="nil"/>
              <w:bottom w:val="single" w:sz="4" w:space="0" w:color="auto"/>
              <w:right w:val="single" w:sz="4" w:space="0" w:color="auto"/>
            </w:tcBorders>
            <w:shd w:val="clear" w:color="000000" w:fill="F2F2F2"/>
            <w:vAlign w:val="center"/>
            <w:hideMark/>
          </w:tcPr>
          <w:p w14:paraId="58D81556"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DEL SUROESTE S.A. E.S.P.</w:t>
            </w:r>
          </w:p>
        </w:tc>
        <w:tc>
          <w:tcPr>
            <w:tcW w:w="1520" w:type="dxa"/>
            <w:tcBorders>
              <w:top w:val="nil"/>
              <w:left w:val="nil"/>
              <w:bottom w:val="single" w:sz="4" w:space="0" w:color="auto"/>
              <w:right w:val="single" w:sz="4" w:space="0" w:color="auto"/>
            </w:tcBorders>
            <w:shd w:val="clear" w:color="000000" w:fill="F2F2F2"/>
            <w:noWrap/>
            <w:vAlign w:val="center"/>
            <w:hideMark/>
          </w:tcPr>
          <w:p w14:paraId="74B7760E"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$ 472.465.000</w:t>
            </w:r>
          </w:p>
        </w:tc>
        <w:tc>
          <w:tcPr>
            <w:tcW w:w="1440" w:type="dxa"/>
            <w:tcBorders>
              <w:top w:val="nil"/>
              <w:left w:val="nil"/>
              <w:bottom w:val="single" w:sz="4" w:space="0" w:color="auto"/>
              <w:right w:val="single" w:sz="4" w:space="0" w:color="auto"/>
            </w:tcBorders>
            <w:shd w:val="clear" w:color="000000" w:fill="F2F2F2"/>
            <w:noWrap/>
            <w:vAlign w:val="center"/>
            <w:hideMark/>
          </w:tcPr>
          <w:p w14:paraId="3D38F3EB"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$ 0</w:t>
            </w:r>
          </w:p>
        </w:tc>
        <w:tc>
          <w:tcPr>
            <w:tcW w:w="1460" w:type="dxa"/>
            <w:tcBorders>
              <w:top w:val="nil"/>
              <w:left w:val="nil"/>
              <w:bottom w:val="single" w:sz="4" w:space="0" w:color="auto"/>
              <w:right w:val="single" w:sz="4" w:space="0" w:color="auto"/>
            </w:tcBorders>
            <w:shd w:val="clear" w:color="000000" w:fill="F2F2F2"/>
            <w:noWrap/>
            <w:vAlign w:val="center"/>
            <w:hideMark/>
          </w:tcPr>
          <w:p w14:paraId="4CF24986"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$ 472.465.000</w:t>
            </w:r>
          </w:p>
        </w:tc>
        <w:tc>
          <w:tcPr>
            <w:tcW w:w="1260" w:type="dxa"/>
            <w:tcBorders>
              <w:top w:val="nil"/>
              <w:left w:val="nil"/>
              <w:bottom w:val="single" w:sz="4" w:space="0" w:color="auto"/>
              <w:right w:val="single" w:sz="4" w:space="0" w:color="auto"/>
            </w:tcBorders>
            <w:shd w:val="clear" w:color="000000" w:fill="F2F2F2"/>
            <w:noWrap/>
            <w:vAlign w:val="center"/>
            <w:hideMark/>
          </w:tcPr>
          <w:p w14:paraId="05FB7AA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$ 4.724.650</w:t>
            </w:r>
          </w:p>
        </w:tc>
        <w:tc>
          <w:tcPr>
            <w:tcW w:w="1120" w:type="dxa"/>
            <w:tcBorders>
              <w:top w:val="nil"/>
              <w:left w:val="nil"/>
              <w:bottom w:val="single" w:sz="4" w:space="0" w:color="auto"/>
              <w:right w:val="single" w:sz="4" w:space="0" w:color="auto"/>
            </w:tcBorders>
            <w:shd w:val="clear" w:color="000000" w:fill="F2F2F2"/>
            <w:noWrap/>
            <w:vAlign w:val="center"/>
            <w:hideMark/>
          </w:tcPr>
          <w:p w14:paraId="1B9C9AB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$ 197</w:t>
            </w:r>
          </w:p>
        </w:tc>
        <w:tc>
          <w:tcPr>
            <w:tcW w:w="1260" w:type="dxa"/>
            <w:tcBorders>
              <w:top w:val="nil"/>
              <w:left w:val="nil"/>
              <w:bottom w:val="single" w:sz="4" w:space="0" w:color="auto"/>
              <w:right w:val="single" w:sz="4" w:space="0" w:color="auto"/>
            </w:tcBorders>
            <w:shd w:val="clear" w:color="000000" w:fill="F2F2F2"/>
            <w:noWrap/>
            <w:vAlign w:val="center"/>
            <w:hideMark/>
          </w:tcPr>
          <w:p w14:paraId="61E7BCE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$ 4.724.847</w:t>
            </w:r>
          </w:p>
        </w:tc>
        <w:tc>
          <w:tcPr>
            <w:tcW w:w="1920" w:type="dxa"/>
            <w:tcBorders>
              <w:top w:val="nil"/>
              <w:left w:val="nil"/>
              <w:bottom w:val="single" w:sz="4" w:space="0" w:color="auto"/>
              <w:right w:val="single" w:sz="4" w:space="0" w:color="auto"/>
            </w:tcBorders>
            <w:shd w:val="clear" w:color="000000" w:fill="F2F2F2"/>
            <w:vAlign w:val="center"/>
            <w:hideMark/>
          </w:tcPr>
          <w:p w14:paraId="12472877"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w:t>
            </w:r>
          </w:p>
        </w:tc>
      </w:tr>
      <w:tr w:rsidR="00D705A6" w:rsidRPr="002E0BB9" w14:paraId="214DBEA5" w14:textId="77777777" w:rsidTr="007D1249">
        <w:trPr>
          <w:trHeight w:val="2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3754673F"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152</w:t>
            </w:r>
          </w:p>
        </w:tc>
        <w:tc>
          <w:tcPr>
            <w:tcW w:w="560" w:type="dxa"/>
            <w:tcBorders>
              <w:top w:val="nil"/>
              <w:left w:val="nil"/>
              <w:bottom w:val="single" w:sz="4" w:space="0" w:color="auto"/>
              <w:right w:val="single" w:sz="4" w:space="0" w:color="auto"/>
            </w:tcBorders>
            <w:shd w:val="clear" w:color="000000" w:fill="F2F2F2"/>
            <w:noWrap/>
            <w:vAlign w:val="center"/>
            <w:hideMark/>
          </w:tcPr>
          <w:p w14:paraId="3C09AEE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26035</w:t>
            </w:r>
          </w:p>
        </w:tc>
        <w:tc>
          <w:tcPr>
            <w:tcW w:w="920" w:type="dxa"/>
            <w:tcBorders>
              <w:top w:val="nil"/>
              <w:left w:val="nil"/>
              <w:bottom w:val="single" w:sz="4" w:space="0" w:color="auto"/>
              <w:right w:val="single" w:sz="4" w:space="0" w:color="auto"/>
            </w:tcBorders>
            <w:shd w:val="clear" w:color="000000" w:fill="F2F2F2"/>
            <w:noWrap/>
            <w:vAlign w:val="center"/>
            <w:hideMark/>
          </w:tcPr>
          <w:p w14:paraId="5A87DE02"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900197640</w:t>
            </w:r>
          </w:p>
        </w:tc>
        <w:tc>
          <w:tcPr>
            <w:tcW w:w="2180" w:type="dxa"/>
            <w:tcBorders>
              <w:top w:val="nil"/>
              <w:left w:val="nil"/>
              <w:bottom w:val="single" w:sz="4" w:space="0" w:color="auto"/>
              <w:right w:val="single" w:sz="4" w:space="0" w:color="auto"/>
            </w:tcBorders>
            <w:shd w:val="clear" w:color="000000" w:fill="F2F2F2"/>
            <w:vAlign w:val="center"/>
            <w:hideMark/>
          </w:tcPr>
          <w:p w14:paraId="295CE9DD"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HEGA SA ESP</w:t>
            </w:r>
          </w:p>
        </w:tc>
        <w:tc>
          <w:tcPr>
            <w:tcW w:w="1520" w:type="dxa"/>
            <w:tcBorders>
              <w:top w:val="nil"/>
              <w:left w:val="nil"/>
              <w:bottom w:val="single" w:sz="4" w:space="0" w:color="auto"/>
              <w:right w:val="single" w:sz="4" w:space="0" w:color="auto"/>
            </w:tcBorders>
            <w:shd w:val="clear" w:color="000000" w:fill="F2F2F2"/>
            <w:noWrap/>
            <w:vAlign w:val="center"/>
            <w:hideMark/>
          </w:tcPr>
          <w:p w14:paraId="6C8495C7"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$ 71.400.000</w:t>
            </w:r>
          </w:p>
        </w:tc>
        <w:tc>
          <w:tcPr>
            <w:tcW w:w="1440" w:type="dxa"/>
            <w:tcBorders>
              <w:top w:val="nil"/>
              <w:left w:val="nil"/>
              <w:bottom w:val="single" w:sz="4" w:space="0" w:color="auto"/>
              <w:right w:val="single" w:sz="4" w:space="0" w:color="auto"/>
            </w:tcBorders>
            <w:shd w:val="clear" w:color="000000" w:fill="F2F2F2"/>
            <w:noWrap/>
            <w:vAlign w:val="center"/>
            <w:hideMark/>
          </w:tcPr>
          <w:p w14:paraId="3572F2F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$ 9.568.346</w:t>
            </w:r>
          </w:p>
        </w:tc>
        <w:tc>
          <w:tcPr>
            <w:tcW w:w="1460" w:type="dxa"/>
            <w:tcBorders>
              <w:top w:val="nil"/>
              <w:left w:val="nil"/>
              <w:bottom w:val="single" w:sz="4" w:space="0" w:color="auto"/>
              <w:right w:val="single" w:sz="4" w:space="0" w:color="auto"/>
            </w:tcBorders>
            <w:shd w:val="clear" w:color="000000" w:fill="F2F2F2"/>
            <w:noWrap/>
            <w:vAlign w:val="center"/>
            <w:hideMark/>
          </w:tcPr>
          <w:p w14:paraId="15E001B7"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$ 80.968.346</w:t>
            </w:r>
          </w:p>
        </w:tc>
        <w:tc>
          <w:tcPr>
            <w:tcW w:w="1260" w:type="dxa"/>
            <w:tcBorders>
              <w:top w:val="nil"/>
              <w:left w:val="nil"/>
              <w:bottom w:val="single" w:sz="4" w:space="0" w:color="auto"/>
              <w:right w:val="single" w:sz="4" w:space="0" w:color="auto"/>
            </w:tcBorders>
            <w:shd w:val="clear" w:color="000000" w:fill="F2F2F2"/>
            <w:noWrap/>
            <w:vAlign w:val="center"/>
            <w:hideMark/>
          </w:tcPr>
          <w:p w14:paraId="4DAE995B"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$ 809.683</w:t>
            </w:r>
          </w:p>
        </w:tc>
        <w:tc>
          <w:tcPr>
            <w:tcW w:w="1120" w:type="dxa"/>
            <w:tcBorders>
              <w:top w:val="nil"/>
              <w:left w:val="nil"/>
              <w:bottom w:val="single" w:sz="4" w:space="0" w:color="auto"/>
              <w:right w:val="single" w:sz="4" w:space="0" w:color="auto"/>
            </w:tcBorders>
            <w:shd w:val="clear" w:color="000000" w:fill="F2F2F2"/>
            <w:noWrap/>
            <w:vAlign w:val="center"/>
            <w:hideMark/>
          </w:tcPr>
          <w:p w14:paraId="3E3E03A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$ 34</w:t>
            </w:r>
          </w:p>
        </w:tc>
        <w:tc>
          <w:tcPr>
            <w:tcW w:w="1260" w:type="dxa"/>
            <w:tcBorders>
              <w:top w:val="nil"/>
              <w:left w:val="nil"/>
              <w:bottom w:val="single" w:sz="4" w:space="0" w:color="auto"/>
              <w:right w:val="single" w:sz="4" w:space="0" w:color="auto"/>
            </w:tcBorders>
            <w:shd w:val="clear" w:color="000000" w:fill="F2F2F2"/>
            <w:noWrap/>
            <w:vAlign w:val="center"/>
            <w:hideMark/>
          </w:tcPr>
          <w:p w14:paraId="6C1F4ECC"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$ 809.717</w:t>
            </w:r>
          </w:p>
        </w:tc>
        <w:tc>
          <w:tcPr>
            <w:tcW w:w="1920" w:type="dxa"/>
            <w:tcBorders>
              <w:top w:val="nil"/>
              <w:left w:val="nil"/>
              <w:bottom w:val="single" w:sz="4" w:space="0" w:color="auto"/>
              <w:right w:val="single" w:sz="4" w:space="0" w:color="auto"/>
            </w:tcBorders>
            <w:shd w:val="clear" w:color="000000" w:fill="F2F2F2"/>
            <w:vAlign w:val="center"/>
            <w:hideMark/>
          </w:tcPr>
          <w:p w14:paraId="081ED13D"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GAS POR REDES</w:t>
            </w:r>
          </w:p>
        </w:tc>
      </w:tr>
      <w:tr w:rsidR="00D705A6" w:rsidRPr="002E0BB9" w14:paraId="72D63630" w14:textId="77777777" w:rsidTr="007D1249">
        <w:trPr>
          <w:trHeight w:val="6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3E977D3C"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153</w:t>
            </w:r>
          </w:p>
        </w:tc>
        <w:tc>
          <w:tcPr>
            <w:tcW w:w="560" w:type="dxa"/>
            <w:tcBorders>
              <w:top w:val="nil"/>
              <w:left w:val="nil"/>
              <w:bottom w:val="single" w:sz="4" w:space="0" w:color="auto"/>
              <w:right w:val="single" w:sz="4" w:space="0" w:color="auto"/>
            </w:tcBorders>
            <w:shd w:val="clear" w:color="000000" w:fill="F2F2F2"/>
            <w:noWrap/>
            <w:vAlign w:val="center"/>
            <w:hideMark/>
          </w:tcPr>
          <w:p w14:paraId="54AC309A"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54406</w:t>
            </w:r>
          </w:p>
        </w:tc>
        <w:tc>
          <w:tcPr>
            <w:tcW w:w="920" w:type="dxa"/>
            <w:tcBorders>
              <w:top w:val="nil"/>
              <w:left w:val="nil"/>
              <w:bottom w:val="single" w:sz="4" w:space="0" w:color="auto"/>
              <w:right w:val="single" w:sz="4" w:space="0" w:color="auto"/>
            </w:tcBorders>
            <w:shd w:val="clear" w:color="000000" w:fill="F2F2F2"/>
            <w:noWrap/>
            <w:vAlign w:val="center"/>
            <w:hideMark/>
          </w:tcPr>
          <w:p w14:paraId="6CD15A8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900206503</w:t>
            </w:r>
          </w:p>
        </w:tc>
        <w:tc>
          <w:tcPr>
            <w:tcW w:w="2180" w:type="dxa"/>
            <w:tcBorders>
              <w:top w:val="nil"/>
              <w:left w:val="nil"/>
              <w:bottom w:val="single" w:sz="4" w:space="0" w:color="auto"/>
              <w:right w:val="single" w:sz="4" w:space="0" w:color="auto"/>
            </w:tcBorders>
            <w:shd w:val="clear" w:color="000000" w:fill="F2F2F2"/>
            <w:vAlign w:val="center"/>
            <w:hideMark/>
          </w:tcPr>
          <w:p w14:paraId="368C1F41" w14:textId="77627FC8"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xml:space="preserve">Transacciones </w:t>
            </w:r>
            <w:proofErr w:type="spellStart"/>
            <w:r w:rsidRPr="002E0BB9">
              <w:rPr>
                <w:rFonts w:ascii="Arial Narrow" w:hAnsi="Arial Narrow" w:cs="Arial"/>
                <w:spacing w:val="0"/>
                <w:sz w:val="16"/>
                <w:szCs w:val="16"/>
                <w:lang w:val="es-MX" w:eastAsia="es-MX"/>
              </w:rPr>
              <w:t>Energeticas</w:t>
            </w:r>
            <w:proofErr w:type="spellEnd"/>
            <w:r w:rsidRPr="002E0BB9">
              <w:rPr>
                <w:rFonts w:ascii="Arial Narrow" w:hAnsi="Arial Narrow" w:cs="Arial"/>
                <w:spacing w:val="0"/>
                <w:sz w:val="16"/>
                <w:szCs w:val="16"/>
                <w:lang w:val="es-MX" w:eastAsia="es-MX"/>
              </w:rPr>
              <w:t xml:space="preserve"> S.A.S Empresa de Servicios Públicos E.S.P</w:t>
            </w:r>
            <w:r w:rsidR="00A425B8" w:rsidRPr="002E0BB9">
              <w:rPr>
                <w:rFonts w:ascii="Arial Narrow" w:hAnsi="Arial Narrow" w:cs="Arial"/>
                <w:spacing w:val="0"/>
                <w:sz w:val="16"/>
                <w:szCs w:val="16"/>
                <w:lang w:val="es-MX" w:eastAsia="es-MX"/>
              </w:rPr>
              <w:t>.</w:t>
            </w:r>
          </w:p>
        </w:tc>
        <w:tc>
          <w:tcPr>
            <w:tcW w:w="1520" w:type="dxa"/>
            <w:tcBorders>
              <w:top w:val="nil"/>
              <w:left w:val="nil"/>
              <w:bottom w:val="single" w:sz="4" w:space="0" w:color="auto"/>
              <w:right w:val="single" w:sz="4" w:space="0" w:color="auto"/>
            </w:tcBorders>
            <w:shd w:val="clear" w:color="000000" w:fill="F2F2F2"/>
            <w:noWrap/>
            <w:vAlign w:val="center"/>
            <w:hideMark/>
          </w:tcPr>
          <w:p w14:paraId="3897CB7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$ 733.876.000</w:t>
            </w:r>
          </w:p>
        </w:tc>
        <w:tc>
          <w:tcPr>
            <w:tcW w:w="1440" w:type="dxa"/>
            <w:tcBorders>
              <w:top w:val="nil"/>
              <w:left w:val="nil"/>
              <w:bottom w:val="single" w:sz="4" w:space="0" w:color="auto"/>
              <w:right w:val="single" w:sz="4" w:space="0" w:color="auto"/>
            </w:tcBorders>
            <w:shd w:val="clear" w:color="000000" w:fill="F2F2F2"/>
            <w:noWrap/>
            <w:vAlign w:val="center"/>
            <w:hideMark/>
          </w:tcPr>
          <w:p w14:paraId="32657FAE"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$ 4.509.948</w:t>
            </w:r>
          </w:p>
        </w:tc>
        <w:tc>
          <w:tcPr>
            <w:tcW w:w="1460" w:type="dxa"/>
            <w:tcBorders>
              <w:top w:val="nil"/>
              <w:left w:val="nil"/>
              <w:bottom w:val="single" w:sz="4" w:space="0" w:color="auto"/>
              <w:right w:val="single" w:sz="4" w:space="0" w:color="auto"/>
            </w:tcBorders>
            <w:shd w:val="clear" w:color="000000" w:fill="F2F2F2"/>
            <w:noWrap/>
            <w:vAlign w:val="center"/>
            <w:hideMark/>
          </w:tcPr>
          <w:p w14:paraId="7ADFFBD1"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$ 738.385.948</w:t>
            </w:r>
          </w:p>
        </w:tc>
        <w:tc>
          <w:tcPr>
            <w:tcW w:w="1260" w:type="dxa"/>
            <w:tcBorders>
              <w:top w:val="nil"/>
              <w:left w:val="nil"/>
              <w:bottom w:val="single" w:sz="4" w:space="0" w:color="auto"/>
              <w:right w:val="single" w:sz="4" w:space="0" w:color="auto"/>
            </w:tcBorders>
            <w:shd w:val="clear" w:color="000000" w:fill="F2F2F2"/>
            <w:noWrap/>
            <w:vAlign w:val="center"/>
            <w:hideMark/>
          </w:tcPr>
          <w:p w14:paraId="7DCC774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$ 7.383.859</w:t>
            </w:r>
          </w:p>
        </w:tc>
        <w:tc>
          <w:tcPr>
            <w:tcW w:w="1120" w:type="dxa"/>
            <w:tcBorders>
              <w:top w:val="nil"/>
              <w:left w:val="nil"/>
              <w:bottom w:val="single" w:sz="4" w:space="0" w:color="auto"/>
              <w:right w:val="single" w:sz="4" w:space="0" w:color="auto"/>
            </w:tcBorders>
            <w:shd w:val="clear" w:color="000000" w:fill="F2F2F2"/>
            <w:noWrap/>
            <w:vAlign w:val="center"/>
            <w:hideMark/>
          </w:tcPr>
          <w:p w14:paraId="280A119B"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$ 307</w:t>
            </w:r>
          </w:p>
        </w:tc>
        <w:tc>
          <w:tcPr>
            <w:tcW w:w="1260" w:type="dxa"/>
            <w:tcBorders>
              <w:top w:val="nil"/>
              <w:left w:val="nil"/>
              <w:bottom w:val="single" w:sz="4" w:space="0" w:color="auto"/>
              <w:right w:val="single" w:sz="4" w:space="0" w:color="auto"/>
            </w:tcBorders>
            <w:shd w:val="clear" w:color="000000" w:fill="F2F2F2"/>
            <w:noWrap/>
            <w:vAlign w:val="center"/>
            <w:hideMark/>
          </w:tcPr>
          <w:p w14:paraId="25521D2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$ 7.384.167</w:t>
            </w:r>
          </w:p>
        </w:tc>
        <w:tc>
          <w:tcPr>
            <w:tcW w:w="1920" w:type="dxa"/>
            <w:tcBorders>
              <w:top w:val="nil"/>
              <w:left w:val="nil"/>
              <w:bottom w:val="single" w:sz="4" w:space="0" w:color="auto"/>
              <w:right w:val="single" w:sz="4" w:space="0" w:color="auto"/>
            </w:tcBorders>
            <w:shd w:val="clear" w:color="000000" w:fill="F2F2F2"/>
            <w:vAlign w:val="center"/>
            <w:hideMark/>
          </w:tcPr>
          <w:p w14:paraId="5A365E8D"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w:t>
            </w:r>
          </w:p>
        </w:tc>
      </w:tr>
      <w:tr w:rsidR="00D705A6" w:rsidRPr="002E0BB9" w14:paraId="2419045C" w14:textId="77777777" w:rsidTr="007D1249">
        <w:trPr>
          <w:trHeight w:val="2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1EE9D004"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154</w:t>
            </w:r>
          </w:p>
        </w:tc>
        <w:tc>
          <w:tcPr>
            <w:tcW w:w="560" w:type="dxa"/>
            <w:tcBorders>
              <w:top w:val="nil"/>
              <w:left w:val="nil"/>
              <w:bottom w:val="single" w:sz="4" w:space="0" w:color="auto"/>
              <w:right w:val="single" w:sz="4" w:space="0" w:color="auto"/>
            </w:tcBorders>
            <w:shd w:val="clear" w:color="000000" w:fill="F2F2F2"/>
            <w:noWrap/>
            <w:vAlign w:val="center"/>
            <w:hideMark/>
          </w:tcPr>
          <w:p w14:paraId="0ADDF79B"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22635</w:t>
            </w:r>
          </w:p>
        </w:tc>
        <w:tc>
          <w:tcPr>
            <w:tcW w:w="920" w:type="dxa"/>
            <w:tcBorders>
              <w:top w:val="nil"/>
              <w:left w:val="nil"/>
              <w:bottom w:val="single" w:sz="4" w:space="0" w:color="auto"/>
              <w:right w:val="single" w:sz="4" w:space="0" w:color="auto"/>
            </w:tcBorders>
            <w:shd w:val="clear" w:color="000000" w:fill="F2F2F2"/>
            <w:noWrap/>
            <w:vAlign w:val="center"/>
            <w:hideMark/>
          </w:tcPr>
          <w:p w14:paraId="0070BA1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900207628</w:t>
            </w:r>
          </w:p>
        </w:tc>
        <w:tc>
          <w:tcPr>
            <w:tcW w:w="2180" w:type="dxa"/>
            <w:tcBorders>
              <w:top w:val="nil"/>
              <w:left w:val="nil"/>
              <w:bottom w:val="single" w:sz="4" w:space="0" w:color="auto"/>
              <w:right w:val="single" w:sz="4" w:space="0" w:color="auto"/>
            </w:tcBorders>
            <w:shd w:val="clear" w:color="000000" w:fill="F2F2F2"/>
            <w:vAlign w:val="center"/>
            <w:hideMark/>
          </w:tcPr>
          <w:p w14:paraId="7F9FFAD0"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ENERLIM S.A. E.S.P.</w:t>
            </w:r>
          </w:p>
        </w:tc>
        <w:tc>
          <w:tcPr>
            <w:tcW w:w="1520" w:type="dxa"/>
            <w:tcBorders>
              <w:top w:val="nil"/>
              <w:left w:val="nil"/>
              <w:bottom w:val="single" w:sz="4" w:space="0" w:color="auto"/>
              <w:right w:val="single" w:sz="4" w:space="0" w:color="auto"/>
            </w:tcBorders>
            <w:shd w:val="clear" w:color="000000" w:fill="F2F2F2"/>
            <w:noWrap/>
            <w:vAlign w:val="center"/>
            <w:hideMark/>
          </w:tcPr>
          <w:p w14:paraId="3766046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$ 162.143.717</w:t>
            </w:r>
          </w:p>
        </w:tc>
        <w:tc>
          <w:tcPr>
            <w:tcW w:w="1440" w:type="dxa"/>
            <w:tcBorders>
              <w:top w:val="nil"/>
              <w:left w:val="nil"/>
              <w:bottom w:val="single" w:sz="4" w:space="0" w:color="auto"/>
              <w:right w:val="single" w:sz="4" w:space="0" w:color="auto"/>
            </w:tcBorders>
            <w:shd w:val="clear" w:color="000000" w:fill="F2F2F2"/>
            <w:noWrap/>
            <w:vAlign w:val="center"/>
            <w:hideMark/>
          </w:tcPr>
          <w:p w14:paraId="5FC4F9E7"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$ 0</w:t>
            </w:r>
          </w:p>
        </w:tc>
        <w:tc>
          <w:tcPr>
            <w:tcW w:w="1460" w:type="dxa"/>
            <w:tcBorders>
              <w:top w:val="nil"/>
              <w:left w:val="nil"/>
              <w:bottom w:val="single" w:sz="4" w:space="0" w:color="auto"/>
              <w:right w:val="single" w:sz="4" w:space="0" w:color="auto"/>
            </w:tcBorders>
            <w:shd w:val="clear" w:color="000000" w:fill="F2F2F2"/>
            <w:noWrap/>
            <w:vAlign w:val="center"/>
            <w:hideMark/>
          </w:tcPr>
          <w:p w14:paraId="22B3FC1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$ 162.143.717</w:t>
            </w:r>
          </w:p>
        </w:tc>
        <w:tc>
          <w:tcPr>
            <w:tcW w:w="1260" w:type="dxa"/>
            <w:tcBorders>
              <w:top w:val="nil"/>
              <w:left w:val="nil"/>
              <w:bottom w:val="single" w:sz="4" w:space="0" w:color="auto"/>
              <w:right w:val="single" w:sz="4" w:space="0" w:color="auto"/>
            </w:tcBorders>
            <w:shd w:val="clear" w:color="000000" w:fill="F2F2F2"/>
            <w:noWrap/>
            <w:vAlign w:val="center"/>
            <w:hideMark/>
          </w:tcPr>
          <w:p w14:paraId="6DDBE5A2"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$ 1.621.437</w:t>
            </w:r>
          </w:p>
        </w:tc>
        <w:tc>
          <w:tcPr>
            <w:tcW w:w="1120" w:type="dxa"/>
            <w:tcBorders>
              <w:top w:val="nil"/>
              <w:left w:val="nil"/>
              <w:bottom w:val="single" w:sz="4" w:space="0" w:color="auto"/>
              <w:right w:val="single" w:sz="4" w:space="0" w:color="auto"/>
            </w:tcBorders>
            <w:shd w:val="clear" w:color="000000" w:fill="F2F2F2"/>
            <w:noWrap/>
            <w:vAlign w:val="center"/>
            <w:hideMark/>
          </w:tcPr>
          <w:p w14:paraId="280576C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$ 67</w:t>
            </w:r>
          </w:p>
        </w:tc>
        <w:tc>
          <w:tcPr>
            <w:tcW w:w="1260" w:type="dxa"/>
            <w:tcBorders>
              <w:top w:val="nil"/>
              <w:left w:val="nil"/>
              <w:bottom w:val="single" w:sz="4" w:space="0" w:color="auto"/>
              <w:right w:val="single" w:sz="4" w:space="0" w:color="auto"/>
            </w:tcBorders>
            <w:shd w:val="clear" w:color="000000" w:fill="F2F2F2"/>
            <w:noWrap/>
            <w:vAlign w:val="center"/>
            <w:hideMark/>
          </w:tcPr>
          <w:p w14:paraId="74AAA51A"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$ 1.621.505</w:t>
            </w:r>
          </w:p>
        </w:tc>
        <w:tc>
          <w:tcPr>
            <w:tcW w:w="1920" w:type="dxa"/>
            <w:tcBorders>
              <w:top w:val="nil"/>
              <w:left w:val="nil"/>
              <w:bottom w:val="single" w:sz="4" w:space="0" w:color="auto"/>
              <w:right w:val="single" w:sz="4" w:space="0" w:color="auto"/>
            </w:tcBorders>
            <w:shd w:val="clear" w:color="000000" w:fill="F2F2F2"/>
            <w:vAlign w:val="center"/>
            <w:hideMark/>
          </w:tcPr>
          <w:p w14:paraId="518CDD77"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w:t>
            </w:r>
          </w:p>
        </w:tc>
      </w:tr>
      <w:tr w:rsidR="00D705A6" w:rsidRPr="002E0BB9" w14:paraId="2BE50FF6" w14:textId="77777777" w:rsidTr="007D1249">
        <w:trPr>
          <w:trHeight w:val="4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6EC90700"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155</w:t>
            </w:r>
          </w:p>
        </w:tc>
        <w:tc>
          <w:tcPr>
            <w:tcW w:w="560" w:type="dxa"/>
            <w:tcBorders>
              <w:top w:val="nil"/>
              <w:left w:val="nil"/>
              <w:bottom w:val="single" w:sz="4" w:space="0" w:color="auto"/>
              <w:right w:val="single" w:sz="4" w:space="0" w:color="auto"/>
            </w:tcBorders>
            <w:shd w:val="clear" w:color="000000" w:fill="F2F2F2"/>
            <w:noWrap/>
            <w:vAlign w:val="center"/>
            <w:hideMark/>
          </w:tcPr>
          <w:p w14:paraId="311E731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23419</w:t>
            </w:r>
          </w:p>
        </w:tc>
        <w:tc>
          <w:tcPr>
            <w:tcW w:w="920" w:type="dxa"/>
            <w:tcBorders>
              <w:top w:val="nil"/>
              <w:left w:val="nil"/>
              <w:bottom w:val="single" w:sz="4" w:space="0" w:color="auto"/>
              <w:right w:val="single" w:sz="4" w:space="0" w:color="auto"/>
            </w:tcBorders>
            <w:shd w:val="clear" w:color="000000" w:fill="F2F2F2"/>
            <w:noWrap/>
            <w:vAlign w:val="center"/>
            <w:hideMark/>
          </w:tcPr>
          <w:p w14:paraId="78318547"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900210455</w:t>
            </w:r>
          </w:p>
        </w:tc>
        <w:tc>
          <w:tcPr>
            <w:tcW w:w="2180" w:type="dxa"/>
            <w:tcBorders>
              <w:top w:val="nil"/>
              <w:left w:val="nil"/>
              <w:bottom w:val="single" w:sz="4" w:space="0" w:color="auto"/>
              <w:right w:val="single" w:sz="4" w:space="0" w:color="auto"/>
            </w:tcBorders>
            <w:shd w:val="clear" w:color="000000" w:fill="F2F2F2"/>
            <w:vAlign w:val="center"/>
            <w:hideMark/>
          </w:tcPr>
          <w:p w14:paraId="1ED2EBC8"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GUANAQUITAS S.A.S. E.S.P.</w:t>
            </w:r>
          </w:p>
        </w:tc>
        <w:tc>
          <w:tcPr>
            <w:tcW w:w="1520" w:type="dxa"/>
            <w:tcBorders>
              <w:top w:val="nil"/>
              <w:left w:val="nil"/>
              <w:bottom w:val="single" w:sz="4" w:space="0" w:color="auto"/>
              <w:right w:val="single" w:sz="4" w:space="0" w:color="auto"/>
            </w:tcBorders>
            <w:shd w:val="clear" w:color="000000" w:fill="F2F2F2"/>
            <w:noWrap/>
            <w:vAlign w:val="center"/>
            <w:hideMark/>
          </w:tcPr>
          <w:p w14:paraId="1CAC1C3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$ 1.121.399.000</w:t>
            </w:r>
          </w:p>
        </w:tc>
        <w:tc>
          <w:tcPr>
            <w:tcW w:w="1440" w:type="dxa"/>
            <w:tcBorders>
              <w:top w:val="nil"/>
              <w:left w:val="nil"/>
              <w:bottom w:val="single" w:sz="4" w:space="0" w:color="auto"/>
              <w:right w:val="single" w:sz="4" w:space="0" w:color="auto"/>
            </w:tcBorders>
            <w:shd w:val="clear" w:color="000000" w:fill="F2F2F2"/>
            <w:noWrap/>
            <w:vAlign w:val="center"/>
            <w:hideMark/>
          </w:tcPr>
          <w:p w14:paraId="11C34B8A"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$ 0</w:t>
            </w:r>
          </w:p>
        </w:tc>
        <w:tc>
          <w:tcPr>
            <w:tcW w:w="1460" w:type="dxa"/>
            <w:tcBorders>
              <w:top w:val="nil"/>
              <w:left w:val="nil"/>
              <w:bottom w:val="single" w:sz="4" w:space="0" w:color="auto"/>
              <w:right w:val="single" w:sz="4" w:space="0" w:color="auto"/>
            </w:tcBorders>
            <w:shd w:val="clear" w:color="000000" w:fill="F2F2F2"/>
            <w:noWrap/>
            <w:vAlign w:val="center"/>
            <w:hideMark/>
          </w:tcPr>
          <w:p w14:paraId="0C35B3A5"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$ 1.121.399.000</w:t>
            </w:r>
          </w:p>
        </w:tc>
        <w:tc>
          <w:tcPr>
            <w:tcW w:w="1260" w:type="dxa"/>
            <w:tcBorders>
              <w:top w:val="nil"/>
              <w:left w:val="nil"/>
              <w:bottom w:val="single" w:sz="4" w:space="0" w:color="auto"/>
              <w:right w:val="single" w:sz="4" w:space="0" w:color="auto"/>
            </w:tcBorders>
            <w:shd w:val="clear" w:color="000000" w:fill="F2F2F2"/>
            <w:noWrap/>
            <w:vAlign w:val="center"/>
            <w:hideMark/>
          </w:tcPr>
          <w:p w14:paraId="0339718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$ 11.213.990</w:t>
            </w:r>
          </w:p>
        </w:tc>
        <w:tc>
          <w:tcPr>
            <w:tcW w:w="1120" w:type="dxa"/>
            <w:tcBorders>
              <w:top w:val="nil"/>
              <w:left w:val="nil"/>
              <w:bottom w:val="single" w:sz="4" w:space="0" w:color="auto"/>
              <w:right w:val="single" w:sz="4" w:space="0" w:color="auto"/>
            </w:tcBorders>
            <w:shd w:val="clear" w:color="000000" w:fill="F2F2F2"/>
            <w:noWrap/>
            <w:vAlign w:val="center"/>
            <w:hideMark/>
          </w:tcPr>
          <w:p w14:paraId="4DC3E396"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$ 467</w:t>
            </w:r>
          </w:p>
        </w:tc>
        <w:tc>
          <w:tcPr>
            <w:tcW w:w="1260" w:type="dxa"/>
            <w:tcBorders>
              <w:top w:val="nil"/>
              <w:left w:val="nil"/>
              <w:bottom w:val="single" w:sz="4" w:space="0" w:color="auto"/>
              <w:right w:val="single" w:sz="4" w:space="0" w:color="auto"/>
            </w:tcBorders>
            <w:shd w:val="clear" w:color="000000" w:fill="F2F2F2"/>
            <w:noWrap/>
            <w:vAlign w:val="center"/>
            <w:hideMark/>
          </w:tcPr>
          <w:p w14:paraId="6EFED226"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$ 11.214.457</w:t>
            </w:r>
          </w:p>
        </w:tc>
        <w:tc>
          <w:tcPr>
            <w:tcW w:w="1920" w:type="dxa"/>
            <w:tcBorders>
              <w:top w:val="nil"/>
              <w:left w:val="nil"/>
              <w:bottom w:val="single" w:sz="4" w:space="0" w:color="auto"/>
              <w:right w:val="single" w:sz="4" w:space="0" w:color="auto"/>
            </w:tcBorders>
            <w:shd w:val="clear" w:color="000000" w:fill="F2F2F2"/>
            <w:vAlign w:val="center"/>
            <w:hideMark/>
          </w:tcPr>
          <w:p w14:paraId="40D0F8C9"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w:t>
            </w:r>
          </w:p>
        </w:tc>
      </w:tr>
      <w:tr w:rsidR="00D705A6" w:rsidRPr="002E0BB9" w14:paraId="6175F38C" w14:textId="77777777" w:rsidTr="007D1249">
        <w:trPr>
          <w:trHeight w:val="4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0DA21B26"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156</w:t>
            </w:r>
          </w:p>
        </w:tc>
        <w:tc>
          <w:tcPr>
            <w:tcW w:w="560" w:type="dxa"/>
            <w:tcBorders>
              <w:top w:val="nil"/>
              <w:left w:val="nil"/>
              <w:bottom w:val="single" w:sz="4" w:space="0" w:color="auto"/>
              <w:right w:val="single" w:sz="4" w:space="0" w:color="auto"/>
            </w:tcBorders>
            <w:shd w:val="clear" w:color="000000" w:fill="F2F2F2"/>
            <w:noWrap/>
            <w:vAlign w:val="center"/>
            <w:hideMark/>
          </w:tcPr>
          <w:p w14:paraId="1EF83EEC"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30671</w:t>
            </w:r>
          </w:p>
        </w:tc>
        <w:tc>
          <w:tcPr>
            <w:tcW w:w="920" w:type="dxa"/>
            <w:tcBorders>
              <w:top w:val="nil"/>
              <w:left w:val="nil"/>
              <w:bottom w:val="single" w:sz="4" w:space="0" w:color="auto"/>
              <w:right w:val="single" w:sz="4" w:space="0" w:color="auto"/>
            </w:tcBorders>
            <w:shd w:val="clear" w:color="000000" w:fill="F2F2F2"/>
            <w:noWrap/>
            <w:vAlign w:val="center"/>
            <w:hideMark/>
          </w:tcPr>
          <w:p w14:paraId="3492AD77"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900214588</w:t>
            </w:r>
          </w:p>
        </w:tc>
        <w:tc>
          <w:tcPr>
            <w:tcW w:w="2180" w:type="dxa"/>
            <w:tcBorders>
              <w:top w:val="nil"/>
              <w:left w:val="nil"/>
              <w:bottom w:val="single" w:sz="4" w:space="0" w:color="auto"/>
              <w:right w:val="single" w:sz="4" w:space="0" w:color="auto"/>
            </w:tcBorders>
            <w:shd w:val="clear" w:color="000000" w:fill="F2F2F2"/>
            <w:vAlign w:val="center"/>
            <w:hideMark/>
          </w:tcPr>
          <w:p w14:paraId="7A157DE0"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ESPACIO PRODUCTIVO SAS ESP</w:t>
            </w:r>
          </w:p>
        </w:tc>
        <w:tc>
          <w:tcPr>
            <w:tcW w:w="1520" w:type="dxa"/>
            <w:tcBorders>
              <w:top w:val="nil"/>
              <w:left w:val="nil"/>
              <w:bottom w:val="single" w:sz="4" w:space="0" w:color="auto"/>
              <w:right w:val="single" w:sz="4" w:space="0" w:color="auto"/>
            </w:tcBorders>
            <w:shd w:val="clear" w:color="000000" w:fill="F2F2F2"/>
            <w:noWrap/>
            <w:vAlign w:val="center"/>
            <w:hideMark/>
          </w:tcPr>
          <w:p w14:paraId="258AFDCD"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$ 9.267.414.000</w:t>
            </w:r>
          </w:p>
        </w:tc>
        <w:tc>
          <w:tcPr>
            <w:tcW w:w="1440" w:type="dxa"/>
            <w:tcBorders>
              <w:top w:val="nil"/>
              <w:left w:val="nil"/>
              <w:bottom w:val="single" w:sz="4" w:space="0" w:color="auto"/>
              <w:right w:val="single" w:sz="4" w:space="0" w:color="auto"/>
            </w:tcBorders>
            <w:shd w:val="clear" w:color="000000" w:fill="F2F2F2"/>
            <w:noWrap/>
            <w:vAlign w:val="center"/>
            <w:hideMark/>
          </w:tcPr>
          <w:p w14:paraId="60376C06"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$ 0</w:t>
            </w:r>
          </w:p>
        </w:tc>
        <w:tc>
          <w:tcPr>
            <w:tcW w:w="1460" w:type="dxa"/>
            <w:tcBorders>
              <w:top w:val="nil"/>
              <w:left w:val="nil"/>
              <w:bottom w:val="single" w:sz="4" w:space="0" w:color="auto"/>
              <w:right w:val="single" w:sz="4" w:space="0" w:color="auto"/>
            </w:tcBorders>
            <w:shd w:val="clear" w:color="000000" w:fill="F2F2F2"/>
            <w:noWrap/>
            <w:vAlign w:val="center"/>
            <w:hideMark/>
          </w:tcPr>
          <w:p w14:paraId="4938181E"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$ 9.267.414.000</w:t>
            </w:r>
          </w:p>
        </w:tc>
        <w:tc>
          <w:tcPr>
            <w:tcW w:w="1260" w:type="dxa"/>
            <w:tcBorders>
              <w:top w:val="nil"/>
              <w:left w:val="nil"/>
              <w:bottom w:val="single" w:sz="4" w:space="0" w:color="auto"/>
              <w:right w:val="single" w:sz="4" w:space="0" w:color="auto"/>
            </w:tcBorders>
            <w:shd w:val="clear" w:color="000000" w:fill="F2F2F2"/>
            <w:noWrap/>
            <w:vAlign w:val="center"/>
            <w:hideMark/>
          </w:tcPr>
          <w:p w14:paraId="08020CF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$ 92.674.140</w:t>
            </w:r>
          </w:p>
        </w:tc>
        <w:tc>
          <w:tcPr>
            <w:tcW w:w="1120" w:type="dxa"/>
            <w:tcBorders>
              <w:top w:val="nil"/>
              <w:left w:val="nil"/>
              <w:bottom w:val="single" w:sz="4" w:space="0" w:color="auto"/>
              <w:right w:val="single" w:sz="4" w:space="0" w:color="auto"/>
            </w:tcBorders>
            <w:shd w:val="clear" w:color="000000" w:fill="F2F2F2"/>
            <w:noWrap/>
            <w:vAlign w:val="center"/>
            <w:hideMark/>
          </w:tcPr>
          <w:p w14:paraId="51B93ACC"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$ 3.857</w:t>
            </w:r>
          </w:p>
        </w:tc>
        <w:tc>
          <w:tcPr>
            <w:tcW w:w="1260" w:type="dxa"/>
            <w:tcBorders>
              <w:top w:val="nil"/>
              <w:left w:val="nil"/>
              <w:bottom w:val="single" w:sz="4" w:space="0" w:color="auto"/>
              <w:right w:val="single" w:sz="4" w:space="0" w:color="auto"/>
            </w:tcBorders>
            <w:shd w:val="clear" w:color="000000" w:fill="F2F2F2"/>
            <w:noWrap/>
            <w:vAlign w:val="center"/>
            <w:hideMark/>
          </w:tcPr>
          <w:p w14:paraId="4A118BBC"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$ 92.677.997</w:t>
            </w:r>
          </w:p>
        </w:tc>
        <w:tc>
          <w:tcPr>
            <w:tcW w:w="1920" w:type="dxa"/>
            <w:tcBorders>
              <w:top w:val="nil"/>
              <w:left w:val="nil"/>
              <w:bottom w:val="single" w:sz="4" w:space="0" w:color="auto"/>
              <w:right w:val="single" w:sz="4" w:space="0" w:color="auto"/>
            </w:tcBorders>
            <w:shd w:val="clear" w:color="000000" w:fill="F2F2F2"/>
            <w:vAlign w:val="center"/>
            <w:hideMark/>
          </w:tcPr>
          <w:p w14:paraId="1E2A8D28"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w:t>
            </w:r>
          </w:p>
        </w:tc>
      </w:tr>
      <w:tr w:rsidR="00D705A6" w:rsidRPr="002E0BB9" w14:paraId="5121A5BE" w14:textId="77777777" w:rsidTr="007D1249">
        <w:trPr>
          <w:trHeight w:val="4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050D2EA9"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157</w:t>
            </w:r>
          </w:p>
        </w:tc>
        <w:tc>
          <w:tcPr>
            <w:tcW w:w="560" w:type="dxa"/>
            <w:tcBorders>
              <w:top w:val="nil"/>
              <w:left w:val="nil"/>
              <w:bottom w:val="single" w:sz="4" w:space="0" w:color="auto"/>
              <w:right w:val="single" w:sz="4" w:space="0" w:color="auto"/>
            </w:tcBorders>
            <w:shd w:val="clear" w:color="000000" w:fill="F2F2F2"/>
            <w:noWrap/>
            <w:vAlign w:val="center"/>
            <w:hideMark/>
          </w:tcPr>
          <w:p w14:paraId="65C3B2FA"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55368</w:t>
            </w:r>
          </w:p>
        </w:tc>
        <w:tc>
          <w:tcPr>
            <w:tcW w:w="920" w:type="dxa"/>
            <w:tcBorders>
              <w:top w:val="nil"/>
              <w:left w:val="nil"/>
              <w:bottom w:val="single" w:sz="4" w:space="0" w:color="auto"/>
              <w:right w:val="single" w:sz="4" w:space="0" w:color="auto"/>
            </w:tcBorders>
            <w:shd w:val="clear" w:color="000000" w:fill="F2F2F2"/>
            <w:noWrap/>
            <w:vAlign w:val="center"/>
            <w:hideMark/>
          </w:tcPr>
          <w:p w14:paraId="1FB619C2"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900235929</w:t>
            </w:r>
          </w:p>
        </w:tc>
        <w:tc>
          <w:tcPr>
            <w:tcW w:w="2180" w:type="dxa"/>
            <w:tcBorders>
              <w:top w:val="nil"/>
              <w:left w:val="nil"/>
              <w:bottom w:val="single" w:sz="4" w:space="0" w:color="auto"/>
              <w:right w:val="single" w:sz="4" w:space="0" w:color="auto"/>
            </w:tcBorders>
            <w:shd w:val="clear" w:color="000000" w:fill="F2F2F2"/>
            <w:vAlign w:val="center"/>
            <w:hideMark/>
          </w:tcPr>
          <w:p w14:paraId="2806E166"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xml:space="preserve">GASES DEL FUTURO SAS E.S.P. </w:t>
            </w:r>
          </w:p>
        </w:tc>
        <w:tc>
          <w:tcPr>
            <w:tcW w:w="1520" w:type="dxa"/>
            <w:tcBorders>
              <w:top w:val="nil"/>
              <w:left w:val="nil"/>
              <w:bottom w:val="single" w:sz="4" w:space="0" w:color="auto"/>
              <w:right w:val="single" w:sz="4" w:space="0" w:color="auto"/>
            </w:tcBorders>
            <w:shd w:val="clear" w:color="000000" w:fill="F2F2F2"/>
            <w:noWrap/>
            <w:vAlign w:val="center"/>
            <w:hideMark/>
          </w:tcPr>
          <w:p w14:paraId="2B01C931"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$ 428.672.000</w:t>
            </w:r>
          </w:p>
        </w:tc>
        <w:tc>
          <w:tcPr>
            <w:tcW w:w="1440" w:type="dxa"/>
            <w:tcBorders>
              <w:top w:val="nil"/>
              <w:left w:val="nil"/>
              <w:bottom w:val="single" w:sz="4" w:space="0" w:color="auto"/>
              <w:right w:val="single" w:sz="4" w:space="0" w:color="auto"/>
            </w:tcBorders>
            <w:shd w:val="clear" w:color="000000" w:fill="F2F2F2"/>
            <w:noWrap/>
            <w:vAlign w:val="center"/>
            <w:hideMark/>
          </w:tcPr>
          <w:p w14:paraId="7E902D0C"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$ 8.925.408</w:t>
            </w:r>
          </w:p>
        </w:tc>
        <w:tc>
          <w:tcPr>
            <w:tcW w:w="1460" w:type="dxa"/>
            <w:tcBorders>
              <w:top w:val="nil"/>
              <w:left w:val="nil"/>
              <w:bottom w:val="single" w:sz="4" w:space="0" w:color="auto"/>
              <w:right w:val="single" w:sz="4" w:space="0" w:color="auto"/>
            </w:tcBorders>
            <w:shd w:val="clear" w:color="000000" w:fill="F2F2F2"/>
            <w:noWrap/>
            <w:vAlign w:val="center"/>
            <w:hideMark/>
          </w:tcPr>
          <w:p w14:paraId="7C1D13CD"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$ 437.597.408</w:t>
            </w:r>
          </w:p>
        </w:tc>
        <w:tc>
          <w:tcPr>
            <w:tcW w:w="1260" w:type="dxa"/>
            <w:tcBorders>
              <w:top w:val="nil"/>
              <w:left w:val="nil"/>
              <w:bottom w:val="single" w:sz="4" w:space="0" w:color="auto"/>
              <w:right w:val="single" w:sz="4" w:space="0" w:color="auto"/>
            </w:tcBorders>
            <w:shd w:val="clear" w:color="000000" w:fill="F2F2F2"/>
            <w:noWrap/>
            <w:vAlign w:val="center"/>
            <w:hideMark/>
          </w:tcPr>
          <w:p w14:paraId="028D95CA"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$ 4.375.974</w:t>
            </w:r>
          </w:p>
        </w:tc>
        <w:tc>
          <w:tcPr>
            <w:tcW w:w="1120" w:type="dxa"/>
            <w:tcBorders>
              <w:top w:val="nil"/>
              <w:left w:val="nil"/>
              <w:bottom w:val="single" w:sz="4" w:space="0" w:color="auto"/>
              <w:right w:val="single" w:sz="4" w:space="0" w:color="auto"/>
            </w:tcBorders>
            <w:shd w:val="clear" w:color="000000" w:fill="F2F2F2"/>
            <w:noWrap/>
            <w:vAlign w:val="center"/>
            <w:hideMark/>
          </w:tcPr>
          <w:p w14:paraId="0CB812AB"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$ 182</w:t>
            </w:r>
          </w:p>
        </w:tc>
        <w:tc>
          <w:tcPr>
            <w:tcW w:w="1260" w:type="dxa"/>
            <w:tcBorders>
              <w:top w:val="nil"/>
              <w:left w:val="nil"/>
              <w:bottom w:val="single" w:sz="4" w:space="0" w:color="auto"/>
              <w:right w:val="single" w:sz="4" w:space="0" w:color="auto"/>
            </w:tcBorders>
            <w:shd w:val="clear" w:color="000000" w:fill="F2F2F2"/>
            <w:noWrap/>
            <w:vAlign w:val="center"/>
            <w:hideMark/>
          </w:tcPr>
          <w:p w14:paraId="0CB0EB0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$ 4.376.156</w:t>
            </w:r>
          </w:p>
        </w:tc>
        <w:tc>
          <w:tcPr>
            <w:tcW w:w="1920" w:type="dxa"/>
            <w:tcBorders>
              <w:top w:val="nil"/>
              <w:left w:val="nil"/>
              <w:bottom w:val="single" w:sz="4" w:space="0" w:color="auto"/>
              <w:right w:val="single" w:sz="4" w:space="0" w:color="auto"/>
            </w:tcBorders>
            <w:shd w:val="clear" w:color="000000" w:fill="F2F2F2"/>
            <w:vAlign w:val="center"/>
            <w:hideMark/>
          </w:tcPr>
          <w:p w14:paraId="7A34A818"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GAS POR REDES</w:t>
            </w:r>
          </w:p>
        </w:tc>
      </w:tr>
      <w:tr w:rsidR="00D705A6" w:rsidRPr="002E0BB9" w14:paraId="13490904" w14:textId="77777777" w:rsidTr="007D1249">
        <w:trPr>
          <w:trHeight w:val="4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12E05B18"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158</w:t>
            </w:r>
          </w:p>
        </w:tc>
        <w:tc>
          <w:tcPr>
            <w:tcW w:w="560" w:type="dxa"/>
            <w:tcBorders>
              <w:top w:val="nil"/>
              <w:left w:val="nil"/>
              <w:bottom w:val="single" w:sz="4" w:space="0" w:color="auto"/>
              <w:right w:val="single" w:sz="4" w:space="0" w:color="auto"/>
            </w:tcBorders>
            <w:shd w:val="clear" w:color="000000" w:fill="F2F2F2"/>
            <w:noWrap/>
            <w:vAlign w:val="center"/>
            <w:hideMark/>
          </w:tcPr>
          <w:p w14:paraId="44135EDE"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40935</w:t>
            </w:r>
          </w:p>
        </w:tc>
        <w:tc>
          <w:tcPr>
            <w:tcW w:w="920" w:type="dxa"/>
            <w:tcBorders>
              <w:top w:val="nil"/>
              <w:left w:val="nil"/>
              <w:bottom w:val="single" w:sz="4" w:space="0" w:color="auto"/>
              <w:right w:val="single" w:sz="4" w:space="0" w:color="auto"/>
            </w:tcBorders>
            <w:shd w:val="clear" w:color="000000" w:fill="F2F2F2"/>
            <w:noWrap/>
            <w:vAlign w:val="center"/>
            <w:hideMark/>
          </w:tcPr>
          <w:p w14:paraId="362B388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900244325</w:t>
            </w:r>
          </w:p>
        </w:tc>
        <w:tc>
          <w:tcPr>
            <w:tcW w:w="2180" w:type="dxa"/>
            <w:tcBorders>
              <w:top w:val="nil"/>
              <w:left w:val="nil"/>
              <w:bottom w:val="single" w:sz="4" w:space="0" w:color="auto"/>
              <w:right w:val="single" w:sz="4" w:space="0" w:color="auto"/>
            </w:tcBorders>
            <w:shd w:val="clear" w:color="000000" w:fill="F2F2F2"/>
            <w:vAlign w:val="center"/>
            <w:hideMark/>
          </w:tcPr>
          <w:p w14:paraId="332355C6"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GENERACIÓN DE ENERGÍA S.A.S. E.S.P.</w:t>
            </w:r>
          </w:p>
        </w:tc>
        <w:tc>
          <w:tcPr>
            <w:tcW w:w="1520" w:type="dxa"/>
            <w:tcBorders>
              <w:top w:val="nil"/>
              <w:left w:val="nil"/>
              <w:bottom w:val="single" w:sz="4" w:space="0" w:color="auto"/>
              <w:right w:val="single" w:sz="4" w:space="0" w:color="auto"/>
            </w:tcBorders>
            <w:shd w:val="clear" w:color="000000" w:fill="F2F2F2"/>
            <w:noWrap/>
            <w:vAlign w:val="center"/>
            <w:hideMark/>
          </w:tcPr>
          <w:p w14:paraId="6D9E6D8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$ 189.356.000</w:t>
            </w:r>
          </w:p>
        </w:tc>
        <w:tc>
          <w:tcPr>
            <w:tcW w:w="1440" w:type="dxa"/>
            <w:tcBorders>
              <w:top w:val="nil"/>
              <w:left w:val="nil"/>
              <w:bottom w:val="single" w:sz="4" w:space="0" w:color="auto"/>
              <w:right w:val="single" w:sz="4" w:space="0" w:color="auto"/>
            </w:tcBorders>
            <w:shd w:val="clear" w:color="000000" w:fill="F2F2F2"/>
            <w:noWrap/>
            <w:vAlign w:val="center"/>
            <w:hideMark/>
          </w:tcPr>
          <w:p w14:paraId="71DC199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$ 0</w:t>
            </w:r>
          </w:p>
        </w:tc>
        <w:tc>
          <w:tcPr>
            <w:tcW w:w="1460" w:type="dxa"/>
            <w:tcBorders>
              <w:top w:val="nil"/>
              <w:left w:val="nil"/>
              <w:bottom w:val="single" w:sz="4" w:space="0" w:color="auto"/>
              <w:right w:val="single" w:sz="4" w:space="0" w:color="auto"/>
            </w:tcBorders>
            <w:shd w:val="clear" w:color="000000" w:fill="F2F2F2"/>
            <w:noWrap/>
            <w:vAlign w:val="center"/>
            <w:hideMark/>
          </w:tcPr>
          <w:p w14:paraId="23CEE8B6"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$ 189.356.000</w:t>
            </w:r>
          </w:p>
        </w:tc>
        <w:tc>
          <w:tcPr>
            <w:tcW w:w="1260" w:type="dxa"/>
            <w:tcBorders>
              <w:top w:val="nil"/>
              <w:left w:val="nil"/>
              <w:bottom w:val="single" w:sz="4" w:space="0" w:color="auto"/>
              <w:right w:val="single" w:sz="4" w:space="0" w:color="auto"/>
            </w:tcBorders>
            <w:shd w:val="clear" w:color="000000" w:fill="F2F2F2"/>
            <w:noWrap/>
            <w:vAlign w:val="center"/>
            <w:hideMark/>
          </w:tcPr>
          <w:p w14:paraId="53C257C5"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$ 1.893.560</w:t>
            </w:r>
          </w:p>
        </w:tc>
        <w:tc>
          <w:tcPr>
            <w:tcW w:w="1120" w:type="dxa"/>
            <w:tcBorders>
              <w:top w:val="nil"/>
              <w:left w:val="nil"/>
              <w:bottom w:val="single" w:sz="4" w:space="0" w:color="auto"/>
              <w:right w:val="single" w:sz="4" w:space="0" w:color="auto"/>
            </w:tcBorders>
            <w:shd w:val="clear" w:color="000000" w:fill="F2F2F2"/>
            <w:noWrap/>
            <w:vAlign w:val="center"/>
            <w:hideMark/>
          </w:tcPr>
          <w:p w14:paraId="61AE0F9C"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$ 79</w:t>
            </w:r>
          </w:p>
        </w:tc>
        <w:tc>
          <w:tcPr>
            <w:tcW w:w="1260" w:type="dxa"/>
            <w:tcBorders>
              <w:top w:val="nil"/>
              <w:left w:val="nil"/>
              <w:bottom w:val="single" w:sz="4" w:space="0" w:color="auto"/>
              <w:right w:val="single" w:sz="4" w:space="0" w:color="auto"/>
            </w:tcBorders>
            <w:shd w:val="clear" w:color="000000" w:fill="F2F2F2"/>
            <w:noWrap/>
            <w:vAlign w:val="center"/>
            <w:hideMark/>
          </w:tcPr>
          <w:p w14:paraId="6D99B4DA"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$ 1.893.639</w:t>
            </w:r>
          </w:p>
        </w:tc>
        <w:tc>
          <w:tcPr>
            <w:tcW w:w="1920" w:type="dxa"/>
            <w:tcBorders>
              <w:top w:val="nil"/>
              <w:left w:val="nil"/>
              <w:bottom w:val="single" w:sz="4" w:space="0" w:color="auto"/>
              <w:right w:val="single" w:sz="4" w:space="0" w:color="auto"/>
            </w:tcBorders>
            <w:shd w:val="clear" w:color="000000" w:fill="F2F2F2"/>
            <w:vAlign w:val="center"/>
            <w:hideMark/>
          </w:tcPr>
          <w:p w14:paraId="3CBBFF97"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w:t>
            </w:r>
          </w:p>
        </w:tc>
      </w:tr>
      <w:tr w:rsidR="00D705A6" w:rsidRPr="002E0BB9" w14:paraId="7885C182" w14:textId="77777777" w:rsidTr="00622C5C">
        <w:trPr>
          <w:trHeight w:val="63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73EBAB07"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159</w:t>
            </w:r>
          </w:p>
        </w:tc>
        <w:tc>
          <w:tcPr>
            <w:tcW w:w="560" w:type="dxa"/>
            <w:tcBorders>
              <w:top w:val="nil"/>
              <w:left w:val="nil"/>
              <w:bottom w:val="single" w:sz="4" w:space="0" w:color="auto"/>
              <w:right w:val="single" w:sz="4" w:space="0" w:color="auto"/>
            </w:tcBorders>
            <w:shd w:val="clear" w:color="000000" w:fill="F2F2F2"/>
            <w:noWrap/>
            <w:vAlign w:val="center"/>
            <w:hideMark/>
          </w:tcPr>
          <w:p w14:paraId="330D1DC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22543</w:t>
            </w:r>
          </w:p>
        </w:tc>
        <w:tc>
          <w:tcPr>
            <w:tcW w:w="920" w:type="dxa"/>
            <w:tcBorders>
              <w:top w:val="nil"/>
              <w:left w:val="nil"/>
              <w:bottom w:val="single" w:sz="4" w:space="0" w:color="auto"/>
              <w:right w:val="single" w:sz="4" w:space="0" w:color="auto"/>
            </w:tcBorders>
            <w:shd w:val="clear" w:color="000000" w:fill="F2F2F2"/>
            <w:noWrap/>
            <w:vAlign w:val="center"/>
            <w:hideMark/>
          </w:tcPr>
          <w:p w14:paraId="193D6831"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900251423</w:t>
            </w:r>
          </w:p>
        </w:tc>
        <w:tc>
          <w:tcPr>
            <w:tcW w:w="2180" w:type="dxa"/>
            <w:tcBorders>
              <w:top w:val="nil"/>
              <w:left w:val="nil"/>
              <w:bottom w:val="single" w:sz="4" w:space="0" w:color="auto"/>
              <w:right w:val="single" w:sz="4" w:space="0" w:color="auto"/>
            </w:tcBorders>
            <w:shd w:val="clear" w:color="000000" w:fill="F2F2F2"/>
            <w:vAlign w:val="center"/>
            <w:hideMark/>
          </w:tcPr>
          <w:p w14:paraId="63D2D90B"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EMPRESA DE GENERACION Y PROMOCION DE ENERGIA DE ANTIOQUIA SA ESP</w:t>
            </w:r>
          </w:p>
        </w:tc>
        <w:tc>
          <w:tcPr>
            <w:tcW w:w="1520" w:type="dxa"/>
            <w:tcBorders>
              <w:top w:val="nil"/>
              <w:left w:val="nil"/>
              <w:bottom w:val="single" w:sz="4" w:space="0" w:color="auto"/>
              <w:right w:val="single" w:sz="4" w:space="0" w:color="auto"/>
            </w:tcBorders>
            <w:shd w:val="clear" w:color="000000" w:fill="F2F2F2"/>
            <w:noWrap/>
            <w:vAlign w:val="center"/>
            <w:hideMark/>
          </w:tcPr>
          <w:p w14:paraId="2C423219" w14:textId="63B933B0" w:rsidR="00622C5C" w:rsidRPr="002E0BB9" w:rsidRDefault="00D705A6" w:rsidP="00622C5C">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$ 3.345.610.000</w:t>
            </w:r>
          </w:p>
          <w:p w14:paraId="2ADD7282" w14:textId="77777777" w:rsidR="00622C5C" w:rsidRPr="002E0BB9" w:rsidRDefault="00622C5C" w:rsidP="00622C5C">
            <w:pPr>
              <w:rPr>
                <w:rFonts w:ascii="Arial Narrow" w:hAnsi="Arial Narrow" w:cs="Arial"/>
                <w:sz w:val="16"/>
                <w:szCs w:val="16"/>
                <w:lang w:val="es-MX" w:eastAsia="es-MX"/>
              </w:rPr>
            </w:pPr>
          </w:p>
        </w:tc>
        <w:tc>
          <w:tcPr>
            <w:tcW w:w="1440" w:type="dxa"/>
            <w:tcBorders>
              <w:top w:val="nil"/>
              <w:left w:val="nil"/>
              <w:bottom w:val="single" w:sz="4" w:space="0" w:color="auto"/>
              <w:right w:val="single" w:sz="4" w:space="0" w:color="auto"/>
            </w:tcBorders>
            <w:shd w:val="clear" w:color="000000" w:fill="F2F2F2"/>
            <w:noWrap/>
            <w:vAlign w:val="center"/>
            <w:hideMark/>
          </w:tcPr>
          <w:p w14:paraId="0C7EB43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$ 0</w:t>
            </w:r>
          </w:p>
        </w:tc>
        <w:tc>
          <w:tcPr>
            <w:tcW w:w="1460" w:type="dxa"/>
            <w:tcBorders>
              <w:top w:val="nil"/>
              <w:left w:val="nil"/>
              <w:bottom w:val="single" w:sz="4" w:space="0" w:color="auto"/>
              <w:right w:val="single" w:sz="4" w:space="0" w:color="auto"/>
            </w:tcBorders>
            <w:shd w:val="clear" w:color="000000" w:fill="F2F2F2"/>
            <w:noWrap/>
            <w:vAlign w:val="center"/>
            <w:hideMark/>
          </w:tcPr>
          <w:p w14:paraId="73D3F39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$ 3.345.610.000</w:t>
            </w:r>
          </w:p>
        </w:tc>
        <w:tc>
          <w:tcPr>
            <w:tcW w:w="1260" w:type="dxa"/>
            <w:tcBorders>
              <w:top w:val="nil"/>
              <w:left w:val="nil"/>
              <w:bottom w:val="single" w:sz="4" w:space="0" w:color="auto"/>
              <w:right w:val="single" w:sz="4" w:space="0" w:color="auto"/>
            </w:tcBorders>
            <w:shd w:val="clear" w:color="000000" w:fill="F2F2F2"/>
            <w:noWrap/>
            <w:vAlign w:val="center"/>
            <w:hideMark/>
          </w:tcPr>
          <w:p w14:paraId="2535241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$ 33.456.100</w:t>
            </w:r>
          </w:p>
        </w:tc>
        <w:tc>
          <w:tcPr>
            <w:tcW w:w="1120" w:type="dxa"/>
            <w:tcBorders>
              <w:top w:val="nil"/>
              <w:left w:val="nil"/>
              <w:bottom w:val="single" w:sz="4" w:space="0" w:color="auto"/>
              <w:right w:val="single" w:sz="4" w:space="0" w:color="auto"/>
            </w:tcBorders>
            <w:shd w:val="clear" w:color="000000" w:fill="F2F2F2"/>
            <w:noWrap/>
            <w:vAlign w:val="center"/>
            <w:hideMark/>
          </w:tcPr>
          <w:p w14:paraId="02B5D18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$ 1.392</w:t>
            </w:r>
          </w:p>
        </w:tc>
        <w:tc>
          <w:tcPr>
            <w:tcW w:w="1260" w:type="dxa"/>
            <w:tcBorders>
              <w:top w:val="nil"/>
              <w:left w:val="nil"/>
              <w:bottom w:val="single" w:sz="4" w:space="0" w:color="auto"/>
              <w:right w:val="single" w:sz="4" w:space="0" w:color="auto"/>
            </w:tcBorders>
            <w:shd w:val="clear" w:color="000000" w:fill="F2F2F2"/>
            <w:noWrap/>
            <w:vAlign w:val="center"/>
            <w:hideMark/>
          </w:tcPr>
          <w:p w14:paraId="1434261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$ 33.457.492</w:t>
            </w:r>
          </w:p>
        </w:tc>
        <w:tc>
          <w:tcPr>
            <w:tcW w:w="1920" w:type="dxa"/>
            <w:tcBorders>
              <w:top w:val="nil"/>
              <w:left w:val="nil"/>
              <w:bottom w:val="single" w:sz="4" w:space="0" w:color="auto"/>
              <w:right w:val="single" w:sz="4" w:space="0" w:color="auto"/>
            </w:tcBorders>
            <w:shd w:val="clear" w:color="000000" w:fill="F2F2F2"/>
            <w:vAlign w:val="center"/>
            <w:hideMark/>
          </w:tcPr>
          <w:p w14:paraId="2FA56E50"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w:t>
            </w:r>
          </w:p>
        </w:tc>
      </w:tr>
      <w:tr w:rsidR="00D705A6" w:rsidRPr="002E0BB9" w14:paraId="302B2218" w14:textId="77777777" w:rsidTr="007D1249">
        <w:trPr>
          <w:trHeight w:val="10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3E5D9F3F"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160</w:t>
            </w:r>
          </w:p>
        </w:tc>
        <w:tc>
          <w:tcPr>
            <w:tcW w:w="560" w:type="dxa"/>
            <w:tcBorders>
              <w:top w:val="nil"/>
              <w:left w:val="nil"/>
              <w:bottom w:val="single" w:sz="4" w:space="0" w:color="auto"/>
              <w:right w:val="single" w:sz="4" w:space="0" w:color="auto"/>
            </w:tcBorders>
            <w:shd w:val="clear" w:color="000000" w:fill="F2F2F2"/>
            <w:noWrap/>
            <w:vAlign w:val="center"/>
            <w:hideMark/>
          </w:tcPr>
          <w:p w14:paraId="28B31A0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22511</w:t>
            </w:r>
          </w:p>
        </w:tc>
        <w:tc>
          <w:tcPr>
            <w:tcW w:w="920" w:type="dxa"/>
            <w:tcBorders>
              <w:top w:val="nil"/>
              <w:left w:val="nil"/>
              <w:bottom w:val="single" w:sz="4" w:space="0" w:color="auto"/>
              <w:right w:val="single" w:sz="4" w:space="0" w:color="auto"/>
            </w:tcBorders>
            <w:shd w:val="clear" w:color="000000" w:fill="F2F2F2"/>
            <w:noWrap/>
            <w:vAlign w:val="center"/>
            <w:hideMark/>
          </w:tcPr>
          <w:p w14:paraId="79F9D50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900251955</w:t>
            </w:r>
          </w:p>
        </w:tc>
        <w:tc>
          <w:tcPr>
            <w:tcW w:w="2180" w:type="dxa"/>
            <w:tcBorders>
              <w:top w:val="nil"/>
              <w:left w:val="nil"/>
              <w:bottom w:val="single" w:sz="4" w:space="0" w:color="auto"/>
              <w:right w:val="single" w:sz="4" w:space="0" w:color="auto"/>
            </w:tcBorders>
            <w:shd w:val="clear" w:color="000000" w:fill="F2F2F2"/>
            <w:vAlign w:val="center"/>
            <w:hideMark/>
          </w:tcPr>
          <w:p w14:paraId="006E7BFC"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EMPRESA MUNICIPAL DE SERVICIOS PUBLICOS DE OROCUE SA ESP</w:t>
            </w:r>
          </w:p>
        </w:tc>
        <w:tc>
          <w:tcPr>
            <w:tcW w:w="1520" w:type="dxa"/>
            <w:tcBorders>
              <w:top w:val="nil"/>
              <w:left w:val="nil"/>
              <w:bottom w:val="single" w:sz="4" w:space="0" w:color="auto"/>
              <w:right w:val="single" w:sz="4" w:space="0" w:color="auto"/>
            </w:tcBorders>
            <w:shd w:val="clear" w:color="000000" w:fill="F2F2F2"/>
            <w:noWrap/>
            <w:vAlign w:val="center"/>
            <w:hideMark/>
          </w:tcPr>
          <w:p w14:paraId="2997319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$ 341.779.000</w:t>
            </w:r>
          </w:p>
        </w:tc>
        <w:tc>
          <w:tcPr>
            <w:tcW w:w="1440" w:type="dxa"/>
            <w:tcBorders>
              <w:top w:val="nil"/>
              <w:left w:val="nil"/>
              <w:bottom w:val="single" w:sz="4" w:space="0" w:color="auto"/>
              <w:right w:val="single" w:sz="4" w:space="0" w:color="auto"/>
            </w:tcBorders>
            <w:shd w:val="clear" w:color="000000" w:fill="F2F2F2"/>
            <w:noWrap/>
            <w:vAlign w:val="center"/>
            <w:hideMark/>
          </w:tcPr>
          <w:p w14:paraId="285531F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$ 0</w:t>
            </w:r>
          </w:p>
        </w:tc>
        <w:tc>
          <w:tcPr>
            <w:tcW w:w="1460" w:type="dxa"/>
            <w:tcBorders>
              <w:top w:val="nil"/>
              <w:left w:val="nil"/>
              <w:bottom w:val="single" w:sz="4" w:space="0" w:color="auto"/>
              <w:right w:val="single" w:sz="4" w:space="0" w:color="auto"/>
            </w:tcBorders>
            <w:shd w:val="clear" w:color="000000" w:fill="F2F2F2"/>
            <w:noWrap/>
            <w:vAlign w:val="center"/>
            <w:hideMark/>
          </w:tcPr>
          <w:p w14:paraId="6769943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$ 341.779.000</w:t>
            </w:r>
          </w:p>
        </w:tc>
        <w:tc>
          <w:tcPr>
            <w:tcW w:w="1260" w:type="dxa"/>
            <w:tcBorders>
              <w:top w:val="nil"/>
              <w:left w:val="nil"/>
              <w:bottom w:val="single" w:sz="4" w:space="0" w:color="auto"/>
              <w:right w:val="single" w:sz="4" w:space="0" w:color="auto"/>
            </w:tcBorders>
            <w:shd w:val="clear" w:color="000000" w:fill="F2F2F2"/>
            <w:noWrap/>
            <w:vAlign w:val="center"/>
            <w:hideMark/>
          </w:tcPr>
          <w:p w14:paraId="58692517"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$ 3.417.790</w:t>
            </w:r>
          </w:p>
        </w:tc>
        <w:tc>
          <w:tcPr>
            <w:tcW w:w="1120" w:type="dxa"/>
            <w:tcBorders>
              <w:top w:val="nil"/>
              <w:left w:val="nil"/>
              <w:bottom w:val="single" w:sz="4" w:space="0" w:color="auto"/>
              <w:right w:val="single" w:sz="4" w:space="0" w:color="auto"/>
            </w:tcBorders>
            <w:shd w:val="clear" w:color="000000" w:fill="F2F2F2"/>
            <w:noWrap/>
            <w:vAlign w:val="center"/>
            <w:hideMark/>
          </w:tcPr>
          <w:p w14:paraId="54C0D09A"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$ 142</w:t>
            </w:r>
          </w:p>
        </w:tc>
        <w:tc>
          <w:tcPr>
            <w:tcW w:w="1260" w:type="dxa"/>
            <w:tcBorders>
              <w:top w:val="nil"/>
              <w:left w:val="nil"/>
              <w:bottom w:val="single" w:sz="4" w:space="0" w:color="auto"/>
              <w:right w:val="single" w:sz="4" w:space="0" w:color="auto"/>
            </w:tcBorders>
            <w:shd w:val="clear" w:color="000000" w:fill="F2F2F2"/>
            <w:noWrap/>
            <w:vAlign w:val="center"/>
            <w:hideMark/>
          </w:tcPr>
          <w:p w14:paraId="040F775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$ 3.417.932</w:t>
            </w:r>
          </w:p>
        </w:tc>
        <w:tc>
          <w:tcPr>
            <w:tcW w:w="1920" w:type="dxa"/>
            <w:tcBorders>
              <w:top w:val="nil"/>
              <w:left w:val="nil"/>
              <w:bottom w:val="single" w:sz="4" w:space="0" w:color="auto"/>
              <w:right w:val="single" w:sz="4" w:space="0" w:color="auto"/>
            </w:tcBorders>
            <w:shd w:val="clear" w:color="000000" w:fill="F2F2F2"/>
            <w:vAlign w:val="center"/>
            <w:hideMark/>
          </w:tcPr>
          <w:p w14:paraId="606224D0"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 - GAS POR REDES - ACUEDUCTO - ALCANTARILLADO - ASEO</w:t>
            </w:r>
          </w:p>
        </w:tc>
      </w:tr>
      <w:tr w:rsidR="00D705A6" w:rsidRPr="002E0BB9" w14:paraId="0A6834CC" w14:textId="77777777" w:rsidTr="007D1249">
        <w:trPr>
          <w:trHeight w:val="12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01C7C718"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lastRenderedPageBreak/>
              <w:t>161</w:t>
            </w:r>
          </w:p>
        </w:tc>
        <w:tc>
          <w:tcPr>
            <w:tcW w:w="560" w:type="dxa"/>
            <w:tcBorders>
              <w:top w:val="nil"/>
              <w:left w:val="nil"/>
              <w:bottom w:val="single" w:sz="4" w:space="0" w:color="auto"/>
              <w:right w:val="single" w:sz="4" w:space="0" w:color="auto"/>
            </w:tcBorders>
            <w:shd w:val="clear" w:color="000000" w:fill="F2F2F2"/>
            <w:noWrap/>
            <w:vAlign w:val="center"/>
            <w:hideMark/>
          </w:tcPr>
          <w:p w14:paraId="682D850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22594</w:t>
            </w:r>
          </w:p>
        </w:tc>
        <w:tc>
          <w:tcPr>
            <w:tcW w:w="920" w:type="dxa"/>
            <w:tcBorders>
              <w:top w:val="nil"/>
              <w:left w:val="nil"/>
              <w:bottom w:val="single" w:sz="4" w:space="0" w:color="auto"/>
              <w:right w:val="single" w:sz="4" w:space="0" w:color="auto"/>
            </w:tcBorders>
            <w:shd w:val="clear" w:color="000000" w:fill="F2F2F2"/>
            <w:noWrap/>
            <w:vAlign w:val="center"/>
            <w:hideMark/>
          </w:tcPr>
          <w:p w14:paraId="35568A2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900260857</w:t>
            </w:r>
          </w:p>
        </w:tc>
        <w:tc>
          <w:tcPr>
            <w:tcW w:w="2180" w:type="dxa"/>
            <w:tcBorders>
              <w:top w:val="nil"/>
              <w:left w:val="nil"/>
              <w:bottom w:val="single" w:sz="4" w:space="0" w:color="auto"/>
              <w:right w:val="single" w:sz="4" w:space="0" w:color="auto"/>
            </w:tcBorders>
            <w:shd w:val="clear" w:color="000000" w:fill="F2F2F2"/>
            <w:vAlign w:val="center"/>
            <w:hideMark/>
          </w:tcPr>
          <w:p w14:paraId="53FE2A98"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xml:space="preserve">ASOCIACIÓN DE USUARIOS DEL SERVICIO DE ENERGÍA ELÉCTRICA DE LA ZONA RURAL DE SANTA BARBARA DE ISCUANDE </w:t>
            </w:r>
          </w:p>
        </w:tc>
        <w:tc>
          <w:tcPr>
            <w:tcW w:w="1520" w:type="dxa"/>
            <w:tcBorders>
              <w:top w:val="nil"/>
              <w:left w:val="nil"/>
              <w:bottom w:val="single" w:sz="4" w:space="0" w:color="auto"/>
              <w:right w:val="single" w:sz="4" w:space="0" w:color="auto"/>
            </w:tcBorders>
            <w:shd w:val="clear" w:color="000000" w:fill="F2F2F2"/>
            <w:noWrap/>
            <w:vAlign w:val="center"/>
            <w:hideMark/>
          </w:tcPr>
          <w:p w14:paraId="58B4E6CE"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$ 94.806.000</w:t>
            </w:r>
          </w:p>
        </w:tc>
        <w:tc>
          <w:tcPr>
            <w:tcW w:w="1440" w:type="dxa"/>
            <w:tcBorders>
              <w:top w:val="nil"/>
              <w:left w:val="nil"/>
              <w:bottom w:val="single" w:sz="4" w:space="0" w:color="auto"/>
              <w:right w:val="single" w:sz="4" w:space="0" w:color="auto"/>
            </w:tcBorders>
            <w:shd w:val="clear" w:color="000000" w:fill="F2F2F2"/>
            <w:noWrap/>
            <w:vAlign w:val="center"/>
            <w:hideMark/>
          </w:tcPr>
          <w:p w14:paraId="2F0741A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$ 7.498.200</w:t>
            </w:r>
          </w:p>
        </w:tc>
        <w:tc>
          <w:tcPr>
            <w:tcW w:w="1460" w:type="dxa"/>
            <w:tcBorders>
              <w:top w:val="nil"/>
              <w:left w:val="nil"/>
              <w:bottom w:val="single" w:sz="4" w:space="0" w:color="auto"/>
              <w:right w:val="single" w:sz="4" w:space="0" w:color="auto"/>
            </w:tcBorders>
            <w:shd w:val="clear" w:color="000000" w:fill="F2F2F2"/>
            <w:noWrap/>
            <w:vAlign w:val="center"/>
            <w:hideMark/>
          </w:tcPr>
          <w:p w14:paraId="446E952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$ 102.304.200</w:t>
            </w:r>
          </w:p>
        </w:tc>
        <w:tc>
          <w:tcPr>
            <w:tcW w:w="1260" w:type="dxa"/>
            <w:tcBorders>
              <w:top w:val="nil"/>
              <w:left w:val="nil"/>
              <w:bottom w:val="single" w:sz="4" w:space="0" w:color="auto"/>
              <w:right w:val="single" w:sz="4" w:space="0" w:color="auto"/>
            </w:tcBorders>
            <w:shd w:val="clear" w:color="000000" w:fill="F2F2F2"/>
            <w:noWrap/>
            <w:vAlign w:val="center"/>
            <w:hideMark/>
          </w:tcPr>
          <w:p w14:paraId="615E0D0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$ 1.023.042</w:t>
            </w:r>
          </w:p>
        </w:tc>
        <w:tc>
          <w:tcPr>
            <w:tcW w:w="1120" w:type="dxa"/>
            <w:tcBorders>
              <w:top w:val="nil"/>
              <w:left w:val="nil"/>
              <w:bottom w:val="single" w:sz="4" w:space="0" w:color="auto"/>
              <w:right w:val="single" w:sz="4" w:space="0" w:color="auto"/>
            </w:tcBorders>
            <w:shd w:val="clear" w:color="000000" w:fill="F2F2F2"/>
            <w:noWrap/>
            <w:vAlign w:val="center"/>
            <w:hideMark/>
          </w:tcPr>
          <w:p w14:paraId="7026C76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$ 43</w:t>
            </w:r>
          </w:p>
        </w:tc>
        <w:tc>
          <w:tcPr>
            <w:tcW w:w="1260" w:type="dxa"/>
            <w:tcBorders>
              <w:top w:val="nil"/>
              <w:left w:val="nil"/>
              <w:bottom w:val="single" w:sz="4" w:space="0" w:color="auto"/>
              <w:right w:val="single" w:sz="4" w:space="0" w:color="auto"/>
            </w:tcBorders>
            <w:shd w:val="clear" w:color="000000" w:fill="F2F2F2"/>
            <w:noWrap/>
            <w:vAlign w:val="center"/>
            <w:hideMark/>
          </w:tcPr>
          <w:p w14:paraId="1ABC3F37"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$ 1.023.085</w:t>
            </w:r>
          </w:p>
        </w:tc>
        <w:tc>
          <w:tcPr>
            <w:tcW w:w="1920" w:type="dxa"/>
            <w:tcBorders>
              <w:top w:val="nil"/>
              <w:left w:val="nil"/>
              <w:bottom w:val="single" w:sz="4" w:space="0" w:color="auto"/>
              <w:right w:val="single" w:sz="4" w:space="0" w:color="auto"/>
            </w:tcBorders>
            <w:shd w:val="clear" w:color="000000" w:fill="F2F2F2"/>
            <w:vAlign w:val="center"/>
            <w:hideMark/>
          </w:tcPr>
          <w:p w14:paraId="42D1EC6F"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w:t>
            </w:r>
          </w:p>
        </w:tc>
      </w:tr>
      <w:tr w:rsidR="00D705A6" w:rsidRPr="002E0BB9" w14:paraId="30C24392" w14:textId="77777777" w:rsidTr="00053706">
        <w:trPr>
          <w:trHeight w:val="459"/>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5ABE1ABF"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162</w:t>
            </w:r>
          </w:p>
        </w:tc>
        <w:tc>
          <w:tcPr>
            <w:tcW w:w="560" w:type="dxa"/>
            <w:tcBorders>
              <w:top w:val="nil"/>
              <w:left w:val="nil"/>
              <w:bottom w:val="single" w:sz="4" w:space="0" w:color="auto"/>
              <w:right w:val="single" w:sz="4" w:space="0" w:color="auto"/>
            </w:tcBorders>
            <w:shd w:val="clear" w:color="000000" w:fill="F2F2F2"/>
            <w:noWrap/>
            <w:vAlign w:val="center"/>
            <w:hideMark/>
          </w:tcPr>
          <w:p w14:paraId="4A150AC5"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26645</w:t>
            </w:r>
          </w:p>
        </w:tc>
        <w:tc>
          <w:tcPr>
            <w:tcW w:w="920" w:type="dxa"/>
            <w:tcBorders>
              <w:top w:val="nil"/>
              <w:left w:val="nil"/>
              <w:bottom w:val="single" w:sz="4" w:space="0" w:color="auto"/>
              <w:right w:val="single" w:sz="4" w:space="0" w:color="auto"/>
            </w:tcBorders>
            <w:shd w:val="clear" w:color="000000" w:fill="F2F2F2"/>
            <w:noWrap/>
            <w:vAlign w:val="center"/>
            <w:hideMark/>
          </w:tcPr>
          <w:p w14:paraId="244B0B4C"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900268747</w:t>
            </w:r>
          </w:p>
        </w:tc>
        <w:tc>
          <w:tcPr>
            <w:tcW w:w="2180" w:type="dxa"/>
            <w:tcBorders>
              <w:top w:val="nil"/>
              <w:left w:val="nil"/>
              <w:bottom w:val="single" w:sz="4" w:space="0" w:color="auto"/>
              <w:right w:val="single" w:sz="4" w:space="0" w:color="auto"/>
            </w:tcBorders>
            <w:shd w:val="clear" w:color="000000" w:fill="F2F2F2"/>
            <w:vAlign w:val="center"/>
            <w:hideMark/>
          </w:tcPr>
          <w:p w14:paraId="6DFD3361"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PAREX RESOURCES COLOMBIA LTD SUCURSAL</w:t>
            </w:r>
          </w:p>
        </w:tc>
        <w:tc>
          <w:tcPr>
            <w:tcW w:w="1520" w:type="dxa"/>
            <w:tcBorders>
              <w:top w:val="nil"/>
              <w:left w:val="nil"/>
              <w:bottom w:val="single" w:sz="4" w:space="0" w:color="auto"/>
              <w:right w:val="single" w:sz="4" w:space="0" w:color="auto"/>
            </w:tcBorders>
            <w:shd w:val="clear" w:color="000000" w:fill="F2F2F2"/>
            <w:noWrap/>
            <w:vAlign w:val="center"/>
            <w:hideMark/>
          </w:tcPr>
          <w:p w14:paraId="25A9091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$ 13.178.743.000</w:t>
            </w:r>
          </w:p>
        </w:tc>
        <w:tc>
          <w:tcPr>
            <w:tcW w:w="1440" w:type="dxa"/>
            <w:tcBorders>
              <w:top w:val="nil"/>
              <w:left w:val="nil"/>
              <w:bottom w:val="single" w:sz="4" w:space="0" w:color="auto"/>
              <w:right w:val="single" w:sz="4" w:space="0" w:color="auto"/>
            </w:tcBorders>
            <w:shd w:val="clear" w:color="000000" w:fill="F2F2F2"/>
            <w:noWrap/>
            <w:vAlign w:val="center"/>
            <w:hideMark/>
          </w:tcPr>
          <w:p w14:paraId="60CEDD7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$ 262.068</w:t>
            </w:r>
          </w:p>
        </w:tc>
        <w:tc>
          <w:tcPr>
            <w:tcW w:w="1460" w:type="dxa"/>
            <w:tcBorders>
              <w:top w:val="nil"/>
              <w:left w:val="nil"/>
              <w:bottom w:val="single" w:sz="4" w:space="0" w:color="auto"/>
              <w:right w:val="single" w:sz="4" w:space="0" w:color="auto"/>
            </w:tcBorders>
            <w:shd w:val="clear" w:color="000000" w:fill="F2F2F2"/>
            <w:noWrap/>
            <w:vAlign w:val="center"/>
            <w:hideMark/>
          </w:tcPr>
          <w:p w14:paraId="7B13392E"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$ 13.179.005.068</w:t>
            </w:r>
          </w:p>
        </w:tc>
        <w:tc>
          <w:tcPr>
            <w:tcW w:w="1260" w:type="dxa"/>
            <w:tcBorders>
              <w:top w:val="nil"/>
              <w:left w:val="nil"/>
              <w:bottom w:val="single" w:sz="4" w:space="0" w:color="auto"/>
              <w:right w:val="single" w:sz="4" w:space="0" w:color="auto"/>
            </w:tcBorders>
            <w:shd w:val="clear" w:color="000000" w:fill="F2F2F2"/>
            <w:noWrap/>
            <w:vAlign w:val="center"/>
            <w:hideMark/>
          </w:tcPr>
          <w:p w14:paraId="2B858BD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$ 131.790.051</w:t>
            </w:r>
          </w:p>
        </w:tc>
        <w:tc>
          <w:tcPr>
            <w:tcW w:w="1120" w:type="dxa"/>
            <w:tcBorders>
              <w:top w:val="nil"/>
              <w:left w:val="nil"/>
              <w:bottom w:val="single" w:sz="4" w:space="0" w:color="auto"/>
              <w:right w:val="single" w:sz="4" w:space="0" w:color="auto"/>
            </w:tcBorders>
            <w:shd w:val="clear" w:color="000000" w:fill="F2F2F2"/>
            <w:noWrap/>
            <w:vAlign w:val="center"/>
            <w:hideMark/>
          </w:tcPr>
          <w:p w14:paraId="3D521011"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$ 5.485</w:t>
            </w:r>
          </w:p>
        </w:tc>
        <w:tc>
          <w:tcPr>
            <w:tcW w:w="1260" w:type="dxa"/>
            <w:tcBorders>
              <w:top w:val="nil"/>
              <w:left w:val="nil"/>
              <w:bottom w:val="single" w:sz="4" w:space="0" w:color="auto"/>
              <w:right w:val="single" w:sz="4" w:space="0" w:color="auto"/>
            </w:tcBorders>
            <w:shd w:val="clear" w:color="000000" w:fill="F2F2F2"/>
            <w:noWrap/>
            <w:vAlign w:val="center"/>
            <w:hideMark/>
          </w:tcPr>
          <w:p w14:paraId="103F440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$ 131.795.535</w:t>
            </w:r>
          </w:p>
        </w:tc>
        <w:tc>
          <w:tcPr>
            <w:tcW w:w="1920" w:type="dxa"/>
            <w:tcBorders>
              <w:top w:val="nil"/>
              <w:left w:val="nil"/>
              <w:bottom w:val="single" w:sz="4" w:space="0" w:color="auto"/>
              <w:right w:val="single" w:sz="4" w:space="0" w:color="auto"/>
            </w:tcBorders>
            <w:shd w:val="clear" w:color="000000" w:fill="F2F2F2"/>
            <w:vAlign w:val="center"/>
            <w:hideMark/>
          </w:tcPr>
          <w:p w14:paraId="662190F0"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GAS LICUADO DEL PETROLEO - GAS POR REDES</w:t>
            </w:r>
          </w:p>
        </w:tc>
      </w:tr>
      <w:tr w:rsidR="00D705A6" w:rsidRPr="002E0BB9" w14:paraId="41198A75" w14:textId="77777777" w:rsidTr="00053706">
        <w:trPr>
          <w:trHeight w:val="269"/>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27A6FF99"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163</w:t>
            </w:r>
          </w:p>
        </w:tc>
        <w:tc>
          <w:tcPr>
            <w:tcW w:w="560" w:type="dxa"/>
            <w:tcBorders>
              <w:top w:val="nil"/>
              <w:left w:val="nil"/>
              <w:bottom w:val="single" w:sz="4" w:space="0" w:color="auto"/>
              <w:right w:val="single" w:sz="4" w:space="0" w:color="auto"/>
            </w:tcBorders>
            <w:shd w:val="clear" w:color="000000" w:fill="F2F2F2"/>
            <w:noWrap/>
            <w:vAlign w:val="center"/>
            <w:hideMark/>
          </w:tcPr>
          <w:p w14:paraId="4CA855F7"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22728</w:t>
            </w:r>
          </w:p>
        </w:tc>
        <w:tc>
          <w:tcPr>
            <w:tcW w:w="920" w:type="dxa"/>
            <w:tcBorders>
              <w:top w:val="nil"/>
              <w:left w:val="nil"/>
              <w:bottom w:val="single" w:sz="4" w:space="0" w:color="auto"/>
              <w:right w:val="single" w:sz="4" w:space="0" w:color="auto"/>
            </w:tcBorders>
            <w:shd w:val="clear" w:color="000000" w:fill="F2F2F2"/>
            <w:noWrap/>
            <w:vAlign w:val="center"/>
            <w:hideMark/>
          </w:tcPr>
          <w:p w14:paraId="70F6C636"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900274902</w:t>
            </w:r>
          </w:p>
        </w:tc>
        <w:tc>
          <w:tcPr>
            <w:tcW w:w="2180" w:type="dxa"/>
            <w:tcBorders>
              <w:top w:val="nil"/>
              <w:left w:val="nil"/>
              <w:bottom w:val="single" w:sz="4" w:space="0" w:color="auto"/>
              <w:right w:val="single" w:sz="4" w:space="0" w:color="auto"/>
            </w:tcBorders>
            <w:shd w:val="clear" w:color="000000" w:fill="F2F2F2"/>
            <w:vAlign w:val="center"/>
            <w:hideMark/>
          </w:tcPr>
          <w:p w14:paraId="461EEB85"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ASOCIACION DE USUARIOS DE SERVICIOS PUBLICOS DEL MEDIO BAUDO</w:t>
            </w:r>
          </w:p>
        </w:tc>
        <w:tc>
          <w:tcPr>
            <w:tcW w:w="1520" w:type="dxa"/>
            <w:tcBorders>
              <w:top w:val="nil"/>
              <w:left w:val="nil"/>
              <w:bottom w:val="single" w:sz="4" w:space="0" w:color="auto"/>
              <w:right w:val="single" w:sz="4" w:space="0" w:color="auto"/>
            </w:tcBorders>
            <w:shd w:val="clear" w:color="000000" w:fill="F2F2F2"/>
            <w:noWrap/>
            <w:vAlign w:val="center"/>
            <w:hideMark/>
          </w:tcPr>
          <w:p w14:paraId="2B3E285B"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$ 326.049.000</w:t>
            </w:r>
          </w:p>
        </w:tc>
        <w:tc>
          <w:tcPr>
            <w:tcW w:w="1440" w:type="dxa"/>
            <w:tcBorders>
              <w:top w:val="nil"/>
              <w:left w:val="nil"/>
              <w:bottom w:val="single" w:sz="4" w:space="0" w:color="auto"/>
              <w:right w:val="single" w:sz="4" w:space="0" w:color="auto"/>
            </w:tcBorders>
            <w:shd w:val="clear" w:color="000000" w:fill="F2F2F2"/>
            <w:noWrap/>
            <w:vAlign w:val="center"/>
            <w:hideMark/>
          </w:tcPr>
          <w:p w14:paraId="0A9EF92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$ 11.823.424</w:t>
            </w:r>
          </w:p>
        </w:tc>
        <w:tc>
          <w:tcPr>
            <w:tcW w:w="1460" w:type="dxa"/>
            <w:tcBorders>
              <w:top w:val="nil"/>
              <w:left w:val="nil"/>
              <w:bottom w:val="single" w:sz="4" w:space="0" w:color="auto"/>
              <w:right w:val="single" w:sz="4" w:space="0" w:color="auto"/>
            </w:tcBorders>
            <w:shd w:val="clear" w:color="000000" w:fill="F2F2F2"/>
            <w:noWrap/>
            <w:vAlign w:val="center"/>
            <w:hideMark/>
          </w:tcPr>
          <w:p w14:paraId="0FC8718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$ 337.872.424</w:t>
            </w:r>
          </w:p>
        </w:tc>
        <w:tc>
          <w:tcPr>
            <w:tcW w:w="1260" w:type="dxa"/>
            <w:tcBorders>
              <w:top w:val="nil"/>
              <w:left w:val="nil"/>
              <w:bottom w:val="single" w:sz="4" w:space="0" w:color="auto"/>
              <w:right w:val="single" w:sz="4" w:space="0" w:color="auto"/>
            </w:tcBorders>
            <w:shd w:val="clear" w:color="000000" w:fill="F2F2F2"/>
            <w:noWrap/>
            <w:vAlign w:val="center"/>
            <w:hideMark/>
          </w:tcPr>
          <w:p w14:paraId="17B842A1"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$ 3.378.724</w:t>
            </w:r>
          </w:p>
        </w:tc>
        <w:tc>
          <w:tcPr>
            <w:tcW w:w="1120" w:type="dxa"/>
            <w:tcBorders>
              <w:top w:val="nil"/>
              <w:left w:val="nil"/>
              <w:bottom w:val="single" w:sz="4" w:space="0" w:color="auto"/>
              <w:right w:val="single" w:sz="4" w:space="0" w:color="auto"/>
            </w:tcBorders>
            <w:shd w:val="clear" w:color="000000" w:fill="F2F2F2"/>
            <w:noWrap/>
            <w:vAlign w:val="center"/>
            <w:hideMark/>
          </w:tcPr>
          <w:p w14:paraId="12E0D44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$ 141</w:t>
            </w:r>
          </w:p>
        </w:tc>
        <w:tc>
          <w:tcPr>
            <w:tcW w:w="1260" w:type="dxa"/>
            <w:tcBorders>
              <w:top w:val="nil"/>
              <w:left w:val="nil"/>
              <w:bottom w:val="single" w:sz="4" w:space="0" w:color="auto"/>
              <w:right w:val="single" w:sz="4" w:space="0" w:color="auto"/>
            </w:tcBorders>
            <w:shd w:val="clear" w:color="000000" w:fill="F2F2F2"/>
            <w:noWrap/>
            <w:vAlign w:val="center"/>
            <w:hideMark/>
          </w:tcPr>
          <w:p w14:paraId="563BC38A"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$ 3.378.865</w:t>
            </w:r>
          </w:p>
        </w:tc>
        <w:tc>
          <w:tcPr>
            <w:tcW w:w="1920" w:type="dxa"/>
            <w:tcBorders>
              <w:top w:val="nil"/>
              <w:left w:val="nil"/>
              <w:bottom w:val="single" w:sz="4" w:space="0" w:color="auto"/>
              <w:right w:val="single" w:sz="4" w:space="0" w:color="auto"/>
            </w:tcBorders>
            <w:shd w:val="clear" w:color="000000" w:fill="F2F2F2"/>
            <w:vAlign w:val="center"/>
            <w:hideMark/>
          </w:tcPr>
          <w:p w14:paraId="4DC95D9F"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w:t>
            </w:r>
          </w:p>
        </w:tc>
      </w:tr>
      <w:tr w:rsidR="00D705A6" w:rsidRPr="002E0BB9" w14:paraId="385001AE" w14:textId="77777777" w:rsidTr="007D1249">
        <w:trPr>
          <w:trHeight w:val="2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0BE18159"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164</w:t>
            </w:r>
          </w:p>
        </w:tc>
        <w:tc>
          <w:tcPr>
            <w:tcW w:w="560" w:type="dxa"/>
            <w:tcBorders>
              <w:top w:val="nil"/>
              <w:left w:val="nil"/>
              <w:bottom w:val="single" w:sz="4" w:space="0" w:color="auto"/>
              <w:right w:val="single" w:sz="4" w:space="0" w:color="auto"/>
            </w:tcBorders>
            <w:shd w:val="clear" w:color="000000" w:fill="F2F2F2"/>
            <w:noWrap/>
            <w:vAlign w:val="center"/>
            <w:hideMark/>
          </w:tcPr>
          <w:p w14:paraId="652BFAD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26234</w:t>
            </w:r>
          </w:p>
        </w:tc>
        <w:tc>
          <w:tcPr>
            <w:tcW w:w="920" w:type="dxa"/>
            <w:tcBorders>
              <w:top w:val="nil"/>
              <w:left w:val="nil"/>
              <w:bottom w:val="single" w:sz="4" w:space="0" w:color="auto"/>
              <w:right w:val="single" w:sz="4" w:space="0" w:color="auto"/>
            </w:tcBorders>
            <w:shd w:val="clear" w:color="000000" w:fill="F2F2F2"/>
            <w:noWrap/>
            <w:vAlign w:val="center"/>
            <w:hideMark/>
          </w:tcPr>
          <w:p w14:paraId="6341E257"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900275349</w:t>
            </w:r>
          </w:p>
        </w:tc>
        <w:tc>
          <w:tcPr>
            <w:tcW w:w="2180" w:type="dxa"/>
            <w:tcBorders>
              <w:top w:val="nil"/>
              <w:left w:val="nil"/>
              <w:bottom w:val="single" w:sz="4" w:space="0" w:color="auto"/>
              <w:right w:val="single" w:sz="4" w:space="0" w:color="auto"/>
            </w:tcBorders>
            <w:shd w:val="clear" w:color="000000" w:fill="F2F2F2"/>
            <w:vAlign w:val="center"/>
            <w:hideMark/>
          </w:tcPr>
          <w:p w14:paraId="71950935"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BARROSO S.A.S. E.S.P.</w:t>
            </w:r>
          </w:p>
        </w:tc>
        <w:tc>
          <w:tcPr>
            <w:tcW w:w="1520" w:type="dxa"/>
            <w:tcBorders>
              <w:top w:val="nil"/>
              <w:left w:val="nil"/>
              <w:bottom w:val="single" w:sz="4" w:space="0" w:color="auto"/>
              <w:right w:val="single" w:sz="4" w:space="0" w:color="auto"/>
            </w:tcBorders>
            <w:shd w:val="clear" w:color="000000" w:fill="F2F2F2"/>
            <w:noWrap/>
            <w:vAlign w:val="center"/>
            <w:hideMark/>
          </w:tcPr>
          <w:p w14:paraId="7D8F1BC7"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$ 4.534.479.000</w:t>
            </w:r>
          </w:p>
        </w:tc>
        <w:tc>
          <w:tcPr>
            <w:tcW w:w="1440" w:type="dxa"/>
            <w:tcBorders>
              <w:top w:val="nil"/>
              <w:left w:val="nil"/>
              <w:bottom w:val="single" w:sz="4" w:space="0" w:color="auto"/>
              <w:right w:val="single" w:sz="4" w:space="0" w:color="auto"/>
            </w:tcBorders>
            <w:shd w:val="clear" w:color="000000" w:fill="F2F2F2"/>
            <w:noWrap/>
            <w:vAlign w:val="center"/>
            <w:hideMark/>
          </w:tcPr>
          <w:p w14:paraId="7629A64A"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$ 0</w:t>
            </w:r>
          </w:p>
        </w:tc>
        <w:tc>
          <w:tcPr>
            <w:tcW w:w="1460" w:type="dxa"/>
            <w:tcBorders>
              <w:top w:val="nil"/>
              <w:left w:val="nil"/>
              <w:bottom w:val="single" w:sz="4" w:space="0" w:color="auto"/>
              <w:right w:val="single" w:sz="4" w:space="0" w:color="auto"/>
            </w:tcBorders>
            <w:shd w:val="clear" w:color="000000" w:fill="F2F2F2"/>
            <w:noWrap/>
            <w:vAlign w:val="center"/>
            <w:hideMark/>
          </w:tcPr>
          <w:p w14:paraId="36DD4E9C"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$ 4.534.479.000</w:t>
            </w:r>
          </w:p>
        </w:tc>
        <w:tc>
          <w:tcPr>
            <w:tcW w:w="1260" w:type="dxa"/>
            <w:tcBorders>
              <w:top w:val="nil"/>
              <w:left w:val="nil"/>
              <w:bottom w:val="single" w:sz="4" w:space="0" w:color="auto"/>
              <w:right w:val="single" w:sz="4" w:space="0" w:color="auto"/>
            </w:tcBorders>
            <w:shd w:val="clear" w:color="000000" w:fill="F2F2F2"/>
            <w:noWrap/>
            <w:vAlign w:val="center"/>
            <w:hideMark/>
          </w:tcPr>
          <w:p w14:paraId="631D758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$ 45.344.790</w:t>
            </w:r>
          </w:p>
        </w:tc>
        <w:tc>
          <w:tcPr>
            <w:tcW w:w="1120" w:type="dxa"/>
            <w:tcBorders>
              <w:top w:val="nil"/>
              <w:left w:val="nil"/>
              <w:bottom w:val="single" w:sz="4" w:space="0" w:color="auto"/>
              <w:right w:val="single" w:sz="4" w:space="0" w:color="auto"/>
            </w:tcBorders>
            <w:shd w:val="clear" w:color="000000" w:fill="F2F2F2"/>
            <w:noWrap/>
            <w:vAlign w:val="center"/>
            <w:hideMark/>
          </w:tcPr>
          <w:p w14:paraId="7C32F1D1"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$ 1.887</w:t>
            </w:r>
          </w:p>
        </w:tc>
        <w:tc>
          <w:tcPr>
            <w:tcW w:w="1260" w:type="dxa"/>
            <w:tcBorders>
              <w:top w:val="nil"/>
              <w:left w:val="nil"/>
              <w:bottom w:val="single" w:sz="4" w:space="0" w:color="auto"/>
              <w:right w:val="single" w:sz="4" w:space="0" w:color="auto"/>
            </w:tcBorders>
            <w:shd w:val="clear" w:color="000000" w:fill="F2F2F2"/>
            <w:noWrap/>
            <w:vAlign w:val="center"/>
            <w:hideMark/>
          </w:tcPr>
          <w:p w14:paraId="4973D217"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$ 45.346.677</w:t>
            </w:r>
          </w:p>
        </w:tc>
        <w:tc>
          <w:tcPr>
            <w:tcW w:w="1920" w:type="dxa"/>
            <w:tcBorders>
              <w:top w:val="nil"/>
              <w:left w:val="nil"/>
              <w:bottom w:val="single" w:sz="4" w:space="0" w:color="auto"/>
              <w:right w:val="single" w:sz="4" w:space="0" w:color="auto"/>
            </w:tcBorders>
            <w:shd w:val="clear" w:color="000000" w:fill="F2F2F2"/>
            <w:vAlign w:val="center"/>
            <w:hideMark/>
          </w:tcPr>
          <w:p w14:paraId="7B4F9D3C"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w:t>
            </w:r>
          </w:p>
        </w:tc>
      </w:tr>
      <w:tr w:rsidR="00D705A6" w:rsidRPr="002E0BB9" w14:paraId="771E7D69" w14:textId="77777777" w:rsidTr="007D1249">
        <w:trPr>
          <w:trHeight w:val="2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705D45DA"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165</w:t>
            </w:r>
          </w:p>
        </w:tc>
        <w:tc>
          <w:tcPr>
            <w:tcW w:w="560" w:type="dxa"/>
            <w:tcBorders>
              <w:top w:val="nil"/>
              <w:left w:val="nil"/>
              <w:bottom w:val="single" w:sz="4" w:space="0" w:color="auto"/>
              <w:right w:val="single" w:sz="4" w:space="0" w:color="auto"/>
            </w:tcBorders>
            <w:shd w:val="clear" w:color="000000" w:fill="F2F2F2"/>
            <w:noWrap/>
            <w:vAlign w:val="center"/>
            <w:hideMark/>
          </w:tcPr>
          <w:p w14:paraId="454DADA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23390</w:t>
            </w:r>
          </w:p>
        </w:tc>
        <w:tc>
          <w:tcPr>
            <w:tcW w:w="920" w:type="dxa"/>
            <w:tcBorders>
              <w:top w:val="nil"/>
              <w:left w:val="nil"/>
              <w:bottom w:val="single" w:sz="4" w:space="0" w:color="auto"/>
              <w:right w:val="single" w:sz="4" w:space="0" w:color="auto"/>
            </w:tcBorders>
            <w:shd w:val="clear" w:color="000000" w:fill="F2F2F2"/>
            <w:noWrap/>
            <w:vAlign w:val="center"/>
            <w:hideMark/>
          </w:tcPr>
          <w:p w14:paraId="500B205A"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900282813</w:t>
            </w:r>
          </w:p>
        </w:tc>
        <w:tc>
          <w:tcPr>
            <w:tcW w:w="2180" w:type="dxa"/>
            <w:tcBorders>
              <w:top w:val="nil"/>
              <w:left w:val="nil"/>
              <w:bottom w:val="single" w:sz="4" w:space="0" w:color="auto"/>
              <w:right w:val="single" w:sz="4" w:space="0" w:color="auto"/>
            </w:tcBorders>
            <w:shd w:val="clear" w:color="000000" w:fill="F2F2F2"/>
            <w:vAlign w:val="center"/>
            <w:hideMark/>
          </w:tcPr>
          <w:p w14:paraId="55E50A3D"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COLENERGIA S.A.  ESP</w:t>
            </w:r>
          </w:p>
        </w:tc>
        <w:tc>
          <w:tcPr>
            <w:tcW w:w="1520" w:type="dxa"/>
            <w:tcBorders>
              <w:top w:val="nil"/>
              <w:left w:val="nil"/>
              <w:bottom w:val="single" w:sz="4" w:space="0" w:color="auto"/>
              <w:right w:val="single" w:sz="4" w:space="0" w:color="auto"/>
            </w:tcBorders>
            <w:shd w:val="clear" w:color="000000" w:fill="F2F2F2"/>
            <w:noWrap/>
            <w:vAlign w:val="center"/>
            <w:hideMark/>
          </w:tcPr>
          <w:p w14:paraId="4EC6B56E"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$ 547.746.000</w:t>
            </w:r>
          </w:p>
        </w:tc>
        <w:tc>
          <w:tcPr>
            <w:tcW w:w="1440" w:type="dxa"/>
            <w:tcBorders>
              <w:top w:val="nil"/>
              <w:left w:val="nil"/>
              <w:bottom w:val="single" w:sz="4" w:space="0" w:color="auto"/>
              <w:right w:val="single" w:sz="4" w:space="0" w:color="auto"/>
            </w:tcBorders>
            <w:shd w:val="clear" w:color="000000" w:fill="F2F2F2"/>
            <w:noWrap/>
            <w:vAlign w:val="center"/>
            <w:hideMark/>
          </w:tcPr>
          <w:p w14:paraId="382B0CA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$ 78.239.147</w:t>
            </w:r>
          </w:p>
        </w:tc>
        <w:tc>
          <w:tcPr>
            <w:tcW w:w="1460" w:type="dxa"/>
            <w:tcBorders>
              <w:top w:val="nil"/>
              <w:left w:val="nil"/>
              <w:bottom w:val="single" w:sz="4" w:space="0" w:color="auto"/>
              <w:right w:val="single" w:sz="4" w:space="0" w:color="auto"/>
            </w:tcBorders>
            <w:shd w:val="clear" w:color="000000" w:fill="F2F2F2"/>
            <w:noWrap/>
            <w:vAlign w:val="center"/>
            <w:hideMark/>
          </w:tcPr>
          <w:p w14:paraId="6692799A"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$ 625.985.147</w:t>
            </w:r>
          </w:p>
        </w:tc>
        <w:tc>
          <w:tcPr>
            <w:tcW w:w="1260" w:type="dxa"/>
            <w:tcBorders>
              <w:top w:val="nil"/>
              <w:left w:val="nil"/>
              <w:bottom w:val="single" w:sz="4" w:space="0" w:color="auto"/>
              <w:right w:val="single" w:sz="4" w:space="0" w:color="auto"/>
            </w:tcBorders>
            <w:shd w:val="clear" w:color="000000" w:fill="F2F2F2"/>
            <w:noWrap/>
            <w:vAlign w:val="center"/>
            <w:hideMark/>
          </w:tcPr>
          <w:p w14:paraId="1C4FF59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$ 6.259.851</w:t>
            </w:r>
          </w:p>
        </w:tc>
        <w:tc>
          <w:tcPr>
            <w:tcW w:w="1120" w:type="dxa"/>
            <w:tcBorders>
              <w:top w:val="nil"/>
              <w:left w:val="nil"/>
              <w:bottom w:val="single" w:sz="4" w:space="0" w:color="auto"/>
              <w:right w:val="single" w:sz="4" w:space="0" w:color="auto"/>
            </w:tcBorders>
            <w:shd w:val="clear" w:color="000000" w:fill="F2F2F2"/>
            <w:noWrap/>
            <w:vAlign w:val="center"/>
            <w:hideMark/>
          </w:tcPr>
          <w:p w14:paraId="428D8A3B"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$ 261</w:t>
            </w:r>
          </w:p>
        </w:tc>
        <w:tc>
          <w:tcPr>
            <w:tcW w:w="1260" w:type="dxa"/>
            <w:tcBorders>
              <w:top w:val="nil"/>
              <w:left w:val="nil"/>
              <w:bottom w:val="single" w:sz="4" w:space="0" w:color="auto"/>
              <w:right w:val="single" w:sz="4" w:space="0" w:color="auto"/>
            </w:tcBorders>
            <w:shd w:val="clear" w:color="000000" w:fill="F2F2F2"/>
            <w:noWrap/>
            <w:vAlign w:val="center"/>
            <w:hideMark/>
          </w:tcPr>
          <w:p w14:paraId="4AFCD43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$ 6.260.112</w:t>
            </w:r>
          </w:p>
        </w:tc>
        <w:tc>
          <w:tcPr>
            <w:tcW w:w="1920" w:type="dxa"/>
            <w:tcBorders>
              <w:top w:val="nil"/>
              <w:left w:val="nil"/>
              <w:bottom w:val="single" w:sz="4" w:space="0" w:color="auto"/>
              <w:right w:val="single" w:sz="4" w:space="0" w:color="auto"/>
            </w:tcBorders>
            <w:shd w:val="clear" w:color="000000" w:fill="F2F2F2"/>
            <w:vAlign w:val="center"/>
            <w:hideMark/>
          </w:tcPr>
          <w:p w14:paraId="6067546B"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w:t>
            </w:r>
          </w:p>
        </w:tc>
      </w:tr>
      <w:tr w:rsidR="00D705A6" w:rsidRPr="002E0BB9" w14:paraId="74892E4F" w14:textId="77777777" w:rsidTr="007D1249">
        <w:trPr>
          <w:trHeight w:val="4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67BE1E9A"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166</w:t>
            </w:r>
          </w:p>
        </w:tc>
        <w:tc>
          <w:tcPr>
            <w:tcW w:w="560" w:type="dxa"/>
            <w:tcBorders>
              <w:top w:val="nil"/>
              <w:left w:val="nil"/>
              <w:bottom w:val="single" w:sz="4" w:space="0" w:color="auto"/>
              <w:right w:val="single" w:sz="4" w:space="0" w:color="auto"/>
            </w:tcBorders>
            <w:shd w:val="clear" w:color="000000" w:fill="F2F2F2"/>
            <w:noWrap/>
            <w:vAlign w:val="center"/>
            <w:hideMark/>
          </w:tcPr>
          <w:p w14:paraId="03A8E4B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23015</w:t>
            </w:r>
          </w:p>
        </w:tc>
        <w:tc>
          <w:tcPr>
            <w:tcW w:w="920" w:type="dxa"/>
            <w:tcBorders>
              <w:top w:val="nil"/>
              <w:left w:val="nil"/>
              <w:bottom w:val="single" w:sz="4" w:space="0" w:color="auto"/>
              <w:right w:val="single" w:sz="4" w:space="0" w:color="auto"/>
            </w:tcBorders>
            <w:shd w:val="clear" w:color="000000" w:fill="F2F2F2"/>
            <w:noWrap/>
            <w:vAlign w:val="center"/>
            <w:hideMark/>
          </w:tcPr>
          <w:p w14:paraId="015B3A7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900305404</w:t>
            </w:r>
          </w:p>
        </w:tc>
        <w:tc>
          <w:tcPr>
            <w:tcW w:w="2180" w:type="dxa"/>
            <w:tcBorders>
              <w:top w:val="nil"/>
              <w:left w:val="nil"/>
              <w:bottom w:val="single" w:sz="4" w:space="0" w:color="auto"/>
              <w:right w:val="single" w:sz="4" w:space="0" w:color="auto"/>
            </w:tcBorders>
            <w:shd w:val="clear" w:color="000000" w:fill="F2F2F2"/>
            <w:vAlign w:val="center"/>
            <w:hideMark/>
          </w:tcPr>
          <w:p w14:paraId="23DEB5FB"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VP INGENERGIA S.A. E.S.P.</w:t>
            </w:r>
          </w:p>
        </w:tc>
        <w:tc>
          <w:tcPr>
            <w:tcW w:w="1520" w:type="dxa"/>
            <w:tcBorders>
              <w:top w:val="nil"/>
              <w:left w:val="nil"/>
              <w:bottom w:val="single" w:sz="4" w:space="0" w:color="auto"/>
              <w:right w:val="single" w:sz="4" w:space="0" w:color="auto"/>
            </w:tcBorders>
            <w:shd w:val="clear" w:color="000000" w:fill="F2F2F2"/>
            <w:noWrap/>
            <w:vAlign w:val="center"/>
            <w:hideMark/>
          </w:tcPr>
          <w:p w14:paraId="31F8345A"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$ 3.838.614.000</w:t>
            </w:r>
          </w:p>
        </w:tc>
        <w:tc>
          <w:tcPr>
            <w:tcW w:w="1440" w:type="dxa"/>
            <w:tcBorders>
              <w:top w:val="nil"/>
              <w:left w:val="nil"/>
              <w:bottom w:val="single" w:sz="4" w:space="0" w:color="auto"/>
              <w:right w:val="single" w:sz="4" w:space="0" w:color="auto"/>
            </w:tcBorders>
            <w:shd w:val="clear" w:color="000000" w:fill="F2F2F2"/>
            <w:noWrap/>
            <w:vAlign w:val="center"/>
            <w:hideMark/>
          </w:tcPr>
          <w:p w14:paraId="19FD41B1"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$ 4.996.671.575</w:t>
            </w:r>
          </w:p>
        </w:tc>
        <w:tc>
          <w:tcPr>
            <w:tcW w:w="1460" w:type="dxa"/>
            <w:tcBorders>
              <w:top w:val="nil"/>
              <w:left w:val="nil"/>
              <w:bottom w:val="single" w:sz="4" w:space="0" w:color="auto"/>
              <w:right w:val="single" w:sz="4" w:space="0" w:color="auto"/>
            </w:tcBorders>
            <w:shd w:val="clear" w:color="000000" w:fill="F2F2F2"/>
            <w:noWrap/>
            <w:vAlign w:val="center"/>
            <w:hideMark/>
          </w:tcPr>
          <w:p w14:paraId="23CDEF1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$ 8.835.285.575</w:t>
            </w:r>
          </w:p>
        </w:tc>
        <w:tc>
          <w:tcPr>
            <w:tcW w:w="1260" w:type="dxa"/>
            <w:tcBorders>
              <w:top w:val="nil"/>
              <w:left w:val="nil"/>
              <w:bottom w:val="single" w:sz="4" w:space="0" w:color="auto"/>
              <w:right w:val="single" w:sz="4" w:space="0" w:color="auto"/>
            </w:tcBorders>
            <w:shd w:val="clear" w:color="000000" w:fill="F2F2F2"/>
            <w:noWrap/>
            <w:vAlign w:val="center"/>
            <w:hideMark/>
          </w:tcPr>
          <w:p w14:paraId="2E5A280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$ 88.352.856</w:t>
            </w:r>
          </w:p>
        </w:tc>
        <w:tc>
          <w:tcPr>
            <w:tcW w:w="1120" w:type="dxa"/>
            <w:tcBorders>
              <w:top w:val="nil"/>
              <w:left w:val="nil"/>
              <w:bottom w:val="single" w:sz="4" w:space="0" w:color="auto"/>
              <w:right w:val="single" w:sz="4" w:space="0" w:color="auto"/>
            </w:tcBorders>
            <w:shd w:val="clear" w:color="000000" w:fill="F2F2F2"/>
            <w:noWrap/>
            <w:vAlign w:val="center"/>
            <w:hideMark/>
          </w:tcPr>
          <w:p w14:paraId="53BD53A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$ 3.677</w:t>
            </w:r>
          </w:p>
        </w:tc>
        <w:tc>
          <w:tcPr>
            <w:tcW w:w="1260" w:type="dxa"/>
            <w:tcBorders>
              <w:top w:val="nil"/>
              <w:left w:val="nil"/>
              <w:bottom w:val="single" w:sz="4" w:space="0" w:color="auto"/>
              <w:right w:val="single" w:sz="4" w:space="0" w:color="auto"/>
            </w:tcBorders>
            <w:shd w:val="clear" w:color="000000" w:fill="F2F2F2"/>
            <w:noWrap/>
            <w:vAlign w:val="center"/>
            <w:hideMark/>
          </w:tcPr>
          <w:p w14:paraId="213E8F4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$ 88.356.533</w:t>
            </w:r>
          </w:p>
        </w:tc>
        <w:tc>
          <w:tcPr>
            <w:tcW w:w="1920" w:type="dxa"/>
            <w:tcBorders>
              <w:top w:val="nil"/>
              <w:left w:val="nil"/>
              <w:bottom w:val="single" w:sz="4" w:space="0" w:color="auto"/>
              <w:right w:val="single" w:sz="4" w:space="0" w:color="auto"/>
            </w:tcBorders>
            <w:shd w:val="clear" w:color="000000" w:fill="F2F2F2"/>
            <w:vAlign w:val="center"/>
            <w:hideMark/>
          </w:tcPr>
          <w:p w14:paraId="780BB770"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GAS POR REDES</w:t>
            </w:r>
          </w:p>
        </w:tc>
      </w:tr>
      <w:tr w:rsidR="00D705A6" w:rsidRPr="002E0BB9" w14:paraId="761D1DB6" w14:textId="77777777" w:rsidTr="007D1249">
        <w:trPr>
          <w:trHeight w:val="2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4DC278D2"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167</w:t>
            </w:r>
          </w:p>
        </w:tc>
        <w:tc>
          <w:tcPr>
            <w:tcW w:w="560" w:type="dxa"/>
            <w:tcBorders>
              <w:top w:val="nil"/>
              <w:left w:val="nil"/>
              <w:bottom w:val="single" w:sz="4" w:space="0" w:color="auto"/>
              <w:right w:val="single" w:sz="4" w:space="0" w:color="auto"/>
            </w:tcBorders>
            <w:shd w:val="clear" w:color="000000" w:fill="F2F2F2"/>
            <w:noWrap/>
            <w:vAlign w:val="center"/>
            <w:hideMark/>
          </w:tcPr>
          <w:p w14:paraId="38A1EE5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31152</w:t>
            </w:r>
          </w:p>
        </w:tc>
        <w:tc>
          <w:tcPr>
            <w:tcW w:w="920" w:type="dxa"/>
            <w:tcBorders>
              <w:top w:val="nil"/>
              <w:left w:val="nil"/>
              <w:bottom w:val="single" w:sz="4" w:space="0" w:color="auto"/>
              <w:right w:val="single" w:sz="4" w:space="0" w:color="auto"/>
            </w:tcBorders>
            <w:shd w:val="clear" w:color="000000" w:fill="F2F2F2"/>
            <w:noWrap/>
            <w:vAlign w:val="center"/>
            <w:hideMark/>
          </w:tcPr>
          <w:p w14:paraId="3740BE6B"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900308744</w:t>
            </w:r>
          </w:p>
        </w:tc>
        <w:tc>
          <w:tcPr>
            <w:tcW w:w="2180" w:type="dxa"/>
            <w:tcBorders>
              <w:top w:val="nil"/>
              <w:left w:val="nil"/>
              <w:bottom w:val="single" w:sz="4" w:space="0" w:color="auto"/>
              <w:right w:val="single" w:sz="4" w:space="0" w:color="auto"/>
            </w:tcBorders>
            <w:shd w:val="clear" w:color="000000" w:fill="F2F2F2"/>
            <w:vAlign w:val="center"/>
            <w:hideMark/>
          </w:tcPr>
          <w:p w14:paraId="49D5E7A9"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GECELCA 3 S.A.S. E.S.P.</w:t>
            </w:r>
          </w:p>
        </w:tc>
        <w:tc>
          <w:tcPr>
            <w:tcW w:w="1520" w:type="dxa"/>
            <w:tcBorders>
              <w:top w:val="nil"/>
              <w:left w:val="nil"/>
              <w:bottom w:val="single" w:sz="4" w:space="0" w:color="auto"/>
              <w:right w:val="single" w:sz="4" w:space="0" w:color="auto"/>
            </w:tcBorders>
            <w:shd w:val="clear" w:color="000000" w:fill="F2F2F2"/>
            <w:noWrap/>
            <w:vAlign w:val="center"/>
            <w:hideMark/>
          </w:tcPr>
          <w:p w14:paraId="2E25219A"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$ 353.000.000</w:t>
            </w:r>
          </w:p>
        </w:tc>
        <w:tc>
          <w:tcPr>
            <w:tcW w:w="1440" w:type="dxa"/>
            <w:tcBorders>
              <w:top w:val="nil"/>
              <w:left w:val="nil"/>
              <w:bottom w:val="single" w:sz="4" w:space="0" w:color="auto"/>
              <w:right w:val="single" w:sz="4" w:space="0" w:color="auto"/>
            </w:tcBorders>
            <w:shd w:val="clear" w:color="000000" w:fill="F2F2F2"/>
            <w:noWrap/>
            <w:vAlign w:val="center"/>
            <w:hideMark/>
          </w:tcPr>
          <w:p w14:paraId="6186D74D"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$ 2.093.217.302</w:t>
            </w:r>
          </w:p>
        </w:tc>
        <w:tc>
          <w:tcPr>
            <w:tcW w:w="1460" w:type="dxa"/>
            <w:tcBorders>
              <w:top w:val="nil"/>
              <w:left w:val="nil"/>
              <w:bottom w:val="single" w:sz="4" w:space="0" w:color="auto"/>
              <w:right w:val="single" w:sz="4" w:space="0" w:color="auto"/>
            </w:tcBorders>
            <w:shd w:val="clear" w:color="000000" w:fill="F2F2F2"/>
            <w:noWrap/>
            <w:vAlign w:val="center"/>
            <w:hideMark/>
          </w:tcPr>
          <w:p w14:paraId="0CFE9452"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$ 2.446.217.302</w:t>
            </w:r>
          </w:p>
        </w:tc>
        <w:tc>
          <w:tcPr>
            <w:tcW w:w="1260" w:type="dxa"/>
            <w:tcBorders>
              <w:top w:val="nil"/>
              <w:left w:val="nil"/>
              <w:bottom w:val="single" w:sz="4" w:space="0" w:color="auto"/>
              <w:right w:val="single" w:sz="4" w:space="0" w:color="auto"/>
            </w:tcBorders>
            <w:shd w:val="clear" w:color="000000" w:fill="F2F2F2"/>
            <w:noWrap/>
            <w:vAlign w:val="center"/>
            <w:hideMark/>
          </w:tcPr>
          <w:p w14:paraId="1D8CBE1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$ 24.462.173</w:t>
            </w:r>
          </w:p>
        </w:tc>
        <w:tc>
          <w:tcPr>
            <w:tcW w:w="1120" w:type="dxa"/>
            <w:tcBorders>
              <w:top w:val="nil"/>
              <w:left w:val="nil"/>
              <w:bottom w:val="single" w:sz="4" w:space="0" w:color="auto"/>
              <w:right w:val="single" w:sz="4" w:space="0" w:color="auto"/>
            </w:tcBorders>
            <w:shd w:val="clear" w:color="000000" w:fill="F2F2F2"/>
            <w:noWrap/>
            <w:vAlign w:val="center"/>
            <w:hideMark/>
          </w:tcPr>
          <w:p w14:paraId="3B6664C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$ 1.018</w:t>
            </w:r>
          </w:p>
        </w:tc>
        <w:tc>
          <w:tcPr>
            <w:tcW w:w="1260" w:type="dxa"/>
            <w:tcBorders>
              <w:top w:val="nil"/>
              <w:left w:val="nil"/>
              <w:bottom w:val="single" w:sz="4" w:space="0" w:color="auto"/>
              <w:right w:val="single" w:sz="4" w:space="0" w:color="auto"/>
            </w:tcBorders>
            <w:shd w:val="clear" w:color="000000" w:fill="F2F2F2"/>
            <w:noWrap/>
            <w:vAlign w:val="center"/>
            <w:hideMark/>
          </w:tcPr>
          <w:p w14:paraId="62361FDB"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$ 24.463.191</w:t>
            </w:r>
          </w:p>
        </w:tc>
        <w:tc>
          <w:tcPr>
            <w:tcW w:w="1920" w:type="dxa"/>
            <w:tcBorders>
              <w:top w:val="nil"/>
              <w:left w:val="nil"/>
              <w:bottom w:val="single" w:sz="4" w:space="0" w:color="auto"/>
              <w:right w:val="single" w:sz="4" w:space="0" w:color="auto"/>
            </w:tcBorders>
            <w:shd w:val="clear" w:color="000000" w:fill="F2F2F2"/>
            <w:vAlign w:val="center"/>
            <w:hideMark/>
          </w:tcPr>
          <w:p w14:paraId="5170F969"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w:t>
            </w:r>
          </w:p>
        </w:tc>
      </w:tr>
      <w:tr w:rsidR="00D705A6" w:rsidRPr="002E0BB9" w14:paraId="4DD1C22B" w14:textId="77777777" w:rsidTr="00053706">
        <w:trPr>
          <w:trHeight w:val="379"/>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5609D6E3"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168</w:t>
            </w:r>
          </w:p>
        </w:tc>
        <w:tc>
          <w:tcPr>
            <w:tcW w:w="560" w:type="dxa"/>
            <w:tcBorders>
              <w:top w:val="nil"/>
              <w:left w:val="nil"/>
              <w:bottom w:val="single" w:sz="4" w:space="0" w:color="auto"/>
              <w:right w:val="single" w:sz="4" w:space="0" w:color="auto"/>
            </w:tcBorders>
            <w:shd w:val="clear" w:color="000000" w:fill="F2F2F2"/>
            <w:noWrap/>
            <w:vAlign w:val="center"/>
            <w:hideMark/>
          </w:tcPr>
          <w:p w14:paraId="5285A166"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25164</w:t>
            </w:r>
          </w:p>
        </w:tc>
        <w:tc>
          <w:tcPr>
            <w:tcW w:w="920" w:type="dxa"/>
            <w:tcBorders>
              <w:top w:val="nil"/>
              <w:left w:val="nil"/>
              <w:bottom w:val="single" w:sz="4" w:space="0" w:color="auto"/>
              <w:right w:val="single" w:sz="4" w:space="0" w:color="auto"/>
            </w:tcBorders>
            <w:shd w:val="clear" w:color="000000" w:fill="F2F2F2"/>
            <w:noWrap/>
            <w:vAlign w:val="center"/>
            <w:hideMark/>
          </w:tcPr>
          <w:p w14:paraId="6B8DA536"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900321520</w:t>
            </w:r>
          </w:p>
        </w:tc>
        <w:tc>
          <w:tcPr>
            <w:tcW w:w="2180" w:type="dxa"/>
            <w:tcBorders>
              <w:top w:val="nil"/>
              <w:left w:val="nil"/>
              <w:bottom w:val="single" w:sz="4" w:space="0" w:color="auto"/>
              <w:right w:val="single" w:sz="4" w:space="0" w:color="auto"/>
            </w:tcBorders>
            <w:shd w:val="clear" w:color="000000" w:fill="F2F2F2"/>
            <w:vAlign w:val="center"/>
            <w:hideMark/>
          </w:tcPr>
          <w:p w14:paraId="3407FCAF"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COMERCIALIZADORA DE GASES NATURALES SAS ESP</w:t>
            </w:r>
          </w:p>
        </w:tc>
        <w:tc>
          <w:tcPr>
            <w:tcW w:w="1520" w:type="dxa"/>
            <w:tcBorders>
              <w:top w:val="nil"/>
              <w:left w:val="nil"/>
              <w:bottom w:val="single" w:sz="4" w:space="0" w:color="auto"/>
              <w:right w:val="single" w:sz="4" w:space="0" w:color="auto"/>
            </w:tcBorders>
            <w:shd w:val="clear" w:color="000000" w:fill="F2F2F2"/>
            <w:noWrap/>
            <w:vAlign w:val="center"/>
            <w:hideMark/>
          </w:tcPr>
          <w:p w14:paraId="317586FD"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$ 1.534.914.000</w:t>
            </w:r>
          </w:p>
        </w:tc>
        <w:tc>
          <w:tcPr>
            <w:tcW w:w="1440" w:type="dxa"/>
            <w:tcBorders>
              <w:top w:val="nil"/>
              <w:left w:val="nil"/>
              <w:bottom w:val="single" w:sz="4" w:space="0" w:color="auto"/>
              <w:right w:val="single" w:sz="4" w:space="0" w:color="auto"/>
            </w:tcBorders>
            <w:shd w:val="clear" w:color="000000" w:fill="F2F2F2"/>
            <w:noWrap/>
            <w:vAlign w:val="center"/>
            <w:hideMark/>
          </w:tcPr>
          <w:p w14:paraId="04C8615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$ 94.069.284</w:t>
            </w:r>
          </w:p>
        </w:tc>
        <w:tc>
          <w:tcPr>
            <w:tcW w:w="1460" w:type="dxa"/>
            <w:tcBorders>
              <w:top w:val="nil"/>
              <w:left w:val="nil"/>
              <w:bottom w:val="single" w:sz="4" w:space="0" w:color="auto"/>
              <w:right w:val="single" w:sz="4" w:space="0" w:color="auto"/>
            </w:tcBorders>
            <w:shd w:val="clear" w:color="000000" w:fill="F2F2F2"/>
            <w:noWrap/>
            <w:vAlign w:val="center"/>
            <w:hideMark/>
          </w:tcPr>
          <w:p w14:paraId="164B20B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$ 1.628.983.284</w:t>
            </w:r>
          </w:p>
        </w:tc>
        <w:tc>
          <w:tcPr>
            <w:tcW w:w="1260" w:type="dxa"/>
            <w:tcBorders>
              <w:top w:val="nil"/>
              <w:left w:val="nil"/>
              <w:bottom w:val="single" w:sz="4" w:space="0" w:color="auto"/>
              <w:right w:val="single" w:sz="4" w:space="0" w:color="auto"/>
            </w:tcBorders>
            <w:shd w:val="clear" w:color="000000" w:fill="F2F2F2"/>
            <w:noWrap/>
            <w:vAlign w:val="center"/>
            <w:hideMark/>
          </w:tcPr>
          <w:p w14:paraId="5B340691"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$ 16.289.833</w:t>
            </w:r>
          </w:p>
        </w:tc>
        <w:tc>
          <w:tcPr>
            <w:tcW w:w="1120" w:type="dxa"/>
            <w:tcBorders>
              <w:top w:val="nil"/>
              <w:left w:val="nil"/>
              <w:bottom w:val="single" w:sz="4" w:space="0" w:color="auto"/>
              <w:right w:val="single" w:sz="4" w:space="0" w:color="auto"/>
            </w:tcBorders>
            <w:shd w:val="clear" w:color="000000" w:fill="F2F2F2"/>
            <w:noWrap/>
            <w:vAlign w:val="center"/>
            <w:hideMark/>
          </w:tcPr>
          <w:p w14:paraId="75ECD7F1"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$ 678</w:t>
            </w:r>
          </w:p>
        </w:tc>
        <w:tc>
          <w:tcPr>
            <w:tcW w:w="1260" w:type="dxa"/>
            <w:tcBorders>
              <w:top w:val="nil"/>
              <w:left w:val="nil"/>
              <w:bottom w:val="single" w:sz="4" w:space="0" w:color="auto"/>
              <w:right w:val="single" w:sz="4" w:space="0" w:color="auto"/>
            </w:tcBorders>
            <w:shd w:val="clear" w:color="000000" w:fill="F2F2F2"/>
            <w:noWrap/>
            <w:vAlign w:val="center"/>
            <w:hideMark/>
          </w:tcPr>
          <w:p w14:paraId="1A252EA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$ 16.290.511</w:t>
            </w:r>
          </w:p>
        </w:tc>
        <w:tc>
          <w:tcPr>
            <w:tcW w:w="1920" w:type="dxa"/>
            <w:tcBorders>
              <w:top w:val="nil"/>
              <w:left w:val="nil"/>
              <w:bottom w:val="single" w:sz="4" w:space="0" w:color="auto"/>
              <w:right w:val="single" w:sz="4" w:space="0" w:color="auto"/>
            </w:tcBorders>
            <w:shd w:val="clear" w:color="000000" w:fill="F2F2F2"/>
            <w:vAlign w:val="center"/>
            <w:hideMark/>
          </w:tcPr>
          <w:p w14:paraId="1F7B073F"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GAS POR REDES</w:t>
            </w:r>
          </w:p>
        </w:tc>
      </w:tr>
      <w:tr w:rsidR="00D705A6" w:rsidRPr="002E0BB9" w14:paraId="01ABF552" w14:textId="77777777" w:rsidTr="00053706">
        <w:trPr>
          <w:trHeight w:val="473"/>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0312D400"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169</w:t>
            </w:r>
          </w:p>
        </w:tc>
        <w:tc>
          <w:tcPr>
            <w:tcW w:w="560" w:type="dxa"/>
            <w:tcBorders>
              <w:top w:val="nil"/>
              <w:left w:val="nil"/>
              <w:bottom w:val="single" w:sz="4" w:space="0" w:color="auto"/>
              <w:right w:val="single" w:sz="4" w:space="0" w:color="auto"/>
            </w:tcBorders>
            <w:shd w:val="clear" w:color="000000" w:fill="F2F2F2"/>
            <w:noWrap/>
            <w:vAlign w:val="center"/>
            <w:hideMark/>
          </w:tcPr>
          <w:p w14:paraId="045BB87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30951</w:t>
            </w:r>
          </w:p>
        </w:tc>
        <w:tc>
          <w:tcPr>
            <w:tcW w:w="920" w:type="dxa"/>
            <w:tcBorders>
              <w:top w:val="nil"/>
              <w:left w:val="nil"/>
              <w:bottom w:val="single" w:sz="4" w:space="0" w:color="auto"/>
              <w:right w:val="single" w:sz="4" w:space="0" w:color="auto"/>
            </w:tcBorders>
            <w:shd w:val="clear" w:color="000000" w:fill="F2F2F2"/>
            <w:noWrap/>
            <w:vAlign w:val="center"/>
            <w:hideMark/>
          </w:tcPr>
          <w:p w14:paraId="4DBFF35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900325920</w:t>
            </w:r>
          </w:p>
        </w:tc>
        <w:tc>
          <w:tcPr>
            <w:tcW w:w="2180" w:type="dxa"/>
            <w:tcBorders>
              <w:top w:val="nil"/>
              <w:left w:val="nil"/>
              <w:bottom w:val="single" w:sz="4" w:space="0" w:color="auto"/>
              <w:right w:val="single" w:sz="4" w:space="0" w:color="auto"/>
            </w:tcBorders>
            <w:shd w:val="clear" w:color="000000" w:fill="F2F2F2"/>
            <w:vAlign w:val="center"/>
            <w:hideMark/>
          </w:tcPr>
          <w:p w14:paraId="57E6253C"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AGENTE EXPERTO EN SERVICIOS PUBLICOS SA ESP</w:t>
            </w:r>
          </w:p>
        </w:tc>
        <w:tc>
          <w:tcPr>
            <w:tcW w:w="1520" w:type="dxa"/>
            <w:tcBorders>
              <w:top w:val="nil"/>
              <w:left w:val="nil"/>
              <w:bottom w:val="single" w:sz="4" w:space="0" w:color="auto"/>
              <w:right w:val="single" w:sz="4" w:space="0" w:color="auto"/>
            </w:tcBorders>
            <w:shd w:val="clear" w:color="000000" w:fill="F2F2F2"/>
            <w:noWrap/>
            <w:vAlign w:val="center"/>
            <w:hideMark/>
          </w:tcPr>
          <w:p w14:paraId="332F4FE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$ 605.764.000</w:t>
            </w:r>
          </w:p>
        </w:tc>
        <w:tc>
          <w:tcPr>
            <w:tcW w:w="1440" w:type="dxa"/>
            <w:tcBorders>
              <w:top w:val="nil"/>
              <w:left w:val="nil"/>
              <w:bottom w:val="single" w:sz="4" w:space="0" w:color="auto"/>
              <w:right w:val="single" w:sz="4" w:space="0" w:color="auto"/>
            </w:tcBorders>
            <w:shd w:val="clear" w:color="000000" w:fill="F2F2F2"/>
            <w:noWrap/>
            <w:vAlign w:val="center"/>
            <w:hideMark/>
          </w:tcPr>
          <w:p w14:paraId="39193A5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$ 26.348.534</w:t>
            </w:r>
          </w:p>
        </w:tc>
        <w:tc>
          <w:tcPr>
            <w:tcW w:w="1460" w:type="dxa"/>
            <w:tcBorders>
              <w:top w:val="nil"/>
              <w:left w:val="nil"/>
              <w:bottom w:val="single" w:sz="4" w:space="0" w:color="auto"/>
              <w:right w:val="single" w:sz="4" w:space="0" w:color="auto"/>
            </w:tcBorders>
            <w:shd w:val="clear" w:color="000000" w:fill="F2F2F2"/>
            <w:noWrap/>
            <w:vAlign w:val="center"/>
            <w:hideMark/>
          </w:tcPr>
          <w:p w14:paraId="17E00B4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$ 632.112.534</w:t>
            </w:r>
          </w:p>
        </w:tc>
        <w:tc>
          <w:tcPr>
            <w:tcW w:w="1260" w:type="dxa"/>
            <w:tcBorders>
              <w:top w:val="nil"/>
              <w:left w:val="nil"/>
              <w:bottom w:val="single" w:sz="4" w:space="0" w:color="auto"/>
              <w:right w:val="single" w:sz="4" w:space="0" w:color="auto"/>
            </w:tcBorders>
            <w:shd w:val="clear" w:color="000000" w:fill="F2F2F2"/>
            <w:noWrap/>
            <w:vAlign w:val="center"/>
            <w:hideMark/>
          </w:tcPr>
          <w:p w14:paraId="091C6275"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$ 6.321.125</w:t>
            </w:r>
          </w:p>
        </w:tc>
        <w:tc>
          <w:tcPr>
            <w:tcW w:w="1120" w:type="dxa"/>
            <w:tcBorders>
              <w:top w:val="nil"/>
              <w:left w:val="nil"/>
              <w:bottom w:val="single" w:sz="4" w:space="0" w:color="auto"/>
              <w:right w:val="single" w:sz="4" w:space="0" w:color="auto"/>
            </w:tcBorders>
            <w:shd w:val="clear" w:color="000000" w:fill="F2F2F2"/>
            <w:noWrap/>
            <w:vAlign w:val="center"/>
            <w:hideMark/>
          </w:tcPr>
          <w:p w14:paraId="20F9CB91"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$ 263</w:t>
            </w:r>
          </w:p>
        </w:tc>
        <w:tc>
          <w:tcPr>
            <w:tcW w:w="1260" w:type="dxa"/>
            <w:tcBorders>
              <w:top w:val="nil"/>
              <w:left w:val="nil"/>
              <w:bottom w:val="single" w:sz="4" w:space="0" w:color="auto"/>
              <w:right w:val="single" w:sz="4" w:space="0" w:color="auto"/>
            </w:tcBorders>
            <w:shd w:val="clear" w:color="000000" w:fill="F2F2F2"/>
            <w:noWrap/>
            <w:vAlign w:val="center"/>
            <w:hideMark/>
          </w:tcPr>
          <w:p w14:paraId="2A0341D5"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$ 6.321.388</w:t>
            </w:r>
          </w:p>
        </w:tc>
        <w:tc>
          <w:tcPr>
            <w:tcW w:w="1920" w:type="dxa"/>
            <w:tcBorders>
              <w:top w:val="nil"/>
              <w:left w:val="nil"/>
              <w:bottom w:val="single" w:sz="4" w:space="0" w:color="auto"/>
              <w:right w:val="single" w:sz="4" w:space="0" w:color="auto"/>
            </w:tcBorders>
            <w:shd w:val="clear" w:color="000000" w:fill="F2F2F2"/>
            <w:vAlign w:val="center"/>
            <w:hideMark/>
          </w:tcPr>
          <w:p w14:paraId="5A015F25"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w:t>
            </w:r>
          </w:p>
        </w:tc>
      </w:tr>
      <w:tr w:rsidR="00D705A6" w:rsidRPr="002E0BB9" w14:paraId="68D5ADE6" w14:textId="77777777" w:rsidTr="007D1249">
        <w:trPr>
          <w:trHeight w:val="2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3CEF0D53"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170</w:t>
            </w:r>
          </w:p>
        </w:tc>
        <w:tc>
          <w:tcPr>
            <w:tcW w:w="560" w:type="dxa"/>
            <w:tcBorders>
              <w:top w:val="nil"/>
              <w:left w:val="nil"/>
              <w:bottom w:val="single" w:sz="4" w:space="0" w:color="auto"/>
              <w:right w:val="single" w:sz="4" w:space="0" w:color="auto"/>
            </w:tcBorders>
            <w:shd w:val="clear" w:color="000000" w:fill="F2F2F2"/>
            <w:noWrap/>
            <w:vAlign w:val="center"/>
            <w:hideMark/>
          </w:tcPr>
          <w:p w14:paraId="39DF0E62"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23250</w:t>
            </w:r>
          </w:p>
        </w:tc>
        <w:tc>
          <w:tcPr>
            <w:tcW w:w="920" w:type="dxa"/>
            <w:tcBorders>
              <w:top w:val="nil"/>
              <w:left w:val="nil"/>
              <w:bottom w:val="single" w:sz="4" w:space="0" w:color="auto"/>
              <w:right w:val="single" w:sz="4" w:space="0" w:color="auto"/>
            </w:tcBorders>
            <w:shd w:val="clear" w:color="000000" w:fill="F2F2F2"/>
            <w:noWrap/>
            <w:vAlign w:val="center"/>
            <w:hideMark/>
          </w:tcPr>
          <w:p w14:paraId="3D379F4B"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900330027</w:t>
            </w:r>
          </w:p>
        </w:tc>
        <w:tc>
          <w:tcPr>
            <w:tcW w:w="2180" w:type="dxa"/>
            <w:tcBorders>
              <w:top w:val="nil"/>
              <w:left w:val="nil"/>
              <w:bottom w:val="single" w:sz="4" w:space="0" w:color="auto"/>
              <w:right w:val="single" w:sz="4" w:space="0" w:color="auto"/>
            </w:tcBorders>
            <w:shd w:val="clear" w:color="000000" w:fill="F2F2F2"/>
            <w:vAlign w:val="center"/>
            <w:hideMark/>
          </w:tcPr>
          <w:p w14:paraId="19E6C3FC"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PETROMILGAS S.A. ESP</w:t>
            </w:r>
          </w:p>
        </w:tc>
        <w:tc>
          <w:tcPr>
            <w:tcW w:w="1520" w:type="dxa"/>
            <w:tcBorders>
              <w:top w:val="nil"/>
              <w:left w:val="nil"/>
              <w:bottom w:val="single" w:sz="4" w:space="0" w:color="auto"/>
              <w:right w:val="single" w:sz="4" w:space="0" w:color="auto"/>
            </w:tcBorders>
            <w:shd w:val="clear" w:color="000000" w:fill="F2F2F2"/>
            <w:noWrap/>
            <w:vAlign w:val="center"/>
            <w:hideMark/>
          </w:tcPr>
          <w:p w14:paraId="44F955D1"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$ 4.459.492.000</w:t>
            </w:r>
          </w:p>
        </w:tc>
        <w:tc>
          <w:tcPr>
            <w:tcW w:w="1440" w:type="dxa"/>
            <w:tcBorders>
              <w:top w:val="nil"/>
              <w:left w:val="nil"/>
              <w:bottom w:val="single" w:sz="4" w:space="0" w:color="auto"/>
              <w:right w:val="single" w:sz="4" w:space="0" w:color="auto"/>
            </w:tcBorders>
            <w:shd w:val="clear" w:color="000000" w:fill="F2F2F2"/>
            <w:noWrap/>
            <w:vAlign w:val="center"/>
            <w:hideMark/>
          </w:tcPr>
          <w:p w14:paraId="2C5E0067"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$ 0</w:t>
            </w:r>
          </w:p>
        </w:tc>
        <w:tc>
          <w:tcPr>
            <w:tcW w:w="1460" w:type="dxa"/>
            <w:tcBorders>
              <w:top w:val="nil"/>
              <w:left w:val="nil"/>
              <w:bottom w:val="single" w:sz="4" w:space="0" w:color="auto"/>
              <w:right w:val="single" w:sz="4" w:space="0" w:color="auto"/>
            </w:tcBorders>
            <w:shd w:val="clear" w:color="000000" w:fill="F2F2F2"/>
            <w:noWrap/>
            <w:vAlign w:val="center"/>
            <w:hideMark/>
          </w:tcPr>
          <w:p w14:paraId="2D424237"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$ 4.459.492.000</w:t>
            </w:r>
          </w:p>
        </w:tc>
        <w:tc>
          <w:tcPr>
            <w:tcW w:w="1260" w:type="dxa"/>
            <w:tcBorders>
              <w:top w:val="nil"/>
              <w:left w:val="nil"/>
              <w:bottom w:val="single" w:sz="4" w:space="0" w:color="auto"/>
              <w:right w:val="single" w:sz="4" w:space="0" w:color="auto"/>
            </w:tcBorders>
            <w:shd w:val="clear" w:color="000000" w:fill="F2F2F2"/>
            <w:noWrap/>
            <w:vAlign w:val="center"/>
            <w:hideMark/>
          </w:tcPr>
          <w:p w14:paraId="61F306CE"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$ 44.594.920</w:t>
            </w:r>
          </w:p>
        </w:tc>
        <w:tc>
          <w:tcPr>
            <w:tcW w:w="1120" w:type="dxa"/>
            <w:tcBorders>
              <w:top w:val="nil"/>
              <w:left w:val="nil"/>
              <w:bottom w:val="single" w:sz="4" w:space="0" w:color="auto"/>
              <w:right w:val="single" w:sz="4" w:space="0" w:color="auto"/>
            </w:tcBorders>
            <w:shd w:val="clear" w:color="000000" w:fill="F2F2F2"/>
            <w:noWrap/>
            <w:vAlign w:val="center"/>
            <w:hideMark/>
          </w:tcPr>
          <w:p w14:paraId="4358E9F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$ 1.856</w:t>
            </w:r>
          </w:p>
        </w:tc>
        <w:tc>
          <w:tcPr>
            <w:tcW w:w="1260" w:type="dxa"/>
            <w:tcBorders>
              <w:top w:val="nil"/>
              <w:left w:val="nil"/>
              <w:bottom w:val="single" w:sz="4" w:space="0" w:color="auto"/>
              <w:right w:val="single" w:sz="4" w:space="0" w:color="auto"/>
            </w:tcBorders>
            <w:shd w:val="clear" w:color="000000" w:fill="F2F2F2"/>
            <w:noWrap/>
            <w:vAlign w:val="center"/>
            <w:hideMark/>
          </w:tcPr>
          <w:p w14:paraId="4514C6D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$ 44.596.776</w:t>
            </w:r>
          </w:p>
        </w:tc>
        <w:tc>
          <w:tcPr>
            <w:tcW w:w="1920" w:type="dxa"/>
            <w:tcBorders>
              <w:top w:val="nil"/>
              <w:left w:val="nil"/>
              <w:bottom w:val="single" w:sz="4" w:space="0" w:color="auto"/>
              <w:right w:val="single" w:sz="4" w:space="0" w:color="auto"/>
            </w:tcBorders>
            <w:shd w:val="clear" w:color="000000" w:fill="F2F2F2"/>
            <w:vAlign w:val="center"/>
            <w:hideMark/>
          </w:tcPr>
          <w:p w14:paraId="491C96E5"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GAS POR REDES</w:t>
            </w:r>
          </w:p>
        </w:tc>
      </w:tr>
      <w:tr w:rsidR="00D705A6" w:rsidRPr="002E0BB9" w14:paraId="17088AC5" w14:textId="77777777" w:rsidTr="007D1249">
        <w:trPr>
          <w:trHeight w:val="4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687D412B"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171</w:t>
            </w:r>
          </w:p>
        </w:tc>
        <w:tc>
          <w:tcPr>
            <w:tcW w:w="560" w:type="dxa"/>
            <w:tcBorders>
              <w:top w:val="nil"/>
              <w:left w:val="nil"/>
              <w:bottom w:val="single" w:sz="4" w:space="0" w:color="auto"/>
              <w:right w:val="single" w:sz="4" w:space="0" w:color="auto"/>
            </w:tcBorders>
            <w:shd w:val="clear" w:color="000000" w:fill="F2F2F2"/>
            <w:noWrap/>
            <w:vAlign w:val="center"/>
            <w:hideMark/>
          </w:tcPr>
          <w:p w14:paraId="283A0F0D"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31993</w:t>
            </w:r>
          </w:p>
        </w:tc>
        <w:tc>
          <w:tcPr>
            <w:tcW w:w="920" w:type="dxa"/>
            <w:tcBorders>
              <w:top w:val="nil"/>
              <w:left w:val="nil"/>
              <w:bottom w:val="single" w:sz="4" w:space="0" w:color="auto"/>
              <w:right w:val="single" w:sz="4" w:space="0" w:color="auto"/>
            </w:tcBorders>
            <w:shd w:val="clear" w:color="000000" w:fill="F2F2F2"/>
            <w:noWrap/>
            <w:vAlign w:val="center"/>
            <w:hideMark/>
          </w:tcPr>
          <w:p w14:paraId="566025E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900331322</w:t>
            </w:r>
          </w:p>
        </w:tc>
        <w:tc>
          <w:tcPr>
            <w:tcW w:w="2180" w:type="dxa"/>
            <w:tcBorders>
              <w:top w:val="nil"/>
              <w:left w:val="nil"/>
              <w:bottom w:val="single" w:sz="4" w:space="0" w:color="auto"/>
              <w:right w:val="single" w:sz="4" w:space="0" w:color="auto"/>
            </w:tcBorders>
            <w:shd w:val="clear" w:color="000000" w:fill="F2F2F2"/>
            <w:vAlign w:val="center"/>
            <w:hideMark/>
          </w:tcPr>
          <w:p w14:paraId="419C3537"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VERANO ENERGY LIMITED SUCURSAL</w:t>
            </w:r>
          </w:p>
        </w:tc>
        <w:tc>
          <w:tcPr>
            <w:tcW w:w="1520" w:type="dxa"/>
            <w:tcBorders>
              <w:top w:val="nil"/>
              <w:left w:val="nil"/>
              <w:bottom w:val="single" w:sz="4" w:space="0" w:color="auto"/>
              <w:right w:val="single" w:sz="4" w:space="0" w:color="auto"/>
            </w:tcBorders>
            <w:shd w:val="clear" w:color="000000" w:fill="F2F2F2"/>
            <w:noWrap/>
            <w:vAlign w:val="center"/>
            <w:hideMark/>
          </w:tcPr>
          <w:p w14:paraId="20B24E55"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$ 6.040.606.000</w:t>
            </w:r>
          </w:p>
        </w:tc>
        <w:tc>
          <w:tcPr>
            <w:tcW w:w="1440" w:type="dxa"/>
            <w:tcBorders>
              <w:top w:val="nil"/>
              <w:left w:val="nil"/>
              <w:bottom w:val="single" w:sz="4" w:space="0" w:color="auto"/>
              <w:right w:val="single" w:sz="4" w:space="0" w:color="auto"/>
            </w:tcBorders>
            <w:shd w:val="clear" w:color="000000" w:fill="F2F2F2"/>
            <w:noWrap/>
            <w:vAlign w:val="center"/>
            <w:hideMark/>
          </w:tcPr>
          <w:p w14:paraId="7373D41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$ 0</w:t>
            </w:r>
          </w:p>
        </w:tc>
        <w:tc>
          <w:tcPr>
            <w:tcW w:w="1460" w:type="dxa"/>
            <w:tcBorders>
              <w:top w:val="nil"/>
              <w:left w:val="nil"/>
              <w:bottom w:val="single" w:sz="4" w:space="0" w:color="auto"/>
              <w:right w:val="single" w:sz="4" w:space="0" w:color="auto"/>
            </w:tcBorders>
            <w:shd w:val="clear" w:color="000000" w:fill="F2F2F2"/>
            <w:noWrap/>
            <w:vAlign w:val="center"/>
            <w:hideMark/>
          </w:tcPr>
          <w:p w14:paraId="3D9B6B1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$ 6.040.606.000</w:t>
            </w:r>
          </w:p>
        </w:tc>
        <w:tc>
          <w:tcPr>
            <w:tcW w:w="1260" w:type="dxa"/>
            <w:tcBorders>
              <w:top w:val="nil"/>
              <w:left w:val="nil"/>
              <w:bottom w:val="single" w:sz="4" w:space="0" w:color="auto"/>
              <w:right w:val="single" w:sz="4" w:space="0" w:color="auto"/>
            </w:tcBorders>
            <w:shd w:val="clear" w:color="000000" w:fill="F2F2F2"/>
            <w:noWrap/>
            <w:vAlign w:val="center"/>
            <w:hideMark/>
          </w:tcPr>
          <w:p w14:paraId="0E672B65"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$ 60.406.060</w:t>
            </w:r>
          </w:p>
        </w:tc>
        <w:tc>
          <w:tcPr>
            <w:tcW w:w="1120" w:type="dxa"/>
            <w:tcBorders>
              <w:top w:val="nil"/>
              <w:left w:val="nil"/>
              <w:bottom w:val="single" w:sz="4" w:space="0" w:color="auto"/>
              <w:right w:val="single" w:sz="4" w:space="0" w:color="auto"/>
            </w:tcBorders>
            <w:shd w:val="clear" w:color="000000" w:fill="F2F2F2"/>
            <w:noWrap/>
            <w:vAlign w:val="center"/>
            <w:hideMark/>
          </w:tcPr>
          <w:p w14:paraId="26F8685B"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$ 2.514</w:t>
            </w:r>
          </w:p>
        </w:tc>
        <w:tc>
          <w:tcPr>
            <w:tcW w:w="1260" w:type="dxa"/>
            <w:tcBorders>
              <w:top w:val="nil"/>
              <w:left w:val="nil"/>
              <w:bottom w:val="single" w:sz="4" w:space="0" w:color="auto"/>
              <w:right w:val="single" w:sz="4" w:space="0" w:color="auto"/>
            </w:tcBorders>
            <w:shd w:val="clear" w:color="000000" w:fill="F2F2F2"/>
            <w:noWrap/>
            <w:vAlign w:val="center"/>
            <w:hideMark/>
          </w:tcPr>
          <w:p w14:paraId="22C83A6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$ 60.408.574</w:t>
            </w:r>
          </w:p>
        </w:tc>
        <w:tc>
          <w:tcPr>
            <w:tcW w:w="1920" w:type="dxa"/>
            <w:tcBorders>
              <w:top w:val="nil"/>
              <w:left w:val="nil"/>
              <w:bottom w:val="single" w:sz="4" w:space="0" w:color="auto"/>
              <w:right w:val="single" w:sz="4" w:space="0" w:color="auto"/>
            </w:tcBorders>
            <w:shd w:val="clear" w:color="000000" w:fill="F2F2F2"/>
            <w:vAlign w:val="center"/>
            <w:hideMark/>
          </w:tcPr>
          <w:p w14:paraId="76758F54"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GAS POR REDES</w:t>
            </w:r>
          </w:p>
        </w:tc>
      </w:tr>
      <w:tr w:rsidR="00D705A6" w:rsidRPr="002E0BB9" w14:paraId="08219CF4" w14:textId="77777777" w:rsidTr="007D1249">
        <w:trPr>
          <w:trHeight w:val="2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3DC067C8"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172</w:t>
            </w:r>
          </w:p>
        </w:tc>
        <w:tc>
          <w:tcPr>
            <w:tcW w:w="560" w:type="dxa"/>
            <w:tcBorders>
              <w:top w:val="nil"/>
              <w:left w:val="nil"/>
              <w:bottom w:val="single" w:sz="4" w:space="0" w:color="auto"/>
              <w:right w:val="single" w:sz="4" w:space="0" w:color="auto"/>
            </w:tcBorders>
            <w:shd w:val="clear" w:color="000000" w:fill="F2F2F2"/>
            <w:noWrap/>
            <w:vAlign w:val="center"/>
            <w:hideMark/>
          </w:tcPr>
          <w:p w14:paraId="195A30A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37814</w:t>
            </w:r>
          </w:p>
        </w:tc>
        <w:tc>
          <w:tcPr>
            <w:tcW w:w="920" w:type="dxa"/>
            <w:tcBorders>
              <w:top w:val="nil"/>
              <w:left w:val="nil"/>
              <w:bottom w:val="single" w:sz="4" w:space="0" w:color="auto"/>
              <w:right w:val="single" w:sz="4" w:space="0" w:color="auto"/>
            </w:tcBorders>
            <w:shd w:val="clear" w:color="000000" w:fill="F2F2F2"/>
            <w:noWrap/>
            <w:vAlign w:val="center"/>
            <w:hideMark/>
          </w:tcPr>
          <w:p w14:paraId="340A78ED"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900334431</w:t>
            </w:r>
          </w:p>
        </w:tc>
        <w:tc>
          <w:tcPr>
            <w:tcW w:w="2180" w:type="dxa"/>
            <w:tcBorders>
              <w:top w:val="nil"/>
              <w:left w:val="nil"/>
              <w:bottom w:val="single" w:sz="4" w:space="0" w:color="auto"/>
              <w:right w:val="single" w:sz="4" w:space="0" w:color="auto"/>
            </w:tcBorders>
            <w:shd w:val="clear" w:color="000000" w:fill="F2F2F2"/>
            <w:vAlign w:val="center"/>
            <w:hideMark/>
          </w:tcPr>
          <w:p w14:paraId="10CDDD4A"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TERMONORTE SAS ESP</w:t>
            </w:r>
          </w:p>
        </w:tc>
        <w:tc>
          <w:tcPr>
            <w:tcW w:w="1520" w:type="dxa"/>
            <w:tcBorders>
              <w:top w:val="nil"/>
              <w:left w:val="nil"/>
              <w:bottom w:val="single" w:sz="4" w:space="0" w:color="auto"/>
              <w:right w:val="single" w:sz="4" w:space="0" w:color="auto"/>
            </w:tcBorders>
            <w:shd w:val="clear" w:color="000000" w:fill="F2F2F2"/>
            <w:noWrap/>
            <w:vAlign w:val="center"/>
            <w:hideMark/>
          </w:tcPr>
          <w:p w14:paraId="44AF146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$ 16.222.430.000</w:t>
            </w:r>
          </w:p>
        </w:tc>
        <w:tc>
          <w:tcPr>
            <w:tcW w:w="1440" w:type="dxa"/>
            <w:tcBorders>
              <w:top w:val="nil"/>
              <w:left w:val="nil"/>
              <w:bottom w:val="single" w:sz="4" w:space="0" w:color="auto"/>
              <w:right w:val="single" w:sz="4" w:space="0" w:color="auto"/>
            </w:tcBorders>
            <w:shd w:val="clear" w:color="000000" w:fill="F2F2F2"/>
            <w:noWrap/>
            <w:vAlign w:val="center"/>
            <w:hideMark/>
          </w:tcPr>
          <w:p w14:paraId="0BAEC04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$ 1.142.304.732</w:t>
            </w:r>
          </w:p>
        </w:tc>
        <w:tc>
          <w:tcPr>
            <w:tcW w:w="1460" w:type="dxa"/>
            <w:tcBorders>
              <w:top w:val="nil"/>
              <w:left w:val="nil"/>
              <w:bottom w:val="single" w:sz="4" w:space="0" w:color="auto"/>
              <w:right w:val="single" w:sz="4" w:space="0" w:color="auto"/>
            </w:tcBorders>
            <w:shd w:val="clear" w:color="000000" w:fill="F2F2F2"/>
            <w:noWrap/>
            <w:vAlign w:val="center"/>
            <w:hideMark/>
          </w:tcPr>
          <w:p w14:paraId="4A13769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$ 17.364.734.732</w:t>
            </w:r>
          </w:p>
        </w:tc>
        <w:tc>
          <w:tcPr>
            <w:tcW w:w="1260" w:type="dxa"/>
            <w:tcBorders>
              <w:top w:val="nil"/>
              <w:left w:val="nil"/>
              <w:bottom w:val="single" w:sz="4" w:space="0" w:color="auto"/>
              <w:right w:val="single" w:sz="4" w:space="0" w:color="auto"/>
            </w:tcBorders>
            <w:shd w:val="clear" w:color="000000" w:fill="F2F2F2"/>
            <w:noWrap/>
            <w:vAlign w:val="center"/>
            <w:hideMark/>
          </w:tcPr>
          <w:p w14:paraId="67B8DF3C"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$ 173.647.347</w:t>
            </w:r>
          </w:p>
        </w:tc>
        <w:tc>
          <w:tcPr>
            <w:tcW w:w="1120" w:type="dxa"/>
            <w:tcBorders>
              <w:top w:val="nil"/>
              <w:left w:val="nil"/>
              <w:bottom w:val="single" w:sz="4" w:space="0" w:color="auto"/>
              <w:right w:val="single" w:sz="4" w:space="0" w:color="auto"/>
            </w:tcBorders>
            <w:shd w:val="clear" w:color="000000" w:fill="F2F2F2"/>
            <w:noWrap/>
            <w:vAlign w:val="center"/>
            <w:hideMark/>
          </w:tcPr>
          <w:p w14:paraId="3A58E7F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$ 7.227</w:t>
            </w:r>
          </w:p>
        </w:tc>
        <w:tc>
          <w:tcPr>
            <w:tcW w:w="1260" w:type="dxa"/>
            <w:tcBorders>
              <w:top w:val="nil"/>
              <w:left w:val="nil"/>
              <w:bottom w:val="single" w:sz="4" w:space="0" w:color="auto"/>
              <w:right w:val="single" w:sz="4" w:space="0" w:color="auto"/>
            </w:tcBorders>
            <w:shd w:val="clear" w:color="000000" w:fill="F2F2F2"/>
            <w:noWrap/>
            <w:vAlign w:val="center"/>
            <w:hideMark/>
          </w:tcPr>
          <w:p w14:paraId="7FC819DD"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$ 173.654.574</w:t>
            </w:r>
          </w:p>
        </w:tc>
        <w:tc>
          <w:tcPr>
            <w:tcW w:w="1920" w:type="dxa"/>
            <w:tcBorders>
              <w:top w:val="nil"/>
              <w:left w:val="nil"/>
              <w:bottom w:val="single" w:sz="4" w:space="0" w:color="auto"/>
              <w:right w:val="single" w:sz="4" w:space="0" w:color="auto"/>
            </w:tcBorders>
            <w:shd w:val="clear" w:color="000000" w:fill="F2F2F2"/>
            <w:vAlign w:val="center"/>
            <w:hideMark/>
          </w:tcPr>
          <w:p w14:paraId="3A952E65"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w:t>
            </w:r>
          </w:p>
        </w:tc>
      </w:tr>
      <w:tr w:rsidR="00D705A6" w:rsidRPr="002E0BB9" w14:paraId="6513427B" w14:textId="77777777" w:rsidTr="007D1249">
        <w:trPr>
          <w:trHeight w:val="4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0C8F0254"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173</w:t>
            </w:r>
          </w:p>
        </w:tc>
        <w:tc>
          <w:tcPr>
            <w:tcW w:w="560" w:type="dxa"/>
            <w:tcBorders>
              <w:top w:val="nil"/>
              <w:left w:val="nil"/>
              <w:bottom w:val="single" w:sz="4" w:space="0" w:color="auto"/>
              <w:right w:val="single" w:sz="4" w:space="0" w:color="auto"/>
            </w:tcBorders>
            <w:shd w:val="clear" w:color="000000" w:fill="F2F2F2"/>
            <w:noWrap/>
            <w:vAlign w:val="center"/>
            <w:hideMark/>
          </w:tcPr>
          <w:p w14:paraId="6559012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23312</w:t>
            </w:r>
          </w:p>
        </w:tc>
        <w:tc>
          <w:tcPr>
            <w:tcW w:w="920" w:type="dxa"/>
            <w:tcBorders>
              <w:top w:val="nil"/>
              <w:left w:val="nil"/>
              <w:bottom w:val="single" w:sz="4" w:space="0" w:color="auto"/>
              <w:right w:val="single" w:sz="4" w:space="0" w:color="auto"/>
            </w:tcBorders>
            <w:shd w:val="clear" w:color="000000" w:fill="F2F2F2"/>
            <w:noWrap/>
            <w:vAlign w:val="center"/>
            <w:hideMark/>
          </w:tcPr>
          <w:p w14:paraId="228DBDDD"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900335279</w:t>
            </w:r>
          </w:p>
        </w:tc>
        <w:tc>
          <w:tcPr>
            <w:tcW w:w="2180" w:type="dxa"/>
            <w:tcBorders>
              <w:top w:val="nil"/>
              <w:left w:val="nil"/>
              <w:bottom w:val="single" w:sz="4" w:space="0" w:color="auto"/>
              <w:right w:val="single" w:sz="4" w:space="0" w:color="auto"/>
            </w:tcBorders>
            <w:shd w:val="clear" w:color="000000" w:fill="F2F2F2"/>
            <w:vAlign w:val="center"/>
            <w:hideMark/>
          </w:tcPr>
          <w:p w14:paraId="32B97D76"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INVERSIONES GLP SAS ESP</w:t>
            </w:r>
          </w:p>
        </w:tc>
        <w:tc>
          <w:tcPr>
            <w:tcW w:w="1520" w:type="dxa"/>
            <w:tcBorders>
              <w:top w:val="nil"/>
              <w:left w:val="nil"/>
              <w:bottom w:val="single" w:sz="4" w:space="0" w:color="auto"/>
              <w:right w:val="single" w:sz="4" w:space="0" w:color="auto"/>
            </w:tcBorders>
            <w:shd w:val="clear" w:color="000000" w:fill="F2F2F2"/>
            <w:noWrap/>
            <w:vAlign w:val="center"/>
            <w:hideMark/>
          </w:tcPr>
          <w:p w14:paraId="110ED7DC"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$ 10.498.240.753</w:t>
            </w:r>
          </w:p>
        </w:tc>
        <w:tc>
          <w:tcPr>
            <w:tcW w:w="1440" w:type="dxa"/>
            <w:tcBorders>
              <w:top w:val="nil"/>
              <w:left w:val="nil"/>
              <w:bottom w:val="single" w:sz="4" w:space="0" w:color="auto"/>
              <w:right w:val="single" w:sz="4" w:space="0" w:color="auto"/>
            </w:tcBorders>
            <w:shd w:val="clear" w:color="000000" w:fill="F2F2F2"/>
            <w:noWrap/>
            <w:vAlign w:val="center"/>
            <w:hideMark/>
          </w:tcPr>
          <w:p w14:paraId="017BCB0C"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$ 2.116.478.325</w:t>
            </w:r>
          </w:p>
        </w:tc>
        <w:tc>
          <w:tcPr>
            <w:tcW w:w="1460" w:type="dxa"/>
            <w:tcBorders>
              <w:top w:val="nil"/>
              <w:left w:val="nil"/>
              <w:bottom w:val="single" w:sz="4" w:space="0" w:color="auto"/>
              <w:right w:val="single" w:sz="4" w:space="0" w:color="auto"/>
            </w:tcBorders>
            <w:shd w:val="clear" w:color="000000" w:fill="F2F2F2"/>
            <w:noWrap/>
            <w:vAlign w:val="center"/>
            <w:hideMark/>
          </w:tcPr>
          <w:p w14:paraId="052940B6"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$ 12.614.719.078</w:t>
            </w:r>
          </w:p>
        </w:tc>
        <w:tc>
          <w:tcPr>
            <w:tcW w:w="1260" w:type="dxa"/>
            <w:tcBorders>
              <w:top w:val="nil"/>
              <w:left w:val="nil"/>
              <w:bottom w:val="single" w:sz="4" w:space="0" w:color="auto"/>
              <w:right w:val="single" w:sz="4" w:space="0" w:color="auto"/>
            </w:tcBorders>
            <w:shd w:val="clear" w:color="000000" w:fill="F2F2F2"/>
            <w:noWrap/>
            <w:vAlign w:val="center"/>
            <w:hideMark/>
          </w:tcPr>
          <w:p w14:paraId="1AA4462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$ 126.147.191</w:t>
            </w:r>
          </w:p>
        </w:tc>
        <w:tc>
          <w:tcPr>
            <w:tcW w:w="1120" w:type="dxa"/>
            <w:tcBorders>
              <w:top w:val="nil"/>
              <w:left w:val="nil"/>
              <w:bottom w:val="single" w:sz="4" w:space="0" w:color="auto"/>
              <w:right w:val="single" w:sz="4" w:space="0" w:color="auto"/>
            </w:tcBorders>
            <w:shd w:val="clear" w:color="000000" w:fill="F2F2F2"/>
            <w:noWrap/>
            <w:vAlign w:val="center"/>
            <w:hideMark/>
          </w:tcPr>
          <w:p w14:paraId="2B2543AA"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$ 5.250</w:t>
            </w:r>
          </w:p>
        </w:tc>
        <w:tc>
          <w:tcPr>
            <w:tcW w:w="1260" w:type="dxa"/>
            <w:tcBorders>
              <w:top w:val="nil"/>
              <w:left w:val="nil"/>
              <w:bottom w:val="single" w:sz="4" w:space="0" w:color="auto"/>
              <w:right w:val="single" w:sz="4" w:space="0" w:color="auto"/>
            </w:tcBorders>
            <w:shd w:val="clear" w:color="000000" w:fill="F2F2F2"/>
            <w:noWrap/>
            <w:vAlign w:val="center"/>
            <w:hideMark/>
          </w:tcPr>
          <w:p w14:paraId="4FA18902"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$ 126.152.441</w:t>
            </w:r>
          </w:p>
        </w:tc>
        <w:tc>
          <w:tcPr>
            <w:tcW w:w="1920" w:type="dxa"/>
            <w:tcBorders>
              <w:top w:val="nil"/>
              <w:left w:val="nil"/>
              <w:bottom w:val="single" w:sz="4" w:space="0" w:color="auto"/>
              <w:right w:val="single" w:sz="4" w:space="0" w:color="auto"/>
            </w:tcBorders>
            <w:shd w:val="clear" w:color="000000" w:fill="F2F2F2"/>
            <w:vAlign w:val="center"/>
            <w:hideMark/>
          </w:tcPr>
          <w:p w14:paraId="0312033F"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GAS LICUADO DEL PETROLEO</w:t>
            </w:r>
          </w:p>
        </w:tc>
      </w:tr>
      <w:tr w:rsidR="00D705A6" w:rsidRPr="002E0BB9" w14:paraId="59A2082D" w14:textId="77777777" w:rsidTr="007D1249">
        <w:trPr>
          <w:trHeight w:val="4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2EEA442D"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174</w:t>
            </w:r>
          </w:p>
        </w:tc>
        <w:tc>
          <w:tcPr>
            <w:tcW w:w="560" w:type="dxa"/>
            <w:tcBorders>
              <w:top w:val="nil"/>
              <w:left w:val="nil"/>
              <w:bottom w:val="single" w:sz="4" w:space="0" w:color="auto"/>
              <w:right w:val="single" w:sz="4" w:space="0" w:color="auto"/>
            </w:tcBorders>
            <w:shd w:val="clear" w:color="000000" w:fill="F2F2F2"/>
            <w:noWrap/>
            <w:vAlign w:val="center"/>
            <w:hideMark/>
          </w:tcPr>
          <w:p w14:paraId="6C463482"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23430</w:t>
            </w:r>
          </w:p>
        </w:tc>
        <w:tc>
          <w:tcPr>
            <w:tcW w:w="920" w:type="dxa"/>
            <w:tcBorders>
              <w:top w:val="nil"/>
              <w:left w:val="nil"/>
              <w:bottom w:val="single" w:sz="4" w:space="0" w:color="auto"/>
              <w:right w:val="single" w:sz="4" w:space="0" w:color="auto"/>
            </w:tcBorders>
            <w:shd w:val="clear" w:color="000000" w:fill="F2F2F2"/>
            <w:noWrap/>
            <w:vAlign w:val="center"/>
            <w:hideMark/>
          </w:tcPr>
          <w:p w14:paraId="5C5947FA"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900339174</w:t>
            </w:r>
          </w:p>
        </w:tc>
        <w:tc>
          <w:tcPr>
            <w:tcW w:w="2180" w:type="dxa"/>
            <w:tcBorders>
              <w:top w:val="nil"/>
              <w:left w:val="nil"/>
              <w:bottom w:val="single" w:sz="4" w:space="0" w:color="auto"/>
              <w:right w:val="single" w:sz="4" w:space="0" w:color="auto"/>
            </w:tcBorders>
            <w:shd w:val="clear" w:color="000000" w:fill="F2F2F2"/>
            <w:vAlign w:val="center"/>
            <w:hideMark/>
          </w:tcPr>
          <w:p w14:paraId="682B1942"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PARA EL AMAZONAS S.A. ESP</w:t>
            </w:r>
          </w:p>
        </w:tc>
        <w:tc>
          <w:tcPr>
            <w:tcW w:w="1520" w:type="dxa"/>
            <w:tcBorders>
              <w:top w:val="nil"/>
              <w:left w:val="nil"/>
              <w:bottom w:val="single" w:sz="4" w:space="0" w:color="auto"/>
              <w:right w:val="single" w:sz="4" w:space="0" w:color="auto"/>
            </w:tcBorders>
            <w:shd w:val="clear" w:color="000000" w:fill="F2F2F2"/>
            <w:noWrap/>
            <w:vAlign w:val="center"/>
            <w:hideMark/>
          </w:tcPr>
          <w:p w14:paraId="5874F83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$ 1.853.012.000</w:t>
            </w:r>
          </w:p>
        </w:tc>
        <w:tc>
          <w:tcPr>
            <w:tcW w:w="1440" w:type="dxa"/>
            <w:tcBorders>
              <w:top w:val="nil"/>
              <w:left w:val="nil"/>
              <w:bottom w:val="single" w:sz="4" w:space="0" w:color="auto"/>
              <w:right w:val="single" w:sz="4" w:space="0" w:color="auto"/>
            </w:tcBorders>
            <w:shd w:val="clear" w:color="000000" w:fill="F2F2F2"/>
            <w:noWrap/>
            <w:vAlign w:val="center"/>
            <w:hideMark/>
          </w:tcPr>
          <w:p w14:paraId="1A62CD11"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$ 283.189.272</w:t>
            </w:r>
          </w:p>
        </w:tc>
        <w:tc>
          <w:tcPr>
            <w:tcW w:w="1460" w:type="dxa"/>
            <w:tcBorders>
              <w:top w:val="nil"/>
              <w:left w:val="nil"/>
              <w:bottom w:val="single" w:sz="4" w:space="0" w:color="auto"/>
              <w:right w:val="single" w:sz="4" w:space="0" w:color="auto"/>
            </w:tcBorders>
            <w:shd w:val="clear" w:color="000000" w:fill="F2F2F2"/>
            <w:noWrap/>
            <w:vAlign w:val="center"/>
            <w:hideMark/>
          </w:tcPr>
          <w:p w14:paraId="5B61C76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$ 2.136.201.272</w:t>
            </w:r>
          </w:p>
        </w:tc>
        <w:tc>
          <w:tcPr>
            <w:tcW w:w="1260" w:type="dxa"/>
            <w:tcBorders>
              <w:top w:val="nil"/>
              <w:left w:val="nil"/>
              <w:bottom w:val="single" w:sz="4" w:space="0" w:color="auto"/>
              <w:right w:val="single" w:sz="4" w:space="0" w:color="auto"/>
            </w:tcBorders>
            <w:shd w:val="clear" w:color="000000" w:fill="F2F2F2"/>
            <w:noWrap/>
            <w:vAlign w:val="center"/>
            <w:hideMark/>
          </w:tcPr>
          <w:p w14:paraId="512BF6DD"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$ 21.362.013</w:t>
            </w:r>
          </w:p>
        </w:tc>
        <w:tc>
          <w:tcPr>
            <w:tcW w:w="1120" w:type="dxa"/>
            <w:tcBorders>
              <w:top w:val="nil"/>
              <w:left w:val="nil"/>
              <w:bottom w:val="single" w:sz="4" w:space="0" w:color="auto"/>
              <w:right w:val="single" w:sz="4" w:space="0" w:color="auto"/>
            </w:tcBorders>
            <w:shd w:val="clear" w:color="000000" w:fill="F2F2F2"/>
            <w:noWrap/>
            <w:vAlign w:val="center"/>
            <w:hideMark/>
          </w:tcPr>
          <w:p w14:paraId="1EAA4F75"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$ 889</w:t>
            </w:r>
          </w:p>
        </w:tc>
        <w:tc>
          <w:tcPr>
            <w:tcW w:w="1260" w:type="dxa"/>
            <w:tcBorders>
              <w:top w:val="nil"/>
              <w:left w:val="nil"/>
              <w:bottom w:val="single" w:sz="4" w:space="0" w:color="auto"/>
              <w:right w:val="single" w:sz="4" w:space="0" w:color="auto"/>
            </w:tcBorders>
            <w:shd w:val="clear" w:color="000000" w:fill="F2F2F2"/>
            <w:noWrap/>
            <w:vAlign w:val="center"/>
            <w:hideMark/>
          </w:tcPr>
          <w:p w14:paraId="06B706D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$ 21.362.902</w:t>
            </w:r>
          </w:p>
        </w:tc>
        <w:tc>
          <w:tcPr>
            <w:tcW w:w="1920" w:type="dxa"/>
            <w:tcBorders>
              <w:top w:val="nil"/>
              <w:left w:val="nil"/>
              <w:bottom w:val="single" w:sz="4" w:space="0" w:color="auto"/>
              <w:right w:val="single" w:sz="4" w:space="0" w:color="auto"/>
            </w:tcBorders>
            <w:shd w:val="clear" w:color="000000" w:fill="F2F2F2"/>
            <w:vAlign w:val="center"/>
            <w:hideMark/>
          </w:tcPr>
          <w:p w14:paraId="368CFBBB"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w:t>
            </w:r>
          </w:p>
        </w:tc>
      </w:tr>
      <w:tr w:rsidR="00D705A6" w:rsidRPr="002E0BB9" w14:paraId="1537341F" w14:textId="77777777" w:rsidTr="007D1249">
        <w:trPr>
          <w:trHeight w:val="4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38209EFC"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175</w:t>
            </w:r>
          </w:p>
        </w:tc>
        <w:tc>
          <w:tcPr>
            <w:tcW w:w="560" w:type="dxa"/>
            <w:tcBorders>
              <w:top w:val="nil"/>
              <w:left w:val="nil"/>
              <w:bottom w:val="single" w:sz="4" w:space="0" w:color="auto"/>
              <w:right w:val="single" w:sz="4" w:space="0" w:color="auto"/>
            </w:tcBorders>
            <w:shd w:val="clear" w:color="000000" w:fill="F2F2F2"/>
            <w:noWrap/>
            <w:vAlign w:val="center"/>
            <w:hideMark/>
          </w:tcPr>
          <w:p w14:paraId="567FEDF5"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23330</w:t>
            </w:r>
          </w:p>
        </w:tc>
        <w:tc>
          <w:tcPr>
            <w:tcW w:w="920" w:type="dxa"/>
            <w:tcBorders>
              <w:top w:val="nil"/>
              <w:left w:val="nil"/>
              <w:bottom w:val="single" w:sz="4" w:space="0" w:color="auto"/>
              <w:right w:val="single" w:sz="4" w:space="0" w:color="auto"/>
            </w:tcBorders>
            <w:shd w:val="clear" w:color="000000" w:fill="F2F2F2"/>
            <w:noWrap/>
            <w:vAlign w:val="center"/>
            <w:hideMark/>
          </w:tcPr>
          <w:p w14:paraId="04D8A3A1"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900341483</w:t>
            </w:r>
          </w:p>
        </w:tc>
        <w:tc>
          <w:tcPr>
            <w:tcW w:w="2180" w:type="dxa"/>
            <w:tcBorders>
              <w:top w:val="nil"/>
              <w:left w:val="nil"/>
              <w:bottom w:val="single" w:sz="4" w:space="0" w:color="auto"/>
              <w:right w:val="single" w:sz="4" w:space="0" w:color="auto"/>
            </w:tcBorders>
            <w:shd w:val="clear" w:color="000000" w:fill="F2F2F2"/>
            <w:vAlign w:val="center"/>
            <w:hideMark/>
          </w:tcPr>
          <w:p w14:paraId="0609FFE1"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PROFESIONALES EN ENERGÍA S.A E.</w:t>
            </w:r>
            <w:proofErr w:type="gramStart"/>
            <w:r w:rsidRPr="002E0BB9">
              <w:rPr>
                <w:rFonts w:ascii="Arial Narrow" w:hAnsi="Arial Narrow" w:cs="Arial"/>
                <w:spacing w:val="0"/>
                <w:sz w:val="16"/>
                <w:szCs w:val="16"/>
                <w:lang w:val="es-MX" w:eastAsia="es-MX"/>
              </w:rPr>
              <w:t>S.P</w:t>
            </w:r>
            <w:proofErr w:type="gramEnd"/>
          </w:p>
        </w:tc>
        <w:tc>
          <w:tcPr>
            <w:tcW w:w="1520" w:type="dxa"/>
            <w:tcBorders>
              <w:top w:val="nil"/>
              <w:left w:val="nil"/>
              <w:bottom w:val="single" w:sz="4" w:space="0" w:color="auto"/>
              <w:right w:val="single" w:sz="4" w:space="0" w:color="auto"/>
            </w:tcBorders>
            <w:shd w:val="clear" w:color="000000" w:fill="F2F2F2"/>
            <w:noWrap/>
            <w:vAlign w:val="center"/>
            <w:hideMark/>
          </w:tcPr>
          <w:p w14:paraId="48AA0A8B"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$ 1.458.839.000</w:t>
            </w:r>
          </w:p>
        </w:tc>
        <w:tc>
          <w:tcPr>
            <w:tcW w:w="1440" w:type="dxa"/>
            <w:tcBorders>
              <w:top w:val="nil"/>
              <w:left w:val="nil"/>
              <w:bottom w:val="single" w:sz="4" w:space="0" w:color="auto"/>
              <w:right w:val="single" w:sz="4" w:space="0" w:color="auto"/>
            </w:tcBorders>
            <w:shd w:val="clear" w:color="000000" w:fill="F2F2F2"/>
            <w:noWrap/>
            <w:vAlign w:val="center"/>
            <w:hideMark/>
          </w:tcPr>
          <w:p w14:paraId="3E634BFD"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$ 659.967.814</w:t>
            </w:r>
          </w:p>
        </w:tc>
        <w:tc>
          <w:tcPr>
            <w:tcW w:w="1460" w:type="dxa"/>
            <w:tcBorders>
              <w:top w:val="nil"/>
              <w:left w:val="nil"/>
              <w:bottom w:val="single" w:sz="4" w:space="0" w:color="auto"/>
              <w:right w:val="single" w:sz="4" w:space="0" w:color="auto"/>
            </w:tcBorders>
            <w:shd w:val="clear" w:color="000000" w:fill="F2F2F2"/>
            <w:noWrap/>
            <w:vAlign w:val="center"/>
            <w:hideMark/>
          </w:tcPr>
          <w:p w14:paraId="02670C6B"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$ 2.118.806.814</w:t>
            </w:r>
          </w:p>
        </w:tc>
        <w:tc>
          <w:tcPr>
            <w:tcW w:w="1260" w:type="dxa"/>
            <w:tcBorders>
              <w:top w:val="nil"/>
              <w:left w:val="nil"/>
              <w:bottom w:val="single" w:sz="4" w:space="0" w:color="auto"/>
              <w:right w:val="single" w:sz="4" w:space="0" w:color="auto"/>
            </w:tcBorders>
            <w:shd w:val="clear" w:color="000000" w:fill="F2F2F2"/>
            <w:noWrap/>
            <w:vAlign w:val="center"/>
            <w:hideMark/>
          </w:tcPr>
          <w:p w14:paraId="465420BD"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$ 21.188.068</w:t>
            </w:r>
          </w:p>
        </w:tc>
        <w:tc>
          <w:tcPr>
            <w:tcW w:w="1120" w:type="dxa"/>
            <w:tcBorders>
              <w:top w:val="nil"/>
              <w:left w:val="nil"/>
              <w:bottom w:val="single" w:sz="4" w:space="0" w:color="auto"/>
              <w:right w:val="single" w:sz="4" w:space="0" w:color="auto"/>
            </w:tcBorders>
            <w:shd w:val="clear" w:color="000000" w:fill="F2F2F2"/>
            <w:noWrap/>
            <w:vAlign w:val="center"/>
            <w:hideMark/>
          </w:tcPr>
          <w:p w14:paraId="2478D186"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$ 882</w:t>
            </w:r>
          </w:p>
        </w:tc>
        <w:tc>
          <w:tcPr>
            <w:tcW w:w="1260" w:type="dxa"/>
            <w:tcBorders>
              <w:top w:val="nil"/>
              <w:left w:val="nil"/>
              <w:bottom w:val="single" w:sz="4" w:space="0" w:color="auto"/>
              <w:right w:val="single" w:sz="4" w:space="0" w:color="auto"/>
            </w:tcBorders>
            <w:shd w:val="clear" w:color="000000" w:fill="F2F2F2"/>
            <w:noWrap/>
            <w:vAlign w:val="center"/>
            <w:hideMark/>
          </w:tcPr>
          <w:p w14:paraId="4A0ACA82"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$ 21.188.950</w:t>
            </w:r>
          </w:p>
        </w:tc>
        <w:tc>
          <w:tcPr>
            <w:tcW w:w="1920" w:type="dxa"/>
            <w:tcBorders>
              <w:top w:val="nil"/>
              <w:left w:val="nil"/>
              <w:bottom w:val="single" w:sz="4" w:space="0" w:color="auto"/>
              <w:right w:val="single" w:sz="4" w:space="0" w:color="auto"/>
            </w:tcBorders>
            <w:shd w:val="clear" w:color="000000" w:fill="F2F2F2"/>
            <w:vAlign w:val="center"/>
            <w:hideMark/>
          </w:tcPr>
          <w:p w14:paraId="1B07CC59"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w:t>
            </w:r>
          </w:p>
        </w:tc>
      </w:tr>
      <w:tr w:rsidR="00D705A6" w:rsidRPr="002E0BB9" w14:paraId="470AE985" w14:textId="77777777" w:rsidTr="007D1249">
        <w:trPr>
          <w:trHeight w:val="4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01D74F2D"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lastRenderedPageBreak/>
              <w:t>176</w:t>
            </w:r>
          </w:p>
        </w:tc>
        <w:tc>
          <w:tcPr>
            <w:tcW w:w="560" w:type="dxa"/>
            <w:tcBorders>
              <w:top w:val="nil"/>
              <w:left w:val="nil"/>
              <w:bottom w:val="single" w:sz="4" w:space="0" w:color="auto"/>
              <w:right w:val="single" w:sz="4" w:space="0" w:color="auto"/>
            </w:tcBorders>
            <w:shd w:val="clear" w:color="000000" w:fill="F2F2F2"/>
            <w:noWrap/>
            <w:vAlign w:val="center"/>
            <w:hideMark/>
          </w:tcPr>
          <w:p w14:paraId="3C051085"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26559</w:t>
            </w:r>
          </w:p>
        </w:tc>
        <w:tc>
          <w:tcPr>
            <w:tcW w:w="920" w:type="dxa"/>
            <w:tcBorders>
              <w:top w:val="nil"/>
              <w:left w:val="nil"/>
              <w:bottom w:val="single" w:sz="4" w:space="0" w:color="auto"/>
              <w:right w:val="single" w:sz="4" w:space="0" w:color="auto"/>
            </w:tcBorders>
            <w:shd w:val="clear" w:color="000000" w:fill="F2F2F2"/>
            <w:noWrap/>
            <w:vAlign w:val="center"/>
            <w:hideMark/>
          </w:tcPr>
          <w:p w14:paraId="2957876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900344208</w:t>
            </w:r>
          </w:p>
        </w:tc>
        <w:tc>
          <w:tcPr>
            <w:tcW w:w="2180" w:type="dxa"/>
            <w:tcBorders>
              <w:top w:val="nil"/>
              <w:left w:val="nil"/>
              <w:bottom w:val="single" w:sz="4" w:space="0" w:color="auto"/>
              <w:right w:val="single" w:sz="4" w:space="0" w:color="auto"/>
            </w:tcBorders>
            <w:shd w:val="clear" w:color="000000" w:fill="F2F2F2"/>
            <w:vAlign w:val="center"/>
            <w:hideMark/>
          </w:tcPr>
          <w:p w14:paraId="1DF13C2D"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IA ENERGIA Y GESTION S.A.S. E.S.P.</w:t>
            </w:r>
          </w:p>
        </w:tc>
        <w:tc>
          <w:tcPr>
            <w:tcW w:w="1520" w:type="dxa"/>
            <w:tcBorders>
              <w:top w:val="nil"/>
              <w:left w:val="nil"/>
              <w:bottom w:val="single" w:sz="4" w:space="0" w:color="auto"/>
              <w:right w:val="single" w:sz="4" w:space="0" w:color="auto"/>
            </w:tcBorders>
            <w:shd w:val="clear" w:color="000000" w:fill="F2F2F2"/>
            <w:noWrap/>
            <w:vAlign w:val="center"/>
            <w:hideMark/>
          </w:tcPr>
          <w:p w14:paraId="4A9E5D11"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$ 1.045.130.000</w:t>
            </w:r>
          </w:p>
        </w:tc>
        <w:tc>
          <w:tcPr>
            <w:tcW w:w="1440" w:type="dxa"/>
            <w:tcBorders>
              <w:top w:val="nil"/>
              <w:left w:val="nil"/>
              <w:bottom w:val="single" w:sz="4" w:space="0" w:color="auto"/>
              <w:right w:val="single" w:sz="4" w:space="0" w:color="auto"/>
            </w:tcBorders>
            <w:shd w:val="clear" w:color="000000" w:fill="F2F2F2"/>
            <w:noWrap/>
            <w:vAlign w:val="center"/>
            <w:hideMark/>
          </w:tcPr>
          <w:p w14:paraId="38654365"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$ 357.764.192</w:t>
            </w:r>
          </w:p>
        </w:tc>
        <w:tc>
          <w:tcPr>
            <w:tcW w:w="1460" w:type="dxa"/>
            <w:tcBorders>
              <w:top w:val="nil"/>
              <w:left w:val="nil"/>
              <w:bottom w:val="single" w:sz="4" w:space="0" w:color="auto"/>
              <w:right w:val="single" w:sz="4" w:space="0" w:color="auto"/>
            </w:tcBorders>
            <w:shd w:val="clear" w:color="000000" w:fill="F2F2F2"/>
            <w:noWrap/>
            <w:vAlign w:val="center"/>
            <w:hideMark/>
          </w:tcPr>
          <w:p w14:paraId="1FD75AF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$ 1.402.894.192</w:t>
            </w:r>
          </w:p>
        </w:tc>
        <w:tc>
          <w:tcPr>
            <w:tcW w:w="1260" w:type="dxa"/>
            <w:tcBorders>
              <w:top w:val="nil"/>
              <w:left w:val="nil"/>
              <w:bottom w:val="single" w:sz="4" w:space="0" w:color="auto"/>
              <w:right w:val="single" w:sz="4" w:space="0" w:color="auto"/>
            </w:tcBorders>
            <w:shd w:val="clear" w:color="000000" w:fill="F2F2F2"/>
            <w:noWrap/>
            <w:vAlign w:val="center"/>
            <w:hideMark/>
          </w:tcPr>
          <w:p w14:paraId="23C8ED47"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$ 14.028.942</w:t>
            </w:r>
          </w:p>
        </w:tc>
        <w:tc>
          <w:tcPr>
            <w:tcW w:w="1120" w:type="dxa"/>
            <w:tcBorders>
              <w:top w:val="nil"/>
              <w:left w:val="nil"/>
              <w:bottom w:val="single" w:sz="4" w:space="0" w:color="auto"/>
              <w:right w:val="single" w:sz="4" w:space="0" w:color="auto"/>
            </w:tcBorders>
            <w:shd w:val="clear" w:color="000000" w:fill="F2F2F2"/>
            <w:noWrap/>
            <w:vAlign w:val="center"/>
            <w:hideMark/>
          </w:tcPr>
          <w:p w14:paraId="6E437DD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$ 584</w:t>
            </w:r>
          </w:p>
        </w:tc>
        <w:tc>
          <w:tcPr>
            <w:tcW w:w="1260" w:type="dxa"/>
            <w:tcBorders>
              <w:top w:val="nil"/>
              <w:left w:val="nil"/>
              <w:bottom w:val="single" w:sz="4" w:space="0" w:color="auto"/>
              <w:right w:val="single" w:sz="4" w:space="0" w:color="auto"/>
            </w:tcBorders>
            <w:shd w:val="clear" w:color="000000" w:fill="F2F2F2"/>
            <w:noWrap/>
            <w:vAlign w:val="center"/>
            <w:hideMark/>
          </w:tcPr>
          <w:p w14:paraId="2E3F2155"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$ 14.029.526</w:t>
            </w:r>
          </w:p>
        </w:tc>
        <w:tc>
          <w:tcPr>
            <w:tcW w:w="1920" w:type="dxa"/>
            <w:tcBorders>
              <w:top w:val="nil"/>
              <w:left w:val="nil"/>
              <w:bottom w:val="single" w:sz="4" w:space="0" w:color="auto"/>
              <w:right w:val="single" w:sz="4" w:space="0" w:color="auto"/>
            </w:tcBorders>
            <w:shd w:val="clear" w:color="000000" w:fill="F2F2F2"/>
            <w:vAlign w:val="center"/>
            <w:hideMark/>
          </w:tcPr>
          <w:p w14:paraId="46EE8256"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w:t>
            </w:r>
          </w:p>
        </w:tc>
      </w:tr>
      <w:tr w:rsidR="00D705A6" w:rsidRPr="002E0BB9" w14:paraId="072FDB57" w14:textId="77777777" w:rsidTr="00053706">
        <w:trPr>
          <w:trHeight w:val="487"/>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08AD69B6"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177</w:t>
            </w:r>
          </w:p>
        </w:tc>
        <w:tc>
          <w:tcPr>
            <w:tcW w:w="560" w:type="dxa"/>
            <w:tcBorders>
              <w:top w:val="nil"/>
              <w:left w:val="nil"/>
              <w:bottom w:val="single" w:sz="4" w:space="0" w:color="auto"/>
              <w:right w:val="single" w:sz="4" w:space="0" w:color="auto"/>
            </w:tcBorders>
            <w:shd w:val="clear" w:color="000000" w:fill="F2F2F2"/>
            <w:noWrap/>
            <w:vAlign w:val="center"/>
            <w:hideMark/>
          </w:tcPr>
          <w:p w14:paraId="7FBD2F26"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23423</w:t>
            </w:r>
          </w:p>
        </w:tc>
        <w:tc>
          <w:tcPr>
            <w:tcW w:w="920" w:type="dxa"/>
            <w:tcBorders>
              <w:top w:val="nil"/>
              <w:left w:val="nil"/>
              <w:bottom w:val="single" w:sz="4" w:space="0" w:color="auto"/>
              <w:right w:val="single" w:sz="4" w:space="0" w:color="auto"/>
            </w:tcBorders>
            <w:shd w:val="clear" w:color="000000" w:fill="F2F2F2"/>
            <w:noWrap/>
            <w:vAlign w:val="center"/>
            <w:hideMark/>
          </w:tcPr>
          <w:p w14:paraId="17C6C25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900352055</w:t>
            </w:r>
          </w:p>
        </w:tc>
        <w:tc>
          <w:tcPr>
            <w:tcW w:w="2180" w:type="dxa"/>
            <w:tcBorders>
              <w:top w:val="nil"/>
              <w:left w:val="nil"/>
              <w:bottom w:val="single" w:sz="4" w:space="0" w:color="auto"/>
              <w:right w:val="single" w:sz="4" w:space="0" w:color="auto"/>
            </w:tcBorders>
            <w:shd w:val="clear" w:color="000000" w:fill="F2F2F2"/>
            <w:vAlign w:val="center"/>
            <w:hideMark/>
          </w:tcPr>
          <w:p w14:paraId="3F193421"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EMPRESA ASOCIATIVA DE TRABAJO ENERGIA DEL SUR</w:t>
            </w:r>
          </w:p>
        </w:tc>
        <w:tc>
          <w:tcPr>
            <w:tcW w:w="1520" w:type="dxa"/>
            <w:tcBorders>
              <w:top w:val="nil"/>
              <w:left w:val="nil"/>
              <w:bottom w:val="single" w:sz="4" w:space="0" w:color="auto"/>
              <w:right w:val="single" w:sz="4" w:space="0" w:color="auto"/>
            </w:tcBorders>
            <w:shd w:val="clear" w:color="000000" w:fill="F2F2F2"/>
            <w:noWrap/>
            <w:vAlign w:val="center"/>
            <w:hideMark/>
          </w:tcPr>
          <w:p w14:paraId="44F1B14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$ 319.177.000</w:t>
            </w:r>
          </w:p>
        </w:tc>
        <w:tc>
          <w:tcPr>
            <w:tcW w:w="1440" w:type="dxa"/>
            <w:tcBorders>
              <w:top w:val="nil"/>
              <w:left w:val="nil"/>
              <w:bottom w:val="single" w:sz="4" w:space="0" w:color="auto"/>
              <w:right w:val="single" w:sz="4" w:space="0" w:color="auto"/>
            </w:tcBorders>
            <w:shd w:val="clear" w:color="000000" w:fill="F2F2F2"/>
            <w:noWrap/>
            <w:vAlign w:val="center"/>
            <w:hideMark/>
          </w:tcPr>
          <w:p w14:paraId="0729C73C"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$ 15.259.728</w:t>
            </w:r>
          </w:p>
        </w:tc>
        <w:tc>
          <w:tcPr>
            <w:tcW w:w="1460" w:type="dxa"/>
            <w:tcBorders>
              <w:top w:val="nil"/>
              <w:left w:val="nil"/>
              <w:bottom w:val="single" w:sz="4" w:space="0" w:color="auto"/>
              <w:right w:val="single" w:sz="4" w:space="0" w:color="auto"/>
            </w:tcBorders>
            <w:shd w:val="clear" w:color="000000" w:fill="F2F2F2"/>
            <w:noWrap/>
            <w:vAlign w:val="center"/>
            <w:hideMark/>
          </w:tcPr>
          <w:p w14:paraId="68CCFA3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$ 334.436.728</w:t>
            </w:r>
          </w:p>
        </w:tc>
        <w:tc>
          <w:tcPr>
            <w:tcW w:w="1260" w:type="dxa"/>
            <w:tcBorders>
              <w:top w:val="nil"/>
              <w:left w:val="nil"/>
              <w:bottom w:val="single" w:sz="4" w:space="0" w:color="auto"/>
              <w:right w:val="single" w:sz="4" w:space="0" w:color="auto"/>
            </w:tcBorders>
            <w:shd w:val="clear" w:color="000000" w:fill="F2F2F2"/>
            <w:noWrap/>
            <w:vAlign w:val="center"/>
            <w:hideMark/>
          </w:tcPr>
          <w:p w14:paraId="1AA93E9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$ 3.344.367</w:t>
            </w:r>
          </w:p>
        </w:tc>
        <w:tc>
          <w:tcPr>
            <w:tcW w:w="1120" w:type="dxa"/>
            <w:tcBorders>
              <w:top w:val="nil"/>
              <w:left w:val="nil"/>
              <w:bottom w:val="single" w:sz="4" w:space="0" w:color="auto"/>
              <w:right w:val="single" w:sz="4" w:space="0" w:color="auto"/>
            </w:tcBorders>
            <w:shd w:val="clear" w:color="000000" w:fill="F2F2F2"/>
            <w:noWrap/>
            <w:vAlign w:val="center"/>
            <w:hideMark/>
          </w:tcPr>
          <w:p w14:paraId="69D322C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$ 139</w:t>
            </w:r>
          </w:p>
        </w:tc>
        <w:tc>
          <w:tcPr>
            <w:tcW w:w="1260" w:type="dxa"/>
            <w:tcBorders>
              <w:top w:val="nil"/>
              <w:left w:val="nil"/>
              <w:bottom w:val="single" w:sz="4" w:space="0" w:color="auto"/>
              <w:right w:val="single" w:sz="4" w:space="0" w:color="auto"/>
            </w:tcBorders>
            <w:shd w:val="clear" w:color="000000" w:fill="F2F2F2"/>
            <w:noWrap/>
            <w:vAlign w:val="center"/>
            <w:hideMark/>
          </w:tcPr>
          <w:p w14:paraId="63EA637E"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$ 3.344.506</w:t>
            </w:r>
          </w:p>
        </w:tc>
        <w:tc>
          <w:tcPr>
            <w:tcW w:w="1920" w:type="dxa"/>
            <w:tcBorders>
              <w:top w:val="nil"/>
              <w:left w:val="nil"/>
              <w:bottom w:val="single" w:sz="4" w:space="0" w:color="auto"/>
              <w:right w:val="single" w:sz="4" w:space="0" w:color="auto"/>
            </w:tcBorders>
            <w:shd w:val="clear" w:color="000000" w:fill="F2F2F2"/>
            <w:vAlign w:val="center"/>
            <w:hideMark/>
          </w:tcPr>
          <w:p w14:paraId="31F7B6E2"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w:t>
            </w:r>
          </w:p>
        </w:tc>
      </w:tr>
      <w:tr w:rsidR="00D705A6" w:rsidRPr="002E0BB9" w14:paraId="1104C65E" w14:textId="77777777" w:rsidTr="007D1249">
        <w:trPr>
          <w:trHeight w:val="2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51FE46E9"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178</w:t>
            </w:r>
          </w:p>
        </w:tc>
        <w:tc>
          <w:tcPr>
            <w:tcW w:w="560" w:type="dxa"/>
            <w:tcBorders>
              <w:top w:val="nil"/>
              <w:left w:val="nil"/>
              <w:bottom w:val="single" w:sz="4" w:space="0" w:color="auto"/>
              <w:right w:val="single" w:sz="4" w:space="0" w:color="auto"/>
            </w:tcBorders>
            <w:shd w:val="clear" w:color="000000" w:fill="F2F2F2"/>
            <w:noWrap/>
            <w:vAlign w:val="center"/>
            <w:hideMark/>
          </w:tcPr>
          <w:p w14:paraId="22F33C3A"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24838</w:t>
            </w:r>
          </w:p>
        </w:tc>
        <w:tc>
          <w:tcPr>
            <w:tcW w:w="920" w:type="dxa"/>
            <w:tcBorders>
              <w:top w:val="nil"/>
              <w:left w:val="nil"/>
              <w:bottom w:val="single" w:sz="4" w:space="0" w:color="auto"/>
              <w:right w:val="single" w:sz="4" w:space="0" w:color="auto"/>
            </w:tcBorders>
            <w:shd w:val="clear" w:color="000000" w:fill="F2F2F2"/>
            <w:noWrap/>
            <w:vAlign w:val="center"/>
            <w:hideMark/>
          </w:tcPr>
          <w:p w14:paraId="685A3FE7"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900358272</w:t>
            </w:r>
          </w:p>
        </w:tc>
        <w:tc>
          <w:tcPr>
            <w:tcW w:w="2180" w:type="dxa"/>
            <w:tcBorders>
              <w:top w:val="nil"/>
              <w:left w:val="nil"/>
              <w:bottom w:val="single" w:sz="4" w:space="0" w:color="auto"/>
              <w:right w:val="single" w:sz="4" w:space="0" w:color="auto"/>
            </w:tcBorders>
            <w:shd w:val="clear" w:color="000000" w:fill="F2F2F2"/>
            <w:vAlign w:val="center"/>
            <w:hideMark/>
          </w:tcPr>
          <w:p w14:paraId="69528204"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HZ ENERGY S.A.S. E.S.P.</w:t>
            </w:r>
          </w:p>
        </w:tc>
        <w:tc>
          <w:tcPr>
            <w:tcW w:w="1520" w:type="dxa"/>
            <w:tcBorders>
              <w:top w:val="nil"/>
              <w:left w:val="nil"/>
              <w:bottom w:val="single" w:sz="4" w:space="0" w:color="auto"/>
              <w:right w:val="single" w:sz="4" w:space="0" w:color="auto"/>
            </w:tcBorders>
            <w:shd w:val="clear" w:color="000000" w:fill="F2F2F2"/>
            <w:noWrap/>
            <w:vAlign w:val="center"/>
            <w:hideMark/>
          </w:tcPr>
          <w:p w14:paraId="1D52D262"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$ 868.782.789</w:t>
            </w:r>
          </w:p>
        </w:tc>
        <w:tc>
          <w:tcPr>
            <w:tcW w:w="1440" w:type="dxa"/>
            <w:tcBorders>
              <w:top w:val="nil"/>
              <w:left w:val="nil"/>
              <w:bottom w:val="single" w:sz="4" w:space="0" w:color="auto"/>
              <w:right w:val="single" w:sz="4" w:space="0" w:color="auto"/>
            </w:tcBorders>
            <w:shd w:val="clear" w:color="000000" w:fill="F2F2F2"/>
            <w:noWrap/>
            <w:vAlign w:val="center"/>
            <w:hideMark/>
          </w:tcPr>
          <w:p w14:paraId="0D5DC7E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$ 0</w:t>
            </w:r>
          </w:p>
        </w:tc>
        <w:tc>
          <w:tcPr>
            <w:tcW w:w="1460" w:type="dxa"/>
            <w:tcBorders>
              <w:top w:val="nil"/>
              <w:left w:val="nil"/>
              <w:bottom w:val="single" w:sz="4" w:space="0" w:color="auto"/>
              <w:right w:val="single" w:sz="4" w:space="0" w:color="auto"/>
            </w:tcBorders>
            <w:shd w:val="clear" w:color="000000" w:fill="F2F2F2"/>
            <w:noWrap/>
            <w:vAlign w:val="center"/>
            <w:hideMark/>
          </w:tcPr>
          <w:p w14:paraId="61CABBA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$ 868.782.789</w:t>
            </w:r>
          </w:p>
        </w:tc>
        <w:tc>
          <w:tcPr>
            <w:tcW w:w="1260" w:type="dxa"/>
            <w:tcBorders>
              <w:top w:val="nil"/>
              <w:left w:val="nil"/>
              <w:bottom w:val="single" w:sz="4" w:space="0" w:color="auto"/>
              <w:right w:val="single" w:sz="4" w:space="0" w:color="auto"/>
            </w:tcBorders>
            <w:shd w:val="clear" w:color="000000" w:fill="F2F2F2"/>
            <w:noWrap/>
            <w:vAlign w:val="center"/>
            <w:hideMark/>
          </w:tcPr>
          <w:p w14:paraId="398D4A6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$ 8.687.828</w:t>
            </w:r>
          </w:p>
        </w:tc>
        <w:tc>
          <w:tcPr>
            <w:tcW w:w="1120" w:type="dxa"/>
            <w:tcBorders>
              <w:top w:val="nil"/>
              <w:left w:val="nil"/>
              <w:bottom w:val="single" w:sz="4" w:space="0" w:color="auto"/>
              <w:right w:val="single" w:sz="4" w:space="0" w:color="auto"/>
            </w:tcBorders>
            <w:shd w:val="clear" w:color="000000" w:fill="F2F2F2"/>
            <w:noWrap/>
            <w:vAlign w:val="center"/>
            <w:hideMark/>
          </w:tcPr>
          <w:p w14:paraId="7C6D659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$ 362</w:t>
            </w:r>
          </w:p>
        </w:tc>
        <w:tc>
          <w:tcPr>
            <w:tcW w:w="1260" w:type="dxa"/>
            <w:tcBorders>
              <w:top w:val="nil"/>
              <w:left w:val="nil"/>
              <w:bottom w:val="single" w:sz="4" w:space="0" w:color="auto"/>
              <w:right w:val="single" w:sz="4" w:space="0" w:color="auto"/>
            </w:tcBorders>
            <w:shd w:val="clear" w:color="000000" w:fill="F2F2F2"/>
            <w:noWrap/>
            <w:vAlign w:val="center"/>
            <w:hideMark/>
          </w:tcPr>
          <w:p w14:paraId="0BDED621"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$ 8.688.189</w:t>
            </w:r>
          </w:p>
        </w:tc>
        <w:tc>
          <w:tcPr>
            <w:tcW w:w="1920" w:type="dxa"/>
            <w:tcBorders>
              <w:top w:val="nil"/>
              <w:left w:val="nil"/>
              <w:bottom w:val="single" w:sz="4" w:space="0" w:color="auto"/>
              <w:right w:val="single" w:sz="4" w:space="0" w:color="auto"/>
            </w:tcBorders>
            <w:shd w:val="clear" w:color="000000" w:fill="F2F2F2"/>
            <w:vAlign w:val="center"/>
            <w:hideMark/>
          </w:tcPr>
          <w:p w14:paraId="7EC97119"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w:t>
            </w:r>
          </w:p>
        </w:tc>
      </w:tr>
      <w:tr w:rsidR="00D705A6" w:rsidRPr="002E0BB9" w14:paraId="085BCD99" w14:textId="77777777" w:rsidTr="007D1249">
        <w:trPr>
          <w:trHeight w:val="6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7F3AC868"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179</w:t>
            </w:r>
          </w:p>
        </w:tc>
        <w:tc>
          <w:tcPr>
            <w:tcW w:w="560" w:type="dxa"/>
            <w:tcBorders>
              <w:top w:val="nil"/>
              <w:left w:val="nil"/>
              <w:bottom w:val="single" w:sz="4" w:space="0" w:color="auto"/>
              <w:right w:val="single" w:sz="4" w:space="0" w:color="auto"/>
            </w:tcBorders>
            <w:shd w:val="clear" w:color="000000" w:fill="F2F2F2"/>
            <w:noWrap/>
            <w:vAlign w:val="center"/>
            <w:hideMark/>
          </w:tcPr>
          <w:p w14:paraId="0D2729D5"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23442</w:t>
            </w:r>
          </w:p>
        </w:tc>
        <w:tc>
          <w:tcPr>
            <w:tcW w:w="920" w:type="dxa"/>
            <w:tcBorders>
              <w:top w:val="nil"/>
              <w:left w:val="nil"/>
              <w:bottom w:val="single" w:sz="4" w:space="0" w:color="auto"/>
              <w:right w:val="single" w:sz="4" w:space="0" w:color="auto"/>
            </w:tcBorders>
            <w:shd w:val="clear" w:color="000000" w:fill="F2F2F2"/>
            <w:noWrap/>
            <w:vAlign w:val="center"/>
            <w:hideMark/>
          </w:tcPr>
          <w:p w14:paraId="327C812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900366010</w:t>
            </w:r>
          </w:p>
        </w:tc>
        <w:tc>
          <w:tcPr>
            <w:tcW w:w="2180" w:type="dxa"/>
            <w:tcBorders>
              <w:top w:val="nil"/>
              <w:left w:val="nil"/>
              <w:bottom w:val="single" w:sz="4" w:space="0" w:color="auto"/>
              <w:right w:val="single" w:sz="4" w:space="0" w:color="auto"/>
            </w:tcBorders>
            <w:shd w:val="clear" w:color="000000" w:fill="F2F2F2"/>
            <w:vAlign w:val="center"/>
            <w:hideMark/>
          </w:tcPr>
          <w:p w14:paraId="6D73BEE2"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COMPAÑIA ENERGETICA DE OCCIDENTE S.A.S.  E.S.P.</w:t>
            </w:r>
          </w:p>
        </w:tc>
        <w:tc>
          <w:tcPr>
            <w:tcW w:w="1520" w:type="dxa"/>
            <w:tcBorders>
              <w:top w:val="nil"/>
              <w:left w:val="nil"/>
              <w:bottom w:val="single" w:sz="4" w:space="0" w:color="auto"/>
              <w:right w:val="single" w:sz="4" w:space="0" w:color="auto"/>
            </w:tcBorders>
            <w:shd w:val="clear" w:color="000000" w:fill="F2F2F2"/>
            <w:noWrap/>
            <w:vAlign w:val="center"/>
            <w:hideMark/>
          </w:tcPr>
          <w:p w14:paraId="0C6EDEC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$ 31.420.870.000</w:t>
            </w:r>
          </w:p>
        </w:tc>
        <w:tc>
          <w:tcPr>
            <w:tcW w:w="1440" w:type="dxa"/>
            <w:tcBorders>
              <w:top w:val="nil"/>
              <w:left w:val="nil"/>
              <w:bottom w:val="single" w:sz="4" w:space="0" w:color="auto"/>
              <w:right w:val="single" w:sz="4" w:space="0" w:color="auto"/>
            </w:tcBorders>
            <w:shd w:val="clear" w:color="000000" w:fill="F2F2F2"/>
            <w:noWrap/>
            <w:vAlign w:val="center"/>
            <w:hideMark/>
          </w:tcPr>
          <w:p w14:paraId="14649FA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$ 2.346.654.220</w:t>
            </w:r>
          </w:p>
        </w:tc>
        <w:tc>
          <w:tcPr>
            <w:tcW w:w="1460" w:type="dxa"/>
            <w:tcBorders>
              <w:top w:val="nil"/>
              <w:left w:val="nil"/>
              <w:bottom w:val="single" w:sz="4" w:space="0" w:color="auto"/>
              <w:right w:val="single" w:sz="4" w:space="0" w:color="auto"/>
            </w:tcBorders>
            <w:shd w:val="clear" w:color="000000" w:fill="F2F2F2"/>
            <w:noWrap/>
            <w:vAlign w:val="center"/>
            <w:hideMark/>
          </w:tcPr>
          <w:p w14:paraId="734DA81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$ 33.767.524.220</w:t>
            </w:r>
          </w:p>
        </w:tc>
        <w:tc>
          <w:tcPr>
            <w:tcW w:w="1260" w:type="dxa"/>
            <w:tcBorders>
              <w:top w:val="nil"/>
              <w:left w:val="nil"/>
              <w:bottom w:val="single" w:sz="4" w:space="0" w:color="auto"/>
              <w:right w:val="single" w:sz="4" w:space="0" w:color="auto"/>
            </w:tcBorders>
            <w:shd w:val="clear" w:color="000000" w:fill="F2F2F2"/>
            <w:noWrap/>
            <w:vAlign w:val="center"/>
            <w:hideMark/>
          </w:tcPr>
          <w:p w14:paraId="0535DC0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$ 337.675.242</w:t>
            </w:r>
          </w:p>
        </w:tc>
        <w:tc>
          <w:tcPr>
            <w:tcW w:w="1120" w:type="dxa"/>
            <w:tcBorders>
              <w:top w:val="nil"/>
              <w:left w:val="nil"/>
              <w:bottom w:val="single" w:sz="4" w:space="0" w:color="auto"/>
              <w:right w:val="single" w:sz="4" w:space="0" w:color="auto"/>
            </w:tcBorders>
            <w:shd w:val="clear" w:color="000000" w:fill="F2F2F2"/>
            <w:noWrap/>
            <w:vAlign w:val="center"/>
            <w:hideMark/>
          </w:tcPr>
          <w:p w14:paraId="7E46235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$ 14.053</w:t>
            </w:r>
          </w:p>
        </w:tc>
        <w:tc>
          <w:tcPr>
            <w:tcW w:w="1260" w:type="dxa"/>
            <w:tcBorders>
              <w:top w:val="nil"/>
              <w:left w:val="nil"/>
              <w:bottom w:val="single" w:sz="4" w:space="0" w:color="auto"/>
              <w:right w:val="single" w:sz="4" w:space="0" w:color="auto"/>
            </w:tcBorders>
            <w:shd w:val="clear" w:color="000000" w:fill="F2F2F2"/>
            <w:noWrap/>
            <w:vAlign w:val="center"/>
            <w:hideMark/>
          </w:tcPr>
          <w:p w14:paraId="63C6F96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$ 337.689.295</w:t>
            </w:r>
          </w:p>
        </w:tc>
        <w:tc>
          <w:tcPr>
            <w:tcW w:w="1920" w:type="dxa"/>
            <w:tcBorders>
              <w:top w:val="nil"/>
              <w:left w:val="nil"/>
              <w:bottom w:val="single" w:sz="4" w:space="0" w:color="auto"/>
              <w:right w:val="single" w:sz="4" w:space="0" w:color="auto"/>
            </w:tcBorders>
            <w:shd w:val="clear" w:color="000000" w:fill="F2F2F2"/>
            <w:vAlign w:val="center"/>
            <w:hideMark/>
          </w:tcPr>
          <w:p w14:paraId="6359D561"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w:t>
            </w:r>
          </w:p>
        </w:tc>
      </w:tr>
      <w:tr w:rsidR="00D705A6" w:rsidRPr="002E0BB9" w14:paraId="7725C30A" w14:textId="77777777" w:rsidTr="007D1249">
        <w:trPr>
          <w:trHeight w:val="2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44EB1483"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180</w:t>
            </w:r>
          </w:p>
        </w:tc>
        <w:tc>
          <w:tcPr>
            <w:tcW w:w="560" w:type="dxa"/>
            <w:tcBorders>
              <w:top w:val="nil"/>
              <w:left w:val="nil"/>
              <w:bottom w:val="single" w:sz="4" w:space="0" w:color="auto"/>
              <w:right w:val="single" w:sz="4" w:space="0" w:color="auto"/>
            </w:tcBorders>
            <w:shd w:val="clear" w:color="000000" w:fill="F2F2F2"/>
            <w:noWrap/>
            <w:vAlign w:val="center"/>
            <w:hideMark/>
          </w:tcPr>
          <w:p w14:paraId="097ECCB2"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26847</w:t>
            </w:r>
          </w:p>
        </w:tc>
        <w:tc>
          <w:tcPr>
            <w:tcW w:w="920" w:type="dxa"/>
            <w:tcBorders>
              <w:top w:val="nil"/>
              <w:left w:val="nil"/>
              <w:bottom w:val="single" w:sz="4" w:space="0" w:color="auto"/>
              <w:right w:val="single" w:sz="4" w:space="0" w:color="auto"/>
            </w:tcBorders>
            <w:shd w:val="clear" w:color="000000" w:fill="F2F2F2"/>
            <w:noWrap/>
            <w:vAlign w:val="center"/>
            <w:hideMark/>
          </w:tcPr>
          <w:p w14:paraId="607F79BE"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900374375</w:t>
            </w:r>
          </w:p>
        </w:tc>
        <w:tc>
          <w:tcPr>
            <w:tcW w:w="2180" w:type="dxa"/>
            <w:tcBorders>
              <w:top w:val="nil"/>
              <w:left w:val="nil"/>
              <w:bottom w:val="single" w:sz="4" w:space="0" w:color="auto"/>
              <w:right w:val="single" w:sz="4" w:space="0" w:color="auto"/>
            </w:tcBorders>
            <w:shd w:val="clear" w:color="000000" w:fill="F2F2F2"/>
            <w:vAlign w:val="center"/>
            <w:hideMark/>
          </w:tcPr>
          <w:p w14:paraId="156E46E4"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POPAL SAS ESP</w:t>
            </w:r>
          </w:p>
        </w:tc>
        <w:tc>
          <w:tcPr>
            <w:tcW w:w="1520" w:type="dxa"/>
            <w:tcBorders>
              <w:top w:val="nil"/>
              <w:left w:val="nil"/>
              <w:bottom w:val="single" w:sz="4" w:space="0" w:color="auto"/>
              <w:right w:val="single" w:sz="4" w:space="0" w:color="auto"/>
            </w:tcBorders>
            <w:shd w:val="clear" w:color="000000" w:fill="F2F2F2"/>
            <w:noWrap/>
            <w:vAlign w:val="center"/>
            <w:hideMark/>
          </w:tcPr>
          <w:p w14:paraId="42A25CA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$ 3.292.797.000</w:t>
            </w:r>
          </w:p>
        </w:tc>
        <w:tc>
          <w:tcPr>
            <w:tcW w:w="1440" w:type="dxa"/>
            <w:tcBorders>
              <w:top w:val="nil"/>
              <w:left w:val="nil"/>
              <w:bottom w:val="single" w:sz="4" w:space="0" w:color="auto"/>
              <w:right w:val="single" w:sz="4" w:space="0" w:color="auto"/>
            </w:tcBorders>
            <w:shd w:val="clear" w:color="000000" w:fill="F2F2F2"/>
            <w:noWrap/>
            <w:vAlign w:val="center"/>
            <w:hideMark/>
          </w:tcPr>
          <w:p w14:paraId="69C8C1D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$ 0</w:t>
            </w:r>
          </w:p>
        </w:tc>
        <w:tc>
          <w:tcPr>
            <w:tcW w:w="1460" w:type="dxa"/>
            <w:tcBorders>
              <w:top w:val="nil"/>
              <w:left w:val="nil"/>
              <w:bottom w:val="single" w:sz="4" w:space="0" w:color="auto"/>
              <w:right w:val="single" w:sz="4" w:space="0" w:color="auto"/>
            </w:tcBorders>
            <w:shd w:val="clear" w:color="000000" w:fill="F2F2F2"/>
            <w:noWrap/>
            <w:vAlign w:val="center"/>
            <w:hideMark/>
          </w:tcPr>
          <w:p w14:paraId="55C0384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$ 3.292.797.000</w:t>
            </w:r>
          </w:p>
        </w:tc>
        <w:tc>
          <w:tcPr>
            <w:tcW w:w="1260" w:type="dxa"/>
            <w:tcBorders>
              <w:top w:val="nil"/>
              <w:left w:val="nil"/>
              <w:bottom w:val="single" w:sz="4" w:space="0" w:color="auto"/>
              <w:right w:val="single" w:sz="4" w:space="0" w:color="auto"/>
            </w:tcBorders>
            <w:shd w:val="clear" w:color="000000" w:fill="F2F2F2"/>
            <w:noWrap/>
            <w:vAlign w:val="center"/>
            <w:hideMark/>
          </w:tcPr>
          <w:p w14:paraId="4A3BF55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$ 32.927.970</w:t>
            </w:r>
          </w:p>
        </w:tc>
        <w:tc>
          <w:tcPr>
            <w:tcW w:w="1120" w:type="dxa"/>
            <w:tcBorders>
              <w:top w:val="nil"/>
              <w:left w:val="nil"/>
              <w:bottom w:val="single" w:sz="4" w:space="0" w:color="auto"/>
              <w:right w:val="single" w:sz="4" w:space="0" w:color="auto"/>
            </w:tcBorders>
            <w:shd w:val="clear" w:color="000000" w:fill="F2F2F2"/>
            <w:noWrap/>
            <w:vAlign w:val="center"/>
            <w:hideMark/>
          </w:tcPr>
          <w:p w14:paraId="793F62D1"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$ 1.370</w:t>
            </w:r>
          </w:p>
        </w:tc>
        <w:tc>
          <w:tcPr>
            <w:tcW w:w="1260" w:type="dxa"/>
            <w:tcBorders>
              <w:top w:val="nil"/>
              <w:left w:val="nil"/>
              <w:bottom w:val="single" w:sz="4" w:space="0" w:color="auto"/>
              <w:right w:val="single" w:sz="4" w:space="0" w:color="auto"/>
            </w:tcBorders>
            <w:shd w:val="clear" w:color="000000" w:fill="F2F2F2"/>
            <w:noWrap/>
            <w:vAlign w:val="center"/>
            <w:hideMark/>
          </w:tcPr>
          <w:p w14:paraId="0FBEDAD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$ 32.929.340</w:t>
            </w:r>
          </w:p>
        </w:tc>
        <w:tc>
          <w:tcPr>
            <w:tcW w:w="1920" w:type="dxa"/>
            <w:tcBorders>
              <w:top w:val="nil"/>
              <w:left w:val="nil"/>
              <w:bottom w:val="single" w:sz="4" w:space="0" w:color="auto"/>
              <w:right w:val="single" w:sz="4" w:space="0" w:color="auto"/>
            </w:tcBorders>
            <w:shd w:val="clear" w:color="000000" w:fill="F2F2F2"/>
            <w:vAlign w:val="center"/>
            <w:hideMark/>
          </w:tcPr>
          <w:p w14:paraId="27DD7D89"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w:t>
            </w:r>
          </w:p>
        </w:tc>
      </w:tr>
      <w:tr w:rsidR="00D705A6" w:rsidRPr="002E0BB9" w14:paraId="4F15438F" w14:textId="77777777" w:rsidTr="007D1249">
        <w:trPr>
          <w:trHeight w:val="4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7EB84167"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181</w:t>
            </w:r>
          </w:p>
        </w:tc>
        <w:tc>
          <w:tcPr>
            <w:tcW w:w="560" w:type="dxa"/>
            <w:tcBorders>
              <w:top w:val="nil"/>
              <w:left w:val="nil"/>
              <w:bottom w:val="single" w:sz="4" w:space="0" w:color="auto"/>
              <w:right w:val="single" w:sz="4" w:space="0" w:color="auto"/>
            </w:tcBorders>
            <w:shd w:val="clear" w:color="000000" w:fill="F2F2F2"/>
            <w:noWrap/>
            <w:vAlign w:val="center"/>
            <w:hideMark/>
          </w:tcPr>
          <w:p w14:paraId="7DB2067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24860</w:t>
            </w:r>
          </w:p>
        </w:tc>
        <w:tc>
          <w:tcPr>
            <w:tcW w:w="920" w:type="dxa"/>
            <w:tcBorders>
              <w:top w:val="nil"/>
              <w:left w:val="nil"/>
              <w:bottom w:val="single" w:sz="4" w:space="0" w:color="auto"/>
              <w:right w:val="single" w:sz="4" w:space="0" w:color="auto"/>
            </w:tcBorders>
            <w:shd w:val="clear" w:color="000000" w:fill="F2F2F2"/>
            <w:noWrap/>
            <w:vAlign w:val="center"/>
            <w:hideMark/>
          </w:tcPr>
          <w:p w14:paraId="31AF4C1D"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900396040</w:t>
            </w:r>
          </w:p>
        </w:tc>
        <w:tc>
          <w:tcPr>
            <w:tcW w:w="2180" w:type="dxa"/>
            <w:tcBorders>
              <w:top w:val="nil"/>
              <w:left w:val="nil"/>
              <w:bottom w:val="single" w:sz="4" w:space="0" w:color="auto"/>
              <w:right w:val="single" w:sz="4" w:space="0" w:color="auto"/>
            </w:tcBorders>
            <w:shd w:val="clear" w:color="000000" w:fill="F2F2F2"/>
            <w:vAlign w:val="center"/>
            <w:hideMark/>
          </w:tcPr>
          <w:p w14:paraId="2D07CDA0" w14:textId="77777777" w:rsidR="00D705A6" w:rsidRPr="002E0BB9" w:rsidRDefault="00D705A6" w:rsidP="00D22441">
            <w:pPr>
              <w:jc w:val="left"/>
              <w:rPr>
                <w:rFonts w:ascii="Arial Narrow" w:hAnsi="Arial Narrow" w:cs="Arial"/>
                <w:spacing w:val="0"/>
                <w:sz w:val="16"/>
                <w:szCs w:val="16"/>
                <w:lang w:val="en-GB" w:eastAsia="es-MX"/>
              </w:rPr>
            </w:pPr>
            <w:r w:rsidRPr="002E0BB9">
              <w:rPr>
                <w:rFonts w:ascii="Arial Narrow" w:hAnsi="Arial Narrow" w:cs="Arial"/>
                <w:spacing w:val="0"/>
                <w:sz w:val="16"/>
                <w:szCs w:val="16"/>
                <w:lang w:val="en-GB" w:eastAsia="es-MX"/>
              </w:rPr>
              <w:t>FEDEGAS S.A.S.  E.S.P.</w:t>
            </w:r>
          </w:p>
        </w:tc>
        <w:tc>
          <w:tcPr>
            <w:tcW w:w="1520" w:type="dxa"/>
            <w:tcBorders>
              <w:top w:val="nil"/>
              <w:left w:val="nil"/>
              <w:bottom w:val="single" w:sz="4" w:space="0" w:color="auto"/>
              <w:right w:val="single" w:sz="4" w:space="0" w:color="auto"/>
            </w:tcBorders>
            <w:shd w:val="clear" w:color="000000" w:fill="F2F2F2"/>
            <w:noWrap/>
            <w:vAlign w:val="center"/>
            <w:hideMark/>
          </w:tcPr>
          <w:p w14:paraId="1F684BD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$ 2.163.562.000</w:t>
            </w:r>
          </w:p>
        </w:tc>
        <w:tc>
          <w:tcPr>
            <w:tcW w:w="1440" w:type="dxa"/>
            <w:tcBorders>
              <w:top w:val="nil"/>
              <w:left w:val="nil"/>
              <w:bottom w:val="single" w:sz="4" w:space="0" w:color="auto"/>
              <w:right w:val="single" w:sz="4" w:space="0" w:color="auto"/>
            </w:tcBorders>
            <w:shd w:val="clear" w:color="000000" w:fill="F2F2F2"/>
            <w:noWrap/>
            <w:vAlign w:val="center"/>
            <w:hideMark/>
          </w:tcPr>
          <w:p w14:paraId="7F325357"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$ 0</w:t>
            </w:r>
          </w:p>
        </w:tc>
        <w:tc>
          <w:tcPr>
            <w:tcW w:w="1460" w:type="dxa"/>
            <w:tcBorders>
              <w:top w:val="nil"/>
              <w:left w:val="nil"/>
              <w:bottom w:val="single" w:sz="4" w:space="0" w:color="auto"/>
              <w:right w:val="single" w:sz="4" w:space="0" w:color="auto"/>
            </w:tcBorders>
            <w:shd w:val="clear" w:color="000000" w:fill="F2F2F2"/>
            <w:noWrap/>
            <w:vAlign w:val="center"/>
            <w:hideMark/>
          </w:tcPr>
          <w:p w14:paraId="48B4217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$ 2.163.562.000</w:t>
            </w:r>
          </w:p>
        </w:tc>
        <w:tc>
          <w:tcPr>
            <w:tcW w:w="1260" w:type="dxa"/>
            <w:tcBorders>
              <w:top w:val="nil"/>
              <w:left w:val="nil"/>
              <w:bottom w:val="single" w:sz="4" w:space="0" w:color="auto"/>
              <w:right w:val="single" w:sz="4" w:space="0" w:color="auto"/>
            </w:tcBorders>
            <w:shd w:val="clear" w:color="000000" w:fill="F2F2F2"/>
            <w:noWrap/>
            <w:vAlign w:val="center"/>
            <w:hideMark/>
          </w:tcPr>
          <w:p w14:paraId="4174018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$ 21.635.620</w:t>
            </w:r>
          </w:p>
        </w:tc>
        <w:tc>
          <w:tcPr>
            <w:tcW w:w="1120" w:type="dxa"/>
            <w:tcBorders>
              <w:top w:val="nil"/>
              <w:left w:val="nil"/>
              <w:bottom w:val="single" w:sz="4" w:space="0" w:color="auto"/>
              <w:right w:val="single" w:sz="4" w:space="0" w:color="auto"/>
            </w:tcBorders>
            <w:shd w:val="clear" w:color="000000" w:fill="F2F2F2"/>
            <w:noWrap/>
            <w:vAlign w:val="center"/>
            <w:hideMark/>
          </w:tcPr>
          <w:p w14:paraId="1A6BA68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$ 900</w:t>
            </w:r>
          </w:p>
        </w:tc>
        <w:tc>
          <w:tcPr>
            <w:tcW w:w="1260" w:type="dxa"/>
            <w:tcBorders>
              <w:top w:val="nil"/>
              <w:left w:val="nil"/>
              <w:bottom w:val="single" w:sz="4" w:space="0" w:color="auto"/>
              <w:right w:val="single" w:sz="4" w:space="0" w:color="auto"/>
            </w:tcBorders>
            <w:shd w:val="clear" w:color="000000" w:fill="F2F2F2"/>
            <w:noWrap/>
            <w:vAlign w:val="center"/>
            <w:hideMark/>
          </w:tcPr>
          <w:p w14:paraId="2EE181DC"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$ 21.636.520</w:t>
            </w:r>
          </w:p>
        </w:tc>
        <w:tc>
          <w:tcPr>
            <w:tcW w:w="1920" w:type="dxa"/>
            <w:tcBorders>
              <w:top w:val="nil"/>
              <w:left w:val="nil"/>
              <w:bottom w:val="single" w:sz="4" w:space="0" w:color="auto"/>
              <w:right w:val="single" w:sz="4" w:space="0" w:color="auto"/>
            </w:tcBorders>
            <w:shd w:val="clear" w:color="000000" w:fill="F2F2F2"/>
            <w:vAlign w:val="center"/>
            <w:hideMark/>
          </w:tcPr>
          <w:p w14:paraId="1C3F9A75"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GAS LICUADO DEL PETROLEO</w:t>
            </w:r>
          </w:p>
        </w:tc>
      </w:tr>
      <w:tr w:rsidR="00D705A6" w:rsidRPr="002E0BB9" w14:paraId="69A19E93" w14:textId="77777777" w:rsidTr="007D1249">
        <w:trPr>
          <w:trHeight w:val="6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7DCDA29B"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182</w:t>
            </w:r>
          </w:p>
        </w:tc>
        <w:tc>
          <w:tcPr>
            <w:tcW w:w="560" w:type="dxa"/>
            <w:tcBorders>
              <w:top w:val="nil"/>
              <w:left w:val="nil"/>
              <w:bottom w:val="single" w:sz="4" w:space="0" w:color="auto"/>
              <w:right w:val="single" w:sz="4" w:space="0" w:color="auto"/>
            </w:tcBorders>
            <w:shd w:val="clear" w:color="000000" w:fill="F2F2F2"/>
            <w:noWrap/>
            <w:vAlign w:val="center"/>
            <w:hideMark/>
          </w:tcPr>
          <w:p w14:paraId="54E41675"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24869</w:t>
            </w:r>
          </w:p>
        </w:tc>
        <w:tc>
          <w:tcPr>
            <w:tcW w:w="920" w:type="dxa"/>
            <w:tcBorders>
              <w:top w:val="nil"/>
              <w:left w:val="nil"/>
              <w:bottom w:val="single" w:sz="4" w:space="0" w:color="auto"/>
              <w:right w:val="single" w:sz="4" w:space="0" w:color="auto"/>
            </w:tcBorders>
            <w:shd w:val="clear" w:color="000000" w:fill="F2F2F2"/>
            <w:noWrap/>
            <w:vAlign w:val="center"/>
            <w:hideMark/>
          </w:tcPr>
          <w:p w14:paraId="4D3E73F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900396759</w:t>
            </w:r>
          </w:p>
        </w:tc>
        <w:tc>
          <w:tcPr>
            <w:tcW w:w="2180" w:type="dxa"/>
            <w:tcBorders>
              <w:top w:val="nil"/>
              <w:left w:val="nil"/>
              <w:bottom w:val="single" w:sz="4" w:space="0" w:color="auto"/>
              <w:right w:val="single" w:sz="4" w:space="0" w:color="auto"/>
            </w:tcBorders>
            <w:shd w:val="clear" w:color="000000" w:fill="F2F2F2"/>
            <w:vAlign w:val="center"/>
            <w:hideMark/>
          </w:tcPr>
          <w:p w14:paraId="6FF3FFC1"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CHILCO DISTRIBUIDORA DE GAS Y ENERGIA SAS ESP</w:t>
            </w:r>
          </w:p>
        </w:tc>
        <w:tc>
          <w:tcPr>
            <w:tcW w:w="1520" w:type="dxa"/>
            <w:tcBorders>
              <w:top w:val="nil"/>
              <w:left w:val="nil"/>
              <w:bottom w:val="single" w:sz="4" w:space="0" w:color="auto"/>
              <w:right w:val="single" w:sz="4" w:space="0" w:color="auto"/>
            </w:tcBorders>
            <w:shd w:val="clear" w:color="000000" w:fill="F2F2F2"/>
            <w:noWrap/>
            <w:vAlign w:val="center"/>
            <w:hideMark/>
          </w:tcPr>
          <w:p w14:paraId="7EA78951"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$ 11.742.767.000</w:t>
            </w:r>
          </w:p>
        </w:tc>
        <w:tc>
          <w:tcPr>
            <w:tcW w:w="1440" w:type="dxa"/>
            <w:tcBorders>
              <w:top w:val="nil"/>
              <w:left w:val="nil"/>
              <w:bottom w:val="single" w:sz="4" w:space="0" w:color="auto"/>
              <w:right w:val="single" w:sz="4" w:space="0" w:color="auto"/>
            </w:tcBorders>
            <w:shd w:val="clear" w:color="000000" w:fill="F2F2F2"/>
            <w:noWrap/>
            <w:vAlign w:val="center"/>
            <w:hideMark/>
          </w:tcPr>
          <w:p w14:paraId="7C4BF28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$ 2.260.606.228</w:t>
            </w:r>
          </w:p>
        </w:tc>
        <w:tc>
          <w:tcPr>
            <w:tcW w:w="1460" w:type="dxa"/>
            <w:tcBorders>
              <w:top w:val="nil"/>
              <w:left w:val="nil"/>
              <w:bottom w:val="single" w:sz="4" w:space="0" w:color="auto"/>
              <w:right w:val="single" w:sz="4" w:space="0" w:color="auto"/>
            </w:tcBorders>
            <w:shd w:val="clear" w:color="000000" w:fill="F2F2F2"/>
            <w:noWrap/>
            <w:vAlign w:val="center"/>
            <w:hideMark/>
          </w:tcPr>
          <w:p w14:paraId="08A3A92B"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$ 14.003.373.228</w:t>
            </w:r>
          </w:p>
        </w:tc>
        <w:tc>
          <w:tcPr>
            <w:tcW w:w="1260" w:type="dxa"/>
            <w:tcBorders>
              <w:top w:val="nil"/>
              <w:left w:val="nil"/>
              <w:bottom w:val="single" w:sz="4" w:space="0" w:color="auto"/>
              <w:right w:val="single" w:sz="4" w:space="0" w:color="auto"/>
            </w:tcBorders>
            <w:shd w:val="clear" w:color="000000" w:fill="F2F2F2"/>
            <w:noWrap/>
            <w:vAlign w:val="center"/>
            <w:hideMark/>
          </w:tcPr>
          <w:p w14:paraId="099D89CD"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$ 140.033.732</w:t>
            </w:r>
          </w:p>
        </w:tc>
        <w:tc>
          <w:tcPr>
            <w:tcW w:w="1120" w:type="dxa"/>
            <w:tcBorders>
              <w:top w:val="nil"/>
              <w:left w:val="nil"/>
              <w:bottom w:val="single" w:sz="4" w:space="0" w:color="auto"/>
              <w:right w:val="single" w:sz="4" w:space="0" w:color="auto"/>
            </w:tcBorders>
            <w:shd w:val="clear" w:color="000000" w:fill="F2F2F2"/>
            <w:noWrap/>
            <w:vAlign w:val="center"/>
            <w:hideMark/>
          </w:tcPr>
          <w:p w14:paraId="7BBC3345"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$ 5.828</w:t>
            </w:r>
          </w:p>
        </w:tc>
        <w:tc>
          <w:tcPr>
            <w:tcW w:w="1260" w:type="dxa"/>
            <w:tcBorders>
              <w:top w:val="nil"/>
              <w:left w:val="nil"/>
              <w:bottom w:val="single" w:sz="4" w:space="0" w:color="auto"/>
              <w:right w:val="single" w:sz="4" w:space="0" w:color="auto"/>
            </w:tcBorders>
            <w:shd w:val="clear" w:color="000000" w:fill="F2F2F2"/>
            <w:noWrap/>
            <w:vAlign w:val="center"/>
            <w:hideMark/>
          </w:tcPr>
          <w:p w14:paraId="7E07C7F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$ 140.039.560</w:t>
            </w:r>
          </w:p>
        </w:tc>
        <w:tc>
          <w:tcPr>
            <w:tcW w:w="1920" w:type="dxa"/>
            <w:tcBorders>
              <w:top w:val="nil"/>
              <w:left w:val="nil"/>
              <w:bottom w:val="single" w:sz="4" w:space="0" w:color="auto"/>
              <w:right w:val="single" w:sz="4" w:space="0" w:color="auto"/>
            </w:tcBorders>
            <w:shd w:val="clear" w:color="000000" w:fill="F2F2F2"/>
            <w:vAlign w:val="center"/>
            <w:hideMark/>
          </w:tcPr>
          <w:p w14:paraId="0B8E355B"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GAS LICUADO DEL PETROLEO</w:t>
            </w:r>
          </w:p>
        </w:tc>
      </w:tr>
      <w:tr w:rsidR="00D705A6" w:rsidRPr="002E0BB9" w14:paraId="2522FAB4" w14:textId="77777777" w:rsidTr="007D1249">
        <w:trPr>
          <w:trHeight w:val="4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784D6848"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183</w:t>
            </w:r>
          </w:p>
        </w:tc>
        <w:tc>
          <w:tcPr>
            <w:tcW w:w="560" w:type="dxa"/>
            <w:tcBorders>
              <w:top w:val="nil"/>
              <w:left w:val="nil"/>
              <w:bottom w:val="single" w:sz="4" w:space="0" w:color="auto"/>
              <w:right w:val="single" w:sz="4" w:space="0" w:color="auto"/>
            </w:tcBorders>
            <w:shd w:val="clear" w:color="000000" w:fill="F2F2F2"/>
            <w:noWrap/>
            <w:vAlign w:val="center"/>
            <w:hideMark/>
          </w:tcPr>
          <w:p w14:paraId="4CA68E2A"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25655</w:t>
            </w:r>
          </w:p>
        </w:tc>
        <w:tc>
          <w:tcPr>
            <w:tcW w:w="920" w:type="dxa"/>
            <w:tcBorders>
              <w:top w:val="nil"/>
              <w:left w:val="nil"/>
              <w:bottom w:val="single" w:sz="4" w:space="0" w:color="auto"/>
              <w:right w:val="single" w:sz="4" w:space="0" w:color="auto"/>
            </w:tcBorders>
            <w:shd w:val="clear" w:color="000000" w:fill="F2F2F2"/>
            <w:noWrap/>
            <w:vAlign w:val="center"/>
            <w:hideMark/>
          </w:tcPr>
          <w:p w14:paraId="2CA8AC6A"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900409371</w:t>
            </w:r>
          </w:p>
        </w:tc>
        <w:tc>
          <w:tcPr>
            <w:tcW w:w="2180" w:type="dxa"/>
            <w:tcBorders>
              <w:top w:val="nil"/>
              <w:left w:val="nil"/>
              <w:bottom w:val="single" w:sz="4" w:space="0" w:color="auto"/>
              <w:right w:val="single" w:sz="4" w:space="0" w:color="auto"/>
            </w:tcBorders>
            <w:shd w:val="clear" w:color="000000" w:fill="F2F2F2"/>
            <w:vAlign w:val="center"/>
            <w:hideMark/>
          </w:tcPr>
          <w:p w14:paraId="5DEB191A"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FUENTES DE ENERGÍAS RENOVABLES S.A.S. ESP</w:t>
            </w:r>
          </w:p>
        </w:tc>
        <w:tc>
          <w:tcPr>
            <w:tcW w:w="1520" w:type="dxa"/>
            <w:tcBorders>
              <w:top w:val="nil"/>
              <w:left w:val="nil"/>
              <w:bottom w:val="single" w:sz="4" w:space="0" w:color="auto"/>
              <w:right w:val="single" w:sz="4" w:space="0" w:color="auto"/>
            </w:tcBorders>
            <w:shd w:val="clear" w:color="000000" w:fill="F2F2F2"/>
            <w:noWrap/>
            <w:vAlign w:val="center"/>
            <w:hideMark/>
          </w:tcPr>
          <w:p w14:paraId="1F2ED5E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$ 9.238.234.000</w:t>
            </w:r>
          </w:p>
        </w:tc>
        <w:tc>
          <w:tcPr>
            <w:tcW w:w="1440" w:type="dxa"/>
            <w:tcBorders>
              <w:top w:val="nil"/>
              <w:left w:val="nil"/>
              <w:bottom w:val="single" w:sz="4" w:space="0" w:color="auto"/>
              <w:right w:val="single" w:sz="4" w:space="0" w:color="auto"/>
            </w:tcBorders>
            <w:shd w:val="clear" w:color="000000" w:fill="F2F2F2"/>
            <w:noWrap/>
            <w:vAlign w:val="center"/>
            <w:hideMark/>
          </w:tcPr>
          <w:p w14:paraId="62D2035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$ 0</w:t>
            </w:r>
          </w:p>
        </w:tc>
        <w:tc>
          <w:tcPr>
            <w:tcW w:w="1460" w:type="dxa"/>
            <w:tcBorders>
              <w:top w:val="nil"/>
              <w:left w:val="nil"/>
              <w:bottom w:val="single" w:sz="4" w:space="0" w:color="auto"/>
              <w:right w:val="single" w:sz="4" w:space="0" w:color="auto"/>
            </w:tcBorders>
            <w:shd w:val="clear" w:color="000000" w:fill="F2F2F2"/>
            <w:noWrap/>
            <w:vAlign w:val="center"/>
            <w:hideMark/>
          </w:tcPr>
          <w:p w14:paraId="2DD738C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$ 9.238.234.000</w:t>
            </w:r>
          </w:p>
        </w:tc>
        <w:tc>
          <w:tcPr>
            <w:tcW w:w="1260" w:type="dxa"/>
            <w:tcBorders>
              <w:top w:val="nil"/>
              <w:left w:val="nil"/>
              <w:bottom w:val="single" w:sz="4" w:space="0" w:color="auto"/>
              <w:right w:val="single" w:sz="4" w:space="0" w:color="auto"/>
            </w:tcBorders>
            <w:shd w:val="clear" w:color="000000" w:fill="F2F2F2"/>
            <w:noWrap/>
            <w:vAlign w:val="center"/>
            <w:hideMark/>
          </w:tcPr>
          <w:p w14:paraId="34AA4D7D"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$ 92.382.340</w:t>
            </w:r>
          </w:p>
        </w:tc>
        <w:tc>
          <w:tcPr>
            <w:tcW w:w="1120" w:type="dxa"/>
            <w:tcBorders>
              <w:top w:val="nil"/>
              <w:left w:val="nil"/>
              <w:bottom w:val="single" w:sz="4" w:space="0" w:color="auto"/>
              <w:right w:val="single" w:sz="4" w:space="0" w:color="auto"/>
            </w:tcBorders>
            <w:shd w:val="clear" w:color="000000" w:fill="F2F2F2"/>
            <w:noWrap/>
            <w:vAlign w:val="center"/>
            <w:hideMark/>
          </w:tcPr>
          <w:p w14:paraId="046B7F6B"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$ 3.845</w:t>
            </w:r>
          </w:p>
        </w:tc>
        <w:tc>
          <w:tcPr>
            <w:tcW w:w="1260" w:type="dxa"/>
            <w:tcBorders>
              <w:top w:val="nil"/>
              <w:left w:val="nil"/>
              <w:bottom w:val="single" w:sz="4" w:space="0" w:color="auto"/>
              <w:right w:val="single" w:sz="4" w:space="0" w:color="auto"/>
            </w:tcBorders>
            <w:shd w:val="clear" w:color="000000" w:fill="F2F2F2"/>
            <w:noWrap/>
            <w:vAlign w:val="center"/>
            <w:hideMark/>
          </w:tcPr>
          <w:p w14:paraId="2B03D88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$ 92.386.185</w:t>
            </w:r>
          </w:p>
        </w:tc>
        <w:tc>
          <w:tcPr>
            <w:tcW w:w="1920" w:type="dxa"/>
            <w:tcBorders>
              <w:top w:val="nil"/>
              <w:left w:val="nil"/>
              <w:bottom w:val="single" w:sz="4" w:space="0" w:color="auto"/>
              <w:right w:val="single" w:sz="4" w:space="0" w:color="auto"/>
            </w:tcBorders>
            <w:shd w:val="clear" w:color="000000" w:fill="F2F2F2"/>
            <w:vAlign w:val="center"/>
            <w:hideMark/>
          </w:tcPr>
          <w:p w14:paraId="4D9696C6"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w:t>
            </w:r>
          </w:p>
        </w:tc>
      </w:tr>
      <w:tr w:rsidR="00D705A6" w:rsidRPr="002E0BB9" w14:paraId="60D545AD" w14:textId="77777777" w:rsidTr="00053706">
        <w:trPr>
          <w:trHeight w:val="451"/>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49F89DE3"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184</w:t>
            </w:r>
          </w:p>
        </w:tc>
        <w:tc>
          <w:tcPr>
            <w:tcW w:w="560" w:type="dxa"/>
            <w:tcBorders>
              <w:top w:val="nil"/>
              <w:left w:val="nil"/>
              <w:bottom w:val="single" w:sz="4" w:space="0" w:color="auto"/>
              <w:right w:val="single" w:sz="4" w:space="0" w:color="auto"/>
            </w:tcBorders>
            <w:shd w:val="clear" w:color="000000" w:fill="F2F2F2"/>
            <w:noWrap/>
            <w:vAlign w:val="center"/>
            <w:hideMark/>
          </w:tcPr>
          <w:p w14:paraId="61CDE6C7"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25954</w:t>
            </w:r>
          </w:p>
        </w:tc>
        <w:tc>
          <w:tcPr>
            <w:tcW w:w="920" w:type="dxa"/>
            <w:tcBorders>
              <w:top w:val="nil"/>
              <w:left w:val="nil"/>
              <w:bottom w:val="single" w:sz="4" w:space="0" w:color="auto"/>
              <w:right w:val="single" w:sz="4" w:space="0" w:color="auto"/>
            </w:tcBorders>
            <w:shd w:val="clear" w:color="000000" w:fill="F2F2F2"/>
            <w:noWrap/>
            <w:vAlign w:val="center"/>
            <w:hideMark/>
          </w:tcPr>
          <w:p w14:paraId="331B4DEA"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900428208</w:t>
            </w:r>
          </w:p>
        </w:tc>
        <w:tc>
          <w:tcPr>
            <w:tcW w:w="2180" w:type="dxa"/>
            <w:tcBorders>
              <w:top w:val="nil"/>
              <w:left w:val="nil"/>
              <w:bottom w:val="single" w:sz="4" w:space="0" w:color="auto"/>
              <w:right w:val="single" w:sz="4" w:space="0" w:color="auto"/>
            </w:tcBorders>
            <w:shd w:val="clear" w:color="000000" w:fill="F2F2F2"/>
            <w:vAlign w:val="center"/>
            <w:hideMark/>
          </w:tcPr>
          <w:p w14:paraId="3988D9E2"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DISTRIBUIDORA DE GAS DEL PACIFICO DIGAS SAS ESP</w:t>
            </w:r>
          </w:p>
        </w:tc>
        <w:tc>
          <w:tcPr>
            <w:tcW w:w="1520" w:type="dxa"/>
            <w:tcBorders>
              <w:top w:val="nil"/>
              <w:left w:val="nil"/>
              <w:bottom w:val="single" w:sz="4" w:space="0" w:color="auto"/>
              <w:right w:val="single" w:sz="4" w:space="0" w:color="auto"/>
            </w:tcBorders>
            <w:shd w:val="clear" w:color="000000" w:fill="F2F2F2"/>
            <w:noWrap/>
            <w:vAlign w:val="center"/>
            <w:hideMark/>
          </w:tcPr>
          <w:p w14:paraId="521B7EB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$ 1.792.181.000</w:t>
            </w:r>
          </w:p>
        </w:tc>
        <w:tc>
          <w:tcPr>
            <w:tcW w:w="1440" w:type="dxa"/>
            <w:tcBorders>
              <w:top w:val="nil"/>
              <w:left w:val="nil"/>
              <w:bottom w:val="single" w:sz="4" w:space="0" w:color="auto"/>
              <w:right w:val="single" w:sz="4" w:space="0" w:color="auto"/>
            </w:tcBorders>
            <w:shd w:val="clear" w:color="000000" w:fill="F2F2F2"/>
            <w:noWrap/>
            <w:vAlign w:val="center"/>
            <w:hideMark/>
          </w:tcPr>
          <w:p w14:paraId="03D8A3CC"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$ 59.938.417</w:t>
            </w:r>
          </w:p>
        </w:tc>
        <w:tc>
          <w:tcPr>
            <w:tcW w:w="1460" w:type="dxa"/>
            <w:tcBorders>
              <w:top w:val="nil"/>
              <w:left w:val="nil"/>
              <w:bottom w:val="single" w:sz="4" w:space="0" w:color="auto"/>
              <w:right w:val="single" w:sz="4" w:space="0" w:color="auto"/>
            </w:tcBorders>
            <w:shd w:val="clear" w:color="000000" w:fill="F2F2F2"/>
            <w:noWrap/>
            <w:vAlign w:val="center"/>
            <w:hideMark/>
          </w:tcPr>
          <w:p w14:paraId="29108BD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$ 1.852.119.417</w:t>
            </w:r>
          </w:p>
        </w:tc>
        <w:tc>
          <w:tcPr>
            <w:tcW w:w="1260" w:type="dxa"/>
            <w:tcBorders>
              <w:top w:val="nil"/>
              <w:left w:val="nil"/>
              <w:bottom w:val="single" w:sz="4" w:space="0" w:color="auto"/>
              <w:right w:val="single" w:sz="4" w:space="0" w:color="auto"/>
            </w:tcBorders>
            <w:shd w:val="clear" w:color="000000" w:fill="F2F2F2"/>
            <w:noWrap/>
            <w:vAlign w:val="center"/>
            <w:hideMark/>
          </w:tcPr>
          <w:p w14:paraId="7AD2BDC7"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$ 18.521.194</w:t>
            </w:r>
          </w:p>
        </w:tc>
        <w:tc>
          <w:tcPr>
            <w:tcW w:w="1120" w:type="dxa"/>
            <w:tcBorders>
              <w:top w:val="nil"/>
              <w:left w:val="nil"/>
              <w:bottom w:val="single" w:sz="4" w:space="0" w:color="auto"/>
              <w:right w:val="single" w:sz="4" w:space="0" w:color="auto"/>
            </w:tcBorders>
            <w:shd w:val="clear" w:color="000000" w:fill="F2F2F2"/>
            <w:noWrap/>
            <w:vAlign w:val="center"/>
            <w:hideMark/>
          </w:tcPr>
          <w:p w14:paraId="01C77E5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$ 771</w:t>
            </w:r>
          </w:p>
        </w:tc>
        <w:tc>
          <w:tcPr>
            <w:tcW w:w="1260" w:type="dxa"/>
            <w:tcBorders>
              <w:top w:val="nil"/>
              <w:left w:val="nil"/>
              <w:bottom w:val="single" w:sz="4" w:space="0" w:color="auto"/>
              <w:right w:val="single" w:sz="4" w:space="0" w:color="auto"/>
            </w:tcBorders>
            <w:shd w:val="clear" w:color="000000" w:fill="F2F2F2"/>
            <w:noWrap/>
            <w:vAlign w:val="center"/>
            <w:hideMark/>
          </w:tcPr>
          <w:p w14:paraId="5D46C3F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$ 18.521.965</w:t>
            </w:r>
          </w:p>
        </w:tc>
        <w:tc>
          <w:tcPr>
            <w:tcW w:w="1920" w:type="dxa"/>
            <w:tcBorders>
              <w:top w:val="nil"/>
              <w:left w:val="nil"/>
              <w:bottom w:val="single" w:sz="4" w:space="0" w:color="auto"/>
              <w:right w:val="single" w:sz="4" w:space="0" w:color="auto"/>
            </w:tcBorders>
            <w:shd w:val="clear" w:color="000000" w:fill="F2F2F2"/>
            <w:vAlign w:val="center"/>
            <w:hideMark/>
          </w:tcPr>
          <w:p w14:paraId="7ED8DE4E"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GAS LICUADO DEL PETROLEO</w:t>
            </w:r>
          </w:p>
        </w:tc>
      </w:tr>
      <w:tr w:rsidR="00D705A6" w:rsidRPr="002E0BB9" w14:paraId="04D2967E" w14:textId="77777777" w:rsidTr="007D1249">
        <w:trPr>
          <w:trHeight w:val="4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70DEFB0D"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185</w:t>
            </w:r>
          </w:p>
        </w:tc>
        <w:tc>
          <w:tcPr>
            <w:tcW w:w="560" w:type="dxa"/>
            <w:tcBorders>
              <w:top w:val="nil"/>
              <w:left w:val="nil"/>
              <w:bottom w:val="single" w:sz="4" w:space="0" w:color="auto"/>
              <w:right w:val="single" w:sz="4" w:space="0" w:color="auto"/>
            </w:tcBorders>
            <w:shd w:val="clear" w:color="000000" w:fill="F2F2F2"/>
            <w:noWrap/>
            <w:vAlign w:val="center"/>
            <w:hideMark/>
          </w:tcPr>
          <w:p w14:paraId="35520F92"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25984</w:t>
            </w:r>
          </w:p>
        </w:tc>
        <w:tc>
          <w:tcPr>
            <w:tcW w:w="920" w:type="dxa"/>
            <w:tcBorders>
              <w:top w:val="nil"/>
              <w:left w:val="nil"/>
              <w:bottom w:val="single" w:sz="4" w:space="0" w:color="auto"/>
              <w:right w:val="single" w:sz="4" w:space="0" w:color="auto"/>
            </w:tcBorders>
            <w:shd w:val="clear" w:color="000000" w:fill="F2F2F2"/>
            <w:noWrap/>
            <w:vAlign w:val="center"/>
            <w:hideMark/>
          </w:tcPr>
          <w:p w14:paraId="282C129B"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900428468</w:t>
            </w:r>
          </w:p>
        </w:tc>
        <w:tc>
          <w:tcPr>
            <w:tcW w:w="2180" w:type="dxa"/>
            <w:tcBorders>
              <w:top w:val="nil"/>
              <w:left w:val="nil"/>
              <w:bottom w:val="single" w:sz="4" w:space="0" w:color="auto"/>
              <w:right w:val="single" w:sz="4" w:space="0" w:color="auto"/>
            </w:tcBorders>
            <w:shd w:val="clear" w:color="000000" w:fill="F2F2F2"/>
            <w:vAlign w:val="center"/>
            <w:hideMark/>
          </w:tcPr>
          <w:p w14:paraId="3DD2917C"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ITALCOL ENERGIA S.A. ESP.</w:t>
            </w:r>
          </w:p>
        </w:tc>
        <w:tc>
          <w:tcPr>
            <w:tcW w:w="1520" w:type="dxa"/>
            <w:tcBorders>
              <w:top w:val="nil"/>
              <w:left w:val="nil"/>
              <w:bottom w:val="single" w:sz="4" w:space="0" w:color="auto"/>
              <w:right w:val="single" w:sz="4" w:space="0" w:color="auto"/>
            </w:tcBorders>
            <w:shd w:val="clear" w:color="000000" w:fill="F2F2F2"/>
            <w:noWrap/>
            <w:vAlign w:val="center"/>
            <w:hideMark/>
          </w:tcPr>
          <w:p w14:paraId="52241F55"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$ 2.089.710.000</w:t>
            </w:r>
          </w:p>
        </w:tc>
        <w:tc>
          <w:tcPr>
            <w:tcW w:w="1440" w:type="dxa"/>
            <w:tcBorders>
              <w:top w:val="nil"/>
              <w:left w:val="nil"/>
              <w:bottom w:val="single" w:sz="4" w:space="0" w:color="auto"/>
              <w:right w:val="single" w:sz="4" w:space="0" w:color="auto"/>
            </w:tcBorders>
            <w:shd w:val="clear" w:color="000000" w:fill="F2F2F2"/>
            <w:noWrap/>
            <w:vAlign w:val="center"/>
            <w:hideMark/>
          </w:tcPr>
          <w:p w14:paraId="4ED2DF3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$ 265.739.481</w:t>
            </w:r>
          </w:p>
        </w:tc>
        <w:tc>
          <w:tcPr>
            <w:tcW w:w="1460" w:type="dxa"/>
            <w:tcBorders>
              <w:top w:val="nil"/>
              <w:left w:val="nil"/>
              <w:bottom w:val="single" w:sz="4" w:space="0" w:color="auto"/>
              <w:right w:val="single" w:sz="4" w:space="0" w:color="auto"/>
            </w:tcBorders>
            <w:shd w:val="clear" w:color="000000" w:fill="F2F2F2"/>
            <w:noWrap/>
            <w:vAlign w:val="center"/>
            <w:hideMark/>
          </w:tcPr>
          <w:p w14:paraId="0AC9101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$ 2.355.449.481</w:t>
            </w:r>
          </w:p>
        </w:tc>
        <w:tc>
          <w:tcPr>
            <w:tcW w:w="1260" w:type="dxa"/>
            <w:tcBorders>
              <w:top w:val="nil"/>
              <w:left w:val="nil"/>
              <w:bottom w:val="single" w:sz="4" w:space="0" w:color="auto"/>
              <w:right w:val="single" w:sz="4" w:space="0" w:color="auto"/>
            </w:tcBorders>
            <w:shd w:val="clear" w:color="000000" w:fill="F2F2F2"/>
            <w:noWrap/>
            <w:vAlign w:val="center"/>
            <w:hideMark/>
          </w:tcPr>
          <w:p w14:paraId="5E7A885C"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$ 23.554.495</w:t>
            </w:r>
          </w:p>
        </w:tc>
        <w:tc>
          <w:tcPr>
            <w:tcW w:w="1120" w:type="dxa"/>
            <w:tcBorders>
              <w:top w:val="nil"/>
              <w:left w:val="nil"/>
              <w:bottom w:val="single" w:sz="4" w:space="0" w:color="auto"/>
              <w:right w:val="single" w:sz="4" w:space="0" w:color="auto"/>
            </w:tcBorders>
            <w:shd w:val="clear" w:color="000000" w:fill="F2F2F2"/>
            <w:noWrap/>
            <w:vAlign w:val="center"/>
            <w:hideMark/>
          </w:tcPr>
          <w:p w14:paraId="1DCE1B0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$ 980</w:t>
            </w:r>
          </w:p>
        </w:tc>
        <w:tc>
          <w:tcPr>
            <w:tcW w:w="1260" w:type="dxa"/>
            <w:tcBorders>
              <w:top w:val="nil"/>
              <w:left w:val="nil"/>
              <w:bottom w:val="single" w:sz="4" w:space="0" w:color="auto"/>
              <w:right w:val="single" w:sz="4" w:space="0" w:color="auto"/>
            </w:tcBorders>
            <w:shd w:val="clear" w:color="000000" w:fill="F2F2F2"/>
            <w:noWrap/>
            <w:vAlign w:val="center"/>
            <w:hideMark/>
          </w:tcPr>
          <w:p w14:paraId="06EE7FDB"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$ 23.555.475</w:t>
            </w:r>
          </w:p>
        </w:tc>
        <w:tc>
          <w:tcPr>
            <w:tcW w:w="1920" w:type="dxa"/>
            <w:tcBorders>
              <w:top w:val="nil"/>
              <w:left w:val="nil"/>
              <w:bottom w:val="single" w:sz="4" w:space="0" w:color="auto"/>
              <w:right w:val="single" w:sz="4" w:space="0" w:color="auto"/>
            </w:tcBorders>
            <w:shd w:val="clear" w:color="000000" w:fill="F2F2F2"/>
            <w:vAlign w:val="center"/>
            <w:hideMark/>
          </w:tcPr>
          <w:p w14:paraId="06ABB886"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w:t>
            </w:r>
          </w:p>
        </w:tc>
      </w:tr>
      <w:tr w:rsidR="00D705A6" w:rsidRPr="002E0BB9" w14:paraId="53F9F51B" w14:textId="77777777" w:rsidTr="007D1249">
        <w:trPr>
          <w:trHeight w:val="4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1DE420E3"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186</w:t>
            </w:r>
          </w:p>
        </w:tc>
        <w:tc>
          <w:tcPr>
            <w:tcW w:w="560" w:type="dxa"/>
            <w:tcBorders>
              <w:top w:val="nil"/>
              <w:left w:val="nil"/>
              <w:bottom w:val="single" w:sz="4" w:space="0" w:color="auto"/>
              <w:right w:val="single" w:sz="4" w:space="0" w:color="auto"/>
            </w:tcBorders>
            <w:shd w:val="clear" w:color="000000" w:fill="F2F2F2"/>
            <w:noWrap/>
            <w:vAlign w:val="center"/>
            <w:hideMark/>
          </w:tcPr>
          <w:p w14:paraId="53CE7862"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26050</w:t>
            </w:r>
          </w:p>
        </w:tc>
        <w:tc>
          <w:tcPr>
            <w:tcW w:w="920" w:type="dxa"/>
            <w:tcBorders>
              <w:top w:val="nil"/>
              <w:left w:val="nil"/>
              <w:bottom w:val="single" w:sz="4" w:space="0" w:color="auto"/>
              <w:right w:val="single" w:sz="4" w:space="0" w:color="auto"/>
            </w:tcBorders>
            <w:shd w:val="clear" w:color="000000" w:fill="F2F2F2"/>
            <w:noWrap/>
            <w:vAlign w:val="center"/>
            <w:hideMark/>
          </w:tcPr>
          <w:p w14:paraId="32ED323A"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900431226</w:t>
            </w:r>
          </w:p>
        </w:tc>
        <w:tc>
          <w:tcPr>
            <w:tcW w:w="2180" w:type="dxa"/>
            <w:tcBorders>
              <w:top w:val="nil"/>
              <w:left w:val="nil"/>
              <w:bottom w:val="single" w:sz="4" w:space="0" w:color="auto"/>
              <w:right w:val="single" w:sz="4" w:space="0" w:color="auto"/>
            </w:tcBorders>
            <w:shd w:val="clear" w:color="000000" w:fill="F2F2F2"/>
            <w:vAlign w:val="center"/>
            <w:hideMark/>
          </w:tcPr>
          <w:p w14:paraId="50ACA0C1" w14:textId="77777777" w:rsidR="00D705A6" w:rsidRPr="002E0BB9" w:rsidRDefault="00D705A6" w:rsidP="00D22441">
            <w:pPr>
              <w:jc w:val="left"/>
              <w:rPr>
                <w:rFonts w:ascii="Arial Narrow" w:hAnsi="Arial Narrow" w:cs="Arial"/>
                <w:spacing w:val="0"/>
                <w:sz w:val="16"/>
                <w:szCs w:val="16"/>
                <w:lang w:val="en-GB" w:eastAsia="es-MX"/>
              </w:rPr>
            </w:pPr>
            <w:r w:rsidRPr="002E0BB9">
              <w:rPr>
                <w:rFonts w:ascii="Arial Narrow" w:hAnsi="Arial Narrow" w:cs="Arial"/>
                <w:spacing w:val="0"/>
                <w:sz w:val="16"/>
                <w:szCs w:val="16"/>
                <w:lang w:val="en-GB" w:eastAsia="es-MX"/>
              </w:rPr>
              <w:t>FORCEFUL ENERGY S.A.S E.</w:t>
            </w:r>
            <w:proofErr w:type="gramStart"/>
            <w:r w:rsidRPr="002E0BB9">
              <w:rPr>
                <w:rFonts w:ascii="Arial Narrow" w:hAnsi="Arial Narrow" w:cs="Arial"/>
                <w:spacing w:val="0"/>
                <w:sz w:val="16"/>
                <w:szCs w:val="16"/>
                <w:lang w:val="en-GB" w:eastAsia="es-MX"/>
              </w:rPr>
              <w:t>S.P</w:t>
            </w:r>
            <w:proofErr w:type="gramEnd"/>
          </w:p>
        </w:tc>
        <w:tc>
          <w:tcPr>
            <w:tcW w:w="1520" w:type="dxa"/>
            <w:tcBorders>
              <w:top w:val="nil"/>
              <w:left w:val="nil"/>
              <w:bottom w:val="single" w:sz="4" w:space="0" w:color="auto"/>
              <w:right w:val="single" w:sz="4" w:space="0" w:color="auto"/>
            </w:tcBorders>
            <w:shd w:val="clear" w:color="000000" w:fill="F2F2F2"/>
            <w:noWrap/>
            <w:vAlign w:val="center"/>
            <w:hideMark/>
          </w:tcPr>
          <w:p w14:paraId="099FE31C"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$ 73.207.000</w:t>
            </w:r>
          </w:p>
        </w:tc>
        <w:tc>
          <w:tcPr>
            <w:tcW w:w="1440" w:type="dxa"/>
            <w:tcBorders>
              <w:top w:val="nil"/>
              <w:left w:val="nil"/>
              <w:bottom w:val="single" w:sz="4" w:space="0" w:color="auto"/>
              <w:right w:val="single" w:sz="4" w:space="0" w:color="auto"/>
            </w:tcBorders>
            <w:shd w:val="clear" w:color="000000" w:fill="F2F2F2"/>
            <w:noWrap/>
            <w:vAlign w:val="center"/>
            <w:hideMark/>
          </w:tcPr>
          <w:p w14:paraId="55D8583A"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$ 0</w:t>
            </w:r>
          </w:p>
        </w:tc>
        <w:tc>
          <w:tcPr>
            <w:tcW w:w="1460" w:type="dxa"/>
            <w:tcBorders>
              <w:top w:val="nil"/>
              <w:left w:val="nil"/>
              <w:bottom w:val="single" w:sz="4" w:space="0" w:color="auto"/>
              <w:right w:val="single" w:sz="4" w:space="0" w:color="auto"/>
            </w:tcBorders>
            <w:shd w:val="clear" w:color="000000" w:fill="F2F2F2"/>
            <w:noWrap/>
            <w:vAlign w:val="center"/>
            <w:hideMark/>
          </w:tcPr>
          <w:p w14:paraId="67BD859B"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$ 73.207.000</w:t>
            </w:r>
          </w:p>
        </w:tc>
        <w:tc>
          <w:tcPr>
            <w:tcW w:w="1260" w:type="dxa"/>
            <w:tcBorders>
              <w:top w:val="nil"/>
              <w:left w:val="nil"/>
              <w:bottom w:val="single" w:sz="4" w:space="0" w:color="auto"/>
              <w:right w:val="single" w:sz="4" w:space="0" w:color="auto"/>
            </w:tcBorders>
            <w:shd w:val="clear" w:color="000000" w:fill="F2F2F2"/>
            <w:noWrap/>
            <w:vAlign w:val="center"/>
            <w:hideMark/>
          </w:tcPr>
          <w:p w14:paraId="6CBB71A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$ 732.070</w:t>
            </w:r>
          </w:p>
        </w:tc>
        <w:tc>
          <w:tcPr>
            <w:tcW w:w="1120" w:type="dxa"/>
            <w:tcBorders>
              <w:top w:val="nil"/>
              <w:left w:val="nil"/>
              <w:bottom w:val="single" w:sz="4" w:space="0" w:color="auto"/>
              <w:right w:val="single" w:sz="4" w:space="0" w:color="auto"/>
            </w:tcBorders>
            <w:shd w:val="clear" w:color="000000" w:fill="F2F2F2"/>
            <w:noWrap/>
            <w:vAlign w:val="center"/>
            <w:hideMark/>
          </w:tcPr>
          <w:p w14:paraId="6E043EE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$ 30</w:t>
            </w:r>
          </w:p>
        </w:tc>
        <w:tc>
          <w:tcPr>
            <w:tcW w:w="1260" w:type="dxa"/>
            <w:tcBorders>
              <w:top w:val="nil"/>
              <w:left w:val="nil"/>
              <w:bottom w:val="single" w:sz="4" w:space="0" w:color="auto"/>
              <w:right w:val="single" w:sz="4" w:space="0" w:color="auto"/>
            </w:tcBorders>
            <w:shd w:val="clear" w:color="000000" w:fill="F2F2F2"/>
            <w:noWrap/>
            <w:vAlign w:val="center"/>
            <w:hideMark/>
          </w:tcPr>
          <w:p w14:paraId="33ED1987"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$ 732.100</w:t>
            </w:r>
          </w:p>
        </w:tc>
        <w:tc>
          <w:tcPr>
            <w:tcW w:w="1920" w:type="dxa"/>
            <w:tcBorders>
              <w:top w:val="nil"/>
              <w:left w:val="nil"/>
              <w:bottom w:val="single" w:sz="4" w:space="0" w:color="auto"/>
              <w:right w:val="single" w:sz="4" w:space="0" w:color="auto"/>
            </w:tcBorders>
            <w:shd w:val="clear" w:color="000000" w:fill="F2F2F2"/>
            <w:vAlign w:val="center"/>
            <w:hideMark/>
          </w:tcPr>
          <w:p w14:paraId="29F91727"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w:t>
            </w:r>
          </w:p>
        </w:tc>
      </w:tr>
      <w:tr w:rsidR="00D705A6" w:rsidRPr="002E0BB9" w14:paraId="302AB20A" w14:textId="77777777" w:rsidTr="007D1249">
        <w:trPr>
          <w:trHeight w:val="4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373CE0A7"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187</w:t>
            </w:r>
          </w:p>
        </w:tc>
        <w:tc>
          <w:tcPr>
            <w:tcW w:w="560" w:type="dxa"/>
            <w:tcBorders>
              <w:top w:val="nil"/>
              <w:left w:val="nil"/>
              <w:bottom w:val="single" w:sz="4" w:space="0" w:color="auto"/>
              <w:right w:val="single" w:sz="4" w:space="0" w:color="auto"/>
            </w:tcBorders>
            <w:shd w:val="clear" w:color="000000" w:fill="F2F2F2"/>
            <w:noWrap/>
            <w:vAlign w:val="center"/>
            <w:hideMark/>
          </w:tcPr>
          <w:p w14:paraId="35834A5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25680</w:t>
            </w:r>
          </w:p>
        </w:tc>
        <w:tc>
          <w:tcPr>
            <w:tcW w:w="920" w:type="dxa"/>
            <w:tcBorders>
              <w:top w:val="nil"/>
              <w:left w:val="nil"/>
              <w:bottom w:val="single" w:sz="4" w:space="0" w:color="auto"/>
              <w:right w:val="single" w:sz="4" w:space="0" w:color="auto"/>
            </w:tcBorders>
            <w:shd w:val="clear" w:color="000000" w:fill="F2F2F2"/>
            <w:noWrap/>
            <w:vAlign w:val="center"/>
            <w:hideMark/>
          </w:tcPr>
          <w:p w14:paraId="08C71BF6"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900432368</w:t>
            </w:r>
          </w:p>
        </w:tc>
        <w:tc>
          <w:tcPr>
            <w:tcW w:w="2180" w:type="dxa"/>
            <w:tcBorders>
              <w:top w:val="nil"/>
              <w:left w:val="nil"/>
              <w:bottom w:val="single" w:sz="4" w:space="0" w:color="auto"/>
              <w:right w:val="single" w:sz="4" w:space="0" w:color="auto"/>
            </w:tcBorders>
            <w:shd w:val="clear" w:color="000000" w:fill="F2F2F2"/>
            <w:vAlign w:val="center"/>
            <w:hideMark/>
          </w:tcPr>
          <w:p w14:paraId="59885C9F"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ELECTRIFICADORA DE MAPIRIPÁN S.A. E.S.P.</w:t>
            </w:r>
          </w:p>
        </w:tc>
        <w:tc>
          <w:tcPr>
            <w:tcW w:w="1520" w:type="dxa"/>
            <w:tcBorders>
              <w:top w:val="nil"/>
              <w:left w:val="nil"/>
              <w:bottom w:val="single" w:sz="4" w:space="0" w:color="auto"/>
              <w:right w:val="single" w:sz="4" w:space="0" w:color="auto"/>
            </w:tcBorders>
            <w:shd w:val="clear" w:color="000000" w:fill="F2F2F2"/>
            <w:noWrap/>
            <w:vAlign w:val="center"/>
            <w:hideMark/>
          </w:tcPr>
          <w:p w14:paraId="5F5618B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$ 223.809.585</w:t>
            </w:r>
          </w:p>
        </w:tc>
        <w:tc>
          <w:tcPr>
            <w:tcW w:w="1440" w:type="dxa"/>
            <w:tcBorders>
              <w:top w:val="nil"/>
              <w:left w:val="nil"/>
              <w:bottom w:val="single" w:sz="4" w:space="0" w:color="auto"/>
              <w:right w:val="single" w:sz="4" w:space="0" w:color="auto"/>
            </w:tcBorders>
            <w:shd w:val="clear" w:color="000000" w:fill="F2F2F2"/>
            <w:noWrap/>
            <w:vAlign w:val="center"/>
            <w:hideMark/>
          </w:tcPr>
          <w:p w14:paraId="04FE7C2C"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$ 8.498.972</w:t>
            </w:r>
          </w:p>
        </w:tc>
        <w:tc>
          <w:tcPr>
            <w:tcW w:w="1460" w:type="dxa"/>
            <w:tcBorders>
              <w:top w:val="nil"/>
              <w:left w:val="nil"/>
              <w:bottom w:val="single" w:sz="4" w:space="0" w:color="auto"/>
              <w:right w:val="single" w:sz="4" w:space="0" w:color="auto"/>
            </w:tcBorders>
            <w:shd w:val="clear" w:color="000000" w:fill="F2F2F2"/>
            <w:noWrap/>
            <w:vAlign w:val="center"/>
            <w:hideMark/>
          </w:tcPr>
          <w:p w14:paraId="31EE621A"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$ 232.308.557</w:t>
            </w:r>
          </w:p>
        </w:tc>
        <w:tc>
          <w:tcPr>
            <w:tcW w:w="1260" w:type="dxa"/>
            <w:tcBorders>
              <w:top w:val="nil"/>
              <w:left w:val="nil"/>
              <w:bottom w:val="single" w:sz="4" w:space="0" w:color="auto"/>
              <w:right w:val="single" w:sz="4" w:space="0" w:color="auto"/>
            </w:tcBorders>
            <w:shd w:val="clear" w:color="000000" w:fill="F2F2F2"/>
            <w:noWrap/>
            <w:vAlign w:val="center"/>
            <w:hideMark/>
          </w:tcPr>
          <w:p w14:paraId="2136492D"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$ 2.323.086</w:t>
            </w:r>
          </w:p>
        </w:tc>
        <w:tc>
          <w:tcPr>
            <w:tcW w:w="1120" w:type="dxa"/>
            <w:tcBorders>
              <w:top w:val="nil"/>
              <w:left w:val="nil"/>
              <w:bottom w:val="single" w:sz="4" w:space="0" w:color="auto"/>
              <w:right w:val="single" w:sz="4" w:space="0" w:color="auto"/>
            </w:tcBorders>
            <w:shd w:val="clear" w:color="000000" w:fill="F2F2F2"/>
            <w:noWrap/>
            <w:vAlign w:val="center"/>
            <w:hideMark/>
          </w:tcPr>
          <w:p w14:paraId="3AA212F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$ 97</w:t>
            </w:r>
          </w:p>
        </w:tc>
        <w:tc>
          <w:tcPr>
            <w:tcW w:w="1260" w:type="dxa"/>
            <w:tcBorders>
              <w:top w:val="nil"/>
              <w:left w:val="nil"/>
              <w:bottom w:val="single" w:sz="4" w:space="0" w:color="auto"/>
              <w:right w:val="single" w:sz="4" w:space="0" w:color="auto"/>
            </w:tcBorders>
            <w:shd w:val="clear" w:color="000000" w:fill="F2F2F2"/>
            <w:noWrap/>
            <w:vAlign w:val="center"/>
            <w:hideMark/>
          </w:tcPr>
          <w:p w14:paraId="76BF9DB2"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$ 2.323.182</w:t>
            </w:r>
          </w:p>
        </w:tc>
        <w:tc>
          <w:tcPr>
            <w:tcW w:w="1920" w:type="dxa"/>
            <w:tcBorders>
              <w:top w:val="nil"/>
              <w:left w:val="nil"/>
              <w:bottom w:val="single" w:sz="4" w:space="0" w:color="auto"/>
              <w:right w:val="single" w:sz="4" w:space="0" w:color="auto"/>
            </w:tcBorders>
            <w:shd w:val="clear" w:color="000000" w:fill="F2F2F2"/>
            <w:vAlign w:val="center"/>
            <w:hideMark/>
          </w:tcPr>
          <w:p w14:paraId="3011A66F"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w:t>
            </w:r>
          </w:p>
        </w:tc>
      </w:tr>
      <w:tr w:rsidR="00D705A6" w:rsidRPr="002E0BB9" w14:paraId="5AF662D2" w14:textId="77777777" w:rsidTr="007D1249">
        <w:trPr>
          <w:trHeight w:val="4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70FCE892"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188</w:t>
            </w:r>
          </w:p>
        </w:tc>
        <w:tc>
          <w:tcPr>
            <w:tcW w:w="560" w:type="dxa"/>
            <w:tcBorders>
              <w:top w:val="nil"/>
              <w:left w:val="nil"/>
              <w:bottom w:val="single" w:sz="4" w:space="0" w:color="auto"/>
              <w:right w:val="single" w:sz="4" w:space="0" w:color="auto"/>
            </w:tcBorders>
            <w:shd w:val="clear" w:color="000000" w:fill="F2F2F2"/>
            <w:noWrap/>
            <w:vAlign w:val="center"/>
            <w:hideMark/>
          </w:tcPr>
          <w:p w14:paraId="3173190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31191</w:t>
            </w:r>
          </w:p>
        </w:tc>
        <w:tc>
          <w:tcPr>
            <w:tcW w:w="920" w:type="dxa"/>
            <w:tcBorders>
              <w:top w:val="nil"/>
              <w:left w:val="nil"/>
              <w:bottom w:val="single" w:sz="4" w:space="0" w:color="auto"/>
              <w:right w:val="single" w:sz="4" w:space="0" w:color="auto"/>
            </w:tcBorders>
            <w:shd w:val="clear" w:color="000000" w:fill="F2F2F2"/>
            <w:noWrap/>
            <w:vAlign w:val="center"/>
            <w:hideMark/>
          </w:tcPr>
          <w:p w14:paraId="27951D35"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900433032</w:t>
            </w:r>
          </w:p>
        </w:tc>
        <w:tc>
          <w:tcPr>
            <w:tcW w:w="2180" w:type="dxa"/>
            <w:tcBorders>
              <w:top w:val="nil"/>
              <w:left w:val="nil"/>
              <w:bottom w:val="single" w:sz="4" w:space="0" w:color="auto"/>
              <w:right w:val="single" w:sz="4" w:space="0" w:color="auto"/>
            </w:tcBorders>
            <w:shd w:val="clear" w:color="000000" w:fill="F2F2F2"/>
            <w:vAlign w:val="center"/>
            <w:hideMark/>
          </w:tcPr>
          <w:p w14:paraId="1E8E3C0B"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TERPEL ENERGIA S.A.S E.</w:t>
            </w:r>
            <w:proofErr w:type="gramStart"/>
            <w:r w:rsidRPr="002E0BB9">
              <w:rPr>
                <w:rFonts w:ascii="Arial Narrow" w:hAnsi="Arial Narrow" w:cs="Arial"/>
                <w:spacing w:val="0"/>
                <w:sz w:val="16"/>
                <w:szCs w:val="16"/>
                <w:lang w:val="es-MX" w:eastAsia="es-MX"/>
              </w:rPr>
              <w:t>S.P</w:t>
            </w:r>
            <w:proofErr w:type="gramEnd"/>
          </w:p>
        </w:tc>
        <w:tc>
          <w:tcPr>
            <w:tcW w:w="1520" w:type="dxa"/>
            <w:tcBorders>
              <w:top w:val="nil"/>
              <w:left w:val="nil"/>
              <w:bottom w:val="single" w:sz="4" w:space="0" w:color="auto"/>
              <w:right w:val="single" w:sz="4" w:space="0" w:color="auto"/>
            </w:tcBorders>
            <w:shd w:val="clear" w:color="000000" w:fill="F2F2F2"/>
            <w:noWrap/>
            <w:vAlign w:val="center"/>
            <w:hideMark/>
          </w:tcPr>
          <w:p w14:paraId="51A237E7"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$ 1.271.430.000</w:t>
            </w:r>
          </w:p>
        </w:tc>
        <w:tc>
          <w:tcPr>
            <w:tcW w:w="1440" w:type="dxa"/>
            <w:tcBorders>
              <w:top w:val="nil"/>
              <w:left w:val="nil"/>
              <w:bottom w:val="single" w:sz="4" w:space="0" w:color="auto"/>
              <w:right w:val="single" w:sz="4" w:space="0" w:color="auto"/>
            </w:tcBorders>
            <w:shd w:val="clear" w:color="000000" w:fill="F2F2F2"/>
            <w:noWrap/>
            <w:vAlign w:val="center"/>
            <w:hideMark/>
          </w:tcPr>
          <w:p w14:paraId="574784D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$ 82.449.543</w:t>
            </w:r>
          </w:p>
        </w:tc>
        <w:tc>
          <w:tcPr>
            <w:tcW w:w="1460" w:type="dxa"/>
            <w:tcBorders>
              <w:top w:val="nil"/>
              <w:left w:val="nil"/>
              <w:bottom w:val="single" w:sz="4" w:space="0" w:color="auto"/>
              <w:right w:val="single" w:sz="4" w:space="0" w:color="auto"/>
            </w:tcBorders>
            <w:shd w:val="clear" w:color="000000" w:fill="F2F2F2"/>
            <w:noWrap/>
            <w:vAlign w:val="center"/>
            <w:hideMark/>
          </w:tcPr>
          <w:p w14:paraId="6DBF0EFA"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$ 1.353.879.543</w:t>
            </w:r>
          </w:p>
        </w:tc>
        <w:tc>
          <w:tcPr>
            <w:tcW w:w="1260" w:type="dxa"/>
            <w:tcBorders>
              <w:top w:val="nil"/>
              <w:left w:val="nil"/>
              <w:bottom w:val="single" w:sz="4" w:space="0" w:color="auto"/>
              <w:right w:val="single" w:sz="4" w:space="0" w:color="auto"/>
            </w:tcBorders>
            <w:shd w:val="clear" w:color="000000" w:fill="F2F2F2"/>
            <w:noWrap/>
            <w:vAlign w:val="center"/>
            <w:hideMark/>
          </w:tcPr>
          <w:p w14:paraId="55AE90D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$ 13.538.795</w:t>
            </w:r>
          </w:p>
        </w:tc>
        <w:tc>
          <w:tcPr>
            <w:tcW w:w="1120" w:type="dxa"/>
            <w:tcBorders>
              <w:top w:val="nil"/>
              <w:left w:val="nil"/>
              <w:bottom w:val="single" w:sz="4" w:space="0" w:color="auto"/>
              <w:right w:val="single" w:sz="4" w:space="0" w:color="auto"/>
            </w:tcBorders>
            <w:shd w:val="clear" w:color="000000" w:fill="F2F2F2"/>
            <w:noWrap/>
            <w:vAlign w:val="center"/>
            <w:hideMark/>
          </w:tcPr>
          <w:p w14:paraId="24F78A6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$ 563</w:t>
            </w:r>
          </w:p>
        </w:tc>
        <w:tc>
          <w:tcPr>
            <w:tcW w:w="1260" w:type="dxa"/>
            <w:tcBorders>
              <w:top w:val="nil"/>
              <w:left w:val="nil"/>
              <w:bottom w:val="single" w:sz="4" w:space="0" w:color="auto"/>
              <w:right w:val="single" w:sz="4" w:space="0" w:color="auto"/>
            </w:tcBorders>
            <w:shd w:val="clear" w:color="000000" w:fill="F2F2F2"/>
            <w:noWrap/>
            <w:vAlign w:val="center"/>
            <w:hideMark/>
          </w:tcPr>
          <w:p w14:paraId="47858CC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$ 13.539.359</w:t>
            </w:r>
          </w:p>
        </w:tc>
        <w:tc>
          <w:tcPr>
            <w:tcW w:w="1920" w:type="dxa"/>
            <w:tcBorders>
              <w:top w:val="nil"/>
              <w:left w:val="nil"/>
              <w:bottom w:val="single" w:sz="4" w:space="0" w:color="auto"/>
              <w:right w:val="single" w:sz="4" w:space="0" w:color="auto"/>
            </w:tcBorders>
            <w:shd w:val="clear" w:color="000000" w:fill="F2F2F2"/>
            <w:vAlign w:val="center"/>
            <w:hideMark/>
          </w:tcPr>
          <w:p w14:paraId="69757AD6"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 - GAS POR REDES</w:t>
            </w:r>
          </w:p>
        </w:tc>
      </w:tr>
      <w:tr w:rsidR="00D705A6" w:rsidRPr="002E0BB9" w14:paraId="7B9F6711" w14:textId="77777777" w:rsidTr="007D1249">
        <w:trPr>
          <w:trHeight w:val="4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3939EE87"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189</w:t>
            </w:r>
          </w:p>
        </w:tc>
        <w:tc>
          <w:tcPr>
            <w:tcW w:w="560" w:type="dxa"/>
            <w:tcBorders>
              <w:top w:val="nil"/>
              <w:left w:val="nil"/>
              <w:bottom w:val="single" w:sz="4" w:space="0" w:color="auto"/>
              <w:right w:val="single" w:sz="4" w:space="0" w:color="auto"/>
            </w:tcBorders>
            <w:shd w:val="clear" w:color="000000" w:fill="F2F2F2"/>
            <w:noWrap/>
            <w:vAlign w:val="center"/>
            <w:hideMark/>
          </w:tcPr>
          <w:p w14:paraId="7E807B85"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37294</w:t>
            </w:r>
          </w:p>
        </w:tc>
        <w:tc>
          <w:tcPr>
            <w:tcW w:w="920" w:type="dxa"/>
            <w:tcBorders>
              <w:top w:val="nil"/>
              <w:left w:val="nil"/>
              <w:bottom w:val="single" w:sz="4" w:space="0" w:color="auto"/>
              <w:right w:val="single" w:sz="4" w:space="0" w:color="auto"/>
            </w:tcBorders>
            <w:shd w:val="clear" w:color="000000" w:fill="F2F2F2"/>
            <w:noWrap/>
            <w:vAlign w:val="center"/>
            <w:hideMark/>
          </w:tcPr>
          <w:p w14:paraId="220F8C4A"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900438187</w:t>
            </w:r>
          </w:p>
        </w:tc>
        <w:tc>
          <w:tcPr>
            <w:tcW w:w="2180" w:type="dxa"/>
            <w:tcBorders>
              <w:top w:val="nil"/>
              <w:left w:val="nil"/>
              <w:bottom w:val="single" w:sz="4" w:space="0" w:color="auto"/>
              <w:right w:val="single" w:sz="4" w:space="0" w:color="auto"/>
            </w:tcBorders>
            <w:shd w:val="clear" w:color="000000" w:fill="F2F2F2"/>
            <w:vAlign w:val="center"/>
            <w:hideMark/>
          </w:tcPr>
          <w:p w14:paraId="4985A6CF"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PROVIGAS COLOMBIA S.A. ESP</w:t>
            </w:r>
          </w:p>
        </w:tc>
        <w:tc>
          <w:tcPr>
            <w:tcW w:w="1520" w:type="dxa"/>
            <w:tcBorders>
              <w:top w:val="nil"/>
              <w:left w:val="nil"/>
              <w:bottom w:val="single" w:sz="4" w:space="0" w:color="auto"/>
              <w:right w:val="single" w:sz="4" w:space="0" w:color="auto"/>
            </w:tcBorders>
            <w:shd w:val="clear" w:color="000000" w:fill="F2F2F2"/>
            <w:noWrap/>
            <w:vAlign w:val="center"/>
            <w:hideMark/>
          </w:tcPr>
          <w:p w14:paraId="275D2852"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$ 372.298.000</w:t>
            </w:r>
          </w:p>
        </w:tc>
        <w:tc>
          <w:tcPr>
            <w:tcW w:w="1440" w:type="dxa"/>
            <w:tcBorders>
              <w:top w:val="nil"/>
              <w:left w:val="nil"/>
              <w:bottom w:val="single" w:sz="4" w:space="0" w:color="auto"/>
              <w:right w:val="single" w:sz="4" w:space="0" w:color="auto"/>
            </w:tcBorders>
            <w:shd w:val="clear" w:color="000000" w:fill="F2F2F2"/>
            <w:noWrap/>
            <w:vAlign w:val="center"/>
            <w:hideMark/>
          </w:tcPr>
          <w:p w14:paraId="3BE0927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$ 0</w:t>
            </w:r>
          </w:p>
        </w:tc>
        <w:tc>
          <w:tcPr>
            <w:tcW w:w="1460" w:type="dxa"/>
            <w:tcBorders>
              <w:top w:val="nil"/>
              <w:left w:val="nil"/>
              <w:bottom w:val="single" w:sz="4" w:space="0" w:color="auto"/>
              <w:right w:val="single" w:sz="4" w:space="0" w:color="auto"/>
            </w:tcBorders>
            <w:shd w:val="clear" w:color="000000" w:fill="F2F2F2"/>
            <w:noWrap/>
            <w:vAlign w:val="center"/>
            <w:hideMark/>
          </w:tcPr>
          <w:p w14:paraId="315F3C9D"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$ 372.298.000</w:t>
            </w:r>
          </w:p>
        </w:tc>
        <w:tc>
          <w:tcPr>
            <w:tcW w:w="1260" w:type="dxa"/>
            <w:tcBorders>
              <w:top w:val="nil"/>
              <w:left w:val="nil"/>
              <w:bottom w:val="single" w:sz="4" w:space="0" w:color="auto"/>
              <w:right w:val="single" w:sz="4" w:space="0" w:color="auto"/>
            </w:tcBorders>
            <w:shd w:val="clear" w:color="000000" w:fill="F2F2F2"/>
            <w:noWrap/>
            <w:vAlign w:val="center"/>
            <w:hideMark/>
          </w:tcPr>
          <w:p w14:paraId="2DA53006"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$ 3.722.980</w:t>
            </w:r>
          </w:p>
        </w:tc>
        <w:tc>
          <w:tcPr>
            <w:tcW w:w="1120" w:type="dxa"/>
            <w:tcBorders>
              <w:top w:val="nil"/>
              <w:left w:val="nil"/>
              <w:bottom w:val="single" w:sz="4" w:space="0" w:color="auto"/>
              <w:right w:val="single" w:sz="4" w:space="0" w:color="auto"/>
            </w:tcBorders>
            <w:shd w:val="clear" w:color="000000" w:fill="F2F2F2"/>
            <w:noWrap/>
            <w:vAlign w:val="center"/>
            <w:hideMark/>
          </w:tcPr>
          <w:p w14:paraId="3530199E"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$ 155</w:t>
            </w:r>
          </w:p>
        </w:tc>
        <w:tc>
          <w:tcPr>
            <w:tcW w:w="1260" w:type="dxa"/>
            <w:tcBorders>
              <w:top w:val="nil"/>
              <w:left w:val="nil"/>
              <w:bottom w:val="single" w:sz="4" w:space="0" w:color="auto"/>
              <w:right w:val="single" w:sz="4" w:space="0" w:color="auto"/>
            </w:tcBorders>
            <w:shd w:val="clear" w:color="000000" w:fill="F2F2F2"/>
            <w:noWrap/>
            <w:vAlign w:val="center"/>
            <w:hideMark/>
          </w:tcPr>
          <w:p w14:paraId="1153882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$ 3.723.135</w:t>
            </w:r>
          </w:p>
        </w:tc>
        <w:tc>
          <w:tcPr>
            <w:tcW w:w="1920" w:type="dxa"/>
            <w:tcBorders>
              <w:top w:val="nil"/>
              <w:left w:val="nil"/>
              <w:bottom w:val="single" w:sz="4" w:space="0" w:color="auto"/>
              <w:right w:val="single" w:sz="4" w:space="0" w:color="auto"/>
            </w:tcBorders>
            <w:shd w:val="clear" w:color="000000" w:fill="F2F2F2"/>
            <w:vAlign w:val="center"/>
            <w:hideMark/>
          </w:tcPr>
          <w:p w14:paraId="4C9B447E"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GAS POR REDES</w:t>
            </w:r>
          </w:p>
        </w:tc>
      </w:tr>
      <w:tr w:rsidR="00D705A6" w:rsidRPr="002E0BB9" w14:paraId="56D7FD87" w14:textId="77777777" w:rsidTr="007D1249">
        <w:trPr>
          <w:trHeight w:val="2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2D41FA74"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190</w:t>
            </w:r>
          </w:p>
        </w:tc>
        <w:tc>
          <w:tcPr>
            <w:tcW w:w="560" w:type="dxa"/>
            <w:tcBorders>
              <w:top w:val="nil"/>
              <w:left w:val="nil"/>
              <w:bottom w:val="single" w:sz="4" w:space="0" w:color="auto"/>
              <w:right w:val="single" w:sz="4" w:space="0" w:color="auto"/>
            </w:tcBorders>
            <w:shd w:val="clear" w:color="000000" w:fill="F2F2F2"/>
            <w:noWrap/>
            <w:vAlign w:val="center"/>
            <w:hideMark/>
          </w:tcPr>
          <w:p w14:paraId="5731F09B"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38033</w:t>
            </w:r>
          </w:p>
        </w:tc>
        <w:tc>
          <w:tcPr>
            <w:tcW w:w="920" w:type="dxa"/>
            <w:tcBorders>
              <w:top w:val="nil"/>
              <w:left w:val="nil"/>
              <w:bottom w:val="single" w:sz="4" w:space="0" w:color="auto"/>
              <w:right w:val="single" w:sz="4" w:space="0" w:color="auto"/>
            </w:tcBorders>
            <w:shd w:val="clear" w:color="000000" w:fill="F2F2F2"/>
            <w:noWrap/>
            <w:vAlign w:val="center"/>
            <w:hideMark/>
          </w:tcPr>
          <w:p w14:paraId="31E85A8D"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900440491</w:t>
            </w:r>
          </w:p>
        </w:tc>
        <w:tc>
          <w:tcPr>
            <w:tcW w:w="2180" w:type="dxa"/>
            <w:tcBorders>
              <w:top w:val="nil"/>
              <w:left w:val="nil"/>
              <w:bottom w:val="single" w:sz="4" w:space="0" w:color="auto"/>
              <w:right w:val="single" w:sz="4" w:space="0" w:color="auto"/>
            </w:tcBorders>
            <w:shd w:val="clear" w:color="000000" w:fill="F2F2F2"/>
            <w:vAlign w:val="center"/>
            <w:hideMark/>
          </w:tcPr>
          <w:p w14:paraId="39E6B0CF"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JADAPE SAS ESP</w:t>
            </w:r>
          </w:p>
        </w:tc>
        <w:tc>
          <w:tcPr>
            <w:tcW w:w="1520" w:type="dxa"/>
            <w:tcBorders>
              <w:top w:val="nil"/>
              <w:left w:val="nil"/>
              <w:bottom w:val="single" w:sz="4" w:space="0" w:color="auto"/>
              <w:right w:val="single" w:sz="4" w:space="0" w:color="auto"/>
            </w:tcBorders>
            <w:shd w:val="clear" w:color="000000" w:fill="F2F2F2"/>
            <w:noWrap/>
            <w:vAlign w:val="center"/>
            <w:hideMark/>
          </w:tcPr>
          <w:p w14:paraId="6219CA0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$ 316.406.000</w:t>
            </w:r>
          </w:p>
        </w:tc>
        <w:tc>
          <w:tcPr>
            <w:tcW w:w="1440" w:type="dxa"/>
            <w:tcBorders>
              <w:top w:val="nil"/>
              <w:left w:val="nil"/>
              <w:bottom w:val="single" w:sz="4" w:space="0" w:color="auto"/>
              <w:right w:val="single" w:sz="4" w:space="0" w:color="auto"/>
            </w:tcBorders>
            <w:shd w:val="clear" w:color="000000" w:fill="F2F2F2"/>
            <w:noWrap/>
            <w:vAlign w:val="center"/>
            <w:hideMark/>
          </w:tcPr>
          <w:p w14:paraId="1267ECF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$ 2.178.497</w:t>
            </w:r>
          </w:p>
        </w:tc>
        <w:tc>
          <w:tcPr>
            <w:tcW w:w="1460" w:type="dxa"/>
            <w:tcBorders>
              <w:top w:val="nil"/>
              <w:left w:val="nil"/>
              <w:bottom w:val="single" w:sz="4" w:space="0" w:color="auto"/>
              <w:right w:val="single" w:sz="4" w:space="0" w:color="auto"/>
            </w:tcBorders>
            <w:shd w:val="clear" w:color="000000" w:fill="F2F2F2"/>
            <w:noWrap/>
            <w:vAlign w:val="center"/>
            <w:hideMark/>
          </w:tcPr>
          <w:p w14:paraId="37FAC70D"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$ 318.584.497</w:t>
            </w:r>
          </w:p>
        </w:tc>
        <w:tc>
          <w:tcPr>
            <w:tcW w:w="1260" w:type="dxa"/>
            <w:tcBorders>
              <w:top w:val="nil"/>
              <w:left w:val="nil"/>
              <w:bottom w:val="single" w:sz="4" w:space="0" w:color="auto"/>
              <w:right w:val="single" w:sz="4" w:space="0" w:color="auto"/>
            </w:tcBorders>
            <w:shd w:val="clear" w:color="000000" w:fill="F2F2F2"/>
            <w:noWrap/>
            <w:vAlign w:val="center"/>
            <w:hideMark/>
          </w:tcPr>
          <w:p w14:paraId="2AB31936"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$ 3.185.845</w:t>
            </w:r>
          </w:p>
        </w:tc>
        <w:tc>
          <w:tcPr>
            <w:tcW w:w="1120" w:type="dxa"/>
            <w:tcBorders>
              <w:top w:val="nil"/>
              <w:left w:val="nil"/>
              <w:bottom w:val="single" w:sz="4" w:space="0" w:color="auto"/>
              <w:right w:val="single" w:sz="4" w:space="0" w:color="auto"/>
            </w:tcBorders>
            <w:shd w:val="clear" w:color="000000" w:fill="F2F2F2"/>
            <w:noWrap/>
            <w:vAlign w:val="center"/>
            <w:hideMark/>
          </w:tcPr>
          <w:p w14:paraId="33DAFE2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$ 133</w:t>
            </w:r>
          </w:p>
        </w:tc>
        <w:tc>
          <w:tcPr>
            <w:tcW w:w="1260" w:type="dxa"/>
            <w:tcBorders>
              <w:top w:val="nil"/>
              <w:left w:val="nil"/>
              <w:bottom w:val="single" w:sz="4" w:space="0" w:color="auto"/>
              <w:right w:val="single" w:sz="4" w:space="0" w:color="auto"/>
            </w:tcBorders>
            <w:shd w:val="clear" w:color="000000" w:fill="F2F2F2"/>
            <w:noWrap/>
            <w:vAlign w:val="center"/>
            <w:hideMark/>
          </w:tcPr>
          <w:p w14:paraId="73547687"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$ 3.185.978</w:t>
            </w:r>
          </w:p>
        </w:tc>
        <w:tc>
          <w:tcPr>
            <w:tcW w:w="1920" w:type="dxa"/>
            <w:tcBorders>
              <w:top w:val="nil"/>
              <w:left w:val="nil"/>
              <w:bottom w:val="single" w:sz="4" w:space="0" w:color="auto"/>
              <w:right w:val="single" w:sz="4" w:space="0" w:color="auto"/>
            </w:tcBorders>
            <w:shd w:val="clear" w:color="000000" w:fill="F2F2F2"/>
            <w:vAlign w:val="center"/>
            <w:hideMark/>
          </w:tcPr>
          <w:p w14:paraId="0A5415E1"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GAS POR REDES</w:t>
            </w:r>
          </w:p>
        </w:tc>
      </w:tr>
      <w:tr w:rsidR="00D705A6" w:rsidRPr="002E0BB9" w14:paraId="3E5EC514" w14:textId="77777777" w:rsidTr="00053706">
        <w:trPr>
          <w:trHeight w:val="419"/>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37260500"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lastRenderedPageBreak/>
              <w:t>191</w:t>
            </w:r>
          </w:p>
        </w:tc>
        <w:tc>
          <w:tcPr>
            <w:tcW w:w="560" w:type="dxa"/>
            <w:tcBorders>
              <w:top w:val="nil"/>
              <w:left w:val="nil"/>
              <w:bottom w:val="single" w:sz="4" w:space="0" w:color="auto"/>
              <w:right w:val="single" w:sz="4" w:space="0" w:color="auto"/>
            </w:tcBorders>
            <w:shd w:val="clear" w:color="000000" w:fill="F2F2F2"/>
            <w:noWrap/>
            <w:vAlign w:val="center"/>
            <w:hideMark/>
          </w:tcPr>
          <w:p w14:paraId="489AAC7D"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28632</w:t>
            </w:r>
          </w:p>
        </w:tc>
        <w:tc>
          <w:tcPr>
            <w:tcW w:w="920" w:type="dxa"/>
            <w:tcBorders>
              <w:top w:val="nil"/>
              <w:left w:val="nil"/>
              <w:bottom w:val="single" w:sz="4" w:space="0" w:color="auto"/>
              <w:right w:val="single" w:sz="4" w:space="0" w:color="auto"/>
            </w:tcBorders>
            <w:shd w:val="clear" w:color="000000" w:fill="F2F2F2"/>
            <w:noWrap/>
            <w:vAlign w:val="center"/>
            <w:hideMark/>
          </w:tcPr>
          <w:p w14:paraId="70D808EE"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900448956</w:t>
            </w:r>
          </w:p>
        </w:tc>
        <w:tc>
          <w:tcPr>
            <w:tcW w:w="2180" w:type="dxa"/>
            <w:tcBorders>
              <w:top w:val="nil"/>
              <w:left w:val="nil"/>
              <w:bottom w:val="single" w:sz="4" w:space="0" w:color="auto"/>
              <w:right w:val="single" w:sz="4" w:space="0" w:color="auto"/>
            </w:tcBorders>
            <w:shd w:val="clear" w:color="000000" w:fill="F2F2F2"/>
            <w:vAlign w:val="center"/>
            <w:hideMark/>
          </w:tcPr>
          <w:p w14:paraId="2ADB8447"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CENTRAL HIDROELÉCTRICA EL EDÉN S.A.S. E.</w:t>
            </w:r>
            <w:proofErr w:type="gramStart"/>
            <w:r w:rsidRPr="002E0BB9">
              <w:rPr>
                <w:rFonts w:ascii="Arial Narrow" w:hAnsi="Arial Narrow" w:cs="Arial"/>
                <w:spacing w:val="0"/>
                <w:sz w:val="16"/>
                <w:szCs w:val="16"/>
                <w:lang w:val="es-MX" w:eastAsia="es-MX"/>
              </w:rPr>
              <w:t>S.P</w:t>
            </w:r>
            <w:proofErr w:type="gramEnd"/>
          </w:p>
        </w:tc>
        <w:tc>
          <w:tcPr>
            <w:tcW w:w="1520" w:type="dxa"/>
            <w:tcBorders>
              <w:top w:val="nil"/>
              <w:left w:val="nil"/>
              <w:bottom w:val="single" w:sz="4" w:space="0" w:color="auto"/>
              <w:right w:val="single" w:sz="4" w:space="0" w:color="auto"/>
            </w:tcBorders>
            <w:shd w:val="clear" w:color="000000" w:fill="F2F2F2"/>
            <w:noWrap/>
            <w:vAlign w:val="center"/>
            <w:hideMark/>
          </w:tcPr>
          <w:p w14:paraId="426E6E56"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$ 256.609.000</w:t>
            </w:r>
          </w:p>
        </w:tc>
        <w:tc>
          <w:tcPr>
            <w:tcW w:w="1440" w:type="dxa"/>
            <w:tcBorders>
              <w:top w:val="nil"/>
              <w:left w:val="nil"/>
              <w:bottom w:val="single" w:sz="4" w:space="0" w:color="auto"/>
              <w:right w:val="single" w:sz="4" w:space="0" w:color="auto"/>
            </w:tcBorders>
            <w:shd w:val="clear" w:color="000000" w:fill="F2F2F2"/>
            <w:noWrap/>
            <w:vAlign w:val="center"/>
            <w:hideMark/>
          </w:tcPr>
          <w:p w14:paraId="218BAB37"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$ 1.432.273</w:t>
            </w:r>
          </w:p>
        </w:tc>
        <w:tc>
          <w:tcPr>
            <w:tcW w:w="1460" w:type="dxa"/>
            <w:tcBorders>
              <w:top w:val="nil"/>
              <w:left w:val="nil"/>
              <w:bottom w:val="single" w:sz="4" w:space="0" w:color="auto"/>
              <w:right w:val="single" w:sz="4" w:space="0" w:color="auto"/>
            </w:tcBorders>
            <w:shd w:val="clear" w:color="000000" w:fill="F2F2F2"/>
            <w:noWrap/>
            <w:vAlign w:val="center"/>
            <w:hideMark/>
          </w:tcPr>
          <w:p w14:paraId="06342BE2"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$ 258.041.273</w:t>
            </w:r>
          </w:p>
        </w:tc>
        <w:tc>
          <w:tcPr>
            <w:tcW w:w="1260" w:type="dxa"/>
            <w:tcBorders>
              <w:top w:val="nil"/>
              <w:left w:val="nil"/>
              <w:bottom w:val="single" w:sz="4" w:space="0" w:color="auto"/>
              <w:right w:val="single" w:sz="4" w:space="0" w:color="auto"/>
            </w:tcBorders>
            <w:shd w:val="clear" w:color="000000" w:fill="F2F2F2"/>
            <w:noWrap/>
            <w:vAlign w:val="center"/>
            <w:hideMark/>
          </w:tcPr>
          <w:p w14:paraId="1A843AD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$ 2.580.413</w:t>
            </w:r>
          </w:p>
        </w:tc>
        <w:tc>
          <w:tcPr>
            <w:tcW w:w="1120" w:type="dxa"/>
            <w:tcBorders>
              <w:top w:val="nil"/>
              <w:left w:val="nil"/>
              <w:bottom w:val="single" w:sz="4" w:space="0" w:color="auto"/>
              <w:right w:val="single" w:sz="4" w:space="0" w:color="auto"/>
            </w:tcBorders>
            <w:shd w:val="clear" w:color="000000" w:fill="F2F2F2"/>
            <w:noWrap/>
            <w:vAlign w:val="center"/>
            <w:hideMark/>
          </w:tcPr>
          <w:p w14:paraId="5DD23DB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$ 107</w:t>
            </w:r>
          </w:p>
        </w:tc>
        <w:tc>
          <w:tcPr>
            <w:tcW w:w="1260" w:type="dxa"/>
            <w:tcBorders>
              <w:top w:val="nil"/>
              <w:left w:val="nil"/>
              <w:bottom w:val="single" w:sz="4" w:space="0" w:color="auto"/>
              <w:right w:val="single" w:sz="4" w:space="0" w:color="auto"/>
            </w:tcBorders>
            <w:shd w:val="clear" w:color="000000" w:fill="F2F2F2"/>
            <w:noWrap/>
            <w:vAlign w:val="center"/>
            <w:hideMark/>
          </w:tcPr>
          <w:p w14:paraId="6596A01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$ 2.580.520</w:t>
            </w:r>
          </w:p>
        </w:tc>
        <w:tc>
          <w:tcPr>
            <w:tcW w:w="1920" w:type="dxa"/>
            <w:tcBorders>
              <w:top w:val="nil"/>
              <w:left w:val="nil"/>
              <w:bottom w:val="single" w:sz="4" w:space="0" w:color="auto"/>
              <w:right w:val="single" w:sz="4" w:space="0" w:color="auto"/>
            </w:tcBorders>
            <w:shd w:val="clear" w:color="000000" w:fill="F2F2F2"/>
            <w:vAlign w:val="center"/>
            <w:hideMark/>
          </w:tcPr>
          <w:p w14:paraId="5E88BA45"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w:t>
            </w:r>
          </w:p>
        </w:tc>
      </w:tr>
      <w:tr w:rsidR="00D705A6" w:rsidRPr="002E0BB9" w14:paraId="1CE61F71" w14:textId="77777777" w:rsidTr="007D1249">
        <w:trPr>
          <w:trHeight w:val="4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54BB6C34"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192</w:t>
            </w:r>
          </w:p>
        </w:tc>
        <w:tc>
          <w:tcPr>
            <w:tcW w:w="560" w:type="dxa"/>
            <w:tcBorders>
              <w:top w:val="nil"/>
              <w:left w:val="nil"/>
              <w:bottom w:val="single" w:sz="4" w:space="0" w:color="auto"/>
              <w:right w:val="single" w:sz="4" w:space="0" w:color="auto"/>
            </w:tcBorders>
            <w:shd w:val="clear" w:color="000000" w:fill="F2F2F2"/>
            <w:noWrap/>
            <w:vAlign w:val="center"/>
            <w:hideMark/>
          </w:tcPr>
          <w:p w14:paraId="3532DBDC"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25939</w:t>
            </w:r>
          </w:p>
        </w:tc>
        <w:tc>
          <w:tcPr>
            <w:tcW w:w="920" w:type="dxa"/>
            <w:tcBorders>
              <w:top w:val="nil"/>
              <w:left w:val="nil"/>
              <w:bottom w:val="single" w:sz="4" w:space="0" w:color="auto"/>
              <w:right w:val="single" w:sz="4" w:space="0" w:color="auto"/>
            </w:tcBorders>
            <w:shd w:val="clear" w:color="000000" w:fill="F2F2F2"/>
            <w:noWrap/>
            <w:vAlign w:val="center"/>
            <w:hideMark/>
          </w:tcPr>
          <w:p w14:paraId="7B296002"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900453463</w:t>
            </w:r>
          </w:p>
        </w:tc>
        <w:tc>
          <w:tcPr>
            <w:tcW w:w="2180" w:type="dxa"/>
            <w:tcBorders>
              <w:top w:val="nil"/>
              <w:left w:val="nil"/>
              <w:bottom w:val="single" w:sz="4" w:space="0" w:color="auto"/>
              <w:right w:val="single" w:sz="4" w:space="0" w:color="auto"/>
            </w:tcBorders>
            <w:shd w:val="clear" w:color="000000" w:fill="F2F2F2"/>
            <w:vAlign w:val="center"/>
            <w:hideMark/>
          </w:tcPr>
          <w:p w14:paraId="7D552BCD"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CITYGAS DISTRIBUIDORA S.A.S. E.</w:t>
            </w:r>
            <w:proofErr w:type="gramStart"/>
            <w:r w:rsidRPr="002E0BB9">
              <w:rPr>
                <w:rFonts w:ascii="Arial Narrow" w:hAnsi="Arial Narrow" w:cs="Arial"/>
                <w:spacing w:val="0"/>
                <w:sz w:val="16"/>
                <w:szCs w:val="16"/>
                <w:lang w:val="es-MX" w:eastAsia="es-MX"/>
              </w:rPr>
              <w:t>S.P</w:t>
            </w:r>
            <w:proofErr w:type="gramEnd"/>
          </w:p>
        </w:tc>
        <w:tc>
          <w:tcPr>
            <w:tcW w:w="1520" w:type="dxa"/>
            <w:tcBorders>
              <w:top w:val="nil"/>
              <w:left w:val="nil"/>
              <w:bottom w:val="single" w:sz="4" w:space="0" w:color="auto"/>
              <w:right w:val="single" w:sz="4" w:space="0" w:color="auto"/>
            </w:tcBorders>
            <w:shd w:val="clear" w:color="000000" w:fill="F2F2F2"/>
            <w:noWrap/>
            <w:vAlign w:val="center"/>
            <w:hideMark/>
          </w:tcPr>
          <w:p w14:paraId="477E5A1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$ 474.974.000</w:t>
            </w:r>
          </w:p>
        </w:tc>
        <w:tc>
          <w:tcPr>
            <w:tcW w:w="1440" w:type="dxa"/>
            <w:tcBorders>
              <w:top w:val="nil"/>
              <w:left w:val="nil"/>
              <w:bottom w:val="single" w:sz="4" w:space="0" w:color="auto"/>
              <w:right w:val="single" w:sz="4" w:space="0" w:color="auto"/>
            </w:tcBorders>
            <w:shd w:val="clear" w:color="000000" w:fill="F2F2F2"/>
            <w:noWrap/>
            <w:vAlign w:val="center"/>
            <w:hideMark/>
          </w:tcPr>
          <w:p w14:paraId="5552557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$ 16.744.254</w:t>
            </w:r>
          </w:p>
        </w:tc>
        <w:tc>
          <w:tcPr>
            <w:tcW w:w="1460" w:type="dxa"/>
            <w:tcBorders>
              <w:top w:val="nil"/>
              <w:left w:val="nil"/>
              <w:bottom w:val="single" w:sz="4" w:space="0" w:color="auto"/>
              <w:right w:val="single" w:sz="4" w:space="0" w:color="auto"/>
            </w:tcBorders>
            <w:shd w:val="clear" w:color="000000" w:fill="F2F2F2"/>
            <w:noWrap/>
            <w:vAlign w:val="center"/>
            <w:hideMark/>
          </w:tcPr>
          <w:p w14:paraId="52A5391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$ 491.718.254</w:t>
            </w:r>
          </w:p>
        </w:tc>
        <w:tc>
          <w:tcPr>
            <w:tcW w:w="1260" w:type="dxa"/>
            <w:tcBorders>
              <w:top w:val="nil"/>
              <w:left w:val="nil"/>
              <w:bottom w:val="single" w:sz="4" w:space="0" w:color="auto"/>
              <w:right w:val="single" w:sz="4" w:space="0" w:color="auto"/>
            </w:tcBorders>
            <w:shd w:val="clear" w:color="000000" w:fill="F2F2F2"/>
            <w:noWrap/>
            <w:vAlign w:val="center"/>
            <w:hideMark/>
          </w:tcPr>
          <w:p w14:paraId="278B8A5C"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$ 4.917.183</w:t>
            </w:r>
          </w:p>
        </w:tc>
        <w:tc>
          <w:tcPr>
            <w:tcW w:w="1120" w:type="dxa"/>
            <w:tcBorders>
              <w:top w:val="nil"/>
              <w:left w:val="nil"/>
              <w:bottom w:val="single" w:sz="4" w:space="0" w:color="auto"/>
              <w:right w:val="single" w:sz="4" w:space="0" w:color="auto"/>
            </w:tcBorders>
            <w:shd w:val="clear" w:color="000000" w:fill="F2F2F2"/>
            <w:noWrap/>
            <w:vAlign w:val="center"/>
            <w:hideMark/>
          </w:tcPr>
          <w:p w14:paraId="2F47B9F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$ 205</w:t>
            </w:r>
          </w:p>
        </w:tc>
        <w:tc>
          <w:tcPr>
            <w:tcW w:w="1260" w:type="dxa"/>
            <w:tcBorders>
              <w:top w:val="nil"/>
              <w:left w:val="nil"/>
              <w:bottom w:val="single" w:sz="4" w:space="0" w:color="auto"/>
              <w:right w:val="single" w:sz="4" w:space="0" w:color="auto"/>
            </w:tcBorders>
            <w:shd w:val="clear" w:color="000000" w:fill="F2F2F2"/>
            <w:noWrap/>
            <w:vAlign w:val="center"/>
            <w:hideMark/>
          </w:tcPr>
          <w:p w14:paraId="6DB5608A"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$ 4.917.387</w:t>
            </w:r>
          </w:p>
        </w:tc>
        <w:tc>
          <w:tcPr>
            <w:tcW w:w="1920" w:type="dxa"/>
            <w:tcBorders>
              <w:top w:val="nil"/>
              <w:left w:val="nil"/>
              <w:bottom w:val="single" w:sz="4" w:space="0" w:color="auto"/>
              <w:right w:val="single" w:sz="4" w:space="0" w:color="auto"/>
            </w:tcBorders>
            <w:shd w:val="clear" w:color="000000" w:fill="F2F2F2"/>
            <w:vAlign w:val="center"/>
            <w:hideMark/>
          </w:tcPr>
          <w:p w14:paraId="62456FFD"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GAS LICUADO DEL PETROLEO</w:t>
            </w:r>
          </w:p>
        </w:tc>
      </w:tr>
      <w:tr w:rsidR="00D705A6" w:rsidRPr="002E0BB9" w14:paraId="2B3E7ACC" w14:textId="77777777" w:rsidTr="007D1249">
        <w:trPr>
          <w:trHeight w:val="4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4351066C"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193</w:t>
            </w:r>
          </w:p>
        </w:tc>
        <w:tc>
          <w:tcPr>
            <w:tcW w:w="560" w:type="dxa"/>
            <w:tcBorders>
              <w:top w:val="nil"/>
              <w:left w:val="nil"/>
              <w:bottom w:val="single" w:sz="4" w:space="0" w:color="auto"/>
              <w:right w:val="single" w:sz="4" w:space="0" w:color="auto"/>
            </w:tcBorders>
            <w:shd w:val="clear" w:color="000000" w:fill="F2F2F2"/>
            <w:noWrap/>
            <w:vAlign w:val="center"/>
            <w:hideMark/>
          </w:tcPr>
          <w:p w14:paraId="167024F2"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60594</w:t>
            </w:r>
          </w:p>
        </w:tc>
        <w:tc>
          <w:tcPr>
            <w:tcW w:w="920" w:type="dxa"/>
            <w:tcBorders>
              <w:top w:val="nil"/>
              <w:left w:val="nil"/>
              <w:bottom w:val="single" w:sz="4" w:space="0" w:color="auto"/>
              <w:right w:val="single" w:sz="4" w:space="0" w:color="auto"/>
            </w:tcBorders>
            <w:shd w:val="clear" w:color="000000" w:fill="F2F2F2"/>
            <w:noWrap/>
            <w:vAlign w:val="center"/>
            <w:hideMark/>
          </w:tcPr>
          <w:p w14:paraId="674604DE"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900461106</w:t>
            </w:r>
          </w:p>
        </w:tc>
        <w:tc>
          <w:tcPr>
            <w:tcW w:w="2180" w:type="dxa"/>
            <w:tcBorders>
              <w:top w:val="nil"/>
              <w:left w:val="nil"/>
              <w:bottom w:val="single" w:sz="4" w:space="0" w:color="auto"/>
              <w:right w:val="single" w:sz="4" w:space="0" w:color="auto"/>
            </w:tcBorders>
            <w:shd w:val="clear" w:color="000000" w:fill="F2F2F2"/>
            <w:vAlign w:val="center"/>
            <w:hideMark/>
          </w:tcPr>
          <w:p w14:paraId="0435B841"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PCH SAN BARTOLOME SAS ESP</w:t>
            </w:r>
          </w:p>
        </w:tc>
        <w:tc>
          <w:tcPr>
            <w:tcW w:w="1520" w:type="dxa"/>
            <w:tcBorders>
              <w:top w:val="nil"/>
              <w:left w:val="nil"/>
              <w:bottom w:val="single" w:sz="4" w:space="0" w:color="auto"/>
              <w:right w:val="single" w:sz="4" w:space="0" w:color="auto"/>
            </w:tcBorders>
            <w:shd w:val="clear" w:color="000000" w:fill="F2F2F2"/>
            <w:noWrap/>
            <w:vAlign w:val="center"/>
            <w:hideMark/>
          </w:tcPr>
          <w:p w14:paraId="1BEA55E7"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$ 1.062.159.000</w:t>
            </w:r>
          </w:p>
        </w:tc>
        <w:tc>
          <w:tcPr>
            <w:tcW w:w="1440" w:type="dxa"/>
            <w:tcBorders>
              <w:top w:val="nil"/>
              <w:left w:val="nil"/>
              <w:bottom w:val="single" w:sz="4" w:space="0" w:color="auto"/>
              <w:right w:val="single" w:sz="4" w:space="0" w:color="auto"/>
            </w:tcBorders>
            <w:shd w:val="clear" w:color="000000" w:fill="F2F2F2"/>
            <w:noWrap/>
            <w:vAlign w:val="center"/>
            <w:hideMark/>
          </w:tcPr>
          <w:p w14:paraId="07EE52EB"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$ 0</w:t>
            </w:r>
          </w:p>
        </w:tc>
        <w:tc>
          <w:tcPr>
            <w:tcW w:w="1460" w:type="dxa"/>
            <w:tcBorders>
              <w:top w:val="nil"/>
              <w:left w:val="nil"/>
              <w:bottom w:val="single" w:sz="4" w:space="0" w:color="auto"/>
              <w:right w:val="single" w:sz="4" w:space="0" w:color="auto"/>
            </w:tcBorders>
            <w:shd w:val="clear" w:color="000000" w:fill="F2F2F2"/>
            <w:noWrap/>
            <w:vAlign w:val="center"/>
            <w:hideMark/>
          </w:tcPr>
          <w:p w14:paraId="5CEFA63C"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$ 1.062.159.000</w:t>
            </w:r>
          </w:p>
        </w:tc>
        <w:tc>
          <w:tcPr>
            <w:tcW w:w="1260" w:type="dxa"/>
            <w:tcBorders>
              <w:top w:val="nil"/>
              <w:left w:val="nil"/>
              <w:bottom w:val="single" w:sz="4" w:space="0" w:color="auto"/>
              <w:right w:val="single" w:sz="4" w:space="0" w:color="auto"/>
            </w:tcBorders>
            <w:shd w:val="clear" w:color="000000" w:fill="F2F2F2"/>
            <w:noWrap/>
            <w:vAlign w:val="center"/>
            <w:hideMark/>
          </w:tcPr>
          <w:p w14:paraId="70C933B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$ 10.621.590</w:t>
            </w:r>
          </w:p>
        </w:tc>
        <w:tc>
          <w:tcPr>
            <w:tcW w:w="1120" w:type="dxa"/>
            <w:tcBorders>
              <w:top w:val="nil"/>
              <w:left w:val="nil"/>
              <w:bottom w:val="single" w:sz="4" w:space="0" w:color="auto"/>
              <w:right w:val="single" w:sz="4" w:space="0" w:color="auto"/>
            </w:tcBorders>
            <w:shd w:val="clear" w:color="000000" w:fill="F2F2F2"/>
            <w:noWrap/>
            <w:vAlign w:val="center"/>
            <w:hideMark/>
          </w:tcPr>
          <w:p w14:paraId="71D21792"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$ 442</w:t>
            </w:r>
          </w:p>
        </w:tc>
        <w:tc>
          <w:tcPr>
            <w:tcW w:w="1260" w:type="dxa"/>
            <w:tcBorders>
              <w:top w:val="nil"/>
              <w:left w:val="nil"/>
              <w:bottom w:val="single" w:sz="4" w:space="0" w:color="auto"/>
              <w:right w:val="single" w:sz="4" w:space="0" w:color="auto"/>
            </w:tcBorders>
            <w:shd w:val="clear" w:color="000000" w:fill="F2F2F2"/>
            <w:noWrap/>
            <w:vAlign w:val="center"/>
            <w:hideMark/>
          </w:tcPr>
          <w:p w14:paraId="23DF347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$ 10.622.032</w:t>
            </w:r>
          </w:p>
        </w:tc>
        <w:tc>
          <w:tcPr>
            <w:tcW w:w="1920" w:type="dxa"/>
            <w:tcBorders>
              <w:top w:val="nil"/>
              <w:left w:val="nil"/>
              <w:bottom w:val="single" w:sz="4" w:space="0" w:color="auto"/>
              <w:right w:val="single" w:sz="4" w:space="0" w:color="auto"/>
            </w:tcBorders>
            <w:shd w:val="clear" w:color="000000" w:fill="F2F2F2"/>
            <w:vAlign w:val="center"/>
            <w:hideMark/>
          </w:tcPr>
          <w:p w14:paraId="44EBF5B8"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w:t>
            </w:r>
          </w:p>
        </w:tc>
      </w:tr>
      <w:tr w:rsidR="00D705A6" w:rsidRPr="002E0BB9" w14:paraId="0F156150" w14:textId="77777777" w:rsidTr="007D1249">
        <w:trPr>
          <w:trHeight w:val="4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16F9AD9E"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194</w:t>
            </w:r>
          </w:p>
        </w:tc>
        <w:tc>
          <w:tcPr>
            <w:tcW w:w="560" w:type="dxa"/>
            <w:tcBorders>
              <w:top w:val="nil"/>
              <w:left w:val="nil"/>
              <w:bottom w:val="single" w:sz="4" w:space="0" w:color="auto"/>
              <w:right w:val="single" w:sz="4" w:space="0" w:color="auto"/>
            </w:tcBorders>
            <w:shd w:val="clear" w:color="000000" w:fill="F2F2F2"/>
            <w:noWrap/>
            <w:vAlign w:val="center"/>
            <w:hideMark/>
          </w:tcPr>
          <w:p w14:paraId="03864125"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26192</w:t>
            </w:r>
          </w:p>
        </w:tc>
        <w:tc>
          <w:tcPr>
            <w:tcW w:w="920" w:type="dxa"/>
            <w:tcBorders>
              <w:top w:val="nil"/>
              <w:left w:val="nil"/>
              <w:bottom w:val="single" w:sz="4" w:space="0" w:color="auto"/>
              <w:right w:val="single" w:sz="4" w:space="0" w:color="auto"/>
            </w:tcBorders>
            <w:shd w:val="clear" w:color="000000" w:fill="F2F2F2"/>
            <w:noWrap/>
            <w:vAlign w:val="center"/>
            <w:hideMark/>
          </w:tcPr>
          <w:p w14:paraId="507DEB8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900462761</w:t>
            </w:r>
          </w:p>
        </w:tc>
        <w:tc>
          <w:tcPr>
            <w:tcW w:w="2180" w:type="dxa"/>
            <w:tcBorders>
              <w:top w:val="nil"/>
              <w:left w:val="nil"/>
              <w:bottom w:val="single" w:sz="4" w:space="0" w:color="auto"/>
              <w:right w:val="single" w:sz="4" w:space="0" w:color="auto"/>
            </w:tcBorders>
            <w:shd w:val="clear" w:color="000000" w:fill="F2F2F2"/>
            <w:vAlign w:val="center"/>
            <w:hideMark/>
          </w:tcPr>
          <w:p w14:paraId="09C07D26"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RISARALDA ENERGIA S.A.S. E.S.P.</w:t>
            </w:r>
          </w:p>
        </w:tc>
        <w:tc>
          <w:tcPr>
            <w:tcW w:w="1520" w:type="dxa"/>
            <w:tcBorders>
              <w:top w:val="nil"/>
              <w:left w:val="nil"/>
              <w:bottom w:val="single" w:sz="4" w:space="0" w:color="auto"/>
              <w:right w:val="single" w:sz="4" w:space="0" w:color="auto"/>
            </w:tcBorders>
            <w:shd w:val="clear" w:color="000000" w:fill="F2F2F2"/>
            <w:noWrap/>
            <w:vAlign w:val="center"/>
            <w:hideMark/>
          </w:tcPr>
          <w:p w14:paraId="388DC0A5"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$ 1.736.366.000</w:t>
            </w:r>
          </w:p>
        </w:tc>
        <w:tc>
          <w:tcPr>
            <w:tcW w:w="1440" w:type="dxa"/>
            <w:tcBorders>
              <w:top w:val="nil"/>
              <w:left w:val="nil"/>
              <w:bottom w:val="single" w:sz="4" w:space="0" w:color="auto"/>
              <w:right w:val="single" w:sz="4" w:space="0" w:color="auto"/>
            </w:tcBorders>
            <w:shd w:val="clear" w:color="000000" w:fill="F2F2F2"/>
            <w:noWrap/>
            <w:vAlign w:val="center"/>
            <w:hideMark/>
          </w:tcPr>
          <w:p w14:paraId="3124495E"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$ 0</w:t>
            </w:r>
          </w:p>
        </w:tc>
        <w:tc>
          <w:tcPr>
            <w:tcW w:w="1460" w:type="dxa"/>
            <w:tcBorders>
              <w:top w:val="nil"/>
              <w:left w:val="nil"/>
              <w:bottom w:val="single" w:sz="4" w:space="0" w:color="auto"/>
              <w:right w:val="single" w:sz="4" w:space="0" w:color="auto"/>
            </w:tcBorders>
            <w:shd w:val="clear" w:color="000000" w:fill="F2F2F2"/>
            <w:noWrap/>
            <w:vAlign w:val="center"/>
            <w:hideMark/>
          </w:tcPr>
          <w:p w14:paraId="581F634E"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$ 1.736.366.000</w:t>
            </w:r>
          </w:p>
        </w:tc>
        <w:tc>
          <w:tcPr>
            <w:tcW w:w="1260" w:type="dxa"/>
            <w:tcBorders>
              <w:top w:val="nil"/>
              <w:left w:val="nil"/>
              <w:bottom w:val="single" w:sz="4" w:space="0" w:color="auto"/>
              <w:right w:val="single" w:sz="4" w:space="0" w:color="auto"/>
            </w:tcBorders>
            <w:shd w:val="clear" w:color="000000" w:fill="F2F2F2"/>
            <w:noWrap/>
            <w:vAlign w:val="center"/>
            <w:hideMark/>
          </w:tcPr>
          <w:p w14:paraId="47317E1A"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$ 17.363.660</w:t>
            </w:r>
          </w:p>
        </w:tc>
        <w:tc>
          <w:tcPr>
            <w:tcW w:w="1120" w:type="dxa"/>
            <w:tcBorders>
              <w:top w:val="nil"/>
              <w:left w:val="nil"/>
              <w:bottom w:val="single" w:sz="4" w:space="0" w:color="auto"/>
              <w:right w:val="single" w:sz="4" w:space="0" w:color="auto"/>
            </w:tcBorders>
            <w:shd w:val="clear" w:color="000000" w:fill="F2F2F2"/>
            <w:noWrap/>
            <w:vAlign w:val="center"/>
            <w:hideMark/>
          </w:tcPr>
          <w:p w14:paraId="50BF9252"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$ 723</w:t>
            </w:r>
          </w:p>
        </w:tc>
        <w:tc>
          <w:tcPr>
            <w:tcW w:w="1260" w:type="dxa"/>
            <w:tcBorders>
              <w:top w:val="nil"/>
              <w:left w:val="nil"/>
              <w:bottom w:val="single" w:sz="4" w:space="0" w:color="auto"/>
              <w:right w:val="single" w:sz="4" w:space="0" w:color="auto"/>
            </w:tcBorders>
            <w:shd w:val="clear" w:color="000000" w:fill="F2F2F2"/>
            <w:noWrap/>
            <w:vAlign w:val="center"/>
            <w:hideMark/>
          </w:tcPr>
          <w:p w14:paraId="605D3CB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$ 17.364.383</w:t>
            </w:r>
          </w:p>
        </w:tc>
        <w:tc>
          <w:tcPr>
            <w:tcW w:w="1920" w:type="dxa"/>
            <w:tcBorders>
              <w:top w:val="nil"/>
              <w:left w:val="nil"/>
              <w:bottom w:val="single" w:sz="4" w:space="0" w:color="auto"/>
              <w:right w:val="single" w:sz="4" w:space="0" w:color="auto"/>
            </w:tcBorders>
            <w:shd w:val="clear" w:color="000000" w:fill="F2F2F2"/>
            <w:vAlign w:val="center"/>
            <w:hideMark/>
          </w:tcPr>
          <w:p w14:paraId="73EE112A"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w:t>
            </w:r>
          </w:p>
        </w:tc>
      </w:tr>
      <w:tr w:rsidR="00D705A6" w:rsidRPr="002E0BB9" w14:paraId="181AFAE3" w14:textId="77777777" w:rsidTr="007D1249">
        <w:trPr>
          <w:trHeight w:val="4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4242E0A7"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195</w:t>
            </w:r>
          </w:p>
        </w:tc>
        <w:tc>
          <w:tcPr>
            <w:tcW w:w="560" w:type="dxa"/>
            <w:tcBorders>
              <w:top w:val="nil"/>
              <w:left w:val="nil"/>
              <w:bottom w:val="single" w:sz="4" w:space="0" w:color="auto"/>
              <w:right w:val="single" w:sz="4" w:space="0" w:color="auto"/>
            </w:tcBorders>
            <w:shd w:val="clear" w:color="000000" w:fill="F2F2F2"/>
            <w:noWrap/>
            <w:vAlign w:val="center"/>
            <w:hideMark/>
          </w:tcPr>
          <w:p w14:paraId="1AB12F0D"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25975</w:t>
            </w:r>
          </w:p>
        </w:tc>
        <w:tc>
          <w:tcPr>
            <w:tcW w:w="920" w:type="dxa"/>
            <w:tcBorders>
              <w:top w:val="nil"/>
              <w:left w:val="nil"/>
              <w:bottom w:val="single" w:sz="4" w:space="0" w:color="auto"/>
              <w:right w:val="single" w:sz="4" w:space="0" w:color="auto"/>
            </w:tcBorders>
            <w:shd w:val="clear" w:color="000000" w:fill="F2F2F2"/>
            <w:noWrap/>
            <w:vAlign w:val="center"/>
            <w:hideMark/>
          </w:tcPr>
          <w:p w14:paraId="1A66CB0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900466775</w:t>
            </w:r>
          </w:p>
        </w:tc>
        <w:tc>
          <w:tcPr>
            <w:tcW w:w="2180" w:type="dxa"/>
            <w:tcBorders>
              <w:top w:val="nil"/>
              <w:left w:val="nil"/>
              <w:bottom w:val="single" w:sz="4" w:space="0" w:color="auto"/>
              <w:right w:val="single" w:sz="4" w:space="0" w:color="auto"/>
            </w:tcBorders>
            <w:shd w:val="clear" w:color="000000" w:fill="F2F2F2"/>
            <w:vAlign w:val="center"/>
            <w:hideMark/>
          </w:tcPr>
          <w:p w14:paraId="7487CC6B"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xml:space="preserve">HIDROELECTRICA DEL ALTO PORCE </w:t>
            </w:r>
            <w:proofErr w:type="gramStart"/>
            <w:r w:rsidRPr="002E0BB9">
              <w:rPr>
                <w:rFonts w:ascii="Arial Narrow" w:hAnsi="Arial Narrow" w:cs="Arial"/>
                <w:spacing w:val="0"/>
                <w:sz w:val="16"/>
                <w:szCs w:val="16"/>
                <w:lang w:val="es-MX" w:eastAsia="es-MX"/>
              </w:rPr>
              <w:t>S.A.S  E</w:t>
            </w:r>
            <w:proofErr w:type="gramEnd"/>
            <w:r w:rsidRPr="002E0BB9">
              <w:rPr>
                <w:rFonts w:ascii="Arial Narrow" w:hAnsi="Arial Narrow" w:cs="Arial"/>
                <w:spacing w:val="0"/>
                <w:sz w:val="16"/>
                <w:szCs w:val="16"/>
                <w:lang w:val="es-MX" w:eastAsia="es-MX"/>
              </w:rPr>
              <w:t>.S.P</w:t>
            </w:r>
          </w:p>
        </w:tc>
        <w:tc>
          <w:tcPr>
            <w:tcW w:w="1520" w:type="dxa"/>
            <w:tcBorders>
              <w:top w:val="nil"/>
              <w:left w:val="nil"/>
              <w:bottom w:val="single" w:sz="4" w:space="0" w:color="auto"/>
              <w:right w:val="single" w:sz="4" w:space="0" w:color="auto"/>
            </w:tcBorders>
            <w:shd w:val="clear" w:color="000000" w:fill="F2F2F2"/>
            <w:noWrap/>
            <w:vAlign w:val="center"/>
            <w:hideMark/>
          </w:tcPr>
          <w:p w14:paraId="18BA0EE6"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$ 307.932.000</w:t>
            </w:r>
          </w:p>
        </w:tc>
        <w:tc>
          <w:tcPr>
            <w:tcW w:w="1440" w:type="dxa"/>
            <w:tcBorders>
              <w:top w:val="nil"/>
              <w:left w:val="nil"/>
              <w:bottom w:val="single" w:sz="4" w:space="0" w:color="auto"/>
              <w:right w:val="single" w:sz="4" w:space="0" w:color="auto"/>
            </w:tcBorders>
            <w:shd w:val="clear" w:color="000000" w:fill="F2F2F2"/>
            <w:noWrap/>
            <w:vAlign w:val="center"/>
            <w:hideMark/>
          </w:tcPr>
          <w:p w14:paraId="34DA41EE"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$ 0</w:t>
            </w:r>
          </w:p>
        </w:tc>
        <w:tc>
          <w:tcPr>
            <w:tcW w:w="1460" w:type="dxa"/>
            <w:tcBorders>
              <w:top w:val="nil"/>
              <w:left w:val="nil"/>
              <w:bottom w:val="single" w:sz="4" w:space="0" w:color="auto"/>
              <w:right w:val="single" w:sz="4" w:space="0" w:color="auto"/>
            </w:tcBorders>
            <w:shd w:val="clear" w:color="000000" w:fill="F2F2F2"/>
            <w:noWrap/>
            <w:vAlign w:val="center"/>
            <w:hideMark/>
          </w:tcPr>
          <w:p w14:paraId="34202007"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$ 307.932.000</w:t>
            </w:r>
          </w:p>
        </w:tc>
        <w:tc>
          <w:tcPr>
            <w:tcW w:w="1260" w:type="dxa"/>
            <w:tcBorders>
              <w:top w:val="nil"/>
              <w:left w:val="nil"/>
              <w:bottom w:val="single" w:sz="4" w:space="0" w:color="auto"/>
              <w:right w:val="single" w:sz="4" w:space="0" w:color="auto"/>
            </w:tcBorders>
            <w:shd w:val="clear" w:color="000000" w:fill="F2F2F2"/>
            <w:noWrap/>
            <w:vAlign w:val="center"/>
            <w:hideMark/>
          </w:tcPr>
          <w:p w14:paraId="4F797AD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$ 3.079.320</w:t>
            </w:r>
          </w:p>
        </w:tc>
        <w:tc>
          <w:tcPr>
            <w:tcW w:w="1120" w:type="dxa"/>
            <w:tcBorders>
              <w:top w:val="nil"/>
              <w:left w:val="nil"/>
              <w:bottom w:val="single" w:sz="4" w:space="0" w:color="auto"/>
              <w:right w:val="single" w:sz="4" w:space="0" w:color="auto"/>
            </w:tcBorders>
            <w:shd w:val="clear" w:color="000000" w:fill="F2F2F2"/>
            <w:noWrap/>
            <w:vAlign w:val="center"/>
            <w:hideMark/>
          </w:tcPr>
          <w:p w14:paraId="026A8332"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$ 128</w:t>
            </w:r>
          </w:p>
        </w:tc>
        <w:tc>
          <w:tcPr>
            <w:tcW w:w="1260" w:type="dxa"/>
            <w:tcBorders>
              <w:top w:val="nil"/>
              <w:left w:val="nil"/>
              <w:bottom w:val="single" w:sz="4" w:space="0" w:color="auto"/>
              <w:right w:val="single" w:sz="4" w:space="0" w:color="auto"/>
            </w:tcBorders>
            <w:shd w:val="clear" w:color="000000" w:fill="F2F2F2"/>
            <w:noWrap/>
            <w:vAlign w:val="center"/>
            <w:hideMark/>
          </w:tcPr>
          <w:p w14:paraId="4B37B6A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$ 3.079.448</w:t>
            </w:r>
          </w:p>
        </w:tc>
        <w:tc>
          <w:tcPr>
            <w:tcW w:w="1920" w:type="dxa"/>
            <w:tcBorders>
              <w:top w:val="nil"/>
              <w:left w:val="nil"/>
              <w:bottom w:val="single" w:sz="4" w:space="0" w:color="auto"/>
              <w:right w:val="single" w:sz="4" w:space="0" w:color="auto"/>
            </w:tcBorders>
            <w:shd w:val="clear" w:color="000000" w:fill="F2F2F2"/>
            <w:vAlign w:val="center"/>
            <w:hideMark/>
          </w:tcPr>
          <w:p w14:paraId="33672C4B"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w:t>
            </w:r>
          </w:p>
        </w:tc>
      </w:tr>
      <w:tr w:rsidR="00D705A6" w:rsidRPr="002E0BB9" w14:paraId="01460F1D" w14:textId="77777777" w:rsidTr="007D1249">
        <w:trPr>
          <w:trHeight w:val="6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5E178E6F"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196</w:t>
            </w:r>
          </w:p>
        </w:tc>
        <w:tc>
          <w:tcPr>
            <w:tcW w:w="560" w:type="dxa"/>
            <w:tcBorders>
              <w:top w:val="nil"/>
              <w:left w:val="nil"/>
              <w:bottom w:val="single" w:sz="4" w:space="0" w:color="auto"/>
              <w:right w:val="single" w:sz="4" w:space="0" w:color="auto"/>
            </w:tcBorders>
            <w:shd w:val="clear" w:color="000000" w:fill="F2F2F2"/>
            <w:noWrap/>
            <w:vAlign w:val="center"/>
            <w:hideMark/>
          </w:tcPr>
          <w:p w14:paraId="48C02C76"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39390</w:t>
            </w:r>
          </w:p>
        </w:tc>
        <w:tc>
          <w:tcPr>
            <w:tcW w:w="920" w:type="dxa"/>
            <w:tcBorders>
              <w:top w:val="nil"/>
              <w:left w:val="nil"/>
              <w:bottom w:val="single" w:sz="4" w:space="0" w:color="auto"/>
              <w:right w:val="single" w:sz="4" w:space="0" w:color="auto"/>
            </w:tcBorders>
            <w:shd w:val="clear" w:color="000000" w:fill="F2F2F2"/>
            <w:noWrap/>
            <w:vAlign w:val="center"/>
            <w:hideMark/>
          </w:tcPr>
          <w:p w14:paraId="0F76998A"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900466858</w:t>
            </w:r>
          </w:p>
        </w:tc>
        <w:tc>
          <w:tcPr>
            <w:tcW w:w="2180" w:type="dxa"/>
            <w:tcBorders>
              <w:top w:val="nil"/>
              <w:left w:val="nil"/>
              <w:bottom w:val="single" w:sz="4" w:space="0" w:color="auto"/>
              <w:right w:val="single" w:sz="4" w:space="0" w:color="auto"/>
            </w:tcBorders>
            <w:shd w:val="clear" w:color="000000" w:fill="F2F2F2"/>
            <w:vAlign w:val="center"/>
            <w:hideMark/>
          </w:tcPr>
          <w:p w14:paraId="53ED0179"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SURENERGY SAS ESP</w:t>
            </w:r>
          </w:p>
        </w:tc>
        <w:tc>
          <w:tcPr>
            <w:tcW w:w="1520" w:type="dxa"/>
            <w:tcBorders>
              <w:top w:val="nil"/>
              <w:left w:val="nil"/>
              <w:bottom w:val="single" w:sz="4" w:space="0" w:color="auto"/>
              <w:right w:val="single" w:sz="4" w:space="0" w:color="auto"/>
            </w:tcBorders>
            <w:shd w:val="clear" w:color="000000" w:fill="F2F2F2"/>
            <w:noWrap/>
            <w:vAlign w:val="center"/>
            <w:hideMark/>
          </w:tcPr>
          <w:p w14:paraId="465E5D97"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$ 1.602.994.000</w:t>
            </w:r>
          </w:p>
        </w:tc>
        <w:tc>
          <w:tcPr>
            <w:tcW w:w="1440" w:type="dxa"/>
            <w:tcBorders>
              <w:top w:val="nil"/>
              <w:left w:val="nil"/>
              <w:bottom w:val="single" w:sz="4" w:space="0" w:color="auto"/>
              <w:right w:val="single" w:sz="4" w:space="0" w:color="auto"/>
            </w:tcBorders>
            <w:shd w:val="clear" w:color="000000" w:fill="F2F2F2"/>
            <w:noWrap/>
            <w:vAlign w:val="center"/>
            <w:hideMark/>
          </w:tcPr>
          <w:p w14:paraId="2D395381"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$ 132.202.819</w:t>
            </w:r>
          </w:p>
        </w:tc>
        <w:tc>
          <w:tcPr>
            <w:tcW w:w="1460" w:type="dxa"/>
            <w:tcBorders>
              <w:top w:val="nil"/>
              <w:left w:val="nil"/>
              <w:bottom w:val="single" w:sz="4" w:space="0" w:color="auto"/>
              <w:right w:val="single" w:sz="4" w:space="0" w:color="auto"/>
            </w:tcBorders>
            <w:shd w:val="clear" w:color="000000" w:fill="F2F2F2"/>
            <w:noWrap/>
            <w:vAlign w:val="center"/>
            <w:hideMark/>
          </w:tcPr>
          <w:p w14:paraId="0B455A0D"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$ 1.735.196.819</w:t>
            </w:r>
          </w:p>
        </w:tc>
        <w:tc>
          <w:tcPr>
            <w:tcW w:w="1260" w:type="dxa"/>
            <w:tcBorders>
              <w:top w:val="nil"/>
              <w:left w:val="nil"/>
              <w:bottom w:val="single" w:sz="4" w:space="0" w:color="auto"/>
              <w:right w:val="single" w:sz="4" w:space="0" w:color="auto"/>
            </w:tcBorders>
            <w:shd w:val="clear" w:color="000000" w:fill="F2F2F2"/>
            <w:noWrap/>
            <w:vAlign w:val="center"/>
            <w:hideMark/>
          </w:tcPr>
          <w:p w14:paraId="7E9C648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$ 17.351.968</w:t>
            </w:r>
          </w:p>
        </w:tc>
        <w:tc>
          <w:tcPr>
            <w:tcW w:w="1120" w:type="dxa"/>
            <w:tcBorders>
              <w:top w:val="nil"/>
              <w:left w:val="nil"/>
              <w:bottom w:val="single" w:sz="4" w:space="0" w:color="auto"/>
              <w:right w:val="single" w:sz="4" w:space="0" w:color="auto"/>
            </w:tcBorders>
            <w:shd w:val="clear" w:color="000000" w:fill="F2F2F2"/>
            <w:noWrap/>
            <w:vAlign w:val="center"/>
            <w:hideMark/>
          </w:tcPr>
          <w:p w14:paraId="50CAB8DC"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$ 722</w:t>
            </w:r>
          </w:p>
        </w:tc>
        <w:tc>
          <w:tcPr>
            <w:tcW w:w="1260" w:type="dxa"/>
            <w:tcBorders>
              <w:top w:val="nil"/>
              <w:left w:val="nil"/>
              <w:bottom w:val="single" w:sz="4" w:space="0" w:color="auto"/>
              <w:right w:val="single" w:sz="4" w:space="0" w:color="auto"/>
            </w:tcBorders>
            <w:shd w:val="clear" w:color="000000" w:fill="F2F2F2"/>
            <w:noWrap/>
            <w:vAlign w:val="center"/>
            <w:hideMark/>
          </w:tcPr>
          <w:p w14:paraId="0C22B3F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$ 17.352.690</w:t>
            </w:r>
          </w:p>
        </w:tc>
        <w:tc>
          <w:tcPr>
            <w:tcW w:w="1920" w:type="dxa"/>
            <w:tcBorders>
              <w:top w:val="nil"/>
              <w:left w:val="nil"/>
              <w:bottom w:val="single" w:sz="4" w:space="0" w:color="auto"/>
              <w:right w:val="single" w:sz="4" w:space="0" w:color="auto"/>
            </w:tcBorders>
            <w:shd w:val="clear" w:color="000000" w:fill="F2F2F2"/>
            <w:vAlign w:val="center"/>
            <w:hideMark/>
          </w:tcPr>
          <w:p w14:paraId="2A5E5DED"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GAS LICUADO DEL PETROLEO - GAS POR REDES</w:t>
            </w:r>
          </w:p>
        </w:tc>
      </w:tr>
      <w:tr w:rsidR="00D705A6" w:rsidRPr="002E0BB9" w14:paraId="45A35460" w14:textId="77777777" w:rsidTr="00053706">
        <w:trPr>
          <w:trHeight w:val="601"/>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77BE7FFB"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197</w:t>
            </w:r>
          </w:p>
        </w:tc>
        <w:tc>
          <w:tcPr>
            <w:tcW w:w="560" w:type="dxa"/>
            <w:tcBorders>
              <w:top w:val="nil"/>
              <w:left w:val="nil"/>
              <w:bottom w:val="single" w:sz="4" w:space="0" w:color="auto"/>
              <w:right w:val="single" w:sz="4" w:space="0" w:color="auto"/>
            </w:tcBorders>
            <w:shd w:val="clear" w:color="000000" w:fill="F2F2F2"/>
            <w:noWrap/>
            <w:vAlign w:val="center"/>
            <w:hideMark/>
          </w:tcPr>
          <w:p w14:paraId="6240C61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25965</w:t>
            </w:r>
          </w:p>
        </w:tc>
        <w:tc>
          <w:tcPr>
            <w:tcW w:w="920" w:type="dxa"/>
            <w:tcBorders>
              <w:top w:val="nil"/>
              <w:left w:val="nil"/>
              <w:bottom w:val="single" w:sz="4" w:space="0" w:color="auto"/>
              <w:right w:val="single" w:sz="4" w:space="0" w:color="auto"/>
            </w:tcBorders>
            <w:shd w:val="clear" w:color="000000" w:fill="F2F2F2"/>
            <w:noWrap/>
            <w:vAlign w:val="center"/>
            <w:hideMark/>
          </w:tcPr>
          <w:p w14:paraId="69FBE96B"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900470256</w:t>
            </w:r>
          </w:p>
        </w:tc>
        <w:tc>
          <w:tcPr>
            <w:tcW w:w="2180" w:type="dxa"/>
            <w:tcBorders>
              <w:top w:val="nil"/>
              <w:left w:val="nil"/>
              <w:bottom w:val="single" w:sz="4" w:space="0" w:color="auto"/>
              <w:right w:val="single" w:sz="4" w:space="0" w:color="auto"/>
            </w:tcBorders>
            <w:shd w:val="clear" w:color="000000" w:fill="F2F2F2"/>
            <w:vAlign w:val="center"/>
            <w:hideMark/>
          </w:tcPr>
          <w:p w14:paraId="0036AD41"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xml:space="preserve">EMPRESA ASOCIATIVA DE TRABAJO ELECTROSOLEDAD DE ISCUANDE </w:t>
            </w:r>
          </w:p>
        </w:tc>
        <w:tc>
          <w:tcPr>
            <w:tcW w:w="1520" w:type="dxa"/>
            <w:tcBorders>
              <w:top w:val="nil"/>
              <w:left w:val="nil"/>
              <w:bottom w:val="single" w:sz="4" w:space="0" w:color="auto"/>
              <w:right w:val="single" w:sz="4" w:space="0" w:color="auto"/>
            </w:tcBorders>
            <w:shd w:val="clear" w:color="000000" w:fill="F2F2F2"/>
            <w:noWrap/>
            <w:vAlign w:val="center"/>
            <w:hideMark/>
          </w:tcPr>
          <w:p w14:paraId="4CA141F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$ 173.720.000</w:t>
            </w:r>
          </w:p>
        </w:tc>
        <w:tc>
          <w:tcPr>
            <w:tcW w:w="1440" w:type="dxa"/>
            <w:tcBorders>
              <w:top w:val="nil"/>
              <w:left w:val="nil"/>
              <w:bottom w:val="single" w:sz="4" w:space="0" w:color="auto"/>
              <w:right w:val="single" w:sz="4" w:space="0" w:color="auto"/>
            </w:tcBorders>
            <w:shd w:val="clear" w:color="000000" w:fill="F2F2F2"/>
            <w:noWrap/>
            <w:vAlign w:val="center"/>
            <w:hideMark/>
          </w:tcPr>
          <w:p w14:paraId="616DB3F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$ 21.732.217</w:t>
            </w:r>
          </w:p>
        </w:tc>
        <w:tc>
          <w:tcPr>
            <w:tcW w:w="1460" w:type="dxa"/>
            <w:tcBorders>
              <w:top w:val="nil"/>
              <w:left w:val="nil"/>
              <w:bottom w:val="single" w:sz="4" w:space="0" w:color="auto"/>
              <w:right w:val="single" w:sz="4" w:space="0" w:color="auto"/>
            </w:tcBorders>
            <w:shd w:val="clear" w:color="000000" w:fill="F2F2F2"/>
            <w:noWrap/>
            <w:vAlign w:val="center"/>
            <w:hideMark/>
          </w:tcPr>
          <w:p w14:paraId="489F162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$ 195.452.217</w:t>
            </w:r>
          </w:p>
        </w:tc>
        <w:tc>
          <w:tcPr>
            <w:tcW w:w="1260" w:type="dxa"/>
            <w:tcBorders>
              <w:top w:val="nil"/>
              <w:left w:val="nil"/>
              <w:bottom w:val="single" w:sz="4" w:space="0" w:color="auto"/>
              <w:right w:val="single" w:sz="4" w:space="0" w:color="auto"/>
            </w:tcBorders>
            <w:shd w:val="clear" w:color="000000" w:fill="F2F2F2"/>
            <w:noWrap/>
            <w:vAlign w:val="center"/>
            <w:hideMark/>
          </w:tcPr>
          <w:p w14:paraId="1A20B75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$ 1.954.522</w:t>
            </w:r>
          </w:p>
        </w:tc>
        <w:tc>
          <w:tcPr>
            <w:tcW w:w="1120" w:type="dxa"/>
            <w:tcBorders>
              <w:top w:val="nil"/>
              <w:left w:val="nil"/>
              <w:bottom w:val="single" w:sz="4" w:space="0" w:color="auto"/>
              <w:right w:val="single" w:sz="4" w:space="0" w:color="auto"/>
            </w:tcBorders>
            <w:shd w:val="clear" w:color="000000" w:fill="F2F2F2"/>
            <w:noWrap/>
            <w:vAlign w:val="center"/>
            <w:hideMark/>
          </w:tcPr>
          <w:p w14:paraId="74259BA1"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$ 81</w:t>
            </w:r>
          </w:p>
        </w:tc>
        <w:tc>
          <w:tcPr>
            <w:tcW w:w="1260" w:type="dxa"/>
            <w:tcBorders>
              <w:top w:val="nil"/>
              <w:left w:val="nil"/>
              <w:bottom w:val="single" w:sz="4" w:space="0" w:color="auto"/>
              <w:right w:val="single" w:sz="4" w:space="0" w:color="auto"/>
            </w:tcBorders>
            <w:shd w:val="clear" w:color="000000" w:fill="F2F2F2"/>
            <w:noWrap/>
            <w:vAlign w:val="center"/>
            <w:hideMark/>
          </w:tcPr>
          <w:p w14:paraId="61D05D55"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$ 1.954.604</w:t>
            </w:r>
          </w:p>
        </w:tc>
        <w:tc>
          <w:tcPr>
            <w:tcW w:w="1920" w:type="dxa"/>
            <w:tcBorders>
              <w:top w:val="nil"/>
              <w:left w:val="nil"/>
              <w:bottom w:val="single" w:sz="4" w:space="0" w:color="auto"/>
              <w:right w:val="single" w:sz="4" w:space="0" w:color="auto"/>
            </w:tcBorders>
            <w:shd w:val="clear" w:color="000000" w:fill="F2F2F2"/>
            <w:vAlign w:val="center"/>
            <w:hideMark/>
          </w:tcPr>
          <w:p w14:paraId="11996ACF"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w:t>
            </w:r>
          </w:p>
        </w:tc>
      </w:tr>
      <w:tr w:rsidR="00D705A6" w:rsidRPr="002E0BB9" w14:paraId="5BF563E3" w14:textId="77777777" w:rsidTr="007D1249">
        <w:trPr>
          <w:trHeight w:val="4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25E8C42A"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198</w:t>
            </w:r>
          </w:p>
        </w:tc>
        <w:tc>
          <w:tcPr>
            <w:tcW w:w="560" w:type="dxa"/>
            <w:tcBorders>
              <w:top w:val="nil"/>
              <w:left w:val="nil"/>
              <w:bottom w:val="single" w:sz="4" w:space="0" w:color="auto"/>
              <w:right w:val="single" w:sz="4" w:space="0" w:color="auto"/>
            </w:tcBorders>
            <w:shd w:val="clear" w:color="000000" w:fill="F2F2F2"/>
            <w:noWrap/>
            <w:vAlign w:val="center"/>
            <w:hideMark/>
          </w:tcPr>
          <w:p w14:paraId="6DBA383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25982</w:t>
            </w:r>
          </w:p>
        </w:tc>
        <w:tc>
          <w:tcPr>
            <w:tcW w:w="920" w:type="dxa"/>
            <w:tcBorders>
              <w:top w:val="nil"/>
              <w:left w:val="nil"/>
              <w:bottom w:val="single" w:sz="4" w:space="0" w:color="auto"/>
              <w:right w:val="single" w:sz="4" w:space="0" w:color="auto"/>
            </w:tcBorders>
            <w:shd w:val="clear" w:color="000000" w:fill="F2F2F2"/>
            <w:noWrap/>
            <w:vAlign w:val="center"/>
            <w:hideMark/>
          </w:tcPr>
          <w:p w14:paraId="1C0AFE8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900475298</w:t>
            </w:r>
          </w:p>
        </w:tc>
        <w:tc>
          <w:tcPr>
            <w:tcW w:w="2180" w:type="dxa"/>
            <w:tcBorders>
              <w:top w:val="nil"/>
              <w:left w:val="nil"/>
              <w:bottom w:val="single" w:sz="4" w:space="0" w:color="auto"/>
              <w:right w:val="single" w:sz="4" w:space="0" w:color="auto"/>
            </w:tcBorders>
            <w:shd w:val="clear" w:color="000000" w:fill="F2F2F2"/>
            <w:vAlign w:val="center"/>
            <w:hideMark/>
          </w:tcPr>
          <w:p w14:paraId="6CD36093"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BIOGAS COLOMBIA GENERSA S.A.S E.S.P.</w:t>
            </w:r>
          </w:p>
        </w:tc>
        <w:tc>
          <w:tcPr>
            <w:tcW w:w="1520" w:type="dxa"/>
            <w:tcBorders>
              <w:top w:val="nil"/>
              <w:left w:val="nil"/>
              <w:bottom w:val="single" w:sz="4" w:space="0" w:color="auto"/>
              <w:right w:val="single" w:sz="4" w:space="0" w:color="auto"/>
            </w:tcBorders>
            <w:shd w:val="clear" w:color="000000" w:fill="F2F2F2"/>
            <w:noWrap/>
            <w:vAlign w:val="center"/>
            <w:hideMark/>
          </w:tcPr>
          <w:p w14:paraId="042CD7F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$ 2.667.653.000</w:t>
            </w:r>
          </w:p>
        </w:tc>
        <w:tc>
          <w:tcPr>
            <w:tcW w:w="1440" w:type="dxa"/>
            <w:tcBorders>
              <w:top w:val="nil"/>
              <w:left w:val="nil"/>
              <w:bottom w:val="single" w:sz="4" w:space="0" w:color="auto"/>
              <w:right w:val="single" w:sz="4" w:space="0" w:color="auto"/>
            </w:tcBorders>
            <w:shd w:val="clear" w:color="000000" w:fill="F2F2F2"/>
            <w:noWrap/>
            <w:vAlign w:val="center"/>
            <w:hideMark/>
          </w:tcPr>
          <w:p w14:paraId="4765322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$ 108.969.678</w:t>
            </w:r>
          </w:p>
        </w:tc>
        <w:tc>
          <w:tcPr>
            <w:tcW w:w="1460" w:type="dxa"/>
            <w:tcBorders>
              <w:top w:val="nil"/>
              <w:left w:val="nil"/>
              <w:bottom w:val="single" w:sz="4" w:space="0" w:color="auto"/>
              <w:right w:val="single" w:sz="4" w:space="0" w:color="auto"/>
            </w:tcBorders>
            <w:shd w:val="clear" w:color="000000" w:fill="F2F2F2"/>
            <w:noWrap/>
            <w:vAlign w:val="center"/>
            <w:hideMark/>
          </w:tcPr>
          <w:p w14:paraId="1042212B"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$ 2.776.622.678</w:t>
            </w:r>
          </w:p>
        </w:tc>
        <w:tc>
          <w:tcPr>
            <w:tcW w:w="1260" w:type="dxa"/>
            <w:tcBorders>
              <w:top w:val="nil"/>
              <w:left w:val="nil"/>
              <w:bottom w:val="single" w:sz="4" w:space="0" w:color="auto"/>
              <w:right w:val="single" w:sz="4" w:space="0" w:color="auto"/>
            </w:tcBorders>
            <w:shd w:val="clear" w:color="000000" w:fill="F2F2F2"/>
            <w:noWrap/>
            <w:vAlign w:val="center"/>
            <w:hideMark/>
          </w:tcPr>
          <w:p w14:paraId="53FF330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$ 27.766.227</w:t>
            </w:r>
          </w:p>
        </w:tc>
        <w:tc>
          <w:tcPr>
            <w:tcW w:w="1120" w:type="dxa"/>
            <w:tcBorders>
              <w:top w:val="nil"/>
              <w:left w:val="nil"/>
              <w:bottom w:val="single" w:sz="4" w:space="0" w:color="auto"/>
              <w:right w:val="single" w:sz="4" w:space="0" w:color="auto"/>
            </w:tcBorders>
            <w:shd w:val="clear" w:color="000000" w:fill="F2F2F2"/>
            <w:noWrap/>
            <w:vAlign w:val="center"/>
            <w:hideMark/>
          </w:tcPr>
          <w:p w14:paraId="00558D8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$ 1.156</w:t>
            </w:r>
          </w:p>
        </w:tc>
        <w:tc>
          <w:tcPr>
            <w:tcW w:w="1260" w:type="dxa"/>
            <w:tcBorders>
              <w:top w:val="nil"/>
              <w:left w:val="nil"/>
              <w:bottom w:val="single" w:sz="4" w:space="0" w:color="auto"/>
              <w:right w:val="single" w:sz="4" w:space="0" w:color="auto"/>
            </w:tcBorders>
            <w:shd w:val="clear" w:color="000000" w:fill="F2F2F2"/>
            <w:noWrap/>
            <w:vAlign w:val="center"/>
            <w:hideMark/>
          </w:tcPr>
          <w:p w14:paraId="6D2342CA"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$ 27.767.382</w:t>
            </w:r>
          </w:p>
        </w:tc>
        <w:tc>
          <w:tcPr>
            <w:tcW w:w="1920" w:type="dxa"/>
            <w:tcBorders>
              <w:top w:val="nil"/>
              <w:left w:val="nil"/>
              <w:bottom w:val="single" w:sz="4" w:space="0" w:color="auto"/>
              <w:right w:val="single" w:sz="4" w:space="0" w:color="auto"/>
            </w:tcBorders>
            <w:shd w:val="clear" w:color="000000" w:fill="F2F2F2"/>
            <w:vAlign w:val="center"/>
            <w:hideMark/>
          </w:tcPr>
          <w:p w14:paraId="7CC63BE9"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w:t>
            </w:r>
          </w:p>
        </w:tc>
      </w:tr>
      <w:tr w:rsidR="00D705A6" w:rsidRPr="002E0BB9" w14:paraId="172E0891" w14:textId="77777777" w:rsidTr="00053706">
        <w:trPr>
          <w:trHeight w:val="43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7005DA3F"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199</w:t>
            </w:r>
          </w:p>
        </w:tc>
        <w:tc>
          <w:tcPr>
            <w:tcW w:w="560" w:type="dxa"/>
            <w:tcBorders>
              <w:top w:val="nil"/>
              <w:left w:val="nil"/>
              <w:bottom w:val="single" w:sz="4" w:space="0" w:color="auto"/>
              <w:right w:val="single" w:sz="4" w:space="0" w:color="auto"/>
            </w:tcBorders>
            <w:shd w:val="clear" w:color="000000" w:fill="F2F2F2"/>
            <w:noWrap/>
            <w:vAlign w:val="center"/>
            <w:hideMark/>
          </w:tcPr>
          <w:p w14:paraId="2B929A7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32593</w:t>
            </w:r>
          </w:p>
        </w:tc>
        <w:tc>
          <w:tcPr>
            <w:tcW w:w="920" w:type="dxa"/>
            <w:tcBorders>
              <w:top w:val="nil"/>
              <w:left w:val="nil"/>
              <w:bottom w:val="single" w:sz="4" w:space="0" w:color="auto"/>
              <w:right w:val="single" w:sz="4" w:space="0" w:color="auto"/>
            </w:tcBorders>
            <w:shd w:val="clear" w:color="000000" w:fill="F2F2F2"/>
            <w:noWrap/>
            <w:vAlign w:val="center"/>
            <w:hideMark/>
          </w:tcPr>
          <w:p w14:paraId="323CE9E7"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900493235</w:t>
            </w:r>
          </w:p>
        </w:tc>
        <w:tc>
          <w:tcPr>
            <w:tcW w:w="2180" w:type="dxa"/>
            <w:tcBorders>
              <w:top w:val="nil"/>
              <w:left w:val="nil"/>
              <w:bottom w:val="single" w:sz="4" w:space="0" w:color="auto"/>
              <w:right w:val="single" w:sz="4" w:space="0" w:color="auto"/>
            </w:tcBorders>
            <w:shd w:val="clear" w:color="000000" w:fill="F2F2F2"/>
            <w:vAlign w:val="center"/>
            <w:hideMark/>
          </w:tcPr>
          <w:p w14:paraId="65E60381"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GENERADORA ALEJANDRIA S.A.S. - E.S.P.</w:t>
            </w:r>
          </w:p>
        </w:tc>
        <w:tc>
          <w:tcPr>
            <w:tcW w:w="1520" w:type="dxa"/>
            <w:tcBorders>
              <w:top w:val="nil"/>
              <w:left w:val="nil"/>
              <w:bottom w:val="single" w:sz="4" w:space="0" w:color="auto"/>
              <w:right w:val="single" w:sz="4" w:space="0" w:color="auto"/>
            </w:tcBorders>
            <w:shd w:val="clear" w:color="000000" w:fill="F2F2F2"/>
            <w:noWrap/>
            <w:vAlign w:val="center"/>
            <w:hideMark/>
          </w:tcPr>
          <w:p w14:paraId="44215BBB"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$ 2.046.052.000</w:t>
            </w:r>
          </w:p>
        </w:tc>
        <w:tc>
          <w:tcPr>
            <w:tcW w:w="1440" w:type="dxa"/>
            <w:tcBorders>
              <w:top w:val="nil"/>
              <w:left w:val="nil"/>
              <w:bottom w:val="single" w:sz="4" w:space="0" w:color="auto"/>
              <w:right w:val="single" w:sz="4" w:space="0" w:color="auto"/>
            </w:tcBorders>
            <w:shd w:val="clear" w:color="000000" w:fill="F2F2F2"/>
            <w:noWrap/>
            <w:vAlign w:val="center"/>
            <w:hideMark/>
          </w:tcPr>
          <w:p w14:paraId="4EC8F60A"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$ 0</w:t>
            </w:r>
          </w:p>
        </w:tc>
        <w:tc>
          <w:tcPr>
            <w:tcW w:w="1460" w:type="dxa"/>
            <w:tcBorders>
              <w:top w:val="nil"/>
              <w:left w:val="nil"/>
              <w:bottom w:val="single" w:sz="4" w:space="0" w:color="auto"/>
              <w:right w:val="single" w:sz="4" w:space="0" w:color="auto"/>
            </w:tcBorders>
            <w:shd w:val="clear" w:color="000000" w:fill="F2F2F2"/>
            <w:noWrap/>
            <w:vAlign w:val="center"/>
            <w:hideMark/>
          </w:tcPr>
          <w:p w14:paraId="0E93C70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$ 2.046.052.000</w:t>
            </w:r>
          </w:p>
        </w:tc>
        <w:tc>
          <w:tcPr>
            <w:tcW w:w="1260" w:type="dxa"/>
            <w:tcBorders>
              <w:top w:val="nil"/>
              <w:left w:val="nil"/>
              <w:bottom w:val="single" w:sz="4" w:space="0" w:color="auto"/>
              <w:right w:val="single" w:sz="4" w:space="0" w:color="auto"/>
            </w:tcBorders>
            <w:shd w:val="clear" w:color="000000" w:fill="F2F2F2"/>
            <w:noWrap/>
            <w:vAlign w:val="center"/>
            <w:hideMark/>
          </w:tcPr>
          <w:p w14:paraId="564853BA"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$ 20.460.520</w:t>
            </w:r>
          </w:p>
        </w:tc>
        <w:tc>
          <w:tcPr>
            <w:tcW w:w="1120" w:type="dxa"/>
            <w:tcBorders>
              <w:top w:val="nil"/>
              <w:left w:val="nil"/>
              <w:bottom w:val="single" w:sz="4" w:space="0" w:color="auto"/>
              <w:right w:val="single" w:sz="4" w:space="0" w:color="auto"/>
            </w:tcBorders>
            <w:shd w:val="clear" w:color="000000" w:fill="F2F2F2"/>
            <w:noWrap/>
            <w:vAlign w:val="center"/>
            <w:hideMark/>
          </w:tcPr>
          <w:p w14:paraId="2FC0F92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$ 851</w:t>
            </w:r>
          </w:p>
        </w:tc>
        <w:tc>
          <w:tcPr>
            <w:tcW w:w="1260" w:type="dxa"/>
            <w:tcBorders>
              <w:top w:val="nil"/>
              <w:left w:val="nil"/>
              <w:bottom w:val="single" w:sz="4" w:space="0" w:color="auto"/>
              <w:right w:val="single" w:sz="4" w:space="0" w:color="auto"/>
            </w:tcBorders>
            <w:shd w:val="clear" w:color="000000" w:fill="F2F2F2"/>
            <w:noWrap/>
            <w:vAlign w:val="center"/>
            <w:hideMark/>
          </w:tcPr>
          <w:p w14:paraId="1922832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$ 20.461.371</w:t>
            </w:r>
          </w:p>
        </w:tc>
        <w:tc>
          <w:tcPr>
            <w:tcW w:w="1920" w:type="dxa"/>
            <w:tcBorders>
              <w:top w:val="nil"/>
              <w:left w:val="nil"/>
              <w:bottom w:val="single" w:sz="4" w:space="0" w:color="auto"/>
              <w:right w:val="single" w:sz="4" w:space="0" w:color="auto"/>
            </w:tcBorders>
            <w:shd w:val="clear" w:color="000000" w:fill="F2F2F2"/>
            <w:vAlign w:val="center"/>
            <w:hideMark/>
          </w:tcPr>
          <w:p w14:paraId="5C0DC43C"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w:t>
            </w:r>
          </w:p>
        </w:tc>
      </w:tr>
      <w:tr w:rsidR="00D705A6" w:rsidRPr="002E0BB9" w14:paraId="14F6DB0B" w14:textId="77777777" w:rsidTr="00053706">
        <w:trPr>
          <w:trHeight w:val="408"/>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5C0B6330"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200</w:t>
            </w:r>
          </w:p>
        </w:tc>
        <w:tc>
          <w:tcPr>
            <w:tcW w:w="560" w:type="dxa"/>
            <w:tcBorders>
              <w:top w:val="nil"/>
              <w:left w:val="nil"/>
              <w:bottom w:val="single" w:sz="4" w:space="0" w:color="auto"/>
              <w:right w:val="single" w:sz="4" w:space="0" w:color="auto"/>
            </w:tcBorders>
            <w:shd w:val="clear" w:color="000000" w:fill="F2F2F2"/>
            <w:noWrap/>
            <w:vAlign w:val="center"/>
            <w:hideMark/>
          </w:tcPr>
          <w:p w14:paraId="3BE91156"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28391</w:t>
            </w:r>
          </w:p>
        </w:tc>
        <w:tc>
          <w:tcPr>
            <w:tcW w:w="920" w:type="dxa"/>
            <w:tcBorders>
              <w:top w:val="nil"/>
              <w:left w:val="nil"/>
              <w:bottom w:val="single" w:sz="4" w:space="0" w:color="auto"/>
              <w:right w:val="single" w:sz="4" w:space="0" w:color="auto"/>
            </w:tcBorders>
            <w:shd w:val="clear" w:color="000000" w:fill="F2F2F2"/>
            <w:noWrap/>
            <w:vAlign w:val="center"/>
            <w:hideMark/>
          </w:tcPr>
          <w:p w14:paraId="774AF57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900495129</w:t>
            </w:r>
          </w:p>
        </w:tc>
        <w:tc>
          <w:tcPr>
            <w:tcW w:w="2180" w:type="dxa"/>
            <w:tcBorders>
              <w:top w:val="nil"/>
              <w:left w:val="nil"/>
              <w:bottom w:val="single" w:sz="4" w:space="0" w:color="auto"/>
              <w:right w:val="single" w:sz="4" w:space="0" w:color="auto"/>
            </w:tcBorders>
            <w:shd w:val="clear" w:color="000000" w:fill="F2F2F2"/>
            <w:vAlign w:val="center"/>
            <w:hideMark/>
          </w:tcPr>
          <w:p w14:paraId="11B7E5A5"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PETROLEOS SUD AMERICANOS SUCURSAL COLOMBIA</w:t>
            </w:r>
          </w:p>
        </w:tc>
        <w:tc>
          <w:tcPr>
            <w:tcW w:w="1520" w:type="dxa"/>
            <w:tcBorders>
              <w:top w:val="nil"/>
              <w:left w:val="nil"/>
              <w:bottom w:val="single" w:sz="4" w:space="0" w:color="auto"/>
              <w:right w:val="single" w:sz="4" w:space="0" w:color="auto"/>
            </w:tcBorders>
            <w:shd w:val="clear" w:color="000000" w:fill="F2F2F2"/>
            <w:noWrap/>
            <w:vAlign w:val="center"/>
            <w:hideMark/>
          </w:tcPr>
          <w:p w14:paraId="56F1B7E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$ 2.545.049.000</w:t>
            </w:r>
          </w:p>
        </w:tc>
        <w:tc>
          <w:tcPr>
            <w:tcW w:w="1440" w:type="dxa"/>
            <w:tcBorders>
              <w:top w:val="nil"/>
              <w:left w:val="nil"/>
              <w:bottom w:val="single" w:sz="4" w:space="0" w:color="auto"/>
              <w:right w:val="single" w:sz="4" w:space="0" w:color="auto"/>
            </w:tcBorders>
            <w:shd w:val="clear" w:color="000000" w:fill="F2F2F2"/>
            <w:noWrap/>
            <w:vAlign w:val="center"/>
            <w:hideMark/>
          </w:tcPr>
          <w:p w14:paraId="1228949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$ 0</w:t>
            </w:r>
          </w:p>
        </w:tc>
        <w:tc>
          <w:tcPr>
            <w:tcW w:w="1460" w:type="dxa"/>
            <w:tcBorders>
              <w:top w:val="nil"/>
              <w:left w:val="nil"/>
              <w:bottom w:val="single" w:sz="4" w:space="0" w:color="auto"/>
              <w:right w:val="single" w:sz="4" w:space="0" w:color="auto"/>
            </w:tcBorders>
            <w:shd w:val="clear" w:color="000000" w:fill="F2F2F2"/>
            <w:noWrap/>
            <w:vAlign w:val="center"/>
            <w:hideMark/>
          </w:tcPr>
          <w:p w14:paraId="39D890B6"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$ 2.545.049.000</w:t>
            </w:r>
          </w:p>
        </w:tc>
        <w:tc>
          <w:tcPr>
            <w:tcW w:w="1260" w:type="dxa"/>
            <w:tcBorders>
              <w:top w:val="nil"/>
              <w:left w:val="nil"/>
              <w:bottom w:val="single" w:sz="4" w:space="0" w:color="auto"/>
              <w:right w:val="single" w:sz="4" w:space="0" w:color="auto"/>
            </w:tcBorders>
            <w:shd w:val="clear" w:color="000000" w:fill="F2F2F2"/>
            <w:noWrap/>
            <w:vAlign w:val="center"/>
            <w:hideMark/>
          </w:tcPr>
          <w:p w14:paraId="443470A1"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$ 25.450.490</w:t>
            </w:r>
          </w:p>
        </w:tc>
        <w:tc>
          <w:tcPr>
            <w:tcW w:w="1120" w:type="dxa"/>
            <w:tcBorders>
              <w:top w:val="nil"/>
              <w:left w:val="nil"/>
              <w:bottom w:val="single" w:sz="4" w:space="0" w:color="auto"/>
              <w:right w:val="single" w:sz="4" w:space="0" w:color="auto"/>
            </w:tcBorders>
            <w:shd w:val="clear" w:color="000000" w:fill="F2F2F2"/>
            <w:noWrap/>
            <w:vAlign w:val="center"/>
            <w:hideMark/>
          </w:tcPr>
          <w:p w14:paraId="2AD1BA8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$ 1.059</w:t>
            </w:r>
          </w:p>
        </w:tc>
        <w:tc>
          <w:tcPr>
            <w:tcW w:w="1260" w:type="dxa"/>
            <w:tcBorders>
              <w:top w:val="nil"/>
              <w:left w:val="nil"/>
              <w:bottom w:val="single" w:sz="4" w:space="0" w:color="auto"/>
              <w:right w:val="single" w:sz="4" w:space="0" w:color="auto"/>
            </w:tcBorders>
            <w:shd w:val="clear" w:color="000000" w:fill="F2F2F2"/>
            <w:noWrap/>
            <w:vAlign w:val="center"/>
            <w:hideMark/>
          </w:tcPr>
          <w:p w14:paraId="4AED0E41"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$ 25.451.549</w:t>
            </w:r>
          </w:p>
        </w:tc>
        <w:tc>
          <w:tcPr>
            <w:tcW w:w="1920" w:type="dxa"/>
            <w:tcBorders>
              <w:top w:val="nil"/>
              <w:left w:val="nil"/>
              <w:bottom w:val="single" w:sz="4" w:space="0" w:color="auto"/>
              <w:right w:val="single" w:sz="4" w:space="0" w:color="auto"/>
            </w:tcBorders>
            <w:shd w:val="clear" w:color="000000" w:fill="F2F2F2"/>
            <w:vAlign w:val="center"/>
            <w:hideMark/>
          </w:tcPr>
          <w:p w14:paraId="0348A537"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GAS POR REDES</w:t>
            </w:r>
          </w:p>
        </w:tc>
      </w:tr>
      <w:tr w:rsidR="00D705A6" w:rsidRPr="002E0BB9" w14:paraId="17D1F638" w14:textId="77777777" w:rsidTr="007D1249">
        <w:trPr>
          <w:trHeight w:val="2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5D3DE0FB"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201</w:t>
            </w:r>
          </w:p>
        </w:tc>
        <w:tc>
          <w:tcPr>
            <w:tcW w:w="560" w:type="dxa"/>
            <w:tcBorders>
              <w:top w:val="nil"/>
              <w:left w:val="nil"/>
              <w:bottom w:val="single" w:sz="4" w:space="0" w:color="auto"/>
              <w:right w:val="single" w:sz="4" w:space="0" w:color="auto"/>
            </w:tcBorders>
            <w:shd w:val="clear" w:color="000000" w:fill="F2F2F2"/>
            <w:noWrap/>
            <w:vAlign w:val="center"/>
            <w:hideMark/>
          </w:tcPr>
          <w:p w14:paraId="29ECDF91"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26653</w:t>
            </w:r>
          </w:p>
        </w:tc>
        <w:tc>
          <w:tcPr>
            <w:tcW w:w="920" w:type="dxa"/>
            <w:tcBorders>
              <w:top w:val="nil"/>
              <w:left w:val="nil"/>
              <w:bottom w:val="single" w:sz="4" w:space="0" w:color="auto"/>
              <w:right w:val="single" w:sz="4" w:space="0" w:color="auto"/>
            </w:tcBorders>
            <w:shd w:val="clear" w:color="000000" w:fill="F2F2F2"/>
            <w:noWrap/>
            <w:vAlign w:val="center"/>
            <w:hideMark/>
          </w:tcPr>
          <w:p w14:paraId="7F49841B"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900499252</w:t>
            </w:r>
          </w:p>
        </w:tc>
        <w:tc>
          <w:tcPr>
            <w:tcW w:w="2180" w:type="dxa"/>
            <w:tcBorders>
              <w:top w:val="nil"/>
              <w:left w:val="nil"/>
              <w:bottom w:val="single" w:sz="4" w:space="0" w:color="auto"/>
              <w:right w:val="single" w:sz="4" w:space="0" w:color="auto"/>
            </w:tcBorders>
            <w:shd w:val="clear" w:color="000000" w:fill="F2F2F2"/>
            <w:vAlign w:val="center"/>
            <w:hideMark/>
          </w:tcPr>
          <w:p w14:paraId="425DF61F"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ECOMMERCIAL SAS ESP</w:t>
            </w:r>
          </w:p>
        </w:tc>
        <w:tc>
          <w:tcPr>
            <w:tcW w:w="1520" w:type="dxa"/>
            <w:tcBorders>
              <w:top w:val="nil"/>
              <w:left w:val="nil"/>
              <w:bottom w:val="single" w:sz="4" w:space="0" w:color="auto"/>
              <w:right w:val="single" w:sz="4" w:space="0" w:color="auto"/>
            </w:tcBorders>
            <w:shd w:val="clear" w:color="000000" w:fill="F2F2F2"/>
            <w:noWrap/>
            <w:vAlign w:val="center"/>
            <w:hideMark/>
          </w:tcPr>
          <w:p w14:paraId="29B7D5E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$ 5.289.242.000</w:t>
            </w:r>
          </w:p>
        </w:tc>
        <w:tc>
          <w:tcPr>
            <w:tcW w:w="1440" w:type="dxa"/>
            <w:tcBorders>
              <w:top w:val="nil"/>
              <w:left w:val="nil"/>
              <w:bottom w:val="single" w:sz="4" w:space="0" w:color="auto"/>
              <w:right w:val="single" w:sz="4" w:space="0" w:color="auto"/>
            </w:tcBorders>
            <w:shd w:val="clear" w:color="000000" w:fill="F2F2F2"/>
            <w:noWrap/>
            <w:vAlign w:val="center"/>
            <w:hideMark/>
          </w:tcPr>
          <w:p w14:paraId="0C960C8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$ 0</w:t>
            </w:r>
          </w:p>
        </w:tc>
        <w:tc>
          <w:tcPr>
            <w:tcW w:w="1460" w:type="dxa"/>
            <w:tcBorders>
              <w:top w:val="nil"/>
              <w:left w:val="nil"/>
              <w:bottom w:val="single" w:sz="4" w:space="0" w:color="auto"/>
              <w:right w:val="single" w:sz="4" w:space="0" w:color="auto"/>
            </w:tcBorders>
            <w:shd w:val="clear" w:color="000000" w:fill="F2F2F2"/>
            <w:noWrap/>
            <w:vAlign w:val="center"/>
            <w:hideMark/>
          </w:tcPr>
          <w:p w14:paraId="736BA2C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$ 5.289.242.000</w:t>
            </w:r>
          </w:p>
        </w:tc>
        <w:tc>
          <w:tcPr>
            <w:tcW w:w="1260" w:type="dxa"/>
            <w:tcBorders>
              <w:top w:val="nil"/>
              <w:left w:val="nil"/>
              <w:bottom w:val="single" w:sz="4" w:space="0" w:color="auto"/>
              <w:right w:val="single" w:sz="4" w:space="0" w:color="auto"/>
            </w:tcBorders>
            <w:shd w:val="clear" w:color="000000" w:fill="F2F2F2"/>
            <w:noWrap/>
            <w:vAlign w:val="center"/>
            <w:hideMark/>
          </w:tcPr>
          <w:p w14:paraId="0350C9A5"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$ 52.892.420</w:t>
            </w:r>
          </w:p>
        </w:tc>
        <w:tc>
          <w:tcPr>
            <w:tcW w:w="1120" w:type="dxa"/>
            <w:tcBorders>
              <w:top w:val="nil"/>
              <w:left w:val="nil"/>
              <w:bottom w:val="single" w:sz="4" w:space="0" w:color="auto"/>
              <w:right w:val="single" w:sz="4" w:space="0" w:color="auto"/>
            </w:tcBorders>
            <w:shd w:val="clear" w:color="000000" w:fill="F2F2F2"/>
            <w:noWrap/>
            <w:vAlign w:val="center"/>
            <w:hideMark/>
          </w:tcPr>
          <w:p w14:paraId="4D54838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$ 2.201</w:t>
            </w:r>
          </w:p>
        </w:tc>
        <w:tc>
          <w:tcPr>
            <w:tcW w:w="1260" w:type="dxa"/>
            <w:tcBorders>
              <w:top w:val="nil"/>
              <w:left w:val="nil"/>
              <w:bottom w:val="single" w:sz="4" w:space="0" w:color="auto"/>
              <w:right w:val="single" w:sz="4" w:space="0" w:color="auto"/>
            </w:tcBorders>
            <w:shd w:val="clear" w:color="000000" w:fill="F2F2F2"/>
            <w:noWrap/>
            <w:vAlign w:val="center"/>
            <w:hideMark/>
          </w:tcPr>
          <w:p w14:paraId="3E45A70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$ 52.894.621</w:t>
            </w:r>
          </w:p>
        </w:tc>
        <w:tc>
          <w:tcPr>
            <w:tcW w:w="1920" w:type="dxa"/>
            <w:tcBorders>
              <w:top w:val="nil"/>
              <w:left w:val="nil"/>
              <w:bottom w:val="single" w:sz="4" w:space="0" w:color="auto"/>
              <w:right w:val="single" w:sz="4" w:space="0" w:color="auto"/>
            </w:tcBorders>
            <w:shd w:val="clear" w:color="000000" w:fill="F2F2F2"/>
            <w:vAlign w:val="center"/>
            <w:hideMark/>
          </w:tcPr>
          <w:p w14:paraId="1126C7F7"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w:t>
            </w:r>
          </w:p>
        </w:tc>
      </w:tr>
      <w:tr w:rsidR="00D705A6" w:rsidRPr="002E0BB9" w14:paraId="2B21B5F6" w14:textId="77777777" w:rsidTr="007D1249">
        <w:trPr>
          <w:trHeight w:val="2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6CDF919E"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202</w:t>
            </w:r>
          </w:p>
        </w:tc>
        <w:tc>
          <w:tcPr>
            <w:tcW w:w="560" w:type="dxa"/>
            <w:tcBorders>
              <w:top w:val="nil"/>
              <w:left w:val="nil"/>
              <w:bottom w:val="single" w:sz="4" w:space="0" w:color="auto"/>
              <w:right w:val="single" w:sz="4" w:space="0" w:color="auto"/>
            </w:tcBorders>
            <w:shd w:val="clear" w:color="000000" w:fill="F2F2F2"/>
            <w:noWrap/>
            <w:vAlign w:val="center"/>
            <w:hideMark/>
          </w:tcPr>
          <w:p w14:paraId="57E23AFB"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28071</w:t>
            </w:r>
          </w:p>
        </w:tc>
        <w:tc>
          <w:tcPr>
            <w:tcW w:w="920" w:type="dxa"/>
            <w:tcBorders>
              <w:top w:val="nil"/>
              <w:left w:val="nil"/>
              <w:bottom w:val="single" w:sz="4" w:space="0" w:color="auto"/>
              <w:right w:val="single" w:sz="4" w:space="0" w:color="auto"/>
            </w:tcBorders>
            <w:shd w:val="clear" w:color="000000" w:fill="F2F2F2"/>
            <w:noWrap/>
            <w:vAlign w:val="center"/>
            <w:hideMark/>
          </w:tcPr>
          <w:p w14:paraId="1CFD8E45"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900516015</w:t>
            </w:r>
          </w:p>
        </w:tc>
        <w:tc>
          <w:tcPr>
            <w:tcW w:w="2180" w:type="dxa"/>
            <w:tcBorders>
              <w:top w:val="nil"/>
              <w:left w:val="nil"/>
              <w:bottom w:val="single" w:sz="4" w:space="0" w:color="auto"/>
              <w:right w:val="single" w:sz="4" w:space="0" w:color="auto"/>
            </w:tcBorders>
            <w:shd w:val="clear" w:color="000000" w:fill="F2F2F2"/>
            <w:vAlign w:val="center"/>
            <w:hideMark/>
          </w:tcPr>
          <w:p w14:paraId="4647B3CC"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IAC ENERGY SAS ESP</w:t>
            </w:r>
          </w:p>
        </w:tc>
        <w:tc>
          <w:tcPr>
            <w:tcW w:w="1520" w:type="dxa"/>
            <w:tcBorders>
              <w:top w:val="nil"/>
              <w:left w:val="nil"/>
              <w:bottom w:val="single" w:sz="4" w:space="0" w:color="auto"/>
              <w:right w:val="single" w:sz="4" w:space="0" w:color="auto"/>
            </w:tcBorders>
            <w:shd w:val="clear" w:color="000000" w:fill="F2F2F2"/>
            <w:noWrap/>
            <w:vAlign w:val="center"/>
            <w:hideMark/>
          </w:tcPr>
          <w:p w14:paraId="47C984EE"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$ 218.605.000</w:t>
            </w:r>
          </w:p>
        </w:tc>
        <w:tc>
          <w:tcPr>
            <w:tcW w:w="1440" w:type="dxa"/>
            <w:tcBorders>
              <w:top w:val="nil"/>
              <w:left w:val="nil"/>
              <w:bottom w:val="single" w:sz="4" w:space="0" w:color="auto"/>
              <w:right w:val="single" w:sz="4" w:space="0" w:color="auto"/>
            </w:tcBorders>
            <w:shd w:val="clear" w:color="000000" w:fill="F2F2F2"/>
            <w:noWrap/>
            <w:vAlign w:val="center"/>
            <w:hideMark/>
          </w:tcPr>
          <w:p w14:paraId="18FD86EA"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$ 569.286</w:t>
            </w:r>
          </w:p>
        </w:tc>
        <w:tc>
          <w:tcPr>
            <w:tcW w:w="1460" w:type="dxa"/>
            <w:tcBorders>
              <w:top w:val="nil"/>
              <w:left w:val="nil"/>
              <w:bottom w:val="single" w:sz="4" w:space="0" w:color="auto"/>
              <w:right w:val="single" w:sz="4" w:space="0" w:color="auto"/>
            </w:tcBorders>
            <w:shd w:val="clear" w:color="000000" w:fill="F2F2F2"/>
            <w:noWrap/>
            <w:vAlign w:val="center"/>
            <w:hideMark/>
          </w:tcPr>
          <w:p w14:paraId="512D7A6D"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$ 219.174.286</w:t>
            </w:r>
          </w:p>
        </w:tc>
        <w:tc>
          <w:tcPr>
            <w:tcW w:w="1260" w:type="dxa"/>
            <w:tcBorders>
              <w:top w:val="nil"/>
              <w:left w:val="nil"/>
              <w:bottom w:val="single" w:sz="4" w:space="0" w:color="auto"/>
              <w:right w:val="single" w:sz="4" w:space="0" w:color="auto"/>
            </w:tcBorders>
            <w:shd w:val="clear" w:color="000000" w:fill="F2F2F2"/>
            <w:noWrap/>
            <w:vAlign w:val="center"/>
            <w:hideMark/>
          </w:tcPr>
          <w:p w14:paraId="58BE8302"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$ 2.191.743</w:t>
            </w:r>
          </w:p>
        </w:tc>
        <w:tc>
          <w:tcPr>
            <w:tcW w:w="1120" w:type="dxa"/>
            <w:tcBorders>
              <w:top w:val="nil"/>
              <w:left w:val="nil"/>
              <w:bottom w:val="single" w:sz="4" w:space="0" w:color="auto"/>
              <w:right w:val="single" w:sz="4" w:space="0" w:color="auto"/>
            </w:tcBorders>
            <w:shd w:val="clear" w:color="000000" w:fill="F2F2F2"/>
            <w:noWrap/>
            <w:vAlign w:val="center"/>
            <w:hideMark/>
          </w:tcPr>
          <w:p w14:paraId="1FB4D4A5"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$ 91</w:t>
            </w:r>
          </w:p>
        </w:tc>
        <w:tc>
          <w:tcPr>
            <w:tcW w:w="1260" w:type="dxa"/>
            <w:tcBorders>
              <w:top w:val="nil"/>
              <w:left w:val="nil"/>
              <w:bottom w:val="single" w:sz="4" w:space="0" w:color="auto"/>
              <w:right w:val="single" w:sz="4" w:space="0" w:color="auto"/>
            </w:tcBorders>
            <w:shd w:val="clear" w:color="000000" w:fill="F2F2F2"/>
            <w:noWrap/>
            <w:vAlign w:val="center"/>
            <w:hideMark/>
          </w:tcPr>
          <w:p w14:paraId="774E8D8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$ 2.191.834</w:t>
            </w:r>
          </w:p>
        </w:tc>
        <w:tc>
          <w:tcPr>
            <w:tcW w:w="1920" w:type="dxa"/>
            <w:tcBorders>
              <w:top w:val="nil"/>
              <w:left w:val="nil"/>
              <w:bottom w:val="single" w:sz="4" w:space="0" w:color="auto"/>
              <w:right w:val="single" w:sz="4" w:space="0" w:color="auto"/>
            </w:tcBorders>
            <w:shd w:val="clear" w:color="000000" w:fill="F2F2F2"/>
            <w:vAlign w:val="center"/>
            <w:hideMark/>
          </w:tcPr>
          <w:p w14:paraId="1B97D70C"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w:t>
            </w:r>
          </w:p>
        </w:tc>
      </w:tr>
      <w:tr w:rsidR="00D705A6" w:rsidRPr="002E0BB9" w14:paraId="7516AF5B" w14:textId="77777777" w:rsidTr="007D1249">
        <w:trPr>
          <w:trHeight w:val="4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474E6699"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203</w:t>
            </w:r>
          </w:p>
        </w:tc>
        <w:tc>
          <w:tcPr>
            <w:tcW w:w="560" w:type="dxa"/>
            <w:tcBorders>
              <w:top w:val="nil"/>
              <w:left w:val="nil"/>
              <w:bottom w:val="single" w:sz="4" w:space="0" w:color="auto"/>
              <w:right w:val="single" w:sz="4" w:space="0" w:color="auto"/>
            </w:tcBorders>
            <w:shd w:val="clear" w:color="000000" w:fill="F2F2F2"/>
            <w:noWrap/>
            <w:vAlign w:val="center"/>
            <w:hideMark/>
          </w:tcPr>
          <w:p w14:paraId="25C2D952"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26108</w:t>
            </w:r>
          </w:p>
        </w:tc>
        <w:tc>
          <w:tcPr>
            <w:tcW w:w="920" w:type="dxa"/>
            <w:tcBorders>
              <w:top w:val="nil"/>
              <w:left w:val="nil"/>
              <w:bottom w:val="single" w:sz="4" w:space="0" w:color="auto"/>
              <w:right w:val="single" w:sz="4" w:space="0" w:color="auto"/>
            </w:tcBorders>
            <w:shd w:val="clear" w:color="000000" w:fill="F2F2F2"/>
            <w:noWrap/>
            <w:vAlign w:val="center"/>
            <w:hideMark/>
          </w:tcPr>
          <w:p w14:paraId="3F17DB2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900519716</w:t>
            </w:r>
          </w:p>
        </w:tc>
        <w:tc>
          <w:tcPr>
            <w:tcW w:w="2180" w:type="dxa"/>
            <w:tcBorders>
              <w:top w:val="nil"/>
              <w:left w:val="nil"/>
              <w:bottom w:val="single" w:sz="4" w:space="0" w:color="auto"/>
              <w:right w:val="single" w:sz="4" w:space="0" w:color="auto"/>
            </w:tcBorders>
            <w:shd w:val="clear" w:color="000000" w:fill="F2F2F2"/>
            <w:vAlign w:val="center"/>
            <w:hideMark/>
          </w:tcPr>
          <w:p w14:paraId="11405CFD"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TERMOTASAJERO DOS S.A. E.S.P.</w:t>
            </w:r>
          </w:p>
        </w:tc>
        <w:tc>
          <w:tcPr>
            <w:tcW w:w="1520" w:type="dxa"/>
            <w:tcBorders>
              <w:top w:val="nil"/>
              <w:left w:val="nil"/>
              <w:bottom w:val="single" w:sz="4" w:space="0" w:color="auto"/>
              <w:right w:val="single" w:sz="4" w:space="0" w:color="auto"/>
            </w:tcBorders>
            <w:shd w:val="clear" w:color="000000" w:fill="F2F2F2"/>
            <w:noWrap/>
            <w:vAlign w:val="center"/>
            <w:hideMark/>
          </w:tcPr>
          <w:p w14:paraId="6D3C114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$ 1.228.078.000</w:t>
            </w:r>
          </w:p>
        </w:tc>
        <w:tc>
          <w:tcPr>
            <w:tcW w:w="1440" w:type="dxa"/>
            <w:tcBorders>
              <w:top w:val="nil"/>
              <w:left w:val="nil"/>
              <w:bottom w:val="single" w:sz="4" w:space="0" w:color="auto"/>
              <w:right w:val="single" w:sz="4" w:space="0" w:color="auto"/>
            </w:tcBorders>
            <w:shd w:val="clear" w:color="000000" w:fill="F2F2F2"/>
            <w:noWrap/>
            <w:vAlign w:val="center"/>
            <w:hideMark/>
          </w:tcPr>
          <w:p w14:paraId="346EBF0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$ 1.720.617.869</w:t>
            </w:r>
          </w:p>
        </w:tc>
        <w:tc>
          <w:tcPr>
            <w:tcW w:w="1460" w:type="dxa"/>
            <w:tcBorders>
              <w:top w:val="nil"/>
              <w:left w:val="nil"/>
              <w:bottom w:val="single" w:sz="4" w:space="0" w:color="auto"/>
              <w:right w:val="single" w:sz="4" w:space="0" w:color="auto"/>
            </w:tcBorders>
            <w:shd w:val="clear" w:color="000000" w:fill="F2F2F2"/>
            <w:noWrap/>
            <w:vAlign w:val="center"/>
            <w:hideMark/>
          </w:tcPr>
          <w:p w14:paraId="17A4713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$ 2.948.695.869</w:t>
            </w:r>
          </w:p>
        </w:tc>
        <w:tc>
          <w:tcPr>
            <w:tcW w:w="1260" w:type="dxa"/>
            <w:tcBorders>
              <w:top w:val="nil"/>
              <w:left w:val="nil"/>
              <w:bottom w:val="single" w:sz="4" w:space="0" w:color="auto"/>
              <w:right w:val="single" w:sz="4" w:space="0" w:color="auto"/>
            </w:tcBorders>
            <w:shd w:val="clear" w:color="000000" w:fill="F2F2F2"/>
            <w:noWrap/>
            <w:vAlign w:val="center"/>
            <w:hideMark/>
          </w:tcPr>
          <w:p w14:paraId="1A9787B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$ 29.486.959</w:t>
            </w:r>
          </w:p>
        </w:tc>
        <w:tc>
          <w:tcPr>
            <w:tcW w:w="1120" w:type="dxa"/>
            <w:tcBorders>
              <w:top w:val="nil"/>
              <w:left w:val="nil"/>
              <w:bottom w:val="single" w:sz="4" w:space="0" w:color="auto"/>
              <w:right w:val="single" w:sz="4" w:space="0" w:color="auto"/>
            </w:tcBorders>
            <w:shd w:val="clear" w:color="000000" w:fill="F2F2F2"/>
            <w:noWrap/>
            <w:vAlign w:val="center"/>
            <w:hideMark/>
          </w:tcPr>
          <w:p w14:paraId="423D8D2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$ 1.227</w:t>
            </w:r>
          </w:p>
        </w:tc>
        <w:tc>
          <w:tcPr>
            <w:tcW w:w="1260" w:type="dxa"/>
            <w:tcBorders>
              <w:top w:val="nil"/>
              <w:left w:val="nil"/>
              <w:bottom w:val="single" w:sz="4" w:space="0" w:color="auto"/>
              <w:right w:val="single" w:sz="4" w:space="0" w:color="auto"/>
            </w:tcBorders>
            <w:shd w:val="clear" w:color="000000" w:fill="F2F2F2"/>
            <w:noWrap/>
            <w:vAlign w:val="center"/>
            <w:hideMark/>
          </w:tcPr>
          <w:p w14:paraId="4E5D1B0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$ 29.488.186</w:t>
            </w:r>
          </w:p>
        </w:tc>
        <w:tc>
          <w:tcPr>
            <w:tcW w:w="1920" w:type="dxa"/>
            <w:tcBorders>
              <w:top w:val="nil"/>
              <w:left w:val="nil"/>
              <w:bottom w:val="single" w:sz="4" w:space="0" w:color="auto"/>
              <w:right w:val="single" w:sz="4" w:space="0" w:color="auto"/>
            </w:tcBorders>
            <w:shd w:val="clear" w:color="000000" w:fill="F2F2F2"/>
            <w:vAlign w:val="center"/>
            <w:hideMark/>
          </w:tcPr>
          <w:p w14:paraId="64E30A80"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w:t>
            </w:r>
          </w:p>
        </w:tc>
      </w:tr>
      <w:tr w:rsidR="00D705A6" w:rsidRPr="002E0BB9" w14:paraId="22BE8467" w14:textId="77777777" w:rsidTr="007D1249">
        <w:trPr>
          <w:trHeight w:val="2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0252349E"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204</w:t>
            </w:r>
          </w:p>
        </w:tc>
        <w:tc>
          <w:tcPr>
            <w:tcW w:w="560" w:type="dxa"/>
            <w:tcBorders>
              <w:top w:val="nil"/>
              <w:left w:val="nil"/>
              <w:bottom w:val="single" w:sz="4" w:space="0" w:color="auto"/>
              <w:right w:val="single" w:sz="4" w:space="0" w:color="auto"/>
            </w:tcBorders>
            <w:shd w:val="clear" w:color="000000" w:fill="F2F2F2"/>
            <w:noWrap/>
            <w:vAlign w:val="center"/>
            <w:hideMark/>
          </w:tcPr>
          <w:p w14:paraId="26B93CE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26096</w:t>
            </w:r>
          </w:p>
        </w:tc>
        <w:tc>
          <w:tcPr>
            <w:tcW w:w="920" w:type="dxa"/>
            <w:tcBorders>
              <w:top w:val="nil"/>
              <w:left w:val="nil"/>
              <w:bottom w:val="single" w:sz="4" w:space="0" w:color="auto"/>
              <w:right w:val="single" w:sz="4" w:space="0" w:color="auto"/>
            </w:tcBorders>
            <w:shd w:val="clear" w:color="000000" w:fill="F2F2F2"/>
            <w:noWrap/>
            <w:vAlign w:val="center"/>
            <w:hideMark/>
          </w:tcPr>
          <w:p w14:paraId="2B6364C2"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900522263</w:t>
            </w:r>
          </w:p>
        </w:tc>
        <w:tc>
          <w:tcPr>
            <w:tcW w:w="2180" w:type="dxa"/>
            <w:tcBorders>
              <w:top w:val="nil"/>
              <w:left w:val="nil"/>
              <w:bottom w:val="single" w:sz="4" w:space="0" w:color="auto"/>
              <w:right w:val="single" w:sz="4" w:space="0" w:color="auto"/>
            </w:tcBorders>
            <w:shd w:val="clear" w:color="000000" w:fill="F2F2F2"/>
            <w:vAlign w:val="center"/>
            <w:hideMark/>
          </w:tcPr>
          <w:p w14:paraId="1F1D3F58"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YAVEGAS S.A. E.S.P.</w:t>
            </w:r>
          </w:p>
        </w:tc>
        <w:tc>
          <w:tcPr>
            <w:tcW w:w="1520" w:type="dxa"/>
            <w:tcBorders>
              <w:top w:val="nil"/>
              <w:left w:val="nil"/>
              <w:bottom w:val="single" w:sz="4" w:space="0" w:color="auto"/>
              <w:right w:val="single" w:sz="4" w:space="0" w:color="auto"/>
            </w:tcBorders>
            <w:shd w:val="clear" w:color="000000" w:fill="F2F2F2"/>
            <w:noWrap/>
            <w:vAlign w:val="center"/>
            <w:hideMark/>
          </w:tcPr>
          <w:p w14:paraId="4013D6C7"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$ 1.017.099.000</w:t>
            </w:r>
          </w:p>
        </w:tc>
        <w:tc>
          <w:tcPr>
            <w:tcW w:w="1440" w:type="dxa"/>
            <w:tcBorders>
              <w:top w:val="nil"/>
              <w:left w:val="nil"/>
              <w:bottom w:val="single" w:sz="4" w:space="0" w:color="auto"/>
              <w:right w:val="single" w:sz="4" w:space="0" w:color="auto"/>
            </w:tcBorders>
            <w:shd w:val="clear" w:color="000000" w:fill="F2F2F2"/>
            <w:noWrap/>
            <w:vAlign w:val="center"/>
            <w:hideMark/>
          </w:tcPr>
          <w:p w14:paraId="542378E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$ 78.602.270</w:t>
            </w:r>
          </w:p>
        </w:tc>
        <w:tc>
          <w:tcPr>
            <w:tcW w:w="1460" w:type="dxa"/>
            <w:tcBorders>
              <w:top w:val="nil"/>
              <w:left w:val="nil"/>
              <w:bottom w:val="single" w:sz="4" w:space="0" w:color="auto"/>
              <w:right w:val="single" w:sz="4" w:space="0" w:color="auto"/>
            </w:tcBorders>
            <w:shd w:val="clear" w:color="000000" w:fill="F2F2F2"/>
            <w:noWrap/>
            <w:vAlign w:val="center"/>
            <w:hideMark/>
          </w:tcPr>
          <w:p w14:paraId="6FE1B28B"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$ 1.095.701.270</w:t>
            </w:r>
          </w:p>
        </w:tc>
        <w:tc>
          <w:tcPr>
            <w:tcW w:w="1260" w:type="dxa"/>
            <w:tcBorders>
              <w:top w:val="nil"/>
              <w:left w:val="nil"/>
              <w:bottom w:val="single" w:sz="4" w:space="0" w:color="auto"/>
              <w:right w:val="single" w:sz="4" w:space="0" w:color="auto"/>
            </w:tcBorders>
            <w:shd w:val="clear" w:color="000000" w:fill="F2F2F2"/>
            <w:noWrap/>
            <w:vAlign w:val="center"/>
            <w:hideMark/>
          </w:tcPr>
          <w:p w14:paraId="408B780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$ 10.957.013</w:t>
            </w:r>
          </w:p>
        </w:tc>
        <w:tc>
          <w:tcPr>
            <w:tcW w:w="1120" w:type="dxa"/>
            <w:tcBorders>
              <w:top w:val="nil"/>
              <w:left w:val="nil"/>
              <w:bottom w:val="single" w:sz="4" w:space="0" w:color="auto"/>
              <w:right w:val="single" w:sz="4" w:space="0" w:color="auto"/>
            </w:tcBorders>
            <w:shd w:val="clear" w:color="000000" w:fill="F2F2F2"/>
            <w:noWrap/>
            <w:vAlign w:val="center"/>
            <w:hideMark/>
          </w:tcPr>
          <w:p w14:paraId="4188965C"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$ 456</w:t>
            </w:r>
          </w:p>
        </w:tc>
        <w:tc>
          <w:tcPr>
            <w:tcW w:w="1260" w:type="dxa"/>
            <w:tcBorders>
              <w:top w:val="nil"/>
              <w:left w:val="nil"/>
              <w:bottom w:val="single" w:sz="4" w:space="0" w:color="auto"/>
              <w:right w:val="single" w:sz="4" w:space="0" w:color="auto"/>
            </w:tcBorders>
            <w:shd w:val="clear" w:color="000000" w:fill="F2F2F2"/>
            <w:noWrap/>
            <w:vAlign w:val="center"/>
            <w:hideMark/>
          </w:tcPr>
          <w:p w14:paraId="2FFD1DE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$ 10.957.469</w:t>
            </w:r>
          </w:p>
        </w:tc>
        <w:tc>
          <w:tcPr>
            <w:tcW w:w="1920" w:type="dxa"/>
            <w:tcBorders>
              <w:top w:val="nil"/>
              <w:left w:val="nil"/>
              <w:bottom w:val="single" w:sz="4" w:space="0" w:color="auto"/>
              <w:right w:val="single" w:sz="4" w:space="0" w:color="auto"/>
            </w:tcBorders>
            <w:shd w:val="clear" w:color="000000" w:fill="F2F2F2"/>
            <w:vAlign w:val="center"/>
            <w:hideMark/>
          </w:tcPr>
          <w:p w14:paraId="1C707ED5"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GAS POR REDES</w:t>
            </w:r>
          </w:p>
        </w:tc>
      </w:tr>
      <w:tr w:rsidR="00D705A6" w:rsidRPr="002E0BB9" w14:paraId="47755343" w14:textId="77777777" w:rsidTr="007D1249">
        <w:trPr>
          <w:trHeight w:val="6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01EA20CA"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205</w:t>
            </w:r>
          </w:p>
        </w:tc>
        <w:tc>
          <w:tcPr>
            <w:tcW w:w="560" w:type="dxa"/>
            <w:tcBorders>
              <w:top w:val="nil"/>
              <w:left w:val="nil"/>
              <w:bottom w:val="single" w:sz="4" w:space="0" w:color="auto"/>
              <w:right w:val="single" w:sz="4" w:space="0" w:color="auto"/>
            </w:tcBorders>
            <w:shd w:val="clear" w:color="000000" w:fill="F2F2F2"/>
            <w:noWrap/>
            <w:vAlign w:val="center"/>
            <w:hideMark/>
          </w:tcPr>
          <w:p w14:paraId="0DF88FCC"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26600</w:t>
            </w:r>
          </w:p>
        </w:tc>
        <w:tc>
          <w:tcPr>
            <w:tcW w:w="920" w:type="dxa"/>
            <w:tcBorders>
              <w:top w:val="nil"/>
              <w:left w:val="nil"/>
              <w:bottom w:val="single" w:sz="4" w:space="0" w:color="auto"/>
              <w:right w:val="single" w:sz="4" w:space="0" w:color="auto"/>
            </w:tcBorders>
            <w:shd w:val="clear" w:color="000000" w:fill="F2F2F2"/>
            <w:noWrap/>
            <w:vAlign w:val="center"/>
            <w:hideMark/>
          </w:tcPr>
          <w:p w14:paraId="13B1313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900531210</w:t>
            </w:r>
          </w:p>
        </w:tc>
        <w:tc>
          <w:tcPr>
            <w:tcW w:w="2180" w:type="dxa"/>
            <w:tcBorders>
              <w:top w:val="nil"/>
              <w:left w:val="nil"/>
              <w:bottom w:val="single" w:sz="4" w:space="0" w:color="auto"/>
              <w:right w:val="single" w:sz="4" w:space="0" w:color="auto"/>
            </w:tcBorders>
            <w:shd w:val="clear" w:color="000000" w:fill="F2F2F2"/>
            <w:vAlign w:val="center"/>
            <w:hideMark/>
          </w:tcPr>
          <w:p w14:paraId="0FBB07D8"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CENIT TRANSPORTE Y LOGISTICA DE HIDROCARBUROS S.A.S</w:t>
            </w:r>
          </w:p>
        </w:tc>
        <w:tc>
          <w:tcPr>
            <w:tcW w:w="1520" w:type="dxa"/>
            <w:tcBorders>
              <w:top w:val="nil"/>
              <w:left w:val="nil"/>
              <w:bottom w:val="single" w:sz="4" w:space="0" w:color="auto"/>
              <w:right w:val="single" w:sz="4" w:space="0" w:color="auto"/>
            </w:tcBorders>
            <w:shd w:val="clear" w:color="000000" w:fill="F2F2F2"/>
            <w:noWrap/>
            <w:vAlign w:val="center"/>
            <w:hideMark/>
          </w:tcPr>
          <w:p w14:paraId="1528A7AA"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$ 2.557.861.000</w:t>
            </w:r>
          </w:p>
        </w:tc>
        <w:tc>
          <w:tcPr>
            <w:tcW w:w="1440" w:type="dxa"/>
            <w:tcBorders>
              <w:top w:val="nil"/>
              <w:left w:val="nil"/>
              <w:bottom w:val="single" w:sz="4" w:space="0" w:color="auto"/>
              <w:right w:val="single" w:sz="4" w:space="0" w:color="auto"/>
            </w:tcBorders>
            <w:shd w:val="clear" w:color="000000" w:fill="F2F2F2"/>
            <w:noWrap/>
            <w:vAlign w:val="center"/>
            <w:hideMark/>
          </w:tcPr>
          <w:p w14:paraId="53B4CF17"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$ 0</w:t>
            </w:r>
          </w:p>
        </w:tc>
        <w:tc>
          <w:tcPr>
            <w:tcW w:w="1460" w:type="dxa"/>
            <w:tcBorders>
              <w:top w:val="nil"/>
              <w:left w:val="nil"/>
              <w:bottom w:val="single" w:sz="4" w:space="0" w:color="auto"/>
              <w:right w:val="single" w:sz="4" w:space="0" w:color="auto"/>
            </w:tcBorders>
            <w:shd w:val="clear" w:color="000000" w:fill="F2F2F2"/>
            <w:noWrap/>
            <w:vAlign w:val="center"/>
            <w:hideMark/>
          </w:tcPr>
          <w:p w14:paraId="5A79973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$ 2.557.861.000</w:t>
            </w:r>
          </w:p>
        </w:tc>
        <w:tc>
          <w:tcPr>
            <w:tcW w:w="1260" w:type="dxa"/>
            <w:tcBorders>
              <w:top w:val="nil"/>
              <w:left w:val="nil"/>
              <w:bottom w:val="single" w:sz="4" w:space="0" w:color="auto"/>
              <w:right w:val="single" w:sz="4" w:space="0" w:color="auto"/>
            </w:tcBorders>
            <w:shd w:val="clear" w:color="000000" w:fill="F2F2F2"/>
            <w:noWrap/>
            <w:vAlign w:val="center"/>
            <w:hideMark/>
          </w:tcPr>
          <w:p w14:paraId="05AC295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$ 25.578.610</w:t>
            </w:r>
          </w:p>
        </w:tc>
        <w:tc>
          <w:tcPr>
            <w:tcW w:w="1120" w:type="dxa"/>
            <w:tcBorders>
              <w:top w:val="nil"/>
              <w:left w:val="nil"/>
              <w:bottom w:val="single" w:sz="4" w:space="0" w:color="auto"/>
              <w:right w:val="single" w:sz="4" w:space="0" w:color="auto"/>
            </w:tcBorders>
            <w:shd w:val="clear" w:color="000000" w:fill="F2F2F2"/>
            <w:noWrap/>
            <w:vAlign w:val="center"/>
            <w:hideMark/>
          </w:tcPr>
          <w:p w14:paraId="38BA1C0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$ 1.064</w:t>
            </w:r>
          </w:p>
        </w:tc>
        <w:tc>
          <w:tcPr>
            <w:tcW w:w="1260" w:type="dxa"/>
            <w:tcBorders>
              <w:top w:val="nil"/>
              <w:left w:val="nil"/>
              <w:bottom w:val="single" w:sz="4" w:space="0" w:color="auto"/>
              <w:right w:val="single" w:sz="4" w:space="0" w:color="auto"/>
            </w:tcBorders>
            <w:shd w:val="clear" w:color="000000" w:fill="F2F2F2"/>
            <w:noWrap/>
            <w:vAlign w:val="center"/>
            <w:hideMark/>
          </w:tcPr>
          <w:p w14:paraId="56D258AA"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$ 25.579.674</w:t>
            </w:r>
          </w:p>
        </w:tc>
        <w:tc>
          <w:tcPr>
            <w:tcW w:w="1920" w:type="dxa"/>
            <w:tcBorders>
              <w:top w:val="nil"/>
              <w:left w:val="nil"/>
              <w:bottom w:val="single" w:sz="4" w:space="0" w:color="auto"/>
              <w:right w:val="single" w:sz="4" w:space="0" w:color="auto"/>
            </w:tcBorders>
            <w:shd w:val="clear" w:color="000000" w:fill="F2F2F2"/>
            <w:vAlign w:val="center"/>
            <w:hideMark/>
          </w:tcPr>
          <w:p w14:paraId="5EA051F7"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GAS LICUADO DEL PETROLEO</w:t>
            </w:r>
          </w:p>
        </w:tc>
      </w:tr>
      <w:tr w:rsidR="00D705A6" w:rsidRPr="002E0BB9" w14:paraId="3ACC3D1D" w14:textId="77777777" w:rsidTr="007D1249">
        <w:trPr>
          <w:trHeight w:val="4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7B0805B5"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lastRenderedPageBreak/>
              <w:t>206</w:t>
            </w:r>
          </w:p>
        </w:tc>
        <w:tc>
          <w:tcPr>
            <w:tcW w:w="560" w:type="dxa"/>
            <w:tcBorders>
              <w:top w:val="nil"/>
              <w:left w:val="nil"/>
              <w:bottom w:val="single" w:sz="4" w:space="0" w:color="auto"/>
              <w:right w:val="single" w:sz="4" w:space="0" w:color="auto"/>
            </w:tcBorders>
            <w:shd w:val="clear" w:color="000000" w:fill="F2F2F2"/>
            <w:noWrap/>
            <w:vAlign w:val="center"/>
            <w:hideMark/>
          </w:tcPr>
          <w:p w14:paraId="7DCFDED2"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26745</w:t>
            </w:r>
          </w:p>
        </w:tc>
        <w:tc>
          <w:tcPr>
            <w:tcW w:w="920" w:type="dxa"/>
            <w:tcBorders>
              <w:top w:val="nil"/>
              <w:left w:val="nil"/>
              <w:bottom w:val="single" w:sz="4" w:space="0" w:color="auto"/>
              <w:right w:val="single" w:sz="4" w:space="0" w:color="auto"/>
            </w:tcBorders>
            <w:shd w:val="clear" w:color="000000" w:fill="F2F2F2"/>
            <w:noWrap/>
            <w:vAlign w:val="center"/>
            <w:hideMark/>
          </w:tcPr>
          <w:p w14:paraId="2AA4180D"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900542835</w:t>
            </w:r>
          </w:p>
        </w:tc>
        <w:tc>
          <w:tcPr>
            <w:tcW w:w="2180" w:type="dxa"/>
            <w:tcBorders>
              <w:top w:val="nil"/>
              <w:left w:val="nil"/>
              <w:bottom w:val="single" w:sz="4" w:space="0" w:color="auto"/>
              <w:right w:val="single" w:sz="4" w:space="0" w:color="auto"/>
            </w:tcBorders>
            <w:shd w:val="clear" w:color="000000" w:fill="F2F2F2"/>
            <w:vAlign w:val="center"/>
            <w:hideMark/>
          </w:tcPr>
          <w:p w14:paraId="743B64A4"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G8 PROYECTOS ENERGETICOS SAS ESP</w:t>
            </w:r>
          </w:p>
        </w:tc>
        <w:tc>
          <w:tcPr>
            <w:tcW w:w="1520" w:type="dxa"/>
            <w:tcBorders>
              <w:top w:val="nil"/>
              <w:left w:val="nil"/>
              <w:bottom w:val="single" w:sz="4" w:space="0" w:color="auto"/>
              <w:right w:val="single" w:sz="4" w:space="0" w:color="auto"/>
            </w:tcBorders>
            <w:shd w:val="clear" w:color="000000" w:fill="F2F2F2"/>
            <w:noWrap/>
            <w:vAlign w:val="center"/>
            <w:hideMark/>
          </w:tcPr>
          <w:p w14:paraId="2590D11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$ 566.446.000</w:t>
            </w:r>
          </w:p>
        </w:tc>
        <w:tc>
          <w:tcPr>
            <w:tcW w:w="1440" w:type="dxa"/>
            <w:tcBorders>
              <w:top w:val="nil"/>
              <w:left w:val="nil"/>
              <w:bottom w:val="single" w:sz="4" w:space="0" w:color="auto"/>
              <w:right w:val="single" w:sz="4" w:space="0" w:color="auto"/>
            </w:tcBorders>
            <w:shd w:val="clear" w:color="000000" w:fill="F2F2F2"/>
            <w:noWrap/>
            <w:vAlign w:val="center"/>
            <w:hideMark/>
          </w:tcPr>
          <w:p w14:paraId="3FB1BC8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$ 23.786.663</w:t>
            </w:r>
          </w:p>
        </w:tc>
        <w:tc>
          <w:tcPr>
            <w:tcW w:w="1460" w:type="dxa"/>
            <w:tcBorders>
              <w:top w:val="nil"/>
              <w:left w:val="nil"/>
              <w:bottom w:val="single" w:sz="4" w:space="0" w:color="auto"/>
              <w:right w:val="single" w:sz="4" w:space="0" w:color="auto"/>
            </w:tcBorders>
            <w:shd w:val="clear" w:color="000000" w:fill="F2F2F2"/>
            <w:noWrap/>
            <w:vAlign w:val="center"/>
            <w:hideMark/>
          </w:tcPr>
          <w:p w14:paraId="2099DC0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$ 590.232.663</w:t>
            </w:r>
          </w:p>
        </w:tc>
        <w:tc>
          <w:tcPr>
            <w:tcW w:w="1260" w:type="dxa"/>
            <w:tcBorders>
              <w:top w:val="nil"/>
              <w:left w:val="nil"/>
              <w:bottom w:val="single" w:sz="4" w:space="0" w:color="auto"/>
              <w:right w:val="single" w:sz="4" w:space="0" w:color="auto"/>
            </w:tcBorders>
            <w:shd w:val="clear" w:color="000000" w:fill="F2F2F2"/>
            <w:noWrap/>
            <w:vAlign w:val="center"/>
            <w:hideMark/>
          </w:tcPr>
          <w:p w14:paraId="499B1511"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$ 5.902.327</w:t>
            </w:r>
          </w:p>
        </w:tc>
        <w:tc>
          <w:tcPr>
            <w:tcW w:w="1120" w:type="dxa"/>
            <w:tcBorders>
              <w:top w:val="nil"/>
              <w:left w:val="nil"/>
              <w:bottom w:val="single" w:sz="4" w:space="0" w:color="auto"/>
              <w:right w:val="single" w:sz="4" w:space="0" w:color="auto"/>
            </w:tcBorders>
            <w:shd w:val="clear" w:color="000000" w:fill="F2F2F2"/>
            <w:noWrap/>
            <w:vAlign w:val="center"/>
            <w:hideMark/>
          </w:tcPr>
          <w:p w14:paraId="5D84182C"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$ 246</w:t>
            </w:r>
          </w:p>
        </w:tc>
        <w:tc>
          <w:tcPr>
            <w:tcW w:w="1260" w:type="dxa"/>
            <w:tcBorders>
              <w:top w:val="nil"/>
              <w:left w:val="nil"/>
              <w:bottom w:val="single" w:sz="4" w:space="0" w:color="auto"/>
              <w:right w:val="single" w:sz="4" w:space="0" w:color="auto"/>
            </w:tcBorders>
            <w:shd w:val="clear" w:color="000000" w:fill="F2F2F2"/>
            <w:noWrap/>
            <w:vAlign w:val="center"/>
            <w:hideMark/>
          </w:tcPr>
          <w:p w14:paraId="2FA0388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$ 5.902.572</w:t>
            </w:r>
          </w:p>
        </w:tc>
        <w:tc>
          <w:tcPr>
            <w:tcW w:w="1920" w:type="dxa"/>
            <w:tcBorders>
              <w:top w:val="nil"/>
              <w:left w:val="nil"/>
              <w:bottom w:val="single" w:sz="4" w:space="0" w:color="auto"/>
              <w:right w:val="single" w:sz="4" w:space="0" w:color="auto"/>
            </w:tcBorders>
            <w:shd w:val="clear" w:color="000000" w:fill="F2F2F2"/>
            <w:vAlign w:val="center"/>
            <w:hideMark/>
          </w:tcPr>
          <w:p w14:paraId="30A4BBFA"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GAS POR REDES</w:t>
            </w:r>
          </w:p>
        </w:tc>
      </w:tr>
      <w:tr w:rsidR="00D705A6" w:rsidRPr="002E0BB9" w14:paraId="4A6F6D1A" w14:textId="77777777" w:rsidTr="007D1249">
        <w:trPr>
          <w:trHeight w:val="4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48514C77"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207</w:t>
            </w:r>
          </w:p>
        </w:tc>
        <w:tc>
          <w:tcPr>
            <w:tcW w:w="560" w:type="dxa"/>
            <w:tcBorders>
              <w:top w:val="nil"/>
              <w:left w:val="nil"/>
              <w:bottom w:val="single" w:sz="4" w:space="0" w:color="auto"/>
              <w:right w:val="single" w:sz="4" w:space="0" w:color="auto"/>
            </w:tcBorders>
            <w:shd w:val="clear" w:color="000000" w:fill="F2F2F2"/>
            <w:noWrap/>
            <w:vAlign w:val="center"/>
            <w:hideMark/>
          </w:tcPr>
          <w:p w14:paraId="71EF3D4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26178</w:t>
            </w:r>
          </w:p>
        </w:tc>
        <w:tc>
          <w:tcPr>
            <w:tcW w:w="920" w:type="dxa"/>
            <w:tcBorders>
              <w:top w:val="nil"/>
              <w:left w:val="nil"/>
              <w:bottom w:val="single" w:sz="4" w:space="0" w:color="auto"/>
              <w:right w:val="single" w:sz="4" w:space="0" w:color="auto"/>
            </w:tcBorders>
            <w:shd w:val="clear" w:color="000000" w:fill="F2F2F2"/>
            <w:noWrap/>
            <w:vAlign w:val="center"/>
            <w:hideMark/>
          </w:tcPr>
          <w:p w14:paraId="020EDB0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900555031</w:t>
            </w:r>
          </w:p>
        </w:tc>
        <w:tc>
          <w:tcPr>
            <w:tcW w:w="2180" w:type="dxa"/>
            <w:tcBorders>
              <w:top w:val="nil"/>
              <w:left w:val="nil"/>
              <w:bottom w:val="single" w:sz="4" w:space="0" w:color="auto"/>
              <w:right w:val="single" w:sz="4" w:space="0" w:color="auto"/>
            </w:tcBorders>
            <w:shd w:val="clear" w:color="000000" w:fill="F2F2F2"/>
            <w:vAlign w:val="center"/>
            <w:hideMark/>
          </w:tcPr>
          <w:p w14:paraId="0EF4AC47"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KRONOS ENERGY S.A. E.S.P.</w:t>
            </w:r>
          </w:p>
        </w:tc>
        <w:tc>
          <w:tcPr>
            <w:tcW w:w="1520" w:type="dxa"/>
            <w:tcBorders>
              <w:top w:val="nil"/>
              <w:left w:val="nil"/>
              <w:bottom w:val="single" w:sz="4" w:space="0" w:color="auto"/>
              <w:right w:val="single" w:sz="4" w:space="0" w:color="auto"/>
            </w:tcBorders>
            <w:shd w:val="clear" w:color="000000" w:fill="F2F2F2"/>
            <w:noWrap/>
            <w:vAlign w:val="center"/>
            <w:hideMark/>
          </w:tcPr>
          <w:p w14:paraId="5B81DD6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$ 3.451.722.000</w:t>
            </w:r>
          </w:p>
        </w:tc>
        <w:tc>
          <w:tcPr>
            <w:tcW w:w="1440" w:type="dxa"/>
            <w:tcBorders>
              <w:top w:val="nil"/>
              <w:left w:val="nil"/>
              <w:bottom w:val="single" w:sz="4" w:space="0" w:color="auto"/>
              <w:right w:val="single" w:sz="4" w:space="0" w:color="auto"/>
            </w:tcBorders>
            <w:shd w:val="clear" w:color="000000" w:fill="F2F2F2"/>
            <w:noWrap/>
            <w:vAlign w:val="center"/>
            <w:hideMark/>
          </w:tcPr>
          <w:p w14:paraId="2016F54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$ 92.230.754</w:t>
            </w:r>
          </w:p>
        </w:tc>
        <w:tc>
          <w:tcPr>
            <w:tcW w:w="1460" w:type="dxa"/>
            <w:tcBorders>
              <w:top w:val="nil"/>
              <w:left w:val="nil"/>
              <w:bottom w:val="single" w:sz="4" w:space="0" w:color="auto"/>
              <w:right w:val="single" w:sz="4" w:space="0" w:color="auto"/>
            </w:tcBorders>
            <w:shd w:val="clear" w:color="000000" w:fill="F2F2F2"/>
            <w:noWrap/>
            <w:vAlign w:val="center"/>
            <w:hideMark/>
          </w:tcPr>
          <w:p w14:paraId="2BCCAE96"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$ 3.543.952.754</w:t>
            </w:r>
          </w:p>
        </w:tc>
        <w:tc>
          <w:tcPr>
            <w:tcW w:w="1260" w:type="dxa"/>
            <w:tcBorders>
              <w:top w:val="nil"/>
              <w:left w:val="nil"/>
              <w:bottom w:val="single" w:sz="4" w:space="0" w:color="auto"/>
              <w:right w:val="single" w:sz="4" w:space="0" w:color="auto"/>
            </w:tcBorders>
            <w:shd w:val="clear" w:color="000000" w:fill="F2F2F2"/>
            <w:noWrap/>
            <w:vAlign w:val="center"/>
            <w:hideMark/>
          </w:tcPr>
          <w:p w14:paraId="66528BC1"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$ 35.439.528</w:t>
            </w:r>
          </w:p>
        </w:tc>
        <w:tc>
          <w:tcPr>
            <w:tcW w:w="1120" w:type="dxa"/>
            <w:tcBorders>
              <w:top w:val="nil"/>
              <w:left w:val="nil"/>
              <w:bottom w:val="single" w:sz="4" w:space="0" w:color="auto"/>
              <w:right w:val="single" w:sz="4" w:space="0" w:color="auto"/>
            </w:tcBorders>
            <w:shd w:val="clear" w:color="000000" w:fill="F2F2F2"/>
            <w:noWrap/>
            <w:vAlign w:val="center"/>
            <w:hideMark/>
          </w:tcPr>
          <w:p w14:paraId="07C84E1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$ 1.475</w:t>
            </w:r>
          </w:p>
        </w:tc>
        <w:tc>
          <w:tcPr>
            <w:tcW w:w="1260" w:type="dxa"/>
            <w:tcBorders>
              <w:top w:val="nil"/>
              <w:left w:val="nil"/>
              <w:bottom w:val="single" w:sz="4" w:space="0" w:color="auto"/>
              <w:right w:val="single" w:sz="4" w:space="0" w:color="auto"/>
            </w:tcBorders>
            <w:shd w:val="clear" w:color="000000" w:fill="F2F2F2"/>
            <w:noWrap/>
            <w:vAlign w:val="center"/>
            <w:hideMark/>
          </w:tcPr>
          <w:p w14:paraId="2A68C68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$ 35.441.002</w:t>
            </w:r>
          </w:p>
        </w:tc>
        <w:tc>
          <w:tcPr>
            <w:tcW w:w="1920" w:type="dxa"/>
            <w:tcBorders>
              <w:top w:val="nil"/>
              <w:left w:val="nil"/>
              <w:bottom w:val="single" w:sz="4" w:space="0" w:color="auto"/>
              <w:right w:val="single" w:sz="4" w:space="0" w:color="auto"/>
            </w:tcBorders>
            <w:shd w:val="clear" w:color="000000" w:fill="F2F2F2"/>
            <w:vAlign w:val="center"/>
            <w:hideMark/>
          </w:tcPr>
          <w:p w14:paraId="10954B1E"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GAS POR REDES</w:t>
            </w:r>
          </w:p>
        </w:tc>
      </w:tr>
      <w:tr w:rsidR="00D705A6" w:rsidRPr="002E0BB9" w14:paraId="72F69E09" w14:textId="77777777" w:rsidTr="007D1249">
        <w:trPr>
          <w:trHeight w:val="2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2FB968EB"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208</w:t>
            </w:r>
          </w:p>
        </w:tc>
        <w:tc>
          <w:tcPr>
            <w:tcW w:w="560" w:type="dxa"/>
            <w:tcBorders>
              <w:top w:val="nil"/>
              <w:left w:val="nil"/>
              <w:bottom w:val="single" w:sz="4" w:space="0" w:color="auto"/>
              <w:right w:val="single" w:sz="4" w:space="0" w:color="auto"/>
            </w:tcBorders>
            <w:shd w:val="clear" w:color="000000" w:fill="F2F2F2"/>
            <w:noWrap/>
            <w:vAlign w:val="center"/>
            <w:hideMark/>
          </w:tcPr>
          <w:p w14:paraId="76FADD7A"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26201</w:t>
            </w:r>
          </w:p>
        </w:tc>
        <w:tc>
          <w:tcPr>
            <w:tcW w:w="920" w:type="dxa"/>
            <w:tcBorders>
              <w:top w:val="nil"/>
              <w:left w:val="nil"/>
              <w:bottom w:val="single" w:sz="4" w:space="0" w:color="auto"/>
              <w:right w:val="single" w:sz="4" w:space="0" w:color="auto"/>
            </w:tcBorders>
            <w:shd w:val="clear" w:color="000000" w:fill="F2F2F2"/>
            <w:noWrap/>
            <w:vAlign w:val="center"/>
            <w:hideMark/>
          </w:tcPr>
          <w:p w14:paraId="110F96EC"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900563448</w:t>
            </w:r>
          </w:p>
        </w:tc>
        <w:tc>
          <w:tcPr>
            <w:tcW w:w="2180" w:type="dxa"/>
            <w:tcBorders>
              <w:top w:val="nil"/>
              <w:left w:val="nil"/>
              <w:bottom w:val="single" w:sz="4" w:space="0" w:color="auto"/>
              <w:right w:val="single" w:sz="4" w:space="0" w:color="auto"/>
            </w:tcBorders>
            <w:shd w:val="clear" w:color="000000" w:fill="F2F2F2"/>
            <w:vAlign w:val="center"/>
            <w:hideMark/>
          </w:tcPr>
          <w:p w14:paraId="1E1D8A1E"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DISTICON SAS ESP</w:t>
            </w:r>
          </w:p>
        </w:tc>
        <w:tc>
          <w:tcPr>
            <w:tcW w:w="1520" w:type="dxa"/>
            <w:tcBorders>
              <w:top w:val="nil"/>
              <w:left w:val="nil"/>
              <w:bottom w:val="single" w:sz="4" w:space="0" w:color="auto"/>
              <w:right w:val="single" w:sz="4" w:space="0" w:color="auto"/>
            </w:tcBorders>
            <w:shd w:val="clear" w:color="000000" w:fill="F2F2F2"/>
            <w:noWrap/>
            <w:vAlign w:val="center"/>
            <w:hideMark/>
          </w:tcPr>
          <w:p w14:paraId="6E486515"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$ 357.445.000</w:t>
            </w:r>
          </w:p>
        </w:tc>
        <w:tc>
          <w:tcPr>
            <w:tcW w:w="1440" w:type="dxa"/>
            <w:tcBorders>
              <w:top w:val="nil"/>
              <w:left w:val="nil"/>
              <w:bottom w:val="single" w:sz="4" w:space="0" w:color="auto"/>
              <w:right w:val="single" w:sz="4" w:space="0" w:color="auto"/>
            </w:tcBorders>
            <w:shd w:val="clear" w:color="000000" w:fill="F2F2F2"/>
            <w:noWrap/>
            <w:vAlign w:val="center"/>
            <w:hideMark/>
          </w:tcPr>
          <w:p w14:paraId="6A5ABBB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$ 2.187.198</w:t>
            </w:r>
          </w:p>
        </w:tc>
        <w:tc>
          <w:tcPr>
            <w:tcW w:w="1460" w:type="dxa"/>
            <w:tcBorders>
              <w:top w:val="nil"/>
              <w:left w:val="nil"/>
              <w:bottom w:val="single" w:sz="4" w:space="0" w:color="auto"/>
              <w:right w:val="single" w:sz="4" w:space="0" w:color="auto"/>
            </w:tcBorders>
            <w:shd w:val="clear" w:color="000000" w:fill="F2F2F2"/>
            <w:noWrap/>
            <w:vAlign w:val="center"/>
            <w:hideMark/>
          </w:tcPr>
          <w:p w14:paraId="35DFE9F1"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$ 359.632.198</w:t>
            </w:r>
          </w:p>
        </w:tc>
        <w:tc>
          <w:tcPr>
            <w:tcW w:w="1260" w:type="dxa"/>
            <w:tcBorders>
              <w:top w:val="nil"/>
              <w:left w:val="nil"/>
              <w:bottom w:val="single" w:sz="4" w:space="0" w:color="auto"/>
              <w:right w:val="single" w:sz="4" w:space="0" w:color="auto"/>
            </w:tcBorders>
            <w:shd w:val="clear" w:color="000000" w:fill="F2F2F2"/>
            <w:noWrap/>
            <w:vAlign w:val="center"/>
            <w:hideMark/>
          </w:tcPr>
          <w:p w14:paraId="6A1E9E8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$ 3.596.322</w:t>
            </w:r>
          </w:p>
        </w:tc>
        <w:tc>
          <w:tcPr>
            <w:tcW w:w="1120" w:type="dxa"/>
            <w:tcBorders>
              <w:top w:val="nil"/>
              <w:left w:val="nil"/>
              <w:bottom w:val="single" w:sz="4" w:space="0" w:color="auto"/>
              <w:right w:val="single" w:sz="4" w:space="0" w:color="auto"/>
            </w:tcBorders>
            <w:shd w:val="clear" w:color="000000" w:fill="F2F2F2"/>
            <w:noWrap/>
            <w:vAlign w:val="center"/>
            <w:hideMark/>
          </w:tcPr>
          <w:p w14:paraId="33B5D64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$ 150</w:t>
            </w:r>
          </w:p>
        </w:tc>
        <w:tc>
          <w:tcPr>
            <w:tcW w:w="1260" w:type="dxa"/>
            <w:tcBorders>
              <w:top w:val="nil"/>
              <w:left w:val="nil"/>
              <w:bottom w:val="single" w:sz="4" w:space="0" w:color="auto"/>
              <w:right w:val="single" w:sz="4" w:space="0" w:color="auto"/>
            </w:tcBorders>
            <w:shd w:val="clear" w:color="000000" w:fill="F2F2F2"/>
            <w:noWrap/>
            <w:vAlign w:val="center"/>
            <w:hideMark/>
          </w:tcPr>
          <w:p w14:paraId="61E92A3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$ 3.596.472</w:t>
            </w:r>
          </w:p>
        </w:tc>
        <w:tc>
          <w:tcPr>
            <w:tcW w:w="1920" w:type="dxa"/>
            <w:tcBorders>
              <w:top w:val="nil"/>
              <w:left w:val="nil"/>
              <w:bottom w:val="single" w:sz="4" w:space="0" w:color="auto"/>
              <w:right w:val="single" w:sz="4" w:space="0" w:color="auto"/>
            </w:tcBorders>
            <w:shd w:val="clear" w:color="000000" w:fill="F2F2F2"/>
            <w:vAlign w:val="center"/>
            <w:hideMark/>
          </w:tcPr>
          <w:p w14:paraId="49057F6F"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GAS POR REDES</w:t>
            </w:r>
          </w:p>
        </w:tc>
      </w:tr>
      <w:tr w:rsidR="00D705A6" w:rsidRPr="002E0BB9" w14:paraId="31553A79" w14:textId="77777777" w:rsidTr="00053706">
        <w:trPr>
          <w:trHeight w:val="297"/>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7A19C1DE"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209</w:t>
            </w:r>
          </w:p>
        </w:tc>
        <w:tc>
          <w:tcPr>
            <w:tcW w:w="560" w:type="dxa"/>
            <w:tcBorders>
              <w:top w:val="nil"/>
              <w:left w:val="nil"/>
              <w:bottom w:val="single" w:sz="4" w:space="0" w:color="auto"/>
              <w:right w:val="single" w:sz="4" w:space="0" w:color="auto"/>
            </w:tcBorders>
            <w:shd w:val="clear" w:color="000000" w:fill="F2F2F2"/>
            <w:noWrap/>
            <w:vAlign w:val="center"/>
            <w:hideMark/>
          </w:tcPr>
          <w:p w14:paraId="492F5291"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26226</w:t>
            </w:r>
          </w:p>
        </w:tc>
        <w:tc>
          <w:tcPr>
            <w:tcW w:w="920" w:type="dxa"/>
            <w:tcBorders>
              <w:top w:val="nil"/>
              <w:left w:val="nil"/>
              <w:bottom w:val="single" w:sz="4" w:space="0" w:color="auto"/>
              <w:right w:val="single" w:sz="4" w:space="0" w:color="auto"/>
            </w:tcBorders>
            <w:shd w:val="clear" w:color="000000" w:fill="F2F2F2"/>
            <w:noWrap/>
            <w:vAlign w:val="center"/>
            <w:hideMark/>
          </w:tcPr>
          <w:p w14:paraId="377F545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900565871</w:t>
            </w:r>
          </w:p>
        </w:tc>
        <w:tc>
          <w:tcPr>
            <w:tcW w:w="2180" w:type="dxa"/>
            <w:tcBorders>
              <w:top w:val="nil"/>
              <w:left w:val="nil"/>
              <w:bottom w:val="single" w:sz="4" w:space="0" w:color="auto"/>
              <w:right w:val="single" w:sz="4" w:space="0" w:color="auto"/>
            </w:tcBorders>
            <w:shd w:val="clear" w:color="000000" w:fill="F2F2F2"/>
            <w:vAlign w:val="center"/>
            <w:hideMark/>
          </w:tcPr>
          <w:p w14:paraId="2AD2D137"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COMPROPANO SOCIEDAD POR ACCIONES SIMPLIFICADA E.</w:t>
            </w:r>
            <w:proofErr w:type="gramStart"/>
            <w:r w:rsidRPr="002E0BB9">
              <w:rPr>
                <w:rFonts w:ascii="Arial Narrow" w:hAnsi="Arial Narrow" w:cs="Arial"/>
                <w:spacing w:val="0"/>
                <w:sz w:val="16"/>
                <w:szCs w:val="16"/>
                <w:lang w:val="es-MX" w:eastAsia="es-MX"/>
              </w:rPr>
              <w:t>S.P</w:t>
            </w:r>
            <w:proofErr w:type="gramEnd"/>
          </w:p>
        </w:tc>
        <w:tc>
          <w:tcPr>
            <w:tcW w:w="1520" w:type="dxa"/>
            <w:tcBorders>
              <w:top w:val="nil"/>
              <w:left w:val="nil"/>
              <w:bottom w:val="single" w:sz="4" w:space="0" w:color="auto"/>
              <w:right w:val="single" w:sz="4" w:space="0" w:color="auto"/>
            </w:tcBorders>
            <w:shd w:val="clear" w:color="000000" w:fill="F2F2F2"/>
            <w:noWrap/>
            <w:vAlign w:val="center"/>
            <w:hideMark/>
          </w:tcPr>
          <w:p w14:paraId="74B0F562"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$ 163.619.000</w:t>
            </w:r>
          </w:p>
        </w:tc>
        <w:tc>
          <w:tcPr>
            <w:tcW w:w="1440" w:type="dxa"/>
            <w:tcBorders>
              <w:top w:val="nil"/>
              <w:left w:val="nil"/>
              <w:bottom w:val="single" w:sz="4" w:space="0" w:color="auto"/>
              <w:right w:val="single" w:sz="4" w:space="0" w:color="auto"/>
            </w:tcBorders>
            <w:shd w:val="clear" w:color="000000" w:fill="F2F2F2"/>
            <w:noWrap/>
            <w:vAlign w:val="center"/>
            <w:hideMark/>
          </w:tcPr>
          <w:p w14:paraId="43C2989A"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$ 19.094.110</w:t>
            </w:r>
          </w:p>
        </w:tc>
        <w:tc>
          <w:tcPr>
            <w:tcW w:w="1460" w:type="dxa"/>
            <w:tcBorders>
              <w:top w:val="nil"/>
              <w:left w:val="nil"/>
              <w:bottom w:val="single" w:sz="4" w:space="0" w:color="auto"/>
              <w:right w:val="single" w:sz="4" w:space="0" w:color="auto"/>
            </w:tcBorders>
            <w:shd w:val="clear" w:color="000000" w:fill="F2F2F2"/>
            <w:noWrap/>
            <w:vAlign w:val="center"/>
            <w:hideMark/>
          </w:tcPr>
          <w:p w14:paraId="1B652A4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$ 182.713.110</w:t>
            </w:r>
          </w:p>
        </w:tc>
        <w:tc>
          <w:tcPr>
            <w:tcW w:w="1260" w:type="dxa"/>
            <w:tcBorders>
              <w:top w:val="nil"/>
              <w:left w:val="nil"/>
              <w:bottom w:val="single" w:sz="4" w:space="0" w:color="auto"/>
              <w:right w:val="single" w:sz="4" w:space="0" w:color="auto"/>
            </w:tcBorders>
            <w:shd w:val="clear" w:color="000000" w:fill="F2F2F2"/>
            <w:noWrap/>
            <w:vAlign w:val="center"/>
            <w:hideMark/>
          </w:tcPr>
          <w:p w14:paraId="1313D9E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$ 1.827.131</w:t>
            </w:r>
          </w:p>
        </w:tc>
        <w:tc>
          <w:tcPr>
            <w:tcW w:w="1120" w:type="dxa"/>
            <w:tcBorders>
              <w:top w:val="nil"/>
              <w:left w:val="nil"/>
              <w:bottom w:val="single" w:sz="4" w:space="0" w:color="auto"/>
              <w:right w:val="single" w:sz="4" w:space="0" w:color="auto"/>
            </w:tcBorders>
            <w:shd w:val="clear" w:color="000000" w:fill="F2F2F2"/>
            <w:noWrap/>
            <w:vAlign w:val="center"/>
            <w:hideMark/>
          </w:tcPr>
          <w:p w14:paraId="7B9C6E2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$ 76</w:t>
            </w:r>
          </w:p>
        </w:tc>
        <w:tc>
          <w:tcPr>
            <w:tcW w:w="1260" w:type="dxa"/>
            <w:tcBorders>
              <w:top w:val="nil"/>
              <w:left w:val="nil"/>
              <w:bottom w:val="single" w:sz="4" w:space="0" w:color="auto"/>
              <w:right w:val="single" w:sz="4" w:space="0" w:color="auto"/>
            </w:tcBorders>
            <w:shd w:val="clear" w:color="000000" w:fill="F2F2F2"/>
            <w:noWrap/>
            <w:vAlign w:val="center"/>
            <w:hideMark/>
          </w:tcPr>
          <w:p w14:paraId="3B39CCB1"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$ 1.827.207</w:t>
            </w:r>
          </w:p>
        </w:tc>
        <w:tc>
          <w:tcPr>
            <w:tcW w:w="1920" w:type="dxa"/>
            <w:tcBorders>
              <w:top w:val="nil"/>
              <w:left w:val="nil"/>
              <w:bottom w:val="single" w:sz="4" w:space="0" w:color="auto"/>
              <w:right w:val="single" w:sz="4" w:space="0" w:color="auto"/>
            </w:tcBorders>
            <w:shd w:val="clear" w:color="000000" w:fill="F2F2F2"/>
            <w:vAlign w:val="center"/>
            <w:hideMark/>
          </w:tcPr>
          <w:p w14:paraId="336E80F0"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GAS LICUADO DEL PETROLEO</w:t>
            </w:r>
          </w:p>
        </w:tc>
      </w:tr>
      <w:tr w:rsidR="00D705A6" w:rsidRPr="002E0BB9" w14:paraId="2FA30809" w14:textId="77777777" w:rsidTr="007D1249">
        <w:trPr>
          <w:trHeight w:val="4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2DB11225"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210</w:t>
            </w:r>
          </w:p>
        </w:tc>
        <w:tc>
          <w:tcPr>
            <w:tcW w:w="560" w:type="dxa"/>
            <w:tcBorders>
              <w:top w:val="nil"/>
              <w:left w:val="nil"/>
              <w:bottom w:val="single" w:sz="4" w:space="0" w:color="auto"/>
              <w:right w:val="single" w:sz="4" w:space="0" w:color="auto"/>
            </w:tcBorders>
            <w:shd w:val="clear" w:color="000000" w:fill="F2F2F2"/>
            <w:noWrap/>
            <w:vAlign w:val="center"/>
            <w:hideMark/>
          </w:tcPr>
          <w:p w14:paraId="7D11D547"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26219</w:t>
            </w:r>
          </w:p>
        </w:tc>
        <w:tc>
          <w:tcPr>
            <w:tcW w:w="920" w:type="dxa"/>
            <w:tcBorders>
              <w:top w:val="nil"/>
              <w:left w:val="nil"/>
              <w:bottom w:val="single" w:sz="4" w:space="0" w:color="auto"/>
              <w:right w:val="single" w:sz="4" w:space="0" w:color="auto"/>
            </w:tcBorders>
            <w:shd w:val="clear" w:color="000000" w:fill="F2F2F2"/>
            <w:noWrap/>
            <w:vAlign w:val="center"/>
            <w:hideMark/>
          </w:tcPr>
          <w:p w14:paraId="302FFBB5"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900566834</w:t>
            </w:r>
          </w:p>
        </w:tc>
        <w:tc>
          <w:tcPr>
            <w:tcW w:w="2180" w:type="dxa"/>
            <w:tcBorders>
              <w:top w:val="nil"/>
              <w:left w:val="nil"/>
              <w:bottom w:val="single" w:sz="4" w:space="0" w:color="auto"/>
              <w:right w:val="single" w:sz="4" w:space="0" w:color="auto"/>
            </w:tcBorders>
            <w:shd w:val="clear" w:color="000000" w:fill="F2F2F2"/>
            <w:vAlign w:val="center"/>
            <w:hideMark/>
          </w:tcPr>
          <w:p w14:paraId="3BD80C6C"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GAS EXPRESS COLOMBIA SAS ESP</w:t>
            </w:r>
          </w:p>
        </w:tc>
        <w:tc>
          <w:tcPr>
            <w:tcW w:w="1520" w:type="dxa"/>
            <w:tcBorders>
              <w:top w:val="nil"/>
              <w:left w:val="nil"/>
              <w:bottom w:val="single" w:sz="4" w:space="0" w:color="auto"/>
              <w:right w:val="single" w:sz="4" w:space="0" w:color="auto"/>
            </w:tcBorders>
            <w:shd w:val="clear" w:color="000000" w:fill="F2F2F2"/>
            <w:noWrap/>
            <w:vAlign w:val="center"/>
            <w:hideMark/>
          </w:tcPr>
          <w:p w14:paraId="6A61518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$ 220.307.000</w:t>
            </w:r>
          </w:p>
        </w:tc>
        <w:tc>
          <w:tcPr>
            <w:tcW w:w="1440" w:type="dxa"/>
            <w:tcBorders>
              <w:top w:val="nil"/>
              <w:left w:val="nil"/>
              <w:bottom w:val="single" w:sz="4" w:space="0" w:color="auto"/>
              <w:right w:val="single" w:sz="4" w:space="0" w:color="auto"/>
            </w:tcBorders>
            <w:shd w:val="clear" w:color="000000" w:fill="F2F2F2"/>
            <w:noWrap/>
            <w:vAlign w:val="center"/>
            <w:hideMark/>
          </w:tcPr>
          <w:p w14:paraId="32811D5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$ 18.993.320</w:t>
            </w:r>
          </w:p>
        </w:tc>
        <w:tc>
          <w:tcPr>
            <w:tcW w:w="1460" w:type="dxa"/>
            <w:tcBorders>
              <w:top w:val="nil"/>
              <w:left w:val="nil"/>
              <w:bottom w:val="single" w:sz="4" w:space="0" w:color="auto"/>
              <w:right w:val="single" w:sz="4" w:space="0" w:color="auto"/>
            </w:tcBorders>
            <w:shd w:val="clear" w:color="000000" w:fill="F2F2F2"/>
            <w:noWrap/>
            <w:vAlign w:val="center"/>
            <w:hideMark/>
          </w:tcPr>
          <w:p w14:paraId="1E4EFA55"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$ 239.300.320</w:t>
            </w:r>
          </w:p>
        </w:tc>
        <w:tc>
          <w:tcPr>
            <w:tcW w:w="1260" w:type="dxa"/>
            <w:tcBorders>
              <w:top w:val="nil"/>
              <w:left w:val="nil"/>
              <w:bottom w:val="single" w:sz="4" w:space="0" w:color="auto"/>
              <w:right w:val="single" w:sz="4" w:space="0" w:color="auto"/>
            </w:tcBorders>
            <w:shd w:val="clear" w:color="000000" w:fill="F2F2F2"/>
            <w:noWrap/>
            <w:vAlign w:val="center"/>
            <w:hideMark/>
          </w:tcPr>
          <w:p w14:paraId="56E6480C"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$ 2.393.003</w:t>
            </w:r>
          </w:p>
        </w:tc>
        <w:tc>
          <w:tcPr>
            <w:tcW w:w="1120" w:type="dxa"/>
            <w:tcBorders>
              <w:top w:val="nil"/>
              <w:left w:val="nil"/>
              <w:bottom w:val="single" w:sz="4" w:space="0" w:color="auto"/>
              <w:right w:val="single" w:sz="4" w:space="0" w:color="auto"/>
            </w:tcBorders>
            <w:shd w:val="clear" w:color="000000" w:fill="F2F2F2"/>
            <w:noWrap/>
            <w:vAlign w:val="center"/>
            <w:hideMark/>
          </w:tcPr>
          <w:p w14:paraId="5B66E4E6"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$ 100</w:t>
            </w:r>
          </w:p>
        </w:tc>
        <w:tc>
          <w:tcPr>
            <w:tcW w:w="1260" w:type="dxa"/>
            <w:tcBorders>
              <w:top w:val="nil"/>
              <w:left w:val="nil"/>
              <w:bottom w:val="single" w:sz="4" w:space="0" w:color="auto"/>
              <w:right w:val="single" w:sz="4" w:space="0" w:color="auto"/>
            </w:tcBorders>
            <w:shd w:val="clear" w:color="000000" w:fill="F2F2F2"/>
            <w:noWrap/>
            <w:vAlign w:val="center"/>
            <w:hideMark/>
          </w:tcPr>
          <w:p w14:paraId="1568450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$ 2.393.103</w:t>
            </w:r>
          </w:p>
        </w:tc>
        <w:tc>
          <w:tcPr>
            <w:tcW w:w="1920" w:type="dxa"/>
            <w:tcBorders>
              <w:top w:val="nil"/>
              <w:left w:val="nil"/>
              <w:bottom w:val="single" w:sz="4" w:space="0" w:color="auto"/>
              <w:right w:val="single" w:sz="4" w:space="0" w:color="auto"/>
            </w:tcBorders>
            <w:shd w:val="clear" w:color="000000" w:fill="F2F2F2"/>
            <w:vAlign w:val="center"/>
            <w:hideMark/>
          </w:tcPr>
          <w:p w14:paraId="5C2C6EC9"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GAS LICUADO DEL PETROLEO</w:t>
            </w:r>
          </w:p>
        </w:tc>
      </w:tr>
      <w:tr w:rsidR="00D705A6" w:rsidRPr="002E0BB9" w14:paraId="4A2247E4" w14:textId="77777777" w:rsidTr="0022053E">
        <w:trPr>
          <w:trHeight w:val="366"/>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1C781425"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211</w:t>
            </w:r>
          </w:p>
        </w:tc>
        <w:tc>
          <w:tcPr>
            <w:tcW w:w="560" w:type="dxa"/>
            <w:tcBorders>
              <w:top w:val="nil"/>
              <w:left w:val="nil"/>
              <w:bottom w:val="single" w:sz="4" w:space="0" w:color="auto"/>
              <w:right w:val="single" w:sz="4" w:space="0" w:color="auto"/>
            </w:tcBorders>
            <w:shd w:val="clear" w:color="000000" w:fill="F2F2F2"/>
            <w:noWrap/>
            <w:vAlign w:val="center"/>
            <w:hideMark/>
          </w:tcPr>
          <w:p w14:paraId="45A97ED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26548</w:t>
            </w:r>
          </w:p>
        </w:tc>
        <w:tc>
          <w:tcPr>
            <w:tcW w:w="920" w:type="dxa"/>
            <w:tcBorders>
              <w:top w:val="nil"/>
              <w:left w:val="nil"/>
              <w:bottom w:val="single" w:sz="4" w:space="0" w:color="auto"/>
              <w:right w:val="single" w:sz="4" w:space="0" w:color="auto"/>
            </w:tcBorders>
            <w:shd w:val="clear" w:color="000000" w:fill="F2F2F2"/>
            <w:noWrap/>
            <w:vAlign w:val="center"/>
            <w:hideMark/>
          </w:tcPr>
          <w:p w14:paraId="12750A0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900570262</w:t>
            </w:r>
          </w:p>
        </w:tc>
        <w:tc>
          <w:tcPr>
            <w:tcW w:w="2180" w:type="dxa"/>
            <w:tcBorders>
              <w:top w:val="nil"/>
              <w:left w:val="nil"/>
              <w:bottom w:val="single" w:sz="4" w:space="0" w:color="auto"/>
              <w:right w:val="single" w:sz="4" w:space="0" w:color="auto"/>
            </w:tcBorders>
            <w:shd w:val="clear" w:color="000000" w:fill="F2F2F2"/>
            <w:vAlign w:val="center"/>
            <w:hideMark/>
          </w:tcPr>
          <w:p w14:paraId="2F0E804B"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GASES ANDINOS DE COLOMBIA S.A.S. E.S.P.</w:t>
            </w:r>
          </w:p>
        </w:tc>
        <w:tc>
          <w:tcPr>
            <w:tcW w:w="1520" w:type="dxa"/>
            <w:tcBorders>
              <w:top w:val="nil"/>
              <w:left w:val="nil"/>
              <w:bottom w:val="single" w:sz="4" w:space="0" w:color="auto"/>
              <w:right w:val="single" w:sz="4" w:space="0" w:color="auto"/>
            </w:tcBorders>
            <w:shd w:val="clear" w:color="000000" w:fill="F2F2F2"/>
            <w:noWrap/>
            <w:vAlign w:val="center"/>
            <w:hideMark/>
          </w:tcPr>
          <w:p w14:paraId="5A5C773D"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$ 216.441.000</w:t>
            </w:r>
          </w:p>
        </w:tc>
        <w:tc>
          <w:tcPr>
            <w:tcW w:w="1440" w:type="dxa"/>
            <w:tcBorders>
              <w:top w:val="nil"/>
              <w:left w:val="nil"/>
              <w:bottom w:val="single" w:sz="4" w:space="0" w:color="auto"/>
              <w:right w:val="single" w:sz="4" w:space="0" w:color="auto"/>
            </w:tcBorders>
            <w:shd w:val="clear" w:color="000000" w:fill="F2F2F2"/>
            <w:noWrap/>
            <w:vAlign w:val="center"/>
            <w:hideMark/>
          </w:tcPr>
          <w:p w14:paraId="28574FA1"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$ 121.204.087</w:t>
            </w:r>
          </w:p>
        </w:tc>
        <w:tc>
          <w:tcPr>
            <w:tcW w:w="1460" w:type="dxa"/>
            <w:tcBorders>
              <w:top w:val="nil"/>
              <w:left w:val="nil"/>
              <w:bottom w:val="single" w:sz="4" w:space="0" w:color="auto"/>
              <w:right w:val="single" w:sz="4" w:space="0" w:color="auto"/>
            </w:tcBorders>
            <w:shd w:val="clear" w:color="000000" w:fill="F2F2F2"/>
            <w:noWrap/>
            <w:vAlign w:val="center"/>
            <w:hideMark/>
          </w:tcPr>
          <w:p w14:paraId="38969F9E"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$ 337.645.087</w:t>
            </w:r>
          </w:p>
        </w:tc>
        <w:tc>
          <w:tcPr>
            <w:tcW w:w="1260" w:type="dxa"/>
            <w:tcBorders>
              <w:top w:val="nil"/>
              <w:left w:val="nil"/>
              <w:bottom w:val="single" w:sz="4" w:space="0" w:color="auto"/>
              <w:right w:val="single" w:sz="4" w:space="0" w:color="auto"/>
            </w:tcBorders>
            <w:shd w:val="clear" w:color="000000" w:fill="F2F2F2"/>
            <w:noWrap/>
            <w:vAlign w:val="center"/>
            <w:hideMark/>
          </w:tcPr>
          <w:p w14:paraId="057638DC"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$ 3.376.451</w:t>
            </w:r>
          </w:p>
        </w:tc>
        <w:tc>
          <w:tcPr>
            <w:tcW w:w="1120" w:type="dxa"/>
            <w:tcBorders>
              <w:top w:val="nil"/>
              <w:left w:val="nil"/>
              <w:bottom w:val="single" w:sz="4" w:space="0" w:color="auto"/>
              <w:right w:val="single" w:sz="4" w:space="0" w:color="auto"/>
            </w:tcBorders>
            <w:shd w:val="clear" w:color="000000" w:fill="F2F2F2"/>
            <w:noWrap/>
            <w:vAlign w:val="center"/>
            <w:hideMark/>
          </w:tcPr>
          <w:p w14:paraId="236FF5D6"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$ 141</w:t>
            </w:r>
          </w:p>
        </w:tc>
        <w:tc>
          <w:tcPr>
            <w:tcW w:w="1260" w:type="dxa"/>
            <w:tcBorders>
              <w:top w:val="nil"/>
              <w:left w:val="nil"/>
              <w:bottom w:val="single" w:sz="4" w:space="0" w:color="auto"/>
              <w:right w:val="single" w:sz="4" w:space="0" w:color="auto"/>
            </w:tcBorders>
            <w:shd w:val="clear" w:color="000000" w:fill="F2F2F2"/>
            <w:noWrap/>
            <w:vAlign w:val="center"/>
            <w:hideMark/>
          </w:tcPr>
          <w:p w14:paraId="1936E92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$ 3.376.591</w:t>
            </w:r>
          </w:p>
        </w:tc>
        <w:tc>
          <w:tcPr>
            <w:tcW w:w="1920" w:type="dxa"/>
            <w:tcBorders>
              <w:top w:val="nil"/>
              <w:left w:val="nil"/>
              <w:bottom w:val="single" w:sz="4" w:space="0" w:color="auto"/>
              <w:right w:val="single" w:sz="4" w:space="0" w:color="auto"/>
            </w:tcBorders>
            <w:shd w:val="clear" w:color="000000" w:fill="F2F2F2"/>
            <w:vAlign w:val="center"/>
            <w:hideMark/>
          </w:tcPr>
          <w:p w14:paraId="6A9AA7BF"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GAS LICUADO DEL PETROLEO - GAS POR REDES</w:t>
            </w:r>
          </w:p>
        </w:tc>
      </w:tr>
      <w:tr w:rsidR="00D705A6" w:rsidRPr="002E0BB9" w14:paraId="4886FF4D" w14:textId="77777777" w:rsidTr="007D1249">
        <w:trPr>
          <w:trHeight w:val="6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202CD92F"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212</w:t>
            </w:r>
          </w:p>
        </w:tc>
        <w:tc>
          <w:tcPr>
            <w:tcW w:w="560" w:type="dxa"/>
            <w:tcBorders>
              <w:top w:val="nil"/>
              <w:left w:val="nil"/>
              <w:bottom w:val="single" w:sz="4" w:space="0" w:color="auto"/>
              <w:right w:val="single" w:sz="4" w:space="0" w:color="auto"/>
            </w:tcBorders>
            <w:shd w:val="clear" w:color="000000" w:fill="F2F2F2"/>
            <w:noWrap/>
            <w:vAlign w:val="center"/>
            <w:hideMark/>
          </w:tcPr>
          <w:p w14:paraId="7394B45E"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26237</w:t>
            </w:r>
          </w:p>
        </w:tc>
        <w:tc>
          <w:tcPr>
            <w:tcW w:w="920" w:type="dxa"/>
            <w:tcBorders>
              <w:top w:val="nil"/>
              <w:left w:val="nil"/>
              <w:bottom w:val="single" w:sz="4" w:space="0" w:color="auto"/>
              <w:right w:val="single" w:sz="4" w:space="0" w:color="auto"/>
            </w:tcBorders>
            <w:shd w:val="clear" w:color="000000" w:fill="F2F2F2"/>
            <w:noWrap/>
            <w:vAlign w:val="center"/>
            <w:hideMark/>
          </w:tcPr>
          <w:p w14:paraId="2AD8614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900572958</w:t>
            </w:r>
          </w:p>
        </w:tc>
        <w:tc>
          <w:tcPr>
            <w:tcW w:w="2180" w:type="dxa"/>
            <w:tcBorders>
              <w:top w:val="nil"/>
              <w:left w:val="nil"/>
              <w:bottom w:val="single" w:sz="4" w:space="0" w:color="auto"/>
              <w:right w:val="single" w:sz="4" w:space="0" w:color="auto"/>
            </w:tcBorders>
            <w:shd w:val="clear" w:color="000000" w:fill="F2F2F2"/>
            <w:vAlign w:val="center"/>
            <w:hideMark/>
          </w:tcPr>
          <w:p w14:paraId="4A17ABB1"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COMERCIALIZADORA DE COMBUSTIBLES, ENERGIA Y GAS S.A.S.  E.S.P.</w:t>
            </w:r>
          </w:p>
        </w:tc>
        <w:tc>
          <w:tcPr>
            <w:tcW w:w="1520" w:type="dxa"/>
            <w:tcBorders>
              <w:top w:val="nil"/>
              <w:left w:val="nil"/>
              <w:bottom w:val="single" w:sz="4" w:space="0" w:color="auto"/>
              <w:right w:val="single" w:sz="4" w:space="0" w:color="auto"/>
            </w:tcBorders>
            <w:shd w:val="clear" w:color="000000" w:fill="F2F2F2"/>
            <w:noWrap/>
            <w:vAlign w:val="center"/>
            <w:hideMark/>
          </w:tcPr>
          <w:p w14:paraId="09227E2B"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$ 657.322.000</w:t>
            </w:r>
          </w:p>
        </w:tc>
        <w:tc>
          <w:tcPr>
            <w:tcW w:w="1440" w:type="dxa"/>
            <w:tcBorders>
              <w:top w:val="nil"/>
              <w:left w:val="nil"/>
              <w:bottom w:val="single" w:sz="4" w:space="0" w:color="auto"/>
              <w:right w:val="single" w:sz="4" w:space="0" w:color="auto"/>
            </w:tcBorders>
            <w:shd w:val="clear" w:color="000000" w:fill="F2F2F2"/>
            <w:noWrap/>
            <w:vAlign w:val="center"/>
            <w:hideMark/>
          </w:tcPr>
          <w:p w14:paraId="0B4EFB6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$ 18.155.842</w:t>
            </w:r>
          </w:p>
        </w:tc>
        <w:tc>
          <w:tcPr>
            <w:tcW w:w="1460" w:type="dxa"/>
            <w:tcBorders>
              <w:top w:val="nil"/>
              <w:left w:val="nil"/>
              <w:bottom w:val="single" w:sz="4" w:space="0" w:color="auto"/>
              <w:right w:val="single" w:sz="4" w:space="0" w:color="auto"/>
            </w:tcBorders>
            <w:shd w:val="clear" w:color="000000" w:fill="F2F2F2"/>
            <w:noWrap/>
            <w:vAlign w:val="center"/>
            <w:hideMark/>
          </w:tcPr>
          <w:p w14:paraId="7010938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$ 675.477.842</w:t>
            </w:r>
          </w:p>
        </w:tc>
        <w:tc>
          <w:tcPr>
            <w:tcW w:w="1260" w:type="dxa"/>
            <w:tcBorders>
              <w:top w:val="nil"/>
              <w:left w:val="nil"/>
              <w:bottom w:val="single" w:sz="4" w:space="0" w:color="auto"/>
              <w:right w:val="single" w:sz="4" w:space="0" w:color="auto"/>
            </w:tcBorders>
            <w:shd w:val="clear" w:color="000000" w:fill="F2F2F2"/>
            <w:noWrap/>
            <w:vAlign w:val="center"/>
            <w:hideMark/>
          </w:tcPr>
          <w:p w14:paraId="46F9C4AB"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$ 6.754.778</w:t>
            </w:r>
          </w:p>
        </w:tc>
        <w:tc>
          <w:tcPr>
            <w:tcW w:w="1120" w:type="dxa"/>
            <w:tcBorders>
              <w:top w:val="nil"/>
              <w:left w:val="nil"/>
              <w:bottom w:val="single" w:sz="4" w:space="0" w:color="auto"/>
              <w:right w:val="single" w:sz="4" w:space="0" w:color="auto"/>
            </w:tcBorders>
            <w:shd w:val="clear" w:color="000000" w:fill="F2F2F2"/>
            <w:noWrap/>
            <w:vAlign w:val="center"/>
            <w:hideMark/>
          </w:tcPr>
          <w:p w14:paraId="76FAA75D"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$ 281</w:t>
            </w:r>
          </w:p>
        </w:tc>
        <w:tc>
          <w:tcPr>
            <w:tcW w:w="1260" w:type="dxa"/>
            <w:tcBorders>
              <w:top w:val="nil"/>
              <w:left w:val="nil"/>
              <w:bottom w:val="single" w:sz="4" w:space="0" w:color="auto"/>
              <w:right w:val="single" w:sz="4" w:space="0" w:color="auto"/>
            </w:tcBorders>
            <w:shd w:val="clear" w:color="000000" w:fill="F2F2F2"/>
            <w:noWrap/>
            <w:vAlign w:val="center"/>
            <w:hideMark/>
          </w:tcPr>
          <w:p w14:paraId="08F3936C"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$ 6.755.060</w:t>
            </w:r>
          </w:p>
        </w:tc>
        <w:tc>
          <w:tcPr>
            <w:tcW w:w="1920" w:type="dxa"/>
            <w:tcBorders>
              <w:top w:val="nil"/>
              <w:left w:val="nil"/>
              <w:bottom w:val="single" w:sz="4" w:space="0" w:color="auto"/>
              <w:right w:val="single" w:sz="4" w:space="0" w:color="auto"/>
            </w:tcBorders>
            <w:shd w:val="clear" w:color="000000" w:fill="F2F2F2"/>
            <w:vAlign w:val="center"/>
            <w:hideMark/>
          </w:tcPr>
          <w:p w14:paraId="036B5ACC"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GAS LICUADO DEL PETROLEO - GAS POR REDES</w:t>
            </w:r>
          </w:p>
        </w:tc>
      </w:tr>
      <w:tr w:rsidR="00D705A6" w:rsidRPr="002E0BB9" w14:paraId="76870DE3" w14:textId="77777777" w:rsidTr="007D1249">
        <w:trPr>
          <w:trHeight w:val="4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7DFD19D7"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213</w:t>
            </w:r>
          </w:p>
        </w:tc>
        <w:tc>
          <w:tcPr>
            <w:tcW w:w="560" w:type="dxa"/>
            <w:tcBorders>
              <w:top w:val="nil"/>
              <w:left w:val="nil"/>
              <w:bottom w:val="single" w:sz="4" w:space="0" w:color="auto"/>
              <w:right w:val="single" w:sz="4" w:space="0" w:color="auto"/>
            </w:tcBorders>
            <w:shd w:val="clear" w:color="000000" w:fill="F2F2F2"/>
            <w:noWrap/>
            <w:vAlign w:val="center"/>
            <w:hideMark/>
          </w:tcPr>
          <w:p w14:paraId="71D54A62"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26580</w:t>
            </w:r>
          </w:p>
        </w:tc>
        <w:tc>
          <w:tcPr>
            <w:tcW w:w="920" w:type="dxa"/>
            <w:tcBorders>
              <w:top w:val="nil"/>
              <w:left w:val="nil"/>
              <w:bottom w:val="single" w:sz="4" w:space="0" w:color="auto"/>
              <w:right w:val="single" w:sz="4" w:space="0" w:color="auto"/>
            </w:tcBorders>
            <w:shd w:val="clear" w:color="000000" w:fill="F2F2F2"/>
            <w:noWrap/>
            <w:vAlign w:val="center"/>
            <w:hideMark/>
          </w:tcPr>
          <w:p w14:paraId="1E93866B"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900579800</w:t>
            </w:r>
          </w:p>
        </w:tc>
        <w:tc>
          <w:tcPr>
            <w:tcW w:w="2180" w:type="dxa"/>
            <w:tcBorders>
              <w:top w:val="nil"/>
              <w:left w:val="nil"/>
              <w:bottom w:val="single" w:sz="4" w:space="0" w:color="auto"/>
              <w:right w:val="single" w:sz="4" w:space="0" w:color="auto"/>
            </w:tcBorders>
            <w:shd w:val="clear" w:color="000000" w:fill="F2F2F2"/>
            <w:vAlign w:val="center"/>
            <w:hideMark/>
          </w:tcPr>
          <w:p w14:paraId="1C98713E"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GENSER POWER SAS ESP</w:t>
            </w:r>
          </w:p>
        </w:tc>
        <w:tc>
          <w:tcPr>
            <w:tcW w:w="1520" w:type="dxa"/>
            <w:tcBorders>
              <w:top w:val="nil"/>
              <w:left w:val="nil"/>
              <w:bottom w:val="single" w:sz="4" w:space="0" w:color="auto"/>
              <w:right w:val="single" w:sz="4" w:space="0" w:color="auto"/>
            </w:tcBorders>
            <w:shd w:val="clear" w:color="000000" w:fill="F2F2F2"/>
            <w:noWrap/>
            <w:vAlign w:val="center"/>
            <w:hideMark/>
          </w:tcPr>
          <w:p w14:paraId="1F3D1E1C"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$ 910.083.000</w:t>
            </w:r>
          </w:p>
        </w:tc>
        <w:tc>
          <w:tcPr>
            <w:tcW w:w="1440" w:type="dxa"/>
            <w:tcBorders>
              <w:top w:val="nil"/>
              <w:left w:val="nil"/>
              <w:bottom w:val="single" w:sz="4" w:space="0" w:color="auto"/>
              <w:right w:val="single" w:sz="4" w:space="0" w:color="auto"/>
            </w:tcBorders>
            <w:shd w:val="clear" w:color="000000" w:fill="F2F2F2"/>
            <w:noWrap/>
            <w:vAlign w:val="center"/>
            <w:hideMark/>
          </w:tcPr>
          <w:p w14:paraId="06B8CFB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$ 0</w:t>
            </w:r>
          </w:p>
        </w:tc>
        <w:tc>
          <w:tcPr>
            <w:tcW w:w="1460" w:type="dxa"/>
            <w:tcBorders>
              <w:top w:val="nil"/>
              <w:left w:val="nil"/>
              <w:bottom w:val="single" w:sz="4" w:space="0" w:color="auto"/>
              <w:right w:val="single" w:sz="4" w:space="0" w:color="auto"/>
            </w:tcBorders>
            <w:shd w:val="clear" w:color="000000" w:fill="F2F2F2"/>
            <w:noWrap/>
            <w:vAlign w:val="center"/>
            <w:hideMark/>
          </w:tcPr>
          <w:p w14:paraId="7B04A9FD"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$ 910.083.000</w:t>
            </w:r>
          </w:p>
        </w:tc>
        <w:tc>
          <w:tcPr>
            <w:tcW w:w="1260" w:type="dxa"/>
            <w:tcBorders>
              <w:top w:val="nil"/>
              <w:left w:val="nil"/>
              <w:bottom w:val="single" w:sz="4" w:space="0" w:color="auto"/>
              <w:right w:val="single" w:sz="4" w:space="0" w:color="auto"/>
            </w:tcBorders>
            <w:shd w:val="clear" w:color="000000" w:fill="F2F2F2"/>
            <w:noWrap/>
            <w:vAlign w:val="center"/>
            <w:hideMark/>
          </w:tcPr>
          <w:p w14:paraId="7CFA564D"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$ 9.100.830</w:t>
            </w:r>
          </w:p>
        </w:tc>
        <w:tc>
          <w:tcPr>
            <w:tcW w:w="1120" w:type="dxa"/>
            <w:tcBorders>
              <w:top w:val="nil"/>
              <w:left w:val="nil"/>
              <w:bottom w:val="single" w:sz="4" w:space="0" w:color="auto"/>
              <w:right w:val="single" w:sz="4" w:space="0" w:color="auto"/>
            </w:tcBorders>
            <w:shd w:val="clear" w:color="000000" w:fill="F2F2F2"/>
            <w:noWrap/>
            <w:vAlign w:val="center"/>
            <w:hideMark/>
          </w:tcPr>
          <w:p w14:paraId="2ACDD0DE"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$ 379</w:t>
            </w:r>
          </w:p>
        </w:tc>
        <w:tc>
          <w:tcPr>
            <w:tcW w:w="1260" w:type="dxa"/>
            <w:tcBorders>
              <w:top w:val="nil"/>
              <w:left w:val="nil"/>
              <w:bottom w:val="single" w:sz="4" w:space="0" w:color="auto"/>
              <w:right w:val="single" w:sz="4" w:space="0" w:color="auto"/>
            </w:tcBorders>
            <w:shd w:val="clear" w:color="000000" w:fill="F2F2F2"/>
            <w:noWrap/>
            <w:vAlign w:val="center"/>
            <w:hideMark/>
          </w:tcPr>
          <w:p w14:paraId="34D2A91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$ 9.101.209</w:t>
            </w:r>
          </w:p>
        </w:tc>
        <w:tc>
          <w:tcPr>
            <w:tcW w:w="1920" w:type="dxa"/>
            <w:tcBorders>
              <w:top w:val="nil"/>
              <w:left w:val="nil"/>
              <w:bottom w:val="single" w:sz="4" w:space="0" w:color="auto"/>
              <w:right w:val="single" w:sz="4" w:space="0" w:color="auto"/>
            </w:tcBorders>
            <w:shd w:val="clear" w:color="000000" w:fill="F2F2F2"/>
            <w:vAlign w:val="center"/>
            <w:hideMark/>
          </w:tcPr>
          <w:p w14:paraId="10ADCC66"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w:t>
            </w:r>
          </w:p>
        </w:tc>
      </w:tr>
      <w:tr w:rsidR="00D705A6" w:rsidRPr="002E0BB9" w14:paraId="45B47AEE" w14:textId="77777777" w:rsidTr="007D1249">
        <w:trPr>
          <w:trHeight w:val="4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362CBD71"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214</w:t>
            </w:r>
          </w:p>
        </w:tc>
        <w:tc>
          <w:tcPr>
            <w:tcW w:w="560" w:type="dxa"/>
            <w:tcBorders>
              <w:top w:val="nil"/>
              <w:left w:val="nil"/>
              <w:bottom w:val="single" w:sz="4" w:space="0" w:color="auto"/>
              <w:right w:val="single" w:sz="4" w:space="0" w:color="auto"/>
            </w:tcBorders>
            <w:shd w:val="clear" w:color="000000" w:fill="F2F2F2"/>
            <w:noWrap/>
            <w:vAlign w:val="center"/>
            <w:hideMark/>
          </w:tcPr>
          <w:p w14:paraId="6D6C7B2E"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38014</w:t>
            </w:r>
          </w:p>
        </w:tc>
        <w:tc>
          <w:tcPr>
            <w:tcW w:w="920" w:type="dxa"/>
            <w:tcBorders>
              <w:top w:val="nil"/>
              <w:left w:val="nil"/>
              <w:bottom w:val="single" w:sz="4" w:space="0" w:color="auto"/>
              <w:right w:val="single" w:sz="4" w:space="0" w:color="auto"/>
            </w:tcBorders>
            <w:shd w:val="clear" w:color="000000" w:fill="F2F2F2"/>
            <w:noWrap/>
            <w:vAlign w:val="center"/>
            <w:hideMark/>
          </w:tcPr>
          <w:p w14:paraId="75BE7976"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900582235</w:t>
            </w:r>
          </w:p>
        </w:tc>
        <w:tc>
          <w:tcPr>
            <w:tcW w:w="2180" w:type="dxa"/>
            <w:tcBorders>
              <w:top w:val="nil"/>
              <w:left w:val="nil"/>
              <w:bottom w:val="single" w:sz="4" w:space="0" w:color="auto"/>
              <w:right w:val="single" w:sz="4" w:space="0" w:color="auto"/>
            </w:tcBorders>
            <w:shd w:val="clear" w:color="000000" w:fill="F2F2F2"/>
            <w:vAlign w:val="center"/>
            <w:hideMark/>
          </w:tcPr>
          <w:p w14:paraId="2746977C"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PCHS LOS MOLINOS S.A.S. E.S.P.</w:t>
            </w:r>
          </w:p>
        </w:tc>
        <w:tc>
          <w:tcPr>
            <w:tcW w:w="1520" w:type="dxa"/>
            <w:tcBorders>
              <w:top w:val="nil"/>
              <w:left w:val="nil"/>
              <w:bottom w:val="single" w:sz="4" w:space="0" w:color="auto"/>
              <w:right w:val="single" w:sz="4" w:space="0" w:color="auto"/>
            </w:tcBorders>
            <w:shd w:val="clear" w:color="000000" w:fill="F2F2F2"/>
            <w:noWrap/>
            <w:vAlign w:val="center"/>
            <w:hideMark/>
          </w:tcPr>
          <w:p w14:paraId="5A2E2E0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$ 4.503.814.000</w:t>
            </w:r>
          </w:p>
        </w:tc>
        <w:tc>
          <w:tcPr>
            <w:tcW w:w="1440" w:type="dxa"/>
            <w:tcBorders>
              <w:top w:val="nil"/>
              <w:left w:val="nil"/>
              <w:bottom w:val="single" w:sz="4" w:space="0" w:color="auto"/>
              <w:right w:val="single" w:sz="4" w:space="0" w:color="auto"/>
            </w:tcBorders>
            <w:shd w:val="clear" w:color="000000" w:fill="F2F2F2"/>
            <w:noWrap/>
            <w:vAlign w:val="center"/>
            <w:hideMark/>
          </w:tcPr>
          <w:p w14:paraId="38A80B3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$ 0</w:t>
            </w:r>
          </w:p>
        </w:tc>
        <w:tc>
          <w:tcPr>
            <w:tcW w:w="1460" w:type="dxa"/>
            <w:tcBorders>
              <w:top w:val="nil"/>
              <w:left w:val="nil"/>
              <w:bottom w:val="single" w:sz="4" w:space="0" w:color="auto"/>
              <w:right w:val="single" w:sz="4" w:space="0" w:color="auto"/>
            </w:tcBorders>
            <w:shd w:val="clear" w:color="000000" w:fill="F2F2F2"/>
            <w:noWrap/>
            <w:vAlign w:val="center"/>
            <w:hideMark/>
          </w:tcPr>
          <w:p w14:paraId="21C447C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$ 4.503.814.000</w:t>
            </w:r>
          </w:p>
        </w:tc>
        <w:tc>
          <w:tcPr>
            <w:tcW w:w="1260" w:type="dxa"/>
            <w:tcBorders>
              <w:top w:val="nil"/>
              <w:left w:val="nil"/>
              <w:bottom w:val="single" w:sz="4" w:space="0" w:color="auto"/>
              <w:right w:val="single" w:sz="4" w:space="0" w:color="auto"/>
            </w:tcBorders>
            <w:shd w:val="clear" w:color="000000" w:fill="F2F2F2"/>
            <w:noWrap/>
            <w:vAlign w:val="center"/>
            <w:hideMark/>
          </w:tcPr>
          <w:p w14:paraId="0202799C"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$ 45.038.140</w:t>
            </w:r>
          </w:p>
        </w:tc>
        <w:tc>
          <w:tcPr>
            <w:tcW w:w="1120" w:type="dxa"/>
            <w:tcBorders>
              <w:top w:val="nil"/>
              <w:left w:val="nil"/>
              <w:bottom w:val="single" w:sz="4" w:space="0" w:color="auto"/>
              <w:right w:val="single" w:sz="4" w:space="0" w:color="auto"/>
            </w:tcBorders>
            <w:shd w:val="clear" w:color="000000" w:fill="F2F2F2"/>
            <w:noWrap/>
            <w:vAlign w:val="center"/>
            <w:hideMark/>
          </w:tcPr>
          <w:p w14:paraId="340000C2"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$ 1.874</w:t>
            </w:r>
          </w:p>
        </w:tc>
        <w:tc>
          <w:tcPr>
            <w:tcW w:w="1260" w:type="dxa"/>
            <w:tcBorders>
              <w:top w:val="nil"/>
              <w:left w:val="nil"/>
              <w:bottom w:val="single" w:sz="4" w:space="0" w:color="auto"/>
              <w:right w:val="single" w:sz="4" w:space="0" w:color="auto"/>
            </w:tcBorders>
            <w:shd w:val="clear" w:color="000000" w:fill="F2F2F2"/>
            <w:noWrap/>
            <w:vAlign w:val="center"/>
            <w:hideMark/>
          </w:tcPr>
          <w:p w14:paraId="7F29D6F6"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$ 45.040.014</w:t>
            </w:r>
          </w:p>
        </w:tc>
        <w:tc>
          <w:tcPr>
            <w:tcW w:w="1920" w:type="dxa"/>
            <w:tcBorders>
              <w:top w:val="nil"/>
              <w:left w:val="nil"/>
              <w:bottom w:val="single" w:sz="4" w:space="0" w:color="auto"/>
              <w:right w:val="single" w:sz="4" w:space="0" w:color="auto"/>
            </w:tcBorders>
            <w:shd w:val="clear" w:color="000000" w:fill="F2F2F2"/>
            <w:vAlign w:val="center"/>
            <w:hideMark/>
          </w:tcPr>
          <w:p w14:paraId="03288CF6"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w:t>
            </w:r>
          </w:p>
        </w:tc>
      </w:tr>
      <w:tr w:rsidR="00D705A6" w:rsidRPr="002E0BB9" w14:paraId="78960EBD" w14:textId="77777777" w:rsidTr="007D1249">
        <w:trPr>
          <w:trHeight w:val="4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37DCD3D5"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215</w:t>
            </w:r>
          </w:p>
        </w:tc>
        <w:tc>
          <w:tcPr>
            <w:tcW w:w="560" w:type="dxa"/>
            <w:tcBorders>
              <w:top w:val="nil"/>
              <w:left w:val="nil"/>
              <w:bottom w:val="single" w:sz="4" w:space="0" w:color="auto"/>
              <w:right w:val="single" w:sz="4" w:space="0" w:color="auto"/>
            </w:tcBorders>
            <w:shd w:val="clear" w:color="000000" w:fill="F2F2F2"/>
            <w:noWrap/>
            <w:vAlign w:val="center"/>
            <w:hideMark/>
          </w:tcPr>
          <w:p w14:paraId="2DB754EB"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46882</w:t>
            </w:r>
          </w:p>
        </w:tc>
        <w:tc>
          <w:tcPr>
            <w:tcW w:w="920" w:type="dxa"/>
            <w:tcBorders>
              <w:top w:val="nil"/>
              <w:left w:val="nil"/>
              <w:bottom w:val="single" w:sz="4" w:space="0" w:color="auto"/>
              <w:right w:val="single" w:sz="4" w:space="0" w:color="auto"/>
            </w:tcBorders>
            <w:shd w:val="clear" w:color="000000" w:fill="F2F2F2"/>
            <w:noWrap/>
            <w:vAlign w:val="center"/>
            <w:hideMark/>
          </w:tcPr>
          <w:p w14:paraId="6D417A3C"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900584846</w:t>
            </w:r>
          </w:p>
        </w:tc>
        <w:tc>
          <w:tcPr>
            <w:tcW w:w="2180" w:type="dxa"/>
            <w:tcBorders>
              <w:top w:val="nil"/>
              <w:left w:val="nil"/>
              <w:bottom w:val="single" w:sz="4" w:space="0" w:color="auto"/>
              <w:right w:val="single" w:sz="4" w:space="0" w:color="auto"/>
            </w:tcBorders>
            <w:shd w:val="clear" w:color="000000" w:fill="F2F2F2"/>
            <w:vAlign w:val="center"/>
            <w:hideMark/>
          </w:tcPr>
          <w:p w14:paraId="03FB38DA" w14:textId="77777777" w:rsidR="00D705A6" w:rsidRPr="002E0BB9" w:rsidRDefault="00D705A6" w:rsidP="00D22441">
            <w:pPr>
              <w:jc w:val="left"/>
              <w:rPr>
                <w:rFonts w:ascii="Arial Narrow" w:hAnsi="Arial Narrow" w:cs="Arial"/>
                <w:spacing w:val="0"/>
                <w:sz w:val="16"/>
                <w:szCs w:val="16"/>
                <w:lang w:val="es-MX" w:eastAsia="es-MX"/>
              </w:rPr>
            </w:pPr>
            <w:proofErr w:type="spellStart"/>
            <w:r w:rsidRPr="002E0BB9">
              <w:rPr>
                <w:rFonts w:ascii="Arial Narrow" w:hAnsi="Arial Narrow" w:cs="Arial"/>
                <w:spacing w:val="0"/>
                <w:sz w:val="16"/>
                <w:szCs w:val="16"/>
                <w:lang w:val="es-MX" w:eastAsia="es-MX"/>
              </w:rPr>
              <w:t>Hidroelectrica</w:t>
            </w:r>
            <w:proofErr w:type="spellEnd"/>
            <w:r w:rsidRPr="002E0BB9">
              <w:rPr>
                <w:rFonts w:ascii="Arial Narrow" w:hAnsi="Arial Narrow" w:cs="Arial"/>
                <w:spacing w:val="0"/>
                <w:sz w:val="16"/>
                <w:szCs w:val="16"/>
                <w:lang w:val="es-MX" w:eastAsia="es-MX"/>
              </w:rPr>
              <w:t xml:space="preserve"> Barrancas S.A.S E.</w:t>
            </w:r>
            <w:proofErr w:type="gramStart"/>
            <w:r w:rsidRPr="002E0BB9">
              <w:rPr>
                <w:rFonts w:ascii="Arial Narrow" w:hAnsi="Arial Narrow" w:cs="Arial"/>
                <w:spacing w:val="0"/>
                <w:sz w:val="16"/>
                <w:szCs w:val="16"/>
                <w:lang w:val="es-MX" w:eastAsia="es-MX"/>
              </w:rPr>
              <w:t>S.P</w:t>
            </w:r>
            <w:proofErr w:type="gramEnd"/>
          </w:p>
        </w:tc>
        <w:tc>
          <w:tcPr>
            <w:tcW w:w="1520" w:type="dxa"/>
            <w:tcBorders>
              <w:top w:val="nil"/>
              <w:left w:val="nil"/>
              <w:bottom w:val="single" w:sz="4" w:space="0" w:color="auto"/>
              <w:right w:val="single" w:sz="4" w:space="0" w:color="auto"/>
            </w:tcBorders>
            <w:shd w:val="clear" w:color="000000" w:fill="F2F2F2"/>
            <w:noWrap/>
            <w:vAlign w:val="center"/>
            <w:hideMark/>
          </w:tcPr>
          <w:p w14:paraId="57C0A9C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$ 661.736.000</w:t>
            </w:r>
          </w:p>
        </w:tc>
        <w:tc>
          <w:tcPr>
            <w:tcW w:w="1440" w:type="dxa"/>
            <w:tcBorders>
              <w:top w:val="nil"/>
              <w:left w:val="nil"/>
              <w:bottom w:val="single" w:sz="4" w:space="0" w:color="auto"/>
              <w:right w:val="single" w:sz="4" w:space="0" w:color="auto"/>
            </w:tcBorders>
            <w:shd w:val="clear" w:color="000000" w:fill="F2F2F2"/>
            <w:noWrap/>
            <w:vAlign w:val="center"/>
            <w:hideMark/>
          </w:tcPr>
          <w:p w14:paraId="153E4C67"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$ 0</w:t>
            </w:r>
          </w:p>
        </w:tc>
        <w:tc>
          <w:tcPr>
            <w:tcW w:w="1460" w:type="dxa"/>
            <w:tcBorders>
              <w:top w:val="nil"/>
              <w:left w:val="nil"/>
              <w:bottom w:val="single" w:sz="4" w:space="0" w:color="auto"/>
              <w:right w:val="single" w:sz="4" w:space="0" w:color="auto"/>
            </w:tcBorders>
            <w:shd w:val="clear" w:color="000000" w:fill="F2F2F2"/>
            <w:noWrap/>
            <w:vAlign w:val="center"/>
            <w:hideMark/>
          </w:tcPr>
          <w:p w14:paraId="1205D0BB"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$ 661.736.000</w:t>
            </w:r>
          </w:p>
        </w:tc>
        <w:tc>
          <w:tcPr>
            <w:tcW w:w="1260" w:type="dxa"/>
            <w:tcBorders>
              <w:top w:val="nil"/>
              <w:left w:val="nil"/>
              <w:bottom w:val="single" w:sz="4" w:space="0" w:color="auto"/>
              <w:right w:val="single" w:sz="4" w:space="0" w:color="auto"/>
            </w:tcBorders>
            <w:shd w:val="clear" w:color="000000" w:fill="F2F2F2"/>
            <w:noWrap/>
            <w:vAlign w:val="center"/>
            <w:hideMark/>
          </w:tcPr>
          <w:p w14:paraId="04254A16"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$ 6.617.360</w:t>
            </w:r>
          </w:p>
        </w:tc>
        <w:tc>
          <w:tcPr>
            <w:tcW w:w="1120" w:type="dxa"/>
            <w:tcBorders>
              <w:top w:val="nil"/>
              <w:left w:val="nil"/>
              <w:bottom w:val="single" w:sz="4" w:space="0" w:color="auto"/>
              <w:right w:val="single" w:sz="4" w:space="0" w:color="auto"/>
            </w:tcBorders>
            <w:shd w:val="clear" w:color="000000" w:fill="F2F2F2"/>
            <w:noWrap/>
            <w:vAlign w:val="center"/>
            <w:hideMark/>
          </w:tcPr>
          <w:p w14:paraId="2597F1A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$ 275</w:t>
            </w:r>
          </w:p>
        </w:tc>
        <w:tc>
          <w:tcPr>
            <w:tcW w:w="1260" w:type="dxa"/>
            <w:tcBorders>
              <w:top w:val="nil"/>
              <w:left w:val="nil"/>
              <w:bottom w:val="single" w:sz="4" w:space="0" w:color="auto"/>
              <w:right w:val="single" w:sz="4" w:space="0" w:color="auto"/>
            </w:tcBorders>
            <w:shd w:val="clear" w:color="000000" w:fill="F2F2F2"/>
            <w:noWrap/>
            <w:vAlign w:val="center"/>
            <w:hideMark/>
          </w:tcPr>
          <w:p w14:paraId="511E6E55"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$ 6.617.635</w:t>
            </w:r>
          </w:p>
        </w:tc>
        <w:tc>
          <w:tcPr>
            <w:tcW w:w="1920" w:type="dxa"/>
            <w:tcBorders>
              <w:top w:val="nil"/>
              <w:left w:val="nil"/>
              <w:bottom w:val="single" w:sz="4" w:space="0" w:color="auto"/>
              <w:right w:val="single" w:sz="4" w:space="0" w:color="auto"/>
            </w:tcBorders>
            <w:shd w:val="clear" w:color="000000" w:fill="F2F2F2"/>
            <w:vAlign w:val="center"/>
            <w:hideMark/>
          </w:tcPr>
          <w:p w14:paraId="177B847B"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w:t>
            </w:r>
          </w:p>
        </w:tc>
      </w:tr>
      <w:tr w:rsidR="00D705A6" w:rsidRPr="002E0BB9" w14:paraId="03A186F8" w14:textId="77777777" w:rsidTr="007D1249">
        <w:trPr>
          <w:trHeight w:val="4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2FC0615F"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216</w:t>
            </w:r>
          </w:p>
        </w:tc>
        <w:tc>
          <w:tcPr>
            <w:tcW w:w="560" w:type="dxa"/>
            <w:tcBorders>
              <w:top w:val="nil"/>
              <w:left w:val="nil"/>
              <w:bottom w:val="single" w:sz="4" w:space="0" w:color="auto"/>
              <w:right w:val="single" w:sz="4" w:space="0" w:color="auto"/>
            </w:tcBorders>
            <w:shd w:val="clear" w:color="000000" w:fill="F2F2F2"/>
            <w:noWrap/>
            <w:vAlign w:val="center"/>
            <w:hideMark/>
          </w:tcPr>
          <w:p w14:paraId="026444F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26554</w:t>
            </w:r>
          </w:p>
        </w:tc>
        <w:tc>
          <w:tcPr>
            <w:tcW w:w="920" w:type="dxa"/>
            <w:tcBorders>
              <w:top w:val="nil"/>
              <w:left w:val="nil"/>
              <w:bottom w:val="single" w:sz="4" w:space="0" w:color="auto"/>
              <w:right w:val="single" w:sz="4" w:space="0" w:color="auto"/>
            </w:tcBorders>
            <w:shd w:val="clear" w:color="000000" w:fill="F2F2F2"/>
            <w:noWrap/>
            <w:vAlign w:val="center"/>
            <w:hideMark/>
          </w:tcPr>
          <w:p w14:paraId="5BB68E32"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900586170</w:t>
            </w:r>
          </w:p>
        </w:tc>
        <w:tc>
          <w:tcPr>
            <w:tcW w:w="2180" w:type="dxa"/>
            <w:tcBorders>
              <w:top w:val="nil"/>
              <w:left w:val="nil"/>
              <w:bottom w:val="single" w:sz="4" w:space="0" w:color="auto"/>
              <w:right w:val="single" w:sz="4" w:space="0" w:color="auto"/>
            </w:tcBorders>
            <w:shd w:val="clear" w:color="000000" w:fill="F2F2F2"/>
            <w:vAlign w:val="center"/>
            <w:hideMark/>
          </w:tcPr>
          <w:p w14:paraId="057A0589"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GAS UNION DE COLOMBIA S.A.S. E.S.P.</w:t>
            </w:r>
          </w:p>
        </w:tc>
        <w:tc>
          <w:tcPr>
            <w:tcW w:w="1520" w:type="dxa"/>
            <w:tcBorders>
              <w:top w:val="nil"/>
              <w:left w:val="nil"/>
              <w:bottom w:val="single" w:sz="4" w:space="0" w:color="auto"/>
              <w:right w:val="single" w:sz="4" w:space="0" w:color="auto"/>
            </w:tcBorders>
            <w:shd w:val="clear" w:color="000000" w:fill="F2F2F2"/>
            <w:noWrap/>
            <w:vAlign w:val="center"/>
            <w:hideMark/>
          </w:tcPr>
          <w:p w14:paraId="35331C6E"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$ 885.845.000</w:t>
            </w:r>
          </w:p>
        </w:tc>
        <w:tc>
          <w:tcPr>
            <w:tcW w:w="1440" w:type="dxa"/>
            <w:tcBorders>
              <w:top w:val="nil"/>
              <w:left w:val="nil"/>
              <w:bottom w:val="single" w:sz="4" w:space="0" w:color="auto"/>
              <w:right w:val="single" w:sz="4" w:space="0" w:color="auto"/>
            </w:tcBorders>
            <w:shd w:val="clear" w:color="000000" w:fill="F2F2F2"/>
            <w:noWrap/>
            <w:vAlign w:val="center"/>
            <w:hideMark/>
          </w:tcPr>
          <w:p w14:paraId="04D682A1"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$ 74.783.876</w:t>
            </w:r>
          </w:p>
        </w:tc>
        <w:tc>
          <w:tcPr>
            <w:tcW w:w="1460" w:type="dxa"/>
            <w:tcBorders>
              <w:top w:val="nil"/>
              <w:left w:val="nil"/>
              <w:bottom w:val="single" w:sz="4" w:space="0" w:color="auto"/>
              <w:right w:val="single" w:sz="4" w:space="0" w:color="auto"/>
            </w:tcBorders>
            <w:shd w:val="clear" w:color="000000" w:fill="F2F2F2"/>
            <w:noWrap/>
            <w:vAlign w:val="center"/>
            <w:hideMark/>
          </w:tcPr>
          <w:p w14:paraId="345E05B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$ 960.628.876</w:t>
            </w:r>
          </w:p>
        </w:tc>
        <w:tc>
          <w:tcPr>
            <w:tcW w:w="1260" w:type="dxa"/>
            <w:tcBorders>
              <w:top w:val="nil"/>
              <w:left w:val="nil"/>
              <w:bottom w:val="single" w:sz="4" w:space="0" w:color="auto"/>
              <w:right w:val="single" w:sz="4" w:space="0" w:color="auto"/>
            </w:tcBorders>
            <w:shd w:val="clear" w:color="000000" w:fill="F2F2F2"/>
            <w:noWrap/>
            <w:vAlign w:val="center"/>
            <w:hideMark/>
          </w:tcPr>
          <w:p w14:paraId="160E5CA2"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$ 9.606.289</w:t>
            </w:r>
          </w:p>
        </w:tc>
        <w:tc>
          <w:tcPr>
            <w:tcW w:w="1120" w:type="dxa"/>
            <w:tcBorders>
              <w:top w:val="nil"/>
              <w:left w:val="nil"/>
              <w:bottom w:val="single" w:sz="4" w:space="0" w:color="auto"/>
              <w:right w:val="single" w:sz="4" w:space="0" w:color="auto"/>
            </w:tcBorders>
            <w:shd w:val="clear" w:color="000000" w:fill="F2F2F2"/>
            <w:noWrap/>
            <w:vAlign w:val="center"/>
            <w:hideMark/>
          </w:tcPr>
          <w:p w14:paraId="40045ED6"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$ 400</w:t>
            </w:r>
          </w:p>
        </w:tc>
        <w:tc>
          <w:tcPr>
            <w:tcW w:w="1260" w:type="dxa"/>
            <w:tcBorders>
              <w:top w:val="nil"/>
              <w:left w:val="nil"/>
              <w:bottom w:val="single" w:sz="4" w:space="0" w:color="auto"/>
              <w:right w:val="single" w:sz="4" w:space="0" w:color="auto"/>
            </w:tcBorders>
            <w:shd w:val="clear" w:color="000000" w:fill="F2F2F2"/>
            <w:noWrap/>
            <w:vAlign w:val="center"/>
            <w:hideMark/>
          </w:tcPr>
          <w:p w14:paraId="02B7032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$ 9.606.689</w:t>
            </w:r>
          </w:p>
        </w:tc>
        <w:tc>
          <w:tcPr>
            <w:tcW w:w="1920" w:type="dxa"/>
            <w:tcBorders>
              <w:top w:val="nil"/>
              <w:left w:val="nil"/>
              <w:bottom w:val="single" w:sz="4" w:space="0" w:color="auto"/>
              <w:right w:val="single" w:sz="4" w:space="0" w:color="auto"/>
            </w:tcBorders>
            <w:shd w:val="clear" w:color="000000" w:fill="F2F2F2"/>
            <w:vAlign w:val="center"/>
            <w:hideMark/>
          </w:tcPr>
          <w:p w14:paraId="41FF8BC3"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GAS LICUADO DEL PETROLEO</w:t>
            </w:r>
          </w:p>
        </w:tc>
      </w:tr>
      <w:tr w:rsidR="00D705A6" w:rsidRPr="002E0BB9" w14:paraId="66837B65" w14:textId="77777777" w:rsidTr="007D1249">
        <w:trPr>
          <w:trHeight w:val="4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66C39B61"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217</w:t>
            </w:r>
          </w:p>
        </w:tc>
        <w:tc>
          <w:tcPr>
            <w:tcW w:w="560" w:type="dxa"/>
            <w:tcBorders>
              <w:top w:val="nil"/>
              <w:left w:val="nil"/>
              <w:bottom w:val="single" w:sz="4" w:space="0" w:color="auto"/>
              <w:right w:val="single" w:sz="4" w:space="0" w:color="auto"/>
            </w:tcBorders>
            <w:shd w:val="clear" w:color="000000" w:fill="F2F2F2"/>
            <w:noWrap/>
            <w:vAlign w:val="center"/>
            <w:hideMark/>
          </w:tcPr>
          <w:p w14:paraId="792CB66C"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26641</w:t>
            </w:r>
          </w:p>
        </w:tc>
        <w:tc>
          <w:tcPr>
            <w:tcW w:w="920" w:type="dxa"/>
            <w:tcBorders>
              <w:top w:val="nil"/>
              <w:left w:val="nil"/>
              <w:bottom w:val="single" w:sz="4" w:space="0" w:color="auto"/>
              <w:right w:val="single" w:sz="4" w:space="0" w:color="auto"/>
            </w:tcBorders>
            <w:shd w:val="clear" w:color="000000" w:fill="F2F2F2"/>
            <w:noWrap/>
            <w:vAlign w:val="center"/>
            <w:hideMark/>
          </w:tcPr>
          <w:p w14:paraId="435F337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900589503</w:t>
            </w:r>
          </w:p>
        </w:tc>
        <w:tc>
          <w:tcPr>
            <w:tcW w:w="2180" w:type="dxa"/>
            <w:tcBorders>
              <w:top w:val="nil"/>
              <w:left w:val="nil"/>
              <w:bottom w:val="single" w:sz="4" w:space="0" w:color="auto"/>
              <w:right w:val="single" w:sz="4" w:space="0" w:color="auto"/>
            </w:tcBorders>
            <w:shd w:val="clear" w:color="000000" w:fill="F2F2F2"/>
            <w:vAlign w:val="center"/>
            <w:hideMark/>
          </w:tcPr>
          <w:p w14:paraId="3645203D"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RENOVATIO TRADING AMERICAS SAS ESP</w:t>
            </w:r>
          </w:p>
        </w:tc>
        <w:tc>
          <w:tcPr>
            <w:tcW w:w="1520" w:type="dxa"/>
            <w:tcBorders>
              <w:top w:val="nil"/>
              <w:left w:val="nil"/>
              <w:bottom w:val="single" w:sz="4" w:space="0" w:color="auto"/>
              <w:right w:val="single" w:sz="4" w:space="0" w:color="auto"/>
            </w:tcBorders>
            <w:shd w:val="clear" w:color="000000" w:fill="F2F2F2"/>
            <w:noWrap/>
            <w:vAlign w:val="center"/>
            <w:hideMark/>
          </w:tcPr>
          <w:p w14:paraId="14F281C1"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$ 2.693.737.000</w:t>
            </w:r>
          </w:p>
        </w:tc>
        <w:tc>
          <w:tcPr>
            <w:tcW w:w="1440" w:type="dxa"/>
            <w:tcBorders>
              <w:top w:val="nil"/>
              <w:left w:val="nil"/>
              <w:bottom w:val="single" w:sz="4" w:space="0" w:color="auto"/>
              <w:right w:val="single" w:sz="4" w:space="0" w:color="auto"/>
            </w:tcBorders>
            <w:shd w:val="clear" w:color="000000" w:fill="F2F2F2"/>
            <w:noWrap/>
            <w:vAlign w:val="center"/>
            <w:hideMark/>
          </w:tcPr>
          <w:p w14:paraId="3668886E"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$ 0</w:t>
            </w:r>
          </w:p>
        </w:tc>
        <w:tc>
          <w:tcPr>
            <w:tcW w:w="1460" w:type="dxa"/>
            <w:tcBorders>
              <w:top w:val="nil"/>
              <w:left w:val="nil"/>
              <w:bottom w:val="single" w:sz="4" w:space="0" w:color="auto"/>
              <w:right w:val="single" w:sz="4" w:space="0" w:color="auto"/>
            </w:tcBorders>
            <w:shd w:val="clear" w:color="000000" w:fill="F2F2F2"/>
            <w:noWrap/>
            <w:vAlign w:val="center"/>
            <w:hideMark/>
          </w:tcPr>
          <w:p w14:paraId="6346AA1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$ 2.693.737.000</w:t>
            </w:r>
          </w:p>
        </w:tc>
        <w:tc>
          <w:tcPr>
            <w:tcW w:w="1260" w:type="dxa"/>
            <w:tcBorders>
              <w:top w:val="nil"/>
              <w:left w:val="nil"/>
              <w:bottom w:val="single" w:sz="4" w:space="0" w:color="auto"/>
              <w:right w:val="single" w:sz="4" w:space="0" w:color="auto"/>
            </w:tcBorders>
            <w:shd w:val="clear" w:color="000000" w:fill="F2F2F2"/>
            <w:noWrap/>
            <w:vAlign w:val="center"/>
            <w:hideMark/>
          </w:tcPr>
          <w:p w14:paraId="28F8352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$ 26.937.370</w:t>
            </w:r>
          </w:p>
        </w:tc>
        <w:tc>
          <w:tcPr>
            <w:tcW w:w="1120" w:type="dxa"/>
            <w:tcBorders>
              <w:top w:val="nil"/>
              <w:left w:val="nil"/>
              <w:bottom w:val="single" w:sz="4" w:space="0" w:color="auto"/>
              <w:right w:val="single" w:sz="4" w:space="0" w:color="auto"/>
            </w:tcBorders>
            <w:shd w:val="clear" w:color="000000" w:fill="F2F2F2"/>
            <w:noWrap/>
            <w:vAlign w:val="center"/>
            <w:hideMark/>
          </w:tcPr>
          <w:p w14:paraId="551C2296"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$ 1.121</w:t>
            </w:r>
          </w:p>
        </w:tc>
        <w:tc>
          <w:tcPr>
            <w:tcW w:w="1260" w:type="dxa"/>
            <w:tcBorders>
              <w:top w:val="nil"/>
              <w:left w:val="nil"/>
              <w:bottom w:val="single" w:sz="4" w:space="0" w:color="auto"/>
              <w:right w:val="single" w:sz="4" w:space="0" w:color="auto"/>
            </w:tcBorders>
            <w:shd w:val="clear" w:color="000000" w:fill="F2F2F2"/>
            <w:noWrap/>
            <w:vAlign w:val="center"/>
            <w:hideMark/>
          </w:tcPr>
          <w:p w14:paraId="3367B347"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$ 26.938.491</w:t>
            </w:r>
          </w:p>
        </w:tc>
        <w:tc>
          <w:tcPr>
            <w:tcW w:w="1920" w:type="dxa"/>
            <w:tcBorders>
              <w:top w:val="nil"/>
              <w:left w:val="nil"/>
              <w:bottom w:val="single" w:sz="4" w:space="0" w:color="auto"/>
              <w:right w:val="single" w:sz="4" w:space="0" w:color="auto"/>
            </w:tcBorders>
            <w:shd w:val="clear" w:color="000000" w:fill="F2F2F2"/>
            <w:vAlign w:val="center"/>
            <w:hideMark/>
          </w:tcPr>
          <w:p w14:paraId="2C557C04"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w:t>
            </w:r>
          </w:p>
        </w:tc>
      </w:tr>
      <w:tr w:rsidR="00D705A6" w:rsidRPr="002E0BB9" w14:paraId="4DCCBB93" w14:textId="77777777" w:rsidTr="007D1249">
        <w:trPr>
          <w:trHeight w:val="2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5D21B8A4"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218</w:t>
            </w:r>
          </w:p>
        </w:tc>
        <w:tc>
          <w:tcPr>
            <w:tcW w:w="560" w:type="dxa"/>
            <w:tcBorders>
              <w:top w:val="nil"/>
              <w:left w:val="nil"/>
              <w:bottom w:val="single" w:sz="4" w:space="0" w:color="auto"/>
              <w:right w:val="single" w:sz="4" w:space="0" w:color="auto"/>
            </w:tcBorders>
            <w:shd w:val="clear" w:color="000000" w:fill="F2F2F2"/>
            <w:noWrap/>
            <w:vAlign w:val="center"/>
            <w:hideMark/>
          </w:tcPr>
          <w:p w14:paraId="71B55B71"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60670</w:t>
            </w:r>
          </w:p>
        </w:tc>
        <w:tc>
          <w:tcPr>
            <w:tcW w:w="920" w:type="dxa"/>
            <w:tcBorders>
              <w:top w:val="nil"/>
              <w:left w:val="nil"/>
              <w:bottom w:val="single" w:sz="4" w:space="0" w:color="auto"/>
              <w:right w:val="single" w:sz="4" w:space="0" w:color="auto"/>
            </w:tcBorders>
            <w:shd w:val="clear" w:color="000000" w:fill="F2F2F2"/>
            <w:noWrap/>
            <w:vAlign w:val="center"/>
            <w:hideMark/>
          </w:tcPr>
          <w:p w14:paraId="55820585"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900594772</w:t>
            </w:r>
          </w:p>
        </w:tc>
        <w:tc>
          <w:tcPr>
            <w:tcW w:w="2180" w:type="dxa"/>
            <w:tcBorders>
              <w:top w:val="nil"/>
              <w:left w:val="nil"/>
              <w:bottom w:val="single" w:sz="4" w:space="0" w:color="auto"/>
              <w:right w:val="single" w:sz="4" w:space="0" w:color="auto"/>
            </w:tcBorders>
            <w:shd w:val="clear" w:color="000000" w:fill="F2F2F2"/>
            <w:vAlign w:val="center"/>
            <w:hideMark/>
          </w:tcPr>
          <w:p w14:paraId="781AA8BD"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4E GROUP SAS ESP</w:t>
            </w:r>
          </w:p>
        </w:tc>
        <w:tc>
          <w:tcPr>
            <w:tcW w:w="1520" w:type="dxa"/>
            <w:tcBorders>
              <w:top w:val="nil"/>
              <w:left w:val="nil"/>
              <w:bottom w:val="single" w:sz="4" w:space="0" w:color="auto"/>
              <w:right w:val="single" w:sz="4" w:space="0" w:color="auto"/>
            </w:tcBorders>
            <w:shd w:val="clear" w:color="000000" w:fill="F2F2F2"/>
            <w:noWrap/>
            <w:vAlign w:val="center"/>
            <w:hideMark/>
          </w:tcPr>
          <w:p w14:paraId="31C84A4E"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$ 233.023.000</w:t>
            </w:r>
          </w:p>
        </w:tc>
        <w:tc>
          <w:tcPr>
            <w:tcW w:w="1440" w:type="dxa"/>
            <w:tcBorders>
              <w:top w:val="nil"/>
              <w:left w:val="nil"/>
              <w:bottom w:val="single" w:sz="4" w:space="0" w:color="auto"/>
              <w:right w:val="single" w:sz="4" w:space="0" w:color="auto"/>
            </w:tcBorders>
            <w:shd w:val="clear" w:color="000000" w:fill="F2F2F2"/>
            <w:noWrap/>
            <w:vAlign w:val="center"/>
            <w:hideMark/>
          </w:tcPr>
          <w:p w14:paraId="6BD75EA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$ 0</w:t>
            </w:r>
          </w:p>
        </w:tc>
        <w:tc>
          <w:tcPr>
            <w:tcW w:w="1460" w:type="dxa"/>
            <w:tcBorders>
              <w:top w:val="nil"/>
              <w:left w:val="nil"/>
              <w:bottom w:val="single" w:sz="4" w:space="0" w:color="auto"/>
              <w:right w:val="single" w:sz="4" w:space="0" w:color="auto"/>
            </w:tcBorders>
            <w:shd w:val="clear" w:color="000000" w:fill="F2F2F2"/>
            <w:noWrap/>
            <w:vAlign w:val="center"/>
            <w:hideMark/>
          </w:tcPr>
          <w:p w14:paraId="4058634C"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$ 233.023.000</w:t>
            </w:r>
          </w:p>
        </w:tc>
        <w:tc>
          <w:tcPr>
            <w:tcW w:w="1260" w:type="dxa"/>
            <w:tcBorders>
              <w:top w:val="nil"/>
              <w:left w:val="nil"/>
              <w:bottom w:val="single" w:sz="4" w:space="0" w:color="auto"/>
              <w:right w:val="single" w:sz="4" w:space="0" w:color="auto"/>
            </w:tcBorders>
            <w:shd w:val="clear" w:color="000000" w:fill="F2F2F2"/>
            <w:noWrap/>
            <w:vAlign w:val="center"/>
            <w:hideMark/>
          </w:tcPr>
          <w:p w14:paraId="19E6410A"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$ 2.330.230</w:t>
            </w:r>
          </w:p>
        </w:tc>
        <w:tc>
          <w:tcPr>
            <w:tcW w:w="1120" w:type="dxa"/>
            <w:tcBorders>
              <w:top w:val="nil"/>
              <w:left w:val="nil"/>
              <w:bottom w:val="single" w:sz="4" w:space="0" w:color="auto"/>
              <w:right w:val="single" w:sz="4" w:space="0" w:color="auto"/>
            </w:tcBorders>
            <w:shd w:val="clear" w:color="000000" w:fill="F2F2F2"/>
            <w:noWrap/>
            <w:vAlign w:val="center"/>
            <w:hideMark/>
          </w:tcPr>
          <w:p w14:paraId="3159DBB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$ 97</w:t>
            </w:r>
          </w:p>
        </w:tc>
        <w:tc>
          <w:tcPr>
            <w:tcW w:w="1260" w:type="dxa"/>
            <w:tcBorders>
              <w:top w:val="nil"/>
              <w:left w:val="nil"/>
              <w:bottom w:val="single" w:sz="4" w:space="0" w:color="auto"/>
              <w:right w:val="single" w:sz="4" w:space="0" w:color="auto"/>
            </w:tcBorders>
            <w:shd w:val="clear" w:color="000000" w:fill="F2F2F2"/>
            <w:noWrap/>
            <w:vAlign w:val="center"/>
            <w:hideMark/>
          </w:tcPr>
          <w:p w14:paraId="5F4F1FCC"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$ 2.330.327</w:t>
            </w:r>
          </w:p>
        </w:tc>
        <w:tc>
          <w:tcPr>
            <w:tcW w:w="1920" w:type="dxa"/>
            <w:tcBorders>
              <w:top w:val="nil"/>
              <w:left w:val="nil"/>
              <w:bottom w:val="single" w:sz="4" w:space="0" w:color="auto"/>
              <w:right w:val="single" w:sz="4" w:space="0" w:color="auto"/>
            </w:tcBorders>
            <w:shd w:val="clear" w:color="000000" w:fill="F2F2F2"/>
            <w:vAlign w:val="center"/>
            <w:hideMark/>
          </w:tcPr>
          <w:p w14:paraId="7983BBE8"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w:t>
            </w:r>
          </w:p>
        </w:tc>
      </w:tr>
      <w:tr w:rsidR="00D705A6" w:rsidRPr="002E0BB9" w14:paraId="54FFB861" w14:textId="77777777" w:rsidTr="007D1249">
        <w:trPr>
          <w:trHeight w:val="4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4244DFD4"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219</w:t>
            </w:r>
          </w:p>
        </w:tc>
        <w:tc>
          <w:tcPr>
            <w:tcW w:w="560" w:type="dxa"/>
            <w:tcBorders>
              <w:top w:val="nil"/>
              <w:left w:val="nil"/>
              <w:bottom w:val="single" w:sz="4" w:space="0" w:color="auto"/>
              <w:right w:val="single" w:sz="4" w:space="0" w:color="auto"/>
            </w:tcBorders>
            <w:shd w:val="clear" w:color="000000" w:fill="F2F2F2"/>
            <w:noWrap/>
            <w:vAlign w:val="center"/>
            <w:hideMark/>
          </w:tcPr>
          <w:p w14:paraId="674B914B"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29011</w:t>
            </w:r>
          </w:p>
        </w:tc>
        <w:tc>
          <w:tcPr>
            <w:tcW w:w="920" w:type="dxa"/>
            <w:tcBorders>
              <w:top w:val="nil"/>
              <w:left w:val="nil"/>
              <w:bottom w:val="single" w:sz="4" w:space="0" w:color="auto"/>
              <w:right w:val="single" w:sz="4" w:space="0" w:color="auto"/>
            </w:tcBorders>
            <w:shd w:val="clear" w:color="000000" w:fill="F2F2F2"/>
            <w:noWrap/>
            <w:vAlign w:val="center"/>
            <w:hideMark/>
          </w:tcPr>
          <w:p w14:paraId="5911DCC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900637368</w:t>
            </w:r>
          </w:p>
        </w:tc>
        <w:tc>
          <w:tcPr>
            <w:tcW w:w="2180" w:type="dxa"/>
            <w:tcBorders>
              <w:top w:val="nil"/>
              <w:left w:val="nil"/>
              <w:bottom w:val="single" w:sz="4" w:space="0" w:color="auto"/>
              <w:right w:val="single" w:sz="4" w:space="0" w:color="auto"/>
            </w:tcBorders>
            <w:shd w:val="clear" w:color="000000" w:fill="F2F2F2"/>
            <w:vAlign w:val="center"/>
            <w:hideMark/>
          </w:tcPr>
          <w:p w14:paraId="1D50E6FD"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TERMO MECHERO MORRO SAS ESP</w:t>
            </w:r>
          </w:p>
        </w:tc>
        <w:tc>
          <w:tcPr>
            <w:tcW w:w="1520" w:type="dxa"/>
            <w:tcBorders>
              <w:top w:val="nil"/>
              <w:left w:val="nil"/>
              <w:bottom w:val="single" w:sz="4" w:space="0" w:color="auto"/>
              <w:right w:val="single" w:sz="4" w:space="0" w:color="auto"/>
            </w:tcBorders>
            <w:shd w:val="clear" w:color="000000" w:fill="F2F2F2"/>
            <w:noWrap/>
            <w:vAlign w:val="center"/>
            <w:hideMark/>
          </w:tcPr>
          <w:p w14:paraId="43BA4011"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$ 3.531.516.000</w:t>
            </w:r>
          </w:p>
        </w:tc>
        <w:tc>
          <w:tcPr>
            <w:tcW w:w="1440" w:type="dxa"/>
            <w:tcBorders>
              <w:top w:val="nil"/>
              <w:left w:val="nil"/>
              <w:bottom w:val="single" w:sz="4" w:space="0" w:color="auto"/>
              <w:right w:val="single" w:sz="4" w:space="0" w:color="auto"/>
            </w:tcBorders>
            <w:shd w:val="clear" w:color="000000" w:fill="F2F2F2"/>
            <w:noWrap/>
            <w:vAlign w:val="center"/>
            <w:hideMark/>
          </w:tcPr>
          <w:p w14:paraId="5B38A2F1"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$ 494.124.247</w:t>
            </w:r>
          </w:p>
        </w:tc>
        <w:tc>
          <w:tcPr>
            <w:tcW w:w="1460" w:type="dxa"/>
            <w:tcBorders>
              <w:top w:val="nil"/>
              <w:left w:val="nil"/>
              <w:bottom w:val="single" w:sz="4" w:space="0" w:color="auto"/>
              <w:right w:val="single" w:sz="4" w:space="0" w:color="auto"/>
            </w:tcBorders>
            <w:shd w:val="clear" w:color="000000" w:fill="F2F2F2"/>
            <w:noWrap/>
            <w:vAlign w:val="center"/>
            <w:hideMark/>
          </w:tcPr>
          <w:p w14:paraId="26CFDE6E"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$ 4.025.640.247</w:t>
            </w:r>
          </w:p>
        </w:tc>
        <w:tc>
          <w:tcPr>
            <w:tcW w:w="1260" w:type="dxa"/>
            <w:tcBorders>
              <w:top w:val="nil"/>
              <w:left w:val="nil"/>
              <w:bottom w:val="single" w:sz="4" w:space="0" w:color="auto"/>
              <w:right w:val="single" w:sz="4" w:space="0" w:color="auto"/>
            </w:tcBorders>
            <w:shd w:val="clear" w:color="000000" w:fill="F2F2F2"/>
            <w:noWrap/>
            <w:vAlign w:val="center"/>
            <w:hideMark/>
          </w:tcPr>
          <w:p w14:paraId="0F94E48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$ 40.256.402</w:t>
            </w:r>
          </w:p>
        </w:tc>
        <w:tc>
          <w:tcPr>
            <w:tcW w:w="1120" w:type="dxa"/>
            <w:tcBorders>
              <w:top w:val="nil"/>
              <w:left w:val="nil"/>
              <w:bottom w:val="single" w:sz="4" w:space="0" w:color="auto"/>
              <w:right w:val="single" w:sz="4" w:space="0" w:color="auto"/>
            </w:tcBorders>
            <w:shd w:val="clear" w:color="000000" w:fill="F2F2F2"/>
            <w:noWrap/>
            <w:vAlign w:val="center"/>
            <w:hideMark/>
          </w:tcPr>
          <w:p w14:paraId="5E0EC15D"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$ 1.675</w:t>
            </w:r>
          </w:p>
        </w:tc>
        <w:tc>
          <w:tcPr>
            <w:tcW w:w="1260" w:type="dxa"/>
            <w:tcBorders>
              <w:top w:val="nil"/>
              <w:left w:val="nil"/>
              <w:bottom w:val="single" w:sz="4" w:space="0" w:color="auto"/>
              <w:right w:val="single" w:sz="4" w:space="0" w:color="auto"/>
            </w:tcBorders>
            <w:shd w:val="clear" w:color="000000" w:fill="F2F2F2"/>
            <w:noWrap/>
            <w:vAlign w:val="center"/>
            <w:hideMark/>
          </w:tcPr>
          <w:p w14:paraId="771CF5D5"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$ 40.258.078</w:t>
            </w:r>
          </w:p>
        </w:tc>
        <w:tc>
          <w:tcPr>
            <w:tcW w:w="1920" w:type="dxa"/>
            <w:tcBorders>
              <w:top w:val="nil"/>
              <w:left w:val="nil"/>
              <w:bottom w:val="single" w:sz="4" w:space="0" w:color="auto"/>
              <w:right w:val="single" w:sz="4" w:space="0" w:color="auto"/>
            </w:tcBorders>
            <w:shd w:val="clear" w:color="000000" w:fill="F2F2F2"/>
            <w:vAlign w:val="center"/>
            <w:hideMark/>
          </w:tcPr>
          <w:p w14:paraId="2D0FDF8C"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 - GAS POR REDES</w:t>
            </w:r>
          </w:p>
        </w:tc>
      </w:tr>
      <w:tr w:rsidR="00D705A6" w:rsidRPr="002E0BB9" w14:paraId="308361F4" w14:textId="77777777" w:rsidTr="00053706">
        <w:trPr>
          <w:trHeight w:val="477"/>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715135C1"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220</w:t>
            </w:r>
          </w:p>
        </w:tc>
        <w:tc>
          <w:tcPr>
            <w:tcW w:w="560" w:type="dxa"/>
            <w:tcBorders>
              <w:top w:val="nil"/>
              <w:left w:val="nil"/>
              <w:bottom w:val="single" w:sz="4" w:space="0" w:color="auto"/>
              <w:right w:val="single" w:sz="4" w:space="0" w:color="auto"/>
            </w:tcBorders>
            <w:shd w:val="clear" w:color="000000" w:fill="F2F2F2"/>
            <w:noWrap/>
            <w:vAlign w:val="center"/>
            <w:hideMark/>
          </w:tcPr>
          <w:p w14:paraId="5388291E"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26677</w:t>
            </w:r>
          </w:p>
        </w:tc>
        <w:tc>
          <w:tcPr>
            <w:tcW w:w="920" w:type="dxa"/>
            <w:tcBorders>
              <w:top w:val="nil"/>
              <w:left w:val="nil"/>
              <w:bottom w:val="single" w:sz="4" w:space="0" w:color="auto"/>
              <w:right w:val="single" w:sz="4" w:space="0" w:color="auto"/>
            </w:tcBorders>
            <w:shd w:val="clear" w:color="000000" w:fill="F2F2F2"/>
            <w:noWrap/>
            <w:vAlign w:val="center"/>
            <w:hideMark/>
          </w:tcPr>
          <w:p w14:paraId="299E556B"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900643166</w:t>
            </w:r>
          </w:p>
        </w:tc>
        <w:tc>
          <w:tcPr>
            <w:tcW w:w="2180" w:type="dxa"/>
            <w:tcBorders>
              <w:top w:val="nil"/>
              <w:left w:val="nil"/>
              <w:bottom w:val="single" w:sz="4" w:space="0" w:color="auto"/>
              <w:right w:val="single" w:sz="4" w:space="0" w:color="auto"/>
            </w:tcBorders>
            <w:shd w:val="clear" w:color="000000" w:fill="F2F2F2"/>
            <w:vAlign w:val="center"/>
            <w:hideMark/>
          </w:tcPr>
          <w:p w14:paraId="3A3FA477"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CENTRAL DE HIDROCARBUROS GC SAS ESP</w:t>
            </w:r>
          </w:p>
        </w:tc>
        <w:tc>
          <w:tcPr>
            <w:tcW w:w="1520" w:type="dxa"/>
            <w:tcBorders>
              <w:top w:val="nil"/>
              <w:left w:val="nil"/>
              <w:bottom w:val="single" w:sz="4" w:space="0" w:color="auto"/>
              <w:right w:val="single" w:sz="4" w:space="0" w:color="auto"/>
            </w:tcBorders>
            <w:shd w:val="clear" w:color="000000" w:fill="F2F2F2"/>
            <w:noWrap/>
            <w:vAlign w:val="center"/>
            <w:hideMark/>
          </w:tcPr>
          <w:p w14:paraId="369544B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$ 106.617.000</w:t>
            </w:r>
          </w:p>
        </w:tc>
        <w:tc>
          <w:tcPr>
            <w:tcW w:w="1440" w:type="dxa"/>
            <w:tcBorders>
              <w:top w:val="nil"/>
              <w:left w:val="nil"/>
              <w:bottom w:val="single" w:sz="4" w:space="0" w:color="auto"/>
              <w:right w:val="single" w:sz="4" w:space="0" w:color="auto"/>
            </w:tcBorders>
            <w:shd w:val="clear" w:color="000000" w:fill="F2F2F2"/>
            <w:noWrap/>
            <w:vAlign w:val="center"/>
            <w:hideMark/>
          </w:tcPr>
          <w:p w14:paraId="177A185E"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$ 24.695.241</w:t>
            </w:r>
          </w:p>
        </w:tc>
        <w:tc>
          <w:tcPr>
            <w:tcW w:w="1460" w:type="dxa"/>
            <w:tcBorders>
              <w:top w:val="nil"/>
              <w:left w:val="nil"/>
              <w:bottom w:val="single" w:sz="4" w:space="0" w:color="auto"/>
              <w:right w:val="single" w:sz="4" w:space="0" w:color="auto"/>
            </w:tcBorders>
            <w:shd w:val="clear" w:color="000000" w:fill="F2F2F2"/>
            <w:noWrap/>
            <w:vAlign w:val="center"/>
            <w:hideMark/>
          </w:tcPr>
          <w:p w14:paraId="4205999A"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$ 131.312.241</w:t>
            </w:r>
          </w:p>
        </w:tc>
        <w:tc>
          <w:tcPr>
            <w:tcW w:w="1260" w:type="dxa"/>
            <w:tcBorders>
              <w:top w:val="nil"/>
              <w:left w:val="nil"/>
              <w:bottom w:val="single" w:sz="4" w:space="0" w:color="auto"/>
              <w:right w:val="single" w:sz="4" w:space="0" w:color="auto"/>
            </w:tcBorders>
            <w:shd w:val="clear" w:color="000000" w:fill="F2F2F2"/>
            <w:noWrap/>
            <w:vAlign w:val="center"/>
            <w:hideMark/>
          </w:tcPr>
          <w:p w14:paraId="6BE27F6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$ 1.313.122</w:t>
            </w:r>
          </w:p>
        </w:tc>
        <w:tc>
          <w:tcPr>
            <w:tcW w:w="1120" w:type="dxa"/>
            <w:tcBorders>
              <w:top w:val="nil"/>
              <w:left w:val="nil"/>
              <w:bottom w:val="single" w:sz="4" w:space="0" w:color="auto"/>
              <w:right w:val="single" w:sz="4" w:space="0" w:color="auto"/>
            </w:tcBorders>
            <w:shd w:val="clear" w:color="000000" w:fill="F2F2F2"/>
            <w:noWrap/>
            <w:vAlign w:val="center"/>
            <w:hideMark/>
          </w:tcPr>
          <w:p w14:paraId="6B3ED082"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$ 55</w:t>
            </w:r>
          </w:p>
        </w:tc>
        <w:tc>
          <w:tcPr>
            <w:tcW w:w="1260" w:type="dxa"/>
            <w:tcBorders>
              <w:top w:val="nil"/>
              <w:left w:val="nil"/>
              <w:bottom w:val="single" w:sz="4" w:space="0" w:color="auto"/>
              <w:right w:val="single" w:sz="4" w:space="0" w:color="auto"/>
            </w:tcBorders>
            <w:shd w:val="clear" w:color="000000" w:fill="F2F2F2"/>
            <w:noWrap/>
            <w:vAlign w:val="center"/>
            <w:hideMark/>
          </w:tcPr>
          <w:p w14:paraId="63D204A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$ 1.313.177</w:t>
            </w:r>
          </w:p>
        </w:tc>
        <w:tc>
          <w:tcPr>
            <w:tcW w:w="1920" w:type="dxa"/>
            <w:tcBorders>
              <w:top w:val="nil"/>
              <w:left w:val="nil"/>
              <w:bottom w:val="single" w:sz="4" w:space="0" w:color="auto"/>
              <w:right w:val="single" w:sz="4" w:space="0" w:color="auto"/>
            </w:tcBorders>
            <w:shd w:val="clear" w:color="000000" w:fill="F2F2F2"/>
            <w:vAlign w:val="center"/>
            <w:hideMark/>
          </w:tcPr>
          <w:p w14:paraId="0B0A985A"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GAS LICUADO DEL PETROLEO</w:t>
            </w:r>
          </w:p>
        </w:tc>
      </w:tr>
      <w:tr w:rsidR="00D705A6" w:rsidRPr="002E0BB9" w14:paraId="534D4D8A" w14:textId="77777777" w:rsidTr="0022053E">
        <w:trPr>
          <w:trHeight w:val="434"/>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3B519C64"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lastRenderedPageBreak/>
              <w:t>221</w:t>
            </w:r>
          </w:p>
        </w:tc>
        <w:tc>
          <w:tcPr>
            <w:tcW w:w="560" w:type="dxa"/>
            <w:tcBorders>
              <w:top w:val="nil"/>
              <w:left w:val="nil"/>
              <w:bottom w:val="single" w:sz="4" w:space="0" w:color="auto"/>
              <w:right w:val="single" w:sz="4" w:space="0" w:color="auto"/>
            </w:tcBorders>
            <w:shd w:val="clear" w:color="000000" w:fill="F2F2F2"/>
            <w:noWrap/>
            <w:vAlign w:val="center"/>
            <w:hideMark/>
          </w:tcPr>
          <w:p w14:paraId="44E97E7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33573</w:t>
            </w:r>
          </w:p>
        </w:tc>
        <w:tc>
          <w:tcPr>
            <w:tcW w:w="920" w:type="dxa"/>
            <w:tcBorders>
              <w:top w:val="nil"/>
              <w:left w:val="nil"/>
              <w:bottom w:val="single" w:sz="4" w:space="0" w:color="auto"/>
              <w:right w:val="single" w:sz="4" w:space="0" w:color="auto"/>
            </w:tcBorders>
            <w:shd w:val="clear" w:color="000000" w:fill="F2F2F2"/>
            <w:noWrap/>
            <w:vAlign w:val="center"/>
            <w:hideMark/>
          </w:tcPr>
          <w:p w14:paraId="4CA6A3A1"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900643723</w:t>
            </w:r>
          </w:p>
        </w:tc>
        <w:tc>
          <w:tcPr>
            <w:tcW w:w="2180" w:type="dxa"/>
            <w:tcBorders>
              <w:top w:val="nil"/>
              <w:left w:val="nil"/>
              <w:bottom w:val="single" w:sz="4" w:space="0" w:color="auto"/>
              <w:right w:val="single" w:sz="4" w:space="0" w:color="auto"/>
            </w:tcBorders>
            <w:shd w:val="clear" w:color="000000" w:fill="F2F2F2"/>
            <w:vAlign w:val="center"/>
            <w:hideMark/>
          </w:tcPr>
          <w:p w14:paraId="2FE03AFF"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xml:space="preserve">COMERCIALIZADORA </w:t>
            </w:r>
            <w:proofErr w:type="gramStart"/>
            <w:r w:rsidRPr="002E0BB9">
              <w:rPr>
                <w:rFonts w:ascii="Arial Narrow" w:hAnsi="Arial Narrow" w:cs="Arial"/>
                <w:spacing w:val="0"/>
                <w:sz w:val="16"/>
                <w:szCs w:val="16"/>
                <w:lang w:val="es-MX" w:eastAsia="es-MX"/>
              </w:rPr>
              <w:t>G.L.P  DEL</w:t>
            </w:r>
            <w:proofErr w:type="gramEnd"/>
            <w:r w:rsidRPr="002E0BB9">
              <w:rPr>
                <w:rFonts w:ascii="Arial Narrow" w:hAnsi="Arial Narrow" w:cs="Arial"/>
                <w:spacing w:val="0"/>
                <w:sz w:val="16"/>
                <w:szCs w:val="16"/>
                <w:lang w:val="es-MX" w:eastAsia="es-MX"/>
              </w:rPr>
              <w:t xml:space="preserve"> ORIENTE SAS   ESP</w:t>
            </w:r>
          </w:p>
        </w:tc>
        <w:tc>
          <w:tcPr>
            <w:tcW w:w="1520" w:type="dxa"/>
            <w:tcBorders>
              <w:top w:val="nil"/>
              <w:left w:val="nil"/>
              <w:bottom w:val="single" w:sz="4" w:space="0" w:color="auto"/>
              <w:right w:val="single" w:sz="4" w:space="0" w:color="auto"/>
            </w:tcBorders>
            <w:shd w:val="clear" w:color="000000" w:fill="F2F2F2"/>
            <w:noWrap/>
            <w:vAlign w:val="center"/>
            <w:hideMark/>
          </w:tcPr>
          <w:p w14:paraId="48440481"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$ 588.024.000</w:t>
            </w:r>
          </w:p>
        </w:tc>
        <w:tc>
          <w:tcPr>
            <w:tcW w:w="1440" w:type="dxa"/>
            <w:tcBorders>
              <w:top w:val="nil"/>
              <w:left w:val="nil"/>
              <w:bottom w:val="single" w:sz="4" w:space="0" w:color="auto"/>
              <w:right w:val="single" w:sz="4" w:space="0" w:color="auto"/>
            </w:tcBorders>
            <w:shd w:val="clear" w:color="000000" w:fill="F2F2F2"/>
            <w:noWrap/>
            <w:vAlign w:val="center"/>
            <w:hideMark/>
          </w:tcPr>
          <w:p w14:paraId="746DA7B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$ 17.993.014</w:t>
            </w:r>
          </w:p>
        </w:tc>
        <w:tc>
          <w:tcPr>
            <w:tcW w:w="1460" w:type="dxa"/>
            <w:tcBorders>
              <w:top w:val="nil"/>
              <w:left w:val="nil"/>
              <w:bottom w:val="single" w:sz="4" w:space="0" w:color="auto"/>
              <w:right w:val="single" w:sz="4" w:space="0" w:color="auto"/>
            </w:tcBorders>
            <w:shd w:val="clear" w:color="000000" w:fill="F2F2F2"/>
            <w:noWrap/>
            <w:vAlign w:val="center"/>
            <w:hideMark/>
          </w:tcPr>
          <w:p w14:paraId="2DC83C66"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$ 606.017.014</w:t>
            </w:r>
          </w:p>
        </w:tc>
        <w:tc>
          <w:tcPr>
            <w:tcW w:w="1260" w:type="dxa"/>
            <w:tcBorders>
              <w:top w:val="nil"/>
              <w:left w:val="nil"/>
              <w:bottom w:val="single" w:sz="4" w:space="0" w:color="auto"/>
              <w:right w:val="single" w:sz="4" w:space="0" w:color="auto"/>
            </w:tcBorders>
            <w:shd w:val="clear" w:color="000000" w:fill="F2F2F2"/>
            <w:noWrap/>
            <w:vAlign w:val="center"/>
            <w:hideMark/>
          </w:tcPr>
          <w:p w14:paraId="75C1E6F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$ 6.060.170</w:t>
            </w:r>
          </w:p>
        </w:tc>
        <w:tc>
          <w:tcPr>
            <w:tcW w:w="1120" w:type="dxa"/>
            <w:tcBorders>
              <w:top w:val="nil"/>
              <w:left w:val="nil"/>
              <w:bottom w:val="single" w:sz="4" w:space="0" w:color="auto"/>
              <w:right w:val="single" w:sz="4" w:space="0" w:color="auto"/>
            </w:tcBorders>
            <w:shd w:val="clear" w:color="000000" w:fill="F2F2F2"/>
            <w:noWrap/>
            <w:vAlign w:val="center"/>
            <w:hideMark/>
          </w:tcPr>
          <w:p w14:paraId="2AC5E69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$ 252</w:t>
            </w:r>
          </w:p>
        </w:tc>
        <w:tc>
          <w:tcPr>
            <w:tcW w:w="1260" w:type="dxa"/>
            <w:tcBorders>
              <w:top w:val="nil"/>
              <w:left w:val="nil"/>
              <w:bottom w:val="single" w:sz="4" w:space="0" w:color="auto"/>
              <w:right w:val="single" w:sz="4" w:space="0" w:color="auto"/>
            </w:tcBorders>
            <w:shd w:val="clear" w:color="000000" w:fill="F2F2F2"/>
            <w:noWrap/>
            <w:vAlign w:val="center"/>
            <w:hideMark/>
          </w:tcPr>
          <w:p w14:paraId="052B5745"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$ 6.060.422</w:t>
            </w:r>
          </w:p>
        </w:tc>
        <w:tc>
          <w:tcPr>
            <w:tcW w:w="1920" w:type="dxa"/>
            <w:tcBorders>
              <w:top w:val="nil"/>
              <w:left w:val="nil"/>
              <w:bottom w:val="single" w:sz="4" w:space="0" w:color="auto"/>
              <w:right w:val="single" w:sz="4" w:space="0" w:color="auto"/>
            </w:tcBorders>
            <w:shd w:val="clear" w:color="000000" w:fill="F2F2F2"/>
            <w:vAlign w:val="center"/>
            <w:hideMark/>
          </w:tcPr>
          <w:p w14:paraId="6ABF9894"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GAS LICUADO DEL PETROLEO</w:t>
            </w:r>
          </w:p>
        </w:tc>
      </w:tr>
      <w:tr w:rsidR="00D705A6" w:rsidRPr="002E0BB9" w14:paraId="447DB44C" w14:textId="77777777" w:rsidTr="00053706">
        <w:trPr>
          <w:trHeight w:val="674"/>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57A496ED"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222</w:t>
            </w:r>
          </w:p>
        </w:tc>
        <w:tc>
          <w:tcPr>
            <w:tcW w:w="560" w:type="dxa"/>
            <w:tcBorders>
              <w:top w:val="nil"/>
              <w:left w:val="nil"/>
              <w:bottom w:val="single" w:sz="4" w:space="0" w:color="auto"/>
              <w:right w:val="single" w:sz="4" w:space="0" w:color="auto"/>
            </w:tcBorders>
            <w:shd w:val="clear" w:color="000000" w:fill="F2F2F2"/>
            <w:noWrap/>
            <w:vAlign w:val="center"/>
            <w:hideMark/>
          </w:tcPr>
          <w:p w14:paraId="603EDC3C"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26772</w:t>
            </w:r>
          </w:p>
        </w:tc>
        <w:tc>
          <w:tcPr>
            <w:tcW w:w="920" w:type="dxa"/>
            <w:tcBorders>
              <w:top w:val="nil"/>
              <w:left w:val="nil"/>
              <w:bottom w:val="single" w:sz="4" w:space="0" w:color="auto"/>
              <w:right w:val="single" w:sz="4" w:space="0" w:color="auto"/>
            </w:tcBorders>
            <w:shd w:val="clear" w:color="000000" w:fill="F2F2F2"/>
            <w:noWrap/>
            <w:vAlign w:val="center"/>
            <w:hideMark/>
          </w:tcPr>
          <w:p w14:paraId="6693D757"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900648934</w:t>
            </w:r>
          </w:p>
        </w:tc>
        <w:tc>
          <w:tcPr>
            <w:tcW w:w="2180" w:type="dxa"/>
            <w:tcBorders>
              <w:top w:val="nil"/>
              <w:left w:val="nil"/>
              <w:bottom w:val="single" w:sz="4" w:space="0" w:color="auto"/>
              <w:right w:val="single" w:sz="4" w:space="0" w:color="auto"/>
            </w:tcBorders>
            <w:shd w:val="clear" w:color="000000" w:fill="F2F2F2"/>
            <w:vAlign w:val="center"/>
            <w:hideMark/>
          </w:tcPr>
          <w:p w14:paraId="50B913E0"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EMPRESA DE SERVICIOS PUBLICOS DE SANTANDER S.A.E.S.P.</w:t>
            </w:r>
          </w:p>
        </w:tc>
        <w:tc>
          <w:tcPr>
            <w:tcW w:w="1520" w:type="dxa"/>
            <w:tcBorders>
              <w:top w:val="nil"/>
              <w:left w:val="nil"/>
              <w:bottom w:val="single" w:sz="4" w:space="0" w:color="auto"/>
              <w:right w:val="single" w:sz="4" w:space="0" w:color="auto"/>
            </w:tcBorders>
            <w:shd w:val="clear" w:color="000000" w:fill="F2F2F2"/>
            <w:noWrap/>
            <w:vAlign w:val="center"/>
            <w:hideMark/>
          </w:tcPr>
          <w:p w14:paraId="673C481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$ 398.295.000</w:t>
            </w:r>
          </w:p>
        </w:tc>
        <w:tc>
          <w:tcPr>
            <w:tcW w:w="1440" w:type="dxa"/>
            <w:tcBorders>
              <w:top w:val="nil"/>
              <w:left w:val="nil"/>
              <w:bottom w:val="single" w:sz="4" w:space="0" w:color="auto"/>
              <w:right w:val="single" w:sz="4" w:space="0" w:color="auto"/>
            </w:tcBorders>
            <w:shd w:val="clear" w:color="000000" w:fill="F2F2F2"/>
            <w:noWrap/>
            <w:vAlign w:val="center"/>
            <w:hideMark/>
          </w:tcPr>
          <w:p w14:paraId="0EA6CB1D"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$ 0</w:t>
            </w:r>
          </w:p>
        </w:tc>
        <w:tc>
          <w:tcPr>
            <w:tcW w:w="1460" w:type="dxa"/>
            <w:tcBorders>
              <w:top w:val="nil"/>
              <w:left w:val="nil"/>
              <w:bottom w:val="single" w:sz="4" w:space="0" w:color="auto"/>
              <w:right w:val="single" w:sz="4" w:space="0" w:color="auto"/>
            </w:tcBorders>
            <w:shd w:val="clear" w:color="000000" w:fill="F2F2F2"/>
            <w:noWrap/>
            <w:vAlign w:val="center"/>
            <w:hideMark/>
          </w:tcPr>
          <w:p w14:paraId="2FCADDD2"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$ 398.295.000</w:t>
            </w:r>
          </w:p>
        </w:tc>
        <w:tc>
          <w:tcPr>
            <w:tcW w:w="1260" w:type="dxa"/>
            <w:tcBorders>
              <w:top w:val="nil"/>
              <w:left w:val="nil"/>
              <w:bottom w:val="single" w:sz="4" w:space="0" w:color="auto"/>
              <w:right w:val="single" w:sz="4" w:space="0" w:color="auto"/>
            </w:tcBorders>
            <w:shd w:val="clear" w:color="000000" w:fill="F2F2F2"/>
            <w:noWrap/>
            <w:vAlign w:val="center"/>
            <w:hideMark/>
          </w:tcPr>
          <w:p w14:paraId="14AC834E"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$ 3.982.950</w:t>
            </w:r>
          </w:p>
        </w:tc>
        <w:tc>
          <w:tcPr>
            <w:tcW w:w="1120" w:type="dxa"/>
            <w:tcBorders>
              <w:top w:val="nil"/>
              <w:left w:val="nil"/>
              <w:bottom w:val="single" w:sz="4" w:space="0" w:color="auto"/>
              <w:right w:val="single" w:sz="4" w:space="0" w:color="auto"/>
            </w:tcBorders>
            <w:shd w:val="clear" w:color="000000" w:fill="F2F2F2"/>
            <w:noWrap/>
            <w:vAlign w:val="center"/>
            <w:hideMark/>
          </w:tcPr>
          <w:p w14:paraId="3935FBC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$ 166</w:t>
            </w:r>
          </w:p>
        </w:tc>
        <w:tc>
          <w:tcPr>
            <w:tcW w:w="1260" w:type="dxa"/>
            <w:tcBorders>
              <w:top w:val="nil"/>
              <w:left w:val="nil"/>
              <w:bottom w:val="single" w:sz="4" w:space="0" w:color="auto"/>
              <w:right w:val="single" w:sz="4" w:space="0" w:color="auto"/>
            </w:tcBorders>
            <w:shd w:val="clear" w:color="000000" w:fill="F2F2F2"/>
            <w:noWrap/>
            <w:vAlign w:val="center"/>
            <w:hideMark/>
          </w:tcPr>
          <w:p w14:paraId="67092D8D"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$ 3.983.116</w:t>
            </w:r>
          </w:p>
        </w:tc>
        <w:tc>
          <w:tcPr>
            <w:tcW w:w="1920" w:type="dxa"/>
            <w:tcBorders>
              <w:top w:val="nil"/>
              <w:left w:val="nil"/>
              <w:bottom w:val="single" w:sz="4" w:space="0" w:color="auto"/>
              <w:right w:val="single" w:sz="4" w:space="0" w:color="auto"/>
            </w:tcBorders>
            <w:shd w:val="clear" w:color="000000" w:fill="F2F2F2"/>
            <w:vAlign w:val="center"/>
            <w:hideMark/>
          </w:tcPr>
          <w:p w14:paraId="66256AC3"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 - ACUEDUCTO - ALCANTARILLADO - ASEO</w:t>
            </w:r>
          </w:p>
        </w:tc>
      </w:tr>
      <w:tr w:rsidR="00D705A6" w:rsidRPr="002E0BB9" w14:paraId="76DB1CC3" w14:textId="77777777" w:rsidTr="007D1249">
        <w:trPr>
          <w:trHeight w:val="4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257AB24F"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223</w:t>
            </w:r>
          </w:p>
        </w:tc>
        <w:tc>
          <w:tcPr>
            <w:tcW w:w="560" w:type="dxa"/>
            <w:tcBorders>
              <w:top w:val="nil"/>
              <w:left w:val="nil"/>
              <w:bottom w:val="single" w:sz="4" w:space="0" w:color="auto"/>
              <w:right w:val="single" w:sz="4" w:space="0" w:color="auto"/>
            </w:tcBorders>
            <w:shd w:val="clear" w:color="000000" w:fill="F2F2F2"/>
            <w:noWrap/>
            <w:vAlign w:val="center"/>
            <w:hideMark/>
          </w:tcPr>
          <w:p w14:paraId="6F174D5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26992</w:t>
            </w:r>
          </w:p>
        </w:tc>
        <w:tc>
          <w:tcPr>
            <w:tcW w:w="920" w:type="dxa"/>
            <w:tcBorders>
              <w:top w:val="nil"/>
              <w:left w:val="nil"/>
              <w:bottom w:val="single" w:sz="4" w:space="0" w:color="auto"/>
              <w:right w:val="single" w:sz="4" w:space="0" w:color="auto"/>
            </w:tcBorders>
            <w:shd w:val="clear" w:color="000000" w:fill="F2F2F2"/>
            <w:noWrap/>
            <w:vAlign w:val="center"/>
            <w:hideMark/>
          </w:tcPr>
          <w:p w14:paraId="6BFF489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900652188</w:t>
            </w:r>
          </w:p>
        </w:tc>
        <w:tc>
          <w:tcPr>
            <w:tcW w:w="2180" w:type="dxa"/>
            <w:tcBorders>
              <w:top w:val="nil"/>
              <w:left w:val="nil"/>
              <w:bottom w:val="single" w:sz="4" w:space="0" w:color="auto"/>
              <w:right w:val="single" w:sz="4" w:space="0" w:color="auto"/>
            </w:tcBorders>
            <w:shd w:val="clear" w:color="000000" w:fill="F2F2F2"/>
            <w:vAlign w:val="center"/>
            <w:hideMark/>
          </w:tcPr>
          <w:p w14:paraId="3B8FB89E"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REDEGAS DOMICILIARIO S. A.  ESP</w:t>
            </w:r>
          </w:p>
        </w:tc>
        <w:tc>
          <w:tcPr>
            <w:tcW w:w="1520" w:type="dxa"/>
            <w:tcBorders>
              <w:top w:val="nil"/>
              <w:left w:val="nil"/>
              <w:bottom w:val="single" w:sz="4" w:space="0" w:color="auto"/>
              <w:right w:val="single" w:sz="4" w:space="0" w:color="auto"/>
            </w:tcBorders>
            <w:shd w:val="clear" w:color="000000" w:fill="F2F2F2"/>
            <w:noWrap/>
            <w:vAlign w:val="center"/>
            <w:hideMark/>
          </w:tcPr>
          <w:p w14:paraId="13AA6C6E"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$ 425.102.000</w:t>
            </w:r>
          </w:p>
        </w:tc>
        <w:tc>
          <w:tcPr>
            <w:tcW w:w="1440" w:type="dxa"/>
            <w:tcBorders>
              <w:top w:val="nil"/>
              <w:left w:val="nil"/>
              <w:bottom w:val="single" w:sz="4" w:space="0" w:color="auto"/>
              <w:right w:val="single" w:sz="4" w:space="0" w:color="auto"/>
            </w:tcBorders>
            <w:shd w:val="clear" w:color="000000" w:fill="F2F2F2"/>
            <w:noWrap/>
            <w:vAlign w:val="center"/>
            <w:hideMark/>
          </w:tcPr>
          <w:p w14:paraId="0C0E621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$ 8.187.282</w:t>
            </w:r>
          </w:p>
        </w:tc>
        <w:tc>
          <w:tcPr>
            <w:tcW w:w="1460" w:type="dxa"/>
            <w:tcBorders>
              <w:top w:val="nil"/>
              <w:left w:val="nil"/>
              <w:bottom w:val="single" w:sz="4" w:space="0" w:color="auto"/>
              <w:right w:val="single" w:sz="4" w:space="0" w:color="auto"/>
            </w:tcBorders>
            <w:shd w:val="clear" w:color="000000" w:fill="F2F2F2"/>
            <w:noWrap/>
            <w:vAlign w:val="center"/>
            <w:hideMark/>
          </w:tcPr>
          <w:p w14:paraId="1ED52987"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$ 433.289.282</w:t>
            </w:r>
          </w:p>
        </w:tc>
        <w:tc>
          <w:tcPr>
            <w:tcW w:w="1260" w:type="dxa"/>
            <w:tcBorders>
              <w:top w:val="nil"/>
              <w:left w:val="nil"/>
              <w:bottom w:val="single" w:sz="4" w:space="0" w:color="auto"/>
              <w:right w:val="single" w:sz="4" w:space="0" w:color="auto"/>
            </w:tcBorders>
            <w:shd w:val="clear" w:color="000000" w:fill="F2F2F2"/>
            <w:noWrap/>
            <w:vAlign w:val="center"/>
            <w:hideMark/>
          </w:tcPr>
          <w:p w14:paraId="72A6E37A"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$ 4.332.893</w:t>
            </w:r>
          </w:p>
        </w:tc>
        <w:tc>
          <w:tcPr>
            <w:tcW w:w="1120" w:type="dxa"/>
            <w:tcBorders>
              <w:top w:val="nil"/>
              <w:left w:val="nil"/>
              <w:bottom w:val="single" w:sz="4" w:space="0" w:color="auto"/>
              <w:right w:val="single" w:sz="4" w:space="0" w:color="auto"/>
            </w:tcBorders>
            <w:shd w:val="clear" w:color="000000" w:fill="F2F2F2"/>
            <w:noWrap/>
            <w:vAlign w:val="center"/>
            <w:hideMark/>
          </w:tcPr>
          <w:p w14:paraId="0771AB72"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$ 180</w:t>
            </w:r>
          </w:p>
        </w:tc>
        <w:tc>
          <w:tcPr>
            <w:tcW w:w="1260" w:type="dxa"/>
            <w:tcBorders>
              <w:top w:val="nil"/>
              <w:left w:val="nil"/>
              <w:bottom w:val="single" w:sz="4" w:space="0" w:color="auto"/>
              <w:right w:val="single" w:sz="4" w:space="0" w:color="auto"/>
            </w:tcBorders>
            <w:shd w:val="clear" w:color="000000" w:fill="F2F2F2"/>
            <w:noWrap/>
            <w:vAlign w:val="center"/>
            <w:hideMark/>
          </w:tcPr>
          <w:p w14:paraId="2ECAEC16"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$ 4.333.073</w:t>
            </w:r>
          </w:p>
        </w:tc>
        <w:tc>
          <w:tcPr>
            <w:tcW w:w="1920" w:type="dxa"/>
            <w:tcBorders>
              <w:top w:val="nil"/>
              <w:left w:val="nil"/>
              <w:bottom w:val="single" w:sz="4" w:space="0" w:color="auto"/>
              <w:right w:val="single" w:sz="4" w:space="0" w:color="auto"/>
            </w:tcBorders>
            <w:shd w:val="clear" w:color="000000" w:fill="F2F2F2"/>
            <w:vAlign w:val="center"/>
            <w:hideMark/>
          </w:tcPr>
          <w:p w14:paraId="39CFE042"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GAS POR REDES</w:t>
            </w:r>
          </w:p>
        </w:tc>
      </w:tr>
      <w:tr w:rsidR="00D705A6" w:rsidRPr="002E0BB9" w14:paraId="28D1D3CE" w14:textId="77777777" w:rsidTr="00053706">
        <w:trPr>
          <w:trHeight w:val="279"/>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4EEB6E68"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224</w:t>
            </w:r>
          </w:p>
        </w:tc>
        <w:tc>
          <w:tcPr>
            <w:tcW w:w="560" w:type="dxa"/>
            <w:tcBorders>
              <w:top w:val="nil"/>
              <w:left w:val="nil"/>
              <w:bottom w:val="single" w:sz="4" w:space="0" w:color="auto"/>
              <w:right w:val="single" w:sz="4" w:space="0" w:color="auto"/>
            </w:tcBorders>
            <w:shd w:val="clear" w:color="000000" w:fill="F2F2F2"/>
            <w:noWrap/>
            <w:vAlign w:val="center"/>
            <w:hideMark/>
          </w:tcPr>
          <w:p w14:paraId="38F77881"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27631</w:t>
            </w:r>
          </w:p>
        </w:tc>
        <w:tc>
          <w:tcPr>
            <w:tcW w:w="920" w:type="dxa"/>
            <w:tcBorders>
              <w:top w:val="nil"/>
              <w:left w:val="nil"/>
              <w:bottom w:val="single" w:sz="4" w:space="0" w:color="auto"/>
              <w:right w:val="single" w:sz="4" w:space="0" w:color="auto"/>
            </w:tcBorders>
            <w:shd w:val="clear" w:color="000000" w:fill="F2F2F2"/>
            <w:noWrap/>
            <w:vAlign w:val="center"/>
            <w:hideMark/>
          </w:tcPr>
          <w:p w14:paraId="08D6B5D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900652334</w:t>
            </w:r>
          </w:p>
        </w:tc>
        <w:tc>
          <w:tcPr>
            <w:tcW w:w="2180" w:type="dxa"/>
            <w:tcBorders>
              <w:top w:val="nil"/>
              <w:left w:val="nil"/>
              <w:bottom w:val="single" w:sz="4" w:space="0" w:color="auto"/>
              <w:right w:val="single" w:sz="4" w:space="0" w:color="auto"/>
            </w:tcBorders>
            <w:shd w:val="clear" w:color="000000" w:fill="F2F2F2"/>
            <w:vAlign w:val="center"/>
            <w:hideMark/>
          </w:tcPr>
          <w:p w14:paraId="300AF629"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RIOPAILA ENERGÍA SAS ESP</w:t>
            </w:r>
          </w:p>
        </w:tc>
        <w:tc>
          <w:tcPr>
            <w:tcW w:w="1520" w:type="dxa"/>
            <w:tcBorders>
              <w:top w:val="nil"/>
              <w:left w:val="nil"/>
              <w:bottom w:val="single" w:sz="4" w:space="0" w:color="auto"/>
              <w:right w:val="single" w:sz="4" w:space="0" w:color="auto"/>
            </w:tcBorders>
            <w:shd w:val="clear" w:color="000000" w:fill="F2F2F2"/>
            <w:noWrap/>
            <w:vAlign w:val="center"/>
            <w:hideMark/>
          </w:tcPr>
          <w:p w14:paraId="2F9262CE"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$ 740.292.000</w:t>
            </w:r>
          </w:p>
        </w:tc>
        <w:tc>
          <w:tcPr>
            <w:tcW w:w="1440" w:type="dxa"/>
            <w:tcBorders>
              <w:top w:val="nil"/>
              <w:left w:val="nil"/>
              <w:bottom w:val="single" w:sz="4" w:space="0" w:color="auto"/>
              <w:right w:val="single" w:sz="4" w:space="0" w:color="auto"/>
            </w:tcBorders>
            <w:shd w:val="clear" w:color="000000" w:fill="F2F2F2"/>
            <w:noWrap/>
            <w:vAlign w:val="center"/>
            <w:hideMark/>
          </w:tcPr>
          <w:p w14:paraId="1DE53F7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$ 67.428.911</w:t>
            </w:r>
          </w:p>
        </w:tc>
        <w:tc>
          <w:tcPr>
            <w:tcW w:w="1460" w:type="dxa"/>
            <w:tcBorders>
              <w:top w:val="nil"/>
              <w:left w:val="nil"/>
              <w:bottom w:val="single" w:sz="4" w:space="0" w:color="auto"/>
              <w:right w:val="single" w:sz="4" w:space="0" w:color="auto"/>
            </w:tcBorders>
            <w:shd w:val="clear" w:color="000000" w:fill="F2F2F2"/>
            <w:noWrap/>
            <w:vAlign w:val="center"/>
            <w:hideMark/>
          </w:tcPr>
          <w:p w14:paraId="7EC1A9A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$ 807.720.911</w:t>
            </w:r>
          </w:p>
        </w:tc>
        <w:tc>
          <w:tcPr>
            <w:tcW w:w="1260" w:type="dxa"/>
            <w:tcBorders>
              <w:top w:val="nil"/>
              <w:left w:val="nil"/>
              <w:bottom w:val="single" w:sz="4" w:space="0" w:color="auto"/>
              <w:right w:val="single" w:sz="4" w:space="0" w:color="auto"/>
            </w:tcBorders>
            <w:shd w:val="clear" w:color="000000" w:fill="F2F2F2"/>
            <w:noWrap/>
            <w:vAlign w:val="center"/>
            <w:hideMark/>
          </w:tcPr>
          <w:p w14:paraId="66954BB2"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$ 8.077.209</w:t>
            </w:r>
          </w:p>
        </w:tc>
        <w:tc>
          <w:tcPr>
            <w:tcW w:w="1120" w:type="dxa"/>
            <w:tcBorders>
              <w:top w:val="nil"/>
              <w:left w:val="nil"/>
              <w:bottom w:val="single" w:sz="4" w:space="0" w:color="auto"/>
              <w:right w:val="single" w:sz="4" w:space="0" w:color="auto"/>
            </w:tcBorders>
            <w:shd w:val="clear" w:color="000000" w:fill="F2F2F2"/>
            <w:noWrap/>
            <w:vAlign w:val="center"/>
            <w:hideMark/>
          </w:tcPr>
          <w:p w14:paraId="0885CD26"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$ 336</w:t>
            </w:r>
          </w:p>
        </w:tc>
        <w:tc>
          <w:tcPr>
            <w:tcW w:w="1260" w:type="dxa"/>
            <w:tcBorders>
              <w:top w:val="nil"/>
              <w:left w:val="nil"/>
              <w:bottom w:val="single" w:sz="4" w:space="0" w:color="auto"/>
              <w:right w:val="single" w:sz="4" w:space="0" w:color="auto"/>
            </w:tcBorders>
            <w:shd w:val="clear" w:color="000000" w:fill="F2F2F2"/>
            <w:noWrap/>
            <w:vAlign w:val="center"/>
            <w:hideMark/>
          </w:tcPr>
          <w:p w14:paraId="101BEA5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$ 8.077.545</w:t>
            </w:r>
          </w:p>
        </w:tc>
        <w:tc>
          <w:tcPr>
            <w:tcW w:w="1920" w:type="dxa"/>
            <w:tcBorders>
              <w:top w:val="nil"/>
              <w:left w:val="nil"/>
              <w:bottom w:val="single" w:sz="4" w:space="0" w:color="auto"/>
              <w:right w:val="single" w:sz="4" w:space="0" w:color="auto"/>
            </w:tcBorders>
            <w:shd w:val="clear" w:color="000000" w:fill="F2F2F2"/>
            <w:vAlign w:val="center"/>
            <w:hideMark/>
          </w:tcPr>
          <w:p w14:paraId="19FA0D02"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w:t>
            </w:r>
          </w:p>
        </w:tc>
      </w:tr>
      <w:tr w:rsidR="00D705A6" w:rsidRPr="002E0BB9" w14:paraId="734B0219" w14:textId="77777777" w:rsidTr="007D1249">
        <w:trPr>
          <w:trHeight w:val="4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14B743A8"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225</w:t>
            </w:r>
          </w:p>
        </w:tc>
        <w:tc>
          <w:tcPr>
            <w:tcW w:w="560" w:type="dxa"/>
            <w:tcBorders>
              <w:top w:val="nil"/>
              <w:left w:val="nil"/>
              <w:bottom w:val="single" w:sz="4" w:space="0" w:color="auto"/>
              <w:right w:val="single" w:sz="4" w:space="0" w:color="auto"/>
            </w:tcBorders>
            <w:shd w:val="clear" w:color="000000" w:fill="F2F2F2"/>
            <w:noWrap/>
            <w:vAlign w:val="center"/>
            <w:hideMark/>
          </w:tcPr>
          <w:p w14:paraId="55AB31E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32213</w:t>
            </w:r>
          </w:p>
        </w:tc>
        <w:tc>
          <w:tcPr>
            <w:tcW w:w="920" w:type="dxa"/>
            <w:tcBorders>
              <w:top w:val="nil"/>
              <w:left w:val="nil"/>
              <w:bottom w:val="single" w:sz="4" w:space="0" w:color="auto"/>
              <w:right w:val="single" w:sz="4" w:space="0" w:color="auto"/>
            </w:tcBorders>
            <w:shd w:val="clear" w:color="000000" w:fill="F2F2F2"/>
            <w:noWrap/>
            <w:vAlign w:val="center"/>
            <w:hideMark/>
          </w:tcPr>
          <w:p w14:paraId="23A5B19A"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900653272</w:t>
            </w:r>
          </w:p>
        </w:tc>
        <w:tc>
          <w:tcPr>
            <w:tcW w:w="2180" w:type="dxa"/>
            <w:tcBorders>
              <w:top w:val="nil"/>
              <w:left w:val="nil"/>
              <w:bottom w:val="single" w:sz="4" w:space="0" w:color="auto"/>
              <w:right w:val="single" w:sz="4" w:space="0" w:color="auto"/>
            </w:tcBorders>
            <w:shd w:val="clear" w:color="000000" w:fill="F2F2F2"/>
            <w:vAlign w:val="center"/>
            <w:hideMark/>
          </w:tcPr>
          <w:p w14:paraId="269B1625"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KEOPS Y ASOCIADOS SAS ESP</w:t>
            </w:r>
          </w:p>
        </w:tc>
        <w:tc>
          <w:tcPr>
            <w:tcW w:w="1520" w:type="dxa"/>
            <w:tcBorders>
              <w:top w:val="nil"/>
              <w:left w:val="nil"/>
              <w:bottom w:val="single" w:sz="4" w:space="0" w:color="auto"/>
              <w:right w:val="single" w:sz="4" w:space="0" w:color="auto"/>
            </w:tcBorders>
            <w:shd w:val="clear" w:color="000000" w:fill="F2F2F2"/>
            <w:noWrap/>
            <w:vAlign w:val="center"/>
            <w:hideMark/>
          </w:tcPr>
          <w:p w14:paraId="26AD61E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$ 411.354.000</w:t>
            </w:r>
          </w:p>
        </w:tc>
        <w:tc>
          <w:tcPr>
            <w:tcW w:w="1440" w:type="dxa"/>
            <w:tcBorders>
              <w:top w:val="nil"/>
              <w:left w:val="nil"/>
              <w:bottom w:val="single" w:sz="4" w:space="0" w:color="auto"/>
              <w:right w:val="single" w:sz="4" w:space="0" w:color="auto"/>
            </w:tcBorders>
            <w:shd w:val="clear" w:color="000000" w:fill="F2F2F2"/>
            <w:noWrap/>
            <w:vAlign w:val="center"/>
            <w:hideMark/>
          </w:tcPr>
          <w:p w14:paraId="6492D527"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$ 19.606.584</w:t>
            </w:r>
          </w:p>
        </w:tc>
        <w:tc>
          <w:tcPr>
            <w:tcW w:w="1460" w:type="dxa"/>
            <w:tcBorders>
              <w:top w:val="nil"/>
              <w:left w:val="nil"/>
              <w:bottom w:val="single" w:sz="4" w:space="0" w:color="auto"/>
              <w:right w:val="single" w:sz="4" w:space="0" w:color="auto"/>
            </w:tcBorders>
            <w:shd w:val="clear" w:color="000000" w:fill="F2F2F2"/>
            <w:noWrap/>
            <w:vAlign w:val="center"/>
            <w:hideMark/>
          </w:tcPr>
          <w:p w14:paraId="7008365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$ 430.960.584</w:t>
            </w:r>
          </w:p>
        </w:tc>
        <w:tc>
          <w:tcPr>
            <w:tcW w:w="1260" w:type="dxa"/>
            <w:tcBorders>
              <w:top w:val="nil"/>
              <w:left w:val="nil"/>
              <w:bottom w:val="single" w:sz="4" w:space="0" w:color="auto"/>
              <w:right w:val="single" w:sz="4" w:space="0" w:color="auto"/>
            </w:tcBorders>
            <w:shd w:val="clear" w:color="000000" w:fill="F2F2F2"/>
            <w:noWrap/>
            <w:vAlign w:val="center"/>
            <w:hideMark/>
          </w:tcPr>
          <w:p w14:paraId="061AC85C"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$ 4.309.606</w:t>
            </w:r>
          </w:p>
        </w:tc>
        <w:tc>
          <w:tcPr>
            <w:tcW w:w="1120" w:type="dxa"/>
            <w:tcBorders>
              <w:top w:val="nil"/>
              <w:left w:val="nil"/>
              <w:bottom w:val="single" w:sz="4" w:space="0" w:color="auto"/>
              <w:right w:val="single" w:sz="4" w:space="0" w:color="auto"/>
            </w:tcBorders>
            <w:shd w:val="clear" w:color="000000" w:fill="F2F2F2"/>
            <w:noWrap/>
            <w:vAlign w:val="center"/>
            <w:hideMark/>
          </w:tcPr>
          <w:p w14:paraId="4C852FFD"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$ 179</w:t>
            </w:r>
          </w:p>
        </w:tc>
        <w:tc>
          <w:tcPr>
            <w:tcW w:w="1260" w:type="dxa"/>
            <w:tcBorders>
              <w:top w:val="nil"/>
              <w:left w:val="nil"/>
              <w:bottom w:val="single" w:sz="4" w:space="0" w:color="auto"/>
              <w:right w:val="single" w:sz="4" w:space="0" w:color="auto"/>
            </w:tcBorders>
            <w:shd w:val="clear" w:color="000000" w:fill="F2F2F2"/>
            <w:noWrap/>
            <w:vAlign w:val="center"/>
            <w:hideMark/>
          </w:tcPr>
          <w:p w14:paraId="2C8ECA16"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$ 4.309.785</w:t>
            </w:r>
          </w:p>
        </w:tc>
        <w:tc>
          <w:tcPr>
            <w:tcW w:w="1920" w:type="dxa"/>
            <w:tcBorders>
              <w:top w:val="nil"/>
              <w:left w:val="nil"/>
              <w:bottom w:val="single" w:sz="4" w:space="0" w:color="auto"/>
              <w:right w:val="single" w:sz="4" w:space="0" w:color="auto"/>
            </w:tcBorders>
            <w:shd w:val="clear" w:color="000000" w:fill="F2F2F2"/>
            <w:vAlign w:val="center"/>
            <w:hideMark/>
          </w:tcPr>
          <w:p w14:paraId="7CEB8B46"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GAS POR REDES</w:t>
            </w:r>
          </w:p>
        </w:tc>
      </w:tr>
      <w:tr w:rsidR="00D705A6" w:rsidRPr="002E0BB9" w14:paraId="784EDB71" w14:textId="77777777" w:rsidTr="007D1249">
        <w:trPr>
          <w:trHeight w:val="4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1F9C7B16"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226</w:t>
            </w:r>
          </w:p>
        </w:tc>
        <w:tc>
          <w:tcPr>
            <w:tcW w:w="560" w:type="dxa"/>
            <w:tcBorders>
              <w:top w:val="nil"/>
              <w:left w:val="nil"/>
              <w:bottom w:val="single" w:sz="4" w:space="0" w:color="auto"/>
              <w:right w:val="single" w:sz="4" w:space="0" w:color="auto"/>
            </w:tcBorders>
            <w:shd w:val="clear" w:color="000000" w:fill="F2F2F2"/>
            <w:noWrap/>
            <w:vAlign w:val="center"/>
            <w:hideMark/>
          </w:tcPr>
          <w:p w14:paraId="512AB42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44956</w:t>
            </w:r>
          </w:p>
        </w:tc>
        <w:tc>
          <w:tcPr>
            <w:tcW w:w="920" w:type="dxa"/>
            <w:tcBorders>
              <w:top w:val="nil"/>
              <w:left w:val="nil"/>
              <w:bottom w:val="single" w:sz="4" w:space="0" w:color="auto"/>
              <w:right w:val="single" w:sz="4" w:space="0" w:color="auto"/>
            </w:tcBorders>
            <w:shd w:val="clear" w:color="000000" w:fill="F2F2F2"/>
            <w:noWrap/>
            <w:vAlign w:val="center"/>
            <w:hideMark/>
          </w:tcPr>
          <w:p w14:paraId="6E4E796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900654403</w:t>
            </w:r>
          </w:p>
        </w:tc>
        <w:tc>
          <w:tcPr>
            <w:tcW w:w="2180" w:type="dxa"/>
            <w:tcBorders>
              <w:top w:val="nil"/>
              <w:left w:val="nil"/>
              <w:bottom w:val="single" w:sz="4" w:space="0" w:color="auto"/>
              <w:right w:val="single" w:sz="4" w:space="0" w:color="auto"/>
            </w:tcBorders>
            <w:shd w:val="clear" w:color="000000" w:fill="F2F2F2"/>
            <w:vAlign w:val="center"/>
            <w:hideMark/>
          </w:tcPr>
          <w:p w14:paraId="539590C8"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VOLTAJE EMPRESARIAL SAS ESP</w:t>
            </w:r>
          </w:p>
        </w:tc>
        <w:tc>
          <w:tcPr>
            <w:tcW w:w="1520" w:type="dxa"/>
            <w:tcBorders>
              <w:top w:val="nil"/>
              <w:left w:val="nil"/>
              <w:bottom w:val="single" w:sz="4" w:space="0" w:color="auto"/>
              <w:right w:val="single" w:sz="4" w:space="0" w:color="auto"/>
            </w:tcBorders>
            <w:shd w:val="clear" w:color="000000" w:fill="F2F2F2"/>
            <w:noWrap/>
            <w:vAlign w:val="center"/>
            <w:hideMark/>
          </w:tcPr>
          <w:p w14:paraId="2BE0336E"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$ 191.547.000</w:t>
            </w:r>
          </w:p>
        </w:tc>
        <w:tc>
          <w:tcPr>
            <w:tcW w:w="1440" w:type="dxa"/>
            <w:tcBorders>
              <w:top w:val="nil"/>
              <w:left w:val="nil"/>
              <w:bottom w:val="single" w:sz="4" w:space="0" w:color="auto"/>
              <w:right w:val="single" w:sz="4" w:space="0" w:color="auto"/>
            </w:tcBorders>
            <w:shd w:val="clear" w:color="000000" w:fill="F2F2F2"/>
            <w:noWrap/>
            <w:vAlign w:val="center"/>
            <w:hideMark/>
          </w:tcPr>
          <w:p w14:paraId="5321D69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$ 55.059.615</w:t>
            </w:r>
          </w:p>
        </w:tc>
        <w:tc>
          <w:tcPr>
            <w:tcW w:w="1460" w:type="dxa"/>
            <w:tcBorders>
              <w:top w:val="nil"/>
              <w:left w:val="nil"/>
              <w:bottom w:val="single" w:sz="4" w:space="0" w:color="auto"/>
              <w:right w:val="single" w:sz="4" w:space="0" w:color="auto"/>
            </w:tcBorders>
            <w:shd w:val="clear" w:color="000000" w:fill="F2F2F2"/>
            <w:noWrap/>
            <w:vAlign w:val="center"/>
            <w:hideMark/>
          </w:tcPr>
          <w:p w14:paraId="5431E0E1"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$ 246.606.615</w:t>
            </w:r>
          </w:p>
        </w:tc>
        <w:tc>
          <w:tcPr>
            <w:tcW w:w="1260" w:type="dxa"/>
            <w:tcBorders>
              <w:top w:val="nil"/>
              <w:left w:val="nil"/>
              <w:bottom w:val="single" w:sz="4" w:space="0" w:color="auto"/>
              <w:right w:val="single" w:sz="4" w:space="0" w:color="auto"/>
            </w:tcBorders>
            <w:shd w:val="clear" w:color="000000" w:fill="F2F2F2"/>
            <w:noWrap/>
            <w:vAlign w:val="center"/>
            <w:hideMark/>
          </w:tcPr>
          <w:p w14:paraId="188CEDE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$ 2.466.066</w:t>
            </w:r>
          </w:p>
        </w:tc>
        <w:tc>
          <w:tcPr>
            <w:tcW w:w="1120" w:type="dxa"/>
            <w:tcBorders>
              <w:top w:val="nil"/>
              <w:left w:val="nil"/>
              <w:bottom w:val="single" w:sz="4" w:space="0" w:color="auto"/>
              <w:right w:val="single" w:sz="4" w:space="0" w:color="auto"/>
            </w:tcBorders>
            <w:shd w:val="clear" w:color="000000" w:fill="F2F2F2"/>
            <w:noWrap/>
            <w:vAlign w:val="center"/>
            <w:hideMark/>
          </w:tcPr>
          <w:p w14:paraId="718FB2C6"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$ 103</w:t>
            </w:r>
          </w:p>
        </w:tc>
        <w:tc>
          <w:tcPr>
            <w:tcW w:w="1260" w:type="dxa"/>
            <w:tcBorders>
              <w:top w:val="nil"/>
              <w:left w:val="nil"/>
              <w:bottom w:val="single" w:sz="4" w:space="0" w:color="auto"/>
              <w:right w:val="single" w:sz="4" w:space="0" w:color="auto"/>
            </w:tcBorders>
            <w:shd w:val="clear" w:color="000000" w:fill="F2F2F2"/>
            <w:noWrap/>
            <w:vAlign w:val="center"/>
            <w:hideMark/>
          </w:tcPr>
          <w:p w14:paraId="30CA397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$ 2.466.169</w:t>
            </w:r>
          </w:p>
        </w:tc>
        <w:tc>
          <w:tcPr>
            <w:tcW w:w="1920" w:type="dxa"/>
            <w:tcBorders>
              <w:top w:val="nil"/>
              <w:left w:val="nil"/>
              <w:bottom w:val="single" w:sz="4" w:space="0" w:color="auto"/>
              <w:right w:val="single" w:sz="4" w:space="0" w:color="auto"/>
            </w:tcBorders>
            <w:shd w:val="clear" w:color="000000" w:fill="F2F2F2"/>
            <w:vAlign w:val="center"/>
            <w:hideMark/>
          </w:tcPr>
          <w:p w14:paraId="590A398E"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w:t>
            </w:r>
          </w:p>
        </w:tc>
      </w:tr>
      <w:tr w:rsidR="00D705A6" w:rsidRPr="002E0BB9" w14:paraId="1CC1CD97" w14:textId="77777777" w:rsidTr="007D1249">
        <w:trPr>
          <w:trHeight w:val="4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04457C9C"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227</w:t>
            </w:r>
          </w:p>
        </w:tc>
        <w:tc>
          <w:tcPr>
            <w:tcW w:w="560" w:type="dxa"/>
            <w:tcBorders>
              <w:top w:val="nil"/>
              <w:left w:val="nil"/>
              <w:bottom w:val="single" w:sz="4" w:space="0" w:color="auto"/>
              <w:right w:val="single" w:sz="4" w:space="0" w:color="auto"/>
            </w:tcBorders>
            <w:shd w:val="clear" w:color="000000" w:fill="F2F2F2"/>
            <w:noWrap/>
            <w:vAlign w:val="center"/>
            <w:hideMark/>
          </w:tcPr>
          <w:p w14:paraId="78CA183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39854</w:t>
            </w:r>
          </w:p>
        </w:tc>
        <w:tc>
          <w:tcPr>
            <w:tcW w:w="920" w:type="dxa"/>
            <w:tcBorders>
              <w:top w:val="nil"/>
              <w:left w:val="nil"/>
              <w:bottom w:val="single" w:sz="4" w:space="0" w:color="auto"/>
              <w:right w:val="single" w:sz="4" w:space="0" w:color="auto"/>
            </w:tcBorders>
            <w:shd w:val="clear" w:color="000000" w:fill="F2F2F2"/>
            <w:noWrap/>
            <w:vAlign w:val="center"/>
            <w:hideMark/>
          </w:tcPr>
          <w:p w14:paraId="7C0F712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900660650</w:t>
            </w:r>
          </w:p>
        </w:tc>
        <w:tc>
          <w:tcPr>
            <w:tcW w:w="2180" w:type="dxa"/>
            <w:tcBorders>
              <w:top w:val="nil"/>
              <w:left w:val="nil"/>
              <w:bottom w:val="single" w:sz="4" w:space="0" w:color="auto"/>
              <w:right w:val="single" w:sz="4" w:space="0" w:color="auto"/>
            </w:tcBorders>
            <w:shd w:val="clear" w:color="000000" w:fill="F2F2F2"/>
            <w:vAlign w:val="center"/>
            <w:hideMark/>
          </w:tcPr>
          <w:p w14:paraId="7776004C"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GENERADORA CANTAYUS SAS ESP</w:t>
            </w:r>
          </w:p>
        </w:tc>
        <w:tc>
          <w:tcPr>
            <w:tcW w:w="1520" w:type="dxa"/>
            <w:tcBorders>
              <w:top w:val="nil"/>
              <w:left w:val="nil"/>
              <w:bottom w:val="single" w:sz="4" w:space="0" w:color="auto"/>
              <w:right w:val="single" w:sz="4" w:space="0" w:color="auto"/>
            </w:tcBorders>
            <w:shd w:val="clear" w:color="000000" w:fill="F2F2F2"/>
            <w:noWrap/>
            <w:vAlign w:val="center"/>
            <w:hideMark/>
          </w:tcPr>
          <w:p w14:paraId="04F656EE"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$ 320.437.000</w:t>
            </w:r>
          </w:p>
        </w:tc>
        <w:tc>
          <w:tcPr>
            <w:tcW w:w="1440" w:type="dxa"/>
            <w:tcBorders>
              <w:top w:val="nil"/>
              <w:left w:val="nil"/>
              <w:bottom w:val="single" w:sz="4" w:space="0" w:color="auto"/>
              <w:right w:val="single" w:sz="4" w:space="0" w:color="auto"/>
            </w:tcBorders>
            <w:shd w:val="clear" w:color="000000" w:fill="F2F2F2"/>
            <w:noWrap/>
            <w:vAlign w:val="center"/>
            <w:hideMark/>
          </w:tcPr>
          <w:p w14:paraId="79718A8D"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$ 0</w:t>
            </w:r>
          </w:p>
        </w:tc>
        <w:tc>
          <w:tcPr>
            <w:tcW w:w="1460" w:type="dxa"/>
            <w:tcBorders>
              <w:top w:val="nil"/>
              <w:left w:val="nil"/>
              <w:bottom w:val="single" w:sz="4" w:space="0" w:color="auto"/>
              <w:right w:val="single" w:sz="4" w:space="0" w:color="auto"/>
            </w:tcBorders>
            <w:shd w:val="clear" w:color="000000" w:fill="F2F2F2"/>
            <w:noWrap/>
            <w:vAlign w:val="center"/>
            <w:hideMark/>
          </w:tcPr>
          <w:p w14:paraId="13DD35DE"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$ 320.437.000</w:t>
            </w:r>
          </w:p>
        </w:tc>
        <w:tc>
          <w:tcPr>
            <w:tcW w:w="1260" w:type="dxa"/>
            <w:tcBorders>
              <w:top w:val="nil"/>
              <w:left w:val="nil"/>
              <w:bottom w:val="single" w:sz="4" w:space="0" w:color="auto"/>
              <w:right w:val="single" w:sz="4" w:space="0" w:color="auto"/>
            </w:tcBorders>
            <w:shd w:val="clear" w:color="000000" w:fill="F2F2F2"/>
            <w:noWrap/>
            <w:vAlign w:val="center"/>
            <w:hideMark/>
          </w:tcPr>
          <w:p w14:paraId="286835D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$ 3.204.370</w:t>
            </w:r>
          </w:p>
        </w:tc>
        <w:tc>
          <w:tcPr>
            <w:tcW w:w="1120" w:type="dxa"/>
            <w:tcBorders>
              <w:top w:val="nil"/>
              <w:left w:val="nil"/>
              <w:bottom w:val="single" w:sz="4" w:space="0" w:color="auto"/>
              <w:right w:val="single" w:sz="4" w:space="0" w:color="auto"/>
            </w:tcBorders>
            <w:shd w:val="clear" w:color="000000" w:fill="F2F2F2"/>
            <w:noWrap/>
            <w:vAlign w:val="center"/>
            <w:hideMark/>
          </w:tcPr>
          <w:p w14:paraId="40E5D7FD"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$ 133</w:t>
            </w:r>
          </w:p>
        </w:tc>
        <w:tc>
          <w:tcPr>
            <w:tcW w:w="1260" w:type="dxa"/>
            <w:tcBorders>
              <w:top w:val="nil"/>
              <w:left w:val="nil"/>
              <w:bottom w:val="single" w:sz="4" w:space="0" w:color="auto"/>
              <w:right w:val="single" w:sz="4" w:space="0" w:color="auto"/>
            </w:tcBorders>
            <w:shd w:val="clear" w:color="000000" w:fill="F2F2F2"/>
            <w:noWrap/>
            <w:vAlign w:val="center"/>
            <w:hideMark/>
          </w:tcPr>
          <w:p w14:paraId="4C9BD3C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$ 3.204.503</w:t>
            </w:r>
          </w:p>
        </w:tc>
        <w:tc>
          <w:tcPr>
            <w:tcW w:w="1920" w:type="dxa"/>
            <w:tcBorders>
              <w:top w:val="nil"/>
              <w:left w:val="nil"/>
              <w:bottom w:val="single" w:sz="4" w:space="0" w:color="auto"/>
              <w:right w:val="single" w:sz="4" w:space="0" w:color="auto"/>
            </w:tcBorders>
            <w:shd w:val="clear" w:color="000000" w:fill="F2F2F2"/>
            <w:vAlign w:val="center"/>
            <w:hideMark/>
          </w:tcPr>
          <w:p w14:paraId="1119904E"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w:t>
            </w:r>
          </w:p>
        </w:tc>
      </w:tr>
      <w:tr w:rsidR="00D705A6" w:rsidRPr="002E0BB9" w14:paraId="524066BC" w14:textId="77777777" w:rsidTr="007D1249">
        <w:trPr>
          <w:trHeight w:val="4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51F8D7BF"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228</w:t>
            </w:r>
          </w:p>
        </w:tc>
        <w:tc>
          <w:tcPr>
            <w:tcW w:w="560" w:type="dxa"/>
            <w:tcBorders>
              <w:top w:val="nil"/>
              <w:left w:val="nil"/>
              <w:bottom w:val="single" w:sz="4" w:space="0" w:color="auto"/>
              <w:right w:val="single" w:sz="4" w:space="0" w:color="auto"/>
            </w:tcBorders>
            <w:shd w:val="clear" w:color="000000" w:fill="F2F2F2"/>
            <w:noWrap/>
            <w:vAlign w:val="center"/>
            <w:hideMark/>
          </w:tcPr>
          <w:p w14:paraId="5279959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26728</w:t>
            </w:r>
          </w:p>
        </w:tc>
        <w:tc>
          <w:tcPr>
            <w:tcW w:w="920" w:type="dxa"/>
            <w:tcBorders>
              <w:top w:val="nil"/>
              <w:left w:val="nil"/>
              <w:bottom w:val="single" w:sz="4" w:space="0" w:color="auto"/>
              <w:right w:val="single" w:sz="4" w:space="0" w:color="auto"/>
            </w:tcBorders>
            <w:shd w:val="clear" w:color="000000" w:fill="F2F2F2"/>
            <w:noWrap/>
            <w:vAlign w:val="center"/>
            <w:hideMark/>
          </w:tcPr>
          <w:p w14:paraId="1D6C046B"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900666756</w:t>
            </w:r>
          </w:p>
        </w:tc>
        <w:tc>
          <w:tcPr>
            <w:tcW w:w="2180" w:type="dxa"/>
            <w:tcBorders>
              <w:top w:val="nil"/>
              <w:left w:val="nil"/>
              <w:bottom w:val="single" w:sz="4" w:space="0" w:color="auto"/>
              <w:right w:val="single" w:sz="4" w:space="0" w:color="auto"/>
            </w:tcBorders>
            <w:shd w:val="clear" w:color="000000" w:fill="F2F2F2"/>
            <w:vAlign w:val="center"/>
            <w:hideMark/>
          </w:tcPr>
          <w:p w14:paraId="53F23272"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VIDA GAS POR NATURALEZA S.A. E.S.P.</w:t>
            </w:r>
          </w:p>
        </w:tc>
        <w:tc>
          <w:tcPr>
            <w:tcW w:w="1520" w:type="dxa"/>
            <w:tcBorders>
              <w:top w:val="nil"/>
              <w:left w:val="nil"/>
              <w:bottom w:val="single" w:sz="4" w:space="0" w:color="auto"/>
              <w:right w:val="single" w:sz="4" w:space="0" w:color="auto"/>
            </w:tcBorders>
            <w:shd w:val="clear" w:color="000000" w:fill="F2F2F2"/>
            <w:noWrap/>
            <w:vAlign w:val="center"/>
            <w:hideMark/>
          </w:tcPr>
          <w:p w14:paraId="0D86146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$ 219.133.000</w:t>
            </w:r>
          </w:p>
        </w:tc>
        <w:tc>
          <w:tcPr>
            <w:tcW w:w="1440" w:type="dxa"/>
            <w:tcBorders>
              <w:top w:val="nil"/>
              <w:left w:val="nil"/>
              <w:bottom w:val="single" w:sz="4" w:space="0" w:color="auto"/>
              <w:right w:val="single" w:sz="4" w:space="0" w:color="auto"/>
            </w:tcBorders>
            <w:shd w:val="clear" w:color="000000" w:fill="F2F2F2"/>
            <w:noWrap/>
            <w:vAlign w:val="center"/>
            <w:hideMark/>
          </w:tcPr>
          <w:p w14:paraId="6BC8CCB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$ 5.945.311</w:t>
            </w:r>
          </w:p>
        </w:tc>
        <w:tc>
          <w:tcPr>
            <w:tcW w:w="1460" w:type="dxa"/>
            <w:tcBorders>
              <w:top w:val="nil"/>
              <w:left w:val="nil"/>
              <w:bottom w:val="single" w:sz="4" w:space="0" w:color="auto"/>
              <w:right w:val="single" w:sz="4" w:space="0" w:color="auto"/>
            </w:tcBorders>
            <w:shd w:val="clear" w:color="000000" w:fill="F2F2F2"/>
            <w:noWrap/>
            <w:vAlign w:val="center"/>
            <w:hideMark/>
          </w:tcPr>
          <w:p w14:paraId="11617B05"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$ 225.078.311</w:t>
            </w:r>
          </w:p>
        </w:tc>
        <w:tc>
          <w:tcPr>
            <w:tcW w:w="1260" w:type="dxa"/>
            <w:tcBorders>
              <w:top w:val="nil"/>
              <w:left w:val="nil"/>
              <w:bottom w:val="single" w:sz="4" w:space="0" w:color="auto"/>
              <w:right w:val="single" w:sz="4" w:space="0" w:color="auto"/>
            </w:tcBorders>
            <w:shd w:val="clear" w:color="000000" w:fill="F2F2F2"/>
            <w:noWrap/>
            <w:vAlign w:val="center"/>
            <w:hideMark/>
          </w:tcPr>
          <w:p w14:paraId="63B924B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$ 2.250.783</w:t>
            </w:r>
          </w:p>
        </w:tc>
        <w:tc>
          <w:tcPr>
            <w:tcW w:w="1120" w:type="dxa"/>
            <w:tcBorders>
              <w:top w:val="nil"/>
              <w:left w:val="nil"/>
              <w:bottom w:val="single" w:sz="4" w:space="0" w:color="auto"/>
              <w:right w:val="single" w:sz="4" w:space="0" w:color="auto"/>
            </w:tcBorders>
            <w:shd w:val="clear" w:color="000000" w:fill="F2F2F2"/>
            <w:noWrap/>
            <w:vAlign w:val="center"/>
            <w:hideMark/>
          </w:tcPr>
          <w:p w14:paraId="50C164C7"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$ 94</w:t>
            </w:r>
          </w:p>
        </w:tc>
        <w:tc>
          <w:tcPr>
            <w:tcW w:w="1260" w:type="dxa"/>
            <w:tcBorders>
              <w:top w:val="nil"/>
              <w:left w:val="nil"/>
              <w:bottom w:val="single" w:sz="4" w:space="0" w:color="auto"/>
              <w:right w:val="single" w:sz="4" w:space="0" w:color="auto"/>
            </w:tcBorders>
            <w:shd w:val="clear" w:color="000000" w:fill="F2F2F2"/>
            <w:noWrap/>
            <w:vAlign w:val="center"/>
            <w:hideMark/>
          </w:tcPr>
          <w:p w14:paraId="2644154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$ 2.250.877</w:t>
            </w:r>
          </w:p>
        </w:tc>
        <w:tc>
          <w:tcPr>
            <w:tcW w:w="1920" w:type="dxa"/>
            <w:tcBorders>
              <w:top w:val="nil"/>
              <w:left w:val="nil"/>
              <w:bottom w:val="single" w:sz="4" w:space="0" w:color="auto"/>
              <w:right w:val="single" w:sz="4" w:space="0" w:color="auto"/>
            </w:tcBorders>
            <w:shd w:val="clear" w:color="000000" w:fill="F2F2F2"/>
            <w:vAlign w:val="center"/>
            <w:hideMark/>
          </w:tcPr>
          <w:p w14:paraId="1CF0858E"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GAS POR REDES</w:t>
            </w:r>
          </w:p>
        </w:tc>
      </w:tr>
      <w:tr w:rsidR="00D705A6" w:rsidRPr="002E0BB9" w14:paraId="04B845B4" w14:textId="77777777" w:rsidTr="007D1249">
        <w:trPr>
          <w:trHeight w:val="4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0BB22573"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229</w:t>
            </w:r>
          </w:p>
        </w:tc>
        <w:tc>
          <w:tcPr>
            <w:tcW w:w="560" w:type="dxa"/>
            <w:tcBorders>
              <w:top w:val="nil"/>
              <w:left w:val="nil"/>
              <w:bottom w:val="single" w:sz="4" w:space="0" w:color="auto"/>
              <w:right w:val="single" w:sz="4" w:space="0" w:color="auto"/>
            </w:tcBorders>
            <w:shd w:val="clear" w:color="000000" w:fill="F2F2F2"/>
            <w:noWrap/>
            <w:vAlign w:val="center"/>
            <w:hideMark/>
          </w:tcPr>
          <w:p w14:paraId="4C53568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26730</w:t>
            </w:r>
          </w:p>
        </w:tc>
        <w:tc>
          <w:tcPr>
            <w:tcW w:w="920" w:type="dxa"/>
            <w:tcBorders>
              <w:top w:val="nil"/>
              <w:left w:val="nil"/>
              <w:bottom w:val="single" w:sz="4" w:space="0" w:color="auto"/>
              <w:right w:val="single" w:sz="4" w:space="0" w:color="auto"/>
            </w:tcBorders>
            <w:shd w:val="clear" w:color="000000" w:fill="F2F2F2"/>
            <w:noWrap/>
            <w:vAlign w:val="center"/>
            <w:hideMark/>
          </w:tcPr>
          <w:p w14:paraId="342AC01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900667590</w:t>
            </w:r>
          </w:p>
        </w:tc>
        <w:tc>
          <w:tcPr>
            <w:tcW w:w="2180" w:type="dxa"/>
            <w:tcBorders>
              <w:top w:val="nil"/>
              <w:left w:val="nil"/>
              <w:bottom w:val="single" w:sz="4" w:space="0" w:color="auto"/>
              <w:right w:val="single" w:sz="4" w:space="0" w:color="auto"/>
            </w:tcBorders>
            <w:shd w:val="clear" w:color="000000" w:fill="F2F2F2"/>
            <w:vAlign w:val="center"/>
            <w:hideMark/>
          </w:tcPr>
          <w:p w14:paraId="6718571F"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INTERCOLOMBIA S.A. E.</w:t>
            </w:r>
            <w:proofErr w:type="gramStart"/>
            <w:r w:rsidRPr="002E0BB9">
              <w:rPr>
                <w:rFonts w:ascii="Arial Narrow" w:hAnsi="Arial Narrow" w:cs="Arial"/>
                <w:spacing w:val="0"/>
                <w:sz w:val="16"/>
                <w:szCs w:val="16"/>
                <w:lang w:val="es-MX" w:eastAsia="es-MX"/>
              </w:rPr>
              <w:t>S.P</w:t>
            </w:r>
            <w:proofErr w:type="gramEnd"/>
          </w:p>
        </w:tc>
        <w:tc>
          <w:tcPr>
            <w:tcW w:w="1520" w:type="dxa"/>
            <w:tcBorders>
              <w:top w:val="nil"/>
              <w:left w:val="nil"/>
              <w:bottom w:val="single" w:sz="4" w:space="0" w:color="auto"/>
              <w:right w:val="single" w:sz="4" w:space="0" w:color="auto"/>
            </w:tcBorders>
            <w:shd w:val="clear" w:color="000000" w:fill="F2F2F2"/>
            <w:noWrap/>
            <w:vAlign w:val="center"/>
            <w:hideMark/>
          </w:tcPr>
          <w:p w14:paraId="2BD32A8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$ 66.785.406.000</w:t>
            </w:r>
          </w:p>
        </w:tc>
        <w:tc>
          <w:tcPr>
            <w:tcW w:w="1440" w:type="dxa"/>
            <w:tcBorders>
              <w:top w:val="nil"/>
              <w:left w:val="nil"/>
              <w:bottom w:val="single" w:sz="4" w:space="0" w:color="auto"/>
              <w:right w:val="single" w:sz="4" w:space="0" w:color="auto"/>
            </w:tcBorders>
            <w:shd w:val="clear" w:color="000000" w:fill="F2F2F2"/>
            <w:noWrap/>
            <w:vAlign w:val="center"/>
            <w:hideMark/>
          </w:tcPr>
          <w:p w14:paraId="5F12ACCB"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$ 0</w:t>
            </w:r>
          </w:p>
        </w:tc>
        <w:tc>
          <w:tcPr>
            <w:tcW w:w="1460" w:type="dxa"/>
            <w:tcBorders>
              <w:top w:val="nil"/>
              <w:left w:val="nil"/>
              <w:bottom w:val="single" w:sz="4" w:space="0" w:color="auto"/>
              <w:right w:val="single" w:sz="4" w:space="0" w:color="auto"/>
            </w:tcBorders>
            <w:shd w:val="clear" w:color="000000" w:fill="F2F2F2"/>
            <w:noWrap/>
            <w:vAlign w:val="center"/>
            <w:hideMark/>
          </w:tcPr>
          <w:p w14:paraId="6A7BD357"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$ 66.785.406.000</w:t>
            </w:r>
          </w:p>
        </w:tc>
        <w:tc>
          <w:tcPr>
            <w:tcW w:w="1260" w:type="dxa"/>
            <w:tcBorders>
              <w:top w:val="nil"/>
              <w:left w:val="nil"/>
              <w:bottom w:val="single" w:sz="4" w:space="0" w:color="auto"/>
              <w:right w:val="single" w:sz="4" w:space="0" w:color="auto"/>
            </w:tcBorders>
            <w:shd w:val="clear" w:color="000000" w:fill="F2F2F2"/>
            <w:noWrap/>
            <w:vAlign w:val="center"/>
            <w:hideMark/>
          </w:tcPr>
          <w:p w14:paraId="2B67AA8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$ 667.854.060</w:t>
            </w:r>
          </w:p>
        </w:tc>
        <w:tc>
          <w:tcPr>
            <w:tcW w:w="1120" w:type="dxa"/>
            <w:tcBorders>
              <w:top w:val="nil"/>
              <w:left w:val="nil"/>
              <w:bottom w:val="single" w:sz="4" w:space="0" w:color="auto"/>
              <w:right w:val="single" w:sz="4" w:space="0" w:color="auto"/>
            </w:tcBorders>
            <w:shd w:val="clear" w:color="000000" w:fill="F2F2F2"/>
            <w:noWrap/>
            <w:vAlign w:val="center"/>
            <w:hideMark/>
          </w:tcPr>
          <w:p w14:paraId="430551BC"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$ 27.794</w:t>
            </w:r>
          </w:p>
        </w:tc>
        <w:tc>
          <w:tcPr>
            <w:tcW w:w="1260" w:type="dxa"/>
            <w:tcBorders>
              <w:top w:val="nil"/>
              <w:left w:val="nil"/>
              <w:bottom w:val="single" w:sz="4" w:space="0" w:color="auto"/>
              <w:right w:val="single" w:sz="4" w:space="0" w:color="auto"/>
            </w:tcBorders>
            <w:shd w:val="clear" w:color="000000" w:fill="F2F2F2"/>
            <w:noWrap/>
            <w:vAlign w:val="center"/>
            <w:hideMark/>
          </w:tcPr>
          <w:p w14:paraId="3E1D7396"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$ 667.881.854</w:t>
            </w:r>
          </w:p>
        </w:tc>
        <w:tc>
          <w:tcPr>
            <w:tcW w:w="1920" w:type="dxa"/>
            <w:tcBorders>
              <w:top w:val="nil"/>
              <w:left w:val="nil"/>
              <w:bottom w:val="single" w:sz="4" w:space="0" w:color="auto"/>
              <w:right w:val="single" w:sz="4" w:space="0" w:color="auto"/>
            </w:tcBorders>
            <w:shd w:val="clear" w:color="000000" w:fill="F2F2F2"/>
            <w:vAlign w:val="center"/>
            <w:hideMark/>
          </w:tcPr>
          <w:p w14:paraId="0AE8169D"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w:t>
            </w:r>
          </w:p>
        </w:tc>
      </w:tr>
      <w:tr w:rsidR="00D705A6" w:rsidRPr="002E0BB9" w14:paraId="54D5EC6D" w14:textId="77777777" w:rsidTr="007D1249">
        <w:trPr>
          <w:trHeight w:val="2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2C56B480"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230</w:t>
            </w:r>
          </w:p>
        </w:tc>
        <w:tc>
          <w:tcPr>
            <w:tcW w:w="560" w:type="dxa"/>
            <w:tcBorders>
              <w:top w:val="nil"/>
              <w:left w:val="nil"/>
              <w:bottom w:val="single" w:sz="4" w:space="0" w:color="auto"/>
              <w:right w:val="single" w:sz="4" w:space="0" w:color="auto"/>
            </w:tcBorders>
            <w:shd w:val="clear" w:color="000000" w:fill="F2F2F2"/>
            <w:noWrap/>
            <w:vAlign w:val="center"/>
            <w:hideMark/>
          </w:tcPr>
          <w:p w14:paraId="15576F7D"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27691</w:t>
            </w:r>
          </w:p>
        </w:tc>
        <w:tc>
          <w:tcPr>
            <w:tcW w:w="920" w:type="dxa"/>
            <w:tcBorders>
              <w:top w:val="nil"/>
              <w:left w:val="nil"/>
              <w:bottom w:val="single" w:sz="4" w:space="0" w:color="auto"/>
              <w:right w:val="single" w:sz="4" w:space="0" w:color="auto"/>
            </w:tcBorders>
            <w:shd w:val="clear" w:color="000000" w:fill="F2F2F2"/>
            <w:noWrap/>
            <w:vAlign w:val="center"/>
            <w:hideMark/>
          </w:tcPr>
          <w:p w14:paraId="565CD1D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900677732</w:t>
            </w:r>
          </w:p>
        </w:tc>
        <w:tc>
          <w:tcPr>
            <w:tcW w:w="2180" w:type="dxa"/>
            <w:tcBorders>
              <w:top w:val="nil"/>
              <w:left w:val="nil"/>
              <w:bottom w:val="single" w:sz="4" w:space="0" w:color="auto"/>
              <w:right w:val="single" w:sz="4" w:space="0" w:color="auto"/>
            </w:tcBorders>
            <w:shd w:val="clear" w:color="000000" w:fill="F2F2F2"/>
            <w:vAlign w:val="center"/>
            <w:hideMark/>
          </w:tcPr>
          <w:p w14:paraId="41EB3797"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QI ENERGY SAS ESP</w:t>
            </w:r>
          </w:p>
        </w:tc>
        <w:tc>
          <w:tcPr>
            <w:tcW w:w="1520" w:type="dxa"/>
            <w:tcBorders>
              <w:top w:val="nil"/>
              <w:left w:val="nil"/>
              <w:bottom w:val="single" w:sz="4" w:space="0" w:color="auto"/>
              <w:right w:val="single" w:sz="4" w:space="0" w:color="auto"/>
            </w:tcBorders>
            <w:shd w:val="clear" w:color="000000" w:fill="F2F2F2"/>
            <w:noWrap/>
            <w:vAlign w:val="center"/>
            <w:hideMark/>
          </w:tcPr>
          <w:p w14:paraId="77C079D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$ 1.689.577.000</w:t>
            </w:r>
          </w:p>
        </w:tc>
        <w:tc>
          <w:tcPr>
            <w:tcW w:w="1440" w:type="dxa"/>
            <w:tcBorders>
              <w:top w:val="nil"/>
              <w:left w:val="nil"/>
              <w:bottom w:val="single" w:sz="4" w:space="0" w:color="auto"/>
              <w:right w:val="single" w:sz="4" w:space="0" w:color="auto"/>
            </w:tcBorders>
            <w:shd w:val="clear" w:color="000000" w:fill="F2F2F2"/>
            <w:noWrap/>
            <w:vAlign w:val="center"/>
            <w:hideMark/>
          </w:tcPr>
          <w:p w14:paraId="2E0E183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$ 0</w:t>
            </w:r>
          </w:p>
        </w:tc>
        <w:tc>
          <w:tcPr>
            <w:tcW w:w="1460" w:type="dxa"/>
            <w:tcBorders>
              <w:top w:val="nil"/>
              <w:left w:val="nil"/>
              <w:bottom w:val="single" w:sz="4" w:space="0" w:color="auto"/>
              <w:right w:val="single" w:sz="4" w:space="0" w:color="auto"/>
            </w:tcBorders>
            <w:shd w:val="clear" w:color="000000" w:fill="F2F2F2"/>
            <w:noWrap/>
            <w:vAlign w:val="center"/>
            <w:hideMark/>
          </w:tcPr>
          <w:p w14:paraId="6DC41FB1"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$ 1.689.577.000</w:t>
            </w:r>
          </w:p>
        </w:tc>
        <w:tc>
          <w:tcPr>
            <w:tcW w:w="1260" w:type="dxa"/>
            <w:tcBorders>
              <w:top w:val="nil"/>
              <w:left w:val="nil"/>
              <w:bottom w:val="single" w:sz="4" w:space="0" w:color="auto"/>
              <w:right w:val="single" w:sz="4" w:space="0" w:color="auto"/>
            </w:tcBorders>
            <w:shd w:val="clear" w:color="000000" w:fill="F2F2F2"/>
            <w:noWrap/>
            <w:vAlign w:val="center"/>
            <w:hideMark/>
          </w:tcPr>
          <w:p w14:paraId="1800B31A"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$ 16.895.770</w:t>
            </w:r>
          </w:p>
        </w:tc>
        <w:tc>
          <w:tcPr>
            <w:tcW w:w="1120" w:type="dxa"/>
            <w:tcBorders>
              <w:top w:val="nil"/>
              <w:left w:val="nil"/>
              <w:bottom w:val="single" w:sz="4" w:space="0" w:color="auto"/>
              <w:right w:val="single" w:sz="4" w:space="0" w:color="auto"/>
            </w:tcBorders>
            <w:shd w:val="clear" w:color="000000" w:fill="F2F2F2"/>
            <w:noWrap/>
            <w:vAlign w:val="center"/>
            <w:hideMark/>
          </w:tcPr>
          <w:p w14:paraId="6DE3B23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$ 703</w:t>
            </w:r>
          </w:p>
        </w:tc>
        <w:tc>
          <w:tcPr>
            <w:tcW w:w="1260" w:type="dxa"/>
            <w:tcBorders>
              <w:top w:val="nil"/>
              <w:left w:val="nil"/>
              <w:bottom w:val="single" w:sz="4" w:space="0" w:color="auto"/>
              <w:right w:val="single" w:sz="4" w:space="0" w:color="auto"/>
            </w:tcBorders>
            <w:shd w:val="clear" w:color="000000" w:fill="F2F2F2"/>
            <w:noWrap/>
            <w:vAlign w:val="center"/>
            <w:hideMark/>
          </w:tcPr>
          <w:p w14:paraId="533852DA"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$ 16.896.473</w:t>
            </w:r>
          </w:p>
        </w:tc>
        <w:tc>
          <w:tcPr>
            <w:tcW w:w="1920" w:type="dxa"/>
            <w:tcBorders>
              <w:top w:val="nil"/>
              <w:left w:val="nil"/>
              <w:bottom w:val="single" w:sz="4" w:space="0" w:color="auto"/>
              <w:right w:val="single" w:sz="4" w:space="0" w:color="auto"/>
            </w:tcBorders>
            <w:shd w:val="clear" w:color="000000" w:fill="F2F2F2"/>
            <w:vAlign w:val="center"/>
            <w:hideMark/>
          </w:tcPr>
          <w:p w14:paraId="32CF46A5"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w:t>
            </w:r>
          </w:p>
        </w:tc>
      </w:tr>
      <w:tr w:rsidR="00D705A6" w:rsidRPr="002E0BB9" w14:paraId="5A4F44A9" w14:textId="77777777" w:rsidTr="007D1249">
        <w:trPr>
          <w:trHeight w:val="4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2DDBEC30"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231</w:t>
            </w:r>
          </w:p>
        </w:tc>
        <w:tc>
          <w:tcPr>
            <w:tcW w:w="560" w:type="dxa"/>
            <w:tcBorders>
              <w:top w:val="nil"/>
              <w:left w:val="nil"/>
              <w:bottom w:val="single" w:sz="4" w:space="0" w:color="auto"/>
              <w:right w:val="single" w:sz="4" w:space="0" w:color="auto"/>
            </w:tcBorders>
            <w:shd w:val="clear" w:color="000000" w:fill="F2F2F2"/>
            <w:noWrap/>
            <w:vAlign w:val="center"/>
            <w:hideMark/>
          </w:tcPr>
          <w:p w14:paraId="6900B81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46716</w:t>
            </w:r>
          </w:p>
        </w:tc>
        <w:tc>
          <w:tcPr>
            <w:tcW w:w="920" w:type="dxa"/>
            <w:tcBorders>
              <w:top w:val="nil"/>
              <w:left w:val="nil"/>
              <w:bottom w:val="single" w:sz="4" w:space="0" w:color="auto"/>
              <w:right w:val="single" w:sz="4" w:space="0" w:color="auto"/>
            </w:tcBorders>
            <w:shd w:val="clear" w:color="000000" w:fill="F2F2F2"/>
            <w:noWrap/>
            <w:vAlign w:val="center"/>
            <w:hideMark/>
          </w:tcPr>
          <w:p w14:paraId="5BA23AB7"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900681653</w:t>
            </w:r>
          </w:p>
        </w:tc>
        <w:tc>
          <w:tcPr>
            <w:tcW w:w="2180" w:type="dxa"/>
            <w:tcBorders>
              <w:top w:val="nil"/>
              <w:left w:val="nil"/>
              <w:bottom w:val="single" w:sz="4" w:space="0" w:color="auto"/>
              <w:right w:val="single" w:sz="4" w:space="0" w:color="auto"/>
            </w:tcBorders>
            <w:shd w:val="clear" w:color="000000" w:fill="F2F2F2"/>
            <w:vAlign w:val="center"/>
            <w:hideMark/>
          </w:tcPr>
          <w:p w14:paraId="79B376D0"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Vientos del Norte S.A.S. E.S.P.</w:t>
            </w:r>
          </w:p>
        </w:tc>
        <w:tc>
          <w:tcPr>
            <w:tcW w:w="1520" w:type="dxa"/>
            <w:tcBorders>
              <w:top w:val="nil"/>
              <w:left w:val="nil"/>
              <w:bottom w:val="single" w:sz="4" w:space="0" w:color="auto"/>
              <w:right w:val="single" w:sz="4" w:space="0" w:color="auto"/>
            </w:tcBorders>
            <w:shd w:val="clear" w:color="000000" w:fill="F2F2F2"/>
            <w:noWrap/>
            <w:vAlign w:val="center"/>
            <w:hideMark/>
          </w:tcPr>
          <w:p w14:paraId="74E1FED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$ 8.437.874.000</w:t>
            </w:r>
          </w:p>
        </w:tc>
        <w:tc>
          <w:tcPr>
            <w:tcW w:w="1440" w:type="dxa"/>
            <w:tcBorders>
              <w:top w:val="nil"/>
              <w:left w:val="nil"/>
              <w:bottom w:val="single" w:sz="4" w:space="0" w:color="auto"/>
              <w:right w:val="single" w:sz="4" w:space="0" w:color="auto"/>
            </w:tcBorders>
            <w:shd w:val="clear" w:color="000000" w:fill="F2F2F2"/>
            <w:noWrap/>
            <w:vAlign w:val="center"/>
            <w:hideMark/>
          </w:tcPr>
          <w:p w14:paraId="1CF9C8D5"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$ 2.143.833.132</w:t>
            </w:r>
          </w:p>
        </w:tc>
        <w:tc>
          <w:tcPr>
            <w:tcW w:w="1460" w:type="dxa"/>
            <w:tcBorders>
              <w:top w:val="nil"/>
              <w:left w:val="nil"/>
              <w:bottom w:val="single" w:sz="4" w:space="0" w:color="auto"/>
              <w:right w:val="single" w:sz="4" w:space="0" w:color="auto"/>
            </w:tcBorders>
            <w:shd w:val="clear" w:color="000000" w:fill="F2F2F2"/>
            <w:noWrap/>
            <w:vAlign w:val="center"/>
            <w:hideMark/>
          </w:tcPr>
          <w:p w14:paraId="359A67AD"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$ 10.581.707.132</w:t>
            </w:r>
          </w:p>
        </w:tc>
        <w:tc>
          <w:tcPr>
            <w:tcW w:w="1260" w:type="dxa"/>
            <w:tcBorders>
              <w:top w:val="nil"/>
              <w:left w:val="nil"/>
              <w:bottom w:val="single" w:sz="4" w:space="0" w:color="auto"/>
              <w:right w:val="single" w:sz="4" w:space="0" w:color="auto"/>
            </w:tcBorders>
            <w:shd w:val="clear" w:color="000000" w:fill="F2F2F2"/>
            <w:noWrap/>
            <w:vAlign w:val="center"/>
            <w:hideMark/>
          </w:tcPr>
          <w:p w14:paraId="7F881895"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$ 105.817.071</w:t>
            </w:r>
          </w:p>
        </w:tc>
        <w:tc>
          <w:tcPr>
            <w:tcW w:w="1120" w:type="dxa"/>
            <w:tcBorders>
              <w:top w:val="nil"/>
              <w:left w:val="nil"/>
              <w:bottom w:val="single" w:sz="4" w:space="0" w:color="auto"/>
              <w:right w:val="single" w:sz="4" w:space="0" w:color="auto"/>
            </w:tcBorders>
            <w:shd w:val="clear" w:color="000000" w:fill="F2F2F2"/>
            <w:noWrap/>
            <w:vAlign w:val="center"/>
            <w:hideMark/>
          </w:tcPr>
          <w:p w14:paraId="232409F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$ 4.404</w:t>
            </w:r>
          </w:p>
        </w:tc>
        <w:tc>
          <w:tcPr>
            <w:tcW w:w="1260" w:type="dxa"/>
            <w:tcBorders>
              <w:top w:val="nil"/>
              <w:left w:val="nil"/>
              <w:bottom w:val="single" w:sz="4" w:space="0" w:color="auto"/>
              <w:right w:val="single" w:sz="4" w:space="0" w:color="auto"/>
            </w:tcBorders>
            <w:shd w:val="clear" w:color="000000" w:fill="F2F2F2"/>
            <w:noWrap/>
            <w:vAlign w:val="center"/>
            <w:hideMark/>
          </w:tcPr>
          <w:p w14:paraId="389DEEC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$ 105.821.475</w:t>
            </w:r>
          </w:p>
        </w:tc>
        <w:tc>
          <w:tcPr>
            <w:tcW w:w="1920" w:type="dxa"/>
            <w:tcBorders>
              <w:top w:val="nil"/>
              <w:left w:val="nil"/>
              <w:bottom w:val="single" w:sz="4" w:space="0" w:color="auto"/>
              <w:right w:val="single" w:sz="4" w:space="0" w:color="auto"/>
            </w:tcBorders>
            <w:shd w:val="clear" w:color="000000" w:fill="F2F2F2"/>
            <w:vAlign w:val="center"/>
            <w:hideMark/>
          </w:tcPr>
          <w:p w14:paraId="1DDD9FFC"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w:t>
            </w:r>
          </w:p>
        </w:tc>
      </w:tr>
      <w:tr w:rsidR="00D705A6" w:rsidRPr="002E0BB9" w14:paraId="3EA7C311" w14:textId="77777777" w:rsidTr="007D1249">
        <w:trPr>
          <w:trHeight w:val="2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2E09F77D"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232</w:t>
            </w:r>
          </w:p>
        </w:tc>
        <w:tc>
          <w:tcPr>
            <w:tcW w:w="560" w:type="dxa"/>
            <w:tcBorders>
              <w:top w:val="nil"/>
              <w:left w:val="nil"/>
              <w:bottom w:val="single" w:sz="4" w:space="0" w:color="auto"/>
              <w:right w:val="single" w:sz="4" w:space="0" w:color="auto"/>
            </w:tcBorders>
            <w:shd w:val="clear" w:color="000000" w:fill="F2F2F2"/>
            <w:noWrap/>
            <w:vAlign w:val="center"/>
            <w:hideMark/>
          </w:tcPr>
          <w:p w14:paraId="4F68460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46717</w:t>
            </w:r>
          </w:p>
        </w:tc>
        <w:tc>
          <w:tcPr>
            <w:tcW w:w="920" w:type="dxa"/>
            <w:tcBorders>
              <w:top w:val="nil"/>
              <w:left w:val="nil"/>
              <w:bottom w:val="single" w:sz="4" w:space="0" w:color="auto"/>
              <w:right w:val="single" w:sz="4" w:space="0" w:color="auto"/>
            </w:tcBorders>
            <w:shd w:val="clear" w:color="000000" w:fill="F2F2F2"/>
            <w:noWrap/>
            <w:vAlign w:val="center"/>
            <w:hideMark/>
          </w:tcPr>
          <w:p w14:paraId="6E548A82"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900681857</w:t>
            </w:r>
          </w:p>
        </w:tc>
        <w:tc>
          <w:tcPr>
            <w:tcW w:w="2180" w:type="dxa"/>
            <w:tcBorders>
              <w:top w:val="nil"/>
              <w:left w:val="nil"/>
              <w:bottom w:val="single" w:sz="4" w:space="0" w:color="auto"/>
              <w:right w:val="single" w:sz="4" w:space="0" w:color="auto"/>
            </w:tcBorders>
            <w:shd w:val="clear" w:color="000000" w:fill="F2F2F2"/>
            <w:vAlign w:val="center"/>
            <w:hideMark/>
          </w:tcPr>
          <w:p w14:paraId="3C528DFF" w14:textId="77777777" w:rsidR="00D705A6" w:rsidRPr="002E0BB9" w:rsidRDefault="00D705A6" w:rsidP="00D22441">
            <w:pPr>
              <w:jc w:val="left"/>
              <w:rPr>
                <w:rFonts w:ascii="Arial Narrow" w:hAnsi="Arial Narrow" w:cs="Arial"/>
                <w:spacing w:val="0"/>
                <w:sz w:val="16"/>
                <w:szCs w:val="16"/>
                <w:lang w:val="es-MX" w:eastAsia="es-MX"/>
              </w:rPr>
            </w:pPr>
            <w:proofErr w:type="spellStart"/>
            <w:r w:rsidRPr="002E0BB9">
              <w:rPr>
                <w:rFonts w:ascii="Arial Narrow" w:hAnsi="Arial Narrow" w:cs="Arial"/>
                <w:spacing w:val="0"/>
                <w:sz w:val="16"/>
                <w:szCs w:val="16"/>
                <w:lang w:val="es-MX" w:eastAsia="es-MX"/>
              </w:rPr>
              <w:t>Eolos</w:t>
            </w:r>
            <w:proofErr w:type="spellEnd"/>
            <w:r w:rsidRPr="002E0BB9">
              <w:rPr>
                <w:rFonts w:ascii="Arial Narrow" w:hAnsi="Arial Narrow" w:cs="Arial"/>
                <w:spacing w:val="0"/>
                <w:sz w:val="16"/>
                <w:szCs w:val="16"/>
                <w:lang w:val="es-MX" w:eastAsia="es-MX"/>
              </w:rPr>
              <w:t xml:space="preserve"> Energía S.A.S. E.S.P.</w:t>
            </w:r>
          </w:p>
        </w:tc>
        <w:tc>
          <w:tcPr>
            <w:tcW w:w="1520" w:type="dxa"/>
            <w:tcBorders>
              <w:top w:val="nil"/>
              <w:left w:val="nil"/>
              <w:bottom w:val="single" w:sz="4" w:space="0" w:color="auto"/>
              <w:right w:val="single" w:sz="4" w:space="0" w:color="auto"/>
            </w:tcBorders>
            <w:shd w:val="clear" w:color="000000" w:fill="F2F2F2"/>
            <w:noWrap/>
            <w:vAlign w:val="center"/>
            <w:hideMark/>
          </w:tcPr>
          <w:p w14:paraId="461E315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$ 8.744.263.000</w:t>
            </w:r>
          </w:p>
        </w:tc>
        <w:tc>
          <w:tcPr>
            <w:tcW w:w="1440" w:type="dxa"/>
            <w:tcBorders>
              <w:top w:val="nil"/>
              <w:left w:val="nil"/>
              <w:bottom w:val="single" w:sz="4" w:space="0" w:color="auto"/>
              <w:right w:val="single" w:sz="4" w:space="0" w:color="auto"/>
            </w:tcBorders>
            <w:shd w:val="clear" w:color="000000" w:fill="F2F2F2"/>
            <w:noWrap/>
            <w:vAlign w:val="center"/>
            <w:hideMark/>
          </w:tcPr>
          <w:p w14:paraId="0F5808A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$ 2.498.505.682</w:t>
            </w:r>
          </w:p>
        </w:tc>
        <w:tc>
          <w:tcPr>
            <w:tcW w:w="1460" w:type="dxa"/>
            <w:tcBorders>
              <w:top w:val="nil"/>
              <w:left w:val="nil"/>
              <w:bottom w:val="single" w:sz="4" w:space="0" w:color="auto"/>
              <w:right w:val="single" w:sz="4" w:space="0" w:color="auto"/>
            </w:tcBorders>
            <w:shd w:val="clear" w:color="000000" w:fill="F2F2F2"/>
            <w:noWrap/>
            <w:vAlign w:val="center"/>
            <w:hideMark/>
          </w:tcPr>
          <w:p w14:paraId="3F501ED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$ 11.242.768.682</w:t>
            </w:r>
          </w:p>
        </w:tc>
        <w:tc>
          <w:tcPr>
            <w:tcW w:w="1260" w:type="dxa"/>
            <w:tcBorders>
              <w:top w:val="nil"/>
              <w:left w:val="nil"/>
              <w:bottom w:val="single" w:sz="4" w:space="0" w:color="auto"/>
              <w:right w:val="single" w:sz="4" w:space="0" w:color="auto"/>
            </w:tcBorders>
            <w:shd w:val="clear" w:color="000000" w:fill="F2F2F2"/>
            <w:noWrap/>
            <w:vAlign w:val="center"/>
            <w:hideMark/>
          </w:tcPr>
          <w:p w14:paraId="7FBD19B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$ 112.427.687</w:t>
            </w:r>
          </w:p>
        </w:tc>
        <w:tc>
          <w:tcPr>
            <w:tcW w:w="1120" w:type="dxa"/>
            <w:tcBorders>
              <w:top w:val="nil"/>
              <w:left w:val="nil"/>
              <w:bottom w:val="single" w:sz="4" w:space="0" w:color="auto"/>
              <w:right w:val="single" w:sz="4" w:space="0" w:color="auto"/>
            </w:tcBorders>
            <w:shd w:val="clear" w:color="000000" w:fill="F2F2F2"/>
            <w:noWrap/>
            <w:vAlign w:val="center"/>
            <w:hideMark/>
          </w:tcPr>
          <w:p w14:paraId="148F7C7C"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$ 4.679</w:t>
            </w:r>
          </w:p>
        </w:tc>
        <w:tc>
          <w:tcPr>
            <w:tcW w:w="1260" w:type="dxa"/>
            <w:tcBorders>
              <w:top w:val="nil"/>
              <w:left w:val="nil"/>
              <w:bottom w:val="single" w:sz="4" w:space="0" w:color="auto"/>
              <w:right w:val="single" w:sz="4" w:space="0" w:color="auto"/>
            </w:tcBorders>
            <w:shd w:val="clear" w:color="000000" w:fill="F2F2F2"/>
            <w:noWrap/>
            <w:vAlign w:val="center"/>
            <w:hideMark/>
          </w:tcPr>
          <w:p w14:paraId="5FA76B26"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$ 112.432.366</w:t>
            </w:r>
          </w:p>
        </w:tc>
        <w:tc>
          <w:tcPr>
            <w:tcW w:w="1920" w:type="dxa"/>
            <w:tcBorders>
              <w:top w:val="nil"/>
              <w:left w:val="nil"/>
              <w:bottom w:val="single" w:sz="4" w:space="0" w:color="auto"/>
              <w:right w:val="single" w:sz="4" w:space="0" w:color="auto"/>
            </w:tcBorders>
            <w:shd w:val="clear" w:color="000000" w:fill="F2F2F2"/>
            <w:vAlign w:val="center"/>
            <w:hideMark/>
          </w:tcPr>
          <w:p w14:paraId="34C6834C"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w:t>
            </w:r>
          </w:p>
        </w:tc>
      </w:tr>
      <w:tr w:rsidR="00D705A6" w:rsidRPr="002E0BB9" w14:paraId="2C7CD260" w14:textId="77777777" w:rsidTr="007D1249">
        <w:trPr>
          <w:trHeight w:val="4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44F32F74"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233</w:t>
            </w:r>
          </w:p>
        </w:tc>
        <w:tc>
          <w:tcPr>
            <w:tcW w:w="560" w:type="dxa"/>
            <w:tcBorders>
              <w:top w:val="nil"/>
              <w:left w:val="nil"/>
              <w:bottom w:val="single" w:sz="4" w:space="0" w:color="auto"/>
              <w:right w:val="single" w:sz="4" w:space="0" w:color="auto"/>
            </w:tcBorders>
            <w:shd w:val="clear" w:color="000000" w:fill="F2F2F2"/>
            <w:noWrap/>
            <w:vAlign w:val="center"/>
            <w:hideMark/>
          </w:tcPr>
          <w:p w14:paraId="40704B8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28491</w:t>
            </w:r>
          </w:p>
        </w:tc>
        <w:tc>
          <w:tcPr>
            <w:tcW w:w="920" w:type="dxa"/>
            <w:tcBorders>
              <w:top w:val="nil"/>
              <w:left w:val="nil"/>
              <w:bottom w:val="single" w:sz="4" w:space="0" w:color="auto"/>
              <w:right w:val="single" w:sz="4" w:space="0" w:color="auto"/>
            </w:tcBorders>
            <w:shd w:val="clear" w:color="000000" w:fill="F2F2F2"/>
            <w:noWrap/>
            <w:vAlign w:val="center"/>
            <w:hideMark/>
          </w:tcPr>
          <w:p w14:paraId="2F0E8ACE"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900691280</w:t>
            </w:r>
          </w:p>
        </w:tc>
        <w:tc>
          <w:tcPr>
            <w:tcW w:w="2180" w:type="dxa"/>
            <w:tcBorders>
              <w:top w:val="nil"/>
              <w:left w:val="nil"/>
              <w:bottom w:val="single" w:sz="4" w:space="0" w:color="auto"/>
              <w:right w:val="single" w:sz="4" w:space="0" w:color="auto"/>
            </w:tcBorders>
            <w:shd w:val="clear" w:color="000000" w:fill="F2F2F2"/>
            <w:vAlign w:val="center"/>
            <w:hideMark/>
          </w:tcPr>
          <w:p w14:paraId="5BEFD7FA"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NITRO ENERGY COLOMBIA S.A.S. E.S.P.</w:t>
            </w:r>
          </w:p>
        </w:tc>
        <w:tc>
          <w:tcPr>
            <w:tcW w:w="1520" w:type="dxa"/>
            <w:tcBorders>
              <w:top w:val="nil"/>
              <w:left w:val="nil"/>
              <w:bottom w:val="single" w:sz="4" w:space="0" w:color="auto"/>
              <w:right w:val="single" w:sz="4" w:space="0" w:color="auto"/>
            </w:tcBorders>
            <w:shd w:val="clear" w:color="000000" w:fill="F2F2F2"/>
            <w:noWrap/>
            <w:vAlign w:val="center"/>
            <w:hideMark/>
          </w:tcPr>
          <w:p w14:paraId="1B3D752E"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$ 8.025.914.000</w:t>
            </w:r>
          </w:p>
        </w:tc>
        <w:tc>
          <w:tcPr>
            <w:tcW w:w="1440" w:type="dxa"/>
            <w:tcBorders>
              <w:top w:val="nil"/>
              <w:left w:val="nil"/>
              <w:bottom w:val="single" w:sz="4" w:space="0" w:color="auto"/>
              <w:right w:val="single" w:sz="4" w:space="0" w:color="auto"/>
            </w:tcBorders>
            <w:shd w:val="clear" w:color="000000" w:fill="F2F2F2"/>
            <w:noWrap/>
            <w:vAlign w:val="center"/>
            <w:hideMark/>
          </w:tcPr>
          <w:p w14:paraId="1FC513A5"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$ 8.054.666.859</w:t>
            </w:r>
          </w:p>
        </w:tc>
        <w:tc>
          <w:tcPr>
            <w:tcW w:w="1460" w:type="dxa"/>
            <w:tcBorders>
              <w:top w:val="nil"/>
              <w:left w:val="nil"/>
              <w:bottom w:val="single" w:sz="4" w:space="0" w:color="auto"/>
              <w:right w:val="single" w:sz="4" w:space="0" w:color="auto"/>
            </w:tcBorders>
            <w:shd w:val="clear" w:color="000000" w:fill="F2F2F2"/>
            <w:noWrap/>
            <w:vAlign w:val="center"/>
            <w:hideMark/>
          </w:tcPr>
          <w:p w14:paraId="668F61AD"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$ 16.080.580.859</w:t>
            </w:r>
          </w:p>
        </w:tc>
        <w:tc>
          <w:tcPr>
            <w:tcW w:w="1260" w:type="dxa"/>
            <w:tcBorders>
              <w:top w:val="nil"/>
              <w:left w:val="nil"/>
              <w:bottom w:val="single" w:sz="4" w:space="0" w:color="auto"/>
              <w:right w:val="single" w:sz="4" w:space="0" w:color="auto"/>
            </w:tcBorders>
            <w:shd w:val="clear" w:color="000000" w:fill="F2F2F2"/>
            <w:noWrap/>
            <w:vAlign w:val="center"/>
            <w:hideMark/>
          </w:tcPr>
          <w:p w14:paraId="25A327A7"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$ 160.805.809</w:t>
            </w:r>
          </w:p>
        </w:tc>
        <w:tc>
          <w:tcPr>
            <w:tcW w:w="1120" w:type="dxa"/>
            <w:tcBorders>
              <w:top w:val="nil"/>
              <w:left w:val="nil"/>
              <w:bottom w:val="single" w:sz="4" w:space="0" w:color="auto"/>
              <w:right w:val="single" w:sz="4" w:space="0" w:color="auto"/>
            </w:tcBorders>
            <w:shd w:val="clear" w:color="000000" w:fill="F2F2F2"/>
            <w:noWrap/>
            <w:vAlign w:val="center"/>
            <w:hideMark/>
          </w:tcPr>
          <w:p w14:paraId="7F350A8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$ 6.692</w:t>
            </w:r>
          </w:p>
        </w:tc>
        <w:tc>
          <w:tcPr>
            <w:tcW w:w="1260" w:type="dxa"/>
            <w:tcBorders>
              <w:top w:val="nil"/>
              <w:left w:val="nil"/>
              <w:bottom w:val="single" w:sz="4" w:space="0" w:color="auto"/>
              <w:right w:val="single" w:sz="4" w:space="0" w:color="auto"/>
            </w:tcBorders>
            <w:shd w:val="clear" w:color="000000" w:fill="F2F2F2"/>
            <w:noWrap/>
            <w:vAlign w:val="center"/>
            <w:hideMark/>
          </w:tcPr>
          <w:p w14:paraId="30E1ED95"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$ 160.812.501</w:t>
            </w:r>
          </w:p>
        </w:tc>
        <w:tc>
          <w:tcPr>
            <w:tcW w:w="1920" w:type="dxa"/>
            <w:tcBorders>
              <w:top w:val="nil"/>
              <w:left w:val="nil"/>
              <w:bottom w:val="single" w:sz="4" w:space="0" w:color="auto"/>
              <w:right w:val="single" w:sz="4" w:space="0" w:color="auto"/>
            </w:tcBorders>
            <w:shd w:val="clear" w:color="000000" w:fill="F2F2F2"/>
            <w:vAlign w:val="center"/>
            <w:hideMark/>
          </w:tcPr>
          <w:p w14:paraId="66642F70"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w:t>
            </w:r>
          </w:p>
        </w:tc>
      </w:tr>
      <w:tr w:rsidR="00D705A6" w:rsidRPr="002E0BB9" w14:paraId="24B9B31E" w14:textId="77777777" w:rsidTr="007D1249">
        <w:trPr>
          <w:trHeight w:val="4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4B9F7BED"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234</w:t>
            </w:r>
          </w:p>
        </w:tc>
        <w:tc>
          <w:tcPr>
            <w:tcW w:w="560" w:type="dxa"/>
            <w:tcBorders>
              <w:top w:val="nil"/>
              <w:left w:val="nil"/>
              <w:bottom w:val="single" w:sz="4" w:space="0" w:color="auto"/>
              <w:right w:val="single" w:sz="4" w:space="0" w:color="auto"/>
            </w:tcBorders>
            <w:shd w:val="clear" w:color="000000" w:fill="F2F2F2"/>
            <w:noWrap/>
            <w:vAlign w:val="center"/>
            <w:hideMark/>
          </w:tcPr>
          <w:p w14:paraId="4061FEC7"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26817</w:t>
            </w:r>
          </w:p>
        </w:tc>
        <w:tc>
          <w:tcPr>
            <w:tcW w:w="920" w:type="dxa"/>
            <w:tcBorders>
              <w:top w:val="nil"/>
              <w:left w:val="nil"/>
              <w:bottom w:val="single" w:sz="4" w:space="0" w:color="auto"/>
              <w:right w:val="single" w:sz="4" w:space="0" w:color="auto"/>
            </w:tcBorders>
            <w:shd w:val="clear" w:color="000000" w:fill="F2F2F2"/>
            <w:noWrap/>
            <w:vAlign w:val="center"/>
            <w:hideMark/>
          </w:tcPr>
          <w:p w14:paraId="0A77DD4E"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900701845</w:t>
            </w:r>
          </w:p>
        </w:tc>
        <w:tc>
          <w:tcPr>
            <w:tcW w:w="2180" w:type="dxa"/>
            <w:tcBorders>
              <w:top w:val="nil"/>
              <w:left w:val="nil"/>
              <w:bottom w:val="single" w:sz="4" w:space="0" w:color="auto"/>
              <w:right w:val="single" w:sz="4" w:space="0" w:color="auto"/>
            </w:tcBorders>
            <w:shd w:val="clear" w:color="000000" w:fill="F2F2F2"/>
            <w:vAlign w:val="center"/>
            <w:hideMark/>
          </w:tcPr>
          <w:p w14:paraId="3371B7FA"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GAS PROPANO DE COLOMBIA S.A.S. E.S.P.</w:t>
            </w:r>
          </w:p>
        </w:tc>
        <w:tc>
          <w:tcPr>
            <w:tcW w:w="1520" w:type="dxa"/>
            <w:tcBorders>
              <w:top w:val="nil"/>
              <w:left w:val="nil"/>
              <w:bottom w:val="single" w:sz="4" w:space="0" w:color="auto"/>
              <w:right w:val="single" w:sz="4" w:space="0" w:color="auto"/>
            </w:tcBorders>
            <w:shd w:val="clear" w:color="000000" w:fill="F2F2F2"/>
            <w:noWrap/>
            <w:vAlign w:val="center"/>
            <w:hideMark/>
          </w:tcPr>
          <w:p w14:paraId="2CABC5F7"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$ 299.059.000</w:t>
            </w:r>
          </w:p>
        </w:tc>
        <w:tc>
          <w:tcPr>
            <w:tcW w:w="1440" w:type="dxa"/>
            <w:tcBorders>
              <w:top w:val="nil"/>
              <w:left w:val="nil"/>
              <w:bottom w:val="single" w:sz="4" w:space="0" w:color="auto"/>
              <w:right w:val="single" w:sz="4" w:space="0" w:color="auto"/>
            </w:tcBorders>
            <w:shd w:val="clear" w:color="000000" w:fill="F2F2F2"/>
            <w:noWrap/>
            <w:vAlign w:val="center"/>
            <w:hideMark/>
          </w:tcPr>
          <w:p w14:paraId="54D66DE5"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$ 166.383</w:t>
            </w:r>
          </w:p>
        </w:tc>
        <w:tc>
          <w:tcPr>
            <w:tcW w:w="1460" w:type="dxa"/>
            <w:tcBorders>
              <w:top w:val="nil"/>
              <w:left w:val="nil"/>
              <w:bottom w:val="single" w:sz="4" w:space="0" w:color="auto"/>
              <w:right w:val="single" w:sz="4" w:space="0" w:color="auto"/>
            </w:tcBorders>
            <w:shd w:val="clear" w:color="000000" w:fill="F2F2F2"/>
            <w:noWrap/>
            <w:vAlign w:val="center"/>
            <w:hideMark/>
          </w:tcPr>
          <w:p w14:paraId="4142C9E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$ 299.225.383</w:t>
            </w:r>
          </w:p>
        </w:tc>
        <w:tc>
          <w:tcPr>
            <w:tcW w:w="1260" w:type="dxa"/>
            <w:tcBorders>
              <w:top w:val="nil"/>
              <w:left w:val="nil"/>
              <w:bottom w:val="single" w:sz="4" w:space="0" w:color="auto"/>
              <w:right w:val="single" w:sz="4" w:space="0" w:color="auto"/>
            </w:tcBorders>
            <w:shd w:val="clear" w:color="000000" w:fill="F2F2F2"/>
            <w:noWrap/>
            <w:vAlign w:val="center"/>
            <w:hideMark/>
          </w:tcPr>
          <w:p w14:paraId="3A476E7E"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$ 2.992.254</w:t>
            </w:r>
          </w:p>
        </w:tc>
        <w:tc>
          <w:tcPr>
            <w:tcW w:w="1120" w:type="dxa"/>
            <w:tcBorders>
              <w:top w:val="nil"/>
              <w:left w:val="nil"/>
              <w:bottom w:val="single" w:sz="4" w:space="0" w:color="auto"/>
              <w:right w:val="single" w:sz="4" w:space="0" w:color="auto"/>
            </w:tcBorders>
            <w:shd w:val="clear" w:color="000000" w:fill="F2F2F2"/>
            <w:noWrap/>
            <w:vAlign w:val="center"/>
            <w:hideMark/>
          </w:tcPr>
          <w:p w14:paraId="6166A2A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$ 125</w:t>
            </w:r>
          </w:p>
        </w:tc>
        <w:tc>
          <w:tcPr>
            <w:tcW w:w="1260" w:type="dxa"/>
            <w:tcBorders>
              <w:top w:val="nil"/>
              <w:left w:val="nil"/>
              <w:bottom w:val="single" w:sz="4" w:space="0" w:color="auto"/>
              <w:right w:val="single" w:sz="4" w:space="0" w:color="auto"/>
            </w:tcBorders>
            <w:shd w:val="clear" w:color="000000" w:fill="F2F2F2"/>
            <w:noWrap/>
            <w:vAlign w:val="center"/>
            <w:hideMark/>
          </w:tcPr>
          <w:p w14:paraId="3979BF9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$ 2.992.378</w:t>
            </w:r>
          </w:p>
        </w:tc>
        <w:tc>
          <w:tcPr>
            <w:tcW w:w="1920" w:type="dxa"/>
            <w:tcBorders>
              <w:top w:val="nil"/>
              <w:left w:val="nil"/>
              <w:bottom w:val="single" w:sz="4" w:space="0" w:color="auto"/>
              <w:right w:val="single" w:sz="4" w:space="0" w:color="auto"/>
            </w:tcBorders>
            <w:shd w:val="clear" w:color="000000" w:fill="F2F2F2"/>
            <w:vAlign w:val="center"/>
            <w:hideMark/>
          </w:tcPr>
          <w:p w14:paraId="0EB73004"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GAS LICUADO DEL PETROLEO</w:t>
            </w:r>
          </w:p>
        </w:tc>
      </w:tr>
      <w:tr w:rsidR="00D705A6" w:rsidRPr="002E0BB9" w14:paraId="267D8CE4" w14:textId="77777777" w:rsidTr="007D1249">
        <w:trPr>
          <w:trHeight w:val="2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03193914"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235</w:t>
            </w:r>
          </w:p>
        </w:tc>
        <w:tc>
          <w:tcPr>
            <w:tcW w:w="560" w:type="dxa"/>
            <w:tcBorders>
              <w:top w:val="nil"/>
              <w:left w:val="nil"/>
              <w:bottom w:val="single" w:sz="4" w:space="0" w:color="auto"/>
              <w:right w:val="single" w:sz="4" w:space="0" w:color="auto"/>
            </w:tcBorders>
            <w:shd w:val="clear" w:color="000000" w:fill="F2F2F2"/>
            <w:noWrap/>
            <w:vAlign w:val="center"/>
            <w:hideMark/>
          </w:tcPr>
          <w:p w14:paraId="79AF6A1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31493</w:t>
            </w:r>
          </w:p>
        </w:tc>
        <w:tc>
          <w:tcPr>
            <w:tcW w:w="920" w:type="dxa"/>
            <w:tcBorders>
              <w:top w:val="nil"/>
              <w:left w:val="nil"/>
              <w:bottom w:val="single" w:sz="4" w:space="0" w:color="auto"/>
              <w:right w:val="single" w:sz="4" w:space="0" w:color="auto"/>
            </w:tcBorders>
            <w:shd w:val="clear" w:color="000000" w:fill="F2F2F2"/>
            <w:noWrap/>
            <w:vAlign w:val="center"/>
            <w:hideMark/>
          </w:tcPr>
          <w:p w14:paraId="5984D1B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900713658</w:t>
            </w:r>
          </w:p>
        </w:tc>
        <w:tc>
          <w:tcPr>
            <w:tcW w:w="2180" w:type="dxa"/>
            <w:tcBorders>
              <w:top w:val="nil"/>
              <w:left w:val="nil"/>
              <w:bottom w:val="single" w:sz="4" w:space="0" w:color="auto"/>
              <w:right w:val="single" w:sz="4" w:space="0" w:color="auto"/>
            </w:tcBorders>
            <w:shd w:val="clear" w:color="000000" w:fill="F2F2F2"/>
            <w:vAlign w:val="center"/>
            <w:hideMark/>
          </w:tcPr>
          <w:p w14:paraId="576D30AA"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CNE OIL &amp; GAS SAS</w:t>
            </w:r>
          </w:p>
        </w:tc>
        <w:tc>
          <w:tcPr>
            <w:tcW w:w="1520" w:type="dxa"/>
            <w:tcBorders>
              <w:top w:val="nil"/>
              <w:left w:val="nil"/>
              <w:bottom w:val="single" w:sz="4" w:space="0" w:color="auto"/>
              <w:right w:val="single" w:sz="4" w:space="0" w:color="auto"/>
            </w:tcBorders>
            <w:shd w:val="clear" w:color="000000" w:fill="F2F2F2"/>
            <w:noWrap/>
            <w:vAlign w:val="center"/>
            <w:hideMark/>
          </w:tcPr>
          <w:p w14:paraId="12F0E0E6"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$ 50.744.086.000</w:t>
            </w:r>
          </w:p>
        </w:tc>
        <w:tc>
          <w:tcPr>
            <w:tcW w:w="1440" w:type="dxa"/>
            <w:tcBorders>
              <w:top w:val="nil"/>
              <w:left w:val="nil"/>
              <w:bottom w:val="single" w:sz="4" w:space="0" w:color="auto"/>
              <w:right w:val="single" w:sz="4" w:space="0" w:color="auto"/>
            </w:tcBorders>
            <w:shd w:val="clear" w:color="000000" w:fill="F2F2F2"/>
            <w:noWrap/>
            <w:vAlign w:val="center"/>
            <w:hideMark/>
          </w:tcPr>
          <w:p w14:paraId="3DF083B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$ 775.371.991</w:t>
            </w:r>
          </w:p>
        </w:tc>
        <w:tc>
          <w:tcPr>
            <w:tcW w:w="1460" w:type="dxa"/>
            <w:tcBorders>
              <w:top w:val="nil"/>
              <w:left w:val="nil"/>
              <w:bottom w:val="single" w:sz="4" w:space="0" w:color="auto"/>
              <w:right w:val="single" w:sz="4" w:space="0" w:color="auto"/>
            </w:tcBorders>
            <w:shd w:val="clear" w:color="000000" w:fill="F2F2F2"/>
            <w:noWrap/>
            <w:vAlign w:val="center"/>
            <w:hideMark/>
          </w:tcPr>
          <w:p w14:paraId="4EF8D04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$ 51.519.457.991</w:t>
            </w:r>
          </w:p>
        </w:tc>
        <w:tc>
          <w:tcPr>
            <w:tcW w:w="1260" w:type="dxa"/>
            <w:tcBorders>
              <w:top w:val="nil"/>
              <w:left w:val="nil"/>
              <w:bottom w:val="single" w:sz="4" w:space="0" w:color="auto"/>
              <w:right w:val="single" w:sz="4" w:space="0" w:color="auto"/>
            </w:tcBorders>
            <w:shd w:val="clear" w:color="000000" w:fill="F2F2F2"/>
            <w:noWrap/>
            <w:vAlign w:val="center"/>
            <w:hideMark/>
          </w:tcPr>
          <w:p w14:paraId="3A5A14D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$ 515.194.580</w:t>
            </w:r>
          </w:p>
        </w:tc>
        <w:tc>
          <w:tcPr>
            <w:tcW w:w="1120" w:type="dxa"/>
            <w:tcBorders>
              <w:top w:val="nil"/>
              <w:left w:val="nil"/>
              <w:bottom w:val="single" w:sz="4" w:space="0" w:color="auto"/>
              <w:right w:val="single" w:sz="4" w:space="0" w:color="auto"/>
            </w:tcBorders>
            <w:shd w:val="clear" w:color="000000" w:fill="F2F2F2"/>
            <w:noWrap/>
            <w:vAlign w:val="center"/>
            <w:hideMark/>
          </w:tcPr>
          <w:p w14:paraId="2CDF7EE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$ 21.441</w:t>
            </w:r>
          </w:p>
        </w:tc>
        <w:tc>
          <w:tcPr>
            <w:tcW w:w="1260" w:type="dxa"/>
            <w:tcBorders>
              <w:top w:val="nil"/>
              <w:left w:val="nil"/>
              <w:bottom w:val="single" w:sz="4" w:space="0" w:color="auto"/>
              <w:right w:val="single" w:sz="4" w:space="0" w:color="auto"/>
            </w:tcBorders>
            <w:shd w:val="clear" w:color="000000" w:fill="F2F2F2"/>
            <w:noWrap/>
            <w:vAlign w:val="center"/>
            <w:hideMark/>
          </w:tcPr>
          <w:p w14:paraId="15139612"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$ 515.216.021</w:t>
            </w:r>
          </w:p>
        </w:tc>
        <w:tc>
          <w:tcPr>
            <w:tcW w:w="1920" w:type="dxa"/>
            <w:tcBorders>
              <w:top w:val="nil"/>
              <w:left w:val="nil"/>
              <w:bottom w:val="single" w:sz="4" w:space="0" w:color="auto"/>
              <w:right w:val="single" w:sz="4" w:space="0" w:color="auto"/>
            </w:tcBorders>
            <w:shd w:val="clear" w:color="000000" w:fill="F2F2F2"/>
            <w:vAlign w:val="center"/>
            <w:hideMark/>
          </w:tcPr>
          <w:p w14:paraId="2B70EE95"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GAS POR REDES</w:t>
            </w:r>
          </w:p>
        </w:tc>
      </w:tr>
      <w:tr w:rsidR="00D705A6" w:rsidRPr="002E0BB9" w14:paraId="0122525F" w14:textId="77777777" w:rsidTr="007D1249">
        <w:trPr>
          <w:trHeight w:val="6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3992DA99"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236</w:t>
            </w:r>
          </w:p>
        </w:tc>
        <w:tc>
          <w:tcPr>
            <w:tcW w:w="560" w:type="dxa"/>
            <w:tcBorders>
              <w:top w:val="nil"/>
              <w:left w:val="nil"/>
              <w:bottom w:val="single" w:sz="4" w:space="0" w:color="auto"/>
              <w:right w:val="single" w:sz="4" w:space="0" w:color="auto"/>
            </w:tcBorders>
            <w:shd w:val="clear" w:color="000000" w:fill="F2F2F2"/>
            <w:noWrap/>
            <w:vAlign w:val="center"/>
            <w:hideMark/>
          </w:tcPr>
          <w:p w14:paraId="51D8FC4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37354</w:t>
            </w:r>
          </w:p>
        </w:tc>
        <w:tc>
          <w:tcPr>
            <w:tcW w:w="920" w:type="dxa"/>
            <w:tcBorders>
              <w:top w:val="nil"/>
              <w:left w:val="nil"/>
              <w:bottom w:val="single" w:sz="4" w:space="0" w:color="auto"/>
              <w:right w:val="single" w:sz="4" w:space="0" w:color="auto"/>
            </w:tcBorders>
            <w:shd w:val="clear" w:color="000000" w:fill="F2F2F2"/>
            <w:noWrap/>
            <w:vAlign w:val="center"/>
            <w:hideMark/>
          </w:tcPr>
          <w:p w14:paraId="0C52B0F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900716459</w:t>
            </w:r>
          </w:p>
        </w:tc>
        <w:tc>
          <w:tcPr>
            <w:tcW w:w="2180" w:type="dxa"/>
            <w:tcBorders>
              <w:top w:val="nil"/>
              <w:left w:val="nil"/>
              <w:bottom w:val="single" w:sz="4" w:space="0" w:color="auto"/>
              <w:right w:val="single" w:sz="4" w:space="0" w:color="auto"/>
            </w:tcBorders>
            <w:shd w:val="clear" w:color="000000" w:fill="F2F2F2"/>
            <w:vAlign w:val="center"/>
            <w:hideMark/>
          </w:tcPr>
          <w:p w14:paraId="5B5CD684"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COLOMBIANA DE SERVICIOS PÚBLICOS SOSTENIBLES S.A E.</w:t>
            </w:r>
            <w:proofErr w:type="gramStart"/>
            <w:r w:rsidRPr="002E0BB9">
              <w:rPr>
                <w:rFonts w:ascii="Arial Narrow" w:hAnsi="Arial Narrow" w:cs="Arial"/>
                <w:spacing w:val="0"/>
                <w:sz w:val="16"/>
                <w:szCs w:val="16"/>
                <w:lang w:val="es-MX" w:eastAsia="es-MX"/>
              </w:rPr>
              <w:t>S.P</w:t>
            </w:r>
            <w:proofErr w:type="gramEnd"/>
          </w:p>
        </w:tc>
        <w:tc>
          <w:tcPr>
            <w:tcW w:w="1520" w:type="dxa"/>
            <w:tcBorders>
              <w:top w:val="nil"/>
              <w:left w:val="nil"/>
              <w:bottom w:val="single" w:sz="4" w:space="0" w:color="auto"/>
              <w:right w:val="single" w:sz="4" w:space="0" w:color="auto"/>
            </w:tcBorders>
            <w:shd w:val="clear" w:color="000000" w:fill="F2F2F2"/>
            <w:noWrap/>
            <w:vAlign w:val="center"/>
            <w:hideMark/>
          </w:tcPr>
          <w:p w14:paraId="139E626B"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$ 428.489.000</w:t>
            </w:r>
          </w:p>
        </w:tc>
        <w:tc>
          <w:tcPr>
            <w:tcW w:w="1440" w:type="dxa"/>
            <w:tcBorders>
              <w:top w:val="nil"/>
              <w:left w:val="nil"/>
              <w:bottom w:val="single" w:sz="4" w:space="0" w:color="auto"/>
              <w:right w:val="single" w:sz="4" w:space="0" w:color="auto"/>
            </w:tcBorders>
            <w:shd w:val="clear" w:color="000000" w:fill="F2F2F2"/>
            <w:noWrap/>
            <w:vAlign w:val="center"/>
            <w:hideMark/>
          </w:tcPr>
          <w:p w14:paraId="3E325BE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$ 7.908.350</w:t>
            </w:r>
          </w:p>
        </w:tc>
        <w:tc>
          <w:tcPr>
            <w:tcW w:w="1460" w:type="dxa"/>
            <w:tcBorders>
              <w:top w:val="nil"/>
              <w:left w:val="nil"/>
              <w:bottom w:val="single" w:sz="4" w:space="0" w:color="auto"/>
              <w:right w:val="single" w:sz="4" w:space="0" w:color="auto"/>
            </w:tcBorders>
            <w:shd w:val="clear" w:color="000000" w:fill="F2F2F2"/>
            <w:noWrap/>
            <w:vAlign w:val="center"/>
            <w:hideMark/>
          </w:tcPr>
          <w:p w14:paraId="2CFC1C6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$ 436.397.350</w:t>
            </w:r>
          </w:p>
        </w:tc>
        <w:tc>
          <w:tcPr>
            <w:tcW w:w="1260" w:type="dxa"/>
            <w:tcBorders>
              <w:top w:val="nil"/>
              <w:left w:val="nil"/>
              <w:bottom w:val="single" w:sz="4" w:space="0" w:color="auto"/>
              <w:right w:val="single" w:sz="4" w:space="0" w:color="auto"/>
            </w:tcBorders>
            <w:shd w:val="clear" w:color="000000" w:fill="F2F2F2"/>
            <w:noWrap/>
            <w:vAlign w:val="center"/>
            <w:hideMark/>
          </w:tcPr>
          <w:p w14:paraId="5EDBA9A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$ 4.363.974</w:t>
            </w:r>
          </w:p>
        </w:tc>
        <w:tc>
          <w:tcPr>
            <w:tcW w:w="1120" w:type="dxa"/>
            <w:tcBorders>
              <w:top w:val="nil"/>
              <w:left w:val="nil"/>
              <w:bottom w:val="single" w:sz="4" w:space="0" w:color="auto"/>
              <w:right w:val="single" w:sz="4" w:space="0" w:color="auto"/>
            </w:tcBorders>
            <w:shd w:val="clear" w:color="000000" w:fill="F2F2F2"/>
            <w:noWrap/>
            <w:vAlign w:val="center"/>
            <w:hideMark/>
          </w:tcPr>
          <w:p w14:paraId="2C08A25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$ 182</w:t>
            </w:r>
          </w:p>
        </w:tc>
        <w:tc>
          <w:tcPr>
            <w:tcW w:w="1260" w:type="dxa"/>
            <w:tcBorders>
              <w:top w:val="nil"/>
              <w:left w:val="nil"/>
              <w:bottom w:val="single" w:sz="4" w:space="0" w:color="auto"/>
              <w:right w:val="single" w:sz="4" w:space="0" w:color="auto"/>
            </w:tcBorders>
            <w:shd w:val="clear" w:color="000000" w:fill="F2F2F2"/>
            <w:noWrap/>
            <w:vAlign w:val="center"/>
            <w:hideMark/>
          </w:tcPr>
          <w:p w14:paraId="6248DDA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$ 4.364.155</w:t>
            </w:r>
          </w:p>
        </w:tc>
        <w:tc>
          <w:tcPr>
            <w:tcW w:w="1920" w:type="dxa"/>
            <w:tcBorders>
              <w:top w:val="nil"/>
              <w:left w:val="nil"/>
              <w:bottom w:val="single" w:sz="4" w:space="0" w:color="auto"/>
              <w:right w:val="single" w:sz="4" w:space="0" w:color="auto"/>
            </w:tcBorders>
            <w:shd w:val="clear" w:color="000000" w:fill="F2F2F2"/>
            <w:vAlign w:val="center"/>
            <w:hideMark/>
          </w:tcPr>
          <w:p w14:paraId="206C987A"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GAS POR REDES</w:t>
            </w:r>
          </w:p>
        </w:tc>
      </w:tr>
      <w:tr w:rsidR="00D705A6" w:rsidRPr="002E0BB9" w14:paraId="6BA7A811" w14:textId="77777777" w:rsidTr="007D1249">
        <w:trPr>
          <w:trHeight w:val="2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1CBEB605"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lastRenderedPageBreak/>
              <w:t>237</w:t>
            </w:r>
          </w:p>
        </w:tc>
        <w:tc>
          <w:tcPr>
            <w:tcW w:w="560" w:type="dxa"/>
            <w:tcBorders>
              <w:top w:val="nil"/>
              <w:left w:val="nil"/>
              <w:bottom w:val="single" w:sz="4" w:space="0" w:color="auto"/>
              <w:right w:val="single" w:sz="4" w:space="0" w:color="auto"/>
            </w:tcBorders>
            <w:shd w:val="clear" w:color="000000" w:fill="F2F2F2"/>
            <w:noWrap/>
            <w:vAlign w:val="center"/>
            <w:hideMark/>
          </w:tcPr>
          <w:p w14:paraId="5B59977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31513</w:t>
            </w:r>
          </w:p>
        </w:tc>
        <w:tc>
          <w:tcPr>
            <w:tcW w:w="920" w:type="dxa"/>
            <w:tcBorders>
              <w:top w:val="nil"/>
              <w:left w:val="nil"/>
              <w:bottom w:val="single" w:sz="4" w:space="0" w:color="auto"/>
              <w:right w:val="single" w:sz="4" w:space="0" w:color="auto"/>
            </w:tcBorders>
            <w:shd w:val="clear" w:color="000000" w:fill="F2F2F2"/>
            <w:noWrap/>
            <w:vAlign w:val="center"/>
            <w:hideMark/>
          </w:tcPr>
          <w:p w14:paraId="17137CD1"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900718988</w:t>
            </w:r>
          </w:p>
        </w:tc>
        <w:tc>
          <w:tcPr>
            <w:tcW w:w="2180" w:type="dxa"/>
            <w:tcBorders>
              <w:top w:val="nil"/>
              <w:left w:val="nil"/>
              <w:bottom w:val="single" w:sz="4" w:space="0" w:color="auto"/>
              <w:right w:val="single" w:sz="4" w:space="0" w:color="auto"/>
            </w:tcBorders>
            <w:shd w:val="clear" w:color="000000" w:fill="F2F2F2"/>
            <w:vAlign w:val="center"/>
            <w:hideMark/>
          </w:tcPr>
          <w:p w14:paraId="61A826E7"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CENTAURO GAS SA ESP</w:t>
            </w:r>
          </w:p>
        </w:tc>
        <w:tc>
          <w:tcPr>
            <w:tcW w:w="1520" w:type="dxa"/>
            <w:tcBorders>
              <w:top w:val="nil"/>
              <w:left w:val="nil"/>
              <w:bottom w:val="single" w:sz="4" w:space="0" w:color="auto"/>
              <w:right w:val="single" w:sz="4" w:space="0" w:color="auto"/>
            </w:tcBorders>
            <w:shd w:val="clear" w:color="000000" w:fill="F2F2F2"/>
            <w:noWrap/>
            <w:vAlign w:val="center"/>
            <w:hideMark/>
          </w:tcPr>
          <w:p w14:paraId="0AE968FA"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$ 51.444.000</w:t>
            </w:r>
          </w:p>
        </w:tc>
        <w:tc>
          <w:tcPr>
            <w:tcW w:w="1440" w:type="dxa"/>
            <w:tcBorders>
              <w:top w:val="nil"/>
              <w:left w:val="nil"/>
              <w:bottom w:val="single" w:sz="4" w:space="0" w:color="auto"/>
              <w:right w:val="single" w:sz="4" w:space="0" w:color="auto"/>
            </w:tcBorders>
            <w:shd w:val="clear" w:color="000000" w:fill="F2F2F2"/>
            <w:noWrap/>
            <w:vAlign w:val="center"/>
            <w:hideMark/>
          </w:tcPr>
          <w:p w14:paraId="376CF85E"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$ 1.189.717</w:t>
            </w:r>
          </w:p>
        </w:tc>
        <w:tc>
          <w:tcPr>
            <w:tcW w:w="1460" w:type="dxa"/>
            <w:tcBorders>
              <w:top w:val="nil"/>
              <w:left w:val="nil"/>
              <w:bottom w:val="single" w:sz="4" w:space="0" w:color="auto"/>
              <w:right w:val="single" w:sz="4" w:space="0" w:color="auto"/>
            </w:tcBorders>
            <w:shd w:val="clear" w:color="000000" w:fill="F2F2F2"/>
            <w:noWrap/>
            <w:vAlign w:val="center"/>
            <w:hideMark/>
          </w:tcPr>
          <w:p w14:paraId="6A80F4CE"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$ 52.633.717</w:t>
            </w:r>
          </w:p>
        </w:tc>
        <w:tc>
          <w:tcPr>
            <w:tcW w:w="1260" w:type="dxa"/>
            <w:tcBorders>
              <w:top w:val="nil"/>
              <w:left w:val="nil"/>
              <w:bottom w:val="single" w:sz="4" w:space="0" w:color="auto"/>
              <w:right w:val="single" w:sz="4" w:space="0" w:color="auto"/>
            </w:tcBorders>
            <w:shd w:val="clear" w:color="000000" w:fill="F2F2F2"/>
            <w:noWrap/>
            <w:vAlign w:val="center"/>
            <w:hideMark/>
          </w:tcPr>
          <w:p w14:paraId="703C67B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$ 526.337</w:t>
            </w:r>
          </w:p>
        </w:tc>
        <w:tc>
          <w:tcPr>
            <w:tcW w:w="1120" w:type="dxa"/>
            <w:tcBorders>
              <w:top w:val="nil"/>
              <w:left w:val="nil"/>
              <w:bottom w:val="single" w:sz="4" w:space="0" w:color="auto"/>
              <w:right w:val="single" w:sz="4" w:space="0" w:color="auto"/>
            </w:tcBorders>
            <w:shd w:val="clear" w:color="000000" w:fill="F2F2F2"/>
            <w:noWrap/>
            <w:vAlign w:val="center"/>
            <w:hideMark/>
          </w:tcPr>
          <w:p w14:paraId="5862B782"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$ 22</w:t>
            </w:r>
          </w:p>
        </w:tc>
        <w:tc>
          <w:tcPr>
            <w:tcW w:w="1260" w:type="dxa"/>
            <w:tcBorders>
              <w:top w:val="nil"/>
              <w:left w:val="nil"/>
              <w:bottom w:val="single" w:sz="4" w:space="0" w:color="auto"/>
              <w:right w:val="single" w:sz="4" w:space="0" w:color="auto"/>
            </w:tcBorders>
            <w:shd w:val="clear" w:color="000000" w:fill="F2F2F2"/>
            <w:noWrap/>
            <w:vAlign w:val="center"/>
            <w:hideMark/>
          </w:tcPr>
          <w:p w14:paraId="5E26D7B5"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$ 526.359</w:t>
            </w:r>
          </w:p>
        </w:tc>
        <w:tc>
          <w:tcPr>
            <w:tcW w:w="1920" w:type="dxa"/>
            <w:tcBorders>
              <w:top w:val="nil"/>
              <w:left w:val="nil"/>
              <w:bottom w:val="single" w:sz="4" w:space="0" w:color="auto"/>
              <w:right w:val="single" w:sz="4" w:space="0" w:color="auto"/>
            </w:tcBorders>
            <w:shd w:val="clear" w:color="000000" w:fill="F2F2F2"/>
            <w:vAlign w:val="center"/>
            <w:hideMark/>
          </w:tcPr>
          <w:p w14:paraId="132E20A9"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GAS POR REDES</w:t>
            </w:r>
          </w:p>
        </w:tc>
      </w:tr>
      <w:tr w:rsidR="00D705A6" w:rsidRPr="002E0BB9" w14:paraId="20A6FB93" w14:textId="77777777" w:rsidTr="007D1249">
        <w:trPr>
          <w:trHeight w:val="2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19E7889E"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238</w:t>
            </w:r>
          </w:p>
        </w:tc>
        <w:tc>
          <w:tcPr>
            <w:tcW w:w="560" w:type="dxa"/>
            <w:tcBorders>
              <w:top w:val="nil"/>
              <w:left w:val="nil"/>
              <w:bottom w:val="single" w:sz="4" w:space="0" w:color="auto"/>
              <w:right w:val="single" w:sz="4" w:space="0" w:color="auto"/>
            </w:tcBorders>
            <w:shd w:val="clear" w:color="000000" w:fill="F2F2F2"/>
            <w:noWrap/>
            <w:vAlign w:val="center"/>
            <w:hideMark/>
          </w:tcPr>
          <w:p w14:paraId="6270D35D"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27572</w:t>
            </w:r>
          </w:p>
        </w:tc>
        <w:tc>
          <w:tcPr>
            <w:tcW w:w="920" w:type="dxa"/>
            <w:tcBorders>
              <w:top w:val="nil"/>
              <w:left w:val="nil"/>
              <w:bottom w:val="single" w:sz="4" w:space="0" w:color="auto"/>
              <w:right w:val="single" w:sz="4" w:space="0" w:color="auto"/>
            </w:tcBorders>
            <w:shd w:val="clear" w:color="000000" w:fill="F2F2F2"/>
            <w:noWrap/>
            <w:vAlign w:val="center"/>
            <w:hideMark/>
          </w:tcPr>
          <w:p w14:paraId="1D6978F2"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900746422</w:t>
            </w:r>
          </w:p>
        </w:tc>
        <w:tc>
          <w:tcPr>
            <w:tcW w:w="2180" w:type="dxa"/>
            <w:tcBorders>
              <w:top w:val="nil"/>
              <w:left w:val="nil"/>
              <w:bottom w:val="single" w:sz="4" w:space="0" w:color="auto"/>
              <w:right w:val="single" w:sz="4" w:space="0" w:color="auto"/>
            </w:tcBorders>
            <w:shd w:val="clear" w:color="000000" w:fill="F2F2F2"/>
            <w:vAlign w:val="center"/>
            <w:hideMark/>
          </w:tcPr>
          <w:p w14:paraId="72518D70"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CEMEX ENERGY SAS ESP</w:t>
            </w:r>
          </w:p>
        </w:tc>
        <w:tc>
          <w:tcPr>
            <w:tcW w:w="1520" w:type="dxa"/>
            <w:tcBorders>
              <w:top w:val="nil"/>
              <w:left w:val="nil"/>
              <w:bottom w:val="single" w:sz="4" w:space="0" w:color="auto"/>
              <w:right w:val="single" w:sz="4" w:space="0" w:color="auto"/>
            </w:tcBorders>
            <w:shd w:val="clear" w:color="000000" w:fill="F2F2F2"/>
            <w:noWrap/>
            <w:vAlign w:val="center"/>
            <w:hideMark/>
          </w:tcPr>
          <w:p w14:paraId="3DAC045D"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$ 1.794.075.000</w:t>
            </w:r>
          </w:p>
        </w:tc>
        <w:tc>
          <w:tcPr>
            <w:tcW w:w="1440" w:type="dxa"/>
            <w:tcBorders>
              <w:top w:val="nil"/>
              <w:left w:val="nil"/>
              <w:bottom w:val="single" w:sz="4" w:space="0" w:color="auto"/>
              <w:right w:val="single" w:sz="4" w:space="0" w:color="auto"/>
            </w:tcBorders>
            <w:shd w:val="clear" w:color="000000" w:fill="F2F2F2"/>
            <w:noWrap/>
            <w:vAlign w:val="center"/>
            <w:hideMark/>
          </w:tcPr>
          <w:p w14:paraId="0B30353C"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$ 899.578.336</w:t>
            </w:r>
          </w:p>
        </w:tc>
        <w:tc>
          <w:tcPr>
            <w:tcW w:w="1460" w:type="dxa"/>
            <w:tcBorders>
              <w:top w:val="nil"/>
              <w:left w:val="nil"/>
              <w:bottom w:val="single" w:sz="4" w:space="0" w:color="auto"/>
              <w:right w:val="single" w:sz="4" w:space="0" w:color="auto"/>
            </w:tcBorders>
            <w:shd w:val="clear" w:color="000000" w:fill="F2F2F2"/>
            <w:noWrap/>
            <w:vAlign w:val="center"/>
            <w:hideMark/>
          </w:tcPr>
          <w:p w14:paraId="5377034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$ 2.693.653.336</w:t>
            </w:r>
          </w:p>
        </w:tc>
        <w:tc>
          <w:tcPr>
            <w:tcW w:w="1260" w:type="dxa"/>
            <w:tcBorders>
              <w:top w:val="nil"/>
              <w:left w:val="nil"/>
              <w:bottom w:val="single" w:sz="4" w:space="0" w:color="auto"/>
              <w:right w:val="single" w:sz="4" w:space="0" w:color="auto"/>
            </w:tcBorders>
            <w:shd w:val="clear" w:color="000000" w:fill="F2F2F2"/>
            <w:noWrap/>
            <w:vAlign w:val="center"/>
            <w:hideMark/>
          </w:tcPr>
          <w:p w14:paraId="17C5BBB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$ 26.936.533</w:t>
            </w:r>
          </w:p>
        </w:tc>
        <w:tc>
          <w:tcPr>
            <w:tcW w:w="1120" w:type="dxa"/>
            <w:tcBorders>
              <w:top w:val="nil"/>
              <w:left w:val="nil"/>
              <w:bottom w:val="single" w:sz="4" w:space="0" w:color="auto"/>
              <w:right w:val="single" w:sz="4" w:space="0" w:color="auto"/>
            </w:tcBorders>
            <w:shd w:val="clear" w:color="000000" w:fill="F2F2F2"/>
            <w:noWrap/>
            <w:vAlign w:val="center"/>
            <w:hideMark/>
          </w:tcPr>
          <w:p w14:paraId="17C05905"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$ 1.121</w:t>
            </w:r>
          </w:p>
        </w:tc>
        <w:tc>
          <w:tcPr>
            <w:tcW w:w="1260" w:type="dxa"/>
            <w:tcBorders>
              <w:top w:val="nil"/>
              <w:left w:val="nil"/>
              <w:bottom w:val="single" w:sz="4" w:space="0" w:color="auto"/>
              <w:right w:val="single" w:sz="4" w:space="0" w:color="auto"/>
            </w:tcBorders>
            <w:shd w:val="clear" w:color="000000" w:fill="F2F2F2"/>
            <w:noWrap/>
            <w:vAlign w:val="center"/>
            <w:hideMark/>
          </w:tcPr>
          <w:p w14:paraId="4923C4F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$ 26.937.654</w:t>
            </w:r>
          </w:p>
        </w:tc>
        <w:tc>
          <w:tcPr>
            <w:tcW w:w="1920" w:type="dxa"/>
            <w:tcBorders>
              <w:top w:val="nil"/>
              <w:left w:val="nil"/>
              <w:bottom w:val="single" w:sz="4" w:space="0" w:color="auto"/>
              <w:right w:val="single" w:sz="4" w:space="0" w:color="auto"/>
            </w:tcBorders>
            <w:shd w:val="clear" w:color="000000" w:fill="F2F2F2"/>
            <w:vAlign w:val="center"/>
            <w:hideMark/>
          </w:tcPr>
          <w:p w14:paraId="7C493C9B"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w:t>
            </w:r>
          </w:p>
        </w:tc>
      </w:tr>
      <w:tr w:rsidR="00D705A6" w:rsidRPr="002E0BB9" w14:paraId="5C512B1D" w14:textId="77777777" w:rsidTr="00053706">
        <w:trPr>
          <w:trHeight w:val="34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410DF438"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239</w:t>
            </w:r>
          </w:p>
        </w:tc>
        <w:tc>
          <w:tcPr>
            <w:tcW w:w="560" w:type="dxa"/>
            <w:tcBorders>
              <w:top w:val="nil"/>
              <w:left w:val="nil"/>
              <w:bottom w:val="single" w:sz="4" w:space="0" w:color="auto"/>
              <w:right w:val="single" w:sz="4" w:space="0" w:color="auto"/>
            </w:tcBorders>
            <w:shd w:val="clear" w:color="000000" w:fill="F2F2F2"/>
            <w:noWrap/>
            <w:vAlign w:val="center"/>
            <w:hideMark/>
          </w:tcPr>
          <w:p w14:paraId="4F5EDC9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30431</w:t>
            </w:r>
          </w:p>
        </w:tc>
        <w:tc>
          <w:tcPr>
            <w:tcW w:w="920" w:type="dxa"/>
            <w:tcBorders>
              <w:top w:val="nil"/>
              <w:left w:val="nil"/>
              <w:bottom w:val="single" w:sz="4" w:space="0" w:color="auto"/>
              <w:right w:val="single" w:sz="4" w:space="0" w:color="auto"/>
            </w:tcBorders>
            <w:shd w:val="clear" w:color="000000" w:fill="F2F2F2"/>
            <w:noWrap/>
            <w:vAlign w:val="center"/>
            <w:hideMark/>
          </w:tcPr>
          <w:p w14:paraId="0540607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900759883</w:t>
            </w:r>
          </w:p>
        </w:tc>
        <w:tc>
          <w:tcPr>
            <w:tcW w:w="2180" w:type="dxa"/>
            <w:tcBorders>
              <w:top w:val="nil"/>
              <w:left w:val="nil"/>
              <w:bottom w:val="single" w:sz="4" w:space="0" w:color="auto"/>
              <w:right w:val="single" w:sz="4" w:space="0" w:color="auto"/>
            </w:tcBorders>
            <w:shd w:val="clear" w:color="000000" w:fill="F2F2F2"/>
            <w:vAlign w:val="center"/>
            <w:hideMark/>
          </w:tcPr>
          <w:p w14:paraId="11C0D0FB"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xml:space="preserve">CENTRAL HIDROELÉCTRICA CONCORDIA SAS ESP </w:t>
            </w:r>
          </w:p>
        </w:tc>
        <w:tc>
          <w:tcPr>
            <w:tcW w:w="1520" w:type="dxa"/>
            <w:tcBorders>
              <w:top w:val="nil"/>
              <w:left w:val="nil"/>
              <w:bottom w:val="single" w:sz="4" w:space="0" w:color="auto"/>
              <w:right w:val="single" w:sz="4" w:space="0" w:color="auto"/>
            </w:tcBorders>
            <w:shd w:val="clear" w:color="000000" w:fill="F2F2F2"/>
            <w:noWrap/>
            <w:vAlign w:val="center"/>
            <w:hideMark/>
          </w:tcPr>
          <w:p w14:paraId="2D1DDF5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$ 48.713.000</w:t>
            </w:r>
          </w:p>
        </w:tc>
        <w:tc>
          <w:tcPr>
            <w:tcW w:w="1440" w:type="dxa"/>
            <w:tcBorders>
              <w:top w:val="nil"/>
              <w:left w:val="nil"/>
              <w:bottom w:val="single" w:sz="4" w:space="0" w:color="auto"/>
              <w:right w:val="single" w:sz="4" w:space="0" w:color="auto"/>
            </w:tcBorders>
            <w:shd w:val="clear" w:color="000000" w:fill="F2F2F2"/>
            <w:noWrap/>
            <w:vAlign w:val="center"/>
            <w:hideMark/>
          </w:tcPr>
          <w:p w14:paraId="6E0CC76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$ 0</w:t>
            </w:r>
          </w:p>
        </w:tc>
        <w:tc>
          <w:tcPr>
            <w:tcW w:w="1460" w:type="dxa"/>
            <w:tcBorders>
              <w:top w:val="nil"/>
              <w:left w:val="nil"/>
              <w:bottom w:val="single" w:sz="4" w:space="0" w:color="auto"/>
              <w:right w:val="single" w:sz="4" w:space="0" w:color="auto"/>
            </w:tcBorders>
            <w:shd w:val="clear" w:color="000000" w:fill="F2F2F2"/>
            <w:noWrap/>
            <w:vAlign w:val="center"/>
            <w:hideMark/>
          </w:tcPr>
          <w:p w14:paraId="7B4A448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$ 48.713.000</w:t>
            </w:r>
          </w:p>
        </w:tc>
        <w:tc>
          <w:tcPr>
            <w:tcW w:w="1260" w:type="dxa"/>
            <w:tcBorders>
              <w:top w:val="nil"/>
              <w:left w:val="nil"/>
              <w:bottom w:val="single" w:sz="4" w:space="0" w:color="auto"/>
              <w:right w:val="single" w:sz="4" w:space="0" w:color="auto"/>
            </w:tcBorders>
            <w:shd w:val="clear" w:color="000000" w:fill="F2F2F2"/>
            <w:noWrap/>
            <w:vAlign w:val="center"/>
            <w:hideMark/>
          </w:tcPr>
          <w:p w14:paraId="6B34035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$ 487.130</w:t>
            </w:r>
          </w:p>
        </w:tc>
        <w:tc>
          <w:tcPr>
            <w:tcW w:w="1120" w:type="dxa"/>
            <w:tcBorders>
              <w:top w:val="nil"/>
              <w:left w:val="nil"/>
              <w:bottom w:val="single" w:sz="4" w:space="0" w:color="auto"/>
              <w:right w:val="single" w:sz="4" w:space="0" w:color="auto"/>
            </w:tcBorders>
            <w:shd w:val="clear" w:color="000000" w:fill="F2F2F2"/>
            <w:noWrap/>
            <w:vAlign w:val="center"/>
            <w:hideMark/>
          </w:tcPr>
          <w:p w14:paraId="457072F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$ 20</w:t>
            </w:r>
          </w:p>
        </w:tc>
        <w:tc>
          <w:tcPr>
            <w:tcW w:w="1260" w:type="dxa"/>
            <w:tcBorders>
              <w:top w:val="nil"/>
              <w:left w:val="nil"/>
              <w:bottom w:val="single" w:sz="4" w:space="0" w:color="auto"/>
              <w:right w:val="single" w:sz="4" w:space="0" w:color="auto"/>
            </w:tcBorders>
            <w:shd w:val="clear" w:color="000000" w:fill="F2F2F2"/>
            <w:noWrap/>
            <w:vAlign w:val="center"/>
            <w:hideMark/>
          </w:tcPr>
          <w:p w14:paraId="05F7A2FC"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$ 487.150</w:t>
            </w:r>
          </w:p>
        </w:tc>
        <w:tc>
          <w:tcPr>
            <w:tcW w:w="1920" w:type="dxa"/>
            <w:tcBorders>
              <w:top w:val="nil"/>
              <w:left w:val="nil"/>
              <w:bottom w:val="single" w:sz="4" w:space="0" w:color="auto"/>
              <w:right w:val="single" w:sz="4" w:space="0" w:color="auto"/>
            </w:tcBorders>
            <w:shd w:val="clear" w:color="000000" w:fill="F2F2F2"/>
            <w:vAlign w:val="center"/>
            <w:hideMark/>
          </w:tcPr>
          <w:p w14:paraId="08345FF0"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w:t>
            </w:r>
          </w:p>
        </w:tc>
      </w:tr>
      <w:tr w:rsidR="00D705A6" w:rsidRPr="002E0BB9" w14:paraId="71F8AE20" w14:textId="77777777" w:rsidTr="007D1249">
        <w:trPr>
          <w:trHeight w:val="4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30EFE8D4"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240</w:t>
            </w:r>
          </w:p>
        </w:tc>
        <w:tc>
          <w:tcPr>
            <w:tcW w:w="560" w:type="dxa"/>
            <w:tcBorders>
              <w:top w:val="nil"/>
              <w:left w:val="nil"/>
              <w:bottom w:val="single" w:sz="4" w:space="0" w:color="auto"/>
              <w:right w:val="single" w:sz="4" w:space="0" w:color="auto"/>
            </w:tcBorders>
            <w:shd w:val="clear" w:color="000000" w:fill="F2F2F2"/>
            <w:noWrap/>
            <w:vAlign w:val="center"/>
            <w:hideMark/>
          </w:tcPr>
          <w:p w14:paraId="7EC3D91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27812</w:t>
            </w:r>
          </w:p>
        </w:tc>
        <w:tc>
          <w:tcPr>
            <w:tcW w:w="920" w:type="dxa"/>
            <w:tcBorders>
              <w:top w:val="nil"/>
              <w:left w:val="nil"/>
              <w:bottom w:val="single" w:sz="4" w:space="0" w:color="auto"/>
              <w:right w:val="single" w:sz="4" w:space="0" w:color="auto"/>
            </w:tcBorders>
            <w:shd w:val="clear" w:color="000000" w:fill="F2F2F2"/>
            <w:noWrap/>
            <w:vAlign w:val="center"/>
            <w:hideMark/>
          </w:tcPr>
          <w:p w14:paraId="3A6B4907"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900771588</w:t>
            </w:r>
          </w:p>
        </w:tc>
        <w:tc>
          <w:tcPr>
            <w:tcW w:w="2180" w:type="dxa"/>
            <w:tcBorders>
              <w:top w:val="nil"/>
              <w:left w:val="nil"/>
              <w:bottom w:val="single" w:sz="4" w:space="0" w:color="auto"/>
              <w:right w:val="single" w:sz="4" w:space="0" w:color="auto"/>
            </w:tcBorders>
            <w:shd w:val="clear" w:color="000000" w:fill="F2F2F2"/>
            <w:vAlign w:val="center"/>
            <w:hideMark/>
          </w:tcPr>
          <w:p w14:paraId="40DD6217"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GAS PAC S.A.S. ESP.</w:t>
            </w:r>
          </w:p>
        </w:tc>
        <w:tc>
          <w:tcPr>
            <w:tcW w:w="1520" w:type="dxa"/>
            <w:tcBorders>
              <w:top w:val="nil"/>
              <w:left w:val="nil"/>
              <w:bottom w:val="single" w:sz="4" w:space="0" w:color="auto"/>
              <w:right w:val="single" w:sz="4" w:space="0" w:color="auto"/>
            </w:tcBorders>
            <w:shd w:val="clear" w:color="000000" w:fill="F2F2F2"/>
            <w:noWrap/>
            <w:vAlign w:val="center"/>
            <w:hideMark/>
          </w:tcPr>
          <w:p w14:paraId="0808F05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$ 250.836.000</w:t>
            </w:r>
          </w:p>
        </w:tc>
        <w:tc>
          <w:tcPr>
            <w:tcW w:w="1440" w:type="dxa"/>
            <w:tcBorders>
              <w:top w:val="nil"/>
              <w:left w:val="nil"/>
              <w:bottom w:val="single" w:sz="4" w:space="0" w:color="auto"/>
              <w:right w:val="single" w:sz="4" w:space="0" w:color="auto"/>
            </w:tcBorders>
            <w:shd w:val="clear" w:color="000000" w:fill="F2F2F2"/>
            <w:noWrap/>
            <w:vAlign w:val="center"/>
            <w:hideMark/>
          </w:tcPr>
          <w:p w14:paraId="59F7EC6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$ 32.042.083</w:t>
            </w:r>
          </w:p>
        </w:tc>
        <w:tc>
          <w:tcPr>
            <w:tcW w:w="1460" w:type="dxa"/>
            <w:tcBorders>
              <w:top w:val="nil"/>
              <w:left w:val="nil"/>
              <w:bottom w:val="single" w:sz="4" w:space="0" w:color="auto"/>
              <w:right w:val="single" w:sz="4" w:space="0" w:color="auto"/>
            </w:tcBorders>
            <w:shd w:val="clear" w:color="000000" w:fill="F2F2F2"/>
            <w:noWrap/>
            <w:vAlign w:val="center"/>
            <w:hideMark/>
          </w:tcPr>
          <w:p w14:paraId="17340B6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$ 282.878.083</w:t>
            </w:r>
          </w:p>
        </w:tc>
        <w:tc>
          <w:tcPr>
            <w:tcW w:w="1260" w:type="dxa"/>
            <w:tcBorders>
              <w:top w:val="nil"/>
              <w:left w:val="nil"/>
              <w:bottom w:val="single" w:sz="4" w:space="0" w:color="auto"/>
              <w:right w:val="single" w:sz="4" w:space="0" w:color="auto"/>
            </w:tcBorders>
            <w:shd w:val="clear" w:color="000000" w:fill="F2F2F2"/>
            <w:noWrap/>
            <w:vAlign w:val="center"/>
            <w:hideMark/>
          </w:tcPr>
          <w:p w14:paraId="42A515F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$ 2.828.781</w:t>
            </w:r>
          </w:p>
        </w:tc>
        <w:tc>
          <w:tcPr>
            <w:tcW w:w="1120" w:type="dxa"/>
            <w:tcBorders>
              <w:top w:val="nil"/>
              <w:left w:val="nil"/>
              <w:bottom w:val="single" w:sz="4" w:space="0" w:color="auto"/>
              <w:right w:val="single" w:sz="4" w:space="0" w:color="auto"/>
            </w:tcBorders>
            <w:shd w:val="clear" w:color="000000" w:fill="F2F2F2"/>
            <w:noWrap/>
            <w:vAlign w:val="center"/>
            <w:hideMark/>
          </w:tcPr>
          <w:p w14:paraId="5247EE55"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$ 118</w:t>
            </w:r>
          </w:p>
        </w:tc>
        <w:tc>
          <w:tcPr>
            <w:tcW w:w="1260" w:type="dxa"/>
            <w:tcBorders>
              <w:top w:val="nil"/>
              <w:left w:val="nil"/>
              <w:bottom w:val="single" w:sz="4" w:space="0" w:color="auto"/>
              <w:right w:val="single" w:sz="4" w:space="0" w:color="auto"/>
            </w:tcBorders>
            <w:shd w:val="clear" w:color="000000" w:fill="F2F2F2"/>
            <w:noWrap/>
            <w:vAlign w:val="center"/>
            <w:hideMark/>
          </w:tcPr>
          <w:p w14:paraId="2C8F11AA"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$ 2.828.899</w:t>
            </w:r>
          </w:p>
        </w:tc>
        <w:tc>
          <w:tcPr>
            <w:tcW w:w="1920" w:type="dxa"/>
            <w:tcBorders>
              <w:top w:val="nil"/>
              <w:left w:val="nil"/>
              <w:bottom w:val="single" w:sz="4" w:space="0" w:color="auto"/>
              <w:right w:val="single" w:sz="4" w:space="0" w:color="auto"/>
            </w:tcBorders>
            <w:shd w:val="clear" w:color="000000" w:fill="F2F2F2"/>
            <w:vAlign w:val="center"/>
            <w:hideMark/>
          </w:tcPr>
          <w:p w14:paraId="07A577FC"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GAS LICUADO DEL PETROLEO</w:t>
            </w:r>
          </w:p>
        </w:tc>
      </w:tr>
      <w:tr w:rsidR="00D705A6" w:rsidRPr="002E0BB9" w14:paraId="63ACAB5B" w14:textId="77777777" w:rsidTr="007D1249">
        <w:trPr>
          <w:trHeight w:val="4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6C3CE893"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241</w:t>
            </w:r>
          </w:p>
        </w:tc>
        <w:tc>
          <w:tcPr>
            <w:tcW w:w="560" w:type="dxa"/>
            <w:tcBorders>
              <w:top w:val="nil"/>
              <w:left w:val="nil"/>
              <w:bottom w:val="single" w:sz="4" w:space="0" w:color="auto"/>
              <w:right w:val="single" w:sz="4" w:space="0" w:color="auto"/>
            </w:tcBorders>
            <w:shd w:val="clear" w:color="000000" w:fill="F2F2F2"/>
            <w:noWrap/>
            <w:vAlign w:val="center"/>
            <w:hideMark/>
          </w:tcPr>
          <w:p w14:paraId="77B33F6B"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27791</w:t>
            </w:r>
          </w:p>
        </w:tc>
        <w:tc>
          <w:tcPr>
            <w:tcW w:w="920" w:type="dxa"/>
            <w:tcBorders>
              <w:top w:val="nil"/>
              <w:left w:val="nil"/>
              <w:bottom w:val="single" w:sz="4" w:space="0" w:color="auto"/>
              <w:right w:val="single" w:sz="4" w:space="0" w:color="auto"/>
            </w:tcBorders>
            <w:shd w:val="clear" w:color="000000" w:fill="F2F2F2"/>
            <w:noWrap/>
            <w:vAlign w:val="center"/>
            <w:hideMark/>
          </w:tcPr>
          <w:p w14:paraId="3294DAFE"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900778095</w:t>
            </w:r>
          </w:p>
        </w:tc>
        <w:tc>
          <w:tcPr>
            <w:tcW w:w="2180" w:type="dxa"/>
            <w:tcBorders>
              <w:top w:val="nil"/>
              <w:left w:val="nil"/>
              <w:bottom w:val="single" w:sz="4" w:space="0" w:color="auto"/>
              <w:right w:val="single" w:sz="4" w:space="0" w:color="auto"/>
            </w:tcBorders>
            <w:shd w:val="clear" w:color="000000" w:fill="F2F2F2"/>
            <w:vAlign w:val="center"/>
            <w:hideMark/>
          </w:tcPr>
          <w:p w14:paraId="13A20423"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DESARROLLO ELECTRICO DEL SURIA S.A.S. E.S.P.</w:t>
            </w:r>
          </w:p>
        </w:tc>
        <w:tc>
          <w:tcPr>
            <w:tcW w:w="1520" w:type="dxa"/>
            <w:tcBorders>
              <w:top w:val="nil"/>
              <w:left w:val="nil"/>
              <w:bottom w:val="single" w:sz="4" w:space="0" w:color="auto"/>
              <w:right w:val="single" w:sz="4" w:space="0" w:color="auto"/>
            </w:tcBorders>
            <w:shd w:val="clear" w:color="000000" w:fill="F2F2F2"/>
            <w:noWrap/>
            <w:vAlign w:val="center"/>
            <w:hideMark/>
          </w:tcPr>
          <w:p w14:paraId="49857F97"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$ 414.170.000</w:t>
            </w:r>
          </w:p>
        </w:tc>
        <w:tc>
          <w:tcPr>
            <w:tcW w:w="1440" w:type="dxa"/>
            <w:tcBorders>
              <w:top w:val="nil"/>
              <w:left w:val="nil"/>
              <w:bottom w:val="single" w:sz="4" w:space="0" w:color="auto"/>
              <w:right w:val="single" w:sz="4" w:space="0" w:color="auto"/>
            </w:tcBorders>
            <w:shd w:val="clear" w:color="000000" w:fill="F2F2F2"/>
            <w:noWrap/>
            <w:vAlign w:val="center"/>
            <w:hideMark/>
          </w:tcPr>
          <w:p w14:paraId="217CABA2"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$ 142.616</w:t>
            </w:r>
          </w:p>
        </w:tc>
        <w:tc>
          <w:tcPr>
            <w:tcW w:w="1460" w:type="dxa"/>
            <w:tcBorders>
              <w:top w:val="nil"/>
              <w:left w:val="nil"/>
              <w:bottom w:val="single" w:sz="4" w:space="0" w:color="auto"/>
              <w:right w:val="single" w:sz="4" w:space="0" w:color="auto"/>
            </w:tcBorders>
            <w:shd w:val="clear" w:color="000000" w:fill="F2F2F2"/>
            <w:noWrap/>
            <w:vAlign w:val="center"/>
            <w:hideMark/>
          </w:tcPr>
          <w:p w14:paraId="46D12F4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$ 414.312.616</w:t>
            </w:r>
          </w:p>
        </w:tc>
        <w:tc>
          <w:tcPr>
            <w:tcW w:w="1260" w:type="dxa"/>
            <w:tcBorders>
              <w:top w:val="nil"/>
              <w:left w:val="nil"/>
              <w:bottom w:val="single" w:sz="4" w:space="0" w:color="auto"/>
              <w:right w:val="single" w:sz="4" w:space="0" w:color="auto"/>
            </w:tcBorders>
            <w:shd w:val="clear" w:color="000000" w:fill="F2F2F2"/>
            <w:noWrap/>
            <w:vAlign w:val="center"/>
            <w:hideMark/>
          </w:tcPr>
          <w:p w14:paraId="620FB74B"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$ 4.143.126</w:t>
            </w:r>
          </w:p>
        </w:tc>
        <w:tc>
          <w:tcPr>
            <w:tcW w:w="1120" w:type="dxa"/>
            <w:tcBorders>
              <w:top w:val="nil"/>
              <w:left w:val="nil"/>
              <w:bottom w:val="single" w:sz="4" w:space="0" w:color="auto"/>
              <w:right w:val="single" w:sz="4" w:space="0" w:color="auto"/>
            </w:tcBorders>
            <w:shd w:val="clear" w:color="000000" w:fill="F2F2F2"/>
            <w:noWrap/>
            <w:vAlign w:val="center"/>
            <w:hideMark/>
          </w:tcPr>
          <w:p w14:paraId="0FF7A5CB"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$ 172</w:t>
            </w:r>
          </w:p>
        </w:tc>
        <w:tc>
          <w:tcPr>
            <w:tcW w:w="1260" w:type="dxa"/>
            <w:tcBorders>
              <w:top w:val="nil"/>
              <w:left w:val="nil"/>
              <w:bottom w:val="single" w:sz="4" w:space="0" w:color="auto"/>
              <w:right w:val="single" w:sz="4" w:space="0" w:color="auto"/>
            </w:tcBorders>
            <w:shd w:val="clear" w:color="000000" w:fill="F2F2F2"/>
            <w:noWrap/>
            <w:vAlign w:val="center"/>
            <w:hideMark/>
          </w:tcPr>
          <w:p w14:paraId="2AA025A7"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$ 4.143.299</w:t>
            </w:r>
          </w:p>
        </w:tc>
        <w:tc>
          <w:tcPr>
            <w:tcW w:w="1920" w:type="dxa"/>
            <w:tcBorders>
              <w:top w:val="nil"/>
              <w:left w:val="nil"/>
              <w:bottom w:val="single" w:sz="4" w:space="0" w:color="auto"/>
              <w:right w:val="single" w:sz="4" w:space="0" w:color="auto"/>
            </w:tcBorders>
            <w:shd w:val="clear" w:color="000000" w:fill="F2F2F2"/>
            <w:vAlign w:val="center"/>
            <w:hideMark/>
          </w:tcPr>
          <w:p w14:paraId="5CD14764"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w:t>
            </w:r>
          </w:p>
        </w:tc>
      </w:tr>
      <w:tr w:rsidR="00D705A6" w:rsidRPr="002E0BB9" w14:paraId="603854B3" w14:textId="77777777" w:rsidTr="007D1249">
        <w:trPr>
          <w:trHeight w:val="6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7236AEB4"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242</w:t>
            </w:r>
          </w:p>
        </w:tc>
        <w:tc>
          <w:tcPr>
            <w:tcW w:w="560" w:type="dxa"/>
            <w:tcBorders>
              <w:top w:val="nil"/>
              <w:left w:val="nil"/>
              <w:bottom w:val="single" w:sz="4" w:space="0" w:color="auto"/>
              <w:right w:val="single" w:sz="4" w:space="0" w:color="auto"/>
            </w:tcBorders>
            <w:shd w:val="clear" w:color="000000" w:fill="F2F2F2"/>
            <w:noWrap/>
            <w:vAlign w:val="center"/>
            <w:hideMark/>
          </w:tcPr>
          <w:p w14:paraId="36D917C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28111</w:t>
            </w:r>
          </w:p>
        </w:tc>
        <w:tc>
          <w:tcPr>
            <w:tcW w:w="920" w:type="dxa"/>
            <w:tcBorders>
              <w:top w:val="nil"/>
              <w:left w:val="nil"/>
              <w:bottom w:val="single" w:sz="4" w:space="0" w:color="auto"/>
              <w:right w:val="single" w:sz="4" w:space="0" w:color="auto"/>
            </w:tcBorders>
            <w:shd w:val="clear" w:color="000000" w:fill="F2F2F2"/>
            <w:noWrap/>
            <w:vAlign w:val="center"/>
            <w:hideMark/>
          </w:tcPr>
          <w:p w14:paraId="41719517"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900787764</w:t>
            </w:r>
          </w:p>
        </w:tc>
        <w:tc>
          <w:tcPr>
            <w:tcW w:w="2180" w:type="dxa"/>
            <w:tcBorders>
              <w:top w:val="nil"/>
              <w:left w:val="nil"/>
              <w:bottom w:val="single" w:sz="4" w:space="0" w:color="auto"/>
              <w:right w:val="single" w:sz="4" w:space="0" w:color="auto"/>
            </w:tcBorders>
            <w:shd w:val="clear" w:color="000000" w:fill="F2F2F2"/>
            <w:vAlign w:val="center"/>
            <w:hideMark/>
          </w:tcPr>
          <w:p w14:paraId="3D7179DC"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xml:space="preserve">EMPRESA DE SERVICIOS PUBLICOS DE ENERGIA ELECTRICA DEL CAUCA </w:t>
            </w:r>
          </w:p>
        </w:tc>
        <w:tc>
          <w:tcPr>
            <w:tcW w:w="1520" w:type="dxa"/>
            <w:tcBorders>
              <w:top w:val="nil"/>
              <w:left w:val="nil"/>
              <w:bottom w:val="single" w:sz="4" w:space="0" w:color="auto"/>
              <w:right w:val="single" w:sz="4" w:space="0" w:color="auto"/>
            </w:tcBorders>
            <w:shd w:val="clear" w:color="000000" w:fill="F2F2F2"/>
            <w:noWrap/>
            <w:vAlign w:val="center"/>
            <w:hideMark/>
          </w:tcPr>
          <w:p w14:paraId="455CB2FB"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$ 476.100.000</w:t>
            </w:r>
          </w:p>
        </w:tc>
        <w:tc>
          <w:tcPr>
            <w:tcW w:w="1440" w:type="dxa"/>
            <w:tcBorders>
              <w:top w:val="nil"/>
              <w:left w:val="nil"/>
              <w:bottom w:val="single" w:sz="4" w:space="0" w:color="auto"/>
              <w:right w:val="single" w:sz="4" w:space="0" w:color="auto"/>
            </w:tcBorders>
            <w:shd w:val="clear" w:color="000000" w:fill="F2F2F2"/>
            <w:noWrap/>
            <w:vAlign w:val="center"/>
            <w:hideMark/>
          </w:tcPr>
          <w:p w14:paraId="104B1AA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$ 17.633.592</w:t>
            </w:r>
          </w:p>
        </w:tc>
        <w:tc>
          <w:tcPr>
            <w:tcW w:w="1460" w:type="dxa"/>
            <w:tcBorders>
              <w:top w:val="nil"/>
              <w:left w:val="nil"/>
              <w:bottom w:val="single" w:sz="4" w:space="0" w:color="auto"/>
              <w:right w:val="single" w:sz="4" w:space="0" w:color="auto"/>
            </w:tcBorders>
            <w:shd w:val="clear" w:color="000000" w:fill="F2F2F2"/>
            <w:noWrap/>
            <w:vAlign w:val="center"/>
            <w:hideMark/>
          </w:tcPr>
          <w:p w14:paraId="2C4A5FD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$ 493.733.592</w:t>
            </w:r>
          </w:p>
        </w:tc>
        <w:tc>
          <w:tcPr>
            <w:tcW w:w="1260" w:type="dxa"/>
            <w:tcBorders>
              <w:top w:val="nil"/>
              <w:left w:val="nil"/>
              <w:bottom w:val="single" w:sz="4" w:space="0" w:color="auto"/>
              <w:right w:val="single" w:sz="4" w:space="0" w:color="auto"/>
            </w:tcBorders>
            <w:shd w:val="clear" w:color="000000" w:fill="F2F2F2"/>
            <w:noWrap/>
            <w:vAlign w:val="center"/>
            <w:hideMark/>
          </w:tcPr>
          <w:p w14:paraId="3C4BBFE1"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$ 4.937.336</w:t>
            </w:r>
          </w:p>
        </w:tc>
        <w:tc>
          <w:tcPr>
            <w:tcW w:w="1120" w:type="dxa"/>
            <w:tcBorders>
              <w:top w:val="nil"/>
              <w:left w:val="nil"/>
              <w:bottom w:val="single" w:sz="4" w:space="0" w:color="auto"/>
              <w:right w:val="single" w:sz="4" w:space="0" w:color="auto"/>
            </w:tcBorders>
            <w:shd w:val="clear" w:color="000000" w:fill="F2F2F2"/>
            <w:noWrap/>
            <w:vAlign w:val="center"/>
            <w:hideMark/>
          </w:tcPr>
          <w:p w14:paraId="410CEF7C"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$ 205</w:t>
            </w:r>
          </w:p>
        </w:tc>
        <w:tc>
          <w:tcPr>
            <w:tcW w:w="1260" w:type="dxa"/>
            <w:tcBorders>
              <w:top w:val="nil"/>
              <w:left w:val="nil"/>
              <w:bottom w:val="single" w:sz="4" w:space="0" w:color="auto"/>
              <w:right w:val="single" w:sz="4" w:space="0" w:color="auto"/>
            </w:tcBorders>
            <w:shd w:val="clear" w:color="000000" w:fill="F2F2F2"/>
            <w:noWrap/>
            <w:vAlign w:val="center"/>
            <w:hideMark/>
          </w:tcPr>
          <w:p w14:paraId="284C2C3C"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$ 4.937.541</w:t>
            </w:r>
          </w:p>
        </w:tc>
        <w:tc>
          <w:tcPr>
            <w:tcW w:w="1920" w:type="dxa"/>
            <w:tcBorders>
              <w:top w:val="nil"/>
              <w:left w:val="nil"/>
              <w:bottom w:val="single" w:sz="4" w:space="0" w:color="auto"/>
              <w:right w:val="single" w:sz="4" w:space="0" w:color="auto"/>
            </w:tcBorders>
            <w:shd w:val="clear" w:color="000000" w:fill="F2F2F2"/>
            <w:vAlign w:val="center"/>
            <w:hideMark/>
          </w:tcPr>
          <w:p w14:paraId="0D49B884"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w:t>
            </w:r>
          </w:p>
        </w:tc>
      </w:tr>
      <w:tr w:rsidR="00D705A6" w:rsidRPr="002E0BB9" w14:paraId="0FF36ED3" w14:textId="77777777" w:rsidTr="007D1249">
        <w:trPr>
          <w:trHeight w:val="2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6C16526F"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243</w:t>
            </w:r>
          </w:p>
        </w:tc>
        <w:tc>
          <w:tcPr>
            <w:tcW w:w="560" w:type="dxa"/>
            <w:tcBorders>
              <w:top w:val="nil"/>
              <w:left w:val="nil"/>
              <w:bottom w:val="single" w:sz="4" w:space="0" w:color="auto"/>
              <w:right w:val="single" w:sz="4" w:space="0" w:color="auto"/>
            </w:tcBorders>
            <w:shd w:val="clear" w:color="000000" w:fill="F2F2F2"/>
            <w:noWrap/>
            <w:vAlign w:val="center"/>
            <w:hideMark/>
          </w:tcPr>
          <w:p w14:paraId="2F654C62"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36314</w:t>
            </w:r>
          </w:p>
        </w:tc>
        <w:tc>
          <w:tcPr>
            <w:tcW w:w="920" w:type="dxa"/>
            <w:tcBorders>
              <w:top w:val="nil"/>
              <w:left w:val="nil"/>
              <w:bottom w:val="single" w:sz="4" w:space="0" w:color="auto"/>
              <w:right w:val="single" w:sz="4" w:space="0" w:color="auto"/>
            </w:tcBorders>
            <w:shd w:val="clear" w:color="000000" w:fill="F2F2F2"/>
            <w:noWrap/>
            <w:vAlign w:val="center"/>
            <w:hideMark/>
          </w:tcPr>
          <w:p w14:paraId="5C30205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900851785</w:t>
            </w:r>
          </w:p>
        </w:tc>
        <w:tc>
          <w:tcPr>
            <w:tcW w:w="2180" w:type="dxa"/>
            <w:tcBorders>
              <w:top w:val="nil"/>
              <w:left w:val="nil"/>
              <w:bottom w:val="single" w:sz="4" w:space="0" w:color="auto"/>
              <w:right w:val="single" w:sz="4" w:space="0" w:color="auto"/>
            </w:tcBorders>
            <w:shd w:val="clear" w:color="000000" w:fill="F2F2F2"/>
            <w:vAlign w:val="center"/>
            <w:hideMark/>
          </w:tcPr>
          <w:p w14:paraId="3D55BA84"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CALAMARI LNG SA ESP</w:t>
            </w:r>
          </w:p>
        </w:tc>
        <w:tc>
          <w:tcPr>
            <w:tcW w:w="1520" w:type="dxa"/>
            <w:tcBorders>
              <w:top w:val="nil"/>
              <w:left w:val="nil"/>
              <w:bottom w:val="single" w:sz="4" w:space="0" w:color="auto"/>
              <w:right w:val="single" w:sz="4" w:space="0" w:color="auto"/>
            </w:tcBorders>
            <w:shd w:val="clear" w:color="000000" w:fill="F2F2F2"/>
            <w:noWrap/>
            <w:vAlign w:val="center"/>
            <w:hideMark/>
          </w:tcPr>
          <w:p w14:paraId="1CE13F0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$ 1.283.675.000</w:t>
            </w:r>
          </w:p>
        </w:tc>
        <w:tc>
          <w:tcPr>
            <w:tcW w:w="1440" w:type="dxa"/>
            <w:tcBorders>
              <w:top w:val="nil"/>
              <w:left w:val="nil"/>
              <w:bottom w:val="single" w:sz="4" w:space="0" w:color="auto"/>
              <w:right w:val="single" w:sz="4" w:space="0" w:color="auto"/>
            </w:tcBorders>
            <w:shd w:val="clear" w:color="000000" w:fill="F2F2F2"/>
            <w:noWrap/>
            <w:vAlign w:val="center"/>
            <w:hideMark/>
          </w:tcPr>
          <w:p w14:paraId="083BF106"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$ 0</w:t>
            </w:r>
          </w:p>
        </w:tc>
        <w:tc>
          <w:tcPr>
            <w:tcW w:w="1460" w:type="dxa"/>
            <w:tcBorders>
              <w:top w:val="nil"/>
              <w:left w:val="nil"/>
              <w:bottom w:val="single" w:sz="4" w:space="0" w:color="auto"/>
              <w:right w:val="single" w:sz="4" w:space="0" w:color="auto"/>
            </w:tcBorders>
            <w:shd w:val="clear" w:color="000000" w:fill="F2F2F2"/>
            <w:noWrap/>
            <w:vAlign w:val="center"/>
            <w:hideMark/>
          </w:tcPr>
          <w:p w14:paraId="7E9A21DB"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$ 1.283.675.000</w:t>
            </w:r>
          </w:p>
        </w:tc>
        <w:tc>
          <w:tcPr>
            <w:tcW w:w="1260" w:type="dxa"/>
            <w:tcBorders>
              <w:top w:val="nil"/>
              <w:left w:val="nil"/>
              <w:bottom w:val="single" w:sz="4" w:space="0" w:color="auto"/>
              <w:right w:val="single" w:sz="4" w:space="0" w:color="auto"/>
            </w:tcBorders>
            <w:shd w:val="clear" w:color="000000" w:fill="F2F2F2"/>
            <w:noWrap/>
            <w:vAlign w:val="center"/>
            <w:hideMark/>
          </w:tcPr>
          <w:p w14:paraId="7A11D4FA"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$ 12.836.750</w:t>
            </w:r>
          </w:p>
        </w:tc>
        <w:tc>
          <w:tcPr>
            <w:tcW w:w="1120" w:type="dxa"/>
            <w:tcBorders>
              <w:top w:val="nil"/>
              <w:left w:val="nil"/>
              <w:bottom w:val="single" w:sz="4" w:space="0" w:color="auto"/>
              <w:right w:val="single" w:sz="4" w:space="0" w:color="auto"/>
            </w:tcBorders>
            <w:shd w:val="clear" w:color="000000" w:fill="F2F2F2"/>
            <w:noWrap/>
            <w:vAlign w:val="center"/>
            <w:hideMark/>
          </w:tcPr>
          <w:p w14:paraId="192475EE"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$ 534</w:t>
            </w:r>
          </w:p>
        </w:tc>
        <w:tc>
          <w:tcPr>
            <w:tcW w:w="1260" w:type="dxa"/>
            <w:tcBorders>
              <w:top w:val="nil"/>
              <w:left w:val="nil"/>
              <w:bottom w:val="single" w:sz="4" w:space="0" w:color="auto"/>
              <w:right w:val="single" w:sz="4" w:space="0" w:color="auto"/>
            </w:tcBorders>
            <w:shd w:val="clear" w:color="000000" w:fill="F2F2F2"/>
            <w:noWrap/>
            <w:vAlign w:val="center"/>
            <w:hideMark/>
          </w:tcPr>
          <w:p w14:paraId="26CCEFB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$ 12.837.284</w:t>
            </w:r>
          </w:p>
        </w:tc>
        <w:tc>
          <w:tcPr>
            <w:tcW w:w="1920" w:type="dxa"/>
            <w:tcBorders>
              <w:top w:val="nil"/>
              <w:left w:val="nil"/>
              <w:bottom w:val="single" w:sz="4" w:space="0" w:color="auto"/>
              <w:right w:val="single" w:sz="4" w:space="0" w:color="auto"/>
            </w:tcBorders>
            <w:shd w:val="clear" w:color="000000" w:fill="F2F2F2"/>
            <w:vAlign w:val="center"/>
            <w:hideMark/>
          </w:tcPr>
          <w:p w14:paraId="1F1551E5"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GAS POR REDES</w:t>
            </w:r>
          </w:p>
        </w:tc>
      </w:tr>
      <w:tr w:rsidR="00D705A6" w:rsidRPr="002E0BB9" w14:paraId="7DCA2566" w14:textId="77777777" w:rsidTr="007D1249">
        <w:trPr>
          <w:trHeight w:val="4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08EF43B6"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244</w:t>
            </w:r>
          </w:p>
        </w:tc>
        <w:tc>
          <w:tcPr>
            <w:tcW w:w="560" w:type="dxa"/>
            <w:tcBorders>
              <w:top w:val="nil"/>
              <w:left w:val="nil"/>
              <w:bottom w:val="single" w:sz="4" w:space="0" w:color="auto"/>
              <w:right w:val="single" w:sz="4" w:space="0" w:color="auto"/>
            </w:tcBorders>
            <w:shd w:val="clear" w:color="000000" w:fill="F2F2F2"/>
            <w:noWrap/>
            <w:vAlign w:val="center"/>
            <w:hideMark/>
          </w:tcPr>
          <w:p w14:paraId="5E05534A"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32793</w:t>
            </w:r>
          </w:p>
        </w:tc>
        <w:tc>
          <w:tcPr>
            <w:tcW w:w="920" w:type="dxa"/>
            <w:tcBorders>
              <w:top w:val="nil"/>
              <w:left w:val="nil"/>
              <w:bottom w:val="single" w:sz="4" w:space="0" w:color="auto"/>
              <w:right w:val="single" w:sz="4" w:space="0" w:color="auto"/>
            </w:tcBorders>
            <w:shd w:val="clear" w:color="000000" w:fill="F2F2F2"/>
            <w:noWrap/>
            <w:vAlign w:val="center"/>
            <w:hideMark/>
          </w:tcPr>
          <w:p w14:paraId="0D59243D"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900863649</w:t>
            </w:r>
          </w:p>
        </w:tc>
        <w:tc>
          <w:tcPr>
            <w:tcW w:w="2180" w:type="dxa"/>
            <w:tcBorders>
              <w:top w:val="nil"/>
              <w:left w:val="nil"/>
              <w:bottom w:val="single" w:sz="4" w:space="0" w:color="auto"/>
              <w:right w:val="single" w:sz="4" w:space="0" w:color="auto"/>
            </w:tcBorders>
            <w:shd w:val="clear" w:color="000000" w:fill="F2F2F2"/>
            <w:vAlign w:val="center"/>
            <w:hideMark/>
          </w:tcPr>
          <w:p w14:paraId="2FCFF048"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COLOMBOGAS S.A.S. E.S.P.</w:t>
            </w:r>
          </w:p>
        </w:tc>
        <w:tc>
          <w:tcPr>
            <w:tcW w:w="1520" w:type="dxa"/>
            <w:tcBorders>
              <w:top w:val="nil"/>
              <w:left w:val="nil"/>
              <w:bottom w:val="single" w:sz="4" w:space="0" w:color="auto"/>
              <w:right w:val="single" w:sz="4" w:space="0" w:color="auto"/>
            </w:tcBorders>
            <w:shd w:val="clear" w:color="000000" w:fill="F2F2F2"/>
            <w:noWrap/>
            <w:vAlign w:val="center"/>
            <w:hideMark/>
          </w:tcPr>
          <w:p w14:paraId="5741D5DE"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$ 221.352.000</w:t>
            </w:r>
          </w:p>
        </w:tc>
        <w:tc>
          <w:tcPr>
            <w:tcW w:w="1440" w:type="dxa"/>
            <w:tcBorders>
              <w:top w:val="nil"/>
              <w:left w:val="nil"/>
              <w:bottom w:val="single" w:sz="4" w:space="0" w:color="auto"/>
              <w:right w:val="single" w:sz="4" w:space="0" w:color="auto"/>
            </w:tcBorders>
            <w:shd w:val="clear" w:color="000000" w:fill="F2F2F2"/>
            <w:noWrap/>
            <w:vAlign w:val="center"/>
            <w:hideMark/>
          </w:tcPr>
          <w:p w14:paraId="13B68C1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$ 18.451.565</w:t>
            </w:r>
          </w:p>
        </w:tc>
        <w:tc>
          <w:tcPr>
            <w:tcW w:w="1460" w:type="dxa"/>
            <w:tcBorders>
              <w:top w:val="nil"/>
              <w:left w:val="nil"/>
              <w:bottom w:val="single" w:sz="4" w:space="0" w:color="auto"/>
              <w:right w:val="single" w:sz="4" w:space="0" w:color="auto"/>
            </w:tcBorders>
            <w:shd w:val="clear" w:color="000000" w:fill="F2F2F2"/>
            <w:noWrap/>
            <w:vAlign w:val="center"/>
            <w:hideMark/>
          </w:tcPr>
          <w:p w14:paraId="5D289A5B"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$ 239.803.565</w:t>
            </w:r>
          </w:p>
        </w:tc>
        <w:tc>
          <w:tcPr>
            <w:tcW w:w="1260" w:type="dxa"/>
            <w:tcBorders>
              <w:top w:val="nil"/>
              <w:left w:val="nil"/>
              <w:bottom w:val="single" w:sz="4" w:space="0" w:color="auto"/>
              <w:right w:val="single" w:sz="4" w:space="0" w:color="auto"/>
            </w:tcBorders>
            <w:shd w:val="clear" w:color="000000" w:fill="F2F2F2"/>
            <w:noWrap/>
            <w:vAlign w:val="center"/>
            <w:hideMark/>
          </w:tcPr>
          <w:p w14:paraId="79B66CA6"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$ 2.398.036</w:t>
            </w:r>
          </w:p>
        </w:tc>
        <w:tc>
          <w:tcPr>
            <w:tcW w:w="1120" w:type="dxa"/>
            <w:tcBorders>
              <w:top w:val="nil"/>
              <w:left w:val="nil"/>
              <w:bottom w:val="single" w:sz="4" w:space="0" w:color="auto"/>
              <w:right w:val="single" w:sz="4" w:space="0" w:color="auto"/>
            </w:tcBorders>
            <w:shd w:val="clear" w:color="000000" w:fill="F2F2F2"/>
            <w:noWrap/>
            <w:vAlign w:val="center"/>
            <w:hideMark/>
          </w:tcPr>
          <w:p w14:paraId="6673031B"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$ 100</w:t>
            </w:r>
          </w:p>
        </w:tc>
        <w:tc>
          <w:tcPr>
            <w:tcW w:w="1260" w:type="dxa"/>
            <w:tcBorders>
              <w:top w:val="nil"/>
              <w:left w:val="nil"/>
              <w:bottom w:val="single" w:sz="4" w:space="0" w:color="auto"/>
              <w:right w:val="single" w:sz="4" w:space="0" w:color="auto"/>
            </w:tcBorders>
            <w:shd w:val="clear" w:color="000000" w:fill="F2F2F2"/>
            <w:noWrap/>
            <w:vAlign w:val="center"/>
            <w:hideMark/>
          </w:tcPr>
          <w:p w14:paraId="654B04BD"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$ 2.398.135</w:t>
            </w:r>
          </w:p>
        </w:tc>
        <w:tc>
          <w:tcPr>
            <w:tcW w:w="1920" w:type="dxa"/>
            <w:tcBorders>
              <w:top w:val="nil"/>
              <w:left w:val="nil"/>
              <w:bottom w:val="single" w:sz="4" w:space="0" w:color="auto"/>
              <w:right w:val="single" w:sz="4" w:space="0" w:color="auto"/>
            </w:tcBorders>
            <w:shd w:val="clear" w:color="000000" w:fill="F2F2F2"/>
            <w:vAlign w:val="center"/>
            <w:hideMark/>
          </w:tcPr>
          <w:p w14:paraId="0A01B003"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GAS LICUADO DEL PETROLEO</w:t>
            </w:r>
          </w:p>
        </w:tc>
      </w:tr>
      <w:tr w:rsidR="00D705A6" w:rsidRPr="002E0BB9" w14:paraId="450A7919" w14:textId="77777777" w:rsidTr="007D1249">
        <w:trPr>
          <w:trHeight w:val="2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4F09B0BE"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245</w:t>
            </w:r>
          </w:p>
        </w:tc>
        <w:tc>
          <w:tcPr>
            <w:tcW w:w="560" w:type="dxa"/>
            <w:tcBorders>
              <w:top w:val="nil"/>
              <w:left w:val="nil"/>
              <w:bottom w:val="single" w:sz="4" w:space="0" w:color="auto"/>
              <w:right w:val="single" w:sz="4" w:space="0" w:color="auto"/>
            </w:tcBorders>
            <w:shd w:val="clear" w:color="000000" w:fill="F2F2F2"/>
            <w:noWrap/>
            <w:vAlign w:val="center"/>
            <w:hideMark/>
          </w:tcPr>
          <w:p w14:paraId="41CE381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30111</w:t>
            </w:r>
          </w:p>
        </w:tc>
        <w:tc>
          <w:tcPr>
            <w:tcW w:w="920" w:type="dxa"/>
            <w:tcBorders>
              <w:top w:val="nil"/>
              <w:left w:val="nil"/>
              <w:bottom w:val="single" w:sz="4" w:space="0" w:color="auto"/>
              <w:right w:val="single" w:sz="4" w:space="0" w:color="auto"/>
            </w:tcBorders>
            <w:shd w:val="clear" w:color="000000" w:fill="F2F2F2"/>
            <w:noWrap/>
            <w:vAlign w:val="center"/>
            <w:hideMark/>
          </w:tcPr>
          <w:p w14:paraId="1F49FC95"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900879149</w:t>
            </w:r>
          </w:p>
        </w:tc>
        <w:tc>
          <w:tcPr>
            <w:tcW w:w="2180" w:type="dxa"/>
            <w:tcBorders>
              <w:top w:val="nil"/>
              <w:left w:val="nil"/>
              <w:bottom w:val="single" w:sz="4" w:space="0" w:color="auto"/>
              <w:right w:val="single" w:sz="4" w:space="0" w:color="auto"/>
            </w:tcBorders>
            <w:shd w:val="clear" w:color="000000" w:fill="F2F2F2"/>
            <w:vAlign w:val="center"/>
            <w:hideMark/>
          </w:tcPr>
          <w:p w14:paraId="746BA523" w14:textId="77777777" w:rsidR="00D705A6" w:rsidRPr="002E0BB9" w:rsidRDefault="00D705A6" w:rsidP="00D22441">
            <w:pPr>
              <w:jc w:val="left"/>
              <w:rPr>
                <w:rFonts w:ascii="Arial Narrow" w:hAnsi="Arial Narrow" w:cs="Arial"/>
                <w:spacing w:val="0"/>
                <w:sz w:val="16"/>
                <w:szCs w:val="16"/>
                <w:lang w:val="es-MX" w:eastAsia="es-MX"/>
              </w:rPr>
            </w:pPr>
            <w:proofErr w:type="gramStart"/>
            <w:r w:rsidRPr="002E0BB9">
              <w:rPr>
                <w:rFonts w:ascii="Arial Narrow" w:hAnsi="Arial Narrow" w:cs="Arial"/>
                <w:spacing w:val="0"/>
                <w:sz w:val="16"/>
                <w:szCs w:val="16"/>
                <w:lang w:val="es-MX" w:eastAsia="es-MX"/>
              </w:rPr>
              <w:t>CONELCA  S.A.S.</w:t>
            </w:r>
            <w:proofErr w:type="gramEnd"/>
            <w:r w:rsidRPr="002E0BB9">
              <w:rPr>
                <w:rFonts w:ascii="Arial Narrow" w:hAnsi="Arial Narrow" w:cs="Arial"/>
                <w:spacing w:val="0"/>
                <w:sz w:val="16"/>
                <w:szCs w:val="16"/>
                <w:lang w:val="es-MX" w:eastAsia="es-MX"/>
              </w:rPr>
              <w:t xml:space="preserve">  E.S.P.</w:t>
            </w:r>
          </w:p>
        </w:tc>
        <w:tc>
          <w:tcPr>
            <w:tcW w:w="1520" w:type="dxa"/>
            <w:tcBorders>
              <w:top w:val="nil"/>
              <w:left w:val="nil"/>
              <w:bottom w:val="single" w:sz="4" w:space="0" w:color="auto"/>
              <w:right w:val="single" w:sz="4" w:space="0" w:color="auto"/>
            </w:tcBorders>
            <w:shd w:val="clear" w:color="000000" w:fill="F2F2F2"/>
            <w:noWrap/>
            <w:vAlign w:val="center"/>
            <w:hideMark/>
          </w:tcPr>
          <w:p w14:paraId="60AB14B7"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$ 354.124.000</w:t>
            </w:r>
          </w:p>
        </w:tc>
        <w:tc>
          <w:tcPr>
            <w:tcW w:w="1440" w:type="dxa"/>
            <w:tcBorders>
              <w:top w:val="nil"/>
              <w:left w:val="nil"/>
              <w:bottom w:val="single" w:sz="4" w:space="0" w:color="auto"/>
              <w:right w:val="single" w:sz="4" w:space="0" w:color="auto"/>
            </w:tcBorders>
            <w:shd w:val="clear" w:color="000000" w:fill="F2F2F2"/>
            <w:noWrap/>
            <w:vAlign w:val="center"/>
            <w:hideMark/>
          </w:tcPr>
          <w:p w14:paraId="1E46AAFE"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$ 0</w:t>
            </w:r>
          </w:p>
        </w:tc>
        <w:tc>
          <w:tcPr>
            <w:tcW w:w="1460" w:type="dxa"/>
            <w:tcBorders>
              <w:top w:val="nil"/>
              <w:left w:val="nil"/>
              <w:bottom w:val="single" w:sz="4" w:space="0" w:color="auto"/>
              <w:right w:val="single" w:sz="4" w:space="0" w:color="auto"/>
            </w:tcBorders>
            <w:shd w:val="clear" w:color="000000" w:fill="F2F2F2"/>
            <w:noWrap/>
            <w:vAlign w:val="center"/>
            <w:hideMark/>
          </w:tcPr>
          <w:p w14:paraId="181A851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$ 354.124.000</w:t>
            </w:r>
          </w:p>
        </w:tc>
        <w:tc>
          <w:tcPr>
            <w:tcW w:w="1260" w:type="dxa"/>
            <w:tcBorders>
              <w:top w:val="nil"/>
              <w:left w:val="nil"/>
              <w:bottom w:val="single" w:sz="4" w:space="0" w:color="auto"/>
              <w:right w:val="single" w:sz="4" w:space="0" w:color="auto"/>
            </w:tcBorders>
            <w:shd w:val="clear" w:color="000000" w:fill="F2F2F2"/>
            <w:noWrap/>
            <w:vAlign w:val="center"/>
            <w:hideMark/>
          </w:tcPr>
          <w:p w14:paraId="4C700996"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$ 3.541.240</w:t>
            </w:r>
          </w:p>
        </w:tc>
        <w:tc>
          <w:tcPr>
            <w:tcW w:w="1120" w:type="dxa"/>
            <w:tcBorders>
              <w:top w:val="nil"/>
              <w:left w:val="nil"/>
              <w:bottom w:val="single" w:sz="4" w:space="0" w:color="auto"/>
              <w:right w:val="single" w:sz="4" w:space="0" w:color="auto"/>
            </w:tcBorders>
            <w:shd w:val="clear" w:color="000000" w:fill="F2F2F2"/>
            <w:noWrap/>
            <w:vAlign w:val="center"/>
            <w:hideMark/>
          </w:tcPr>
          <w:p w14:paraId="012C979D"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$ 147</w:t>
            </w:r>
          </w:p>
        </w:tc>
        <w:tc>
          <w:tcPr>
            <w:tcW w:w="1260" w:type="dxa"/>
            <w:tcBorders>
              <w:top w:val="nil"/>
              <w:left w:val="nil"/>
              <w:bottom w:val="single" w:sz="4" w:space="0" w:color="auto"/>
              <w:right w:val="single" w:sz="4" w:space="0" w:color="auto"/>
            </w:tcBorders>
            <w:shd w:val="clear" w:color="000000" w:fill="F2F2F2"/>
            <w:noWrap/>
            <w:vAlign w:val="center"/>
            <w:hideMark/>
          </w:tcPr>
          <w:p w14:paraId="26C10687"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$ 3.541.387</w:t>
            </w:r>
          </w:p>
        </w:tc>
        <w:tc>
          <w:tcPr>
            <w:tcW w:w="1920" w:type="dxa"/>
            <w:tcBorders>
              <w:top w:val="nil"/>
              <w:left w:val="nil"/>
              <w:bottom w:val="single" w:sz="4" w:space="0" w:color="auto"/>
              <w:right w:val="single" w:sz="4" w:space="0" w:color="auto"/>
            </w:tcBorders>
            <w:shd w:val="clear" w:color="000000" w:fill="F2F2F2"/>
            <w:vAlign w:val="center"/>
            <w:hideMark/>
          </w:tcPr>
          <w:p w14:paraId="56242E21"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w:t>
            </w:r>
          </w:p>
        </w:tc>
      </w:tr>
      <w:tr w:rsidR="00D705A6" w:rsidRPr="002E0BB9" w14:paraId="47C4FF06" w14:textId="77777777" w:rsidTr="00053706">
        <w:trPr>
          <w:trHeight w:val="1088"/>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3DD492CB"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246</w:t>
            </w:r>
          </w:p>
        </w:tc>
        <w:tc>
          <w:tcPr>
            <w:tcW w:w="560" w:type="dxa"/>
            <w:tcBorders>
              <w:top w:val="nil"/>
              <w:left w:val="nil"/>
              <w:bottom w:val="single" w:sz="4" w:space="0" w:color="auto"/>
              <w:right w:val="single" w:sz="4" w:space="0" w:color="auto"/>
            </w:tcBorders>
            <w:shd w:val="clear" w:color="000000" w:fill="F2F2F2"/>
            <w:noWrap/>
            <w:vAlign w:val="center"/>
            <w:hideMark/>
          </w:tcPr>
          <w:p w14:paraId="1F104001"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36695</w:t>
            </w:r>
          </w:p>
        </w:tc>
        <w:tc>
          <w:tcPr>
            <w:tcW w:w="920" w:type="dxa"/>
            <w:tcBorders>
              <w:top w:val="nil"/>
              <w:left w:val="nil"/>
              <w:bottom w:val="single" w:sz="4" w:space="0" w:color="auto"/>
              <w:right w:val="single" w:sz="4" w:space="0" w:color="auto"/>
            </w:tcBorders>
            <w:shd w:val="clear" w:color="000000" w:fill="F2F2F2"/>
            <w:noWrap/>
            <w:vAlign w:val="center"/>
            <w:hideMark/>
          </w:tcPr>
          <w:p w14:paraId="4D741A1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900883057</w:t>
            </w:r>
          </w:p>
        </w:tc>
        <w:tc>
          <w:tcPr>
            <w:tcW w:w="2180" w:type="dxa"/>
            <w:tcBorders>
              <w:top w:val="nil"/>
              <w:left w:val="nil"/>
              <w:bottom w:val="single" w:sz="4" w:space="0" w:color="auto"/>
              <w:right w:val="single" w:sz="4" w:space="0" w:color="auto"/>
            </w:tcBorders>
            <w:shd w:val="clear" w:color="000000" w:fill="F2F2F2"/>
            <w:vAlign w:val="center"/>
            <w:hideMark/>
          </w:tcPr>
          <w:p w14:paraId="7A18BE63"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DISTRIBUIDORA DE GAS DEL FONCE SOCIEDAD POR ACCIONES SIMPLIFICADA EMPRESA DE SERVICIO PUBLICOS DOMICILIARIOS S.A.S. E.S.P.</w:t>
            </w:r>
          </w:p>
        </w:tc>
        <w:tc>
          <w:tcPr>
            <w:tcW w:w="1520" w:type="dxa"/>
            <w:tcBorders>
              <w:top w:val="nil"/>
              <w:left w:val="nil"/>
              <w:bottom w:val="single" w:sz="4" w:space="0" w:color="auto"/>
              <w:right w:val="single" w:sz="4" w:space="0" w:color="auto"/>
            </w:tcBorders>
            <w:shd w:val="clear" w:color="000000" w:fill="F2F2F2"/>
            <w:noWrap/>
            <w:vAlign w:val="center"/>
            <w:hideMark/>
          </w:tcPr>
          <w:p w14:paraId="224CCF5B"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$ 57.679.000</w:t>
            </w:r>
          </w:p>
        </w:tc>
        <w:tc>
          <w:tcPr>
            <w:tcW w:w="1440" w:type="dxa"/>
            <w:tcBorders>
              <w:top w:val="nil"/>
              <w:left w:val="nil"/>
              <w:bottom w:val="single" w:sz="4" w:space="0" w:color="auto"/>
              <w:right w:val="single" w:sz="4" w:space="0" w:color="auto"/>
            </w:tcBorders>
            <w:shd w:val="clear" w:color="000000" w:fill="F2F2F2"/>
            <w:noWrap/>
            <w:vAlign w:val="center"/>
            <w:hideMark/>
          </w:tcPr>
          <w:p w14:paraId="77BBA56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$ 6.711.979</w:t>
            </w:r>
          </w:p>
        </w:tc>
        <w:tc>
          <w:tcPr>
            <w:tcW w:w="1460" w:type="dxa"/>
            <w:tcBorders>
              <w:top w:val="nil"/>
              <w:left w:val="nil"/>
              <w:bottom w:val="single" w:sz="4" w:space="0" w:color="auto"/>
              <w:right w:val="single" w:sz="4" w:space="0" w:color="auto"/>
            </w:tcBorders>
            <w:shd w:val="clear" w:color="000000" w:fill="F2F2F2"/>
            <w:noWrap/>
            <w:vAlign w:val="center"/>
            <w:hideMark/>
          </w:tcPr>
          <w:p w14:paraId="74C56E5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$ 64.390.979</w:t>
            </w:r>
          </w:p>
        </w:tc>
        <w:tc>
          <w:tcPr>
            <w:tcW w:w="1260" w:type="dxa"/>
            <w:tcBorders>
              <w:top w:val="nil"/>
              <w:left w:val="nil"/>
              <w:bottom w:val="single" w:sz="4" w:space="0" w:color="auto"/>
              <w:right w:val="single" w:sz="4" w:space="0" w:color="auto"/>
            </w:tcBorders>
            <w:shd w:val="clear" w:color="000000" w:fill="F2F2F2"/>
            <w:noWrap/>
            <w:vAlign w:val="center"/>
            <w:hideMark/>
          </w:tcPr>
          <w:p w14:paraId="55268DEA"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$ 643.910</w:t>
            </w:r>
          </w:p>
        </w:tc>
        <w:tc>
          <w:tcPr>
            <w:tcW w:w="1120" w:type="dxa"/>
            <w:tcBorders>
              <w:top w:val="nil"/>
              <w:left w:val="nil"/>
              <w:bottom w:val="single" w:sz="4" w:space="0" w:color="auto"/>
              <w:right w:val="single" w:sz="4" w:space="0" w:color="auto"/>
            </w:tcBorders>
            <w:shd w:val="clear" w:color="000000" w:fill="F2F2F2"/>
            <w:noWrap/>
            <w:vAlign w:val="center"/>
            <w:hideMark/>
          </w:tcPr>
          <w:p w14:paraId="431F3E85"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$ 27</w:t>
            </w:r>
          </w:p>
        </w:tc>
        <w:tc>
          <w:tcPr>
            <w:tcW w:w="1260" w:type="dxa"/>
            <w:tcBorders>
              <w:top w:val="nil"/>
              <w:left w:val="nil"/>
              <w:bottom w:val="single" w:sz="4" w:space="0" w:color="auto"/>
              <w:right w:val="single" w:sz="4" w:space="0" w:color="auto"/>
            </w:tcBorders>
            <w:shd w:val="clear" w:color="000000" w:fill="F2F2F2"/>
            <w:noWrap/>
            <w:vAlign w:val="center"/>
            <w:hideMark/>
          </w:tcPr>
          <w:p w14:paraId="20AE5F77"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$ 643.937</w:t>
            </w:r>
          </w:p>
        </w:tc>
        <w:tc>
          <w:tcPr>
            <w:tcW w:w="1920" w:type="dxa"/>
            <w:tcBorders>
              <w:top w:val="nil"/>
              <w:left w:val="nil"/>
              <w:bottom w:val="single" w:sz="4" w:space="0" w:color="auto"/>
              <w:right w:val="single" w:sz="4" w:space="0" w:color="auto"/>
            </w:tcBorders>
            <w:shd w:val="clear" w:color="000000" w:fill="F2F2F2"/>
            <w:vAlign w:val="center"/>
            <w:hideMark/>
          </w:tcPr>
          <w:p w14:paraId="5C912854"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GAS LICUADO DEL PETROLEO</w:t>
            </w:r>
          </w:p>
        </w:tc>
      </w:tr>
      <w:tr w:rsidR="00D705A6" w:rsidRPr="002E0BB9" w14:paraId="620ECBE3" w14:textId="77777777" w:rsidTr="007D1249">
        <w:trPr>
          <w:trHeight w:val="2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6B786138"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247</w:t>
            </w:r>
          </w:p>
        </w:tc>
        <w:tc>
          <w:tcPr>
            <w:tcW w:w="560" w:type="dxa"/>
            <w:tcBorders>
              <w:top w:val="nil"/>
              <w:left w:val="nil"/>
              <w:bottom w:val="single" w:sz="4" w:space="0" w:color="auto"/>
              <w:right w:val="single" w:sz="4" w:space="0" w:color="auto"/>
            </w:tcBorders>
            <w:shd w:val="clear" w:color="000000" w:fill="F2F2F2"/>
            <w:noWrap/>
            <w:vAlign w:val="center"/>
            <w:hideMark/>
          </w:tcPr>
          <w:p w14:paraId="04368B9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32453</w:t>
            </w:r>
          </w:p>
        </w:tc>
        <w:tc>
          <w:tcPr>
            <w:tcW w:w="920" w:type="dxa"/>
            <w:tcBorders>
              <w:top w:val="nil"/>
              <w:left w:val="nil"/>
              <w:bottom w:val="single" w:sz="4" w:space="0" w:color="auto"/>
              <w:right w:val="single" w:sz="4" w:space="0" w:color="auto"/>
            </w:tcBorders>
            <w:shd w:val="clear" w:color="000000" w:fill="F2F2F2"/>
            <w:noWrap/>
            <w:vAlign w:val="center"/>
            <w:hideMark/>
          </w:tcPr>
          <w:p w14:paraId="3B960F9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900912454</w:t>
            </w:r>
          </w:p>
        </w:tc>
        <w:tc>
          <w:tcPr>
            <w:tcW w:w="2180" w:type="dxa"/>
            <w:tcBorders>
              <w:top w:val="nil"/>
              <w:left w:val="nil"/>
              <w:bottom w:val="single" w:sz="4" w:space="0" w:color="auto"/>
              <w:right w:val="single" w:sz="4" w:space="0" w:color="auto"/>
            </w:tcBorders>
            <w:shd w:val="clear" w:color="000000" w:fill="F2F2F2"/>
            <w:vAlign w:val="center"/>
            <w:hideMark/>
          </w:tcPr>
          <w:p w14:paraId="06E04D94"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ENERGY GAS S.A.S. E.</w:t>
            </w:r>
            <w:proofErr w:type="gramStart"/>
            <w:r w:rsidRPr="002E0BB9">
              <w:rPr>
                <w:rFonts w:ascii="Arial Narrow" w:hAnsi="Arial Narrow" w:cs="Arial"/>
                <w:spacing w:val="0"/>
                <w:sz w:val="16"/>
                <w:szCs w:val="16"/>
                <w:lang w:val="es-MX" w:eastAsia="es-MX"/>
              </w:rPr>
              <w:t>S.P</w:t>
            </w:r>
            <w:proofErr w:type="gramEnd"/>
          </w:p>
        </w:tc>
        <w:tc>
          <w:tcPr>
            <w:tcW w:w="1520" w:type="dxa"/>
            <w:tcBorders>
              <w:top w:val="nil"/>
              <w:left w:val="nil"/>
              <w:bottom w:val="single" w:sz="4" w:space="0" w:color="auto"/>
              <w:right w:val="single" w:sz="4" w:space="0" w:color="auto"/>
            </w:tcBorders>
            <w:shd w:val="clear" w:color="000000" w:fill="F2F2F2"/>
            <w:noWrap/>
            <w:vAlign w:val="center"/>
            <w:hideMark/>
          </w:tcPr>
          <w:p w14:paraId="660CCBB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$ 1.164.961.000</w:t>
            </w:r>
          </w:p>
        </w:tc>
        <w:tc>
          <w:tcPr>
            <w:tcW w:w="1440" w:type="dxa"/>
            <w:tcBorders>
              <w:top w:val="nil"/>
              <w:left w:val="nil"/>
              <w:bottom w:val="single" w:sz="4" w:space="0" w:color="auto"/>
              <w:right w:val="single" w:sz="4" w:space="0" w:color="auto"/>
            </w:tcBorders>
            <w:shd w:val="clear" w:color="000000" w:fill="F2F2F2"/>
            <w:noWrap/>
            <w:vAlign w:val="center"/>
            <w:hideMark/>
          </w:tcPr>
          <w:p w14:paraId="13EFA74A"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$ 11.716.815</w:t>
            </w:r>
          </w:p>
        </w:tc>
        <w:tc>
          <w:tcPr>
            <w:tcW w:w="1460" w:type="dxa"/>
            <w:tcBorders>
              <w:top w:val="nil"/>
              <w:left w:val="nil"/>
              <w:bottom w:val="single" w:sz="4" w:space="0" w:color="auto"/>
              <w:right w:val="single" w:sz="4" w:space="0" w:color="auto"/>
            </w:tcBorders>
            <w:shd w:val="clear" w:color="000000" w:fill="F2F2F2"/>
            <w:noWrap/>
            <w:vAlign w:val="center"/>
            <w:hideMark/>
          </w:tcPr>
          <w:p w14:paraId="6BF16EC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$ 1.176.677.815</w:t>
            </w:r>
          </w:p>
        </w:tc>
        <w:tc>
          <w:tcPr>
            <w:tcW w:w="1260" w:type="dxa"/>
            <w:tcBorders>
              <w:top w:val="nil"/>
              <w:left w:val="nil"/>
              <w:bottom w:val="single" w:sz="4" w:space="0" w:color="auto"/>
              <w:right w:val="single" w:sz="4" w:space="0" w:color="auto"/>
            </w:tcBorders>
            <w:shd w:val="clear" w:color="000000" w:fill="F2F2F2"/>
            <w:noWrap/>
            <w:vAlign w:val="center"/>
            <w:hideMark/>
          </w:tcPr>
          <w:p w14:paraId="2833277A"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$ 11.766.778</w:t>
            </w:r>
          </w:p>
        </w:tc>
        <w:tc>
          <w:tcPr>
            <w:tcW w:w="1120" w:type="dxa"/>
            <w:tcBorders>
              <w:top w:val="nil"/>
              <w:left w:val="nil"/>
              <w:bottom w:val="single" w:sz="4" w:space="0" w:color="auto"/>
              <w:right w:val="single" w:sz="4" w:space="0" w:color="auto"/>
            </w:tcBorders>
            <w:shd w:val="clear" w:color="000000" w:fill="F2F2F2"/>
            <w:noWrap/>
            <w:vAlign w:val="center"/>
            <w:hideMark/>
          </w:tcPr>
          <w:p w14:paraId="4D7E37E1"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$ 490</w:t>
            </w:r>
          </w:p>
        </w:tc>
        <w:tc>
          <w:tcPr>
            <w:tcW w:w="1260" w:type="dxa"/>
            <w:tcBorders>
              <w:top w:val="nil"/>
              <w:left w:val="nil"/>
              <w:bottom w:val="single" w:sz="4" w:space="0" w:color="auto"/>
              <w:right w:val="single" w:sz="4" w:space="0" w:color="auto"/>
            </w:tcBorders>
            <w:shd w:val="clear" w:color="000000" w:fill="F2F2F2"/>
            <w:noWrap/>
            <w:vAlign w:val="center"/>
            <w:hideMark/>
          </w:tcPr>
          <w:p w14:paraId="7E32944B"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$ 11.767.268</w:t>
            </w:r>
          </w:p>
        </w:tc>
        <w:tc>
          <w:tcPr>
            <w:tcW w:w="1920" w:type="dxa"/>
            <w:tcBorders>
              <w:top w:val="nil"/>
              <w:left w:val="nil"/>
              <w:bottom w:val="single" w:sz="4" w:space="0" w:color="auto"/>
              <w:right w:val="single" w:sz="4" w:space="0" w:color="auto"/>
            </w:tcBorders>
            <w:shd w:val="clear" w:color="000000" w:fill="F2F2F2"/>
            <w:vAlign w:val="center"/>
            <w:hideMark/>
          </w:tcPr>
          <w:p w14:paraId="756FEE1D"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GAS POR REDES</w:t>
            </w:r>
          </w:p>
        </w:tc>
      </w:tr>
      <w:tr w:rsidR="00D705A6" w:rsidRPr="002E0BB9" w14:paraId="729DD011" w14:textId="77777777" w:rsidTr="007D1249">
        <w:trPr>
          <w:trHeight w:val="6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6CB0BF52"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248</w:t>
            </w:r>
          </w:p>
        </w:tc>
        <w:tc>
          <w:tcPr>
            <w:tcW w:w="560" w:type="dxa"/>
            <w:tcBorders>
              <w:top w:val="nil"/>
              <w:left w:val="nil"/>
              <w:bottom w:val="single" w:sz="4" w:space="0" w:color="auto"/>
              <w:right w:val="single" w:sz="4" w:space="0" w:color="auto"/>
            </w:tcBorders>
            <w:shd w:val="clear" w:color="000000" w:fill="F2F2F2"/>
            <w:noWrap/>
            <w:vAlign w:val="center"/>
            <w:hideMark/>
          </w:tcPr>
          <w:p w14:paraId="53A8904B"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32073</w:t>
            </w:r>
          </w:p>
        </w:tc>
        <w:tc>
          <w:tcPr>
            <w:tcW w:w="920" w:type="dxa"/>
            <w:tcBorders>
              <w:top w:val="nil"/>
              <w:left w:val="nil"/>
              <w:bottom w:val="single" w:sz="4" w:space="0" w:color="auto"/>
              <w:right w:val="single" w:sz="4" w:space="0" w:color="auto"/>
            </w:tcBorders>
            <w:shd w:val="clear" w:color="000000" w:fill="F2F2F2"/>
            <w:noWrap/>
            <w:vAlign w:val="center"/>
            <w:hideMark/>
          </w:tcPr>
          <w:p w14:paraId="04B46F7B"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900913507</w:t>
            </w:r>
          </w:p>
        </w:tc>
        <w:tc>
          <w:tcPr>
            <w:tcW w:w="2180" w:type="dxa"/>
            <w:tcBorders>
              <w:top w:val="nil"/>
              <w:left w:val="nil"/>
              <w:bottom w:val="single" w:sz="4" w:space="0" w:color="auto"/>
              <w:right w:val="single" w:sz="4" w:space="0" w:color="auto"/>
            </w:tcBorders>
            <w:shd w:val="clear" w:color="000000" w:fill="F2F2F2"/>
            <w:vAlign w:val="center"/>
            <w:hideMark/>
          </w:tcPr>
          <w:p w14:paraId="19257A2F"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MEGAS S.A.S. ESP</w:t>
            </w:r>
          </w:p>
        </w:tc>
        <w:tc>
          <w:tcPr>
            <w:tcW w:w="1520" w:type="dxa"/>
            <w:tcBorders>
              <w:top w:val="nil"/>
              <w:left w:val="nil"/>
              <w:bottom w:val="single" w:sz="4" w:space="0" w:color="auto"/>
              <w:right w:val="single" w:sz="4" w:space="0" w:color="auto"/>
            </w:tcBorders>
            <w:shd w:val="clear" w:color="000000" w:fill="F2F2F2"/>
            <w:noWrap/>
            <w:vAlign w:val="center"/>
            <w:hideMark/>
          </w:tcPr>
          <w:p w14:paraId="4DCD0EE7"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$ 1.705.707.000</w:t>
            </w:r>
          </w:p>
        </w:tc>
        <w:tc>
          <w:tcPr>
            <w:tcW w:w="1440" w:type="dxa"/>
            <w:tcBorders>
              <w:top w:val="nil"/>
              <w:left w:val="nil"/>
              <w:bottom w:val="single" w:sz="4" w:space="0" w:color="auto"/>
              <w:right w:val="single" w:sz="4" w:space="0" w:color="auto"/>
            </w:tcBorders>
            <w:shd w:val="clear" w:color="000000" w:fill="F2F2F2"/>
            <w:noWrap/>
            <w:vAlign w:val="center"/>
            <w:hideMark/>
          </w:tcPr>
          <w:p w14:paraId="4EC185BD"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$ 144.328.011</w:t>
            </w:r>
          </w:p>
        </w:tc>
        <w:tc>
          <w:tcPr>
            <w:tcW w:w="1460" w:type="dxa"/>
            <w:tcBorders>
              <w:top w:val="nil"/>
              <w:left w:val="nil"/>
              <w:bottom w:val="single" w:sz="4" w:space="0" w:color="auto"/>
              <w:right w:val="single" w:sz="4" w:space="0" w:color="auto"/>
            </w:tcBorders>
            <w:shd w:val="clear" w:color="000000" w:fill="F2F2F2"/>
            <w:noWrap/>
            <w:vAlign w:val="center"/>
            <w:hideMark/>
          </w:tcPr>
          <w:p w14:paraId="71348AFC"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$ 1.850.035.011</w:t>
            </w:r>
          </w:p>
        </w:tc>
        <w:tc>
          <w:tcPr>
            <w:tcW w:w="1260" w:type="dxa"/>
            <w:tcBorders>
              <w:top w:val="nil"/>
              <w:left w:val="nil"/>
              <w:bottom w:val="single" w:sz="4" w:space="0" w:color="auto"/>
              <w:right w:val="single" w:sz="4" w:space="0" w:color="auto"/>
            </w:tcBorders>
            <w:shd w:val="clear" w:color="000000" w:fill="F2F2F2"/>
            <w:noWrap/>
            <w:vAlign w:val="center"/>
            <w:hideMark/>
          </w:tcPr>
          <w:p w14:paraId="07C4D1E6"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$ 18.500.350</w:t>
            </w:r>
          </w:p>
        </w:tc>
        <w:tc>
          <w:tcPr>
            <w:tcW w:w="1120" w:type="dxa"/>
            <w:tcBorders>
              <w:top w:val="nil"/>
              <w:left w:val="nil"/>
              <w:bottom w:val="single" w:sz="4" w:space="0" w:color="auto"/>
              <w:right w:val="single" w:sz="4" w:space="0" w:color="auto"/>
            </w:tcBorders>
            <w:shd w:val="clear" w:color="000000" w:fill="F2F2F2"/>
            <w:noWrap/>
            <w:vAlign w:val="center"/>
            <w:hideMark/>
          </w:tcPr>
          <w:p w14:paraId="24B50AD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$ 770</w:t>
            </w:r>
          </w:p>
        </w:tc>
        <w:tc>
          <w:tcPr>
            <w:tcW w:w="1260" w:type="dxa"/>
            <w:tcBorders>
              <w:top w:val="nil"/>
              <w:left w:val="nil"/>
              <w:bottom w:val="single" w:sz="4" w:space="0" w:color="auto"/>
              <w:right w:val="single" w:sz="4" w:space="0" w:color="auto"/>
            </w:tcBorders>
            <w:shd w:val="clear" w:color="000000" w:fill="F2F2F2"/>
            <w:noWrap/>
            <w:vAlign w:val="center"/>
            <w:hideMark/>
          </w:tcPr>
          <w:p w14:paraId="506DD357"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$ 18.501.120</w:t>
            </w:r>
          </w:p>
        </w:tc>
        <w:tc>
          <w:tcPr>
            <w:tcW w:w="1920" w:type="dxa"/>
            <w:tcBorders>
              <w:top w:val="nil"/>
              <w:left w:val="nil"/>
              <w:bottom w:val="single" w:sz="4" w:space="0" w:color="auto"/>
              <w:right w:val="single" w:sz="4" w:space="0" w:color="auto"/>
            </w:tcBorders>
            <w:shd w:val="clear" w:color="000000" w:fill="F2F2F2"/>
            <w:vAlign w:val="center"/>
            <w:hideMark/>
          </w:tcPr>
          <w:p w14:paraId="20518667"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GAS LICUADO DEL PETROLEO - GAS POR REDES</w:t>
            </w:r>
          </w:p>
        </w:tc>
      </w:tr>
      <w:tr w:rsidR="00D705A6" w:rsidRPr="002E0BB9" w14:paraId="1C005F02" w14:textId="77777777" w:rsidTr="00053706">
        <w:trPr>
          <w:trHeight w:val="411"/>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2B44144A"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249</w:t>
            </w:r>
          </w:p>
        </w:tc>
        <w:tc>
          <w:tcPr>
            <w:tcW w:w="560" w:type="dxa"/>
            <w:tcBorders>
              <w:top w:val="nil"/>
              <w:left w:val="nil"/>
              <w:bottom w:val="single" w:sz="4" w:space="0" w:color="auto"/>
              <w:right w:val="single" w:sz="4" w:space="0" w:color="auto"/>
            </w:tcBorders>
            <w:shd w:val="clear" w:color="000000" w:fill="F2F2F2"/>
            <w:noWrap/>
            <w:vAlign w:val="center"/>
            <w:hideMark/>
          </w:tcPr>
          <w:p w14:paraId="6DCB14F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32353</w:t>
            </w:r>
          </w:p>
        </w:tc>
        <w:tc>
          <w:tcPr>
            <w:tcW w:w="920" w:type="dxa"/>
            <w:tcBorders>
              <w:top w:val="nil"/>
              <w:left w:val="nil"/>
              <w:bottom w:val="single" w:sz="4" w:space="0" w:color="auto"/>
              <w:right w:val="single" w:sz="4" w:space="0" w:color="auto"/>
            </w:tcBorders>
            <w:shd w:val="clear" w:color="000000" w:fill="F2F2F2"/>
            <w:noWrap/>
            <w:vAlign w:val="center"/>
            <w:hideMark/>
          </w:tcPr>
          <w:p w14:paraId="22EFA5B7"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900921416</w:t>
            </w:r>
          </w:p>
        </w:tc>
        <w:tc>
          <w:tcPr>
            <w:tcW w:w="2180" w:type="dxa"/>
            <w:tcBorders>
              <w:top w:val="nil"/>
              <w:left w:val="nil"/>
              <w:bottom w:val="single" w:sz="4" w:space="0" w:color="auto"/>
              <w:right w:val="single" w:sz="4" w:space="0" w:color="auto"/>
            </w:tcBorders>
            <w:shd w:val="clear" w:color="000000" w:fill="F2F2F2"/>
            <w:vAlign w:val="center"/>
            <w:hideMark/>
          </w:tcPr>
          <w:p w14:paraId="5EB525A3"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 DE LA COSTA ATLANTICA S.A.S. E.S.P.</w:t>
            </w:r>
          </w:p>
        </w:tc>
        <w:tc>
          <w:tcPr>
            <w:tcW w:w="1520" w:type="dxa"/>
            <w:tcBorders>
              <w:top w:val="nil"/>
              <w:left w:val="nil"/>
              <w:bottom w:val="single" w:sz="4" w:space="0" w:color="auto"/>
              <w:right w:val="single" w:sz="4" w:space="0" w:color="auto"/>
            </w:tcBorders>
            <w:shd w:val="clear" w:color="000000" w:fill="F2F2F2"/>
            <w:noWrap/>
            <w:vAlign w:val="center"/>
            <w:hideMark/>
          </w:tcPr>
          <w:p w14:paraId="6671B4FB"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$ 326.970.000</w:t>
            </w:r>
          </w:p>
        </w:tc>
        <w:tc>
          <w:tcPr>
            <w:tcW w:w="1440" w:type="dxa"/>
            <w:tcBorders>
              <w:top w:val="nil"/>
              <w:left w:val="nil"/>
              <w:bottom w:val="single" w:sz="4" w:space="0" w:color="auto"/>
              <w:right w:val="single" w:sz="4" w:space="0" w:color="auto"/>
            </w:tcBorders>
            <w:shd w:val="clear" w:color="000000" w:fill="F2F2F2"/>
            <w:noWrap/>
            <w:vAlign w:val="center"/>
            <w:hideMark/>
          </w:tcPr>
          <w:p w14:paraId="3338E81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$ 0</w:t>
            </w:r>
          </w:p>
        </w:tc>
        <w:tc>
          <w:tcPr>
            <w:tcW w:w="1460" w:type="dxa"/>
            <w:tcBorders>
              <w:top w:val="nil"/>
              <w:left w:val="nil"/>
              <w:bottom w:val="single" w:sz="4" w:space="0" w:color="auto"/>
              <w:right w:val="single" w:sz="4" w:space="0" w:color="auto"/>
            </w:tcBorders>
            <w:shd w:val="clear" w:color="000000" w:fill="F2F2F2"/>
            <w:noWrap/>
            <w:vAlign w:val="center"/>
            <w:hideMark/>
          </w:tcPr>
          <w:p w14:paraId="292B705A"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$ 326.970.000</w:t>
            </w:r>
          </w:p>
        </w:tc>
        <w:tc>
          <w:tcPr>
            <w:tcW w:w="1260" w:type="dxa"/>
            <w:tcBorders>
              <w:top w:val="nil"/>
              <w:left w:val="nil"/>
              <w:bottom w:val="single" w:sz="4" w:space="0" w:color="auto"/>
              <w:right w:val="single" w:sz="4" w:space="0" w:color="auto"/>
            </w:tcBorders>
            <w:shd w:val="clear" w:color="000000" w:fill="F2F2F2"/>
            <w:noWrap/>
            <w:vAlign w:val="center"/>
            <w:hideMark/>
          </w:tcPr>
          <w:p w14:paraId="0281EB9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$ 3.269.700</w:t>
            </w:r>
          </w:p>
        </w:tc>
        <w:tc>
          <w:tcPr>
            <w:tcW w:w="1120" w:type="dxa"/>
            <w:tcBorders>
              <w:top w:val="nil"/>
              <w:left w:val="nil"/>
              <w:bottom w:val="single" w:sz="4" w:space="0" w:color="auto"/>
              <w:right w:val="single" w:sz="4" w:space="0" w:color="auto"/>
            </w:tcBorders>
            <w:shd w:val="clear" w:color="000000" w:fill="F2F2F2"/>
            <w:noWrap/>
            <w:vAlign w:val="center"/>
            <w:hideMark/>
          </w:tcPr>
          <w:p w14:paraId="4D36B60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$ 136</w:t>
            </w:r>
          </w:p>
        </w:tc>
        <w:tc>
          <w:tcPr>
            <w:tcW w:w="1260" w:type="dxa"/>
            <w:tcBorders>
              <w:top w:val="nil"/>
              <w:left w:val="nil"/>
              <w:bottom w:val="single" w:sz="4" w:space="0" w:color="auto"/>
              <w:right w:val="single" w:sz="4" w:space="0" w:color="auto"/>
            </w:tcBorders>
            <w:shd w:val="clear" w:color="000000" w:fill="F2F2F2"/>
            <w:noWrap/>
            <w:vAlign w:val="center"/>
            <w:hideMark/>
          </w:tcPr>
          <w:p w14:paraId="46F0EACE"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$ 3.269.836</w:t>
            </w:r>
          </w:p>
        </w:tc>
        <w:tc>
          <w:tcPr>
            <w:tcW w:w="1920" w:type="dxa"/>
            <w:tcBorders>
              <w:top w:val="nil"/>
              <w:left w:val="nil"/>
              <w:bottom w:val="single" w:sz="4" w:space="0" w:color="auto"/>
              <w:right w:val="single" w:sz="4" w:space="0" w:color="auto"/>
            </w:tcBorders>
            <w:shd w:val="clear" w:color="000000" w:fill="F2F2F2"/>
            <w:vAlign w:val="center"/>
            <w:hideMark/>
          </w:tcPr>
          <w:p w14:paraId="236CB249"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w:t>
            </w:r>
          </w:p>
        </w:tc>
      </w:tr>
      <w:tr w:rsidR="00D705A6" w:rsidRPr="002E0BB9" w14:paraId="0E35C447" w14:textId="77777777" w:rsidTr="007D1249">
        <w:trPr>
          <w:trHeight w:val="4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554983F3"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250</w:t>
            </w:r>
          </w:p>
        </w:tc>
        <w:tc>
          <w:tcPr>
            <w:tcW w:w="560" w:type="dxa"/>
            <w:tcBorders>
              <w:top w:val="nil"/>
              <w:left w:val="nil"/>
              <w:bottom w:val="single" w:sz="4" w:space="0" w:color="auto"/>
              <w:right w:val="single" w:sz="4" w:space="0" w:color="auto"/>
            </w:tcBorders>
            <w:shd w:val="clear" w:color="000000" w:fill="F2F2F2"/>
            <w:noWrap/>
            <w:vAlign w:val="center"/>
            <w:hideMark/>
          </w:tcPr>
          <w:p w14:paraId="0057F246"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32215</w:t>
            </w:r>
          </w:p>
        </w:tc>
        <w:tc>
          <w:tcPr>
            <w:tcW w:w="920" w:type="dxa"/>
            <w:tcBorders>
              <w:top w:val="nil"/>
              <w:left w:val="nil"/>
              <w:bottom w:val="single" w:sz="4" w:space="0" w:color="auto"/>
              <w:right w:val="single" w:sz="4" w:space="0" w:color="auto"/>
            </w:tcBorders>
            <w:shd w:val="clear" w:color="000000" w:fill="F2F2F2"/>
            <w:noWrap/>
            <w:vAlign w:val="center"/>
            <w:hideMark/>
          </w:tcPr>
          <w:p w14:paraId="48F6179C"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900922760</w:t>
            </w:r>
          </w:p>
        </w:tc>
        <w:tc>
          <w:tcPr>
            <w:tcW w:w="2180" w:type="dxa"/>
            <w:tcBorders>
              <w:top w:val="nil"/>
              <w:left w:val="nil"/>
              <w:bottom w:val="single" w:sz="4" w:space="0" w:color="auto"/>
              <w:right w:val="single" w:sz="4" w:space="0" w:color="auto"/>
            </w:tcBorders>
            <w:shd w:val="clear" w:color="000000" w:fill="F2F2F2"/>
            <w:vAlign w:val="center"/>
            <w:hideMark/>
          </w:tcPr>
          <w:p w14:paraId="23F48DA6"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xml:space="preserve">GLOBAL, REDES Y OBRAS S.A.S. E.S.P. </w:t>
            </w:r>
          </w:p>
        </w:tc>
        <w:tc>
          <w:tcPr>
            <w:tcW w:w="1520" w:type="dxa"/>
            <w:tcBorders>
              <w:top w:val="nil"/>
              <w:left w:val="nil"/>
              <w:bottom w:val="single" w:sz="4" w:space="0" w:color="auto"/>
              <w:right w:val="single" w:sz="4" w:space="0" w:color="auto"/>
            </w:tcBorders>
            <w:shd w:val="clear" w:color="000000" w:fill="F2F2F2"/>
            <w:noWrap/>
            <w:vAlign w:val="center"/>
            <w:hideMark/>
          </w:tcPr>
          <w:p w14:paraId="77EAD03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$ 175.481.000</w:t>
            </w:r>
          </w:p>
        </w:tc>
        <w:tc>
          <w:tcPr>
            <w:tcW w:w="1440" w:type="dxa"/>
            <w:tcBorders>
              <w:top w:val="nil"/>
              <w:left w:val="nil"/>
              <w:bottom w:val="single" w:sz="4" w:space="0" w:color="auto"/>
              <w:right w:val="single" w:sz="4" w:space="0" w:color="auto"/>
            </w:tcBorders>
            <w:shd w:val="clear" w:color="000000" w:fill="F2F2F2"/>
            <w:noWrap/>
            <w:vAlign w:val="center"/>
            <w:hideMark/>
          </w:tcPr>
          <w:p w14:paraId="06432062"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$ 11.239.987</w:t>
            </w:r>
          </w:p>
        </w:tc>
        <w:tc>
          <w:tcPr>
            <w:tcW w:w="1460" w:type="dxa"/>
            <w:tcBorders>
              <w:top w:val="nil"/>
              <w:left w:val="nil"/>
              <w:bottom w:val="single" w:sz="4" w:space="0" w:color="auto"/>
              <w:right w:val="single" w:sz="4" w:space="0" w:color="auto"/>
            </w:tcBorders>
            <w:shd w:val="clear" w:color="000000" w:fill="F2F2F2"/>
            <w:noWrap/>
            <w:vAlign w:val="center"/>
            <w:hideMark/>
          </w:tcPr>
          <w:p w14:paraId="583E04E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$ 186.720.987</w:t>
            </w:r>
          </w:p>
        </w:tc>
        <w:tc>
          <w:tcPr>
            <w:tcW w:w="1260" w:type="dxa"/>
            <w:tcBorders>
              <w:top w:val="nil"/>
              <w:left w:val="nil"/>
              <w:bottom w:val="single" w:sz="4" w:space="0" w:color="auto"/>
              <w:right w:val="single" w:sz="4" w:space="0" w:color="auto"/>
            </w:tcBorders>
            <w:shd w:val="clear" w:color="000000" w:fill="F2F2F2"/>
            <w:noWrap/>
            <w:vAlign w:val="center"/>
            <w:hideMark/>
          </w:tcPr>
          <w:p w14:paraId="5E4DE4D5"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$ 1.867.210</w:t>
            </w:r>
          </w:p>
        </w:tc>
        <w:tc>
          <w:tcPr>
            <w:tcW w:w="1120" w:type="dxa"/>
            <w:tcBorders>
              <w:top w:val="nil"/>
              <w:left w:val="nil"/>
              <w:bottom w:val="single" w:sz="4" w:space="0" w:color="auto"/>
              <w:right w:val="single" w:sz="4" w:space="0" w:color="auto"/>
            </w:tcBorders>
            <w:shd w:val="clear" w:color="000000" w:fill="F2F2F2"/>
            <w:noWrap/>
            <w:vAlign w:val="center"/>
            <w:hideMark/>
          </w:tcPr>
          <w:p w14:paraId="6D50A8F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$ 78</w:t>
            </w:r>
          </w:p>
        </w:tc>
        <w:tc>
          <w:tcPr>
            <w:tcW w:w="1260" w:type="dxa"/>
            <w:tcBorders>
              <w:top w:val="nil"/>
              <w:left w:val="nil"/>
              <w:bottom w:val="single" w:sz="4" w:space="0" w:color="auto"/>
              <w:right w:val="single" w:sz="4" w:space="0" w:color="auto"/>
            </w:tcBorders>
            <w:shd w:val="clear" w:color="000000" w:fill="F2F2F2"/>
            <w:noWrap/>
            <w:vAlign w:val="center"/>
            <w:hideMark/>
          </w:tcPr>
          <w:p w14:paraId="4A6E6FDB"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$ 1.867.288</w:t>
            </w:r>
          </w:p>
        </w:tc>
        <w:tc>
          <w:tcPr>
            <w:tcW w:w="1920" w:type="dxa"/>
            <w:tcBorders>
              <w:top w:val="nil"/>
              <w:left w:val="nil"/>
              <w:bottom w:val="single" w:sz="4" w:space="0" w:color="auto"/>
              <w:right w:val="single" w:sz="4" w:space="0" w:color="auto"/>
            </w:tcBorders>
            <w:shd w:val="clear" w:color="000000" w:fill="F2F2F2"/>
            <w:vAlign w:val="center"/>
            <w:hideMark/>
          </w:tcPr>
          <w:p w14:paraId="09C60EE3"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GAS POR REDES</w:t>
            </w:r>
          </w:p>
        </w:tc>
      </w:tr>
      <w:tr w:rsidR="00D705A6" w:rsidRPr="002E0BB9" w14:paraId="00CEC402" w14:textId="77777777" w:rsidTr="007D1249">
        <w:trPr>
          <w:trHeight w:val="4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3FB798E8"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251</w:t>
            </w:r>
          </w:p>
        </w:tc>
        <w:tc>
          <w:tcPr>
            <w:tcW w:w="560" w:type="dxa"/>
            <w:tcBorders>
              <w:top w:val="nil"/>
              <w:left w:val="nil"/>
              <w:bottom w:val="single" w:sz="4" w:space="0" w:color="auto"/>
              <w:right w:val="single" w:sz="4" w:space="0" w:color="auto"/>
            </w:tcBorders>
            <w:shd w:val="clear" w:color="000000" w:fill="F2F2F2"/>
            <w:noWrap/>
            <w:vAlign w:val="center"/>
            <w:hideMark/>
          </w:tcPr>
          <w:p w14:paraId="0171D035"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40476</w:t>
            </w:r>
          </w:p>
        </w:tc>
        <w:tc>
          <w:tcPr>
            <w:tcW w:w="920" w:type="dxa"/>
            <w:tcBorders>
              <w:top w:val="nil"/>
              <w:left w:val="nil"/>
              <w:bottom w:val="single" w:sz="4" w:space="0" w:color="auto"/>
              <w:right w:val="single" w:sz="4" w:space="0" w:color="auto"/>
            </w:tcBorders>
            <w:shd w:val="clear" w:color="000000" w:fill="F2F2F2"/>
            <w:noWrap/>
            <w:vAlign w:val="center"/>
            <w:hideMark/>
          </w:tcPr>
          <w:p w14:paraId="064D1F27"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900928926</w:t>
            </w:r>
          </w:p>
        </w:tc>
        <w:tc>
          <w:tcPr>
            <w:tcW w:w="2180" w:type="dxa"/>
            <w:tcBorders>
              <w:top w:val="nil"/>
              <w:left w:val="nil"/>
              <w:bottom w:val="single" w:sz="4" w:space="0" w:color="auto"/>
              <w:right w:val="single" w:sz="4" w:space="0" w:color="auto"/>
            </w:tcBorders>
            <w:shd w:val="clear" w:color="000000" w:fill="F2F2F2"/>
            <w:vAlign w:val="center"/>
            <w:hideMark/>
          </w:tcPr>
          <w:p w14:paraId="57B0E0DA"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BOSQUES SOLARES DE LOS LLANOS 1 SAS ESP</w:t>
            </w:r>
          </w:p>
        </w:tc>
        <w:tc>
          <w:tcPr>
            <w:tcW w:w="1520" w:type="dxa"/>
            <w:tcBorders>
              <w:top w:val="nil"/>
              <w:left w:val="nil"/>
              <w:bottom w:val="single" w:sz="4" w:space="0" w:color="auto"/>
              <w:right w:val="single" w:sz="4" w:space="0" w:color="auto"/>
            </w:tcBorders>
            <w:shd w:val="clear" w:color="000000" w:fill="F2F2F2"/>
            <w:noWrap/>
            <w:vAlign w:val="center"/>
            <w:hideMark/>
          </w:tcPr>
          <w:p w14:paraId="37AEEDA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$ 1.006.145.000</w:t>
            </w:r>
          </w:p>
        </w:tc>
        <w:tc>
          <w:tcPr>
            <w:tcW w:w="1440" w:type="dxa"/>
            <w:tcBorders>
              <w:top w:val="nil"/>
              <w:left w:val="nil"/>
              <w:bottom w:val="single" w:sz="4" w:space="0" w:color="auto"/>
              <w:right w:val="single" w:sz="4" w:space="0" w:color="auto"/>
            </w:tcBorders>
            <w:shd w:val="clear" w:color="000000" w:fill="F2F2F2"/>
            <w:noWrap/>
            <w:vAlign w:val="center"/>
            <w:hideMark/>
          </w:tcPr>
          <w:p w14:paraId="4CE12F0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$ 0</w:t>
            </w:r>
          </w:p>
        </w:tc>
        <w:tc>
          <w:tcPr>
            <w:tcW w:w="1460" w:type="dxa"/>
            <w:tcBorders>
              <w:top w:val="nil"/>
              <w:left w:val="nil"/>
              <w:bottom w:val="single" w:sz="4" w:space="0" w:color="auto"/>
              <w:right w:val="single" w:sz="4" w:space="0" w:color="auto"/>
            </w:tcBorders>
            <w:shd w:val="clear" w:color="000000" w:fill="F2F2F2"/>
            <w:noWrap/>
            <w:vAlign w:val="center"/>
            <w:hideMark/>
          </w:tcPr>
          <w:p w14:paraId="75D64BA6"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$ 1.006.145.000</w:t>
            </w:r>
          </w:p>
        </w:tc>
        <w:tc>
          <w:tcPr>
            <w:tcW w:w="1260" w:type="dxa"/>
            <w:tcBorders>
              <w:top w:val="nil"/>
              <w:left w:val="nil"/>
              <w:bottom w:val="single" w:sz="4" w:space="0" w:color="auto"/>
              <w:right w:val="single" w:sz="4" w:space="0" w:color="auto"/>
            </w:tcBorders>
            <w:shd w:val="clear" w:color="000000" w:fill="F2F2F2"/>
            <w:noWrap/>
            <w:vAlign w:val="center"/>
            <w:hideMark/>
          </w:tcPr>
          <w:p w14:paraId="39212846"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$ 10.061.450</w:t>
            </w:r>
          </w:p>
        </w:tc>
        <w:tc>
          <w:tcPr>
            <w:tcW w:w="1120" w:type="dxa"/>
            <w:tcBorders>
              <w:top w:val="nil"/>
              <w:left w:val="nil"/>
              <w:bottom w:val="single" w:sz="4" w:space="0" w:color="auto"/>
              <w:right w:val="single" w:sz="4" w:space="0" w:color="auto"/>
            </w:tcBorders>
            <w:shd w:val="clear" w:color="000000" w:fill="F2F2F2"/>
            <w:noWrap/>
            <w:vAlign w:val="center"/>
            <w:hideMark/>
          </w:tcPr>
          <w:p w14:paraId="4812E0C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$ 419</w:t>
            </w:r>
          </w:p>
        </w:tc>
        <w:tc>
          <w:tcPr>
            <w:tcW w:w="1260" w:type="dxa"/>
            <w:tcBorders>
              <w:top w:val="nil"/>
              <w:left w:val="nil"/>
              <w:bottom w:val="single" w:sz="4" w:space="0" w:color="auto"/>
              <w:right w:val="single" w:sz="4" w:space="0" w:color="auto"/>
            </w:tcBorders>
            <w:shd w:val="clear" w:color="000000" w:fill="F2F2F2"/>
            <w:noWrap/>
            <w:vAlign w:val="center"/>
            <w:hideMark/>
          </w:tcPr>
          <w:p w14:paraId="1745A92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$ 10.061.869</w:t>
            </w:r>
          </w:p>
        </w:tc>
        <w:tc>
          <w:tcPr>
            <w:tcW w:w="1920" w:type="dxa"/>
            <w:tcBorders>
              <w:top w:val="nil"/>
              <w:left w:val="nil"/>
              <w:bottom w:val="single" w:sz="4" w:space="0" w:color="auto"/>
              <w:right w:val="single" w:sz="4" w:space="0" w:color="auto"/>
            </w:tcBorders>
            <w:shd w:val="clear" w:color="000000" w:fill="F2F2F2"/>
            <w:vAlign w:val="center"/>
            <w:hideMark/>
          </w:tcPr>
          <w:p w14:paraId="667710DC"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w:t>
            </w:r>
          </w:p>
        </w:tc>
      </w:tr>
      <w:tr w:rsidR="00D705A6" w:rsidRPr="002E0BB9" w14:paraId="39477FBF" w14:textId="77777777" w:rsidTr="007D1249">
        <w:trPr>
          <w:trHeight w:val="4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17422C6A"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lastRenderedPageBreak/>
              <w:t>252</w:t>
            </w:r>
          </w:p>
        </w:tc>
        <w:tc>
          <w:tcPr>
            <w:tcW w:w="560" w:type="dxa"/>
            <w:tcBorders>
              <w:top w:val="nil"/>
              <w:left w:val="nil"/>
              <w:bottom w:val="single" w:sz="4" w:space="0" w:color="auto"/>
              <w:right w:val="single" w:sz="4" w:space="0" w:color="auto"/>
            </w:tcBorders>
            <w:shd w:val="clear" w:color="000000" w:fill="F2F2F2"/>
            <w:noWrap/>
            <w:vAlign w:val="center"/>
            <w:hideMark/>
          </w:tcPr>
          <w:p w14:paraId="60AE8E0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40477</w:t>
            </w:r>
          </w:p>
        </w:tc>
        <w:tc>
          <w:tcPr>
            <w:tcW w:w="920" w:type="dxa"/>
            <w:tcBorders>
              <w:top w:val="nil"/>
              <w:left w:val="nil"/>
              <w:bottom w:val="single" w:sz="4" w:space="0" w:color="auto"/>
              <w:right w:val="single" w:sz="4" w:space="0" w:color="auto"/>
            </w:tcBorders>
            <w:shd w:val="clear" w:color="000000" w:fill="F2F2F2"/>
            <w:noWrap/>
            <w:vAlign w:val="center"/>
            <w:hideMark/>
          </w:tcPr>
          <w:p w14:paraId="238AF49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900928962</w:t>
            </w:r>
          </w:p>
        </w:tc>
        <w:tc>
          <w:tcPr>
            <w:tcW w:w="2180" w:type="dxa"/>
            <w:tcBorders>
              <w:top w:val="nil"/>
              <w:left w:val="nil"/>
              <w:bottom w:val="single" w:sz="4" w:space="0" w:color="auto"/>
              <w:right w:val="single" w:sz="4" w:space="0" w:color="auto"/>
            </w:tcBorders>
            <w:shd w:val="clear" w:color="000000" w:fill="F2F2F2"/>
            <w:vAlign w:val="center"/>
            <w:hideMark/>
          </w:tcPr>
          <w:p w14:paraId="24D587B7"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BOSQUES SOLARES DE LOS LLANOS 2 SAS ESP</w:t>
            </w:r>
          </w:p>
        </w:tc>
        <w:tc>
          <w:tcPr>
            <w:tcW w:w="1520" w:type="dxa"/>
            <w:tcBorders>
              <w:top w:val="nil"/>
              <w:left w:val="nil"/>
              <w:bottom w:val="single" w:sz="4" w:space="0" w:color="auto"/>
              <w:right w:val="single" w:sz="4" w:space="0" w:color="auto"/>
            </w:tcBorders>
            <w:shd w:val="clear" w:color="000000" w:fill="F2F2F2"/>
            <w:noWrap/>
            <w:vAlign w:val="center"/>
            <w:hideMark/>
          </w:tcPr>
          <w:p w14:paraId="2EC448EE"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$ 1.027.458.000</w:t>
            </w:r>
          </w:p>
        </w:tc>
        <w:tc>
          <w:tcPr>
            <w:tcW w:w="1440" w:type="dxa"/>
            <w:tcBorders>
              <w:top w:val="nil"/>
              <w:left w:val="nil"/>
              <w:bottom w:val="single" w:sz="4" w:space="0" w:color="auto"/>
              <w:right w:val="single" w:sz="4" w:space="0" w:color="auto"/>
            </w:tcBorders>
            <w:shd w:val="clear" w:color="000000" w:fill="F2F2F2"/>
            <w:noWrap/>
            <w:vAlign w:val="center"/>
            <w:hideMark/>
          </w:tcPr>
          <w:p w14:paraId="3B2E96F2"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$ 0</w:t>
            </w:r>
          </w:p>
        </w:tc>
        <w:tc>
          <w:tcPr>
            <w:tcW w:w="1460" w:type="dxa"/>
            <w:tcBorders>
              <w:top w:val="nil"/>
              <w:left w:val="nil"/>
              <w:bottom w:val="single" w:sz="4" w:space="0" w:color="auto"/>
              <w:right w:val="single" w:sz="4" w:space="0" w:color="auto"/>
            </w:tcBorders>
            <w:shd w:val="clear" w:color="000000" w:fill="F2F2F2"/>
            <w:noWrap/>
            <w:vAlign w:val="center"/>
            <w:hideMark/>
          </w:tcPr>
          <w:p w14:paraId="05619C82"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$ 1.027.458.000</w:t>
            </w:r>
          </w:p>
        </w:tc>
        <w:tc>
          <w:tcPr>
            <w:tcW w:w="1260" w:type="dxa"/>
            <w:tcBorders>
              <w:top w:val="nil"/>
              <w:left w:val="nil"/>
              <w:bottom w:val="single" w:sz="4" w:space="0" w:color="auto"/>
              <w:right w:val="single" w:sz="4" w:space="0" w:color="auto"/>
            </w:tcBorders>
            <w:shd w:val="clear" w:color="000000" w:fill="F2F2F2"/>
            <w:noWrap/>
            <w:vAlign w:val="center"/>
            <w:hideMark/>
          </w:tcPr>
          <w:p w14:paraId="0CBDCB7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$ 10.274.580</w:t>
            </w:r>
          </w:p>
        </w:tc>
        <w:tc>
          <w:tcPr>
            <w:tcW w:w="1120" w:type="dxa"/>
            <w:tcBorders>
              <w:top w:val="nil"/>
              <w:left w:val="nil"/>
              <w:bottom w:val="single" w:sz="4" w:space="0" w:color="auto"/>
              <w:right w:val="single" w:sz="4" w:space="0" w:color="auto"/>
            </w:tcBorders>
            <w:shd w:val="clear" w:color="000000" w:fill="F2F2F2"/>
            <w:noWrap/>
            <w:vAlign w:val="center"/>
            <w:hideMark/>
          </w:tcPr>
          <w:p w14:paraId="6834775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$ 428</w:t>
            </w:r>
          </w:p>
        </w:tc>
        <w:tc>
          <w:tcPr>
            <w:tcW w:w="1260" w:type="dxa"/>
            <w:tcBorders>
              <w:top w:val="nil"/>
              <w:left w:val="nil"/>
              <w:bottom w:val="single" w:sz="4" w:space="0" w:color="auto"/>
              <w:right w:val="single" w:sz="4" w:space="0" w:color="auto"/>
            </w:tcBorders>
            <w:shd w:val="clear" w:color="000000" w:fill="F2F2F2"/>
            <w:noWrap/>
            <w:vAlign w:val="center"/>
            <w:hideMark/>
          </w:tcPr>
          <w:p w14:paraId="3FD23066"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$ 10.275.008</w:t>
            </w:r>
          </w:p>
        </w:tc>
        <w:tc>
          <w:tcPr>
            <w:tcW w:w="1920" w:type="dxa"/>
            <w:tcBorders>
              <w:top w:val="nil"/>
              <w:left w:val="nil"/>
              <w:bottom w:val="single" w:sz="4" w:space="0" w:color="auto"/>
              <w:right w:val="single" w:sz="4" w:space="0" w:color="auto"/>
            </w:tcBorders>
            <w:shd w:val="clear" w:color="000000" w:fill="F2F2F2"/>
            <w:vAlign w:val="center"/>
            <w:hideMark/>
          </w:tcPr>
          <w:p w14:paraId="7D9787F3"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w:t>
            </w:r>
          </w:p>
        </w:tc>
      </w:tr>
      <w:tr w:rsidR="00D705A6" w:rsidRPr="002E0BB9" w14:paraId="42BEB86F" w14:textId="77777777" w:rsidTr="007D1249">
        <w:trPr>
          <w:trHeight w:val="4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06FC8FA4"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253</w:t>
            </w:r>
          </w:p>
        </w:tc>
        <w:tc>
          <w:tcPr>
            <w:tcW w:w="560" w:type="dxa"/>
            <w:tcBorders>
              <w:top w:val="nil"/>
              <w:left w:val="nil"/>
              <w:bottom w:val="single" w:sz="4" w:space="0" w:color="auto"/>
              <w:right w:val="single" w:sz="4" w:space="0" w:color="auto"/>
            </w:tcBorders>
            <w:shd w:val="clear" w:color="000000" w:fill="F2F2F2"/>
            <w:noWrap/>
            <w:vAlign w:val="center"/>
            <w:hideMark/>
          </w:tcPr>
          <w:p w14:paraId="221F447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40478</w:t>
            </w:r>
          </w:p>
        </w:tc>
        <w:tc>
          <w:tcPr>
            <w:tcW w:w="920" w:type="dxa"/>
            <w:tcBorders>
              <w:top w:val="nil"/>
              <w:left w:val="nil"/>
              <w:bottom w:val="single" w:sz="4" w:space="0" w:color="auto"/>
              <w:right w:val="single" w:sz="4" w:space="0" w:color="auto"/>
            </w:tcBorders>
            <w:shd w:val="clear" w:color="000000" w:fill="F2F2F2"/>
            <w:noWrap/>
            <w:vAlign w:val="center"/>
            <w:hideMark/>
          </w:tcPr>
          <w:p w14:paraId="24928AC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900929832</w:t>
            </w:r>
          </w:p>
        </w:tc>
        <w:tc>
          <w:tcPr>
            <w:tcW w:w="2180" w:type="dxa"/>
            <w:tcBorders>
              <w:top w:val="nil"/>
              <w:left w:val="nil"/>
              <w:bottom w:val="single" w:sz="4" w:space="0" w:color="auto"/>
              <w:right w:val="single" w:sz="4" w:space="0" w:color="auto"/>
            </w:tcBorders>
            <w:shd w:val="clear" w:color="000000" w:fill="F2F2F2"/>
            <w:vAlign w:val="center"/>
            <w:hideMark/>
          </w:tcPr>
          <w:p w14:paraId="24E2F6AC"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BOSQUES SOLARES DE LOS LLANOS 3 SAS ESP</w:t>
            </w:r>
          </w:p>
        </w:tc>
        <w:tc>
          <w:tcPr>
            <w:tcW w:w="1520" w:type="dxa"/>
            <w:tcBorders>
              <w:top w:val="nil"/>
              <w:left w:val="nil"/>
              <w:bottom w:val="single" w:sz="4" w:space="0" w:color="auto"/>
              <w:right w:val="single" w:sz="4" w:space="0" w:color="auto"/>
            </w:tcBorders>
            <w:shd w:val="clear" w:color="000000" w:fill="F2F2F2"/>
            <w:noWrap/>
            <w:vAlign w:val="center"/>
            <w:hideMark/>
          </w:tcPr>
          <w:p w14:paraId="321DDA0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$ 1.020.352.000</w:t>
            </w:r>
          </w:p>
        </w:tc>
        <w:tc>
          <w:tcPr>
            <w:tcW w:w="1440" w:type="dxa"/>
            <w:tcBorders>
              <w:top w:val="nil"/>
              <w:left w:val="nil"/>
              <w:bottom w:val="single" w:sz="4" w:space="0" w:color="auto"/>
              <w:right w:val="single" w:sz="4" w:space="0" w:color="auto"/>
            </w:tcBorders>
            <w:shd w:val="clear" w:color="000000" w:fill="F2F2F2"/>
            <w:noWrap/>
            <w:vAlign w:val="center"/>
            <w:hideMark/>
          </w:tcPr>
          <w:p w14:paraId="3E43466B"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$ 0</w:t>
            </w:r>
          </w:p>
        </w:tc>
        <w:tc>
          <w:tcPr>
            <w:tcW w:w="1460" w:type="dxa"/>
            <w:tcBorders>
              <w:top w:val="nil"/>
              <w:left w:val="nil"/>
              <w:bottom w:val="single" w:sz="4" w:space="0" w:color="auto"/>
              <w:right w:val="single" w:sz="4" w:space="0" w:color="auto"/>
            </w:tcBorders>
            <w:shd w:val="clear" w:color="000000" w:fill="F2F2F2"/>
            <w:noWrap/>
            <w:vAlign w:val="center"/>
            <w:hideMark/>
          </w:tcPr>
          <w:p w14:paraId="35F14FF6"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$ 1.020.352.000</w:t>
            </w:r>
          </w:p>
        </w:tc>
        <w:tc>
          <w:tcPr>
            <w:tcW w:w="1260" w:type="dxa"/>
            <w:tcBorders>
              <w:top w:val="nil"/>
              <w:left w:val="nil"/>
              <w:bottom w:val="single" w:sz="4" w:space="0" w:color="auto"/>
              <w:right w:val="single" w:sz="4" w:space="0" w:color="auto"/>
            </w:tcBorders>
            <w:shd w:val="clear" w:color="000000" w:fill="F2F2F2"/>
            <w:noWrap/>
            <w:vAlign w:val="center"/>
            <w:hideMark/>
          </w:tcPr>
          <w:p w14:paraId="05956916"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$ 10.203.520</w:t>
            </w:r>
          </w:p>
        </w:tc>
        <w:tc>
          <w:tcPr>
            <w:tcW w:w="1120" w:type="dxa"/>
            <w:tcBorders>
              <w:top w:val="nil"/>
              <w:left w:val="nil"/>
              <w:bottom w:val="single" w:sz="4" w:space="0" w:color="auto"/>
              <w:right w:val="single" w:sz="4" w:space="0" w:color="auto"/>
            </w:tcBorders>
            <w:shd w:val="clear" w:color="000000" w:fill="F2F2F2"/>
            <w:noWrap/>
            <w:vAlign w:val="center"/>
            <w:hideMark/>
          </w:tcPr>
          <w:p w14:paraId="4FED26DD"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$ 425</w:t>
            </w:r>
          </w:p>
        </w:tc>
        <w:tc>
          <w:tcPr>
            <w:tcW w:w="1260" w:type="dxa"/>
            <w:tcBorders>
              <w:top w:val="nil"/>
              <w:left w:val="nil"/>
              <w:bottom w:val="single" w:sz="4" w:space="0" w:color="auto"/>
              <w:right w:val="single" w:sz="4" w:space="0" w:color="auto"/>
            </w:tcBorders>
            <w:shd w:val="clear" w:color="000000" w:fill="F2F2F2"/>
            <w:noWrap/>
            <w:vAlign w:val="center"/>
            <w:hideMark/>
          </w:tcPr>
          <w:p w14:paraId="57F8DD2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$ 10.203.945</w:t>
            </w:r>
          </w:p>
        </w:tc>
        <w:tc>
          <w:tcPr>
            <w:tcW w:w="1920" w:type="dxa"/>
            <w:tcBorders>
              <w:top w:val="nil"/>
              <w:left w:val="nil"/>
              <w:bottom w:val="single" w:sz="4" w:space="0" w:color="auto"/>
              <w:right w:val="single" w:sz="4" w:space="0" w:color="auto"/>
            </w:tcBorders>
            <w:shd w:val="clear" w:color="000000" w:fill="F2F2F2"/>
            <w:vAlign w:val="center"/>
            <w:hideMark/>
          </w:tcPr>
          <w:p w14:paraId="01480399"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w:t>
            </w:r>
          </w:p>
        </w:tc>
      </w:tr>
      <w:tr w:rsidR="00D705A6" w:rsidRPr="002E0BB9" w14:paraId="34936626" w14:textId="77777777" w:rsidTr="007D1249">
        <w:trPr>
          <w:trHeight w:val="2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29B6487A"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254</w:t>
            </w:r>
          </w:p>
        </w:tc>
        <w:tc>
          <w:tcPr>
            <w:tcW w:w="560" w:type="dxa"/>
            <w:tcBorders>
              <w:top w:val="nil"/>
              <w:left w:val="nil"/>
              <w:bottom w:val="single" w:sz="4" w:space="0" w:color="auto"/>
              <w:right w:val="single" w:sz="4" w:space="0" w:color="auto"/>
            </w:tcBorders>
            <w:shd w:val="clear" w:color="000000" w:fill="F2F2F2"/>
            <w:noWrap/>
            <w:vAlign w:val="center"/>
            <w:hideMark/>
          </w:tcPr>
          <w:p w14:paraId="51074091"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32374</w:t>
            </w:r>
          </w:p>
        </w:tc>
        <w:tc>
          <w:tcPr>
            <w:tcW w:w="920" w:type="dxa"/>
            <w:tcBorders>
              <w:top w:val="nil"/>
              <w:left w:val="nil"/>
              <w:bottom w:val="single" w:sz="4" w:space="0" w:color="auto"/>
              <w:right w:val="single" w:sz="4" w:space="0" w:color="auto"/>
            </w:tcBorders>
            <w:shd w:val="clear" w:color="000000" w:fill="F2F2F2"/>
            <w:noWrap/>
            <w:vAlign w:val="center"/>
            <w:hideMark/>
          </w:tcPr>
          <w:p w14:paraId="1E44E91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900932147</w:t>
            </w:r>
          </w:p>
        </w:tc>
        <w:tc>
          <w:tcPr>
            <w:tcW w:w="2180" w:type="dxa"/>
            <w:tcBorders>
              <w:top w:val="nil"/>
              <w:left w:val="nil"/>
              <w:bottom w:val="single" w:sz="4" w:space="0" w:color="auto"/>
              <w:right w:val="single" w:sz="4" w:space="0" w:color="auto"/>
            </w:tcBorders>
            <w:shd w:val="clear" w:color="000000" w:fill="F2F2F2"/>
            <w:vAlign w:val="center"/>
            <w:hideMark/>
          </w:tcPr>
          <w:p w14:paraId="54B01A0F"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AMPERIA SA ESP</w:t>
            </w:r>
          </w:p>
        </w:tc>
        <w:tc>
          <w:tcPr>
            <w:tcW w:w="1520" w:type="dxa"/>
            <w:tcBorders>
              <w:top w:val="nil"/>
              <w:left w:val="nil"/>
              <w:bottom w:val="single" w:sz="4" w:space="0" w:color="auto"/>
              <w:right w:val="single" w:sz="4" w:space="0" w:color="auto"/>
            </w:tcBorders>
            <w:shd w:val="clear" w:color="000000" w:fill="F2F2F2"/>
            <w:noWrap/>
            <w:vAlign w:val="center"/>
            <w:hideMark/>
          </w:tcPr>
          <w:p w14:paraId="02E49C7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$ 776.266.000</w:t>
            </w:r>
          </w:p>
        </w:tc>
        <w:tc>
          <w:tcPr>
            <w:tcW w:w="1440" w:type="dxa"/>
            <w:tcBorders>
              <w:top w:val="nil"/>
              <w:left w:val="nil"/>
              <w:bottom w:val="single" w:sz="4" w:space="0" w:color="auto"/>
              <w:right w:val="single" w:sz="4" w:space="0" w:color="auto"/>
            </w:tcBorders>
            <w:shd w:val="clear" w:color="000000" w:fill="F2F2F2"/>
            <w:noWrap/>
            <w:vAlign w:val="center"/>
            <w:hideMark/>
          </w:tcPr>
          <w:p w14:paraId="1752A9F1"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$ 11.363.573</w:t>
            </w:r>
          </w:p>
        </w:tc>
        <w:tc>
          <w:tcPr>
            <w:tcW w:w="1460" w:type="dxa"/>
            <w:tcBorders>
              <w:top w:val="nil"/>
              <w:left w:val="nil"/>
              <w:bottom w:val="single" w:sz="4" w:space="0" w:color="auto"/>
              <w:right w:val="single" w:sz="4" w:space="0" w:color="auto"/>
            </w:tcBorders>
            <w:shd w:val="clear" w:color="000000" w:fill="F2F2F2"/>
            <w:noWrap/>
            <w:vAlign w:val="center"/>
            <w:hideMark/>
          </w:tcPr>
          <w:p w14:paraId="594E44F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$ 787.629.573</w:t>
            </w:r>
          </w:p>
        </w:tc>
        <w:tc>
          <w:tcPr>
            <w:tcW w:w="1260" w:type="dxa"/>
            <w:tcBorders>
              <w:top w:val="nil"/>
              <w:left w:val="nil"/>
              <w:bottom w:val="single" w:sz="4" w:space="0" w:color="auto"/>
              <w:right w:val="single" w:sz="4" w:space="0" w:color="auto"/>
            </w:tcBorders>
            <w:shd w:val="clear" w:color="000000" w:fill="F2F2F2"/>
            <w:noWrap/>
            <w:vAlign w:val="center"/>
            <w:hideMark/>
          </w:tcPr>
          <w:p w14:paraId="2AB7997C"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$ 7.876.296</w:t>
            </w:r>
          </w:p>
        </w:tc>
        <w:tc>
          <w:tcPr>
            <w:tcW w:w="1120" w:type="dxa"/>
            <w:tcBorders>
              <w:top w:val="nil"/>
              <w:left w:val="nil"/>
              <w:bottom w:val="single" w:sz="4" w:space="0" w:color="auto"/>
              <w:right w:val="single" w:sz="4" w:space="0" w:color="auto"/>
            </w:tcBorders>
            <w:shd w:val="clear" w:color="000000" w:fill="F2F2F2"/>
            <w:noWrap/>
            <w:vAlign w:val="center"/>
            <w:hideMark/>
          </w:tcPr>
          <w:p w14:paraId="6087EBE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$ 328</w:t>
            </w:r>
          </w:p>
        </w:tc>
        <w:tc>
          <w:tcPr>
            <w:tcW w:w="1260" w:type="dxa"/>
            <w:tcBorders>
              <w:top w:val="nil"/>
              <w:left w:val="nil"/>
              <w:bottom w:val="single" w:sz="4" w:space="0" w:color="auto"/>
              <w:right w:val="single" w:sz="4" w:space="0" w:color="auto"/>
            </w:tcBorders>
            <w:shd w:val="clear" w:color="000000" w:fill="F2F2F2"/>
            <w:noWrap/>
            <w:vAlign w:val="center"/>
            <w:hideMark/>
          </w:tcPr>
          <w:p w14:paraId="59721685"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$ 7.876.624</w:t>
            </w:r>
          </w:p>
        </w:tc>
        <w:tc>
          <w:tcPr>
            <w:tcW w:w="1920" w:type="dxa"/>
            <w:tcBorders>
              <w:top w:val="nil"/>
              <w:left w:val="nil"/>
              <w:bottom w:val="single" w:sz="4" w:space="0" w:color="auto"/>
              <w:right w:val="single" w:sz="4" w:space="0" w:color="auto"/>
            </w:tcBorders>
            <w:shd w:val="clear" w:color="000000" w:fill="F2F2F2"/>
            <w:vAlign w:val="center"/>
            <w:hideMark/>
          </w:tcPr>
          <w:p w14:paraId="08D6D419"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w:t>
            </w:r>
          </w:p>
        </w:tc>
      </w:tr>
      <w:tr w:rsidR="00D705A6" w:rsidRPr="002E0BB9" w14:paraId="72983C8A" w14:textId="77777777" w:rsidTr="007D1249">
        <w:trPr>
          <w:trHeight w:val="4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15C299F2"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255</w:t>
            </w:r>
          </w:p>
        </w:tc>
        <w:tc>
          <w:tcPr>
            <w:tcW w:w="560" w:type="dxa"/>
            <w:tcBorders>
              <w:top w:val="nil"/>
              <w:left w:val="nil"/>
              <w:bottom w:val="single" w:sz="4" w:space="0" w:color="auto"/>
              <w:right w:val="single" w:sz="4" w:space="0" w:color="auto"/>
            </w:tcBorders>
            <w:shd w:val="clear" w:color="000000" w:fill="F2F2F2"/>
            <w:noWrap/>
            <w:vAlign w:val="center"/>
            <w:hideMark/>
          </w:tcPr>
          <w:p w14:paraId="6598A01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32733</w:t>
            </w:r>
          </w:p>
        </w:tc>
        <w:tc>
          <w:tcPr>
            <w:tcW w:w="920" w:type="dxa"/>
            <w:tcBorders>
              <w:top w:val="nil"/>
              <w:left w:val="nil"/>
              <w:bottom w:val="single" w:sz="4" w:space="0" w:color="auto"/>
              <w:right w:val="single" w:sz="4" w:space="0" w:color="auto"/>
            </w:tcBorders>
            <w:shd w:val="clear" w:color="000000" w:fill="F2F2F2"/>
            <w:noWrap/>
            <w:vAlign w:val="center"/>
            <w:hideMark/>
          </w:tcPr>
          <w:p w14:paraId="2B42A7FD"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900948809</w:t>
            </w:r>
          </w:p>
        </w:tc>
        <w:tc>
          <w:tcPr>
            <w:tcW w:w="2180" w:type="dxa"/>
            <w:tcBorders>
              <w:top w:val="nil"/>
              <w:left w:val="nil"/>
              <w:bottom w:val="single" w:sz="4" w:space="0" w:color="auto"/>
              <w:right w:val="single" w:sz="4" w:space="0" w:color="auto"/>
            </w:tcBorders>
            <w:shd w:val="clear" w:color="000000" w:fill="F2F2F2"/>
            <w:vAlign w:val="center"/>
            <w:hideMark/>
          </w:tcPr>
          <w:p w14:paraId="373364A2"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EMPRESA MIXTA DE GAS S.A.S. E.S.P.</w:t>
            </w:r>
          </w:p>
        </w:tc>
        <w:tc>
          <w:tcPr>
            <w:tcW w:w="1520" w:type="dxa"/>
            <w:tcBorders>
              <w:top w:val="nil"/>
              <w:left w:val="nil"/>
              <w:bottom w:val="single" w:sz="4" w:space="0" w:color="auto"/>
              <w:right w:val="single" w:sz="4" w:space="0" w:color="auto"/>
            </w:tcBorders>
            <w:shd w:val="clear" w:color="000000" w:fill="F2F2F2"/>
            <w:noWrap/>
            <w:vAlign w:val="center"/>
            <w:hideMark/>
          </w:tcPr>
          <w:p w14:paraId="49A87EE1"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$ 190.165.000</w:t>
            </w:r>
          </w:p>
        </w:tc>
        <w:tc>
          <w:tcPr>
            <w:tcW w:w="1440" w:type="dxa"/>
            <w:tcBorders>
              <w:top w:val="nil"/>
              <w:left w:val="nil"/>
              <w:bottom w:val="single" w:sz="4" w:space="0" w:color="auto"/>
              <w:right w:val="single" w:sz="4" w:space="0" w:color="auto"/>
            </w:tcBorders>
            <w:shd w:val="clear" w:color="000000" w:fill="F2F2F2"/>
            <w:noWrap/>
            <w:vAlign w:val="center"/>
            <w:hideMark/>
          </w:tcPr>
          <w:p w14:paraId="60186A62"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$ 22.410.649</w:t>
            </w:r>
          </w:p>
        </w:tc>
        <w:tc>
          <w:tcPr>
            <w:tcW w:w="1460" w:type="dxa"/>
            <w:tcBorders>
              <w:top w:val="nil"/>
              <w:left w:val="nil"/>
              <w:bottom w:val="single" w:sz="4" w:space="0" w:color="auto"/>
              <w:right w:val="single" w:sz="4" w:space="0" w:color="auto"/>
            </w:tcBorders>
            <w:shd w:val="clear" w:color="000000" w:fill="F2F2F2"/>
            <w:noWrap/>
            <w:vAlign w:val="center"/>
            <w:hideMark/>
          </w:tcPr>
          <w:p w14:paraId="23B619FB"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$ 212.575.649</w:t>
            </w:r>
          </w:p>
        </w:tc>
        <w:tc>
          <w:tcPr>
            <w:tcW w:w="1260" w:type="dxa"/>
            <w:tcBorders>
              <w:top w:val="nil"/>
              <w:left w:val="nil"/>
              <w:bottom w:val="single" w:sz="4" w:space="0" w:color="auto"/>
              <w:right w:val="single" w:sz="4" w:space="0" w:color="auto"/>
            </w:tcBorders>
            <w:shd w:val="clear" w:color="000000" w:fill="F2F2F2"/>
            <w:noWrap/>
            <w:vAlign w:val="center"/>
            <w:hideMark/>
          </w:tcPr>
          <w:p w14:paraId="1C0F66A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$ 2.125.756</w:t>
            </w:r>
          </w:p>
        </w:tc>
        <w:tc>
          <w:tcPr>
            <w:tcW w:w="1120" w:type="dxa"/>
            <w:tcBorders>
              <w:top w:val="nil"/>
              <w:left w:val="nil"/>
              <w:bottom w:val="single" w:sz="4" w:space="0" w:color="auto"/>
              <w:right w:val="single" w:sz="4" w:space="0" w:color="auto"/>
            </w:tcBorders>
            <w:shd w:val="clear" w:color="000000" w:fill="F2F2F2"/>
            <w:noWrap/>
            <w:vAlign w:val="center"/>
            <w:hideMark/>
          </w:tcPr>
          <w:p w14:paraId="15E1346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$ 88</w:t>
            </w:r>
          </w:p>
        </w:tc>
        <w:tc>
          <w:tcPr>
            <w:tcW w:w="1260" w:type="dxa"/>
            <w:tcBorders>
              <w:top w:val="nil"/>
              <w:left w:val="nil"/>
              <w:bottom w:val="single" w:sz="4" w:space="0" w:color="auto"/>
              <w:right w:val="single" w:sz="4" w:space="0" w:color="auto"/>
            </w:tcBorders>
            <w:shd w:val="clear" w:color="000000" w:fill="F2F2F2"/>
            <w:noWrap/>
            <w:vAlign w:val="center"/>
            <w:hideMark/>
          </w:tcPr>
          <w:p w14:paraId="7BA3842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$ 2.125.845</w:t>
            </w:r>
          </w:p>
        </w:tc>
        <w:tc>
          <w:tcPr>
            <w:tcW w:w="1920" w:type="dxa"/>
            <w:tcBorders>
              <w:top w:val="nil"/>
              <w:left w:val="nil"/>
              <w:bottom w:val="single" w:sz="4" w:space="0" w:color="auto"/>
              <w:right w:val="single" w:sz="4" w:space="0" w:color="auto"/>
            </w:tcBorders>
            <w:shd w:val="clear" w:color="000000" w:fill="F2F2F2"/>
            <w:vAlign w:val="center"/>
            <w:hideMark/>
          </w:tcPr>
          <w:p w14:paraId="4B115289"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GAS LICUADO DEL PETROLEO</w:t>
            </w:r>
          </w:p>
        </w:tc>
      </w:tr>
      <w:tr w:rsidR="00D705A6" w:rsidRPr="002E0BB9" w14:paraId="13874652" w14:textId="77777777" w:rsidTr="007D1249">
        <w:trPr>
          <w:trHeight w:val="2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5557741D"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256</w:t>
            </w:r>
          </w:p>
        </w:tc>
        <w:tc>
          <w:tcPr>
            <w:tcW w:w="560" w:type="dxa"/>
            <w:tcBorders>
              <w:top w:val="nil"/>
              <w:left w:val="nil"/>
              <w:bottom w:val="single" w:sz="4" w:space="0" w:color="auto"/>
              <w:right w:val="single" w:sz="4" w:space="0" w:color="auto"/>
            </w:tcBorders>
            <w:shd w:val="clear" w:color="000000" w:fill="F2F2F2"/>
            <w:noWrap/>
            <w:vAlign w:val="center"/>
            <w:hideMark/>
          </w:tcPr>
          <w:p w14:paraId="170E71A7"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32773</w:t>
            </w:r>
          </w:p>
        </w:tc>
        <w:tc>
          <w:tcPr>
            <w:tcW w:w="920" w:type="dxa"/>
            <w:tcBorders>
              <w:top w:val="nil"/>
              <w:left w:val="nil"/>
              <w:bottom w:val="single" w:sz="4" w:space="0" w:color="auto"/>
              <w:right w:val="single" w:sz="4" w:space="0" w:color="auto"/>
            </w:tcBorders>
            <w:shd w:val="clear" w:color="000000" w:fill="F2F2F2"/>
            <w:noWrap/>
            <w:vAlign w:val="center"/>
            <w:hideMark/>
          </w:tcPr>
          <w:p w14:paraId="202AC37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900949673</w:t>
            </w:r>
          </w:p>
        </w:tc>
        <w:tc>
          <w:tcPr>
            <w:tcW w:w="2180" w:type="dxa"/>
            <w:tcBorders>
              <w:top w:val="nil"/>
              <w:left w:val="nil"/>
              <w:bottom w:val="single" w:sz="4" w:space="0" w:color="auto"/>
              <w:right w:val="single" w:sz="4" w:space="0" w:color="auto"/>
            </w:tcBorders>
            <w:shd w:val="clear" w:color="000000" w:fill="F2F2F2"/>
            <w:vAlign w:val="center"/>
            <w:hideMark/>
          </w:tcPr>
          <w:p w14:paraId="2399CE74"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SMARTEN SAS ESP</w:t>
            </w:r>
          </w:p>
        </w:tc>
        <w:tc>
          <w:tcPr>
            <w:tcW w:w="1520" w:type="dxa"/>
            <w:tcBorders>
              <w:top w:val="nil"/>
              <w:left w:val="nil"/>
              <w:bottom w:val="single" w:sz="4" w:space="0" w:color="auto"/>
              <w:right w:val="single" w:sz="4" w:space="0" w:color="auto"/>
            </w:tcBorders>
            <w:shd w:val="clear" w:color="000000" w:fill="F2F2F2"/>
            <w:noWrap/>
            <w:vAlign w:val="center"/>
            <w:hideMark/>
          </w:tcPr>
          <w:p w14:paraId="5E91F54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$ 1.262.331.000</w:t>
            </w:r>
          </w:p>
        </w:tc>
        <w:tc>
          <w:tcPr>
            <w:tcW w:w="1440" w:type="dxa"/>
            <w:tcBorders>
              <w:top w:val="nil"/>
              <w:left w:val="nil"/>
              <w:bottom w:val="single" w:sz="4" w:space="0" w:color="auto"/>
              <w:right w:val="single" w:sz="4" w:space="0" w:color="auto"/>
            </w:tcBorders>
            <w:shd w:val="clear" w:color="000000" w:fill="F2F2F2"/>
            <w:noWrap/>
            <w:vAlign w:val="center"/>
            <w:hideMark/>
          </w:tcPr>
          <w:p w14:paraId="207BAD6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$ 0</w:t>
            </w:r>
          </w:p>
        </w:tc>
        <w:tc>
          <w:tcPr>
            <w:tcW w:w="1460" w:type="dxa"/>
            <w:tcBorders>
              <w:top w:val="nil"/>
              <w:left w:val="nil"/>
              <w:bottom w:val="single" w:sz="4" w:space="0" w:color="auto"/>
              <w:right w:val="single" w:sz="4" w:space="0" w:color="auto"/>
            </w:tcBorders>
            <w:shd w:val="clear" w:color="000000" w:fill="F2F2F2"/>
            <w:noWrap/>
            <w:vAlign w:val="center"/>
            <w:hideMark/>
          </w:tcPr>
          <w:p w14:paraId="43B78DD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$ 1.262.331.000</w:t>
            </w:r>
          </w:p>
        </w:tc>
        <w:tc>
          <w:tcPr>
            <w:tcW w:w="1260" w:type="dxa"/>
            <w:tcBorders>
              <w:top w:val="nil"/>
              <w:left w:val="nil"/>
              <w:bottom w:val="single" w:sz="4" w:space="0" w:color="auto"/>
              <w:right w:val="single" w:sz="4" w:space="0" w:color="auto"/>
            </w:tcBorders>
            <w:shd w:val="clear" w:color="000000" w:fill="F2F2F2"/>
            <w:noWrap/>
            <w:vAlign w:val="center"/>
            <w:hideMark/>
          </w:tcPr>
          <w:p w14:paraId="73C8AFD7"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$ 12.623.310</w:t>
            </w:r>
          </w:p>
        </w:tc>
        <w:tc>
          <w:tcPr>
            <w:tcW w:w="1120" w:type="dxa"/>
            <w:tcBorders>
              <w:top w:val="nil"/>
              <w:left w:val="nil"/>
              <w:bottom w:val="single" w:sz="4" w:space="0" w:color="auto"/>
              <w:right w:val="single" w:sz="4" w:space="0" w:color="auto"/>
            </w:tcBorders>
            <w:shd w:val="clear" w:color="000000" w:fill="F2F2F2"/>
            <w:noWrap/>
            <w:vAlign w:val="center"/>
            <w:hideMark/>
          </w:tcPr>
          <w:p w14:paraId="750EC34A"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$ 525</w:t>
            </w:r>
          </w:p>
        </w:tc>
        <w:tc>
          <w:tcPr>
            <w:tcW w:w="1260" w:type="dxa"/>
            <w:tcBorders>
              <w:top w:val="nil"/>
              <w:left w:val="nil"/>
              <w:bottom w:val="single" w:sz="4" w:space="0" w:color="auto"/>
              <w:right w:val="single" w:sz="4" w:space="0" w:color="auto"/>
            </w:tcBorders>
            <w:shd w:val="clear" w:color="000000" w:fill="F2F2F2"/>
            <w:noWrap/>
            <w:vAlign w:val="center"/>
            <w:hideMark/>
          </w:tcPr>
          <w:p w14:paraId="5266D535"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$ 12.623.835</w:t>
            </w:r>
          </w:p>
        </w:tc>
        <w:tc>
          <w:tcPr>
            <w:tcW w:w="1920" w:type="dxa"/>
            <w:tcBorders>
              <w:top w:val="nil"/>
              <w:left w:val="nil"/>
              <w:bottom w:val="single" w:sz="4" w:space="0" w:color="auto"/>
              <w:right w:val="single" w:sz="4" w:space="0" w:color="auto"/>
            </w:tcBorders>
            <w:shd w:val="clear" w:color="000000" w:fill="F2F2F2"/>
            <w:vAlign w:val="center"/>
            <w:hideMark/>
          </w:tcPr>
          <w:p w14:paraId="4E0E3EAD"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w:t>
            </w:r>
          </w:p>
        </w:tc>
      </w:tr>
      <w:tr w:rsidR="00D705A6" w:rsidRPr="002E0BB9" w14:paraId="7D682AA6" w14:textId="77777777" w:rsidTr="00053706">
        <w:trPr>
          <w:trHeight w:val="636"/>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47A1789A"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257</w:t>
            </w:r>
          </w:p>
        </w:tc>
        <w:tc>
          <w:tcPr>
            <w:tcW w:w="560" w:type="dxa"/>
            <w:tcBorders>
              <w:top w:val="nil"/>
              <w:left w:val="nil"/>
              <w:bottom w:val="single" w:sz="4" w:space="0" w:color="auto"/>
              <w:right w:val="single" w:sz="4" w:space="0" w:color="auto"/>
            </w:tcBorders>
            <w:shd w:val="clear" w:color="000000" w:fill="F2F2F2"/>
            <w:noWrap/>
            <w:vAlign w:val="center"/>
            <w:hideMark/>
          </w:tcPr>
          <w:p w14:paraId="189C8A5C"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34833</w:t>
            </w:r>
          </w:p>
        </w:tc>
        <w:tc>
          <w:tcPr>
            <w:tcW w:w="920" w:type="dxa"/>
            <w:tcBorders>
              <w:top w:val="nil"/>
              <w:left w:val="nil"/>
              <w:bottom w:val="single" w:sz="4" w:space="0" w:color="auto"/>
              <w:right w:val="single" w:sz="4" w:space="0" w:color="auto"/>
            </w:tcBorders>
            <w:shd w:val="clear" w:color="000000" w:fill="F2F2F2"/>
            <w:noWrap/>
            <w:vAlign w:val="center"/>
            <w:hideMark/>
          </w:tcPr>
          <w:p w14:paraId="487499CD"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900963765</w:t>
            </w:r>
          </w:p>
        </w:tc>
        <w:tc>
          <w:tcPr>
            <w:tcW w:w="2180" w:type="dxa"/>
            <w:tcBorders>
              <w:top w:val="nil"/>
              <w:left w:val="nil"/>
              <w:bottom w:val="single" w:sz="4" w:space="0" w:color="auto"/>
              <w:right w:val="single" w:sz="4" w:space="0" w:color="auto"/>
            </w:tcBorders>
            <w:shd w:val="clear" w:color="000000" w:fill="F2F2F2"/>
            <w:vAlign w:val="center"/>
            <w:hideMark/>
          </w:tcPr>
          <w:p w14:paraId="3C3D3805"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EMPRESA ASOCIATIVA DE TRABAJO ELECTRIFICADORA DEL PACIFICO SUR</w:t>
            </w:r>
          </w:p>
        </w:tc>
        <w:tc>
          <w:tcPr>
            <w:tcW w:w="1520" w:type="dxa"/>
            <w:tcBorders>
              <w:top w:val="nil"/>
              <w:left w:val="nil"/>
              <w:bottom w:val="single" w:sz="4" w:space="0" w:color="auto"/>
              <w:right w:val="single" w:sz="4" w:space="0" w:color="auto"/>
            </w:tcBorders>
            <w:shd w:val="clear" w:color="000000" w:fill="F2F2F2"/>
            <w:noWrap/>
            <w:vAlign w:val="center"/>
            <w:hideMark/>
          </w:tcPr>
          <w:p w14:paraId="139AFCE6"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$ 463.656.000</w:t>
            </w:r>
          </w:p>
        </w:tc>
        <w:tc>
          <w:tcPr>
            <w:tcW w:w="1440" w:type="dxa"/>
            <w:tcBorders>
              <w:top w:val="nil"/>
              <w:left w:val="nil"/>
              <w:bottom w:val="single" w:sz="4" w:space="0" w:color="auto"/>
              <w:right w:val="single" w:sz="4" w:space="0" w:color="auto"/>
            </w:tcBorders>
            <w:shd w:val="clear" w:color="000000" w:fill="F2F2F2"/>
            <w:noWrap/>
            <w:vAlign w:val="center"/>
            <w:hideMark/>
          </w:tcPr>
          <w:p w14:paraId="3BE4B84E"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$ 19.040.613</w:t>
            </w:r>
          </w:p>
        </w:tc>
        <w:tc>
          <w:tcPr>
            <w:tcW w:w="1460" w:type="dxa"/>
            <w:tcBorders>
              <w:top w:val="nil"/>
              <w:left w:val="nil"/>
              <w:bottom w:val="single" w:sz="4" w:space="0" w:color="auto"/>
              <w:right w:val="single" w:sz="4" w:space="0" w:color="auto"/>
            </w:tcBorders>
            <w:shd w:val="clear" w:color="000000" w:fill="F2F2F2"/>
            <w:noWrap/>
            <w:vAlign w:val="center"/>
            <w:hideMark/>
          </w:tcPr>
          <w:p w14:paraId="507F5D61"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$ 482.696.613</w:t>
            </w:r>
          </w:p>
        </w:tc>
        <w:tc>
          <w:tcPr>
            <w:tcW w:w="1260" w:type="dxa"/>
            <w:tcBorders>
              <w:top w:val="nil"/>
              <w:left w:val="nil"/>
              <w:bottom w:val="single" w:sz="4" w:space="0" w:color="auto"/>
              <w:right w:val="single" w:sz="4" w:space="0" w:color="auto"/>
            </w:tcBorders>
            <w:shd w:val="clear" w:color="000000" w:fill="F2F2F2"/>
            <w:noWrap/>
            <w:vAlign w:val="center"/>
            <w:hideMark/>
          </w:tcPr>
          <w:p w14:paraId="412E324C"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$ 4.826.966</w:t>
            </w:r>
          </w:p>
        </w:tc>
        <w:tc>
          <w:tcPr>
            <w:tcW w:w="1120" w:type="dxa"/>
            <w:tcBorders>
              <w:top w:val="nil"/>
              <w:left w:val="nil"/>
              <w:bottom w:val="single" w:sz="4" w:space="0" w:color="auto"/>
              <w:right w:val="single" w:sz="4" w:space="0" w:color="auto"/>
            </w:tcBorders>
            <w:shd w:val="clear" w:color="000000" w:fill="F2F2F2"/>
            <w:noWrap/>
            <w:vAlign w:val="center"/>
            <w:hideMark/>
          </w:tcPr>
          <w:p w14:paraId="244C6235"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$ 201</w:t>
            </w:r>
          </w:p>
        </w:tc>
        <w:tc>
          <w:tcPr>
            <w:tcW w:w="1260" w:type="dxa"/>
            <w:tcBorders>
              <w:top w:val="nil"/>
              <w:left w:val="nil"/>
              <w:bottom w:val="single" w:sz="4" w:space="0" w:color="auto"/>
              <w:right w:val="single" w:sz="4" w:space="0" w:color="auto"/>
            </w:tcBorders>
            <w:shd w:val="clear" w:color="000000" w:fill="F2F2F2"/>
            <w:noWrap/>
            <w:vAlign w:val="center"/>
            <w:hideMark/>
          </w:tcPr>
          <w:p w14:paraId="21604181"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$ 4.827.167</w:t>
            </w:r>
          </w:p>
        </w:tc>
        <w:tc>
          <w:tcPr>
            <w:tcW w:w="1920" w:type="dxa"/>
            <w:tcBorders>
              <w:top w:val="nil"/>
              <w:left w:val="nil"/>
              <w:bottom w:val="single" w:sz="4" w:space="0" w:color="auto"/>
              <w:right w:val="single" w:sz="4" w:space="0" w:color="auto"/>
            </w:tcBorders>
            <w:shd w:val="clear" w:color="000000" w:fill="F2F2F2"/>
            <w:vAlign w:val="center"/>
            <w:hideMark/>
          </w:tcPr>
          <w:p w14:paraId="04BDB8D3"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w:t>
            </w:r>
          </w:p>
        </w:tc>
      </w:tr>
      <w:tr w:rsidR="00D705A6" w:rsidRPr="002E0BB9" w14:paraId="6BDB1A49" w14:textId="77777777" w:rsidTr="007D1249">
        <w:trPr>
          <w:trHeight w:val="4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203924C2"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258</w:t>
            </w:r>
          </w:p>
        </w:tc>
        <w:tc>
          <w:tcPr>
            <w:tcW w:w="560" w:type="dxa"/>
            <w:tcBorders>
              <w:top w:val="nil"/>
              <w:left w:val="nil"/>
              <w:bottom w:val="single" w:sz="4" w:space="0" w:color="auto"/>
              <w:right w:val="single" w:sz="4" w:space="0" w:color="auto"/>
            </w:tcBorders>
            <w:shd w:val="clear" w:color="000000" w:fill="F2F2F2"/>
            <w:noWrap/>
            <w:vAlign w:val="center"/>
            <w:hideMark/>
          </w:tcPr>
          <w:p w14:paraId="4B43E31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33453</w:t>
            </w:r>
          </w:p>
        </w:tc>
        <w:tc>
          <w:tcPr>
            <w:tcW w:w="920" w:type="dxa"/>
            <w:tcBorders>
              <w:top w:val="nil"/>
              <w:left w:val="nil"/>
              <w:bottom w:val="single" w:sz="4" w:space="0" w:color="auto"/>
              <w:right w:val="single" w:sz="4" w:space="0" w:color="auto"/>
            </w:tcBorders>
            <w:shd w:val="clear" w:color="000000" w:fill="F2F2F2"/>
            <w:noWrap/>
            <w:vAlign w:val="center"/>
            <w:hideMark/>
          </w:tcPr>
          <w:p w14:paraId="066BE78A"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900970665</w:t>
            </w:r>
          </w:p>
        </w:tc>
        <w:tc>
          <w:tcPr>
            <w:tcW w:w="2180" w:type="dxa"/>
            <w:tcBorders>
              <w:top w:val="nil"/>
              <w:left w:val="nil"/>
              <w:bottom w:val="single" w:sz="4" w:space="0" w:color="auto"/>
              <w:right w:val="single" w:sz="4" w:space="0" w:color="auto"/>
            </w:tcBorders>
            <w:shd w:val="clear" w:color="000000" w:fill="F2F2F2"/>
            <w:vAlign w:val="center"/>
            <w:hideMark/>
          </w:tcPr>
          <w:p w14:paraId="749E481C"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GAS COLOMBIA SAS ESP</w:t>
            </w:r>
          </w:p>
        </w:tc>
        <w:tc>
          <w:tcPr>
            <w:tcW w:w="1520" w:type="dxa"/>
            <w:tcBorders>
              <w:top w:val="nil"/>
              <w:left w:val="nil"/>
              <w:bottom w:val="single" w:sz="4" w:space="0" w:color="auto"/>
              <w:right w:val="single" w:sz="4" w:space="0" w:color="auto"/>
            </w:tcBorders>
            <w:shd w:val="clear" w:color="000000" w:fill="F2F2F2"/>
            <w:noWrap/>
            <w:vAlign w:val="center"/>
            <w:hideMark/>
          </w:tcPr>
          <w:p w14:paraId="7741561A"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$ 173.070.000</w:t>
            </w:r>
          </w:p>
        </w:tc>
        <w:tc>
          <w:tcPr>
            <w:tcW w:w="1440" w:type="dxa"/>
            <w:tcBorders>
              <w:top w:val="nil"/>
              <w:left w:val="nil"/>
              <w:bottom w:val="single" w:sz="4" w:space="0" w:color="auto"/>
              <w:right w:val="single" w:sz="4" w:space="0" w:color="auto"/>
            </w:tcBorders>
            <w:shd w:val="clear" w:color="000000" w:fill="F2F2F2"/>
            <w:noWrap/>
            <w:vAlign w:val="center"/>
            <w:hideMark/>
          </w:tcPr>
          <w:p w14:paraId="20910E12"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$ 31.640.200</w:t>
            </w:r>
          </w:p>
        </w:tc>
        <w:tc>
          <w:tcPr>
            <w:tcW w:w="1460" w:type="dxa"/>
            <w:tcBorders>
              <w:top w:val="nil"/>
              <w:left w:val="nil"/>
              <w:bottom w:val="single" w:sz="4" w:space="0" w:color="auto"/>
              <w:right w:val="single" w:sz="4" w:space="0" w:color="auto"/>
            </w:tcBorders>
            <w:shd w:val="clear" w:color="000000" w:fill="F2F2F2"/>
            <w:noWrap/>
            <w:vAlign w:val="center"/>
            <w:hideMark/>
          </w:tcPr>
          <w:p w14:paraId="77D58E4B"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$ 204.710.200</w:t>
            </w:r>
          </w:p>
        </w:tc>
        <w:tc>
          <w:tcPr>
            <w:tcW w:w="1260" w:type="dxa"/>
            <w:tcBorders>
              <w:top w:val="nil"/>
              <w:left w:val="nil"/>
              <w:bottom w:val="single" w:sz="4" w:space="0" w:color="auto"/>
              <w:right w:val="single" w:sz="4" w:space="0" w:color="auto"/>
            </w:tcBorders>
            <w:shd w:val="clear" w:color="000000" w:fill="F2F2F2"/>
            <w:noWrap/>
            <w:vAlign w:val="center"/>
            <w:hideMark/>
          </w:tcPr>
          <w:p w14:paraId="56C0D792"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$ 2.047.102</w:t>
            </w:r>
          </w:p>
        </w:tc>
        <w:tc>
          <w:tcPr>
            <w:tcW w:w="1120" w:type="dxa"/>
            <w:tcBorders>
              <w:top w:val="nil"/>
              <w:left w:val="nil"/>
              <w:bottom w:val="single" w:sz="4" w:space="0" w:color="auto"/>
              <w:right w:val="single" w:sz="4" w:space="0" w:color="auto"/>
            </w:tcBorders>
            <w:shd w:val="clear" w:color="000000" w:fill="F2F2F2"/>
            <w:noWrap/>
            <w:vAlign w:val="center"/>
            <w:hideMark/>
          </w:tcPr>
          <w:p w14:paraId="3F1ACD7D"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$ 85</w:t>
            </w:r>
          </w:p>
        </w:tc>
        <w:tc>
          <w:tcPr>
            <w:tcW w:w="1260" w:type="dxa"/>
            <w:tcBorders>
              <w:top w:val="nil"/>
              <w:left w:val="nil"/>
              <w:bottom w:val="single" w:sz="4" w:space="0" w:color="auto"/>
              <w:right w:val="single" w:sz="4" w:space="0" w:color="auto"/>
            </w:tcBorders>
            <w:shd w:val="clear" w:color="000000" w:fill="F2F2F2"/>
            <w:noWrap/>
            <w:vAlign w:val="center"/>
            <w:hideMark/>
          </w:tcPr>
          <w:p w14:paraId="0249F8E6"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$ 2.047.187</w:t>
            </w:r>
          </w:p>
        </w:tc>
        <w:tc>
          <w:tcPr>
            <w:tcW w:w="1920" w:type="dxa"/>
            <w:tcBorders>
              <w:top w:val="nil"/>
              <w:left w:val="nil"/>
              <w:bottom w:val="single" w:sz="4" w:space="0" w:color="auto"/>
              <w:right w:val="single" w:sz="4" w:space="0" w:color="auto"/>
            </w:tcBorders>
            <w:shd w:val="clear" w:color="000000" w:fill="F2F2F2"/>
            <w:vAlign w:val="center"/>
            <w:hideMark/>
          </w:tcPr>
          <w:p w14:paraId="6ADE43C7"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GAS LICUADO DEL PETROLEO</w:t>
            </w:r>
          </w:p>
        </w:tc>
      </w:tr>
      <w:tr w:rsidR="00D705A6" w:rsidRPr="002E0BB9" w14:paraId="2F1DD56A" w14:textId="77777777" w:rsidTr="007D1249">
        <w:trPr>
          <w:trHeight w:val="4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4F8C5024"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259</w:t>
            </w:r>
          </w:p>
        </w:tc>
        <w:tc>
          <w:tcPr>
            <w:tcW w:w="560" w:type="dxa"/>
            <w:tcBorders>
              <w:top w:val="nil"/>
              <w:left w:val="nil"/>
              <w:bottom w:val="single" w:sz="4" w:space="0" w:color="auto"/>
              <w:right w:val="single" w:sz="4" w:space="0" w:color="auto"/>
            </w:tcBorders>
            <w:shd w:val="clear" w:color="000000" w:fill="F2F2F2"/>
            <w:noWrap/>
            <w:vAlign w:val="center"/>
            <w:hideMark/>
          </w:tcPr>
          <w:p w14:paraId="54EB4507"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45016</w:t>
            </w:r>
          </w:p>
        </w:tc>
        <w:tc>
          <w:tcPr>
            <w:tcW w:w="920" w:type="dxa"/>
            <w:tcBorders>
              <w:top w:val="nil"/>
              <w:left w:val="nil"/>
              <w:bottom w:val="single" w:sz="4" w:space="0" w:color="auto"/>
              <w:right w:val="single" w:sz="4" w:space="0" w:color="auto"/>
            </w:tcBorders>
            <w:shd w:val="clear" w:color="000000" w:fill="F2F2F2"/>
            <w:noWrap/>
            <w:vAlign w:val="center"/>
            <w:hideMark/>
          </w:tcPr>
          <w:p w14:paraId="60C3F01D"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900983468</w:t>
            </w:r>
          </w:p>
        </w:tc>
        <w:tc>
          <w:tcPr>
            <w:tcW w:w="2180" w:type="dxa"/>
            <w:tcBorders>
              <w:top w:val="nil"/>
              <w:left w:val="nil"/>
              <w:bottom w:val="single" w:sz="4" w:space="0" w:color="auto"/>
              <w:right w:val="single" w:sz="4" w:space="0" w:color="auto"/>
            </w:tcBorders>
            <w:shd w:val="clear" w:color="000000" w:fill="F2F2F2"/>
            <w:vAlign w:val="center"/>
            <w:hideMark/>
          </w:tcPr>
          <w:p w14:paraId="57DF68D1"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HIDROENERGIA DE LA MONTAÑA S.A.S E.</w:t>
            </w:r>
            <w:proofErr w:type="gramStart"/>
            <w:r w:rsidRPr="002E0BB9">
              <w:rPr>
                <w:rFonts w:ascii="Arial Narrow" w:hAnsi="Arial Narrow" w:cs="Arial"/>
                <w:spacing w:val="0"/>
                <w:sz w:val="16"/>
                <w:szCs w:val="16"/>
                <w:lang w:val="es-MX" w:eastAsia="es-MX"/>
              </w:rPr>
              <w:t>S.P</w:t>
            </w:r>
            <w:proofErr w:type="gramEnd"/>
          </w:p>
        </w:tc>
        <w:tc>
          <w:tcPr>
            <w:tcW w:w="1520" w:type="dxa"/>
            <w:tcBorders>
              <w:top w:val="nil"/>
              <w:left w:val="nil"/>
              <w:bottom w:val="single" w:sz="4" w:space="0" w:color="auto"/>
              <w:right w:val="single" w:sz="4" w:space="0" w:color="auto"/>
            </w:tcBorders>
            <w:shd w:val="clear" w:color="000000" w:fill="F2F2F2"/>
            <w:noWrap/>
            <w:vAlign w:val="center"/>
            <w:hideMark/>
          </w:tcPr>
          <w:p w14:paraId="30C5036D"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$ 58.416.000</w:t>
            </w:r>
          </w:p>
        </w:tc>
        <w:tc>
          <w:tcPr>
            <w:tcW w:w="1440" w:type="dxa"/>
            <w:tcBorders>
              <w:top w:val="nil"/>
              <w:left w:val="nil"/>
              <w:bottom w:val="single" w:sz="4" w:space="0" w:color="auto"/>
              <w:right w:val="single" w:sz="4" w:space="0" w:color="auto"/>
            </w:tcBorders>
            <w:shd w:val="clear" w:color="000000" w:fill="F2F2F2"/>
            <w:noWrap/>
            <w:vAlign w:val="center"/>
            <w:hideMark/>
          </w:tcPr>
          <w:p w14:paraId="11213CD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$ 19.803.332</w:t>
            </w:r>
          </w:p>
        </w:tc>
        <w:tc>
          <w:tcPr>
            <w:tcW w:w="1460" w:type="dxa"/>
            <w:tcBorders>
              <w:top w:val="nil"/>
              <w:left w:val="nil"/>
              <w:bottom w:val="single" w:sz="4" w:space="0" w:color="auto"/>
              <w:right w:val="single" w:sz="4" w:space="0" w:color="auto"/>
            </w:tcBorders>
            <w:shd w:val="clear" w:color="000000" w:fill="F2F2F2"/>
            <w:noWrap/>
            <w:vAlign w:val="center"/>
            <w:hideMark/>
          </w:tcPr>
          <w:p w14:paraId="432818EA"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$ 78.219.332</w:t>
            </w:r>
          </w:p>
        </w:tc>
        <w:tc>
          <w:tcPr>
            <w:tcW w:w="1260" w:type="dxa"/>
            <w:tcBorders>
              <w:top w:val="nil"/>
              <w:left w:val="nil"/>
              <w:bottom w:val="single" w:sz="4" w:space="0" w:color="auto"/>
              <w:right w:val="single" w:sz="4" w:space="0" w:color="auto"/>
            </w:tcBorders>
            <w:shd w:val="clear" w:color="000000" w:fill="F2F2F2"/>
            <w:noWrap/>
            <w:vAlign w:val="center"/>
            <w:hideMark/>
          </w:tcPr>
          <w:p w14:paraId="745098CE"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$ 782.193</w:t>
            </w:r>
          </w:p>
        </w:tc>
        <w:tc>
          <w:tcPr>
            <w:tcW w:w="1120" w:type="dxa"/>
            <w:tcBorders>
              <w:top w:val="nil"/>
              <w:left w:val="nil"/>
              <w:bottom w:val="single" w:sz="4" w:space="0" w:color="auto"/>
              <w:right w:val="single" w:sz="4" w:space="0" w:color="auto"/>
            </w:tcBorders>
            <w:shd w:val="clear" w:color="000000" w:fill="F2F2F2"/>
            <w:noWrap/>
            <w:vAlign w:val="center"/>
            <w:hideMark/>
          </w:tcPr>
          <w:p w14:paraId="530301D5"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$ 33</w:t>
            </w:r>
          </w:p>
        </w:tc>
        <w:tc>
          <w:tcPr>
            <w:tcW w:w="1260" w:type="dxa"/>
            <w:tcBorders>
              <w:top w:val="nil"/>
              <w:left w:val="nil"/>
              <w:bottom w:val="single" w:sz="4" w:space="0" w:color="auto"/>
              <w:right w:val="single" w:sz="4" w:space="0" w:color="auto"/>
            </w:tcBorders>
            <w:shd w:val="clear" w:color="000000" w:fill="F2F2F2"/>
            <w:noWrap/>
            <w:vAlign w:val="center"/>
            <w:hideMark/>
          </w:tcPr>
          <w:p w14:paraId="356A30E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$ 782.226</w:t>
            </w:r>
          </w:p>
        </w:tc>
        <w:tc>
          <w:tcPr>
            <w:tcW w:w="1920" w:type="dxa"/>
            <w:tcBorders>
              <w:top w:val="nil"/>
              <w:left w:val="nil"/>
              <w:bottom w:val="single" w:sz="4" w:space="0" w:color="auto"/>
              <w:right w:val="single" w:sz="4" w:space="0" w:color="auto"/>
            </w:tcBorders>
            <w:shd w:val="clear" w:color="000000" w:fill="F2F2F2"/>
            <w:vAlign w:val="center"/>
            <w:hideMark/>
          </w:tcPr>
          <w:p w14:paraId="45E2F6AB"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w:t>
            </w:r>
          </w:p>
        </w:tc>
      </w:tr>
      <w:tr w:rsidR="00D705A6" w:rsidRPr="002E0BB9" w14:paraId="73722613" w14:textId="77777777" w:rsidTr="007D1249">
        <w:trPr>
          <w:trHeight w:val="4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26910E70"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260</w:t>
            </w:r>
          </w:p>
        </w:tc>
        <w:tc>
          <w:tcPr>
            <w:tcW w:w="560" w:type="dxa"/>
            <w:tcBorders>
              <w:top w:val="nil"/>
              <w:left w:val="nil"/>
              <w:bottom w:val="single" w:sz="4" w:space="0" w:color="auto"/>
              <w:right w:val="single" w:sz="4" w:space="0" w:color="auto"/>
            </w:tcBorders>
            <w:shd w:val="clear" w:color="000000" w:fill="F2F2F2"/>
            <w:noWrap/>
            <w:vAlign w:val="center"/>
            <w:hideMark/>
          </w:tcPr>
          <w:p w14:paraId="25E3AABE"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41797</w:t>
            </w:r>
          </w:p>
        </w:tc>
        <w:tc>
          <w:tcPr>
            <w:tcW w:w="920" w:type="dxa"/>
            <w:tcBorders>
              <w:top w:val="nil"/>
              <w:left w:val="nil"/>
              <w:bottom w:val="single" w:sz="4" w:space="0" w:color="auto"/>
              <w:right w:val="single" w:sz="4" w:space="0" w:color="auto"/>
            </w:tcBorders>
            <w:shd w:val="clear" w:color="000000" w:fill="F2F2F2"/>
            <w:noWrap/>
            <w:vAlign w:val="center"/>
            <w:hideMark/>
          </w:tcPr>
          <w:p w14:paraId="2A19FC8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901007478</w:t>
            </w:r>
          </w:p>
        </w:tc>
        <w:tc>
          <w:tcPr>
            <w:tcW w:w="2180" w:type="dxa"/>
            <w:tcBorders>
              <w:top w:val="nil"/>
              <w:left w:val="nil"/>
              <w:bottom w:val="single" w:sz="4" w:space="0" w:color="auto"/>
              <w:right w:val="single" w:sz="4" w:space="0" w:color="auto"/>
            </w:tcBorders>
            <w:shd w:val="clear" w:color="000000" w:fill="F2F2F2"/>
            <w:vAlign w:val="center"/>
            <w:hideMark/>
          </w:tcPr>
          <w:p w14:paraId="41F8FDFD"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GRUPO ENERGÉTICO DE LAS AMERICAS SAS ESP</w:t>
            </w:r>
          </w:p>
        </w:tc>
        <w:tc>
          <w:tcPr>
            <w:tcW w:w="1520" w:type="dxa"/>
            <w:tcBorders>
              <w:top w:val="nil"/>
              <w:left w:val="nil"/>
              <w:bottom w:val="single" w:sz="4" w:space="0" w:color="auto"/>
              <w:right w:val="single" w:sz="4" w:space="0" w:color="auto"/>
            </w:tcBorders>
            <w:shd w:val="clear" w:color="000000" w:fill="F2F2F2"/>
            <w:noWrap/>
            <w:vAlign w:val="center"/>
            <w:hideMark/>
          </w:tcPr>
          <w:p w14:paraId="0834A8EE"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$ 4.640.802.000</w:t>
            </w:r>
          </w:p>
        </w:tc>
        <w:tc>
          <w:tcPr>
            <w:tcW w:w="1440" w:type="dxa"/>
            <w:tcBorders>
              <w:top w:val="nil"/>
              <w:left w:val="nil"/>
              <w:bottom w:val="single" w:sz="4" w:space="0" w:color="auto"/>
              <w:right w:val="single" w:sz="4" w:space="0" w:color="auto"/>
            </w:tcBorders>
            <w:shd w:val="clear" w:color="000000" w:fill="F2F2F2"/>
            <w:noWrap/>
            <w:vAlign w:val="center"/>
            <w:hideMark/>
          </w:tcPr>
          <w:p w14:paraId="67417A0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$ 2.127.369.793</w:t>
            </w:r>
          </w:p>
        </w:tc>
        <w:tc>
          <w:tcPr>
            <w:tcW w:w="1460" w:type="dxa"/>
            <w:tcBorders>
              <w:top w:val="nil"/>
              <w:left w:val="nil"/>
              <w:bottom w:val="single" w:sz="4" w:space="0" w:color="auto"/>
              <w:right w:val="single" w:sz="4" w:space="0" w:color="auto"/>
            </w:tcBorders>
            <w:shd w:val="clear" w:color="000000" w:fill="F2F2F2"/>
            <w:noWrap/>
            <w:vAlign w:val="center"/>
            <w:hideMark/>
          </w:tcPr>
          <w:p w14:paraId="55F2D73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$ 6.768.171.793</w:t>
            </w:r>
          </w:p>
        </w:tc>
        <w:tc>
          <w:tcPr>
            <w:tcW w:w="1260" w:type="dxa"/>
            <w:tcBorders>
              <w:top w:val="nil"/>
              <w:left w:val="nil"/>
              <w:bottom w:val="single" w:sz="4" w:space="0" w:color="auto"/>
              <w:right w:val="single" w:sz="4" w:space="0" w:color="auto"/>
            </w:tcBorders>
            <w:shd w:val="clear" w:color="000000" w:fill="F2F2F2"/>
            <w:noWrap/>
            <w:vAlign w:val="center"/>
            <w:hideMark/>
          </w:tcPr>
          <w:p w14:paraId="6036A102"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$ 67.681.718</w:t>
            </w:r>
          </w:p>
        </w:tc>
        <w:tc>
          <w:tcPr>
            <w:tcW w:w="1120" w:type="dxa"/>
            <w:tcBorders>
              <w:top w:val="nil"/>
              <w:left w:val="nil"/>
              <w:bottom w:val="single" w:sz="4" w:space="0" w:color="auto"/>
              <w:right w:val="single" w:sz="4" w:space="0" w:color="auto"/>
            </w:tcBorders>
            <w:shd w:val="clear" w:color="000000" w:fill="F2F2F2"/>
            <w:noWrap/>
            <w:vAlign w:val="center"/>
            <w:hideMark/>
          </w:tcPr>
          <w:p w14:paraId="2ACBAFA1"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$ 2.817</w:t>
            </w:r>
          </w:p>
        </w:tc>
        <w:tc>
          <w:tcPr>
            <w:tcW w:w="1260" w:type="dxa"/>
            <w:tcBorders>
              <w:top w:val="nil"/>
              <w:left w:val="nil"/>
              <w:bottom w:val="single" w:sz="4" w:space="0" w:color="auto"/>
              <w:right w:val="single" w:sz="4" w:space="0" w:color="auto"/>
            </w:tcBorders>
            <w:shd w:val="clear" w:color="000000" w:fill="F2F2F2"/>
            <w:noWrap/>
            <w:vAlign w:val="center"/>
            <w:hideMark/>
          </w:tcPr>
          <w:p w14:paraId="631D8E86"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$ 67.684.535</w:t>
            </w:r>
          </w:p>
        </w:tc>
        <w:tc>
          <w:tcPr>
            <w:tcW w:w="1920" w:type="dxa"/>
            <w:tcBorders>
              <w:top w:val="nil"/>
              <w:left w:val="nil"/>
              <w:bottom w:val="single" w:sz="4" w:space="0" w:color="auto"/>
              <w:right w:val="single" w:sz="4" w:space="0" w:color="auto"/>
            </w:tcBorders>
            <w:shd w:val="clear" w:color="000000" w:fill="F2F2F2"/>
            <w:vAlign w:val="center"/>
            <w:hideMark/>
          </w:tcPr>
          <w:p w14:paraId="7FF19F1D"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GAS POR REDES</w:t>
            </w:r>
          </w:p>
        </w:tc>
      </w:tr>
      <w:tr w:rsidR="00D705A6" w:rsidRPr="002E0BB9" w14:paraId="7F886F41" w14:textId="77777777" w:rsidTr="00053706">
        <w:trPr>
          <w:trHeight w:val="195"/>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7D2BA18E"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261</w:t>
            </w:r>
          </w:p>
        </w:tc>
        <w:tc>
          <w:tcPr>
            <w:tcW w:w="560" w:type="dxa"/>
            <w:tcBorders>
              <w:top w:val="nil"/>
              <w:left w:val="nil"/>
              <w:bottom w:val="single" w:sz="4" w:space="0" w:color="auto"/>
              <w:right w:val="single" w:sz="4" w:space="0" w:color="auto"/>
            </w:tcBorders>
            <w:shd w:val="clear" w:color="000000" w:fill="F2F2F2"/>
            <w:noWrap/>
            <w:vAlign w:val="center"/>
            <w:hideMark/>
          </w:tcPr>
          <w:p w14:paraId="0DE1D221"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36775</w:t>
            </w:r>
          </w:p>
        </w:tc>
        <w:tc>
          <w:tcPr>
            <w:tcW w:w="920" w:type="dxa"/>
            <w:tcBorders>
              <w:top w:val="nil"/>
              <w:left w:val="nil"/>
              <w:bottom w:val="single" w:sz="4" w:space="0" w:color="auto"/>
              <w:right w:val="single" w:sz="4" w:space="0" w:color="auto"/>
            </w:tcBorders>
            <w:shd w:val="clear" w:color="000000" w:fill="F2F2F2"/>
            <w:noWrap/>
            <w:vAlign w:val="center"/>
            <w:hideMark/>
          </w:tcPr>
          <w:p w14:paraId="2B46F41C"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901008978</w:t>
            </w:r>
          </w:p>
        </w:tc>
        <w:tc>
          <w:tcPr>
            <w:tcW w:w="2180" w:type="dxa"/>
            <w:tcBorders>
              <w:top w:val="nil"/>
              <w:left w:val="nil"/>
              <w:bottom w:val="single" w:sz="4" w:space="0" w:color="auto"/>
              <w:right w:val="single" w:sz="4" w:space="0" w:color="auto"/>
            </w:tcBorders>
            <w:shd w:val="clear" w:color="000000" w:fill="F2F2F2"/>
            <w:vAlign w:val="center"/>
            <w:hideMark/>
          </w:tcPr>
          <w:p w14:paraId="5C0FB1E2"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SIMER COLOMBIA SAS ESP</w:t>
            </w:r>
          </w:p>
        </w:tc>
        <w:tc>
          <w:tcPr>
            <w:tcW w:w="1520" w:type="dxa"/>
            <w:tcBorders>
              <w:top w:val="nil"/>
              <w:left w:val="nil"/>
              <w:bottom w:val="single" w:sz="4" w:space="0" w:color="auto"/>
              <w:right w:val="single" w:sz="4" w:space="0" w:color="auto"/>
            </w:tcBorders>
            <w:shd w:val="clear" w:color="000000" w:fill="F2F2F2"/>
            <w:noWrap/>
            <w:vAlign w:val="center"/>
            <w:hideMark/>
          </w:tcPr>
          <w:p w14:paraId="61281187"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$ 854.602.555</w:t>
            </w:r>
          </w:p>
        </w:tc>
        <w:tc>
          <w:tcPr>
            <w:tcW w:w="1440" w:type="dxa"/>
            <w:tcBorders>
              <w:top w:val="nil"/>
              <w:left w:val="nil"/>
              <w:bottom w:val="single" w:sz="4" w:space="0" w:color="auto"/>
              <w:right w:val="single" w:sz="4" w:space="0" w:color="auto"/>
            </w:tcBorders>
            <w:shd w:val="clear" w:color="000000" w:fill="F2F2F2"/>
            <w:noWrap/>
            <w:vAlign w:val="center"/>
            <w:hideMark/>
          </w:tcPr>
          <w:p w14:paraId="59354D7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$ 40.238.043</w:t>
            </w:r>
          </w:p>
        </w:tc>
        <w:tc>
          <w:tcPr>
            <w:tcW w:w="1460" w:type="dxa"/>
            <w:tcBorders>
              <w:top w:val="nil"/>
              <w:left w:val="nil"/>
              <w:bottom w:val="single" w:sz="4" w:space="0" w:color="auto"/>
              <w:right w:val="single" w:sz="4" w:space="0" w:color="auto"/>
            </w:tcBorders>
            <w:shd w:val="clear" w:color="000000" w:fill="F2F2F2"/>
            <w:noWrap/>
            <w:vAlign w:val="center"/>
            <w:hideMark/>
          </w:tcPr>
          <w:p w14:paraId="6CEAD8BA"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$ 894.840.598</w:t>
            </w:r>
          </w:p>
        </w:tc>
        <w:tc>
          <w:tcPr>
            <w:tcW w:w="1260" w:type="dxa"/>
            <w:tcBorders>
              <w:top w:val="nil"/>
              <w:left w:val="nil"/>
              <w:bottom w:val="single" w:sz="4" w:space="0" w:color="auto"/>
              <w:right w:val="single" w:sz="4" w:space="0" w:color="auto"/>
            </w:tcBorders>
            <w:shd w:val="clear" w:color="000000" w:fill="F2F2F2"/>
            <w:noWrap/>
            <w:vAlign w:val="center"/>
            <w:hideMark/>
          </w:tcPr>
          <w:p w14:paraId="08893E6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$ 8.948.406</w:t>
            </w:r>
          </w:p>
        </w:tc>
        <w:tc>
          <w:tcPr>
            <w:tcW w:w="1120" w:type="dxa"/>
            <w:tcBorders>
              <w:top w:val="nil"/>
              <w:left w:val="nil"/>
              <w:bottom w:val="single" w:sz="4" w:space="0" w:color="auto"/>
              <w:right w:val="single" w:sz="4" w:space="0" w:color="auto"/>
            </w:tcBorders>
            <w:shd w:val="clear" w:color="000000" w:fill="F2F2F2"/>
            <w:noWrap/>
            <w:vAlign w:val="center"/>
            <w:hideMark/>
          </w:tcPr>
          <w:p w14:paraId="142AA472"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$ 372</w:t>
            </w:r>
          </w:p>
        </w:tc>
        <w:tc>
          <w:tcPr>
            <w:tcW w:w="1260" w:type="dxa"/>
            <w:tcBorders>
              <w:top w:val="nil"/>
              <w:left w:val="nil"/>
              <w:bottom w:val="single" w:sz="4" w:space="0" w:color="auto"/>
              <w:right w:val="single" w:sz="4" w:space="0" w:color="auto"/>
            </w:tcBorders>
            <w:shd w:val="clear" w:color="000000" w:fill="F2F2F2"/>
            <w:noWrap/>
            <w:vAlign w:val="center"/>
            <w:hideMark/>
          </w:tcPr>
          <w:p w14:paraId="42F36C66"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$ 8.948.778</w:t>
            </w:r>
          </w:p>
        </w:tc>
        <w:tc>
          <w:tcPr>
            <w:tcW w:w="1920" w:type="dxa"/>
            <w:tcBorders>
              <w:top w:val="nil"/>
              <w:left w:val="nil"/>
              <w:bottom w:val="single" w:sz="4" w:space="0" w:color="auto"/>
              <w:right w:val="single" w:sz="4" w:space="0" w:color="auto"/>
            </w:tcBorders>
            <w:shd w:val="clear" w:color="000000" w:fill="F2F2F2"/>
            <w:vAlign w:val="center"/>
            <w:hideMark/>
          </w:tcPr>
          <w:p w14:paraId="0F926DBC"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GAS POR REDES</w:t>
            </w:r>
          </w:p>
        </w:tc>
      </w:tr>
      <w:tr w:rsidR="00D705A6" w:rsidRPr="002E0BB9" w14:paraId="6A121B78" w14:textId="77777777" w:rsidTr="007D1249">
        <w:trPr>
          <w:trHeight w:val="2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30210607"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262</w:t>
            </w:r>
          </w:p>
        </w:tc>
        <w:tc>
          <w:tcPr>
            <w:tcW w:w="560" w:type="dxa"/>
            <w:tcBorders>
              <w:top w:val="nil"/>
              <w:left w:val="nil"/>
              <w:bottom w:val="single" w:sz="4" w:space="0" w:color="auto"/>
              <w:right w:val="single" w:sz="4" w:space="0" w:color="auto"/>
            </w:tcBorders>
            <w:shd w:val="clear" w:color="000000" w:fill="F2F2F2"/>
            <w:noWrap/>
            <w:vAlign w:val="center"/>
            <w:hideMark/>
          </w:tcPr>
          <w:p w14:paraId="7DF1064B"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35253</w:t>
            </w:r>
          </w:p>
        </w:tc>
        <w:tc>
          <w:tcPr>
            <w:tcW w:w="920" w:type="dxa"/>
            <w:tcBorders>
              <w:top w:val="nil"/>
              <w:left w:val="nil"/>
              <w:bottom w:val="single" w:sz="4" w:space="0" w:color="auto"/>
              <w:right w:val="single" w:sz="4" w:space="0" w:color="auto"/>
            </w:tcBorders>
            <w:shd w:val="clear" w:color="000000" w:fill="F2F2F2"/>
            <w:noWrap/>
            <w:vAlign w:val="center"/>
            <w:hideMark/>
          </w:tcPr>
          <w:p w14:paraId="228B5D97"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901009473</w:t>
            </w:r>
          </w:p>
        </w:tc>
        <w:tc>
          <w:tcPr>
            <w:tcW w:w="2180" w:type="dxa"/>
            <w:tcBorders>
              <w:top w:val="nil"/>
              <w:left w:val="nil"/>
              <w:bottom w:val="single" w:sz="4" w:space="0" w:color="auto"/>
              <w:right w:val="single" w:sz="4" w:space="0" w:color="auto"/>
            </w:tcBorders>
            <w:shd w:val="clear" w:color="000000" w:fill="F2F2F2"/>
            <w:vAlign w:val="center"/>
            <w:hideMark/>
          </w:tcPr>
          <w:p w14:paraId="57922486"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ELECNORTE S.A.S. ESP</w:t>
            </w:r>
          </w:p>
        </w:tc>
        <w:tc>
          <w:tcPr>
            <w:tcW w:w="1520" w:type="dxa"/>
            <w:tcBorders>
              <w:top w:val="nil"/>
              <w:left w:val="nil"/>
              <w:bottom w:val="single" w:sz="4" w:space="0" w:color="auto"/>
              <w:right w:val="single" w:sz="4" w:space="0" w:color="auto"/>
            </w:tcBorders>
            <w:shd w:val="clear" w:color="000000" w:fill="F2F2F2"/>
            <w:noWrap/>
            <w:vAlign w:val="center"/>
            <w:hideMark/>
          </w:tcPr>
          <w:p w14:paraId="1C900B2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$ 6.131.655.000</w:t>
            </w:r>
          </w:p>
        </w:tc>
        <w:tc>
          <w:tcPr>
            <w:tcW w:w="1440" w:type="dxa"/>
            <w:tcBorders>
              <w:top w:val="nil"/>
              <w:left w:val="nil"/>
              <w:bottom w:val="single" w:sz="4" w:space="0" w:color="auto"/>
              <w:right w:val="single" w:sz="4" w:space="0" w:color="auto"/>
            </w:tcBorders>
            <w:shd w:val="clear" w:color="000000" w:fill="F2F2F2"/>
            <w:noWrap/>
            <w:vAlign w:val="center"/>
            <w:hideMark/>
          </w:tcPr>
          <w:p w14:paraId="5D080B1D"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$ 0</w:t>
            </w:r>
          </w:p>
        </w:tc>
        <w:tc>
          <w:tcPr>
            <w:tcW w:w="1460" w:type="dxa"/>
            <w:tcBorders>
              <w:top w:val="nil"/>
              <w:left w:val="nil"/>
              <w:bottom w:val="single" w:sz="4" w:space="0" w:color="auto"/>
              <w:right w:val="single" w:sz="4" w:space="0" w:color="auto"/>
            </w:tcBorders>
            <w:shd w:val="clear" w:color="000000" w:fill="F2F2F2"/>
            <w:noWrap/>
            <w:vAlign w:val="center"/>
            <w:hideMark/>
          </w:tcPr>
          <w:p w14:paraId="189F49BB"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$ 6.131.655.000</w:t>
            </w:r>
          </w:p>
        </w:tc>
        <w:tc>
          <w:tcPr>
            <w:tcW w:w="1260" w:type="dxa"/>
            <w:tcBorders>
              <w:top w:val="nil"/>
              <w:left w:val="nil"/>
              <w:bottom w:val="single" w:sz="4" w:space="0" w:color="auto"/>
              <w:right w:val="single" w:sz="4" w:space="0" w:color="auto"/>
            </w:tcBorders>
            <w:shd w:val="clear" w:color="000000" w:fill="F2F2F2"/>
            <w:noWrap/>
            <w:vAlign w:val="center"/>
            <w:hideMark/>
          </w:tcPr>
          <w:p w14:paraId="31DC378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$ 61.316.550</w:t>
            </w:r>
          </w:p>
        </w:tc>
        <w:tc>
          <w:tcPr>
            <w:tcW w:w="1120" w:type="dxa"/>
            <w:tcBorders>
              <w:top w:val="nil"/>
              <w:left w:val="nil"/>
              <w:bottom w:val="single" w:sz="4" w:space="0" w:color="auto"/>
              <w:right w:val="single" w:sz="4" w:space="0" w:color="auto"/>
            </w:tcBorders>
            <w:shd w:val="clear" w:color="000000" w:fill="F2F2F2"/>
            <w:noWrap/>
            <w:vAlign w:val="center"/>
            <w:hideMark/>
          </w:tcPr>
          <w:p w14:paraId="684A9FB6"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$ 2.552</w:t>
            </w:r>
          </w:p>
        </w:tc>
        <w:tc>
          <w:tcPr>
            <w:tcW w:w="1260" w:type="dxa"/>
            <w:tcBorders>
              <w:top w:val="nil"/>
              <w:left w:val="nil"/>
              <w:bottom w:val="single" w:sz="4" w:space="0" w:color="auto"/>
              <w:right w:val="single" w:sz="4" w:space="0" w:color="auto"/>
            </w:tcBorders>
            <w:shd w:val="clear" w:color="000000" w:fill="F2F2F2"/>
            <w:noWrap/>
            <w:vAlign w:val="center"/>
            <w:hideMark/>
          </w:tcPr>
          <w:p w14:paraId="11DE0461"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$ 61.319.102</w:t>
            </w:r>
          </w:p>
        </w:tc>
        <w:tc>
          <w:tcPr>
            <w:tcW w:w="1920" w:type="dxa"/>
            <w:tcBorders>
              <w:top w:val="nil"/>
              <w:left w:val="nil"/>
              <w:bottom w:val="single" w:sz="4" w:space="0" w:color="auto"/>
              <w:right w:val="single" w:sz="4" w:space="0" w:color="auto"/>
            </w:tcBorders>
            <w:shd w:val="clear" w:color="000000" w:fill="F2F2F2"/>
            <w:vAlign w:val="center"/>
            <w:hideMark/>
          </w:tcPr>
          <w:p w14:paraId="0D5AA900"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w:t>
            </w:r>
          </w:p>
        </w:tc>
      </w:tr>
      <w:tr w:rsidR="00D705A6" w:rsidRPr="002E0BB9" w14:paraId="1AB7DF7F" w14:textId="77777777" w:rsidTr="007D1249">
        <w:trPr>
          <w:trHeight w:val="2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53B4CCD1"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263</w:t>
            </w:r>
          </w:p>
        </w:tc>
        <w:tc>
          <w:tcPr>
            <w:tcW w:w="560" w:type="dxa"/>
            <w:tcBorders>
              <w:top w:val="nil"/>
              <w:left w:val="nil"/>
              <w:bottom w:val="single" w:sz="4" w:space="0" w:color="auto"/>
              <w:right w:val="single" w:sz="4" w:space="0" w:color="auto"/>
            </w:tcBorders>
            <w:shd w:val="clear" w:color="000000" w:fill="F2F2F2"/>
            <w:noWrap/>
            <w:vAlign w:val="center"/>
            <w:hideMark/>
          </w:tcPr>
          <w:p w14:paraId="5A22624A"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36033</w:t>
            </w:r>
          </w:p>
        </w:tc>
        <w:tc>
          <w:tcPr>
            <w:tcW w:w="920" w:type="dxa"/>
            <w:tcBorders>
              <w:top w:val="nil"/>
              <w:left w:val="nil"/>
              <w:bottom w:val="single" w:sz="4" w:space="0" w:color="auto"/>
              <w:right w:val="single" w:sz="4" w:space="0" w:color="auto"/>
            </w:tcBorders>
            <w:shd w:val="clear" w:color="000000" w:fill="F2F2F2"/>
            <w:noWrap/>
            <w:vAlign w:val="center"/>
            <w:hideMark/>
          </w:tcPr>
          <w:p w14:paraId="74218E17"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901020967</w:t>
            </w:r>
          </w:p>
        </w:tc>
        <w:tc>
          <w:tcPr>
            <w:tcW w:w="2180" w:type="dxa"/>
            <w:tcBorders>
              <w:top w:val="nil"/>
              <w:left w:val="nil"/>
              <w:bottom w:val="single" w:sz="4" w:space="0" w:color="auto"/>
              <w:right w:val="single" w:sz="4" w:space="0" w:color="auto"/>
            </w:tcBorders>
            <w:shd w:val="clear" w:color="000000" w:fill="F2F2F2"/>
            <w:vAlign w:val="center"/>
            <w:hideMark/>
          </w:tcPr>
          <w:p w14:paraId="4655070F"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COMPRIGAS S.A.S.  E.S.P.</w:t>
            </w:r>
          </w:p>
        </w:tc>
        <w:tc>
          <w:tcPr>
            <w:tcW w:w="1520" w:type="dxa"/>
            <w:tcBorders>
              <w:top w:val="nil"/>
              <w:left w:val="nil"/>
              <w:bottom w:val="single" w:sz="4" w:space="0" w:color="auto"/>
              <w:right w:val="single" w:sz="4" w:space="0" w:color="auto"/>
            </w:tcBorders>
            <w:shd w:val="clear" w:color="000000" w:fill="F2F2F2"/>
            <w:noWrap/>
            <w:vAlign w:val="center"/>
            <w:hideMark/>
          </w:tcPr>
          <w:p w14:paraId="46FCAA4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$ 109.882.000</w:t>
            </w:r>
          </w:p>
        </w:tc>
        <w:tc>
          <w:tcPr>
            <w:tcW w:w="1440" w:type="dxa"/>
            <w:tcBorders>
              <w:top w:val="nil"/>
              <w:left w:val="nil"/>
              <w:bottom w:val="single" w:sz="4" w:space="0" w:color="auto"/>
              <w:right w:val="single" w:sz="4" w:space="0" w:color="auto"/>
            </w:tcBorders>
            <w:shd w:val="clear" w:color="000000" w:fill="F2F2F2"/>
            <w:noWrap/>
            <w:vAlign w:val="center"/>
            <w:hideMark/>
          </w:tcPr>
          <w:p w14:paraId="661D7235"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$ 13.621.043</w:t>
            </w:r>
          </w:p>
        </w:tc>
        <w:tc>
          <w:tcPr>
            <w:tcW w:w="1460" w:type="dxa"/>
            <w:tcBorders>
              <w:top w:val="nil"/>
              <w:left w:val="nil"/>
              <w:bottom w:val="single" w:sz="4" w:space="0" w:color="auto"/>
              <w:right w:val="single" w:sz="4" w:space="0" w:color="auto"/>
            </w:tcBorders>
            <w:shd w:val="clear" w:color="000000" w:fill="F2F2F2"/>
            <w:noWrap/>
            <w:vAlign w:val="center"/>
            <w:hideMark/>
          </w:tcPr>
          <w:p w14:paraId="12B3443B"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$ 123.503.043</w:t>
            </w:r>
          </w:p>
        </w:tc>
        <w:tc>
          <w:tcPr>
            <w:tcW w:w="1260" w:type="dxa"/>
            <w:tcBorders>
              <w:top w:val="nil"/>
              <w:left w:val="nil"/>
              <w:bottom w:val="single" w:sz="4" w:space="0" w:color="auto"/>
              <w:right w:val="single" w:sz="4" w:space="0" w:color="auto"/>
            </w:tcBorders>
            <w:shd w:val="clear" w:color="000000" w:fill="F2F2F2"/>
            <w:noWrap/>
            <w:vAlign w:val="center"/>
            <w:hideMark/>
          </w:tcPr>
          <w:p w14:paraId="024D5145"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$ 1.235.030</w:t>
            </w:r>
          </w:p>
        </w:tc>
        <w:tc>
          <w:tcPr>
            <w:tcW w:w="1120" w:type="dxa"/>
            <w:tcBorders>
              <w:top w:val="nil"/>
              <w:left w:val="nil"/>
              <w:bottom w:val="single" w:sz="4" w:space="0" w:color="auto"/>
              <w:right w:val="single" w:sz="4" w:space="0" w:color="auto"/>
            </w:tcBorders>
            <w:shd w:val="clear" w:color="000000" w:fill="F2F2F2"/>
            <w:noWrap/>
            <w:vAlign w:val="center"/>
            <w:hideMark/>
          </w:tcPr>
          <w:p w14:paraId="6B3382A1"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$ 51</w:t>
            </w:r>
          </w:p>
        </w:tc>
        <w:tc>
          <w:tcPr>
            <w:tcW w:w="1260" w:type="dxa"/>
            <w:tcBorders>
              <w:top w:val="nil"/>
              <w:left w:val="nil"/>
              <w:bottom w:val="single" w:sz="4" w:space="0" w:color="auto"/>
              <w:right w:val="single" w:sz="4" w:space="0" w:color="auto"/>
            </w:tcBorders>
            <w:shd w:val="clear" w:color="000000" w:fill="F2F2F2"/>
            <w:noWrap/>
            <w:vAlign w:val="center"/>
            <w:hideMark/>
          </w:tcPr>
          <w:p w14:paraId="32274E0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$ 1.235.082</w:t>
            </w:r>
          </w:p>
        </w:tc>
        <w:tc>
          <w:tcPr>
            <w:tcW w:w="1920" w:type="dxa"/>
            <w:tcBorders>
              <w:top w:val="nil"/>
              <w:left w:val="nil"/>
              <w:bottom w:val="single" w:sz="4" w:space="0" w:color="auto"/>
              <w:right w:val="single" w:sz="4" w:space="0" w:color="auto"/>
            </w:tcBorders>
            <w:shd w:val="clear" w:color="000000" w:fill="F2F2F2"/>
            <w:vAlign w:val="center"/>
            <w:hideMark/>
          </w:tcPr>
          <w:p w14:paraId="28E956E9"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GAS POR REDES</w:t>
            </w:r>
          </w:p>
        </w:tc>
      </w:tr>
      <w:tr w:rsidR="00D705A6" w:rsidRPr="002E0BB9" w14:paraId="717BB198" w14:textId="77777777" w:rsidTr="007D1249">
        <w:trPr>
          <w:trHeight w:val="4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1B05BD1E"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264</w:t>
            </w:r>
          </w:p>
        </w:tc>
        <w:tc>
          <w:tcPr>
            <w:tcW w:w="560" w:type="dxa"/>
            <w:tcBorders>
              <w:top w:val="nil"/>
              <w:left w:val="nil"/>
              <w:bottom w:val="single" w:sz="4" w:space="0" w:color="auto"/>
              <w:right w:val="single" w:sz="4" w:space="0" w:color="auto"/>
            </w:tcBorders>
            <w:shd w:val="clear" w:color="000000" w:fill="F2F2F2"/>
            <w:noWrap/>
            <w:vAlign w:val="center"/>
            <w:hideMark/>
          </w:tcPr>
          <w:p w14:paraId="4634E14B"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40516</w:t>
            </w:r>
          </w:p>
        </w:tc>
        <w:tc>
          <w:tcPr>
            <w:tcW w:w="920" w:type="dxa"/>
            <w:tcBorders>
              <w:top w:val="nil"/>
              <w:left w:val="nil"/>
              <w:bottom w:val="single" w:sz="4" w:space="0" w:color="auto"/>
              <w:right w:val="single" w:sz="4" w:space="0" w:color="auto"/>
            </w:tcBorders>
            <w:shd w:val="clear" w:color="000000" w:fill="F2F2F2"/>
            <w:noWrap/>
            <w:vAlign w:val="center"/>
            <w:hideMark/>
          </w:tcPr>
          <w:p w14:paraId="75B3D95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901021569</w:t>
            </w:r>
          </w:p>
        </w:tc>
        <w:tc>
          <w:tcPr>
            <w:tcW w:w="2180" w:type="dxa"/>
            <w:tcBorders>
              <w:top w:val="nil"/>
              <w:left w:val="nil"/>
              <w:bottom w:val="single" w:sz="4" w:space="0" w:color="auto"/>
              <w:right w:val="single" w:sz="4" w:space="0" w:color="auto"/>
            </w:tcBorders>
            <w:shd w:val="clear" w:color="000000" w:fill="F2F2F2"/>
            <w:vAlign w:val="center"/>
            <w:hideMark/>
          </w:tcPr>
          <w:p w14:paraId="0FA5589D"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GASTUMACO DEL PACIFICO SAS ESP</w:t>
            </w:r>
          </w:p>
        </w:tc>
        <w:tc>
          <w:tcPr>
            <w:tcW w:w="1520" w:type="dxa"/>
            <w:tcBorders>
              <w:top w:val="nil"/>
              <w:left w:val="nil"/>
              <w:bottom w:val="single" w:sz="4" w:space="0" w:color="auto"/>
              <w:right w:val="single" w:sz="4" w:space="0" w:color="auto"/>
            </w:tcBorders>
            <w:shd w:val="clear" w:color="000000" w:fill="F2F2F2"/>
            <w:noWrap/>
            <w:vAlign w:val="center"/>
            <w:hideMark/>
          </w:tcPr>
          <w:p w14:paraId="5545447E"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$ 172.137.000</w:t>
            </w:r>
          </w:p>
        </w:tc>
        <w:tc>
          <w:tcPr>
            <w:tcW w:w="1440" w:type="dxa"/>
            <w:tcBorders>
              <w:top w:val="nil"/>
              <w:left w:val="nil"/>
              <w:bottom w:val="single" w:sz="4" w:space="0" w:color="auto"/>
              <w:right w:val="single" w:sz="4" w:space="0" w:color="auto"/>
            </w:tcBorders>
            <w:shd w:val="clear" w:color="000000" w:fill="F2F2F2"/>
            <w:noWrap/>
            <w:vAlign w:val="center"/>
            <w:hideMark/>
          </w:tcPr>
          <w:p w14:paraId="5D617E3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$ 5.811.917</w:t>
            </w:r>
          </w:p>
        </w:tc>
        <w:tc>
          <w:tcPr>
            <w:tcW w:w="1460" w:type="dxa"/>
            <w:tcBorders>
              <w:top w:val="nil"/>
              <w:left w:val="nil"/>
              <w:bottom w:val="single" w:sz="4" w:space="0" w:color="auto"/>
              <w:right w:val="single" w:sz="4" w:space="0" w:color="auto"/>
            </w:tcBorders>
            <w:shd w:val="clear" w:color="000000" w:fill="F2F2F2"/>
            <w:noWrap/>
            <w:vAlign w:val="center"/>
            <w:hideMark/>
          </w:tcPr>
          <w:p w14:paraId="0034327E"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$ 177.948.917</w:t>
            </w:r>
          </w:p>
        </w:tc>
        <w:tc>
          <w:tcPr>
            <w:tcW w:w="1260" w:type="dxa"/>
            <w:tcBorders>
              <w:top w:val="nil"/>
              <w:left w:val="nil"/>
              <w:bottom w:val="single" w:sz="4" w:space="0" w:color="auto"/>
              <w:right w:val="single" w:sz="4" w:space="0" w:color="auto"/>
            </w:tcBorders>
            <w:shd w:val="clear" w:color="000000" w:fill="F2F2F2"/>
            <w:noWrap/>
            <w:vAlign w:val="center"/>
            <w:hideMark/>
          </w:tcPr>
          <w:p w14:paraId="6D81C0D2"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$ 1.779.489</w:t>
            </w:r>
          </w:p>
        </w:tc>
        <w:tc>
          <w:tcPr>
            <w:tcW w:w="1120" w:type="dxa"/>
            <w:tcBorders>
              <w:top w:val="nil"/>
              <w:left w:val="nil"/>
              <w:bottom w:val="single" w:sz="4" w:space="0" w:color="auto"/>
              <w:right w:val="single" w:sz="4" w:space="0" w:color="auto"/>
            </w:tcBorders>
            <w:shd w:val="clear" w:color="000000" w:fill="F2F2F2"/>
            <w:noWrap/>
            <w:vAlign w:val="center"/>
            <w:hideMark/>
          </w:tcPr>
          <w:p w14:paraId="25CF2936"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$ 74</w:t>
            </w:r>
          </w:p>
        </w:tc>
        <w:tc>
          <w:tcPr>
            <w:tcW w:w="1260" w:type="dxa"/>
            <w:tcBorders>
              <w:top w:val="nil"/>
              <w:left w:val="nil"/>
              <w:bottom w:val="single" w:sz="4" w:space="0" w:color="auto"/>
              <w:right w:val="single" w:sz="4" w:space="0" w:color="auto"/>
            </w:tcBorders>
            <w:shd w:val="clear" w:color="000000" w:fill="F2F2F2"/>
            <w:noWrap/>
            <w:vAlign w:val="center"/>
            <w:hideMark/>
          </w:tcPr>
          <w:p w14:paraId="176CB44B"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$ 1.779.563</w:t>
            </w:r>
          </w:p>
        </w:tc>
        <w:tc>
          <w:tcPr>
            <w:tcW w:w="1920" w:type="dxa"/>
            <w:tcBorders>
              <w:top w:val="nil"/>
              <w:left w:val="nil"/>
              <w:bottom w:val="single" w:sz="4" w:space="0" w:color="auto"/>
              <w:right w:val="single" w:sz="4" w:space="0" w:color="auto"/>
            </w:tcBorders>
            <w:shd w:val="clear" w:color="000000" w:fill="F2F2F2"/>
            <w:vAlign w:val="center"/>
            <w:hideMark/>
          </w:tcPr>
          <w:p w14:paraId="404D5326"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GAS POR REDES</w:t>
            </w:r>
          </w:p>
        </w:tc>
      </w:tr>
      <w:tr w:rsidR="00D705A6" w:rsidRPr="002E0BB9" w14:paraId="3E1381C7" w14:textId="77777777" w:rsidTr="007D1249">
        <w:trPr>
          <w:trHeight w:val="4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3158F76D"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265</w:t>
            </w:r>
          </w:p>
        </w:tc>
        <w:tc>
          <w:tcPr>
            <w:tcW w:w="560" w:type="dxa"/>
            <w:tcBorders>
              <w:top w:val="nil"/>
              <w:left w:val="nil"/>
              <w:bottom w:val="single" w:sz="4" w:space="0" w:color="auto"/>
              <w:right w:val="single" w:sz="4" w:space="0" w:color="auto"/>
            </w:tcBorders>
            <w:shd w:val="clear" w:color="000000" w:fill="F2F2F2"/>
            <w:noWrap/>
            <w:vAlign w:val="center"/>
            <w:hideMark/>
          </w:tcPr>
          <w:p w14:paraId="3D18D6F5"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36913</w:t>
            </w:r>
          </w:p>
        </w:tc>
        <w:tc>
          <w:tcPr>
            <w:tcW w:w="920" w:type="dxa"/>
            <w:tcBorders>
              <w:top w:val="nil"/>
              <w:left w:val="nil"/>
              <w:bottom w:val="single" w:sz="4" w:space="0" w:color="auto"/>
              <w:right w:val="single" w:sz="4" w:space="0" w:color="auto"/>
            </w:tcBorders>
            <w:shd w:val="clear" w:color="000000" w:fill="F2F2F2"/>
            <w:noWrap/>
            <w:vAlign w:val="center"/>
            <w:hideMark/>
          </w:tcPr>
          <w:p w14:paraId="7CFB3DFB"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901023319</w:t>
            </w:r>
          </w:p>
        </w:tc>
        <w:tc>
          <w:tcPr>
            <w:tcW w:w="2180" w:type="dxa"/>
            <w:tcBorders>
              <w:top w:val="nil"/>
              <w:left w:val="nil"/>
              <w:bottom w:val="single" w:sz="4" w:space="0" w:color="auto"/>
              <w:right w:val="single" w:sz="4" w:space="0" w:color="auto"/>
            </w:tcBorders>
            <w:shd w:val="clear" w:color="000000" w:fill="F2F2F2"/>
            <w:vAlign w:val="center"/>
            <w:hideMark/>
          </w:tcPr>
          <w:p w14:paraId="4D85C33D" w14:textId="77777777" w:rsidR="00D705A6" w:rsidRPr="002E0BB9" w:rsidRDefault="00D705A6" w:rsidP="00D22441">
            <w:pPr>
              <w:jc w:val="left"/>
              <w:rPr>
                <w:rFonts w:ascii="Arial Narrow" w:hAnsi="Arial Narrow" w:cs="Arial"/>
                <w:spacing w:val="0"/>
                <w:sz w:val="16"/>
                <w:szCs w:val="16"/>
                <w:lang w:val="en-GB" w:eastAsia="es-MX"/>
              </w:rPr>
            </w:pPr>
            <w:r w:rsidRPr="002E0BB9">
              <w:rPr>
                <w:rFonts w:ascii="Arial Narrow" w:hAnsi="Arial Narrow" w:cs="Arial"/>
                <w:spacing w:val="0"/>
                <w:sz w:val="16"/>
                <w:szCs w:val="16"/>
                <w:lang w:val="en-GB" w:eastAsia="es-MX"/>
              </w:rPr>
              <w:t>Energy for the Caribbean S.A.S. E.S.P.</w:t>
            </w:r>
          </w:p>
        </w:tc>
        <w:tc>
          <w:tcPr>
            <w:tcW w:w="1520" w:type="dxa"/>
            <w:tcBorders>
              <w:top w:val="nil"/>
              <w:left w:val="nil"/>
              <w:bottom w:val="single" w:sz="4" w:space="0" w:color="auto"/>
              <w:right w:val="single" w:sz="4" w:space="0" w:color="auto"/>
            </w:tcBorders>
            <w:shd w:val="clear" w:color="000000" w:fill="F2F2F2"/>
            <w:noWrap/>
            <w:vAlign w:val="center"/>
            <w:hideMark/>
          </w:tcPr>
          <w:p w14:paraId="1F9FDB25"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$ 639.434.000</w:t>
            </w:r>
          </w:p>
        </w:tc>
        <w:tc>
          <w:tcPr>
            <w:tcW w:w="1440" w:type="dxa"/>
            <w:tcBorders>
              <w:top w:val="nil"/>
              <w:left w:val="nil"/>
              <w:bottom w:val="single" w:sz="4" w:space="0" w:color="auto"/>
              <w:right w:val="single" w:sz="4" w:space="0" w:color="auto"/>
            </w:tcBorders>
            <w:shd w:val="clear" w:color="000000" w:fill="F2F2F2"/>
            <w:noWrap/>
            <w:vAlign w:val="center"/>
            <w:hideMark/>
          </w:tcPr>
          <w:p w14:paraId="52A6E811"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$ 0</w:t>
            </w:r>
          </w:p>
        </w:tc>
        <w:tc>
          <w:tcPr>
            <w:tcW w:w="1460" w:type="dxa"/>
            <w:tcBorders>
              <w:top w:val="nil"/>
              <w:left w:val="nil"/>
              <w:bottom w:val="single" w:sz="4" w:space="0" w:color="auto"/>
              <w:right w:val="single" w:sz="4" w:space="0" w:color="auto"/>
            </w:tcBorders>
            <w:shd w:val="clear" w:color="000000" w:fill="F2F2F2"/>
            <w:noWrap/>
            <w:vAlign w:val="center"/>
            <w:hideMark/>
          </w:tcPr>
          <w:p w14:paraId="6821B4E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$ 639.434.000</w:t>
            </w:r>
          </w:p>
        </w:tc>
        <w:tc>
          <w:tcPr>
            <w:tcW w:w="1260" w:type="dxa"/>
            <w:tcBorders>
              <w:top w:val="nil"/>
              <w:left w:val="nil"/>
              <w:bottom w:val="single" w:sz="4" w:space="0" w:color="auto"/>
              <w:right w:val="single" w:sz="4" w:space="0" w:color="auto"/>
            </w:tcBorders>
            <w:shd w:val="clear" w:color="000000" w:fill="F2F2F2"/>
            <w:noWrap/>
            <w:vAlign w:val="center"/>
            <w:hideMark/>
          </w:tcPr>
          <w:p w14:paraId="7026153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$ 6.394.340</w:t>
            </w:r>
          </w:p>
        </w:tc>
        <w:tc>
          <w:tcPr>
            <w:tcW w:w="1120" w:type="dxa"/>
            <w:tcBorders>
              <w:top w:val="nil"/>
              <w:left w:val="nil"/>
              <w:bottom w:val="single" w:sz="4" w:space="0" w:color="auto"/>
              <w:right w:val="single" w:sz="4" w:space="0" w:color="auto"/>
            </w:tcBorders>
            <w:shd w:val="clear" w:color="000000" w:fill="F2F2F2"/>
            <w:noWrap/>
            <w:vAlign w:val="center"/>
            <w:hideMark/>
          </w:tcPr>
          <w:p w14:paraId="00092FF6"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$ 266</w:t>
            </w:r>
          </w:p>
        </w:tc>
        <w:tc>
          <w:tcPr>
            <w:tcW w:w="1260" w:type="dxa"/>
            <w:tcBorders>
              <w:top w:val="nil"/>
              <w:left w:val="nil"/>
              <w:bottom w:val="single" w:sz="4" w:space="0" w:color="auto"/>
              <w:right w:val="single" w:sz="4" w:space="0" w:color="auto"/>
            </w:tcBorders>
            <w:shd w:val="clear" w:color="000000" w:fill="F2F2F2"/>
            <w:noWrap/>
            <w:vAlign w:val="center"/>
            <w:hideMark/>
          </w:tcPr>
          <w:p w14:paraId="7B81946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$ 6.394.606</w:t>
            </w:r>
          </w:p>
        </w:tc>
        <w:tc>
          <w:tcPr>
            <w:tcW w:w="1920" w:type="dxa"/>
            <w:tcBorders>
              <w:top w:val="nil"/>
              <w:left w:val="nil"/>
              <w:bottom w:val="single" w:sz="4" w:space="0" w:color="auto"/>
              <w:right w:val="single" w:sz="4" w:space="0" w:color="auto"/>
            </w:tcBorders>
            <w:shd w:val="clear" w:color="000000" w:fill="F2F2F2"/>
            <w:vAlign w:val="center"/>
            <w:hideMark/>
          </w:tcPr>
          <w:p w14:paraId="352741C9"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GAS POR REDES</w:t>
            </w:r>
          </w:p>
        </w:tc>
      </w:tr>
      <w:tr w:rsidR="00D705A6" w:rsidRPr="002E0BB9" w14:paraId="7C2643B6" w14:textId="77777777" w:rsidTr="007D1249">
        <w:trPr>
          <w:trHeight w:val="4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0D668D42"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266</w:t>
            </w:r>
          </w:p>
        </w:tc>
        <w:tc>
          <w:tcPr>
            <w:tcW w:w="560" w:type="dxa"/>
            <w:tcBorders>
              <w:top w:val="nil"/>
              <w:left w:val="nil"/>
              <w:bottom w:val="single" w:sz="4" w:space="0" w:color="auto"/>
              <w:right w:val="single" w:sz="4" w:space="0" w:color="auto"/>
            </w:tcBorders>
            <w:shd w:val="clear" w:color="000000" w:fill="F2F2F2"/>
            <w:noWrap/>
            <w:vAlign w:val="center"/>
            <w:hideMark/>
          </w:tcPr>
          <w:p w14:paraId="3245C7E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39136</w:t>
            </w:r>
          </w:p>
        </w:tc>
        <w:tc>
          <w:tcPr>
            <w:tcW w:w="920" w:type="dxa"/>
            <w:tcBorders>
              <w:top w:val="nil"/>
              <w:left w:val="nil"/>
              <w:bottom w:val="single" w:sz="4" w:space="0" w:color="auto"/>
              <w:right w:val="single" w:sz="4" w:space="0" w:color="auto"/>
            </w:tcBorders>
            <w:shd w:val="clear" w:color="000000" w:fill="F2F2F2"/>
            <w:noWrap/>
            <w:vAlign w:val="center"/>
            <w:hideMark/>
          </w:tcPr>
          <w:p w14:paraId="3A13128E"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901033186</w:t>
            </w:r>
          </w:p>
        </w:tc>
        <w:tc>
          <w:tcPr>
            <w:tcW w:w="2180" w:type="dxa"/>
            <w:tcBorders>
              <w:top w:val="nil"/>
              <w:left w:val="nil"/>
              <w:bottom w:val="single" w:sz="4" w:space="0" w:color="auto"/>
              <w:right w:val="single" w:sz="4" w:space="0" w:color="auto"/>
            </w:tcBorders>
            <w:shd w:val="clear" w:color="000000" w:fill="F2F2F2"/>
            <w:vAlign w:val="center"/>
            <w:hideMark/>
          </w:tcPr>
          <w:p w14:paraId="08BBB46C"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MESSER ENERGY SERVICES SAS ESP</w:t>
            </w:r>
          </w:p>
        </w:tc>
        <w:tc>
          <w:tcPr>
            <w:tcW w:w="1520" w:type="dxa"/>
            <w:tcBorders>
              <w:top w:val="nil"/>
              <w:left w:val="nil"/>
              <w:bottom w:val="single" w:sz="4" w:space="0" w:color="auto"/>
              <w:right w:val="single" w:sz="4" w:space="0" w:color="auto"/>
            </w:tcBorders>
            <w:shd w:val="clear" w:color="000000" w:fill="F2F2F2"/>
            <w:noWrap/>
            <w:vAlign w:val="center"/>
            <w:hideMark/>
          </w:tcPr>
          <w:p w14:paraId="240536C1"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$ 66.283.000</w:t>
            </w:r>
          </w:p>
        </w:tc>
        <w:tc>
          <w:tcPr>
            <w:tcW w:w="1440" w:type="dxa"/>
            <w:tcBorders>
              <w:top w:val="nil"/>
              <w:left w:val="nil"/>
              <w:bottom w:val="single" w:sz="4" w:space="0" w:color="auto"/>
              <w:right w:val="single" w:sz="4" w:space="0" w:color="auto"/>
            </w:tcBorders>
            <w:shd w:val="clear" w:color="000000" w:fill="F2F2F2"/>
            <w:noWrap/>
            <w:vAlign w:val="center"/>
            <w:hideMark/>
          </w:tcPr>
          <w:p w14:paraId="77124155"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$ 0</w:t>
            </w:r>
          </w:p>
        </w:tc>
        <w:tc>
          <w:tcPr>
            <w:tcW w:w="1460" w:type="dxa"/>
            <w:tcBorders>
              <w:top w:val="nil"/>
              <w:left w:val="nil"/>
              <w:bottom w:val="single" w:sz="4" w:space="0" w:color="auto"/>
              <w:right w:val="single" w:sz="4" w:space="0" w:color="auto"/>
            </w:tcBorders>
            <w:shd w:val="clear" w:color="000000" w:fill="F2F2F2"/>
            <w:noWrap/>
            <w:vAlign w:val="center"/>
            <w:hideMark/>
          </w:tcPr>
          <w:p w14:paraId="1261551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$ 66.283.000</w:t>
            </w:r>
          </w:p>
        </w:tc>
        <w:tc>
          <w:tcPr>
            <w:tcW w:w="1260" w:type="dxa"/>
            <w:tcBorders>
              <w:top w:val="nil"/>
              <w:left w:val="nil"/>
              <w:bottom w:val="single" w:sz="4" w:space="0" w:color="auto"/>
              <w:right w:val="single" w:sz="4" w:space="0" w:color="auto"/>
            </w:tcBorders>
            <w:shd w:val="clear" w:color="000000" w:fill="F2F2F2"/>
            <w:noWrap/>
            <w:vAlign w:val="center"/>
            <w:hideMark/>
          </w:tcPr>
          <w:p w14:paraId="3B0911F7"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$ 662.830</w:t>
            </w:r>
          </w:p>
        </w:tc>
        <w:tc>
          <w:tcPr>
            <w:tcW w:w="1120" w:type="dxa"/>
            <w:tcBorders>
              <w:top w:val="nil"/>
              <w:left w:val="nil"/>
              <w:bottom w:val="single" w:sz="4" w:space="0" w:color="auto"/>
              <w:right w:val="single" w:sz="4" w:space="0" w:color="auto"/>
            </w:tcBorders>
            <w:shd w:val="clear" w:color="000000" w:fill="F2F2F2"/>
            <w:noWrap/>
            <w:vAlign w:val="center"/>
            <w:hideMark/>
          </w:tcPr>
          <w:p w14:paraId="660311B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$ 28</w:t>
            </w:r>
          </w:p>
        </w:tc>
        <w:tc>
          <w:tcPr>
            <w:tcW w:w="1260" w:type="dxa"/>
            <w:tcBorders>
              <w:top w:val="nil"/>
              <w:left w:val="nil"/>
              <w:bottom w:val="single" w:sz="4" w:space="0" w:color="auto"/>
              <w:right w:val="single" w:sz="4" w:space="0" w:color="auto"/>
            </w:tcBorders>
            <w:shd w:val="clear" w:color="000000" w:fill="F2F2F2"/>
            <w:noWrap/>
            <w:vAlign w:val="center"/>
            <w:hideMark/>
          </w:tcPr>
          <w:p w14:paraId="1ECA686D"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$ 662.858</w:t>
            </w:r>
          </w:p>
        </w:tc>
        <w:tc>
          <w:tcPr>
            <w:tcW w:w="1920" w:type="dxa"/>
            <w:tcBorders>
              <w:top w:val="nil"/>
              <w:left w:val="nil"/>
              <w:bottom w:val="single" w:sz="4" w:space="0" w:color="auto"/>
              <w:right w:val="single" w:sz="4" w:space="0" w:color="auto"/>
            </w:tcBorders>
            <w:shd w:val="clear" w:color="000000" w:fill="F2F2F2"/>
            <w:vAlign w:val="center"/>
            <w:hideMark/>
          </w:tcPr>
          <w:p w14:paraId="5614EF1E"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w:t>
            </w:r>
          </w:p>
        </w:tc>
      </w:tr>
      <w:tr w:rsidR="00D705A6" w:rsidRPr="002E0BB9" w14:paraId="5AE1ACF0" w14:textId="77777777" w:rsidTr="007D1249">
        <w:trPr>
          <w:trHeight w:val="2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630099F2"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267</w:t>
            </w:r>
          </w:p>
        </w:tc>
        <w:tc>
          <w:tcPr>
            <w:tcW w:w="560" w:type="dxa"/>
            <w:tcBorders>
              <w:top w:val="nil"/>
              <w:left w:val="nil"/>
              <w:bottom w:val="single" w:sz="4" w:space="0" w:color="auto"/>
              <w:right w:val="single" w:sz="4" w:space="0" w:color="auto"/>
            </w:tcBorders>
            <w:shd w:val="clear" w:color="000000" w:fill="F2F2F2"/>
            <w:noWrap/>
            <w:vAlign w:val="center"/>
            <w:hideMark/>
          </w:tcPr>
          <w:p w14:paraId="291ECA6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37253</w:t>
            </w:r>
          </w:p>
        </w:tc>
        <w:tc>
          <w:tcPr>
            <w:tcW w:w="920" w:type="dxa"/>
            <w:tcBorders>
              <w:top w:val="nil"/>
              <w:left w:val="nil"/>
              <w:bottom w:val="single" w:sz="4" w:space="0" w:color="auto"/>
              <w:right w:val="single" w:sz="4" w:space="0" w:color="auto"/>
            </w:tcBorders>
            <w:shd w:val="clear" w:color="000000" w:fill="F2F2F2"/>
            <w:noWrap/>
            <w:vAlign w:val="center"/>
            <w:hideMark/>
          </w:tcPr>
          <w:p w14:paraId="1D48BEEC"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901034973</w:t>
            </w:r>
          </w:p>
        </w:tc>
        <w:tc>
          <w:tcPr>
            <w:tcW w:w="2180" w:type="dxa"/>
            <w:tcBorders>
              <w:top w:val="nil"/>
              <w:left w:val="nil"/>
              <w:bottom w:val="single" w:sz="4" w:space="0" w:color="auto"/>
              <w:right w:val="single" w:sz="4" w:space="0" w:color="auto"/>
            </w:tcBorders>
            <w:shd w:val="clear" w:color="000000" w:fill="F2F2F2"/>
            <w:vAlign w:val="center"/>
            <w:hideMark/>
          </w:tcPr>
          <w:p w14:paraId="0AD118DD"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EOS ENERGY S.A.S. E.S.P.</w:t>
            </w:r>
          </w:p>
        </w:tc>
        <w:tc>
          <w:tcPr>
            <w:tcW w:w="1520" w:type="dxa"/>
            <w:tcBorders>
              <w:top w:val="nil"/>
              <w:left w:val="nil"/>
              <w:bottom w:val="single" w:sz="4" w:space="0" w:color="auto"/>
              <w:right w:val="single" w:sz="4" w:space="0" w:color="auto"/>
            </w:tcBorders>
            <w:shd w:val="clear" w:color="000000" w:fill="F2F2F2"/>
            <w:noWrap/>
            <w:vAlign w:val="center"/>
            <w:hideMark/>
          </w:tcPr>
          <w:p w14:paraId="12B38172"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$ 42.325.000</w:t>
            </w:r>
          </w:p>
        </w:tc>
        <w:tc>
          <w:tcPr>
            <w:tcW w:w="1440" w:type="dxa"/>
            <w:tcBorders>
              <w:top w:val="nil"/>
              <w:left w:val="nil"/>
              <w:bottom w:val="single" w:sz="4" w:space="0" w:color="auto"/>
              <w:right w:val="single" w:sz="4" w:space="0" w:color="auto"/>
            </w:tcBorders>
            <w:shd w:val="clear" w:color="000000" w:fill="F2F2F2"/>
            <w:noWrap/>
            <w:vAlign w:val="center"/>
            <w:hideMark/>
          </w:tcPr>
          <w:p w14:paraId="0B79BDD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$ 10.046.514</w:t>
            </w:r>
          </w:p>
        </w:tc>
        <w:tc>
          <w:tcPr>
            <w:tcW w:w="1460" w:type="dxa"/>
            <w:tcBorders>
              <w:top w:val="nil"/>
              <w:left w:val="nil"/>
              <w:bottom w:val="single" w:sz="4" w:space="0" w:color="auto"/>
              <w:right w:val="single" w:sz="4" w:space="0" w:color="auto"/>
            </w:tcBorders>
            <w:shd w:val="clear" w:color="000000" w:fill="F2F2F2"/>
            <w:noWrap/>
            <w:vAlign w:val="center"/>
            <w:hideMark/>
          </w:tcPr>
          <w:p w14:paraId="5875C41D"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$ 52.371.514</w:t>
            </w:r>
          </w:p>
        </w:tc>
        <w:tc>
          <w:tcPr>
            <w:tcW w:w="1260" w:type="dxa"/>
            <w:tcBorders>
              <w:top w:val="nil"/>
              <w:left w:val="nil"/>
              <w:bottom w:val="single" w:sz="4" w:space="0" w:color="auto"/>
              <w:right w:val="single" w:sz="4" w:space="0" w:color="auto"/>
            </w:tcBorders>
            <w:shd w:val="clear" w:color="000000" w:fill="F2F2F2"/>
            <w:noWrap/>
            <w:vAlign w:val="center"/>
            <w:hideMark/>
          </w:tcPr>
          <w:p w14:paraId="38F17DE7"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$ 523.715</w:t>
            </w:r>
          </w:p>
        </w:tc>
        <w:tc>
          <w:tcPr>
            <w:tcW w:w="1120" w:type="dxa"/>
            <w:tcBorders>
              <w:top w:val="nil"/>
              <w:left w:val="nil"/>
              <w:bottom w:val="single" w:sz="4" w:space="0" w:color="auto"/>
              <w:right w:val="single" w:sz="4" w:space="0" w:color="auto"/>
            </w:tcBorders>
            <w:shd w:val="clear" w:color="000000" w:fill="F2F2F2"/>
            <w:noWrap/>
            <w:vAlign w:val="center"/>
            <w:hideMark/>
          </w:tcPr>
          <w:p w14:paraId="2377D9F1"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$ 22</w:t>
            </w:r>
          </w:p>
        </w:tc>
        <w:tc>
          <w:tcPr>
            <w:tcW w:w="1260" w:type="dxa"/>
            <w:tcBorders>
              <w:top w:val="nil"/>
              <w:left w:val="nil"/>
              <w:bottom w:val="single" w:sz="4" w:space="0" w:color="auto"/>
              <w:right w:val="single" w:sz="4" w:space="0" w:color="auto"/>
            </w:tcBorders>
            <w:shd w:val="clear" w:color="000000" w:fill="F2F2F2"/>
            <w:noWrap/>
            <w:vAlign w:val="center"/>
            <w:hideMark/>
          </w:tcPr>
          <w:p w14:paraId="47F0AFEB"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$ 523.737</w:t>
            </w:r>
          </w:p>
        </w:tc>
        <w:tc>
          <w:tcPr>
            <w:tcW w:w="1920" w:type="dxa"/>
            <w:tcBorders>
              <w:top w:val="nil"/>
              <w:left w:val="nil"/>
              <w:bottom w:val="single" w:sz="4" w:space="0" w:color="auto"/>
              <w:right w:val="single" w:sz="4" w:space="0" w:color="auto"/>
            </w:tcBorders>
            <w:shd w:val="clear" w:color="000000" w:fill="F2F2F2"/>
            <w:vAlign w:val="center"/>
            <w:hideMark/>
          </w:tcPr>
          <w:p w14:paraId="77999B24"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GAS POR REDES</w:t>
            </w:r>
          </w:p>
        </w:tc>
      </w:tr>
      <w:tr w:rsidR="00D705A6" w:rsidRPr="002E0BB9" w14:paraId="381DA276" w14:textId="77777777" w:rsidTr="007D1249">
        <w:trPr>
          <w:trHeight w:val="4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1EB44C94"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268</w:t>
            </w:r>
          </w:p>
        </w:tc>
        <w:tc>
          <w:tcPr>
            <w:tcW w:w="560" w:type="dxa"/>
            <w:tcBorders>
              <w:top w:val="nil"/>
              <w:left w:val="nil"/>
              <w:bottom w:val="single" w:sz="4" w:space="0" w:color="auto"/>
              <w:right w:val="single" w:sz="4" w:space="0" w:color="auto"/>
            </w:tcBorders>
            <w:shd w:val="clear" w:color="000000" w:fill="F2F2F2"/>
            <w:noWrap/>
            <w:vAlign w:val="center"/>
            <w:hideMark/>
          </w:tcPr>
          <w:p w14:paraId="05EA97F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50585</w:t>
            </w:r>
          </w:p>
        </w:tc>
        <w:tc>
          <w:tcPr>
            <w:tcW w:w="920" w:type="dxa"/>
            <w:tcBorders>
              <w:top w:val="nil"/>
              <w:left w:val="nil"/>
              <w:bottom w:val="single" w:sz="4" w:space="0" w:color="auto"/>
              <w:right w:val="single" w:sz="4" w:space="0" w:color="auto"/>
            </w:tcBorders>
            <w:shd w:val="clear" w:color="000000" w:fill="F2F2F2"/>
            <w:noWrap/>
            <w:vAlign w:val="center"/>
            <w:hideMark/>
          </w:tcPr>
          <w:p w14:paraId="13D5B707"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901037565</w:t>
            </w:r>
          </w:p>
        </w:tc>
        <w:tc>
          <w:tcPr>
            <w:tcW w:w="2180" w:type="dxa"/>
            <w:tcBorders>
              <w:top w:val="nil"/>
              <w:left w:val="nil"/>
              <w:bottom w:val="single" w:sz="4" w:space="0" w:color="auto"/>
              <w:right w:val="single" w:sz="4" w:space="0" w:color="auto"/>
            </w:tcBorders>
            <w:shd w:val="clear" w:color="000000" w:fill="F2F2F2"/>
            <w:vAlign w:val="center"/>
            <w:hideMark/>
          </w:tcPr>
          <w:p w14:paraId="08DB5386"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GASES DEL SUR DE COLOMBIA E.S.P S.A.</w:t>
            </w:r>
          </w:p>
        </w:tc>
        <w:tc>
          <w:tcPr>
            <w:tcW w:w="1520" w:type="dxa"/>
            <w:tcBorders>
              <w:top w:val="nil"/>
              <w:left w:val="nil"/>
              <w:bottom w:val="single" w:sz="4" w:space="0" w:color="auto"/>
              <w:right w:val="single" w:sz="4" w:space="0" w:color="auto"/>
            </w:tcBorders>
            <w:shd w:val="clear" w:color="000000" w:fill="F2F2F2"/>
            <w:noWrap/>
            <w:vAlign w:val="center"/>
            <w:hideMark/>
          </w:tcPr>
          <w:p w14:paraId="611FF632"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$ 259.875.688</w:t>
            </w:r>
          </w:p>
        </w:tc>
        <w:tc>
          <w:tcPr>
            <w:tcW w:w="1440" w:type="dxa"/>
            <w:tcBorders>
              <w:top w:val="nil"/>
              <w:left w:val="nil"/>
              <w:bottom w:val="single" w:sz="4" w:space="0" w:color="auto"/>
              <w:right w:val="single" w:sz="4" w:space="0" w:color="auto"/>
            </w:tcBorders>
            <w:shd w:val="clear" w:color="000000" w:fill="F2F2F2"/>
            <w:noWrap/>
            <w:vAlign w:val="center"/>
            <w:hideMark/>
          </w:tcPr>
          <w:p w14:paraId="2234D70C"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$ 2.233.496</w:t>
            </w:r>
          </w:p>
        </w:tc>
        <w:tc>
          <w:tcPr>
            <w:tcW w:w="1460" w:type="dxa"/>
            <w:tcBorders>
              <w:top w:val="nil"/>
              <w:left w:val="nil"/>
              <w:bottom w:val="single" w:sz="4" w:space="0" w:color="auto"/>
              <w:right w:val="single" w:sz="4" w:space="0" w:color="auto"/>
            </w:tcBorders>
            <w:shd w:val="clear" w:color="000000" w:fill="F2F2F2"/>
            <w:noWrap/>
            <w:vAlign w:val="center"/>
            <w:hideMark/>
          </w:tcPr>
          <w:p w14:paraId="602ABD0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$ 262.109.184</w:t>
            </w:r>
          </w:p>
        </w:tc>
        <w:tc>
          <w:tcPr>
            <w:tcW w:w="1260" w:type="dxa"/>
            <w:tcBorders>
              <w:top w:val="nil"/>
              <w:left w:val="nil"/>
              <w:bottom w:val="single" w:sz="4" w:space="0" w:color="auto"/>
              <w:right w:val="single" w:sz="4" w:space="0" w:color="auto"/>
            </w:tcBorders>
            <w:shd w:val="clear" w:color="000000" w:fill="F2F2F2"/>
            <w:noWrap/>
            <w:vAlign w:val="center"/>
            <w:hideMark/>
          </w:tcPr>
          <w:p w14:paraId="62A19A71"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$ 2.621.092</w:t>
            </w:r>
          </w:p>
        </w:tc>
        <w:tc>
          <w:tcPr>
            <w:tcW w:w="1120" w:type="dxa"/>
            <w:tcBorders>
              <w:top w:val="nil"/>
              <w:left w:val="nil"/>
              <w:bottom w:val="single" w:sz="4" w:space="0" w:color="auto"/>
              <w:right w:val="single" w:sz="4" w:space="0" w:color="auto"/>
            </w:tcBorders>
            <w:shd w:val="clear" w:color="000000" w:fill="F2F2F2"/>
            <w:noWrap/>
            <w:vAlign w:val="center"/>
            <w:hideMark/>
          </w:tcPr>
          <w:p w14:paraId="6CAEBB0A"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$ 109</w:t>
            </w:r>
          </w:p>
        </w:tc>
        <w:tc>
          <w:tcPr>
            <w:tcW w:w="1260" w:type="dxa"/>
            <w:tcBorders>
              <w:top w:val="nil"/>
              <w:left w:val="nil"/>
              <w:bottom w:val="single" w:sz="4" w:space="0" w:color="auto"/>
              <w:right w:val="single" w:sz="4" w:space="0" w:color="auto"/>
            </w:tcBorders>
            <w:shd w:val="clear" w:color="000000" w:fill="F2F2F2"/>
            <w:noWrap/>
            <w:vAlign w:val="center"/>
            <w:hideMark/>
          </w:tcPr>
          <w:p w14:paraId="064A4E3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$ 2.621.201</w:t>
            </w:r>
          </w:p>
        </w:tc>
        <w:tc>
          <w:tcPr>
            <w:tcW w:w="1920" w:type="dxa"/>
            <w:tcBorders>
              <w:top w:val="nil"/>
              <w:left w:val="nil"/>
              <w:bottom w:val="single" w:sz="4" w:space="0" w:color="auto"/>
              <w:right w:val="single" w:sz="4" w:space="0" w:color="auto"/>
            </w:tcBorders>
            <w:shd w:val="clear" w:color="000000" w:fill="F2F2F2"/>
            <w:vAlign w:val="center"/>
            <w:hideMark/>
          </w:tcPr>
          <w:p w14:paraId="6BA871AB"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GAS POR REDES</w:t>
            </w:r>
          </w:p>
        </w:tc>
      </w:tr>
      <w:tr w:rsidR="00D705A6" w:rsidRPr="002E0BB9" w14:paraId="699A5123" w14:textId="77777777" w:rsidTr="007D1249">
        <w:trPr>
          <w:trHeight w:val="2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63EE4DB9"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269</w:t>
            </w:r>
          </w:p>
        </w:tc>
        <w:tc>
          <w:tcPr>
            <w:tcW w:w="560" w:type="dxa"/>
            <w:tcBorders>
              <w:top w:val="nil"/>
              <w:left w:val="nil"/>
              <w:bottom w:val="single" w:sz="4" w:space="0" w:color="auto"/>
              <w:right w:val="single" w:sz="4" w:space="0" w:color="auto"/>
            </w:tcBorders>
            <w:shd w:val="clear" w:color="000000" w:fill="F2F2F2"/>
            <w:noWrap/>
            <w:vAlign w:val="center"/>
            <w:hideMark/>
          </w:tcPr>
          <w:p w14:paraId="4828AFA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42637</w:t>
            </w:r>
          </w:p>
        </w:tc>
        <w:tc>
          <w:tcPr>
            <w:tcW w:w="920" w:type="dxa"/>
            <w:tcBorders>
              <w:top w:val="nil"/>
              <w:left w:val="nil"/>
              <w:bottom w:val="single" w:sz="4" w:space="0" w:color="auto"/>
              <w:right w:val="single" w:sz="4" w:space="0" w:color="auto"/>
            </w:tcBorders>
            <w:shd w:val="clear" w:color="000000" w:fill="F2F2F2"/>
            <w:noWrap/>
            <w:vAlign w:val="center"/>
            <w:hideMark/>
          </w:tcPr>
          <w:p w14:paraId="5BE6DC9A"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901042368</w:t>
            </w:r>
          </w:p>
        </w:tc>
        <w:tc>
          <w:tcPr>
            <w:tcW w:w="2180" w:type="dxa"/>
            <w:tcBorders>
              <w:top w:val="nil"/>
              <w:left w:val="nil"/>
              <w:bottom w:val="single" w:sz="4" w:space="0" w:color="auto"/>
              <w:right w:val="single" w:sz="4" w:space="0" w:color="auto"/>
            </w:tcBorders>
            <w:shd w:val="clear" w:color="000000" w:fill="F2F2F2"/>
            <w:vAlign w:val="center"/>
            <w:hideMark/>
          </w:tcPr>
          <w:p w14:paraId="42A9D85C"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HELIOS ENERGIA S.A. ESP</w:t>
            </w:r>
          </w:p>
        </w:tc>
        <w:tc>
          <w:tcPr>
            <w:tcW w:w="1520" w:type="dxa"/>
            <w:tcBorders>
              <w:top w:val="nil"/>
              <w:left w:val="nil"/>
              <w:bottom w:val="single" w:sz="4" w:space="0" w:color="auto"/>
              <w:right w:val="single" w:sz="4" w:space="0" w:color="auto"/>
            </w:tcBorders>
            <w:shd w:val="clear" w:color="000000" w:fill="F2F2F2"/>
            <w:noWrap/>
            <w:vAlign w:val="center"/>
            <w:hideMark/>
          </w:tcPr>
          <w:p w14:paraId="08DE2827"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$ 1.528.509.000</w:t>
            </w:r>
          </w:p>
        </w:tc>
        <w:tc>
          <w:tcPr>
            <w:tcW w:w="1440" w:type="dxa"/>
            <w:tcBorders>
              <w:top w:val="nil"/>
              <w:left w:val="nil"/>
              <w:bottom w:val="single" w:sz="4" w:space="0" w:color="auto"/>
              <w:right w:val="single" w:sz="4" w:space="0" w:color="auto"/>
            </w:tcBorders>
            <w:shd w:val="clear" w:color="000000" w:fill="F2F2F2"/>
            <w:noWrap/>
            <w:vAlign w:val="center"/>
            <w:hideMark/>
          </w:tcPr>
          <w:p w14:paraId="4DB714C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$ 0</w:t>
            </w:r>
          </w:p>
        </w:tc>
        <w:tc>
          <w:tcPr>
            <w:tcW w:w="1460" w:type="dxa"/>
            <w:tcBorders>
              <w:top w:val="nil"/>
              <w:left w:val="nil"/>
              <w:bottom w:val="single" w:sz="4" w:space="0" w:color="auto"/>
              <w:right w:val="single" w:sz="4" w:space="0" w:color="auto"/>
            </w:tcBorders>
            <w:shd w:val="clear" w:color="000000" w:fill="F2F2F2"/>
            <w:noWrap/>
            <w:vAlign w:val="center"/>
            <w:hideMark/>
          </w:tcPr>
          <w:p w14:paraId="03A490AD"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$ 1.528.509.000</w:t>
            </w:r>
          </w:p>
        </w:tc>
        <w:tc>
          <w:tcPr>
            <w:tcW w:w="1260" w:type="dxa"/>
            <w:tcBorders>
              <w:top w:val="nil"/>
              <w:left w:val="nil"/>
              <w:bottom w:val="single" w:sz="4" w:space="0" w:color="auto"/>
              <w:right w:val="single" w:sz="4" w:space="0" w:color="auto"/>
            </w:tcBorders>
            <w:shd w:val="clear" w:color="000000" w:fill="F2F2F2"/>
            <w:noWrap/>
            <w:vAlign w:val="center"/>
            <w:hideMark/>
          </w:tcPr>
          <w:p w14:paraId="5B4EFEC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$ 15.285.090</w:t>
            </w:r>
          </w:p>
        </w:tc>
        <w:tc>
          <w:tcPr>
            <w:tcW w:w="1120" w:type="dxa"/>
            <w:tcBorders>
              <w:top w:val="nil"/>
              <w:left w:val="nil"/>
              <w:bottom w:val="single" w:sz="4" w:space="0" w:color="auto"/>
              <w:right w:val="single" w:sz="4" w:space="0" w:color="auto"/>
            </w:tcBorders>
            <w:shd w:val="clear" w:color="000000" w:fill="F2F2F2"/>
            <w:noWrap/>
            <w:vAlign w:val="center"/>
            <w:hideMark/>
          </w:tcPr>
          <w:p w14:paraId="009138DE"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$ 636</w:t>
            </w:r>
          </w:p>
        </w:tc>
        <w:tc>
          <w:tcPr>
            <w:tcW w:w="1260" w:type="dxa"/>
            <w:tcBorders>
              <w:top w:val="nil"/>
              <w:left w:val="nil"/>
              <w:bottom w:val="single" w:sz="4" w:space="0" w:color="auto"/>
              <w:right w:val="single" w:sz="4" w:space="0" w:color="auto"/>
            </w:tcBorders>
            <w:shd w:val="clear" w:color="000000" w:fill="F2F2F2"/>
            <w:noWrap/>
            <w:vAlign w:val="center"/>
            <w:hideMark/>
          </w:tcPr>
          <w:p w14:paraId="5E3F59F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$ 15.285.726</w:t>
            </w:r>
          </w:p>
        </w:tc>
        <w:tc>
          <w:tcPr>
            <w:tcW w:w="1920" w:type="dxa"/>
            <w:tcBorders>
              <w:top w:val="nil"/>
              <w:left w:val="nil"/>
              <w:bottom w:val="single" w:sz="4" w:space="0" w:color="auto"/>
              <w:right w:val="single" w:sz="4" w:space="0" w:color="auto"/>
            </w:tcBorders>
            <w:shd w:val="clear" w:color="000000" w:fill="F2F2F2"/>
            <w:vAlign w:val="center"/>
            <w:hideMark/>
          </w:tcPr>
          <w:p w14:paraId="3F6A3C5B"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w:t>
            </w:r>
          </w:p>
        </w:tc>
      </w:tr>
      <w:tr w:rsidR="00D705A6" w:rsidRPr="002E0BB9" w14:paraId="55C1EF10" w14:textId="77777777" w:rsidTr="007D1249">
        <w:trPr>
          <w:trHeight w:val="2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6027A300"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lastRenderedPageBreak/>
              <w:t>270</w:t>
            </w:r>
          </w:p>
        </w:tc>
        <w:tc>
          <w:tcPr>
            <w:tcW w:w="560" w:type="dxa"/>
            <w:tcBorders>
              <w:top w:val="nil"/>
              <w:left w:val="nil"/>
              <w:bottom w:val="single" w:sz="4" w:space="0" w:color="auto"/>
              <w:right w:val="single" w:sz="4" w:space="0" w:color="auto"/>
            </w:tcBorders>
            <w:shd w:val="clear" w:color="000000" w:fill="F2F2F2"/>
            <w:noWrap/>
            <w:vAlign w:val="center"/>
            <w:hideMark/>
          </w:tcPr>
          <w:p w14:paraId="6BA5176E"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36633</w:t>
            </w:r>
          </w:p>
        </w:tc>
        <w:tc>
          <w:tcPr>
            <w:tcW w:w="920" w:type="dxa"/>
            <w:tcBorders>
              <w:top w:val="nil"/>
              <w:left w:val="nil"/>
              <w:bottom w:val="single" w:sz="4" w:space="0" w:color="auto"/>
              <w:right w:val="single" w:sz="4" w:space="0" w:color="auto"/>
            </w:tcBorders>
            <w:shd w:val="clear" w:color="000000" w:fill="F2F2F2"/>
            <w:noWrap/>
            <w:vAlign w:val="center"/>
            <w:hideMark/>
          </w:tcPr>
          <w:p w14:paraId="3780CE66"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901042814</w:t>
            </w:r>
          </w:p>
        </w:tc>
        <w:tc>
          <w:tcPr>
            <w:tcW w:w="2180" w:type="dxa"/>
            <w:tcBorders>
              <w:top w:val="nil"/>
              <w:left w:val="nil"/>
              <w:bottom w:val="single" w:sz="4" w:space="0" w:color="auto"/>
              <w:right w:val="single" w:sz="4" w:space="0" w:color="auto"/>
            </w:tcBorders>
            <w:shd w:val="clear" w:color="000000" w:fill="F2F2F2"/>
            <w:vAlign w:val="center"/>
            <w:hideMark/>
          </w:tcPr>
          <w:p w14:paraId="637AE735"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xml:space="preserve">REDNOVA </w:t>
            </w:r>
            <w:proofErr w:type="gramStart"/>
            <w:r w:rsidRPr="002E0BB9">
              <w:rPr>
                <w:rFonts w:ascii="Arial Narrow" w:hAnsi="Arial Narrow" w:cs="Arial"/>
                <w:spacing w:val="0"/>
                <w:sz w:val="16"/>
                <w:szCs w:val="16"/>
                <w:lang w:val="es-MX" w:eastAsia="es-MX"/>
              </w:rPr>
              <w:t>SAS  ESP</w:t>
            </w:r>
            <w:proofErr w:type="gramEnd"/>
          </w:p>
        </w:tc>
        <w:tc>
          <w:tcPr>
            <w:tcW w:w="1520" w:type="dxa"/>
            <w:tcBorders>
              <w:top w:val="nil"/>
              <w:left w:val="nil"/>
              <w:bottom w:val="single" w:sz="4" w:space="0" w:color="auto"/>
              <w:right w:val="single" w:sz="4" w:space="0" w:color="auto"/>
            </w:tcBorders>
            <w:shd w:val="clear" w:color="000000" w:fill="F2F2F2"/>
            <w:noWrap/>
            <w:vAlign w:val="center"/>
            <w:hideMark/>
          </w:tcPr>
          <w:p w14:paraId="7D04D961"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$ 7.356.315.000</w:t>
            </w:r>
          </w:p>
        </w:tc>
        <w:tc>
          <w:tcPr>
            <w:tcW w:w="1440" w:type="dxa"/>
            <w:tcBorders>
              <w:top w:val="nil"/>
              <w:left w:val="nil"/>
              <w:bottom w:val="single" w:sz="4" w:space="0" w:color="auto"/>
              <w:right w:val="single" w:sz="4" w:space="0" w:color="auto"/>
            </w:tcBorders>
            <w:shd w:val="clear" w:color="000000" w:fill="F2F2F2"/>
            <w:noWrap/>
            <w:vAlign w:val="center"/>
            <w:hideMark/>
          </w:tcPr>
          <w:p w14:paraId="3E146B7B"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$ 92.731.147</w:t>
            </w:r>
          </w:p>
        </w:tc>
        <w:tc>
          <w:tcPr>
            <w:tcW w:w="1460" w:type="dxa"/>
            <w:tcBorders>
              <w:top w:val="nil"/>
              <w:left w:val="nil"/>
              <w:bottom w:val="single" w:sz="4" w:space="0" w:color="auto"/>
              <w:right w:val="single" w:sz="4" w:space="0" w:color="auto"/>
            </w:tcBorders>
            <w:shd w:val="clear" w:color="000000" w:fill="F2F2F2"/>
            <w:noWrap/>
            <w:vAlign w:val="center"/>
            <w:hideMark/>
          </w:tcPr>
          <w:p w14:paraId="306C104C"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$ 7.449.046.147</w:t>
            </w:r>
          </w:p>
        </w:tc>
        <w:tc>
          <w:tcPr>
            <w:tcW w:w="1260" w:type="dxa"/>
            <w:tcBorders>
              <w:top w:val="nil"/>
              <w:left w:val="nil"/>
              <w:bottom w:val="single" w:sz="4" w:space="0" w:color="auto"/>
              <w:right w:val="single" w:sz="4" w:space="0" w:color="auto"/>
            </w:tcBorders>
            <w:shd w:val="clear" w:color="000000" w:fill="F2F2F2"/>
            <w:noWrap/>
            <w:vAlign w:val="center"/>
            <w:hideMark/>
          </w:tcPr>
          <w:p w14:paraId="3CB9F971"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$ 74.490.461</w:t>
            </w:r>
          </w:p>
        </w:tc>
        <w:tc>
          <w:tcPr>
            <w:tcW w:w="1120" w:type="dxa"/>
            <w:tcBorders>
              <w:top w:val="nil"/>
              <w:left w:val="nil"/>
              <w:bottom w:val="single" w:sz="4" w:space="0" w:color="auto"/>
              <w:right w:val="single" w:sz="4" w:space="0" w:color="auto"/>
            </w:tcBorders>
            <w:shd w:val="clear" w:color="000000" w:fill="F2F2F2"/>
            <w:noWrap/>
            <w:vAlign w:val="center"/>
            <w:hideMark/>
          </w:tcPr>
          <w:p w14:paraId="45A348FB"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$ 3.100</w:t>
            </w:r>
          </w:p>
        </w:tc>
        <w:tc>
          <w:tcPr>
            <w:tcW w:w="1260" w:type="dxa"/>
            <w:tcBorders>
              <w:top w:val="nil"/>
              <w:left w:val="nil"/>
              <w:bottom w:val="single" w:sz="4" w:space="0" w:color="auto"/>
              <w:right w:val="single" w:sz="4" w:space="0" w:color="auto"/>
            </w:tcBorders>
            <w:shd w:val="clear" w:color="000000" w:fill="F2F2F2"/>
            <w:noWrap/>
            <w:vAlign w:val="center"/>
            <w:hideMark/>
          </w:tcPr>
          <w:p w14:paraId="2433925D"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$ 74.493.562</w:t>
            </w:r>
          </w:p>
        </w:tc>
        <w:tc>
          <w:tcPr>
            <w:tcW w:w="1920" w:type="dxa"/>
            <w:tcBorders>
              <w:top w:val="nil"/>
              <w:left w:val="nil"/>
              <w:bottom w:val="single" w:sz="4" w:space="0" w:color="auto"/>
              <w:right w:val="single" w:sz="4" w:space="0" w:color="auto"/>
            </w:tcBorders>
            <w:shd w:val="clear" w:color="000000" w:fill="F2F2F2"/>
            <w:vAlign w:val="center"/>
            <w:hideMark/>
          </w:tcPr>
          <w:p w14:paraId="6982B0B5"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GAS POR REDES</w:t>
            </w:r>
          </w:p>
        </w:tc>
      </w:tr>
      <w:tr w:rsidR="00D705A6" w:rsidRPr="002E0BB9" w14:paraId="692FD9D7" w14:textId="77777777" w:rsidTr="007D1249">
        <w:trPr>
          <w:trHeight w:val="2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0BFD1474"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271</w:t>
            </w:r>
          </w:p>
        </w:tc>
        <w:tc>
          <w:tcPr>
            <w:tcW w:w="560" w:type="dxa"/>
            <w:tcBorders>
              <w:top w:val="nil"/>
              <w:left w:val="nil"/>
              <w:bottom w:val="single" w:sz="4" w:space="0" w:color="auto"/>
              <w:right w:val="single" w:sz="4" w:space="0" w:color="auto"/>
            </w:tcBorders>
            <w:shd w:val="clear" w:color="000000" w:fill="F2F2F2"/>
            <w:noWrap/>
            <w:vAlign w:val="center"/>
            <w:hideMark/>
          </w:tcPr>
          <w:p w14:paraId="07065F3D"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41456</w:t>
            </w:r>
          </w:p>
        </w:tc>
        <w:tc>
          <w:tcPr>
            <w:tcW w:w="920" w:type="dxa"/>
            <w:tcBorders>
              <w:top w:val="nil"/>
              <w:left w:val="nil"/>
              <w:bottom w:val="single" w:sz="4" w:space="0" w:color="auto"/>
              <w:right w:val="single" w:sz="4" w:space="0" w:color="auto"/>
            </w:tcBorders>
            <w:shd w:val="clear" w:color="000000" w:fill="F2F2F2"/>
            <w:noWrap/>
            <w:vAlign w:val="center"/>
            <w:hideMark/>
          </w:tcPr>
          <w:p w14:paraId="1A806A6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901043956</w:t>
            </w:r>
          </w:p>
        </w:tc>
        <w:tc>
          <w:tcPr>
            <w:tcW w:w="2180" w:type="dxa"/>
            <w:tcBorders>
              <w:top w:val="nil"/>
              <w:left w:val="nil"/>
              <w:bottom w:val="single" w:sz="4" w:space="0" w:color="auto"/>
              <w:right w:val="single" w:sz="4" w:space="0" w:color="auto"/>
            </w:tcBorders>
            <w:shd w:val="clear" w:color="000000" w:fill="F2F2F2"/>
            <w:vAlign w:val="center"/>
            <w:hideMark/>
          </w:tcPr>
          <w:p w14:paraId="4B7D95BA"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PLUSENERGY SAS ESP</w:t>
            </w:r>
          </w:p>
        </w:tc>
        <w:tc>
          <w:tcPr>
            <w:tcW w:w="1520" w:type="dxa"/>
            <w:tcBorders>
              <w:top w:val="nil"/>
              <w:left w:val="nil"/>
              <w:bottom w:val="single" w:sz="4" w:space="0" w:color="auto"/>
              <w:right w:val="single" w:sz="4" w:space="0" w:color="auto"/>
            </w:tcBorders>
            <w:shd w:val="clear" w:color="000000" w:fill="F2F2F2"/>
            <w:noWrap/>
            <w:vAlign w:val="center"/>
            <w:hideMark/>
          </w:tcPr>
          <w:p w14:paraId="2BE5EAE5"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$ 369.693.000</w:t>
            </w:r>
          </w:p>
        </w:tc>
        <w:tc>
          <w:tcPr>
            <w:tcW w:w="1440" w:type="dxa"/>
            <w:tcBorders>
              <w:top w:val="nil"/>
              <w:left w:val="nil"/>
              <w:bottom w:val="single" w:sz="4" w:space="0" w:color="auto"/>
              <w:right w:val="single" w:sz="4" w:space="0" w:color="auto"/>
            </w:tcBorders>
            <w:shd w:val="clear" w:color="000000" w:fill="F2F2F2"/>
            <w:noWrap/>
            <w:vAlign w:val="center"/>
            <w:hideMark/>
          </w:tcPr>
          <w:p w14:paraId="2E71235E"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$ 0</w:t>
            </w:r>
          </w:p>
        </w:tc>
        <w:tc>
          <w:tcPr>
            <w:tcW w:w="1460" w:type="dxa"/>
            <w:tcBorders>
              <w:top w:val="nil"/>
              <w:left w:val="nil"/>
              <w:bottom w:val="single" w:sz="4" w:space="0" w:color="auto"/>
              <w:right w:val="single" w:sz="4" w:space="0" w:color="auto"/>
            </w:tcBorders>
            <w:shd w:val="clear" w:color="000000" w:fill="F2F2F2"/>
            <w:noWrap/>
            <w:vAlign w:val="center"/>
            <w:hideMark/>
          </w:tcPr>
          <w:p w14:paraId="45668E4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$ 369.693.000</w:t>
            </w:r>
          </w:p>
        </w:tc>
        <w:tc>
          <w:tcPr>
            <w:tcW w:w="1260" w:type="dxa"/>
            <w:tcBorders>
              <w:top w:val="nil"/>
              <w:left w:val="nil"/>
              <w:bottom w:val="single" w:sz="4" w:space="0" w:color="auto"/>
              <w:right w:val="single" w:sz="4" w:space="0" w:color="auto"/>
            </w:tcBorders>
            <w:shd w:val="clear" w:color="000000" w:fill="F2F2F2"/>
            <w:noWrap/>
            <w:vAlign w:val="center"/>
            <w:hideMark/>
          </w:tcPr>
          <w:p w14:paraId="0A6C744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$ 3.696.930</w:t>
            </w:r>
          </w:p>
        </w:tc>
        <w:tc>
          <w:tcPr>
            <w:tcW w:w="1120" w:type="dxa"/>
            <w:tcBorders>
              <w:top w:val="nil"/>
              <w:left w:val="nil"/>
              <w:bottom w:val="single" w:sz="4" w:space="0" w:color="auto"/>
              <w:right w:val="single" w:sz="4" w:space="0" w:color="auto"/>
            </w:tcBorders>
            <w:shd w:val="clear" w:color="000000" w:fill="F2F2F2"/>
            <w:noWrap/>
            <w:vAlign w:val="center"/>
            <w:hideMark/>
          </w:tcPr>
          <w:p w14:paraId="7DB4F29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$ 154</w:t>
            </w:r>
          </w:p>
        </w:tc>
        <w:tc>
          <w:tcPr>
            <w:tcW w:w="1260" w:type="dxa"/>
            <w:tcBorders>
              <w:top w:val="nil"/>
              <w:left w:val="nil"/>
              <w:bottom w:val="single" w:sz="4" w:space="0" w:color="auto"/>
              <w:right w:val="single" w:sz="4" w:space="0" w:color="auto"/>
            </w:tcBorders>
            <w:shd w:val="clear" w:color="000000" w:fill="F2F2F2"/>
            <w:noWrap/>
            <w:vAlign w:val="center"/>
            <w:hideMark/>
          </w:tcPr>
          <w:p w14:paraId="21CBC3A1"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$ 3.697.084</w:t>
            </w:r>
          </w:p>
        </w:tc>
        <w:tc>
          <w:tcPr>
            <w:tcW w:w="1920" w:type="dxa"/>
            <w:tcBorders>
              <w:top w:val="nil"/>
              <w:left w:val="nil"/>
              <w:bottom w:val="single" w:sz="4" w:space="0" w:color="auto"/>
              <w:right w:val="single" w:sz="4" w:space="0" w:color="auto"/>
            </w:tcBorders>
            <w:shd w:val="clear" w:color="000000" w:fill="F2F2F2"/>
            <w:vAlign w:val="center"/>
            <w:hideMark/>
          </w:tcPr>
          <w:p w14:paraId="211CCEA2"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w:t>
            </w:r>
          </w:p>
        </w:tc>
      </w:tr>
      <w:tr w:rsidR="00D705A6" w:rsidRPr="002E0BB9" w14:paraId="453FB2E3" w14:textId="77777777" w:rsidTr="007D1249">
        <w:trPr>
          <w:trHeight w:val="2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6BC507C3"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272</w:t>
            </w:r>
          </w:p>
        </w:tc>
        <w:tc>
          <w:tcPr>
            <w:tcW w:w="560" w:type="dxa"/>
            <w:tcBorders>
              <w:top w:val="nil"/>
              <w:left w:val="nil"/>
              <w:bottom w:val="single" w:sz="4" w:space="0" w:color="auto"/>
              <w:right w:val="single" w:sz="4" w:space="0" w:color="auto"/>
            </w:tcBorders>
            <w:shd w:val="clear" w:color="000000" w:fill="F2F2F2"/>
            <w:noWrap/>
            <w:vAlign w:val="center"/>
            <w:hideMark/>
          </w:tcPr>
          <w:p w14:paraId="00C7AAF2"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54926</w:t>
            </w:r>
          </w:p>
        </w:tc>
        <w:tc>
          <w:tcPr>
            <w:tcW w:w="920" w:type="dxa"/>
            <w:tcBorders>
              <w:top w:val="nil"/>
              <w:left w:val="nil"/>
              <w:bottom w:val="single" w:sz="4" w:space="0" w:color="auto"/>
              <w:right w:val="single" w:sz="4" w:space="0" w:color="auto"/>
            </w:tcBorders>
            <w:shd w:val="clear" w:color="000000" w:fill="F2F2F2"/>
            <w:noWrap/>
            <w:vAlign w:val="center"/>
            <w:hideMark/>
          </w:tcPr>
          <w:p w14:paraId="06F5B6F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901054344</w:t>
            </w:r>
          </w:p>
        </w:tc>
        <w:tc>
          <w:tcPr>
            <w:tcW w:w="2180" w:type="dxa"/>
            <w:tcBorders>
              <w:top w:val="nil"/>
              <w:left w:val="nil"/>
              <w:bottom w:val="single" w:sz="4" w:space="0" w:color="auto"/>
              <w:right w:val="single" w:sz="4" w:space="0" w:color="auto"/>
            </w:tcBorders>
            <w:shd w:val="clear" w:color="000000" w:fill="F2F2F2"/>
            <w:vAlign w:val="center"/>
            <w:hideMark/>
          </w:tcPr>
          <w:p w14:paraId="1B7A0724"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CEE ENERGY SAS ESP</w:t>
            </w:r>
          </w:p>
        </w:tc>
        <w:tc>
          <w:tcPr>
            <w:tcW w:w="1520" w:type="dxa"/>
            <w:tcBorders>
              <w:top w:val="nil"/>
              <w:left w:val="nil"/>
              <w:bottom w:val="single" w:sz="4" w:space="0" w:color="auto"/>
              <w:right w:val="single" w:sz="4" w:space="0" w:color="auto"/>
            </w:tcBorders>
            <w:shd w:val="clear" w:color="000000" w:fill="F2F2F2"/>
            <w:noWrap/>
            <w:vAlign w:val="center"/>
            <w:hideMark/>
          </w:tcPr>
          <w:p w14:paraId="3370BF6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$ 322.639.000</w:t>
            </w:r>
          </w:p>
        </w:tc>
        <w:tc>
          <w:tcPr>
            <w:tcW w:w="1440" w:type="dxa"/>
            <w:tcBorders>
              <w:top w:val="nil"/>
              <w:left w:val="nil"/>
              <w:bottom w:val="single" w:sz="4" w:space="0" w:color="auto"/>
              <w:right w:val="single" w:sz="4" w:space="0" w:color="auto"/>
            </w:tcBorders>
            <w:shd w:val="clear" w:color="000000" w:fill="F2F2F2"/>
            <w:noWrap/>
            <w:vAlign w:val="center"/>
            <w:hideMark/>
          </w:tcPr>
          <w:p w14:paraId="076B303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$ 115.167.538</w:t>
            </w:r>
          </w:p>
        </w:tc>
        <w:tc>
          <w:tcPr>
            <w:tcW w:w="1460" w:type="dxa"/>
            <w:tcBorders>
              <w:top w:val="nil"/>
              <w:left w:val="nil"/>
              <w:bottom w:val="single" w:sz="4" w:space="0" w:color="auto"/>
              <w:right w:val="single" w:sz="4" w:space="0" w:color="auto"/>
            </w:tcBorders>
            <w:shd w:val="clear" w:color="000000" w:fill="F2F2F2"/>
            <w:noWrap/>
            <w:vAlign w:val="center"/>
            <w:hideMark/>
          </w:tcPr>
          <w:p w14:paraId="362577C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$ 437.806.538</w:t>
            </w:r>
          </w:p>
        </w:tc>
        <w:tc>
          <w:tcPr>
            <w:tcW w:w="1260" w:type="dxa"/>
            <w:tcBorders>
              <w:top w:val="nil"/>
              <w:left w:val="nil"/>
              <w:bottom w:val="single" w:sz="4" w:space="0" w:color="auto"/>
              <w:right w:val="single" w:sz="4" w:space="0" w:color="auto"/>
            </w:tcBorders>
            <w:shd w:val="clear" w:color="000000" w:fill="F2F2F2"/>
            <w:noWrap/>
            <w:vAlign w:val="center"/>
            <w:hideMark/>
          </w:tcPr>
          <w:p w14:paraId="566FC0B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$ 4.378.065</w:t>
            </w:r>
          </w:p>
        </w:tc>
        <w:tc>
          <w:tcPr>
            <w:tcW w:w="1120" w:type="dxa"/>
            <w:tcBorders>
              <w:top w:val="nil"/>
              <w:left w:val="nil"/>
              <w:bottom w:val="single" w:sz="4" w:space="0" w:color="auto"/>
              <w:right w:val="single" w:sz="4" w:space="0" w:color="auto"/>
            </w:tcBorders>
            <w:shd w:val="clear" w:color="000000" w:fill="F2F2F2"/>
            <w:noWrap/>
            <w:vAlign w:val="center"/>
            <w:hideMark/>
          </w:tcPr>
          <w:p w14:paraId="1840812D"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$ 182</w:t>
            </w:r>
          </w:p>
        </w:tc>
        <w:tc>
          <w:tcPr>
            <w:tcW w:w="1260" w:type="dxa"/>
            <w:tcBorders>
              <w:top w:val="nil"/>
              <w:left w:val="nil"/>
              <w:bottom w:val="single" w:sz="4" w:space="0" w:color="auto"/>
              <w:right w:val="single" w:sz="4" w:space="0" w:color="auto"/>
            </w:tcBorders>
            <w:shd w:val="clear" w:color="000000" w:fill="F2F2F2"/>
            <w:noWrap/>
            <w:vAlign w:val="center"/>
            <w:hideMark/>
          </w:tcPr>
          <w:p w14:paraId="7DA84F45"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$ 4.378.248</w:t>
            </w:r>
          </w:p>
        </w:tc>
        <w:tc>
          <w:tcPr>
            <w:tcW w:w="1920" w:type="dxa"/>
            <w:tcBorders>
              <w:top w:val="nil"/>
              <w:left w:val="nil"/>
              <w:bottom w:val="single" w:sz="4" w:space="0" w:color="auto"/>
              <w:right w:val="single" w:sz="4" w:space="0" w:color="auto"/>
            </w:tcBorders>
            <w:shd w:val="clear" w:color="000000" w:fill="F2F2F2"/>
            <w:vAlign w:val="center"/>
            <w:hideMark/>
          </w:tcPr>
          <w:p w14:paraId="3CF6058C"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w:t>
            </w:r>
          </w:p>
        </w:tc>
      </w:tr>
      <w:tr w:rsidR="00D705A6" w:rsidRPr="002E0BB9" w14:paraId="4BA97BF7" w14:textId="77777777" w:rsidTr="007D1249">
        <w:trPr>
          <w:trHeight w:val="4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37BE7EF0"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273</w:t>
            </w:r>
          </w:p>
        </w:tc>
        <w:tc>
          <w:tcPr>
            <w:tcW w:w="560" w:type="dxa"/>
            <w:tcBorders>
              <w:top w:val="nil"/>
              <w:left w:val="nil"/>
              <w:bottom w:val="single" w:sz="4" w:space="0" w:color="auto"/>
              <w:right w:val="single" w:sz="4" w:space="0" w:color="auto"/>
            </w:tcBorders>
            <w:shd w:val="clear" w:color="000000" w:fill="F2F2F2"/>
            <w:noWrap/>
            <w:vAlign w:val="center"/>
            <w:hideMark/>
          </w:tcPr>
          <w:p w14:paraId="22189A2D"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63854</w:t>
            </w:r>
          </w:p>
        </w:tc>
        <w:tc>
          <w:tcPr>
            <w:tcW w:w="920" w:type="dxa"/>
            <w:tcBorders>
              <w:top w:val="nil"/>
              <w:left w:val="nil"/>
              <w:bottom w:val="single" w:sz="4" w:space="0" w:color="auto"/>
              <w:right w:val="single" w:sz="4" w:space="0" w:color="auto"/>
            </w:tcBorders>
            <w:shd w:val="clear" w:color="000000" w:fill="F2F2F2"/>
            <w:noWrap/>
            <w:vAlign w:val="center"/>
            <w:hideMark/>
          </w:tcPr>
          <w:p w14:paraId="24DF73C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901063906</w:t>
            </w:r>
          </w:p>
        </w:tc>
        <w:tc>
          <w:tcPr>
            <w:tcW w:w="2180" w:type="dxa"/>
            <w:tcBorders>
              <w:top w:val="nil"/>
              <w:left w:val="nil"/>
              <w:bottom w:val="single" w:sz="4" w:space="0" w:color="auto"/>
              <w:right w:val="single" w:sz="4" w:space="0" w:color="auto"/>
            </w:tcBorders>
            <w:shd w:val="clear" w:color="000000" w:fill="F2F2F2"/>
            <w:vAlign w:val="center"/>
            <w:hideMark/>
          </w:tcPr>
          <w:p w14:paraId="2B69ABC8"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SOLARPACK COLOMBIA SAS ESP</w:t>
            </w:r>
          </w:p>
        </w:tc>
        <w:tc>
          <w:tcPr>
            <w:tcW w:w="1520" w:type="dxa"/>
            <w:tcBorders>
              <w:top w:val="nil"/>
              <w:left w:val="nil"/>
              <w:bottom w:val="single" w:sz="4" w:space="0" w:color="auto"/>
              <w:right w:val="single" w:sz="4" w:space="0" w:color="auto"/>
            </w:tcBorders>
            <w:shd w:val="clear" w:color="000000" w:fill="F2F2F2"/>
            <w:noWrap/>
            <w:vAlign w:val="center"/>
            <w:hideMark/>
          </w:tcPr>
          <w:p w14:paraId="0FEFCF42"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$ 6.077.753.000</w:t>
            </w:r>
          </w:p>
        </w:tc>
        <w:tc>
          <w:tcPr>
            <w:tcW w:w="1440" w:type="dxa"/>
            <w:tcBorders>
              <w:top w:val="nil"/>
              <w:left w:val="nil"/>
              <w:bottom w:val="single" w:sz="4" w:space="0" w:color="auto"/>
              <w:right w:val="single" w:sz="4" w:space="0" w:color="auto"/>
            </w:tcBorders>
            <w:shd w:val="clear" w:color="000000" w:fill="F2F2F2"/>
            <w:noWrap/>
            <w:vAlign w:val="center"/>
            <w:hideMark/>
          </w:tcPr>
          <w:p w14:paraId="7DEEC1E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$ 0</w:t>
            </w:r>
          </w:p>
        </w:tc>
        <w:tc>
          <w:tcPr>
            <w:tcW w:w="1460" w:type="dxa"/>
            <w:tcBorders>
              <w:top w:val="nil"/>
              <w:left w:val="nil"/>
              <w:bottom w:val="single" w:sz="4" w:space="0" w:color="auto"/>
              <w:right w:val="single" w:sz="4" w:space="0" w:color="auto"/>
            </w:tcBorders>
            <w:shd w:val="clear" w:color="000000" w:fill="F2F2F2"/>
            <w:noWrap/>
            <w:vAlign w:val="center"/>
            <w:hideMark/>
          </w:tcPr>
          <w:p w14:paraId="4B91E48E"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$ 6.077.753.000</w:t>
            </w:r>
          </w:p>
        </w:tc>
        <w:tc>
          <w:tcPr>
            <w:tcW w:w="1260" w:type="dxa"/>
            <w:tcBorders>
              <w:top w:val="nil"/>
              <w:left w:val="nil"/>
              <w:bottom w:val="single" w:sz="4" w:space="0" w:color="auto"/>
              <w:right w:val="single" w:sz="4" w:space="0" w:color="auto"/>
            </w:tcBorders>
            <w:shd w:val="clear" w:color="000000" w:fill="F2F2F2"/>
            <w:noWrap/>
            <w:vAlign w:val="center"/>
            <w:hideMark/>
          </w:tcPr>
          <w:p w14:paraId="36F9FE6B"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$ 60.777.530</w:t>
            </w:r>
          </w:p>
        </w:tc>
        <w:tc>
          <w:tcPr>
            <w:tcW w:w="1120" w:type="dxa"/>
            <w:tcBorders>
              <w:top w:val="nil"/>
              <w:left w:val="nil"/>
              <w:bottom w:val="single" w:sz="4" w:space="0" w:color="auto"/>
              <w:right w:val="single" w:sz="4" w:space="0" w:color="auto"/>
            </w:tcBorders>
            <w:shd w:val="clear" w:color="000000" w:fill="F2F2F2"/>
            <w:noWrap/>
            <w:vAlign w:val="center"/>
            <w:hideMark/>
          </w:tcPr>
          <w:p w14:paraId="2FA218C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$ 2.529</w:t>
            </w:r>
          </w:p>
        </w:tc>
        <w:tc>
          <w:tcPr>
            <w:tcW w:w="1260" w:type="dxa"/>
            <w:tcBorders>
              <w:top w:val="nil"/>
              <w:left w:val="nil"/>
              <w:bottom w:val="single" w:sz="4" w:space="0" w:color="auto"/>
              <w:right w:val="single" w:sz="4" w:space="0" w:color="auto"/>
            </w:tcBorders>
            <w:shd w:val="clear" w:color="000000" w:fill="F2F2F2"/>
            <w:noWrap/>
            <w:vAlign w:val="center"/>
            <w:hideMark/>
          </w:tcPr>
          <w:p w14:paraId="789C5B55"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$ 60.780.059</w:t>
            </w:r>
          </w:p>
        </w:tc>
        <w:tc>
          <w:tcPr>
            <w:tcW w:w="1920" w:type="dxa"/>
            <w:tcBorders>
              <w:top w:val="nil"/>
              <w:left w:val="nil"/>
              <w:bottom w:val="single" w:sz="4" w:space="0" w:color="auto"/>
              <w:right w:val="single" w:sz="4" w:space="0" w:color="auto"/>
            </w:tcBorders>
            <w:shd w:val="clear" w:color="000000" w:fill="F2F2F2"/>
            <w:vAlign w:val="center"/>
            <w:hideMark/>
          </w:tcPr>
          <w:p w14:paraId="2168C710"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w:t>
            </w:r>
          </w:p>
        </w:tc>
      </w:tr>
      <w:tr w:rsidR="00D705A6" w:rsidRPr="002E0BB9" w14:paraId="33FCD78A" w14:textId="77777777" w:rsidTr="007D1249">
        <w:trPr>
          <w:trHeight w:val="6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400593B0"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274</w:t>
            </w:r>
          </w:p>
        </w:tc>
        <w:tc>
          <w:tcPr>
            <w:tcW w:w="560" w:type="dxa"/>
            <w:tcBorders>
              <w:top w:val="nil"/>
              <w:left w:val="nil"/>
              <w:bottom w:val="single" w:sz="4" w:space="0" w:color="auto"/>
              <w:right w:val="single" w:sz="4" w:space="0" w:color="auto"/>
            </w:tcBorders>
            <w:shd w:val="clear" w:color="000000" w:fill="F2F2F2"/>
            <w:noWrap/>
            <w:vAlign w:val="center"/>
            <w:hideMark/>
          </w:tcPr>
          <w:p w14:paraId="30FFA26D"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38851</w:t>
            </w:r>
          </w:p>
        </w:tc>
        <w:tc>
          <w:tcPr>
            <w:tcW w:w="920" w:type="dxa"/>
            <w:tcBorders>
              <w:top w:val="nil"/>
              <w:left w:val="nil"/>
              <w:bottom w:val="single" w:sz="4" w:space="0" w:color="auto"/>
              <w:right w:val="single" w:sz="4" w:space="0" w:color="auto"/>
            </w:tcBorders>
            <w:shd w:val="clear" w:color="000000" w:fill="F2F2F2"/>
            <w:noWrap/>
            <w:vAlign w:val="center"/>
            <w:hideMark/>
          </w:tcPr>
          <w:p w14:paraId="5A07011E"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901094262</w:t>
            </w:r>
          </w:p>
        </w:tc>
        <w:tc>
          <w:tcPr>
            <w:tcW w:w="2180" w:type="dxa"/>
            <w:tcBorders>
              <w:top w:val="nil"/>
              <w:left w:val="nil"/>
              <w:bottom w:val="single" w:sz="4" w:space="0" w:color="auto"/>
              <w:right w:val="single" w:sz="4" w:space="0" w:color="auto"/>
            </w:tcBorders>
            <w:shd w:val="clear" w:color="000000" w:fill="F2F2F2"/>
            <w:vAlign w:val="center"/>
            <w:hideMark/>
          </w:tcPr>
          <w:p w14:paraId="59C2CDB7" w14:textId="77777777" w:rsidR="00D705A6" w:rsidRPr="002E0BB9" w:rsidRDefault="00D705A6" w:rsidP="00D22441">
            <w:pPr>
              <w:jc w:val="left"/>
              <w:rPr>
                <w:rFonts w:ascii="Arial Narrow" w:hAnsi="Arial Narrow" w:cs="Arial"/>
                <w:spacing w:val="0"/>
                <w:sz w:val="16"/>
                <w:szCs w:val="16"/>
                <w:lang w:val="es-MX" w:eastAsia="es-MX"/>
              </w:rPr>
            </w:pPr>
            <w:proofErr w:type="gramStart"/>
            <w:r w:rsidRPr="002E0BB9">
              <w:rPr>
                <w:rFonts w:ascii="Arial Narrow" w:hAnsi="Arial Narrow" w:cs="Arial"/>
                <w:spacing w:val="0"/>
                <w:sz w:val="16"/>
                <w:szCs w:val="16"/>
                <w:lang w:val="es-MX" w:eastAsia="es-MX"/>
              </w:rPr>
              <w:t>E..A.</w:t>
            </w:r>
            <w:proofErr w:type="gramEnd"/>
            <w:r w:rsidRPr="002E0BB9">
              <w:rPr>
                <w:rFonts w:ascii="Arial Narrow" w:hAnsi="Arial Narrow" w:cs="Arial"/>
                <w:spacing w:val="0"/>
                <w:sz w:val="16"/>
                <w:szCs w:val="16"/>
                <w:lang w:val="es-MX" w:eastAsia="es-MX"/>
              </w:rPr>
              <w:t xml:space="preserve"> T. ELECTRIFICADORA DE LA ZONA FRONTERA Y RURAL DE TUMACO</w:t>
            </w:r>
          </w:p>
        </w:tc>
        <w:tc>
          <w:tcPr>
            <w:tcW w:w="1520" w:type="dxa"/>
            <w:tcBorders>
              <w:top w:val="nil"/>
              <w:left w:val="nil"/>
              <w:bottom w:val="single" w:sz="4" w:space="0" w:color="auto"/>
              <w:right w:val="single" w:sz="4" w:space="0" w:color="auto"/>
            </w:tcBorders>
            <w:shd w:val="clear" w:color="000000" w:fill="F2F2F2"/>
            <w:noWrap/>
            <w:vAlign w:val="center"/>
            <w:hideMark/>
          </w:tcPr>
          <w:p w14:paraId="215ABBF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$ 148.808.000</w:t>
            </w:r>
          </w:p>
        </w:tc>
        <w:tc>
          <w:tcPr>
            <w:tcW w:w="1440" w:type="dxa"/>
            <w:tcBorders>
              <w:top w:val="nil"/>
              <w:left w:val="nil"/>
              <w:bottom w:val="single" w:sz="4" w:space="0" w:color="auto"/>
              <w:right w:val="single" w:sz="4" w:space="0" w:color="auto"/>
            </w:tcBorders>
            <w:shd w:val="clear" w:color="000000" w:fill="F2F2F2"/>
            <w:noWrap/>
            <w:vAlign w:val="center"/>
            <w:hideMark/>
          </w:tcPr>
          <w:p w14:paraId="30E9244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$ 303.806</w:t>
            </w:r>
          </w:p>
        </w:tc>
        <w:tc>
          <w:tcPr>
            <w:tcW w:w="1460" w:type="dxa"/>
            <w:tcBorders>
              <w:top w:val="nil"/>
              <w:left w:val="nil"/>
              <w:bottom w:val="single" w:sz="4" w:space="0" w:color="auto"/>
              <w:right w:val="single" w:sz="4" w:space="0" w:color="auto"/>
            </w:tcBorders>
            <w:shd w:val="clear" w:color="000000" w:fill="F2F2F2"/>
            <w:noWrap/>
            <w:vAlign w:val="center"/>
            <w:hideMark/>
          </w:tcPr>
          <w:p w14:paraId="7B21B12C"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$ 149.111.806</w:t>
            </w:r>
          </w:p>
        </w:tc>
        <w:tc>
          <w:tcPr>
            <w:tcW w:w="1260" w:type="dxa"/>
            <w:tcBorders>
              <w:top w:val="nil"/>
              <w:left w:val="nil"/>
              <w:bottom w:val="single" w:sz="4" w:space="0" w:color="auto"/>
              <w:right w:val="single" w:sz="4" w:space="0" w:color="auto"/>
            </w:tcBorders>
            <w:shd w:val="clear" w:color="000000" w:fill="F2F2F2"/>
            <w:noWrap/>
            <w:vAlign w:val="center"/>
            <w:hideMark/>
          </w:tcPr>
          <w:p w14:paraId="5696EF1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$ 1.491.118</w:t>
            </w:r>
          </w:p>
        </w:tc>
        <w:tc>
          <w:tcPr>
            <w:tcW w:w="1120" w:type="dxa"/>
            <w:tcBorders>
              <w:top w:val="nil"/>
              <w:left w:val="nil"/>
              <w:bottom w:val="single" w:sz="4" w:space="0" w:color="auto"/>
              <w:right w:val="single" w:sz="4" w:space="0" w:color="auto"/>
            </w:tcBorders>
            <w:shd w:val="clear" w:color="000000" w:fill="F2F2F2"/>
            <w:noWrap/>
            <w:vAlign w:val="center"/>
            <w:hideMark/>
          </w:tcPr>
          <w:p w14:paraId="775EA31C"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$ 62</w:t>
            </w:r>
          </w:p>
        </w:tc>
        <w:tc>
          <w:tcPr>
            <w:tcW w:w="1260" w:type="dxa"/>
            <w:tcBorders>
              <w:top w:val="nil"/>
              <w:left w:val="nil"/>
              <w:bottom w:val="single" w:sz="4" w:space="0" w:color="auto"/>
              <w:right w:val="single" w:sz="4" w:space="0" w:color="auto"/>
            </w:tcBorders>
            <w:shd w:val="clear" w:color="000000" w:fill="F2F2F2"/>
            <w:noWrap/>
            <w:vAlign w:val="center"/>
            <w:hideMark/>
          </w:tcPr>
          <w:p w14:paraId="04A46901"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$ 1.491.180</w:t>
            </w:r>
          </w:p>
        </w:tc>
        <w:tc>
          <w:tcPr>
            <w:tcW w:w="1920" w:type="dxa"/>
            <w:tcBorders>
              <w:top w:val="nil"/>
              <w:left w:val="nil"/>
              <w:bottom w:val="single" w:sz="4" w:space="0" w:color="auto"/>
              <w:right w:val="single" w:sz="4" w:space="0" w:color="auto"/>
            </w:tcBorders>
            <w:shd w:val="clear" w:color="000000" w:fill="F2F2F2"/>
            <w:vAlign w:val="center"/>
            <w:hideMark/>
          </w:tcPr>
          <w:p w14:paraId="325CFA58"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w:t>
            </w:r>
          </w:p>
        </w:tc>
      </w:tr>
      <w:tr w:rsidR="00D705A6" w:rsidRPr="002E0BB9" w14:paraId="68A4D5E7" w14:textId="77777777" w:rsidTr="007D1249">
        <w:trPr>
          <w:trHeight w:val="2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05E58D3F"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275</w:t>
            </w:r>
          </w:p>
        </w:tc>
        <w:tc>
          <w:tcPr>
            <w:tcW w:w="560" w:type="dxa"/>
            <w:tcBorders>
              <w:top w:val="nil"/>
              <w:left w:val="nil"/>
              <w:bottom w:val="single" w:sz="4" w:space="0" w:color="auto"/>
              <w:right w:val="single" w:sz="4" w:space="0" w:color="auto"/>
            </w:tcBorders>
            <w:shd w:val="clear" w:color="000000" w:fill="F2F2F2"/>
            <w:noWrap/>
            <w:vAlign w:val="center"/>
            <w:hideMark/>
          </w:tcPr>
          <w:p w14:paraId="526861A2"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38213</w:t>
            </w:r>
          </w:p>
        </w:tc>
        <w:tc>
          <w:tcPr>
            <w:tcW w:w="920" w:type="dxa"/>
            <w:tcBorders>
              <w:top w:val="nil"/>
              <w:left w:val="nil"/>
              <w:bottom w:val="single" w:sz="4" w:space="0" w:color="auto"/>
              <w:right w:val="single" w:sz="4" w:space="0" w:color="auto"/>
            </w:tcBorders>
            <w:shd w:val="clear" w:color="000000" w:fill="F2F2F2"/>
            <w:noWrap/>
            <w:vAlign w:val="center"/>
            <w:hideMark/>
          </w:tcPr>
          <w:p w14:paraId="09766317"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901094947</w:t>
            </w:r>
          </w:p>
        </w:tc>
        <w:tc>
          <w:tcPr>
            <w:tcW w:w="2180" w:type="dxa"/>
            <w:tcBorders>
              <w:top w:val="nil"/>
              <w:left w:val="nil"/>
              <w:bottom w:val="single" w:sz="4" w:space="0" w:color="auto"/>
              <w:right w:val="single" w:sz="4" w:space="0" w:color="auto"/>
            </w:tcBorders>
            <w:shd w:val="clear" w:color="000000" w:fill="F2F2F2"/>
            <w:vAlign w:val="center"/>
            <w:hideMark/>
          </w:tcPr>
          <w:p w14:paraId="1DC417AA"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CEN ENERGY S.A.S E.</w:t>
            </w:r>
            <w:proofErr w:type="gramStart"/>
            <w:r w:rsidRPr="002E0BB9">
              <w:rPr>
                <w:rFonts w:ascii="Arial Narrow" w:hAnsi="Arial Narrow" w:cs="Arial"/>
                <w:spacing w:val="0"/>
                <w:sz w:val="16"/>
                <w:szCs w:val="16"/>
                <w:lang w:val="es-MX" w:eastAsia="es-MX"/>
              </w:rPr>
              <w:t>S.P</w:t>
            </w:r>
            <w:proofErr w:type="gramEnd"/>
          </w:p>
        </w:tc>
        <w:tc>
          <w:tcPr>
            <w:tcW w:w="1520" w:type="dxa"/>
            <w:tcBorders>
              <w:top w:val="nil"/>
              <w:left w:val="nil"/>
              <w:bottom w:val="single" w:sz="4" w:space="0" w:color="auto"/>
              <w:right w:val="single" w:sz="4" w:space="0" w:color="auto"/>
            </w:tcBorders>
            <w:shd w:val="clear" w:color="000000" w:fill="F2F2F2"/>
            <w:noWrap/>
            <w:vAlign w:val="center"/>
            <w:hideMark/>
          </w:tcPr>
          <w:p w14:paraId="06CC91FA"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$ 388.462.000</w:t>
            </w:r>
          </w:p>
        </w:tc>
        <w:tc>
          <w:tcPr>
            <w:tcW w:w="1440" w:type="dxa"/>
            <w:tcBorders>
              <w:top w:val="nil"/>
              <w:left w:val="nil"/>
              <w:bottom w:val="single" w:sz="4" w:space="0" w:color="auto"/>
              <w:right w:val="single" w:sz="4" w:space="0" w:color="auto"/>
            </w:tcBorders>
            <w:shd w:val="clear" w:color="000000" w:fill="F2F2F2"/>
            <w:noWrap/>
            <w:vAlign w:val="center"/>
            <w:hideMark/>
          </w:tcPr>
          <w:p w14:paraId="7108E6A7"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$ 0</w:t>
            </w:r>
          </w:p>
        </w:tc>
        <w:tc>
          <w:tcPr>
            <w:tcW w:w="1460" w:type="dxa"/>
            <w:tcBorders>
              <w:top w:val="nil"/>
              <w:left w:val="nil"/>
              <w:bottom w:val="single" w:sz="4" w:space="0" w:color="auto"/>
              <w:right w:val="single" w:sz="4" w:space="0" w:color="auto"/>
            </w:tcBorders>
            <w:shd w:val="clear" w:color="000000" w:fill="F2F2F2"/>
            <w:noWrap/>
            <w:vAlign w:val="center"/>
            <w:hideMark/>
          </w:tcPr>
          <w:p w14:paraId="7D8595C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$ 388.462.000</w:t>
            </w:r>
          </w:p>
        </w:tc>
        <w:tc>
          <w:tcPr>
            <w:tcW w:w="1260" w:type="dxa"/>
            <w:tcBorders>
              <w:top w:val="nil"/>
              <w:left w:val="nil"/>
              <w:bottom w:val="single" w:sz="4" w:space="0" w:color="auto"/>
              <w:right w:val="single" w:sz="4" w:space="0" w:color="auto"/>
            </w:tcBorders>
            <w:shd w:val="clear" w:color="000000" w:fill="F2F2F2"/>
            <w:noWrap/>
            <w:vAlign w:val="center"/>
            <w:hideMark/>
          </w:tcPr>
          <w:p w14:paraId="08CF7F36"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$ 3.884.620</w:t>
            </w:r>
          </w:p>
        </w:tc>
        <w:tc>
          <w:tcPr>
            <w:tcW w:w="1120" w:type="dxa"/>
            <w:tcBorders>
              <w:top w:val="nil"/>
              <w:left w:val="nil"/>
              <w:bottom w:val="single" w:sz="4" w:space="0" w:color="auto"/>
              <w:right w:val="single" w:sz="4" w:space="0" w:color="auto"/>
            </w:tcBorders>
            <w:shd w:val="clear" w:color="000000" w:fill="F2F2F2"/>
            <w:noWrap/>
            <w:vAlign w:val="center"/>
            <w:hideMark/>
          </w:tcPr>
          <w:p w14:paraId="1B4FE99A"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$ 162</w:t>
            </w:r>
          </w:p>
        </w:tc>
        <w:tc>
          <w:tcPr>
            <w:tcW w:w="1260" w:type="dxa"/>
            <w:tcBorders>
              <w:top w:val="nil"/>
              <w:left w:val="nil"/>
              <w:bottom w:val="single" w:sz="4" w:space="0" w:color="auto"/>
              <w:right w:val="single" w:sz="4" w:space="0" w:color="auto"/>
            </w:tcBorders>
            <w:shd w:val="clear" w:color="000000" w:fill="F2F2F2"/>
            <w:noWrap/>
            <w:vAlign w:val="center"/>
            <w:hideMark/>
          </w:tcPr>
          <w:p w14:paraId="63C16826"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$ 3.884.782</w:t>
            </w:r>
          </w:p>
        </w:tc>
        <w:tc>
          <w:tcPr>
            <w:tcW w:w="1920" w:type="dxa"/>
            <w:tcBorders>
              <w:top w:val="nil"/>
              <w:left w:val="nil"/>
              <w:bottom w:val="single" w:sz="4" w:space="0" w:color="auto"/>
              <w:right w:val="single" w:sz="4" w:space="0" w:color="auto"/>
            </w:tcBorders>
            <w:shd w:val="clear" w:color="000000" w:fill="F2F2F2"/>
            <w:vAlign w:val="center"/>
            <w:hideMark/>
          </w:tcPr>
          <w:p w14:paraId="0DC56448"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w:t>
            </w:r>
          </w:p>
        </w:tc>
      </w:tr>
      <w:tr w:rsidR="00D705A6" w:rsidRPr="002E0BB9" w14:paraId="74850BF9" w14:textId="77777777" w:rsidTr="007D1249">
        <w:trPr>
          <w:trHeight w:val="2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16AEDE28"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276</w:t>
            </w:r>
          </w:p>
        </w:tc>
        <w:tc>
          <w:tcPr>
            <w:tcW w:w="560" w:type="dxa"/>
            <w:tcBorders>
              <w:top w:val="nil"/>
              <w:left w:val="nil"/>
              <w:bottom w:val="single" w:sz="4" w:space="0" w:color="auto"/>
              <w:right w:val="single" w:sz="4" w:space="0" w:color="auto"/>
            </w:tcBorders>
            <w:shd w:val="clear" w:color="000000" w:fill="F2F2F2"/>
            <w:noWrap/>
            <w:vAlign w:val="center"/>
            <w:hideMark/>
          </w:tcPr>
          <w:p w14:paraId="4D8D52D6"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39313</w:t>
            </w:r>
          </w:p>
        </w:tc>
        <w:tc>
          <w:tcPr>
            <w:tcW w:w="920" w:type="dxa"/>
            <w:tcBorders>
              <w:top w:val="nil"/>
              <w:left w:val="nil"/>
              <w:bottom w:val="single" w:sz="4" w:space="0" w:color="auto"/>
              <w:right w:val="single" w:sz="4" w:space="0" w:color="auto"/>
            </w:tcBorders>
            <w:shd w:val="clear" w:color="000000" w:fill="F2F2F2"/>
            <w:noWrap/>
            <w:vAlign w:val="center"/>
            <w:hideMark/>
          </w:tcPr>
          <w:p w14:paraId="41AFBF52"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901125404</w:t>
            </w:r>
          </w:p>
        </w:tc>
        <w:tc>
          <w:tcPr>
            <w:tcW w:w="2180" w:type="dxa"/>
            <w:tcBorders>
              <w:top w:val="nil"/>
              <w:left w:val="nil"/>
              <w:bottom w:val="single" w:sz="4" w:space="0" w:color="auto"/>
              <w:right w:val="single" w:sz="4" w:space="0" w:color="auto"/>
            </w:tcBorders>
            <w:shd w:val="clear" w:color="000000" w:fill="F2F2F2"/>
            <w:vAlign w:val="center"/>
            <w:hideMark/>
          </w:tcPr>
          <w:p w14:paraId="0E4B95FE"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JULIA-RD SA ESP</w:t>
            </w:r>
          </w:p>
        </w:tc>
        <w:tc>
          <w:tcPr>
            <w:tcW w:w="1520" w:type="dxa"/>
            <w:tcBorders>
              <w:top w:val="nil"/>
              <w:left w:val="nil"/>
              <w:bottom w:val="single" w:sz="4" w:space="0" w:color="auto"/>
              <w:right w:val="single" w:sz="4" w:space="0" w:color="auto"/>
            </w:tcBorders>
            <w:shd w:val="clear" w:color="000000" w:fill="F2F2F2"/>
            <w:noWrap/>
            <w:vAlign w:val="center"/>
            <w:hideMark/>
          </w:tcPr>
          <w:p w14:paraId="04C5E5A7"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$ 173.468.000</w:t>
            </w:r>
          </w:p>
        </w:tc>
        <w:tc>
          <w:tcPr>
            <w:tcW w:w="1440" w:type="dxa"/>
            <w:tcBorders>
              <w:top w:val="nil"/>
              <w:left w:val="nil"/>
              <w:bottom w:val="single" w:sz="4" w:space="0" w:color="auto"/>
              <w:right w:val="single" w:sz="4" w:space="0" w:color="auto"/>
            </w:tcBorders>
            <w:shd w:val="clear" w:color="000000" w:fill="F2F2F2"/>
            <w:noWrap/>
            <w:vAlign w:val="center"/>
            <w:hideMark/>
          </w:tcPr>
          <w:p w14:paraId="3707E9D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$ 0</w:t>
            </w:r>
          </w:p>
        </w:tc>
        <w:tc>
          <w:tcPr>
            <w:tcW w:w="1460" w:type="dxa"/>
            <w:tcBorders>
              <w:top w:val="nil"/>
              <w:left w:val="nil"/>
              <w:bottom w:val="single" w:sz="4" w:space="0" w:color="auto"/>
              <w:right w:val="single" w:sz="4" w:space="0" w:color="auto"/>
            </w:tcBorders>
            <w:shd w:val="clear" w:color="000000" w:fill="F2F2F2"/>
            <w:noWrap/>
            <w:vAlign w:val="center"/>
            <w:hideMark/>
          </w:tcPr>
          <w:p w14:paraId="45A3DE5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$ 173.468.000</w:t>
            </w:r>
          </w:p>
        </w:tc>
        <w:tc>
          <w:tcPr>
            <w:tcW w:w="1260" w:type="dxa"/>
            <w:tcBorders>
              <w:top w:val="nil"/>
              <w:left w:val="nil"/>
              <w:bottom w:val="single" w:sz="4" w:space="0" w:color="auto"/>
              <w:right w:val="single" w:sz="4" w:space="0" w:color="auto"/>
            </w:tcBorders>
            <w:shd w:val="clear" w:color="000000" w:fill="F2F2F2"/>
            <w:noWrap/>
            <w:vAlign w:val="center"/>
            <w:hideMark/>
          </w:tcPr>
          <w:p w14:paraId="3A9475C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$ 1.734.680</w:t>
            </w:r>
          </w:p>
        </w:tc>
        <w:tc>
          <w:tcPr>
            <w:tcW w:w="1120" w:type="dxa"/>
            <w:tcBorders>
              <w:top w:val="nil"/>
              <w:left w:val="nil"/>
              <w:bottom w:val="single" w:sz="4" w:space="0" w:color="auto"/>
              <w:right w:val="single" w:sz="4" w:space="0" w:color="auto"/>
            </w:tcBorders>
            <w:shd w:val="clear" w:color="000000" w:fill="F2F2F2"/>
            <w:noWrap/>
            <w:vAlign w:val="center"/>
            <w:hideMark/>
          </w:tcPr>
          <w:p w14:paraId="6C7767E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$ 72</w:t>
            </w:r>
          </w:p>
        </w:tc>
        <w:tc>
          <w:tcPr>
            <w:tcW w:w="1260" w:type="dxa"/>
            <w:tcBorders>
              <w:top w:val="nil"/>
              <w:left w:val="nil"/>
              <w:bottom w:val="single" w:sz="4" w:space="0" w:color="auto"/>
              <w:right w:val="single" w:sz="4" w:space="0" w:color="auto"/>
            </w:tcBorders>
            <w:shd w:val="clear" w:color="000000" w:fill="F2F2F2"/>
            <w:noWrap/>
            <w:vAlign w:val="center"/>
            <w:hideMark/>
          </w:tcPr>
          <w:p w14:paraId="3BD8DDA2"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$ 1.734.752</w:t>
            </w:r>
          </w:p>
        </w:tc>
        <w:tc>
          <w:tcPr>
            <w:tcW w:w="1920" w:type="dxa"/>
            <w:tcBorders>
              <w:top w:val="nil"/>
              <w:left w:val="nil"/>
              <w:bottom w:val="single" w:sz="4" w:space="0" w:color="auto"/>
              <w:right w:val="single" w:sz="4" w:space="0" w:color="auto"/>
            </w:tcBorders>
            <w:shd w:val="clear" w:color="000000" w:fill="F2F2F2"/>
            <w:vAlign w:val="center"/>
            <w:hideMark/>
          </w:tcPr>
          <w:p w14:paraId="09BB6101"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w:t>
            </w:r>
          </w:p>
        </w:tc>
      </w:tr>
      <w:tr w:rsidR="00D705A6" w:rsidRPr="002E0BB9" w14:paraId="61059750" w14:textId="77777777" w:rsidTr="007D1249">
        <w:trPr>
          <w:trHeight w:val="4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2F293A88"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277</w:t>
            </w:r>
          </w:p>
        </w:tc>
        <w:tc>
          <w:tcPr>
            <w:tcW w:w="560" w:type="dxa"/>
            <w:tcBorders>
              <w:top w:val="nil"/>
              <w:left w:val="nil"/>
              <w:bottom w:val="single" w:sz="4" w:space="0" w:color="auto"/>
              <w:right w:val="single" w:sz="4" w:space="0" w:color="auto"/>
            </w:tcBorders>
            <w:shd w:val="clear" w:color="000000" w:fill="F2F2F2"/>
            <w:noWrap/>
            <w:vAlign w:val="center"/>
            <w:hideMark/>
          </w:tcPr>
          <w:p w14:paraId="5BB73C9C"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40255</w:t>
            </w:r>
          </w:p>
        </w:tc>
        <w:tc>
          <w:tcPr>
            <w:tcW w:w="920" w:type="dxa"/>
            <w:tcBorders>
              <w:top w:val="nil"/>
              <w:left w:val="nil"/>
              <w:bottom w:val="single" w:sz="4" w:space="0" w:color="auto"/>
              <w:right w:val="single" w:sz="4" w:space="0" w:color="auto"/>
            </w:tcBorders>
            <w:shd w:val="clear" w:color="000000" w:fill="F2F2F2"/>
            <w:noWrap/>
            <w:vAlign w:val="center"/>
            <w:hideMark/>
          </w:tcPr>
          <w:p w14:paraId="1F9D1845"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901157308</w:t>
            </w:r>
          </w:p>
        </w:tc>
        <w:tc>
          <w:tcPr>
            <w:tcW w:w="2180" w:type="dxa"/>
            <w:tcBorders>
              <w:top w:val="nil"/>
              <w:left w:val="nil"/>
              <w:bottom w:val="single" w:sz="4" w:space="0" w:color="auto"/>
              <w:right w:val="single" w:sz="4" w:space="0" w:color="auto"/>
            </w:tcBorders>
            <w:shd w:val="clear" w:color="000000" w:fill="F2F2F2"/>
            <w:vAlign w:val="center"/>
            <w:hideMark/>
          </w:tcPr>
          <w:p w14:paraId="68B8E29C"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BTU ENERGY S.A.S. E.S.P.</w:t>
            </w:r>
          </w:p>
        </w:tc>
        <w:tc>
          <w:tcPr>
            <w:tcW w:w="1520" w:type="dxa"/>
            <w:tcBorders>
              <w:top w:val="nil"/>
              <w:left w:val="nil"/>
              <w:bottom w:val="single" w:sz="4" w:space="0" w:color="auto"/>
              <w:right w:val="single" w:sz="4" w:space="0" w:color="auto"/>
            </w:tcBorders>
            <w:shd w:val="clear" w:color="000000" w:fill="F2F2F2"/>
            <w:noWrap/>
            <w:vAlign w:val="center"/>
            <w:hideMark/>
          </w:tcPr>
          <w:p w14:paraId="17DA68D2"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$ 255.227.000</w:t>
            </w:r>
          </w:p>
        </w:tc>
        <w:tc>
          <w:tcPr>
            <w:tcW w:w="1440" w:type="dxa"/>
            <w:tcBorders>
              <w:top w:val="nil"/>
              <w:left w:val="nil"/>
              <w:bottom w:val="single" w:sz="4" w:space="0" w:color="auto"/>
              <w:right w:val="single" w:sz="4" w:space="0" w:color="auto"/>
            </w:tcBorders>
            <w:shd w:val="clear" w:color="000000" w:fill="F2F2F2"/>
            <w:noWrap/>
            <w:vAlign w:val="center"/>
            <w:hideMark/>
          </w:tcPr>
          <w:p w14:paraId="30F3F437"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$ 47.969.230</w:t>
            </w:r>
          </w:p>
        </w:tc>
        <w:tc>
          <w:tcPr>
            <w:tcW w:w="1460" w:type="dxa"/>
            <w:tcBorders>
              <w:top w:val="nil"/>
              <w:left w:val="nil"/>
              <w:bottom w:val="single" w:sz="4" w:space="0" w:color="auto"/>
              <w:right w:val="single" w:sz="4" w:space="0" w:color="auto"/>
            </w:tcBorders>
            <w:shd w:val="clear" w:color="000000" w:fill="F2F2F2"/>
            <w:noWrap/>
            <w:vAlign w:val="center"/>
            <w:hideMark/>
          </w:tcPr>
          <w:p w14:paraId="19ECB71A"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$ 303.196.230</w:t>
            </w:r>
          </w:p>
        </w:tc>
        <w:tc>
          <w:tcPr>
            <w:tcW w:w="1260" w:type="dxa"/>
            <w:tcBorders>
              <w:top w:val="nil"/>
              <w:left w:val="nil"/>
              <w:bottom w:val="single" w:sz="4" w:space="0" w:color="auto"/>
              <w:right w:val="single" w:sz="4" w:space="0" w:color="auto"/>
            </w:tcBorders>
            <w:shd w:val="clear" w:color="000000" w:fill="F2F2F2"/>
            <w:noWrap/>
            <w:vAlign w:val="center"/>
            <w:hideMark/>
          </w:tcPr>
          <w:p w14:paraId="2939211C"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$ 3.031.962</w:t>
            </w:r>
          </w:p>
        </w:tc>
        <w:tc>
          <w:tcPr>
            <w:tcW w:w="1120" w:type="dxa"/>
            <w:tcBorders>
              <w:top w:val="nil"/>
              <w:left w:val="nil"/>
              <w:bottom w:val="single" w:sz="4" w:space="0" w:color="auto"/>
              <w:right w:val="single" w:sz="4" w:space="0" w:color="auto"/>
            </w:tcBorders>
            <w:shd w:val="clear" w:color="000000" w:fill="F2F2F2"/>
            <w:noWrap/>
            <w:vAlign w:val="center"/>
            <w:hideMark/>
          </w:tcPr>
          <w:p w14:paraId="0FB7FFA6"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$ 126</w:t>
            </w:r>
          </w:p>
        </w:tc>
        <w:tc>
          <w:tcPr>
            <w:tcW w:w="1260" w:type="dxa"/>
            <w:tcBorders>
              <w:top w:val="nil"/>
              <w:left w:val="nil"/>
              <w:bottom w:val="single" w:sz="4" w:space="0" w:color="auto"/>
              <w:right w:val="single" w:sz="4" w:space="0" w:color="auto"/>
            </w:tcBorders>
            <w:shd w:val="clear" w:color="000000" w:fill="F2F2F2"/>
            <w:noWrap/>
            <w:vAlign w:val="center"/>
            <w:hideMark/>
          </w:tcPr>
          <w:p w14:paraId="20D739EE"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$ 3.032.088</w:t>
            </w:r>
          </w:p>
        </w:tc>
        <w:tc>
          <w:tcPr>
            <w:tcW w:w="1920" w:type="dxa"/>
            <w:tcBorders>
              <w:top w:val="nil"/>
              <w:left w:val="nil"/>
              <w:bottom w:val="single" w:sz="4" w:space="0" w:color="auto"/>
              <w:right w:val="single" w:sz="4" w:space="0" w:color="auto"/>
            </w:tcBorders>
            <w:shd w:val="clear" w:color="000000" w:fill="F2F2F2"/>
            <w:vAlign w:val="center"/>
            <w:hideMark/>
          </w:tcPr>
          <w:p w14:paraId="7BD622E5"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GAS LICUADO DEL PETROLEO</w:t>
            </w:r>
          </w:p>
        </w:tc>
      </w:tr>
      <w:tr w:rsidR="00D705A6" w:rsidRPr="002E0BB9" w14:paraId="66B20881" w14:textId="77777777" w:rsidTr="007D1249">
        <w:trPr>
          <w:trHeight w:val="6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2E8AB619"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278</w:t>
            </w:r>
          </w:p>
        </w:tc>
        <w:tc>
          <w:tcPr>
            <w:tcW w:w="560" w:type="dxa"/>
            <w:tcBorders>
              <w:top w:val="nil"/>
              <w:left w:val="nil"/>
              <w:bottom w:val="single" w:sz="4" w:space="0" w:color="auto"/>
              <w:right w:val="single" w:sz="4" w:space="0" w:color="auto"/>
            </w:tcBorders>
            <w:shd w:val="clear" w:color="000000" w:fill="F2F2F2"/>
            <w:noWrap/>
            <w:vAlign w:val="center"/>
            <w:hideMark/>
          </w:tcPr>
          <w:p w14:paraId="1A78B55A"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41836</w:t>
            </w:r>
          </w:p>
        </w:tc>
        <w:tc>
          <w:tcPr>
            <w:tcW w:w="920" w:type="dxa"/>
            <w:tcBorders>
              <w:top w:val="nil"/>
              <w:left w:val="nil"/>
              <w:bottom w:val="single" w:sz="4" w:space="0" w:color="auto"/>
              <w:right w:val="single" w:sz="4" w:space="0" w:color="auto"/>
            </w:tcBorders>
            <w:shd w:val="clear" w:color="000000" w:fill="F2F2F2"/>
            <w:noWrap/>
            <w:vAlign w:val="center"/>
            <w:hideMark/>
          </w:tcPr>
          <w:p w14:paraId="23D1F02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901164452</w:t>
            </w:r>
          </w:p>
        </w:tc>
        <w:tc>
          <w:tcPr>
            <w:tcW w:w="2180" w:type="dxa"/>
            <w:tcBorders>
              <w:top w:val="nil"/>
              <w:left w:val="nil"/>
              <w:bottom w:val="single" w:sz="4" w:space="0" w:color="auto"/>
              <w:right w:val="single" w:sz="4" w:space="0" w:color="auto"/>
            </w:tcBorders>
            <w:shd w:val="clear" w:color="000000" w:fill="F2F2F2"/>
            <w:vAlign w:val="center"/>
            <w:hideMark/>
          </w:tcPr>
          <w:p w14:paraId="47F5B877"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EMPRESA DE SERVICIOS PUBLICOS ENERGIZAR DEL PACIFICO S.A. E.S.P.</w:t>
            </w:r>
          </w:p>
        </w:tc>
        <w:tc>
          <w:tcPr>
            <w:tcW w:w="1520" w:type="dxa"/>
            <w:tcBorders>
              <w:top w:val="nil"/>
              <w:left w:val="nil"/>
              <w:bottom w:val="single" w:sz="4" w:space="0" w:color="auto"/>
              <w:right w:val="single" w:sz="4" w:space="0" w:color="auto"/>
            </w:tcBorders>
            <w:shd w:val="clear" w:color="000000" w:fill="F2F2F2"/>
            <w:noWrap/>
            <w:vAlign w:val="center"/>
            <w:hideMark/>
          </w:tcPr>
          <w:p w14:paraId="38B299F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$ 418.567.000</w:t>
            </w:r>
          </w:p>
        </w:tc>
        <w:tc>
          <w:tcPr>
            <w:tcW w:w="1440" w:type="dxa"/>
            <w:tcBorders>
              <w:top w:val="nil"/>
              <w:left w:val="nil"/>
              <w:bottom w:val="single" w:sz="4" w:space="0" w:color="auto"/>
              <w:right w:val="single" w:sz="4" w:space="0" w:color="auto"/>
            </w:tcBorders>
            <w:shd w:val="clear" w:color="000000" w:fill="F2F2F2"/>
            <w:noWrap/>
            <w:vAlign w:val="center"/>
            <w:hideMark/>
          </w:tcPr>
          <w:p w14:paraId="36C8EE9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$ 31.610.397</w:t>
            </w:r>
          </w:p>
        </w:tc>
        <w:tc>
          <w:tcPr>
            <w:tcW w:w="1460" w:type="dxa"/>
            <w:tcBorders>
              <w:top w:val="nil"/>
              <w:left w:val="nil"/>
              <w:bottom w:val="single" w:sz="4" w:space="0" w:color="auto"/>
              <w:right w:val="single" w:sz="4" w:space="0" w:color="auto"/>
            </w:tcBorders>
            <w:shd w:val="clear" w:color="000000" w:fill="F2F2F2"/>
            <w:noWrap/>
            <w:vAlign w:val="center"/>
            <w:hideMark/>
          </w:tcPr>
          <w:p w14:paraId="5577207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$ 450.177.397</w:t>
            </w:r>
          </w:p>
        </w:tc>
        <w:tc>
          <w:tcPr>
            <w:tcW w:w="1260" w:type="dxa"/>
            <w:tcBorders>
              <w:top w:val="nil"/>
              <w:left w:val="nil"/>
              <w:bottom w:val="single" w:sz="4" w:space="0" w:color="auto"/>
              <w:right w:val="single" w:sz="4" w:space="0" w:color="auto"/>
            </w:tcBorders>
            <w:shd w:val="clear" w:color="000000" w:fill="F2F2F2"/>
            <w:noWrap/>
            <w:vAlign w:val="center"/>
            <w:hideMark/>
          </w:tcPr>
          <w:p w14:paraId="5624E20C"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$ 4.501.774</w:t>
            </w:r>
          </w:p>
        </w:tc>
        <w:tc>
          <w:tcPr>
            <w:tcW w:w="1120" w:type="dxa"/>
            <w:tcBorders>
              <w:top w:val="nil"/>
              <w:left w:val="nil"/>
              <w:bottom w:val="single" w:sz="4" w:space="0" w:color="auto"/>
              <w:right w:val="single" w:sz="4" w:space="0" w:color="auto"/>
            </w:tcBorders>
            <w:shd w:val="clear" w:color="000000" w:fill="F2F2F2"/>
            <w:noWrap/>
            <w:vAlign w:val="center"/>
            <w:hideMark/>
          </w:tcPr>
          <w:p w14:paraId="6000D361"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$ 187</w:t>
            </w:r>
          </w:p>
        </w:tc>
        <w:tc>
          <w:tcPr>
            <w:tcW w:w="1260" w:type="dxa"/>
            <w:tcBorders>
              <w:top w:val="nil"/>
              <w:left w:val="nil"/>
              <w:bottom w:val="single" w:sz="4" w:space="0" w:color="auto"/>
              <w:right w:val="single" w:sz="4" w:space="0" w:color="auto"/>
            </w:tcBorders>
            <w:shd w:val="clear" w:color="000000" w:fill="F2F2F2"/>
            <w:noWrap/>
            <w:vAlign w:val="center"/>
            <w:hideMark/>
          </w:tcPr>
          <w:p w14:paraId="1ABA151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$ 4.501.961</w:t>
            </w:r>
          </w:p>
        </w:tc>
        <w:tc>
          <w:tcPr>
            <w:tcW w:w="1920" w:type="dxa"/>
            <w:tcBorders>
              <w:top w:val="nil"/>
              <w:left w:val="nil"/>
              <w:bottom w:val="single" w:sz="4" w:space="0" w:color="auto"/>
              <w:right w:val="single" w:sz="4" w:space="0" w:color="auto"/>
            </w:tcBorders>
            <w:shd w:val="clear" w:color="000000" w:fill="F2F2F2"/>
            <w:vAlign w:val="center"/>
            <w:hideMark/>
          </w:tcPr>
          <w:p w14:paraId="6FC7FFED"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w:t>
            </w:r>
          </w:p>
        </w:tc>
      </w:tr>
      <w:tr w:rsidR="00D705A6" w:rsidRPr="002E0BB9" w14:paraId="3555D0F1" w14:textId="77777777" w:rsidTr="007D1249">
        <w:trPr>
          <w:trHeight w:val="4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56FD1BCC"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279</w:t>
            </w:r>
          </w:p>
        </w:tc>
        <w:tc>
          <w:tcPr>
            <w:tcW w:w="560" w:type="dxa"/>
            <w:tcBorders>
              <w:top w:val="nil"/>
              <w:left w:val="nil"/>
              <w:bottom w:val="single" w:sz="4" w:space="0" w:color="auto"/>
              <w:right w:val="single" w:sz="4" w:space="0" w:color="auto"/>
            </w:tcBorders>
            <w:shd w:val="clear" w:color="000000" w:fill="F2F2F2"/>
            <w:noWrap/>
            <w:vAlign w:val="center"/>
            <w:hideMark/>
          </w:tcPr>
          <w:p w14:paraId="47204045"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41335</w:t>
            </w:r>
          </w:p>
        </w:tc>
        <w:tc>
          <w:tcPr>
            <w:tcW w:w="920" w:type="dxa"/>
            <w:tcBorders>
              <w:top w:val="nil"/>
              <w:left w:val="nil"/>
              <w:bottom w:val="single" w:sz="4" w:space="0" w:color="auto"/>
              <w:right w:val="single" w:sz="4" w:space="0" w:color="auto"/>
            </w:tcBorders>
            <w:shd w:val="clear" w:color="000000" w:fill="F2F2F2"/>
            <w:noWrap/>
            <w:vAlign w:val="center"/>
            <w:hideMark/>
          </w:tcPr>
          <w:p w14:paraId="3B4E64C5"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901165502</w:t>
            </w:r>
          </w:p>
        </w:tc>
        <w:tc>
          <w:tcPr>
            <w:tcW w:w="2180" w:type="dxa"/>
            <w:tcBorders>
              <w:top w:val="nil"/>
              <w:left w:val="nil"/>
              <w:bottom w:val="single" w:sz="4" w:space="0" w:color="auto"/>
              <w:right w:val="single" w:sz="4" w:space="0" w:color="auto"/>
            </w:tcBorders>
            <w:shd w:val="clear" w:color="000000" w:fill="F2F2F2"/>
            <w:vAlign w:val="center"/>
            <w:hideMark/>
          </w:tcPr>
          <w:p w14:paraId="497C9AE7"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ECOPETROL ENERGÍA S.A.S. E.S.P.</w:t>
            </w:r>
          </w:p>
        </w:tc>
        <w:tc>
          <w:tcPr>
            <w:tcW w:w="1520" w:type="dxa"/>
            <w:tcBorders>
              <w:top w:val="nil"/>
              <w:left w:val="nil"/>
              <w:bottom w:val="single" w:sz="4" w:space="0" w:color="auto"/>
              <w:right w:val="single" w:sz="4" w:space="0" w:color="auto"/>
            </w:tcBorders>
            <w:shd w:val="clear" w:color="000000" w:fill="F2F2F2"/>
            <w:noWrap/>
            <w:vAlign w:val="center"/>
            <w:hideMark/>
          </w:tcPr>
          <w:p w14:paraId="4C4F78BE"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$ 1.661.262.000</w:t>
            </w:r>
          </w:p>
        </w:tc>
        <w:tc>
          <w:tcPr>
            <w:tcW w:w="1440" w:type="dxa"/>
            <w:tcBorders>
              <w:top w:val="nil"/>
              <w:left w:val="nil"/>
              <w:bottom w:val="single" w:sz="4" w:space="0" w:color="auto"/>
              <w:right w:val="single" w:sz="4" w:space="0" w:color="auto"/>
            </w:tcBorders>
            <w:shd w:val="clear" w:color="000000" w:fill="F2F2F2"/>
            <w:noWrap/>
            <w:vAlign w:val="center"/>
            <w:hideMark/>
          </w:tcPr>
          <w:p w14:paraId="1FD7EF4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$ 0</w:t>
            </w:r>
          </w:p>
        </w:tc>
        <w:tc>
          <w:tcPr>
            <w:tcW w:w="1460" w:type="dxa"/>
            <w:tcBorders>
              <w:top w:val="nil"/>
              <w:left w:val="nil"/>
              <w:bottom w:val="single" w:sz="4" w:space="0" w:color="auto"/>
              <w:right w:val="single" w:sz="4" w:space="0" w:color="auto"/>
            </w:tcBorders>
            <w:shd w:val="clear" w:color="000000" w:fill="F2F2F2"/>
            <w:noWrap/>
            <w:vAlign w:val="center"/>
            <w:hideMark/>
          </w:tcPr>
          <w:p w14:paraId="3A038A5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$ 1.661.262.000</w:t>
            </w:r>
          </w:p>
        </w:tc>
        <w:tc>
          <w:tcPr>
            <w:tcW w:w="1260" w:type="dxa"/>
            <w:tcBorders>
              <w:top w:val="nil"/>
              <w:left w:val="nil"/>
              <w:bottom w:val="single" w:sz="4" w:space="0" w:color="auto"/>
              <w:right w:val="single" w:sz="4" w:space="0" w:color="auto"/>
            </w:tcBorders>
            <w:shd w:val="clear" w:color="000000" w:fill="F2F2F2"/>
            <w:noWrap/>
            <w:vAlign w:val="center"/>
            <w:hideMark/>
          </w:tcPr>
          <w:p w14:paraId="34DE84F2"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$ 16.612.620</w:t>
            </w:r>
          </w:p>
        </w:tc>
        <w:tc>
          <w:tcPr>
            <w:tcW w:w="1120" w:type="dxa"/>
            <w:tcBorders>
              <w:top w:val="nil"/>
              <w:left w:val="nil"/>
              <w:bottom w:val="single" w:sz="4" w:space="0" w:color="auto"/>
              <w:right w:val="single" w:sz="4" w:space="0" w:color="auto"/>
            </w:tcBorders>
            <w:shd w:val="clear" w:color="000000" w:fill="F2F2F2"/>
            <w:noWrap/>
            <w:vAlign w:val="center"/>
            <w:hideMark/>
          </w:tcPr>
          <w:p w14:paraId="579EF5E1"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$ 691</w:t>
            </w:r>
          </w:p>
        </w:tc>
        <w:tc>
          <w:tcPr>
            <w:tcW w:w="1260" w:type="dxa"/>
            <w:tcBorders>
              <w:top w:val="nil"/>
              <w:left w:val="nil"/>
              <w:bottom w:val="single" w:sz="4" w:space="0" w:color="auto"/>
              <w:right w:val="single" w:sz="4" w:space="0" w:color="auto"/>
            </w:tcBorders>
            <w:shd w:val="clear" w:color="000000" w:fill="F2F2F2"/>
            <w:noWrap/>
            <w:vAlign w:val="center"/>
            <w:hideMark/>
          </w:tcPr>
          <w:p w14:paraId="084B9AE6"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$ 16.613.311</w:t>
            </w:r>
          </w:p>
        </w:tc>
        <w:tc>
          <w:tcPr>
            <w:tcW w:w="1920" w:type="dxa"/>
            <w:tcBorders>
              <w:top w:val="nil"/>
              <w:left w:val="nil"/>
              <w:bottom w:val="single" w:sz="4" w:space="0" w:color="auto"/>
              <w:right w:val="single" w:sz="4" w:space="0" w:color="auto"/>
            </w:tcBorders>
            <w:shd w:val="clear" w:color="000000" w:fill="F2F2F2"/>
            <w:vAlign w:val="center"/>
            <w:hideMark/>
          </w:tcPr>
          <w:p w14:paraId="57821B15"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w:t>
            </w:r>
          </w:p>
        </w:tc>
      </w:tr>
      <w:tr w:rsidR="00D705A6" w:rsidRPr="002E0BB9" w14:paraId="338DFD45" w14:textId="77777777" w:rsidTr="007D1249">
        <w:trPr>
          <w:trHeight w:val="6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383D7F00"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280</w:t>
            </w:r>
          </w:p>
        </w:tc>
        <w:tc>
          <w:tcPr>
            <w:tcW w:w="560" w:type="dxa"/>
            <w:tcBorders>
              <w:top w:val="nil"/>
              <w:left w:val="nil"/>
              <w:bottom w:val="single" w:sz="4" w:space="0" w:color="auto"/>
              <w:right w:val="single" w:sz="4" w:space="0" w:color="auto"/>
            </w:tcBorders>
            <w:shd w:val="clear" w:color="000000" w:fill="F2F2F2"/>
            <w:noWrap/>
            <w:vAlign w:val="center"/>
            <w:hideMark/>
          </w:tcPr>
          <w:p w14:paraId="2A3DE77C"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44796</w:t>
            </w:r>
          </w:p>
        </w:tc>
        <w:tc>
          <w:tcPr>
            <w:tcW w:w="920" w:type="dxa"/>
            <w:tcBorders>
              <w:top w:val="nil"/>
              <w:left w:val="nil"/>
              <w:bottom w:val="single" w:sz="4" w:space="0" w:color="auto"/>
              <w:right w:val="single" w:sz="4" w:space="0" w:color="auto"/>
            </w:tcBorders>
            <w:shd w:val="clear" w:color="000000" w:fill="F2F2F2"/>
            <w:noWrap/>
            <w:vAlign w:val="center"/>
            <w:hideMark/>
          </w:tcPr>
          <w:p w14:paraId="23E65AA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901175206</w:t>
            </w:r>
          </w:p>
        </w:tc>
        <w:tc>
          <w:tcPr>
            <w:tcW w:w="2180" w:type="dxa"/>
            <w:tcBorders>
              <w:top w:val="nil"/>
              <w:left w:val="nil"/>
              <w:bottom w:val="single" w:sz="4" w:space="0" w:color="auto"/>
              <w:right w:val="single" w:sz="4" w:space="0" w:color="auto"/>
            </w:tcBorders>
            <w:shd w:val="clear" w:color="000000" w:fill="F2F2F2"/>
            <w:vAlign w:val="center"/>
            <w:hideMark/>
          </w:tcPr>
          <w:p w14:paraId="572FE9D8"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Empresa Privada de Servicios Públicos de la Amazonía ZOMAC SAS</w:t>
            </w:r>
          </w:p>
        </w:tc>
        <w:tc>
          <w:tcPr>
            <w:tcW w:w="1520" w:type="dxa"/>
            <w:tcBorders>
              <w:top w:val="nil"/>
              <w:left w:val="nil"/>
              <w:bottom w:val="single" w:sz="4" w:space="0" w:color="auto"/>
              <w:right w:val="single" w:sz="4" w:space="0" w:color="auto"/>
            </w:tcBorders>
            <w:shd w:val="clear" w:color="000000" w:fill="F2F2F2"/>
            <w:noWrap/>
            <w:vAlign w:val="center"/>
            <w:hideMark/>
          </w:tcPr>
          <w:p w14:paraId="642ADA02"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$ 564.188.000</w:t>
            </w:r>
          </w:p>
        </w:tc>
        <w:tc>
          <w:tcPr>
            <w:tcW w:w="1440" w:type="dxa"/>
            <w:tcBorders>
              <w:top w:val="nil"/>
              <w:left w:val="nil"/>
              <w:bottom w:val="single" w:sz="4" w:space="0" w:color="auto"/>
              <w:right w:val="single" w:sz="4" w:space="0" w:color="auto"/>
            </w:tcBorders>
            <w:shd w:val="clear" w:color="000000" w:fill="F2F2F2"/>
            <w:noWrap/>
            <w:vAlign w:val="center"/>
            <w:hideMark/>
          </w:tcPr>
          <w:p w14:paraId="5AFA770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$ 37.905.580</w:t>
            </w:r>
          </w:p>
        </w:tc>
        <w:tc>
          <w:tcPr>
            <w:tcW w:w="1460" w:type="dxa"/>
            <w:tcBorders>
              <w:top w:val="nil"/>
              <w:left w:val="nil"/>
              <w:bottom w:val="single" w:sz="4" w:space="0" w:color="auto"/>
              <w:right w:val="single" w:sz="4" w:space="0" w:color="auto"/>
            </w:tcBorders>
            <w:shd w:val="clear" w:color="000000" w:fill="F2F2F2"/>
            <w:noWrap/>
            <w:vAlign w:val="center"/>
            <w:hideMark/>
          </w:tcPr>
          <w:p w14:paraId="55B66FB6"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$ 602.093.580</w:t>
            </w:r>
          </w:p>
        </w:tc>
        <w:tc>
          <w:tcPr>
            <w:tcW w:w="1260" w:type="dxa"/>
            <w:tcBorders>
              <w:top w:val="nil"/>
              <w:left w:val="nil"/>
              <w:bottom w:val="single" w:sz="4" w:space="0" w:color="auto"/>
              <w:right w:val="single" w:sz="4" w:space="0" w:color="auto"/>
            </w:tcBorders>
            <w:shd w:val="clear" w:color="000000" w:fill="F2F2F2"/>
            <w:noWrap/>
            <w:vAlign w:val="center"/>
            <w:hideMark/>
          </w:tcPr>
          <w:p w14:paraId="52E87D3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$ 6.020.936</w:t>
            </w:r>
          </w:p>
        </w:tc>
        <w:tc>
          <w:tcPr>
            <w:tcW w:w="1120" w:type="dxa"/>
            <w:tcBorders>
              <w:top w:val="nil"/>
              <w:left w:val="nil"/>
              <w:bottom w:val="single" w:sz="4" w:space="0" w:color="auto"/>
              <w:right w:val="single" w:sz="4" w:space="0" w:color="auto"/>
            </w:tcBorders>
            <w:shd w:val="clear" w:color="000000" w:fill="F2F2F2"/>
            <w:noWrap/>
            <w:vAlign w:val="center"/>
            <w:hideMark/>
          </w:tcPr>
          <w:p w14:paraId="3C18C0F5"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$ 251</w:t>
            </w:r>
          </w:p>
        </w:tc>
        <w:tc>
          <w:tcPr>
            <w:tcW w:w="1260" w:type="dxa"/>
            <w:tcBorders>
              <w:top w:val="nil"/>
              <w:left w:val="nil"/>
              <w:bottom w:val="single" w:sz="4" w:space="0" w:color="auto"/>
              <w:right w:val="single" w:sz="4" w:space="0" w:color="auto"/>
            </w:tcBorders>
            <w:shd w:val="clear" w:color="000000" w:fill="F2F2F2"/>
            <w:noWrap/>
            <w:vAlign w:val="center"/>
            <w:hideMark/>
          </w:tcPr>
          <w:p w14:paraId="1CAF5B4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$ 6.021.186</w:t>
            </w:r>
          </w:p>
        </w:tc>
        <w:tc>
          <w:tcPr>
            <w:tcW w:w="1920" w:type="dxa"/>
            <w:tcBorders>
              <w:top w:val="nil"/>
              <w:left w:val="nil"/>
              <w:bottom w:val="single" w:sz="4" w:space="0" w:color="auto"/>
              <w:right w:val="single" w:sz="4" w:space="0" w:color="auto"/>
            </w:tcBorders>
            <w:shd w:val="clear" w:color="000000" w:fill="F2F2F2"/>
            <w:vAlign w:val="center"/>
            <w:hideMark/>
          </w:tcPr>
          <w:p w14:paraId="0E4CCE2B"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GAS POR REDES</w:t>
            </w:r>
          </w:p>
        </w:tc>
      </w:tr>
      <w:tr w:rsidR="00D705A6" w:rsidRPr="002E0BB9" w14:paraId="1A6364C5" w14:textId="77777777" w:rsidTr="007D1249">
        <w:trPr>
          <w:trHeight w:val="4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693A1C00"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281</w:t>
            </w:r>
          </w:p>
        </w:tc>
        <w:tc>
          <w:tcPr>
            <w:tcW w:w="560" w:type="dxa"/>
            <w:tcBorders>
              <w:top w:val="nil"/>
              <w:left w:val="nil"/>
              <w:bottom w:val="single" w:sz="4" w:space="0" w:color="auto"/>
              <w:right w:val="single" w:sz="4" w:space="0" w:color="auto"/>
            </w:tcBorders>
            <w:shd w:val="clear" w:color="000000" w:fill="F2F2F2"/>
            <w:noWrap/>
            <w:vAlign w:val="center"/>
            <w:hideMark/>
          </w:tcPr>
          <w:p w14:paraId="7551275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42316</w:t>
            </w:r>
          </w:p>
        </w:tc>
        <w:tc>
          <w:tcPr>
            <w:tcW w:w="920" w:type="dxa"/>
            <w:tcBorders>
              <w:top w:val="nil"/>
              <w:left w:val="nil"/>
              <w:bottom w:val="single" w:sz="4" w:space="0" w:color="auto"/>
              <w:right w:val="single" w:sz="4" w:space="0" w:color="auto"/>
            </w:tcBorders>
            <w:shd w:val="clear" w:color="000000" w:fill="F2F2F2"/>
            <w:noWrap/>
            <w:vAlign w:val="center"/>
            <w:hideMark/>
          </w:tcPr>
          <w:p w14:paraId="455EC0F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901200248</w:t>
            </w:r>
          </w:p>
        </w:tc>
        <w:tc>
          <w:tcPr>
            <w:tcW w:w="2180" w:type="dxa"/>
            <w:tcBorders>
              <w:top w:val="nil"/>
              <w:left w:val="nil"/>
              <w:bottom w:val="single" w:sz="4" w:space="0" w:color="auto"/>
              <w:right w:val="single" w:sz="4" w:space="0" w:color="auto"/>
            </w:tcBorders>
            <w:shd w:val="clear" w:color="000000" w:fill="F2F2F2"/>
            <w:vAlign w:val="center"/>
            <w:hideMark/>
          </w:tcPr>
          <w:p w14:paraId="5F1DC2E2"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SANTA FE ENERGY ZOMAC S.A.S. E.S.P.</w:t>
            </w:r>
          </w:p>
        </w:tc>
        <w:tc>
          <w:tcPr>
            <w:tcW w:w="1520" w:type="dxa"/>
            <w:tcBorders>
              <w:top w:val="nil"/>
              <w:left w:val="nil"/>
              <w:bottom w:val="single" w:sz="4" w:space="0" w:color="auto"/>
              <w:right w:val="single" w:sz="4" w:space="0" w:color="auto"/>
            </w:tcBorders>
            <w:shd w:val="clear" w:color="000000" w:fill="F2F2F2"/>
            <w:noWrap/>
            <w:vAlign w:val="center"/>
            <w:hideMark/>
          </w:tcPr>
          <w:p w14:paraId="13CA3B4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$ 519.152.000</w:t>
            </w:r>
          </w:p>
        </w:tc>
        <w:tc>
          <w:tcPr>
            <w:tcW w:w="1440" w:type="dxa"/>
            <w:tcBorders>
              <w:top w:val="nil"/>
              <w:left w:val="nil"/>
              <w:bottom w:val="single" w:sz="4" w:space="0" w:color="auto"/>
              <w:right w:val="single" w:sz="4" w:space="0" w:color="auto"/>
            </w:tcBorders>
            <w:shd w:val="clear" w:color="000000" w:fill="F2F2F2"/>
            <w:noWrap/>
            <w:vAlign w:val="center"/>
            <w:hideMark/>
          </w:tcPr>
          <w:p w14:paraId="50520C0E"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$ 32.184.154</w:t>
            </w:r>
          </w:p>
        </w:tc>
        <w:tc>
          <w:tcPr>
            <w:tcW w:w="1460" w:type="dxa"/>
            <w:tcBorders>
              <w:top w:val="nil"/>
              <w:left w:val="nil"/>
              <w:bottom w:val="single" w:sz="4" w:space="0" w:color="auto"/>
              <w:right w:val="single" w:sz="4" w:space="0" w:color="auto"/>
            </w:tcBorders>
            <w:shd w:val="clear" w:color="000000" w:fill="F2F2F2"/>
            <w:noWrap/>
            <w:vAlign w:val="center"/>
            <w:hideMark/>
          </w:tcPr>
          <w:p w14:paraId="76A5646D"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$ 551.336.154</w:t>
            </w:r>
          </w:p>
        </w:tc>
        <w:tc>
          <w:tcPr>
            <w:tcW w:w="1260" w:type="dxa"/>
            <w:tcBorders>
              <w:top w:val="nil"/>
              <w:left w:val="nil"/>
              <w:bottom w:val="single" w:sz="4" w:space="0" w:color="auto"/>
              <w:right w:val="single" w:sz="4" w:space="0" w:color="auto"/>
            </w:tcBorders>
            <w:shd w:val="clear" w:color="000000" w:fill="F2F2F2"/>
            <w:noWrap/>
            <w:vAlign w:val="center"/>
            <w:hideMark/>
          </w:tcPr>
          <w:p w14:paraId="420AA6A7"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$ 5.513.362</w:t>
            </w:r>
          </w:p>
        </w:tc>
        <w:tc>
          <w:tcPr>
            <w:tcW w:w="1120" w:type="dxa"/>
            <w:tcBorders>
              <w:top w:val="nil"/>
              <w:left w:val="nil"/>
              <w:bottom w:val="single" w:sz="4" w:space="0" w:color="auto"/>
              <w:right w:val="single" w:sz="4" w:space="0" w:color="auto"/>
            </w:tcBorders>
            <w:shd w:val="clear" w:color="000000" w:fill="F2F2F2"/>
            <w:noWrap/>
            <w:vAlign w:val="center"/>
            <w:hideMark/>
          </w:tcPr>
          <w:p w14:paraId="2DA834A7"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$ 229</w:t>
            </w:r>
          </w:p>
        </w:tc>
        <w:tc>
          <w:tcPr>
            <w:tcW w:w="1260" w:type="dxa"/>
            <w:tcBorders>
              <w:top w:val="nil"/>
              <w:left w:val="nil"/>
              <w:bottom w:val="single" w:sz="4" w:space="0" w:color="auto"/>
              <w:right w:val="single" w:sz="4" w:space="0" w:color="auto"/>
            </w:tcBorders>
            <w:shd w:val="clear" w:color="000000" w:fill="F2F2F2"/>
            <w:noWrap/>
            <w:vAlign w:val="center"/>
            <w:hideMark/>
          </w:tcPr>
          <w:p w14:paraId="28F8B84C"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$ 5.513.591</w:t>
            </w:r>
          </w:p>
        </w:tc>
        <w:tc>
          <w:tcPr>
            <w:tcW w:w="1920" w:type="dxa"/>
            <w:tcBorders>
              <w:top w:val="nil"/>
              <w:left w:val="nil"/>
              <w:bottom w:val="single" w:sz="4" w:space="0" w:color="auto"/>
              <w:right w:val="single" w:sz="4" w:space="0" w:color="auto"/>
            </w:tcBorders>
            <w:shd w:val="clear" w:color="000000" w:fill="F2F2F2"/>
            <w:vAlign w:val="center"/>
            <w:hideMark/>
          </w:tcPr>
          <w:p w14:paraId="68C2F5FA"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w:t>
            </w:r>
          </w:p>
        </w:tc>
      </w:tr>
      <w:tr w:rsidR="00D705A6" w:rsidRPr="002E0BB9" w14:paraId="327FDA8E" w14:textId="77777777" w:rsidTr="007D1249">
        <w:trPr>
          <w:trHeight w:val="2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721D9116"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282</w:t>
            </w:r>
          </w:p>
        </w:tc>
        <w:tc>
          <w:tcPr>
            <w:tcW w:w="560" w:type="dxa"/>
            <w:tcBorders>
              <w:top w:val="nil"/>
              <w:left w:val="nil"/>
              <w:bottom w:val="single" w:sz="4" w:space="0" w:color="auto"/>
              <w:right w:val="single" w:sz="4" w:space="0" w:color="auto"/>
            </w:tcBorders>
            <w:shd w:val="clear" w:color="000000" w:fill="F2F2F2"/>
            <w:noWrap/>
            <w:vAlign w:val="center"/>
            <w:hideMark/>
          </w:tcPr>
          <w:p w14:paraId="7353E9AE"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64034</w:t>
            </w:r>
          </w:p>
        </w:tc>
        <w:tc>
          <w:tcPr>
            <w:tcW w:w="920" w:type="dxa"/>
            <w:tcBorders>
              <w:top w:val="nil"/>
              <w:left w:val="nil"/>
              <w:bottom w:val="single" w:sz="4" w:space="0" w:color="auto"/>
              <w:right w:val="single" w:sz="4" w:space="0" w:color="auto"/>
            </w:tcBorders>
            <w:shd w:val="clear" w:color="000000" w:fill="F2F2F2"/>
            <w:noWrap/>
            <w:vAlign w:val="center"/>
            <w:hideMark/>
          </w:tcPr>
          <w:p w14:paraId="7538BF9A"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901201734</w:t>
            </w:r>
          </w:p>
        </w:tc>
        <w:tc>
          <w:tcPr>
            <w:tcW w:w="2180" w:type="dxa"/>
            <w:tcBorders>
              <w:top w:val="nil"/>
              <w:left w:val="nil"/>
              <w:bottom w:val="single" w:sz="4" w:space="0" w:color="auto"/>
              <w:right w:val="single" w:sz="4" w:space="0" w:color="auto"/>
            </w:tcBorders>
            <w:shd w:val="clear" w:color="000000" w:fill="F2F2F2"/>
            <w:vAlign w:val="center"/>
            <w:hideMark/>
          </w:tcPr>
          <w:p w14:paraId="1D1B7FD7"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GENERSOL S.A.S. E.S.P.</w:t>
            </w:r>
          </w:p>
        </w:tc>
        <w:tc>
          <w:tcPr>
            <w:tcW w:w="1520" w:type="dxa"/>
            <w:tcBorders>
              <w:top w:val="nil"/>
              <w:left w:val="nil"/>
              <w:bottom w:val="single" w:sz="4" w:space="0" w:color="auto"/>
              <w:right w:val="single" w:sz="4" w:space="0" w:color="auto"/>
            </w:tcBorders>
            <w:shd w:val="clear" w:color="000000" w:fill="F2F2F2"/>
            <w:noWrap/>
            <w:vAlign w:val="center"/>
            <w:hideMark/>
          </w:tcPr>
          <w:p w14:paraId="43042F8D"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$ 560.673.000</w:t>
            </w:r>
          </w:p>
        </w:tc>
        <w:tc>
          <w:tcPr>
            <w:tcW w:w="1440" w:type="dxa"/>
            <w:tcBorders>
              <w:top w:val="nil"/>
              <w:left w:val="nil"/>
              <w:bottom w:val="single" w:sz="4" w:space="0" w:color="auto"/>
              <w:right w:val="single" w:sz="4" w:space="0" w:color="auto"/>
            </w:tcBorders>
            <w:shd w:val="clear" w:color="000000" w:fill="F2F2F2"/>
            <w:noWrap/>
            <w:vAlign w:val="center"/>
            <w:hideMark/>
          </w:tcPr>
          <w:p w14:paraId="12A102E7"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$ 0</w:t>
            </w:r>
          </w:p>
        </w:tc>
        <w:tc>
          <w:tcPr>
            <w:tcW w:w="1460" w:type="dxa"/>
            <w:tcBorders>
              <w:top w:val="nil"/>
              <w:left w:val="nil"/>
              <w:bottom w:val="single" w:sz="4" w:space="0" w:color="auto"/>
              <w:right w:val="single" w:sz="4" w:space="0" w:color="auto"/>
            </w:tcBorders>
            <w:shd w:val="clear" w:color="000000" w:fill="F2F2F2"/>
            <w:noWrap/>
            <w:vAlign w:val="center"/>
            <w:hideMark/>
          </w:tcPr>
          <w:p w14:paraId="45F900C1"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$ 560.673.000</w:t>
            </w:r>
          </w:p>
        </w:tc>
        <w:tc>
          <w:tcPr>
            <w:tcW w:w="1260" w:type="dxa"/>
            <w:tcBorders>
              <w:top w:val="nil"/>
              <w:left w:val="nil"/>
              <w:bottom w:val="single" w:sz="4" w:space="0" w:color="auto"/>
              <w:right w:val="single" w:sz="4" w:space="0" w:color="auto"/>
            </w:tcBorders>
            <w:shd w:val="clear" w:color="000000" w:fill="F2F2F2"/>
            <w:noWrap/>
            <w:vAlign w:val="center"/>
            <w:hideMark/>
          </w:tcPr>
          <w:p w14:paraId="7C9EC5B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$ 5.606.730</w:t>
            </w:r>
          </w:p>
        </w:tc>
        <w:tc>
          <w:tcPr>
            <w:tcW w:w="1120" w:type="dxa"/>
            <w:tcBorders>
              <w:top w:val="nil"/>
              <w:left w:val="nil"/>
              <w:bottom w:val="single" w:sz="4" w:space="0" w:color="auto"/>
              <w:right w:val="single" w:sz="4" w:space="0" w:color="auto"/>
            </w:tcBorders>
            <w:shd w:val="clear" w:color="000000" w:fill="F2F2F2"/>
            <w:noWrap/>
            <w:vAlign w:val="center"/>
            <w:hideMark/>
          </w:tcPr>
          <w:p w14:paraId="721453B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$ 233</w:t>
            </w:r>
          </w:p>
        </w:tc>
        <w:tc>
          <w:tcPr>
            <w:tcW w:w="1260" w:type="dxa"/>
            <w:tcBorders>
              <w:top w:val="nil"/>
              <w:left w:val="nil"/>
              <w:bottom w:val="single" w:sz="4" w:space="0" w:color="auto"/>
              <w:right w:val="single" w:sz="4" w:space="0" w:color="auto"/>
            </w:tcBorders>
            <w:shd w:val="clear" w:color="000000" w:fill="F2F2F2"/>
            <w:noWrap/>
            <w:vAlign w:val="center"/>
            <w:hideMark/>
          </w:tcPr>
          <w:p w14:paraId="10DBDFDC"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$ 5.606.963</w:t>
            </w:r>
          </w:p>
        </w:tc>
        <w:tc>
          <w:tcPr>
            <w:tcW w:w="1920" w:type="dxa"/>
            <w:tcBorders>
              <w:top w:val="nil"/>
              <w:left w:val="nil"/>
              <w:bottom w:val="single" w:sz="4" w:space="0" w:color="auto"/>
              <w:right w:val="single" w:sz="4" w:space="0" w:color="auto"/>
            </w:tcBorders>
            <w:shd w:val="clear" w:color="000000" w:fill="F2F2F2"/>
            <w:vAlign w:val="center"/>
            <w:hideMark/>
          </w:tcPr>
          <w:p w14:paraId="5E27A8B4"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w:t>
            </w:r>
          </w:p>
        </w:tc>
      </w:tr>
      <w:tr w:rsidR="00D705A6" w:rsidRPr="002E0BB9" w14:paraId="6F7D6FD9" w14:textId="77777777" w:rsidTr="007D1249">
        <w:trPr>
          <w:trHeight w:val="4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6DF05944"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283</w:t>
            </w:r>
          </w:p>
        </w:tc>
        <w:tc>
          <w:tcPr>
            <w:tcW w:w="560" w:type="dxa"/>
            <w:tcBorders>
              <w:top w:val="nil"/>
              <w:left w:val="nil"/>
              <w:bottom w:val="single" w:sz="4" w:space="0" w:color="auto"/>
              <w:right w:val="single" w:sz="4" w:space="0" w:color="auto"/>
            </w:tcBorders>
            <w:shd w:val="clear" w:color="000000" w:fill="F2F2F2"/>
            <w:noWrap/>
            <w:vAlign w:val="center"/>
            <w:hideMark/>
          </w:tcPr>
          <w:p w14:paraId="389D842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42417</w:t>
            </w:r>
          </w:p>
        </w:tc>
        <w:tc>
          <w:tcPr>
            <w:tcW w:w="920" w:type="dxa"/>
            <w:tcBorders>
              <w:top w:val="nil"/>
              <w:left w:val="nil"/>
              <w:bottom w:val="single" w:sz="4" w:space="0" w:color="auto"/>
              <w:right w:val="single" w:sz="4" w:space="0" w:color="auto"/>
            </w:tcBorders>
            <w:shd w:val="clear" w:color="000000" w:fill="F2F2F2"/>
            <w:noWrap/>
            <w:vAlign w:val="center"/>
            <w:hideMark/>
          </w:tcPr>
          <w:p w14:paraId="0DE4C9EE"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901209614</w:t>
            </w:r>
          </w:p>
        </w:tc>
        <w:tc>
          <w:tcPr>
            <w:tcW w:w="2180" w:type="dxa"/>
            <w:tcBorders>
              <w:top w:val="nil"/>
              <w:left w:val="nil"/>
              <w:bottom w:val="single" w:sz="4" w:space="0" w:color="auto"/>
              <w:right w:val="single" w:sz="4" w:space="0" w:color="auto"/>
            </w:tcBorders>
            <w:shd w:val="clear" w:color="000000" w:fill="F2F2F2"/>
            <w:vAlign w:val="center"/>
            <w:hideMark/>
          </w:tcPr>
          <w:p w14:paraId="1D23748C"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xml:space="preserve">EMPRESA DE ENERGY Y SERVICIOS </w:t>
            </w:r>
            <w:proofErr w:type="gramStart"/>
            <w:r w:rsidRPr="002E0BB9">
              <w:rPr>
                <w:rFonts w:ascii="Arial Narrow" w:hAnsi="Arial Narrow" w:cs="Arial"/>
                <w:spacing w:val="0"/>
                <w:sz w:val="16"/>
                <w:szCs w:val="16"/>
                <w:lang w:val="es-MX" w:eastAsia="es-MX"/>
              </w:rPr>
              <w:t>S.A.S  E</w:t>
            </w:r>
            <w:proofErr w:type="gramEnd"/>
            <w:r w:rsidRPr="002E0BB9">
              <w:rPr>
                <w:rFonts w:ascii="Arial Narrow" w:hAnsi="Arial Narrow" w:cs="Arial"/>
                <w:spacing w:val="0"/>
                <w:sz w:val="16"/>
                <w:szCs w:val="16"/>
                <w:lang w:val="es-MX" w:eastAsia="es-MX"/>
              </w:rPr>
              <w:t>.S.P</w:t>
            </w:r>
          </w:p>
        </w:tc>
        <w:tc>
          <w:tcPr>
            <w:tcW w:w="1520" w:type="dxa"/>
            <w:tcBorders>
              <w:top w:val="nil"/>
              <w:left w:val="nil"/>
              <w:bottom w:val="single" w:sz="4" w:space="0" w:color="auto"/>
              <w:right w:val="single" w:sz="4" w:space="0" w:color="auto"/>
            </w:tcBorders>
            <w:shd w:val="clear" w:color="000000" w:fill="F2F2F2"/>
            <w:noWrap/>
            <w:vAlign w:val="center"/>
            <w:hideMark/>
          </w:tcPr>
          <w:p w14:paraId="743AE477"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$ 129.032.000</w:t>
            </w:r>
          </w:p>
        </w:tc>
        <w:tc>
          <w:tcPr>
            <w:tcW w:w="1440" w:type="dxa"/>
            <w:tcBorders>
              <w:top w:val="nil"/>
              <w:left w:val="nil"/>
              <w:bottom w:val="single" w:sz="4" w:space="0" w:color="auto"/>
              <w:right w:val="single" w:sz="4" w:space="0" w:color="auto"/>
            </w:tcBorders>
            <w:shd w:val="clear" w:color="000000" w:fill="F2F2F2"/>
            <w:noWrap/>
            <w:vAlign w:val="center"/>
            <w:hideMark/>
          </w:tcPr>
          <w:p w14:paraId="125B9F9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$ 7.414.579</w:t>
            </w:r>
          </w:p>
        </w:tc>
        <w:tc>
          <w:tcPr>
            <w:tcW w:w="1460" w:type="dxa"/>
            <w:tcBorders>
              <w:top w:val="nil"/>
              <w:left w:val="nil"/>
              <w:bottom w:val="single" w:sz="4" w:space="0" w:color="auto"/>
              <w:right w:val="single" w:sz="4" w:space="0" w:color="auto"/>
            </w:tcBorders>
            <w:shd w:val="clear" w:color="000000" w:fill="F2F2F2"/>
            <w:noWrap/>
            <w:vAlign w:val="center"/>
            <w:hideMark/>
          </w:tcPr>
          <w:p w14:paraId="600749F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$ 136.446.579</w:t>
            </w:r>
          </w:p>
        </w:tc>
        <w:tc>
          <w:tcPr>
            <w:tcW w:w="1260" w:type="dxa"/>
            <w:tcBorders>
              <w:top w:val="nil"/>
              <w:left w:val="nil"/>
              <w:bottom w:val="single" w:sz="4" w:space="0" w:color="auto"/>
              <w:right w:val="single" w:sz="4" w:space="0" w:color="auto"/>
            </w:tcBorders>
            <w:shd w:val="clear" w:color="000000" w:fill="F2F2F2"/>
            <w:noWrap/>
            <w:vAlign w:val="center"/>
            <w:hideMark/>
          </w:tcPr>
          <w:p w14:paraId="12AC585A"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$ 1.364.466</w:t>
            </w:r>
          </w:p>
        </w:tc>
        <w:tc>
          <w:tcPr>
            <w:tcW w:w="1120" w:type="dxa"/>
            <w:tcBorders>
              <w:top w:val="nil"/>
              <w:left w:val="nil"/>
              <w:bottom w:val="single" w:sz="4" w:space="0" w:color="auto"/>
              <w:right w:val="single" w:sz="4" w:space="0" w:color="auto"/>
            </w:tcBorders>
            <w:shd w:val="clear" w:color="000000" w:fill="F2F2F2"/>
            <w:noWrap/>
            <w:vAlign w:val="center"/>
            <w:hideMark/>
          </w:tcPr>
          <w:p w14:paraId="78C6383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$ 57</w:t>
            </w:r>
          </w:p>
        </w:tc>
        <w:tc>
          <w:tcPr>
            <w:tcW w:w="1260" w:type="dxa"/>
            <w:tcBorders>
              <w:top w:val="nil"/>
              <w:left w:val="nil"/>
              <w:bottom w:val="single" w:sz="4" w:space="0" w:color="auto"/>
              <w:right w:val="single" w:sz="4" w:space="0" w:color="auto"/>
            </w:tcBorders>
            <w:shd w:val="clear" w:color="000000" w:fill="F2F2F2"/>
            <w:noWrap/>
            <w:vAlign w:val="center"/>
            <w:hideMark/>
          </w:tcPr>
          <w:p w14:paraId="676715FA"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$ 1.364.523</w:t>
            </w:r>
          </w:p>
        </w:tc>
        <w:tc>
          <w:tcPr>
            <w:tcW w:w="1920" w:type="dxa"/>
            <w:tcBorders>
              <w:top w:val="nil"/>
              <w:left w:val="nil"/>
              <w:bottom w:val="single" w:sz="4" w:space="0" w:color="auto"/>
              <w:right w:val="single" w:sz="4" w:space="0" w:color="auto"/>
            </w:tcBorders>
            <w:shd w:val="clear" w:color="000000" w:fill="F2F2F2"/>
            <w:vAlign w:val="center"/>
            <w:hideMark/>
          </w:tcPr>
          <w:p w14:paraId="78C31805"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w:t>
            </w:r>
          </w:p>
        </w:tc>
      </w:tr>
      <w:tr w:rsidR="00D705A6" w:rsidRPr="002E0BB9" w14:paraId="14393B64" w14:textId="77777777" w:rsidTr="007D1249">
        <w:trPr>
          <w:trHeight w:val="2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3A38D7BC"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284</w:t>
            </w:r>
          </w:p>
        </w:tc>
        <w:tc>
          <w:tcPr>
            <w:tcW w:w="560" w:type="dxa"/>
            <w:tcBorders>
              <w:top w:val="nil"/>
              <w:left w:val="nil"/>
              <w:bottom w:val="single" w:sz="4" w:space="0" w:color="auto"/>
              <w:right w:val="single" w:sz="4" w:space="0" w:color="auto"/>
            </w:tcBorders>
            <w:shd w:val="clear" w:color="000000" w:fill="F2F2F2"/>
            <w:noWrap/>
            <w:vAlign w:val="center"/>
            <w:hideMark/>
          </w:tcPr>
          <w:p w14:paraId="31B9238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53047</w:t>
            </w:r>
          </w:p>
        </w:tc>
        <w:tc>
          <w:tcPr>
            <w:tcW w:w="920" w:type="dxa"/>
            <w:tcBorders>
              <w:top w:val="nil"/>
              <w:left w:val="nil"/>
              <w:bottom w:val="single" w:sz="4" w:space="0" w:color="auto"/>
              <w:right w:val="single" w:sz="4" w:space="0" w:color="auto"/>
            </w:tcBorders>
            <w:shd w:val="clear" w:color="000000" w:fill="F2F2F2"/>
            <w:noWrap/>
            <w:vAlign w:val="center"/>
            <w:hideMark/>
          </w:tcPr>
          <w:p w14:paraId="2695094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901215593</w:t>
            </w:r>
          </w:p>
        </w:tc>
        <w:tc>
          <w:tcPr>
            <w:tcW w:w="2180" w:type="dxa"/>
            <w:tcBorders>
              <w:top w:val="nil"/>
              <w:left w:val="nil"/>
              <w:bottom w:val="single" w:sz="4" w:space="0" w:color="auto"/>
              <w:right w:val="single" w:sz="4" w:space="0" w:color="auto"/>
            </w:tcBorders>
            <w:shd w:val="clear" w:color="000000" w:fill="F2F2F2"/>
            <w:vAlign w:val="center"/>
            <w:hideMark/>
          </w:tcPr>
          <w:p w14:paraId="3E90A4DB"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ENERVISA SAS ESP</w:t>
            </w:r>
          </w:p>
        </w:tc>
        <w:tc>
          <w:tcPr>
            <w:tcW w:w="1520" w:type="dxa"/>
            <w:tcBorders>
              <w:top w:val="nil"/>
              <w:left w:val="nil"/>
              <w:bottom w:val="single" w:sz="4" w:space="0" w:color="auto"/>
              <w:right w:val="single" w:sz="4" w:space="0" w:color="auto"/>
            </w:tcBorders>
            <w:shd w:val="clear" w:color="000000" w:fill="F2F2F2"/>
            <w:noWrap/>
            <w:vAlign w:val="center"/>
            <w:hideMark/>
          </w:tcPr>
          <w:p w14:paraId="4E113FC6"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$ 1.263.590.000</w:t>
            </w:r>
          </w:p>
        </w:tc>
        <w:tc>
          <w:tcPr>
            <w:tcW w:w="1440" w:type="dxa"/>
            <w:tcBorders>
              <w:top w:val="nil"/>
              <w:left w:val="nil"/>
              <w:bottom w:val="single" w:sz="4" w:space="0" w:color="auto"/>
              <w:right w:val="single" w:sz="4" w:space="0" w:color="auto"/>
            </w:tcBorders>
            <w:shd w:val="clear" w:color="000000" w:fill="F2F2F2"/>
            <w:noWrap/>
            <w:vAlign w:val="center"/>
            <w:hideMark/>
          </w:tcPr>
          <w:p w14:paraId="06C85D15"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$ 370.998.041</w:t>
            </w:r>
          </w:p>
        </w:tc>
        <w:tc>
          <w:tcPr>
            <w:tcW w:w="1460" w:type="dxa"/>
            <w:tcBorders>
              <w:top w:val="nil"/>
              <w:left w:val="nil"/>
              <w:bottom w:val="single" w:sz="4" w:space="0" w:color="auto"/>
              <w:right w:val="single" w:sz="4" w:space="0" w:color="auto"/>
            </w:tcBorders>
            <w:shd w:val="clear" w:color="000000" w:fill="F2F2F2"/>
            <w:noWrap/>
            <w:vAlign w:val="center"/>
            <w:hideMark/>
          </w:tcPr>
          <w:p w14:paraId="4FA7B36A"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$ 1.634.588.041</w:t>
            </w:r>
          </w:p>
        </w:tc>
        <w:tc>
          <w:tcPr>
            <w:tcW w:w="1260" w:type="dxa"/>
            <w:tcBorders>
              <w:top w:val="nil"/>
              <w:left w:val="nil"/>
              <w:bottom w:val="single" w:sz="4" w:space="0" w:color="auto"/>
              <w:right w:val="single" w:sz="4" w:space="0" w:color="auto"/>
            </w:tcBorders>
            <w:shd w:val="clear" w:color="000000" w:fill="F2F2F2"/>
            <w:noWrap/>
            <w:vAlign w:val="center"/>
            <w:hideMark/>
          </w:tcPr>
          <w:p w14:paraId="6F9AB99B"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$ 16.345.880</w:t>
            </w:r>
          </w:p>
        </w:tc>
        <w:tc>
          <w:tcPr>
            <w:tcW w:w="1120" w:type="dxa"/>
            <w:tcBorders>
              <w:top w:val="nil"/>
              <w:left w:val="nil"/>
              <w:bottom w:val="single" w:sz="4" w:space="0" w:color="auto"/>
              <w:right w:val="single" w:sz="4" w:space="0" w:color="auto"/>
            </w:tcBorders>
            <w:shd w:val="clear" w:color="000000" w:fill="F2F2F2"/>
            <w:noWrap/>
            <w:vAlign w:val="center"/>
            <w:hideMark/>
          </w:tcPr>
          <w:p w14:paraId="1DCF4FD2"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$ 680</w:t>
            </w:r>
          </w:p>
        </w:tc>
        <w:tc>
          <w:tcPr>
            <w:tcW w:w="1260" w:type="dxa"/>
            <w:tcBorders>
              <w:top w:val="nil"/>
              <w:left w:val="nil"/>
              <w:bottom w:val="single" w:sz="4" w:space="0" w:color="auto"/>
              <w:right w:val="single" w:sz="4" w:space="0" w:color="auto"/>
            </w:tcBorders>
            <w:shd w:val="clear" w:color="000000" w:fill="F2F2F2"/>
            <w:noWrap/>
            <w:vAlign w:val="center"/>
            <w:hideMark/>
          </w:tcPr>
          <w:p w14:paraId="3535DCF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$ 16.346.561</w:t>
            </w:r>
          </w:p>
        </w:tc>
        <w:tc>
          <w:tcPr>
            <w:tcW w:w="1920" w:type="dxa"/>
            <w:tcBorders>
              <w:top w:val="nil"/>
              <w:left w:val="nil"/>
              <w:bottom w:val="single" w:sz="4" w:space="0" w:color="auto"/>
              <w:right w:val="single" w:sz="4" w:space="0" w:color="auto"/>
            </w:tcBorders>
            <w:shd w:val="clear" w:color="000000" w:fill="F2F2F2"/>
            <w:vAlign w:val="center"/>
            <w:hideMark/>
          </w:tcPr>
          <w:p w14:paraId="6E6AD9FA"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w:t>
            </w:r>
          </w:p>
        </w:tc>
      </w:tr>
      <w:tr w:rsidR="00D705A6" w:rsidRPr="002E0BB9" w14:paraId="54A2A68C" w14:textId="77777777" w:rsidTr="007D1249">
        <w:trPr>
          <w:trHeight w:val="2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72A830A2"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285</w:t>
            </w:r>
          </w:p>
        </w:tc>
        <w:tc>
          <w:tcPr>
            <w:tcW w:w="560" w:type="dxa"/>
            <w:tcBorders>
              <w:top w:val="nil"/>
              <w:left w:val="nil"/>
              <w:bottom w:val="single" w:sz="4" w:space="0" w:color="auto"/>
              <w:right w:val="single" w:sz="4" w:space="0" w:color="auto"/>
            </w:tcBorders>
            <w:shd w:val="clear" w:color="000000" w:fill="F2F2F2"/>
            <w:noWrap/>
            <w:vAlign w:val="center"/>
            <w:hideMark/>
          </w:tcPr>
          <w:p w14:paraId="395EB7BB"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49172</w:t>
            </w:r>
          </w:p>
        </w:tc>
        <w:tc>
          <w:tcPr>
            <w:tcW w:w="920" w:type="dxa"/>
            <w:tcBorders>
              <w:top w:val="nil"/>
              <w:left w:val="nil"/>
              <w:bottom w:val="single" w:sz="4" w:space="0" w:color="auto"/>
              <w:right w:val="single" w:sz="4" w:space="0" w:color="auto"/>
            </w:tcBorders>
            <w:shd w:val="clear" w:color="000000" w:fill="F2F2F2"/>
            <w:noWrap/>
            <w:vAlign w:val="center"/>
            <w:hideMark/>
          </w:tcPr>
          <w:p w14:paraId="01BB449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901217206</w:t>
            </w:r>
          </w:p>
        </w:tc>
        <w:tc>
          <w:tcPr>
            <w:tcW w:w="2180" w:type="dxa"/>
            <w:tcBorders>
              <w:top w:val="nil"/>
              <w:left w:val="nil"/>
              <w:bottom w:val="single" w:sz="4" w:space="0" w:color="auto"/>
              <w:right w:val="single" w:sz="4" w:space="0" w:color="auto"/>
            </w:tcBorders>
            <w:shd w:val="clear" w:color="000000" w:fill="F2F2F2"/>
            <w:vAlign w:val="center"/>
            <w:hideMark/>
          </w:tcPr>
          <w:p w14:paraId="084355E3"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ATINKANA S.A.S. E.S.P.</w:t>
            </w:r>
          </w:p>
        </w:tc>
        <w:tc>
          <w:tcPr>
            <w:tcW w:w="1520" w:type="dxa"/>
            <w:tcBorders>
              <w:top w:val="nil"/>
              <w:left w:val="nil"/>
              <w:bottom w:val="single" w:sz="4" w:space="0" w:color="auto"/>
              <w:right w:val="single" w:sz="4" w:space="0" w:color="auto"/>
            </w:tcBorders>
            <w:shd w:val="clear" w:color="000000" w:fill="F2F2F2"/>
            <w:noWrap/>
            <w:vAlign w:val="center"/>
            <w:hideMark/>
          </w:tcPr>
          <w:p w14:paraId="1A4290B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$ 692.055.000</w:t>
            </w:r>
          </w:p>
        </w:tc>
        <w:tc>
          <w:tcPr>
            <w:tcW w:w="1440" w:type="dxa"/>
            <w:tcBorders>
              <w:top w:val="nil"/>
              <w:left w:val="nil"/>
              <w:bottom w:val="single" w:sz="4" w:space="0" w:color="auto"/>
              <w:right w:val="single" w:sz="4" w:space="0" w:color="auto"/>
            </w:tcBorders>
            <w:shd w:val="clear" w:color="000000" w:fill="F2F2F2"/>
            <w:noWrap/>
            <w:vAlign w:val="center"/>
            <w:hideMark/>
          </w:tcPr>
          <w:p w14:paraId="06B60C72"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$ 32.802.571</w:t>
            </w:r>
          </w:p>
        </w:tc>
        <w:tc>
          <w:tcPr>
            <w:tcW w:w="1460" w:type="dxa"/>
            <w:tcBorders>
              <w:top w:val="nil"/>
              <w:left w:val="nil"/>
              <w:bottom w:val="single" w:sz="4" w:space="0" w:color="auto"/>
              <w:right w:val="single" w:sz="4" w:space="0" w:color="auto"/>
            </w:tcBorders>
            <w:shd w:val="clear" w:color="000000" w:fill="F2F2F2"/>
            <w:noWrap/>
            <w:vAlign w:val="center"/>
            <w:hideMark/>
          </w:tcPr>
          <w:p w14:paraId="11082B7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$ 724.857.571</w:t>
            </w:r>
          </w:p>
        </w:tc>
        <w:tc>
          <w:tcPr>
            <w:tcW w:w="1260" w:type="dxa"/>
            <w:tcBorders>
              <w:top w:val="nil"/>
              <w:left w:val="nil"/>
              <w:bottom w:val="single" w:sz="4" w:space="0" w:color="auto"/>
              <w:right w:val="single" w:sz="4" w:space="0" w:color="auto"/>
            </w:tcBorders>
            <w:shd w:val="clear" w:color="000000" w:fill="F2F2F2"/>
            <w:noWrap/>
            <w:vAlign w:val="center"/>
            <w:hideMark/>
          </w:tcPr>
          <w:p w14:paraId="0177953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$ 7.248.576</w:t>
            </w:r>
          </w:p>
        </w:tc>
        <w:tc>
          <w:tcPr>
            <w:tcW w:w="1120" w:type="dxa"/>
            <w:tcBorders>
              <w:top w:val="nil"/>
              <w:left w:val="nil"/>
              <w:bottom w:val="single" w:sz="4" w:space="0" w:color="auto"/>
              <w:right w:val="single" w:sz="4" w:space="0" w:color="auto"/>
            </w:tcBorders>
            <w:shd w:val="clear" w:color="000000" w:fill="F2F2F2"/>
            <w:noWrap/>
            <w:vAlign w:val="center"/>
            <w:hideMark/>
          </w:tcPr>
          <w:p w14:paraId="63A30952"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$ 302</w:t>
            </w:r>
          </w:p>
        </w:tc>
        <w:tc>
          <w:tcPr>
            <w:tcW w:w="1260" w:type="dxa"/>
            <w:tcBorders>
              <w:top w:val="nil"/>
              <w:left w:val="nil"/>
              <w:bottom w:val="single" w:sz="4" w:space="0" w:color="auto"/>
              <w:right w:val="single" w:sz="4" w:space="0" w:color="auto"/>
            </w:tcBorders>
            <w:shd w:val="clear" w:color="000000" w:fill="F2F2F2"/>
            <w:noWrap/>
            <w:vAlign w:val="center"/>
            <w:hideMark/>
          </w:tcPr>
          <w:p w14:paraId="00A97DCD"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$ 7.248.877</w:t>
            </w:r>
          </w:p>
        </w:tc>
        <w:tc>
          <w:tcPr>
            <w:tcW w:w="1920" w:type="dxa"/>
            <w:tcBorders>
              <w:top w:val="nil"/>
              <w:left w:val="nil"/>
              <w:bottom w:val="single" w:sz="4" w:space="0" w:color="auto"/>
              <w:right w:val="single" w:sz="4" w:space="0" w:color="auto"/>
            </w:tcBorders>
            <w:shd w:val="clear" w:color="000000" w:fill="F2F2F2"/>
            <w:vAlign w:val="center"/>
            <w:hideMark/>
          </w:tcPr>
          <w:p w14:paraId="014BD122"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GAS POR REDES</w:t>
            </w:r>
          </w:p>
        </w:tc>
      </w:tr>
      <w:tr w:rsidR="00D705A6" w:rsidRPr="002E0BB9" w14:paraId="35C761C0" w14:textId="77777777" w:rsidTr="007D1249">
        <w:trPr>
          <w:trHeight w:val="8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7EDC19BD"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286</w:t>
            </w:r>
          </w:p>
        </w:tc>
        <w:tc>
          <w:tcPr>
            <w:tcW w:w="560" w:type="dxa"/>
            <w:tcBorders>
              <w:top w:val="nil"/>
              <w:left w:val="nil"/>
              <w:bottom w:val="single" w:sz="4" w:space="0" w:color="auto"/>
              <w:right w:val="single" w:sz="4" w:space="0" w:color="auto"/>
            </w:tcBorders>
            <w:shd w:val="clear" w:color="000000" w:fill="F2F2F2"/>
            <w:noWrap/>
            <w:vAlign w:val="center"/>
            <w:hideMark/>
          </w:tcPr>
          <w:p w14:paraId="5CD4673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43836</w:t>
            </w:r>
          </w:p>
        </w:tc>
        <w:tc>
          <w:tcPr>
            <w:tcW w:w="920" w:type="dxa"/>
            <w:tcBorders>
              <w:top w:val="nil"/>
              <w:left w:val="nil"/>
              <w:bottom w:val="single" w:sz="4" w:space="0" w:color="auto"/>
              <w:right w:val="single" w:sz="4" w:space="0" w:color="auto"/>
            </w:tcBorders>
            <w:shd w:val="clear" w:color="000000" w:fill="F2F2F2"/>
            <w:noWrap/>
            <w:vAlign w:val="center"/>
            <w:hideMark/>
          </w:tcPr>
          <w:p w14:paraId="5B877C45"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901219090</w:t>
            </w:r>
          </w:p>
        </w:tc>
        <w:tc>
          <w:tcPr>
            <w:tcW w:w="2180" w:type="dxa"/>
            <w:tcBorders>
              <w:top w:val="nil"/>
              <w:left w:val="nil"/>
              <w:bottom w:val="single" w:sz="4" w:space="0" w:color="auto"/>
              <w:right w:val="single" w:sz="4" w:space="0" w:color="auto"/>
            </w:tcBorders>
            <w:shd w:val="clear" w:color="000000" w:fill="F2F2F2"/>
            <w:vAlign w:val="center"/>
            <w:hideMark/>
          </w:tcPr>
          <w:p w14:paraId="77B7491E"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EMPRESA DE SERVICIOS PÚBLICOS DE ENERGÍA LIMPIA DE COLOMBIA ENERLIMPIA S.A. E.S.P.</w:t>
            </w:r>
          </w:p>
        </w:tc>
        <w:tc>
          <w:tcPr>
            <w:tcW w:w="1520" w:type="dxa"/>
            <w:tcBorders>
              <w:top w:val="nil"/>
              <w:left w:val="nil"/>
              <w:bottom w:val="single" w:sz="4" w:space="0" w:color="auto"/>
              <w:right w:val="single" w:sz="4" w:space="0" w:color="auto"/>
            </w:tcBorders>
            <w:shd w:val="clear" w:color="000000" w:fill="F2F2F2"/>
            <w:noWrap/>
            <w:vAlign w:val="center"/>
            <w:hideMark/>
          </w:tcPr>
          <w:p w14:paraId="4D7CECD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$ 225.216.000</w:t>
            </w:r>
          </w:p>
        </w:tc>
        <w:tc>
          <w:tcPr>
            <w:tcW w:w="1440" w:type="dxa"/>
            <w:tcBorders>
              <w:top w:val="nil"/>
              <w:left w:val="nil"/>
              <w:bottom w:val="single" w:sz="4" w:space="0" w:color="auto"/>
              <w:right w:val="single" w:sz="4" w:space="0" w:color="auto"/>
            </w:tcBorders>
            <w:shd w:val="clear" w:color="000000" w:fill="F2F2F2"/>
            <w:noWrap/>
            <w:vAlign w:val="center"/>
            <w:hideMark/>
          </w:tcPr>
          <w:p w14:paraId="4C98134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$ 7.151.571</w:t>
            </w:r>
          </w:p>
        </w:tc>
        <w:tc>
          <w:tcPr>
            <w:tcW w:w="1460" w:type="dxa"/>
            <w:tcBorders>
              <w:top w:val="nil"/>
              <w:left w:val="nil"/>
              <w:bottom w:val="single" w:sz="4" w:space="0" w:color="auto"/>
              <w:right w:val="single" w:sz="4" w:space="0" w:color="auto"/>
            </w:tcBorders>
            <w:shd w:val="clear" w:color="000000" w:fill="F2F2F2"/>
            <w:noWrap/>
            <w:vAlign w:val="center"/>
            <w:hideMark/>
          </w:tcPr>
          <w:p w14:paraId="01289D0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$ 232.367.571</w:t>
            </w:r>
          </w:p>
        </w:tc>
        <w:tc>
          <w:tcPr>
            <w:tcW w:w="1260" w:type="dxa"/>
            <w:tcBorders>
              <w:top w:val="nil"/>
              <w:left w:val="nil"/>
              <w:bottom w:val="single" w:sz="4" w:space="0" w:color="auto"/>
              <w:right w:val="single" w:sz="4" w:space="0" w:color="auto"/>
            </w:tcBorders>
            <w:shd w:val="clear" w:color="000000" w:fill="F2F2F2"/>
            <w:noWrap/>
            <w:vAlign w:val="center"/>
            <w:hideMark/>
          </w:tcPr>
          <w:p w14:paraId="0E1DEB25"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$ 2.323.676</w:t>
            </w:r>
          </w:p>
        </w:tc>
        <w:tc>
          <w:tcPr>
            <w:tcW w:w="1120" w:type="dxa"/>
            <w:tcBorders>
              <w:top w:val="nil"/>
              <w:left w:val="nil"/>
              <w:bottom w:val="single" w:sz="4" w:space="0" w:color="auto"/>
              <w:right w:val="single" w:sz="4" w:space="0" w:color="auto"/>
            </w:tcBorders>
            <w:shd w:val="clear" w:color="000000" w:fill="F2F2F2"/>
            <w:noWrap/>
            <w:vAlign w:val="center"/>
            <w:hideMark/>
          </w:tcPr>
          <w:p w14:paraId="2CD2A1BE"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$ 97</w:t>
            </w:r>
          </w:p>
        </w:tc>
        <w:tc>
          <w:tcPr>
            <w:tcW w:w="1260" w:type="dxa"/>
            <w:tcBorders>
              <w:top w:val="nil"/>
              <w:left w:val="nil"/>
              <w:bottom w:val="single" w:sz="4" w:space="0" w:color="auto"/>
              <w:right w:val="single" w:sz="4" w:space="0" w:color="auto"/>
            </w:tcBorders>
            <w:shd w:val="clear" w:color="000000" w:fill="F2F2F2"/>
            <w:noWrap/>
            <w:vAlign w:val="center"/>
            <w:hideMark/>
          </w:tcPr>
          <w:p w14:paraId="2793B6F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$ 2.323.772</w:t>
            </w:r>
          </w:p>
        </w:tc>
        <w:tc>
          <w:tcPr>
            <w:tcW w:w="1920" w:type="dxa"/>
            <w:tcBorders>
              <w:top w:val="nil"/>
              <w:left w:val="nil"/>
              <w:bottom w:val="single" w:sz="4" w:space="0" w:color="auto"/>
              <w:right w:val="single" w:sz="4" w:space="0" w:color="auto"/>
            </w:tcBorders>
            <w:shd w:val="clear" w:color="000000" w:fill="F2F2F2"/>
            <w:vAlign w:val="center"/>
            <w:hideMark/>
          </w:tcPr>
          <w:p w14:paraId="68DE5DF5"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w:t>
            </w:r>
          </w:p>
        </w:tc>
      </w:tr>
      <w:tr w:rsidR="00D705A6" w:rsidRPr="002E0BB9" w14:paraId="658AF805" w14:textId="77777777" w:rsidTr="007D1249">
        <w:trPr>
          <w:trHeight w:val="2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3CFDC789"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lastRenderedPageBreak/>
              <w:t>287</w:t>
            </w:r>
          </w:p>
        </w:tc>
        <w:tc>
          <w:tcPr>
            <w:tcW w:w="560" w:type="dxa"/>
            <w:tcBorders>
              <w:top w:val="nil"/>
              <w:left w:val="nil"/>
              <w:bottom w:val="single" w:sz="4" w:space="0" w:color="auto"/>
              <w:right w:val="single" w:sz="4" w:space="0" w:color="auto"/>
            </w:tcBorders>
            <w:shd w:val="clear" w:color="000000" w:fill="F2F2F2"/>
            <w:noWrap/>
            <w:vAlign w:val="center"/>
            <w:hideMark/>
          </w:tcPr>
          <w:p w14:paraId="6EDCA2DE"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43739</w:t>
            </w:r>
          </w:p>
        </w:tc>
        <w:tc>
          <w:tcPr>
            <w:tcW w:w="920" w:type="dxa"/>
            <w:tcBorders>
              <w:top w:val="nil"/>
              <w:left w:val="nil"/>
              <w:bottom w:val="single" w:sz="4" w:space="0" w:color="auto"/>
              <w:right w:val="single" w:sz="4" w:space="0" w:color="auto"/>
            </w:tcBorders>
            <w:shd w:val="clear" w:color="000000" w:fill="F2F2F2"/>
            <w:noWrap/>
            <w:vAlign w:val="center"/>
            <w:hideMark/>
          </w:tcPr>
          <w:p w14:paraId="2160FF2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901236609</w:t>
            </w:r>
          </w:p>
        </w:tc>
        <w:tc>
          <w:tcPr>
            <w:tcW w:w="2180" w:type="dxa"/>
            <w:tcBorders>
              <w:top w:val="nil"/>
              <w:left w:val="nil"/>
              <w:bottom w:val="single" w:sz="4" w:space="0" w:color="auto"/>
              <w:right w:val="single" w:sz="4" w:space="0" w:color="auto"/>
            </w:tcBorders>
            <w:shd w:val="clear" w:color="000000" w:fill="F2F2F2"/>
            <w:vAlign w:val="center"/>
            <w:hideMark/>
          </w:tcPr>
          <w:p w14:paraId="21297993"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EMCOLEN S.A.S. E.S.P.</w:t>
            </w:r>
          </w:p>
        </w:tc>
        <w:tc>
          <w:tcPr>
            <w:tcW w:w="1520" w:type="dxa"/>
            <w:tcBorders>
              <w:top w:val="nil"/>
              <w:left w:val="nil"/>
              <w:bottom w:val="single" w:sz="4" w:space="0" w:color="auto"/>
              <w:right w:val="single" w:sz="4" w:space="0" w:color="auto"/>
            </w:tcBorders>
            <w:shd w:val="clear" w:color="000000" w:fill="F2F2F2"/>
            <w:noWrap/>
            <w:vAlign w:val="center"/>
            <w:hideMark/>
          </w:tcPr>
          <w:p w14:paraId="4F29C04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$ 355.940.000</w:t>
            </w:r>
          </w:p>
        </w:tc>
        <w:tc>
          <w:tcPr>
            <w:tcW w:w="1440" w:type="dxa"/>
            <w:tcBorders>
              <w:top w:val="nil"/>
              <w:left w:val="nil"/>
              <w:bottom w:val="single" w:sz="4" w:space="0" w:color="auto"/>
              <w:right w:val="single" w:sz="4" w:space="0" w:color="auto"/>
            </w:tcBorders>
            <w:shd w:val="clear" w:color="000000" w:fill="F2F2F2"/>
            <w:noWrap/>
            <w:vAlign w:val="center"/>
            <w:hideMark/>
          </w:tcPr>
          <w:p w14:paraId="0FC2A017"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$ 22.303.510</w:t>
            </w:r>
          </w:p>
        </w:tc>
        <w:tc>
          <w:tcPr>
            <w:tcW w:w="1460" w:type="dxa"/>
            <w:tcBorders>
              <w:top w:val="nil"/>
              <w:left w:val="nil"/>
              <w:bottom w:val="single" w:sz="4" w:space="0" w:color="auto"/>
              <w:right w:val="single" w:sz="4" w:space="0" w:color="auto"/>
            </w:tcBorders>
            <w:shd w:val="clear" w:color="000000" w:fill="F2F2F2"/>
            <w:noWrap/>
            <w:vAlign w:val="center"/>
            <w:hideMark/>
          </w:tcPr>
          <w:p w14:paraId="38845797"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$ 378.243.510</w:t>
            </w:r>
          </w:p>
        </w:tc>
        <w:tc>
          <w:tcPr>
            <w:tcW w:w="1260" w:type="dxa"/>
            <w:tcBorders>
              <w:top w:val="nil"/>
              <w:left w:val="nil"/>
              <w:bottom w:val="single" w:sz="4" w:space="0" w:color="auto"/>
              <w:right w:val="single" w:sz="4" w:space="0" w:color="auto"/>
            </w:tcBorders>
            <w:shd w:val="clear" w:color="000000" w:fill="F2F2F2"/>
            <w:noWrap/>
            <w:vAlign w:val="center"/>
            <w:hideMark/>
          </w:tcPr>
          <w:p w14:paraId="48210F66"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$ 3.782.435</w:t>
            </w:r>
          </w:p>
        </w:tc>
        <w:tc>
          <w:tcPr>
            <w:tcW w:w="1120" w:type="dxa"/>
            <w:tcBorders>
              <w:top w:val="nil"/>
              <w:left w:val="nil"/>
              <w:bottom w:val="single" w:sz="4" w:space="0" w:color="auto"/>
              <w:right w:val="single" w:sz="4" w:space="0" w:color="auto"/>
            </w:tcBorders>
            <w:shd w:val="clear" w:color="000000" w:fill="F2F2F2"/>
            <w:noWrap/>
            <w:vAlign w:val="center"/>
            <w:hideMark/>
          </w:tcPr>
          <w:p w14:paraId="3758AA3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$ 157</w:t>
            </w:r>
          </w:p>
        </w:tc>
        <w:tc>
          <w:tcPr>
            <w:tcW w:w="1260" w:type="dxa"/>
            <w:tcBorders>
              <w:top w:val="nil"/>
              <w:left w:val="nil"/>
              <w:bottom w:val="single" w:sz="4" w:space="0" w:color="auto"/>
              <w:right w:val="single" w:sz="4" w:space="0" w:color="auto"/>
            </w:tcBorders>
            <w:shd w:val="clear" w:color="000000" w:fill="F2F2F2"/>
            <w:noWrap/>
            <w:vAlign w:val="center"/>
            <w:hideMark/>
          </w:tcPr>
          <w:p w14:paraId="5F8640D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$ 3.782.593</w:t>
            </w:r>
          </w:p>
        </w:tc>
        <w:tc>
          <w:tcPr>
            <w:tcW w:w="1920" w:type="dxa"/>
            <w:tcBorders>
              <w:top w:val="nil"/>
              <w:left w:val="nil"/>
              <w:bottom w:val="single" w:sz="4" w:space="0" w:color="auto"/>
              <w:right w:val="single" w:sz="4" w:space="0" w:color="auto"/>
            </w:tcBorders>
            <w:shd w:val="clear" w:color="000000" w:fill="F2F2F2"/>
            <w:vAlign w:val="center"/>
            <w:hideMark/>
          </w:tcPr>
          <w:p w14:paraId="3C71670B"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w:t>
            </w:r>
          </w:p>
        </w:tc>
      </w:tr>
      <w:tr w:rsidR="00D705A6" w:rsidRPr="002E0BB9" w14:paraId="6E49266A" w14:textId="77777777" w:rsidTr="00053706">
        <w:trPr>
          <w:trHeight w:val="43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1F59CEA8"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288</w:t>
            </w:r>
          </w:p>
        </w:tc>
        <w:tc>
          <w:tcPr>
            <w:tcW w:w="560" w:type="dxa"/>
            <w:tcBorders>
              <w:top w:val="nil"/>
              <w:left w:val="nil"/>
              <w:bottom w:val="single" w:sz="4" w:space="0" w:color="auto"/>
              <w:right w:val="single" w:sz="4" w:space="0" w:color="auto"/>
            </w:tcBorders>
            <w:shd w:val="clear" w:color="000000" w:fill="F2F2F2"/>
            <w:noWrap/>
            <w:vAlign w:val="center"/>
            <w:hideMark/>
          </w:tcPr>
          <w:p w14:paraId="5359B9A7"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50885</w:t>
            </w:r>
          </w:p>
        </w:tc>
        <w:tc>
          <w:tcPr>
            <w:tcW w:w="920" w:type="dxa"/>
            <w:tcBorders>
              <w:top w:val="nil"/>
              <w:left w:val="nil"/>
              <w:bottom w:val="single" w:sz="4" w:space="0" w:color="auto"/>
              <w:right w:val="single" w:sz="4" w:space="0" w:color="auto"/>
            </w:tcBorders>
            <w:shd w:val="clear" w:color="000000" w:fill="F2F2F2"/>
            <w:noWrap/>
            <w:vAlign w:val="center"/>
            <w:hideMark/>
          </w:tcPr>
          <w:p w14:paraId="3434257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901251202</w:t>
            </w:r>
          </w:p>
        </w:tc>
        <w:tc>
          <w:tcPr>
            <w:tcW w:w="2180" w:type="dxa"/>
            <w:tcBorders>
              <w:top w:val="nil"/>
              <w:left w:val="nil"/>
              <w:bottom w:val="single" w:sz="4" w:space="0" w:color="auto"/>
              <w:right w:val="single" w:sz="4" w:space="0" w:color="auto"/>
            </w:tcBorders>
            <w:shd w:val="clear" w:color="000000" w:fill="F2F2F2"/>
            <w:vAlign w:val="center"/>
            <w:hideMark/>
          </w:tcPr>
          <w:p w14:paraId="4F8E325A"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CENTRAL HIDROELECTRICA ZEUS SAS ESP</w:t>
            </w:r>
          </w:p>
        </w:tc>
        <w:tc>
          <w:tcPr>
            <w:tcW w:w="1520" w:type="dxa"/>
            <w:tcBorders>
              <w:top w:val="nil"/>
              <w:left w:val="nil"/>
              <w:bottom w:val="single" w:sz="4" w:space="0" w:color="auto"/>
              <w:right w:val="single" w:sz="4" w:space="0" w:color="auto"/>
            </w:tcBorders>
            <w:shd w:val="clear" w:color="000000" w:fill="F2F2F2"/>
            <w:noWrap/>
            <w:vAlign w:val="center"/>
            <w:hideMark/>
          </w:tcPr>
          <w:p w14:paraId="1D2E84A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$ 59.863.000</w:t>
            </w:r>
          </w:p>
        </w:tc>
        <w:tc>
          <w:tcPr>
            <w:tcW w:w="1440" w:type="dxa"/>
            <w:tcBorders>
              <w:top w:val="nil"/>
              <w:left w:val="nil"/>
              <w:bottom w:val="single" w:sz="4" w:space="0" w:color="auto"/>
              <w:right w:val="single" w:sz="4" w:space="0" w:color="auto"/>
            </w:tcBorders>
            <w:shd w:val="clear" w:color="000000" w:fill="F2F2F2"/>
            <w:noWrap/>
            <w:vAlign w:val="center"/>
            <w:hideMark/>
          </w:tcPr>
          <w:p w14:paraId="1CA3F255"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$ 0</w:t>
            </w:r>
          </w:p>
        </w:tc>
        <w:tc>
          <w:tcPr>
            <w:tcW w:w="1460" w:type="dxa"/>
            <w:tcBorders>
              <w:top w:val="nil"/>
              <w:left w:val="nil"/>
              <w:bottom w:val="single" w:sz="4" w:space="0" w:color="auto"/>
              <w:right w:val="single" w:sz="4" w:space="0" w:color="auto"/>
            </w:tcBorders>
            <w:shd w:val="clear" w:color="000000" w:fill="F2F2F2"/>
            <w:noWrap/>
            <w:vAlign w:val="center"/>
            <w:hideMark/>
          </w:tcPr>
          <w:p w14:paraId="58945D6D"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$ 59.863.000</w:t>
            </w:r>
          </w:p>
        </w:tc>
        <w:tc>
          <w:tcPr>
            <w:tcW w:w="1260" w:type="dxa"/>
            <w:tcBorders>
              <w:top w:val="nil"/>
              <w:left w:val="nil"/>
              <w:bottom w:val="single" w:sz="4" w:space="0" w:color="auto"/>
              <w:right w:val="single" w:sz="4" w:space="0" w:color="auto"/>
            </w:tcBorders>
            <w:shd w:val="clear" w:color="000000" w:fill="F2F2F2"/>
            <w:noWrap/>
            <w:vAlign w:val="center"/>
            <w:hideMark/>
          </w:tcPr>
          <w:p w14:paraId="4ED1016D"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$ 598.630</w:t>
            </w:r>
          </w:p>
        </w:tc>
        <w:tc>
          <w:tcPr>
            <w:tcW w:w="1120" w:type="dxa"/>
            <w:tcBorders>
              <w:top w:val="nil"/>
              <w:left w:val="nil"/>
              <w:bottom w:val="single" w:sz="4" w:space="0" w:color="auto"/>
              <w:right w:val="single" w:sz="4" w:space="0" w:color="auto"/>
            </w:tcBorders>
            <w:shd w:val="clear" w:color="000000" w:fill="F2F2F2"/>
            <w:noWrap/>
            <w:vAlign w:val="center"/>
            <w:hideMark/>
          </w:tcPr>
          <w:p w14:paraId="4330A2D7"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$ 25</w:t>
            </w:r>
          </w:p>
        </w:tc>
        <w:tc>
          <w:tcPr>
            <w:tcW w:w="1260" w:type="dxa"/>
            <w:tcBorders>
              <w:top w:val="nil"/>
              <w:left w:val="nil"/>
              <w:bottom w:val="single" w:sz="4" w:space="0" w:color="auto"/>
              <w:right w:val="single" w:sz="4" w:space="0" w:color="auto"/>
            </w:tcBorders>
            <w:shd w:val="clear" w:color="000000" w:fill="F2F2F2"/>
            <w:noWrap/>
            <w:vAlign w:val="center"/>
            <w:hideMark/>
          </w:tcPr>
          <w:p w14:paraId="3BE3EFB1"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$ 598.655</w:t>
            </w:r>
          </w:p>
        </w:tc>
        <w:tc>
          <w:tcPr>
            <w:tcW w:w="1920" w:type="dxa"/>
            <w:tcBorders>
              <w:top w:val="nil"/>
              <w:left w:val="nil"/>
              <w:bottom w:val="single" w:sz="4" w:space="0" w:color="auto"/>
              <w:right w:val="single" w:sz="4" w:space="0" w:color="auto"/>
            </w:tcBorders>
            <w:shd w:val="clear" w:color="000000" w:fill="F2F2F2"/>
            <w:vAlign w:val="center"/>
            <w:hideMark/>
          </w:tcPr>
          <w:p w14:paraId="326F2E1F"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w:t>
            </w:r>
          </w:p>
        </w:tc>
      </w:tr>
      <w:tr w:rsidR="00D705A6" w:rsidRPr="002E0BB9" w14:paraId="75AE7C5D" w14:textId="77777777" w:rsidTr="007D1249">
        <w:trPr>
          <w:trHeight w:val="4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07539178"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289</w:t>
            </w:r>
          </w:p>
        </w:tc>
        <w:tc>
          <w:tcPr>
            <w:tcW w:w="560" w:type="dxa"/>
            <w:tcBorders>
              <w:top w:val="nil"/>
              <w:left w:val="nil"/>
              <w:bottom w:val="single" w:sz="4" w:space="0" w:color="auto"/>
              <w:right w:val="single" w:sz="4" w:space="0" w:color="auto"/>
            </w:tcBorders>
            <w:shd w:val="clear" w:color="000000" w:fill="F2F2F2"/>
            <w:noWrap/>
            <w:vAlign w:val="center"/>
            <w:hideMark/>
          </w:tcPr>
          <w:p w14:paraId="2C005DD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50303</w:t>
            </w:r>
          </w:p>
        </w:tc>
        <w:tc>
          <w:tcPr>
            <w:tcW w:w="920" w:type="dxa"/>
            <w:tcBorders>
              <w:top w:val="nil"/>
              <w:left w:val="nil"/>
              <w:bottom w:val="single" w:sz="4" w:space="0" w:color="auto"/>
              <w:right w:val="single" w:sz="4" w:space="0" w:color="auto"/>
            </w:tcBorders>
            <w:shd w:val="clear" w:color="000000" w:fill="F2F2F2"/>
            <w:noWrap/>
            <w:vAlign w:val="center"/>
            <w:hideMark/>
          </w:tcPr>
          <w:p w14:paraId="251DED1C"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901261711</w:t>
            </w:r>
          </w:p>
        </w:tc>
        <w:tc>
          <w:tcPr>
            <w:tcW w:w="2180" w:type="dxa"/>
            <w:tcBorders>
              <w:top w:val="nil"/>
              <w:left w:val="nil"/>
              <w:bottom w:val="single" w:sz="4" w:space="0" w:color="auto"/>
              <w:right w:val="single" w:sz="4" w:space="0" w:color="auto"/>
            </w:tcBorders>
            <w:shd w:val="clear" w:color="000000" w:fill="F2F2F2"/>
            <w:vAlign w:val="center"/>
            <w:hideMark/>
          </w:tcPr>
          <w:p w14:paraId="081E0E63"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AAGES DEVELOPMENT COLOMBIA SAS ESP</w:t>
            </w:r>
          </w:p>
        </w:tc>
        <w:tc>
          <w:tcPr>
            <w:tcW w:w="1520" w:type="dxa"/>
            <w:tcBorders>
              <w:top w:val="nil"/>
              <w:left w:val="nil"/>
              <w:bottom w:val="single" w:sz="4" w:space="0" w:color="auto"/>
              <w:right w:val="single" w:sz="4" w:space="0" w:color="auto"/>
            </w:tcBorders>
            <w:shd w:val="clear" w:color="000000" w:fill="F2F2F2"/>
            <w:noWrap/>
            <w:vAlign w:val="center"/>
            <w:hideMark/>
          </w:tcPr>
          <w:p w14:paraId="041A9CD2"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$ 3.135.317.000</w:t>
            </w:r>
          </w:p>
        </w:tc>
        <w:tc>
          <w:tcPr>
            <w:tcW w:w="1440" w:type="dxa"/>
            <w:tcBorders>
              <w:top w:val="nil"/>
              <w:left w:val="nil"/>
              <w:bottom w:val="single" w:sz="4" w:space="0" w:color="auto"/>
              <w:right w:val="single" w:sz="4" w:space="0" w:color="auto"/>
            </w:tcBorders>
            <w:shd w:val="clear" w:color="000000" w:fill="F2F2F2"/>
            <w:noWrap/>
            <w:vAlign w:val="center"/>
            <w:hideMark/>
          </w:tcPr>
          <w:p w14:paraId="0BFEE841"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$ 0</w:t>
            </w:r>
          </w:p>
        </w:tc>
        <w:tc>
          <w:tcPr>
            <w:tcW w:w="1460" w:type="dxa"/>
            <w:tcBorders>
              <w:top w:val="nil"/>
              <w:left w:val="nil"/>
              <w:bottom w:val="single" w:sz="4" w:space="0" w:color="auto"/>
              <w:right w:val="single" w:sz="4" w:space="0" w:color="auto"/>
            </w:tcBorders>
            <w:shd w:val="clear" w:color="000000" w:fill="F2F2F2"/>
            <w:noWrap/>
            <w:vAlign w:val="center"/>
            <w:hideMark/>
          </w:tcPr>
          <w:p w14:paraId="4D20AF6C"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$ 3.135.317.000</w:t>
            </w:r>
          </w:p>
        </w:tc>
        <w:tc>
          <w:tcPr>
            <w:tcW w:w="1260" w:type="dxa"/>
            <w:tcBorders>
              <w:top w:val="nil"/>
              <w:left w:val="nil"/>
              <w:bottom w:val="single" w:sz="4" w:space="0" w:color="auto"/>
              <w:right w:val="single" w:sz="4" w:space="0" w:color="auto"/>
            </w:tcBorders>
            <w:shd w:val="clear" w:color="000000" w:fill="F2F2F2"/>
            <w:noWrap/>
            <w:vAlign w:val="center"/>
            <w:hideMark/>
          </w:tcPr>
          <w:p w14:paraId="79F6A9B5"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$ 31.353.170</w:t>
            </w:r>
          </w:p>
        </w:tc>
        <w:tc>
          <w:tcPr>
            <w:tcW w:w="1120" w:type="dxa"/>
            <w:tcBorders>
              <w:top w:val="nil"/>
              <w:left w:val="nil"/>
              <w:bottom w:val="single" w:sz="4" w:space="0" w:color="auto"/>
              <w:right w:val="single" w:sz="4" w:space="0" w:color="auto"/>
            </w:tcBorders>
            <w:shd w:val="clear" w:color="000000" w:fill="F2F2F2"/>
            <w:noWrap/>
            <w:vAlign w:val="center"/>
            <w:hideMark/>
          </w:tcPr>
          <w:p w14:paraId="06D97F0A"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$ 1.305</w:t>
            </w:r>
          </w:p>
        </w:tc>
        <w:tc>
          <w:tcPr>
            <w:tcW w:w="1260" w:type="dxa"/>
            <w:tcBorders>
              <w:top w:val="nil"/>
              <w:left w:val="nil"/>
              <w:bottom w:val="single" w:sz="4" w:space="0" w:color="auto"/>
              <w:right w:val="single" w:sz="4" w:space="0" w:color="auto"/>
            </w:tcBorders>
            <w:shd w:val="clear" w:color="000000" w:fill="F2F2F2"/>
            <w:noWrap/>
            <w:vAlign w:val="center"/>
            <w:hideMark/>
          </w:tcPr>
          <w:p w14:paraId="60EB66E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$ 31.354.475</w:t>
            </w:r>
          </w:p>
        </w:tc>
        <w:tc>
          <w:tcPr>
            <w:tcW w:w="1920" w:type="dxa"/>
            <w:tcBorders>
              <w:top w:val="nil"/>
              <w:left w:val="nil"/>
              <w:bottom w:val="single" w:sz="4" w:space="0" w:color="auto"/>
              <w:right w:val="single" w:sz="4" w:space="0" w:color="auto"/>
            </w:tcBorders>
            <w:shd w:val="clear" w:color="000000" w:fill="F2F2F2"/>
            <w:vAlign w:val="center"/>
            <w:hideMark/>
          </w:tcPr>
          <w:p w14:paraId="41D724E0"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w:t>
            </w:r>
          </w:p>
        </w:tc>
      </w:tr>
      <w:tr w:rsidR="00D705A6" w:rsidRPr="002E0BB9" w14:paraId="5485B833" w14:textId="77777777" w:rsidTr="007D1249">
        <w:trPr>
          <w:trHeight w:val="4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41E5F791"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290</w:t>
            </w:r>
          </w:p>
        </w:tc>
        <w:tc>
          <w:tcPr>
            <w:tcW w:w="560" w:type="dxa"/>
            <w:tcBorders>
              <w:top w:val="nil"/>
              <w:left w:val="nil"/>
              <w:bottom w:val="single" w:sz="4" w:space="0" w:color="auto"/>
              <w:right w:val="single" w:sz="4" w:space="0" w:color="auto"/>
            </w:tcBorders>
            <w:shd w:val="clear" w:color="000000" w:fill="F2F2F2"/>
            <w:noWrap/>
            <w:vAlign w:val="center"/>
            <w:hideMark/>
          </w:tcPr>
          <w:p w14:paraId="2E575237"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43937</w:t>
            </w:r>
          </w:p>
        </w:tc>
        <w:tc>
          <w:tcPr>
            <w:tcW w:w="920" w:type="dxa"/>
            <w:tcBorders>
              <w:top w:val="nil"/>
              <w:left w:val="nil"/>
              <w:bottom w:val="single" w:sz="4" w:space="0" w:color="auto"/>
              <w:right w:val="single" w:sz="4" w:space="0" w:color="auto"/>
            </w:tcBorders>
            <w:shd w:val="clear" w:color="000000" w:fill="F2F2F2"/>
            <w:noWrap/>
            <w:vAlign w:val="center"/>
            <w:hideMark/>
          </w:tcPr>
          <w:p w14:paraId="66F9C7F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901263317</w:t>
            </w:r>
          </w:p>
        </w:tc>
        <w:tc>
          <w:tcPr>
            <w:tcW w:w="2180" w:type="dxa"/>
            <w:tcBorders>
              <w:top w:val="nil"/>
              <w:left w:val="nil"/>
              <w:bottom w:val="single" w:sz="4" w:space="0" w:color="auto"/>
              <w:right w:val="single" w:sz="4" w:space="0" w:color="auto"/>
            </w:tcBorders>
            <w:shd w:val="clear" w:color="000000" w:fill="F2F2F2"/>
            <w:vAlign w:val="center"/>
            <w:hideMark/>
          </w:tcPr>
          <w:p w14:paraId="17795395" w14:textId="77777777" w:rsidR="00D705A6" w:rsidRPr="002E0BB9" w:rsidRDefault="00D705A6" w:rsidP="00D22441">
            <w:pPr>
              <w:jc w:val="left"/>
              <w:rPr>
                <w:rFonts w:ascii="Arial Narrow" w:hAnsi="Arial Narrow" w:cs="Arial"/>
                <w:spacing w:val="0"/>
                <w:sz w:val="16"/>
                <w:szCs w:val="16"/>
                <w:lang w:val="en-GB" w:eastAsia="es-MX"/>
              </w:rPr>
            </w:pPr>
            <w:r w:rsidRPr="002E0BB9">
              <w:rPr>
                <w:rFonts w:ascii="Arial Narrow" w:hAnsi="Arial Narrow" w:cs="Arial"/>
                <w:spacing w:val="0"/>
                <w:sz w:val="16"/>
                <w:szCs w:val="16"/>
                <w:lang w:val="en-GB" w:eastAsia="es-MX"/>
              </w:rPr>
              <w:t>ENERGY TRANSITIONS S.A.S. ESP</w:t>
            </w:r>
          </w:p>
        </w:tc>
        <w:tc>
          <w:tcPr>
            <w:tcW w:w="1520" w:type="dxa"/>
            <w:tcBorders>
              <w:top w:val="nil"/>
              <w:left w:val="nil"/>
              <w:bottom w:val="single" w:sz="4" w:space="0" w:color="auto"/>
              <w:right w:val="single" w:sz="4" w:space="0" w:color="auto"/>
            </w:tcBorders>
            <w:shd w:val="clear" w:color="000000" w:fill="F2F2F2"/>
            <w:noWrap/>
            <w:vAlign w:val="center"/>
            <w:hideMark/>
          </w:tcPr>
          <w:p w14:paraId="2488307B"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$ 3.445.543.000</w:t>
            </w:r>
          </w:p>
        </w:tc>
        <w:tc>
          <w:tcPr>
            <w:tcW w:w="1440" w:type="dxa"/>
            <w:tcBorders>
              <w:top w:val="nil"/>
              <w:left w:val="nil"/>
              <w:bottom w:val="single" w:sz="4" w:space="0" w:color="auto"/>
              <w:right w:val="single" w:sz="4" w:space="0" w:color="auto"/>
            </w:tcBorders>
            <w:shd w:val="clear" w:color="000000" w:fill="F2F2F2"/>
            <w:noWrap/>
            <w:vAlign w:val="center"/>
            <w:hideMark/>
          </w:tcPr>
          <w:p w14:paraId="17B89EC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$ 779.382.959</w:t>
            </w:r>
          </w:p>
        </w:tc>
        <w:tc>
          <w:tcPr>
            <w:tcW w:w="1460" w:type="dxa"/>
            <w:tcBorders>
              <w:top w:val="nil"/>
              <w:left w:val="nil"/>
              <w:bottom w:val="single" w:sz="4" w:space="0" w:color="auto"/>
              <w:right w:val="single" w:sz="4" w:space="0" w:color="auto"/>
            </w:tcBorders>
            <w:shd w:val="clear" w:color="000000" w:fill="F2F2F2"/>
            <w:noWrap/>
            <w:vAlign w:val="center"/>
            <w:hideMark/>
          </w:tcPr>
          <w:p w14:paraId="20AEEAD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$ 4.224.925.959</w:t>
            </w:r>
          </w:p>
        </w:tc>
        <w:tc>
          <w:tcPr>
            <w:tcW w:w="1260" w:type="dxa"/>
            <w:tcBorders>
              <w:top w:val="nil"/>
              <w:left w:val="nil"/>
              <w:bottom w:val="single" w:sz="4" w:space="0" w:color="auto"/>
              <w:right w:val="single" w:sz="4" w:space="0" w:color="auto"/>
            </w:tcBorders>
            <w:shd w:val="clear" w:color="000000" w:fill="F2F2F2"/>
            <w:noWrap/>
            <w:vAlign w:val="center"/>
            <w:hideMark/>
          </w:tcPr>
          <w:p w14:paraId="717411B2"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$ 42.249.260</w:t>
            </w:r>
          </w:p>
        </w:tc>
        <w:tc>
          <w:tcPr>
            <w:tcW w:w="1120" w:type="dxa"/>
            <w:tcBorders>
              <w:top w:val="nil"/>
              <w:left w:val="nil"/>
              <w:bottom w:val="single" w:sz="4" w:space="0" w:color="auto"/>
              <w:right w:val="single" w:sz="4" w:space="0" w:color="auto"/>
            </w:tcBorders>
            <w:shd w:val="clear" w:color="000000" w:fill="F2F2F2"/>
            <w:noWrap/>
            <w:vAlign w:val="center"/>
            <w:hideMark/>
          </w:tcPr>
          <w:p w14:paraId="0CD7C07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$ 1.758</w:t>
            </w:r>
          </w:p>
        </w:tc>
        <w:tc>
          <w:tcPr>
            <w:tcW w:w="1260" w:type="dxa"/>
            <w:tcBorders>
              <w:top w:val="nil"/>
              <w:left w:val="nil"/>
              <w:bottom w:val="single" w:sz="4" w:space="0" w:color="auto"/>
              <w:right w:val="single" w:sz="4" w:space="0" w:color="auto"/>
            </w:tcBorders>
            <w:shd w:val="clear" w:color="000000" w:fill="F2F2F2"/>
            <w:noWrap/>
            <w:vAlign w:val="center"/>
            <w:hideMark/>
          </w:tcPr>
          <w:p w14:paraId="4BFF772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$ 42.251.018</w:t>
            </w:r>
          </w:p>
        </w:tc>
        <w:tc>
          <w:tcPr>
            <w:tcW w:w="1920" w:type="dxa"/>
            <w:tcBorders>
              <w:top w:val="nil"/>
              <w:left w:val="nil"/>
              <w:bottom w:val="single" w:sz="4" w:space="0" w:color="auto"/>
              <w:right w:val="single" w:sz="4" w:space="0" w:color="auto"/>
            </w:tcBorders>
            <w:shd w:val="clear" w:color="000000" w:fill="F2F2F2"/>
            <w:vAlign w:val="center"/>
            <w:hideMark/>
          </w:tcPr>
          <w:p w14:paraId="228B493F"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GAS POR REDES</w:t>
            </w:r>
          </w:p>
        </w:tc>
      </w:tr>
      <w:tr w:rsidR="00D705A6" w:rsidRPr="002E0BB9" w14:paraId="0C39948E" w14:textId="77777777" w:rsidTr="007D1249">
        <w:trPr>
          <w:trHeight w:val="2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28F84CDA"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291</w:t>
            </w:r>
          </w:p>
        </w:tc>
        <w:tc>
          <w:tcPr>
            <w:tcW w:w="560" w:type="dxa"/>
            <w:tcBorders>
              <w:top w:val="nil"/>
              <w:left w:val="nil"/>
              <w:bottom w:val="single" w:sz="4" w:space="0" w:color="auto"/>
              <w:right w:val="single" w:sz="4" w:space="0" w:color="auto"/>
            </w:tcBorders>
            <w:shd w:val="clear" w:color="000000" w:fill="F2F2F2"/>
            <w:noWrap/>
            <w:vAlign w:val="center"/>
            <w:hideMark/>
          </w:tcPr>
          <w:p w14:paraId="58A9163E"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45337</w:t>
            </w:r>
          </w:p>
        </w:tc>
        <w:tc>
          <w:tcPr>
            <w:tcW w:w="920" w:type="dxa"/>
            <w:tcBorders>
              <w:top w:val="nil"/>
              <w:left w:val="nil"/>
              <w:bottom w:val="single" w:sz="4" w:space="0" w:color="auto"/>
              <w:right w:val="single" w:sz="4" w:space="0" w:color="auto"/>
            </w:tcBorders>
            <w:shd w:val="clear" w:color="000000" w:fill="F2F2F2"/>
            <w:noWrap/>
            <w:vAlign w:val="center"/>
            <w:hideMark/>
          </w:tcPr>
          <w:p w14:paraId="69C73A9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901278277</w:t>
            </w:r>
          </w:p>
        </w:tc>
        <w:tc>
          <w:tcPr>
            <w:tcW w:w="2180" w:type="dxa"/>
            <w:tcBorders>
              <w:top w:val="nil"/>
              <w:left w:val="nil"/>
              <w:bottom w:val="single" w:sz="4" w:space="0" w:color="auto"/>
              <w:right w:val="single" w:sz="4" w:space="0" w:color="auto"/>
            </w:tcBorders>
            <w:shd w:val="clear" w:color="000000" w:fill="F2F2F2"/>
            <w:vAlign w:val="center"/>
            <w:hideMark/>
          </w:tcPr>
          <w:p w14:paraId="1B1E91B0"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SVC E.S.P. S.A.S. ZOMAC</w:t>
            </w:r>
          </w:p>
        </w:tc>
        <w:tc>
          <w:tcPr>
            <w:tcW w:w="1520" w:type="dxa"/>
            <w:tcBorders>
              <w:top w:val="nil"/>
              <w:left w:val="nil"/>
              <w:bottom w:val="single" w:sz="4" w:space="0" w:color="auto"/>
              <w:right w:val="single" w:sz="4" w:space="0" w:color="auto"/>
            </w:tcBorders>
            <w:shd w:val="clear" w:color="000000" w:fill="F2F2F2"/>
            <w:noWrap/>
            <w:vAlign w:val="center"/>
            <w:hideMark/>
          </w:tcPr>
          <w:p w14:paraId="7EC7CB9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$ 218.464.000</w:t>
            </w:r>
          </w:p>
        </w:tc>
        <w:tc>
          <w:tcPr>
            <w:tcW w:w="1440" w:type="dxa"/>
            <w:tcBorders>
              <w:top w:val="nil"/>
              <w:left w:val="nil"/>
              <w:bottom w:val="single" w:sz="4" w:space="0" w:color="auto"/>
              <w:right w:val="single" w:sz="4" w:space="0" w:color="auto"/>
            </w:tcBorders>
            <w:shd w:val="clear" w:color="000000" w:fill="F2F2F2"/>
            <w:noWrap/>
            <w:vAlign w:val="center"/>
            <w:hideMark/>
          </w:tcPr>
          <w:p w14:paraId="51D9C0E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$ 0</w:t>
            </w:r>
          </w:p>
        </w:tc>
        <w:tc>
          <w:tcPr>
            <w:tcW w:w="1460" w:type="dxa"/>
            <w:tcBorders>
              <w:top w:val="nil"/>
              <w:left w:val="nil"/>
              <w:bottom w:val="single" w:sz="4" w:space="0" w:color="auto"/>
              <w:right w:val="single" w:sz="4" w:space="0" w:color="auto"/>
            </w:tcBorders>
            <w:shd w:val="clear" w:color="000000" w:fill="F2F2F2"/>
            <w:noWrap/>
            <w:vAlign w:val="center"/>
            <w:hideMark/>
          </w:tcPr>
          <w:p w14:paraId="29CA83E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$ 218.464.000</w:t>
            </w:r>
          </w:p>
        </w:tc>
        <w:tc>
          <w:tcPr>
            <w:tcW w:w="1260" w:type="dxa"/>
            <w:tcBorders>
              <w:top w:val="nil"/>
              <w:left w:val="nil"/>
              <w:bottom w:val="single" w:sz="4" w:space="0" w:color="auto"/>
              <w:right w:val="single" w:sz="4" w:space="0" w:color="auto"/>
            </w:tcBorders>
            <w:shd w:val="clear" w:color="000000" w:fill="F2F2F2"/>
            <w:noWrap/>
            <w:vAlign w:val="center"/>
            <w:hideMark/>
          </w:tcPr>
          <w:p w14:paraId="59325BC1"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$ 2.184.640</w:t>
            </w:r>
          </w:p>
        </w:tc>
        <w:tc>
          <w:tcPr>
            <w:tcW w:w="1120" w:type="dxa"/>
            <w:tcBorders>
              <w:top w:val="nil"/>
              <w:left w:val="nil"/>
              <w:bottom w:val="single" w:sz="4" w:space="0" w:color="auto"/>
              <w:right w:val="single" w:sz="4" w:space="0" w:color="auto"/>
            </w:tcBorders>
            <w:shd w:val="clear" w:color="000000" w:fill="F2F2F2"/>
            <w:noWrap/>
            <w:vAlign w:val="center"/>
            <w:hideMark/>
          </w:tcPr>
          <w:p w14:paraId="7BF6CF1B"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$ 91</w:t>
            </w:r>
          </w:p>
        </w:tc>
        <w:tc>
          <w:tcPr>
            <w:tcW w:w="1260" w:type="dxa"/>
            <w:tcBorders>
              <w:top w:val="nil"/>
              <w:left w:val="nil"/>
              <w:bottom w:val="single" w:sz="4" w:space="0" w:color="auto"/>
              <w:right w:val="single" w:sz="4" w:space="0" w:color="auto"/>
            </w:tcBorders>
            <w:shd w:val="clear" w:color="000000" w:fill="F2F2F2"/>
            <w:noWrap/>
            <w:vAlign w:val="center"/>
            <w:hideMark/>
          </w:tcPr>
          <w:p w14:paraId="46743066"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$ 2.184.731</w:t>
            </w:r>
          </w:p>
        </w:tc>
        <w:tc>
          <w:tcPr>
            <w:tcW w:w="1920" w:type="dxa"/>
            <w:tcBorders>
              <w:top w:val="nil"/>
              <w:left w:val="nil"/>
              <w:bottom w:val="single" w:sz="4" w:space="0" w:color="auto"/>
              <w:right w:val="single" w:sz="4" w:space="0" w:color="auto"/>
            </w:tcBorders>
            <w:shd w:val="clear" w:color="000000" w:fill="F2F2F2"/>
            <w:vAlign w:val="center"/>
            <w:hideMark/>
          </w:tcPr>
          <w:p w14:paraId="7271A0FA"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w:t>
            </w:r>
          </w:p>
        </w:tc>
      </w:tr>
      <w:tr w:rsidR="00D705A6" w:rsidRPr="002E0BB9" w14:paraId="0584A323" w14:textId="77777777" w:rsidTr="007D1249">
        <w:trPr>
          <w:trHeight w:val="2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1804B746"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292</w:t>
            </w:r>
          </w:p>
        </w:tc>
        <w:tc>
          <w:tcPr>
            <w:tcW w:w="560" w:type="dxa"/>
            <w:tcBorders>
              <w:top w:val="nil"/>
              <w:left w:val="nil"/>
              <w:bottom w:val="single" w:sz="4" w:space="0" w:color="auto"/>
              <w:right w:val="single" w:sz="4" w:space="0" w:color="auto"/>
            </w:tcBorders>
            <w:shd w:val="clear" w:color="000000" w:fill="F2F2F2"/>
            <w:noWrap/>
            <w:vAlign w:val="center"/>
            <w:hideMark/>
          </w:tcPr>
          <w:p w14:paraId="07F7A7F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44478</w:t>
            </w:r>
          </w:p>
        </w:tc>
        <w:tc>
          <w:tcPr>
            <w:tcW w:w="920" w:type="dxa"/>
            <w:tcBorders>
              <w:top w:val="nil"/>
              <w:left w:val="nil"/>
              <w:bottom w:val="single" w:sz="4" w:space="0" w:color="auto"/>
              <w:right w:val="single" w:sz="4" w:space="0" w:color="auto"/>
            </w:tcBorders>
            <w:shd w:val="clear" w:color="000000" w:fill="F2F2F2"/>
            <w:noWrap/>
            <w:vAlign w:val="center"/>
            <w:hideMark/>
          </w:tcPr>
          <w:p w14:paraId="42F25BC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901285410</w:t>
            </w:r>
          </w:p>
        </w:tc>
        <w:tc>
          <w:tcPr>
            <w:tcW w:w="2180" w:type="dxa"/>
            <w:tcBorders>
              <w:top w:val="nil"/>
              <w:left w:val="nil"/>
              <w:bottom w:val="single" w:sz="4" w:space="0" w:color="auto"/>
              <w:right w:val="single" w:sz="4" w:space="0" w:color="auto"/>
            </w:tcBorders>
            <w:shd w:val="clear" w:color="000000" w:fill="F2F2F2"/>
            <w:vAlign w:val="center"/>
            <w:hideMark/>
          </w:tcPr>
          <w:p w14:paraId="66B8E1D3"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SOUL ENERGY SAS ESP</w:t>
            </w:r>
          </w:p>
        </w:tc>
        <w:tc>
          <w:tcPr>
            <w:tcW w:w="1520" w:type="dxa"/>
            <w:tcBorders>
              <w:top w:val="nil"/>
              <w:left w:val="nil"/>
              <w:bottom w:val="single" w:sz="4" w:space="0" w:color="auto"/>
              <w:right w:val="single" w:sz="4" w:space="0" w:color="auto"/>
            </w:tcBorders>
            <w:shd w:val="clear" w:color="000000" w:fill="F2F2F2"/>
            <w:noWrap/>
            <w:vAlign w:val="center"/>
            <w:hideMark/>
          </w:tcPr>
          <w:p w14:paraId="5DBC3C62"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$ 159.901.000</w:t>
            </w:r>
          </w:p>
        </w:tc>
        <w:tc>
          <w:tcPr>
            <w:tcW w:w="1440" w:type="dxa"/>
            <w:tcBorders>
              <w:top w:val="nil"/>
              <w:left w:val="nil"/>
              <w:bottom w:val="single" w:sz="4" w:space="0" w:color="auto"/>
              <w:right w:val="single" w:sz="4" w:space="0" w:color="auto"/>
            </w:tcBorders>
            <w:shd w:val="clear" w:color="000000" w:fill="F2F2F2"/>
            <w:noWrap/>
            <w:vAlign w:val="center"/>
            <w:hideMark/>
          </w:tcPr>
          <w:p w14:paraId="1965688D"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$ 0</w:t>
            </w:r>
          </w:p>
        </w:tc>
        <w:tc>
          <w:tcPr>
            <w:tcW w:w="1460" w:type="dxa"/>
            <w:tcBorders>
              <w:top w:val="nil"/>
              <w:left w:val="nil"/>
              <w:bottom w:val="single" w:sz="4" w:space="0" w:color="auto"/>
              <w:right w:val="single" w:sz="4" w:space="0" w:color="auto"/>
            </w:tcBorders>
            <w:shd w:val="clear" w:color="000000" w:fill="F2F2F2"/>
            <w:noWrap/>
            <w:vAlign w:val="center"/>
            <w:hideMark/>
          </w:tcPr>
          <w:p w14:paraId="6268A0BE"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$ 159.901.000</w:t>
            </w:r>
          </w:p>
        </w:tc>
        <w:tc>
          <w:tcPr>
            <w:tcW w:w="1260" w:type="dxa"/>
            <w:tcBorders>
              <w:top w:val="nil"/>
              <w:left w:val="nil"/>
              <w:bottom w:val="single" w:sz="4" w:space="0" w:color="auto"/>
              <w:right w:val="single" w:sz="4" w:space="0" w:color="auto"/>
            </w:tcBorders>
            <w:shd w:val="clear" w:color="000000" w:fill="F2F2F2"/>
            <w:noWrap/>
            <w:vAlign w:val="center"/>
            <w:hideMark/>
          </w:tcPr>
          <w:p w14:paraId="62EB89B7"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$ 1.599.010</w:t>
            </w:r>
          </w:p>
        </w:tc>
        <w:tc>
          <w:tcPr>
            <w:tcW w:w="1120" w:type="dxa"/>
            <w:tcBorders>
              <w:top w:val="nil"/>
              <w:left w:val="nil"/>
              <w:bottom w:val="single" w:sz="4" w:space="0" w:color="auto"/>
              <w:right w:val="single" w:sz="4" w:space="0" w:color="auto"/>
            </w:tcBorders>
            <w:shd w:val="clear" w:color="000000" w:fill="F2F2F2"/>
            <w:noWrap/>
            <w:vAlign w:val="center"/>
            <w:hideMark/>
          </w:tcPr>
          <w:p w14:paraId="010F128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$ 67</w:t>
            </w:r>
          </w:p>
        </w:tc>
        <w:tc>
          <w:tcPr>
            <w:tcW w:w="1260" w:type="dxa"/>
            <w:tcBorders>
              <w:top w:val="nil"/>
              <w:left w:val="nil"/>
              <w:bottom w:val="single" w:sz="4" w:space="0" w:color="auto"/>
              <w:right w:val="single" w:sz="4" w:space="0" w:color="auto"/>
            </w:tcBorders>
            <w:shd w:val="clear" w:color="000000" w:fill="F2F2F2"/>
            <w:noWrap/>
            <w:vAlign w:val="center"/>
            <w:hideMark/>
          </w:tcPr>
          <w:p w14:paraId="3A460E0C"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$ 1.599.077</w:t>
            </w:r>
          </w:p>
        </w:tc>
        <w:tc>
          <w:tcPr>
            <w:tcW w:w="1920" w:type="dxa"/>
            <w:tcBorders>
              <w:top w:val="nil"/>
              <w:left w:val="nil"/>
              <w:bottom w:val="single" w:sz="4" w:space="0" w:color="auto"/>
              <w:right w:val="single" w:sz="4" w:space="0" w:color="auto"/>
            </w:tcBorders>
            <w:shd w:val="clear" w:color="000000" w:fill="F2F2F2"/>
            <w:vAlign w:val="center"/>
            <w:hideMark/>
          </w:tcPr>
          <w:p w14:paraId="2C95AFC3"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w:t>
            </w:r>
          </w:p>
        </w:tc>
      </w:tr>
      <w:tr w:rsidR="00D705A6" w:rsidRPr="002E0BB9" w14:paraId="258D2E6B" w14:textId="77777777" w:rsidTr="007D1249">
        <w:trPr>
          <w:trHeight w:val="2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4C731A48"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293</w:t>
            </w:r>
          </w:p>
        </w:tc>
        <w:tc>
          <w:tcPr>
            <w:tcW w:w="560" w:type="dxa"/>
            <w:tcBorders>
              <w:top w:val="nil"/>
              <w:left w:val="nil"/>
              <w:bottom w:val="single" w:sz="4" w:space="0" w:color="auto"/>
              <w:right w:val="single" w:sz="4" w:space="0" w:color="auto"/>
            </w:tcBorders>
            <w:shd w:val="clear" w:color="000000" w:fill="F2F2F2"/>
            <w:noWrap/>
            <w:vAlign w:val="center"/>
            <w:hideMark/>
          </w:tcPr>
          <w:p w14:paraId="76C40835"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45317</w:t>
            </w:r>
          </w:p>
        </w:tc>
        <w:tc>
          <w:tcPr>
            <w:tcW w:w="920" w:type="dxa"/>
            <w:tcBorders>
              <w:top w:val="nil"/>
              <w:left w:val="nil"/>
              <w:bottom w:val="single" w:sz="4" w:space="0" w:color="auto"/>
              <w:right w:val="single" w:sz="4" w:space="0" w:color="auto"/>
            </w:tcBorders>
            <w:shd w:val="clear" w:color="000000" w:fill="F2F2F2"/>
            <w:noWrap/>
            <w:vAlign w:val="center"/>
            <w:hideMark/>
          </w:tcPr>
          <w:p w14:paraId="597BC11A"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901288781</w:t>
            </w:r>
          </w:p>
        </w:tc>
        <w:tc>
          <w:tcPr>
            <w:tcW w:w="2180" w:type="dxa"/>
            <w:tcBorders>
              <w:top w:val="nil"/>
              <w:left w:val="nil"/>
              <w:bottom w:val="single" w:sz="4" w:space="0" w:color="auto"/>
              <w:right w:val="single" w:sz="4" w:space="0" w:color="auto"/>
            </w:tcBorders>
            <w:shd w:val="clear" w:color="000000" w:fill="F2F2F2"/>
            <w:vAlign w:val="center"/>
            <w:hideMark/>
          </w:tcPr>
          <w:p w14:paraId="7BABF95A"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DEPI ENERGY S.A.S. E.S.P.</w:t>
            </w:r>
          </w:p>
        </w:tc>
        <w:tc>
          <w:tcPr>
            <w:tcW w:w="1520" w:type="dxa"/>
            <w:tcBorders>
              <w:top w:val="nil"/>
              <w:left w:val="nil"/>
              <w:bottom w:val="single" w:sz="4" w:space="0" w:color="auto"/>
              <w:right w:val="single" w:sz="4" w:space="0" w:color="auto"/>
            </w:tcBorders>
            <w:shd w:val="clear" w:color="000000" w:fill="F2F2F2"/>
            <w:noWrap/>
            <w:vAlign w:val="center"/>
            <w:hideMark/>
          </w:tcPr>
          <w:p w14:paraId="0F89FC0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$ 4.024.178.000</w:t>
            </w:r>
          </w:p>
        </w:tc>
        <w:tc>
          <w:tcPr>
            <w:tcW w:w="1440" w:type="dxa"/>
            <w:tcBorders>
              <w:top w:val="nil"/>
              <w:left w:val="nil"/>
              <w:bottom w:val="single" w:sz="4" w:space="0" w:color="auto"/>
              <w:right w:val="single" w:sz="4" w:space="0" w:color="auto"/>
            </w:tcBorders>
            <w:shd w:val="clear" w:color="000000" w:fill="F2F2F2"/>
            <w:noWrap/>
            <w:vAlign w:val="center"/>
            <w:hideMark/>
          </w:tcPr>
          <w:p w14:paraId="3B95E4EB"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$ 0</w:t>
            </w:r>
          </w:p>
        </w:tc>
        <w:tc>
          <w:tcPr>
            <w:tcW w:w="1460" w:type="dxa"/>
            <w:tcBorders>
              <w:top w:val="nil"/>
              <w:left w:val="nil"/>
              <w:bottom w:val="single" w:sz="4" w:space="0" w:color="auto"/>
              <w:right w:val="single" w:sz="4" w:space="0" w:color="auto"/>
            </w:tcBorders>
            <w:shd w:val="clear" w:color="000000" w:fill="F2F2F2"/>
            <w:noWrap/>
            <w:vAlign w:val="center"/>
            <w:hideMark/>
          </w:tcPr>
          <w:p w14:paraId="007BDF72"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$ 4.024.178.000</w:t>
            </w:r>
          </w:p>
        </w:tc>
        <w:tc>
          <w:tcPr>
            <w:tcW w:w="1260" w:type="dxa"/>
            <w:tcBorders>
              <w:top w:val="nil"/>
              <w:left w:val="nil"/>
              <w:bottom w:val="single" w:sz="4" w:space="0" w:color="auto"/>
              <w:right w:val="single" w:sz="4" w:space="0" w:color="auto"/>
            </w:tcBorders>
            <w:shd w:val="clear" w:color="000000" w:fill="F2F2F2"/>
            <w:noWrap/>
            <w:vAlign w:val="center"/>
            <w:hideMark/>
          </w:tcPr>
          <w:p w14:paraId="2B37C44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$ 40.241.780</w:t>
            </w:r>
          </w:p>
        </w:tc>
        <w:tc>
          <w:tcPr>
            <w:tcW w:w="1120" w:type="dxa"/>
            <w:tcBorders>
              <w:top w:val="nil"/>
              <w:left w:val="nil"/>
              <w:bottom w:val="single" w:sz="4" w:space="0" w:color="auto"/>
              <w:right w:val="single" w:sz="4" w:space="0" w:color="auto"/>
            </w:tcBorders>
            <w:shd w:val="clear" w:color="000000" w:fill="F2F2F2"/>
            <w:noWrap/>
            <w:vAlign w:val="center"/>
            <w:hideMark/>
          </w:tcPr>
          <w:p w14:paraId="157088B2"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$ 1.675</w:t>
            </w:r>
          </w:p>
        </w:tc>
        <w:tc>
          <w:tcPr>
            <w:tcW w:w="1260" w:type="dxa"/>
            <w:tcBorders>
              <w:top w:val="nil"/>
              <w:left w:val="nil"/>
              <w:bottom w:val="single" w:sz="4" w:space="0" w:color="auto"/>
              <w:right w:val="single" w:sz="4" w:space="0" w:color="auto"/>
            </w:tcBorders>
            <w:shd w:val="clear" w:color="000000" w:fill="F2F2F2"/>
            <w:noWrap/>
            <w:vAlign w:val="center"/>
            <w:hideMark/>
          </w:tcPr>
          <w:p w14:paraId="1938D18C"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$ 40.243.455</w:t>
            </w:r>
          </w:p>
        </w:tc>
        <w:tc>
          <w:tcPr>
            <w:tcW w:w="1920" w:type="dxa"/>
            <w:tcBorders>
              <w:top w:val="nil"/>
              <w:left w:val="nil"/>
              <w:bottom w:val="single" w:sz="4" w:space="0" w:color="auto"/>
              <w:right w:val="single" w:sz="4" w:space="0" w:color="auto"/>
            </w:tcBorders>
            <w:shd w:val="clear" w:color="000000" w:fill="F2F2F2"/>
            <w:vAlign w:val="center"/>
            <w:hideMark/>
          </w:tcPr>
          <w:p w14:paraId="33CB9E85"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w:t>
            </w:r>
          </w:p>
        </w:tc>
      </w:tr>
      <w:tr w:rsidR="00D705A6" w:rsidRPr="002E0BB9" w14:paraId="3602D1DE" w14:textId="77777777" w:rsidTr="007D1249">
        <w:trPr>
          <w:trHeight w:val="4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343A95C0"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294</w:t>
            </w:r>
          </w:p>
        </w:tc>
        <w:tc>
          <w:tcPr>
            <w:tcW w:w="560" w:type="dxa"/>
            <w:tcBorders>
              <w:top w:val="nil"/>
              <w:left w:val="nil"/>
              <w:bottom w:val="single" w:sz="4" w:space="0" w:color="auto"/>
              <w:right w:val="single" w:sz="4" w:space="0" w:color="auto"/>
            </w:tcBorders>
            <w:shd w:val="clear" w:color="000000" w:fill="F2F2F2"/>
            <w:noWrap/>
            <w:vAlign w:val="center"/>
            <w:hideMark/>
          </w:tcPr>
          <w:p w14:paraId="468FC4E6"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44997</w:t>
            </w:r>
          </w:p>
        </w:tc>
        <w:tc>
          <w:tcPr>
            <w:tcW w:w="920" w:type="dxa"/>
            <w:tcBorders>
              <w:top w:val="nil"/>
              <w:left w:val="nil"/>
              <w:bottom w:val="single" w:sz="4" w:space="0" w:color="auto"/>
              <w:right w:val="single" w:sz="4" w:space="0" w:color="auto"/>
            </w:tcBorders>
            <w:shd w:val="clear" w:color="000000" w:fill="F2F2F2"/>
            <w:noWrap/>
            <w:vAlign w:val="center"/>
            <w:hideMark/>
          </w:tcPr>
          <w:p w14:paraId="14817B1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901296315</w:t>
            </w:r>
          </w:p>
        </w:tc>
        <w:tc>
          <w:tcPr>
            <w:tcW w:w="2180" w:type="dxa"/>
            <w:tcBorders>
              <w:top w:val="nil"/>
              <w:left w:val="nil"/>
              <w:bottom w:val="single" w:sz="4" w:space="0" w:color="auto"/>
              <w:right w:val="single" w:sz="4" w:space="0" w:color="auto"/>
            </w:tcBorders>
            <w:shd w:val="clear" w:color="000000" w:fill="F2F2F2"/>
            <w:vAlign w:val="center"/>
            <w:hideMark/>
          </w:tcPr>
          <w:p w14:paraId="465C071C"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ELECTRIFICADORA ENTRE RIOS S.A.S</w:t>
            </w:r>
          </w:p>
        </w:tc>
        <w:tc>
          <w:tcPr>
            <w:tcW w:w="1520" w:type="dxa"/>
            <w:tcBorders>
              <w:top w:val="nil"/>
              <w:left w:val="nil"/>
              <w:bottom w:val="single" w:sz="4" w:space="0" w:color="auto"/>
              <w:right w:val="single" w:sz="4" w:space="0" w:color="auto"/>
            </w:tcBorders>
            <w:shd w:val="clear" w:color="000000" w:fill="F2F2F2"/>
            <w:noWrap/>
            <w:vAlign w:val="center"/>
            <w:hideMark/>
          </w:tcPr>
          <w:p w14:paraId="53898A46"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$ 129.816.000</w:t>
            </w:r>
          </w:p>
        </w:tc>
        <w:tc>
          <w:tcPr>
            <w:tcW w:w="1440" w:type="dxa"/>
            <w:tcBorders>
              <w:top w:val="nil"/>
              <w:left w:val="nil"/>
              <w:bottom w:val="single" w:sz="4" w:space="0" w:color="auto"/>
              <w:right w:val="single" w:sz="4" w:space="0" w:color="auto"/>
            </w:tcBorders>
            <w:shd w:val="clear" w:color="000000" w:fill="F2F2F2"/>
            <w:noWrap/>
            <w:vAlign w:val="center"/>
            <w:hideMark/>
          </w:tcPr>
          <w:p w14:paraId="5E8A75B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$ 5.192.859</w:t>
            </w:r>
          </w:p>
        </w:tc>
        <w:tc>
          <w:tcPr>
            <w:tcW w:w="1460" w:type="dxa"/>
            <w:tcBorders>
              <w:top w:val="nil"/>
              <w:left w:val="nil"/>
              <w:bottom w:val="single" w:sz="4" w:space="0" w:color="auto"/>
              <w:right w:val="single" w:sz="4" w:space="0" w:color="auto"/>
            </w:tcBorders>
            <w:shd w:val="clear" w:color="000000" w:fill="F2F2F2"/>
            <w:noWrap/>
            <w:vAlign w:val="center"/>
            <w:hideMark/>
          </w:tcPr>
          <w:p w14:paraId="00D403D2"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$ 135.008.859</w:t>
            </w:r>
          </w:p>
        </w:tc>
        <w:tc>
          <w:tcPr>
            <w:tcW w:w="1260" w:type="dxa"/>
            <w:tcBorders>
              <w:top w:val="nil"/>
              <w:left w:val="nil"/>
              <w:bottom w:val="single" w:sz="4" w:space="0" w:color="auto"/>
              <w:right w:val="single" w:sz="4" w:space="0" w:color="auto"/>
            </w:tcBorders>
            <w:shd w:val="clear" w:color="000000" w:fill="F2F2F2"/>
            <w:noWrap/>
            <w:vAlign w:val="center"/>
            <w:hideMark/>
          </w:tcPr>
          <w:p w14:paraId="60A3443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$ 1.350.089</w:t>
            </w:r>
          </w:p>
        </w:tc>
        <w:tc>
          <w:tcPr>
            <w:tcW w:w="1120" w:type="dxa"/>
            <w:tcBorders>
              <w:top w:val="nil"/>
              <w:left w:val="nil"/>
              <w:bottom w:val="single" w:sz="4" w:space="0" w:color="auto"/>
              <w:right w:val="single" w:sz="4" w:space="0" w:color="auto"/>
            </w:tcBorders>
            <w:shd w:val="clear" w:color="000000" w:fill="F2F2F2"/>
            <w:noWrap/>
            <w:vAlign w:val="center"/>
            <w:hideMark/>
          </w:tcPr>
          <w:p w14:paraId="727BC86B"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$ 56</w:t>
            </w:r>
          </w:p>
        </w:tc>
        <w:tc>
          <w:tcPr>
            <w:tcW w:w="1260" w:type="dxa"/>
            <w:tcBorders>
              <w:top w:val="nil"/>
              <w:left w:val="nil"/>
              <w:bottom w:val="single" w:sz="4" w:space="0" w:color="auto"/>
              <w:right w:val="single" w:sz="4" w:space="0" w:color="auto"/>
            </w:tcBorders>
            <w:shd w:val="clear" w:color="000000" w:fill="F2F2F2"/>
            <w:noWrap/>
            <w:vAlign w:val="center"/>
            <w:hideMark/>
          </w:tcPr>
          <w:p w14:paraId="11C49427"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$ 1.350.145</w:t>
            </w:r>
          </w:p>
        </w:tc>
        <w:tc>
          <w:tcPr>
            <w:tcW w:w="1920" w:type="dxa"/>
            <w:tcBorders>
              <w:top w:val="nil"/>
              <w:left w:val="nil"/>
              <w:bottom w:val="single" w:sz="4" w:space="0" w:color="auto"/>
              <w:right w:val="single" w:sz="4" w:space="0" w:color="auto"/>
            </w:tcBorders>
            <w:shd w:val="clear" w:color="000000" w:fill="F2F2F2"/>
            <w:vAlign w:val="center"/>
            <w:hideMark/>
          </w:tcPr>
          <w:p w14:paraId="3D746992"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w:t>
            </w:r>
          </w:p>
        </w:tc>
      </w:tr>
      <w:tr w:rsidR="00D705A6" w:rsidRPr="002E0BB9" w14:paraId="00EB919A" w14:textId="77777777" w:rsidTr="00053706">
        <w:trPr>
          <w:trHeight w:val="792"/>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253A0499"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295</w:t>
            </w:r>
          </w:p>
        </w:tc>
        <w:tc>
          <w:tcPr>
            <w:tcW w:w="560" w:type="dxa"/>
            <w:tcBorders>
              <w:top w:val="nil"/>
              <w:left w:val="nil"/>
              <w:bottom w:val="single" w:sz="4" w:space="0" w:color="auto"/>
              <w:right w:val="single" w:sz="4" w:space="0" w:color="auto"/>
            </w:tcBorders>
            <w:shd w:val="clear" w:color="000000" w:fill="F2F2F2"/>
            <w:noWrap/>
            <w:vAlign w:val="center"/>
            <w:hideMark/>
          </w:tcPr>
          <w:p w14:paraId="3DCF17FB"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45396</w:t>
            </w:r>
          </w:p>
        </w:tc>
        <w:tc>
          <w:tcPr>
            <w:tcW w:w="920" w:type="dxa"/>
            <w:tcBorders>
              <w:top w:val="nil"/>
              <w:left w:val="nil"/>
              <w:bottom w:val="single" w:sz="4" w:space="0" w:color="auto"/>
              <w:right w:val="single" w:sz="4" w:space="0" w:color="auto"/>
            </w:tcBorders>
            <w:shd w:val="clear" w:color="000000" w:fill="F2F2F2"/>
            <w:noWrap/>
            <w:vAlign w:val="center"/>
            <w:hideMark/>
          </w:tcPr>
          <w:p w14:paraId="4CD7CD1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901306019</w:t>
            </w:r>
          </w:p>
        </w:tc>
        <w:tc>
          <w:tcPr>
            <w:tcW w:w="2180" w:type="dxa"/>
            <w:tcBorders>
              <w:top w:val="nil"/>
              <w:left w:val="nil"/>
              <w:bottom w:val="single" w:sz="4" w:space="0" w:color="auto"/>
              <w:right w:val="single" w:sz="4" w:space="0" w:color="auto"/>
            </w:tcBorders>
            <w:shd w:val="clear" w:color="000000" w:fill="F2F2F2"/>
            <w:vAlign w:val="center"/>
            <w:hideMark/>
          </w:tcPr>
          <w:p w14:paraId="0DE34A64"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GIGAS ENERGY SOCIEDAD POR ACCIONES SIMPLIFICADAS EMPRESA DE SERVICIOS PUBLICOS</w:t>
            </w:r>
          </w:p>
        </w:tc>
        <w:tc>
          <w:tcPr>
            <w:tcW w:w="1520" w:type="dxa"/>
            <w:tcBorders>
              <w:top w:val="nil"/>
              <w:left w:val="nil"/>
              <w:bottom w:val="single" w:sz="4" w:space="0" w:color="auto"/>
              <w:right w:val="single" w:sz="4" w:space="0" w:color="auto"/>
            </w:tcBorders>
            <w:shd w:val="clear" w:color="000000" w:fill="F2F2F2"/>
            <w:noWrap/>
            <w:vAlign w:val="center"/>
            <w:hideMark/>
          </w:tcPr>
          <w:p w14:paraId="63A994CD"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$ 207.182.000</w:t>
            </w:r>
          </w:p>
        </w:tc>
        <w:tc>
          <w:tcPr>
            <w:tcW w:w="1440" w:type="dxa"/>
            <w:tcBorders>
              <w:top w:val="nil"/>
              <w:left w:val="nil"/>
              <w:bottom w:val="single" w:sz="4" w:space="0" w:color="auto"/>
              <w:right w:val="single" w:sz="4" w:space="0" w:color="auto"/>
            </w:tcBorders>
            <w:shd w:val="clear" w:color="000000" w:fill="F2F2F2"/>
            <w:noWrap/>
            <w:vAlign w:val="center"/>
            <w:hideMark/>
          </w:tcPr>
          <w:p w14:paraId="7BBE5855"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$ 61.028.059</w:t>
            </w:r>
          </w:p>
        </w:tc>
        <w:tc>
          <w:tcPr>
            <w:tcW w:w="1460" w:type="dxa"/>
            <w:tcBorders>
              <w:top w:val="nil"/>
              <w:left w:val="nil"/>
              <w:bottom w:val="single" w:sz="4" w:space="0" w:color="auto"/>
              <w:right w:val="single" w:sz="4" w:space="0" w:color="auto"/>
            </w:tcBorders>
            <w:shd w:val="clear" w:color="000000" w:fill="F2F2F2"/>
            <w:noWrap/>
            <w:vAlign w:val="center"/>
            <w:hideMark/>
          </w:tcPr>
          <w:p w14:paraId="504FA93E"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$ 268.210.059</w:t>
            </w:r>
          </w:p>
        </w:tc>
        <w:tc>
          <w:tcPr>
            <w:tcW w:w="1260" w:type="dxa"/>
            <w:tcBorders>
              <w:top w:val="nil"/>
              <w:left w:val="nil"/>
              <w:bottom w:val="single" w:sz="4" w:space="0" w:color="auto"/>
              <w:right w:val="single" w:sz="4" w:space="0" w:color="auto"/>
            </w:tcBorders>
            <w:shd w:val="clear" w:color="000000" w:fill="F2F2F2"/>
            <w:noWrap/>
            <w:vAlign w:val="center"/>
            <w:hideMark/>
          </w:tcPr>
          <w:p w14:paraId="1B1C8CD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$ 2.682.101</w:t>
            </w:r>
          </w:p>
        </w:tc>
        <w:tc>
          <w:tcPr>
            <w:tcW w:w="1120" w:type="dxa"/>
            <w:tcBorders>
              <w:top w:val="nil"/>
              <w:left w:val="nil"/>
              <w:bottom w:val="single" w:sz="4" w:space="0" w:color="auto"/>
              <w:right w:val="single" w:sz="4" w:space="0" w:color="auto"/>
            </w:tcBorders>
            <w:shd w:val="clear" w:color="000000" w:fill="F2F2F2"/>
            <w:noWrap/>
            <w:vAlign w:val="center"/>
            <w:hideMark/>
          </w:tcPr>
          <w:p w14:paraId="3152C082"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$ 112</w:t>
            </w:r>
          </w:p>
        </w:tc>
        <w:tc>
          <w:tcPr>
            <w:tcW w:w="1260" w:type="dxa"/>
            <w:tcBorders>
              <w:top w:val="nil"/>
              <w:left w:val="nil"/>
              <w:bottom w:val="single" w:sz="4" w:space="0" w:color="auto"/>
              <w:right w:val="single" w:sz="4" w:space="0" w:color="auto"/>
            </w:tcBorders>
            <w:shd w:val="clear" w:color="000000" w:fill="F2F2F2"/>
            <w:noWrap/>
            <w:vAlign w:val="center"/>
            <w:hideMark/>
          </w:tcPr>
          <w:p w14:paraId="4EB016DD"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$ 2.682.212</w:t>
            </w:r>
          </w:p>
        </w:tc>
        <w:tc>
          <w:tcPr>
            <w:tcW w:w="1920" w:type="dxa"/>
            <w:tcBorders>
              <w:top w:val="nil"/>
              <w:left w:val="nil"/>
              <w:bottom w:val="single" w:sz="4" w:space="0" w:color="auto"/>
              <w:right w:val="single" w:sz="4" w:space="0" w:color="auto"/>
            </w:tcBorders>
            <w:shd w:val="clear" w:color="000000" w:fill="F2F2F2"/>
            <w:vAlign w:val="center"/>
            <w:hideMark/>
          </w:tcPr>
          <w:p w14:paraId="5469FBBE"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GAS POR REDES</w:t>
            </w:r>
          </w:p>
        </w:tc>
      </w:tr>
      <w:tr w:rsidR="00D705A6" w:rsidRPr="002E0BB9" w14:paraId="11185BBF" w14:textId="77777777" w:rsidTr="007D1249">
        <w:trPr>
          <w:trHeight w:val="4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683D71CC"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296</w:t>
            </w:r>
          </w:p>
        </w:tc>
        <w:tc>
          <w:tcPr>
            <w:tcW w:w="560" w:type="dxa"/>
            <w:tcBorders>
              <w:top w:val="nil"/>
              <w:left w:val="nil"/>
              <w:bottom w:val="single" w:sz="4" w:space="0" w:color="auto"/>
              <w:right w:val="single" w:sz="4" w:space="0" w:color="auto"/>
            </w:tcBorders>
            <w:shd w:val="clear" w:color="000000" w:fill="F2F2F2"/>
            <w:noWrap/>
            <w:vAlign w:val="center"/>
            <w:hideMark/>
          </w:tcPr>
          <w:p w14:paraId="1843897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47363</w:t>
            </w:r>
          </w:p>
        </w:tc>
        <w:tc>
          <w:tcPr>
            <w:tcW w:w="920" w:type="dxa"/>
            <w:tcBorders>
              <w:top w:val="nil"/>
              <w:left w:val="nil"/>
              <w:bottom w:val="single" w:sz="4" w:space="0" w:color="auto"/>
              <w:right w:val="single" w:sz="4" w:space="0" w:color="auto"/>
            </w:tcBorders>
            <w:shd w:val="clear" w:color="000000" w:fill="F2F2F2"/>
            <w:noWrap/>
            <w:vAlign w:val="center"/>
            <w:hideMark/>
          </w:tcPr>
          <w:p w14:paraId="71FC42F5"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901315859</w:t>
            </w:r>
          </w:p>
        </w:tc>
        <w:tc>
          <w:tcPr>
            <w:tcW w:w="2180" w:type="dxa"/>
            <w:tcBorders>
              <w:top w:val="nil"/>
              <w:left w:val="nil"/>
              <w:bottom w:val="single" w:sz="4" w:space="0" w:color="auto"/>
              <w:right w:val="single" w:sz="4" w:space="0" w:color="auto"/>
            </w:tcBorders>
            <w:shd w:val="clear" w:color="000000" w:fill="F2F2F2"/>
            <w:vAlign w:val="center"/>
            <w:hideMark/>
          </w:tcPr>
          <w:p w14:paraId="75A1B6D3"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HIDROCARBUROS TRIPLE A SAS ESP</w:t>
            </w:r>
          </w:p>
        </w:tc>
        <w:tc>
          <w:tcPr>
            <w:tcW w:w="1520" w:type="dxa"/>
            <w:tcBorders>
              <w:top w:val="nil"/>
              <w:left w:val="nil"/>
              <w:bottom w:val="single" w:sz="4" w:space="0" w:color="auto"/>
              <w:right w:val="single" w:sz="4" w:space="0" w:color="auto"/>
            </w:tcBorders>
            <w:shd w:val="clear" w:color="000000" w:fill="F2F2F2"/>
            <w:noWrap/>
            <w:vAlign w:val="center"/>
            <w:hideMark/>
          </w:tcPr>
          <w:p w14:paraId="57EFA66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$ 166.718.000</w:t>
            </w:r>
          </w:p>
        </w:tc>
        <w:tc>
          <w:tcPr>
            <w:tcW w:w="1440" w:type="dxa"/>
            <w:tcBorders>
              <w:top w:val="nil"/>
              <w:left w:val="nil"/>
              <w:bottom w:val="single" w:sz="4" w:space="0" w:color="auto"/>
              <w:right w:val="single" w:sz="4" w:space="0" w:color="auto"/>
            </w:tcBorders>
            <w:shd w:val="clear" w:color="000000" w:fill="F2F2F2"/>
            <w:noWrap/>
            <w:vAlign w:val="center"/>
            <w:hideMark/>
          </w:tcPr>
          <w:p w14:paraId="1FCE961B"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$ 15.409.359</w:t>
            </w:r>
          </w:p>
        </w:tc>
        <w:tc>
          <w:tcPr>
            <w:tcW w:w="1460" w:type="dxa"/>
            <w:tcBorders>
              <w:top w:val="nil"/>
              <w:left w:val="nil"/>
              <w:bottom w:val="single" w:sz="4" w:space="0" w:color="auto"/>
              <w:right w:val="single" w:sz="4" w:space="0" w:color="auto"/>
            </w:tcBorders>
            <w:shd w:val="clear" w:color="000000" w:fill="F2F2F2"/>
            <w:noWrap/>
            <w:vAlign w:val="center"/>
            <w:hideMark/>
          </w:tcPr>
          <w:p w14:paraId="53614C7E"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$ 182.127.359</w:t>
            </w:r>
          </w:p>
        </w:tc>
        <w:tc>
          <w:tcPr>
            <w:tcW w:w="1260" w:type="dxa"/>
            <w:tcBorders>
              <w:top w:val="nil"/>
              <w:left w:val="nil"/>
              <w:bottom w:val="single" w:sz="4" w:space="0" w:color="auto"/>
              <w:right w:val="single" w:sz="4" w:space="0" w:color="auto"/>
            </w:tcBorders>
            <w:shd w:val="clear" w:color="000000" w:fill="F2F2F2"/>
            <w:noWrap/>
            <w:vAlign w:val="center"/>
            <w:hideMark/>
          </w:tcPr>
          <w:p w14:paraId="56C070F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$ 1.821.274</w:t>
            </w:r>
          </w:p>
        </w:tc>
        <w:tc>
          <w:tcPr>
            <w:tcW w:w="1120" w:type="dxa"/>
            <w:tcBorders>
              <w:top w:val="nil"/>
              <w:left w:val="nil"/>
              <w:bottom w:val="single" w:sz="4" w:space="0" w:color="auto"/>
              <w:right w:val="single" w:sz="4" w:space="0" w:color="auto"/>
            </w:tcBorders>
            <w:shd w:val="clear" w:color="000000" w:fill="F2F2F2"/>
            <w:noWrap/>
            <w:vAlign w:val="center"/>
            <w:hideMark/>
          </w:tcPr>
          <w:p w14:paraId="2FB987F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$ 76</w:t>
            </w:r>
          </w:p>
        </w:tc>
        <w:tc>
          <w:tcPr>
            <w:tcW w:w="1260" w:type="dxa"/>
            <w:tcBorders>
              <w:top w:val="nil"/>
              <w:left w:val="nil"/>
              <w:bottom w:val="single" w:sz="4" w:space="0" w:color="auto"/>
              <w:right w:val="single" w:sz="4" w:space="0" w:color="auto"/>
            </w:tcBorders>
            <w:shd w:val="clear" w:color="000000" w:fill="F2F2F2"/>
            <w:noWrap/>
            <w:vAlign w:val="center"/>
            <w:hideMark/>
          </w:tcPr>
          <w:p w14:paraId="7BA30F2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$ 1.821.349</w:t>
            </w:r>
          </w:p>
        </w:tc>
        <w:tc>
          <w:tcPr>
            <w:tcW w:w="1920" w:type="dxa"/>
            <w:tcBorders>
              <w:top w:val="nil"/>
              <w:left w:val="nil"/>
              <w:bottom w:val="single" w:sz="4" w:space="0" w:color="auto"/>
              <w:right w:val="single" w:sz="4" w:space="0" w:color="auto"/>
            </w:tcBorders>
            <w:shd w:val="clear" w:color="000000" w:fill="F2F2F2"/>
            <w:vAlign w:val="center"/>
            <w:hideMark/>
          </w:tcPr>
          <w:p w14:paraId="398A7E34"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GAS POR REDES</w:t>
            </w:r>
          </w:p>
        </w:tc>
      </w:tr>
      <w:tr w:rsidR="00D705A6" w:rsidRPr="002E0BB9" w14:paraId="7A49F89C" w14:textId="77777777" w:rsidTr="00053706">
        <w:trPr>
          <w:trHeight w:val="71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6E847378"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297</w:t>
            </w:r>
          </w:p>
        </w:tc>
        <w:tc>
          <w:tcPr>
            <w:tcW w:w="560" w:type="dxa"/>
            <w:tcBorders>
              <w:top w:val="nil"/>
              <w:left w:val="nil"/>
              <w:bottom w:val="single" w:sz="4" w:space="0" w:color="auto"/>
              <w:right w:val="single" w:sz="4" w:space="0" w:color="auto"/>
            </w:tcBorders>
            <w:shd w:val="clear" w:color="000000" w:fill="F2F2F2"/>
            <w:noWrap/>
            <w:vAlign w:val="center"/>
            <w:hideMark/>
          </w:tcPr>
          <w:p w14:paraId="6A4EAE9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48986</w:t>
            </w:r>
          </w:p>
        </w:tc>
        <w:tc>
          <w:tcPr>
            <w:tcW w:w="920" w:type="dxa"/>
            <w:tcBorders>
              <w:top w:val="nil"/>
              <w:left w:val="nil"/>
              <w:bottom w:val="single" w:sz="4" w:space="0" w:color="auto"/>
              <w:right w:val="single" w:sz="4" w:space="0" w:color="auto"/>
            </w:tcBorders>
            <w:shd w:val="clear" w:color="000000" w:fill="F2F2F2"/>
            <w:noWrap/>
            <w:vAlign w:val="center"/>
            <w:hideMark/>
          </w:tcPr>
          <w:p w14:paraId="678BC0C6"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901326470</w:t>
            </w:r>
          </w:p>
        </w:tc>
        <w:tc>
          <w:tcPr>
            <w:tcW w:w="2180" w:type="dxa"/>
            <w:tcBorders>
              <w:top w:val="nil"/>
              <w:left w:val="nil"/>
              <w:bottom w:val="single" w:sz="4" w:space="0" w:color="auto"/>
              <w:right w:val="single" w:sz="4" w:space="0" w:color="auto"/>
            </w:tcBorders>
            <w:shd w:val="clear" w:color="000000" w:fill="F2F2F2"/>
            <w:vAlign w:val="center"/>
            <w:hideMark/>
          </w:tcPr>
          <w:p w14:paraId="776F4C6F"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PROENERGY SOCIEDAD POR ACCIONES SIMPLIFICADAS EMPRESA DE SERVICIOS PUBLICOS DOMICILIARIOS</w:t>
            </w:r>
          </w:p>
        </w:tc>
        <w:tc>
          <w:tcPr>
            <w:tcW w:w="1520" w:type="dxa"/>
            <w:tcBorders>
              <w:top w:val="nil"/>
              <w:left w:val="nil"/>
              <w:bottom w:val="single" w:sz="4" w:space="0" w:color="auto"/>
              <w:right w:val="single" w:sz="4" w:space="0" w:color="auto"/>
            </w:tcBorders>
            <w:shd w:val="clear" w:color="000000" w:fill="F2F2F2"/>
            <w:noWrap/>
            <w:vAlign w:val="center"/>
            <w:hideMark/>
          </w:tcPr>
          <w:p w14:paraId="03D43CBB"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$ 4.674.546.000</w:t>
            </w:r>
          </w:p>
        </w:tc>
        <w:tc>
          <w:tcPr>
            <w:tcW w:w="1440" w:type="dxa"/>
            <w:tcBorders>
              <w:top w:val="nil"/>
              <w:left w:val="nil"/>
              <w:bottom w:val="single" w:sz="4" w:space="0" w:color="auto"/>
              <w:right w:val="single" w:sz="4" w:space="0" w:color="auto"/>
            </w:tcBorders>
            <w:shd w:val="clear" w:color="000000" w:fill="F2F2F2"/>
            <w:noWrap/>
            <w:vAlign w:val="center"/>
            <w:hideMark/>
          </w:tcPr>
          <w:p w14:paraId="002A95E6"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$ 831.814.965</w:t>
            </w:r>
          </w:p>
        </w:tc>
        <w:tc>
          <w:tcPr>
            <w:tcW w:w="1460" w:type="dxa"/>
            <w:tcBorders>
              <w:top w:val="nil"/>
              <w:left w:val="nil"/>
              <w:bottom w:val="single" w:sz="4" w:space="0" w:color="auto"/>
              <w:right w:val="single" w:sz="4" w:space="0" w:color="auto"/>
            </w:tcBorders>
            <w:shd w:val="clear" w:color="000000" w:fill="F2F2F2"/>
            <w:noWrap/>
            <w:vAlign w:val="center"/>
            <w:hideMark/>
          </w:tcPr>
          <w:p w14:paraId="7CC5425C"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$ 5.506.360.965</w:t>
            </w:r>
          </w:p>
        </w:tc>
        <w:tc>
          <w:tcPr>
            <w:tcW w:w="1260" w:type="dxa"/>
            <w:tcBorders>
              <w:top w:val="nil"/>
              <w:left w:val="nil"/>
              <w:bottom w:val="single" w:sz="4" w:space="0" w:color="auto"/>
              <w:right w:val="single" w:sz="4" w:space="0" w:color="auto"/>
            </w:tcBorders>
            <w:shd w:val="clear" w:color="000000" w:fill="F2F2F2"/>
            <w:noWrap/>
            <w:vAlign w:val="center"/>
            <w:hideMark/>
          </w:tcPr>
          <w:p w14:paraId="368FD14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$ 55.063.610</w:t>
            </w:r>
          </w:p>
        </w:tc>
        <w:tc>
          <w:tcPr>
            <w:tcW w:w="1120" w:type="dxa"/>
            <w:tcBorders>
              <w:top w:val="nil"/>
              <w:left w:val="nil"/>
              <w:bottom w:val="single" w:sz="4" w:space="0" w:color="auto"/>
              <w:right w:val="single" w:sz="4" w:space="0" w:color="auto"/>
            </w:tcBorders>
            <w:shd w:val="clear" w:color="000000" w:fill="F2F2F2"/>
            <w:noWrap/>
            <w:vAlign w:val="center"/>
            <w:hideMark/>
          </w:tcPr>
          <w:p w14:paraId="465BD9B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$ 2.292</w:t>
            </w:r>
          </w:p>
        </w:tc>
        <w:tc>
          <w:tcPr>
            <w:tcW w:w="1260" w:type="dxa"/>
            <w:tcBorders>
              <w:top w:val="nil"/>
              <w:left w:val="nil"/>
              <w:bottom w:val="single" w:sz="4" w:space="0" w:color="auto"/>
              <w:right w:val="single" w:sz="4" w:space="0" w:color="auto"/>
            </w:tcBorders>
            <w:shd w:val="clear" w:color="000000" w:fill="F2F2F2"/>
            <w:noWrap/>
            <w:vAlign w:val="center"/>
            <w:hideMark/>
          </w:tcPr>
          <w:p w14:paraId="4CBC54A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$ 55.065.901</w:t>
            </w:r>
          </w:p>
        </w:tc>
        <w:tc>
          <w:tcPr>
            <w:tcW w:w="1920" w:type="dxa"/>
            <w:tcBorders>
              <w:top w:val="nil"/>
              <w:left w:val="nil"/>
              <w:bottom w:val="single" w:sz="4" w:space="0" w:color="auto"/>
              <w:right w:val="single" w:sz="4" w:space="0" w:color="auto"/>
            </w:tcBorders>
            <w:shd w:val="clear" w:color="000000" w:fill="F2F2F2"/>
            <w:vAlign w:val="center"/>
            <w:hideMark/>
          </w:tcPr>
          <w:p w14:paraId="7007E786"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w:t>
            </w:r>
          </w:p>
        </w:tc>
      </w:tr>
      <w:tr w:rsidR="00D705A6" w:rsidRPr="002E0BB9" w14:paraId="11C6C567" w14:textId="77777777" w:rsidTr="00053706">
        <w:trPr>
          <w:trHeight w:val="536"/>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02D37F79"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298</w:t>
            </w:r>
          </w:p>
        </w:tc>
        <w:tc>
          <w:tcPr>
            <w:tcW w:w="560" w:type="dxa"/>
            <w:tcBorders>
              <w:top w:val="nil"/>
              <w:left w:val="nil"/>
              <w:bottom w:val="single" w:sz="4" w:space="0" w:color="auto"/>
              <w:right w:val="single" w:sz="4" w:space="0" w:color="auto"/>
            </w:tcBorders>
            <w:shd w:val="clear" w:color="000000" w:fill="F2F2F2"/>
            <w:noWrap/>
            <w:vAlign w:val="center"/>
            <w:hideMark/>
          </w:tcPr>
          <w:p w14:paraId="06CDEFB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54786</w:t>
            </w:r>
          </w:p>
        </w:tc>
        <w:tc>
          <w:tcPr>
            <w:tcW w:w="920" w:type="dxa"/>
            <w:tcBorders>
              <w:top w:val="nil"/>
              <w:left w:val="nil"/>
              <w:bottom w:val="single" w:sz="4" w:space="0" w:color="auto"/>
              <w:right w:val="single" w:sz="4" w:space="0" w:color="auto"/>
            </w:tcBorders>
            <w:shd w:val="clear" w:color="000000" w:fill="F2F2F2"/>
            <w:noWrap/>
            <w:vAlign w:val="center"/>
            <w:hideMark/>
          </w:tcPr>
          <w:p w14:paraId="25731B01"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901335304</w:t>
            </w:r>
          </w:p>
        </w:tc>
        <w:tc>
          <w:tcPr>
            <w:tcW w:w="2180" w:type="dxa"/>
            <w:tcBorders>
              <w:top w:val="nil"/>
              <w:left w:val="nil"/>
              <w:bottom w:val="single" w:sz="4" w:space="0" w:color="auto"/>
              <w:right w:val="single" w:sz="4" w:space="0" w:color="auto"/>
            </w:tcBorders>
            <w:shd w:val="clear" w:color="000000" w:fill="F2F2F2"/>
            <w:vAlign w:val="center"/>
            <w:hideMark/>
          </w:tcPr>
          <w:p w14:paraId="4BDFAAB4"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TRINA SOLAR GENERADOR COLOMBIA SAN FELIPE SAS</w:t>
            </w:r>
          </w:p>
        </w:tc>
        <w:tc>
          <w:tcPr>
            <w:tcW w:w="1520" w:type="dxa"/>
            <w:tcBorders>
              <w:top w:val="nil"/>
              <w:left w:val="nil"/>
              <w:bottom w:val="single" w:sz="4" w:space="0" w:color="auto"/>
              <w:right w:val="single" w:sz="4" w:space="0" w:color="auto"/>
            </w:tcBorders>
            <w:shd w:val="clear" w:color="000000" w:fill="F2F2F2"/>
            <w:noWrap/>
            <w:vAlign w:val="center"/>
            <w:hideMark/>
          </w:tcPr>
          <w:p w14:paraId="5EA49291"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$ 46.545.798</w:t>
            </w:r>
          </w:p>
        </w:tc>
        <w:tc>
          <w:tcPr>
            <w:tcW w:w="1440" w:type="dxa"/>
            <w:tcBorders>
              <w:top w:val="nil"/>
              <w:left w:val="nil"/>
              <w:bottom w:val="single" w:sz="4" w:space="0" w:color="auto"/>
              <w:right w:val="single" w:sz="4" w:space="0" w:color="auto"/>
            </w:tcBorders>
            <w:shd w:val="clear" w:color="000000" w:fill="F2F2F2"/>
            <w:noWrap/>
            <w:vAlign w:val="center"/>
            <w:hideMark/>
          </w:tcPr>
          <w:p w14:paraId="6A97BEA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$ 0</w:t>
            </w:r>
          </w:p>
        </w:tc>
        <w:tc>
          <w:tcPr>
            <w:tcW w:w="1460" w:type="dxa"/>
            <w:tcBorders>
              <w:top w:val="nil"/>
              <w:left w:val="nil"/>
              <w:bottom w:val="single" w:sz="4" w:space="0" w:color="auto"/>
              <w:right w:val="single" w:sz="4" w:space="0" w:color="auto"/>
            </w:tcBorders>
            <w:shd w:val="clear" w:color="000000" w:fill="F2F2F2"/>
            <w:noWrap/>
            <w:vAlign w:val="center"/>
            <w:hideMark/>
          </w:tcPr>
          <w:p w14:paraId="5A7A2825"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$ 46.545.798</w:t>
            </w:r>
          </w:p>
        </w:tc>
        <w:tc>
          <w:tcPr>
            <w:tcW w:w="1260" w:type="dxa"/>
            <w:tcBorders>
              <w:top w:val="nil"/>
              <w:left w:val="nil"/>
              <w:bottom w:val="single" w:sz="4" w:space="0" w:color="auto"/>
              <w:right w:val="single" w:sz="4" w:space="0" w:color="auto"/>
            </w:tcBorders>
            <w:shd w:val="clear" w:color="000000" w:fill="F2F2F2"/>
            <w:noWrap/>
            <w:vAlign w:val="center"/>
            <w:hideMark/>
          </w:tcPr>
          <w:p w14:paraId="1B62E99D"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$ 465.458</w:t>
            </w:r>
          </w:p>
        </w:tc>
        <w:tc>
          <w:tcPr>
            <w:tcW w:w="1120" w:type="dxa"/>
            <w:tcBorders>
              <w:top w:val="nil"/>
              <w:left w:val="nil"/>
              <w:bottom w:val="single" w:sz="4" w:space="0" w:color="auto"/>
              <w:right w:val="single" w:sz="4" w:space="0" w:color="auto"/>
            </w:tcBorders>
            <w:shd w:val="clear" w:color="000000" w:fill="F2F2F2"/>
            <w:noWrap/>
            <w:vAlign w:val="center"/>
            <w:hideMark/>
          </w:tcPr>
          <w:p w14:paraId="3CA8DB2A"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$ 19</w:t>
            </w:r>
          </w:p>
        </w:tc>
        <w:tc>
          <w:tcPr>
            <w:tcW w:w="1260" w:type="dxa"/>
            <w:tcBorders>
              <w:top w:val="nil"/>
              <w:left w:val="nil"/>
              <w:bottom w:val="single" w:sz="4" w:space="0" w:color="auto"/>
              <w:right w:val="single" w:sz="4" w:space="0" w:color="auto"/>
            </w:tcBorders>
            <w:shd w:val="clear" w:color="000000" w:fill="F2F2F2"/>
            <w:noWrap/>
            <w:vAlign w:val="center"/>
            <w:hideMark/>
          </w:tcPr>
          <w:p w14:paraId="34ECBDC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$ 465.477</w:t>
            </w:r>
          </w:p>
        </w:tc>
        <w:tc>
          <w:tcPr>
            <w:tcW w:w="1920" w:type="dxa"/>
            <w:tcBorders>
              <w:top w:val="nil"/>
              <w:left w:val="nil"/>
              <w:bottom w:val="single" w:sz="4" w:space="0" w:color="auto"/>
              <w:right w:val="single" w:sz="4" w:space="0" w:color="auto"/>
            </w:tcBorders>
            <w:shd w:val="clear" w:color="000000" w:fill="F2F2F2"/>
            <w:vAlign w:val="center"/>
            <w:hideMark/>
          </w:tcPr>
          <w:p w14:paraId="7938C411"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w:t>
            </w:r>
          </w:p>
        </w:tc>
      </w:tr>
      <w:tr w:rsidR="00D705A6" w:rsidRPr="002E0BB9" w14:paraId="4A46281A" w14:textId="77777777" w:rsidTr="007D1249">
        <w:trPr>
          <w:trHeight w:val="6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118FB266"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299</w:t>
            </w:r>
          </w:p>
        </w:tc>
        <w:tc>
          <w:tcPr>
            <w:tcW w:w="560" w:type="dxa"/>
            <w:tcBorders>
              <w:top w:val="nil"/>
              <w:left w:val="nil"/>
              <w:bottom w:val="single" w:sz="4" w:space="0" w:color="auto"/>
              <w:right w:val="single" w:sz="4" w:space="0" w:color="auto"/>
            </w:tcBorders>
            <w:shd w:val="clear" w:color="000000" w:fill="F2F2F2"/>
            <w:noWrap/>
            <w:vAlign w:val="center"/>
            <w:hideMark/>
          </w:tcPr>
          <w:p w14:paraId="50BBAC7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56127</w:t>
            </w:r>
          </w:p>
        </w:tc>
        <w:tc>
          <w:tcPr>
            <w:tcW w:w="920" w:type="dxa"/>
            <w:tcBorders>
              <w:top w:val="nil"/>
              <w:left w:val="nil"/>
              <w:bottom w:val="single" w:sz="4" w:space="0" w:color="auto"/>
              <w:right w:val="single" w:sz="4" w:space="0" w:color="auto"/>
            </w:tcBorders>
            <w:shd w:val="clear" w:color="000000" w:fill="F2F2F2"/>
            <w:noWrap/>
            <w:vAlign w:val="center"/>
            <w:hideMark/>
          </w:tcPr>
          <w:p w14:paraId="4AD396DC"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901335318</w:t>
            </w:r>
          </w:p>
        </w:tc>
        <w:tc>
          <w:tcPr>
            <w:tcW w:w="2180" w:type="dxa"/>
            <w:tcBorders>
              <w:top w:val="nil"/>
              <w:left w:val="nil"/>
              <w:bottom w:val="single" w:sz="4" w:space="0" w:color="auto"/>
              <w:right w:val="single" w:sz="4" w:space="0" w:color="auto"/>
            </w:tcBorders>
            <w:shd w:val="clear" w:color="000000" w:fill="F2F2F2"/>
            <w:vAlign w:val="center"/>
            <w:hideMark/>
          </w:tcPr>
          <w:p w14:paraId="324F6305"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TRINA SOLAR GENERADOR COLOMBIA - CAMPANO S.A.S. E.</w:t>
            </w:r>
            <w:proofErr w:type="gramStart"/>
            <w:r w:rsidRPr="002E0BB9">
              <w:rPr>
                <w:rFonts w:ascii="Arial Narrow" w:hAnsi="Arial Narrow" w:cs="Arial"/>
                <w:spacing w:val="0"/>
                <w:sz w:val="16"/>
                <w:szCs w:val="16"/>
                <w:lang w:val="es-MX" w:eastAsia="es-MX"/>
              </w:rPr>
              <w:t>S.P</w:t>
            </w:r>
            <w:proofErr w:type="gramEnd"/>
          </w:p>
        </w:tc>
        <w:tc>
          <w:tcPr>
            <w:tcW w:w="1520" w:type="dxa"/>
            <w:tcBorders>
              <w:top w:val="nil"/>
              <w:left w:val="nil"/>
              <w:bottom w:val="single" w:sz="4" w:space="0" w:color="auto"/>
              <w:right w:val="single" w:sz="4" w:space="0" w:color="auto"/>
            </w:tcBorders>
            <w:shd w:val="clear" w:color="000000" w:fill="F2F2F2"/>
            <w:noWrap/>
            <w:vAlign w:val="center"/>
            <w:hideMark/>
          </w:tcPr>
          <w:p w14:paraId="2A967C47"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$ 51.533.006</w:t>
            </w:r>
          </w:p>
        </w:tc>
        <w:tc>
          <w:tcPr>
            <w:tcW w:w="1440" w:type="dxa"/>
            <w:tcBorders>
              <w:top w:val="nil"/>
              <w:left w:val="nil"/>
              <w:bottom w:val="single" w:sz="4" w:space="0" w:color="auto"/>
              <w:right w:val="single" w:sz="4" w:space="0" w:color="auto"/>
            </w:tcBorders>
            <w:shd w:val="clear" w:color="000000" w:fill="F2F2F2"/>
            <w:noWrap/>
            <w:vAlign w:val="center"/>
            <w:hideMark/>
          </w:tcPr>
          <w:p w14:paraId="6A2A71E1"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$ 0</w:t>
            </w:r>
          </w:p>
        </w:tc>
        <w:tc>
          <w:tcPr>
            <w:tcW w:w="1460" w:type="dxa"/>
            <w:tcBorders>
              <w:top w:val="nil"/>
              <w:left w:val="nil"/>
              <w:bottom w:val="single" w:sz="4" w:space="0" w:color="auto"/>
              <w:right w:val="single" w:sz="4" w:space="0" w:color="auto"/>
            </w:tcBorders>
            <w:shd w:val="clear" w:color="000000" w:fill="F2F2F2"/>
            <w:noWrap/>
            <w:vAlign w:val="center"/>
            <w:hideMark/>
          </w:tcPr>
          <w:p w14:paraId="795FA68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$ 51.533.006</w:t>
            </w:r>
          </w:p>
        </w:tc>
        <w:tc>
          <w:tcPr>
            <w:tcW w:w="1260" w:type="dxa"/>
            <w:tcBorders>
              <w:top w:val="nil"/>
              <w:left w:val="nil"/>
              <w:bottom w:val="single" w:sz="4" w:space="0" w:color="auto"/>
              <w:right w:val="single" w:sz="4" w:space="0" w:color="auto"/>
            </w:tcBorders>
            <w:shd w:val="clear" w:color="000000" w:fill="F2F2F2"/>
            <w:noWrap/>
            <w:vAlign w:val="center"/>
            <w:hideMark/>
          </w:tcPr>
          <w:p w14:paraId="658417BA"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$ 515.330</w:t>
            </w:r>
          </w:p>
        </w:tc>
        <w:tc>
          <w:tcPr>
            <w:tcW w:w="1120" w:type="dxa"/>
            <w:tcBorders>
              <w:top w:val="nil"/>
              <w:left w:val="nil"/>
              <w:bottom w:val="single" w:sz="4" w:space="0" w:color="auto"/>
              <w:right w:val="single" w:sz="4" w:space="0" w:color="auto"/>
            </w:tcBorders>
            <w:shd w:val="clear" w:color="000000" w:fill="F2F2F2"/>
            <w:noWrap/>
            <w:vAlign w:val="center"/>
            <w:hideMark/>
          </w:tcPr>
          <w:p w14:paraId="178F2B7D"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$ 21</w:t>
            </w:r>
          </w:p>
        </w:tc>
        <w:tc>
          <w:tcPr>
            <w:tcW w:w="1260" w:type="dxa"/>
            <w:tcBorders>
              <w:top w:val="nil"/>
              <w:left w:val="nil"/>
              <w:bottom w:val="single" w:sz="4" w:space="0" w:color="auto"/>
              <w:right w:val="single" w:sz="4" w:space="0" w:color="auto"/>
            </w:tcBorders>
            <w:shd w:val="clear" w:color="000000" w:fill="F2F2F2"/>
            <w:noWrap/>
            <w:vAlign w:val="center"/>
            <w:hideMark/>
          </w:tcPr>
          <w:p w14:paraId="6A8429FB"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$ 515.352</w:t>
            </w:r>
          </w:p>
        </w:tc>
        <w:tc>
          <w:tcPr>
            <w:tcW w:w="1920" w:type="dxa"/>
            <w:tcBorders>
              <w:top w:val="nil"/>
              <w:left w:val="nil"/>
              <w:bottom w:val="single" w:sz="4" w:space="0" w:color="auto"/>
              <w:right w:val="single" w:sz="4" w:space="0" w:color="auto"/>
            </w:tcBorders>
            <w:shd w:val="clear" w:color="000000" w:fill="F2F2F2"/>
            <w:vAlign w:val="center"/>
            <w:hideMark/>
          </w:tcPr>
          <w:p w14:paraId="6B4B7EA3"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w:t>
            </w:r>
          </w:p>
        </w:tc>
      </w:tr>
      <w:tr w:rsidR="00D705A6" w:rsidRPr="002E0BB9" w14:paraId="7EF3C57E" w14:textId="77777777" w:rsidTr="007D1249">
        <w:trPr>
          <w:trHeight w:val="6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007D5513"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300</w:t>
            </w:r>
          </w:p>
        </w:tc>
        <w:tc>
          <w:tcPr>
            <w:tcW w:w="560" w:type="dxa"/>
            <w:tcBorders>
              <w:top w:val="nil"/>
              <w:left w:val="nil"/>
              <w:bottom w:val="single" w:sz="4" w:space="0" w:color="auto"/>
              <w:right w:val="single" w:sz="4" w:space="0" w:color="auto"/>
            </w:tcBorders>
            <w:shd w:val="clear" w:color="000000" w:fill="F2F2F2"/>
            <w:noWrap/>
            <w:vAlign w:val="center"/>
            <w:hideMark/>
          </w:tcPr>
          <w:p w14:paraId="63357565"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56126</w:t>
            </w:r>
          </w:p>
        </w:tc>
        <w:tc>
          <w:tcPr>
            <w:tcW w:w="920" w:type="dxa"/>
            <w:tcBorders>
              <w:top w:val="nil"/>
              <w:left w:val="nil"/>
              <w:bottom w:val="single" w:sz="4" w:space="0" w:color="auto"/>
              <w:right w:val="single" w:sz="4" w:space="0" w:color="auto"/>
            </w:tcBorders>
            <w:shd w:val="clear" w:color="000000" w:fill="F2F2F2"/>
            <w:noWrap/>
            <w:vAlign w:val="center"/>
            <w:hideMark/>
          </w:tcPr>
          <w:p w14:paraId="14E5861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901335349</w:t>
            </w:r>
          </w:p>
        </w:tc>
        <w:tc>
          <w:tcPr>
            <w:tcW w:w="2180" w:type="dxa"/>
            <w:tcBorders>
              <w:top w:val="nil"/>
              <w:left w:val="nil"/>
              <w:bottom w:val="single" w:sz="4" w:space="0" w:color="auto"/>
              <w:right w:val="single" w:sz="4" w:space="0" w:color="auto"/>
            </w:tcBorders>
            <w:shd w:val="clear" w:color="000000" w:fill="F2F2F2"/>
            <w:vAlign w:val="center"/>
            <w:hideMark/>
          </w:tcPr>
          <w:p w14:paraId="445558CD"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TRINA SOLAR GENERADOR COLOMBIA - CARTAGO S.A.S E.</w:t>
            </w:r>
            <w:proofErr w:type="gramStart"/>
            <w:r w:rsidRPr="002E0BB9">
              <w:rPr>
                <w:rFonts w:ascii="Arial Narrow" w:hAnsi="Arial Narrow" w:cs="Arial"/>
                <w:spacing w:val="0"/>
                <w:sz w:val="16"/>
                <w:szCs w:val="16"/>
                <w:lang w:val="es-MX" w:eastAsia="es-MX"/>
              </w:rPr>
              <w:t>S.P</w:t>
            </w:r>
            <w:proofErr w:type="gramEnd"/>
          </w:p>
        </w:tc>
        <w:tc>
          <w:tcPr>
            <w:tcW w:w="1520" w:type="dxa"/>
            <w:tcBorders>
              <w:top w:val="nil"/>
              <w:left w:val="nil"/>
              <w:bottom w:val="single" w:sz="4" w:space="0" w:color="auto"/>
              <w:right w:val="single" w:sz="4" w:space="0" w:color="auto"/>
            </w:tcBorders>
            <w:shd w:val="clear" w:color="000000" w:fill="F2F2F2"/>
            <w:noWrap/>
            <w:vAlign w:val="center"/>
            <w:hideMark/>
          </w:tcPr>
          <w:p w14:paraId="193C786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$ 51.117.336</w:t>
            </w:r>
          </w:p>
        </w:tc>
        <w:tc>
          <w:tcPr>
            <w:tcW w:w="1440" w:type="dxa"/>
            <w:tcBorders>
              <w:top w:val="nil"/>
              <w:left w:val="nil"/>
              <w:bottom w:val="single" w:sz="4" w:space="0" w:color="auto"/>
              <w:right w:val="single" w:sz="4" w:space="0" w:color="auto"/>
            </w:tcBorders>
            <w:shd w:val="clear" w:color="000000" w:fill="F2F2F2"/>
            <w:noWrap/>
            <w:vAlign w:val="center"/>
            <w:hideMark/>
          </w:tcPr>
          <w:p w14:paraId="3FE3EFA5"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$ 0</w:t>
            </w:r>
          </w:p>
        </w:tc>
        <w:tc>
          <w:tcPr>
            <w:tcW w:w="1460" w:type="dxa"/>
            <w:tcBorders>
              <w:top w:val="nil"/>
              <w:left w:val="nil"/>
              <w:bottom w:val="single" w:sz="4" w:space="0" w:color="auto"/>
              <w:right w:val="single" w:sz="4" w:space="0" w:color="auto"/>
            </w:tcBorders>
            <w:shd w:val="clear" w:color="000000" w:fill="F2F2F2"/>
            <w:noWrap/>
            <w:vAlign w:val="center"/>
            <w:hideMark/>
          </w:tcPr>
          <w:p w14:paraId="266D59D2"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$ 51.117.336</w:t>
            </w:r>
          </w:p>
        </w:tc>
        <w:tc>
          <w:tcPr>
            <w:tcW w:w="1260" w:type="dxa"/>
            <w:tcBorders>
              <w:top w:val="nil"/>
              <w:left w:val="nil"/>
              <w:bottom w:val="single" w:sz="4" w:space="0" w:color="auto"/>
              <w:right w:val="single" w:sz="4" w:space="0" w:color="auto"/>
            </w:tcBorders>
            <w:shd w:val="clear" w:color="000000" w:fill="F2F2F2"/>
            <w:noWrap/>
            <w:vAlign w:val="center"/>
            <w:hideMark/>
          </w:tcPr>
          <w:p w14:paraId="4C1B8EB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$ 511.173</w:t>
            </w:r>
          </w:p>
        </w:tc>
        <w:tc>
          <w:tcPr>
            <w:tcW w:w="1120" w:type="dxa"/>
            <w:tcBorders>
              <w:top w:val="nil"/>
              <w:left w:val="nil"/>
              <w:bottom w:val="single" w:sz="4" w:space="0" w:color="auto"/>
              <w:right w:val="single" w:sz="4" w:space="0" w:color="auto"/>
            </w:tcBorders>
            <w:shd w:val="clear" w:color="000000" w:fill="F2F2F2"/>
            <w:noWrap/>
            <w:vAlign w:val="center"/>
            <w:hideMark/>
          </w:tcPr>
          <w:p w14:paraId="583E58D2"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$ 21</w:t>
            </w:r>
          </w:p>
        </w:tc>
        <w:tc>
          <w:tcPr>
            <w:tcW w:w="1260" w:type="dxa"/>
            <w:tcBorders>
              <w:top w:val="nil"/>
              <w:left w:val="nil"/>
              <w:bottom w:val="single" w:sz="4" w:space="0" w:color="auto"/>
              <w:right w:val="single" w:sz="4" w:space="0" w:color="auto"/>
            </w:tcBorders>
            <w:shd w:val="clear" w:color="000000" w:fill="F2F2F2"/>
            <w:noWrap/>
            <w:vAlign w:val="center"/>
            <w:hideMark/>
          </w:tcPr>
          <w:p w14:paraId="6AE24A6D"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$ 511.195</w:t>
            </w:r>
          </w:p>
        </w:tc>
        <w:tc>
          <w:tcPr>
            <w:tcW w:w="1920" w:type="dxa"/>
            <w:tcBorders>
              <w:top w:val="nil"/>
              <w:left w:val="nil"/>
              <w:bottom w:val="single" w:sz="4" w:space="0" w:color="auto"/>
              <w:right w:val="single" w:sz="4" w:space="0" w:color="auto"/>
            </w:tcBorders>
            <w:shd w:val="clear" w:color="000000" w:fill="F2F2F2"/>
            <w:vAlign w:val="center"/>
            <w:hideMark/>
          </w:tcPr>
          <w:p w14:paraId="064E2526"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w:t>
            </w:r>
          </w:p>
        </w:tc>
      </w:tr>
      <w:tr w:rsidR="00D705A6" w:rsidRPr="002E0BB9" w14:paraId="7E83FADE" w14:textId="77777777" w:rsidTr="007D1249">
        <w:trPr>
          <w:trHeight w:val="4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68EC76CC"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lastRenderedPageBreak/>
              <w:t>301</w:t>
            </w:r>
          </w:p>
        </w:tc>
        <w:tc>
          <w:tcPr>
            <w:tcW w:w="560" w:type="dxa"/>
            <w:tcBorders>
              <w:top w:val="nil"/>
              <w:left w:val="nil"/>
              <w:bottom w:val="single" w:sz="4" w:space="0" w:color="auto"/>
              <w:right w:val="single" w:sz="4" w:space="0" w:color="auto"/>
            </w:tcBorders>
            <w:shd w:val="clear" w:color="000000" w:fill="F2F2F2"/>
            <w:noWrap/>
            <w:vAlign w:val="center"/>
            <w:hideMark/>
          </w:tcPr>
          <w:p w14:paraId="52964C0C"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59010</w:t>
            </w:r>
          </w:p>
        </w:tc>
        <w:tc>
          <w:tcPr>
            <w:tcW w:w="920" w:type="dxa"/>
            <w:tcBorders>
              <w:top w:val="nil"/>
              <w:left w:val="nil"/>
              <w:bottom w:val="single" w:sz="4" w:space="0" w:color="auto"/>
              <w:right w:val="single" w:sz="4" w:space="0" w:color="auto"/>
            </w:tcBorders>
            <w:shd w:val="clear" w:color="000000" w:fill="F2F2F2"/>
            <w:noWrap/>
            <w:vAlign w:val="center"/>
            <w:hideMark/>
          </w:tcPr>
          <w:p w14:paraId="6AF03D5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901345530</w:t>
            </w:r>
          </w:p>
        </w:tc>
        <w:tc>
          <w:tcPr>
            <w:tcW w:w="2180" w:type="dxa"/>
            <w:tcBorders>
              <w:top w:val="nil"/>
              <w:left w:val="nil"/>
              <w:bottom w:val="single" w:sz="4" w:space="0" w:color="auto"/>
              <w:right w:val="single" w:sz="4" w:space="0" w:color="auto"/>
            </w:tcBorders>
            <w:shd w:val="clear" w:color="000000" w:fill="F2F2F2"/>
            <w:vAlign w:val="center"/>
            <w:hideMark/>
          </w:tcPr>
          <w:p w14:paraId="1D6D989C"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NOVA ENERGY STAR S.A.S. E.S.P.</w:t>
            </w:r>
          </w:p>
        </w:tc>
        <w:tc>
          <w:tcPr>
            <w:tcW w:w="1520" w:type="dxa"/>
            <w:tcBorders>
              <w:top w:val="nil"/>
              <w:left w:val="nil"/>
              <w:bottom w:val="single" w:sz="4" w:space="0" w:color="auto"/>
              <w:right w:val="single" w:sz="4" w:space="0" w:color="auto"/>
            </w:tcBorders>
            <w:shd w:val="clear" w:color="000000" w:fill="F2F2F2"/>
            <w:noWrap/>
            <w:vAlign w:val="center"/>
            <w:hideMark/>
          </w:tcPr>
          <w:p w14:paraId="10844B1A"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$ 713.771.000</w:t>
            </w:r>
          </w:p>
        </w:tc>
        <w:tc>
          <w:tcPr>
            <w:tcW w:w="1440" w:type="dxa"/>
            <w:tcBorders>
              <w:top w:val="nil"/>
              <w:left w:val="nil"/>
              <w:bottom w:val="single" w:sz="4" w:space="0" w:color="auto"/>
              <w:right w:val="single" w:sz="4" w:space="0" w:color="auto"/>
            </w:tcBorders>
            <w:shd w:val="clear" w:color="000000" w:fill="F2F2F2"/>
            <w:noWrap/>
            <w:vAlign w:val="center"/>
            <w:hideMark/>
          </w:tcPr>
          <w:p w14:paraId="3E41E14A"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$ 3.841.855</w:t>
            </w:r>
          </w:p>
        </w:tc>
        <w:tc>
          <w:tcPr>
            <w:tcW w:w="1460" w:type="dxa"/>
            <w:tcBorders>
              <w:top w:val="nil"/>
              <w:left w:val="nil"/>
              <w:bottom w:val="single" w:sz="4" w:space="0" w:color="auto"/>
              <w:right w:val="single" w:sz="4" w:space="0" w:color="auto"/>
            </w:tcBorders>
            <w:shd w:val="clear" w:color="000000" w:fill="F2F2F2"/>
            <w:noWrap/>
            <w:vAlign w:val="center"/>
            <w:hideMark/>
          </w:tcPr>
          <w:p w14:paraId="006C9A3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$ 717.612.855</w:t>
            </w:r>
          </w:p>
        </w:tc>
        <w:tc>
          <w:tcPr>
            <w:tcW w:w="1260" w:type="dxa"/>
            <w:tcBorders>
              <w:top w:val="nil"/>
              <w:left w:val="nil"/>
              <w:bottom w:val="single" w:sz="4" w:space="0" w:color="auto"/>
              <w:right w:val="single" w:sz="4" w:space="0" w:color="auto"/>
            </w:tcBorders>
            <w:shd w:val="clear" w:color="000000" w:fill="F2F2F2"/>
            <w:noWrap/>
            <w:vAlign w:val="center"/>
            <w:hideMark/>
          </w:tcPr>
          <w:p w14:paraId="6166058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$ 7.176.129</w:t>
            </w:r>
          </w:p>
        </w:tc>
        <w:tc>
          <w:tcPr>
            <w:tcW w:w="1120" w:type="dxa"/>
            <w:tcBorders>
              <w:top w:val="nil"/>
              <w:left w:val="nil"/>
              <w:bottom w:val="single" w:sz="4" w:space="0" w:color="auto"/>
              <w:right w:val="single" w:sz="4" w:space="0" w:color="auto"/>
            </w:tcBorders>
            <w:shd w:val="clear" w:color="000000" w:fill="F2F2F2"/>
            <w:noWrap/>
            <w:vAlign w:val="center"/>
            <w:hideMark/>
          </w:tcPr>
          <w:p w14:paraId="21EDFC8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$ 299</w:t>
            </w:r>
          </w:p>
        </w:tc>
        <w:tc>
          <w:tcPr>
            <w:tcW w:w="1260" w:type="dxa"/>
            <w:tcBorders>
              <w:top w:val="nil"/>
              <w:left w:val="nil"/>
              <w:bottom w:val="single" w:sz="4" w:space="0" w:color="auto"/>
              <w:right w:val="single" w:sz="4" w:space="0" w:color="auto"/>
            </w:tcBorders>
            <w:shd w:val="clear" w:color="000000" w:fill="F2F2F2"/>
            <w:noWrap/>
            <w:vAlign w:val="center"/>
            <w:hideMark/>
          </w:tcPr>
          <w:p w14:paraId="41FEBEF5"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$ 7.176.427</w:t>
            </w:r>
          </w:p>
        </w:tc>
        <w:tc>
          <w:tcPr>
            <w:tcW w:w="1920" w:type="dxa"/>
            <w:tcBorders>
              <w:top w:val="nil"/>
              <w:left w:val="nil"/>
              <w:bottom w:val="single" w:sz="4" w:space="0" w:color="auto"/>
              <w:right w:val="single" w:sz="4" w:space="0" w:color="auto"/>
            </w:tcBorders>
            <w:shd w:val="clear" w:color="000000" w:fill="F2F2F2"/>
            <w:vAlign w:val="center"/>
            <w:hideMark/>
          </w:tcPr>
          <w:p w14:paraId="64F0A201"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w:t>
            </w:r>
          </w:p>
        </w:tc>
      </w:tr>
      <w:tr w:rsidR="00D705A6" w:rsidRPr="002E0BB9" w14:paraId="4E9F5C05" w14:textId="77777777" w:rsidTr="007D1249">
        <w:trPr>
          <w:trHeight w:val="4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283C162E"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302</w:t>
            </w:r>
          </w:p>
        </w:tc>
        <w:tc>
          <w:tcPr>
            <w:tcW w:w="560" w:type="dxa"/>
            <w:tcBorders>
              <w:top w:val="nil"/>
              <w:left w:val="nil"/>
              <w:bottom w:val="single" w:sz="4" w:space="0" w:color="auto"/>
              <w:right w:val="single" w:sz="4" w:space="0" w:color="auto"/>
            </w:tcBorders>
            <w:shd w:val="clear" w:color="000000" w:fill="F2F2F2"/>
            <w:noWrap/>
            <w:vAlign w:val="center"/>
            <w:hideMark/>
          </w:tcPr>
          <w:p w14:paraId="242B9C2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48343</w:t>
            </w:r>
          </w:p>
        </w:tc>
        <w:tc>
          <w:tcPr>
            <w:tcW w:w="920" w:type="dxa"/>
            <w:tcBorders>
              <w:top w:val="nil"/>
              <w:left w:val="nil"/>
              <w:bottom w:val="single" w:sz="4" w:space="0" w:color="auto"/>
              <w:right w:val="single" w:sz="4" w:space="0" w:color="auto"/>
            </w:tcBorders>
            <w:shd w:val="clear" w:color="000000" w:fill="F2F2F2"/>
            <w:noWrap/>
            <w:vAlign w:val="center"/>
            <w:hideMark/>
          </w:tcPr>
          <w:p w14:paraId="381376C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901371247</w:t>
            </w:r>
          </w:p>
        </w:tc>
        <w:tc>
          <w:tcPr>
            <w:tcW w:w="2180" w:type="dxa"/>
            <w:tcBorders>
              <w:top w:val="nil"/>
              <w:left w:val="nil"/>
              <w:bottom w:val="single" w:sz="4" w:space="0" w:color="auto"/>
              <w:right w:val="single" w:sz="4" w:space="0" w:color="auto"/>
            </w:tcBorders>
            <w:shd w:val="clear" w:color="000000" w:fill="F2F2F2"/>
            <w:vAlign w:val="center"/>
            <w:hideMark/>
          </w:tcPr>
          <w:p w14:paraId="5DBFFFD0"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LIMPIA Y EFICIENTE SAS ESP</w:t>
            </w:r>
          </w:p>
        </w:tc>
        <w:tc>
          <w:tcPr>
            <w:tcW w:w="1520" w:type="dxa"/>
            <w:tcBorders>
              <w:top w:val="nil"/>
              <w:left w:val="nil"/>
              <w:bottom w:val="single" w:sz="4" w:space="0" w:color="auto"/>
              <w:right w:val="single" w:sz="4" w:space="0" w:color="auto"/>
            </w:tcBorders>
            <w:shd w:val="clear" w:color="000000" w:fill="F2F2F2"/>
            <w:noWrap/>
            <w:vAlign w:val="center"/>
            <w:hideMark/>
          </w:tcPr>
          <w:p w14:paraId="29C5BAC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$ 2.373.468.000</w:t>
            </w:r>
          </w:p>
        </w:tc>
        <w:tc>
          <w:tcPr>
            <w:tcW w:w="1440" w:type="dxa"/>
            <w:tcBorders>
              <w:top w:val="nil"/>
              <w:left w:val="nil"/>
              <w:bottom w:val="single" w:sz="4" w:space="0" w:color="auto"/>
              <w:right w:val="single" w:sz="4" w:space="0" w:color="auto"/>
            </w:tcBorders>
            <w:shd w:val="clear" w:color="000000" w:fill="F2F2F2"/>
            <w:noWrap/>
            <w:vAlign w:val="center"/>
            <w:hideMark/>
          </w:tcPr>
          <w:p w14:paraId="219A896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$ 2.633.845</w:t>
            </w:r>
          </w:p>
        </w:tc>
        <w:tc>
          <w:tcPr>
            <w:tcW w:w="1460" w:type="dxa"/>
            <w:tcBorders>
              <w:top w:val="nil"/>
              <w:left w:val="nil"/>
              <w:bottom w:val="single" w:sz="4" w:space="0" w:color="auto"/>
              <w:right w:val="single" w:sz="4" w:space="0" w:color="auto"/>
            </w:tcBorders>
            <w:shd w:val="clear" w:color="000000" w:fill="F2F2F2"/>
            <w:noWrap/>
            <w:vAlign w:val="center"/>
            <w:hideMark/>
          </w:tcPr>
          <w:p w14:paraId="409627F5"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$ 2.376.101.845</w:t>
            </w:r>
          </w:p>
        </w:tc>
        <w:tc>
          <w:tcPr>
            <w:tcW w:w="1260" w:type="dxa"/>
            <w:tcBorders>
              <w:top w:val="nil"/>
              <w:left w:val="nil"/>
              <w:bottom w:val="single" w:sz="4" w:space="0" w:color="auto"/>
              <w:right w:val="single" w:sz="4" w:space="0" w:color="auto"/>
            </w:tcBorders>
            <w:shd w:val="clear" w:color="000000" w:fill="F2F2F2"/>
            <w:noWrap/>
            <w:vAlign w:val="center"/>
            <w:hideMark/>
          </w:tcPr>
          <w:p w14:paraId="5B87BF4A"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$ 23.761.018</w:t>
            </w:r>
          </w:p>
        </w:tc>
        <w:tc>
          <w:tcPr>
            <w:tcW w:w="1120" w:type="dxa"/>
            <w:tcBorders>
              <w:top w:val="nil"/>
              <w:left w:val="nil"/>
              <w:bottom w:val="single" w:sz="4" w:space="0" w:color="auto"/>
              <w:right w:val="single" w:sz="4" w:space="0" w:color="auto"/>
            </w:tcBorders>
            <w:shd w:val="clear" w:color="000000" w:fill="F2F2F2"/>
            <w:noWrap/>
            <w:vAlign w:val="center"/>
            <w:hideMark/>
          </w:tcPr>
          <w:p w14:paraId="01C25932"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$ 989</w:t>
            </w:r>
          </w:p>
        </w:tc>
        <w:tc>
          <w:tcPr>
            <w:tcW w:w="1260" w:type="dxa"/>
            <w:tcBorders>
              <w:top w:val="nil"/>
              <w:left w:val="nil"/>
              <w:bottom w:val="single" w:sz="4" w:space="0" w:color="auto"/>
              <w:right w:val="single" w:sz="4" w:space="0" w:color="auto"/>
            </w:tcBorders>
            <w:shd w:val="clear" w:color="000000" w:fill="F2F2F2"/>
            <w:noWrap/>
            <w:vAlign w:val="center"/>
            <w:hideMark/>
          </w:tcPr>
          <w:p w14:paraId="17E48871"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$ 23.762.007</w:t>
            </w:r>
          </w:p>
        </w:tc>
        <w:tc>
          <w:tcPr>
            <w:tcW w:w="1920" w:type="dxa"/>
            <w:tcBorders>
              <w:top w:val="nil"/>
              <w:left w:val="nil"/>
              <w:bottom w:val="single" w:sz="4" w:space="0" w:color="auto"/>
              <w:right w:val="single" w:sz="4" w:space="0" w:color="auto"/>
            </w:tcBorders>
            <w:shd w:val="clear" w:color="000000" w:fill="F2F2F2"/>
            <w:vAlign w:val="center"/>
            <w:hideMark/>
          </w:tcPr>
          <w:p w14:paraId="35531026"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w:t>
            </w:r>
          </w:p>
        </w:tc>
      </w:tr>
      <w:tr w:rsidR="00D705A6" w:rsidRPr="002E0BB9" w14:paraId="1DF6F517" w14:textId="77777777" w:rsidTr="007D1249">
        <w:trPr>
          <w:trHeight w:val="2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5299F9F7"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303</w:t>
            </w:r>
          </w:p>
        </w:tc>
        <w:tc>
          <w:tcPr>
            <w:tcW w:w="560" w:type="dxa"/>
            <w:tcBorders>
              <w:top w:val="nil"/>
              <w:left w:val="nil"/>
              <w:bottom w:val="single" w:sz="4" w:space="0" w:color="auto"/>
              <w:right w:val="single" w:sz="4" w:space="0" w:color="auto"/>
            </w:tcBorders>
            <w:shd w:val="clear" w:color="000000" w:fill="F2F2F2"/>
            <w:noWrap/>
            <w:vAlign w:val="center"/>
            <w:hideMark/>
          </w:tcPr>
          <w:p w14:paraId="781763E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48307</w:t>
            </w:r>
          </w:p>
        </w:tc>
        <w:tc>
          <w:tcPr>
            <w:tcW w:w="920" w:type="dxa"/>
            <w:tcBorders>
              <w:top w:val="nil"/>
              <w:left w:val="nil"/>
              <w:bottom w:val="single" w:sz="4" w:space="0" w:color="auto"/>
              <w:right w:val="single" w:sz="4" w:space="0" w:color="auto"/>
            </w:tcBorders>
            <w:shd w:val="clear" w:color="000000" w:fill="F2F2F2"/>
            <w:noWrap/>
            <w:vAlign w:val="center"/>
            <w:hideMark/>
          </w:tcPr>
          <w:p w14:paraId="345F7ED6"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901380930</w:t>
            </w:r>
          </w:p>
        </w:tc>
        <w:tc>
          <w:tcPr>
            <w:tcW w:w="2180" w:type="dxa"/>
            <w:tcBorders>
              <w:top w:val="nil"/>
              <w:left w:val="nil"/>
              <w:bottom w:val="single" w:sz="4" w:space="0" w:color="auto"/>
              <w:right w:val="single" w:sz="4" w:space="0" w:color="auto"/>
            </w:tcBorders>
            <w:shd w:val="clear" w:color="000000" w:fill="F2F2F2"/>
            <w:vAlign w:val="center"/>
            <w:hideMark/>
          </w:tcPr>
          <w:p w14:paraId="4E91B853"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AIR-E S.A.S. E.S.P.</w:t>
            </w:r>
          </w:p>
        </w:tc>
        <w:tc>
          <w:tcPr>
            <w:tcW w:w="1520" w:type="dxa"/>
            <w:tcBorders>
              <w:top w:val="nil"/>
              <w:left w:val="nil"/>
              <w:bottom w:val="single" w:sz="4" w:space="0" w:color="auto"/>
              <w:right w:val="single" w:sz="4" w:space="0" w:color="auto"/>
            </w:tcBorders>
            <w:shd w:val="clear" w:color="000000" w:fill="F2F2F2"/>
            <w:noWrap/>
            <w:vAlign w:val="center"/>
            <w:hideMark/>
          </w:tcPr>
          <w:p w14:paraId="4759272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$ 64.590.248.000</w:t>
            </w:r>
          </w:p>
        </w:tc>
        <w:tc>
          <w:tcPr>
            <w:tcW w:w="1440" w:type="dxa"/>
            <w:tcBorders>
              <w:top w:val="nil"/>
              <w:left w:val="nil"/>
              <w:bottom w:val="single" w:sz="4" w:space="0" w:color="auto"/>
              <w:right w:val="single" w:sz="4" w:space="0" w:color="auto"/>
            </w:tcBorders>
            <w:shd w:val="clear" w:color="000000" w:fill="F2F2F2"/>
            <w:noWrap/>
            <w:vAlign w:val="center"/>
            <w:hideMark/>
          </w:tcPr>
          <w:p w14:paraId="42403606"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$ 24.079.805.668</w:t>
            </w:r>
          </w:p>
        </w:tc>
        <w:tc>
          <w:tcPr>
            <w:tcW w:w="1460" w:type="dxa"/>
            <w:tcBorders>
              <w:top w:val="nil"/>
              <w:left w:val="nil"/>
              <w:bottom w:val="single" w:sz="4" w:space="0" w:color="auto"/>
              <w:right w:val="single" w:sz="4" w:space="0" w:color="auto"/>
            </w:tcBorders>
            <w:shd w:val="clear" w:color="000000" w:fill="F2F2F2"/>
            <w:noWrap/>
            <w:vAlign w:val="center"/>
            <w:hideMark/>
          </w:tcPr>
          <w:p w14:paraId="34654DC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$ 88.670.053.668</w:t>
            </w:r>
          </w:p>
        </w:tc>
        <w:tc>
          <w:tcPr>
            <w:tcW w:w="1260" w:type="dxa"/>
            <w:tcBorders>
              <w:top w:val="nil"/>
              <w:left w:val="nil"/>
              <w:bottom w:val="single" w:sz="4" w:space="0" w:color="auto"/>
              <w:right w:val="single" w:sz="4" w:space="0" w:color="auto"/>
            </w:tcBorders>
            <w:shd w:val="clear" w:color="000000" w:fill="F2F2F2"/>
            <w:noWrap/>
            <w:vAlign w:val="center"/>
            <w:hideMark/>
          </w:tcPr>
          <w:p w14:paraId="2D64F38E"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$ 886.700.537</w:t>
            </w:r>
          </w:p>
        </w:tc>
        <w:tc>
          <w:tcPr>
            <w:tcW w:w="1120" w:type="dxa"/>
            <w:tcBorders>
              <w:top w:val="nil"/>
              <w:left w:val="nil"/>
              <w:bottom w:val="single" w:sz="4" w:space="0" w:color="auto"/>
              <w:right w:val="single" w:sz="4" w:space="0" w:color="auto"/>
            </w:tcBorders>
            <w:shd w:val="clear" w:color="000000" w:fill="F2F2F2"/>
            <w:noWrap/>
            <w:vAlign w:val="center"/>
            <w:hideMark/>
          </w:tcPr>
          <w:p w14:paraId="14E04D87"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$ 36.901</w:t>
            </w:r>
          </w:p>
        </w:tc>
        <w:tc>
          <w:tcPr>
            <w:tcW w:w="1260" w:type="dxa"/>
            <w:tcBorders>
              <w:top w:val="nil"/>
              <w:left w:val="nil"/>
              <w:bottom w:val="single" w:sz="4" w:space="0" w:color="auto"/>
              <w:right w:val="single" w:sz="4" w:space="0" w:color="auto"/>
            </w:tcBorders>
            <w:shd w:val="clear" w:color="000000" w:fill="F2F2F2"/>
            <w:noWrap/>
            <w:vAlign w:val="center"/>
            <w:hideMark/>
          </w:tcPr>
          <w:p w14:paraId="7C0AFDB2"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$ 886.737.438</w:t>
            </w:r>
          </w:p>
        </w:tc>
        <w:tc>
          <w:tcPr>
            <w:tcW w:w="1920" w:type="dxa"/>
            <w:tcBorders>
              <w:top w:val="nil"/>
              <w:left w:val="nil"/>
              <w:bottom w:val="single" w:sz="4" w:space="0" w:color="auto"/>
              <w:right w:val="single" w:sz="4" w:space="0" w:color="auto"/>
            </w:tcBorders>
            <w:shd w:val="clear" w:color="000000" w:fill="F2F2F2"/>
            <w:vAlign w:val="center"/>
            <w:hideMark/>
          </w:tcPr>
          <w:p w14:paraId="4CB384B5"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w:t>
            </w:r>
          </w:p>
        </w:tc>
      </w:tr>
      <w:tr w:rsidR="00D705A6" w:rsidRPr="002E0BB9" w14:paraId="42110E68" w14:textId="77777777" w:rsidTr="007D1249">
        <w:trPr>
          <w:trHeight w:val="4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262524F6"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304</w:t>
            </w:r>
          </w:p>
        </w:tc>
        <w:tc>
          <w:tcPr>
            <w:tcW w:w="560" w:type="dxa"/>
            <w:tcBorders>
              <w:top w:val="nil"/>
              <w:left w:val="nil"/>
              <w:bottom w:val="single" w:sz="4" w:space="0" w:color="auto"/>
              <w:right w:val="single" w:sz="4" w:space="0" w:color="auto"/>
            </w:tcBorders>
            <w:shd w:val="clear" w:color="000000" w:fill="F2F2F2"/>
            <w:noWrap/>
            <w:vAlign w:val="center"/>
            <w:hideMark/>
          </w:tcPr>
          <w:p w14:paraId="7A07AE4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48305</w:t>
            </w:r>
          </w:p>
        </w:tc>
        <w:tc>
          <w:tcPr>
            <w:tcW w:w="920" w:type="dxa"/>
            <w:tcBorders>
              <w:top w:val="nil"/>
              <w:left w:val="nil"/>
              <w:bottom w:val="single" w:sz="4" w:space="0" w:color="auto"/>
              <w:right w:val="single" w:sz="4" w:space="0" w:color="auto"/>
            </w:tcBorders>
            <w:shd w:val="clear" w:color="000000" w:fill="F2F2F2"/>
            <w:noWrap/>
            <w:vAlign w:val="center"/>
            <w:hideMark/>
          </w:tcPr>
          <w:p w14:paraId="13B5F3D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901380949</w:t>
            </w:r>
          </w:p>
        </w:tc>
        <w:tc>
          <w:tcPr>
            <w:tcW w:w="2180" w:type="dxa"/>
            <w:tcBorders>
              <w:top w:val="nil"/>
              <w:left w:val="nil"/>
              <w:bottom w:val="single" w:sz="4" w:space="0" w:color="auto"/>
              <w:right w:val="single" w:sz="4" w:space="0" w:color="auto"/>
            </w:tcBorders>
            <w:shd w:val="clear" w:color="000000" w:fill="F2F2F2"/>
            <w:vAlign w:val="center"/>
            <w:hideMark/>
          </w:tcPr>
          <w:p w14:paraId="465890B1"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CARIBEMAR DE LA COSTA S.A.S. E.S.P.</w:t>
            </w:r>
          </w:p>
        </w:tc>
        <w:tc>
          <w:tcPr>
            <w:tcW w:w="1520" w:type="dxa"/>
            <w:tcBorders>
              <w:top w:val="nil"/>
              <w:left w:val="nil"/>
              <w:bottom w:val="single" w:sz="4" w:space="0" w:color="auto"/>
              <w:right w:val="single" w:sz="4" w:space="0" w:color="auto"/>
            </w:tcBorders>
            <w:shd w:val="clear" w:color="000000" w:fill="F2F2F2"/>
            <w:noWrap/>
            <w:vAlign w:val="center"/>
            <w:hideMark/>
          </w:tcPr>
          <w:p w14:paraId="4EB3AD5E"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$ 45.485.733.000</w:t>
            </w:r>
          </w:p>
        </w:tc>
        <w:tc>
          <w:tcPr>
            <w:tcW w:w="1440" w:type="dxa"/>
            <w:tcBorders>
              <w:top w:val="nil"/>
              <w:left w:val="nil"/>
              <w:bottom w:val="single" w:sz="4" w:space="0" w:color="auto"/>
              <w:right w:val="single" w:sz="4" w:space="0" w:color="auto"/>
            </w:tcBorders>
            <w:shd w:val="clear" w:color="000000" w:fill="F2F2F2"/>
            <w:noWrap/>
            <w:vAlign w:val="center"/>
            <w:hideMark/>
          </w:tcPr>
          <w:p w14:paraId="5E0ECB8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$ 23.472.253.647</w:t>
            </w:r>
          </w:p>
        </w:tc>
        <w:tc>
          <w:tcPr>
            <w:tcW w:w="1460" w:type="dxa"/>
            <w:tcBorders>
              <w:top w:val="nil"/>
              <w:left w:val="nil"/>
              <w:bottom w:val="single" w:sz="4" w:space="0" w:color="auto"/>
              <w:right w:val="single" w:sz="4" w:space="0" w:color="auto"/>
            </w:tcBorders>
            <w:shd w:val="clear" w:color="000000" w:fill="F2F2F2"/>
            <w:noWrap/>
            <w:vAlign w:val="center"/>
            <w:hideMark/>
          </w:tcPr>
          <w:p w14:paraId="78A31F2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$ 68.957.986.647</w:t>
            </w:r>
          </w:p>
        </w:tc>
        <w:tc>
          <w:tcPr>
            <w:tcW w:w="1260" w:type="dxa"/>
            <w:tcBorders>
              <w:top w:val="nil"/>
              <w:left w:val="nil"/>
              <w:bottom w:val="single" w:sz="4" w:space="0" w:color="auto"/>
              <w:right w:val="single" w:sz="4" w:space="0" w:color="auto"/>
            </w:tcBorders>
            <w:shd w:val="clear" w:color="000000" w:fill="F2F2F2"/>
            <w:noWrap/>
            <w:vAlign w:val="center"/>
            <w:hideMark/>
          </w:tcPr>
          <w:p w14:paraId="24F034CE"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$ 689.579.866</w:t>
            </w:r>
          </w:p>
        </w:tc>
        <w:tc>
          <w:tcPr>
            <w:tcW w:w="1120" w:type="dxa"/>
            <w:tcBorders>
              <w:top w:val="nil"/>
              <w:left w:val="nil"/>
              <w:bottom w:val="single" w:sz="4" w:space="0" w:color="auto"/>
              <w:right w:val="single" w:sz="4" w:space="0" w:color="auto"/>
            </w:tcBorders>
            <w:shd w:val="clear" w:color="000000" w:fill="F2F2F2"/>
            <w:noWrap/>
            <w:vAlign w:val="center"/>
            <w:hideMark/>
          </w:tcPr>
          <w:p w14:paraId="2E26778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$ 28.698</w:t>
            </w:r>
          </w:p>
        </w:tc>
        <w:tc>
          <w:tcPr>
            <w:tcW w:w="1260" w:type="dxa"/>
            <w:tcBorders>
              <w:top w:val="nil"/>
              <w:left w:val="nil"/>
              <w:bottom w:val="single" w:sz="4" w:space="0" w:color="auto"/>
              <w:right w:val="single" w:sz="4" w:space="0" w:color="auto"/>
            </w:tcBorders>
            <w:shd w:val="clear" w:color="000000" w:fill="F2F2F2"/>
            <w:noWrap/>
            <w:vAlign w:val="center"/>
            <w:hideMark/>
          </w:tcPr>
          <w:p w14:paraId="14C3AAAB"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$ 689.608.564</w:t>
            </w:r>
          </w:p>
        </w:tc>
        <w:tc>
          <w:tcPr>
            <w:tcW w:w="1920" w:type="dxa"/>
            <w:tcBorders>
              <w:top w:val="nil"/>
              <w:left w:val="nil"/>
              <w:bottom w:val="single" w:sz="4" w:space="0" w:color="auto"/>
              <w:right w:val="single" w:sz="4" w:space="0" w:color="auto"/>
            </w:tcBorders>
            <w:shd w:val="clear" w:color="000000" w:fill="F2F2F2"/>
            <w:vAlign w:val="center"/>
            <w:hideMark/>
          </w:tcPr>
          <w:p w14:paraId="31771FF0"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w:t>
            </w:r>
          </w:p>
        </w:tc>
      </w:tr>
      <w:tr w:rsidR="00D705A6" w:rsidRPr="002E0BB9" w14:paraId="062B865B" w14:textId="77777777" w:rsidTr="007D1249">
        <w:trPr>
          <w:trHeight w:val="4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23628BEB"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305</w:t>
            </w:r>
          </w:p>
        </w:tc>
        <w:tc>
          <w:tcPr>
            <w:tcW w:w="560" w:type="dxa"/>
            <w:tcBorders>
              <w:top w:val="nil"/>
              <w:left w:val="nil"/>
              <w:bottom w:val="single" w:sz="4" w:space="0" w:color="auto"/>
              <w:right w:val="single" w:sz="4" w:space="0" w:color="auto"/>
            </w:tcBorders>
            <w:shd w:val="clear" w:color="000000" w:fill="F2F2F2"/>
            <w:noWrap/>
            <w:vAlign w:val="center"/>
            <w:hideMark/>
          </w:tcPr>
          <w:p w14:paraId="169E6B9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50205</w:t>
            </w:r>
          </w:p>
        </w:tc>
        <w:tc>
          <w:tcPr>
            <w:tcW w:w="920" w:type="dxa"/>
            <w:tcBorders>
              <w:top w:val="nil"/>
              <w:left w:val="nil"/>
              <w:bottom w:val="single" w:sz="4" w:space="0" w:color="auto"/>
              <w:right w:val="single" w:sz="4" w:space="0" w:color="auto"/>
            </w:tcBorders>
            <w:shd w:val="clear" w:color="000000" w:fill="F2F2F2"/>
            <w:noWrap/>
            <w:vAlign w:val="center"/>
            <w:hideMark/>
          </w:tcPr>
          <w:p w14:paraId="56919887"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901409438</w:t>
            </w:r>
          </w:p>
        </w:tc>
        <w:tc>
          <w:tcPr>
            <w:tcW w:w="2180" w:type="dxa"/>
            <w:tcBorders>
              <w:top w:val="nil"/>
              <w:left w:val="nil"/>
              <w:bottom w:val="single" w:sz="4" w:space="0" w:color="auto"/>
              <w:right w:val="single" w:sz="4" w:space="0" w:color="auto"/>
            </w:tcBorders>
            <w:shd w:val="clear" w:color="000000" w:fill="F2F2F2"/>
            <w:vAlign w:val="center"/>
            <w:hideMark/>
          </w:tcPr>
          <w:p w14:paraId="2A9560BD" w14:textId="77777777" w:rsidR="00D705A6" w:rsidRPr="002E0BB9" w:rsidRDefault="00D705A6" w:rsidP="00D22441">
            <w:pPr>
              <w:jc w:val="left"/>
              <w:rPr>
                <w:rFonts w:ascii="Arial Narrow" w:hAnsi="Arial Narrow" w:cs="Arial"/>
                <w:spacing w:val="0"/>
                <w:sz w:val="16"/>
                <w:szCs w:val="16"/>
                <w:lang w:val="en-GB" w:eastAsia="es-MX"/>
              </w:rPr>
            </w:pPr>
            <w:r w:rsidRPr="002E0BB9">
              <w:rPr>
                <w:rFonts w:ascii="Arial Narrow" w:hAnsi="Arial Narrow" w:cs="Arial"/>
                <w:spacing w:val="0"/>
                <w:sz w:val="16"/>
                <w:szCs w:val="16"/>
                <w:lang w:val="en-GB" w:eastAsia="es-MX"/>
              </w:rPr>
              <w:t>GAP ENERGY GROUP S.A.S ESP</w:t>
            </w:r>
          </w:p>
        </w:tc>
        <w:tc>
          <w:tcPr>
            <w:tcW w:w="1520" w:type="dxa"/>
            <w:tcBorders>
              <w:top w:val="nil"/>
              <w:left w:val="nil"/>
              <w:bottom w:val="single" w:sz="4" w:space="0" w:color="auto"/>
              <w:right w:val="single" w:sz="4" w:space="0" w:color="auto"/>
            </w:tcBorders>
            <w:shd w:val="clear" w:color="000000" w:fill="F2F2F2"/>
            <w:noWrap/>
            <w:vAlign w:val="center"/>
            <w:hideMark/>
          </w:tcPr>
          <w:p w14:paraId="3FAD0981"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$ 948.981.000</w:t>
            </w:r>
          </w:p>
        </w:tc>
        <w:tc>
          <w:tcPr>
            <w:tcW w:w="1440" w:type="dxa"/>
            <w:tcBorders>
              <w:top w:val="nil"/>
              <w:left w:val="nil"/>
              <w:bottom w:val="single" w:sz="4" w:space="0" w:color="auto"/>
              <w:right w:val="single" w:sz="4" w:space="0" w:color="auto"/>
            </w:tcBorders>
            <w:shd w:val="clear" w:color="000000" w:fill="F2F2F2"/>
            <w:noWrap/>
            <w:vAlign w:val="center"/>
            <w:hideMark/>
          </w:tcPr>
          <w:p w14:paraId="6C52615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$ 0</w:t>
            </w:r>
          </w:p>
        </w:tc>
        <w:tc>
          <w:tcPr>
            <w:tcW w:w="1460" w:type="dxa"/>
            <w:tcBorders>
              <w:top w:val="nil"/>
              <w:left w:val="nil"/>
              <w:bottom w:val="single" w:sz="4" w:space="0" w:color="auto"/>
              <w:right w:val="single" w:sz="4" w:space="0" w:color="auto"/>
            </w:tcBorders>
            <w:shd w:val="clear" w:color="000000" w:fill="F2F2F2"/>
            <w:noWrap/>
            <w:vAlign w:val="center"/>
            <w:hideMark/>
          </w:tcPr>
          <w:p w14:paraId="2F6D51C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$ 948.981.000</w:t>
            </w:r>
          </w:p>
        </w:tc>
        <w:tc>
          <w:tcPr>
            <w:tcW w:w="1260" w:type="dxa"/>
            <w:tcBorders>
              <w:top w:val="nil"/>
              <w:left w:val="nil"/>
              <w:bottom w:val="single" w:sz="4" w:space="0" w:color="auto"/>
              <w:right w:val="single" w:sz="4" w:space="0" w:color="auto"/>
            </w:tcBorders>
            <w:shd w:val="clear" w:color="000000" w:fill="F2F2F2"/>
            <w:noWrap/>
            <w:vAlign w:val="center"/>
            <w:hideMark/>
          </w:tcPr>
          <w:p w14:paraId="0FE5F211"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$ 9.489.810</w:t>
            </w:r>
          </w:p>
        </w:tc>
        <w:tc>
          <w:tcPr>
            <w:tcW w:w="1120" w:type="dxa"/>
            <w:tcBorders>
              <w:top w:val="nil"/>
              <w:left w:val="nil"/>
              <w:bottom w:val="single" w:sz="4" w:space="0" w:color="auto"/>
              <w:right w:val="single" w:sz="4" w:space="0" w:color="auto"/>
            </w:tcBorders>
            <w:shd w:val="clear" w:color="000000" w:fill="F2F2F2"/>
            <w:noWrap/>
            <w:vAlign w:val="center"/>
            <w:hideMark/>
          </w:tcPr>
          <w:p w14:paraId="03843C5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$ 395</w:t>
            </w:r>
          </w:p>
        </w:tc>
        <w:tc>
          <w:tcPr>
            <w:tcW w:w="1260" w:type="dxa"/>
            <w:tcBorders>
              <w:top w:val="nil"/>
              <w:left w:val="nil"/>
              <w:bottom w:val="single" w:sz="4" w:space="0" w:color="auto"/>
              <w:right w:val="single" w:sz="4" w:space="0" w:color="auto"/>
            </w:tcBorders>
            <w:shd w:val="clear" w:color="000000" w:fill="F2F2F2"/>
            <w:noWrap/>
            <w:vAlign w:val="center"/>
            <w:hideMark/>
          </w:tcPr>
          <w:p w14:paraId="030A7D2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$ 9.490.205</w:t>
            </w:r>
          </w:p>
        </w:tc>
        <w:tc>
          <w:tcPr>
            <w:tcW w:w="1920" w:type="dxa"/>
            <w:tcBorders>
              <w:top w:val="nil"/>
              <w:left w:val="nil"/>
              <w:bottom w:val="single" w:sz="4" w:space="0" w:color="auto"/>
              <w:right w:val="single" w:sz="4" w:space="0" w:color="auto"/>
            </w:tcBorders>
            <w:shd w:val="clear" w:color="000000" w:fill="F2F2F2"/>
            <w:vAlign w:val="center"/>
            <w:hideMark/>
          </w:tcPr>
          <w:p w14:paraId="446F8AC5"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w:t>
            </w:r>
          </w:p>
        </w:tc>
      </w:tr>
      <w:tr w:rsidR="00D705A6" w:rsidRPr="002E0BB9" w14:paraId="21F38AAE" w14:textId="77777777" w:rsidTr="007D1249">
        <w:trPr>
          <w:trHeight w:val="4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4ECE12EC"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306</w:t>
            </w:r>
          </w:p>
        </w:tc>
        <w:tc>
          <w:tcPr>
            <w:tcW w:w="560" w:type="dxa"/>
            <w:tcBorders>
              <w:top w:val="nil"/>
              <w:left w:val="nil"/>
              <w:bottom w:val="single" w:sz="4" w:space="0" w:color="auto"/>
              <w:right w:val="single" w:sz="4" w:space="0" w:color="auto"/>
            </w:tcBorders>
            <w:shd w:val="clear" w:color="000000" w:fill="F2F2F2"/>
            <w:noWrap/>
            <w:vAlign w:val="center"/>
            <w:hideMark/>
          </w:tcPr>
          <w:p w14:paraId="52B8B49C"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50426</w:t>
            </w:r>
          </w:p>
        </w:tc>
        <w:tc>
          <w:tcPr>
            <w:tcW w:w="920" w:type="dxa"/>
            <w:tcBorders>
              <w:top w:val="nil"/>
              <w:left w:val="nil"/>
              <w:bottom w:val="single" w:sz="4" w:space="0" w:color="auto"/>
              <w:right w:val="single" w:sz="4" w:space="0" w:color="auto"/>
            </w:tcBorders>
            <w:shd w:val="clear" w:color="000000" w:fill="F2F2F2"/>
            <w:noWrap/>
            <w:vAlign w:val="center"/>
            <w:hideMark/>
          </w:tcPr>
          <w:p w14:paraId="12F5AC7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901411134</w:t>
            </w:r>
          </w:p>
        </w:tc>
        <w:tc>
          <w:tcPr>
            <w:tcW w:w="2180" w:type="dxa"/>
            <w:tcBorders>
              <w:top w:val="nil"/>
              <w:left w:val="nil"/>
              <w:bottom w:val="single" w:sz="4" w:space="0" w:color="auto"/>
              <w:right w:val="single" w:sz="4" w:space="0" w:color="auto"/>
            </w:tcBorders>
            <w:shd w:val="clear" w:color="000000" w:fill="F2F2F2"/>
            <w:vAlign w:val="center"/>
            <w:hideMark/>
          </w:tcPr>
          <w:p w14:paraId="75E58134"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GAS D-UNO SAS ESP</w:t>
            </w:r>
          </w:p>
        </w:tc>
        <w:tc>
          <w:tcPr>
            <w:tcW w:w="1520" w:type="dxa"/>
            <w:tcBorders>
              <w:top w:val="nil"/>
              <w:left w:val="nil"/>
              <w:bottom w:val="single" w:sz="4" w:space="0" w:color="auto"/>
              <w:right w:val="single" w:sz="4" w:space="0" w:color="auto"/>
            </w:tcBorders>
            <w:shd w:val="clear" w:color="000000" w:fill="F2F2F2"/>
            <w:noWrap/>
            <w:vAlign w:val="center"/>
            <w:hideMark/>
          </w:tcPr>
          <w:p w14:paraId="009AA866"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$ 318.313.000</w:t>
            </w:r>
          </w:p>
        </w:tc>
        <w:tc>
          <w:tcPr>
            <w:tcW w:w="1440" w:type="dxa"/>
            <w:tcBorders>
              <w:top w:val="nil"/>
              <w:left w:val="nil"/>
              <w:bottom w:val="single" w:sz="4" w:space="0" w:color="auto"/>
              <w:right w:val="single" w:sz="4" w:space="0" w:color="auto"/>
            </w:tcBorders>
            <w:shd w:val="clear" w:color="000000" w:fill="F2F2F2"/>
            <w:noWrap/>
            <w:vAlign w:val="center"/>
            <w:hideMark/>
          </w:tcPr>
          <w:p w14:paraId="483AF1F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$ 18.037.305</w:t>
            </w:r>
          </w:p>
        </w:tc>
        <w:tc>
          <w:tcPr>
            <w:tcW w:w="1460" w:type="dxa"/>
            <w:tcBorders>
              <w:top w:val="nil"/>
              <w:left w:val="nil"/>
              <w:bottom w:val="single" w:sz="4" w:space="0" w:color="auto"/>
              <w:right w:val="single" w:sz="4" w:space="0" w:color="auto"/>
            </w:tcBorders>
            <w:shd w:val="clear" w:color="000000" w:fill="F2F2F2"/>
            <w:noWrap/>
            <w:vAlign w:val="center"/>
            <w:hideMark/>
          </w:tcPr>
          <w:p w14:paraId="1860C72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$ 336.350.305</w:t>
            </w:r>
          </w:p>
        </w:tc>
        <w:tc>
          <w:tcPr>
            <w:tcW w:w="1260" w:type="dxa"/>
            <w:tcBorders>
              <w:top w:val="nil"/>
              <w:left w:val="nil"/>
              <w:bottom w:val="single" w:sz="4" w:space="0" w:color="auto"/>
              <w:right w:val="single" w:sz="4" w:space="0" w:color="auto"/>
            </w:tcBorders>
            <w:shd w:val="clear" w:color="000000" w:fill="F2F2F2"/>
            <w:noWrap/>
            <w:vAlign w:val="center"/>
            <w:hideMark/>
          </w:tcPr>
          <w:p w14:paraId="53C4FA3C"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$ 3.363.503</w:t>
            </w:r>
          </w:p>
        </w:tc>
        <w:tc>
          <w:tcPr>
            <w:tcW w:w="1120" w:type="dxa"/>
            <w:tcBorders>
              <w:top w:val="nil"/>
              <w:left w:val="nil"/>
              <w:bottom w:val="single" w:sz="4" w:space="0" w:color="auto"/>
              <w:right w:val="single" w:sz="4" w:space="0" w:color="auto"/>
            </w:tcBorders>
            <w:shd w:val="clear" w:color="000000" w:fill="F2F2F2"/>
            <w:noWrap/>
            <w:vAlign w:val="center"/>
            <w:hideMark/>
          </w:tcPr>
          <w:p w14:paraId="46C0AC2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$ 140</w:t>
            </w:r>
          </w:p>
        </w:tc>
        <w:tc>
          <w:tcPr>
            <w:tcW w:w="1260" w:type="dxa"/>
            <w:tcBorders>
              <w:top w:val="nil"/>
              <w:left w:val="nil"/>
              <w:bottom w:val="single" w:sz="4" w:space="0" w:color="auto"/>
              <w:right w:val="single" w:sz="4" w:space="0" w:color="auto"/>
            </w:tcBorders>
            <w:shd w:val="clear" w:color="000000" w:fill="F2F2F2"/>
            <w:noWrap/>
            <w:vAlign w:val="center"/>
            <w:hideMark/>
          </w:tcPr>
          <w:p w14:paraId="689A5F7D"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$ 3.363.643</w:t>
            </w:r>
          </w:p>
        </w:tc>
        <w:tc>
          <w:tcPr>
            <w:tcW w:w="1920" w:type="dxa"/>
            <w:tcBorders>
              <w:top w:val="nil"/>
              <w:left w:val="nil"/>
              <w:bottom w:val="single" w:sz="4" w:space="0" w:color="auto"/>
              <w:right w:val="single" w:sz="4" w:space="0" w:color="auto"/>
            </w:tcBorders>
            <w:shd w:val="clear" w:color="000000" w:fill="F2F2F2"/>
            <w:vAlign w:val="center"/>
            <w:hideMark/>
          </w:tcPr>
          <w:p w14:paraId="054E2524"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GAS LICUADO DEL PETROLEO</w:t>
            </w:r>
          </w:p>
        </w:tc>
      </w:tr>
      <w:tr w:rsidR="00D705A6" w:rsidRPr="002E0BB9" w14:paraId="4303D76D" w14:textId="77777777" w:rsidTr="007D1249">
        <w:trPr>
          <w:trHeight w:val="4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171BFC52"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307</w:t>
            </w:r>
          </w:p>
        </w:tc>
        <w:tc>
          <w:tcPr>
            <w:tcW w:w="560" w:type="dxa"/>
            <w:tcBorders>
              <w:top w:val="nil"/>
              <w:left w:val="nil"/>
              <w:bottom w:val="single" w:sz="4" w:space="0" w:color="auto"/>
              <w:right w:val="single" w:sz="4" w:space="0" w:color="auto"/>
            </w:tcBorders>
            <w:shd w:val="clear" w:color="000000" w:fill="F2F2F2"/>
            <w:noWrap/>
            <w:vAlign w:val="center"/>
            <w:hideMark/>
          </w:tcPr>
          <w:p w14:paraId="27AB97BA"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51566</w:t>
            </w:r>
          </w:p>
        </w:tc>
        <w:tc>
          <w:tcPr>
            <w:tcW w:w="920" w:type="dxa"/>
            <w:tcBorders>
              <w:top w:val="nil"/>
              <w:left w:val="nil"/>
              <w:bottom w:val="single" w:sz="4" w:space="0" w:color="auto"/>
              <w:right w:val="single" w:sz="4" w:space="0" w:color="auto"/>
            </w:tcBorders>
            <w:shd w:val="clear" w:color="000000" w:fill="F2F2F2"/>
            <w:noWrap/>
            <w:vAlign w:val="center"/>
            <w:hideMark/>
          </w:tcPr>
          <w:p w14:paraId="7CE88E6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901426492</w:t>
            </w:r>
          </w:p>
        </w:tc>
        <w:tc>
          <w:tcPr>
            <w:tcW w:w="2180" w:type="dxa"/>
            <w:tcBorders>
              <w:top w:val="nil"/>
              <w:left w:val="nil"/>
              <w:bottom w:val="single" w:sz="4" w:space="0" w:color="auto"/>
              <w:right w:val="single" w:sz="4" w:space="0" w:color="auto"/>
            </w:tcBorders>
            <w:shd w:val="clear" w:color="000000" w:fill="F2F2F2"/>
            <w:vAlign w:val="center"/>
            <w:hideMark/>
          </w:tcPr>
          <w:p w14:paraId="00AC5C2B"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BIOPLANET SERVICES SAS ESP</w:t>
            </w:r>
          </w:p>
        </w:tc>
        <w:tc>
          <w:tcPr>
            <w:tcW w:w="1520" w:type="dxa"/>
            <w:tcBorders>
              <w:top w:val="nil"/>
              <w:left w:val="nil"/>
              <w:bottom w:val="single" w:sz="4" w:space="0" w:color="auto"/>
              <w:right w:val="single" w:sz="4" w:space="0" w:color="auto"/>
            </w:tcBorders>
            <w:shd w:val="clear" w:color="000000" w:fill="F2F2F2"/>
            <w:noWrap/>
            <w:vAlign w:val="center"/>
            <w:hideMark/>
          </w:tcPr>
          <w:p w14:paraId="6F588136"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$ 98.679.000</w:t>
            </w:r>
          </w:p>
        </w:tc>
        <w:tc>
          <w:tcPr>
            <w:tcW w:w="1440" w:type="dxa"/>
            <w:tcBorders>
              <w:top w:val="nil"/>
              <w:left w:val="nil"/>
              <w:bottom w:val="single" w:sz="4" w:space="0" w:color="auto"/>
              <w:right w:val="single" w:sz="4" w:space="0" w:color="auto"/>
            </w:tcBorders>
            <w:shd w:val="clear" w:color="000000" w:fill="F2F2F2"/>
            <w:noWrap/>
            <w:vAlign w:val="center"/>
            <w:hideMark/>
          </w:tcPr>
          <w:p w14:paraId="3161D92C"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$ 0</w:t>
            </w:r>
          </w:p>
        </w:tc>
        <w:tc>
          <w:tcPr>
            <w:tcW w:w="1460" w:type="dxa"/>
            <w:tcBorders>
              <w:top w:val="nil"/>
              <w:left w:val="nil"/>
              <w:bottom w:val="single" w:sz="4" w:space="0" w:color="auto"/>
              <w:right w:val="single" w:sz="4" w:space="0" w:color="auto"/>
            </w:tcBorders>
            <w:shd w:val="clear" w:color="000000" w:fill="F2F2F2"/>
            <w:noWrap/>
            <w:vAlign w:val="center"/>
            <w:hideMark/>
          </w:tcPr>
          <w:p w14:paraId="11D5493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$ 98.679.000</w:t>
            </w:r>
          </w:p>
        </w:tc>
        <w:tc>
          <w:tcPr>
            <w:tcW w:w="1260" w:type="dxa"/>
            <w:tcBorders>
              <w:top w:val="nil"/>
              <w:left w:val="nil"/>
              <w:bottom w:val="single" w:sz="4" w:space="0" w:color="auto"/>
              <w:right w:val="single" w:sz="4" w:space="0" w:color="auto"/>
            </w:tcBorders>
            <w:shd w:val="clear" w:color="000000" w:fill="F2F2F2"/>
            <w:noWrap/>
            <w:vAlign w:val="center"/>
            <w:hideMark/>
          </w:tcPr>
          <w:p w14:paraId="3E66DA3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$ 986.790</w:t>
            </w:r>
          </w:p>
        </w:tc>
        <w:tc>
          <w:tcPr>
            <w:tcW w:w="1120" w:type="dxa"/>
            <w:tcBorders>
              <w:top w:val="nil"/>
              <w:left w:val="nil"/>
              <w:bottom w:val="single" w:sz="4" w:space="0" w:color="auto"/>
              <w:right w:val="single" w:sz="4" w:space="0" w:color="auto"/>
            </w:tcBorders>
            <w:shd w:val="clear" w:color="000000" w:fill="F2F2F2"/>
            <w:noWrap/>
            <w:vAlign w:val="center"/>
            <w:hideMark/>
          </w:tcPr>
          <w:p w14:paraId="0ACD2C0C"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$ 41</w:t>
            </w:r>
          </w:p>
        </w:tc>
        <w:tc>
          <w:tcPr>
            <w:tcW w:w="1260" w:type="dxa"/>
            <w:tcBorders>
              <w:top w:val="nil"/>
              <w:left w:val="nil"/>
              <w:bottom w:val="single" w:sz="4" w:space="0" w:color="auto"/>
              <w:right w:val="single" w:sz="4" w:space="0" w:color="auto"/>
            </w:tcBorders>
            <w:shd w:val="clear" w:color="000000" w:fill="F2F2F2"/>
            <w:noWrap/>
            <w:vAlign w:val="center"/>
            <w:hideMark/>
          </w:tcPr>
          <w:p w14:paraId="7C1F7C35"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$ 986.831</w:t>
            </w:r>
          </w:p>
        </w:tc>
        <w:tc>
          <w:tcPr>
            <w:tcW w:w="1920" w:type="dxa"/>
            <w:tcBorders>
              <w:top w:val="nil"/>
              <w:left w:val="nil"/>
              <w:bottom w:val="single" w:sz="4" w:space="0" w:color="auto"/>
              <w:right w:val="single" w:sz="4" w:space="0" w:color="auto"/>
            </w:tcBorders>
            <w:shd w:val="clear" w:color="000000" w:fill="F2F2F2"/>
            <w:vAlign w:val="center"/>
            <w:hideMark/>
          </w:tcPr>
          <w:p w14:paraId="5EECF1C4"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w:t>
            </w:r>
          </w:p>
        </w:tc>
      </w:tr>
      <w:tr w:rsidR="00D705A6" w:rsidRPr="002E0BB9" w14:paraId="02DAE4CE" w14:textId="77777777" w:rsidTr="007D1249">
        <w:trPr>
          <w:trHeight w:val="4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056C47AB"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308</w:t>
            </w:r>
          </w:p>
        </w:tc>
        <w:tc>
          <w:tcPr>
            <w:tcW w:w="560" w:type="dxa"/>
            <w:tcBorders>
              <w:top w:val="nil"/>
              <w:left w:val="nil"/>
              <w:bottom w:val="single" w:sz="4" w:space="0" w:color="auto"/>
              <w:right w:val="single" w:sz="4" w:space="0" w:color="auto"/>
            </w:tcBorders>
            <w:shd w:val="clear" w:color="000000" w:fill="F2F2F2"/>
            <w:noWrap/>
            <w:vAlign w:val="center"/>
            <w:hideMark/>
          </w:tcPr>
          <w:p w14:paraId="26062125"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62292</w:t>
            </w:r>
          </w:p>
        </w:tc>
        <w:tc>
          <w:tcPr>
            <w:tcW w:w="920" w:type="dxa"/>
            <w:tcBorders>
              <w:top w:val="nil"/>
              <w:left w:val="nil"/>
              <w:bottom w:val="single" w:sz="4" w:space="0" w:color="auto"/>
              <w:right w:val="single" w:sz="4" w:space="0" w:color="auto"/>
            </w:tcBorders>
            <w:shd w:val="clear" w:color="000000" w:fill="F2F2F2"/>
            <w:noWrap/>
            <w:vAlign w:val="center"/>
            <w:hideMark/>
          </w:tcPr>
          <w:p w14:paraId="543260DB"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901496875</w:t>
            </w:r>
          </w:p>
        </w:tc>
        <w:tc>
          <w:tcPr>
            <w:tcW w:w="2180" w:type="dxa"/>
            <w:tcBorders>
              <w:top w:val="nil"/>
              <w:left w:val="nil"/>
              <w:bottom w:val="single" w:sz="4" w:space="0" w:color="auto"/>
              <w:right w:val="single" w:sz="4" w:space="0" w:color="auto"/>
            </w:tcBorders>
            <w:shd w:val="clear" w:color="000000" w:fill="F2F2F2"/>
            <w:vAlign w:val="center"/>
            <w:hideMark/>
          </w:tcPr>
          <w:p w14:paraId="2BBA9849"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Parque Solar Los Girasoles SAS ESP</w:t>
            </w:r>
          </w:p>
        </w:tc>
        <w:tc>
          <w:tcPr>
            <w:tcW w:w="1520" w:type="dxa"/>
            <w:tcBorders>
              <w:top w:val="nil"/>
              <w:left w:val="nil"/>
              <w:bottom w:val="single" w:sz="4" w:space="0" w:color="auto"/>
              <w:right w:val="single" w:sz="4" w:space="0" w:color="auto"/>
            </w:tcBorders>
            <w:shd w:val="clear" w:color="000000" w:fill="F2F2F2"/>
            <w:noWrap/>
            <w:vAlign w:val="center"/>
            <w:hideMark/>
          </w:tcPr>
          <w:p w14:paraId="3071037C"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$ 3.677.544.000</w:t>
            </w:r>
          </w:p>
        </w:tc>
        <w:tc>
          <w:tcPr>
            <w:tcW w:w="1440" w:type="dxa"/>
            <w:tcBorders>
              <w:top w:val="nil"/>
              <w:left w:val="nil"/>
              <w:bottom w:val="single" w:sz="4" w:space="0" w:color="auto"/>
              <w:right w:val="single" w:sz="4" w:space="0" w:color="auto"/>
            </w:tcBorders>
            <w:shd w:val="clear" w:color="000000" w:fill="F2F2F2"/>
            <w:noWrap/>
            <w:vAlign w:val="center"/>
            <w:hideMark/>
          </w:tcPr>
          <w:p w14:paraId="7A9F7327"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$ 0</w:t>
            </w:r>
          </w:p>
        </w:tc>
        <w:tc>
          <w:tcPr>
            <w:tcW w:w="1460" w:type="dxa"/>
            <w:tcBorders>
              <w:top w:val="nil"/>
              <w:left w:val="nil"/>
              <w:bottom w:val="single" w:sz="4" w:space="0" w:color="auto"/>
              <w:right w:val="single" w:sz="4" w:space="0" w:color="auto"/>
            </w:tcBorders>
            <w:shd w:val="clear" w:color="000000" w:fill="F2F2F2"/>
            <w:noWrap/>
            <w:vAlign w:val="center"/>
            <w:hideMark/>
          </w:tcPr>
          <w:p w14:paraId="5211877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$ 3.677.544.000</w:t>
            </w:r>
          </w:p>
        </w:tc>
        <w:tc>
          <w:tcPr>
            <w:tcW w:w="1260" w:type="dxa"/>
            <w:tcBorders>
              <w:top w:val="nil"/>
              <w:left w:val="nil"/>
              <w:bottom w:val="single" w:sz="4" w:space="0" w:color="auto"/>
              <w:right w:val="single" w:sz="4" w:space="0" w:color="auto"/>
            </w:tcBorders>
            <w:shd w:val="clear" w:color="000000" w:fill="F2F2F2"/>
            <w:noWrap/>
            <w:vAlign w:val="center"/>
            <w:hideMark/>
          </w:tcPr>
          <w:p w14:paraId="0586DA71"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$ 36.775.440</w:t>
            </w:r>
          </w:p>
        </w:tc>
        <w:tc>
          <w:tcPr>
            <w:tcW w:w="1120" w:type="dxa"/>
            <w:tcBorders>
              <w:top w:val="nil"/>
              <w:left w:val="nil"/>
              <w:bottom w:val="single" w:sz="4" w:space="0" w:color="auto"/>
              <w:right w:val="single" w:sz="4" w:space="0" w:color="auto"/>
            </w:tcBorders>
            <w:shd w:val="clear" w:color="000000" w:fill="F2F2F2"/>
            <w:noWrap/>
            <w:vAlign w:val="center"/>
            <w:hideMark/>
          </w:tcPr>
          <w:p w14:paraId="2176DE5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$ 1.530</w:t>
            </w:r>
          </w:p>
        </w:tc>
        <w:tc>
          <w:tcPr>
            <w:tcW w:w="1260" w:type="dxa"/>
            <w:tcBorders>
              <w:top w:val="nil"/>
              <w:left w:val="nil"/>
              <w:bottom w:val="single" w:sz="4" w:space="0" w:color="auto"/>
              <w:right w:val="single" w:sz="4" w:space="0" w:color="auto"/>
            </w:tcBorders>
            <w:shd w:val="clear" w:color="000000" w:fill="F2F2F2"/>
            <w:noWrap/>
            <w:vAlign w:val="center"/>
            <w:hideMark/>
          </w:tcPr>
          <w:p w14:paraId="683C9FC5"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$ 36.776.970</w:t>
            </w:r>
          </w:p>
        </w:tc>
        <w:tc>
          <w:tcPr>
            <w:tcW w:w="1920" w:type="dxa"/>
            <w:tcBorders>
              <w:top w:val="nil"/>
              <w:left w:val="nil"/>
              <w:bottom w:val="single" w:sz="4" w:space="0" w:color="auto"/>
              <w:right w:val="single" w:sz="4" w:space="0" w:color="auto"/>
            </w:tcBorders>
            <w:shd w:val="clear" w:color="000000" w:fill="F2F2F2"/>
            <w:vAlign w:val="center"/>
            <w:hideMark/>
          </w:tcPr>
          <w:p w14:paraId="78CA458B"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w:t>
            </w:r>
          </w:p>
        </w:tc>
      </w:tr>
      <w:tr w:rsidR="00D705A6" w:rsidRPr="002E0BB9" w14:paraId="6A0E0F57" w14:textId="77777777" w:rsidTr="007D1249">
        <w:trPr>
          <w:trHeight w:val="4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22885754"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309</w:t>
            </w:r>
          </w:p>
        </w:tc>
        <w:tc>
          <w:tcPr>
            <w:tcW w:w="560" w:type="dxa"/>
            <w:tcBorders>
              <w:top w:val="nil"/>
              <w:left w:val="nil"/>
              <w:bottom w:val="single" w:sz="4" w:space="0" w:color="auto"/>
              <w:right w:val="single" w:sz="4" w:space="0" w:color="auto"/>
            </w:tcBorders>
            <w:shd w:val="clear" w:color="000000" w:fill="F2F2F2"/>
            <w:noWrap/>
            <w:vAlign w:val="center"/>
            <w:hideMark/>
          </w:tcPr>
          <w:p w14:paraId="638AF69A"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58633</w:t>
            </w:r>
          </w:p>
        </w:tc>
        <w:tc>
          <w:tcPr>
            <w:tcW w:w="920" w:type="dxa"/>
            <w:tcBorders>
              <w:top w:val="nil"/>
              <w:left w:val="nil"/>
              <w:bottom w:val="single" w:sz="4" w:space="0" w:color="auto"/>
              <w:right w:val="single" w:sz="4" w:space="0" w:color="auto"/>
            </w:tcBorders>
            <w:shd w:val="clear" w:color="000000" w:fill="F2F2F2"/>
            <w:noWrap/>
            <w:vAlign w:val="center"/>
            <w:hideMark/>
          </w:tcPr>
          <w:p w14:paraId="65234E8E"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901503260</w:t>
            </w:r>
          </w:p>
        </w:tc>
        <w:tc>
          <w:tcPr>
            <w:tcW w:w="2180" w:type="dxa"/>
            <w:tcBorders>
              <w:top w:val="nil"/>
              <w:left w:val="nil"/>
              <w:bottom w:val="single" w:sz="4" w:space="0" w:color="auto"/>
              <w:right w:val="single" w:sz="4" w:space="0" w:color="auto"/>
            </w:tcBorders>
            <w:shd w:val="clear" w:color="000000" w:fill="F2F2F2"/>
            <w:vAlign w:val="center"/>
            <w:hideMark/>
          </w:tcPr>
          <w:p w14:paraId="16898AE9"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EMEGAS POR COLOMBIA 24 7 SAS ESP</w:t>
            </w:r>
          </w:p>
        </w:tc>
        <w:tc>
          <w:tcPr>
            <w:tcW w:w="1520" w:type="dxa"/>
            <w:tcBorders>
              <w:top w:val="nil"/>
              <w:left w:val="nil"/>
              <w:bottom w:val="single" w:sz="4" w:space="0" w:color="auto"/>
              <w:right w:val="single" w:sz="4" w:space="0" w:color="auto"/>
            </w:tcBorders>
            <w:shd w:val="clear" w:color="000000" w:fill="F2F2F2"/>
            <w:noWrap/>
            <w:vAlign w:val="center"/>
            <w:hideMark/>
          </w:tcPr>
          <w:p w14:paraId="35A2C0A5"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$ 102.500.000</w:t>
            </w:r>
          </w:p>
        </w:tc>
        <w:tc>
          <w:tcPr>
            <w:tcW w:w="1440" w:type="dxa"/>
            <w:tcBorders>
              <w:top w:val="nil"/>
              <w:left w:val="nil"/>
              <w:bottom w:val="single" w:sz="4" w:space="0" w:color="auto"/>
              <w:right w:val="single" w:sz="4" w:space="0" w:color="auto"/>
            </w:tcBorders>
            <w:shd w:val="clear" w:color="000000" w:fill="F2F2F2"/>
            <w:noWrap/>
            <w:vAlign w:val="center"/>
            <w:hideMark/>
          </w:tcPr>
          <w:p w14:paraId="3FC55607"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$ 14.668.786</w:t>
            </w:r>
          </w:p>
        </w:tc>
        <w:tc>
          <w:tcPr>
            <w:tcW w:w="1460" w:type="dxa"/>
            <w:tcBorders>
              <w:top w:val="nil"/>
              <w:left w:val="nil"/>
              <w:bottom w:val="single" w:sz="4" w:space="0" w:color="auto"/>
              <w:right w:val="single" w:sz="4" w:space="0" w:color="auto"/>
            </w:tcBorders>
            <w:shd w:val="clear" w:color="000000" w:fill="F2F2F2"/>
            <w:noWrap/>
            <w:vAlign w:val="center"/>
            <w:hideMark/>
          </w:tcPr>
          <w:p w14:paraId="10822D7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$ 117.168.786</w:t>
            </w:r>
          </w:p>
        </w:tc>
        <w:tc>
          <w:tcPr>
            <w:tcW w:w="1260" w:type="dxa"/>
            <w:tcBorders>
              <w:top w:val="nil"/>
              <w:left w:val="nil"/>
              <w:bottom w:val="single" w:sz="4" w:space="0" w:color="auto"/>
              <w:right w:val="single" w:sz="4" w:space="0" w:color="auto"/>
            </w:tcBorders>
            <w:shd w:val="clear" w:color="000000" w:fill="F2F2F2"/>
            <w:noWrap/>
            <w:vAlign w:val="center"/>
            <w:hideMark/>
          </w:tcPr>
          <w:p w14:paraId="6D16659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$ 1.171.688</w:t>
            </w:r>
          </w:p>
        </w:tc>
        <w:tc>
          <w:tcPr>
            <w:tcW w:w="1120" w:type="dxa"/>
            <w:tcBorders>
              <w:top w:val="nil"/>
              <w:left w:val="nil"/>
              <w:bottom w:val="single" w:sz="4" w:space="0" w:color="auto"/>
              <w:right w:val="single" w:sz="4" w:space="0" w:color="auto"/>
            </w:tcBorders>
            <w:shd w:val="clear" w:color="000000" w:fill="F2F2F2"/>
            <w:noWrap/>
            <w:vAlign w:val="center"/>
            <w:hideMark/>
          </w:tcPr>
          <w:p w14:paraId="0F458498"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$ 49</w:t>
            </w:r>
          </w:p>
        </w:tc>
        <w:tc>
          <w:tcPr>
            <w:tcW w:w="1260" w:type="dxa"/>
            <w:tcBorders>
              <w:top w:val="nil"/>
              <w:left w:val="nil"/>
              <w:bottom w:val="single" w:sz="4" w:space="0" w:color="auto"/>
              <w:right w:val="single" w:sz="4" w:space="0" w:color="auto"/>
            </w:tcBorders>
            <w:shd w:val="clear" w:color="000000" w:fill="F2F2F2"/>
            <w:noWrap/>
            <w:vAlign w:val="center"/>
            <w:hideMark/>
          </w:tcPr>
          <w:p w14:paraId="78FC6A32"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$ 1.171.737</w:t>
            </w:r>
          </w:p>
        </w:tc>
        <w:tc>
          <w:tcPr>
            <w:tcW w:w="1920" w:type="dxa"/>
            <w:tcBorders>
              <w:top w:val="nil"/>
              <w:left w:val="nil"/>
              <w:bottom w:val="single" w:sz="4" w:space="0" w:color="auto"/>
              <w:right w:val="single" w:sz="4" w:space="0" w:color="auto"/>
            </w:tcBorders>
            <w:shd w:val="clear" w:color="000000" w:fill="F2F2F2"/>
            <w:vAlign w:val="center"/>
            <w:hideMark/>
          </w:tcPr>
          <w:p w14:paraId="0682FC19"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GAS LICUADO DEL PETROLEO</w:t>
            </w:r>
          </w:p>
        </w:tc>
      </w:tr>
      <w:tr w:rsidR="00D705A6" w:rsidRPr="002E0BB9" w14:paraId="194B4F62" w14:textId="77777777" w:rsidTr="007D1249">
        <w:trPr>
          <w:trHeight w:val="2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386F68A7"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310</w:t>
            </w:r>
          </w:p>
        </w:tc>
        <w:tc>
          <w:tcPr>
            <w:tcW w:w="560" w:type="dxa"/>
            <w:tcBorders>
              <w:top w:val="nil"/>
              <w:left w:val="nil"/>
              <w:bottom w:val="single" w:sz="4" w:space="0" w:color="auto"/>
              <w:right w:val="single" w:sz="4" w:space="0" w:color="auto"/>
            </w:tcBorders>
            <w:shd w:val="clear" w:color="000000" w:fill="F2F2F2"/>
            <w:noWrap/>
            <w:vAlign w:val="center"/>
            <w:hideMark/>
          </w:tcPr>
          <w:p w14:paraId="250EA5A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59850</w:t>
            </w:r>
          </w:p>
        </w:tc>
        <w:tc>
          <w:tcPr>
            <w:tcW w:w="920" w:type="dxa"/>
            <w:tcBorders>
              <w:top w:val="nil"/>
              <w:left w:val="nil"/>
              <w:bottom w:val="single" w:sz="4" w:space="0" w:color="auto"/>
              <w:right w:val="single" w:sz="4" w:space="0" w:color="auto"/>
            </w:tcBorders>
            <w:shd w:val="clear" w:color="000000" w:fill="F2F2F2"/>
            <w:noWrap/>
            <w:vAlign w:val="center"/>
            <w:hideMark/>
          </w:tcPr>
          <w:p w14:paraId="3DF619D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901543313</w:t>
            </w:r>
          </w:p>
        </w:tc>
        <w:tc>
          <w:tcPr>
            <w:tcW w:w="2180" w:type="dxa"/>
            <w:tcBorders>
              <w:top w:val="nil"/>
              <w:left w:val="nil"/>
              <w:bottom w:val="single" w:sz="4" w:space="0" w:color="auto"/>
              <w:right w:val="single" w:sz="4" w:space="0" w:color="auto"/>
            </w:tcBorders>
            <w:shd w:val="clear" w:color="000000" w:fill="F2F2F2"/>
            <w:vAlign w:val="center"/>
            <w:hideMark/>
          </w:tcPr>
          <w:p w14:paraId="25491D1A"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ENERBIT SAS ESP</w:t>
            </w:r>
          </w:p>
        </w:tc>
        <w:tc>
          <w:tcPr>
            <w:tcW w:w="1520" w:type="dxa"/>
            <w:tcBorders>
              <w:top w:val="nil"/>
              <w:left w:val="nil"/>
              <w:bottom w:val="single" w:sz="4" w:space="0" w:color="auto"/>
              <w:right w:val="single" w:sz="4" w:space="0" w:color="auto"/>
            </w:tcBorders>
            <w:shd w:val="clear" w:color="000000" w:fill="F2F2F2"/>
            <w:noWrap/>
            <w:vAlign w:val="center"/>
            <w:hideMark/>
          </w:tcPr>
          <w:p w14:paraId="00EE2E70"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$ 3.626.168.000</w:t>
            </w:r>
          </w:p>
        </w:tc>
        <w:tc>
          <w:tcPr>
            <w:tcW w:w="1440" w:type="dxa"/>
            <w:tcBorders>
              <w:top w:val="nil"/>
              <w:left w:val="nil"/>
              <w:bottom w:val="single" w:sz="4" w:space="0" w:color="auto"/>
              <w:right w:val="single" w:sz="4" w:space="0" w:color="auto"/>
            </w:tcBorders>
            <w:shd w:val="clear" w:color="000000" w:fill="F2F2F2"/>
            <w:noWrap/>
            <w:vAlign w:val="center"/>
            <w:hideMark/>
          </w:tcPr>
          <w:p w14:paraId="4C7836C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$ 6.734.486</w:t>
            </w:r>
          </w:p>
        </w:tc>
        <w:tc>
          <w:tcPr>
            <w:tcW w:w="1460" w:type="dxa"/>
            <w:tcBorders>
              <w:top w:val="nil"/>
              <w:left w:val="nil"/>
              <w:bottom w:val="single" w:sz="4" w:space="0" w:color="auto"/>
              <w:right w:val="single" w:sz="4" w:space="0" w:color="auto"/>
            </w:tcBorders>
            <w:shd w:val="clear" w:color="000000" w:fill="F2F2F2"/>
            <w:noWrap/>
            <w:vAlign w:val="center"/>
            <w:hideMark/>
          </w:tcPr>
          <w:p w14:paraId="3ADB7EEA"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$ 3.632.902.486</w:t>
            </w:r>
          </w:p>
        </w:tc>
        <w:tc>
          <w:tcPr>
            <w:tcW w:w="1260" w:type="dxa"/>
            <w:tcBorders>
              <w:top w:val="nil"/>
              <w:left w:val="nil"/>
              <w:bottom w:val="single" w:sz="4" w:space="0" w:color="auto"/>
              <w:right w:val="single" w:sz="4" w:space="0" w:color="auto"/>
            </w:tcBorders>
            <w:shd w:val="clear" w:color="000000" w:fill="F2F2F2"/>
            <w:noWrap/>
            <w:vAlign w:val="center"/>
            <w:hideMark/>
          </w:tcPr>
          <w:p w14:paraId="11A0A28A"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$ 36.329.025</w:t>
            </w:r>
          </w:p>
        </w:tc>
        <w:tc>
          <w:tcPr>
            <w:tcW w:w="1120" w:type="dxa"/>
            <w:tcBorders>
              <w:top w:val="nil"/>
              <w:left w:val="nil"/>
              <w:bottom w:val="single" w:sz="4" w:space="0" w:color="auto"/>
              <w:right w:val="single" w:sz="4" w:space="0" w:color="auto"/>
            </w:tcBorders>
            <w:shd w:val="clear" w:color="000000" w:fill="F2F2F2"/>
            <w:noWrap/>
            <w:vAlign w:val="center"/>
            <w:hideMark/>
          </w:tcPr>
          <w:p w14:paraId="5A883F3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$ 1.512</w:t>
            </w:r>
          </w:p>
        </w:tc>
        <w:tc>
          <w:tcPr>
            <w:tcW w:w="1260" w:type="dxa"/>
            <w:tcBorders>
              <w:top w:val="nil"/>
              <w:left w:val="nil"/>
              <w:bottom w:val="single" w:sz="4" w:space="0" w:color="auto"/>
              <w:right w:val="single" w:sz="4" w:space="0" w:color="auto"/>
            </w:tcBorders>
            <w:shd w:val="clear" w:color="000000" w:fill="F2F2F2"/>
            <w:noWrap/>
            <w:vAlign w:val="center"/>
            <w:hideMark/>
          </w:tcPr>
          <w:p w14:paraId="37ED9B2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$ 36.330.537</w:t>
            </w:r>
          </w:p>
        </w:tc>
        <w:tc>
          <w:tcPr>
            <w:tcW w:w="1920" w:type="dxa"/>
            <w:tcBorders>
              <w:top w:val="nil"/>
              <w:left w:val="nil"/>
              <w:bottom w:val="single" w:sz="4" w:space="0" w:color="auto"/>
              <w:right w:val="single" w:sz="4" w:space="0" w:color="auto"/>
            </w:tcBorders>
            <w:shd w:val="clear" w:color="000000" w:fill="F2F2F2"/>
            <w:vAlign w:val="center"/>
            <w:hideMark/>
          </w:tcPr>
          <w:p w14:paraId="3165611C"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w:t>
            </w:r>
          </w:p>
        </w:tc>
      </w:tr>
      <w:tr w:rsidR="00D705A6" w:rsidRPr="002E0BB9" w14:paraId="5D3A77AA" w14:textId="77777777" w:rsidTr="007D1249">
        <w:trPr>
          <w:trHeight w:val="6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79311EC4"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311</w:t>
            </w:r>
          </w:p>
        </w:tc>
        <w:tc>
          <w:tcPr>
            <w:tcW w:w="560" w:type="dxa"/>
            <w:tcBorders>
              <w:top w:val="nil"/>
              <w:left w:val="nil"/>
              <w:bottom w:val="single" w:sz="4" w:space="0" w:color="auto"/>
              <w:right w:val="single" w:sz="4" w:space="0" w:color="auto"/>
            </w:tcBorders>
            <w:shd w:val="clear" w:color="000000" w:fill="F2F2F2"/>
            <w:noWrap/>
            <w:vAlign w:val="center"/>
            <w:hideMark/>
          </w:tcPr>
          <w:p w14:paraId="6C763FE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61291</w:t>
            </w:r>
          </w:p>
        </w:tc>
        <w:tc>
          <w:tcPr>
            <w:tcW w:w="920" w:type="dxa"/>
            <w:tcBorders>
              <w:top w:val="nil"/>
              <w:left w:val="nil"/>
              <w:bottom w:val="single" w:sz="4" w:space="0" w:color="auto"/>
              <w:right w:val="single" w:sz="4" w:space="0" w:color="auto"/>
            </w:tcBorders>
            <w:shd w:val="clear" w:color="000000" w:fill="F2F2F2"/>
            <w:noWrap/>
            <w:vAlign w:val="center"/>
            <w:hideMark/>
          </w:tcPr>
          <w:p w14:paraId="0F7FA20C"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901574072</w:t>
            </w:r>
          </w:p>
        </w:tc>
        <w:tc>
          <w:tcPr>
            <w:tcW w:w="2180" w:type="dxa"/>
            <w:tcBorders>
              <w:top w:val="nil"/>
              <w:left w:val="nil"/>
              <w:bottom w:val="single" w:sz="4" w:space="0" w:color="auto"/>
              <w:right w:val="single" w:sz="4" w:space="0" w:color="auto"/>
            </w:tcBorders>
            <w:shd w:val="clear" w:color="000000" w:fill="F2F2F2"/>
            <w:vAlign w:val="center"/>
            <w:hideMark/>
          </w:tcPr>
          <w:p w14:paraId="2E786154"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xml:space="preserve">BTG PACTUAL COMERCIALIZADORA DE </w:t>
            </w:r>
            <w:proofErr w:type="gramStart"/>
            <w:r w:rsidRPr="002E0BB9">
              <w:rPr>
                <w:rFonts w:ascii="Arial Narrow" w:hAnsi="Arial Narrow" w:cs="Arial"/>
                <w:spacing w:val="0"/>
                <w:sz w:val="16"/>
                <w:szCs w:val="16"/>
                <w:lang w:val="es-MX" w:eastAsia="es-MX"/>
              </w:rPr>
              <w:t>ENERGIA  S.A.S.</w:t>
            </w:r>
            <w:proofErr w:type="gramEnd"/>
            <w:r w:rsidRPr="002E0BB9">
              <w:rPr>
                <w:rFonts w:ascii="Arial Narrow" w:hAnsi="Arial Narrow" w:cs="Arial"/>
                <w:spacing w:val="0"/>
                <w:sz w:val="16"/>
                <w:szCs w:val="16"/>
                <w:lang w:val="es-MX" w:eastAsia="es-MX"/>
              </w:rPr>
              <w:t xml:space="preserve"> E.S.P.</w:t>
            </w:r>
          </w:p>
        </w:tc>
        <w:tc>
          <w:tcPr>
            <w:tcW w:w="1520" w:type="dxa"/>
            <w:tcBorders>
              <w:top w:val="nil"/>
              <w:left w:val="nil"/>
              <w:bottom w:val="single" w:sz="4" w:space="0" w:color="auto"/>
              <w:right w:val="single" w:sz="4" w:space="0" w:color="auto"/>
            </w:tcBorders>
            <w:shd w:val="clear" w:color="000000" w:fill="F2F2F2"/>
            <w:noWrap/>
            <w:vAlign w:val="center"/>
            <w:hideMark/>
          </w:tcPr>
          <w:p w14:paraId="5B3AAB7B"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$ 682.763.000</w:t>
            </w:r>
          </w:p>
        </w:tc>
        <w:tc>
          <w:tcPr>
            <w:tcW w:w="1440" w:type="dxa"/>
            <w:tcBorders>
              <w:top w:val="nil"/>
              <w:left w:val="nil"/>
              <w:bottom w:val="single" w:sz="4" w:space="0" w:color="auto"/>
              <w:right w:val="single" w:sz="4" w:space="0" w:color="auto"/>
            </w:tcBorders>
            <w:shd w:val="clear" w:color="000000" w:fill="F2F2F2"/>
            <w:noWrap/>
            <w:vAlign w:val="center"/>
            <w:hideMark/>
          </w:tcPr>
          <w:p w14:paraId="74D170F6"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$ 45.302.075</w:t>
            </w:r>
          </w:p>
        </w:tc>
        <w:tc>
          <w:tcPr>
            <w:tcW w:w="1460" w:type="dxa"/>
            <w:tcBorders>
              <w:top w:val="nil"/>
              <w:left w:val="nil"/>
              <w:bottom w:val="single" w:sz="4" w:space="0" w:color="auto"/>
              <w:right w:val="single" w:sz="4" w:space="0" w:color="auto"/>
            </w:tcBorders>
            <w:shd w:val="clear" w:color="000000" w:fill="F2F2F2"/>
            <w:noWrap/>
            <w:vAlign w:val="center"/>
            <w:hideMark/>
          </w:tcPr>
          <w:p w14:paraId="21E7810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$ 728.065.075</w:t>
            </w:r>
          </w:p>
        </w:tc>
        <w:tc>
          <w:tcPr>
            <w:tcW w:w="1260" w:type="dxa"/>
            <w:tcBorders>
              <w:top w:val="nil"/>
              <w:left w:val="nil"/>
              <w:bottom w:val="single" w:sz="4" w:space="0" w:color="auto"/>
              <w:right w:val="single" w:sz="4" w:space="0" w:color="auto"/>
            </w:tcBorders>
            <w:shd w:val="clear" w:color="000000" w:fill="F2F2F2"/>
            <w:noWrap/>
            <w:vAlign w:val="center"/>
            <w:hideMark/>
          </w:tcPr>
          <w:p w14:paraId="494EE14F"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$ 7.280.651</w:t>
            </w:r>
          </w:p>
        </w:tc>
        <w:tc>
          <w:tcPr>
            <w:tcW w:w="1120" w:type="dxa"/>
            <w:tcBorders>
              <w:top w:val="nil"/>
              <w:left w:val="nil"/>
              <w:bottom w:val="single" w:sz="4" w:space="0" w:color="auto"/>
              <w:right w:val="single" w:sz="4" w:space="0" w:color="auto"/>
            </w:tcBorders>
            <w:shd w:val="clear" w:color="000000" w:fill="F2F2F2"/>
            <w:noWrap/>
            <w:vAlign w:val="center"/>
            <w:hideMark/>
          </w:tcPr>
          <w:p w14:paraId="72266AC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$ 303</w:t>
            </w:r>
          </w:p>
        </w:tc>
        <w:tc>
          <w:tcPr>
            <w:tcW w:w="1260" w:type="dxa"/>
            <w:tcBorders>
              <w:top w:val="nil"/>
              <w:left w:val="nil"/>
              <w:bottom w:val="single" w:sz="4" w:space="0" w:color="auto"/>
              <w:right w:val="single" w:sz="4" w:space="0" w:color="auto"/>
            </w:tcBorders>
            <w:shd w:val="clear" w:color="000000" w:fill="F2F2F2"/>
            <w:noWrap/>
            <w:vAlign w:val="center"/>
            <w:hideMark/>
          </w:tcPr>
          <w:p w14:paraId="46DABD97"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$ 7.280.954</w:t>
            </w:r>
          </w:p>
        </w:tc>
        <w:tc>
          <w:tcPr>
            <w:tcW w:w="1920" w:type="dxa"/>
            <w:tcBorders>
              <w:top w:val="nil"/>
              <w:left w:val="nil"/>
              <w:bottom w:val="single" w:sz="4" w:space="0" w:color="auto"/>
              <w:right w:val="single" w:sz="4" w:space="0" w:color="auto"/>
            </w:tcBorders>
            <w:shd w:val="clear" w:color="000000" w:fill="F2F2F2"/>
            <w:vAlign w:val="center"/>
            <w:hideMark/>
          </w:tcPr>
          <w:p w14:paraId="50A82258"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w:t>
            </w:r>
          </w:p>
        </w:tc>
      </w:tr>
      <w:tr w:rsidR="00D705A6" w:rsidRPr="002E0BB9" w14:paraId="6D805D24" w14:textId="77777777" w:rsidTr="007D1249">
        <w:trPr>
          <w:trHeight w:val="2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270D8B9A"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312</w:t>
            </w:r>
          </w:p>
        </w:tc>
        <w:tc>
          <w:tcPr>
            <w:tcW w:w="560" w:type="dxa"/>
            <w:tcBorders>
              <w:top w:val="nil"/>
              <w:left w:val="nil"/>
              <w:bottom w:val="single" w:sz="4" w:space="0" w:color="auto"/>
              <w:right w:val="single" w:sz="4" w:space="0" w:color="auto"/>
            </w:tcBorders>
            <w:shd w:val="clear" w:color="000000" w:fill="F2F2F2"/>
            <w:noWrap/>
            <w:vAlign w:val="center"/>
            <w:hideMark/>
          </w:tcPr>
          <w:p w14:paraId="4DB15A6D"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62371</w:t>
            </w:r>
          </w:p>
        </w:tc>
        <w:tc>
          <w:tcPr>
            <w:tcW w:w="920" w:type="dxa"/>
            <w:tcBorders>
              <w:top w:val="nil"/>
              <w:left w:val="nil"/>
              <w:bottom w:val="single" w:sz="4" w:space="0" w:color="auto"/>
              <w:right w:val="single" w:sz="4" w:space="0" w:color="auto"/>
            </w:tcBorders>
            <w:shd w:val="clear" w:color="000000" w:fill="F2F2F2"/>
            <w:noWrap/>
            <w:vAlign w:val="center"/>
            <w:hideMark/>
          </w:tcPr>
          <w:p w14:paraId="27E6EC61"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901588412</w:t>
            </w:r>
          </w:p>
        </w:tc>
        <w:tc>
          <w:tcPr>
            <w:tcW w:w="2180" w:type="dxa"/>
            <w:tcBorders>
              <w:top w:val="nil"/>
              <w:left w:val="nil"/>
              <w:bottom w:val="single" w:sz="4" w:space="0" w:color="auto"/>
              <w:right w:val="single" w:sz="4" w:space="0" w:color="auto"/>
            </w:tcBorders>
            <w:shd w:val="clear" w:color="000000" w:fill="F2F2F2"/>
            <w:vAlign w:val="center"/>
            <w:hideMark/>
          </w:tcPr>
          <w:p w14:paraId="6107047A"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BIA ENERGY SAS ESP</w:t>
            </w:r>
          </w:p>
        </w:tc>
        <w:tc>
          <w:tcPr>
            <w:tcW w:w="1520" w:type="dxa"/>
            <w:tcBorders>
              <w:top w:val="nil"/>
              <w:left w:val="nil"/>
              <w:bottom w:val="single" w:sz="4" w:space="0" w:color="auto"/>
              <w:right w:val="single" w:sz="4" w:space="0" w:color="auto"/>
            </w:tcBorders>
            <w:shd w:val="clear" w:color="000000" w:fill="F2F2F2"/>
            <w:noWrap/>
            <w:vAlign w:val="center"/>
            <w:hideMark/>
          </w:tcPr>
          <w:p w14:paraId="6543A1D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$ 4.394.525.000</w:t>
            </w:r>
          </w:p>
        </w:tc>
        <w:tc>
          <w:tcPr>
            <w:tcW w:w="1440" w:type="dxa"/>
            <w:tcBorders>
              <w:top w:val="nil"/>
              <w:left w:val="nil"/>
              <w:bottom w:val="single" w:sz="4" w:space="0" w:color="auto"/>
              <w:right w:val="single" w:sz="4" w:space="0" w:color="auto"/>
            </w:tcBorders>
            <w:shd w:val="clear" w:color="000000" w:fill="F2F2F2"/>
            <w:noWrap/>
            <w:vAlign w:val="center"/>
            <w:hideMark/>
          </w:tcPr>
          <w:p w14:paraId="6EA4E06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$ 0</w:t>
            </w:r>
          </w:p>
        </w:tc>
        <w:tc>
          <w:tcPr>
            <w:tcW w:w="1460" w:type="dxa"/>
            <w:tcBorders>
              <w:top w:val="nil"/>
              <w:left w:val="nil"/>
              <w:bottom w:val="single" w:sz="4" w:space="0" w:color="auto"/>
              <w:right w:val="single" w:sz="4" w:space="0" w:color="auto"/>
            </w:tcBorders>
            <w:shd w:val="clear" w:color="000000" w:fill="F2F2F2"/>
            <w:noWrap/>
            <w:vAlign w:val="center"/>
            <w:hideMark/>
          </w:tcPr>
          <w:p w14:paraId="46413F02"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$ 4.394.525.000</w:t>
            </w:r>
          </w:p>
        </w:tc>
        <w:tc>
          <w:tcPr>
            <w:tcW w:w="1260" w:type="dxa"/>
            <w:tcBorders>
              <w:top w:val="nil"/>
              <w:left w:val="nil"/>
              <w:bottom w:val="single" w:sz="4" w:space="0" w:color="auto"/>
              <w:right w:val="single" w:sz="4" w:space="0" w:color="auto"/>
            </w:tcBorders>
            <w:shd w:val="clear" w:color="000000" w:fill="F2F2F2"/>
            <w:noWrap/>
            <w:vAlign w:val="center"/>
            <w:hideMark/>
          </w:tcPr>
          <w:p w14:paraId="501B121B"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$ 43.945.250</w:t>
            </w:r>
          </w:p>
        </w:tc>
        <w:tc>
          <w:tcPr>
            <w:tcW w:w="1120" w:type="dxa"/>
            <w:tcBorders>
              <w:top w:val="nil"/>
              <w:left w:val="nil"/>
              <w:bottom w:val="single" w:sz="4" w:space="0" w:color="auto"/>
              <w:right w:val="single" w:sz="4" w:space="0" w:color="auto"/>
            </w:tcBorders>
            <w:shd w:val="clear" w:color="000000" w:fill="F2F2F2"/>
            <w:noWrap/>
            <w:vAlign w:val="center"/>
            <w:hideMark/>
          </w:tcPr>
          <w:p w14:paraId="3992829B"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$ 1.829</w:t>
            </w:r>
          </w:p>
        </w:tc>
        <w:tc>
          <w:tcPr>
            <w:tcW w:w="1260" w:type="dxa"/>
            <w:tcBorders>
              <w:top w:val="nil"/>
              <w:left w:val="nil"/>
              <w:bottom w:val="single" w:sz="4" w:space="0" w:color="auto"/>
              <w:right w:val="single" w:sz="4" w:space="0" w:color="auto"/>
            </w:tcBorders>
            <w:shd w:val="clear" w:color="000000" w:fill="F2F2F2"/>
            <w:noWrap/>
            <w:vAlign w:val="center"/>
            <w:hideMark/>
          </w:tcPr>
          <w:p w14:paraId="44A94442"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$ 43.947.079</w:t>
            </w:r>
          </w:p>
        </w:tc>
        <w:tc>
          <w:tcPr>
            <w:tcW w:w="1920" w:type="dxa"/>
            <w:tcBorders>
              <w:top w:val="nil"/>
              <w:left w:val="nil"/>
              <w:bottom w:val="single" w:sz="4" w:space="0" w:color="auto"/>
              <w:right w:val="single" w:sz="4" w:space="0" w:color="auto"/>
            </w:tcBorders>
            <w:shd w:val="clear" w:color="000000" w:fill="F2F2F2"/>
            <w:vAlign w:val="center"/>
            <w:hideMark/>
          </w:tcPr>
          <w:p w14:paraId="2CAC6A8D"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w:t>
            </w:r>
          </w:p>
        </w:tc>
      </w:tr>
      <w:tr w:rsidR="00D705A6" w:rsidRPr="002E0BB9" w14:paraId="6083292C" w14:textId="77777777" w:rsidTr="007D1249">
        <w:trPr>
          <w:trHeight w:val="400"/>
          <w:jc w:val="center"/>
        </w:trPr>
        <w:tc>
          <w:tcPr>
            <w:tcW w:w="400" w:type="dxa"/>
            <w:tcBorders>
              <w:top w:val="nil"/>
              <w:left w:val="single" w:sz="4" w:space="0" w:color="auto"/>
              <w:bottom w:val="single" w:sz="4" w:space="0" w:color="auto"/>
              <w:right w:val="single" w:sz="4" w:space="0" w:color="auto"/>
            </w:tcBorders>
            <w:shd w:val="clear" w:color="000000" w:fill="F2F2F2"/>
            <w:noWrap/>
            <w:vAlign w:val="center"/>
            <w:hideMark/>
          </w:tcPr>
          <w:p w14:paraId="70821793" w14:textId="77777777" w:rsidR="00D705A6" w:rsidRPr="002E0BB9" w:rsidRDefault="00D705A6" w:rsidP="00D22441">
            <w:pPr>
              <w:jc w:val="center"/>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313</w:t>
            </w:r>
          </w:p>
        </w:tc>
        <w:tc>
          <w:tcPr>
            <w:tcW w:w="560" w:type="dxa"/>
            <w:tcBorders>
              <w:top w:val="nil"/>
              <w:left w:val="nil"/>
              <w:bottom w:val="single" w:sz="4" w:space="0" w:color="auto"/>
              <w:right w:val="single" w:sz="4" w:space="0" w:color="auto"/>
            </w:tcBorders>
            <w:shd w:val="clear" w:color="000000" w:fill="F2F2F2"/>
            <w:noWrap/>
            <w:vAlign w:val="center"/>
            <w:hideMark/>
          </w:tcPr>
          <w:p w14:paraId="49CF5903"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62970</w:t>
            </w:r>
          </w:p>
        </w:tc>
        <w:tc>
          <w:tcPr>
            <w:tcW w:w="920" w:type="dxa"/>
            <w:tcBorders>
              <w:top w:val="nil"/>
              <w:left w:val="nil"/>
              <w:bottom w:val="single" w:sz="4" w:space="0" w:color="auto"/>
              <w:right w:val="single" w:sz="4" w:space="0" w:color="auto"/>
            </w:tcBorders>
            <w:shd w:val="clear" w:color="000000" w:fill="F2F2F2"/>
            <w:noWrap/>
            <w:vAlign w:val="center"/>
            <w:hideMark/>
          </w:tcPr>
          <w:p w14:paraId="3296B69C"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901601851</w:t>
            </w:r>
          </w:p>
        </w:tc>
        <w:tc>
          <w:tcPr>
            <w:tcW w:w="2180" w:type="dxa"/>
            <w:tcBorders>
              <w:top w:val="nil"/>
              <w:left w:val="nil"/>
              <w:bottom w:val="single" w:sz="4" w:space="0" w:color="auto"/>
              <w:right w:val="single" w:sz="4" w:space="0" w:color="auto"/>
            </w:tcBorders>
            <w:shd w:val="clear" w:color="000000" w:fill="F2F2F2"/>
            <w:vAlign w:val="center"/>
            <w:hideMark/>
          </w:tcPr>
          <w:p w14:paraId="5AE85570"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Y GAS DE COLOMBIA SAS ESP</w:t>
            </w:r>
          </w:p>
        </w:tc>
        <w:tc>
          <w:tcPr>
            <w:tcW w:w="1520" w:type="dxa"/>
            <w:tcBorders>
              <w:top w:val="nil"/>
              <w:left w:val="nil"/>
              <w:bottom w:val="single" w:sz="4" w:space="0" w:color="auto"/>
              <w:right w:val="single" w:sz="4" w:space="0" w:color="auto"/>
            </w:tcBorders>
            <w:shd w:val="clear" w:color="000000" w:fill="F2F2F2"/>
            <w:noWrap/>
            <w:vAlign w:val="center"/>
            <w:hideMark/>
          </w:tcPr>
          <w:p w14:paraId="1E229091"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$ 69.417.000</w:t>
            </w:r>
          </w:p>
        </w:tc>
        <w:tc>
          <w:tcPr>
            <w:tcW w:w="1440" w:type="dxa"/>
            <w:tcBorders>
              <w:top w:val="nil"/>
              <w:left w:val="nil"/>
              <w:bottom w:val="single" w:sz="4" w:space="0" w:color="auto"/>
              <w:right w:val="single" w:sz="4" w:space="0" w:color="auto"/>
            </w:tcBorders>
            <w:shd w:val="clear" w:color="000000" w:fill="F2F2F2"/>
            <w:noWrap/>
            <w:vAlign w:val="center"/>
            <w:hideMark/>
          </w:tcPr>
          <w:p w14:paraId="2F10CD37"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$ 6.026.661</w:t>
            </w:r>
          </w:p>
        </w:tc>
        <w:tc>
          <w:tcPr>
            <w:tcW w:w="1460" w:type="dxa"/>
            <w:tcBorders>
              <w:top w:val="nil"/>
              <w:left w:val="nil"/>
              <w:bottom w:val="single" w:sz="4" w:space="0" w:color="auto"/>
              <w:right w:val="single" w:sz="4" w:space="0" w:color="auto"/>
            </w:tcBorders>
            <w:shd w:val="clear" w:color="000000" w:fill="F2F2F2"/>
            <w:noWrap/>
            <w:vAlign w:val="center"/>
            <w:hideMark/>
          </w:tcPr>
          <w:p w14:paraId="329D75D9"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$ 75.443.661</w:t>
            </w:r>
          </w:p>
        </w:tc>
        <w:tc>
          <w:tcPr>
            <w:tcW w:w="1260" w:type="dxa"/>
            <w:tcBorders>
              <w:top w:val="nil"/>
              <w:left w:val="nil"/>
              <w:bottom w:val="single" w:sz="4" w:space="0" w:color="auto"/>
              <w:right w:val="single" w:sz="4" w:space="0" w:color="auto"/>
            </w:tcBorders>
            <w:shd w:val="clear" w:color="000000" w:fill="F2F2F2"/>
            <w:noWrap/>
            <w:vAlign w:val="center"/>
            <w:hideMark/>
          </w:tcPr>
          <w:p w14:paraId="5DBEC88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$ 754.437</w:t>
            </w:r>
          </w:p>
        </w:tc>
        <w:tc>
          <w:tcPr>
            <w:tcW w:w="1120" w:type="dxa"/>
            <w:tcBorders>
              <w:top w:val="nil"/>
              <w:left w:val="nil"/>
              <w:bottom w:val="single" w:sz="4" w:space="0" w:color="auto"/>
              <w:right w:val="single" w:sz="4" w:space="0" w:color="auto"/>
            </w:tcBorders>
            <w:shd w:val="clear" w:color="000000" w:fill="F2F2F2"/>
            <w:noWrap/>
            <w:vAlign w:val="center"/>
            <w:hideMark/>
          </w:tcPr>
          <w:p w14:paraId="7B1F631D"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$ 31</w:t>
            </w:r>
          </w:p>
        </w:tc>
        <w:tc>
          <w:tcPr>
            <w:tcW w:w="1260" w:type="dxa"/>
            <w:tcBorders>
              <w:top w:val="nil"/>
              <w:left w:val="nil"/>
              <w:bottom w:val="single" w:sz="4" w:space="0" w:color="auto"/>
              <w:right w:val="single" w:sz="4" w:space="0" w:color="auto"/>
            </w:tcBorders>
            <w:shd w:val="clear" w:color="000000" w:fill="F2F2F2"/>
            <w:noWrap/>
            <w:vAlign w:val="center"/>
            <w:hideMark/>
          </w:tcPr>
          <w:p w14:paraId="7E2A56B4" w14:textId="77777777" w:rsidR="00D705A6" w:rsidRPr="002E0BB9" w:rsidRDefault="00D705A6" w:rsidP="00D22441">
            <w:pPr>
              <w:jc w:val="righ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$ 754.468</w:t>
            </w:r>
          </w:p>
        </w:tc>
        <w:tc>
          <w:tcPr>
            <w:tcW w:w="1920" w:type="dxa"/>
            <w:tcBorders>
              <w:top w:val="nil"/>
              <w:left w:val="nil"/>
              <w:bottom w:val="single" w:sz="4" w:space="0" w:color="auto"/>
              <w:right w:val="single" w:sz="4" w:space="0" w:color="auto"/>
            </w:tcBorders>
            <w:shd w:val="clear" w:color="000000" w:fill="F2F2F2"/>
            <w:vAlign w:val="center"/>
            <w:hideMark/>
          </w:tcPr>
          <w:p w14:paraId="394D2B4E" w14:textId="77777777" w:rsidR="00D705A6" w:rsidRPr="002E0BB9" w:rsidRDefault="00D705A6" w:rsidP="00D22441">
            <w:pPr>
              <w:jc w:val="left"/>
              <w:rPr>
                <w:rFonts w:ascii="Arial Narrow" w:hAnsi="Arial Narrow" w:cs="Arial"/>
                <w:spacing w:val="0"/>
                <w:sz w:val="16"/>
                <w:szCs w:val="16"/>
                <w:lang w:val="es-MX" w:eastAsia="es-MX"/>
              </w:rPr>
            </w:pPr>
            <w:r w:rsidRPr="002E0BB9">
              <w:rPr>
                <w:rFonts w:ascii="Arial Narrow" w:hAnsi="Arial Narrow" w:cs="Arial"/>
                <w:spacing w:val="0"/>
                <w:sz w:val="16"/>
                <w:szCs w:val="16"/>
                <w:lang w:val="es-MX" w:eastAsia="es-MX"/>
              </w:rPr>
              <w:t>ENERGIA ELECTRICA</w:t>
            </w:r>
          </w:p>
        </w:tc>
      </w:tr>
    </w:tbl>
    <w:p w14:paraId="7F1EA559" w14:textId="77777777" w:rsidR="00A12FF8" w:rsidRDefault="00A12FF8" w:rsidP="00D22441">
      <w:pPr>
        <w:jc w:val="left"/>
        <w:rPr>
          <w:sz w:val="22"/>
          <w:szCs w:val="22"/>
        </w:rPr>
      </w:pPr>
    </w:p>
    <w:p w14:paraId="63AB034B" w14:textId="77777777" w:rsidR="00A12FF8" w:rsidRDefault="00A12FF8" w:rsidP="00D22441">
      <w:pPr>
        <w:jc w:val="left"/>
        <w:rPr>
          <w:sz w:val="22"/>
          <w:szCs w:val="22"/>
        </w:rPr>
      </w:pPr>
    </w:p>
    <w:p w14:paraId="39ABB440" w14:textId="2A8537AA" w:rsidR="0042622B" w:rsidRPr="00767202" w:rsidRDefault="003C6C0C" w:rsidP="00D22441">
      <w:pPr>
        <w:pStyle w:val="Subttulo"/>
        <w:numPr>
          <w:ilvl w:val="1"/>
          <w:numId w:val="37"/>
        </w:numPr>
        <w:spacing w:after="0"/>
        <w:ind w:left="357" w:hanging="357"/>
        <w:jc w:val="left"/>
        <w:rPr>
          <w:b/>
          <w:bCs/>
          <w:sz w:val="22"/>
          <w:szCs w:val="22"/>
        </w:rPr>
      </w:pPr>
      <w:bookmarkStart w:id="103" w:name="_Toc147154340"/>
      <w:r>
        <w:rPr>
          <w:b/>
          <w:bCs/>
          <w:sz w:val="22"/>
          <w:szCs w:val="22"/>
        </w:rPr>
        <w:t xml:space="preserve">CONTRIBUCIÓN ESPECIAL 2023 PRESTADORES </w:t>
      </w:r>
      <w:r w:rsidR="0042622B" w:rsidRPr="00767202">
        <w:rPr>
          <w:b/>
          <w:bCs/>
          <w:sz w:val="22"/>
          <w:szCs w:val="22"/>
        </w:rPr>
        <w:t>SERVICIO DE ENERGÍA.</w:t>
      </w:r>
      <w:bookmarkEnd w:id="103"/>
      <w:r w:rsidR="0042622B" w:rsidRPr="00767202">
        <w:rPr>
          <w:b/>
          <w:bCs/>
          <w:sz w:val="22"/>
          <w:szCs w:val="22"/>
        </w:rPr>
        <w:t xml:space="preserve"> </w:t>
      </w:r>
    </w:p>
    <w:p w14:paraId="11BB8590" w14:textId="77777777" w:rsidR="00A21ED5" w:rsidRDefault="00A21ED5" w:rsidP="00D22441">
      <w:pPr>
        <w:jc w:val="left"/>
        <w:rPr>
          <w:sz w:val="22"/>
          <w:szCs w:val="22"/>
        </w:rPr>
      </w:pPr>
    </w:p>
    <w:p w14:paraId="35CAC546" w14:textId="1024C5F2" w:rsidR="00382869" w:rsidRDefault="00382869" w:rsidP="00D22441">
      <w:pPr>
        <w:jc w:val="left"/>
        <w:rPr>
          <w:sz w:val="22"/>
          <w:szCs w:val="22"/>
        </w:rPr>
      </w:pPr>
      <w:r>
        <w:rPr>
          <w:sz w:val="22"/>
          <w:szCs w:val="22"/>
        </w:rPr>
        <w:lastRenderedPageBreak/>
        <w:t>A continuación, se relaciona</w:t>
      </w:r>
      <w:r w:rsidR="00A21ED5">
        <w:rPr>
          <w:sz w:val="22"/>
          <w:szCs w:val="22"/>
        </w:rPr>
        <w:t>n</w:t>
      </w:r>
      <w:r>
        <w:rPr>
          <w:sz w:val="22"/>
          <w:szCs w:val="22"/>
        </w:rPr>
        <w:t xml:space="preserve"> los 157 regulados prestadores del servicio de energía, </w:t>
      </w:r>
      <w:r w:rsidR="00B07312">
        <w:rPr>
          <w:sz w:val="22"/>
          <w:szCs w:val="22"/>
        </w:rPr>
        <w:t xml:space="preserve">que son </w:t>
      </w:r>
      <w:r>
        <w:rPr>
          <w:sz w:val="22"/>
          <w:szCs w:val="22"/>
        </w:rPr>
        <w:t>sujetos pasivos de la contribución especial 2023 con corte al 12 de julio de 2023, ordenados por su número de NIT:</w:t>
      </w:r>
    </w:p>
    <w:p w14:paraId="63E3515A" w14:textId="77777777" w:rsidR="006578F0" w:rsidRDefault="006578F0" w:rsidP="00D22441">
      <w:pPr>
        <w:jc w:val="left"/>
        <w:rPr>
          <w:sz w:val="22"/>
          <w:szCs w:val="22"/>
        </w:rPr>
      </w:pPr>
    </w:p>
    <w:p w14:paraId="55083172" w14:textId="77777777" w:rsidR="006578F0" w:rsidRDefault="006578F0" w:rsidP="00D22441">
      <w:pPr>
        <w:jc w:val="left"/>
        <w:rPr>
          <w:sz w:val="22"/>
          <w:szCs w:val="22"/>
        </w:rPr>
      </w:pPr>
    </w:p>
    <w:p w14:paraId="2DD69582" w14:textId="5F347473" w:rsidR="006578F0" w:rsidRPr="00622C5C" w:rsidRDefault="006578F0" w:rsidP="006578F0">
      <w:pPr>
        <w:pStyle w:val="Descripcin"/>
        <w:rPr>
          <w:rFonts w:cs="Arial"/>
          <w:sz w:val="22"/>
          <w:szCs w:val="22"/>
        </w:rPr>
      </w:pPr>
      <w:bookmarkStart w:id="104" w:name="_Toc145486450"/>
      <w:r w:rsidRPr="002C4392">
        <w:rPr>
          <w:i w:val="0"/>
          <w:iCs w:val="0"/>
          <w:color w:val="auto"/>
        </w:rPr>
        <w:t xml:space="preserve">Tabla </w:t>
      </w:r>
      <w:r w:rsidRPr="002C4392">
        <w:rPr>
          <w:i w:val="0"/>
          <w:iCs w:val="0"/>
          <w:color w:val="auto"/>
        </w:rPr>
        <w:fldChar w:fldCharType="begin"/>
      </w:r>
      <w:r w:rsidRPr="002C4392">
        <w:rPr>
          <w:i w:val="0"/>
          <w:iCs w:val="0"/>
          <w:color w:val="auto"/>
        </w:rPr>
        <w:instrText xml:space="preserve"> SEQ Tabla \* ARABIC </w:instrText>
      </w:r>
      <w:r w:rsidRPr="002C4392">
        <w:rPr>
          <w:i w:val="0"/>
          <w:iCs w:val="0"/>
          <w:color w:val="auto"/>
        </w:rPr>
        <w:fldChar w:fldCharType="separate"/>
      </w:r>
      <w:r w:rsidR="001C0FB1">
        <w:rPr>
          <w:i w:val="0"/>
          <w:iCs w:val="0"/>
          <w:noProof/>
          <w:color w:val="auto"/>
        </w:rPr>
        <w:t>24</w:t>
      </w:r>
      <w:r w:rsidRPr="002C4392">
        <w:rPr>
          <w:i w:val="0"/>
          <w:iCs w:val="0"/>
          <w:color w:val="auto"/>
        </w:rPr>
        <w:fldChar w:fldCharType="end"/>
      </w:r>
      <w:r w:rsidRPr="002C4392">
        <w:rPr>
          <w:i w:val="0"/>
          <w:iCs w:val="0"/>
          <w:color w:val="auto"/>
        </w:rPr>
        <w:t xml:space="preserve">. </w:t>
      </w:r>
      <w:r>
        <w:rPr>
          <w:i w:val="0"/>
          <w:iCs w:val="0"/>
          <w:color w:val="auto"/>
        </w:rPr>
        <w:t>Consolidado</w:t>
      </w:r>
      <w:r w:rsidR="0040255A">
        <w:rPr>
          <w:i w:val="0"/>
          <w:iCs w:val="0"/>
          <w:color w:val="auto"/>
        </w:rPr>
        <w:t xml:space="preserve"> </w:t>
      </w:r>
      <w:r>
        <w:rPr>
          <w:i w:val="0"/>
          <w:iCs w:val="0"/>
          <w:color w:val="auto"/>
        </w:rPr>
        <w:t xml:space="preserve">regulados </w:t>
      </w:r>
      <w:r w:rsidR="001C0FB1">
        <w:rPr>
          <w:i w:val="0"/>
          <w:iCs w:val="0"/>
          <w:color w:val="auto"/>
        </w:rPr>
        <w:t xml:space="preserve">servicio energía </w:t>
      </w:r>
      <w:r>
        <w:rPr>
          <w:i w:val="0"/>
          <w:iCs w:val="0"/>
          <w:color w:val="auto"/>
        </w:rPr>
        <w:t>contribuyentes contribución especial 2023.</w:t>
      </w:r>
      <w:bookmarkEnd w:id="104"/>
    </w:p>
    <w:tbl>
      <w:tblPr>
        <w:tblW w:w="1355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7"/>
        <w:gridCol w:w="585"/>
        <w:gridCol w:w="941"/>
        <w:gridCol w:w="3533"/>
        <w:gridCol w:w="1520"/>
        <w:gridCol w:w="1360"/>
        <w:gridCol w:w="1520"/>
        <w:gridCol w:w="1200"/>
        <w:gridCol w:w="1200"/>
        <w:gridCol w:w="1289"/>
      </w:tblGrid>
      <w:tr w:rsidR="00382869" w:rsidRPr="00053706" w14:paraId="03BB0FE1" w14:textId="77777777" w:rsidTr="009A29B8">
        <w:trPr>
          <w:trHeight w:val="788"/>
          <w:tblHeader/>
        </w:trPr>
        <w:tc>
          <w:tcPr>
            <w:tcW w:w="407" w:type="dxa"/>
            <w:shd w:val="clear" w:color="000000" w:fill="D9D9D9"/>
            <w:vAlign w:val="center"/>
            <w:hideMark/>
          </w:tcPr>
          <w:p w14:paraId="737543EC" w14:textId="77777777" w:rsidR="00382869" w:rsidRPr="00053706" w:rsidRDefault="00382869" w:rsidP="00D22441">
            <w:pPr>
              <w:jc w:val="center"/>
              <w:rPr>
                <w:rFonts w:ascii="Arial Narrow" w:hAnsi="Arial Narrow" w:cs="Arial"/>
                <w:b/>
                <w:bCs/>
                <w:color w:val="000000"/>
                <w:spacing w:val="0"/>
                <w:sz w:val="16"/>
                <w:szCs w:val="16"/>
                <w:lang w:eastAsia="es-CO"/>
              </w:rPr>
            </w:pPr>
            <w:proofErr w:type="spellStart"/>
            <w:r w:rsidRPr="00053706">
              <w:rPr>
                <w:rFonts w:ascii="Arial Narrow" w:hAnsi="Arial Narrow" w:cs="Arial"/>
                <w:b/>
                <w:bCs/>
                <w:color w:val="000000"/>
                <w:spacing w:val="0"/>
                <w:sz w:val="16"/>
                <w:szCs w:val="16"/>
                <w:lang w:eastAsia="es-CO"/>
              </w:rPr>
              <w:t>N°</w:t>
            </w:r>
            <w:proofErr w:type="spellEnd"/>
          </w:p>
        </w:tc>
        <w:tc>
          <w:tcPr>
            <w:tcW w:w="585" w:type="dxa"/>
            <w:shd w:val="clear" w:color="000000" w:fill="D9D9D9"/>
            <w:vAlign w:val="center"/>
            <w:hideMark/>
          </w:tcPr>
          <w:p w14:paraId="74BBAB1E" w14:textId="77777777" w:rsidR="00382869" w:rsidRPr="00053706" w:rsidRDefault="00382869" w:rsidP="00D22441">
            <w:pPr>
              <w:jc w:val="center"/>
              <w:rPr>
                <w:rFonts w:ascii="Arial Narrow" w:hAnsi="Arial Narrow" w:cs="Arial"/>
                <w:b/>
                <w:bCs/>
                <w:color w:val="000000"/>
                <w:spacing w:val="0"/>
                <w:sz w:val="16"/>
                <w:szCs w:val="16"/>
                <w:lang w:eastAsia="es-CO"/>
              </w:rPr>
            </w:pPr>
            <w:r w:rsidRPr="00053706">
              <w:rPr>
                <w:rFonts w:ascii="Arial Narrow" w:hAnsi="Arial Narrow" w:cs="Arial"/>
                <w:b/>
                <w:bCs/>
                <w:color w:val="000000"/>
                <w:spacing w:val="0"/>
                <w:sz w:val="16"/>
                <w:szCs w:val="16"/>
                <w:lang w:eastAsia="es-CO"/>
              </w:rPr>
              <w:t>RUPS</w:t>
            </w:r>
          </w:p>
        </w:tc>
        <w:tc>
          <w:tcPr>
            <w:tcW w:w="941" w:type="dxa"/>
            <w:shd w:val="clear" w:color="000000" w:fill="D9D9D9"/>
            <w:vAlign w:val="center"/>
            <w:hideMark/>
          </w:tcPr>
          <w:p w14:paraId="5EA09DCD" w14:textId="77777777" w:rsidR="00382869" w:rsidRPr="00053706" w:rsidRDefault="00382869" w:rsidP="00D22441">
            <w:pPr>
              <w:jc w:val="center"/>
              <w:rPr>
                <w:rFonts w:ascii="Arial Narrow" w:hAnsi="Arial Narrow" w:cs="Arial"/>
                <w:b/>
                <w:bCs/>
                <w:color w:val="000000"/>
                <w:spacing w:val="0"/>
                <w:sz w:val="16"/>
                <w:szCs w:val="16"/>
                <w:lang w:eastAsia="es-CO"/>
              </w:rPr>
            </w:pPr>
            <w:r w:rsidRPr="00053706">
              <w:rPr>
                <w:rFonts w:ascii="Arial Narrow" w:hAnsi="Arial Narrow" w:cs="Arial"/>
                <w:b/>
                <w:bCs/>
                <w:color w:val="000000"/>
                <w:spacing w:val="0"/>
                <w:sz w:val="16"/>
                <w:szCs w:val="16"/>
                <w:lang w:eastAsia="es-CO"/>
              </w:rPr>
              <w:t>NIT</w:t>
            </w:r>
          </w:p>
        </w:tc>
        <w:tc>
          <w:tcPr>
            <w:tcW w:w="3533" w:type="dxa"/>
            <w:shd w:val="clear" w:color="000000" w:fill="D9D9D9"/>
            <w:vAlign w:val="center"/>
            <w:hideMark/>
          </w:tcPr>
          <w:p w14:paraId="52D29DB5" w14:textId="77777777" w:rsidR="00382869" w:rsidRPr="00053706" w:rsidRDefault="00382869" w:rsidP="00D22441">
            <w:pPr>
              <w:jc w:val="center"/>
              <w:rPr>
                <w:rFonts w:ascii="Arial Narrow" w:hAnsi="Arial Narrow" w:cs="Arial"/>
                <w:b/>
                <w:bCs/>
                <w:color w:val="000000"/>
                <w:spacing w:val="0"/>
                <w:sz w:val="16"/>
                <w:szCs w:val="16"/>
                <w:lang w:eastAsia="es-CO"/>
              </w:rPr>
            </w:pPr>
            <w:r w:rsidRPr="00053706">
              <w:rPr>
                <w:rFonts w:ascii="Arial Narrow" w:hAnsi="Arial Narrow" w:cs="Arial"/>
                <w:b/>
                <w:bCs/>
                <w:color w:val="000000"/>
                <w:spacing w:val="0"/>
                <w:sz w:val="16"/>
                <w:szCs w:val="16"/>
                <w:lang w:eastAsia="es-CO"/>
              </w:rPr>
              <w:t>Razón social empresa regulada</w:t>
            </w:r>
          </w:p>
        </w:tc>
        <w:tc>
          <w:tcPr>
            <w:tcW w:w="1520" w:type="dxa"/>
            <w:shd w:val="clear" w:color="000000" w:fill="ACB9CA"/>
            <w:vAlign w:val="center"/>
            <w:hideMark/>
          </w:tcPr>
          <w:p w14:paraId="74F91998" w14:textId="77777777" w:rsidR="00382869" w:rsidRPr="00053706" w:rsidRDefault="00382869" w:rsidP="00D22441">
            <w:pPr>
              <w:jc w:val="center"/>
              <w:rPr>
                <w:rFonts w:ascii="Arial Narrow" w:hAnsi="Arial Narrow" w:cs="Arial"/>
                <w:b/>
                <w:bCs/>
                <w:color w:val="000000"/>
                <w:spacing w:val="0"/>
                <w:sz w:val="16"/>
                <w:szCs w:val="16"/>
                <w:lang w:eastAsia="es-CO"/>
              </w:rPr>
            </w:pPr>
            <w:r w:rsidRPr="00053706">
              <w:rPr>
                <w:rFonts w:ascii="Arial Narrow" w:hAnsi="Arial Narrow" w:cs="Arial"/>
                <w:b/>
                <w:bCs/>
                <w:color w:val="000000"/>
                <w:spacing w:val="0"/>
                <w:sz w:val="16"/>
                <w:szCs w:val="16"/>
                <w:lang w:eastAsia="es-CO"/>
              </w:rPr>
              <w:t>Gastos administrativos reportados SUI y depurados</w:t>
            </w:r>
          </w:p>
        </w:tc>
        <w:tc>
          <w:tcPr>
            <w:tcW w:w="1360" w:type="dxa"/>
            <w:shd w:val="clear" w:color="000000" w:fill="ACB9CA"/>
            <w:vAlign w:val="center"/>
            <w:hideMark/>
          </w:tcPr>
          <w:p w14:paraId="1357CB31" w14:textId="77777777" w:rsidR="00382869" w:rsidRPr="00053706" w:rsidRDefault="00382869" w:rsidP="00D22441">
            <w:pPr>
              <w:jc w:val="center"/>
              <w:rPr>
                <w:rFonts w:ascii="Arial Narrow" w:hAnsi="Arial Narrow" w:cs="Arial"/>
                <w:b/>
                <w:bCs/>
                <w:color w:val="000000"/>
                <w:spacing w:val="0"/>
                <w:sz w:val="16"/>
                <w:szCs w:val="16"/>
                <w:lang w:eastAsia="es-CO"/>
              </w:rPr>
            </w:pPr>
            <w:r w:rsidRPr="00053706">
              <w:rPr>
                <w:rFonts w:ascii="Arial Narrow" w:hAnsi="Arial Narrow" w:cs="Arial"/>
                <w:b/>
                <w:bCs/>
                <w:color w:val="000000"/>
                <w:spacing w:val="0"/>
                <w:sz w:val="16"/>
                <w:szCs w:val="16"/>
                <w:lang w:eastAsia="es-CO"/>
              </w:rPr>
              <w:t>Porción de gastos operativos reportados SUI</w:t>
            </w:r>
          </w:p>
        </w:tc>
        <w:tc>
          <w:tcPr>
            <w:tcW w:w="1520" w:type="dxa"/>
            <w:shd w:val="clear" w:color="000000" w:fill="D9D9D9"/>
            <w:vAlign w:val="center"/>
            <w:hideMark/>
          </w:tcPr>
          <w:p w14:paraId="2A1ACABA" w14:textId="77777777" w:rsidR="00382869" w:rsidRPr="00053706" w:rsidRDefault="00382869" w:rsidP="00D22441">
            <w:pPr>
              <w:jc w:val="center"/>
              <w:rPr>
                <w:rFonts w:ascii="Arial Narrow" w:hAnsi="Arial Narrow" w:cs="Arial"/>
                <w:b/>
                <w:bCs/>
                <w:color w:val="000000"/>
                <w:spacing w:val="0"/>
                <w:sz w:val="16"/>
                <w:szCs w:val="16"/>
                <w:lang w:eastAsia="es-CO"/>
              </w:rPr>
            </w:pPr>
            <w:proofErr w:type="gramStart"/>
            <w:r w:rsidRPr="00053706">
              <w:rPr>
                <w:rFonts w:ascii="Arial Narrow" w:hAnsi="Arial Narrow" w:cs="Arial"/>
                <w:b/>
                <w:bCs/>
                <w:color w:val="000000"/>
                <w:spacing w:val="0"/>
                <w:sz w:val="16"/>
                <w:szCs w:val="16"/>
                <w:lang w:eastAsia="es-CO"/>
              </w:rPr>
              <w:t>Total</w:t>
            </w:r>
            <w:proofErr w:type="gramEnd"/>
            <w:r w:rsidRPr="00053706">
              <w:rPr>
                <w:rFonts w:ascii="Arial Narrow" w:hAnsi="Arial Narrow" w:cs="Arial"/>
                <w:b/>
                <w:bCs/>
                <w:color w:val="000000"/>
                <w:spacing w:val="0"/>
                <w:sz w:val="16"/>
                <w:szCs w:val="16"/>
                <w:lang w:eastAsia="es-CO"/>
              </w:rPr>
              <w:t xml:space="preserve"> base gravable reportada</w:t>
            </w:r>
          </w:p>
        </w:tc>
        <w:tc>
          <w:tcPr>
            <w:tcW w:w="1200" w:type="dxa"/>
            <w:shd w:val="clear" w:color="000000" w:fill="D9D9D9"/>
            <w:vAlign w:val="center"/>
            <w:hideMark/>
          </w:tcPr>
          <w:p w14:paraId="60E016B0" w14:textId="77777777" w:rsidR="00382869" w:rsidRPr="00053706" w:rsidRDefault="00382869" w:rsidP="00D22441">
            <w:pPr>
              <w:jc w:val="center"/>
              <w:rPr>
                <w:rFonts w:ascii="Arial Narrow" w:hAnsi="Arial Narrow" w:cs="Arial"/>
                <w:b/>
                <w:bCs/>
                <w:color w:val="000000"/>
                <w:spacing w:val="0"/>
                <w:sz w:val="16"/>
                <w:szCs w:val="16"/>
                <w:lang w:eastAsia="es-CO"/>
              </w:rPr>
            </w:pPr>
            <w:r w:rsidRPr="00053706">
              <w:rPr>
                <w:rFonts w:ascii="Arial Narrow" w:hAnsi="Arial Narrow" w:cs="Arial"/>
                <w:b/>
                <w:bCs/>
                <w:color w:val="000000"/>
                <w:spacing w:val="0"/>
                <w:sz w:val="16"/>
                <w:szCs w:val="16"/>
                <w:lang w:eastAsia="es-CO"/>
              </w:rPr>
              <w:t xml:space="preserve">Valor bruto contribución especial 2023 </w:t>
            </w:r>
          </w:p>
        </w:tc>
        <w:tc>
          <w:tcPr>
            <w:tcW w:w="1200" w:type="dxa"/>
            <w:shd w:val="clear" w:color="000000" w:fill="D9D9D9"/>
            <w:vAlign w:val="center"/>
            <w:hideMark/>
          </w:tcPr>
          <w:p w14:paraId="0FD344F8" w14:textId="77777777" w:rsidR="00382869" w:rsidRPr="00053706" w:rsidRDefault="00382869" w:rsidP="00D22441">
            <w:pPr>
              <w:jc w:val="center"/>
              <w:rPr>
                <w:rFonts w:ascii="Arial Narrow" w:hAnsi="Arial Narrow" w:cs="Arial"/>
                <w:b/>
                <w:bCs/>
                <w:color w:val="000000"/>
                <w:spacing w:val="0"/>
                <w:sz w:val="16"/>
                <w:szCs w:val="16"/>
                <w:lang w:eastAsia="es-CO"/>
              </w:rPr>
            </w:pPr>
            <w:r w:rsidRPr="00053706">
              <w:rPr>
                <w:rFonts w:ascii="Arial Narrow" w:hAnsi="Arial Narrow" w:cs="Arial"/>
                <w:b/>
                <w:bCs/>
                <w:color w:val="000000"/>
                <w:spacing w:val="0"/>
                <w:sz w:val="16"/>
                <w:szCs w:val="16"/>
                <w:lang w:eastAsia="es-CO"/>
              </w:rPr>
              <w:t xml:space="preserve">Cuantía </w:t>
            </w:r>
            <w:proofErr w:type="spellStart"/>
            <w:r w:rsidRPr="00053706">
              <w:rPr>
                <w:rFonts w:ascii="Arial Narrow" w:hAnsi="Arial Narrow" w:cs="Arial"/>
                <w:b/>
                <w:bCs/>
                <w:color w:val="000000"/>
                <w:spacing w:val="0"/>
                <w:sz w:val="16"/>
                <w:szCs w:val="16"/>
                <w:lang w:eastAsia="es-CO"/>
              </w:rPr>
              <w:t>minima</w:t>
            </w:r>
            <w:proofErr w:type="spellEnd"/>
            <w:r w:rsidRPr="00053706">
              <w:rPr>
                <w:rFonts w:ascii="Arial Narrow" w:hAnsi="Arial Narrow" w:cs="Arial"/>
                <w:b/>
                <w:bCs/>
                <w:color w:val="000000"/>
                <w:spacing w:val="0"/>
                <w:sz w:val="16"/>
                <w:szCs w:val="16"/>
                <w:lang w:eastAsia="es-CO"/>
              </w:rPr>
              <w:t xml:space="preserve"> proporcional 2023</w:t>
            </w:r>
          </w:p>
        </w:tc>
        <w:tc>
          <w:tcPr>
            <w:tcW w:w="1289" w:type="dxa"/>
            <w:shd w:val="clear" w:color="000000" w:fill="D9D9D9"/>
            <w:vAlign w:val="center"/>
            <w:hideMark/>
          </w:tcPr>
          <w:p w14:paraId="37098834" w14:textId="77777777" w:rsidR="00382869" w:rsidRPr="00053706" w:rsidRDefault="00382869" w:rsidP="00D22441">
            <w:pPr>
              <w:jc w:val="center"/>
              <w:rPr>
                <w:rFonts w:ascii="Arial Narrow" w:hAnsi="Arial Narrow" w:cs="Arial"/>
                <w:b/>
                <w:bCs/>
                <w:color w:val="000000"/>
                <w:spacing w:val="0"/>
                <w:sz w:val="16"/>
                <w:szCs w:val="16"/>
                <w:lang w:eastAsia="es-CO"/>
              </w:rPr>
            </w:pPr>
            <w:r w:rsidRPr="00053706">
              <w:rPr>
                <w:rFonts w:ascii="Arial Narrow" w:hAnsi="Arial Narrow" w:cs="Arial"/>
                <w:b/>
                <w:bCs/>
                <w:color w:val="000000"/>
                <w:spacing w:val="0"/>
                <w:sz w:val="16"/>
                <w:szCs w:val="16"/>
                <w:lang w:eastAsia="es-CO"/>
              </w:rPr>
              <w:t>Valor neto de la contribución especial 2023 a pagar</w:t>
            </w:r>
          </w:p>
        </w:tc>
      </w:tr>
      <w:tr w:rsidR="00382869" w:rsidRPr="00053706" w14:paraId="0E47260B" w14:textId="77777777" w:rsidTr="00053706">
        <w:trPr>
          <w:trHeight w:val="287"/>
        </w:trPr>
        <w:tc>
          <w:tcPr>
            <w:tcW w:w="407" w:type="dxa"/>
            <w:shd w:val="clear" w:color="000000" w:fill="F2F2F2"/>
            <w:noWrap/>
            <w:vAlign w:val="center"/>
            <w:hideMark/>
          </w:tcPr>
          <w:p w14:paraId="3A5CEE2D" w14:textId="77777777" w:rsidR="00382869" w:rsidRPr="00053706" w:rsidRDefault="00382869" w:rsidP="00D22441">
            <w:pPr>
              <w:jc w:val="center"/>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1</w:t>
            </w:r>
          </w:p>
        </w:tc>
        <w:tc>
          <w:tcPr>
            <w:tcW w:w="585" w:type="dxa"/>
            <w:shd w:val="clear" w:color="000000" w:fill="F2F2F2"/>
            <w:noWrap/>
            <w:vAlign w:val="center"/>
            <w:hideMark/>
          </w:tcPr>
          <w:p w14:paraId="1A29FA1C"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523</w:t>
            </w:r>
          </w:p>
        </w:tc>
        <w:tc>
          <w:tcPr>
            <w:tcW w:w="941" w:type="dxa"/>
            <w:shd w:val="clear" w:color="000000" w:fill="F2F2F2"/>
            <w:noWrap/>
            <w:vAlign w:val="center"/>
            <w:hideMark/>
          </w:tcPr>
          <w:p w14:paraId="576CBBC4"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800052640</w:t>
            </w:r>
          </w:p>
        </w:tc>
        <w:tc>
          <w:tcPr>
            <w:tcW w:w="3533" w:type="dxa"/>
            <w:shd w:val="clear" w:color="000000" w:fill="F2F2F2"/>
            <w:vAlign w:val="center"/>
            <w:hideMark/>
          </w:tcPr>
          <w:p w14:paraId="016C45DE" w14:textId="61FF9976" w:rsidR="00382869" w:rsidRPr="00053706" w:rsidRDefault="00382869" w:rsidP="00D22441">
            <w:pPr>
              <w:jc w:val="lef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EMPRESA DE ENERGIA DEL QUINDIO S.A.E.S.P.</w:t>
            </w:r>
          </w:p>
        </w:tc>
        <w:tc>
          <w:tcPr>
            <w:tcW w:w="1520" w:type="dxa"/>
            <w:shd w:val="clear" w:color="000000" w:fill="F2F2F2"/>
            <w:noWrap/>
            <w:vAlign w:val="center"/>
            <w:hideMark/>
          </w:tcPr>
          <w:p w14:paraId="31C10C33"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$ 23.000.048.000</w:t>
            </w:r>
          </w:p>
        </w:tc>
        <w:tc>
          <w:tcPr>
            <w:tcW w:w="1360" w:type="dxa"/>
            <w:shd w:val="clear" w:color="000000" w:fill="F2F2F2"/>
            <w:noWrap/>
            <w:vAlign w:val="center"/>
            <w:hideMark/>
          </w:tcPr>
          <w:p w14:paraId="55FDBCFF"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$ 1.274.098.886</w:t>
            </w:r>
          </w:p>
        </w:tc>
        <w:tc>
          <w:tcPr>
            <w:tcW w:w="1520" w:type="dxa"/>
            <w:shd w:val="clear" w:color="000000" w:fill="F2F2F2"/>
            <w:noWrap/>
            <w:vAlign w:val="center"/>
            <w:hideMark/>
          </w:tcPr>
          <w:p w14:paraId="02485806"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$ 24.274.146.886</w:t>
            </w:r>
          </w:p>
        </w:tc>
        <w:tc>
          <w:tcPr>
            <w:tcW w:w="1200" w:type="dxa"/>
            <w:shd w:val="clear" w:color="000000" w:fill="F2F2F2"/>
            <w:noWrap/>
            <w:vAlign w:val="center"/>
            <w:hideMark/>
          </w:tcPr>
          <w:p w14:paraId="2C657DA7"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$ 242.741.469</w:t>
            </w:r>
          </w:p>
        </w:tc>
        <w:tc>
          <w:tcPr>
            <w:tcW w:w="1200" w:type="dxa"/>
            <w:shd w:val="clear" w:color="000000" w:fill="F2F2F2"/>
            <w:noWrap/>
            <w:vAlign w:val="center"/>
            <w:hideMark/>
          </w:tcPr>
          <w:p w14:paraId="4C922E3C"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$ 10.102</w:t>
            </w:r>
          </w:p>
        </w:tc>
        <w:tc>
          <w:tcPr>
            <w:tcW w:w="1289" w:type="dxa"/>
            <w:shd w:val="clear" w:color="000000" w:fill="F2F2F2"/>
            <w:noWrap/>
            <w:vAlign w:val="center"/>
            <w:hideMark/>
          </w:tcPr>
          <w:p w14:paraId="1F0497FA"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$ 242.751.571</w:t>
            </w:r>
          </w:p>
        </w:tc>
      </w:tr>
      <w:tr w:rsidR="00382869" w:rsidRPr="00053706" w14:paraId="61E26ADA" w14:textId="77777777" w:rsidTr="00053706">
        <w:trPr>
          <w:trHeight w:val="804"/>
        </w:trPr>
        <w:tc>
          <w:tcPr>
            <w:tcW w:w="407" w:type="dxa"/>
            <w:shd w:val="clear" w:color="000000" w:fill="F2F2F2"/>
            <w:noWrap/>
            <w:vAlign w:val="center"/>
            <w:hideMark/>
          </w:tcPr>
          <w:p w14:paraId="5A8B2DC4" w14:textId="77777777" w:rsidR="00382869" w:rsidRPr="00053706" w:rsidRDefault="00382869" w:rsidP="00D22441">
            <w:pPr>
              <w:jc w:val="center"/>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2</w:t>
            </w:r>
          </w:p>
        </w:tc>
        <w:tc>
          <w:tcPr>
            <w:tcW w:w="585" w:type="dxa"/>
            <w:shd w:val="clear" w:color="000000" w:fill="F2F2F2"/>
            <w:noWrap/>
            <w:vAlign w:val="center"/>
            <w:hideMark/>
          </w:tcPr>
          <w:p w14:paraId="286793C4"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497</w:t>
            </w:r>
          </w:p>
        </w:tc>
        <w:tc>
          <w:tcPr>
            <w:tcW w:w="941" w:type="dxa"/>
            <w:shd w:val="clear" w:color="000000" w:fill="F2F2F2"/>
            <w:noWrap/>
            <w:vAlign w:val="center"/>
            <w:hideMark/>
          </w:tcPr>
          <w:p w14:paraId="289C9EB2"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800149537</w:t>
            </w:r>
          </w:p>
        </w:tc>
        <w:tc>
          <w:tcPr>
            <w:tcW w:w="3533" w:type="dxa"/>
            <w:shd w:val="clear" w:color="000000" w:fill="F2F2F2"/>
            <w:vAlign w:val="center"/>
            <w:hideMark/>
          </w:tcPr>
          <w:p w14:paraId="1B80DA00" w14:textId="77777777" w:rsidR="00382869" w:rsidRPr="00053706" w:rsidRDefault="00382869" w:rsidP="00D22441">
            <w:pPr>
              <w:jc w:val="lef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PROMOTORA DE ENERGIA ELECTRICA DE CARTAGENA Y COMPANIA SOCIEDAD EN COMANDITA POR ACCIONES-EMPRESA DE SERVICIOS PUBLICOS</w:t>
            </w:r>
          </w:p>
        </w:tc>
        <w:tc>
          <w:tcPr>
            <w:tcW w:w="1520" w:type="dxa"/>
            <w:shd w:val="clear" w:color="000000" w:fill="F2F2F2"/>
            <w:noWrap/>
            <w:vAlign w:val="center"/>
            <w:hideMark/>
          </w:tcPr>
          <w:p w14:paraId="3937E27B"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$ 5.190.252.000</w:t>
            </w:r>
          </w:p>
        </w:tc>
        <w:tc>
          <w:tcPr>
            <w:tcW w:w="1360" w:type="dxa"/>
            <w:shd w:val="clear" w:color="000000" w:fill="F2F2F2"/>
            <w:noWrap/>
            <w:vAlign w:val="center"/>
            <w:hideMark/>
          </w:tcPr>
          <w:p w14:paraId="2FF8502B"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$ 840.588.830</w:t>
            </w:r>
          </w:p>
        </w:tc>
        <w:tc>
          <w:tcPr>
            <w:tcW w:w="1520" w:type="dxa"/>
            <w:shd w:val="clear" w:color="000000" w:fill="F2F2F2"/>
            <w:noWrap/>
            <w:vAlign w:val="center"/>
            <w:hideMark/>
          </w:tcPr>
          <w:p w14:paraId="64284009"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$ 6.030.840.830</w:t>
            </w:r>
          </w:p>
        </w:tc>
        <w:tc>
          <w:tcPr>
            <w:tcW w:w="1200" w:type="dxa"/>
            <w:shd w:val="clear" w:color="000000" w:fill="F2F2F2"/>
            <w:noWrap/>
            <w:vAlign w:val="center"/>
            <w:hideMark/>
          </w:tcPr>
          <w:p w14:paraId="772D7EDF"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$ 60.308.408</w:t>
            </w:r>
          </w:p>
        </w:tc>
        <w:tc>
          <w:tcPr>
            <w:tcW w:w="1200" w:type="dxa"/>
            <w:shd w:val="clear" w:color="000000" w:fill="F2F2F2"/>
            <w:noWrap/>
            <w:vAlign w:val="center"/>
            <w:hideMark/>
          </w:tcPr>
          <w:p w14:paraId="2769168B"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$ 2.510</w:t>
            </w:r>
          </w:p>
        </w:tc>
        <w:tc>
          <w:tcPr>
            <w:tcW w:w="1289" w:type="dxa"/>
            <w:shd w:val="clear" w:color="000000" w:fill="F2F2F2"/>
            <w:noWrap/>
            <w:vAlign w:val="center"/>
            <w:hideMark/>
          </w:tcPr>
          <w:p w14:paraId="05928AC5"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$ 60.310.918</w:t>
            </w:r>
          </w:p>
        </w:tc>
      </w:tr>
      <w:tr w:rsidR="00382869" w:rsidRPr="00053706" w14:paraId="796A292A" w14:textId="77777777" w:rsidTr="009A29B8">
        <w:trPr>
          <w:trHeight w:val="349"/>
        </w:trPr>
        <w:tc>
          <w:tcPr>
            <w:tcW w:w="407" w:type="dxa"/>
            <w:shd w:val="clear" w:color="000000" w:fill="F2F2F2"/>
            <w:noWrap/>
            <w:vAlign w:val="center"/>
            <w:hideMark/>
          </w:tcPr>
          <w:p w14:paraId="462A0B61" w14:textId="77777777" w:rsidR="00382869" w:rsidRPr="00053706" w:rsidRDefault="00382869" w:rsidP="00D22441">
            <w:pPr>
              <w:jc w:val="center"/>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3</w:t>
            </w:r>
          </w:p>
        </w:tc>
        <w:tc>
          <w:tcPr>
            <w:tcW w:w="585" w:type="dxa"/>
            <w:shd w:val="clear" w:color="000000" w:fill="F2F2F2"/>
            <w:noWrap/>
            <w:vAlign w:val="center"/>
            <w:hideMark/>
          </w:tcPr>
          <w:p w14:paraId="56036E70"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2128</w:t>
            </w:r>
          </w:p>
        </w:tc>
        <w:tc>
          <w:tcPr>
            <w:tcW w:w="941" w:type="dxa"/>
            <w:shd w:val="clear" w:color="000000" w:fill="F2F2F2"/>
            <w:noWrap/>
            <w:vAlign w:val="center"/>
            <w:hideMark/>
          </w:tcPr>
          <w:p w14:paraId="5CB0B599"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800175746</w:t>
            </w:r>
          </w:p>
        </w:tc>
        <w:tc>
          <w:tcPr>
            <w:tcW w:w="3533" w:type="dxa"/>
            <w:shd w:val="clear" w:color="000000" w:fill="F2F2F2"/>
            <w:vAlign w:val="center"/>
            <w:hideMark/>
          </w:tcPr>
          <w:p w14:paraId="0233928A" w14:textId="77777777" w:rsidR="00382869" w:rsidRPr="00053706" w:rsidRDefault="00382869" w:rsidP="00D22441">
            <w:pPr>
              <w:jc w:val="lef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EMPRESA URRA S.A. E.S.P.</w:t>
            </w:r>
          </w:p>
        </w:tc>
        <w:tc>
          <w:tcPr>
            <w:tcW w:w="1520" w:type="dxa"/>
            <w:shd w:val="clear" w:color="000000" w:fill="F2F2F2"/>
            <w:noWrap/>
            <w:vAlign w:val="center"/>
            <w:hideMark/>
          </w:tcPr>
          <w:p w14:paraId="0F897773"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$ 14.249.352.000</w:t>
            </w:r>
          </w:p>
        </w:tc>
        <w:tc>
          <w:tcPr>
            <w:tcW w:w="1360" w:type="dxa"/>
            <w:shd w:val="clear" w:color="000000" w:fill="F2F2F2"/>
            <w:noWrap/>
            <w:vAlign w:val="center"/>
            <w:hideMark/>
          </w:tcPr>
          <w:p w14:paraId="27B83CEA"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$ 150.383.511</w:t>
            </w:r>
          </w:p>
        </w:tc>
        <w:tc>
          <w:tcPr>
            <w:tcW w:w="1520" w:type="dxa"/>
            <w:shd w:val="clear" w:color="000000" w:fill="F2F2F2"/>
            <w:noWrap/>
            <w:vAlign w:val="center"/>
            <w:hideMark/>
          </w:tcPr>
          <w:p w14:paraId="6205A816"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$ 14.399.735.511</w:t>
            </w:r>
          </w:p>
        </w:tc>
        <w:tc>
          <w:tcPr>
            <w:tcW w:w="1200" w:type="dxa"/>
            <w:shd w:val="clear" w:color="000000" w:fill="F2F2F2"/>
            <w:noWrap/>
            <w:vAlign w:val="center"/>
            <w:hideMark/>
          </w:tcPr>
          <w:p w14:paraId="0E0E2DFC"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$ 143.997.355</w:t>
            </w:r>
          </w:p>
        </w:tc>
        <w:tc>
          <w:tcPr>
            <w:tcW w:w="1200" w:type="dxa"/>
            <w:shd w:val="clear" w:color="000000" w:fill="F2F2F2"/>
            <w:noWrap/>
            <w:vAlign w:val="center"/>
            <w:hideMark/>
          </w:tcPr>
          <w:p w14:paraId="5106D5CB"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$ 5.993</w:t>
            </w:r>
          </w:p>
        </w:tc>
        <w:tc>
          <w:tcPr>
            <w:tcW w:w="1289" w:type="dxa"/>
            <w:shd w:val="clear" w:color="000000" w:fill="F2F2F2"/>
            <w:noWrap/>
            <w:vAlign w:val="center"/>
            <w:hideMark/>
          </w:tcPr>
          <w:p w14:paraId="0E449DE6"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$ 144.003.348</w:t>
            </w:r>
          </w:p>
        </w:tc>
      </w:tr>
      <w:tr w:rsidR="00382869" w:rsidRPr="00053706" w14:paraId="132016B0" w14:textId="77777777" w:rsidTr="009A29B8">
        <w:trPr>
          <w:trHeight w:val="113"/>
        </w:trPr>
        <w:tc>
          <w:tcPr>
            <w:tcW w:w="407" w:type="dxa"/>
            <w:shd w:val="clear" w:color="000000" w:fill="F2F2F2"/>
            <w:noWrap/>
            <w:vAlign w:val="center"/>
            <w:hideMark/>
          </w:tcPr>
          <w:p w14:paraId="78BA1B54" w14:textId="77777777" w:rsidR="00382869" w:rsidRPr="00053706" w:rsidRDefault="00382869" w:rsidP="00D22441">
            <w:pPr>
              <w:jc w:val="center"/>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4</w:t>
            </w:r>
          </w:p>
        </w:tc>
        <w:tc>
          <w:tcPr>
            <w:tcW w:w="585" w:type="dxa"/>
            <w:shd w:val="clear" w:color="000000" w:fill="F2F2F2"/>
            <w:noWrap/>
            <w:vAlign w:val="center"/>
            <w:hideMark/>
          </w:tcPr>
          <w:p w14:paraId="16B75516"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1757</w:t>
            </w:r>
          </w:p>
        </w:tc>
        <w:tc>
          <w:tcPr>
            <w:tcW w:w="941" w:type="dxa"/>
            <w:shd w:val="clear" w:color="000000" w:fill="F2F2F2"/>
            <w:noWrap/>
            <w:vAlign w:val="center"/>
            <w:hideMark/>
          </w:tcPr>
          <w:p w14:paraId="1247F24E"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800194208</w:t>
            </w:r>
          </w:p>
        </w:tc>
        <w:tc>
          <w:tcPr>
            <w:tcW w:w="3533" w:type="dxa"/>
            <w:shd w:val="clear" w:color="000000" w:fill="F2F2F2"/>
            <w:vAlign w:val="center"/>
            <w:hideMark/>
          </w:tcPr>
          <w:p w14:paraId="6D274E7C" w14:textId="534D3D39" w:rsidR="00382869" w:rsidRPr="00053706" w:rsidRDefault="00382869" w:rsidP="00D22441">
            <w:pPr>
              <w:jc w:val="lef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GESTION ENERGETICA S.A. ESP</w:t>
            </w:r>
            <w:r w:rsidR="002F158E" w:rsidRPr="00053706">
              <w:rPr>
                <w:rFonts w:ascii="Arial Narrow" w:hAnsi="Arial Narrow" w:cs="Arial"/>
                <w:color w:val="000000"/>
                <w:spacing w:val="0"/>
                <w:sz w:val="16"/>
                <w:szCs w:val="16"/>
                <w:lang w:eastAsia="es-CO"/>
              </w:rPr>
              <w:t>.</w:t>
            </w:r>
          </w:p>
        </w:tc>
        <w:tc>
          <w:tcPr>
            <w:tcW w:w="1520" w:type="dxa"/>
            <w:shd w:val="clear" w:color="000000" w:fill="F2F2F2"/>
            <w:noWrap/>
            <w:vAlign w:val="center"/>
            <w:hideMark/>
          </w:tcPr>
          <w:p w14:paraId="17FAD513"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$ 18.025.902.000</w:t>
            </w:r>
          </w:p>
        </w:tc>
        <w:tc>
          <w:tcPr>
            <w:tcW w:w="1360" w:type="dxa"/>
            <w:shd w:val="clear" w:color="000000" w:fill="F2F2F2"/>
            <w:noWrap/>
            <w:vAlign w:val="center"/>
            <w:hideMark/>
          </w:tcPr>
          <w:p w14:paraId="0CCCEE48"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$ 4.011.717.674</w:t>
            </w:r>
          </w:p>
        </w:tc>
        <w:tc>
          <w:tcPr>
            <w:tcW w:w="1520" w:type="dxa"/>
            <w:shd w:val="clear" w:color="000000" w:fill="F2F2F2"/>
            <w:noWrap/>
            <w:vAlign w:val="center"/>
            <w:hideMark/>
          </w:tcPr>
          <w:p w14:paraId="2CDDF25C"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$ 22.037.619.674</w:t>
            </w:r>
          </w:p>
        </w:tc>
        <w:tc>
          <w:tcPr>
            <w:tcW w:w="1200" w:type="dxa"/>
            <w:shd w:val="clear" w:color="000000" w:fill="F2F2F2"/>
            <w:noWrap/>
            <w:vAlign w:val="center"/>
            <w:hideMark/>
          </w:tcPr>
          <w:p w14:paraId="59A781B8"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$ 220.376.197</w:t>
            </w:r>
          </w:p>
        </w:tc>
        <w:tc>
          <w:tcPr>
            <w:tcW w:w="1200" w:type="dxa"/>
            <w:shd w:val="clear" w:color="000000" w:fill="F2F2F2"/>
            <w:noWrap/>
            <w:vAlign w:val="center"/>
            <w:hideMark/>
          </w:tcPr>
          <w:p w14:paraId="0A2868EE"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$ 9.171</w:t>
            </w:r>
          </w:p>
        </w:tc>
        <w:tc>
          <w:tcPr>
            <w:tcW w:w="1289" w:type="dxa"/>
            <w:shd w:val="clear" w:color="000000" w:fill="F2F2F2"/>
            <w:noWrap/>
            <w:vAlign w:val="center"/>
            <w:hideMark/>
          </w:tcPr>
          <w:p w14:paraId="4B4E3A51"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$ 220.385.368</w:t>
            </w:r>
          </w:p>
        </w:tc>
      </w:tr>
      <w:tr w:rsidR="00382869" w:rsidRPr="00053706" w14:paraId="4244E676" w14:textId="77777777" w:rsidTr="00053706">
        <w:trPr>
          <w:trHeight w:val="325"/>
        </w:trPr>
        <w:tc>
          <w:tcPr>
            <w:tcW w:w="407" w:type="dxa"/>
            <w:shd w:val="clear" w:color="000000" w:fill="F2F2F2"/>
            <w:noWrap/>
            <w:vAlign w:val="center"/>
            <w:hideMark/>
          </w:tcPr>
          <w:p w14:paraId="51130892" w14:textId="77777777" w:rsidR="00382869" w:rsidRPr="00053706" w:rsidRDefault="00382869" w:rsidP="00D22441">
            <w:pPr>
              <w:jc w:val="center"/>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5</w:t>
            </w:r>
          </w:p>
        </w:tc>
        <w:tc>
          <w:tcPr>
            <w:tcW w:w="585" w:type="dxa"/>
            <w:shd w:val="clear" w:color="000000" w:fill="F2F2F2"/>
            <w:noWrap/>
            <w:vAlign w:val="center"/>
            <w:hideMark/>
          </w:tcPr>
          <w:p w14:paraId="623CB070"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1058</w:t>
            </w:r>
          </w:p>
        </w:tc>
        <w:tc>
          <w:tcPr>
            <w:tcW w:w="941" w:type="dxa"/>
            <w:shd w:val="clear" w:color="000000" w:fill="F2F2F2"/>
            <w:noWrap/>
            <w:vAlign w:val="center"/>
            <w:hideMark/>
          </w:tcPr>
          <w:p w14:paraId="4D49AC00"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800219925</w:t>
            </w:r>
          </w:p>
        </w:tc>
        <w:tc>
          <w:tcPr>
            <w:tcW w:w="3533" w:type="dxa"/>
            <w:shd w:val="clear" w:color="000000" w:fill="F2F2F2"/>
            <w:vAlign w:val="center"/>
            <w:hideMark/>
          </w:tcPr>
          <w:p w14:paraId="1E586ABF" w14:textId="77777777" w:rsidR="00382869" w:rsidRPr="00053706" w:rsidRDefault="00382869" w:rsidP="00D22441">
            <w:pPr>
              <w:jc w:val="lef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COMPAÑIA ELECTRICA DE SOCHAGOTA S.A. E.S.P.</w:t>
            </w:r>
          </w:p>
        </w:tc>
        <w:tc>
          <w:tcPr>
            <w:tcW w:w="1520" w:type="dxa"/>
            <w:shd w:val="clear" w:color="000000" w:fill="F2F2F2"/>
            <w:noWrap/>
            <w:vAlign w:val="center"/>
            <w:hideMark/>
          </w:tcPr>
          <w:p w14:paraId="4103E6B2"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$ 5.433.656.000</w:t>
            </w:r>
          </w:p>
        </w:tc>
        <w:tc>
          <w:tcPr>
            <w:tcW w:w="1360" w:type="dxa"/>
            <w:shd w:val="clear" w:color="000000" w:fill="F2F2F2"/>
            <w:noWrap/>
            <w:vAlign w:val="center"/>
            <w:hideMark/>
          </w:tcPr>
          <w:p w14:paraId="4DB6152D"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$ 191.850.778</w:t>
            </w:r>
          </w:p>
        </w:tc>
        <w:tc>
          <w:tcPr>
            <w:tcW w:w="1520" w:type="dxa"/>
            <w:shd w:val="clear" w:color="000000" w:fill="F2F2F2"/>
            <w:noWrap/>
            <w:vAlign w:val="center"/>
            <w:hideMark/>
          </w:tcPr>
          <w:p w14:paraId="5D57495F"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$ 5.625.506.778</w:t>
            </w:r>
          </w:p>
        </w:tc>
        <w:tc>
          <w:tcPr>
            <w:tcW w:w="1200" w:type="dxa"/>
            <w:shd w:val="clear" w:color="000000" w:fill="F2F2F2"/>
            <w:noWrap/>
            <w:vAlign w:val="center"/>
            <w:hideMark/>
          </w:tcPr>
          <w:p w14:paraId="78A69C2C"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$ 56.255.068</w:t>
            </w:r>
          </w:p>
        </w:tc>
        <w:tc>
          <w:tcPr>
            <w:tcW w:w="1200" w:type="dxa"/>
            <w:shd w:val="clear" w:color="000000" w:fill="F2F2F2"/>
            <w:noWrap/>
            <w:vAlign w:val="center"/>
            <w:hideMark/>
          </w:tcPr>
          <w:p w14:paraId="2AC23BF2"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$ 2.341</w:t>
            </w:r>
          </w:p>
        </w:tc>
        <w:tc>
          <w:tcPr>
            <w:tcW w:w="1289" w:type="dxa"/>
            <w:shd w:val="clear" w:color="000000" w:fill="F2F2F2"/>
            <w:noWrap/>
            <w:vAlign w:val="center"/>
            <w:hideMark/>
          </w:tcPr>
          <w:p w14:paraId="78828568"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$ 56.257.409</w:t>
            </w:r>
          </w:p>
        </w:tc>
      </w:tr>
      <w:tr w:rsidR="00382869" w:rsidRPr="00053706" w14:paraId="64D1B9C7" w14:textId="77777777" w:rsidTr="009A29B8">
        <w:trPr>
          <w:trHeight w:val="313"/>
        </w:trPr>
        <w:tc>
          <w:tcPr>
            <w:tcW w:w="407" w:type="dxa"/>
            <w:shd w:val="clear" w:color="000000" w:fill="F2F2F2"/>
            <w:noWrap/>
            <w:vAlign w:val="center"/>
            <w:hideMark/>
          </w:tcPr>
          <w:p w14:paraId="684A041F" w14:textId="77777777" w:rsidR="00382869" w:rsidRPr="00053706" w:rsidRDefault="00382869" w:rsidP="00D22441">
            <w:pPr>
              <w:jc w:val="center"/>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6</w:t>
            </w:r>
          </w:p>
        </w:tc>
        <w:tc>
          <w:tcPr>
            <w:tcW w:w="585" w:type="dxa"/>
            <w:shd w:val="clear" w:color="000000" w:fill="F2F2F2"/>
            <w:noWrap/>
            <w:vAlign w:val="center"/>
            <w:hideMark/>
          </w:tcPr>
          <w:p w14:paraId="7A8D0F7F"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2247</w:t>
            </w:r>
          </w:p>
        </w:tc>
        <w:tc>
          <w:tcPr>
            <w:tcW w:w="941" w:type="dxa"/>
            <w:shd w:val="clear" w:color="000000" w:fill="F2F2F2"/>
            <w:noWrap/>
            <w:vAlign w:val="center"/>
            <w:hideMark/>
          </w:tcPr>
          <w:p w14:paraId="10986D1B"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802007669</w:t>
            </w:r>
          </w:p>
        </w:tc>
        <w:tc>
          <w:tcPr>
            <w:tcW w:w="3533" w:type="dxa"/>
            <w:shd w:val="clear" w:color="000000" w:fill="F2F2F2"/>
            <w:vAlign w:val="center"/>
            <w:hideMark/>
          </w:tcPr>
          <w:p w14:paraId="429E62ED" w14:textId="77777777" w:rsidR="00382869" w:rsidRPr="00053706" w:rsidRDefault="00382869" w:rsidP="00D22441">
            <w:pPr>
              <w:jc w:val="lef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TRANSELCA S.A. E.S.P.</w:t>
            </w:r>
          </w:p>
        </w:tc>
        <w:tc>
          <w:tcPr>
            <w:tcW w:w="1520" w:type="dxa"/>
            <w:shd w:val="clear" w:color="000000" w:fill="F2F2F2"/>
            <w:noWrap/>
            <w:vAlign w:val="center"/>
            <w:hideMark/>
          </w:tcPr>
          <w:p w14:paraId="5145E7D4"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$ 36.188.612.000</w:t>
            </w:r>
          </w:p>
        </w:tc>
        <w:tc>
          <w:tcPr>
            <w:tcW w:w="1360" w:type="dxa"/>
            <w:shd w:val="clear" w:color="000000" w:fill="F2F2F2"/>
            <w:noWrap/>
            <w:vAlign w:val="center"/>
            <w:hideMark/>
          </w:tcPr>
          <w:p w14:paraId="01DB7FAB"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$ 0</w:t>
            </w:r>
          </w:p>
        </w:tc>
        <w:tc>
          <w:tcPr>
            <w:tcW w:w="1520" w:type="dxa"/>
            <w:shd w:val="clear" w:color="000000" w:fill="F2F2F2"/>
            <w:noWrap/>
            <w:vAlign w:val="center"/>
            <w:hideMark/>
          </w:tcPr>
          <w:p w14:paraId="5CBD79D1"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$ 36.188.612.000</w:t>
            </w:r>
          </w:p>
        </w:tc>
        <w:tc>
          <w:tcPr>
            <w:tcW w:w="1200" w:type="dxa"/>
            <w:shd w:val="clear" w:color="000000" w:fill="F2F2F2"/>
            <w:noWrap/>
            <w:vAlign w:val="center"/>
            <w:hideMark/>
          </w:tcPr>
          <w:p w14:paraId="6BF737B1"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$ 361.886.120</w:t>
            </w:r>
          </w:p>
        </w:tc>
        <w:tc>
          <w:tcPr>
            <w:tcW w:w="1200" w:type="dxa"/>
            <w:shd w:val="clear" w:color="000000" w:fill="F2F2F2"/>
            <w:noWrap/>
            <w:vAlign w:val="center"/>
            <w:hideMark/>
          </w:tcPr>
          <w:p w14:paraId="0620804F"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$ 15.060</w:t>
            </w:r>
          </w:p>
        </w:tc>
        <w:tc>
          <w:tcPr>
            <w:tcW w:w="1289" w:type="dxa"/>
            <w:shd w:val="clear" w:color="000000" w:fill="F2F2F2"/>
            <w:noWrap/>
            <w:vAlign w:val="center"/>
            <w:hideMark/>
          </w:tcPr>
          <w:p w14:paraId="27E705AE"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$ 361.901.180</w:t>
            </w:r>
          </w:p>
        </w:tc>
      </w:tr>
      <w:tr w:rsidR="00382869" w:rsidRPr="00053706" w14:paraId="2CBA1726" w14:textId="77777777" w:rsidTr="009A29B8">
        <w:trPr>
          <w:trHeight w:val="249"/>
        </w:trPr>
        <w:tc>
          <w:tcPr>
            <w:tcW w:w="407" w:type="dxa"/>
            <w:shd w:val="clear" w:color="000000" w:fill="F2F2F2"/>
            <w:noWrap/>
            <w:vAlign w:val="center"/>
            <w:hideMark/>
          </w:tcPr>
          <w:p w14:paraId="5CD0F1C4" w14:textId="77777777" w:rsidR="00382869" w:rsidRPr="00053706" w:rsidRDefault="00382869" w:rsidP="00D22441">
            <w:pPr>
              <w:jc w:val="center"/>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7</w:t>
            </w:r>
          </w:p>
        </w:tc>
        <w:tc>
          <w:tcPr>
            <w:tcW w:w="585" w:type="dxa"/>
            <w:shd w:val="clear" w:color="000000" w:fill="F2F2F2"/>
            <w:noWrap/>
            <w:vAlign w:val="center"/>
            <w:hideMark/>
          </w:tcPr>
          <w:p w14:paraId="56D7CA50"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1806</w:t>
            </w:r>
          </w:p>
        </w:tc>
        <w:tc>
          <w:tcPr>
            <w:tcW w:w="941" w:type="dxa"/>
            <w:shd w:val="clear" w:color="000000" w:fill="F2F2F2"/>
            <w:noWrap/>
            <w:vAlign w:val="center"/>
            <w:hideMark/>
          </w:tcPr>
          <w:p w14:paraId="2F793E4C"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805003351</w:t>
            </w:r>
          </w:p>
        </w:tc>
        <w:tc>
          <w:tcPr>
            <w:tcW w:w="3533" w:type="dxa"/>
            <w:shd w:val="clear" w:color="000000" w:fill="F2F2F2"/>
            <w:vAlign w:val="center"/>
            <w:hideMark/>
          </w:tcPr>
          <w:p w14:paraId="5957BE47" w14:textId="25AF2DE5" w:rsidR="00382869" w:rsidRPr="00053706" w:rsidRDefault="00382869" w:rsidP="00D22441">
            <w:pPr>
              <w:jc w:val="lef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TERMOVALLE S.A.S. E.S.P</w:t>
            </w:r>
            <w:r w:rsidR="00A21ED5" w:rsidRPr="00053706">
              <w:rPr>
                <w:rFonts w:ascii="Arial Narrow" w:hAnsi="Arial Narrow" w:cs="Arial"/>
                <w:color w:val="000000"/>
                <w:spacing w:val="0"/>
                <w:sz w:val="16"/>
                <w:szCs w:val="16"/>
                <w:lang w:eastAsia="es-CO"/>
              </w:rPr>
              <w:t>.</w:t>
            </w:r>
          </w:p>
        </w:tc>
        <w:tc>
          <w:tcPr>
            <w:tcW w:w="1520" w:type="dxa"/>
            <w:shd w:val="clear" w:color="000000" w:fill="F2F2F2"/>
            <w:noWrap/>
            <w:vAlign w:val="center"/>
            <w:hideMark/>
          </w:tcPr>
          <w:p w14:paraId="162B8D60"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$ 17.880.014.000</w:t>
            </w:r>
          </w:p>
        </w:tc>
        <w:tc>
          <w:tcPr>
            <w:tcW w:w="1360" w:type="dxa"/>
            <w:shd w:val="clear" w:color="000000" w:fill="F2F2F2"/>
            <w:noWrap/>
            <w:vAlign w:val="center"/>
            <w:hideMark/>
          </w:tcPr>
          <w:p w14:paraId="1FDB5EB7"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$ 72.074.228</w:t>
            </w:r>
          </w:p>
        </w:tc>
        <w:tc>
          <w:tcPr>
            <w:tcW w:w="1520" w:type="dxa"/>
            <w:shd w:val="clear" w:color="000000" w:fill="F2F2F2"/>
            <w:noWrap/>
            <w:vAlign w:val="center"/>
            <w:hideMark/>
          </w:tcPr>
          <w:p w14:paraId="3DCD46DB"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$ 17.952.088.228</w:t>
            </w:r>
          </w:p>
        </w:tc>
        <w:tc>
          <w:tcPr>
            <w:tcW w:w="1200" w:type="dxa"/>
            <w:shd w:val="clear" w:color="000000" w:fill="F2F2F2"/>
            <w:noWrap/>
            <w:vAlign w:val="center"/>
            <w:hideMark/>
          </w:tcPr>
          <w:p w14:paraId="07241821"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$ 179.520.882</w:t>
            </w:r>
          </w:p>
        </w:tc>
        <w:tc>
          <w:tcPr>
            <w:tcW w:w="1200" w:type="dxa"/>
            <w:shd w:val="clear" w:color="000000" w:fill="F2F2F2"/>
            <w:noWrap/>
            <w:vAlign w:val="center"/>
            <w:hideMark/>
          </w:tcPr>
          <w:p w14:paraId="0EBE51EE"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$ 7.471</w:t>
            </w:r>
          </w:p>
        </w:tc>
        <w:tc>
          <w:tcPr>
            <w:tcW w:w="1289" w:type="dxa"/>
            <w:shd w:val="clear" w:color="000000" w:fill="F2F2F2"/>
            <w:noWrap/>
            <w:vAlign w:val="center"/>
            <w:hideMark/>
          </w:tcPr>
          <w:p w14:paraId="3659C3D2"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$ 179.528.353</w:t>
            </w:r>
          </w:p>
        </w:tc>
      </w:tr>
      <w:tr w:rsidR="00382869" w:rsidRPr="00053706" w14:paraId="40BECDFD" w14:textId="77777777" w:rsidTr="009A29B8">
        <w:trPr>
          <w:trHeight w:val="249"/>
        </w:trPr>
        <w:tc>
          <w:tcPr>
            <w:tcW w:w="407" w:type="dxa"/>
            <w:shd w:val="clear" w:color="000000" w:fill="F2F2F2"/>
            <w:noWrap/>
            <w:vAlign w:val="center"/>
            <w:hideMark/>
          </w:tcPr>
          <w:p w14:paraId="7A16C7B2" w14:textId="77777777" w:rsidR="00382869" w:rsidRPr="00053706" w:rsidRDefault="00382869" w:rsidP="00D22441">
            <w:pPr>
              <w:jc w:val="center"/>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8</w:t>
            </w:r>
          </w:p>
        </w:tc>
        <w:tc>
          <w:tcPr>
            <w:tcW w:w="585" w:type="dxa"/>
            <w:shd w:val="clear" w:color="000000" w:fill="F2F2F2"/>
            <w:noWrap/>
            <w:vAlign w:val="center"/>
            <w:hideMark/>
          </w:tcPr>
          <w:p w14:paraId="56F7EF06"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2824</w:t>
            </w:r>
          </w:p>
        </w:tc>
        <w:tc>
          <w:tcPr>
            <w:tcW w:w="941" w:type="dxa"/>
            <w:shd w:val="clear" w:color="000000" w:fill="F2F2F2"/>
            <w:noWrap/>
            <w:vAlign w:val="center"/>
            <w:hideMark/>
          </w:tcPr>
          <w:p w14:paraId="0099A0A9"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805016928</w:t>
            </w:r>
          </w:p>
        </w:tc>
        <w:tc>
          <w:tcPr>
            <w:tcW w:w="3533" w:type="dxa"/>
            <w:shd w:val="clear" w:color="000000" w:fill="F2F2F2"/>
            <w:vAlign w:val="center"/>
            <w:hideMark/>
          </w:tcPr>
          <w:p w14:paraId="20B520F4" w14:textId="77777777" w:rsidR="00382869" w:rsidRPr="00053706" w:rsidRDefault="00382869" w:rsidP="00D22441">
            <w:pPr>
              <w:jc w:val="lef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ENERCO S.A. E.S.P.</w:t>
            </w:r>
          </w:p>
        </w:tc>
        <w:tc>
          <w:tcPr>
            <w:tcW w:w="1520" w:type="dxa"/>
            <w:shd w:val="clear" w:color="000000" w:fill="F2F2F2"/>
            <w:noWrap/>
            <w:vAlign w:val="center"/>
            <w:hideMark/>
          </w:tcPr>
          <w:p w14:paraId="5FBDF4E6"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$ 821.174.000</w:t>
            </w:r>
          </w:p>
        </w:tc>
        <w:tc>
          <w:tcPr>
            <w:tcW w:w="1360" w:type="dxa"/>
            <w:shd w:val="clear" w:color="000000" w:fill="F2F2F2"/>
            <w:noWrap/>
            <w:vAlign w:val="center"/>
            <w:hideMark/>
          </w:tcPr>
          <w:p w14:paraId="1569131B"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$ 0</w:t>
            </w:r>
          </w:p>
        </w:tc>
        <w:tc>
          <w:tcPr>
            <w:tcW w:w="1520" w:type="dxa"/>
            <w:shd w:val="clear" w:color="000000" w:fill="F2F2F2"/>
            <w:noWrap/>
            <w:vAlign w:val="center"/>
            <w:hideMark/>
          </w:tcPr>
          <w:p w14:paraId="7B0EB20B"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$ 821.174.000</w:t>
            </w:r>
          </w:p>
        </w:tc>
        <w:tc>
          <w:tcPr>
            <w:tcW w:w="1200" w:type="dxa"/>
            <w:shd w:val="clear" w:color="000000" w:fill="F2F2F2"/>
            <w:noWrap/>
            <w:vAlign w:val="center"/>
            <w:hideMark/>
          </w:tcPr>
          <w:p w14:paraId="7DD15BE2"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$ 8.211.740</w:t>
            </w:r>
          </w:p>
        </w:tc>
        <w:tc>
          <w:tcPr>
            <w:tcW w:w="1200" w:type="dxa"/>
            <w:shd w:val="clear" w:color="000000" w:fill="F2F2F2"/>
            <w:noWrap/>
            <w:vAlign w:val="center"/>
            <w:hideMark/>
          </w:tcPr>
          <w:p w14:paraId="63BEF219"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$ 342</w:t>
            </w:r>
          </w:p>
        </w:tc>
        <w:tc>
          <w:tcPr>
            <w:tcW w:w="1289" w:type="dxa"/>
            <w:shd w:val="clear" w:color="000000" w:fill="F2F2F2"/>
            <w:noWrap/>
            <w:vAlign w:val="center"/>
            <w:hideMark/>
          </w:tcPr>
          <w:p w14:paraId="2F5A92CF"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$ 8.212.082</w:t>
            </w:r>
          </w:p>
        </w:tc>
      </w:tr>
      <w:tr w:rsidR="00382869" w:rsidRPr="00053706" w14:paraId="284FB444" w14:textId="77777777" w:rsidTr="009A29B8">
        <w:trPr>
          <w:trHeight w:val="254"/>
        </w:trPr>
        <w:tc>
          <w:tcPr>
            <w:tcW w:w="407" w:type="dxa"/>
            <w:shd w:val="clear" w:color="000000" w:fill="F2F2F2"/>
            <w:noWrap/>
            <w:vAlign w:val="center"/>
            <w:hideMark/>
          </w:tcPr>
          <w:p w14:paraId="72F144FD" w14:textId="77777777" w:rsidR="00382869" w:rsidRPr="00053706" w:rsidRDefault="00382869" w:rsidP="00D22441">
            <w:pPr>
              <w:jc w:val="center"/>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9</w:t>
            </w:r>
          </w:p>
        </w:tc>
        <w:tc>
          <w:tcPr>
            <w:tcW w:w="585" w:type="dxa"/>
            <w:shd w:val="clear" w:color="000000" w:fill="F2F2F2"/>
            <w:noWrap/>
            <w:vAlign w:val="center"/>
            <w:hideMark/>
          </w:tcPr>
          <w:p w14:paraId="2CF09533"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2081</w:t>
            </w:r>
          </w:p>
        </w:tc>
        <w:tc>
          <w:tcPr>
            <w:tcW w:w="941" w:type="dxa"/>
            <w:shd w:val="clear" w:color="000000" w:fill="F2F2F2"/>
            <w:noWrap/>
            <w:vAlign w:val="center"/>
            <w:hideMark/>
          </w:tcPr>
          <w:p w14:paraId="24987F99"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807001845</w:t>
            </w:r>
          </w:p>
        </w:tc>
        <w:tc>
          <w:tcPr>
            <w:tcW w:w="3533" w:type="dxa"/>
            <w:shd w:val="clear" w:color="000000" w:fill="F2F2F2"/>
            <w:vAlign w:val="center"/>
            <w:hideMark/>
          </w:tcPr>
          <w:p w14:paraId="0963E1A8" w14:textId="77777777" w:rsidR="00382869" w:rsidRPr="00053706" w:rsidRDefault="00382869" w:rsidP="00D22441">
            <w:pPr>
              <w:jc w:val="lef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DISTASA S.A. E.S.P.</w:t>
            </w:r>
          </w:p>
        </w:tc>
        <w:tc>
          <w:tcPr>
            <w:tcW w:w="1520" w:type="dxa"/>
            <w:shd w:val="clear" w:color="000000" w:fill="F2F2F2"/>
            <w:noWrap/>
            <w:vAlign w:val="center"/>
            <w:hideMark/>
          </w:tcPr>
          <w:p w14:paraId="57D4B209"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$ 3.152.374.000</w:t>
            </w:r>
          </w:p>
        </w:tc>
        <w:tc>
          <w:tcPr>
            <w:tcW w:w="1360" w:type="dxa"/>
            <w:shd w:val="clear" w:color="000000" w:fill="F2F2F2"/>
            <w:noWrap/>
            <w:vAlign w:val="center"/>
            <w:hideMark/>
          </w:tcPr>
          <w:p w14:paraId="15BEF277"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$ 0</w:t>
            </w:r>
          </w:p>
        </w:tc>
        <w:tc>
          <w:tcPr>
            <w:tcW w:w="1520" w:type="dxa"/>
            <w:shd w:val="clear" w:color="000000" w:fill="F2F2F2"/>
            <w:noWrap/>
            <w:vAlign w:val="center"/>
            <w:hideMark/>
          </w:tcPr>
          <w:p w14:paraId="596887FC"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$ 3.152.374.000</w:t>
            </w:r>
          </w:p>
        </w:tc>
        <w:tc>
          <w:tcPr>
            <w:tcW w:w="1200" w:type="dxa"/>
            <w:shd w:val="clear" w:color="000000" w:fill="F2F2F2"/>
            <w:noWrap/>
            <w:vAlign w:val="center"/>
            <w:hideMark/>
          </w:tcPr>
          <w:p w14:paraId="1A35B6B3"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$ 31.523.740</w:t>
            </w:r>
          </w:p>
        </w:tc>
        <w:tc>
          <w:tcPr>
            <w:tcW w:w="1200" w:type="dxa"/>
            <w:shd w:val="clear" w:color="000000" w:fill="F2F2F2"/>
            <w:noWrap/>
            <w:vAlign w:val="center"/>
            <w:hideMark/>
          </w:tcPr>
          <w:p w14:paraId="19AEB6F0"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$ 1.312</w:t>
            </w:r>
          </w:p>
        </w:tc>
        <w:tc>
          <w:tcPr>
            <w:tcW w:w="1289" w:type="dxa"/>
            <w:shd w:val="clear" w:color="000000" w:fill="F2F2F2"/>
            <w:noWrap/>
            <w:vAlign w:val="center"/>
            <w:hideMark/>
          </w:tcPr>
          <w:p w14:paraId="5EACDAB8"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$ 31.525.052</w:t>
            </w:r>
          </w:p>
        </w:tc>
      </w:tr>
      <w:tr w:rsidR="00382869" w:rsidRPr="00053706" w14:paraId="4ACA4B04" w14:textId="77777777" w:rsidTr="009A29B8">
        <w:trPr>
          <w:trHeight w:val="465"/>
        </w:trPr>
        <w:tc>
          <w:tcPr>
            <w:tcW w:w="407" w:type="dxa"/>
            <w:shd w:val="clear" w:color="000000" w:fill="F2F2F2"/>
            <w:noWrap/>
            <w:vAlign w:val="center"/>
            <w:hideMark/>
          </w:tcPr>
          <w:p w14:paraId="14C34C01" w14:textId="77777777" w:rsidR="00382869" w:rsidRPr="00053706" w:rsidRDefault="00382869" w:rsidP="00D22441">
            <w:pPr>
              <w:jc w:val="center"/>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10</w:t>
            </w:r>
          </w:p>
        </w:tc>
        <w:tc>
          <w:tcPr>
            <w:tcW w:w="585" w:type="dxa"/>
            <w:shd w:val="clear" w:color="000000" w:fill="F2F2F2"/>
            <w:noWrap/>
            <w:vAlign w:val="center"/>
            <w:hideMark/>
          </w:tcPr>
          <w:p w14:paraId="234777CA"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1078</w:t>
            </w:r>
          </w:p>
        </w:tc>
        <w:tc>
          <w:tcPr>
            <w:tcW w:w="941" w:type="dxa"/>
            <w:shd w:val="clear" w:color="000000" w:fill="F2F2F2"/>
            <w:noWrap/>
            <w:vAlign w:val="center"/>
            <w:hideMark/>
          </w:tcPr>
          <w:p w14:paraId="07CB476B"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811003083</w:t>
            </w:r>
          </w:p>
        </w:tc>
        <w:tc>
          <w:tcPr>
            <w:tcW w:w="3533" w:type="dxa"/>
            <w:shd w:val="clear" w:color="000000" w:fill="F2F2F2"/>
            <w:vAlign w:val="center"/>
            <w:hideMark/>
          </w:tcPr>
          <w:p w14:paraId="1C7F8ED8" w14:textId="77777777" w:rsidR="00382869" w:rsidRPr="00053706" w:rsidRDefault="00382869" w:rsidP="00D22441">
            <w:pPr>
              <w:jc w:val="lef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GENERADORA COLOMBIANA DE ELECTRICIDAD SA ESP</w:t>
            </w:r>
          </w:p>
        </w:tc>
        <w:tc>
          <w:tcPr>
            <w:tcW w:w="1520" w:type="dxa"/>
            <w:shd w:val="clear" w:color="000000" w:fill="F2F2F2"/>
            <w:noWrap/>
            <w:vAlign w:val="center"/>
            <w:hideMark/>
          </w:tcPr>
          <w:p w14:paraId="6497A612"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$ 78.828.000</w:t>
            </w:r>
          </w:p>
        </w:tc>
        <w:tc>
          <w:tcPr>
            <w:tcW w:w="1360" w:type="dxa"/>
            <w:shd w:val="clear" w:color="000000" w:fill="F2F2F2"/>
            <w:noWrap/>
            <w:vAlign w:val="center"/>
            <w:hideMark/>
          </w:tcPr>
          <w:p w14:paraId="28CAE3D2"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$ 62.519</w:t>
            </w:r>
          </w:p>
        </w:tc>
        <w:tc>
          <w:tcPr>
            <w:tcW w:w="1520" w:type="dxa"/>
            <w:shd w:val="clear" w:color="000000" w:fill="F2F2F2"/>
            <w:noWrap/>
            <w:vAlign w:val="center"/>
            <w:hideMark/>
          </w:tcPr>
          <w:p w14:paraId="0A92BC9E"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$ 78.890.519</w:t>
            </w:r>
          </w:p>
        </w:tc>
        <w:tc>
          <w:tcPr>
            <w:tcW w:w="1200" w:type="dxa"/>
            <w:shd w:val="clear" w:color="000000" w:fill="F2F2F2"/>
            <w:noWrap/>
            <w:vAlign w:val="center"/>
            <w:hideMark/>
          </w:tcPr>
          <w:p w14:paraId="3A5ABE42"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$ 788.905</w:t>
            </w:r>
          </w:p>
        </w:tc>
        <w:tc>
          <w:tcPr>
            <w:tcW w:w="1200" w:type="dxa"/>
            <w:shd w:val="clear" w:color="000000" w:fill="F2F2F2"/>
            <w:noWrap/>
            <w:vAlign w:val="center"/>
            <w:hideMark/>
          </w:tcPr>
          <w:p w14:paraId="4641C10B"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$ 33</w:t>
            </w:r>
          </w:p>
        </w:tc>
        <w:tc>
          <w:tcPr>
            <w:tcW w:w="1289" w:type="dxa"/>
            <w:shd w:val="clear" w:color="000000" w:fill="F2F2F2"/>
            <w:noWrap/>
            <w:vAlign w:val="center"/>
            <w:hideMark/>
          </w:tcPr>
          <w:p w14:paraId="63979F61"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$ 788.938</w:t>
            </w:r>
          </w:p>
        </w:tc>
      </w:tr>
      <w:tr w:rsidR="00382869" w:rsidRPr="00053706" w14:paraId="476DEDF2" w14:textId="77777777" w:rsidTr="009A29B8">
        <w:trPr>
          <w:trHeight w:val="349"/>
        </w:trPr>
        <w:tc>
          <w:tcPr>
            <w:tcW w:w="407" w:type="dxa"/>
            <w:shd w:val="clear" w:color="000000" w:fill="F2F2F2"/>
            <w:noWrap/>
            <w:vAlign w:val="center"/>
            <w:hideMark/>
          </w:tcPr>
          <w:p w14:paraId="4DACBF2E" w14:textId="77777777" w:rsidR="00382869" w:rsidRPr="00053706" w:rsidRDefault="00382869" w:rsidP="00D22441">
            <w:pPr>
              <w:jc w:val="center"/>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11</w:t>
            </w:r>
          </w:p>
        </w:tc>
        <w:tc>
          <w:tcPr>
            <w:tcW w:w="585" w:type="dxa"/>
            <w:shd w:val="clear" w:color="000000" w:fill="F2F2F2"/>
            <w:noWrap/>
            <w:vAlign w:val="center"/>
            <w:hideMark/>
          </w:tcPr>
          <w:p w14:paraId="772F22AC"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22190</w:t>
            </w:r>
          </w:p>
        </w:tc>
        <w:tc>
          <w:tcPr>
            <w:tcW w:w="941" w:type="dxa"/>
            <w:shd w:val="clear" w:color="000000" w:fill="F2F2F2"/>
            <w:noWrap/>
            <w:vAlign w:val="center"/>
            <w:hideMark/>
          </w:tcPr>
          <w:p w14:paraId="66520DF4"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811031656</w:t>
            </w:r>
          </w:p>
        </w:tc>
        <w:tc>
          <w:tcPr>
            <w:tcW w:w="3533" w:type="dxa"/>
            <w:shd w:val="clear" w:color="000000" w:fill="F2F2F2"/>
            <w:vAlign w:val="center"/>
            <w:hideMark/>
          </w:tcPr>
          <w:p w14:paraId="74EE3203" w14:textId="77777777" w:rsidR="00382869" w:rsidRPr="00053706" w:rsidRDefault="00382869" w:rsidP="00D22441">
            <w:pPr>
              <w:jc w:val="lef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ENERGIA DEL RIO PIEDRAS S.A. E.S.P.</w:t>
            </w:r>
          </w:p>
        </w:tc>
        <w:tc>
          <w:tcPr>
            <w:tcW w:w="1520" w:type="dxa"/>
            <w:shd w:val="clear" w:color="000000" w:fill="F2F2F2"/>
            <w:noWrap/>
            <w:vAlign w:val="center"/>
            <w:hideMark/>
          </w:tcPr>
          <w:p w14:paraId="71019E43"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$ 121.021.000</w:t>
            </w:r>
          </w:p>
        </w:tc>
        <w:tc>
          <w:tcPr>
            <w:tcW w:w="1360" w:type="dxa"/>
            <w:shd w:val="clear" w:color="000000" w:fill="F2F2F2"/>
            <w:noWrap/>
            <w:vAlign w:val="center"/>
            <w:hideMark/>
          </w:tcPr>
          <w:p w14:paraId="6621763C"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$ 78.600.512</w:t>
            </w:r>
          </w:p>
        </w:tc>
        <w:tc>
          <w:tcPr>
            <w:tcW w:w="1520" w:type="dxa"/>
            <w:shd w:val="clear" w:color="000000" w:fill="F2F2F2"/>
            <w:noWrap/>
            <w:vAlign w:val="center"/>
            <w:hideMark/>
          </w:tcPr>
          <w:p w14:paraId="2CC1CC6A"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$ 199.621.512</w:t>
            </w:r>
          </w:p>
        </w:tc>
        <w:tc>
          <w:tcPr>
            <w:tcW w:w="1200" w:type="dxa"/>
            <w:shd w:val="clear" w:color="000000" w:fill="F2F2F2"/>
            <w:noWrap/>
            <w:vAlign w:val="center"/>
            <w:hideMark/>
          </w:tcPr>
          <w:p w14:paraId="21CBD893"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$ 1.996.215</w:t>
            </w:r>
          </w:p>
        </w:tc>
        <w:tc>
          <w:tcPr>
            <w:tcW w:w="1200" w:type="dxa"/>
            <w:shd w:val="clear" w:color="000000" w:fill="F2F2F2"/>
            <w:noWrap/>
            <w:vAlign w:val="center"/>
            <w:hideMark/>
          </w:tcPr>
          <w:p w14:paraId="24403F9E"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$ 83</w:t>
            </w:r>
          </w:p>
        </w:tc>
        <w:tc>
          <w:tcPr>
            <w:tcW w:w="1289" w:type="dxa"/>
            <w:shd w:val="clear" w:color="000000" w:fill="F2F2F2"/>
            <w:noWrap/>
            <w:vAlign w:val="center"/>
            <w:hideMark/>
          </w:tcPr>
          <w:p w14:paraId="4FD55D6D"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$ 1.996.298</w:t>
            </w:r>
          </w:p>
        </w:tc>
      </w:tr>
      <w:tr w:rsidR="00382869" w:rsidRPr="00053706" w14:paraId="760F66EC" w14:textId="77777777" w:rsidTr="00053706">
        <w:trPr>
          <w:trHeight w:val="315"/>
        </w:trPr>
        <w:tc>
          <w:tcPr>
            <w:tcW w:w="407" w:type="dxa"/>
            <w:shd w:val="clear" w:color="000000" w:fill="F2F2F2"/>
            <w:noWrap/>
            <w:vAlign w:val="center"/>
            <w:hideMark/>
          </w:tcPr>
          <w:p w14:paraId="5F4E4477" w14:textId="77777777" w:rsidR="00382869" w:rsidRPr="00053706" w:rsidRDefault="00382869" w:rsidP="00D22441">
            <w:pPr>
              <w:jc w:val="center"/>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12</w:t>
            </w:r>
          </w:p>
        </w:tc>
        <w:tc>
          <w:tcPr>
            <w:tcW w:w="585" w:type="dxa"/>
            <w:shd w:val="clear" w:color="000000" w:fill="F2F2F2"/>
            <w:noWrap/>
            <w:vAlign w:val="center"/>
            <w:hideMark/>
          </w:tcPr>
          <w:p w14:paraId="58A5641E"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3372</w:t>
            </w:r>
          </w:p>
        </w:tc>
        <w:tc>
          <w:tcPr>
            <w:tcW w:w="941" w:type="dxa"/>
            <w:shd w:val="clear" w:color="000000" w:fill="F2F2F2"/>
            <w:noWrap/>
            <w:vAlign w:val="center"/>
            <w:hideMark/>
          </w:tcPr>
          <w:p w14:paraId="5BFEB966"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814002979</w:t>
            </w:r>
          </w:p>
        </w:tc>
        <w:tc>
          <w:tcPr>
            <w:tcW w:w="3533" w:type="dxa"/>
            <w:shd w:val="clear" w:color="000000" w:fill="F2F2F2"/>
            <w:vAlign w:val="center"/>
            <w:hideMark/>
          </w:tcPr>
          <w:p w14:paraId="561B6A7A" w14:textId="77777777" w:rsidR="00382869" w:rsidRPr="00053706" w:rsidRDefault="00382869" w:rsidP="00D22441">
            <w:pPr>
              <w:jc w:val="lef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A.S.C INGENIERIA SOCIEDAD ANONIMA SA ESP.</w:t>
            </w:r>
          </w:p>
        </w:tc>
        <w:tc>
          <w:tcPr>
            <w:tcW w:w="1520" w:type="dxa"/>
            <w:shd w:val="clear" w:color="000000" w:fill="F2F2F2"/>
            <w:noWrap/>
            <w:vAlign w:val="center"/>
            <w:hideMark/>
          </w:tcPr>
          <w:p w14:paraId="74D09DCA"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$ 343.413.000</w:t>
            </w:r>
          </w:p>
        </w:tc>
        <w:tc>
          <w:tcPr>
            <w:tcW w:w="1360" w:type="dxa"/>
            <w:shd w:val="clear" w:color="000000" w:fill="F2F2F2"/>
            <w:noWrap/>
            <w:vAlign w:val="center"/>
            <w:hideMark/>
          </w:tcPr>
          <w:p w14:paraId="02423590"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$ 0</w:t>
            </w:r>
          </w:p>
        </w:tc>
        <w:tc>
          <w:tcPr>
            <w:tcW w:w="1520" w:type="dxa"/>
            <w:shd w:val="clear" w:color="000000" w:fill="F2F2F2"/>
            <w:noWrap/>
            <w:vAlign w:val="center"/>
            <w:hideMark/>
          </w:tcPr>
          <w:p w14:paraId="410D8D6F"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$ 343.413.000</w:t>
            </w:r>
          </w:p>
        </w:tc>
        <w:tc>
          <w:tcPr>
            <w:tcW w:w="1200" w:type="dxa"/>
            <w:shd w:val="clear" w:color="000000" w:fill="F2F2F2"/>
            <w:noWrap/>
            <w:vAlign w:val="center"/>
            <w:hideMark/>
          </w:tcPr>
          <w:p w14:paraId="3FF7B70A"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$ 3.434.130</w:t>
            </w:r>
          </w:p>
        </w:tc>
        <w:tc>
          <w:tcPr>
            <w:tcW w:w="1200" w:type="dxa"/>
            <w:shd w:val="clear" w:color="000000" w:fill="F2F2F2"/>
            <w:noWrap/>
            <w:vAlign w:val="center"/>
            <w:hideMark/>
          </w:tcPr>
          <w:p w14:paraId="1D35D1B4"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$ 143</w:t>
            </w:r>
          </w:p>
        </w:tc>
        <w:tc>
          <w:tcPr>
            <w:tcW w:w="1289" w:type="dxa"/>
            <w:shd w:val="clear" w:color="000000" w:fill="F2F2F2"/>
            <w:noWrap/>
            <w:vAlign w:val="center"/>
            <w:hideMark/>
          </w:tcPr>
          <w:p w14:paraId="34BA9C6A"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$ 3.434.273</w:t>
            </w:r>
          </w:p>
        </w:tc>
      </w:tr>
      <w:tr w:rsidR="00382869" w:rsidRPr="00053706" w14:paraId="6F80608D" w14:textId="77777777" w:rsidTr="009A29B8">
        <w:trPr>
          <w:trHeight w:val="465"/>
        </w:trPr>
        <w:tc>
          <w:tcPr>
            <w:tcW w:w="407" w:type="dxa"/>
            <w:shd w:val="clear" w:color="000000" w:fill="F2F2F2"/>
            <w:noWrap/>
            <w:vAlign w:val="center"/>
            <w:hideMark/>
          </w:tcPr>
          <w:p w14:paraId="47EC5276" w14:textId="77777777" w:rsidR="00382869" w:rsidRPr="00053706" w:rsidRDefault="00382869" w:rsidP="00D22441">
            <w:pPr>
              <w:jc w:val="center"/>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13</w:t>
            </w:r>
          </w:p>
        </w:tc>
        <w:tc>
          <w:tcPr>
            <w:tcW w:w="585" w:type="dxa"/>
            <w:shd w:val="clear" w:color="000000" w:fill="F2F2F2"/>
            <w:noWrap/>
            <w:vAlign w:val="center"/>
            <w:hideMark/>
          </w:tcPr>
          <w:p w14:paraId="502453E8"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2020</w:t>
            </w:r>
          </w:p>
        </w:tc>
        <w:tc>
          <w:tcPr>
            <w:tcW w:w="941" w:type="dxa"/>
            <w:shd w:val="clear" w:color="000000" w:fill="F2F2F2"/>
            <w:noWrap/>
            <w:vAlign w:val="center"/>
            <w:hideMark/>
          </w:tcPr>
          <w:p w14:paraId="1CB3B95C"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815000896</w:t>
            </w:r>
          </w:p>
        </w:tc>
        <w:tc>
          <w:tcPr>
            <w:tcW w:w="3533" w:type="dxa"/>
            <w:shd w:val="clear" w:color="000000" w:fill="F2F2F2"/>
            <w:vAlign w:val="center"/>
            <w:hideMark/>
          </w:tcPr>
          <w:p w14:paraId="35DABC3D" w14:textId="77777777" w:rsidR="00382869" w:rsidRPr="00053706" w:rsidRDefault="00382869" w:rsidP="00D22441">
            <w:pPr>
              <w:jc w:val="lef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DISTRIBUIDORA Y COMERCIALIZADORA DE ENERGIA ELECTRICA S.A. E.S.P.</w:t>
            </w:r>
          </w:p>
        </w:tc>
        <w:tc>
          <w:tcPr>
            <w:tcW w:w="1520" w:type="dxa"/>
            <w:shd w:val="clear" w:color="000000" w:fill="F2F2F2"/>
            <w:noWrap/>
            <w:vAlign w:val="center"/>
            <w:hideMark/>
          </w:tcPr>
          <w:p w14:paraId="23744462"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$ 3.585.901.000</w:t>
            </w:r>
          </w:p>
        </w:tc>
        <w:tc>
          <w:tcPr>
            <w:tcW w:w="1360" w:type="dxa"/>
            <w:shd w:val="clear" w:color="000000" w:fill="F2F2F2"/>
            <w:noWrap/>
            <w:vAlign w:val="center"/>
            <w:hideMark/>
          </w:tcPr>
          <w:p w14:paraId="3E701D5F"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$ 1.045.313.015</w:t>
            </w:r>
          </w:p>
        </w:tc>
        <w:tc>
          <w:tcPr>
            <w:tcW w:w="1520" w:type="dxa"/>
            <w:shd w:val="clear" w:color="000000" w:fill="F2F2F2"/>
            <w:noWrap/>
            <w:vAlign w:val="center"/>
            <w:hideMark/>
          </w:tcPr>
          <w:p w14:paraId="6E23A112"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$ 4.631.214.015</w:t>
            </w:r>
          </w:p>
        </w:tc>
        <w:tc>
          <w:tcPr>
            <w:tcW w:w="1200" w:type="dxa"/>
            <w:shd w:val="clear" w:color="000000" w:fill="F2F2F2"/>
            <w:noWrap/>
            <w:vAlign w:val="center"/>
            <w:hideMark/>
          </w:tcPr>
          <w:p w14:paraId="67E72E64"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$ 46.312.140</w:t>
            </w:r>
          </w:p>
        </w:tc>
        <w:tc>
          <w:tcPr>
            <w:tcW w:w="1200" w:type="dxa"/>
            <w:shd w:val="clear" w:color="000000" w:fill="F2F2F2"/>
            <w:noWrap/>
            <w:vAlign w:val="center"/>
            <w:hideMark/>
          </w:tcPr>
          <w:p w14:paraId="2AEBA01A"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$ 1.927</w:t>
            </w:r>
          </w:p>
        </w:tc>
        <w:tc>
          <w:tcPr>
            <w:tcW w:w="1289" w:type="dxa"/>
            <w:shd w:val="clear" w:color="000000" w:fill="F2F2F2"/>
            <w:noWrap/>
            <w:vAlign w:val="center"/>
            <w:hideMark/>
          </w:tcPr>
          <w:p w14:paraId="2C69BCE5"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$ 46.314.068</w:t>
            </w:r>
          </w:p>
        </w:tc>
      </w:tr>
      <w:tr w:rsidR="00382869" w:rsidRPr="00053706" w14:paraId="17468748" w14:textId="77777777" w:rsidTr="009A29B8">
        <w:trPr>
          <w:trHeight w:val="297"/>
        </w:trPr>
        <w:tc>
          <w:tcPr>
            <w:tcW w:w="407" w:type="dxa"/>
            <w:shd w:val="clear" w:color="000000" w:fill="F2F2F2"/>
            <w:noWrap/>
            <w:vAlign w:val="center"/>
            <w:hideMark/>
          </w:tcPr>
          <w:p w14:paraId="2B04E661" w14:textId="77777777" w:rsidR="00382869" w:rsidRPr="00053706" w:rsidRDefault="00382869" w:rsidP="00D22441">
            <w:pPr>
              <w:jc w:val="center"/>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14</w:t>
            </w:r>
          </w:p>
        </w:tc>
        <w:tc>
          <w:tcPr>
            <w:tcW w:w="585" w:type="dxa"/>
            <w:shd w:val="clear" w:color="000000" w:fill="F2F2F2"/>
            <w:noWrap/>
            <w:vAlign w:val="center"/>
            <w:hideMark/>
          </w:tcPr>
          <w:p w14:paraId="7606D31A"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2378</w:t>
            </w:r>
          </w:p>
        </w:tc>
        <w:tc>
          <w:tcPr>
            <w:tcW w:w="941" w:type="dxa"/>
            <w:shd w:val="clear" w:color="000000" w:fill="F2F2F2"/>
            <w:noWrap/>
            <w:vAlign w:val="center"/>
            <w:hideMark/>
          </w:tcPr>
          <w:p w14:paraId="7EDD91AA"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815001901</w:t>
            </w:r>
          </w:p>
        </w:tc>
        <w:tc>
          <w:tcPr>
            <w:tcW w:w="3533" w:type="dxa"/>
            <w:shd w:val="clear" w:color="000000" w:fill="F2F2F2"/>
            <w:vAlign w:val="center"/>
            <w:hideMark/>
          </w:tcPr>
          <w:p w14:paraId="152A2577" w14:textId="77777777" w:rsidR="00382869" w:rsidRPr="00053706" w:rsidRDefault="00382869" w:rsidP="00D22441">
            <w:pPr>
              <w:jc w:val="lef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DICELER S.A E.S.P.</w:t>
            </w:r>
          </w:p>
        </w:tc>
        <w:tc>
          <w:tcPr>
            <w:tcW w:w="1520" w:type="dxa"/>
            <w:shd w:val="clear" w:color="000000" w:fill="F2F2F2"/>
            <w:noWrap/>
            <w:vAlign w:val="center"/>
            <w:hideMark/>
          </w:tcPr>
          <w:p w14:paraId="0CEBFFB4"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$ 473.325.000</w:t>
            </w:r>
          </w:p>
        </w:tc>
        <w:tc>
          <w:tcPr>
            <w:tcW w:w="1360" w:type="dxa"/>
            <w:shd w:val="clear" w:color="000000" w:fill="F2F2F2"/>
            <w:noWrap/>
            <w:vAlign w:val="center"/>
            <w:hideMark/>
          </w:tcPr>
          <w:p w14:paraId="54BD5C14"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$ 10.775.256</w:t>
            </w:r>
          </w:p>
        </w:tc>
        <w:tc>
          <w:tcPr>
            <w:tcW w:w="1520" w:type="dxa"/>
            <w:shd w:val="clear" w:color="000000" w:fill="F2F2F2"/>
            <w:noWrap/>
            <w:vAlign w:val="center"/>
            <w:hideMark/>
          </w:tcPr>
          <w:p w14:paraId="7F82543D"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$ 484.100.256</w:t>
            </w:r>
          </w:p>
        </w:tc>
        <w:tc>
          <w:tcPr>
            <w:tcW w:w="1200" w:type="dxa"/>
            <w:shd w:val="clear" w:color="000000" w:fill="F2F2F2"/>
            <w:noWrap/>
            <w:vAlign w:val="center"/>
            <w:hideMark/>
          </w:tcPr>
          <w:p w14:paraId="45E6945B"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$ 4.841.003</w:t>
            </w:r>
          </w:p>
        </w:tc>
        <w:tc>
          <w:tcPr>
            <w:tcW w:w="1200" w:type="dxa"/>
            <w:shd w:val="clear" w:color="000000" w:fill="F2F2F2"/>
            <w:noWrap/>
            <w:vAlign w:val="center"/>
            <w:hideMark/>
          </w:tcPr>
          <w:p w14:paraId="39D64BFD"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$ 201</w:t>
            </w:r>
          </w:p>
        </w:tc>
        <w:tc>
          <w:tcPr>
            <w:tcW w:w="1289" w:type="dxa"/>
            <w:shd w:val="clear" w:color="000000" w:fill="F2F2F2"/>
            <w:noWrap/>
            <w:vAlign w:val="center"/>
            <w:hideMark/>
          </w:tcPr>
          <w:p w14:paraId="6D2DF615"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$ 4.841.204</w:t>
            </w:r>
          </w:p>
        </w:tc>
      </w:tr>
      <w:tr w:rsidR="00382869" w:rsidRPr="00053706" w14:paraId="5F967921" w14:textId="77777777" w:rsidTr="009A29B8">
        <w:trPr>
          <w:trHeight w:val="465"/>
        </w:trPr>
        <w:tc>
          <w:tcPr>
            <w:tcW w:w="407" w:type="dxa"/>
            <w:shd w:val="clear" w:color="000000" w:fill="F2F2F2"/>
            <w:noWrap/>
            <w:vAlign w:val="center"/>
            <w:hideMark/>
          </w:tcPr>
          <w:p w14:paraId="07C08E2E" w14:textId="77777777" w:rsidR="00382869" w:rsidRPr="00053706" w:rsidRDefault="00382869" w:rsidP="00D22441">
            <w:pPr>
              <w:jc w:val="center"/>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lastRenderedPageBreak/>
              <w:t>15</w:t>
            </w:r>
          </w:p>
        </w:tc>
        <w:tc>
          <w:tcPr>
            <w:tcW w:w="585" w:type="dxa"/>
            <w:shd w:val="clear" w:color="000000" w:fill="F2F2F2"/>
            <w:noWrap/>
            <w:vAlign w:val="center"/>
            <w:hideMark/>
          </w:tcPr>
          <w:p w14:paraId="011B36F5"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2073</w:t>
            </w:r>
          </w:p>
        </w:tc>
        <w:tc>
          <w:tcPr>
            <w:tcW w:w="941" w:type="dxa"/>
            <w:shd w:val="clear" w:color="000000" w:fill="F2F2F2"/>
            <w:noWrap/>
            <w:vAlign w:val="center"/>
            <w:hideMark/>
          </w:tcPr>
          <w:p w14:paraId="0C1809FB"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816002019</w:t>
            </w:r>
          </w:p>
        </w:tc>
        <w:tc>
          <w:tcPr>
            <w:tcW w:w="3533" w:type="dxa"/>
            <w:shd w:val="clear" w:color="000000" w:fill="F2F2F2"/>
            <w:vAlign w:val="center"/>
            <w:hideMark/>
          </w:tcPr>
          <w:p w14:paraId="1143A5C6" w14:textId="77777777" w:rsidR="00382869" w:rsidRPr="00053706" w:rsidRDefault="00382869" w:rsidP="00D22441">
            <w:pPr>
              <w:jc w:val="lef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EMPRESA DE ENERGÍA DE PEREIRA S.A. ESP.</w:t>
            </w:r>
          </w:p>
        </w:tc>
        <w:tc>
          <w:tcPr>
            <w:tcW w:w="1520" w:type="dxa"/>
            <w:shd w:val="clear" w:color="000000" w:fill="F2F2F2"/>
            <w:noWrap/>
            <w:vAlign w:val="center"/>
            <w:hideMark/>
          </w:tcPr>
          <w:p w14:paraId="6B3B55C3"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$ 14.356.462.000</w:t>
            </w:r>
          </w:p>
        </w:tc>
        <w:tc>
          <w:tcPr>
            <w:tcW w:w="1360" w:type="dxa"/>
            <w:shd w:val="clear" w:color="000000" w:fill="F2F2F2"/>
            <w:noWrap/>
            <w:vAlign w:val="center"/>
            <w:hideMark/>
          </w:tcPr>
          <w:p w14:paraId="5E55FE34"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$ 2.199.398.189</w:t>
            </w:r>
          </w:p>
        </w:tc>
        <w:tc>
          <w:tcPr>
            <w:tcW w:w="1520" w:type="dxa"/>
            <w:shd w:val="clear" w:color="000000" w:fill="F2F2F2"/>
            <w:noWrap/>
            <w:vAlign w:val="center"/>
            <w:hideMark/>
          </w:tcPr>
          <w:p w14:paraId="240609C1"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$ 16.555.860.189</w:t>
            </w:r>
          </w:p>
        </w:tc>
        <w:tc>
          <w:tcPr>
            <w:tcW w:w="1200" w:type="dxa"/>
            <w:shd w:val="clear" w:color="000000" w:fill="F2F2F2"/>
            <w:noWrap/>
            <w:vAlign w:val="center"/>
            <w:hideMark/>
          </w:tcPr>
          <w:p w14:paraId="16B0E411"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$ 165.558.602</w:t>
            </w:r>
          </w:p>
        </w:tc>
        <w:tc>
          <w:tcPr>
            <w:tcW w:w="1200" w:type="dxa"/>
            <w:shd w:val="clear" w:color="000000" w:fill="F2F2F2"/>
            <w:noWrap/>
            <w:vAlign w:val="center"/>
            <w:hideMark/>
          </w:tcPr>
          <w:p w14:paraId="1B2A276F"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$ 6.890</w:t>
            </w:r>
          </w:p>
        </w:tc>
        <w:tc>
          <w:tcPr>
            <w:tcW w:w="1289" w:type="dxa"/>
            <w:shd w:val="clear" w:color="000000" w:fill="F2F2F2"/>
            <w:noWrap/>
            <w:vAlign w:val="center"/>
            <w:hideMark/>
          </w:tcPr>
          <w:p w14:paraId="3B379D33"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$ 165.565.492</w:t>
            </w:r>
          </w:p>
        </w:tc>
      </w:tr>
      <w:tr w:rsidR="00382869" w:rsidRPr="00053706" w14:paraId="549F1313" w14:textId="77777777" w:rsidTr="00053706">
        <w:trPr>
          <w:trHeight w:val="323"/>
        </w:trPr>
        <w:tc>
          <w:tcPr>
            <w:tcW w:w="407" w:type="dxa"/>
            <w:shd w:val="clear" w:color="000000" w:fill="F2F2F2"/>
            <w:noWrap/>
            <w:vAlign w:val="center"/>
            <w:hideMark/>
          </w:tcPr>
          <w:p w14:paraId="2AB1CB65" w14:textId="77777777" w:rsidR="00382869" w:rsidRPr="00053706" w:rsidRDefault="00382869" w:rsidP="00D22441">
            <w:pPr>
              <w:jc w:val="center"/>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16</w:t>
            </w:r>
          </w:p>
        </w:tc>
        <w:tc>
          <w:tcPr>
            <w:tcW w:w="585" w:type="dxa"/>
            <w:shd w:val="clear" w:color="000000" w:fill="F2F2F2"/>
            <w:noWrap/>
            <w:vAlign w:val="center"/>
            <w:hideMark/>
          </w:tcPr>
          <w:p w14:paraId="01D4A475"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2398</w:t>
            </w:r>
          </w:p>
        </w:tc>
        <w:tc>
          <w:tcPr>
            <w:tcW w:w="941" w:type="dxa"/>
            <w:shd w:val="clear" w:color="000000" w:fill="F2F2F2"/>
            <w:noWrap/>
            <w:vAlign w:val="center"/>
            <w:hideMark/>
          </w:tcPr>
          <w:p w14:paraId="55B5C9E9"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817000362</w:t>
            </w:r>
          </w:p>
        </w:tc>
        <w:tc>
          <w:tcPr>
            <w:tcW w:w="3533" w:type="dxa"/>
            <w:shd w:val="clear" w:color="000000" w:fill="F2F2F2"/>
            <w:vAlign w:val="center"/>
            <w:hideMark/>
          </w:tcPr>
          <w:p w14:paraId="3A0FCC55" w14:textId="77777777" w:rsidR="00382869" w:rsidRPr="00053706" w:rsidRDefault="00382869" w:rsidP="00D22441">
            <w:pPr>
              <w:jc w:val="lef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PROYECTOS ENERGETICOS DEL CAUCA S.A. E.S.P.</w:t>
            </w:r>
          </w:p>
        </w:tc>
        <w:tc>
          <w:tcPr>
            <w:tcW w:w="1520" w:type="dxa"/>
            <w:shd w:val="clear" w:color="000000" w:fill="F2F2F2"/>
            <w:noWrap/>
            <w:vAlign w:val="center"/>
            <w:hideMark/>
          </w:tcPr>
          <w:p w14:paraId="0B1EBDD0"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$ 1.267.599.000</w:t>
            </w:r>
          </w:p>
        </w:tc>
        <w:tc>
          <w:tcPr>
            <w:tcW w:w="1360" w:type="dxa"/>
            <w:shd w:val="clear" w:color="000000" w:fill="F2F2F2"/>
            <w:noWrap/>
            <w:vAlign w:val="center"/>
            <w:hideMark/>
          </w:tcPr>
          <w:p w14:paraId="35647B60"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$ 170.453.133</w:t>
            </w:r>
          </w:p>
        </w:tc>
        <w:tc>
          <w:tcPr>
            <w:tcW w:w="1520" w:type="dxa"/>
            <w:shd w:val="clear" w:color="000000" w:fill="F2F2F2"/>
            <w:noWrap/>
            <w:vAlign w:val="center"/>
            <w:hideMark/>
          </w:tcPr>
          <w:p w14:paraId="6ADDEF29"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$ 1.438.052.133</w:t>
            </w:r>
          </w:p>
        </w:tc>
        <w:tc>
          <w:tcPr>
            <w:tcW w:w="1200" w:type="dxa"/>
            <w:shd w:val="clear" w:color="000000" w:fill="F2F2F2"/>
            <w:noWrap/>
            <w:vAlign w:val="center"/>
            <w:hideMark/>
          </w:tcPr>
          <w:p w14:paraId="5F2CD734"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$ 14.380.521</w:t>
            </w:r>
          </w:p>
        </w:tc>
        <w:tc>
          <w:tcPr>
            <w:tcW w:w="1200" w:type="dxa"/>
            <w:shd w:val="clear" w:color="000000" w:fill="F2F2F2"/>
            <w:noWrap/>
            <w:vAlign w:val="center"/>
            <w:hideMark/>
          </w:tcPr>
          <w:p w14:paraId="5648C187"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$ 598</w:t>
            </w:r>
          </w:p>
        </w:tc>
        <w:tc>
          <w:tcPr>
            <w:tcW w:w="1289" w:type="dxa"/>
            <w:shd w:val="clear" w:color="000000" w:fill="F2F2F2"/>
            <w:noWrap/>
            <w:vAlign w:val="center"/>
            <w:hideMark/>
          </w:tcPr>
          <w:p w14:paraId="40353780"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$ 14.381.120</w:t>
            </w:r>
          </w:p>
        </w:tc>
      </w:tr>
      <w:tr w:rsidR="00382869" w:rsidRPr="00053706" w14:paraId="5A1C6E59" w14:textId="77777777" w:rsidTr="009A29B8">
        <w:trPr>
          <w:trHeight w:val="349"/>
        </w:trPr>
        <w:tc>
          <w:tcPr>
            <w:tcW w:w="407" w:type="dxa"/>
            <w:shd w:val="clear" w:color="000000" w:fill="F2F2F2"/>
            <w:noWrap/>
            <w:vAlign w:val="center"/>
            <w:hideMark/>
          </w:tcPr>
          <w:p w14:paraId="75AB971E" w14:textId="77777777" w:rsidR="00382869" w:rsidRPr="00053706" w:rsidRDefault="00382869" w:rsidP="00D22441">
            <w:pPr>
              <w:jc w:val="center"/>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17</w:t>
            </w:r>
          </w:p>
        </w:tc>
        <w:tc>
          <w:tcPr>
            <w:tcW w:w="585" w:type="dxa"/>
            <w:shd w:val="clear" w:color="000000" w:fill="F2F2F2"/>
            <w:noWrap/>
            <w:vAlign w:val="center"/>
            <w:hideMark/>
          </w:tcPr>
          <w:p w14:paraId="52D14439"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2322</w:t>
            </w:r>
          </w:p>
        </w:tc>
        <w:tc>
          <w:tcPr>
            <w:tcW w:w="941" w:type="dxa"/>
            <w:shd w:val="clear" w:color="000000" w:fill="F2F2F2"/>
            <w:noWrap/>
            <w:vAlign w:val="center"/>
            <w:hideMark/>
          </w:tcPr>
          <w:p w14:paraId="41330EF5"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817001892</w:t>
            </w:r>
          </w:p>
        </w:tc>
        <w:tc>
          <w:tcPr>
            <w:tcW w:w="3533" w:type="dxa"/>
            <w:shd w:val="clear" w:color="000000" w:fill="F2F2F2"/>
            <w:vAlign w:val="center"/>
            <w:hideMark/>
          </w:tcPr>
          <w:p w14:paraId="5ED19515" w14:textId="77777777" w:rsidR="00382869" w:rsidRPr="00053706" w:rsidRDefault="00382869" w:rsidP="00D22441">
            <w:pPr>
              <w:jc w:val="lef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VATIA S.A. E.S.P.</w:t>
            </w:r>
          </w:p>
        </w:tc>
        <w:tc>
          <w:tcPr>
            <w:tcW w:w="1520" w:type="dxa"/>
            <w:shd w:val="clear" w:color="000000" w:fill="F2F2F2"/>
            <w:noWrap/>
            <w:vAlign w:val="center"/>
            <w:hideMark/>
          </w:tcPr>
          <w:p w14:paraId="29513CCB"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$ 21.499.123.000</w:t>
            </w:r>
          </w:p>
        </w:tc>
        <w:tc>
          <w:tcPr>
            <w:tcW w:w="1360" w:type="dxa"/>
            <w:shd w:val="clear" w:color="000000" w:fill="F2F2F2"/>
            <w:noWrap/>
            <w:vAlign w:val="center"/>
            <w:hideMark/>
          </w:tcPr>
          <w:p w14:paraId="2C95FC62"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$ 4.440.616.534</w:t>
            </w:r>
          </w:p>
        </w:tc>
        <w:tc>
          <w:tcPr>
            <w:tcW w:w="1520" w:type="dxa"/>
            <w:shd w:val="clear" w:color="000000" w:fill="F2F2F2"/>
            <w:noWrap/>
            <w:vAlign w:val="center"/>
            <w:hideMark/>
          </w:tcPr>
          <w:p w14:paraId="10FFFDC4"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$ 25.939.739.534</w:t>
            </w:r>
          </w:p>
        </w:tc>
        <w:tc>
          <w:tcPr>
            <w:tcW w:w="1200" w:type="dxa"/>
            <w:shd w:val="clear" w:color="000000" w:fill="F2F2F2"/>
            <w:noWrap/>
            <w:vAlign w:val="center"/>
            <w:hideMark/>
          </w:tcPr>
          <w:p w14:paraId="47B70A97"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$ 259.397.395</w:t>
            </w:r>
          </w:p>
        </w:tc>
        <w:tc>
          <w:tcPr>
            <w:tcW w:w="1200" w:type="dxa"/>
            <w:shd w:val="clear" w:color="000000" w:fill="F2F2F2"/>
            <w:noWrap/>
            <w:vAlign w:val="center"/>
            <w:hideMark/>
          </w:tcPr>
          <w:p w14:paraId="541E1A25"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$ 10.795</w:t>
            </w:r>
          </w:p>
        </w:tc>
        <w:tc>
          <w:tcPr>
            <w:tcW w:w="1289" w:type="dxa"/>
            <w:shd w:val="clear" w:color="000000" w:fill="F2F2F2"/>
            <w:noWrap/>
            <w:vAlign w:val="center"/>
            <w:hideMark/>
          </w:tcPr>
          <w:p w14:paraId="21DDEEBC"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$ 259.408.191</w:t>
            </w:r>
          </w:p>
        </w:tc>
      </w:tr>
      <w:tr w:rsidR="00382869" w:rsidRPr="00053706" w14:paraId="667929EC" w14:textId="77777777" w:rsidTr="009A29B8">
        <w:trPr>
          <w:trHeight w:val="465"/>
        </w:trPr>
        <w:tc>
          <w:tcPr>
            <w:tcW w:w="407" w:type="dxa"/>
            <w:shd w:val="clear" w:color="000000" w:fill="F2F2F2"/>
            <w:noWrap/>
            <w:vAlign w:val="center"/>
            <w:hideMark/>
          </w:tcPr>
          <w:p w14:paraId="0FC23430" w14:textId="77777777" w:rsidR="00382869" w:rsidRPr="00053706" w:rsidRDefault="00382869" w:rsidP="00D22441">
            <w:pPr>
              <w:jc w:val="center"/>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18</w:t>
            </w:r>
          </w:p>
        </w:tc>
        <w:tc>
          <w:tcPr>
            <w:tcW w:w="585" w:type="dxa"/>
            <w:shd w:val="clear" w:color="000000" w:fill="F2F2F2"/>
            <w:noWrap/>
            <w:vAlign w:val="center"/>
            <w:hideMark/>
          </w:tcPr>
          <w:p w14:paraId="2858BF79"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1891</w:t>
            </w:r>
          </w:p>
        </w:tc>
        <w:tc>
          <w:tcPr>
            <w:tcW w:w="941" w:type="dxa"/>
            <w:shd w:val="clear" w:color="000000" w:fill="F2F2F2"/>
            <w:noWrap/>
            <w:vAlign w:val="center"/>
            <w:hideMark/>
          </w:tcPr>
          <w:p w14:paraId="6FB65AF9"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818000263</w:t>
            </w:r>
          </w:p>
        </w:tc>
        <w:tc>
          <w:tcPr>
            <w:tcW w:w="3533" w:type="dxa"/>
            <w:shd w:val="clear" w:color="000000" w:fill="F2F2F2"/>
            <w:vAlign w:val="center"/>
            <w:hideMark/>
          </w:tcPr>
          <w:p w14:paraId="41CCF061" w14:textId="77777777" w:rsidR="00382869" w:rsidRPr="00053706" w:rsidRDefault="00382869" w:rsidP="00D22441">
            <w:pPr>
              <w:jc w:val="lef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EMPRESA DE SERVICIOS PUBLICOS DE BAHIA SOLANO S.A. ESP</w:t>
            </w:r>
          </w:p>
        </w:tc>
        <w:tc>
          <w:tcPr>
            <w:tcW w:w="1520" w:type="dxa"/>
            <w:shd w:val="clear" w:color="000000" w:fill="F2F2F2"/>
            <w:noWrap/>
            <w:vAlign w:val="center"/>
            <w:hideMark/>
          </w:tcPr>
          <w:p w14:paraId="6E2E7EB2"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$ 983.008.000</w:t>
            </w:r>
          </w:p>
        </w:tc>
        <w:tc>
          <w:tcPr>
            <w:tcW w:w="1360" w:type="dxa"/>
            <w:shd w:val="clear" w:color="000000" w:fill="F2F2F2"/>
            <w:noWrap/>
            <w:vAlign w:val="center"/>
            <w:hideMark/>
          </w:tcPr>
          <w:p w14:paraId="08BF5B1E"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$ 0</w:t>
            </w:r>
          </w:p>
        </w:tc>
        <w:tc>
          <w:tcPr>
            <w:tcW w:w="1520" w:type="dxa"/>
            <w:shd w:val="clear" w:color="000000" w:fill="F2F2F2"/>
            <w:noWrap/>
            <w:vAlign w:val="center"/>
            <w:hideMark/>
          </w:tcPr>
          <w:p w14:paraId="30174978"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$ 983.008.000</w:t>
            </w:r>
          </w:p>
        </w:tc>
        <w:tc>
          <w:tcPr>
            <w:tcW w:w="1200" w:type="dxa"/>
            <w:shd w:val="clear" w:color="000000" w:fill="F2F2F2"/>
            <w:noWrap/>
            <w:vAlign w:val="center"/>
            <w:hideMark/>
          </w:tcPr>
          <w:p w14:paraId="086A4395"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$ 9.830.080</w:t>
            </w:r>
          </w:p>
        </w:tc>
        <w:tc>
          <w:tcPr>
            <w:tcW w:w="1200" w:type="dxa"/>
            <w:shd w:val="clear" w:color="000000" w:fill="F2F2F2"/>
            <w:noWrap/>
            <w:vAlign w:val="center"/>
            <w:hideMark/>
          </w:tcPr>
          <w:p w14:paraId="6FAF6D70"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$ 409</w:t>
            </w:r>
          </w:p>
        </w:tc>
        <w:tc>
          <w:tcPr>
            <w:tcW w:w="1289" w:type="dxa"/>
            <w:shd w:val="clear" w:color="000000" w:fill="F2F2F2"/>
            <w:noWrap/>
            <w:vAlign w:val="center"/>
            <w:hideMark/>
          </w:tcPr>
          <w:p w14:paraId="38065860"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$ 9.830.489</w:t>
            </w:r>
          </w:p>
        </w:tc>
      </w:tr>
      <w:tr w:rsidR="00382869" w:rsidRPr="00053706" w14:paraId="20065EEE" w14:textId="77777777" w:rsidTr="009A29B8">
        <w:trPr>
          <w:trHeight w:val="465"/>
        </w:trPr>
        <w:tc>
          <w:tcPr>
            <w:tcW w:w="407" w:type="dxa"/>
            <w:shd w:val="clear" w:color="000000" w:fill="F2F2F2"/>
            <w:noWrap/>
            <w:vAlign w:val="center"/>
            <w:hideMark/>
          </w:tcPr>
          <w:p w14:paraId="514A34C6" w14:textId="77777777" w:rsidR="00382869" w:rsidRPr="00053706" w:rsidRDefault="00382869" w:rsidP="00D22441">
            <w:pPr>
              <w:jc w:val="center"/>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19</w:t>
            </w:r>
          </w:p>
        </w:tc>
        <w:tc>
          <w:tcPr>
            <w:tcW w:w="585" w:type="dxa"/>
            <w:shd w:val="clear" w:color="000000" w:fill="F2F2F2"/>
            <w:noWrap/>
            <w:vAlign w:val="center"/>
            <w:hideMark/>
          </w:tcPr>
          <w:p w14:paraId="26D77B4E"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2080</w:t>
            </w:r>
          </w:p>
        </w:tc>
        <w:tc>
          <w:tcPr>
            <w:tcW w:w="941" w:type="dxa"/>
            <w:shd w:val="clear" w:color="000000" w:fill="F2F2F2"/>
            <w:noWrap/>
            <w:vAlign w:val="center"/>
            <w:hideMark/>
          </w:tcPr>
          <w:p w14:paraId="33A21DFA"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818000276</w:t>
            </w:r>
          </w:p>
        </w:tc>
        <w:tc>
          <w:tcPr>
            <w:tcW w:w="3533" w:type="dxa"/>
            <w:shd w:val="clear" w:color="000000" w:fill="F2F2F2"/>
            <w:vAlign w:val="center"/>
            <w:hideMark/>
          </w:tcPr>
          <w:p w14:paraId="6D64D3F6" w14:textId="2260E3EF" w:rsidR="00382869" w:rsidRPr="00053706" w:rsidRDefault="00382869" w:rsidP="00D22441">
            <w:pPr>
              <w:jc w:val="lef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JUNTA ADMINISTRADORA DE SERVICIOS PÚBLICOS DE CAPURGANA</w:t>
            </w:r>
          </w:p>
        </w:tc>
        <w:tc>
          <w:tcPr>
            <w:tcW w:w="1520" w:type="dxa"/>
            <w:shd w:val="clear" w:color="000000" w:fill="F2F2F2"/>
            <w:noWrap/>
            <w:vAlign w:val="center"/>
            <w:hideMark/>
          </w:tcPr>
          <w:p w14:paraId="502483E5"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$ 267.976.000</w:t>
            </w:r>
          </w:p>
        </w:tc>
        <w:tc>
          <w:tcPr>
            <w:tcW w:w="1360" w:type="dxa"/>
            <w:shd w:val="clear" w:color="000000" w:fill="F2F2F2"/>
            <w:noWrap/>
            <w:vAlign w:val="center"/>
            <w:hideMark/>
          </w:tcPr>
          <w:p w14:paraId="23E4C807"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$ 22.422.167</w:t>
            </w:r>
          </w:p>
        </w:tc>
        <w:tc>
          <w:tcPr>
            <w:tcW w:w="1520" w:type="dxa"/>
            <w:shd w:val="clear" w:color="000000" w:fill="F2F2F2"/>
            <w:noWrap/>
            <w:vAlign w:val="center"/>
            <w:hideMark/>
          </w:tcPr>
          <w:p w14:paraId="1ADA743C"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$ 290.398.167</w:t>
            </w:r>
          </w:p>
        </w:tc>
        <w:tc>
          <w:tcPr>
            <w:tcW w:w="1200" w:type="dxa"/>
            <w:shd w:val="clear" w:color="000000" w:fill="F2F2F2"/>
            <w:noWrap/>
            <w:vAlign w:val="center"/>
            <w:hideMark/>
          </w:tcPr>
          <w:p w14:paraId="49A9E468"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$ 2.903.982</w:t>
            </w:r>
          </w:p>
        </w:tc>
        <w:tc>
          <w:tcPr>
            <w:tcW w:w="1200" w:type="dxa"/>
            <w:shd w:val="clear" w:color="000000" w:fill="F2F2F2"/>
            <w:noWrap/>
            <w:vAlign w:val="center"/>
            <w:hideMark/>
          </w:tcPr>
          <w:p w14:paraId="15AC55FB"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$ 121</w:t>
            </w:r>
          </w:p>
        </w:tc>
        <w:tc>
          <w:tcPr>
            <w:tcW w:w="1289" w:type="dxa"/>
            <w:shd w:val="clear" w:color="000000" w:fill="F2F2F2"/>
            <w:noWrap/>
            <w:vAlign w:val="center"/>
            <w:hideMark/>
          </w:tcPr>
          <w:p w14:paraId="0F6B3CC1"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$ 2.904.103</w:t>
            </w:r>
          </w:p>
        </w:tc>
      </w:tr>
      <w:tr w:rsidR="00382869" w:rsidRPr="00053706" w14:paraId="61B086C2" w14:textId="77777777" w:rsidTr="009A29B8">
        <w:trPr>
          <w:trHeight w:val="465"/>
        </w:trPr>
        <w:tc>
          <w:tcPr>
            <w:tcW w:w="407" w:type="dxa"/>
            <w:shd w:val="clear" w:color="000000" w:fill="F2F2F2"/>
            <w:noWrap/>
            <w:vAlign w:val="center"/>
            <w:hideMark/>
          </w:tcPr>
          <w:p w14:paraId="2F748762" w14:textId="77777777" w:rsidR="00382869" w:rsidRPr="00053706" w:rsidRDefault="00382869" w:rsidP="00D22441">
            <w:pPr>
              <w:jc w:val="center"/>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20</w:t>
            </w:r>
          </w:p>
        </w:tc>
        <w:tc>
          <w:tcPr>
            <w:tcW w:w="585" w:type="dxa"/>
            <w:shd w:val="clear" w:color="000000" w:fill="F2F2F2"/>
            <w:noWrap/>
            <w:vAlign w:val="center"/>
            <w:hideMark/>
          </w:tcPr>
          <w:p w14:paraId="247A99EA"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3226</w:t>
            </w:r>
          </w:p>
        </w:tc>
        <w:tc>
          <w:tcPr>
            <w:tcW w:w="941" w:type="dxa"/>
            <w:shd w:val="clear" w:color="000000" w:fill="F2F2F2"/>
            <w:noWrap/>
            <w:vAlign w:val="center"/>
            <w:hideMark/>
          </w:tcPr>
          <w:p w14:paraId="0E6F5B49"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818001629</w:t>
            </w:r>
          </w:p>
        </w:tc>
        <w:tc>
          <w:tcPr>
            <w:tcW w:w="3533" w:type="dxa"/>
            <w:shd w:val="clear" w:color="000000" w:fill="F2F2F2"/>
            <w:vAlign w:val="center"/>
            <w:hideMark/>
          </w:tcPr>
          <w:p w14:paraId="610DB89D" w14:textId="4C805E7E" w:rsidR="00382869" w:rsidRPr="00053706" w:rsidRDefault="00382869" w:rsidP="00D22441">
            <w:pPr>
              <w:jc w:val="lef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EMPRESA DISTRIBUIDORA DEL PACIFICO S.A. E.S.P</w:t>
            </w:r>
            <w:r w:rsidR="00A21ED5" w:rsidRPr="00053706">
              <w:rPr>
                <w:rFonts w:ascii="Arial Narrow" w:hAnsi="Arial Narrow" w:cs="Arial"/>
                <w:color w:val="000000"/>
                <w:spacing w:val="0"/>
                <w:sz w:val="16"/>
                <w:szCs w:val="16"/>
                <w:lang w:eastAsia="es-CO"/>
              </w:rPr>
              <w:t>.</w:t>
            </w:r>
          </w:p>
        </w:tc>
        <w:tc>
          <w:tcPr>
            <w:tcW w:w="1520" w:type="dxa"/>
            <w:shd w:val="clear" w:color="000000" w:fill="F2F2F2"/>
            <w:noWrap/>
            <w:vAlign w:val="center"/>
            <w:hideMark/>
          </w:tcPr>
          <w:p w14:paraId="6670489B"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$ 4.857.262.000</w:t>
            </w:r>
          </w:p>
        </w:tc>
        <w:tc>
          <w:tcPr>
            <w:tcW w:w="1360" w:type="dxa"/>
            <w:shd w:val="clear" w:color="000000" w:fill="F2F2F2"/>
            <w:noWrap/>
            <w:vAlign w:val="center"/>
            <w:hideMark/>
          </w:tcPr>
          <w:p w14:paraId="7C9E5FE3"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$ 740.549.810</w:t>
            </w:r>
          </w:p>
        </w:tc>
        <w:tc>
          <w:tcPr>
            <w:tcW w:w="1520" w:type="dxa"/>
            <w:shd w:val="clear" w:color="000000" w:fill="F2F2F2"/>
            <w:noWrap/>
            <w:vAlign w:val="center"/>
            <w:hideMark/>
          </w:tcPr>
          <w:p w14:paraId="62D171C9"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$ 5.597.811.810</w:t>
            </w:r>
          </w:p>
        </w:tc>
        <w:tc>
          <w:tcPr>
            <w:tcW w:w="1200" w:type="dxa"/>
            <w:shd w:val="clear" w:color="000000" w:fill="F2F2F2"/>
            <w:noWrap/>
            <w:vAlign w:val="center"/>
            <w:hideMark/>
          </w:tcPr>
          <w:p w14:paraId="180722A2"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$ 55.978.118</w:t>
            </w:r>
          </w:p>
        </w:tc>
        <w:tc>
          <w:tcPr>
            <w:tcW w:w="1200" w:type="dxa"/>
            <w:shd w:val="clear" w:color="000000" w:fill="F2F2F2"/>
            <w:noWrap/>
            <w:vAlign w:val="center"/>
            <w:hideMark/>
          </w:tcPr>
          <w:p w14:paraId="64C868EE"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$ 2.330</w:t>
            </w:r>
          </w:p>
        </w:tc>
        <w:tc>
          <w:tcPr>
            <w:tcW w:w="1289" w:type="dxa"/>
            <w:shd w:val="clear" w:color="000000" w:fill="F2F2F2"/>
            <w:noWrap/>
            <w:vAlign w:val="center"/>
            <w:hideMark/>
          </w:tcPr>
          <w:p w14:paraId="776E689F"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$ 55.980.448</w:t>
            </w:r>
          </w:p>
        </w:tc>
      </w:tr>
      <w:tr w:rsidR="00382869" w:rsidRPr="00053706" w14:paraId="17730946" w14:textId="77777777" w:rsidTr="009A29B8">
        <w:trPr>
          <w:trHeight w:val="465"/>
        </w:trPr>
        <w:tc>
          <w:tcPr>
            <w:tcW w:w="407" w:type="dxa"/>
            <w:shd w:val="clear" w:color="000000" w:fill="F2F2F2"/>
            <w:noWrap/>
            <w:vAlign w:val="center"/>
            <w:hideMark/>
          </w:tcPr>
          <w:p w14:paraId="4C2EA900" w14:textId="77777777" w:rsidR="00382869" w:rsidRPr="00053706" w:rsidRDefault="00382869" w:rsidP="00D22441">
            <w:pPr>
              <w:jc w:val="center"/>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21</w:t>
            </w:r>
          </w:p>
        </w:tc>
        <w:tc>
          <w:tcPr>
            <w:tcW w:w="585" w:type="dxa"/>
            <w:shd w:val="clear" w:color="000000" w:fill="F2F2F2"/>
            <w:noWrap/>
            <w:vAlign w:val="center"/>
            <w:hideMark/>
          </w:tcPr>
          <w:p w14:paraId="35164DC0"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3076</w:t>
            </w:r>
          </w:p>
        </w:tc>
        <w:tc>
          <w:tcPr>
            <w:tcW w:w="941" w:type="dxa"/>
            <w:shd w:val="clear" w:color="000000" w:fill="F2F2F2"/>
            <w:noWrap/>
            <w:vAlign w:val="center"/>
            <w:hideMark/>
          </w:tcPr>
          <w:p w14:paraId="33B1960B"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822004680</w:t>
            </w:r>
          </w:p>
        </w:tc>
        <w:tc>
          <w:tcPr>
            <w:tcW w:w="3533" w:type="dxa"/>
            <w:shd w:val="clear" w:color="000000" w:fill="F2F2F2"/>
            <w:vAlign w:val="center"/>
            <w:hideMark/>
          </w:tcPr>
          <w:p w14:paraId="3ED5EEED" w14:textId="77777777" w:rsidR="00382869" w:rsidRPr="00053706" w:rsidRDefault="00382869" w:rsidP="00D22441">
            <w:pPr>
              <w:jc w:val="lef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EMPRESA DE ENERGIA ELECTRICA DEL DEPARTAMENTO DEL GUAVIARE SA ESP</w:t>
            </w:r>
          </w:p>
        </w:tc>
        <w:tc>
          <w:tcPr>
            <w:tcW w:w="1520" w:type="dxa"/>
            <w:shd w:val="clear" w:color="000000" w:fill="F2F2F2"/>
            <w:noWrap/>
            <w:vAlign w:val="center"/>
            <w:hideMark/>
          </w:tcPr>
          <w:p w14:paraId="303BC627"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$ 5.219.324.218</w:t>
            </w:r>
          </w:p>
        </w:tc>
        <w:tc>
          <w:tcPr>
            <w:tcW w:w="1360" w:type="dxa"/>
            <w:shd w:val="clear" w:color="000000" w:fill="F2F2F2"/>
            <w:noWrap/>
            <w:vAlign w:val="center"/>
            <w:hideMark/>
          </w:tcPr>
          <w:p w14:paraId="002D87A9"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$ 264.201.345</w:t>
            </w:r>
          </w:p>
        </w:tc>
        <w:tc>
          <w:tcPr>
            <w:tcW w:w="1520" w:type="dxa"/>
            <w:shd w:val="clear" w:color="000000" w:fill="F2F2F2"/>
            <w:noWrap/>
            <w:vAlign w:val="center"/>
            <w:hideMark/>
          </w:tcPr>
          <w:p w14:paraId="6DBA086D"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$ 5.483.525.563</w:t>
            </w:r>
          </w:p>
        </w:tc>
        <w:tc>
          <w:tcPr>
            <w:tcW w:w="1200" w:type="dxa"/>
            <w:shd w:val="clear" w:color="000000" w:fill="F2F2F2"/>
            <w:noWrap/>
            <w:vAlign w:val="center"/>
            <w:hideMark/>
          </w:tcPr>
          <w:p w14:paraId="14E239FC"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$ 54.835.256</w:t>
            </w:r>
          </w:p>
        </w:tc>
        <w:tc>
          <w:tcPr>
            <w:tcW w:w="1200" w:type="dxa"/>
            <w:shd w:val="clear" w:color="000000" w:fill="F2F2F2"/>
            <w:noWrap/>
            <w:vAlign w:val="center"/>
            <w:hideMark/>
          </w:tcPr>
          <w:p w14:paraId="45D72820"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$ 2.282</w:t>
            </w:r>
          </w:p>
        </w:tc>
        <w:tc>
          <w:tcPr>
            <w:tcW w:w="1289" w:type="dxa"/>
            <w:shd w:val="clear" w:color="000000" w:fill="F2F2F2"/>
            <w:noWrap/>
            <w:vAlign w:val="center"/>
            <w:hideMark/>
          </w:tcPr>
          <w:p w14:paraId="6A2B3A93"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$ 54.837.538</w:t>
            </w:r>
          </w:p>
        </w:tc>
      </w:tr>
      <w:tr w:rsidR="00382869" w:rsidRPr="00053706" w14:paraId="5E6E783F" w14:textId="77777777" w:rsidTr="009A29B8">
        <w:trPr>
          <w:trHeight w:val="465"/>
        </w:trPr>
        <w:tc>
          <w:tcPr>
            <w:tcW w:w="407" w:type="dxa"/>
            <w:shd w:val="clear" w:color="000000" w:fill="F2F2F2"/>
            <w:noWrap/>
            <w:vAlign w:val="center"/>
            <w:hideMark/>
          </w:tcPr>
          <w:p w14:paraId="33377D2D" w14:textId="77777777" w:rsidR="00382869" w:rsidRPr="00053706" w:rsidRDefault="00382869" w:rsidP="00D22441">
            <w:pPr>
              <w:jc w:val="center"/>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22</w:t>
            </w:r>
          </w:p>
        </w:tc>
        <w:tc>
          <w:tcPr>
            <w:tcW w:w="585" w:type="dxa"/>
            <w:shd w:val="clear" w:color="000000" w:fill="F2F2F2"/>
            <w:noWrap/>
            <w:vAlign w:val="center"/>
            <w:hideMark/>
          </w:tcPr>
          <w:p w14:paraId="72C9EA68"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1720</w:t>
            </w:r>
          </w:p>
        </w:tc>
        <w:tc>
          <w:tcPr>
            <w:tcW w:w="941" w:type="dxa"/>
            <w:shd w:val="clear" w:color="000000" w:fill="F2F2F2"/>
            <w:noWrap/>
            <w:vAlign w:val="center"/>
            <w:hideMark/>
          </w:tcPr>
          <w:p w14:paraId="4732876D"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827000108</w:t>
            </w:r>
          </w:p>
        </w:tc>
        <w:tc>
          <w:tcPr>
            <w:tcW w:w="3533" w:type="dxa"/>
            <w:shd w:val="clear" w:color="000000" w:fill="F2F2F2"/>
            <w:vAlign w:val="center"/>
            <w:hideMark/>
          </w:tcPr>
          <w:p w14:paraId="78822CF2" w14:textId="77777777" w:rsidR="00382869" w:rsidRPr="00053706" w:rsidRDefault="00382869" w:rsidP="00D22441">
            <w:pPr>
              <w:jc w:val="lef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SOCIEDAD PRODUCTORA DE ENERGÍA DE SAN ANDRES Y PROVIDENCIA S.A. E.S.P.</w:t>
            </w:r>
          </w:p>
        </w:tc>
        <w:tc>
          <w:tcPr>
            <w:tcW w:w="1520" w:type="dxa"/>
            <w:shd w:val="clear" w:color="000000" w:fill="F2F2F2"/>
            <w:noWrap/>
            <w:vAlign w:val="center"/>
            <w:hideMark/>
          </w:tcPr>
          <w:p w14:paraId="350343A4"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$ 9.134.839.000</w:t>
            </w:r>
          </w:p>
        </w:tc>
        <w:tc>
          <w:tcPr>
            <w:tcW w:w="1360" w:type="dxa"/>
            <w:shd w:val="clear" w:color="000000" w:fill="F2F2F2"/>
            <w:noWrap/>
            <w:vAlign w:val="center"/>
            <w:hideMark/>
          </w:tcPr>
          <w:p w14:paraId="5946AAA4"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$ 729.757.193</w:t>
            </w:r>
          </w:p>
        </w:tc>
        <w:tc>
          <w:tcPr>
            <w:tcW w:w="1520" w:type="dxa"/>
            <w:shd w:val="clear" w:color="000000" w:fill="F2F2F2"/>
            <w:noWrap/>
            <w:vAlign w:val="center"/>
            <w:hideMark/>
          </w:tcPr>
          <w:p w14:paraId="070D3B09"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$ 9.864.596.193</w:t>
            </w:r>
          </w:p>
        </w:tc>
        <w:tc>
          <w:tcPr>
            <w:tcW w:w="1200" w:type="dxa"/>
            <w:shd w:val="clear" w:color="000000" w:fill="F2F2F2"/>
            <w:noWrap/>
            <w:vAlign w:val="center"/>
            <w:hideMark/>
          </w:tcPr>
          <w:p w14:paraId="219E7980"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$ 98.645.962</w:t>
            </w:r>
          </w:p>
        </w:tc>
        <w:tc>
          <w:tcPr>
            <w:tcW w:w="1200" w:type="dxa"/>
            <w:shd w:val="clear" w:color="000000" w:fill="F2F2F2"/>
            <w:noWrap/>
            <w:vAlign w:val="center"/>
            <w:hideMark/>
          </w:tcPr>
          <w:p w14:paraId="57A7E3F0"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$ 4.105</w:t>
            </w:r>
          </w:p>
        </w:tc>
        <w:tc>
          <w:tcPr>
            <w:tcW w:w="1289" w:type="dxa"/>
            <w:shd w:val="clear" w:color="000000" w:fill="F2F2F2"/>
            <w:noWrap/>
            <w:vAlign w:val="center"/>
            <w:hideMark/>
          </w:tcPr>
          <w:p w14:paraId="5EE0501E"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$ 98.650.067</w:t>
            </w:r>
          </w:p>
        </w:tc>
      </w:tr>
      <w:tr w:rsidR="00382869" w:rsidRPr="00053706" w14:paraId="744C69A6" w14:textId="77777777" w:rsidTr="009A29B8">
        <w:trPr>
          <w:trHeight w:val="690"/>
        </w:trPr>
        <w:tc>
          <w:tcPr>
            <w:tcW w:w="407" w:type="dxa"/>
            <w:shd w:val="clear" w:color="000000" w:fill="F2F2F2"/>
            <w:noWrap/>
            <w:vAlign w:val="center"/>
            <w:hideMark/>
          </w:tcPr>
          <w:p w14:paraId="4F07F190" w14:textId="77777777" w:rsidR="00382869" w:rsidRPr="00053706" w:rsidRDefault="00382869" w:rsidP="00D22441">
            <w:pPr>
              <w:jc w:val="center"/>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23</w:t>
            </w:r>
          </w:p>
        </w:tc>
        <w:tc>
          <w:tcPr>
            <w:tcW w:w="585" w:type="dxa"/>
            <w:shd w:val="clear" w:color="000000" w:fill="F2F2F2"/>
            <w:noWrap/>
            <w:vAlign w:val="center"/>
            <w:hideMark/>
          </w:tcPr>
          <w:p w14:paraId="7ECAF1A2"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3111</w:t>
            </w:r>
          </w:p>
        </w:tc>
        <w:tc>
          <w:tcPr>
            <w:tcW w:w="941" w:type="dxa"/>
            <w:shd w:val="clear" w:color="000000" w:fill="F2F2F2"/>
            <w:noWrap/>
            <w:vAlign w:val="center"/>
            <w:hideMark/>
          </w:tcPr>
          <w:p w14:paraId="4AA4C944"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830092965</w:t>
            </w:r>
          </w:p>
        </w:tc>
        <w:tc>
          <w:tcPr>
            <w:tcW w:w="3533" w:type="dxa"/>
            <w:shd w:val="clear" w:color="000000" w:fill="F2F2F2"/>
            <w:vAlign w:val="center"/>
            <w:hideMark/>
          </w:tcPr>
          <w:p w14:paraId="2ECA0175" w14:textId="77777777" w:rsidR="00382869" w:rsidRPr="00053706" w:rsidRDefault="00382869" w:rsidP="00D22441">
            <w:pPr>
              <w:jc w:val="lef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ENERGETICOS S.A.S.  E.S.P. DISTRIBUIDORA Y COMERCIALIZADORA DE ENERGIA GAS E HIDROCARBUROS</w:t>
            </w:r>
          </w:p>
        </w:tc>
        <w:tc>
          <w:tcPr>
            <w:tcW w:w="1520" w:type="dxa"/>
            <w:shd w:val="clear" w:color="000000" w:fill="F2F2F2"/>
            <w:noWrap/>
            <w:vAlign w:val="center"/>
            <w:hideMark/>
          </w:tcPr>
          <w:p w14:paraId="16A6B17C"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$ 1.816.012.000</w:t>
            </w:r>
          </w:p>
        </w:tc>
        <w:tc>
          <w:tcPr>
            <w:tcW w:w="1360" w:type="dxa"/>
            <w:shd w:val="clear" w:color="000000" w:fill="F2F2F2"/>
            <w:noWrap/>
            <w:vAlign w:val="center"/>
            <w:hideMark/>
          </w:tcPr>
          <w:p w14:paraId="13F39C92"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$ 114.906.673</w:t>
            </w:r>
          </w:p>
        </w:tc>
        <w:tc>
          <w:tcPr>
            <w:tcW w:w="1520" w:type="dxa"/>
            <w:shd w:val="clear" w:color="000000" w:fill="F2F2F2"/>
            <w:noWrap/>
            <w:vAlign w:val="center"/>
            <w:hideMark/>
          </w:tcPr>
          <w:p w14:paraId="03CA3B33"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$ 1.930.918.673</w:t>
            </w:r>
          </w:p>
        </w:tc>
        <w:tc>
          <w:tcPr>
            <w:tcW w:w="1200" w:type="dxa"/>
            <w:shd w:val="clear" w:color="000000" w:fill="F2F2F2"/>
            <w:noWrap/>
            <w:vAlign w:val="center"/>
            <w:hideMark/>
          </w:tcPr>
          <w:p w14:paraId="004DC2D0"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$ 19.309.187</w:t>
            </w:r>
          </w:p>
        </w:tc>
        <w:tc>
          <w:tcPr>
            <w:tcW w:w="1200" w:type="dxa"/>
            <w:shd w:val="clear" w:color="000000" w:fill="F2F2F2"/>
            <w:noWrap/>
            <w:vAlign w:val="center"/>
            <w:hideMark/>
          </w:tcPr>
          <w:p w14:paraId="42374A47"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$ 804</w:t>
            </w:r>
          </w:p>
        </w:tc>
        <w:tc>
          <w:tcPr>
            <w:tcW w:w="1289" w:type="dxa"/>
            <w:shd w:val="clear" w:color="000000" w:fill="F2F2F2"/>
            <w:noWrap/>
            <w:vAlign w:val="center"/>
            <w:hideMark/>
          </w:tcPr>
          <w:p w14:paraId="5E295FC8"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$ 19.309.990</w:t>
            </w:r>
          </w:p>
        </w:tc>
      </w:tr>
      <w:tr w:rsidR="00382869" w:rsidRPr="00053706" w14:paraId="787F2A86" w14:textId="77777777" w:rsidTr="009A29B8">
        <w:trPr>
          <w:trHeight w:val="273"/>
        </w:trPr>
        <w:tc>
          <w:tcPr>
            <w:tcW w:w="407" w:type="dxa"/>
            <w:shd w:val="clear" w:color="000000" w:fill="F2F2F2"/>
            <w:noWrap/>
            <w:vAlign w:val="center"/>
            <w:hideMark/>
          </w:tcPr>
          <w:p w14:paraId="327DF805" w14:textId="77777777" w:rsidR="00382869" w:rsidRPr="00053706" w:rsidRDefault="00382869" w:rsidP="00D22441">
            <w:pPr>
              <w:jc w:val="center"/>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24</w:t>
            </w:r>
          </w:p>
        </w:tc>
        <w:tc>
          <w:tcPr>
            <w:tcW w:w="585" w:type="dxa"/>
            <w:shd w:val="clear" w:color="000000" w:fill="F2F2F2"/>
            <w:noWrap/>
            <w:vAlign w:val="center"/>
            <w:hideMark/>
          </w:tcPr>
          <w:p w14:paraId="25A0B541"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21570</w:t>
            </w:r>
          </w:p>
        </w:tc>
        <w:tc>
          <w:tcPr>
            <w:tcW w:w="941" w:type="dxa"/>
            <w:shd w:val="clear" w:color="000000" w:fill="F2F2F2"/>
            <w:noWrap/>
            <w:vAlign w:val="center"/>
            <w:hideMark/>
          </w:tcPr>
          <w:p w14:paraId="2156457F"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830107528</w:t>
            </w:r>
          </w:p>
        </w:tc>
        <w:tc>
          <w:tcPr>
            <w:tcW w:w="3533" w:type="dxa"/>
            <w:shd w:val="clear" w:color="000000" w:fill="F2F2F2"/>
            <w:vAlign w:val="center"/>
            <w:hideMark/>
          </w:tcPr>
          <w:p w14:paraId="05B4EC89" w14:textId="77777777" w:rsidR="00382869" w:rsidRPr="00053706" w:rsidRDefault="00382869" w:rsidP="00D22441">
            <w:pPr>
              <w:jc w:val="lef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GENERARCO S.A.S. E.S.P.</w:t>
            </w:r>
          </w:p>
        </w:tc>
        <w:tc>
          <w:tcPr>
            <w:tcW w:w="1520" w:type="dxa"/>
            <w:shd w:val="clear" w:color="000000" w:fill="F2F2F2"/>
            <w:noWrap/>
            <w:vAlign w:val="center"/>
            <w:hideMark/>
          </w:tcPr>
          <w:p w14:paraId="08E2FD9E"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$ 1.807.282.000</w:t>
            </w:r>
          </w:p>
        </w:tc>
        <w:tc>
          <w:tcPr>
            <w:tcW w:w="1360" w:type="dxa"/>
            <w:shd w:val="clear" w:color="000000" w:fill="F2F2F2"/>
            <w:noWrap/>
            <w:vAlign w:val="center"/>
            <w:hideMark/>
          </w:tcPr>
          <w:p w14:paraId="07285292"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$ 1.840.543.617</w:t>
            </w:r>
          </w:p>
        </w:tc>
        <w:tc>
          <w:tcPr>
            <w:tcW w:w="1520" w:type="dxa"/>
            <w:shd w:val="clear" w:color="000000" w:fill="F2F2F2"/>
            <w:noWrap/>
            <w:vAlign w:val="center"/>
            <w:hideMark/>
          </w:tcPr>
          <w:p w14:paraId="30F4590C"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$ 3.647.825.617</w:t>
            </w:r>
          </w:p>
        </w:tc>
        <w:tc>
          <w:tcPr>
            <w:tcW w:w="1200" w:type="dxa"/>
            <w:shd w:val="clear" w:color="000000" w:fill="F2F2F2"/>
            <w:noWrap/>
            <w:vAlign w:val="center"/>
            <w:hideMark/>
          </w:tcPr>
          <w:p w14:paraId="2908E911"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$ 36.478.256</w:t>
            </w:r>
          </w:p>
        </w:tc>
        <w:tc>
          <w:tcPr>
            <w:tcW w:w="1200" w:type="dxa"/>
            <w:shd w:val="clear" w:color="000000" w:fill="F2F2F2"/>
            <w:noWrap/>
            <w:vAlign w:val="center"/>
            <w:hideMark/>
          </w:tcPr>
          <w:p w14:paraId="55E2047F"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$ 1.518</w:t>
            </w:r>
          </w:p>
        </w:tc>
        <w:tc>
          <w:tcPr>
            <w:tcW w:w="1289" w:type="dxa"/>
            <w:shd w:val="clear" w:color="000000" w:fill="F2F2F2"/>
            <w:noWrap/>
            <w:vAlign w:val="center"/>
            <w:hideMark/>
          </w:tcPr>
          <w:p w14:paraId="5AD35560"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$ 36.479.774</w:t>
            </w:r>
          </w:p>
        </w:tc>
      </w:tr>
      <w:tr w:rsidR="00382869" w:rsidRPr="00053706" w14:paraId="264D2188" w14:textId="77777777" w:rsidTr="00053706">
        <w:trPr>
          <w:trHeight w:val="239"/>
        </w:trPr>
        <w:tc>
          <w:tcPr>
            <w:tcW w:w="407" w:type="dxa"/>
            <w:shd w:val="clear" w:color="000000" w:fill="F2F2F2"/>
            <w:noWrap/>
            <w:vAlign w:val="center"/>
            <w:hideMark/>
          </w:tcPr>
          <w:p w14:paraId="418F510A" w14:textId="77777777" w:rsidR="00382869" w:rsidRPr="00053706" w:rsidRDefault="00382869" w:rsidP="00D22441">
            <w:pPr>
              <w:jc w:val="center"/>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25</w:t>
            </w:r>
          </w:p>
        </w:tc>
        <w:tc>
          <w:tcPr>
            <w:tcW w:w="585" w:type="dxa"/>
            <w:shd w:val="clear" w:color="000000" w:fill="F2F2F2"/>
            <w:noWrap/>
            <w:vAlign w:val="center"/>
            <w:hideMark/>
          </w:tcPr>
          <w:p w14:paraId="3224B7F0"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3268</w:t>
            </w:r>
          </w:p>
        </w:tc>
        <w:tc>
          <w:tcPr>
            <w:tcW w:w="941" w:type="dxa"/>
            <w:shd w:val="clear" w:color="000000" w:fill="F2F2F2"/>
            <w:noWrap/>
            <w:vAlign w:val="center"/>
            <w:hideMark/>
          </w:tcPr>
          <w:p w14:paraId="45B13AB8"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830113630</w:t>
            </w:r>
          </w:p>
        </w:tc>
        <w:tc>
          <w:tcPr>
            <w:tcW w:w="3533" w:type="dxa"/>
            <w:shd w:val="clear" w:color="000000" w:fill="F2F2F2"/>
            <w:vAlign w:val="center"/>
            <w:hideMark/>
          </w:tcPr>
          <w:p w14:paraId="3B267817" w14:textId="77777777" w:rsidR="00382869" w:rsidRPr="00053706" w:rsidRDefault="00382869" w:rsidP="00D22441">
            <w:pPr>
              <w:jc w:val="lef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ZONA FRANCA CELSIA S.A. E.S.P.</w:t>
            </w:r>
          </w:p>
        </w:tc>
        <w:tc>
          <w:tcPr>
            <w:tcW w:w="1520" w:type="dxa"/>
            <w:shd w:val="clear" w:color="000000" w:fill="F2F2F2"/>
            <w:noWrap/>
            <w:vAlign w:val="center"/>
            <w:hideMark/>
          </w:tcPr>
          <w:p w14:paraId="4DD9DCA0"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$ 37.318.209.000</w:t>
            </w:r>
          </w:p>
        </w:tc>
        <w:tc>
          <w:tcPr>
            <w:tcW w:w="1360" w:type="dxa"/>
            <w:shd w:val="clear" w:color="000000" w:fill="F2F2F2"/>
            <w:noWrap/>
            <w:vAlign w:val="center"/>
            <w:hideMark/>
          </w:tcPr>
          <w:p w14:paraId="39F1D0E6"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$ 3.426.659.016</w:t>
            </w:r>
          </w:p>
        </w:tc>
        <w:tc>
          <w:tcPr>
            <w:tcW w:w="1520" w:type="dxa"/>
            <w:shd w:val="clear" w:color="000000" w:fill="F2F2F2"/>
            <w:noWrap/>
            <w:vAlign w:val="center"/>
            <w:hideMark/>
          </w:tcPr>
          <w:p w14:paraId="0CE7DB2E"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$ 40.744.868.016</w:t>
            </w:r>
          </w:p>
        </w:tc>
        <w:tc>
          <w:tcPr>
            <w:tcW w:w="1200" w:type="dxa"/>
            <w:shd w:val="clear" w:color="000000" w:fill="F2F2F2"/>
            <w:noWrap/>
            <w:vAlign w:val="center"/>
            <w:hideMark/>
          </w:tcPr>
          <w:p w14:paraId="35D01C19"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$ 407.448.680</w:t>
            </w:r>
          </w:p>
        </w:tc>
        <w:tc>
          <w:tcPr>
            <w:tcW w:w="1200" w:type="dxa"/>
            <w:shd w:val="clear" w:color="000000" w:fill="F2F2F2"/>
            <w:noWrap/>
            <w:vAlign w:val="center"/>
            <w:hideMark/>
          </w:tcPr>
          <w:p w14:paraId="0BD2C141"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$ 16.957</w:t>
            </w:r>
          </w:p>
        </w:tc>
        <w:tc>
          <w:tcPr>
            <w:tcW w:w="1289" w:type="dxa"/>
            <w:shd w:val="clear" w:color="000000" w:fill="F2F2F2"/>
            <w:noWrap/>
            <w:vAlign w:val="center"/>
            <w:hideMark/>
          </w:tcPr>
          <w:p w14:paraId="2F4C89BF"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$ 407.465.637</w:t>
            </w:r>
          </w:p>
        </w:tc>
      </w:tr>
      <w:tr w:rsidR="00382869" w:rsidRPr="00053706" w14:paraId="45554964" w14:textId="77777777" w:rsidTr="009A29B8">
        <w:trPr>
          <w:trHeight w:val="269"/>
        </w:trPr>
        <w:tc>
          <w:tcPr>
            <w:tcW w:w="407" w:type="dxa"/>
            <w:shd w:val="clear" w:color="000000" w:fill="F2F2F2"/>
            <w:noWrap/>
            <w:vAlign w:val="center"/>
            <w:hideMark/>
          </w:tcPr>
          <w:p w14:paraId="780C1A45" w14:textId="77777777" w:rsidR="00382869" w:rsidRPr="00053706" w:rsidRDefault="00382869" w:rsidP="00D22441">
            <w:pPr>
              <w:jc w:val="center"/>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26</w:t>
            </w:r>
          </w:p>
        </w:tc>
        <w:tc>
          <w:tcPr>
            <w:tcW w:w="585" w:type="dxa"/>
            <w:shd w:val="clear" w:color="000000" w:fill="F2F2F2"/>
            <w:noWrap/>
            <w:vAlign w:val="center"/>
            <w:hideMark/>
          </w:tcPr>
          <w:p w14:paraId="0358CE4B"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20033</w:t>
            </w:r>
          </w:p>
        </w:tc>
        <w:tc>
          <w:tcPr>
            <w:tcW w:w="941" w:type="dxa"/>
            <w:shd w:val="clear" w:color="000000" w:fill="F2F2F2"/>
            <w:noWrap/>
            <w:vAlign w:val="center"/>
            <w:hideMark/>
          </w:tcPr>
          <w:p w14:paraId="00EEC53A"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830129277</w:t>
            </w:r>
          </w:p>
        </w:tc>
        <w:tc>
          <w:tcPr>
            <w:tcW w:w="3533" w:type="dxa"/>
            <w:shd w:val="clear" w:color="000000" w:fill="F2F2F2"/>
            <w:vAlign w:val="center"/>
            <w:hideMark/>
          </w:tcPr>
          <w:p w14:paraId="6310FB77" w14:textId="77777777" w:rsidR="00382869" w:rsidRPr="00053706" w:rsidRDefault="00382869" w:rsidP="00D22441">
            <w:pPr>
              <w:jc w:val="lef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TERMOYOPAL GENERACION 2 S.A.S. E.S.P.</w:t>
            </w:r>
          </w:p>
        </w:tc>
        <w:tc>
          <w:tcPr>
            <w:tcW w:w="1520" w:type="dxa"/>
            <w:shd w:val="clear" w:color="000000" w:fill="F2F2F2"/>
            <w:noWrap/>
            <w:vAlign w:val="center"/>
            <w:hideMark/>
          </w:tcPr>
          <w:p w14:paraId="1D8BE351"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$ 2.909.487.000</w:t>
            </w:r>
          </w:p>
        </w:tc>
        <w:tc>
          <w:tcPr>
            <w:tcW w:w="1360" w:type="dxa"/>
            <w:shd w:val="clear" w:color="000000" w:fill="F2F2F2"/>
            <w:noWrap/>
            <w:vAlign w:val="center"/>
            <w:hideMark/>
          </w:tcPr>
          <w:p w14:paraId="1A9C6CA0"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$ 62.708.618</w:t>
            </w:r>
          </w:p>
        </w:tc>
        <w:tc>
          <w:tcPr>
            <w:tcW w:w="1520" w:type="dxa"/>
            <w:shd w:val="clear" w:color="000000" w:fill="F2F2F2"/>
            <w:noWrap/>
            <w:vAlign w:val="center"/>
            <w:hideMark/>
          </w:tcPr>
          <w:p w14:paraId="7DFFF390"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$ 2.972.195.618</w:t>
            </w:r>
          </w:p>
        </w:tc>
        <w:tc>
          <w:tcPr>
            <w:tcW w:w="1200" w:type="dxa"/>
            <w:shd w:val="clear" w:color="000000" w:fill="F2F2F2"/>
            <w:noWrap/>
            <w:vAlign w:val="center"/>
            <w:hideMark/>
          </w:tcPr>
          <w:p w14:paraId="5F2FD96A"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$ 29.721.956</w:t>
            </w:r>
          </w:p>
        </w:tc>
        <w:tc>
          <w:tcPr>
            <w:tcW w:w="1200" w:type="dxa"/>
            <w:shd w:val="clear" w:color="000000" w:fill="F2F2F2"/>
            <w:noWrap/>
            <w:vAlign w:val="center"/>
            <w:hideMark/>
          </w:tcPr>
          <w:p w14:paraId="49B4AC52"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$ 1.237</w:t>
            </w:r>
          </w:p>
        </w:tc>
        <w:tc>
          <w:tcPr>
            <w:tcW w:w="1289" w:type="dxa"/>
            <w:shd w:val="clear" w:color="000000" w:fill="F2F2F2"/>
            <w:noWrap/>
            <w:vAlign w:val="center"/>
            <w:hideMark/>
          </w:tcPr>
          <w:p w14:paraId="3343A673"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$ 29.723.193</w:t>
            </w:r>
          </w:p>
        </w:tc>
      </w:tr>
      <w:tr w:rsidR="00382869" w:rsidRPr="00053706" w14:paraId="179F62C2" w14:textId="77777777" w:rsidTr="00053706">
        <w:trPr>
          <w:trHeight w:val="274"/>
        </w:trPr>
        <w:tc>
          <w:tcPr>
            <w:tcW w:w="407" w:type="dxa"/>
            <w:shd w:val="clear" w:color="000000" w:fill="F2F2F2"/>
            <w:noWrap/>
            <w:vAlign w:val="center"/>
            <w:hideMark/>
          </w:tcPr>
          <w:p w14:paraId="73ED6355" w14:textId="77777777" w:rsidR="00382869" w:rsidRPr="00053706" w:rsidRDefault="00382869" w:rsidP="00D22441">
            <w:pPr>
              <w:jc w:val="center"/>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27</w:t>
            </w:r>
          </w:p>
        </w:tc>
        <w:tc>
          <w:tcPr>
            <w:tcW w:w="585" w:type="dxa"/>
            <w:shd w:val="clear" w:color="000000" w:fill="F2F2F2"/>
            <w:noWrap/>
            <w:vAlign w:val="center"/>
            <w:hideMark/>
          </w:tcPr>
          <w:p w14:paraId="7508A432"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20156</w:t>
            </w:r>
          </w:p>
        </w:tc>
        <w:tc>
          <w:tcPr>
            <w:tcW w:w="941" w:type="dxa"/>
            <w:shd w:val="clear" w:color="000000" w:fill="F2F2F2"/>
            <w:noWrap/>
            <w:vAlign w:val="center"/>
            <w:hideMark/>
          </w:tcPr>
          <w:p w14:paraId="678FF6CA"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830147341</w:t>
            </w:r>
          </w:p>
        </w:tc>
        <w:tc>
          <w:tcPr>
            <w:tcW w:w="3533" w:type="dxa"/>
            <w:shd w:val="clear" w:color="000000" w:fill="F2F2F2"/>
            <w:vAlign w:val="center"/>
            <w:hideMark/>
          </w:tcPr>
          <w:p w14:paraId="18FBA17D" w14:textId="77777777" w:rsidR="00382869" w:rsidRPr="00053706" w:rsidRDefault="00382869" w:rsidP="00D22441">
            <w:pPr>
              <w:jc w:val="lef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COMERCIALIZADORA DEL CAFE S.A.S. E.S.P.</w:t>
            </w:r>
          </w:p>
        </w:tc>
        <w:tc>
          <w:tcPr>
            <w:tcW w:w="1520" w:type="dxa"/>
            <w:shd w:val="clear" w:color="000000" w:fill="F2F2F2"/>
            <w:noWrap/>
            <w:vAlign w:val="center"/>
            <w:hideMark/>
          </w:tcPr>
          <w:p w14:paraId="086F06CA"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$ 68.145.000</w:t>
            </w:r>
          </w:p>
        </w:tc>
        <w:tc>
          <w:tcPr>
            <w:tcW w:w="1360" w:type="dxa"/>
            <w:shd w:val="clear" w:color="000000" w:fill="F2F2F2"/>
            <w:noWrap/>
            <w:vAlign w:val="center"/>
            <w:hideMark/>
          </w:tcPr>
          <w:p w14:paraId="266426B6"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$ 126.059.588</w:t>
            </w:r>
          </w:p>
        </w:tc>
        <w:tc>
          <w:tcPr>
            <w:tcW w:w="1520" w:type="dxa"/>
            <w:shd w:val="clear" w:color="000000" w:fill="F2F2F2"/>
            <w:noWrap/>
            <w:vAlign w:val="center"/>
            <w:hideMark/>
          </w:tcPr>
          <w:p w14:paraId="6B2DD7DA"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$ 194.204.588</w:t>
            </w:r>
          </w:p>
        </w:tc>
        <w:tc>
          <w:tcPr>
            <w:tcW w:w="1200" w:type="dxa"/>
            <w:shd w:val="clear" w:color="000000" w:fill="F2F2F2"/>
            <w:noWrap/>
            <w:vAlign w:val="center"/>
            <w:hideMark/>
          </w:tcPr>
          <w:p w14:paraId="58BEA7D3"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$ 1.942.046</w:t>
            </w:r>
          </w:p>
        </w:tc>
        <w:tc>
          <w:tcPr>
            <w:tcW w:w="1200" w:type="dxa"/>
            <w:shd w:val="clear" w:color="000000" w:fill="F2F2F2"/>
            <w:noWrap/>
            <w:vAlign w:val="center"/>
            <w:hideMark/>
          </w:tcPr>
          <w:p w14:paraId="25393D92"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$ 81</w:t>
            </w:r>
          </w:p>
        </w:tc>
        <w:tc>
          <w:tcPr>
            <w:tcW w:w="1289" w:type="dxa"/>
            <w:shd w:val="clear" w:color="000000" w:fill="F2F2F2"/>
            <w:noWrap/>
            <w:vAlign w:val="center"/>
            <w:hideMark/>
          </w:tcPr>
          <w:p w14:paraId="1FFBBD71"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$ 1.942.127</w:t>
            </w:r>
          </w:p>
        </w:tc>
      </w:tr>
      <w:tr w:rsidR="00382869" w:rsidRPr="00053706" w14:paraId="0D403D4E" w14:textId="77777777" w:rsidTr="00053706">
        <w:trPr>
          <w:trHeight w:val="421"/>
        </w:trPr>
        <w:tc>
          <w:tcPr>
            <w:tcW w:w="407" w:type="dxa"/>
            <w:shd w:val="clear" w:color="000000" w:fill="F2F2F2"/>
            <w:noWrap/>
            <w:vAlign w:val="center"/>
            <w:hideMark/>
          </w:tcPr>
          <w:p w14:paraId="589C639F" w14:textId="77777777" w:rsidR="00382869" w:rsidRPr="00053706" w:rsidRDefault="00382869" w:rsidP="00D22441">
            <w:pPr>
              <w:jc w:val="center"/>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28</w:t>
            </w:r>
          </w:p>
        </w:tc>
        <w:tc>
          <w:tcPr>
            <w:tcW w:w="585" w:type="dxa"/>
            <w:shd w:val="clear" w:color="000000" w:fill="F2F2F2"/>
            <w:noWrap/>
            <w:vAlign w:val="center"/>
            <w:hideMark/>
          </w:tcPr>
          <w:p w14:paraId="02A6BEFB"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1892</w:t>
            </w:r>
          </w:p>
        </w:tc>
        <w:tc>
          <w:tcPr>
            <w:tcW w:w="941" w:type="dxa"/>
            <w:shd w:val="clear" w:color="000000" w:fill="F2F2F2"/>
            <w:noWrap/>
            <w:vAlign w:val="center"/>
            <w:hideMark/>
          </w:tcPr>
          <w:p w14:paraId="51F94C18"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835000142</w:t>
            </w:r>
          </w:p>
        </w:tc>
        <w:tc>
          <w:tcPr>
            <w:tcW w:w="3533" w:type="dxa"/>
            <w:shd w:val="clear" w:color="000000" w:fill="F2F2F2"/>
            <w:vAlign w:val="center"/>
            <w:hideMark/>
          </w:tcPr>
          <w:p w14:paraId="63E9154D" w14:textId="61DD7E8B" w:rsidR="00382869" w:rsidRPr="00053706" w:rsidRDefault="00382869" w:rsidP="00D22441">
            <w:pPr>
              <w:jc w:val="lef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EMPRESA DE ENERGÍA DE GUAPI S.A. E.S.P.</w:t>
            </w:r>
          </w:p>
        </w:tc>
        <w:tc>
          <w:tcPr>
            <w:tcW w:w="1520" w:type="dxa"/>
            <w:shd w:val="clear" w:color="000000" w:fill="F2F2F2"/>
            <w:noWrap/>
            <w:vAlign w:val="center"/>
            <w:hideMark/>
          </w:tcPr>
          <w:p w14:paraId="7FE320FB"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$ 667.241.000</w:t>
            </w:r>
          </w:p>
        </w:tc>
        <w:tc>
          <w:tcPr>
            <w:tcW w:w="1360" w:type="dxa"/>
            <w:shd w:val="clear" w:color="000000" w:fill="F2F2F2"/>
            <w:noWrap/>
            <w:vAlign w:val="center"/>
            <w:hideMark/>
          </w:tcPr>
          <w:p w14:paraId="4775409C"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$ 0</w:t>
            </w:r>
          </w:p>
        </w:tc>
        <w:tc>
          <w:tcPr>
            <w:tcW w:w="1520" w:type="dxa"/>
            <w:shd w:val="clear" w:color="000000" w:fill="F2F2F2"/>
            <w:noWrap/>
            <w:vAlign w:val="center"/>
            <w:hideMark/>
          </w:tcPr>
          <w:p w14:paraId="783C6B39"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$ 667.241.000</w:t>
            </w:r>
          </w:p>
        </w:tc>
        <w:tc>
          <w:tcPr>
            <w:tcW w:w="1200" w:type="dxa"/>
            <w:shd w:val="clear" w:color="000000" w:fill="F2F2F2"/>
            <w:noWrap/>
            <w:vAlign w:val="center"/>
            <w:hideMark/>
          </w:tcPr>
          <w:p w14:paraId="40EA5FA5"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$ 6.672.410</w:t>
            </w:r>
          </w:p>
        </w:tc>
        <w:tc>
          <w:tcPr>
            <w:tcW w:w="1200" w:type="dxa"/>
            <w:shd w:val="clear" w:color="000000" w:fill="F2F2F2"/>
            <w:noWrap/>
            <w:vAlign w:val="center"/>
            <w:hideMark/>
          </w:tcPr>
          <w:p w14:paraId="7A64132E"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$ 278</w:t>
            </w:r>
          </w:p>
        </w:tc>
        <w:tc>
          <w:tcPr>
            <w:tcW w:w="1289" w:type="dxa"/>
            <w:shd w:val="clear" w:color="000000" w:fill="F2F2F2"/>
            <w:noWrap/>
            <w:vAlign w:val="center"/>
            <w:hideMark/>
          </w:tcPr>
          <w:p w14:paraId="6C40CE89"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$ 6.672.688</w:t>
            </w:r>
          </w:p>
        </w:tc>
      </w:tr>
      <w:tr w:rsidR="00382869" w:rsidRPr="00053706" w14:paraId="31A5A689" w14:textId="77777777" w:rsidTr="009A29B8">
        <w:trPr>
          <w:trHeight w:val="465"/>
        </w:trPr>
        <w:tc>
          <w:tcPr>
            <w:tcW w:w="407" w:type="dxa"/>
            <w:shd w:val="clear" w:color="000000" w:fill="F2F2F2"/>
            <w:noWrap/>
            <w:vAlign w:val="center"/>
            <w:hideMark/>
          </w:tcPr>
          <w:p w14:paraId="747CA396" w14:textId="77777777" w:rsidR="00382869" w:rsidRPr="00053706" w:rsidRDefault="00382869" w:rsidP="00D22441">
            <w:pPr>
              <w:jc w:val="center"/>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29</w:t>
            </w:r>
          </w:p>
        </w:tc>
        <w:tc>
          <w:tcPr>
            <w:tcW w:w="585" w:type="dxa"/>
            <w:shd w:val="clear" w:color="000000" w:fill="F2F2F2"/>
            <w:noWrap/>
            <w:vAlign w:val="center"/>
            <w:hideMark/>
          </w:tcPr>
          <w:p w14:paraId="6C9CB1EB"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20081</w:t>
            </w:r>
          </w:p>
        </w:tc>
        <w:tc>
          <w:tcPr>
            <w:tcW w:w="941" w:type="dxa"/>
            <w:shd w:val="clear" w:color="000000" w:fill="F2F2F2"/>
            <w:noWrap/>
            <w:vAlign w:val="center"/>
            <w:hideMark/>
          </w:tcPr>
          <w:p w14:paraId="52626B19"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840000929</w:t>
            </w:r>
          </w:p>
        </w:tc>
        <w:tc>
          <w:tcPr>
            <w:tcW w:w="3533" w:type="dxa"/>
            <w:shd w:val="clear" w:color="000000" w:fill="F2F2F2"/>
            <w:vAlign w:val="center"/>
            <w:hideMark/>
          </w:tcPr>
          <w:p w14:paraId="24B3791F" w14:textId="094C8439" w:rsidR="00382869" w:rsidRPr="00053706" w:rsidRDefault="00382869" w:rsidP="00D22441">
            <w:pPr>
              <w:jc w:val="lef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EMPRESA DE ENERGIA DE MAGUI PAYAN S.A E.S.P</w:t>
            </w:r>
            <w:r w:rsidR="00A21ED5" w:rsidRPr="00053706">
              <w:rPr>
                <w:rFonts w:ascii="Arial Narrow" w:hAnsi="Arial Narrow" w:cs="Arial"/>
                <w:color w:val="000000"/>
                <w:spacing w:val="0"/>
                <w:sz w:val="16"/>
                <w:szCs w:val="16"/>
                <w:lang w:eastAsia="es-CO"/>
              </w:rPr>
              <w:t>.</w:t>
            </w:r>
          </w:p>
        </w:tc>
        <w:tc>
          <w:tcPr>
            <w:tcW w:w="1520" w:type="dxa"/>
            <w:shd w:val="clear" w:color="000000" w:fill="F2F2F2"/>
            <w:noWrap/>
            <w:vAlign w:val="center"/>
            <w:hideMark/>
          </w:tcPr>
          <w:p w14:paraId="143A6857"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$ 517.221.887</w:t>
            </w:r>
          </w:p>
        </w:tc>
        <w:tc>
          <w:tcPr>
            <w:tcW w:w="1360" w:type="dxa"/>
            <w:shd w:val="clear" w:color="000000" w:fill="F2F2F2"/>
            <w:noWrap/>
            <w:vAlign w:val="center"/>
            <w:hideMark/>
          </w:tcPr>
          <w:p w14:paraId="1FC18F6C"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$ 1.609.014</w:t>
            </w:r>
          </w:p>
        </w:tc>
        <w:tc>
          <w:tcPr>
            <w:tcW w:w="1520" w:type="dxa"/>
            <w:shd w:val="clear" w:color="000000" w:fill="F2F2F2"/>
            <w:noWrap/>
            <w:vAlign w:val="center"/>
            <w:hideMark/>
          </w:tcPr>
          <w:p w14:paraId="5FA7F674"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$ 518.830.901</w:t>
            </w:r>
          </w:p>
        </w:tc>
        <w:tc>
          <w:tcPr>
            <w:tcW w:w="1200" w:type="dxa"/>
            <w:shd w:val="clear" w:color="000000" w:fill="F2F2F2"/>
            <w:noWrap/>
            <w:vAlign w:val="center"/>
            <w:hideMark/>
          </w:tcPr>
          <w:p w14:paraId="49A6A046"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$ 5.188.309</w:t>
            </w:r>
          </w:p>
        </w:tc>
        <w:tc>
          <w:tcPr>
            <w:tcW w:w="1200" w:type="dxa"/>
            <w:shd w:val="clear" w:color="000000" w:fill="F2F2F2"/>
            <w:noWrap/>
            <w:vAlign w:val="center"/>
            <w:hideMark/>
          </w:tcPr>
          <w:p w14:paraId="185F78FF"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$ 216</w:t>
            </w:r>
          </w:p>
        </w:tc>
        <w:tc>
          <w:tcPr>
            <w:tcW w:w="1289" w:type="dxa"/>
            <w:shd w:val="clear" w:color="000000" w:fill="F2F2F2"/>
            <w:noWrap/>
            <w:vAlign w:val="center"/>
            <w:hideMark/>
          </w:tcPr>
          <w:p w14:paraId="21B180C4"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$ 5.188.525</w:t>
            </w:r>
          </w:p>
        </w:tc>
      </w:tr>
      <w:tr w:rsidR="00382869" w:rsidRPr="00053706" w14:paraId="0F787D94" w14:textId="77777777" w:rsidTr="00053706">
        <w:trPr>
          <w:trHeight w:val="373"/>
        </w:trPr>
        <w:tc>
          <w:tcPr>
            <w:tcW w:w="407" w:type="dxa"/>
            <w:shd w:val="clear" w:color="000000" w:fill="F2F2F2"/>
            <w:noWrap/>
            <w:vAlign w:val="center"/>
            <w:hideMark/>
          </w:tcPr>
          <w:p w14:paraId="3AF2AC9D" w14:textId="77777777" w:rsidR="00382869" w:rsidRPr="00053706" w:rsidRDefault="00382869" w:rsidP="00D22441">
            <w:pPr>
              <w:jc w:val="center"/>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lastRenderedPageBreak/>
              <w:t>30</w:t>
            </w:r>
          </w:p>
        </w:tc>
        <w:tc>
          <w:tcPr>
            <w:tcW w:w="585" w:type="dxa"/>
            <w:shd w:val="clear" w:color="000000" w:fill="F2F2F2"/>
            <w:noWrap/>
            <w:vAlign w:val="center"/>
            <w:hideMark/>
          </w:tcPr>
          <w:p w14:paraId="0AD4CA85"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2016</w:t>
            </w:r>
          </w:p>
        </w:tc>
        <w:tc>
          <w:tcPr>
            <w:tcW w:w="941" w:type="dxa"/>
            <w:shd w:val="clear" w:color="000000" w:fill="F2F2F2"/>
            <w:noWrap/>
            <w:vAlign w:val="center"/>
            <w:hideMark/>
          </w:tcPr>
          <w:p w14:paraId="206A0EBC"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846000241</w:t>
            </w:r>
          </w:p>
        </w:tc>
        <w:tc>
          <w:tcPr>
            <w:tcW w:w="3533" w:type="dxa"/>
            <w:shd w:val="clear" w:color="000000" w:fill="F2F2F2"/>
            <w:vAlign w:val="center"/>
            <w:hideMark/>
          </w:tcPr>
          <w:p w14:paraId="1FC4018A" w14:textId="77777777" w:rsidR="00382869" w:rsidRPr="00053706" w:rsidRDefault="00382869" w:rsidP="00D22441">
            <w:pPr>
              <w:jc w:val="lef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EMPRESA DE ENERGIA DEL PUTUMAYO S.A. ESP</w:t>
            </w:r>
          </w:p>
        </w:tc>
        <w:tc>
          <w:tcPr>
            <w:tcW w:w="1520" w:type="dxa"/>
            <w:shd w:val="clear" w:color="000000" w:fill="F2F2F2"/>
            <w:noWrap/>
            <w:vAlign w:val="center"/>
            <w:hideMark/>
          </w:tcPr>
          <w:p w14:paraId="3D7BCA4C"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$ 4.327.520.000</w:t>
            </w:r>
          </w:p>
        </w:tc>
        <w:tc>
          <w:tcPr>
            <w:tcW w:w="1360" w:type="dxa"/>
            <w:shd w:val="clear" w:color="000000" w:fill="F2F2F2"/>
            <w:noWrap/>
            <w:vAlign w:val="center"/>
            <w:hideMark/>
          </w:tcPr>
          <w:p w14:paraId="510CA42B"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$ 225.248.705</w:t>
            </w:r>
          </w:p>
        </w:tc>
        <w:tc>
          <w:tcPr>
            <w:tcW w:w="1520" w:type="dxa"/>
            <w:shd w:val="clear" w:color="000000" w:fill="F2F2F2"/>
            <w:noWrap/>
            <w:vAlign w:val="center"/>
            <w:hideMark/>
          </w:tcPr>
          <w:p w14:paraId="6D02E84D"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$ 4.552.768.705</w:t>
            </w:r>
          </w:p>
        </w:tc>
        <w:tc>
          <w:tcPr>
            <w:tcW w:w="1200" w:type="dxa"/>
            <w:shd w:val="clear" w:color="000000" w:fill="F2F2F2"/>
            <w:noWrap/>
            <w:vAlign w:val="center"/>
            <w:hideMark/>
          </w:tcPr>
          <w:p w14:paraId="2396B448"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$ 45.527.687</w:t>
            </w:r>
          </w:p>
        </w:tc>
        <w:tc>
          <w:tcPr>
            <w:tcW w:w="1200" w:type="dxa"/>
            <w:shd w:val="clear" w:color="000000" w:fill="F2F2F2"/>
            <w:noWrap/>
            <w:vAlign w:val="center"/>
            <w:hideMark/>
          </w:tcPr>
          <w:p w14:paraId="678EED9E"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$ 1.895</w:t>
            </w:r>
          </w:p>
        </w:tc>
        <w:tc>
          <w:tcPr>
            <w:tcW w:w="1289" w:type="dxa"/>
            <w:shd w:val="clear" w:color="000000" w:fill="F2F2F2"/>
            <w:noWrap/>
            <w:vAlign w:val="center"/>
            <w:hideMark/>
          </w:tcPr>
          <w:p w14:paraId="713EC0D4"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$ 45.529.582</w:t>
            </w:r>
          </w:p>
        </w:tc>
      </w:tr>
      <w:tr w:rsidR="00382869" w:rsidRPr="00053706" w14:paraId="57339E82" w14:textId="77777777" w:rsidTr="009A29B8">
        <w:trPr>
          <w:trHeight w:val="465"/>
        </w:trPr>
        <w:tc>
          <w:tcPr>
            <w:tcW w:w="407" w:type="dxa"/>
            <w:shd w:val="clear" w:color="000000" w:fill="F2F2F2"/>
            <w:noWrap/>
            <w:vAlign w:val="center"/>
            <w:hideMark/>
          </w:tcPr>
          <w:p w14:paraId="1C765449" w14:textId="77777777" w:rsidR="00382869" w:rsidRPr="00053706" w:rsidRDefault="00382869" w:rsidP="00D22441">
            <w:pPr>
              <w:jc w:val="center"/>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31</w:t>
            </w:r>
          </w:p>
        </w:tc>
        <w:tc>
          <w:tcPr>
            <w:tcW w:w="585" w:type="dxa"/>
            <w:shd w:val="clear" w:color="000000" w:fill="F2F2F2"/>
            <w:noWrap/>
            <w:vAlign w:val="center"/>
            <w:hideMark/>
          </w:tcPr>
          <w:p w14:paraId="028C2CDF"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2371</w:t>
            </w:r>
          </w:p>
        </w:tc>
        <w:tc>
          <w:tcPr>
            <w:tcW w:w="941" w:type="dxa"/>
            <w:shd w:val="clear" w:color="000000" w:fill="F2F2F2"/>
            <w:noWrap/>
            <w:vAlign w:val="center"/>
            <w:hideMark/>
          </w:tcPr>
          <w:p w14:paraId="56A20AE7"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846000553</w:t>
            </w:r>
          </w:p>
        </w:tc>
        <w:tc>
          <w:tcPr>
            <w:tcW w:w="3533" w:type="dxa"/>
            <w:shd w:val="clear" w:color="000000" w:fill="F2F2F2"/>
            <w:vAlign w:val="center"/>
            <w:hideMark/>
          </w:tcPr>
          <w:p w14:paraId="218919FC" w14:textId="57793D7F" w:rsidR="00382869" w:rsidRPr="00053706" w:rsidRDefault="00382869" w:rsidP="00D22441">
            <w:pPr>
              <w:jc w:val="lef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EMPRESA DE ENERGIA DEL BAJO PUTUMAYO S.A.  E.S.P.</w:t>
            </w:r>
          </w:p>
        </w:tc>
        <w:tc>
          <w:tcPr>
            <w:tcW w:w="1520" w:type="dxa"/>
            <w:shd w:val="clear" w:color="000000" w:fill="F2F2F2"/>
            <w:noWrap/>
            <w:vAlign w:val="center"/>
            <w:hideMark/>
          </w:tcPr>
          <w:p w14:paraId="23B6AFC4"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$ 3.648.822.000</w:t>
            </w:r>
          </w:p>
        </w:tc>
        <w:tc>
          <w:tcPr>
            <w:tcW w:w="1360" w:type="dxa"/>
            <w:shd w:val="clear" w:color="000000" w:fill="F2F2F2"/>
            <w:noWrap/>
            <w:vAlign w:val="center"/>
            <w:hideMark/>
          </w:tcPr>
          <w:p w14:paraId="3281B62A"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$ 295.713.096</w:t>
            </w:r>
          </w:p>
        </w:tc>
        <w:tc>
          <w:tcPr>
            <w:tcW w:w="1520" w:type="dxa"/>
            <w:shd w:val="clear" w:color="000000" w:fill="F2F2F2"/>
            <w:noWrap/>
            <w:vAlign w:val="center"/>
            <w:hideMark/>
          </w:tcPr>
          <w:p w14:paraId="3536396F"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$ 3.944.535.096</w:t>
            </w:r>
          </w:p>
        </w:tc>
        <w:tc>
          <w:tcPr>
            <w:tcW w:w="1200" w:type="dxa"/>
            <w:shd w:val="clear" w:color="000000" w:fill="F2F2F2"/>
            <w:noWrap/>
            <w:vAlign w:val="center"/>
            <w:hideMark/>
          </w:tcPr>
          <w:p w14:paraId="7C46186F"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$ 39.445.351</w:t>
            </w:r>
          </w:p>
        </w:tc>
        <w:tc>
          <w:tcPr>
            <w:tcW w:w="1200" w:type="dxa"/>
            <w:shd w:val="clear" w:color="000000" w:fill="F2F2F2"/>
            <w:noWrap/>
            <w:vAlign w:val="center"/>
            <w:hideMark/>
          </w:tcPr>
          <w:p w14:paraId="2824549C"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$ 1.642</w:t>
            </w:r>
          </w:p>
        </w:tc>
        <w:tc>
          <w:tcPr>
            <w:tcW w:w="1289" w:type="dxa"/>
            <w:shd w:val="clear" w:color="000000" w:fill="F2F2F2"/>
            <w:noWrap/>
            <w:vAlign w:val="center"/>
            <w:hideMark/>
          </w:tcPr>
          <w:p w14:paraId="14CEA8EF"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$ 39.446.993</w:t>
            </w:r>
          </w:p>
        </w:tc>
      </w:tr>
      <w:tr w:rsidR="00382869" w:rsidRPr="00053706" w14:paraId="1670D173" w14:textId="77777777" w:rsidTr="009A29B8">
        <w:trPr>
          <w:trHeight w:val="284"/>
        </w:trPr>
        <w:tc>
          <w:tcPr>
            <w:tcW w:w="407" w:type="dxa"/>
            <w:shd w:val="clear" w:color="000000" w:fill="F2F2F2"/>
            <w:noWrap/>
            <w:vAlign w:val="center"/>
            <w:hideMark/>
          </w:tcPr>
          <w:p w14:paraId="7254B837" w14:textId="77777777" w:rsidR="00382869" w:rsidRPr="00053706" w:rsidRDefault="00382869" w:rsidP="00D22441">
            <w:pPr>
              <w:jc w:val="center"/>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32</w:t>
            </w:r>
          </w:p>
        </w:tc>
        <w:tc>
          <w:tcPr>
            <w:tcW w:w="585" w:type="dxa"/>
            <w:shd w:val="clear" w:color="000000" w:fill="F2F2F2"/>
            <w:noWrap/>
            <w:vAlign w:val="center"/>
            <w:hideMark/>
          </w:tcPr>
          <w:p w14:paraId="372C11C3"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592</w:t>
            </w:r>
          </w:p>
        </w:tc>
        <w:tc>
          <w:tcPr>
            <w:tcW w:w="941" w:type="dxa"/>
            <w:shd w:val="clear" w:color="000000" w:fill="F2F2F2"/>
            <w:noWrap/>
            <w:vAlign w:val="center"/>
            <w:hideMark/>
          </w:tcPr>
          <w:p w14:paraId="30B24261"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860016610</w:t>
            </w:r>
          </w:p>
        </w:tc>
        <w:tc>
          <w:tcPr>
            <w:tcW w:w="3533" w:type="dxa"/>
            <w:shd w:val="clear" w:color="000000" w:fill="F2F2F2"/>
            <w:vAlign w:val="center"/>
            <w:hideMark/>
          </w:tcPr>
          <w:p w14:paraId="41A9433A" w14:textId="77777777" w:rsidR="00382869" w:rsidRPr="00053706" w:rsidRDefault="00382869" w:rsidP="00D22441">
            <w:pPr>
              <w:jc w:val="lef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INTERCONEXION ELECTRICA S.A. E.S.P.</w:t>
            </w:r>
          </w:p>
        </w:tc>
        <w:tc>
          <w:tcPr>
            <w:tcW w:w="1520" w:type="dxa"/>
            <w:shd w:val="clear" w:color="000000" w:fill="F2F2F2"/>
            <w:noWrap/>
            <w:vAlign w:val="center"/>
            <w:hideMark/>
          </w:tcPr>
          <w:p w14:paraId="1584E68F"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$ 12.962.331.000</w:t>
            </w:r>
          </w:p>
        </w:tc>
        <w:tc>
          <w:tcPr>
            <w:tcW w:w="1360" w:type="dxa"/>
            <w:shd w:val="clear" w:color="000000" w:fill="F2F2F2"/>
            <w:noWrap/>
            <w:vAlign w:val="center"/>
            <w:hideMark/>
          </w:tcPr>
          <w:p w14:paraId="268DB14D"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$ 0</w:t>
            </w:r>
          </w:p>
        </w:tc>
        <w:tc>
          <w:tcPr>
            <w:tcW w:w="1520" w:type="dxa"/>
            <w:shd w:val="clear" w:color="000000" w:fill="F2F2F2"/>
            <w:noWrap/>
            <w:vAlign w:val="center"/>
            <w:hideMark/>
          </w:tcPr>
          <w:p w14:paraId="24D7970A"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$ 12.962.331.000</w:t>
            </w:r>
          </w:p>
        </w:tc>
        <w:tc>
          <w:tcPr>
            <w:tcW w:w="1200" w:type="dxa"/>
            <w:shd w:val="clear" w:color="000000" w:fill="F2F2F2"/>
            <w:noWrap/>
            <w:vAlign w:val="center"/>
            <w:hideMark/>
          </w:tcPr>
          <w:p w14:paraId="7DCA19B8"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$ 129.623.310</w:t>
            </w:r>
          </w:p>
        </w:tc>
        <w:tc>
          <w:tcPr>
            <w:tcW w:w="1200" w:type="dxa"/>
            <w:shd w:val="clear" w:color="000000" w:fill="F2F2F2"/>
            <w:noWrap/>
            <w:vAlign w:val="center"/>
            <w:hideMark/>
          </w:tcPr>
          <w:p w14:paraId="4D49A5CC"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$ 5.394</w:t>
            </w:r>
          </w:p>
        </w:tc>
        <w:tc>
          <w:tcPr>
            <w:tcW w:w="1289" w:type="dxa"/>
            <w:shd w:val="clear" w:color="000000" w:fill="F2F2F2"/>
            <w:noWrap/>
            <w:vAlign w:val="center"/>
            <w:hideMark/>
          </w:tcPr>
          <w:p w14:paraId="1D6A69FD"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$ 129.628.704</w:t>
            </w:r>
          </w:p>
        </w:tc>
      </w:tr>
      <w:tr w:rsidR="00382869" w:rsidRPr="00053706" w14:paraId="5F7FF08E" w14:textId="77777777" w:rsidTr="009A29B8">
        <w:trPr>
          <w:trHeight w:val="377"/>
        </w:trPr>
        <w:tc>
          <w:tcPr>
            <w:tcW w:w="407" w:type="dxa"/>
            <w:shd w:val="clear" w:color="000000" w:fill="F2F2F2"/>
            <w:noWrap/>
            <w:vAlign w:val="center"/>
            <w:hideMark/>
          </w:tcPr>
          <w:p w14:paraId="011FE7A5" w14:textId="77777777" w:rsidR="00382869" w:rsidRPr="00053706" w:rsidRDefault="00382869" w:rsidP="00D22441">
            <w:pPr>
              <w:jc w:val="center"/>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33</w:t>
            </w:r>
          </w:p>
        </w:tc>
        <w:tc>
          <w:tcPr>
            <w:tcW w:w="585" w:type="dxa"/>
            <w:shd w:val="clear" w:color="000000" w:fill="F2F2F2"/>
            <w:noWrap/>
            <w:vAlign w:val="center"/>
            <w:hideMark/>
          </w:tcPr>
          <w:p w14:paraId="400667A1"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29311</w:t>
            </w:r>
          </w:p>
        </w:tc>
        <w:tc>
          <w:tcPr>
            <w:tcW w:w="941" w:type="dxa"/>
            <w:shd w:val="clear" w:color="000000" w:fill="F2F2F2"/>
            <w:noWrap/>
            <w:vAlign w:val="center"/>
            <w:hideMark/>
          </w:tcPr>
          <w:p w14:paraId="50C2584A"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860076426</w:t>
            </w:r>
          </w:p>
        </w:tc>
        <w:tc>
          <w:tcPr>
            <w:tcW w:w="3533" w:type="dxa"/>
            <w:shd w:val="clear" w:color="000000" w:fill="F2F2F2"/>
            <w:vAlign w:val="center"/>
            <w:hideMark/>
          </w:tcPr>
          <w:p w14:paraId="4AC1FB27" w14:textId="77777777" w:rsidR="00382869" w:rsidRPr="00053706" w:rsidRDefault="00382869" w:rsidP="00D22441">
            <w:pPr>
              <w:jc w:val="lef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ENERGETICA SA ESP</w:t>
            </w:r>
          </w:p>
        </w:tc>
        <w:tc>
          <w:tcPr>
            <w:tcW w:w="1520" w:type="dxa"/>
            <w:shd w:val="clear" w:color="000000" w:fill="F2F2F2"/>
            <w:noWrap/>
            <w:vAlign w:val="center"/>
            <w:hideMark/>
          </w:tcPr>
          <w:p w14:paraId="0ECCF311"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$ 43.543.000</w:t>
            </w:r>
          </w:p>
        </w:tc>
        <w:tc>
          <w:tcPr>
            <w:tcW w:w="1360" w:type="dxa"/>
            <w:shd w:val="clear" w:color="000000" w:fill="F2F2F2"/>
            <w:noWrap/>
            <w:vAlign w:val="center"/>
            <w:hideMark/>
          </w:tcPr>
          <w:p w14:paraId="67959C3B"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$ 0</w:t>
            </w:r>
          </w:p>
        </w:tc>
        <w:tc>
          <w:tcPr>
            <w:tcW w:w="1520" w:type="dxa"/>
            <w:shd w:val="clear" w:color="000000" w:fill="F2F2F2"/>
            <w:noWrap/>
            <w:vAlign w:val="center"/>
            <w:hideMark/>
          </w:tcPr>
          <w:p w14:paraId="71976117"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$ 43.543.000</w:t>
            </w:r>
          </w:p>
        </w:tc>
        <w:tc>
          <w:tcPr>
            <w:tcW w:w="1200" w:type="dxa"/>
            <w:shd w:val="clear" w:color="000000" w:fill="F2F2F2"/>
            <w:noWrap/>
            <w:vAlign w:val="center"/>
            <w:hideMark/>
          </w:tcPr>
          <w:p w14:paraId="5774B181"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$ 435.430</w:t>
            </w:r>
          </w:p>
        </w:tc>
        <w:tc>
          <w:tcPr>
            <w:tcW w:w="1200" w:type="dxa"/>
            <w:shd w:val="clear" w:color="000000" w:fill="F2F2F2"/>
            <w:noWrap/>
            <w:vAlign w:val="center"/>
            <w:hideMark/>
          </w:tcPr>
          <w:p w14:paraId="32CA8F56"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$ 18</w:t>
            </w:r>
          </w:p>
        </w:tc>
        <w:tc>
          <w:tcPr>
            <w:tcW w:w="1289" w:type="dxa"/>
            <w:shd w:val="clear" w:color="000000" w:fill="F2F2F2"/>
            <w:noWrap/>
            <w:vAlign w:val="center"/>
            <w:hideMark/>
          </w:tcPr>
          <w:p w14:paraId="1FE9982E"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$ 435.448</w:t>
            </w:r>
          </w:p>
        </w:tc>
      </w:tr>
      <w:tr w:rsidR="00382869" w:rsidRPr="00053706" w14:paraId="5FAC3F14" w14:textId="77777777" w:rsidTr="00053706">
        <w:trPr>
          <w:trHeight w:val="296"/>
        </w:trPr>
        <w:tc>
          <w:tcPr>
            <w:tcW w:w="407" w:type="dxa"/>
            <w:shd w:val="clear" w:color="000000" w:fill="F2F2F2"/>
            <w:noWrap/>
            <w:vAlign w:val="center"/>
            <w:hideMark/>
          </w:tcPr>
          <w:p w14:paraId="4A3C5B3E" w14:textId="77777777" w:rsidR="00382869" w:rsidRPr="00053706" w:rsidRDefault="00382869" w:rsidP="00D22441">
            <w:pPr>
              <w:jc w:val="center"/>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34</w:t>
            </w:r>
          </w:p>
        </w:tc>
        <w:tc>
          <w:tcPr>
            <w:tcW w:w="585" w:type="dxa"/>
            <w:shd w:val="clear" w:color="000000" w:fill="F2F2F2"/>
            <w:noWrap/>
            <w:vAlign w:val="center"/>
            <w:hideMark/>
          </w:tcPr>
          <w:p w14:paraId="08852355"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524</w:t>
            </w:r>
          </w:p>
        </w:tc>
        <w:tc>
          <w:tcPr>
            <w:tcW w:w="941" w:type="dxa"/>
            <w:shd w:val="clear" w:color="000000" w:fill="F2F2F2"/>
            <w:noWrap/>
            <w:vAlign w:val="center"/>
            <w:hideMark/>
          </w:tcPr>
          <w:p w14:paraId="76A92421"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890201230</w:t>
            </w:r>
          </w:p>
        </w:tc>
        <w:tc>
          <w:tcPr>
            <w:tcW w:w="3533" w:type="dxa"/>
            <w:shd w:val="clear" w:color="000000" w:fill="F2F2F2"/>
            <w:vAlign w:val="center"/>
            <w:hideMark/>
          </w:tcPr>
          <w:p w14:paraId="51DC054A" w14:textId="77777777" w:rsidR="00382869" w:rsidRPr="00053706" w:rsidRDefault="00382869" w:rsidP="00D22441">
            <w:pPr>
              <w:jc w:val="lef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ELECTRIFICADORA DE SANTANDER S.A. E.S.P.</w:t>
            </w:r>
          </w:p>
        </w:tc>
        <w:tc>
          <w:tcPr>
            <w:tcW w:w="1520" w:type="dxa"/>
            <w:shd w:val="clear" w:color="000000" w:fill="F2F2F2"/>
            <w:noWrap/>
            <w:vAlign w:val="center"/>
            <w:hideMark/>
          </w:tcPr>
          <w:p w14:paraId="00C3D91B"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$ 68.249.850.000</w:t>
            </w:r>
          </w:p>
        </w:tc>
        <w:tc>
          <w:tcPr>
            <w:tcW w:w="1360" w:type="dxa"/>
            <w:shd w:val="clear" w:color="000000" w:fill="F2F2F2"/>
            <w:noWrap/>
            <w:vAlign w:val="center"/>
            <w:hideMark/>
          </w:tcPr>
          <w:p w14:paraId="746C7F87"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$ 6.452.603.163</w:t>
            </w:r>
          </w:p>
        </w:tc>
        <w:tc>
          <w:tcPr>
            <w:tcW w:w="1520" w:type="dxa"/>
            <w:shd w:val="clear" w:color="000000" w:fill="F2F2F2"/>
            <w:noWrap/>
            <w:vAlign w:val="center"/>
            <w:hideMark/>
          </w:tcPr>
          <w:p w14:paraId="01654A05"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$ 74.702.453.163</w:t>
            </w:r>
          </w:p>
        </w:tc>
        <w:tc>
          <w:tcPr>
            <w:tcW w:w="1200" w:type="dxa"/>
            <w:shd w:val="clear" w:color="000000" w:fill="F2F2F2"/>
            <w:noWrap/>
            <w:vAlign w:val="center"/>
            <w:hideMark/>
          </w:tcPr>
          <w:p w14:paraId="25D55718"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$ 747.024.532</w:t>
            </w:r>
          </w:p>
        </w:tc>
        <w:tc>
          <w:tcPr>
            <w:tcW w:w="1200" w:type="dxa"/>
            <w:shd w:val="clear" w:color="000000" w:fill="F2F2F2"/>
            <w:noWrap/>
            <w:vAlign w:val="center"/>
            <w:hideMark/>
          </w:tcPr>
          <w:p w14:paraId="047AECD2"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$ 31.089</w:t>
            </w:r>
          </w:p>
        </w:tc>
        <w:tc>
          <w:tcPr>
            <w:tcW w:w="1289" w:type="dxa"/>
            <w:shd w:val="clear" w:color="000000" w:fill="F2F2F2"/>
            <w:noWrap/>
            <w:vAlign w:val="center"/>
            <w:hideMark/>
          </w:tcPr>
          <w:p w14:paraId="7ADBDCA2"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$ 747.055.620</w:t>
            </w:r>
          </w:p>
        </w:tc>
      </w:tr>
      <w:tr w:rsidR="00382869" w:rsidRPr="00053706" w14:paraId="232DEC8A" w14:textId="77777777" w:rsidTr="009A29B8">
        <w:trPr>
          <w:trHeight w:val="465"/>
        </w:trPr>
        <w:tc>
          <w:tcPr>
            <w:tcW w:w="407" w:type="dxa"/>
            <w:shd w:val="clear" w:color="000000" w:fill="F2F2F2"/>
            <w:noWrap/>
            <w:vAlign w:val="center"/>
            <w:hideMark/>
          </w:tcPr>
          <w:p w14:paraId="6DFCCD09" w14:textId="77777777" w:rsidR="00382869" w:rsidRPr="00053706" w:rsidRDefault="00382869" w:rsidP="00D22441">
            <w:pPr>
              <w:jc w:val="center"/>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35</w:t>
            </w:r>
          </w:p>
        </w:tc>
        <w:tc>
          <w:tcPr>
            <w:tcW w:w="585" w:type="dxa"/>
            <w:shd w:val="clear" w:color="000000" w:fill="F2F2F2"/>
            <w:noWrap/>
            <w:vAlign w:val="center"/>
            <w:hideMark/>
          </w:tcPr>
          <w:p w14:paraId="1652CC41"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604</w:t>
            </w:r>
          </w:p>
        </w:tc>
        <w:tc>
          <w:tcPr>
            <w:tcW w:w="941" w:type="dxa"/>
            <w:shd w:val="clear" w:color="000000" w:fill="F2F2F2"/>
            <w:noWrap/>
            <w:vAlign w:val="center"/>
            <w:hideMark/>
          </w:tcPr>
          <w:p w14:paraId="0172A85E"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890500514</w:t>
            </w:r>
          </w:p>
        </w:tc>
        <w:tc>
          <w:tcPr>
            <w:tcW w:w="3533" w:type="dxa"/>
            <w:shd w:val="clear" w:color="000000" w:fill="F2F2F2"/>
            <w:vAlign w:val="center"/>
            <w:hideMark/>
          </w:tcPr>
          <w:p w14:paraId="26B1CDF4" w14:textId="77777777" w:rsidR="00382869" w:rsidRPr="00053706" w:rsidRDefault="00382869" w:rsidP="00D22441">
            <w:pPr>
              <w:jc w:val="lef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CENTRALES ELECTRICAS DEL NORTE DE SANTANDER S.A. ESP</w:t>
            </w:r>
          </w:p>
        </w:tc>
        <w:tc>
          <w:tcPr>
            <w:tcW w:w="1520" w:type="dxa"/>
            <w:shd w:val="clear" w:color="000000" w:fill="F2F2F2"/>
            <w:noWrap/>
            <w:vAlign w:val="center"/>
            <w:hideMark/>
          </w:tcPr>
          <w:p w14:paraId="0E36DF23"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$ 61.549.007.000</w:t>
            </w:r>
          </w:p>
        </w:tc>
        <w:tc>
          <w:tcPr>
            <w:tcW w:w="1360" w:type="dxa"/>
            <w:shd w:val="clear" w:color="000000" w:fill="F2F2F2"/>
            <w:noWrap/>
            <w:vAlign w:val="center"/>
            <w:hideMark/>
          </w:tcPr>
          <w:p w14:paraId="6A1B0A5B"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$ 4.908.455.481</w:t>
            </w:r>
          </w:p>
        </w:tc>
        <w:tc>
          <w:tcPr>
            <w:tcW w:w="1520" w:type="dxa"/>
            <w:shd w:val="clear" w:color="000000" w:fill="F2F2F2"/>
            <w:noWrap/>
            <w:vAlign w:val="center"/>
            <w:hideMark/>
          </w:tcPr>
          <w:p w14:paraId="2A6935F1"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$ 66.457.462.481</w:t>
            </w:r>
          </w:p>
        </w:tc>
        <w:tc>
          <w:tcPr>
            <w:tcW w:w="1200" w:type="dxa"/>
            <w:shd w:val="clear" w:color="000000" w:fill="F2F2F2"/>
            <w:noWrap/>
            <w:vAlign w:val="center"/>
            <w:hideMark/>
          </w:tcPr>
          <w:p w14:paraId="21471780"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$ 664.574.625</w:t>
            </w:r>
          </w:p>
        </w:tc>
        <w:tc>
          <w:tcPr>
            <w:tcW w:w="1200" w:type="dxa"/>
            <w:shd w:val="clear" w:color="000000" w:fill="F2F2F2"/>
            <w:noWrap/>
            <w:vAlign w:val="center"/>
            <w:hideMark/>
          </w:tcPr>
          <w:p w14:paraId="3F5D3EC6"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$ 27.657</w:t>
            </w:r>
          </w:p>
        </w:tc>
        <w:tc>
          <w:tcPr>
            <w:tcW w:w="1289" w:type="dxa"/>
            <w:shd w:val="clear" w:color="000000" w:fill="F2F2F2"/>
            <w:noWrap/>
            <w:vAlign w:val="center"/>
            <w:hideMark/>
          </w:tcPr>
          <w:p w14:paraId="773E1163"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$ 664.602.282</w:t>
            </w:r>
          </w:p>
        </w:tc>
      </w:tr>
      <w:tr w:rsidR="00382869" w:rsidRPr="00053706" w14:paraId="122F04F6" w14:textId="77777777" w:rsidTr="00053706">
        <w:trPr>
          <w:trHeight w:val="321"/>
        </w:trPr>
        <w:tc>
          <w:tcPr>
            <w:tcW w:w="407" w:type="dxa"/>
            <w:shd w:val="clear" w:color="000000" w:fill="F2F2F2"/>
            <w:noWrap/>
            <w:vAlign w:val="center"/>
            <w:hideMark/>
          </w:tcPr>
          <w:p w14:paraId="33D8416D" w14:textId="77777777" w:rsidR="00382869" w:rsidRPr="00053706" w:rsidRDefault="00382869" w:rsidP="00D22441">
            <w:pPr>
              <w:jc w:val="center"/>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36</w:t>
            </w:r>
          </w:p>
        </w:tc>
        <w:tc>
          <w:tcPr>
            <w:tcW w:w="585" w:type="dxa"/>
            <w:shd w:val="clear" w:color="000000" w:fill="F2F2F2"/>
            <w:noWrap/>
            <w:vAlign w:val="center"/>
            <w:hideMark/>
          </w:tcPr>
          <w:p w14:paraId="0A52BD88"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502</w:t>
            </w:r>
          </w:p>
        </w:tc>
        <w:tc>
          <w:tcPr>
            <w:tcW w:w="941" w:type="dxa"/>
            <w:shd w:val="clear" w:color="000000" w:fill="F2F2F2"/>
            <w:noWrap/>
            <w:vAlign w:val="center"/>
            <w:hideMark/>
          </w:tcPr>
          <w:p w14:paraId="233DB019"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890800128</w:t>
            </w:r>
          </w:p>
        </w:tc>
        <w:tc>
          <w:tcPr>
            <w:tcW w:w="3533" w:type="dxa"/>
            <w:shd w:val="clear" w:color="000000" w:fill="F2F2F2"/>
            <w:vAlign w:val="center"/>
            <w:hideMark/>
          </w:tcPr>
          <w:p w14:paraId="10997093" w14:textId="77777777" w:rsidR="00382869" w:rsidRPr="00053706" w:rsidRDefault="00382869" w:rsidP="00D22441">
            <w:pPr>
              <w:jc w:val="lef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CENTRAL HIDROELECTRICA DE CALDAS S.A. E.S.P.</w:t>
            </w:r>
          </w:p>
        </w:tc>
        <w:tc>
          <w:tcPr>
            <w:tcW w:w="1520" w:type="dxa"/>
            <w:shd w:val="clear" w:color="000000" w:fill="F2F2F2"/>
            <w:noWrap/>
            <w:vAlign w:val="center"/>
            <w:hideMark/>
          </w:tcPr>
          <w:p w14:paraId="6980616F"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$ 51.865.460.000</w:t>
            </w:r>
          </w:p>
        </w:tc>
        <w:tc>
          <w:tcPr>
            <w:tcW w:w="1360" w:type="dxa"/>
            <w:shd w:val="clear" w:color="000000" w:fill="F2F2F2"/>
            <w:noWrap/>
            <w:vAlign w:val="center"/>
            <w:hideMark/>
          </w:tcPr>
          <w:p w14:paraId="7D26DBB4"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$ 2.914.324.186</w:t>
            </w:r>
          </w:p>
        </w:tc>
        <w:tc>
          <w:tcPr>
            <w:tcW w:w="1520" w:type="dxa"/>
            <w:shd w:val="clear" w:color="000000" w:fill="F2F2F2"/>
            <w:noWrap/>
            <w:vAlign w:val="center"/>
            <w:hideMark/>
          </w:tcPr>
          <w:p w14:paraId="56C7764F"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$ 54.779.784.186</w:t>
            </w:r>
          </w:p>
        </w:tc>
        <w:tc>
          <w:tcPr>
            <w:tcW w:w="1200" w:type="dxa"/>
            <w:shd w:val="clear" w:color="000000" w:fill="F2F2F2"/>
            <w:noWrap/>
            <w:vAlign w:val="center"/>
            <w:hideMark/>
          </w:tcPr>
          <w:p w14:paraId="3D12A086"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$ 547.797.842</w:t>
            </w:r>
          </w:p>
        </w:tc>
        <w:tc>
          <w:tcPr>
            <w:tcW w:w="1200" w:type="dxa"/>
            <w:shd w:val="clear" w:color="000000" w:fill="F2F2F2"/>
            <w:noWrap/>
            <w:vAlign w:val="center"/>
            <w:hideMark/>
          </w:tcPr>
          <w:p w14:paraId="0EA4F6C5"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$ 22.797</w:t>
            </w:r>
          </w:p>
        </w:tc>
        <w:tc>
          <w:tcPr>
            <w:tcW w:w="1289" w:type="dxa"/>
            <w:shd w:val="clear" w:color="000000" w:fill="F2F2F2"/>
            <w:noWrap/>
            <w:vAlign w:val="center"/>
            <w:hideMark/>
          </w:tcPr>
          <w:p w14:paraId="699B9EFB"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$ 547.820.639</w:t>
            </w:r>
          </w:p>
        </w:tc>
      </w:tr>
      <w:tr w:rsidR="00382869" w:rsidRPr="00053706" w14:paraId="18536553" w14:textId="77777777" w:rsidTr="009A29B8">
        <w:trPr>
          <w:trHeight w:val="261"/>
        </w:trPr>
        <w:tc>
          <w:tcPr>
            <w:tcW w:w="407" w:type="dxa"/>
            <w:shd w:val="clear" w:color="000000" w:fill="F2F2F2"/>
            <w:noWrap/>
            <w:vAlign w:val="center"/>
            <w:hideMark/>
          </w:tcPr>
          <w:p w14:paraId="30DE1BEC" w14:textId="77777777" w:rsidR="00382869" w:rsidRPr="00053706" w:rsidRDefault="00382869" w:rsidP="00D22441">
            <w:pPr>
              <w:jc w:val="center"/>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37</w:t>
            </w:r>
          </w:p>
        </w:tc>
        <w:tc>
          <w:tcPr>
            <w:tcW w:w="585" w:type="dxa"/>
            <w:shd w:val="clear" w:color="000000" w:fill="F2F2F2"/>
            <w:noWrap/>
            <w:vAlign w:val="center"/>
            <w:hideMark/>
          </w:tcPr>
          <w:p w14:paraId="53E1FC4F"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1014</w:t>
            </w:r>
          </w:p>
        </w:tc>
        <w:tc>
          <w:tcPr>
            <w:tcW w:w="941" w:type="dxa"/>
            <w:shd w:val="clear" w:color="000000" w:fill="F2F2F2"/>
            <w:noWrap/>
            <w:vAlign w:val="center"/>
            <w:hideMark/>
          </w:tcPr>
          <w:p w14:paraId="1F9938CB"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891180001</w:t>
            </w:r>
          </w:p>
        </w:tc>
        <w:tc>
          <w:tcPr>
            <w:tcW w:w="3533" w:type="dxa"/>
            <w:shd w:val="clear" w:color="000000" w:fill="F2F2F2"/>
            <w:vAlign w:val="center"/>
            <w:hideMark/>
          </w:tcPr>
          <w:p w14:paraId="54249245" w14:textId="77777777" w:rsidR="00382869" w:rsidRPr="00053706" w:rsidRDefault="00382869" w:rsidP="00D22441">
            <w:pPr>
              <w:jc w:val="lef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ELECTRIFICADORA DEL HUILA S.A. E.S.P.</w:t>
            </w:r>
          </w:p>
        </w:tc>
        <w:tc>
          <w:tcPr>
            <w:tcW w:w="1520" w:type="dxa"/>
            <w:shd w:val="clear" w:color="000000" w:fill="F2F2F2"/>
            <w:noWrap/>
            <w:vAlign w:val="center"/>
            <w:hideMark/>
          </w:tcPr>
          <w:p w14:paraId="1A0C48B2"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$ 28.162.856.000</w:t>
            </w:r>
          </w:p>
        </w:tc>
        <w:tc>
          <w:tcPr>
            <w:tcW w:w="1360" w:type="dxa"/>
            <w:shd w:val="clear" w:color="000000" w:fill="F2F2F2"/>
            <w:noWrap/>
            <w:vAlign w:val="center"/>
            <w:hideMark/>
          </w:tcPr>
          <w:p w14:paraId="644D9028"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$ 3.307.037.877</w:t>
            </w:r>
          </w:p>
        </w:tc>
        <w:tc>
          <w:tcPr>
            <w:tcW w:w="1520" w:type="dxa"/>
            <w:shd w:val="clear" w:color="000000" w:fill="F2F2F2"/>
            <w:noWrap/>
            <w:vAlign w:val="center"/>
            <w:hideMark/>
          </w:tcPr>
          <w:p w14:paraId="0EA030EA"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$ 31.469.893.877</w:t>
            </w:r>
          </w:p>
        </w:tc>
        <w:tc>
          <w:tcPr>
            <w:tcW w:w="1200" w:type="dxa"/>
            <w:shd w:val="clear" w:color="000000" w:fill="F2F2F2"/>
            <w:noWrap/>
            <w:vAlign w:val="center"/>
            <w:hideMark/>
          </w:tcPr>
          <w:p w14:paraId="32814771"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$ 314.698.939</w:t>
            </w:r>
          </w:p>
        </w:tc>
        <w:tc>
          <w:tcPr>
            <w:tcW w:w="1200" w:type="dxa"/>
            <w:shd w:val="clear" w:color="000000" w:fill="F2F2F2"/>
            <w:noWrap/>
            <w:vAlign w:val="center"/>
            <w:hideMark/>
          </w:tcPr>
          <w:p w14:paraId="249E8A00"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$ 13.097</w:t>
            </w:r>
          </w:p>
        </w:tc>
        <w:tc>
          <w:tcPr>
            <w:tcW w:w="1289" w:type="dxa"/>
            <w:shd w:val="clear" w:color="000000" w:fill="F2F2F2"/>
            <w:noWrap/>
            <w:vAlign w:val="center"/>
            <w:hideMark/>
          </w:tcPr>
          <w:p w14:paraId="7120F491"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$ 314.712.035</w:t>
            </w:r>
          </w:p>
        </w:tc>
      </w:tr>
      <w:tr w:rsidR="00382869" w:rsidRPr="00053706" w14:paraId="5DCDA06E" w14:textId="77777777" w:rsidTr="009A29B8">
        <w:trPr>
          <w:trHeight w:val="393"/>
        </w:trPr>
        <w:tc>
          <w:tcPr>
            <w:tcW w:w="407" w:type="dxa"/>
            <w:shd w:val="clear" w:color="000000" w:fill="F2F2F2"/>
            <w:noWrap/>
            <w:vAlign w:val="center"/>
            <w:hideMark/>
          </w:tcPr>
          <w:p w14:paraId="5262E45D" w14:textId="77777777" w:rsidR="00382869" w:rsidRPr="00053706" w:rsidRDefault="00382869" w:rsidP="00D22441">
            <w:pPr>
              <w:jc w:val="center"/>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38</w:t>
            </w:r>
          </w:p>
        </w:tc>
        <w:tc>
          <w:tcPr>
            <w:tcW w:w="585" w:type="dxa"/>
            <w:shd w:val="clear" w:color="000000" w:fill="F2F2F2"/>
            <w:noWrap/>
            <w:vAlign w:val="center"/>
            <w:hideMark/>
          </w:tcPr>
          <w:p w14:paraId="36DF9B01"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1032</w:t>
            </w:r>
          </w:p>
        </w:tc>
        <w:tc>
          <w:tcPr>
            <w:tcW w:w="941" w:type="dxa"/>
            <w:shd w:val="clear" w:color="000000" w:fill="F2F2F2"/>
            <w:noWrap/>
            <w:vAlign w:val="center"/>
            <w:hideMark/>
          </w:tcPr>
          <w:p w14:paraId="3B4A3953"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891190127</w:t>
            </w:r>
          </w:p>
        </w:tc>
        <w:tc>
          <w:tcPr>
            <w:tcW w:w="3533" w:type="dxa"/>
            <w:shd w:val="clear" w:color="000000" w:fill="F2F2F2"/>
            <w:vAlign w:val="center"/>
            <w:hideMark/>
          </w:tcPr>
          <w:p w14:paraId="2985F554" w14:textId="77777777" w:rsidR="00382869" w:rsidRPr="00053706" w:rsidRDefault="00382869" w:rsidP="00D22441">
            <w:pPr>
              <w:jc w:val="lef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ELECTRIFICADORA DEL CAQUETA S.A. ESP</w:t>
            </w:r>
          </w:p>
        </w:tc>
        <w:tc>
          <w:tcPr>
            <w:tcW w:w="1520" w:type="dxa"/>
            <w:shd w:val="clear" w:color="000000" w:fill="F2F2F2"/>
            <w:noWrap/>
            <w:vAlign w:val="center"/>
            <w:hideMark/>
          </w:tcPr>
          <w:p w14:paraId="132158A2"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$ 8.202.125.000</w:t>
            </w:r>
          </w:p>
        </w:tc>
        <w:tc>
          <w:tcPr>
            <w:tcW w:w="1360" w:type="dxa"/>
            <w:shd w:val="clear" w:color="000000" w:fill="F2F2F2"/>
            <w:noWrap/>
            <w:vAlign w:val="center"/>
            <w:hideMark/>
          </w:tcPr>
          <w:p w14:paraId="0151EC6A"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$ 830.719.175</w:t>
            </w:r>
          </w:p>
        </w:tc>
        <w:tc>
          <w:tcPr>
            <w:tcW w:w="1520" w:type="dxa"/>
            <w:shd w:val="clear" w:color="000000" w:fill="F2F2F2"/>
            <w:noWrap/>
            <w:vAlign w:val="center"/>
            <w:hideMark/>
          </w:tcPr>
          <w:p w14:paraId="3EE73C68"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$ 9.032.844.175</w:t>
            </w:r>
          </w:p>
        </w:tc>
        <w:tc>
          <w:tcPr>
            <w:tcW w:w="1200" w:type="dxa"/>
            <w:shd w:val="clear" w:color="000000" w:fill="F2F2F2"/>
            <w:noWrap/>
            <w:vAlign w:val="center"/>
            <w:hideMark/>
          </w:tcPr>
          <w:p w14:paraId="48052777"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$ 90.328.442</w:t>
            </w:r>
          </w:p>
        </w:tc>
        <w:tc>
          <w:tcPr>
            <w:tcW w:w="1200" w:type="dxa"/>
            <w:shd w:val="clear" w:color="000000" w:fill="F2F2F2"/>
            <w:noWrap/>
            <w:vAlign w:val="center"/>
            <w:hideMark/>
          </w:tcPr>
          <w:p w14:paraId="08C7E2B1"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$ 3.759</w:t>
            </w:r>
          </w:p>
        </w:tc>
        <w:tc>
          <w:tcPr>
            <w:tcW w:w="1289" w:type="dxa"/>
            <w:shd w:val="clear" w:color="000000" w:fill="F2F2F2"/>
            <w:noWrap/>
            <w:vAlign w:val="center"/>
            <w:hideMark/>
          </w:tcPr>
          <w:p w14:paraId="77504756"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$ 90.332.201</w:t>
            </w:r>
          </w:p>
        </w:tc>
      </w:tr>
      <w:tr w:rsidR="00382869" w:rsidRPr="00053706" w14:paraId="58AB397F" w14:textId="77777777" w:rsidTr="00053706">
        <w:trPr>
          <w:trHeight w:val="307"/>
        </w:trPr>
        <w:tc>
          <w:tcPr>
            <w:tcW w:w="407" w:type="dxa"/>
            <w:shd w:val="clear" w:color="000000" w:fill="F2F2F2"/>
            <w:noWrap/>
            <w:vAlign w:val="center"/>
            <w:hideMark/>
          </w:tcPr>
          <w:p w14:paraId="34909545" w14:textId="77777777" w:rsidR="00382869" w:rsidRPr="00053706" w:rsidRDefault="00382869" w:rsidP="00D22441">
            <w:pPr>
              <w:jc w:val="center"/>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39</w:t>
            </w:r>
          </w:p>
        </w:tc>
        <w:tc>
          <w:tcPr>
            <w:tcW w:w="585" w:type="dxa"/>
            <w:shd w:val="clear" w:color="000000" w:fill="F2F2F2"/>
            <w:noWrap/>
            <w:vAlign w:val="center"/>
            <w:hideMark/>
          </w:tcPr>
          <w:p w14:paraId="29BB54D4"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520</w:t>
            </w:r>
          </w:p>
        </w:tc>
        <w:tc>
          <w:tcPr>
            <w:tcW w:w="941" w:type="dxa"/>
            <w:shd w:val="clear" w:color="000000" w:fill="F2F2F2"/>
            <w:noWrap/>
            <w:vAlign w:val="center"/>
            <w:hideMark/>
          </w:tcPr>
          <w:p w14:paraId="12B21DEA"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891200200</w:t>
            </w:r>
          </w:p>
        </w:tc>
        <w:tc>
          <w:tcPr>
            <w:tcW w:w="3533" w:type="dxa"/>
            <w:shd w:val="clear" w:color="000000" w:fill="F2F2F2"/>
            <w:vAlign w:val="center"/>
            <w:hideMark/>
          </w:tcPr>
          <w:p w14:paraId="563245C4" w14:textId="77777777" w:rsidR="00382869" w:rsidRPr="00053706" w:rsidRDefault="00382869" w:rsidP="00D22441">
            <w:pPr>
              <w:jc w:val="lef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CENTRALES ELECTRICAS DE NARIÑO S.A. E.S.P.</w:t>
            </w:r>
          </w:p>
        </w:tc>
        <w:tc>
          <w:tcPr>
            <w:tcW w:w="1520" w:type="dxa"/>
            <w:shd w:val="clear" w:color="000000" w:fill="F2F2F2"/>
            <w:noWrap/>
            <w:vAlign w:val="center"/>
            <w:hideMark/>
          </w:tcPr>
          <w:p w14:paraId="61AB4D0A"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$ 21.934.384.000</w:t>
            </w:r>
          </w:p>
        </w:tc>
        <w:tc>
          <w:tcPr>
            <w:tcW w:w="1360" w:type="dxa"/>
            <w:shd w:val="clear" w:color="000000" w:fill="F2F2F2"/>
            <w:noWrap/>
            <w:vAlign w:val="center"/>
            <w:hideMark/>
          </w:tcPr>
          <w:p w14:paraId="03B75480"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$ 2.251.359.380</w:t>
            </w:r>
          </w:p>
        </w:tc>
        <w:tc>
          <w:tcPr>
            <w:tcW w:w="1520" w:type="dxa"/>
            <w:shd w:val="clear" w:color="000000" w:fill="F2F2F2"/>
            <w:noWrap/>
            <w:vAlign w:val="center"/>
            <w:hideMark/>
          </w:tcPr>
          <w:p w14:paraId="2B315A23"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$ 24.185.743.380</w:t>
            </w:r>
          </w:p>
        </w:tc>
        <w:tc>
          <w:tcPr>
            <w:tcW w:w="1200" w:type="dxa"/>
            <w:shd w:val="clear" w:color="000000" w:fill="F2F2F2"/>
            <w:noWrap/>
            <w:vAlign w:val="center"/>
            <w:hideMark/>
          </w:tcPr>
          <w:p w14:paraId="1F5BCDEE"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$ 241.857.434</w:t>
            </w:r>
          </w:p>
        </w:tc>
        <w:tc>
          <w:tcPr>
            <w:tcW w:w="1200" w:type="dxa"/>
            <w:shd w:val="clear" w:color="000000" w:fill="F2F2F2"/>
            <w:noWrap/>
            <w:vAlign w:val="center"/>
            <w:hideMark/>
          </w:tcPr>
          <w:p w14:paraId="1FF7D571"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$ 10.065</w:t>
            </w:r>
          </w:p>
        </w:tc>
        <w:tc>
          <w:tcPr>
            <w:tcW w:w="1289" w:type="dxa"/>
            <w:shd w:val="clear" w:color="000000" w:fill="F2F2F2"/>
            <w:noWrap/>
            <w:vAlign w:val="center"/>
            <w:hideMark/>
          </w:tcPr>
          <w:p w14:paraId="01C40973"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$ 241.867.499</w:t>
            </w:r>
          </w:p>
        </w:tc>
      </w:tr>
      <w:tr w:rsidR="00382869" w:rsidRPr="00053706" w14:paraId="02C7D497" w14:textId="77777777" w:rsidTr="009A29B8">
        <w:trPr>
          <w:trHeight w:val="465"/>
        </w:trPr>
        <w:tc>
          <w:tcPr>
            <w:tcW w:w="407" w:type="dxa"/>
            <w:shd w:val="clear" w:color="000000" w:fill="F2F2F2"/>
            <w:noWrap/>
            <w:vAlign w:val="center"/>
            <w:hideMark/>
          </w:tcPr>
          <w:p w14:paraId="3BC9AA3C" w14:textId="77777777" w:rsidR="00382869" w:rsidRPr="00053706" w:rsidRDefault="00382869" w:rsidP="00D22441">
            <w:pPr>
              <w:jc w:val="center"/>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40</w:t>
            </w:r>
          </w:p>
        </w:tc>
        <w:tc>
          <w:tcPr>
            <w:tcW w:w="585" w:type="dxa"/>
            <w:shd w:val="clear" w:color="000000" w:fill="F2F2F2"/>
            <w:noWrap/>
            <w:vAlign w:val="center"/>
            <w:hideMark/>
          </w:tcPr>
          <w:p w14:paraId="42949C42"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694</w:t>
            </w:r>
          </w:p>
        </w:tc>
        <w:tc>
          <w:tcPr>
            <w:tcW w:w="941" w:type="dxa"/>
            <w:shd w:val="clear" w:color="000000" w:fill="F2F2F2"/>
            <w:noWrap/>
            <w:vAlign w:val="center"/>
            <w:hideMark/>
          </w:tcPr>
          <w:p w14:paraId="5A3B6F5C"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891500061</w:t>
            </w:r>
          </w:p>
        </w:tc>
        <w:tc>
          <w:tcPr>
            <w:tcW w:w="3533" w:type="dxa"/>
            <w:shd w:val="clear" w:color="000000" w:fill="F2F2F2"/>
            <w:vAlign w:val="center"/>
            <w:hideMark/>
          </w:tcPr>
          <w:p w14:paraId="352BFF07" w14:textId="36D33029" w:rsidR="00382869" w:rsidRPr="00053706" w:rsidRDefault="00382869" w:rsidP="00D22441">
            <w:pPr>
              <w:jc w:val="lef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EMPRESA MUNICIPAL DE ENERGÍA ELÉCTRICA S.A</w:t>
            </w:r>
            <w:r w:rsidR="00A21ED5" w:rsidRPr="00053706">
              <w:rPr>
                <w:rFonts w:ascii="Arial Narrow" w:hAnsi="Arial Narrow" w:cs="Arial"/>
                <w:color w:val="000000"/>
                <w:spacing w:val="0"/>
                <w:sz w:val="16"/>
                <w:szCs w:val="16"/>
                <w:lang w:eastAsia="es-CO"/>
              </w:rPr>
              <w:t xml:space="preserve">. </w:t>
            </w:r>
            <w:r w:rsidRPr="00053706">
              <w:rPr>
                <w:rFonts w:ascii="Arial Narrow" w:hAnsi="Arial Narrow" w:cs="Arial"/>
                <w:color w:val="000000"/>
                <w:spacing w:val="0"/>
                <w:sz w:val="16"/>
                <w:szCs w:val="16"/>
                <w:lang w:eastAsia="es-CO"/>
              </w:rPr>
              <w:t>E.S.P</w:t>
            </w:r>
            <w:r w:rsidR="00A21ED5" w:rsidRPr="00053706">
              <w:rPr>
                <w:rFonts w:ascii="Arial Narrow" w:hAnsi="Arial Narrow" w:cs="Arial"/>
                <w:color w:val="000000"/>
                <w:spacing w:val="0"/>
                <w:sz w:val="16"/>
                <w:szCs w:val="16"/>
                <w:lang w:eastAsia="es-CO"/>
              </w:rPr>
              <w:t>.</w:t>
            </w:r>
          </w:p>
        </w:tc>
        <w:tc>
          <w:tcPr>
            <w:tcW w:w="1520" w:type="dxa"/>
            <w:shd w:val="clear" w:color="000000" w:fill="F2F2F2"/>
            <w:noWrap/>
            <w:vAlign w:val="center"/>
            <w:hideMark/>
          </w:tcPr>
          <w:p w14:paraId="73E38AE1"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$ 2.392.545.165</w:t>
            </w:r>
          </w:p>
        </w:tc>
        <w:tc>
          <w:tcPr>
            <w:tcW w:w="1360" w:type="dxa"/>
            <w:shd w:val="clear" w:color="000000" w:fill="F2F2F2"/>
            <w:noWrap/>
            <w:vAlign w:val="center"/>
            <w:hideMark/>
          </w:tcPr>
          <w:p w14:paraId="7B53C3AF"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$ 149.506.832</w:t>
            </w:r>
          </w:p>
        </w:tc>
        <w:tc>
          <w:tcPr>
            <w:tcW w:w="1520" w:type="dxa"/>
            <w:shd w:val="clear" w:color="000000" w:fill="F2F2F2"/>
            <w:noWrap/>
            <w:vAlign w:val="center"/>
            <w:hideMark/>
          </w:tcPr>
          <w:p w14:paraId="57870AC8"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$ 2.542.051.997</w:t>
            </w:r>
          </w:p>
        </w:tc>
        <w:tc>
          <w:tcPr>
            <w:tcW w:w="1200" w:type="dxa"/>
            <w:shd w:val="clear" w:color="000000" w:fill="F2F2F2"/>
            <w:noWrap/>
            <w:vAlign w:val="center"/>
            <w:hideMark/>
          </w:tcPr>
          <w:p w14:paraId="72B57E62"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$ 25.420.520</w:t>
            </w:r>
          </w:p>
        </w:tc>
        <w:tc>
          <w:tcPr>
            <w:tcW w:w="1200" w:type="dxa"/>
            <w:shd w:val="clear" w:color="000000" w:fill="F2F2F2"/>
            <w:noWrap/>
            <w:vAlign w:val="center"/>
            <w:hideMark/>
          </w:tcPr>
          <w:p w14:paraId="37BE6CBD"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$ 1.058</w:t>
            </w:r>
          </w:p>
        </w:tc>
        <w:tc>
          <w:tcPr>
            <w:tcW w:w="1289" w:type="dxa"/>
            <w:shd w:val="clear" w:color="000000" w:fill="F2F2F2"/>
            <w:noWrap/>
            <w:vAlign w:val="center"/>
            <w:hideMark/>
          </w:tcPr>
          <w:p w14:paraId="1F5E614F"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$ 25.421.578</w:t>
            </w:r>
          </w:p>
        </w:tc>
      </w:tr>
      <w:tr w:rsidR="00382869" w:rsidRPr="00053706" w14:paraId="3D94BD78" w14:textId="77777777" w:rsidTr="009A29B8">
        <w:trPr>
          <w:trHeight w:val="465"/>
        </w:trPr>
        <w:tc>
          <w:tcPr>
            <w:tcW w:w="407" w:type="dxa"/>
            <w:shd w:val="clear" w:color="000000" w:fill="F2F2F2"/>
            <w:noWrap/>
            <w:vAlign w:val="center"/>
            <w:hideMark/>
          </w:tcPr>
          <w:p w14:paraId="473363DF" w14:textId="77777777" w:rsidR="00382869" w:rsidRPr="00053706" w:rsidRDefault="00382869" w:rsidP="00D22441">
            <w:pPr>
              <w:jc w:val="center"/>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41</w:t>
            </w:r>
          </w:p>
        </w:tc>
        <w:tc>
          <w:tcPr>
            <w:tcW w:w="585" w:type="dxa"/>
            <w:shd w:val="clear" w:color="000000" w:fill="F2F2F2"/>
            <w:noWrap/>
            <w:vAlign w:val="center"/>
            <w:hideMark/>
          </w:tcPr>
          <w:p w14:paraId="198B32A4"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500</w:t>
            </w:r>
          </w:p>
        </w:tc>
        <w:tc>
          <w:tcPr>
            <w:tcW w:w="941" w:type="dxa"/>
            <w:shd w:val="clear" w:color="000000" w:fill="F2F2F2"/>
            <w:noWrap/>
            <w:vAlign w:val="center"/>
            <w:hideMark/>
          </w:tcPr>
          <w:p w14:paraId="0C2272C8"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891800219</w:t>
            </w:r>
          </w:p>
        </w:tc>
        <w:tc>
          <w:tcPr>
            <w:tcW w:w="3533" w:type="dxa"/>
            <w:shd w:val="clear" w:color="000000" w:fill="F2F2F2"/>
            <w:vAlign w:val="center"/>
            <w:hideMark/>
          </w:tcPr>
          <w:p w14:paraId="209A14C9" w14:textId="77777777" w:rsidR="00382869" w:rsidRPr="00053706" w:rsidRDefault="00382869" w:rsidP="00D22441">
            <w:pPr>
              <w:jc w:val="lef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EMPRESA DE ENERGIA DE BOYACA S.A. ESP</w:t>
            </w:r>
          </w:p>
        </w:tc>
        <w:tc>
          <w:tcPr>
            <w:tcW w:w="1520" w:type="dxa"/>
            <w:shd w:val="clear" w:color="000000" w:fill="F2F2F2"/>
            <w:noWrap/>
            <w:vAlign w:val="center"/>
            <w:hideMark/>
          </w:tcPr>
          <w:p w14:paraId="521C2A5A"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$ 18.618.076.000</w:t>
            </w:r>
          </w:p>
        </w:tc>
        <w:tc>
          <w:tcPr>
            <w:tcW w:w="1360" w:type="dxa"/>
            <w:shd w:val="clear" w:color="000000" w:fill="F2F2F2"/>
            <w:noWrap/>
            <w:vAlign w:val="center"/>
            <w:hideMark/>
          </w:tcPr>
          <w:p w14:paraId="1D91958A"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$ 2.837.164.246</w:t>
            </w:r>
          </w:p>
        </w:tc>
        <w:tc>
          <w:tcPr>
            <w:tcW w:w="1520" w:type="dxa"/>
            <w:shd w:val="clear" w:color="000000" w:fill="F2F2F2"/>
            <w:noWrap/>
            <w:vAlign w:val="center"/>
            <w:hideMark/>
          </w:tcPr>
          <w:p w14:paraId="7522969D"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$ 21.455.240.246</w:t>
            </w:r>
          </w:p>
        </w:tc>
        <w:tc>
          <w:tcPr>
            <w:tcW w:w="1200" w:type="dxa"/>
            <w:shd w:val="clear" w:color="000000" w:fill="F2F2F2"/>
            <w:noWrap/>
            <w:vAlign w:val="center"/>
            <w:hideMark/>
          </w:tcPr>
          <w:p w14:paraId="4AF8E9D0"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$ 214.552.402</w:t>
            </w:r>
          </w:p>
        </w:tc>
        <w:tc>
          <w:tcPr>
            <w:tcW w:w="1200" w:type="dxa"/>
            <w:shd w:val="clear" w:color="000000" w:fill="F2F2F2"/>
            <w:noWrap/>
            <w:vAlign w:val="center"/>
            <w:hideMark/>
          </w:tcPr>
          <w:p w14:paraId="4A2EB63D"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$ 8.929</w:t>
            </w:r>
          </w:p>
        </w:tc>
        <w:tc>
          <w:tcPr>
            <w:tcW w:w="1289" w:type="dxa"/>
            <w:shd w:val="clear" w:color="000000" w:fill="F2F2F2"/>
            <w:noWrap/>
            <w:vAlign w:val="center"/>
            <w:hideMark/>
          </w:tcPr>
          <w:p w14:paraId="7D122EA7"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$ 214.561.331</w:t>
            </w:r>
          </w:p>
        </w:tc>
      </w:tr>
      <w:tr w:rsidR="00382869" w:rsidRPr="00053706" w14:paraId="62AAF054" w14:textId="77777777" w:rsidTr="00053706">
        <w:trPr>
          <w:trHeight w:val="319"/>
        </w:trPr>
        <w:tc>
          <w:tcPr>
            <w:tcW w:w="407" w:type="dxa"/>
            <w:shd w:val="clear" w:color="000000" w:fill="F2F2F2"/>
            <w:noWrap/>
            <w:vAlign w:val="center"/>
            <w:hideMark/>
          </w:tcPr>
          <w:p w14:paraId="0E3587BA" w14:textId="77777777" w:rsidR="00382869" w:rsidRPr="00053706" w:rsidRDefault="00382869" w:rsidP="00D22441">
            <w:pPr>
              <w:jc w:val="center"/>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42</w:t>
            </w:r>
          </w:p>
        </w:tc>
        <w:tc>
          <w:tcPr>
            <w:tcW w:w="585" w:type="dxa"/>
            <w:shd w:val="clear" w:color="000000" w:fill="F2F2F2"/>
            <w:noWrap/>
            <w:vAlign w:val="center"/>
            <w:hideMark/>
          </w:tcPr>
          <w:p w14:paraId="36A4A9F6"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637</w:t>
            </w:r>
          </w:p>
        </w:tc>
        <w:tc>
          <w:tcPr>
            <w:tcW w:w="941" w:type="dxa"/>
            <w:shd w:val="clear" w:color="000000" w:fill="F2F2F2"/>
            <w:noWrap/>
            <w:vAlign w:val="center"/>
            <w:hideMark/>
          </w:tcPr>
          <w:p w14:paraId="66190F77"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891900101</w:t>
            </w:r>
          </w:p>
        </w:tc>
        <w:tc>
          <w:tcPr>
            <w:tcW w:w="3533" w:type="dxa"/>
            <w:shd w:val="clear" w:color="000000" w:fill="F2F2F2"/>
            <w:vAlign w:val="center"/>
            <w:hideMark/>
          </w:tcPr>
          <w:p w14:paraId="6A7344E9" w14:textId="77777777" w:rsidR="00382869" w:rsidRPr="00053706" w:rsidRDefault="00382869" w:rsidP="00D22441">
            <w:pPr>
              <w:jc w:val="lef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COMPAÑÍA DE ELECTRICIDAD DE TULUÁ S.A. E.S.P.</w:t>
            </w:r>
          </w:p>
        </w:tc>
        <w:tc>
          <w:tcPr>
            <w:tcW w:w="1520" w:type="dxa"/>
            <w:shd w:val="clear" w:color="000000" w:fill="F2F2F2"/>
            <w:noWrap/>
            <w:vAlign w:val="center"/>
            <w:hideMark/>
          </w:tcPr>
          <w:p w14:paraId="63278213"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$ 2.071.808.000</w:t>
            </w:r>
          </w:p>
        </w:tc>
        <w:tc>
          <w:tcPr>
            <w:tcW w:w="1360" w:type="dxa"/>
            <w:shd w:val="clear" w:color="000000" w:fill="F2F2F2"/>
            <w:noWrap/>
            <w:vAlign w:val="center"/>
            <w:hideMark/>
          </w:tcPr>
          <w:p w14:paraId="7DB5EE29"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$ 594.631.089</w:t>
            </w:r>
          </w:p>
        </w:tc>
        <w:tc>
          <w:tcPr>
            <w:tcW w:w="1520" w:type="dxa"/>
            <w:shd w:val="clear" w:color="000000" w:fill="F2F2F2"/>
            <w:noWrap/>
            <w:vAlign w:val="center"/>
            <w:hideMark/>
          </w:tcPr>
          <w:p w14:paraId="477EA43D"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$ 2.666.439.089</w:t>
            </w:r>
          </w:p>
        </w:tc>
        <w:tc>
          <w:tcPr>
            <w:tcW w:w="1200" w:type="dxa"/>
            <w:shd w:val="clear" w:color="000000" w:fill="F2F2F2"/>
            <w:noWrap/>
            <w:vAlign w:val="center"/>
            <w:hideMark/>
          </w:tcPr>
          <w:p w14:paraId="606F900D"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$ 26.664.391</w:t>
            </w:r>
          </w:p>
        </w:tc>
        <w:tc>
          <w:tcPr>
            <w:tcW w:w="1200" w:type="dxa"/>
            <w:shd w:val="clear" w:color="000000" w:fill="F2F2F2"/>
            <w:noWrap/>
            <w:vAlign w:val="center"/>
            <w:hideMark/>
          </w:tcPr>
          <w:p w14:paraId="32F61F09"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$ 1.110</w:t>
            </w:r>
          </w:p>
        </w:tc>
        <w:tc>
          <w:tcPr>
            <w:tcW w:w="1289" w:type="dxa"/>
            <w:shd w:val="clear" w:color="000000" w:fill="F2F2F2"/>
            <w:noWrap/>
            <w:vAlign w:val="center"/>
            <w:hideMark/>
          </w:tcPr>
          <w:p w14:paraId="27116DB8"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$ 26.665.501</w:t>
            </w:r>
          </w:p>
        </w:tc>
      </w:tr>
      <w:tr w:rsidR="00382869" w:rsidRPr="00053706" w14:paraId="5FF76F83" w14:textId="77777777" w:rsidTr="009A29B8">
        <w:trPr>
          <w:trHeight w:val="331"/>
        </w:trPr>
        <w:tc>
          <w:tcPr>
            <w:tcW w:w="407" w:type="dxa"/>
            <w:shd w:val="clear" w:color="000000" w:fill="F2F2F2"/>
            <w:noWrap/>
            <w:vAlign w:val="center"/>
            <w:hideMark/>
          </w:tcPr>
          <w:p w14:paraId="52D2A11A" w14:textId="77777777" w:rsidR="00382869" w:rsidRPr="00053706" w:rsidRDefault="00382869" w:rsidP="00D22441">
            <w:pPr>
              <w:jc w:val="center"/>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43</w:t>
            </w:r>
          </w:p>
        </w:tc>
        <w:tc>
          <w:tcPr>
            <w:tcW w:w="585" w:type="dxa"/>
            <w:shd w:val="clear" w:color="000000" w:fill="F2F2F2"/>
            <w:noWrap/>
            <w:vAlign w:val="center"/>
            <w:hideMark/>
          </w:tcPr>
          <w:p w14:paraId="757B536F"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600</w:t>
            </w:r>
          </w:p>
        </w:tc>
        <w:tc>
          <w:tcPr>
            <w:tcW w:w="941" w:type="dxa"/>
            <w:shd w:val="clear" w:color="000000" w:fill="F2F2F2"/>
            <w:noWrap/>
            <w:vAlign w:val="center"/>
            <w:hideMark/>
          </w:tcPr>
          <w:p w14:paraId="173CC63C"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892002210</w:t>
            </w:r>
          </w:p>
        </w:tc>
        <w:tc>
          <w:tcPr>
            <w:tcW w:w="3533" w:type="dxa"/>
            <w:shd w:val="clear" w:color="000000" w:fill="F2F2F2"/>
            <w:vAlign w:val="center"/>
            <w:hideMark/>
          </w:tcPr>
          <w:p w14:paraId="118D977C" w14:textId="77777777" w:rsidR="00382869" w:rsidRPr="00053706" w:rsidRDefault="00382869" w:rsidP="00D22441">
            <w:pPr>
              <w:jc w:val="lef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ELECTRIFICADORA DEL META S.A. E.S.P.</w:t>
            </w:r>
          </w:p>
        </w:tc>
        <w:tc>
          <w:tcPr>
            <w:tcW w:w="1520" w:type="dxa"/>
            <w:shd w:val="clear" w:color="000000" w:fill="F2F2F2"/>
            <w:noWrap/>
            <w:vAlign w:val="center"/>
            <w:hideMark/>
          </w:tcPr>
          <w:p w14:paraId="7FF91F8C"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$ 20.557.015.000</w:t>
            </w:r>
          </w:p>
        </w:tc>
        <w:tc>
          <w:tcPr>
            <w:tcW w:w="1360" w:type="dxa"/>
            <w:shd w:val="clear" w:color="000000" w:fill="F2F2F2"/>
            <w:noWrap/>
            <w:vAlign w:val="center"/>
            <w:hideMark/>
          </w:tcPr>
          <w:p w14:paraId="133C4435"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$ 3.731.965.429</w:t>
            </w:r>
          </w:p>
        </w:tc>
        <w:tc>
          <w:tcPr>
            <w:tcW w:w="1520" w:type="dxa"/>
            <w:shd w:val="clear" w:color="000000" w:fill="F2F2F2"/>
            <w:noWrap/>
            <w:vAlign w:val="center"/>
            <w:hideMark/>
          </w:tcPr>
          <w:p w14:paraId="0A1172F5"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$ 24.288.980.429</w:t>
            </w:r>
          </w:p>
        </w:tc>
        <w:tc>
          <w:tcPr>
            <w:tcW w:w="1200" w:type="dxa"/>
            <w:shd w:val="clear" w:color="000000" w:fill="F2F2F2"/>
            <w:noWrap/>
            <w:vAlign w:val="center"/>
            <w:hideMark/>
          </w:tcPr>
          <w:p w14:paraId="5A73E257"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$ 242.889.804</w:t>
            </w:r>
          </w:p>
        </w:tc>
        <w:tc>
          <w:tcPr>
            <w:tcW w:w="1200" w:type="dxa"/>
            <w:shd w:val="clear" w:color="000000" w:fill="F2F2F2"/>
            <w:noWrap/>
            <w:vAlign w:val="center"/>
            <w:hideMark/>
          </w:tcPr>
          <w:p w14:paraId="2ABF0C6F"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$ 10.108</w:t>
            </w:r>
          </w:p>
        </w:tc>
        <w:tc>
          <w:tcPr>
            <w:tcW w:w="1289" w:type="dxa"/>
            <w:shd w:val="clear" w:color="000000" w:fill="F2F2F2"/>
            <w:noWrap/>
            <w:vAlign w:val="center"/>
            <w:hideMark/>
          </w:tcPr>
          <w:p w14:paraId="7E4CB638"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$ 242.899.913</w:t>
            </w:r>
          </w:p>
        </w:tc>
      </w:tr>
      <w:tr w:rsidR="00382869" w:rsidRPr="00053706" w14:paraId="557D8001" w14:textId="77777777" w:rsidTr="009A29B8">
        <w:trPr>
          <w:trHeight w:val="393"/>
        </w:trPr>
        <w:tc>
          <w:tcPr>
            <w:tcW w:w="407" w:type="dxa"/>
            <w:shd w:val="clear" w:color="000000" w:fill="F2F2F2"/>
            <w:noWrap/>
            <w:vAlign w:val="center"/>
            <w:hideMark/>
          </w:tcPr>
          <w:p w14:paraId="327DE775" w14:textId="77777777" w:rsidR="00382869" w:rsidRPr="00053706" w:rsidRDefault="00382869" w:rsidP="00D22441">
            <w:pPr>
              <w:jc w:val="center"/>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44</w:t>
            </w:r>
          </w:p>
        </w:tc>
        <w:tc>
          <w:tcPr>
            <w:tcW w:w="585" w:type="dxa"/>
            <w:shd w:val="clear" w:color="000000" w:fill="F2F2F2"/>
            <w:noWrap/>
            <w:vAlign w:val="center"/>
            <w:hideMark/>
          </w:tcPr>
          <w:p w14:paraId="23253871"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599</w:t>
            </w:r>
          </w:p>
        </w:tc>
        <w:tc>
          <w:tcPr>
            <w:tcW w:w="941" w:type="dxa"/>
            <w:shd w:val="clear" w:color="000000" w:fill="F2F2F2"/>
            <w:noWrap/>
            <w:vAlign w:val="center"/>
            <w:hideMark/>
          </w:tcPr>
          <w:p w14:paraId="65F2FEB8"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892099499</w:t>
            </w:r>
          </w:p>
        </w:tc>
        <w:tc>
          <w:tcPr>
            <w:tcW w:w="3533" w:type="dxa"/>
            <w:shd w:val="clear" w:color="000000" w:fill="F2F2F2"/>
            <w:vAlign w:val="center"/>
            <w:hideMark/>
          </w:tcPr>
          <w:p w14:paraId="3622D779" w14:textId="77777777" w:rsidR="00382869" w:rsidRPr="00053706" w:rsidRDefault="00382869" w:rsidP="00D22441">
            <w:pPr>
              <w:jc w:val="lef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EMPRESA DE ENERGIA DE ARAUCA</w:t>
            </w:r>
          </w:p>
        </w:tc>
        <w:tc>
          <w:tcPr>
            <w:tcW w:w="1520" w:type="dxa"/>
            <w:shd w:val="clear" w:color="000000" w:fill="F2F2F2"/>
            <w:noWrap/>
            <w:vAlign w:val="center"/>
            <w:hideMark/>
          </w:tcPr>
          <w:p w14:paraId="71B115BF"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$ 8.188.537.000</w:t>
            </w:r>
          </w:p>
        </w:tc>
        <w:tc>
          <w:tcPr>
            <w:tcW w:w="1360" w:type="dxa"/>
            <w:shd w:val="clear" w:color="000000" w:fill="F2F2F2"/>
            <w:noWrap/>
            <w:vAlign w:val="center"/>
            <w:hideMark/>
          </w:tcPr>
          <w:p w14:paraId="319C2398"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$ 930.736.893</w:t>
            </w:r>
          </w:p>
        </w:tc>
        <w:tc>
          <w:tcPr>
            <w:tcW w:w="1520" w:type="dxa"/>
            <w:shd w:val="clear" w:color="000000" w:fill="F2F2F2"/>
            <w:noWrap/>
            <w:vAlign w:val="center"/>
            <w:hideMark/>
          </w:tcPr>
          <w:p w14:paraId="4E0E4493"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$ 9.119.273.893</w:t>
            </w:r>
          </w:p>
        </w:tc>
        <w:tc>
          <w:tcPr>
            <w:tcW w:w="1200" w:type="dxa"/>
            <w:shd w:val="clear" w:color="000000" w:fill="F2F2F2"/>
            <w:noWrap/>
            <w:vAlign w:val="center"/>
            <w:hideMark/>
          </w:tcPr>
          <w:p w14:paraId="1469AAC0"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$ 91.192.739</w:t>
            </w:r>
          </w:p>
        </w:tc>
        <w:tc>
          <w:tcPr>
            <w:tcW w:w="1200" w:type="dxa"/>
            <w:shd w:val="clear" w:color="000000" w:fill="F2F2F2"/>
            <w:noWrap/>
            <w:vAlign w:val="center"/>
            <w:hideMark/>
          </w:tcPr>
          <w:p w14:paraId="34C83814"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$ 3.795</w:t>
            </w:r>
          </w:p>
        </w:tc>
        <w:tc>
          <w:tcPr>
            <w:tcW w:w="1289" w:type="dxa"/>
            <w:shd w:val="clear" w:color="000000" w:fill="F2F2F2"/>
            <w:noWrap/>
            <w:vAlign w:val="center"/>
            <w:hideMark/>
          </w:tcPr>
          <w:p w14:paraId="001C372E"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$ 91.196.534</w:t>
            </w:r>
          </w:p>
        </w:tc>
      </w:tr>
      <w:tr w:rsidR="00382869" w:rsidRPr="00053706" w14:paraId="5202B358" w14:textId="77777777" w:rsidTr="00053706">
        <w:trPr>
          <w:trHeight w:val="217"/>
        </w:trPr>
        <w:tc>
          <w:tcPr>
            <w:tcW w:w="407" w:type="dxa"/>
            <w:shd w:val="clear" w:color="000000" w:fill="F2F2F2"/>
            <w:noWrap/>
            <w:vAlign w:val="center"/>
            <w:hideMark/>
          </w:tcPr>
          <w:p w14:paraId="4AA48B38" w14:textId="77777777" w:rsidR="00382869" w:rsidRPr="00053706" w:rsidRDefault="00382869" w:rsidP="00D22441">
            <w:pPr>
              <w:jc w:val="center"/>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45</w:t>
            </w:r>
          </w:p>
        </w:tc>
        <w:tc>
          <w:tcPr>
            <w:tcW w:w="585" w:type="dxa"/>
            <w:shd w:val="clear" w:color="000000" w:fill="F2F2F2"/>
            <w:noWrap/>
            <w:vAlign w:val="center"/>
            <w:hideMark/>
          </w:tcPr>
          <w:p w14:paraId="257DB7F1"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594</w:t>
            </w:r>
          </w:p>
        </w:tc>
        <w:tc>
          <w:tcPr>
            <w:tcW w:w="941" w:type="dxa"/>
            <w:shd w:val="clear" w:color="000000" w:fill="F2F2F2"/>
            <w:noWrap/>
            <w:vAlign w:val="center"/>
            <w:hideMark/>
          </w:tcPr>
          <w:p w14:paraId="63064ECC"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899999082</w:t>
            </w:r>
          </w:p>
        </w:tc>
        <w:tc>
          <w:tcPr>
            <w:tcW w:w="3533" w:type="dxa"/>
            <w:shd w:val="clear" w:color="000000" w:fill="F2F2F2"/>
            <w:vAlign w:val="center"/>
            <w:hideMark/>
          </w:tcPr>
          <w:p w14:paraId="0409D56F" w14:textId="77777777" w:rsidR="00382869" w:rsidRPr="00053706" w:rsidRDefault="00382869" w:rsidP="00D22441">
            <w:pPr>
              <w:jc w:val="lef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EMPRESA DE ENERGIA DE BOGOTA S.A. ESP.</w:t>
            </w:r>
          </w:p>
        </w:tc>
        <w:tc>
          <w:tcPr>
            <w:tcW w:w="1520" w:type="dxa"/>
            <w:shd w:val="clear" w:color="000000" w:fill="F2F2F2"/>
            <w:noWrap/>
            <w:vAlign w:val="center"/>
            <w:hideMark/>
          </w:tcPr>
          <w:p w14:paraId="084DB754"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$ 21.096.769.000</w:t>
            </w:r>
          </w:p>
        </w:tc>
        <w:tc>
          <w:tcPr>
            <w:tcW w:w="1360" w:type="dxa"/>
            <w:shd w:val="clear" w:color="000000" w:fill="F2F2F2"/>
            <w:noWrap/>
            <w:vAlign w:val="center"/>
            <w:hideMark/>
          </w:tcPr>
          <w:p w14:paraId="287EC73E"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$ 0</w:t>
            </w:r>
          </w:p>
        </w:tc>
        <w:tc>
          <w:tcPr>
            <w:tcW w:w="1520" w:type="dxa"/>
            <w:shd w:val="clear" w:color="000000" w:fill="F2F2F2"/>
            <w:noWrap/>
            <w:vAlign w:val="center"/>
            <w:hideMark/>
          </w:tcPr>
          <w:p w14:paraId="22AE5211"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$ 21.096.769.000</w:t>
            </w:r>
          </w:p>
        </w:tc>
        <w:tc>
          <w:tcPr>
            <w:tcW w:w="1200" w:type="dxa"/>
            <w:shd w:val="clear" w:color="000000" w:fill="F2F2F2"/>
            <w:noWrap/>
            <w:vAlign w:val="center"/>
            <w:hideMark/>
          </w:tcPr>
          <w:p w14:paraId="148F2707"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$ 210.967.690</w:t>
            </w:r>
          </w:p>
        </w:tc>
        <w:tc>
          <w:tcPr>
            <w:tcW w:w="1200" w:type="dxa"/>
            <w:shd w:val="clear" w:color="000000" w:fill="F2F2F2"/>
            <w:noWrap/>
            <w:vAlign w:val="center"/>
            <w:hideMark/>
          </w:tcPr>
          <w:p w14:paraId="52D8EAA5"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$ 8.780</w:t>
            </w:r>
          </w:p>
        </w:tc>
        <w:tc>
          <w:tcPr>
            <w:tcW w:w="1289" w:type="dxa"/>
            <w:shd w:val="clear" w:color="000000" w:fill="F2F2F2"/>
            <w:noWrap/>
            <w:vAlign w:val="center"/>
            <w:hideMark/>
          </w:tcPr>
          <w:p w14:paraId="66AE9122"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$ 210.976.470</w:t>
            </w:r>
          </w:p>
        </w:tc>
      </w:tr>
      <w:tr w:rsidR="00382869" w:rsidRPr="00053706" w14:paraId="39DEC984" w14:textId="77777777" w:rsidTr="009A29B8">
        <w:trPr>
          <w:trHeight w:val="285"/>
        </w:trPr>
        <w:tc>
          <w:tcPr>
            <w:tcW w:w="407" w:type="dxa"/>
            <w:shd w:val="clear" w:color="000000" w:fill="F2F2F2"/>
            <w:noWrap/>
            <w:vAlign w:val="center"/>
            <w:hideMark/>
          </w:tcPr>
          <w:p w14:paraId="4CA729AF" w14:textId="77777777" w:rsidR="00382869" w:rsidRPr="00053706" w:rsidRDefault="00382869" w:rsidP="00D22441">
            <w:pPr>
              <w:jc w:val="center"/>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46</w:t>
            </w:r>
          </w:p>
        </w:tc>
        <w:tc>
          <w:tcPr>
            <w:tcW w:w="585" w:type="dxa"/>
            <w:shd w:val="clear" w:color="000000" w:fill="F2F2F2"/>
            <w:noWrap/>
            <w:vAlign w:val="center"/>
            <w:hideMark/>
          </w:tcPr>
          <w:p w14:paraId="43F6FBEF"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20437</w:t>
            </w:r>
          </w:p>
        </w:tc>
        <w:tc>
          <w:tcPr>
            <w:tcW w:w="941" w:type="dxa"/>
            <w:shd w:val="clear" w:color="000000" w:fill="F2F2F2"/>
            <w:noWrap/>
            <w:vAlign w:val="center"/>
            <w:hideMark/>
          </w:tcPr>
          <w:p w14:paraId="752BE619"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900039901</w:t>
            </w:r>
          </w:p>
        </w:tc>
        <w:tc>
          <w:tcPr>
            <w:tcW w:w="3533" w:type="dxa"/>
            <w:shd w:val="clear" w:color="000000" w:fill="F2F2F2"/>
            <w:vAlign w:val="center"/>
            <w:hideMark/>
          </w:tcPr>
          <w:p w14:paraId="30274AF6" w14:textId="77777777" w:rsidR="00382869" w:rsidRPr="00053706" w:rsidRDefault="00382869" w:rsidP="00D22441">
            <w:pPr>
              <w:jc w:val="lef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ENERTOTAL S.A. E.S.P.</w:t>
            </w:r>
          </w:p>
        </w:tc>
        <w:tc>
          <w:tcPr>
            <w:tcW w:w="1520" w:type="dxa"/>
            <w:shd w:val="clear" w:color="000000" w:fill="F2F2F2"/>
            <w:noWrap/>
            <w:vAlign w:val="center"/>
            <w:hideMark/>
          </w:tcPr>
          <w:p w14:paraId="6E739F33"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$ 2.824.375.000</w:t>
            </w:r>
          </w:p>
        </w:tc>
        <w:tc>
          <w:tcPr>
            <w:tcW w:w="1360" w:type="dxa"/>
            <w:shd w:val="clear" w:color="000000" w:fill="F2F2F2"/>
            <w:noWrap/>
            <w:vAlign w:val="center"/>
            <w:hideMark/>
          </w:tcPr>
          <w:p w14:paraId="64AF4D94"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$ 0</w:t>
            </w:r>
          </w:p>
        </w:tc>
        <w:tc>
          <w:tcPr>
            <w:tcW w:w="1520" w:type="dxa"/>
            <w:shd w:val="clear" w:color="000000" w:fill="F2F2F2"/>
            <w:noWrap/>
            <w:vAlign w:val="center"/>
            <w:hideMark/>
          </w:tcPr>
          <w:p w14:paraId="34400FE4"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$ 2.824.375.000</w:t>
            </w:r>
          </w:p>
        </w:tc>
        <w:tc>
          <w:tcPr>
            <w:tcW w:w="1200" w:type="dxa"/>
            <w:shd w:val="clear" w:color="000000" w:fill="F2F2F2"/>
            <w:noWrap/>
            <w:vAlign w:val="center"/>
            <w:hideMark/>
          </w:tcPr>
          <w:p w14:paraId="18AE719A"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$ 28.243.750</w:t>
            </w:r>
          </w:p>
        </w:tc>
        <w:tc>
          <w:tcPr>
            <w:tcW w:w="1200" w:type="dxa"/>
            <w:shd w:val="clear" w:color="000000" w:fill="F2F2F2"/>
            <w:noWrap/>
            <w:vAlign w:val="center"/>
            <w:hideMark/>
          </w:tcPr>
          <w:p w14:paraId="7748D744"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$ 1.175</w:t>
            </w:r>
          </w:p>
        </w:tc>
        <w:tc>
          <w:tcPr>
            <w:tcW w:w="1289" w:type="dxa"/>
            <w:shd w:val="clear" w:color="000000" w:fill="F2F2F2"/>
            <w:noWrap/>
            <w:vAlign w:val="center"/>
            <w:hideMark/>
          </w:tcPr>
          <w:p w14:paraId="40773FFE"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$ 28.244.925</w:t>
            </w:r>
          </w:p>
        </w:tc>
      </w:tr>
      <w:tr w:rsidR="00382869" w:rsidRPr="00053706" w14:paraId="29FAFA35" w14:textId="77777777" w:rsidTr="009A29B8">
        <w:trPr>
          <w:trHeight w:val="465"/>
        </w:trPr>
        <w:tc>
          <w:tcPr>
            <w:tcW w:w="407" w:type="dxa"/>
            <w:shd w:val="clear" w:color="000000" w:fill="F2F2F2"/>
            <w:noWrap/>
            <w:vAlign w:val="center"/>
            <w:hideMark/>
          </w:tcPr>
          <w:p w14:paraId="32E5A96A" w14:textId="77777777" w:rsidR="00382869" w:rsidRPr="00053706" w:rsidRDefault="00382869" w:rsidP="00D22441">
            <w:pPr>
              <w:jc w:val="center"/>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lastRenderedPageBreak/>
              <w:t>47</w:t>
            </w:r>
          </w:p>
        </w:tc>
        <w:tc>
          <w:tcPr>
            <w:tcW w:w="585" w:type="dxa"/>
            <w:shd w:val="clear" w:color="000000" w:fill="F2F2F2"/>
            <w:noWrap/>
            <w:vAlign w:val="center"/>
            <w:hideMark/>
          </w:tcPr>
          <w:p w14:paraId="2FA126E5"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20481</w:t>
            </w:r>
          </w:p>
        </w:tc>
        <w:tc>
          <w:tcPr>
            <w:tcW w:w="941" w:type="dxa"/>
            <w:shd w:val="clear" w:color="000000" w:fill="F2F2F2"/>
            <w:noWrap/>
            <w:vAlign w:val="center"/>
            <w:hideMark/>
          </w:tcPr>
          <w:p w14:paraId="545DDB6F"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900042857</w:t>
            </w:r>
          </w:p>
        </w:tc>
        <w:tc>
          <w:tcPr>
            <w:tcW w:w="3533" w:type="dxa"/>
            <w:shd w:val="clear" w:color="000000" w:fill="F2F2F2"/>
            <w:vAlign w:val="center"/>
            <w:hideMark/>
          </w:tcPr>
          <w:p w14:paraId="2FB80CAA" w14:textId="77777777" w:rsidR="00382869" w:rsidRPr="00053706" w:rsidRDefault="00382869" w:rsidP="00D22441">
            <w:pPr>
              <w:jc w:val="lef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XM COMPAÑIA DE EXPERTOS EN MERCADOS S.A. E.S.P.</w:t>
            </w:r>
          </w:p>
        </w:tc>
        <w:tc>
          <w:tcPr>
            <w:tcW w:w="1520" w:type="dxa"/>
            <w:shd w:val="clear" w:color="000000" w:fill="F2F2F2"/>
            <w:noWrap/>
            <w:vAlign w:val="center"/>
            <w:hideMark/>
          </w:tcPr>
          <w:p w14:paraId="42CA9958"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$ 61.668.959.000</w:t>
            </w:r>
          </w:p>
        </w:tc>
        <w:tc>
          <w:tcPr>
            <w:tcW w:w="1360" w:type="dxa"/>
            <w:shd w:val="clear" w:color="000000" w:fill="F2F2F2"/>
            <w:noWrap/>
            <w:vAlign w:val="center"/>
            <w:hideMark/>
          </w:tcPr>
          <w:p w14:paraId="716998A9"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$ 0</w:t>
            </w:r>
          </w:p>
        </w:tc>
        <w:tc>
          <w:tcPr>
            <w:tcW w:w="1520" w:type="dxa"/>
            <w:shd w:val="clear" w:color="000000" w:fill="F2F2F2"/>
            <w:noWrap/>
            <w:vAlign w:val="center"/>
            <w:hideMark/>
          </w:tcPr>
          <w:p w14:paraId="7B128779"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$ 61.668.959.000</w:t>
            </w:r>
          </w:p>
        </w:tc>
        <w:tc>
          <w:tcPr>
            <w:tcW w:w="1200" w:type="dxa"/>
            <w:shd w:val="clear" w:color="000000" w:fill="F2F2F2"/>
            <w:noWrap/>
            <w:vAlign w:val="center"/>
            <w:hideMark/>
          </w:tcPr>
          <w:p w14:paraId="10E4255F"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$ 616.689.590</w:t>
            </w:r>
          </w:p>
        </w:tc>
        <w:tc>
          <w:tcPr>
            <w:tcW w:w="1200" w:type="dxa"/>
            <w:shd w:val="clear" w:color="000000" w:fill="F2F2F2"/>
            <w:noWrap/>
            <w:vAlign w:val="center"/>
            <w:hideMark/>
          </w:tcPr>
          <w:p w14:paraId="1B7A5D18"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$ 25.665</w:t>
            </w:r>
          </w:p>
        </w:tc>
        <w:tc>
          <w:tcPr>
            <w:tcW w:w="1289" w:type="dxa"/>
            <w:shd w:val="clear" w:color="000000" w:fill="F2F2F2"/>
            <w:noWrap/>
            <w:vAlign w:val="center"/>
            <w:hideMark/>
          </w:tcPr>
          <w:p w14:paraId="4052224F"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$ 616.715.255</w:t>
            </w:r>
          </w:p>
        </w:tc>
      </w:tr>
      <w:tr w:rsidR="00382869" w:rsidRPr="00053706" w14:paraId="3D293822" w14:textId="77777777" w:rsidTr="009A29B8">
        <w:trPr>
          <w:trHeight w:val="313"/>
        </w:trPr>
        <w:tc>
          <w:tcPr>
            <w:tcW w:w="407" w:type="dxa"/>
            <w:shd w:val="clear" w:color="000000" w:fill="F2F2F2"/>
            <w:noWrap/>
            <w:vAlign w:val="center"/>
            <w:hideMark/>
          </w:tcPr>
          <w:p w14:paraId="1C5D7E00" w14:textId="77777777" w:rsidR="00382869" w:rsidRPr="00053706" w:rsidRDefault="00382869" w:rsidP="00D22441">
            <w:pPr>
              <w:jc w:val="center"/>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48</w:t>
            </w:r>
          </w:p>
        </w:tc>
        <w:tc>
          <w:tcPr>
            <w:tcW w:w="585" w:type="dxa"/>
            <w:shd w:val="clear" w:color="000000" w:fill="F2F2F2"/>
            <w:noWrap/>
            <w:vAlign w:val="center"/>
            <w:hideMark/>
          </w:tcPr>
          <w:p w14:paraId="49B78910"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21770</w:t>
            </w:r>
          </w:p>
        </w:tc>
        <w:tc>
          <w:tcPr>
            <w:tcW w:w="941" w:type="dxa"/>
            <w:shd w:val="clear" w:color="000000" w:fill="F2F2F2"/>
            <w:noWrap/>
            <w:vAlign w:val="center"/>
            <w:hideMark/>
          </w:tcPr>
          <w:p w14:paraId="2111F418"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900073583</w:t>
            </w:r>
          </w:p>
        </w:tc>
        <w:tc>
          <w:tcPr>
            <w:tcW w:w="3533" w:type="dxa"/>
            <w:shd w:val="clear" w:color="000000" w:fill="F2F2F2"/>
            <w:vAlign w:val="center"/>
            <w:hideMark/>
          </w:tcPr>
          <w:p w14:paraId="48CE08EC" w14:textId="77777777" w:rsidR="00382869" w:rsidRPr="00053706" w:rsidRDefault="00382869" w:rsidP="00D22441">
            <w:pPr>
              <w:jc w:val="lef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LA CASCADA S.A.S E.S.P.</w:t>
            </w:r>
          </w:p>
        </w:tc>
        <w:tc>
          <w:tcPr>
            <w:tcW w:w="1520" w:type="dxa"/>
            <w:shd w:val="clear" w:color="000000" w:fill="F2F2F2"/>
            <w:noWrap/>
            <w:vAlign w:val="center"/>
            <w:hideMark/>
          </w:tcPr>
          <w:p w14:paraId="23391529"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$ 3.225.928.000</w:t>
            </w:r>
          </w:p>
        </w:tc>
        <w:tc>
          <w:tcPr>
            <w:tcW w:w="1360" w:type="dxa"/>
            <w:shd w:val="clear" w:color="000000" w:fill="F2F2F2"/>
            <w:noWrap/>
            <w:vAlign w:val="center"/>
            <w:hideMark/>
          </w:tcPr>
          <w:p w14:paraId="5FED8E0D"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$ 0</w:t>
            </w:r>
          </w:p>
        </w:tc>
        <w:tc>
          <w:tcPr>
            <w:tcW w:w="1520" w:type="dxa"/>
            <w:shd w:val="clear" w:color="000000" w:fill="F2F2F2"/>
            <w:noWrap/>
            <w:vAlign w:val="center"/>
            <w:hideMark/>
          </w:tcPr>
          <w:p w14:paraId="376F5F7E"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$ 3.225.928.000</w:t>
            </w:r>
          </w:p>
        </w:tc>
        <w:tc>
          <w:tcPr>
            <w:tcW w:w="1200" w:type="dxa"/>
            <w:shd w:val="clear" w:color="000000" w:fill="F2F2F2"/>
            <w:noWrap/>
            <w:vAlign w:val="center"/>
            <w:hideMark/>
          </w:tcPr>
          <w:p w14:paraId="46AF2549"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$ 32.259.280</w:t>
            </w:r>
          </w:p>
        </w:tc>
        <w:tc>
          <w:tcPr>
            <w:tcW w:w="1200" w:type="dxa"/>
            <w:shd w:val="clear" w:color="000000" w:fill="F2F2F2"/>
            <w:noWrap/>
            <w:vAlign w:val="center"/>
            <w:hideMark/>
          </w:tcPr>
          <w:p w14:paraId="48364A6B"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$ 1.343</w:t>
            </w:r>
          </w:p>
        </w:tc>
        <w:tc>
          <w:tcPr>
            <w:tcW w:w="1289" w:type="dxa"/>
            <w:shd w:val="clear" w:color="000000" w:fill="F2F2F2"/>
            <w:noWrap/>
            <w:vAlign w:val="center"/>
            <w:hideMark/>
          </w:tcPr>
          <w:p w14:paraId="65D1D019"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$ 32.260.623</w:t>
            </w:r>
          </w:p>
        </w:tc>
      </w:tr>
      <w:tr w:rsidR="00382869" w:rsidRPr="00053706" w14:paraId="3023B94D" w14:textId="77777777" w:rsidTr="009A29B8">
        <w:trPr>
          <w:trHeight w:val="301"/>
        </w:trPr>
        <w:tc>
          <w:tcPr>
            <w:tcW w:w="407" w:type="dxa"/>
            <w:shd w:val="clear" w:color="000000" w:fill="F2F2F2"/>
            <w:noWrap/>
            <w:vAlign w:val="center"/>
            <w:hideMark/>
          </w:tcPr>
          <w:p w14:paraId="715B3D26" w14:textId="77777777" w:rsidR="00382869" w:rsidRPr="00053706" w:rsidRDefault="00382869" w:rsidP="00D22441">
            <w:pPr>
              <w:jc w:val="center"/>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49</w:t>
            </w:r>
          </w:p>
        </w:tc>
        <w:tc>
          <w:tcPr>
            <w:tcW w:w="585" w:type="dxa"/>
            <w:shd w:val="clear" w:color="000000" w:fill="F2F2F2"/>
            <w:noWrap/>
            <w:vAlign w:val="center"/>
            <w:hideMark/>
          </w:tcPr>
          <w:p w14:paraId="5445E1F9"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20612</w:t>
            </w:r>
          </w:p>
        </w:tc>
        <w:tc>
          <w:tcPr>
            <w:tcW w:w="941" w:type="dxa"/>
            <w:shd w:val="clear" w:color="000000" w:fill="F2F2F2"/>
            <w:noWrap/>
            <w:vAlign w:val="center"/>
            <w:hideMark/>
          </w:tcPr>
          <w:p w14:paraId="17FB0160"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900076284</w:t>
            </w:r>
          </w:p>
        </w:tc>
        <w:tc>
          <w:tcPr>
            <w:tcW w:w="3533" w:type="dxa"/>
            <w:shd w:val="clear" w:color="000000" w:fill="F2F2F2"/>
            <w:vAlign w:val="center"/>
            <w:hideMark/>
          </w:tcPr>
          <w:p w14:paraId="13707347" w14:textId="77777777" w:rsidR="00382869" w:rsidRPr="00053706" w:rsidRDefault="00382869" w:rsidP="00D22441">
            <w:pPr>
              <w:jc w:val="lef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COENERSA S.A.S E.S.P.</w:t>
            </w:r>
          </w:p>
        </w:tc>
        <w:tc>
          <w:tcPr>
            <w:tcW w:w="1520" w:type="dxa"/>
            <w:shd w:val="clear" w:color="000000" w:fill="F2F2F2"/>
            <w:noWrap/>
            <w:vAlign w:val="center"/>
            <w:hideMark/>
          </w:tcPr>
          <w:p w14:paraId="5C03357F"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$ 302.589.000</w:t>
            </w:r>
          </w:p>
        </w:tc>
        <w:tc>
          <w:tcPr>
            <w:tcW w:w="1360" w:type="dxa"/>
            <w:shd w:val="clear" w:color="000000" w:fill="F2F2F2"/>
            <w:noWrap/>
            <w:vAlign w:val="center"/>
            <w:hideMark/>
          </w:tcPr>
          <w:p w14:paraId="022826A7"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$ 353.786.294</w:t>
            </w:r>
          </w:p>
        </w:tc>
        <w:tc>
          <w:tcPr>
            <w:tcW w:w="1520" w:type="dxa"/>
            <w:shd w:val="clear" w:color="000000" w:fill="F2F2F2"/>
            <w:noWrap/>
            <w:vAlign w:val="center"/>
            <w:hideMark/>
          </w:tcPr>
          <w:p w14:paraId="595F7C27"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$ 656.375.294</w:t>
            </w:r>
          </w:p>
        </w:tc>
        <w:tc>
          <w:tcPr>
            <w:tcW w:w="1200" w:type="dxa"/>
            <w:shd w:val="clear" w:color="000000" w:fill="F2F2F2"/>
            <w:noWrap/>
            <w:vAlign w:val="center"/>
            <w:hideMark/>
          </w:tcPr>
          <w:p w14:paraId="3F2AD9CF"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$ 6.563.753</w:t>
            </w:r>
          </w:p>
        </w:tc>
        <w:tc>
          <w:tcPr>
            <w:tcW w:w="1200" w:type="dxa"/>
            <w:shd w:val="clear" w:color="000000" w:fill="F2F2F2"/>
            <w:noWrap/>
            <w:vAlign w:val="center"/>
            <w:hideMark/>
          </w:tcPr>
          <w:p w14:paraId="69F2AB6B"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$ 273</w:t>
            </w:r>
          </w:p>
        </w:tc>
        <w:tc>
          <w:tcPr>
            <w:tcW w:w="1289" w:type="dxa"/>
            <w:shd w:val="clear" w:color="000000" w:fill="F2F2F2"/>
            <w:noWrap/>
            <w:vAlign w:val="center"/>
            <w:hideMark/>
          </w:tcPr>
          <w:p w14:paraId="1DA7242E"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$ 6.564.026</w:t>
            </w:r>
          </w:p>
        </w:tc>
      </w:tr>
      <w:tr w:rsidR="00382869" w:rsidRPr="00053706" w14:paraId="7CE3DFB7" w14:textId="77777777" w:rsidTr="009A29B8">
        <w:trPr>
          <w:trHeight w:val="307"/>
        </w:trPr>
        <w:tc>
          <w:tcPr>
            <w:tcW w:w="407" w:type="dxa"/>
            <w:shd w:val="clear" w:color="000000" w:fill="F2F2F2"/>
            <w:noWrap/>
            <w:vAlign w:val="center"/>
            <w:hideMark/>
          </w:tcPr>
          <w:p w14:paraId="6588887A" w14:textId="77777777" w:rsidR="00382869" w:rsidRPr="00053706" w:rsidRDefault="00382869" w:rsidP="00D22441">
            <w:pPr>
              <w:jc w:val="center"/>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50</w:t>
            </w:r>
          </w:p>
        </w:tc>
        <w:tc>
          <w:tcPr>
            <w:tcW w:w="585" w:type="dxa"/>
            <w:shd w:val="clear" w:color="000000" w:fill="F2F2F2"/>
            <w:noWrap/>
            <w:vAlign w:val="center"/>
            <w:hideMark/>
          </w:tcPr>
          <w:p w14:paraId="41E8916D"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21938</w:t>
            </w:r>
          </w:p>
        </w:tc>
        <w:tc>
          <w:tcPr>
            <w:tcW w:w="941" w:type="dxa"/>
            <w:shd w:val="clear" w:color="000000" w:fill="F2F2F2"/>
            <w:noWrap/>
            <w:vAlign w:val="center"/>
            <w:hideMark/>
          </w:tcPr>
          <w:p w14:paraId="121FEC06"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900097320</w:t>
            </w:r>
          </w:p>
        </w:tc>
        <w:tc>
          <w:tcPr>
            <w:tcW w:w="3533" w:type="dxa"/>
            <w:shd w:val="clear" w:color="000000" w:fill="F2F2F2"/>
            <w:vAlign w:val="center"/>
            <w:hideMark/>
          </w:tcPr>
          <w:p w14:paraId="6DAE6B75" w14:textId="5EEB593A" w:rsidR="00382869" w:rsidRPr="00053706" w:rsidRDefault="00382869" w:rsidP="00D22441">
            <w:pPr>
              <w:jc w:val="lef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HIDROTOLIMA S.A.S E.S.P</w:t>
            </w:r>
            <w:r w:rsidR="00A21ED5" w:rsidRPr="00053706">
              <w:rPr>
                <w:rFonts w:ascii="Arial Narrow" w:hAnsi="Arial Narrow" w:cs="Arial"/>
                <w:color w:val="000000"/>
                <w:spacing w:val="0"/>
                <w:sz w:val="16"/>
                <w:szCs w:val="16"/>
                <w:lang w:eastAsia="es-CO"/>
              </w:rPr>
              <w:t>.</w:t>
            </w:r>
          </w:p>
        </w:tc>
        <w:tc>
          <w:tcPr>
            <w:tcW w:w="1520" w:type="dxa"/>
            <w:shd w:val="clear" w:color="000000" w:fill="F2F2F2"/>
            <w:noWrap/>
            <w:vAlign w:val="center"/>
            <w:hideMark/>
          </w:tcPr>
          <w:p w14:paraId="575D5A11"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$ 950.480.000</w:t>
            </w:r>
          </w:p>
        </w:tc>
        <w:tc>
          <w:tcPr>
            <w:tcW w:w="1360" w:type="dxa"/>
            <w:shd w:val="clear" w:color="000000" w:fill="F2F2F2"/>
            <w:noWrap/>
            <w:vAlign w:val="center"/>
            <w:hideMark/>
          </w:tcPr>
          <w:p w14:paraId="3355340A"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$ 99.177</w:t>
            </w:r>
          </w:p>
        </w:tc>
        <w:tc>
          <w:tcPr>
            <w:tcW w:w="1520" w:type="dxa"/>
            <w:shd w:val="clear" w:color="000000" w:fill="F2F2F2"/>
            <w:noWrap/>
            <w:vAlign w:val="center"/>
            <w:hideMark/>
          </w:tcPr>
          <w:p w14:paraId="66BA32C1"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$ 950.579.177</w:t>
            </w:r>
          </w:p>
        </w:tc>
        <w:tc>
          <w:tcPr>
            <w:tcW w:w="1200" w:type="dxa"/>
            <w:shd w:val="clear" w:color="000000" w:fill="F2F2F2"/>
            <w:noWrap/>
            <w:vAlign w:val="center"/>
            <w:hideMark/>
          </w:tcPr>
          <w:p w14:paraId="103A0F20"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$ 9.505.792</w:t>
            </w:r>
          </w:p>
        </w:tc>
        <w:tc>
          <w:tcPr>
            <w:tcW w:w="1200" w:type="dxa"/>
            <w:shd w:val="clear" w:color="000000" w:fill="F2F2F2"/>
            <w:noWrap/>
            <w:vAlign w:val="center"/>
            <w:hideMark/>
          </w:tcPr>
          <w:p w14:paraId="1E62FF84"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$ 396</w:t>
            </w:r>
          </w:p>
        </w:tc>
        <w:tc>
          <w:tcPr>
            <w:tcW w:w="1289" w:type="dxa"/>
            <w:shd w:val="clear" w:color="000000" w:fill="F2F2F2"/>
            <w:noWrap/>
            <w:vAlign w:val="center"/>
            <w:hideMark/>
          </w:tcPr>
          <w:p w14:paraId="56F129F7"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$ 9.506.187</w:t>
            </w:r>
          </w:p>
        </w:tc>
      </w:tr>
      <w:tr w:rsidR="00382869" w:rsidRPr="00053706" w14:paraId="68D2E571" w14:textId="77777777" w:rsidTr="009A29B8">
        <w:trPr>
          <w:trHeight w:val="465"/>
        </w:trPr>
        <w:tc>
          <w:tcPr>
            <w:tcW w:w="407" w:type="dxa"/>
            <w:shd w:val="clear" w:color="000000" w:fill="F2F2F2"/>
            <w:noWrap/>
            <w:vAlign w:val="center"/>
            <w:hideMark/>
          </w:tcPr>
          <w:p w14:paraId="4D0A5A67" w14:textId="77777777" w:rsidR="00382869" w:rsidRPr="00053706" w:rsidRDefault="00382869" w:rsidP="00D22441">
            <w:pPr>
              <w:jc w:val="center"/>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51</w:t>
            </w:r>
          </w:p>
        </w:tc>
        <w:tc>
          <w:tcPr>
            <w:tcW w:w="585" w:type="dxa"/>
            <w:shd w:val="clear" w:color="000000" w:fill="F2F2F2"/>
            <w:noWrap/>
            <w:vAlign w:val="center"/>
            <w:hideMark/>
          </w:tcPr>
          <w:p w14:paraId="213B030D"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21597</w:t>
            </w:r>
          </w:p>
        </w:tc>
        <w:tc>
          <w:tcPr>
            <w:tcW w:w="941" w:type="dxa"/>
            <w:shd w:val="clear" w:color="000000" w:fill="F2F2F2"/>
            <w:noWrap/>
            <w:vAlign w:val="center"/>
            <w:hideMark/>
          </w:tcPr>
          <w:p w14:paraId="6FF0D732"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900122435</w:t>
            </w:r>
          </w:p>
        </w:tc>
        <w:tc>
          <w:tcPr>
            <w:tcW w:w="3533" w:type="dxa"/>
            <w:shd w:val="clear" w:color="000000" w:fill="F2F2F2"/>
            <w:vAlign w:val="center"/>
            <w:hideMark/>
          </w:tcPr>
          <w:p w14:paraId="057C9254" w14:textId="77777777" w:rsidR="00382869" w:rsidRPr="00053706" w:rsidRDefault="00382869" w:rsidP="00D22441">
            <w:pPr>
              <w:jc w:val="lef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COOPERATIVA DE SERVICIOS PÚBLICOS DE LÓPEZ DE MICAY</w:t>
            </w:r>
          </w:p>
        </w:tc>
        <w:tc>
          <w:tcPr>
            <w:tcW w:w="1520" w:type="dxa"/>
            <w:shd w:val="clear" w:color="000000" w:fill="F2F2F2"/>
            <w:noWrap/>
            <w:vAlign w:val="center"/>
            <w:hideMark/>
          </w:tcPr>
          <w:p w14:paraId="1706490E"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$ 381.568.000</w:t>
            </w:r>
          </w:p>
        </w:tc>
        <w:tc>
          <w:tcPr>
            <w:tcW w:w="1360" w:type="dxa"/>
            <w:shd w:val="clear" w:color="000000" w:fill="F2F2F2"/>
            <w:noWrap/>
            <w:vAlign w:val="center"/>
            <w:hideMark/>
          </w:tcPr>
          <w:p w14:paraId="672D5BD3"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$ 11.642.938</w:t>
            </w:r>
          </w:p>
        </w:tc>
        <w:tc>
          <w:tcPr>
            <w:tcW w:w="1520" w:type="dxa"/>
            <w:shd w:val="clear" w:color="000000" w:fill="F2F2F2"/>
            <w:noWrap/>
            <w:vAlign w:val="center"/>
            <w:hideMark/>
          </w:tcPr>
          <w:p w14:paraId="5228A144"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$ 393.210.938</w:t>
            </w:r>
          </w:p>
        </w:tc>
        <w:tc>
          <w:tcPr>
            <w:tcW w:w="1200" w:type="dxa"/>
            <w:shd w:val="clear" w:color="000000" w:fill="F2F2F2"/>
            <w:noWrap/>
            <w:vAlign w:val="center"/>
            <w:hideMark/>
          </w:tcPr>
          <w:p w14:paraId="7BBF91F4"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$ 3.932.109</w:t>
            </w:r>
          </w:p>
        </w:tc>
        <w:tc>
          <w:tcPr>
            <w:tcW w:w="1200" w:type="dxa"/>
            <w:shd w:val="clear" w:color="000000" w:fill="F2F2F2"/>
            <w:noWrap/>
            <w:vAlign w:val="center"/>
            <w:hideMark/>
          </w:tcPr>
          <w:p w14:paraId="7F4F3F30"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$ 164</w:t>
            </w:r>
          </w:p>
        </w:tc>
        <w:tc>
          <w:tcPr>
            <w:tcW w:w="1289" w:type="dxa"/>
            <w:shd w:val="clear" w:color="000000" w:fill="F2F2F2"/>
            <w:noWrap/>
            <w:vAlign w:val="center"/>
            <w:hideMark/>
          </w:tcPr>
          <w:p w14:paraId="1E3816E4"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$ 3.932.273</w:t>
            </w:r>
          </w:p>
        </w:tc>
      </w:tr>
      <w:tr w:rsidR="00382869" w:rsidRPr="00053706" w14:paraId="6F5437DE" w14:textId="77777777" w:rsidTr="009A29B8">
        <w:trPr>
          <w:trHeight w:val="335"/>
        </w:trPr>
        <w:tc>
          <w:tcPr>
            <w:tcW w:w="407" w:type="dxa"/>
            <w:shd w:val="clear" w:color="000000" w:fill="F2F2F2"/>
            <w:noWrap/>
            <w:vAlign w:val="center"/>
            <w:hideMark/>
          </w:tcPr>
          <w:p w14:paraId="7DB91E3A" w14:textId="77777777" w:rsidR="00382869" w:rsidRPr="00053706" w:rsidRDefault="00382869" w:rsidP="00D22441">
            <w:pPr>
              <w:jc w:val="center"/>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52</w:t>
            </w:r>
          </w:p>
        </w:tc>
        <w:tc>
          <w:tcPr>
            <w:tcW w:w="585" w:type="dxa"/>
            <w:shd w:val="clear" w:color="000000" w:fill="F2F2F2"/>
            <w:noWrap/>
            <w:vAlign w:val="center"/>
            <w:hideMark/>
          </w:tcPr>
          <w:p w14:paraId="41C992C7"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44077</w:t>
            </w:r>
          </w:p>
        </w:tc>
        <w:tc>
          <w:tcPr>
            <w:tcW w:w="941" w:type="dxa"/>
            <w:shd w:val="clear" w:color="000000" w:fill="F2F2F2"/>
            <w:noWrap/>
            <w:vAlign w:val="center"/>
            <w:hideMark/>
          </w:tcPr>
          <w:p w14:paraId="6D10B1EF"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900148768</w:t>
            </w:r>
          </w:p>
        </w:tc>
        <w:tc>
          <w:tcPr>
            <w:tcW w:w="3533" w:type="dxa"/>
            <w:shd w:val="clear" w:color="000000" w:fill="F2F2F2"/>
            <w:vAlign w:val="center"/>
            <w:hideMark/>
          </w:tcPr>
          <w:p w14:paraId="34870F44" w14:textId="77777777" w:rsidR="00382869" w:rsidRPr="00053706" w:rsidRDefault="00382869" w:rsidP="00D22441">
            <w:pPr>
              <w:jc w:val="lef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ENERMAS SAS ESP</w:t>
            </w:r>
          </w:p>
        </w:tc>
        <w:tc>
          <w:tcPr>
            <w:tcW w:w="1520" w:type="dxa"/>
            <w:shd w:val="clear" w:color="000000" w:fill="F2F2F2"/>
            <w:noWrap/>
            <w:vAlign w:val="center"/>
            <w:hideMark/>
          </w:tcPr>
          <w:p w14:paraId="3C617DD8"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$ 381.849.000</w:t>
            </w:r>
          </w:p>
        </w:tc>
        <w:tc>
          <w:tcPr>
            <w:tcW w:w="1360" w:type="dxa"/>
            <w:shd w:val="clear" w:color="000000" w:fill="F2F2F2"/>
            <w:noWrap/>
            <w:vAlign w:val="center"/>
            <w:hideMark/>
          </w:tcPr>
          <w:p w14:paraId="03258EA8"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$ 127.979.019</w:t>
            </w:r>
          </w:p>
        </w:tc>
        <w:tc>
          <w:tcPr>
            <w:tcW w:w="1520" w:type="dxa"/>
            <w:shd w:val="clear" w:color="000000" w:fill="F2F2F2"/>
            <w:noWrap/>
            <w:vAlign w:val="center"/>
            <w:hideMark/>
          </w:tcPr>
          <w:p w14:paraId="52DE6593"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$ 509.828.019</w:t>
            </w:r>
          </w:p>
        </w:tc>
        <w:tc>
          <w:tcPr>
            <w:tcW w:w="1200" w:type="dxa"/>
            <w:shd w:val="clear" w:color="000000" w:fill="F2F2F2"/>
            <w:noWrap/>
            <w:vAlign w:val="center"/>
            <w:hideMark/>
          </w:tcPr>
          <w:p w14:paraId="38EB8821"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$ 5.098.280</w:t>
            </w:r>
          </w:p>
        </w:tc>
        <w:tc>
          <w:tcPr>
            <w:tcW w:w="1200" w:type="dxa"/>
            <w:shd w:val="clear" w:color="000000" w:fill="F2F2F2"/>
            <w:noWrap/>
            <w:vAlign w:val="center"/>
            <w:hideMark/>
          </w:tcPr>
          <w:p w14:paraId="3ED22EA8"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$ 212</w:t>
            </w:r>
          </w:p>
        </w:tc>
        <w:tc>
          <w:tcPr>
            <w:tcW w:w="1289" w:type="dxa"/>
            <w:shd w:val="clear" w:color="000000" w:fill="F2F2F2"/>
            <w:noWrap/>
            <w:vAlign w:val="center"/>
            <w:hideMark/>
          </w:tcPr>
          <w:p w14:paraId="2054C69D"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$ 5.098.492</w:t>
            </w:r>
          </w:p>
        </w:tc>
      </w:tr>
      <w:tr w:rsidR="00382869" w:rsidRPr="00053706" w14:paraId="02B45BAD" w14:textId="77777777" w:rsidTr="009A29B8">
        <w:trPr>
          <w:trHeight w:val="271"/>
        </w:trPr>
        <w:tc>
          <w:tcPr>
            <w:tcW w:w="407" w:type="dxa"/>
            <w:shd w:val="clear" w:color="000000" w:fill="F2F2F2"/>
            <w:noWrap/>
            <w:vAlign w:val="center"/>
            <w:hideMark/>
          </w:tcPr>
          <w:p w14:paraId="0CF040C1" w14:textId="77777777" w:rsidR="00382869" w:rsidRPr="00053706" w:rsidRDefault="00382869" w:rsidP="00D22441">
            <w:pPr>
              <w:jc w:val="center"/>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53</w:t>
            </w:r>
          </w:p>
        </w:tc>
        <w:tc>
          <w:tcPr>
            <w:tcW w:w="585" w:type="dxa"/>
            <w:shd w:val="clear" w:color="000000" w:fill="F2F2F2"/>
            <w:noWrap/>
            <w:vAlign w:val="center"/>
            <w:hideMark/>
          </w:tcPr>
          <w:p w14:paraId="77F0DE63"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21837</w:t>
            </w:r>
          </w:p>
        </w:tc>
        <w:tc>
          <w:tcPr>
            <w:tcW w:w="941" w:type="dxa"/>
            <w:shd w:val="clear" w:color="000000" w:fill="F2F2F2"/>
            <w:noWrap/>
            <w:vAlign w:val="center"/>
            <w:hideMark/>
          </w:tcPr>
          <w:p w14:paraId="6E907798"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900154878</w:t>
            </w:r>
          </w:p>
        </w:tc>
        <w:tc>
          <w:tcPr>
            <w:tcW w:w="3533" w:type="dxa"/>
            <w:shd w:val="clear" w:color="000000" w:fill="F2F2F2"/>
            <w:vAlign w:val="center"/>
            <w:hideMark/>
          </w:tcPr>
          <w:p w14:paraId="3748F755" w14:textId="77777777" w:rsidR="00382869" w:rsidRPr="00053706" w:rsidRDefault="00382869" w:rsidP="00D22441">
            <w:pPr>
              <w:jc w:val="lef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AMERICANA DE ENERGIA S.A.S. E.S.P.</w:t>
            </w:r>
          </w:p>
        </w:tc>
        <w:tc>
          <w:tcPr>
            <w:tcW w:w="1520" w:type="dxa"/>
            <w:shd w:val="clear" w:color="000000" w:fill="F2F2F2"/>
            <w:noWrap/>
            <w:vAlign w:val="center"/>
            <w:hideMark/>
          </w:tcPr>
          <w:p w14:paraId="05454E20"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$ 125.410.000</w:t>
            </w:r>
          </w:p>
        </w:tc>
        <w:tc>
          <w:tcPr>
            <w:tcW w:w="1360" w:type="dxa"/>
            <w:shd w:val="clear" w:color="000000" w:fill="F2F2F2"/>
            <w:noWrap/>
            <w:vAlign w:val="center"/>
            <w:hideMark/>
          </w:tcPr>
          <w:p w14:paraId="4ED2D7B9"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$ 1.781.046.285</w:t>
            </w:r>
          </w:p>
        </w:tc>
        <w:tc>
          <w:tcPr>
            <w:tcW w:w="1520" w:type="dxa"/>
            <w:shd w:val="clear" w:color="000000" w:fill="F2F2F2"/>
            <w:noWrap/>
            <w:vAlign w:val="center"/>
            <w:hideMark/>
          </w:tcPr>
          <w:p w14:paraId="09AAB398"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$ 1.906.456.285</w:t>
            </w:r>
          </w:p>
        </w:tc>
        <w:tc>
          <w:tcPr>
            <w:tcW w:w="1200" w:type="dxa"/>
            <w:shd w:val="clear" w:color="000000" w:fill="F2F2F2"/>
            <w:noWrap/>
            <w:vAlign w:val="center"/>
            <w:hideMark/>
          </w:tcPr>
          <w:p w14:paraId="74B88A75"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$ 19.064.563</w:t>
            </w:r>
          </w:p>
        </w:tc>
        <w:tc>
          <w:tcPr>
            <w:tcW w:w="1200" w:type="dxa"/>
            <w:shd w:val="clear" w:color="000000" w:fill="F2F2F2"/>
            <w:noWrap/>
            <w:vAlign w:val="center"/>
            <w:hideMark/>
          </w:tcPr>
          <w:p w14:paraId="66A4AC34"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$ 793</w:t>
            </w:r>
          </w:p>
        </w:tc>
        <w:tc>
          <w:tcPr>
            <w:tcW w:w="1289" w:type="dxa"/>
            <w:shd w:val="clear" w:color="000000" w:fill="F2F2F2"/>
            <w:noWrap/>
            <w:vAlign w:val="center"/>
            <w:hideMark/>
          </w:tcPr>
          <w:p w14:paraId="566F30EA"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$ 19.065.356</w:t>
            </w:r>
          </w:p>
        </w:tc>
      </w:tr>
      <w:tr w:rsidR="00382869" w:rsidRPr="00053706" w14:paraId="54F22E9D" w14:textId="77777777" w:rsidTr="009A29B8">
        <w:trPr>
          <w:trHeight w:val="363"/>
        </w:trPr>
        <w:tc>
          <w:tcPr>
            <w:tcW w:w="407" w:type="dxa"/>
            <w:shd w:val="clear" w:color="000000" w:fill="F2F2F2"/>
            <w:noWrap/>
            <w:vAlign w:val="center"/>
            <w:hideMark/>
          </w:tcPr>
          <w:p w14:paraId="5C2DA714" w14:textId="77777777" w:rsidR="00382869" w:rsidRPr="00053706" w:rsidRDefault="00382869" w:rsidP="00D22441">
            <w:pPr>
              <w:jc w:val="center"/>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54</w:t>
            </w:r>
          </w:p>
        </w:tc>
        <w:tc>
          <w:tcPr>
            <w:tcW w:w="585" w:type="dxa"/>
            <w:shd w:val="clear" w:color="000000" w:fill="F2F2F2"/>
            <w:noWrap/>
            <w:vAlign w:val="center"/>
            <w:hideMark/>
          </w:tcPr>
          <w:p w14:paraId="5E6FA30D"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22143</w:t>
            </w:r>
          </w:p>
        </w:tc>
        <w:tc>
          <w:tcPr>
            <w:tcW w:w="941" w:type="dxa"/>
            <w:shd w:val="clear" w:color="000000" w:fill="F2F2F2"/>
            <w:noWrap/>
            <w:vAlign w:val="center"/>
            <w:hideMark/>
          </w:tcPr>
          <w:p w14:paraId="7BCF1312"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900154879</w:t>
            </w:r>
          </w:p>
        </w:tc>
        <w:tc>
          <w:tcPr>
            <w:tcW w:w="3533" w:type="dxa"/>
            <w:shd w:val="clear" w:color="000000" w:fill="F2F2F2"/>
            <w:vAlign w:val="center"/>
            <w:hideMark/>
          </w:tcPr>
          <w:p w14:paraId="521B8237" w14:textId="77777777" w:rsidR="00382869" w:rsidRPr="00053706" w:rsidRDefault="00382869" w:rsidP="00D22441">
            <w:pPr>
              <w:jc w:val="left"/>
              <w:rPr>
                <w:rFonts w:ascii="Arial Narrow" w:hAnsi="Arial Narrow" w:cs="Arial"/>
                <w:color w:val="000000"/>
                <w:spacing w:val="0"/>
                <w:sz w:val="16"/>
                <w:szCs w:val="16"/>
                <w:lang w:val="en-GB" w:eastAsia="es-CO"/>
              </w:rPr>
            </w:pPr>
            <w:r w:rsidRPr="00053706">
              <w:rPr>
                <w:rFonts w:ascii="Arial Narrow" w:hAnsi="Arial Narrow" w:cs="Arial"/>
                <w:color w:val="000000"/>
                <w:spacing w:val="0"/>
                <w:sz w:val="16"/>
                <w:szCs w:val="16"/>
                <w:lang w:val="en-GB" w:eastAsia="es-CO"/>
              </w:rPr>
              <w:t>GENERSYS S.A.S E.S.P.</w:t>
            </w:r>
          </w:p>
        </w:tc>
        <w:tc>
          <w:tcPr>
            <w:tcW w:w="1520" w:type="dxa"/>
            <w:shd w:val="clear" w:color="000000" w:fill="F2F2F2"/>
            <w:noWrap/>
            <w:vAlign w:val="center"/>
            <w:hideMark/>
          </w:tcPr>
          <w:p w14:paraId="045F4862"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$ 67.075.000</w:t>
            </w:r>
          </w:p>
        </w:tc>
        <w:tc>
          <w:tcPr>
            <w:tcW w:w="1360" w:type="dxa"/>
            <w:shd w:val="clear" w:color="000000" w:fill="F2F2F2"/>
            <w:noWrap/>
            <w:vAlign w:val="center"/>
            <w:hideMark/>
          </w:tcPr>
          <w:p w14:paraId="56688741"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$ 800.207.481</w:t>
            </w:r>
          </w:p>
        </w:tc>
        <w:tc>
          <w:tcPr>
            <w:tcW w:w="1520" w:type="dxa"/>
            <w:shd w:val="clear" w:color="000000" w:fill="F2F2F2"/>
            <w:noWrap/>
            <w:vAlign w:val="center"/>
            <w:hideMark/>
          </w:tcPr>
          <w:p w14:paraId="0319B68A"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$ 867.282.481</w:t>
            </w:r>
          </w:p>
        </w:tc>
        <w:tc>
          <w:tcPr>
            <w:tcW w:w="1200" w:type="dxa"/>
            <w:shd w:val="clear" w:color="000000" w:fill="F2F2F2"/>
            <w:noWrap/>
            <w:vAlign w:val="center"/>
            <w:hideMark/>
          </w:tcPr>
          <w:p w14:paraId="0C7C6B28"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$ 8.672.825</w:t>
            </w:r>
          </w:p>
        </w:tc>
        <w:tc>
          <w:tcPr>
            <w:tcW w:w="1200" w:type="dxa"/>
            <w:shd w:val="clear" w:color="000000" w:fill="F2F2F2"/>
            <w:noWrap/>
            <w:vAlign w:val="center"/>
            <w:hideMark/>
          </w:tcPr>
          <w:p w14:paraId="1C2798A8"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$ 361</w:t>
            </w:r>
          </w:p>
        </w:tc>
        <w:tc>
          <w:tcPr>
            <w:tcW w:w="1289" w:type="dxa"/>
            <w:shd w:val="clear" w:color="000000" w:fill="F2F2F2"/>
            <w:noWrap/>
            <w:vAlign w:val="center"/>
            <w:hideMark/>
          </w:tcPr>
          <w:p w14:paraId="36181534"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$ 8.673.186</w:t>
            </w:r>
          </w:p>
        </w:tc>
      </w:tr>
      <w:tr w:rsidR="00382869" w:rsidRPr="00053706" w14:paraId="40E6BE6E" w14:textId="77777777" w:rsidTr="009A29B8">
        <w:trPr>
          <w:trHeight w:val="319"/>
        </w:trPr>
        <w:tc>
          <w:tcPr>
            <w:tcW w:w="407" w:type="dxa"/>
            <w:shd w:val="clear" w:color="000000" w:fill="F2F2F2"/>
            <w:noWrap/>
            <w:vAlign w:val="center"/>
            <w:hideMark/>
          </w:tcPr>
          <w:p w14:paraId="69F3208A" w14:textId="77777777" w:rsidR="00382869" w:rsidRPr="00053706" w:rsidRDefault="00382869" w:rsidP="00D22441">
            <w:pPr>
              <w:jc w:val="center"/>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55</w:t>
            </w:r>
          </w:p>
        </w:tc>
        <w:tc>
          <w:tcPr>
            <w:tcW w:w="585" w:type="dxa"/>
            <w:shd w:val="clear" w:color="000000" w:fill="F2F2F2"/>
            <w:noWrap/>
            <w:vAlign w:val="center"/>
            <w:hideMark/>
          </w:tcPr>
          <w:p w14:paraId="2F34305D"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22144</w:t>
            </w:r>
          </w:p>
        </w:tc>
        <w:tc>
          <w:tcPr>
            <w:tcW w:w="941" w:type="dxa"/>
            <w:shd w:val="clear" w:color="000000" w:fill="F2F2F2"/>
            <w:noWrap/>
            <w:vAlign w:val="center"/>
            <w:hideMark/>
          </w:tcPr>
          <w:p w14:paraId="00303EA6"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900161460</w:t>
            </w:r>
          </w:p>
        </w:tc>
        <w:tc>
          <w:tcPr>
            <w:tcW w:w="3533" w:type="dxa"/>
            <w:shd w:val="clear" w:color="000000" w:fill="F2F2F2"/>
            <w:vAlign w:val="center"/>
            <w:hideMark/>
          </w:tcPr>
          <w:p w14:paraId="55E01822" w14:textId="77777777" w:rsidR="00382869" w:rsidRPr="00053706" w:rsidRDefault="00382869" w:rsidP="00D22441">
            <w:pPr>
              <w:jc w:val="lef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TERMOTASAJERO SA ESP</w:t>
            </w:r>
          </w:p>
        </w:tc>
        <w:tc>
          <w:tcPr>
            <w:tcW w:w="1520" w:type="dxa"/>
            <w:shd w:val="clear" w:color="000000" w:fill="F2F2F2"/>
            <w:noWrap/>
            <w:vAlign w:val="center"/>
            <w:hideMark/>
          </w:tcPr>
          <w:p w14:paraId="110AA22E"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$ 12.296.004.000</w:t>
            </w:r>
          </w:p>
        </w:tc>
        <w:tc>
          <w:tcPr>
            <w:tcW w:w="1360" w:type="dxa"/>
            <w:shd w:val="clear" w:color="000000" w:fill="F2F2F2"/>
            <w:noWrap/>
            <w:vAlign w:val="center"/>
            <w:hideMark/>
          </w:tcPr>
          <w:p w14:paraId="5FFC67B2"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$ 708.195.596</w:t>
            </w:r>
          </w:p>
        </w:tc>
        <w:tc>
          <w:tcPr>
            <w:tcW w:w="1520" w:type="dxa"/>
            <w:shd w:val="clear" w:color="000000" w:fill="F2F2F2"/>
            <w:noWrap/>
            <w:vAlign w:val="center"/>
            <w:hideMark/>
          </w:tcPr>
          <w:p w14:paraId="7122FF36"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$ 13.004.199.596</w:t>
            </w:r>
          </w:p>
        </w:tc>
        <w:tc>
          <w:tcPr>
            <w:tcW w:w="1200" w:type="dxa"/>
            <w:shd w:val="clear" w:color="000000" w:fill="F2F2F2"/>
            <w:noWrap/>
            <w:vAlign w:val="center"/>
            <w:hideMark/>
          </w:tcPr>
          <w:p w14:paraId="66A5BBDE"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$ 130.041.996</w:t>
            </w:r>
          </w:p>
        </w:tc>
        <w:tc>
          <w:tcPr>
            <w:tcW w:w="1200" w:type="dxa"/>
            <w:shd w:val="clear" w:color="000000" w:fill="F2F2F2"/>
            <w:noWrap/>
            <w:vAlign w:val="center"/>
            <w:hideMark/>
          </w:tcPr>
          <w:p w14:paraId="7F251A39"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$ 5.412</w:t>
            </w:r>
          </w:p>
        </w:tc>
        <w:tc>
          <w:tcPr>
            <w:tcW w:w="1289" w:type="dxa"/>
            <w:shd w:val="clear" w:color="000000" w:fill="F2F2F2"/>
            <w:noWrap/>
            <w:vAlign w:val="center"/>
            <w:hideMark/>
          </w:tcPr>
          <w:p w14:paraId="4D6BF019"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$ 130.047.408</w:t>
            </w:r>
          </w:p>
        </w:tc>
      </w:tr>
      <w:tr w:rsidR="00382869" w:rsidRPr="00053706" w14:paraId="207A0ED8" w14:textId="77777777" w:rsidTr="009A29B8">
        <w:trPr>
          <w:trHeight w:val="267"/>
        </w:trPr>
        <w:tc>
          <w:tcPr>
            <w:tcW w:w="407" w:type="dxa"/>
            <w:shd w:val="clear" w:color="000000" w:fill="F2F2F2"/>
            <w:noWrap/>
            <w:vAlign w:val="center"/>
            <w:hideMark/>
          </w:tcPr>
          <w:p w14:paraId="6F246982" w14:textId="77777777" w:rsidR="00382869" w:rsidRPr="00053706" w:rsidRDefault="00382869" w:rsidP="00D22441">
            <w:pPr>
              <w:jc w:val="center"/>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56</w:t>
            </w:r>
          </w:p>
        </w:tc>
        <w:tc>
          <w:tcPr>
            <w:tcW w:w="585" w:type="dxa"/>
            <w:shd w:val="clear" w:color="000000" w:fill="F2F2F2"/>
            <w:noWrap/>
            <w:vAlign w:val="center"/>
            <w:hideMark/>
          </w:tcPr>
          <w:p w14:paraId="62F0A17A"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26953</w:t>
            </w:r>
          </w:p>
        </w:tc>
        <w:tc>
          <w:tcPr>
            <w:tcW w:w="941" w:type="dxa"/>
            <w:shd w:val="clear" w:color="000000" w:fill="F2F2F2"/>
            <w:noWrap/>
            <w:vAlign w:val="center"/>
            <w:hideMark/>
          </w:tcPr>
          <w:p w14:paraId="446FABE6"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900181508</w:t>
            </w:r>
          </w:p>
        </w:tc>
        <w:tc>
          <w:tcPr>
            <w:tcW w:w="3533" w:type="dxa"/>
            <w:shd w:val="clear" w:color="000000" w:fill="F2F2F2"/>
            <w:vAlign w:val="center"/>
            <w:hideMark/>
          </w:tcPr>
          <w:p w14:paraId="0B226396" w14:textId="41B8A656" w:rsidR="00382869" w:rsidRPr="00053706" w:rsidRDefault="00382869" w:rsidP="00D22441">
            <w:pPr>
              <w:jc w:val="lef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BIOGAS DONA JUANA S.A.S</w:t>
            </w:r>
            <w:r w:rsidR="00A21ED5" w:rsidRPr="00053706">
              <w:rPr>
                <w:rFonts w:ascii="Arial Narrow" w:hAnsi="Arial Narrow" w:cs="Arial"/>
                <w:color w:val="000000"/>
                <w:spacing w:val="0"/>
                <w:sz w:val="16"/>
                <w:szCs w:val="16"/>
                <w:lang w:eastAsia="es-CO"/>
              </w:rPr>
              <w:t>.</w:t>
            </w:r>
            <w:r w:rsidRPr="00053706">
              <w:rPr>
                <w:rFonts w:ascii="Arial Narrow" w:hAnsi="Arial Narrow" w:cs="Arial"/>
                <w:color w:val="000000"/>
                <w:spacing w:val="0"/>
                <w:sz w:val="16"/>
                <w:szCs w:val="16"/>
                <w:lang w:eastAsia="es-CO"/>
              </w:rPr>
              <w:t xml:space="preserve">  E.S.P.</w:t>
            </w:r>
          </w:p>
        </w:tc>
        <w:tc>
          <w:tcPr>
            <w:tcW w:w="1520" w:type="dxa"/>
            <w:shd w:val="clear" w:color="000000" w:fill="F2F2F2"/>
            <w:noWrap/>
            <w:vAlign w:val="center"/>
            <w:hideMark/>
          </w:tcPr>
          <w:p w14:paraId="41531A7A"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$ 39.599.000</w:t>
            </w:r>
          </w:p>
        </w:tc>
        <w:tc>
          <w:tcPr>
            <w:tcW w:w="1360" w:type="dxa"/>
            <w:shd w:val="clear" w:color="000000" w:fill="F2F2F2"/>
            <w:noWrap/>
            <w:vAlign w:val="center"/>
            <w:hideMark/>
          </w:tcPr>
          <w:p w14:paraId="2C2BA1DF"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$ 17.169</w:t>
            </w:r>
          </w:p>
        </w:tc>
        <w:tc>
          <w:tcPr>
            <w:tcW w:w="1520" w:type="dxa"/>
            <w:shd w:val="clear" w:color="000000" w:fill="F2F2F2"/>
            <w:noWrap/>
            <w:vAlign w:val="center"/>
            <w:hideMark/>
          </w:tcPr>
          <w:p w14:paraId="20EDC2E7"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$ 39.616.169</w:t>
            </w:r>
          </w:p>
        </w:tc>
        <w:tc>
          <w:tcPr>
            <w:tcW w:w="1200" w:type="dxa"/>
            <w:shd w:val="clear" w:color="000000" w:fill="F2F2F2"/>
            <w:noWrap/>
            <w:vAlign w:val="center"/>
            <w:hideMark/>
          </w:tcPr>
          <w:p w14:paraId="5C5AD80E"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$ 396.162</w:t>
            </w:r>
          </w:p>
        </w:tc>
        <w:tc>
          <w:tcPr>
            <w:tcW w:w="1200" w:type="dxa"/>
            <w:shd w:val="clear" w:color="000000" w:fill="F2F2F2"/>
            <w:noWrap/>
            <w:vAlign w:val="center"/>
            <w:hideMark/>
          </w:tcPr>
          <w:p w14:paraId="241F7D82"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$ 16</w:t>
            </w:r>
          </w:p>
        </w:tc>
        <w:tc>
          <w:tcPr>
            <w:tcW w:w="1289" w:type="dxa"/>
            <w:shd w:val="clear" w:color="000000" w:fill="F2F2F2"/>
            <w:noWrap/>
            <w:vAlign w:val="center"/>
            <w:hideMark/>
          </w:tcPr>
          <w:p w14:paraId="671EB7B2"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$ 396.178</w:t>
            </w:r>
          </w:p>
        </w:tc>
      </w:tr>
      <w:tr w:rsidR="00382869" w:rsidRPr="00053706" w14:paraId="22E29879" w14:textId="77777777" w:rsidTr="009A29B8">
        <w:trPr>
          <w:trHeight w:val="465"/>
        </w:trPr>
        <w:tc>
          <w:tcPr>
            <w:tcW w:w="407" w:type="dxa"/>
            <w:shd w:val="clear" w:color="000000" w:fill="F2F2F2"/>
            <w:noWrap/>
            <w:vAlign w:val="center"/>
            <w:hideMark/>
          </w:tcPr>
          <w:p w14:paraId="05982C85" w14:textId="77777777" w:rsidR="00382869" w:rsidRPr="00053706" w:rsidRDefault="00382869" w:rsidP="00D22441">
            <w:pPr>
              <w:jc w:val="center"/>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57</w:t>
            </w:r>
          </w:p>
        </w:tc>
        <w:tc>
          <w:tcPr>
            <w:tcW w:w="585" w:type="dxa"/>
            <w:shd w:val="clear" w:color="000000" w:fill="F2F2F2"/>
            <w:noWrap/>
            <w:vAlign w:val="center"/>
            <w:hideMark/>
          </w:tcPr>
          <w:p w14:paraId="39F098B3"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22140</w:t>
            </w:r>
          </w:p>
        </w:tc>
        <w:tc>
          <w:tcPr>
            <w:tcW w:w="941" w:type="dxa"/>
            <w:shd w:val="clear" w:color="000000" w:fill="F2F2F2"/>
            <w:noWrap/>
            <w:vAlign w:val="center"/>
            <w:hideMark/>
          </w:tcPr>
          <w:p w14:paraId="5E1ECF36"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900181771</w:t>
            </w:r>
          </w:p>
        </w:tc>
        <w:tc>
          <w:tcPr>
            <w:tcW w:w="3533" w:type="dxa"/>
            <w:shd w:val="clear" w:color="000000" w:fill="F2F2F2"/>
            <w:vAlign w:val="center"/>
            <w:hideMark/>
          </w:tcPr>
          <w:p w14:paraId="5F002FB2" w14:textId="08FD98F7" w:rsidR="00382869" w:rsidRPr="00053706" w:rsidRDefault="00382869" w:rsidP="00D22441">
            <w:pPr>
              <w:jc w:val="lef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ENERGIA RENOVABLE DE COLOMBIA S.A. E.S.P</w:t>
            </w:r>
            <w:r w:rsidR="00A21ED5" w:rsidRPr="00053706">
              <w:rPr>
                <w:rFonts w:ascii="Arial Narrow" w:hAnsi="Arial Narrow" w:cs="Arial"/>
                <w:color w:val="000000"/>
                <w:spacing w:val="0"/>
                <w:sz w:val="16"/>
                <w:szCs w:val="16"/>
                <w:lang w:eastAsia="es-CO"/>
              </w:rPr>
              <w:t>.</w:t>
            </w:r>
          </w:p>
        </w:tc>
        <w:tc>
          <w:tcPr>
            <w:tcW w:w="1520" w:type="dxa"/>
            <w:shd w:val="clear" w:color="000000" w:fill="F2F2F2"/>
            <w:noWrap/>
            <w:vAlign w:val="center"/>
            <w:hideMark/>
          </w:tcPr>
          <w:p w14:paraId="25329AC7"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$ 250.904.000</w:t>
            </w:r>
          </w:p>
        </w:tc>
        <w:tc>
          <w:tcPr>
            <w:tcW w:w="1360" w:type="dxa"/>
            <w:shd w:val="clear" w:color="000000" w:fill="F2F2F2"/>
            <w:noWrap/>
            <w:vAlign w:val="center"/>
            <w:hideMark/>
          </w:tcPr>
          <w:p w14:paraId="21689957"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$ 0</w:t>
            </w:r>
          </w:p>
        </w:tc>
        <w:tc>
          <w:tcPr>
            <w:tcW w:w="1520" w:type="dxa"/>
            <w:shd w:val="clear" w:color="000000" w:fill="F2F2F2"/>
            <w:noWrap/>
            <w:vAlign w:val="center"/>
            <w:hideMark/>
          </w:tcPr>
          <w:p w14:paraId="44CF584D"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$ 250.904.000</w:t>
            </w:r>
          </w:p>
        </w:tc>
        <w:tc>
          <w:tcPr>
            <w:tcW w:w="1200" w:type="dxa"/>
            <w:shd w:val="clear" w:color="000000" w:fill="F2F2F2"/>
            <w:noWrap/>
            <w:vAlign w:val="center"/>
            <w:hideMark/>
          </w:tcPr>
          <w:p w14:paraId="617B5691"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$ 2.509.040</w:t>
            </w:r>
          </w:p>
        </w:tc>
        <w:tc>
          <w:tcPr>
            <w:tcW w:w="1200" w:type="dxa"/>
            <w:shd w:val="clear" w:color="000000" w:fill="F2F2F2"/>
            <w:noWrap/>
            <w:vAlign w:val="center"/>
            <w:hideMark/>
          </w:tcPr>
          <w:p w14:paraId="53B4D549"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$ 104</w:t>
            </w:r>
          </w:p>
        </w:tc>
        <w:tc>
          <w:tcPr>
            <w:tcW w:w="1289" w:type="dxa"/>
            <w:shd w:val="clear" w:color="000000" w:fill="F2F2F2"/>
            <w:noWrap/>
            <w:vAlign w:val="center"/>
            <w:hideMark/>
          </w:tcPr>
          <w:p w14:paraId="5B673ED7"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$ 2.509.144</w:t>
            </w:r>
          </w:p>
        </w:tc>
      </w:tr>
      <w:tr w:rsidR="00382869" w:rsidRPr="00053706" w14:paraId="2AE26C55" w14:textId="77777777" w:rsidTr="009A29B8">
        <w:trPr>
          <w:trHeight w:val="283"/>
        </w:trPr>
        <w:tc>
          <w:tcPr>
            <w:tcW w:w="407" w:type="dxa"/>
            <w:shd w:val="clear" w:color="000000" w:fill="F2F2F2"/>
            <w:noWrap/>
            <w:vAlign w:val="center"/>
            <w:hideMark/>
          </w:tcPr>
          <w:p w14:paraId="6A000FAE" w14:textId="77777777" w:rsidR="00382869" w:rsidRPr="00053706" w:rsidRDefault="00382869" w:rsidP="00D22441">
            <w:pPr>
              <w:jc w:val="center"/>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58</w:t>
            </w:r>
          </w:p>
        </w:tc>
        <w:tc>
          <w:tcPr>
            <w:tcW w:w="585" w:type="dxa"/>
            <w:shd w:val="clear" w:color="000000" w:fill="F2F2F2"/>
            <w:noWrap/>
            <w:vAlign w:val="center"/>
            <w:hideMark/>
          </w:tcPr>
          <w:p w14:paraId="1F66691E"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23095</w:t>
            </w:r>
          </w:p>
        </w:tc>
        <w:tc>
          <w:tcPr>
            <w:tcW w:w="941" w:type="dxa"/>
            <w:shd w:val="clear" w:color="000000" w:fill="F2F2F2"/>
            <w:noWrap/>
            <w:vAlign w:val="center"/>
            <w:hideMark/>
          </w:tcPr>
          <w:p w14:paraId="36DB74BF"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900185106</w:t>
            </w:r>
          </w:p>
        </w:tc>
        <w:tc>
          <w:tcPr>
            <w:tcW w:w="3533" w:type="dxa"/>
            <w:shd w:val="clear" w:color="000000" w:fill="F2F2F2"/>
            <w:vAlign w:val="center"/>
            <w:hideMark/>
          </w:tcPr>
          <w:p w14:paraId="1C1A9CDB" w14:textId="63D1F700" w:rsidR="00382869" w:rsidRPr="00053706" w:rsidRDefault="00382869" w:rsidP="00D22441">
            <w:pPr>
              <w:jc w:val="lef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CARUQUIA S.A.S E.S.P</w:t>
            </w:r>
            <w:r w:rsidR="00A21ED5" w:rsidRPr="00053706">
              <w:rPr>
                <w:rFonts w:ascii="Arial Narrow" w:hAnsi="Arial Narrow" w:cs="Arial"/>
                <w:color w:val="000000"/>
                <w:spacing w:val="0"/>
                <w:sz w:val="16"/>
                <w:szCs w:val="16"/>
                <w:lang w:eastAsia="es-CO"/>
              </w:rPr>
              <w:t>.</w:t>
            </w:r>
          </w:p>
        </w:tc>
        <w:tc>
          <w:tcPr>
            <w:tcW w:w="1520" w:type="dxa"/>
            <w:shd w:val="clear" w:color="000000" w:fill="F2F2F2"/>
            <w:noWrap/>
            <w:vAlign w:val="center"/>
            <w:hideMark/>
          </w:tcPr>
          <w:p w14:paraId="44002C64"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$ 981.731.000</w:t>
            </w:r>
          </w:p>
        </w:tc>
        <w:tc>
          <w:tcPr>
            <w:tcW w:w="1360" w:type="dxa"/>
            <w:shd w:val="clear" w:color="000000" w:fill="F2F2F2"/>
            <w:noWrap/>
            <w:vAlign w:val="center"/>
            <w:hideMark/>
          </w:tcPr>
          <w:p w14:paraId="55B3BFF5"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$ 0</w:t>
            </w:r>
          </w:p>
        </w:tc>
        <w:tc>
          <w:tcPr>
            <w:tcW w:w="1520" w:type="dxa"/>
            <w:shd w:val="clear" w:color="000000" w:fill="F2F2F2"/>
            <w:noWrap/>
            <w:vAlign w:val="center"/>
            <w:hideMark/>
          </w:tcPr>
          <w:p w14:paraId="6BD80CB7"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$ 981.731.000</w:t>
            </w:r>
          </w:p>
        </w:tc>
        <w:tc>
          <w:tcPr>
            <w:tcW w:w="1200" w:type="dxa"/>
            <w:shd w:val="clear" w:color="000000" w:fill="F2F2F2"/>
            <w:noWrap/>
            <w:vAlign w:val="center"/>
            <w:hideMark/>
          </w:tcPr>
          <w:p w14:paraId="5A6CCC34"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$ 9.817.310</w:t>
            </w:r>
          </w:p>
        </w:tc>
        <w:tc>
          <w:tcPr>
            <w:tcW w:w="1200" w:type="dxa"/>
            <w:shd w:val="clear" w:color="000000" w:fill="F2F2F2"/>
            <w:noWrap/>
            <w:vAlign w:val="center"/>
            <w:hideMark/>
          </w:tcPr>
          <w:p w14:paraId="1AE2CD52"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$ 409</w:t>
            </w:r>
          </w:p>
        </w:tc>
        <w:tc>
          <w:tcPr>
            <w:tcW w:w="1289" w:type="dxa"/>
            <w:shd w:val="clear" w:color="000000" w:fill="F2F2F2"/>
            <w:noWrap/>
            <w:vAlign w:val="center"/>
            <w:hideMark/>
          </w:tcPr>
          <w:p w14:paraId="09EB81E2"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$ 9.817.719</w:t>
            </w:r>
          </w:p>
        </w:tc>
      </w:tr>
      <w:tr w:rsidR="00382869" w:rsidRPr="00053706" w14:paraId="40BACD0F" w14:textId="77777777" w:rsidTr="009A29B8">
        <w:trPr>
          <w:trHeight w:val="325"/>
        </w:trPr>
        <w:tc>
          <w:tcPr>
            <w:tcW w:w="407" w:type="dxa"/>
            <w:shd w:val="clear" w:color="000000" w:fill="F2F2F2"/>
            <w:noWrap/>
            <w:vAlign w:val="center"/>
            <w:hideMark/>
          </w:tcPr>
          <w:p w14:paraId="4B62B951" w14:textId="77777777" w:rsidR="00382869" w:rsidRPr="00053706" w:rsidRDefault="00382869" w:rsidP="00D22441">
            <w:pPr>
              <w:jc w:val="center"/>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59</w:t>
            </w:r>
          </w:p>
        </w:tc>
        <w:tc>
          <w:tcPr>
            <w:tcW w:w="585" w:type="dxa"/>
            <w:shd w:val="clear" w:color="000000" w:fill="F2F2F2"/>
            <w:noWrap/>
            <w:vAlign w:val="center"/>
            <w:hideMark/>
          </w:tcPr>
          <w:p w14:paraId="256C3A5C"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43597</w:t>
            </w:r>
          </w:p>
        </w:tc>
        <w:tc>
          <w:tcPr>
            <w:tcW w:w="941" w:type="dxa"/>
            <w:shd w:val="clear" w:color="000000" w:fill="F2F2F2"/>
            <w:noWrap/>
            <w:vAlign w:val="center"/>
            <w:hideMark/>
          </w:tcPr>
          <w:p w14:paraId="44079E68"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900190893</w:t>
            </w:r>
          </w:p>
        </w:tc>
        <w:tc>
          <w:tcPr>
            <w:tcW w:w="3533" w:type="dxa"/>
            <w:shd w:val="clear" w:color="000000" w:fill="F2F2F2"/>
            <w:vAlign w:val="center"/>
            <w:hideMark/>
          </w:tcPr>
          <w:p w14:paraId="7354E474" w14:textId="77777777" w:rsidR="00382869" w:rsidRPr="00053706" w:rsidRDefault="00382869" w:rsidP="00D22441">
            <w:pPr>
              <w:jc w:val="lef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ENERGIA DEL SUROESTE S.A. E.S.P.</w:t>
            </w:r>
          </w:p>
        </w:tc>
        <w:tc>
          <w:tcPr>
            <w:tcW w:w="1520" w:type="dxa"/>
            <w:shd w:val="clear" w:color="000000" w:fill="F2F2F2"/>
            <w:noWrap/>
            <w:vAlign w:val="center"/>
            <w:hideMark/>
          </w:tcPr>
          <w:p w14:paraId="1ACD2CD4"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$ 472.465.000</w:t>
            </w:r>
          </w:p>
        </w:tc>
        <w:tc>
          <w:tcPr>
            <w:tcW w:w="1360" w:type="dxa"/>
            <w:shd w:val="clear" w:color="000000" w:fill="F2F2F2"/>
            <w:noWrap/>
            <w:vAlign w:val="center"/>
            <w:hideMark/>
          </w:tcPr>
          <w:p w14:paraId="4C3D9011"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$ 0</w:t>
            </w:r>
          </w:p>
        </w:tc>
        <w:tc>
          <w:tcPr>
            <w:tcW w:w="1520" w:type="dxa"/>
            <w:shd w:val="clear" w:color="000000" w:fill="F2F2F2"/>
            <w:noWrap/>
            <w:vAlign w:val="center"/>
            <w:hideMark/>
          </w:tcPr>
          <w:p w14:paraId="70CCA7DA"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$ 472.465.000</w:t>
            </w:r>
          </w:p>
        </w:tc>
        <w:tc>
          <w:tcPr>
            <w:tcW w:w="1200" w:type="dxa"/>
            <w:shd w:val="clear" w:color="000000" w:fill="F2F2F2"/>
            <w:noWrap/>
            <w:vAlign w:val="center"/>
            <w:hideMark/>
          </w:tcPr>
          <w:p w14:paraId="76504191"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$ 4.724.650</w:t>
            </w:r>
          </w:p>
        </w:tc>
        <w:tc>
          <w:tcPr>
            <w:tcW w:w="1200" w:type="dxa"/>
            <w:shd w:val="clear" w:color="000000" w:fill="F2F2F2"/>
            <w:noWrap/>
            <w:vAlign w:val="center"/>
            <w:hideMark/>
          </w:tcPr>
          <w:p w14:paraId="7FF03CC0"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$ 197</w:t>
            </w:r>
          </w:p>
        </w:tc>
        <w:tc>
          <w:tcPr>
            <w:tcW w:w="1289" w:type="dxa"/>
            <w:shd w:val="clear" w:color="000000" w:fill="F2F2F2"/>
            <w:noWrap/>
            <w:vAlign w:val="center"/>
            <w:hideMark/>
          </w:tcPr>
          <w:p w14:paraId="3E57934D"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$ 4.724.847</w:t>
            </w:r>
          </w:p>
        </w:tc>
      </w:tr>
      <w:tr w:rsidR="00382869" w:rsidRPr="00053706" w14:paraId="51719AEE" w14:textId="77777777" w:rsidTr="009A29B8">
        <w:trPr>
          <w:trHeight w:val="465"/>
        </w:trPr>
        <w:tc>
          <w:tcPr>
            <w:tcW w:w="407" w:type="dxa"/>
            <w:shd w:val="clear" w:color="000000" w:fill="F2F2F2"/>
            <w:noWrap/>
            <w:vAlign w:val="center"/>
            <w:hideMark/>
          </w:tcPr>
          <w:p w14:paraId="59599B5A" w14:textId="77777777" w:rsidR="00382869" w:rsidRPr="00053706" w:rsidRDefault="00382869" w:rsidP="00D22441">
            <w:pPr>
              <w:jc w:val="center"/>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60</w:t>
            </w:r>
          </w:p>
        </w:tc>
        <w:tc>
          <w:tcPr>
            <w:tcW w:w="585" w:type="dxa"/>
            <w:shd w:val="clear" w:color="000000" w:fill="F2F2F2"/>
            <w:noWrap/>
            <w:vAlign w:val="center"/>
            <w:hideMark/>
          </w:tcPr>
          <w:p w14:paraId="5DA9C2E8"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54406</w:t>
            </w:r>
          </w:p>
        </w:tc>
        <w:tc>
          <w:tcPr>
            <w:tcW w:w="941" w:type="dxa"/>
            <w:shd w:val="clear" w:color="000000" w:fill="F2F2F2"/>
            <w:noWrap/>
            <w:vAlign w:val="center"/>
            <w:hideMark/>
          </w:tcPr>
          <w:p w14:paraId="54A717BF"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900206503</w:t>
            </w:r>
          </w:p>
        </w:tc>
        <w:tc>
          <w:tcPr>
            <w:tcW w:w="3533" w:type="dxa"/>
            <w:shd w:val="clear" w:color="000000" w:fill="F2F2F2"/>
            <w:vAlign w:val="center"/>
            <w:hideMark/>
          </w:tcPr>
          <w:p w14:paraId="2946CF95" w14:textId="3C0597CE" w:rsidR="00382869" w:rsidRPr="00053706" w:rsidRDefault="00382869" w:rsidP="00D22441">
            <w:pPr>
              <w:jc w:val="lef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xml:space="preserve">Transacciones </w:t>
            </w:r>
            <w:proofErr w:type="spellStart"/>
            <w:r w:rsidRPr="00053706">
              <w:rPr>
                <w:rFonts w:ascii="Arial Narrow" w:hAnsi="Arial Narrow" w:cs="Arial"/>
                <w:color w:val="000000"/>
                <w:spacing w:val="0"/>
                <w:sz w:val="16"/>
                <w:szCs w:val="16"/>
                <w:lang w:eastAsia="es-CO"/>
              </w:rPr>
              <w:t>Energeticas</w:t>
            </w:r>
            <w:proofErr w:type="spellEnd"/>
            <w:r w:rsidRPr="00053706">
              <w:rPr>
                <w:rFonts w:ascii="Arial Narrow" w:hAnsi="Arial Narrow" w:cs="Arial"/>
                <w:color w:val="000000"/>
                <w:spacing w:val="0"/>
                <w:sz w:val="16"/>
                <w:szCs w:val="16"/>
                <w:lang w:eastAsia="es-CO"/>
              </w:rPr>
              <w:t xml:space="preserve"> S.A.S Empresa de Servicios Públicos E.S.P</w:t>
            </w:r>
            <w:r w:rsidR="00A21ED5" w:rsidRPr="00053706">
              <w:rPr>
                <w:rFonts w:ascii="Arial Narrow" w:hAnsi="Arial Narrow" w:cs="Arial"/>
                <w:color w:val="000000"/>
                <w:spacing w:val="0"/>
                <w:sz w:val="16"/>
                <w:szCs w:val="16"/>
                <w:lang w:eastAsia="es-CO"/>
              </w:rPr>
              <w:t>.</w:t>
            </w:r>
          </w:p>
        </w:tc>
        <w:tc>
          <w:tcPr>
            <w:tcW w:w="1520" w:type="dxa"/>
            <w:shd w:val="clear" w:color="000000" w:fill="F2F2F2"/>
            <w:noWrap/>
            <w:vAlign w:val="center"/>
            <w:hideMark/>
          </w:tcPr>
          <w:p w14:paraId="1C964EC3"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$ 733.876.000</w:t>
            </w:r>
          </w:p>
        </w:tc>
        <w:tc>
          <w:tcPr>
            <w:tcW w:w="1360" w:type="dxa"/>
            <w:shd w:val="clear" w:color="000000" w:fill="F2F2F2"/>
            <w:noWrap/>
            <w:vAlign w:val="center"/>
            <w:hideMark/>
          </w:tcPr>
          <w:p w14:paraId="4D585B31"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$ 4.509.948</w:t>
            </w:r>
          </w:p>
        </w:tc>
        <w:tc>
          <w:tcPr>
            <w:tcW w:w="1520" w:type="dxa"/>
            <w:shd w:val="clear" w:color="000000" w:fill="F2F2F2"/>
            <w:noWrap/>
            <w:vAlign w:val="center"/>
            <w:hideMark/>
          </w:tcPr>
          <w:p w14:paraId="51AF4429"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$ 738.385.948</w:t>
            </w:r>
          </w:p>
        </w:tc>
        <w:tc>
          <w:tcPr>
            <w:tcW w:w="1200" w:type="dxa"/>
            <w:shd w:val="clear" w:color="000000" w:fill="F2F2F2"/>
            <w:noWrap/>
            <w:vAlign w:val="center"/>
            <w:hideMark/>
          </w:tcPr>
          <w:p w14:paraId="4BD6BF2C"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$ 7.383.859</w:t>
            </w:r>
          </w:p>
        </w:tc>
        <w:tc>
          <w:tcPr>
            <w:tcW w:w="1200" w:type="dxa"/>
            <w:shd w:val="clear" w:color="000000" w:fill="F2F2F2"/>
            <w:noWrap/>
            <w:vAlign w:val="center"/>
            <w:hideMark/>
          </w:tcPr>
          <w:p w14:paraId="0870D281"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$ 307</w:t>
            </w:r>
          </w:p>
        </w:tc>
        <w:tc>
          <w:tcPr>
            <w:tcW w:w="1289" w:type="dxa"/>
            <w:shd w:val="clear" w:color="000000" w:fill="F2F2F2"/>
            <w:noWrap/>
            <w:vAlign w:val="center"/>
            <w:hideMark/>
          </w:tcPr>
          <w:p w14:paraId="6B485855"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$ 7.384.167</w:t>
            </w:r>
          </w:p>
        </w:tc>
      </w:tr>
      <w:tr w:rsidR="00382869" w:rsidRPr="00053706" w14:paraId="0E70479F" w14:textId="77777777" w:rsidTr="009A29B8">
        <w:trPr>
          <w:trHeight w:val="337"/>
        </w:trPr>
        <w:tc>
          <w:tcPr>
            <w:tcW w:w="407" w:type="dxa"/>
            <w:shd w:val="clear" w:color="000000" w:fill="F2F2F2"/>
            <w:noWrap/>
            <w:vAlign w:val="center"/>
            <w:hideMark/>
          </w:tcPr>
          <w:p w14:paraId="0E518597" w14:textId="77777777" w:rsidR="00382869" w:rsidRPr="00053706" w:rsidRDefault="00382869" w:rsidP="00D22441">
            <w:pPr>
              <w:jc w:val="center"/>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61</w:t>
            </w:r>
          </w:p>
        </w:tc>
        <w:tc>
          <w:tcPr>
            <w:tcW w:w="585" w:type="dxa"/>
            <w:shd w:val="clear" w:color="000000" w:fill="F2F2F2"/>
            <w:noWrap/>
            <w:vAlign w:val="center"/>
            <w:hideMark/>
          </w:tcPr>
          <w:p w14:paraId="687E9F43"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22635</w:t>
            </w:r>
          </w:p>
        </w:tc>
        <w:tc>
          <w:tcPr>
            <w:tcW w:w="941" w:type="dxa"/>
            <w:shd w:val="clear" w:color="000000" w:fill="F2F2F2"/>
            <w:noWrap/>
            <w:vAlign w:val="center"/>
            <w:hideMark/>
          </w:tcPr>
          <w:p w14:paraId="5CB0AA06"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900207628</w:t>
            </w:r>
          </w:p>
        </w:tc>
        <w:tc>
          <w:tcPr>
            <w:tcW w:w="3533" w:type="dxa"/>
            <w:shd w:val="clear" w:color="000000" w:fill="F2F2F2"/>
            <w:vAlign w:val="center"/>
            <w:hideMark/>
          </w:tcPr>
          <w:p w14:paraId="00779C79" w14:textId="77777777" w:rsidR="00382869" w:rsidRPr="00053706" w:rsidRDefault="00382869" w:rsidP="00D22441">
            <w:pPr>
              <w:jc w:val="lef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ENERLIM S.A. E.S.P.</w:t>
            </w:r>
          </w:p>
        </w:tc>
        <w:tc>
          <w:tcPr>
            <w:tcW w:w="1520" w:type="dxa"/>
            <w:shd w:val="clear" w:color="000000" w:fill="F2F2F2"/>
            <w:noWrap/>
            <w:vAlign w:val="center"/>
            <w:hideMark/>
          </w:tcPr>
          <w:p w14:paraId="07BA7DD7"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$ 162.143.717</w:t>
            </w:r>
          </w:p>
        </w:tc>
        <w:tc>
          <w:tcPr>
            <w:tcW w:w="1360" w:type="dxa"/>
            <w:shd w:val="clear" w:color="000000" w:fill="F2F2F2"/>
            <w:noWrap/>
            <w:vAlign w:val="center"/>
            <w:hideMark/>
          </w:tcPr>
          <w:p w14:paraId="187A5735"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$ 0</w:t>
            </w:r>
          </w:p>
        </w:tc>
        <w:tc>
          <w:tcPr>
            <w:tcW w:w="1520" w:type="dxa"/>
            <w:shd w:val="clear" w:color="000000" w:fill="F2F2F2"/>
            <w:noWrap/>
            <w:vAlign w:val="center"/>
            <w:hideMark/>
          </w:tcPr>
          <w:p w14:paraId="287050C7"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$ 162.143.717</w:t>
            </w:r>
          </w:p>
        </w:tc>
        <w:tc>
          <w:tcPr>
            <w:tcW w:w="1200" w:type="dxa"/>
            <w:shd w:val="clear" w:color="000000" w:fill="F2F2F2"/>
            <w:noWrap/>
            <w:vAlign w:val="center"/>
            <w:hideMark/>
          </w:tcPr>
          <w:p w14:paraId="77D7AD2E"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$ 1.621.437</w:t>
            </w:r>
          </w:p>
        </w:tc>
        <w:tc>
          <w:tcPr>
            <w:tcW w:w="1200" w:type="dxa"/>
            <w:shd w:val="clear" w:color="000000" w:fill="F2F2F2"/>
            <w:noWrap/>
            <w:vAlign w:val="center"/>
            <w:hideMark/>
          </w:tcPr>
          <w:p w14:paraId="281BBFD3"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$ 67</w:t>
            </w:r>
          </w:p>
        </w:tc>
        <w:tc>
          <w:tcPr>
            <w:tcW w:w="1289" w:type="dxa"/>
            <w:shd w:val="clear" w:color="000000" w:fill="F2F2F2"/>
            <w:noWrap/>
            <w:vAlign w:val="center"/>
            <w:hideMark/>
          </w:tcPr>
          <w:p w14:paraId="4B9AD87E"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$ 1.621.505</w:t>
            </w:r>
          </w:p>
        </w:tc>
      </w:tr>
      <w:tr w:rsidR="00382869" w:rsidRPr="00053706" w14:paraId="7AF9B266" w14:textId="77777777" w:rsidTr="009A29B8">
        <w:trPr>
          <w:trHeight w:val="349"/>
        </w:trPr>
        <w:tc>
          <w:tcPr>
            <w:tcW w:w="407" w:type="dxa"/>
            <w:shd w:val="clear" w:color="000000" w:fill="F2F2F2"/>
            <w:noWrap/>
            <w:vAlign w:val="center"/>
            <w:hideMark/>
          </w:tcPr>
          <w:p w14:paraId="04785D2E" w14:textId="77777777" w:rsidR="00382869" w:rsidRPr="00053706" w:rsidRDefault="00382869" w:rsidP="00D22441">
            <w:pPr>
              <w:jc w:val="center"/>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62</w:t>
            </w:r>
          </w:p>
        </w:tc>
        <w:tc>
          <w:tcPr>
            <w:tcW w:w="585" w:type="dxa"/>
            <w:shd w:val="clear" w:color="000000" w:fill="F2F2F2"/>
            <w:noWrap/>
            <w:vAlign w:val="center"/>
            <w:hideMark/>
          </w:tcPr>
          <w:p w14:paraId="189B6CF4"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23419</w:t>
            </w:r>
          </w:p>
        </w:tc>
        <w:tc>
          <w:tcPr>
            <w:tcW w:w="941" w:type="dxa"/>
            <w:shd w:val="clear" w:color="000000" w:fill="F2F2F2"/>
            <w:noWrap/>
            <w:vAlign w:val="center"/>
            <w:hideMark/>
          </w:tcPr>
          <w:p w14:paraId="1DAF8BCF"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900210455</w:t>
            </w:r>
          </w:p>
        </w:tc>
        <w:tc>
          <w:tcPr>
            <w:tcW w:w="3533" w:type="dxa"/>
            <w:shd w:val="clear" w:color="000000" w:fill="F2F2F2"/>
            <w:vAlign w:val="center"/>
            <w:hideMark/>
          </w:tcPr>
          <w:p w14:paraId="72933C65" w14:textId="77777777" w:rsidR="00382869" w:rsidRPr="00053706" w:rsidRDefault="00382869" w:rsidP="00D22441">
            <w:pPr>
              <w:jc w:val="lef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GUANAQUITAS S.A.S. E.S.P.</w:t>
            </w:r>
          </w:p>
        </w:tc>
        <w:tc>
          <w:tcPr>
            <w:tcW w:w="1520" w:type="dxa"/>
            <w:shd w:val="clear" w:color="000000" w:fill="F2F2F2"/>
            <w:noWrap/>
            <w:vAlign w:val="center"/>
            <w:hideMark/>
          </w:tcPr>
          <w:p w14:paraId="1580D160"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$ 1.121.399.000</w:t>
            </w:r>
          </w:p>
        </w:tc>
        <w:tc>
          <w:tcPr>
            <w:tcW w:w="1360" w:type="dxa"/>
            <w:shd w:val="clear" w:color="000000" w:fill="F2F2F2"/>
            <w:noWrap/>
            <w:vAlign w:val="center"/>
            <w:hideMark/>
          </w:tcPr>
          <w:p w14:paraId="09ED0BE5"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$ 0</w:t>
            </w:r>
          </w:p>
        </w:tc>
        <w:tc>
          <w:tcPr>
            <w:tcW w:w="1520" w:type="dxa"/>
            <w:shd w:val="clear" w:color="000000" w:fill="F2F2F2"/>
            <w:noWrap/>
            <w:vAlign w:val="center"/>
            <w:hideMark/>
          </w:tcPr>
          <w:p w14:paraId="65EE169F"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$ 1.121.399.000</w:t>
            </w:r>
          </w:p>
        </w:tc>
        <w:tc>
          <w:tcPr>
            <w:tcW w:w="1200" w:type="dxa"/>
            <w:shd w:val="clear" w:color="000000" w:fill="F2F2F2"/>
            <w:noWrap/>
            <w:vAlign w:val="center"/>
            <w:hideMark/>
          </w:tcPr>
          <w:p w14:paraId="79E6C812"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$ 11.213.990</w:t>
            </w:r>
          </w:p>
        </w:tc>
        <w:tc>
          <w:tcPr>
            <w:tcW w:w="1200" w:type="dxa"/>
            <w:shd w:val="clear" w:color="000000" w:fill="F2F2F2"/>
            <w:noWrap/>
            <w:vAlign w:val="center"/>
            <w:hideMark/>
          </w:tcPr>
          <w:p w14:paraId="2596537A"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$ 467</w:t>
            </w:r>
          </w:p>
        </w:tc>
        <w:tc>
          <w:tcPr>
            <w:tcW w:w="1289" w:type="dxa"/>
            <w:shd w:val="clear" w:color="000000" w:fill="F2F2F2"/>
            <w:noWrap/>
            <w:vAlign w:val="center"/>
            <w:hideMark/>
          </w:tcPr>
          <w:p w14:paraId="130D2965"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$ 11.214.457</w:t>
            </w:r>
          </w:p>
        </w:tc>
      </w:tr>
      <w:tr w:rsidR="00382869" w:rsidRPr="00053706" w14:paraId="19892DD0" w14:textId="77777777" w:rsidTr="009A29B8">
        <w:trPr>
          <w:trHeight w:val="269"/>
        </w:trPr>
        <w:tc>
          <w:tcPr>
            <w:tcW w:w="407" w:type="dxa"/>
            <w:shd w:val="clear" w:color="000000" w:fill="F2F2F2"/>
            <w:noWrap/>
            <w:vAlign w:val="center"/>
            <w:hideMark/>
          </w:tcPr>
          <w:p w14:paraId="583DE16C" w14:textId="77777777" w:rsidR="00382869" w:rsidRPr="00053706" w:rsidRDefault="00382869" w:rsidP="00D22441">
            <w:pPr>
              <w:jc w:val="center"/>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63</w:t>
            </w:r>
          </w:p>
        </w:tc>
        <w:tc>
          <w:tcPr>
            <w:tcW w:w="585" w:type="dxa"/>
            <w:shd w:val="clear" w:color="000000" w:fill="F2F2F2"/>
            <w:noWrap/>
            <w:vAlign w:val="center"/>
            <w:hideMark/>
          </w:tcPr>
          <w:p w14:paraId="58FDDB80"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30671</w:t>
            </w:r>
          </w:p>
        </w:tc>
        <w:tc>
          <w:tcPr>
            <w:tcW w:w="941" w:type="dxa"/>
            <w:shd w:val="clear" w:color="000000" w:fill="F2F2F2"/>
            <w:noWrap/>
            <w:vAlign w:val="center"/>
            <w:hideMark/>
          </w:tcPr>
          <w:p w14:paraId="1DDAB397"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900214588</w:t>
            </w:r>
          </w:p>
        </w:tc>
        <w:tc>
          <w:tcPr>
            <w:tcW w:w="3533" w:type="dxa"/>
            <w:shd w:val="clear" w:color="000000" w:fill="F2F2F2"/>
            <w:vAlign w:val="center"/>
            <w:hideMark/>
          </w:tcPr>
          <w:p w14:paraId="6A286585" w14:textId="77777777" w:rsidR="00382869" w:rsidRPr="00053706" w:rsidRDefault="00382869" w:rsidP="00D22441">
            <w:pPr>
              <w:jc w:val="lef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ESPACIO PRODUCTIVO SAS ESP</w:t>
            </w:r>
          </w:p>
        </w:tc>
        <w:tc>
          <w:tcPr>
            <w:tcW w:w="1520" w:type="dxa"/>
            <w:shd w:val="clear" w:color="000000" w:fill="F2F2F2"/>
            <w:noWrap/>
            <w:vAlign w:val="center"/>
            <w:hideMark/>
          </w:tcPr>
          <w:p w14:paraId="2ACB8BF7"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$ 9.267.414.000</w:t>
            </w:r>
          </w:p>
        </w:tc>
        <w:tc>
          <w:tcPr>
            <w:tcW w:w="1360" w:type="dxa"/>
            <w:shd w:val="clear" w:color="000000" w:fill="F2F2F2"/>
            <w:noWrap/>
            <w:vAlign w:val="center"/>
            <w:hideMark/>
          </w:tcPr>
          <w:p w14:paraId="5DC544BE"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$ 0</w:t>
            </w:r>
          </w:p>
        </w:tc>
        <w:tc>
          <w:tcPr>
            <w:tcW w:w="1520" w:type="dxa"/>
            <w:shd w:val="clear" w:color="000000" w:fill="F2F2F2"/>
            <w:noWrap/>
            <w:vAlign w:val="center"/>
            <w:hideMark/>
          </w:tcPr>
          <w:p w14:paraId="73EB07D5"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$ 9.267.414.000</w:t>
            </w:r>
          </w:p>
        </w:tc>
        <w:tc>
          <w:tcPr>
            <w:tcW w:w="1200" w:type="dxa"/>
            <w:shd w:val="clear" w:color="000000" w:fill="F2F2F2"/>
            <w:noWrap/>
            <w:vAlign w:val="center"/>
            <w:hideMark/>
          </w:tcPr>
          <w:p w14:paraId="1A987C47"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$ 92.674.140</w:t>
            </w:r>
          </w:p>
        </w:tc>
        <w:tc>
          <w:tcPr>
            <w:tcW w:w="1200" w:type="dxa"/>
            <w:shd w:val="clear" w:color="000000" w:fill="F2F2F2"/>
            <w:noWrap/>
            <w:vAlign w:val="center"/>
            <w:hideMark/>
          </w:tcPr>
          <w:p w14:paraId="66E47A0B"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$ 3.857</w:t>
            </w:r>
          </w:p>
        </w:tc>
        <w:tc>
          <w:tcPr>
            <w:tcW w:w="1289" w:type="dxa"/>
            <w:shd w:val="clear" w:color="000000" w:fill="F2F2F2"/>
            <w:noWrap/>
            <w:vAlign w:val="center"/>
            <w:hideMark/>
          </w:tcPr>
          <w:p w14:paraId="662AF86C"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$ 92.677.997</w:t>
            </w:r>
          </w:p>
        </w:tc>
      </w:tr>
      <w:tr w:rsidR="00382869" w:rsidRPr="00053706" w14:paraId="5FD4B916" w14:textId="77777777" w:rsidTr="009A29B8">
        <w:trPr>
          <w:trHeight w:val="339"/>
        </w:trPr>
        <w:tc>
          <w:tcPr>
            <w:tcW w:w="407" w:type="dxa"/>
            <w:shd w:val="clear" w:color="000000" w:fill="F2F2F2"/>
            <w:noWrap/>
            <w:vAlign w:val="center"/>
            <w:hideMark/>
          </w:tcPr>
          <w:p w14:paraId="3EAF5197" w14:textId="77777777" w:rsidR="00382869" w:rsidRPr="00053706" w:rsidRDefault="00382869" w:rsidP="00D22441">
            <w:pPr>
              <w:jc w:val="center"/>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64</w:t>
            </w:r>
          </w:p>
        </w:tc>
        <w:tc>
          <w:tcPr>
            <w:tcW w:w="585" w:type="dxa"/>
            <w:shd w:val="clear" w:color="000000" w:fill="F2F2F2"/>
            <w:noWrap/>
            <w:vAlign w:val="center"/>
            <w:hideMark/>
          </w:tcPr>
          <w:p w14:paraId="66D9DD34"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40935</w:t>
            </w:r>
          </w:p>
        </w:tc>
        <w:tc>
          <w:tcPr>
            <w:tcW w:w="941" w:type="dxa"/>
            <w:shd w:val="clear" w:color="000000" w:fill="F2F2F2"/>
            <w:noWrap/>
            <w:vAlign w:val="center"/>
            <w:hideMark/>
          </w:tcPr>
          <w:p w14:paraId="4F07FB71"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900244325</w:t>
            </w:r>
          </w:p>
        </w:tc>
        <w:tc>
          <w:tcPr>
            <w:tcW w:w="3533" w:type="dxa"/>
            <w:shd w:val="clear" w:color="000000" w:fill="F2F2F2"/>
            <w:vAlign w:val="center"/>
            <w:hideMark/>
          </w:tcPr>
          <w:p w14:paraId="0045F8F1" w14:textId="77777777" w:rsidR="00382869" w:rsidRPr="00053706" w:rsidRDefault="00382869" w:rsidP="00D22441">
            <w:pPr>
              <w:jc w:val="lef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GENERACIÓN DE ENERGÍA S.A.S. E.S.P.</w:t>
            </w:r>
          </w:p>
        </w:tc>
        <w:tc>
          <w:tcPr>
            <w:tcW w:w="1520" w:type="dxa"/>
            <w:shd w:val="clear" w:color="000000" w:fill="F2F2F2"/>
            <w:noWrap/>
            <w:vAlign w:val="center"/>
            <w:hideMark/>
          </w:tcPr>
          <w:p w14:paraId="176BF5B1"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$ 189.356.000</w:t>
            </w:r>
          </w:p>
        </w:tc>
        <w:tc>
          <w:tcPr>
            <w:tcW w:w="1360" w:type="dxa"/>
            <w:shd w:val="clear" w:color="000000" w:fill="F2F2F2"/>
            <w:noWrap/>
            <w:vAlign w:val="center"/>
            <w:hideMark/>
          </w:tcPr>
          <w:p w14:paraId="23BD4D5D"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$ 0</w:t>
            </w:r>
          </w:p>
        </w:tc>
        <w:tc>
          <w:tcPr>
            <w:tcW w:w="1520" w:type="dxa"/>
            <w:shd w:val="clear" w:color="000000" w:fill="F2F2F2"/>
            <w:noWrap/>
            <w:vAlign w:val="center"/>
            <w:hideMark/>
          </w:tcPr>
          <w:p w14:paraId="304DA443"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$ 189.356.000</w:t>
            </w:r>
          </w:p>
        </w:tc>
        <w:tc>
          <w:tcPr>
            <w:tcW w:w="1200" w:type="dxa"/>
            <w:shd w:val="clear" w:color="000000" w:fill="F2F2F2"/>
            <w:noWrap/>
            <w:vAlign w:val="center"/>
            <w:hideMark/>
          </w:tcPr>
          <w:p w14:paraId="2DA3623A"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$ 1.893.560</w:t>
            </w:r>
          </w:p>
        </w:tc>
        <w:tc>
          <w:tcPr>
            <w:tcW w:w="1200" w:type="dxa"/>
            <w:shd w:val="clear" w:color="000000" w:fill="F2F2F2"/>
            <w:noWrap/>
            <w:vAlign w:val="center"/>
            <w:hideMark/>
          </w:tcPr>
          <w:p w14:paraId="6FFC1446"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$ 79</w:t>
            </w:r>
          </w:p>
        </w:tc>
        <w:tc>
          <w:tcPr>
            <w:tcW w:w="1289" w:type="dxa"/>
            <w:shd w:val="clear" w:color="000000" w:fill="F2F2F2"/>
            <w:noWrap/>
            <w:vAlign w:val="center"/>
            <w:hideMark/>
          </w:tcPr>
          <w:p w14:paraId="34A2AD07"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$ 1.893.639</w:t>
            </w:r>
          </w:p>
        </w:tc>
      </w:tr>
      <w:tr w:rsidR="00382869" w:rsidRPr="00053706" w14:paraId="22878867" w14:textId="77777777" w:rsidTr="009A29B8">
        <w:trPr>
          <w:trHeight w:val="465"/>
        </w:trPr>
        <w:tc>
          <w:tcPr>
            <w:tcW w:w="407" w:type="dxa"/>
            <w:shd w:val="clear" w:color="000000" w:fill="F2F2F2"/>
            <w:noWrap/>
            <w:vAlign w:val="center"/>
            <w:hideMark/>
          </w:tcPr>
          <w:p w14:paraId="7ECD6F22" w14:textId="77777777" w:rsidR="00382869" w:rsidRPr="00053706" w:rsidRDefault="00382869" w:rsidP="00D22441">
            <w:pPr>
              <w:jc w:val="center"/>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lastRenderedPageBreak/>
              <w:t>65</w:t>
            </w:r>
          </w:p>
        </w:tc>
        <w:tc>
          <w:tcPr>
            <w:tcW w:w="585" w:type="dxa"/>
            <w:shd w:val="clear" w:color="000000" w:fill="F2F2F2"/>
            <w:noWrap/>
            <w:vAlign w:val="center"/>
            <w:hideMark/>
          </w:tcPr>
          <w:p w14:paraId="2A2D6C01"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22543</w:t>
            </w:r>
          </w:p>
        </w:tc>
        <w:tc>
          <w:tcPr>
            <w:tcW w:w="941" w:type="dxa"/>
            <w:shd w:val="clear" w:color="000000" w:fill="F2F2F2"/>
            <w:noWrap/>
            <w:vAlign w:val="center"/>
            <w:hideMark/>
          </w:tcPr>
          <w:p w14:paraId="2B95378F"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900251423</w:t>
            </w:r>
          </w:p>
        </w:tc>
        <w:tc>
          <w:tcPr>
            <w:tcW w:w="3533" w:type="dxa"/>
            <w:shd w:val="clear" w:color="000000" w:fill="F2F2F2"/>
            <w:vAlign w:val="center"/>
            <w:hideMark/>
          </w:tcPr>
          <w:p w14:paraId="16813095" w14:textId="77777777" w:rsidR="00382869" w:rsidRPr="00053706" w:rsidRDefault="00382869" w:rsidP="00D22441">
            <w:pPr>
              <w:jc w:val="lef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EMPRESA DE GENERACION Y PROMOCION DE ENERGIA DE ANTIOQUIA SA ESP</w:t>
            </w:r>
          </w:p>
        </w:tc>
        <w:tc>
          <w:tcPr>
            <w:tcW w:w="1520" w:type="dxa"/>
            <w:shd w:val="clear" w:color="000000" w:fill="F2F2F2"/>
            <w:noWrap/>
            <w:vAlign w:val="center"/>
            <w:hideMark/>
          </w:tcPr>
          <w:p w14:paraId="7531907A"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$ 3.345.610.000</w:t>
            </w:r>
          </w:p>
        </w:tc>
        <w:tc>
          <w:tcPr>
            <w:tcW w:w="1360" w:type="dxa"/>
            <w:shd w:val="clear" w:color="000000" w:fill="F2F2F2"/>
            <w:noWrap/>
            <w:vAlign w:val="center"/>
            <w:hideMark/>
          </w:tcPr>
          <w:p w14:paraId="09809C0C"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$ 0</w:t>
            </w:r>
          </w:p>
        </w:tc>
        <w:tc>
          <w:tcPr>
            <w:tcW w:w="1520" w:type="dxa"/>
            <w:shd w:val="clear" w:color="000000" w:fill="F2F2F2"/>
            <w:noWrap/>
            <w:vAlign w:val="center"/>
            <w:hideMark/>
          </w:tcPr>
          <w:p w14:paraId="25EF386D"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$ 3.345.610.000</w:t>
            </w:r>
          </w:p>
        </w:tc>
        <w:tc>
          <w:tcPr>
            <w:tcW w:w="1200" w:type="dxa"/>
            <w:shd w:val="clear" w:color="000000" w:fill="F2F2F2"/>
            <w:noWrap/>
            <w:vAlign w:val="center"/>
            <w:hideMark/>
          </w:tcPr>
          <w:p w14:paraId="65546CAF"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$ 33.456.100</w:t>
            </w:r>
          </w:p>
        </w:tc>
        <w:tc>
          <w:tcPr>
            <w:tcW w:w="1200" w:type="dxa"/>
            <w:shd w:val="clear" w:color="000000" w:fill="F2F2F2"/>
            <w:noWrap/>
            <w:vAlign w:val="center"/>
            <w:hideMark/>
          </w:tcPr>
          <w:p w14:paraId="72DA7387"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$ 1.392</w:t>
            </w:r>
          </w:p>
        </w:tc>
        <w:tc>
          <w:tcPr>
            <w:tcW w:w="1289" w:type="dxa"/>
            <w:shd w:val="clear" w:color="000000" w:fill="F2F2F2"/>
            <w:noWrap/>
            <w:vAlign w:val="center"/>
            <w:hideMark/>
          </w:tcPr>
          <w:p w14:paraId="418EE8D8"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$ 33.457.492</w:t>
            </w:r>
          </w:p>
        </w:tc>
      </w:tr>
      <w:tr w:rsidR="00382869" w:rsidRPr="00053706" w14:paraId="6041E3DE" w14:textId="77777777" w:rsidTr="009A29B8">
        <w:trPr>
          <w:trHeight w:val="565"/>
        </w:trPr>
        <w:tc>
          <w:tcPr>
            <w:tcW w:w="407" w:type="dxa"/>
            <w:shd w:val="clear" w:color="000000" w:fill="F2F2F2"/>
            <w:noWrap/>
            <w:vAlign w:val="center"/>
            <w:hideMark/>
          </w:tcPr>
          <w:p w14:paraId="44889A67" w14:textId="77777777" w:rsidR="00382869" w:rsidRPr="00053706" w:rsidRDefault="00382869" w:rsidP="00D22441">
            <w:pPr>
              <w:jc w:val="center"/>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66</w:t>
            </w:r>
          </w:p>
        </w:tc>
        <w:tc>
          <w:tcPr>
            <w:tcW w:w="585" w:type="dxa"/>
            <w:shd w:val="clear" w:color="000000" w:fill="F2F2F2"/>
            <w:noWrap/>
            <w:vAlign w:val="center"/>
            <w:hideMark/>
          </w:tcPr>
          <w:p w14:paraId="47984A18"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22594</w:t>
            </w:r>
          </w:p>
        </w:tc>
        <w:tc>
          <w:tcPr>
            <w:tcW w:w="941" w:type="dxa"/>
            <w:shd w:val="clear" w:color="000000" w:fill="F2F2F2"/>
            <w:noWrap/>
            <w:vAlign w:val="center"/>
            <w:hideMark/>
          </w:tcPr>
          <w:p w14:paraId="385F4B0B"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900260857</w:t>
            </w:r>
          </w:p>
        </w:tc>
        <w:tc>
          <w:tcPr>
            <w:tcW w:w="3533" w:type="dxa"/>
            <w:shd w:val="clear" w:color="000000" w:fill="F2F2F2"/>
            <w:vAlign w:val="center"/>
            <w:hideMark/>
          </w:tcPr>
          <w:p w14:paraId="3ACEB40C" w14:textId="77777777" w:rsidR="00382869" w:rsidRPr="00053706" w:rsidRDefault="00382869" w:rsidP="00D22441">
            <w:pPr>
              <w:jc w:val="lef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xml:space="preserve">ASOCIACIÓN DE USUARIOS DEL SERVICIO DE ENERGÍA ELÉCTRICA DE LA ZONA RURAL DE SANTA BARBARA DE ISCUANDE </w:t>
            </w:r>
          </w:p>
        </w:tc>
        <w:tc>
          <w:tcPr>
            <w:tcW w:w="1520" w:type="dxa"/>
            <w:shd w:val="clear" w:color="000000" w:fill="F2F2F2"/>
            <w:noWrap/>
            <w:vAlign w:val="center"/>
            <w:hideMark/>
          </w:tcPr>
          <w:p w14:paraId="26DDFC0A"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$ 94.806.000</w:t>
            </w:r>
          </w:p>
        </w:tc>
        <w:tc>
          <w:tcPr>
            <w:tcW w:w="1360" w:type="dxa"/>
            <w:shd w:val="clear" w:color="000000" w:fill="F2F2F2"/>
            <w:noWrap/>
            <w:vAlign w:val="center"/>
            <w:hideMark/>
          </w:tcPr>
          <w:p w14:paraId="2D1AD0A5"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$ 7.498.200</w:t>
            </w:r>
          </w:p>
        </w:tc>
        <w:tc>
          <w:tcPr>
            <w:tcW w:w="1520" w:type="dxa"/>
            <w:shd w:val="clear" w:color="000000" w:fill="F2F2F2"/>
            <w:noWrap/>
            <w:vAlign w:val="center"/>
            <w:hideMark/>
          </w:tcPr>
          <w:p w14:paraId="78C30894"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$ 102.304.200</w:t>
            </w:r>
          </w:p>
        </w:tc>
        <w:tc>
          <w:tcPr>
            <w:tcW w:w="1200" w:type="dxa"/>
            <w:shd w:val="clear" w:color="000000" w:fill="F2F2F2"/>
            <w:noWrap/>
            <w:vAlign w:val="center"/>
            <w:hideMark/>
          </w:tcPr>
          <w:p w14:paraId="6D2D1045"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$ 1.023.042</w:t>
            </w:r>
          </w:p>
        </w:tc>
        <w:tc>
          <w:tcPr>
            <w:tcW w:w="1200" w:type="dxa"/>
            <w:shd w:val="clear" w:color="000000" w:fill="F2F2F2"/>
            <w:noWrap/>
            <w:vAlign w:val="center"/>
            <w:hideMark/>
          </w:tcPr>
          <w:p w14:paraId="74D626AB"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$ 43</w:t>
            </w:r>
          </w:p>
        </w:tc>
        <w:tc>
          <w:tcPr>
            <w:tcW w:w="1289" w:type="dxa"/>
            <w:shd w:val="clear" w:color="000000" w:fill="F2F2F2"/>
            <w:noWrap/>
            <w:vAlign w:val="center"/>
            <w:hideMark/>
          </w:tcPr>
          <w:p w14:paraId="569654D9"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$ 1.023.085</w:t>
            </w:r>
          </w:p>
        </w:tc>
      </w:tr>
      <w:tr w:rsidR="00382869" w:rsidRPr="00053706" w14:paraId="30E6351A" w14:textId="77777777" w:rsidTr="009A29B8">
        <w:trPr>
          <w:trHeight w:val="465"/>
        </w:trPr>
        <w:tc>
          <w:tcPr>
            <w:tcW w:w="407" w:type="dxa"/>
            <w:shd w:val="clear" w:color="000000" w:fill="F2F2F2"/>
            <w:noWrap/>
            <w:vAlign w:val="center"/>
            <w:hideMark/>
          </w:tcPr>
          <w:p w14:paraId="5ACFB016" w14:textId="77777777" w:rsidR="00382869" w:rsidRPr="00053706" w:rsidRDefault="00382869" w:rsidP="00D22441">
            <w:pPr>
              <w:jc w:val="center"/>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67</w:t>
            </w:r>
          </w:p>
        </w:tc>
        <w:tc>
          <w:tcPr>
            <w:tcW w:w="585" w:type="dxa"/>
            <w:shd w:val="clear" w:color="000000" w:fill="F2F2F2"/>
            <w:noWrap/>
            <w:vAlign w:val="center"/>
            <w:hideMark/>
          </w:tcPr>
          <w:p w14:paraId="6CA3202B"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22728</w:t>
            </w:r>
          </w:p>
        </w:tc>
        <w:tc>
          <w:tcPr>
            <w:tcW w:w="941" w:type="dxa"/>
            <w:shd w:val="clear" w:color="000000" w:fill="F2F2F2"/>
            <w:noWrap/>
            <w:vAlign w:val="center"/>
            <w:hideMark/>
          </w:tcPr>
          <w:p w14:paraId="49160C34"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900274902</w:t>
            </w:r>
          </w:p>
        </w:tc>
        <w:tc>
          <w:tcPr>
            <w:tcW w:w="3533" w:type="dxa"/>
            <w:shd w:val="clear" w:color="000000" w:fill="F2F2F2"/>
            <w:vAlign w:val="center"/>
            <w:hideMark/>
          </w:tcPr>
          <w:p w14:paraId="6DDF0705" w14:textId="77777777" w:rsidR="00382869" w:rsidRPr="00053706" w:rsidRDefault="00382869" w:rsidP="00D22441">
            <w:pPr>
              <w:jc w:val="lef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ASOCIACION DE USUARIOS DE SERVICIOS PUBLICOS DEL MEDIO BAUDO</w:t>
            </w:r>
          </w:p>
        </w:tc>
        <w:tc>
          <w:tcPr>
            <w:tcW w:w="1520" w:type="dxa"/>
            <w:shd w:val="clear" w:color="000000" w:fill="F2F2F2"/>
            <w:noWrap/>
            <w:vAlign w:val="center"/>
            <w:hideMark/>
          </w:tcPr>
          <w:p w14:paraId="201D4CBF"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$ 326.049.000</w:t>
            </w:r>
          </w:p>
        </w:tc>
        <w:tc>
          <w:tcPr>
            <w:tcW w:w="1360" w:type="dxa"/>
            <w:shd w:val="clear" w:color="000000" w:fill="F2F2F2"/>
            <w:noWrap/>
            <w:vAlign w:val="center"/>
            <w:hideMark/>
          </w:tcPr>
          <w:p w14:paraId="1F15EDAA"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$ 11.823.424</w:t>
            </w:r>
          </w:p>
        </w:tc>
        <w:tc>
          <w:tcPr>
            <w:tcW w:w="1520" w:type="dxa"/>
            <w:shd w:val="clear" w:color="000000" w:fill="F2F2F2"/>
            <w:noWrap/>
            <w:vAlign w:val="center"/>
            <w:hideMark/>
          </w:tcPr>
          <w:p w14:paraId="274B6807"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$ 337.872.424</w:t>
            </w:r>
          </w:p>
        </w:tc>
        <w:tc>
          <w:tcPr>
            <w:tcW w:w="1200" w:type="dxa"/>
            <w:shd w:val="clear" w:color="000000" w:fill="F2F2F2"/>
            <w:noWrap/>
            <w:vAlign w:val="center"/>
            <w:hideMark/>
          </w:tcPr>
          <w:p w14:paraId="12E2A325"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$ 3.378.724</w:t>
            </w:r>
          </w:p>
        </w:tc>
        <w:tc>
          <w:tcPr>
            <w:tcW w:w="1200" w:type="dxa"/>
            <w:shd w:val="clear" w:color="000000" w:fill="F2F2F2"/>
            <w:noWrap/>
            <w:vAlign w:val="center"/>
            <w:hideMark/>
          </w:tcPr>
          <w:p w14:paraId="1B998AAD"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$ 141</w:t>
            </w:r>
          </w:p>
        </w:tc>
        <w:tc>
          <w:tcPr>
            <w:tcW w:w="1289" w:type="dxa"/>
            <w:shd w:val="clear" w:color="000000" w:fill="F2F2F2"/>
            <w:noWrap/>
            <w:vAlign w:val="center"/>
            <w:hideMark/>
          </w:tcPr>
          <w:p w14:paraId="6C69C638"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$ 3.378.865</w:t>
            </w:r>
          </w:p>
        </w:tc>
      </w:tr>
      <w:tr w:rsidR="00382869" w:rsidRPr="00053706" w14:paraId="2F5701EA" w14:textId="77777777" w:rsidTr="009A29B8">
        <w:trPr>
          <w:trHeight w:val="266"/>
        </w:trPr>
        <w:tc>
          <w:tcPr>
            <w:tcW w:w="407" w:type="dxa"/>
            <w:shd w:val="clear" w:color="000000" w:fill="F2F2F2"/>
            <w:noWrap/>
            <w:vAlign w:val="center"/>
            <w:hideMark/>
          </w:tcPr>
          <w:p w14:paraId="0A8FE982" w14:textId="77777777" w:rsidR="00382869" w:rsidRPr="00053706" w:rsidRDefault="00382869" w:rsidP="00D22441">
            <w:pPr>
              <w:jc w:val="center"/>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68</w:t>
            </w:r>
          </w:p>
        </w:tc>
        <w:tc>
          <w:tcPr>
            <w:tcW w:w="585" w:type="dxa"/>
            <w:shd w:val="clear" w:color="000000" w:fill="F2F2F2"/>
            <w:noWrap/>
            <w:vAlign w:val="center"/>
            <w:hideMark/>
          </w:tcPr>
          <w:p w14:paraId="4DFDE982"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26234</w:t>
            </w:r>
          </w:p>
        </w:tc>
        <w:tc>
          <w:tcPr>
            <w:tcW w:w="941" w:type="dxa"/>
            <w:shd w:val="clear" w:color="000000" w:fill="F2F2F2"/>
            <w:noWrap/>
            <w:vAlign w:val="center"/>
            <w:hideMark/>
          </w:tcPr>
          <w:p w14:paraId="20F3EC6E"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900275349</w:t>
            </w:r>
          </w:p>
        </w:tc>
        <w:tc>
          <w:tcPr>
            <w:tcW w:w="3533" w:type="dxa"/>
            <w:shd w:val="clear" w:color="000000" w:fill="F2F2F2"/>
            <w:vAlign w:val="center"/>
            <w:hideMark/>
          </w:tcPr>
          <w:p w14:paraId="48C20762" w14:textId="77777777" w:rsidR="00382869" w:rsidRPr="00053706" w:rsidRDefault="00382869" w:rsidP="00D22441">
            <w:pPr>
              <w:jc w:val="lef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BARROSO S.A.S. E.S.P.</w:t>
            </w:r>
          </w:p>
        </w:tc>
        <w:tc>
          <w:tcPr>
            <w:tcW w:w="1520" w:type="dxa"/>
            <w:shd w:val="clear" w:color="000000" w:fill="F2F2F2"/>
            <w:noWrap/>
            <w:vAlign w:val="center"/>
            <w:hideMark/>
          </w:tcPr>
          <w:p w14:paraId="56A2291F"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$ 4.534.479.000</w:t>
            </w:r>
          </w:p>
        </w:tc>
        <w:tc>
          <w:tcPr>
            <w:tcW w:w="1360" w:type="dxa"/>
            <w:shd w:val="clear" w:color="000000" w:fill="F2F2F2"/>
            <w:noWrap/>
            <w:vAlign w:val="center"/>
            <w:hideMark/>
          </w:tcPr>
          <w:p w14:paraId="26106108"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$ 0</w:t>
            </w:r>
          </w:p>
        </w:tc>
        <w:tc>
          <w:tcPr>
            <w:tcW w:w="1520" w:type="dxa"/>
            <w:shd w:val="clear" w:color="000000" w:fill="F2F2F2"/>
            <w:noWrap/>
            <w:vAlign w:val="center"/>
            <w:hideMark/>
          </w:tcPr>
          <w:p w14:paraId="5D67306B"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$ 4.534.479.000</w:t>
            </w:r>
          </w:p>
        </w:tc>
        <w:tc>
          <w:tcPr>
            <w:tcW w:w="1200" w:type="dxa"/>
            <w:shd w:val="clear" w:color="000000" w:fill="F2F2F2"/>
            <w:noWrap/>
            <w:vAlign w:val="center"/>
            <w:hideMark/>
          </w:tcPr>
          <w:p w14:paraId="5AB961C5"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$ 45.344.790</w:t>
            </w:r>
          </w:p>
        </w:tc>
        <w:tc>
          <w:tcPr>
            <w:tcW w:w="1200" w:type="dxa"/>
            <w:shd w:val="clear" w:color="000000" w:fill="F2F2F2"/>
            <w:noWrap/>
            <w:vAlign w:val="center"/>
            <w:hideMark/>
          </w:tcPr>
          <w:p w14:paraId="14E8A7CC"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$ 1.887</w:t>
            </w:r>
          </w:p>
        </w:tc>
        <w:tc>
          <w:tcPr>
            <w:tcW w:w="1289" w:type="dxa"/>
            <w:shd w:val="clear" w:color="000000" w:fill="F2F2F2"/>
            <w:noWrap/>
            <w:vAlign w:val="center"/>
            <w:hideMark/>
          </w:tcPr>
          <w:p w14:paraId="3C79FFCC"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$ 45.346.677</w:t>
            </w:r>
          </w:p>
        </w:tc>
      </w:tr>
      <w:tr w:rsidR="00382869" w:rsidRPr="00053706" w14:paraId="62E07A28" w14:textId="77777777" w:rsidTr="009A29B8">
        <w:trPr>
          <w:trHeight w:val="245"/>
        </w:trPr>
        <w:tc>
          <w:tcPr>
            <w:tcW w:w="407" w:type="dxa"/>
            <w:shd w:val="clear" w:color="000000" w:fill="F2F2F2"/>
            <w:noWrap/>
            <w:vAlign w:val="center"/>
            <w:hideMark/>
          </w:tcPr>
          <w:p w14:paraId="37F12874" w14:textId="77777777" w:rsidR="00382869" w:rsidRPr="00053706" w:rsidRDefault="00382869" w:rsidP="00D22441">
            <w:pPr>
              <w:jc w:val="center"/>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69</w:t>
            </w:r>
          </w:p>
        </w:tc>
        <w:tc>
          <w:tcPr>
            <w:tcW w:w="585" w:type="dxa"/>
            <w:shd w:val="clear" w:color="000000" w:fill="F2F2F2"/>
            <w:noWrap/>
            <w:vAlign w:val="center"/>
            <w:hideMark/>
          </w:tcPr>
          <w:p w14:paraId="39A9B7B1"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23390</w:t>
            </w:r>
          </w:p>
        </w:tc>
        <w:tc>
          <w:tcPr>
            <w:tcW w:w="941" w:type="dxa"/>
            <w:shd w:val="clear" w:color="000000" w:fill="F2F2F2"/>
            <w:noWrap/>
            <w:vAlign w:val="center"/>
            <w:hideMark/>
          </w:tcPr>
          <w:p w14:paraId="3EF8DB11"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900282813</w:t>
            </w:r>
          </w:p>
        </w:tc>
        <w:tc>
          <w:tcPr>
            <w:tcW w:w="3533" w:type="dxa"/>
            <w:shd w:val="clear" w:color="000000" w:fill="F2F2F2"/>
            <w:vAlign w:val="center"/>
            <w:hideMark/>
          </w:tcPr>
          <w:p w14:paraId="6BF8E5E0" w14:textId="77777777" w:rsidR="00382869" w:rsidRPr="00053706" w:rsidRDefault="00382869" w:rsidP="00D22441">
            <w:pPr>
              <w:jc w:val="lef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COLENERGIA S.A.  ESP</w:t>
            </w:r>
          </w:p>
        </w:tc>
        <w:tc>
          <w:tcPr>
            <w:tcW w:w="1520" w:type="dxa"/>
            <w:shd w:val="clear" w:color="000000" w:fill="F2F2F2"/>
            <w:noWrap/>
            <w:vAlign w:val="center"/>
            <w:hideMark/>
          </w:tcPr>
          <w:p w14:paraId="4697C640"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$ 547.746.000</w:t>
            </w:r>
          </w:p>
        </w:tc>
        <w:tc>
          <w:tcPr>
            <w:tcW w:w="1360" w:type="dxa"/>
            <w:shd w:val="clear" w:color="000000" w:fill="F2F2F2"/>
            <w:noWrap/>
            <w:vAlign w:val="center"/>
            <w:hideMark/>
          </w:tcPr>
          <w:p w14:paraId="479D531A"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$ 78.239.147</w:t>
            </w:r>
          </w:p>
        </w:tc>
        <w:tc>
          <w:tcPr>
            <w:tcW w:w="1520" w:type="dxa"/>
            <w:shd w:val="clear" w:color="000000" w:fill="F2F2F2"/>
            <w:noWrap/>
            <w:vAlign w:val="center"/>
            <w:hideMark/>
          </w:tcPr>
          <w:p w14:paraId="7989DBB7"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$ 625.985.147</w:t>
            </w:r>
          </w:p>
        </w:tc>
        <w:tc>
          <w:tcPr>
            <w:tcW w:w="1200" w:type="dxa"/>
            <w:shd w:val="clear" w:color="000000" w:fill="F2F2F2"/>
            <w:noWrap/>
            <w:vAlign w:val="center"/>
            <w:hideMark/>
          </w:tcPr>
          <w:p w14:paraId="38BF026D"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$ 6.259.851</w:t>
            </w:r>
          </w:p>
        </w:tc>
        <w:tc>
          <w:tcPr>
            <w:tcW w:w="1200" w:type="dxa"/>
            <w:shd w:val="clear" w:color="000000" w:fill="F2F2F2"/>
            <w:noWrap/>
            <w:vAlign w:val="center"/>
            <w:hideMark/>
          </w:tcPr>
          <w:p w14:paraId="12CCEEAF"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$ 261</w:t>
            </w:r>
          </w:p>
        </w:tc>
        <w:tc>
          <w:tcPr>
            <w:tcW w:w="1289" w:type="dxa"/>
            <w:shd w:val="clear" w:color="000000" w:fill="F2F2F2"/>
            <w:noWrap/>
            <w:vAlign w:val="center"/>
            <w:hideMark/>
          </w:tcPr>
          <w:p w14:paraId="5AED764E"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$ 6.260.112</w:t>
            </w:r>
          </w:p>
        </w:tc>
      </w:tr>
      <w:tr w:rsidR="00382869" w:rsidRPr="00053706" w14:paraId="582A64D0" w14:textId="77777777" w:rsidTr="009A29B8">
        <w:trPr>
          <w:trHeight w:val="277"/>
        </w:trPr>
        <w:tc>
          <w:tcPr>
            <w:tcW w:w="407" w:type="dxa"/>
            <w:shd w:val="clear" w:color="000000" w:fill="F2F2F2"/>
            <w:noWrap/>
            <w:vAlign w:val="center"/>
            <w:hideMark/>
          </w:tcPr>
          <w:p w14:paraId="58BB38FB" w14:textId="77777777" w:rsidR="00382869" w:rsidRPr="00053706" w:rsidRDefault="00382869" w:rsidP="00D22441">
            <w:pPr>
              <w:jc w:val="center"/>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70</w:t>
            </w:r>
          </w:p>
        </w:tc>
        <w:tc>
          <w:tcPr>
            <w:tcW w:w="585" w:type="dxa"/>
            <w:shd w:val="clear" w:color="000000" w:fill="F2F2F2"/>
            <w:noWrap/>
            <w:vAlign w:val="center"/>
            <w:hideMark/>
          </w:tcPr>
          <w:p w14:paraId="2185D6F8"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31152</w:t>
            </w:r>
          </w:p>
        </w:tc>
        <w:tc>
          <w:tcPr>
            <w:tcW w:w="941" w:type="dxa"/>
            <w:shd w:val="clear" w:color="000000" w:fill="F2F2F2"/>
            <w:noWrap/>
            <w:vAlign w:val="center"/>
            <w:hideMark/>
          </w:tcPr>
          <w:p w14:paraId="26949D25"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900308744</w:t>
            </w:r>
          </w:p>
        </w:tc>
        <w:tc>
          <w:tcPr>
            <w:tcW w:w="3533" w:type="dxa"/>
            <w:shd w:val="clear" w:color="000000" w:fill="F2F2F2"/>
            <w:vAlign w:val="center"/>
            <w:hideMark/>
          </w:tcPr>
          <w:p w14:paraId="2E5D5EFF" w14:textId="77777777" w:rsidR="00382869" w:rsidRPr="00053706" w:rsidRDefault="00382869" w:rsidP="00D22441">
            <w:pPr>
              <w:jc w:val="lef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GECELCA 3 S.A.S. E.S.P.</w:t>
            </w:r>
          </w:p>
        </w:tc>
        <w:tc>
          <w:tcPr>
            <w:tcW w:w="1520" w:type="dxa"/>
            <w:shd w:val="clear" w:color="000000" w:fill="F2F2F2"/>
            <w:noWrap/>
            <w:vAlign w:val="center"/>
            <w:hideMark/>
          </w:tcPr>
          <w:p w14:paraId="4F122C36"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$ 353.000.000</w:t>
            </w:r>
          </w:p>
        </w:tc>
        <w:tc>
          <w:tcPr>
            <w:tcW w:w="1360" w:type="dxa"/>
            <w:shd w:val="clear" w:color="000000" w:fill="F2F2F2"/>
            <w:noWrap/>
            <w:vAlign w:val="center"/>
            <w:hideMark/>
          </w:tcPr>
          <w:p w14:paraId="0736E9B7"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$ 2.093.217.302</w:t>
            </w:r>
          </w:p>
        </w:tc>
        <w:tc>
          <w:tcPr>
            <w:tcW w:w="1520" w:type="dxa"/>
            <w:shd w:val="clear" w:color="000000" w:fill="F2F2F2"/>
            <w:noWrap/>
            <w:vAlign w:val="center"/>
            <w:hideMark/>
          </w:tcPr>
          <w:p w14:paraId="60B0B9A4"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$ 2.446.217.302</w:t>
            </w:r>
          </w:p>
        </w:tc>
        <w:tc>
          <w:tcPr>
            <w:tcW w:w="1200" w:type="dxa"/>
            <w:shd w:val="clear" w:color="000000" w:fill="F2F2F2"/>
            <w:noWrap/>
            <w:vAlign w:val="center"/>
            <w:hideMark/>
          </w:tcPr>
          <w:p w14:paraId="76CEB033"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$ 24.462.173</w:t>
            </w:r>
          </w:p>
        </w:tc>
        <w:tc>
          <w:tcPr>
            <w:tcW w:w="1200" w:type="dxa"/>
            <w:shd w:val="clear" w:color="000000" w:fill="F2F2F2"/>
            <w:noWrap/>
            <w:vAlign w:val="center"/>
            <w:hideMark/>
          </w:tcPr>
          <w:p w14:paraId="724A9CBF"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$ 1.018</w:t>
            </w:r>
          </w:p>
        </w:tc>
        <w:tc>
          <w:tcPr>
            <w:tcW w:w="1289" w:type="dxa"/>
            <w:shd w:val="clear" w:color="000000" w:fill="F2F2F2"/>
            <w:noWrap/>
            <w:vAlign w:val="center"/>
            <w:hideMark/>
          </w:tcPr>
          <w:p w14:paraId="336C2DEB"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$ 24.463.191</w:t>
            </w:r>
          </w:p>
        </w:tc>
      </w:tr>
      <w:tr w:rsidR="00382869" w:rsidRPr="00053706" w14:paraId="1472D61D" w14:textId="77777777" w:rsidTr="00053706">
        <w:trPr>
          <w:trHeight w:val="221"/>
        </w:trPr>
        <w:tc>
          <w:tcPr>
            <w:tcW w:w="407" w:type="dxa"/>
            <w:shd w:val="clear" w:color="000000" w:fill="F2F2F2"/>
            <w:noWrap/>
            <w:vAlign w:val="center"/>
            <w:hideMark/>
          </w:tcPr>
          <w:p w14:paraId="6D6A7499" w14:textId="77777777" w:rsidR="00382869" w:rsidRPr="00053706" w:rsidRDefault="00382869" w:rsidP="00D22441">
            <w:pPr>
              <w:jc w:val="center"/>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71</w:t>
            </w:r>
          </w:p>
        </w:tc>
        <w:tc>
          <w:tcPr>
            <w:tcW w:w="585" w:type="dxa"/>
            <w:shd w:val="clear" w:color="000000" w:fill="F2F2F2"/>
            <w:noWrap/>
            <w:vAlign w:val="center"/>
            <w:hideMark/>
          </w:tcPr>
          <w:p w14:paraId="28080725"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30951</w:t>
            </w:r>
          </w:p>
        </w:tc>
        <w:tc>
          <w:tcPr>
            <w:tcW w:w="941" w:type="dxa"/>
            <w:shd w:val="clear" w:color="000000" w:fill="F2F2F2"/>
            <w:noWrap/>
            <w:vAlign w:val="center"/>
            <w:hideMark/>
          </w:tcPr>
          <w:p w14:paraId="5706F021"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900325920</w:t>
            </w:r>
          </w:p>
        </w:tc>
        <w:tc>
          <w:tcPr>
            <w:tcW w:w="3533" w:type="dxa"/>
            <w:shd w:val="clear" w:color="000000" w:fill="F2F2F2"/>
            <w:vAlign w:val="center"/>
            <w:hideMark/>
          </w:tcPr>
          <w:p w14:paraId="40370C16" w14:textId="77777777" w:rsidR="00382869" w:rsidRPr="00053706" w:rsidRDefault="00382869" w:rsidP="00D22441">
            <w:pPr>
              <w:jc w:val="lef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AGENTE EXPERTO EN SERVICIOS PUBLICOS SA ESP</w:t>
            </w:r>
          </w:p>
        </w:tc>
        <w:tc>
          <w:tcPr>
            <w:tcW w:w="1520" w:type="dxa"/>
            <w:shd w:val="clear" w:color="000000" w:fill="F2F2F2"/>
            <w:noWrap/>
            <w:vAlign w:val="center"/>
            <w:hideMark/>
          </w:tcPr>
          <w:p w14:paraId="1AD789A0"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$ 605.764.000</w:t>
            </w:r>
          </w:p>
        </w:tc>
        <w:tc>
          <w:tcPr>
            <w:tcW w:w="1360" w:type="dxa"/>
            <w:shd w:val="clear" w:color="000000" w:fill="F2F2F2"/>
            <w:noWrap/>
            <w:vAlign w:val="center"/>
            <w:hideMark/>
          </w:tcPr>
          <w:p w14:paraId="59C78C99"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$ 26.348.534</w:t>
            </w:r>
          </w:p>
        </w:tc>
        <w:tc>
          <w:tcPr>
            <w:tcW w:w="1520" w:type="dxa"/>
            <w:shd w:val="clear" w:color="000000" w:fill="F2F2F2"/>
            <w:noWrap/>
            <w:vAlign w:val="center"/>
            <w:hideMark/>
          </w:tcPr>
          <w:p w14:paraId="5769C2BD"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$ 632.112.534</w:t>
            </w:r>
          </w:p>
        </w:tc>
        <w:tc>
          <w:tcPr>
            <w:tcW w:w="1200" w:type="dxa"/>
            <w:shd w:val="clear" w:color="000000" w:fill="F2F2F2"/>
            <w:noWrap/>
            <w:vAlign w:val="center"/>
            <w:hideMark/>
          </w:tcPr>
          <w:p w14:paraId="0F60C1DA"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$ 6.321.125</w:t>
            </w:r>
          </w:p>
        </w:tc>
        <w:tc>
          <w:tcPr>
            <w:tcW w:w="1200" w:type="dxa"/>
            <w:shd w:val="clear" w:color="000000" w:fill="F2F2F2"/>
            <w:noWrap/>
            <w:vAlign w:val="center"/>
            <w:hideMark/>
          </w:tcPr>
          <w:p w14:paraId="0DF97EF9"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$ 263</w:t>
            </w:r>
          </w:p>
        </w:tc>
        <w:tc>
          <w:tcPr>
            <w:tcW w:w="1289" w:type="dxa"/>
            <w:shd w:val="clear" w:color="000000" w:fill="F2F2F2"/>
            <w:noWrap/>
            <w:vAlign w:val="center"/>
            <w:hideMark/>
          </w:tcPr>
          <w:p w14:paraId="3788C177"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$ 6.321.388</w:t>
            </w:r>
          </w:p>
        </w:tc>
      </w:tr>
      <w:tr w:rsidR="00382869" w:rsidRPr="00053706" w14:paraId="0F13F264" w14:textId="77777777" w:rsidTr="009A29B8">
        <w:trPr>
          <w:trHeight w:val="345"/>
        </w:trPr>
        <w:tc>
          <w:tcPr>
            <w:tcW w:w="407" w:type="dxa"/>
            <w:shd w:val="clear" w:color="000000" w:fill="F2F2F2"/>
            <w:noWrap/>
            <w:vAlign w:val="center"/>
            <w:hideMark/>
          </w:tcPr>
          <w:p w14:paraId="148CCEE2" w14:textId="77777777" w:rsidR="00382869" w:rsidRPr="00053706" w:rsidRDefault="00382869" w:rsidP="00D22441">
            <w:pPr>
              <w:jc w:val="center"/>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72</w:t>
            </w:r>
          </w:p>
        </w:tc>
        <w:tc>
          <w:tcPr>
            <w:tcW w:w="585" w:type="dxa"/>
            <w:shd w:val="clear" w:color="000000" w:fill="F2F2F2"/>
            <w:noWrap/>
            <w:vAlign w:val="center"/>
            <w:hideMark/>
          </w:tcPr>
          <w:p w14:paraId="78E97E5A"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37814</w:t>
            </w:r>
          </w:p>
        </w:tc>
        <w:tc>
          <w:tcPr>
            <w:tcW w:w="941" w:type="dxa"/>
            <w:shd w:val="clear" w:color="000000" w:fill="F2F2F2"/>
            <w:noWrap/>
            <w:vAlign w:val="center"/>
            <w:hideMark/>
          </w:tcPr>
          <w:p w14:paraId="30A14320"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900334431</w:t>
            </w:r>
          </w:p>
        </w:tc>
        <w:tc>
          <w:tcPr>
            <w:tcW w:w="3533" w:type="dxa"/>
            <w:shd w:val="clear" w:color="000000" w:fill="F2F2F2"/>
            <w:vAlign w:val="center"/>
            <w:hideMark/>
          </w:tcPr>
          <w:p w14:paraId="3598E2FD" w14:textId="77777777" w:rsidR="00382869" w:rsidRPr="00053706" w:rsidRDefault="00382869" w:rsidP="00D22441">
            <w:pPr>
              <w:jc w:val="lef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TERMONORTE SAS ESP</w:t>
            </w:r>
          </w:p>
        </w:tc>
        <w:tc>
          <w:tcPr>
            <w:tcW w:w="1520" w:type="dxa"/>
            <w:shd w:val="clear" w:color="000000" w:fill="F2F2F2"/>
            <w:noWrap/>
            <w:vAlign w:val="center"/>
            <w:hideMark/>
          </w:tcPr>
          <w:p w14:paraId="4548DEE0"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$ 16.222.430.000</w:t>
            </w:r>
          </w:p>
        </w:tc>
        <w:tc>
          <w:tcPr>
            <w:tcW w:w="1360" w:type="dxa"/>
            <w:shd w:val="clear" w:color="000000" w:fill="F2F2F2"/>
            <w:noWrap/>
            <w:vAlign w:val="center"/>
            <w:hideMark/>
          </w:tcPr>
          <w:p w14:paraId="179AFE7C"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$ 1.142.304.732</w:t>
            </w:r>
          </w:p>
        </w:tc>
        <w:tc>
          <w:tcPr>
            <w:tcW w:w="1520" w:type="dxa"/>
            <w:shd w:val="clear" w:color="000000" w:fill="F2F2F2"/>
            <w:noWrap/>
            <w:vAlign w:val="center"/>
            <w:hideMark/>
          </w:tcPr>
          <w:p w14:paraId="30219CFC"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$ 17.364.734.732</w:t>
            </w:r>
          </w:p>
        </w:tc>
        <w:tc>
          <w:tcPr>
            <w:tcW w:w="1200" w:type="dxa"/>
            <w:shd w:val="clear" w:color="000000" w:fill="F2F2F2"/>
            <w:noWrap/>
            <w:vAlign w:val="center"/>
            <w:hideMark/>
          </w:tcPr>
          <w:p w14:paraId="14904365"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$ 173.647.347</w:t>
            </w:r>
          </w:p>
        </w:tc>
        <w:tc>
          <w:tcPr>
            <w:tcW w:w="1200" w:type="dxa"/>
            <w:shd w:val="clear" w:color="000000" w:fill="F2F2F2"/>
            <w:noWrap/>
            <w:vAlign w:val="center"/>
            <w:hideMark/>
          </w:tcPr>
          <w:p w14:paraId="7D7636FB"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$ 7.227</w:t>
            </w:r>
          </w:p>
        </w:tc>
        <w:tc>
          <w:tcPr>
            <w:tcW w:w="1289" w:type="dxa"/>
            <w:shd w:val="clear" w:color="000000" w:fill="F2F2F2"/>
            <w:noWrap/>
            <w:vAlign w:val="center"/>
            <w:hideMark/>
          </w:tcPr>
          <w:p w14:paraId="3B282B5A"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$ 173.654.574</w:t>
            </w:r>
          </w:p>
        </w:tc>
      </w:tr>
      <w:tr w:rsidR="00382869" w:rsidRPr="00053706" w14:paraId="773AD3FA" w14:textId="77777777" w:rsidTr="009A29B8">
        <w:trPr>
          <w:trHeight w:val="281"/>
        </w:trPr>
        <w:tc>
          <w:tcPr>
            <w:tcW w:w="407" w:type="dxa"/>
            <w:shd w:val="clear" w:color="000000" w:fill="F2F2F2"/>
            <w:noWrap/>
            <w:vAlign w:val="center"/>
            <w:hideMark/>
          </w:tcPr>
          <w:p w14:paraId="0B469FE0" w14:textId="77777777" w:rsidR="00382869" w:rsidRPr="00053706" w:rsidRDefault="00382869" w:rsidP="00D22441">
            <w:pPr>
              <w:jc w:val="center"/>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73</w:t>
            </w:r>
          </w:p>
        </w:tc>
        <w:tc>
          <w:tcPr>
            <w:tcW w:w="585" w:type="dxa"/>
            <w:shd w:val="clear" w:color="000000" w:fill="F2F2F2"/>
            <w:noWrap/>
            <w:vAlign w:val="center"/>
            <w:hideMark/>
          </w:tcPr>
          <w:p w14:paraId="2F701B09"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23430</w:t>
            </w:r>
          </w:p>
        </w:tc>
        <w:tc>
          <w:tcPr>
            <w:tcW w:w="941" w:type="dxa"/>
            <w:shd w:val="clear" w:color="000000" w:fill="F2F2F2"/>
            <w:noWrap/>
            <w:vAlign w:val="center"/>
            <w:hideMark/>
          </w:tcPr>
          <w:p w14:paraId="7AC9E6C2"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900339174</w:t>
            </w:r>
          </w:p>
        </w:tc>
        <w:tc>
          <w:tcPr>
            <w:tcW w:w="3533" w:type="dxa"/>
            <w:shd w:val="clear" w:color="000000" w:fill="F2F2F2"/>
            <w:vAlign w:val="center"/>
            <w:hideMark/>
          </w:tcPr>
          <w:p w14:paraId="2EA68D0D" w14:textId="77777777" w:rsidR="00382869" w:rsidRPr="00053706" w:rsidRDefault="00382869" w:rsidP="00D22441">
            <w:pPr>
              <w:jc w:val="lef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ENERGIA PARA EL AMAZONAS S.A. ESP</w:t>
            </w:r>
          </w:p>
        </w:tc>
        <w:tc>
          <w:tcPr>
            <w:tcW w:w="1520" w:type="dxa"/>
            <w:shd w:val="clear" w:color="000000" w:fill="F2F2F2"/>
            <w:noWrap/>
            <w:vAlign w:val="center"/>
            <w:hideMark/>
          </w:tcPr>
          <w:p w14:paraId="467DE6D7"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$ 1.853.012.000</w:t>
            </w:r>
          </w:p>
        </w:tc>
        <w:tc>
          <w:tcPr>
            <w:tcW w:w="1360" w:type="dxa"/>
            <w:shd w:val="clear" w:color="000000" w:fill="F2F2F2"/>
            <w:noWrap/>
            <w:vAlign w:val="center"/>
            <w:hideMark/>
          </w:tcPr>
          <w:p w14:paraId="670DAC02"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$ 283.189.272</w:t>
            </w:r>
          </w:p>
        </w:tc>
        <w:tc>
          <w:tcPr>
            <w:tcW w:w="1520" w:type="dxa"/>
            <w:shd w:val="clear" w:color="000000" w:fill="F2F2F2"/>
            <w:noWrap/>
            <w:vAlign w:val="center"/>
            <w:hideMark/>
          </w:tcPr>
          <w:p w14:paraId="128CA3C4"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$ 2.136.201.272</w:t>
            </w:r>
          </w:p>
        </w:tc>
        <w:tc>
          <w:tcPr>
            <w:tcW w:w="1200" w:type="dxa"/>
            <w:shd w:val="clear" w:color="000000" w:fill="F2F2F2"/>
            <w:noWrap/>
            <w:vAlign w:val="center"/>
            <w:hideMark/>
          </w:tcPr>
          <w:p w14:paraId="38736447"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$ 21.362.013</w:t>
            </w:r>
          </w:p>
        </w:tc>
        <w:tc>
          <w:tcPr>
            <w:tcW w:w="1200" w:type="dxa"/>
            <w:shd w:val="clear" w:color="000000" w:fill="F2F2F2"/>
            <w:noWrap/>
            <w:vAlign w:val="center"/>
            <w:hideMark/>
          </w:tcPr>
          <w:p w14:paraId="3DDADBF9"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$ 889</w:t>
            </w:r>
          </w:p>
        </w:tc>
        <w:tc>
          <w:tcPr>
            <w:tcW w:w="1289" w:type="dxa"/>
            <w:shd w:val="clear" w:color="000000" w:fill="F2F2F2"/>
            <w:noWrap/>
            <w:vAlign w:val="center"/>
            <w:hideMark/>
          </w:tcPr>
          <w:p w14:paraId="1035B3AE"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$ 21.362.902</w:t>
            </w:r>
          </w:p>
        </w:tc>
      </w:tr>
      <w:tr w:rsidR="00382869" w:rsidRPr="00053706" w14:paraId="37BEB28E" w14:textId="77777777" w:rsidTr="009A29B8">
        <w:trPr>
          <w:trHeight w:val="255"/>
        </w:trPr>
        <w:tc>
          <w:tcPr>
            <w:tcW w:w="407" w:type="dxa"/>
            <w:shd w:val="clear" w:color="000000" w:fill="F2F2F2"/>
            <w:noWrap/>
            <w:vAlign w:val="center"/>
            <w:hideMark/>
          </w:tcPr>
          <w:p w14:paraId="26E31FBF" w14:textId="77777777" w:rsidR="00382869" w:rsidRPr="00053706" w:rsidRDefault="00382869" w:rsidP="00D22441">
            <w:pPr>
              <w:jc w:val="center"/>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74</w:t>
            </w:r>
          </w:p>
        </w:tc>
        <w:tc>
          <w:tcPr>
            <w:tcW w:w="585" w:type="dxa"/>
            <w:shd w:val="clear" w:color="000000" w:fill="F2F2F2"/>
            <w:noWrap/>
            <w:vAlign w:val="center"/>
            <w:hideMark/>
          </w:tcPr>
          <w:p w14:paraId="7245BB06"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23330</w:t>
            </w:r>
          </w:p>
        </w:tc>
        <w:tc>
          <w:tcPr>
            <w:tcW w:w="941" w:type="dxa"/>
            <w:shd w:val="clear" w:color="000000" w:fill="F2F2F2"/>
            <w:noWrap/>
            <w:vAlign w:val="center"/>
            <w:hideMark/>
          </w:tcPr>
          <w:p w14:paraId="7824D0CF"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900341483</w:t>
            </w:r>
          </w:p>
        </w:tc>
        <w:tc>
          <w:tcPr>
            <w:tcW w:w="3533" w:type="dxa"/>
            <w:shd w:val="clear" w:color="000000" w:fill="F2F2F2"/>
            <w:vAlign w:val="center"/>
            <w:hideMark/>
          </w:tcPr>
          <w:p w14:paraId="376B8A50" w14:textId="071FD4C7" w:rsidR="00382869" w:rsidRPr="00053706" w:rsidRDefault="00382869" w:rsidP="00D22441">
            <w:pPr>
              <w:jc w:val="lef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PROFESIONALES EN ENERGÍA S.A E.S.P</w:t>
            </w:r>
            <w:r w:rsidR="008722A6" w:rsidRPr="00053706">
              <w:rPr>
                <w:rFonts w:ascii="Arial Narrow" w:hAnsi="Arial Narrow" w:cs="Arial"/>
                <w:color w:val="000000"/>
                <w:spacing w:val="0"/>
                <w:sz w:val="16"/>
                <w:szCs w:val="16"/>
                <w:lang w:eastAsia="es-CO"/>
              </w:rPr>
              <w:t>.</w:t>
            </w:r>
          </w:p>
        </w:tc>
        <w:tc>
          <w:tcPr>
            <w:tcW w:w="1520" w:type="dxa"/>
            <w:shd w:val="clear" w:color="000000" w:fill="F2F2F2"/>
            <w:noWrap/>
            <w:vAlign w:val="center"/>
            <w:hideMark/>
          </w:tcPr>
          <w:p w14:paraId="33A5F54E"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$ 1.458.839.000</w:t>
            </w:r>
          </w:p>
        </w:tc>
        <w:tc>
          <w:tcPr>
            <w:tcW w:w="1360" w:type="dxa"/>
            <w:shd w:val="clear" w:color="000000" w:fill="F2F2F2"/>
            <w:noWrap/>
            <w:vAlign w:val="center"/>
            <w:hideMark/>
          </w:tcPr>
          <w:p w14:paraId="00C08DCD"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$ 659.967.814</w:t>
            </w:r>
          </w:p>
        </w:tc>
        <w:tc>
          <w:tcPr>
            <w:tcW w:w="1520" w:type="dxa"/>
            <w:shd w:val="clear" w:color="000000" w:fill="F2F2F2"/>
            <w:noWrap/>
            <w:vAlign w:val="center"/>
            <w:hideMark/>
          </w:tcPr>
          <w:p w14:paraId="760CAA7D"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$ 2.118.806.814</w:t>
            </w:r>
          </w:p>
        </w:tc>
        <w:tc>
          <w:tcPr>
            <w:tcW w:w="1200" w:type="dxa"/>
            <w:shd w:val="clear" w:color="000000" w:fill="F2F2F2"/>
            <w:noWrap/>
            <w:vAlign w:val="center"/>
            <w:hideMark/>
          </w:tcPr>
          <w:p w14:paraId="5EF58661"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$ 21.188.068</w:t>
            </w:r>
          </w:p>
        </w:tc>
        <w:tc>
          <w:tcPr>
            <w:tcW w:w="1200" w:type="dxa"/>
            <w:shd w:val="clear" w:color="000000" w:fill="F2F2F2"/>
            <w:noWrap/>
            <w:vAlign w:val="center"/>
            <w:hideMark/>
          </w:tcPr>
          <w:p w14:paraId="0C311E1E"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$ 882</w:t>
            </w:r>
          </w:p>
        </w:tc>
        <w:tc>
          <w:tcPr>
            <w:tcW w:w="1289" w:type="dxa"/>
            <w:shd w:val="clear" w:color="000000" w:fill="F2F2F2"/>
            <w:noWrap/>
            <w:vAlign w:val="center"/>
            <w:hideMark/>
          </w:tcPr>
          <w:p w14:paraId="535D276F"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$ 21.188.950</w:t>
            </w:r>
          </w:p>
        </w:tc>
      </w:tr>
      <w:tr w:rsidR="00382869" w:rsidRPr="00053706" w14:paraId="64C0C2A5" w14:textId="77777777" w:rsidTr="009A29B8">
        <w:trPr>
          <w:trHeight w:val="258"/>
        </w:trPr>
        <w:tc>
          <w:tcPr>
            <w:tcW w:w="407" w:type="dxa"/>
            <w:shd w:val="clear" w:color="000000" w:fill="F2F2F2"/>
            <w:noWrap/>
            <w:vAlign w:val="center"/>
            <w:hideMark/>
          </w:tcPr>
          <w:p w14:paraId="29D4B446" w14:textId="77777777" w:rsidR="00382869" w:rsidRPr="00053706" w:rsidRDefault="00382869" w:rsidP="00D22441">
            <w:pPr>
              <w:jc w:val="center"/>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75</w:t>
            </w:r>
          </w:p>
        </w:tc>
        <w:tc>
          <w:tcPr>
            <w:tcW w:w="585" w:type="dxa"/>
            <w:shd w:val="clear" w:color="000000" w:fill="F2F2F2"/>
            <w:noWrap/>
            <w:vAlign w:val="center"/>
            <w:hideMark/>
          </w:tcPr>
          <w:p w14:paraId="6014AE3B"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26559</w:t>
            </w:r>
          </w:p>
        </w:tc>
        <w:tc>
          <w:tcPr>
            <w:tcW w:w="941" w:type="dxa"/>
            <w:shd w:val="clear" w:color="000000" w:fill="F2F2F2"/>
            <w:noWrap/>
            <w:vAlign w:val="center"/>
            <w:hideMark/>
          </w:tcPr>
          <w:p w14:paraId="146CEE3E"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900344208</w:t>
            </w:r>
          </w:p>
        </w:tc>
        <w:tc>
          <w:tcPr>
            <w:tcW w:w="3533" w:type="dxa"/>
            <w:shd w:val="clear" w:color="000000" w:fill="F2F2F2"/>
            <w:vAlign w:val="center"/>
            <w:hideMark/>
          </w:tcPr>
          <w:p w14:paraId="31FC8E13" w14:textId="77777777" w:rsidR="00382869" w:rsidRPr="00053706" w:rsidRDefault="00382869" w:rsidP="00D22441">
            <w:pPr>
              <w:jc w:val="lef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IA ENERGIA Y GESTION S.A.S. E.S.P.</w:t>
            </w:r>
          </w:p>
        </w:tc>
        <w:tc>
          <w:tcPr>
            <w:tcW w:w="1520" w:type="dxa"/>
            <w:shd w:val="clear" w:color="000000" w:fill="F2F2F2"/>
            <w:noWrap/>
            <w:vAlign w:val="center"/>
            <w:hideMark/>
          </w:tcPr>
          <w:p w14:paraId="40E348AB"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$ 1.045.130.000</w:t>
            </w:r>
          </w:p>
        </w:tc>
        <w:tc>
          <w:tcPr>
            <w:tcW w:w="1360" w:type="dxa"/>
            <w:shd w:val="clear" w:color="000000" w:fill="F2F2F2"/>
            <w:noWrap/>
            <w:vAlign w:val="center"/>
            <w:hideMark/>
          </w:tcPr>
          <w:p w14:paraId="6A6792D3"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$ 357.764.192</w:t>
            </w:r>
          </w:p>
        </w:tc>
        <w:tc>
          <w:tcPr>
            <w:tcW w:w="1520" w:type="dxa"/>
            <w:shd w:val="clear" w:color="000000" w:fill="F2F2F2"/>
            <w:noWrap/>
            <w:vAlign w:val="center"/>
            <w:hideMark/>
          </w:tcPr>
          <w:p w14:paraId="2278862A"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$ 1.402.894.192</w:t>
            </w:r>
          </w:p>
        </w:tc>
        <w:tc>
          <w:tcPr>
            <w:tcW w:w="1200" w:type="dxa"/>
            <w:shd w:val="clear" w:color="000000" w:fill="F2F2F2"/>
            <w:noWrap/>
            <w:vAlign w:val="center"/>
            <w:hideMark/>
          </w:tcPr>
          <w:p w14:paraId="04BFC71D"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$ 14.028.942</w:t>
            </w:r>
          </w:p>
        </w:tc>
        <w:tc>
          <w:tcPr>
            <w:tcW w:w="1200" w:type="dxa"/>
            <w:shd w:val="clear" w:color="000000" w:fill="F2F2F2"/>
            <w:noWrap/>
            <w:vAlign w:val="center"/>
            <w:hideMark/>
          </w:tcPr>
          <w:p w14:paraId="4C464C72"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$ 584</w:t>
            </w:r>
          </w:p>
        </w:tc>
        <w:tc>
          <w:tcPr>
            <w:tcW w:w="1289" w:type="dxa"/>
            <w:shd w:val="clear" w:color="000000" w:fill="F2F2F2"/>
            <w:noWrap/>
            <w:vAlign w:val="center"/>
            <w:hideMark/>
          </w:tcPr>
          <w:p w14:paraId="3FEF91FF"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$ 14.029.526</w:t>
            </w:r>
          </w:p>
        </w:tc>
      </w:tr>
      <w:tr w:rsidR="00382869" w:rsidRPr="00053706" w14:paraId="44A8CDD1" w14:textId="77777777" w:rsidTr="009A29B8">
        <w:trPr>
          <w:trHeight w:val="465"/>
        </w:trPr>
        <w:tc>
          <w:tcPr>
            <w:tcW w:w="407" w:type="dxa"/>
            <w:shd w:val="clear" w:color="000000" w:fill="F2F2F2"/>
            <w:noWrap/>
            <w:vAlign w:val="center"/>
            <w:hideMark/>
          </w:tcPr>
          <w:p w14:paraId="51F81A11" w14:textId="77777777" w:rsidR="00382869" w:rsidRPr="00053706" w:rsidRDefault="00382869" w:rsidP="00D22441">
            <w:pPr>
              <w:jc w:val="center"/>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76</w:t>
            </w:r>
          </w:p>
        </w:tc>
        <w:tc>
          <w:tcPr>
            <w:tcW w:w="585" w:type="dxa"/>
            <w:shd w:val="clear" w:color="000000" w:fill="F2F2F2"/>
            <w:noWrap/>
            <w:vAlign w:val="center"/>
            <w:hideMark/>
          </w:tcPr>
          <w:p w14:paraId="360CEE1F"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23423</w:t>
            </w:r>
          </w:p>
        </w:tc>
        <w:tc>
          <w:tcPr>
            <w:tcW w:w="941" w:type="dxa"/>
            <w:shd w:val="clear" w:color="000000" w:fill="F2F2F2"/>
            <w:noWrap/>
            <w:vAlign w:val="center"/>
            <w:hideMark/>
          </w:tcPr>
          <w:p w14:paraId="2917DCFA"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900352055</w:t>
            </w:r>
          </w:p>
        </w:tc>
        <w:tc>
          <w:tcPr>
            <w:tcW w:w="3533" w:type="dxa"/>
            <w:shd w:val="clear" w:color="000000" w:fill="F2F2F2"/>
            <w:vAlign w:val="center"/>
            <w:hideMark/>
          </w:tcPr>
          <w:p w14:paraId="138521C3" w14:textId="77777777" w:rsidR="00382869" w:rsidRPr="00053706" w:rsidRDefault="00382869" w:rsidP="00D22441">
            <w:pPr>
              <w:jc w:val="lef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EMPRESA ASOCIATIVA DE TRABAJO ENERGIA DEL SUR</w:t>
            </w:r>
          </w:p>
        </w:tc>
        <w:tc>
          <w:tcPr>
            <w:tcW w:w="1520" w:type="dxa"/>
            <w:shd w:val="clear" w:color="000000" w:fill="F2F2F2"/>
            <w:noWrap/>
            <w:vAlign w:val="center"/>
            <w:hideMark/>
          </w:tcPr>
          <w:p w14:paraId="756CFF7E"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$ 319.177.000</w:t>
            </w:r>
          </w:p>
        </w:tc>
        <w:tc>
          <w:tcPr>
            <w:tcW w:w="1360" w:type="dxa"/>
            <w:shd w:val="clear" w:color="000000" w:fill="F2F2F2"/>
            <w:noWrap/>
            <w:vAlign w:val="center"/>
            <w:hideMark/>
          </w:tcPr>
          <w:p w14:paraId="719273D1"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$ 15.259.728</w:t>
            </w:r>
          </w:p>
        </w:tc>
        <w:tc>
          <w:tcPr>
            <w:tcW w:w="1520" w:type="dxa"/>
            <w:shd w:val="clear" w:color="000000" w:fill="F2F2F2"/>
            <w:noWrap/>
            <w:vAlign w:val="center"/>
            <w:hideMark/>
          </w:tcPr>
          <w:p w14:paraId="1A71FA43"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$ 334.436.728</w:t>
            </w:r>
          </w:p>
        </w:tc>
        <w:tc>
          <w:tcPr>
            <w:tcW w:w="1200" w:type="dxa"/>
            <w:shd w:val="clear" w:color="000000" w:fill="F2F2F2"/>
            <w:noWrap/>
            <w:vAlign w:val="center"/>
            <w:hideMark/>
          </w:tcPr>
          <w:p w14:paraId="219A8E05"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$ 3.344.367</w:t>
            </w:r>
          </w:p>
        </w:tc>
        <w:tc>
          <w:tcPr>
            <w:tcW w:w="1200" w:type="dxa"/>
            <w:shd w:val="clear" w:color="000000" w:fill="F2F2F2"/>
            <w:noWrap/>
            <w:vAlign w:val="center"/>
            <w:hideMark/>
          </w:tcPr>
          <w:p w14:paraId="414719B4"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$ 139</w:t>
            </w:r>
          </w:p>
        </w:tc>
        <w:tc>
          <w:tcPr>
            <w:tcW w:w="1289" w:type="dxa"/>
            <w:shd w:val="clear" w:color="000000" w:fill="F2F2F2"/>
            <w:noWrap/>
            <w:vAlign w:val="center"/>
            <w:hideMark/>
          </w:tcPr>
          <w:p w14:paraId="5FB1D798"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$ 3.344.506</w:t>
            </w:r>
          </w:p>
        </w:tc>
      </w:tr>
      <w:tr w:rsidR="00382869" w:rsidRPr="00053706" w14:paraId="3C22FDA6" w14:textId="77777777" w:rsidTr="009A29B8">
        <w:trPr>
          <w:trHeight w:val="284"/>
        </w:trPr>
        <w:tc>
          <w:tcPr>
            <w:tcW w:w="407" w:type="dxa"/>
            <w:shd w:val="clear" w:color="000000" w:fill="F2F2F2"/>
            <w:noWrap/>
            <w:vAlign w:val="center"/>
            <w:hideMark/>
          </w:tcPr>
          <w:p w14:paraId="1AEC9E79" w14:textId="77777777" w:rsidR="00382869" w:rsidRPr="00053706" w:rsidRDefault="00382869" w:rsidP="00D22441">
            <w:pPr>
              <w:jc w:val="center"/>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77</w:t>
            </w:r>
          </w:p>
        </w:tc>
        <w:tc>
          <w:tcPr>
            <w:tcW w:w="585" w:type="dxa"/>
            <w:shd w:val="clear" w:color="000000" w:fill="F2F2F2"/>
            <w:noWrap/>
            <w:vAlign w:val="center"/>
            <w:hideMark/>
          </w:tcPr>
          <w:p w14:paraId="02884FBE"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24838</w:t>
            </w:r>
          </w:p>
        </w:tc>
        <w:tc>
          <w:tcPr>
            <w:tcW w:w="941" w:type="dxa"/>
            <w:shd w:val="clear" w:color="000000" w:fill="F2F2F2"/>
            <w:noWrap/>
            <w:vAlign w:val="center"/>
            <w:hideMark/>
          </w:tcPr>
          <w:p w14:paraId="4267DFF3"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900358272</w:t>
            </w:r>
          </w:p>
        </w:tc>
        <w:tc>
          <w:tcPr>
            <w:tcW w:w="3533" w:type="dxa"/>
            <w:shd w:val="clear" w:color="000000" w:fill="F2F2F2"/>
            <w:vAlign w:val="center"/>
            <w:hideMark/>
          </w:tcPr>
          <w:p w14:paraId="26074266" w14:textId="77777777" w:rsidR="00382869" w:rsidRPr="00053706" w:rsidRDefault="00382869" w:rsidP="00D22441">
            <w:pPr>
              <w:jc w:val="lef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HZ ENERGY S.A.S. E.S.P.</w:t>
            </w:r>
          </w:p>
        </w:tc>
        <w:tc>
          <w:tcPr>
            <w:tcW w:w="1520" w:type="dxa"/>
            <w:shd w:val="clear" w:color="000000" w:fill="F2F2F2"/>
            <w:noWrap/>
            <w:vAlign w:val="center"/>
            <w:hideMark/>
          </w:tcPr>
          <w:p w14:paraId="7F8B1AB8"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$ 868.782.789</w:t>
            </w:r>
          </w:p>
        </w:tc>
        <w:tc>
          <w:tcPr>
            <w:tcW w:w="1360" w:type="dxa"/>
            <w:shd w:val="clear" w:color="000000" w:fill="F2F2F2"/>
            <w:noWrap/>
            <w:vAlign w:val="center"/>
            <w:hideMark/>
          </w:tcPr>
          <w:p w14:paraId="168CF29E"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$ 0</w:t>
            </w:r>
          </w:p>
        </w:tc>
        <w:tc>
          <w:tcPr>
            <w:tcW w:w="1520" w:type="dxa"/>
            <w:shd w:val="clear" w:color="000000" w:fill="F2F2F2"/>
            <w:noWrap/>
            <w:vAlign w:val="center"/>
            <w:hideMark/>
          </w:tcPr>
          <w:p w14:paraId="38444EEC"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$ 868.782.789</w:t>
            </w:r>
          </w:p>
        </w:tc>
        <w:tc>
          <w:tcPr>
            <w:tcW w:w="1200" w:type="dxa"/>
            <w:shd w:val="clear" w:color="000000" w:fill="F2F2F2"/>
            <w:noWrap/>
            <w:vAlign w:val="center"/>
            <w:hideMark/>
          </w:tcPr>
          <w:p w14:paraId="2F947E11"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$ 8.687.828</w:t>
            </w:r>
          </w:p>
        </w:tc>
        <w:tc>
          <w:tcPr>
            <w:tcW w:w="1200" w:type="dxa"/>
            <w:shd w:val="clear" w:color="000000" w:fill="F2F2F2"/>
            <w:noWrap/>
            <w:vAlign w:val="center"/>
            <w:hideMark/>
          </w:tcPr>
          <w:p w14:paraId="6EB50CD8"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$ 362</w:t>
            </w:r>
          </w:p>
        </w:tc>
        <w:tc>
          <w:tcPr>
            <w:tcW w:w="1289" w:type="dxa"/>
            <w:shd w:val="clear" w:color="000000" w:fill="F2F2F2"/>
            <w:noWrap/>
            <w:vAlign w:val="center"/>
            <w:hideMark/>
          </w:tcPr>
          <w:p w14:paraId="32BA9CED"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$ 8.688.189</w:t>
            </w:r>
          </w:p>
        </w:tc>
      </w:tr>
      <w:tr w:rsidR="00382869" w:rsidRPr="00053706" w14:paraId="12DE64E6" w14:textId="77777777" w:rsidTr="009A29B8">
        <w:trPr>
          <w:trHeight w:val="465"/>
        </w:trPr>
        <w:tc>
          <w:tcPr>
            <w:tcW w:w="407" w:type="dxa"/>
            <w:shd w:val="clear" w:color="000000" w:fill="F2F2F2"/>
            <w:noWrap/>
            <w:vAlign w:val="center"/>
            <w:hideMark/>
          </w:tcPr>
          <w:p w14:paraId="2569A312" w14:textId="77777777" w:rsidR="00382869" w:rsidRPr="00053706" w:rsidRDefault="00382869" w:rsidP="00D22441">
            <w:pPr>
              <w:jc w:val="center"/>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78</w:t>
            </w:r>
          </w:p>
        </w:tc>
        <w:tc>
          <w:tcPr>
            <w:tcW w:w="585" w:type="dxa"/>
            <w:shd w:val="clear" w:color="000000" w:fill="F2F2F2"/>
            <w:noWrap/>
            <w:vAlign w:val="center"/>
            <w:hideMark/>
          </w:tcPr>
          <w:p w14:paraId="60A1B43E"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23442</w:t>
            </w:r>
          </w:p>
        </w:tc>
        <w:tc>
          <w:tcPr>
            <w:tcW w:w="941" w:type="dxa"/>
            <w:shd w:val="clear" w:color="000000" w:fill="F2F2F2"/>
            <w:noWrap/>
            <w:vAlign w:val="center"/>
            <w:hideMark/>
          </w:tcPr>
          <w:p w14:paraId="368C8C09"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900366010</w:t>
            </w:r>
          </w:p>
        </w:tc>
        <w:tc>
          <w:tcPr>
            <w:tcW w:w="3533" w:type="dxa"/>
            <w:shd w:val="clear" w:color="000000" w:fill="F2F2F2"/>
            <w:vAlign w:val="center"/>
            <w:hideMark/>
          </w:tcPr>
          <w:p w14:paraId="48E5031F" w14:textId="77777777" w:rsidR="00382869" w:rsidRPr="00053706" w:rsidRDefault="00382869" w:rsidP="00D22441">
            <w:pPr>
              <w:jc w:val="lef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COMPAÑIA ENERGETICA DE OCCIDENTE S.A.S.  E.S.P.</w:t>
            </w:r>
          </w:p>
        </w:tc>
        <w:tc>
          <w:tcPr>
            <w:tcW w:w="1520" w:type="dxa"/>
            <w:shd w:val="clear" w:color="000000" w:fill="F2F2F2"/>
            <w:noWrap/>
            <w:vAlign w:val="center"/>
            <w:hideMark/>
          </w:tcPr>
          <w:p w14:paraId="14B58B8A"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$ 31.420.870.000</w:t>
            </w:r>
          </w:p>
        </w:tc>
        <w:tc>
          <w:tcPr>
            <w:tcW w:w="1360" w:type="dxa"/>
            <w:shd w:val="clear" w:color="000000" w:fill="F2F2F2"/>
            <w:noWrap/>
            <w:vAlign w:val="center"/>
            <w:hideMark/>
          </w:tcPr>
          <w:p w14:paraId="13B6E75B"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$ 2.346.654.220</w:t>
            </w:r>
          </w:p>
        </w:tc>
        <w:tc>
          <w:tcPr>
            <w:tcW w:w="1520" w:type="dxa"/>
            <w:shd w:val="clear" w:color="000000" w:fill="F2F2F2"/>
            <w:noWrap/>
            <w:vAlign w:val="center"/>
            <w:hideMark/>
          </w:tcPr>
          <w:p w14:paraId="6AD646B4"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$ 33.767.524.220</w:t>
            </w:r>
          </w:p>
        </w:tc>
        <w:tc>
          <w:tcPr>
            <w:tcW w:w="1200" w:type="dxa"/>
            <w:shd w:val="clear" w:color="000000" w:fill="F2F2F2"/>
            <w:noWrap/>
            <w:vAlign w:val="center"/>
            <w:hideMark/>
          </w:tcPr>
          <w:p w14:paraId="39634D85"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$ 337.675.242</w:t>
            </w:r>
          </w:p>
        </w:tc>
        <w:tc>
          <w:tcPr>
            <w:tcW w:w="1200" w:type="dxa"/>
            <w:shd w:val="clear" w:color="000000" w:fill="F2F2F2"/>
            <w:noWrap/>
            <w:vAlign w:val="center"/>
            <w:hideMark/>
          </w:tcPr>
          <w:p w14:paraId="31A1B0F9"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$ 14.053</w:t>
            </w:r>
          </w:p>
        </w:tc>
        <w:tc>
          <w:tcPr>
            <w:tcW w:w="1289" w:type="dxa"/>
            <w:shd w:val="clear" w:color="000000" w:fill="F2F2F2"/>
            <w:noWrap/>
            <w:vAlign w:val="center"/>
            <w:hideMark/>
          </w:tcPr>
          <w:p w14:paraId="230F0924"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$ 337.689.295</w:t>
            </w:r>
          </w:p>
        </w:tc>
      </w:tr>
      <w:tr w:rsidR="00382869" w:rsidRPr="00053706" w14:paraId="1E0CB8D0" w14:textId="77777777" w:rsidTr="009A29B8">
        <w:trPr>
          <w:trHeight w:val="265"/>
        </w:trPr>
        <w:tc>
          <w:tcPr>
            <w:tcW w:w="407" w:type="dxa"/>
            <w:shd w:val="clear" w:color="000000" w:fill="F2F2F2"/>
            <w:noWrap/>
            <w:vAlign w:val="center"/>
            <w:hideMark/>
          </w:tcPr>
          <w:p w14:paraId="78D19595" w14:textId="77777777" w:rsidR="00382869" w:rsidRPr="00053706" w:rsidRDefault="00382869" w:rsidP="00D22441">
            <w:pPr>
              <w:jc w:val="center"/>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79</w:t>
            </w:r>
          </w:p>
        </w:tc>
        <w:tc>
          <w:tcPr>
            <w:tcW w:w="585" w:type="dxa"/>
            <w:shd w:val="clear" w:color="000000" w:fill="F2F2F2"/>
            <w:noWrap/>
            <w:vAlign w:val="center"/>
            <w:hideMark/>
          </w:tcPr>
          <w:p w14:paraId="1B6460A7"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26847</w:t>
            </w:r>
          </w:p>
        </w:tc>
        <w:tc>
          <w:tcPr>
            <w:tcW w:w="941" w:type="dxa"/>
            <w:shd w:val="clear" w:color="000000" w:fill="F2F2F2"/>
            <w:noWrap/>
            <w:vAlign w:val="center"/>
            <w:hideMark/>
          </w:tcPr>
          <w:p w14:paraId="74DCB351"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900374375</w:t>
            </w:r>
          </w:p>
        </w:tc>
        <w:tc>
          <w:tcPr>
            <w:tcW w:w="3533" w:type="dxa"/>
            <w:shd w:val="clear" w:color="000000" w:fill="F2F2F2"/>
            <w:vAlign w:val="center"/>
            <w:hideMark/>
          </w:tcPr>
          <w:p w14:paraId="51D823A9" w14:textId="77777777" w:rsidR="00382869" w:rsidRPr="00053706" w:rsidRDefault="00382869" w:rsidP="00D22441">
            <w:pPr>
              <w:jc w:val="lef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POPAL SAS ESP</w:t>
            </w:r>
          </w:p>
        </w:tc>
        <w:tc>
          <w:tcPr>
            <w:tcW w:w="1520" w:type="dxa"/>
            <w:shd w:val="clear" w:color="000000" w:fill="F2F2F2"/>
            <w:noWrap/>
            <w:vAlign w:val="center"/>
            <w:hideMark/>
          </w:tcPr>
          <w:p w14:paraId="6BDCE056"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$ 3.292.797.000</w:t>
            </w:r>
          </w:p>
        </w:tc>
        <w:tc>
          <w:tcPr>
            <w:tcW w:w="1360" w:type="dxa"/>
            <w:shd w:val="clear" w:color="000000" w:fill="F2F2F2"/>
            <w:noWrap/>
            <w:vAlign w:val="center"/>
            <w:hideMark/>
          </w:tcPr>
          <w:p w14:paraId="13972A32"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$ 0</w:t>
            </w:r>
          </w:p>
        </w:tc>
        <w:tc>
          <w:tcPr>
            <w:tcW w:w="1520" w:type="dxa"/>
            <w:shd w:val="clear" w:color="000000" w:fill="F2F2F2"/>
            <w:noWrap/>
            <w:vAlign w:val="center"/>
            <w:hideMark/>
          </w:tcPr>
          <w:p w14:paraId="293A89D2"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$ 3.292.797.000</w:t>
            </w:r>
          </w:p>
        </w:tc>
        <w:tc>
          <w:tcPr>
            <w:tcW w:w="1200" w:type="dxa"/>
            <w:shd w:val="clear" w:color="000000" w:fill="F2F2F2"/>
            <w:noWrap/>
            <w:vAlign w:val="center"/>
            <w:hideMark/>
          </w:tcPr>
          <w:p w14:paraId="45C605F8"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$ 32.927.970</w:t>
            </w:r>
          </w:p>
        </w:tc>
        <w:tc>
          <w:tcPr>
            <w:tcW w:w="1200" w:type="dxa"/>
            <w:shd w:val="clear" w:color="000000" w:fill="F2F2F2"/>
            <w:noWrap/>
            <w:vAlign w:val="center"/>
            <w:hideMark/>
          </w:tcPr>
          <w:p w14:paraId="58DFDC46"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$ 1.370</w:t>
            </w:r>
          </w:p>
        </w:tc>
        <w:tc>
          <w:tcPr>
            <w:tcW w:w="1289" w:type="dxa"/>
            <w:shd w:val="clear" w:color="000000" w:fill="F2F2F2"/>
            <w:noWrap/>
            <w:vAlign w:val="center"/>
            <w:hideMark/>
          </w:tcPr>
          <w:p w14:paraId="1F1259D3"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$ 32.929.340</w:t>
            </w:r>
          </w:p>
        </w:tc>
      </w:tr>
      <w:tr w:rsidR="00382869" w:rsidRPr="00053706" w14:paraId="747854FE" w14:textId="77777777" w:rsidTr="009A29B8">
        <w:trPr>
          <w:trHeight w:val="465"/>
        </w:trPr>
        <w:tc>
          <w:tcPr>
            <w:tcW w:w="407" w:type="dxa"/>
            <w:shd w:val="clear" w:color="000000" w:fill="F2F2F2"/>
            <w:noWrap/>
            <w:vAlign w:val="center"/>
            <w:hideMark/>
          </w:tcPr>
          <w:p w14:paraId="691AD023" w14:textId="77777777" w:rsidR="00382869" w:rsidRPr="00053706" w:rsidRDefault="00382869" w:rsidP="00D22441">
            <w:pPr>
              <w:jc w:val="center"/>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80</w:t>
            </w:r>
          </w:p>
        </w:tc>
        <w:tc>
          <w:tcPr>
            <w:tcW w:w="585" w:type="dxa"/>
            <w:shd w:val="clear" w:color="000000" w:fill="F2F2F2"/>
            <w:noWrap/>
            <w:vAlign w:val="center"/>
            <w:hideMark/>
          </w:tcPr>
          <w:p w14:paraId="44AFC0FB"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25655</w:t>
            </w:r>
          </w:p>
        </w:tc>
        <w:tc>
          <w:tcPr>
            <w:tcW w:w="941" w:type="dxa"/>
            <w:shd w:val="clear" w:color="000000" w:fill="F2F2F2"/>
            <w:noWrap/>
            <w:vAlign w:val="center"/>
            <w:hideMark/>
          </w:tcPr>
          <w:p w14:paraId="258B3719"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900409371</w:t>
            </w:r>
          </w:p>
        </w:tc>
        <w:tc>
          <w:tcPr>
            <w:tcW w:w="3533" w:type="dxa"/>
            <w:shd w:val="clear" w:color="000000" w:fill="F2F2F2"/>
            <w:vAlign w:val="center"/>
            <w:hideMark/>
          </w:tcPr>
          <w:p w14:paraId="68CD92B8" w14:textId="77777777" w:rsidR="00382869" w:rsidRPr="00053706" w:rsidRDefault="00382869" w:rsidP="00D22441">
            <w:pPr>
              <w:jc w:val="lef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FUENTES DE ENERGÍAS RENOVABLES S.A.S. ESP</w:t>
            </w:r>
          </w:p>
        </w:tc>
        <w:tc>
          <w:tcPr>
            <w:tcW w:w="1520" w:type="dxa"/>
            <w:shd w:val="clear" w:color="000000" w:fill="F2F2F2"/>
            <w:noWrap/>
            <w:vAlign w:val="center"/>
            <w:hideMark/>
          </w:tcPr>
          <w:p w14:paraId="3182987A"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$ 9.238.234.000</w:t>
            </w:r>
          </w:p>
        </w:tc>
        <w:tc>
          <w:tcPr>
            <w:tcW w:w="1360" w:type="dxa"/>
            <w:shd w:val="clear" w:color="000000" w:fill="F2F2F2"/>
            <w:noWrap/>
            <w:vAlign w:val="center"/>
            <w:hideMark/>
          </w:tcPr>
          <w:p w14:paraId="7A204EEB"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$ 0</w:t>
            </w:r>
          </w:p>
        </w:tc>
        <w:tc>
          <w:tcPr>
            <w:tcW w:w="1520" w:type="dxa"/>
            <w:shd w:val="clear" w:color="000000" w:fill="F2F2F2"/>
            <w:noWrap/>
            <w:vAlign w:val="center"/>
            <w:hideMark/>
          </w:tcPr>
          <w:p w14:paraId="44807BF7"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$ 9.238.234.000</w:t>
            </w:r>
          </w:p>
        </w:tc>
        <w:tc>
          <w:tcPr>
            <w:tcW w:w="1200" w:type="dxa"/>
            <w:shd w:val="clear" w:color="000000" w:fill="F2F2F2"/>
            <w:noWrap/>
            <w:vAlign w:val="center"/>
            <w:hideMark/>
          </w:tcPr>
          <w:p w14:paraId="10209078"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$ 92.382.340</w:t>
            </w:r>
          </w:p>
        </w:tc>
        <w:tc>
          <w:tcPr>
            <w:tcW w:w="1200" w:type="dxa"/>
            <w:shd w:val="clear" w:color="000000" w:fill="F2F2F2"/>
            <w:noWrap/>
            <w:vAlign w:val="center"/>
            <w:hideMark/>
          </w:tcPr>
          <w:p w14:paraId="4C5307FC"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$ 3.845</w:t>
            </w:r>
          </w:p>
        </w:tc>
        <w:tc>
          <w:tcPr>
            <w:tcW w:w="1289" w:type="dxa"/>
            <w:shd w:val="clear" w:color="000000" w:fill="F2F2F2"/>
            <w:noWrap/>
            <w:vAlign w:val="center"/>
            <w:hideMark/>
          </w:tcPr>
          <w:p w14:paraId="286637D3"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$ 92.386.185</w:t>
            </w:r>
          </w:p>
        </w:tc>
      </w:tr>
      <w:tr w:rsidR="00382869" w:rsidRPr="00053706" w14:paraId="2DBD0CBF" w14:textId="77777777" w:rsidTr="009A29B8">
        <w:trPr>
          <w:trHeight w:val="67"/>
        </w:trPr>
        <w:tc>
          <w:tcPr>
            <w:tcW w:w="407" w:type="dxa"/>
            <w:shd w:val="clear" w:color="000000" w:fill="F2F2F2"/>
            <w:noWrap/>
            <w:vAlign w:val="center"/>
            <w:hideMark/>
          </w:tcPr>
          <w:p w14:paraId="47618F15" w14:textId="77777777" w:rsidR="00382869" w:rsidRPr="00053706" w:rsidRDefault="00382869" w:rsidP="00D22441">
            <w:pPr>
              <w:jc w:val="center"/>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81</w:t>
            </w:r>
          </w:p>
        </w:tc>
        <w:tc>
          <w:tcPr>
            <w:tcW w:w="585" w:type="dxa"/>
            <w:shd w:val="clear" w:color="000000" w:fill="F2F2F2"/>
            <w:noWrap/>
            <w:vAlign w:val="center"/>
            <w:hideMark/>
          </w:tcPr>
          <w:p w14:paraId="04BAE762"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25984</w:t>
            </w:r>
          </w:p>
        </w:tc>
        <w:tc>
          <w:tcPr>
            <w:tcW w:w="941" w:type="dxa"/>
            <w:shd w:val="clear" w:color="000000" w:fill="F2F2F2"/>
            <w:noWrap/>
            <w:vAlign w:val="center"/>
            <w:hideMark/>
          </w:tcPr>
          <w:p w14:paraId="114B4A69"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900428468</w:t>
            </w:r>
          </w:p>
        </w:tc>
        <w:tc>
          <w:tcPr>
            <w:tcW w:w="3533" w:type="dxa"/>
            <w:shd w:val="clear" w:color="000000" w:fill="F2F2F2"/>
            <w:vAlign w:val="center"/>
            <w:hideMark/>
          </w:tcPr>
          <w:p w14:paraId="10724D47" w14:textId="77777777" w:rsidR="00382869" w:rsidRPr="00053706" w:rsidRDefault="00382869" w:rsidP="00D22441">
            <w:pPr>
              <w:jc w:val="lef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ITALCOL ENERGIA S.A. ESP.</w:t>
            </w:r>
          </w:p>
        </w:tc>
        <w:tc>
          <w:tcPr>
            <w:tcW w:w="1520" w:type="dxa"/>
            <w:shd w:val="clear" w:color="000000" w:fill="F2F2F2"/>
            <w:noWrap/>
            <w:vAlign w:val="center"/>
            <w:hideMark/>
          </w:tcPr>
          <w:p w14:paraId="0C0B59F0"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$ 2.089.710.000</w:t>
            </w:r>
          </w:p>
        </w:tc>
        <w:tc>
          <w:tcPr>
            <w:tcW w:w="1360" w:type="dxa"/>
            <w:shd w:val="clear" w:color="000000" w:fill="F2F2F2"/>
            <w:noWrap/>
            <w:vAlign w:val="center"/>
            <w:hideMark/>
          </w:tcPr>
          <w:p w14:paraId="2A86080F"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$ 265.739.481</w:t>
            </w:r>
          </w:p>
        </w:tc>
        <w:tc>
          <w:tcPr>
            <w:tcW w:w="1520" w:type="dxa"/>
            <w:shd w:val="clear" w:color="000000" w:fill="F2F2F2"/>
            <w:noWrap/>
            <w:vAlign w:val="center"/>
            <w:hideMark/>
          </w:tcPr>
          <w:p w14:paraId="72EFDFF1"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$ 2.355.449.481</w:t>
            </w:r>
          </w:p>
        </w:tc>
        <w:tc>
          <w:tcPr>
            <w:tcW w:w="1200" w:type="dxa"/>
            <w:shd w:val="clear" w:color="000000" w:fill="F2F2F2"/>
            <w:noWrap/>
            <w:vAlign w:val="center"/>
            <w:hideMark/>
          </w:tcPr>
          <w:p w14:paraId="776F1F1A"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$ 23.554.495</w:t>
            </w:r>
          </w:p>
        </w:tc>
        <w:tc>
          <w:tcPr>
            <w:tcW w:w="1200" w:type="dxa"/>
            <w:shd w:val="clear" w:color="000000" w:fill="F2F2F2"/>
            <w:noWrap/>
            <w:vAlign w:val="center"/>
            <w:hideMark/>
          </w:tcPr>
          <w:p w14:paraId="7D0920B4"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$ 980</w:t>
            </w:r>
          </w:p>
        </w:tc>
        <w:tc>
          <w:tcPr>
            <w:tcW w:w="1289" w:type="dxa"/>
            <w:shd w:val="clear" w:color="000000" w:fill="F2F2F2"/>
            <w:noWrap/>
            <w:vAlign w:val="center"/>
            <w:hideMark/>
          </w:tcPr>
          <w:p w14:paraId="623887C2"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$ 23.555.475</w:t>
            </w:r>
          </w:p>
        </w:tc>
      </w:tr>
      <w:tr w:rsidR="00382869" w:rsidRPr="00053706" w14:paraId="4E8ADDDF" w14:textId="77777777" w:rsidTr="009A29B8">
        <w:trPr>
          <w:trHeight w:val="297"/>
        </w:trPr>
        <w:tc>
          <w:tcPr>
            <w:tcW w:w="407" w:type="dxa"/>
            <w:shd w:val="clear" w:color="000000" w:fill="F2F2F2"/>
            <w:noWrap/>
            <w:vAlign w:val="center"/>
            <w:hideMark/>
          </w:tcPr>
          <w:p w14:paraId="489ECB1C" w14:textId="77777777" w:rsidR="00382869" w:rsidRPr="00053706" w:rsidRDefault="00382869" w:rsidP="00D22441">
            <w:pPr>
              <w:jc w:val="center"/>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82</w:t>
            </w:r>
          </w:p>
        </w:tc>
        <w:tc>
          <w:tcPr>
            <w:tcW w:w="585" w:type="dxa"/>
            <w:shd w:val="clear" w:color="000000" w:fill="F2F2F2"/>
            <w:noWrap/>
            <w:vAlign w:val="center"/>
            <w:hideMark/>
          </w:tcPr>
          <w:p w14:paraId="0EE2D534"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26050</w:t>
            </w:r>
          </w:p>
        </w:tc>
        <w:tc>
          <w:tcPr>
            <w:tcW w:w="941" w:type="dxa"/>
            <w:shd w:val="clear" w:color="000000" w:fill="F2F2F2"/>
            <w:noWrap/>
            <w:vAlign w:val="center"/>
            <w:hideMark/>
          </w:tcPr>
          <w:p w14:paraId="2F19F22D"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900431226</w:t>
            </w:r>
          </w:p>
        </w:tc>
        <w:tc>
          <w:tcPr>
            <w:tcW w:w="3533" w:type="dxa"/>
            <w:shd w:val="clear" w:color="000000" w:fill="F2F2F2"/>
            <w:vAlign w:val="center"/>
            <w:hideMark/>
          </w:tcPr>
          <w:p w14:paraId="116C6A5D" w14:textId="03094944" w:rsidR="00382869" w:rsidRPr="00053706" w:rsidRDefault="00382869" w:rsidP="00D22441">
            <w:pPr>
              <w:jc w:val="left"/>
              <w:rPr>
                <w:rFonts w:ascii="Arial Narrow" w:hAnsi="Arial Narrow" w:cs="Arial"/>
                <w:color w:val="000000"/>
                <w:spacing w:val="0"/>
                <w:sz w:val="16"/>
                <w:szCs w:val="16"/>
                <w:lang w:val="en-GB" w:eastAsia="es-CO"/>
              </w:rPr>
            </w:pPr>
            <w:r w:rsidRPr="00053706">
              <w:rPr>
                <w:rFonts w:ascii="Arial Narrow" w:hAnsi="Arial Narrow" w:cs="Arial"/>
                <w:color w:val="000000"/>
                <w:spacing w:val="0"/>
                <w:sz w:val="16"/>
                <w:szCs w:val="16"/>
                <w:lang w:val="en-GB" w:eastAsia="es-CO"/>
              </w:rPr>
              <w:t>FORCEFUL ENERGY S.A.S E.S.P</w:t>
            </w:r>
            <w:r w:rsidR="008722A6" w:rsidRPr="00053706">
              <w:rPr>
                <w:rFonts w:ascii="Arial Narrow" w:hAnsi="Arial Narrow" w:cs="Arial"/>
                <w:color w:val="000000"/>
                <w:spacing w:val="0"/>
                <w:sz w:val="16"/>
                <w:szCs w:val="16"/>
                <w:lang w:val="en-GB" w:eastAsia="es-CO"/>
              </w:rPr>
              <w:t>.</w:t>
            </w:r>
          </w:p>
        </w:tc>
        <w:tc>
          <w:tcPr>
            <w:tcW w:w="1520" w:type="dxa"/>
            <w:shd w:val="clear" w:color="000000" w:fill="F2F2F2"/>
            <w:noWrap/>
            <w:vAlign w:val="center"/>
            <w:hideMark/>
          </w:tcPr>
          <w:p w14:paraId="0739263D"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$ 73.207.000</w:t>
            </w:r>
          </w:p>
        </w:tc>
        <w:tc>
          <w:tcPr>
            <w:tcW w:w="1360" w:type="dxa"/>
            <w:shd w:val="clear" w:color="000000" w:fill="F2F2F2"/>
            <w:noWrap/>
            <w:vAlign w:val="center"/>
            <w:hideMark/>
          </w:tcPr>
          <w:p w14:paraId="367CAB55"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$ 0</w:t>
            </w:r>
          </w:p>
        </w:tc>
        <w:tc>
          <w:tcPr>
            <w:tcW w:w="1520" w:type="dxa"/>
            <w:shd w:val="clear" w:color="000000" w:fill="F2F2F2"/>
            <w:noWrap/>
            <w:vAlign w:val="center"/>
            <w:hideMark/>
          </w:tcPr>
          <w:p w14:paraId="67C5A60E"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$ 73.207.000</w:t>
            </w:r>
          </w:p>
        </w:tc>
        <w:tc>
          <w:tcPr>
            <w:tcW w:w="1200" w:type="dxa"/>
            <w:shd w:val="clear" w:color="000000" w:fill="F2F2F2"/>
            <w:noWrap/>
            <w:vAlign w:val="center"/>
            <w:hideMark/>
          </w:tcPr>
          <w:p w14:paraId="2480608C"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$ 732.070</w:t>
            </w:r>
          </w:p>
        </w:tc>
        <w:tc>
          <w:tcPr>
            <w:tcW w:w="1200" w:type="dxa"/>
            <w:shd w:val="clear" w:color="000000" w:fill="F2F2F2"/>
            <w:noWrap/>
            <w:vAlign w:val="center"/>
            <w:hideMark/>
          </w:tcPr>
          <w:p w14:paraId="6C049F31"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$ 30</w:t>
            </w:r>
          </w:p>
        </w:tc>
        <w:tc>
          <w:tcPr>
            <w:tcW w:w="1289" w:type="dxa"/>
            <w:shd w:val="clear" w:color="000000" w:fill="F2F2F2"/>
            <w:noWrap/>
            <w:vAlign w:val="center"/>
            <w:hideMark/>
          </w:tcPr>
          <w:p w14:paraId="085C0DD2"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$ 732.100</w:t>
            </w:r>
          </w:p>
        </w:tc>
      </w:tr>
      <w:tr w:rsidR="00382869" w:rsidRPr="00053706" w14:paraId="414506D9" w14:textId="77777777" w:rsidTr="009A29B8">
        <w:trPr>
          <w:trHeight w:val="259"/>
        </w:trPr>
        <w:tc>
          <w:tcPr>
            <w:tcW w:w="407" w:type="dxa"/>
            <w:shd w:val="clear" w:color="000000" w:fill="F2F2F2"/>
            <w:noWrap/>
            <w:vAlign w:val="center"/>
            <w:hideMark/>
          </w:tcPr>
          <w:p w14:paraId="406E90C6" w14:textId="77777777" w:rsidR="00382869" w:rsidRPr="00053706" w:rsidRDefault="00382869" w:rsidP="00D22441">
            <w:pPr>
              <w:jc w:val="center"/>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lastRenderedPageBreak/>
              <w:t>83</w:t>
            </w:r>
          </w:p>
        </w:tc>
        <w:tc>
          <w:tcPr>
            <w:tcW w:w="585" w:type="dxa"/>
            <w:shd w:val="clear" w:color="000000" w:fill="F2F2F2"/>
            <w:noWrap/>
            <w:vAlign w:val="center"/>
            <w:hideMark/>
          </w:tcPr>
          <w:p w14:paraId="6CB4D0D2"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25680</w:t>
            </w:r>
          </w:p>
        </w:tc>
        <w:tc>
          <w:tcPr>
            <w:tcW w:w="941" w:type="dxa"/>
            <w:shd w:val="clear" w:color="000000" w:fill="F2F2F2"/>
            <w:noWrap/>
            <w:vAlign w:val="center"/>
            <w:hideMark/>
          </w:tcPr>
          <w:p w14:paraId="6FBC00C5"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900432368</w:t>
            </w:r>
          </w:p>
        </w:tc>
        <w:tc>
          <w:tcPr>
            <w:tcW w:w="3533" w:type="dxa"/>
            <w:shd w:val="clear" w:color="000000" w:fill="F2F2F2"/>
            <w:vAlign w:val="center"/>
            <w:hideMark/>
          </w:tcPr>
          <w:p w14:paraId="1A7688C5" w14:textId="77777777" w:rsidR="00382869" w:rsidRPr="00053706" w:rsidRDefault="00382869" w:rsidP="00D22441">
            <w:pPr>
              <w:jc w:val="lef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ELECTRIFICADORA DE MAPIRIPÁN S.A. E.S.P.</w:t>
            </w:r>
          </w:p>
        </w:tc>
        <w:tc>
          <w:tcPr>
            <w:tcW w:w="1520" w:type="dxa"/>
            <w:shd w:val="clear" w:color="000000" w:fill="F2F2F2"/>
            <w:noWrap/>
            <w:vAlign w:val="center"/>
            <w:hideMark/>
          </w:tcPr>
          <w:p w14:paraId="5069A324"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$ 223.809.585</w:t>
            </w:r>
          </w:p>
        </w:tc>
        <w:tc>
          <w:tcPr>
            <w:tcW w:w="1360" w:type="dxa"/>
            <w:shd w:val="clear" w:color="000000" w:fill="F2F2F2"/>
            <w:noWrap/>
            <w:vAlign w:val="center"/>
            <w:hideMark/>
          </w:tcPr>
          <w:p w14:paraId="7FA4710B"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$ 8.498.972</w:t>
            </w:r>
          </w:p>
        </w:tc>
        <w:tc>
          <w:tcPr>
            <w:tcW w:w="1520" w:type="dxa"/>
            <w:shd w:val="clear" w:color="000000" w:fill="F2F2F2"/>
            <w:noWrap/>
            <w:vAlign w:val="center"/>
            <w:hideMark/>
          </w:tcPr>
          <w:p w14:paraId="6291B273"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$ 232.308.557</w:t>
            </w:r>
          </w:p>
        </w:tc>
        <w:tc>
          <w:tcPr>
            <w:tcW w:w="1200" w:type="dxa"/>
            <w:shd w:val="clear" w:color="000000" w:fill="F2F2F2"/>
            <w:noWrap/>
            <w:vAlign w:val="center"/>
            <w:hideMark/>
          </w:tcPr>
          <w:p w14:paraId="0A77BE92"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$ 2.323.086</w:t>
            </w:r>
          </w:p>
        </w:tc>
        <w:tc>
          <w:tcPr>
            <w:tcW w:w="1200" w:type="dxa"/>
            <w:shd w:val="clear" w:color="000000" w:fill="F2F2F2"/>
            <w:noWrap/>
            <w:vAlign w:val="center"/>
            <w:hideMark/>
          </w:tcPr>
          <w:p w14:paraId="2ED6A3E2"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$ 97</w:t>
            </w:r>
          </w:p>
        </w:tc>
        <w:tc>
          <w:tcPr>
            <w:tcW w:w="1289" w:type="dxa"/>
            <w:shd w:val="clear" w:color="000000" w:fill="F2F2F2"/>
            <w:noWrap/>
            <w:vAlign w:val="center"/>
            <w:hideMark/>
          </w:tcPr>
          <w:p w14:paraId="7B59DB75"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$ 2.323.182</w:t>
            </w:r>
          </w:p>
        </w:tc>
      </w:tr>
      <w:tr w:rsidR="00382869" w:rsidRPr="00053706" w14:paraId="07425924" w14:textId="77777777" w:rsidTr="00053706">
        <w:trPr>
          <w:trHeight w:val="308"/>
        </w:trPr>
        <w:tc>
          <w:tcPr>
            <w:tcW w:w="407" w:type="dxa"/>
            <w:shd w:val="clear" w:color="000000" w:fill="F2F2F2"/>
            <w:noWrap/>
            <w:vAlign w:val="center"/>
            <w:hideMark/>
          </w:tcPr>
          <w:p w14:paraId="102489AD" w14:textId="77777777" w:rsidR="00382869" w:rsidRPr="00053706" w:rsidRDefault="00382869" w:rsidP="00D22441">
            <w:pPr>
              <w:jc w:val="center"/>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84</w:t>
            </w:r>
          </w:p>
        </w:tc>
        <w:tc>
          <w:tcPr>
            <w:tcW w:w="585" w:type="dxa"/>
            <w:shd w:val="clear" w:color="000000" w:fill="F2F2F2"/>
            <w:noWrap/>
            <w:vAlign w:val="center"/>
            <w:hideMark/>
          </w:tcPr>
          <w:p w14:paraId="64C27954"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28632</w:t>
            </w:r>
          </w:p>
        </w:tc>
        <w:tc>
          <w:tcPr>
            <w:tcW w:w="941" w:type="dxa"/>
            <w:shd w:val="clear" w:color="000000" w:fill="F2F2F2"/>
            <w:noWrap/>
            <w:vAlign w:val="center"/>
            <w:hideMark/>
          </w:tcPr>
          <w:p w14:paraId="13B5704C"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900448956</w:t>
            </w:r>
          </w:p>
        </w:tc>
        <w:tc>
          <w:tcPr>
            <w:tcW w:w="3533" w:type="dxa"/>
            <w:shd w:val="clear" w:color="000000" w:fill="F2F2F2"/>
            <w:vAlign w:val="center"/>
            <w:hideMark/>
          </w:tcPr>
          <w:p w14:paraId="32A1D2DA" w14:textId="27D54A6B" w:rsidR="00382869" w:rsidRPr="00053706" w:rsidRDefault="00382869" w:rsidP="00D22441">
            <w:pPr>
              <w:jc w:val="lef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CENTRAL HIDROELÉCTRICA EL EDÉN S.A.S. E.S.P</w:t>
            </w:r>
            <w:r w:rsidR="008722A6" w:rsidRPr="00053706">
              <w:rPr>
                <w:rFonts w:ascii="Arial Narrow" w:hAnsi="Arial Narrow" w:cs="Arial"/>
                <w:color w:val="000000"/>
                <w:spacing w:val="0"/>
                <w:sz w:val="16"/>
                <w:szCs w:val="16"/>
                <w:lang w:eastAsia="es-CO"/>
              </w:rPr>
              <w:t>.</w:t>
            </w:r>
          </w:p>
        </w:tc>
        <w:tc>
          <w:tcPr>
            <w:tcW w:w="1520" w:type="dxa"/>
            <w:shd w:val="clear" w:color="000000" w:fill="F2F2F2"/>
            <w:noWrap/>
            <w:vAlign w:val="center"/>
            <w:hideMark/>
          </w:tcPr>
          <w:p w14:paraId="0522B45D"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$ 256.609.000</w:t>
            </w:r>
          </w:p>
        </w:tc>
        <w:tc>
          <w:tcPr>
            <w:tcW w:w="1360" w:type="dxa"/>
            <w:shd w:val="clear" w:color="000000" w:fill="F2F2F2"/>
            <w:noWrap/>
            <w:vAlign w:val="center"/>
            <w:hideMark/>
          </w:tcPr>
          <w:p w14:paraId="1F6E0BFC"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$ 1.432.273</w:t>
            </w:r>
          </w:p>
        </w:tc>
        <w:tc>
          <w:tcPr>
            <w:tcW w:w="1520" w:type="dxa"/>
            <w:shd w:val="clear" w:color="000000" w:fill="F2F2F2"/>
            <w:noWrap/>
            <w:vAlign w:val="center"/>
            <w:hideMark/>
          </w:tcPr>
          <w:p w14:paraId="5BCE7EDD"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$ 258.041.273</w:t>
            </w:r>
          </w:p>
        </w:tc>
        <w:tc>
          <w:tcPr>
            <w:tcW w:w="1200" w:type="dxa"/>
            <w:shd w:val="clear" w:color="000000" w:fill="F2F2F2"/>
            <w:noWrap/>
            <w:vAlign w:val="center"/>
            <w:hideMark/>
          </w:tcPr>
          <w:p w14:paraId="1BE5C698"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$ 2.580.413</w:t>
            </w:r>
          </w:p>
        </w:tc>
        <w:tc>
          <w:tcPr>
            <w:tcW w:w="1200" w:type="dxa"/>
            <w:shd w:val="clear" w:color="000000" w:fill="F2F2F2"/>
            <w:noWrap/>
            <w:vAlign w:val="center"/>
            <w:hideMark/>
          </w:tcPr>
          <w:p w14:paraId="590074AF"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$ 107</w:t>
            </w:r>
          </w:p>
        </w:tc>
        <w:tc>
          <w:tcPr>
            <w:tcW w:w="1289" w:type="dxa"/>
            <w:shd w:val="clear" w:color="000000" w:fill="F2F2F2"/>
            <w:noWrap/>
            <w:vAlign w:val="center"/>
            <w:hideMark/>
          </w:tcPr>
          <w:p w14:paraId="018931A6"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$ 2.580.520</w:t>
            </w:r>
          </w:p>
        </w:tc>
      </w:tr>
      <w:tr w:rsidR="00382869" w:rsidRPr="00053706" w14:paraId="7126C950" w14:textId="77777777" w:rsidTr="009A29B8">
        <w:trPr>
          <w:trHeight w:val="229"/>
        </w:trPr>
        <w:tc>
          <w:tcPr>
            <w:tcW w:w="407" w:type="dxa"/>
            <w:shd w:val="clear" w:color="000000" w:fill="F2F2F2"/>
            <w:noWrap/>
            <w:vAlign w:val="center"/>
            <w:hideMark/>
          </w:tcPr>
          <w:p w14:paraId="17627786" w14:textId="77777777" w:rsidR="00382869" w:rsidRPr="00053706" w:rsidRDefault="00382869" w:rsidP="00D22441">
            <w:pPr>
              <w:jc w:val="center"/>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85</w:t>
            </w:r>
          </w:p>
        </w:tc>
        <w:tc>
          <w:tcPr>
            <w:tcW w:w="585" w:type="dxa"/>
            <w:shd w:val="clear" w:color="000000" w:fill="F2F2F2"/>
            <w:noWrap/>
            <w:vAlign w:val="center"/>
            <w:hideMark/>
          </w:tcPr>
          <w:p w14:paraId="37900C8F"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60594</w:t>
            </w:r>
          </w:p>
        </w:tc>
        <w:tc>
          <w:tcPr>
            <w:tcW w:w="941" w:type="dxa"/>
            <w:shd w:val="clear" w:color="000000" w:fill="F2F2F2"/>
            <w:noWrap/>
            <w:vAlign w:val="center"/>
            <w:hideMark/>
          </w:tcPr>
          <w:p w14:paraId="2C3EA6F9"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900461106</w:t>
            </w:r>
          </w:p>
        </w:tc>
        <w:tc>
          <w:tcPr>
            <w:tcW w:w="3533" w:type="dxa"/>
            <w:shd w:val="clear" w:color="000000" w:fill="F2F2F2"/>
            <w:vAlign w:val="center"/>
            <w:hideMark/>
          </w:tcPr>
          <w:p w14:paraId="7A987885" w14:textId="77777777" w:rsidR="00382869" w:rsidRPr="00053706" w:rsidRDefault="00382869" w:rsidP="00D22441">
            <w:pPr>
              <w:jc w:val="lef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PCH SAN BARTOLOME SAS ESP</w:t>
            </w:r>
          </w:p>
        </w:tc>
        <w:tc>
          <w:tcPr>
            <w:tcW w:w="1520" w:type="dxa"/>
            <w:shd w:val="clear" w:color="000000" w:fill="F2F2F2"/>
            <w:noWrap/>
            <w:vAlign w:val="center"/>
            <w:hideMark/>
          </w:tcPr>
          <w:p w14:paraId="46546CE5"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$ 1.062.159.000</w:t>
            </w:r>
          </w:p>
        </w:tc>
        <w:tc>
          <w:tcPr>
            <w:tcW w:w="1360" w:type="dxa"/>
            <w:shd w:val="clear" w:color="000000" w:fill="F2F2F2"/>
            <w:noWrap/>
            <w:vAlign w:val="center"/>
            <w:hideMark/>
          </w:tcPr>
          <w:p w14:paraId="2FE25A4B"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$ 0</w:t>
            </w:r>
          </w:p>
        </w:tc>
        <w:tc>
          <w:tcPr>
            <w:tcW w:w="1520" w:type="dxa"/>
            <w:shd w:val="clear" w:color="000000" w:fill="F2F2F2"/>
            <w:noWrap/>
            <w:vAlign w:val="center"/>
            <w:hideMark/>
          </w:tcPr>
          <w:p w14:paraId="19AEC591"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$ 1.062.159.000</w:t>
            </w:r>
          </w:p>
        </w:tc>
        <w:tc>
          <w:tcPr>
            <w:tcW w:w="1200" w:type="dxa"/>
            <w:shd w:val="clear" w:color="000000" w:fill="F2F2F2"/>
            <w:noWrap/>
            <w:vAlign w:val="center"/>
            <w:hideMark/>
          </w:tcPr>
          <w:p w14:paraId="60DE08BE"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$ 10.621.590</w:t>
            </w:r>
          </w:p>
        </w:tc>
        <w:tc>
          <w:tcPr>
            <w:tcW w:w="1200" w:type="dxa"/>
            <w:shd w:val="clear" w:color="000000" w:fill="F2F2F2"/>
            <w:noWrap/>
            <w:vAlign w:val="center"/>
            <w:hideMark/>
          </w:tcPr>
          <w:p w14:paraId="41023C49"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$ 442</w:t>
            </w:r>
          </w:p>
        </w:tc>
        <w:tc>
          <w:tcPr>
            <w:tcW w:w="1289" w:type="dxa"/>
            <w:shd w:val="clear" w:color="000000" w:fill="F2F2F2"/>
            <w:noWrap/>
            <w:vAlign w:val="center"/>
            <w:hideMark/>
          </w:tcPr>
          <w:p w14:paraId="0DCF9F81"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$ 10.622.032</w:t>
            </w:r>
          </w:p>
        </w:tc>
      </w:tr>
      <w:tr w:rsidR="00382869" w:rsidRPr="00053706" w14:paraId="4BD09AA2" w14:textId="77777777" w:rsidTr="009A29B8">
        <w:trPr>
          <w:trHeight w:val="275"/>
        </w:trPr>
        <w:tc>
          <w:tcPr>
            <w:tcW w:w="407" w:type="dxa"/>
            <w:shd w:val="clear" w:color="000000" w:fill="F2F2F2"/>
            <w:noWrap/>
            <w:vAlign w:val="center"/>
            <w:hideMark/>
          </w:tcPr>
          <w:p w14:paraId="7805FDC4" w14:textId="77777777" w:rsidR="00382869" w:rsidRPr="00053706" w:rsidRDefault="00382869" w:rsidP="00D22441">
            <w:pPr>
              <w:jc w:val="center"/>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86</w:t>
            </w:r>
          </w:p>
        </w:tc>
        <w:tc>
          <w:tcPr>
            <w:tcW w:w="585" w:type="dxa"/>
            <w:shd w:val="clear" w:color="000000" w:fill="F2F2F2"/>
            <w:noWrap/>
            <w:vAlign w:val="center"/>
            <w:hideMark/>
          </w:tcPr>
          <w:p w14:paraId="18E54436"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26192</w:t>
            </w:r>
          </w:p>
        </w:tc>
        <w:tc>
          <w:tcPr>
            <w:tcW w:w="941" w:type="dxa"/>
            <w:shd w:val="clear" w:color="000000" w:fill="F2F2F2"/>
            <w:noWrap/>
            <w:vAlign w:val="center"/>
            <w:hideMark/>
          </w:tcPr>
          <w:p w14:paraId="2E7696C6"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900462761</w:t>
            </w:r>
          </w:p>
        </w:tc>
        <w:tc>
          <w:tcPr>
            <w:tcW w:w="3533" w:type="dxa"/>
            <w:shd w:val="clear" w:color="000000" w:fill="F2F2F2"/>
            <w:vAlign w:val="center"/>
            <w:hideMark/>
          </w:tcPr>
          <w:p w14:paraId="1682E487" w14:textId="77777777" w:rsidR="00382869" w:rsidRPr="00053706" w:rsidRDefault="00382869" w:rsidP="00D22441">
            <w:pPr>
              <w:jc w:val="lef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RISARALDA ENERGIA S.A.S. E.S.P.</w:t>
            </w:r>
          </w:p>
        </w:tc>
        <w:tc>
          <w:tcPr>
            <w:tcW w:w="1520" w:type="dxa"/>
            <w:shd w:val="clear" w:color="000000" w:fill="F2F2F2"/>
            <w:noWrap/>
            <w:vAlign w:val="center"/>
            <w:hideMark/>
          </w:tcPr>
          <w:p w14:paraId="3685C42B"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$ 1.736.366.000</w:t>
            </w:r>
          </w:p>
        </w:tc>
        <w:tc>
          <w:tcPr>
            <w:tcW w:w="1360" w:type="dxa"/>
            <w:shd w:val="clear" w:color="000000" w:fill="F2F2F2"/>
            <w:noWrap/>
            <w:vAlign w:val="center"/>
            <w:hideMark/>
          </w:tcPr>
          <w:p w14:paraId="44C37725"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$ 0</w:t>
            </w:r>
          </w:p>
        </w:tc>
        <w:tc>
          <w:tcPr>
            <w:tcW w:w="1520" w:type="dxa"/>
            <w:shd w:val="clear" w:color="000000" w:fill="F2F2F2"/>
            <w:noWrap/>
            <w:vAlign w:val="center"/>
            <w:hideMark/>
          </w:tcPr>
          <w:p w14:paraId="19BE91E6"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$ 1.736.366.000</w:t>
            </w:r>
          </w:p>
        </w:tc>
        <w:tc>
          <w:tcPr>
            <w:tcW w:w="1200" w:type="dxa"/>
            <w:shd w:val="clear" w:color="000000" w:fill="F2F2F2"/>
            <w:noWrap/>
            <w:vAlign w:val="center"/>
            <w:hideMark/>
          </w:tcPr>
          <w:p w14:paraId="3EEFD4A9"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$ 17.363.660</w:t>
            </w:r>
          </w:p>
        </w:tc>
        <w:tc>
          <w:tcPr>
            <w:tcW w:w="1200" w:type="dxa"/>
            <w:shd w:val="clear" w:color="000000" w:fill="F2F2F2"/>
            <w:noWrap/>
            <w:vAlign w:val="center"/>
            <w:hideMark/>
          </w:tcPr>
          <w:p w14:paraId="11BE2267"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$ 723</w:t>
            </w:r>
          </w:p>
        </w:tc>
        <w:tc>
          <w:tcPr>
            <w:tcW w:w="1289" w:type="dxa"/>
            <w:shd w:val="clear" w:color="000000" w:fill="F2F2F2"/>
            <w:noWrap/>
            <w:vAlign w:val="center"/>
            <w:hideMark/>
          </w:tcPr>
          <w:p w14:paraId="463A7613"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$ 17.364.383</w:t>
            </w:r>
          </w:p>
        </w:tc>
      </w:tr>
      <w:tr w:rsidR="00382869" w:rsidRPr="00053706" w14:paraId="0EF63075" w14:textId="77777777" w:rsidTr="00053706">
        <w:trPr>
          <w:trHeight w:val="321"/>
        </w:trPr>
        <w:tc>
          <w:tcPr>
            <w:tcW w:w="407" w:type="dxa"/>
            <w:shd w:val="clear" w:color="000000" w:fill="F2F2F2"/>
            <w:noWrap/>
            <w:vAlign w:val="center"/>
            <w:hideMark/>
          </w:tcPr>
          <w:p w14:paraId="1CC909A0" w14:textId="77777777" w:rsidR="00382869" w:rsidRPr="00053706" w:rsidRDefault="00382869" w:rsidP="00D22441">
            <w:pPr>
              <w:jc w:val="center"/>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87</w:t>
            </w:r>
          </w:p>
        </w:tc>
        <w:tc>
          <w:tcPr>
            <w:tcW w:w="585" w:type="dxa"/>
            <w:shd w:val="clear" w:color="000000" w:fill="F2F2F2"/>
            <w:noWrap/>
            <w:vAlign w:val="center"/>
            <w:hideMark/>
          </w:tcPr>
          <w:p w14:paraId="6783119E"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25975</w:t>
            </w:r>
          </w:p>
        </w:tc>
        <w:tc>
          <w:tcPr>
            <w:tcW w:w="941" w:type="dxa"/>
            <w:shd w:val="clear" w:color="000000" w:fill="F2F2F2"/>
            <w:noWrap/>
            <w:vAlign w:val="center"/>
            <w:hideMark/>
          </w:tcPr>
          <w:p w14:paraId="2A47DA14"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900466775</w:t>
            </w:r>
          </w:p>
        </w:tc>
        <w:tc>
          <w:tcPr>
            <w:tcW w:w="3533" w:type="dxa"/>
            <w:shd w:val="clear" w:color="000000" w:fill="F2F2F2"/>
            <w:vAlign w:val="center"/>
            <w:hideMark/>
          </w:tcPr>
          <w:p w14:paraId="2185F886" w14:textId="4BD07114" w:rsidR="00382869" w:rsidRPr="00053706" w:rsidRDefault="00382869" w:rsidP="00D22441">
            <w:pPr>
              <w:jc w:val="lef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HIDROELECTRICA DEL ALTO PORCE S.A.S</w:t>
            </w:r>
            <w:r w:rsidR="008722A6" w:rsidRPr="00053706">
              <w:rPr>
                <w:rFonts w:ascii="Arial Narrow" w:hAnsi="Arial Narrow" w:cs="Arial"/>
                <w:color w:val="000000"/>
                <w:spacing w:val="0"/>
                <w:sz w:val="16"/>
                <w:szCs w:val="16"/>
                <w:lang w:eastAsia="es-CO"/>
              </w:rPr>
              <w:t>.</w:t>
            </w:r>
            <w:r w:rsidRPr="00053706">
              <w:rPr>
                <w:rFonts w:ascii="Arial Narrow" w:hAnsi="Arial Narrow" w:cs="Arial"/>
                <w:color w:val="000000"/>
                <w:spacing w:val="0"/>
                <w:sz w:val="16"/>
                <w:szCs w:val="16"/>
                <w:lang w:eastAsia="es-CO"/>
              </w:rPr>
              <w:t xml:space="preserve"> E.S.P</w:t>
            </w:r>
            <w:r w:rsidR="008722A6" w:rsidRPr="00053706">
              <w:rPr>
                <w:rFonts w:ascii="Arial Narrow" w:hAnsi="Arial Narrow" w:cs="Arial"/>
                <w:color w:val="000000"/>
                <w:spacing w:val="0"/>
                <w:sz w:val="16"/>
                <w:szCs w:val="16"/>
                <w:lang w:eastAsia="es-CO"/>
              </w:rPr>
              <w:t>.</w:t>
            </w:r>
          </w:p>
        </w:tc>
        <w:tc>
          <w:tcPr>
            <w:tcW w:w="1520" w:type="dxa"/>
            <w:shd w:val="clear" w:color="000000" w:fill="F2F2F2"/>
            <w:noWrap/>
            <w:vAlign w:val="center"/>
            <w:hideMark/>
          </w:tcPr>
          <w:p w14:paraId="2B9BFC8E"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$ 307.932.000</w:t>
            </w:r>
          </w:p>
        </w:tc>
        <w:tc>
          <w:tcPr>
            <w:tcW w:w="1360" w:type="dxa"/>
            <w:shd w:val="clear" w:color="000000" w:fill="F2F2F2"/>
            <w:noWrap/>
            <w:vAlign w:val="center"/>
            <w:hideMark/>
          </w:tcPr>
          <w:p w14:paraId="1A349F31"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$ 0</w:t>
            </w:r>
          </w:p>
        </w:tc>
        <w:tc>
          <w:tcPr>
            <w:tcW w:w="1520" w:type="dxa"/>
            <w:shd w:val="clear" w:color="000000" w:fill="F2F2F2"/>
            <w:noWrap/>
            <w:vAlign w:val="center"/>
            <w:hideMark/>
          </w:tcPr>
          <w:p w14:paraId="6FCBD8D7"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$ 307.932.000</w:t>
            </w:r>
          </w:p>
        </w:tc>
        <w:tc>
          <w:tcPr>
            <w:tcW w:w="1200" w:type="dxa"/>
            <w:shd w:val="clear" w:color="000000" w:fill="F2F2F2"/>
            <w:noWrap/>
            <w:vAlign w:val="center"/>
            <w:hideMark/>
          </w:tcPr>
          <w:p w14:paraId="7A4A993A"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$ 3.079.320</w:t>
            </w:r>
          </w:p>
        </w:tc>
        <w:tc>
          <w:tcPr>
            <w:tcW w:w="1200" w:type="dxa"/>
            <w:shd w:val="clear" w:color="000000" w:fill="F2F2F2"/>
            <w:noWrap/>
            <w:vAlign w:val="center"/>
            <w:hideMark/>
          </w:tcPr>
          <w:p w14:paraId="1AE54048"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$ 128</w:t>
            </w:r>
          </w:p>
        </w:tc>
        <w:tc>
          <w:tcPr>
            <w:tcW w:w="1289" w:type="dxa"/>
            <w:shd w:val="clear" w:color="000000" w:fill="F2F2F2"/>
            <w:noWrap/>
            <w:vAlign w:val="center"/>
            <w:hideMark/>
          </w:tcPr>
          <w:p w14:paraId="67DFC785"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$ 3.079.448</w:t>
            </w:r>
          </w:p>
        </w:tc>
      </w:tr>
      <w:tr w:rsidR="00382869" w:rsidRPr="00053706" w14:paraId="237E0330" w14:textId="77777777" w:rsidTr="009A29B8">
        <w:trPr>
          <w:trHeight w:val="465"/>
        </w:trPr>
        <w:tc>
          <w:tcPr>
            <w:tcW w:w="407" w:type="dxa"/>
            <w:shd w:val="clear" w:color="000000" w:fill="F2F2F2"/>
            <w:noWrap/>
            <w:vAlign w:val="center"/>
            <w:hideMark/>
          </w:tcPr>
          <w:p w14:paraId="15ADA4A4" w14:textId="77777777" w:rsidR="00382869" w:rsidRPr="00053706" w:rsidRDefault="00382869" w:rsidP="00D22441">
            <w:pPr>
              <w:jc w:val="center"/>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88</w:t>
            </w:r>
          </w:p>
        </w:tc>
        <w:tc>
          <w:tcPr>
            <w:tcW w:w="585" w:type="dxa"/>
            <w:shd w:val="clear" w:color="000000" w:fill="F2F2F2"/>
            <w:noWrap/>
            <w:vAlign w:val="center"/>
            <w:hideMark/>
          </w:tcPr>
          <w:p w14:paraId="4191DA88"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25965</w:t>
            </w:r>
          </w:p>
        </w:tc>
        <w:tc>
          <w:tcPr>
            <w:tcW w:w="941" w:type="dxa"/>
            <w:shd w:val="clear" w:color="000000" w:fill="F2F2F2"/>
            <w:noWrap/>
            <w:vAlign w:val="center"/>
            <w:hideMark/>
          </w:tcPr>
          <w:p w14:paraId="13795AAB"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900470256</w:t>
            </w:r>
          </w:p>
        </w:tc>
        <w:tc>
          <w:tcPr>
            <w:tcW w:w="3533" w:type="dxa"/>
            <w:shd w:val="clear" w:color="000000" w:fill="F2F2F2"/>
            <w:vAlign w:val="center"/>
            <w:hideMark/>
          </w:tcPr>
          <w:p w14:paraId="3197FBA2" w14:textId="77777777" w:rsidR="00382869" w:rsidRPr="00053706" w:rsidRDefault="00382869" w:rsidP="00D22441">
            <w:pPr>
              <w:jc w:val="lef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xml:space="preserve">EMPRESA ASOCIATIVA DE TRABAJO ELECTROSOLEDAD DE ISCUANDE </w:t>
            </w:r>
          </w:p>
        </w:tc>
        <w:tc>
          <w:tcPr>
            <w:tcW w:w="1520" w:type="dxa"/>
            <w:shd w:val="clear" w:color="000000" w:fill="F2F2F2"/>
            <w:noWrap/>
            <w:vAlign w:val="center"/>
            <w:hideMark/>
          </w:tcPr>
          <w:p w14:paraId="2E9D4175"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$ 173.720.000</w:t>
            </w:r>
          </w:p>
        </w:tc>
        <w:tc>
          <w:tcPr>
            <w:tcW w:w="1360" w:type="dxa"/>
            <w:shd w:val="clear" w:color="000000" w:fill="F2F2F2"/>
            <w:noWrap/>
            <w:vAlign w:val="center"/>
            <w:hideMark/>
          </w:tcPr>
          <w:p w14:paraId="61E4E38B"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$ 21.732.217</w:t>
            </w:r>
          </w:p>
        </w:tc>
        <w:tc>
          <w:tcPr>
            <w:tcW w:w="1520" w:type="dxa"/>
            <w:shd w:val="clear" w:color="000000" w:fill="F2F2F2"/>
            <w:noWrap/>
            <w:vAlign w:val="center"/>
            <w:hideMark/>
          </w:tcPr>
          <w:p w14:paraId="24FA349F"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$ 195.452.217</w:t>
            </w:r>
          </w:p>
        </w:tc>
        <w:tc>
          <w:tcPr>
            <w:tcW w:w="1200" w:type="dxa"/>
            <w:shd w:val="clear" w:color="000000" w:fill="F2F2F2"/>
            <w:noWrap/>
            <w:vAlign w:val="center"/>
            <w:hideMark/>
          </w:tcPr>
          <w:p w14:paraId="2DC18B88"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$ 1.954.522</w:t>
            </w:r>
          </w:p>
        </w:tc>
        <w:tc>
          <w:tcPr>
            <w:tcW w:w="1200" w:type="dxa"/>
            <w:shd w:val="clear" w:color="000000" w:fill="F2F2F2"/>
            <w:noWrap/>
            <w:vAlign w:val="center"/>
            <w:hideMark/>
          </w:tcPr>
          <w:p w14:paraId="7512BD17"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$ 81</w:t>
            </w:r>
          </w:p>
        </w:tc>
        <w:tc>
          <w:tcPr>
            <w:tcW w:w="1289" w:type="dxa"/>
            <w:shd w:val="clear" w:color="000000" w:fill="F2F2F2"/>
            <w:noWrap/>
            <w:vAlign w:val="center"/>
            <w:hideMark/>
          </w:tcPr>
          <w:p w14:paraId="6AED0FA4"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$ 1.954.604</w:t>
            </w:r>
          </w:p>
        </w:tc>
      </w:tr>
      <w:tr w:rsidR="00382869" w:rsidRPr="00053706" w14:paraId="3F7E4009" w14:textId="77777777" w:rsidTr="009A29B8">
        <w:trPr>
          <w:trHeight w:val="349"/>
        </w:trPr>
        <w:tc>
          <w:tcPr>
            <w:tcW w:w="407" w:type="dxa"/>
            <w:shd w:val="clear" w:color="000000" w:fill="F2F2F2"/>
            <w:noWrap/>
            <w:vAlign w:val="center"/>
            <w:hideMark/>
          </w:tcPr>
          <w:p w14:paraId="344CFE9D" w14:textId="77777777" w:rsidR="00382869" w:rsidRPr="00053706" w:rsidRDefault="00382869" w:rsidP="00D22441">
            <w:pPr>
              <w:jc w:val="center"/>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89</w:t>
            </w:r>
          </w:p>
        </w:tc>
        <w:tc>
          <w:tcPr>
            <w:tcW w:w="585" w:type="dxa"/>
            <w:shd w:val="clear" w:color="000000" w:fill="F2F2F2"/>
            <w:noWrap/>
            <w:vAlign w:val="center"/>
            <w:hideMark/>
          </w:tcPr>
          <w:p w14:paraId="08D08D07"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25982</w:t>
            </w:r>
          </w:p>
        </w:tc>
        <w:tc>
          <w:tcPr>
            <w:tcW w:w="941" w:type="dxa"/>
            <w:shd w:val="clear" w:color="000000" w:fill="F2F2F2"/>
            <w:noWrap/>
            <w:vAlign w:val="center"/>
            <w:hideMark/>
          </w:tcPr>
          <w:p w14:paraId="43BEFDAA"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900475298</w:t>
            </w:r>
          </w:p>
        </w:tc>
        <w:tc>
          <w:tcPr>
            <w:tcW w:w="3533" w:type="dxa"/>
            <w:shd w:val="clear" w:color="000000" w:fill="F2F2F2"/>
            <w:vAlign w:val="center"/>
            <w:hideMark/>
          </w:tcPr>
          <w:p w14:paraId="11163E79" w14:textId="77777777" w:rsidR="00382869" w:rsidRPr="00053706" w:rsidRDefault="00382869" w:rsidP="00D22441">
            <w:pPr>
              <w:jc w:val="lef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BIOGAS COLOMBIA GENERSA S.A.S E.S.P.</w:t>
            </w:r>
          </w:p>
        </w:tc>
        <w:tc>
          <w:tcPr>
            <w:tcW w:w="1520" w:type="dxa"/>
            <w:shd w:val="clear" w:color="000000" w:fill="F2F2F2"/>
            <w:noWrap/>
            <w:vAlign w:val="center"/>
            <w:hideMark/>
          </w:tcPr>
          <w:p w14:paraId="1D676806"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$ 2.667.653.000</w:t>
            </w:r>
          </w:p>
        </w:tc>
        <w:tc>
          <w:tcPr>
            <w:tcW w:w="1360" w:type="dxa"/>
            <w:shd w:val="clear" w:color="000000" w:fill="F2F2F2"/>
            <w:noWrap/>
            <w:vAlign w:val="center"/>
            <w:hideMark/>
          </w:tcPr>
          <w:p w14:paraId="230E6D45"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$ 108.969.678</w:t>
            </w:r>
          </w:p>
        </w:tc>
        <w:tc>
          <w:tcPr>
            <w:tcW w:w="1520" w:type="dxa"/>
            <w:shd w:val="clear" w:color="000000" w:fill="F2F2F2"/>
            <w:noWrap/>
            <w:vAlign w:val="center"/>
            <w:hideMark/>
          </w:tcPr>
          <w:p w14:paraId="7B82C7A7"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$ 2.776.622.678</w:t>
            </w:r>
          </w:p>
        </w:tc>
        <w:tc>
          <w:tcPr>
            <w:tcW w:w="1200" w:type="dxa"/>
            <w:shd w:val="clear" w:color="000000" w:fill="F2F2F2"/>
            <w:noWrap/>
            <w:vAlign w:val="center"/>
            <w:hideMark/>
          </w:tcPr>
          <w:p w14:paraId="63325ED5"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$ 27.766.227</w:t>
            </w:r>
          </w:p>
        </w:tc>
        <w:tc>
          <w:tcPr>
            <w:tcW w:w="1200" w:type="dxa"/>
            <w:shd w:val="clear" w:color="000000" w:fill="F2F2F2"/>
            <w:noWrap/>
            <w:vAlign w:val="center"/>
            <w:hideMark/>
          </w:tcPr>
          <w:p w14:paraId="1E6CF350"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$ 1.156</w:t>
            </w:r>
          </w:p>
        </w:tc>
        <w:tc>
          <w:tcPr>
            <w:tcW w:w="1289" w:type="dxa"/>
            <w:shd w:val="clear" w:color="000000" w:fill="F2F2F2"/>
            <w:noWrap/>
            <w:vAlign w:val="center"/>
            <w:hideMark/>
          </w:tcPr>
          <w:p w14:paraId="54BF070C"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$ 27.767.382</w:t>
            </w:r>
          </w:p>
        </w:tc>
      </w:tr>
      <w:tr w:rsidR="00382869" w:rsidRPr="00053706" w14:paraId="021FED8C" w14:textId="77777777" w:rsidTr="009A29B8">
        <w:trPr>
          <w:trHeight w:val="269"/>
        </w:trPr>
        <w:tc>
          <w:tcPr>
            <w:tcW w:w="407" w:type="dxa"/>
            <w:shd w:val="clear" w:color="000000" w:fill="F2F2F2"/>
            <w:noWrap/>
            <w:vAlign w:val="center"/>
            <w:hideMark/>
          </w:tcPr>
          <w:p w14:paraId="696B6997" w14:textId="77777777" w:rsidR="00382869" w:rsidRPr="00053706" w:rsidRDefault="00382869" w:rsidP="00D22441">
            <w:pPr>
              <w:jc w:val="center"/>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90</w:t>
            </w:r>
          </w:p>
        </w:tc>
        <w:tc>
          <w:tcPr>
            <w:tcW w:w="585" w:type="dxa"/>
            <w:shd w:val="clear" w:color="000000" w:fill="F2F2F2"/>
            <w:noWrap/>
            <w:vAlign w:val="center"/>
            <w:hideMark/>
          </w:tcPr>
          <w:p w14:paraId="58BEBB44"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32593</w:t>
            </w:r>
          </w:p>
        </w:tc>
        <w:tc>
          <w:tcPr>
            <w:tcW w:w="941" w:type="dxa"/>
            <w:shd w:val="clear" w:color="000000" w:fill="F2F2F2"/>
            <w:noWrap/>
            <w:vAlign w:val="center"/>
            <w:hideMark/>
          </w:tcPr>
          <w:p w14:paraId="282311BF"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900493235</w:t>
            </w:r>
          </w:p>
        </w:tc>
        <w:tc>
          <w:tcPr>
            <w:tcW w:w="3533" w:type="dxa"/>
            <w:shd w:val="clear" w:color="000000" w:fill="F2F2F2"/>
            <w:vAlign w:val="center"/>
            <w:hideMark/>
          </w:tcPr>
          <w:p w14:paraId="646C9165" w14:textId="77777777" w:rsidR="00382869" w:rsidRPr="00053706" w:rsidRDefault="00382869" w:rsidP="00D22441">
            <w:pPr>
              <w:jc w:val="lef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GENERADORA ALEJANDRIA S.A.S. - E.S.P.</w:t>
            </w:r>
          </w:p>
        </w:tc>
        <w:tc>
          <w:tcPr>
            <w:tcW w:w="1520" w:type="dxa"/>
            <w:shd w:val="clear" w:color="000000" w:fill="F2F2F2"/>
            <w:noWrap/>
            <w:vAlign w:val="center"/>
            <w:hideMark/>
          </w:tcPr>
          <w:p w14:paraId="3412B4B2"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$ 2.046.052.000</w:t>
            </w:r>
          </w:p>
        </w:tc>
        <w:tc>
          <w:tcPr>
            <w:tcW w:w="1360" w:type="dxa"/>
            <w:shd w:val="clear" w:color="000000" w:fill="F2F2F2"/>
            <w:noWrap/>
            <w:vAlign w:val="center"/>
            <w:hideMark/>
          </w:tcPr>
          <w:p w14:paraId="4CAAE4CF"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$ 0</w:t>
            </w:r>
          </w:p>
        </w:tc>
        <w:tc>
          <w:tcPr>
            <w:tcW w:w="1520" w:type="dxa"/>
            <w:shd w:val="clear" w:color="000000" w:fill="F2F2F2"/>
            <w:noWrap/>
            <w:vAlign w:val="center"/>
            <w:hideMark/>
          </w:tcPr>
          <w:p w14:paraId="5318B25D"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$ 2.046.052.000</w:t>
            </w:r>
          </w:p>
        </w:tc>
        <w:tc>
          <w:tcPr>
            <w:tcW w:w="1200" w:type="dxa"/>
            <w:shd w:val="clear" w:color="000000" w:fill="F2F2F2"/>
            <w:noWrap/>
            <w:vAlign w:val="center"/>
            <w:hideMark/>
          </w:tcPr>
          <w:p w14:paraId="757F7977"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$ 20.460.520</w:t>
            </w:r>
          </w:p>
        </w:tc>
        <w:tc>
          <w:tcPr>
            <w:tcW w:w="1200" w:type="dxa"/>
            <w:shd w:val="clear" w:color="000000" w:fill="F2F2F2"/>
            <w:noWrap/>
            <w:vAlign w:val="center"/>
            <w:hideMark/>
          </w:tcPr>
          <w:p w14:paraId="3663C8B6"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$ 851</w:t>
            </w:r>
          </w:p>
        </w:tc>
        <w:tc>
          <w:tcPr>
            <w:tcW w:w="1289" w:type="dxa"/>
            <w:shd w:val="clear" w:color="000000" w:fill="F2F2F2"/>
            <w:noWrap/>
            <w:vAlign w:val="center"/>
            <w:hideMark/>
          </w:tcPr>
          <w:p w14:paraId="2D17B8F9"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$ 20.461.371</w:t>
            </w:r>
          </w:p>
        </w:tc>
      </w:tr>
      <w:tr w:rsidR="00382869" w:rsidRPr="00053706" w14:paraId="67D22301" w14:textId="77777777" w:rsidTr="009A29B8">
        <w:trPr>
          <w:trHeight w:val="259"/>
        </w:trPr>
        <w:tc>
          <w:tcPr>
            <w:tcW w:w="407" w:type="dxa"/>
            <w:shd w:val="clear" w:color="000000" w:fill="F2F2F2"/>
            <w:noWrap/>
            <w:vAlign w:val="center"/>
            <w:hideMark/>
          </w:tcPr>
          <w:p w14:paraId="1DE8B31B" w14:textId="77777777" w:rsidR="00382869" w:rsidRPr="00053706" w:rsidRDefault="00382869" w:rsidP="00D22441">
            <w:pPr>
              <w:jc w:val="center"/>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91</w:t>
            </w:r>
          </w:p>
        </w:tc>
        <w:tc>
          <w:tcPr>
            <w:tcW w:w="585" w:type="dxa"/>
            <w:shd w:val="clear" w:color="000000" w:fill="F2F2F2"/>
            <w:noWrap/>
            <w:vAlign w:val="center"/>
            <w:hideMark/>
          </w:tcPr>
          <w:p w14:paraId="032BE2D7"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26653</w:t>
            </w:r>
          </w:p>
        </w:tc>
        <w:tc>
          <w:tcPr>
            <w:tcW w:w="941" w:type="dxa"/>
            <w:shd w:val="clear" w:color="000000" w:fill="F2F2F2"/>
            <w:noWrap/>
            <w:vAlign w:val="center"/>
            <w:hideMark/>
          </w:tcPr>
          <w:p w14:paraId="45A9F5EC"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900499252</w:t>
            </w:r>
          </w:p>
        </w:tc>
        <w:tc>
          <w:tcPr>
            <w:tcW w:w="3533" w:type="dxa"/>
            <w:shd w:val="clear" w:color="000000" w:fill="F2F2F2"/>
            <w:vAlign w:val="center"/>
            <w:hideMark/>
          </w:tcPr>
          <w:p w14:paraId="244C31D6" w14:textId="77777777" w:rsidR="00382869" w:rsidRPr="00053706" w:rsidRDefault="00382869" w:rsidP="00D22441">
            <w:pPr>
              <w:jc w:val="lef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ECOMMERCIAL SAS ESP</w:t>
            </w:r>
          </w:p>
        </w:tc>
        <w:tc>
          <w:tcPr>
            <w:tcW w:w="1520" w:type="dxa"/>
            <w:shd w:val="clear" w:color="000000" w:fill="F2F2F2"/>
            <w:noWrap/>
            <w:vAlign w:val="center"/>
            <w:hideMark/>
          </w:tcPr>
          <w:p w14:paraId="1A2093B8"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$ 5.289.242.000</w:t>
            </w:r>
          </w:p>
        </w:tc>
        <w:tc>
          <w:tcPr>
            <w:tcW w:w="1360" w:type="dxa"/>
            <w:shd w:val="clear" w:color="000000" w:fill="F2F2F2"/>
            <w:noWrap/>
            <w:vAlign w:val="center"/>
            <w:hideMark/>
          </w:tcPr>
          <w:p w14:paraId="6ECFBD6D"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$ 0</w:t>
            </w:r>
          </w:p>
        </w:tc>
        <w:tc>
          <w:tcPr>
            <w:tcW w:w="1520" w:type="dxa"/>
            <w:shd w:val="clear" w:color="000000" w:fill="F2F2F2"/>
            <w:noWrap/>
            <w:vAlign w:val="center"/>
            <w:hideMark/>
          </w:tcPr>
          <w:p w14:paraId="32A2F8A8"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$ 5.289.242.000</w:t>
            </w:r>
          </w:p>
        </w:tc>
        <w:tc>
          <w:tcPr>
            <w:tcW w:w="1200" w:type="dxa"/>
            <w:shd w:val="clear" w:color="000000" w:fill="F2F2F2"/>
            <w:noWrap/>
            <w:vAlign w:val="center"/>
            <w:hideMark/>
          </w:tcPr>
          <w:p w14:paraId="312A1AD3"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$ 52.892.420</w:t>
            </w:r>
          </w:p>
        </w:tc>
        <w:tc>
          <w:tcPr>
            <w:tcW w:w="1200" w:type="dxa"/>
            <w:shd w:val="clear" w:color="000000" w:fill="F2F2F2"/>
            <w:noWrap/>
            <w:vAlign w:val="center"/>
            <w:hideMark/>
          </w:tcPr>
          <w:p w14:paraId="3753E9AB"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$ 2.201</w:t>
            </w:r>
          </w:p>
        </w:tc>
        <w:tc>
          <w:tcPr>
            <w:tcW w:w="1289" w:type="dxa"/>
            <w:shd w:val="clear" w:color="000000" w:fill="F2F2F2"/>
            <w:noWrap/>
            <w:vAlign w:val="center"/>
            <w:hideMark/>
          </w:tcPr>
          <w:p w14:paraId="293816DF"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$ 52.894.621</w:t>
            </w:r>
          </w:p>
        </w:tc>
      </w:tr>
      <w:tr w:rsidR="00382869" w:rsidRPr="00053706" w14:paraId="26CFFA11" w14:textId="77777777" w:rsidTr="009A29B8">
        <w:trPr>
          <w:trHeight w:val="263"/>
        </w:trPr>
        <w:tc>
          <w:tcPr>
            <w:tcW w:w="407" w:type="dxa"/>
            <w:shd w:val="clear" w:color="000000" w:fill="F2F2F2"/>
            <w:noWrap/>
            <w:vAlign w:val="center"/>
            <w:hideMark/>
          </w:tcPr>
          <w:p w14:paraId="0395CDD6" w14:textId="77777777" w:rsidR="00382869" w:rsidRPr="00053706" w:rsidRDefault="00382869" w:rsidP="00D22441">
            <w:pPr>
              <w:jc w:val="center"/>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92</w:t>
            </w:r>
          </w:p>
        </w:tc>
        <w:tc>
          <w:tcPr>
            <w:tcW w:w="585" w:type="dxa"/>
            <w:shd w:val="clear" w:color="000000" w:fill="F2F2F2"/>
            <w:noWrap/>
            <w:vAlign w:val="center"/>
            <w:hideMark/>
          </w:tcPr>
          <w:p w14:paraId="25063082"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28071</w:t>
            </w:r>
          </w:p>
        </w:tc>
        <w:tc>
          <w:tcPr>
            <w:tcW w:w="941" w:type="dxa"/>
            <w:shd w:val="clear" w:color="000000" w:fill="F2F2F2"/>
            <w:noWrap/>
            <w:vAlign w:val="center"/>
            <w:hideMark/>
          </w:tcPr>
          <w:p w14:paraId="797FB3AE"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900516015</w:t>
            </w:r>
          </w:p>
        </w:tc>
        <w:tc>
          <w:tcPr>
            <w:tcW w:w="3533" w:type="dxa"/>
            <w:shd w:val="clear" w:color="000000" w:fill="F2F2F2"/>
            <w:vAlign w:val="center"/>
            <w:hideMark/>
          </w:tcPr>
          <w:p w14:paraId="331D0CDA" w14:textId="77777777" w:rsidR="00382869" w:rsidRPr="00053706" w:rsidRDefault="00382869" w:rsidP="00D22441">
            <w:pPr>
              <w:jc w:val="lef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IAC ENERGY SAS ESP</w:t>
            </w:r>
          </w:p>
        </w:tc>
        <w:tc>
          <w:tcPr>
            <w:tcW w:w="1520" w:type="dxa"/>
            <w:shd w:val="clear" w:color="000000" w:fill="F2F2F2"/>
            <w:noWrap/>
            <w:vAlign w:val="center"/>
            <w:hideMark/>
          </w:tcPr>
          <w:p w14:paraId="7C82DDBC"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$ 218.605.000</w:t>
            </w:r>
          </w:p>
        </w:tc>
        <w:tc>
          <w:tcPr>
            <w:tcW w:w="1360" w:type="dxa"/>
            <w:shd w:val="clear" w:color="000000" w:fill="F2F2F2"/>
            <w:noWrap/>
            <w:vAlign w:val="center"/>
            <w:hideMark/>
          </w:tcPr>
          <w:p w14:paraId="43816DA2"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$ 569.286</w:t>
            </w:r>
          </w:p>
        </w:tc>
        <w:tc>
          <w:tcPr>
            <w:tcW w:w="1520" w:type="dxa"/>
            <w:shd w:val="clear" w:color="000000" w:fill="F2F2F2"/>
            <w:noWrap/>
            <w:vAlign w:val="center"/>
            <w:hideMark/>
          </w:tcPr>
          <w:p w14:paraId="5757AEE6"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$ 219.174.286</w:t>
            </w:r>
          </w:p>
        </w:tc>
        <w:tc>
          <w:tcPr>
            <w:tcW w:w="1200" w:type="dxa"/>
            <w:shd w:val="clear" w:color="000000" w:fill="F2F2F2"/>
            <w:noWrap/>
            <w:vAlign w:val="center"/>
            <w:hideMark/>
          </w:tcPr>
          <w:p w14:paraId="59DD9F98"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$ 2.191.743</w:t>
            </w:r>
          </w:p>
        </w:tc>
        <w:tc>
          <w:tcPr>
            <w:tcW w:w="1200" w:type="dxa"/>
            <w:shd w:val="clear" w:color="000000" w:fill="F2F2F2"/>
            <w:noWrap/>
            <w:vAlign w:val="center"/>
            <w:hideMark/>
          </w:tcPr>
          <w:p w14:paraId="26407598"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$ 91</w:t>
            </w:r>
          </w:p>
        </w:tc>
        <w:tc>
          <w:tcPr>
            <w:tcW w:w="1289" w:type="dxa"/>
            <w:shd w:val="clear" w:color="000000" w:fill="F2F2F2"/>
            <w:noWrap/>
            <w:vAlign w:val="center"/>
            <w:hideMark/>
          </w:tcPr>
          <w:p w14:paraId="11EC06DD"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$ 2.191.834</w:t>
            </w:r>
          </w:p>
        </w:tc>
      </w:tr>
      <w:tr w:rsidR="00382869" w:rsidRPr="00053706" w14:paraId="0158EF6D" w14:textId="77777777" w:rsidTr="009A29B8">
        <w:trPr>
          <w:trHeight w:val="253"/>
        </w:trPr>
        <w:tc>
          <w:tcPr>
            <w:tcW w:w="407" w:type="dxa"/>
            <w:shd w:val="clear" w:color="000000" w:fill="F2F2F2"/>
            <w:noWrap/>
            <w:vAlign w:val="center"/>
            <w:hideMark/>
          </w:tcPr>
          <w:p w14:paraId="13B93758" w14:textId="77777777" w:rsidR="00382869" w:rsidRPr="00053706" w:rsidRDefault="00382869" w:rsidP="00D22441">
            <w:pPr>
              <w:jc w:val="center"/>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93</w:t>
            </w:r>
          </w:p>
        </w:tc>
        <w:tc>
          <w:tcPr>
            <w:tcW w:w="585" w:type="dxa"/>
            <w:shd w:val="clear" w:color="000000" w:fill="F2F2F2"/>
            <w:noWrap/>
            <w:vAlign w:val="center"/>
            <w:hideMark/>
          </w:tcPr>
          <w:p w14:paraId="438CE44A"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26108</w:t>
            </w:r>
          </w:p>
        </w:tc>
        <w:tc>
          <w:tcPr>
            <w:tcW w:w="941" w:type="dxa"/>
            <w:shd w:val="clear" w:color="000000" w:fill="F2F2F2"/>
            <w:noWrap/>
            <w:vAlign w:val="center"/>
            <w:hideMark/>
          </w:tcPr>
          <w:p w14:paraId="0F1EC300"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900519716</w:t>
            </w:r>
          </w:p>
        </w:tc>
        <w:tc>
          <w:tcPr>
            <w:tcW w:w="3533" w:type="dxa"/>
            <w:shd w:val="clear" w:color="000000" w:fill="F2F2F2"/>
            <w:vAlign w:val="center"/>
            <w:hideMark/>
          </w:tcPr>
          <w:p w14:paraId="2A2BA1DB" w14:textId="77777777" w:rsidR="00382869" w:rsidRPr="00053706" w:rsidRDefault="00382869" w:rsidP="00D22441">
            <w:pPr>
              <w:jc w:val="lef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TERMOTASAJERO DOS S.A. E.S.P.</w:t>
            </w:r>
          </w:p>
        </w:tc>
        <w:tc>
          <w:tcPr>
            <w:tcW w:w="1520" w:type="dxa"/>
            <w:shd w:val="clear" w:color="000000" w:fill="F2F2F2"/>
            <w:noWrap/>
            <w:vAlign w:val="center"/>
            <w:hideMark/>
          </w:tcPr>
          <w:p w14:paraId="66ED13A4"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$ 1.228.078.000</w:t>
            </w:r>
          </w:p>
        </w:tc>
        <w:tc>
          <w:tcPr>
            <w:tcW w:w="1360" w:type="dxa"/>
            <w:shd w:val="clear" w:color="000000" w:fill="F2F2F2"/>
            <w:noWrap/>
            <w:vAlign w:val="center"/>
            <w:hideMark/>
          </w:tcPr>
          <w:p w14:paraId="3017668D"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$ 1.720.617.869</w:t>
            </w:r>
          </w:p>
        </w:tc>
        <w:tc>
          <w:tcPr>
            <w:tcW w:w="1520" w:type="dxa"/>
            <w:shd w:val="clear" w:color="000000" w:fill="F2F2F2"/>
            <w:noWrap/>
            <w:vAlign w:val="center"/>
            <w:hideMark/>
          </w:tcPr>
          <w:p w14:paraId="0CC5FF40"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$ 2.948.695.869</w:t>
            </w:r>
          </w:p>
        </w:tc>
        <w:tc>
          <w:tcPr>
            <w:tcW w:w="1200" w:type="dxa"/>
            <w:shd w:val="clear" w:color="000000" w:fill="F2F2F2"/>
            <w:noWrap/>
            <w:vAlign w:val="center"/>
            <w:hideMark/>
          </w:tcPr>
          <w:p w14:paraId="22DDED6E"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$ 29.486.959</w:t>
            </w:r>
          </w:p>
        </w:tc>
        <w:tc>
          <w:tcPr>
            <w:tcW w:w="1200" w:type="dxa"/>
            <w:shd w:val="clear" w:color="000000" w:fill="F2F2F2"/>
            <w:noWrap/>
            <w:vAlign w:val="center"/>
            <w:hideMark/>
          </w:tcPr>
          <w:p w14:paraId="36EA4AC3"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$ 1.227</w:t>
            </w:r>
          </w:p>
        </w:tc>
        <w:tc>
          <w:tcPr>
            <w:tcW w:w="1289" w:type="dxa"/>
            <w:shd w:val="clear" w:color="000000" w:fill="F2F2F2"/>
            <w:noWrap/>
            <w:vAlign w:val="center"/>
            <w:hideMark/>
          </w:tcPr>
          <w:p w14:paraId="5542DE59"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$ 29.488.186</w:t>
            </w:r>
          </w:p>
        </w:tc>
      </w:tr>
      <w:tr w:rsidR="00382869" w:rsidRPr="00053706" w14:paraId="7D9DEEC5" w14:textId="77777777" w:rsidTr="009A29B8">
        <w:trPr>
          <w:trHeight w:val="189"/>
        </w:trPr>
        <w:tc>
          <w:tcPr>
            <w:tcW w:w="407" w:type="dxa"/>
            <w:shd w:val="clear" w:color="000000" w:fill="F2F2F2"/>
            <w:noWrap/>
            <w:vAlign w:val="center"/>
            <w:hideMark/>
          </w:tcPr>
          <w:p w14:paraId="4BE5DC13" w14:textId="77777777" w:rsidR="00382869" w:rsidRPr="00053706" w:rsidRDefault="00382869" w:rsidP="00D22441">
            <w:pPr>
              <w:jc w:val="center"/>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94</w:t>
            </w:r>
          </w:p>
        </w:tc>
        <w:tc>
          <w:tcPr>
            <w:tcW w:w="585" w:type="dxa"/>
            <w:shd w:val="clear" w:color="000000" w:fill="F2F2F2"/>
            <w:noWrap/>
            <w:vAlign w:val="center"/>
            <w:hideMark/>
          </w:tcPr>
          <w:p w14:paraId="4C389693"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26580</w:t>
            </w:r>
          </w:p>
        </w:tc>
        <w:tc>
          <w:tcPr>
            <w:tcW w:w="941" w:type="dxa"/>
            <w:shd w:val="clear" w:color="000000" w:fill="F2F2F2"/>
            <w:noWrap/>
            <w:vAlign w:val="center"/>
            <w:hideMark/>
          </w:tcPr>
          <w:p w14:paraId="31F56A42"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900579800</w:t>
            </w:r>
          </w:p>
        </w:tc>
        <w:tc>
          <w:tcPr>
            <w:tcW w:w="3533" w:type="dxa"/>
            <w:shd w:val="clear" w:color="000000" w:fill="F2F2F2"/>
            <w:vAlign w:val="center"/>
            <w:hideMark/>
          </w:tcPr>
          <w:p w14:paraId="2EFA2C30" w14:textId="77777777" w:rsidR="00382869" w:rsidRPr="00053706" w:rsidRDefault="00382869" w:rsidP="00D22441">
            <w:pPr>
              <w:jc w:val="lef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GENSER POWER SAS ESP</w:t>
            </w:r>
          </w:p>
        </w:tc>
        <w:tc>
          <w:tcPr>
            <w:tcW w:w="1520" w:type="dxa"/>
            <w:shd w:val="clear" w:color="000000" w:fill="F2F2F2"/>
            <w:noWrap/>
            <w:vAlign w:val="center"/>
            <w:hideMark/>
          </w:tcPr>
          <w:p w14:paraId="4E7DE87B"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$ 910.083.000</w:t>
            </w:r>
          </w:p>
        </w:tc>
        <w:tc>
          <w:tcPr>
            <w:tcW w:w="1360" w:type="dxa"/>
            <w:shd w:val="clear" w:color="000000" w:fill="F2F2F2"/>
            <w:noWrap/>
            <w:vAlign w:val="center"/>
            <w:hideMark/>
          </w:tcPr>
          <w:p w14:paraId="4F4C959E"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$ 0</w:t>
            </w:r>
          </w:p>
        </w:tc>
        <w:tc>
          <w:tcPr>
            <w:tcW w:w="1520" w:type="dxa"/>
            <w:shd w:val="clear" w:color="000000" w:fill="F2F2F2"/>
            <w:noWrap/>
            <w:vAlign w:val="center"/>
            <w:hideMark/>
          </w:tcPr>
          <w:p w14:paraId="4814AD8F"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$ 910.083.000</w:t>
            </w:r>
          </w:p>
        </w:tc>
        <w:tc>
          <w:tcPr>
            <w:tcW w:w="1200" w:type="dxa"/>
            <w:shd w:val="clear" w:color="000000" w:fill="F2F2F2"/>
            <w:noWrap/>
            <w:vAlign w:val="center"/>
            <w:hideMark/>
          </w:tcPr>
          <w:p w14:paraId="5C5314A6"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$ 9.100.830</w:t>
            </w:r>
          </w:p>
        </w:tc>
        <w:tc>
          <w:tcPr>
            <w:tcW w:w="1200" w:type="dxa"/>
            <w:shd w:val="clear" w:color="000000" w:fill="F2F2F2"/>
            <w:noWrap/>
            <w:vAlign w:val="center"/>
            <w:hideMark/>
          </w:tcPr>
          <w:p w14:paraId="7A4C0C01"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$ 379</w:t>
            </w:r>
          </w:p>
        </w:tc>
        <w:tc>
          <w:tcPr>
            <w:tcW w:w="1289" w:type="dxa"/>
            <w:shd w:val="clear" w:color="000000" w:fill="F2F2F2"/>
            <w:noWrap/>
            <w:vAlign w:val="center"/>
            <w:hideMark/>
          </w:tcPr>
          <w:p w14:paraId="52756B30"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$ 9.101.209</w:t>
            </w:r>
          </w:p>
        </w:tc>
      </w:tr>
      <w:tr w:rsidR="00382869" w:rsidRPr="00053706" w14:paraId="42A8CD01" w14:textId="77777777" w:rsidTr="009A29B8">
        <w:trPr>
          <w:trHeight w:val="281"/>
        </w:trPr>
        <w:tc>
          <w:tcPr>
            <w:tcW w:w="407" w:type="dxa"/>
            <w:shd w:val="clear" w:color="000000" w:fill="F2F2F2"/>
            <w:noWrap/>
            <w:vAlign w:val="center"/>
            <w:hideMark/>
          </w:tcPr>
          <w:p w14:paraId="2EDDEFB5" w14:textId="77777777" w:rsidR="00382869" w:rsidRPr="00053706" w:rsidRDefault="00382869" w:rsidP="00D22441">
            <w:pPr>
              <w:jc w:val="center"/>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95</w:t>
            </w:r>
          </w:p>
        </w:tc>
        <w:tc>
          <w:tcPr>
            <w:tcW w:w="585" w:type="dxa"/>
            <w:shd w:val="clear" w:color="000000" w:fill="F2F2F2"/>
            <w:noWrap/>
            <w:vAlign w:val="center"/>
            <w:hideMark/>
          </w:tcPr>
          <w:p w14:paraId="1341BB36"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38014</w:t>
            </w:r>
          </w:p>
        </w:tc>
        <w:tc>
          <w:tcPr>
            <w:tcW w:w="941" w:type="dxa"/>
            <w:shd w:val="clear" w:color="000000" w:fill="F2F2F2"/>
            <w:noWrap/>
            <w:vAlign w:val="center"/>
            <w:hideMark/>
          </w:tcPr>
          <w:p w14:paraId="5BB7D2E5"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900582235</w:t>
            </w:r>
          </w:p>
        </w:tc>
        <w:tc>
          <w:tcPr>
            <w:tcW w:w="3533" w:type="dxa"/>
            <w:shd w:val="clear" w:color="000000" w:fill="F2F2F2"/>
            <w:vAlign w:val="center"/>
            <w:hideMark/>
          </w:tcPr>
          <w:p w14:paraId="36227196" w14:textId="77777777" w:rsidR="00382869" w:rsidRPr="00053706" w:rsidRDefault="00382869" w:rsidP="00D22441">
            <w:pPr>
              <w:jc w:val="lef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PCHS LOS MOLINOS S.A.S. E.S.P.</w:t>
            </w:r>
          </w:p>
        </w:tc>
        <w:tc>
          <w:tcPr>
            <w:tcW w:w="1520" w:type="dxa"/>
            <w:shd w:val="clear" w:color="000000" w:fill="F2F2F2"/>
            <w:noWrap/>
            <w:vAlign w:val="center"/>
            <w:hideMark/>
          </w:tcPr>
          <w:p w14:paraId="626C4B86"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$ 4.503.814.000</w:t>
            </w:r>
          </w:p>
        </w:tc>
        <w:tc>
          <w:tcPr>
            <w:tcW w:w="1360" w:type="dxa"/>
            <w:shd w:val="clear" w:color="000000" w:fill="F2F2F2"/>
            <w:noWrap/>
            <w:vAlign w:val="center"/>
            <w:hideMark/>
          </w:tcPr>
          <w:p w14:paraId="6F9A512F"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$ 0</w:t>
            </w:r>
          </w:p>
        </w:tc>
        <w:tc>
          <w:tcPr>
            <w:tcW w:w="1520" w:type="dxa"/>
            <w:shd w:val="clear" w:color="000000" w:fill="F2F2F2"/>
            <w:noWrap/>
            <w:vAlign w:val="center"/>
            <w:hideMark/>
          </w:tcPr>
          <w:p w14:paraId="0E295B6F"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$ 4.503.814.000</w:t>
            </w:r>
          </w:p>
        </w:tc>
        <w:tc>
          <w:tcPr>
            <w:tcW w:w="1200" w:type="dxa"/>
            <w:shd w:val="clear" w:color="000000" w:fill="F2F2F2"/>
            <w:noWrap/>
            <w:vAlign w:val="center"/>
            <w:hideMark/>
          </w:tcPr>
          <w:p w14:paraId="63A55F67"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$ 45.038.140</w:t>
            </w:r>
          </w:p>
        </w:tc>
        <w:tc>
          <w:tcPr>
            <w:tcW w:w="1200" w:type="dxa"/>
            <w:shd w:val="clear" w:color="000000" w:fill="F2F2F2"/>
            <w:noWrap/>
            <w:vAlign w:val="center"/>
            <w:hideMark/>
          </w:tcPr>
          <w:p w14:paraId="5A49E774"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$ 1.874</w:t>
            </w:r>
          </w:p>
        </w:tc>
        <w:tc>
          <w:tcPr>
            <w:tcW w:w="1289" w:type="dxa"/>
            <w:shd w:val="clear" w:color="000000" w:fill="F2F2F2"/>
            <w:noWrap/>
            <w:vAlign w:val="center"/>
            <w:hideMark/>
          </w:tcPr>
          <w:p w14:paraId="604142B4"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$ 45.040.014</w:t>
            </w:r>
          </w:p>
        </w:tc>
      </w:tr>
      <w:tr w:rsidR="00382869" w:rsidRPr="00053706" w14:paraId="3AB859CC" w14:textId="77777777" w:rsidTr="009A29B8">
        <w:trPr>
          <w:trHeight w:val="335"/>
        </w:trPr>
        <w:tc>
          <w:tcPr>
            <w:tcW w:w="407" w:type="dxa"/>
            <w:shd w:val="clear" w:color="000000" w:fill="F2F2F2"/>
            <w:noWrap/>
            <w:vAlign w:val="center"/>
            <w:hideMark/>
          </w:tcPr>
          <w:p w14:paraId="60CD827E" w14:textId="77777777" w:rsidR="00382869" w:rsidRPr="00053706" w:rsidRDefault="00382869" w:rsidP="00D22441">
            <w:pPr>
              <w:jc w:val="center"/>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96</w:t>
            </w:r>
          </w:p>
        </w:tc>
        <w:tc>
          <w:tcPr>
            <w:tcW w:w="585" w:type="dxa"/>
            <w:shd w:val="clear" w:color="000000" w:fill="F2F2F2"/>
            <w:noWrap/>
            <w:vAlign w:val="center"/>
            <w:hideMark/>
          </w:tcPr>
          <w:p w14:paraId="47140187"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46882</w:t>
            </w:r>
          </w:p>
        </w:tc>
        <w:tc>
          <w:tcPr>
            <w:tcW w:w="941" w:type="dxa"/>
            <w:shd w:val="clear" w:color="000000" w:fill="F2F2F2"/>
            <w:noWrap/>
            <w:vAlign w:val="center"/>
            <w:hideMark/>
          </w:tcPr>
          <w:p w14:paraId="658B6524"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900584846</w:t>
            </w:r>
          </w:p>
        </w:tc>
        <w:tc>
          <w:tcPr>
            <w:tcW w:w="3533" w:type="dxa"/>
            <w:shd w:val="clear" w:color="000000" w:fill="F2F2F2"/>
            <w:vAlign w:val="center"/>
            <w:hideMark/>
          </w:tcPr>
          <w:p w14:paraId="2FB412C3" w14:textId="35FE86C6" w:rsidR="00382869" w:rsidRPr="00053706" w:rsidRDefault="008722A6" w:rsidP="00D22441">
            <w:pPr>
              <w:jc w:val="lef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Hidroeléctrica</w:t>
            </w:r>
            <w:r w:rsidR="00382869" w:rsidRPr="00053706">
              <w:rPr>
                <w:rFonts w:ascii="Arial Narrow" w:hAnsi="Arial Narrow" w:cs="Arial"/>
                <w:color w:val="000000"/>
                <w:spacing w:val="0"/>
                <w:sz w:val="16"/>
                <w:szCs w:val="16"/>
                <w:lang w:eastAsia="es-CO"/>
              </w:rPr>
              <w:t xml:space="preserve"> Barrancas S.A.S E.S.P</w:t>
            </w:r>
            <w:r w:rsidRPr="00053706">
              <w:rPr>
                <w:rFonts w:ascii="Arial Narrow" w:hAnsi="Arial Narrow" w:cs="Arial"/>
                <w:color w:val="000000"/>
                <w:spacing w:val="0"/>
                <w:sz w:val="16"/>
                <w:szCs w:val="16"/>
                <w:lang w:eastAsia="es-CO"/>
              </w:rPr>
              <w:t>.</w:t>
            </w:r>
          </w:p>
        </w:tc>
        <w:tc>
          <w:tcPr>
            <w:tcW w:w="1520" w:type="dxa"/>
            <w:shd w:val="clear" w:color="000000" w:fill="F2F2F2"/>
            <w:noWrap/>
            <w:vAlign w:val="center"/>
            <w:hideMark/>
          </w:tcPr>
          <w:p w14:paraId="2A407FE8"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$ 661.736.000</w:t>
            </w:r>
          </w:p>
        </w:tc>
        <w:tc>
          <w:tcPr>
            <w:tcW w:w="1360" w:type="dxa"/>
            <w:shd w:val="clear" w:color="000000" w:fill="F2F2F2"/>
            <w:noWrap/>
            <w:vAlign w:val="center"/>
            <w:hideMark/>
          </w:tcPr>
          <w:p w14:paraId="0777C28C"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$ 0</w:t>
            </w:r>
          </w:p>
        </w:tc>
        <w:tc>
          <w:tcPr>
            <w:tcW w:w="1520" w:type="dxa"/>
            <w:shd w:val="clear" w:color="000000" w:fill="F2F2F2"/>
            <w:noWrap/>
            <w:vAlign w:val="center"/>
            <w:hideMark/>
          </w:tcPr>
          <w:p w14:paraId="186F317B"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$ 661.736.000</w:t>
            </w:r>
          </w:p>
        </w:tc>
        <w:tc>
          <w:tcPr>
            <w:tcW w:w="1200" w:type="dxa"/>
            <w:shd w:val="clear" w:color="000000" w:fill="F2F2F2"/>
            <w:noWrap/>
            <w:vAlign w:val="center"/>
            <w:hideMark/>
          </w:tcPr>
          <w:p w14:paraId="7CC9ED22"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$ 6.617.360</w:t>
            </w:r>
          </w:p>
        </w:tc>
        <w:tc>
          <w:tcPr>
            <w:tcW w:w="1200" w:type="dxa"/>
            <w:shd w:val="clear" w:color="000000" w:fill="F2F2F2"/>
            <w:noWrap/>
            <w:vAlign w:val="center"/>
            <w:hideMark/>
          </w:tcPr>
          <w:p w14:paraId="699B2D0E"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$ 275</w:t>
            </w:r>
          </w:p>
        </w:tc>
        <w:tc>
          <w:tcPr>
            <w:tcW w:w="1289" w:type="dxa"/>
            <w:shd w:val="clear" w:color="000000" w:fill="F2F2F2"/>
            <w:noWrap/>
            <w:vAlign w:val="center"/>
            <w:hideMark/>
          </w:tcPr>
          <w:p w14:paraId="011C6E19"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$ 6.617.635</w:t>
            </w:r>
          </w:p>
        </w:tc>
      </w:tr>
      <w:tr w:rsidR="00382869" w:rsidRPr="00053706" w14:paraId="4AABBDFF" w14:textId="77777777" w:rsidTr="009A29B8">
        <w:trPr>
          <w:trHeight w:val="255"/>
        </w:trPr>
        <w:tc>
          <w:tcPr>
            <w:tcW w:w="407" w:type="dxa"/>
            <w:shd w:val="clear" w:color="000000" w:fill="F2F2F2"/>
            <w:noWrap/>
            <w:vAlign w:val="center"/>
            <w:hideMark/>
          </w:tcPr>
          <w:p w14:paraId="4D59C119" w14:textId="77777777" w:rsidR="00382869" w:rsidRPr="00053706" w:rsidRDefault="00382869" w:rsidP="00D22441">
            <w:pPr>
              <w:jc w:val="center"/>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97</w:t>
            </w:r>
          </w:p>
        </w:tc>
        <w:tc>
          <w:tcPr>
            <w:tcW w:w="585" w:type="dxa"/>
            <w:shd w:val="clear" w:color="000000" w:fill="F2F2F2"/>
            <w:noWrap/>
            <w:vAlign w:val="center"/>
            <w:hideMark/>
          </w:tcPr>
          <w:p w14:paraId="0751C729"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26641</w:t>
            </w:r>
          </w:p>
        </w:tc>
        <w:tc>
          <w:tcPr>
            <w:tcW w:w="941" w:type="dxa"/>
            <w:shd w:val="clear" w:color="000000" w:fill="F2F2F2"/>
            <w:noWrap/>
            <w:vAlign w:val="center"/>
            <w:hideMark/>
          </w:tcPr>
          <w:p w14:paraId="675212A9"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900589503</w:t>
            </w:r>
          </w:p>
        </w:tc>
        <w:tc>
          <w:tcPr>
            <w:tcW w:w="3533" w:type="dxa"/>
            <w:shd w:val="clear" w:color="000000" w:fill="F2F2F2"/>
            <w:vAlign w:val="center"/>
            <w:hideMark/>
          </w:tcPr>
          <w:p w14:paraId="52A2C206" w14:textId="77777777" w:rsidR="00382869" w:rsidRPr="00053706" w:rsidRDefault="00382869" w:rsidP="00D22441">
            <w:pPr>
              <w:jc w:val="lef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RENOVATIO TRADING AMERICAS SAS ESP</w:t>
            </w:r>
          </w:p>
        </w:tc>
        <w:tc>
          <w:tcPr>
            <w:tcW w:w="1520" w:type="dxa"/>
            <w:shd w:val="clear" w:color="000000" w:fill="F2F2F2"/>
            <w:noWrap/>
            <w:vAlign w:val="center"/>
            <w:hideMark/>
          </w:tcPr>
          <w:p w14:paraId="48FA37D8"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$ 2.693.737.000</w:t>
            </w:r>
          </w:p>
        </w:tc>
        <w:tc>
          <w:tcPr>
            <w:tcW w:w="1360" w:type="dxa"/>
            <w:shd w:val="clear" w:color="000000" w:fill="F2F2F2"/>
            <w:noWrap/>
            <w:vAlign w:val="center"/>
            <w:hideMark/>
          </w:tcPr>
          <w:p w14:paraId="423D473D"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$ 0</w:t>
            </w:r>
          </w:p>
        </w:tc>
        <w:tc>
          <w:tcPr>
            <w:tcW w:w="1520" w:type="dxa"/>
            <w:shd w:val="clear" w:color="000000" w:fill="F2F2F2"/>
            <w:noWrap/>
            <w:vAlign w:val="center"/>
            <w:hideMark/>
          </w:tcPr>
          <w:p w14:paraId="43E2CCF8"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$ 2.693.737.000</w:t>
            </w:r>
          </w:p>
        </w:tc>
        <w:tc>
          <w:tcPr>
            <w:tcW w:w="1200" w:type="dxa"/>
            <w:shd w:val="clear" w:color="000000" w:fill="F2F2F2"/>
            <w:noWrap/>
            <w:vAlign w:val="center"/>
            <w:hideMark/>
          </w:tcPr>
          <w:p w14:paraId="6EDE2FD1"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$ 26.937.370</w:t>
            </w:r>
          </w:p>
        </w:tc>
        <w:tc>
          <w:tcPr>
            <w:tcW w:w="1200" w:type="dxa"/>
            <w:shd w:val="clear" w:color="000000" w:fill="F2F2F2"/>
            <w:noWrap/>
            <w:vAlign w:val="center"/>
            <w:hideMark/>
          </w:tcPr>
          <w:p w14:paraId="5CDD4A14"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$ 1.121</w:t>
            </w:r>
          </w:p>
        </w:tc>
        <w:tc>
          <w:tcPr>
            <w:tcW w:w="1289" w:type="dxa"/>
            <w:shd w:val="clear" w:color="000000" w:fill="F2F2F2"/>
            <w:noWrap/>
            <w:vAlign w:val="center"/>
            <w:hideMark/>
          </w:tcPr>
          <w:p w14:paraId="306FC37F"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$ 26.938.491</w:t>
            </w:r>
          </w:p>
        </w:tc>
      </w:tr>
      <w:tr w:rsidR="00382869" w:rsidRPr="00053706" w14:paraId="6A6BD621" w14:textId="77777777" w:rsidTr="009A29B8">
        <w:trPr>
          <w:trHeight w:val="207"/>
        </w:trPr>
        <w:tc>
          <w:tcPr>
            <w:tcW w:w="407" w:type="dxa"/>
            <w:shd w:val="clear" w:color="000000" w:fill="F2F2F2"/>
            <w:noWrap/>
            <w:vAlign w:val="center"/>
            <w:hideMark/>
          </w:tcPr>
          <w:p w14:paraId="39A4B7D4" w14:textId="77777777" w:rsidR="00382869" w:rsidRPr="00053706" w:rsidRDefault="00382869" w:rsidP="00D22441">
            <w:pPr>
              <w:jc w:val="center"/>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98</w:t>
            </w:r>
          </w:p>
        </w:tc>
        <w:tc>
          <w:tcPr>
            <w:tcW w:w="585" w:type="dxa"/>
            <w:shd w:val="clear" w:color="000000" w:fill="F2F2F2"/>
            <w:noWrap/>
            <w:vAlign w:val="center"/>
            <w:hideMark/>
          </w:tcPr>
          <w:p w14:paraId="7F2D11D5"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60670</w:t>
            </w:r>
          </w:p>
        </w:tc>
        <w:tc>
          <w:tcPr>
            <w:tcW w:w="941" w:type="dxa"/>
            <w:shd w:val="clear" w:color="000000" w:fill="F2F2F2"/>
            <w:noWrap/>
            <w:vAlign w:val="center"/>
            <w:hideMark/>
          </w:tcPr>
          <w:p w14:paraId="7F122611"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900594772</w:t>
            </w:r>
          </w:p>
        </w:tc>
        <w:tc>
          <w:tcPr>
            <w:tcW w:w="3533" w:type="dxa"/>
            <w:shd w:val="clear" w:color="000000" w:fill="F2F2F2"/>
            <w:vAlign w:val="center"/>
            <w:hideMark/>
          </w:tcPr>
          <w:p w14:paraId="764B4698" w14:textId="77777777" w:rsidR="00382869" w:rsidRPr="00053706" w:rsidRDefault="00382869" w:rsidP="00D22441">
            <w:pPr>
              <w:jc w:val="lef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4E GROUP SAS ESP</w:t>
            </w:r>
          </w:p>
        </w:tc>
        <w:tc>
          <w:tcPr>
            <w:tcW w:w="1520" w:type="dxa"/>
            <w:shd w:val="clear" w:color="000000" w:fill="F2F2F2"/>
            <w:noWrap/>
            <w:vAlign w:val="center"/>
            <w:hideMark/>
          </w:tcPr>
          <w:p w14:paraId="40E02F21"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$ 233.023.000</w:t>
            </w:r>
          </w:p>
        </w:tc>
        <w:tc>
          <w:tcPr>
            <w:tcW w:w="1360" w:type="dxa"/>
            <w:shd w:val="clear" w:color="000000" w:fill="F2F2F2"/>
            <w:noWrap/>
            <w:vAlign w:val="center"/>
            <w:hideMark/>
          </w:tcPr>
          <w:p w14:paraId="737CCCD7"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$ 0</w:t>
            </w:r>
          </w:p>
        </w:tc>
        <w:tc>
          <w:tcPr>
            <w:tcW w:w="1520" w:type="dxa"/>
            <w:shd w:val="clear" w:color="000000" w:fill="F2F2F2"/>
            <w:noWrap/>
            <w:vAlign w:val="center"/>
            <w:hideMark/>
          </w:tcPr>
          <w:p w14:paraId="15CB5BBB"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$ 233.023.000</w:t>
            </w:r>
          </w:p>
        </w:tc>
        <w:tc>
          <w:tcPr>
            <w:tcW w:w="1200" w:type="dxa"/>
            <w:shd w:val="clear" w:color="000000" w:fill="F2F2F2"/>
            <w:noWrap/>
            <w:vAlign w:val="center"/>
            <w:hideMark/>
          </w:tcPr>
          <w:p w14:paraId="358ABFB8"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$ 2.330.230</w:t>
            </w:r>
          </w:p>
        </w:tc>
        <w:tc>
          <w:tcPr>
            <w:tcW w:w="1200" w:type="dxa"/>
            <w:shd w:val="clear" w:color="000000" w:fill="F2F2F2"/>
            <w:noWrap/>
            <w:vAlign w:val="center"/>
            <w:hideMark/>
          </w:tcPr>
          <w:p w14:paraId="26E9C4D2"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$ 97</w:t>
            </w:r>
          </w:p>
        </w:tc>
        <w:tc>
          <w:tcPr>
            <w:tcW w:w="1289" w:type="dxa"/>
            <w:shd w:val="clear" w:color="000000" w:fill="F2F2F2"/>
            <w:noWrap/>
            <w:vAlign w:val="center"/>
            <w:hideMark/>
          </w:tcPr>
          <w:p w14:paraId="713070FF"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$ 2.330.327</w:t>
            </w:r>
          </w:p>
        </w:tc>
      </w:tr>
      <w:tr w:rsidR="00382869" w:rsidRPr="00053706" w14:paraId="3653CC99" w14:textId="77777777" w:rsidTr="009A29B8">
        <w:trPr>
          <w:trHeight w:val="253"/>
        </w:trPr>
        <w:tc>
          <w:tcPr>
            <w:tcW w:w="407" w:type="dxa"/>
            <w:shd w:val="clear" w:color="000000" w:fill="F2F2F2"/>
            <w:noWrap/>
            <w:vAlign w:val="center"/>
            <w:hideMark/>
          </w:tcPr>
          <w:p w14:paraId="4602949E" w14:textId="77777777" w:rsidR="00382869" w:rsidRPr="00053706" w:rsidRDefault="00382869" w:rsidP="00D22441">
            <w:pPr>
              <w:jc w:val="center"/>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99</w:t>
            </w:r>
          </w:p>
        </w:tc>
        <w:tc>
          <w:tcPr>
            <w:tcW w:w="585" w:type="dxa"/>
            <w:shd w:val="clear" w:color="000000" w:fill="F2F2F2"/>
            <w:noWrap/>
            <w:vAlign w:val="center"/>
            <w:hideMark/>
          </w:tcPr>
          <w:p w14:paraId="6C0C4910"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27631</w:t>
            </w:r>
          </w:p>
        </w:tc>
        <w:tc>
          <w:tcPr>
            <w:tcW w:w="941" w:type="dxa"/>
            <w:shd w:val="clear" w:color="000000" w:fill="F2F2F2"/>
            <w:noWrap/>
            <w:vAlign w:val="center"/>
            <w:hideMark/>
          </w:tcPr>
          <w:p w14:paraId="2E5BD895"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900652334</w:t>
            </w:r>
          </w:p>
        </w:tc>
        <w:tc>
          <w:tcPr>
            <w:tcW w:w="3533" w:type="dxa"/>
            <w:shd w:val="clear" w:color="000000" w:fill="F2F2F2"/>
            <w:vAlign w:val="center"/>
            <w:hideMark/>
          </w:tcPr>
          <w:p w14:paraId="1490AA04" w14:textId="77777777" w:rsidR="00382869" w:rsidRPr="00053706" w:rsidRDefault="00382869" w:rsidP="00D22441">
            <w:pPr>
              <w:jc w:val="lef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RIOPAILA ENERGÍA SAS ESP</w:t>
            </w:r>
          </w:p>
        </w:tc>
        <w:tc>
          <w:tcPr>
            <w:tcW w:w="1520" w:type="dxa"/>
            <w:shd w:val="clear" w:color="000000" w:fill="F2F2F2"/>
            <w:noWrap/>
            <w:vAlign w:val="center"/>
            <w:hideMark/>
          </w:tcPr>
          <w:p w14:paraId="0CD725C9"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$ 740.292.000</w:t>
            </w:r>
          </w:p>
        </w:tc>
        <w:tc>
          <w:tcPr>
            <w:tcW w:w="1360" w:type="dxa"/>
            <w:shd w:val="clear" w:color="000000" w:fill="F2F2F2"/>
            <w:noWrap/>
            <w:vAlign w:val="center"/>
            <w:hideMark/>
          </w:tcPr>
          <w:p w14:paraId="34D14AB0"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$ 67.428.911</w:t>
            </w:r>
          </w:p>
        </w:tc>
        <w:tc>
          <w:tcPr>
            <w:tcW w:w="1520" w:type="dxa"/>
            <w:shd w:val="clear" w:color="000000" w:fill="F2F2F2"/>
            <w:noWrap/>
            <w:vAlign w:val="center"/>
            <w:hideMark/>
          </w:tcPr>
          <w:p w14:paraId="5C2B2464"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$ 807.720.911</w:t>
            </w:r>
          </w:p>
        </w:tc>
        <w:tc>
          <w:tcPr>
            <w:tcW w:w="1200" w:type="dxa"/>
            <w:shd w:val="clear" w:color="000000" w:fill="F2F2F2"/>
            <w:noWrap/>
            <w:vAlign w:val="center"/>
            <w:hideMark/>
          </w:tcPr>
          <w:p w14:paraId="7E200417"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$ 8.077.209</w:t>
            </w:r>
          </w:p>
        </w:tc>
        <w:tc>
          <w:tcPr>
            <w:tcW w:w="1200" w:type="dxa"/>
            <w:shd w:val="clear" w:color="000000" w:fill="F2F2F2"/>
            <w:noWrap/>
            <w:vAlign w:val="center"/>
            <w:hideMark/>
          </w:tcPr>
          <w:p w14:paraId="2D49D88C"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$ 336</w:t>
            </w:r>
          </w:p>
        </w:tc>
        <w:tc>
          <w:tcPr>
            <w:tcW w:w="1289" w:type="dxa"/>
            <w:shd w:val="clear" w:color="000000" w:fill="F2F2F2"/>
            <w:noWrap/>
            <w:vAlign w:val="center"/>
            <w:hideMark/>
          </w:tcPr>
          <w:p w14:paraId="050545CF"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$ 8.077.545</w:t>
            </w:r>
          </w:p>
        </w:tc>
      </w:tr>
      <w:tr w:rsidR="00382869" w:rsidRPr="00053706" w14:paraId="7EDB5676" w14:textId="77777777" w:rsidTr="009A29B8">
        <w:trPr>
          <w:trHeight w:val="271"/>
        </w:trPr>
        <w:tc>
          <w:tcPr>
            <w:tcW w:w="407" w:type="dxa"/>
            <w:shd w:val="clear" w:color="000000" w:fill="F2F2F2"/>
            <w:noWrap/>
            <w:vAlign w:val="center"/>
            <w:hideMark/>
          </w:tcPr>
          <w:p w14:paraId="47DCDE7A" w14:textId="77777777" w:rsidR="00382869" w:rsidRPr="00053706" w:rsidRDefault="00382869" w:rsidP="00D22441">
            <w:pPr>
              <w:jc w:val="center"/>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100</w:t>
            </w:r>
          </w:p>
        </w:tc>
        <w:tc>
          <w:tcPr>
            <w:tcW w:w="585" w:type="dxa"/>
            <w:shd w:val="clear" w:color="000000" w:fill="F2F2F2"/>
            <w:noWrap/>
            <w:vAlign w:val="center"/>
            <w:hideMark/>
          </w:tcPr>
          <w:p w14:paraId="7F4FC070"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44956</w:t>
            </w:r>
          </w:p>
        </w:tc>
        <w:tc>
          <w:tcPr>
            <w:tcW w:w="941" w:type="dxa"/>
            <w:shd w:val="clear" w:color="000000" w:fill="F2F2F2"/>
            <w:noWrap/>
            <w:vAlign w:val="center"/>
            <w:hideMark/>
          </w:tcPr>
          <w:p w14:paraId="31968BE3"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900654403</w:t>
            </w:r>
          </w:p>
        </w:tc>
        <w:tc>
          <w:tcPr>
            <w:tcW w:w="3533" w:type="dxa"/>
            <w:shd w:val="clear" w:color="000000" w:fill="F2F2F2"/>
            <w:vAlign w:val="center"/>
            <w:hideMark/>
          </w:tcPr>
          <w:p w14:paraId="77815F66" w14:textId="77777777" w:rsidR="00382869" w:rsidRPr="00053706" w:rsidRDefault="00382869" w:rsidP="00D22441">
            <w:pPr>
              <w:jc w:val="lef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VOLTAJE EMPRESARIAL SAS ESP</w:t>
            </w:r>
          </w:p>
        </w:tc>
        <w:tc>
          <w:tcPr>
            <w:tcW w:w="1520" w:type="dxa"/>
            <w:shd w:val="clear" w:color="000000" w:fill="F2F2F2"/>
            <w:noWrap/>
            <w:vAlign w:val="center"/>
            <w:hideMark/>
          </w:tcPr>
          <w:p w14:paraId="3935C763"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$ 191.547.000</w:t>
            </w:r>
          </w:p>
        </w:tc>
        <w:tc>
          <w:tcPr>
            <w:tcW w:w="1360" w:type="dxa"/>
            <w:shd w:val="clear" w:color="000000" w:fill="F2F2F2"/>
            <w:noWrap/>
            <w:vAlign w:val="center"/>
            <w:hideMark/>
          </w:tcPr>
          <w:p w14:paraId="5F2EFA34"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$ 55.059.615</w:t>
            </w:r>
          </w:p>
        </w:tc>
        <w:tc>
          <w:tcPr>
            <w:tcW w:w="1520" w:type="dxa"/>
            <w:shd w:val="clear" w:color="000000" w:fill="F2F2F2"/>
            <w:noWrap/>
            <w:vAlign w:val="center"/>
            <w:hideMark/>
          </w:tcPr>
          <w:p w14:paraId="2841838B"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$ 246.606.615</w:t>
            </w:r>
          </w:p>
        </w:tc>
        <w:tc>
          <w:tcPr>
            <w:tcW w:w="1200" w:type="dxa"/>
            <w:shd w:val="clear" w:color="000000" w:fill="F2F2F2"/>
            <w:noWrap/>
            <w:vAlign w:val="center"/>
            <w:hideMark/>
          </w:tcPr>
          <w:p w14:paraId="74603F7D"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$ 2.466.066</w:t>
            </w:r>
          </w:p>
        </w:tc>
        <w:tc>
          <w:tcPr>
            <w:tcW w:w="1200" w:type="dxa"/>
            <w:shd w:val="clear" w:color="000000" w:fill="F2F2F2"/>
            <w:noWrap/>
            <w:vAlign w:val="center"/>
            <w:hideMark/>
          </w:tcPr>
          <w:p w14:paraId="2B709001"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$ 103</w:t>
            </w:r>
          </w:p>
        </w:tc>
        <w:tc>
          <w:tcPr>
            <w:tcW w:w="1289" w:type="dxa"/>
            <w:shd w:val="clear" w:color="000000" w:fill="F2F2F2"/>
            <w:noWrap/>
            <w:vAlign w:val="center"/>
            <w:hideMark/>
          </w:tcPr>
          <w:p w14:paraId="185137EE"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$ 2.466.169</w:t>
            </w:r>
          </w:p>
        </w:tc>
      </w:tr>
      <w:tr w:rsidR="00382869" w:rsidRPr="00053706" w14:paraId="10066691" w14:textId="77777777" w:rsidTr="009A29B8">
        <w:trPr>
          <w:trHeight w:val="275"/>
        </w:trPr>
        <w:tc>
          <w:tcPr>
            <w:tcW w:w="407" w:type="dxa"/>
            <w:shd w:val="clear" w:color="000000" w:fill="F2F2F2"/>
            <w:noWrap/>
            <w:vAlign w:val="center"/>
            <w:hideMark/>
          </w:tcPr>
          <w:p w14:paraId="3F90E521" w14:textId="77777777" w:rsidR="00382869" w:rsidRPr="00053706" w:rsidRDefault="00382869" w:rsidP="00D22441">
            <w:pPr>
              <w:jc w:val="center"/>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101</w:t>
            </w:r>
          </w:p>
        </w:tc>
        <w:tc>
          <w:tcPr>
            <w:tcW w:w="585" w:type="dxa"/>
            <w:shd w:val="clear" w:color="000000" w:fill="F2F2F2"/>
            <w:noWrap/>
            <w:vAlign w:val="center"/>
            <w:hideMark/>
          </w:tcPr>
          <w:p w14:paraId="34B2EAFF"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39854</w:t>
            </w:r>
          </w:p>
        </w:tc>
        <w:tc>
          <w:tcPr>
            <w:tcW w:w="941" w:type="dxa"/>
            <w:shd w:val="clear" w:color="000000" w:fill="F2F2F2"/>
            <w:noWrap/>
            <w:vAlign w:val="center"/>
            <w:hideMark/>
          </w:tcPr>
          <w:p w14:paraId="4EEE0177"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900660650</w:t>
            </w:r>
          </w:p>
        </w:tc>
        <w:tc>
          <w:tcPr>
            <w:tcW w:w="3533" w:type="dxa"/>
            <w:shd w:val="clear" w:color="000000" w:fill="F2F2F2"/>
            <w:vAlign w:val="center"/>
            <w:hideMark/>
          </w:tcPr>
          <w:p w14:paraId="1BBB215A" w14:textId="77777777" w:rsidR="00382869" w:rsidRPr="00053706" w:rsidRDefault="00382869" w:rsidP="00D22441">
            <w:pPr>
              <w:jc w:val="lef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GENERADORA CANTAYUS SAS ESP</w:t>
            </w:r>
          </w:p>
        </w:tc>
        <w:tc>
          <w:tcPr>
            <w:tcW w:w="1520" w:type="dxa"/>
            <w:shd w:val="clear" w:color="000000" w:fill="F2F2F2"/>
            <w:noWrap/>
            <w:vAlign w:val="center"/>
            <w:hideMark/>
          </w:tcPr>
          <w:p w14:paraId="74FB3B7B"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$ 320.437.000</w:t>
            </w:r>
          </w:p>
        </w:tc>
        <w:tc>
          <w:tcPr>
            <w:tcW w:w="1360" w:type="dxa"/>
            <w:shd w:val="clear" w:color="000000" w:fill="F2F2F2"/>
            <w:noWrap/>
            <w:vAlign w:val="center"/>
            <w:hideMark/>
          </w:tcPr>
          <w:p w14:paraId="6525C9F4"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$ 0</w:t>
            </w:r>
          </w:p>
        </w:tc>
        <w:tc>
          <w:tcPr>
            <w:tcW w:w="1520" w:type="dxa"/>
            <w:shd w:val="clear" w:color="000000" w:fill="F2F2F2"/>
            <w:noWrap/>
            <w:vAlign w:val="center"/>
            <w:hideMark/>
          </w:tcPr>
          <w:p w14:paraId="75C1819C"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$ 320.437.000</w:t>
            </w:r>
          </w:p>
        </w:tc>
        <w:tc>
          <w:tcPr>
            <w:tcW w:w="1200" w:type="dxa"/>
            <w:shd w:val="clear" w:color="000000" w:fill="F2F2F2"/>
            <w:noWrap/>
            <w:vAlign w:val="center"/>
            <w:hideMark/>
          </w:tcPr>
          <w:p w14:paraId="1B963410"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$ 3.204.370</w:t>
            </w:r>
          </w:p>
        </w:tc>
        <w:tc>
          <w:tcPr>
            <w:tcW w:w="1200" w:type="dxa"/>
            <w:shd w:val="clear" w:color="000000" w:fill="F2F2F2"/>
            <w:noWrap/>
            <w:vAlign w:val="center"/>
            <w:hideMark/>
          </w:tcPr>
          <w:p w14:paraId="6C57FCFC"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$ 133</w:t>
            </w:r>
          </w:p>
        </w:tc>
        <w:tc>
          <w:tcPr>
            <w:tcW w:w="1289" w:type="dxa"/>
            <w:shd w:val="clear" w:color="000000" w:fill="F2F2F2"/>
            <w:noWrap/>
            <w:vAlign w:val="center"/>
            <w:hideMark/>
          </w:tcPr>
          <w:p w14:paraId="06915213"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$ 3.204.503</w:t>
            </w:r>
          </w:p>
        </w:tc>
      </w:tr>
      <w:tr w:rsidR="00382869" w:rsidRPr="00053706" w14:paraId="049994B8" w14:textId="77777777" w:rsidTr="009A29B8">
        <w:trPr>
          <w:trHeight w:val="251"/>
        </w:trPr>
        <w:tc>
          <w:tcPr>
            <w:tcW w:w="407" w:type="dxa"/>
            <w:shd w:val="clear" w:color="000000" w:fill="F2F2F2"/>
            <w:noWrap/>
            <w:vAlign w:val="center"/>
            <w:hideMark/>
          </w:tcPr>
          <w:p w14:paraId="60997CF9" w14:textId="77777777" w:rsidR="00382869" w:rsidRPr="00053706" w:rsidRDefault="00382869" w:rsidP="00D22441">
            <w:pPr>
              <w:jc w:val="center"/>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102</w:t>
            </w:r>
          </w:p>
        </w:tc>
        <w:tc>
          <w:tcPr>
            <w:tcW w:w="585" w:type="dxa"/>
            <w:shd w:val="clear" w:color="000000" w:fill="F2F2F2"/>
            <w:noWrap/>
            <w:vAlign w:val="center"/>
            <w:hideMark/>
          </w:tcPr>
          <w:p w14:paraId="7B5C546A"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26730</w:t>
            </w:r>
          </w:p>
        </w:tc>
        <w:tc>
          <w:tcPr>
            <w:tcW w:w="941" w:type="dxa"/>
            <w:shd w:val="clear" w:color="000000" w:fill="F2F2F2"/>
            <w:noWrap/>
            <w:vAlign w:val="center"/>
            <w:hideMark/>
          </w:tcPr>
          <w:p w14:paraId="201F5F4B"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900667590</w:t>
            </w:r>
          </w:p>
        </w:tc>
        <w:tc>
          <w:tcPr>
            <w:tcW w:w="3533" w:type="dxa"/>
            <w:shd w:val="clear" w:color="000000" w:fill="F2F2F2"/>
            <w:vAlign w:val="center"/>
            <w:hideMark/>
          </w:tcPr>
          <w:p w14:paraId="6E979297" w14:textId="2D25463B" w:rsidR="00382869" w:rsidRPr="00053706" w:rsidRDefault="00382869" w:rsidP="00D22441">
            <w:pPr>
              <w:jc w:val="lef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INTERCOLOMBIA S.A. E.S.P</w:t>
            </w:r>
            <w:r w:rsidR="008722A6" w:rsidRPr="00053706">
              <w:rPr>
                <w:rFonts w:ascii="Arial Narrow" w:hAnsi="Arial Narrow" w:cs="Arial"/>
                <w:color w:val="000000"/>
                <w:spacing w:val="0"/>
                <w:sz w:val="16"/>
                <w:szCs w:val="16"/>
                <w:lang w:eastAsia="es-CO"/>
              </w:rPr>
              <w:t>.</w:t>
            </w:r>
          </w:p>
        </w:tc>
        <w:tc>
          <w:tcPr>
            <w:tcW w:w="1520" w:type="dxa"/>
            <w:shd w:val="clear" w:color="000000" w:fill="F2F2F2"/>
            <w:noWrap/>
            <w:vAlign w:val="center"/>
            <w:hideMark/>
          </w:tcPr>
          <w:p w14:paraId="47DF9C99"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$ 66.785.406.000</w:t>
            </w:r>
          </w:p>
        </w:tc>
        <w:tc>
          <w:tcPr>
            <w:tcW w:w="1360" w:type="dxa"/>
            <w:shd w:val="clear" w:color="000000" w:fill="F2F2F2"/>
            <w:noWrap/>
            <w:vAlign w:val="center"/>
            <w:hideMark/>
          </w:tcPr>
          <w:p w14:paraId="6887693B"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$ 0</w:t>
            </w:r>
          </w:p>
        </w:tc>
        <w:tc>
          <w:tcPr>
            <w:tcW w:w="1520" w:type="dxa"/>
            <w:shd w:val="clear" w:color="000000" w:fill="F2F2F2"/>
            <w:noWrap/>
            <w:vAlign w:val="center"/>
            <w:hideMark/>
          </w:tcPr>
          <w:p w14:paraId="2DDCD97F"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$ 66.785.406.000</w:t>
            </w:r>
          </w:p>
        </w:tc>
        <w:tc>
          <w:tcPr>
            <w:tcW w:w="1200" w:type="dxa"/>
            <w:shd w:val="clear" w:color="000000" w:fill="F2F2F2"/>
            <w:noWrap/>
            <w:vAlign w:val="center"/>
            <w:hideMark/>
          </w:tcPr>
          <w:p w14:paraId="0C90A78B"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$ 667.854.060</w:t>
            </w:r>
          </w:p>
        </w:tc>
        <w:tc>
          <w:tcPr>
            <w:tcW w:w="1200" w:type="dxa"/>
            <w:shd w:val="clear" w:color="000000" w:fill="F2F2F2"/>
            <w:noWrap/>
            <w:vAlign w:val="center"/>
            <w:hideMark/>
          </w:tcPr>
          <w:p w14:paraId="24784123"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$ 27.794</w:t>
            </w:r>
          </w:p>
        </w:tc>
        <w:tc>
          <w:tcPr>
            <w:tcW w:w="1289" w:type="dxa"/>
            <w:shd w:val="clear" w:color="000000" w:fill="F2F2F2"/>
            <w:noWrap/>
            <w:vAlign w:val="center"/>
            <w:hideMark/>
          </w:tcPr>
          <w:p w14:paraId="346793B0"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$ 667.881.854</w:t>
            </w:r>
          </w:p>
        </w:tc>
      </w:tr>
      <w:tr w:rsidR="00382869" w:rsidRPr="00053706" w14:paraId="23970109" w14:textId="77777777" w:rsidTr="009A29B8">
        <w:trPr>
          <w:trHeight w:val="349"/>
        </w:trPr>
        <w:tc>
          <w:tcPr>
            <w:tcW w:w="407" w:type="dxa"/>
            <w:shd w:val="clear" w:color="000000" w:fill="F2F2F2"/>
            <w:noWrap/>
            <w:vAlign w:val="center"/>
            <w:hideMark/>
          </w:tcPr>
          <w:p w14:paraId="12EAF8CA" w14:textId="77777777" w:rsidR="00382869" w:rsidRPr="00053706" w:rsidRDefault="00382869" w:rsidP="00D22441">
            <w:pPr>
              <w:jc w:val="center"/>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103</w:t>
            </w:r>
          </w:p>
        </w:tc>
        <w:tc>
          <w:tcPr>
            <w:tcW w:w="585" w:type="dxa"/>
            <w:shd w:val="clear" w:color="000000" w:fill="F2F2F2"/>
            <w:noWrap/>
            <w:vAlign w:val="center"/>
            <w:hideMark/>
          </w:tcPr>
          <w:p w14:paraId="5B571BB9"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27691</w:t>
            </w:r>
          </w:p>
        </w:tc>
        <w:tc>
          <w:tcPr>
            <w:tcW w:w="941" w:type="dxa"/>
            <w:shd w:val="clear" w:color="000000" w:fill="F2F2F2"/>
            <w:noWrap/>
            <w:vAlign w:val="center"/>
            <w:hideMark/>
          </w:tcPr>
          <w:p w14:paraId="37CF66D8"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900677732</w:t>
            </w:r>
          </w:p>
        </w:tc>
        <w:tc>
          <w:tcPr>
            <w:tcW w:w="3533" w:type="dxa"/>
            <w:shd w:val="clear" w:color="000000" w:fill="F2F2F2"/>
            <w:vAlign w:val="center"/>
            <w:hideMark/>
          </w:tcPr>
          <w:p w14:paraId="2AA92FC2" w14:textId="77777777" w:rsidR="00382869" w:rsidRPr="00053706" w:rsidRDefault="00382869" w:rsidP="00D22441">
            <w:pPr>
              <w:jc w:val="lef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QI ENERGY SAS ESP</w:t>
            </w:r>
          </w:p>
        </w:tc>
        <w:tc>
          <w:tcPr>
            <w:tcW w:w="1520" w:type="dxa"/>
            <w:shd w:val="clear" w:color="000000" w:fill="F2F2F2"/>
            <w:noWrap/>
            <w:vAlign w:val="center"/>
            <w:hideMark/>
          </w:tcPr>
          <w:p w14:paraId="3799DD4D"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$ 1.689.577.000</w:t>
            </w:r>
          </w:p>
        </w:tc>
        <w:tc>
          <w:tcPr>
            <w:tcW w:w="1360" w:type="dxa"/>
            <w:shd w:val="clear" w:color="000000" w:fill="F2F2F2"/>
            <w:noWrap/>
            <w:vAlign w:val="center"/>
            <w:hideMark/>
          </w:tcPr>
          <w:p w14:paraId="24CB92D0"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$ 0</w:t>
            </w:r>
          </w:p>
        </w:tc>
        <w:tc>
          <w:tcPr>
            <w:tcW w:w="1520" w:type="dxa"/>
            <w:shd w:val="clear" w:color="000000" w:fill="F2F2F2"/>
            <w:noWrap/>
            <w:vAlign w:val="center"/>
            <w:hideMark/>
          </w:tcPr>
          <w:p w14:paraId="30CC061D"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$ 1.689.577.000</w:t>
            </w:r>
          </w:p>
        </w:tc>
        <w:tc>
          <w:tcPr>
            <w:tcW w:w="1200" w:type="dxa"/>
            <w:shd w:val="clear" w:color="000000" w:fill="F2F2F2"/>
            <w:noWrap/>
            <w:vAlign w:val="center"/>
            <w:hideMark/>
          </w:tcPr>
          <w:p w14:paraId="1E134421"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$ 16.895.770</w:t>
            </w:r>
          </w:p>
        </w:tc>
        <w:tc>
          <w:tcPr>
            <w:tcW w:w="1200" w:type="dxa"/>
            <w:shd w:val="clear" w:color="000000" w:fill="F2F2F2"/>
            <w:noWrap/>
            <w:vAlign w:val="center"/>
            <w:hideMark/>
          </w:tcPr>
          <w:p w14:paraId="6429654D"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$ 703</w:t>
            </w:r>
          </w:p>
        </w:tc>
        <w:tc>
          <w:tcPr>
            <w:tcW w:w="1289" w:type="dxa"/>
            <w:shd w:val="clear" w:color="000000" w:fill="F2F2F2"/>
            <w:noWrap/>
            <w:vAlign w:val="center"/>
            <w:hideMark/>
          </w:tcPr>
          <w:p w14:paraId="23202779"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$ 16.896.473</w:t>
            </w:r>
          </w:p>
        </w:tc>
      </w:tr>
      <w:tr w:rsidR="00382869" w:rsidRPr="00053706" w14:paraId="6FC6A0BA" w14:textId="77777777" w:rsidTr="009A29B8">
        <w:trPr>
          <w:trHeight w:val="269"/>
        </w:trPr>
        <w:tc>
          <w:tcPr>
            <w:tcW w:w="407" w:type="dxa"/>
            <w:shd w:val="clear" w:color="000000" w:fill="F2F2F2"/>
            <w:noWrap/>
            <w:vAlign w:val="center"/>
            <w:hideMark/>
          </w:tcPr>
          <w:p w14:paraId="730F72F5" w14:textId="77777777" w:rsidR="00382869" w:rsidRPr="00053706" w:rsidRDefault="00382869" w:rsidP="00D22441">
            <w:pPr>
              <w:jc w:val="center"/>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104</w:t>
            </w:r>
          </w:p>
        </w:tc>
        <w:tc>
          <w:tcPr>
            <w:tcW w:w="585" w:type="dxa"/>
            <w:shd w:val="clear" w:color="000000" w:fill="F2F2F2"/>
            <w:noWrap/>
            <w:vAlign w:val="center"/>
            <w:hideMark/>
          </w:tcPr>
          <w:p w14:paraId="32BA2627"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46716</w:t>
            </w:r>
          </w:p>
        </w:tc>
        <w:tc>
          <w:tcPr>
            <w:tcW w:w="941" w:type="dxa"/>
            <w:shd w:val="clear" w:color="000000" w:fill="F2F2F2"/>
            <w:noWrap/>
            <w:vAlign w:val="center"/>
            <w:hideMark/>
          </w:tcPr>
          <w:p w14:paraId="2A567778"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900681653</w:t>
            </w:r>
          </w:p>
        </w:tc>
        <w:tc>
          <w:tcPr>
            <w:tcW w:w="3533" w:type="dxa"/>
            <w:shd w:val="clear" w:color="000000" w:fill="F2F2F2"/>
            <w:vAlign w:val="center"/>
            <w:hideMark/>
          </w:tcPr>
          <w:p w14:paraId="5231ED24" w14:textId="77777777" w:rsidR="00382869" w:rsidRPr="00053706" w:rsidRDefault="00382869" w:rsidP="00D22441">
            <w:pPr>
              <w:jc w:val="lef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Vientos del Norte S.A.S. E.S.P.</w:t>
            </w:r>
          </w:p>
        </w:tc>
        <w:tc>
          <w:tcPr>
            <w:tcW w:w="1520" w:type="dxa"/>
            <w:shd w:val="clear" w:color="000000" w:fill="F2F2F2"/>
            <w:noWrap/>
            <w:vAlign w:val="center"/>
            <w:hideMark/>
          </w:tcPr>
          <w:p w14:paraId="606360E8"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$ 8.437.874.000</w:t>
            </w:r>
          </w:p>
        </w:tc>
        <w:tc>
          <w:tcPr>
            <w:tcW w:w="1360" w:type="dxa"/>
            <w:shd w:val="clear" w:color="000000" w:fill="F2F2F2"/>
            <w:noWrap/>
            <w:vAlign w:val="center"/>
            <w:hideMark/>
          </w:tcPr>
          <w:p w14:paraId="5F899486"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$ 2.143.833.132</w:t>
            </w:r>
          </w:p>
        </w:tc>
        <w:tc>
          <w:tcPr>
            <w:tcW w:w="1520" w:type="dxa"/>
            <w:shd w:val="clear" w:color="000000" w:fill="F2F2F2"/>
            <w:noWrap/>
            <w:vAlign w:val="center"/>
            <w:hideMark/>
          </w:tcPr>
          <w:p w14:paraId="3C13B644"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$ 10.581.707.132</w:t>
            </w:r>
          </w:p>
        </w:tc>
        <w:tc>
          <w:tcPr>
            <w:tcW w:w="1200" w:type="dxa"/>
            <w:shd w:val="clear" w:color="000000" w:fill="F2F2F2"/>
            <w:noWrap/>
            <w:vAlign w:val="center"/>
            <w:hideMark/>
          </w:tcPr>
          <w:p w14:paraId="5B442385"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$ 105.817.071</w:t>
            </w:r>
          </w:p>
        </w:tc>
        <w:tc>
          <w:tcPr>
            <w:tcW w:w="1200" w:type="dxa"/>
            <w:shd w:val="clear" w:color="000000" w:fill="F2F2F2"/>
            <w:noWrap/>
            <w:vAlign w:val="center"/>
            <w:hideMark/>
          </w:tcPr>
          <w:p w14:paraId="601396D5"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$ 4.404</w:t>
            </w:r>
          </w:p>
        </w:tc>
        <w:tc>
          <w:tcPr>
            <w:tcW w:w="1289" w:type="dxa"/>
            <w:shd w:val="clear" w:color="000000" w:fill="F2F2F2"/>
            <w:noWrap/>
            <w:vAlign w:val="center"/>
            <w:hideMark/>
          </w:tcPr>
          <w:p w14:paraId="6A8E4A55"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$ 105.821.475</w:t>
            </w:r>
          </w:p>
        </w:tc>
      </w:tr>
      <w:tr w:rsidR="00382869" w:rsidRPr="00053706" w14:paraId="774A2DC5" w14:textId="77777777" w:rsidTr="009A29B8">
        <w:trPr>
          <w:trHeight w:val="179"/>
        </w:trPr>
        <w:tc>
          <w:tcPr>
            <w:tcW w:w="407" w:type="dxa"/>
            <w:shd w:val="clear" w:color="000000" w:fill="F2F2F2"/>
            <w:noWrap/>
            <w:vAlign w:val="center"/>
            <w:hideMark/>
          </w:tcPr>
          <w:p w14:paraId="3210F775" w14:textId="77777777" w:rsidR="00382869" w:rsidRPr="00053706" w:rsidRDefault="00382869" w:rsidP="00D22441">
            <w:pPr>
              <w:jc w:val="center"/>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lastRenderedPageBreak/>
              <w:t>105</w:t>
            </w:r>
          </w:p>
        </w:tc>
        <w:tc>
          <w:tcPr>
            <w:tcW w:w="585" w:type="dxa"/>
            <w:shd w:val="clear" w:color="000000" w:fill="F2F2F2"/>
            <w:noWrap/>
            <w:vAlign w:val="center"/>
            <w:hideMark/>
          </w:tcPr>
          <w:p w14:paraId="4FF20EF5"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46717</w:t>
            </w:r>
          </w:p>
        </w:tc>
        <w:tc>
          <w:tcPr>
            <w:tcW w:w="941" w:type="dxa"/>
            <w:shd w:val="clear" w:color="000000" w:fill="F2F2F2"/>
            <w:noWrap/>
            <w:vAlign w:val="center"/>
            <w:hideMark/>
          </w:tcPr>
          <w:p w14:paraId="1434A379"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900681857</w:t>
            </w:r>
          </w:p>
        </w:tc>
        <w:tc>
          <w:tcPr>
            <w:tcW w:w="3533" w:type="dxa"/>
            <w:shd w:val="clear" w:color="000000" w:fill="F2F2F2"/>
            <w:vAlign w:val="center"/>
            <w:hideMark/>
          </w:tcPr>
          <w:p w14:paraId="427023F6" w14:textId="77777777" w:rsidR="00382869" w:rsidRPr="00053706" w:rsidRDefault="00382869" w:rsidP="00D22441">
            <w:pPr>
              <w:jc w:val="left"/>
              <w:rPr>
                <w:rFonts w:ascii="Arial Narrow" w:hAnsi="Arial Narrow" w:cs="Arial"/>
                <w:color w:val="000000"/>
                <w:spacing w:val="0"/>
                <w:sz w:val="16"/>
                <w:szCs w:val="16"/>
                <w:lang w:eastAsia="es-CO"/>
              </w:rPr>
            </w:pPr>
            <w:proofErr w:type="spellStart"/>
            <w:r w:rsidRPr="00053706">
              <w:rPr>
                <w:rFonts w:ascii="Arial Narrow" w:hAnsi="Arial Narrow" w:cs="Arial"/>
                <w:color w:val="000000"/>
                <w:spacing w:val="0"/>
                <w:sz w:val="16"/>
                <w:szCs w:val="16"/>
                <w:lang w:eastAsia="es-CO"/>
              </w:rPr>
              <w:t>Eolos</w:t>
            </w:r>
            <w:proofErr w:type="spellEnd"/>
            <w:r w:rsidRPr="00053706">
              <w:rPr>
                <w:rFonts w:ascii="Arial Narrow" w:hAnsi="Arial Narrow" w:cs="Arial"/>
                <w:color w:val="000000"/>
                <w:spacing w:val="0"/>
                <w:sz w:val="16"/>
                <w:szCs w:val="16"/>
                <w:lang w:eastAsia="es-CO"/>
              </w:rPr>
              <w:t xml:space="preserve"> Energía S.A.S. E.S.P.</w:t>
            </w:r>
          </w:p>
        </w:tc>
        <w:tc>
          <w:tcPr>
            <w:tcW w:w="1520" w:type="dxa"/>
            <w:shd w:val="clear" w:color="000000" w:fill="F2F2F2"/>
            <w:noWrap/>
            <w:vAlign w:val="center"/>
            <w:hideMark/>
          </w:tcPr>
          <w:p w14:paraId="63206763"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$ 8.744.263.000</w:t>
            </w:r>
          </w:p>
        </w:tc>
        <w:tc>
          <w:tcPr>
            <w:tcW w:w="1360" w:type="dxa"/>
            <w:shd w:val="clear" w:color="000000" w:fill="F2F2F2"/>
            <w:noWrap/>
            <w:vAlign w:val="center"/>
            <w:hideMark/>
          </w:tcPr>
          <w:p w14:paraId="6D2B24B1"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$ 2.498.505.682</w:t>
            </w:r>
          </w:p>
        </w:tc>
        <w:tc>
          <w:tcPr>
            <w:tcW w:w="1520" w:type="dxa"/>
            <w:shd w:val="clear" w:color="000000" w:fill="F2F2F2"/>
            <w:noWrap/>
            <w:vAlign w:val="center"/>
            <w:hideMark/>
          </w:tcPr>
          <w:p w14:paraId="2B2B9170"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$ 11.242.768.682</w:t>
            </w:r>
          </w:p>
        </w:tc>
        <w:tc>
          <w:tcPr>
            <w:tcW w:w="1200" w:type="dxa"/>
            <w:shd w:val="clear" w:color="000000" w:fill="F2F2F2"/>
            <w:noWrap/>
            <w:vAlign w:val="center"/>
            <w:hideMark/>
          </w:tcPr>
          <w:p w14:paraId="41774855"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$ 112.427.687</w:t>
            </w:r>
          </w:p>
        </w:tc>
        <w:tc>
          <w:tcPr>
            <w:tcW w:w="1200" w:type="dxa"/>
            <w:shd w:val="clear" w:color="000000" w:fill="F2F2F2"/>
            <w:noWrap/>
            <w:vAlign w:val="center"/>
            <w:hideMark/>
          </w:tcPr>
          <w:p w14:paraId="181ECC22"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$ 4.679</w:t>
            </w:r>
          </w:p>
        </w:tc>
        <w:tc>
          <w:tcPr>
            <w:tcW w:w="1289" w:type="dxa"/>
            <w:shd w:val="clear" w:color="000000" w:fill="F2F2F2"/>
            <w:noWrap/>
            <w:vAlign w:val="center"/>
            <w:hideMark/>
          </w:tcPr>
          <w:p w14:paraId="7089F35D"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$ 112.432.366</w:t>
            </w:r>
          </w:p>
        </w:tc>
      </w:tr>
      <w:tr w:rsidR="00382869" w:rsidRPr="00053706" w14:paraId="43879D2B" w14:textId="77777777" w:rsidTr="009A29B8">
        <w:trPr>
          <w:trHeight w:val="313"/>
        </w:trPr>
        <w:tc>
          <w:tcPr>
            <w:tcW w:w="407" w:type="dxa"/>
            <w:shd w:val="clear" w:color="000000" w:fill="F2F2F2"/>
            <w:noWrap/>
            <w:vAlign w:val="center"/>
            <w:hideMark/>
          </w:tcPr>
          <w:p w14:paraId="73CAC97C" w14:textId="77777777" w:rsidR="00382869" w:rsidRPr="00053706" w:rsidRDefault="00382869" w:rsidP="00D22441">
            <w:pPr>
              <w:jc w:val="center"/>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106</w:t>
            </w:r>
          </w:p>
        </w:tc>
        <w:tc>
          <w:tcPr>
            <w:tcW w:w="585" w:type="dxa"/>
            <w:shd w:val="clear" w:color="000000" w:fill="F2F2F2"/>
            <w:noWrap/>
            <w:vAlign w:val="center"/>
            <w:hideMark/>
          </w:tcPr>
          <w:p w14:paraId="45A0A20B"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28491</w:t>
            </w:r>
          </w:p>
        </w:tc>
        <w:tc>
          <w:tcPr>
            <w:tcW w:w="941" w:type="dxa"/>
            <w:shd w:val="clear" w:color="000000" w:fill="F2F2F2"/>
            <w:noWrap/>
            <w:vAlign w:val="center"/>
            <w:hideMark/>
          </w:tcPr>
          <w:p w14:paraId="3E754D8C"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900691280</w:t>
            </w:r>
          </w:p>
        </w:tc>
        <w:tc>
          <w:tcPr>
            <w:tcW w:w="3533" w:type="dxa"/>
            <w:shd w:val="clear" w:color="000000" w:fill="F2F2F2"/>
            <w:vAlign w:val="center"/>
            <w:hideMark/>
          </w:tcPr>
          <w:p w14:paraId="352CCDA0" w14:textId="77777777" w:rsidR="00382869" w:rsidRPr="00053706" w:rsidRDefault="00382869" w:rsidP="00D22441">
            <w:pPr>
              <w:jc w:val="lef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NITRO ENERGY COLOMBIA S.A.S. E.S.P.</w:t>
            </w:r>
          </w:p>
        </w:tc>
        <w:tc>
          <w:tcPr>
            <w:tcW w:w="1520" w:type="dxa"/>
            <w:shd w:val="clear" w:color="000000" w:fill="F2F2F2"/>
            <w:noWrap/>
            <w:vAlign w:val="center"/>
            <w:hideMark/>
          </w:tcPr>
          <w:p w14:paraId="12D93DD5"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$ 8.025.914.000</w:t>
            </w:r>
          </w:p>
        </w:tc>
        <w:tc>
          <w:tcPr>
            <w:tcW w:w="1360" w:type="dxa"/>
            <w:shd w:val="clear" w:color="000000" w:fill="F2F2F2"/>
            <w:noWrap/>
            <w:vAlign w:val="center"/>
            <w:hideMark/>
          </w:tcPr>
          <w:p w14:paraId="3325CB87"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$ 8.054.666.859</w:t>
            </w:r>
          </w:p>
        </w:tc>
        <w:tc>
          <w:tcPr>
            <w:tcW w:w="1520" w:type="dxa"/>
            <w:shd w:val="clear" w:color="000000" w:fill="F2F2F2"/>
            <w:noWrap/>
            <w:vAlign w:val="center"/>
            <w:hideMark/>
          </w:tcPr>
          <w:p w14:paraId="4BFDC7E5"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$ 16.080.580.859</w:t>
            </w:r>
          </w:p>
        </w:tc>
        <w:tc>
          <w:tcPr>
            <w:tcW w:w="1200" w:type="dxa"/>
            <w:shd w:val="clear" w:color="000000" w:fill="F2F2F2"/>
            <w:noWrap/>
            <w:vAlign w:val="center"/>
            <w:hideMark/>
          </w:tcPr>
          <w:p w14:paraId="61EA6B77"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$ 160.805.809</w:t>
            </w:r>
          </w:p>
        </w:tc>
        <w:tc>
          <w:tcPr>
            <w:tcW w:w="1200" w:type="dxa"/>
            <w:shd w:val="clear" w:color="000000" w:fill="F2F2F2"/>
            <w:noWrap/>
            <w:vAlign w:val="center"/>
            <w:hideMark/>
          </w:tcPr>
          <w:p w14:paraId="792994CF"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$ 6.692</w:t>
            </w:r>
          </w:p>
        </w:tc>
        <w:tc>
          <w:tcPr>
            <w:tcW w:w="1289" w:type="dxa"/>
            <w:shd w:val="clear" w:color="000000" w:fill="F2F2F2"/>
            <w:noWrap/>
            <w:vAlign w:val="center"/>
            <w:hideMark/>
          </w:tcPr>
          <w:p w14:paraId="4B3ECE92"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$ 160.812.501</w:t>
            </w:r>
          </w:p>
        </w:tc>
      </w:tr>
      <w:tr w:rsidR="00382869" w:rsidRPr="00053706" w14:paraId="3FC961C6" w14:textId="77777777" w:rsidTr="009A29B8">
        <w:trPr>
          <w:trHeight w:val="261"/>
        </w:trPr>
        <w:tc>
          <w:tcPr>
            <w:tcW w:w="407" w:type="dxa"/>
            <w:shd w:val="clear" w:color="000000" w:fill="F2F2F2"/>
            <w:noWrap/>
            <w:vAlign w:val="center"/>
            <w:hideMark/>
          </w:tcPr>
          <w:p w14:paraId="44A54433" w14:textId="77777777" w:rsidR="00382869" w:rsidRPr="00053706" w:rsidRDefault="00382869" w:rsidP="00D22441">
            <w:pPr>
              <w:jc w:val="center"/>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107</w:t>
            </w:r>
          </w:p>
        </w:tc>
        <w:tc>
          <w:tcPr>
            <w:tcW w:w="585" w:type="dxa"/>
            <w:shd w:val="clear" w:color="000000" w:fill="F2F2F2"/>
            <w:noWrap/>
            <w:vAlign w:val="center"/>
            <w:hideMark/>
          </w:tcPr>
          <w:p w14:paraId="1336409B"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27572</w:t>
            </w:r>
          </w:p>
        </w:tc>
        <w:tc>
          <w:tcPr>
            <w:tcW w:w="941" w:type="dxa"/>
            <w:shd w:val="clear" w:color="000000" w:fill="F2F2F2"/>
            <w:noWrap/>
            <w:vAlign w:val="center"/>
            <w:hideMark/>
          </w:tcPr>
          <w:p w14:paraId="23593940"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900746422</w:t>
            </w:r>
          </w:p>
        </w:tc>
        <w:tc>
          <w:tcPr>
            <w:tcW w:w="3533" w:type="dxa"/>
            <w:shd w:val="clear" w:color="000000" w:fill="F2F2F2"/>
            <w:vAlign w:val="center"/>
            <w:hideMark/>
          </w:tcPr>
          <w:p w14:paraId="30F615E8" w14:textId="77777777" w:rsidR="00382869" w:rsidRPr="00053706" w:rsidRDefault="00382869" w:rsidP="00D22441">
            <w:pPr>
              <w:jc w:val="lef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CEMEX ENERGY SAS ESP</w:t>
            </w:r>
          </w:p>
        </w:tc>
        <w:tc>
          <w:tcPr>
            <w:tcW w:w="1520" w:type="dxa"/>
            <w:shd w:val="clear" w:color="000000" w:fill="F2F2F2"/>
            <w:noWrap/>
            <w:vAlign w:val="center"/>
            <w:hideMark/>
          </w:tcPr>
          <w:p w14:paraId="6BB32DF6"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$ 1.794.075.000</w:t>
            </w:r>
          </w:p>
        </w:tc>
        <w:tc>
          <w:tcPr>
            <w:tcW w:w="1360" w:type="dxa"/>
            <w:shd w:val="clear" w:color="000000" w:fill="F2F2F2"/>
            <w:noWrap/>
            <w:vAlign w:val="center"/>
            <w:hideMark/>
          </w:tcPr>
          <w:p w14:paraId="53F7178C"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$ 899.578.336</w:t>
            </w:r>
          </w:p>
        </w:tc>
        <w:tc>
          <w:tcPr>
            <w:tcW w:w="1520" w:type="dxa"/>
            <w:shd w:val="clear" w:color="000000" w:fill="F2F2F2"/>
            <w:noWrap/>
            <w:vAlign w:val="center"/>
            <w:hideMark/>
          </w:tcPr>
          <w:p w14:paraId="494F4654"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$ 2.693.653.336</w:t>
            </w:r>
          </w:p>
        </w:tc>
        <w:tc>
          <w:tcPr>
            <w:tcW w:w="1200" w:type="dxa"/>
            <w:shd w:val="clear" w:color="000000" w:fill="F2F2F2"/>
            <w:noWrap/>
            <w:vAlign w:val="center"/>
            <w:hideMark/>
          </w:tcPr>
          <w:p w14:paraId="0149D0A6"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$ 26.936.533</w:t>
            </w:r>
          </w:p>
        </w:tc>
        <w:tc>
          <w:tcPr>
            <w:tcW w:w="1200" w:type="dxa"/>
            <w:shd w:val="clear" w:color="000000" w:fill="F2F2F2"/>
            <w:noWrap/>
            <w:vAlign w:val="center"/>
            <w:hideMark/>
          </w:tcPr>
          <w:p w14:paraId="07D61267"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$ 1.121</w:t>
            </w:r>
          </w:p>
        </w:tc>
        <w:tc>
          <w:tcPr>
            <w:tcW w:w="1289" w:type="dxa"/>
            <w:shd w:val="clear" w:color="000000" w:fill="F2F2F2"/>
            <w:noWrap/>
            <w:vAlign w:val="center"/>
            <w:hideMark/>
          </w:tcPr>
          <w:p w14:paraId="3A8C9F55"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$ 26.937.654</w:t>
            </w:r>
          </w:p>
        </w:tc>
      </w:tr>
      <w:tr w:rsidR="00382869" w:rsidRPr="00053706" w14:paraId="1836250E" w14:textId="77777777" w:rsidTr="00053706">
        <w:trPr>
          <w:trHeight w:val="251"/>
        </w:trPr>
        <w:tc>
          <w:tcPr>
            <w:tcW w:w="407" w:type="dxa"/>
            <w:shd w:val="clear" w:color="000000" w:fill="F2F2F2"/>
            <w:noWrap/>
            <w:vAlign w:val="center"/>
            <w:hideMark/>
          </w:tcPr>
          <w:p w14:paraId="2BB8BBA7" w14:textId="77777777" w:rsidR="00382869" w:rsidRPr="00053706" w:rsidRDefault="00382869" w:rsidP="00D22441">
            <w:pPr>
              <w:jc w:val="center"/>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108</w:t>
            </w:r>
          </w:p>
        </w:tc>
        <w:tc>
          <w:tcPr>
            <w:tcW w:w="585" w:type="dxa"/>
            <w:shd w:val="clear" w:color="000000" w:fill="F2F2F2"/>
            <w:noWrap/>
            <w:vAlign w:val="center"/>
            <w:hideMark/>
          </w:tcPr>
          <w:p w14:paraId="6903BD86"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30431</w:t>
            </w:r>
          </w:p>
        </w:tc>
        <w:tc>
          <w:tcPr>
            <w:tcW w:w="941" w:type="dxa"/>
            <w:shd w:val="clear" w:color="000000" w:fill="F2F2F2"/>
            <w:noWrap/>
            <w:vAlign w:val="center"/>
            <w:hideMark/>
          </w:tcPr>
          <w:p w14:paraId="4F8A9EF0"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900759883</w:t>
            </w:r>
          </w:p>
        </w:tc>
        <w:tc>
          <w:tcPr>
            <w:tcW w:w="3533" w:type="dxa"/>
            <w:shd w:val="clear" w:color="000000" w:fill="F2F2F2"/>
            <w:vAlign w:val="center"/>
            <w:hideMark/>
          </w:tcPr>
          <w:p w14:paraId="14002E30" w14:textId="77777777" w:rsidR="00382869" w:rsidRPr="00053706" w:rsidRDefault="00382869" w:rsidP="00D22441">
            <w:pPr>
              <w:jc w:val="lef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xml:space="preserve">CENTRAL HIDROELÉCTRICA CONCORDIA SAS ESP </w:t>
            </w:r>
          </w:p>
        </w:tc>
        <w:tc>
          <w:tcPr>
            <w:tcW w:w="1520" w:type="dxa"/>
            <w:shd w:val="clear" w:color="000000" w:fill="F2F2F2"/>
            <w:noWrap/>
            <w:vAlign w:val="center"/>
            <w:hideMark/>
          </w:tcPr>
          <w:p w14:paraId="65F8A879"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$ 48.713.000</w:t>
            </w:r>
          </w:p>
        </w:tc>
        <w:tc>
          <w:tcPr>
            <w:tcW w:w="1360" w:type="dxa"/>
            <w:shd w:val="clear" w:color="000000" w:fill="F2F2F2"/>
            <w:noWrap/>
            <w:vAlign w:val="center"/>
            <w:hideMark/>
          </w:tcPr>
          <w:p w14:paraId="0F641D46"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$ 0</w:t>
            </w:r>
          </w:p>
        </w:tc>
        <w:tc>
          <w:tcPr>
            <w:tcW w:w="1520" w:type="dxa"/>
            <w:shd w:val="clear" w:color="000000" w:fill="F2F2F2"/>
            <w:noWrap/>
            <w:vAlign w:val="center"/>
            <w:hideMark/>
          </w:tcPr>
          <w:p w14:paraId="0EC3CED0"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$ 48.713.000</w:t>
            </w:r>
          </w:p>
        </w:tc>
        <w:tc>
          <w:tcPr>
            <w:tcW w:w="1200" w:type="dxa"/>
            <w:shd w:val="clear" w:color="000000" w:fill="F2F2F2"/>
            <w:noWrap/>
            <w:vAlign w:val="center"/>
            <w:hideMark/>
          </w:tcPr>
          <w:p w14:paraId="08E1C6E0"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$ 487.130</w:t>
            </w:r>
          </w:p>
        </w:tc>
        <w:tc>
          <w:tcPr>
            <w:tcW w:w="1200" w:type="dxa"/>
            <w:shd w:val="clear" w:color="000000" w:fill="F2F2F2"/>
            <w:noWrap/>
            <w:vAlign w:val="center"/>
            <w:hideMark/>
          </w:tcPr>
          <w:p w14:paraId="58973386"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$ 20</w:t>
            </w:r>
          </w:p>
        </w:tc>
        <w:tc>
          <w:tcPr>
            <w:tcW w:w="1289" w:type="dxa"/>
            <w:shd w:val="clear" w:color="000000" w:fill="F2F2F2"/>
            <w:noWrap/>
            <w:vAlign w:val="center"/>
            <w:hideMark/>
          </w:tcPr>
          <w:p w14:paraId="3BA085B4"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$ 487.150</w:t>
            </w:r>
          </w:p>
        </w:tc>
      </w:tr>
      <w:tr w:rsidR="00382869" w:rsidRPr="00053706" w14:paraId="5245FF5E" w14:textId="77777777" w:rsidTr="009A29B8">
        <w:trPr>
          <w:trHeight w:val="465"/>
        </w:trPr>
        <w:tc>
          <w:tcPr>
            <w:tcW w:w="407" w:type="dxa"/>
            <w:shd w:val="clear" w:color="000000" w:fill="F2F2F2"/>
            <w:noWrap/>
            <w:vAlign w:val="center"/>
            <w:hideMark/>
          </w:tcPr>
          <w:p w14:paraId="70385BAE" w14:textId="77777777" w:rsidR="00382869" w:rsidRPr="00053706" w:rsidRDefault="00382869" w:rsidP="00D22441">
            <w:pPr>
              <w:jc w:val="center"/>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109</w:t>
            </w:r>
          </w:p>
        </w:tc>
        <w:tc>
          <w:tcPr>
            <w:tcW w:w="585" w:type="dxa"/>
            <w:shd w:val="clear" w:color="000000" w:fill="F2F2F2"/>
            <w:noWrap/>
            <w:vAlign w:val="center"/>
            <w:hideMark/>
          </w:tcPr>
          <w:p w14:paraId="3D221AFF"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27791</w:t>
            </w:r>
          </w:p>
        </w:tc>
        <w:tc>
          <w:tcPr>
            <w:tcW w:w="941" w:type="dxa"/>
            <w:shd w:val="clear" w:color="000000" w:fill="F2F2F2"/>
            <w:noWrap/>
            <w:vAlign w:val="center"/>
            <w:hideMark/>
          </w:tcPr>
          <w:p w14:paraId="60727AFB"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900778095</w:t>
            </w:r>
          </w:p>
        </w:tc>
        <w:tc>
          <w:tcPr>
            <w:tcW w:w="3533" w:type="dxa"/>
            <w:shd w:val="clear" w:color="000000" w:fill="F2F2F2"/>
            <w:vAlign w:val="center"/>
            <w:hideMark/>
          </w:tcPr>
          <w:p w14:paraId="22E4E0ED" w14:textId="77777777" w:rsidR="00382869" w:rsidRPr="00053706" w:rsidRDefault="00382869" w:rsidP="00D22441">
            <w:pPr>
              <w:jc w:val="lef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DESARROLLO ELECTRICO DEL SURIA S.A.S. E.S.P.</w:t>
            </w:r>
          </w:p>
        </w:tc>
        <w:tc>
          <w:tcPr>
            <w:tcW w:w="1520" w:type="dxa"/>
            <w:shd w:val="clear" w:color="000000" w:fill="F2F2F2"/>
            <w:noWrap/>
            <w:vAlign w:val="center"/>
            <w:hideMark/>
          </w:tcPr>
          <w:p w14:paraId="4195B399"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$ 414.170.000</w:t>
            </w:r>
          </w:p>
        </w:tc>
        <w:tc>
          <w:tcPr>
            <w:tcW w:w="1360" w:type="dxa"/>
            <w:shd w:val="clear" w:color="000000" w:fill="F2F2F2"/>
            <w:noWrap/>
            <w:vAlign w:val="center"/>
            <w:hideMark/>
          </w:tcPr>
          <w:p w14:paraId="2717C3B5"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$ 142.616</w:t>
            </w:r>
          </w:p>
        </w:tc>
        <w:tc>
          <w:tcPr>
            <w:tcW w:w="1520" w:type="dxa"/>
            <w:shd w:val="clear" w:color="000000" w:fill="F2F2F2"/>
            <w:noWrap/>
            <w:vAlign w:val="center"/>
            <w:hideMark/>
          </w:tcPr>
          <w:p w14:paraId="55BBC966"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$ 414.312.616</w:t>
            </w:r>
          </w:p>
        </w:tc>
        <w:tc>
          <w:tcPr>
            <w:tcW w:w="1200" w:type="dxa"/>
            <w:shd w:val="clear" w:color="000000" w:fill="F2F2F2"/>
            <w:noWrap/>
            <w:vAlign w:val="center"/>
            <w:hideMark/>
          </w:tcPr>
          <w:p w14:paraId="202A354F"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$ 4.143.126</w:t>
            </w:r>
          </w:p>
        </w:tc>
        <w:tc>
          <w:tcPr>
            <w:tcW w:w="1200" w:type="dxa"/>
            <w:shd w:val="clear" w:color="000000" w:fill="F2F2F2"/>
            <w:noWrap/>
            <w:vAlign w:val="center"/>
            <w:hideMark/>
          </w:tcPr>
          <w:p w14:paraId="0E4BD6B8"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$ 172</w:t>
            </w:r>
          </w:p>
        </w:tc>
        <w:tc>
          <w:tcPr>
            <w:tcW w:w="1289" w:type="dxa"/>
            <w:shd w:val="clear" w:color="000000" w:fill="F2F2F2"/>
            <w:noWrap/>
            <w:vAlign w:val="center"/>
            <w:hideMark/>
          </w:tcPr>
          <w:p w14:paraId="0E78FB1B"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$ 4.143.299</w:t>
            </w:r>
          </w:p>
        </w:tc>
      </w:tr>
      <w:tr w:rsidR="00382869" w:rsidRPr="00053706" w14:paraId="2F788B3D" w14:textId="77777777" w:rsidTr="009A29B8">
        <w:trPr>
          <w:trHeight w:val="465"/>
        </w:trPr>
        <w:tc>
          <w:tcPr>
            <w:tcW w:w="407" w:type="dxa"/>
            <w:shd w:val="clear" w:color="000000" w:fill="F2F2F2"/>
            <w:noWrap/>
            <w:vAlign w:val="center"/>
            <w:hideMark/>
          </w:tcPr>
          <w:p w14:paraId="62629AB4" w14:textId="77777777" w:rsidR="00382869" w:rsidRPr="00053706" w:rsidRDefault="00382869" w:rsidP="00D22441">
            <w:pPr>
              <w:jc w:val="center"/>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110</w:t>
            </w:r>
          </w:p>
        </w:tc>
        <w:tc>
          <w:tcPr>
            <w:tcW w:w="585" w:type="dxa"/>
            <w:shd w:val="clear" w:color="000000" w:fill="F2F2F2"/>
            <w:noWrap/>
            <w:vAlign w:val="center"/>
            <w:hideMark/>
          </w:tcPr>
          <w:p w14:paraId="7BD5D842"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28111</w:t>
            </w:r>
          </w:p>
        </w:tc>
        <w:tc>
          <w:tcPr>
            <w:tcW w:w="941" w:type="dxa"/>
            <w:shd w:val="clear" w:color="000000" w:fill="F2F2F2"/>
            <w:noWrap/>
            <w:vAlign w:val="center"/>
            <w:hideMark/>
          </w:tcPr>
          <w:p w14:paraId="55D65941"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900787764</w:t>
            </w:r>
          </w:p>
        </w:tc>
        <w:tc>
          <w:tcPr>
            <w:tcW w:w="3533" w:type="dxa"/>
            <w:shd w:val="clear" w:color="000000" w:fill="F2F2F2"/>
            <w:vAlign w:val="center"/>
            <w:hideMark/>
          </w:tcPr>
          <w:p w14:paraId="1B2B076E" w14:textId="77777777" w:rsidR="00382869" w:rsidRPr="00053706" w:rsidRDefault="00382869" w:rsidP="00D22441">
            <w:pPr>
              <w:jc w:val="lef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xml:space="preserve">EMPRESA DE SERVICIOS PUBLICOS DE ENERGIA ELECTRICA DEL CAUCA </w:t>
            </w:r>
          </w:p>
        </w:tc>
        <w:tc>
          <w:tcPr>
            <w:tcW w:w="1520" w:type="dxa"/>
            <w:shd w:val="clear" w:color="000000" w:fill="F2F2F2"/>
            <w:noWrap/>
            <w:vAlign w:val="center"/>
            <w:hideMark/>
          </w:tcPr>
          <w:p w14:paraId="5CC8C141"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$ 476.100.000</w:t>
            </w:r>
          </w:p>
        </w:tc>
        <w:tc>
          <w:tcPr>
            <w:tcW w:w="1360" w:type="dxa"/>
            <w:shd w:val="clear" w:color="000000" w:fill="F2F2F2"/>
            <w:noWrap/>
            <w:vAlign w:val="center"/>
            <w:hideMark/>
          </w:tcPr>
          <w:p w14:paraId="1CAAC098"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$ 17.633.592</w:t>
            </w:r>
          </w:p>
        </w:tc>
        <w:tc>
          <w:tcPr>
            <w:tcW w:w="1520" w:type="dxa"/>
            <w:shd w:val="clear" w:color="000000" w:fill="F2F2F2"/>
            <w:noWrap/>
            <w:vAlign w:val="center"/>
            <w:hideMark/>
          </w:tcPr>
          <w:p w14:paraId="5DAB42DC"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$ 493.733.592</w:t>
            </w:r>
          </w:p>
        </w:tc>
        <w:tc>
          <w:tcPr>
            <w:tcW w:w="1200" w:type="dxa"/>
            <w:shd w:val="clear" w:color="000000" w:fill="F2F2F2"/>
            <w:noWrap/>
            <w:vAlign w:val="center"/>
            <w:hideMark/>
          </w:tcPr>
          <w:p w14:paraId="0E30E23E"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$ 4.937.336</w:t>
            </w:r>
          </w:p>
        </w:tc>
        <w:tc>
          <w:tcPr>
            <w:tcW w:w="1200" w:type="dxa"/>
            <w:shd w:val="clear" w:color="000000" w:fill="F2F2F2"/>
            <w:noWrap/>
            <w:vAlign w:val="center"/>
            <w:hideMark/>
          </w:tcPr>
          <w:p w14:paraId="046422B8"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$ 205</w:t>
            </w:r>
          </w:p>
        </w:tc>
        <w:tc>
          <w:tcPr>
            <w:tcW w:w="1289" w:type="dxa"/>
            <w:shd w:val="clear" w:color="000000" w:fill="F2F2F2"/>
            <w:noWrap/>
            <w:vAlign w:val="center"/>
            <w:hideMark/>
          </w:tcPr>
          <w:p w14:paraId="1094972E"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$ 4.937.541</w:t>
            </w:r>
          </w:p>
        </w:tc>
      </w:tr>
      <w:tr w:rsidR="00382869" w:rsidRPr="00053706" w14:paraId="6E704021" w14:textId="77777777" w:rsidTr="009A29B8">
        <w:trPr>
          <w:trHeight w:val="291"/>
        </w:trPr>
        <w:tc>
          <w:tcPr>
            <w:tcW w:w="407" w:type="dxa"/>
            <w:shd w:val="clear" w:color="000000" w:fill="F2F2F2"/>
            <w:noWrap/>
            <w:vAlign w:val="center"/>
            <w:hideMark/>
          </w:tcPr>
          <w:p w14:paraId="3E828099" w14:textId="77777777" w:rsidR="00382869" w:rsidRPr="00053706" w:rsidRDefault="00382869" w:rsidP="00D22441">
            <w:pPr>
              <w:jc w:val="center"/>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111</w:t>
            </w:r>
          </w:p>
        </w:tc>
        <w:tc>
          <w:tcPr>
            <w:tcW w:w="585" w:type="dxa"/>
            <w:shd w:val="clear" w:color="000000" w:fill="F2F2F2"/>
            <w:noWrap/>
            <w:vAlign w:val="center"/>
            <w:hideMark/>
          </w:tcPr>
          <w:p w14:paraId="2F8C3477"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30111</w:t>
            </w:r>
          </w:p>
        </w:tc>
        <w:tc>
          <w:tcPr>
            <w:tcW w:w="941" w:type="dxa"/>
            <w:shd w:val="clear" w:color="000000" w:fill="F2F2F2"/>
            <w:noWrap/>
            <w:vAlign w:val="center"/>
            <w:hideMark/>
          </w:tcPr>
          <w:p w14:paraId="30C58CA0"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900879149</w:t>
            </w:r>
          </w:p>
        </w:tc>
        <w:tc>
          <w:tcPr>
            <w:tcW w:w="3533" w:type="dxa"/>
            <w:shd w:val="clear" w:color="000000" w:fill="F2F2F2"/>
            <w:vAlign w:val="center"/>
            <w:hideMark/>
          </w:tcPr>
          <w:p w14:paraId="25B0B656" w14:textId="4E9A244F" w:rsidR="00382869" w:rsidRPr="00053706" w:rsidRDefault="00382869" w:rsidP="00D22441">
            <w:pPr>
              <w:jc w:val="lef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CONELCA S.A.S.  E.S.P.</w:t>
            </w:r>
          </w:p>
        </w:tc>
        <w:tc>
          <w:tcPr>
            <w:tcW w:w="1520" w:type="dxa"/>
            <w:shd w:val="clear" w:color="000000" w:fill="F2F2F2"/>
            <w:noWrap/>
            <w:vAlign w:val="center"/>
            <w:hideMark/>
          </w:tcPr>
          <w:p w14:paraId="074FBD6A"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$ 354.124.000</w:t>
            </w:r>
          </w:p>
        </w:tc>
        <w:tc>
          <w:tcPr>
            <w:tcW w:w="1360" w:type="dxa"/>
            <w:shd w:val="clear" w:color="000000" w:fill="F2F2F2"/>
            <w:noWrap/>
            <w:vAlign w:val="center"/>
            <w:hideMark/>
          </w:tcPr>
          <w:p w14:paraId="19223984"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$ 0</w:t>
            </w:r>
          </w:p>
        </w:tc>
        <w:tc>
          <w:tcPr>
            <w:tcW w:w="1520" w:type="dxa"/>
            <w:shd w:val="clear" w:color="000000" w:fill="F2F2F2"/>
            <w:noWrap/>
            <w:vAlign w:val="center"/>
            <w:hideMark/>
          </w:tcPr>
          <w:p w14:paraId="510544A9"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$ 354.124.000</w:t>
            </w:r>
          </w:p>
        </w:tc>
        <w:tc>
          <w:tcPr>
            <w:tcW w:w="1200" w:type="dxa"/>
            <w:shd w:val="clear" w:color="000000" w:fill="F2F2F2"/>
            <w:noWrap/>
            <w:vAlign w:val="center"/>
            <w:hideMark/>
          </w:tcPr>
          <w:p w14:paraId="5227DAB7"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$ 3.541.240</w:t>
            </w:r>
          </w:p>
        </w:tc>
        <w:tc>
          <w:tcPr>
            <w:tcW w:w="1200" w:type="dxa"/>
            <w:shd w:val="clear" w:color="000000" w:fill="F2F2F2"/>
            <w:noWrap/>
            <w:vAlign w:val="center"/>
            <w:hideMark/>
          </w:tcPr>
          <w:p w14:paraId="5DFE77B8"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$ 147</w:t>
            </w:r>
          </w:p>
        </w:tc>
        <w:tc>
          <w:tcPr>
            <w:tcW w:w="1289" w:type="dxa"/>
            <w:shd w:val="clear" w:color="000000" w:fill="F2F2F2"/>
            <w:noWrap/>
            <w:vAlign w:val="center"/>
            <w:hideMark/>
          </w:tcPr>
          <w:p w14:paraId="0643B480"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$ 3.541.387</w:t>
            </w:r>
          </w:p>
        </w:tc>
      </w:tr>
      <w:tr w:rsidR="00382869" w:rsidRPr="00053706" w14:paraId="54F7F195" w14:textId="77777777" w:rsidTr="009A29B8">
        <w:trPr>
          <w:trHeight w:val="465"/>
        </w:trPr>
        <w:tc>
          <w:tcPr>
            <w:tcW w:w="407" w:type="dxa"/>
            <w:shd w:val="clear" w:color="000000" w:fill="F2F2F2"/>
            <w:noWrap/>
            <w:vAlign w:val="center"/>
            <w:hideMark/>
          </w:tcPr>
          <w:p w14:paraId="63592394" w14:textId="77777777" w:rsidR="00382869" w:rsidRPr="00053706" w:rsidRDefault="00382869" w:rsidP="00D22441">
            <w:pPr>
              <w:jc w:val="center"/>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112</w:t>
            </w:r>
          </w:p>
        </w:tc>
        <w:tc>
          <w:tcPr>
            <w:tcW w:w="585" w:type="dxa"/>
            <w:shd w:val="clear" w:color="000000" w:fill="F2F2F2"/>
            <w:noWrap/>
            <w:vAlign w:val="center"/>
            <w:hideMark/>
          </w:tcPr>
          <w:p w14:paraId="6DB6CCB0"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32353</w:t>
            </w:r>
          </w:p>
        </w:tc>
        <w:tc>
          <w:tcPr>
            <w:tcW w:w="941" w:type="dxa"/>
            <w:shd w:val="clear" w:color="000000" w:fill="F2F2F2"/>
            <w:noWrap/>
            <w:vAlign w:val="center"/>
            <w:hideMark/>
          </w:tcPr>
          <w:p w14:paraId="18D779AB"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900921416</w:t>
            </w:r>
          </w:p>
        </w:tc>
        <w:tc>
          <w:tcPr>
            <w:tcW w:w="3533" w:type="dxa"/>
            <w:shd w:val="clear" w:color="000000" w:fill="F2F2F2"/>
            <w:vAlign w:val="center"/>
            <w:hideMark/>
          </w:tcPr>
          <w:p w14:paraId="1D63672C" w14:textId="77777777" w:rsidR="00382869" w:rsidRPr="00053706" w:rsidRDefault="00382869" w:rsidP="00D22441">
            <w:pPr>
              <w:jc w:val="lef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ENERGIA ELECTRICA DE LA COSTA ATLANTICA S.A.S. E.S.P.</w:t>
            </w:r>
          </w:p>
        </w:tc>
        <w:tc>
          <w:tcPr>
            <w:tcW w:w="1520" w:type="dxa"/>
            <w:shd w:val="clear" w:color="000000" w:fill="F2F2F2"/>
            <w:noWrap/>
            <w:vAlign w:val="center"/>
            <w:hideMark/>
          </w:tcPr>
          <w:p w14:paraId="0979B27E"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$ 326.970.000</w:t>
            </w:r>
          </w:p>
        </w:tc>
        <w:tc>
          <w:tcPr>
            <w:tcW w:w="1360" w:type="dxa"/>
            <w:shd w:val="clear" w:color="000000" w:fill="F2F2F2"/>
            <w:noWrap/>
            <w:vAlign w:val="center"/>
            <w:hideMark/>
          </w:tcPr>
          <w:p w14:paraId="1CC14565"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$ 0</w:t>
            </w:r>
          </w:p>
        </w:tc>
        <w:tc>
          <w:tcPr>
            <w:tcW w:w="1520" w:type="dxa"/>
            <w:shd w:val="clear" w:color="000000" w:fill="F2F2F2"/>
            <w:noWrap/>
            <w:vAlign w:val="center"/>
            <w:hideMark/>
          </w:tcPr>
          <w:p w14:paraId="3D900151"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$ 326.970.000</w:t>
            </w:r>
          </w:p>
        </w:tc>
        <w:tc>
          <w:tcPr>
            <w:tcW w:w="1200" w:type="dxa"/>
            <w:shd w:val="clear" w:color="000000" w:fill="F2F2F2"/>
            <w:noWrap/>
            <w:vAlign w:val="center"/>
            <w:hideMark/>
          </w:tcPr>
          <w:p w14:paraId="588F6128"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$ 3.269.700</w:t>
            </w:r>
          </w:p>
        </w:tc>
        <w:tc>
          <w:tcPr>
            <w:tcW w:w="1200" w:type="dxa"/>
            <w:shd w:val="clear" w:color="000000" w:fill="F2F2F2"/>
            <w:noWrap/>
            <w:vAlign w:val="center"/>
            <w:hideMark/>
          </w:tcPr>
          <w:p w14:paraId="0F8F287B"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$ 136</w:t>
            </w:r>
          </w:p>
        </w:tc>
        <w:tc>
          <w:tcPr>
            <w:tcW w:w="1289" w:type="dxa"/>
            <w:shd w:val="clear" w:color="000000" w:fill="F2F2F2"/>
            <w:noWrap/>
            <w:vAlign w:val="center"/>
            <w:hideMark/>
          </w:tcPr>
          <w:p w14:paraId="0210AE36"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$ 3.269.836</w:t>
            </w:r>
          </w:p>
        </w:tc>
      </w:tr>
      <w:tr w:rsidR="00382869" w:rsidRPr="00053706" w14:paraId="6B73F918" w14:textId="77777777" w:rsidTr="009A29B8">
        <w:trPr>
          <w:trHeight w:val="465"/>
        </w:trPr>
        <w:tc>
          <w:tcPr>
            <w:tcW w:w="407" w:type="dxa"/>
            <w:shd w:val="clear" w:color="000000" w:fill="F2F2F2"/>
            <w:noWrap/>
            <w:vAlign w:val="center"/>
            <w:hideMark/>
          </w:tcPr>
          <w:p w14:paraId="46FBC22A" w14:textId="77777777" w:rsidR="00382869" w:rsidRPr="00053706" w:rsidRDefault="00382869" w:rsidP="00D22441">
            <w:pPr>
              <w:jc w:val="center"/>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113</w:t>
            </w:r>
          </w:p>
        </w:tc>
        <w:tc>
          <w:tcPr>
            <w:tcW w:w="585" w:type="dxa"/>
            <w:shd w:val="clear" w:color="000000" w:fill="F2F2F2"/>
            <w:noWrap/>
            <w:vAlign w:val="center"/>
            <w:hideMark/>
          </w:tcPr>
          <w:p w14:paraId="4354985A"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40476</w:t>
            </w:r>
          </w:p>
        </w:tc>
        <w:tc>
          <w:tcPr>
            <w:tcW w:w="941" w:type="dxa"/>
            <w:shd w:val="clear" w:color="000000" w:fill="F2F2F2"/>
            <w:noWrap/>
            <w:vAlign w:val="center"/>
            <w:hideMark/>
          </w:tcPr>
          <w:p w14:paraId="1F659F65"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900928926</w:t>
            </w:r>
          </w:p>
        </w:tc>
        <w:tc>
          <w:tcPr>
            <w:tcW w:w="3533" w:type="dxa"/>
            <w:shd w:val="clear" w:color="000000" w:fill="F2F2F2"/>
            <w:vAlign w:val="center"/>
            <w:hideMark/>
          </w:tcPr>
          <w:p w14:paraId="18A0B259" w14:textId="77777777" w:rsidR="00382869" w:rsidRPr="00053706" w:rsidRDefault="00382869" w:rsidP="00D22441">
            <w:pPr>
              <w:jc w:val="lef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BOSQUES SOLARES DE LOS LLANOS 1 SAS ESP</w:t>
            </w:r>
          </w:p>
        </w:tc>
        <w:tc>
          <w:tcPr>
            <w:tcW w:w="1520" w:type="dxa"/>
            <w:shd w:val="clear" w:color="000000" w:fill="F2F2F2"/>
            <w:noWrap/>
            <w:vAlign w:val="center"/>
            <w:hideMark/>
          </w:tcPr>
          <w:p w14:paraId="67E6ACD6"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$ 1.006.145.000</w:t>
            </w:r>
          </w:p>
        </w:tc>
        <w:tc>
          <w:tcPr>
            <w:tcW w:w="1360" w:type="dxa"/>
            <w:shd w:val="clear" w:color="000000" w:fill="F2F2F2"/>
            <w:noWrap/>
            <w:vAlign w:val="center"/>
            <w:hideMark/>
          </w:tcPr>
          <w:p w14:paraId="178189E7"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$ 0</w:t>
            </w:r>
          </w:p>
        </w:tc>
        <w:tc>
          <w:tcPr>
            <w:tcW w:w="1520" w:type="dxa"/>
            <w:shd w:val="clear" w:color="000000" w:fill="F2F2F2"/>
            <w:noWrap/>
            <w:vAlign w:val="center"/>
            <w:hideMark/>
          </w:tcPr>
          <w:p w14:paraId="5F941591"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$ 1.006.145.000</w:t>
            </w:r>
          </w:p>
        </w:tc>
        <w:tc>
          <w:tcPr>
            <w:tcW w:w="1200" w:type="dxa"/>
            <w:shd w:val="clear" w:color="000000" w:fill="F2F2F2"/>
            <w:noWrap/>
            <w:vAlign w:val="center"/>
            <w:hideMark/>
          </w:tcPr>
          <w:p w14:paraId="4F0C53C9"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$ 10.061.450</w:t>
            </w:r>
          </w:p>
        </w:tc>
        <w:tc>
          <w:tcPr>
            <w:tcW w:w="1200" w:type="dxa"/>
            <w:shd w:val="clear" w:color="000000" w:fill="F2F2F2"/>
            <w:noWrap/>
            <w:vAlign w:val="center"/>
            <w:hideMark/>
          </w:tcPr>
          <w:p w14:paraId="26F72661"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$ 419</w:t>
            </w:r>
          </w:p>
        </w:tc>
        <w:tc>
          <w:tcPr>
            <w:tcW w:w="1289" w:type="dxa"/>
            <w:shd w:val="clear" w:color="000000" w:fill="F2F2F2"/>
            <w:noWrap/>
            <w:vAlign w:val="center"/>
            <w:hideMark/>
          </w:tcPr>
          <w:p w14:paraId="72882157"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$ 10.061.869</w:t>
            </w:r>
          </w:p>
        </w:tc>
      </w:tr>
      <w:tr w:rsidR="00382869" w:rsidRPr="00053706" w14:paraId="64A84F41" w14:textId="77777777" w:rsidTr="00053706">
        <w:trPr>
          <w:trHeight w:val="373"/>
        </w:trPr>
        <w:tc>
          <w:tcPr>
            <w:tcW w:w="407" w:type="dxa"/>
            <w:shd w:val="clear" w:color="000000" w:fill="F2F2F2"/>
            <w:noWrap/>
            <w:vAlign w:val="center"/>
            <w:hideMark/>
          </w:tcPr>
          <w:p w14:paraId="5B27FC89" w14:textId="77777777" w:rsidR="00382869" w:rsidRPr="00053706" w:rsidRDefault="00382869" w:rsidP="00D22441">
            <w:pPr>
              <w:jc w:val="center"/>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114</w:t>
            </w:r>
          </w:p>
        </w:tc>
        <w:tc>
          <w:tcPr>
            <w:tcW w:w="585" w:type="dxa"/>
            <w:shd w:val="clear" w:color="000000" w:fill="F2F2F2"/>
            <w:noWrap/>
            <w:vAlign w:val="center"/>
            <w:hideMark/>
          </w:tcPr>
          <w:p w14:paraId="2810067D"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40477</w:t>
            </w:r>
          </w:p>
        </w:tc>
        <w:tc>
          <w:tcPr>
            <w:tcW w:w="941" w:type="dxa"/>
            <w:shd w:val="clear" w:color="000000" w:fill="F2F2F2"/>
            <w:noWrap/>
            <w:vAlign w:val="center"/>
            <w:hideMark/>
          </w:tcPr>
          <w:p w14:paraId="09D5A069"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900928962</w:t>
            </w:r>
          </w:p>
        </w:tc>
        <w:tc>
          <w:tcPr>
            <w:tcW w:w="3533" w:type="dxa"/>
            <w:shd w:val="clear" w:color="000000" w:fill="F2F2F2"/>
            <w:vAlign w:val="center"/>
            <w:hideMark/>
          </w:tcPr>
          <w:p w14:paraId="63779C0E" w14:textId="77777777" w:rsidR="00382869" w:rsidRPr="00053706" w:rsidRDefault="00382869" w:rsidP="00D22441">
            <w:pPr>
              <w:jc w:val="lef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BOSQUES SOLARES DE LOS LLANOS 2 SAS ESP</w:t>
            </w:r>
          </w:p>
        </w:tc>
        <w:tc>
          <w:tcPr>
            <w:tcW w:w="1520" w:type="dxa"/>
            <w:shd w:val="clear" w:color="000000" w:fill="F2F2F2"/>
            <w:noWrap/>
            <w:vAlign w:val="center"/>
            <w:hideMark/>
          </w:tcPr>
          <w:p w14:paraId="7EAAC2F6"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$ 1.027.458.000</w:t>
            </w:r>
          </w:p>
        </w:tc>
        <w:tc>
          <w:tcPr>
            <w:tcW w:w="1360" w:type="dxa"/>
            <w:shd w:val="clear" w:color="000000" w:fill="F2F2F2"/>
            <w:noWrap/>
            <w:vAlign w:val="center"/>
            <w:hideMark/>
          </w:tcPr>
          <w:p w14:paraId="78065D90"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$ 0</w:t>
            </w:r>
          </w:p>
        </w:tc>
        <w:tc>
          <w:tcPr>
            <w:tcW w:w="1520" w:type="dxa"/>
            <w:shd w:val="clear" w:color="000000" w:fill="F2F2F2"/>
            <w:noWrap/>
            <w:vAlign w:val="center"/>
            <w:hideMark/>
          </w:tcPr>
          <w:p w14:paraId="27404371"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$ 1.027.458.000</w:t>
            </w:r>
          </w:p>
        </w:tc>
        <w:tc>
          <w:tcPr>
            <w:tcW w:w="1200" w:type="dxa"/>
            <w:shd w:val="clear" w:color="000000" w:fill="F2F2F2"/>
            <w:noWrap/>
            <w:vAlign w:val="center"/>
            <w:hideMark/>
          </w:tcPr>
          <w:p w14:paraId="67680FB4"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$ 10.274.580</w:t>
            </w:r>
          </w:p>
        </w:tc>
        <w:tc>
          <w:tcPr>
            <w:tcW w:w="1200" w:type="dxa"/>
            <w:shd w:val="clear" w:color="000000" w:fill="F2F2F2"/>
            <w:noWrap/>
            <w:vAlign w:val="center"/>
            <w:hideMark/>
          </w:tcPr>
          <w:p w14:paraId="1E2F5B70"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$ 428</w:t>
            </w:r>
          </w:p>
        </w:tc>
        <w:tc>
          <w:tcPr>
            <w:tcW w:w="1289" w:type="dxa"/>
            <w:shd w:val="clear" w:color="000000" w:fill="F2F2F2"/>
            <w:noWrap/>
            <w:vAlign w:val="center"/>
            <w:hideMark/>
          </w:tcPr>
          <w:p w14:paraId="19D39282"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$ 10.275.008</w:t>
            </w:r>
          </w:p>
        </w:tc>
      </w:tr>
      <w:tr w:rsidR="00382869" w:rsidRPr="00053706" w14:paraId="43EF8062" w14:textId="77777777" w:rsidTr="00053706">
        <w:trPr>
          <w:trHeight w:val="265"/>
        </w:trPr>
        <w:tc>
          <w:tcPr>
            <w:tcW w:w="407" w:type="dxa"/>
            <w:shd w:val="clear" w:color="000000" w:fill="F2F2F2"/>
            <w:noWrap/>
            <w:vAlign w:val="center"/>
            <w:hideMark/>
          </w:tcPr>
          <w:p w14:paraId="27F55C23" w14:textId="77777777" w:rsidR="00382869" w:rsidRPr="00053706" w:rsidRDefault="00382869" w:rsidP="00D22441">
            <w:pPr>
              <w:jc w:val="center"/>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115</w:t>
            </w:r>
          </w:p>
        </w:tc>
        <w:tc>
          <w:tcPr>
            <w:tcW w:w="585" w:type="dxa"/>
            <w:shd w:val="clear" w:color="000000" w:fill="F2F2F2"/>
            <w:noWrap/>
            <w:vAlign w:val="center"/>
            <w:hideMark/>
          </w:tcPr>
          <w:p w14:paraId="0ADC774C"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40478</w:t>
            </w:r>
          </w:p>
        </w:tc>
        <w:tc>
          <w:tcPr>
            <w:tcW w:w="941" w:type="dxa"/>
            <w:shd w:val="clear" w:color="000000" w:fill="F2F2F2"/>
            <w:noWrap/>
            <w:vAlign w:val="center"/>
            <w:hideMark/>
          </w:tcPr>
          <w:p w14:paraId="46D94426"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900929832</w:t>
            </w:r>
          </w:p>
        </w:tc>
        <w:tc>
          <w:tcPr>
            <w:tcW w:w="3533" w:type="dxa"/>
            <w:shd w:val="clear" w:color="000000" w:fill="F2F2F2"/>
            <w:vAlign w:val="center"/>
            <w:hideMark/>
          </w:tcPr>
          <w:p w14:paraId="18183FB9" w14:textId="77777777" w:rsidR="00382869" w:rsidRPr="00053706" w:rsidRDefault="00382869" w:rsidP="00D22441">
            <w:pPr>
              <w:jc w:val="lef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BOSQUES SOLARES DE LOS LLANOS 3 SAS ESP</w:t>
            </w:r>
          </w:p>
        </w:tc>
        <w:tc>
          <w:tcPr>
            <w:tcW w:w="1520" w:type="dxa"/>
            <w:shd w:val="clear" w:color="000000" w:fill="F2F2F2"/>
            <w:noWrap/>
            <w:vAlign w:val="center"/>
            <w:hideMark/>
          </w:tcPr>
          <w:p w14:paraId="75514E7B"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$ 1.020.352.000</w:t>
            </w:r>
          </w:p>
        </w:tc>
        <w:tc>
          <w:tcPr>
            <w:tcW w:w="1360" w:type="dxa"/>
            <w:shd w:val="clear" w:color="000000" w:fill="F2F2F2"/>
            <w:noWrap/>
            <w:vAlign w:val="center"/>
            <w:hideMark/>
          </w:tcPr>
          <w:p w14:paraId="4B3CC051"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$ 0</w:t>
            </w:r>
          </w:p>
        </w:tc>
        <w:tc>
          <w:tcPr>
            <w:tcW w:w="1520" w:type="dxa"/>
            <w:shd w:val="clear" w:color="000000" w:fill="F2F2F2"/>
            <w:noWrap/>
            <w:vAlign w:val="center"/>
            <w:hideMark/>
          </w:tcPr>
          <w:p w14:paraId="74AAB22C"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$ 1.020.352.000</w:t>
            </w:r>
          </w:p>
        </w:tc>
        <w:tc>
          <w:tcPr>
            <w:tcW w:w="1200" w:type="dxa"/>
            <w:shd w:val="clear" w:color="000000" w:fill="F2F2F2"/>
            <w:noWrap/>
            <w:vAlign w:val="center"/>
            <w:hideMark/>
          </w:tcPr>
          <w:p w14:paraId="53823E84"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$ 10.203.520</w:t>
            </w:r>
          </w:p>
        </w:tc>
        <w:tc>
          <w:tcPr>
            <w:tcW w:w="1200" w:type="dxa"/>
            <w:shd w:val="clear" w:color="000000" w:fill="F2F2F2"/>
            <w:noWrap/>
            <w:vAlign w:val="center"/>
            <w:hideMark/>
          </w:tcPr>
          <w:p w14:paraId="46A52399"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$ 425</w:t>
            </w:r>
          </w:p>
        </w:tc>
        <w:tc>
          <w:tcPr>
            <w:tcW w:w="1289" w:type="dxa"/>
            <w:shd w:val="clear" w:color="000000" w:fill="F2F2F2"/>
            <w:noWrap/>
            <w:vAlign w:val="center"/>
            <w:hideMark/>
          </w:tcPr>
          <w:p w14:paraId="48536FA9"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$ 10.203.945</w:t>
            </w:r>
          </w:p>
        </w:tc>
      </w:tr>
      <w:tr w:rsidR="00382869" w:rsidRPr="00053706" w14:paraId="6B0C32A8" w14:textId="77777777" w:rsidTr="009A29B8">
        <w:trPr>
          <w:trHeight w:val="331"/>
        </w:trPr>
        <w:tc>
          <w:tcPr>
            <w:tcW w:w="407" w:type="dxa"/>
            <w:shd w:val="clear" w:color="000000" w:fill="F2F2F2"/>
            <w:noWrap/>
            <w:vAlign w:val="center"/>
            <w:hideMark/>
          </w:tcPr>
          <w:p w14:paraId="561D0F36" w14:textId="77777777" w:rsidR="00382869" w:rsidRPr="00053706" w:rsidRDefault="00382869" w:rsidP="00D22441">
            <w:pPr>
              <w:jc w:val="center"/>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116</w:t>
            </w:r>
          </w:p>
        </w:tc>
        <w:tc>
          <w:tcPr>
            <w:tcW w:w="585" w:type="dxa"/>
            <w:shd w:val="clear" w:color="000000" w:fill="F2F2F2"/>
            <w:noWrap/>
            <w:vAlign w:val="center"/>
            <w:hideMark/>
          </w:tcPr>
          <w:p w14:paraId="33DD5BC4"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32374</w:t>
            </w:r>
          </w:p>
        </w:tc>
        <w:tc>
          <w:tcPr>
            <w:tcW w:w="941" w:type="dxa"/>
            <w:shd w:val="clear" w:color="000000" w:fill="F2F2F2"/>
            <w:noWrap/>
            <w:vAlign w:val="center"/>
            <w:hideMark/>
          </w:tcPr>
          <w:p w14:paraId="4E163D2D"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900932147</w:t>
            </w:r>
          </w:p>
        </w:tc>
        <w:tc>
          <w:tcPr>
            <w:tcW w:w="3533" w:type="dxa"/>
            <w:shd w:val="clear" w:color="000000" w:fill="F2F2F2"/>
            <w:vAlign w:val="center"/>
            <w:hideMark/>
          </w:tcPr>
          <w:p w14:paraId="4635D26C" w14:textId="77777777" w:rsidR="00382869" w:rsidRPr="00053706" w:rsidRDefault="00382869" w:rsidP="00D22441">
            <w:pPr>
              <w:jc w:val="lef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AMPERIA SA ESP</w:t>
            </w:r>
          </w:p>
        </w:tc>
        <w:tc>
          <w:tcPr>
            <w:tcW w:w="1520" w:type="dxa"/>
            <w:shd w:val="clear" w:color="000000" w:fill="F2F2F2"/>
            <w:noWrap/>
            <w:vAlign w:val="center"/>
            <w:hideMark/>
          </w:tcPr>
          <w:p w14:paraId="19D6425E"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$ 776.266.000</w:t>
            </w:r>
          </w:p>
        </w:tc>
        <w:tc>
          <w:tcPr>
            <w:tcW w:w="1360" w:type="dxa"/>
            <w:shd w:val="clear" w:color="000000" w:fill="F2F2F2"/>
            <w:noWrap/>
            <w:vAlign w:val="center"/>
            <w:hideMark/>
          </w:tcPr>
          <w:p w14:paraId="4BBCCE6A"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$ 11.363.573</w:t>
            </w:r>
          </w:p>
        </w:tc>
        <w:tc>
          <w:tcPr>
            <w:tcW w:w="1520" w:type="dxa"/>
            <w:shd w:val="clear" w:color="000000" w:fill="F2F2F2"/>
            <w:noWrap/>
            <w:vAlign w:val="center"/>
            <w:hideMark/>
          </w:tcPr>
          <w:p w14:paraId="2547902D"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$ 787.629.573</w:t>
            </w:r>
          </w:p>
        </w:tc>
        <w:tc>
          <w:tcPr>
            <w:tcW w:w="1200" w:type="dxa"/>
            <w:shd w:val="clear" w:color="000000" w:fill="F2F2F2"/>
            <w:noWrap/>
            <w:vAlign w:val="center"/>
            <w:hideMark/>
          </w:tcPr>
          <w:p w14:paraId="4572D5C1"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$ 7.876.296</w:t>
            </w:r>
          </w:p>
        </w:tc>
        <w:tc>
          <w:tcPr>
            <w:tcW w:w="1200" w:type="dxa"/>
            <w:shd w:val="clear" w:color="000000" w:fill="F2F2F2"/>
            <w:noWrap/>
            <w:vAlign w:val="center"/>
            <w:hideMark/>
          </w:tcPr>
          <w:p w14:paraId="617F2AEC"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$ 328</w:t>
            </w:r>
          </w:p>
        </w:tc>
        <w:tc>
          <w:tcPr>
            <w:tcW w:w="1289" w:type="dxa"/>
            <w:shd w:val="clear" w:color="000000" w:fill="F2F2F2"/>
            <w:noWrap/>
            <w:vAlign w:val="center"/>
            <w:hideMark/>
          </w:tcPr>
          <w:p w14:paraId="669E8975"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$ 7.876.624</w:t>
            </w:r>
          </w:p>
        </w:tc>
      </w:tr>
      <w:tr w:rsidR="00382869" w:rsidRPr="00053706" w14:paraId="6D83CEC1" w14:textId="77777777" w:rsidTr="009A29B8">
        <w:trPr>
          <w:trHeight w:val="407"/>
        </w:trPr>
        <w:tc>
          <w:tcPr>
            <w:tcW w:w="407" w:type="dxa"/>
            <w:shd w:val="clear" w:color="000000" w:fill="F2F2F2"/>
            <w:noWrap/>
            <w:vAlign w:val="center"/>
            <w:hideMark/>
          </w:tcPr>
          <w:p w14:paraId="4E00391D" w14:textId="77777777" w:rsidR="00382869" w:rsidRPr="00053706" w:rsidRDefault="00382869" w:rsidP="00D22441">
            <w:pPr>
              <w:jc w:val="center"/>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117</w:t>
            </w:r>
          </w:p>
        </w:tc>
        <w:tc>
          <w:tcPr>
            <w:tcW w:w="585" w:type="dxa"/>
            <w:shd w:val="clear" w:color="000000" w:fill="F2F2F2"/>
            <w:noWrap/>
            <w:vAlign w:val="center"/>
            <w:hideMark/>
          </w:tcPr>
          <w:p w14:paraId="799BDE88"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32773</w:t>
            </w:r>
          </w:p>
        </w:tc>
        <w:tc>
          <w:tcPr>
            <w:tcW w:w="941" w:type="dxa"/>
            <w:shd w:val="clear" w:color="000000" w:fill="F2F2F2"/>
            <w:noWrap/>
            <w:vAlign w:val="center"/>
            <w:hideMark/>
          </w:tcPr>
          <w:p w14:paraId="6BB4EECE"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900949673</w:t>
            </w:r>
          </w:p>
        </w:tc>
        <w:tc>
          <w:tcPr>
            <w:tcW w:w="3533" w:type="dxa"/>
            <w:shd w:val="clear" w:color="000000" w:fill="F2F2F2"/>
            <w:vAlign w:val="center"/>
            <w:hideMark/>
          </w:tcPr>
          <w:p w14:paraId="173A4827" w14:textId="77777777" w:rsidR="00382869" w:rsidRPr="00053706" w:rsidRDefault="00382869" w:rsidP="00D22441">
            <w:pPr>
              <w:jc w:val="lef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SMARTEN SAS ESP</w:t>
            </w:r>
          </w:p>
        </w:tc>
        <w:tc>
          <w:tcPr>
            <w:tcW w:w="1520" w:type="dxa"/>
            <w:shd w:val="clear" w:color="000000" w:fill="F2F2F2"/>
            <w:noWrap/>
            <w:vAlign w:val="center"/>
            <w:hideMark/>
          </w:tcPr>
          <w:p w14:paraId="31EEC8A0"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$ 1.262.331.000</w:t>
            </w:r>
          </w:p>
        </w:tc>
        <w:tc>
          <w:tcPr>
            <w:tcW w:w="1360" w:type="dxa"/>
            <w:shd w:val="clear" w:color="000000" w:fill="F2F2F2"/>
            <w:noWrap/>
            <w:vAlign w:val="center"/>
            <w:hideMark/>
          </w:tcPr>
          <w:p w14:paraId="30936E67"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$ 0</w:t>
            </w:r>
          </w:p>
        </w:tc>
        <w:tc>
          <w:tcPr>
            <w:tcW w:w="1520" w:type="dxa"/>
            <w:shd w:val="clear" w:color="000000" w:fill="F2F2F2"/>
            <w:noWrap/>
            <w:vAlign w:val="center"/>
            <w:hideMark/>
          </w:tcPr>
          <w:p w14:paraId="22FF3BD0"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$ 1.262.331.000</w:t>
            </w:r>
          </w:p>
        </w:tc>
        <w:tc>
          <w:tcPr>
            <w:tcW w:w="1200" w:type="dxa"/>
            <w:shd w:val="clear" w:color="000000" w:fill="F2F2F2"/>
            <w:noWrap/>
            <w:vAlign w:val="center"/>
            <w:hideMark/>
          </w:tcPr>
          <w:p w14:paraId="34A65E99"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$ 12.623.310</w:t>
            </w:r>
          </w:p>
        </w:tc>
        <w:tc>
          <w:tcPr>
            <w:tcW w:w="1200" w:type="dxa"/>
            <w:shd w:val="clear" w:color="000000" w:fill="F2F2F2"/>
            <w:noWrap/>
            <w:vAlign w:val="center"/>
            <w:hideMark/>
          </w:tcPr>
          <w:p w14:paraId="6D87EAB9"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$ 525</w:t>
            </w:r>
          </w:p>
        </w:tc>
        <w:tc>
          <w:tcPr>
            <w:tcW w:w="1289" w:type="dxa"/>
            <w:shd w:val="clear" w:color="000000" w:fill="F2F2F2"/>
            <w:noWrap/>
            <w:vAlign w:val="center"/>
            <w:hideMark/>
          </w:tcPr>
          <w:p w14:paraId="12449E91"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$ 12.623.835</w:t>
            </w:r>
          </w:p>
        </w:tc>
      </w:tr>
      <w:tr w:rsidR="00382869" w:rsidRPr="00053706" w14:paraId="2DE691E5" w14:textId="77777777" w:rsidTr="009A29B8">
        <w:trPr>
          <w:trHeight w:val="465"/>
        </w:trPr>
        <w:tc>
          <w:tcPr>
            <w:tcW w:w="407" w:type="dxa"/>
            <w:shd w:val="clear" w:color="000000" w:fill="F2F2F2"/>
            <w:noWrap/>
            <w:vAlign w:val="center"/>
            <w:hideMark/>
          </w:tcPr>
          <w:p w14:paraId="749FB726" w14:textId="77777777" w:rsidR="00382869" w:rsidRPr="00053706" w:rsidRDefault="00382869" w:rsidP="00D22441">
            <w:pPr>
              <w:jc w:val="center"/>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118</w:t>
            </w:r>
          </w:p>
        </w:tc>
        <w:tc>
          <w:tcPr>
            <w:tcW w:w="585" w:type="dxa"/>
            <w:shd w:val="clear" w:color="000000" w:fill="F2F2F2"/>
            <w:noWrap/>
            <w:vAlign w:val="center"/>
            <w:hideMark/>
          </w:tcPr>
          <w:p w14:paraId="2E422285"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34833</w:t>
            </w:r>
          </w:p>
        </w:tc>
        <w:tc>
          <w:tcPr>
            <w:tcW w:w="941" w:type="dxa"/>
            <w:shd w:val="clear" w:color="000000" w:fill="F2F2F2"/>
            <w:noWrap/>
            <w:vAlign w:val="center"/>
            <w:hideMark/>
          </w:tcPr>
          <w:p w14:paraId="3A330994"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900963765</w:t>
            </w:r>
          </w:p>
        </w:tc>
        <w:tc>
          <w:tcPr>
            <w:tcW w:w="3533" w:type="dxa"/>
            <w:shd w:val="clear" w:color="000000" w:fill="F2F2F2"/>
            <w:vAlign w:val="center"/>
            <w:hideMark/>
          </w:tcPr>
          <w:p w14:paraId="5303549F" w14:textId="77777777" w:rsidR="00382869" w:rsidRPr="00053706" w:rsidRDefault="00382869" w:rsidP="00D22441">
            <w:pPr>
              <w:jc w:val="lef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EMPRESA ASOCIATIVA DE TRABAJO ELECTRIFICADORA DEL PACIFICO SUR</w:t>
            </w:r>
          </w:p>
        </w:tc>
        <w:tc>
          <w:tcPr>
            <w:tcW w:w="1520" w:type="dxa"/>
            <w:shd w:val="clear" w:color="000000" w:fill="F2F2F2"/>
            <w:noWrap/>
            <w:vAlign w:val="center"/>
            <w:hideMark/>
          </w:tcPr>
          <w:p w14:paraId="41D23A25"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$ 463.656.000</w:t>
            </w:r>
          </w:p>
        </w:tc>
        <w:tc>
          <w:tcPr>
            <w:tcW w:w="1360" w:type="dxa"/>
            <w:shd w:val="clear" w:color="000000" w:fill="F2F2F2"/>
            <w:noWrap/>
            <w:vAlign w:val="center"/>
            <w:hideMark/>
          </w:tcPr>
          <w:p w14:paraId="390D63E0"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$ 19.040.613</w:t>
            </w:r>
          </w:p>
        </w:tc>
        <w:tc>
          <w:tcPr>
            <w:tcW w:w="1520" w:type="dxa"/>
            <w:shd w:val="clear" w:color="000000" w:fill="F2F2F2"/>
            <w:noWrap/>
            <w:vAlign w:val="center"/>
            <w:hideMark/>
          </w:tcPr>
          <w:p w14:paraId="51BD5853"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$ 482.696.613</w:t>
            </w:r>
          </w:p>
        </w:tc>
        <w:tc>
          <w:tcPr>
            <w:tcW w:w="1200" w:type="dxa"/>
            <w:shd w:val="clear" w:color="000000" w:fill="F2F2F2"/>
            <w:noWrap/>
            <w:vAlign w:val="center"/>
            <w:hideMark/>
          </w:tcPr>
          <w:p w14:paraId="67F23AB9"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$ 4.826.966</w:t>
            </w:r>
          </w:p>
        </w:tc>
        <w:tc>
          <w:tcPr>
            <w:tcW w:w="1200" w:type="dxa"/>
            <w:shd w:val="clear" w:color="000000" w:fill="F2F2F2"/>
            <w:noWrap/>
            <w:vAlign w:val="center"/>
            <w:hideMark/>
          </w:tcPr>
          <w:p w14:paraId="52C3AB7D"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$ 201</w:t>
            </w:r>
          </w:p>
        </w:tc>
        <w:tc>
          <w:tcPr>
            <w:tcW w:w="1289" w:type="dxa"/>
            <w:shd w:val="clear" w:color="000000" w:fill="F2F2F2"/>
            <w:noWrap/>
            <w:vAlign w:val="center"/>
            <w:hideMark/>
          </w:tcPr>
          <w:p w14:paraId="3796C3E9"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$ 4.827.167</w:t>
            </w:r>
          </w:p>
        </w:tc>
      </w:tr>
      <w:tr w:rsidR="00382869" w:rsidRPr="00053706" w14:paraId="127F1DD3" w14:textId="77777777" w:rsidTr="00053706">
        <w:trPr>
          <w:trHeight w:val="329"/>
        </w:trPr>
        <w:tc>
          <w:tcPr>
            <w:tcW w:w="407" w:type="dxa"/>
            <w:shd w:val="clear" w:color="000000" w:fill="F2F2F2"/>
            <w:noWrap/>
            <w:vAlign w:val="center"/>
            <w:hideMark/>
          </w:tcPr>
          <w:p w14:paraId="0177C647" w14:textId="77777777" w:rsidR="00382869" w:rsidRPr="00053706" w:rsidRDefault="00382869" w:rsidP="00D22441">
            <w:pPr>
              <w:jc w:val="center"/>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119</w:t>
            </w:r>
          </w:p>
        </w:tc>
        <w:tc>
          <w:tcPr>
            <w:tcW w:w="585" w:type="dxa"/>
            <w:shd w:val="clear" w:color="000000" w:fill="F2F2F2"/>
            <w:noWrap/>
            <w:vAlign w:val="center"/>
            <w:hideMark/>
          </w:tcPr>
          <w:p w14:paraId="6AFE3B3A"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45016</w:t>
            </w:r>
          </w:p>
        </w:tc>
        <w:tc>
          <w:tcPr>
            <w:tcW w:w="941" w:type="dxa"/>
            <w:shd w:val="clear" w:color="000000" w:fill="F2F2F2"/>
            <w:noWrap/>
            <w:vAlign w:val="center"/>
            <w:hideMark/>
          </w:tcPr>
          <w:p w14:paraId="36330B12"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900983468</w:t>
            </w:r>
          </w:p>
        </w:tc>
        <w:tc>
          <w:tcPr>
            <w:tcW w:w="3533" w:type="dxa"/>
            <w:shd w:val="clear" w:color="000000" w:fill="F2F2F2"/>
            <w:vAlign w:val="center"/>
            <w:hideMark/>
          </w:tcPr>
          <w:p w14:paraId="5F3C7F3D" w14:textId="1B5F0361" w:rsidR="00382869" w:rsidRPr="00053706" w:rsidRDefault="00382869" w:rsidP="00D22441">
            <w:pPr>
              <w:jc w:val="lef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HIDROENERGIA DE LA MONTAÑA S.A.S E.S.P</w:t>
            </w:r>
            <w:r w:rsidR="008722A6" w:rsidRPr="00053706">
              <w:rPr>
                <w:rFonts w:ascii="Arial Narrow" w:hAnsi="Arial Narrow" w:cs="Arial"/>
                <w:color w:val="000000"/>
                <w:spacing w:val="0"/>
                <w:sz w:val="16"/>
                <w:szCs w:val="16"/>
                <w:lang w:eastAsia="es-CO"/>
              </w:rPr>
              <w:t>.</w:t>
            </w:r>
          </w:p>
        </w:tc>
        <w:tc>
          <w:tcPr>
            <w:tcW w:w="1520" w:type="dxa"/>
            <w:shd w:val="clear" w:color="000000" w:fill="F2F2F2"/>
            <w:noWrap/>
            <w:vAlign w:val="center"/>
            <w:hideMark/>
          </w:tcPr>
          <w:p w14:paraId="2EEA2EDD"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$ 58.416.000</w:t>
            </w:r>
          </w:p>
        </w:tc>
        <w:tc>
          <w:tcPr>
            <w:tcW w:w="1360" w:type="dxa"/>
            <w:shd w:val="clear" w:color="000000" w:fill="F2F2F2"/>
            <w:noWrap/>
            <w:vAlign w:val="center"/>
            <w:hideMark/>
          </w:tcPr>
          <w:p w14:paraId="691496BF"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$ 19.803.332</w:t>
            </w:r>
          </w:p>
        </w:tc>
        <w:tc>
          <w:tcPr>
            <w:tcW w:w="1520" w:type="dxa"/>
            <w:shd w:val="clear" w:color="000000" w:fill="F2F2F2"/>
            <w:noWrap/>
            <w:vAlign w:val="center"/>
            <w:hideMark/>
          </w:tcPr>
          <w:p w14:paraId="55E7FBA5"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$ 78.219.332</w:t>
            </w:r>
          </w:p>
        </w:tc>
        <w:tc>
          <w:tcPr>
            <w:tcW w:w="1200" w:type="dxa"/>
            <w:shd w:val="clear" w:color="000000" w:fill="F2F2F2"/>
            <w:noWrap/>
            <w:vAlign w:val="center"/>
            <w:hideMark/>
          </w:tcPr>
          <w:p w14:paraId="3FADD61D"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$ 782.193</w:t>
            </w:r>
          </w:p>
        </w:tc>
        <w:tc>
          <w:tcPr>
            <w:tcW w:w="1200" w:type="dxa"/>
            <w:shd w:val="clear" w:color="000000" w:fill="F2F2F2"/>
            <w:noWrap/>
            <w:vAlign w:val="center"/>
            <w:hideMark/>
          </w:tcPr>
          <w:p w14:paraId="0AFBE2F7"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$ 33</w:t>
            </w:r>
          </w:p>
        </w:tc>
        <w:tc>
          <w:tcPr>
            <w:tcW w:w="1289" w:type="dxa"/>
            <w:shd w:val="clear" w:color="000000" w:fill="F2F2F2"/>
            <w:noWrap/>
            <w:vAlign w:val="center"/>
            <w:hideMark/>
          </w:tcPr>
          <w:p w14:paraId="7C3EDBB1"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$ 782.226</w:t>
            </w:r>
          </w:p>
        </w:tc>
      </w:tr>
      <w:tr w:rsidR="00382869" w:rsidRPr="00053706" w14:paraId="16FD6260" w14:textId="77777777" w:rsidTr="009A29B8">
        <w:trPr>
          <w:trHeight w:val="313"/>
        </w:trPr>
        <w:tc>
          <w:tcPr>
            <w:tcW w:w="407" w:type="dxa"/>
            <w:shd w:val="clear" w:color="000000" w:fill="F2F2F2"/>
            <w:noWrap/>
            <w:vAlign w:val="center"/>
            <w:hideMark/>
          </w:tcPr>
          <w:p w14:paraId="31A7D955" w14:textId="77777777" w:rsidR="00382869" w:rsidRPr="00053706" w:rsidRDefault="00382869" w:rsidP="00D22441">
            <w:pPr>
              <w:jc w:val="center"/>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120</w:t>
            </w:r>
          </w:p>
        </w:tc>
        <w:tc>
          <w:tcPr>
            <w:tcW w:w="585" w:type="dxa"/>
            <w:shd w:val="clear" w:color="000000" w:fill="F2F2F2"/>
            <w:noWrap/>
            <w:vAlign w:val="center"/>
            <w:hideMark/>
          </w:tcPr>
          <w:p w14:paraId="0F4955C4"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35253</w:t>
            </w:r>
          </w:p>
        </w:tc>
        <w:tc>
          <w:tcPr>
            <w:tcW w:w="941" w:type="dxa"/>
            <w:shd w:val="clear" w:color="000000" w:fill="F2F2F2"/>
            <w:noWrap/>
            <w:vAlign w:val="center"/>
            <w:hideMark/>
          </w:tcPr>
          <w:p w14:paraId="0B6C0969"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901009473</w:t>
            </w:r>
          </w:p>
        </w:tc>
        <w:tc>
          <w:tcPr>
            <w:tcW w:w="3533" w:type="dxa"/>
            <w:shd w:val="clear" w:color="000000" w:fill="F2F2F2"/>
            <w:vAlign w:val="center"/>
            <w:hideMark/>
          </w:tcPr>
          <w:p w14:paraId="4AB1C661" w14:textId="77777777" w:rsidR="00382869" w:rsidRPr="00053706" w:rsidRDefault="00382869" w:rsidP="00D22441">
            <w:pPr>
              <w:jc w:val="lef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ELECNORTE S.A.S. ESP</w:t>
            </w:r>
          </w:p>
        </w:tc>
        <w:tc>
          <w:tcPr>
            <w:tcW w:w="1520" w:type="dxa"/>
            <w:shd w:val="clear" w:color="000000" w:fill="F2F2F2"/>
            <w:noWrap/>
            <w:vAlign w:val="center"/>
            <w:hideMark/>
          </w:tcPr>
          <w:p w14:paraId="21144AC9"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$ 6.131.655.000</w:t>
            </w:r>
          </w:p>
        </w:tc>
        <w:tc>
          <w:tcPr>
            <w:tcW w:w="1360" w:type="dxa"/>
            <w:shd w:val="clear" w:color="000000" w:fill="F2F2F2"/>
            <w:noWrap/>
            <w:vAlign w:val="center"/>
            <w:hideMark/>
          </w:tcPr>
          <w:p w14:paraId="2285C8CE"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$ 0</w:t>
            </w:r>
          </w:p>
        </w:tc>
        <w:tc>
          <w:tcPr>
            <w:tcW w:w="1520" w:type="dxa"/>
            <w:shd w:val="clear" w:color="000000" w:fill="F2F2F2"/>
            <w:noWrap/>
            <w:vAlign w:val="center"/>
            <w:hideMark/>
          </w:tcPr>
          <w:p w14:paraId="01753AC4"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$ 6.131.655.000</w:t>
            </w:r>
          </w:p>
        </w:tc>
        <w:tc>
          <w:tcPr>
            <w:tcW w:w="1200" w:type="dxa"/>
            <w:shd w:val="clear" w:color="000000" w:fill="F2F2F2"/>
            <w:noWrap/>
            <w:vAlign w:val="center"/>
            <w:hideMark/>
          </w:tcPr>
          <w:p w14:paraId="095C1FF6"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$ 61.316.550</w:t>
            </w:r>
          </w:p>
        </w:tc>
        <w:tc>
          <w:tcPr>
            <w:tcW w:w="1200" w:type="dxa"/>
            <w:shd w:val="clear" w:color="000000" w:fill="F2F2F2"/>
            <w:noWrap/>
            <w:vAlign w:val="center"/>
            <w:hideMark/>
          </w:tcPr>
          <w:p w14:paraId="2E42E108"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$ 2.552</w:t>
            </w:r>
          </w:p>
        </w:tc>
        <w:tc>
          <w:tcPr>
            <w:tcW w:w="1289" w:type="dxa"/>
            <w:shd w:val="clear" w:color="000000" w:fill="F2F2F2"/>
            <w:noWrap/>
            <w:vAlign w:val="center"/>
            <w:hideMark/>
          </w:tcPr>
          <w:p w14:paraId="56BFCBE1"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$ 61.319.102</w:t>
            </w:r>
          </w:p>
        </w:tc>
      </w:tr>
      <w:tr w:rsidR="00382869" w:rsidRPr="00053706" w14:paraId="54E5B7E8" w14:textId="77777777" w:rsidTr="009A29B8">
        <w:trPr>
          <w:trHeight w:val="261"/>
        </w:trPr>
        <w:tc>
          <w:tcPr>
            <w:tcW w:w="407" w:type="dxa"/>
            <w:shd w:val="clear" w:color="000000" w:fill="F2F2F2"/>
            <w:noWrap/>
            <w:vAlign w:val="center"/>
            <w:hideMark/>
          </w:tcPr>
          <w:p w14:paraId="11B3C0C3" w14:textId="77777777" w:rsidR="00382869" w:rsidRPr="00053706" w:rsidRDefault="00382869" w:rsidP="00D22441">
            <w:pPr>
              <w:jc w:val="center"/>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121</w:t>
            </w:r>
          </w:p>
        </w:tc>
        <w:tc>
          <w:tcPr>
            <w:tcW w:w="585" w:type="dxa"/>
            <w:shd w:val="clear" w:color="000000" w:fill="F2F2F2"/>
            <w:noWrap/>
            <w:vAlign w:val="center"/>
            <w:hideMark/>
          </w:tcPr>
          <w:p w14:paraId="37F6C20C"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39136</w:t>
            </w:r>
          </w:p>
        </w:tc>
        <w:tc>
          <w:tcPr>
            <w:tcW w:w="941" w:type="dxa"/>
            <w:shd w:val="clear" w:color="000000" w:fill="F2F2F2"/>
            <w:noWrap/>
            <w:vAlign w:val="center"/>
            <w:hideMark/>
          </w:tcPr>
          <w:p w14:paraId="107F0B99"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901033186</w:t>
            </w:r>
          </w:p>
        </w:tc>
        <w:tc>
          <w:tcPr>
            <w:tcW w:w="3533" w:type="dxa"/>
            <w:shd w:val="clear" w:color="000000" w:fill="F2F2F2"/>
            <w:vAlign w:val="center"/>
            <w:hideMark/>
          </w:tcPr>
          <w:p w14:paraId="74EC99C3" w14:textId="77777777" w:rsidR="00382869" w:rsidRPr="00053706" w:rsidRDefault="00382869" w:rsidP="00D22441">
            <w:pPr>
              <w:jc w:val="lef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MESSER ENERGY SERVICES SAS ESP</w:t>
            </w:r>
          </w:p>
        </w:tc>
        <w:tc>
          <w:tcPr>
            <w:tcW w:w="1520" w:type="dxa"/>
            <w:shd w:val="clear" w:color="000000" w:fill="F2F2F2"/>
            <w:noWrap/>
            <w:vAlign w:val="center"/>
            <w:hideMark/>
          </w:tcPr>
          <w:p w14:paraId="33D3BBFC"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$ 66.283.000</w:t>
            </w:r>
          </w:p>
        </w:tc>
        <w:tc>
          <w:tcPr>
            <w:tcW w:w="1360" w:type="dxa"/>
            <w:shd w:val="clear" w:color="000000" w:fill="F2F2F2"/>
            <w:noWrap/>
            <w:vAlign w:val="center"/>
            <w:hideMark/>
          </w:tcPr>
          <w:p w14:paraId="5CDF8CFC"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$ 0</w:t>
            </w:r>
          </w:p>
        </w:tc>
        <w:tc>
          <w:tcPr>
            <w:tcW w:w="1520" w:type="dxa"/>
            <w:shd w:val="clear" w:color="000000" w:fill="F2F2F2"/>
            <w:noWrap/>
            <w:vAlign w:val="center"/>
            <w:hideMark/>
          </w:tcPr>
          <w:p w14:paraId="0730829B"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$ 66.283.000</w:t>
            </w:r>
          </w:p>
        </w:tc>
        <w:tc>
          <w:tcPr>
            <w:tcW w:w="1200" w:type="dxa"/>
            <w:shd w:val="clear" w:color="000000" w:fill="F2F2F2"/>
            <w:noWrap/>
            <w:vAlign w:val="center"/>
            <w:hideMark/>
          </w:tcPr>
          <w:p w14:paraId="6B0F2CBA"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$ 662.830</w:t>
            </w:r>
          </w:p>
        </w:tc>
        <w:tc>
          <w:tcPr>
            <w:tcW w:w="1200" w:type="dxa"/>
            <w:shd w:val="clear" w:color="000000" w:fill="F2F2F2"/>
            <w:noWrap/>
            <w:vAlign w:val="center"/>
            <w:hideMark/>
          </w:tcPr>
          <w:p w14:paraId="4033D328"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$ 28</w:t>
            </w:r>
          </w:p>
        </w:tc>
        <w:tc>
          <w:tcPr>
            <w:tcW w:w="1289" w:type="dxa"/>
            <w:shd w:val="clear" w:color="000000" w:fill="F2F2F2"/>
            <w:noWrap/>
            <w:vAlign w:val="center"/>
            <w:hideMark/>
          </w:tcPr>
          <w:p w14:paraId="1F387B7A"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$ 662.858</w:t>
            </w:r>
          </w:p>
        </w:tc>
      </w:tr>
      <w:tr w:rsidR="00382869" w:rsidRPr="00053706" w14:paraId="1439C5DD" w14:textId="77777777" w:rsidTr="009A29B8">
        <w:trPr>
          <w:trHeight w:val="265"/>
        </w:trPr>
        <w:tc>
          <w:tcPr>
            <w:tcW w:w="407" w:type="dxa"/>
            <w:shd w:val="clear" w:color="000000" w:fill="F2F2F2"/>
            <w:noWrap/>
            <w:vAlign w:val="center"/>
            <w:hideMark/>
          </w:tcPr>
          <w:p w14:paraId="0BCD2F27" w14:textId="77777777" w:rsidR="00382869" w:rsidRPr="00053706" w:rsidRDefault="00382869" w:rsidP="00D22441">
            <w:pPr>
              <w:jc w:val="center"/>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122</w:t>
            </w:r>
          </w:p>
        </w:tc>
        <w:tc>
          <w:tcPr>
            <w:tcW w:w="585" w:type="dxa"/>
            <w:shd w:val="clear" w:color="000000" w:fill="F2F2F2"/>
            <w:noWrap/>
            <w:vAlign w:val="center"/>
            <w:hideMark/>
          </w:tcPr>
          <w:p w14:paraId="5996A5E9"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42637</w:t>
            </w:r>
          </w:p>
        </w:tc>
        <w:tc>
          <w:tcPr>
            <w:tcW w:w="941" w:type="dxa"/>
            <w:shd w:val="clear" w:color="000000" w:fill="F2F2F2"/>
            <w:noWrap/>
            <w:vAlign w:val="center"/>
            <w:hideMark/>
          </w:tcPr>
          <w:p w14:paraId="0367C513"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901042368</w:t>
            </w:r>
          </w:p>
        </w:tc>
        <w:tc>
          <w:tcPr>
            <w:tcW w:w="3533" w:type="dxa"/>
            <w:shd w:val="clear" w:color="000000" w:fill="F2F2F2"/>
            <w:vAlign w:val="center"/>
            <w:hideMark/>
          </w:tcPr>
          <w:p w14:paraId="3F000CD2" w14:textId="77777777" w:rsidR="00382869" w:rsidRPr="00053706" w:rsidRDefault="00382869" w:rsidP="00D22441">
            <w:pPr>
              <w:jc w:val="lef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HELIOS ENERGIA S.A. ESP</w:t>
            </w:r>
          </w:p>
        </w:tc>
        <w:tc>
          <w:tcPr>
            <w:tcW w:w="1520" w:type="dxa"/>
            <w:shd w:val="clear" w:color="000000" w:fill="F2F2F2"/>
            <w:noWrap/>
            <w:vAlign w:val="center"/>
            <w:hideMark/>
          </w:tcPr>
          <w:p w14:paraId="7FF8A07D"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$ 1.528.509.000</w:t>
            </w:r>
          </w:p>
        </w:tc>
        <w:tc>
          <w:tcPr>
            <w:tcW w:w="1360" w:type="dxa"/>
            <w:shd w:val="clear" w:color="000000" w:fill="F2F2F2"/>
            <w:noWrap/>
            <w:vAlign w:val="center"/>
            <w:hideMark/>
          </w:tcPr>
          <w:p w14:paraId="0031D134"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$ 0</w:t>
            </w:r>
          </w:p>
        </w:tc>
        <w:tc>
          <w:tcPr>
            <w:tcW w:w="1520" w:type="dxa"/>
            <w:shd w:val="clear" w:color="000000" w:fill="F2F2F2"/>
            <w:noWrap/>
            <w:vAlign w:val="center"/>
            <w:hideMark/>
          </w:tcPr>
          <w:p w14:paraId="123359B0"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$ 1.528.509.000</w:t>
            </w:r>
          </w:p>
        </w:tc>
        <w:tc>
          <w:tcPr>
            <w:tcW w:w="1200" w:type="dxa"/>
            <w:shd w:val="clear" w:color="000000" w:fill="F2F2F2"/>
            <w:noWrap/>
            <w:vAlign w:val="center"/>
            <w:hideMark/>
          </w:tcPr>
          <w:p w14:paraId="57046557"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$ 15.285.090</w:t>
            </w:r>
          </w:p>
        </w:tc>
        <w:tc>
          <w:tcPr>
            <w:tcW w:w="1200" w:type="dxa"/>
            <w:shd w:val="clear" w:color="000000" w:fill="F2F2F2"/>
            <w:noWrap/>
            <w:vAlign w:val="center"/>
            <w:hideMark/>
          </w:tcPr>
          <w:p w14:paraId="5EB0AFD9"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$ 636</w:t>
            </w:r>
          </w:p>
        </w:tc>
        <w:tc>
          <w:tcPr>
            <w:tcW w:w="1289" w:type="dxa"/>
            <w:shd w:val="clear" w:color="000000" w:fill="F2F2F2"/>
            <w:noWrap/>
            <w:vAlign w:val="center"/>
            <w:hideMark/>
          </w:tcPr>
          <w:p w14:paraId="3B5703CE"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$ 15.285.726</w:t>
            </w:r>
          </w:p>
        </w:tc>
      </w:tr>
      <w:tr w:rsidR="00382869" w:rsidRPr="00053706" w14:paraId="682D81CA" w14:textId="77777777" w:rsidTr="009A29B8">
        <w:trPr>
          <w:trHeight w:val="277"/>
        </w:trPr>
        <w:tc>
          <w:tcPr>
            <w:tcW w:w="407" w:type="dxa"/>
            <w:shd w:val="clear" w:color="000000" w:fill="F2F2F2"/>
            <w:noWrap/>
            <w:vAlign w:val="center"/>
            <w:hideMark/>
          </w:tcPr>
          <w:p w14:paraId="07686277" w14:textId="77777777" w:rsidR="00382869" w:rsidRPr="00053706" w:rsidRDefault="00382869" w:rsidP="00D22441">
            <w:pPr>
              <w:jc w:val="center"/>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lastRenderedPageBreak/>
              <w:t>123</w:t>
            </w:r>
          </w:p>
        </w:tc>
        <w:tc>
          <w:tcPr>
            <w:tcW w:w="585" w:type="dxa"/>
            <w:shd w:val="clear" w:color="000000" w:fill="F2F2F2"/>
            <w:noWrap/>
            <w:vAlign w:val="center"/>
            <w:hideMark/>
          </w:tcPr>
          <w:p w14:paraId="4A962507"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41456</w:t>
            </w:r>
          </w:p>
        </w:tc>
        <w:tc>
          <w:tcPr>
            <w:tcW w:w="941" w:type="dxa"/>
            <w:shd w:val="clear" w:color="000000" w:fill="F2F2F2"/>
            <w:noWrap/>
            <w:vAlign w:val="center"/>
            <w:hideMark/>
          </w:tcPr>
          <w:p w14:paraId="7D17676A"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901043956</w:t>
            </w:r>
          </w:p>
        </w:tc>
        <w:tc>
          <w:tcPr>
            <w:tcW w:w="3533" w:type="dxa"/>
            <w:shd w:val="clear" w:color="000000" w:fill="F2F2F2"/>
            <w:vAlign w:val="center"/>
            <w:hideMark/>
          </w:tcPr>
          <w:p w14:paraId="05E7409A" w14:textId="77777777" w:rsidR="00382869" w:rsidRPr="00053706" w:rsidRDefault="00382869" w:rsidP="00D22441">
            <w:pPr>
              <w:jc w:val="lef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PLUSENERGY SAS ESP</w:t>
            </w:r>
          </w:p>
        </w:tc>
        <w:tc>
          <w:tcPr>
            <w:tcW w:w="1520" w:type="dxa"/>
            <w:shd w:val="clear" w:color="000000" w:fill="F2F2F2"/>
            <w:noWrap/>
            <w:vAlign w:val="center"/>
            <w:hideMark/>
          </w:tcPr>
          <w:p w14:paraId="13A6076D"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$ 369.693.000</w:t>
            </w:r>
          </w:p>
        </w:tc>
        <w:tc>
          <w:tcPr>
            <w:tcW w:w="1360" w:type="dxa"/>
            <w:shd w:val="clear" w:color="000000" w:fill="F2F2F2"/>
            <w:noWrap/>
            <w:vAlign w:val="center"/>
            <w:hideMark/>
          </w:tcPr>
          <w:p w14:paraId="63778BE8"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$ 0</w:t>
            </w:r>
          </w:p>
        </w:tc>
        <w:tc>
          <w:tcPr>
            <w:tcW w:w="1520" w:type="dxa"/>
            <w:shd w:val="clear" w:color="000000" w:fill="F2F2F2"/>
            <w:noWrap/>
            <w:vAlign w:val="center"/>
            <w:hideMark/>
          </w:tcPr>
          <w:p w14:paraId="7C3F1CAB"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$ 369.693.000</w:t>
            </w:r>
          </w:p>
        </w:tc>
        <w:tc>
          <w:tcPr>
            <w:tcW w:w="1200" w:type="dxa"/>
            <w:shd w:val="clear" w:color="000000" w:fill="F2F2F2"/>
            <w:noWrap/>
            <w:vAlign w:val="center"/>
            <w:hideMark/>
          </w:tcPr>
          <w:p w14:paraId="1C3BC0B6"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$ 3.696.930</w:t>
            </w:r>
          </w:p>
        </w:tc>
        <w:tc>
          <w:tcPr>
            <w:tcW w:w="1200" w:type="dxa"/>
            <w:shd w:val="clear" w:color="000000" w:fill="F2F2F2"/>
            <w:noWrap/>
            <w:vAlign w:val="center"/>
            <w:hideMark/>
          </w:tcPr>
          <w:p w14:paraId="3B5CD1DF"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$ 154</w:t>
            </w:r>
          </w:p>
        </w:tc>
        <w:tc>
          <w:tcPr>
            <w:tcW w:w="1289" w:type="dxa"/>
            <w:shd w:val="clear" w:color="000000" w:fill="F2F2F2"/>
            <w:noWrap/>
            <w:vAlign w:val="center"/>
            <w:hideMark/>
          </w:tcPr>
          <w:p w14:paraId="72EC23FC"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$ 3.697.084</w:t>
            </w:r>
          </w:p>
        </w:tc>
      </w:tr>
      <w:tr w:rsidR="00382869" w:rsidRPr="00053706" w14:paraId="67296001" w14:textId="77777777" w:rsidTr="009A29B8">
        <w:trPr>
          <w:trHeight w:val="217"/>
        </w:trPr>
        <w:tc>
          <w:tcPr>
            <w:tcW w:w="407" w:type="dxa"/>
            <w:shd w:val="clear" w:color="000000" w:fill="F2F2F2"/>
            <w:noWrap/>
            <w:vAlign w:val="center"/>
            <w:hideMark/>
          </w:tcPr>
          <w:p w14:paraId="34D91D57" w14:textId="77777777" w:rsidR="00382869" w:rsidRPr="00053706" w:rsidRDefault="00382869" w:rsidP="00D22441">
            <w:pPr>
              <w:jc w:val="center"/>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124</w:t>
            </w:r>
          </w:p>
        </w:tc>
        <w:tc>
          <w:tcPr>
            <w:tcW w:w="585" w:type="dxa"/>
            <w:shd w:val="clear" w:color="000000" w:fill="F2F2F2"/>
            <w:noWrap/>
            <w:vAlign w:val="center"/>
            <w:hideMark/>
          </w:tcPr>
          <w:p w14:paraId="08476F38"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54926</w:t>
            </w:r>
          </w:p>
        </w:tc>
        <w:tc>
          <w:tcPr>
            <w:tcW w:w="941" w:type="dxa"/>
            <w:shd w:val="clear" w:color="000000" w:fill="F2F2F2"/>
            <w:noWrap/>
            <w:vAlign w:val="center"/>
            <w:hideMark/>
          </w:tcPr>
          <w:p w14:paraId="37827E4D"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901054344</w:t>
            </w:r>
          </w:p>
        </w:tc>
        <w:tc>
          <w:tcPr>
            <w:tcW w:w="3533" w:type="dxa"/>
            <w:shd w:val="clear" w:color="000000" w:fill="F2F2F2"/>
            <w:vAlign w:val="center"/>
            <w:hideMark/>
          </w:tcPr>
          <w:p w14:paraId="24342A57" w14:textId="77777777" w:rsidR="00382869" w:rsidRPr="00053706" w:rsidRDefault="00382869" w:rsidP="00D22441">
            <w:pPr>
              <w:jc w:val="lef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CEE ENERGY SAS ESP</w:t>
            </w:r>
          </w:p>
        </w:tc>
        <w:tc>
          <w:tcPr>
            <w:tcW w:w="1520" w:type="dxa"/>
            <w:shd w:val="clear" w:color="000000" w:fill="F2F2F2"/>
            <w:noWrap/>
            <w:vAlign w:val="center"/>
            <w:hideMark/>
          </w:tcPr>
          <w:p w14:paraId="00490155"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$ 322.639.000</w:t>
            </w:r>
          </w:p>
        </w:tc>
        <w:tc>
          <w:tcPr>
            <w:tcW w:w="1360" w:type="dxa"/>
            <w:shd w:val="clear" w:color="000000" w:fill="F2F2F2"/>
            <w:noWrap/>
            <w:vAlign w:val="center"/>
            <w:hideMark/>
          </w:tcPr>
          <w:p w14:paraId="0BC4D66D"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$ 115.167.538</w:t>
            </w:r>
          </w:p>
        </w:tc>
        <w:tc>
          <w:tcPr>
            <w:tcW w:w="1520" w:type="dxa"/>
            <w:shd w:val="clear" w:color="000000" w:fill="F2F2F2"/>
            <w:noWrap/>
            <w:vAlign w:val="center"/>
            <w:hideMark/>
          </w:tcPr>
          <w:p w14:paraId="1962BE16"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$ 437.806.538</w:t>
            </w:r>
          </w:p>
        </w:tc>
        <w:tc>
          <w:tcPr>
            <w:tcW w:w="1200" w:type="dxa"/>
            <w:shd w:val="clear" w:color="000000" w:fill="F2F2F2"/>
            <w:noWrap/>
            <w:vAlign w:val="center"/>
            <w:hideMark/>
          </w:tcPr>
          <w:p w14:paraId="7C231378"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$ 4.378.065</w:t>
            </w:r>
          </w:p>
        </w:tc>
        <w:tc>
          <w:tcPr>
            <w:tcW w:w="1200" w:type="dxa"/>
            <w:shd w:val="clear" w:color="000000" w:fill="F2F2F2"/>
            <w:noWrap/>
            <w:vAlign w:val="center"/>
            <w:hideMark/>
          </w:tcPr>
          <w:p w14:paraId="68AECA1B"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$ 182</w:t>
            </w:r>
          </w:p>
        </w:tc>
        <w:tc>
          <w:tcPr>
            <w:tcW w:w="1289" w:type="dxa"/>
            <w:shd w:val="clear" w:color="000000" w:fill="F2F2F2"/>
            <w:noWrap/>
            <w:vAlign w:val="center"/>
            <w:hideMark/>
          </w:tcPr>
          <w:p w14:paraId="148C586F"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$ 4.378.248</w:t>
            </w:r>
          </w:p>
        </w:tc>
      </w:tr>
      <w:tr w:rsidR="00382869" w:rsidRPr="00053706" w14:paraId="4760E963" w14:textId="77777777" w:rsidTr="009A29B8">
        <w:trPr>
          <w:trHeight w:val="123"/>
        </w:trPr>
        <w:tc>
          <w:tcPr>
            <w:tcW w:w="407" w:type="dxa"/>
            <w:shd w:val="clear" w:color="000000" w:fill="F2F2F2"/>
            <w:noWrap/>
            <w:vAlign w:val="center"/>
            <w:hideMark/>
          </w:tcPr>
          <w:p w14:paraId="395503B8" w14:textId="77777777" w:rsidR="00382869" w:rsidRPr="00053706" w:rsidRDefault="00382869" w:rsidP="00D22441">
            <w:pPr>
              <w:jc w:val="center"/>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125</w:t>
            </w:r>
          </w:p>
        </w:tc>
        <w:tc>
          <w:tcPr>
            <w:tcW w:w="585" w:type="dxa"/>
            <w:shd w:val="clear" w:color="000000" w:fill="F2F2F2"/>
            <w:noWrap/>
            <w:vAlign w:val="center"/>
            <w:hideMark/>
          </w:tcPr>
          <w:p w14:paraId="0D7C7F44"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63854</w:t>
            </w:r>
          </w:p>
        </w:tc>
        <w:tc>
          <w:tcPr>
            <w:tcW w:w="941" w:type="dxa"/>
            <w:shd w:val="clear" w:color="000000" w:fill="F2F2F2"/>
            <w:noWrap/>
            <w:vAlign w:val="center"/>
            <w:hideMark/>
          </w:tcPr>
          <w:p w14:paraId="7C2B09DF"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901063906</w:t>
            </w:r>
          </w:p>
        </w:tc>
        <w:tc>
          <w:tcPr>
            <w:tcW w:w="3533" w:type="dxa"/>
            <w:shd w:val="clear" w:color="000000" w:fill="F2F2F2"/>
            <w:vAlign w:val="center"/>
            <w:hideMark/>
          </w:tcPr>
          <w:p w14:paraId="1A26BCBB" w14:textId="77777777" w:rsidR="00382869" w:rsidRPr="00053706" w:rsidRDefault="00382869" w:rsidP="00D22441">
            <w:pPr>
              <w:jc w:val="lef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SOLARPACK COLOMBIA SAS ESP</w:t>
            </w:r>
          </w:p>
        </w:tc>
        <w:tc>
          <w:tcPr>
            <w:tcW w:w="1520" w:type="dxa"/>
            <w:shd w:val="clear" w:color="000000" w:fill="F2F2F2"/>
            <w:noWrap/>
            <w:vAlign w:val="center"/>
            <w:hideMark/>
          </w:tcPr>
          <w:p w14:paraId="5B230A34"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$ 6.077.753.000</w:t>
            </w:r>
          </w:p>
        </w:tc>
        <w:tc>
          <w:tcPr>
            <w:tcW w:w="1360" w:type="dxa"/>
            <w:shd w:val="clear" w:color="000000" w:fill="F2F2F2"/>
            <w:noWrap/>
            <w:vAlign w:val="center"/>
            <w:hideMark/>
          </w:tcPr>
          <w:p w14:paraId="6A4B568A"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$ 0</w:t>
            </w:r>
          </w:p>
        </w:tc>
        <w:tc>
          <w:tcPr>
            <w:tcW w:w="1520" w:type="dxa"/>
            <w:shd w:val="clear" w:color="000000" w:fill="F2F2F2"/>
            <w:noWrap/>
            <w:vAlign w:val="center"/>
            <w:hideMark/>
          </w:tcPr>
          <w:p w14:paraId="6743CA51"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$ 6.077.753.000</w:t>
            </w:r>
          </w:p>
        </w:tc>
        <w:tc>
          <w:tcPr>
            <w:tcW w:w="1200" w:type="dxa"/>
            <w:shd w:val="clear" w:color="000000" w:fill="F2F2F2"/>
            <w:noWrap/>
            <w:vAlign w:val="center"/>
            <w:hideMark/>
          </w:tcPr>
          <w:p w14:paraId="2EB56BA1"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$ 60.777.530</w:t>
            </w:r>
          </w:p>
        </w:tc>
        <w:tc>
          <w:tcPr>
            <w:tcW w:w="1200" w:type="dxa"/>
            <w:shd w:val="clear" w:color="000000" w:fill="F2F2F2"/>
            <w:noWrap/>
            <w:vAlign w:val="center"/>
            <w:hideMark/>
          </w:tcPr>
          <w:p w14:paraId="00EED00A"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$ 2.529</w:t>
            </w:r>
          </w:p>
        </w:tc>
        <w:tc>
          <w:tcPr>
            <w:tcW w:w="1289" w:type="dxa"/>
            <w:shd w:val="clear" w:color="000000" w:fill="F2F2F2"/>
            <w:noWrap/>
            <w:vAlign w:val="center"/>
            <w:hideMark/>
          </w:tcPr>
          <w:p w14:paraId="64AFCD39"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$ 60.780.059</w:t>
            </w:r>
          </w:p>
        </w:tc>
      </w:tr>
      <w:tr w:rsidR="00382869" w:rsidRPr="00053706" w14:paraId="4FF0CB51" w14:textId="77777777" w:rsidTr="009A29B8">
        <w:trPr>
          <w:trHeight w:val="465"/>
        </w:trPr>
        <w:tc>
          <w:tcPr>
            <w:tcW w:w="407" w:type="dxa"/>
            <w:shd w:val="clear" w:color="000000" w:fill="F2F2F2"/>
            <w:noWrap/>
            <w:vAlign w:val="center"/>
            <w:hideMark/>
          </w:tcPr>
          <w:p w14:paraId="6BE64C8F" w14:textId="77777777" w:rsidR="00382869" w:rsidRPr="00053706" w:rsidRDefault="00382869" w:rsidP="00D22441">
            <w:pPr>
              <w:jc w:val="center"/>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126</w:t>
            </w:r>
          </w:p>
        </w:tc>
        <w:tc>
          <w:tcPr>
            <w:tcW w:w="585" w:type="dxa"/>
            <w:shd w:val="clear" w:color="000000" w:fill="F2F2F2"/>
            <w:noWrap/>
            <w:vAlign w:val="center"/>
            <w:hideMark/>
          </w:tcPr>
          <w:p w14:paraId="7D1402BB"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38851</w:t>
            </w:r>
          </w:p>
        </w:tc>
        <w:tc>
          <w:tcPr>
            <w:tcW w:w="941" w:type="dxa"/>
            <w:shd w:val="clear" w:color="000000" w:fill="F2F2F2"/>
            <w:noWrap/>
            <w:vAlign w:val="center"/>
            <w:hideMark/>
          </w:tcPr>
          <w:p w14:paraId="03B9B8A6"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901094262</w:t>
            </w:r>
          </w:p>
        </w:tc>
        <w:tc>
          <w:tcPr>
            <w:tcW w:w="3533" w:type="dxa"/>
            <w:shd w:val="clear" w:color="000000" w:fill="F2F2F2"/>
            <w:vAlign w:val="center"/>
            <w:hideMark/>
          </w:tcPr>
          <w:p w14:paraId="06ED5D66" w14:textId="5D08FC4D" w:rsidR="00382869" w:rsidRPr="00053706" w:rsidRDefault="00382869" w:rsidP="00D22441">
            <w:pPr>
              <w:jc w:val="lef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E.A</w:t>
            </w:r>
            <w:r w:rsidR="008722A6" w:rsidRPr="00053706">
              <w:rPr>
                <w:rFonts w:ascii="Arial Narrow" w:hAnsi="Arial Narrow" w:cs="Arial"/>
                <w:color w:val="000000"/>
                <w:spacing w:val="0"/>
                <w:sz w:val="16"/>
                <w:szCs w:val="16"/>
                <w:lang w:eastAsia="es-CO"/>
              </w:rPr>
              <w:t>.</w:t>
            </w:r>
            <w:r w:rsidRPr="00053706">
              <w:rPr>
                <w:rFonts w:ascii="Arial Narrow" w:hAnsi="Arial Narrow" w:cs="Arial"/>
                <w:color w:val="000000"/>
                <w:spacing w:val="0"/>
                <w:sz w:val="16"/>
                <w:szCs w:val="16"/>
                <w:lang w:eastAsia="es-CO"/>
              </w:rPr>
              <w:t>T. ELECTRIFICADORA DE LA ZONA FRONTERA Y RURAL DE TUMACO</w:t>
            </w:r>
          </w:p>
        </w:tc>
        <w:tc>
          <w:tcPr>
            <w:tcW w:w="1520" w:type="dxa"/>
            <w:shd w:val="clear" w:color="000000" w:fill="F2F2F2"/>
            <w:noWrap/>
            <w:vAlign w:val="center"/>
            <w:hideMark/>
          </w:tcPr>
          <w:p w14:paraId="5B24C228"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$ 148.808.000</w:t>
            </w:r>
          </w:p>
        </w:tc>
        <w:tc>
          <w:tcPr>
            <w:tcW w:w="1360" w:type="dxa"/>
            <w:shd w:val="clear" w:color="000000" w:fill="F2F2F2"/>
            <w:noWrap/>
            <w:vAlign w:val="center"/>
            <w:hideMark/>
          </w:tcPr>
          <w:p w14:paraId="2C3969E6"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$ 303.806</w:t>
            </w:r>
          </w:p>
        </w:tc>
        <w:tc>
          <w:tcPr>
            <w:tcW w:w="1520" w:type="dxa"/>
            <w:shd w:val="clear" w:color="000000" w:fill="F2F2F2"/>
            <w:noWrap/>
            <w:vAlign w:val="center"/>
            <w:hideMark/>
          </w:tcPr>
          <w:p w14:paraId="31A06F94"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$ 149.111.806</w:t>
            </w:r>
          </w:p>
        </w:tc>
        <w:tc>
          <w:tcPr>
            <w:tcW w:w="1200" w:type="dxa"/>
            <w:shd w:val="clear" w:color="000000" w:fill="F2F2F2"/>
            <w:noWrap/>
            <w:vAlign w:val="center"/>
            <w:hideMark/>
          </w:tcPr>
          <w:p w14:paraId="72E53E21"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$ 1.491.118</w:t>
            </w:r>
          </w:p>
        </w:tc>
        <w:tc>
          <w:tcPr>
            <w:tcW w:w="1200" w:type="dxa"/>
            <w:shd w:val="clear" w:color="000000" w:fill="F2F2F2"/>
            <w:noWrap/>
            <w:vAlign w:val="center"/>
            <w:hideMark/>
          </w:tcPr>
          <w:p w14:paraId="5F8D6F1F"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$ 62</w:t>
            </w:r>
          </w:p>
        </w:tc>
        <w:tc>
          <w:tcPr>
            <w:tcW w:w="1289" w:type="dxa"/>
            <w:shd w:val="clear" w:color="000000" w:fill="F2F2F2"/>
            <w:noWrap/>
            <w:vAlign w:val="center"/>
            <w:hideMark/>
          </w:tcPr>
          <w:p w14:paraId="4FECF145"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$ 1.491.180</w:t>
            </w:r>
          </w:p>
        </w:tc>
      </w:tr>
      <w:tr w:rsidR="00382869" w:rsidRPr="00053706" w14:paraId="49BF799E" w14:textId="77777777" w:rsidTr="009A29B8">
        <w:trPr>
          <w:trHeight w:val="279"/>
        </w:trPr>
        <w:tc>
          <w:tcPr>
            <w:tcW w:w="407" w:type="dxa"/>
            <w:shd w:val="clear" w:color="000000" w:fill="F2F2F2"/>
            <w:noWrap/>
            <w:vAlign w:val="center"/>
            <w:hideMark/>
          </w:tcPr>
          <w:p w14:paraId="63B4C7CD" w14:textId="77777777" w:rsidR="00382869" w:rsidRPr="00053706" w:rsidRDefault="00382869" w:rsidP="00D22441">
            <w:pPr>
              <w:jc w:val="center"/>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127</w:t>
            </w:r>
          </w:p>
        </w:tc>
        <w:tc>
          <w:tcPr>
            <w:tcW w:w="585" w:type="dxa"/>
            <w:shd w:val="clear" w:color="000000" w:fill="F2F2F2"/>
            <w:noWrap/>
            <w:vAlign w:val="center"/>
            <w:hideMark/>
          </w:tcPr>
          <w:p w14:paraId="2961FA76"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38213</w:t>
            </w:r>
          </w:p>
        </w:tc>
        <w:tc>
          <w:tcPr>
            <w:tcW w:w="941" w:type="dxa"/>
            <w:shd w:val="clear" w:color="000000" w:fill="F2F2F2"/>
            <w:noWrap/>
            <w:vAlign w:val="center"/>
            <w:hideMark/>
          </w:tcPr>
          <w:p w14:paraId="2ED2456E"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901094947</w:t>
            </w:r>
          </w:p>
        </w:tc>
        <w:tc>
          <w:tcPr>
            <w:tcW w:w="3533" w:type="dxa"/>
            <w:shd w:val="clear" w:color="000000" w:fill="F2F2F2"/>
            <w:vAlign w:val="center"/>
            <w:hideMark/>
          </w:tcPr>
          <w:p w14:paraId="53BE4827" w14:textId="3CC40AC9" w:rsidR="00382869" w:rsidRPr="00053706" w:rsidRDefault="00382869" w:rsidP="00D22441">
            <w:pPr>
              <w:jc w:val="lef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CEN ENERGY S.A.S E.S.P</w:t>
            </w:r>
            <w:r w:rsidR="008722A6" w:rsidRPr="00053706">
              <w:rPr>
                <w:rFonts w:ascii="Arial Narrow" w:hAnsi="Arial Narrow" w:cs="Arial"/>
                <w:color w:val="000000"/>
                <w:spacing w:val="0"/>
                <w:sz w:val="16"/>
                <w:szCs w:val="16"/>
                <w:lang w:eastAsia="es-CO"/>
              </w:rPr>
              <w:t>.</w:t>
            </w:r>
          </w:p>
        </w:tc>
        <w:tc>
          <w:tcPr>
            <w:tcW w:w="1520" w:type="dxa"/>
            <w:shd w:val="clear" w:color="000000" w:fill="F2F2F2"/>
            <w:noWrap/>
            <w:vAlign w:val="center"/>
            <w:hideMark/>
          </w:tcPr>
          <w:p w14:paraId="45E2ED0A"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$ 388.462.000</w:t>
            </w:r>
          </w:p>
        </w:tc>
        <w:tc>
          <w:tcPr>
            <w:tcW w:w="1360" w:type="dxa"/>
            <w:shd w:val="clear" w:color="000000" w:fill="F2F2F2"/>
            <w:noWrap/>
            <w:vAlign w:val="center"/>
            <w:hideMark/>
          </w:tcPr>
          <w:p w14:paraId="2DAC6F8D"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$ 0</w:t>
            </w:r>
          </w:p>
        </w:tc>
        <w:tc>
          <w:tcPr>
            <w:tcW w:w="1520" w:type="dxa"/>
            <w:shd w:val="clear" w:color="000000" w:fill="F2F2F2"/>
            <w:noWrap/>
            <w:vAlign w:val="center"/>
            <w:hideMark/>
          </w:tcPr>
          <w:p w14:paraId="4B4042AC"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$ 388.462.000</w:t>
            </w:r>
          </w:p>
        </w:tc>
        <w:tc>
          <w:tcPr>
            <w:tcW w:w="1200" w:type="dxa"/>
            <w:shd w:val="clear" w:color="000000" w:fill="F2F2F2"/>
            <w:noWrap/>
            <w:vAlign w:val="center"/>
            <w:hideMark/>
          </w:tcPr>
          <w:p w14:paraId="7B4AA123"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$ 3.884.620</w:t>
            </w:r>
          </w:p>
        </w:tc>
        <w:tc>
          <w:tcPr>
            <w:tcW w:w="1200" w:type="dxa"/>
            <w:shd w:val="clear" w:color="000000" w:fill="F2F2F2"/>
            <w:noWrap/>
            <w:vAlign w:val="center"/>
            <w:hideMark/>
          </w:tcPr>
          <w:p w14:paraId="7914C80D"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$ 162</w:t>
            </w:r>
          </w:p>
        </w:tc>
        <w:tc>
          <w:tcPr>
            <w:tcW w:w="1289" w:type="dxa"/>
            <w:shd w:val="clear" w:color="000000" w:fill="F2F2F2"/>
            <w:noWrap/>
            <w:vAlign w:val="center"/>
            <w:hideMark/>
          </w:tcPr>
          <w:p w14:paraId="2D4BA32B"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$ 3.884.782</w:t>
            </w:r>
          </w:p>
        </w:tc>
      </w:tr>
      <w:tr w:rsidR="00382869" w:rsidRPr="00053706" w14:paraId="1A7BDBC5" w14:textId="77777777" w:rsidTr="009A29B8">
        <w:trPr>
          <w:trHeight w:val="269"/>
        </w:trPr>
        <w:tc>
          <w:tcPr>
            <w:tcW w:w="407" w:type="dxa"/>
            <w:shd w:val="clear" w:color="000000" w:fill="F2F2F2"/>
            <w:noWrap/>
            <w:vAlign w:val="center"/>
            <w:hideMark/>
          </w:tcPr>
          <w:p w14:paraId="51A989CC" w14:textId="77777777" w:rsidR="00382869" w:rsidRPr="00053706" w:rsidRDefault="00382869" w:rsidP="00D22441">
            <w:pPr>
              <w:jc w:val="center"/>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128</w:t>
            </w:r>
          </w:p>
        </w:tc>
        <w:tc>
          <w:tcPr>
            <w:tcW w:w="585" w:type="dxa"/>
            <w:shd w:val="clear" w:color="000000" w:fill="F2F2F2"/>
            <w:noWrap/>
            <w:vAlign w:val="center"/>
            <w:hideMark/>
          </w:tcPr>
          <w:p w14:paraId="70184A6C"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39313</w:t>
            </w:r>
          </w:p>
        </w:tc>
        <w:tc>
          <w:tcPr>
            <w:tcW w:w="941" w:type="dxa"/>
            <w:shd w:val="clear" w:color="000000" w:fill="F2F2F2"/>
            <w:noWrap/>
            <w:vAlign w:val="center"/>
            <w:hideMark/>
          </w:tcPr>
          <w:p w14:paraId="6EEBFFFA"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901125404</w:t>
            </w:r>
          </w:p>
        </w:tc>
        <w:tc>
          <w:tcPr>
            <w:tcW w:w="3533" w:type="dxa"/>
            <w:shd w:val="clear" w:color="000000" w:fill="F2F2F2"/>
            <w:vAlign w:val="center"/>
            <w:hideMark/>
          </w:tcPr>
          <w:p w14:paraId="6EC805A4" w14:textId="77777777" w:rsidR="00382869" w:rsidRPr="00053706" w:rsidRDefault="00382869" w:rsidP="00D22441">
            <w:pPr>
              <w:jc w:val="lef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JULIA-RD SA ESP</w:t>
            </w:r>
          </w:p>
        </w:tc>
        <w:tc>
          <w:tcPr>
            <w:tcW w:w="1520" w:type="dxa"/>
            <w:shd w:val="clear" w:color="000000" w:fill="F2F2F2"/>
            <w:noWrap/>
            <w:vAlign w:val="center"/>
            <w:hideMark/>
          </w:tcPr>
          <w:p w14:paraId="0A8D4D1B"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$ 173.468.000</w:t>
            </w:r>
          </w:p>
        </w:tc>
        <w:tc>
          <w:tcPr>
            <w:tcW w:w="1360" w:type="dxa"/>
            <w:shd w:val="clear" w:color="000000" w:fill="F2F2F2"/>
            <w:noWrap/>
            <w:vAlign w:val="center"/>
            <w:hideMark/>
          </w:tcPr>
          <w:p w14:paraId="69D3C745"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$ 0</w:t>
            </w:r>
          </w:p>
        </w:tc>
        <w:tc>
          <w:tcPr>
            <w:tcW w:w="1520" w:type="dxa"/>
            <w:shd w:val="clear" w:color="000000" w:fill="F2F2F2"/>
            <w:noWrap/>
            <w:vAlign w:val="center"/>
            <w:hideMark/>
          </w:tcPr>
          <w:p w14:paraId="7C908053"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$ 173.468.000</w:t>
            </w:r>
          </w:p>
        </w:tc>
        <w:tc>
          <w:tcPr>
            <w:tcW w:w="1200" w:type="dxa"/>
            <w:shd w:val="clear" w:color="000000" w:fill="F2F2F2"/>
            <w:noWrap/>
            <w:vAlign w:val="center"/>
            <w:hideMark/>
          </w:tcPr>
          <w:p w14:paraId="4E97DD53"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$ 1.734.680</w:t>
            </w:r>
          </w:p>
        </w:tc>
        <w:tc>
          <w:tcPr>
            <w:tcW w:w="1200" w:type="dxa"/>
            <w:shd w:val="clear" w:color="000000" w:fill="F2F2F2"/>
            <w:noWrap/>
            <w:vAlign w:val="center"/>
            <w:hideMark/>
          </w:tcPr>
          <w:p w14:paraId="331285A8"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$ 72</w:t>
            </w:r>
          </w:p>
        </w:tc>
        <w:tc>
          <w:tcPr>
            <w:tcW w:w="1289" w:type="dxa"/>
            <w:shd w:val="clear" w:color="000000" w:fill="F2F2F2"/>
            <w:noWrap/>
            <w:vAlign w:val="center"/>
            <w:hideMark/>
          </w:tcPr>
          <w:p w14:paraId="689E42F7"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$ 1.734.752</w:t>
            </w:r>
          </w:p>
        </w:tc>
      </w:tr>
      <w:tr w:rsidR="00382869" w:rsidRPr="00053706" w14:paraId="37B0011C" w14:textId="77777777" w:rsidTr="009A29B8">
        <w:trPr>
          <w:trHeight w:val="465"/>
        </w:trPr>
        <w:tc>
          <w:tcPr>
            <w:tcW w:w="407" w:type="dxa"/>
            <w:shd w:val="clear" w:color="000000" w:fill="F2F2F2"/>
            <w:noWrap/>
            <w:vAlign w:val="center"/>
            <w:hideMark/>
          </w:tcPr>
          <w:p w14:paraId="1CAAC679" w14:textId="77777777" w:rsidR="00382869" w:rsidRPr="00053706" w:rsidRDefault="00382869" w:rsidP="00D22441">
            <w:pPr>
              <w:jc w:val="center"/>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129</w:t>
            </w:r>
          </w:p>
        </w:tc>
        <w:tc>
          <w:tcPr>
            <w:tcW w:w="585" w:type="dxa"/>
            <w:shd w:val="clear" w:color="000000" w:fill="F2F2F2"/>
            <w:noWrap/>
            <w:vAlign w:val="center"/>
            <w:hideMark/>
          </w:tcPr>
          <w:p w14:paraId="5E8CC262"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41836</w:t>
            </w:r>
          </w:p>
        </w:tc>
        <w:tc>
          <w:tcPr>
            <w:tcW w:w="941" w:type="dxa"/>
            <w:shd w:val="clear" w:color="000000" w:fill="F2F2F2"/>
            <w:noWrap/>
            <w:vAlign w:val="center"/>
            <w:hideMark/>
          </w:tcPr>
          <w:p w14:paraId="590A0CCE"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901164452</w:t>
            </w:r>
          </w:p>
        </w:tc>
        <w:tc>
          <w:tcPr>
            <w:tcW w:w="3533" w:type="dxa"/>
            <w:shd w:val="clear" w:color="000000" w:fill="F2F2F2"/>
            <w:vAlign w:val="center"/>
            <w:hideMark/>
          </w:tcPr>
          <w:p w14:paraId="719A278E" w14:textId="77777777" w:rsidR="00382869" w:rsidRPr="00053706" w:rsidRDefault="00382869" w:rsidP="00D22441">
            <w:pPr>
              <w:jc w:val="lef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EMPRESA DE SERVICIOS PUBLICOS ENERGIZAR DEL PACIFICO S.A. E.S.P.</w:t>
            </w:r>
          </w:p>
        </w:tc>
        <w:tc>
          <w:tcPr>
            <w:tcW w:w="1520" w:type="dxa"/>
            <w:shd w:val="clear" w:color="000000" w:fill="F2F2F2"/>
            <w:noWrap/>
            <w:vAlign w:val="center"/>
            <w:hideMark/>
          </w:tcPr>
          <w:p w14:paraId="41EC61EE"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$ 418.567.000</w:t>
            </w:r>
          </w:p>
        </w:tc>
        <w:tc>
          <w:tcPr>
            <w:tcW w:w="1360" w:type="dxa"/>
            <w:shd w:val="clear" w:color="000000" w:fill="F2F2F2"/>
            <w:noWrap/>
            <w:vAlign w:val="center"/>
            <w:hideMark/>
          </w:tcPr>
          <w:p w14:paraId="2475BE4E"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$ 31.610.397</w:t>
            </w:r>
          </w:p>
        </w:tc>
        <w:tc>
          <w:tcPr>
            <w:tcW w:w="1520" w:type="dxa"/>
            <w:shd w:val="clear" w:color="000000" w:fill="F2F2F2"/>
            <w:noWrap/>
            <w:vAlign w:val="center"/>
            <w:hideMark/>
          </w:tcPr>
          <w:p w14:paraId="54127DD1"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$ 450.177.397</w:t>
            </w:r>
          </w:p>
        </w:tc>
        <w:tc>
          <w:tcPr>
            <w:tcW w:w="1200" w:type="dxa"/>
            <w:shd w:val="clear" w:color="000000" w:fill="F2F2F2"/>
            <w:noWrap/>
            <w:vAlign w:val="center"/>
            <w:hideMark/>
          </w:tcPr>
          <w:p w14:paraId="64719FB4"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$ 4.501.774</w:t>
            </w:r>
          </w:p>
        </w:tc>
        <w:tc>
          <w:tcPr>
            <w:tcW w:w="1200" w:type="dxa"/>
            <w:shd w:val="clear" w:color="000000" w:fill="F2F2F2"/>
            <w:noWrap/>
            <w:vAlign w:val="center"/>
            <w:hideMark/>
          </w:tcPr>
          <w:p w14:paraId="7608A1FE"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$ 187</w:t>
            </w:r>
          </w:p>
        </w:tc>
        <w:tc>
          <w:tcPr>
            <w:tcW w:w="1289" w:type="dxa"/>
            <w:shd w:val="clear" w:color="000000" w:fill="F2F2F2"/>
            <w:noWrap/>
            <w:vAlign w:val="center"/>
            <w:hideMark/>
          </w:tcPr>
          <w:p w14:paraId="443B72CD"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$ 4.501.961</w:t>
            </w:r>
          </w:p>
        </w:tc>
      </w:tr>
      <w:tr w:rsidR="00382869" w:rsidRPr="00053706" w14:paraId="250EF78A" w14:textId="77777777" w:rsidTr="009A29B8">
        <w:trPr>
          <w:trHeight w:val="209"/>
        </w:trPr>
        <w:tc>
          <w:tcPr>
            <w:tcW w:w="407" w:type="dxa"/>
            <w:shd w:val="clear" w:color="000000" w:fill="F2F2F2"/>
            <w:noWrap/>
            <w:vAlign w:val="center"/>
            <w:hideMark/>
          </w:tcPr>
          <w:p w14:paraId="76275274" w14:textId="77777777" w:rsidR="00382869" w:rsidRPr="00053706" w:rsidRDefault="00382869" w:rsidP="00D22441">
            <w:pPr>
              <w:jc w:val="center"/>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130</w:t>
            </w:r>
          </w:p>
        </w:tc>
        <w:tc>
          <w:tcPr>
            <w:tcW w:w="585" w:type="dxa"/>
            <w:shd w:val="clear" w:color="000000" w:fill="F2F2F2"/>
            <w:noWrap/>
            <w:vAlign w:val="center"/>
            <w:hideMark/>
          </w:tcPr>
          <w:p w14:paraId="5D9330B0"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41335</w:t>
            </w:r>
          </w:p>
        </w:tc>
        <w:tc>
          <w:tcPr>
            <w:tcW w:w="941" w:type="dxa"/>
            <w:shd w:val="clear" w:color="000000" w:fill="F2F2F2"/>
            <w:noWrap/>
            <w:vAlign w:val="center"/>
            <w:hideMark/>
          </w:tcPr>
          <w:p w14:paraId="72BFB636"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901165502</w:t>
            </w:r>
          </w:p>
        </w:tc>
        <w:tc>
          <w:tcPr>
            <w:tcW w:w="3533" w:type="dxa"/>
            <w:shd w:val="clear" w:color="000000" w:fill="F2F2F2"/>
            <w:vAlign w:val="center"/>
            <w:hideMark/>
          </w:tcPr>
          <w:p w14:paraId="3FBE337F" w14:textId="77777777" w:rsidR="00382869" w:rsidRPr="00053706" w:rsidRDefault="00382869" w:rsidP="00D22441">
            <w:pPr>
              <w:jc w:val="lef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ECOPETROL ENERGÍA S.A.S. E.S.P.</w:t>
            </w:r>
          </w:p>
        </w:tc>
        <w:tc>
          <w:tcPr>
            <w:tcW w:w="1520" w:type="dxa"/>
            <w:shd w:val="clear" w:color="000000" w:fill="F2F2F2"/>
            <w:noWrap/>
            <w:vAlign w:val="center"/>
            <w:hideMark/>
          </w:tcPr>
          <w:p w14:paraId="7ECA6EF7"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$ 1.661.262.000</w:t>
            </w:r>
          </w:p>
        </w:tc>
        <w:tc>
          <w:tcPr>
            <w:tcW w:w="1360" w:type="dxa"/>
            <w:shd w:val="clear" w:color="000000" w:fill="F2F2F2"/>
            <w:noWrap/>
            <w:vAlign w:val="center"/>
            <w:hideMark/>
          </w:tcPr>
          <w:p w14:paraId="37100626"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$ 0</w:t>
            </w:r>
          </w:p>
        </w:tc>
        <w:tc>
          <w:tcPr>
            <w:tcW w:w="1520" w:type="dxa"/>
            <w:shd w:val="clear" w:color="000000" w:fill="F2F2F2"/>
            <w:noWrap/>
            <w:vAlign w:val="center"/>
            <w:hideMark/>
          </w:tcPr>
          <w:p w14:paraId="7CC8A290"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$ 1.661.262.000</w:t>
            </w:r>
          </w:p>
        </w:tc>
        <w:tc>
          <w:tcPr>
            <w:tcW w:w="1200" w:type="dxa"/>
            <w:shd w:val="clear" w:color="000000" w:fill="F2F2F2"/>
            <w:noWrap/>
            <w:vAlign w:val="center"/>
            <w:hideMark/>
          </w:tcPr>
          <w:p w14:paraId="38116872"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$ 16.612.620</w:t>
            </w:r>
          </w:p>
        </w:tc>
        <w:tc>
          <w:tcPr>
            <w:tcW w:w="1200" w:type="dxa"/>
            <w:shd w:val="clear" w:color="000000" w:fill="F2F2F2"/>
            <w:noWrap/>
            <w:vAlign w:val="center"/>
            <w:hideMark/>
          </w:tcPr>
          <w:p w14:paraId="0EE0BA41"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$ 691</w:t>
            </w:r>
          </w:p>
        </w:tc>
        <w:tc>
          <w:tcPr>
            <w:tcW w:w="1289" w:type="dxa"/>
            <w:shd w:val="clear" w:color="000000" w:fill="F2F2F2"/>
            <w:noWrap/>
            <w:vAlign w:val="center"/>
            <w:hideMark/>
          </w:tcPr>
          <w:p w14:paraId="5E56051C"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$ 16.613.311</w:t>
            </w:r>
          </w:p>
        </w:tc>
      </w:tr>
      <w:tr w:rsidR="00382869" w:rsidRPr="00053706" w14:paraId="4FB0C019" w14:textId="77777777" w:rsidTr="009A29B8">
        <w:trPr>
          <w:trHeight w:val="349"/>
        </w:trPr>
        <w:tc>
          <w:tcPr>
            <w:tcW w:w="407" w:type="dxa"/>
            <w:shd w:val="clear" w:color="000000" w:fill="F2F2F2"/>
            <w:noWrap/>
            <w:vAlign w:val="center"/>
            <w:hideMark/>
          </w:tcPr>
          <w:p w14:paraId="4A3B1FFB" w14:textId="77777777" w:rsidR="00382869" w:rsidRPr="00053706" w:rsidRDefault="00382869" w:rsidP="00D22441">
            <w:pPr>
              <w:jc w:val="center"/>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131</w:t>
            </w:r>
          </w:p>
        </w:tc>
        <w:tc>
          <w:tcPr>
            <w:tcW w:w="585" w:type="dxa"/>
            <w:shd w:val="clear" w:color="000000" w:fill="F2F2F2"/>
            <w:noWrap/>
            <w:vAlign w:val="center"/>
            <w:hideMark/>
          </w:tcPr>
          <w:p w14:paraId="5946B886"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42316</w:t>
            </w:r>
          </w:p>
        </w:tc>
        <w:tc>
          <w:tcPr>
            <w:tcW w:w="941" w:type="dxa"/>
            <w:shd w:val="clear" w:color="000000" w:fill="F2F2F2"/>
            <w:noWrap/>
            <w:vAlign w:val="center"/>
            <w:hideMark/>
          </w:tcPr>
          <w:p w14:paraId="0921CC71"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901200248</w:t>
            </w:r>
          </w:p>
        </w:tc>
        <w:tc>
          <w:tcPr>
            <w:tcW w:w="3533" w:type="dxa"/>
            <w:shd w:val="clear" w:color="000000" w:fill="F2F2F2"/>
            <w:vAlign w:val="center"/>
            <w:hideMark/>
          </w:tcPr>
          <w:p w14:paraId="70ACC3C5" w14:textId="77777777" w:rsidR="00382869" w:rsidRPr="00053706" w:rsidRDefault="00382869" w:rsidP="00D22441">
            <w:pPr>
              <w:jc w:val="lef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SANTA FE ENERGY ZOMAC S.A.S. E.S.P.</w:t>
            </w:r>
          </w:p>
        </w:tc>
        <w:tc>
          <w:tcPr>
            <w:tcW w:w="1520" w:type="dxa"/>
            <w:shd w:val="clear" w:color="000000" w:fill="F2F2F2"/>
            <w:noWrap/>
            <w:vAlign w:val="center"/>
            <w:hideMark/>
          </w:tcPr>
          <w:p w14:paraId="2EDF49AA"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$ 519.152.000</w:t>
            </w:r>
          </w:p>
        </w:tc>
        <w:tc>
          <w:tcPr>
            <w:tcW w:w="1360" w:type="dxa"/>
            <w:shd w:val="clear" w:color="000000" w:fill="F2F2F2"/>
            <w:noWrap/>
            <w:vAlign w:val="center"/>
            <w:hideMark/>
          </w:tcPr>
          <w:p w14:paraId="4719C437"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$ 32.184.154</w:t>
            </w:r>
          </w:p>
        </w:tc>
        <w:tc>
          <w:tcPr>
            <w:tcW w:w="1520" w:type="dxa"/>
            <w:shd w:val="clear" w:color="000000" w:fill="F2F2F2"/>
            <w:noWrap/>
            <w:vAlign w:val="center"/>
            <w:hideMark/>
          </w:tcPr>
          <w:p w14:paraId="42895A6E"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$ 551.336.154</w:t>
            </w:r>
          </w:p>
        </w:tc>
        <w:tc>
          <w:tcPr>
            <w:tcW w:w="1200" w:type="dxa"/>
            <w:shd w:val="clear" w:color="000000" w:fill="F2F2F2"/>
            <w:noWrap/>
            <w:vAlign w:val="center"/>
            <w:hideMark/>
          </w:tcPr>
          <w:p w14:paraId="2A5F0FBE"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$ 5.513.362</w:t>
            </w:r>
          </w:p>
        </w:tc>
        <w:tc>
          <w:tcPr>
            <w:tcW w:w="1200" w:type="dxa"/>
            <w:shd w:val="clear" w:color="000000" w:fill="F2F2F2"/>
            <w:noWrap/>
            <w:vAlign w:val="center"/>
            <w:hideMark/>
          </w:tcPr>
          <w:p w14:paraId="1BEBC770"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$ 229</w:t>
            </w:r>
          </w:p>
        </w:tc>
        <w:tc>
          <w:tcPr>
            <w:tcW w:w="1289" w:type="dxa"/>
            <w:shd w:val="clear" w:color="000000" w:fill="F2F2F2"/>
            <w:noWrap/>
            <w:vAlign w:val="center"/>
            <w:hideMark/>
          </w:tcPr>
          <w:p w14:paraId="3F4EDE3E"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$ 5.513.591</w:t>
            </w:r>
          </w:p>
        </w:tc>
      </w:tr>
      <w:tr w:rsidR="00382869" w:rsidRPr="00053706" w14:paraId="6EE4A83B" w14:textId="77777777" w:rsidTr="009A29B8">
        <w:trPr>
          <w:trHeight w:val="284"/>
        </w:trPr>
        <w:tc>
          <w:tcPr>
            <w:tcW w:w="407" w:type="dxa"/>
            <w:shd w:val="clear" w:color="000000" w:fill="F2F2F2"/>
            <w:noWrap/>
            <w:vAlign w:val="center"/>
            <w:hideMark/>
          </w:tcPr>
          <w:p w14:paraId="4AC6552D" w14:textId="77777777" w:rsidR="00382869" w:rsidRPr="00053706" w:rsidRDefault="00382869" w:rsidP="00D22441">
            <w:pPr>
              <w:jc w:val="center"/>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132</w:t>
            </w:r>
          </w:p>
        </w:tc>
        <w:tc>
          <w:tcPr>
            <w:tcW w:w="585" w:type="dxa"/>
            <w:shd w:val="clear" w:color="000000" w:fill="F2F2F2"/>
            <w:noWrap/>
            <w:vAlign w:val="center"/>
            <w:hideMark/>
          </w:tcPr>
          <w:p w14:paraId="35BE6DE0"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64034</w:t>
            </w:r>
          </w:p>
        </w:tc>
        <w:tc>
          <w:tcPr>
            <w:tcW w:w="941" w:type="dxa"/>
            <w:shd w:val="clear" w:color="000000" w:fill="F2F2F2"/>
            <w:noWrap/>
            <w:vAlign w:val="center"/>
            <w:hideMark/>
          </w:tcPr>
          <w:p w14:paraId="6589EBA3"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901201734</w:t>
            </w:r>
          </w:p>
        </w:tc>
        <w:tc>
          <w:tcPr>
            <w:tcW w:w="3533" w:type="dxa"/>
            <w:shd w:val="clear" w:color="000000" w:fill="F2F2F2"/>
            <w:vAlign w:val="center"/>
            <w:hideMark/>
          </w:tcPr>
          <w:p w14:paraId="7721AE11" w14:textId="77777777" w:rsidR="00382869" w:rsidRPr="00053706" w:rsidRDefault="00382869" w:rsidP="00D22441">
            <w:pPr>
              <w:jc w:val="lef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GENERSOL S.A.S. E.S.P.</w:t>
            </w:r>
          </w:p>
        </w:tc>
        <w:tc>
          <w:tcPr>
            <w:tcW w:w="1520" w:type="dxa"/>
            <w:shd w:val="clear" w:color="000000" w:fill="F2F2F2"/>
            <w:noWrap/>
            <w:vAlign w:val="center"/>
            <w:hideMark/>
          </w:tcPr>
          <w:p w14:paraId="621FCAEB"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$ 560.673.000</w:t>
            </w:r>
          </w:p>
        </w:tc>
        <w:tc>
          <w:tcPr>
            <w:tcW w:w="1360" w:type="dxa"/>
            <w:shd w:val="clear" w:color="000000" w:fill="F2F2F2"/>
            <w:noWrap/>
            <w:vAlign w:val="center"/>
            <w:hideMark/>
          </w:tcPr>
          <w:p w14:paraId="78B8863D"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$ 0</w:t>
            </w:r>
          </w:p>
        </w:tc>
        <w:tc>
          <w:tcPr>
            <w:tcW w:w="1520" w:type="dxa"/>
            <w:shd w:val="clear" w:color="000000" w:fill="F2F2F2"/>
            <w:noWrap/>
            <w:vAlign w:val="center"/>
            <w:hideMark/>
          </w:tcPr>
          <w:p w14:paraId="5A02CF70"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$ 560.673.000</w:t>
            </w:r>
          </w:p>
        </w:tc>
        <w:tc>
          <w:tcPr>
            <w:tcW w:w="1200" w:type="dxa"/>
            <w:shd w:val="clear" w:color="000000" w:fill="F2F2F2"/>
            <w:noWrap/>
            <w:vAlign w:val="center"/>
            <w:hideMark/>
          </w:tcPr>
          <w:p w14:paraId="38DCF080"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$ 5.606.730</w:t>
            </w:r>
          </w:p>
        </w:tc>
        <w:tc>
          <w:tcPr>
            <w:tcW w:w="1200" w:type="dxa"/>
            <w:shd w:val="clear" w:color="000000" w:fill="F2F2F2"/>
            <w:noWrap/>
            <w:vAlign w:val="center"/>
            <w:hideMark/>
          </w:tcPr>
          <w:p w14:paraId="0F033F29"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$ 233</w:t>
            </w:r>
          </w:p>
        </w:tc>
        <w:tc>
          <w:tcPr>
            <w:tcW w:w="1289" w:type="dxa"/>
            <w:shd w:val="clear" w:color="000000" w:fill="F2F2F2"/>
            <w:noWrap/>
            <w:vAlign w:val="center"/>
            <w:hideMark/>
          </w:tcPr>
          <w:p w14:paraId="0A9AC783"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$ 5.606.963</w:t>
            </w:r>
          </w:p>
        </w:tc>
      </w:tr>
      <w:tr w:rsidR="00382869" w:rsidRPr="00053706" w14:paraId="62B13EC1" w14:textId="77777777" w:rsidTr="009A29B8">
        <w:trPr>
          <w:trHeight w:val="465"/>
        </w:trPr>
        <w:tc>
          <w:tcPr>
            <w:tcW w:w="407" w:type="dxa"/>
            <w:shd w:val="clear" w:color="000000" w:fill="F2F2F2"/>
            <w:noWrap/>
            <w:vAlign w:val="center"/>
            <w:hideMark/>
          </w:tcPr>
          <w:p w14:paraId="5516CFC0" w14:textId="77777777" w:rsidR="00382869" w:rsidRPr="00053706" w:rsidRDefault="00382869" w:rsidP="00D22441">
            <w:pPr>
              <w:jc w:val="center"/>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133</w:t>
            </w:r>
          </w:p>
        </w:tc>
        <w:tc>
          <w:tcPr>
            <w:tcW w:w="585" w:type="dxa"/>
            <w:shd w:val="clear" w:color="000000" w:fill="F2F2F2"/>
            <w:noWrap/>
            <w:vAlign w:val="center"/>
            <w:hideMark/>
          </w:tcPr>
          <w:p w14:paraId="672CDD60"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42417</w:t>
            </w:r>
          </w:p>
        </w:tc>
        <w:tc>
          <w:tcPr>
            <w:tcW w:w="941" w:type="dxa"/>
            <w:shd w:val="clear" w:color="000000" w:fill="F2F2F2"/>
            <w:noWrap/>
            <w:vAlign w:val="center"/>
            <w:hideMark/>
          </w:tcPr>
          <w:p w14:paraId="3F35A9E8"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901209614</w:t>
            </w:r>
          </w:p>
        </w:tc>
        <w:tc>
          <w:tcPr>
            <w:tcW w:w="3533" w:type="dxa"/>
            <w:shd w:val="clear" w:color="000000" w:fill="F2F2F2"/>
            <w:vAlign w:val="center"/>
            <w:hideMark/>
          </w:tcPr>
          <w:p w14:paraId="08C3F0B1" w14:textId="55E540F6" w:rsidR="00382869" w:rsidRPr="00053706" w:rsidRDefault="00382869" w:rsidP="00D22441">
            <w:pPr>
              <w:jc w:val="lef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EMPRESA DE ENERGY Y SERVICIOS S.A.S</w:t>
            </w:r>
            <w:r w:rsidR="008722A6" w:rsidRPr="00053706">
              <w:rPr>
                <w:rFonts w:ascii="Arial Narrow" w:hAnsi="Arial Narrow" w:cs="Arial"/>
                <w:color w:val="000000"/>
                <w:spacing w:val="0"/>
                <w:sz w:val="16"/>
                <w:szCs w:val="16"/>
                <w:lang w:eastAsia="es-CO"/>
              </w:rPr>
              <w:t xml:space="preserve">. </w:t>
            </w:r>
            <w:r w:rsidRPr="00053706">
              <w:rPr>
                <w:rFonts w:ascii="Arial Narrow" w:hAnsi="Arial Narrow" w:cs="Arial"/>
                <w:color w:val="000000"/>
                <w:spacing w:val="0"/>
                <w:sz w:val="16"/>
                <w:szCs w:val="16"/>
                <w:lang w:eastAsia="es-CO"/>
              </w:rPr>
              <w:t>E.</w:t>
            </w:r>
            <w:r w:rsidR="008722A6" w:rsidRPr="00053706">
              <w:rPr>
                <w:rFonts w:ascii="Arial Narrow" w:hAnsi="Arial Narrow" w:cs="Arial"/>
                <w:color w:val="000000"/>
                <w:spacing w:val="0"/>
                <w:sz w:val="16"/>
                <w:szCs w:val="16"/>
                <w:lang w:eastAsia="es-CO"/>
              </w:rPr>
              <w:t>S.</w:t>
            </w:r>
            <w:r w:rsidRPr="00053706">
              <w:rPr>
                <w:rFonts w:ascii="Arial Narrow" w:hAnsi="Arial Narrow" w:cs="Arial"/>
                <w:color w:val="000000"/>
                <w:spacing w:val="0"/>
                <w:sz w:val="16"/>
                <w:szCs w:val="16"/>
                <w:lang w:eastAsia="es-CO"/>
              </w:rPr>
              <w:t>P</w:t>
            </w:r>
            <w:r w:rsidR="008722A6" w:rsidRPr="00053706">
              <w:rPr>
                <w:rFonts w:ascii="Arial Narrow" w:hAnsi="Arial Narrow" w:cs="Arial"/>
                <w:color w:val="000000"/>
                <w:spacing w:val="0"/>
                <w:sz w:val="16"/>
                <w:szCs w:val="16"/>
                <w:lang w:eastAsia="es-CO"/>
              </w:rPr>
              <w:t>.</w:t>
            </w:r>
          </w:p>
        </w:tc>
        <w:tc>
          <w:tcPr>
            <w:tcW w:w="1520" w:type="dxa"/>
            <w:shd w:val="clear" w:color="000000" w:fill="F2F2F2"/>
            <w:noWrap/>
            <w:vAlign w:val="center"/>
            <w:hideMark/>
          </w:tcPr>
          <w:p w14:paraId="5FF56DBF"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$ 129.032.000</w:t>
            </w:r>
          </w:p>
        </w:tc>
        <w:tc>
          <w:tcPr>
            <w:tcW w:w="1360" w:type="dxa"/>
            <w:shd w:val="clear" w:color="000000" w:fill="F2F2F2"/>
            <w:noWrap/>
            <w:vAlign w:val="center"/>
            <w:hideMark/>
          </w:tcPr>
          <w:p w14:paraId="6580221C"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$ 7.414.579</w:t>
            </w:r>
          </w:p>
        </w:tc>
        <w:tc>
          <w:tcPr>
            <w:tcW w:w="1520" w:type="dxa"/>
            <w:shd w:val="clear" w:color="000000" w:fill="F2F2F2"/>
            <w:noWrap/>
            <w:vAlign w:val="center"/>
            <w:hideMark/>
          </w:tcPr>
          <w:p w14:paraId="7FA97152"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$ 136.446.579</w:t>
            </w:r>
          </w:p>
        </w:tc>
        <w:tc>
          <w:tcPr>
            <w:tcW w:w="1200" w:type="dxa"/>
            <w:shd w:val="clear" w:color="000000" w:fill="F2F2F2"/>
            <w:noWrap/>
            <w:vAlign w:val="center"/>
            <w:hideMark/>
          </w:tcPr>
          <w:p w14:paraId="226D5F3C"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$ 1.364.466</w:t>
            </w:r>
          </w:p>
        </w:tc>
        <w:tc>
          <w:tcPr>
            <w:tcW w:w="1200" w:type="dxa"/>
            <w:shd w:val="clear" w:color="000000" w:fill="F2F2F2"/>
            <w:noWrap/>
            <w:vAlign w:val="center"/>
            <w:hideMark/>
          </w:tcPr>
          <w:p w14:paraId="58EB51CB"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$ 57</w:t>
            </w:r>
          </w:p>
        </w:tc>
        <w:tc>
          <w:tcPr>
            <w:tcW w:w="1289" w:type="dxa"/>
            <w:shd w:val="clear" w:color="000000" w:fill="F2F2F2"/>
            <w:noWrap/>
            <w:vAlign w:val="center"/>
            <w:hideMark/>
          </w:tcPr>
          <w:p w14:paraId="56ADC025"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$ 1.364.523</w:t>
            </w:r>
          </w:p>
        </w:tc>
      </w:tr>
      <w:tr w:rsidR="00382869" w:rsidRPr="00053706" w14:paraId="372086E8" w14:textId="77777777" w:rsidTr="009A29B8">
        <w:trPr>
          <w:trHeight w:val="313"/>
        </w:trPr>
        <w:tc>
          <w:tcPr>
            <w:tcW w:w="407" w:type="dxa"/>
            <w:shd w:val="clear" w:color="000000" w:fill="F2F2F2"/>
            <w:noWrap/>
            <w:vAlign w:val="center"/>
            <w:hideMark/>
          </w:tcPr>
          <w:p w14:paraId="44C160DB" w14:textId="77777777" w:rsidR="00382869" w:rsidRPr="00053706" w:rsidRDefault="00382869" w:rsidP="00D22441">
            <w:pPr>
              <w:jc w:val="center"/>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134</w:t>
            </w:r>
          </w:p>
        </w:tc>
        <w:tc>
          <w:tcPr>
            <w:tcW w:w="585" w:type="dxa"/>
            <w:shd w:val="clear" w:color="000000" w:fill="F2F2F2"/>
            <w:noWrap/>
            <w:vAlign w:val="center"/>
            <w:hideMark/>
          </w:tcPr>
          <w:p w14:paraId="49AD9D3B"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53047</w:t>
            </w:r>
          </w:p>
        </w:tc>
        <w:tc>
          <w:tcPr>
            <w:tcW w:w="941" w:type="dxa"/>
            <w:shd w:val="clear" w:color="000000" w:fill="F2F2F2"/>
            <w:noWrap/>
            <w:vAlign w:val="center"/>
            <w:hideMark/>
          </w:tcPr>
          <w:p w14:paraId="2475BAF3"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901215593</w:t>
            </w:r>
          </w:p>
        </w:tc>
        <w:tc>
          <w:tcPr>
            <w:tcW w:w="3533" w:type="dxa"/>
            <w:shd w:val="clear" w:color="000000" w:fill="F2F2F2"/>
            <w:vAlign w:val="center"/>
            <w:hideMark/>
          </w:tcPr>
          <w:p w14:paraId="5391BFF0" w14:textId="77777777" w:rsidR="00382869" w:rsidRPr="00053706" w:rsidRDefault="00382869" w:rsidP="00D22441">
            <w:pPr>
              <w:jc w:val="lef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ENERVISA SAS ESP</w:t>
            </w:r>
          </w:p>
        </w:tc>
        <w:tc>
          <w:tcPr>
            <w:tcW w:w="1520" w:type="dxa"/>
            <w:shd w:val="clear" w:color="000000" w:fill="F2F2F2"/>
            <w:noWrap/>
            <w:vAlign w:val="center"/>
            <w:hideMark/>
          </w:tcPr>
          <w:p w14:paraId="197D34DA"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$ 1.263.590.000</w:t>
            </w:r>
          </w:p>
        </w:tc>
        <w:tc>
          <w:tcPr>
            <w:tcW w:w="1360" w:type="dxa"/>
            <w:shd w:val="clear" w:color="000000" w:fill="F2F2F2"/>
            <w:noWrap/>
            <w:vAlign w:val="center"/>
            <w:hideMark/>
          </w:tcPr>
          <w:p w14:paraId="736160CA"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$ 370.998.041</w:t>
            </w:r>
          </w:p>
        </w:tc>
        <w:tc>
          <w:tcPr>
            <w:tcW w:w="1520" w:type="dxa"/>
            <w:shd w:val="clear" w:color="000000" w:fill="F2F2F2"/>
            <w:noWrap/>
            <w:vAlign w:val="center"/>
            <w:hideMark/>
          </w:tcPr>
          <w:p w14:paraId="79CB1E2A"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$ 1.634.588.041</w:t>
            </w:r>
          </w:p>
        </w:tc>
        <w:tc>
          <w:tcPr>
            <w:tcW w:w="1200" w:type="dxa"/>
            <w:shd w:val="clear" w:color="000000" w:fill="F2F2F2"/>
            <w:noWrap/>
            <w:vAlign w:val="center"/>
            <w:hideMark/>
          </w:tcPr>
          <w:p w14:paraId="005129F9"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$ 16.345.880</w:t>
            </w:r>
          </w:p>
        </w:tc>
        <w:tc>
          <w:tcPr>
            <w:tcW w:w="1200" w:type="dxa"/>
            <w:shd w:val="clear" w:color="000000" w:fill="F2F2F2"/>
            <w:noWrap/>
            <w:vAlign w:val="center"/>
            <w:hideMark/>
          </w:tcPr>
          <w:p w14:paraId="44C3DA8C"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$ 680</w:t>
            </w:r>
          </w:p>
        </w:tc>
        <w:tc>
          <w:tcPr>
            <w:tcW w:w="1289" w:type="dxa"/>
            <w:shd w:val="clear" w:color="000000" w:fill="F2F2F2"/>
            <w:noWrap/>
            <w:vAlign w:val="center"/>
            <w:hideMark/>
          </w:tcPr>
          <w:p w14:paraId="28A40354"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$ 16.346.561</w:t>
            </w:r>
          </w:p>
        </w:tc>
      </w:tr>
      <w:tr w:rsidR="00382869" w:rsidRPr="00053706" w14:paraId="14C8AC7E" w14:textId="77777777" w:rsidTr="009A29B8">
        <w:trPr>
          <w:trHeight w:val="690"/>
        </w:trPr>
        <w:tc>
          <w:tcPr>
            <w:tcW w:w="407" w:type="dxa"/>
            <w:shd w:val="clear" w:color="000000" w:fill="F2F2F2"/>
            <w:noWrap/>
            <w:vAlign w:val="center"/>
            <w:hideMark/>
          </w:tcPr>
          <w:p w14:paraId="75E44081" w14:textId="77777777" w:rsidR="00382869" w:rsidRPr="00053706" w:rsidRDefault="00382869" w:rsidP="00D22441">
            <w:pPr>
              <w:jc w:val="center"/>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135</w:t>
            </w:r>
          </w:p>
        </w:tc>
        <w:tc>
          <w:tcPr>
            <w:tcW w:w="585" w:type="dxa"/>
            <w:shd w:val="clear" w:color="000000" w:fill="F2F2F2"/>
            <w:noWrap/>
            <w:vAlign w:val="center"/>
            <w:hideMark/>
          </w:tcPr>
          <w:p w14:paraId="508B86FA"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43836</w:t>
            </w:r>
          </w:p>
        </w:tc>
        <w:tc>
          <w:tcPr>
            <w:tcW w:w="941" w:type="dxa"/>
            <w:shd w:val="clear" w:color="000000" w:fill="F2F2F2"/>
            <w:noWrap/>
            <w:vAlign w:val="center"/>
            <w:hideMark/>
          </w:tcPr>
          <w:p w14:paraId="13C6173D"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901219090</w:t>
            </w:r>
          </w:p>
        </w:tc>
        <w:tc>
          <w:tcPr>
            <w:tcW w:w="3533" w:type="dxa"/>
            <w:shd w:val="clear" w:color="000000" w:fill="F2F2F2"/>
            <w:vAlign w:val="center"/>
            <w:hideMark/>
          </w:tcPr>
          <w:p w14:paraId="317640A6" w14:textId="77777777" w:rsidR="00382869" w:rsidRPr="00053706" w:rsidRDefault="00382869" w:rsidP="00D22441">
            <w:pPr>
              <w:jc w:val="lef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EMPRESA DE SERVICIOS PÚBLICOS DE ENERGÍA LIMPIA DE COLOMBIA ENERLIMPIA S.A. E.S.P.</w:t>
            </w:r>
          </w:p>
        </w:tc>
        <w:tc>
          <w:tcPr>
            <w:tcW w:w="1520" w:type="dxa"/>
            <w:shd w:val="clear" w:color="000000" w:fill="F2F2F2"/>
            <w:noWrap/>
            <w:vAlign w:val="center"/>
            <w:hideMark/>
          </w:tcPr>
          <w:p w14:paraId="209AF0B4"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$ 225.216.000</w:t>
            </w:r>
          </w:p>
        </w:tc>
        <w:tc>
          <w:tcPr>
            <w:tcW w:w="1360" w:type="dxa"/>
            <w:shd w:val="clear" w:color="000000" w:fill="F2F2F2"/>
            <w:noWrap/>
            <w:vAlign w:val="center"/>
            <w:hideMark/>
          </w:tcPr>
          <w:p w14:paraId="7310FF68"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$ 7.151.571</w:t>
            </w:r>
          </w:p>
        </w:tc>
        <w:tc>
          <w:tcPr>
            <w:tcW w:w="1520" w:type="dxa"/>
            <w:shd w:val="clear" w:color="000000" w:fill="F2F2F2"/>
            <w:noWrap/>
            <w:vAlign w:val="center"/>
            <w:hideMark/>
          </w:tcPr>
          <w:p w14:paraId="6E2326B3"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$ 232.367.571</w:t>
            </w:r>
          </w:p>
        </w:tc>
        <w:tc>
          <w:tcPr>
            <w:tcW w:w="1200" w:type="dxa"/>
            <w:shd w:val="clear" w:color="000000" w:fill="F2F2F2"/>
            <w:noWrap/>
            <w:vAlign w:val="center"/>
            <w:hideMark/>
          </w:tcPr>
          <w:p w14:paraId="55908CD9"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$ 2.323.676</w:t>
            </w:r>
          </w:p>
        </w:tc>
        <w:tc>
          <w:tcPr>
            <w:tcW w:w="1200" w:type="dxa"/>
            <w:shd w:val="clear" w:color="000000" w:fill="F2F2F2"/>
            <w:noWrap/>
            <w:vAlign w:val="center"/>
            <w:hideMark/>
          </w:tcPr>
          <w:p w14:paraId="2578495C"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$ 97</w:t>
            </w:r>
          </w:p>
        </w:tc>
        <w:tc>
          <w:tcPr>
            <w:tcW w:w="1289" w:type="dxa"/>
            <w:shd w:val="clear" w:color="000000" w:fill="F2F2F2"/>
            <w:noWrap/>
            <w:vAlign w:val="center"/>
            <w:hideMark/>
          </w:tcPr>
          <w:p w14:paraId="12A310D0"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$ 2.323.772</w:t>
            </w:r>
          </w:p>
        </w:tc>
      </w:tr>
      <w:tr w:rsidR="00382869" w:rsidRPr="00053706" w14:paraId="1982437A" w14:textId="77777777" w:rsidTr="009A29B8">
        <w:trPr>
          <w:trHeight w:val="266"/>
        </w:trPr>
        <w:tc>
          <w:tcPr>
            <w:tcW w:w="407" w:type="dxa"/>
            <w:shd w:val="clear" w:color="000000" w:fill="F2F2F2"/>
            <w:noWrap/>
            <w:vAlign w:val="center"/>
            <w:hideMark/>
          </w:tcPr>
          <w:p w14:paraId="718E28B3" w14:textId="77777777" w:rsidR="00382869" w:rsidRPr="00053706" w:rsidRDefault="00382869" w:rsidP="00D22441">
            <w:pPr>
              <w:jc w:val="center"/>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136</w:t>
            </w:r>
          </w:p>
        </w:tc>
        <w:tc>
          <w:tcPr>
            <w:tcW w:w="585" w:type="dxa"/>
            <w:shd w:val="clear" w:color="000000" w:fill="F2F2F2"/>
            <w:noWrap/>
            <w:vAlign w:val="center"/>
            <w:hideMark/>
          </w:tcPr>
          <w:p w14:paraId="75BC4D71"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43739</w:t>
            </w:r>
          </w:p>
        </w:tc>
        <w:tc>
          <w:tcPr>
            <w:tcW w:w="941" w:type="dxa"/>
            <w:shd w:val="clear" w:color="000000" w:fill="F2F2F2"/>
            <w:noWrap/>
            <w:vAlign w:val="center"/>
            <w:hideMark/>
          </w:tcPr>
          <w:p w14:paraId="53F3CFFA"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901236609</w:t>
            </w:r>
          </w:p>
        </w:tc>
        <w:tc>
          <w:tcPr>
            <w:tcW w:w="3533" w:type="dxa"/>
            <w:shd w:val="clear" w:color="000000" w:fill="F2F2F2"/>
            <w:vAlign w:val="center"/>
            <w:hideMark/>
          </w:tcPr>
          <w:p w14:paraId="4B7E8143" w14:textId="77777777" w:rsidR="00382869" w:rsidRPr="00053706" w:rsidRDefault="00382869" w:rsidP="00D22441">
            <w:pPr>
              <w:jc w:val="lef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EMCOLEN S.A.S. E.S.P.</w:t>
            </w:r>
          </w:p>
        </w:tc>
        <w:tc>
          <w:tcPr>
            <w:tcW w:w="1520" w:type="dxa"/>
            <w:shd w:val="clear" w:color="000000" w:fill="F2F2F2"/>
            <w:noWrap/>
            <w:vAlign w:val="center"/>
            <w:hideMark/>
          </w:tcPr>
          <w:p w14:paraId="4F31C034"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$ 355.940.000</w:t>
            </w:r>
          </w:p>
        </w:tc>
        <w:tc>
          <w:tcPr>
            <w:tcW w:w="1360" w:type="dxa"/>
            <w:shd w:val="clear" w:color="000000" w:fill="F2F2F2"/>
            <w:noWrap/>
            <w:vAlign w:val="center"/>
            <w:hideMark/>
          </w:tcPr>
          <w:p w14:paraId="42A77510"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$ 22.303.510</w:t>
            </w:r>
          </w:p>
        </w:tc>
        <w:tc>
          <w:tcPr>
            <w:tcW w:w="1520" w:type="dxa"/>
            <w:shd w:val="clear" w:color="000000" w:fill="F2F2F2"/>
            <w:noWrap/>
            <w:vAlign w:val="center"/>
            <w:hideMark/>
          </w:tcPr>
          <w:p w14:paraId="2D42CF6A"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$ 378.243.510</w:t>
            </w:r>
          </w:p>
        </w:tc>
        <w:tc>
          <w:tcPr>
            <w:tcW w:w="1200" w:type="dxa"/>
            <w:shd w:val="clear" w:color="000000" w:fill="F2F2F2"/>
            <w:noWrap/>
            <w:vAlign w:val="center"/>
            <w:hideMark/>
          </w:tcPr>
          <w:p w14:paraId="771BDEDC"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$ 3.782.435</w:t>
            </w:r>
          </w:p>
        </w:tc>
        <w:tc>
          <w:tcPr>
            <w:tcW w:w="1200" w:type="dxa"/>
            <w:shd w:val="clear" w:color="000000" w:fill="F2F2F2"/>
            <w:noWrap/>
            <w:vAlign w:val="center"/>
            <w:hideMark/>
          </w:tcPr>
          <w:p w14:paraId="03419776"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$ 157</w:t>
            </w:r>
          </w:p>
        </w:tc>
        <w:tc>
          <w:tcPr>
            <w:tcW w:w="1289" w:type="dxa"/>
            <w:shd w:val="clear" w:color="000000" w:fill="F2F2F2"/>
            <w:noWrap/>
            <w:vAlign w:val="center"/>
            <w:hideMark/>
          </w:tcPr>
          <w:p w14:paraId="065C2EF6"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$ 3.782.593</w:t>
            </w:r>
          </w:p>
        </w:tc>
      </w:tr>
      <w:tr w:rsidR="00382869" w:rsidRPr="00053706" w14:paraId="0C27EB87" w14:textId="77777777" w:rsidTr="009A29B8">
        <w:trPr>
          <w:trHeight w:val="465"/>
        </w:trPr>
        <w:tc>
          <w:tcPr>
            <w:tcW w:w="407" w:type="dxa"/>
            <w:shd w:val="clear" w:color="000000" w:fill="F2F2F2"/>
            <w:noWrap/>
            <w:vAlign w:val="center"/>
            <w:hideMark/>
          </w:tcPr>
          <w:p w14:paraId="35635AF4" w14:textId="77777777" w:rsidR="00382869" w:rsidRPr="00053706" w:rsidRDefault="00382869" w:rsidP="00D22441">
            <w:pPr>
              <w:jc w:val="center"/>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137</w:t>
            </w:r>
          </w:p>
        </w:tc>
        <w:tc>
          <w:tcPr>
            <w:tcW w:w="585" w:type="dxa"/>
            <w:shd w:val="clear" w:color="000000" w:fill="F2F2F2"/>
            <w:noWrap/>
            <w:vAlign w:val="center"/>
            <w:hideMark/>
          </w:tcPr>
          <w:p w14:paraId="3FA523B6"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50885</w:t>
            </w:r>
          </w:p>
        </w:tc>
        <w:tc>
          <w:tcPr>
            <w:tcW w:w="941" w:type="dxa"/>
            <w:shd w:val="clear" w:color="000000" w:fill="F2F2F2"/>
            <w:noWrap/>
            <w:vAlign w:val="center"/>
            <w:hideMark/>
          </w:tcPr>
          <w:p w14:paraId="3D57CFD7"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901251202</w:t>
            </w:r>
          </w:p>
        </w:tc>
        <w:tc>
          <w:tcPr>
            <w:tcW w:w="3533" w:type="dxa"/>
            <w:shd w:val="clear" w:color="000000" w:fill="F2F2F2"/>
            <w:vAlign w:val="center"/>
            <w:hideMark/>
          </w:tcPr>
          <w:p w14:paraId="6CCD32F6" w14:textId="77777777" w:rsidR="00382869" w:rsidRPr="00053706" w:rsidRDefault="00382869" w:rsidP="00D22441">
            <w:pPr>
              <w:jc w:val="lef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CENTRAL HIDROELECTRICA ZEUS SAS ESP</w:t>
            </w:r>
          </w:p>
        </w:tc>
        <w:tc>
          <w:tcPr>
            <w:tcW w:w="1520" w:type="dxa"/>
            <w:shd w:val="clear" w:color="000000" w:fill="F2F2F2"/>
            <w:noWrap/>
            <w:vAlign w:val="center"/>
            <w:hideMark/>
          </w:tcPr>
          <w:p w14:paraId="1728E8A0"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$ 59.863.000</w:t>
            </w:r>
          </w:p>
        </w:tc>
        <w:tc>
          <w:tcPr>
            <w:tcW w:w="1360" w:type="dxa"/>
            <w:shd w:val="clear" w:color="000000" w:fill="F2F2F2"/>
            <w:noWrap/>
            <w:vAlign w:val="center"/>
            <w:hideMark/>
          </w:tcPr>
          <w:p w14:paraId="17711346"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$ 0</w:t>
            </w:r>
          </w:p>
        </w:tc>
        <w:tc>
          <w:tcPr>
            <w:tcW w:w="1520" w:type="dxa"/>
            <w:shd w:val="clear" w:color="000000" w:fill="F2F2F2"/>
            <w:noWrap/>
            <w:vAlign w:val="center"/>
            <w:hideMark/>
          </w:tcPr>
          <w:p w14:paraId="67FD3367"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$ 59.863.000</w:t>
            </w:r>
          </w:p>
        </w:tc>
        <w:tc>
          <w:tcPr>
            <w:tcW w:w="1200" w:type="dxa"/>
            <w:shd w:val="clear" w:color="000000" w:fill="F2F2F2"/>
            <w:noWrap/>
            <w:vAlign w:val="center"/>
            <w:hideMark/>
          </w:tcPr>
          <w:p w14:paraId="77A9E17D"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$ 598.630</w:t>
            </w:r>
          </w:p>
        </w:tc>
        <w:tc>
          <w:tcPr>
            <w:tcW w:w="1200" w:type="dxa"/>
            <w:shd w:val="clear" w:color="000000" w:fill="F2F2F2"/>
            <w:noWrap/>
            <w:vAlign w:val="center"/>
            <w:hideMark/>
          </w:tcPr>
          <w:p w14:paraId="4B3C67E7"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$ 25</w:t>
            </w:r>
          </w:p>
        </w:tc>
        <w:tc>
          <w:tcPr>
            <w:tcW w:w="1289" w:type="dxa"/>
            <w:shd w:val="clear" w:color="000000" w:fill="F2F2F2"/>
            <w:noWrap/>
            <w:vAlign w:val="center"/>
            <w:hideMark/>
          </w:tcPr>
          <w:p w14:paraId="676AED8B"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$ 598.655</w:t>
            </w:r>
          </w:p>
        </w:tc>
      </w:tr>
      <w:tr w:rsidR="00382869" w:rsidRPr="00053706" w14:paraId="4FB22139" w14:textId="77777777" w:rsidTr="009A29B8">
        <w:trPr>
          <w:trHeight w:val="465"/>
        </w:trPr>
        <w:tc>
          <w:tcPr>
            <w:tcW w:w="407" w:type="dxa"/>
            <w:shd w:val="clear" w:color="000000" w:fill="F2F2F2"/>
            <w:noWrap/>
            <w:vAlign w:val="center"/>
            <w:hideMark/>
          </w:tcPr>
          <w:p w14:paraId="72836172" w14:textId="77777777" w:rsidR="00382869" w:rsidRPr="00053706" w:rsidRDefault="00382869" w:rsidP="00D22441">
            <w:pPr>
              <w:jc w:val="center"/>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138</w:t>
            </w:r>
          </w:p>
        </w:tc>
        <w:tc>
          <w:tcPr>
            <w:tcW w:w="585" w:type="dxa"/>
            <w:shd w:val="clear" w:color="000000" w:fill="F2F2F2"/>
            <w:noWrap/>
            <w:vAlign w:val="center"/>
            <w:hideMark/>
          </w:tcPr>
          <w:p w14:paraId="353E5697"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50303</w:t>
            </w:r>
          </w:p>
        </w:tc>
        <w:tc>
          <w:tcPr>
            <w:tcW w:w="941" w:type="dxa"/>
            <w:shd w:val="clear" w:color="000000" w:fill="F2F2F2"/>
            <w:noWrap/>
            <w:vAlign w:val="center"/>
            <w:hideMark/>
          </w:tcPr>
          <w:p w14:paraId="338CA238"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901261711</w:t>
            </w:r>
          </w:p>
        </w:tc>
        <w:tc>
          <w:tcPr>
            <w:tcW w:w="3533" w:type="dxa"/>
            <w:shd w:val="clear" w:color="000000" w:fill="F2F2F2"/>
            <w:vAlign w:val="center"/>
            <w:hideMark/>
          </w:tcPr>
          <w:p w14:paraId="3537FD22" w14:textId="77777777" w:rsidR="00382869" w:rsidRPr="00053706" w:rsidRDefault="00382869" w:rsidP="00D22441">
            <w:pPr>
              <w:jc w:val="lef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AAGES DEVELOPMENT COLOMBIA SAS ESP</w:t>
            </w:r>
          </w:p>
        </w:tc>
        <w:tc>
          <w:tcPr>
            <w:tcW w:w="1520" w:type="dxa"/>
            <w:shd w:val="clear" w:color="000000" w:fill="F2F2F2"/>
            <w:noWrap/>
            <w:vAlign w:val="center"/>
            <w:hideMark/>
          </w:tcPr>
          <w:p w14:paraId="3FF6E36F"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$ 3.135.317.000</w:t>
            </w:r>
          </w:p>
        </w:tc>
        <w:tc>
          <w:tcPr>
            <w:tcW w:w="1360" w:type="dxa"/>
            <w:shd w:val="clear" w:color="000000" w:fill="F2F2F2"/>
            <w:noWrap/>
            <w:vAlign w:val="center"/>
            <w:hideMark/>
          </w:tcPr>
          <w:p w14:paraId="7D7FEA3E"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$ 0</w:t>
            </w:r>
          </w:p>
        </w:tc>
        <w:tc>
          <w:tcPr>
            <w:tcW w:w="1520" w:type="dxa"/>
            <w:shd w:val="clear" w:color="000000" w:fill="F2F2F2"/>
            <w:noWrap/>
            <w:vAlign w:val="center"/>
            <w:hideMark/>
          </w:tcPr>
          <w:p w14:paraId="2F4A5352"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$ 3.135.317.000</w:t>
            </w:r>
          </w:p>
        </w:tc>
        <w:tc>
          <w:tcPr>
            <w:tcW w:w="1200" w:type="dxa"/>
            <w:shd w:val="clear" w:color="000000" w:fill="F2F2F2"/>
            <w:noWrap/>
            <w:vAlign w:val="center"/>
            <w:hideMark/>
          </w:tcPr>
          <w:p w14:paraId="516B41F0"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$ 31.353.170</w:t>
            </w:r>
          </w:p>
        </w:tc>
        <w:tc>
          <w:tcPr>
            <w:tcW w:w="1200" w:type="dxa"/>
            <w:shd w:val="clear" w:color="000000" w:fill="F2F2F2"/>
            <w:noWrap/>
            <w:vAlign w:val="center"/>
            <w:hideMark/>
          </w:tcPr>
          <w:p w14:paraId="1ACD632A"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$ 1.305</w:t>
            </w:r>
          </w:p>
        </w:tc>
        <w:tc>
          <w:tcPr>
            <w:tcW w:w="1289" w:type="dxa"/>
            <w:shd w:val="clear" w:color="000000" w:fill="F2F2F2"/>
            <w:noWrap/>
            <w:vAlign w:val="center"/>
            <w:hideMark/>
          </w:tcPr>
          <w:p w14:paraId="546206F7"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$ 31.354.475</w:t>
            </w:r>
          </w:p>
        </w:tc>
      </w:tr>
      <w:tr w:rsidR="00382869" w:rsidRPr="00053706" w14:paraId="5C045E04" w14:textId="77777777" w:rsidTr="009A29B8">
        <w:trPr>
          <w:trHeight w:val="222"/>
        </w:trPr>
        <w:tc>
          <w:tcPr>
            <w:tcW w:w="407" w:type="dxa"/>
            <w:shd w:val="clear" w:color="000000" w:fill="F2F2F2"/>
            <w:noWrap/>
            <w:vAlign w:val="center"/>
            <w:hideMark/>
          </w:tcPr>
          <w:p w14:paraId="7FB16C55" w14:textId="77777777" w:rsidR="00382869" w:rsidRPr="00053706" w:rsidRDefault="00382869" w:rsidP="00D22441">
            <w:pPr>
              <w:jc w:val="center"/>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139</w:t>
            </w:r>
          </w:p>
        </w:tc>
        <w:tc>
          <w:tcPr>
            <w:tcW w:w="585" w:type="dxa"/>
            <w:shd w:val="clear" w:color="000000" w:fill="F2F2F2"/>
            <w:noWrap/>
            <w:vAlign w:val="center"/>
            <w:hideMark/>
          </w:tcPr>
          <w:p w14:paraId="5495F6E8"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45337</w:t>
            </w:r>
          </w:p>
        </w:tc>
        <w:tc>
          <w:tcPr>
            <w:tcW w:w="941" w:type="dxa"/>
            <w:shd w:val="clear" w:color="000000" w:fill="F2F2F2"/>
            <w:noWrap/>
            <w:vAlign w:val="center"/>
            <w:hideMark/>
          </w:tcPr>
          <w:p w14:paraId="182E1034"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901278277</w:t>
            </w:r>
          </w:p>
        </w:tc>
        <w:tc>
          <w:tcPr>
            <w:tcW w:w="3533" w:type="dxa"/>
            <w:shd w:val="clear" w:color="000000" w:fill="F2F2F2"/>
            <w:vAlign w:val="center"/>
            <w:hideMark/>
          </w:tcPr>
          <w:p w14:paraId="3A306046" w14:textId="77777777" w:rsidR="00382869" w:rsidRPr="00053706" w:rsidRDefault="00382869" w:rsidP="00D22441">
            <w:pPr>
              <w:jc w:val="lef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SVC E.S.P. S.A.S. ZOMAC</w:t>
            </w:r>
          </w:p>
        </w:tc>
        <w:tc>
          <w:tcPr>
            <w:tcW w:w="1520" w:type="dxa"/>
            <w:shd w:val="clear" w:color="000000" w:fill="F2F2F2"/>
            <w:noWrap/>
            <w:vAlign w:val="center"/>
            <w:hideMark/>
          </w:tcPr>
          <w:p w14:paraId="6CEA3EE9"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$ 218.464.000</w:t>
            </w:r>
          </w:p>
        </w:tc>
        <w:tc>
          <w:tcPr>
            <w:tcW w:w="1360" w:type="dxa"/>
            <w:shd w:val="clear" w:color="000000" w:fill="F2F2F2"/>
            <w:noWrap/>
            <w:vAlign w:val="center"/>
            <w:hideMark/>
          </w:tcPr>
          <w:p w14:paraId="717C568B"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$ 0</w:t>
            </w:r>
          </w:p>
        </w:tc>
        <w:tc>
          <w:tcPr>
            <w:tcW w:w="1520" w:type="dxa"/>
            <w:shd w:val="clear" w:color="000000" w:fill="F2F2F2"/>
            <w:noWrap/>
            <w:vAlign w:val="center"/>
            <w:hideMark/>
          </w:tcPr>
          <w:p w14:paraId="4A1113E6"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$ 218.464.000</w:t>
            </w:r>
          </w:p>
        </w:tc>
        <w:tc>
          <w:tcPr>
            <w:tcW w:w="1200" w:type="dxa"/>
            <w:shd w:val="clear" w:color="000000" w:fill="F2F2F2"/>
            <w:noWrap/>
            <w:vAlign w:val="center"/>
            <w:hideMark/>
          </w:tcPr>
          <w:p w14:paraId="0C352CB5"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$ 2.184.640</w:t>
            </w:r>
          </w:p>
        </w:tc>
        <w:tc>
          <w:tcPr>
            <w:tcW w:w="1200" w:type="dxa"/>
            <w:shd w:val="clear" w:color="000000" w:fill="F2F2F2"/>
            <w:noWrap/>
            <w:vAlign w:val="center"/>
            <w:hideMark/>
          </w:tcPr>
          <w:p w14:paraId="6F00E089"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$ 91</w:t>
            </w:r>
          </w:p>
        </w:tc>
        <w:tc>
          <w:tcPr>
            <w:tcW w:w="1289" w:type="dxa"/>
            <w:shd w:val="clear" w:color="000000" w:fill="F2F2F2"/>
            <w:noWrap/>
            <w:vAlign w:val="center"/>
            <w:hideMark/>
          </w:tcPr>
          <w:p w14:paraId="0FB2DE3C"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$ 2.184.731</w:t>
            </w:r>
          </w:p>
        </w:tc>
      </w:tr>
      <w:tr w:rsidR="00382869" w:rsidRPr="00053706" w14:paraId="7FF8C2E9" w14:textId="77777777" w:rsidTr="009A29B8">
        <w:trPr>
          <w:trHeight w:val="299"/>
        </w:trPr>
        <w:tc>
          <w:tcPr>
            <w:tcW w:w="407" w:type="dxa"/>
            <w:shd w:val="clear" w:color="000000" w:fill="F2F2F2"/>
            <w:noWrap/>
            <w:vAlign w:val="center"/>
            <w:hideMark/>
          </w:tcPr>
          <w:p w14:paraId="2E979E77" w14:textId="77777777" w:rsidR="00382869" w:rsidRPr="00053706" w:rsidRDefault="00382869" w:rsidP="00D22441">
            <w:pPr>
              <w:jc w:val="center"/>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140</w:t>
            </w:r>
          </w:p>
        </w:tc>
        <w:tc>
          <w:tcPr>
            <w:tcW w:w="585" w:type="dxa"/>
            <w:shd w:val="clear" w:color="000000" w:fill="F2F2F2"/>
            <w:noWrap/>
            <w:vAlign w:val="center"/>
            <w:hideMark/>
          </w:tcPr>
          <w:p w14:paraId="09A6FB00"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44478</w:t>
            </w:r>
          </w:p>
        </w:tc>
        <w:tc>
          <w:tcPr>
            <w:tcW w:w="941" w:type="dxa"/>
            <w:shd w:val="clear" w:color="000000" w:fill="F2F2F2"/>
            <w:noWrap/>
            <w:vAlign w:val="center"/>
            <w:hideMark/>
          </w:tcPr>
          <w:p w14:paraId="65F7D237"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901285410</w:t>
            </w:r>
          </w:p>
        </w:tc>
        <w:tc>
          <w:tcPr>
            <w:tcW w:w="3533" w:type="dxa"/>
            <w:shd w:val="clear" w:color="000000" w:fill="F2F2F2"/>
            <w:vAlign w:val="center"/>
            <w:hideMark/>
          </w:tcPr>
          <w:p w14:paraId="6F48700E" w14:textId="77777777" w:rsidR="00382869" w:rsidRPr="00053706" w:rsidRDefault="00382869" w:rsidP="00D22441">
            <w:pPr>
              <w:jc w:val="lef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SOUL ENERGY SAS ESP</w:t>
            </w:r>
          </w:p>
        </w:tc>
        <w:tc>
          <w:tcPr>
            <w:tcW w:w="1520" w:type="dxa"/>
            <w:shd w:val="clear" w:color="000000" w:fill="F2F2F2"/>
            <w:noWrap/>
            <w:vAlign w:val="center"/>
            <w:hideMark/>
          </w:tcPr>
          <w:p w14:paraId="48FFAE64"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$ 159.901.000</w:t>
            </w:r>
          </w:p>
        </w:tc>
        <w:tc>
          <w:tcPr>
            <w:tcW w:w="1360" w:type="dxa"/>
            <w:shd w:val="clear" w:color="000000" w:fill="F2F2F2"/>
            <w:noWrap/>
            <w:vAlign w:val="center"/>
            <w:hideMark/>
          </w:tcPr>
          <w:p w14:paraId="13D1FBFC"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$ 0</w:t>
            </w:r>
          </w:p>
        </w:tc>
        <w:tc>
          <w:tcPr>
            <w:tcW w:w="1520" w:type="dxa"/>
            <w:shd w:val="clear" w:color="000000" w:fill="F2F2F2"/>
            <w:noWrap/>
            <w:vAlign w:val="center"/>
            <w:hideMark/>
          </w:tcPr>
          <w:p w14:paraId="79BCBB39"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$ 159.901.000</w:t>
            </w:r>
          </w:p>
        </w:tc>
        <w:tc>
          <w:tcPr>
            <w:tcW w:w="1200" w:type="dxa"/>
            <w:shd w:val="clear" w:color="000000" w:fill="F2F2F2"/>
            <w:noWrap/>
            <w:vAlign w:val="center"/>
            <w:hideMark/>
          </w:tcPr>
          <w:p w14:paraId="58678140"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$ 1.599.010</w:t>
            </w:r>
          </w:p>
        </w:tc>
        <w:tc>
          <w:tcPr>
            <w:tcW w:w="1200" w:type="dxa"/>
            <w:shd w:val="clear" w:color="000000" w:fill="F2F2F2"/>
            <w:noWrap/>
            <w:vAlign w:val="center"/>
            <w:hideMark/>
          </w:tcPr>
          <w:p w14:paraId="15D664B8"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$ 67</w:t>
            </w:r>
          </w:p>
        </w:tc>
        <w:tc>
          <w:tcPr>
            <w:tcW w:w="1289" w:type="dxa"/>
            <w:shd w:val="clear" w:color="000000" w:fill="F2F2F2"/>
            <w:noWrap/>
            <w:vAlign w:val="center"/>
            <w:hideMark/>
          </w:tcPr>
          <w:p w14:paraId="5CE2B2F8"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$ 1.599.077</w:t>
            </w:r>
          </w:p>
        </w:tc>
      </w:tr>
      <w:tr w:rsidR="00382869" w:rsidRPr="00053706" w14:paraId="02D1A788" w14:textId="77777777" w:rsidTr="009A29B8">
        <w:trPr>
          <w:trHeight w:val="229"/>
        </w:trPr>
        <w:tc>
          <w:tcPr>
            <w:tcW w:w="407" w:type="dxa"/>
            <w:shd w:val="clear" w:color="000000" w:fill="F2F2F2"/>
            <w:noWrap/>
            <w:vAlign w:val="center"/>
            <w:hideMark/>
          </w:tcPr>
          <w:p w14:paraId="055A574A" w14:textId="77777777" w:rsidR="00382869" w:rsidRPr="00053706" w:rsidRDefault="00382869" w:rsidP="00D22441">
            <w:pPr>
              <w:jc w:val="center"/>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lastRenderedPageBreak/>
              <w:t>141</w:t>
            </w:r>
          </w:p>
        </w:tc>
        <w:tc>
          <w:tcPr>
            <w:tcW w:w="585" w:type="dxa"/>
            <w:shd w:val="clear" w:color="000000" w:fill="F2F2F2"/>
            <w:noWrap/>
            <w:vAlign w:val="center"/>
            <w:hideMark/>
          </w:tcPr>
          <w:p w14:paraId="75D3620F"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45317</w:t>
            </w:r>
          </w:p>
        </w:tc>
        <w:tc>
          <w:tcPr>
            <w:tcW w:w="941" w:type="dxa"/>
            <w:shd w:val="clear" w:color="000000" w:fill="F2F2F2"/>
            <w:noWrap/>
            <w:vAlign w:val="center"/>
            <w:hideMark/>
          </w:tcPr>
          <w:p w14:paraId="4965D1C9"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901288781</w:t>
            </w:r>
          </w:p>
        </w:tc>
        <w:tc>
          <w:tcPr>
            <w:tcW w:w="3533" w:type="dxa"/>
            <w:shd w:val="clear" w:color="000000" w:fill="F2F2F2"/>
            <w:vAlign w:val="center"/>
            <w:hideMark/>
          </w:tcPr>
          <w:p w14:paraId="622DDB11" w14:textId="77777777" w:rsidR="00382869" w:rsidRPr="00053706" w:rsidRDefault="00382869" w:rsidP="00D22441">
            <w:pPr>
              <w:jc w:val="lef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DEPI ENERGY S.A.S. E.S.P.</w:t>
            </w:r>
          </w:p>
        </w:tc>
        <w:tc>
          <w:tcPr>
            <w:tcW w:w="1520" w:type="dxa"/>
            <w:shd w:val="clear" w:color="000000" w:fill="F2F2F2"/>
            <w:noWrap/>
            <w:vAlign w:val="center"/>
            <w:hideMark/>
          </w:tcPr>
          <w:p w14:paraId="143A0D38"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$ 4.024.178.000</w:t>
            </w:r>
          </w:p>
        </w:tc>
        <w:tc>
          <w:tcPr>
            <w:tcW w:w="1360" w:type="dxa"/>
            <w:shd w:val="clear" w:color="000000" w:fill="F2F2F2"/>
            <w:noWrap/>
            <w:vAlign w:val="center"/>
            <w:hideMark/>
          </w:tcPr>
          <w:p w14:paraId="1219E25B"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$ 0</w:t>
            </w:r>
          </w:p>
        </w:tc>
        <w:tc>
          <w:tcPr>
            <w:tcW w:w="1520" w:type="dxa"/>
            <w:shd w:val="clear" w:color="000000" w:fill="F2F2F2"/>
            <w:noWrap/>
            <w:vAlign w:val="center"/>
            <w:hideMark/>
          </w:tcPr>
          <w:p w14:paraId="060D7BB4"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$ 4.024.178.000</w:t>
            </w:r>
          </w:p>
        </w:tc>
        <w:tc>
          <w:tcPr>
            <w:tcW w:w="1200" w:type="dxa"/>
            <w:shd w:val="clear" w:color="000000" w:fill="F2F2F2"/>
            <w:noWrap/>
            <w:vAlign w:val="center"/>
            <w:hideMark/>
          </w:tcPr>
          <w:p w14:paraId="4E4F562C"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$ 40.241.780</w:t>
            </w:r>
          </w:p>
        </w:tc>
        <w:tc>
          <w:tcPr>
            <w:tcW w:w="1200" w:type="dxa"/>
            <w:shd w:val="clear" w:color="000000" w:fill="F2F2F2"/>
            <w:noWrap/>
            <w:vAlign w:val="center"/>
            <w:hideMark/>
          </w:tcPr>
          <w:p w14:paraId="54A9AF26"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$ 1.675</w:t>
            </w:r>
          </w:p>
        </w:tc>
        <w:tc>
          <w:tcPr>
            <w:tcW w:w="1289" w:type="dxa"/>
            <w:shd w:val="clear" w:color="000000" w:fill="F2F2F2"/>
            <w:noWrap/>
            <w:vAlign w:val="center"/>
            <w:hideMark/>
          </w:tcPr>
          <w:p w14:paraId="0CB1247E"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$ 40.243.455</w:t>
            </w:r>
          </w:p>
        </w:tc>
      </w:tr>
      <w:tr w:rsidR="00382869" w:rsidRPr="00053706" w14:paraId="0230EC6C" w14:textId="77777777" w:rsidTr="009A29B8">
        <w:trPr>
          <w:trHeight w:val="307"/>
        </w:trPr>
        <w:tc>
          <w:tcPr>
            <w:tcW w:w="407" w:type="dxa"/>
            <w:shd w:val="clear" w:color="000000" w:fill="F2F2F2"/>
            <w:noWrap/>
            <w:vAlign w:val="center"/>
            <w:hideMark/>
          </w:tcPr>
          <w:p w14:paraId="4014B0E6" w14:textId="77777777" w:rsidR="00382869" w:rsidRPr="00053706" w:rsidRDefault="00382869" w:rsidP="00D22441">
            <w:pPr>
              <w:jc w:val="center"/>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142</w:t>
            </w:r>
          </w:p>
        </w:tc>
        <w:tc>
          <w:tcPr>
            <w:tcW w:w="585" w:type="dxa"/>
            <w:shd w:val="clear" w:color="000000" w:fill="F2F2F2"/>
            <w:noWrap/>
            <w:vAlign w:val="center"/>
            <w:hideMark/>
          </w:tcPr>
          <w:p w14:paraId="74D32CA3"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44997</w:t>
            </w:r>
          </w:p>
        </w:tc>
        <w:tc>
          <w:tcPr>
            <w:tcW w:w="941" w:type="dxa"/>
            <w:shd w:val="clear" w:color="000000" w:fill="F2F2F2"/>
            <w:noWrap/>
            <w:vAlign w:val="center"/>
            <w:hideMark/>
          </w:tcPr>
          <w:p w14:paraId="64646C30"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901296315</w:t>
            </w:r>
          </w:p>
        </w:tc>
        <w:tc>
          <w:tcPr>
            <w:tcW w:w="3533" w:type="dxa"/>
            <w:shd w:val="clear" w:color="000000" w:fill="F2F2F2"/>
            <w:vAlign w:val="center"/>
            <w:hideMark/>
          </w:tcPr>
          <w:p w14:paraId="7B975AC1" w14:textId="77777777" w:rsidR="00382869" w:rsidRPr="00053706" w:rsidRDefault="00382869" w:rsidP="00D22441">
            <w:pPr>
              <w:jc w:val="lef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ELECTRIFICADORA ENTRE RIOS S.A.S</w:t>
            </w:r>
          </w:p>
        </w:tc>
        <w:tc>
          <w:tcPr>
            <w:tcW w:w="1520" w:type="dxa"/>
            <w:shd w:val="clear" w:color="000000" w:fill="F2F2F2"/>
            <w:noWrap/>
            <w:vAlign w:val="center"/>
            <w:hideMark/>
          </w:tcPr>
          <w:p w14:paraId="78819ED6"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$ 129.816.000</w:t>
            </w:r>
          </w:p>
        </w:tc>
        <w:tc>
          <w:tcPr>
            <w:tcW w:w="1360" w:type="dxa"/>
            <w:shd w:val="clear" w:color="000000" w:fill="F2F2F2"/>
            <w:noWrap/>
            <w:vAlign w:val="center"/>
            <w:hideMark/>
          </w:tcPr>
          <w:p w14:paraId="1FB77A58"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$ 5.192.859</w:t>
            </w:r>
          </w:p>
        </w:tc>
        <w:tc>
          <w:tcPr>
            <w:tcW w:w="1520" w:type="dxa"/>
            <w:shd w:val="clear" w:color="000000" w:fill="F2F2F2"/>
            <w:noWrap/>
            <w:vAlign w:val="center"/>
            <w:hideMark/>
          </w:tcPr>
          <w:p w14:paraId="5CDD4C85"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$ 135.008.859</w:t>
            </w:r>
          </w:p>
        </w:tc>
        <w:tc>
          <w:tcPr>
            <w:tcW w:w="1200" w:type="dxa"/>
            <w:shd w:val="clear" w:color="000000" w:fill="F2F2F2"/>
            <w:noWrap/>
            <w:vAlign w:val="center"/>
            <w:hideMark/>
          </w:tcPr>
          <w:p w14:paraId="30CD8041"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$ 1.350.089</w:t>
            </w:r>
          </w:p>
        </w:tc>
        <w:tc>
          <w:tcPr>
            <w:tcW w:w="1200" w:type="dxa"/>
            <w:shd w:val="clear" w:color="000000" w:fill="F2F2F2"/>
            <w:noWrap/>
            <w:vAlign w:val="center"/>
            <w:hideMark/>
          </w:tcPr>
          <w:p w14:paraId="56BE13B4"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$ 56</w:t>
            </w:r>
          </w:p>
        </w:tc>
        <w:tc>
          <w:tcPr>
            <w:tcW w:w="1289" w:type="dxa"/>
            <w:shd w:val="clear" w:color="000000" w:fill="F2F2F2"/>
            <w:noWrap/>
            <w:vAlign w:val="center"/>
            <w:hideMark/>
          </w:tcPr>
          <w:p w14:paraId="5506D547"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$ 1.350.145</w:t>
            </w:r>
          </w:p>
        </w:tc>
      </w:tr>
      <w:tr w:rsidR="00382869" w:rsidRPr="00053706" w14:paraId="3272ED14" w14:textId="77777777" w:rsidTr="009A29B8">
        <w:trPr>
          <w:trHeight w:val="690"/>
        </w:trPr>
        <w:tc>
          <w:tcPr>
            <w:tcW w:w="407" w:type="dxa"/>
            <w:shd w:val="clear" w:color="000000" w:fill="F2F2F2"/>
            <w:noWrap/>
            <w:vAlign w:val="center"/>
            <w:hideMark/>
          </w:tcPr>
          <w:p w14:paraId="29EAA6BB" w14:textId="77777777" w:rsidR="00382869" w:rsidRPr="00053706" w:rsidRDefault="00382869" w:rsidP="00D22441">
            <w:pPr>
              <w:jc w:val="center"/>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143</w:t>
            </w:r>
          </w:p>
        </w:tc>
        <w:tc>
          <w:tcPr>
            <w:tcW w:w="585" w:type="dxa"/>
            <w:shd w:val="clear" w:color="000000" w:fill="F2F2F2"/>
            <w:noWrap/>
            <w:vAlign w:val="center"/>
            <w:hideMark/>
          </w:tcPr>
          <w:p w14:paraId="2A0B0FF5"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48986</w:t>
            </w:r>
          </w:p>
        </w:tc>
        <w:tc>
          <w:tcPr>
            <w:tcW w:w="941" w:type="dxa"/>
            <w:shd w:val="clear" w:color="000000" w:fill="F2F2F2"/>
            <w:noWrap/>
            <w:vAlign w:val="center"/>
            <w:hideMark/>
          </w:tcPr>
          <w:p w14:paraId="056FE115"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901326470</w:t>
            </w:r>
          </w:p>
        </w:tc>
        <w:tc>
          <w:tcPr>
            <w:tcW w:w="3533" w:type="dxa"/>
            <w:shd w:val="clear" w:color="000000" w:fill="F2F2F2"/>
            <w:vAlign w:val="center"/>
            <w:hideMark/>
          </w:tcPr>
          <w:p w14:paraId="301A8326" w14:textId="77777777" w:rsidR="00382869" w:rsidRPr="00053706" w:rsidRDefault="00382869" w:rsidP="00D22441">
            <w:pPr>
              <w:jc w:val="lef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PROENERGY SOCIEDAD POR ACCIONES SIMPLIFICADAS EMPRESA DE SERVICIOS PUBLICOS DOMICILIARIOS</w:t>
            </w:r>
          </w:p>
        </w:tc>
        <w:tc>
          <w:tcPr>
            <w:tcW w:w="1520" w:type="dxa"/>
            <w:shd w:val="clear" w:color="000000" w:fill="F2F2F2"/>
            <w:noWrap/>
            <w:vAlign w:val="center"/>
            <w:hideMark/>
          </w:tcPr>
          <w:p w14:paraId="04261C34"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$ 4.674.546.000</w:t>
            </w:r>
          </w:p>
        </w:tc>
        <w:tc>
          <w:tcPr>
            <w:tcW w:w="1360" w:type="dxa"/>
            <w:shd w:val="clear" w:color="000000" w:fill="F2F2F2"/>
            <w:noWrap/>
            <w:vAlign w:val="center"/>
            <w:hideMark/>
          </w:tcPr>
          <w:p w14:paraId="4514B0BC"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$ 831.814.965</w:t>
            </w:r>
          </w:p>
        </w:tc>
        <w:tc>
          <w:tcPr>
            <w:tcW w:w="1520" w:type="dxa"/>
            <w:shd w:val="clear" w:color="000000" w:fill="F2F2F2"/>
            <w:noWrap/>
            <w:vAlign w:val="center"/>
            <w:hideMark/>
          </w:tcPr>
          <w:p w14:paraId="45CCFED4"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$ 5.506.360.965</w:t>
            </w:r>
          </w:p>
        </w:tc>
        <w:tc>
          <w:tcPr>
            <w:tcW w:w="1200" w:type="dxa"/>
            <w:shd w:val="clear" w:color="000000" w:fill="F2F2F2"/>
            <w:noWrap/>
            <w:vAlign w:val="center"/>
            <w:hideMark/>
          </w:tcPr>
          <w:p w14:paraId="6458DF62"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$ 55.063.610</w:t>
            </w:r>
          </w:p>
        </w:tc>
        <w:tc>
          <w:tcPr>
            <w:tcW w:w="1200" w:type="dxa"/>
            <w:shd w:val="clear" w:color="000000" w:fill="F2F2F2"/>
            <w:noWrap/>
            <w:vAlign w:val="center"/>
            <w:hideMark/>
          </w:tcPr>
          <w:p w14:paraId="407EA0AC"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$ 2.292</w:t>
            </w:r>
          </w:p>
        </w:tc>
        <w:tc>
          <w:tcPr>
            <w:tcW w:w="1289" w:type="dxa"/>
            <w:shd w:val="clear" w:color="000000" w:fill="F2F2F2"/>
            <w:noWrap/>
            <w:vAlign w:val="center"/>
            <w:hideMark/>
          </w:tcPr>
          <w:p w14:paraId="54E6B9CE"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$ 55.065.901</w:t>
            </w:r>
          </w:p>
        </w:tc>
      </w:tr>
      <w:tr w:rsidR="00382869" w:rsidRPr="00053706" w14:paraId="57428BA2" w14:textId="77777777" w:rsidTr="009A29B8">
        <w:trPr>
          <w:trHeight w:val="465"/>
        </w:trPr>
        <w:tc>
          <w:tcPr>
            <w:tcW w:w="407" w:type="dxa"/>
            <w:shd w:val="clear" w:color="000000" w:fill="F2F2F2"/>
            <w:noWrap/>
            <w:vAlign w:val="center"/>
            <w:hideMark/>
          </w:tcPr>
          <w:p w14:paraId="7DFDD88D" w14:textId="77777777" w:rsidR="00382869" w:rsidRPr="00053706" w:rsidRDefault="00382869" w:rsidP="00D22441">
            <w:pPr>
              <w:jc w:val="center"/>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144</w:t>
            </w:r>
          </w:p>
        </w:tc>
        <w:tc>
          <w:tcPr>
            <w:tcW w:w="585" w:type="dxa"/>
            <w:shd w:val="clear" w:color="000000" w:fill="F2F2F2"/>
            <w:noWrap/>
            <w:vAlign w:val="center"/>
            <w:hideMark/>
          </w:tcPr>
          <w:p w14:paraId="0E699395"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54786</w:t>
            </w:r>
          </w:p>
        </w:tc>
        <w:tc>
          <w:tcPr>
            <w:tcW w:w="941" w:type="dxa"/>
            <w:shd w:val="clear" w:color="000000" w:fill="F2F2F2"/>
            <w:noWrap/>
            <w:vAlign w:val="center"/>
            <w:hideMark/>
          </w:tcPr>
          <w:p w14:paraId="034F8670"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901335304</w:t>
            </w:r>
          </w:p>
        </w:tc>
        <w:tc>
          <w:tcPr>
            <w:tcW w:w="3533" w:type="dxa"/>
            <w:shd w:val="clear" w:color="000000" w:fill="F2F2F2"/>
            <w:vAlign w:val="center"/>
            <w:hideMark/>
          </w:tcPr>
          <w:p w14:paraId="1CE518DB" w14:textId="77777777" w:rsidR="00382869" w:rsidRPr="00053706" w:rsidRDefault="00382869" w:rsidP="00D22441">
            <w:pPr>
              <w:jc w:val="lef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TRINA SOLAR GENERADOR COLOMBIA SAN FELIPE SAS</w:t>
            </w:r>
          </w:p>
        </w:tc>
        <w:tc>
          <w:tcPr>
            <w:tcW w:w="1520" w:type="dxa"/>
            <w:shd w:val="clear" w:color="000000" w:fill="F2F2F2"/>
            <w:noWrap/>
            <w:vAlign w:val="center"/>
            <w:hideMark/>
          </w:tcPr>
          <w:p w14:paraId="1BF75CCF"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$ 46.545.798</w:t>
            </w:r>
          </w:p>
        </w:tc>
        <w:tc>
          <w:tcPr>
            <w:tcW w:w="1360" w:type="dxa"/>
            <w:shd w:val="clear" w:color="000000" w:fill="F2F2F2"/>
            <w:noWrap/>
            <w:vAlign w:val="center"/>
            <w:hideMark/>
          </w:tcPr>
          <w:p w14:paraId="7BB0341B"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$ 0</w:t>
            </w:r>
          </w:p>
        </w:tc>
        <w:tc>
          <w:tcPr>
            <w:tcW w:w="1520" w:type="dxa"/>
            <w:shd w:val="clear" w:color="000000" w:fill="F2F2F2"/>
            <w:noWrap/>
            <w:vAlign w:val="center"/>
            <w:hideMark/>
          </w:tcPr>
          <w:p w14:paraId="31CBF7E1"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$ 46.545.798</w:t>
            </w:r>
          </w:p>
        </w:tc>
        <w:tc>
          <w:tcPr>
            <w:tcW w:w="1200" w:type="dxa"/>
            <w:shd w:val="clear" w:color="000000" w:fill="F2F2F2"/>
            <w:noWrap/>
            <w:vAlign w:val="center"/>
            <w:hideMark/>
          </w:tcPr>
          <w:p w14:paraId="78F1472E"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$ 465.458</w:t>
            </w:r>
          </w:p>
        </w:tc>
        <w:tc>
          <w:tcPr>
            <w:tcW w:w="1200" w:type="dxa"/>
            <w:shd w:val="clear" w:color="000000" w:fill="F2F2F2"/>
            <w:noWrap/>
            <w:vAlign w:val="center"/>
            <w:hideMark/>
          </w:tcPr>
          <w:p w14:paraId="5B44A4BF"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$ 19</w:t>
            </w:r>
          </w:p>
        </w:tc>
        <w:tc>
          <w:tcPr>
            <w:tcW w:w="1289" w:type="dxa"/>
            <w:shd w:val="clear" w:color="000000" w:fill="F2F2F2"/>
            <w:noWrap/>
            <w:vAlign w:val="center"/>
            <w:hideMark/>
          </w:tcPr>
          <w:p w14:paraId="73712919"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$ 465.477</w:t>
            </w:r>
          </w:p>
        </w:tc>
      </w:tr>
      <w:tr w:rsidR="00382869" w:rsidRPr="00053706" w14:paraId="2A725DAF" w14:textId="77777777" w:rsidTr="009A29B8">
        <w:trPr>
          <w:trHeight w:val="465"/>
        </w:trPr>
        <w:tc>
          <w:tcPr>
            <w:tcW w:w="407" w:type="dxa"/>
            <w:shd w:val="clear" w:color="000000" w:fill="F2F2F2"/>
            <w:noWrap/>
            <w:vAlign w:val="center"/>
            <w:hideMark/>
          </w:tcPr>
          <w:p w14:paraId="2EF3A0E4" w14:textId="77777777" w:rsidR="00382869" w:rsidRPr="00053706" w:rsidRDefault="00382869" w:rsidP="00D22441">
            <w:pPr>
              <w:jc w:val="center"/>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145</w:t>
            </w:r>
          </w:p>
        </w:tc>
        <w:tc>
          <w:tcPr>
            <w:tcW w:w="585" w:type="dxa"/>
            <w:shd w:val="clear" w:color="000000" w:fill="F2F2F2"/>
            <w:noWrap/>
            <w:vAlign w:val="center"/>
            <w:hideMark/>
          </w:tcPr>
          <w:p w14:paraId="537018E7"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56127</w:t>
            </w:r>
          </w:p>
        </w:tc>
        <w:tc>
          <w:tcPr>
            <w:tcW w:w="941" w:type="dxa"/>
            <w:shd w:val="clear" w:color="000000" w:fill="F2F2F2"/>
            <w:noWrap/>
            <w:vAlign w:val="center"/>
            <w:hideMark/>
          </w:tcPr>
          <w:p w14:paraId="0E783A1A"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901335318</w:t>
            </w:r>
          </w:p>
        </w:tc>
        <w:tc>
          <w:tcPr>
            <w:tcW w:w="3533" w:type="dxa"/>
            <w:shd w:val="clear" w:color="000000" w:fill="F2F2F2"/>
            <w:vAlign w:val="center"/>
            <w:hideMark/>
          </w:tcPr>
          <w:p w14:paraId="3559A54D" w14:textId="15AAFCA9" w:rsidR="00382869" w:rsidRPr="00053706" w:rsidRDefault="00382869" w:rsidP="00D22441">
            <w:pPr>
              <w:jc w:val="lef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TRINA SOLAR GENERADOR COLOMBIA - CAMPANO S.A.S. E.S.P</w:t>
            </w:r>
            <w:r w:rsidR="008722A6" w:rsidRPr="00053706">
              <w:rPr>
                <w:rFonts w:ascii="Arial Narrow" w:hAnsi="Arial Narrow" w:cs="Arial"/>
                <w:color w:val="000000"/>
                <w:spacing w:val="0"/>
                <w:sz w:val="16"/>
                <w:szCs w:val="16"/>
                <w:lang w:eastAsia="es-CO"/>
              </w:rPr>
              <w:t>.</w:t>
            </w:r>
          </w:p>
        </w:tc>
        <w:tc>
          <w:tcPr>
            <w:tcW w:w="1520" w:type="dxa"/>
            <w:shd w:val="clear" w:color="000000" w:fill="F2F2F2"/>
            <w:noWrap/>
            <w:vAlign w:val="center"/>
            <w:hideMark/>
          </w:tcPr>
          <w:p w14:paraId="4B275B1B"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$ 51.533.006</w:t>
            </w:r>
          </w:p>
        </w:tc>
        <w:tc>
          <w:tcPr>
            <w:tcW w:w="1360" w:type="dxa"/>
            <w:shd w:val="clear" w:color="000000" w:fill="F2F2F2"/>
            <w:noWrap/>
            <w:vAlign w:val="center"/>
            <w:hideMark/>
          </w:tcPr>
          <w:p w14:paraId="3FDEF65F"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$ 0</w:t>
            </w:r>
          </w:p>
        </w:tc>
        <w:tc>
          <w:tcPr>
            <w:tcW w:w="1520" w:type="dxa"/>
            <w:shd w:val="clear" w:color="000000" w:fill="F2F2F2"/>
            <w:noWrap/>
            <w:vAlign w:val="center"/>
            <w:hideMark/>
          </w:tcPr>
          <w:p w14:paraId="679E7300"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$ 51.533.006</w:t>
            </w:r>
          </w:p>
        </w:tc>
        <w:tc>
          <w:tcPr>
            <w:tcW w:w="1200" w:type="dxa"/>
            <w:shd w:val="clear" w:color="000000" w:fill="F2F2F2"/>
            <w:noWrap/>
            <w:vAlign w:val="center"/>
            <w:hideMark/>
          </w:tcPr>
          <w:p w14:paraId="44AEB4B2"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$ 515.330</w:t>
            </w:r>
          </w:p>
        </w:tc>
        <w:tc>
          <w:tcPr>
            <w:tcW w:w="1200" w:type="dxa"/>
            <w:shd w:val="clear" w:color="000000" w:fill="F2F2F2"/>
            <w:noWrap/>
            <w:vAlign w:val="center"/>
            <w:hideMark/>
          </w:tcPr>
          <w:p w14:paraId="7D56E781"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$ 21</w:t>
            </w:r>
          </w:p>
        </w:tc>
        <w:tc>
          <w:tcPr>
            <w:tcW w:w="1289" w:type="dxa"/>
            <w:shd w:val="clear" w:color="000000" w:fill="F2F2F2"/>
            <w:noWrap/>
            <w:vAlign w:val="center"/>
            <w:hideMark/>
          </w:tcPr>
          <w:p w14:paraId="09FC2DB6"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$ 515.352</w:t>
            </w:r>
          </w:p>
        </w:tc>
      </w:tr>
      <w:tr w:rsidR="00382869" w:rsidRPr="00053706" w14:paraId="4B852A6B" w14:textId="77777777" w:rsidTr="009A29B8">
        <w:trPr>
          <w:trHeight w:val="465"/>
        </w:trPr>
        <w:tc>
          <w:tcPr>
            <w:tcW w:w="407" w:type="dxa"/>
            <w:shd w:val="clear" w:color="000000" w:fill="F2F2F2"/>
            <w:noWrap/>
            <w:vAlign w:val="center"/>
            <w:hideMark/>
          </w:tcPr>
          <w:p w14:paraId="0080CFC1" w14:textId="77777777" w:rsidR="00382869" w:rsidRPr="00053706" w:rsidRDefault="00382869" w:rsidP="00D22441">
            <w:pPr>
              <w:jc w:val="center"/>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146</w:t>
            </w:r>
          </w:p>
        </w:tc>
        <w:tc>
          <w:tcPr>
            <w:tcW w:w="585" w:type="dxa"/>
            <w:shd w:val="clear" w:color="000000" w:fill="F2F2F2"/>
            <w:noWrap/>
            <w:vAlign w:val="center"/>
            <w:hideMark/>
          </w:tcPr>
          <w:p w14:paraId="68AED609"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56126</w:t>
            </w:r>
          </w:p>
        </w:tc>
        <w:tc>
          <w:tcPr>
            <w:tcW w:w="941" w:type="dxa"/>
            <w:shd w:val="clear" w:color="000000" w:fill="F2F2F2"/>
            <w:noWrap/>
            <w:vAlign w:val="center"/>
            <w:hideMark/>
          </w:tcPr>
          <w:p w14:paraId="1655F695"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901335349</w:t>
            </w:r>
          </w:p>
        </w:tc>
        <w:tc>
          <w:tcPr>
            <w:tcW w:w="3533" w:type="dxa"/>
            <w:shd w:val="clear" w:color="000000" w:fill="F2F2F2"/>
            <w:vAlign w:val="center"/>
            <w:hideMark/>
          </w:tcPr>
          <w:p w14:paraId="7AE172DD" w14:textId="77777777" w:rsidR="00382869" w:rsidRPr="00053706" w:rsidRDefault="00382869" w:rsidP="00D22441">
            <w:pPr>
              <w:jc w:val="lef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TRINA SOLAR GENERADOR COLOMBIA - CARTAGO S.A.S E.</w:t>
            </w:r>
            <w:proofErr w:type="gramStart"/>
            <w:r w:rsidRPr="00053706">
              <w:rPr>
                <w:rFonts w:ascii="Arial Narrow" w:hAnsi="Arial Narrow" w:cs="Arial"/>
                <w:color w:val="000000"/>
                <w:spacing w:val="0"/>
                <w:sz w:val="16"/>
                <w:szCs w:val="16"/>
                <w:lang w:eastAsia="es-CO"/>
              </w:rPr>
              <w:t>S.P</w:t>
            </w:r>
            <w:proofErr w:type="gramEnd"/>
          </w:p>
        </w:tc>
        <w:tc>
          <w:tcPr>
            <w:tcW w:w="1520" w:type="dxa"/>
            <w:shd w:val="clear" w:color="000000" w:fill="F2F2F2"/>
            <w:noWrap/>
            <w:vAlign w:val="center"/>
            <w:hideMark/>
          </w:tcPr>
          <w:p w14:paraId="36008617"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$ 51.117.336</w:t>
            </w:r>
          </w:p>
        </w:tc>
        <w:tc>
          <w:tcPr>
            <w:tcW w:w="1360" w:type="dxa"/>
            <w:shd w:val="clear" w:color="000000" w:fill="F2F2F2"/>
            <w:noWrap/>
            <w:vAlign w:val="center"/>
            <w:hideMark/>
          </w:tcPr>
          <w:p w14:paraId="4D24F94B"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$ 0</w:t>
            </w:r>
          </w:p>
        </w:tc>
        <w:tc>
          <w:tcPr>
            <w:tcW w:w="1520" w:type="dxa"/>
            <w:shd w:val="clear" w:color="000000" w:fill="F2F2F2"/>
            <w:noWrap/>
            <w:vAlign w:val="center"/>
            <w:hideMark/>
          </w:tcPr>
          <w:p w14:paraId="1E7CA364"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$ 51.117.336</w:t>
            </w:r>
          </w:p>
        </w:tc>
        <w:tc>
          <w:tcPr>
            <w:tcW w:w="1200" w:type="dxa"/>
            <w:shd w:val="clear" w:color="000000" w:fill="F2F2F2"/>
            <w:noWrap/>
            <w:vAlign w:val="center"/>
            <w:hideMark/>
          </w:tcPr>
          <w:p w14:paraId="2E94F172"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$ 511.173</w:t>
            </w:r>
          </w:p>
        </w:tc>
        <w:tc>
          <w:tcPr>
            <w:tcW w:w="1200" w:type="dxa"/>
            <w:shd w:val="clear" w:color="000000" w:fill="F2F2F2"/>
            <w:noWrap/>
            <w:vAlign w:val="center"/>
            <w:hideMark/>
          </w:tcPr>
          <w:p w14:paraId="22FF6C25"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$ 21</w:t>
            </w:r>
          </w:p>
        </w:tc>
        <w:tc>
          <w:tcPr>
            <w:tcW w:w="1289" w:type="dxa"/>
            <w:shd w:val="clear" w:color="000000" w:fill="F2F2F2"/>
            <w:noWrap/>
            <w:vAlign w:val="center"/>
            <w:hideMark/>
          </w:tcPr>
          <w:p w14:paraId="3BE49717"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$ 511.195</w:t>
            </w:r>
          </w:p>
        </w:tc>
      </w:tr>
      <w:tr w:rsidR="00382869" w:rsidRPr="00053706" w14:paraId="3F2A7C38" w14:textId="77777777" w:rsidTr="009A29B8">
        <w:trPr>
          <w:trHeight w:val="313"/>
        </w:trPr>
        <w:tc>
          <w:tcPr>
            <w:tcW w:w="407" w:type="dxa"/>
            <w:shd w:val="clear" w:color="000000" w:fill="F2F2F2"/>
            <w:noWrap/>
            <w:vAlign w:val="center"/>
            <w:hideMark/>
          </w:tcPr>
          <w:p w14:paraId="4EB91546" w14:textId="77777777" w:rsidR="00382869" w:rsidRPr="00053706" w:rsidRDefault="00382869" w:rsidP="00D22441">
            <w:pPr>
              <w:jc w:val="center"/>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147</w:t>
            </w:r>
          </w:p>
        </w:tc>
        <w:tc>
          <w:tcPr>
            <w:tcW w:w="585" w:type="dxa"/>
            <w:shd w:val="clear" w:color="000000" w:fill="F2F2F2"/>
            <w:noWrap/>
            <w:vAlign w:val="center"/>
            <w:hideMark/>
          </w:tcPr>
          <w:p w14:paraId="2D72066E"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59010</w:t>
            </w:r>
          </w:p>
        </w:tc>
        <w:tc>
          <w:tcPr>
            <w:tcW w:w="941" w:type="dxa"/>
            <w:shd w:val="clear" w:color="000000" w:fill="F2F2F2"/>
            <w:noWrap/>
            <w:vAlign w:val="center"/>
            <w:hideMark/>
          </w:tcPr>
          <w:p w14:paraId="0A6D884D"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901345530</w:t>
            </w:r>
          </w:p>
        </w:tc>
        <w:tc>
          <w:tcPr>
            <w:tcW w:w="3533" w:type="dxa"/>
            <w:shd w:val="clear" w:color="000000" w:fill="F2F2F2"/>
            <w:vAlign w:val="center"/>
            <w:hideMark/>
          </w:tcPr>
          <w:p w14:paraId="27129963" w14:textId="77777777" w:rsidR="00382869" w:rsidRPr="00053706" w:rsidRDefault="00382869" w:rsidP="00D22441">
            <w:pPr>
              <w:jc w:val="lef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NOVA ENERGY STAR S.A.S. E.S.P.</w:t>
            </w:r>
          </w:p>
        </w:tc>
        <w:tc>
          <w:tcPr>
            <w:tcW w:w="1520" w:type="dxa"/>
            <w:shd w:val="clear" w:color="000000" w:fill="F2F2F2"/>
            <w:noWrap/>
            <w:vAlign w:val="center"/>
            <w:hideMark/>
          </w:tcPr>
          <w:p w14:paraId="0F933346"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$ 713.771.000</w:t>
            </w:r>
          </w:p>
        </w:tc>
        <w:tc>
          <w:tcPr>
            <w:tcW w:w="1360" w:type="dxa"/>
            <w:shd w:val="clear" w:color="000000" w:fill="F2F2F2"/>
            <w:noWrap/>
            <w:vAlign w:val="center"/>
            <w:hideMark/>
          </w:tcPr>
          <w:p w14:paraId="1D22C2C6"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$ 3.841.855</w:t>
            </w:r>
          </w:p>
        </w:tc>
        <w:tc>
          <w:tcPr>
            <w:tcW w:w="1520" w:type="dxa"/>
            <w:shd w:val="clear" w:color="000000" w:fill="F2F2F2"/>
            <w:noWrap/>
            <w:vAlign w:val="center"/>
            <w:hideMark/>
          </w:tcPr>
          <w:p w14:paraId="5996DE33"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$ 717.612.855</w:t>
            </w:r>
          </w:p>
        </w:tc>
        <w:tc>
          <w:tcPr>
            <w:tcW w:w="1200" w:type="dxa"/>
            <w:shd w:val="clear" w:color="000000" w:fill="F2F2F2"/>
            <w:noWrap/>
            <w:vAlign w:val="center"/>
            <w:hideMark/>
          </w:tcPr>
          <w:p w14:paraId="0BD7342E"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$ 7.176.129</w:t>
            </w:r>
          </w:p>
        </w:tc>
        <w:tc>
          <w:tcPr>
            <w:tcW w:w="1200" w:type="dxa"/>
            <w:shd w:val="clear" w:color="000000" w:fill="F2F2F2"/>
            <w:noWrap/>
            <w:vAlign w:val="center"/>
            <w:hideMark/>
          </w:tcPr>
          <w:p w14:paraId="59F98088"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$ 299</w:t>
            </w:r>
          </w:p>
        </w:tc>
        <w:tc>
          <w:tcPr>
            <w:tcW w:w="1289" w:type="dxa"/>
            <w:shd w:val="clear" w:color="000000" w:fill="F2F2F2"/>
            <w:noWrap/>
            <w:vAlign w:val="center"/>
            <w:hideMark/>
          </w:tcPr>
          <w:p w14:paraId="53C4C79C"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$ 7.176.427</w:t>
            </w:r>
          </w:p>
        </w:tc>
      </w:tr>
      <w:tr w:rsidR="00382869" w:rsidRPr="00053706" w14:paraId="500F004B" w14:textId="77777777" w:rsidTr="009A29B8">
        <w:trPr>
          <w:trHeight w:val="391"/>
        </w:trPr>
        <w:tc>
          <w:tcPr>
            <w:tcW w:w="407" w:type="dxa"/>
            <w:shd w:val="clear" w:color="000000" w:fill="F2F2F2"/>
            <w:noWrap/>
            <w:vAlign w:val="center"/>
            <w:hideMark/>
          </w:tcPr>
          <w:p w14:paraId="5BEC544C" w14:textId="77777777" w:rsidR="00382869" w:rsidRPr="00053706" w:rsidRDefault="00382869" w:rsidP="00D22441">
            <w:pPr>
              <w:jc w:val="center"/>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148</w:t>
            </w:r>
          </w:p>
        </w:tc>
        <w:tc>
          <w:tcPr>
            <w:tcW w:w="585" w:type="dxa"/>
            <w:shd w:val="clear" w:color="000000" w:fill="F2F2F2"/>
            <w:noWrap/>
            <w:vAlign w:val="center"/>
            <w:hideMark/>
          </w:tcPr>
          <w:p w14:paraId="146ACD4A"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48343</w:t>
            </w:r>
          </w:p>
        </w:tc>
        <w:tc>
          <w:tcPr>
            <w:tcW w:w="941" w:type="dxa"/>
            <w:shd w:val="clear" w:color="000000" w:fill="F2F2F2"/>
            <w:noWrap/>
            <w:vAlign w:val="center"/>
            <w:hideMark/>
          </w:tcPr>
          <w:p w14:paraId="60525604"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901371247</w:t>
            </w:r>
          </w:p>
        </w:tc>
        <w:tc>
          <w:tcPr>
            <w:tcW w:w="3533" w:type="dxa"/>
            <w:shd w:val="clear" w:color="000000" w:fill="F2F2F2"/>
            <w:vAlign w:val="center"/>
            <w:hideMark/>
          </w:tcPr>
          <w:p w14:paraId="51BAB1E4" w14:textId="77777777" w:rsidR="00382869" w:rsidRPr="00053706" w:rsidRDefault="00382869" w:rsidP="00D22441">
            <w:pPr>
              <w:jc w:val="lef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ENERGIA LIMPIA Y EFICIENTE SAS ESP</w:t>
            </w:r>
          </w:p>
        </w:tc>
        <w:tc>
          <w:tcPr>
            <w:tcW w:w="1520" w:type="dxa"/>
            <w:shd w:val="clear" w:color="000000" w:fill="F2F2F2"/>
            <w:noWrap/>
            <w:vAlign w:val="center"/>
            <w:hideMark/>
          </w:tcPr>
          <w:p w14:paraId="02475AE3"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$ 2.373.468.000</w:t>
            </w:r>
          </w:p>
        </w:tc>
        <w:tc>
          <w:tcPr>
            <w:tcW w:w="1360" w:type="dxa"/>
            <w:shd w:val="clear" w:color="000000" w:fill="F2F2F2"/>
            <w:noWrap/>
            <w:vAlign w:val="center"/>
            <w:hideMark/>
          </w:tcPr>
          <w:p w14:paraId="06766EE4"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$ 2.633.845</w:t>
            </w:r>
          </w:p>
        </w:tc>
        <w:tc>
          <w:tcPr>
            <w:tcW w:w="1520" w:type="dxa"/>
            <w:shd w:val="clear" w:color="000000" w:fill="F2F2F2"/>
            <w:noWrap/>
            <w:vAlign w:val="center"/>
            <w:hideMark/>
          </w:tcPr>
          <w:p w14:paraId="0888CBB1"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$ 2.376.101.845</w:t>
            </w:r>
          </w:p>
        </w:tc>
        <w:tc>
          <w:tcPr>
            <w:tcW w:w="1200" w:type="dxa"/>
            <w:shd w:val="clear" w:color="000000" w:fill="F2F2F2"/>
            <w:noWrap/>
            <w:vAlign w:val="center"/>
            <w:hideMark/>
          </w:tcPr>
          <w:p w14:paraId="02FB0BE1"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$ 23.761.018</w:t>
            </w:r>
          </w:p>
        </w:tc>
        <w:tc>
          <w:tcPr>
            <w:tcW w:w="1200" w:type="dxa"/>
            <w:shd w:val="clear" w:color="000000" w:fill="F2F2F2"/>
            <w:noWrap/>
            <w:vAlign w:val="center"/>
            <w:hideMark/>
          </w:tcPr>
          <w:p w14:paraId="74035F00"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$ 989</w:t>
            </w:r>
          </w:p>
        </w:tc>
        <w:tc>
          <w:tcPr>
            <w:tcW w:w="1289" w:type="dxa"/>
            <w:shd w:val="clear" w:color="000000" w:fill="F2F2F2"/>
            <w:noWrap/>
            <w:vAlign w:val="center"/>
            <w:hideMark/>
          </w:tcPr>
          <w:p w14:paraId="40607901"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$ 23.762.007</w:t>
            </w:r>
          </w:p>
        </w:tc>
      </w:tr>
      <w:tr w:rsidR="00382869" w:rsidRPr="00053706" w14:paraId="359068B6" w14:textId="77777777" w:rsidTr="009A29B8">
        <w:trPr>
          <w:trHeight w:val="201"/>
        </w:trPr>
        <w:tc>
          <w:tcPr>
            <w:tcW w:w="407" w:type="dxa"/>
            <w:shd w:val="clear" w:color="000000" w:fill="F2F2F2"/>
            <w:noWrap/>
            <w:vAlign w:val="center"/>
            <w:hideMark/>
          </w:tcPr>
          <w:p w14:paraId="6A8B0A6C" w14:textId="77777777" w:rsidR="00382869" w:rsidRPr="00053706" w:rsidRDefault="00382869" w:rsidP="00D22441">
            <w:pPr>
              <w:jc w:val="center"/>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149</w:t>
            </w:r>
          </w:p>
        </w:tc>
        <w:tc>
          <w:tcPr>
            <w:tcW w:w="585" w:type="dxa"/>
            <w:shd w:val="clear" w:color="000000" w:fill="F2F2F2"/>
            <w:noWrap/>
            <w:vAlign w:val="center"/>
            <w:hideMark/>
          </w:tcPr>
          <w:p w14:paraId="731BAE84"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48307</w:t>
            </w:r>
          </w:p>
        </w:tc>
        <w:tc>
          <w:tcPr>
            <w:tcW w:w="941" w:type="dxa"/>
            <w:shd w:val="clear" w:color="000000" w:fill="F2F2F2"/>
            <w:noWrap/>
            <w:vAlign w:val="center"/>
            <w:hideMark/>
          </w:tcPr>
          <w:p w14:paraId="080303A1"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901380930</w:t>
            </w:r>
          </w:p>
        </w:tc>
        <w:tc>
          <w:tcPr>
            <w:tcW w:w="3533" w:type="dxa"/>
            <w:shd w:val="clear" w:color="000000" w:fill="F2F2F2"/>
            <w:vAlign w:val="center"/>
            <w:hideMark/>
          </w:tcPr>
          <w:p w14:paraId="76AEECC2" w14:textId="77777777" w:rsidR="00382869" w:rsidRPr="00053706" w:rsidRDefault="00382869" w:rsidP="00D22441">
            <w:pPr>
              <w:jc w:val="lef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AIR-E S.A.S. E.S.P.</w:t>
            </w:r>
          </w:p>
        </w:tc>
        <w:tc>
          <w:tcPr>
            <w:tcW w:w="1520" w:type="dxa"/>
            <w:shd w:val="clear" w:color="000000" w:fill="F2F2F2"/>
            <w:noWrap/>
            <w:vAlign w:val="center"/>
            <w:hideMark/>
          </w:tcPr>
          <w:p w14:paraId="2FBDD44D"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$ 64.590.248.000</w:t>
            </w:r>
          </w:p>
        </w:tc>
        <w:tc>
          <w:tcPr>
            <w:tcW w:w="1360" w:type="dxa"/>
            <w:shd w:val="clear" w:color="000000" w:fill="F2F2F2"/>
            <w:noWrap/>
            <w:vAlign w:val="center"/>
            <w:hideMark/>
          </w:tcPr>
          <w:p w14:paraId="20865156"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$ 24.079.805.668</w:t>
            </w:r>
          </w:p>
        </w:tc>
        <w:tc>
          <w:tcPr>
            <w:tcW w:w="1520" w:type="dxa"/>
            <w:shd w:val="clear" w:color="000000" w:fill="F2F2F2"/>
            <w:noWrap/>
            <w:vAlign w:val="center"/>
            <w:hideMark/>
          </w:tcPr>
          <w:p w14:paraId="5BEB0F08"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$ 88.670.053.668</w:t>
            </w:r>
          </w:p>
        </w:tc>
        <w:tc>
          <w:tcPr>
            <w:tcW w:w="1200" w:type="dxa"/>
            <w:shd w:val="clear" w:color="000000" w:fill="F2F2F2"/>
            <w:noWrap/>
            <w:vAlign w:val="center"/>
            <w:hideMark/>
          </w:tcPr>
          <w:p w14:paraId="63AC87FC"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$ 886.700.537</w:t>
            </w:r>
          </w:p>
        </w:tc>
        <w:tc>
          <w:tcPr>
            <w:tcW w:w="1200" w:type="dxa"/>
            <w:shd w:val="clear" w:color="000000" w:fill="F2F2F2"/>
            <w:noWrap/>
            <w:vAlign w:val="center"/>
            <w:hideMark/>
          </w:tcPr>
          <w:p w14:paraId="6CE9C5D5"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$ 36.901</w:t>
            </w:r>
          </w:p>
        </w:tc>
        <w:tc>
          <w:tcPr>
            <w:tcW w:w="1289" w:type="dxa"/>
            <w:shd w:val="clear" w:color="000000" w:fill="F2F2F2"/>
            <w:noWrap/>
            <w:vAlign w:val="center"/>
            <w:hideMark/>
          </w:tcPr>
          <w:p w14:paraId="5F575CCF"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$ 886.737.438</w:t>
            </w:r>
          </w:p>
        </w:tc>
      </w:tr>
      <w:tr w:rsidR="00382869" w:rsidRPr="00053706" w14:paraId="1A4EE1A8" w14:textId="77777777" w:rsidTr="009A29B8">
        <w:trPr>
          <w:trHeight w:val="249"/>
        </w:trPr>
        <w:tc>
          <w:tcPr>
            <w:tcW w:w="407" w:type="dxa"/>
            <w:shd w:val="clear" w:color="000000" w:fill="F2F2F2"/>
            <w:noWrap/>
            <w:vAlign w:val="center"/>
            <w:hideMark/>
          </w:tcPr>
          <w:p w14:paraId="000DDD19" w14:textId="77777777" w:rsidR="00382869" w:rsidRPr="00053706" w:rsidRDefault="00382869" w:rsidP="00D22441">
            <w:pPr>
              <w:jc w:val="center"/>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150</w:t>
            </w:r>
          </w:p>
        </w:tc>
        <w:tc>
          <w:tcPr>
            <w:tcW w:w="585" w:type="dxa"/>
            <w:shd w:val="clear" w:color="000000" w:fill="F2F2F2"/>
            <w:noWrap/>
            <w:vAlign w:val="center"/>
            <w:hideMark/>
          </w:tcPr>
          <w:p w14:paraId="2EE7A66E"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48305</w:t>
            </w:r>
          </w:p>
        </w:tc>
        <w:tc>
          <w:tcPr>
            <w:tcW w:w="941" w:type="dxa"/>
            <w:shd w:val="clear" w:color="000000" w:fill="F2F2F2"/>
            <w:noWrap/>
            <w:vAlign w:val="center"/>
            <w:hideMark/>
          </w:tcPr>
          <w:p w14:paraId="07E89319"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901380949</w:t>
            </w:r>
          </w:p>
        </w:tc>
        <w:tc>
          <w:tcPr>
            <w:tcW w:w="3533" w:type="dxa"/>
            <w:shd w:val="clear" w:color="000000" w:fill="F2F2F2"/>
            <w:vAlign w:val="center"/>
            <w:hideMark/>
          </w:tcPr>
          <w:p w14:paraId="005FCBA0" w14:textId="77777777" w:rsidR="00382869" w:rsidRPr="00053706" w:rsidRDefault="00382869" w:rsidP="00D22441">
            <w:pPr>
              <w:jc w:val="lef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CARIBEMAR DE LA COSTA S.A.S. E.S.P.</w:t>
            </w:r>
          </w:p>
        </w:tc>
        <w:tc>
          <w:tcPr>
            <w:tcW w:w="1520" w:type="dxa"/>
            <w:shd w:val="clear" w:color="000000" w:fill="F2F2F2"/>
            <w:noWrap/>
            <w:vAlign w:val="center"/>
            <w:hideMark/>
          </w:tcPr>
          <w:p w14:paraId="76136CAC"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$ 45.485.733.000</w:t>
            </w:r>
          </w:p>
        </w:tc>
        <w:tc>
          <w:tcPr>
            <w:tcW w:w="1360" w:type="dxa"/>
            <w:shd w:val="clear" w:color="000000" w:fill="F2F2F2"/>
            <w:noWrap/>
            <w:vAlign w:val="center"/>
            <w:hideMark/>
          </w:tcPr>
          <w:p w14:paraId="623D017D"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$ 23.472.253.647</w:t>
            </w:r>
          </w:p>
        </w:tc>
        <w:tc>
          <w:tcPr>
            <w:tcW w:w="1520" w:type="dxa"/>
            <w:shd w:val="clear" w:color="000000" w:fill="F2F2F2"/>
            <w:noWrap/>
            <w:vAlign w:val="center"/>
            <w:hideMark/>
          </w:tcPr>
          <w:p w14:paraId="596EFC23"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$ 68.957.986.647</w:t>
            </w:r>
          </w:p>
        </w:tc>
        <w:tc>
          <w:tcPr>
            <w:tcW w:w="1200" w:type="dxa"/>
            <w:shd w:val="clear" w:color="000000" w:fill="F2F2F2"/>
            <w:noWrap/>
            <w:vAlign w:val="center"/>
            <w:hideMark/>
          </w:tcPr>
          <w:p w14:paraId="11CBC1DB"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$ 689.579.866</w:t>
            </w:r>
          </w:p>
        </w:tc>
        <w:tc>
          <w:tcPr>
            <w:tcW w:w="1200" w:type="dxa"/>
            <w:shd w:val="clear" w:color="000000" w:fill="F2F2F2"/>
            <w:noWrap/>
            <w:vAlign w:val="center"/>
            <w:hideMark/>
          </w:tcPr>
          <w:p w14:paraId="50D89AB1"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$ 28.698</w:t>
            </w:r>
          </w:p>
        </w:tc>
        <w:tc>
          <w:tcPr>
            <w:tcW w:w="1289" w:type="dxa"/>
            <w:shd w:val="clear" w:color="000000" w:fill="F2F2F2"/>
            <w:noWrap/>
            <w:vAlign w:val="center"/>
            <w:hideMark/>
          </w:tcPr>
          <w:p w14:paraId="20B3519E"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$ 689.608.564</w:t>
            </w:r>
          </w:p>
        </w:tc>
      </w:tr>
      <w:tr w:rsidR="00382869" w:rsidRPr="00053706" w14:paraId="28A40D2C" w14:textId="77777777" w:rsidTr="009A29B8">
        <w:trPr>
          <w:trHeight w:val="251"/>
        </w:trPr>
        <w:tc>
          <w:tcPr>
            <w:tcW w:w="407" w:type="dxa"/>
            <w:shd w:val="clear" w:color="000000" w:fill="F2F2F2"/>
            <w:noWrap/>
            <w:vAlign w:val="center"/>
            <w:hideMark/>
          </w:tcPr>
          <w:p w14:paraId="5F33B9E7" w14:textId="77777777" w:rsidR="00382869" w:rsidRPr="00053706" w:rsidRDefault="00382869" w:rsidP="00D22441">
            <w:pPr>
              <w:jc w:val="center"/>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151</w:t>
            </w:r>
          </w:p>
        </w:tc>
        <w:tc>
          <w:tcPr>
            <w:tcW w:w="585" w:type="dxa"/>
            <w:shd w:val="clear" w:color="000000" w:fill="F2F2F2"/>
            <w:noWrap/>
            <w:vAlign w:val="center"/>
            <w:hideMark/>
          </w:tcPr>
          <w:p w14:paraId="5E6FC4E2"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50205</w:t>
            </w:r>
          </w:p>
        </w:tc>
        <w:tc>
          <w:tcPr>
            <w:tcW w:w="941" w:type="dxa"/>
            <w:shd w:val="clear" w:color="000000" w:fill="F2F2F2"/>
            <w:noWrap/>
            <w:vAlign w:val="center"/>
            <w:hideMark/>
          </w:tcPr>
          <w:p w14:paraId="00E0F682"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901409438</w:t>
            </w:r>
          </w:p>
        </w:tc>
        <w:tc>
          <w:tcPr>
            <w:tcW w:w="3533" w:type="dxa"/>
            <w:shd w:val="clear" w:color="000000" w:fill="F2F2F2"/>
            <w:vAlign w:val="center"/>
            <w:hideMark/>
          </w:tcPr>
          <w:p w14:paraId="515D9BFD" w14:textId="77777777" w:rsidR="00382869" w:rsidRPr="00053706" w:rsidRDefault="00382869" w:rsidP="00D22441">
            <w:pPr>
              <w:jc w:val="left"/>
              <w:rPr>
                <w:rFonts w:ascii="Arial Narrow" w:hAnsi="Arial Narrow" w:cs="Arial"/>
                <w:color w:val="000000"/>
                <w:spacing w:val="0"/>
                <w:sz w:val="16"/>
                <w:szCs w:val="16"/>
                <w:lang w:val="en-GB" w:eastAsia="es-CO"/>
              </w:rPr>
            </w:pPr>
            <w:r w:rsidRPr="00053706">
              <w:rPr>
                <w:rFonts w:ascii="Arial Narrow" w:hAnsi="Arial Narrow" w:cs="Arial"/>
                <w:color w:val="000000"/>
                <w:spacing w:val="0"/>
                <w:sz w:val="16"/>
                <w:szCs w:val="16"/>
                <w:lang w:val="en-GB" w:eastAsia="es-CO"/>
              </w:rPr>
              <w:t>GAP ENERGY GROUP S.A.S ESP</w:t>
            </w:r>
          </w:p>
        </w:tc>
        <w:tc>
          <w:tcPr>
            <w:tcW w:w="1520" w:type="dxa"/>
            <w:shd w:val="clear" w:color="000000" w:fill="F2F2F2"/>
            <w:noWrap/>
            <w:vAlign w:val="center"/>
            <w:hideMark/>
          </w:tcPr>
          <w:p w14:paraId="0F360CAF"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$ 948.981.000</w:t>
            </w:r>
          </w:p>
        </w:tc>
        <w:tc>
          <w:tcPr>
            <w:tcW w:w="1360" w:type="dxa"/>
            <w:shd w:val="clear" w:color="000000" w:fill="F2F2F2"/>
            <w:noWrap/>
            <w:vAlign w:val="center"/>
            <w:hideMark/>
          </w:tcPr>
          <w:p w14:paraId="2791575D"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$ 0</w:t>
            </w:r>
          </w:p>
        </w:tc>
        <w:tc>
          <w:tcPr>
            <w:tcW w:w="1520" w:type="dxa"/>
            <w:shd w:val="clear" w:color="000000" w:fill="F2F2F2"/>
            <w:noWrap/>
            <w:vAlign w:val="center"/>
            <w:hideMark/>
          </w:tcPr>
          <w:p w14:paraId="0DD150B2"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$ 948.981.000</w:t>
            </w:r>
          </w:p>
        </w:tc>
        <w:tc>
          <w:tcPr>
            <w:tcW w:w="1200" w:type="dxa"/>
            <w:shd w:val="clear" w:color="000000" w:fill="F2F2F2"/>
            <w:noWrap/>
            <w:vAlign w:val="center"/>
            <w:hideMark/>
          </w:tcPr>
          <w:p w14:paraId="32118233"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$ 9.489.810</w:t>
            </w:r>
          </w:p>
        </w:tc>
        <w:tc>
          <w:tcPr>
            <w:tcW w:w="1200" w:type="dxa"/>
            <w:shd w:val="clear" w:color="000000" w:fill="F2F2F2"/>
            <w:noWrap/>
            <w:vAlign w:val="center"/>
            <w:hideMark/>
          </w:tcPr>
          <w:p w14:paraId="64BCA795"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$ 395</w:t>
            </w:r>
          </w:p>
        </w:tc>
        <w:tc>
          <w:tcPr>
            <w:tcW w:w="1289" w:type="dxa"/>
            <w:shd w:val="clear" w:color="000000" w:fill="F2F2F2"/>
            <w:noWrap/>
            <w:vAlign w:val="center"/>
            <w:hideMark/>
          </w:tcPr>
          <w:p w14:paraId="3475DCCA"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$ 9.490.205</w:t>
            </w:r>
          </w:p>
        </w:tc>
      </w:tr>
      <w:tr w:rsidR="00382869" w:rsidRPr="00053706" w14:paraId="3D74DFD7" w14:textId="77777777" w:rsidTr="009A29B8">
        <w:trPr>
          <w:trHeight w:val="305"/>
        </w:trPr>
        <w:tc>
          <w:tcPr>
            <w:tcW w:w="407" w:type="dxa"/>
            <w:shd w:val="clear" w:color="000000" w:fill="F2F2F2"/>
            <w:noWrap/>
            <w:vAlign w:val="center"/>
            <w:hideMark/>
          </w:tcPr>
          <w:p w14:paraId="389A1804" w14:textId="77777777" w:rsidR="00382869" w:rsidRPr="00053706" w:rsidRDefault="00382869" w:rsidP="00D22441">
            <w:pPr>
              <w:jc w:val="center"/>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152</w:t>
            </w:r>
          </w:p>
        </w:tc>
        <w:tc>
          <w:tcPr>
            <w:tcW w:w="585" w:type="dxa"/>
            <w:shd w:val="clear" w:color="000000" w:fill="F2F2F2"/>
            <w:noWrap/>
            <w:vAlign w:val="center"/>
            <w:hideMark/>
          </w:tcPr>
          <w:p w14:paraId="0A9832CA"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51566</w:t>
            </w:r>
          </w:p>
        </w:tc>
        <w:tc>
          <w:tcPr>
            <w:tcW w:w="941" w:type="dxa"/>
            <w:shd w:val="clear" w:color="000000" w:fill="F2F2F2"/>
            <w:noWrap/>
            <w:vAlign w:val="center"/>
            <w:hideMark/>
          </w:tcPr>
          <w:p w14:paraId="0BE120FD"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901426492</w:t>
            </w:r>
          </w:p>
        </w:tc>
        <w:tc>
          <w:tcPr>
            <w:tcW w:w="3533" w:type="dxa"/>
            <w:shd w:val="clear" w:color="000000" w:fill="F2F2F2"/>
            <w:vAlign w:val="center"/>
            <w:hideMark/>
          </w:tcPr>
          <w:p w14:paraId="56BB46D3" w14:textId="77777777" w:rsidR="00382869" w:rsidRPr="00053706" w:rsidRDefault="00382869" w:rsidP="00D22441">
            <w:pPr>
              <w:jc w:val="lef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BIOPLANET SERVICES SAS ESP</w:t>
            </w:r>
          </w:p>
        </w:tc>
        <w:tc>
          <w:tcPr>
            <w:tcW w:w="1520" w:type="dxa"/>
            <w:shd w:val="clear" w:color="000000" w:fill="F2F2F2"/>
            <w:noWrap/>
            <w:vAlign w:val="center"/>
            <w:hideMark/>
          </w:tcPr>
          <w:p w14:paraId="69990057"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$ 98.679.000</w:t>
            </w:r>
          </w:p>
        </w:tc>
        <w:tc>
          <w:tcPr>
            <w:tcW w:w="1360" w:type="dxa"/>
            <w:shd w:val="clear" w:color="000000" w:fill="F2F2F2"/>
            <w:noWrap/>
            <w:vAlign w:val="center"/>
            <w:hideMark/>
          </w:tcPr>
          <w:p w14:paraId="2DAEF4D4"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$ 0</w:t>
            </w:r>
          </w:p>
        </w:tc>
        <w:tc>
          <w:tcPr>
            <w:tcW w:w="1520" w:type="dxa"/>
            <w:shd w:val="clear" w:color="000000" w:fill="F2F2F2"/>
            <w:noWrap/>
            <w:vAlign w:val="center"/>
            <w:hideMark/>
          </w:tcPr>
          <w:p w14:paraId="2BF34015"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$ 98.679.000</w:t>
            </w:r>
          </w:p>
        </w:tc>
        <w:tc>
          <w:tcPr>
            <w:tcW w:w="1200" w:type="dxa"/>
            <w:shd w:val="clear" w:color="000000" w:fill="F2F2F2"/>
            <w:noWrap/>
            <w:vAlign w:val="center"/>
            <w:hideMark/>
          </w:tcPr>
          <w:p w14:paraId="2DEE4204"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$ 986.790</w:t>
            </w:r>
          </w:p>
        </w:tc>
        <w:tc>
          <w:tcPr>
            <w:tcW w:w="1200" w:type="dxa"/>
            <w:shd w:val="clear" w:color="000000" w:fill="F2F2F2"/>
            <w:noWrap/>
            <w:vAlign w:val="center"/>
            <w:hideMark/>
          </w:tcPr>
          <w:p w14:paraId="28676BDF"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$ 41</w:t>
            </w:r>
          </w:p>
        </w:tc>
        <w:tc>
          <w:tcPr>
            <w:tcW w:w="1289" w:type="dxa"/>
            <w:shd w:val="clear" w:color="000000" w:fill="F2F2F2"/>
            <w:noWrap/>
            <w:vAlign w:val="center"/>
            <w:hideMark/>
          </w:tcPr>
          <w:p w14:paraId="22A20A61"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$ 986.831</w:t>
            </w:r>
          </w:p>
        </w:tc>
      </w:tr>
      <w:tr w:rsidR="00382869" w:rsidRPr="00053706" w14:paraId="7634AC8E" w14:textId="77777777" w:rsidTr="009A29B8">
        <w:trPr>
          <w:trHeight w:val="339"/>
        </w:trPr>
        <w:tc>
          <w:tcPr>
            <w:tcW w:w="407" w:type="dxa"/>
            <w:shd w:val="clear" w:color="000000" w:fill="F2F2F2"/>
            <w:noWrap/>
            <w:vAlign w:val="center"/>
            <w:hideMark/>
          </w:tcPr>
          <w:p w14:paraId="47BC0236" w14:textId="77777777" w:rsidR="00382869" w:rsidRPr="00053706" w:rsidRDefault="00382869" w:rsidP="00D22441">
            <w:pPr>
              <w:jc w:val="center"/>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153</w:t>
            </w:r>
          </w:p>
        </w:tc>
        <w:tc>
          <w:tcPr>
            <w:tcW w:w="585" w:type="dxa"/>
            <w:shd w:val="clear" w:color="000000" w:fill="F2F2F2"/>
            <w:noWrap/>
            <w:vAlign w:val="center"/>
            <w:hideMark/>
          </w:tcPr>
          <w:p w14:paraId="12ADB9EC"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62292</w:t>
            </w:r>
          </w:p>
        </w:tc>
        <w:tc>
          <w:tcPr>
            <w:tcW w:w="941" w:type="dxa"/>
            <w:shd w:val="clear" w:color="000000" w:fill="F2F2F2"/>
            <w:noWrap/>
            <w:vAlign w:val="center"/>
            <w:hideMark/>
          </w:tcPr>
          <w:p w14:paraId="2DC24038"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901496875</w:t>
            </w:r>
          </w:p>
        </w:tc>
        <w:tc>
          <w:tcPr>
            <w:tcW w:w="3533" w:type="dxa"/>
            <w:shd w:val="clear" w:color="000000" w:fill="F2F2F2"/>
            <w:vAlign w:val="center"/>
            <w:hideMark/>
          </w:tcPr>
          <w:p w14:paraId="102661A3" w14:textId="77777777" w:rsidR="00382869" w:rsidRPr="00053706" w:rsidRDefault="00382869" w:rsidP="00D22441">
            <w:pPr>
              <w:jc w:val="lef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Parque Solar Los Girasoles SAS ESP</w:t>
            </w:r>
          </w:p>
        </w:tc>
        <w:tc>
          <w:tcPr>
            <w:tcW w:w="1520" w:type="dxa"/>
            <w:shd w:val="clear" w:color="000000" w:fill="F2F2F2"/>
            <w:noWrap/>
            <w:vAlign w:val="center"/>
            <w:hideMark/>
          </w:tcPr>
          <w:p w14:paraId="2B7C7405"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$ 3.677.544.000</w:t>
            </w:r>
          </w:p>
        </w:tc>
        <w:tc>
          <w:tcPr>
            <w:tcW w:w="1360" w:type="dxa"/>
            <w:shd w:val="clear" w:color="000000" w:fill="F2F2F2"/>
            <w:noWrap/>
            <w:vAlign w:val="center"/>
            <w:hideMark/>
          </w:tcPr>
          <w:p w14:paraId="607BBA6F"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$ 0</w:t>
            </w:r>
          </w:p>
        </w:tc>
        <w:tc>
          <w:tcPr>
            <w:tcW w:w="1520" w:type="dxa"/>
            <w:shd w:val="clear" w:color="000000" w:fill="F2F2F2"/>
            <w:noWrap/>
            <w:vAlign w:val="center"/>
            <w:hideMark/>
          </w:tcPr>
          <w:p w14:paraId="05AC0D45"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$ 3.677.544.000</w:t>
            </w:r>
          </w:p>
        </w:tc>
        <w:tc>
          <w:tcPr>
            <w:tcW w:w="1200" w:type="dxa"/>
            <w:shd w:val="clear" w:color="000000" w:fill="F2F2F2"/>
            <w:noWrap/>
            <w:vAlign w:val="center"/>
            <w:hideMark/>
          </w:tcPr>
          <w:p w14:paraId="3485B47C"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$ 36.775.440</w:t>
            </w:r>
          </w:p>
        </w:tc>
        <w:tc>
          <w:tcPr>
            <w:tcW w:w="1200" w:type="dxa"/>
            <w:shd w:val="clear" w:color="000000" w:fill="F2F2F2"/>
            <w:noWrap/>
            <w:vAlign w:val="center"/>
            <w:hideMark/>
          </w:tcPr>
          <w:p w14:paraId="0869B72B"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$ 1.530</w:t>
            </w:r>
          </w:p>
        </w:tc>
        <w:tc>
          <w:tcPr>
            <w:tcW w:w="1289" w:type="dxa"/>
            <w:shd w:val="clear" w:color="000000" w:fill="F2F2F2"/>
            <w:noWrap/>
            <w:vAlign w:val="center"/>
            <w:hideMark/>
          </w:tcPr>
          <w:p w14:paraId="5AA48FFC"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$ 36.776.970</w:t>
            </w:r>
          </w:p>
        </w:tc>
      </w:tr>
      <w:tr w:rsidR="00382869" w:rsidRPr="00053706" w14:paraId="36BFE2E7" w14:textId="77777777" w:rsidTr="009A29B8">
        <w:trPr>
          <w:trHeight w:val="245"/>
        </w:trPr>
        <w:tc>
          <w:tcPr>
            <w:tcW w:w="407" w:type="dxa"/>
            <w:shd w:val="clear" w:color="000000" w:fill="F2F2F2"/>
            <w:noWrap/>
            <w:vAlign w:val="center"/>
            <w:hideMark/>
          </w:tcPr>
          <w:p w14:paraId="5DCCC702" w14:textId="77777777" w:rsidR="00382869" w:rsidRPr="00053706" w:rsidRDefault="00382869" w:rsidP="00D22441">
            <w:pPr>
              <w:jc w:val="center"/>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154</w:t>
            </w:r>
          </w:p>
        </w:tc>
        <w:tc>
          <w:tcPr>
            <w:tcW w:w="585" w:type="dxa"/>
            <w:shd w:val="clear" w:color="000000" w:fill="F2F2F2"/>
            <w:noWrap/>
            <w:vAlign w:val="center"/>
            <w:hideMark/>
          </w:tcPr>
          <w:p w14:paraId="13FB88A6"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59850</w:t>
            </w:r>
          </w:p>
        </w:tc>
        <w:tc>
          <w:tcPr>
            <w:tcW w:w="941" w:type="dxa"/>
            <w:shd w:val="clear" w:color="000000" w:fill="F2F2F2"/>
            <w:noWrap/>
            <w:vAlign w:val="center"/>
            <w:hideMark/>
          </w:tcPr>
          <w:p w14:paraId="33B5F184"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901543313</w:t>
            </w:r>
          </w:p>
        </w:tc>
        <w:tc>
          <w:tcPr>
            <w:tcW w:w="3533" w:type="dxa"/>
            <w:shd w:val="clear" w:color="000000" w:fill="F2F2F2"/>
            <w:vAlign w:val="center"/>
            <w:hideMark/>
          </w:tcPr>
          <w:p w14:paraId="65FF2B0B" w14:textId="77777777" w:rsidR="00382869" w:rsidRPr="00053706" w:rsidRDefault="00382869" w:rsidP="00D22441">
            <w:pPr>
              <w:jc w:val="lef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ENERBIT SAS ESP</w:t>
            </w:r>
          </w:p>
        </w:tc>
        <w:tc>
          <w:tcPr>
            <w:tcW w:w="1520" w:type="dxa"/>
            <w:shd w:val="clear" w:color="000000" w:fill="F2F2F2"/>
            <w:noWrap/>
            <w:vAlign w:val="center"/>
            <w:hideMark/>
          </w:tcPr>
          <w:p w14:paraId="092339E3"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$ 3.626.168.000</w:t>
            </w:r>
          </w:p>
        </w:tc>
        <w:tc>
          <w:tcPr>
            <w:tcW w:w="1360" w:type="dxa"/>
            <w:shd w:val="clear" w:color="000000" w:fill="F2F2F2"/>
            <w:noWrap/>
            <w:vAlign w:val="center"/>
            <w:hideMark/>
          </w:tcPr>
          <w:p w14:paraId="27707ABB"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$ 6.734.486</w:t>
            </w:r>
          </w:p>
        </w:tc>
        <w:tc>
          <w:tcPr>
            <w:tcW w:w="1520" w:type="dxa"/>
            <w:shd w:val="clear" w:color="000000" w:fill="F2F2F2"/>
            <w:noWrap/>
            <w:vAlign w:val="center"/>
            <w:hideMark/>
          </w:tcPr>
          <w:p w14:paraId="2121136E"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$ 3.632.902.486</w:t>
            </w:r>
          </w:p>
        </w:tc>
        <w:tc>
          <w:tcPr>
            <w:tcW w:w="1200" w:type="dxa"/>
            <w:shd w:val="clear" w:color="000000" w:fill="F2F2F2"/>
            <w:noWrap/>
            <w:vAlign w:val="center"/>
            <w:hideMark/>
          </w:tcPr>
          <w:p w14:paraId="0CF31EFB"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$ 36.329.025</w:t>
            </w:r>
          </w:p>
        </w:tc>
        <w:tc>
          <w:tcPr>
            <w:tcW w:w="1200" w:type="dxa"/>
            <w:shd w:val="clear" w:color="000000" w:fill="F2F2F2"/>
            <w:noWrap/>
            <w:vAlign w:val="center"/>
            <w:hideMark/>
          </w:tcPr>
          <w:p w14:paraId="65F8499D"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$ 1.512</w:t>
            </w:r>
          </w:p>
        </w:tc>
        <w:tc>
          <w:tcPr>
            <w:tcW w:w="1289" w:type="dxa"/>
            <w:shd w:val="clear" w:color="000000" w:fill="F2F2F2"/>
            <w:noWrap/>
            <w:vAlign w:val="center"/>
            <w:hideMark/>
          </w:tcPr>
          <w:p w14:paraId="012D025A"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$ 36.330.537</w:t>
            </w:r>
          </w:p>
        </w:tc>
      </w:tr>
      <w:tr w:rsidR="00382869" w:rsidRPr="00053706" w14:paraId="612B79CF" w14:textId="77777777" w:rsidTr="009A29B8">
        <w:trPr>
          <w:trHeight w:val="465"/>
        </w:trPr>
        <w:tc>
          <w:tcPr>
            <w:tcW w:w="407" w:type="dxa"/>
            <w:shd w:val="clear" w:color="000000" w:fill="F2F2F2"/>
            <w:noWrap/>
            <w:vAlign w:val="center"/>
            <w:hideMark/>
          </w:tcPr>
          <w:p w14:paraId="7A709833" w14:textId="77777777" w:rsidR="00382869" w:rsidRPr="00053706" w:rsidRDefault="00382869" w:rsidP="00D22441">
            <w:pPr>
              <w:jc w:val="center"/>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155</w:t>
            </w:r>
          </w:p>
        </w:tc>
        <w:tc>
          <w:tcPr>
            <w:tcW w:w="585" w:type="dxa"/>
            <w:shd w:val="clear" w:color="000000" w:fill="F2F2F2"/>
            <w:noWrap/>
            <w:vAlign w:val="center"/>
            <w:hideMark/>
          </w:tcPr>
          <w:p w14:paraId="4C8BD17D"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61291</w:t>
            </w:r>
          </w:p>
        </w:tc>
        <w:tc>
          <w:tcPr>
            <w:tcW w:w="941" w:type="dxa"/>
            <w:shd w:val="clear" w:color="000000" w:fill="F2F2F2"/>
            <w:noWrap/>
            <w:vAlign w:val="center"/>
            <w:hideMark/>
          </w:tcPr>
          <w:p w14:paraId="2AF09715"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901574072</w:t>
            </w:r>
          </w:p>
        </w:tc>
        <w:tc>
          <w:tcPr>
            <w:tcW w:w="3533" w:type="dxa"/>
            <w:shd w:val="clear" w:color="000000" w:fill="F2F2F2"/>
            <w:vAlign w:val="center"/>
            <w:hideMark/>
          </w:tcPr>
          <w:p w14:paraId="6AE0BEF8" w14:textId="2251DCEF" w:rsidR="00382869" w:rsidRPr="00053706" w:rsidRDefault="00382869" w:rsidP="00D22441">
            <w:pPr>
              <w:jc w:val="lef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BTG PACTUAL COMERCIALIZADORA DE ENERGIA S.A.S. E.S.P.</w:t>
            </w:r>
          </w:p>
        </w:tc>
        <w:tc>
          <w:tcPr>
            <w:tcW w:w="1520" w:type="dxa"/>
            <w:shd w:val="clear" w:color="000000" w:fill="F2F2F2"/>
            <w:noWrap/>
            <w:vAlign w:val="center"/>
            <w:hideMark/>
          </w:tcPr>
          <w:p w14:paraId="4B0B0EBA"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$ 682.763.000</w:t>
            </w:r>
          </w:p>
        </w:tc>
        <w:tc>
          <w:tcPr>
            <w:tcW w:w="1360" w:type="dxa"/>
            <w:shd w:val="clear" w:color="000000" w:fill="F2F2F2"/>
            <w:noWrap/>
            <w:vAlign w:val="center"/>
            <w:hideMark/>
          </w:tcPr>
          <w:p w14:paraId="0240DF4C"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$ 45.302.075</w:t>
            </w:r>
          </w:p>
        </w:tc>
        <w:tc>
          <w:tcPr>
            <w:tcW w:w="1520" w:type="dxa"/>
            <w:shd w:val="clear" w:color="000000" w:fill="F2F2F2"/>
            <w:noWrap/>
            <w:vAlign w:val="center"/>
            <w:hideMark/>
          </w:tcPr>
          <w:p w14:paraId="0DC32567"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$ 728.065.075</w:t>
            </w:r>
          </w:p>
        </w:tc>
        <w:tc>
          <w:tcPr>
            <w:tcW w:w="1200" w:type="dxa"/>
            <w:shd w:val="clear" w:color="000000" w:fill="F2F2F2"/>
            <w:noWrap/>
            <w:vAlign w:val="center"/>
            <w:hideMark/>
          </w:tcPr>
          <w:p w14:paraId="127E9C24"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$ 7.280.651</w:t>
            </w:r>
          </w:p>
        </w:tc>
        <w:tc>
          <w:tcPr>
            <w:tcW w:w="1200" w:type="dxa"/>
            <w:shd w:val="clear" w:color="000000" w:fill="F2F2F2"/>
            <w:noWrap/>
            <w:vAlign w:val="center"/>
            <w:hideMark/>
          </w:tcPr>
          <w:p w14:paraId="1E38D2A5"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$ 303</w:t>
            </w:r>
          </w:p>
        </w:tc>
        <w:tc>
          <w:tcPr>
            <w:tcW w:w="1289" w:type="dxa"/>
            <w:shd w:val="clear" w:color="000000" w:fill="F2F2F2"/>
            <w:noWrap/>
            <w:vAlign w:val="center"/>
            <w:hideMark/>
          </w:tcPr>
          <w:p w14:paraId="04F5B4F3"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$ 7.280.954</w:t>
            </w:r>
          </w:p>
        </w:tc>
      </w:tr>
      <w:tr w:rsidR="00382869" w:rsidRPr="00053706" w14:paraId="1AEB56C5" w14:textId="77777777" w:rsidTr="009A29B8">
        <w:trPr>
          <w:trHeight w:val="355"/>
        </w:trPr>
        <w:tc>
          <w:tcPr>
            <w:tcW w:w="407" w:type="dxa"/>
            <w:shd w:val="clear" w:color="000000" w:fill="F2F2F2"/>
            <w:noWrap/>
            <w:vAlign w:val="center"/>
            <w:hideMark/>
          </w:tcPr>
          <w:p w14:paraId="5BECE87E" w14:textId="77777777" w:rsidR="00382869" w:rsidRPr="00053706" w:rsidRDefault="00382869" w:rsidP="00D22441">
            <w:pPr>
              <w:jc w:val="center"/>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156</w:t>
            </w:r>
          </w:p>
        </w:tc>
        <w:tc>
          <w:tcPr>
            <w:tcW w:w="585" w:type="dxa"/>
            <w:shd w:val="clear" w:color="000000" w:fill="F2F2F2"/>
            <w:noWrap/>
            <w:vAlign w:val="center"/>
            <w:hideMark/>
          </w:tcPr>
          <w:p w14:paraId="2AA01200"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62371</w:t>
            </w:r>
          </w:p>
        </w:tc>
        <w:tc>
          <w:tcPr>
            <w:tcW w:w="941" w:type="dxa"/>
            <w:shd w:val="clear" w:color="000000" w:fill="F2F2F2"/>
            <w:noWrap/>
            <w:vAlign w:val="center"/>
            <w:hideMark/>
          </w:tcPr>
          <w:p w14:paraId="59DF56E0"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901588412</w:t>
            </w:r>
          </w:p>
        </w:tc>
        <w:tc>
          <w:tcPr>
            <w:tcW w:w="3533" w:type="dxa"/>
            <w:shd w:val="clear" w:color="000000" w:fill="F2F2F2"/>
            <w:vAlign w:val="center"/>
            <w:hideMark/>
          </w:tcPr>
          <w:p w14:paraId="6814B726" w14:textId="77777777" w:rsidR="00382869" w:rsidRPr="00053706" w:rsidRDefault="00382869" w:rsidP="00D22441">
            <w:pPr>
              <w:jc w:val="lef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BIA ENERGY SAS ESP</w:t>
            </w:r>
          </w:p>
        </w:tc>
        <w:tc>
          <w:tcPr>
            <w:tcW w:w="1520" w:type="dxa"/>
            <w:shd w:val="clear" w:color="000000" w:fill="F2F2F2"/>
            <w:noWrap/>
            <w:vAlign w:val="center"/>
            <w:hideMark/>
          </w:tcPr>
          <w:p w14:paraId="7DC31C98"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$ 4.394.525.000</w:t>
            </w:r>
          </w:p>
        </w:tc>
        <w:tc>
          <w:tcPr>
            <w:tcW w:w="1360" w:type="dxa"/>
            <w:shd w:val="clear" w:color="000000" w:fill="F2F2F2"/>
            <w:noWrap/>
            <w:vAlign w:val="center"/>
            <w:hideMark/>
          </w:tcPr>
          <w:p w14:paraId="412CF3B9"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$ 0</w:t>
            </w:r>
          </w:p>
        </w:tc>
        <w:tc>
          <w:tcPr>
            <w:tcW w:w="1520" w:type="dxa"/>
            <w:shd w:val="clear" w:color="000000" w:fill="F2F2F2"/>
            <w:noWrap/>
            <w:vAlign w:val="center"/>
            <w:hideMark/>
          </w:tcPr>
          <w:p w14:paraId="748EC776"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$ 4.394.525.000</w:t>
            </w:r>
          </w:p>
        </w:tc>
        <w:tc>
          <w:tcPr>
            <w:tcW w:w="1200" w:type="dxa"/>
            <w:shd w:val="clear" w:color="000000" w:fill="F2F2F2"/>
            <w:noWrap/>
            <w:vAlign w:val="center"/>
            <w:hideMark/>
          </w:tcPr>
          <w:p w14:paraId="2486F01B"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$ 43.945.250</w:t>
            </w:r>
          </w:p>
        </w:tc>
        <w:tc>
          <w:tcPr>
            <w:tcW w:w="1200" w:type="dxa"/>
            <w:shd w:val="clear" w:color="000000" w:fill="F2F2F2"/>
            <w:noWrap/>
            <w:vAlign w:val="center"/>
            <w:hideMark/>
          </w:tcPr>
          <w:p w14:paraId="67B6078F"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$ 1.829</w:t>
            </w:r>
          </w:p>
        </w:tc>
        <w:tc>
          <w:tcPr>
            <w:tcW w:w="1289" w:type="dxa"/>
            <w:shd w:val="clear" w:color="000000" w:fill="F2F2F2"/>
            <w:noWrap/>
            <w:vAlign w:val="center"/>
            <w:hideMark/>
          </w:tcPr>
          <w:p w14:paraId="4D4CEB4A"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$ 43.947.079</w:t>
            </w:r>
          </w:p>
        </w:tc>
      </w:tr>
      <w:tr w:rsidR="00382869" w:rsidRPr="00053706" w14:paraId="6369DFE9" w14:textId="77777777" w:rsidTr="009A29B8">
        <w:trPr>
          <w:trHeight w:val="275"/>
        </w:trPr>
        <w:tc>
          <w:tcPr>
            <w:tcW w:w="407" w:type="dxa"/>
            <w:shd w:val="clear" w:color="000000" w:fill="F2F2F2"/>
            <w:noWrap/>
            <w:vAlign w:val="center"/>
            <w:hideMark/>
          </w:tcPr>
          <w:p w14:paraId="516C71B9" w14:textId="77777777" w:rsidR="00382869" w:rsidRPr="00053706" w:rsidRDefault="00382869" w:rsidP="00D22441">
            <w:pPr>
              <w:jc w:val="center"/>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157</w:t>
            </w:r>
          </w:p>
        </w:tc>
        <w:tc>
          <w:tcPr>
            <w:tcW w:w="585" w:type="dxa"/>
            <w:shd w:val="clear" w:color="000000" w:fill="F2F2F2"/>
            <w:noWrap/>
            <w:vAlign w:val="center"/>
            <w:hideMark/>
          </w:tcPr>
          <w:p w14:paraId="48539BDA"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62970</w:t>
            </w:r>
          </w:p>
        </w:tc>
        <w:tc>
          <w:tcPr>
            <w:tcW w:w="941" w:type="dxa"/>
            <w:shd w:val="clear" w:color="000000" w:fill="F2F2F2"/>
            <w:noWrap/>
            <w:vAlign w:val="center"/>
            <w:hideMark/>
          </w:tcPr>
          <w:p w14:paraId="4A8EC546"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901601851</w:t>
            </w:r>
          </w:p>
        </w:tc>
        <w:tc>
          <w:tcPr>
            <w:tcW w:w="3533" w:type="dxa"/>
            <w:shd w:val="clear" w:color="000000" w:fill="F2F2F2"/>
            <w:vAlign w:val="center"/>
            <w:hideMark/>
          </w:tcPr>
          <w:p w14:paraId="6232E86B" w14:textId="77777777" w:rsidR="00382869" w:rsidRPr="00053706" w:rsidRDefault="00382869" w:rsidP="00D22441">
            <w:pPr>
              <w:jc w:val="lef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ENERGIA Y GAS DE COLOMBIA SAS ESP</w:t>
            </w:r>
          </w:p>
        </w:tc>
        <w:tc>
          <w:tcPr>
            <w:tcW w:w="1520" w:type="dxa"/>
            <w:shd w:val="clear" w:color="000000" w:fill="F2F2F2"/>
            <w:noWrap/>
            <w:vAlign w:val="center"/>
            <w:hideMark/>
          </w:tcPr>
          <w:p w14:paraId="560B307B"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$ 69.417.000</w:t>
            </w:r>
          </w:p>
        </w:tc>
        <w:tc>
          <w:tcPr>
            <w:tcW w:w="1360" w:type="dxa"/>
            <w:shd w:val="clear" w:color="000000" w:fill="F2F2F2"/>
            <w:noWrap/>
            <w:vAlign w:val="center"/>
            <w:hideMark/>
          </w:tcPr>
          <w:p w14:paraId="064FAFD6"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$ 6.026.661</w:t>
            </w:r>
          </w:p>
        </w:tc>
        <w:tc>
          <w:tcPr>
            <w:tcW w:w="1520" w:type="dxa"/>
            <w:shd w:val="clear" w:color="000000" w:fill="F2F2F2"/>
            <w:noWrap/>
            <w:vAlign w:val="center"/>
            <w:hideMark/>
          </w:tcPr>
          <w:p w14:paraId="3A194D5B"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$ 75.443.661</w:t>
            </w:r>
          </w:p>
        </w:tc>
        <w:tc>
          <w:tcPr>
            <w:tcW w:w="1200" w:type="dxa"/>
            <w:shd w:val="clear" w:color="000000" w:fill="F2F2F2"/>
            <w:noWrap/>
            <w:vAlign w:val="center"/>
            <w:hideMark/>
          </w:tcPr>
          <w:p w14:paraId="77B960C4"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$ 754.437</w:t>
            </w:r>
          </w:p>
        </w:tc>
        <w:tc>
          <w:tcPr>
            <w:tcW w:w="1200" w:type="dxa"/>
            <w:shd w:val="clear" w:color="000000" w:fill="F2F2F2"/>
            <w:noWrap/>
            <w:vAlign w:val="center"/>
            <w:hideMark/>
          </w:tcPr>
          <w:p w14:paraId="1DC22EB3"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$ 31</w:t>
            </w:r>
          </w:p>
        </w:tc>
        <w:tc>
          <w:tcPr>
            <w:tcW w:w="1289" w:type="dxa"/>
            <w:shd w:val="clear" w:color="000000" w:fill="F2F2F2"/>
            <w:noWrap/>
            <w:vAlign w:val="center"/>
            <w:hideMark/>
          </w:tcPr>
          <w:p w14:paraId="3D86474B" w14:textId="77777777" w:rsidR="00382869" w:rsidRPr="00053706" w:rsidRDefault="00382869" w:rsidP="00D22441">
            <w:pPr>
              <w:jc w:val="right"/>
              <w:rPr>
                <w:rFonts w:ascii="Arial Narrow" w:hAnsi="Arial Narrow" w:cs="Arial"/>
                <w:color w:val="000000"/>
                <w:spacing w:val="0"/>
                <w:sz w:val="16"/>
                <w:szCs w:val="16"/>
                <w:lang w:eastAsia="es-CO"/>
              </w:rPr>
            </w:pPr>
            <w:r w:rsidRPr="00053706">
              <w:rPr>
                <w:rFonts w:ascii="Arial Narrow" w:hAnsi="Arial Narrow" w:cs="Arial"/>
                <w:color w:val="000000"/>
                <w:spacing w:val="0"/>
                <w:sz w:val="16"/>
                <w:szCs w:val="16"/>
                <w:lang w:eastAsia="es-CO"/>
              </w:rPr>
              <w:t>$ 754.468</w:t>
            </w:r>
          </w:p>
        </w:tc>
      </w:tr>
    </w:tbl>
    <w:p w14:paraId="00F50864" w14:textId="77777777" w:rsidR="00382869" w:rsidRDefault="00382869" w:rsidP="00D22441">
      <w:pPr>
        <w:pStyle w:val="Prrafodelista"/>
        <w:spacing w:after="0" w:line="240" w:lineRule="auto"/>
        <w:ind w:left="0"/>
        <w:rPr>
          <w:rFonts w:ascii="Arial" w:hAnsi="Arial" w:cs="Arial"/>
          <w:bCs/>
        </w:rPr>
      </w:pPr>
    </w:p>
    <w:p w14:paraId="1EC73E2D" w14:textId="443B1356" w:rsidR="00D372CE" w:rsidRPr="00767202" w:rsidRDefault="003C6C0C" w:rsidP="00D22441">
      <w:pPr>
        <w:pStyle w:val="Subttulo"/>
        <w:numPr>
          <w:ilvl w:val="1"/>
          <w:numId w:val="37"/>
        </w:numPr>
        <w:spacing w:after="0"/>
        <w:ind w:left="357" w:hanging="357"/>
        <w:jc w:val="left"/>
        <w:rPr>
          <w:b/>
          <w:bCs/>
          <w:sz w:val="22"/>
          <w:szCs w:val="22"/>
        </w:rPr>
      </w:pPr>
      <w:bookmarkStart w:id="105" w:name="_Toc147154341"/>
      <w:r>
        <w:rPr>
          <w:b/>
          <w:bCs/>
          <w:sz w:val="22"/>
          <w:szCs w:val="22"/>
        </w:rPr>
        <w:lastRenderedPageBreak/>
        <w:t>CONTRIBUCIÓN ESPECIAL 2023 PRESTADORES</w:t>
      </w:r>
      <w:r w:rsidRPr="00767202">
        <w:rPr>
          <w:b/>
          <w:bCs/>
          <w:sz w:val="22"/>
          <w:szCs w:val="22"/>
        </w:rPr>
        <w:t xml:space="preserve"> </w:t>
      </w:r>
      <w:r w:rsidR="00D372CE" w:rsidRPr="00767202">
        <w:rPr>
          <w:b/>
          <w:bCs/>
          <w:sz w:val="22"/>
          <w:szCs w:val="22"/>
        </w:rPr>
        <w:t xml:space="preserve">SERVICIO </w:t>
      </w:r>
      <w:r w:rsidR="00BF6850">
        <w:rPr>
          <w:b/>
          <w:bCs/>
          <w:sz w:val="22"/>
          <w:szCs w:val="22"/>
        </w:rPr>
        <w:t>DE ENERGÍA – GAS</w:t>
      </w:r>
      <w:r w:rsidR="00D372CE" w:rsidRPr="00767202">
        <w:rPr>
          <w:b/>
          <w:bCs/>
          <w:sz w:val="22"/>
          <w:szCs w:val="22"/>
        </w:rPr>
        <w:t>.</w:t>
      </w:r>
      <w:bookmarkEnd w:id="105"/>
    </w:p>
    <w:p w14:paraId="5CA8FBDE" w14:textId="77777777" w:rsidR="00D372CE" w:rsidRDefault="00D372CE" w:rsidP="00D22441">
      <w:pPr>
        <w:rPr>
          <w:rFonts w:cs="Arial"/>
          <w:b/>
          <w:sz w:val="22"/>
          <w:szCs w:val="22"/>
        </w:rPr>
      </w:pPr>
    </w:p>
    <w:p w14:paraId="67331373" w14:textId="5E809616" w:rsidR="00A21ED5" w:rsidRDefault="00A21ED5" w:rsidP="00D22441">
      <w:pPr>
        <w:jc w:val="left"/>
        <w:rPr>
          <w:sz w:val="22"/>
          <w:szCs w:val="22"/>
        </w:rPr>
      </w:pPr>
      <w:r>
        <w:rPr>
          <w:sz w:val="22"/>
          <w:szCs w:val="22"/>
        </w:rPr>
        <w:t>A continuación, se relacionan los 11 regulados prestadores del servicio de energía</w:t>
      </w:r>
      <w:r w:rsidR="00B07312">
        <w:rPr>
          <w:sz w:val="22"/>
          <w:szCs w:val="22"/>
        </w:rPr>
        <w:t xml:space="preserve"> – gas</w:t>
      </w:r>
      <w:r>
        <w:rPr>
          <w:sz w:val="22"/>
          <w:szCs w:val="22"/>
        </w:rPr>
        <w:t xml:space="preserve">, </w:t>
      </w:r>
      <w:r w:rsidR="00B07312">
        <w:rPr>
          <w:sz w:val="22"/>
          <w:szCs w:val="22"/>
        </w:rPr>
        <w:t xml:space="preserve">que son </w:t>
      </w:r>
      <w:r>
        <w:rPr>
          <w:sz w:val="22"/>
          <w:szCs w:val="22"/>
        </w:rPr>
        <w:t>sujetos pasivos de la contribución especial 2023 con corte al 12 de julio de 2023, ordenados por su número de NIT:</w:t>
      </w:r>
    </w:p>
    <w:p w14:paraId="06971428" w14:textId="77777777" w:rsidR="00080276" w:rsidRDefault="00080276" w:rsidP="00D22441">
      <w:pPr>
        <w:jc w:val="left"/>
        <w:rPr>
          <w:sz w:val="22"/>
          <w:szCs w:val="22"/>
        </w:rPr>
      </w:pPr>
    </w:p>
    <w:p w14:paraId="4342A9ED" w14:textId="1BA23446" w:rsidR="00D372CE" w:rsidRPr="00080276" w:rsidRDefault="00080276" w:rsidP="00080276">
      <w:pPr>
        <w:pStyle w:val="Descripcin"/>
        <w:rPr>
          <w:rFonts w:cs="Arial"/>
          <w:sz w:val="22"/>
          <w:szCs w:val="22"/>
        </w:rPr>
      </w:pPr>
      <w:bookmarkStart w:id="106" w:name="_Toc145486451"/>
      <w:r w:rsidRPr="002C4392">
        <w:rPr>
          <w:i w:val="0"/>
          <w:iCs w:val="0"/>
          <w:color w:val="auto"/>
        </w:rPr>
        <w:t xml:space="preserve">Tabla </w:t>
      </w:r>
      <w:r w:rsidRPr="002C4392">
        <w:rPr>
          <w:i w:val="0"/>
          <w:iCs w:val="0"/>
          <w:color w:val="auto"/>
        </w:rPr>
        <w:fldChar w:fldCharType="begin"/>
      </w:r>
      <w:r w:rsidRPr="002C4392">
        <w:rPr>
          <w:i w:val="0"/>
          <w:iCs w:val="0"/>
          <w:color w:val="auto"/>
        </w:rPr>
        <w:instrText xml:space="preserve"> SEQ Tabla \* ARABIC </w:instrText>
      </w:r>
      <w:r w:rsidRPr="002C4392">
        <w:rPr>
          <w:i w:val="0"/>
          <w:iCs w:val="0"/>
          <w:color w:val="auto"/>
        </w:rPr>
        <w:fldChar w:fldCharType="separate"/>
      </w:r>
      <w:r>
        <w:rPr>
          <w:i w:val="0"/>
          <w:iCs w:val="0"/>
          <w:noProof/>
          <w:color w:val="auto"/>
        </w:rPr>
        <w:t>25</w:t>
      </w:r>
      <w:r w:rsidRPr="002C4392">
        <w:rPr>
          <w:i w:val="0"/>
          <w:iCs w:val="0"/>
          <w:color w:val="auto"/>
        </w:rPr>
        <w:fldChar w:fldCharType="end"/>
      </w:r>
      <w:r w:rsidRPr="002C4392">
        <w:rPr>
          <w:i w:val="0"/>
          <w:iCs w:val="0"/>
          <w:color w:val="auto"/>
        </w:rPr>
        <w:t xml:space="preserve">. </w:t>
      </w:r>
      <w:r>
        <w:rPr>
          <w:i w:val="0"/>
          <w:iCs w:val="0"/>
          <w:color w:val="auto"/>
        </w:rPr>
        <w:t>Consolidado regulados servicio energía – gas, contribuyentes contribución especial 2023.</w:t>
      </w:r>
      <w:bookmarkEnd w:id="106"/>
    </w:p>
    <w:tbl>
      <w:tblPr>
        <w:tblW w:w="13700" w:type="dxa"/>
        <w:tblCellMar>
          <w:left w:w="70" w:type="dxa"/>
          <w:right w:w="70" w:type="dxa"/>
        </w:tblCellMar>
        <w:tblLook w:val="04A0" w:firstRow="1" w:lastRow="0" w:firstColumn="1" w:lastColumn="0" w:noHBand="0" w:noVBand="1"/>
      </w:tblPr>
      <w:tblGrid>
        <w:gridCol w:w="380"/>
        <w:gridCol w:w="585"/>
        <w:gridCol w:w="941"/>
        <w:gridCol w:w="2767"/>
        <w:gridCol w:w="1701"/>
        <w:gridCol w:w="1559"/>
        <w:gridCol w:w="1560"/>
        <w:gridCol w:w="1567"/>
        <w:gridCol w:w="1200"/>
        <w:gridCol w:w="1440"/>
      </w:tblGrid>
      <w:tr w:rsidR="00A21ED5" w:rsidRPr="00053706" w14:paraId="66534A22" w14:textId="77777777" w:rsidTr="00B07312">
        <w:trPr>
          <w:trHeight w:val="790"/>
          <w:tblHeader/>
        </w:trPr>
        <w:tc>
          <w:tcPr>
            <w:tcW w:w="38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6FDD770" w14:textId="77777777" w:rsidR="00A21ED5" w:rsidRPr="00053706" w:rsidRDefault="00A21ED5" w:rsidP="00D22441">
            <w:pPr>
              <w:jc w:val="center"/>
              <w:rPr>
                <w:rFonts w:ascii="Arial Narrow" w:hAnsi="Arial Narrow" w:cs="Arial"/>
                <w:b/>
                <w:bCs/>
                <w:color w:val="000000"/>
                <w:spacing w:val="0"/>
                <w:sz w:val="16"/>
                <w:szCs w:val="16"/>
                <w:lang w:eastAsia="es-CO"/>
              </w:rPr>
            </w:pPr>
            <w:proofErr w:type="spellStart"/>
            <w:r w:rsidRPr="00053706">
              <w:rPr>
                <w:rFonts w:ascii="Arial Narrow" w:hAnsi="Arial Narrow" w:cs="Arial"/>
                <w:b/>
                <w:bCs/>
                <w:color w:val="000000"/>
                <w:spacing w:val="0"/>
                <w:sz w:val="16"/>
                <w:szCs w:val="16"/>
                <w:lang w:eastAsia="es-CO"/>
              </w:rPr>
              <w:t>N°</w:t>
            </w:r>
            <w:proofErr w:type="spellEnd"/>
          </w:p>
        </w:tc>
        <w:tc>
          <w:tcPr>
            <w:tcW w:w="585" w:type="dxa"/>
            <w:tcBorders>
              <w:top w:val="single" w:sz="4" w:space="0" w:color="auto"/>
              <w:left w:val="nil"/>
              <w:bottom w:val="single" w:sz="4" w:space="0" w:color="auto"/>
              <w:right w:val="single" w:sz="4" w:space="0" w:color="auto"/>
            </w:tcBorders>
            <w:shd w:val="clear" w:color="000000" w:fill="D9D9D9"/>
            <w:vAlign w:val="center"/>
            <w:hideMark/>
          </w:tcPr>
          <w:p w14:paraId="433EAE2B" w14:textId="77777777" w:rsidR="00A21ED5" w:rsidRPr="00053706" w:rsidRDefault="00A21ED5" w:rsidP="00D22441">
            <w:pPr>
              <w:jc w:val="center"/>
              <w:rPr>
                <w:rFonts w:ascii="Arial Narrow" w:hAnsi="Arial Narrow" w:cs="Arial"/>
                <w:b/>
                <w:bCs/>
                <w:color w:val="000000"/>
                <w:spacing w:val="0"/>
                <w:sz w:val="16"/>
                <w:szCs w:val="16"/>
                <w:lang w:eastAsia="es-CO"/>
              </w:rPr>
            </w:pPr>
            <w:r w:rsidRPr="00053706">
              <w:rPr>
                <w:rFonts w:ascii="Arial Narrow" w:hAnsi="Arial Narrow" w:cs="Arial"/>
                <w:b/>
                <w:bCs/>
                <w:color w:val="000000"/>
                <w:spacing w:val="0"/>
                <w:sz w:val="16"/>
                <w:szCs w:val="16"/>
                <w:lang w:eastAsia="es-CO"/>
              </w:rPr>
              <w:t>RUPS</w:t>
            </w:r>
          </w:p>
        </w:tc>
        <w:tc>
          <w:tcPr>
            <w:tcW w:w="941" w:type="dxa"/>
            <w:tcBorders>
              <w:top w:val="single" w:sz="4" w:space="0" w:color="auto"/>
              <w:left w:val="nil"/>
              <w:bottom w:val="single" w:sz="4" w:space="0" w:color="auto"/>
              <w:right w:val="single" w:sz="4" w:space="0" w:color="auto"/>
            </w:tcBorders>
            <w:shd w:val="clear" w:color="000000" w:fill="D9D9D9"/>
            <w:vAlign w:val="center"/>
            <w:hideMark/>
          </w:tcPr>
          <w:p w14:paraId="56AC703A" w14:textId="77777777" w:rsidR="00A21ED5" w:rsidRPr="00053706" w:rsidRDefault="00A21ED5" w:rsidP="00D22441">
            <w:pPr>
              <w:jc w:val="center"/>
              <w:rPr>
                <w:rFonts w:ascii="Arial Narrow" w:hAnsi="Arial Narrow" w:cs="Arial"/>
                <w:b/>
                <w:bCs/>
                <w:color w:val="000000"/>
                <w:spacing w:val="0"/>
                <w:sz w:val="16"/>
                <w:szCs w:val="16"/>
                <w:lang w:eastAsia="es-CO"/>
              </w:rPr>
            </w:pPr>
            <w:r w:rsidRPr="00053706">
              <w:rPr>
                <w:rFonts w:ascii="Arial Narrow" w:hAnsi="Arial Narrow" w:cs="Arial"/>
                <w:b/>
                <w:bCs/>
                <w:color w:val="000000"/>
                <w:spacing w:val="0"/>
                <w:sz w:val="16"/>
                <w:szCs w:val="16"/>
                <w:lang w:eastAsia="es-CO"/>
              </w:rPr>
              <w:t>NIT</w:t>
            </w:r>
          </w:p>
        </w:tc>
        <w:tc>
          <w:tcPr>
            <w:tcW w:w="2767" w:type="dxa"/>
            <w:tcBorders>
              <w:top w:val="single" w:sz="4" w:space="0" w:color="auto"/>
              <w:left w:val="nil"/>
              <w:bottom w:val="single" w:sz="4" w:space="0" w:color="auto"/>
              <w:right w:val="single" w:sz="4" w:space="0" w:color="auto"/>
            </w:tcBorders>
            <w:shd w:val="clear" w:color="000000" w:fill="D9D9D9"/>
            <w:vAlign w:val="center"/>
            <w:hideMark/>
          </w:tcPr>
          <w:p w14:paraId="305A3B49" w14:textId="77777777" w:rsidR="00A21ED5" w:rsidRPr="00053706" w:rsidRDefault="00A21ED5" w:rsidP="00D22441">
            <w:pPr>
              <w:jc w:val="center"/>
              <w:rPr>
                <w:rFonts w:ascii="Arial Narrow" w:hAnsi="Arial Narrow" w:cs="Arial"/>
                <w:b/>
                <w:bCs/>
                <w:color w:val="000000"/>
                <w:spacing w:val="0"/>
                <w:sz w:val="16"/>
                <w:szCs w:val="16"/>
                <w:lang w:eastAsia="es-CO"/>
              </w:rPr>
            </w:pPr>
            <w:r w:rsidRPr="00053706">
              <w:rPr>
                <w:rFonts w:ascii="Arial Narrow" w:hAnsi="Arial Narrow" w:cs="Arial"/>
                <w:b/>
                <w:bCs/>
                <w:color w:val="000000"/>
                <w:spacing w:val="0"/>
                <w:sz w:val="16"/>
                <w:szCs w:val="16"/>
                <w:lang w:eastAsia="es-CO"/>
              </w:rPr>
              <w:t>Razón social empresa regulada</w:t>
            </w:r>
          </w:p>
        </w:tc>
        <w:tc>
          <w:tcPr>
            <w:tcW w:w="1701" w:type="dxa"/>
            <w:tcBorders>
              <w:top w:val="single" w:sz="4" w:space="0" w:color="auto"/>
              <w:left w:val="nil"/>
              <w:bottom w:val="single" w:sz="4" w:space="0" w:color="auto"/>
              <w:right w:val="single" w:sz="4" w:space="0" w:color="auto"/>
            </w:tcBorders>
            <w:shd w:val="clear" w:color="000000" w:fill="ACB9CA"/>
            <w:vAlign w:val="center"/>
            <w:hideMark/>
          </w:tcPr>
          <w:p w14:paraId="10A12DAC" w14:textId="77777777" w:rsidR="00A21ED5" w:rsidRPr="00053706" w:rsidRDefault="00A21ED5" w:rsidP="00D22441">
            <w:pPr>
              <w:jc w:val="center"/>
              <w:rPr>
                <w:rFonts w:ascii="Arial Narrow" w:hAnsi="Arial Narrow" w:cs="Arial"/>
                <w:b/>
                <w:bCs/>
                <w:color w:val="000000"/>
                <w:spacing w:val="0"/>
                <w:sz w:val="16"/>
                <w:szCs w:val="16"/>
                <w:lang w:eastAsia="es-CO"/>
              </w:rPr>
            </w:pPr>
            <w:r w:rsidRPr="00053706">
              <w:rPr>
                <w:rFonts w:ascii="Arial Narrow" w:hAnsi="Arial Narrow" w:cs="Arial"/>
                <w:b/>
                <w:bCs/>
                <w:color w:val="000000"/>
                <w:spacing w:val="0"/>
                <w:sz w:val="16"/>
                <w:szCs w:val="16"/>
                <w:lang w:eastAsia="es-CO"/>
              </w:rPr>
              <w:t>Gastos administrativos reportados SUI y depurados</w:t>
            </w:r>
          </w:p>
        </w:tc>
        <w:tc>
          <w:tcPr>
            <w:tcW w:w="1559" w:type="dxa"/>
            <w:tcBorders>
              <w:top w:val="single" w:sz="4" w:space="0" w:color="auto"/>
              <w:left w:val="nil"/>
              <w:bottom w:val="single" w:sz="4" w:space="0" w:color="auto"/>
              <w:right w:val="single" w:sz="4" w:space="0" w:color="auto"/>
            </w:tcBorders>
            <w:shd w:val="clear" w:color="000000" w:fill="ACB9CA"/>
            <w:vAlign w:val="center"/>
            <w:hideMark/>
          </w:tcPr>
          <w:p w14:paraId="1261E446" w14:textId="77777777" w:rsidR="00A21ED5" w:rsidRPr="00053706" w:rsidRDefault="00A21ED5" w:rsidP="00D22441">
            <w:pPr>
              <w:jc w:val="center"/>
              <w:rPr>
                <w:rFonts w:ascii="Arial Narrow" w:hAnsi="Arial Narrow" w:cs="Arial"/>
                <w:b/>
                <w:bCs/>
                <w:color w:val="000000"/>
                <w:spacing w:val="0"/>
                <w:sz w:val="16"/>
                <w:szCs w:val="16"/>
                <w:lang w:eastAsia="es-CO"/>
              </w:rPr>
            </w:pPr>
            <w:r w:rsidRPr="00053706">
              <w:rPr>
                <w:rFonts w:ascii="Arial Narrow" w:hAnsi="Arial Narrow" w:cs="Arial"/>
                <w:b/>
                <w:bCs/>
                <w:color w:val="000000"/>
                <w:spacing w:val="0"/>
                <w:sz w:val="16"/>
                <w:szCs w:val="16"/>
                <w:lang w:eastAsia="es-CO"/>
              </w:rPr>
              <w:t>Porción de gastos operativos reportados SUI</w:t>
            </w:r>
          </w:p>
        </w:tc>
        <w:tc>
          <w:tcPr>
            <w:tcW w:w="1560" w:type="dxa"/>
            <w:tcBorders>
              <w:top w:val="single" w:sz="4" w:space="0" w:color="auto"/>
              <w:left w:val="nil"/>
              <w:bottom w:val="single" w:sz="4" w:space="0" w:color="auto"/>
              <w:right w:val="single" w:sz="4" w:space="0" w:color="auto"/>
            </w:tcBorders>
            <w:shd w:val="clear" w:color="000000" w:fill="D9D9D9"/>
            <w:vAlign w:val="center"/>
            <w:hideMark/>
          </w:tcPr>
          <w:p w14:paraId="507EFB2A" w14:textId="77777777" w:rsidR="00A21ED5" w:rsidRPr="00053706" w:rsidRDefault="00A21ED5" w:rsidP="00D22441">
            <w:pPr>
              <w:jc w:val="center"/>
              <w:rPr>
                <w:rFonts w:ascii="Arial Narrow" w:hAnsi="Arial Narrow" w:cs="Arial"/>
                <w:b/>
                <w:bCs/>
                <w:color w:val="000000"/>
                <w:spacing w:val="0"/>
                <w:sz w:val="16"/>
                <w:szCs w:val="16"/>
                <w:lang w:eastAsia="es-CO"/>
              </w:rPr>
            </w:pPr>
            <w:proofErr w:type="gramStart"/>
            <w:r w:rsidRPr="00053706">
              <w:rPr>
                <w:rFonts w:ascii="Arial Narrow" w:hAnsi="Arial Narrow" w:cs="Arial"/>
                <w:b/>
                <w:bCs/>
                <w:color w:val="000000"/>
                <w:spacing w:val="0"/>
                <w:sz w:val="16"/>
                <w:szCs w:val="16"/>
                <w:lang w:eastAsia="es-CO"/>
              </w:rPr>
              <w:t>Total</w:t>
            </w:r>
            <w:proofErr w:type="gramEnd"/>
            <w:r w:rsidRPr="00053706">
              <w:rPr>
                <w:rFonts w:ascii="Arial Narrow" w:hAnsi="Arial Narrow" w:cs="Arial"/>
                <w:b/>
                <w:bCs/>
                <w:color w:val="000000"/>
                <w:spacing w:val="0"/>
                <w:sz w:val="16"/>
                <w:szCs w:val="16"/>
                <w:lang w:eastAsia="es-CO"/>
              </w:rPr>
              <w:t xml:space="preserve"> base gravable reportada</w:t>
            </w:r>
          </w:p>
        </w:tc>
        <w:tc>
          <w:tcPr>
            <w:tcW w:w="1567" w:type="dxa"/>
            <w:tcBorders>
              <w:top w:val="single" w:sz="4" w:space="0" w:color="auto"/>
              <w:left w:val="nil"/>
              <w:bottom w:val="single" w:sz="4" w:space="0" w:color="auto"/>
              <w:right w:val="single" w:sz="4" w:space="0" w:color="auto"/>
            </w:tcBorders>
            <w:shd w:val="clear" w:color="000000" w:fill="D9D9D9"/>
            <w:vAlign w:val="center"/>
            <w:hideMark/>
          </w:tcPr>
          <w:p w14:paraId="32765AC4" w14:textId="77777777" w:rsidR="00A21ED5" w:rsidRPr="00053706" w:rsidRDefault="00A21ED5" w:rsidP="00D22441">
            <w:pPr>
              <w:jc w:val="center"/>
              <w:rPr>
                <w:rFonts w:ascii="Arial Narrow" w:hAnsi="Arial Narrow" w:cs="Arial"/>
                <w:b/>
                <w:bCs/>
                <w:color w:val="000000"/>
                <w:spacing w:val="0"/>
                <w:sz w:val="16"/>
                <w:szCs w:val="16"/>
                <w:lang w:eastAsia="es-CO"/>
              </w:rPr>
            </w:pPr>
            <w:r w:rsidRPr="00053706">
              <w:rPr>
                <w:rFonts w:ascii="Arial Narrow" w:hAnsi="Arial Narrow" w:cs="Arial"/>
                <w:b/>
                <w:bCs/>
                <w:color w:val="000000"/>
                <w:spacing w:val="0"/>
                <w:sz w:val="16"/>
                <w:szCs w:val="16"/>
                <w:lang w:eastAsia="es-CO"/>
              </w:rPr>
              <w:t xml:space="preserve">Valor bruto contribución especial 2023 </w:t>
            </w:r>
          </w:p>
        </w:tc>
        <w:tc>
          <w:tcPr>
            <w:tcW w:w="1200" w:type="dxa"/>
            <w:tcBorders>
              <w:top w:val="single" w:sz="4" w:space="0" w:color="auto"/>
              <w:left w:val="nil"/>
              <w:bottom w:val="single" w:sz="4" w:space="0" w:color="auto"/>
              <w:right w:val="single" w:sz="4" w:space="0" w:color="auto"/>
            </w:tcBorders>
            <w:shd w:val="clear" w:color="000000" w:fill="D9D9D9"/>
            <w:vAlign w:val="center"/>
            <w:hideMark/>
          </w:tcPr>
          <w:p w14:paraId="0184E93F" w14:textId="4202EBBC" w:rsidR="00A21ED5" w:rsidRPr="00053706" w:rsidRDefault="00A21ED5" w:rsidP="00D22441">
            <w:pPr>
              <w:jc w:val="center"/>
              <w:rPr>
                <w:rFonts w:ascii="Arial Narrow" w:hAnsi="Arial Narrow" w:cs="Arial"/>
                <w:b/>
                <w:bCs/>
                <w:color w:val="000000"/>
                <w:spacing w:val="0"/>
                <w:sz w:val="16"/>
                <w:szCs w:val="16"/>
                <w:lang w:eastAsia="es-CO"/>
              </w:rPr>
            </w:pPr>
            <w:r w:rsidRPr="00053706">
              <w:rPr>
                <w:rFonts w:ascii="Arial Narrow" w:hAnsi="Arial Narrow" w:cs="Arial"/>
                <w:b/>
                <w:bCs/>
                <w:color w:val="000000"/>
                <w:spacing w:val="0"/>
                <w:sz w:val="16"/>
                <w:szCs w:val="16"/>
                <w:lang w:eastAsia="es-CO"/>
              </w:rPr>
              <w:t xml:space="preserve">Cuantía </w:t>
            </w:r>
            <w:r w:rsidR="00B07312" w:rsidRPr="00053706">
              <w:rPr>
                <w:rFonts w:ascii="Arial Narrow" w:hAnsi="Arial Narrow" w:cs="Arial"/>
                <w:b/>
                <w:bCs/>
                <w:color w:val="000000"/>
                <w:spacing w:val="0"/>
                <w:sz w:val="16"/>
                <w:szCs w:val="16"/>
                <w:lang w:eastAsia="es-CO"/>
              </w:rPr>
              <w:t>mínima</w:t>
            </w:r>
            <w:r w:rsidRPr="00053706">
              <w:rPr>
                <w:rFonts w:ascii="Arial Narrow" w:hAnsi="Arial Narrow" w:cs="Arial"/>
                <w:b/>
                <w:bCs/>
                <w:color w:val="000000"/>
                <w:spacing w:val="0"/>
                <w:sz w:val="16"/>
                <w:szCs w:val="16"/>
                <w:lang w:eastAsia="es-CO"/>
              </w:rPr>
              <w:t xml:space="preserve"> proporcional 2023</w:t>
            </w:r>
          </w:p>
        </w:tc>
        <w:tc>
          <w:tcPr>
            <w:tcW w:w="1440" w:type="dxa"/>
            <w:tcBorders>
              <w:top w:val="single" w:sz="4" w:space="0" w:color="auto"/>
              <w:left w:val="nil"/>
              <w:bottom w:val="single" w:sz="4" w:space="0" w:color="auto"/>
              <w:right w:val="single" w:sz="4" w:space="0" w:color="auto"/>
            </w:tcBorders>
            <w:shd w:val="clear" w:color="000000" w:fill="D9D9D9"/>
            <w:vAlign w:val="center"/>
            <w:hideMark/>
          </w:tcPr>
          <w:p w14:paraId="62F4D9C5" w14:textId="77777777" w:rsidR="00A21ED5" w:rsidRPr="00053706" w:rsidRDefault="00A21ED5" w:rsidP="00D22441">
            <w:pPr>
              <w:jc w:val="center"/>
              <w:rPr>
                <w:rFonts w:ascii="Arial Narrow" w:hAnsi="Arial Narrow" w:cs="Arial"/>
                <w:b/>
                <w:bCs/>
                <w:color w:val="000000"/>
                <w:spacing w:val="0"/>
                <w:sz w:val="16"/>
                <w:szCs w:val="16"/>
                <w:lang w:eastAsia="es-CO"/>
              </w:rPr>
            </w:pPr>
            <w:r w:rsidRPr="00053706">
              <w:rPr>
                <w:rFonts w:ascii="Arial Narrow" w:hAnsi="Arial Narrow" w:cs="Arial"/>
                <w:b/>
                <w:bCs/>
                <w:color w:val="000000"/>
                <w:spacing w:val="0"/>
                <w:sz w:val="16"/>
                <w:szCs w:val="16"/>
                <w:lang w:eastAsia="es-CO"/>
              </w:rPr>
              <w:t>Valor neto de la contribución especial 2023 a pagar</w:t>
            </w:r>
          </w:p>
        </w:tc>
      </w:tr>
      <w:tr w:rsidR="00A21ED5" w:rsidRPr="00053706" w14:paraId="441D6E54" w14:textId="77777777" w:rsidTr="00A21ED5">
        <w:trPr>
          <w:trHeight w:val="465"/>
        </w:trPr>
        <w:tc>
          <w:tcPr>
            <w:tcW w:w="380" w:type="dxa"/>
            <w:tcBorders>
              <w:top w:val="nil"/>
              <w:left w:val="single" w:sz="4" w:space="0" w:color="auto"/>
              <w:bottom w:val="single" w:sz="4" w:space="0" w:color="auto"/>
              <w:right w:val="single" w:sz="4" w:space="0" w:color="auto"/>
            </w:tcBorders>
            <w:shd w:val="clear" w:color="000000" w:fill="F2F2F2"/>
            <w:noWrap/>
            <w:vAlign w:val="center"/>
            <w:hideMark/>
          </w:tcPr>
          <w:p w14:paraId="244FF16A" w14:textId="77777777" w:rsidR="00A21ED5" w:rsidRPr="00053706" w:rsidRDefault="00A21ED5" w:rsidP="00D22441">
            <w:pPr>
              <w:jc w:val="center"/>
              <w:rPr>
                <w:rFonts w:ascii="Arial Narrow" w:hAnsi="Arial Narrow" w:cs="Arial"/>
                <w:spacing w:val="0"/>
                <w:sz w:val="16"/>
                <w:szCs w:val="16"/>
                <w:lang w:eastAsia="es-CO"/>
              </w:rPr>
            </w:pPr>
            <w:r w:rsidRPr="00053706">
              <w:rPr>
                <w:rFonts w:ascii="Arial Narrow" w:hAnsi="Arial Narrow" w:cs="Arial"/>
                <w:spacing w:val="0"/>
                <w:sz w:val="16"/>
                <w:szCs w:val="16"/>
                <w:lang w:eastAsia="es-CO"/>
              </w:rPr>
              <w:t>1</w:t>
            </w:r>
          </w:p>
        </w:tc>
        <w:tc>
          <w:tcPr>
            <w:tcW w:w="585" w:type="dxa"/>
            <w:tcBorders>
              <w:top w:val="nil"/>
              <w:left w:val="nil"/>
              <w:bottom w:val="single" w:sz="4" w:space="0" w:color="auto"/>
              <w:right w:val="single" w:sz="4" w:space="0" w:color="auto"/>
            </w:tcBorders>
            <w:shd w:val="clear" w:color="000000" w:fill="F2F2F2"/>
            <w:noWrap/>
            <w:vAlign w:val="center"/>
            <w:hideMark/>
          </w:tcPr>
          <w:p w14:paraId="29ED3B0A" w14:textId="77777777" w:rsidR="00A21ED5" w:rsidRPr="00053706" w:rsidRDefault="00A21ED5" w:rsidP="00D22441">
            <w:pPr>
              <w:jc w:val="right"/>
              <w:rPr>
                <w:rFonts w:ascii="Arial Narrow" w:hAnsi="Arial Narrow" w:cs="Arial"/>
                <w:spacing w:val="0"/>
                <w:sz w:val="16"/>
                <w:szCs w:val="16"/>
                <w:lang w:eastAsia="es-CO"/>
              </w:rPr>
            </w:pPr>
            <w:r w:rsidRPr="00053706">
              <w:rPr>
                <w:rFonts w:ascii="Arial Narrow" w:hAnsi="Arial Narrow" w:cs="Arial"/>
                <w:spacing w:val="0"/>
                <w:sz w:val="16"/>
                <w:szCs w:val="16"/>
                <w:lang w:eastAsia="es-CO"/>
              </w:rPr>
              <w:t>485</w:t>
            </w:r>
          </w:p>
        </w:tc>
        <w:tc>
          <w:tcPr>
            <w:tcW w:w="941" w:type="dxa"/>
            <w:tcBorders>
              <w:top w:val="nil"/>
              <w:left w:val="nil"/>
              <w:bottom w:val="single" w:sz="4" w:space="0" w:color="auto"/>
              <w:right w:val="single" w:sz="4" w:space="0" w:color="auto"/>
            </w:tcBorders>
            <w:shd w:val="clear" w:color="000000" w:fill="F2F2F2"/>
            <w:noWrap/>
            <w:vAlign w:val="center"/>
            <w:hideMark/>
          </w:tcPr>
          <w:p w14:paraId="0CFEA5B5" w14:textId="77777777" w:rsidR="00A21ED5" w:rsidRPr="00053706" w:rsidRDefault="00A21ED5" w:rsidP="00D22441">
            <w:pPr>
              <w:jc w:val="right"/>
              <w:rPr>
                <w:rFonts w:ascii="Arial Narrow" w:hAnsi="Arial Narrow" w:cs="Arial"/>
                <w:spacing w:val="0"/>
                <w:sz w:val="16"/>
                <w:szCs w:val="16"/>
                <w:lang w:eastAsia="es-CO"/>
              </w:rPr>
            </w:pPr>
            <w:r w:rsidRPr="00053706">
              <w:rPr>
                <w:rFonts w:ascii="Arial Narrow" w:hAnsi="Arial Narrow" w:cs="Arial"/>
                <w:spacing w:val="0"/>
                <w:sz w:val="16"/>
                <w:szCs w:val="16"/>
                <w:lang w:eastAsia="es-CO"/>
              </w:rPr>
              <w:t>800245746</w:t>
            </w:r>
          </w:p>
        </w:tc>
        <w:tc>
          <w:tcPr>
            <w:tcW w:w="2767" w:type="dxa"/>
            <w:tcBorders>
              <w:top w:val="nil"/>
              <w:left w:val="nil"/>
              <w:bottom w:val="single" w:sz="4" w:space="0" w:color="auto"/>
              <w:right w:val="single" w:sz="4" w:space="0" w:color="auto"/>
            </w:tcBorders>
            <w:shd w:val="clear" w:color="000000" w:fill="F2F2F2"/>
            <w:vAlign w:val="center"/>
            <w:hideMark/>
          </w:tcPr>
          <w:p w14:paraId="2027D7A3" w14:textId="77777777" w:rsidR="00A21ED5" w:rsidRPr="00053706" w:rsidRDefault="00A21ED5" w:rsidP="00D22441">
            <w:pPr>
              <w:jc w:val="left"/>
              <w:rPr>
                <w:rFonts w:ascii="Arial Narrow" w:hAnsi="Arial Narrow" w:cs="Arial"/>
                <w:spacing w:val="0"/>
                <w:sz w:val="16"/>
                <w:szCs w:val="16"/>
                <w:lang w:eastAsia="es-CO"/>
              </w:rPr>
            </w:pPr>
            <w:r w:rsidRPr="00053706">
              <w:rPr>
                <w:rFonts w:ascii="Arial Narrow" w:hAnsi="Arial Narrow" w:cs="Arial"/>
                <w:spacing w:val="0"/>
                <w:sz w:val="16"/>
                <w:szCs w:val="16"/>
                <w:lang w:eastAsia="es-CO"/>
              </w:rPr>
              <w:t>TERMOBARRANQUILLA S.A. E.S.P.</w:t>
            </w:r>
          </w:p>
        </w:tc>
        <w:tc>
          <w:tcPr>
            <w:tcW w:w="1701" w:type="dxa"/>
            <w:tcBorders>
              <w:top w:val="nil"/>
              <w:left w:val="nil"/>
              <w:bottom w:val="single" w:sz="4" w:space="0" w:color="auto"/>
              <w:right w:val="single" w:sz="4" w:space="0" w:color="auto"/>
            </w:tcBorders>
            <w:shd w:val="clear" w:color="000000" w:fill="F2F2F2"/>
            <w:noWrap/>
            <w:vAlign w:val="center"/>
            <w:hideMark/>
          </w:tcPr>
          <w:p w14:paraId="33885B9C" w14:textId="77777777" w:rsidR="00A21ED5" w:rsidRPr="00053706" w:rsidRDefault="00A21ED5" w:rsidP="00D22441">
            <w:pPr>
              <w:jc w:val="right"/>
              <w:rPr>
                <w:rFonts w:ascii="Arial Narrow" w:hAnsi="Arial Narrow" w:cs="Arial"/>
                <w:spacing w:val="0"/>
                <w:sz w:val="16"/>
                <w:szCs w:val="16"/>
                <w:lang w:eastAsia="es-CO"/>
              </w:rPr>
            </w:pPr>
            <w:r w:rsidRPr="00053706">
              <w:rPr>
                <w:rFonts w:ascii="Arial Narrow" w:hAnsi="Arial Narrow" w:cs="Arial"/>
                <w:spacing w:val="0"/>
                <w:sz w:val="16"/>
                <w:szCs w:val="16"/>
                <w:lang w:eastAsia="es-CO"/>
              </w:rPr>
              <w:t>$ 26.802.072.000</w:t>
            </w:r>
          </w:p>
        </w:tc>
        <w:tc>
          <w:tcPr>
            <w:tcW w:w="1559" w:type="dxa"/>
            <w:tcBorders>
              <w:top w:val="nil"/>
              <w:left w:val="nil"/>
              <w:bottom w:val="single" w:sz="4" w:space="0" w:color="auto"/>
              <w:right w:val="single" w:sz="4" w:space="0" w:color="auto"/>
            </w:tcBorders>
            <w:shd w:val="clear" w:color="000000" w:fill="F2F2F2"/>
            <w:noWrap/>
            <w:vAlign w:val="center"/>
            <w:hideMark/>
          </w:tcPr>
          <w:p w14:paraId="112F4FE2" w14:textId="77777777" w:rsidR="00A21ED5" w:rsidRPr="00053706" w:rsidRDefault="00A21ED5" w:rsidP="00D22441">
            <w:pPr>
              <w:jc w:val="right"/>
              <w:rPr>
                <w:rFonts w:ascii="Arial Narrow" w:hAnsi="Arial Narrow" w:cs="Arial"/>
                <w:spacing w:val="0"/>
                <w:sz w:val="16"/>
                <w:szCs w:val="16"/>
                <w:lang w:eastAsia="es-CO"/>
              </w:rPr>
            </w:pPr>
            <w:r w:rsidRPr="00053706">
              <w:rPr>
                <w:rFonts w:ascii="Arial Narrow" w:hAnsi="Arial Narrow" w:cs="Arial"/>
                <w:spacing w:val="0"/>
                <w:sz w:val="16"/>
                <w:szCs w:val="16"/>
                <w:lang w:eastAsia="es-CO"/>
              </w:rPr>
              <w:t>$ 10.334.928.160</w:t>
            </w:r>
          </w:p>
        </w:tc>
        <w:tc>
          <w:tcPr>
            <w:tcW w:w="1560" w:type="dxa"/>
            <w:tcBorders>
              <w:top w:val="nil"/>
              <w:left w:val="nil"/>
              <w:bottom w:val="single" w:sz="4" w:space="0" w:color="auto"/>
              <w:right w:val="single" w:sz="4" w:space="0" w:color="auto"/>
            </w:tcBorders>
            <w:shd w:val="clear" w:color="000000" w:fill="F2F2F2"/>
            <w:noWrap/>
            <w:vAlign w:val="center"/>
            <w:hideMark/>
          </w:tcPr>
          <w:p w14:paraId="5F184D44" w14:textId="77777777" w:rsidR="00A21ED5" w:rsidRPr="00053706" w:rsidRDefault="00A21ED5" w:rsidP="00D22441">
            <w:pPr>
              <w:jc w:val="right"/>
              <w:rPr>
                <w:rFonts w:ascii="Arial Narrow" w:hAnsi="Arial Narrow" w:cs="Arial"/>
                <w:spacing w:val="0"/>
                <w:sz w:val="16"/>
                <w:szCs w:val="16"/>
                <w:lang w:eastAsia="es-CO"/>
              </w:rPr>
            </w:pPr>
            <w:r w:rsidRPr="00053706">
              <w:rPr>
                <w:rFonts w:ascii="Arial Narrow" w:hAnsi="Arial Narrow" w:cs="Arial"/>
                <w:spacing w:val="0"/>
                <w:sz w:val="16"/>
                <w:szCs w:val="16"/>
                <w:lang w:eastAsia="es-CO"/>
              </w:rPr>
              <w:t>$ 37.137.000.160</w:t>
            </w:r>
          </w:p>
        </w:tc>
        <w:tc>
          <w:tcPr>
            <w:tcW w:w="1567" w:type="dxa"/>
            <w:tcBorders>
              <w:top w:val="nil"/>
              <w:left w:val="nil"/>
              <w:bottom w:val="single" w:sz="4" w:space="0" w:color="auto"/>
              <w:right w:val="single" w:sz="4" w:space="0" w:color="auto"/>
            </w:tcBorders>
            <w:shd w:val="clear" w:color="000000" w:fill="F2F2F2"/>
            <w:noWrap/>
            <w:vAlign w:val="center"/>
            <w:hideMark/>
          </w:tcPr>
          <w:p w14:paraId="42592470" w14:textId="77777777" w:rsidR="00A21ED5" w:rsidRPr="00053706" w:rsidRDefault="00A21ED5" w:rsidP="00D22441">
            <w:pPr>
              <w:jc w:val="right"/>
              <w:rPr>
                <w:rFonts w:ascii="Arial Narrow" w:hAnsi="Arial Narrow" w:cs="Arial"/>
                <w:spacing w:val="0"/>
                <w:sz w:val="16"/>
                <w:szCs w:val="16"/>
                <w:lang w:eastAsia="es-CO"/>
              </w:rPr>
            </w:pPr>
            <w:r w:rsidRPr="00053706">
              <w:rPr>
                <w:rFonts w:ascii="Arial Narrow" w:hAnsi="Arial Narrow" w:cs="Arial"/>
                <w:spacing w:val="0"/>
                <w:sz w:val="16"/>
                <w:szCs w:val="16"/>
                <w:lang w:eastAsia="es-CO"/>
              </w:rPr>
              <w:t>$ 371.370.002</w:t>
            </w:r>
          </w:p>
        </w:tc>
        <w:tc>
          <w:tcPr>
            <w:tcW w:w="1200" w:type="dxa"/>
            <w:tcBorders>
              <w:top w:val="nil"/>
              <w:left w:val="nil"/>
              <w:bottom w:val="single" w:sz="4" w:space="0" w:color="auto"/>
              <w:right w:val="single" w:sz="4" w:space="0" w:color="auto"/>
            </w:tcBorders>
            <w:shd w:val="clear" w:color="000000" w:fill="F2F2F2"/>
            <w:noWrap/>
            <w:vAlign w:val="center"/>
            <w:hideMark/>
          </w:tcPr>
          <w:p w14:paraId="70D7A464" w14:textId="77777777" w:rsidR="00A21ED5" w:rsidRPr="00053706" w:rsidRDefault="00A21ED5" w:rsidP="00D22441">
            <w:pPr>
              <w:jc w:val="right"/>
              <w:rPr>
                <w:rFonts w:ascii="Arial Narrow" w:hAnsi="Arial Narrow" w:cs="Arial"/>
                <w:spacing w:val="0"/>
                <w:sz w:val="16"/>
                <w:szCs w:val="16"/>
                <w:lang w:eastAsia="es-CO"/>
              </w:rPr>
            </w:pPr>
            <w:r w:rsidRPr="00053706">
              <w:rPr>
                <w:rFonts w:ascii="Arial Narrow" w:hAnsi="Arial Narrow" w:cs="Arial"/>
                <w:spacing w:val="0"/>
                <w:sz w:val="16"/>
                <w:szCs w:val="16"/>
                <w:lang w:eastAsia="es-CO"/>
              </w:rPr>
              <w:t>$ 15.455</w:t>
            </w:r>
          </w:p>
        </w:tc>
        <w:tc>
          <w:tcPr>
            <w:tcW w:w="1440" w:type="dxa"/>
            <w:tcBorders>
              <w:top w:val="nil"/>
              <w:left w:val="nil"/>
              <w:bottom w:val="single" w:sz="4" w:space="0" w:color="auto"/>
              <w:right w:val="single" w:sz="4" w:space="0" w:color="auto"/>
            </w:tcBorders>
            <w:shd w:val="clear" w:color="000000" w:fill="F2F2F2"/>
            <w:noWrap/>
            <w:vAlign w:val="center"/>
            <w:hideMark/>
          </w:tcPr>
          <w:p w14:paraId="1BCA8A04" w14:textId="77777777" w:rsidR="00A21ED5" w:rsidRPr="00053706" w:rsidRDefault="00A21ED5" w:rsidP="00D22441">
            <w:pPr>
              <w:jc w:val="right"/>
              <w:rPr>
                <w:rFonts w:ascii="Arial Narrow" w:hAnsi="Arial Narrow" w:cs="Arial"/>
                <w:spacing w:val="0"/>
                <w:sz w:val="16"/>
                <w:szCs w:val="16"/>
                <w:lang w:eastAsia="es-CO"/>
              </w:rPr>
            </w:pPr>
            <w:r w:rsidRPr="00053706">
              <w:rPr>
                <w:rFonts w:ascii="Arial Narrow" w:hAnsi="Arial Narrow" w:cs="Arial"/>
                <w:spacing w:val="0"/>
                <w:sz w:val="16"/>
                <w:szCs w:val="16"/>
                <w:lang w:eastAsia="es-CO"/>
              </w:rPr>
              <w:t>$ 371.385.457</w:t>
            </w:r>
          </w:p>
        </w:tc>
      </w:tr>
      <w:tr w:rsidR="00A21ED5" w:rsidRPr="00053706" w14:paraId="5A33C6C7" w14:textId="77777777" w:rsidTr="00B07312">
        <w:trPr>
          <w:trHeight w:val="355"/>
        </w:trPr>
        <w:tc>
          <w:tcPr>
            <w:tcW w:w="380" w:type="dxa"/>
            <w:tcBorders>
              <w:top w:val="nil"/>
              <w:left w:val="single" w:sz="4" w:space="0" w:color="auto"/>
              <w:bottom w:val="single" w:sz="4" w:space="0" w:color="auto"/>
              <w:right w:val="single" w:sz="4" w:space="0" w:color="auto"/>
            </w:tcBorders>
            <w:shd w:val="clear" w:color="000000" w:fill="F2F2F2"/>
            <w:noWrap/>
            <w:vAlign w:val="center"/>
            <w:hideMark/>
          </w:tcPr>
          <w:p w14:paraId="381E732B" w14:textId="77777777" w:rsidR="00A21ED5" w:rsidRPr="00053706" w:rsidRDefault="00A21ED5" w:rsidP="00D22441">
            <w:pPr>
              <w:jc w:val="center"/>
              <w:rPr>
                <w:rFonts w:ascii="Arial Narrow" w:hAnsi="Arial Narrow" w:cs="Arial"/>
                <w:spacing w:val="0"/>
                <w:sz w:val="16"/>
                <w:szCs w:val="16"/>
                <w:lang w:eastAsia="es-CO"/>
              </w:rPr>
            </w:pPr>
            <w:r w:rsidRPr="00053706">
              <w:rPr>
                <w:rFonts w:ascii="Arial Narrow" w:hAnsi="Arial Narrow" w:cs="Arial"/>
                <w:spacing w:val="0"/>
                <w:sz w:val="16"/>
                <w:szCs w:val="16"/>
                <w:lang w:eastAsia="es-CO"/>
              </w:rPr>
              <w:t>2</w:t>
            </w:r>
          </w:p>
        </w:tc>
        <w:tc>
          <w:tcPr>
            <w:tcW w:w="585" w:type="dxa"/>
            <w:tcBorders>
              <w:top w:val="nil"/>
              <w:left w:val="nil"/>
              <w:bottom w:val="single" w:sz="4" w:space="0" w:color="auto"/>
              <w:right w:val="single" w:sz="4" w:space="0" w:color="auto"/>
            </w:tcBorders>
            <w:shd w:val="clear" w:color="000000" w:fill="F2F2F2"/>
            <w:noWrap/>
            <w:vAlign w:val="center"/>
            <w:hideMark/>
          </w:tcPr>
          <w:p w14:paraId="03350C9F" w14:textId="77777777" w:rsidR="00A21ED5" w:rsidRPr="00053706" w:rsidRDefault="00A21ED5" w:rsidP="00D22441">
            <w:pPr>
              <w:jc w:val="right"/>
              <w:rPr>
                <w:rFonts w:ascii="Arial Narrow" w:hAnsi="Arial Narrow" w:cs="Arial"/>
                <w:spacing w:val="0"/>
                <w:sz w:val="16"/>
                <w:szCs w:val="16"/>
                <w:lang w:eastAsia="es-CO"/>
              </w:rPr>
            </w:pPr>
            <w:r w:rsidRPr="00053706">
              <w:rPr>
                <w:rFonts w:ascii="Arial Narrow" w:hAnsi="Arial Narrow" w:cs="Arial"/>
                <w:spacing w:val="0"/>
                <w:sz w:val="16"/>
                <w:szCs w:val="16"/>
                <w:lang w:eastAsia="es-CO"/>
              </w:rPr>
              <w:t>536</w:t>
            </w:r>
          </w:p>
        </w:tc>
        <w:tc>
          <w:tcPr>
            <w:tcW w:w="941" w:type="dxa"/>
            <w:tcBorders>
              <w:top w:val="nil"/>
              <w:left w:val="nil"/>
              <w:bottom w:val="single" w:sz="4" w:space="0" w:color="auto"/>
              <w:right w:val="single" w:sz="4" w:space="0" w:color="auto"/>
            </w:tcBorders>
            <w:shd w:val="clear" w:color="000000" w:fill="F2F2F2"/>
            <w:noWrap/>
            <w:vAlign w:val="center"/>
            <w:hideMark/>
          </w:tcPr>
          <w:p w14:paraId="2531D4A1" w14:textId="77777777" w:rsidR="00A21ED5" w:rsidRPr="00053706" w:rsidRDefault="00A21ED5" w:rsidP="00D22441">
            <w:pPr>
              <w:jc w:val="right"/>
              <w:rPr>
                <w:rFonts w:ascii="Arial Narrow" w:hAnsi="Arial Narrow" w:cs="Arial"/>
                <w:spacing w:val="0"/>
                <w:sz w:val="16"/>
                <w:szCs w:val="16"/>
                <w:lang w:eastAsia="es-CO"/>
              </w:rPr>
            </w:pPr>
            <w:r w:rsidRPr="00053706">
              <w:rPr>
                <w:rFonts w:ascii="Arial Narrow" w:hAnsi="Arial Narrow" w:cs="Arial"/>
                <w:spacing w:val="0"/>
                <w:sz w:val="16"/>
                <w:szCs w:val="16"/>
                <w:lang w:eastAsia="es-CO"/>
              </w:rPr>
              <w:t>800249860</w:t>
            </w:r>
          </w:p>
        </w:tc>
        <w:tc>
          <w:tcPr>
            <w:tcW w:w="2767" w:type="dxa"/>
            <w:tcBorders>
              <w:top w:val="nil"/>
              <w:left w:val="nil"/>
              <w:bottom w:val="single" w:sz="4" w:space="0" w:color="auto"/>
              <w:right w:val="single" w:sz="4" w:space="0" w:color="auto"/>
            </w:tcBorders>
            <w:shd w:val="clear" w:color="000000" w:fill="F2F2F2"/>
            <w:vAlign w:val="center"/>
            <w:hideMark/>
          </w:tcPr>
          <w:p w14:paraId="03B6E60F" w14:textId="77777777" w:rsidR="00A21ED5" w:rsidRPr="00053706" w:rsidRDefault="00A21ED5" w:rsidP="00D22441">
            <w:pPr>
              <w:jc w:val="left"/>
              <w:rPr>
                <w:rFonts w:ascii="Arial Narrow" w:hAnsi="Arial Narrow" w:cs="Arial"/>
                <w:spacing w:val="0"/>
                <w:sz w:val="16"/>
                <w:szCs w:val="16"/>
                <w:lang w:eastAsia="es-CO"/>
              </w:rPr>
            </w:pPr>
            <w:r w:rsidRPr="00053706">
              <w:rPr>
                <w:rFonts w:ascii="Arial Narrow" w:hAnsi="Arial Narrow" w:cs="Arial"/>
                <w:spacing w:val="0"/>
                <w:sz w:val="16"/>
                <w:szCs w:val="16"/>
                <w:lang w:eastAsia="es-CO"/>
              </w:rPr>
              <w:t>CELSIA COLOMBIA S.A. E.S.P.</w:t>
            </w:r>
          </w:p>
        </w:tc>
        <w:tc>
          <w:tcPr>
            <w:tcW w:w="1701" w:type="dxa"/>
            <w:tcBorders>
              <w:top w:val="nil"/>
              <w:left w:val="nil"/>
              <w:bottom w:val="single" w:sz="4" w:space="0" w:color="auto"/>
              <w:right w:val="single" w:sz="4" w:space="0" w:color="auto"/>
            </w:tcBorders>
            <w:shd w:val="clear" w:color="000000" w:fill="F2F2F2"/>
            <w:noWrap/>
            <w:vAlign w:val="center"/>
            <w:hideMark/>
          </w:tcPr>
          <w:p w14:paraId="1AA46F18" w14:textId="77777777" w:rsidR="00A21ED5" w:rsidRPr="00053706" w:rsidRDefault="00A21ED5" w:rsidP="00D22441">
            <w:pPr>
              <w:jc w:val="right"/>
              <w:rPr>
                <w:rFonts w:ascii="Arial Narrow" w:hAnsi="Arial Narrow" w:cs="Arial"/>
                <w:spacing w:val="0"/>
                <w:sz w:val="16"/>
                <w:szCs w:val="16"/>
                <w:lang w:eastAsia="es-CO"/>
              </w:rPr>
            </w:pPr>
            <w:r w:rsidRPr="00053706">
              <w:rPr>
                <w:rFonts w:ascii="Arial Narrow" w:hAnsi="Arial Narrow" w:cs="Arial"/>
                <w:spacing w:val="0"/>
                <w:sz w:val="16"/>
                <w:szCs w:val="16"/>
                <w:lang w:eastAsia="es-CO"/>
              </w:rPr>
              <w:t>$ 152.208.745.000</w:t>
            </w:r>
          </w:p>
        </w:tc>
        <w:tc>
          <w:tcPr>
            <w:tcW w:w="1559" w:type="dxa"/>
            <w:tcBorders>
              <w:top w:val="nil"/>
              <w:left w:val="nil"/>
              <w:bottom w:val="single" w:sz="4" w:space="0" w:color="auto"/>
              <w:right w:val="single" w:sz="4" w:space="0" w:color="auto"/>
            </w:tcBorders>
            <w:shd w:val="clear" w:color="000000" w:fill="F2F2F2"/>
            <w:noWrap/>
            <w:vAlign w:val="center"/>
            <w:hideMark/>
          </w:tcPr>
          <w:p w14:paraId="3146B48D" w14:textId="77777777" w:rsidR="00A21ED5" w:rsidRPr="00053706" w:rsidRDefault="00A21ED5" w:rsidP="00D22441">
            <w:pPr>
              <w:jc w:val="right"/>
              <w:rPr>
                <w:rFonts w:ascii="Arial Narrow" w:hAnsi="Arial Narrow" w:cs="Arial"/>
                <w:spacing w:val="0"/>
                <w:sz w:val="16"/>
                <w:szCs w:val="16"/>
                <w:lang w:eastAsia="es-CO"/>
              </w:rPr>
            </w:pPr>
            <w:r w:rsidRPr="00053706">
              <w:rPr>
                <w:rFonts w:ascii="Arial Narrow" w:hAnsi="Arial Narrow" w:cs="Arial"/>
                <w:spacing w:val="0"/>
                <w:sz w:val="16"/>
                <w:szCs w:val="16"/>
                <w:lang w:eastAsia="es-CO"/>
              </w:rPr>
              <w:t>$ 9.067.266.880</w:t>
            </w:r>
          </w:p>
        </w:tc>
        <w:tc>
          <w:tcPr>
            <w:tcW w:w="1560" w:type="dxa"/>
            <w:tcBorders>
              <w:top w:val="nil"/>
              <w:left w:val="nil"/>
              <w:bottom w:val="single" w:sz="4" w:space="0" w:color="auto"/>
              <w:right w:val="single" w:sz="4" w:space="0" w:color="auto"/>
            </w:tcBorders>
            <w:shd w:val="clear" w:color="000000" w:fill="F2F2F2"/>
            <w:noWrap/>
            <w:vAlign w:val="center"/>
            <w:hideMark/>
          </w:tcPr>
          <w:p w14:paraId="00894DFB" w14:textId="77777777" w:rsidR="00A21ED5" w:rsidRPr="00053706" w:rsidRDefault="00A21ED5" w:rsidP="00D22441">
            <w:pPr>
              <w:jc w:val="right"/>
              <w:rPr>
                <w:rFonts w:ascii="Arial Narrow" w:hAnsi="Arial Narrow" w:cs="Arial"/>
                <w:spacing w:val="0"/>
                <w:sz w:val="16"/>
                <w:szCs w:val="16"/>
                <w:lang w:eastAsia="es-CO"/>
              </w:rPr>
            </w:pPr>
            <w:r w:rsidRPr="00053706">
              <w:rPr>
                <w:rFonts w:ascii="Arial Narrow" w:hAnsi="Arial Narrow" w:cs="Arial"/>
                <w:spacing w:val="0"/>
                <w:sz w:val="16"/>
                <w:szCs w:val="16"/>
                <w:lang w:eastAsia="es-CO"/>
              </w:rPr>
              <w:t>$ 161.276.011.880</w:t>
            </w:r>
          </w:p>
        </w:tc>
        <w:tc>
          <w:tcPr>
            <w:tcW w:w="1567" w:type="dxa"/>
            <w:tcBorders>
              <w:top w:val="nil"/>
              <w:left w:val="nil"/>
              <w:bottom w:val="single" w:sz="4" w:space="0" w:color="auto"/>
              <w:right w:val="single" w:sz="4" w:space="0" w:color="auto"/>
            </w:tcBorders>
            <w:shd w:val="clear" w:color="000000" w:fill="F2F2F2"/>
            <w:noWrap/>
            <w:vAlign w:val="center"/>
            <w:hideMark/>
          </w:tcPr>
          <w:p w14:paraId="2E8157F9" w14:textId="77777777" w:rsidR="00A21ED5" w:rsidRPr="00053706" w:rsidRDefault="00A21ED5" w:rsidP="00D22441">
            <w:pPr>
              <w:jc w:val="right"/>
              <w:rPr>
                <w:rFonts w:ascii="Arial Narrow" w:hAnsi="Arial Narrow" w:cs="Arial"/>
                <w:spacing w:val="0"/>
                <w:sz w:val="16"/>
                <w:szCs w:val="16"/>
                <w:lang w:eastAsia="es-CO"/>
              </w:rPr>
            </w:pPr>
            <w:r w:rsidRPr="00053706">
              <w:rPr>
                <w:rFonts w:ascii="Arial Narrow" w:hAnsi="Arial Narrow" w:cs="Arial"/>
                <w:spacing w:val="0"/>
                <w:sz w:val="16"/>
                <w:szCs w:val="16"/>
                <w:lang w:eastAsia="es-CO"/>
              </w:rPr>
              <w:t>$ 1.612.760.119</w:t>
            </w:r>
          </w:p>
        </w:tc>
        <w:tc>
          <w:tcPr>
            <w:tcW w:w="1200" w:type="dxa"/>
            <w:tcBorders>
              <w:top w:val="nil"/>
              <w:left w:val="nil"/>
              <w:bottom w:val="single" w:sz="4" w:space="0" w:color="auto"/>
              <w:right w:val="single" w:sz="4" w:space="0" w:color="auto"/>
            </w:tcBorders>
            <w:shd w:val="clear" w:color="000000" w:fill="F2F2F2"/>
            <w:noWrap/>
            <w:vAlign w:val="center"/>
            <w:hideMark/>
          </w:tcPr>
          <w:p w14:paraId="3318B15E" w14:textId="77777777" w:rsidR="00A21ED5" w:rsidRPr="00053706" w:rsidRDefault="00A21ED5" w:rsidP="00D22441">
            <w:pPr>
              <w:jc w:val="right"/>
              <w:rPr>
                <w:rFonts w:ascii="Arial Narrow" w:hAnsi="Arial Narrow" w:cs="Arial"/>
                <w:spacing w:val="0"/>
                <w:sz w:val="16"/>
                <w:szCs w:val="16"/>
                <w:lang w:eastAsia="es-CO"/>
              </w:rPr>
            </w:pPr>
            <w:r w:rsidRPr="00053706">
              <w:rPr>
                <w:rFonts w:ascii="Arial Narrow" w:hAnsi="Arial Narrow" w:cs="Arial"/>
                <w:spacing w:val="0"/>
                <w:sz w:val="16"/>
                <w:szCs w:val="16"/>
                <w:lang w:eastAsia="es-CO"/>
              </w:rPr>
              <w:t>$ 67.118</w:t>
            </w:r>
          </w:p>
        </w:tc>
        <w:tc>
          <w:tcPr>
            <w:tcW w:w="1440" w:type="dxa"/>
            <w:tcBorders>
              <w:top w:val="nil"/>
              <w:left w:val="nil"/>
              <w:bottom w:val="single" w:sz="4" w:space="0" w:color="auto"/>
              <w:right w:val="single" w:sz="4" w:space="0" w:color="auto"/>
            </w:tcBorders>
            <w:shd w:val="clear" w:color="000000" w:fill="F2F2F2"/>
            <w:noWrap/>
            <w:vAlign w:val="center"/>
            <w:hideMark/>
          </w:tcPr>
          <w:p w14:paraId="5559342F" w14:textId="77777777" w:rsidR="00A21ED5" w:rsidRPr="00053706" w:rsidRDefault="00A21ED5" w:rsidP="00D22441">
            <w:pPr>
              <w:jc w:val="right"/>
              <w:rPr>
                <w:rFonts w:ascii="Arial Narrow" w:hAnsi="Arial Narrow" w:cs="Arial"/>
                <w:spacing w:val="0"/>
                <w:sz w:val="16"/>
                <w:szCs w:val="16"/>
                <w:lang w:eastAsia="es-CO"/>
              </w:rPr>
            </w:pPr>
            <w:r w:rsidRPr="00053706">
              <w:rPr>
                <w:rFonts w:ascii="Arial Narrow" w:hAnsi="Arial Narrow" w:cs="Arial"/>
                <w:spacing w:val="0"/>
                <w:sz w:val="16"/>
                <w:szCs w:val="16"/>
                <w:lang w:eastAsia="es-CO"/>
              </w:rPr>
              <w:t>$ 1.612.827.236</w:t>
            </w:r>
          </w:p>
        </w:tc>
      </w:tr>
      <w:tr w:rsidR="00A21ED5" w:rsidRPr="00053706" w14:paraId="0FF49A23" w14:textId="77777777" w:rsidTr="00A21ED5">
        <w:trPr>
          <w:trHeight w:val="411"/>
        </w:trPr>
        <w:tc>
          <w:tcPr>
            <w:tcW w:w="380" w:type="dxa"/>
            <w:tcBorders>
              <w:top w:val="nil"/>
              <w:left w:val="single" w:sz="4" w:space="0" w:color="auto"/>
              <w:bottom w:val="single" w:sz="4" w:space="0" w:color="auto"/>
              <w:right w:val="single" w:sz="4" w:space="0" w:color="auto"/>
            </w:tcBorders>
            <w:shd w:val="clear" w:color="000000" w:fill="F2F2F2"/>
            <w:noWrap/>
            <w:vAlign w:val="center"/>
            <w:hideMark/>
          </w:tcPr>
          <w:p w14:paraId="0F5D9E68" w14:textId="77777777" w:rsidR="00A21ED5" w:rsidRPr="00053706" w:rsidRDefault="00A21ED5" w:rsidP="00D22441">
            <w:pPr>
              <w:jc w:val="center"/>
              <w:rPr>
                <w:rFonts w:ascii="Arial Narrow" w:hAnsi="Arial Narrow" w:cs="Arial"/>
                <w:spacing w:val="0"/>
                <w:sz w:val="16"/>
                <w:szCs w:val="16"/>
                <w:lang w:eastAsia="es-CO"/>
              </w:rPr>
            </w:pPr>
            <w:r w:rsidRPr="00053706">
              <w:rPr>
                <w:rFonts w:ascii="Arial Narrow" w:hAnsi="Arial Narrow" w:cs="Arial"/>
                <w:spacing w:val="0"/>
                <w:sz w:val="16"/>
                <w:szCs w:val="16"/>
                <w:lang w:eastAsia="es-CO"/>
              </w:rPr>
              <w:t>3</w:t>
            </w:r>
          </w:p>
        </w:tc>
        <w:tc>
          <w:tcPr>
            <w:tcW w:w="585" w:type="dxa"/>
            <w:tcBorders>
              <w:top w:val="nil"/>
              <w:left w:val="nil"/>
              <w:bottom w:val="single" w:sz="4" w:space="0" w:color="auto"/>
              <w:right w:val="single" w:sz="4" w:space="0" w:color="auto"/>
            </w:tcBorders>
            <w:shd w:val="clear" w:color="000000" w:fill="F2F2F2"/>
            <w:noWrap/>
            <w:vAlign w:val="center"/>
            <w:hideMark/>
          </w:tcPr>
          <w:p w14:paraId="1592B4A8" w14:textId="77777777" w:rsidR="00A21ED5" w:rsidRPr="00053706" w:rsidRDefault="00A21ED5" w:rsidP="00D22441">
            <w:pPr>
              <w:jc w:val="right"/>
              <w:rPr>
                <w:rFonts w:ascii="Arial Narrow" w:hAnsi="Arial Narrow" w:cs="Arial"/>
                <w:spacing w:val="0"/>
                <w:sz w:val="16"/>
                <w:szCs w:val="16"/>
                <w:lang w:eastAsia="es-CO"/>
              </w:rPr>
            </w:pPr>
            <w:r w:rsidRPr="00053706">
              <w:rPr>
                <w:rFonts w:ascii="Arial Narrow" w:hAnsi="Arial Narrow" w:cs="Arial"/>
                <w:spacing w:val="0"/>
                <w:sz w:val="16"/>
                <w:szCs w:val="16"/>
                <w:lang w:eastAsia="es-CO"/>
              </w:rPr>
              <w:t>1077</w:t>
            </w:r>
          </w:p>
        </w:tc>
        <w:tc>
          <w:tcPr>
            <w:tcW w:w="941" w:type="dxa"/>
            <w:tcBorders>
              <w:top w:val="nil"/>
              <w:left w:val="nil"/>
              <w:bottom w:val="single" w:sz="4" w:space="0" w:color="auto"/>
              <w:right w:val="single" w:sz="4" w:space="0" w:color="auto"/>
            </w:tcBorders>
            <w:shd w:val="clear" w:color="000000" w:fill="F2F2F2"/>
            <w:noWrap/>
            <w:vAlign w:val="center"/>
            <w:hideMark/>
          </w:tcPr>
          <w:p w14:paraId="38293F56" w14:textId="77777777" w:rsidR="00A21ED5" w:rsidRPr="00053706" w:rsidRDefault="00A21ED5" w:rsidP="00D22441">
            <w:pPr>
              <w:jc w:val="right"/>
              <w:rPr>
                <w:rFonts w:ascii="Arial Narrow" w:hAnsi="Arial Narrow" w:cs="Arial"/>
                <w:spacing w:val="0"/>
                <w:sz w:val="16"/>
                <w:szCs w:val="16"/>
                <w:lang w:eastAsia="es-CO"/>
              </w:rPr>
            </w:pPr>
            <w:r w:rsidRPr="00053706">
              <w:rPr>
                <w:rFonts w:ascii="Arial Narrow" w:hAnsi="Arial Narrow" w:cs="Arial"/>
                <w:spacing w:val="0"/>
                <w:sz w:val="16"/>
                <w:szCs w:val="16"/>
                <w:lang w:eastAsia="es-CO"/>
              </w:rPr>
              <w:t>800253702</w:t>
            </w:r>
          </w:p>
        </w:tc>
        <w:tc>
          <w:tcPr>
            <w:tcW w:w="2767" w:type="dxa"/>
            <w:tcBorders>
              <w:top w:val="nil"/>
              <w:left w:val="nil"/>
              <w:bottom w:val="single" w:sz="4" w:space="0" w:color="auto"/>
              <w:right w:val="single" w:sz="4" w:space="0" w:color="auto"/>
            </w:tcBorders>
            <w:shd w:val="clear" w:color="000000" w:fill="F2F2F2"/>
            <w:vAlign w:val="center"/>
            <w:hideMark/>
          </w:tcPr>
          <w:p w14:paraId="216FA9D3" w14:textId="77777777" w:rsidR="00A21ED5" w:rsidRPr="00053706" w:rsidRDefault="00A21ED5" w:rsidP="00D22441">
            <w:pPr>
              <w:jc w:val="left"/>
              <w:rPr>
                <w:rFonts w:ascii="Arial Narrow" w:hAnsi="Arial Narrow" w:cs="Arial"/>
                <w:spacing w:val="0"/>
                <w:sz w:val="16"/>
                <w:szCs w:val="16"/>
                <w:lang w:eastAsia="es-CO"/>
              </w:rPr>
            </w:pPr>
            <w:proofErr w:type="gramStart"/>
            <w:r w:rsidRPr="00053706">
              <w:rPr>
                <w:rFonts w:ascii="Arial Narrow" w:hAnsi="Arial Narrow" w:cs="Arial"/>
                <w:spacing w:val="0"/>
                <w:sz w:val="16"/>
                <w:szCs w:val="16"/>
                <w:lang w:eastAsia="es-CO"/>
              </w:rPr>
              <w:t>TERMOEMCALI  I</w:t>
            </w:r>
            <w:proofErr w:type="gramEnd"/>
            <w:r w:rsidRPr="00053706">
              <w:rPr>
                <w:rFonts w:ascii="Arial Narrow" w:hAnsi="Arial Narrow" w:cs="Arial"/>
                <w:spacing w:val="0"/>
                <w:sz w:val="16"/>
                <w:szCs w:val="16"/>
                <w:lang w:eastAsia="es-CO"/>
              </w:rPr>
              <w:t xml:space="preserve">  S.A. ESP</w:t>
            </w:r>
          </w:p>
        </w:tc>
        <w:tc>
          <w:tcPr>
            <w:tcW w:w="1701" w:type="dxa"/>
            <w:tcBorders>
              <w:top w:val="nil"/>
              <w:left w:val="nil"/>
              <w:bottom w:val="single" w:sz="4" w:space="0" w:color="auto"/>
              <w:right w:val="single" w:sz="4" w:space="0" w:color="auto"/>
            </w:tcBorders>
            <w:shd w:val="clear" w:color="000000" w:fill="F2F2F2"/>
            <w:noWrap/>
            <w:vAlign w:val="center"/>
            <w:hideMark/>
          </w:tcPr>
          <w:p w14:paraId="53D2C67D" w14:textId="77777777" w:rsidR="00A21ED5" w:rsidRPr="00053706" w:rsidRDefault="00A21ED5" w:rsidP="00D22441">
            <w:pPr>
              <w:jc w:val="right"/>
              <w:rPr>
                <w:rFonts w:ascii="Arial Narrow" w:hAnsi="Arial Narrow" w:cs="Arial"/>
                <w:spacing w:val="0"/>
                <w:sz w:val="16"/>
                <w:szCs w:val="16"/>
                <w:lang w:eastAsia="es-CO"/>
              </w:rPr>
            </w:pPr>
            <w:r w:rsidRPr="00053706">
              <w:rPr>
                <w:rFonts w:ascii="Arial Narrow" w:hAnsi="Arial Narrow" w:cs="Arial"/>
                <w:spacing w:val="0"/>
                <w:sz w:val="16"/>
                <w:szCs w:val="16"/>
                <w:lang w:eastAsia="es-CO"/>
              </w:rPr>
              <w:t>$ 8.325.454.000</w:t>
            </w:r>
          </w:p>
        </w:tc>
        <w:tc>
          <w:tcPr>
            <w:tcW w:w="1559" w:type="dxa"/>
            <w:tcBorders>
              <w:top w:val="nil"/>
              <w:left w:val="nil"/>
              <w:bottom w:val="single" w:sz="4" w:space="0" w:color="auto"/>
              <w:right w:val="single" w:sz="4" w:space="0" w:color="auto"/>
            </w:tcBorders>
            <w:shd w:val="clear" w:color="000000" w:fill="F2F2F2"/>
            <w:noWrap/>
            <w:vAlign w:val="center"/>
            <w:hideMark/>
          </w:tcPr>
          <w:p w14:paraId="58158426" w14:textId="77777777" w:rsidR="00A21ED5" w:rsidRPr="00053706" w:rsidRDefault="00A21ED5" w:rsidP="00D22441">
            <w:pPr>
              <w:jc w:val="right"/>
              <w:rPr>
                <w:rFonts w:ascii="Arial Narrow" w:hAnsi="Arial Narrow" w:cs="Arial"/>
                <w:spacing w:val="0"/>
                <w:sz w:val="16"/>
                <w:szCs w:val="16"/>
                <w:lang w:eastAsia="es-CO"/>
              </w:rPr>
            </w:pPr>
            <w:r w:rsidRPr="00053706">
              <w:rPr>
                <w:rFonts w:ascii="Arial Narrow" w:hAnsi="Arial Narrow" w:cs="Arial"/>
                <w:spacing w:val="0"/>
                <w:sz w:val="16"/>
                <w:szCs w:val="16"/>
                <w:lang w:eastAsia="es-CO"/>
              </w:rPr>
              <w:t>$ 49.310.754</w:t>
            </w:r>
          </w:p>
        </w:tc>
        <w:tc>
          <w:tcPr>
            <w:tcW w:w="1560" w:type="dxa"/>
            <w:tcBorders>
              <w:top w:val="nil"/>
              <w:left w:val="nil"/>
              <w:bottom w:val="single" w:sz="4" w:space="0" w:color="auto"/>
              <w:right w:val="single" w:sz="4" w:space="0" w:color="auto"/>
            </w:tcBorders>
            <w:shd w:val="clear" w:color="000000" w:fill="F2F2F2"/>
            <w:noWrap/>
            <w:vAlign w:val="center"/>
            <w:hideMark/>
          </w:tcPr>
          <w:p w14:paraId="4C7B7E5F" w14:textId="77777777" w:rsidR="00A21ED5" w:rsidRPr="00053706" w:rsidRDefault="00A21ED5" w:rsidP="00D22441">
            <w:pPr>
              <w:jc w:val="right"/>
              <w:rPr>
                <w:rFonts w:ascii="Arial Narrow" w:hAnsi="Arial Narrow" w:cs="Arial"/>
                <w:spacing w:val="0"/>
                <w:sz w:val="16"/>
                <w:szCs w:val="16"/>
                <w:lang w:eastAsia="es-CO"/>
              </w:rPr>
            </w:pPr>
            <w:r w:rsidRPr="00053706">
              <w:rPr>
                <w:rFonts w:ascii="Arial Narrow" w:hAnsi="Arial Narrow" w:cs="Arial"/>
                <w:spacing w:val="0"/>
                <w:sz w:val="16"/>
                <w:szCs w:val="16"/>
                <w:lang w:eastAsia="es-CO"/>
              </w:rPr>
              <w:t>$ 8.374.764.754</w:t>
            </w:r>
          </w:p>
        </w:tc>
        <w:tc>
          <w:tcPr>
            <w:tcW w:w="1567" w:type="dxa"/>
            <w:tcBorders>
              <w:top w:val="nil"/>
              <w:left w:val="nil"/>
              <w:bottom w:val="single" w:sz="4" w:space="0" w:color="auto"/>
              <w:right w:val="single" w:sz="4" w:space="0" w:color="auto"/>
            </w:tcBorders>
            <w:shd w:val="clear" w:color="000000" w:fill="F2F2F2"/>
            <w:noWrap/>
            <w:vAlign w:val="center"/>
            <w:hideMark/>
          </w:tcPr>
          <w:p w14:paraId="38ABD0D0" w14:textId="77777777" w:rsidR="00A21ED5" w:rsidRPr="00053706" w:rsidRDefault="00A21ED5" w:rsidP="00D22441">
            <w:pPr>
              <w:jc w:val="right"/>
              <w:rPr>
                <w:rFonts w:ascii="Arial Narrow" w:hAnsi="Arial Narrow" w:cs="Arial"/>
                <w:spacing w:val="0"/>
                <w:sz w:val="16"/>
                <w:szCs w:val="16"/>
                <w:lang w:eastAsia="es-CO"/>
              </w:rPr>
            </w:pPr>
            <w:r w:rsidRPr="00053706">
              <w:rPr>
                <w:rFonts w:ascii="Arial Narrow" w:hAnsi="Arial Narrow" w:cs="Arial"/>
                <w:spacing w:val="0"/>
                <w:sz w:val="16"/>
                <w:szCs w:val="16"/>
                <w:lang w:eastAsia="es-CO"/>
              </w:rPr>
              <w:t>$ 83.747.648</w:t>
            </w:r>
          </w:p>
        </w:tc>
        <w:tc>
          <w:tcPr>
            <w:tcW w:w="1200" w:type="dxa"/>
            <w:tcBorders>
              <w:top w:val="nil"/>
              <w:left w:val="nil"/>
              <w:bottom w:val="single" w:sz="4" w:space="0" w:color="auto"/>
              <w:right w:val="single" w:sz="4" w:space="0" w:color="auto"/>
            </w:tcBorders>
            <w:shd w:val="clear" w:color="000000" w:fill="F2F2F2"/>
            <w:noWrap/>
            <w:vAlign w:val="center"/>
            <w:hideMark/>
          </w:tcPr>
          <w:p w14:paraId="32768E49" w14:textId="77777777" w:rsidR="00A21ED5" w:rsidRPr="00053706" w:rsidRDefault="00A21ED5" w:rsidP="00D22441">
            <w:pPr>
              <w:jc w:val="right"/>
              <w:rPr>
                <w:rFonts w:ascii="Arial Narrow" w:hAnsi="Arial Narrow" w:cs="Arial"/>
                <w:spacing w:val="0"/>
                <w:sz w:val="16"/>
                <w:szCs w:val="16"/>
                <w:lang w:eastAsia="es-CO"/>
              </w:rPr>
            </w:pPr>
            <w:r w:rsidRPr="00053706">
              <w:rPr>
                <w:rFonts w:ascii="Arial Narrow" w:hAnsi="Arial Narrow" w:cs="Arial"/>
                <w:spacing w:val="0"/>
                <w:sz w:val="16"/>
                <w:szCs w:val="16"/>
                <w:lang w:eastAsia="es-CO"/>
              </w:rPr>
              <w:t>$ 3.485</w:t>
            </w:r>
          </w:p>
        </w:tc>
        <w:tc>
          <w:tcPr>
            <w:tcW w:w="1440" w:type="dxa"/>
            <w:tcBorders>
              <w:top w:val="nil"/>
              <w:left w:val="nil"/>
              <w:bottom w:val="single" w:sz="4" w:space="0" w:color="auto"/>
              <w:right w:val="single" w:sz="4" w:space="0" w:color="auto"/>
            </w:tcBorders>
            <w:shd w:val="clear" w:color="000000" w:fill="F2F2F2"/>
            <w:noWrap/>
            <w:vAlign w:val="center"/>
            <w:hideMark/>
          </w:tcPr>
          <w:p w14:paraId="093D4E61" w14:textId="77777777" w:rsidR="00A21ED5" w:rsidRPr="00053706" w:rsidRDefault="00A21ED5" w:rsidP="00D22441">
            <w:pPr>
              <w:jc w:val="right"/>
              <w:rPr>
                <w:rFonts w:ascii="Arial Narrow" w:hAnsi="Arial Narrow" w:cs="Arial"/>
                <w:spacing w:val="0"/>
                <w:sz w:val="16"/>
                <w:szCs w:val="16"/>
                <w:lang w:eastAsia="es-CO"/>
              </w:rPr>
            </w:pPr>
            <w:r w:rsidRPr="00053706">
              <w:rPr>
                <w:rFonts w:ascii="Arial Narrow" w:hAnsi="Arial Narrow" w:cs="Arial"/>
                <w:spacing w:val="0"/>
                <w:sz w:val="16"/>
                <w:szCs w:val="16"/>
                <w:lang w:eastAsia="es-CO"/>
              </w:rPr>
              <w:t>$ 83.751.133</w:t>
            </w:r>
          </w:p>
        </w:tc>
      </w:tr>
      <w:tr w:rsidR="00A21ED5" w:rsidRPr="00053706" w14:paraId="47A9F9CB" w14:textId="77777777" w:rsidTr="00A21ED5">
        <w:trPr>
          <w:trHeight w:val="426"/>
        </w:trPr>
        <w:tc>
          <w:tcPr>
            <w:tcW w:w="380" w:type="dxa"/>
            <w:tcBorders>
              <w:top w:val="nil"/>
              <w:left w:val="single" w:sz="4" w:space="0" w:color="auto"/>
              <w:bottom w:val="single" w:sz="4" w:space="0" w:color="auto"/>
              <w:right w:val="single" w:sz="4" w:space="0" w:color="auto"/>
            </w:tcBorders>
            <w:shd w:val="clear" w:color="000000" w:fill="F2F2F2"/>
            <w:noWrap/>
            <w:vAlign w:val="center"/>
            <w:hideMark/>
          </w:tcPr>
          <w:p w14:paraId="35C9DB5A" w14:textId="77777777" w:rsidR="00A21ED5" w:rsidRPr="00053706" w:rsidRDefault="00A21ED5" w:rsidP="00D22441">
            <w:pPr>
              <w:jc w:val="center"/>
              <w:rPr>
                <w:rFonts w:ascii="Arial Narrow" w:hAnsi="Arial Narrow" w:cs="Arial"/>
                <w:spacing w:val="0"/>
                <w:sz w:val="16"/>
                <w:szCs w:val="16"/>
                <w:lang w:eastAsia="es-CO"/>
              </w:rPr>
            </w:pPr>
            <w:r w:rsidRPr="00053706">
              <w:rPr>
                <w:rFonts w:ascii="Arial Narrow" w:hAnsi="Arial Narrow" w:cs="Arial"/>
                <w:spacing w:val="0"/>
                <w:sz w:val="16"/>
                <w:szCs w:val="16"/>
                <w:lang w:eastAsia="es-CO"/>
              </w:rPr>
              <w:t>4</w:t>
            </w:r>
          </w:p>
        </w:tc>
        <w:tc>
          <w:tcPr>
            <w:tcW w:w="585" w:type="dxa"/>
            <w:tcBorders>
              <w:top w:val="nil"/>
              <w:left w:val="nil"/>
              <w:bottom w:val="single" w:sz="4" w:space="0" w:color="auto"/>
              <w:right w:val="single" w:sz="4" w:space="0" w:color="auto"/>
            </w:tcBorders>
            <w:shd w:val="clear" w:color="000000" w:fill="F2F2F2"/>
            <w:noWrap/>
            <w:vAlign w:val="center"/>
            <w:hideMark/>
          </w:tcPr>
          <w:p w14:paraId="1BF0CCBC" w14:textId="77777777" w:rsidR="00A21ED5" w:rsidRPr="00053706" w:rsidRDefault="00A21ED5" w:rsidP="00D22441">
            <w:pPr>
              <w:jc w:val="right"/>
              <w:rPr>
                <w:rFonts w:ascii="Arial Narrow" w:hAnsi="Arial Narrow" w:cs="Arial"/>
                <w:spacing w:val="0"/>
                <w:sz w:val="16"/>
                <w:szCs w:val="16"/>
                <w:lang w:eastAsia="es-CO"/>
              </w:rPr>
            </w:pPr>
            <w:r w:rsidRPr="00053706">
              <w:rPr>
                <w:rFonts w:ascii="Arial Narrow" w:hAnsi="Arial Narrow" w:cs="Arial"/>
                <w:spacing w:val="0"/>
                <w:sz w:val="16"/>
                <w:szCs w:val="16"/>
                <w:lang w:eastAsia="es-CO"/>
              </w:rPr>
              <w:t>20256</w:t>
            </w:r>
          </w:p>
        </w:tc>
        <w:tc>
          <w:tcPr>
            <w:tcW w:w="941" w:type="dxa"/>
            <w:tcBorders>
              <w:top w:val="nil"/>
              <w:left w:val="nil"/>
              <w:bottom w:val="single" w:sz="4" w:space="0" w:color="auto"/>
              <w:right w:val="single" w:sz="4" w:space="0" w:color="auto"/>
            </w:tcBorders>
            <w:shd w:val="clear" w:color="000000" w:fill="F2F2F2"/>
            <w:noWrap/>
            <w:vAlign w:val="center"/>
            <w:hideMark/>
          </w:tcPr>
          <w:p w14:paraId="7FEB153F" w14:textId="77777777" w:rsidR="00A21ED5" w:rsidRPr="00053706" w:rsidRDefault="00A21ED5" w:rsidP="00D22441">
            <w:pPr>
              <w:jc w:val="right"/>
              <w:rPr>
                <w:rFonts w:ascii="Arial Narrow" w:hAnsi="Arial Narrow" w:cs="Arial"/>
                <w:spacing w:val="0"/>
                <w:sz w:val="16"/>
                <w:szCs w:val="16"/>
                <w:lang w:eastAsia="es-CO"/>
              </w:rPr>
            </w:pPr>
            <w:r w:rsidRPr="00053706">
              <w:rPr>
                <w:rFonts w:ascii="Arial Narrow" w:hAnsi="Arial Narrow" w:cs="Arial"/>
                <w:spacing w:val="0"/>
                <w:sz w:val="16"/>
                <w:szCs w:val="16"/>
                <w:lang w:eastAsia="es-CO"/>
              </w:rPr>
              <w:t>802025052</w:t>
            </w:r>
          </w:p>
        </w:tc>
        <w:tc>
          <w:tcPr>
            <w:tcW w:w="2767" w:type="dxa"/>
            <w:tcBorders>
              <w:top w:val="nil"/>
              <w:left w:val="nil"/>
              <w:bottom w:val="single" w:sz="4" w:space="0" w:color="auto"/>
              <w:right w:val="single" w:sz="4" w:space="0" w:color="auto"/>
            </w:tcBorders>
            <w:shd w:val="clear" w:color="000000" w:fill="F2F2F2"/>
            <w:vAlign w:val="center"/>
            <w:hideMark/>
          </w:tcPr>
          <w:p w14:paraId="789B00A1" w14:textId="77777777" w:rsidR="00A21ED5" w:rsidRPr="00053706" w:rsidRDefault="00A21ED5" w:rsidP="00D22441">
            <w:pPr>
              <w:jc w:val="left"/>
              <w:rPr>
                <w:rFonts w:ascii="Arial Narrow" w:hAnsi="Arial Narrow" w:cs="Arial"/>
                <w:spacing w:val="0"/>
                <w:sz w:val="16"/>
                <w:szCs w:val="16"/>
                <w:lang w:eastAsia="es-CO"/>
              </w:rPr>
            </w:pPr>
            <w:r w:rsidRPr="00053706">
              <w:rPr>
                <w:rFonts w:ascii="Arial Narrow" w:hAnsi="Arial Narrow" w:cs="Arial"/>
                <w:spacing w:val="0"/>
                <w:sz w:val="16"/>
                <w:szCs w:val="16"/>
                <w:lang w:eastAsia="es-CO"/>
              </w:rPr>
              <w:t>E2 ENERGIA EFICIENTE S.A. E.S.P.</w:t>
            </w:r>
          </w:p>
        </w:tc>
        <w:tc>
          <w:tcPr>
            <w:tcW w:w="1701" w:type="dxa"/>
            <w:tcBorders>
              <w:top w:val="nil"/>
              <w:left w:val="nil"/>
              <w:bottom w:val="single" w:sz="4" w:space="0" w:color="auto"/>
              <w:right w:val="single" w:sz="4" w:space="0" w:color="auto"/>
            </w:tcBorders>
            <w:shd w:val="clear" w:color="000000" w:fill="F2F2F2"/>
            <w:noWrap/>
            <w:vAlign w:val="center"/>
            <w:hideMark/>
          </w:tcPr>
          <w:p w14:paraId="6D740C4F" w14:textId="77777777" w:rsidR="00A21ED5" w:rsidRPr="00053706" w:rsidRDefault="00A21ED5" w:rsidP="00D22441">
            <w:pPr>
              <w:jc w:val="right"/>
              <w:rPr>
                <w:rFonts w:ascii="Arial Narrow" w:hAnsi="Arial Narrow" w:cs="Arial"/>
                <w:spacing w:val="0"/>
                <w:sz w:val="16"/>
                <w:szCs w:val="16"/>
                <w:lang w:eastAsia="es-CO"/>
              </w:rPr>
            </w:pPr>
            <w:r w:rsidRPr="00053706">
              <w:rPr>
                <w:rFonts w:ascii="Arial Narrow" w:hAnsi="Arial Narrow" w:cs="Arial"/>
                <w:spacing w:val="0"/>
                <w:sz w:val="16"/>
                <w:szCs w:val="16"/>
                <w:lang w:eastAsia="es-CO"/>
              </w:rPr>
              <w:t>$ 937.899.000</w:t>
            </w:r>
          </w:p>
        </w:tc>
        <w:tc>
          <w:tcPr>
            <w:tcW w:w="1559" w:type="dxa"/>
            <w:tcBorders>
              <w:top w:val="nil"/>
              <w:left w:val="nil"/>
              <w:bottom w:val="single" w:sz="4" w:space="0" w:color="auto"/>
              <w:right w:val="single" w:sz="4" w:space="0" w:color="auto"/>
            </w:tcBorders>
            <w:shd w:val="clear" w:color="000000" w:fill="F2F2F2"/>
            <w:noWrap/>
            <w:vAlign w:val="center"/>
            <w:hideMark/>
          </w:tcPr>
          <w:p w14:paraId="18091B3A" w14:textId="77777777" w:rsidR="00A21ED5" w:rsidRPr="00053706" w:rsidRDefault="00A21ED5" w:rsidP="00D22441">
            <w:pPr>
              <w:jc w:val="right"/>
              <w:rPr>
                <w:rFonts w:ascii="Arial Narrow" w:hAnsi="Arial Narrow" w:cs="Arial"/>
                <w:spacing w:val="0"/>
                <w:sz w:val="16"/>
                <w:szCs w:val="16"/>
                <w:lang w:eastAsia="es-CO"/>
              </w:rPr>
            </w:pPr>
            <w:r w:rsidRPr="00053706">
              <w:rPr>
                <w:rFonts w:ascii="Arial Narrow" w:hAnsi="Arial Narrow" w:cs="Arial"/>
                <w:spacing w:val="0"/>
                <w:sz w:val="16"/>
                <w:szCs w:val="16"/>
                <w:lang w:eastAsia="es-CO"/>
              </w:rPr>
              <w:t>$ 1.873.343.603</w:t>
            </w:r>
          </w:p>
        </w:tc>
        <w:tc>
          <w:tcPr>
            <w:tcW w:w="1560" w:type="dxa"/>
            <w:tcBorders>
              <w:top w:val="nil"/>
              <w:left w:val="nil"/>
              <w:bottom w:val="single" w:sz="4" w:space="0" w:color="auto"/>
              <w:right w:val="single" w:sz="4" w:space="0" w:color="auto"/>
            </w:tcBorders>
            <w:shd w:val="clear" w:color="000000" w:fill="F2F2F2"/>
            <w:noWrap/>
            <w:vAlign w:val="center"/>
            <w:hideMark/>
          </w:tcPr>
          <w:p w14:paraId="30664288" w14:textId="77777777" w:rsidR="00A21ED5" w:rsidRPr="00053706" w:rsidRDefault="00A21ED5" w:rsidP="00D22441">
            <w:pPr>
              <w:jc w:val="right"/>
              <w:rPr>
                <w:rFonts w:ascii="Arial Narrow" w:hAnsi="Arial Narrow" w:cs="Arial"/>
                <w:spacing w:val="0"/>
                <w:sz w:val="16"/>
                <w:szCs w:val="16"/>
                <w:lang w:eastAsia="es-CO"/>
              </w:rPr>
            </w:pPr>
            <w:r w:rsidRPr="00053706">
              <w:rPr>
                <w:rFonts w:ascii="Arial Narrow" w:hAnsi="Arial Narrow" w:cs="Arial"/>
                <w:spacing w:val="0"/>
                <w:sz w:val="16"/>
                <w:szCs w:val="16"/>
                <w:lang w:eastAsia="es-CO"/>
              </w:rPr>
              <w:t>$ 2.811.242.603</w:t>
            </w:r>
          </w:p>
        </w:tc>
        <w:tc>
          <w:tcPr>
            <w:tcW w:w="1567" w:type="dxa"/>
            <w:tcBorders>
              <w:top w:val="nil"/>
              <w:left w:val="nil"/>
              <w:bottom w:val="single" w:sz="4" w:space="0" w:color="auto"/>
              <w:right w:val="single" w:sz="4" w:space="0" w:color="auto"/>
            </w:tcBorders>
            <w:shd w:val="clear" w:color="000000" w:fill="F2F2F2"/>
            <w:noWrap/>
            <w:vAlign w:val="center"/>
            <w:hideMark/>
          </w:tcPr>
          <w:p w14:paraId="5E1339AA" w14:textId="77777777" w:rsidR="00A21ED5" w:rsidRPr="00053706" w:rsidRDefault="00A21ED5" w:rsidP="00D22441">
            <w:pPr>
              <w:jc w:val="right"/>
              <w:rPr>
                <w:rFonts w:ascii="Arial Narrow" w:hAnsi="Arial Narrow" w:cs="Arial"/>
                <w:spacing w:val="0"/>
                <w:sz w:val="16"/>
                <w:szCs w:val="16"/>
                <w:lang w:eastAsia="es-CO"/>
              </w:rPr>
            </w:pPr>
            <w:r w:rsidRPr="00053706">
              <w:rPr>
                <w:rFonts w:ascii="Arial Narrow" w:hAnsi="Arial Narrow" w:cs="Arial"/>
                <w:spacing w:val="0"/>
                <w:sz w:val="16"/>
                <w:szCs w:val="16"/>
                <w:lang w:eastAsia="es-CO"/>
              </w:rPr>
              <w:t>$ 28.112.426</w:t>
            </w:r>
          </w:p>
        </w:tc>
        <w:tc>
          <w:tcPr>
            <w:tcW w:w="1200" w:type="dxa"/>
            <w:tcBorders>
              <w:top w:val="nil"/>
              <w:left w:val="nil"/>
              <w:bottom w:val="single" w:sz="4" w:space="0" w:color="auto"/>
              <w:right w:val="single" w:sz="4" w:space="0" w:color="auto"/>
            </w:tcBorders>
            <w:shd w:val="clear" w:color="000000" w:fill="F2F2F2"/>
            <w:noWrap/>
            <w:vAlign w:val="center"/>
            <w:hideMark/>
          </w:tcPr>
          <w:p w14:paraId="22981BEE" w14:textId="77777777" w:rsidR="00A21ED5" w:rsidRPr="00053706" w:rsidRDefault="00A21ED5" w:rsidP="00D22441">
            <w:pPr>
              <w:jc w:val="right"/>
              <w:rPr>
                <w:rFonts w:ascii="Arial Narrow" w:hAnsi="Arial Narrow" w:cs="Arial"/>
                <w:spacing w:val="0"/>
                <w:sz w:val="16"/>
                <w:szCs w:val="16"/>
                <w:lang w:eastAsia="es-CO"/>
              </w:rPr>
            </w:pPr>
            <w:r w:rsidRPr="00053706">
              <w:rPr>
                <w:rFonts w:ascii="Arial Narrow" w:hAnsi="Arial Narrow" w:cs="Arial"/>
                <w:spacing w:val="0"/>
                <w:sz w:val="16"/>
                <w:szCs w:val="16"/>
                <w:lang w:eastAsia="es-CO"/>
              </w:rPr>
              <w:t>$ 1.170</w:t>
            </w:r>
          </w:p>
        </w:tc>
        <w:tc>
          <w:tcPr>
            <w:tcW w:w="1440" w:type="dxa"/>
            <w:tcBorders>
              <w:top w:val="nil"/>
              <w:left w:val="nil"/>
              <w:bottom w:val="single" w:sz="4" w:space="0" w:color="auto"/>
              <w:right w:val="single" w:sz="4" w:space="0" w:color="auto"/>
            </w:tcBorders>
            <w:shd w:val="clear" w:color="000000" w:fill="F2F2F2"/>
            <w:noWrap/>
            <w:vAlign w:val="center"/>
            <w:hideMark/>
          </w:tcPr>
          <w:p w14:paraId="407445E3" w14:textId="77777777" w:rsidR="00A21ED5" w:rsidRPr="00053706" w:rsidRDefault="00A21ED5" w:rsidP="00D22441">
            <w:pPr>
              <w:jc w:val="right"/>
              <w:rPr>
                <w:rFonts w:ascii="Arial Narrow" w:hAnsi="Arial Narrow" w:cs="Arial"/>
                <w:spacing w:val="0"/>
                <w:sz w:val="16"/>
                <w:szCs w:val="16"/>
                <w:lang w:eastAsia="es-CO"/>
              </w:rPr>
            </w:pPr>
            <w:r w:rsidRPr="00053706">
              <w:rPr>
                <w:rFonts w:ascii="Arial Narrow" w:hAnsi="Arial Narrow" w:cs="Arial"/>
                <w:spacing w:val="0"/>
                <w:sz w:val="16"/>
                <w:szCs w:val="16"/>
                <w:lang w:eastAsia="es-CO"/>
              </w:rPr>
              <w:t>$ 28.113.596</w:t>
            </w:r>
          </w:p>
        </w:tc>
      </w:tr>
      <w:tr w:rsidR="00A21ED5" w:rsidRPr="00053706" w14:paraId="0D221254" w14:textId="77777777" w:rsidTr="00A21ED5">
        <w:trPr>
          <w:trHeight w:val="833"/>
        </w:trPr>
        <w:tc>
          <w:tcPr>
            <w:tcW w:w="380" w:type="dxa"/>
            <w:tcBorders>
              <w:top w:val="nil"/>
              <w:left w:val="single" w:sz="4" w:space="0" w:color="auto"/>
              <w:bottom w:val="single" w:sz="4" w:space="0" w:color="auto"/>
              <w:right w:val="single" w:sz="4" w:space="0" w:color="auto"/>
            </w:tcBorders>
            <w:shd w:val="clear" w:color="000000" w:fill="F2F2F2"/>
            <w:noWrap/>
            <w:vAlign w:val="center"/>
            <w:hideMark/>
          </w:tcPr>
          <w:p w14:paraId="5EE0C2E7" w14:textId="77777777" w:rsidR="00A21ED5" w:rsidRPr="00053706" w:rsidRDefault="00A21ED5" w:rsidP="00D22441">
            <w:pPr>
              <w:jc w:val="center"/>
              <w:rPr>
                <w:rFonts w:ascii="Arial Narrow" w:hAnsi="Arial Narrow" w:cs="Arial"/>
                <w:spacing w:val="0"/>
                <w:sz w:val="16"/>
                <w:szCs w:val="16"/>
                <w:lang w:eastAsia="es-CO"/>
              </w:rPr>
            </w:pPr>
            <w:r w:rsidRPr="00053706">
              <w:rPr>
                <w:rFonts w:ascii="Arial Narrow" w:hAnsi="Arial Narrow" w:cs="Arial"/>
                <w:spacing w:val="0"/>
                <w:sz w:val="16"/>
                <w:szCs w:val="16"/>
                <w:lang w:eastAsia="es-CO"/>
              </w:rPr>
              <w:t>5</w:t>
            </w:r>
          </w:p>
        </w:tc>
        <w:tc>
          <w:tcPr>
            <w:tcW w:w="585" w:type="dxa"/>
            <w:tcBorders>
              <w:top w:val="nil"/>
              <w:left w:val="nil"/>
              <w:bottom w:val="single" w:sz="4" w:space="0" w:color="auto"/>
              <w:right w:val="single" w:sz="4" w:space="0" w:color="auto"/>
            </w:tcBorders>
            <w:shd w:val="clear" w:color="000000" w:fill="F2F2F2"/>
            <w:noWrap/>
            <w:vAlign w:val="center"/>
            <w:hideMark/>
          </w:tcPr>
          <w:p w14:paraId="6FA1EFCE" w14:textId="77777777" w:rsidR="00A21ED5" w:rsidRPr="00053706" w:rsidRDefault="00A21ED5" w:rsidP="00D22441">
            <w:pPr>
              <w:jc w:val="right"/>
              <w:rPr>
                <w:rFonts w:ascii="Arial Narrow" w:hAnsi="Arial Narrow" w:cs="Arial"/>
                <w:spacing w:val="0"/>
                <w:sz w:val="16"/>
                <w:szCs w:val="16"/>
                <w:lang w:eastAsia="es-CO"/>
              </w:rPr>
            </w:pPr>
            <w:r w:rsidRPr="00053706">
              <w:rPr>
                <w:rFonts w:ascii="Arial Narrow" w:hAnsi="Arial Narrow" w:cs="Arial"/>
                <w:spacing w:val="0"/>
                <w:sz w:val="16"/>
                <w:szCs w:val="16"/>
                <w:lang w:eastAsia="es-CO"/>
              </w:rPr>
              <w:t>2261</w:t>
            </w:r>
          </w:p>
        </w:tc>
        <w:tc>
          <w:tcPr>
            <w:tcW w:w="941" w:type="dxa"/>
            <w:tcBorders>
              <w:top w:val="nil"/>
              <w:left w:val="nil"/>
              <w:bottom w:val="single" w:sz="4" w:space="0" w:color="auto"/>
              <w:right w:val="single" w:sz="4" w:space="0" w:color="auto"/>
            </w:tcBorders>
            <w:shd w:val="clear" w:color="000000" w:fill="F2F2F2"/>
            <w:noWrap/>
            <w:vAlign w:val="center"/>
            <w:hideMark/>
          </w:tcPr>
          <w:p w14:paraId="3279B483" w14:textId="77777777" w:rsidR="00A21ED5" w:rsidRPr="00053706" w:rsidRDefault="00A21ED5" w:rsidP="00D22441">
            <w:pPr>
              <w:jc w:val="right"/>
              <w:rPr>
                <w:rFonts w:ascii="Arial Narrow" w:hAnsi="Arial Narrow" w:cs="Arial"/>
                <w:spacing w:val="0"/>
                <w:sz w:val="16"/>
                <w:szCs w:val="16"/>
                <w:lang w:eastAsia="es-CO"/>
              </w:rPr>
            </w:pPr>
            <w:r w:rsidRPr="00053706">
              <w:rPr>
                <w:rFonts w:ascii="Arial Narrow" w:hAnsi="Arial Narrow" w:cs="Arial"/>
                <w:spacing w:val="0"/>
                <w:sz w:val="16"/>
                <w:szCs w:val="16"/>
                <w:lang w:eastAsia="es-CO"/>
              </w:rPr>
              <w:t>806005008</w:t>
            </w:r>
          </w:p>
        </w:tc>
        <w:tc>
          <w:tcPr>
            <w:tcW w:w="2767" w:type="dxa"/>
            <w:tcBorders>
              <w:top w:val="nil"/>
              <w:left w:val="nil"/>
              <w:bottom w:val="single" w:sz="4" w:space="0" w:color="auto"/>
              <w:right w:val="single" w:sz="4" w:space="0" w:color="auto"/>
            </w:tcBorders>
            <w:shd w:val="clear" w:color="000000" w:fill="F2F2F2"/>
            <w:vAlign w:val="center"/>
            <w:hideMark/>
          </w:tcPr>
          <w:p w14:paraId="020ED70A" w14:textId="77777777" w:rsidR="00A21ED5" w:rsidRPr="00053706" w:rsidRDefault="00A21ED5" w:rsidP="00D22441">
            <w:pPr>
              <w:jc w:val="left"/>
              <w:rPr>
                <w:rFonts w:ascii="Arial Narrow" w:hAnsi="Arial Narrow" w:cs="Arial"/>
                <w:spacing w:val="0"/>
                <w:sz w:val="16"/>
                <w:szCs w:val="16"/>
                <w:lang w:eastAsia="es-CO"/>
              </w:rPr>
            </w:pPr>
            <w:r w:rsidRPr="00053706">
              <w:rPr>
                <w:rFonts w:ascii="Arial Narrow" w:hAnsi="Arial Narrow" w:cs="Arial"/>
                <w:spacing w:val="0"/>
                <w:sz w:val="16"/>
                <w:szCs w:val="16"/>
                <w:lang w:eastAsia="es-CO"/>
              </w:rPr>
              <w:t>TERMOCANDELARIA SOCIEDAD EN COMANDITA POR ACCIONES EMPRESA DE SERVICIOS PUBLICOS</w:t>
            </w:r>
          </w:p>
        </w:tc>
        <w:tc>
          <w:tcPr>
            <w:tcW w:w="1701" w:type="dxa"/>
            <w:tcBorders>
              <w:top w:val="nil"/>
              <w:left w:val="nil"/>
              <w:bottom w:val="single" w:sz="4" w:space="0" w:color="auto"/>
              <w:right w:val="single" w:sz="4" w:space="0" w:color="auto"/>
            </w:tcBorders>
            <w:shd w:val="clear" w:color="000000" w:fill="F2F2F2"/>
            <w:noWrap/>
            <w:vAlign w:val="center"/>
            <w:hideMark/>
          </w:tcPr>
          <w:p w14:paraId="0E5C5F1F" w14:textId="77777777" w:rsidR="00A21ED5" w:rsidRPr="00053706" w:rsidRDefault="00A21ED5" w:rsidP="00D22441">
            <w:pPr>
              <w:jc w:val="right"/>
              <w:rPr>
                <w:rFonts w:ascii="Arial Narrow" w:hAnsi="Arial Narrow" w:cs="Arial"/>
                <w:spacing w:val="0"/>
                <w:sz w:val="16"/>
                <w:szCs w:val="16"/>
                <w:lang w:eastAsia="es-CO"/>
              </w:rPr>
            </w:pPr>
            <w:r w:rsidRPr="00053706">
              <w:rPr>
                <w:rFonts w:ascii="Arial Narrow" w:hAnsi="Arial Narrow" w:cs="Arial"/>
                <w:spacing w:val="0"/>
                <w:sz w:val="16"/>
                <w:szCs w:val="16"/>
                <w:lang w:eastAsia="es-CO"/>
              </w:rPr>
              <w:t>$ 11.246.379.000</w:t>
            </w:r>
          </w:p>
        </w:tc>
        <w:tc>
          <w:tcPr>
            <w:tcW w:w="1559" w:type="dxa"/>
            <w:tcBorders>
              <w:top w:val="nil"/>
              <w:left w:val="nil"/>
              <w:bottom w:val="single" w:sz="4" w:space="0" w:color="auto"/>
              <w:right w:val="single" w:sz="4" w:space="0" w:color="auto"/>
            </w:tcBorders>
            <w:shd w:val="clear" w:color="000000" w:fill="F2F2F2"/>
            <w:noWrap/>
            <w:vAlign w:val="center"/>
            <w:hideMark/>
          </w:tcPr>
          <w:p w14:paraId="08B9DC7E" w14:textId="77777777" w:rsidR="00A21ED5" w:rsidRPr="00053706" w:rsidRDefault="00A21ED5" w:rsidP="00D22441">
            <w:pPr>
              <w:jc w:val="right"/>
              <w:rPr>
                <w:rFonts w:ascii="Arial Narrow" w:hAnsi="Arial Narrow" w:cs="Arial"/>
                <w:spacing w:val="0"/>
                <w:sz w:val="16"/>
                <w:szCs w:val="16"/>
                <w:lang w:eastAsia="es-CO"/>
              </w:rPr>
            </w:pPr>
            <w:r w:rsidRPr="00053706">
              <w:rPr>
                <w:rFonts w:ascii="Arial Narrow" w:hAnsi="Arial Narrow" w:cs="Arial"/>
                <w:spacing w:val="0"/>
                <w:sz w:val="16"/>
                <w:szCs w:val="16"/>
                <w:lang w:eastAsia="es-CO"/>
              </w:rPr>
              <w:t>$ 689.829.225</w:t>
            </w:r>
          </w:p>
        </w:tc>
        <w:tc>
          <w:tcPr>
            <w:tcW w:w="1560" w:type="dxa"/>
            <w:tcBorders>
              <w:top w:val="nil"/>
              <w:left w:val="nil"/>
              <w:bottom w:val="single" w:sz="4" w:space="0" w:color="auto"/>
              <w:right w:val="single" w:sz="4" w:space="0" w:color="auto"/>
            </w:tcBorders>
            <w:shd w:val="clear" w:color="000000" w:fill="F2F2F2"/>
            <w:noWrap/>
            <w:vAlign w:val="center"/>
            <w:hideMark/>
          </w:tcPr>
          <w:p w14:paraId="5D4C890A" w14:textId="77777777" w:rsidR="00A21ED5" w:rsidRPr="00053706" w:rsidRDefault="00A21ED5" w:rsidP="00D22441">
            <w:pPr>
              <w:jc w:val="right"/>
              <w:rPr>
                <w:rFonts w:ascii="Arial Narrow" w:hAnsi="Arial Narrow" w:cs="Arial"/>
                <w:spacing w:val="0"/>
                <w:sz w:val="16"/>
                <w:szCs w:val="16"/>
                <w:lang w:eastAsia="es-CO"/>
              </w:rPr>
            </w:pPr>
            <w:r w:rsidRPr="00053706">
              <w:rPr>
                <w:rFonts w:ascii="Arial Narrow" w:hAnsi="Arial Narrow" w:cs="Arial"/>
                <w:spacing w:val="0"/>
                <w:sz w:val="16"/>
                <w:szCs w:val="16"/>
                <w:lang w:eastAsia="es-CO"/>
              </w:rPr>
              <w:t>$ 11.936.208.225</w:t>
            </w:r>
          </w:p>
        </w:tc>
        <w:tc>
          <w:tcPr>
            <w:tcW w:w="1567" w:type="dxa"/>
            <w:tcBorders>
              <w:top w:val="nil"/>
              <w:left w:val="nil"/>
              <w:bottom w:val="single" w:sz="4" w:space="0" w:color="auto"/>
              <w:right w:val="single" w:sz="4" w:space="0" w:color="auto"/>
            </w:tcBorders>
            <w:shd w:val="clear" w:color="000000" w:fill="F2F2F2"/>
            <w:noWrap/>
            <w:vAlign w:val="center"/>
            <w:hideMark/>
          </w:tcPr>
          <w:p w14:paraId="5C323878" w14:textId="77777777" w:rsidR="00A21ED5" w:rsidRPr="00053706" w:rsidRDefault="00A21ED5" w:rsidP="00D22441">
            <w:pPr>
              <w:jc w:val="right"/>
              <w:rPr>
                <w:rFonts w:ascii="Arial Narrow" w:hAnsi="Arial Narrow" w:cs="Arial"/>
                <w:spacing w:val="0"/>
                <w:sz w:val="16"/>
                <w:szCs w:val="16"/>
                <w:lang w:eastAsia="es-CO"/>
              </w:rPr>
            </w:pPr>
            <w:r w:rsidRPr="00053706">
              <w:rPr>
                <w:rFonts w:ascii="Arial Narrow" w:hAnsi="Arial Narrow" w:cs="Arial"/>
                <w:spacing w:val="0"/>
                <w:sz w:val="16"/>
                <w:szCs w:val="16"/>
                <w:lang w:eastAsia="es-CO"/>
              </w:rPr>
              <w:t>$ 119.362.082</w:t>
            </w:r>
          </w:p>
        </w:tc>
        <w:tc>
          <w:tcPr>
            <w:tcW w:w="1200" w:type="dxa"/>
            <w:tcBorders>
              <w:top w:val="nil"/>
              <w:left w:val="nil"/>
              <w:bottom w:val="single" w:sz="4" w:space="0" w:color="auto"/>
              <w:right w:val="single" w:sz="4" w:space="0" w:color="auto"/>
            </w:tcBorders>
            <w:shd w:val="clear" w:color="000000" w:fill="F2F2F2"/>
            <w:noWrap/>
            <w:vAlign w:val="center"/>
            <w:hideMark/>
          </w:tcPr>
          <w:p w14:paraId="0DAD4CC2" w14:textId="77777777" w:rsidR="00A21ED5" w:rsidRPr="00053706" w:rsidRDefault="00A21ED5" w:rsidP="00D22441">
            <w:pPr>
              <w:jc w:val="right"/>
              <w:rPr>
                <w:rFonts w:ascii="Arial Narrow" w:hAnsi="Arial Narrow" w:cs="Arial"/>
                <w:spacing w:val="0"/>
                <w:sz w:val="16"/>
                <w:szCs w:val="16"/>
                <w:lang w:eastAsia="es-CO"/>
              </w:rPr>
            </w:pPr>
            <w:r w:rsidRPr="00053706">
              <w:rPr>
                <w:rFonts w:ascii="Arial Narrow" w:hAnsi="Arial Narrow" w:cs="Arial"/>
                <w:spacing w:val="0"/>
                <w:sz w:val="16"/>
                <w:szCs w:val="16"/>
                <w:lang w:eastAsia="es-CO"/>
              </w:rPr>
              <w:t>$ 4.967</w:t>
            </w:r>
          </w:p>
        </w:tc>
        <w:tc>
          <w:tcPr>
            <w:tcW w:w="1440" w:type="dxa"/>
            <w:tcBorders>
              <w:top w:val="nil"/>
              <w:left w:val="nil"/>
              <w:bottom w:val="single" w:sz="4" w:space="0" w:color="auto"/>
              <w:right w:val="single" w:sz="4" w:space="0" w:color="auto"/>
            </w:tcBorders>
            <w:shd w:val="clear" w:color="000000" w:fill="F2F2F2"/>
            <w:noWrap/>
            <w:vAlign w:val="center"/>
            <w:hideMark/>
          </w:tcPr>
          <w:p w14:paraId="4C6656F0" w14:textId="77777777" w:rsidR="00A21ED5" w:rsidRPr="00053706" w:rsidRDefault="00A21ED5" w:rsidP="00D22441">
            <w:pPr>
              <w:jc w:val="right"/>
              <w:rPr>
                <w:rFonts w:ascii="Arial Narrow" w:hAnsi="Arial Narrow" w:cs="Arial"/>
                <w:spacing w:val="0"/>
                <w:sz w:val="16"/>
                <w:szCs w:val="16"/>
                <w:lang w:eastAsia="es-CO"/>
              </w:rPr>
            </w:pPr>
            <w:r w:rsidRPr="00053706">
              <w:rPr>
                <w:rFonts w:ascii="Arial Narrow" w:hAnsi="Arial Narrow" w:cs="Arial"/>
                <w:spacing w:val="0"/>
                <w:sz w:val="16"/>
                <w:szCs w:val="16"/>
                <w:lang w:eastAsia="es-CO"/>
              </w:rPr>
              <w:t>$ 119.367.050</w:t>
            </w:r>
          </w:p>
        </w:tc>
      </w:tr>
      <w:tr w:rsidR="00A21ED5" w:rsidRPr="00053706" w14:paraId="190EBB3D" w14:textId="77777777" w:rsidTr="00B07312">
        <w:trPr>
          <w:trHeight w:val="371"/>
        </w:trPr>
        <w:tc>
          <w:tcPr>
            <w:tcW w:w="380" w:type="dxa"/>
            <w:tcBorders>
              <w:top w:val="nil"/>
              <w:left w:val="single" w:sz="4" w:space="0" w:color="auto"/>
              <w:bottom w:val="single" w:sz="4" w:space="0" w:color="auto"/>
              <w:right w:val="single" w:sz="4" w:space="0" w:color="auto"/>
            </w:tcBorders>
            <w:shd w:val="clear" w:color="000000" w:fill="F2F2F2"/>
            <w:noWrap/>
            <w:vAlign w:val="center"/>
            <w:hideMark/>
          </w:tcPr>
          <w:p w14:paraId="6F25CB86" w14:textId="77777777" w:rsidR="00A21ED5" w:rsidRPr="00053706" w:rsidRDefault="00A21ED5" w:rsidP="00D22441">
            <w:pPr>
              <w:jc w:val="center"/>
              <w:rPr>
                <w:rFonts w:ascii="Arial Narrow" w:hAnsi="Arial Narrow" w:cs="Arial"/>
                <w:spacing w:val="0"/>
                <w:sz w:val="16"/>
                <w:szCs w:val="16"/>
                <w:lang w:eastAsia="es-CO"/>
              </w:rPr>
            </w:pPr>
            <w:r w:rsidRPr="00053706">
              <w:rPr>
                <w:rFonts w:ascii="Arial Narrow" w:hAnsi="Arial Narrow" w:cs="Arial"/>
                <w:spacing w:val="0"/>
                <w:sz w:val="16"/>
                <w:szCs w:val="16"/>
                <w:lang w:eastAsia="es-CO"/>
              </w:rPr>
              <w:t>6</w:t>
            </w:r>
          </w:p>
        </w:tc>
        <w:tc>
          <w:tcPr>
            <w:tcW w:w="585" w:type="dxa"/>
            <w:tcBorders>
              <w:top w:val="nil"/>
              <w:left w:val="nil"/>
              <w:bottom w:val="single" w:sz="4" w:space="0" w:color="auto"/>
              <w:right w:val="single" w:sz="4" w:space="0" w:color="auto"/>
            </w:tcBorders>
            <w:shd w:val="clear" w:color="000000" w:fill="F2F2F2"/>
            <w:noWrap/>
            <w:vAlign w:val="center"/>
            <w:hideMark/>
          </w:tcPr>
          <w:p w14:paraId="17FDB790" w14:textId="77777777" w:rsidR="00A21ED5" w:rsidRPr="00053706" w:rsidRDefault="00A21ED5" w:rsidP="00D22441">
            <w:pPr>
              <w:jc w:val="right"/>
              <w:rPr>
                <w:rFonts w:ascii="Arial Narrow" w:hAnsi="Arial Narrow" w:cs="Arial"/>
                <w:spacing w:val="0"/>
                <w:sz w:val="16"/>
                <w:szCs w:val="16"/>
                <w:lang w:eastAsia="es-CO"/>
              </w:rPr>
            </w:pPr>
            <w:r w:rsidRPr="00053706">
              <w:rPr>
                <w:rFonts w:ascii="Arial Narrow" w:hAnsi="Arial Narrow" w:cs="Arial"/>
                <w:spacing w:val="0"/>
                <w:sz w:val="16"/>
                <w:szCs w:val="16"/>
                <w:lang w:eastAsia="es-CO"/>
              </w:rPr>
              <w:t>480</w:t>
            </w:r>
          </w:p>
        </w:tc>
        <w:tc>
          <w:tcPr>
            <w:tcW w:w="941" w:type="dxa"/>
            <w:tcBorders>
              <w:top w:val="nil"/>
              <w:left w:val="nil"/>
              <w:bottom w:val="single" w:sz="4" w:space="0" w:color="auto"/>
              <w:right w:val="single" w:sz="4" w:space="0" w:color="auto"/>
            </w:tcBorders>
            <w:shd w:val="clear" w:color="000000" w:fill="F2F2F2"/>
            <w:noWrap/>
            <w:vAlign w:val="center"/>
            <w:hideMark/>
          </w:tcPr>
          <w:p w14:paraId="7B77C7BB" w14:textId="77777777" w:rsidR="00A21ED5" w:rsidRPr="00053706" w:rsidRDefault="00A21ED5" w:rsidP="00D22441">
            <w:pPr>
              <w:jc w:val="right"/>
              <w:rPr>
                <w:rFonts w:ascii="Arial Narrow" w:hAnsi="Arial Narrow" w:cs="Arial"/>
                <w:spacing w:val="0"/>
                <w:sz w:val="16"/>
                <w:szCs w:val="16"/>
                <w:lang w:eastAsia="es-CO"/>
              </w:rPr>
            </w:pPr>
            <w:r w:rsidRPr="00053706">
              <w:rPr>
                <w:rFonts w:ascii="Arial Narrow" w:hAnsi="Arial Narrow" w:cs="Arial"/>
                <w:spacing w:val="0"/>
                <w:sz w:val="16"/>
                <w:szCs w:val="16"/>
                <w:lang w:eastAsia="es-CO"/>
              </w:rPr>
              <w:t>811000740</w:t>
            </w:r>
          </w:p>
        </w:tc>
        <w:tc>
          <w:tcPr>
            <w:tcW w:w="2767" w:type="dxa"/>
            <w:tcBorders>
              <w:top w:val="nil"/>
              <w:left w:val="nil"/>
              <w:bottom w:val="single" w:sz="4" w:space="0" w:color="auto"/>
              <w:right w:val="single" w:sz="4" w:space="0" w:color="auto"/>
            </w:tcBorders>
            <w:shd w:val="clear" w:color="000000" w:fill="F2F2F2"/>
            <w:vAlign w:val="center"/>
            <w:hideMark/>
          </w:tcPr>
          <w:p w14:paraId="3D364885" w14:textId="77777777" w:rsidR="00A21ED5" w:rsidRPr="00053706" w:rsidRDefault="00A21ED5" w:rsidP="00D22441">
            <w:pPr>
              <w:jc w:val="left"/>
              <w:rPr>
                <w:rFonts w:ascii="Arial Narrow" w:hAnsi="Arial Narrow" w:cs="Arial"/>
                <w:spacing w:val="0"/>
                <w:sz w:val="16"/>
                <w:szCs w:val="16"/>
                <w:lang w:val="en-GB" w:eastAsia="es-CO"/>
              </w:rPr>
            </w:pPr>
            <w:r w:rsidRPr="00053706">
              <w:rPr>
                <w:rFonts w:ascii="Arial Narrow" w:hAnsi="Arial Narrow" w:cs="Arial"/>
                <w:spacing w:val="0"/>
                <w:sz w:val="16"/>
                <w:szCs w:val="16"/>
                <w:lang w:val="en-GB" w:eastAsia="es-CO"/>
              </w:rPr>
              <w:t>ISAGEN S.A. E.S.P.</w:t>
            </w:r>
          </w:p>
        </w:tc>
        <w:tc>
          <w:tcPr>
            <w:tcW w:w="1701" w:type="dxa"/>
            <w:tcBorders>
              <w:top w:val="nil"/>
              <w:left w:val="nil"/>
              <w:bottom w:val="single" w:sz="4" w:space="0" w:color="auto"/>
              <w:right w:val="single" w:sz="4" w:space="0" w:color="auto"/>
            </w:tcBorders>
            <w:shd w:val="clear" w:color="000000" w:fill="F2F2F2"/>
            <w:noWrap/>
            <w:vAlign w:val="center"/>
            <w:hideMark/>
          </w:tcPr>
          <w:p w14:paraId="6688EC42" w14:textId="77777777" w:rsidR="00A21ED5" w:rsidRPr="00053706" w:rsidRDefault="00A21ED5" w:rsidP="00D22441">
            <w:pPr>
              <w:jc w:val="right"/>
              <w:rPr>
                <w:rFonts w:ascii="Arial Narrow" w:hAnsi="Arial Narrow" w:cs="Arial"/>
                <w:spacing w:val="0"/>
                <w:sz w:val="16"/>
                <w:szCs w:val="16"/>
                <w:lang w:eastAsia="es-CO"/>
              </w:rPr>
            </w:pPr>
            <w:r w:rsidRPr="00053706">
              <w:rPr>
                <w:rFonts w:ascii="Arial Narrow" w:hAnsi="Arial Narrow" w:cs="Arial"/>
                <w:spacing w:val="0"/>
                <w:sz w:val="16"/>
                <w:szCs w:val="16"/>
                <w:lang w:eastAsia="es-CO"/>
              </w:rPr>
              <w:t>$ 127.332.571.000</w:t>
            </w:r>
          </w:p>
        </w:tc>
        <w:tc>
          <w:tcPr>
            <w:tcW w:w="1559" w:type="dxa"/>
            <w:tcBorders>
              <w:top w:val="nil"/>
              <w:left w:val="nil"/>
              <w:bottom w:val="single" w:sz="4" w:space="0" w:color="auto"/>
              <w:right w:val="single" w:sz="4" w:space="0" w:color="auto"/>
            </w:tcBorders>
            <w:shd w:val="clear" w:color="000000" w:fill="F2F2F2"/>
            <w:noWrap/>
            <w:vAlign w:val="center"/>
            <w:hideMark/>
          </w:tcPr>
          <w:p w14:paraId="2DDC86EE" w14:textId="77777777" w:rsidR="00A21ED5" w:rsidRPr="00053706" w:rsidRDefault="00A21ED5" w:rsidP="00D22441">
            <w:pPr>
              <w:jc w:val="right"/>
              <w:rPr>
                <w:rFonts w:ascii="Arial Narrow" w:hAnsi="Arial Narrow" w:cs="Arial"/>
                <w:spacing w:val="0"/>
                <w:sz w:val="16"/>
                <w:szCs w:val="16"/>
                <w:lang w:eastAsia="es-CO"/>
              </w:rPr>
            </w:pPr>
            <w:r w:rsidRPr="00053706">
              <w:rPr>
                <w:rFonts w:ascii="Arial Narrow" w:hAnsi="Arial Narrow" w:cs="Arial"/>
                <w:spacing w:val="0"/>
                <w:sz w:val="16"/>
                <w:szCs w:val="16"/>
                <w:lang w:eastAsia="es-CO"/>
              </w:rPr>
              <w:t>$ 6.349.519.609</w:t>
            </w:r>
          </w:p>
        </w:tc>
        <w:tc>
          <w:tcPr>
            <w:tcW w:w="1560" w:type="dxa"/>
            <w:tcBorders>
              <w:top w:val="nil"/>
              <w:left w:val="nil"/>
              <w:bottom w:val="single" w:sz="4" w:space="0" w:color="auto"/>
              <w:right w:val="single" w:sz="4" w:space="0" w:color="auto"/>
            </w:tcBorders>
            <w:shd w:val="clear" w:color="000000" w:fill="F2F2F2"/>
            <w:noWrap/>
            <w:vAlign w:val="center"/>
            <w:hideMark/>
          </w:tcPr>
          <w:p w14:paraId="003121F8" w14:textId="77777777" w:rsidR="00A21ED5" w:rsidRPr="00053706" w:rsidRDefault="00A21ED5" w:rsidP="00D22441">
            <w:pPr>
              <w:jc w:val="right"/>
              <w:rPr>
                <w:rFonts w:ascii="Arial Narrow" w:hAnsi="Arial Narrow" w:cs="Arial"/>
                <w:spacing w:val="0"/>
                <w:sz w:val="16"/>
                <w:szCs w:val="16"/>
                <w:lang w:eastAsia="es-CO"/>
              </w:rPr>
            </w:pPr>
            <w:r w:rsidRPr="00053706">
              <w:rPr>
                <w:rFonts w:ascii="Arial Narrow" w:hAnsi="Arial Narrow" w:cs="Arial"/>
                <w:spacing w:val="0"/>
                <w:sz w:val="16"/>
                <w:szCs w:val="16"/>
                <w:lang w:eastAsia="es-CO"/>
              </w:rPr>
              <w:t>$ 133.682.090.609</w:t>
            </w:r>
          </w:p>
        </w:tc>
        <w:tc>
          <w:tcPr>
            <w:tcW w:w="1567" w:type="dxa"/>
            <w:tcBorders>
              <w:top w:val="nil"/>
              <w:left w:val="nil"/>
              <w:bottom w:val="single" w:sz="4" w:space="0" w:color="auto"/>
              <w:right w:val="single" w:sz="4" w:space="0" w:color="auto"/>
            </w:tcBorders>
            <w:shd w:val="clear" w:color="000000" w:fill="F2F2F2"/>
            <w:noWrap/>
            <w:vAlign w:val="center"/>
            <w:hideMark/>
          </w:tcPr>
          <w:p w14:paraId="77F0E1D6" w14:textId="77777777" w:rsidR="00A21ED5" w:rsidRPr="00053706" w:rsidRDefault="00A21ED5" w:rsidP="00D22441">
            <w:pPr>
              <w:jc w:val="right"/>
              <w:rPr>
                <w:rFonts w:ascii="Arial Narrow" w:hAnsi="Arial Narrow" w:cs="Arial"/>
                <w:spacing w:val="0"/>
                <w:sz w:val="16"/>
                <w:szCs w:val="16"/>
                <w:lang w:eastAsia="es-CO"/>
              </w:rPr>
            </w:pPr>
            <w:r w:rsidRPr="00053706">
              <w:rPr>
                <w:rFonts w:ascii="Arial Narrow" w:hAnsi="Arial Narrow" w:cs="Arial"/>
                <w:spacing w:val="0"/>
                <w:sz w:val="16"/>
                <w:szCs w:val="16"/>
                <w:lang w:eastAsia="es-CO"/>
              </w:rPr>
              <w:t>$ 1.336.820.906</w:t>
            </w:r>
          </w:p>
        </w:tc>
        <w:tc>
          <w:tcPr>
            <w:tcW w:w="1200" w:type="dxa"/>
            <w:tcBorders>
              <w:top w:val="nil"/>
              <w:left w:val="nil"/>
              <w:bottom w:val="single" w:sz="4" w:space="0" w:color="auto"/>
              <w:right w:val="single" w:sz="4" w:space="0" w:color="auto"/>
            </w:tcBorders>
            <w:shd w:val="clear" w:color="000000" w:fill="F2F2F2"/>
            <w:noWrap/>
            <w:vAlign w:val="center"/>
            <w:hideMark/>
          </w:tcPr>
          <w:p w14:paraId="6F14B82A" w14:textId="77777777" w:rsidR="00A21ED5" w:rsidRPr="00053706" w:rsidRDefault="00A21ED5" w:rsidP="00D22441">
            <w:pPr>
              <w:jc w:val="right"/>
              <w:rPr>
                <w:rFonts w:ascii="Arial Narrow" w:hAnsi="Arial Narrow" w:cs="Arial"/>
                <w:spacing w:val="0"/>
                <w:sz w:val="16"/>
                <w:szCs w:val="16"/>
                <w:lang w:eastAsia="es-CO"/>
              </w:rPr>
            </w:pPr>
            <w:r w:rsidRPr="00053706">
              <w:rPr>
                <w:rFonts w:ascii="Arial Narrow" w:hAnsi="Arial Narrow" w:cs="Arial"/>
                <w:spacing w:val="0"/>
                <w:sz w:val="16"/>
                <w:szCs w:val="16"/>
                <w:lang w:eastAsia="es-CO"/>
              </w:rPr>
              <w:t>$ 55.634</w:t>
            </w:r>
          </w:p>
        </w:tc>
        <w:tc>
          <w:tcPr>
            <w:tcW w:w="1440" w:type="dxa"/>
            <w:tcBorders>
              <w:top w:val="nil"/>
              <w:left w:val="nil"/>
              <w:bottom w:val="single" w:sz="4" w:space="0" w:color="auto"/>
              <w:right w:val="single" w:sz="4" w:space="0" w:color="auto"/>
            </w:tcBorders>
            <w:shd w:val="clear" w:color="000000" w:fill="F2F2F2"/>
            <w:noWrap/>
            <w:vAlign w:val="center"/>
            <w:hideMark/>
          </w:tcPr>
          <w:p w14:paraId="08EA215E" w14:textId="77777777" w:rsidR="00A21ED5" w:rsidRPr="00053706" w:rsidRDefault="00A21ED5" w:rsidP="00D22441">
            <w:pPr>
              <w:jc w:val="right"/>
              <w:rPr>
                <w:rFonts w:ascii="Arial Narrow" w:hAnsi="Arial Narrow" w:cs="Arial"/>
                <w:spacing w:val="0"/>
                <w:sz w:val="16"/>
                <w:szCs w:val="16"/>
                <w:lang w:eastAsia="es-CO"/>
              </w:rPr>
            </w:pPr>
            <w:r w:rsidRPr="00053706">
              <w:rPr>
                <w:rFonts w:ascii="Arial Narrow" w:hAnsi="Arial Narrow" w:cs="Arial"/>
                <w:spacing w:val="0"/>
                <w:sz w:val="16"/>
                <w:szCs w:val="16"/>
                <w:lang w:eastAsia="es-CO"/>
              </w:rPr>
              <w:t>$ 1.336.876.540</w:t>
            </w:r>
          </w:p>
        </w:tc>
      </w:tr>
      <w:tr w:rsidR="00A21ED5" w:rsidRPr="00053706" w14:paraId="02A32041" w14:textId="77777777" w:rsidTr="00A21ED5">
        <w:trPr>
          <w:trHeight w:val="339"/>
        </w:trPr>
        <w:tc>
          <w:tcPr>
            <w:tcW w:w="380" w:type="dxa"/>
            <w:tcBorders>
              <w:top w:val="nil"/>
              <w:left w:val="single" w:sz="4" w:space="0" w:color="auto"/>
              <w:bottom w:val="single" w:sz="4" w:space="0" w:color="auto"/>
              <w:right w:val="single" w:sz="4" w:space="0" w:color="auto"/>
            </w:tcBorders>
            <w:shd w:val="clear" w:color="000000" w:fill="F2F2F2"/>
            <w:noWrap/>
            <w:vAlign w:val="center"/>
            <w:hideMark/>
          </w:tcPr>
          <w:p w14:paraId="6531CD74" w14:textId="77777777" w:rsidR="00A21ED5" w:rsidRPr="00053706" w:rsidRDefault="00A21ED5" w:rsidP="00D22441">
            <w:pPr>
              <w:jc w:val="center"/>
              <w:rPr>
                <w:rFonts w:ascii="Arial Narrow" w:hAnsi="Arial Narrow" w:cs="Arial"/>
                <w:spacing w:val="0"/>
                <w:sz w:val="16"/>
                <w:szCs w:val="16"/>
                <w:lang w:eastAsia="es-CO"/>
              </w:rPr>
            </w:pPr>
            <w:r w:rsidRPr="00053706">
              <w:rPr>
                <w:rFonts w:ascii="Arial Narrow" w:hAnsi="Arial Narrow" w:cs="Arial"/>
                <w:spacing w:val="0"/>
                <w:sz w:val="16"/>
                <w:szCs w:val="16"/>
                <w:lang w:eastAsia="es-CO"/>
              </w:rPr>
              <w:t>7</w:t>
            </w:r>
          </w:p>
        </w:tc>
        <w:tc>
          <w:tcPr>
            <w:tcW w:w="585" w:type="dxa"/>
            <w:tcBorders>
              <w:top w:val="nil"/>
              <w:left w:val="nil"/>
              <w:bottom w:val="single" w:sz="4" w:space="0" w:color="auto"/>
              <w:right w:val="single" w:sz="4" w:space="0" w:color="auto"/>
            </w:tcBorders>
            <w:shd w:val="clear" w:color="000000" w:fill="F2F2F2"/>
            <w:noWrap/>
            <w:vAlign w:val="center"/>
            <w:hideMark/>
          </w:tcPr>
          <w:p w14:paraId="42A3C11E" w14:textId="77777777" w:rsidR="00A21ED5" w:rsidRPr="00053706" w:rsidRDefault="00A21ED5" w:rsidP="00D22441">
            <w:pPr>
              <w:jc w:val="right"/>
              <w:rPr>
                <w:rFonts w:ascii="Arial Narrow" w:hAnsi="Arial Narrow" w:cs="Arial"/>
                <w:spacing w:val="0"/>
                <w:sz w:val="16"/>
                <w:szCs w:val="16"/>
                <w:lang w:eastAsia="es-CO"/>
              </w:rPr>
            </w:pPr>
            <w:r w:rsidRPr="00053706">
              <w:rPr>
                <w:rFonts w:ascii="Arial Narrow" w:hAnsi="Arial Narrow" w:cs="Arial"/>
                <w:spacing w:val="0"/>
                <w:sz w:val="16"/>
                <w:szCs w:val="16"/>
                <w:lang w:eastAsia="es-CO"/>
              </w:rPr>
              <w:t>3370</w:t>
            </w:r>
          </w:p>
        </w:tc>
        <w:tc>
          <w:tcPr>
            <w:tcW w:w="941" w:type="dxa"/>
            <w:tcBorders>
              <w:top w:val="nil"/>
              <w:left w:val="nil"/>
              <w:bottom w:val="single" w:sz="4" w:space="0" w:color="auto"/>
              <w:right w:val="single" w:sz="4" w:space="0" w:color="auto"/>
            </w:tcBorders>
            <w:shd w:val="clear" w:color="000000" w:fill="F2F2F2"/>
            <w:noWrap/>
            <w:vAlign w:val="center"/>
            <w:hideMark/>
          </w:tcPr>
          <w:p w14:paraId="1F347DE8" w14:textId="77777777" w:rsidR="00A21ED5" w:rsidRPr="00053706" w:rsidRDefault="00A21ED5" w:rsidP="00D22441">
            <w:pPr>
              <w:jc w:val="right"/>
              <w:rPr>
                <w:rFonts w:ascii="Arial Narrow" w:hAnsi="Arial Narrow" w:cs="Arial"/>
                <w:spacing w:val="0"/>
                <w:sz w:val="16"/>
                <w:szCs w:val="16"/>
                <w:lang w:eastAsia="es-CO"/>
              </w:rPr>
            </w:pPr>
            <w:r w:rsidRPr="00053706">
              <w:rPr>
                <w:rFonts w:ascii="Arial Narrow" w:hAnsi="Arial Narrow" w:cs="Arial"/>
                <w:spacing w:val="0"/>
                <w:sz w:val="16"/>
                <w:szCs w:val="16"/>
                <w:lang w:eastAsia="es-CO"/>
              </w:rPr>
              <w:t>844004576</w:t>
            </w:r>
          </w:p>
        </w:tc>
        <w:tc>
          <w:tcPr>
            <w:tcW w:w="2767" w:type="dxa"/>
            <w:tcBorders>
              <w:top w:val="nil"/>
              <w:left w:val="nil"/>
              <w:bottom w:val="single" w:sz="4" w:space="0" w:color="auto"/>
              <w:right w:val="single" w:sz="4" w:space="0" w:color="auto"/>
            </w:tcBorders>
            <w:shd w:val="clear" w:color="000000" w:fill="F2F2F2"/>
            <w:vAlign w:val="center"/>
            <w:hideMark/>
          </w:tcPr>
          <w:p w14:paraId="3BCEF73C" w14:textId="77777777" w:rsidR="00A21ED5" w:rsidRPr="00053706" w:rsidRDefault="00A21ED5" w:rsidP="00D22441">
            <w:pPr>
              <w:jc w:val="left"/>
              <w:rPr>
                <w:rFonts w:ascii="Arial Narrow" w:hAnsi="Arial Narrow" w:cs="Arial"/>
                <w:spacing w:val="0"/>
                <w:sz w:val="16"/>
                <w:szCs w:val="16"/>
                <w:lang w:eastAsia="es-CO"/>
              </w:rPr>
            </w:pPr>
            <w:r w:rsidRPr="00053706">
              <w:rPr>
                <w:rFonts w:ascii="Arial Narrow" w:hAnsi="Arial Narrow" w:cs="Arial"/>
                <w:spacing w:val="0"/>
                <w:sz w:val="16"/>
                <w:szCs w:val="16"/>
                <w:lang w:eastAsia="es-CO"/>
              </w:rPr>
              <w:t>EMPRESA DE ENERGIA DE CASANARE SA ESP</w:t>
            </w:r>
          </w:p>
        </w:tc>
        <w:tc>
          <w:tcPr>
            <w:tcW w:w="1701" w:type="dxa"/>
            <w:tcBorders>
              <w:top w:val="nil"/>
              <w:left w:val="nil"/>
              <w:bottom w:val="single" w:sz="4" w:space="0" w:color="auto"/>
              <w:right w:val="single" w:sz="4" w:space="0" w:color="auto"/>
            </w:tcBorders>
            <w:shd w:val="clear" w:color="000000" w:fill="F2F2F2"/>
            <w:noWrap/>
            <w:vAlign w:val="center"/>
            <w:hideMark/>
          </w:tcPr>
          <w:p w14:paraId="0DEF9D5B" w14:textId="77777777" w:rsidR="00A21ED5" w:rsidRPr="00053706" w:rsidRDefault="00A21ED5" w:rsidP="00D22441">
            <w:pPr>
              <w:jc w:val="right"/>
              <w:rPr>
                <w:rFonts w:ascii="Arial Narrow" w:hAnsi="Arial Narrow" w:cs="Arial"/>
                <w:spacing w:val="0"/>
                <w:sz w:val="16"/>
                <w:szCs w:val="16"/>
                <w:lang w:eastAsia="es-CO"/>
              </w:rPr>
            </w:pPr>
            <w:r w:rsidRPr="00053706">
              <w:rPr>
                <w:rFonts w:ascii="Arial Narrow" w:hAnsi="Arial Narrow" w:cs="Arial"/>
                <w:spacing w:val="0"/>
                <w:sz w:val="16"/>
                <w:szCs w:val="16"/>
                <w:lang w:eastAsia="es-CO"/>
              </w:rPr>
              <w:t>$ 5.469.005.000</w:t>
            </w:r>
          </w:p>
        </w:tc>
        <w:tc>
          <w:tcPr>
            <w:tcW w:w="1559" w:type="dxa"/>
            <w:tcBorders>
              <w:top w:val="nil"/>
              <w:left w:val="nil"/>
              <w:bottom w:val="single" w:sz="4" w:space="0" w:color="auto"/>
              <w:right w:val="single" w:sz="4" w:space="0" w:color="auto"/>
            </w:tcBorders>
            <w:shd w:val="clear" w:color="000000" w:fill="F2F2F2"/>
            <w:noWrap/>
            <w:vAlign w:val="center"/>
            <w:hideMark/>
          </w:tcPr>
          <w:p w14:paraId="3C745665" w14:textId="77777777" w:rsidR="00A21ED5" w:rsidRPr="00053706" w:rsidRDefault="00A21ED5" w:rsidP="00D22441">
            <w:pPr>
              <w:jc w:val="right"/>
              <w:rPr>
                <w:rFonts w:ascii="Arial Narrow" w:hAnsi="Arial Narrow" w:cs="Arial"/>
                <w:spacing w:val="0"/>
                <w:sz w:val="16"/>
                <w:szCs w:val="16"/>
                <w:lang w:eastAsia="es-CO"/>
              </w:rPr>
            </w:pPr>
            <w:r w:rsidRPr="00053706">
              <w:rPr>
                <w:rFonts w:ascii="Arial Narrow" w:hAnsi="Arial Narrow" w:cs="Arial"/>
                <w:spacing w:val="0"/>
                <w:sz w:val="16"/>
                <w:szCs w:val="16"/>
                <w:lang w:eastAsia="es-CO"/>
              </w:rPr>
              <w:t>$ 1.713.699.397</w:t>
            </w:r>
          </w:p>
        </w:tc>
        <w:tc>
          <w:tcPr>
            <w:tcW w:w="1560" w:type="dxa"/>
            <w:tcBorders>
              <w:top w:val="nil"/>
              <w:left w:val="nil"/>
              <w:bottom w:val="single" w:sz="4" w:space="0" w:color="auto"/>
              <w:right w:val="single" w:sz="4" w:space="0" w:color="auto"/>
            </w:tcBorders>
            <w:shd w:val="clear" w:color="000000" w:fill="F2F2F2"/>
            <w:noWrap/>
            <w:vAlign w:val="center"/>
            <w:hideMark/>
          </w:tcPr>
          <w:p w14:paraId="56232C38" w14:textId="77777777" w:rsidR="00A21ED5" w:rsidRPr="00053706" w:rsidRDefault="00A21ED5" w:rsidP="00D22441">
            <w:pPr>
              <w:jc w:val="right"/>
              <w:rPr>
                <w:rFonts w:ascii="Arial Narrow" w:hAnsi="Arial Narrow" w:cs="Arial"/>
                <w:spacing w:val="0"/>
                <w:sz w:val="16"/>
                <w:szCs w:val="16"/>
                <w:lang w:eastAsia="es-CO"/>
              </w:rPr>
            </w:pPr>
            <w:r w:rsidRPr="00053706">
              <w:rPr>
                <w:rFonts w:ascii="Arial Narrow" w:hAnsi="Arial Narrow" w:cs="Arial"/>
                <w:spacing w:val="0"/>
                <w:sz w:val="16"/>
                <w:szCs w:val="16"/>
                <w:lang w:eastAsia="es-CO"/>
              </w:rPr>
              <w:t>$ 7.182.704.397</w:t>
            </w:r>
          </w:p>
        </w:tc>
        <w:tc>
          <w:tcPr>
            <w:tcW w:w="1567" w:type="dxa"/>
            <w:tcBorders>
              <w:top w:val="nil"/>
              <w:left w:val="nil"/>
              <w:bottom w:val="single" w:sz="4" w:space="0" w:color="auto"/>
              <w:right w:val="single" w:sz="4" w:space="0" w:color="auto"/>
            </w:tcBorders>
            <w:shd w:val="clear" w:color="000000" w:fill="F2F2F2"/>
            <w:noWrap/>
            <w:vAlign w:val="center"/>
            <w:hideMark/>
          </w:tcPr>
          <w:p w14:paraId="1E643DC8" w14:textId="77777777" w:rsidR="00A21ED5" w:rsidRPr="00053706" w:rsidRDefault="00A21ED5" w:rsidP="00D22441">
            <w:pPr>
              <w:jc w:val="right"/>
              <w:rPr>
                <w:rFonts w:ascii="Arial Narrow" w:hAnsi="Arial Narrow" w:cs="Arial"/>
                <w:spacing w:val="0"/>
                <w:sz w:val="16"/>
                <w:szCs w:val="16"/>
                <w:lang w:eastAsia="es-CO"/>
              </w:rPr>
            </w:pPr>
            <w:r w:rsidRPr="00053706">
              <w:rPr>
                <w:rFonts w:ascii="Arial Narrow" w:hAnsi="Arial Narrow" w:cs="Arial"/>
                <w:spacing w:val="0"/>
                <w:sz w:val="16"/>
                <w:szCs w:val="16"/>
                <w:lang w:eastAsia="es-CO"/>
              </w:rPr>
              <w:t>$ 71.827.044</w:t>
            </w:r>
          </w:p>
        </w:tc>
        <w:tc>
          <w:tcPr>
            <w:tcW w:w="1200" w:type="dxa"/>
            <w:tcBorders>
              <w:top w:val="nil"/>
              <w:left w:val="nil"/>
              <w:bottom w:val="single" w:sz="4" w:space="0" w:color="auto"/>
              <w:right w:val="single" w:sz="4" w:space="0" w:color="auto"/>
            </w:tcBorders>
            <w:shd w:val="clear" w:color="000000" w:fill="F2F2F2"/>
            <w:noWrap/>
            <w:vAlign w:val="center"/>
            <w:hideMark/>
          </w:tcPr>
          <w:p w14:paraId="06A2E88B" w14:textId="77777777" w:rsidR="00A21ED5" w:rsidRPr="00053706" w:rsidRDefault="00A21ED5" w:rsidP="00D22441">
            <w:pPr>
              <w:jc w:val="right"/>
              <w:rPr>
                <w:rFonts w:ascii="Arial Narrow" w:hAnsi="Arial Narrow" w:cs="Arial"/>
                <w:spacing w:val="0"/>
                <w:sz w:val="16"/>
                <w:szCs w:val="16"/>
                <w:lang w:eastAsia="es-CO"/>
              </w:rPr>
            </w:pPr>
            <w:r w:rsidRPr="00053706">
              <w:rPr>
                <w:rFonts w:ascii="Arial Narrow" w:hAnsi="Arial Narrow" w:cs="Arial"/>
                <w:spacing w:val="0"/>
                <w:sz w:val="16"/>
                <w:szCs w:val="16"/>
                <w:lang w:eastAsia="es-CO"/>
              </w:rPr>
              <w:t>$ 2.989</w:t>
            </w:r>
          </w:p>
        </w:tc>
        <w:tc>
          <w:tcPr>
            <w:tcW w:w="1440" w:type="dxa"/>
            <w:tcBorders>
              <w:top w:val="nil"/>
              <w:left w:val="nil"/>
              <w:bottom w:val="single" w:sz="4" w:space="0" w:color="auto"/>
              <w:right w:val="single" w:sz="4" w:space="0" w:color="auto"/>
            </w:tcBorders>
            <w:shd w:val="clear" w:color="000000" w:fill="F2F2F2"/>
            <w:noWrap/>
            <w:vAlign w:val="center"/>
            <w:hideMark/>
          </w:tcPr>
          <w:p w14:paraId="32BFC987" w14:textId="77777777" w:rsidR="00A21ED5" w:rsidRPr="00053706" w:rsidRDefault="00A21ED5" w:rsidP="00D22441">
            <w:pPr>
              <w:jc w:val="right"/>
              <w:rPr>
                <w:rFonts w:ascii="Arial Narrow" w:hAnsi="Arial Narrow" w:cs="Arial"/>
                <w:spacing w:val="0"/>
                <w:sz w:val="16"/>
                <w:szCs w:val="16"/>
                <w:lang w:eastAsia="es-CO"/>
              </w:rPr>
            </w:pPr>
            <w:r w:rsidRPr="00053706">
              <w:rPr>
                <w:rFonts w:ascii="Arial Narrow" w:hAnsi="Arial Narrow" w:cs="Arial"/>
                <w:spacing w:val="0"/>
                <w:sz w:val="16"/>
                <w:szCs w:val="16"/>
                <w:lang w:eastAsia="es-CO"/>
              </w:rPr>
              <w:t>$ 71.830.033</w:t>
            </w:r>
          </w:p>
        </w:tc>
      </w:tr>
      <w:tr w:rsidR="00A21ED5" w:rsidRPr="00053706" w14:paraId="734490BA" w14:textId="77777777" w:rsidTr="00A21ED5">
        <w:trPr>
          <w:trHeight w:val="349"/>
        </w:trPr>
        <w:tc>
          <w:tcPr>
            <w:tcW w:w="380" w:type="dxa"/>
            <w:tcBorders>
              <w:top w:val="nil"/>
              <w:left w:val="single" w:sz="4" w:space="0" w:color="auto"/>
              <w:bottom w:val="single" w:sz="4" w:space="0" w:color="auto"/>
              <w:right w:val="single" w:sz="4" w:space="0" w:color="auto"/>
            </w:tcBorders>
            <w:shd w:val="clear" w:color="000000" w:fill="F2F2F2"/>
            <w:noWrap/>
            <w:vAlign w:val="center"/>
            <w:hideMark/>
          </w:tcPr>
          <w:p w14:paraId="471919C8" w14:textId="77777777" w:rsidR="00A21ED5" w:rsidRPr="00053706" w:rsidRDefault="00A21ED5" w:rsidP="00D22441">
            <w:pPr>
              <w:jc w:val="center"/>
              <w:rPr>
                <w:rFonts w:ascii="Arial Narrow" w:hAnsi="Arial Narrow" w:cs="Arial"/>
                <w:spacing w:val="0"/>
                <w:sz w:val="16"/>
                <w:szCs w:val="16"/>
                <w:lang w:eastAsia="es-CO"/>
              </w:rPr>
            </w:pPr>
            <w:r w:rsidRPr="00053706">
              <w:rPr>
                <w:rFonts w:ascii="Arial Narrow" w:hAnsi="Arial Narrow" w:cs="Arial"/>
                <w:spacing w:val="0"/>
                <w:sz w:val="16"/>
                <w:szCs w:val="16"/>
                <w:lang w:eastAsia="es-CO"/>
              </w:rPr>
              <w:t>8</w:t>
            </w:r>
          </w:p>
        </w:tc>
        <w:tc>
          <w:tcPr>
            <w:tcW w:w="585" w:type="dxa"/>
            <w:tcBorders>
              <w:top w:val="nil"/>
              <w:left w:val="nil"/>
              <w:bottom w:val="single" w:sz="4" w:space="0" w:color="auto"/>
              <w:right w:val="single" w:sz="4" w:space="0" w:color="auto"/>
            </w:tcBorders>
            <w:shd w:val="clear" w:color="000000" w:fill="F2F2F2"/>
            <w:noWrap/>
            <w:vAlign w:val="center"/>
            <w:hideMark/>
          </w:tcPr>
          <w:p w14:paraId="28FEE208" w14:textId="77777777" w:rsidR="00A21ED5" w:rsidRPr="00053706" w:rsidRDefault="00A21ED5" w:rsidP="00D22441">
            <w:pPr>
              <w:jc w:val="right"/>
              <w:rPr>
                <w:rFonts w:ascii="Arial Narrow" w:hAnsi="Arial Narrow" w:cs="Arial"/>
                <w:spacing w:val="0"/>
                <w:sz w:val="16"/>
                <w:szCs w:val="16"/>
                <w:lang w:eastAsia="es-CO"/>
              </w:rPr>
            </w:pPr>
            <w:r w:rsidRPr="00053706">
              <w:rPr>
                <w:rFonts w:ascii="Arial Narrow" w:hAnsi="Arial Narrow" w:cs="Arial"/>
                <w:spacing w:val="0"/>
                <w:sz w:val="16"/>
                <w:szCs w:val="16"/>
                <w:lang w:eastAsia="es-CO"/>
              </w:rPr>
              <w:t>597</w:t>
            </w:r>
          </w:p>
        </w:tc>
        <w:tc>
          <w:tcPr>
            <w:tcW w:w="941" w:type="dxa"/>
            <w:tcBorders>
              <w:top w:val="nil"/>
              <w:left w:val="nil"/>
              <w:bottom w:val="single" w:sz="4" w:space="0" w:color="auto"/>
              <w:right w:val="single" w:sz="4" w:space="0" w:color="auto"/>
            </w:tcBorders>
            <w:shd w:val="clear" w:color="000000" w:fill="F2F2F2"/>
            <w:noWrap/>
            <w:vAlign w:val="center"/>
            <w:hideMark/>
          </w:tcPr>
          <w:p w14:paraId="55320540" w14:textId="77777777" w:rsidR="00A21ED5" w:rsidRPr="00053706" w:rsidRDefault="00A21ED5" w:rsidP="00D22441">
            <w:pPr>
              <w:jc w:val="right"/>
              <w:rPr>
                <w:rFonts w:ascii="Arial Narrow" w:hAnsi="Arial Narrow" w:cs="Arial"/>
                <w:spacing w:val="0"/>
                <w:sz w:val="16"/>
                <w:szCs w:val="16"/>
                <w:lang w:eastAsia="es-CO"/>
              </w:rPr>
            </w:pPr>
            <w:r w:rsidRPr="00053706">
              <w:rPr>
                <w:rFonts w:ascii="Arial Narrow" w:hAnsi="Arial Narrow" w:cs="Arial"/>
                <w:spacing w:val="0"/>
                <w:sz w:val="16"/>
                <w:szCs w:val="16"/>
                <w:lang w:eastAsia="es-CO"/>
              </w:rPr>
              <w:t>860063875</w:t>
            </w:r>
          </w:p>
        </w:tc>
        <w:tc>
          <w:tcPr>
            <w:tcW w:w="2767" w:type="dxa"/>
            <w:tcBorders>
              <w:top w:val="nil"/>
              <w:left w:val="nil"/>
              <w:bottom w:val="single" w:sz="4" w:space="0" w:color="auto"/>
              <w:right w:val="single" w:sz="4" w:space="0" w:color="auto"/>
            </w:tcBorders>
            <w:shd w:val="clear" w:color="000000" w:fill="F2F2F2"/>
            <w:vAlign w:val="center"/>
            <w:hideMark/>
          </w:tcPr>
          <w:p w14:paraId="7B0058DD" w14:textId="77777777" w:rsidR="00A21ED5" w:rsidRPr="00053706" w:rsidRDefault="00A21ED5" w:rsidP="00D22441">
            <w:pPr>
              <w:jc w:val="left"/>
              <w:rPr>
                <w:rFonts w:ascii="Arial Narrow" w:hAnsi="Arial Narrow" w:cs="Arial"/>
                <w:spacing w:val="0"/>
                <w:sz w:val="16"/>
                <w:szCs w:val="16"/>
                <w:lang w:eastAsia="es-CO"/>
              </w:rPr>
            </w:pPr>
            <w:r w:rsidRPr="00053706">
              <w:rPr>
                <w:rFonts w:ascii="Arial Narrow" w:hAnsi="Arial Narrow" w:cs="Arial"/>
                <w:spacing w:val="0"/>
                <w:sz w:val="16"/>
                <w:szCs w:val="16"/>
                <w:lang w:eastAsia="es-CO"/>
              </w:rPr>
              <w:t>EMGESA S.A. E.S.P.</w:t>
            </w:r>
          </w:p>
        </w:tc>
        <w:tc>
          <w:tcPr>
            <w:tcW w:w="1701" w:type="dxa"/>
            <w:tcBorders>
              <w:top w:val="nil"/>
              <w:left w:val="nil"/>
              <w:bottom w:val="single" w:sz="4" w:space="0" w:color="auto"/>
              <w:right w:val="single" w:sz="4" w:space="0" w:color="auto"/>
            </w:tcBorders>
            <w:shd w:val="clear" w:color="000000" w:fill="F2F2F2"/>
            <w:noWrap/>
            <w:vAlign w:val="center"/>
            <w:hideMark/>
          </w:tcPr>
          <w:p w14:paraId="575E16B6" w14:textId="77777777" w:rsidR="00A21ED5" w:rsidRPr="00053706" w:rsidRDefault="00A21ED5" w:rsidP="00D22441">
            <w:pPr>
              <w:jc w:val="right"/>
              <w:rPr>
                <w:rFonts w:ascii="Arial Narrow" w:hAnsi="Arial Narrow" w:cs="Arial"/>
                <w:spacing w:val="0"/>
                <w:sz w:val="16"/>
                <w:szCs w:val="16"/>
                <w:lang w:eastAsia="es-CO"/>
              </w:rPr>
            </w:pPr>
            <w:r w:rsidRPr="00053706">
              <w:rPr>
                <w:rFonts w:ascii="Arial Narrow" w:hAnsi="Arial Narrow" w:cs="Arial"/>
                <w:spacing w:val="0"/>
                <w:sz w:val="16"/>
                <w:szCs w:val="16"/>
                <w:lang w:eastAsia="es-CO"/>
              </w:rPr>
              <w:t>$ 155.218.953.000</w:t>
            </w:r>
          </w:p>
        </w:tc>
        <w:tc>
          <w:tcPr>
            <w:tcW w:w="1559" w:type="dxa"/>
            <w:tcBorders>
              <w:top w:val="nil"/>
              <w:left w:val="nil"/>
              <w:bottom w:val="single" w:sz="4" w:space="0" w:color="auto"/>
              <w:right w:val="single" w:sz="4" w:space="0" w:color="auto"/>
            </w:tcBorders>
            <w:shd w:val="clear" w:color="000000" w:fill="F2F2F2"/>
            <w:noWrap/>
            <w:vAlign w:val="center"/>
            <w:hideMark/>
          </w:tcPr>
          <w:p w14:paraId="4F9A2AD8" w14:textId="77777777" w:rsidR="00A21ED5" w:rsidRPr="00053706" w:rsidRDefault="00A21ED5" w:rsidP="00D22441">
            <w:pPr>
              <w:jc w:val="right"/>
              <w:rPr>
                <w:rFonts w:ascii="Arial Narrow" w:hAnsi="Arial Narrow" w:cs="Arial"/>
                <w:spacing w:val="0"/>
                <w:sz w:val="16"/>
                <w:szCs w:val="16"/>
                <w:lang w:eastAsia="es-CO"/>
              </w:rPr>
            </w:pPr>
            <w:r w:rsidRPr="00053706">
              <w:rPr>
                <w:rFonts w:ascii="Arial Narrow" w:hAnsi="Arial Narrow" w:cs="Arial"/>
                <w:spacing w:val="0"/>
                <w:sz w:val="16"/>
                <w:szCs w:val="16"/>
                <w:lang w:eastAsia="es-CO"/>
              </w:rPr>
              <w:t>$ 30.959.540.421</w:t>
            </w:r>
          </w:p>
        </w:tc>
        <w:tc>
          <w:tcPr>
            <w:tcW w:w="1560" w:type="dxa"/>
            <w:tcBorders>
              <w:top w:val="nil"/>
              <w:left w:val="nil"/>
              <w:bottom w:val="single" w:sz="4" w:space="0" w:color="auto"/>
              <w:right w:val="single" w:sz="4" w:space="0" w:color="auto"/>
            </w:tcBorders>
            <w:shd w:val="clear" w:color="000000" w:fill="F2F2F2"/>
            <w:noWrap/>
            <w:vAlign w:val="center"/>
            <w:hideMark/>
          </w:tcPr>
          <w:p w14:paraId="686A7B6E" w14:textId="77777777" w:rsidR="00A21ED5" w:rsidRPr="00053706" w:rsidRDefault="00A21ED5" w:rsidP="00D22441">
            <w:pPr>
              <w:jc w:val="right"/>
              <w:rPr>
                <w:rFonts w:ascii="Arial Narrow" w:hAnsi="Arial Narrow" w:cs="Arial"/>
                <w:spacing w:val="0"/>
                <w:sz w:val="16"/>
                <w:szCs w:val="16"/>
                <w:lang w:eastAsia="es-CO"/>
              </w:rPr>
            </w:pPr>
            <w:r w:rsidRPr="00053706">
              <w:rPr>
                <w:rFonts w:ascii="Arial Narrow" w:hAnsi="Arial Narrow" w:cs="Arial"/>
                <w:spacing w:val="0"/>
                <w:sz w:val="16"/>
                <w:szCs w:val="16"/>
                <w:lang w:eastAsia="es-CO"/>
              </w:rPr>
              <w:t>$ 186.178.493.421</w:t>
            </w:r>
          </w:p>
        </w:tc>
        <w:tc>
          <w:tcPr>
            <w:tcW w:w="1567" w:type="dxa"/>
            <w:tcBorders>
              <w:top w:val="nil"/>
              <w:left w:val="nil"/>
              <w:bottom w:val="single" w:sz="4" w:space="0" w:color="auto"/>
              <w:right w:val="single" w:sz="4" w:space="0" w:color="auto"/>
            </w:tcBorders>
            <w:shd w:val="clear" w:color="000000" w:fill="F2F2F2"/>
            <w:noWrap/>
            <w:vAlign w:val="center"/>
            <w:hideMark/>
          </w:tcPr>
          <w:p w14:paraId="580E186E" w14:textId="77777777" w:rsidR="00A21ED5" w:rsidRPr="00053706" w:rsidRDefault="00A21ED5" w:rsidP="00D22441">
            <w:pPr>
              <w:jc w:val="right"/>
              <w:rPr>
                <w:rFonts w:ascii="Arial Narrow" w:hAnsi="Arial Narrow" w:cs="Arial"/>
                <w:spacing w:val="0"/>
                <w:sz w:val="16"/>
                <w:szCs w:val="16"/>
                <w:lang w:eastAsia="es-CO"/>
              </w:rPr>
            </w:pPr>
            <w:r w:rsidRPr="00053706">
              <w:rPr>
                <w:rFonts w:ascii="Arial Narrow" w:hAnsi="Arial Narrow" w:cs="Arial"/>
                <w:spacing w:val="0"/>
                <w:sz w:val="16"/>
                <w:szCs w:val="16"/>
                <w:lang w:eastAsia="es-CO"/>
              </w:rPr>
              <w:t>$ 1.861.784.934</w:t>
            </w:r>
          </w:p>
        </w:tc>
        <w:tc>
          <w:tcPr>
            <w:tcW w:w="1200" w:type="dxa"/>
            <w:tcBorders>
              <w:top w:val="nil"/>
              <w:left w:val="nil"/>
              <w:bottom w:val="single" w:sz="4" w:space="0" w:color="auto"/>
              <w:right w:val="single" w:sz="4" w:space="0" w:color="auto"/>
            </w:tcBorders>
            <w:shd w:val="clear" w:color="000000" w:fill="F2F2F2"/>
            <w:noWrap/>
            <w:vAlign w:val="center"/>
            <w:hideMark/>
          </w:tcPr>
          <w:p w14:paraId="2FCC1C43" w14:textId="77777777" w:rsidR="00A21ED5" w:rsidRPr="00053706" w:rsidRDefault="00A21ED5" w:rsidP="00D22441">
            <w:pPr>
              <w:jc w:val="right"/>
              <w:rPr>
                <w:rFonts w:ascii="Arial Narrow" w:hAnsi="Arial Narrow" w:cs="Arial"/>
                <w:spacing w:val="0"/>
                <w:sz w:val="16"/>
                <w:szCs w:val="16"/>
                <w:lang w:eastAsia="es-CO"/>
              </w:rPr>
            </w:pPr>
            <w:r w:rsidRPr="00053706">
              <w:rPr>
                <w:rFonts w:ascii="Arial Narrow" w:hAnsi="Arial Narrow" w:cs="Arial"/>
                <w:spacing w:val="0"/>
                <w:sz w:val="16"/>
                <w:szCs w:val="16"/>
                <w:lang w:eastAsia="es-CO"/>
              </w:rPr>
              <w:t>$ 77.481</w:t>
            </w:r>
          </w:p>
        </w:tc>
        <w:tc>
          <w:tcPr>
            <w:tcW w:w="1440" w:type="dxa"/>
            <w:tcBorders>
              <w:top w:val="nil"/>
              <w:left w:val="nil"/>
              <w:bottom w:val="single" w:sz="4" w:space="0" w:color="auto"/>
              <w:right w:val="single" w:sz="4" w:space="0" w:color="auto"/>
            </w:tcBorders>
            <w:shd w:val="clear" w:color="000000" w:fill="F2F2F2"/>
            <w:noWrap/>
            <w:vAlign w:val="center"/>
            <w:hideMark/>
          </w:tcPr>
          <w:p w14:paraId="44650A2F" w14:textId="77777777" w:rsidR="00A21ED5" w:rsidRPr="00053706" w:rsidRDefault="00A21ED5" w:rsidP="00D22441">
            <w:pPr>
              <w:jc w:val="right"/>
              <w:rPr>
                <w:rFonts w:ascii="Arial Narrow" w:hAnsi="Arial Narrow" w:cs="Arial"/>
                <w:spacing w:val="0"/>
                <w:sz w:val="16"/>
                <w:szCs w:val="16"/>
                <w:lang w:eastAsia="es-CO"/>
              </w:rPr>
            </w:pPr>
            <w:r w:rsidRPr="00053706">
              <w:rPr>
                <w:rFonts w:ascii="Arial Narrow" w:hAnsi="Arial Narrow" w:cs="Arial"/>
                <w:spacing w:val="0"/>
                <w:sz w:val="16"/>
                <w:szCs w:val="16"/>
                <w:lang w:eastAsia="es-CO"/>
              </w:rPr>
              <w:t>$ 1.861.862.415</w:t>
            </w:r>
          </w:p>
        </w:tc>
      </w:tr>
      <w:tr w:rsidR="00A21ED5" w:rsidRPr="00053706" w14:paraId="286F72A9" w14:textId="77777777" w:rsidTr="00A21ED5">
        <w:trPr>
          <w:trHeight w:val="675"/>
        </w:trPr>
        <w:tc>
          <w:tcPr>
            <w:tcW w:w="380" w:type="dxa"/>
            <w:tcBorders>
              <w:top w:val="nil"/>
              <w:left w:val="single" w:sz="4" w:space="0" w:color="auto"/>
              <w:bottom w:val="single" w:sz="4" w:space="0" w:color="auto"/>
              <w:right w:val="single" w:sz="4" w:space="0" w:color="auto"/>
            </w:tcBorders>
            <w:shd w:val="clear" w:color="000000" w:fill="F2F2F2"/>
            <w:noWrap/>
            <w:vAlign w:val="center"/>
            <w:hideMark/>
          </w:tcPr>
          <w:p w14:paraId="28711FBD" w14:textId="77777777" w:rsidR="00A21ED5" w:rsidRPr="00053706" w:rsidRDefault="00A21ED5" w:rsidP="00D22441">
            <w:pPr>
              <w:jc w:val="center"/>
              <w:rPr>
                <w:rFonts w:ascii="Arial Narrow" w:hAnsi="Arial Narrow" w:cs="Arial"/>
                <w:spacing w:val="0"/>
                <w:sz w:val="16"/>
                <w:szCs w:val="16"/>
                <w:lang w:eastAsia="es-CO"/>
              </w:rPr>
            </w:pPr>
            <w:r w:rsidRPr="00053706">
              <w:rPr>
                <w:rFonts w:ascii="Arial Narrow" w:hAnsi="Arial Narrow" w:cs="Arial"/>
                <w:spacing w:val="0"/>
                <w:sz w:val="16"/>
                <w:szCs w:val="16"/>
                <w:lang w:eastAsia="es-CO"/>
              </w:rPr>
              <w:t>9</w:t>
            </w:r>
          </w:p>
        </w:tc>
        <w:tc>
          <w:tcPr>
            <w:tcW w:w="585" w:type="dxa"/>
            <w:tcBorders>
              <w:top w:val="nil"/>
              <w:left w:val="nil"/>
              <w:bottom w:val="single" w:sz="4" w:space="0" w:color="auto"/>
              <w:right w:val="single" w:sz="4" w:space="0" w:color="auto"/>
            </w:tcBorders>
            <w:shd w:val="clear" w:color="000000" w:fill="F2F2F2"/>
            <w:noWrap/>
            <w:vAlign w:val="center"/>
            <w:hideMark/>
          </w:tcPr>
          <w:p w14:paraId="16DB6C5B" w14:textId="77777777" w:rsidR="00A21ED5" w:rsidRPr="00053706" w:rsidRDefault="00A21ED5" w:rsidP="00D22441">
            <w:pPr>
              <w:jc w:val="right"/>
              <w:rPr>
                <w:rFonts w:ascii="Arial Narrow" w:hAnsi="Arial Narrow" w:cs="Arial"/>
                <w:spacing w:val="0"/>
                <w:sz w:val="16"/>
                <w:szCs w:val="16"/>
                <w:lang w:eastAsia="es-CO"/>
              </w:rPr>
            </w:pPr>
            <w:r w:rsidRPr="00053706">
              <w:rPr>
                <w:rFonts w:ascii="Arial Narrow" w:hAnsi="Arial Narrow" w:cs="Arial"/>
                <w:spacing w:val="0"/>
                <w:sz w:val="16"/>
                <w:szCs w:val="16"/>
                <w:lang w:eastAsia="es-CO"/>
              </w:rPr>
              <w:t>21600</w:t>
            </w:r>
          </w:p>
        </w:tc>
        <w:tc>
          <w:tcPr>
            <w:tcW w:w="941" w:type="dxa"/>
            <w:tcBorders>
              <w:top w:val="nil"/>
              <w:left w:val="nil"/>
              <w:bottom w:val="single" w:sz="4" w:space="0" w:color="auto"/>
              <w:right w:val="single" w:sz="4" w:space="0" w:color="auto"/>
            </w:tcBorders>
            <w:shd w:val="clear" w:color="000000" w:fill="F2F2F2"/>
            <w:noWrap/>
            <w:vAlign w:val="center"/>
            <w:hideMark/>
          </w:tcPr>
          <w:p w14:paraId="7AD8989A" w14:textId="77777777" w:rsidR="00A21ED5" w:rsidRPr="00053706" w:rsidRDefault="00A21ED5" w:rsidP="00D22441">
            <w:pPr>
              <w:jc w:val="right"/>
              <w:rPr>
                <w:rFonts w:ascii="Arial Narrow" w:hAnsi="Arial Narrow" w:cs="Arial"/>
                <w:spacing w:val="0"/>
                <w:sz w:val="16"/>
                <w:szCs w:val="16"/>
                <w:lang w:eastAsia="es-CO"/>
              </w:rPr>
            </w:pPr>
            <w:r w:rsidRPr="00053706">
              <w:rPr>
                <w:rFonts w:ascii="Arial Narrow" w:hAnsi="Arial Narrow" w:cs="Arial"/>
                <w:spacing w:val="0"/>
                <w:sz w:val="16"/>
                <w:szCs w:val="16"/>
                <w:lang w:eastAsia="es-CO"/>
              </w:rPr>
              <w:t>900082143</w:t>
            </w:r>
          </w:p>
        </w:tc>
        <w:tc>
          <w:tcPr>
            <w:tcW w:w="2767" w:type="dxa"/>
            <w:tcBorders>
              <w:top w:val="nil"/>
              <w:left w:val="nil"/>
              <w:bottom w:val="single" w:sz="4" w:space="0" w:color="auto"/>
              <w:right w:val="single" w:sz="4" w:space="0" w:color="auto"/>
            </w:tcBorders>
            <w:shd w:val="clear" w:color="000000" w:fill="F2F2F2"/>
            <w:vAlign w:val="center"/>
            <w:hideMark/>
          </w:tcPr>
          <w:p w14:paraId="626338F7" w14:textId="798BEABA" w:rsidR="00A21ED5" w:rsidRPr="00053706" w:rsidRDefault="00A21ED5" w:rsidP="00D22441">
            <w:pPr>
              <w:jc w:val="left"/>
              <w:rPr>
                <w:rFonts w:ascii="Arial Narrow" w:hAnsi="Arial Narrow" w:cs="Arial"/>
                <w:spacing w:val="0"/>
                <w:sz w:val="16"/>
                <w:szCs w:val="16"/>
                <w:lang w:eastAsia="es-CO"/>
              </w:rPr>
            </w:pPr>
            <w:r w:rsidRPr="00053706">
              <w:rPr>
                <w:rFonts w:ascii="Arial Narrow" w:hAnsi="Arial Narrow" w:cs="Arial"/>
                <w:spacing w:val="0"/>
                <w:sz w:val="16"/>
                <w:szCs w:val="16"/>
                <w:lang w:eastAsia="es-CO"/>
              </w:rPr>
              <w:t>GENERADORA Y COMERCIALIZADORA DE ENERGIA DEL CARIBE S.A E.S.P</w:t>
            </w:r>
            <w:r w:rsidR="00EC4A1C" w:rsidRPr="00053706">
              <w:rPr>
                <w:rFonts w:ascii="Arial Narrow" w:hAnsi="Arial Narrow" w:cs="Arial"/>
                <w:spacing w:val="0"/>
                <w:sz w:val="16"/>
                <w:szCs w:val="16"/>
                <w:lang w:eastAsia="es-CO"/>
              </w:rPr>
              <w:t>.</w:t>
            </w:r>
          </w:p>
        </w:tc>
        <w:tc>
          <w:tcPr>
            <w:tcW w:w="1701" w:type="dxa"/>
            <w:tcBorders>
              <w:top w:val="nil"/>
              <w:left w:val="nil"/>
              <w:bottom w:val="single" w:sz="4" w:space="0" w:color="auto"/>
              <w:right w:val="single" w:sz="4" w:space="0" w:color="auto"/>
            </w:tcBorders>
            <w:shd w:val="clear" w:color="000000" w:fill="F2F2F2"/>
            <w:noWrap/>
            <w:vAlign w:val="center"/>
            <w:hideMark/>
          </w:tcPr>
          <w:p w14:paraId="138D40A9" w14:textId="77777777" w:rsidR="00A21ED5" w:rsidRPr="00053706" w:rsidRDefault="00A21ED5" w:rsidP="00D22441">
            <w:pPr>
              <w:jc w:val="right"/>
              <w:rPr>
                <w:rFonts w:ascii="Arial Narrow" w:hAnsi="Arial Narrow" w:cs="Arial"/>
                <w:spacing w:val="0"/>
                <w:sz w:val="16"/>
                <w:szCs w:val="16"/>
                <w:lang w:eastAsia="es-CO"/>
              </w:rPr>
            </w:pPr>
            <w:r w:rsidRPr="00053706">
              <w:rPr>
                <w:rFonts w:ascii="Arial Narrow" w:hAnsi="Arial Narrow" w:cs="Arial"/>
                <w:spacing w:val="0"/>
                <w:sz w:val="16"/>
                <w:szCs w:val="16"/>
                <w:lang w:eastAsia="es-CO"/>
              </w:rPr>
              <w:t>$ 69.969.457.000</w:t>
            </w:r>
          </w:p>
        </w:tc>
        <w:tc>
          <w:tcPr>
            <w:tcW w:w="1559" w:type="dxa"/>
            <w:tcBorders>
              <w:top w:val="nil"/>
              <w:left w:val="nil"/>
              <w:bottom w:val="single" w:sz="4" w:space="0" w:color="auto"/>
              <w:right w:val="single" w:sz="4" w:space="0" w:color="auto"/>
            </w:tcBorders>
            <w:shd w:val="clear" w:color="000000" w:fill="F2F2F2"/>
            <w:noWrap/>
            <w:vAlign w:val="center"/>
            <w:hideMark/>
          </w:tcPr>
          <w:p w14:paraId="2CF66092" w14:textId="77777777" w:rsidR="00A21ED5" w:rsidRPr="00053706" w:rsidRDefault="00A21ED5" w:rsidP="00D22441">
            <w:pPr>
              <w:jc w:val="right"/>
              <w:rPr>
                <w:rFonts w:ascii="Arial Narrow" w:hAnsi="Arial Narrow" w:cs="Arial"/>
                <w:spacing w:val="0"/>
                <w:sz w:val="16"/>
                <w:szCs w:val="16"/>
                <w:lang w:eastAsia="es-CO"/>
              </w:rPr>
            </w:pPr>
            <w:r w:rsidRPr="00053706">
              <w:rPr>
                <w:rFonts w:ascii="Arial Narrow" w:hAnsi="Arial Narrow" w:cs="Arial"/>
                <w:spacing w:val="0"/>
                <w:sz w:val="16"/>
                <w:szCs w:val="16"/>
                <w:lang w:eastAsia="es-CO"/>
              </w:rPr>
              <w:t>$ 3.851.275.240</w:t>
            </w:r>
          </w:p>
        </w:tc>
        <w:tc>
          <w:tcPr>
            <w:tcW w:w="1560" w:type="dxa"/>
            <w:tcBorders>
              <w:top w:val="nil"/>
              <w:left w:val="nil"/>
              <w:bottom w:val="single" w:sz="4" w:space="0" w:color="auto"/>
              <w:right w:val="single" w:sz="4" w:space="0" w:color="auto"/>
            </w:tcBorders>
            <w:shd w:val="clear" w:color="000000" w:fill="F2F2F2"/>
            <w:noWrap/>
            <w:vAlign w:val="center"/>
            <w:hideMark/>
          </w:tcPr>
          <w:p w14:paraId="02E39E54" w14:textId="77777777" w:rsidR="00A21ED5" w:rsidRPr="00053706" w:rsidRDefault="00A21ED5" w:rsidP="00D22441">
            <w:pPr>
              <w:jc w:val="right"/>
              <w:rPr>
                <w:rFonts w:ascii="Arial Narrow" w:hAnsi="Arial Narrow" w:cs="Arial"/>
                <w:spacing w:val="0"/>
                <w:sz w:val="16"/>
                <w:szCs w:val="16"/>
                <w:lang w:eastAsia="es-CO"/>
              </w:rPr>
            </w:pPr>
            <w:r w:rsidRPr="00053706">
              <w:rPr>
                <w:rFonts w:ascii="Arial Narrow" w:hAnsi="Arial Narrow" w:cs="Arial"/>
                <w:spacing w:val="0"/>
                <w:sz w:val="16"/>
                <w:szCs w:val="16"/>
                <w:lang w:eastAsia="es-CO"/>
              </w:rPr>
              <w:t>$ 73.820.732.240</w:t>
            </w:r>
          </w:p>
        </w:tc>
        <w:tc>
          <w:tcPr>
            <w:tcW w:w="1567" w:type="dxa"/>
            <w:tcBorders>
              <w:top w:val="nil"/>
              <w:left w:val="nil"/>
              <w:bottom w:val="single" w:sz="4" w:space="0" w:color="auto"/>
              <w:right w:val="single" w:sz="4" w:space="0" w:color="auto"/>
            </w:tcBorders>
            <w:shd w:val="clear" w:color="000000" w:fill="F2F2F2"/>
            <w:noWrap/>
            <w:vAlign w:val="center"/>
            <w:hideMark/>
          </w:tcPr>
          <w:p w14:paraId="713DB575" w14:textId="77777777" w:rsidR="00A21ED5" w:rsidRPr="00053706" w:rsidRDefault="00A21ED5" w:rsidP="00D22441">
            <w:pPr>
              <w:jc w:val="right"/>
              <w:rPr>
                <w:rFonts w:ascii="Arial Narrow" w:hAnsi="Arial Narrow" w:cs="Arial"/>
                <w:spacing w:val="0"/>
                <w:sz w:val="16"/>
                <w:szCs w:val="16"/>
                <w:lang w:eastAsia="es-CO"/>
              </w:rPr>
            </w:pPr>
            <w:r w:rsidRPr="00053706">
              <w:rPr>
                <w:rFonts w:ascii="Arial Narrow" w:hAnsi="Arial Narrow" w:cs="Arial"/>
                <w:spacing w:val="0"/>
                <w:sz w:val="16"/>
                <w:szCs w:val="16"/>
                <w:lang w:eastAsia="es-CO"/>
              </w:rPr>
              <w:t>$ 738.207.322</w:t>
            </w:r>
          </w:p>
        </w:tc>
        <w:tc>
          <w:tcPr>
            <w:tcW w:w="1200" w:type="dxa"/>
            <w:tcBorders>
              <w:top w:val="nil"/>
              <w:left w:val="nil"/>
              <w:bottom w:val="single" w:sz="4" w:space="0" w:color="auto"/>
              <w:right w:val="single" w:sz="4" w:space="0" w:color="auto"/>
            </w:tcBorders>
            <w:shd w:val="clear" w:color="000000" w:fill="F2F2F2"/>
            <w:noWrap/>
            <w:vAlign w:val="center"/>
            <w:hideMark/>
          </w:tcPr>
          <w:p w14:paraId="67674B81" w14:textId="77777777" w:rsidR="00A21ED5" w:rsidRPr="00053706" w:rsidRDefault="00A21ED5" w:rsidP="00D22441">
            <w:pPr>
              <w:jc w:val="right"/>
              <w:rPr>
                <w:rFonts w:ascii="Arial Narrow" w:hAnsi="Arial Narrow" w:cs="Arial"/>
                <w:spacing w:val="0"/>
                <w:sz w:val="16"/>
                <w:szCs w:val="16"/>
                <w:lang w:eastAsia="es-CO"/>
              </w:rPr>
            </w:pPr>
            <w:r w:rsidRPr="00053706">
              <w:rPr>
                <w:rFonts w:ascii="Arial Narrow" w:hAnsi="Arial Narrow" w:cs="Arial"/>
                <w:spacing w:val="0"/>
                <w:sz w:val="16"/>
                <w:szCs w:val="16"/>
                <w:lang w:eastAsia="es-CO"/>
              </w:rPr>
              <w:t>$ 30.722</w:t>
            </w:r>
          </w:p>
        </w:tc>
        <w:tc>
          <w:tcPr>
            <w:tcW w:w="1440" w:type="dxa"/>
            <w:tcBorders>
              <w:top w:val="nil"/>
              <w:left w:val="nil"/>
              <w:bottom w:val="single" w:sz="4" w:space="0" w:color="auto"/>
              <w:right w:val="single" w:sz="4" w:space="0" w:color="auto"/>
            </w:tcBorders>
            <w:shd w:val="clear" w:color="000000" w:fill="F2F2F2"/>
            <w:noWrap/>
            <w:vAlign w:val="center"/>
            <w:hideMark/>
          </w:tcPr>
          <w:p w14:paraId="00C88A54" w14:textId="77777777" w:rsidR="00A21ED5" w:rsidRPr="00053706" w:rsidRDefault="00A21ED5" w:rsidP="00D22441">
            <w:pPr>
              <w:jc w:val="right"/>
              <w:rPr>
                <w:rFonts w:ascii="Arial Narrow" w:hAnsi="Arial Narrow" w:cs="Arial"/>
                <w:spacing w:val="0"/>
                <w:sz w:val="16"/>
                <w:szCs w:val="16"/>
                <w:lang w:eastAsia="es-CO"/>
              </w:rPr>
            </w:pPr>
            <w:r w:rsidRPr="00053706">
              <w:rPr>
                <w:rFonts w:ascii="Arial Narrow" w:hAnsi="Arial Narrow" w:cs="Arial"/>
                <w:spacing w:val="0"/>
                <w:sz w:val="16"/>
                <w:szCs w:val="16"/>
                <w:lang w:eastAsia="es-CO"/>
              </w:rPr>
              <w:t>$ 738.238.044</w:t>
            </w:r>
          </w:p>
        </w:tc>
      </w:tr>
      <w:tr w:rsidR="00A21ED5" w:rsidRPr="00053706" w14:paraId="6D99965F" w14:textId="77777777" w:rsidTr="00A21ED5">
        <w:trPr>
          <w:trHeight w:val="387"/>
        </w:trPr>
        <w:tc>
          <w:tcPr>
            <w:tcW w:w="380" w:type="dxa"/>
            <w:tcBorders>
              <w:top w:val="nil"/>
              <w:left w:val="single" w:sz="4" w:space="0" w:color="auto"/>
              <w:bottom w:val="single" w:sz="4" w:space="0" w:color="auto"/>
              <w:right w:val="single" w:sz="4" w:space="0" w:color="auto"/>
            </w:tcBorders>
            <w:shd w:val="clear" w:color="000000" w:fill="F2F2F2"/>
            <w:noWrap/>
            <w:vAlign w:val="center"/>
            <w:hideMark/>
          </w:tcPr>
          <w:p w14:paraId="568E956F" w14:textId="77777777" w:rsidR="00A21ED5" w:rsidRPr="00053706" w:rsidRDefault="00A21ED5" w:rsidP="00D22441">
            <w:pPr>
              <w:jc w:val="center"/>
              <w:rPr>
                <w:rFonts w:ascii="Arial Narrow" w:hAnsi="Arial Narrow" w:cs="Arial"/>
                <w:spacing w:val="0"/>
                <w:sz w:val="16"/>
                <w:szCs w:val="16"/>
                <w:lang w:eastAsia="es-CO"/>
              </w:rPr>
            </w:pPr>
            <w:r w:rsidRPr="00053706">
              <w:rPr>
                <w:rFonts w:ascii="Arial Narrow" w:hAnsi="Arial Narrow" w:cs="Arial"/>
                <w:spacing w:val="0"/>
                <w:sz w:val="16"/>
                <w:szCs w:val="16"/>
                <w:lang w:eastAsia="es-CO"/>
              </w:rPr>
              <w:t>10</w:t>
            </w:r>
          </w:p>
        </w:tc>
        <w:tc>
          <w:tcPr>
            <w:tcW w:w="585" w:type="dxa"/>
            <w:tcBorders>
              <w:top w:val="nil"/>
              <w:left w:val="nil"/>
              <w:bottom w:val="single" w:sz="4" w:space="0" w:color="auto"/>
              <w:right w:val="single" w:sz="4" w:space="0" w:color="auto"/>
            </w:tcBorders>
            <w:shd w:val="clear" w:color="000000" w:fill="F2F2F2"/>
            <w:noWrap/>
            <w:vAlign w:val="center"/>
            <w:hideMark/>
          </w:tcPr>
          <w:p w14:paraId="3707B913" w14:textId="77777777" w:rsidR="00A21ED5" w:rsidRPr="00053706" w:rsidRDefault="00A21ED5" w:rsidP="00D22441">
            <w:pPr>
              <w:jc w:val="right"/>
              <w:rPr>
                <w:rFonts w:ascii="Arial Narrow" w:hAnsi="Arial Narrow" w:cs="Arial"/>
                <w:spacing w:val="0"/>
                <w:sz w:val="16"/>
                <w:szCs w:val="16"/>
                <w:lang w:eastAsia="es-CO"/>
              </w:rPr>
            </w:pPr>
            <w:r w:rsidRPr="00053706">
              <w:rPr>
                <w:rFonts w:ascii="Arial Narrow" w:hAnsi="Arial Narrow" w:cs="Arial"/>
                <w:spacing w:val="0"/>
                <w:sz w:val="16"/>
                <w:szCs w:val="16"/>
                <w:lang w:eastAsia="es-CO"/>
              </w:rPr>
              <w:t>31191</w:t>
            </w:r>
          </w:p>
        </w:tc>
        <w:tc>
          <w:tcPr>
            <w:tcW w:w="941" w:type="dxa"/>
            <w:tcBorders>
              <w:top w:val="nil"/>
              <w:left w:val="nil"/>
              <w:bottom w:val="single" w:sz="4" w:space="0" w:color="auto"/>
              <w:right w:val="single" w:sz="4" w:space="0" w:color="auto"/>
            </w:tcBorders>
            <w:shd w:val="clear" w:color="000000" w:fill="F2F2F2"/>
            <w:noWrap/>
            <w:vAlign w:val="center"/>
            <w:hideMark/>
          </w:tcPr>
          <w:p w14:paraId="3E53E5B8" w14:textId="77777777" w:rsidR="00A21ED5" w:rsidRPr="00053706" w:rsidRDefault="00A21ED5" w:rsidP="00D22441">
            <w:pPr>
              <w:jc w:val="right"/>
              <w:rPr>
                <w:rFonts w:ascii="Arial Narrow" w:hAnsi="Arial Narrow" w:cs="Arial"/>
                <w:spacing w:val="0"/>
                <w:sz w:val="16"/>
                <w:szCs w:val="16"/>
                <w:lang w:eastAsia="es-CO"/>
              </w:rPr>
            </w:pPr>
            <w:r w:rsidRPr="00053706">
              <w:rPr>
                <w:rFonts w:ascii="Arial Narrow" w:hAnsi="Arial Narrow" w:cs="Arial"/>
                <w:spacing w:val="0"/>
                <w:sz w:val="16"/>
                <w:szCs w:val="16"/>
                <w:lang w:eastAsia="es-CO"/>
              </w:rPr>
              <w:t>900433032</w:t>
            </w:r>
          </w:p>
        </w:tc>
        <w:tc>
          <w:tcPr>
            <w:tcW w:w="2767" w:type="dxa"/>
            <w:tcBorders>
              <w:top w:val="nil"/>
              <w:left w:val="nil"/>
              <w:bottom w:val="single" w:sz="4" w:space="0" w:color="auto"/>
              <w:right w:val="single" w:sz="4" w:space="0" w:color="auto"/>
            </w:tcBorders>
            <w:shd w:val="clear" w:color="000000" w:fill="F2F2F2"/>
            <w:vAlign w:val="center"/>
            <w:hideMark/>
          </w:tcPr>
          <w:p w14:paraId="33A09930" w14:textId="07B8E719" w:rsidR="00A21ED5" w:rsidRPr="00053706" w:rsidRDefault="00A21ED5" w:rsidP="00D22441">
            <w:pPr>
              <w:jc w:val="left"/>
              <w:rPr>
                <w:rFonts w:ascii="Arial Narrow" w:hAnsi="Arial Narrow" w:cs="Arial"/>
                <w:spacing w:val="0"/>
                <w:sz w:val="16"/>
                <w:szCs w:val="16"/>
                <w:lang w:eastAsia="es-CO"/>
              </w:rPr>
            </w:pPr>
            <w:r w:rsidRPr="00053706">
              <w:rPr>
                <w:rFonts w:ascii="Arial Narrow" w:hAnsi="Arial Narrow" w:cs="Arial"/>
                <w:spacing w:val="0"/>
                <w:sz w:val="16"/>
                <w:szCs w:val="16"/>
                <w:lang w:eastAsia="es-CO"/>
              </w:rPr>
              <w:t>TERPEL ENERGIA S.A.S E.S.P</w:t>
            </w:r>
            <w:r w:rsidR="00EC4A1C" w:rsidRPr="00053706">
              <w:rPr>
                <w:rFonts w:ascii="Arial Narrow" w:hAnsi="Arial Narrow" w:cs="Arial"/>
                <w:spacing w:val="0"/>
                <w:sz w:val="16"/>
                <w:szCs w:val="16"/>
                <w:lang w:eastAsia="es-CO"/>
              </w:rPr>
              <w:t>.</w:t>
            </w:r>
          </w:p>
        </w:tc>
        <w:tc>
          <w:tcPr>
            <w:tcW w:w="1701" w:type="dxa"/>
            <w:tcBorders>
              <w:top w:val="nil"/>
              <w:left w:val="nil"/>
              <w:bottom w:val="single" w:sz="4" w:space="0" w:color="auto"/>
              <w:right w:val="single" w:sz="4" w:space="0" w:color="auto"/>
            </w:tcBorders>
            <w:shd w:val="clear" w:color="000000" w:fill="F2F2F2"/>
            <w:noWrap/>
            <w:vAlign w:val="center"/>
            <w:hideMark/>
          </w:tcPr>
          <w:p w14:paraId="33219C02" w14:textId="77777777" w:rsidR="00A21ED5" w:rsidRPr="00053706" w:rsidRDefault="00A21ED5" w:rsidP="00D22441">
            <w:pPr>
              <w:jc w:val="right"/>
              <w:rPr>
                <w:rFonts w:ascii="Arial Narrow" w:hAnsi="Arial Narrow" w:cs="Arial"/>
                <w:spacing w:val="0"/>
                <w:sz w:val="16"/>
                <w:szCs w:val="16"/>
                <w:lang w:eastAsia="es-CO"/>
              </w:rPr>
            </w:pPr>
            <w:r w:rsidRPr="00053706">
              <w:rPr>
                <w:rFonts w:ascii="Arial Narrow" w:hAnsi="Arial Narrow" w:cs="Arial"/>
                <w:spacing w:val="0"/>
                <w:sz w:val="16"/>
                <w:szCs w:val="16"/>
                <w:lang w:eastAsia="es-CO"/>
              </w:rPr>
              <w:t>$ 1.271.430.000</w:t>
            </w:r>
          </w:p>
        </w:tc>
        <w:tc>
          <w:tcPr>
            <w:tcW w:w="1559" w:type="dxa"/>
            <w:tcBorders>
              <w:top w:val="nil"/>
              <w:left w:val="nil"/>
              <w:bottom w:val="single" w:sz="4" w:space="0" w:color="auto"/>
              <w:right w:val="single" w:sz="4" w:space="0" w:color="auto"/>
            </w:tcBorders>
            <w:shd w:val="clear" w:color="000000" w:fill="F2F2F2"/>
            <w:noWrap/>
            <w:vAlign w:val="center"/>
            <w:hideMark/>
          </w:tcPr>
          <w:p w14:paraId="2B6ABCD7" w14:textId="77777777" w:rsidR="00A21ED5" w:rsidRPr="00053706" w:rsidRDefault="00A21ED5" w:rsidP="00D22441">
            <w:pPr>
              <w:jc w:val="right"/>
              <w:rPr>
                <w:rFonts w:ascii="Arial Narrow" w:hAnsi="Arial Narrow" w:cs="Arial"/>
                <w:spacing w:val="0"/>
                <w:sz w:val="16"/>
                <w:szCs w:val="16"/>
                <w:lang w:eastAsia="es-CO"/>
              </w:rPr>
            </w:pPr>
            <w:r w:rsidRPr="00053706">
              <w:rPr>
                <w:rFonts w:ascii="Arial Narrow" w:hAnsi="Arial Narrow" w:cs="Arial"/>
                <w:spacing w:val="0"/>
                <w:sz w:val="16"/>
                <w:szCs w:val="16"/>
                <w:lang w:eastAsia="es-CO"/>
              </w:rPr>
              <w:t>$ 82.449.543</w:t>
            </w:r>
          </w:p>
        </w:tc>
        <w:tc>
          <w:tcPr>
            <w:tcW w:w="1560" w:type="dxa"/>
            <w:tcBorders>
              <w:top w:val="nil"/>
              <w:left w:val="nil"/>
              <w:bottom w:val="single" w:sz="4" w:space="0" w:color="auto"/>
              <w:right w:val="single" w:sz="4" w:space="0" w:color="auto"/>
            </w:tcBorders>
            <w:shd w:val="clear" w:color="000000" w:fill="F2F2F2"/>
            <w:noWrap/>
            <w:vAlign w:val="center"/>
            <w:hideMark/>
          </w:tcPr>
          <w:p w14:paraId="38DB3BDA" w14:textId="77777777" w:rsidR="00A21ED5" w:rsidRPr="00053706" w:rsidRDefault="00A21ED5" w:rsidP="00D22441">
            <w:pPr>
              <w:jc w:val="right"/>
              <w:rPr>
                <w:rFonts w:ascii="Arial Narrow" w:hAnsi="Arial Narrow" w:cs="Arial"/>
                <w:spacing w:val="0"/>
                <w:sz w:val="16"/>
                <w:szCs w:val="16"/>
                <w:lang w:eastAsia="es-CO"/>
              </w:rPr>
            </w:pPr>
            <w:r w:rsidRPr="00053706">
              <w:rPr>
                <w:rFonts w:ascii="Arial Narrow" w:hAnsi="Arial Narrow" w:cs="Arial"/>
                <w:spacing w:val="0"/>
                <w:sz w:val="16"/>
                <w:szCs w:val="16"/>
                <w:lang w:eastAsia="es-CO"/>
              </w:rPr>
              <w:t>$ 1.353.879.543</w:t>
            </w:r>
          </w:p>
        </w:tc>
        <w:tc>
          <w:tcPr>
            <w:tcW w:w="1567" w:type="dxa"/>
            <w:tcBorders>
              <w:top w:val="nil"/>
              <w:left w:val="nil"/>
              <w:bottom w:val="single" w:sz="4" w:space="0" w:color="auto"/>
              <w:right w:val="single" w:sz="4" w:space="0" w:color="auto"/>
            </w:tcBorders>
            <w:shd w:val="clear" w:color="000000" w:fill="F2F2F2"/>
            <w:noWrap/>
            <w:vAlign w:val="center"/>
            <w:hideMark/>
          </w:tcPr>
          <w:p w14:paraId="4D93F96E" w14:textId="77777777" w:rsidR="00A21ED5" w:rsidRPr="00053706" w:rsidRDefault="00A21ED5" w:rsidP="00D22441">
            <w:pPr>
              <w:jc w:val="right"/>
              <w:rPr>
                <w:rFonts w:ascii="Arial Narrow" w:hAnsi="Arial Narrow" w:cs="Arial"/>
                <w:spacing w:val="0"/>
                <w:sz w:val="16"/>
                <w:szCs w:val="16"/>
                <w:lang w:eastAsia="es-CO"/>
              </w:rPr>
            </w:pPr>
            <w:r w:rsidRPr="00053706">
              <w:rPr>
                <w:rFonts w:ascii="Arial Narrow" w:hAnsi="Arial Narrow" w:cs="Arial"/>
                <w:spacing w:val="0"/>
                <w:sz w:val="16"/>
                <w:szCs w:val="16"/>
                <w:lang w:eastAsia="es-CO"/>
              </w:rPr>
              <w:t>$ 13.538.795</w:t>
            </w:r>
          </w:p>
        </w:tc>
        <w:tc>
          <w:tcPr>
            <w:tcW w:w="1200" w:type="dxa"/>
            <w:tcBorders>
              <w:top w:val="nil"/>
              <w:left w:val="nil"/>
              <w:bottom w:val="single" w:sz="4" w:space="0" w:color="auto"/>
              <w:right w:val="single" w:sz="4" w:space="0" w:color="auto"/>
            </w:tcBorders>
            <w:shd w:val="clear" w:color="000000" w:fill="F2F2F2"/>
            <w:noWrap/>
            <w:vAlign w:val="center"/>
            <w:hideMark/>
          </w:tcPr>
          <w:p w14:paraId="40D4C5A1" w14:textId="77777777" w:rsidR="00A21ED5" w:rsidRPr="00053706" w:rsidRDefault="00A21ED5" w:rsidP="00D22441">
            <w:pPr>
              <w:jc w:val="right"/>
              <w:rPr>
                <w:rFonts w:ascii="Arial Narrow" w:hAnsi="Arial Narrow" w:cs="Arial"/>
                <w:spacing w:val="0"/>
                <w:sz w:val="16"/>
                <w:szCs w:val="16"/>
                <w:lang w:eastAsia="es-CO"/>
              </w:rPr>
            </w:pPr>
            <w:r w:rsidRPr="00053706">
              <w:rPr>
                <w:rFonts w:ascii="Arial Narrow" w:hAnsi="Arial Narrow" w:cs="Arial"/>
                <w:spacing w:val="0"/>
                <w:sz w:val="16"/>
                <w:szCs w:val="16"/>
                <w:lang w:eastAsia="es-CO"/>
              </w:rPr>
              <w:t>$ 563</w:t>
            </w:r>
          </w:p>
        </w:tc>
        <w:tc>
          <w:tcPr>
            <w:tcW w:w="1440" w:type="dxa"/>
            <w:tcBorders>
              <w:top w:val="nil"/>
              <w:left w:val="nil"/>
              <w:bottom w:val="single" w:sz="4" w:space="0" w:color="auto"/>
              <w:right w:val="single" w:sz="4" w:space="0" w:color="auto"/>
            </w:tcBorders>
            <w:shd w:val="clear" w:color="000000" w:fill="F2F2F2"/>
            <w:noWrap/>
            <w:vAlign w:val="center"/>
            <w:hideMark/>
          </w:tcPr>
          <w:p w14:paraId="3DAE9512" w14:textId="77777777" w:rsidR="00A21ED5" w:rsidRPr="00053706" w:rsidRDefault="00A21ED5" w:rsidP="00D22441">
            <w:pPr>
              <w:jc w:val="right"/>
              <w:rPr>
                <w:rFonts w:ascii="Arial Narrow" w:hAnsi="Arial Narrow" w:cs="Arial"/>
                <w:spacing w:val="0"/>
                <w:sz w:val="16"/>
                <w:szCs w:val="16"/>
                <w:lang w:eastAsia="es-CO"/>
              </w:rPr>
            </w:pPr>
            <w:r w:rsidRPr="00053706">
              <w:rPr>
                <w:rFonts w:ascii="Arial Narrow" w:hAnsi="Arial Narrow" w:cs="Arial"/>
                <w:spacing w:val="0"/>
                <w:sz w:val="16"/>
                <w:szCs w:val="16"/>
                <w:lang w:eastAsia="es-CO"/>
              </w:rPr>
              <w:t>$ 13.539.359</w:t>
            </w:r>
          </w:p>
        </w:tc>
      </w:tr>
      <w:tr w:rsidR="00A21ED5" w:rsidRPr="00053706" w14:paraId="1D518D72" w14:textId="77777777" w:rsidTr="00B07312">
        <w:trPr>
          <w:trHeight w:val="374"/>
        </w:trPr>
        <w:tc>
          <w:tcPr>
            <w:tcW w:w="380" w:type="dxa"/>
            <w:tcBorders>
              <w:top w:val="nil"/>
              <w:left w:val="single" w:sz="4" w:space="0" w:color="auto"/>
              <w:bottom w:val="single" w:sz="4" w:space="0" w:color="auto"/>
              <w:right w:val="single" w:sz="4" w:space="0" w:color="auto"/>
            </w:tcBorders>
            <w:shd w:val="clear" w:color="000000" w:fill="F2F2F2"/>
            <w:noWrap/>
            <w:vAlign w:val="center"/>
            <w:hideMark/>
          </w:tcPr>
          <w:p w14:paraId="382ABB9D" w14:textId="77777777" w:rsidR="00A21ED5" w:rsidRPr="00053706" w:rsidRDefault="00A21ED5" w:rsidP="00D22441">
            <w:pPr>
              <w:jc w:val="center"/>
              <w:rPr>
                <w:rFonts w:ascii="Arial Narrow" w:hAnsi="Arial Narrow" w:cs="Arial"/>
                <w:spacing w:val="0"/>
                <w:sz w:val="16"/>
                <w:szCs w:val="16"/>
                <w:lang w:eastAsia="es-CO"/>
              </w:rPr>
            </w:pPr>
            <w:r w:rsidRPr="00053706">
              <w:rPr>
                <w:rFonts w:ascii="Arial Narrow" w:hAnsi="Arial Narrow" w:cs="Arial"/>
                <w:spacing w:val="0"/>
                <w:sz w:val="16"/>
                <w:szCs w:val="16"/>
                <w:lang w:eastAsia="es-CO"/>
              </w:rPr>
              <w:lastRenderedPageBreak/>
              <w:t>11</w:t>
            </w:r>
          </w:p>
        </w:tc>
        <w:tc>
          <w:tcPr>
            <w:tcW w:w="585" w:type="dxa"/>
            <w:tcBorders>
              <w:top w:val="nil"/>
              <w:left w:val="nil"/>
              <w:bottom w:val="single" w:sz="4" w:space="0" w:color="auto"/>
              <w:right w:val="single" w:sz="4" w:space="0" w:color="auto"/>
            </w:tcBorders>
            <w:shd w:val="clear" w:color="000000" w:fill="F2F2F2"/>
            <w:noWrap/>
            <w:vAlign w:val="center"/>
            <w:hideMark/>
          </w:tcPr>
          <w:p w14:paraId="5A6C4EAD" w14:textId="77777777" w:rsidR="00A21ED5" w:rsidRPr="00053706" w:rsidRDefault="00A21ED5" w:rsidP="00D22441">
            <w:pPr>
              <w:jc w:val="right"/>
              <w:rPr>
                <w:rFonts w:ascii="Arial Narrow" w:hAnsi="Arial Narrow" w:cs="Arial"/>
                <w:spacing w:val="0"/>
                <w:sz w:val="16"/>
                <w:szCs w:val="16"/>
                <w:lang w:eastAsia="es-CO"/>
              </w:rPr>
            </w:pPr>
            <w:r w:rsidRPr="00053706">
              <w:rPr>
                <w:rFonts w:ascii="Arial Narrow" w:hAnsi="Arial Narrow" w:cs="Arial"/>
                <w:spacing w:val="0"/>
                <w:sz w:val="16"/>
                <w:szCs w:val="16"/>
                <w:lang w:eastAsia="es-CO"/>
              </w:rPr>
              <w:t>29011</w:t>
            </w:r>
          </w:p>
        </w:tc>
        <w:tc>
          <w:tcPr>
            <w:tcW w:w="941" w:type="dxa"/>
            <w:tcBorders>
              <w:top w:val="nil"/>
              <w:left w:val="nil"/>
              <w:bottom w:val="single" w:sz="4" w:space="0" w:color="auto"/>
              <w:right w:val="single" w:sz="4" w:space="0" w:color="auto"/>
            </w:tcBorders>
            <w:shd w:val="clear" w:color="000000" w:fill="F2F2F2"/>
            <w:noWrap/>
            <w:vAlign w:val="center"/>
            <w:hideMark/>
          </w:tcPr>
          <w:p w14:paraId="0813181F" w14:textId="77777777" w:rsidR="00A21ED5" w:rsidRPr="00053706" w:rsidRDefault="00A21ED5" w:rsidP="00D22441">
            <w:pPr>
              <w:jc w:val="right"/>
              <w:rPr>
                <w:rFonts w:ascii="Arial Narrow" w:hAnsi="Arial Narrow" w:cs="Arial"/>
                <w:spacing w:val="0"/>
                <w:sz w:val="16"/>
                <w:szCs w:val="16"/>
                <w:lang w:eastAsia="es-CO"/>
              </w:rPr>
            </w:pPr>
            <w:r w:rsidRPr="00053706">
              <w:rPr>
                <w:rFonts w:ascii="Arial Narrow" w:hAnsi="Arial Narrow" w:cs="Arial"/>
                <w:spacing w:val="0"/>
                <w:sz w:val="16"/>
                <w:szCs w:val="16"/>
                <w:lang w:eastAsia="es-CO"/>
              </w:rPr>
              <w:t>900637368</w:t>
            </w:r>
          </w:p>
        </w:tc>
        <w:tc>
          <w:tcPr>
            <w:tcW w:w="2767" w:type="dxa"/>
            <w:tcBorders>
              <w:top w:val="nil"/>
              <w:left w:val="nil"/>
              <w:bottom w:val="single" w:sz="4" w:space="0" w:color="auto"/>
              <w:right w:val="single" w:sz="4" w:space="0" w:color="auto"/>
            </w:tcBorders>
            <w:shd w:val="clear" w:color="000000" w:fill="F2F2F2"/>
            <w:vAlign w:val="center"/>
            <w:hideMark/>
          </w:tcPr>
          <w:p w14:paraId="5F91057F" w14:textId="77777777" w:rsidR="00A21ED5" w:rsidRPr="00053706" w:rsidRDefault="00A21ED5" w:rsidP="00D22441">
            <w:pPr>
              <w:jc w:val="left"/>
              <w:rPr>
                <w:rFonts w:ascii="Arial Narrow" w:hAnsi="Arial Narrow" w:cs="Arial"/>
                <w:spacing w:val="0"/>
                <w:sz w:val="16"/>
                <w:szCs w:val="16"/>
                <w:lang w:eastAsia="es-CO"/>
              </w:rPr>
            </w:pPr>
            <w:r w:rsidRPr="00053706">
              <w:rPr>
                <w:rFonts w:ascii="Arial Narrow" w:hAnsi="Arial Narrow" w:cs="Arial"/>
                <w:spacing w:val="0"/>
                <w:sz w:val="16"/>
                <w:szCs w:val="16"/>
                <w:lang w:eastAsia="es-CO"/>
              </w:rPr>
              <w:t>TERMO MECHERO MORRO SAS ESP</w:t>
            </w:r>
          </w:p>
        </w:tc>
        <w:tc>
          <w:tcPr>
            <w:tcW w:w="1701" w:type="dxa"/>
            <w:tcBorders>
              <w:top w:val="nil"/>
              <w:left w:val="nil"/>
              <w:bottom w:val="single" w:sz="4" w:space="0" w:color="auto"/>
              <w:right w:val="single" w:sz="4" w:space="0" w:color="auto"/>
            </w:tcBorders>
            <w:shd w:val="clear" w:color="000000" w:fill="F2F2F2"/>
            <w:noWrap/>
            <w:vAlign w:val="center"/>
            <w:hideMark/>
          </w:tcPr>
          <w:p w14:paraId="598CC7BB" w14:textId="77777777" w:rsidR="00A21ED5" w:rsidRPr="00053706" w:rsidRDefault="00A21ED5" w:rsidP="00D22441">
            <w:pPr>
              <w:jc w:val="right"/>
              <w:rPr>
                <w:rFonts w:ascii="Arial Narrow" w:hAnsi="Arial Narrow" w:cs="Arial"/>
                <w:spacing w:val="0"/>
                <w:sz w:val="16"/>
                <w:szCs w:val="16"/>
                <w:lang w:eastAsia="es-CO"/>
              </w:rPr>
            </w:pPr>
            <w:r w:rsidRPr="00053706">
              <w:rPr>
                <w:rFonts w:ascii="Arial Narrow" w:hAnsi="Arial Narrow" w:cs="Arial"/>
                <w:spacing w:val="0"/>
                <w:sz w:val="16"/>
                <w:szCs w:val="16"/>
                <w:lang w:eastAsia="es-CO"/>
              </w:rPr>
              <w:t>$ 3.531.516.000</w:t>
            </w:r>
          </w:p>
        </w:tc>
        <w:tc>
          <w:tcPr>
            <w:tcW w:w="1559" w:type="dxa"/>
            <w:tcBorders>
              <w:top w:val="nil"/>
              <w:left w:val="nil"/>
              <w:bottom w:val="single" w:sz="4" w:space="0" w:color="auto"/>
              <w:right w:val="single" w:sz="4" w:space="0" w:color="auto"/>
            </w:tcBorders>
            <w:shd w:val="clear" w:color="000000" w:fill="F2F2F2"/>
            <w:noWrap/>
            <w:vAlign w:val="center"/>
            <w:hideMark/>
          </w:tcPr>
          <w:p w14:paraId="08D72EAC" w14:textId="77777777" w:rsidR="00A21ED5" w:rsidRPr="00053706" w:rsidRDefault="00A21ED5" w:rsidP="00D22441">
            <w:pPr>
              <w:jc w:val="right"/>
              <w:rPr>
                <w:rFonts w:ascii="Arial Narrow" w:hAnsi="Arial Narrow" w:cs="Arial"/>
                <w:spacing w:val="0"/>
                <w:sz w:val="16"/>
                <w:szCs w:val="16"/>
                <w:lang w:eastAsia="es-CO"/>
              </w:rPr>
            </w:pPr>
            <w:r w:rsidRPr="00053706">
              <w:rPr>
                <w:rFonts w:ascii="Arial Narrow" w:hAnsi="Arial Narrow" w:cs="Arial"/>
                <w:spacing w:val="0"/>
                <w:sz w:val="16"/>
                <w:szCs w:val="16"/>
                <w:lang w:eastAsia="es-CO"/>
              </w:rPr>
              <w:t>$ 494.124.247</w:t>
            </w:r>
          </w:p>
        </w:tc>
        <w:tc>
          <w:tcPr>
            <w:tcW w:w="1560" w:type="dxa"/>
            <w:tcBorders>
              <w:top w:val="nil"/>
              <w:left w:val="nil"/>
              <w:bottom w:val="single" w:sz="4" w:space="0" w:color="auto"/>
              <w:right w:val="single" w:sz="4" w:space="0" w:color="auto"/>
            </w:tcBorders>
            <w:shd w:val="clear" w:color="000000" w:fill="F2F2F2"/>
            <w:noWrap/>
            <w:vAlign w:val="center"/>
            <w:hideMark/>
          </w:tcPr>
          <w:p w14:paraId="422638E0" w14:textId="77777777" w:rsidR="00A21ED5" w:rsidRPr="00053706" w:rsidRDefault="00A21ED5" w:rsidP="00D22441">
            <w:pPr>
              <w:jc w:val="right"/>
              <w:rPr>
                <w:rFonts w:ascii="Arial Narrow" w:hAnsi="Arial Narrow" w:cs="Arial"/>
                <w:spacing w:val="0"/>
                <w:sz w:val="16"/>
                <w:szCs w:val="16"/>
                <w:lang w:eastAsia="es-CO"/>
              </w:rPr>
            </w:pPr>
            <w:r w:rsidRPr="00053706">
              <w:rPr>
                <w:rFonts w:ascii="Arial Narrow" w:hAnsi="Arial Narrow" w:cs="Arial"/>
                <w:spacing w:val="0"/>
                <w:sz w:val="16"/>
                <w:szCs w:val="16"/>
                <w:lang w:eastAsia="es-CO"/>
              </w:rPr>
              <w:t>$ 4.025.640.247</w:t>
            </w:r>
          </w:p>
        </w:tc>
        <w:tc>
          <w:tcPr>
            <w:tcW w:w="1567" w:type="dxa"/>
            <w:tcBorders>
              <w:top w:val="nil"/>
              <w:left w:val="nil"/>
              <w:bottom w:val="single" w:sz="4" w:space="0" w:color="auto"/>
              <w:right w:val="single" w:sz="4" w:space="0" w:color="auto"/>
            </w:tcBorders>
            <w:shd w:val="clear" w:color="000000" w:fill="F2F2F2"/>
            <w:noWrap/>
            <w:vAlign w:val="center"/>
            <w:hideMark/>
          </w:tcPr>
          <w:p w14:paraId="4F60D2A6" w14:textId="77777777" w:rsidR="00A21ED5" w:rsidRPr="00053706" w:rsidRDefault="00A21ED5" w:rsidP="00D22441">
            <w:pPr>
              <w:jc w:val="right"/>
              <w:rPr>
                <w:rFonts w:ascii="Arial Narrow" w:hAnsi="Arial Narrow" w:cs="Arial"/>
                <w:spacing w:val="0"/>
                <w:sz w:val="16"/>
                <w:szCs w:val="16"/>
                <w:lang w:eastAsia="es-CO"/>
              </w:rPr>
            </w:pPr>
            <w:r w:rsidRPr="00053706">
              <w:rPr>
                <w:rFonts w:ascii="Arial Narrow" w:hAnsi="Arial Narrow" w:cs="Arial"/>
                <w:spacing w:val="0"/>
                <w:sz w:val="16"/>
                <w:szCs w:val="16"/>
                <w:lang w:eastAsia="es-CO"/>
              </w:rPr>
              <w:t>$ 40.256.402</w:t>
            </w:r>
          </w:p>
        </w:tc>
        <w:tc>
          <w:tcPr>
            <w:tcW w:w="1200" w:type="dxa"/>
            <w:tcBorders>
              <w:top w:val="nil"/>
              <w:left w:val="nil"/>
              <w:bottom w:val="single" w:sz="4" w:space="0" w:color="auto"/>
              <w:right w:val="single" w:sz="4" w:space="0" w:color="auto"/>
            </w:tcBorders>
            <w:shd w:val="clear" w:color="000000" w:fill="F2F2F2"/>
            <w:noWrap/>
            <w:vAlign w:val="center"/>
            <w:hideMark/>
          </w:tcPr>
          <w:p w14:paraId="507E0C03" w14:textId="77777777" w:rsidR="00A21ED5" w:rsidRPr="00053706" w:rsidRDefault="00A21ED5" w:rsidP="00D22441">
            <w:pPr>
              <w:jc w:val="right"/>
              <w:rPr>
                <w:rFonts w:ascii="Arial Narrow" w:hAnsi="Arial Narrow" w:cs="Arial"/>
                <w:spacing w:val="0"/>
                <w:sz w:val="16"/>
                <w:szCs w:val="16"/>
                <w:lang w:eastAsia="es-CO"/>
              </w:rPr>
            </w:pPr>
            <w:r w:rsidRPr="00053706">
              <w:rPr>
                <w:rFonts w:ascii="Arial Narrow" w:hAnsi="Arial Narrow" w:cs="Arial"/>
                <w:spacing w:val="0"/>
                <w:sz w:val="16"/>
                <w:szCs w:val="16"/>
                <w:lang w:eastAsia="es-CO"/>
              </w:rPr>
              <w:t>$ 1.675</w:t>
            </w:r>
          </w:p>
        </w:tc>
        <w:tc>
          <w:tcPr>
            <w:tcW w:w="1440" w:type="dxa"/>
            <w:tcBorders>
              <w:top w:val="nil"/>
              <w:left w:val="nil"/>
              <w:bottom w:val="single" w:sz="4" w:space="0" w:color="auto"/>
              <w:right w:val="single" w:sz="4" w:space="0" w:color="auto"/>
            </w:tcBorders>
            <w:shd w:val="clear" w:color="000000" w:fill="F2F2F2"/>
            <w:noWrap/>
            <w:vAlign w:val="center"/>
            <w:hideMark/>
          </w:tcPr>
          <w:p w14:paraId="0E9FA38A" w14:textId="77777777" w:rsidR="00A21ED5" w:rsidRPr="00053706" w:rsidRDefault="00A21ED5" w:rsidP="00D22441">
            <w:pPr>
              <w:jc w:val="right"/>
              <w:rPr>
                <w:rFonts w:ascii="Arial Narrow" w:hAnsi="Arial Narrow" w:cs="Arial"/>
                <w:spacing w:val="0"/>
                <w:sz w:val="16"/>
                <w:szCs w:val="16"/>
                <w:lang w:eastAsia="es-CO"/>
              </w:rPr>
            </w:pPr>
            <w:r w:rsidRPr="00053706">
              <w:rPr>
                <w:rFonts w:ascii="Arial Narrow" w:hAnsi="Arial Narrow" w:cs="Arial"/>
                <w:spacing w:val="0"/>
                <w:sz w:val="16"/>
                <w:szCs w:val="16"/>
                <w:lang w:eastAsia="es-CO"/>
              </w:rPr>
              <w:t>$ 40.258.078</w:t>
            </w:r>
          </w:p>
        </w:tc>
      </w:tr>
    </w:tbl>
    <w:p w14:paraId="1277B57F" w14:textId="77777777" w:rsidR="00A850CB" w:rsidRDefault="00A850CB" w:rsidP="00D22441"/>
    <w:p w14:paraId="1C6B7237" w14:textId="77777777" w:rsidR="00FB3582" w:rsidRDefault="00FB3582" w:rsidP="00D22441">
      <w:pPr>
        <w:pStyle w:val="Subttulo"/>
        <w:spacing w:after="0"/>
        <w:jc w:val="left"/>
        <w:rPr>
          <w:b/>
          <w:bCs/>
          <w:sz w:val="20"/>
          <w:szCs w:val="22"/>
        </w:rPr>
      </w:pPr>
    </w:p>
    <w:p w14:paraId="572F191E" w14:textId="43CAF7C6" w:rsidR="008C3353" w:rsidRPr="00767202" w:rsidRDefault="00072BD4" w:rsidP="00D22441">
      <w:pPr>
        <w:pStyle w:val="Subttulo"/>
        <w:numPr>
          <w:ilvl w:val="1"/>
          <w:numId w:val="37"/>
        </w:numPr>
        <w:spacing w:after="0"/>
        <w:ind w:left="357" w:hanging="357"/>
        <w:jc w:val="left"/>
        <w:rPr>
          <w:b/>
          <w:bCs/>
          <w:sz w:val="22"/>
          <w:szCs w:val="22"/>
        </w:rPr>
      </w:pPr>
      <w:bookmarkStart w:id="107" w:name="_Toc147154342"/>
      <w:r>
        <w:rPr>
          <w:b/>
          <w:bCs/>
          <w:sz w:val="22"/>
          <w:szCs w:val="22"/>
        </w:rPr>
        <w:t>CONTRIBUCIÓN ESPECIAL 2023 PRESTADORES</w:t>
      </w:r>
      <w:r w:rsidRPr="00767202">
        <w:rPr>
          <w:b/>
          <w:bCs/>
          <w:sz w:val="22"/>
          <w:szCs w:val="22"/>
        </w:rPr>
        <w:t xml:space="preserve"> </w:t>
      </w:r>
      <w:r w:rsidR="008C3353" w:rsidRPr="00767202">
        <w:rPr>
          <w:b/>
          <w:bCs/>
          <w:sz w:val="22"/>
          <w:szCs w:val="22"/>
        </w:rPr>
        <w:t>SERVICIO GLP</w:t>
      </w:r>
      <w:r>
        <w:rPr>
          <w:b/>
          <w:bCs/>
          <w:sz w:val="22"/>
          <w:szCs w:val="22"/>
        </w:rPr>
        <w:t xml:space="preserve"> – GAS POR REDES</w:t>
      </w:r>
      <w:r w:rsidR="008C3353" w:rsidRPr="00767202">
        <w:rPr>
          <w:b/>
          <w:bCs/>
          <w:sz w:val="22"/>
          <w:szCs w:val="22"/>
        </w:rPr>
        <w:t>.</w:t>
      </w:r>
      <w:bookmarkEnd w:id="107"/>
    </w:p>
    <w:p w14:paraId="08BAEB7D" w14:textId="77777777" w:rsidR="0086545E" w:rsidRDefault="0086545E" w:rsidP="00D22441">
      <w:pPr>
        <w:rPr>
          <w:rFonts w:cs="Arial"/>
          <w:b/>
          <w:sz w:val="22"/>
          <w:szCs w:val="22"/>
        </w:rPr>
      </w:pPr>
    </w:p>
    <w:p w14:paraId="044BAF67" w14:textId="32568F1C" w:rsidR="00B07312" w:rsidRDefault="00B07312" w:rsidP="00D22441">
      <w:pPr>
        <w:jc w:val="left"/>
        <w:rPr>
          <w:sz w:val="22"/>
          <w:szCs w:val="22"/>
        </w:rPr>
      </w:pPr>
      <w:bookmarkStart w:id="108" w:name="_Hlk144297498"/>
      <w:r>
        <w:rPr>
          <w:sz w:val="22"/>
          <w:szCs w:val="22"/>
        </w:rPr>
        <w:t>A continuación, se relacionan los 136 regulados prestadores del servicio de GLP – gas por redes, que son sujetos pasivos de la contribución especial 2023 con corte al 12 de julio de 2023, ordenados por su número de NIT:</w:t>
      </w:r>
    </w:p>
    <w:p w14:paraId="3B9B317C" w14:textId="14F1CC88" w:rsidR="00080276" w:rsidRPr="00622C5C" w:rsidRDefault="00080276" w:rsidP="00080276">
      <w:pPr>
        <w:pStyle w:val="Descripcin"/>
        <w:rPr>
          <w:rFonts w:cs="Arial"/>
          <w:sz w:val="22"/>
          <w:szCs w:val="22"/>
        </w:rPr>
      </w:pPr>
      <w:bookmarkStart w:id="109" w:name="_Toc145486452"/>
      <w:bookmarkStart w:id="110" w:name="_Hlk145346914"/>
      <w:bookmarkEnd w:id="108"/>
      <w:r w:rsidRPr="002C4392">
        <w:rPr>
          <w:i w:val="0"/>
          <w:iCs w:val="0"/>
          <w:color w:val="auto"/>
        </w:rPr>
        <w:t xml:space="preserve">Tabla </w:t>
      </w:r>
      <w:r w:rsidRPr="002C4392">
        <w:rPr>
          <w:i w:val="0"/>
          <w:iCs w:val="0"/>
          <w:color w:val="auto"/>
        </w:rPr>
        <w:fldChar w:fldCharType="begin"/>
      </w:r>
      <w:r w:rsidRPr="002C4392">
        <w:rPr>
          <w:i w:val="0"/>
          <w:iCs w:val="0"/>
          <w:color w:val="auto"/>
        </w:rPr>
        <w:instrText xml:space="preserve"> SEQ Tabla \* ARABIC </w:instrText>
      </w:r>
      <w:r w:rsidRPr="002C4392">
        <w:rPr>
          <w:i w:val="0"/>
          <w:iCs w:val="0"/>
          <w:color w:val="auto"/>
        </w:rPr>
        <w:fldChar w:fldCharType="separate"/>
      </w:r>
      <w:r>
        <w:rPr>
          <w:i w:val="0"/>
          <w:iCs w:val="0"/>
          <w:noProof/>
          <w:color w:val="auto"/>
        </w:rPr>
        <w:t>26</w:t>
      </w:r>
      <w:r w:rsidRPr="002C4392">
        <w:rPr>
          <w:i w:val="0"/>
          <w:iCs w:val="0"/>
          <w:color w:val="auto"/>
        </w:rPr>
        <w:fldChar w:fldCharType="end"/>
      </w:r>
      <w:r w:rsidRPr="002C4392">
        <w:rPr>
          <w:i w:val="0"/>
          <w:iCs w:val="0"/>
          <w:color w:val="auto"/>
        </w:rPr>
        <w:t xml:space="preserve">. </w:t>
      </w:r>
      <w:r>
        <w:rPr>
          <w:i w:val="0"/>
          <w:iCs w:val="0"/>
          <w:color w:val="auto"/>
        </w:rPr>
        <w:t>Consolidado regulados servicio GLP y gas por redes, contribuyentes contribución especial 2023.</w:t>
      </w:r>
      <w:bookmarkEnd w:id="109"/>
    </w:p>
    <w:tbl>
      <w:tblPr>
        <w:tblW w:w="13540" w:type="dxa"/>
        <w:tblCellMar>
          <w:left w:w="70" w:type="dxa"/>
          <w:right w:w="70" w:type="dxa"/>
        </w:tblCellMar>
        <w:tblLook w:val="04A0" w:firstRow="1" w:lastRow="0" w:firstColumn="1" w:lastColumn="0" w:noHBand="0" w:noVBand="1"/>
      </w:tblPr>
      <w:tblGrid>
        <w:gridCol w:w="407"/>
        <w:gridCol w:w="585"/>
        <w:gridCol w:w="941"/>
        <w:gridCol w:w="3247"/>
        <w:gridCol w:w="1620"/>
        <w:gridCol w:w="1520"/>
        <w:gridCol w:w="1460"/>
        <w:gridCol w:w="1280"/>
        <w:gridCol w:w="1200"/>
        <w:gridCol w:w="1280"/>
      </w:tblGrid>
      <w:tr w:rsidR="00B07312" w:rsidRPr="006B48D3" w14:paraId="70A43009" w14:textId="77777777" w:rsidTr="006B48D3">
        <w:trPr>
          <w:trHeight w:val="751"/>
          <w:tblHeader/>
        </w:trPr>
        <w:tc>
          <w:tcPr>
            <w:tcW w:w="407" w:type="dxa"/>
            <w:tcBorders>
              <w:top w:val="single" w:sz="4" w:space="0" w:color="auto"/>
              <w:left w:val="single" w:sz="4" w:space="0" w:color="auto"/>
              <w:bottom w:val="single" w:sz="4" w:space="0" w:color="auto"/>
              <w:right w:val="single" w:sz="4" w:space="0" w:color="auto"/>
            </w:tcBorders>
            <w:shd w:val="clear" w:color="000000" w:fill="D9D9D9"/>
            <w:vAlign w:val="center"/>
            <w:hideMark/>
          </w:tcPr>
          <w:bookmarkEnd w:id="110"/>
          <w:p w14:paraId="39BA78DD" w14:textId="77777777" w:rsidR="00B07312" w:rsidRPr="006B48D3" w:rsidRDefault="00B07312" w:rsidP="00D22441">
            <w:pPr>
              <w:jc w:val="center"/>
              <w:rPr>
                <w:rFonts w:ascii="Arial Narrow" w:hAnsi="Arial Narrow" w:cs="Arial"/>
                <w:b/>
                <w:bCs/>
                <w:color w:val="000000"/>
                <w:spacing w:val="0"/>
                <w:sz w:val="16"/>
                <w:szCs w:val="16"/>
                <w:lang w:eastAsia="es-CO"/>
              </w:rPr>
            </w:pPr>
            <w:proofErr w:type="spellStart"/>
            <w:r w:rsidRPr="006B48D3">
              <w:rPr>
                <w:rFonts w:ascii="Arial Narrow" w:hAnsi="Arial Narrow" w:cs="Arial"/>
                <w:b/>
                <w:bCs/>
                <w:color w:val="000000"/>
                <w:spacing w:val="0"/>
                <w:sz w:val="16"/>
                <w:szCs w:val="16"/>
                <w:lang w:eastAsia="es-CO"/>
              </w:rPr>
              <w:t>N°</w:t>
            </w:r>
            <w:proofErr w:type="spellEnd"/>
          </w:p>
        </w:tc>
        <w:tc>
          <w:tcPr>
            <w:tcW w:w="585" w:type="dxa"/>
            <w:tcBorders>
              <w:top w:val="single" w:sz="4" w:space="0" w:color="auto"/>
              <w:left w:val="nil"/>
              <w:bottom w:val="single" w:sz="4" w:space="0" w:color="auto"/>
              <w:right w:val="single" w:sz="4" w:space="0" w:color="auto"/>
            </w:tcBorders>
            <w:shd w:val="clear" w:color="000000" w:fill="D9D9D9"/>
            <w:vAlign w:val="center"/>
            <w:hideMark/>
          </w:tcPr>
          <w:p w14:paraId="41BB9705" w14:textId="77777777" w:rsidR="00B07312" w:rsidRPr="006B48D3" w:rsidRDefault="00B07312" w:rsidP="00D22441">
            <w:pPr>
              <w:jc w:val="center"/>
              <w:rPr>
                <w:rFonts w:ascii="Arial Narrow" w:hAnsi="Arial Narrow" w:cs="Arial"/>
                <w:b/>
                <w:bCs/>
                <w:color w:val="000000"/>
                <w:spacing w:val="0"/>
                <w:sz w:val="16"/>
                <w:szCs w:val="16"/>
                <w:lang w:eastAsia="es-CO"/>
              </w:rPr>
            </w:pPr>
            <w:r w:rsidRPr="006B48D3">
              <w:rPr>
                <w:rFonts w:ascii="Arial Narrow" w:hAnsi="Arial Narrow" w:cs="Arial"/>
                <w:b/>
                <w:bCs/>
                <w:color w:val="000000"/>
                <w:spacing w:val="0"/>
                <w:sz w:val="16"/>
                <w:szCs w:val="16"/>
                <w:lang w:eastAsia="es-CO"/>
              </w:rPr>
              <w:t>RUPS</w:t>
            </w:r>
          </w:p>
        </w:tc>
        <w:tc>
          <w:tcPr>
            <w:tcW w:w="941" w:type="dxa"/>
            <w:tcBorders>
              <w:top w:val="single" w:sz="4" w:space="0" w:color="auto"/>
              <w:left w:val="nil"/>
              <w:bottom w:val="single" w:sz="4" w:space="0" w:color="auto"/>
              <w:right w:val="single" w:sz="4" w:space="0" w:color="auto"/>
            </w:tcBorders>
            <w:shd w:val="clear" w:color="000000" w:fill="D9D9D9"/>
            <w:vAlign w:val="center"/>
            <w:hideMark/>
          </w:tcPr>
          <w:p w14:paraId="549D6166" w14:textId="77777777" w:rsidR="00B07312" w:rsidRPr="006B48D3" w:rsidRDefault="00B07312" w:rsidP="00D22441">
            <w:pPr>
              <w:jc w:val="center"/>
              <w:rPr>
                <w:rFonts w:ascii="Arial Narrow" w:hAnsi="Arial Narrow" w:cs="Arial"/>
                <w:b/>
                <w:bCs/>
                <w:color w:val="000000"/>
                <w:spacing w:val="0"/>
                <w:sz w:val="16"/>
                <w:szCs w:val="16"/>
                <w:lang w:eastAsia="es-CO"/>
              </w:rPr>
            </w:pPr>
            <w:r w:rsidRPr="006B48D3">
              <w:rPr>
                <w:rFonts w:ascii="Arial Narrow" w:hAnsi="Arial Narrow" w:cs="Arial"/>
                <w:b/>
                <w:bCs/>
                <w:color w:val="000000"/>
                <w:spacing w:val="0"/>
                <w:sz w:val="16"/>
                <w:szCs w:val="16"/>
                <w:lang w:eastAsia="es-CO"/>
              </w:rPr>
              <w:t>NIT</w:t>
            </w:r>
          </w:p>
        </w:tc>
        <w:tc>
          <w:tcPr>
            <w:tcW w:w="3247" w:type="dxa"/>
            <w:tcBorders>
              <w:top w:val="single" w:sz="4" w:space="0" w:color="auto"/>
              <w:left w:val="nil"/>
              <w:bottom w:val="single" w:sz="4" w:space="0" w:color="auto"/>
              <w:right w:val="single" w:sz="4" w:space="0" w:color="auto"/>
            </w:tcBorders>
            <w:shd w:val="clear" w:color="000000" w:fill="D9D9D9"/>
            <w:vAlign w:val="center"/>
            <w:hideMark/>
          </w:tcPr>
          <w:p w14:paraId="34AE63F1" w14:textId="77777777" w:rsidR="00B07312" w:rsidRPr="006B48D3" w:rsidRDefault="00B07312" w:rsidP="00D22441">
            <w:pPr>
              <w:jc w:val="center"/>
              <w:rPr>
                <w:rFonts w:ascii="Arial Narrow" w:hAnsi="Arial Narrow" w:cs="Arial"/>
                <w:b/>
                <w:bCs/>
                <w:color w:val="000000"/>
                <w:spacing w:val="0"/>
                <w:sz w:val="16"/>
                <w:szCs w:val="16"/>
                <w:lang w:eastAsia="es-CO"/>
              </w:rPr>
            </w:pPr>
            <w:r w:rsidRPr="006B48D3">
              <w:rPr>
                <w:rFonts w:ascii="Arial Narrow" w:hAnsi="Arial Narrow" w:cs="Arial"/>
                <w:b/>
                <w:bCs/>
                <w:color w:val="000000"/>
                <w:spacing w:val="0"/>
                <w:sz w:val="16"/>
                <w:szCs w:val="16"/>
                <w:lang w:eastAsia="es-CO"/>
              </w:rPr>
              <w:t>Razón social empresa regulada</w:t>
            </w:r>
          </w:p>
        </w:tc>
        <w:tc>
          <w:tcPr>
            <w:tcW w:w="1620" w:type="dxa"/>
            <w:tcBorders>
              <w:top w:val="single" w:sz="4" w:space="0" w:color="auto"/>
              <w:left w:val="nil"/>
              <w:bottom w:val="single" w:sz="4" w:space="0" w:color="auto"/>
              <w:right w:val="single" w:sz="4" w:space="0" w:color="auto"/>
            </w:tcBorders>
            <w:shd w:val="clear" w:color="000000" w:fill="ACB9CA"/>
            <w:vAlign w:val="center"/>
            <w:hideMark/>
          </w:tcPr>
          <w:p w14:paraId="213CDEE2" w14:textId="77777777" w:rsidR="00B07312" w:rsidRPr="006B48D3" w:rsidRDefault="00B07312" w:rsidP="00D22441">
            <w:pPr>
              <w:jc w:val="center"/>
              <w:rPr>
                <w:rFonts w:ascii="Arial Narrow" w:hAnsi="Arial Narrow" w:cs="Arial"/>
                <w:b/>
                <w:bCs/>
                <w:color w:val="000000"/>
                <w:spacing w:val="0"/>
                <w:sz w:val="16"/>
                <w:szCs w:val="16"/>
                <w:lang w:eastAsia="es-CO"/>
              </w:rPr>
            </w:pPr>
            <w:r w:rsidRPr="006B48D3">
              <w:rPr>
                <w:rFonts w:ascii="Arial Narrow" w:hAnsi="Arial Narrow" w:cs="Arial"/>
                <w:b/>
                <w:bCs/>
                <w:color w:val="000000"/>
                <w:spacing w:val="0"/>
                <w:sz w:val="16"/>
                <w:szCs w:val="16"/>
                <w:lang w:eastAsia="es-CO"/>
              </w:rPr>
              <w:t>Gastos administrativos reportados SUI y depurados</w:t>
            </w:r>
          </w:p>
        </w:tc>
        <w:tc>
          <w:tcPr>
            <w:tcW w:w="1520" w:type="dxa"/>
            <w:tcBorders>
              <w:top w:val="single" w:sz="4" w:space="0" w:color="auto"/>
              <w:left w:val="nil"/>
              <w:bottom w:val="single" w:sz="4" w:space="0" w:color="auto"/>
              <w:right w:val="single" w:sz="4" w:space="0" w:color="auto"/>
            </w:tcBorders>
            <w:shd w:val="clear" w:color="000000" w:fill="ACB9CA"/>
            <w:vAlign w:val="center"/>
            <w:hideMark/>
          </w:tcPr>
          <w:p w14:paraId="373F3EC5" w14:textId="77777777" w:rsidR="00B07312" w:rsidRPr="006B48D3" w:rsidRDefault="00B07312" w:rsidP="00D22441">
            <w:pPr>
              <w:jc w:val="center"/>
              <w:rPr>
                <w:rFonts w:ascii="Arial Narrow" w:hAnsi="Arial Narrow" w:cs="Arial"/>
                <w:b/>
                <w:bCs/>
                <w:color w:val="000000"/>
                <w:spacing w:val="0"/>
                <w:sz w:val="16"/>
                <w:szCs w:val="16"/>
                <w:lang w:eastAsia="es-CO"/>
              </w:rPr>
            </w:pPr>
            <w:r w:rsidRPr="006B48D3">
              <w:rPr>
                <w:rFonts w:ascii="Arial Narrow" w:hAnsi="Arial Narrow" w:cs="Arial"/>
                <w:b/>
                <w:bCs/>
                <w:color w:val="000000"/>
                <w:spacing w:val="0"/>
                <w:sz w:val="16"/>
                <w:szCs w:val="16"/>
                <w:lang w:eastAsia="es-CO"/>
              </w:rPr>
              <w:t>Porción de gastos operativos reportados SUI</w:t>
            </w:r>
          </w:p>
        </w:tc>
        <w:tc>
          <w:tcPr>
            <w:tcW w:w="1460" w:type="dxa"/>
            <w:tcBorders>
              <w:top w:val="single" w:sz="4" w:space="0" w:color="auto"/>
              <w:left w:val="nil"/>
              <w:bottom w:val="single" w:sz="4" w:space="0" w:color="auto"/>
              <w:right w:val="single" w:sz="4" w:space="0" w:color="auto"/>
            </w:tcBorders>
            <w:shd w:val="clear" w:color="000000" w:fill="D9D9D9"/>
            <w:vAlign w:val="center"/>
            <w:hideMark/>
          </w:tcPr>
          <w:p w14:paraId="1057EE07" w14:textId="77777777" w:rsidR="00B07312" w:rsidRPr="006B48D3" w:rsidRDefault="00B07312" w:rsidP="00D22441">
            <w:pPr>
              <w:jc w:val="center"/>
              <w:rPr>
                <w:rFonts w:ascii="Arial Narrow" w:hAnsi="Arial Narrow" w:cs="Arial"/>
                <w:b/>
                <w:bCs/>
                <w:color w:val="000000"/>
                <w:spacing w:val="0"/>
                <w:sz w:val="16"/>
                <w:szCs w:val="16"/>
                <w:lang w:eastAsia="es-CO"/>
              </w:rPr>
            </w:pPr>
            <w:proofErr w:type="gramStart"/>
            <w:r w:rsidRPr="006B48D3">
              <w:rPr>
                <w:rFonts w:ascii="Arial Narrow" w:hAnsi="Arial Narrow" w:cs="Arial"/>
                <w:b/>
                <w:bCs/>
                <w:color w:val="000000"/>
                <w:spacing w:val="0"/>
                <w:sz w:val="16"/>
                <w:szCs w:val="16"/>
                <w:lang w:eastAsia="es-CO"/>
              </w:rPr>
              <w:t>Total</w:t>
            </w:r>
            <w:proofErr w:type="gramEnd"/>
            <w:r w:rsidRPr="006B48D3">
              <w:rPr>
                <w:rFonts w:ascii="Arial Narrow" w:hAnsi="Arial Narrow" w:cs="Arial"/>
                <w:b/>
                <w:bCs/>
                <w:color w:val="000000"/>
                <w:spacing w:val="0"/>
                <w:sz w:val="16"/>
                <w:szCs w:val="16"/>
                <w:lang w:eastAsia="es-CO"/>
              </w:rPr>
              <w:t xml:space="preserve"> base gravable reportada</w:t>
            </w:r>
          </w:p>
        </w:tc>
        <w:tc>
          <w:tcPr>
            <w:tcW w:w="1280" w:type="dxa"/>
            <w:tcBorders>
              <w:top w:val="single" w:sz="4" w:space="0" w:color="auto"/>
              <w:left w:val="nil"/>
              <w:bottom w:val="single" w:sz="4" w:space="0" w:color="auto"/>
              <w:right w:val="single" w:sz="4" w:space="0" w:color="auto"/>
            </w:tcBorders>
            <w:shd w:val="clear" w:color="000000" w:fill="D9D9D9"/>
            <w:vAlign w:val="center"/>
            <w:hideMark/>
          </w:tcPr>
          <w:p w14:paraId="18532995" w14:textId="77777777" w:rsidR="00B07312" w:rsidRPr="006B48D3" w:rsidRDefault="00B07312" w:rsidP="00D22441">
            <w:pPr>
              <w:jc w:val="center"/>
              <w:rPr>
                <w:rFonts w:ascii="Arial Narrow" w:hAnsi="Arial Narrow" w:cs="Arial"/>
                <w:b/>
                <w:bCs/>
                <w:color w:val="000000"/>
                <w:spacing w:val="0"/>
                <w:sz w:val="16"/>
                <w:szCs w:val="16"/>
                <w:lang w:eastAsia="es-CO"/>
              </w:rPr>
            </w:pPr>
            <w:r w:rsidRPr="006B48D3">
              <w:rPr>
                <w:rFonts w:ascii="Arial Narrow" w:hAnsi="Arial Narrow" w:cs="Arial"/>
                <w:b/>
                <w:bCs/>
                <w:color w:val="000000"/>
                <w:spacing w:val="0"/>
                <w:sz w:val="16"/>
                <w:szCs w:val="16"/>
                <w:lang w:eastAsia="es-CO"/>
              </w:rPr>
              <w:t xml:space="preserve">Valor bruto contribución especial 2023 </w:t>
            </w:r>
          </w:p>
        </w:tc>
        <w:tc>
          <w:tcPr>
            <w:tcW w:w="1200" w:type="dxa"/>
            <w:tcBorders>
              <w:top w:val="single" w:sz="4" w:space="0" w:color="auto"/>
              <w:left w:val="nil"/>
              <w:bottom w:val="single" w:sz="4" w:space="0" w:color="auto"/>
              <w:right w:val="single" w:sz="4" w:space="0" w:color="auto"/>
            </w:tcBorders>
            <w:shd w:val="clear" w:color="000000" w:fill="D9D9D9"/>
            <w:vAlign w:val="center"/>
            <w:hideMark/>
          </w:tcPr>
          <w:p w14:paraId="496F04F5" w14:textId="5D3745F3" w:rsidR="00B07312" w:rsidRPr="006B48D3" w:rsidRDefault="00B07312" w:rsidP="00D22441">
            <w:pPr>
              <w:jc w:val="center"/>
              <w:rPr>
                <w:rFonts w:ascii="Arial Narrow" w:hAnsi="Arial Narrow" w:cs="Arial"/>
                <w:b/>
                <w:bCs/>
                <w:color w:val="000000"/>
                <w:spacing w:val="0"/>
                <w:sz w:val="16"/>
                <w:szCs w:val="16"/>
                <w:lang w:eastAsia="es-CO"/>
              </w:rPr>
            </w:pPr>
            <w:r w:rsidRPr="006B48D3">
              <w:rPr>
                <w:rFonts w:ascii="Arial Narrow" w:hAnsi="Arial Narrow" w:cs="Arial"/>
                <w:b/>
                <w:bCs/>
                <w:color w:val="000000"/>
                <w:spacing w:val="0"/>
                <w:sz w:val="16"/>
                <w:szCs w:val="16"/>
                <w:lang w:eastAsia="es-CO"/>
              </w:rPr>
              <w:t>Cuantía mínima proporcional 2023</w:t>
            </w:r>
          </w:p>
        </w:tc>
        <w:tc>
          <w:tcPr>
            <w:tcW w:w="1280" w:type="dxa"/>
            <w:tcBorders>
              <w:top w:val="single" w:sz="4" w:space="0" w:color="auto"/>
              <w:left w:val="nil"/>
              <w:bottom w:val="single" w:sz="4" w:space="0" w:color="auto"/>
              <w:right w:val="single" w:sz="4" w:space="0" w:color="auto"/>
            </w:tcBorders>
            <w:shd w:val="clear" w:color="000000" w:fill="D9D9D9"/>
            <w:vAlign w:val="center"/>
            <w:hideMark/>
          </w:tcPr>
          <w:p w14:paraId="431DFDF3" w14:textId="77777777" w:rsidR="00B07312" w:rsidRPr="006B48D3" w:rsidRDefault="00B07312" w:rsidP="00D22441">
            <w:pPr>
              <w:jc w:val="center"/>
              <w:rPr>
                <w:rFonts w:ascii="Arial Narrow" w:hAnsi="Arial Narrow" w:cs="Arial"/>
                <w:b/>
                <w:bCs/>
                <w:color w:val="000000"/>
                <w:spacing w:val="0"/>
                <w:sz w:val="16"/>
                <w:szCs w:val="16"/>
                <w:lang w:eastAsia="es-CO"/>
              </w:rPr>
            </w:pPr>
            <w:r w:rsidRPr="006B48D3">
              <w:rPr>
                <w:rFonts w:ascii="Arial Narrow" w:hAnsi="Arial Narrow" w:cs="Arial"/>
                <w:b/>
                <w:bCs/>
                <w:color w:val="000000"/>
                <w:spacing w:val="0"/>
                <w:sz w:val="16"/>
                <w:szCs w:val="16"/>
                <w:lang w:eastAsia="es-CO"/>
              </w:rPr>
              <w:t>Valor neto de la contribución especial 2023 a pagar</w:t>
            </w:r>
          </w:p>
        </w:tc>
      </w:tr>
      <w:tr w:rsidR="00B07312" w:rsidRPr="006B48D3" w14:paraId="5035A289" w14:textId="77777777" w:rsidTr="006B48D3">
        <w:trPr>
          <w:trHeight w:val="297"/>
        </w:trPr>
        <w:tc>
          <w:tcPr>
            <w:tcW w:w="407" w:type="dxa"/>
            <w:tcBorders>
              <w:top w:val="nil"/>
              <w:left w:val="single" w:sz="4" w:space="0" w:color="auto"/>
              <w:bottom w:val="single" w:sz="4" w:space="0" w:color="auto"/>
              <w:right w:val="single" w:sz="4" w:space="0" w:color="auto"/>
            </w:tcBorders>
            <w:shd w:val="clear" w:color="000000" w:fill="F2F2F2"/>
            <w:noWrap/>
            <w:vAlign w:val="center"/>
            <w:hideMark/>
          </w:tcPr>
          <w:p w14:paraId="65D3C486" w14:textId="77777777" w:rsidR="00B07312" w:rsidRPr="006B48D3" w:rsidRDefault="00B07312" w:rsidP="00D22441">
            <w:pPr>
              <w:jc w:val="center"/>
              <w:rPr>
                <w:rFonts w:ascii="Arial Narrow" w:hAnsi="Arial Narrow" w:cs="Arial"/>
                <w:spacing w:val="0"/>
                <w:sz w:val="16"/>
                <w:szCs w:val="16"/>
                <w:lang w:eastAsia="es-CO"/>
              </w:rPr>
            </w:pPr>
            <w:r w:rsidRPr="006B48D3">
              <w:rPr>
                <w:rFonts w:ascii="Arial Narrow" w:hAnsi="Arial Narrow" w:cs="Arial"/>
                <w:spacing w:val="0"/>
                <w:sz w:val="16"/>
                <w:szCs w:val="16"/>
                <w:lang w:eastAsia="es-CO"/>
              </w:rPr>
              <w:t>1</w:t>
            </w:r>
          </w:p>
        </w:tc>
        <w:tc>
          <w:tcPr>
            <w:tcW w:w="585" w:type="dxa"/>
            <w:tcBorders>
              <w:top w:val="nil"/>
              <w:left w:val="nil"/>
              <w:bottom w:val="single" w:sz="4" w:space="0" w:color="auto"/>
              <w:right w:val="single" w:sz="4" w:space="0" w:color="auto"/>
            </w:tcBorders>
            <w:shd w:val="clear" w:color="000000" w:fill="F2F2F2"/>
            <w:noWrap/>
            <w:vAlign w:val="center"/>
            <w:hideMark/>
          </w:tcPr>
          <w:p w14:paraId="0827413E"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488</w:t>
            </w:r>
          </w:p>
        </w:tc>
        <w:tc>
          <w:tcPr>
            <w:tcW w:w="941" w:type="dxa"/>
            <w:tcBorders>
              <w:top w:val="nil"/>
              <w:left w:val="nil"/>
              <w:bottom w:val="single" w:sz="4" w:space="0" w:color="auto"/>
              <w:right w:val="single" w:sz="4" w:space="0" w:color="auto"/>
            </w:tcBorders>
            <w:shd w:val="clear" w:color="000000" w:fill="F2F2F2"/>
            <w:noWrap/>
            <w:vAlign w:val="center"/>
            <w:hideMark/>
          </w:tcPr>
          <w:p w14:paraId="64FEA4F6"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800007813</w:t>
            </w:r>
          </w:p>
        </w:tc>
        <w:tc>
          <w:tcPr>
            <w:tcW w:w="3247" w:type="dxa"/>
            <w:tcBorders>
              <w:top w:val="nil"/>
              <w:left w:val="nil"/>
              <w:bottom w:val="single" w:sz="4" w:space="0" w:color="auto"/>
              <w:right w:val="single" w:sz="4" w:space="0" w:color="auto"/>
            </w:tcBorders>
            <w:shd w:val="clear" w:color="000000" w:fill="F2F2F2"/>
            <w:vAlign w:val="center"/>
            <w:hideMark/>
          </w:tcPr>
          <w:p w14:paraId="180B6F79" w14:textId="77777777" w:rsidR="00B07312" w:rsidRPr="006B48D3" w:rsidRDefault="00B07312" w:rsidP="00D22441">
            <w:pPr>
              <w:jc w:val="left"/>
              <w:rPr>
                <w:rFonts w:ascii="Arial Narrow" w:hAnsi="Arial Narrow" w:cs="Arial"/>
                <w:spacing w:val="0"/>
                <w:sz w:val="16"/>
                <w:szCs w:val="16"/>
                <w:lang w:eastAsia="es-CO"/>
              </w:rPr>
            </w:pPr>
            <w:r w:rsidRPr="006B48D3">
              <w:rPr>
                <w:rFonts w:ascii="Arial Narrow" w:hAnsi="Arial Narrow" w:cs="Arial"/>
                <w:spacing w:val="0"/>
                <w:sz w:val="16"/>
                <w:szCs w:val="16"/>
                <w:lang w:eastAsia="es-CO"/>
              </w:rPr>
              <w:t>VANTI S.A. ESP</w:t>
            </w:r>
          </w:p>
        </w:tc>
        <w:tc>
          <w:tcPr>
            <w:tcW w:w="1620" w:type="dxa"/>
            <w:tcBorders>
              <w:top w:val="nil"/>
              <w:left w:val="nil"/>
              <w:bottom w:val="single" w:sz="4" w:space="0" w:color="auto"/>
              <w:right w:val="single" w:sz="4" w:space="0" w:color="auto"/>
            </w:tcBorders>
            <w:shd w:val="clear" w:color="000000" w:fill="F2F2F2"/>
            <w:noWrap/>
            <w:vAlign w:val="center"/>
            <w:hideMark/>
          </w:tcPr>
          <w:p w14:paraId="09C04356"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$ 41.327.497.000</w:t>
            </w:r>
          </w:p>
        </w:tc>
        <w:tc>
          <w:tcPr>
            <w:tcW w:w="1520" w:type="dxa"/>
            <w:tcBorders>
              <w:top w:val="nil"/>
              <w:left w:val="nil"/>
              <w:bottom w:val="single" w:sz="4" w:space="0" w:color="auto"/>
              <w:right w:val="single" w:sz="4" w:space="0" w:color="auto"/>
            </w:tcBorders>
            <w:shd w:val="clear" w:color="000000" w:fill="F2F2F2"/>
            <w:noWrap/>
            <w:vAlign w:val="center"/>
            <w:hideMark/>
          </w:tcPr>
          <w:p w14:paraId="2FE3ED92"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$ 19.371.594.443</w:t>
            </w:r>
          </w:p>
        </w:tc>
        <w:tc>
          <w:tcPr>
            <w:tcW w:w="1460" w:type="dxa"/>
            <w:tcBorders>
              <w:top w:val="nil"/>
              <w:left w:val="nil"/>
              <w:bottom w:val="single" w:sz="4" w:space="0" w:color="auto"/>
              <w:right w:val="single" w:sz="4" w:space="0" w:color="auto"/>
            </w:tcBorders>
            <w:shd w:val="clear" w:color="000000" w:fill="F2F2F2"/>
            <w:noWrap/>
            <w:vAlign w:val="center"/>
            <w:hideMark/>
          </w:tcPr>
          <w:p w14:paraId="561DBDC6"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$ 60.699.091.443</w:t>
            </w:r>
          </w:p>
        </w:tc>
        <w:tc>
          <w:tcPr>
            <w:tcW w:w="1280" w:type="dxa"/>
            <w:tcBorders>
              <w:top w:val="nil"/>
              <w:left w:val="nil"/>
              <w:bottom w:val="single" w:sz="4" w:space="0" w:color="auto"/>
              <w:right w:val="single" w:sz="4" w:space="0" w:color="auto"/>
            </w:tcBorders>
            <w:shd w:val="clear" w:color="000000" w:fill="F2F2F2"/>
            <w:noWrap/>
            <w:vAlign w:val="center"/>
            <w:hideMark/>
          </w:tcPr>
          <w:p w14:paraId="4E063690"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$ 606.990.914</w:t>
            </w:r>
          </w:p>
        </w:tc>
        <w:tc>
          <w:tcPr>
            <w:tcW w:w="1200" w:type="dxa"/>
            <w:tcBorders>
              <w:top w:val="nil"/>
              <w:left w:val="nil"/>
              <w:bottom w:val="single" w:sz="4" w:space="0" w:color="auto"/>
              <w:right w:val="single" w:sz="4" w:space="0" w:color="auto"/>
            </w:tcBorders>
            <w:shd w:val="clear" w:color="000000" w:fill="F2F2F2"/>
            <w:noWrap/>
            <w:vAlign w:val="center"/>
            <w:hideMark/>
          </w:tcPr>
          <w:p w14:paraId="5F67FFC9"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$ 25.261</w:t>
            </w:r>
          </w:p>
        </w:tc>
        <w:tc>
          <w:tcPr>
            <w:tcW w:w="1280" w:type="dxa"/>
            <w:tcBorders>
              <w:top w:val="nil"/>
              <w:left w:val="nil"/>
              <w:bottom w:val="single" w:sz="4" w:space="0" w:color="auto"/>
              <w:right w:val="single" w:sz="4" w:space="0" w:color="auto"/>
            </w:tcBorders>
            <w:shd w:val="clear" w:color="000000" w:fill="F2F2F2"/>
            <w:noWrap/>
            <w:vAlign w:val="center"/>
            <w:hideMark/>
          </w:tcPr>
          <w:p w14:paraId="33CCBB2E"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$ 607.016.175</w:t>
            </w:r>
          </w:p>
        </w:tc>
      </w:tr>
      <w:tr w:rsidR="00B07312" w:rsidRPr="006B48D3" w14:paraId="42616E4B" w14:textId="77777777" w:rsidTr="006B48D3">
        <w:trPr>
          <w:trHeight w:val="450"/>
        </w:trPr>
        <w:tc>
          <w:tcPr>
            <w:tcW w:w="407" w:type="dxa"/>
            <w:tcBorders>
              <w:top w:val="nil"/>
              <w:left w:val="single" w:sz="4" w:space="0" w:color="auto"/>
              <w:bottom w:val="single" w:sz="4" w:space="0" w:color="auto"/>
              <w:right w:val="single" w:sz="4" w:space="0" w:color="auto"/>
            </w:tcBorders>
            <w:shd w:val="clear" w:color="000000" w:fill="F2F2F2"/>
            <w:noWrap/>
            <w:vAlign w:val="center"/>
            <w:hideMark/>
          </w:tcPr>
          <w:p w14:paraId="34A93EE8" w14:textId="77777777" w:rsidR="00B07312" w:rsidRPr="006B48D3" w:rsidRDefault="00B07312" w:rsidP="00D22441">
            <w:pPr>
              <w:jc w:val="center"/>
              <w:rPr>
                <w:rFonts w:ascii="Arial Narrow" w:hAnsi="Arial Narrow" w:cs="Arial"/>
                <w:spacing w:val="0"/>
                <w:sz w:val="16"/>
                <w:szCs w:val="16"/>
                <w:lang w:eastAsia="es-CO"/>
              </w:rPr>
            </w:pPr>
            <w:r w:rsidRPr="006B48D3">
              <w:rPr>
                <w:rFonts w:ascii="Arial Narrow" w:hAnsi="Arial Narrow" w:cs="Arial"/>
                <w:spacing w:val="0"/>
                <w:sz w:val="16"/>
                <w:szCs w:val="16"/>
                <w:lang w:eastAsia="es-CO"/>
              </w:rPr>
              <w:t>2</w:t>
            </w:r>
          </w:p>
        </w:tc>
        <w:tc>
          <w:tcPr>
            <w:tcW w:w="585" w:type="dxa"/>
            <w:tcBorders>
              <w:top w:val="nil"/>
              <w:left w:val="nil"/>
              <w:bottom w:val="single" w:sz="4" w:space="0" w:color="auto"/>
              <w:right w:val="single" w:sz="4" w:space="0" w:color="auto"/>
            </w:tcBorders>
            <w:shd w:val="clear" w:color="000000" w:fill="F2F2F2"/>
            <w:noWrap/>
            <w:vAlign w:val="center"/>
            <w:hideMark/>
          </w:tcPr>
          <w:p w14:paraId="5BDF1BA7"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620</w:t>
            </w:r>
          </w:p>
        </w:tc>
        <w:tc>
          <w:tcPr>
            <w:tcW w:w="941" w:type="dxa"/>
            <w:tcBorders>
              <w:top w:val="nil"/>
              <w:left w:val="nil"/>
              <w:bottom w:val="single" w:sz="4" w:space="0" w:color="auto"/>
              <w:right w:val="single" w:sz="4" w:space="0" w:color="auto"/>
            </w:tcBorders>
            <w:shd w:val="clear" w:color="000000" w:fill="F2F2F2"/>
            <w:noWrap/>
            <w:vAlign w:val="center"/>
            <w:hideMark/>
          </w:tcPr>
          <w:p w14:paraId="1934B98D"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800021272</w:t>
            </w:r>
          </w:p>
        </w:tc>
        <w:tc>
          <w:tcPr>
            <w:tcW w:w="3247" w:type="dxa"/>
            <w:tcBorders>
              <w:top w:val="nil"/>
              <w:left w:val="nil"/>
              <w:bottom w:val="single" w:sz="4" w:space="0" w:color="auto"/>
              <w:right w:val="single" w:sz="4" w:space="0" w:color="auto"/>
            </w:tcBorders>
            <w:shd w:val="clear" w:color="000000" w:fill="F2F2F2"/>
            <w:vAlign w:val="center"/>
            <w:hideMark/>
          </w:tcPr>
          <w:p w14:paraId="16BF0E92" w14:textId="77777777" w:rsidR="00B07312" w:rsidRPr="006B48D3" w:rsidRDefault="00B07312" w:rsidP="00D22441">
            <w:pPr>
              <w:jc w:val="left"/>
              <w:rPr>
                <w:rFonts w:ascii="Arial Narrow" w:hAnsi="Arial Narrow" w:cs="Arial"/>
                <w:spacing w:val="0"/>
                <w:sz w:val="16"/>
                <w:szCs w:val="16"/>
                <w:lang w:eastAsia="es-CO"/>
              </w:rPr>
            </w:pPr>
            <w:r w:rsidRPr="006B48D3">
              <w:rPr>
                <w:rFonts w:ascii="Arial Narrow" w:hAnsi="Arial Narrow" w:cs="Arial"/>
                <w:spacing w:val="0"/>
                <w:sz w:val="16"/>
                <w:szCs w:val="16"/>
                <w:lang w:eastAsia="es-CO"/>
              </w:rPr>
              <w:t>GASES DEL LLANO S.A EMPRESA DE SERVICIOS PUBLICOS</w:t>
            </w:r>
          </w:p>
        </w:tc>
        <w:tc>
          <w:tcPr>
            <w:tcW w:w="1620" w:type="dxa"/>
            <w:tcBorders>
              <w:top w:val="nil"/>
              <w:left w:val="nil"/>
              <w:bottom w:val="single" w:sz="4" w:space="0" w:color="auto"/>
              <w:right w:val="single" w:sz="4" w:space="0" w:color="auto"/>
            </w:tcBorders>
            <w:shd w:val="clear" w:color="000000" w:fill="F2F2F2"/>
            <w:noWrap/>
            <w:vAlign w:val="center"/>
            <w:hideMark/>
          </w:tcPr>
          <w:p w14:paraId="3A9EC14B"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$ 5.955.660.000</w:t>
            </w:r>
          </w:p>
        </w:tc>
        <w:tc>
          <w:tcPr>
            <w:tcW w:w="1520" w:type="dxa"/>
            <w:tcBorders>
              <w:top w:val="nil"/>
              <w:left w:val="nil"/>
              <w:bottom w:val="single" w:sz="4" w:space="0" w:color="auto"/>
              <w:right w:val="single" w:sz="4" w:space="0" w:color="auto"/>
            </w:tcBorders>
            <w:shd w:val="clear" w:color="000000" w:fill="F2F2F2"/>
            <w:noWrap/>
            <w:vAlign w:val="center"/>
            <w:hideMark/>
          </w:tcPr>
          <w:p w14:paraId="776A344F"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$ 107.097.772</w:t>
            </w:r>
          </w:p>
        </w:tc>
        <w:tc>
          <w:tcPr>
            <w:tcW w:w="1460" w:type="dxa"/>
            <w:tcBorders>
              <w:top w:val="nil"/>
              <w:left w:val="nil"/>
              <w:bottom w:val="single" w:sz="4" w:space="0" w:color="auto"/>
              <w:right w:val="single" w:sz="4" w:space="0" w:color="auto"/>
            </w:tcBorders>
            <w:shd w:val="clear" w:color="000000" w:fill="F2F2F2"/>
            <w:noWrap/>
            <w:vAlign w:val="center"/>
            <w:hideMark/>
          </w:tcPr>
          <w:p w14:paraId="4065A147"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$ 6.062.757.772</w:t>
            </w:r>
          </w:p>
        </w:tc>
        <w:tc>
          <w:tcPr>
            <w:tcW w:w="1280" w:type="dxa"/>
            <w:tcBorders>
              <w:top w:val="nil"/>
              <w:left w:val="nil"/>
              <w:bottom w:val="single" w:sz="4" w:space="0" w:color="auto"/>
              <w:right w:val="single" w:sz="4" w:space="0" w:color="auto"/>
            </w:tcBorders>
            <w:shd w:val="clear" w:color="000000" w:fill="F2F2F2"/>
            <w:noWrap/>
            <w:vAlign w:val="center"/>
            <w:hideMark/>
          </w:tcPr>
          <w:p w14:paraId="15E8EDE6"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$ 60.627.578</w:t>
            </w:r>
          </w:p>
        </w:tc>
        <w:tc>
          <w:tcPr>
            <w:tcW w:w="1200" w:type="dxa"/>
            <w:tcBorders>
              <w:top w:val="nil"/>
              <w:left w:val="nil"/>
              <w:bottom w:val="single" w:sz="4" w:space="0" w:color="auto"/>
              <w:right w:val="single" w:sz="4" w:space="0" w:color="auto"/>
            </w:tcBorders>
            <w:shd w:val="clear" w:color="000000" w:fill="F2F2F2"/>
            <w:noWrap/>
            <w:vAlign w:val="center"/>
            <w:hideMark/>
          </w:tcPr>
          <w:p w14:paraId="23FB4083"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$ 2.523</w:t>
            </w:r>
          </w:p>
        </w:tc>
        <w:tc>
          <w:tcPr>
            <w:tcW w:w="1280" w:type="dxa"/>
            <w:tcBorders>
              <w:top w:val="nil"/>
              <w:left w:val="nil"/>
              <w:bottom w:val="single" w:sz="4" w:space="0" w:color="auto"/>
              <w:right w:val="single" w:sz="4" w:space="0" w:color="auto"/>
            </w:tcBorders>
            <w:shd w:val="clear" w:color="000000" w:fill="F2F2F2"/>
            <w:noWrap/>
            <w:vAlign w:val="center"/>
            <w:hideMark/>
          </w:tcPr>
          <w:p w14:paraId="78E69EA7"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$ 60.630.101</w:t>
            </w:r>
          </w:p>
        </w:tc>
      </w:tr>
      <w:tr w:rsidR="00B07312" w:rsidRPr="006B48D3" w14:paraId="4422EA87" w14:textId="77777777" w:rsidTr="006B48D3">
        <w:trPr>
          <w:trHeight w:val="219"/>
        </w:trPr>
        <w:tc>
          <w:tcPr>
            <w:tcW w:w="407" w:type="dxa"/>
            <w:tcBorders>
              <w:top w:val="nil"/>
              <w:left w:val="single" w:sz="4" w:space="0" w:color="auto"/>
              <w:bottom w:val="single" w:sz="4" w:space="0" w:color="auto"/>
              <w:right w:val="single" w:sz="4" w:space="0" w:color="auto"/>
            </w:tcBorders>
            <w:shd w:val="clear" w:color="000000" w:fill="F2F2F2"/>
            <w:noWrap/>
            <w:vAlign w:val="center"/>
            <w:hideMark/>
          </w:tcPr>
          <w:p w14:paraId="2ED11661" w14:textId="77777777" w:rsidR="00B07312" w:rsidRPr="006B48D3" w:rsidRDefault="00B07312" w:rsidP="00D22441">
            <w:pPr>
              <w:jc w:val="center"/>
              <w:rPr>
                <w:rFonts w:ascii="Arial Narrow" w:hAnsi="Arial Narrow" w:cs="Arial"/>
                <w:spacing w:val="0"/>
                <w:sz w:val="16"/>
                <w:szCs w:val="16"/>
                <w:lang w:eastAsia="es-CO"/>
              </w:rPr>
            </w:pPr>
            <w:r w:rsidRPr="006B48D3">
              <w:rPr>
                <w:rFonts w:ascii="Arial Narrow" w:hAnsi="Arial Narrow" w:cs="Arial"/>
                <w:spacing w:val="0"/>
                <w:sz w:val="16"/>
                <w:szCs w:val="16"/>
                <w:lang w:eastAsia="es-CO"/>
              </w:rPr>
              <w:t>3</w:t>
            </w:r>
          </w:p>
        </w:tc>
        <w:tc>
          <w:tcPr>
            <w:tcW w:w="585" w:type="dxa"/>
            <w:tcBorders>
              <w:top w:val="nil"/>
              <w:left w:val="nil"/>
              <w:bottom w:val="single" w:sz="4" w:space="0" w:color="auto"/>
              <w:right w:val="single" w:sz="4" w:space="0" w:color="auto"/>
            </w:tcBorders>
            <w:shd w:val="clear" w:color="000000" w:fill="F2F2F2"/>
            <w:noWrap/>
            <w:vAlign w:val="center"/>
            <w:hideMark/>
          </w:tcPr>
          <w:p w14:paraId="265446A1"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1801</w:t>
            </w:r>
          </w:p>
        </w:tc>
        <w:tc>
          <w:tcPr>
            <w:tcW w:w="941" w:type="dxa"/>
            <w:tcBorders>
              <w:top w:val="nil"/>
              <w:left w:val="nil"/>
              <w:bottom w:val="single" w:sz="4" w:space="0" w:color="auto"/>
              <w:right w:val="single" w:sz="4" w:space="0" w:color="auto"/>
            </w:tcBorders>
            <w:shd w:val="clear" w:color="000000" w:fill="F2F2F2"/>
            <w:noWrap/>
            <w:vAlign w:val="center"/>
            <w:hideMark/>
          </w:tcPr>
          <w:p w14:paraId="0A265B98"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800136258</w:t>
            </w:r>
          </w:p>
        </w:tc>
        <w:tc>
          <w:tcPr>
            <w:tcW w:w="3247" w:type="dxa"/>
            <w:tcBorders>
              <w:top w:val="nil"/>
              <w:left w:val="nil"/>
              <w:bottom w:val="single" w:sz="4" w:space="0" w:color="auto"/>
              <w:right w:val="single" w:sz="4" w:space="0" w:color="auto"/>
            </w:tcBorders>
            <w:shd w:val="clear" w:color="000000" w:fill="F2F2F2"/>
            <w:vAlign w:val="center"/>
            <w:hideMark/>
          </w:tcPr>
          <w:p w14:paraId="7C94862B" w14:textId="77777777" w:rsidR="00B07312" w:rsidRPr="006B48D3" w:rsidRDefault="00B07312" w:rsidP="00D22441">
            <w:pPr>
              <w:jc w:val="left"/>
              <w:rPr>
                <w:rFonts w:ascii="Arial Narrow" w:hAnsi="Arial Narrow" w:cs="Arial"/>
                <w:spacing w:val="0"/>
                <w:sz w:val="16"/>
                <w:szCs w:val="16"/>
                <w:lang w:eastAsia="es-CO"/>
              </w:rPr>
            </w:pPr>
            <w:r w:rsidRPr="006B48D3">
              <w:rPr>
                <w:rFonts w:ascii="Arial Narrow" w:hAnsi="Arial Narrow" w:cs="Arial"/>
                <w:spacing w:val="0"/>
                <w:sz w:val="16"/>
                <w:szCs w:val="16"/>
                <w:lang w:eastAsia="es-CO"/>
              </w:rPr>
              <w:t>GAS GUAVIARE S.A. E.S.P.</w:t>
            </w:r>
          </w:p>
        </w:tc>
        <w:tc>
          <w:tcPr>
            <w:tcW w:w="1620" w:type="dxa"/>
            <w:tcBorders>
              <w:top w:val="nil"/>
              <w:left w:val="nil"/>
              <w:bottom w:val="single" w:sz="4" w:space="0" w:color="auto"/>
              <w:right w:val="single" w:sz="4" w:space="0" w:color="auto"/>
            </w:tcBorders>
            <w:shd w:val="clear" w:color="000000" w:fill="F2F2F2"/>
            <w:noWrap/>
            <w:vAlign w:val="center"/>
            <w:hideMark/>
          </w:tcPr>
          <w:p w14:paraId="68EC2969"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$ 276.665.000</w:t>
            </w:r>
          </w:p>
        </w:tc>
        <w:tc>
          <w:tcPr>
            <w:tcW w:w="1520" w:type="dxa"/>
            <w:tcBorders>
              <w:top w:val="nil"/>
              <w:left w:val="nil"/>
              <w:bottom w:val="single" w:sz="4" w:space="0" w:color="auto"/>
              <w:right w:val="single" w:sz="4" w:space="0" w:color="auto"/>
            </w:tcBorders>
            <w:shd w:val="clear" w:color="000000" w:fill="F2F2F2"/>
            <w:noWrap/>
            <w:vAlign w:val="center"/>
            <w:hideMark/>
          </w:tcPr>
          <w:p w14:paraId="46FDA2D8"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$ 39.213.866</w:t>
            </w:r>
          </w:p>
        </w:tc>
        <w:tc>
          <w:tcPr>
            <w:tcW w:w="1460" w:type="dxa"/>
            <w:tcBorders>
              <w:top w:val="nil"/>
              <w:left w:val="nil"/>
              <w:bottom w:val="single" w:sz="4" w:space="0" w:color="auto"/>
              <w:right w:val="single" w:sz="4" w:space="0" w:color="auto"/>
            </w:tcBorders>
            <w:shd w:val="clear" w:color="000000" w:fill="F2F2F2"/>
            <w:noWrap/>
            <w:vAlign w:val="center"/>
            <w:hideMark/>
          </w:tcPr>
          <w:p w14:paraId="0B5D226C"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$ 315.878.866</w:t>
            </w:r>
          </w:p>
        </w:tc>
        <w:tc>
          <w:tcPr>
            <w:tcW w:w="1280" w:type="dxa"/>
            <w:tcBorders>
              <w:top w:val="nil"/>
              <w:left w:val="nil"/>
              <w:bottom w:val="single" w:sz="4" w:space="0" w:color="auto"/>
              <w:right w:val="single" w:sz="4" w:space="0" w:color="auto"/>
            </w:tcBorders>
            <w:shd w:val="clear" w:color="000000" w:fill="F2F2F2"/>
            <w:noWrap/>
            <w:vAlign w:val="center"/>
            <w:hideMark/>
          </w:tcPr>
          <w:p w14:paraId="0EFE3692"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$ 3.158.789</w:t>
            </w:r>
          </w:p>
        </w:tc>
        <w:tc>
          <w:tcPr>
            <w:tcW w:w="1200" w:type="dxa"/>
            <w:tcBorders>
              <w:top w:val="nil"/>
              <w:left w:val="nil"/>
              <w:bottom w:val="single" w:sz="4" w:space="0" w:color="auto"/>
              <w:right w:val="single" w:sz="4" w:space="0" w:color="auto"/>
            </w:tcBorders>
            <w:shd w:val="clear" w:color="000000" w:fill="F2F2F2"/>
            <w:noWrap/>
            <w:vAlign w:val="center"/>
            <w:hideMark/>
          </w:tcPr>
          <w:p w14:paraId="49802E65"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$ 131</w:t>
            </w:r>
          </w:p>
        </w:tc>
        <w:tc>
          <w:tcPr>
            <w:tcW w:w="1280" w:type="dxa"/>
            <w:tcBorders>
              <w:top w:val="nil"/>
              <w:left w:val="nil"/>
              <w:bottom w:val="single" w:sz="4" w:space="0" w:color="auto"/>
              <w:right w:val="single" w:sz="4" w:space="0" w:color="auto"/>
            </w:tcBorders>
            <w:shd w:val="clear" w:color="000000" w:fill="F2F2F2"/>
            <w:noWrap/>
            <w:vAlign w:val="center"/>
            <w:hideMark/>
          </w:tcPr>
          <w:p w14:paraId="5580AABD"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$ 3.158.920</w:t>
            </w:r>
          </w:p>
        </w:tc>
      </w:tr>
      <w:tr w:rsidR="00B07312" w:rsidRPr="006B48D3" w14:paraId="132062D6" w14:textId="77777777" w:rsidTr="006B48D3">
        <w:trPr>
          <w:trHeight w:val="289"/>
        </w:trPr>
        <w:tc>
          <w:tcPr>
            <w:tcW w:w="407" w:type="dxa"/>
            <w:tcBorders>
              <w:top w:val="nil"/>
              <w:left w:val="single" w:sz="4" w:space="0" w:color="auto"/>
              <w:bottom w:val="single" w:sz="4" w:space="0" w:color="auto"/>
              <w:right w:val="single" w:sz="4" w:space="0" w:color="auto"/>
            </w:tcBorders>
            <w:shd w:val="clear" w:color="000000" w:fill="F2F2F2"/>
            <w:noWrap/>
            <w:vAlign w:val="center"/>
            <w:hideMark/>
          </w:tcPr>
          <w:p w14:paraId="0A8C1D08" w14:textId="77777777" w:rsidR="00B07312" w:rsidRPr="006B48D3" w:rsidRDefault="00B07312" w:rsidP="00D22441">
            <w:pPr>
              <w:jc w:val="center"/>
              <w:rPr>
                <w:rFonts w:ascii="Arial Narrow" w:hAnsi="Arial Narrow" w:cs="Arial"/>
                <w:spacing w:val="0"/>
                <w:sz w:val="16"/>
                <w:szCs w:val="16"/>
                <w:lang w:eastAsia="es-CO"/>
              </w:rPr>
            </w:pPr>
            <w:r w:rsidRPr="006B48D3">
              <w:rPr>
                <w:rFonts w:ascii="Arial Narrow" w:hAnsi="Arial Narrow" w:cs="Arial"/>
                <w:spacing w:val="0"/>
                <w:sz w:val="16"/>
                <w:szCs w:val="16"/>
                <w:lang w:eastAsia="es-CO"/>
              </w:rPr>
              <w:t>4</w:t>
            </w:r>
          </w:p>
        </w:tc>
        <w:tc>
          <w:tcPr>
            <w:tcW w:w="585" w:type="dxa"/>
            <w:tcBorders>
              <w:top w:val="nil"/>
              <w:left w:val="nil"/>
              <w:bottom w:val="single" w:sz="4" w:space="0" w:color="auto"/>
              <w:right w:val="single" w:sz="4" w:space="0" w:color="auto"/>
            </w:tcBorders>
            <w:shd w:val="clear" w:color="000000" w:fill="F2F2F2"/>
            <w:noWrap/>
            <w:vAlign w:val="center"/>
            <w:hideMark/>
          </w:tcPr>
          <w:p w14:paraId="3C42632B"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1715</w:t>
            </w:r>
          </w:p>
        </w:tc>
        <w:tc>
          <w:tcPr>
            <w:tcW w:w="941" w:type="dxa"/>
            <w:tcBorders>
              <w:top w:val="nil"/>
              <w:left w:val="nil"/>
              <w:bottom w:val="single" w:sz="4" w:space="0" w:color="auto"/>
              <w:right w:val="single" w:sz="4" w:space="0" w:color="auto"/>
            </w:tcBorders>
            <w:shd w:val="clear" w:color="000000" w:fill="F2F2F2"/>
            <w:noWrap/>
            <w:vAlign w:val="center"/>
            <w:hideMark/>
          </w:tcPr>
          <w:p w14:paraId="59E3495A"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800150534</w:t>
            </w:r>
          </w:p>
        </w:tc>
        <w:tc>
          <w:tcPr>
            <w:tcW w:w="3247" w:type="dxa"/>
            <w:tcBorders>
              <w:top w:val="nil"/>
              <w:left w:val="nil"/>
              <w:bottom w:val="single" w:sz="4" w:space="0" w:color="auto"/>
              <w:right w:val="single" w:sz="4" w:space="0" w:color="auto"/>
            </w:tcBorders>
            <w:shd w:val="clear" w:color="000000" w:fill="F2F2F2"/>
            <w:vAlign w:val="center"/>
            <w:hideMark/>
          </w:tcPr>
          <w:p w14:paraId="7F81EEA3" w14:textId="77777777" w:rsidR="00B07312" w:rsidRPr="006B48D3" w:rsidRDefault="00B07312" w:rsidP="00D22441">
            <w:pPr>
              <w:jc w:val="left"/>
              <w:rPr>
                <w:rFonts w:ascii="Arial Narrow" w:hAnsi="Arial Narrow" w:cs="Arial"/>
                <w:spacing w:val="0"/>
                <w:sz w:val="16"/>
                <w:szCs w:val="16"/>
                <w:lang w:eastAsia="es-CO"/>
              </w:rPr>
            </w:pPr>
            <w:r w:rsidRPr="006B48D3">
              <w:rPr>
                <w:rFonts w:ascii="Arial Narrow" w:hAnsi="Arial Narrow" w:cs="Arial"/>
                <w:spacing w:val="0"/>
                <w:sz w:val="16"/>
                <w:szCs w:val="16"/>
                <w:lang w:eastAsia="es-CO"/>
              </w:rPr>
              <w:t>GAS EL SOL S.A. E.S.P.</w:t>
            </w:r>
          </w:p>
        </w:tc>
        <w:tc>
          <w:tcPr>
            <w:tcW w:w="1620" w:type="dxa"/>
            <w:tcBorders>
              <w:top w:val="nil"/>
              <w:left w:val="nil"/>
              <w:bottom w:val="single" w:sz="4" w:space="0" w:color="auto"/>
              <w:right w:val="single" w:sz="4" w:space="0" w:color="auto"/>
            </w:tcBorders>
            <w:shd w:val="clear" w:color="000000" w:fill="F2F2F2"/>
            <w:noWrap/>
            <w:vAlign w:val="center"/>
            <w:hideMark/>
          </w:tcPr>
          <w:p w14:paraId="36ACE777"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$ 164.294.000</w:t>
            </w:r>
          </w:p>
        </w:tc>
        <w:tc>
          <w:tcPr>
            <w:tcW w:w="1520" w:type="dxa"/>
            <w:tcBorders>
              <w:top w:val="nil"/>
              <w:left w:val="nil"/>
              <w:bottom w:val="single" w:sz="4" w:space="0" w:color="auto"/>
              <w:right w:val="single" w:sz="4" w:space="0" w:color="auto"/>
            </w:tcBorders>
            <w:shd w:val="clear" w:color="000000" w:fill="F2F2F2"/>
            <w:noWrap/>
            <w:vAlign w:val="center"/>
            <w:hideMark/>
          </w:tcPr>
          <w:p w14:paraId="22388AA3"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$ 0</w:t>
            </w:r>
          </w:p>
        </w:tc>
        <w:tc>
          <w:tcPr>
            <w:tcW w:w="1460" w:type="dxa"/>
            <w:tcBorders>
              <w:top w:val="nil"/>
              <w:left w:val="nil"/>
              <w:bottom w:val="single" w:sz="4" w:space="0" w:color="auto"/>
              <w:right w:val="single" w:sz="4" w:space="0" w:color="auto"/>
            </w:tcBorders>
            <w:shd w:val="clear" w:color="000000" w:fill="F2F2F2"/>
            <w:noWrap/>
            <w:vAlign w:val="center"/>
            <w:hideMark/>
          </w:tcPr>
          <w:p w14:paraId="6E2B50D9"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$ 164.294.000</w:t>
            </w:r>
          </w:p>
        </w:tc>
        <w:tc>
          <w:tcPr>
            <w:tcW w:w="1280" w:type="dxa"/>
            <w:tcBorders>
              <w:top w:val="nil"/>
              <w:left w:val="nil"/>
              <w:bottom w:val="single" w:sz="4" w:space="0" w:color="auto"/>
              <w:right w:val="single" w:sz="4" w:space="0" w:color="auto"/>
            </w:tcBorders>
            <w:shd w:val="clear" w:color="000000" w:fill="F2F2F2"/>
            <w:noWrap/>
            <w:vAlign w:val="center"/>
            <w:hideMark/>
          </w:tcPr>
          <w:p w14:paraId="0EC99989"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$ 1.642.940</w:t>
            </w:r>
          </w:p>
        </w:tc>
        <w:tc>
          <w:tcPr>
            <w:tcW w:w="1200" w:type="dxa"/>
            <w:tcBorders>
              <w:top w:val="nil"/>
              <w:left w:val="nil"/>
              <w:bottom w:val="single" w:sz="4" w:space="0" w:color="auto"/>
              <w:right w:val="single" w:sz="4" w:space="0" w:color="auto"/>
            </w:tcBorders>
            <w:shd w:val="clear" w:color="000000" w:fill="F2F2F2"/>
            <w:noWrap/>
            <w:vAlign w:val="center"/>
            <w:hideMark/>
          </w:tcPr>
          <w:p w14:paraId="6713C441"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$ 68</w:t>
            </w:r>
          </w:p>
        </w:tc>
        <w:tc>
          <w:tcPr>
            <w:tcW w:w="1280" w:type="dxa"/>
            <w:tcBorders>
              <w:top w:val="nil"/>
              <w:left w:val="nil"/>
              <w:bottom w:val="single" w:sz="4" w:space="0" w:color="auto"/>
              <w:right w:val="single" w:sz="4" w:space="0" w:color="auto"/>
            </w:tcBorders>
            <w:shd w:val="clear" w:color="000000" w:fill="F2F2F2"/>
            <w:noWrap/>
            <w:vAlign w:val="center"/>
            <w:hideMark/>
          </w:tcPr>
          <w:p w14:paraId="7C5CE73F"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$ 1.643.008</w:t>
            </w:r>
          </w:p>
        </w:tc>
      </w:tr>
      <w:tr w:rsidR="00B07312" w:rsidRPr="006B48D3" w14:paraId="25106331" w14:textId="77777777" w:rsidTr="006B48D3">
        <w:trPr>
          <w:trHeight w:val="279"/>
        </w:trPr>
        <w:tc>
          <w:tcPr>
            <w:tcW w:w="407" w:type="dxa"/>
            <w:tcBorders>
              <w:top w:val="nil"/>
              <w:left w:val="single" w:sz="4" w:space="0" w:color="auto"/>
              <w:bottom w:val="single" w:sz="4" w:space="0" w:color="auto"/>
              <w:right w:val="single" w:sz="4" w:space="0" w:color="auto"/>
            </w:tcBorders>
            <w:shd w:val="clear" w:color="000000" w:fill="F2F2F2"/>
            <w:noWrap/>
            <w:vAlign w:val="center"/>
            <w:hideMark/>
          </w:tcPr>
          <w:p w14:paraId="5C7C6476" w14:textId="77777777" w:rsidR="00B07312" w:rsidRPr="006B48D3" w:rsidRDefault="00B07312" w:rsidP="00D22441">
            <w:pPr>
              <w:jc w:val="center"/>
              <w:rPr>
                <w:rFonts w:ascii="Arial Narrow" w:hAnsi="Arial Narrow" w:cs="Arial"/>
                <w:spacing w:val="0"/>
                <w:sz w:val="16"/>
                <w:szCs w:val="16"/>
                <w:lang w:eastAsia="es-CO"/>
              </w:rPr>
            </w:pPr>
            <w:r w:rsidRPr="006B48D3">
              <w:rPr>
                <w:rFonts w:ascii="Arial Narrow" w:hAnsi="Arial Narrow" w:cs="Arial"/>
                <w:spacing w:val="0"/>
                <w:sz w:val="16"/>
                <w:szCs w:val="16"/>
                <w:lang w:eastAsia="es-CO"/>
              </w:rPr>
              <w:t>5</w:t>
            </w:r>
          </w:p>
        </w:tc>
        <w:tc>
          <w:tcPr>
            <w:tcW w:w="585" w:type="dxa"/>
            <w:tcBorders>
              <w:top w:val="nil"/>
              <w:left w:val="nil"/>
              <w:bottom w:val="single" w:sz="4" w:space="0" w:color="auto"/>
              <w:right w:val="single" w:sz="4" w:space="0" w:color="auto"/>
            </w:tcBorders>
            <w:shd w:val="clear" w:color="000000" w:fill="F2F2F2"/>
            <w:noWrap/>
            <w:vAlign w:val="center"/>
            <w:hideMark/>
          </w:tcPr>
          <w:p w14:paraId="2B26EFF7"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1115</w:t>
            </w:r>
          </w:p>
        </w:tc>
        <w:tc>
          <w:tcPr>
            <w:tcW w:w="941" w:type="dxa"/>
            <w:tcBorders>
              <w:top w:val="nil"/>
              <w:left w:val="nil"/>
              <w:bottom w:val="single" w:sz="4" w:space="0" w:color="auto"/>
              <w:right w:val="single" w:sz="4" w:space="0" w:color="auto"/>
            </w:tcBorders>
            <w:shd w:val="clear" w:color="000000" w:fill="F2F2F2"/>
            <w:noWrap/>
            <w:vAlign w:val="center"/>
            <w:hideMark/>
          </w:tcPr>
          <w:p w14:paraId="0FD09C31"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800166132</w:t>
            </w:r>
          </w:p>
        </w:tc>
        <w:tc>
          <w:tcPr>
            <w:tcW w:w="3247" w:type="dxa"/>
            <w:tcBorders>
              <w:top w:val="nil"/>
              <w:left w:val="nil"/>
              <w:bottom w:val="single" w:sz="4" w:space="0" w:color="auto"/>
              <w:right w:val="single" w:sz="4" w:space="0" w:color="auto"/>
            </w:tcBorders>
            <w:shd w:val="clear" w:color="000000" w:fill="F2F2F2"/>
            <w:vAlign w:val="center"/>
            <w:hideMark/>
          </w:tcPr>
          <w:p w14:paraId="5104C5E3" w14:textId="77777777" w:rsidR="00B07312" w:rsidRPr="006B48D3" w:rsidRDefault="00B07312" w:rsidP="00D22441">
            <w:pPr>
              <w:jc w:val="left"/>
              <w:rPr>
                <w:rFonts w:ascii="Arial Narrow" w:hAnsi="Arial Narrow" w:cs="Arial"/>
                <w:spacing w:val="0"/>
                <w:sz w:val="16"/>
                <w:szCs w:val="16"/>
                <w:lang w:eastAsia="es-CO"/>
              </w:rPr>
            </w:pPr>
            <w:r w:rsidRPr="006B48D3">
              <w:rPr>
                <w:rFonts w:ascii="Arial Narrow" w:hAnsi="Arial Narrow" w:cs="Arial"/>
                <w:spacing w:val="0"/>
                <w:sz w:val="16"/>
                <w:szCs w:val="16"/>
                <w:lang w:eastAsia="es-CO"/>
              </w:rPr>
              <w:t>VELOGAS S.A.  E.S.P.</w:t>
            </w:r>
          </w:p>
        </w:tc>
        <w:tc>
          <w:tcPr>
            <w:tcW w:w="1620" w:type="dxa"/>
            <w:tcBorders>
              <w:top w:val="nil"/>
              <w:left w:val="nil"/>
              <w:bottom w:val="single" w:sz="4" w:space="0" w:color="auto"/>
              <w:right w:val="single" w:sz="4" w:space="0" w:color="auto"/>
            </w:tcBorders>
            <w:shd w:val="clear" w:color="000000" w:fill="F2F2F2"/>
            <w:noWrap/>
            <w:vAlign w:val="center"/>
            <w:hideMark/>
          </w:tcPr>
          <w:p w14:paraId="3F28773F"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$ 353.458.393</w:t>
            </w:r>
          </w:p>
        </w:tc>
        <w:tc>
          <w:tcPr>
            <w:tcW w:w="1520" w:type="dxa"/>
            <w:tcBorders>
              <w:top w:val="nil"/>
              <w:left w:val="nil"/>
              <w:bottom w:val="single" w:sz="4" w:space="0" w:color="auto"/>
              <w:right w:val="single" w:sz="4" w:space="0" w:color="auto"/>
            </w:tcBorders>
            <w:shd w:val="clear" w:color="000000" w:fill="F2F2F2"/>
            <w:noWrap/>
            <w:vAlign w:val="center"/>
            <w:hideMark/>
          </w:tcPr>
          <w:p w14:paraId="0E73874D"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$ 15.150.793</w:t>
            </w:r>
          </w:p>
        </w:tc>
        <w:tc>
          <w:tcPr>
            <w:tcW w:w="1460" w:type="dxa"/>
            <w:tcBorders>
              <w:top w:val="nil"/>
              <w:left w:val="nil"/>
              <w:bottom w:val="single" w:sz="4" w:space="0" w:color="auto"/>
              <w:right w:val="single" w:sz="4" w:space="0" w:color="auto"/>
            </w:tcBorders>
            <w:shd w:val="clear" w:color="000000" w:fill="F2F2F2"/>
            <w:noWrap/>
            <w:vAlign w:val="center"/>
            <w:hideMark/>
          </w:tcPr>
          <w:p w14:paraId="011A5F88"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$ 368.609.186</w:t>
            </w:r>
          </w:p>
        </w:tc>
        <w:tc>
          <w:tcPr>
            <w:tcW w:w="1280" w:type="dxa"/>
            <w:tcBorders>
              <w:top w:val="nil"/>
              <w:left w:val="nil"/>
              <w:bottom w:val="single" w:sz="4" w:space="0" w:color="auto"/>
              <w:right w:val="single" w:sz="4" w:space="0" w:color="auto"/>
            </w:tcBorders>
            <w:shd w:val="clear" w:color="000000" w:fill="F2F2F2"/>
            <w:noWrap/>
            <w:vAlign w:val="center"/>
            <w:hideMark/>
          </w:tcPr>
          <w:p w14:paraId="6BCF8D9D"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$ 3.686.092</w:t>
            </w:r>
          </w:p>
        </w:tc>
        <w:tc>
          <w:tcPr>
            <w:tcW w:w="1200" w:type="dxa"/>
            <w:tcBorders>
              <w:top w:val="nil"/>
              <w:left w:val="nil"/>
              <w:bottom w:val="single" w:sz="4" w:space="0" w:color="auto"/>
              <w:right w:val="single" w:sz="4" w:space="0" w:color="auto"/>
            </w:tcBorders>
            <w:shd w:val="clear" w:color="000000" w:fill="F2F2F2"/>
            <w:noWrap/>
            <w:vAlign w:val="center"/>
            <w:hideMark/>
          </w:tcPr>
          <w:p w14:paraId="1478BC7F"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$ 153</w:t>
            </w:r>
          </w:p>
        </w:tc>
        <w:tc>
          <w:tcPr>
            <w:tcW w:w="1280" w:type="dxa"/>
            <w:tcBorders>
              <w:top w:val="nil"/>
              <w:left w:val="nil"/>
              <w:bottom w:val="single" w:sz="4" w:space="0" w:color="auto"/>
              <w:right w:val="single" w:sz="4" w:space="0" w:color="auto"/>
            </w:tcBorders>
            <w:shd w:val="clear" w:color="000000" w:fill="F2F2F2"/>
            <w:noWrap/>
            <w:vAlign w:val="center"/>
            <w:hideMark/>
          </w:tcPr>
          <w:p w14:paraId="76E407E9"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$ 3.686.245</w:t>
            </w:r>
          </w:p>
        </w:tc>
      </w:tr>
      <w:tr w:rsidR="00B07312" w:rsidRPr="006B48D3" w14:paraId="608173E1" w14:textId="77777777" w:rsidTr="006B48D3">
        <w:trPr>
          <w:trHeight w:val="450"/>
        </w:trPr>
        <w:tc>
          <w:tcPr>
            <w:tcW w:w="407" w:type="dxa"/>
            <w:tcBorders>
              <w:top w:val="nil"/>
              <w:left w:val="single" w:sz="4" w:space="0" w:color="auto"/>
              <w:bottom w:val="single" w:sz="4" w:space="0" w:color="auto"/>
              <w:right w:val="single" w:sz="4" w:space="0" w:color="auto"/>
            </w:tcBorders>
            <w:shd w:val="clear" w:color="000000" w:fill="F2F2F2"/>
            <w:noWrap/>
            <w:vAlign w:val="center"/>
            <w:hideMark/>
          </w:tcPr>
          <w:p w14:paraId="00BA17DC" w14:textId="77777777" w:rsidR="00B07312" w:rsidRPr="006B48D3" w:rsidRDefault="00B07312" w:rsidP="00D22441">
            <w:pPr>
              <w:jc w:val="center"/>
              <w:rPr>
                <w:rFonts w:ascii="Arial Narrow" w:hAnsi="Arial Narrow" w:cs="Arial"/>
                <w:spacing w:val="0"/>
                <w:sz w:val="16"/>
                <w:szCs w:val="16"/>
                <w:lang w:eastAsia="es-CO"/>
              </w:rPr>
            </w:pPr>
            <w:r w:rsidRPr="006B48D3">
              <w:rPr>
                <w:rFonts w:ascii="Arial Narrow" w:hAnsi="Arial Narrow" w:cs="Arial"/>
                <w:spacing w:val="0"/>
                <w:sz w:val="16"/>
                <w:szCs w:val="16"/>
                <w:lang w:eastAsia="es-CO"/>
              </w:rPr>
              <w:t>6</w:t>
            </w:r>
          </w:p>
        </w:tc>
        <w:tc>
          <w:tcPr>
            <w:tcW w:w="585" w:type="dxa"/>
            <w:tcBorders>
              <w:top w:val="nil"/>
              <w:left w:val="nil"/>
              <w:bottom w:val="single" w:sz="4" w:space="0" w:color="auto"/>
              <w:right w:val="single" w:sz="4" w:space="0" w:color="auto"/>
            </w:tcBorders>
            <w:shd w:val="clear" w:color="000000" w:fill="F2F2F2"/>
            <w:noWrap/>
            <w:vAlign w:val="center"/>
            <w:hideMark/>
          </w:tcPr>
          <w:p w14:paraId="7E320A37"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629</w:t>
            </w:r>
          </w:p>
        </w:tc>
        <w:tc>
          <w:tcPr>
            <w:tcW w:w="941" w:type="dxa"/>
            <w:tcBorders>
              <w:top w:val="nil"/>
              <w:left w:val="nil"/>
              <w:bottom w:val="single" w:sz="4" w:space="0" w:color="auto"/>
              <w:right w:val="single" w:sz="4" w:space="0" w:color="auto"/>
            </w:tcBorders>
            <w:shd w:val="clear" w:color="000000" w:fill="F2F2F2"/>
            <w:noWrap/>
            <w:vAlign w:val="center"/>
            <w:hideMark/>
          </w:tcPr>
          <w:p w14:paraId="60BEE221"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800167643</w:t>
            </w:r>
          </w:p>
        </w:tc>
        <w:tc>
          <w:tcPr>
            <w:tcW w:w="3247" w:type="dxa"/>
            <w:tcBorders>
              <w:top w:val="nil"/>
              <w:left w:val="nil"/>
              <w:bottom w:val="single" w:sz="4" w:space="0" w:color="auto"/>
              <w:right w:val="single" w:sz="4" w:space="0" w:color="auto"/>
            </w:tcBorders>
            <w:shd w:val="clear" w:color="000000" w:fill="F2F2F2"/>
            <w:vAlign w:val="center"/>
            <w:hideMark/>
          </w:tcPr>
          <w:p w14:paraId="15F60500" w14:textId="77777777" w:rsidR="00B07312" w:rsidRPr="006B48D3" w:rsidRDefault="00B07312" w:rsidP="00D22441">
            <w:pPr>
              <w:jc w:val="left"/>
              <w:rPr>
                <w:rFonts w:ascii="Arial Narrow" w:hAnsi="Arial Narrow" w:cs="Arial"/>
                <w:spacing w:val="0"/>
                <w:sz w:val="16"/>
                <w:szCs w:val="16"/>
                <w:lang w:eastAsia="es-CO"/>
              </w:rPr>
            </w:pPr>
            <w:r w:rsidRPr="006B48D3">
              <w:rPr>
                <w:rFonts w:ascii="Arial Narrow" w:hAnsi="Arial Narrow" w:cs="Arial"/>
                <w:spacing w:val="0"/>
                <w:sz w:val="16"/>
                <w:szCs w:val="16"/>
                <w:lang w:eastAsia="es-CO"/>
              </w:rPr>
              <w:t>GASES DE OCCIDENTE S. A. EMPRESA DE SERVICIOS PUBLICOS</w:t>
            </w:r>
          </w:p>
        </w:tc>
        <w:tc>
          <w:tcPr>
            <w:tcW w:w="1620" w:type="dxa"/>
            <w:tcBorders>
              <w:top w:val="nil"/>
              <w:left w:val="nil"/>
              <w:bottom w:val="single" w:sz="4" w:space="0" w:color="auto"/>
              <w:right w:val="single" w:sz="4" w:space="0" w:color="auto"/>
            </w:tcBorders>
            <w:shd w:val="clear" w:color="000000" w:fill="F2F2F2"/>
            <w:noWrap/>
            <w:vAlign w:val="center"/>
            <w:hideMark/>
          </w:tcPr>
          <w:p w14:paraId="1A2A91E4"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$ 40.587.584.000</w:t>
            </w:r>
          </w:p>
        </w:tc>
        <w:tc>
          <w:tcPr>
            <w:tcW w:w="1520" w:type="dxa"/>
            <w:tcBorders>
              <w:top w:val="nil"/>
              <w:left w:val="nil"/>
              <w:bottom w:val="single" w:sz="4" w:space="0" w:color="auto"/>
              <w:right w:val="single" w:sz="4" w:space="0" w:color="auto"/>
            </w:tcBorders>
            <w:shd w:val="clear" w:color="000000" w:fill="F2F2F2"/>
            <w:noWrap/>
            <w:vAlign w:val="center"/>
            <w:hideMark/>
          </w:tcPr>
          <w:p w14:paraId="6E2B96D7"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$ 8.494.221.250</w:t>
            </w:r>
          </w:p>
        </w:tc>
        <w:tc>
          <w:tcPr>
            <w:tcW w:w="1460" w:type="dxa"/>
            <w:tcBorders>
              <w:top w:val="nil"/>
              <w:left w:val="nil"/>
              <w:bottom w:val="single" w:sz="4" w:space="0" w:color="auto"/>
              <w:right w:val="single" w:sz="4" w:space="0" w:color="auto"/>
            </w:tcBorders>
            <w:shd w:val="clear" w:color="000000" w:fill="F2F2F2"/>
            <w:noWrap/>
            <w:vAlign w:val="center"/>
            <w:hideMark/>
          </w:tcPr>
          <w:p w14:paraId="1946AD18"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$ 49.081.805.250</w:t>
            </w:r>
          </w:p>
        </w:tc>
        <w:tc>
          <w:tcPr>
            <w:tcW w:w="1280" w:type="dxa"/>
            <w:tcBorders>
              <w:top w:val="nil"/>
              <w:left w:val="nil"/>
              <w:bottom w:val="single" w:sz="4" w:space="0" w:color="auto"/>
              <w:right w:val="single" w:sz="4" w:space="0" w:color="auto"/>
            </w:tcBorders>
            <w:shd w:val="clear" w:color="000000" w:fill="F2F2F2"/>
            <w:noWrap/>
            <w:vAlign w:val="center"/>
            <w:hideMark/>
          </w:tcPr>
          <w:p w14:paraId="476B3647"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$ 490.818.052</w:t>
            </w:r>
          </w:p>
        </w:tc>
        <w:tc>
          <w:tcPr>
            <w:tcW w:w="1200" w:type="dxa"/>
            <w:tcBorders>
              <w:top w:val="nil"/>
              <w:left w:val="nil"/>
              <w:bottom w:val="single" w:sz="4" w:space="0" w:color="auto"/>
              <w:right w:val="single" w:sz="4" w:space="0" w:color="auto"/>
            </w:tcBorders>
            <w:shd w:val="clear" w:color="000000" w:fill="F2F2F2"/>
            <w:noWrap/>
            <w:vAlign w:val="center"/>
            <w:hideMark/>
          </w:tcPr>
          <w:p w14:paraId="770E2359"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$ 20.426</w:t>
            </w:r>
          </w:p>
        </w:tc>
        <w:tc>
          <w:tcPr>
            <w:tcW w:w="1280" w:type="dxa"/>
            <w:tcBorders>
              <w:top w:val="nil"/>
              <w:left w:val="nil"/>
              <w:bottom w:val="single" w:sz="4" w:space="0" w:color="auto"/>
              <w:right w:val="single" w:sz="4" w:space="0" w:color="auto"/>
            </w:tcBorders>
            <w:shd w:val="clear" w:color="000000" w:fill="F2F2F2"/>
            <w:noWrap/>
            <w:vAlign w:val="center"/>
            <w:hideMark/>
          </w:tcPr>
          <w:p w14:paraId="746EFA33"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$ 490.838.479</w:t>
            </w:r>
          </w:p>
        </w:tc>
      </w:tr>
      <w:tr w:rsidR="00B07312" w:rsidRPr="006B48D3" w14:paraId="5E60C4D7" w14:textId="77777777" w:rsidTr="00D16BC5">
        <w:trPr>
          <w:trHeight w:val="223"/>
        </w:trPr>
        <w:tc>
          <w:tcPr>
            <w:tcW w:w="407" w:type="dxa"/>
            <w:tcBorders>
              <w:top w:val="nil"/>
              <w:left w:val="single" w:sz="4" w:space="0" w:color="auto"/>
              <w:bottom w:val="single" w:sz="4" w:space="0" w:color="auto"/>
              <w:right w:val="single" w:sz="4" w:space="0" w:color="auto"/>
            </w:tcBorders>
            <w:shd w:val="clear" w:color="000000" w:fill="F2F2F2"/>
            <w:noWrap/>
            <w:vAlign w:val="center"/>
            <w:hideMark/>
          </w:tcPr>
          <w:p w14:paraId="61477A98" w14:textId="77777777" w:rsidR="00B07312" w:rsidRPr="006B48D3" w:rsidRDefault="00B07312" w:rsidP="00D22441">
            <w:pPr>
              <w:jc w:val="center"/>
              <w:rPr>
                <w:rFonts w:ascii="Arial Narrow" w:hAnsi="Arial Narrow" w:cs="Arial"/>
                <w:spacing w:val="0"/>
                <w:sz w:val="16"/>
                <w:szCs w:val="16"/>
                <w:lang w:eastAsia="es-CO"/>
              </w:rPr>
            </w:pPr>
            <w:r w:rsidRPr="006B48D3">
              <w:rPr>
                <w:rFonts w:ascii="Arial Narrow" w:hAnsi="Arial Narrow" w:cs="Arial"/>
                <w:spacing w:val="0"/>
                <w:sz w:val="16"/>
                <w:szCs w:val="16"/>
                <w:lang w:eastAsia="es-CO"/>
              </w:rPr>
              <w:t>7</w:t>
            </w:r>
          </w:p>
        </w:tc>
        <w:tc>
          <w:tcPr>
            <w:tcW w:w="585" w:type="dxa"/>
            <w:tcBorders>
              <w:top w:val="nil"/>
              <w:left w:val="nil"/>
              <w:bottom w:val="single" w:sz="4" w:space="0" w:color="auto"/>
              <w:right w:val="single" w:sz="4" w:space="0" w:color="auto"/>
            </w:tcBorders>
            <w:shd w:val="clear" w:color="000000" w:fill="F2F2F2"/>
            <w:noWrap/>
            <w:vAlign w:val="center"/>
            <w:hideMark/>
          </w:tcPr>
          <w:p w14:paraId="0E36FCBA"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1626</w:t>
            </w:r>
          </w:p>
        </w:tc>
        <w:tc>
          <w:tcPr>
            <w:tcW w:w="941" w:type="dxa"/>
            <w:tcBorders>
              <w:top w:val="nil"/>
              <w:left w:val="nil"/>
              <w:bottom w:val="single" w:sz="4" w:space="0" w:color="auto"/>
              <w:right w:val="single" w:sz="4" w:space="0" w:color="auto"/>
            </w:tcBorders>
            <w:shd w:val="clear" w:color="000000" w:fill="F2F2F2"/>
            <w:noWrap/>
            <w:vAlign w:val="center"/>
            <w:hideMark/>
          </w:tcPr>
          <w:p w14:paraId="6E8A276F"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800170118</w:t>
            </w:r>
          </w:p>
        </w:tc>
        <w:tc>
          <w:tcPr>
            <w:tcW w:w="3247" w:type="dxa"/>
            <w:tcBorders>
              <w:top w:val="nil"/>
              <w:left w:val="nil"/>
              <w:bottom w:val="single" w:sz="4" w:space="0" w:color="auto"/>
              <w:right w:val="single" w:sz="4" w:space="0" w:color="auto"/>
            </w:tcBorders>
            <w:shd w:val="clear" w:color="000000" w:fill="F2F2F2"/>
            <w:vAlign w:val="center"/>
            <w:hideMark/>
          </w:tcPr>
          <w:p w14:paraId="4517D28C" w14:textId="77777777" w:rsidR="00B07312" w:rsidRPr="006B48D3" w:rsidRDefault="00B07312" w:rsidP="00D22441">
            <w:pPr>
              <w:jc w:val="left"/>
              <w:rPr>
                <w:rFonts w:ascii="Arial Narrow" w:hAnsi="Arial Narrow" w:cs="Arial"/>
                <w:spacing w:val="0"/>
                <w:sz w:val="16"/>
                <w:szCs w:val="16"/>
                <w:lang w:eastAsia="es-CO"/>
              </w:rPr>
            </w:pPr>
            <w:r w:rsidRPr="006B48D3">
              <w:rPr>
                <w:rFonts w:ascii="Arial Narrow" w:hAnsi="Arial Narrow" w:cs="Arial"/>
                <w:spacing w:val="0"/>
                <w:sz w:val="16"/>
                <w:szCs w:val="16"/>
                <w:lang w:eastAsia="es-CO"/>
              </w:rPr>
              <w:t>PROMOTORA DE GASES DEL SUR S.A. E.S.P.</w:t>
            </w:r>
          </w:p>
        </w:tc>
        <w:tc>
          <w:tcPr>
            <w:tcW w:w="1620" w:type="dxa"/>
            <w:tcBorders>
              <w:top w:val="nil"/>
              <w:left w:val="nil"/>
              <w:bottom w:val="single" w:sz="4" w:space="0" w:color="auto"/>
              <w:right w:val="single" w:sz="4" w:space="0" w:color="auto"/>
            </w:tcBorders>
            <w:shd w:val="clear" w:color="000000" w:fill="F2F2F2"/>
            <w:noWrap/>
            <w:vAlign w:val="center"/>
            <w:hideMark/>
          </w:tcPr>
          <w:p w14:paraId="3DF51D33"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$ 3.165.292.000</w:t>
            </w:r>
          </w:p>
        </w:tc>
        <w:tc>
          <w:tcPr>
            <w:tcW w:w="1520" w:type="dxa"/>
            <w:tcBorders>
              <w:top w:val="nil"/>
              <w:left w:val="nil"/>
              <w:bottom w:val="single" w:sz="4" w:space="0" w:color="auto"/>
              <w:right w:val="single" w:sz="4" w:space="0" w:color="auto"/>
            </w:tcBorders>
            <w:shd w:val="clear" w:color="000000" w:fill="F2F2F2"/>
            <w:noWrap/>
            <w:vAlign w:val="center"/>
            <w:hideMark/>
          </w:tcPr>
          <w:p w14:paraId="7F6E0D48"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$ 0</w:t>
            </w:r>
          </w:p>
        </w:tc>
        <w:tc>
          <w:tcPr>
            <w:tcW w:w="1460" w:type="dxa"/>
            <w:tcBorders>
              <w:top w:val="nil"/>
              <w:left w:val="nil"/>
              <w:bottom w:val="single" w:sz="4" w:space="0" w:color="auto"/>
              <w:right w:val="single" w:sz="4" w:space="0" w:color="auto"/>
            </w:tcBorders>
            <w:shd w:val="clear" w:color="000000" w:fill="F2F2F2"/>
            <w:noWrap/>
            <w:vAlign w:val="center"/>
            <w:hideMark/>
          </w:tcPr>
          <w:p w14:paraId="3C00889B"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$ 3.165.292.000</w:t>
            </w:r>
          </w:p>
        </w:tc>
        <w:tc>
          <w:tcPr>
            <w:tcW w:w="1280" w:type="dxa"/>
            <w:tcBorders>
              <w:top w:val="nil"/>
              <w:left w:val="nil"/>
              <w:bottom w:val="single" w:sz="4" w:space="0" w:color="auto"/>
              <w:right w:val="single" w:sz="4" w:space="0" w:color="auto"/>
            </w:tcBorders>
            <w:shd w:val="clear" w:color="000000" w:fill="F2F2F2"/>
            <w:noWrap/>
            <w:vAlign w:val="center"/>
            <w:hideMark/>
          </w:tcPr>
          <w:p w14:paraId="7B85691D"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$ 31.652.920</w:t>
            </w:r>
          </w:p>
        </w:tc>
        <w:tc>
          <w:tcPr>
            <w:tcW w:w="1200" w:type="dxa"/>
            <w:tcBorders>
              <w:top w:val="nil"/>
              <w:left w:val="nil"/>
              <w:bottom w:val="single" w:sz="4" w:space="0" w:color="auto"/>
              <w:right w:val="single" w:sz="4" w:space="0" w:color="auto"/>
            </w:tcBorders>
            <w:shd w:val="clear" w:color="000000" w:fill="F2F2F2"/>
            <w:noWrap/>
            <w:vAlign w:val="center"/>
            <w:hideMark/>
          </w:tcPr>
          <w:p w14:paraId="481E7053"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$ 1.317</w:t>
            </w:r>
          </w:p>
        </w:tc>
        <w:tc>
          <w:tcPr>
            <w:tcW w:w="1280" w:type="dxa"/>
            <w:tcBorders>
              <w:top w:val="nil"/>
              <w:left w:val="nil"/>
              <w:bottom w:val="single" w:sz="4" w:space="0" w:color="auto"/>
              <w:right w:val="single" w:sz="4" w:space="0" w:color="auto"/>
            </w:tcBorders>
            <w:shd w:val="clear" w:color="000000" w:fill="F2F2F2"/>
            <w:noWrap/>
            <w:vAlign w:val="center"/>
            <w:hideMark/>
          </w:tcPr>
          <w:p w14:paraId="52C8047B"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$ 31.654.237</w:t>
            </w:r>
          </w:p>
        </w:tc>
      </w:tr>
      <w:tr w:rsidR="00B07312" w:rsidRPr="006B48D3" w14:paraId="0C6A504B" w14:textId="77777777" w:rsidTr="006B48D3">
        <w:trPr>
          <w:trHeight w:val="289"/>
        </w:trPr>
        <w:tc>
          <w:tcPr>
            <w:tcW w:w="407" w:type="dxa"/>
            <w:tcBorders>
              <w:top w:val="nil"/>
              <w:left w:val="single" w:sz="4" w:space="0" w:color="auto"/>
              <w:bottom w:val="single" w:sz="4" w:space="0" w:color="auto"/>
              <w:right w:val="single" w:sz="4" w:space="0" w:color="auto"/>
            </w:tcBorders>
            <w:shd w:val="clear" w:color="000000" w:fill="F2F2F2"/>
            <w:noWrap/>
            <w:vAlign w:val="center"/>
            <w:hideMark/>
          </w:tcPr>
          <w:p w14:paraId="416C43FF" w14:textId="77777777" w:rsidR="00B07312" w:rsidRPr="006B48D3" w:rsidRDefault="00B07312" w:rsidP="00D22441">
            <w:pPr>
              <w:jc w:val="center"/>
              <w:rPr>
                <w:rFonts w:ascii="Arial Narrow" w:hAnsi="Arial Narrow" w:cs="Arial"/>
                <w:spacing w:val="0"/>
                <w:sz w:val="16"/>
                <w:szCs w:val="16"/>
                <w:lang w:eastAsia="es-CO"/>
              </w:rPr>
            </w:pPr>
            <w:r w:rsidRPr="006B48D3">
              <w:rPr>
                <w:rFonts w:ascii="Arial Narrow" w:hAnsi="Arial Narrow" w:cs="Arial"/>
                <w:spacing w:val="0"/>
                <w:sz w:val="16"/>
                <w:szCs w:val="16"/>
                <w:lang w:eastAsia="es-CO"/>
              </w:rPr>
              <w:t>8</w:t>
            </w:r>
          </w:p>
        </w:tc>
        <w:tc>
          <w:tcPr>
            <w:tcW w:w="585" w:type="dxa"/>
            <w:tcBorders>
              <w:top w:val="nil"/>
              <w:left w:val="nil"/>
              <w:bottom w:val="single" w:sz="4" w:space="0" w:color="auto"/>
              <w:right w:val="single" w:sz="4" w:space="0" w:color="auto"/>
            </w:tcBorders>
            <w:shd w:val="clear" w:color="000000" w:fill="F2F2F2"/>
            <w:noWrap/>
            <w:vAlign w:val="center"/>
            <w:hideMark/>
          </w:tcPr>
          <w:p w14:paraId="717969F2"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1414</w:t>
            </w:r>
          </w:p>
        </w:tc>
        <w:tc>
          <w:tcPr>
            <w:tcW w:w="941" w:type="dxa"/>
            <w:tcBorders>
              <w:top w:val="nil"/>
              <w:left w:val="nil"/>
              <w:bottom w:val="single" w:sz="4" w:space="0" w:color="auto"/>
              <w:right w:val="single" w:sz="4" w:space="0" w:color="auto"/>
            </w:tcBorders>
            <w:shd w:val="clear" w:color="000000" w:fill="F2F2F2"/>
            <w:noWrap/>
            <w:vAlign w:val="center"/>
            <w:hideMark/>
          </w:tcPr>
          <w:p w14:paraId="59E260B9"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800182395</w:t>
            </w:r>
          </w:p>
        </w:tc>
        <w:tc>
          <w:tcPr>
            <w:tcW w:w="3247" w:type="dxa"/>
            <w:tcBorders>
              <w:top w:val="nil"/>
              <w:left w:val="nil"/>
              <w:bottom w:val="single" w:sz="4" w:space="0" w:color="auto"/>
              <w:right w:val="single" w:sz="4" w:space="0" w:color="auto"/>
            </w:tcBorders>
            <w:shd w:val="clear" w:color="000000" w:fill="F2F2F2"/>
            <w:vAlign w:val="center"/>
            <w:hideMark/>
          </w:tcPr>
          <w:p w14:paraId="5CA58421" w14:textId="77777777" w:rsidR="00B07312" w:rsidRPr="006B48D3" w:rsidRDefault="00B07312" w:rsidP="00D22441">
            <w:pPr>
              <w:jc w:val="left"/>
              <w:rPr>
                <w:rFonts w:ascii="Arial Narrow" w:hAnsi="Arial Narrow" w:cs="Arial"/>
                <w:spacing w:val="0"/>
                <w:sz w:val="16"/>
                <w:szCs w:val="16"/>
                <w:lang w:eastAsia="es-CO"/>
              </w:rPr>
            </w:pPr>
            <w:r w:rsidRPr="006B48D3">
              <w:rPr>
                <w:rFonts w:ascii="Arial Narrow" w:hAnsi="Arial Narrow" w:cs="Arial"/>
                <w:spacing w:val="0"/>
                <w:sz w:val="16"/>
                <w:szCs w:val="16"/>
                <w:lang w:eastAsia="es-CO"/>
              </w:rPr>
              <w:t>ENERGAS S.A. E.S.P.</w:t>
            </w:r>
          </w:p>
        </w:tc>
        <w:tc>
          <w:tcPr>
            <w:tcW w:w="1620" w:type="dxa"/>
            <w:tcBorders>
              <w:top w:val="nil"/>
              <w:left w:val="nil"/>
              <w:bottom w:val="single" w:sz="4" w:space="0" w:color="auto"/>
              <w:right w:val="single" w:sz="4" w:space="0" w:color="auto"/>
            </w:tcBorders>
            <w:shd w:val="clear" w:color="000000" w:fill="F2F2F2"/>
            <w:noWrap/>
            <w:vAlign w:val="center"/>
            <w:hideMark/>
          </w:tcPr>
          <w:p w14:paraId="54CAC78B"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$ 319.657.000</w:t>
            </w:r>
          </w:p>
        </w:tc>
        <w:tc>
          <w:tcPr>
            <w:tcW w:w="1520" w:type="dxa"/>
            <w:tcBorders>
              <w:top w:val="nil"/>
              <w:left w:val="nil"/>
              <w:bottom w:val="single" w:sz="4" w:space="0" w:color="auto"/>
              <w:right w:val="single" w:sz="4" w:space="0" w:color="auto"/>
            </w:tcBorders>
            <w:shd w:val="clear" w:color="000000" w:fill="F2F2F2"/>
            <w:noWrap/>
            <w:vAlign w:val="center"/>
            <w:hideMark/>
          </w:tcPr>
          <w:p w14:paraId="02560C5F"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$ 109.853.726</w:t>
            </w:r>
          </w:p>
        </w:tc>
        <w:tc>
          <w:tcPr>
            <w:tcW w:w="1460" w:type="dxa"/>
            <w:tcBorders>
              <w:top w:val="nil"/>
              <w:left w:val="nil"/>
              <w:bottom w:val="single" w:sz="4" w:space="0" w:color="auto"/>
              <w:right w:val="single" w:sz="4" w:space="0" w:color="auto"/>
            </w:tcBorders>
            <w:shd w:val="clear" w:color="000000" w:fill="F2F2F2"/>
            <w:noWrap/>
            <w:vAlign w:val="center"/>
            <w:hideMark/>
          </w:tcPr>
          <w:p w14:paraId="3A254911"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$ 429.510.726</w:t>
            </w:r>
          </w:p>
        </w:tc>
        <w:tc>
          <w:tcPr>
            <w:tcW w:w="1280" w:type="dxa"/>
            <w:tcBorders>
              <w:top w:val="nil"/>
              <w:left w:val="nil"/>
              <w:bottom w:val="single" w:sz="4" w:space="0" w:color="auto"/>
              <w:right w:val="single" w:sz="4" w:space="0" w:color="auto"/>
            </w:tcBorders>
            <w:shd w:val="clear" w:color="000000" w:fill="F2F2F2"/>
            <w:noWrap/>
            <w:vAlign w:val="center"/>
            <w:hideMark/>
          </w:tcPr>
          <w:p w14:paraId="4370DFA1"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$ 4.295.107</w:t>
            </w:r>
          </w:p>
        </w:tc>
        <w:tc>
          <w:tcPr>
            <w:tcW w:w="1200" w:type="dxa"/>
            <w:tcBorders>
              <w:top w:val="nil"/>
              <w:left w:val="nil"/>
              <w:bottom w:val="single" w:sz="4" w:space="0" w:color="auto"/>
              <w:right w:val="single" w:sz="4" w:space="0" w:color="auto"/>
            </w:tcBorders>
            <w:shd w:val="clear" w:color="000000" w:fill="F2F2F2"/>
            <w:noWrap/>
            <w:vAlign w:val="center"/>
            <w:hideMark/>
          </w:tcPr>
          <w:p w14:paraId="5C3FF4C9"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$ 179</w:t>
            </w:r>
          </w:p>
        </w:tc>
        <w:tc>
          <w:tcPr>
            <w:tcW w:w="1280" w:type="dxa"/>
            <w:tcBorders>
              <w:top w:val="nil"/>
              <w:left w:val="nil"/>
              <w:bottom w:val="single" w:sz="4" w:space="0" w:color="auto"/>
              <w:right w:val="single" w:sz="4" w:space="0" w:color="auto"/>
            </w:tcBorders>
            <w:shd w:val="clear" w:color="000000" w:fill="F2F2F2"/>
            <w:noWrap/>
            <w:vAlign w:val="center"/>
            <w:hideMark/>
          </w:tcPr>
          <w:p w14:paraId="1C9E9FEF"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$ 4.295.286</w:t>
            </w:r>
          </w:p>
        </w:tc>
      </w:tr>
      <w:tr w:rsidR="00B07312" w:rsidRPr="006B48D3" w14:paraId="5318E64B" w14:textId="77777777" w:rsidTr="006B48D3">
        <w:trPr>
          <w:trHeight w:val="278"/>
        </w:trPr>
        <w:tc>
          <w:tcPr>
            <w:tcW w:w="407" w:type="dxa"/>
            <w:tcBorders>
              <w:top w:val="nil"/>
              <w:left w:val="single" w:sz="4" w:space="0" w:color="auto"/>
              <w:bottom w:val="single" w:sz="4" w:space="0" w:color="auto"/>
              <w:right w:val="single" w:sz="4" w:space="0" w:color="auto"/>
            </w:tcBorders>
            <w:shd w:val="clear" w:color="000000" w:fill="F2F2F2"/>
            <w:noWrap/>
            <w:vAlign w:val="center"/>
            <w:hideMark/>
          </w:tcPr>
          <w:p w14:paraId="65971720" w14:textId="77777777" w:rsidR="00B07312" w:rsidRPr="006B48D3" w:rsidRDefault="00B07312" w:rsidP="00D22441">
            <w:pPr>
              <w:jc w:val="center"/>
              <w:rPr>
                <w:rFonts w:ascii="Arial Narrow" w:hAnsi="Arial Narrow" w:cs="Arial"/>
                <w:spacing w:val="0"/>
                <w:sz w:val="16"/>
                <w:szCs w:val="16"/>
                <w:lang w:eastAsia="es-CO"/>
              </w:rPr>
            </w:pPr>
            <w:r w:rsidRPr="006B48D3">
              <w:rPr>
                <w:rFonts w:ascii="Arial Narrow" w:hAnsi="Arial Narrow" w:cs="Arial"/>
                <w:spacing w:val="0"/>
                <w:sz w:val="16"/>
                <w:szCs w:val="16"/>
                <w:lang w:eastAsia="es-CO"/>
              </w:rPr>
              <w:t>9</w:t>
            </w:r>
          </w:p>
        </w:tc>
        <w:tc>
          <w:tcPr>
            <w:tcW w:w="585" w:type="dxa"/>
            <w:tcBorders>
              <w:top w:val="nil"/>
              <w:left w:val="nil"/>
              <w:bottom w:val="single" w:sz="4" w:space="0" w:color="auto"/>
              <w:right w:val="single" w:sz="4" w:space="0" w:color="auto"/>
            </w:tcBorders>
            <w:shd w:val="clear" w:color="000000" w:fill="F2F2F2"/>
            <w:noWrap/>
            <w:vAlign w:val="center"/>
            <w:hideMark/>
          </w:tcPr>
          <w:p w14:paraId="705F0435"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1887</w:t>
            </w:r>
          </w:p>
        </w:tc>
        <w:tc>
          <w:tcPr>
            <w:tcW w:w="941" w:type="dxa"/>
            <w:tcBorders>
              <w:top w:val="nil"/>
              <w:left w:val="nil"/>
              <w:bottom w:val="single" w:sz="4" w:space="0" w:color="auto"/>
              <w:right w:val="single" w:sz="4" w:space="0" w:color="auto"/>
            </w:tcBorders>
            <w:shd w:val="clear" w:color="000000" w:fill="F2F2F2"/>
            <w:noWrap/>
            <w:vAlign w:val="center"/>
            <w:hideMark/>
          </w:tcPr>
          <w:p w14:paraId="08316071"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800202395</w:t>
            </w:r>
          </w:p>
        </w:tc>
        <w:tc>
          <w:tcPr>
            <w:tcW w:w="3247" w:type="dxa"/>
            <w:tcBorders>
              <w:top w:val="nil"/>
              <w:left w:val="nil"/>
              <w:bottom w:val="single" w:sz="4" w:space="0" w:color="auto"/>
              <w:right w:val="single" w:sz="4" w:space="0" w:color="auto"/>
            </w:tcBorders>
            <w:shd w:val="clear" w:color="000000" w:fill="F2F2F2"/>
            <w:vAlign w:val="center"/>
            <w:hideMark/>
          </w:tcPr>
          <w:p w14:paraId="694D73D7" w14:textId="675D3591" w:rsidR="00B07312" w:rsidRPr="006B48D3" w:rsidRDefault="00B07312" w:rsidP="00D22441">
            <w:pPr>
              <w:jc w:val="left"/>
              <w:rPr>
                <w:rFonts w:ascii="Arial Narrow" w:hAnsi="Arial Narrow" w:cs="Arial"/>
                <w:spacing w:val="0"/>
                <w:sz w:val="16"/>
                <w:szCs w:val="16"/>
                <w:lang w:eastAsia="es-CO"/>
              </w:rPr>
            </w:pPr>
            <w:r w:rsidRPr="006B48D3">
              <w:rPr>
                <w:rFonts w:ascii="Arial Narrow" w:hAnsi="Arial Narrow" w:cs="Arial"/>
                <w:spacing w:val="0"/>
                <w:sz w:val="16"/>
                <w:szCs w:val="16"/>
                <w:lang w:eastAsia="es-CO"/>
              </w:rPr>
              <w:t>EFIGAS GAS NATURAL S.A E.S.P</w:t>
            </w:r>
            <w:r w:rsidR="00EC4A1C" w:rsidRPr="006B48D3">
              <w:rPr>
                <w:rFonts w:ascii="Arial Narrow" w:hAnsi="Arial Narrow" w:cs="Arial"/>
                <w:spacing w:val="0"/>
                <w:sz w:val="16"/>
                <w:szCs w:val="16"/>
                <w:lang w:eastAsia="es-CO"/>
              </w:rPr>
              <w:t>.</w:t>
            </w:r>
            <w:r w:rsidRPr="006B48D3">
              <w:rPr>
                <w:rFonts w:ascii="Arial Narrow" w:hAnsi="Arial Narrow" w:cs="Arial"/>
                <w:spacing w:val="0"/>
                <w:sz w:val="16"/>
                <w:szCs w:val="16"/>
                <w:lang w:eastAsia="es-CO"/>
              </w:rPr>
              <w:t xml:space="preserve"> </w:t>
            </w:r>
          </w:p>
        </w:tc>
        <w:tc>
          <w:tcPr>
            <w:tcW w:w="1620" w:type="dxa"/>
            <w:tcBorders>
              <w:top w:val="nil"/>
              <w:left w:val="nil"/>
              <w:bottom w:val="single" w:sz="4" w:space="0" w:color="auto"/>
              <w:right w:val="single" w:sz="4" w:space="0" w:color="auto"/>
            </w:tcBorders>
            <w:shd w:val="clear" w:color="000000" w:fill="F2F2F2"/>
            <w:noWrap/>
            <w:vAlign w:val="center"/>
            <w:hideMark/>
          </w:tcPr>
          <w:p w14:paraId="5B61E010"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$ 13.920.156.000</w:t>
            </w:r>
          </w:p>
        </w:tc>
        <w:tc>
          <w:tcPr>
            <w:tcW w:w="1520" w:type="dxa"/>
            <w:tcBorders>
              <w:top w:val="nil"/>
              <w:left w:val="nil"/>
              <w:bottom w:val="single" w:sz="4" w:space="0" w:color="auto"/>
              <w:right w:val="single" w:sz="4" w:space="0" w:color="auto"/>
            </w:tcBorders>
            <w:shd w:val="clear" w:color="000000" w:fill="F2F2F2"/>
            <w:noWrap/>
            <w:vAlign w:val="center"/>
            <w:hideMark/>
          </w:tcPr>
          <w:p w14:paraId="54DDA14D"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$ 0</w:t>
            </w:r>
          </w:p>
        </w:tc>
        <w:tc>
          <w:tcPr>
            <w:tcW w:w="1460" w:type="dxa"/>
            <w:tcBorders>
              <w:top w:val="nil"/>
              <w:left w:val="nil"/>
              <w:bottom w:val="single" w:sz="4" w:space="0" w:color="auto"/>
              <w:right w:val="single" w:sz="4" w:space="0" w:color="auto"/>
            </w:tcBorders>
            <w:shd w:val="clear" w:color="000000" w:fill="F2F2F2"/>
            <w:noWrap/>
            <w:vAlign w:val="center"/>
            <w:hideMark/>
          </w:tcPr>
          <w:p w14:paraId="5581D87E"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$ 13.920.156.000</w:t>
            </w:r>
          </w:p>
        </w:tc>
        <w:tc>
          <w:tcPr>
            <w:tcW w:w="1280" w:type="dxa"/>
            <w:tcBorders>
              <w:top w:val="nil"/>
              <w:left w:val="nil"/>
              <w:bottom w:val="single" w:sz="4" w:space="0" w:color="auto"/>
              <w:right w:val="single" w:sz="4" w:space="0" w:color="auto"/>
            </w:tcBorders>
            <w:shd w:val="clear" w:color="000000" w:fill="F2F2F2"/>
            <w:noWrap/>
            <w:vAlign w:val="center"/>
            <w:hideMark/>
          </w:tcPr>
          <w:p w14:paraId="715B4B96"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$ 139.201.560</w:t>
            </w:r>
          </w:p>
        </w:tc>
        <w:tc>
          <w:tcPr>
            <w:tcW w:w="1200" w:type="dxa"/>
            <w:tcBorders>
              <w:top w:val="nil"/>
              <w:left w:val="nil"/>
              <w:bottom w:val="single" w:sz="4" w:space="0" w:color="auto"/>
              <w:right w:val="single" w:sz="4" w:space="0" w:color="auto"/>
            </w:tcBorders>
            <w:shd w:val="clear" w:color="000000" w:fill="F2F2F2"/>
            <w:noWrap/>
            <w:vAlign w:val="center"/>
            <w:hideMark/>
          </w:tcPr>
          <w:p w14:paraId="566FB652"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$ 5.793</w:t>
            </w:r>
          </w:p>
        </w:tc>
        <w:tc>
          <w:tcPr>
            <w:tcW w:w="1280" w:type="dxa"/>
            <w:tcBorders>
              <w:top w:val="nil"/>
              <w:left w:val="nil"/>
              <w:bottom w:val="single" w:sz="4" w:space="0" w:color="auto"/>
              <w:right w:val="single" w:sz="4" w:space="0" w:color="auto"/>
            </w:tcBorders>
            <w:shd w:val="clear" w:color="000000" w:fill="F2F2F2"/>
            <w:noWrap/>
            <w:vAlign w:val="center"/>
            <w:hideMark/>
          </w:tcPr>
          <w:p w14:paraId="16B2594F"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$ 139.207.353</w:t>
            </w:r>
          </w:p>
        </w:tc>
      </w:tr>
      <w:tr w:rsidR="00B07312" w:rsidRPr="006B48D3" w14:paraId="4FC64316" w14:textId="77777777" w:rsidTr="00D16BC5">
        <w:trPr>
          <w:trHeight w:val="252"/>
        </w:trPr>
        <w:tc>
          <w:tcPr>
            <w:tcW w:w="407" w:type="dxa"/>
            <w:tcBorders>
              <w:top w:val="nil"/>
              <w:left w:val="single" w:sz="4" w:space="0" w:color="auto"/>
              <w:bottom w:val="single" w:sz="4" w:space="0" w:color="auto"/>
              <w:right w:val="single" w:sz="4" w:space="0" w:color="auto"/>
            </w:tcBorders>
            <w:shd w:val="clear" w:color="000000" w:fill="F2F2F2"/>
            <w:noWrap/>
            <w:vAlign w:val="center"/>
            <w:hideMark/>
          </w:tcPr>
          <w:p w14:paraId="7D47A6BB" w14:textId="77777777" w:rsidR="00B07312" w:rsidRPr="006B48D3" w:rsidRDefault="00B07312" w:rsidP="00D22441">
            <w:pPr>
              <w:jc w:val="center"/>
              <w:rPr>
                <w:rFonts w:ascii="Arial Narrow" w:hAnsi="Arial Narrow" w:cs="Arial"/>
                <w:spacing w:val="0"/>
                <w:sz w:val="16"/>
                <w:szCs w:val="16"/>
                <w:lang w:eastAsia="es-CO"/>
              </w:rPr>
            </w:pPr>
            <w:r w:rsidRPr="006B48D3">
              <w:rPr>
                <w:rFonts w:ascii="Arial Narrow" w:hAnsi="Arial Narrow" w:cs="Arial"/>
                <w:spacing w:val="0"/>
                <w:sz w:val="16"/>
                <w:szCs w:val="16"/>
                <w:lang w:eastAsia="es-CO"/>
              </w:rPr>
              <w:t>10</w:t>
            </w:r>
          </w:p>
        </w:tc>
        <w:tc>
          <w:tcPr>
            <w:tcW w:w="585" w:type="dxa"/>
            <w:tcBorders>
              <w:top w:val="nil"/>
              <w:left w:val="nil"/>
              <w:bottom w:val="single" w:sz="4" w:space="0" w:color="auto"/>
              <w:right w:val="single" w:sz="4" w:space="0" w:color="auto"/>
            </w:tcBorders>
            <w:shd w:val="clear" w:color="000000" w:fill="F2F2F2"/>
            <w:noWrap/>
            <w:vAlign w:val="center"/>
            <w:hideMark/>
          </w:tcPr>
          <w:p w14:paraId="40D44BD2"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481</w:t>
            </w:r>
          </w:p>
        </w:tc>
        <w:tc>
          <w:tcPr>
            <w:tcW w:w="941" w:type="dxa"/>
            <w:tcBorders>
              <w:top w:val="nil"/>
              <w:left w:val="nil"/>
              <w:bottom w:val="single" w:sz="4" w:space="0" w:color="auto"/>
              <w:right w:val="single" w:sz="4" w:space="0" w:color="auto"/>
            </w:tcBorders>
            <w:shd w:val="clear" w:color="000000" w:fill="F2F2F2"/>
            <w:noWrap/>
            <w:vAlign w:val="center"/>
            <w:hideMark/>
          </w:tcPr>
          <w:p w14:paraId="2B6D82BE"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800215347</w:t>
            </w:r>
          </w:p>
        </w:tc>
        <w:tc>
          <w:tcPr>
            <w:tcW w:w="3247" w:type="dxa"/>
            <w:tcBorders>
              <w:top w:val="nil"/>
              <w:left w:val="nil"/>
              <w:bottom w:val="single" w:sz="4" w:space="0" w:color="auto"/>
              <w:right w:val="single" w:sz="4" w:space="0" w:color="auto"/>
            </w:tcBorders>
            <w:shd w:val="clear" w:color="000000" w:fill="F2F2F2"/>
            <w:vAlign w:val="center"/>
            <w:hideMark/>
          </w:tcPr>
          <w:p w14:paraId="233D897E" w14:textId="77777777" w:rsidR="00B07312" w:rsidRPr="006B48D3" w:rsidRDefault="00B07312" w:rsidP="00D22441">
            <w:pPr>
              <w:jc w:val="left"/>
              <w:rPr>
                <w:rFonts w:ascii="Arial Narrow" w:hAnsi="Arial Narrow" w:cs="Arial"/>
                <w:spacing w:val="0"/>
                <w:sz w:val="16"/>
                <w:szCs w:val="16"/>
                <w:lang w:eastAsia="es-CO"/>
              </w:rPr>
            </w:pPr>
            <w:r w:rsidRPr="006B48D3">
              <w:rPr>
                <w:rFonts w:ascii="Arial Narrow" w:hAnsi="Arial Narrow" w:cs="Arial"/>
                <w:spacing w:val="0"/>
                <w:sz w:val="16"/>
                <w:szCs w:val="16"/>
                <w:lang w:eastAsia="es-CO"/>
              </w:rPr>
              <w:t>TRANSPORTADORA DE METANO E.S.P. S.A.</w:t>
            </w:r>
          </w:p>
        </w:tc>
        <w:tc>
          <w:tcPr>
            <w:tcW w:w="1620" w:type="dxa"/>
            <w:tcBorders>
              <w:top w:val="nil"/>
              <w:left w:val="nil"/>
              <w:bottom w:val="single" w:sz="4" w:space="0" w:color="auto"/>
              <w:right w:val="single" w:sz="4" w:space="0" w:color="auto"/>
            </w:tcBorders>
            <w:shd w:val="clear" w:color="000000" w:fill="F2F2F2"/>
            <w:noWrap/>
            <w:vAlign w:val="center"/>
            <w:hideMark/>
          </w:tcPr>
          <w:p w14:paraId="0AD071C8"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$ 7.434.913.000</w:t>
            </w:r>
          </w:p>
        </w:tc>
        <w:tc>
          <w:tcPr>
            <w:tcW w:w="1520" w:type="dxa"/>
            <w:tcBorders>
              <w:top w:val="nil"/>
              <w:left w:val="nil"/>
              <w:bottom w:val="single" w:sz="4" w:space="0" w:color="auto"/>
              <w:right w:val="single" w:sz="4" w:space="0" w:color="auto"/>
            </w:tcBorders>
            <w:shd w:val="clear" w:color="000000" w:fill="F2F2F2"/>
            <w:noWrap/>
            <w:vAlign w:val="center"/>
            <w:hideMark/>
          </w:tcPr>
          <w:p w14:paraId="79A9B24F"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$ 0</w:t>
            </w:r>
          </w:p>
        </w:tc>
        <w:tc>
          <w:tcPr>
            <w:tcW w:w="1460" w:type="dxa"/>
            <w:tcBorders>
              <w:top w:val="nil"/>
              <w:left w:val="nil"/>
              <w:bottom w:val="single" w:sz="4" w:space="0" w:color="auto"/>
              <w:right w:val="single" w:sz="4" w:space="0" w:color="auto"/>
            </w:tcBorders>
            <w:shd w:val="clear" w:color="000000" w:fill="F2F2F2"/>
            <w:noWrap/>
            <w:vAlign w:val="center"/>
            <w:hideMark/>
          </w:tcPr>
          <w:p w14:paraId="7E2A8ACA"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$ 7.434.913.000</w:t>
            </w:r>
          </w:p>
        </w:tc>
        <w:tc>
          <w:tcPr>
            <w:tcW w:w="1280" w:type="dxa"/>
            <w:tcBorders>
              <w:top w:val="nil"/>
              <w:left w:val="nil"/>
              <w:bottom w:val="single" w:sz="4" w:space="0" w:color="auto"/>
              <w:right w:val="single" w:sz="4" w:space="0" w:color="auto"/>
            </w:tcBorders>
            <w:shd w:val="clear" w:color="000000" w:fill="F2F2F2"/>
            <w:noWrap/>
            <w:vAlign w:val="center"/>
            <w:hideMark/>
          </w:tcPr>
          <w:p w14:paraId="411B5E98"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$ 74.349.130</w:t>
            </w:r>
          </w:p>
        </w:tc>
        <w:tc>
          <w:tcPr>
            <w:tcW w:w="1200" w:type="dxa"/>
            <w:tcBorders>
              <w:top w:val="nil"/>
              <w:left w:val="nil"/>
              <w:bottom w:val="single" w:sz="4" w:space="0" w:color="auto"/>
              <w:right w:val="single" w:sz="4" w:space="0" w:color="auto"/>
            </w:tcBorders>
            <w:shd w:val="clear" w:color="000000" w:fill="F2F2F2"/>
            <w:noWrap/>
            <w:vAlign w:val="center"/>
            <w:hideMark/>
          </w:tcPr>
          <w:p w14:paraId="5208C6C2"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$ 3.094</w:t>
            </w:r>
          </w:p>
        </w:tc>
        <w:tc>
          <w:tcPr>
            <w:tcW w:w="1280" w:type="dxa"/>
            <w:tcBorders>
              <w:top w:val="nil"/>
              <w:left w:val="nil"/>
              <w:bottom w:val="single" w:sz="4" w:space="0" w:color="auto"/>
              <w:right w:val="single" w:sz="4" w:space="0" w:color="auto"/>
            </w:tcBorders>
            <w:shd w:val="clear" w:color="000000" w:fill="F2F2F2"/>
            <w:noWrap/>
            <w:vAlign w:val="center"/>
            <w:hideMark/>
          </w:tcPr>
          <w:p w14:paraId="35BDDCA4"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$ 74.352.224</w:t>
            </w:r>
          </w:p>
        </w:tc>
      </w:tr>
      <w:tr w:rsidR="00B07312" w:rsidRPr="006B48D3" w14:paraId="0EACD846" w14:textId="77777777" w:rsidTr="006B48D3">
        <w:trPr>
          <w:trHeight w:val="243"/>
        </w:trPr>
        <w:tc>
          <w:tcPr>
            <w:tcW w:w="407" w:type="dxa"/>
            <w:tcBorders>
              <w:top w:val="nil"/>
              <w:left w:val="single" w:sz="4" w:space="0" w:color="auto"/>
              <w:bottom w:val="single" w:sz="4" w:space="0" w:color="auto"/>
              <w:right w:val="single" w:sz="4" w:space="0" w:color="auto"/>
            </w:tcBorders>
            <w:shd w:val="clear" w:color="000000" w:fill="F2F2F2"/>
            <w:noWrap/>
            <w:vAlign w:val="center"/>
            <w:hideMark/>
          </w:tcPr>
          <w:p w14:paraId="04089616" w14:textId="77777777" w:rsidR="00B07312" w:rsidRPr="006B48D3" w:rsidRDefault="00B07312" w:rsidP="00D22441">
            <w:pPr>
              <w:jc w:val="center"/>
              <w:rPr>
                <w:rFonts w:ascii="Arial Narrow" w:hAnsi="Arial Narrow" w:cs="Arial"/>
                <w:spacing w:val="0"/>
                <w:sz w:val="16"/>
                <w:szCs w:val="16"/>
                <w:lang w:eastAsia="es-CO"/>
              </w:rPr>
            </w:pPr>
            <w:r w:rsidRPr="006B48D3">
              <w:rPr>
                <w:rFonts w:ascii="Arial Narrow" w:hAnsi="Arial Narrow" w:cs="Arial"/>
                <w:spacing w:val="0"/>
                <w:sz w:val="16"/>
                <w:szCs w:val="16"/>
                <w:lang w:eastAsia="es-CO"/>
              </w:rPr>
              <w:t>11</w:t>
            </w:r>
          </w:p>
        </w:tc>
        <w:tc>
          <w:tcPr>
            <w:tcW w:w="585" w:type="dxa"/>
            <w:tcBorders>
              <w:top w:val="nil"/>
              <w:left w:val="nil"/>
              <w:bottom w:val="single" w:sz="4" w:space="0" w:color="auto"/>
              <w:right w:val="single" w:sz="4" w:space="0" w:color="auto"/>
            </w:tcBorders>
            <w:shd w:val="clear" w:color="000000" w:fill="F2F2F2"/>
            <w:noWrap/>
            <w:vAlign w:val="center"/>
            <w:hideMark/>
          </w:tcPr>
          <w:p w14:paraId="58727D77"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541</w:t>
            </w:r>
          </w:p>
        </w:tc>
        <w:tc>
          <w:tcPr>
            <w:tcW w:w="941" w:type="dxa"/>
            <w:tcBorders>
              <w:top w:val="nil"/>
              <w:left w:val="nil"/>
              <w:bottom w:val="single" w:sz="4" w:space="0" w:color="auto"/>
              <w:right w:val="single" w:sz="4" w:space="0" w:color="auto"/>
            </w:tcBorders>
            <w:shd w:val="clear" w:color="000000" w:fill="F2F2F2"/>
            <w:noWrap/>
            <w:vAlign w:val="center"/>
            <w:hideMark/>
          </w:tcPr>
          <w:p w14:paraId="3B443644"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800218682</w:t>
            </w:r>
          </w:p>
        </w:tc>
        <w:tc>
          <w:tcPr>
            <w:tcW w:w="3247" w:type="dxa"/>
            <w:tcBorders>
              <w:top w:val="nil"/>
              <w:left w:val="nil"/>
              <w:bottom w:val="single" w:sz="4" w:space="0" w:color="auto"/>
              <w:right w:val="single" w:sz="4" w:space="0" w:color="auto"/>
            </w:tcBorders>
            <w:shd w:val="clear" w:color="000000" w:fill="F2F2F2"/>
            <w:vAlign w:val="center"/>
            <w:hideMark/>
          </w:tcPr>
          <w:p w14:paraId="42E2A818" w14:textId="77777777" w:rsidR="00B07312" w:rsidRPr="006B48D3" w:rsidRDefault="00B07312" w:rsidP="00D22441">
            <w:pPr>
              <w:jc w:val="left"/>
              <w:rPr>
                <w:rFonts w:ascii="Arial Narrow" w:hAnsi="Arial Narrow" w:cs="Arial"/>
                <w:spacing w:val="0"/>
                <w:sz w:val="16"/>
                <w:szCs w:val="16"/>
                <w:lang w:eastAsia="es-CO"/>
              </w:rPr>
            </w:pPr>
            <w:r w:rsidRPr="006B48D3">
              <w:rPr>
                <w:rFonts w:ascii="Arial Narrow" w:hAnsi="Arial Narrow" w:cs="Arial"/>
                <w:spacing w:val="0"/>
                <w:sz w:val="16"/>
                <w:szCs w:val="16"/>
                <w:lang w:eastAsia="es-CO"/>
              </w:rPr>
              <w:t>GASES DEL CUSIANA S.A.S E.S.P BIC</w:t>
            </w:r>
          </w:p>
        </w:tc>
        <w:tc>
          <w:tcPr>
            <w:tcW w:w="1620" w:type="dxa"/>
            <w:tcBorders>
              <w:top w:val="nil"/>
              <w:left w:val="nil"/>
              <w:bottom w:val="single" w:sz="4" w:space="0" w:color="auto"/>
              <w:right w:val="single" w:sz="4" w:space="0" w:color="auto"/>
            </w:tcBorders>
            <w:shd w:val="clear" w:color="000000" w:fill="F2F2F2"/>
            <w:noWrap/>
            <w:vAlign w:val="center"/>
            <w:hideMark/>
          </w:tcPr>
          <w:p w14:paraId="0C576EF3"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$ 1.814.491.000</w:t>
            </w:r>
          </w:p>
        </w:tc>
        <w:tc>
          <w:tcPr>
            <w:tcW w:w="1520" w:type="dxa"/>
            <w:tcBorders>
              <w:top w:val="nil"/>
              <w:left w:val="nil"/>
              <w:bottom w:val="single" w:sz="4" w:space="0" w:color="auto"/>
              <w:right w:val="single" w:sz="4" w:space="0" w:color="auto"/>
            </w:tcBorders>
            <w:shd w:val="clear" w:color="000000" w:fill="F2F2F2"/>
            <w:noWrap/>
            <w:vAlign w:val="center"/>
            <w:hideMark/>
          </w:tcPr>
          <w:p w14:paraId="114805AB"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$ 10.464.683</w:t>
            </w:r>
          </w:p>
        </w:tc>
        <w:tc>
          <w:tcPr>
            <w:tcW w:w="1460" w:type="dxa"/>
            <w:tcBorders>
              <w:top w:val="nil"/>
              <w:left w:val="nil"/>
              <w:bottom w:val="single" w:sz="4" w:space="0" w:color="auto"/>
              <w:right w:val="single" w:sz="4" w:space="0" w:color="auto"/>
            </w:tcBorders>
            <w:shd w:val="clear" w:color="000000" w:fill="F2F2F2"/>
            <w:noWrap/>
            <w:vAlign w:val="center"/>
            <w:hideMark/>
          </w:tcPr>
          <w:p w14:paraId="130E3D1A"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$ 1.824.955.683</w:t>
            </w:r>
          </w:p>
        </w:tc>
        <w:tc>
          <w:tcPr>
            <w:tcW w:w="1280" w:type="dxa"/>
            <w:tcBorders>
              <w:top w:val="nil"/>
              <w:left w:val="nil"/>
              <w:bottom w:val="single" w:sz="4" w:space="0" w:color="auto"/>
              <w:right w:val="single" w:sz="4" w:space="0" w:color="auto"/>
            </w:tcBorders>
            <w:shd w:val="clear" w:color="000000" w:fill="F2F2F2"/>
            <w:noWrap/>
            <w:vAlign w:val="center"/>
            <w:hideMark/>
          </w:tcPr>
          <w:p w14:paraId="244AC8F7"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$ 18.249.557</w:t>
            </w:r>
          </w:p>
        </w:tc>
        <w:tc>
          <w:tcPr>
            <w:tcW w:w="1200" w:type="dxa"/>
            <w:tcBorders>
              <w:top w:val="nil"/>
              <w:left w:val="nil"/>
              <w:bottom w:val="single" w:sz="4" w:space="0" w:color="auto"/>
              <w:right w:val="single" w:sz="4" w:space="0" w:color="auto"/>
            </w:tcBorders>
            <w:shd w:val="clear" w:color="000000" w:fill="F2F2F2"/>
            <w:noWrap/>
            <w:vAlign w:val="center"/>
            <w:hideMark/>
          </w:tcPr>
          <w:p w14:paraId="640C803F"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$ 759</w:t>
            </w:r>
          </w:p>
        </w:tc>
        <w:tc>
          <w:tcPr>
            <w:tcW w:w="1280" w:type="dxa"/>
            <w:tcBorders>
              <w:top w:val="nil"/>
              <w:left w:val="nil"/>
              <w:bottom w:val="single" w:sz="4" w:space="0" w:color="auto"/>
              <w:right w:val="single" w:sz="4" w:space="0" w:color="auto"/>
            </w:tcBorders>
            <w:shd w:val="clear" w:color="000000" w:fill="F2F2F2"/>
            <w:noWrap/>
            <w:vAlign w:val="center"/>
            <w:hideMark/>
          </w:tcPr>
          <w:p w14:paraId="4EA0ECE4"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$ 18.250.316</w:t>
            </w:r>
          </w:p>
        </w:tc>
      </w:tr>
      <w:tr w:rsidR="00B07312" w:rsidRPr="006B48D3" w14:paraId="7865FC76" w14:textId="77777777" w:rsidTr="006B48D3">
        <w:trPr>
          <w:trHeight w:val="265"/>
        </w:trPr>
        <w:tc>
          <w:tcPr>
            <w:tcW w:w="407" w:type="dxa"/>
            <w:tcBorders>
              <w:top w:val="nil"/>
              <w:left w:val="single" w:sz="4" w:space="0" w:color="auto"/>
              <w:bottom w:val="single" w:sz="4" w:space="0" w:color="auto"/>
              <w:right w:val="single" w:sz="4" w:space="0" w:color="auto"/>
            </w:tcBorders>
            <w:shd w:val="clear" w:color="000000" w:fill="F2F2F2"/>
            <w:noWrap/>
            <w:vAlign w:val="center"/>
            <w:hideMark/>
          </w:tcPr>
          <w:p w14:paraId="17F1A90F" w14:textId="77777777" w:rsidR="00B07312" w:rsidRPr="006B48D3" w:rsidRDefault="00B07312" w:rsidP="00D22441">
            <w:pPr>
              <w:jc w:val="center"/>
              <w:rPr>
                <w:rFonts w:ascii="Arial Narrow" w:hAnsi="Arial Narrow" w:cs="Arial"/>
                <w:spacing w:val="0"/>
                <w:sz w:val="16"/>
                <w:szCs w:val="16"/>
                <w:lang w:eastAsia="es-CO"/>
              </w:rPr>
            </w:pPr>
            <w:r w:rsidRPr="006B48D3">
              <w:rPr>
                <w:rFonts w:ascii="Arial Narrow" w:hAnsi="Arial Narrow" w:cs="Arial"/>
                <w:spacing w:val="0"/>
                <w:sz w:val="16"/>
                <w:szCs w:val="16"/>
                <w:lang w:eastAsia="es-CO"/>
              </w:rPr>
              <w:lastRenderedPageBreak/>
              <w:t>12</w:t>
            </w:r>
          </w:p>
        </w:tc>
        <w:tc>
          <w:tcPr>
            <w:tcW w:w="585" w:type="dxa"/>
            <w:tcBorders>
              <w:top w:val="nil"/>
              <w:left w:val="nil"/>
              <w:bottom w:val="single" w:sz="4" w:space="0" w:color="auto"/>
              <w:right w:val="single" w:sz="4" w:space="0" w:color="auto"/>
            </w:tcBorders>
            <w:shd w:val="clear" w:color="000000" w:fill="F2F2F2"/>
            <w:noWrap/>
            <w:vAlign w:val="center"/>
            <w:hideMark/>
          </w:tcPr>
          <w:p w14:paraId="2CEF5DB2"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527</w:t>
            </w:r>
          </w:p>
        </w:tc>
        <w:tc>
          <w:tcPr>
            <w:tcW w:w="941" w:type="dxa"/>
            <w:tcBorders>
              <w:top w:val="nil"/>
              <w:left w:val="nil"/>
              <w:bottom w:val="single" w:sz="4" w:space="0" w:color="auto"/>
              <w:right w:val="single" w:sz="4" w:space="0" w:color="auto"/>
            </w:tcBorders>
            <w:shd w:val="clear" w:color="000000" w:fill="F2F2F2"/>
            <w:noWrap/>
            <w:vAlign w:val="center"/>
            <w:hideMark/>
          </w:tcPr>
          <w:p w14:paraId="75EA46CF"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800226766</w:t>
            </w:r>
          </w:p>
        </w:tc>
        <w:tc>
          <w:tcPr>
            <w:tcW w:w="3247" w:type="dxa"/>
            <w:tcBorders>
              <w:top w:val="nil"/>
              <w:left w:val="nil"/>
              <w:bottom w:val="single" w:sz="4" w:space="0" w:color="auto"/>
              <w:right w:val="single" w:sz="4" w:space="0" w:color="auto"/>
            </w:tcBorders>
            <w:shd w:val="clear" w:color="000000" w:fill="F2F2F2"/>
            <w:vAlign w:val="center"/>
            <w:hideMark/>
          </w:tcPr>
          <w:p w14:paraId="37AB688A" w14:textId="77777777" w:rsidR="00B07312" w:rsidRPr="006B48D3" w:rsidRDefault="00B07312" w:rsidP="00D22441">
            <w:pPr>
              <w:jc w:val="left"/>
              <w:rPr>
                <w:rFonts w:ascii="Arial Narrow" w:hAnsi="Arial Narrow" w:cs="Arial"/>
                <w:spacing w:val="0"/>
                <w:sz w:val="16"/>
                <w:szCs w:val="16"/>
                <w:lang w:eastAsia="es-CO"/>
              </w:rPr>
            </w:pPr>
            <w:r w:rsidRPr="006B48D3">
              <w:rPr>
                <w:rFonts w:ascii="Arial Narrow" w:hAnsi="Arial Narrow" w:cs="Arial"/>
                <w:spacing w:val="0"/>
                <w:sz w:val="16"/>
                <w:szCs w:val="16"/>
                <w:lang w:eastAsia="es-CO"/>
              </w:rPr>
              <w:t>PROMIORIENTE S.A. E.S.P.</w:t>
            </w:r>
          </w:p>
        </w:tc>
        <w:tc>
          <w:tcPr>
            <w:tcW w:w="1620" w:type="dxa"/>
            <w:tcBorders>
              <w:top w:val="nil"/>
              <w:left w:val="nil"/>
              <w:bottom w:val="single" w:sz="4" w:space="0" w:color="auto"/>
              <w:right w:val="single" w:sz="4" w:space="0" w:color="auto"/>
            </w:tcBorders>
            <w:shd w:val="clear" w:color="000000" w:fill="F2F2F2"/>
            <w:noWrap/>
            <w:vAlign w:val="center"/>
            <w:hideMark/>
          </w:tcPr>
          <w:p w14:paraId="45D63AFE"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$ 8.048.290.000</w:t>
            </w:r>
          </w:p>
        </w:tc>
        <w:tc>
          <w:tcPr>
            <w:tcW w:w="1520" w:type="dxa"/>
            <w:tcBorders>
              <w:top w:val="nil"/>
              <w:left w:val="nil"/>
              <w:bottom w:val="single" w:sz="4" w:space="0" w:color="auto"/>
              <w:right w:val="single" w:sz="4" w:space="0" w:color="auto"/>
            </w:tcBorders>
            <w:shd w:val="clear" w:color="000000" w:fill="F2F2F2"/>
            <w:noWrap/>
            <w:vAlign w:val="center"/>
            <w:hideMark/>
          </w:tcPr>
          <w:p w14:paraId="46A1F957"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$ 0</w:t>
            </w:r>
          </w:p>
        </w:tc>
        <w:tc>
          <w:tcPr>
            <w:tcW w:w="1460" w:type="dxa"/>
            <w:tcBorders>
              <w:top w:val="nil"/>
              <w:left w:val="nil"/>
              <w:bottom w:val="single" w:sz="4" w:space="0" w:color="auto"/>
              <w:right w:val="single" w:sz="4" w:space="0" w:color="auto"/>
            </w:tcBorders>
            <w:shd w:val="clear" w:color="000000" w:fill="F2F2F2"/>
            <w:noWrap/>
            <w:vAlign w:val="center"/>
            <w:hideMark/>
          </w:tcPr>
          <w:p w14:paraId="4EE75AFE"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$ 8.048.290.000</w:t>
            </w:r>
          </w:p>
        </w:tc>
        <w:tc>
          <w:tcPr>
            <w:tcW w:w="1280" w:type="dxa"/>
            <w:tcBorders>
              <w:top w:val="nil"/>
              <w:left w:val="nil"/>
              <w:bottom w:val="single" w:sz="4" w:space="0" w:color="auto"/>
              <w:right w:val="single" w:sz="4" w:space="0" w:color="auto"/>
            </w:tcBorders>
            <w:shd w:val="clear" w:color="000000" w:fill="F2F2F2"/>
            <w:noWrap/>
            <w:vAlign w:val="center"/>
            <w:hideMark/>
          </w:tcPr>
          <w:p w14:paraId="1C9A9AB1"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$ 80.482.900</w:t>
            </w:r>
          </w:p>
        </w:tc>
        <w:tc>
          <w:tcPr>
            <w:tcW w:w="1200" w:type="dxa"/>
            <w:tcBorders>
              <w:top w:val="nil"/>
              <w:left w:val="nil"/>
              <w:bottom w:val="single" w:sz="4" w:space="0" w:color="auto"/>
              <w:right w:val="single" w:sz="4" w:space="0" w:color="auto"/>
            </w:tcBorders>
            <w:shd w:val="clear" w:color="000000" w:fill="F2F2F2"/>
            <w:noWrap/>
            <w:vAlign w:val="center"/>
            <w:hideMark/>
          </w:tcPr>
          <w:p w14:paraId="722D38A9"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$ 3.349</w:t>
            </w:r>
          </w:p>
        </w:tc>
        <w:tc>
          <w:tcPr>
            <w:tcW w:w="1280" w:type="dxa"/>
            <w:tcBorders>
              <w:top w:val="nil"/>
              <w:left w:val="nil"/>
              <w:bottom w:val="single" w:sz="4" w:space="0" w:color="auto"/>
              <w:right w:val="single" w:sz="4" w:space="0" w:color="auto"/>
            </w:tcBorders>
            <w:shd w:val="clear" w:color="000000" w:fill="F2F2F2"/>
            <w:noWrap/>
            <w:vAlign w:val="center"/>
            <w:hideMark/>
          </w:tcPr>
          <w:p w14:paraId="4BE3ACB8"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$ 80.486.249</w:t>
            </w:r>
          </w:p>
        </w:tc>
      </w:tr>
      <w:tr w:rsidR="00B07312" w:rsidRPr="006B48D3" w14:paraId="08961F10" w14:textId="77777777" w:rsidTr="006B48D3">
        <w:trPr>
          <w:trHeight w:val="450"/>
        </w:trPr>
        <w:tc>
          <w:tcPr>
            <w:tcW w:w="407" w:type="dxa"/>
            <w:tcBorders>
              <w:top w:val="nil"/>
              <w:left w:val="single" w:sz="4" w:space="0" w:color="auto"/>
              <w:bottom w:val="single" w:sz="4" w:space="0" w:color="auto"/>
              <w:right w:val="single" w:sz="4" w:space="0" w:color="auto"/>
            </w:tcBorders>
            <w:shd w:val="clear" w:color="000000" w:fill="F2F2F2"/>
            <w:noWrap/>
            <w:vAlign w:val="center"/>
            <w:hideMark/>
          </w:tcPr>
          <w:p w14:paraId="7B93311A" w14:textId="77777777" w:rsidR="00B07312" w:rsidRPr="006B48D3" w:rsidRDefault="00B07312" w:rsidP="00D22441">
            <w:pPr>
              <w:jc w:val="center"/>
              <w:rPr>
                <w:rFonts w:ascii="Arial Narrow" w:hAnsi="Arial Narrow" w:cs="Arial"/>
                <w:spacing w:val="0"/>
                <w:sz w:val="16"/>
                <w:szCs w:val="16"/>
                <w:lang w:eastAsia="es-CO"/>
              </w:rPr>
            </w:pPr>
            <w:r w:rsidRPr="006B48D3">
              <w:rPr>
                <w:rFonts w:ascii="Arial Narrow" w:hAnsi="Arial Narrow" w:cs="Arial"/>
                <w:spacing w:val="0"/>
                <w:sz w:val="16"/>
                <w:szCs w:val="16"/>
                <w:lang w:eastAsia="es-CO"/>
              </w:rPr>
              <w:t>13</w:t>
            </w:r>
          </w:p>
        </w:tc>
        <w:tc>
          <w:tcPr>
            <w:tcW w:w="585" w:type="dxa"/>
            <w:tcBorders>
              <w:top w:val="nil"/>
              <w:left w:val="nil"/>
              <w:bottom w:val="single" w:sz="4" w:space="0" w:color="auto"/>
              <w:right w:val="single" w:sz="4" w:space="0" w:color="auto"/>
            </w:tcBorders>
            <w:shd w:val="clear" w:color="000000" w:fill="F2F2F2"/>
            <w:noWrap/>
            <w:vAlign w:val="center"/>
            <w:hideMark/>
          </w:tcPr>
          <w:p w14:paraId="58CFA48F"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525</w:t>
            </w:r>
          </w:p>
        </w:tc>
        <w:tc>
          <w:tcPr>
            <w:tcW w:w="941" w:type="dxa"/>
            <w:tcBorders>
              <w:top w:val="nil"/>
              <w:left w:val="nil"/>
              <w:bottom w:val="single" w:sz="4" w:space="0" w:color="auto"/>
              <w:right w:val="single" w:sz="4" w:space="0" w:color="auto"/>
            </w:tcBorders>
            <w:shd w:val="clear" w:color="000000" w:fill="F2F2F2"/>
            <w:noWrap/>
            <w:vAlign w:val="center"/>
            <w:hideMark/>
          </w:tcPr>
          <w:p w14:paraId="30E8F45E"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804000551</w:t>
            </w:r>
          </w:p>
        </w:tc>
        <w:tc>
          <w:tcPr>
            <w:tcW w:w="3247" w:type="dxa"/>
            <w:tcBorders>
              <w:top w:val="nil"/>
              <w:left w:val="nil"/>
              <w:bottom w:val="single" w:sz="4" w:space="0" w:color="auto"/>
              <w:right w:val="single" w:sz="4" w:space="0" w:color="auto"/>
            </w:tcBorders>
            <w:shd w:val="clear" w:color="000000" w:fill="F2F2F2"/>
            <w:vAlign w:val="center"/>
            <w:hideMark/>
          </w:tcPr>
          <w:p w14:paraId="73F37BA2" w14:textId="77777777" w:rsidR="00B07312" w:rsidRPr="006B48D3" w:rsidRDefault="00B07312" w:rsidP="00D22441">
            <w:pPr>
              <w:jc w:val="left"/>
              <w:rPr>
                <w:rFonts w:ascii="Arial Narrow" w:hAnsi="Arial Narrow" w:cs="Arial"/>
                <w:spacing w:val="0"/>
                <w:sz w:val="16"/>
                <w:szCs w:val="16"/>
                <w:lang w:eastAsia="es-CO"/>
              </w:rPr>
            </w:pPr>
            <w:r w:rsidRPr="006B48D3">
              <w:rPr>
                <w:rFonts w:ascii="Arial Narrow" w:hAnsi="Arial Narrow" w:cs="Arial"/>
                <w:spacing w:val="0"/>
                <w:sz w:val="16"/>
                <w:szCs w:val="16"/>
                <w:lang w:eastAsia="es-CO"/>
              </w:rPr>
              <w:t>GAS NATURAL DEL CESAR S.A. EMPRESA DE SERVICIOS PUBLICOS</w:t>
            </w:r>
          </w:p>
        </w:tc>
        <w:tc>
          <w:tcPr>
            <w:tcW w:w="1620" w:type="dxa"/>
            <w:tcBorders>
              <w:top w:val="nil"/>
              <w:left w:val="nil"/>
              <w:bottom w:val="single" w:sz="4" w:space="0" w:color="auto"/>
              <w:right w:val="single" w:sz="4" w:space="0" w:color="auto"/>
            </w:tcBorders>
            <w:shd w:val="clear" w:color="000000" w:fill="F2F2F2"/>
            <w:noWrap/>
            <w:vAlign w:val="center"/>
            <w:hideMark/>
          </w:tcPr>
          <w:p w14:paraId="5EDAEC9D"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$ 720.351.000</w:t>
            </w:r>
          </w:p>
        </w:tc>
        <w:tc>
          <w:tcPr>
            <w:tcW w:w="1520" w:type="dxa"/>
            <w:tcBorders>
              <w:top w:val="nil"/>
              <w:left w:val="nil"/>
              <w:bottom w:val="single" w:sz="4" w:space="0" w:color="auto"/>
              <w:right w:val="single" w:sz="4" w:space="0" w:color="auto"/>
            </w:tcBorders>
            <w:shd w:val="clear" w:color="000000" w:fill="F2F2F2"/>
            <w:noWrap/>
            <w:vAlign w:val="center"/>
            <w:hideMark/>
          </w:tcPr>
          <w:p w14:paraId="0FB41922"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$ 219.165.649</w:t>
            </w:r>
          </w:p>
        </w:tc>
        <w:tc>
          <w:tcPr>
            <w:tcW w:w="1460" w:type="dxa"/>
            <w:tcBorders>
              <w:top w:val="nil"/>
              <w:left w:val="nil"/>
              <w:bottom w:val="single" w:sz="4" w:space="0" w:color="auto"/>
              <w:right w:val="single" w:sz="4" w:space="0" w:color="auto"/>
            </w:tcBorders>
            <w:shd w:val="clear" w:color="000000" w:fill="F2F2F2"/>
            <w:noWrap/>
            <w:vAlign w:val="center"/>
            <w:hideMark/>
          </w:tcPr>
          <w:p w14:paraId="0B34D584"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$ 939.516.649</w:t>
            </w:r>
          </w:p>
        </w:tc>
        <w:tc>
          <w:tcPr>
            <w:tcW w:w="1280" w:type="dxa"/>
            <w:tcBorders>
              <w:top w:val="nil"/>
              <w:left w:val="nil"/>
              <w:bottom w:val="single" w:sz="4" w:space="0" w:color="auto"/>
              <w:right w:val="single" w:sz="4" w:space="0" w:color="auto"/>
            </w:tcBorders>
            <w:shd w:val="clear" w:color="000000" w:fill="F2F2F2"/>
            <w:noWrap/>
            <w:vAlign w:val="center"/>
            <w:hideMark/>
          </w:tcPr>
          <w:p w14:paraId="04EFEA38"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$ 9.395.166</w:t>
            </w:r>
          </w:p>
        </w:tc>
        <w:tc>
          <w:tcPr>
            <w:tcW w:w="1200" w:type="dxa"/>
            <w:tcBorders>
              <w:top w:val="nil"/>
              <w:left w:val="nil"/>
              <w:bottom w:val="single" w:sz="4" w:space="0" w:color="auto"/>
              <w:right w:val="single" w:sz="4" w:space="0" w:color="auto"/>
            </w:tcBorders>
            <w:shd w:val="clear" w:color="000000" w:fill="F2F2F2"/>
            <w:noWrap/>
            <w:vAlign w:val="center"/>
            <w:hideMark/>
          </w:tcPr>
          <w:p w14:paraId="02F921D7"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$ 391</w:t>
            </w:r>
          </w:p>
        </w:tc>
        <w:tc>
          <w:tcPr>
            <w:tcW w:w="1280" w:type="dxa"/>
            <w:tcBorders>
              <w:top w:val="nil"/>
              <w:left w:val="nil"/>
              <w:bottom w:val="single" w:sz="4" w:space="0" w:color="auto"/>
              <w:right w:val="single" w:sz="4" w:space="0" w:color="auto"/>
            </w:tcBorders>
            <w:shd w:val="clear" w:color="000000" w:fill="F2F2F2"/>
            <w:noWrap/>
            <w:vAlign w:val="center"/>
            <w:hideMark/>
          </w:tcPr>
          <w:p w14:paraId="2A93F120"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$ 9.395.557</w:t>
            </w:r>
          </w:p>
        </w:tc>
      </w:tr>
      <w:tr w:rsidR="00B07312" w:rsidRPr="006B48D3" w14:paraId="08E51AF8" w14:textId="77777777" w:rsidTr="00D16BC5">
        <w:trPr>
          <w:trHeight w:val="273"/>
        </w:trPr>
        <w:tc>
          <w:tcPr>
            <w:tcW w:w="407" w:type="dxa"/>
            <w:tcBorders>
              <w:top w:val="nil"/>
              <w:left w:val="single" w:sz="4" w:space="0" w:color="auto"/>
              <w:bottom w:val="single" w:sz="4" w:space="0" w:color="auto"/>
              <w:right w:val="single" w:sz="4" w:space="0" w:color="auto"/>
            </w:tcBorders>
            <w:shd w:val="clear" w:color="000000" w:fill="F2F2F2"/>
            <w:noWrap/>
            <w:vAlign w:val="center"/>
            <w:hideMark/>
          </w:tcPr>
          <w:p w14:paraId="02326968" w14:textId="77777777" w:rsidR="00B07312" w:rsidRPr="006B48D3" w:rsidRDefault="00B07312" w:rsidP="00D22441">
            <w:pPr>
              <w:jc w:val="center"/>
              <w:rPr>
                <w:rFonts w:ascii="Arial Narrow" w:hAnsi="Arial Narrow" w:cs="Arial"/>
                <w:spacing w:val="0"/>
                <w:sz w:val="16"/>
                <w:szCs w:val="16"/>
                <w:lang w:eastAsia="es-CO"/>
              </w:rPr>
            </w:pPr>
            <w:r w:rsidRPr="006B48D3">
              <w:rPr>
                <w:rFonts w:ascii="Arial Narrow" w:hAnsi="Arial Narrow" w:cs="Arial"/>
                <w:spacing w:val="0"/>
                <w:sz w:val="16"/>
                <w:szCs w:val="16"/>
                <w:lang w:eastAsia="es-CO"/>
              </w:rPr>
              <w:t>14</w:t>
            </w:r>
          </w:p>
        </w:tc>
        <w:tc>
          <w:tcPr>
            <w:tcW w:w="585" w:type="dxa"/>
            <w:tcBorders>
              <w:top w:val="nil"/>
              <w:left w:val="nil"/>
              <w:bottom w:val="single" w:sz="4" w:space="0" w:color="auto"/>
              <w:right w:val="single" w:sz="4" w:space="0" w:color="auto"/>
            </w:tcBorders>
            <w:shd w:val="clear" w:color="000000" w:fill="F2F2F2"/>
            <w:noWrap/>
            <w:vAlign w:val="center"/>
            <w:hideMark/>
          </w:tcPr>
          <w:p w14:paraId="63025DEC"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1601</w:t>
            </w:r>
          </w:p>
        </w:tc>
        <w:tc>
          <w:tcPr>
            <w:tcW w:w="941" w:type="dxa"/>
            <w:tcBorders>
              <w:top w:val="nil"/>
              <w:left w:val="nil"/>
              <w:bottom w:val="single" w:sz="4" w:space="0" w:color="auto"/>
              <w:right w:val="single" w:sz="4" w:space="0" w:color="auto"/>
            </w:tcBorders>
            <w:shd w:val="clear" w:color="000000" w:fill="F2F2F2"/>
            <w:noWrap/>
            <w:vAlign w:val="center"/>
            <w:hideMark/>
          </w:tcPr>
          <w:p w14:paraId="6CDA07D7"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804002801</w:t>
            </w:r>
          </w:p>
        </w:tc>
        <w:tc>
          <w:tcPr>
            <w:tcW w:w="3247" w:type="dxa"/>
            <w:tcBorders>
              <w:top w:val="nil"/>
              <w:left w:val="nil"/>
              <w:bottom w:val="single" w:sz="4" w:space="0" w:color="auto"/>
              <w:right w:val="single" w:sz="4" w:space="0" w:color="auto"/>
            </w:tcBorders>
            <w:shd w:val="clear" w:color="000000" w:fill="F2F2F2"/>
            <w:vAlign w:val="center"/>
            <w:hideMark/>
          </w:tcPr>
          <w:p w14:paraId="036BC389" w14:textId="77777777" w:rsidR="00B07312" w:rsidRPr="006B48D3" w:rsidRDefault="00B07312" w:rsidP="00D22441">
            <w:pPr>
              <w:jc w:val="left"/>
              <w:rPr>
                <w:rFonts w:ascii="Arial Narrow" w:hAnsi="Arial Narrow" w:cs="Arial"/>
                <w:spacing w:val="0"/>
                <w:sz w:val="16"/>
                <w:szCs w:val="16"/>
                <w:lang w:eastAsia="es-CO"/>
              </w:rPr>
            </w:pPr>
            <w:r w:rsidRPr="006B48D3">
              <w:rPr>
                <w:rFonts w:ascii="Arial Narrow" w:hAnsi="Arial Narrow" w:cs="Arial"/>
                <w:spacing w:val="0"/>
                <w:sz w:val="16"/>
                <w:szCs w:val="16"/>
                <w:lang w:eastAsia="es-CO"/>
              </w:rPr>
              <w:t>GASES DEL SUR DE SANTANDER S.A. E.S.P.</w:t>
            </w:r>
          </w:p>
        </w:tc>
        <w:tc>
          <w:tcPr>
            <w:tcW w:w="1620" w:type="dxa"/>
            <w:tcBorders>
              <w:top w:val="nil"/>
              <w:left w:val="nil"/>
              <w:bottom w:val="single" w:sz="4" w:space="0" w:color="auto"/>
              <w:right w:val="single" w:sz="4" w:space="0" w:color="auto"/>
            </w:tcBorders>
            <w:shd w:val="clear" w:color="000000" w:fill="F2F2F2"/>
            <w:noWrap/>
            <w:vAlign w:val="center"/>
            <w:hideMark/>
          </w:tcPr>
          <w:p w14:paraId="58391F22"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$ 626.815.000</w:t>
            </w:r>
          </w:p>
        </w:tc>
        <w:tc>
          <w:tcPr>
            <w:tcW w:w="1520" w:type="dxa"/>
            <w:tcBorders>
              <w:top w:val="nil"/>
              <w:left w:val="nil"/>
              <w:bottom w:val="single" w:sz="4" w:space="0" w:color="auto"/>
              <w:right w:val="single" w:sz="4" w:space="0" w:color="auto"/>
            </w:tcBorders>
            <w:shd w:val="clear" w:color="000000" w:fill="F2F2F2"/>
            <w:noWrap/>
            <w:vAlign w:val="center"/>
            <w:hideMark/>
          </w:tcPr>
          <w:p w14:paraId="226C3651"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$ 49.053.598</w:t>
            </w:r>
          </w:p>
        </w:tc>
        <w:tc>
          <w:tcPr>
            <w:tcW w:w="1460" w:type="dxa"/>
            <w:tcBorders>
              <w:top w:val="nil"/>
              <w:left w:val="nil"/>
              <w:bottom w:val="single" w:sz="4" w:space="0" w:color="auto"/>
              <w:right w:val="single" w:sz="4" w:space="0" w:color="auto"/>
            </w:tcBorders>
            <w:shd w:val="clear" w:color="000000" w:fill="F2F2F2"/>
            <w:noWrap/>
            <w:vAlign w:val="center"/>
            <w:hideMark/>
          </w:tcPr>
          <w:p w14:paraId="2C6C8889"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$ 675.868.598</w:t>
            </w:r>
          </w:p>
        </w:tc>
        <w:tc>
          <w:tcPr>
            <w:tcW w:w="1280" w:type="dxa"/>
            <w:tcBorders>
              <w:top w:val="nil"/>
              <w:left w:val="nil"/>
              <w:bottom w:val="single" w:sz="4" w:space="0" w:color="auto"/>
              <w:right w:val="single" w:sz="4" w:space="0" w:color="auto"/>
            </w:tcBorders>
            <w:shd w:val="clear" w:color="000000" w:fill="F2F2F2"/>
            <w:noWrap/>
            <w:vAlign w:val="center"/>
            <w:hideMark/>
          </w:tcPr>
          <w:p w14:paraId="5ABEB1B5"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$ 6.758.686</w:t>
            </w:r>
          </w:p>
        </w:tc>
        <w:tc>
          <w:tcPr>
            <w:tcW w:w="1200" w:type="dxa"/>
            <w:tcBorders>
              <w:top w:val="nil"/>
              <w:left w:val="nil"/>
              <w:bottom w:val="single" w:sz="4" w:space="0" w:color="auto"/>
              <w:right w:val="single" w:sz="4" w:space="0" w:color="auto"/>
            </w:tcBorders>
            <w:shd w:val="clear" w:color="000000" w:fill="F2F2F2"/>
            <w:noWrap/>
            <w:vAlign w:val="center"/>
            <w:hideMark/>
          </w:tcPr>
          <w:p w14:paraId="60B44099"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$ 281</w:t>
            </w:r>
          </w:p>
        </w:tc>
        <w:tc>
          <w:tcPr>
            <w:tcW w:w="1280" w:type="dxa"/>
            <w:tcBorders>
              <w:top w:val="nil"/>
              <w:left w:val="nil"/>
              <w:bottom w:val="single" w:sz="4" w:space="0" w:color="auto"/>
              <w:right w:val="single" w:sz="4" w:space="0" w:color="auto"/>
            </w:tcBorders>
            <w:shd w:val="clear" w:color="000000" w:fill="F2F2F2"/>
            <w:noWrap/>
            <w:vAlign w:val="center"/>
            <w:hideMark/>
          </w:tcPr>
          <w:p w14:paraId="7E1F113C"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$ 6.758.967</w:t>
            </w:r>
          </w:p>
        </w:tc>
      </w:tr>
      <w:tr w:rsidR="00B07312" w:rsidRPr="006B48D3" w14:paraId="2C7D2C5F" w14:textId="77777777" w:rsidTr="006B48D3">
        <w:trPr>
          <w:trHeight w:val="450"/>
        </w:trPr>
        <w:tc>
          <w:tcPr>
            <w:tcW w:w="407" w:type="dxa"/>
            <w:tcBorders>
              <w:top w:val="nil"/>
              <w:left w:val="single" w:sz="4" w:space="0" w:color="auto"/>
              <w:bottom w:val="single" w:sz="4" w:space="0" w:color="auto"/>
              <w:right w:val="single" w:sz="4" w:space="0" w:color="auto"/>
            </w:tcBorders>
            <w:shd w:val="clear" w:color="000000" w:fill="F2F2F2"/>
            <w:noWrap/>
            <w:vAlign w:val="center"/>
            <w:hideMark/>
          </w:tcPr>
          <w:p w14:paraId="58484C6C" w14:textId="77777777" w:rsidR="00B07312" w:rsidRPr="006B48D3" w:rsidRDefault="00B07312" w:rsidP="00D22441">
            <w:pPr>
              <w:jc w:val="center"/>
              <w:rPr>
                <w:rFonts w:ascii="Arial Narrow" w:hAnsi="Arial Narrow" w:cs="Arial"/>
                <w:spacing w:val="0"/>
                <w:sz w:val="16"/>
                <w:szCs w:val="16"/>
                <w:lang w:eastAsia="es-CO"/>
              </w:rPr>
            </w:pPr>
            <w:r w:rsidRPr="006B48D3">
              <w:rPr>
                <w:rFonts w:ascii="Arial Narrow" w:hAnsi="Arial Narrow" w:cs="Arial"/>
                <w:spacing w:val="0"/>
                <w:sz w:val="16"/>
                <w:szCs w:val="16"/>
                <w:lang w:eastAsia="es-CO"/>
              </w:rPr>
              <w:t>15</w:t>
            </w:r>
          </w:p>
        </w:tc>
        <w:tc>
          <w:tcPr>
            <w:tcW w:w="585" w:type="dxa"/>
            <w:tcBorders>
              <w:top w:val="nil"/>
              <w:left w:val="nil"/>
              <w:bottom w:val="single" w:sz="4" w:space="0" w:color="auto"/>
              <w:right w:val="single" w:sz="4" w:space="0" w:color="auto"/>
            </w:tcBorders>
            <w:shd w:val="clear" w:color="000000" w:fill="F2F2F2"/>
            <w:noWrap/>
            <w:vAlign w:val="center"/>
            <w:hideMark/>
          </w:tcPr>
          <w:p w14:paraId="68A8AB24"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20527</w:t>
            </w:r>
          </w:p>
        </w:tc>
        <w:tc>
          <w:tcPr>
            <w:tcW w:w="941" w:type="dxa"/>
            <w:tcBorders>
              <w:top w:val="nil"/>
              <w:left w:val="nil"/>
              <w:bottom w:val="single" w:sz="4" w:space="0" w:color="auto"/>
              <w:right w:val="single" w:sz="4" w:space="0" w:color="auto"/>
            </w:tcBorders>
            <w:shd w:val="clear" w:color="000000" w:fill="F2F2F2"/>
            <w:noWrap/>
            <w:vAlign w:val="center"/>
            <w:hideMark/>
          </w:tcPr>
          <w:p w14:paraId="29BA711A"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804002825</w:t>
            </w:r>
          </w:p>
        </w:tc>
        <w:tc>
          <w:tcPr>
            <w:tcW w:w="3247" w:type="dxa"/>
            <w:tcBorders>
              <w:top w:val="nil"/>
              <w:left w:val="nil"/>
              <w:bottom w:val="single" w:sz="4" w:space="0" w:color="auto"/>
              <w:right w:val="single" w:sz="4" w:space="0" w:color="auto"/>
            </w:tcBorders>
            <w:shd w:val="clear" w:color="000000" w:fill="F2F2F2"/>
            <w:vAlign w:val="center"/>
            <w:hideMark/>
          </w:tcPr>
          <w:p w14:paraId="7091B0EF" w14:textId="77777777" w:rsidR="00B07312" w:rsidRPr="006B48D3" w:rsidRDefault="00B07312" w:rsidP="00D22441">
            <w:pPr>
              <w:jc w:val="left"/>
              <w:rPr>
                <w:rFonts w:ascii="Arial Narrow" w:hAnsi="Arial Narrow" w:cs="Arial"/>
                <w:spacing w:val="0"/>
                <w:sz w:val="16"/>
                <w:szCs w:val="16"/>
                <w:lang w:eastAsia="es-CO"/>
              </w:rPr>
            </w:pPr>
            <w:r w:rsidRPr="006B48D3">
              <w:rPr>
                <w:rFonts w:ascii="Arial Narrow" w:hAnsi="Arial Narrow" w:cs="Arial"/>
                <w:spacing w:val="0"/>
                <w:sz w:val="16"/>
                <w:szCs w:val="16"/>
                <w:lang w:eastAsia="es-CO"/>
              </w:rPr>
              <w:t>PROYECTOS DE INGENIERIA Y COMERCIALIZACION DE GAS S.A. ESP.</w:t>
            </w:r>
          </w:p>
        </w:tc>
        <w:tc>
          <w:tcPr>
            <w:tcW w:w="1620" w:type="dxa"/>
            <w:tcBorders>
              <w:top w:val="nil"/>
              <w:left w:val="nil"/>
              <w:bottom w:val="single" w:sz="4" w:space="0" w:color="auto"/>
              <w:right w:val="single" w:sz="4" w:space="0" w:color="auto"/>
            </w:tcBorders>
            <w:shd w:val="clear" w:color="000000" w:fill="F2F2F2"/>
            <w:noWrap/>
            <w:vAlign w:val="center"/>
            <w:hideMark/>
          </w:tcPr>
          <w:p w14:paraId="203DAD66"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$ 805.938.000</w:t>
            </w:r>
          </w:p>
        </w:tc>
        <w:tc>
          <w:tcPr>
            <w:tcW w:w="1520" w:type="dxa"/>
            <w:tcBorders>
              <w:top w:val="nil"/>
              <w:left w:val="nil"/>
              <w:bottom w:val="single" w:sz="4" w:space="0" w:color="auto"/>
              <w:right w:val="single" w:sz="4" w:space="0" w:color="auto"/>
            </w:tcBorders>
            <w:shd w:val="clear" w:color="000000" w:fill="F2F2F2"/>
            <w:noWrap/>
            <w:vAlign w:val="center"/>
            <w:hideMark/>
          </w:tcPr>
          <w:p w14:paraId="7931DD2C"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$ 29.920.600</w:t>
            </w:r>
          </w:p>
        </w:tc>
        <w:tc>
          <w:tcPr>
            <w:tcW w:w="1460" w:type="dxa"/>
            <w:tcBorders>
              <w:top w:val="nil"/>
              <w:left w:val="nil"/>
              <w:bottom w:val="single" w:sz="4" w:space="0" w:color="auto"/>
              <w:right w:val="single" w:sz="4" w:space="0" w:color="auto"/>
            </w:tcBorders>
            <w:shd w:val="clear" w:color="000000" w:fill="F2F2F2"/>
            <w:noWrap/>
            <w:vAlign w:val="center"/>
            <w:hideMark/>
          </w:tcPr>
          <w:p w14:paraId="08FEC6E4"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$ 835.858.600</w:t>
            </w:r>
          </w:p>
        </w:tc>
        <w:tc>
          <w:tcPr>
            <w:tcW w:w="1280" w:type="dxa"/>
            <w:tcBorders>
              <w:top w:val="nil"/>
              <w:left w:val="nil"/>
              <w:bottom w:val="single" w:sz="4" w:space="0" w:color="auto"/>
              <w:right w:val="single" w:sz="4" w:space="0" w:color="auto"/>
            </w:tcBorders>
            <w:shd w:val="clear" w:color="000000" w:fill="F2F2F2"/>
            <w:noWrap/>
            <w:vAlign w:val="center"/>
            <w:hideMark/>
          </w:tcPr>
          <w:p w14:paraId="3120CD81"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$ 8.358.586</w:t>
            </w:r>
          </w:p>
        </w:tc>
        <w:tc>
          <w:tcPr>
            <w:tcW w:w="1200" w:type="dxa"/>
            <w:tcBorders>
              <w:top w:val="nil"/>
              <w:left w:val="nil"/>
              <w:bottom w:val="single" w:sz="4" w:space="0" w:color="auto"/>
              <w:right w:val="single" w:sz="4" w:space="0" w:color="auto"/>
            </w:tcBorders>
            <w:shd w:val="clear" w:color="000000" w:fill="F2F2F2"/>
            <w:noWrap/>
            <w:vAlign w:val="center"/>
            <w:hideMark/>
          </w:tcPr>
          <w:p w14:paraId="52789BF0"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$ 348</w:t>
            </w:r>
          </w:p>
        </w:tc>
        <w:tc>
          <w:tcPr>
            <w:tcW w:w="1280" w:type="dxa"/>
            <w:tcBorders>
              <w:top w:val="nil"/>
              <w:left w:val="nil"/>
              <w:bottom w:val="single" w:sz="4" w:space="0" w:color="auto"/>
              <w:right w:val="single" w:sz="4" w:space="0" w:color="auto"/>
            </w:tcBorders>
            <w:shd w:val="clear" w:color="000000" w:fill="F2F2F2"/>
            <w:noWrap/>
            <w:vAlign w:val="center"/>
            <w:hideMark/>
          </w:tcPr>
          <w:p w14:paraId="78032A5D"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$ 8.358.934</w:t>
            </w:r>
          </w:p>
        </w:tc>
      </w:tr>
      <w:tr w:rsidR="00B07312" w:rsidRPr="006B48D3" w14:paraId="4D6DFFBB" w14:textId="77777777" w:rsidTr="006B48D3">
        <w:trPr>
          <w:trHeight w:val="175"/>
        </w:trPr>
        <w:tc>
          <w:tcPr>
            <w:tcW w:w="407" w:type="dxa"/>
            <w:tcBorders>
              <w:top w:val="nil"/>
              <w:left w:val="single" w:sz="4" w:space="0" w:color="auto"/>
              <w:bottom w:val="single" w:sz="4" w:space="0" w:color="auto"/>
              <w:right w:val="single" w:sz="4" w:space="0" w:color="auto"/>
            </w:tcBorders>
            <w:shd w:val="clear" w:color="000000" w:fill="F2F2F2"/>
            <w:noWrap/>
            <w:vAlign w:val="center"/>
            <w:hideMark/>
          </w:tcPr>
          <w:p w14:paraId="591BF248" w14:textId="77777777" w:rsidR="00B07312" w:rsidRPr="006B48D3" w:rsidRDefault="00B07312" w:rsidP="00D22441">
            <w:pPr>
              <w:jc w:val="center"/>
              <w:rPr>
                <w:rFonts w:ascii="Arial Narrow" w:hAnsi="Arial Narrow" w:cs="Arial"/>
                <w:spacing w:val="0"/>
                <w:sz w:val="16"/>
                <w:szCs w:val="16"/>
                <w:lang w:eastAsia="es-CO"/>
              </w:rPr>
            </w:pPr>
            <w:r w:rsidRPr="006B48D3">
              <w:rPr>
                <w:rFonts w:ascii="Arial Narrow" w:hAnsi="Arial Narrow" w:cs="Arial"/>
                <w:spacing w:val="0"/>
                <w:sz w:val="16"/>
                <w:szCs w:val="16"/>
                <w:lang w:eastAsia="es-CO"/>
              </w:rPr>
              <w:t>16</w:t>
            </w:r>
          </w:p>
        </w:tc>
        <w:tc>
          <w:tcPr>
            <w:tcW w:w="585" w:type="dxa"/>
            <w:tcBorders>
              <w:top w:val="nil"/>
              <w:left w:val="nil"/>
              <w:bottom w:val="single" w:sz="4" w:space="0" w:color="auto"/>
              <w:right w:val="single" w:sz="4" w:space="0" w:color="auto"/>
            </w:tcBorders>
            <w:shd w:val="clear" w:color="000000" w:fill="F2F2F2"/>
            <w:noWrap/>
            <w:vAlign w:val="center"/>
            <w:hideMark/>
          </w:tcPr>
          <w:p w14:paraId="202A8FB9"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47483</w:t>
            </w:r>
          </w:p>
        </w:tc>
        <w:tc>
          <w:tcPr>
            <w:tcW w:w="941" w:type="dxa"/>
            <w:tcBorders>
              <w:top w:val="nil"/>
              <w:left w:val="nil"/>
              <w:bottom w:val="single" w:sz="4" w:space="0" w:color="auto"/>
              <w:right w:val="single" w:sz="4" w:space="0" w:color="auto"/>
            </w:tcBorders>
            <w:shd w:val="clear" w:color="000000" w:fill="F2F2F2"/>
            <w:noWrap/>
            <w:vAlign w:val="center"/>
            <w:hideMark/>
          </w:tcPr>
          <w:p w14:paraId="1BD85E56"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804011155</w:t>
            </w:r>
          </w:p>
        </w:tc>
        <w:tc>
          <w:tcPr>
            <w:tcW w:w="3247" w:type="dxa"/>
            <w:tcBorders>
              <w:top w:val="nil"/>
              <w:left w:val="nil"/>
              <w:bottom w:val="single" w:sz="4" w:space="0" w:color="auto"/>
              <w:right w:val="single" w:sz="4" w:space="0" w:color="auto"/>
            </w:tcBorders>
            <w:shd w:val="clear" w:color="000000" w:fill="F2F2F2"/>
            <w:vAlign w:val="center"/>
            <w:hideMark/>
          </w:tcPr>
          <w:p w14:paraId="56A7D093" w14:textId="77777777" w:rsidR="00B07312" w:rsidRPr="006B48D3" w:rsidRDefault="00B07312" w:rsidP="00D22441">
            <w:pPr>
              <w:jc w:val="left"/>
              <w:rPr>
                <w:rFonts w:ascii="Arial Narrow" w:hAnsi="Arial Narrow" w:cs="Arial"/>
                <w:spacing w:val="0"/>
                <w:sz w:val="16"/>
                <w:szCs w:val="16"/>
                <w:lang w:eastAsia="es-CO"/>
              </w:rPr>
            </w:pPr>
            <w:r w:rsidRPr="006B48D3">
              <w:rPr>
                <w:rFonts w:ascii="Arial Narrow" w:hAnsi="Arial Narrow" w:cs="Arial"/>
                <w:spacing w:val="0"/>
                <w:sz w:val="16"/>
                <w:szCs w:val="16"/>
                <w:lang w:eastAsia="es-CO"/>
              </w:rPr>
              <w:t>CIAZ SAS ESP</w:t>
            </w:r>
          </w:p>
        </w:tc>
        <w:tc>
          <w:tcPr>
            <w:tcW w:w="1620" w:type="dxa"/>
            <w:tcBorders>
              <w:top w:val="nil"/>
              <w:left w:val="nil"/>
              <w:bottom w:val="single" w:sz="4" w:space="0" w:color="auto"/>
              <w:right w:val="single" w:sz="4" w:space="0" w:color="auto"/>
            </w:tcBorders>
            <w:shd w:val="clear" w:color="000000" w:fill="F2F2F2"/>
            <w:noWrap/>
            <w:vAlign w:val="center"/>
            <w:hideMark/>
          </w:tcPr>
          <w:p w14:paraId="7EF96E3E"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$ 292.000</w:t>
            </w:r>
          </w:p>
        </w:tc>
        <w:tc>
          <w:tcPr>
            <w:tcW w:w="1520" w:type="dxa"/>
            <w:tcBorders>
              <w:top w:val="nil"/>
              <w:left w:val="nil"/>
              <w:bottom w:val="single" w:sz="4" w:space="0" w:color="auto"/>
              <w:right w:val="single" w:sz="4" w:space="0" w:color="auto"/>
            </w:tcBorders>
            <w:shd w:val="clear" w:color="000000" w:fill="F2F2F2"/>
            <w:noWrap/>
            <w:vAlign w:val="center"/>
            <w:hideMark/>
          </w:tcPr>
          <w:p w14:paraId="42072E5E"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$ 41.279.115</w:t>
            </w:r>
          </w:p>
        </w:tc>
        <w:tc>
          <w:tcPr>
            <w:tcW w:w="1460" w:type="dxa"/>
            <w:tcBorders>
              <w:top w:val="nil"/>
              <w:left w:val="nil"/>
              <w:bottom w:val="single" w:sz="4" w:space="0" w:color="auto"/>
              <w:right w:val="single" w:sz="4" w:space="0" w:color="auto"/>
            </w:tcBorders>
            <w:shd w:val="clear" w:color="000000" w:fill="F2F2F2"/>
            <w:noWrap/>
            <w:vAlign w:val="center"/>
            <w:hideMark/>
          </w:tcPr>
          <w:p w14:paraId="288AB114"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$ 41.571.115</w:t>
            </w:r>
          </w:p>
        </w:tc>
        <w:tc>
          <w:tcPr>
            <w:tcW w:w="1280" w:type="dxa"/>
            <w:tcBorders>
              <w:top w:val="nil"/>
              <w:left w:val="nil"/>
              <w:bottom w:val="single" w:sz="4" w:space="0" w:color="auto"/>
              <w:right w:val="single" w:sz="4" w:space="0" w:color="auto"/>
            </w:tcBorders>
            <w:shd w:val="clear" w:color="000000" w:fill="F2F2F2"/>
            <w:noWrap/>
            <w:vAlign w:val="center"/>
            <w:hideMark/>
          </w:tcPr>
          <w:p w14:paraId="6BB81970"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$ 415.711</w:t>
            </w:r>
          </w:p>
        </w:tc>
        <w:tc>
          <w:tcPr>
            <w:tcW w:w="1200" w:type="dxa"/>
            <w:tcBorders>
              <w:top w:val="nil"/>
              <w:left w:val="nil"/>
              <w:bottom w:val="single" w:sz="4" w:space="0" w:color="auto"/>
              <w:right w:val="single" w:sz="4" w:space="0" w:color="auto"/>
            </w:tcBorders>
            <w:shd w:val="clear" w:color="000000" w:fill="F2F2F2"/>
            <w:noWrap/>
            <w:vAlign w:val="center"/>
            <w:hideMark/>
          </w:tcPr>
          <w:p w14:paraId="10B4E157"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$ 17</w:t>
            </w:r>
          </w:p>
        </w:tc>
        <w:tc>
          <w:tcPr>
            <w:tcW w:w="1280" w:type="dxa"/>
            <w:tcBorders>
              <w:top w:val="nil"/>
              <w:left w:val="nil"/>
              <w:bottom w:val="single" w:sz="4" w:space="0" w:color="auto"/>
              <w:right w:val="single" w:sz="4" w:space="0" w:color="auto"/>
            </w:tcBorders>
            <w:shd w:val="clear" w:color="000000" w:fill="F2F2F2"/>
            <w:noWrap/>
            <w:vAlign w:val="center"/>
            <w:hideMark/>
          </w:tcPr>
          <w:p w14:paraId="06357FA1"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$ 415.728</w:t>
            </w:r>
          </w:p>
        </w:tc>
      </w:tr>
      <w:tr w:rsidR="00B07312" w:rsidRPr="006B48D3" w14:paraId="0C1A3D01" w14:textId="77777777" w:rsidTr="00D16BC5">
        <w:trPr>
          <w:trHeight w:val="471"/>
        </w:trPr>
        <w:tc>
          <w:tcPr>
            <w:tcW w:w="407" w:type="dxa"/>
            <w:tcBorders>
              <w:top w:val="nil"/>
              <w:left w:val="single" w:sz="4" w:space="0" w:color="auto"/>
              <w:bottom w:val="single" w:sz="4" w:space="0" w:color="auto"/>
              <w:right w:val="single" w:sz="4" w:space="0" w:color="auto"/>
            </w:tcBorders>
            <w:shd w:val="clear" w:color="000000" w:fill="F2F2F2"/>
            <w:noWrap/>
            <w:vAlign w:val="center"/>
            <w:hideMark/>
          </w:tcPr>
          <w:p w14:paraId="0FF88446" w14:textId="77777777" w:rsidR="00B07312" w:rsidRPr="006B48D3" w:rsidRDefault="00B07312" w:rsidP="00D22441">
            <w:pPr>
              <w:jc w:val="center"/>
              <w:rPr>
                <w:rFonts w:ascii="Arial Narrow" w:hAnsi="Arial Narrow" w:cs="Arial"/>
                <w:spacing w:val="0"/>
                <w:sz w:val="16"/>
                <w:szCs w:val="16"/>
                <w:lang w:eastAsia="es-CO"/>
              </w:rPr>
            </w:pPr>
            <w:r w:rsidRPr="006B48D3">
              <w:rPr>
                <w:rFonts w:ascii="Arial Narrow" w:hAnsi="Arial Narrow" w:cs="Arial"/>
                <w:spacing w:val="0"/>
                <w:sz w:val="16"/>
                <w:szCs w:val="16"/>
                <w:lang w:eastAsia="es-CO"/>
              </w:rPr>
              <w:t>17</w:t>
            </w:r>
          </w:p>
        </w:tc>
        <w:tc>
          <w:tcPr>
            <w:tcW w:w="585" w:type="dxa"/>
            <w:tcBorders>
              <w:top w:val="nil"/>
              <w:left w:val="nil"/>
              <w:bottom w:val="single" w:sz="4" w:space="0" w:color="auto"/>
              <w:right w:val="single" w:sz="4" w:space="0" w:color="auto"/>
            </w:tcBorders>
            <w:shd w:val="clear" w:color="000000" w:fill="F2F2F2"/>
            <w:noWrap/>
            <w:vAlign w:val="center"/>
            <w:hideMark/>
          </w:tcPr>
          <w:p w14:paraId="4BF73504"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22910</w:t>
            </w:r>
          </w:p>
        </w:tc>
        <w:tc>
          <w:tcPr>
            <w:tcW w:w="941" w:type="dxa"/>
            <w:tcBorders>
              <w:top w:val="nil"/>
              <w:left w:val="nil"/>
              <w:bottom w:val="single" w:sz="4" w:space="0" w:color="auto"/>
              <w:right w:val="single" w:sz="4" w:space="0" w:color="auto"/>
            </w:tcBorders>
            <w:shd w:val="clear" w:color="000000" w:fill="F2F2F2"/>
            <w:noWrap/>
            <w:vAlign w:val="center"/>
            <w:hideMark/>
          </w:tcPr>
          <w:p w14:paraId="65B9AE25"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804011800</w:t>
            </w:r>
          </w:p>
        </w:tc>
        <w:tc>
          <w:tcPr>
            <w:tcW w:w="3247" w:type="dxa"/>
            <w:tcBorders>
              <w:top w:val="nil"/>
              <w:left w:val="nil"/>
              <w:bottom w:val="single" w:sz="4" w:space="0" w:color="auto"/>
              <w:right w:val="single" w:sz="4" w:space="0" w:color="auto"/>
            </w:tcBorders>
            <w:shd w:val="clear" w:color="000000" w:fill="F2F2F2"/>
            <w:vAlign w:val="center"/>
            <w:hideMark/>
          </w:tcPr>
          <w:p w14:paraId="1F5ABD86" w14:textId="77777777" w:rsidR="00B07312" w:rsidRPr="006B48D3" w:rsidRDefault="00B07312" w:rsidP="00D22441">
            <w:pPr>
              <w:jc w:val="left"/>
              <w:rPr>
                <w:rFonts w:ascii="Arial Narrow" w:hAnsi="Arial Narrow" w:cs="Arial"/>
                <w:spacing w:val="0"/>
                <w:sz w:val="16"/>
                <w:szCs w:val="16"/>
                <w:lang w:eastAsia="es-CO"/>
              </w:rPr>
            </w:pPr>
            <w:r w:rsidRPr="006B48D3">
              <w:rPr>
                <w:rFonts w:ascii="Arial Narrow" w:hAnsi="Arial Narrow" w:cs="Arial"/>
                <w:spacing w:val="0"/>
                <w:sz w:val="16"/>
                <w:szCs w:val="16"/>
                <w:lang w:eastAsia="es-CO"/>
              </w:rPr>
              <w:t>INGENIERÍA Y SERVICIOS SOCIEDAD ANÓNIMA EMPRESA DE SERVICIOS PÚBLICOS</w:t>
            </w:r>
          </w:p>
        </w:tc>
        <w:tc>
          <w:tcPr>
            <w:tcW w:w="1620" w:type="dxa"/>
            <w:tcBorders>
              <w:top w:val="nil"/>
              <w:left w:val="nil"/>
              <w:bottom w:val="single" w:sz="4" w:space="0" w:color="auto"/>
              <w:right w:val="single" w:sz="4" w:space="0" w:color="auto"/>
            </w:tcBorders>
            <w:shd w:val="clear" w:color="000000" w:fill="F2F2F2"/>
            <w:noWrap/>
            <w:vAlign w:val="center"/>
            <w:hideMark/>
          </w:tcPr>
          <w:p w14:paraId="77258FB9"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$ 1.072.893.000</w:t>
            </w:r>
          </w:p>
        </w:tc>
        <w:tc>
          <w:tcPr>
            <w:tcW w:w="1520" w:type="dxa"/>
            <w:tcBorders>
              <w:top w:val="nil"/>
              <w:left w:val="nil"/>
              <w:bottom w:val="single" w:sz="4" w:space="0" w:color="auto"/>
              <w:right w:val="single" w:sz="4" w:space="0" w:color="auto"/>
            </w:tcBorders>
            <w:shd w:val="clear" w:color="000000" w:fill="F2F2F2"/>
            <w:noWrap/>
            <w:vAlign w:val="center"/>
            <w:hideMark/>
          </w:tcPr>
          <w:p w14:paraId="7707A86F"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$ 76.898.377</w:t>
            </w:r>
          </w:p>
        </w:tc>
        <w:tc>
          <w:tcPr>
            <w:tcW w:w="1460" w:type="dxa"/>
            <w:tcBorders>
              <w:top w:val="nil"/>
              <w:left w:val="nil"/>
              <w:bottom w:val="single" w:sz="4" w:space="0" w:color="auto"/>
              <w:right w:val="single" w:sz="4" w:space="0" w:color="auto"/>
            </w:tcBorders>
            <w:shd w:val="clear" w:color="000000" w:fill="F2F2F2"/>
            <w:noWrap/>
            <w:vAlign w:val="center"/>
            <w:hideMark/>
          </w:tcPr>
          <w:p w14:paraId="7BD5B0D1"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$ 1.149.791.377</w:t>
            </w:r>
          </w:p>
        </w:tc>
        <w:tc>
          <w:tcPr>
            <w:tcW w:w="1280" w:type="dxa"/>
            <w:tcBorders>
              <w:top w:val="nil"/>
              <w:left w:val="nil"/>
              <w:bottom w:val="single" w:sz="4" w:space="0" w:color="auto"/>
              <w:right w:val="single" w:sz="4" w:space="0" w:color="auto"/>
            </w:tcBorders>
            <w:shd w:val="clear" w:color="000000" w:fill="F2F2F2"/>
            <w:noWrap/>
            <w:vAlign w:val="center"/>
            <w:hideMark/>
          </w:tcPr>
          <w:p w14:paraId="4FED43ED"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$ 11.497.914</w:t>
            </w:r>
          </w:p>
        </w:tc>
        <w:tc>
          <w:tcPr>
            <w:tcW w:w="1200" w:type="dxa"/>
            <w:tcBorders>
              <w:top w:val="nil"/>
              <w:left w:val="nil"/>
              <w:bottom w:val="single" w:sz="4" w:space="0" w:color="auto"/>
              <w:right w:val="single" w:sz="4" w:space="0" w:color="auto"/>
            </w:tcBorders>
            <w:shd w:val="clear" w:color="000000" w:fill="F2F2F2"/>
            <w:noWrap/>
            <w:vAlign w:val="center"/>
            <w:hideMark/>
          </w:tcPr>
          <w:p w14:paraId="5C53BAA1"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$ 479</w:t>
            </w:r>
          </w:p>
        </w:tc>
        <w:tc>
          <w:tcPr>
            <w:tcW w:w="1280" w:type="dxa"/>
            <w:tcBorders>
              <w:top w:val="nil"/>
              <w:left w:val="nil"/>
              <w:bottom w:val="single" w:sz="4" w:space="0" w:color="auto"/>
              <w:right w:val="single" w:sz="4" w:space="0" w:color="auto"/>
            </w:tcBorders>
            <w:shd w:val="clear" w:color="000000" w:fill="F2F2F2"/>
            <w:noWrap/>
            <w:vAlign w:val="center"/>
            <w:hideMark/>
          </w:tcPr>
          <w:p w14:paraId="132BA309"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$ 11.498.392</w:t>
            </w:r>
          </w:p>
        </w:tc>
      </w:tr>
      <w:tr w:rsidR="00B07312" w:rsidRPr="006B48D3" w14:paraId="239B9BC6" w14:textId="77777777" w:rsidTr="006B48D3">
        <w:trPr>
          <w:trHeight w:val="450"/>
        </w:trPr>
        <w:tc>
          <w:tcPr>
            <w:tcW w:w="407" w:type="dxa"/>
            <w:tcBorders>
              <w:top w:val="nil"/>
              <w:left w:val="single" w:sz="4" w:space="0" w:color="auto"/>
              <w:bottom w:val="single" w:sz="4" w:space="0" w:color="auto"/>
              <w:right w:val="single" w:sz="4" w:space="0" w:color="auto"/>
            </w:tcBorders>
            <w:shd w:val="clear" w:color="000000" w:fill="F2F2F2"/>
            <w:noWrap/>
            <w:vAlign w:val="center"/>
            <w:hideMark/>
          </w:tcPr>
          <w:p w14:paraId="65A313B2" w14:textId="77777777" w:rsidR="00B07312" w:rsidRPr="006B48D3" w:rsidRDefault="00B07312" w:rsidP="00D22441">
            <w:pPr>
              <w:jc w:val="center"/>
              <w:rPr>
                <w:rFonts w:ascii="Arial Narrow" w:hAnsi="Arial Narrow" w:cs="Arial"/>
                <w:spacing w:val="0"/>
                <w:sz w:val="16"/>
                <w:szCs w:val="16"/>
                <w:lang w:eastAsia="es-CO"/>
              </w:rPr>
            </w:pPr>
            <w:r w:rsidRPr="006B48D3">
              <w:rPr>
                <w:rFonts w:ascii="Arial Narrow" w:hAnsi="Arial Narrow" w:cs="Arial"/>
                <w:spacing w:val="0"/>
                <w:sz w:val="16"/>
                <w:szCs w:val="16"/>
                <w:lang w:eastAsia="es-CO"/>
              </w:rPr>
              <w:t>18</w:t>
            </w:r>
          </w:p>
        </w:tc>
        <w:tc>
          <w:tcPr>
            <w:tcW w:w="585" w:type="dxa"/>
            <w:tcBorders>
              <w:top w:val="nil"/>
              <w:left w:val="nil"/>
              <w:bottom w:val="single" w:sz="4" w:space="0" w:color="auto"/>
              <w:right w:val="single" w:sz="4" w:space="0" w:color="auto"/>
            </w:tcBorders>
            <w:shd w:val="clear" w:color="000000" w:fill="F2F2F2"/>
            <w:noWrap/>
            <w:vAlign w:val="center"/>
            <w:hideMark/>
          </w:tcPr>
          <w:p w14:paraId="3C3786AE"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3227</w:t>
            </w:r>
          </w:p>
        </w:tc>
        <w:tc>
          <w:tcPr>
            <w:tcW w:w="941" w:type="dxa"/>
            <w:tcBorders>
              <w:top w:val="nil"/>
              <w:left w:val="nil"/>
              <w:bottom w:val="single" w:sz="4" w:space="0" w:color="auto"/>
              <w:right w:val="single" w:sz="4" w:space="0" w:color="auto"/>
            </w:tcBorders>
            <w:shd w:val="clear" w:color="000000" w:fill="F2F2F2"/>
            <w:noWrap/>
            <w:vAlign w:val="center"/>
            <w:hideMark/>
          </w:tcPr>
          <w:p w14:paraId="39369415"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804013578</w:t>
            </w:r>
          </w:p>
        </w:tc>
        <w:tc>
          <w:tcPr>
            <w:tcW w:w="3247" w:type="dxa"/>
            <w:tcBorders>
              <w:top w:val="nil"/>
              <w:left w:val="nil"/>
              <w:bottom w:val="single" w:sz="4" w:space="0" w:color="auto"/>
              <w:right w:val="single" w:sz="4" w:space="0" w:color="auto"/>
            </w:tcBorders>
            <w:shd w:val="clear" w:color="000000" w:fill="F2F2F2"/>
            <w:vAlign w:val="center"/>
            <w:hideMark/>
          </w:tcPr>
          <w:p w14:paraId="7DDBBF6B" w14:textId="77777777" w:rsidR="00B07312" w:rsidRPr="006B48D3" w:rsidRDefault="00B07312" w:rsidP="00D22441">
            <w:pPr>
              <w:jc w:val="left"/>
              <w:rPr>
                <w:rFonts w:ascii="Arial Narrow" w:hAnsi="Arial Narrow" w:cs="Arial"/>
                <w:spacing w:val="0"/>
                <w:sz w:val="16"/>
                <w:szCs w:val="16"/>
                <w:lang w:eastAsia="es-CO"/>
              </w:rPr>
            </w:pPr>
            <w:r w:rsidRPr="006B48D3">
              <w:rPr>
                <w:rFonts w:ascii="Arial Narrow" w:hAnsi="Arial Narrow" w:cs="Arial"/>
                <w:spacing w:val="0"/>
                <w:sz w:val="16"/>
                <w:szCs w:val="16"/>
                <w:lang w:eastAsia="es-CO"/>
              </w:rPr>
              <w:t>PROMOTORA DE SERVICIOS PÚBLICOS S.A. E.S.P.</w:t>
            </w:r>
          </w:p>
        </w:tc>
        <w:tc>
          <w:tcPr>
            <w:tcW w:w="1620" w:type="dxa"/>
            <w:tcBorders>
              <w:top w:val="nil"/>
              <w:left w:val="nil"/>
              <w:bottom w:val="single" w:sz="4" w:space="0" w:color="auto"/>
              <w:right w:val="single" w:sz="4" w:space="0" w:color="auto"/>
            </w:tcBorders>
            <w:shd w:val="clear" w:color="000000" w:fill="F2F2F2"/>
            <w:noWrap/>
            <w:vAlign w:val="center"/>
            <w:hideMark/>
          </w:tcPr>
          <w:p w14:paraId="724B6B3F"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$ 1.792.964.000</w:t>
            </w:r>
          </w:p>
        </w:tc>
        <w:tc>
          <w:tcPr>
            <w:tcW w:w="1520" w:type="dxa"/>
            <w:tcBorders>
              <w:top w:val="nil"/>
              <w:left w:val="nil"/>
              <w:bottom w:val="single" w:sz="4" w:space="0" w:color="auto"/>
              <w:right w:val="single" w:sz="4" w:space="0" w:color="auto"/>
            </w:tcBorders>
            <w:shd w:val="clear" w:color="000000" w:fill="F2F2F2"/>
            <w:noWrap/>
            <w:vAlign w:val="center"/>
            <w:hideMark/>
          </w:tcPr>
          <w:p w14:paraId="525E47FF"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$ 139.773.724</w:t>
            </w:r>
          </w:p>
        </w:tc>
        <w:tc>
          <w:tcPr>
            <w:tcW w:w="1460" w:type="dxa"/>
            <w:tcBorders>
              <w:top w:val="nil"/>
              <w:left w:val="nil"/>
              <w:bottom w:val="single" w:sz="4" w:space="0" w:color="auto"/>
              <w:right w:val="single" w:sz="4" w:space="0" w:color="auto"/>
            </w:tcBorders>
            <w:shd w:val="clear" w:color="000000" w:fill="F2F2F2"/>
            <w:noWrap/>
            <w:vAlign w:val="center"/>
            <w:hideMark/>
          </w:tcPr>
          <w:p w14:paraId="05FCE213"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$ 1.932.737.724</w:t>
            </w:r>
          </w:p>
        </w:tc>
        <w:tc>
          <w:tcPr>
            <w:tcW w:w="1280" w:type="dxa"/>
            <w:tcBorders>
              <w:top w:val="nil"/>
              <w:left w:val="nil"/>
              <w:bottom w:val="single" w:sz="4" w:space="0" w:color="auto"/>
              <w:right w:val="single" w:sz="4" w:space="0" w:color="auto"/>
            </w:tcBorders>
            <w:shd w:val="clear" w:color="000000" w:fill="F2F2F2"/>
            <w:noWrap/>
            <w:vAlign w:val="center"/>
            <w:hideMark/>
          </w:tcPr>
          <w:p w14:paraId="51799D9C"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$ 19.327.377</w:t>
            </w:r>
          </w:p>
        </w:tc>
        <w:tc>
          <w:tcPr>
            <w:tcW w:w="1200" w:type="dxa"/>
            <w:tcBorders>
              <w:top w:val="nil"/>
              <w:left w:val="nil"/>
              <w:bottom w:val="single" w:sz="4" w:space="0" w:color="auto"/>
              <w:right w:val="single" w:sz="4" w:space="0" w:color="auto"/>
            </w:tcBorders>
            <w:shd w:val="clear" w:color="000000" w:fill="F2F2F2"/>
            <w:noWrap/>
            <w:vAlign w:val="center"/>
            <w:hideMark/>
          </w:tcPr>
          <w:p w14:paraId="41A0580B"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$ 804</w:t>
            </w:r>
          </w:p>
        </w:tc>
        <w:tc>
          <w:tcPr>
            <w:tcW w:w="1280" w:type="dxa"/>
            <w:tcBorders>
              <w:top w:val="nil"/>
              <w:left w:val="nil"/>
              <w:bottom w:val="single" w:sz="4" w:space="0" w:color="auto"/>
              <w:right w:val="single" w:sz="4" w:space="0" w:color="auto"/>
            </w:tcBorders>
            <w:shd w:val="clear" w:color="000000" w:fill="F2F2F2"/>
            <w:noWrap/>
            <w:vAlign w:val="center"/>
            <w:hideMark/>
          </w:tcPr>
          <w:p w14:paraId="3F5E66D4"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$ 19.328.182</w:t>
            </w:r>
          </w:p>
        </w:tc>
      </w:tr>
      <w:tr w:rsidR="00B07312" w:rsidRPr="006B48D3" w14:paraId="786CF6CC" w14:textId="77777777" w:rsidTr="006B48D3">
        <w:trPr>
          <w:trHeight w:val="275"/>
        </w:trPr>
        <w:tc>
          <w:tcPr>
            <w:tcW w:w="407" w:type="dxa"/>
            <w:tcBorders>
              <w:top w:val="nil"/>
              <w:left w:val="single" w:sz="4" w:space="0" w:color="auto"/>
              <w:bottom w:val="single" w:sz="4" w:space="0" w:color="auto"/>
              <w:right w:val="single" w:sz="4" w:space="0" w:color="auto"/>
            </w:tcBorders>
            <w:shd w:val="clear" w:color="000000" w:fill="F2F2F2"/>
            <w:noWrap/>
            <w:vAlign w:val="center"/>
            <w:hideMark/>
          </w:tcPr>
          <w:p w14:paraId="23B3BCB8" w14:textId="77777777" w:rsidR="00B07312" w:rsidRPr="006B48D3" w:rsidRDefault="00B07312" w:rsidP="00D22441">
            <w:pPr>
              <w:jc w:val="center"/>
              <w:rPr>
                <w:rFonts w:ascii="Arial Narrow" w:hAnsi="Arial Narrow" w:cs="Arial"/>
                <w:spacing w:val="0"/>
                <w:sz w:val="16"/>
                <w:szCs w:val="16"/>
                <w:lang w:eastAsia="es-CO"/>
              </w:rPr>
            </w:pPr>
            <w:r w:rsidRPr="006B48D3">
              <w:rPr>
                <w:rFonts w:ascii="Arial Narrow" w:hAnsi="Arial Narrow" w:cs="Arial"/>
                <w:spacing w:val="0"/>
                <w:sz w:val="16"/>
                <w:szCs w:val="16"/>
                <w:lang w:eastAsia="es-CO"/>
              </w:rPr>
              <w:t>19</w:t>
            </w:r>
          </w:p>
        </w:tc>
        <w:tc>
          <w:tcPr>
            <w:tcW w:w="585" w:type="dxa"/>
            <w:tcBorders>
              <w:top w:val="nil"/>
              <w:left w:val="nil"/>
              <w:bottom w:val="single" w:sz="4" w:space="0" w:color="auto"/>
              <w:right w:val="single" w:sz="4" w:space="0" w:color="auto"/>
            </w:tcBorders>
            <w:shd w:val="clear" w:color="000000" w:fill="F2F2F2"/>
            <w:noWrap/>
            <w:vAlign w:val="center"/>
            <w:hideMark/>
          </w:tcPr>
          <w:p w14:paraId="415BA4C1"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3325</w:t>
            </w:r>
          </w:p>
        </w:tc>
        <w:tc>
          <w:tcPr>
            <w:tcW w:w="941" w:type="dxa"/>
            <w:tcBorders>
              <w:top w:val="nil"/>
              <w:left w:val="nil"/>
              <w:bottom w:val="single" w:sz="4" w:space="0" w:color="auto"/>
              <w:right w:val="single" w:sz="4" w:space="0" w:color="auto"/>
            </w:tcBorders>
            <w:shd w:val="clear" w:color="000000" w:fill="F2F2F2"/>
            <w:noWrap/>
            <w:vAlign w:val="center"/>
            <w:hideMark/>
          </w:tcPr>
          <w:p w14:paraId="73CC45A5"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804014818</w:t>
            </w:r>
          </w:p>
        </w:tc>
        <w:tc>
          <w:tcPr>
            <w:tcW w:w="3247" w:type="dxa"/>
            <w:tcBorders>
              <w:top w:val="nil"/>
              <w:left w:val="nil"/>
              <w:bottom w:val="single" w:sz="4" w:space="0" w:color="auto"/>
              <w:right w:val="single" w:sz="4" w:space="0" w:color="auto"/>
            </w:tcBorders>
            <w:shd w:val="clear" w:color="000000" w:fill="F2F2F2"/>
            <w:vAlign w:val="center"/>
            <w:hideMark/>
          </w:tcPr>
          <w:p w14:paraId="7E98BA5B" w14:textId="77777777" w:rsidR="00B07312" w:rsidRPr="006B48D3" w:rsidRDefault="00B07312" w:rsidP="00D22441">
            <w:pPr>
              <w:jc w:val="left"/>
              <w:rPr>
                <w:rFonts w:ascii="Arial Narrow" w:hAnsi="Arial Narrow" w:cs="Arial"/>
                <w:spacing w:val="0"/>
                <w:sz w:val="16"/>
                <w:szCs w:val="16"/>
                <w:lang w:eastAsia="es-CO"/>
              </w:rPr>
            </w:pPr>
            <w:r w:rsidRPr="006B48D3">
              <w:rPr>
                <w:rFonts w:ascii="Arial Narrow" w:hAnsi="Arial Narrow" w:cs="Arial"/>
                <w:spacing w:val="0"/>
                <w:sz w:val="16"/>
                <w:szCs w:val="16"/>
                <w:lang w:eastAsia="es-CO"/>
              </w:rPr>
              <w:t>PROMESA S.A. ESP</w:t>
            </w:r>
          </w:p>
        </w:tc>
        <w:tc>
          <w:tcPr>
            <w:tcW w:w="1620" w:type="dxa"/>
            <w:tcBorders>
              <w:top w:val="nil"/>
              <w:left w:val="nil"/>
              <w:bottom w:val="single" w:sz="4" w:space="0" w:color="auto"/>
              <w:right w:val="single" w:sz="4" w:space="0" w:color="auto"/>
            </w:tcBorders>
            <w:shd w:val="clear" w:color="000000" w:fill="F2F2F2"/>
            <w:noWrap/>
            <w:vAlign w:val="center"/>
            <w:hideMark/>
          </w:tcPr>
          <w:p w14:paraId="44323928"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$ 367.014.018</w:t>
            </w:r>
          </w:p>
        </w:tc>
        <w:tc>
          <w:tcPr>
            <w:tcW w:w="1520" w:type="dxa"/>
            <w:tcBorders>
              <w:top w:val="nil"/>
              <w:left w:val="nil"/>
              <w:bottom w:val="single" w:sz="4" w:space="0" w:color="auto"/>
              <w:right w:val="single" w:sz="4" w:space="0" w:color="auto"/>
            </w:tcBorders>
            <w:shd w:val="clear" w:color="000000" w:fill="F2F2F2"/>
            <w:noWrap/>
            <w:vAlign w:val="center"/>
            <w:hideMark/>
          </w:tcPr>
          <w:p w14:paraId="55C7965C"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$ 5.703.496</w:t>
            </w:r>
          </w:p>
        </w:tc>
        <w:tc>
          <w:tcPr>
            <w:tcW w:w="1460" w:type="dxa"/>
            <w:tcBorders>
              <w:top w:val="nil"/>
              <w:left w:val="nil"/>
              <w:bottom w:val="single" w:sz="4" w:space="0" w:color="auto"/>
              <w:right w:val="single" w:sz="4" w:space="0" w:color="auto"/>
            </w:tcBorders>
            <w:shd w:val="clear" w:color="000000" w:fill="F2F2F2"/>
            <w:noWrap/>
            <w:vAlign w:val="center"/>
            <w:hideMark/>
          </w:tcPr>
          <w:p w14:paraId="64E037AA"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$ 372.717.514</w:t>
            </w:r>
          </w:p>
        </w:tc>
        <w:tc>
          <w:tcPr>
            <w:tcW w:w="1280" w:type="dxa"/>
            <w:tcBorders>
              <w:top w:val="nil"/>
              <w:left w:val="nil"/>
              <w:bottom w:val="single" w:sz="4" w:space="0" w:color="auto"/>
              <w:right w:val="single" w:sz="4" w:space="0" w:color="auto"/>
            </w:tcBorders>
            <w:shd w:val="clear" w:color="000000" w:fill="F2F2F2"/>
            <w:noWrap/>
            <w:vAlign w:val="center"/>
            <w:hideMark/>
          </w:tcPr>
          <w:p w14:paraId="08C45259"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$ 3.727.175</w:t>
            </w:r>
          </w:p>
        </w:tc>
        <w:tc>
          <w:tcPr>
            <w:tcW w:w="1200" w:type="dxa"/>
            <w:tcBorders>
              <w:top w:val="nil"/>
              <w:left w:val="nil"/>
              <w:bottom w:val="single" w:sz="4" w:space="0" w:color="auto"/>
              <w:right w:val="single" w:sz="4" w:space="0" w:color="auto"/>
            </w:tcBorders>
            <w:shd w:val="clear" w:color="000000" w:fill="F2F2F2"/>
            <w:noWrap/>
            <w:vAlign w:val="center"/>
            <w:hideMark/>
          </w:tcPr>
          <w:p w14:paraId="6E97CEC9"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$ 155</w:t>
            </w:r>
          </w:p>
        </w:tc>
        <w:tc>
          <w:tcPr>
            <w:tcW w:w="1280" w:type="dxa"/>
            <w:tcBorders>
              <w:top w:val="nil"/>
              <w:left w:val="nil"/>
              <w:bottom w:val="single" w:sz="4" w:space="0" w:color="auto"/>
              <w:right w:val="single" w:sz="4" w:space="0" w:color="auto"/>
            </w:tcBorders>
            <w:shd w:val="clear" w:color="000000" w:fill="F2F2F2"/>
            <w:noWrap/>
            <w:vAlign w:val="center"/>
            <w:hideMark/>
          </w:tcPr>
          <w:p w14:paraId="50E4E689"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$ 3.727.330</w:t>
            </w:r>
          </w:p>
        </w:tc>
      </w:tr>
      <w:tr w:rsidR="00B07312" w:rsidRPr="006B48D3" w14:paraId="5E6A8E8C" w14:textId="77777777" w:rsidTr="006B48D3">
        <w:trPr>
          <w:trHeight w:val="278"/>
        </w:trPr>
        <w:tc>
          <w:tcPr>
            <w:tcW w:w="407" w:type="dxa"/>
            <w:tcBorders>
              <w:top w:val="nil"/>
              <w:left w:val="single" w:sz="4" w:space="0" w:color="auto"/>
              <w:bottom w:val="single" w:sz="4" w:space="0" w:color="auto"/>
              <w:right w:val="single" w:sz="4" w:space="0" w:color="auto"/>
            </w:tcBorders>
            <w:shd w:val="clear" w:color="000000" w:fill="F2F2F2"/>
            <w:noWrap/>
            <w:vAlign w:val="center"/>
            <w:hideMark/>
          </w:tcPr>
          <w:p w14:paraId="0744F8EF" w14:textId="77777777" w:rsidR="00B07312" w:rsidRPr="006B48D3" w:rsidRDefault="00B07312" w:rsidP="00D22441">
            <w:pPr>
              <w:jc w:val="center"/>
              <w:rPr>
                <w:rFonts w:ascii="Arial Narrow" w:hAnsi="Arial Narrow" w:cs="Arial"/>
                <w:spacing w:val="0"/>
                <w:sz w:val="16"/>
                <w:szCs w:val="16"/>
                <w:lang w:eastAsia="es-CO"/>
              </w:rPr>
            </w:pPr>
            <w:r w:rsidRPr="006B48D3">
              <w:rPr>
                <w:rFonts w:ascii="Arial Narrow" w:hAnsi="Arial Narrow" w:cs="Arial"/>
                <w:spacing w:val="0"/>
                <w:sz w:val="16"/>
                <w:szCs w:val="16"/>
                <w:lang w:eastAsia="es-CO"/>
              </w:rPr>
              <w:t>20</w:t>
            </w:r>
          </w:p>
        </w:tc>
        <w:tc>
          <w:tcPr>
            <w:tcW w:w="585" w:type="dxa"/>
            <w:tcBorders>
              <w:top w:val="nil"/>
              <w:left w:val="nil"/>
              <w:bottom w:val="single" w:sz="4" w:space="0" w:color="auto"/>
              <w:right w:val="single" w:sz="4" w:space="0" w:color="auto"/>
            </w:tcBorders>
            <w:shd w:val="clear" w:color="000000" w:fill="F2F2F2"/>
            <w:noWrap/>
            <w:vAlign w:val="center"/>
            <w:hideMark/>
          </w:tcPr>
          <w:p w14:paraId="7C0E9002"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3326</w:t>
            </w:r>
          </w:p>
        </w:tc>
        <w:tc>
          <w:tcPr>
            <w:tcW w:w="941" w:type="dxa"/>
            <w:tcBorders>
              <w:top w:val="nil"/>
              <w:left w:val="nil"/>
              <w:bottom w:val="single" w:sz="4" w:space="0" w:color="auto"/>
              <w:right w:val="single" w:sz="4" w:space="0" w:color="auto"/>
            </w:tcBorders>
            <w:shd w:val="clear" w:color="000000" w:fill="F2F2F2"/>
            <w:noWrap/>
            <w:vAlign w:val="center"/>
            <w:hideMark/>
          </w:tcPr>
          <w:p w14:paraId="55B79CDA"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804014885</w:t>
            </w:r>
          </w:p>
        </w:tc>
        <w:tc>
          <w:tcPr>
            <w:tcW w:w="3247" w:type="dxa"/>
            <w:tcBorders>
              <w:top w:val="nil"/>
              <w:left w:val="nil"/>
              <w:bottom w:val="single" w:sz="4" w:space="0" w:color="auto"/>
              <w:right w:val="single" w:sz="4" w:space="0" w:color="auto"/>
            </w:tcBorders>
            <w:shd w:val="clear" w:color="000000" w:fill="F2F2F2"/>
            <w:vAlign w:val="center"/>
            <w:hideMark/>
          </w:tcPr>
          <w:p w14:paraId="0009486B" w14:textId="77777777" w:rsidR="00B07312" w:rsidRPr="006B48D3" w:rsidRDefault="00B07312" w:rsidP="00D22441">
            <w:pPr>
              <w:jc w:val="left"/>
              <w:rPr>
                <w:rFonts w:ascii="Arial Narrow" w:hAnsi="Arial Narrow" w:cs="Arial"/>
                <w:spacing w:val="0"/>
                <w:sz w:val="16"/>
                <w:szCs w:val="16"/>
                <w:lang w:eastAsia="es-CO"/>
              </w:rPr>
            </w:pPr>
            <w:r w:rsidRPr="006B48D3">
              <w:rPr>
                <w:rFonts w:ascii="Arial Narrow" w:hAnsi="Arial Narrow" w:cs="Arial"/>
                <w:spacing w:val="0"/>
                <w:sz w:val="16"/>
                <w:szCs w:val="16"/>
                <w:lang w:eastAsia="es-CO"/>
              </w:rPr>
              <w:t>ESPIGAS S.A. E.S.P.</w:t>
            </w:r>
          </w:p>
        </w:tc>
        <w:tc>
          <w:tcPr>
            <w:tcW w:w="1620" w:type="dxa"/>
            <w:tcBorders>
              <w:top w:val="nil"/>
              <w:left w:val="nil"/>
              <w:bottom w:val="single" w:sz="4" w:space="0" w:color="auto"/>
              <w:right w:val="single" w:sz="4" w:space="0" w:color="auto"/>
            </w:tcBorders>
            <w:shd w:val="clear" w:color="000000" w:fill="F2F2F2"/>
            <w:noWrap/>
            <w:vAlign w:val="center"/>
            <w:hideMark/>
          </w:tcPr>
          <w:p w14:paraId="7F2BCF97"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$ 162.533.000</w:t>
            </w:r>
          </w:p>
        </w:tc>
        <w:tc>
          <w:tcPr>
            <w:tcW w:w="1520" w:type="dxa"/>
            <w:tcBorders>
              <w:top w:val="nil"/>
              <w:left w:val="nil"/>
              <w:bottom w:val="single" w:sz="4" w:space="0" w:color="auto"/>
              <w:right w:val="single" w:sz="4" w:space="0" w:color="auto"/>
            </w:tcBorders>
            <w:shd w:val="clear" w:color="000000" w:fill="F2F2F2"/>
            <w:noWrap/>
            <w:vAlign w:val="center"/>
            <w:hideMark/>
          </w:tcPr>
          <w:p w14:paraId="4EC7BFD4"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$ 2.672.124</w:t>
            </w:r>
          </w:p>
        </w:tc>
        <w:tc>
          <w:tcPr>
            <w:tcW w:w="1460" w:type="dxa"/>
            <w:tcBorders>
              <w:top w:val="nil"/>
              <w:left w:val="nil"/>
              <w:bottom w:val="single" w:sz="4" w:space="0" w:color="auto"/>
              <w:right w:val="single" w:sz="4" w:space="0" w:color="auto"/>
            </w:tcBorders>
            <w:shd w:val="clear" w:color="000000" w:fill="F2F2F2"/>
            <w:noWrap/>
            <w:vAlign w:val="center"/>
            <w:hideMark/>
          </w:tcPr>
          <w:p w14:paraId="601705C0"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$ 165.205.124</w:t>
            </w:r>
          </w:p>
        </w:tc>
        <w:tc>
          <w:tcPr>
            <w:tcW w:w="1280" w:type="dxa"/>
            <w:tcBorders>
              <w:top w:val="nil"/>
              <w:left w:val="nil"/>
              <w:bottom w:val="single" w:sz="4" w:space="0" w:color="auto"/>
              <w:right w:val="single" w:sz="4" w:space="0" w:color="auto"/>
            </w:tcBorders>
            <w:shd w:val="clear" w:color="000000" w:fill="F2F2F2"/>
            <w:noWrap/>
            <w:vAlign w:val="center"/>
            <w:hideMark/>
          </w:tcPr>
          <w:p w14:paraId="6E447981"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$ 1.652.051</w:t>
            </w:r>
          </w:p>
        </w:tc>
        <w:tc>
          <w:tcPr>
            <w:tcW w:w="1200" w:type="dxa"/>
            <w:tcBorders>
              <w:top w:val="nil"/>
              <w:left w:val="nil"/>
              <w:bottom w:val="single" w:sz="4" w:space="0" w:color="auto"/>
              <w:right w:val="single" w:sz="4" w:space="0" w:color="auto"/>
            </w:tcBorders>
            <w:shd w:val="clear" w:color="000000" w:fill="F2F2F2"/>
            <w:noWrap/>
            <w:vAlign w:val="center"/>
            <w:hideMark/>
          </w:tcPr>
          <w:p w14:paraId="53F63323"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$ 69</w:t>
            </w:r>
          </w:p>
        </w:tc>
        <w:tc>
          <w:tcPr>
            <w:tcW w:w="1280" w:type="dxa"/>
            <w:tcBorders>
              <w:top w:val="nil"/>
              <w:left w:val="nil"/>
              <w:bottom w:val="single" w:sz="4" w:space="0" w:color="auto"/>
              <w:right w:val="single" w:sz="4" w:space="0" w:color="auto"/>
            </w:tcBorders>
            <w:shd w:val="clear" w:color="000000" w:fill="F2F2F2"/>
            <w:noWrap/>
            <w:vAlign w:val="center"/>
            <w:hideMark/>
          </w:tcPr>
          <w:p w14:paraId="2714A780"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$ 1.652.120</w:t>
            </w:r>
          </w:p>
        </w:tc>
      </w:tr>
      <w:tr w:rsidR="00B07312" w:rsidRPr="006B48D3" w14:paraId="248BED18" w14:textId="77777777" w:rsidTr="006B48D3">
        <w:trPr>
          <w:trHeight w:val="347"/>
        </w:trPr>
        <w:tc>
          <w:tcPr>
            <w:tcW w:w="407" w:type="dxa"/>
            <w:tcBorders>
              <w:top w:val="nil"/>
              <w:left w:val="single" w:sz="4" w:space="0" w:color="auto"/>
              <w:bottom w:val="single" w:sz="4" w:space="0" w:color="auto"/>
              <w:right w:val="single" w:sz="4" w:space="0" w:color="auto"/>
            </w:tcBorders>
            <w:shd w:val="clear" w:color="000000" w:fill="F2F2F2"/>
            <w:noWrap/>
            <w:vAlign w:val="center"/>
            <w:hideMark/>
          </w:tcPr>
          <w:p w14:paraId="38EB81C7" w14:textId="77777777" w:rsidR="00B07312" w:rsidRPr="006B48D3" w:rsidRDefault="00B07312" w:rsidP="00D22441">
            <w:pPr>
              <w:jc w:val="center"/>
              <w:rPr>
                <w:rFonts w:ascii="Arial Narrow" w:hAnsi="Arial Narrow" w:cs="Arial"/>
                <w:spacing w:val="0"/>
                <w:sz w:val="16"/>
                <w:szCs w:val="16"/>
                <w:lang w:eastAsia="es-CO"/>
              </w:rPr>
            </w:pPr>
            <w:r w:rsidRPr="006B48D3">
              <w:rPr>
                <w:rFonts w:ascii="Arial Narrow" w:hAnsi="Arial Narrow" w:cs="Arial"/>
                <w:spacing w:val="0"/>
                <w:sz w:val="16"/>
                <w:szCs w:val="16"/>
                <w:lang w:eastAsia="es-CO"/>
              </w:rPr>
              <w:t>21</w:t>
            </w:r>
          </w:p>
        </w:tc>
        <w:tc>
          <w:tcPr>
            <w:tcW w:w="585" w:type="dxa"/>
            <w:tcBorders>
              <w:top w:val="nil"/>
              <w:left w:val="nil"/>
              <w:bottom w:val="single" w:sz="4" w:space="0" w:color="auto"/>
              <w:right w:val="single" w:sz="4" w:space="0" w:color="auto"/>
            </w:tcBorders>
            <w:shd w:val="clear" w:color="000000" w:fill="F2F2F2"/>
            <w:noWrap/>
            <w:vAlign w:val="center"/>
            <w:hideMark/>
          </w:tcPr>
          <w:p w14:paraId="3DDE7EDE"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1855</w:t>
            </w:r>
          </w:p>
        </w:tc>
        <w:tc>
          <w:tcPr>
            <w:tcW w:w="941" w:type="dxa"/>
            <w:tcBorders>
              <w:top w:val="nil"/>
              <w:left w:val="nil"/>
              <w:bottom w:val="single" w:sz="4" w:space="0" w:color="auto"/>
              <w:right w:val="single" w:sz="4" w:space="0" w:color="auto"/>
            </w:tcBorders>
            <w:shd w:val="clear" w:color="000000" w:fill="F2F2F2"/>
            <w:noWrap/>
            <w:vAlign w:val="center"/>
            <w:hideMark/>
          </w:tcPr>
          <w:p w14:paraId="1BB5E0BE"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805003583</w:t>
            </w:r>
          </w:p>
        </w:tc>
        <w:tc>
          <w:tcPr>
            <w:tcW w:w="3247" w:type="dxa"/>
            <w:tcBorders>
              <w:top w:val="nil"/>
              <w:left w:val="nil"/>
              <w:bottom w:val="single" w:sz="4" w:space="0" w:color="auto"/>
              <w:right w:val="single" w:sz="4" w:space="0" w:color="auto"/>
            </w:tcBorders>
            <w:shd w:val="clear" w:color="000000" w:fill="F2F2F2"/>
            <w:vAlign w:val="center"/>
            <w:hideMark/>
          </w:tcPr>
          <w:p w14:paraId="2B7BA78D" w14:textId="77777777" w:rsidR="00B07312" w:rsidRPr="006B48D3" w:rsidRDefault="00B07312" w:rsidP="00D22441">
            <w:pPr>
              <w:jc w:val="left"/>
              <w:rPr>
                <w:rFonts w:ascii="Arial Narrow" w:hAnsi="Arial Narrow" w:cs="Arial"/>
                <w:spacing w:val="0"/>
                <w:sz w:val="16"/>
                <w:szCs w:val="16"/>
                <w:lang w:eastAsia="es-CO"/>
              </w:rPr>
            </w:pPr>
            <w:r w:rsidRPr="006B48D3">
              <w:rPr>
                <w:rFonts w:ascii="Arial Narrow" w:hAnsi="Arial Narrow" w:cs="Arial"/>
                <w:spacing w:val="0"/>
                <w:sz w:val="16"/>
                <w:szCs w:val="16"/>
                <w:lang w:eastAsia="es-CO"/>
              </w:rPr>
              <w:t>VELOGAS DE OCCIDENTE S.A. E.S.P.</w:t>
            </w:r>
          </w:p>
        </w:tc>
        <w:tc>
          <w:tcPr>
            <w:tcW w:w="1620" w:type="dxa"/>
            <w:tcBorders>
              <w:top w:val="nil"/>
              <w:left w:val="nil"/>
              <w:bottom w:val="single" w:sz="4" w:space="0" w:color="auto"/>
              <w:right w:val="single" w:sz="4" w:space="0" w:color="auto"/>
            </w:tcBorders>
            <w:shd w:val="clear" w:color="000000" w:fill="F2F2F2"/>
            <w:noWrap/>
            <w:vAlign w:val="center"/>
            <w:hideMark/>
          </w:tcPr>
          <w:p w14:paraId="41D78D7C"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$ 429.496.000</w:t>
            </w:r>
          </w:p>
        </w:tc>
        <w:tc>
          <w:tcPr>
            <w:tcW w:w="1520" w:type="dxa"/>
            <w:tcBorders>
              <w:top w:val="nil"/>
              <w:left w:val="nil"/>
              <w:bottom w:val="single" w:sz="4" w:space="0" w:color="auto"/>
              <w:right w:val="single" w:sz="4" w:space="0" w:color="auto"/>
            </w:tcBorders>
            <w:shd w:val="clear" w:color="000000" w:fill="F2F2F2"/>
            <w:noWrap/>
            <w:vAlign w:val="center"/>
            <w:hideMark/>
          </w:tcPr>
          <w:p w14:paraId="055BAFE8"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$ 115.281.732</w:t>
            </w:r>
          </w:p>
        </w:tc>
        <w:tc>
          <w:tcPr>
            <w:tcW w:w="1460" w:type="dxa"/>
            <w:tcBorders>
              <w:top w:val="nil"/>
              <w:left w:val="nil"/>
              <w:bottom w:val="single" w:sz="4" w:space="0" w:color="auto"/>
              <w:right w:val="single" w:sz="4" w:space="0" w:color="auto"/>
            </w:tcBorders>
            <w:shd w:val="clear" w:color="000000" w:fill="F2F2F2"/>
            <w:noWrap/>
            <w:vAlign w:val="center"/>
            <w:hideMark/>
          </w:tcPr>
          <w:p w14:paraId="2978134D"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$ 544.777.732</w:t>
            </w:r>
          </w:p>
        </w:tc>
        <w:tc>
          <w:tcPr>
            <w:tcW w:w="1280" w:type="dxa"/>
            <w:tcBorders>
              <w:top w:val="nil"/>
              <w:left w:val="nil"/>
              <w:bottom w:val="single" w:sz="4" w:space="0" w:color="auto"/>
              <w:right w:val="single" w:sz="4" w:space="0" w:color="auto"/>
            </w:tcBorders>
            <w:shd w:val="clear" w:color="000000" w:fill="F2F2F2"/>
            <w:noWrap/>
            <w:vAlign w:val="center"/>
            <w:hideMark/>
          </w:tcPr>
          <w:p w14:paraId="7E893767"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$ 5.447.777</w:t>
            </w:r>
          </w:p>
        </w:tc>
        <w:tc>
          <w:tcPr>
            <w:tcW w:w="1200" w:type="dxa"/>
            <w:tcBorders>
              <w:top w:val="nil"/>
              <w:left w:val="nil"/>
              <w:bottom w:val="single" w:sz="4" w:space="0" w:color="auto"/>
              <w:right w:val="single" w:sz="4" w:space="0" w:color="auto"/>
            </w:tcBorders>
            <w:shd w:val="clear" w:color="000000" w:fill="F2F2F2"/>
            <w:noWrap/>
            <w:vAlign w:val="center"/>
            <w:hideMark/>
          </w:tcPr>
          <w:p w14:paraId="711F60BA"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$ 227</w:t>
            </w:r>
          </w:p>
        </w:tc>
        <w:tc>
          <w:tcPr>
            <w:tcW w:w="1280" w:type="dxa"/>
            <w:tcBorders>
              <w:top w:val="nil"/>
              <w:left w:val="nil"/>
              <w:bottom w:val="single" w:sz="4" w:space="0" w:color="auto"/>
              <w:right w:val="single" w:sz="4" w:space="0" w:color="auto"/>
            </w:tcBorders>
            <w:shd w:val="clear" w:color="000000" w:fill="F2F2F2"/>
            <w:noWrap/>
            <w:vAlign w:val="center"/>
            <w:hideMark/>
          </w:tcPr>
          <w:p w14:paraId="5BCEB894"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$ 5.448.004</w:t>
            </w:r>
          </w:p>
        </w:tc>
      </w:tr>
      <w:tr w:rsidR="00B07312" w:rsidRPr="006B48D3" w14:paraId="61278CC0" w14:textId="77777777" w:rsidTr="006B48D3">
        <w:trPr>
          <w:trHeight w:val="267"/>
        </w:trPr>
        <w:tc>
          <w:tcPr>
            <w:tcW w:w="407" w:type="dxa"/>
            <w:tcBorders>
              <w:top w:val="nil"/>
              <w:left w:val="single" w:sz="4" w:space="0" w:color="auto"/>
              <w:bottom w:val="single" w:sz="4" w:space="0" w:color="auto"/>
              <w:right w:val="single" w:sz="4" w:space="0" w:color="auto"/>
            </w:tcBorders>
            <w:shd w:val="clear" w:color="000000" w:fill="F2F2F2"/>
            <w:noWrap/>
            <w:vAlign w:val="center"/>
            <w:hideMark/>
          </w:tcPr>
          <w:p w14:paraId="271377B4" w14:textId="77777777" w:rsidR="00B07312" w:rsidRPr="006B48D3" w:rsidRDefault="00B07312" w:rsidP="00D22441">
            <w:pPr>
              <w:jc w:val="center"/>
              <w:rPr>
                <w:rFonts w:ascii="Arial Narrow" w:hAnsi="Arial Narrow" w:cs="Arial"/>
                <w:spacing w:val="0"/>
                <w:sz w:val="16"/>
                <w:szCs w:val="16"/>
                <w:lang w:eastAsia="es-CO"/>
              </w:rPr>
            </w:pPr>
            <w:r w:rsidRPr="006B48D3">
              <w:rPr>
                <w:rFonts w:ascii="Arial Narrow" w:hAnsi="Arial Narrow" w:cs="Arial"/>
                <w:spacing w:val="0"/>
                <w:sz w:val="16"/>
                <w:szCs w:val="16"/>
                <w:lang w:eastAsia="es-CO"/>
              </w:rPr>
              <w:t>22</w:t>
            </w:r>
          </w:p>
        </w:tc>
        <w:tc>
          <w:tcPr>
            <w:tcW w:w="585" w:type="dxa"/>
            <w:tcBorders>
              <w:top w:val="nil"/>
              <w:left w:val="nil"/>
              <w:bottom w:val="single" w:sz="4" w:space="0" w:color="auto"/>
              <w:right w:val="single" w:sz="4" w:space="0" w:color="auto"/>
            </w:tcBorders>
            <w:shd w:val="clear" w:color="000000" w:fill="F2F2F2"/>
            <w:noWrap/>
            <w:vAlign w:val="center"/>
            <w:hideMark/>
          </w:tcPr>
          <w:p w14:paraId="30E400E5"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2264</w:t>
            </w:r>
          </w:p>
        </w:tc>
        <w:tc>
          <w:tcPr>
            <w:tcW w:w="941" w:type="dxa"/>
            <w:tcBorders>
              <w:top w:val="nil"/>
              <w:left w:val="nil"/>
              <w:bottom w:val="single" w:sz="4" w:space="0" w:color="auto"/>
              <w:right w:val="single" w:sz="4" w:space="0" w:color="auto"/>
            </w:tcBorders>
            <w:shd w:val="clear" w:color="000000" w:fill="F2F2F2"/>
            <w:noWrap/>
            <w:vAlign w:val="center"/>
            <w:hideMark/>
          </w:tcPr>
          <w:p w14:paraId="36031620"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805010599</w:t>
            </w:r>
          </w:p>
        </w:tc>
        <w:tc>
          <w:tcPr>
            <w:tcW w:w="3247" w:type="dxa"/>
            <w:tcBorders>
              <w:top w:val="nil"/>
              <w:left w:val="nil"/>
              <w:bottom w:val="single" w:sz="4" w:space="0" w:color="auto"/>
              <w:right w:val="single" w:sz="4" w:space="0" w:color="auto"/>
            </w:tcBorders>
            <w:shd w:val="clear" w:color="000000" w:fill="F2F2F2"/>
            <w:vAlign w:val="center"/>
            <w:hideMark/>
          </w:tcPr>
          <w:p w14:paraId="2F74A7A9" w14:textId="0626AB0D" w:rsidR="00B07312" w:rsidRPr="006B48D3" w:rsidRDefault="00B07312" w:rsidP="00D22441">
            <w:pPr>
              <w:jc w:val="left"/>
              <w:rPr>
                <w:rFonts w:ascii="Arial Narrow" w:hAnsi="Arial Narrow" w:cs="Arial"/>
                <w:spacing w:val="0"/>
                <w:sz w:val="16"/>
                <w:szCs w:val="16"/>
                <w:lang w:eastAsia="es-CO"/>
              </w:rPr>
            </w:pPr>
            <w:r w:rsidRPr="006B48D3">
              <w:rPr>
                <w:rFonts w:ascii="Arial Narrow" w:hAnsi="Arial Narrow" w:cs="Arial"/>
                <w:spacing w:val="0"/>
                <w:sz w:val="16"/>
                <w:szCs w:val="16"/>
                <w:lang w:eastAsia="es-CO"/>
              </w:rPr>
              <w:t>TRANSOCCIDENTE S.A</w:t>
            </w:r>
            <w:r w:rsidR="00EC4A1C" w:rsidRPr="006B48D3">
              <w:rPr>
                <w:rFonts w:ascii="Arial Narrow" w:hAnsi="Arial Narrow" w:cs="Arial"/>
                <w:spacing w:val="0"/>
                <w:sz w:val="16"/>
                <w:szCs w:val="16"/>
                <w:lang w:eastAsia="es-CO"/>
              </w:rPr>
              <w:t>.</w:t>
            </w:r>
            <w:r w:rsidRPr="006B48D3">
              <w:rPr>
                <w:rFonts w:ascii="Arial Narrow" w:hAnsi="Arial Narrow" w:cs="Arial"/>
                <w:spacing w:val="0"/>
                <w:sz w:val="16"/>
                <w:szCs w:val="16"/>
                <w:lang w:eastAsia="es-CO"/>
              </w:rPr>
              <w:t xml:space="preserve"> E.S.P.</w:t>
            </w:r>
          </w:p>
        </w:tc>
        <w:tc>
          <w:tcPr>
            <w:tcW w:w="1620" w:type="dxa"/>
            <w:tcBorders>
              <w:top w:val="nil"/>
              <w:left w:val="nil"/>
              <w:bottom w:val="single" w:sz="4" w:space="0" w:color="auto"/>
              <w:right w:val="single" w:sz="4" w:space="0" w:color="auto"/>
            </w:tcBorders>
            <w:shd w:val="clear" w:color="000000" w:fill="F2F2F2"/>
            <w:noWrap/>
            <w:vAlign w:val="center"/>
            <w:hideMark/>
          </w:tcPr>
          <w:p w14:paraId="2950D6A9"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$ 1.489.527.000</w:t>
            </w:r>
          </w:p>
        </w:tc>
        <w:tc>
          <w:tcPr>
            <w:tcW w:w="1520" w:type="dxa"/>
            <w:tcBorders>
              <w:top w:val="nil"/>
              <w:left w:val="nil"/>
              <w:bottom w:val="single" w:sz="4" w:space="0" w:color="auto"/>
              <w:right w:val="single" w:sz="4" w:space="0" w:color="auto"/>
            </w:tcBorders>
            <w:shd w:val="clear" w:color="000000" w:fill="F2F2F2"/>
            <w:noWrap/>
            <w:vAlign w:val="center"/>
            <w:hideMark/>
          </w:tcPr>
          <w:p w14:paraId="1D47EA30"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$ 0</w:t>
            </w:r>
          </w:p>
        </w:tc>
        <w:tc>
          <w:tcPr>
            <w:tcW w:w="1460" w:type="dxa"/>
            <w:tcBorders>
              <w:top w:val="nil"/>
              <w:left w:val="nil"/>
              <w:bottom w:val="single" w:sz="4" w:space="0" w:color="auto"/>
              <w:right w:val="single" w:sz="4" w:space="0" w:color="auto"/>
            </w:tcBorders>
            <w:shd w:val="clear" w:color="000000" w:fill="F2F2F2"/>
            <w:noWrap/>
            <w:vAlign w:val="center"/>
            <w:hideMark/>
          </w:tcPr>
          <w:p w14:paraId="6AEFF047"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$ 1.489.527.000</w:t>
            </w:r>
          </w:p>
        </w:tc>
        <w:tc>
          <w:tcPr>
            <w:tcW w:w="1280" w:type="dxa"/>
            <w:tcBorders>
              <w:top w:val="nil"/>
              <w:left w:val="nil"/>
              <w:bottom w:val="single" w:sz="4" w:space="0" w:color="auto"/>
              <w:right w:val="single" w:sz="4" w:space="0" w:color="auto"/>
            </w:tcBorders>
            <w:shd w:val="clear" w:color="000000" w:fill="F2F2F2"/>
            <w:noWrap/>
            <w:vAlign w:val="center"/>
            <w:hideMark/>
          </w:tcPr>
          <w:p w14:paraId="11E1C084"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$ 14.895.270</w:t>
            </w:r>
          </w:p>
        </w:tc>
        <w:tc>
          <w:tcPr>
            <w:tcW w:w="1200" w:type="dxa"/>
            <w:tcBorders>
              <w:top w:val="nil"/>
              <w:left w:val="nil"/>
              <w:bottom w:val="single" w:sz="4" w:space="0" w:color="auto"/>
              <w:right w:val="single" w:sz="4" w:space="0" w:color="auto"/>
            </w:tcBorders>
            <w:shd w:val="clear" w:color="000000" w:fill="F2F2F2"/>
            <w:noWrap/>
            <w:vAlign w:val="center"/>
            <w:hideMark/>
          </w:tcPr>
          <w:p w14:paraId="1CA35103"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$ 620</w:t>
            </w:r>
          </w:p>
        </w:tc>
        <w:tc>
          <w:tcPr>
            <w:tcW w:w="1280" w:type="dxa"/>
            <w:tcBorders>
              <w:top w:val="nil"/>
              <w:left w:val="nil"/>
              <w:bottom w:val="single" w:sz="4" w:space="0" w:color="auto"/>
              <w:right w:val="single" w:sz="4" w:space="0" w:color="auto"/>
            </w:tcBorders>
            <w:shd w:val="clear" w:color="000000" w:fill="F2F2F2"/>
            <w:noWrap/>
            <w:vAlign w:val="center"/>
            <w:hideMark/>
          </w:tcPr>
          <w:p w14:paraId="40679763"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$ 14.895.890</w:t>
            </w:r>
          </w:p>
        </w:tc>
      </w:tr>
      <w:tr w:rsidR="00B07312" w:rsidRPr="006B48D3" w14:paraId="068F0F60" w14:textId="77777777" w:rsidTr="006B48D3">
        <w:trPr>
          <w:trHeight w:val="450"/>
        </w:trPr>
        <w:tc>
          <w:tcPr>
            <w:tcW w:w="407" w:type="dxa"/>
            <w:tcBorders>
              <w:top w:val="nil"/>
              <w:left w:val="single" w:sz="4" w:space="0" w:color="auto"/>
              <w:bottom w:val="single" w:sz="4" w:space="0" w:color="auto"/>
              <w:right w:val="single" w:sz="4" w:space="0" w:color="auto"/>
            </w:tcBorders>
            <w:shd w:val="clear" w:color="000000" w:fill="F2F2F2"/>
            <w:noWrap/>
            <w:vAlign w:val="center"/>
            <w:hideMark/>
          </w:tcPr>
          <w:p w14:paraId="454F8F25" w14:textId="77777777" w:rsidR="00B07312" w:rsidRPr="006B48D3" w:rsidRDefault="00B07312" w:rsidP="00D22441">
            <w:pPr>
              <w:jc w:val="center"/>
              <w:rPr>
                <w:rFonts w:ascii="Arial Narrow" w:hAnsi="Arial Narrow" w:cs="Arial"/>
                <w:spacing w:val="0"/>
                <w:sz w:val="16"/>
                <w:szCs w:val="16"/>
                <w:lang w:eastAsia="es-CO"/>
              </w:rPr>
            </w:pPr>
            <w:r w:rsidRPr="006B48D3">
              <w:rPr>
                <w:rFonts w:ascii="Arial Narrow" w:hAnsi="Arial Narrow" w:cs="Arial"/>
                <w:spacing w:val="0"/>
                <w:sz w:val="16"/>
                <w:szCs w:val="16"/>
                <w:lang w:eastAsia="es-CO"/>
              </w:rPr>
              <w:t>23</w:t>
            </w:r>
          </w:p>
        </w:tc>
        <w:tc>
          <w:tcPr>
            <w:tcW w:w="585" w:type="dxa"/>
            <w:tcBorders>
              <w:top w:val="nil"/>
              <w:left w:val="nil"/>
              <w:bottom w:val="single" w:sz="4" w:space="0" w:color="auto"/>
              <w:right w:val="single" w:sz="4" w:space="0" w:color="auto"/>
            </w:tcBorders>
            <w:shd w:val="clear" w:color="000000" w:fill="F2F2F2"/>
            <w:noWrap/>
            <w:vAlign w:val="center"/>
            <w:hideMark/>
          </w:tcPr>
          <w:p w14:paraId="18335FC7"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22388</w:t>
            </w:r>
          </w:p>
        </w:tc>
        <w:tc>
          <w:tcPr>
            <w:tcW w:w="941" w:type="dxa"/>
            <w:tcBorders>
              <w:top w:val="nil"/>
              <w:left w:val="nil"/>
              <w:bottom w:val="single" w:sz="4" w:space="0" w:color="auto"/>
              <w:right w:val="single" w:sz="4" w:space="0" w:color="auto"/>
            </w:tcBorders>
            <w:shd w:val="clear" w:color="000000" w:fill="F2F2F2"/>
            <w:noWrap/>
            <w:vAlign w:val="center"/>
            <w:hideMark/>
          </w:tcPr>
          <w:p w14:paraId="05EE06E6"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809010690</w:t>
            </w:r>
          </w:p>
        </w:tc>
        <w:tc>
          <w:tcPr>
            <w:tcW w:w="3247" w:type="dxa"/>
            <w:tcBorders>
              <w:top w:val="nil"/>
              <w:left w:val="nil"/>
              <w:bottom w:val="single" w:sz="4" w:space="0" w:color="auto"/>
              <w:right w:val="single" w:sz="4" w:space="0" w:color="auto"/>
            </w:tcBorders>
            <w:shd w:val="clear" w:color="000000" w:fill="F2F2F2"/>
            <w:vAlign w:val="center"/>
            <w:hideMark/>
          </w:tcPr>
          <w:p w14:paraId="178B6279" w14:textId="77777777" w:rsidR="00B07312" w:rsidRPr="006B48D3" w:rsidRDefault="00B07312" w:rsidP="00D22441">
            <w:pPr>
              <w:jc w:val="left"/>
              <w:rPr>
                <w:rFonts w:ascii="Arial Narrow" w:hAnsi="Arial Narrow" w:cs="Arial"/>
                <w:spacing w:val="0"/>
                <w:sz w:val="16"/>
                <w:szCs w:val="16"/>
                <w:lang w:eastAsia="es-CO"/>
              </w:rPr>
            </w:pPr>
            <w:r w:rsidRPr="006B48D3">
              <w:rPr>
                <w:rFonts w:ascii="Arial Narrow" w:hAnsi="Arial Narrow" w:cs="Arial"/>
                <w:spacing w:val="0"/>
                <w:sz w:val="16"/>
                <w:szCs w:val="16"/>
                <w:lang w:eastAsia="es-CO"/>
              </w:rPr>
              <w:t>EMPRESA INTEGRAL DE SERVICIOS OP&amp;S CONSTRUCCIONES SA ESP</w:t>
            </w:r>
          </w:p>
        </w:tc>
        <w:tc>
          <w:tcPr>
            <w:tcW w:w="1620" w:type="dxa"/>
            <w:tcBorders>
              <w:top w:val="nil"/>
              <w:left w:val="nil"/>
              <w:bottom w:val="single" w:sz="4" w:space="0" w:color="auto"/>
              <w:right w:val="single" w:sz="4" w:space="0" w:color="auto"/>
            </w:tcBorders>
            <w:shd w:val="clear" w:color="000000" w:fill="F2F2F2"/>
            <w:noWrap/>
            <w:vAlign w:val="center"/>
            <w:hideMark/>
          </w:tcPr>
          <w:p w14:paraId="594D8948"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$ 2.060.600.000</w:t>
            </w:r>
          </w:p>
        </w:tc>
        <w:tc>
          <w:tcPr>
            <w:tcW w:w="1520" w:type="dxa"/>
            <w:tcBorders>
              <w:top w:val="nil"/>
              <w:left w:val="nil"/>
              <w:bottom w:val="single" w:sz="4" w:space="0" w:color="auto"/>
              <w:right w:val="single" w:sz="4" w:space="0" w:color="auto"/>
            </w:tcBorders>
            <w:shd w:val="clear" w:color="000000" w:fill="F2F2F2"/>
            <w:noWrap/>
            <w:vAlign w:val="center"/>
            <w:hideMark/>
          </w:tcPr>
          <w:p w14:paraId="0E987A62"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$ 237.116.829</w:t>
            </w:r>
          </w:p>
        </w:tc>
        <w:tc>
          <w:tcPr>
            <w:tcW w:w="1460" w:type="dxa"/>
            <w:tcBorders>
              <w:top w:val="nil"/>
              <w:left w:val="nil"/>
              <w:bottom w:val="single" w:sz="4" w:space="0" w:color="auto"/>
              <w:right w:val="single" w:sz="4" w:space="0" w:color="auto"/>
            </w:tcBorders>
            <w:shd w:val="clear" w:color="000000" w:fill="F2F2F2"/>
            <w:noWrap/>
            <w:vAlign w:val="center"/>
            <w:hideMark/>
          </w:tcPr>
          <w:p w14:paraId="0A9BB24F"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$ 2.297.716.829</w:t>
            </w:r>
          </w:p>
        </w:tc>
        <w:tc>
          <w:tcPr>
            <w:tcW w:w="1280" w:type="dxa"/>
            <w:tcBorders>
              <w:top w:val="nil"/>
              <w:left w:val="nil"/>
              <w:bottom w:val="single" w:sz="4" w:space="0" w:color="auto"/>
              <w:right w:val="single" w:sz="4" w:space="0" w:color="auto"/>
            </w:tcBorders>
            <w:shd w:val="clear" w:color="000000" w:fill="F2F2F2"/>
            <w:noWrap/>
            <w:vAlign w:val="center"/>
            <w:hideMark/>
          </w:tcPr>
          <w:p w14:paraId="121436BA"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$ 22.977.168</w:t>
            </w:r>
          </w:p>
        </w:tc>
        <w:tc>
          <w:tcPr>
            <w:tcW w:w="1200" w:type="dxa"/>
            <w:tcBorders>
              <w:top w:val="nil"/>
              <w:left w:val="nil"/>
              <w:bottom w:val="single" w:sz="4" w:space="0" w:color="auto"/>
              <w:right w:val="single" w:sz="4" w:space="0" w:color="auto"/>
            </w:tcBorders>
            <w:shd w:val="clear" w:color="000000" w:fill="F2F2F2"/>
            <w:noWrap/>
            <w:vAlign w:val="center"/>
            <w:hideMark/>
          </w:tcPr>
          <w:p w14:paraId="2C842FA0"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$ 956</w:t>
            </w:r>
          </w:p>
        </w:tc>
        <w:tc>
          <w:tcPr>
            <w:tcW w:w="1280" w:type="dxa"/>
            <w:tcBorders>
              <w:top w:val="nil"/>
              <w:left w:val="nil"/>
              <w:bottom w:val="single" w:sz="4" w:space="0" w:color="auto"/>
              <w:right w:val="single" w:sz="4" w:space="0" w:color="auto"/>
            </w:tcBorders>
            <w:shd w:val="clear" w:color="000000" w:fill="F2F2F2"/>
            <w:noWrap/>
            <w:vAlign w:val="center"/>
            <w:hideMark/>
          </w:tcPr>
          <w:p w14:paraId="6623CD7D"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$ 22.978.125</w:t>
            </w:r>
          </w:p>
        </w:tc>
      </w:tr>
      <w:tr w:rsidR="00B07312" w:rsidRPr="006B48D3" w14:paraId="43DDD348" w14:textId="77777777" w:rsidTr="006B48D3">
        <w:trPr>
          <w:trHeight w:val="261"/>
        </w:trPr>
        <w:tc>
          <w:tcPr>
            <w:tcW w:w="407" w:type="dxa"/>
            <w:tcBorders>
              <w:top w:val="nil"/>
              <w:left w:val="single" w:sz="4" w:space="0" w:color="auto"/>
              <w:bottom w:val="single" w:sz="4" w:space="0" w:color="auto"/>
              <w:right w:val="single" w:sz="4" w:space="0" w:color="auto"/>
            </w:tcBorders>
            <w:shd w:val="clear" w:color="000000" w:fill="F2F2F2"/>
            <w:noWrap/>
            <w:vAlign w:val="center"/>
            <w:hideMark/>
          </w:tcPr>
          <w:p w14:paraId="394D9CFC" w14:textId="77777777" w:rsidR="00B07312" w:rsidRPr="006B48D3" w:rsidRDefault="00B07312" w:rsidP="00D22441">
            <w:pPr>
              <w:jc w:val="center"/>
              <w:rPr>
                <w:rFonts w:ascii="Arial Narrow" w:hAnsi="Arial Narrow" w:cs="Arial"/>
                <w:spacing w:val="0"/>
                <w:sz w:val="16"/>
                <w:szCs w:val="16"/>
                <w:lang w:eastAsia="es-CO"/>
              </w:rPr>
            </w:pPr>
            <w:r w:rsidRPr="006B48D3">
              <w:rPr>
                <w:rFonts w:ascii="Arial Narrow" w:hAnsi="Arial Narrow" w:cs="Arial"/>
                <w:spacing w:val="0"/>
                <w:sz w:val="16"/>
                <w:szCs w:val="16"/>
                <w:lang w:eastAsia="es-CO"/>
              </w:rPr>
              <w:t>24</w:t>
            </w:r>
          </w:p>
        </w:tc>
        <w:tc>
          <w:tcPr>
            <w:tcW w:w="585" w:type="dxa"/>
            <w:tcBorders>
              <w:top w:val="nil"/>
              <w:left w:val="nil"/>
              <w:bottom w:val="single" w:sz="4" w:space="0" w:color="auto"/>
              <w:right w:val="single" w:sz="4" w:space="0" w:color="auto"/>
            </w:tcBorders>
            <w:shd w:val="clear" w:color="000000" w:fill="F2F2F2"/>
            <w:noWrap/>
            <w:vAlign w:val="center"/>
            <w:hideMark/>
          </w:tcPr>
          <w:p w14:paraId="718C317B"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1598</w:t>
            </w:r>
          </w:p>
        </w:tc>
        <w:tc>
          <w:tcPr>
            <w:tcW w:w="941" w:type="dxa"/>
            <w:tcBorders>
              <w:top w:val="nil"/>
              <w:left w:val="nil"/>
              <w:bottom w:val="single" w:sz="4" w:space="0" w:color="auto"/>
              <w:right w:val="single" w:sz="4" w:space="0" w:color="auto"/>
            </w:tcBorders>
            <w:shd w:val="clear" w:color="000000" w:fill="F2F2F2"/>
            <w:noWrap/>
            <w:vAlign w:val="center"/>
            <w:hideMark/>
          </w:tcPr>
          <w:p w14:paraId="2A5335E5"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813002696</w:t>
            </w:r>
          </w:p>
        </w:tc>
        <w:tc>
          <w:tcPr>
            <w:tcW w:w="3247" w:type="dxa"/>
            <w:tcBorders>
              <w:top w:val="nil"/>
              <w:left w:val="nil"/>
              <w:bottom w:val="single" w:sz="4" w:space="0" w:color="auto"/>
              <w:right w:val="single" w:sz="4" w:space="0" w:color="auto"/>
            </w:tcBorders>
            <w:shd w:val="clear" w:color="000000" w:fill="F2F2F2"/>
            <w:vAlign w:val="center"/>
            <w:hideMark/>
          </w:tcPr>
          <w:p w14:paraId="55474F8F" w14:textId="6B070475" w:rsidR="00B07312" w:rsidRPr="006B48D3" w:rsidRDefault="00B07312" w:rsidP="00D22441">
            <w:pPr>
              <w:jc w:val="left"/>
              <w:rPr>
                <w:rFonts w:ascii="Arial Narrow" w:hAnsi="Arial Narrow" w:cs="Arial"/>
                <w:spacing w:val="0"/>
                <w:sz w:val="16"/>
                <w:szCs w:val="16"/>
                <w:lang w:eastAsia="es-CO"/>
              </w:rPr>
            </w:pPr>
            <w:r w:rsidRPr="006B48D3">
              <w:rPr>
                <w:rFonts w:ascii="Arial Narrow" w:hAnsi="Arial Narrow" w:cs="Arial"/>
                <w:spacing w:val="0"/>
                <w:sz w:val="16"/>
                <w:szCs w:val="16"/>
                <w:lang w:eastAsia="es-CO"/>
              </w:rPr>
              <w:t>GAS NEIVA S.A. E.S.P</w:t>
            </w:r>
            <w:r w:rsidR="00EC4A1C" w:rsidRPr="006B48D3">
              <w:rPr>
                <w:rFonts w:ascii="Arial Narrow" w:hAnsi="Arial Narrow" w:cs="Arial"/>
                <w:spacing w:val="0"/>
                <w:sz w:val="16"/>
                <w:szCs w:val="16"/>
                <w:lang w:eastAsia="es-CO"/>
              </w:rPr>
              <w:t>.</w:t>
            </w:r>
          </w:p>
        </w:tc>
        <w:tc>
          <w:tcPr>
            <w:tcW w:w="1620" w:type="dxa"/>
            <w:tcBorders>
              <w:top w:val="nil"/>
              <w:left w:val="nil"/>
              <w:bottom w:val="single" w:sz="4" w:space="0" w:color="auto"/>
              <w:right w:val="single" w:sz="4" w:space="0" w:color="auto"/>
            </w:tcBorders>
            <w:shd w:val="clear" w:color="000000" w:fill="F2F2F2"/>
            <w:noWrap/>
            <w:vAlign w:val="center"/>
            <w:hideMark/>
          </w:tcPr>
          <w:p w14:paraId="2BC3F1B9"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$ 1.544.846.000</w:t>
            </w:r>
          </w:p>
        </w:tc>
        <w:tc>
          <w:tcPr>
            <w:tcW w:w="1520" w:type="dxa"/>
            <w:tcBorders>
              <w:top w:val="nil"/>
              <w:left w:val="nil"/>
              <w:bottom w:val="single" w:sz="4" w:space="0" w:color="auto"/>
              <w:right w:val="single" w:sz="4" w:space="0" w:color="auto"/>
            </w:tcBorders>
            <w:shd w:val="clear" w:color="000000" w:fill="F2F2F2"/>
            <w:noWrap/>
            <w:vAlign w:val="center"/>
            <w:hideMark/>
          </w:tcPr>
          <w:p w14:paraId="171D18B5"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$ 150.804.867</w:t>
            </w:r>
          </w:p>
        </w:tc>
        <w:tc>
          <w:tcPr>
            <w:tcW w:w="1460" w:type="dxa"/>
            <w:tcBorders>
              <w:top w:val="nil"/>
              <w:left w:val="nil"/>
              <w:bottom w:val="single" w:sz="4" w:space="0" w:color="auto"/>
              <w:right w:val="single" w:sz="4" w:space="0" w:color="auto"/>
            </w:tcBorders>
            <w:shd w:val="clear" w:color="000000" w:fill="F2F2F2"/>
            <w:noWrap/>
            <w:vAlign w:val="center"/>
            <w:hideMark/>
          </w:tcPr>
          <w:p w14:paraId="52498AB4"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$ 1.695.650.867</w:t>
            </w:r>
          </w:p>
        </w:tc>
        <w:tc>
          <w:tcPr>
            <w:tcW w:w="1280" w:type="dxa"/>
            <w:tcBorders>
              <w:top w:val="nil"/>
              <w:left w:val="nil"/>
              <w:bottom w:val="single" w:sz="4" w:space="0" w:color="auto"/>
              <w:right w:val="single" w:sz="4" w:space="0" w:color="auto"/>
            </w:tcBorders>
            <w:shd w:val="clear" w:color="000000" w:fill="F2F2F2"/>
            <w:noWrap/>
            <w:vAlign w:val="center"/>
            <w:hideMark/>
          </w:tcPr>
          <w:p w14:paraId="6A5B0902"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$ 16.956.509</w:t>
            </w:r>
          </w:p>
        </w:tc>
        <w:tc>
          <w:tcPr>
            <w:tcW w:w="1200" w:type="dxa"/>
            <w:tcBorders>
              <w:top w:val="nil"/>
              <w:left w:val="nil"/>
              <w:bottom w:val="single" w:sz="4" w:space="0" w:color="auto"/>
              <w:right w:val="single" w:sz="4" w:space="0" w:color="auto"/>
            </w:tcBorders>
            <w:shd w:val="clear" w:color="000000" w:fill="F2F2F2"/>
            <w:noWrap/>
            <w:vAlign w:val="center"/>
            <w:hideMark/>
          </w:tcPr>
          <w:p w14:paraId="417587F7"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$ 706</w:t>
            </w:r>
          </w:p>
        </w:tc>
        <w:tc>
          <w:tcPr>
            <w:tcW w:w="1280" w:type="dxa"/>
            <w:tcBorders>
              <w:top w:val="nil"/>
              <w:left w:val="nil"/>
              <w:bottom w:val="single" w:sz="4" w:space="0" w:color="auto"/>
              <w:right w:val="single" w:sz="4" w:space="0" w:color="auto"/>
            </w:tcBorders>
            <w:shd w:val="clear" w:color="000000" w:fill="F2F2F2"/>
            <w:noWrap/>
            <w:vAlign w:val="center"/>
            <w:hideMark/>
          </w:tcPr>
          <w:p w14:paraId="54EDDA55"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$ 16.957.214</w:t>
            </w:r>
          </w:p>
        </w:tc>
      </w:tr>
      <w:tr w:rsidR="00B07312" w:rsidRPr="006B48D3" w14:paraId="38EBB49A" w14:textId="77777777" w:rsidTr="006B48D3">
        <w:trPr>
          <w:trHeight w:val="337"/>
        </w:trPr>
        <w:tc>
          <w:tcPr>
            <w:tcW w:w="407" w:type="dxa"/>
            <w:tcBorders>
              <w:top w:val="nil"/>
              <w:left w:val="single" w:sz="4" w:space="0" w:color="auto"/>
              <w:bottom w:val="single" w:sz="4" w:space="0" w:color="auto"/>
              <w:right w:val="single" w:sz="4" w:space="0" w:color="auto"/>
            </w:tcBorders>
            <w:shd w:val="clear" w:color="000000" w:fill="F2F2F2"/>
            <w:noWrap/>
            <w:vAlign w:val="center"/>
            <w:hideMark/>
          </w:tcPr>
          <w:p w14:paraId="2FFF5A48" w14:textId="77777777" w:rsidR="00B07312" w:rsidRPr="006B48D3" w:rsidRDefault="00B07312" w:rsidP="00D22441">
            <w:pPr>
              <w:jc w:val="center"/>
              <w:rPr>
                <w:rFonts w:ascii="Arial Narrow" w:hAnsi="Arial Narrow" w:cs="Arial"/>
                <w:spacing w:val="0"/>
                <w:sz w:val="16"/>
                <w:szCs w:val="16"/>
                <w:lang w:eastAsia="es-CO"/>
              </w:rPr>
            </w:pPr>
            <w:r w:rsidRPr="006B48D3">
              <w:rPr>
                <w:rFonts w:ascii="Arial Narrow" w:hAnsi="Arial Narrow" w:cs="Arial"/>
                <w:spacing w:val="0"/>
                <w:sz w:val="16"/>
                <w:szCs w:val="16"/>
                <w:lang w:eastAsia="es-CO"/>
              </w:rPr>
              <w:t>25</w:t>
            </w:r>
          </w:p>
        </w:tc>
        <w:tc>
          <w:tcPr>
            <w:tcW w:w="585" w:type="dxa"/>
            <w:tcBorders>
              <w:top w:val="nil"/>
              <w:left w:val="nil"/>
              <w:bottom w:val="single" w:sz="4" w:space="0" w:color="auto"/>
              <w:right w:val="single" w:sz="4" w:space="0" w:color="auto"/>
            </w:tcBorders>
            <w:shd w:val="clear" w:color="000000" w:fill="F2F2F2"/>
            <w:noWrap/>
            <w:vAlign w:val="center"/>
            <w:hideMark/>
          </w:tcPr>
          <w:p w14:paraId="72374FEC"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2676</w:t>
            </w:r>
          </w:p>
        </w:tc>
        <w:tc>
          <w:tcPr>
            <w:tcW w:w="941" w:type="dxa"/>
            <w:tcBorders>
              <w:top w:val="nil"/>
              <w:left w:val="nil"/>
              <w:bottom w:val="single" w:sz="4" w:space="0" w:color="auto"/>
              <w:right w:val="single" w:sz="4" w:space="0" w:color="auto"/>
            </w:tcBorders>
            <w:shd w:val="clear" w:color="000000" w:fill="F2F2F2"/>
            <w:noWrap/>
            <w:vAlign w:val="center"/>
            <w:hideMark/>
          </w:tcPr>
          <w:p w14:paraId="4F0213C9"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814003050</w:t>
            </w:r>
          </w:p>
        </w:tc>
        <w:tc>
          <w:tcPr>
            <w:tcW w:w="3247" w:type="dxa"/>
            <w:tcBorders>
              <w:top w:val="nil"/>
              <w:left w:val="nil"/>
              <w:bottom w:val="single" w:sz="4" w:space="0" w:color="auto"/>
              <w:right w:val="single" w:sz="4" w:space="0" w:color="auto"/>
            </w:tcBorders>
            <w:shd w:val="clear" w:color="000000" w:fill="F2F2F2"/>
            <w:vAlign w:val="center"/>
            <w:hideMark/>
          </w:tcPr>
          <w:p w14:paraId="1DBDD406" w14:textId="77777777" w:rsidR="00B07312" w:rsidRPr="006B48D3" w:rsidRDefault="00B07312" w:rsidP="00D22441">
            <w:pPr>
              <w:jc w:val="left"/>
              <w:rPr>
                <w:rFonts w:ascii="Arial Narrow" w:hAnsi="Arial Narrow" w:cs="Arial"/>
                <w:spacing w:val="0"/>
                <w:sz w:val="16"/>
                <w:szCs w:val="16"/>
                <w:lang w:eastAsia="es-CO"/>
              </w:rPr>
            </w:pPr>
            <w:r w:rsidRPr="006B48D3">
              <w:rPr>
                <w:rFonts w:ascii="Arial Narrow" w:hAnsi="Arial Narrow" w:cs="Arial"/>
                <w:spacing w:val="0"/>
                <w:sz w:val="16"/>
                <w:szCs w:val="16"/>
                <w:lang w:eastAsia="es-CO"/>
              </w:rPr>
              <w:t>SUPERGAS DE NARIÑO S.A. E.S.P.</w:t>
            </w:r>
          </w:p>
        </w:tc>
        <w:tc>
          <w:tcPr>
            <w:tcW w:w="1620" w:type="dxa"/>
            <w:tcBorders>
              <w:top w:val="nil"/>
              <w:left w:val="nil"/>
              <w:bottom w:val="single" w:sz="4" w:space="0" w:color="auto"/>
              <w:right w:val="single" w:sz="4" w:space="0" w:color="auto"/>
            </w:tcBorders>
            <w:shd w:val="clear" w:color="000000" w:fill="F2F2F2"/>
            <w:noWrap/>
            <w:vAlign w:val="center"/>
            <w:hideMark/>
          </w:tcPr>
          <w:p w14:paraId="167BA108"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$ 3.110.727.670</w:t>
            </w:r>
          </w:p>
        </w:tc>
        <w:tc>
          <w:tcPr>
            <w:tcW w:w="1520" w:type="dxa"/>
            <w:tcBorders>
              <w:top w:val="nil"/>
              <w:left w:val="nil"/>
              <w:bottom w:val="single" w:sz="4" w:space="0" w:color="auto"/>
              <w:right w:val="single" w:sz="4" w:space="0" w:color="auto"/>
            </w:tcBorders>
            <w:shd w:val="clear" w:color="000000" w:fill="F2F2F2"/>
            <w:noWrap/>
            <w:vAlign w:val="center"/>
            <w:hideMark/>
          </w:tcPr>
          <w:p w14:paraId="1FDD61E3"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$ 99.468.564</w:t>
            </w:r>
          </w:p>
        </w:tc>
        <w:tc>
          <w:tcPr>
            <w:tcW w:w="1460" w:type="dxa"/>
            <w:tcBorders>
              <w:top w:val="nil"/>
              <w:left w:val="nil"/>
              <w:bottom w:val="single" w:sz="4" w:space="0" w:color="auto"/>
              <w:right w:val="single" w:sz="4" w:space="0" w:color="auto"/>
            </w:tcBorders>
            <w:shd w:val="clear" w:color="000000" w:fill="F2F2F2"/>
            <w:noWrap/>
            <w:vAlign w:val="center"/>
            <w:hideMark/>
          </w:tcPr>
          <w:p w14:paraId="0B00FADD"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$ 3.210.196.234</w:t>
            </w:r>
          </w:p>
        </w:tc>
        <w:tc>
          <w:tcPr>
            <w:tcW w:w="1280" w:type="dxa"/>
            <w:tcBorders>
              <w:top w:val="nil"/>
              <w:left w:val="nil"/>
              <w:bottom w:val="single" w:sz="4" w:space="0" w:color="auto"/>
              <w:right w:val="single" w:sz="4" w:space="0" w:color="auto"/>
            </w:tcBorders>
            <w:shd w:val="clear" w:color="000000" w:fill="F2F2F2"/>
            <w:noWrap/>
            <w:vAlign w:val="center"/>
            <w:hideMark/>
          </w:tcPr>
          <w:p w14:paraId="3FA4A902"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$ 32.101.962</w:t>
            </w:r>
          </w:p>
        </w:tc>
        <w:tc>
          <w:tcPr>
            <w:tcW w:w="1200" w:type="dxa"/>
            <w:tcBorders>
              <w:top w:val="nil"/>
              <w:left w:val="nil"/>
              <w:bottom w:val="single" w:sz="4" w:space="0" w:color="auto"/>
              <w:right w:val="single" w:sz="4" w:space="0" w:color="auto"/>
            </w:tcBorders>
            <w:shd w:val="clear" w:color="000000" w:fill="F2F2F2"/>
            <w:noWrap/>
            <w:vAlign w:val="center"/>
            <w:hideMark/>
          </w:tcPr>
          <w:p w14:paraId="2AF47876"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$ 1.336</w:t>
            </w:r>
          </w:p>
        </w:tc>
        <w:tc>
          <w:tcPr>
            <w:tcW w:w="1280" w:type="dxa"/>
            <w:tcBorders>
              <w:top w:val="nil"/>
              <w:left w:val="nil"/>
              <w:bottom w:val="single" w:sz="4" w:space="0" w:color="auto"/>
              <w:right w:val="single" w:sz="4" w:space="0" w:color="auto"/>
            </w:tcBorders>
            <w:shd w:val="clear" w:color="000000" w:fill="F2F2F2"/>
            <w:noWrap/>
            <w:vAlign w:val="center"/>
            <w:hideMark/>
          </w:tcPr>
          <w:p w14:paraId="7FBE0C52"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$ 32.103.298</w:t>
            </w:r>
          </w:p>
        </w:tc>
      </w:tr>
      <w:tr w:rsidR="00B07312" w:rsidRPr="006B48D3" w14:paraId="26442DF1" w14:textId="77777777" w:rsidTr="006B48D3">
        <w:trPr>
          <w:trHeight w:val="275"/>
        </w:trPr>
        <w:tc>
          <w:tcPr>
            <w:tcW w:w="407" w:type="dxa"/>
            <w:tcBorders>
              <w:top w:val="nil"/>
              <w:left w:val="single" w:sz="4" w:space="0" w:color="auto"/>
              <w:bottom w:val="single" w:sz="4" w:space="0" w:color="auto"/>
              <w:right w:val="single" w:sz="4" w:space="0" w:color="auto"/>
            </w:tcBorders>
            <w:shd w:val="clear" w:color="000000" w:fill="F2F2F2"/>
            <w:noWrap/>
            <w:vAlign w:val="center"/>
            <w:hideMark/>
          </w:tcPr>
          <w:p w14:paraId="457C59E0" w14:textId="77777777" w:rsidR="00B07312" w:rsidRPr="006B48D3" w:rsidRDefault="00B07312" w:rsidP="00D22441">
            <w:pPr>
              <w:jc w:val="center"/>
              <w:rPr>
                <w:rFonts w:ascii="Arial Narrow" w:hAnsi="Arial Narrow" w:cs="Arial"/>
                <w:spacing w:val="0"/>
                <w:sz w:val="16"/>
                <w:szCs w:val="16"/>
                <w:lang w:eastAsia="es-CO"/>
              </w:rPr>
            </w:pPr>
            <w:r w:rsidRPr="006B48D3">
              <w:rPr>
                <w:rFonts w:ascii="Arial Narrow" w:hAnsi="Arial Narrow" w:cs="Arial"/>
                <w:spacing w:val="0"/>
                <w:sz w:val="16"/>
                <w:szCs w:val="16"/>
                <w:lang w:eastAsia="es-CO"/>
              </w:rPr>
              <w:t>26</w:t>
            </w:r>
          </w:p>
        </w:tc>
        <w:tc>
          <w:tcPr>
            <w:tcW w:w="585" w:type="dxa"/>
            <w:tcBorders>
              <w:top w:val="nil"/>
              <w:left w:val="nil"/>
              <w:bottom w:val="single" w:sz="4" w:space="0" w:color="auto"/>
              <w:right w:val="single" w:sz="4" w:space="0" w:color="auto"/>
            </w:tcBorders>
            <w:shd w:val="clear" w:color="000000" w:fill="F2F2F2"/>
            <w:noWrap/>
            <w:vAlign w:val="center"/>
            <w:hideMark/>
          </w:tcPr>
          <w:p w14:paraId="4E90CFB9"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2097</w:t>
            </w:r>
          </w:p>
        </w:tc>
        <w:tc>
          <w:tcPr>
            <w:tcW w:w="941" w:type="dxa"/>
            <w:tcBorders>
              <w:top w:val="nil"/>
              <w:left w:val="nil"/>
              <w:bottom w:val="single" w:sz="4" w:space="0" w:color="auto"/>
              <w:right w:val="single" w:sz="4" w:space="0" w:color="auto"/>
            </w:tcBorders>
            <w:shd w:val="clear" w:color="000000" w:fill="F2F2F2"/>
            <w:noWrap/>
            <w:vAlign w:val="center"/>
            <w:hideMark/>
          </w:tcPr>
          <w:p w14:paraId="247DD4E2"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822001073</w:t>
            </w:r>
          </w:p>
        </w:tc>
        <w:tc>
          <w:tcPr>
            <w:tcW w:w="3247" w:type="dxa"/>
            <w:tcBorders>
              <w:top w:val="nil"/>
              <w:left w:val="nil"/>
              <w:bottom w:val="single" w:sz="4" w:space="0" w:color="auto"/>
              <w:right w:val="single" w:sz="4" w:space="0" w:color="auto"/>
            </w:tcBorders>
            <w:shd w:val="clear" w:color="000000" w:fill="F2F2F2"/>
            <w:vAlign w:val="center"/>
            <w:hideMark/>
          </w:tcPr>
          <w:p w14:paraId="0A5CB26E" w14:textId="77777777" w:rsidR="00B07312" w:rsidRPr="006B48D3" w:rsidRDefault="00B07312" w:rsidP="00D22441">
            <w:pPr>
              <w:jc w:val="left"/>
              <w:rPr>
                <w:rFonts w:ascii="Arial Narrow" w:hAnsi="Arial Narrow" w:cs="Arial"/>
                <w:spacing w:val="0"/>
                <w:sz w:val="16"/>
                <w:szCs w:val="16"/>
                <w:lang w:eastAsia="es-CO"/>
              </w:rPr>
            </w:pPr>
            <w:r w:rsidRPr="006B48D3">
              <w:rPr>
                <w:rFonts w:ascii="Arial Narrow" w:hAnsi="Arial Narrow" w:cs="Arial"/>
                <w:spacing w:val="0"/>
                <w:sz w:val="16"/>
                <w:szCs w:val="16"/>
                <w:lang w:eastAsia="es-CO"/>
              </w:rPr>
              <w:t>MADIGAS INGENIEROS S.A. E.S.P.</w:t>
            </w:r>
          </w:p>
        </w:tc>
        <w:tc>
          <w:tcPr>
            <w:tcW w:w="1620" w:type="dxa"/>
            <w:tcBorders>
              <w:top w:val="nil"/>
              <w:left w:val="nil"/>
              <w:bottom w:val="single" w:sz="4" w:space="0" w:color="auto"/>
              <w:right w:val="single" w:sz="4" w:space="0" w:color="auto"/>
            </w:tcBorders>
            <w:shd w:val="clear" w:color="000000" w:fill="F2F2F2"/>
            <w:noWrap/>
            <w:vAlign w:val="center"/>
            <w:hideMark/>
          </w:tcPr>
          <w:p w14:paraId="2135CEA6"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$ 933.960.000</w:t>
            </w:r>
          </w:p>
        </w:tc>
        <w:tc>
          <w:tcPr>
            <w:tcW w:w="1520" w:type="dxa"/>
            <w:tcBorders>
              <w:top w:val="nil"/>
              <w:left w:val="nil"/>
              <w:bottom w:val="single" w:sz="4" w:space="0" w:color="auto"/>
              <w:right w:val="single" w:sz="4" w:space="0" w:color="auto"/>
            </w:tcBorders>
            <w:shd w:val="clear" w:color="000000" w:fill="F2F2F2"/>
            <w:noWrap/>
            <w:vAlign w:val="center"/>
            <w:hideMark/>
          </w:tcPr>
          <w:p w14:paraId="284581FC"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$ 93.211.643</w:t>
            </w:r>
          </w:p>
        </w:tc>
        <w:tc>
          <w:tcPr>
            <w:tcW w:w="1460" w:type="dxa"/>
            <w:tcBorders>
              <w:top w:val="nil"/>
              <w:left w:val="nil"/>
              <w:bottom w:val="single" w:sz="4" w:space="0" w:color="auto"/>
              <w:right w:val="single" w:sz="4" w:space="0" w:color="auto"/>
            </w:tcBorders>
            <w:shd w:val="clear" w:color="000000" w:fill="F2F2F2"/>
            <w:noWrap/>
            <w:vAlign w:val="center"/>
            <w:hideMark/>
          </w:tcPr>
          <w:p w14:paraId="0D98658F"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$ 1.027.171.643</w:t>
            </w:r>
          </w:p>
        </w:tc>
        <w:tc>
          <w:tcPr>
            <w:tcW w:w="1280" w:type="dxa"/>
            <w:tcBorders>
              <w:top w:val="nil"/>
              <w:left w:val="nil"/>
              <w:bottom w:val="single" w:sz="4" w:space="0" w:color="auto"/>
              <w:right w:val="single" w:sz="4" w:space="0" w:color="auto"/>
            </w:tcBorders>
            <w:shd w:val="clear" w:color="000000" w:fill="F2F2F2"/>
            <w:noWrap/>
            <w:vAlign w:val="center"/>
            <w:hideMark/>
          </w:tcPr>
          <w:p w14:paraId="2A7CDD97"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$ 10.271.716</w:t>
            </w:r>
          </w:p>
        </w:tc>
        <w:tc>
          <w:tcPr>
            <w:tcW w:w="1200" w:type="dxa"/>
            <w:tcBorders>
              <w:top w:val="nil"/>
              <w:left w:val="nil"/>
              <w:bottom w:val="single" w:sz="4" w:space="0" w:color="auto"/>
              <w:right w:val="single" w:sz="4" w:space="0" w:color="auto"/>
            </w:tcBorders>
            <w:shd w:val="clear" w:color="000000" w:fill="F2F2F2"/>
            <w:noWrap/>
            <w:vAlign w:val="center"/>
            <w:hideMark/>
          </w:tcPr>
          <w:p w14:paraId="134DBE01"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$ 427</w:t>
            </w:r>
          </w:p>
        </w:tc>
        <w:tc>
          <w:tcPr>
            <w:tcW w:w="1280" w:type="dxa"/>
            <w:tcBorders>
              <w:top w:val="nil"/>
              <w:left w:val="nil"/>
              <w:bottom w:val="single" w:sz="4" w:space="0" w:color="auto"/>
              <w:right w:val="single" w:sz="4" w:space="0" w:color="auto"/>
            </w:tcBorders>
            <w:shd w:val="clear" w:color="000000" w:fill="F2F2F2"/>
            <w:noWrap/>
            <w:vAlign w:val="center"/>
            <w:hideMark/>
          </w:tcPr>
          <w:p w14:paraId="287EDF2B"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$ 10.272.144</w:t>
            </w:r>
          </w:p>
        </w:tc>
      </w:tr>
      <w:tr w:rsidR="00B07312" w:rsidRPr="006B48D3" w14:paraId="565CE6AC" w14:textId="77777777" w:rsidTr="006B48D3">
        <w:trPr>
          <w:trHeight w:val="277"/>
        </w:trPr>
        <w:tc>
          <w:tcPr>
            <w:tcW w:w="407" w:type="dxa"/>
            <w:tcBorders>
              <w:top w:val="nil"/>
              <w:left w:val="single" w:sz="4" w:space="0" w:color="auto"/>
              <w:bottom w:val="single" w:sz="4" w:space="0" w:color="auto"/>
              <w:right w:val="single" w:sz="4" w:space="0" w:color="auto"/>
            </w:tcBorders>
            <w:shd w:val="clear" w:color="000000" w:fill="F2F2F2"/>
            <w:noWrap/>
            <w:vAlign w:val="center"/>
            <w:hideMark/>
          </w:tcPr>
          <w:p w14:paraId="20A34EAB" w14:textId="77777777" w:rsidR="00B07312" w:rsidRPr="006B48D3" w:rsidRDefault="00B07312" w:rsidP="00D22441">
            <w:pPr>
              <w:jc w:val="center"/>
              <w:rPr>
                <w:rFonts w:ascii="Arial Narrow" w:hAnsi="Arial Narrow" w:cs="Arial"/>
                <w:spacing w:val="0"/>
                <w:sz w:val="16"/>
                <w:szCs w:val="16"/>
                <w:lang w:eastAsia="es-CO"/>
              </w:rPr>
            </w:pPr>
            <w:r w:rsidRPr="006B48D3">
              <w:rPr>
                <w:rFonts w:ascii="Arial Narrow" w:hAnsi="Arial Narrow" w:cs="Arial"/>
                <w:spacing w:val="0"/>
                <w:sz w:val="16"/>
                <w:szCs w:val="16"/>
                <w:lang w:eastAsia="es-CO"/>
              </w:rPr>
              <w:t>27</w:t>
            </w:r>
          </w:p>
        </w:tc>
        <w:tc>
          <w:tcPr>
            <w:tcW w:w="585" w:type="dxa"/>
            <w:tcBorders>
              <w:top w:val="nil"/>
              <w:left w:val="nil"/>
              <w:bottom w:val="single" w:sz="4" w:space="0" w:color="auto"/>
              <w:right w:val="single" w:sz="4" w:space="0" w:color="auto"/>
            </w:tcBorders>
            <w:shd w:val="clear" w:color="000000" w:fill="F2F2F2"/>
            <w:noWrap/>
            <w:vAlign w:val="center"/>
            <w:hideMark/>
          </w:tcPr>
          <w:p w14:paraId="340DC0FA"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3080</w:t>
            </w:r>
          </w:p>
        </w:tc>
        <w:tc>
          <w:tcPr>
            <w:tcW w:w="941" w:type="dxa"/>
            <w:tcBorders>
              <w:top w:val="nil"/>
              <w:left w:val="nil"/>
              <w:bottom w:val="single" w:sz="4" w:space="0" w:color="auto"/>
              <w:right w:val="single" w:sz="4" w:space="0" w:color="auto"/>
            </w:tcBorders>
            <w:shd w:val="clear" w:color="000000" w:fill="F2F2F2"/>
            <w:noWrap/>
            <w:vAlign w:val="center"/>
            <w:hideMark/>
          </w:tcPr>
          <w:p w14:paraId="0EB0FBE8"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822004727</w:t>
            </w:r>
          </w:p>
        </w:tc>
        <w:tc>
          <w:tcPr>
            <w:tcW w:w="3247" w:type="dxa"/>
            <w:tcBorders>
              <w:top w:val="nil"/>
              <w:left w:val="nil"/>
              <w:bottom w:val="single" w:sz="4" w:space="0" w:color="auto"/>
              <w:right w:val="single" w:sz="4" w:space="0" w:color="auto"/>
            </w:tcBorders>
            <w:shd w:val="clear" w:color="000000" w:fill="F2F2F2"/>
            <w:vAlign w:val="center"/>
            <w:hideMark/>
          </w:tcPr>
          <w:p w14:paraId="36BCB8E4" w14:textId="77777777" w:rsidR="00B07312" w:rsidRPr="006B48D3" w:rsidRDefault="00B07312" w:rsidP="00D22441">
            <w:pPr>
              <w:jc w:val="left"/>
              <w:rPr>
                <w:rFonts w:ascii="Arial Narrow" w:hAnsi="Arial Narrow" w:cs="Arial"/>
                <w:spacing w:val="0"/>
                <w:sz w:val="16"/>
                <w:szCs w:val="16"/>
                <w:lang w:eastAsia="es-CO"/>
              </w:rPr>
            </w:pPr>
            <w:r w:rsidRPr="006B48D3">
              <w:rPr>
                <w:rFonts w:ascii="Arial Narrow" w:hAnsi="Arial Narrow" w:cs="Arial"/>
                <w:spacing w:val="0"/>
                <w:sz w:val="16"/>
                <w:szCs w:val="16"/>
                <w:lang w:eastAsia="es-CO"/>
              </w:rPr>
              <w:t>LA LLAMA OLÍMPICA S.A, E.S.P.</w:t>
            </w:r>
          </w:p>
        </w:tc>
        <w:tc>
          <w:tcPr>
            <w:tcW w:w="1620" w:type="dxa"/>
            <w:tcBorders>
              <w:top w:val="nil"/>
              <w:left w:val="nil"/>
              <w:bottom w:val="single" w:sz="4" w:space="0" w:color="auto"/>
              <w:right w:val="single" w:sz="4" w:space="0" w:color="auto"/>
            </w:tcBorders>
            <w:shd w:val="clear" w:color="000000" w:fill="F2F2F2"/>
            <w:noWrap/>
            <w:vAlign w:val="center"/>
            <w:hideMark/>
          </w:tcPr>
          <w:p w14:paraId="010DD2DB"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$ 246.353.000</w:t>
            </w:r>
          </w:p>
        </w:tc>
        <w:tc>
          <w:tcPr>
            <w:tcW w:w="1520" w:type="dxa"/>
            <w:tcBorders>
              <w:top w:val="nil"/>
              <w:left w:val="nil"/>
              <w:bottom w:val="single" w:sz="4" w:space="0" w:color="auto"/>
              <w:right w:val="single" w:sz="4" w:space="0" w:color="auto"/>
            </w:tcBorders>
            <w:shd w:val="clear" w:color="000000" w:fill="F2F2F2"/>
            <w:noWrap/>
            <w:vAlign w:val="center"/>
            <w:hideMark/>
          </w:tcPr>
          <w:p w14:paraId="0A5ECEBD"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$ 11.562.945</w:t>
            </w:r>
          </w:p>
        </w:tc>
        <w:tc>
          <w:tcPr>
            <w:tcW w:w="1460" w:type="dxa"/>
            <w:tcBorders>
              <w:top w:val="nil"/>
              <w:left w:val="nil"/>
              <w:bottom w:val="single" w:sz="4" w:space="0" w:color="auto"/>
              <w:right w:val="single" w:sz="4" w:space="0" w:color="auto"/>
            </w:tcBorders>
            <w:shd w:val="clear" w:color="000000" w:fill="F2F2F2"/>
            <w:noWrap/>
            <w:vAlign w:val="center"/>
            <w:hideMark/>
          </w:tcPr>
          <w:p w14:paraId="722DDE75"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$ 257.915.945</w:t>
            </w:r>
          </w:p>
        </w:tc>
        <w:tc>
          <w:tcPr>
            <w:tcW w:w="1280" w:type="dxa"/>
            <w:tcBorders>
              <w:top w:val="nil"/>
              <w:left w:val="nil"/>
              <w:bottom w:val="single" w:sz="4" w:space="0" w:color="auto"/>
              <w:right w:val="single" w:sz="4" w:space="0" w:color="auto"/>
            </w:tcBorders>
            <w:shd w:val="clear" w:color="000000" w:fill="F2F2F2"/>
            <w:noWrap/>
            <w:vAlign w:val="center"/>
            <w:hideMark/>
          </w:tcPr>
          <w:p w14:paraId="64BC23E1"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$ 2.579.159</w:t>
            </w:r>
          </w:p>
        </w:tc>
        <w:tc>
          <w:tcPr>
            <w:tcW w:w="1200" w:type="dxa"/>
            <w:tcBorders>
              <w:top w:val="nil"/>
              <w:left w:val="nil"/>
              <w:bottom w:val="single" w:sz="4" w:space="0" w:color="auto"/>
              <w:right w:val="single" w:sz="4" w:space="0" w:color="auto"/>
            </w:tcBorders>
            <w:shd w:val="clear" w:color="000000" w:fill="F2F2F2"/>
            <w:noWrap/>
            <w:vAlign w:val="center"/>
            <w:hideMark/>
          </w:tcPr>
          <w:p w14:paraId="20B94A3A"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$ 107</w:t>
            </w:r>
          </w:p>
        </w:tc>
        <w:tc>
          <w:tcPr>
            <w:tcW w:w="1280" w:type="dxa"/>
            <w:tcBorders>
              <w:top w:val="nil"/>
              <w:left w:val="nil"/>
              <w:bottom w:val="single" w:sz="4" w:space="0" w:color="auto"/>
              <w:right w:val="single" w:sz="4" w:space="0" w:color="auto"/>
            </w:tcBorders>
            <w:shd w:val="clear" w:color="000000" w:fill="F2F2F2"/>
            <w:noWrap/>
            <w:vAlign w:val="center"/>
            <w:hideMark/>
          </w:tcPr>
          <w:p w14:paraId="7F616497"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$ 2.579.267</w:t>
            </w:r>
          </w:p>
        </w:tc>
      </w:tr>
      <w:tr w:rsidR="00B07312" w:rsidRPr="006B48D3" w14:paraId="713DC79B" w14:textId="77777777" w:rsidTr="006B48D3">
        <w:trPr>
          <w:trHeight w:val="315"/>
        </w:trPr>
        <w:tc>
          <w:tcPr>
            <w:tcW w:w="407" w:type="dxa"/>
            <w:tcBorders>
              <w:top w:val="nil"/>
              <w:left w:val="single" w:sz="4" w:space="0" w:color="auto"/>
              <w:bottom w:val="single" w:sz="4" w:space="0" w:color="auto"/>
              <w:right w:val="single" w:sz="4" w:space="0" w:color="auto"/>
            </w:tcBorders>
            <w:shd w:val="clear" w:color="000000" w:fill="F2F2F2"/>
            <w:noWrap/>
            <w:vAlign w:val="center"/>
            <w:hideMark/>
          </w:tcPr>
          <w:p w14:paraId="450A2B07" w14:textId="77777777" w:rsidR="00B07312" w:rsidRPr="006B48D3" w:rsidRDefault="00B07312" w:rsidP="00D22441">
            <w:pPr>
              <w:jc w:val="center"/>
              <w:rPr>
                <w:rFonts w:ascii="Arial Narrow" w:hAnsi="Arial Narrow" w:cs="Arial"/>
                <w:spacing w:val="0"/>
                <w:sz w:val="16"/>
                <w:szCs w:val="16"/>
                <w:lang w:eastAsia="es-CO"/>
              </w:rPr>
            </w:pPr>
            <w:r w:rsidRPr="006B48D3">
              <w:rPr>
                <w:rFonts w:ascii="Arial Narrow" w:hAnsi="Arial Narrow" w:cs="Arial"/>
                <w:spacing w:val="0"/>
                <w:sz w:val="16"/>
                <w:szCs w:val="16"/>
                <w:lang w:eastAsia="es-CO"/>
              </w:rPr>
              <w:t>28</w:t>
            </w:r>
          </w:p>
        </w:tc>
        <w:tc>
          <w:tcPr>
            <w:tcW w:w="585" w:type="dxa"/>
            <w:tcBorders>
              <w:top w:val="nil"/>
              <w:left w:val="nil"/>
              <w:bottom w:val="single" w:sz="4" w:space="0" w:color="auto"/>
              <w:right w:val="single" w:sz="4" w:space="0" w:color="auto"/>
            </w:tcBorders>
            <w:shd w:val="clear" w:color="000000" w:fill="F2F2F2"/>
            <w:noWrap/>
            <w:vAlign w:val="center"/>
            <w:hideMark/>
          </w:tcPr>
          <w:p w14:paraId="32217D84"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543</w:t>
            </w:r>
          </w:p>
        </w:tc>
        <w:tc>
          <w:tcPr>
            <w:tcW w:w="941" w:type="dxa"/>
            <w:tcBorders>
              <w:top w:val="nil"/>
              <w:left w:val="nil"/>
              <w:bottom w:val="single" w:sz="4" w:space="0" w:color="auto"/>
              <w:right w:val="single" w:sz="4" w:space="0" w:color="auto"/>
            </w:tcBorders>
            <w:shd w:val="clear" w:color="000000" w:fill="F2F2F2"/>
            <w:noWrap/>
            <w:vAlign w:val="center"/>
            <w:hideMark/>
          </w:tcPr>
          <w:p w14:paraId="49D8FFDA"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827000149</w:t>
            </w:r>
          </w:p>
        </w:tc>
        <w:tc>
          <w:tcPr>
            <w:tcW w:w="3247" w:type="dxa"/>
            <w:tcBorders>
              <w:top w:val="nil"/>
              <w:left w:val="nil"/>
              <w:bottom w:val="single" w:sz="4" w:space="0" w:color="auto"/>
              <w:right w:val="single" w:sz="4" w:space="0" w:color="auto"/>
            </w:tcBorders>
            <w:shd w:val="clear" w:color="000000" w:fill="F2F2F2"/>
            <w:vAlign w:val="center"/>
            <w:hideMark/>
          </w:tcPr>
          <w:p w14:paraId="24DC324D" w14:textId="77777777" w:rsidR="00B07312" w:rsidRPr="006B48D3" w:rsidRDefault="00B07312" w:rsidP="00D22441">
            <w:pPr>
              <w:jc w:val="left"/>
              <w:rPr>
                <w:rFonts w:ascii="Arial Narrow" w:hAnsi="Arial Narrow" w:cs="Arial"/>
                <w:spacing w:val="0"/>
                <w:sz w:val="16"/>
                <w:szCs w:val="16"/>
                <w:lang w:eastAsia="es-CO"/>
              </w:rPr>
            </w:pPr>
            <w:r w:rsidRPr="006B48D3">
              <w:rPr>
                <w:rFonts w:ascii="Arial Narrow" w:hAnsi="Arial Narrow" w:cs="Arial"/>
                <w:spacing w:val="0"/>
                <w:sz w:val="16"/>
                <w:szCs w:val="16"/>
                <w:lang w:eastAsia="es-CO"/>
              </w:rPr>
              <w:t>PROVIGAS S.A.  E.S.P.</w:t>
            </w:r>
          </w:p>
        </w:tc>
        <w:tc>
          <w:tcPr>
            <w:tcW w:w="1620" w:type="dxa"/>
            <w:tcBorders>
              <w:top w:val="nil"/>
              <w:left w:val="nil"/>
              <w:bottom w:val="single" w:sz="4" w:space="0" w:color="auto"/>
              <w:right w:val="single" w:sz="4" w:space="0" w:color="auto"/>
            </w:tcBorders>
            <w:shd w:val="clear" w:color="000000" w:fill="F2F2F2"/>
            <w:noWrap/>
            <w:vAlign w:val="center"/>
            <w:hideMark/>
          </w:tcPr>
          <w:p w14:paraId="2E82813A"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$ 1.529.175.834</w:t>
            </w:r>
          </w:p>
        </w:tc>
        <w:tc>
          <w:tcPr>
            <w:tcW w:w="1520" w:type="dxa"/>
            <w:tcBorders>
              <w:top w:val="nil"/>
              <w:left w:val="nil"/>
              <w:bottom w:val="single" w:sz="4" w:space="0" w:color="auto"/>
              <w:right w:val="single" w:sz="4" w:space="0" w:color="auto"/>
            </w:tcBorders>
            <w:shd w:val="clear" w:color="000000" w:fill="F2F2F2"/>
            <w:noWrap/>
            <w:vAlign w:val="center"/>
            <w:hideMark/>
          </w:tcPr>
          <w:p w14:paraId="5FA44BF6"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$ 0</w:t>
            </w:r>
          </w:p>
        </w:tc>
        <w:tc>
          <w:tcPr>
            <w:tcW w:w="1460" w:type="dxa"/>
            <w:tcBorders>
              <w:top w:val="nil"/>
              <w:left w:val="nil"/>
              <w:bottom w:val="single" w:sz="4" w:space="0" w:color="auto"/>
              <w:right w:val="single" w:sz="4" w:space="0" w:color="auto"/>
            </w:tcBorders>
            <w:shd w:val="clear" w:color="000000" w:fill="F2F2F2"/>
            <w:noWrap/>
            <w:vAlign w:val="center"/>
            <w:hideMark/>
          </w:tcPr>
          <w:p w14:paraId="3D02F78E"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$ 1.529.175.834</w:t>
            </w:r>
          </w:p>
        </w:tc>
        <w:tc>
          <w:tcPr>
            <w:tcW w:w="1280" w:type="dxa"/>
            <w:tcBorders>
              <w:top w:val="nil"/>
              <w:left w:val="nil"/>
              <w:bottom w:val="single" w:sz="4" w:space="0" w:color="auto"/>
              <w:right w:val="single" w:sz="4" w:space="0" w:color="auto"/>
            </w:tcBorders>
            <w:shd w:val="clear" w:color="000000" w:fill="F2F2F2"/>
            <w:noWrap/>
            <w:vAlign w:val="center"/>
            <w:hideMark/>
          </w:tcPr>
          <w:p w14:paraId="35DFDE99"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$ 15.291.758</w:t>
            </w:r>
          </w:p>
        </w:tc>
        <w:tc>
          <w:tcPr>
            <w:tcW w:w="1200" w:type="dxa"/>
            <w:tcBorders>
              <w:top w:val="nil"/>
              <w:left w:val="nil"/>
              <w:bottom w:val="single" w:sz="4" w:space="0" w:color="auto"/>
              <w:right w:val="single" w:sz="4" w:space="0" w:color="auto"/>
            </w:tcBorders>
            <w:shd w:val="clear" w:color="000000" w:fill="F2F2F2"/>
            <w:noWrap/>
            <w:vAlign w:val="center"/>
            <w:hideMark/>
          </w:tcPr>
          <w:p w14:paraId="686B6F84"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$ 636</w:t>
            </w:r>
          </w:p>
        </w:tc>
        <w:tc>
          <w:tcPr>
            <w:tcW w:w="1280" w:type="dxa"/>
            <w:tcBorders>
              <w:top w:val="nil"/>
              <w:left w:val="nil"/>
              <w:bottom w:val="single" w:sz="4" w:space="0" w:color="auto"/>
              <w:right w:val="single" w:sz="4" w:space="0" w:color="auto"/>
            </w:tcBorders>
            <w:shd w:val="clear" w:color="000000" w:fill="F2F2F2"/>
            <w:noWrap/>
            <w:vAlign w:val="center"/>
            <w:hideMark/>
          </w:tcPr>
          <w:p w14:paraId="7CA21648"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$ 15.292.395</w:t>
            </w:r>
          </w:p>
        </w:tc>
      </w:tr>
      <w:tr w:rsidR="00B07312" w:rsidRPr="006B48D3" w14:paraId="383444A9" w14:textId="77777777" w:rsidTr="006B48D3">
        <w:trPr>
          <w:trHeight w:val="231"/>
        </w:trPr>
        <w:tc>
          <w:tcPr>
            <w:tcW w:w="407" w:type="dxa"/>
            <w:tcBorders>
              <w:top w:val="nil"/>
              <w:left w:val="single" w:sz="4" w:space="0" w:color="auto"/>
              <w:bottom w:val="single" w:sz="4" w:space="0" w:color="auto"/>
              <w:right w:val="single" w:sz="4" w:space="0" w:color="auto"/>
            </w:tcBorders>
            <w:shd w:val="clear" w:color="000000" w:fill="F2F2F2"/>
            <w:noWrap/>
            <w:vAlign w:val="center"/>
            <w:hideMark/>
          </w:tcPr>
          <w:p w14:paraId="6A1F8476" w14:textId="77777777" w:rsidR="00B07312" w:rsidRPr="006B48D3" w:rsidRDefault="00B07312" w:rsidP="00D22441">
            <w:pPr>
              <w:jc w:val="center"/>
              <w:rPr>
                <w:rFonts w:ascii="Arial Narrow" w:hAnsi="Arial Narrow" w:cs="Arial"/>
                <w:spacing w:val="0"/>
                <w:sz w:val="16"/>
                <w:szCs w:val="16"/>
                <w:lang w:eastAsia="es-CO"/>
              </w:rPr>
            </w:pPr>
            <w:r w:rsidRPr="006B48D3">
              <w:rPr>
                <w:rFonts w:ascii="Arial Narrow" w:hAnsi="Arial Narrow" w:cs="Arial"/>
                <w:spacing w:val="0"/>
                <w:sz w:val="16"/>
                <w:szCs w:val="16"/>
                <w:lang w:eastAsia="es-CO"/>
              </w:rPr>
              <w:t>29</w:t>
            </w:r>
          </w:p>
        </w:tc>
        <w:tc>
          <w:tcPr>
            <w:tcW w:w="585" w:type="dxa"/>
            <w:tcBorders>
              <w:top w:val="nil"/>
              <w:left w:val="nil"/>
              <w:bottom w:val="single" w:sz="4" w:space="0" w:color="auto"/>
              <w:right w:val="single" w:sz="4" w:space="0" w:color="auto"/>
            </w:tcBorders>
            <w:shd w:val="clear" w:color="000000" w:fill="F2F2F2"/>
            <w:noWrap/>
            <w:vAlign w:val="center"/>
            <w:hideMark/>
          </w:tcPr>
          <w:p w14:paraId="56298625"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2180</w:t>
            </w:r>
          </w:p>
        </w:tc>
        <w:tc>
          <w:tcPr>
            <w:tcW w:w="941" w:type="dxa"/>
            <w:tcBorders>
              <w:top w:val="nil"/>
              <w:left w:val="nil"/>
              <w:bottom w:val="single" w:sz="4" w:space="0" w:color="auto"/>
              <w:right w:val="single" w:sz="4" w:space="0" w:color="auto"/>
            </w:tcBorders>
            <w:shd w:val="clear" w:color="000000" w:fill="F2F2F2"/>
            <w:noWrap/>
            <w:vAlign w:val="center"/>
            <w:hideMark/>
          </w:tcPr>
          <w:p w14:paraId="120C2D22"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828000499</w:t>
            </w:r>
          </w:p>
        </w:tc>
        <w:tc>
          <w:tcPr>
            <w:tcW w:w="3247" w:type="dxa"/>
            <w:tcBorders>
              <w:top w:val="nil"/>
              <w:left w:val="nil"/>
              <w:bottom w:val="single" w:sz="4" w:space="0" w:color="auto"/>
              <w:right w:val="single" w:sz="4" w:space="0" w:color="auto"/>
            </w:tcBorders>
            <w:shd w:val="clear" w:color="000000" w:fill="F2F2F2"/>
            <w:vAlign w:val="center"/>
            <w:hideMark/>
          </w:tcPr>
          <w:p w14:paraId="782C3635" w14:textId="77777777" w:rsidR="00B07312" w:rsidRPr="006B48D3" w:rsidRDefault="00B07312" w:rsidP="00D22441">
            <w:pPr>
              <w:jc w:val="left"/>
              <w:rPr>
                <w:rFonts w:ascii="Arial Narrow" w:hAnsi="Arial Narrow" w:cs="Arial"/>
                <w:spacing w:val="0"/>
                <w:sz w:val="16"/>
                <w:szCs w:val="16"/>
                <w:lang w:eastAsia="es-CO"/>
              </w:rPr>
            </w:pPr>
            <w:r w:rsidRPr="006B48D3">
              <w:rPr>
                <w:rFonts w:ascii="Arial Narrow" w:hAnsi="Arial Narrow" w:cs="Arial"/>
                <w:spacing w:val="0"/>
                <w:sz w:val="16"/>
                <w:szCs w:val="16"/>
                <w:lang w:eastAsia="es-CO"/>
              </w:rPr>
              <w:t xml:space="preserve">GAS CAQUETA </w:t>
            </w:r>
            <w:proofErr w:type="gramStart"/>
            <w:r w:rsidRPr="006B48D3">
              <w:rPr>
                <w:rFonts w:ascii="Arial Narrow" w:hAnsi="Arial Narrow" w:cs="Arial"/>
                <w:spacing w:val="0"/>
                <w:sz w:val="16"/>
                <w:szCs w:val="16"/>
                <w:lang w:eastAsia="es-CO"/>
              </w:rPr>
              <w:t>S.A  E</w:t>
            </w:r>
            <w:proofErr w:type="gramEnd"/>
            <w:r w:rsidRPr="006B48D3">
              <w:rPr>
                <w:rFonts w:ascii="Arial Narrow" w:hAnsi="Arial Narrow" w:cs="Arial"/>
                <w:spacing w:val="0"/>
                <w:sz w:val="16"/>
                <w:szCs w:val="16"/>
                <w:lang w:eastAsia="es-CO"/>
              </w:rPr>
              <w:t>.S.P</w:t>
            </w:r>
          </w:p>
        </w:tc>
        <w:tc>
          <w:tcPr>
            <w:tcW w:w="1620" w:type="dxa"/>
            <w:tcBorders>
              <w:top w:val="nil"/>
              <w:left w:val="nil"/>
              <w:bottom w:val="single" w:sz="4" w:space="0" w:color="auto"/>
              <w:right w:val="single" w:sz="4" w:space="0" w:color="auto"/>
            </w:tcBorders>
            <w:shd w:val="clear" w:color="000000" w:fill="F2F2F2"/>
            <w:noWrap/>
            <w:vAlign w:val="center"/>
            <w:hideMark/>
          </w:tcPr>
          <w:p w14:paraId="53288CAF"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$ 3.976.825.000</w:t>
            </w:r>
          </w:p>
        </w:tc>
        <w:tc>
          <w:tcPr>
            <w:tcW w:w="1520" w:type="dxa"/>
            <w:tcBorders>
              <w:top w:val="nil"/>
              <w:left w:val="nil"/>
              <w:bottom w:val="single" w:sz="4" w:space="0" w:color="auto"/>
              <w:right w:val="single" w:sz="4" w:space="0" w:color="auto"/>
            </w:tcBorders>
            <w:shd w:val="clear" w:color="000000" w:fill="F2F2F2"/>
            <w:noWrap/>
            <w:vAlign w:val="center"/>
            <w:hideMark/>
          </w:tcPr>
          <w:p w14:paraId="55A9F21C"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$ 62.460.837</w:t>
            </w:r>
          </w:p>
        </w:tc>
        <w:tc>
          <w:tcPr>
            <w:tcW w:w="1460" w:type="dxa"/>
            <w:tcBorders>
              <w:top w:val="nil"/>
              <w:left w:val="nil"/>
              <w:bottom w:val="single" w:sz="4" w:space="0" w:color="auto"/>
              <w:right w:val="single" w:sz="4" w:space="0" w:color="auto"/>
            </w:tcBorders>
            <w:shd w:val="clear" w:color="000000" w:fill="F2F2F2"/>
            <w:noWrap/>
            <w:vAlign w:val="center"/>
            <w:hideMark/>
          </w:tcPr>
          <w:p w14:paraId="73BA0285"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$ 4.039.285.837</w:t>
            </w:r>
          </w:p>
        </w:tc>
        <w:tc>
          <w:tcPr>
            <w:tcW w:w="1280" w:type="dxa"/>
            <w:tcBorders>
              <w:top w:val="nil"/>
              <w:left w:val="nil"/>
              <w:bottom w:val="single" w:sz="4" w:space="0" w:color="auto"/>
              <w:right w:val="single" w:sz="4" w:space="0" w:color="auto"/>
            </w:tcBorders>
            <w:shd w:val="clear" w:color="000000" w:fill="F2F2F2"/>
            <w:noWrap/>
            <w:vAlign w:val="center"/>
            <w:hideMark/>
          </w:tcPr>
          <w:p w14:paraId="41FFAD2A"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$ 40.392.858</w:t>
            </w:r>
          </w:p>
        </w:tc>
        <w:tc>
          <w:tcPr>
            <w:tcW w:w="1200" w:type="dxa"/>
            <w:tcBorders>
              <w:top w:val="nil"/>
              <w:left w:val="nil"/>
              <w:bottom w:val="single" w:sz="4" w:space="0" w:color="auto"/>
              <w:right w:val="single" w:sz="4" w:space="0" w:color="auto"/>
            </w:tcBorders>
            <w:shd w:val="clear" w:color="000000" w:fill="F2F2F2"/>
            <w:noWrap/>
            <w:vAlign w:val="center"/>
            <w:hideMark/>
          </w:tcPr>
          <w:p w14:paraId="08A3000C"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$ 1.681</w:t>
            </w:r>
          </w:p>
        </w:tc>
        <w:tc>
          <w:tcPr>
            <w:tcW w:w="1280" w:type="dxa"/>
            <w:tcBorders>
              <w:top w:val="nil"/>
              <w:left w:val="nil"/>
              <w:bottom w:val="single" w:sz="4" w:space="0" w:color="auto"/>
              <w:right w:val="single" w:sz="4" w:space="0" w:color="auto"/>
            </w:tcBorders>
            <w:shd w:val="clear" w:color="000000" w:fill="F2F2F2"/>
            <w:noWrap/>
            <w:vAlign w:val="center"/>
            <w:hideMark/>
          </w:tcPr>
          <w:p w14:paraId="70459364"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$ 40.394.539</w:t>
            </w:r>
          </w:p>
        </w:tc>
      </w:tr>
      <w:tr w:rsidR="00B07312" w:rsidRPr="006B48D3" w14:paraId="11D644BC" w14:textId="77777777" w:rsidTr="006B48D3">
        <w:trPr>
          <w:trHeight w:val="323"/>
        </w:trPr>
        <w:tc>
          <w:tcPr>
            <w:tcW w:w="407" w:type="dxa"/>
            <w:tcBorders>
              <w:top w:val="nil"/>
              <w:left w:val="single" w:sz="4" w:space="0" w:color="auto"/>
              <w:bottom w:val="single" w:sz="4" w:space="0" w:color="auto"/>
              <w:right w:val="single" w:sz="4" w:space="0" w:color="auto"/>
            </w:tcBorders>
            <w:shd w:val="clear" w:color="000000" w:fill="F2F2F2"/>
            <w:noWrap/>
            <w:vAlign w:val="center"/>
            <w:hideMark/>
          </w:tcPr>
          <w:p w14:paraId="483ADF6F" w14:textId="77777777" w:rsidR="00B07312" w:rsidRPr="006B48D3" w:rsidRDefault="00B07312" w:rsidP="00D22441">
            <w:pPr>
              <w:jc w:val="center"/>
              <w:rPr>
                <w:rFonts w:ascii="Arial Narrow" w:hAnsi="Arial Narrow" w:cs="Arial"/>
                <w:spacing w:val="0"/>
                <w:sz w:val="16"/>
                <w:szCs w:val="16"/>
                <w:lang w:eastAsia="es-CO"/>
              </w:rPr>
            </w:pPr>
            <w:r w:rsidRPr="006B48D3">
              <w:rPr>
                <w:rFonts w:ascii="Arial Narrow" w:hAnsi="Arial Narrow" w:cs="Arial"/>
                <w:spacing w:val="0"/>
                <w:sz w:val="16"/>
                <w:szCs w:val="16"/>
                <w:lang w:eastAsia="es-CO"/>
              </w:rPr>
              <w:t>30</w:t>
            </w:r>
          </w:p>
        </w:tc>
        <w:tc>
          <w:tcPr>
            <w:tcW w:w="585" w:type="dxa"/>
            <w:tcBorders>
              <w:top w:val="nil"/>
              <w:left w:val="nil"/>
              <w:bottom w:val="single" w:sz="4" w:space="0" w:color="auto"/>
              <w:right w:val="single" w:sz="4" w:space="0" w:color="auto"/>
            </w:tcBorders>
            <w:shd w:val="clear" w:color="000000" w:fill="F2F2F2"/>
            <w:noWrap/>
            <w:vAlign w:val="center"/>
            <w:hideMark/>
          </w:tcPr>
          <w:p w14:paraId="159A8F93"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26053</w:t>
            </w:r>
          </w:p>
        </w:tc>
        <w:tc>
          <w:tcPr>
            <w:tcW w:w="941" w:type="dxa"/>
            <w:tcBorders>
              <w:top w:val="nil"/>
              <w:left w:val="nil"/>
              <w:bottom w:val="single" w:sz="4" w:space="0" w:color="auto"/>
              <w:right w:val="single" w:sz="4" w:space="0" w:color="auto"/>
            </w:tcBorders>
            <w:shd w:val="clear" w:color="000000" w:fill="F2F2F2"/>
            <w:noWrap/>
            <w:vAlign w:val="center"/>
            <w:hideMark/>
          </w:tcPr>
          <w:p w14:paraId="6582C39B"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830013746</w:t>
            </w:r>
          </w:p>
        </w:tc>
        <w:tc>
          <w:tcPr>
            <w:tcW w:w="3247" w:type="dxa"/>
            <w:tcBorders>
              <w:top w:val="nil"/>
              <w:left w:val="nil"/>
              <w:bottom w:val="single" w:sz="4" w:space="0" w:color="auto"/>
              <w:right w:val="single" w:sz="4" w:space="0" w:color="auto"/>
            </w:tcBorders>
            <w:shd w:val="clear" w:color="000000" w:fill="F2F2F2"/>
            <w:vAlign w:val="center"/>
            <w:hideMark/>
          </w:tcPr>
          <w:p w14:paraId="6496FCE7" w14:textId="77777777" w:rsidR="00B07312" w:rsidRPr="006B48D3" w:rsidRDefault="00B07312" w:rsidP="00D22441">
            <w:pPr>
              <w:jc w:val="left"/>
              <w:rPr>
                <w:rFonts w:ascii="Arial Narrow" w:hAnsi="Arial Narrow" w:cs="Arial"/>
                <w:spacing w:val="0"/>
                <w:sz w:val="16"/>
                <w:szCs w:val="16"/>
                <w:lang w:val="en-GB" w:eastAsia="es-CO"/>
              </w:rPr>
            </w:pPr>
            <w:r w:rsidRPr="006B48D3">
              <w:rPr>
                <w:rFonts w:ascii="Arial Narrow" w:hAnsi="Arial Narrow" w:cs="Arial"/>
                <w:spacing w:val="0"/>
                <w:sz w:val="16"/>
                <w:szCs w:val="16"/>
                <w:lang w:val="en-GB" w:eastAsia="es-CO"/>
              </w:rPr>
              <w:t>WATTLE PETROLEUM COMPANY S.A.S.</w:t>
            </w:r>
          </w:p>
        </w:tc>
        <w:tc>
          <w:tcPr>
            <w:tcW w:w="1620" w:type="dxa"/>
            <w:tcBorders>
              <w:top w:val="nil"/>
              <w:left w:val="nil"/>
              <w:bottom w:val="single" w:sz="4" w:space="0" w:color="auto"/>
              <w:right w:val="single" w:sz="4" w:space="0" w:color="auto"/>
            </w:tcBorders>
            <w:shd w:val="clear" w:color="000000" w:fill="F2F2F2"/>
            <w:noWrap/>
            <w:vAlign w:val="center"/>
            <w:hideMark/>
          </w:tcPr>
          <w:p w14:paraId="0F7123D4"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$ 3.439.517.000</w:t>
            </w:r>
          </w:p>
        </w:tc>
        <w:tc>
          <w:tcPr>
            <w:tcW w:w="1520" w:type="dxa"/>
            <w:tcBorders>
              <w:top w:val="nil"/>
              <w:left w:val="nil"/>
              <w:bottom w:val="single" w:sz="4" w:space="0" w:color="auto"/>
              <w:right w:val="single" w:sz="4" w:space="0" w:color="auto"/>
            </w:tcBorders>
            <w:shd w:val="clear" w:color="000000" w:fill="F2F2F2"/>
            <w:noWrap/>
            <w:vAlign w:val="center"/>
            <w:hideMark/>
          </w:tcPr>
          <w:p w14:paraId="027843CD"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$ 10.203.634</w:t>
            </w:r>
          </w:p>
        </w:tc>
        <w:tc>
          <w:tcPr>
            <w:tcW w:w="1460" w:type="dxa"/>
            <w:tcBorders>
              <w:top w:val="nil"/>
              <w:left w:val="nil"/>
              <w:bottom w:val="single" w:sz="4" w:space="0" w:color="auto"/>
              <w:right w:val="single" w:sz="4" w:space="0" w:color="auto"/>
            </w:tcBorders>
            <w:shd w:val="clear" w:color="000000" w:fill="F2F2F2"/>
            <w:noWrap/>
            <w:vAlign w:val="center"/>
            <w:hideMark/>
          </w:tcPr>
          <w:p w14:paraId="5ACDC366"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$ 3.449.720.634</w:t>
            </w:r>
          </w:p>
        </w:tc>
        <w:tc>
          <w:tcPr>
            <w:tcW w:w="1280" w:type="dxa"/>
            <w:tcBorders>
              <w:top w:val="nil"/>
              <w:left w:val="nil"/>
              <w:bottom w:val="single" w:sz="4" w:space="0" w:color="auto"/>
              <w:right w:val="single" w:sz="4" w:space="0" w:color="auto"/>
            </w:tcBorders>
            <w:shd w:val="clear" w:color="000000" w:fill="F2F2F2"/>
            <w:noWrap/>
            <w:vAlign w:val="center"/>
            <w:hideMark/>
          </w:tcPr>
          <w:p w14:paraId="22CDF52D"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$ 34.497.206</w:t>
            </w:r>
          </w:p>
        </w:tc>
        <w:tc>
          <w:tcPr>
            <w:tcW w:w="1200" w:type="dxa"/>
            <w:tcBorders>
              <w:top w:val="nil"/>
              <w:left w:val="nil"/>
              <w:bottom w:val="single" w:sz="4" w:space="0" w:color="auto"/>
              <w:right w:val="single" w:sz="4" w:space="0" w:color="auto"/>
            </w:tcBorders>
            <w:shd w:val="clear" w:color="000000" w:fill="F2F2F2"/>
            <w:noWrap/>
            <w:vAlign w:val="center"/>
            <w:hideMark/>
          </w:tcPr>
          <w:p w14:paraId="52439703"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$ 1.436</w:t>
            </w:r>
          </w:p>
        </w:tc>
        <w:tc>
          <w:tcPr>
            <w:tcW w:w="1280" w:type="dxa"/>
            <w:tcBorders>
              <w:top w:val="nil"/>
              <w:left w:val="nil"/>
              <w:bottom w:val="single" w:sz="4" w:space="0" w:color="auto"/>
              <w:right w:val="single" w:sz="4" w:space="0" w:color="auto"/>
            </w:tcBorders>
            <w:shd w:val="clear" w:color="000000" w:fill="F2F2F2"/>
            <w:noWrap/>
            <w:vAlign w:val="center"/>
            <w:hideMark/>
          </w:tcPr>
          <w:p w14:paraId="06053BDD"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$ 34.498.642</w:t>
            </w:r>
          </w:p>
        </w:tc>
      </w:tr>
      <w:tr w:rsidR="00B07312" w:rsidRPr="006B48D3" w14:paraId="5B51DBAD" w14:textId="77777777" w:rsidTr="00D16BC5">
        <w:trPr>
          <w:trHeight w:val="337"/>
        </w:trPr>
        <w:tc>
          <w:tcPr>
            <w:tcW w:w="407" w:type="dxa"/>
            <w:tcBorders>
              <w:top w:val="nil"/>
              <w:left w:val="single" w:sz="4" w:space="0" w:color="auto"/>
              <w:bottom w:val="single" w:sz="4" w:space="0" w:color="auto"/>
              <w:right w:val="single" w:sz="4" w:space="0" w:color="auto"/>
            </w:tcBorders>
            <w:shd w:val="clear" w:color="000000" w:fill="F2F2F2"/>
            <w:noWrap/>
            <w:vAlign w:val="center"/>
            <w:hideMark/>
          </w:tcPr>
          <w:p w14:paraId="6417A3A8" w14:textId="77777777" w:rsidR="00B07312" w:rsidRPr="006B48D3" w:rsidRDefault="00B07312" w:rsidP="00D22441">
            <w:pPr>
              <w:jc w:val="center"/>
              <w:rPr>
                <w:rFonts w:ascii="Arial Narrow" w:hAnsi="Arial Narrow" w:cs="Arial"/>
                <w:spacing w:val="0"/>
                <w:sz w:val="16"/>
                <w:szCs w:val="16"/>
                <w:lang w:eastAsia="es-CO"/>
              </w:rPr>
            </w:pPr>
            <w:r w:rsidRPr="006B48D3">
              <w:rPr>
                <w:rFonts w:ascii="Arial Narrow" w:hAnsi="Arial Narrow" w:cs="Arial"/>
                <w:spacing w:val="0"/>
                <w:sz w:val="16"/>
                <w:szCs w:val="16"/>
                <w:lang w:eastAsia="es-CO"/>
              </w:rPr>
              <w:lastRenderedPageBreak/>
              <w:t>31</w:t>
            </w:r>
          </w:p>
        </w:tc>
        <w:tc>
          <w:tcPr>
            <w:tcW w:w="585" w:type="dxa"/>
            <w:tcBorders>
              <w:top w:val="nil"/>
              <w:left w:val="nil"/>
              <w:bottom w:val="single" w:sz="4" w:space="0" w:color="auto"/>
              <w:right w:val="single" w:sz="4" w:space="0" w:color="auto"/>
            </w:tcBorders>
            <w:shd w:val="clear" w:color="000000" w:fill="F2F2F2"/>
            <w:noWrap/>
            <w:vAlign w:val="center"/>
            <w:hideMark/>
          </w:tcPr>
          <w:p w14:paraId="79EE492E"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2225</w:t>
            </w:r>
          </w:p>
        </w:tc>
        <w:tc>
          <w:tcPr>
            <w:tcW w:w="941" w:type="dxa"/>
            <w:tcBorders>
              <w:top w:val="nil"/>
              <w:left w:val="nil"/>
              <w:bottom w:val="single" w:sz="4" w:space="0" w:color="auto"/>
              <w:right w:val="single" w:sz="4" w:space="0" w:color="auto"/>
            </w:tcBorders>
            <w:shd w:val="clear" w:color="000000" w:fill="F2F2F2"/>
            <w:noWrap/>
            <w:vAlign w:val="center"/>
            <w:hideMark/>
          </w:tcPr>
          <w:p w14:paraId="457A7228"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830045472</w:t>
            </w:r>
          </w:p>
        </w:tc>
        <w:tc>
          <w:tcPr>
            <w:tcW w:w="3247" w:type="dxa"/>
            <w:tcBorders>
              <w:top w:val="nil"/>
              <w:left w:val="nil"/>
              <w:bottom w:val="single" w:sz="4" w:space="0" w:color="auto"/>
              <w:right w:val="single" w:sz="4" w:space="0" w:color="auto"/>
            </w:tcBorders>
            <w:shd w:val="clear" w:color="000000" w:fill="F2F2F2"/>
            <w:vAlign w:val="center"/>
            <w:hideMark/>
          </w:tcPr>
          <w:p w14:paraId="057A3988" w14:textId="77777777" w:rsidR="00B07312" w:rsidRPr="006B48D3" w:rsidRDefault="00B07312" w:rsidP="00D22441">
            <w:pPr>
              <w:jc w:val="left"/>
              <w:rPr>
                <w:rFonts w:ascii="Arial Narrow" w:hAnsi="Arial Narrow" w:cs="Arial"/>
                <w:spacing w:val="0"/>
                <w:sz w:val="16"/>
                <w:szCs w:val="16"/>
                <w:lang w:eastAsia="es-CO"/>
              </w:rPr>
            </w:pPr>
            <w:r w:rsidRPr="006B48D3">
              <w:rPr>
                <w:rFonts w:ascii="Arial Narrow" w:hAnsi="Arial Narrow" w:cs="Arial"/>
                <w:spacing w:val="0"/>
                <w:sz w:val="16"/>
                <w:szCs w:val="16"/>
                <w:lang w:eastAsia="es-CO"/>
              </w:rPr>
              <w:t>GAS NATURAL CUNDIBOYACENSE SA ESP</w:t>
            </w:r>
          </w:p>
        </w:tc>
        <w:tc>
          <w:tcPr>
            <w:tcW w:w="1620" w:type="dxa"/>
            <w:tcBorders>
              <w:top w:val="nil"/>
              <w:left w:val="nil"/>
              <w:bottom w:val="single" w:sz="4" w:space="0" w:color="auto"/>
              <w:right w:val="single" w:sz="4" w:space="0" w:color="auto"/>
            </w:tcBorders>
            <w:shd w:val="clear" w:color="000000" w:fill="F2F2F2"/>
            <w:noWrap/>
            <w:vAlign w:val="center"/>
            <w:hideMark/>
          </w:tcPr>
          <w:p w14:paraId="3CFDD772"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$ 6.439.263.000</w:t>
            </w:r>
          </w:p>
        </w:tc>
        <w:tc>
          <w:tcPr>
            <w:tcW w:w="1520" w:type="dxa"/>
            <w:tcBorders>
              <w:top w:val="nil"/>
              <w:left w:val="nil"/>
              <w:bottom w:val="single" w:sz="4" w:space="0" w:color="auto"/>
              <w:right w:val="single" w:sz="4" w:space="0" w:color="auto"/>
            </w:tcBorders>
            <w:shd w:val="clear" w:color="000000" w:fill="F2F2F2"/>
            <w:noWrap/>
            <w:vAlign w:val="center"/>
            <w:hideMark/>
          </w:tcPr>
          <w:p w14:paraId="713EFD5D"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$ 1.492.947.541</w:t>
            </w:r>
          </w:p>
        </w:tc>
        <w:tc>
          <w:tcPr>
            <w:tcW w:w="1460" w:type="dxa"/>
            <w:tcBorders>
              <w:top w:val="nil"/>
              <w:left w:val="nil"/>
              <w:bottom w:val="single" w:sz="4" w:space="0" w:color="auto"/>
              <w:right w:val="single" w:sz="4" w:space="0" w:color="auto"/>
            </w:tcBorders>
            <w:shd w:val="clear" w:color="000000" w:fill="F2F2F2"/>
            <w:noWrap/>
            <w:vAlign w:val="center"/>
            <w:hideMark/>
          </w:tcPr>
          <w:p w14:paraId="188AC788"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$ 7.932.210.541</w:t>
            </w:r>
          </w:p>
        </w:tc>
        <w:tc>
          <w:tcPr>
            <w:tcW w:w="1280" w:type="dxa"/>
            <w:tcBorders>
              <w:top w:val="nil"/>
              <w:left w:val="nil"/>
              <w:bottom w:val="single" w:sz="4" w:space="0" w:color="auto"/>
              <w:right w:val="single" w:sz="4" w:space="0" w:color="auto"/>
            </w:tcBorders>
            <w:shd w:val="clear" w:color="000000" w:fill="F2F2F2"/>
            <w:noWrap/>
            <w:vAlign w:val="center"/>
            <w:hideMark/>
          </w:tcPr>
          <w:p w14:paraId="1F1571DE"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$ 79.322.105</w:t>
            </w:r>
          </w:p>
        </w:tc>
        <w:tc>
          <w:tcPr>
            <w:tcW w:w="1200" w:type="dxa"/>
            <w:tcBorders>
              <w:top w:val="nil"/>
              <w:left w:val="nil"/>
              <w:bottom w:val="single" w:sz="4" w:space="0" w:color="auto"/>
              <w:right w:val="single" w:sz="4" w:space="0" w:color="auto"/>
            </w:tcBorders>
            <w:shd w:val="clear" w:color="000000" w:fill="F2F2F2"/>
            <w:noWrap/>
            <w:vAlign w:val="center"/>
            <w:hideMark/>
          </w:tcPr>
          <w:p w14:paraId="14BE13BD"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$ 3.301</w:t>
            </w:r>
          </w:p>
        </w:tc>
        <w:tc>
          <w:tcPr>
            <w:tcW w:w="1280" w:type="dxa"/>
            <w:tcBorders>
              <w:top w:val="nil"/>
              <w:left w:val="nil"/>
              <w:bottom w:val="single" w:sz="4" w:space="0" w:color="auto"/>
              <w:right w:val="single" w:sz="4" w:space="0" w:color="auto"/>
            </w:tcBorders>
            <w:shd w:val="clear" w:color="000000" w:fill="F2F2F2"/>
            <w:noWrap/>
            <w:vAlign w:val="center"/>
            <w:hideMark/>
          </w:tcPr>
          <w:p w14:paraId="5B07F514"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$ 79.325.407</w:t>
            </w:r>
          </w:p>
        </w:tc>
      </w:tr>
      <w:tr w:rsidR="00B07312" w:rsidRPr="006B48D3" w14:paraId="55AB18F7" w14:textId="77777777" w:rsidTr="006B48D3">
        <w:trPr>
          <w:trHeight w:val="343"/>
        </w:trPr>
        <w:tc>
          <w:tcPr>
            <w:tcW w:w="407" w:type="dxa"/>
            <w:tcBorders>
              <w:top w:val="nil"/>
              <w:left w:val="single" w:sz="4" w:space="0" w:color="auto"/>
              <w:bottom w:val="single" w:sz="4" w:space="0" w:color="auto"/>
              <w:right w:val="single" w:sz="4" w:space="0" w:color="auto"/>
            </w:tcBorders>
            <w:shd w:val="clear" w:color="000000" w:fill="F2F2F2"/>
            <w:noWrap/>
            <w:vAlign w:val="center"/>
            <w:hideMark/>
          </w:tcPr>
          <w:p w14:paraId="6E656CC3" w14:textId="77777777" w:rsidR="00B07312" w:rsidRPr="006B48D3" w:rsidRDefault="00B07312" w:rsidP="00D22441">
            <w:pPr>
              <w:jc w:val="center"/>
              <w:rPr>
                <w:rFonts w:ascii="Arial Narrow" w:hAnsi="Arial Narrow" w:cs="Arial"/>
                <w:spacing w:val="0"/>
                <w:sz w:val="16"/>
                <w:szCs w:val="16"/>
                <w:lang w:eastAsia="es-CO"/>
              </w:rPr>
            </w:pPr>
            <w:r w:rsidRPr="006B48D3">
              <w:rPr>
                <w:rFonts w:ascii="Arial Narrow" w:hAnsi="Arial Narrow" w:cs="Arial"/>
                <w:spacing w:val="0"/>
                <w:sz w:val="16"/>
                <w:szCs w:val="16"/>
                <w:lang w:eastAsia="es-CO"/>
              </w:rPr>
              <w:t>32</w:t>
            </w:r>
          </w:p>
        </w:tc>
        <w:tc>
          <w:tcPr>
            <w:tcW w:w="585" w:type="dxa"/>
            <w:tcBorders>
              <w:top w:val="nil"/>
              <w:left w:val="nil"/>
              <w:bottom w:val="single" w:sz="4" w:space="0" w:color="auto"/>
              <w:right w:val="single" w:sz="4" w:space="0" w:color="auto"/>
            </w:tcBorders>
            <w:shd w:val="clear" w:color="000000" w:fill="F2F2F2"/>
            <w:noWrap/>
            <w:vAlign w:val="center"/>
            <w:hideMark/>
          </w:tcPr>
          <w:p w14:paraId="440A6AC7"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1604</w:t>
            </w:r>
          </w:p>
        </w:tc>
        <w:tc>
          <w:tcPr>
            <w:tcW w:w="941" w:type="dxa"/>
            <w:tcBorders>
              <w:top w:val="nil"/>
              <w:left w:val="nil"/>
              <w:bottom w:val="single" w:sz="4" w:space="0" w:color="auto"/>
              <w:right w:val="single" w:sz="4" w:space="0" w:color="auto"/>
            </w:tcBorders>
            <w:shd w:val="clear" w:color="000000" w:fill="F2F2F2"/>
            <w:noWrap/>
            <w:vAlign w:val="center"/>
            <w:hideMark/>
          </w:tcPr>
          <w:p w14:paraId="5EAF2A89"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830046209</w:t>
            </w:r>
          </w:p>
        </w:tc>
        <w:tc>
          <w:tcPr>
            <w:tcW w:w="3247" w:type="dxa"/>
            <w:tcBorders>
              <w:top w:val="nil"/>
              <w:left w:val="nil"/>
              <w:bottom w:val="single" w:sz="4" w:space="0" w:color="auto"/>
              <w:right w:val="single" w:sz="4" w:space="0" w:color="auto"/>
            </w:tcBorders>
            <w:shd w:val="clear" w:color="000000" w:fill="F2F2F2"/>
            <w:vAlign w:val="center"/>
            <w:hideMark/>
          </w:tcPr>
          <w:p w14:paraId="00FFA63C" w14:textId="77777777" w:rsidR="00B07312" w:rsidRPr="006B48D3" w:rsidRDefault="00B07312" w:rsidP="00D22441">
            <w:pPr>
              <w:jc w:val="left"/>
              <w:rPr>
                <w:rFonts w:ascii="Arial Narrow" w:hAnsi="Arial Narrow" w:cs="Arial"/>
                <w:spacing w:val="0"/>
                <w:sz w:val="16"/>
                <w:szCs w:val="16"/>
                <w:lang w:eastAsia="es-CO"/>
              </w:rPr>
            </w:pPr>
            <w:r w:rsidRPr="006B48D3">
              <w:rPr>
                <w:rFonts w:ascii="Arial Narrow" w:hAnsi="Arial Narrow" w:cs="Arial"/>
                <w:spacing w:val="0"/>
                <w:sz w:val="16"/>
                <w:szCs w:val="16"/>
                <w:lang w:eastAsia="es-CO"/>
              </w:rPr>
              <w:t>DISTRIBUIDORA CENTRAL DE GAS SA ESP</w:t>
            </w:r>
          </w:p>
        </w:tc>
        <w:tc>
          <w:tcPr>
            <w:tcW w:w="1620" w:type="dxa"/>
            <w:tcBorders>
              <w:top w:val="nil"/>
              <w:left w:val="nil"/>
              <w:bottom w:val="single" w:sz="4" w:space="0" w:color="auto"/>
              <w:right w:val="single" w:sz="4" w:space="0" w:color="auto"/>
            </w:tcBorders>
            <w:shd w:val="clear" w:color="000000" w:fill="F2F2F2"/>
            <w:noWrap/>
            <w:vAlign w:val="center"/>
            <w:hideMark/>
          </w:tcPr>
          <w:p w14:paraId="6A9904D1"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$ 717.164.000</w:t>
            </w:r>
          </w:p>
        </w:tc>
        <w:tc>
          <w:tcPr>
            <w:tcW w:w="1520" w:type="dxa"/>
            <w:tcBorders>
              <w:top w:val="nil"/>
              <w:left w:val="nil"/>
              <w:bottom w:val="single" w:sz="4" w:space="0" w:color="auto"/>
              <w:right w:val="single" w:sz="4" w:space="0" w:color="auto"/>
            </w:tcBorders>
            <w:shd w:val="clear" w:color="000000" w:fill="F2F2F2"/>
            <w:noWrap/>
            <w:vAlign w:val="center"/>
            <w:hideMark/>
          </w:tcPr>
          <w:p w14:paraId="0B5AA889"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$ 20.934.856</w:t>
            </w:r>
          </w:p>
        </w:tc>
        <w:tc>
          <w:tcPr>
            <w:tcW w:w="1460" w:type="dxa"/>
            <w:tcBorders>
              <w:top w:val="nil"/>
              <w:left w:val="nil"/>
              <w:bottom w:val="single" w:sz="4" w:space="0" w:color="auto"/>
              <w:right w:val="single" w:sz="4" w:space="0" w:color="auto"/>
            </w:tcBorders>
            <w:shd w:val="clear" w:color="000000" w:fill="F2F2F2"/>
            <w:noWrap/>
            <w:vAlign w:val="center"/>
            <w:hideMark/>
          </w:tcPr>
          <w:p w14:paraId="30005036"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$ 738.098.856</w:t>
            </w:r>
          </w:p>
        </w:tc>
        <w:tc>
          <w:tcPr>
            <w:tcW w:w="1280" w:type="dxa"/>
            <w:tcBorders>
              <w:top w:val="nil"/>
              <w:left w:val="nil"/>
              <w:bottom w:val="single" w:sz="4" w:space="0" w:color="auto"/>
              <w:right w:val="single" w:sz="4" w:space="0" w:color="auto"/>
            </w:tcBorders>
            <w:shd w:val="clear" w:color="000000" w:fill="F2F2F2"/>
            <w:noWrap/>
            <w:vAlign w:val="center"/>
            <w:hideMark/>
          </w:tcPr>
          <w:p w14:paraId="1711E330"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$ 7.380.989</w:t>
            </w:r>
          </w:p>
        </w:tc>
        <w:tc>
          <w:tcPr>
            <w:tcW w:w="1200" w:type="dxa"/>
            <w:tcBorders>
              <w:top w:val="nil"/>
              <w:left w:val="nil"/>
              <w:bottom w:val="single" w:sz="4" w:space="0" w:color="auto"/>
              <w:right w:val="single" w:sz="4" w:space="0" w:color="auto"/>
            </w:tcBorders>
            <w:shd w:val="clear" w:color="000000" w:fill="F2F2F2"/>
            <w:noWrap/>
            <w:vAlign w:val="center"/>
            <w:hideMark/>
          </w:tcPr>
          <w:p w14:paraId="24456B6D"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$ 307</w:t>
            </w:r>
          </w:p>
        </w:tc>
        <w:tc>
          <w:tcPr>
            <w:tcW w:w="1280" w:type="dxa"/>
            <w:tcBorders>
              <w:top w:val="nil"/>
              <w:left w:val="nil"/>
              <w:bottom w:val="single" w:sz="4" w:space="0" w:color="auto"/>
              <w:right w:val="single" w:sz="4" w:space="0" w:color="auto"/>
            </w:tcBorders>
            <w:shd w:val="clear" w:color="000000" w:fill="F2F2F2"/>
            <w:noWrap/>
            <w:vAlign w:val="center"/>
            <w:hideMark/>
          </w:tcPr>
          <w:p w14:paraId="1636F6E9"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$ 7.381.296</w:t>
            </w:r>
          </w:p>
        </w:tc>
      </w:tr>
      <w:tr w:rsidR="00B07312" w:rsidRPr="006B48D3" w14:paraId="32EB2BFB" w14:textId="77777777" w:rsidTr="006B48D3">
        <w:trPr>
          <w:trHeight w:val="314"/>
        </w:trPr>
        <w:tc>
          <w:tcPr>
            <w:tcW w:w="407" w:type="dxa"/>
            <w:tcBorders>
              <w:top w:val="nil"/>
              <w:left w:val="single" w:sz="4" w:space="0" w:color="auto"/>
              <w:bottom w:val="single" w:sz="4" w:space="0" w:color="auto"/>
              <w:right w:val="single" w:sz="4" w:space="0" w:color="auto"/>
            </w:tcBorders>
            <w:shd w:val="clear" w:color="000000" w:fill="F2F2F2"/>
            <w:noWrap/>
            <w:vAlign w:val="center"/>
            <w:hideMark/>
          </w:tcPr>
          <w:p w14:paraId="1FE9B125" w14:textId="77777777" w:rsidR="00B07312" w:rsidRPr="006B48D3" w:rsidRDefault="00B07312" w:rsidP="00D22441">
            <w:pPr>
              <w:jc w:val="center"/>
              <w:rPr>
                <w:rFonts w:ascii="Arial Narrow" w:hAnsi="Arial Narrow" w:cs="Arial"/>
                <w:spacing w:val="0"/>
                <w:sz w:val="16"/>
                <w:szCs w:val="16"/>
                <w:lang w:eastAsia="es-CO"/>
              </w:rPr>
            </w:pPr>
            <w:r w:rsidRPr="006B48D3">
              <w:rPr>
                <w:rFonts w:ascii="Arial Narrow" w:hAnsi="Arial Narrow" w:cs="Arial"/>
                <w:spacing w:val="0"/>
                <w:sz w:val="16"/>
                <w:szCs w:val="16"/>
                <w:lang w:eastAsia="es-CO"/>
              </w:rPr>
              <w:t>33</w:t>
            </w:r>
          </w:p>
        </w:tc>
        <w:tc>
          <w:tcPr>
            <w:tcW w:w="585" w:type="dxa"/>
            <w:tcBorders>
              <w:top w:val="nil"/>
              <w:left w:val="nil"/>
              <w:bottom w:val="single" w:sz="4" w:space="0" w:color="auto"/>
              <w:right w:val="single" w:sz="4" w:space="0" w:color="auto"/>
            </w:tcBorders>
            <w:shd w:val="clear" w:color="000000" w:fill="F2F2F2"/>
            <w:noWrap/>
            <w:vAlign w:val="center"/>
            <w:hideMark/>
          </w:tcPr>
          <w:p w14:paraId="633DA41E"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22972</w:t>
            </w:r>
          </w:p>
        </w:tc>
        <w:tc>
          <w:tcPr>
            <w:tcW w:w="941" w:type="dxa"/>
            <w:tcBorders>
              <w:top w:val="nil"/>
              <w:left w:val="nil"/>
              <w:bottom w:val="single" w:sz="4" w:space="0" w:color="auto"/>
              <w:right w:val="single" w:sz="4" w:space="0" w:color="auto"/>
            </w:tcBorders>
            <w:shd w:val="clear" w:color="000000" w:fill="F2F2F2"/>
            <w:noWrap/>
            <w:vAlign w:val="center"/>
            <w:hideMark/>
          </w:tcPr>
          <w:p w14:paraId="4ECDFE45"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830058558</w:t>
            </w:r>
          </w:p>
        </w:tc>
        <w:tc>
          <w:tcPr>
            <w:tcW w:w="3247" w:type="dxa"/>
            <w:tcBorders>
              <w:top w:val="nil"/>
              <w:left w:val="nil"/>
              <w:bottom w:val="single" w:sz="4" w:space="0" w:color="auto"/>
              <w:right w:val="single" w:sz="4" w:space="0" w:color="auto"/>
            </w:tcBorders>
            <w:shd w:val="clear" w:color="000000" w:fill="F2F2F2"/>
            <w:vAlign w:val="center"/>
            <w:hideMark/>
          </w:tcPr>
          <w:p w14:paraId="4FA08212" w14:textId="77777777" w:rsidR="00B07312" w:rsidRPr="006B48D3" w:rsidRDefault="00B07312" w:rsidP="00D22441">
            <w:pPr>
              <w:jc w:val="left"/>
              <w:rPr>
                <w:rFonts w:ascii="Arial Narrow" w:hAnsi="Arial Narrow" w:cs="Arial"/>
                <w:spacing w:val="0"/>
                <w:sz w:val="16"/>
                <w:szCs w:val="16"/>
                <w:lang w:eastAsia="es-CO"/>
              </w:rPr>
            </w:pPr>
            <w:r w:rsidRPr="006B48D3">
              <w:rPr>
                <w:rFonts w:ascii="Arial Narrow" w:hAnsi="Arial Narrow" w:cs="Arial"/>
                <w:spacing w:val="0"/>
                <w:sz w:val="16"/>
                <w:szCs w:val="16"/>
                <w:lang w:eastAsia="es-CO"/>
              </w:rPr>
              <w:t>TY GAS S.A. E.S.P.</w:t>
            </w:r>
          </w:p>
        </w:tc>
        <w:tc>
          <w:tcPr>
            <w:tcW w:w="1620" w:type="dxa"/>
            <w:tcBorders>
              <w:top w:val="nil"/>
              <w:left w:val="nil"/>
              <w:bottom w:val="single" w:sz="4" w:space="0" w:color="auto"/>
              <w:right w:val="single" w:sz="4" w:space="0" w:color="auto"/>
            </w:tcBorders>
            <w:shd w:val="clear" w:color="000000" w:fill="F2F2F2"/>
            <w:noWrap/>
            <w:vAlign w:val="center"/>
            <w:hideMark/>
          </w:tcPr>
          <w:p w14:paraId="5BAAC0AF"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$ 1.229.766.000</w:t>
            </w:r>
          </w:p>
        </w:tc>
        <w:tc>
          <w:tcPr>
            <w:tcW w:w="1520" w:type="dxa"/>
            <w:tcBorders>
              <w:top w:val="nil"/>
              <w:left w:val="nil"/>
              <w:bottom w:val="single" w:sz="4" w:space="0" w:color="auto"/>
              <w:right w:val="single" w:sz="4" w:space="0" w:color="auto"/>
            </w:tcBorders>
            <w:shd w:val="clear" w:color="000000" w:fill="F2F2F2"/>
            <w:noWrap/>
            <w:vAlign w:val="center"/>
            <w:hideMark/>
          </w:tcPr>
          <w:p w14:paraId="40AED2BD"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$ 0</w:t>
            </w:r>
          </w:p>
        </w:tc>
        <w:tc>
          <w:tcPr>
            <w:tcW w:w="1460" w:type="dxa"/>
            <w:tcBorders>
              <w:top w:val="nil"/>
              <w:left w:val="nil"/>
              <w:bottom w:val="single" w:sz="4" w:space="0" w:color="auto"/>
              <w:right w:val="single" w:sz="4" w:space="0" w:color="auto"/>
            </w:tcBorders>
            <w:shd w:val="clear" w:color="000000" w:fill="F2F2F2"/>
            <w:noWrap/>
            <w:vAlign w:val="center"/>
            <w:hideMark/>
          </w:tcPr>
          <w:p w14:paraId="0DD77C59"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$ 1.229.766.000</w:t>
            </w:r>
          </w:p>
        </w:tc>
        <w:tc>
          <w:tcPr>
            <w:tcW w:w="1280" w:type="dxa"/>
            <w:tcBorders>
              <w:top w:val="nil"/>
              <w:left w:val="nil"/>
              <w:bottom w:val="single" w:sz="4" w:space="0" w:color="auto"/>
              <w:right w:val="single" w:sz="4" w:space="0" w:color="auto"/>
            </w:tcBorders>
            <w:shd w:val="clear" w:color="000000" w:fill="F2F2F2"/>
            <w:noWrap/>
            <w:vAlign w:val="center"/>
            <w:hideMark/>
          </w:tcPr>
          <w:p w14:paraId="1ECA1416"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$ 12.297.660</w:t>
            </w:r>
          </w:p>
        </w:tc>
        <w:tc>
          <w:tcPr>
            <w:tcW w:w="1200" w:type="dxa"/>
            <w:tcBorders>
              <w:top w:val="nil"/>
              <w:left w:val="nil"/>
              <w:bottom w:val="single" w:sz="4" w:space="0" w:color="auto"/>
              <w:right w:val="single" w:sz="4" w:space="0" w:color="auto"/>
            </w:tcBorders>
            <w:shd w:val="clear" w:color="000000" w:fill="F2F2F2"/>
            <w:noWrap/>
            <w:vAlign w:val="center"/>
            <w:hideMark/>
          </w:tcPr>
          <w:p w14:paraId="49715AD8"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$ 512</w:t>
            </w:r>
          </w:p>
        </w:tc>
        <w:tc>
          <w:tcPr>
            <w:tcW w:w="1280" w:type="dxa"/>
            <w:tcBorders>
              <w:top w:val="nil"/>
              <w:left w:val="nil"/>
              <w:bottom w:val="single" w:sz="4" w:space="0" w:color="auto"/>
              <w:right w:val="single" w:sz="4" w:space="0" w:color="auto"/>
            </w:tcBorders>
            <w:shd w:val="clear" w:color="000000" w:fill="F2F2F2"/>
            <w:noWrap/>
            <w:vAlign w:val="center"/>
            <w:hideMark/>
          </w:tcPr>
          <w:p w14:paraId="1CB6FBEB"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$ 12.298.172</w:t>
            </w:r>
          </w:p>
        </w:tc>
      </w:tr>
      <w:tr w:rsidR="00B07312" w:rsidRPr="006B48D3" w14:paraId="58E4D8E2" w14:textId="77777777" w:rsidTr="006B48D3">
        <w:trPr>
          <w:trHeight w:val="301"/>
        </w:trPr>
        <w:tc>
          <w:tcPr>
            <w:tcW w:w="407" w:type="dxa"/>
            <w:tcBorders>
              <w:top w:val="nil"/>
              <w:left w:val="single" w:sz="4" w:space="0" w:color="auto"/>
              <w:bottom w:val="single" w:sz="4" w:space="0" w:color="auto"/>
              <w:right w:val="single" w:sz="4" w:space="0" w:color="auto"/>
            </w:tcBorders>
            <w:shd w:val="clear" w:color="000000" w:fill="F2F2F2"/>
            <w:noWrap/>
            <w:vAlign w:val="center"/>
            <w:hideMark/>
          </w:tcPr>
          <w:p w14:paraId="03030C36" w14:textId="77777777" w:rsidR="00B07312" w:rsidRPr="006B48D3" w:rsidRDefault="00B07312" w:rsidP="00D22441">
            <w:pPr>
              <w:jc w:val="center"/>
              <w:rPr>
                <w:rFonts w:ascii="Arial Narrow" w:hAnsi="Arial Narrow" w:cs="Arial"/>
                <w:spacing w:val="0"/>
                <w:sz w:val="16"/>
                <w:szCs w:val="16"/>
                <w:lang w:eastAsia="es-CO"/>
              </w:rPr>
            </w:pPr>
            <w:r w:rsidRPr="006B48D3">
              <w:rPr>
                <w:rFonts w:ascii="Arial Narrow" w:hAnsi="Arial Narrow" w:cs="Arial"/>
                <w:spacing w:val="0"/>
                <w:sz w:val="16"/>
                <w:szCs w:val="16"/>
                <w:lang w:eastAsia="es-CO"/>
              </w:rPr>
              <w:t>34</w:t>
            </w:r>
          </w:p>
        </w:tc>
        <w:tc>
          <w:tcPr>
            <w:tcW w:w="585" w:type="dxa"/>
            <w:tcBorders>
              <w:top w:val="nil"/>
              <w:left w:val="nil"/>
              <w:bottom w:val="single" w:sz="4" w:space="0" w:color="auto"/>
              <w:right w:val="single" w:sz="4" w:space="0" w:color="auto"/>
            </w:tcBorders>
            <w:shd w:val="clear" w:color="000000" w:fill="F2F2F2"/>
            <w:noWrap/>
            <w:vAlign w:val="center"/>
            <w:hideMark/>
          </w:tcPr>
          <w:p w14:paraId="26F826CC"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25705</w:t>
            </w:r>
          </w:p>
        </w:tc>
        <w:tc>
          <w:tcPr>
            <w:tcW w:w="941" w:type="dxa"/>
            <w:tcBorders>
              <w:top w:val="nil"/>
              <w:left w:val="nil"/>
              <w:bottom w:val="single" w:sz="4" w:space="0" w:color="auto"/>
              <w:right w:val="single" w:sz="4" w:space="0" w:color="auto"/>
            </w:tcBorders>
            <w:shd w:val="clear" w:color="000000" w:fill="F2F2F2"/>
            <w:noWrap/>
            <w:vAlign w:val="center"/>
            <w:hideMark/>
          </w:tcPr>
          <w:p w14:paraId="18F515EA"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830080672</w:t>
            </w:r>
          </w:p>
        </w:tc>
        <w:tc>
          <w:tcPr>
            <w:tcW w:w="3247" w:type="dxa"/>
            <w:tcBorders>
              <w:top w:val="nil"/>
              <w:left w:val="nil"/>
              <w:bottom w:val="single" w:sz="4" w:space="0" w:color="auto"/>
              <w:right w:val="single" w:sz="4" w:space="0" w:color="auto"/>
            </w:tcBorders>
            <w:shd w:val="clear" w:color="000000" w:fill="F2F2F2"/>
            <w:vAlign w:val="center"/>
            <w:hideMark/>
          </w:tcPr>
          <w:p w14:paraId="0D566629" w14:textId="77777777" w:rsidR="00B07312" w:rsidRPr="006B48D3" w:rsidRDefault="00B07312" w:rsidP="00D22441">
            <w:pPr>
              <w:jc w:val="left"/>
              <w:rPr>
                <w:rFonts w:ascii="Arial Narrow" w:hAnsi="Arial Narrow" w:cs="Arial"/>
                <w:spacing w:val="0"/>
                <w:sz w:val="16"/>
                <w:szCs w:val="16"/>
                <w:lang w:eastAsia="es-CO"/>
              </w:rPr>
            </w:pPr>
            <w:r w:rsidRPr="006B48D3">
              <w:rPr>
                <w:rFonts w:ascii="Arial Narrow" w:hAnsi="Arial Narrow" w:cs="Arial"/>
                <w:spacing w:val="0"/>
                <w:sz w:val="16"/>
                <w:szCs w:val="16"/>
                <w:lang w:eastAsia="es-CO"/>
              </w:rPr>
              <w:t>CEPSA COLOMBIA SA</w:t>
            </w:r>
          </w:p>
        </w:tc>
        <w:tc>
          <w:tcPr>
            <w:tcW w:w="1620" w:type="dxa"/>
            <w:tcBorders>
              <w:top w:val="nil"/>
              <w:left w:val="nil"/>
              <w:bottom w:val="single" w:sz="4" w:space="0" w:color="auto"/>
              <w:right w:val="single" w:sz="4" w:space="0" w:color="auto"/>
            </w:tcBorders>
            <w:shd w:val="clear" w:color="000000" w:fill="F2F2F2"/>
            <w:noWrap/>
            <w:vAlign w:val="center"/>
            <w:hideMark/>
          </w:tcPr>
          <w:p w14:paraId="4699F68E"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$ 45.924.000</w:t>
            </w:r>
          </w:p>
        </w:tc>
        <w:tc>
          <w:tcPr>
            <w:tcW w:w="1520" w:type="dxa"/>
            <w:tcBorders>
              <w:top w:val="nil"/>
              <w:left w:val="nil"/>
              <w:bottom w:val="single" w:sz="4" w:space="0" w:color="auto"/>
              <w:right w:val="single" w:sz="4" w:space="0" w:color="auto"/>
            </w:tcBorders>
            <w:shd w:val="clear" w:color="000000" w:fill="F2F2F2"/>
            <w:noWrap/>
            <w:vAlign w:val="center"/>
            <w:hideMark/>
          </w:tcPr>
          <w:p w14:paraId="1B948040"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$ 0</w:t>
            </w:r>
          </w:p>
        </w:tc>
        <w:tc>
          <w:tcPr>
            <w:tcW w:w="1460" w:type="dxa"/>
            <w:tcBorders>
              <w:top w:val="nil"/>
              <w:left w:val="nil"/>
              <w:bottom w:val="single" w:sz="4" w:space="0" w:color="auto"/>
              <w:right w:val="single" w:sz="4" w:space="0" w:color="auto"/>
            </w:tcBorders>
            <w:shd w:val="clear" w:color="000000" w:fill="F2F2F2"/>
            <w:noWrap/>
            <w:vAlign w:val="center"/>
            <w:hideMark/>
          </w:tcPr>
          <w:p w14:paraId="2B08E8D9"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$ 45.924.000</w:t>
            </w:r>
          </w:p>
        </w:tc>
        <w:tc>
          <w:tcPr>
            <w:tcW w:w="1280" w:type="dxa"/>
            <w:tcBorders>
              <w:top w:val="nil"/>
              <w:left w:val="nil"/>
              <w:bottom w:val="single" w:sz="4" w:space="0" w:color="auto"/>
              <w:right w:val="single" w:sz="4" w:space="0" w:color="auto"/>
            </w:tcBorders>
            <w:shd w:val="clear" w:color="000000" w:fill="F2F2F2"/>
            <w:noWrap/>
            <w:vAlign w:val="center"/>
            <w:hideMark/>
          </w:tcPr>
          <w:p w14:paraId="0FD99F42"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$ 459.240</w:t>
            </w:r>
          </w:p>
        </w:tc>
        <w:tc>
          <w:tcPr>
            <w:tcW w:w="1200" w:type="dxa"/>
            <w:tcBorders>
              <w:top w:val="nil"/>
              <w:left w:val="nil"/>
              <w:bottom w:val="single" w:sz="4" w:space="0" w:color="auto"/>
              <w:right w:val="single" w:sz="4" w:space="0" w:color="auto"/>
            </w:tcBorders>
            <w:shd w:val="clear" w:color="000000" w:fill="F2F2F2"/>
            <w:noWrap/>
            <w:vAlign w:val="center"/>
            <w:hideMark/>
          </w:tcPr>
          <w:p w14:paraId="2ABF52F6"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$ 19</w:t>
            </w:r>
          </w:p>
        </w:tc>
        <w:tc>
          <w:tcPr>
            <w:tcW w:w="1280" w:type="dxa"/>
            <w:tcBorders>
              <w:top w:val="nil"/>
              <w:left w:val="nil"/>
              <w:bottom w:val="single" w:sz="4" w:space="0" w:color="auto"/>
              <w:right w:val="single" w:sz="4" w:space="0" w:color="auto"/>
            </w:tcBorders>
            <w:shd w:val="clear" w:color="000000" w:fill="F2F2F2"/>
            <w:noWrap/>
            <w:vAlign w:val="center"/>
            <w:hideMark/>
          </w:tcPr>
          <w:p w14:paraId="08DE72C0"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$ 459.259</w:t>
            </w:r>
          </w:p>
        </w:tc>
      </w:tr>
      <w:tr w:rsidR="00B07312" w:rsidRPr="006B48D3" w14:paraId="121D02F4" w14:textId="77777777" w:rsidTr="006B48D3">
        <w:trPr>
          <w:trHeight w:val="341"/>
        </w:trPr>
        <w:tc>
          <w:tcPr>
            <w:tcW w:w="407" w:type="dxa"/>
            <w:tcBorders>
              <w:top w:val="nil"/>
              <w:left w:val="single" w:sz="4" w:space="0" w:color="auto"/>
              <w:bottom w:val="single" w:sz="4" w:space="0" w:color="auto"/>
              <w:right w:val="single" w:sz="4" w:space="0" w:color="auto"/>
            </w:tcBorders>
            <w:shd w:val="clear" w:color="000000" w:fill="F2F2F2"/>
            <w:noWrap/>
            <w:vAlign w:val="center"/>
            <w:hideMark/>
          </w:tcPr>
          <w:p w14:paraId="5E614B96" w14:textId="77777777" w:rsidR="00B07312" w:rsidRPr="006B48D3" w:rsidRDefault="00B07312" w:rsidP="00D22441">
            <w:pPr>
              <w:jc w:val="center"/>
              <w:rPr>
                <w:rFonts w:ascii="Arial Narrow" w:hAnsi="Arial Narrow" w:cs="Arial"/>
                <w:spacing w:val="0"/>
                <w:sz w:val="16"/>
                <w:szCs w:val="16"/>
                <w:lang w:eastAsia="es-CO"/>
              </w:rPr>
            </w:pPr>
            <w:r w:rsidRPr="006B48D3">
              <w:rPr>
                <w:rFonts w:ascii="Arial Narrow" w:hAnsi="Arial Narrow" w:cs="Arial"/>
                <w:spacing w:val="0"/>
                <w:sz w:val="16"/>
                <w:szCs w:val="16"/>
                <w:lang w:eastAsia="es-CO"/>
              </w:rPr>
              <w:t>35</w:t>
            </w:r>
          </w:p>
        </w:tc>
        <w:tc>
          <w:tcPr>
            <w:tcW w:w="585" w:type="dxa"/>
            <w:tcBorders>
              <w:top w:val="nil"/>
              <w:left w:val="nil"/>
              <w:bottom w:val="single" w:sz="4" w:space="0" w:color="auto"/>
              <w:right w:val="single" w:sz="4" w:space="0" w:color="auto"/>
            </w:tcBorders>
            <w:shd w:val="clear" w:color="000000" w:fill="F2F2F2"/>
            <w:noWrap/>
            <w:vAlign w:val="center"/>
            <w:hideMark/>
          </w:tcPr>
          <w:p w14:paraId="559DB280"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25891</w:t>
            </w:r>
          </w:p>
        </w:tc>
        <w:tc>
          <w:tcPr>
            <w:tcW w:w="941" w:type="dxa"/>
            <w:tcBorders>
              <w:top w:val="nil"/>
              <w:left w:val="nil"/>
              <w:bottom w:val="single" w:sz="4" w:space="0" w:color="auto"/>
              <w:right w:val="single" w:sz="4" w:space="0" w:color="auto"/>
            </w:tcBorders>
            <w:shd w:val="clear" w:color="000000" w:fill="F2F2F2"/>
            <w:noWrap/>
            <w:vAlign w:val="center"/>
            <w:hideMark/>
          </w:tcPr>
          <w:p w14:paraId="1DD5BFC1"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830095563</w:t>
            </w:r>
          </w:p>
        </w:tc>
        <w:tc>
          <w:tcPr>
            <w:tcW w:w="3247" w:type="dxa"/>
            <w:tcBorders>
              <w:top w:val="nil"/>
              <w:left w:val="nil"/>
              <w:bottom w:val="single" w:sz="4" w:space="0" w:color="auto"/>
              <w:right w:val="single" w:sz="4" w:space="0" w:color="auto"/>
            </w:tcBorders>
            <w:shd w:val="clear" w:color="000000" w:fill="F2F2F2"/>
            <w:vAlign w:val="center"/>
            <w:hideMark/>
          </w:tcPr>
          <w:p w14:paraId="2C2A0E21" w14:textId="77777777" w:rsidR="00B07312" w:rsidRPr="006B48D3" w:rsidRDefault="00B07312" w:rsidP="00D22441">
            <w:pPr>
              <w:jc w:val="left"/>
              <w:rPr>
                <w:rFonts w:ascii="Arial Narrow" w:hAnsi="Arial Narrow" w:cs="Arial"/>
                <w:spacing w:val="0"/>
                <w:sz w:val="16"/>
                <w:szCs w:val="16"/>
                <w:lang w:eastAsia="es-CO"/>
              </w:rPr>
            </w:pPr>
            <w:r w:rsidRPr="006B48D3">
              <w:rPr>
                <w:rFonts w:ascii="Arial Narrow" w:hAnsi="Arial Narrow" w:cs="Arial"/>
                <w:spacing w:val="0"/>
                <w:sz w:val="16"/>
                <w:szCs w:val="16"/>
                <w:lang w:eastAsia="es-CO"/>
              </w:rPr>
              <w:t>CANACOL ENERGY COLOMBIA S.A.</w:t>
            </w:r>
          </w:p>
        </w:tc>
        <w:tc>
          <w:tcPr>
            <w:tcW w:w="1620" w:type="dxa"/>
            <w:tcBorders>
              <w:top w:val="nil"/>
              <w:left w:val="nil"/>
              <w:bottom w:val="single" w:sz="4" w:space="0" w:color="auto"/>
              <w:right w:val="single" w:sz="4" w:space="0" w:color="auto"/>
            </w:tcBorders>
            <w:shd w:val="clear" w:color="000000" w:fill="F2F2F2"/>
            <w:noWrap/>
            <w:vAlign w:val="center"/>
            <w:hideMark/>
          </w:tcPr>
          <w:p w14:paraId="646CD89C"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$ 45.759.242.000</w:t>
            </w:r>
          </w:p>
        </w:tc>
        <w:tc>
          <w:tcPr>
            <w:tcW w:w="1520" w:type="dxa"/>
            <w:tcBorders>
              <w:top w:val="nil"/>
              <w:left w:val="nil"/>
              <w:bottom w:val="single" w:sz="4" w:space="0" w:color="auto"/>
              <w:right w:val="single" w:sz="4" w:space="0" w:color="auto"/>
            </w:tcBorders>
            <w:shd w:val="clear" w:color="000000" w:fill="F2F2F2"/>
            <w:noWrap/>
            <w:vAlign w:val="center"/>
            <w:hideMark/>
          </w:tcPr>
          <w:p w14:paraId="3EBEC398"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$ 327.254.617</w:t>
            </w:r>
          </w:p>
        </w:tc>
        <w:tc>
          <w:tcPr>
            <w:tcW w:w="1460" w:type="dxa"/>
            <w:tcBorders>
              <w:top w:val="nil"/>
              <w:left w:val="nil"/>
              <w:bottom w:val="single" w:sz="4" w:space="0" w:color="auto"/>
              <w:right w:val="single" w:sz="4" w:space="0" w:color="auto"/>
            </w:tcBorders>
            <w:shd w:val="clear" w:color="000000" w:fill="F2F2F2"/>
            <w:noWrap/>
            <w:vAlign w:val="center"/>
            <w:hideMark/>
          </w:tcPr>
          <w:p w14:paraId="37627FC7"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$ 46.086.496.617</w:t>
            </w:r>
          </w:p>
        </w:tc>
        <w:tc>
          <w:tcPr>
            <w:tcW w:w="1280" w:type="dxa"/>
            <w:tcBorders>
              <w:top w:val="nil"/>
              <w:left w:val="nil"/>
              <w:bottom w:val="single" w:sz="4" w:space="0" w:color="auto"/>
              <w:right w:val="single" w:sz="4" w:space="0" w:color="auto"/>
            </w:tcBorders>
            <w:shd w:val="clear" w:color="000000" w:fill="F2F2F2"/>
            <w:noWrap/>
            <w:vAlign w:val="center"/>
            <w:hideMark/>
          </w:tcPr>
          <w:p w14:paraId="58CCBBCD"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$ 460.864.966</w:t>
            </w:r>
          </w:p>
        </w:tc>
        <w:tc>
          <w:tcPr>
            <w:tcW w:w="1200" w:type="dxa"/>
            <w:tcBorders>
              <w:top w:val="nil"/>
              <w:left w:val="nil"/>
              <w:bottom w:val="single" w:sz="4" w:space="0" w:color="auto"/>
              <w:right w:val="single" w:sz="4" w:space="0" w:color="auto"/>
            </w:tcBorders>
            <w:shd w:val="clear" w:color="000000" w:fill="F2F2F2"/>
            <w:noWrap/>
            <w:vAlign w:val="center"/>
            <w:hideMark/>
          </w:tcPr>
          <w:p w14:paraId="414D7E64"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$ 19.180</w:t>
            </w:r>
          </w:p>
        </w:tc>
        <w:tc>
          <w:tcPr>
            <w:tcW w:w="1280" w:type="dxa"/>
            <w:tcBorders>
              <w:top w:val="nil"/>
              <w:left w:val="nil"/>
              <w:bottom w:val="single" w:sz="4" w:space="0" w:color="auto"/>
              <w:right w:val="single" w:sz="4" w:space="0" w:color="auto"/>
            </w:tcBorders>
            <w:shd w:val="clear" w:color="000000" w:fill="F2F2F2"/>
            <w:noWrap/>
            <w:vAlign w:val="center"/>
            <w:hideMark/>
          </w:tcPr>
          <w:p w14:paraId="54F690C7"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$ 460.884.146</w:t>
            </w:r>
          </w:p>
        </w:tc>
      </w:tr>
      <w:tr w:rsidR="00B07312" w:rsidRPr="006B48D3" w14:paraId="0C5C68F4" w14:textId="77777777" w:rsidTr="006B48D3">
        <w:trPr>
          <w:trHeight w:val="341"/>
        </w:trPr>
        <w:tc>
          <w:tcPr>
            <w:tcW w:w="407" w:type="dxa"/>
            <w:tcBorders>
              <w:top w:val="nil"/>
              <w:left w:val="single" w:sz="4" w:space="0" w:color="auto"/>
              <w:bottom w:val="single" w:sz="4" w:space="0" w:color="auto"/>
              <w:right w:val="single" w:sz="4" w:space="0" w:color="auto"/>
            </w:tcBorders>
            <w:shd w:val="clear" w:color="000000" w:fill="F2F2F2"/>
            <w:noWrap/>
            <w:vAlign w:val="center"/>
            <w:hideMark/>
          </w:tcPr>
          <w:p w14:paraId="7E070A40" w14:textId="77777777" w:rsidR="00B07312" w:rsidRPr="006B48D3" w:rsidRDefault="00B07312" w:rsidP="00D22441">
            <w:pPr>
              <w:jc w:val="center"/>
              <w:rPr>
                <w:rFonts w:ascii="Arial Narrow" w:hAnsi="Arial Narrow" w:cs="Arial"/>
                <w:spacing w:val="0"/>
                <w:sz w:val="16"/>
                <w:szCs w:val="16"/>
                <w:lang w:eastAsia="es-CO"/>
              </w:rPr>
            </w:pPr>
            <w:r w:rsidRPr="006B48D3">
              <w:rPr>
                <w:rFonts w:ascii="Arial Narrow" w:hAnsi="Arial Narrow" w:cs="Arial"/>
                <w:spacing w:val="0"/>
                <w:sz w:val="16"/>
                <w:szCs w:val="16"/>
                <w:lang w:eastAsia="es-CO"/>
              </w:rPr>
              <w:t>36</w:t>
            </w:r>
          </w:p>
        </w:tc>
        <w:tc>
          <w:tcPr>
            <w:tcW w:w="585" w:type="dxa"/>
            <w:tcBorders>
              <w:top w:val="nil"/>
              <w:left w:val="nil"/>
              <w:bottom w:val="single" w:sz="4" w:space="0" w:color="auto"/>
              <w:right w:val="single" w:sz="4" w:space="0" w:color="auto"/>
            </w:tcBorders>
            <w:shd w:val="clear" w:color="000000" w:fill="F2F2F2"/>
            <w:noWrap/>
            <w:vAlign w:val="center"/>
            <w:hideMark/>
          </w:tcPr>
          <w:p w14:paraId="6F21419E"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34533</w:t>
            </w:r>
          </w:p>
        </w:tc>
        <w:tc>
          <w:tcPr>
            <w:tcW w:w="941" w:type="dxa"/>
            <w:tcBorders>
              <w:top w:val="nil"/>
              <w:left w:val="nil"/>
              <w:bottom w:val="single" w:sz="4" w:space="0" w:color="auto"/>
              <w:right w:val="single" w:sz="4" w:space="0" w:color="auto"/>
            </w:tcBorders>
            <w:shd w:val="clear" w:color="000000" w:fill="F2F2F2"/>
            <w:noWrap/>
            <w:vAlign w:val="center"/>
            <w:hideMark/>
          </w:tcPr>
          <w:p w14:paraId="69DF3AB7"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830104866</w:t>
            </w:r>
          </w:p>
        </w:tc>
        <w:tc>
          <w:tcPr>
            <w:tcW w:w="3247" w:type="dxa"/>
            <w:tcBorders>
              <w:top w:val="nil"/>
              <w:left w:val="nil"/>
              <w:bottom w:val="single" w:sz="4" w:space="0" w:color="auto"/>
              <w:right w:val="single" w:sz="4" w:space="0" w:color="auto"/>
            </w:tcBorders>
            <w:shd w:val="clear" w:color="000000" w:fill="F2F2F2"/>
            <w:vAlign w:val="center"/>
            <w:hideMark/>
          </w:tcPr>
          <w:p w14:paraId="33DC631C" w14:textId="77777777" w:rsidR="00B07312" w:rsidRPr="006B48D3" w:rsidRDefault="00B07312" w:rsidP="00D22441">
            <w:pPr>
              <w:jc w:val="left"/>
              <w:rPr>
                <w:rFonts w:ascii="Arial Narrow" w:hAnsi="Arial Narrow" w:cs="Arial"/>
                <w:spacing w:val="0"/>
                <w:sz w:val="16"/>
                <w:szCs w:val="16"/>
                <w:lang w:eastAsia="es-CO"/>
              </w:rPr>
            </w:pPr>
            <w:r w:rsidRPr="006B48D3">
              <w:rPr>
                <w:rFonts w:ascii="Arial Narrow" w:hAnsi="Arial Narrow" w:cs="Arial"/>
                <w:spacing w:val="0"/>
                <w:sz w:val="16"/>
                <w:szCs w:val="16"/>
                <w:lang w:eastAsia="es-CO"/>
              </w:rPr>
              <w:t>NIKOIL ENERGY CORP SUC COLOMBIA</w:t>
            </w:r>
          </w:p>
        </w:tc>
        <w:tc>
          <w:tcPr>
            <w:tcW w:w="1620" w:type="dxa"/>
            <w:tcBorders>
              <w:top w:val="nil"/>
              <w:left w:val="nil"/>
              <w:bottom w:val="single" w:sz="4" w:space="0" w:color="auto"/>
              <w:right w:val="single" w:sz="4" w:space="0" w:color="auto"/>
            </w:tcBorders>
            <w:shd w:val="clear" w:color="000000" w:fill="F2F2F2"/>
            <w:noWrap/>
            <w:vAlign w:val="center"/>
            <w:hideMark/>
          </w:tcPr>
          <w:p w14:paraId="28D300D7"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$ 2.435.164.000</w:t>
            </w:r>
          </w:p>
        </w:tc>
        <w:tc>
          <w:tcPr>
            <w:tcW w:w="1520" w:type="dxa"/>
            <w:tcBorders>
              <w:top w:val="nil"/>
              <w:left w:val="nil"/>
              <w:bottom w:val="single" w:sz="4" w:space="0" w:color="auto"/>
              <w:right w:val="single" w:sz="4" w:space="0" w:color="auto"/>
            </w:tcBorders>
            <w:shd w:val="clear" w:color="000000" w:fill="F2F2F2"/>
            <w:noWrap/>
            <w:vAlign w:val="center"/>
            <w:hideMark/>
          </w:tcPr>
          <w:p w14:paraId="41D3FF83"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$ 42.800.861</w:t>
            </w:r>
          </w:p>
        </w:tc>
        <w:tc>
          <w:tcPr>
            <w:tcW w:w="1460" w:type="dxa"/>
            <w:tcBorders>
              <w:top w:val="nil"/>
              <w:left w:val="nil"/>
              <w:bottom w:val="single" w:sz="4" w:space="0" w:color="auto"/>
              <w:right w:val="single" w:sz="4" w:space="0" w:color="auto"/>
            </w:tcBorders>
            <w:shd w:val="clear" w:color="000000" w:fill="F2F2F2"/>
            <w:noWrap/>
            <w:vAlign w:val="center"/>
            <w:hideMark/>
          </w:tcPr>
          <w:p w14:paraId="7CFE2266"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$ 2.477.964.861</w:t>
            </w:r>
          </w:p>
        </w:tc>
        <w:tc>
          <w:tcPr>
            <w:tcW w:w="1280" w:type="dxa"/>
            <w:tcBorders>
              <w:top w:val="nil"/>
              <w:left w:val="nil"/>
              <w:bottom w:val="single" w:sz="4" w:space="0" w:color="auto"/>
              <w:right w:val="single" w:sz="4" w:space="0" w:color="auto"/>
            </w:tcBorders>
            <w:shd w:val="clear" w:color="000000" w:fill="F2F2F2"/>
            <w:noWrap/>
            <w:vAlign w:val="center"/>
            <w:hideMark/>
          </w:tcPr>
          <w:p w14:paraId="3C7A8CC7"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$ 24.779.649</w:t>
            </w:r>
          </w:p>
        </w:tc>
        <w:tc>
          <w:tcPr>
            <w:tcW w:w="1200" w:type="dxa"/>
            <w:tcBorders>
              <w:top w:val="nil"/>
              <w:left w:val="nil"/>
              <w:bottom w:val="single" w:sz="4" w:space="0" w:color="auto"/>
              <w:right w:val="single" w:sz="4" w:space="0" w:color="auto"/>
            </w:tcBorders>
            <w:shd w:val="clear" w:color="000000" w:fill="F2F2F2"/>
            <w:noWrap/>
            <w:vAlign w:val="center"/>
            <w:hideMark/>
          </w:tcPr>
          <w:p w14:paraId="44779385"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$ 1.031</w:t>
            </w:r>
          </w:p>
        </w:tc>
        <w:tc>
          <w:tcPr>
            <w:tcW w:w="1280" w:type="dxa"/>
            <w:tcBorders>
              <w:top w:val="nil"/>
              <w:left w:val="nil"/>
              <w:bottom w:val="single" w:sz="4" w:space="0" w:color="auto"/>
              <w:right w:val="single" w:sz="4" w:space="0" w:color="auto"/>
            </w:tcBorders>
            <w:shd w:val="clear" w:color="000000" w:fill="F2F2F2"/>
            <w:noWrap/>
            <w:vAlign w:val="center"/>
            <w:hideMark/>
          </w:tcPr>
          <w:p w14:paraId="3A633E5E"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$ 24.780.680</w:t>
            </w:r>
          </w:p>
        </w:tc>
      </w:tr>
      <w:tr w:rsidR="00B07312" w:rsidRPr="006B48D3" w14:paraId="1E2BEA15" w14:textId="77777777" w:rsidTr="006B48D3">
        <w:trPr>
          <w:trHeight w:val="450"/>
        </w:trPr>
        <w:tc>
          <w:tcPr>
            <w:tcW w:w="407" w:type="dxa"/>
            <w:tcBorders>
              <w:top w:val="nil"/>
              <w:left w:val="single" w:sz="4" w:space="0" w:color="auto"/>
              <w:bottom w:val="single" w:sz="4" w:space="0" w:color="auto"/>
              <w:right w:val="single" w:sz="4" w:space="0" w:color="auto"/>
            </w:tcBorders>
            <w:shd w:val="clear" w:color="000000" w:fill="F2F2F2"/>
            <w:noWrap/>
            <w:vAlign w:val="center"/>
            <w:hideMark/>
          </w:tcPr>
          <w:p w14:paraId="50331316" w14:textId="77777777" w:rsidR="00B07312" w:rsidRPr="006B48D3" w:rsidRDefault="00B07312" w:rsidP="00D22441">
            <w:pPr>
              <w:jc w:val="center"/>
              <w:rPr>
                <w:rFonts w:ascii="Arial Narrow" w:hAnsi="Arial Narrow" w:cs="Arial"/>
                <w:spacing w:val="0"/>
                <w:sz w:val="16"/>
                <w:szCs w:val="16"/>
                <w:lang w:eastAsia="es-CO"/>
              </w:rPr>
            </w:pPr>
            <w:r w:rsidRPr="006B48D3">
              <w:rPr>
                <w:rFonts w:ascii="Arial Narrow" w:hAnsi="Arial Narrow" w:cs="Arial"/>
                <w:spacing w:val="0"/>
                <w:sz w:val="16"/>
                <w:szCs w:val="16"/>
                <w:lang w:eastAsia="es-CO"/>
              </w:rPr>
              <w:t>37</w:t>
            </w:r>
          </w:p>
        </w:tc>
        <w:tc>
          <w:tcPr>
            <w:tcW w:w="585" w:type="dxa"/>
            <w:tcBorders>
              <w:top w:val="nil"/>
              <w:left w:val="nil"/>
              <w:bottom w:val="single" w:sz="4" w:space="0" w:color="auto"/>
              <w:right w:val="single" w:sz="4" w:space="0" w:color="auto"/>
            </w:tcBorders>
            <w:shd w:val="clear" w:color="000000" w:fill="F2F2F2"/>
            <w:noWrap/>
            <w:vAlign w:val="center"/>
            <w:hideMark/>
          </w:tcPr>
          <w:p w14:paraId="5270008B"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3359</w:t>
            </w:r>
          </w:p>
        </w:tc>
        <w:tc>
          <w:tcPr>
            <w:tcW w:w="941" w:type="dxa"/>
            <w:tcBorders>
              <w:top w:val="nil"/>
              <w:left w:val="nil"/>
              <w:bottom w:val="single" w:sz="4" w:space="0" w:color="auto"/>
              <w:right w:val="single" w:sz="4" w:space="0" w:color="auto"/>
            </w:tcBorders>
            <w:shd w:val="clear" w:color="000000" w:fill="F2F2F2"/>
            <w:noWrap/>
            <w:vAlign w:val="center"/>
            <w:hideMark/>
          </w:tcPr>
          <w:p w14:paraId="2DD1AE43"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830118416</w:t>
            </w:r>
          </w:p>
        </w:tc>
        <w:tc>
          <w:tcPr>
            <w:tcW w:w="3247" w:type="dxa"/>
            <w:tcBorders>
              <w:top w:val="nil"/>
              <w:left w:val="nil"/>
              <w:bottom w:val="single" w:sz="4" w:space="0" w:color="auto"/>
              <w:right w:val="single" w:sz="4" w:space="0" w:color="auto"/>
            </w:tcBorders>
            <w:shd w:val="clear" w:color="000000" w:fill="F2F2F2"/>
            <w:vAlign w:val="center"/>
            <w:hideMark/>
          </w:tcPr>
          <w:p w14:paraId="60170B0B" w14:textId="77777777" w:rsidR="00B07312" w:rsidRPr="006B48D3" w:rsidRDefault="00B07312" w:rsidP="00D22441">
            <w:pPr>
              <w:jc w:val="left"/>
              <w:rPr>
                <w:rFonts w:ascii="Arial Narrow" w:hAnsi="Arial Narrow" w:cs="Arial"/>
                <w:spacing w:val="0"/>
                <w:sz w:val="16"/>
                <w:szCs w:val="16"/>
                <w:lang w:eastAsia="es-CO"/>
              </w:rPr>
            </w:pPr>
            <w:r w:rsidRPr="006B48D3">
              <w:rPr>
                <w:rFonts w:ascii="Arial Narrow" w:hAnsi="Arial Narrow" w:cs="Arial"/>
                <w:spacing w:val="0"/>
                <w:sz w:val="16"/>
                <w:szCs w:val="16"/>
                <w:lang w:eastAsia="es-CO"/>
              </w:rPr>
              <w:t>NACIONAL DE SERVICIOS PÚBLICOS DOMICILIARIOS S.A. E.S.P.</w:t>
            </w:r>
          </w:p>
        </w:tc>
        <w:tc>
          <w:tcPr>
            <w:tcW w:w="1620" w:type="dxa"/>
            <w:tcBorders>
              <w:top w:val="nil"/>
              <w:left w:val="nil"/>
              <w:bottom w:val="single" w:sz="4" w:space="0" w:color="auto"/>
              <w:right w:val="single" w:sz="4" w:space="0" w:color="auto"/>
            </w:tcBorders>
            <w:shd w:val="clear" w:color="000000" w:fill="F2F2F2"/>
            <w:noWrap/>
            <w:vAlign w:val="center"/>
            <w:hideMark/>
          </w:tcPr>
          <w:p w14:paraId="6F0F8281"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$ 708.202.000</w:t>
            </w:r>
          </w:p>
        </w:tc>
        <w:tc>
          <w:tcPr>
            <w:tcW w:w="1520" w:type="dxa"/>
            <w:tcBorders>
              <w:top w:val="nil"/>
              <w:left w:val="nil"/>
              <w:bottom w:val="single" w:sz="4" w:space="0" w:color="auto"/>
              <w:right w:val="single" w:sz="4" w:space="0" w:color="auto"/>
            </w:tcBorders>
            <w:shd w:val="clear" w:color="000000" w:fill="F2F2F2"/>
            <w:noWrap/>
            <w:vAlign w:val="center"/>
            <w:hideMark/>
          </w:tcPr>
          <w:p w14:paraId="410E8314"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$ 34.987.425</w:t>
            </w:r>
          </w:p>
        </w:tc>
        <w:tc>
          <w:tcPr>
            <w:tcW w:w="1460" w:type="dxa"/>
            <w:tcBorders>
              <w:top w:val="nil"/>
              <w:left w:val="nil"/>
              <w:bottom w:val="single" w:sz="4" w:space="0" w:color="auto"/>
              <w:right w:val="single" w:sz="4" w:space="0" w:color="auto"/>
            </w:tcBorders>
            <w:shd w:val="clear" w:color="000000" w:fill="F2F2F2"/>
            <w:noWrap/>
            <w:vAlign w:val="center"/>
            <w:hideMark/>
          </w:tcPr>
          <w:p w14:paraId="64C7659D"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$ 743.189.425</w:t>
            </w:r>
          </w:p>
        </w:tc>
        <w:tc>
          <w:tcPr>
            <w:tcW w:w="1280" w:type="dxa"/>
            <w:tcBorders>
              <w:top w:val="nil"/>
              <w:left w:val="nil"/>
              <w:bottom w:val="single" w:sz="4" w:space="0" w:color="auto"/>
              <w:right w:val="single" w:sz="4" w:space="0" w:color="auto"/>
            </w:tcBorders>
            <w:shd w:val="clear" w:color="000000" w:fill="F2F2F2"/>
            <w:noWrap/>
            <w:vAlign w:val="center"/>
            <w:hideMark/>
          </w:tcPr>
          <w:p w14:paraId="50921F96"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$ 7.431.894</w:t>
            </w:r>
          </w:p>
        </w:tc>
        <w:tc>
          <w:tcPr>
            <w:tcW w:w="1200" w:type="dxa"/>
            <w:tcBorders>
              <w:top w:val="nil"/>
              <w:left w:val="nil"/>
              <w:bottom w:val="single" w:sz="4" w:space="0" w:color="auto"/>
              <w:right w:val="single" w:sz="4" w:space="0" w:color="auto"/>
            </w:tcBorders>
            <w:shd w:val="clear" w:color="000000" w:fill="F2F2F2"/>
            <w:noWrap/>
            <w:vAlign w:val="center"/>
            <w:hideMark/>
          </w:tcPr>
          <w:p w14:paraId="10D29862"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$ 309</w:t>
            </w:r>
          </w:p>
        </w:tc>
        <w:tc>
          <w:tcPr>
            <w:tcW w:w="1280" w:type="dxa"/>
            <w:tcBorders>
              <w:top w:val="nil"/>
              <w:left w:val="nil"/>
              <w:bottom w:val="single" w:sz="4" w:space="0" w:color="auto"/>
              <w:right w:val="single" w:sz="4" w:space="0" w:color="auto"/>
            </w:tcBorders>
            <w:shd w:val="clear" w:color="000000" w:fill="F2F2F2"/>
            <w:noWrap/>
            <w:vAlign w:val="center"/>
            <w:hideMark/>
          </w:tcPr>
          <w:p w14:paraId="7A2CA7BD"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$ 7.432.204</w:t>
            </w:r>
          </w:p>
        </w:tc>
      </w:tr>
      <w:tr w:rsidR="00B07312" w:rsidRPr="006B48D3" w14:paraId="5EAB3053" w14:textId="77777777" w:rsidTr="006B48D3">
        <w:trPr>
          <w:trHeight w:val="533"/>
        </w:trPr>
        <w:tc>
          <w:tcPr>
            <w:tcW w:w="407" w:type="dxa"/>
            <w:tcBorders>
              <w:top w:val="nil"/>
              <w:left w:val="single" w:sz="4" w:space="0" w:color="auto"/>
              <w:bottom w:val="single" w:sz="4" w:space="0" w:color="auto"/>
              <w:right w:val="single" w:sz="4" w:space="0" w:color="auto"/>
            </w:tcBorders>
            <w:shd w:val="clear" w:color="000000" w:fill="F2F2F2"/>
            <w:noWrap/>
            <w:vAlign w:val="center"/>
            <w:hideMark/>
          </w:tcPr>
          <w:p w14:paraId="15BFFB2D" w14:textId="77777777" w:rsidR="00B07312" w:rsidRPr="006B48D3" w:rsidRDefault="00B07312" w:rsidP="00D22441">
            <w:pPr>
              <w:jc w:val="center"/>
              <w:rPr>
                <w:rFonts w:ascii="Arial Narrow" w:hAnsi="Arial Narrow" w:cs="Arial"/>
                <w:spacing w:val="0"/>
                <w:sz w:val="16"/>
                <w:szCs w:val="16"/>
                <w:lang w:eastAsia="es-CO"/>
              </w:rPr>
            </w:pPr>
            <w:r w:rsidRPr="006B48D3">
              <w:rPr>
                <w:rFonts w:ascii="Arial Narrow" w:hAnsi="Arial Narrow" w:cs="Arial"/>
                <w:spacing w:val="0"/>
                <w:sz w:val="16"/>
                <w:szCs w:val="16"/>
                <w:lang w:eastAsia="es-CO"/>
              </w:rPr>
              <w:t>38</w:t>
            </w:r>
          </w:p>
        </w:tc>
        <w:tc>
          <w:tcPr>
            <w:tcW w:w="585" w:type="dxa"/>
            <w:tcBorders>
              <w:top w:val="nil"/>
              <w:left w:val="nil"/>
              <w:bottom w:val="single" w:sz="4" w:space="0" w:color="auto"/>
              <w:right w:val="single" w:sz="4" w:space="0" w:color="auto"/>
            </w:tcBorders>
            <w:shd w:val="clear" w:color="000000" w:fill="F2F2F2"/>
            <w:noWrap/>
            <w:vAlign w:val="center"/>
            <w:hideMark/>
          </w:tcPr>
          <w:p w14:paraId="0113B522"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40096</w:t>
            </w:r>
          </w:p>
        </w:tc>
        <w:tc>
          <w:tcPr>
            <w:tcW w:w="941" w:type="dxa"/>
            <w:tcBorders>
              <w:top w:val="nil"/>
              <w:left w:val="nil"/>
              <w:bottom w:val="single" w:sz="4" w:space="0" w:color="auto"/>
              <w:right w:val="single" w:sz="4" w:space="0" w:color="auto"/>
            </w:tcBorders>
            <w:shd w:val="clear" w:color="000000" w:fill="F2F2F2"/>
            <w:noWrap/>
            <w:vAlign w:val="center"/>
            <w:hideMark/>
          </w:tcPr>
          <w:p w14:paraId="6C188D46"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830126302</w:t>
            </w:r>
          </w:p>
        </w:tc>
        <w:tc>
          <w:tcPr>
            <w:tcW w:w="3247" w:type="dxa"/>
            <w:tcBorders>
              <w:top w:val="nil"/>
              <w:left w:val="nil"/>
              <w:bottom w:val="single" w:sz="4" w:space="0" w:color="auto"/>
              <w:right w:val="single" w:sz="4" w:space="0" w:color="auto"/>
            </w:tcBorders>
            <w:shd w:val="clear" w:color="000000" w:fill="F2F2F2"/>
            <w:vAlign w:val="center"/>
            <w:hideMark/>
          </w:tcPr>
          <w:p w14:paraId="04F0B1EB" w14:textId="77777777" w:rsidR="00B07312" w:rsidRPr="006B48D3" w:rsidRDefault="00B07312" w:rsidP="00D22441">
            <w:pPr>
              <w:jc w:val="left"/>
              <w:rPr>
                <w:rFonts w:ascii="Arial Narrow" w:hAnsi="Arial Narrow" w:cs="Arial"/>
                <w:spacing w:val="0"/>
                <w:sz w:val="16"/>
                <w:szCs w:val="16"/>
                <w:lang w:eastAsia="es-CO"/>
              </w:rPr>
            </w:pPr>
            <w:r w:rsidRPr="006B48D3">
              <w:rPr>
                <w:rFonts w:ascii="Arial Narrow" w:hAnsi="Arial Narrow" w:cs="Arial"/>
                <w:spacing w:val="0"/>
                <w:sz w:val="16"/>
                <w:szCs w:val="16"/>
                <w:lang w:eastAsia="es-CO"/>
              </w:rPr>
              <w:t>FRONTERA ENERGY COLOMBIA CORP.</w:t>
            </w:r>
            <w:proofErr w:type="gramStart"/>
            <w:r w:rsidRPr="006B48D3">
              <w:rPr>
                <w:rFonts w:ascii="Arial Narrow" w:hAnsi="Arial Narrow" w:cs="Arial"/>
                <w:spacing w:val="0"/>
                <w:sz w:val="16"/>
                <w:szCs w:val="16"/>
                <w:lang w:eastAsia="es-CO"/>
              </w:rPr>
              <w:t>,  SUCURSAL</w:t>
            </w:r>
            <w:proofErr w:type="gramEnd"/>
            <w:r w:rsidRPr="006B48D3">
              <w:rPr>
                <w:rFonts w:ascii="Arial Narrow" w:hAnsi="Arial Narrow" w:cs="Arial"/>
                <w:spacing w:val="0"/>
                <w:sz w:val="16"/>
                <w:szCs w:val="16"/>
                <w:lang w:eastAsia="es-CO"/>
              </w:rPr>
              <w:t xml:space="preserve"> COLOMBIA</w:t>
            </w:r>
          </w:p>
        </w:tc>
        <w:tc>
          <w:tcPr>
            <w:tcW w:w="1620" w:type="dxa"/>
            <w:tcBorders>
              <w:top w:val="nil"/>
              <w:left w:val="nil"/>
              <w:bottom w:val="single" w:sz="4" w:space="0" w:color="auto"/>
              <w:right w:val="single" w:sz="4" w:space="0" w:color="auto"/>
            </w:tcBorders>
            <w:shd w:val="clear" w:color="000000" w:fill="F2F2F2"/>
            <w:noWrap/>
            <w:vAlign w:val="center"/>
            <w:hideMark/>
          </w:tcPr>
          <w:p w14:paraId="20E62A36"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$ 840.521.000</w:t>
            </w:r>
          </w:p>
        </w:tc>
        <w:tc>
          <w:tcPr>
            <w:tcW w:w="1520" w:type="dxa"/>
            <w:tcBorders>
              <w:top w:val="nil"/>
              <w:left w:val="nil"/>
              <w:bottom w:val="single" w:sz="4" w:space="0" w:color="auto"/>
              <w:right w:val="single" w:sz="4" w:space="0" w:color="auto"/>
            </w:tcBorders>
            <w:shd w:val="clear" w:color="000000" w:fill="F2F2F2"/>
            <w:noWrap/>
            <w:vAlign w:val="center"/>
            <w:hideMark/>
          </w:tcPr>
          <w:p w14:paraId="38EE290B"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$ 921.525</w:t>
            </w:r>
          </w:p>
        </w:tc>
        <w:tc>
          <w:tcPr>
            <w:tcW w:w="1460" w:type="dxa"/>
            <w:tcBorders>
              <w:top w:val="nil"/>
              <w:left w:val="nil"/>
              <w:bottom w:val="single" w:sz="4" w:space="0" w:color="auto"/>
              <w:right w:val="single" w:sz="4" w:space="0" w:color="auto"/>
            </w:tcBorders>
            <w:shd w:val="clear" w:color="000000" w:fill="F2F2F2"/>
            <w:noWrap/>
            <w:vAlign w:val="center"/>
            <w:hideMark/>
          </w:tcPr>
          <w:p w14:paraId="23A95327"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$ 841.442.525</w:t>
            </w:r>
          </w:p>
        </w:tc>
        <w:tc>
          <w:tcPr>
            <w:tcW w:w="1280" w:type="dxa"/>
            <w:tcBorders>
              <w:top w:val="nil"/>
              <w:left w:val="nil"/>
              <w:bottom w:val="single" w:sz="4" w:space="0" w:color="auto"/>
              <w:right w:val="single" w:sz="4" w:space="0" w:color="auto"/>
            </w:tcBorders>
            <w:shd w:val="clear" w:color="000000" w:fill="F2F2F2"/>
            <w:noWrap/>
            <w:vAlign w:val="center"/>
            <w:hideMark/>
          </w:tcPr>
          <w:p w14:paraId="31E7D5F0"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$ 8.414.425</w:t>
            </w:r>
          </w:p>
        </w:tc>
        <w:tc>
          <w:tcPr>
            <w:tcW w:w="1200" w:type="dxa"/>
            <w:tcBorders>
              <w:top w:val="nil"/>
              <w:left w:val="nil"/>
              <w:bottom w:val="single" w:sz="4" w:space="0" w:color="auto"/>
              <w:right w:val="single" w:sz="4" w:space="0" w:color="auto"/>
            </w:tcBorders>
            <w:shd w:val="clear" w:color="000000" w:fill="F2F2F2"/>
            <w:noWrap/>
            <w:vAlign w:val="center"/>
            <w:hideMark/>
          </w:tcPr>
          <w:p w14:paraId="260718B4"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$ 350</w:t>
            </w:r>
          </w:p>
        </w:tc>
        <w:tc>
          <w:tcPr>
            <w:tcW w:w="1280" w:type="dxa"/>
            <w:tcBorders>
              <w:top w:val="nil"/>
              <w:left w:val="nil"/>
              <w:bottom w:val="single" w:sz="4" w:space="0" w:color="auto"/>
              <w:right w:val="single" w:sz="4" w:space="0" w:color="auto"/>
            </w:tcBorders>
            <w:shd w:val="clear" w:color="000000" w:fill="F2F2F2"/>
            <w:noWrap/>
            <w:vAlign w:val="center"/>
            <w:hideMark/>
          </w:tcPr>
          <w:p w14:paraId="794B73EC"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$ 8.414.775</w:t>
            </w:r>
          </w:p>
        </w:tc>
      </w:tr>
      <w:tr w:rsidR="00B07312" w:rsidRPr="006B48D3" w14:paraId="49479B45" w14:textId="77777777" w:rsidTr="006B48D3">
        <w:trPr>
          <w:trHeight w:val="333"/>
        </w:trPr>
        <w:tc>
          <w:tcPr>
            <w:tcW w:w="407" w:type="dxa"/>
            <w:tcBorders>
              <w:top w:val="nil"/>
              <w:left w:val="single" w:sz="4" w:space="0" w:color="auto"/>
              <w:bottom w:val="single" w:sz="4" w:space="0" w:color="auto"/>
              <w:right w:val="single" w:sz="4" w:space="0" w:color="auto"/>
            </w:tcBorders>
            <w:shd w:val="clear" w:color="000000" w:fill="F2F2F2"/>
            <w:noWrap/>
            <w:vAlign w:val="center"/>
            <w:hideMark/>
          </w:tcPr>
          <w:p w14:paraId="6869C946" w14:textId="77777777" w:rsidR="00B07312" w:rsidRPr="006B48D3" w:rsidRDefault="00B07312" w:rsidP="00D22441">
            <w:pPr>
              <w:jc w:val="center"/>
              <w:rPr>
                <w:rFonts w:ascii="Arial Narrow" w:hAnsi="Arial Narrow" w:cs="Arial"/>
                <w:spacing w:val="0"/>
                <w:sz w:val="16"/>
                <w:szCs w:val="16"/>
                <w:lang w:eastAsia="es-CO"/>
              </w:rPr>
            </w:pPr>
            <w:r w:rsidRPr="006B48D3">
              <w:rPr>
                <w:rFonts w:ascii="Arial Narrow" w:hAnsi="Arial Narrow" w:cs="Arial"/>
                <w:spacing w:val="0"/>
                <w:sz w:val="16"/>
                <w:szCs w:val="16"/>
                <w:lang w:eastAsia="es-CO"/>
              </w:rPr>
              <w:t>39</w:t>
            </w:r>
          </w:p>
        </w:tc>
        <w:tc>
          <w:tcPr>
            <w:tcW w:w="585" w:type="dxa"/>
            <w:tcBorders>
              <w:top w:val="nil"/>
              <w:left w:val="nil"/>
              <w:bottom w:val="single" w:sz="4" w:space="0" w:color="auto"/>
              <w:right w:val="single" w:sz="4" w:space="0" w:color="auto"/>
            </w:tcBorders>
            <w:shd w:val="clear" w:color="000000" w:fill="F2F2F2"/>
            <w:noWrap/>
            <w:vAlign w:val="center"/>
            <w:hideMark/>
          </w:tcPr>
          <w:p w14:paraId="3D5B7C90"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3358</w:t>
            </w:r>
          </w:p>
        </w:tc>
        <w:tc>
          <w:tcPr>
            <w:tcW w:w="941" w:type="dxa"/>
            <w:tcBorders>
              <w:top w:val="nil"/>
              <w:left w:val="nil"/>
              <w:bottom w:val="single" w:sz="4" w:space="0" w:color="auto"/>
              <w:right w:val="single" w:sz="4" w:space="0" w:color="auto"/>
            </w:tcBorders>
            <w:shd w:val="clear" w:color="000000" w:fill="F2F2F2"/>
            <w:noWrap/>
            <w:vAlign w:val="center"/>
            <w:hideMark/>
          </w:tcPr>
          <w:p w14:paraId="79C67CFF"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830130648</w:t>
            </w:r>
          </w:p>
        </w:tc>
        <w:tc>
          <w:tcPr>
            <w:tcW w:w="3247" w:type="dxa"/>
            <w:tcBorders>
              <w:top w:val="nil"/>
              <w:left w:val="nil"/>
              <w:bottom w:val="single" w:sz="4" w:space="0" w:color="auto"/>
              <w:right w:val="single" w:sz="4" w:space="0" w:color="auto"/>
            </w:tcBorders>
            <w:shd w:val="clear" w:color="000000" w:fill="F2F2F2"/>
            <w:vAlign w:val="center"/>
            <w:hideMark/>
          </w:tcPr>
          <w:p w14:paraId="4EB636ED" w14:textId="77777777" w:rsidR="00B07312" w:rsidRPr="006B48D3" w:rsidRDefault="00B07312" w:rsidP="00D22441">
            <w:pPr>
              <w:jc w:val="left"/>
              <w:rPr>
                <w:rFonts w:ascii="Arial Narrow" w:hAnsi="Arial Narrow" w:cs="Arial"/>
                <w:spacing w:val="0"/>
                <w:sz w:val="16"/>
                <w:szCs w:val="16"/>
                <w:lang w:eastAsia="es-CO"/>
              </w:rPr>
            </w:pPr>
            <w:r w:rsidRPr="006B48D3">
              <w:rPr>
                <w:rFonts w:ascii="Arial Narrow" w:hAnsi="Arial Narrow" w:cs="Arial"/>
                <w:spacing w:val="0"/>
                <w:sz w:val="16"/>
                <w:szCs w:val="16"/>
                <w:lang w:eastAsia="es-CO"/>
              </w:rPr>
              <w:t>COMPAÑIA DE SERVICIOS PUBLICOS S.A E.</w:t>
            </w:r>
            <w:proofErr w:type="gramStart"/>
            <w:r w:rsidRPr="006B48D3">
              <w:rPr>
                <w:rFonts w:ascii="Arial Narrow" w:hAnsi="Arial Narrow" w:cs="Arial"/>
                <w:spacing w:val="0"/>
                <w:sz w:val="16"/>
                <w:szCs w:val="16"/>
                <w:lang w:eastAsia="es-CO"/>
              </w:rPr>
              <w:t>S.P</w:t>
            </w:r>
            <w:proofErr w:type="gramEnd"/>
          </w:p>
        </w:tc>
        <w:tc>
          <w:tcPr>
            <w:tcW w:w="1620" w:type="dxa"/>
            <w:tcBorders>
              <w:top w:val="nil"/>
              <w:left w:val="nil"/>
              <w:bottom w:val="single" w:sz="4" w:space="0" w:color="auto"/>
              <w:right w:val="single" w:sz="4" w:space="0" w:color="auto"/>
            </w:tcBorders>
            <w:shd w:val="clear" w:color="000000" w:fill="F2F2F2"/>
            <w:noWrap/>
            <w:vAlign w:val="center"/>
            <w:hideMark/>
          </w:tcPr>
          <w:p w14:paraId="3F65F857"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$ 1.431.726.000</w:t>
            </w:r>
          </w:p>
        </w:tc>
        <w:tc>
          <w:tcPr>
            <w:tcW w:w="1520" w:type="dxa"/>
            <w:tcBorders>
              <w:top w:val="nil"/>
              <w:left w:val="nil"/>
              <w:bottom w:val="single" w:sz="4" w:space="0" w:color="auto"/>
              <w:right w:val="single" w:sz="4" w:space="0" w:color="auto"/>
            </w:tcBorders>
            <w:shd w:val="clear" w:color="000000" w:fill="F2F2F2"/>
            <w:noWrap/>
            <w:vAlign w:val="center"/>
            <w:hideMark/>
          </w:tcPr>
          <w:p w14:paraId="45F4FE11"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$ 201.416.804</w:t>
            </w:r>
          </w:p>
        </w:tc>
        <w:tc>
          <w:tcPr>
            <w:tcW w:w="1460" w:type="dxa"/>
            <w:tcBorders>
              <w:top w:val="nil"/>
              <w:left w:val="nil"/>
              <w:bottom w:val="single" w:sz="4" w:space="0" w:color="auto"/>
              <w:right w:val="single" w:sz="4" w:space="0" w:color="auto"/>
            </w:tcBorders>
            <w:shd w:val="clear" w:color="000000" w:fill="F2F2F2"/>
            <w:noWrap/>
            <w:vAlign w:val="center"/>
            <w:hideMark/>
          </w:tcPr>
          <w:p w14:paraId="62C3B18F"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$ 1.633.142.804</w:t>
            </w:r>
          </w:p>
        </w:tc>
        <w:tc>
          <w:tcPr>
            <w:tcW w:w="1280" w:type="dxa"/>
            <w:tcBorders>
              <w:top w:val="nil"/>
              <w:left w:val="nil"/>
              <w:bottom w:val="single" w:sz="4" w:space="0" w:color="auto"/>
              <w:right w:val="single" w:sz="4" w:space="0" w:color="auto"/>
            </w:tcBorders>
            <w:shd w:val="clear" w:color="000000" w:fill="F2F2F2"/>
            <w:noWrap/>
            <w:vAlign w:val="center"/>
            <w:hideMark/>
          </w:tcPr>
          <w:p w14:paraId="087F9D8F"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$ 16.331.428</w:t>
            </w:r>
          </w:p>
        </w:tc>
        <w:tc>
          <w:tcPr>
            <w:tcW w:w="1200" w:type="dxa"/>
            <w:tcBorders>
              <w:top w:val="nil"/>
              <w:left w:val="nil"/>
              <w:bottom w:val="single" w:sz="4" w:space="0" w:color="auto"/>
              <w:right w:val="single" w:sz="4" w:space="0" w:color="auto"/>
            </w:tcBorders>
            <w:shd w:val="clear" w:color="000000" w:fill="F2F2F2"/>
            <w:noWrap/>
            <w:vAlign w:val="center"/>
            <w:hideMark/>
          </w:tcPr>
          <w:p w14:paraId="22CC2BED"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$ 680</w:t>
            </w:r>
          </w:p>
        </w:tc>
        <w:tc>
          <w:tcPr>
            <w:tcW w:w="1280" w:type="dxa"/>
            <w:tcBorders>
              <w:top w:val="nil"/>
              <w:left w:val="nil"/>
              <w:bottom w:val="single" w:sz="4" w:space="0" w:color="auto"/>
              <w:right w:val="single" w:sz="4" w:space="0" w:color="auto"/>
            </w:tcBorders>
            <w:shd w:val="clear" w:color="000000" w:fill="F2F2F2"/>
            <w:noWrap/>
            <w:vAlign w:val="center"/>
            <w:hideMark/>
          </w:tcPr>
          <w:p w14:paraId="0DBDE6B0"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$ 16.332.108</w:t>
            </w:r>
          </w:p>
        </w:tc>
      </w:tr>
      <w:tr w:rsidR="00B07312" w:rsidRPr="006B48D3" w14:paraId="4D60B950" w14:textId="77777777" w:rsidTr="006B48D3">
        <w:trPr>
          <w:trHeight w:val="343"/>
        </w:trPr>
        <w:tc>
          <w:tcPr>
            <w:tcW w:w="407" w:type="dxa"/>
            <w:tcBorders>
              <w:top w:val="nil"/>
              <w:left w:val="single" w:sz="4" w:space="0" w:color="auto"/>
              <w:bottom w:val="single" w:sz="4" w:space="0" w:color="auto"/>
              <w:right w:val="single" w:sz="4" w:space="0" w:color="auto"/>
            </w:tcBorders>
            <w:shd w:val="clear" w:color="000000" w:fill="F2F2F2"/>
            <w:noWrap/>
            <w:vAlign w:val="center"/>
            <w:hideMark/>
          </w:tcPr>
          <w:p w14:paraId="5B1C7BC8" w14:textId="77777777" w:rsidR="00B07312" w:rsidRPr="006B48D3" w:rsidRDefault="00B07312" w:rsidP="00D22441">
            <w:pPr>
              <w:jc w:val="center"/>
              <w:rPr>
                <w:rFonts w:ascii="Arial Narrow" w:hAnsi="Arial Narrow" w:cs="Arial"/>
                <w:spacing w:val="0"/>
                <w:sz w:val="16"/>
                <w:szCs w:val="16"/>
                <w:lang w:eastAsia="es-CO"/>
              </w:rPr>
            </w:pPr>
            <w:r w:rsidRPr="006B48D3">
              <w:rPr>
                <w:rFonts w:ascii="Arial Narrow" w:hAnsi="Arial Narrow" w:cs="Arial"/>
                <w:spacing w:val="0"/>
                <w:sz w:val="16"/>
                <w:szCs w:val="16"/>
                <w:lang w:eastAsia="es-CO"/>
              </w:rPr>
              <w:t>40</w:t>
            </w:r>
          </w:p>
        </w:tc>
        <w:tc>
          <w:tcPr>
            <w:tcW w:w="585" w:type="dxa"/>
            <w:tcBorders>
              <w:top w:val="nil"/>
              <w:left w:val="nil"/>
              <w:bottom w:val="single" w:sz="4" w:space="0" w:color="auto"/>
              <w:right w:val="single" w:sz="4" w:space="0" w:color="auto"/>
            </w:tcBorders>
            <w:shd w:val="clear" w:color="000000" w:fill="F2F2F2"/>
            <w:noWrap/>
            <w:vAlign w:val="center"/>
            <w:hideMark/>
          </w:tcPr>
          <w:p w14:paraId="6EC5A010"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21590</w:t>
            </w:r>
          </w:p>
        </w:tc>
        <w:tc>
          <w:tcPr>
            <w:tcW w:w="941" w:type="dxa"/>
            <w:tcBorders>
              <w:top w:val="nil"/>
              <w:left w:val="nil"/>
              <w:bottom w:val="single" w:sz="4" w:space="0" w:color="auto"/>
              <w:right w:val="single" w:sz="4" w:space="0" w:color="auto"/>
            </w:tcBorders>
            <w:shd w:val="clear" w:color="000000" w:fill="F2F2F2"/>
            <w:noWrap/>
            <w:vAlign w:val="center"/>
            <w:hideMark/>
          </w:tcPr>
          <w:p w14:paraId="2E9A820C"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830140206</w:t>
            </w:r>
          </w:p>
        </w:tc>
        <w:tc>
          <w:tcPr>
            <w:tcW w:w="3247" w:type="dxa"/>
            <w:tcBorders>
              <w:top w:val="nil"/>
              <w:left w:val="nil"/>
              <w:bottom w:val="single" w:sz="4" w:space="0" w:color="auto"/>
              <w:right w:val="single" w:sz="4" w:space="0" w:color="auto"/>
            </w:tcBorders>
            <w:shd w:val="clear" w:color="000000" w:fill="F2F2F2"/>
            <w:vAlign w:val="center"/>
            <w:hideMark/>
          </w:tcPr>
          <w:p w14:paraId="787BC020" w14:textId="77777777" w:rsidR="00B07312" w:rsidRPr="006B48D3" w:rsidRDefault="00B07312" w:rsidP="00D22441">
            <w:pPr>
              <w:jc w:val="left"/>
              <w:rPr>
                <w:rFonts w:ascii="Arial Narrow" w:hAnsi="Arial Narrow" w:cs="Arial"/>
                <w:spacing w:val="0"/>
                <w:sz w:val="16"/>
                <w:szCs w:val="16"/>
                <w:lang w:eastAsia="es-CO"/>
              </w:rPr>
            </w:pPr>
            <w:r w:rsidRPr="006B48D3">
              <w:rPr>
                <w:rFonts w:ascii="Arial Narrow" w:hAnsi="Arial Narrow" w:cs="Arial"/>
                <w:spacing w:val="0"/>
                <w:sz w:val="16"/>
                <w:szCs w:val="16"/>
                <w:lang w:eastAsia="es-CO"/>
              </w:rPr>
              <w:t>ENERCER S.A E.</w:t>
            </w:r>
            <w:proofErr w:type="gramStart"/>
            <w:r w:rsidRPr="006B48D3">
              <w:rPr>
                <w:rFonts w:ascii="Arial Narrow" w:hAnsi="Arial Narrow" w:cs="Arial"/>
                <w:spacing w:val="0"/>
                <w:sz w:val="16"/>
                <w:szCs w:val="16"/>
                <w:lang w:eastAsia="es-CO"/>
              </w:rPr>
              <w:t>S.P</w:t>
            </w:r>
            <w:proofErr w:type="gramEnd"/>
          </w:p>
        </w:tc>
        <w:tc>
          <w:tcPr>
            <w:tcW w:w="1620" w:type="dxa"/>
            <w:tcBorders>
              <w:top w:val="nil"/>
              <w:left w:val="nil"/>
              <w:bottom w:val="single" w:sz="4" w:space="0" w:color="auto"/>
              <w:right w:val="single" w:sz="4" w:space="0" w:color="auto"/>
            </w:tcBorders>
            <w:shd w:val="clear" w:color="000000" w:fill="F2F2F2"/>
            <w:noWrap/>
            <w:vAlign w:val="center"/>
            <w:hideMark/>
          </w:tcPr>
          <w:p w14:paraId="3E868D8D"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$ 2.408.277.462</w:t>
            </w:r>
          </w:p>
        </w:tc>
        <w:tc>
          <w:tcPr>
            <w:tcW w:w="1520" w:type="dxa"/>
            <w:tcBorders>
              <w:top w:val="nil"/>
              <w:left w:val="nil"/>
              <w:bottom w:val="single" w:sz="4" w:space="0" w:color="auto"/>
              <w:right w:val="single" w:sz="4" w:space="0" w:color="auto"/>
            </w:tcBorders>
            <w:shd w:val="clear" w:color="000000" w:fill="F2F2F2"/>
            <w:noWrap/>
            <w:vAlign w:val="center"/>
            <w:hideMark/>
          </w:tcPr>
          <w:p w14:paraId="4AF132DD"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$ 34.237.993</w:t>
            </w:r>
          </w:p>
        </w:tc>
        <w:tc>
          <w:tcPr>
            <w:tcW w:w="1460" w:type="dxa"/>
            <w:tcBorders>
              <w:top w:val="nil"/>
              <w:left w:val="nil"/>
              <w:bottom w:val="single" w:sz="4" w:space="0" w:color="auto"/>
              <w:right w:val="single" w:sz="4" w:space="0" w:color="auto"/>
            </w:tcBorders>
            <w:shd w:val="clear" w:color="000000" w:fill="F2F2F2"/>
            <w:noWrap/>
            <w:vAlign w:val="center"/>
            <w:hideMark/>
          </w:tcPr>
          <w:p w14:paraId="22391D8E"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$ 2.442.515.455</w:t>
            </w:r>
          </w:p>
        </w:tc>
        <w:tc>
          <w:tcPr>
            <w:tcW w:w="1280" w:type="dxa"/>
            <w:tcBorders>
              <w:top w:val="nil"/>
              <w:left w:val="nil"/>
              <w:bottom w:val="single" w:sz="4" w:space="0" w:color="auto"/>
              <w:right w:val="single" w:sz="4" w:space="0" w:color="auto"/>
            </w:tcBorders>
            <w:shd w:val="clear" w:color="000000" w:fill="F2F2F2"/>
            <w:noWrap/>
            <w:vAlign w:val="center"/>
            <w:hideMark/>
          </w:tcPr>
          <w:p w14:paraId="042F9F31"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$ 24.425.155</w:t>
            </w:r>
          </w:p>
        </w:tc>
        <w:tc>
          <w:tcPr>
            <w:tcW w:w="1200" w:type="dxa"/>
            <w:tcBorders>
              <w:top w:val="nil"/>
              <w:left w:val="nil"/>
              <w:bottom w:val="single" w:sz="4" w:space="0" w:color="auto"/>
              <w:right w:val="single" w:sz="4" w:space="0" w:color="auto"/>
            </w:tcBorders>
            <w:shd w:val="clear" w:color="000000" w:fill="F2F2F2"/>
            <w:noWrap/>
            <w:vAlign w:val="center"/>
            <w:hideMark/>
          </w:tcPr>
          <w:p w14:paraId="31FABCAB"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$ 1.016</w:t>
            </w:r>
          </w:p>
        </w:tc>
        <w:tc>
          <w:tcPr>
            <w:tcW w:w="1280" w:type="dxa"/>
            <w:tcBorders>
              <w:top w:val="nil"/>
              <w:left w:val="nil"/>
              <w:bottom w:val="single" w:sz="4" w:space="0" w:color="auto"/>
              <w:right w:val="single" w:sz="4" w:space="0" w:color="auto"/>
            </w:tcBorders>
            <w:shd w:val="clear" w:color="000000" w:fill="F2F2F2"/>
            <w:noWrap/>
            <w:vAlign w:val="center"/>
            <w:hideMark/>
          </w:tcPr>
          <w:p w14:paraId="7B24C9DA"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$ 24.426.171</w:t>
            </w:r>
          </w:p>
        </w:tc>
      </w:tr>
      <w:tr w:rsidR="00B07312" w:rsidRPr="006B48D3" w14:paraId="0251BC2F" w14:textId="77777777" w:rsidTr="006B48D3">
        <w:trPr>
          <w:trHeight w:val="277"/>
        </w:trPr>
        <w:tc>
          <w:tcPr>
            <w:tcW w:w="407" w:type="dxa"/>
            <w:tcBorders>
              <w:top w:val="nil"/>
              <w:left w:val="single" w:sz="4" w:space="0" w:color="auto"/>
              <w:bottom w:val="single" w:sz="4" w:space="0" w:color="auto"/>
              <w:right w:val="single" w:sz="4" w:space="0" w:color="auto"/>
            </w:tcBorders>
            <w:shd w:val="clear" w:color="000000" w:fill="F2F2F2"/>
            <w:noWrap/>
            <w:vAlign w:val="center"/>
            <w:hideMark/>
          </w:tcPr>
          <w:p w14:paraId="12B21B7D" w14:textId="77777777" w:rsidR="00B07312" w:rsidRPr="006B48D3" w:rsidRDefault="00B07312" w:rsidP="00D22441">
            <w:pPr>
              <w:jc w:val="center"/>
              <w:rPr>
                <w:rFonts w:ascii="Arial Narrow" w:hAnsi="Arial Narrow" w:cs="Arial"/>
                <w:spacing w:val="0"/>
                <w:sz w:val="16"/>
                <w:szCs w:val="16"/>
                <w:lang w:eastAsia="es-CO"/>
              </w:rPr>
            </w:pPr>
            <w:r w:rsidRPr="006B48D3">
              <w:rPr>
                <w:rFonts w:ascii="Arial Narrow" w:hAnsi="Arial Narrow" w:cs="Arial"/>
                <w:spacing w:val="0"/>
                <w:sz w:val="16"/>
                <w:szCs w:val="16"/>
                <w:lang w:eastAsia="es-CO"/>
              </w:rPr>
              <w:t>41</w:t>
            </w:r>
          </w:p>
        </w:tc>
        <w:tc>
          <w:tcPr>
            <w:tcW w:w="585" w:type="dxa"/>
            <w:tcBorders>
              <w:top w:val="nil"/>
              <w:left w:val="nil"/>
              <w:bottom w:val="single" w:sz="4" w:space="0" w:color="auto"/>
              <w:right w:val="single" w:sz="4" w:space="0" w:color="auto"/>
            </w:tcBorders>
            <w:shd w:val="clear" w:color="000000" w:fill="F2F2F2"/>
            <w:noWrap/>
            <w:vAlign w:val="center"/>
            <w:hideMark/>
          </w:tcPr>
          <w:p w14:paraId="55D553B0"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20518</w:t>
            </w:r>
          </w:p>
        </w:tc>
        <w:tc>
          <w:tcPr>
            <w:tcW w:w="941" w:type="dxa"/>
            <w:tcBorders>
              <w:top w:val="nil"/>
              <w:left w:val="nil"/>
              <w:bottom w:val="single" w:sz="4" w:space="0" w:color="auto"/>
              <w:right w:val="single" w:sz="4" w:space="0" w:color="auto"/>
            </w:tcBorders>
            <w:shd w:val="clear" w:color="000000" w:fill="F2F2F2"/>
            <w:noWrap/>
            <w:vAlign w:val="center"/>
            <w:hideMark/>
          </w:tcPr>
          <w:p w14:paraId="73F87980"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830510717</w:t>
            </w:r>
          </w:p>
        </w:tc>
        <w:tc>
          <w:tcPr>
            <w:tcW w:w="3247" w:type="dxa"/>
            <w:tcBorders>
              <w:top w:val="nil"/>
              <w:left w:val="nil"/>
              <w:bottom w:val="single" w:sz="4" w:space="0" w:color="auto"/>
              <w:right w:val="single" w:sz="4" w:space="0" w:color="auto"/>
            </w:tcBorders>
            <w:shd w:val="clear" w:color="000000" w:fill="F2F2F2"/>
            <w:vAlign w:val="center"/>
            <w:hideMark/>
          </w:tcPr>
          <w:p w14:paraId="1E5A194A" w14:textId="77777777" w:rsidR="00B07312" w:rsidRPr="006B48D3" w:rsidRDefault="00B07312" w:rsidP="00D22441">
            <w:pPr>
              <w:jc w:val="left"/>
              <w:rPr>
                <w:rFonts w:ascii="Arial Narrow" w:hAnsi="Arial Narrow" w:cs="Arial"/>
                <w:spacing w:val="0"/>
                <w:sz w:val="16"/>
                <w:szCs w:val="16"/>
                <w:lang w:eastAsia="es-CO"/>
              </w:rPr>
            </w:pPr>
            <w:r w:rsidRPr="006B48D3">
              <w:rPr>
                <w:rFonts w:ascii="Arial Narrow" w:hAnsi="Arial Narrow" w:cs="Arial"/>
                <w:spacing w:val="0"/>
                <w:sz w:val="16"/>
                <w:szCs w:val="16"/>
                <w:lang w:eastAsia="es-CO"/>
              </w:rPr>
              <w:t>SURCOLOMBIANA DE GAS S.A E.</w:t>
            </w:r>
            <w:proofErr w:type="gramStart"/>
            <w:r w:rsidRPr="006B48D3">
              <w:rPr>
                <w:rFonts w:ascii="Arial Narrow" w:hAnsi="Arial Narrow" w:cs="Arial"/>
                <w:spacing w:val="0"/>
                <w:sz w:val="16"/>
                <w:szCs w:val="16"/>
                <w:lang w:eastAsia="es-CO"/>
              </w:rPr>
              <w:t>S.P</w:t>
            </w:r>
            <w:proofErr w:type="gramEnd"/>
          </w:p>
        </w:tc>
        <w:tc>
          <w:tcPr>
            <w:tcW w:w="1620" w:type="dxa"/>
            <w:tcBorders>
              <w:top w:val="nil"/>
              <w:left w:val="nil"/>
              <w:bottom w:val="single" w:sz="4" w:space="0" w:color="auto"/>
              <w:right w:val="single" w:sz="4" w:space="0" w:color="auto"/>
            </w:tcBorders>
            <w:shd w:val="clear" w:color="000000" w:fill="F2F2F2"/>
            <w:noWrap/>
            <w:vAlign w:val="center"/>
            <w:hideMark/>
          </w:tcPr>
          <w:p w14:paraId="0188F40B"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$ 4.865.225.000</w:t>
            </w:r>
          </w:p>
        </w:tc>
        <w:tc>
          <w:tcPr>
            <w:tcW w:w="1520" w:type="dxa"/>
            <w:tcBorders>
              <w:top w:val="nil"/>
              <w:left w:val="nil"/>
              <w:bottom w:val="single" w:sz="4" w:space="0" w:color="auto"/>
              <w:right w:val="single" w:sz="4" w:space="0" w:color="auto"/>
            </w:tcBorders>
            <w:shd w:val="clear" w:color="000000" w:fill="F2F2F2"/>
            <w:noWrap/>
            <w:vAlign w:val="center"/>
            <w:hideMark/>
          </w:tcPr>
          <w:p w14:paraId="7E06FA65"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$ 220.584.405</w:t>
            </w:r>
          </w:p>
        </w:tc>
        <w:tc>
          <w:tcPr>
            <w:tcW w:w="1460" w:type="dxa"/>
            <w:tcBorders>
              <w:top w:val="nil"/>
              <w:left w:val="nil"/>
              <w:bottom w:val="single" w:sz="4" w:space="0" w:color="auto"/>
              <w:right w:val="single" w:sz="4" w:space="0" w:color="auto"/>
            </w:tcBorders>
            <w:shd w:val="clear" w:color="000000" w:fill="F2F2F2"/>
            <w:noWrap/>
            <w:vAlign w:val="center"/>
            <w:hideMark/>
          </w:tcPr>
          <w:p w14:paraId="6CC101EE"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$ 5.085.809.405</w:t>
            </w:r>
          </w:p>
        </w:tc>
        <w:tc>
          <w:tcPr>
            <w:tcW w:w="1280" w:type="dxa"/>
            <w:tcBorders>
              <w:top w:val="nil"/>
              <w:left w:val="nil"/>
              <w:bottom w:val="single" w:sz="4" w:space="0" w:color="auto"/>
              <w:right w:val="single" w:sz="4" w:space="0" w:color="auto"/>
            </w:tcBorders>
            <w:shd w:val="clear" w:color="000000" w:fill="F2F2F2"/>
            <w:noWrap/>
            <w:vAlign w:val="center"/>
            <w:hideMark/>
          </w:tcPr>
          <w:p w14:paraId="4373FBF9"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$ 50.858.094</w:t>
            </w:r>
          </w:p>
        </w:tc>
        <w:tc>
          <w:tcPr>
            <w:tcW w:w="1200" w:type="dxa"/>
            <w:tcBorders>
              <w:top w:val="nil"/>
              <w:left w:val="nil"/>
              <w:bottom w:val="single" w:sz="4" w:space="0" w:color="auto"/>
              <w:right w:val="single" w:sz="4" w:space="0" w:color="auto"/>
            </w:tcBorders>
            <w:shd w:val="clear" w:color="000000" w:fill="F2F2F2"/>
            <w:noWrap/>
            <w:vAlign w:val="center"/>
            <w:hideMark/>
          </w:tcPr>
          <w:p w14:paraId="53966AAE"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$ 2.117</w:t>
            </w:r>
          </w:p>
        </w:tc>
        <w:tc>
          <w:tcPr>
            <w:tcW w:w="1280" w:type="dxa"/>
            <w:tcBorders>
              <w:top w:val="nil"/>
              <w:left w:val="nil"/>
              <w:bottom w:val="single" w:sz="4" w:space="0" w:color="auto"/>
              <w:right w:val="single" w:sz="4" w:space="0" w:color="auto"/>
            </w:tcBorders>
            <w:shd w:val="clear" w:color="000000" w:fill="F2F2F2"/>
            <w:noWrap/>
            <w:vAlign w:val="center"/>
            <w:hideMark/>
          </w:tcPr>
          <w:p w14:paraId="4C876C47"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$ 50.860.211</w:t>
            </w:r>
          </w:p>
        </w:tc>
      </w:tr>
      <w:tr w:rsidR="00B07312" w:rsidRPr="006B48D3" w14:paraId="2684C693" w14:textId="77777777" w:rsidTr="00D16BC5">
        <w:trPr>
          <w:trHeight w:val="325"/>
        </w:trPr>
        <w:tc>
          <w:tcPr>
            <w:tcW w:w="407" w:type="dxa"/>
            <w:tcBorders>
              <w:top w:val="nil"/>
              <w:left w:val="single" w:sz="4" w:space="0" w:color="auto"/>
              <w:bottom w:val="single" w:sz="4" w:space="0" w:color="auto"/>
              <w:right w:val="single" w:sz="4" w:space="0" w:color="auto"/>
            </w:tcBorders>
            <w:shd w:val="clear" w:color="000000" w:fill="F2F2F2"/>
            <w:noWrap/>
            <w:vAlign w:val="center"/>
            <w:hideMark/>
          </w:tcPr>
          <w:p w14:paraId="14AD0921" w14:textId="77777777" w:rsidR="00B07312" w:rsidRPr="006B48D3" w:rsidRDefault="00B07312" w:rsidP="00D22441">
            <w:pPr>
              <w:jc w:val="center"/>
              <w:rPr>
                <w:rFonts w:ascii="Arial Narrow" w:hAnsi="Arial Narrow" w:cs="Arial"/>
                <w:spacing w:val="0"/>
                <w:sz w:val="16"/>
                <w:szCs w:val="16"/>
                <w:lang w:eastAsia="es-CO"/>
              </w:rPr>
            </w:pPr>
            <w:r w:rsidRPr="006B48D3">
              <w:rPr>
                <w:rFonts w:ascii="Arial Narrow" w:hAnsi="Arial Narrow" w:cs="Arial"/>
                <w:spacing w:val="0"/>
                <w:sz w:val="16"/>
                <w:szCs w:val="16"/>
                <w:lang w:eastAsia="es-CO"/>
              </w:rPr>
              <w:t>42</w:t>
            </w:r>
          </w:p>
        </w:tc>
        <w:tc>
          <w:tcPr>
            <w:tcW w:w="585" w:type="dxa"/>
            <w:tcBorders>
              <w:top w:val="nil"/>
              <w:left w:val="nil"/>
              <w:bottom w:val="single" w:sz="4" w:space="0" w:color="auto"/>
              <w:right w:val="single" w:sz="4" w:space="0" w:color="auto"/>
            </w:tcBorders>
            <w:shd w:val="clear" w:color="000000" w:fill="F2F2F2"/>
            <w:noWrap/>
            <w:vAlign w:val="center"/>
            <w:hideMark/>
          </w:tcPr>
          <w:p w14:paraId="4D43F75B"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2923</w:t>
            </w:r>
          </w:p>
        </w:tc>
        <w:tc>
          <w:tcPr>
            <w:tcW w:w="941" w:type="dxa"/>
            <w:tcBorders>
              <w:top w:val="nil"/>
              <w:left w:val="nil"/>
              <w:bottom w:val="single" w:sz="4" w:space="0" w:color="auto"/>
              <w:right w:val="single" w:sz="4" w:space="0" w:color="auto"/>
            </w:tcBorders>
            <w:shd w:val="clear" w:color="000000" w:fill="F2F2F2"/>
            <w:noWrap/>
            <w:vAlign w:val="center"/>
            <w:hideMark/>
          </w:tcPr>
          <w:p w14:paraId="437529A9"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834001051</w:t>
            </w:r>
          </w:p>
        </w:tc>
        <w:tc>
          <w:tcPr>
            <w:tcW w:w="3247" w:type="dxa"/>
            <w:tcBorders>
              <w:top w:val="nil"/>
              <w:left w:val="nil"/>
              <w:bottom w:val="single" w:sz="4" w:space="0" w:color="auto"/>
              <w:right w:val="single" w:sz="4" w:space="0" w:color="auto"/>
            </w:tcBorders>
            <w:shd w:val="clear" w:color="000000" w:fill="F2F2F2"/>
            <w:vAlign w:val="center"/>
            <w:hideMark/>
          </w:tcPr>
          <w:p w14:paraId="00CC1CCD" w14:textId="77777777" w:rsidR="00B07312" w:rsidRPr="006B48D3" w:rsidRDefault="00B07312" w:rsidP="00D22441">
            <w:pPr>
              <w:jc w:val="left"/>
              <w:rPr>
                <w:rFonts w:ascii="Arial Narrow" w:hAnsi="Arial Narrow" w:cs="Arial"/>
                <w:spacing w:val="0"/>
                <w:sz w:val="16"/>
                <w:szCs w:val="16"/>
                <w:lang w:eastAsia="es-CO"/>
              </w:rPr>
            </w:pPr>
            <w:r w:rsidRPr="006B48D3">
              <w:rPr>
                <w:rFonts w:ascii="Arial Narrow" w:hAnsi="Arial Narrow" w:cs="Arial"/>
                <w:spacing w:val="0"/>
                <w:sz w:val="16"/>
                <w:szCs w:val="16"/>
                <w:lang w:eastAsia="es-CO"/>
              </w:rPr>
              <w:t>DISTRIBUIDORA DE GAS MONZAGAS S.A. E.S.P.</w:t>
            </w:r>
          </w:p>
        </w:tc>
        <w:tc>
          <w:tcPr>
            <w:tcW w:w="1620" w:type="dxa"/>
            <w:tcBorders>
              <w:top w:val="nil"/>
              <w:left w:val="nil"/>
              <w:bottom w:val="single" w:sz="4" w:space="0" w:color="auto"/>
              <w:right w:val="single" w:sz="4" w:space="0" w:color="auto"/>
            </w:tcBorders>
            <w:shd w:val="clear" w:color="000000" w:fill="F2F2F2"/>
            <w:noWrap/>
            <w:vAlign w:val="center"/>
            <w:hideMark/>
          </w:tcPr>
          <w:p w14:paraId="3179A73C"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$ 843.543.000</w:t>
            </w:r>
          </w:p>
        </w:tc>
        <w:tc>
          <w:tcPr>
            <w:tcW w:w="1520" w:type="dxa"/>
            <w:tcBorders>
              <w:top w:val="nil"/>
              <w:left w:val="nil"/>
              <w:bottom w:val="single" w:sz="4" w:space="0" w:color="auto"/>
              <w:right w:val="single" w:sz="4" w:space="0" w:color="auto"/>
            </w:tcBorders>
            <w:shd w:val="clear" w:color="000000" w:fill="F2F2F2"/>
            <w:noWrap/>
            <w:vAlign w:val="center"/>
            <w:hideMark/>
          </w:tcPr>
          <w:p w14:paraId="23117C92"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$ 29.887.369</w:t>
            </w:r>
          </w:p>
        </w:tc>
        <w:tc>
          <w:tcPr>
            <w:tcW w:w="1460" w:type="dxa"/>
            <w:tcBorders>
              <w:top w:val="nil"/>
              <w:left w:val="nil"/>
              <w:bottom w:val="single" w:sz="4" w:space="0" w:color="auto"/>
              <w:right w:val="single" w:sz="4" w:space="0" w:color="auto"/>
            </w:tcBorders>
            <w:shd w:val="clear" w:color="000000" w:fill="F2F2F2"/>
            <w:noWrap/>
            <w:vAlign w:val="center"/>
            <w:hideMark/>
          </w:tcPr>
          <w:p w14:paraId="70E4AEDC"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$ 873.430.369</w:t>
            </w:r>
          </w:p>
        </w:tc>
        <w:tc>
          <w:tcPr>
            <w:tcW w:w="1280" w:type="dxa"/>
            <w:tcBorders>
              <w:top w:val="nil"/>
              <w:left w:val="nil"/>
              <w:bottom w:val="single" w:sz="4" w:space="0" w:color="auto"/>
              <w:right w:val="single" w:sz="4" w:space="0" w:color="auto"/>
            </w:tcBorders>
            <w:shd w:val="clear" w:color="000000" w:fill="F2F2F2"/>
            <w:noWrap/>
            <w:vAlign w:val="center"/>
            <w:hideMark/>
          </w:tcPr>
          <w:p w14:paraId="101530DD"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$ 8.734.304</w:t>
            </w:r>
          </w:p>
        </w:tc>
        <w:tc>
          <w:tcPr>
            <w:tcW w:w="1200" w:type="dxa"/>
            <w:tcBorders>
              <w:top w:val="nil"/>
              <w:left w:val="nil"/>
              <w:bottom w:val="single" w:sz="4" w:space="0" w:color="auto"/>
              <w:right w:val="single" w:sz="4" w:space="0" w:color="auto"/>
            </w:tcBorders>
            <w:shd w:val="clear" w:color="000000" w:fill="F2F2F2"/>
            <w:noWrap/>
            <w:vAlign w:val="center"/>
            <w:hideMark/>
          </w:tcPr>
          <w:p w14:paraId="18003E9E"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$ 363</w:t>
            </w:r>
          </w:p>
        </w:tc>
        <w:tc>
          <w:tcPr>
            <w:tcW w:w="1280" w:type="dxa"/>
            <w:tcBorders>
              <w:top w:val="nil"/>
              <w:left w:val="nil"/>
              <w:bottom w:val="single" w:sz="4" w:space="0" w:color="auto"/>
              <w:right w:val="single" w:sz="4" w:space="0" w:color="auto"/>
            </w:tcBorders>
            <w:shd w:val="clear" w:color="000000" w:fill="F2F2F2"/>
            <w:noWrap/>
            <w:vAlign w:val="center"/>
            <w:hideMark/>
          </w:tcPr>
          <w:p w14:paraId="5C6EECF1"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$ 8.734.667</w:t>
            </w:r>
          </w:p>
        </w:tc>
      </w:tr>
      <w:tr w:rsidR="00B07312" w:rsidRPr="006B48D3" w14:paraId="0FE1FDC5" w14:textId="77777777" w:rsidTr="006B48D3">
        <w:trPr>
          <w:trHeight w:val="277"/>
        </w:trPr>
        <w:tc>
          <w:tcPr>
            <w:tcW w:w="407" w:type="dxa"/>
            <w:tcBorders>
              <w:top w:val="nil"/>
              <w:left w:val="single" w:sz="4" w:space="0" w:color="auto"/>
              <w:bottom w:val="single" w:sz="4" w:space="0" w:color="auto"/>
              <w:right w:val="single" w:sz="4" w:space="0" w:color="auto"/>
            </w:tcBorders>
            <w:shd w:val="clear" w:color="000000" w:fill="F2F2F2"/>
            <w:noWrap/>
            <w:vAlign w:val="center"/>
            <w:hideMark/>
          </w:tcPr>
          <w:p w14:paraId="4EC2B3E4" w14:textId="77777777" w:rsidR="00B07312" w:rsidRPr="006B48D3" w:rsidRDefault="00B07312" w:rsidP="00D22441">
            <w:pPr>
              <w:jc w:val="center"/>
              <w:rPr>
                <w:rFonts w:ascii="Arial Narrow" w:hAnsi="Arial Narrow" w:cs="Arial"/>
                <w:spacing w:val="0"/>
                <w:sz w:val="16"/>
                <w:szCs w:val="16"/>
                <w:lang w:eastAsia="es-CO"/>
              </w:rPr>
            </w:pPr>
            <w:r w:rsidRPr="006B48D3">
              <w:rPr>
                <w:rFonts w:ascii="Arial Narrow" w:hAnsi="Arial Narrow" w:cs="Arial"/>
                <w:spacing w:val="0"/>
                <w:sz w:val="16"/>
                <w:szCs w:val="16"/>
                <w:lang w:eastAsia="es-CO"/>
              </w:rPr>
              <w:t>43</w:t>
            </w:r>
          </w:p>
        </w:tc>
        <w:tc>
          <w:tcPr>
            <w:tcW w:w="585" w:type="dxa"/>
            <w:tcBorders>
              <w:top w:val="nil"/>
              <w:left w:val="nil"/>
              <w:bottom w:val="single" w:sz="4" w:space="0" w:color="auto"/>
              <w:right w:val="single" w:sz="4" w:space="0" w:color="auto"/>
            </w:tcBorders>
            <w:shd w:val="clear" w:color="000000" w:fill="F2F2F2"/>
            <w:noWrap/>
            <w:vAlign w:val="center"/>
            <w:hideMark/>
          </w:tcPr>
          <w:p w14:paraId="1E7C1E67"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1714</w:t>
            </w:r>
          </w:p>
        </w:tc>
        <w:tc>
          <w:tcPr>
            <w:tcW w:w="941" w:type="dxa"/>
            <w:tcBorders>
              <w:top w:val="nil"/>
              <w:left w:val="nil"/>
              <w:bottom w:val="single" w:sz="4" w:space="0" w:color="auto"/>
              <w:right w:val="single" w:sz="4" w:space="0" w:color="auto"/>
            </w:tcBorders>
            <w:shd w:val="clear" w:color="000000" w:fill="F2F2F2"/>
            <w:noWrap/>
            <w:vAlign w:val="center"/>
            <w:hideMark/>
          </w:tcPr>
          <w:p w14:paraId="1AA71077"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860025611</w:t>
            </w:r>
          </w:p>
        </w:tc>
        <w:tc>
          <w:tcPr>
            <w:tcW w:w="3247" w:type="dxa"/>
            <w:tcBorders>
              <w:top w:val="nil"/>
              <w:left w:val="nil"/>
              <w:bottom w:val="single" w:sz="4" w:space="0" w:color="auto"/>
              <w:right w:val="single" w:sz="4" w:space="0" w:color="auto"/>
            </w:tcBorders>
            <w:shd w:val="clear" w:color="000000" w:fill="F2F2F2"/>
            <w:vAlign w:val="center"/>
            <w:hideMark/>
          </w:tcPr>
          <w:p w14:paraId="162F5DCE" w14:textId="77777777" w:rsidR="00B07312" w:rsidRPr="006B48D3" w:rsidRDefault="00B07312" w:rsidP="00D22441">
            <w:pPr>
              <w:jc w:val="left"/>
              <w:rPr>
                <w:rFonts w:ascii="Arial Narrow" w:hAnsi="Arial Narrow" w:cs="Arial"/>
                <w:spacing w:val="0"/>
                <w:sz w:val="16"/>
                <w:szCs w:val="16"/>
                <w:lang w:eastAsia="es-CO"/>
              </w:rPr>
            </w:pPr>
            <w:r w:rsidRPr="006B48D3">
              <w:rPr>
                <w:rFonts w:ascii="Arial Narrow" w:hAnsi="Arial Narrow" w:cs="Arial"/>
                <w:spacing w:val="0"/>
                <w:sz w:val="16"/>
                <w:szCs w:val="16"/>
                <w:lang w:eastAsia="es-CO"/>
              </w:rPr>
              <w:t>VILLA GAS S.A. E.S.P.</w:t>
            </w:r>
          </w:p>
        </w:tc>
        <w:tc>
          <w:tcPr>
            <w:tcW w:w="1620" w:type="dxa"/>
            <w:tcBorders>
              <w:top w:val="nil"/>
              <w:left w:val="nil"/>
              <w:bottom w:val="single" w:sz="4" w:space="0" w:color="auto"/>
              <w:right w:val="single" w:sz="4" w:space="0" w:color="auto"/>
            </w:tcBorders>
            <w:shd w:val="clear" w:color="000000" w:fill="F2F2F2"/>
            <w:noWrap/>
            <w:vAlign w:val="center"/>
            <w:hideMark/>
          </w:tcPr>
          <w:p w14:paraId="322E60A2"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$ 528.349.000</w:t>
            </w:r>
          </w:p>
        </w:tc>
        <w:tc>
          <w:tcPr>
            <w:tcW w:w="1520" w:type="dxa"/>
            <w:tcBorders>
              <w:top w:val="nil"/>
              <w:left w:val="nil"/>
              <w:bottom w:val="single" w:sz="4" w:space="0" w:color="auto"/>
              <w:right w:val="single" w:sz="4" w:space="0" w:color="auto"/>
            </w:tcBorders>
            <w:shd w:val="clear" w:color="000000" w:fill="F2F2F2"/>
            <w:noWrap/>
            <w:vAlign w:val="center"/>
            <w:hideMark/>
          </w:tcPr>
          <w:p w14:paraId="383DF48E"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$ 0</w:t>
            </w:r>
          </w:p>
        </w:tc>
        <w:tc>
          <w:tcPr>
            <w:tcW w:w="1460" w:type="dxa"/>
            <w:tcBorders>
              <w:top w:val="nil"/>
              <w:left w:val="nil"/>
              <w:bottom w:val="single" w:sz="4" w:space="0" w:color="auto"/>
              <w:right w:val="single" w:sz="4" w:space="0" w:color="auto"/>
            </w:tcBorders>
            <w:shd w:val="clear" w:color="000000" w:fill="F2F2F2"/>
            <w:noWrap/>
            <w:vAlign w:val="center"/>
            <w:hideMark/>
          </w:tcPr>
          <w:p w14:paraId="3BDBACED"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$ 528.349.000</w:t>
            </w:r>
          </w:p>
        </w:tc>
        <w:tc>
          <w:tcPr>
            <w:tcW w:w="1280" w:type="dxa"/>
            <w:tcBorders>
              <w:top w:val="nil"/>
              <w:left w:val="nil"/>
              <w:bottom w:val="single" w:sz="4" w:space="0" w:color="auto"/>
              <w:right w:val="single" w:sz="4" w:space="0" w:color="auto"/>
            </w:tcBorders>
            <w:shd w:val="clear" w:color="000000" w:fill="F2F2F2"/>
            <w:noWrap/>
            <w:vAlign w:val="center"/>
            <w:hideMark/>
          </w:tcPr>
          <w:p w14:paraId="7585C28E"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$ 5.283.490</w:t>
            </w:r>
          </w:p>
        </w:tc>
        <w:tc>
          <w:tcPr>
            <w:tcW w:w="1200" w:type="dxa"/>
            <w:tcBorders>
              <w:top w:val="nil"/>
              <w:left w:val="nil"/>
              <w:bottom w:val="single" w:sz="4" w:space="0" w:color="auto"/>
              <w:right w:val="single" w:sz="4" w:space="0" w:color="auto"/>
            </w:tcBorders>
            <w:shd w:val="clear" w:color="000000" w:fill="F2F2F2"/>
            <w:noWrap/>
            <w:vAlign w:val="center"/>
            <w:hideMark/>
          </w:tcPr>
          <w:p w14:paraId="2785C636"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$ 220</w:t>
            </w:r>
          </w:p>
        </w:tc>
        <w:tc>
          <w:tcPr>
            <w:tcW w:w="1280" w:type="dxa"/>
            <w:tcBorders>
              <w:top w:val="nil"/>
              <w:left w:val="nil"/>
              <w:bottom w:val="single" w:sz="4" w:space="0" w:color="auto"/>
              <w:right w:val="single" w:sz="4" w:space="0" w:color="auto"/>
            </w:tcBorders>
            <w:shd w:val="clear" w:color="000000" w:fill="F2F2F2"/>
            <w:noWrap/>
            <w:vAlign w:val="center"/>
            <w:hideMark/>
          </w:tcPr>
          <w:p w14:paraId="5211CC93"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$ 5.283.710</w:t>
            </w:r>
          </w:p>
        </w:tc>
      </w:tr>
      <w:tr w:rsidR="00B07312" w:rsidRPr="006B48D3" w14:paraId="3A70A0D8" w14:textId="77777777" w:rsidTr="006B48D3">
        <w:trPr>
          <w:trHeight w:val="281"/>
        </w:trPr>
        <w:tc>
          <w:tcPr>
            <w:tcW w:w="407" w:type="dxa"/>
            <w:tcBorders>
              <w:top w:val="nil"/>
              <w:left w:val="single" w:sz="4" w:space="0" w:color="auto"/>
              <w:bottom w:val="single" w:sz="4" w:space="0" w:color="auto"/>
              <w:right w:val="single" w:sz="4" w:space="0" w:color="auto"/>
            </w:tcBorders>
            <w:shd w:val="clear" w:color="000000" w:fill="F2F2F2"/>
            <w:noWrap/>
            <w:vAlign w:val="center"/>
            <w:hideMark/>
          </w:tcPr>
          <w:p w14:paraId="6BD1244A" w14:textId="77777777" w:rsidR="00B07312" w:rsidRPr="006B48D3" w:rsidRDefault="00B07312" w:rsidP="00D22441">
            <w:pPr>
              <w:jc w:val="center"/>
              <w:rPr>
                <w:rFonts w:ascii="Arial Narrow" w:hAnsi="Arial Narrow" w:cs="Arial"/>
                <w:spacing w:val="0"/>
                <w:sz w:val="16"/>
                <w:szCs w:val="16"/>
                <w:lang w:eastAsia="es-CO"/>
              </w:rPr>
            </w:pPr>
            <w:r w:rsidRPr="006B48D3">
              <w:rPr>
                <w:rFonts w:ascii="Arial Narrow" w:hAnsi="Arial Narrow" w:cs="Arial"/>
                <w:spacing w:val="0"/>
                <w:sz w:val="16"/>
                <w:szCs w:val="16"/>
                <w:lang w:eastAsia="es-CO"/>
              </w:rPr>
              <w:t>44</w:t>
            </w:r>
          </w:p>
        </w:tc>
        <w:tc>
          <w:tcPr>
            <w:tcW w:w="585" w:type="dxa"/>
            <w:tcBorders>
              <w:top w:val="nil"/>
              <w:left w:val="nil"/>
              <w:bottom w:val="single" w:sz="4" w:space="0" w:color="auto"/>
              <w:right w:val="single" w:sz="4" w:space="0" w:color="auto"/>
            </w:tcBorders>
            <w:shd w:val="clear" w:color="000000" w:fill="F2F2F2"/>
            <w:noWrap/>
            <w:vAlign w:val="center"/>
            <w:hideMark/>
          </w:tcPr>
          <w:p w14:paraId="516A0DCA"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976</w:t>
            </w:r>
          </w:p>
        </w:tc>
        <w:tc>
          <w:tcPr>
            <w:tcW w:w="941" w:type="dxa"/>
            <w:tcBorders>
              <w:top w:val="nil"/>
              <w:left w:val="nil"/>
              <w:bottom w:val="single" w:sz="4" w:space="0" w:color="auto"/>
              <w:right w:val="single" w:sz="4" w:space="0" w:color="auto"/>
            </w:tcBorders>
            <w:shd w:val="clear" w:color="000000" w:fill="F2F2F2"/>
            <w:noWrap/>
            <w:vAlign w:val="center"/>
            <w:hideMark/>
          </w:tcPr>
          <w:p w14:paraId="6C9FCF3A"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860026070</w:t>
            </w:r>
          </w:p>
        </w:tc>
        <w:tc>
          <w:tcPr>
            <w:tcW w:w="3247" w:type="dxa"/>
            <w:tcBorders>
              <w:top w:val="nil"/>
              <w:left w:val="nil"/>
              <w:bottom w:val="single" w:sz="4" w:space="0" w:color="auto"/>
              <w:right w:val="single" w:sz="4" w:space="0" w:color="auto"/>
            </w:tcBorders>
            <w:shd w:val="clear" w:color="000000" w:fill="F2F2F2"/>
            <w:vAlign w:val="center"/>
            <w:hideMark/>
          </w:tcPr>
          <w:p w14:paraId="49DDE3E6" w14:textId="77777777" w:rsidR="00B07312" w:rsidRPr="006B48D3" w:rsidRDefault="00B07312" w:rsidP="00D22441">
            <w:pPr>
              <w:jc w:val="left"/>
              <w:rPr>
                <w:rFonts w:ascii="Arial Narrow" w:hAnsi="Arial Narrow" w:cs="Arial"/>
                <w:spacing w:val="0"/>
                <w:sz w:val="16"/>
                <w:szCs w:val="16"/>
                <w:lang w:eastAsia="es-CO"/>
              </w:rPr>
            </w:pPr>
            <w:r w:rsidRPr="006B48D3">
              <w:rPr>
                <w:rFonts w:ascii="Arial Narrow" w:hAnsi="Arial Narrow" w:cs="Arial"/>
                <w:spacing w:val="0"/>
                <w:sz w:val="16"/>
                <w:szCs w:val="16"/>
                <w:lang w:eastAsia="es-CO"/>
              </w:rPr>
              <w:t xml:space="preserve">GAS ZIPA </w:t>
            </w:r>
            <w:proofErr w:type="gramStart"/>
            <w:r w:rsidRPr="006B48D3">
              <w:rPr>
                <w:rFonts w:ascii="Arial Narrow" w:hAnsi="Arial Narrow" w:cs="Arial"/>
                <w:spacing w:val="0"/>
                <w:sz w:val="16"/>
                <w:szCs w:val="16"/>
                <w:lang w:eastAsia="es-CO"/>
              </w:rPr>
              <w:t>SAS  ESP</w:t>
            </w:r>
            <w:proofErr w:type="gramEnd"/>
          </w:p>
        </w:tc>
        <w:tc>
          <w:tcPr>
            <w:tcW w:w="1620" w:type="dxa"/>
            <w:tcBorders>
              <w:top w:val="nil"/>
              <w:left w:val="nil"/>
              <w:bottom w:val="single" w:sz="4" w:space="0" w:color="auto"/>
              <w:right w:val="single" w:sz="4" w:space="0" w:color="auto"/>
            </w:tcBorders>
            <w:shd w:val="clear" w:color="000000" w:fill="F2F2F2"/>
            <w:noWrap/>
            <w:vAlign w:val="center"/>
            <w:hideMark/>
          </w:tcPr>
          <w:p w14:paraId="607CC3E5"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$ 2.569.489.000</w:t>
            </w:r>
          </w:p>
        </w:tc>
        <w:tc>
          <w:tcPr>
            <w:tcW w:w="1520" w:type="dxa"/>
            <w:tcBorders>
              <w:top w:val="nil"/>
              <w:left w:val="nil"/>
              <w:bottom w:val="single" w:sz="4" w:space="0" w:color="auto"/>
              <w:right w:val="single" w:sz="4" w:space="0" w:color="auto"/>
            </w:tcBorders>
            <w:shd w:val="clear" w:color="000000" w:fill="F2F2F2"/>
            <w:noWrap/>
            <w:vAlign w:val="center"/>
            <w:hideMark/>
          </w:tcPr>
          <w:p w14:paraId="2D742420"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$ 200.500.721</w:t>
            </w:r>
          </w:p>
        </w:tc>
        <w:tc>
          <w:tcPr>
            <w:tcW w:w="1460" w:type="dxa"/>
            <w:tcBorders>
              <w:top w:val="nil"/>
              <w:left w:val="nil"/>
              <w:bottom w:val="single" w:sz="4" w:space="0" w:color="auto"/>
              <w:right w:val="single" w:sz="4" w:space="0" w:color="auto"/>
            </w:tcBorders>
            <w:shd w:val="clear" w:color="000000" w:fill="F2F2F2"/>
            <w:noWrap/>
            <w:vAlign w:val="center"/>
            <w:hideMark/>
          </w:tcPr>
          <w:p w14:paraId="5B9AA3BC"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$ 2.769.989.721</w:t>
            </w:r>
          </w:p>
        </w:tc>
        <w:tc>
          <w:tcPr>
            <w:tcW w:w="1280" w:type="dxa"/>
            <w:tcBorders>
              <w:top w:val="nil"/>
              <w:left w:val="nil"/>
              <w:bottom w:val="single" w:sz="4" w:space="0" w:color="auto"/>
              <w:right w:val="single" w:sz="4" w:space="0" w:color="auto"/>
            </w:tcBorders>
            <w:shd w:val="clear" w:color="000000" w:fill="F2F2F2"/>
            <w:noWrap/>
            <w:vAlign w:val="center"/>
            <w:hideMark/>
          </w:tcPr>
          <w:p w14:paraId="56884168"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$ 27.699.897</w:t>
            </w:r>
          </w:p>
        </w:tc>
        <w:tc>
          <w:tcPr>
            <w:tcW w:w="1200" w:type="dxa"/>
            <w:tcBorders>
              <w:top w:val="nil"/>
              <w:left w:val="nil"/>
              <w:bottom w:val="single" w:sz="4" w:space="0" w:color="auto"/>
              <w:right w:val="single" w:sz="4" w:space="0" w:color="auto"/>
            </w:tcBorders>
            <w:shd w:val="clear" w:color="000000" w:fill="F2F2F2"/>
            <w:noWrap/>
            <w:vAlign w:val="center"/>
            <w:hideMark/>
          </w:tcPr>
          <w:p w14:paraId="44421204"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$ 1.153</w:t>
            </w:r>
          </w:p>
        </w:tc>
        <w:tc>
          <w:tcPr>
            <w:tcW w:w="1280" w:type="dxa"/>
            <w:tcBorders>
              <w:top w:val="nil"/>
              <w:left w:val="nil"/>
              <w:bottom w:val="single" w:sz="4" w:space="0" w:color="auto"/>
              <w:right w:val="single" w:sz="4" w:space="0" w:color="auto"/>
            </w:tcBorders>
            <w:shd w:val="clear" w:color="000000" w:fill="F2F2F2"/>
            <w:noWrap/>
            <w:vAlign w:val="center"/>
            <w:hideMark/>
          </w:tcPr>
          <w:p w14:paraId="35B9F820"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$ 27.701.050</w:t>
            </w:r>
          </w:p>
        </w:tc>
      </w:tr>
      <w:tr w:rsidR="00B07312" w:rsidRPr="006B48D3" w14:paraId="581DC35A" w14:textId="77777777" w:rsidTr="006B48D3">
        <w:trPr>
          <w:trHeight w:val="271"/>
        </w:trPr>
        <w:tc>
          <w:tcPr>
            <w:tcW w:w="407" w:type="dxa"/>
            <w:tcBorders>
              <w:top w:val="nil"/>
              <w:left w:val="single" w:sz="4" w:space="0" w:color="auto"/>
              <w:bottom w:val="single" w:sz="4" w:space="0" w:color="auto"/>
              <w:right w:val="single" w:sz="4" w:space="0" w:color="auto"/>
            </w:tcBorders>
            <w:shd w:val="clear" w:color="000000" w:fill="F2F2F2"/>
            <w:noWrap/>
            <w:vAlign w:val="center"/>
            <w:hideMark/>
          </w:tcPr>
          <w:p w14:paraId="0DD7414F" w14:textId="77777777" w:rsidR="00B07312" w:rsidRPr="006B48D3" w:rsidRDefault="00B07312" w:rsidP="00D22441">
            <w:pPr>
              <w:jc w:val="center"/>
              <w:rPr>
                <w:rFonts w:ascii="Arial Narrow" w:hAnsi="Arial Narrow" w:cs="Arial"/>
                <w:spacing w:val="0"/>
                <w:sz w:val="16"/>
                <w:szCs w:val="16"/>
                <w:lang w:eastAsia="es-CO"/>
              </w:rPr>
            </w:pPr>
            <w:r w:rsidRPr="006B48D3">
              <w:rPr>
                <w:rFonts w:ascii="Arial Narrow" w:hAnsi="Arial Narrow" w:cs="Arial"/>
                <w:spacing w:val="0"/>
                <w:sz w:val="16"/>
                <w:szCs w:val="16"/>
                <w:lang w:eastAsia="es-CO"/>
              </w:rPr>
              <w:t>45</w:t>
            </w:r>
          </w:p>
        </w:tc>
        <w:tc>
          <w:tcPr>
            <w:tcW w:w="585" w:type="dxa"/>
            <w:tcBorders>
              <w:top w:val="nil"/>
              <w:left w:val="nil"/>
              <w:bottom w:val="single" w:sz="4" w:space="0" w:color="auto"/>
              <w:right w:val="single" w:sz="4" w:space="0" w:color="auto"/>
            </w:tcBorders>
            <w:shd w:val="clear" w:color="000000" w:fill="F2F2F2"/>
            <w:noWrap/>
            <w:vAlign w:val="center"/>
            <w:hideMark/>
          </w:tcPr>
          <w:p w14:paraId="15F12814"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1634</w:t>
            </w:r>
          </w:p>
        </w:tc>
        <w:tc>
          <w:tcPr>
            <w:tcW w:w="941" w:type="dxa"/>
            <w:tcBorders>
              <w:top w:val="nil"/>
              <w:left w:val="nil"/>
              <w:bottom w:val="single" w:sz="4" w:space="0" w:color="auto"/>
              <w:right w:val="single" w:sz="4" w:space="0" w:color="auto"/>
            </w:tcBorders>
            <w:shd w:val="clear" w:color="000000" w:fill="F2F2F2"/>
            <w:noWrap/>
            <w:vAlign w:val="center"/>
            <w:hideMark/>
          </w:tcPr>
          <w:p w14:paraId="5F9B3977"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860033633</w:t>
            </w:r>
          </w:p>
        </w:tc>
        <w:tc>
          <w:tcPr>
            <w:tcW w:w="3247" w:type="dxa"/>
            <w:tcBorders>
              <w:top w:val="nil"/>
              <w:left w:val="nil"/>
              <w:bottom w:val="single" w:sz="4" w:space="0" w:color="auto"/>
              <w:right w:val="single" w:sz="4" w:space="0" w:color="auto"/>
            </w:tcBorders>
            <w:shd w:val="clear" w:color="000000" w:fill="F2F2F2"/>
            <w:vAlign w:val="center"/>
            <w:hideMark/>
          </w:tcPr>
          <w:p w14:paraId="60F87EE4" w14:textId="77777777" w:rsidR="00B07312" w:rsidRPr="006B48D3" w:rsidRDefault="00B07312" w:rsidP="00D22441">
            <w:pPr>
              <w:jc w:val="left"/>
              <w:rPr>
                <w:rFonts w:ascii="Arial Narrow" w:hAnsi="Arial Narrow" w:cs="Arial"/>
                <w:spacing w:val="0"/>
                <w:sz w:val="16"/>
                <w:szCs w:val="16"/>
                <w:lang w:eastAsia="es-CO"/>
              </w:rPr>
            </w:pPr>
            <w:r w:rsidRPr="006B48D3">
              <w:rPr>
                <w:rFonts w:ascii="Arial Narrow" w:hAnsi="Arial Narrow" w:cs="Arial"/>
                <w:spacing w:val="0"/>
                <w:sz w:val="16"/>
                <w:szCs w:val="16"/>
                <w:lang w:eastAsia="es-CO"/>
              </w:rPr>
              <w:t>RAYOGAS S.A. ESP</w:t>
            </w:r>
          </w:p>
        </w:tc>
        <w:tc>
          <w:tcPr>
            <w:tcW w:w="1620" w:type="dxa"/>
            <w:tcBorders>
              <w:top w:val="nil"/>
              <w:left w:val="nil"/>
              <w:bottom w:val="single" w:sz="4" w:space="0" w:color="auto"/>
              <w:right w:val="single" w:sz="4" w:space="0" w:color="auto"/>
            </w:tcBorders>
            <w:shd w:val="clear" w:color="000000" w:fill="F2F2F2"/>
            <w:noWrap/>
            <w:vAlign w:val="center"/>
            <w:hideMark/>
          </w:tcPr>
          <w:p w14:paraId="3828E9EA"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$ 7.588.612.000</w:t>
            </w:r>
          </w:p>
        </w:tc>
        <w:tc>
          <w:tcPr>
            <w:tcW w:w="1520" w:type="dxa"/>
            <w:tcBorders>
              <w:top w:val="nil"/>
              <w:left w:val="nil"/>
              <w:bottom w:val="single" w:sz="4" w:space="0" w:color="auto"/>
              <w:right w:val="single" w:sz="4" w:space="0" w:color="auto"/>
            </w:tcBorders>
            <w:shd w:val="clear" w:color="000000" w:fill="F2F2F2"/>
            <w:noWrap/>
            <w:vAlign w:val="center"/>
            <w:hideMark/>
          </w:tcPr>
          <w:p w14:paraId="14A27DDE"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$ 413.164.327</w:t>
            </w:r>
          </w:p>
        </w:tc>
        <w:tc>
          <w:tcPr>
            <w:tcW w:w="1460" w:type="dxa"/>
            <w:tcBorders>
              <w:top w:val="nil"/>
              <w:left w:val="nil"/>
              <w:bottom w:val="single" w:sz="4" w:space="0" w:color="auto"/>
              <w:right w:val="single" w:sz="4" w:space="0" w:color="auto"/>
            </w:tcBorders>
            <w:shd w:val="clear" w:color="000000" w:fill="F2F2F2"/>
            <w:noWrap/>
            <w:vAlign w:val="center"/>
            <w:hideMark/>
          </w:tcPr>
          <w:p w14:paraId="38C3688B"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$ 8.001.776.327</w:t>
            </w:r>
          </w:p>
        </w:tc>
        <w:tc>
          <w:tcPr>
            <w:tcW w:w="1280" w:type="dxa"/>
            <w:tcBorders>
              <w:top w:val="nil"/>
              <w:left w:val="nil"/>
              <w:bottom w:val="single" w:sz="4" w:space="0" w:color="auto"/>
              <w:right w:val="single" w:sz="4" w:space="0" w:color="auto"/>
            </w:tcBorders>
            <w:shd w:val="clear" w:color="000000" w:fill="F2F2F2"/>
            <w:noWrap/>
            <w:vAlign w:val="center"/>
            <w:hideMark/>
          </w:tcPr>
          <w:p w14:paraId="3B8E6D7F"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$ 80.017.763</w:t>
            </w:r>
          </w:p>
        </w:tc>
        <w:tc>
          <w:tcPr>
            <w:tcW w:w="1200" w:type="dxa"/>
            <w:tcBorders>
              <w:top w:val="nil"/>
              <w:left w:val="nil"/>
              <w:bottom w:val="single" w:sz="4" w:space="0" w:color="auto"/>
              <w:right w:val="single" w:sz="4" w:space="0" w:color="auto"/>
            </w:tcBorders>
            <w:shd w:val="clear" w:color="000000" w:fill="F2F2F2"/>
            <w:noWrap/>
            <w:vAlign w:val="center"/>
            <w:hideMark/>
          </w:tcPr>
          <w:p w14:paraId="620B622C"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$ 3.330</w:t>
            </w:r>
          </w:p>
        </w:tc>
        <w:tc>
          <w:tcPr>
            <w:tcW w:w="1280" w:type="dxa"/>
            <w:tcBorders>
              <w:top w:val="nil"/>
              <w:left w:val="nil"/>
              <w:bottom w:val="single" w:sz="4" w:space="0" w:color="auto"/>
              <w:right w:val="single" w:sz="4" w:space="0" w:color="auto"/>
            </w:tcBorders>
            <w:shd w:val="clear" w:color="000000" w:fill="F2F2F2"/>
            <w:noWrap/>
            <w:vAlign w:val="center"/>
            <w:hideMark/>
          </w:tcPr>
          <w:p w14:paraId="69C2254C"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$ 80.021.093</w:t>
            </w:r>
          </w:p>
        </w:tc>
      </w:tr>
      <w:tr w:rsidR="00B07312" w:rsidRPr="006B48D3" w14:paraId="683FC27D" w14:textId="77777777" w:rsidTr="006B48D3">
        <w:trPr>
          <w:trHeight w:val="275"/>
        </w:trPr>
        <w:tc>
          <w:tcPr>
            <w:tcW w:w="407" w:type="dxa"/>
            <w:tcBorders>
              <w:top w:val="nil"/>
              <w:left w:val="single" w:sz="4" w:space="0" w:color="auto"/>
              <w:bottom w:val="single" w:sz="4" w:space="0" w:color="auto"/>
              <w:right w:val="single" w:sz="4" w:space="0" w:color="auto"/>
            </w:tcBorders>
            <w:shd w:val="clear" w:color="000000" w:fill="F2F2F2"/>
            <w:noWrap/>
            <w:vAlign w:val="center"/>
            <w:hideMark/>
          </w:tcPr>
          <w:p w14:paraId="08DC3F5F" w14:textId="77777777" w:rsidR="00B07312" w:rsidRPr="006B48D3" w:rsidRDefault="00B07312" w:rsidP="00D22441">
            <w:pPr>
              <w:jc w:val="center"/>
              <w:rPr>
                <w:rFonts w:ascii="Arial Narrow" w:hAnsi="Arial Narrow" w:cs="Arial"/>
                <w:spacing w:val="0"/>
                <w:sz w:val="16"/>
                <w:szCs w:val="16"/>
                <w:lang w:eastAsia="es-CO"/>
              </w:rPr>
            </w:pPr>
            <w:r w:rsidRPr="006B48D3">
              <w:rPr>
                <w:rFonts w:ascii="Arial Narrow" w:hAnsi="Arial Narrow" w:cs="Arial"/>
                <w:spacing w:val="0"/>
                <w:sz w:val="16"/>
                <w:szCs w:val="16"/>
                <w:lang w:eastAsia="es-CO"/>
              </w:rPr>
              <w:t>46</w:t>
            </w:r>
          </w:p>
        </w:tc>
        <w:tc>
          <w:tcPr>
            <w:tcW w:w="585" w:type="dxa"/>
            <w:tcBorders>
              <w:top w:val="nil"/>
              <w:left w:val="nil"/>
              <w:bottom w:val="single" w:sz="4" w:space="0" w:color="auto"/>
              <w:right w:val="single" w:sz="4" w:space="0" w:color="auto"/>
            </w:tcBorders>
            <w:shd w:val="clear" w:color="000000" w:fill="F2F2F2"/>
            <w:noWrap/>
            <w:vAlign w:val="center"/>
            <w:hideMark/>
          </w:tcPr>
          <w:p w14:paraId="0477D3AA"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22068</w:t>
            </w:r>
          </w:p>
        </w:tc>
        <w:tc>
          <w:tcPr>
            <w:tcW w:w="941" w:type="dxa"/>
            <w:tcBorders>
              <w:top w:val="nil"/>
              <w:left w:val="nil"/>
              <w:bottom w:val="single" w:sz="4" w:space="0" w:color="auto"/>
              <w:right w:val="single" w:sz="4" w:space="0" w:color="auto"/>
            </w:tcBorders>
            <w:shd w:val="clear" w:color="000000" w:fill="F2F2F2"/>
            <w:noWrap/>
            <w:vAlign w:val="center"/>
            <w:hideMark/>
          </w:tcPr>
          <w:p w14:paraId="03FFE46C"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860072134</w:t>
            </w:r>
          </w:p>
        </w:tc>
        <w:tc>
          <w:tcPr>
            <w:tcW w:w="3247" w:type="dxa"/>
            <w:tcBorders>
              <w:top w:val="nil"/>
              <w:left w:val="nil"/>
              <w:bottom w:val="single" w:sz="4" w:space="0" w:color="auto"/>
              <w:right w:val="single" w:sz="4" w:space="0" w:color="auto"/>
            </w:tcBorders>
            <w:shd w:val="clear" w:color="000000" w:fill="F2F2F2"/>
            <w:vAlign w:val="center"/>
            <w:hideMark/>
          </w:tcPr>
          <w:p w14:paraId="0AEAB78A" w14:textId="77777777" w:rsidR="00B07312" w:rsidRPr="006B48D3" w:rsidRDefault="00B07312" w:rsidP="00D22441">
            <w:pPr>
              <w:jc w:val="left"/>
              <w:rPr>
                <w:rFonts w:ascii="Arial Narrow" w:hAnsi="Arial Narrow" w:cs="Arial"/>
                <w:spacing w:val="0"/>
                <w:sz w:val="16"/>
                <w:szCs w:val="16"/>
                <w:lang w:eastAsia="es-CO"/>
              </w:rPr>
            </w:pPr>
            <w:r w:rsidRPr="006B48D3">
              <w:rPr>
                <w:rFonts w:ascii="Arial Narrow" w:hAnsi="Arial Narrow" w:cs="Arial"/>
                <w:spacing w:val="0"/>
                <w:sz w:val="16"/>
                <w:szCs w:val="16"/>
                <w:lang w:eastAsia="es-CO"/>
              </w:rPr>
              <w:t xml:space="preserve">HOCOL </w:t>
            </w:r>
            <w:proofErr w:type="gramStart"/>
            <w:r w:rsidRPr="006B48D3">
              <w:rPr>
                <w:rFonts w:ascii="Arial Narrow" w:hAnsi="Arial Narrow" w:cs="Arial"/>
                <w:spacing w:val="0"/>
                <w:sz w:val="16"/>
                <w:szCs w:val="16"/>
                <w:lang w:eastAsia="es-CO"/>
              </w:rPr>
              <w:t>S.A</w:t>
            </w:r>
            <w:proofErr w:type="gramEnd"/>
          </w:p>
        </w:tc>
        <w:tc>
          <w:tcPr>
            <w:tcW w:w="1620" w:type="dxa"/>
            <w:tcBorders>
              <w:top w:val="nil"/>
              <w:left w:val="nil"/>
              <w:bottom w:val="single" w:sz="4" w:space="0" w:color="auto"/>
              <w:right w:val="single" w:sz="4" w:space="0" w:color="auto"/>
            </w:tcBorders>
            <w:shd w:val="clear" w:color="000000" w:fill="F2F2F2"/>
            <w:noWrap/>
            <w:vAlign w:val="center"/>
            <w:hideMark/>
          </w:tcPr>
          <w:p w14:paraId="698FD45D"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$ 30.971.004.000</w:t>
            </w:r>
          </w:p>
        </w:tc>
        <w:tc>
          <w:tcPr>
            <w:tcW w:w="1520" w:type="dxa"/>
            <w:tcBorders>
              <w:top w:val="nil"/>
              <w:left w:val="nil"/>
              <w:bottom w:val="single" w:sz="4" w:space="0" w:color="auto"/>
              <w:right w:val="single" w:sz="4" w:space="0" w:color="auto"/>
            </w:tcBorders>
            <w:shd w:val="clear" w:color="000000" w:fill="F2F2F2"/>
            <w:noWrap/>
            <w:vAlign w:val="center"/>
            <w:hideMark/>
          </w:tcPr>
          <w:p w14:paraId="4DD2EC92"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$ 129.499.873</w:t>
            </w:r>
          </w:p>
        </w:tc>
        <w:tc>
          <w:tcPr>
            <w:tcW w:w="1460" w:type="dxa"/>
            <w:tcBorders>
              <w:top w:val="nil"/>
              <w:left w:val="nil"/>
              <w:bottom w:val="single" w:sz="4" w:space="0" w:color="auto"/>
              <w:right w:val="single" w:sz="4" w:space="0" w:color="auto"/>
            </w:tcBorders>
            <w:shd w:val="clear" w:color="000000" w:fill="F2F2F2"/>
            <w:noWrap/>
            <w:vAlign w:val="center"/>
            <w:hideMark/>
          </w:tcPr>
          <w:p w14:paraId="2FCA6F63"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$ 31.100.503.873</w:t>
            </w:r>
          </w:p>
        </w:tc>
        <w:tc>
          <w:tcPr>
            <w:tcW w:w="1280" w:type="dxa"/>
            <w:tcBorders>
              <w:top w:val="nil"/>
              <w:left w:val="nil"/>
              <w:bottom w:val="single" w:sz="4" w:space="0" w:color="auto"/>
              <w:right w:val="single" w:sz="4" w:space="0" w:color="auto"/>
            </w:tcBorders>
            <w:shd w:val="clear" w:color="000000" w:fill="F2F2F2"/>
            <w:noWrap/>
            <w:vAlign w:val="center"/>
            <w:hideMark/>
          </w:tcPr>
          <w:p w14:paraId="041FF459"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$ 311.005.039</w:t>
            </w:r>
          </w:p>
        </w:tc>
        <w:tc>
          <w:tcPr>
            <w:tcW w:w="1200" w:type="dxa"/>
            <w:tcBorders>
              <w:top w:val="nil"/>
              <w:left w:val="nil"/>
              <w:bottom w:val="single" w:sz="4" w:space="0" w:color="auto"/>
              <w:right w:val="single" w:sz="4" w:space="0" w:color="auto"/>
            </w:tcBorders>
            <w:shd w:val="clear" w:color="000000" w:fill="F2F2F2"/>
            <w:noWrap/>
            <w:vAlign w:val="center"/>
            <w:hideMark/>
          </w:tcPr>
          <w:p w14:paraId="58EDA377"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$ 12.943</w:t>
            </w:r>
          </w:p>
        </w:tc>
        <w:tc>
          <w:tcPr>
            <w:tcW w:w="1280" w:type="dxa"/>
            <w:tcBorders>
              <w:top w:val="nil"/>
              <w:left w:val="nil"/>
              <w:bottom w:val="single" w:sz="4" w:space="0" w:color="auto"/>
              <w:right w:val="single" w:sz="4" w:space="0" w:color="auto"/>
            </w:tcBorders>
            <w:shd w:val="clear" w:color="000000" w:fill="F2F2F2"/>
            <w:noWrap/>
            <w:vAlign w:val="center"/>
            <w:hideMark/>
          </w:tcPr>
          <w:p w14:paraId="2FA501B8"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$ 311.017.982</w:t>
            </w:r>
          </w:p>
        </w:tc>
      </w:tr>
      <w:tr w:rsidR="00B07312" w:rsidRPr="006B48D3" w14:paraId="0B046DFD" w14:textId="77777777" w:rsidTr="006B48D3">
        <w:trPr>
          <w:trHeight w:val="279"/>
        </w:trPr>
        <w:tc>
          <w:tcPr>
            <w:tcW w:w="407" w:type="dxa"/>
            <w:tcBorders>
              <w:top w:val="nil"/>
              <w:left w:val="single" w:sz="4" w:space="0" w:color="auto"/>
              <w:bottom w:val="single" w:sz="4" w:space="0" w:color="auto"/>
              <w:right w:val="single" w:sz="4" w:space="0" w:color="auto"/>
            </w:tcBorders>
            <w:shd w:val="clear" w:color="000000" w:fill="F2F2F2"/>
            <w:noWrap/>
            <w:vAlign w:val="center"/>
            <w:hideMark/>
          </w:tcPr>
          <w:p w14:paraId="71151CA9" w14:textId="77777777" w:rsidR="00B07312" w:rsidRPr="006B48D3" w:rsidRDefault="00B07312" w:rsidP="00D22441">
            <w:pPr>
              <w:jc w:val="center"/>
              <w:rPr>
                <w:rFonts w:ascii="Arial Narrow" w:hAnsi="Arial Narrow" w:cs="Arial"/>
                <w:spacing w:val="0"/>
                <w:sz w:val="16"/>
                <w:szCs w:val="16"/>
                <w:lang w:eastAsia="es-CO"/>
              </w:rPr>
            </w:pPr>
            <w:r w:rsidRPr="006B48D3">
              <w:rPr>
                <w:rFonts w:ascii="Arial Narrow" w:hAnsi="Arial Narrow" w:cs="Arial"/>
                <w:spacing w:val="0"/>
                <w:sz w:val="16"/>
                <w:szCs w:val="16"/>
                <w:lang w:eastAsia="es-CO"/>
              </w:rPr>
              <w:t>47</w:t>
            </w:r>
          </w:p>
        </w:tc>
        <w:tc>
          <w:tcPr>
            <w:tcW w:w="585" w:type="dxa"/>
            <w:tcBorders>
              <w:top w:val="nil"/>
              <w:left w:val="nil"/>
              <w:bottom w:val="single" w:sz="4" w:space="0" w:color="auto"/>
              <w:right w:val="single" w:sz="4" w:space="0" w:color="auto"/>
            </w:tcBorders>
            <w:shd w:val="clear" w:color="000000" w:fill="F2F2F2"/>
            <w:noWrap/>
            <w:vAlign w:val="center"/>
            <w:hideMark/>
          </w:tcPr>
          <w:p w14:paraId="51F964C6"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1545</w:t>
            </w:r>
          </w:p>
        </w:tc>
        <w:tc>
          <w:tcPr>
            <w:tcW w:w="941" w:type="dxa"/>
            <w:tcBorders>
              <w:top w:val="nil"/>
              <w:left w:val="nil"/>
              <w:bottom w:val="single" w:sz="4" w:space="0" w:color="auto"/>
              <w:right w:val="single" w:sz="4" w:space="0" w:color="auto"/>
            </w:tcBorders>
            <w:shd w:val="clear" w:color="000000" w:fill="F2F2F2"/>
            <w:noWrap/>
            <w:vAlign w:val="center"/>
            <w:hideMark/>
          </w:tcPr>
          <w:p w14:paraId="679BD0A0"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860450098</w:t>
            </w:r>
          </w:p>
        </w:tc>
        <w:tc>
          <w:tcPr>
            <w:tcW w:w="3247" w:type="dxa"/>
            <w:tcBorders>
              <w:top w:val="nil"/>
              <w:left w:val="nil"/>
              <w:bottom w:val="single" w:sz="4" w:space="0" w:color="auto"/>
              <w:right w:val="single" w:sz="4" w:space="0" w:color="auto"/>
            </w:tcBorders>
            <w:shd w:val="clear" w:color="000000" w:fill="F2F2F2"/>
            <w:vAlign w:val="center"/>
            <w:hideMark/>
          </w:tcPr>
          <w:p w14:paraId="5F9F7C04" w14:textId="77777777" w:rsidR="00B07312" w:rsidRPr="006B48D3" w:rsidRDefault="00B07312" w:rsidP="00D22441">
            <w:pPr>
              <w:jc w:val="left"/>
              <w:rPr>
                <w:rFonts w:ascii="Arial Narrow" w:hAnsi="Arial Narrow" w:cs="Arial"/>
                <w:spacing w:val="0"/>
                <w:sz w:val="16"/>
                <w:szCs w:val="16"/>
                <w:lang w:eastAsia="es-CO"/>
              </w:rPr>
            </w:pPr>
            <w:r w:rsidRPr="006B48D3">
              <w:rPr>
                <w:rFonts w:ascii="Arial Narrow" w:hAnsi="Arial Narrow" w:cs="Arial"/>
                <w:spacing w:val="0"/>
                <w:sz w:val="16"/>
                <w:szCs w:val="16"/>
                <w:lang w:eastAsia="es-CO"/>
              </w:rPr>
              <w:t>GAS SUMAPAZ S.A. E.S.P.</w:t>
            </w:r>
          </w:p>
        </w:tc>
        <w:tc>
          <w:tcPr>
            <w:tcW w:w="1620" w:type="dxa"/>
            <w:tcBorders>
              <w:top w:val="nil"/>
              <w:left w:val="nil"/>
              <w:bottom w:val="single" w:sz="4" w:space="0" w:color="auto"/>
              <w:right w:val="single" w:sz="4" w:space="0" w:color="auto"/>
            </w:tcBorders>
            <w:shd w:val="clear" w:color="000000" w:fill="F2F2F2"/>
            <w:noWrap/>
            <w:vAlign w:val="center"/>
            <w:hideMark/>
          </w:tcPr>
          <w:p w14:paraId="046582E5"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$ 159.650.000</w:t>
            </w:r>
          </w:p>
        </w:tc>
        <w:tc>
          <w:tcPr>
            <w:tcW w:w="1520" w:type="dxa"/>
            <w:tcBorders>
              <w:top w:val="nil"/>
              <w:left w:val="nil"/>
              <w:bottom w:val="single" w:sz="4" w:space="0" w:color="auto"/>
              <w:right w:val="single" w:sz="4" w:space="0" w:color="auto"/>
            </w:tcBorders>
            <w:shd w:val="clear" w:color="000000" w:fill="F2F2F2"/>
            <w:noWrap/>
            <w:vAlign w:val="center"/>
            <w:hideMark/>
          </w:tcPr>
          <w:p w14:paraId="455B2BB6"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$ 20.381.671</w:t>
            </w:r>
          </w:p>
        </w:tc>
        <w:tc>
          <w:tcPr>
            <w:tcW w:w="1460" w:type="dxa"/>
            <w:tcBorders>
              <w:top w:val="nil"/>
              <w:left w:val="nil"/>
              <w:bottom w:val="single" w:sz="4" w:space="0" w:color="auto"/>
              <w:right w:val="single" w:sz="4" w:space="0" w:color="auto"/>
            </w:tcBorders>
            <w:shd w:val="clear" w:color="000000" w:fill="F2F2F2"/>
            <w:noWrap/>
            <w:vAlign w:val="center"/>
            <w:hideMark/>
          </w:tcPr>
          <w:p w14:paraId="55A8B883"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$ 180.031.671</w:t>
            </w:r>
          </w:p>
        </w:tc>
        <w:tc>
          <w:tcPr>
            <w:tcW w:w="1280" w:type="dxa"/>
            <w:tcBorders>
              <w:top w:val="nil"/>
              <w:left w:val="nil"/>
              <w:bottom w:val="single" w:sz="4" w:space="0" w:color="auto"/>
              <w:right w:val="single" w:sz="4" w:space="0" w:color="auto"/>
            </w:tcBorders>
            <w:shd w:val="clear" w:color="000000" w:fill="F2F2F2"/>
            <w:noWrap/>
            <w:vAlign w:val="center"/>
            <w:hideMark/>
          </w:tcPr>
          <w:p w14:paraId="44BB59CC"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$ 1.800.317</w:t>
            </w:r>
          </w:p>
        </w:tc>
        <w:tc>
          <w:tcPr>
            <w:tcW w:w="1200" w:type="dxa"/>
            <w:tcBorders>
              <w:top w:val="nil"/>
              <w:left w:val="nil"/>
              <w:bottom w:val="single" w:sz="4" w:space="0" w:color="auto"/>
              <w:right w:val="single" w:sz="4" w:space="0" w:color="auto"/>
            </w:tcBorders>
            <w:shd w:val="clear" w:color="000000" w:fill="F2F2F2"/>
            <w:noWrap/>
            <w:vAlign w:val="center"/>
            <w:hideMark/>
          </w:tcPr>
          <w:p w14:paraId="6270C9A3"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$ 75</w:t>
            </w:r>
          </w:p>
        </w:tc>
        <w:tc>
          <w:tcPr>
            <w:tcW w:w="1280" w:type="dxa"/>
            <w:tcBorders>
              <w:top w:val="nil"/>
              <w:left w:val="nil"/>
              <w:bottom w:val="single" w:sz="4" w:space="0" w:color="auto"/>
              <w:right w:val="single" w:sz="4" w:space="0" w:color="auto"/>
            </w:tcBorders>
            <w:shd w:val="clear" w:color="000000" w:fill="F2F2F2"/>
            <w:noWrap/>
            <w:vAlign w:val="center"/>
            <w:hideMark/>
          </w:tcPr>
          <w:p w14:paraId="1BF46CF3"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$ 1.800.392</w:t>
            </w:r>
          </w:p>
        </w:tc>
      </w:tr>
      <w:tr w:rsidR="00B07312" w:rsidRPr="006B48D3" w14:paraId="3BABE6D8" w14:textId="77777777" w:rsidTr="006B48D3">
        <w:trPr>
          <w:trHeight w:val="396"/>
        </w:trPr>
        <w:tc>
          <w:tcPr>
            <w:tcW w:w="407" w:type="dxa"/>
            <w:tcBorders>
              <w:top w:val="nil"/>
              <w:left w:val="single" w:sz="4" w:space="0" w:color="auto"/>
              <w:bottom w:val="single" w:sz="4" w:space="0" w:color="auto"/>
              <w:right w:val="single" w:sz="4" w:space="0" w:color="auto"/>
            </w:tcBorders>
            <w:shd w:val="clear" w:color="000000" w:fill="F2F2F2"/>
            <w:noWrap/>
            <w:vAlign w:val="center"/>
            <w:hideMark/>
          </w:tcPr>
          <w:p w14:paraId="43FC2FDE" w14:textId="77777777" w:rsidR="00B07312" w:rsidRPr="006B48D3" w:rsidRDefault="00B07312" w:rsidP="00D22441">
            <w:pPr>
              <w:jc w:val="center"/>
              <w:rPr>
                <w:rFonts w:ascii="Arial Narrow" w:hAnsi="Arial Narrow" w:cs="Arial"/>
                <w:spacing w:val="0"/>
                <w:sz w:val="16"/>
                <w:szCs w:val="16"/>
                <w:lang w:eastAsia="es-CO"/>
              </w:rPr>
            </w:pPr>
            <w:r w:rsidRPr="006B48D3">
              <w:rPr>
                <w:rFonts w:ascii="Arial Narrow" w:hAnsi="Arial Narrow" w:cs="Arial"/>
                <w:spacing w:val="0"/>
                <w:sz w:val="16"/>
                <w:szCs w:val="16"/>
                <w:lang w:eastAsia="es-CO"/>
              </w:rPr>
              <w:t>48</w:t>
            </w:r>
          </w:p>
        </w:tc>
        <w:tc>
          <w:tcPr>
            <w:tcW w:w="585" w:type="dxa"/>
            <w:tcBorders>
              <w:top w:val="nil"/>
              <w:left w:val="nil"/>
              <w:bottom w:val="single" w:sz="4" w:space="0" w:color="auto"/>
              <w:right w:val="single" w:sz="4" w:space="0" w:color="auto"/>
            </w:tcBorders>
            <w:shd w:val="clear" w:color="000000" w:fill="F2F2F2"/>
            <w:noWrap/>
            <w:vAlign w:val="center"/>
            <w:hideMark/>
          </w:tcPr>
          <w:p w14:paraId="3CC530E3"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1638</w:t>
            </w:r>
          </w:p>
        </w:tc>
        <w:tc>
          <w:tcPr>
            <w:tcW w:w="941" w:type="dxa"/>
            <w:tcBorders>
              <w:top w:val="nil"/>
              <w:left w:val="nil"/>
              <w:bottom w:val="single" w:sz="4" w:space="0" w:color="auto"/>
              <w:right w:val="single" w:sz="4" w:space="0" w:color="auto"/>
            </w:tcBorders>
            <w:shd w:val="clear" w:color="000000" w:fill="F2F2F2"/>
            <w:noWrap/>
            <w:vAlign w:val="center"/>
            <w:hideMark/>
          </w:tcPr>
          <w:p w14:paraId="73F15B1D"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860508892</w:t>
            </w:r>
          </w:p>
        </w:tc>
        <w:tc>
          <w:tcPr>
            <w:tcW w:w="3247" w:type="dxa"/>
            <w:tcBorders>
              <w:top w:val="nil"/>
              <w:left w:val="nil"/>
              <w:bottom w:val="single" w:sz="4" w:space="0" w:color="auto"/>
              <w:right w:val="single" w:sz="4" w:space="0" w:color="auto"/>
            </w:tcBorders>
            <w:shd w:val="clear" w:color="000000" w:fill="F2F2F2"/>
            <w:vAlign w:val="center"/>
            <w:hideMark/>
          </w:tcPr>
          <w:p w14:paraId="0D4161E5" w14:textId="77777777" w:rsidR="00B07312" w:rsidRPr="006B48D3" w:rsidRDefault="00B07312" w:rsidP="00D22441">
            <w:pPr>
              <w:jc w:val="left"/>
              <w:rPr>
                <w:rFonts w:ascii="Arial Narrow" w:hAnsi="Arial Narrow" w:cs="Arial"/>
                <w:spacing w:val="0"/>
                <w:sz w:val="16"/>
                <w:szCs w:val="16"/>
                <w:lang w:eastAsia="es-CO"/>
              </w:rPr>
            </w:pPr>
            <w:r w:rsidRPr="006B48D3">
              <w:rPr>
                <w:rFonts w:ascii="Arial Narrow" w:hAnsi="Arial Narrow" w:cs="Arial"/>
                <w:spacing w:val="0"/>
                <w:sz w:val="16"/>
                <w:szCs w:val="16"/>
                <w:lang w:eastAsia="es-CO"/>
              </w:rPr>
              <w:t>COMPAÑIA DE ALMACENAMIENTO DE GAS S.A. ESP</w:t>
            </w:r>
          </w:p>
        </w:tc>
        <w:tc>
          <w:tcPr>
            <w:tcW w:w="1620" w:type="dxa"/>
            <w:tcBorders>
              <w:top w:val="nil"/>
              <w:left w:val="nil"/>
              <w:bottom w:val="single" w:sz="4" w:space="0" w:color="auto"/>
              <w:right w:val="single" w:sz="4" w:space="0" w:color="auto"/>
            </w:tcBorders>
            <w:shd w:val="clear" w:color="000000" w:fill="F2F2F2"/>
            <w:noWrap/>
            <w:vAlign w:val="center"/>
            <w:hideMark/>
          </w:tcPr>
          <w:p w14:paraId="2055597F"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$ 1.862.429.000</w:t>
            </w:r>
          </w:p>
        </w:tc>
        <w:tc>
          <w:tcPr>
            <w:tcW w:w="1520" w:type="dxa"/>
            <w:tcBorders>
              <w:top w:val="nil"/>
              <w:left w:val="nil"/>
              <w:bottom w:val="single" w:sz="4" w:space="0" w:color="auto"/>
              <w:right w:val="single" w:sz="4" w:space="0" w:color="auto"/>
            </w:tcBorders>
            <w:shd w:val="clear" w:color="000000" w:fill="F2F2F2"/>
            <w:noWrap/>
            <w:vAlign w:val="center"/>
            <w:hideMark/>
          </w:tcPr>
          <w:p w14:paraId="055725AC"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$ 310.863.743</w:t>
            </w:r>
          </w:p>
        </w:tc>
        <w:tc>
          <w:tcPr>
            <w:tcW w:w="1460" w:type="dxa"/>
            <w:tcBorders>
              <w:top w:val="nil"/>
              <w:left w:val="nil"/>
              <w:bottom w:val="single" w:sz="4" w:space="0" w:color="auto"/>
              <w:right w:val="single" w:sz="4" w:space="0" w:color="auto"/>
            </w:tcBorders>
            <w:shd w:val="clear" w:color="000000" w:fill="F2F2F2"/>
            <w:noWrap/>
            <w:vAlign w:val="center"/>
            <w:hideMark/>
          </w:tcPr>
          <w:p w14:paraId="7B4CE45D"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$ 2.173.292.743</w:t>
            </w:r>
          </w:p>
        </w:tc>
        <w:tc>
          <w:tcPr>
            <w:tcW w:w="1280" w:type="dxa"/>
            <w:tcBorders>
              <w:top w:val="nil"/>
              <w:left w:val="nil"/>
              <w:bottom w:val="single" w:sz="4" w:space="0" w:color="auto"/>
              <w:right w:val="single" w:sz="4" w:space="0" w:color="auto"/>
            </w:tcBorders>
            <w:shd w:val="clear" w:color="000000" w:fill="F2F2F2"/>
            <w:noWrap/>
            <w:vAlign w:val="center"/>
            <w:hideMark/>
          </w:tcPr>
          <w:p w14:paraId="4FE1BC6B"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$ 21.732.927</w:t>
            </w:r>
          </w:p>
        </w:tc>
        <w:tc>
          <w:tcPr>
            <w:tcW w:w="1200" w:type="dxa"/>
            <w:tcBorders>
              <w:top w:val="nil"/>
              <w:left w:val="nil"/>
              <w:bottom w:val="single" w:sz="4" w:space="0" w:color="auto"/>
              <w:right w:val="single" w:sz="4" w:space="0" w:color="auto"/>
            </w:tcBorders>
            <w:shd w:val="clear" w:color="000000" w:fill="F2F2F2"/>
            <w:noWrap/>
            <w:vAlign w:val="center"/>
            <w:hideMark/>
          </w:tcPr>
          <w:p w14:paraId="22063FCC"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$ 904</w:t>
            </w:r>
          </w:p>
        </w:tc>
        <w:tc>
          <w:tcPr>
            <w:tcW w:w="1280" w:type="dxa"/>
            <w:tcBorders>
              <w:top w:val="nil"/>
              <w:left w:val="nil"/>
              <w:bottom w:val="single" w:sz="4" w:space="0" w:color="auto"/>
              <w:right w:val="single" w:sz="4" w:space="0" w:color="auto"/>
            </w:tcBorders>
            <w:shd w:val="clear" w:color="000000" w:fill="F2F2F2"/>
            <w:noWrap/>
            <w:vAlign w:val="center"/>
            <w:hideMark/>
          </w:tcPr>
          <w:p w14:paraId="64CA304D"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$ 21.733.832</w:t>
            </w:r>
          </w:p>
        </w:tc>
      </w:tr>
      <w:tr w:rsidR="00B07312" w:rsidRPr="006B48D3" w14:paraId="5B8B58C2" w14:textId="77777777" w:rsidTr="006B48D3">
        <w:trPr>
          <w:trHeight w:val="271"/>
        </w:trPr>
        <w:tc>
          <w:tcPr>
            <w:tcW w:w="407" w:type="dxa"/>
            <w:tcBorders>
              <w:top w:val="nil"/>
              <w:left w:val="single" w:sz="4" w:space="0" w:color="auto"/>
              <w:bottom w:val="single" w:sz="4" w:space="0" w:color="auto"/>
              <w:right w:val="single" w:sz="4" w:space="0" w:color="auto"/>
            </w:tcBorders>
            <w:shd w:val="clear" w:color="000000" w:fill="F2F2F2"/>
            <w:noWrap/>
            <w:vAlign w:val="center"/>
            <w:hideMark/>
          </w:tcPr>
          <w:p w14:paraId="4CC3C363" w14:textId="77777777" w:rsidR="00B07312" w:rsidRPr="006B48D3" w:rsidRDefault="00B07312" w:rsidP="00D22441">
            <w:pPr>
              <w:jc w:val="center"/>
              <w:rPr>
                <w:rFonts w:ascii="Arial Narrow" w:hAnsi="Arial Narrow" w:cs="Arial"/>
                <w:spacing w:val="0"/>
                <w:sz w:val="16"/>
                <w:szCs w:val="16"/>
                <w:lang w:eastAsia="es-CO"/>
              </w:rPr>
            </w:pPr>
            <w:r w:rsidRPr="006B48D3">
              <w:rPr>
                <w:rFonts w:ascii="Arial Narrow" w:hAnsi="Arial Narrow" w:cs="Arial"/>
                <w:spacing w:val="0"/>
                <w:sz w:val="16"/>
                <w:szCs w:val="16"/>
                <w:lang w:eastAsia="es-CO"/>
              </w:rPr>
              <w:t>49</w:t>
            </w:r>
          </w:p>
        </w:tc>
        <w:tc>
          <w:tcPr>
            <w:tcW w:w="585" w:type="dxa"/>
            <w:tcBorders>
              <w:top w:val="nil"/>
              <w:left w:val="nil"/>
              <w:bottom w:val="single" w:sz="4" w:space="0" w:color="auto"/>
              <w:right w:val="single" w:sz="4" w:space="0" w:color="auto"/>
            </w:tcBorders>
            <w:shd w:val="clear" w:color="000000" w:fill="F2F2F2"/>
            <w:noWrap/>
            <w:vAlign w:val="center"/>
            <w:hideMark/>
          </w:tcPr>
          <w:p w14:paraId="0D2B7B6B"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513</w:t>
            </w:r>
          </w:p>
        </w:tc>
        <w:tc>
          <w:tcPr>
            <w:tcW w:w="941" w:type="dxa"/>
            <w:tcBorders>
              <w:top w:val="nil"/>
              <w:left w:val="nil"/>
              <w:bottom w:val="single" w:sz="4" w:space="0" w:color="auto"/>
              <w:right w:val="single" w:sz="4" w:space="0" w:color="auto"/>
            </w:tcBorders>
            <w:shd w:val="clear" w:color="000000" w:fill="F2F2F2"/>
            <w:noWrap/>
            <w:vAlign w:val="center"/>
            <w:hideMark/>
          </w:tcPr>
          <w:p w14:paraId="582A722A"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860515802</w:t>
            </w:r>
          </w:p>
        </w:tc>
        <w:tc>
          <w:tcPr>
            <w:tcW w:w="3247" w:type="dxa"/>
            <w:tcBorders>
              <w:top w:val="nil"/>
              <w:left w:val="nil"/>
              <w:bottom w:val="single" w:sz="4" w:space="0" w:color="auto"/>
              <w:right w:val="single" w:sz="4" w:space="0" w:color="auto"/>
            </w:tcBorders>
            <w:shd w:val="clear" w:color="000000" w:fill="F2F2F2"/>
            <w:vAlign w:val="center"/>
            <w:hideMark/>
          </w:tcPr>
          <w:p w14:paraId="6F6A9B3C" w14:textId="77777777" w:rsidR="00B07312" w:rsidRPr="006B48D3" w:rsidRDefault="00B07312" w:rsidP="00D22441">
            <w:pPr>
              <w:jc w:val="left"/>
              <w:rPr>
                <w:rFonts w:ascii="Arial Narrow" w:hAnsi="Arial Narrow" w:cs="Arial"/>
                <w:spacing w:val="0"/>
                <w:sz w:val="16"/>
                <w:szCs w:val="16"/>
                <w:lang w:eastAsia="es-CO"/>
              </w:rPr>
            </w:pPr>
            <w:r w:rsidRPr="006B48D3">
              <w:rPr>
                <w:rFonts w:ascii="Arial Narrow" w:hAnsi="Arial Narrow" w:cs="Arial"/>
                <w:spacing w:val="0"/>
                <w:sz w:val="16"/>
                <w:szCs w:val="16"/>
                <w:lang w:eastAsia="es-CO"/>
              </w:rPr>
              <w:t>PLEXA SAS ESP</w:t>
            </w:r>
          </w:p>
        </w:tc>
        <w:tc>
          <w:tcPr>
            <w:tcW w:w="1620" w:type="dxa"/>
            <w:tcBorders>
              <w:top w:val="nil"/>
              <w:left w:val="nil"/>
              <w:bottom w:val="single" w:sz="4" w:space="0" w:color="auto"/>
              <w:right w:val="single" w:sz="4" w:space="0" w:color="auto"/>
            </w:tcBorders>
            <w:shd w:val="clear" w:color="000000" w:fill="F2F2F2"/>
            <w:noWrap/>
            <w:vAlign w:val="center"/>
            <w:hideMark/>
          </w:tcPr>
          <w:p w14:paraId="67D22ECD"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$ 2.464.630.000</w:t>
            </w:r>
          </w:p>
        </w:tc>
        <w:tc>
          <w:tcPr>
            <w:tcW w:w="1520" w:type="dxa"/>
            <w:tcBorders>
              <w:top w:val="nil"/>
              <w:left w:val="nil"/>
              <w:bottom w:val="single" w:sz="4" w:space="0" w:color="auto"/>
              <w:right w:val="single" w:sz="4" w:space="0" w:color="auto"/>
            </w:tcBorders>
            <w:shd w:val="clear" w:color="000000" w:fill="F2F2F2"/>
            <w:noWrap/>
            <w:vAlign w:val="center"/>
            <w:hideMark/>
          </w:tcPr>
          <w:p w14:paraId="055A5ECB"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$ 719.425.213</w:t>
            </w:r>
          </w:p>
        </w:tc>
        <w:tc>
          <w:tcPr>
            <w:tcW w:w="1460" w:type="dxa"/>
            <w:tcBorders>
              <w:top w:val="nil"/>
              <w:left w:val="nil"/>
              <w:bottom w:val="single" w:sz="4" w:space="0" w:color="auto"/>
              <w:right w:val="single" w:sz="4" w:space="0" w:color="auto"/>
            </w:tcBorders>
            <w:shd w:val="clear" w:color="000000" w:fill="F2F2F2"/>
            <w:noWrap/>
            <w:vAlign w:val="center"/>
            <w:hideMark/>
          </w:tcPr>
          <w:p w14:paraId="76F34FEF"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$ 3.184.055.213</w:t>
            </w:r>
          </w:p>
        </w:tc>
        <w:tc>
          <w:tcPr>
            <w:tcW w:w="1280" w:type="dxa"/>
            <w:tcBorders>
              <w:top w:val="nil"/>
              <w:left w:val="nil"/>
              <w:bottom w:val="single" w:sz="4" w:space="0" w:color="auto"/>
              <w:right w:val="single" w:sz="4" w:space="0" w:color="auto"/>
            </w:tcBorders>
            <w:shd w:val="clear" w:color="000000" w:fill="F2F2F2"/>
            <w:noWrap/>
            <w:vAlign w:val="center"/>
            <w:hideMark/>
          </w:tcPr>
          <w:p w14:paraId="6F4E7AE2"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$ 31.840.552</w:t>
            </w:r>
          </w:p>
        </w:tc>
        <w:tc>
          <w:tcPr>
            <w:tcW w:w="1200" w:type="dxa"/>
            <w:tcBorders>
              <w:top w:val="nil"/>
              <w:left w:val="nil"/>
              <w:bottom w:val="single" w:sz="4" w:space="0" w:color="auto"/>
              <w:right w:val="single" w:sz="4" w:space="0" w:color="auto"/>
            </w:tcBorders>
            <w:shd w:val="clear" w:color="000000" w:fill="F2F2F2"/>
            <w:noWrap/>
            <w:vAlign w:val="center"/>
            <w:hideMark/>
          </w:tcPr>
          <w:p w14:paraId="30CD2212"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$ 1.325</w:t>
            </w:r>
          </w:p>
        </w:tc>
        <w:tc>
          <w:tcPr>
            <w:tcW w:w="1280" w:type="dxa"/>
            <w:tcBorders>
              <w:top w:val="nil"/>
              <w:left w:val="nil"/>
              <w:bottom w:val="single" w:sz="4" w:space="0" w:color="auto"/>
              <w:right w:val="single" w:sz="4" w:space="0" w:color="auto"/>
            </w:tcBorders>
            <w:shd w:val="clear" w:color="000000" w:fill="F2F2F2"/>
            <w:noWrap/>
            <w:vAlign w:val="center"/>
            <w:hideMark/>
          </w:tcPr>
          <w:p w14:paraId="48A0CAA8"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$ 31.841.877</w:t>
            </w:r>
          </w:p>
        </w:tc>
      </w:tr>
      <w:tr w:rsidR="00B07312" w:rsidRPr="006B48D3" w14:paraId="23D48D5F" w14:textId="77777777" w:rsidTr="006B48D3">
        <w:trPr>
          <w:trHeight w:val="450"/>
        </w:trPr>
        <w:tc>
          <w:tcPr>
            <w:tcW w:w="407" w:type="dxa"/>
            <w:tcBorders>
              <w:top w:val="nil"/>
              <w:left w:val="single" w:sz="4" w:space="0" w:color="auto"/>
              <w:bottom w:val="single" w:sz="4" w:space="0" w:color="auto"/>
              <w:right w:val="single" w:sz="4" w:space="0" w:color="auto"/>
            </w:tcBorders>
            <w:shd w:val="clear" w:color="000000" w:fill="F2F2F2"/>
            <w:noWrap/>
            <w:vAlign w:val="center"/>
            <w:hideMark/>
          </w:tcPr>
          <w:p w14:paraId="0BD9007E" w14:textId="77777777" w:rsidR="00B07312" w:rsidRPr="006B48D3" w:rsidRDefault="00B07312" w:rsidP="00D22441">
            <w:pPr>
              <w:jc w:val="center"/>
              <w:rPr>
                <w:rFonts w:ascii="Arial Narrow" w:hAnsi="Arial Narrow" w:cs="Arial"/>
                <w:spacing w:val="0"/>
                <w:sz w:val="16"/>
                <w:szCs w:val="16"/>
                <w:lang w:eastAsia="es-CO"/>
              </w:rPr>
            </w:pPr>
            <w:r w:rsidRPr="006B48D3">
              <w:rPr>
                <w:rFonts w:ascii="Arial Narrow" w:hAnsi="Arial Narrow" w:cs="Arial"/>
                <w:spacing w:val="0"/>
                <w:sz w:val="16"/>
                <w:szCs w:val="16"/>
                <w:lang w:eastAsia="es-CO"/>
              </w:rPr>
              <w:lastRenderedPageBreak/>
              <w:t>50</w:t>
            </w:r>
          </w:p>
        </w:tc>
        <w:tc>
          <w:tcPr>
            <w:tcW w:w="585" w:type="dxa"/>
            <w:tcBorders>
              <w:top w:val="nil"/>
              <w:left w:val="nil"/>
              <w:bottom w:val="single" w:sz="4" w:space="0" w:color="auto"/>
              <w:right w:val="single" w:sz="4" w:space="0" w:color="auto"/>
            </w:tcBorders>
            <w:shd w:val="clear" w:color="000000" w:fill="F2F2F2"/>
            <w:noWrap/>
            <w:vAlign w:val="center"/>
            <w:hideMark/>
          </w:tcPr>
          <w:p w14:paraId="1EF49879"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28591</w:t>
            </w:r>
          </w:p>
        </w:tc>
        <w:tc>
          <w:tcPr>
            <w:tcW w:w="941" w:type="dxa"/>
            <w:tcBorders>
              <w:top w:val="nil"/>
              <w:left w:val="nil"/>
              <w:bottom w:val="single" w:sz="4" w:space="0" w:color="auto"/>
              <w:right w:val="single" w:sz="4" w:space="0" w:color="auto"/>
            </w:tcBorders>
            <w:shd w:val="clear" w:color="000000" w:fill="F2F2F2"/>
            <w:noWrap/>
            <w:vAlign w:val="center"/>
            <w:hideMark/>
          </w:tcPr>
          <w:p w14:paraId="288A245D"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860516431</w:t>
            </w:r>
          </w:p>
        </w:tc>
        <w:tc>
          <w:tcPr>
            <w:tcW w:w="3247" w:type="dxa"/>
            <w:tcBorders>
              <w:top w:val="nil"/>
              <w:left w:val="nil"/>
              <w:bottom w:val="single" w:sz="4" w:space="0" w:color="auto"/>
              <w:right w:val="single" w:sz="4" w:space="0" w:color="auto"/>
            </w:tcBorders>
            <w:shd w:val="clear" w:color="000000" w:fill="F2F2F2"/>
            <w:vAlign w:val="center"/>
            <w:hideMark/>
          </w:tcPr>
          <w:p w14:paraId="56A1C56C" w14:textId="77777777" w:rsidR="00B07312" w:rsidRPr="006B48D3" w:rsidRDefault="00B07312" w:rsidP="00D22441">
            <w:pPr>
              <w:jc w:val="left"/>
              <w:rPr>
                <w:rFonts w:ascii="Arial Narrow" w:hAnsi="Arial Narrow" w:cs="Arial"/>
                <w:spacing w:val="0"/>
                <w:sz w:val="16"/>
                <w:szCs w:val="16"/>
                <w:lang w:eastAsia="es-CO"/>
              </w:rPr>
            </w:pPr>
            <w:r w:rsidRPr="006B48D3">
              <w:rPr>
                <w:rFonts w:ascii="Arial Narrow" w:hAnsi="Arial Narrow" w:cs="Arial"/>
                <w:spacing w:val="0"/>
                <w:sz w:val="16"/>
                <w:szCs w:val="16"/>
                <w:lang w:eastAsia="es-CO"/>
              </w:rPr>
              <w:t>GRAN TIERRA ENERGY COLOMBIA, LLC SUCURSAL</w:t>
            </w:r>
          </w:p>
        </w:tc>
        <w:tc>
          <w:tcPr>
            <w:tcW w:w="1620" w:type="dxa"/>
            <w:tcBorders>
              <w:top w:val="nil"/>
              <w:left w:val="nil"/>
              <w:bottom w:val="single" w:sz="4" w:space="0" w:color="auto"/>
              <w:right w:val="single" w:sz="4" w:space="0" w:color="auto"/>
            </w:tcBorders>
            <w:shd w:val="clear" w:color="000000" w:fill="F2F2F2"/>
            <w:noWrap/>
            <w:vAlign w:val="center"/>
            <w:hideMark/>
          </w:tcPr>
          <w:p w14:paraId="171F9E92"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$ 397.519.000</w:t>
            </w:r>
          </w:p>
        </w:tc>
        <w:tc>
          <w:tcPr>
            <w:tcW w:w="1520" w:type="dxa"/>
            <w:tcBorders>
              <w:top w:val="nil"/>
              <w:left w:val="nil"/>
              <w:bottom w:val="single" w:sz="4" w:space="0" w:color="auto"/>
              <w:right w:val="single" w:sz="4" w:space="0" w:color="auto"/>
            </w:tcBorders>
            <w:shd w:val="clear" w:color="000000" w:fill="F2F2F2"/>
            <w:noWrap/>
            <w:vAlign w:val="center"/>
            <w:hideMark/>
          </w:tcPr>
          <w:p w14:paraId="331314D1"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$ 0</w:t>
            </w:r>
          </w:p>
        </w:tc>
        <w:tc>
          <w:tcPr>
            <w:tcW w:w="1460" w:type="dxa"/>
            <w:tcBorders>
              <w:top w:val="nil"/>
              <w:left w:val="nil"/>
              <w:bottom w:val="single" w:sz="4" w:space="0" w:color="auto"/>
              <w:right w:val="single" w:sz="4" w:space="0" w:color="auto"/>
            </w:tcBorders>
            <w:shd w:val="clear" w:color="000000" w:fill="F2F2F2"/>
            <w:noWrap/>
            <w:vAlign w:val="center"/>
            <w:hideMark/>
          </w:tcPr>
          <w:p w14:paraId="7E125E3A"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$ 397.519.000</w:t>
            </w:r>
          </w:p>
        </w:tc>
        <w:tc>
          <w:tcPr>
            <w:tcW w:w="1280" w:type="dxa"/>
            <w:tcBorders>
              <w:top w:val="nil"/>
              <w:left w:val="nil"/>
              <w:bottom w:val="single" w:sz="4" w:space="0" w:color="auto"/>
              <w:right w:val="single" w:sz="4" w:space="0" w:color="auto"/>
            </w:tcBorders>
            <w:shd w:val="clear" w:color="000000" w:fill="F2F2F2"/>
            <w:noWrap/>
            <w:vAlign w:val="center"/>
            <w:hideMark/>
          </w:tcPr>
          <w:p w14:paraId="21B5E224"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$ 3.975.190</w:t>
            </w:r>
          </w:p>
        </w:tc>
        <w:tc>
          <w:tcPr>
            <w:tcW w:w="1200" w:type="dxa"/>
            <w:tcBorders>
              <w:top w:val="nil"/>
              <w:left w:val="nil"/>
              <w:bottom w:val="single" w:sz="4" w:space="0" w:color="auto"/>
              <w:right w:val="single" w:sz="4" w:space="0" w:color="auto"/>
            </w:tcBorders>
            <w:shd w:val="clear" w:color="000000" w:fill="F2F2F2"/>
            <w:noWrap/>
            <w:vAlign w:val="center"/>
            <w:hideMark/>
          </w:tcPr>
          <w:p w14:paraId="59B13759"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$ 165</w:t>
            </w:r>
          </w:p>
        </w:tc>
        <w:tc>
          <w:tcPr>
            <w:tcW w:w="1280" w:type="dxa"/>
            <w:tcBorders>
              <w:top w:val="nil"/>
              <w:left w:val="nil"/>
              <w:bottom w:val="single" w:sz="4" w:space="0" w:color="auto"/>
              <w:right w:val="single" w:sz="4" w:space="0" w:color="auto"/>
            </w:tcBorders>
            <w:shd w:val="clear" w:color="000000" w:fill="F2F2F2"/>
            <w:noWrap/>
            <w:vAlign w:val="center"/>
            <w:hideMark/>
          </w:tcPr>
          <w:p w14:paraId="7EA53AFA"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$ 3.975.355</w:t>
            </w:r>
          </w:p>
        </w:tc>
      </w:tr>
      <w:tr w:rsidR="00B07312" w:rsidRPr="006B48D3" w14:paraId="7FD5C922" w14:textId="77777777" w:rsidTr="006B48D3">
        <w:trPr>
          <w:trHeight w:val="450"/>
        </w:trPr>
        <w:tc>
          <w:tcPr>
            <w:tcW w:w="407" w:type="dxa"/>
            <w:tcBorders>
              <w:top w:val="nil"/>
              <w:left w:val="single" w:sz="4" w:space="0" w:color="auto"/>
              <w:bottom w:val="single" w:sz="4" w:space="0" w:color="auto"/>
              <w:right w:val="single" w:sz="4" w:space="0" w:color="auto"/>
            </w:tcBorders>
            <w:shd w:val="clear" w:color="000000" w:fill="F2F2F2"/>
            <w:noWrap/>
            <w:vAlign w:val="center"/>
            <w:hideMark/>
          </w:tcPr>
          <w:p w14:paraId="2C40356D" w14:textId="77777777" w:rsidR="00B07312" w:rsidRPr="006B48D3" w:rsidRDefault="00B07312" w:rsidP="00D22441">
            <w:pPr>
              <w:jc w:val="center"/>
              <w:rPr>
                <w:rFonts w:ascii="Arial Narrow" w:hAnsi="Arial Narrow" w:cs="Arial"/>
                <w:spacing w:val="0"/>
                <w:sz w:val="16"/>
                <w:szCs w:val="16"/>
                <w:lang w:eastAsia="es-CO"/>
              </w:rPr>
            </w:pPr>
            <w:r w:rsidRPr="006B48D3">
              <w:rPr>
                <w:rFonts w:ascii="Arial Narrow" w:hAnsi="Arial Narrow" w:cs="Arial"/>
                <w:spacing w:val="0"/>
                <w:sz w:val="16"/>
                <w:szCs w:val="16"/>
                <w:lang w:eastAsia="es-CO"/>
              </w:rPr>
              <w:t>51</w:t>
            </w:r>
          </w:p>
        </w:tc>
        <w:tc>
          <w:tcPr>
            <w:tcW w:w="585" w:type="dxa"/>
            <w:tcBorders>
              <w:top w:val="nil"/>
              <w:left w:val="nil"/>
              <w:bottom w:val="single" w:sz="4" w:space="0" w:color="auto"/>
              <w:right w:val="single" w:sz="4" w:space="0" w:color="auto"/>
            </w:tcBorders>
            <w:shd w:val="clear" w:color="000000" w:fill="F2F2F2"/>
            <w:noWrap/>
            <w:vAlign w:val="center"/>
            <w:hideMark/>
          </w:tcPr>
          <w:p w14:paraId="364E6E1D"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20000</w:t>
            </w:r>
          </w:p>
        </w:tc>
        <w:tc>
          <w:tcPr>
            <w:tcW w:w="941" w:type="dxa"/>
            <w:tcBorders>
              <w:top w:val="nil"/>
              <w:left w:val="nil"/>
              <w:bottom w:val="single" w:sz="4" w:space="0" w:color="auto"/>
              <w:right w:val="single" w:sz="4" w:space="0" w:color="auto"/>
            </w:tcBorders>
            <w:shd w:val="clear" w:color="000000" w:fill="F2F2F2"/>
            <w:noWrap/>
            <w:vAlign w:val="center"/>
            <w:hideMark/>
          </w:tcPr>
          <w:p w14:paraId="79E32E5D"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860529657</w:t>
            </w:r>
          </w:p>
        </w:tc>
        <w:tc>
          <w:tcPr>
            <w:tcW w:w="3247" w:type="dxa"/>
            <w:tcBorders>
              <w:top w:val="nil"/>
              <w:left w:val="nil"/>
              <w:bottom w:val="single" w:sz="4" w:space="0" w:color="auto"/>
              <w:right w:val="single" w:sz="4" w:space="0" w:color="auto"/>
            </w:tcBorders>
            <w:shd w:val="clear" w:color="000000" w:fill="F2F2F2"/>
            <w:vAlign w:val="center"/>
            <w:hideMark/>
          </w:tcPr>
          <w:p w14:paraId="1B76B234" w14:textId="77777777" w:rsidR="00B07312" w:rsidRPr="006B48D3" w:rsidRDefault="00B07312" w:rsidP="00D22441">
            <w:pPr>
              <w:jc w:val="left"/>
              <w:rPr>
                <w:rFonts w:ascii="Arial Narrow" w:hAnsi="Arial Narrow" w:cs="Arial"/>
                <w:spacing w:val="0"/>
                <w:sz w:val="16"/>
                <w:szCs w:val="16"/>
                <w:lang w:val="en-GB" w:eastAsia="es-CO"/>
              </w:rPr>
            </w:pPr>
            <w:r w:rsidRPr="006B48D3">
              <w:rPr>
                <w:rFonts w:ascii="Arial Narrow" w:hAnsi="Arial Narrow" w:cs="Arial"/>
                <w:spacing w:val="0"/>
                <w:sz w:val="16"/>
                <w:szCs w:val="16"/>
                <w:lang w:val="en-GB" w:eastAsia="es-CO"/>
              </w:rPr>
              <w:t>INTEROIL COLOMBIA EXPLORATION AND PRODUCTION</w:t>
            </w:r>
          </w:p>
        </w:tc>
        <w:tc>
          <w:tcPr>
            <w:tcW w:w="1620" w:type="dxa"/>
            <w:tcBorders>
              <w:top w:val="nil"/>
              <w:left w:val="nil"/>
              <w:bottom w:val="single" w:sz="4" w:space="0" w:color="auto"/>
              <w:right w:val="single" w:sz="4" w:space="0" w:color="auto"/>
            </w:tcBorders>
            <w:shd w:val="clear" w:color="000000" w:fill="F2F2F2"/>
            <w:noWrap/>
            <w:vAlign w:val="center"/>
            <w:hideMark/>
          </w:tcPr>
          <w:p w14:paraId="339F37A7"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$ 396.119.000</w:t>
            </w:r>
          </w:p>
        </w:tc>
        <w:tc>
          <w:tcPr>
            <w:tcW w:w="1520" w:type="dxa"/>
            <w:tcBorders>
              <w:top w:val="nil"/>
              <w:left w:val="nil"/>
              <w:bottom w:val="single" w:sz="4" w:space="0" w:color="auto"/>
              <w:right w:val="single" w:sz="4" w:space="0" w:color="auto"/>
            </w:tcBorders>
            <w:shd w:val="clear" w:color="000000" w:fill="F2F2F2"/>
            <w:noWrap/>
            <w:vAlign w:val="center"/>
            <w:hideMark/>
          </w:tcPr>
          <w:p w14:paraId="7E26D56F"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$ 0</w:t>
            </w:r>
          </w:p>
        </w:tc>
        <w:tc>
          <w:tcPr>
            <w:tcW w:w="1460" w:type="dxa"/>
            <w:tcBorders>
              <w:top w:val="nil"/>
              <w:left w:val="nil"/>
              <w:bottom w:val="single" w:sz="4" w:space="0" w:color="auto"/>
              <w:right w:val="single" w:sz="4" w:space="0" w:color="auto"/>
            </w:tcBorders>
            <w:shd w:val="clear" w:color="000000" w:fill="F2F2F2"/>
            <w:noWrap/>
            <w:vAlign w:val="center"/>
            <w:hideMark/>
          </w:tcPr>
          <w:p w14:paraId="32D70660"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$ 396.119.000</w:t>
            </w:r>
          </w:p>
        </w:tc>
        <w:tc>
          <w:tcPr>
            <w:tcW w:w="1280" w:type="dxa"/>
            <w:tcBorders>
              <w:top w:val="nil"/>
              <w:left w:val="nil"/>
              <w:bottom w:val="single" w:sz="4" w:space="0" w:color="auto"/>
              <w:right w:val="single" w:sz="4" w:space="0" w:color="auto"/>
            </w:tcBorders>
            <w:shd w:val="clear" w:color="000000" w:fill="F2F2F2"/>
            <w:noWrap/>
            <w:vAlign w:val="center"/>
            <w:hideMark/>
          </w:tcPr>
          <w:p w14:paraId="7E1C5EDF"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$ 3.961.190</w:t>
            </w:r>
          </w:p>
        </w:tc>
        <w:tc>
          <w:tcPr>
            <w:tcW w:w="1200" w:type="dxa"/>
            <w:tcBorders>
              <w:top w:val="nil"/>
              <w:left w:val="nil"/>
              <w:bottom w:val="single" w:sz="4" w:space="0" w:color="auto"/>
              <w:right w:val="single" w:sz="4" w:space="0" w:color="auto"/>
            </w:tcBorders>
            <w:shd w:val="clear" w:color="000000" w:fill="F2F2F2"/>
            <w:noWrap/>
            <w:vAlign w:val="center"/>
            <w:hideMark/>
          </w:tcPr>
          <w:p w14:paraId="21709497"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$ 165</w:t>
            </w:r>
          </w:p>
        </w:tc>
        <w:tc>
          <w:tcPr>
            <w:tcW w:w="1280" w:type="dxa"/>
            <w:tcBorders>
              <w:top w:val="nil"/>
              <w:left w:val="nil"/>
              <w:bottom w:val="single" w:sz="4" w:space="0" w:color="auto"/>
              <w:right w:val="single" w:sz="4" w:space="0" w:color="auto"/>
            </w:tcBorders>
            <w:shd w:val="clear" w:color="000000" w:fill="F2F2F2"/>
            <w:noWrap/>
            <w:vAlign w:val="center"/>
            <w:hideMark/>
          </w:tcPr>
          <w:p w14:paraId="770116D4"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$ 3.961.355</w:t>
            </w:r>
          </w:p>
        </w:tc>
      </w:tr>
      <w:tr w:rsidR="00B07312" w:rsidRPr="006B48D3" w14:paraId="1A0C8773" w14:textId="77777777" w:rsidTr="006B48D3">
        <w:trPr>
          <w:trHeight w:val="450"/>
        </w:trPr>
        <w:tc>
          <w:tcPr>
            <w:tcW w:w="407" w:type="dxa"/>
            <w:tcBorders>
              <w:top w:val="nil"/>
              <w:left w:val="single" w:sz="4" w:space="0" w:color="auto"/>
              <w:bottom w:val="single" w:sz="4" w:space="0" w:color="auto"/>
              <w:right w:val="single" w:sz="4" w:space="0" w:color="auto"/>
            </w:tcBorders>
            <w:shd w:val="clear" w:color="000000" w:fill="F2F2F2"/>
            <w:noWrap/>
            <w:vAlign w:val="center"/>
            <w:hideMark/>
          </w:tcPr>
          <w:p w14:paraId="479222F3" w14:textId="77777777" w:rsidR="00B07312" w:rsidRPr="006B48D3" w:rsidRDefault="00B07312" w:rsidP="00D22441">
            <w:pPr>
              <w:jc w:val="center"/>
              <w:rPr>
                <w:rFonts w:ascii="Arial Narrow" w:hAnsi="Arial Narrow" w:cs="Arial"/>
                <w:spacing w:val="0"/>
                <w:sz w:val="16"/>
                <w:szCs w:val="16"/>
                <w:lang w:eastAsia="es-CO"/>
              </w:rPr>
            </w:pPr>
            <w:r w:rsidRPr="006B48D3">
              <w:rPr>
                <w:rFonts w:ascii="Arial Narrow" w:hAnsi="Arial Narrow" w:cs="Arial"/>
                <w:spacing w:val="0"/>
                <w:sz w:val="16"/>
                <w:szCs w:val="16"/>
                <w:lang w:eastAsia="es-CO"/>
              </w:rPr>
              <w:t>52</w:t>
            </w:r>
          </w:p>
        </w:tc>
        <w:tc>
          <w:tcPr>
            <w:tcW w:w="585" w:type="dxa"/>
            <w:tcBorders>
              <w:top w:val="nil"/>
              <w:left w:val="nil"/>
              <w:bottom w:val="single" w:sz="4" w:space="0" w:color="auto"/>
              <w:right w:val="single" w:sz="4" w:space="0" w:color="auto"/>
            </w:tcBorders>
            <w:shd w:val="clear" w:color="000000" w:fill="F2F2F2"/>
            <w:noWrap/>
            <w:vAlign w:val="center"/>
            <w:hideMark/>
          </w:tcPr>
          <w:p w14:paraId="4C539905"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484</w:t>
            </w:r>
          </w:p>
        </w:tc>
        <w:tc>
          <w:tcPr>
            <w:tcW w:w="941" w:type="dxa"/>
            <w:tcBorders>
              <w:top w:val="nil"/>
              <w:left w:val="nil"/>
              <w:bottom w:val="single" w:sz="4" w:space="0" w:color="auto"/>
              <w:right w:val="single" w:sz="4" w:space="0" w:color="auto"/>
            </w:tcBorders>
            <w:shd w:val="clear" w:color="000000" w:fill="F2F2F2"/>
            <w:noWrap/>
            <w:vAlign w:val="center"/>
            <w:hideMark/>
          </w:tcPr>
          <w:p w14:paraId="3E223F5D"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890101691</w:t>
            </w:r>
          </w:p>
        </w:tc>
        <w:tc>
          <w:tcPr>
            <w:tcW w:w="3247" w:type="dxa"/>
            <w:tcBorders>
              <w:top w:val="nil"/>
              <w:left w:val="nil"/>
              <w:bottom w:val="single" w:sz="4" w:space="0" w:color="auto"/>
              <w:right w:val="single" w:sz="4" w:space="0" w:color="auto"/>
            </w:tcBorders>
            <w:shd w:val="clear" w:color="000000" w:fill="F2F2F2"/>
            <w:vAlign w:val="center"/>
            <w:hideMark/>
          </w:tcPr>
          <w:p w14:paraId="42E5B7DD" w14:textId="77777777" w:rsidR="00B07312" w:rsidRPr="006B48D3" w:rsidRDefault="00B07312" w:rsidP="00D22441">
            <w:pPr>
              <w:jc w:val="left"/>
              <w:rPr>
                <w:rFonts w:ascii="Arial Narrow" w:hAnsi="Arial Narrow" w:cs="Arial"/>
                <w:spacing w:val="0"/>
                <w:sz w:val="16"/>
                <w:szCs w:val="16"/>
                <w:lang w:eastAsia="es-CO"/>
              </w:rPr>
            </w:pPr>
            <w:r w:rsidRPr="006B48D3">
              <w:rPr>
                <w:rFonts w:ascii="Arial Narrow" w:hAnsi="Arial Narrow" w:cs="Arial"/>
                <w:spacing w:val="0"/>
                <w:sz w:val="16"/>
                <w:szCs w:val="16"/>
                <w:lang w:eastAsia="es-CO"/>
              </w:rPr>
              <w:t xml:space="preserve">GASES DEL CARIBE S.A. EMPRESA DE SERVICIOS PUBLICOS </w:t>
            </w:r>
          </w:p>
        </w:tc>
        <w:tc>
          <w:tcPr>
            <w:tcW w:w="1620" w:type="dxa"/>
            <w:tcBorders>
              <w:top w:val="nil"/>
              <w:left w:val="nil"/>
              <w:bottom w:val="single" w:sz="4" w:space="0" w:color="auto"/>
              <w:right w:val="single" w:sz="4" w:space="0" w:color="auto"/>
            </w:tcBorders>
            <w:shd w:val="clear" w:color="000000" w:fill="F2F2F2"/>
            <w:noWrap/>
            <w:vAlign w:val="center"/>
            <w:hideMark/>
          </w:tcPr>
          <w:p w14:paraId="01CB7467"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$ 48.163.714.000</w:t>
            </w:r>
          </w:p>
        </w:tc>
        <w:tc>
          <w:tcPr>
            <w:tcW w:w="1520" w:type="dxa"/>
            <w:tcBorders>
              <w:top w:val="nil"/>
              <w:left w:val="nil"/>
              <w:bottom w:val="single" w:sz="4" w:space="0" w:color="auto"/>
              <w:right w:val="single" w:sz="4" w:space="0" w:color="auto"/>
            </w:tcBorders>
            <w:shd w:val="clear" w:color="000000" w:fill="F2F2F2"/>
            <w:noWrap/>
            <w:vAlign w:val="center"/>
            <w:hideMark/>
          </w:tcPr>
          <w:p w14:paraId="753D4218"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$ 1.860.660.419</w:t>
            </w:r>
          </w:p>
        </w:tc>
        <w:tc>
          <w:tcPr>
            <w:tcW w:w="1460" w:type="dxa"/>
            <w:tcBorders>
              <w:top w:val="nil"/>
              <w:left w:val="nil"/>
              <w:bottom w:val="single" w:sz="4" w:space="0" w:color="auto"/>
              <w:right w:val="single" w:sz="4" w:space="0" w:color="auto"/>
            </w:tcBorders>
            <w:shd w:val="clear" w:color="000000" w:fill="F2F2F2"/>
            <w:noWrap/>
            <w:vAlign w:val="center"/>
            <w:hideMark/>
          </w:tcPr>
          <w:p w14:paraId="4A1D9924"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$ 50.024.374.419</w:t>
            </w:r>
          </w:p>
        </w:tc>
        <w:tc>
          <w:tcPr>
            <w:tcW w:w="1280" w:type="dxa"/>
            <w:tcBorders>
              <w:top w:val="nil"/>
              <w:left w:val="nil"/>
              <w:bottom w:val="single" w:sz="4" w:space="0" w:color="auto"/>
              <w:right w:val="single" w:sz="4" w:space="0" w:color="auto"/>
            </w:tcBorders>
            <w:shd w:val="clear" w:color="000000" w:fill="F2F2F2"/>
            <w:noWrap/>
            <w:vAlign w:val="center"/>
            <w:hideMark/>
          </w:tcPr>
          <w:p w14:paraId="6C88E5BF"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$ 500.243.744</w:t>
            </w:r>
          </w:p>
        </w:tc>
        <w:tc>
          <w:tcPr>
            <w:tcW w:w="1200" w:type="dxa"/>
            <w:tcBorders>
              <w:top w:val="nil"/>
              <w:left w:val="nil"/>
              <w:bottom w:val="single" w:sz="4" w:space="0" w:color="auto"/>
              <w:right w:val="single" w:sz="4" w:space="0" w:color="auto"/>
            </w:tcBorders>
            <w:shd w:val="clear" w:color="000000" w:fill="F2F2F2"/>
            <w:noWrap/>
            <w:vAlign w:val="center"/>
            <w:hideMark/>
          </w:tcPr>
          <w:p w14:paraId="5AE2D143"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$ 20.818</w:t>
            </w:r>
          </w:p>
        </w:tc>
        <w:tc>
          <w:tcPr>
            <w:tcW w:w="1280" w:type="dxa"/>
            <w:tcBorders>
              <w:top w:val="nil"/>
              <w:left w:val="nil"/>
              <w:bottom w:val="single" w:sz="4" w:space="0" w:color="auto"/>
              <w:right w:val="single" w:sz="4" w:space="0" w:color="auto"/>
            </w:tcBorders>
            <w:shd w:val="clear" w:color="000000" w:fill="F2F2F2"/>
            <w:noWrap/>
            <w:vAlign w:val="center"/>
            <w:hideMark/>
          </w:tcPr>
          <w:p w14:paraId="4A82E15D"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$ 500.264.563</w:t>
            </w:r>
          </w:p>
        </w:tc>
      </w:tr>
      <w:tr w:rsidR="00B07312" w:rsidRPr="006B48D3" w14:paraId="41A366F7" w14:textId="77777777" w:rsidTr="006B48D3">
        <w:trPr>
          <w:trHeight w:val="265"/>
        </w:trPr>
        <w:tc>
          <w:tcPr>
            <w:tcW w:w="407" w:type="dxa"/>
            <w:tcBorders>
              <w:top w:val="nil"/>
              <w:left w:val="single" w:sz="4" w:space="0" w:color="auto"/>
              <w:bottom w:val="single" w:sz="4" w:space="0" w:color="auto"/>
              <w:right w:val="single" w:sz="4" w:space="0" w:color="auto"/>
            </w:tcBorders>
            <w:shd w:val="clear" w:color="000000" w:fill="F2F2F2"/>
            <w:noWrap/>
            <w:vAlign w:val="center"/>
            <w:hideMark/>
          </w:tcPr>
          <w:p w14:paraId="6DB5185F" w14:textId="77777777" w:rsidR="00B07312" w:rsidRPr="006B48D3" w:rsidRDefault="00B07312" w:rsidP="00D22441">
            <w:pPr>
              <w:jc w:val="center"/>
              <w:rPr>
                <w:rFonts w:ascii="Arial Narrow" w:hAnsi="Arial Narrow" w:cs="Arial"/>
                <w:spacing w:val="0"/>
                <w:sz w:val="16"/>
                <w:szCs w:val="16"/>
                <w:lang w:eastAsia="es-CO"/>
              </w:rPr>
            </w:pPr>
            <w:r w:rsidRPr="006B48D3">
              <w:rPr>
                <w:rFonts w:ascii="Arial Narrow" w:hAnsi="Arial Narrow" w:cs="Arial"/>
                <w:spacing w:val="0"/>
                <w:sz w:val="16"/>
                <w:szCs w:val="16"/>
                <w:lang w:eastAsia="es-CO"/>
              </w:rPr>
              <w:t>53</w:t>
            </w:r>
          </w:p>
        </w:tc>
        <w:tc>
          <w:tcPr>
            <w:tcW w:w="585" w:type="dxa"/>
            <w:tcBorders>
              <w:top w:val="nil"/>
              <w:left w:val="nil"/>
              <w:bottom w:val="single" w:sz="4" w:space="0" w:color="auto"/>
              <w:right w:val="single" w:sz="4" w:space="0" w:color="auto"/>
            </w:tcBorders>
            <w:shd w:val="clear" w:color="000000" w:fill="F2F2F2"/>
            <w:noWrap/>
            <w:vAlign w:val="center"/>
            <w:hideMark/>
          </w:tcPr>
          <w:p w14:paraId="5774ED4C"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1069</w:t>
            </w:r>
          </w:p>
        </w:tc>
        <w:tc>
          <w:tcPr>
            <w:tcW w:w="941" w:type="dxa"/>
            <w:tcBorders>
              <w:top w:val="nil"/>
              <w:left w:val="nil"/>
              <w:bottom w:val="single" w:sz="4" w:space="0" w:color="auto"/>
              <w:right w:val="single" w:sz="4" w:space="0" w:color="auto"/>
            </w:tcBorders>
            <w:shd w:val="clear" w:color="000000" w:fill="F2F2F2"/>
            <w:noWrap/>
            <w:vAlign w:val="center"/>
            <w:hideMark/>
          </w:tcPr>
          <w:p w14:paraId="3BC04EF5"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890105526</w:t>
            </w:r>
          </w:p>
        </w:tc>
        <w:tc>
          <w:tcPr>
            <w:tcW w:w="3247" w:type="dxa"/>
            <w:tcBorders>
              <w:top w:val="nil"/>
              <w:left w:val="nil"/>
              <w:bottom w:val="single" w:sz="4" w:space="0" w:color="auto"/>
              <w:right w:val="single" w:sz="4" w:space="0" w:color="auto"/>
            </w:tcBorders>
            <w:shd w:val="clear" w:color="000000" w:fill="F2F2F2"/>
            <w:vAlign w:val="center"/>
            <w:hideMark/>
          </w:tcPr>
          <w:p w14:paraId="5BA1D861" w14:textId="77777777" w:rsidR="00B07312" w:rsidRPr="006B48D3" w:rsidRDefault="00B07312" w:rsidP="00D22441">
            <w:pPr>
              <w:jc w:val="left"/>
              <w:rPr>
                <w:rFonts w:ascii="Arial Narrow" w:hAnsi="Arial Narrow" w:cs="Arial"/>
                <w:spacing w:val="0"/>
                <w:sz w:val="16"/>
                <w:szCs w:val="16"/>
                <w:lang w:eastAsia="es-CO"/>
              </w:rPr>
            </w:pPr>
            <w:r w:rsidRPr="006B48D3">
              <w:rPr>
                <w:rFonts w:ascii="Arial Narrow" w:hAnsi="Arial Narrow" w:cs="Arial"/>
                <w:spacing w:val="0"/>
                <w:sz w:val="16"/>
                <w:szCs w:val="16"/>
                <w:lang w:eastAsia="es-CO"/>
              </w:rPr>
              <w:t>PROMIGAS S.A. E.S.P.</w:t>
            </w:r>
          </w:p>
        </w:tc>
        <w:tc>
          <w:tcPr>
            <w:tcW w:w="1620" w:type="dxa"/>
            <w:tcBorders>
              <w:top w:val="nil"/>
              <w:left w:val="nil"/>
              <w:bottom w:val="single" w:sz="4" w:space="0" w:color="auto"/>
              <w:right w:val="single" w:sz="4" w:space="0" w:color="auto"/>
            </w:tcBorders>
            <w:shd w:val="clear" w:color="000000" w:fill="F2F2F2"/>
            <w:noWrap/>
            <w:vAlign w:val="center"/>
            <w:hideMark/>
          </w:tcPr>
          <w:p w14:paraId="6AF6F719"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$ 146.884.793.000</w:t>
            </w:r>
          </w:p>
        </w:tc>
        <w:tc>
          <w:tcPr>
            <w:tcW w:w="1520" w:type="dxa"/>
            <w:tcBorders>
              <w:top w:val="nil"/>
              <w:left w:val="nil"/>
              <w:bottom w:val="single" w:sz="4" w:space="0" w:color="auto"/>
              <w:right w:val="single" w:sz="4" w:space="0" w:color="auto"/>
            </w:tcBorders>
            <w:shd w:val="clear" w:color="000000" w:fill="F2F2F2"/>
            <w:noWrap/>
            <w:vAlign w:val="center"/>
            <w:hideMark/>
          </w:tcPr>
          <w:p w14:paraId="1F726F92"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$ 51.148.442</w:t>
            </w:r>
          </w:p>
        </w:tc>
        <w:tc>
          <w:tcPr>
            <w:tcW w:w="1460" w:type="dxa"/>
            <w:tcBorders>
              <w:top w:val="nil"/>
              <w:left w:val="nil"/>
              <w:bottom w:val="single" w:sz="4" w:space="0" w:color="auto"/>
              <w:right w:val="single" w:sz="4" w:space="0" w:color="auto"/>
            </w:tcBorders>
            <w:shd w:val="clear" w:color="000000" w:fill="F2F2F2"/>
            <w:noWrap/>
            <w:vAlign w:val="center"/>
            <w:hideMark/>
          </w:tcPr>
          <w:p w14:paraId="042F06B0"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$ 146.935.941.442</w:t>
            </w:r>
          </w:p>
        </w:tc>
        <w:tc>
          <w:tcPr>
            <w:tcW w:w="1280" w:type="dxa"/>
            <w:tcBorders>
              <w:top w:val="nil"/>
              <w:left w:val="nil"/>
              <w:bottom w:val="single" w:sz="4" w:space="0" w:color="auto"/>
              <w:right w:val="single" w:sz="4" w:space="0" w:color="auto"/>
            </w:tcBorders>
            <w:shd w:val="clear" w:color="000000" w:fill="F2F2F2"/>
            <w:noWrap/>
            <w:vAlign w:val="center"/>
            <w:hideMark/>
          </w:tcPr>
          <w:p w14:paraId="1B204ED4"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$ 1.469.359.414</w:t>
            </w:r>
          </w:p>
        </w:tc>
        <w:tc>
          <w:tcPr>
            <w:tcW w:w="1200" w:type="dxa"/>
            <w:tcBorders>
              <w:top w:val="nil"/>
              <w:left w:val="nil"/>
              <w:bottom w:val="single" w:sz="4" w:space="0" w:color="auto"/>
              <w:right w:val="single" w:sz="4" w:space="0" w:color="auto"/>
            </w:tcBorders>
            <w:shd w:val="clear" w:color="000000" w:fill="F2F2F2"/>
            <w:noWrap/>
            <w:vAlign w:val="center"/>
            <w:hideMark/>
          </w:tcPr>
          <w:p w14:paraId="417CDA08"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$ 61.150</w:t>
            </w:r>
          </w:p>
        </w:tc>
        <w:tc>
          <w:tcPr>
            <w:tcW w:w="1280" w:type="dxa"/>
            <w:tcBorders>
              <w:top w:val="nil"/>
              <w:left w:val="nil"/>
              <w:bottom w:val="single" w:sz="4" w:space="0" w:color="auto"/>
              <w:right w:val="single" w:sz="4" w:space="0" w:color="auto"/>
            </w:tcBorders>
            <w:shd w:val="clear" w:color="000000" w:fill="F2F2F2"/>
            <w:noWrap/>
            <w:vAlign w:val="center"/>
            <w:hideMark/>
          </w:tcPr>
          <w:p w14:paraId="6DC53587"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$ 1.469.420.564</w:t>
            </w:r>
          </w:p>
        </w:tc>
      </w:tr>
      <w:tr w:rsidR="00B07312" w:rsidRPr="006B48D3" w14:paraId="05C4A85D" w14:textId="77777777" w:rsidTr="006B48D3">
        <w:trPr>
          <w:trHeight w:val="313"/>
        </w:trPr>
        <w:tc>
          <w:tcPr>
            <w:tcW w:w="407" w:type="dxa"/>
            <w:tcBorders>
              <w:top w:val="nil"/>
              <w:left w:val="single" w:sz="4" w:space="0" w:color="auto"/>
              <w:bottom w:val="single" w:sz="4" w:space="0" w:color="auto"/>
              <w:right w:val="single" w:sz="4" w:space="0" w:color="auto"/>
            </w:tcBorders>
            <w:shd w:val="clear" w:color="000000" w:fill="F2F2F2"/>
            <w:noWrap/>
            <w:vAlign w:val="center"/>
            <w:hideMark/>
          </w:tcPr>
          <w:p w14:paraId="34B1F35D" w14:textId="77777777" w:rsidR="00B07312" w:rsidRPr="006B48D3" w:rsidRDefault="00B07312" w:rsidP="00D22441">
            <w:pPr>
              <w:jc w:val="center"/>
              <w:rPr>
                <w:rFonts w:ascii="Arial Narrow" w:hAnsi="Arial Narrow" w:cs="Arial"/>
                <w:spacing w:val="0"/>
                <w:sz w:val="16"/>
                <w:szCs w:val="16"/>
                <w:lang w:eastAsia="es-CO"/>
              </w:rPr>
            </w:pPr>
            <w:r w:rsidRPr="006B48D3">
              <w:rPr>
                <w:rFonts w:ascii="Arial Narrow" w:hAnsi="Arial Narrow" w:cs="Arial"/>
                <w:spacing w:val="0"/>
                <w:sz w:val="16"/>
                <w:szCs w:val="16"/>
                <w:lang w:eastAsia="es-CO"/>
              </w:rPr>
              <w:t>54</w:t>
            </w:r>
          </w:p>
        </w:tc>
        <w:tc>
          <w:tcPr>
            <w:tcW w:w="585" w:type="dxa"/>
            <w:tcBorders>
              <w:top w:val="nil"/>
              <w:left w:val="nil"/>
              <w:bottom w:val="single" w:sz="4" w:space="0" w:color="auto"/>
              <w:right w:val="single" w:sz="4" w:space="0" w:color="auto"/>
            </w:tcBorders>
            <w:shd w:val="clear" w:color="000000" w:fill="F2F2F2"/>
            <w:noWrap/>
            <w:vAlign w:val="center"/>
            <w:hideMark/>
          </w:tcPr>
          <w:p w14:paraId="29D20443"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526</w:t>
            </w:r>
          </w:p>
        </w:tc>
        <w:tc>
          <w:tcPr>
            <w:tcW w:w="941" w:type="dxa"/>
            <w:tcBorders>
              <w:top w:val="nil"/>
              <w:left w:val="nil"/>
              <w:bottom w:val="single" w:sz="4" w:space="0" w:color="auto"/>
              <w:right w:val="single" w:sz="4" w:space="0" w:color="auto"/>
            </w:tcBorders>
            <w:shd w:val="clear" w:color="000000" w:fill="F2F2F2"/>
            <w:noWrap/>
            <w:vAlign w:val="center"/>
            <w:hideMark/>
          </w:tcPr>
          <w:p w14:paraId="78FA5122"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890205952</w:t>
            </w:r>
          </w:p>
        </w:tc>
        <w:tc>
          <w:tcPr>
            <w:tcW w:w="3247" w:type="dxa"/>
            <w:tcBorders>
              <w:top w:val="nil"/>
              <w:left w:val="nil"/>
              <w:bottom w:val="single" w:sz="4" w:space="0" w:color="auto"/>
              <w:right w:val="single" w:sz="4" w:space="0" w:color="auto"/>
            </w:tcBorders>
            <w:shd w:val="clear" w:color="000000" w:fill="F2F2F2"/>
            <w:vAlign w:val="center"/>
            <w:hideMark/>
          </w:tcPr>
          <w:p w14:paraId="36077A8A" w14:textId="77777777" w:rsidR="00B07312" w:rsidRPr="006B48D3" w:rsidRDefault="00B07312" w:rsidP="00D22441">
            <w:pPr>
              <w:jc w:val="left"/>
              <w:rPr>
                <w:rFonts w:ascii="Arial Narrow" w:hAnsi="Arial Narrow" w:cs="Arial"/>
                <w:spacing w:val="0"/>
                <w:sz w:val="16"/>
                <w:szCs w:val="16"/>
                <w:lang w:eastAsia="es-CO"/>
              </w:rPr>
            </w:pPr>
            <w:r w:rsidRPr="006B48D3">
              <w:rPr>
                <w:rFonts w:ascii="Arial Narrow" w:hAnsi="Arial Narrow" w:cs="Arial"/>
                <w:spacing w:val="0"/>
                <w:sz w:val="16"/>
                <w:szCs w:val="16"/>
                <w:lang w:eastAsia="es-CO"/>
              </w:rPr>
              <w:t>GAS NATURAL DEL ORIENTE SA ESP</w:t>
            </w:r>
          </w:p>
        </w:tc>
        <w:tc>
          <w:tcPr>
            <w:tcW w:w="1620" w:type="dxa"/>
            <w:tcBorders>
              <w:top w:val="nil"/>
              <w:left w:val="nil"/>
              <w:bottom w:val="single" w:sz="4" w:space="0" w:color="auto"/>
              <w:right w:val="single" w:sz="4" w:space="0" w:color="auto"/>
            </w:tcBorders>
            <w:shd w:val="clear" w:color="000000" w:fill="F2F2F2"/>
            <w:noWrap/>
            <w:vAlign w:val="center"/>
            <w:hideMark/>
          </w:tcPr>
          <w:p w14:paraId="57F4DD44"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$ 3.516.202.000</w:t>
            </w:r>
          </w:p>
        </w:tc>
        <w:tc>
          <w:tcPr>
            <w:tcW w:w="1520" w:type="dxa"/>
            <w:tcBorders>
              <w:top w:val="nil"/>
              <w:left w:val="nil"/>
              <w:bottom w:val="single" w:sz="4" w:space="0" w:color="auto"/>
              <w:right w:val="single" w:sz="4" w:space="0" w:color="auto"/>
            </w:tcBorders>
            <w:shd w:val="clear" w:color="000000" w:fill="F2F2F2"/>
            <w:noWrap/>
            <w:vAlign w:val="center"/>
            <w:hideMark/>
          </w:tcPr>
          <w:p w14:paraId="67D97170"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$ 1.100.607.680</w:t>
            </w:r>
          </w:p>
        </w:tc>
        <w:tc>
          <w:tcPr>
            <w:tcW w:w="1460" w:type="dxa"/>
            <w:tcBorders>
              <w:top w:val="nil"/>
              <w:left w:val="nil"/>
              <w:bottom w:val="single" w:sz="4" w:space="0" w:color="auto"/>
              <w:right w:val="single" w:sz="4" w:space="0" w:color="auto"/>
            </w:tcBorders>
            <w:shd w:val="clear" w:color="000000" w:fill="F2F2F2"/>
            <w:noWrap/>
            <w:vAlign w:val="center"/>
            <w:hideMark/>
          </w:tcPr>
          <w:p w14:paraId="1BE1B992"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$ 4.616.809.680</w:t>
            </w:r>
          </w:p>
        </w:tc>
        <w:tc>
          <w:tcPr>
            <w:tcW w:w="1280" w:type="dxa"/>
            <w:tcBorders>
              <w:top w:val="nil"/>
              <w:left w:val="nil"/>
              <w:bottom w:val="single" w:sz="4" w:space="0" w:color="auto"/>
              <w:right w:val="single" w:sz="4" w:space="0" w:color="auto"/>
            </w:tcBorders>
            <w:shd w:val="clear" w:color="000000" w:fill="F2F2F2"/>
            <w:noWrap/>
            <w:vAlign w:val="center"/>
            <w:hideMark/>
          </w:tcPr>
          <w:p w14:paraId="3D98CE63"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$ 46.168.097</w:t>
            </w:r>
          </w:p>
        </w:tc>
        <w:tc>
          <w:tcPr>
            <w:tcW w:w="1200" w:type="dxa"/>
            <w:tcBorders>
              <w:top w:val="nil"/>
              <w:left w:val="nil"/>
              <w:bottom w:val="single" w:sz="4" w:space="0" w:color="auto"/>
              <w:right w:val="single" w:sz="4" w:space="0" w:color="auto"/>
            </w:tcBorders>
            <w:shd w:val="clear" w:color="000000" w:fill="F2F2F2"/>
            <w:noWrap/>
            <w:vAlign w:val="center"/>
            <w:hideMark/>
          </w:tcPr>
          <w:p w14:paraId="2A327638"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$ 1.921</w:t>
            </w:r>
          </w:p>
        </w:tc>
        <w:tc>
          <w:tcPr>
            <w:tcW w:w="1280" w:type="dxa"/>
            <w:tcBorders>
              <w:top w:val="nil"/>
              <w:left w:val="nil"/>
              <w:bottom w:val="single" w:sz="4" w:space="0" w:color="auto"/>
              <w:right w:val="single" w:sz="4" w:space="0" w:color="auto"/>
            </w:tcBorders>
            <w:shd w:val="clear" w:color="000000" w:fill="F2F2F2"/>
            <w:noWrap/>
            <w:vAlign w:val="center"/>
            <w:hideMark/>
          </w:tcPr>
          <w:p w14:paraId="6CEE1C68"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$ 46.170.018</w:t>
            </w:r>
          </w:p>
        </w:tc>
      </w:tr>
      <w:tr w:rsidR="00B07312" w:rsidRPr="006B48D3" w14:paraId="4EABB432" w14:textId="77777777" w:rsidTr="006B48D3">
        <w:trPr>
          <w:trHeight w:val="274"/>
        </w:trPr>
        <w:tc>
          <w:tcPr>
            <w:tcW w:w="407" w:type="dxa"/>
            <w:tcBorders>
              <w:top w:val="nil"/>
              <w:left w:val="single" w:sz="4" w:space="0" w:color="auto"/>
              <w:bottom w:val="single" w:sz="4" w:space="0" w:color="auto"/>
              <w:right w:val="single" w:sz="4" w:space="0" w:color="auto"/>
            </w:tcBorders>
            <w:shd w:val="clear" w:color="000000" w:fill="F2F2F2"/>
            <w:noWrap/>
            <w:vAlign w:val="center"/>
            <w:hideMark/>
          </w:tcPr>
          <w:p w14:paraId="647B9E85" w14:textId="77777777" w:rsidR="00B07312" w:rsidRPr="006B48D3" w:rsidRDefault="00B07312" w:rsidP="00D22441">
            <w:pPr>
              <w:jc w:val="center"/>
              <w:rPr>
                <w:rFonts w:ascii="Arial Narrow" w:hAnsi="Arial Narrow" w:cs="Arial"/>
                <w:spacing w:val="0"/>
                <w:sz w:val="16"/>
                <w:szCs w:val="16"/>
                <w:lang w:eastAsia="es-CO"/>
              </w:rPr>
            </w:pPr>
            <w:r w:rsidRPr="006B48D3">
              <w:rPr>
                <w:rFonts w:ascii="Arial Narrow" w:hAnsi="Arial Narrow" w:cs="Arial"/>
                <w:spacing w:val="0"/>
                <w:sz w:val="16"/>
                <w:szCs w:val="16"/>
                <w:lang w:eastAsia="es-CO"/>
              </w:rPr>
              <w:t>55</w:t>
            </w:r>
          </w:p>
        </w:tc>
        <w:tc>
          <w:tcPr>
            <w:tcW w:w="585" w:type="dxa"/>
            <w:tcBorders>
              <w:top w:val="nil"/>
              <w:left w:val="nil"/>
              <w:bottom w:val="single" w:sz="4" w:space="0" w:color="auto"/>
              <w:right w:val="single" w:sz="4" w:space="0" w:color="auto"/>
            </w:tcBorders>
            <w:shd w:val="clear" w:color="000000" w:fill="F2F2F2"/>
            <w:noWrap/>
            <w:vAlign w:val="center"/>
            <w:hideMark/>
          </w:tcPr>
          <w:p w14:paraId="757D50FF"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1173</w:t>
            </w:r>
          </w:p>
        </w:tc>
        <w:tc>
          <w:tcPr>
            <w:tcW w:w="941" w:type="dxa"/>
            <w:tcBorders>
              <w:top w:val="nil"/>
              <w:left w:val="nil"/>
              <w:bottom w:val="single" w:sz="4" w:space="0" w:color="auto"/>
              <w:right w:val="single" w:sz="4" w:space="0" w:color="auto"/>
            </w:tcBorders>
            <w:shd w:val="clear" w:color="000000" w:fill="F2F2F2"/>
            <w:noWrap/>
            <w:vAlign w:val="center"/>
            <w:hideMark/>
          </w:tcPr>
          <w:p w14:paraId="63992A11"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890208316</w:t>
            </w:r>
          </w:p>
        </w:tc>
        <w:tc>
          <w:tcPr>
            <w:tcW w:w="3247" w:type="dxa"/>
            <w:tcBorders>
              <w:top w:val="nil"/>
              <w:left w:val="nil"/>
              <w:bottom w:val="single" w:sz="4" w:space="0" w:color="auto"/>
              <w:right w:val="single" w:sz="4" w:space="0" w:color="auto"/>
            </w:tcBorders>
            <w:shd w:val="clear" w:color="000000" w:fill="F2F2F2"/>
            <w:vAlign w:val="center"/>
            <w:hideMark/>
          </w:tcPr>
          <w:p w14:paraId="05EFA984" w14:textId="77777777" w:rsidR="00B07312" w:rsidRPr="006B48D3" w:rsidRDefault="00B07312" w:rsidP="00D22441">
            <w:pPr>
              <w:jc w:val="left"/>
              <w:rPr>
                <w:rFonts w:ascii="Arial Narrow" w:hAnsi="Arial Narrow" w:cs="Arial"/>
                <w:spacing w:val="0"/>
                <w:sz w:val="16"/>
                <w:szCs w:val="16"/>
                <w:lang w:eastAsia="es-CO"/>
              </w:rPr>
            </w:pPr>
            <w:r w:rsidRPr="006B48D3">
              <w:rPr>
                <w:rFonts w:ascii="Arial Narrow" w:hAnsi="Arial Narrow" w:cs="Arial"/>
                <w:spacing w:val="0"/>
                <w:sz w:val="16"/>
                <w:szCs w:val="16"/>
                <w:lang w:eastAsia="es-CO"/>
              </w:rPr>
              <w:t xml:space="preserve">METROGAS DE COLOMBIA S.A. E.S.P. </w:t>
            </w:r>
          </w:p>
        </w:tc>
        <w:tc>
          <w:tcPr>
            <w:tcW w:w="1620" w:type="dxa"/>
            <w:tcBorders>
              <w:top w:val="nil"/>
              <w:left w:val="nil"/>
              <w:bottom w:val="single" w:sz="4" w:space="0" w:color="auto"/>
              <w:right w:val="single" w:sz="4" w:space="0" w:color="auto"/>
            </w:tcBorders>
            <w:shd w:val="clear" w:color="000000" w:fill="F2F2F2"/>
            <w:noWrap/>
            <w:vAlign w:val="center"/>
            <w:hideMark/>
          </w:tcPr>
          <w:p w14:paraId="5646F08A"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$ 3.789.773.000</w:t>
            </w:r>
          </w:p>
        </w:tc>
        <w:tc>
          <w:tcPr>
            <w:tcW w:w="1520" w:type="dxa"/>
            <w:tcBorders>
              <w:top w:val="nil"/>
              <w:left w:val="nil"/>
              <w:bottom w:val="single" w:sz="4" w:space="0" w:color="auto"/>
              <w:right w:val="single" w:sz="4" w:space="0" w:color="auto"/>
            </w:tcBorders>
            <w:shd w:val="clear" w:color="000000" w:fill="F2F2F2"/>
            <w:noWrap/>
            <w:vAlign w:val="center"/>
            <w:hideMark/>
          </w:tcPr>
          <w:p w14:paraId="7A86B1D3"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$ 403.608.519</w:t>
            </w:r>
          </w:p>
        </w:tc>
        <w:tc>
          <w:tcPr>
            <w:tcW w:w="1460" w:type="dxa"/>
            <w:tcBorders>
              <w:top w:val="nil"/>
              <w:left w:val="nil"/>
              <w:bottom w:val="single" w:sz="4" w:space="0" w:color="auto"/>
              <w:right w:val="single" w:sz="4" w:space="0" w:color="auto"/>
            </w:tcBorders>
            <w:shd w:val="clear" w:color="000000" w:fill="F2F2F2"/>
            <w:noWrap/>
            <w:vAlign w:val="center"/>
            <w:hideMark/>
          </w:tcPr>
          <w:p w14:paraId="1C60E7BC"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$ 4.193.381.519</w:t>
            </w:r>
          </w:p>
        </w:tc>
        <w:tc>
          <w:tcPr>
            <w:tcW w:w="1280" w:type="dxa"/>
            <w:tcBorders>
              <w:top w:val="nil"/>
              <w:left w:val="nil"/>
              <w:bottom w:val="single" w:sz="4" w:space="0" w:color="auto"/>
              <w:right w:val="single" w:sz="4" w:space="0" w:color="auto"/>
            </w:tcBorders>
            <w:shd w:val="clear" w:color="000000" w:fill="F2F2F2"/>
            <w:noWrap/>
            <w:vAlign w:val="center"/>
            <w:hideMark/>
          </w:tcPr>
          <w:p w14:paraId="4CA6E958"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$ 41.933.815</w:t>
            </w:r>
          </w:p>
        </w:tc>
        <w:tc>
          <w:tcPr>
            <w:tcW w:w="1200" w:type="dxa"/>
            <w:tcBorders>
              <w:top w:val="nil"/>
              <w:left w:val="nil"/>
              <w:bottom w:val="single" w:sz="4" w:space="0" w:color="auto"/>
              <w:right w:val="single" w:sz="4" w:space="0" w:color="auto"/>
            </w:tcBorders>
            <w:shd w:val="clear" w:color="000000" w:fill="F2F2F2"/>
            <w:noWrap/>
            <w:vAlign w:val="center"/>
            <w:hideMark/>
          </w:tcPr>
          <w:p w14:paraId="3A52AAD6"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$ 1.745</w:t>
            </w:r>
          </w:p>
        </w:tc>
        <w:tc>
          <w:tcPr>
            <w:tcW w:w="1280" w:type="dxa"/>
            <w:tcBorders>
              <w:top w:val="nil"/>
              <w:left w:val="nil"/>
              <w:bottom w:val="single" w:sz="4" w:space="0" w:color="auto"/>
              <w:right w:val="single" w:sz="4" w:space="0" w:color="auto"/>
            </w:tcBorders>
            <w:shd w:val="clear" w:color="000000" w:fill="F2F2F2"/>
            <w:noWrap/>
            <w:vAlign w:val="center"/>
            <w:hideMark/>
          </w:tcPr>
          <w:p w14:paraId="1070B3BB"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$ 41.935.560</w:t>
            </w:r>
          </w:p>
        </w:tc>
      </w:tr>
      <w:tr w:rsidR="00B07312" w:rsidRPr="006B48D3" w14:paraId="5F7D56CF" w14:textId="77777777" w:rsidTr="006B48D3">
        <w:trPr>
          <w:trHeight w:val="450"/>
        </w:trPr>
        <w:tc>
          <w:tcPr>
            <w:tcW w:w="407" w:type="dxa"/>
            <w:tcBorders>
              <w:top w:val="nil"/>
              <w:left w:val="single" w:sz="4" w:space="0" w:color="auto"/>
              <w:bottom w:val="single" w:sz="4" w:space="0" w:color="auto"/>
              <w:right w:val="single" w:sz="4" w:space="0" w:color="auto"/>
            </w:tcBorders>
            <w:shd w:val="clear" w:color="000000" w:fill="F2F2F2"/>
            <w:noWrap/>
            <w:vAlign w:val="center"/>
            <w:hideMark/>
          </w:tcPr>
          <w:p w14:paraId="2C2CC2E6" w14:textId="77777777" w:rsidR="00B07312" w:rsidRPr="006B48D3" w:rsidRDefault="00B07312" w:rsidP="00D22441">
            <w:pPr>
              <w:jc w:val="center"/>
              <w:rPr>
                <w:rFonts w:ascii="Arial Narrow" w:hAnsi="Arial Narrow" w:cs="Arial"/>
                <w:spacing w:val="0"/>
                <w:sz w:val="16"/>
                <w:szCs w:val="16"/>
                <w:lang w:eastAsia="es-CO"/>
              </w:rPr>
            </w:pPr>
            <w:r w:rsidRPr="006B48D3">
              <w:rPr>
                <w:rFonts w:ascii="Arial Narrow" w:hAnsi="Arial Narrow" w:cs="Arial"/>
                <w:spacing w:val="0"/>
                <w:sz w:val="16"/>
                <w:szCs w:val="16"/>
                <w:lang w:eastAsia="es-CO"/>
              </w:rPr>
              <w:t>56</w:t>
            </w:r>
          </w:p>
        </w:tc>
        <w:tc>
          <w:tcPr>
            <w:tcW w:w="585" w:type="dxa"/>
            <w:tcBorders>
              <w:top w:val="nil"/>
              <w:left w:val="nil"/>
              <w:bottom w:val="single" w:sz="4" w:space="0" w:color="auto"/>
              <w:right w:val="single" w:sz="4" w:space="0" w:color="auto"/>
            </w:tcBorders>
            <w:shd w:val="clear" w:color="000000" w:fill="F2F2F2"/>
            <w:noWrap/>
            <w:vAlign w:val="center"/>
            <w:hideMark/>
          </w:tcPr>
          <w:p w14:paraId="4C3DB823"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498</w:t>
            </w:r>
          </w:p>
        </w:tc>
        <w:tc>
          <w:tcPr>
            <w:tcW w:w="941" w:type="dxa"/>
            <w:tcBorders>
              <w:top w:val="nil"/>
              <w:left w:val="nil"/>
              <w:bottom w:val="single" w:sz="4" w:space="0" w:color="auto"/>
              <w:right w:val="single" w:sz="4" w:space="0" w:color="auto"/>
            </w:tcBorders>
            <w:shd w:val="clear" w:color="000000" w:fill="F2F2F2"/>
            <w:noWrap/>
            <w:vAlign w:val="center"/>
            <w:hideMark/>
          </w:tcPr>
          <w:p w14:paraId="76CDF499"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890400869</w:t>
            </w:r>
          </w:p>
        </w:tc>
        <w:tc>
          <w:tcPr>
            <w:tcW w:w="3247" w:type="dxa"/>
            <w:tcBorders>
              <w:top w:val="nil"/>
              <w:left w:val="nil"/>
              <w:bottom w:val="single" w:sz="4" w:space="0" w:color="auto"/>
              <w:right w:val="single" w:sz="4" w:space="0" w:color="auto"/>
            </w:tcBorders>
            <w:shd w:val="clear" w:color="000000" w:fill="F2F2F2"/>
            <w:vAlign w:val="center"/>
            <w:hideMark/>
          </w:tcPr>
          <w:p w14:paraId="562D8246" w14:textId="77777777" w:rsidR="00B07312" w:rsidRPr="006B48D3" w:rsidRDefault="00B07312" w:rsidP="00D22441">
            <w:pPr>
              <w:jc w:val="left"/>
              <w:rPr>
                <w:rFonts w:ascii="Arial Narrow" w:hAnsi="Arial Narrow" w:cs="Arial"/>
                <w:spacing w:val="0"/>
                <w:sz w:val="16"/>
                <w:szCs w:val="16"/>
                <w:lang w:eastAsia="es-CO"/>
              </w:rPr>
            </w:pPr>
            <w:r w:rsidRPr="006B48D3">
              <w:rPr>
                <w:rFonts w:ascii="Arial Narrow" w:hAnsi="Arial Narrow" w:cs="Arial"/>
                <w:spacing w:val="0"/>
                <w:sz w:val="16"/>
                <w:szCs w:val="16"/>
                <w:lang w:eastAsia="es-CO"/>
              </w:rPr>
              <w:t xml:space="preserve">SURTIDORA DE GAS DEL CARIBE S.A. EMPRESA DE SERVICIOS PUBLICOS </w:t>
            </w:r>
          </w:p>
        </w:tc>
        <w:tc>
          <w:tcPr>
            <w:tcW w:w="1620" w:type="dxa"/>
            <w:tcBorders>
              <w:top w:val="nil"/>
              <w:left w:val="nil"/>
              <w:bottom w:val="single" w:sz="4" w:space="0" w:color="auto"/>
              <w:right w:val="single" w:sz="4" w:space="0" w:color="auto"/>
            </w:tcBorders>
            <w:shd w:val="clear" w:color="000000" w:fill="F2F2F2"/>
            <w:noWrap/>
            <w:vAlign w:val="center"/>
            <w:hideMark/>
          </w:tcPr>
          <w:p w14:paraId="2AEB9877"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$ 38.407.872.000</w:t>
            </w:r>
          </w:p>
        </w:tc>
        <w:tc>
          <w:tcPr>
            <w:tcW w:w="1520" w:type="dxa"/>
            <w:tcBorders>
              <w:top w:val="nil"/>
              <w:left w:val="nil"/>
              <w:bottom w:val="single" w:sz="4" w:space="0" w:color="auto"/>
              <w:right w:val="single" w:sz="4" w:space="0" w:color="auto"/>
            </w:tcBorders>
            <w:shd w:val="clear" w:color="000000" w:fill="F2F2F2"/>
            <w:noWrap/>
            <w:vAlign w:val="center"/>
            <w:hideMark/>
          </w:tcPr>
          <w:p w14:paraId="2B44C953"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$ 6.292.574.235</w:t>
            </w:r>
          </w:p>
        </w:tc>
        <w:tc>
          <w:tcPr>
            <w:tcW w:w="1460" w:type="dxa"/>
            <w:tcBorders>
              <w:top w:val="nil"/>
              <w:left w:val="nil"/>
              <w:bottom w:val="single" w:sz="4" w:space="0" w:color="auto"/>
              <w:right w:val="single" w:sz="4" w:space="0" w:color="auto"/>
            </w:tcBorders>
            <w:shd w:val="clear" w:color="000000" w:fill="F2F2F2"/>
            <w:noWrap/>
            <w:vAlign w:val="center"/>
            <w:hideMark/>
          </w:tcPr>
          <w:p w14:paraId="08EC428F"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$ 44.700.446.235</w:t>
            </w:r>
          </w:p>
        </w:tc>
        <w:tc>
          <w:tcPr>
            <w:tcW w:w="1280" w:type="dxa"/>
            <w:tcBorders>
              <w:top w:val="nil"/>
              <w:left w:val="nil"/>
              <w:bottom w:val="single" w:sz="4" w:space="0" w:color="auto"/>
              <w:right w:val="single" w:sz="4" w:space="0" w:color="auto"/>
            </w:tcBorders>
            <w:shd w:val="clear" w:color="000000" w:fill="F2F2F2"/>
            <w:noWrap/>
            <w:vAlign w:val="center"/>
            <w:hideMark/>
          </w:tcPr>
          <w:p w14:paraId="6AC20D69"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$ 447.004.462</w:t>
            </w:r>
          </w:p>
        </w:tc>
        <w:tc>
          <w:tcPr>
            <w:tcW w:w="1200" w:type="dxa"/>
            <w:tcBorders>
              <w:top w:val="nil"/>
              <w:left w:val="nil"/>
              <w:bottom w:val="single" w:sz="4" w:space="0" w:color="auto"/>
              <w:right w:val="single" w:sz="4" w:space="0" w:color="auto"/>
            </w:tcBorders>
            <w:shd w:val="clear" w:color="000000" w:fill="F2F2F2"/>
            <w:noWrap/>
            <w:vAlign w:val="center"/>
            <w:hideMark/>
          </w:tcPr>
          <w:p w14:paraId="31896E74"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$ 18.603</w:t>
            </w:r>
          </w:p>
        </w:tc>
        <w:tc>
          <w:tcPr>
            <w:tcW w:w="1280" w:type="dxa"/>
            <w:tcBorders>
              <w:top w:val="nil"/>
              <w:left w:val="nil"/>
              <w:bottom w:val="single" w:sz="4" w:space="0" w:color="auto"/>
              <w:right w:val="single" w:sz="4" w:space="0" w:color="auto"/>
            </w:tcBorders>
            <w:shd w:val="clear" w:color="000000" w:fill="F2F2F2"/>
            <w:noWrap/>
            <w:vAlign w:val="center"/>
            <w:hideMark/>
          </w:tcPr>
          <w:p w14:paraId="005F34E8"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$ 447.023.065</w:t>
            </w:r>
          </w:p>
        </w:tc>
      </w:tr>
      <w:tr w:rsidR="00B07312" w:rsidRPr="006B48D3" w14:paraId="514A40BA" w14:textId="77777777" w:rsidTr="00D16BC5">
        <w:trPr>
          <w:trHeight w:val="257"/>
        </w:trPr>
        <w:tc>
          <w:tcPr>
            <w:tcW w:w="407" w:type="dxa"/>
            <w:tcBorders>
              <w:top w:val="nil"/>
              <w:left w:val="single" w:sz="4" w:space="0" w:color="auto"/>
              <w:bottom w:val="single" w:sz="4" w:space="0" w:color="auto"/>
              <w:right w:val="single" w:sz="4" w:space="0" w:color="auto"/>
            </w:tcBorders>
            <w:shd w:val="clear" w:color="000000" w:fill="F2F2F2"/>
            <w:noWrap/>
            <w:vAlign w:val="center"/>
            <w:hideMark/>
          </w:tcPr>
          <w:p w14:paraId="66783BAF" w14:textId="77777777" w:rsidR="00B07312" w:rsidRPr="006B48D3" w:rsidRDefault="00B07312" w:rsidP="00D22441">
            <w:pPr>
              <w:jc w:val="center"/>
              <w:rPr>
                <w:rFonts w:ascii="Arial Narrow" w:hAnsi="Arial Narrow" w:cs="Arial"/>
                <w:spacing w:val="0"/>
                <w:sz w:val="16"/>
                <w:szCs w:val="16"/>
                <w:lang w:eastAsia="es-CO"/>
              </w:rPr>
            </w:pPr>
            <w:r w:rsidRPr="006B48D3">
              <w:rPr>
                <w:rFonts w:ascii="Arial Narrow" w:hAnsi="Arial Narrow" w:cs="Arial"/>
                <w:spacing w:val="0"/>
                <w:sz w:val="16"/>
                <w:szCs w:val="16"/>
                <w:lang w:eastAsia="es-CO"/>
              </w:rPr>
              <w:t>57</w:t>
            </w:r>
          </w:p>
        </w:tc>
        <w:tc>
          <w:tcPr>
            <w:tcW w:w="585" w:type="dxa"/>
            <w:tcBorders>
              <w:top w:val="nil"/>
              <w:left w:val="nil"/>
              <w:bottom w:val="single" w:sz="4" w:space="0" w:color="auto"/>
              <w:right w:val="single" w:sz="4" w:space="0" w:color="auto"/>
            </w:tcBorders>
            <w:shd w:val="clear" w:color="000000" w:fill="F2F2F2"/>
            <w:noWrap/>
            <w:vAlign w:val="center"/>
            <w:hideMark/>
          </w:tcPr>
          <w:p w14:paraId="2D9693CC"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522</w:t>
            </w:r>
          </w:p>
        </w:tc>
        <w:tc>
          <w:tcPr>
            <w:tcW w:w="941" w:type="dxa"/>
            <w:tcBorders>
              <w:top w:val="nil"/>
              <w:left w:val="nil"/>
              <w:bottom w:val="single" w:sz="4" w:space="0" w:color="auto"/>
              <w:right w:val="single" w:sz="4" w:space="0" w:color="auto"/>
            </w:tcBorders>
            <w:shd w:val="clear" w:color="000000" w:fill="F2F2F2"/>
            <w:noWrap/>
            <w:vAlign w:val="center"/>
            <w:hideMark/>
          </w:tcPr>
          <w:p w14:paraId="04B0D02E"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890500726</w:t>
            </w:r>
          </w:p>
        </w:tc>
        <w:tc>
          <w:tcPr>
            <w:tcW w:w="3247" w:type="dxa"/>
            <w:tcBorders>
              <w:top w:val="nil"/>
              <w:left w:val="nil"/>
              <w:bottom w:val="single" w:sz="4" w:space="0" w:color="auto"/>
              <w:right w:val="single" w:sz="4" w:space="0" w:color="auto"/>
            </w:tcBorders>
            <w:shd w:val="clear" w:color="000000" w:fill="F2F2F2"/>
            <w:vAlign w:val="center"/>
            <w:hideMark/>
          </w:tcPr>
          <w:p w14:paraId="0E2F2ABD" w14:textId="77777777" w:rsidR="00B07312" w:rsidRPr="006B48D3" w:rsidRDefault="00B07312" w:rsidP="00D22441">
            <w:pPr>
              <w:jc w:val="left"/>
              <w:rPr>
                <w:rFonts w:ascii="Arial Narrow" w:hAnsi="Arial Narrow" w:cs="Arial"/>
                <w:spacing w:val="0"/>
                <w:sz w:val="16"/>
                <w:szCs w:val="16"/>
                <w:lang w:eastAsia="es-CO"/>
              </w:rPr>
            </w:pPr>
            <w:r w:rsidRPr="006B48D3">
              <w:rPr>
                <w:rFonts w:ascii="Arial Narrow" w:hAnsi="Arial Narrow" w:cs="Arial"/>
                <w:spacing w:val="0"/>
                <w:sz w:val="16"/>
                <w:szCs w:val="16"/>
                <w:lang w:eastAsia="es-CO"/>
              </w:rPr>
              <w:t>NORTESANTANDEREANA DE GAS S.A. E.S.P.</w:t>
            </w:r>
          </w:p>
        </w:tc>
        <w:tc>
          <w:tcPr>
            <w:tcW w:w="1620" w:type="dxa"/>
            <w:tcBorders>
              <w:top w:val="nil"/>
              <w:left w:val="nil"/>
              <w:bottom w:val="single" w:sz="4" w:space="0" w:color="auto"/>
              <w:right w:val="single" w:sz="4" w:space="0" w:color="auto"/>
            </w:tcBorders>
            <w:shd w:val="clear" w:color="000000" w:fill="F2F2F2"/>
            <w:noWrap/>
            <w:vAlign w:val="center"/>
            <w:hideMark/>
          </w:tcPr>
          <w:p w14:paraId="428746B6"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$ 24.557.233.000</w:t>
            </w:r>
          </w:p>
        </w:tc>
        <w:tc>
          <w:tcPr>
            <w:tcW w:w="1520" w:type="dxa"/>
            <w:tcBorders>
              <w:top w:val="nil"/>
              <w:left w:val="nil"/>
              <w:bottom w:val="single" w:sz="4" w:space="0" w:color="auto"/>
              <w:right w:val="single" w:sz="4" w:space="0" w:color="auto"/>
            </w:tcBorders>
            <w:shd w:val="clear" w:color="000000" w:fill="F2F2F2"/>
            <w:noWrap/>
            <w:vAlign w:val="center"/>
            <w:hideMark/>
          </w:tcPr>
          <w:p w14:paraId="5AB09AD8"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$ 4.826.767.396</w:t>
            </w:r>
          </w:p>
        </w:tc>
        <w:tc>
          <w:tcPr>
            <w:tcW w:w="1460" w:type="dxa"/>
            <w:tcBorders>
              <w:top w:val="nil"/>
              <w:left w:val="nil"/>
              <w:bottom w:val="single" w:sz="4" w:space="0" w:color="auto"/>
              <w:right w:val="single" w:sz="4" w:space="0" w:color="auto"/>
            </w:tcBorders>
            <w:shd w:val="clear" w:color="000000" w:fill="F2F2F2"/>
            <w:noWrap/>
            <w:vAlign w:val="center"/>
            <w:hideMark/>
          </w:tcPr>
          <w:p w14:paraId="44312B6F"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$ 29.384.000.396</w:t>
            </w:r>
          </w:p>
        </w:tc>
        <w:tc>
          <w:tcPr>
            <w:tcW w:w="1280" w:type="dxa"/>
            <w:tcBorders>
              <w:top w:val="nil"/>
              <w:left w:val="nil"/>
              <w:bottom w:val="single" w:sz="4" w:space="0" w:color="auto"/>
              <w:right w:val="single" w:sz="4" w:space="0" w:color="auto"/>
            </w:tcBorders>
            <w:shd w:val="clear" w:color="000000" w:fill="F2F2F2"/>
            <w:noWrap/>
            <w:vAlign w:val="center"/>
            <w:hideMark/>
          </w:tcPr>
          <w:p w14:paraId="2D5C086F"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$ 293.840.004</w:t>
            </w:r>
          </w:p>
        </w:tc>
        <w:tc>
          <w:tcPr>
            <w:tcW w:w="1200" w:type="dxa"/>
            <w:tcBorders>
              <w:top w:val="nil"/>
              <w:left w:val="nil"/>
              <w:bottom w:val="single" w:sz="4" w:space="0" w:color="auto"/>
              <w:right w:val="single" w:sz="4" w:space="0" w:color="auto"/>
            </w:tcBorders>
            <w:shd w:val="clear" w:color="000000" w:fill="F2F2F2"/>
            <w:noWrap/>
            <w:vAlign w:val="center"/>
            <w:hideMark/>
          </w:tcPr>
          <w:p w14:paraId="3EBC4C43"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$ 12.229</w:t>
            </w:r>
          </w:p>
        </w:tc>
        <w:tc>
          <w:tcPr>
            <w:tcW w:w="1280" w:type="dxa"/>
            <w:tcBorders>
              <w:top w:val="nil"/>
              <w:left w:val="nil"/>
              <w:bottom w:val="single" w:sz="4" w:space="0" w:color="auto"/>
              <w:right w:val="single" w:sz="4" w:space="0" w:color="auto"/>
            </w:tcBorders>
            <w:shd w:val="clear" w:color="000000" w:fill="F2F2F2"/>
            <w:noWrap/>
            <w:vAlign w:val="center"/>
            <w:hideMark/>
          </w:tcPr>
          <w:p w14:paraId="58C67A2F"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$ 293.852.233</w:t>
            </w:r>
          </w:p>
        </w:tc>
      </w:tr>
      <w:tr w:rsidR="00B07312" w:rsidRPr="006B48D3" w14:paraId="4F1F421D" w14:textId="77777777" w:rsidTr="006B48D3">
        <w:trPr>
          <w:trHeight w:val="450"/>
        </w:trPr>
        <w:tc>
          <w:tcPr>
            <w:tcW w:w="407" w:type="dxa"/>
            <w:tcBorders>
              <w:top w:val="nil"/>
              <w:left w:val="single" w:sz="4" w:space="0" w:color="auto"/>
              <w:bottom w:val="single" w:sz="4" w:space="0" w:color="auto"/>
              <w:right w:val="single" w:sz="4" w:space="0" w:color="auto"/>
            </w:tcBorders>
            <w:shd w:val="clear" w:color="000000" w:fill="F2F2F2"/>
            <w:noWrap/>
            <w:vAlign w:val="center"/>
            <w:hideMark/>
          </w:tcPr>
          <w:p w14:paraId="28A20FBD" w14:textId="77777777" w:rsidR="00B07312" w:rsidRPr="006B48D3" w:rsidRDefault="00B07312" w:rsidP="00D22441">
            <w:pPr>
              <w:jc w:val="center"/>
              <w:rPr>
                <w:rFonts w:ascii="Arial Narrow" w:hAnsi="Arial Narrow" w:cs="Arial"/>
                <w:spacing w:val="0"/>
                <w:sz w:val="16"/>
                <w:szCs w:val="16"/>
                <w:lang w:eastAsia="es-CO"/>
              </w:rPr>
            </w:pPr>
            <w:r w:rsidRPr="006B48D3">
              <w:rPr>
                <w:rFonts w:ascii="Arial Narrow" w:hAnsi="Arial Narrow" w:cs="Arial"/>
                <w:spacing w:val="0"/>
                <w:sz w:val="16"/>
                <w:szCs w:val="16"/>
                <w:lang w:eastAsia="es-CO"/>
              </w:rPr>
              <w:t>58</w:t>
            </w:r>
          </w:p>
        </w:tc>
        <w:tc>
          <w:tcPr>
            <w:tcW w:w="585" w:type="dxa"/>
            <w:tcBorders>
              <w:top w:val="nil"/>
              <w:left w:val="nil"/>
              <w:bottom w:val="single" w:sz="4" w:space="0" w:color="auto"/>
              <w:right w:val="single" w:sz="4" w:space="0" w:color="auto"/>
            </w:tcBorders>
            <w:shd w:val="clear" w:color="000000" w:fill="F2F2F2"/>
            <w:noWrap/>
            <w:vAlign w:val="center"/>
            <w:hideMark/>
          </w:tcPr>
          <w:p w14:paraId="6C429C46"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1302</w:t>
            </w:r>
          </w:p>
        </w:tc>
        <w:tc>
          <w:tcPr>
            <w:tcW w:w="941" w:type="dxa"/>
            <w:tcBorders>
              <w:top w:val="nil"/>
              <w:left w:val="nil"/>
              <w:bottom w:val="single" w:sz="4" w:space="0" w:color="auto"/>
              <w:right w:val="single" w:sz="4" w:space="0" w:color="auto"/>
            </w:tcBorders>
            <w:shd w:val="clear" w:color="000000" w:fill="F2F2F2"/>
            <w:noWrap/>
            <w:vAlign w:val="center"/>
            <w:hideMark/>
          </w:tcPr>
          <w:p w14:paraId="527228BB"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890503900</w:t>
            </w:r>
          </w:p>
        </w:tc>
        <w:tc>
          <w:tcPr>
            <w:tcW w:w="3247" w:type="dxa"/>
            <w:tcBorders>
              <w:top w:val="nil"/>
              <w:left w:val="nil"/>
              <w:bottom w:val="single" w:sz="4" w:space="0" w:color="auto"/>
              <w:right w:val="single" w:sz="4" w:space="0" w:color="auto"/>
            </w:tcBorders>
            <w:shd w:val="clear" w:color="000000" w:fill="F2F2F2"/>
            <w:vAlign w:val="center"/>
            <w:hideMark/>
          </w:tcPr>
          <w:p w14:paraId="00917F28" w14:textId="77777777" w:rsidR="00B07312" w:rsidRPr="006B48D3" w:rsidRDefault="00B07312" w:rsidP="00D22441">
            <w:pPr>
              <w:jc w:val="left"/>
              <w:rPr>
                <w:rFonts w:ascii="Arial Narrow" w:hAnsi="Arial Narrow" w:cs="Arial"/>
                <w:spacing w:val="0"/>
                <w:sz w:val="16"/>
                <w:szCs w:val="16"/>
                <w:lang w:eastAsia="es-CO"/>
              </w:rPr>
            </w:pPr>
            <w:r w:rsidRPr="006B48D3">
              <w:rPr>
                <w:rFonts w:ascii="Arial Narrow" w:hAnsi="Arial Narrow" w:cs="Arial"/>
                <w:spacing w:val="0"/>
                <w:sz w:val="16"/>
                <w:szCs w:val="16"/>
                <w:lang w:eastAsia="es-CO"/>
              </w:rPr>
              <w:t>GASES DEL ORIENTE S.A.  EMPRESA DE SERVICIOS PUBLICOS DOMICILIARIOS</w:t>
            </w:r>
          </w:p>
        </w:tc>
        <w:tc>
          <w:tcPr>
            <w:tcW w:w="1620" w:type="dxa"/>
            <w:tcBorders>
              <w:top w:val="nil"/>
              <w:left w:val="nil"/>
              <w:bottom w:val="single" w:sz="4" w:space="0" w:color="auto"/>
              <w:right w:val="single" w:sz="4" w:space="0" w:color="auto"/>
            </w:tcBorders>
            <w:shd w:val="clear" w:color="000000" w:fill="F2F2F2"/>
            <w:noWrap/>
            <w:vAlign w:val="center"/>
            <w:hideMark/>
          </w:tcPr>
          <w:p w14:paraId="68C7C040"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$ 6.213.918.000</w:t>
            </w:r>
          </w:p>
        </w:tc>
        <w:tc>
          <w:tcPr>
            <w:tcW w:w="1520" w:type="dxa"/>
            <w:tcBorders>
              <w:top w:val="nil"/>
              <w:left w:val="nil"/>
              <w:bottom w:val="single" w:sz="4" w:space="0" w:color="auto"/>
              <w:right w:val="single" w:sz="4" w:space="0" w:color="auto"/>
            </w:tcBorders>
            <w:shd w:val="clear" w:color="000000" w:fill="F2F2F2"/>
            <w:noWrap/>
            <w:vAlign w:val="center"/>
            <w:hideMark/>
          </w:tcPr>
          <w:p w14:paraId="52274339"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$ 616.906.362</w:t>
            </w:r>
          </w:p>
        </w:tc>
        <w:tc>
          <w:tcPr>
            <w:tcW w:w="1460" w:type="dxa"/>
            <w:tcBorders>
              <w:top w:val="nil"/>
              <w:left w:val="nil"/>
              <w:bottom w:val="single" w:sz="4" w:space="0" w:color="auto"/>
              <w:right w:val="single" w:sz="4" w:space="0" w:color="auto"/>
            </w:tcBorders>
            <w:shd w:val="clear" w:color="000000" w:fill="F2F2F2"/>
            <w:noWrap/>
            <w:vAlign w:val="center"/>
            <w:hideMark/>
          </w:tcPr>
          <w:p w14:paraId="474ABD32"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$ 6.830.824.362</w:t>
            </w:r>
          </w:p>
        </w:tc>
        <w:tc>
          <w:tcPr>
            <w:tcW w:w="1280" w:type="dxa"/>
            <w:tcBorders>
              <w:top w:val="nil"/>
              <w:left w:val="nil"/>
              <w:bottom w:val="single" w:sz="4" w:space="0" w:color="auto"/>
              <w:right w:val="single" w:sz="4" w:space="0" w:color="auto"/>
            </w:tcBorders>
            <w:shd w:val="clear" w:color="000000" w:fill="F2F2F2"/>
            <w:noWrap/>
            <w:vAlign w:val="center"/>
            <w:hideMark/>
          </w:tcPr>
          <w:p w14:paraId="1948F8B0"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$ 68.308.244</w:t>
            </w:r>
          </w:p>
        </w:tc>
        <w:tc>
          <w:tcPr>
            <w:tcW w:w="1200" w:type="dxa"/>
            <w:tcBorders>
              <w:top w:val="nil"/>
              <w:left w:val="nil"/>
              <w:bottom w:val="single" w:sz="4" w:space="0" w:color="auto"/>
              <w:right w:val="single" w:sz="4" w:space="0" w:color="auto"/>
            </w:tcBorders>
            <w:shd w:val="clear" w:color="000000" w:fill="F2F2F2"/>
            <w:noWrap/>
            <w:vAlign w:val="center"/>
            <w:hideMark/>
          </w:tcPr>
          <w:p w14:paraId="1F794365"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$ 2.843</w:t>
            </w:r>
          </w:p>
        </w:tc>
        <w:tc>
          <w:tcPr>
            <w:tcW w:w="1280" w:type="dxa"/>
            <w:tcBorders>
              <w:top w:val="nil"/>
              <w:left w:val="nil"/>
              <w:bottom w:val="single" w:sz="4" w:space="0" w:color="auto"/>
              <w:right w:val="single" w:sz="4" w:space="0" w:color="auto"/>
            </w:tcBorders>
            <w:shd w:val="clear" w:color="000000" w:fill="F2F2F2"/>
            <w:noWrap/>
            <w:vAlign w:val="center"/>
            <w:hideMark/>
          </w:tcPr>
          <w:p w14:paraId="0A1B29CD"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$ 68.311.086</w:t>
            </w:r>
          </w:p>
        </w:tc>
      </w:tr>
      <w:tr w:rsidR="00B07312" w:rsidRPr="006B48D3" w14:paraId="77F88D5F" w14:textId="77777777" w:rsidTr="006B48D3">
        <w:trPr>
          <w:trHeight w:val="440"/>
        </w:trPr>
        <w:tc>
          <w:tcPr>
            <w:tcW w:w="407" w:type="dxa"/>
            <w:tcBorders>
              <w:top w:val="nil"/>
              <w:left w:val="single" w:sz="4" w:space="0" w:color="auto"/>
              <w:bottom w:val="single" w:sz="4" w:space="0" w:color="auto"/>
              <w:right w:val="single" w:sz="4" w:space="0" w:color="auto"/>
            </w:tcBorders>
            <w:shd w:val="clear" w:color="000000" w:fill="F2F2F2"/>
            <w:noWrap/>
            <w:vAlign w:val="center"/>
            <w:hideMark/>
          </w:tcPr>
          <w:p w14:paraId="7D38258D" w14:textId="77777777" w:rsidR="00B07312" w:rsidRPr="006B48D3" w:rsidRDefault="00B07312" w:rsidP="00D22441">
            <w:pPr>
              <w:jc w:val="center"/>
              <w:rPr>
                <w:rFonts w:ascii="Arial Narrow" w:hAnsi="Arial Narrow" w:cs="Arial"/>
                <w:spacing w:val="0"/>
                <w:sz w:val="16"/>
                <w:szCs w:val="16"/>
                <w:lang w:eastAsia="es-CO"/>
              </w:rPr>
            </w:pPr>
            <w:r w:rsidRPr="006B48D3">
              <w:rPr>
                <w:rFonts w:ascii="Arial Narrow" w:hAnsi="Arial Narrow" w:cs="Arial"/>
                <w:spacing w:val="0"/>
                <w:sz w:val="16"/>
                <w:szCs w:val="16"/>
                <w:lang w:eastAsia="es-CO"/>
              </w:rPr>
              <w:t>59</w:t>
            </w:r>
          </w:p>
        </w:tc>
        <w:tc>
          <w:tcPr>
            <w:tcW w:w="585" w:type="dxa"/>
            <w:tcBorders>
              <w:top w:val="nil"/>
              <w:left w:val="nil"/>
              <w:bottom w:val="single" w:sz="4" w:space="0" w:color="auto"/>
              <w:right w:val="single" w:sz="4" w:space="0" w:color="auto"/>
            </w:tcBorders>
            <w:shd w:val="clear" w:color="000000" w:fill="F2F2F2"/>
            <w:noWrap/>
            <w:vAlign w:val="center"/>
            <w:hideMark/>
          </w:tcPr>
          <w:p w14:paraId="6E059C50"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1713</w:t>
            </w:r>
          </w:p>
        </w:tc>
        <w:tc>
          <w:tcPr>
            <w:tcW w:w="941" w:type="dxa"/>
            <w:tcBorders>
              <w:top w:val="nil"/>
              <w:left w:val="nil"/>
              <w:bottom w:val="single" w:sz="4" w:space="0" w:color="auto"/>
              <w:right w:val="single" w:sz="4" w:space="0" w:color="auto"/>
            </w:tcBorders>
            <w:shd w:val="clear" w:color="000000" w:fill="F2F2F2"/>
            <w:noWrap/>
            <w:vAlign w:val="center"/>
            <w:hideMark/>
          </w:tcPr>
          <w:p w14:paraId="684AA045"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890600185</w:t>
            </w:r>
          </w:p>
        </w:tc>
        <w:tc>
          <w:tcPr>
            <w:tcW w:w="3247" w:type="dxa"/>
            <w:tcBorders>
              <w:top w:val="nil"/>
              <w:left w:val="nil"/>
              <w:bottom w:val="single" w:sz="4" w:space="0" w:color="auto"/>
              <w:right w:val="single" w:sz="4" w:space="0" w:color="auto"/>
            </w:tcBorders>
            <w:shd w:val="clear" w:color="000000" w:fill="F2F2F2"/>
            <w:vAlign w:val="center"/>
            <w:hideMark/>
          </w:tcPr>
          <w:p w14:paraId="11F376F9" w14:textId="77777777" w:rsidR="00B07312" w:rsidRPr="006B48D3" w:rsidRDefault="00B07312" w:rsidP="00D22441">
            <w:pPr>
              <w:jc w:val="left"/>
              <w:rPr>
                <w:rFonts w:ascii="Arial Narrow" w:hAnsi="Arial Narrow" w:cs="Arial"/>
                <w:spacing w:val="0"/>
                <w:sz w:val="16"/>
                <w:szCs w:val="16"/>
                <w:lang w:eastAsia="es-CO"/>
              </w:rPr>
            </w:pPr>
            <w:r w:rsidRPr="006B48D3">
              <w:rPr>
                <w:rFonts w:ascii="Arial Narrow" w:hAnsi="Arial Narrow" w:cs="Arial"/>
                <w:spacing w:val="0"/>
                <w:sz w:val="16"/>
                <w:szCs w:val="16"/>
                <w:lang w:eastAsia="es-CO"/>
              </w:rPr>
              <w:t>INTERMUNICIPAL DE GAS S.A. E.S.P.</w:t>
            </w:r>
          </w:p>
        </w:tc>
        <w:tc>
          <w:tcPr>
            <w:tcW w:w="1620" w:type="dxa"/>
            <w:tcBorders>
              <w:top w:val="nil"/>
              <w:left w:val="nil"/>
              <w:bottom w:val="single" w:sz="4" w:space="0" w:color="auto"/>
              <w:right w:val="single" w:sz="4" w:space="0" w:color="auto"/>
            </w:tcBorders>
            <w:shd w:val="clear" w:color="000000" w:fill="F2F2F2"/>
            <w:noWrap/>
            <w:vAlign w:val="center"/>
            <w:hideMark/>
          </w:tcPr>
          <w:p w14:paraId="4427E441"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$ 118.421.000</w:t>
            </w:r>
          </w:p>
        </w:tc>
        <w:tc>
          <w:tcPr>
            <w:tcW w:w="1520" w:type="dxa"/>
            <w:tcBorders>
              <w:top w:val="nil"/>
              <w:left w:val="nil"/>
              <w:bottom w:val="single" w:sz="4" w:space="0" w:color="auto"/>
              <w:right w:val="single" w:sz="4" w:space="0" w:color="auto"/>
            </w:tcBorders>
            <w:shd w:val="clear" w:color="000000" w:fill="F2F2F2"/>
            <w:noWrap/>
            <w:vAlign w:val="center"/>
            <w:hideMark/>
          </w:tcPr>
          <w:p w14:paraId="496C7B7D"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$ 0</w:t>
            </w:r>
          </w:p>
        </w:tc>
        <w:tc>
          <w:tcPr>
            <w:tcW w:w="1460" w:type="dxa"/>
            <w:tcBorders>
              <w:top w:val="nil"/>
              <w:left w:val="nil"/>
              <w:bottom w:val="single" w:sz="4" w:space="0" w:color="auto"/>
              <w:right w:val="single" w:sz="4" w:space="0" w:color="auto"/>
            </w:tcBorders>
            <w:shd w:val="clear" w:color="000000" w:fill="F2F2F2"/>
            <w:noWrap/>
            <w:vAlign w:val="center"/>
            <w:hideMark/>
          </w:tcPr>
          <w:p w14:paraId="61CA3723"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$ 118.421.000</w:t>
            </w:r>
          </w:p>
        </w:tc>
        <w:tc>
          <w:tcPr>
            <w:tcW w:w="1280" w:type="dxa"/>
            <w:tcBorders>
              <w:top w:val="nil"/>
              <w:left w:val="nil"/>
              <w:bottom w:val="single" w:sz="4" w:space="0" w:color="auto"/>
              <w:right w:val="single" w:sz="4" w:space="0" w:color="auto"/>
            </w:tcBorders>
            <w:shd w:val="clear" w:color="000000" w:fill="F2F2F2"/>
            <w:noWrap/>
            <w:vAlign w:val="center"/>
            <w:hideMark/>
          </w:tcPr>
          <w:p w14:paraId="25B2138E"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$ 1.184.210</w:t>
            </w:r>
          </w:p>
        </w:tc>
        <w:tc>
          <w:tcPr>
            <w:tcW w:w="1200" w:type="dxa"/>
            <w:tcBorders>
              <w:top w:val="nil"/>
              <w:left w:val="nil"/>
              <w:bottom w:val="single" w:sz="4" w:space="0" w:color="auto"/>
              <w:right w:val="single" w:sz="4" w:space="0" w:color="auto"/>
            </w:tcBorders>
            <w:shd w:val="clear" w:color="000000" w:fill="F2F2F2"/>
            <w:noWrap/>
            <w:vAlign w:val="center"/>
            <w:hideMark/>
          </w:tcPr>
          <w:p w14:paraId="3BA50042"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$ 49</w:t>
            </w:r>
          </w:p>
        </w:tc>
        <w:tc>
          <w:tcPr>
            <w:tcW w:w="1280" w:type="dxa"/>
            <w:tcBorders>
              <w:top w:val="nil"/>
              <w:left w:val="nil"/>
              <w:bottom w:val="single" w:sz="4" w:space="0" w:color="auto"/>
              <w:right w:val="single" w:sz="4" w:space="0" w:color="auto"/>
            </w:tcBorders>
            <w:shd w:val="clear" w:color="000000" w:fill="F2F2F2"/>
            <w:noWrap/>
            <w:vAlign w:val="center"/>
            <w:hideMark/>
          </w:tcPr>
          <w:p w14:paraId="4407BD5E"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$ 1.184.259</w:t>
            </w:r>
          </w:p>
        </w:tc>
      </w:tr>
      <w:tr w:rsidR="00B07312" w:rsidRPr="006B48D3" w14:paraId="5E6B579F" w14:textId="77777777" w:rsidTr="00D16BC5">
        <w:trPr>
          <w:trHeight w:val="401"/>
        </w:trPr>
        <w:tc>
          <w:tcPr>
            <w:tcW w:w="407" w:type="dxa"/>
            <w:tcBorders>
              <w:top w:val="nil"/>
              <w:left w:val="single" w:sz="4" w:space="0" w:color="auto"/>
              <w:bottom w:val="single" w:sz="4" w:space="0" w:color="auto"/>
              <w:right w:val="single" w:sz="4" w:space="0" w:color="auto"/>
            </w:tcBorders>
            <w:shd w:val="clear" w:color="000000" w:fill="F2F2F2"/>
            <w:noWrap/>
            <w:vAlign w:val="center"/>
            <w:hideMark/>
          </w:tcPr>
          <w:p w14:paraId="155467A1" w14:textId="77777777" w:rsidR="00B07312" w:rsidRPr="006B48D3" w:rsidRDefault="00B07312" w:rsidP="00D22441">
            <w:pPr>
              <w:jc w:val="center"/>
              <w:rPr>
                <w:rFonts w:ascii="Arial Narrow" w:hAnsi="Arial Narrow" w:cs="Arial"/>
                <w:spacing w:val="0"/>
                <w:sz w:val="16"/>
                <w:szCs w:val="16"/>
                <w:lang w:eastAsia="es-CO"/>
              </w:rPr>
            </w:pPr>
            <w:r w:rsidRPr="006B48D3">
              <w:rPr>
                <w:rFonts w:ascii="Arial Narrow" w:hAnsi="Arial Narrow" w:cs="Arial"/>
                <w:spacing w:val="0"/>
                <w:sz w:val="16"/>
                <w:szCs w:val="16"/>
                <w:lang w:eastAsia="es-CO"/>
              </w:rPr>
              <w:t>60</w:t>
            </w:r>
          </w:p>
        </w:tc>
        <w:tc>
          <w:tcPr>
            <w:tcW w:w="585" w:type="dxa"/>
            <w:tcBorders>
              <w:top w:val="nil"/>
              <w:left w:val="nil"/>
              <w:bottom w:val="single" w:sz="4" w:space="0" w:color="auto"/>
              <w:right w:val="single" w:sz="4" w:space="0" w:color="auto"/>
            </w:tcBorders>
            <w:shd w:val="clear" w:color="000000" w:fill="F2F2F2"/>
            <w:noWrap/>
            <w:vAlign w:val="center"/>
            <w:hideMark/>
          </w:tcPr>
          <w:p w14:paraId="6218578A"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1195</w:t>
            </w:r>
          </w:p>
        </w:tc>
        <w:tc>
          <w:tcPr>
            <w:tcW w:w="941" w:type="dxa"/>
            <w:tcBorders>
              <w:top w:val="nil"/>
              <w:left w:val="nil"/>
              <w:bottom w:val="single" w:sz="4" w:space="0" w:color="auto"/>
              <w:right w:val="single" w:sz="4" w:space="0" w:color="auto"/>
            </w:tcBorders>
            <w:shd w:val="clear" w:color="000000" w:fill="F2F2F2"/>
            <w:noWrap/>
            <w:vAlign w:val="center"/>
            <w:hideMark/>
          </w:tcPr>
          <w:p w14:paraId="5AE330FB"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890701766</w:t>
            </w:r>
          </w:p>
        </w:tc>
        <w:tc>
          <w:tcPr>
            <w:tcW w:w="3247" w:type="dxa"/>
            <w:tcBorders>
              <w:top w:val="nil"/>
              <w:left w:val="nil"/>
              <w:bottom w:val="single" w:sz="4" w:space="0" w:color="auto"/>
              <w:right w:val="single" w:sz="4" w:space="0" w:color="auto"/>
            </w:tcBorders>
            <w:shd w:val="clear" w:color="000000" w:fill="F2F2F2"/>
            <w:vAlign w:val="center"/>
            <w:hideMark/>
          </w:tcPr>
          <w:p w14:paraId="58DB03F2" w14:textId="77777777" w:rsidR="00B07312" w:rsidRPr="006B48D3" w:rsidRDefault="00B07312" w:rsidP="00D22441">
            <w:pPr>
              <w:jc w:val="left"/>
              <w:rPr>
                <w:rFonts w:ascii="Arial Narrow" w:hAnsi="Arial Narrow" w:cs="Arial"/>
                <w:spacing w:val="0"/>
                <w:sz w:val="16"/>
                <w:szCs w:val="16"/>
                <w:lang w:eastAsia="es-CO"/>
              </w:rPr>
            </w:pPr>
            <w:r w:rsidRPr="006B48D3">
              <w:rPr>
                <w:rFonts w:ascii="Arial Narrow" w:hAnsi="Arial Narrow" w:cs="Arial"/>
                <w:spacing w:val="0"/>
                <w:sz w:val="16"/>
                <w:szCs w:val="16"/>
                <w:lang w:eastAsia="es-CO"/>
              </w:rPr>
              <w:t>ENVASADORA DE GAS DE PUERTO SALGAR S.A. EMPRESA DE SERVICIOS PUBLICOS</w:t>
            </w:r>
          </w:p>
        </w:tc>
        <w:tc>
          <w:tcPr>
            <w:tcW w:w="1620" w:type="dxa"/>
            <w:tcBorders>
              <w:top w:val="nil"/>
              <w:left w:val="nil"/>
              <w:bottom w:val="single" w:sz="4" w:space="0" w:color="auto"/>
              <w:right w:val="single" w:sz="4" w:space="0" w:color="auto"/>
            </w:tcBorders>
            <w:shd w:val="clear" w:color="000000" w:fill="F2F2F2"/>
            <w:noWrap/>
            <w:vAlign w:val="center"/>
            <w:hideMark/>
          </w:tcPr>
          <w:p w14:paraId="653330EE"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$ 724.832.295</w:t>
            </w:r>
          </w:p>
        </w:tc>
        <w:tc>
          <w:tcPr>
            <w:tcW w:w="1520" w:type="dxa"/>
            <w:tcBorders>
              <w:top w:val="nil"/>
              <w:left w:val="nil"/>
              <w:bottom w:val="single" w:sz="4" w:space="0" w:color="auto"/>
              <w:right w:val="single" w:sz="4" w:space="0" w:color="auto"/>
            </w:tcBorders>
            <w:shd w:val="clear" w:color="000000" w:fill="F2F2F2"/>
            <w:noWrap/>
            <w:vAlign w:val="center"/>
            <w:hideMark/>
          </w:tcPr>
          <w:p w14:paraId="77E90861"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$ 52.992.244</w:t>
            </w:r>
          </w:p>
        </w:tc>
        <w:tc>
          <w:tcPr>
            <w:tcW w:w="1460" w:type="dxa"/>
            <w:tcBorders>
              <w:top w:val="nil"/>
              <w:left w:val="nil"/>
              <w:bottom w:val="single" w:sz="4" w:space="0" w:color="auto"/>
              <w:right w:val="single" w:sz="4" w:space="0" w:color="auto"/>
            </w:tcBorders>
            <w:shd w:val="clear" w:color="000000" w:fill="F2F2F2"/>
            <w:noWrap/>
            <w:vAlign w:val="center"/>
            <w:hideMark/>
          </w:tcPr>
          <w:p w14:paraId="41F35CFC"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$ 777.824.539</w:t>
            </w:r>
          </w:p>
        </w:tc>
        <w:tc>
          <w:tcPr>
            <w:tcW w:w="1280" w:type="dxa"/>
            <w:tcBorders>
              <w:top w:val="nil"/>
              <w:left w:val="nil"/>
              <w:bottom w:val="single" w:sz="4" w:space="0" w:color="auto"/>
              <w:right w:val="single" w:sz="4" w:space="0" w:color="auto"/>
            </w:tcBorders>
            <w:shd w:val="clear" w:color="000000" w:fill="F2F2F2"/>
            <w:noWrap/>
            <w:vAlign w:val="center"/>
            <w:hideMark/>
          </w:tcPr>
          <w:p w14:paraId="3043112E"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$ 7.778.245</w:t>
            </w:r>
          </w:p>
        </w:tc>
        <w:tc>
          <w:tcPr>
            <w:tcW w:w="1200" w:type="dxa"/>
            <w:tcBorders>
              <w:top w:val="nil"/>
              <w:left w:val="nil"/>
              <w:bottom w:val="single" w:sz="4" w:space="0" w:color="auto"/>
              <w:right w:val="single" w:sz="4" w:space="0" w:color="auto"/>
            </w:tcBorders>
            <w:shd w:val="clear" w:color="000000" w:fill="F2F2F2"/>
            <w:noWrap/>
            <w:vAlign w:val="center"/>
            <w:hideMark/>
          </w:tcPr>
          <w:p w14:paraId="17F6DF31"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$ 324</w:t>
            </w:r>
          </w:p>
        </w:tc>
        <w:tc>
          <w:tcPr>
            <w:tcW w:w="1280" w:type="dxa"/>
            <w:tcBorders>
              <w:top w:val="nil"/>
              <w:left w:val="nil"/>
              <w:bottom w:val="single" w:sz="4" w:space="0" w:color="auto"/>
              <w:right w:val="single" w:sz="4" w:space="0" w:color="auto"/>
            </w:tcBorders>
            <w:shd w:val="clear" w:color="000000" w:fill="F2F2F2"/>
            <w:noWrap/>
            <w:vAlign w:val="center"/>
            <w:hideMark/>
          </w:tcPr>
          <w:p w14:paraId="74DD073B"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$ 7.778.569</w:t>
            </w:r>
          </w:p>
        </w:tc>
      </w:tr>
      <w:tr w:rsidR="00B07312" w:rsidRPr="006B48D3" w14:paraId="28881AE2" w14:textId="77777777" w:rsidTr="00D16BC5">
        <w:trPr>
          <w:trHeight w:val="267"/>
        </w:trPr>
        <w:tc>
          <w:tcPr>
            <w:tcW w:w="407" w:type="dxa"/>
            <w:tcBorders>
              <w:top w:val="nil"/>
              <w:left w:val="single" w:sz="4" w:space="0" w:color="auto"/>
              <w:bottom w:val="single" w:sz="4" w:space="0" w:color="auto"/>
              <w:right w:val="single" w:sz="4" w:space="0" w:color="auto"/>
            </w:tcBorders>
            <w:shd w:val="clear" w:color="000000" w:fill="F2F2F2"/>
            <w:noWrap/>
            <w:vAlign w:val="center"/>
            <w:hideMark/>
          </w:tcPr>
          <w:p w14:paraId="570D4BE6" w14:textId="77777777" w:rsidR="00B07312" w:rsidRPr="006B48D3" w:rsidRDefault="00B07312" w:rsidP="00D22441">
            <w:pPr>
              <w:jc w:val="center"/>
              <w:rPr>
                <w:rFonts w:ascii="Arial Narrow" w:hAnsi="Arial Narrow" w:cs="Arial"/>
                <w:spacing w:val="0"/>
                <w:sz w:val="16"/>
                <w:szCs w:val="16"/>
                <w:lang w:eastAsia="es-CO"/>
              </w:rPr>
            </w:pPr>
            <w:r w:rsidRPr="006B48D3">
              <w:rPr>
                <w:rFonts w:ascii="Arial Narrow" w:hAnsi="Arial Narrow" w:cs="Arial"/>
                <w:spacing w:val="0"/>
                <w:sz w:val="16"/>
                <w:szCs w:val="16"/>
                <w:lang w:eastAsia="es-CO"/>
              </w:rPr>
              <w:t>61</w:t>
            </w:r>
          </w:p>
        </w:tc>
        <w:tc>
          <w:tcPr>
            <w:tcW w:w="585" w:type="dxa"/>
            <w:tcBorders>
              <w:top w:val="nil"/>
              <w:left w:val="nil"/>
              <w:bottom w:val="single" w:sz="4" w:space="0" w:color="auto"/>
              <w:right w:val="single" w:sz="4" w:space="0" w:color="auto"/>
            </w:tcBorders>
            <w:shd w:val="clear" w:color="000000" w:fill="F2F2F2"/>
            <w:noWrap/>
            <w:vAlign w:val="center"/>
            <w:hideMark/>
          </w:tcPr>
          <w:p w14:paraId="342587EE"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618</w:t>
            </w:r>
          </w:p>
        </w:tc>
        <w:tc>
          <w:tcPr>
            <w:tcW w:w="941" w:type="dxa"/>
            <w:tcBorders>
              <w:top w:val="nil"/>
              <w:left w:val="nil"/>
              <w:bottom w:val="single" w:sz="4" w:space="0" w:color="auto"/>
              <w:right w:val="single" w:sz="4" w:space="0" w:color="auto"/>
            </w:tcBorders>
            <w:shd w:val="clear" w:color="000000" w:fill="F2F2F2"/>
            <w:noWrap/>
            <w:vAlign w:val="center"/>
            <w:hideMark/>
          </w:tcPr>
          <w:p w14:paraId="1EDC72FB"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891101577</w:t>
            </w:r>
          </w:p>
        </w:tc>
        <w:tc>
          <w:tcPr>
            <w:tcW w:w="3247" w:type="dxa"/>
            <w:tcBorders>
              <w:top w:val="nil"/>
              <w:left w:val="nil"/>
              <w:bottom w:val="single" w:sz="4" w:space="0" w:color="auto"/>
              <w:right w:val="single" w:sz="4" w:space="0" w:color="auto"/>
            </w:tcBorders>
            <w:shd w:val="clear" w:color="000000" w:fill="F2F2F2"/>
            <w:vAlign w:val="center"/>
            <w:hideMark/>
          </w:tcPr>
          <w:p w14:paraId="0A33BF89" w14:textId="77777777" w:rsidR="00B07312" w:rsidRPr="006B48D3" w:rsidRDefault="00B07312" w:rsidP="00D22441">
            <w:pPr>
              <w:jc w:val="left"/>
              <w:rPr>
                <w:rFonts w:ascii="Arial Narrow" w:hAnsi="Arial Narrow" w:cs="Arial"/>
                <w:spacing w:val="0"/>
                <w:sz w:val="16"/>
                <w:szCs w:val="16"/>
                <w:lang w:eastAsia="es-CO"/>
              </w:rPr>
            </w:pPr>
            <w:r w:rsidRPr="006B48D3">
              <w:rPr>
                <w:rFonts w:ascii="Arial Narrow" w:hAnsi="Arial Narrow" w:cs="Arial"/>
                <w:spacing w:val="0"/>
                <w:sz w:val="16"/>
                <w:szCs w:val="16"/>
                <w:lang w:eastAsia="es-CO"/>
              </w:rPr>
              <w:t>ALCANOS DE COLOMBIA S.A. E.S.P.</w:t>
            </w:r>
          </w:p>
        </w:tc>
        <w:tc>
          <w:tcPr>
            <w:tcW w:w="1620" w:type="dxa"/>
            <w:tcBorders>
              <w:top w:val="nil"/>
              <w:left w:val="nil"/>
              <w:bottom w:val="single" w:sz="4" w:space="0" w:color="auto"/>
              <w:right w:val="single" w:sz="4" w:space="0" w:color="auto"/>
            </w:tcBorders>
            <w:shd w:val="clear" w:color="000000" w:fill="F2F2F2"/>
            <w:noWrap/>
            <w:vAlign w:val="center"/>
            <w:hideMark/>
          </w:tcPr>
          <w:p w14:paraId="7E478EA8"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$ 23.474.138.000</w:t>
            </w:r>
          </w:p>
        </w:tc>
        <w:tc>
          <w:tcPr>
            <w:tcW w:w="1520" w:type="dxa"/>
            <w:tcBorders>
              <w:top w:val="nil"/>
              <w:left w:val="nil"/>
              <w:bottom w:val="single" w:sz="4" w:space="0" w:color="auto"/>
              <w:right w:val="single" w:sz="4" w:space="0" w:color="auto"/>
            </w:tcBorders>
            <w:shd w:val="clear" w:color="000000" w:fill="F2F2F2"/>
            <w:noWrap/>
            <w:vAlign w:val="center"/>
            <w:hideMark/>
          </w:tcPr>
          <w:p w14:paraId="1A38C376"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$ 2.862.345.425</w:t>
            </w:r>
          </w:p>
        </w:tc>
        <w:tc>
          <w:tcPr>
            <w:tcW w:w="1460" w:type="dxa"/>
            <w:tcBorders>
              <w:top w:val="nil"/>
              <w:left w:val="nil"/>
              <w:bottom w:val="single" w:sz="4" w:space="0" w:color="auto"/>
              <w:right w:val="single" w:sz="4" w:space="0" w:color="auto"/>
            </w:tcBorders>
            <w:shd w:val="clear" w:color="000000" w:fill="F2F2F2"/>
            <w:noWrap/>
            <w:vAlign w:val="center"/>
            <w:hideMark/>
          </w:tcPr>
          <w:p w14:paraId="0EAF463C"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$ 26.336.483.425</w:t>
            </w:r>
          </w:p>
        </w:tc>
        <w:tc>
          <w:tcPr>
            <w:tcW w:w="1280" w:type="dxa"/>
            <w:tcBorders>
              <w:top w:val="nil"/>
              <w:left w:val="nil"/>
              <w:bottom w:val="single" w:sz="4" w:space="0" w:color="auto"/>
              <w:right w:val="single" w:sz="4" w:space="0" w:color="auto"/>
            </w:tcBorders>
            <w:shd w:val="clear" w:color="000000" w:fill="F2F2F2"/>
            <w:noWrap/>
            <w:vAlign w:val="center"/>
            <w:hideMark/>
          </w:tcPr>
          <w:p w14:paraId="75262065"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$ 263.364.834</w:t>
            </w:r>
          </w:p>
        </w:tc>
        <w:tc>
          <w:tcPr>
            <w:tcW w:w="1200" w:type="dxa"/>
            <w:tcBorders>
              <w:top w:val="nil"/>
              <w:left w:val="nil"/>
              <w:bottom w:val="single" w:sz="4" w:space="0" w:color="auto"/>
              <w:right w:val="single" w:sz="4" w:space="0" w:color="auto"/>
            </w:tcBorders>
            <w:shd w:val="clear" w:color="000000" w:fill="F2F2F2"/>
            <w:noWrap/>
            <w:vAlign w:val="center"/>
            <w:hideMark/>
          </w:tcPr>
          <w:p w14:paraId="52B5B029"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$ 10.960</w:t>
            </w:r>
          </w:p>
        </w:tc>
        <w:tc>
          <w:tcPr>
            <w:tcW w:w="1280" w:type="dxa"/>
            <w:tcBorders>
              <w:top w:val="nil"/>
              <w:left w:val="nil"/>
              <w:bottom w:val="single" w:sz="4" w:space="0" w:color="auto"/>
              <w:right w:val="single" w:sz="4" w:space="0" w:color="auto"/>
            </w:tcBorders>
            <w:shd w:val="clear" w:color="000000" w:fill="F2F2F2"/>
            <w:noWrap/>
            <w:vAlign w:val="center"/>
            <w:hideMark/>
          </w:tcPr>
          <w:p w14:paraId="1F33FD46"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$ 263.375.795</w:t>
            </w:r>
          </w:p>
        </w:tc>
      </w:tr>
      <w:tr w:rsidR="00B07312" w:rsidRPr="006B48D3" w14:paraId="1E04AB02" w14:textId="77777777" w:rsidTr="006B48D3">
        <w:trPr>
          <w:trHeight w:val="286"/>
        </w:trPr>
        <w:tc>
          <w:tcPr>
            <w:tcW w:w="407" w:type="dxa"/>
            <w:tcBorders>
              <w:top w:val="nil"/>
              <w:left w:val="single" w:sz="4" w:space="0" w:color="auto"/>
              <w:bottom w:val="single" w:sz="4" w:space="0" w:color="auto"/>
              <w:right w:val="single" w:sz="4" w:space="0" w:color="auto"/>
            </w:tcBorders>
            <w:shd w:val="clear" w:color="000000" w:fill="F2F2F2"/>
            <w:noWrap/>
            <w:vAlign w:val="center"/>
            <w:hideMark/>
          </w:tcPr>
          <w:p w14:paraId="087C0947" w14:textId="77777777" w:rsidR="00B07312" w:rsidRPr="006B48D3" w:rsidRDefault="00B07312" w:rsidP="00D22441">
            <w:pPr>
              <w:jc w:val="center"/>
              <w:rPr>
                <w:rFonts w:ascii="Arial Narrow" w:hAnsi="Arial Narrow" w:cs="Arial"/>
                <w:spacing w:val="0"/>
                <w:sz w:val="16"/>
                <w:szCs w:val="16"/>
                <w:lang w:eastAsia="es-CO"/>
              </w:rPr>
            </w:pPr>
            <w:r w:rsidRPr="006B48D3">
              <w:rPr>
                <w:rFonts w:ascii="Arial Narrow" w:hAnsi="Arial Narrow" w:cs="Arial"/>
                <w:spacing w:val="0"/>
                <w:sz w:val="16"/>
                <w:szCs w:val="16"/>
                <w:lang w:eastAsia="es-CO"/>
              </w:rPr>
              <w:t>62</w:t>
            </w:r>
          </w:p>
        </w:tc>
        <w:tc>
          <w:tcPr>
            <w:tcW w:w="585" w:type="dxa"/>
            <w:tcBorders>
              <w:top w:val="nil"/>
              <w:left w:val="nil"/>
              <w:bottom w:val="single" w:sz="4" w:space="0" w:color="auto"/>
              <w:right w:val="single" w:sz="4" w:space="0" w:color="auto"/>
            </w:tcBorders>
            <w:shd w:val="clear" w:color="000000" w:fill="F2F2F2"/>
            <w:noWrap/>
            <w:vAlign w:val="center"/>
            <w:hideMark/>
          </w:tcPr>
          <w:p w14:paraId="197C8C9D"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6026</w:t>
            </w:r>
          </w:p>
        </w:tc>
        <w:tc>
          <w:tcPr>
            <w:tcW w:w="941" w:type="dxa"/>
            <w:tcBorders>
              <w:top w:val="nil"/>
              <w:left w:val="nil"/>
              <w:bottom w:val="single" w:sz="4" w:space="0" w:color="auto"/>
              <w:right w:val="single" w:sz="4" w:space="0" w:color="auto"/>
            </w:tcBorders>
            <w:shd w:val="clear" w:color="000000" w:fill="F2F2F2"/>
            <w:noWrap/>
            <w:vAlign w:val="center"/>
            <w:hideMark/>
          </w:tcPr>
          <w:p w14:paraId="5A2B0FC4"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891202203</w:t>
            </w:r>
          </w:p>
        </w:tc>
        <w:tc>
          <w:tcPr>
            <w:tcW w:w="3247" w:type="dxa"/>
            <w:tcBorders>
              <w:top w:val="nil"/>
              <w:left w:val="nil"/>
              <w:bottom w:val="single" w:sz="4" w:space="0" w:color="auto"/>
              <w:right w:val="single" w:sz="4" w:space="0" w:color="auto"/>
            </w:tcBorders>
            <w:shd w:val="clear" w:color="000000" w:fill="F2F2F2"/>
            <w:vAlign w:val="center"/>
            <w:hideMark/>
          </w:tcPr>
          <w:p w14:paraId="4108BCE7" w14:textId="77777777" w:rsidR="00B07312" w:rsidRPr="006B48D3" w:rsidRDefault="00B07312" w:rsidP="00D22441">
            <w:pPr>
              <w:jc w:val="left"/>
              <w:rPr>
                <w:rFonts w:ascii="Arial Narrow" w:hAnsi="Arial Narrow" w:cs="Arial"/>
                <w:spacing w:val="0"/>
                <w:sz w:val="16"/>
                <w:szCs w:val="16"/>
                <w:lang w:val="en-GB" w:eastAsia="es-CO"/>
              </w:rPr>
            </w:pPr>
            <w:r w:rsidRPr="006B48D3">
              <w:rPr>
                <w:rFonts w:ascii="Arial Narrow" w:hAnsi="Arial Narrow" w:cs="Arial"/>
                <w:spacing w:val="0"/>
                <w:sz w:val="16"/>
                <w:szCs w:val="16"/>
                <w:lang w:val="en-GB" w:eastAsia="es-CO"/>
              </w:rPr>
              <w:t>MONTAGAS S.A. E.S.P.</w:t>
            </w:r>
          </w:p>
        </w:tc>
        <w:tc>
          <w:tcPr>
            <w:tcW w:w="1620" w:type="dxa"/>
            <w:tcBorders>
              <w:top w:val="nil"/>
              <w:left w:val="nil"/>
              <w:bottom w:val="single" w:sz="4" w:space="0" w:color="auto"/>
              <w:right w:val="single" w:sz="4" w:space="0" w:color="auto"/>
            </w:tcBorders>
            <w:shd w:val="clear" w:color="000000" w:fill="F2F2F2"/>
            <w:noWrap/>
            <w:vAlign w:val="center"/>
            <w:hideMark/>
          </w:tcPr>
          <w:p w14:paraId="0743B693"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$ 5.019.639.000</w:t>
            </w:r>
          </w:p>
        </w:tc>
        <w:tc>
          <w:tcPr>
            <w:tcW w:w="1520" w:type="dxa"/>
            <w:tcBorders>
              <w:top w:val="nil"/>
              <w:left w:val="nil"/>
              <w:bottom w:val="single" w:sz="4" w:space="0" w:color="auto"/>
              <w:right w:val="single" w:sz="4" w:space="0" w:color="auto"/>
            </w:tcBorders>
            <w:shd w:val="clear" w:color="000000" w:fill="F2F2F2"/>
            <w:noWrap/>
            <w:vAlign w:val="center"/>
            <w:hideMark/>
          </w:tcPr>
          <w:p w14:paraId="4BBFD1E9"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$ 1.076.296.736</w:t>
            </w:r>
          </w:p>
        </w:tc>
        <w:tc>
          <w:tcPr>
            <w:tcW w:w="1460" w:type="dxa"/>
            <w:tcBorders>
              <w:top w:val="nil"/>
              <w:left w:val="nil"/>
              <w:bottom w:val="single" w:sz="4" w:space="0" w:color="auto"/>
              <w:right w:val="single" w:sz="4" w:space="0" w:color="auto"/>
            </w:tcBorders>
            <w:shd w:val="clear" w:color="000000" w:fill="F2F2F2"/>
            <w:noWrap/>
            <w:vAlign w:val="center"/>
            <w:hideMark/>
          </w:tcPr>
          <w:p w14:paraId="18E4AD71"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$ 6.095.935.736</w:t>
            </w:r>
          </w:p>
        </w:tc>
        <w:tc>
          <w:tcPr>
            <w:tcW w:w="1280" w:type="dxa"/>
            <w:tcBorders>
              <w:top w:val="nil"/>
              <w:left w:val="nil"/>
              <w:bottom w:val="single" w:sz="4" w:space="0" w:color="auto"/>
              <w:right w:val="single" w:sz="4" w:space="0" w:color="auto"/>
            </w:tcBorders>
            <w:shd w:val="clear" w:color="000000" w:fill="F2F2F2"/>
            <w:noWrap/>
            <w:vAlign w:val="center"/>
            <w:hideMark/>
          </w:tcPr>
          <w:p w14:paraId="17DE7AB5"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$ 60.959.357</w:t>
            </w:r>
          </w:p>
        </w:tc>
        <w:tc>
          <w:tcPr>
            <w:tcW w:w="1200" w:type="dxa"/>
            <w:tcBorders>
              <w:top w:val="nil"/>
              <w:left w:val="nil"/>
              <w:bottom w:val="single" w:sz="4" w:space="0" w:color="auto"/>
              <w:right w:val="single" w:sz="4" w:space="0" w:color="auto"/>
            </w:tcBorders>
            <w:shd w:val="clear" w:color="000000" w:fill="F2F2F2"/>
            <w:noWrap/>
            <w:vAlign w:val="center"/>
            <w:hideMark/>
          </w:tcPr>
          <w:p w14:paraId="4D161D23"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$ 2.537</w:t>
            </w:r>
          </w:p>
        </w:tc>
        <w:tc>
          <w:tcPr>
            <w:tcW w:w="1280" w:type="dxa"/>
            <w:tcBorders>
              <w:top w:val="nil"/>
              <w:left w:val="nil"/>
              <w:bottom w:val="single" w:sz="4" w:space="0" w:color="auto"/>
              <w:right w:val="single" w:sz="4" w:space="0" w:color="auto"/>
            </w:tcBorders>
            <w:shd w:val="clear" w:color="000000" w:fill="F2F2F2"/>
            <w:noWrap/>
            <w:vAlign w:val="center"/>
            <w:hideMark/>
          </w:tcPr>
          <w:p w14:paraId="6468A812"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$ 60.961.894</w:t>
            </w:r>
          </w:p>
        </w:tc>
      </w:tr>
      <w:tr w:rsidR="00B07312" w:rsidRPr="006B48D3" w14:paraId="58D43008" w14:textId="77777777" w:rsidTr="00D16BC5">
        <w:trPr>
          <w:trHeight w:val="274"/>
        </w:trPr>
        <w:tc>
          <w:tcPr>
            <w:tcW w:w="407" w:type="dxa"/>
            <w:tcBorders>
              <w:top w:val="nil"/>
              <w:left w:val="single" w:sz="4" w:space="0" w:color="auto"/>
              <w:bottom w:val="single" w:sz="4" w:space="0" w:color="auto"/>
              <w:right w:val="single" w:sz="4" w:space="0" w:color="auto"/>
            </w:tcBorders>
            <w:shd w:val="clear" w:color="000000" w:fill="F2F2F2"/>
            <w:noWrap/>
            <w:vAlign w:val="center"/>
            <w:hideMark/>
          </w:tcPr>
          <w:p w14:paraId="342137DB" w14:textId="77777777" w:rsidR="00B07312" w:rsidRPr="006B48D3" w:rsidRDefault="00B07312" w:rsidP="00D22441">
            <w:pPr>
              <w:jc w:val="center"/>
              <w:rPr>
                <w:rFonts w:ascii="Arial Narrow" w:hAnsi="Arial Narrow" w:cs="Arial"/>
                <w:spacing w:val="0"/>
                <w:sz w:val="16"/>
                <w:szCs w:val="16"/>
                <w:lang w:eastAsia="es-CO"/>
              </w:rPr>
            </w:pPr>
            <w:r w:rsidRPr="006B48D3">
              <w:rPr>
                <w:rFonts w:ascii="Arial Narrow" w:hAnsi="Arial Narrow" w:cs="Arial"/>
                <w:spacing w:val="0"/>
                <w:sz w:val="16"/>
                <w:szCs w:val="16"/>
                <w:lang w:eastAsia="es-CO"/>
              </w:rPr>
              <w:t>63</w:t>
            </w:r>
          </w:p>
        </w:tc>
        <w:tc>
          <w:tcPr>
            <w:tcW w:w="585" w:type="dxa"/>
            <w:tcBorders>
              <w:top w:val="nil"/>
              <w:left w:val="nil"/>
              <w:bottom w:val="single" w:sz="4" w:space="0" w:color="auto"/>
              <w:right w:val="single" w:sz="4" w:space="0" w:color="auto"/>
            </w:tcBorders>
            <w:shd w:val="clear" w:color="000000" w:fill="F2F2F2"/>
            <w:noWrap/>
            <w:vAlign w:val="center"/>
            <w:hideMark/>
          </w:tcPr>
          <w:p w14:paraId="79689503"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1854</w:t>
            </w:r>
          </w:p>
        </w:tc>
        <w:tc>
          <w:tcPr>
            <w:tcW w:w="941" w:type="dxa"/>
            <w:tcBorders>
              <w:top w:val="nil"/>
              <w:left w:val="nil"/>
              <w:bottom w:val="single" w:sz="4" w:space="0" w:color="auto"/>
              <w:right w:val="single" w:sz="4" w:space="0" w:color="auto"/>
            </w:tcBorders>
            <w:shd w:val="clear" w:color="000000" w:fill="F2F2F2"/>
            <w:noWrap/>
            <w:vAlign w:val="center"/>
            <w:hideMark/>
          </w:tcPr>
          <w:p w14:paraId="3C2986BB"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891300973</w:t>
            </w:r>
          </w:p>
        </w:tc>
        <w:tc>
          <w:tcPr>
            <w:tcW w:w="3247" w:type="dxa"/>
            <w:tcBorders>
              <w:top w:val="nil"/>
              <w:left w:val="nil"/>
              <w:bottom w:val="single" w:sz="4" w:space="0" w:color="auto"/>
              <w:right w:val="single" w:sz="4" w:space="0" w:color="auto"/>
            </w:tcBorders>
            <w:shd w:val="clear" w:color="000000" w:fill="F2F2F2"/>
            <w:vAlign w:val="center"/>
            <w:hideMark/>
          </w:tcPr>
          <w:p w14:paraId="20228A7A" w14:textId="77777777" w:rsidR="00B07312" w:rsidRPr="006B48D3" w:rsidRDefault="00B07312" w:rsidP="00D22441">
            <w:pPr>
              <w:jc w:val="left"/>
              <w:rPr>
                <w:rFonts w:ascii="Arial Narrow" w:hAnsi="Arial Narrow" w:cs="Arial"/>
                <w:spacing w:val="0"/>
                <w:sz w:val="16"/>
                <w:szCs w:val="16"/>
                <w:lang w:eastAsia="es-CO"/>
              </w:rPr>
            </w:pPr>
            <w:r w:rsidRPr="006B48D3">
              <w:rPr>
                <w:rFonts w:ascii="Arial Narrow" w:hAnsi="Arial Narrow" w:cs="Arial"/>
                <w:spacing w:val="0"/>
                <w:sz w:val="16"/>
                <w:szCs w:val="16"/>
                <w:lang w:eastAsia="es-CO"/>
              </w:rPr>
              <w:t>LIDAGAS S.A E.S.P.</w:t>
            </w:r>
          </w:p>
        </w:tc>
        <w:tc>
          <w:tcPr>
            <w:tcW w:w="1620" w:type="dxa"/>
            <w:tcBorders>
              <w:top w:val="nil"/>
              <w:left w:val="nil"/>
              <w:bottom w:val="single" w:sz="4" w:space="0" w:color="auto"/>
              <w:right w:val="single" w:sz="4" w:space="0" w:color="auto"/>
            </w:tcBorders>
            <w:shd w:val="clear" w:color="000000" w:fill="F2F2F2"/>
            <w:noWrap/>
            <w:vAlign w:val="center"/>
            <w:hideMark/>
          </w:tcPr>
          <w:p w14:paraId="68273C4A"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$ 1.254.582.000</w:t>
            </w:r>
          </w:p>
        </w:tc>
        <w:tc>
          <w:tcPr>
            <w:tcW w:w="1520" w:type="dxa"/>
            <w:tcBorders>
              <w:top w:val="nil"/>
              <w:left w:val="nil"/>
              <w:bottom w:val="single" w:sz="4" w:space="0" w:color="auto"/>
              <w:right w:val="single" w:sz="4" w:space="0" w:color="auto"/>
            </w:tcBorders>
            <w:shd w:val="clear" w:color="000000" w:fill="F2F2F2"/>
            <w:noWrap/>
            <w:vAlign w:val="center"/>
            <w:hideMark/>
          </w:tcPr>
          <w:p w14:paraId="4440D825"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$ 125.652.672</w:t>
            </w:r>
          </w:p>
        </w:tc>
        <w:tc>
          <w:tcPr>
            <w:tcW w:w="1460" w:type="dxa"/>
            <w:tcBorders>
              <w:top w:val="nil"/>
              <w:left w:val="nil"/>
              <w:bottom w:val="single" w:sz="4" w:space="0" w:color="auto"/>
              <w:right w:val="single" w:sz="4" w:space="0" w:color="auto"/>
            </w:tcBorders>
            <w:shd w:val="clear" w:color="000000" w:fill="F2F2F2"/>
            <w:noWrap/>
            <w:vAlign w:val="center"/>
            <w:hideMark/>
          </w:tcPr>
          <w:p w14:paraId="06B0E78D"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$ 1.380.234.672</w:t>
            </w:r>
          </w:p>
        </w:tc>
        <w:tc>
          <w:tcPr>
            <w:tcW w:w="1280" w:type="dxa"/>
            <w:tcBorders>
              <w:top w:val="nil"/>
              <w:left w:val="nil"/>
              <w:bottom w:val="single" w:sz="4" w:space="0" w:color="auto"/>
              <w:right w:val="single" w:sz="4" w:space="0" w:color="auto"/>
            </w:tcBorders>
            <w:shd w:val="clear" w:color="000000" w:fill="F2F2F2"/>
            <w:noWrap/>
            <w:vAlign w:val="center"/>
            <w:hideMark/>
          </w:tcPr>
          <w:p w14:paraId="4BAFB31C"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$ 13.802.347</w:t>
            </w:r>
          </w:p>
        </w:tc>
        <w:tc>
          <w:tcPr>
            <w:tcW w:w="1200" w:type="dxa"/>
            <w:tcBorders>
              <w:top w:val="nil"/>
              <w:left w:val="nil"/>
              <w:bottom w:val="single" w:sz="4" w:space="0" w:color="auto"/>
              <w:right w:val="single" w:sz="4" w:space="0" w:color="auto"/>
            </w:tcBorders>
            <w:shd w:val="clear" w:color="000000" w:fill="F2F2F2"/>
            <w:noWrap/>
            <w:vAlign w:val="center"/>
            <w:hideMark/>
          </w:tcPr>
          <w:p w14:paraId="2E771D6D"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$ 574</w:t>
            </w:r>
          </w:p>
        </w:tc>
        <w:tc>
          <w:tcPr>
            <w:tcW w:w="1280" w:type="dxa"/>
            <w:tcBorders>
              <w:top w:val="nil"/>
              <w:left w:val="nil"/>
              <w:bottom w:val="single" w:sz="4" w:space="0" w:color="auto"/>
              <w:right w:val="single" w:sz="4" w:space="0" w:color="auto"/>
            </w:tcBorders>
            <w:shd w:val="clear" w:color="000000" w:fill="F2F2F2"/>
            <w:noWrap/>
            <w:vAlign w:val="center"/>
            <w:hideMark/>
          </w:tcPr>
          <w:p w14:paraId="2AB0B9C9"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$ 13.802.921</w:t>
            </w:r>
          </w:p>
        </w:tc>
      </w:tr>
      <w:tr w:rsidR="00B07312" w:rsidRPr="006B48D3" w14:paraId="62C07E7F" w14:textId="77777777" w:rsidTr="006B48D3">
        <w:trPr>
          <w:trHeight w:val="269"/>
        </w:trPr>
        <w:tc>
          <w:tcPr>
            <w:tcW w:w="407" w:type="dxa"/>
            <w:tcBorders>
              <w:top w:val="nil"/>
              <w:left w:val="single" w:sz="4" w:space="0" w:color="auto"/>
              <w:bottom w:val="single" w:sz="4" w:space="0" w:color="auto"/>
              <w:right w:val="single" w:sz="4" w:space="0" w:color="auto"/>
            </w:tcBorders>
            <w:shd w:val="clear" w:color="000000" w:fill="F2F2F2"/>
            <w:noWrap/>
            <w:vAlign w:val="center"/>
            <w:hideMark/>
          </w:tcPr>
          <w:p w14:paraId="5F437ED7" w14:textId="77777777" w:rsidR="00B07312" w:rsidRPr="006B48D3" w:rsidRDefault="00B07312" w:rsidP="00D22441">
            <w:pPr>
              <w:jc w:val="center"/>
              <w:rPr>
                <w:rFonts w:ascii="Arial Narrow" w:hAnsi="Arial Narrow" w:cs="Arial"/>
                <w:spacing w:val="0"/>
                <w:sz w:val="16"/>
                <w:szCs w:val="16"/>
                <w:lang w:eastAsia="es-CO"/>
              </w:rPr>
            </w:pPr>
            <w:r w:rsidRPr="006B48D3">
              <w:rPr>
                <w:rFonts w:ascii="Arial Narrow" w:hAnsi="Arial Narrow" w:cs="Arial"/>
                <w:spacing w:val="0"/>
                <w:sz w:val="16"/>
                <w:szCs w:val="16"/>
                <w:lang w:eastAsia="es-CO"/>
              </w:rPr>
              <w:t>64</w:t>
            </w:r>
          </w:p>
        </w:tc>
        <w:tc>
          <w:tcPr>
            <w:tcW w:w="585" w:type="dxa"/>
            <w:tcBorders>
              <w:top w:val="nil"/>
              <w:left w:val="nil"/>
              <w:bottom w:val="single" w:sz="4" w:space="0" w:color="auto"/>
              <w:right w:val="single" w:sz="4" w:space="0" w:color="auto"/>
            </w:tcBorders>
            <w:shd w:val="clear" w:color="000000" w:fill="F2F2F2"/>
            <w:noWrap/>
            <w:vAlign w:val="center"/>
            <w:hideMark/>
          </w:tcPr>
          <w:p w14:paraId="3B65F970"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1564</w:t>
            </w:r>
          </w:p>
        </w:tc>
        <w:tc>
          <w:tcPr>
            <w:tcW w:w="941" w:type="dxa"/>
            <w:tcBorders>
              <w:top w:val="nil"/>
              <w:left w:val="nil"/>
              <w:bottom w:val="single" w:sz="4" w:space="0" w:color="auto"/>
              <w:right w:val="single" w:sz="4" w:space="0" w:color="auto"/>
            </w:tcBorders>
            <w:shd w:val="clear" w:color="000000" w:fill="F2F2F2"/>
            <w:noWrap/>
            <w:vAlign w:val="center"/>
            <w:hideMark/>
          </w:tcPr>
          <w:p w14:paraId="521F16C7"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891400900</w:t>
            </w:r>
          </w:p>
        </w:tc>
        <w:tc>
          <w:tcPr>
            <w:tcW w:w="3247" w:type="dxa"/>
            <w:tcBorders>
              <w:top w:val="nil"/>
              <w:left w:val="nil"/>
              <w:bottom w:val="single" w:sz="4" w:space="0" w:color="auto"/>
              <w:right w:val="single" w:sz="4" w:space="0" w:color="auto"/>
            </w:tcBorders>
            <w:shd w:val="clear" w:color="000000" w:fill="F2F2F2"/>
            <w:vAlign w:val="center"/>
            <w:hideMark/>
          </w:tcPr>
          <w:p w14:paraId="0DB9A903" w14:textId="77777777" w:rsidR="00B07312" w:rsidRPr="006B48D3" w:rsidRDefault="00B07312" w:rsidP="00D22441">
            <w:pPr>
              <w:jc w:val="left"/>
              <w:rPr>
                <w:rFonts w:ascii="Arial Narrow" w:hAnsi="Arial Narrow" w:cs="Arial"/>
                <w:spacing w:val="0"/>
                <w:sz w:val="16"/>
                <w:szCs w:val="16"/>
                <w:lang w:eastAsia="es-CO"/>
              </w:rPr>
            </w:pPr>
            <w:r w:rsidRPr="006B48D3">
              <w:rPr>
                <w:rFonts w:ascii="Arial Narrow" w:hAnsi="Arial Narrow" w:cs="Arial"/>
                <w:spacing w:val="0"/>
                <w:sz w:val="16"/>
                <w:szCs w:val="16"/>
                <w:lang w:eastAsia="es-CO"/>
              </w:rPr>
              <w:t>ELECTROGAS SA ESP</w:t>
            </w:r>
          </w:p>
        </w:tc>
        <w:tc>
          <w:tcPr>
            <w:tcW w:w="1620" w:type="dxa"/>
            <w:tcBorders>
              <w:top w:val="nil"/>
              <w:left w:val="nil"/>
              <w:bottom w:val="single" w:sz="4" w:space="0" w:color="auto"/>
              <w:right w:val="single" w:sz="4" w:space="0" w:color="auto"/>
            </w:tcBorders>
            <w:shd w:val="clear" w:color="000000" w:fill="F2F2F2"/>
            <w:noWrap/>
            <w:vAlign w:val="center"/>
            <w:hideMark/>
          </w:tcPr>
          <w:p w14:paraId="26958DF7"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$ 296.545.000</w:t>
            </w:r>
          </w:p>
        </w:tc>
        <w:tc>
          <w:tcPr>
            <w:tcW w:w="1520" w:type="dxa"/>
            <w:tcBorders>
              <w:top w:val="nil"/>
              <w:left w:val="nil"/>
              <w:bottom w:val="single" w:sz="4" w:space="0" w:color="auto"/>
              <w:right w:val="single" w:sz="4" w:space="0" w:color="auto"/>
            </w:tcBorders>
            <w:shd w:val="clear" w:color="000000" w:fill="F2F2F2"/>
            <w:noWrap/>
            <w:vAlign w:val="center"/>
            <w:hideMark/>
          </w:tcPr>
          <w:p w14:paraId="52740735"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$ 12.431.197</w:t>
            </w:r>
          </w:p>
        </w:tc>
        <w:tc>
          <w:tcPr>
            <w:tcW w:w="1460" w:type="dxa"/>
            <w:tcBorders>
              <w:top w:val="nil"/>
              <w:left w:val="nil"/>
              <w:bottom w:val="single" w:sz="4" w:space="0" w:color="auto"/>
              <w:right w:val="single" w:sz="4" w:space="0" w:color="auto"/>
            </w:tcBorders>
            <w:shd w:val="clear" w:color="000000" w:fill="F2F2F2"/>
            <w:noWrap/>
            <w:vAlign w:val="center"/>
            <w:hideMark/>
          </w:tcPr>
          <w:p w14:paraId="48456B39"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$ 308.976.197</w:t>
            </w:r>
          </w:p>
        </w:tc>
        <w:tc>
          <w:tcPr>
            <w:tcW w:w="1280" w:type="dxa"/>
            <w:tcBorders>
              <w:top w:val="nil"/>
              <w:left w:val="nil"/>
              <w:bottom w:val="single" w:sz="4" w:space="0" w:color="auto"/>
              <w:right w:val="single" w:sz="4" w:space="0" w:color="auto"/>
            </w:tcBorders>
            <w:shd w:val="clear" w:color="000000" w:fill="F2F2F2"/>
            <w:noWrap/>
            <w:vAlign w:val="center"/>
            <w:hideMark/>
          </w:tcPr>
          <w:p w14:paraId="2A2F43EC"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$ 3.089.762</w:t>
            </w:r>
          </w:p>
        </w:tc>
        <w:tc>
          <w:tcPr>
            <w:tcW w:w="1200" w:type="dxa"/>
            <w:tcBorders>
              <w:top w:val="nil"/>
              <w:left w:val="nil"/>
              <w:bottom w:val="single" w:sz="4" w:space="0" w:color="auto"/>
              <w:right w:val="single" w:sz="4" w:space="0" w:color="auto"/>
            </w:tcBorders>
            <w:shd w:val="clear" w:color="000000" w:fill="F2F2F2"/>
            <w:noWrap/>
            <w:vAlign w:val="center"/>
            <w:hideMark/>
          </w:tcPr>
          <w:p w14:paraId="724D82E2"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$ 129</w:t>
            </w:r>
          </w:p>
        </w:tc>
        <w:tc>
          <w:tcPr>
            <w:tcW w:w="1280" w:type="dxa"/>
            <w:tcBorders>
              <w:top w:val="nil"/>
              <w:left w:val="nil"/>
              <w:bottom w:val="single" w:sz="4" w:space="0" w:color="auto"/>
              <w:right w:val="single" w:sz="4" w:space="0" w:color="auto"/>
            </w:tcBorders>
            <w:shd w:val="clear" w:color="000000" w:fill="F2F2F2"/>
            <w:noWrap/>
            <w:vAlign w:val="center"/>
            <w:hideMark/>
          </w:tcPr>
          <w:p w14:paraId="22A30340"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$ 3.089.891</w:t>
            </w:r>
          </w:p>
        </w:tc>
      </w:tr>
      <w:tr w:rsidR="00B07312" w:rsidRPr="006B48D3" w14:paraId="621C1B10" w14:textId="77777777" w:rsidTr="006B48D3">
        <w:trPr>
          <w:trHeight w:val="274"/>
        </w:trPr>
        <w:tc>
          <w:tcPr>
            <w:tcW w:w="407" w:type="dxa"/>
            <w:tcBorders>
              <w:top w:val="nil"/>
              <w:left w:val="single" w:sz="4" w:space="0" w:color="auto"/>
              <w:bottom w:val="single" w:sz="4" w:space="0" w:color="auto"/>
              <w:right w:val="single" w:sz="4" w:space="0" w:color="auto"/>
            </w:tcBorders>
            <w:shd w:val="clear" w:color="000000" w:fill="F2F2F2"/>
            <w:noWrap/>
            <w:vAlign w:val="center"/>
            <w:hideMark/>
          </w:tcPr>
          <w:p w14:paraId="0DC1BC96" w14:textId="77777777" w:rsidR="00B07312" w:rsidRPr="006B48D3" w:rsidRDefault="00B07312" w:rsidP="00D22441">
            <w:pPr>
              <w:jc w:val="center"/>
              <w:rPr>
                <w:rFonts w:ascii="Arial Narrow" w:hAnsi="Arial Narrow" w:cs="Arial"/>
                <w:spacing w:val="0"/>
                <w:sz w:val="16"/>
                <w:szCs w:val="16"/>
                <w:lang w:eastAsia="es-CO"/>
              </w:rPr>
            </w:pPr>
            <w:r w:rsidRPr="006B48D3">
              <w:rPr>
                <w:rFonts w:ascii="Arial Narrow" w:hAnsi="Arial Narrow" w:cs="Arial"/>
                <w:spacing w:val="0"/>
                <w:sz w:val="16"/>
                <w:szCs w:val="16"/>
                <w:lang w:eastAsia="es-CO"/>
              </w:rPr>
              <w:t>65</w:t>
            </w:r>
          </w:p>
        </w:tc>
        <w:tc>
          <w:tcPr>
            <w:tcW w:w="585" w:type="dxa"/>
            <w:tcBorders>
              <w:top w:val="nil"/>
              <w:left w:val="nil"/>
              <w:bottom w:val="single" w:sz="4" w:space="0" w:color="auto"/>
              <w:right w:val="single" w:sz="4" w:space="0" w:color="auto"/>
            </w:tcBorders>
            <w:shd w:val="clear" w:color="000000" w:fill="F2F2F2"/>
            <w:noWrap/>
            <w:vAlign w:val="center"/>
            <w:hideMark/>
          </w:tcPr>
          <w:p w14:paraId="5C6C6FED"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1330</w:t>
            </w:r>
          </w:p>
        </w:tc>
        <w:tc>
          <w:tcPr>
            <w:tcW w:w="941" w:type="dxa"/>
            <w:tcBorders>
              <w:top w:val="nil"/>
              <w:left w:val="nil"/>
              <w:bottom w:val="single" w:sz="4" w:space="0" w:color="auto"/>
              <w:right w:val="single" w:sz="4" w:space="0" w:color="auto"/>
            </w:tcBorders>
            <w:shd w:val="clear" w:color="000000" w:fill="F2F2F2"/>
            <w:noWrap/>
            <w:vAlign w:val="center"/>
            <w:hideMark/>
          </w:tcPr>
          <w:p w14:paraId="470EC218"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891800082</w:t>
            </w:r>
          </w:p>
        </w:tc>
        <w:tc>
          <w:tcPr>
            <w:tcW w:w="3247" w:type="dxa"/>
            <w:tcBorders>
              <w:top w:val="nil"/>
              <w:left w:val="nil"/>
              <w:bottom w:val="single" w:sz="4" w:space="0" w:color="auto"/>
              <w:right w:val="single" w:sz="4" w:space="0" w:color="auto"/>
            </w:tcBorders>
            <w:shd w:val="clear" w:color="000000" w:fill="F2F2F2"/>
            <w:vAlign w:val="center"/>
            <w:hideMark/>
          </w:tcPr>
          <w:p w14:paraId="1C38FB3F" w14:textId="77777777" w:rsidR="00B07312" w:rsidRPr="006B48D3" w:rsidRDefault="00B07312" w:rsidP="00D22441">
            <w:pPr>
              <w:jc w:val="left"/>
              <w:rPr>
                <w:rFonts w:ascii="Arial Narrow" w:hAnsi="Arial Narrow" w:cs="Arial"/>
                <w:spacing w:val="0"/>
                <w:sz w:val="16"/>
                <w:szCs w:val="16"/>
                <w:lang w:eastAsia="es-CO"/>
              </w:rPr>
            </w:pPr>
            <w:r w:rsidRPr="006B48D3">
              <w:rPr>
                <w:rFonts w:ascii="Arial Narrow" w:hAnsi="Arial Narrow" w:cs="Arial"/>
                <w:spacing w:val="0"/>
                <w:sz w:val="16"/>
                <w:szCs w:val="16"/>
                <w:lang w:eastAsia="es-CO"/>
              </w:rPr>
              <w:t>GRANADOS, GOMEZ Y CIA S.A. E.S.P.</w:t>
            </w:r>
          </w:p>
        </w:tc>
        <w:tc>
          <w:tcPr>
            <w:tcW w:w="1620" w:type="dxa"/>
            <w:tcBorders>
              <w:top w:val="nil"/>
              <w:left w:val="nil"/>
              <w:bottom w:val="single" w:sz="4" w:space="0" w:color="auto"/>
              <w:right w:val="single" w:sz="4" w:space="0" w:color="auto"/>
            </w:tcBorders>
            <w:shd w:val="clear" w:color="000000" w:fill="F2F2F2"/>
            <w:noWrap/>
            <w:vAlign w:val="center"/>
            <w:hideMark/>
          </w:tcPr>
          <w:p w14:paraId="510B6246"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$ 978.839.000</w:t>
            </w:r>
          </w:p>
        </w:tc>
        <w:tc>
          <w:tcPr>
            <w:tcW w:w="1520" w:type="dxa"/>
            <w:tcBorders>
              <w:top w:val="nil"/>
              <w:left w:val="nil"/>
              <w:bottom w:val="single" w:sz="4" w:space="0" w:color="auto"/>
              <w:right w:val="single" w:sz="4" w:space="0" w:color="auto"/>
            </w:tcBorders>
            <w:shd w:val="clear" w:color="000000" w:fill="F2F2F2"/>
            <w:noWrap/>
            <w:vAlign w:val="center"/>
            <w:hideMark/>
          </w:tcPr>
          <w:p w14:paraId="3CC5EEB9"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$ 54.941.423</w:t>
            </w:r>
          </w:p>
        </w:tc>
        <w:tc>
          <w:tcPr>
            <w:tcW w:w="1460" w:type="dxa"/>
            <w:tcBorders>
              <w:top w:val="nil"/>
              <w:left w:val="nil"/>
              <w:bottom w:val="single" w:sz="4" w:space="0" w:color="auto"/>
              <w:right w:val="single" w:sz="4" w:space="0" w:color="auto"/>
            </w:tcBorders>
            <w:shd w:val="clear" w:color="000000" w:fill="F2F2F2"/>
            <w:noWrap/>
            <w:vAlign w:val="center"/>
            <w:hideMark/>
          </w:tcPr>
          <w:p w14:paraId="1063FA23"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$ 1.033.780.423</w:t>
            </w:r>
          </w:p>
        </w:tc>
        <w:tc>
          <w:tcPr>
            <w:tcW w:w="1280" w:type="dxa"/>
            <w:tcBorders>
              <w:top w:val="nil"/>
              <w:left w:val="nil"/>
              <w:bottom w:val="single" w:sz="4" w:space="0" w:color="auto"/>
              <w:right w:val="single" w:sz="4" w:space="0" w:color="auto"/>
            </w:tcBorders>
            <w:shd w:val="clear" w:color="000000" w:fill="F2F2F2"/>
            <w:noWrap/>
            <w:vAlign w:val="center"/>
            <w:hideMark/>
          </w:tcPr>
          <w:p w14:paraId="667FDCC4"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$ 10.337.804</w:t>
            </w:r>
          </w:p>
        </w:tc>
        <w:tc>
          <w:tcPr>
            <w:tcW w:w="1200" w:type="dxa"/>
            <w:tcBorders>
              <w:top w:val="nil"/>
              <w:left w:val="nil"/>
              <w:bottom w:val="single" w:sz="4" w:space="0" w:color="auto"/>
              <w:right w:val="single" w:sz="4" w:space="0" w:color="auto"/>
            </w:tcBorders>
            <w:shd w:val="clear" w:color="000000" w:fill="F2F2F2"/>
            <w:noWrap/>
            <w:vAlign w:val="center"/>
            <w:hideMark/>
          </w:tcPr>
          <w:p w14:paraId="5245330E"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$ 430</w:t>
            </w:r>
          </w:p>
        </w:tc>
        <w:tc>
          <w:tcPr>
            <w:tcW w:w="1280" w:type="dxa"/>
            <w:tcBorders>
              <w:top w:val="nil"/>
              <w:left w:val="nil"/>
              <w:bottom w:val="single" w:sz="4" w:space="0" w:color="auto"/>
              <w:right w:val="single" w:sz="4" w:space="0" w:color="auto"/>
            </w:tcBorders>
            <w:shd w:val="clear" w:color="000000" w:fill="F2F2F2"/>
            <w:noWrap/>
            <w:vAlign w:val="center"/>
            <w:hideMark/>
          </w:tcPr>
          <w:p w14:paraId="43C4707C"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$ 10.338.234</w:t>
            </w:r>
          </w:p>
        </w:tc>
      </w:tr>
      <w:tr w:rsidR="00B07312" w:rsidRPr="006B48D3" w14:paraId="7AE09F5A" w14:textId="77777777" w:rsidTr="006B48D3">
        <w:trPr>
          <w:trHeight w:val="450"/>
        </w:trPr>
        <w:tc>
          <w:tcPr>
            <w:tcW w:w="407" w:type="dxa"/>
            <w:tcBorders>
              <w:top w:val="nil"/>
              <w:left w:val="single" w:sz="4" w:space="0" w:color="auto"/>
              <w:bottom w:val="single" w:sz="4" w:space="0" w:color="auto"/>
              <w:right w:val="single" w:sz="4" w:space="0" w:color="auto"/>
            </w:tcBorders>
            <w:shd w:val="clear" w:color="000000" w:fill="F2F2F2"/>
            <w:noWrap/>
            <w:vAlign w:val="center"/>
            <w:hideMark/>
          </w:tcPr>
          <w:p w14:paraId="6B4722BB" w14:textId="77777777" w:rsidR="00B07312" w:rsidRPr="006B48D3" w:rsidRDefault="00B07312" w:rsidP="00D22441">
            <w:pPr>
              <w:jc w:val="center"/>
              <w:rPr>
                <w:rFonts w:ascii="Arial Narrow" w:hAnsi="Arial Narrow" w:cs="Arial"/>
                <w:spacing w:val="0"/>
                <w:sz w:val="16"/>
                <w:szCs w:val="16"/>
                <w:lang w:eastAsia="es-CO"/>
              </w:rPr>
            </w:pPr>
            <w:r w:rsidRPr="006B48D3">
              <w:rPr>
                <w:rFonts w:ascii="Arial Narrow" w:hAnsi="Arial Narrow" w:cs="Arial"/>
                <w:spacing w:val="0"/>
                <w:sz w:val="16"/>
                <w:szCs w:val="16"/>
                <w:lang w:eastAsia="es-CO"/>
              </w:rPr>
              <w:t>66</w:t>
            </w:r>
          </w:p>
        </w:tc>
        <w:tc>
          <w:tcPr>
            <w:tcW w:w="585" w:type="dxa"/>
            <w:tcBorders>
              <w:top w:val="nil"/>
              <w:left w:val="nil"/>
              <w:bottom w:val="single" w:sz="4" w:space="0" w:color="auto"/>
              <w:right w:val="single" w:sz="4" w:space="0" w:color="auto"/>
            </w:tcBorders>
            <w:shd w:val="clear" w:color="000000" w:fill="F2F2F2"/>
            <w:noWrap/>
            <w:vAlign w:val="center"/>
            <w:hideMark/>
          </w:tcPr>
          <w:p w14:paraId="230C4BAF"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978</w:t>
            </w:r>
          </w:p>
        </w:tc>
        <w:tc>
          <w:tcPr>
            <w:tcW w:w="941" w:type="dxa"/>
            <w:tcBorders>
              <w:top w:val="nil"/>
              <w:left w:val="nil"/>
              <w:bottom w:val="single" w:sz="4" w:space="0" w:color="auto"/>
              <w:right w:val="single" w:sz="4" w:space="0" w:color="auto"/>
            </w:tcBorders>
            <w:shd w:val="clear" w:color="000000" w:fill="F2F2F2"/>
            <w:noWrap/>
            <w:vAlign w:val="center"/>
            <w:hideMark/>
          </w:tcPr>
          <w:p w14:paraId="29C033D8"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892115036</w:t>
            </w:r>
          </w:p>
        </w:tc>
        <w:tc>
          <w:tcPr>
            <w:tcW w:w="3247" w:type="dxa"/>
            <w:tcBorders>
              <w:top w:val="nil"/>
              <w:left w:val="nil"/>
              <w:bottom w:val="single" w:sz="4" w:space="0" w:color="auto"/>
              <w:right w:val="single" w:sz="4" w:space="0" w:color="auto"/>
            </w:tcBorders>
            <w:shd w:val="clear" w:color="000000" w:fill="F2F2F2"/>
            <w:vAlign w:val="center"/>
            <w:hideMark/>
          </w:tcPr>
          <w:p w14:paraId="4D91B2F2" w14:textId="77777777" w:rsidR="00B07312" w:rsidRPr="006B48D3" w:rsidRDefault="00B07312" w:rsidP="00D22441">
            <w:pPr>
              <w:jc w:val="left"/>
              <w:rPr>
                <w:rFonts w:ascii="Arial Narrow" w:hAnsi="Arial Narrow" w:cs="Arial"/>
                <w:spacing w:val="0"/>
                <w:sz w:val="16"/>
                <w:szCs w:val="16"/>
                <w:lang w:eastAsia="es-CO"/>
              </w:rPr>
            </w:pPr>
            <w:r w:rsidRPr="006B48D3">
              <w:rPr>
                <w:rFonts w:ascii="Arial Narrow" w:hAnsi="Arial Narrow" w:cs="Arial"/>
                <w:spacing w:val="0"/>
                <w:sz w:val="16"/>
                <w:szCs w:val="16"/>
                <w:lang w:eastAsia="es-CO"/>
              </w:rPr>
              <w:t>GASES DE LA GUAJIRA S.A., EMPRESA DE SERVICIOS PUBLICOS</w:t>
            </w:r>
          </w:p>
        </w:tc>
        <w:tc>
          <w:tcPr>
            <w:tcW w:w="1620" w:type="dxa"/>
            <w:tcBorders>
              <w:top w:val="nil"/>
              <w:left w:val="nil"/>
              <w:bottom w:val="single" w:sz="4" w:space="0" w:color="auto"/>
              <w:right w:val="single" w:sz="4" w:space="0" w:color="auto"/>
            </w:tcBorders>
            <w:shd w:val="clear" w:color="000000" w:fill="F2F2F2"/>
            <w:noWrap/>
            <w:vAlign w:val="center"/>
            <w:hideMark/>
          </w:tcPr>
          <w:p w14:paraId="698AC0B5"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$ 7.028.145.000</w:t>
            </w:r>
          </w:p>
        </w:tc>
        <w:tc>
          <w:tcPr>
            <w:tcW w:w="1520" w:type="dxa"/>
            <w:tcBorders>
              <w:top w:val="nil"/>
              <w:left w:val="nil"/>
              <w:bottom w:val="single" w:sz="4" w:space="0" w:color="auto"/>
              <w:right w:val="single" w:sz="4" w:space="0" w:color="auto"/>
            </w:tcBorders>
            <w:shd w:val="clear" w:color="000000" w:fill="F2F2F2"/>
            <w:noWrap/>
            <w:vAlign w:val="center"/>
            <w:hideMark/>
          </w:tcPr>
          <w:p w14:paraId="0B0FD4F2"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$ 79.646.770</w:t>
            </w:r>
          </w:p>
        </w:tc>
        <w:tc>
          <w:tcPr>
            <w:tcW w:w="1460" w:type="dxa"/>
            <w:tcBorders>
              <w:top w:val="nil"/>
              <w:left w:val="nil"/>
              <w:bottom w:val="single" w:sz="4" w:space="0" w:color="auto"/>
              <w:right w:val="single" w:sz="4" w:space="0" w:color="auto"/>
            </w:tcBorders>
            <w:shd w:val="clear" w:color="000000" w:fill="F2F2F2"/>
            <w:noWrap/>
            <w:vAlign w:val="center"/>
            <w:hideMark/>
          </w:tcPr>
          <w:p w14:paraId="7968FEAF"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$ 7.107.791.770</w:t>
            </w:r>
          </w:p>
        </w:tc>
        <w:tc>
          <w:tcPr>
            <w:tcW w:w="1280" w:type="dxa"/>
            <w:tcBorders>
              <w:top w:val="nil"/>
              <w:left w:val="nil"/>
              <w:bottom w:val="single" w:sz="4" w:space="0" w:color="auto"/>
              <w:right w:val="single" w:sz="4" w:space="0" w:color="auto"/>
            </w:tcBorders>
            <w:shd w:val="clear" w:color="000000" w:fill="F2F2F2"/>
            <w:noWrap/>
            <w:vAlign w:val="center"/>
            <w:hideMark/>
          </w:tcPr>
          <w:p w14:paraId="4BFF774F"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$ 71.077.918</w:t>
            </w:r>
          </w:p>
        </w:tc>
        <w:tc>
          <w:tcPr>
            <w:tcW w:w="1200" w:type="dxa"/>
            <w:tcBorders>
              <w:top w:val="nil"/>
              <w:left w:val="nil"/>
              <w:bottom w:val="single" w:sz="4" w:space="0" w:color="auto"/>
              <w:right w:val="single" w:sz="4" w:space="0" w:color="auto"/>
            </w:tcBorders>
            <w:shd w:val="clear" w:color="000000" w:fill="F2F2F2"/>
            <w:noWrap/>
            <w:vAlign w:val="center"/>
            <w:hideMark/>
          </w:tcPr>
          <w:p w14:paraId="2290F5BB"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$ 2.958</w:t>
            </w:r>
          </w:p>
        </w:tc>
        <w:tc>
          <w:tcPr>
            <w:tcW w:w="1280" w:type="dxa"/>
            <w:tcBorders>
              <w:top w:val="nil"/>
              <w:left w:val="nil"/>
              <w:bottom w:val="single" w:sz="4" w:space="0" w:color="auto"/>
              <w:right w:val="single" w:sz="4" w:space="0" w:color="auto"/>
            </w:tcBorders>
            <w:shd w:val="clear" w:color="000000" w:fill="F2F2F2"/>
            <w:noWrap/>
            <w:vAlign w:val="center"/>
            <w:hideMark/>
          </w:tcPr>
          <w:p w14:paraId="2E2FCD38"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$ 71.080.876</w:t>
            </w:r>
          </w:p>
        </w:tc>
      </w:tr>
      <w:tr w:rsidR="00B07312" w:rsidRPr="006B48D3" w14:paraId="282CB767" w14:textId="77777777" w:rsidTr="006B48D3">
        <w:trPr>
          <w:trHeight w:val="245"/>
        </w:trPr>
        <w:tc>
          <w:tcPr>
            <w:tcW w:w="407" w:type="dxa"/>
            <w:tcBorders>
              <w:top w:val="nil"/>
              <w:left w:val="single" w:sz="4" w:space="0" w:color="auto"/>
              <w:bottom w:val="single" w:sz="4" w:space="0" w:color="auto"/>
              <w:right w:val="single" w:sz="4" w:space="0" w:color="auto"/>
            </w:tcBorders>
            <w:shd w:val="clear" w:color="000000" w:fill="F2F2F2"/>
            <w:noWrap/>
            <w:vAlign w:val="center"/>
            <w:hideMark/>
          </w:tcPr>
          <w:p w14:paraId="164E40E0" w14:textId="77777777" w:rsidR="00B07312" w:rsidRPr="006B48D3" w:rsidRDefault="00B07312" w:rsidP="00D22441">
            <w:pPr>
              <w:jc w:val="center"/>
              <w:rPr>
                <w:rFonts w:ascii="Arial Narrow" w:hAnsi="Arial Narrow" w:cs="Arial"/>
                <w:spacing w:val="0"/>
                <w:sz w:val="16"/>
                <w:szCs w:val="16"/>
                <w:lang w:eastAsia="es-CO"/>
              </w:rPr>
            </w:pPr>
            <w:r w:rsidRPr="006B48D3">
              <w:rPr>
                <w:rFonts w:ascii="Arial Narrow" w:hAnsi="Arial Narrow" w:cs="Arial"/>
                <w:spacing w:val="0"/>
                <w:sz w:val="16"/>
                <w:szCs w:val="16"/>
                <w:lang w:eastAsia="es-CO"/>
              </w:rPr>
              <w:t>67</w:t>
            </w:r>
          </w:p>
        </w:tc>
        <w:tc>
          <w:tcPr>
            <w:tcW w:w="585" w:type="dxa"/>
            <w:tcBorders>
              <w:top w:val="nil"/>
              <w:left w:val="nil"/>
              <w:bottom w:val="single" w:sz="4" w:space="0" w:color="auto"/>
              <w:right w:val="single" w:sz="4" w:space="0" w:color="auto"/>
            </w:tcBorders>
            <w:shd w:val="clear" w:color="000000" w:fill="F2F2F2"/>
            <w:noWrap/>
            <w:vAlign w:val="center"/>
            <w:hideMark/>
          </w:tcPr>
          <w:p w14:paraId="531B8A8B"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3206</w:t>
            </w:r>
          </w:p>
        </w:tc>
        <w:tc>
          <w:tcPr>
            <w:tcW w:w="941" w:type="dxa"/>
            <w:tcBorders>
              <w:top w:val="nil"/>
              <w:left w:val="nil"/>
              <w:bottom w:val="single" w:sz="4" w:space="0" w:color="auto"/>
              <w:right w:val="single" w:sz="4" w:space="0" w:color="auto"/>
            </w:tcBorders>
            <w:shd w:val="clear" w:color="000000" w:fill="F2F2F2"/>
            <w:noWrap/>
            <w:vAlign w:val="center"/>
            <w:hideMark/>
          </w:tcPr>
          <w:p w14:paraId="629EE709"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899999068</w:t>
            </w:r>
          </w:p>
        </w:tc>
        <w:tc>
          <w:tcPr>
            <w:tcW w:w="3247" w:type="dxa"/>
            <w:tcBorders>
              <w:top w:val="nil"/>
              <w:left w:val="nil"/>
              <w:bottom w:val="single" w:sz="4" w:space="0" w:color="auto"/>
              <w:right w:val="single" w:sz="4" w:space="0" w:color="auto"/>
            </w:tcBorders>
            <w:shd w:val="clear" w:color="000000" w:fill="F2F2F2"/>
            <w:vAlign w:val="center"/>
            <w:hideMark/>
          </w:tcPr>
          <w:p w14:paraId="05123DBB" w14:textId="77777777" w:rsidR="00B07312" w:rsidRPr="006B48D3" w:rsidRDefault="00B07312" w:rsidP="00D22441">
            <w:pPr>
              <w:jc w:val="left"/>
              <w:rPr>
                <w:rFonts w:ascii="Arial Narrow" w:hAnsi="Arial Narrow" w:cs="Arial"/>
                <w:spacing w:val="0"/>
                <w:sz w:val="16"/>
                <w:szCs w:val="16"/>
                <w:lang w:eastAsia="es-CO"/>
              </w:rPr>
            </w:pPr>
            <w:r w:rsidRPr="006B48D3">
              <w:rPr>
                <w:rFonts w:ascii="Arial Narrow" w:hAnsi="Arial Narrow" w:cs="Arial"/>
                <w:spacing w:val="0"/>
                <w:sz w:val="16"/>
                <w:szCs w:val="16"/>
                <w:lang w:eastAsia="es-CO"/>
              </w:rPr>
              <w:t>ECOPETROL S.A.</w:t>
            </w:r>
          </w:p>
        </w:tc>
        <w:tc>
          <w:tcPr>
            <w:tcW w:w="1620" w:type="dxa"/>
            <w:tcBorders>
              <w:top w:val="nil"/>
              <w:left w:val="nil"/>
              <w:bottom w:val="single" w:sz="4" w:space="0" w:color="auto"/>
              <w:right w:val="single" w:sz="4" w:space="0" w:color="auto"/>
            </w:tcBorders>
            <w:shd w:val="clear" w:color="000000" w:fill="F2F2F2"/>
            <w:noWrap/>
            <w:vAlign w:val="center"/>
            <w:hideMark/>
          </w:tcPr>
          <w:p w14:paraId="27D6F345"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$ 448.321.888.000</w:t>
            </w:r>
          </w:p>
        </w:tc>
        <w:tc>
          <w:tcPr>
            <w:tcW w:w="1520" w:type="dxa"/>
            <w:tcBorders>
              <w:top w:val="nil"/>
              <w:left w:val="nil"/>
              <w:bottom w:val="single" w:sz="4" w:space="0" w:color="auto"/>
              <w:right w:val="single" w:sz="4" w:space="0" w:color="auto"/>
            </w:tcBorders>
            <w:shd w:val="clear" w:color="000000" w:fill="F2F2F2"/>
            <w:noWrap/>
            <w:vAlign w:val="center"/>
            <w:hideMark/>
          </w:tcPr>
          <w:p w14:paraId="7C3F6AB7"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$ 0</w:t>
            </w:r>
          </w:p>
        </w:tc>
        <w:tc>
          <w:tcPr>
            <w:tcW w:w="1460" w:type="dxa"/>
            <w:tcBorders>
              <w:top w:val="nil"/>
              <w:left w:val="nil"/>
              <w:bottom w:val="single" w:sz="4" w:space="0" w:color="auto"/>
              <w:right w:val="single" w:sz="4" w:space="0" w:color="auto"/>
            </w:tcBorders>
            <w:shd w:val="clear" w:color="000000" w:fill="F2F2F2"/>
            <w:noWrap/>
            <w:vAlign w:val="center"/>
            <w:hideMark/>
          </w:tcPr>
          <w:p w14:paraId="27EDE7B7"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$ 448.321.888.000</w:t>
            </w:r>
          </w:p>
        </w:tc>
        <w:tc>
          <w:tcPr>
            <w:tcW w:w="1280" w:type="dxa"/>
            <w:tcBorders>
              <w:top w:val="nil"/>
              <w:left w:val="nil"/>
              <w:bottom w:val="single" w:sz="4" w:space="0" w:color="auto"/>
              <w:right w:val="single" w:sz="4" w:space="0" w:color="auto"/>
            </w:tcBorders>
            <w:shd w:val="clear" w:color="000000" w:fill="F2F2F2"/>
            <w:noWrap/>
            <w:vAlign w:val="center"/>
            <w:hideMark/>
          </w:tcPr>
          <w:p w14:paraId="6CDF2D6C"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$ 4.483.218.880</w:t>
            </w:r>
          </w:p>
        </w:tc>
        <w:tc>
          <w:tcPr>
            <w:tcW w:w="1200" w:type="dxa"/>
            <w:tcBorders>
              <w:top w:val="nil"/>
              <w:left w:val="nil"/>
              <w:bottom w:val="single" w:sz="4" w:space="0" w:color="auto"/>
              <w:right w:val="single" w:sz="4" w:space="0" w:color="auto"/>
            </w:tcBorders>
            <w:shd w:val="clear" w:color="000000" w:fill="F2F2F2"/>
            <w:noWrap/>
            <w:vAlign w:val="center"/>
            <w:hideMark/>
          </w:tcPr>
          <w:p w14:paraId="48DE6F30"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$ 186.576</w:t>
            </w:r>
          </w:p>
        </w:tc>
        <w:tc>
          <w:tcPr>
            <w:tcW w:w="1280" w:type="dxa"/>
            <w:tcBorders>
              <w:top w:val="nil"/>
              <w:left w:val="nil"/>
              <w:bottom w:val="single" w:sz="4" w:space="0" w:color="auto"/>
              <w:right w:val="single" w:sz="4" w:space="0" w:color="auto"/>
            </w:tcBorders>
            <w:shd w:val="clear" w:color="000000" w:fill="F2F2F2"/>
            <w:noWrap/>
            <w:vAlign w:val="center"/>
            <w:hideMark/>
          </w:tcPr>
          <w:p w14:paraId="185C4E18"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$ 4.483.405.456</w:t>
            </w:r>
          </w:p>
        </w:tc>
      </w:tr>
      <w:tr w:rsidR="00B07312" w:rsidRPr="006B48D3" w14:paraId="31404B94" w14:textId="77777777" w:rsidTr="00D16BC5">
        <w:trPr>
          <w:trHeight w:val="257"/>
        </w:trPr>
        <w:tc>
          <w:tcPr>
            <w:tcW w:w="407" w:type="dxa"/>
            <w:tcBorders>
              <w:top w:val="nil"/>
              <w:left w:val="single" w:sz="4" w:space="0" w:color="auto"/>
              <w:bottom w:val="single" w:sz="4" w:space="0" w:color="auto"/>
              <w:right w:val="single" w:sz="4" w:space="0" w:color="auto"/>
            </w:tcBorders>
            <w:shd w:val="clear" w:color="000000" w:fill="F2F2F2"/>
            <w:noWrap/>
            <w:vAlign w:val="center"/>
            <w:hideMark/>
          </w:tcPr>
          <w:p w14:paraId="5684A53C" w14:textId="77777777" w:rsidR="00B07312" w:rsidRPr="006B48D3" w:rsidRDefault="00B07312" w:rsidP="00D22441">
            <w:pPr>
              <w:jc w:val="center"/>
              <w:rPr>
                <w:rFonts w:ascii="Arial Narrow" w:hAnsi="Arial Narrow" w:cs="Arial"/>
                <w:spacing w:val="0"/>
                <w:sz w:val="16"/>
                <w:szCs w:val="16"/>
                <w:lang w:eastAsia="es-CO"/>
              </w:rPr>
            </w:pPr>
            <w:r w:rsidRPr="006B48D3">
              <w:rPr>
                <w:rFonts w:ascii="Arial Narrow" w:hAnsi="Arial Narrow" w:cs="Arial"/>
                <w:spacing w:val="0"/>
                <w:sz w:val="16"/>
                <w:szCs w:val="16"/>
                <w:lang w:eastAsia="es-CO"/>
              </w:rPr>
              <w:lastRenderedPageBreak/>
              <w:t>68</w:t>
            </w:r>
          </w:p>
        </w:tc>
        <w:tc>
          <w:tcPr>
            <w:tcW w:w="585" w:type="dxa"/>
            <w:tcBorders>
              <w:top w:val="nil"/>
              <w:left w:val="nil"/>
              <w:bottom w:val="single" w:sz="4" w:space="0" w:color="auto"/>
              <w:right w:val="single" w:sz="4" w:space="0" w:color="auto"/>
            </w:tcBorders>
            <w:shd w:val="clear" w:color="000000" w:fill="F2F2F2"/>
            <w:noWrap/>
            <w:vAlign w:val="center"/>
            <w:hideMark/>
          </w:tcPr>
          <w:p w14:paraId="39C3DF31"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20420</w:t>
            </w:r>
          </w:p>
        </w:tc>
        <w:tc>
          <w:tcPr>
            <w:tcW w:w="941" w:type="dxa"/>
            <w:tcBorders>
              <w:top w:val="nil"/>
              <w:left w:val="nil"/>
              <w:bottom w:val="single" w:sz="4" w:space="0" w:color="auto"/>
              <w:right w:val="single" w:sz="4" w:space="0" w:color="auto"/>
            </w:tcBorders>
            <w:shd w:val="clear" w:color="000000" w:fill="F2F2F2"/>
            <w:noWrap/>
            <w:vAlign w:val="center"/>
            <w:hideMark/>
          </w:tcPr>
          <w:p w14:paraId="2A561FF6"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900028111</w:t>
            </w:r>
          </w:p>
        </w:tc>
        <w:tc>
          <w:tcPr>
            <w:tcW w:w="3247" w:type="dxa"/>
            <w:tcBorders>
              <w:top w:val="nil"/>
              <w:left w:val="nil"/>
              <w:bottom w:val="single" w:sz="4" w:space="0" w:color="auto"/>
              <w:right w:val="single" w:sz="4" w:space="0" w:color="auto"/>
            </w:tcBorders>
            <w:shd w:val="clear" w:color="000000" w:fill="F2F2F2"/>
            <w:vAlign w:val="center"/>
            <w:hideMark/>
          </w:tcPr>
          <w:p w14:paraId="4514ECF2" w14:textId="77777777" w:rsidR="00B07312" w:rsidRPr="006B48D3" w:rsidRDefault="00B07312" w:rsidP="00D22441">
            <w:pPr>
              <w:jc w:val="left"/>
              <w:rPr>
                <w:rFonts w:ascii="Arial Narrow" w:hAnsi="Arial Narrow" w:cs="Arial"/>
                <w:spacing w:val="0"/>
                <w:sz w:val="16"/>
                <w:szCs w:val="16"/>
                <w:lang w:eastAsia="es-CO"/>
              </w:rPr>
            </w:pPr>
            <w:r w:rsidRPr="006B48D3">
              <w:rPr>
                <w:rFonts w:ascii="Arial Narrow" w:hAnsi="Arial Narrow" w:cs="Arial"/>
                <w:spacing w:val="0"/>
                <w:sz w:val="16"/>
                <w:szCs w:val="16"/>
                <w:lang w:eastAsia="es-CO"/>
              </w:rPr>
              <w:t>TURGAS S.A. E.S.P.</w:t>
            </w:r>
          </w:p>
        </w:tc>
        <w:tc>
          <w:tcPr>
            <w:tcW w:w="1620" w:type="dxa"/>
            <w:tcBorders>
              <w:top w:val="nil"/>
              <w:left w:val="nil"/>
              <w:bottom w:val="single" w:sz="4" w:space="0" w:color="auto"/>
              <w:right w:val="single" w:sz="4" w:space="0" w:color="auto"/>
            </w:tcBorders>
            <w:shd w:val="clear" w:color="000000" w:fill="F2F2F2"/>
            <w:noWrap/>
            <w:vAlign w:val="center"/>
            <w:hideMark/>
          </w:tcPr>
          <w:p w14:paraId="4ED2CBD1"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$ 2.820.315.775</w:t>
            </w:r>
          </w:p>
        </w:tc>
        <w:tc>
          <w:tcPr>
            <w:tcW w:w="1520" w:type="dxa"/>
            <w:tcBorders>
              <w:top w:val="nil"/>
              <w:left w:val="nil"/>
              <w:bottom w:val="single" w:sz="4" w:space="0" w:color="auto"/>
              <w:right w:val="single" w:sz="4" w:space="0" w:color="auto"/>
            </w:tcBorders>
            <w:shd w:val="clear" w:color="000000" w:fill="F2F2F2"/>
            <w:noWrap/>
            <w:vAlign w:val="center"/>
            <w:hideMark/>
          </w:tcPr>
          <w:p w14:paraId="07E1EAD8"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$ 430.348.194</w:t>
            </w:r>
          </w:p>
        </w:tc>
        <w:tc>
          <w:tcPr>
            <w:tcW w:w="1460" w:type="dxa"/>
            <w:tcBorders>
              <w:top w:val="nil"/>
              <w:left w:val="nil"/>
              <w:bottom w:val="single" w:sz="4" w:space="0" w:color="auto"/>
              <w:right w:val="single" w:sz="4" w:space="0" w:color="auto"/>
            </w:tcBorders>
            <w:shd w:val="clear" w:color="000000" w:fill="F2F2F2"/>
            <w:noWrap/>
            <w:vAlign w:val="center"/>
            <w:hideMark/>
          </w:tcPr>
          <w:p w14:paraId="00FB12C0"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$ 3.250.663.969</w:t>
            </w:r>
          </w:p>
        </w:tc>
        <w:tc>
          <w:tcPr>
            <w:tcW w:w="1280" w:type="dxa"/>
            <w:tcBorders>
              <w:top w:val="nil"/>
              <w:left w:val="nil"/>
              <w:bottom w:val="single" w:sz="4" w:space="0" w:color="auto"/>
              <w:right w:val="single" w:sz="4" w:space="0" w:color="auto"/>
            </w:tcBorders>
            <w:shd w:val="clear" w:color="000000" w:fill="F2F2F2"/>
            <w:noWrap/>
            <w:vAlign w:val="center"/>
            <w:hideMark/>
          </w:tcPr>
          <w:p w14:paraId="3B0AFEA8"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$ 32.506.640</w:t>
            </w:r>
          </w:p>
        </w:tc>
        <w:tc>
          <w:tcPr>
            <w:tcW w:w="1200" w:type="dxa"/>
            <w:tcBorders>
              <w:top w:val="nil"/>
              <w:left w:val="nil"/>
              <w:bottom w:val="single" w:sz="4" w:space="0" w:color="auto"/>
              <w:right w:val="single" w:sz="4" w:space="0" w:color="auto"/>
            </w:tcBorders>
            <w:shd w:val="clear" w:color="000000" w:fill="F2F2F2"/>
            <w:noWrap/>
            <w:vAlign w:val="center"/>
            <w:hideMark/>
          </w:tcPr>
          <w:p w14:paraId="2FD841A2"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$ 1.353</w:t>
            </w:r>
          </w:p>
        </w:tc>
        <w:tc>
          <w:tcPr>
            <w:tcW w:w="1280" w:type="dxa"/>
            <w:tcBorders>
              <w:top w:val="nil"/>
              <w:left w:val="nil"/>
              <w:bottom w:val="single" w:sz="4" w:space="0" w:color="auto"/>
              <w:right w:val="single" w:sz="4" w:space="0" w:color="auto"/>
            </w:tcBorders>
            <w:shd w:val="clear" w:color="000000" w:fill="F2F2F2"/>
            <w:noWrap/>
            <w:vAlign w:val="center"/>
            <w:hideMark/>
          </w:tcPr>
          <w:p w14:paraId="165AB78D"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$ 32.507.993</w:t>
            </w:r>
          </w:p>
        </w:tc>
      </w:tr>
      <w:tr w:rsidR="00B07312" w:rsidRPr="006B48D3" w14:paraId="279138C6" w14:textId="77777777" w:rsidTr="00D16BC5">
        <w:trPr>
          <w:trHeight w:val="275"/>
        </w:trPr>
        <w:tc>
          <w:tcPr>
            <w:tcW w:w="407" w:type="dxa"/>
            <w:tcBorders>
              <w:top w:val="nil"/>
              <w:left w:val="single" w:sz="4" w:space="0" w:color="auto"/>
              <w:bottom w:val="single" w:sz="4" w:space="0" w:color="auto"/>
              <w:right w:val="single" w:sz="4" w:space="0" w:color="auto"/>
            </w:tcBorders>
            <w:shd w:val="clear" w:color="000000" w:fill="F2F2F2"/>
            <w:noWrap/>
            <w:vAlign w:val="center"/>
            <w:hideMark/>
          </w:tcPr>
          <w:p w14:paraId="0AA03ED1" w14:textId="77777777" w:rsidR="00B07312" w:rsidRPr="006B48D3" w:rsidRDefault="00B07312" w:rsidP="00D22441">
            <w:pPr>
              <w:jc w:val="center"/>
              <w:rPr>
                <w:rFonts w:ascii="Arial Narrow" w:hAnsi="Arial Narrow" w:cs="Arial"/>
                <w:spacing w:val="0"/>
                <w:sz w:val="16"/>
                <w:szCs w:val="16"/>
                <w:lang w:eastAsia="es-CO"/>
              </w:rPr>
            </w:pPr>
            <w:r w:rsidRPr="006B48D3">
              <w:rPr>
                <w:rFonts w:ascii="Arial Narrow" w:hAnsi="Arial Narrow" w:cs="Arial"/>
                <w:spacing w:val="0"/>
                <w:sz w:val="16"/>
                <w:szCs w:val="16"/>
                <w:lang w:eastAsia="es-CO"/>
              </w:rPr>
              <w:t>69</w:t>
            </w:r>
          </w:p>
        </w:tc>
        <w:tc>
          <w:tcPr>
            <w:tcW w:w="585" w:type="dxa"/>
            <w:tcBorders>
              <w:top w:val="nil"/>
              <w:left w:val="nil"/>
              <w:bottom w:val="single" w:sz="4" w:space="0" w:color="auto"/>
              <w:right w:val="single" w:sz="4" w:space="0" w:color="auto"/>
            </w:tcBorders>
            <w:shd w:val="clear" w:color="000000" w:fill="F2F2F2"/>
            <w:noWrap/>
            <w:vAlign w:val="center"/>
            <w:hideMark/>
          </w:tcPr>
          <w:p w14:paraId="4096876E"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38641</w:t>
            </w:r>
          </w:p>
        </w:tc>
        <w:tc>
          <w:tcPr>
            <w:tcW w:w="941" w:type="dxa"/>
            <w:tcBorders>
              <w:top w:val="nil"/>
              <w:left w:val="nil"/>
              <w:bottom w:val="single" w:sz="4" w:space="0" w:color="auto"/>
              <w:right w:val="single" w:sz="4" w:space="0" w:color="auto"/>
            </w:tcBorders>
            <w:shd w:val="clear" w:color="000000" w:fill="F2F2F2"/>
            <w:noWrap/>
            <w:vAlign w:val="center"/>
            <w:hideMark/>
          </w:tcPr>
          <w:p w14:paraId="69D666F1"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900039770</w:t>
            </w:r>
          </w:p>
        </w:tc>
        <w:tc>
          <w:tcPr>
            <w:tcW w:w="3247" w:type="dxa"/>
            <w:tcBorders>
              <w:top w:val="nil"/>
              <w:left w:val="nil"/>
              <w:bottom w:val="single" w:sz="4" w:space="0" w:color="auto"/>
              <w:right w:val="single" w:sz="4" w:space="0" w:color="auto"/>
            </w:tcBorders>
            <w:shd w:val="clear" w:color="000000" w:fill="F2F2F2"/>
            <w:vAlign w:val="center"/>
            <w:hideMark/>
          </w:tcPr>
          <w:p w14:paraId="61381F8A" w14:textId="77777777" w:rsidR="00B07312" w:rsidRPr="006B48D3" w:rsidRDefault="00B07312" w:rsidP="00D22441">
            <w:pPr>
              <w:jc w:val="left"/>
              <w:rPr>
                <w:rFonts w:ascii="Arial Narrow" w:hAnsi="Arial Narrow" w:cs="Arial"/>
                <w:spacing w:val="0"/>
                <w:sz w:val="16"/>
                <w:szCs w:val="16"/>
                <w:lang w:eastAsia="es-CO"/>
              </w:rPr>
            </w:pPr>
            <w:r w:rsidRPr="006B48D3">
              <w:rPr>
                <w:rFonts w:ascii="Arial Narrow" w:hAnsi="Arial Narrow" w:cs="Arial"/>
                <w:spacing w:val="0"/>
                <w:sz w:val="16"/>
                <w:szCs w:val="16"/>
                <w:lang w:eastAsia="es-CO"/>
              </w:rPr>
              <w:t>VERAGAS SAS ESP</w:t>
            </w:r>
          </w:p>
        </w:tc>
        <w:tc>
          <w:tcPr>
            <w:tcW w:w="1620" w:type="dxa"/>
            <w:tcBorders>
              <w:top w:val="nil"/>
              <w:left w:val="nil"/>
              <w:bottom w:val="single" w:sz="4" w:space="0" w:color="auto"/>
              <w:right w:val="single" w:sz="4" w:space="0" w:color="auto"/>
            </w:tcBorders>
            <w:shd w:val="clear" w:color="000000" w:fill="F2F2F2"/>
            <w:noWrap/>
            <w:vAlign w:val="center"/>
            <w:hideMark/>
          </w:tcPr>
          <w:p w14:paraId="411ED1DE"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$ 506.514.000</w:t>
            </w:r>
          </w:p>
        </w:tc>
        <w:tc>
          <w:tcPr>
            <w:tcW w:w="1520" w:type="dxa"/>
            <w:tcBorders>
              <w:top w:val="nil"/>
              <w:left w:val="nil"/>
              <w:bottom w:val="single" w:sz="4" w:space="0" w:color="auto"/>
              <w:right w:val="single" w:sz="4" w:space="0" w:color="auto"/>
            </w:tcBorders>
            <w:shd w:val="clear" w:color="000000" w:fill="F2F2F2"/>
            <w:noWrap/>
            <w:vAlign w:val="center"/>
            <w:hideMark/>
          </w:tcPr>
          <w:p w14:paraId="5665F83B"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$ 0</w:t>
            </w:r>
          </w:p>
        </w:tc>
        <w:tc>
          <w:tcPr>
            <w:tcW w:w="1460" w:type="dxa"/>
            <w:tcBorders>
              <w:top w:val="nil"/>
              <w:left w:val="nil"/>
              <w:bottom w:val="single" w:sz="4" w:space="0" w:color="auto"/>
              <w:right w:val="single" w:sz="4" w:space="0" w:color="auto"/>
            </w:tcBorders>
            <w:shd w:val="clear" w:color="000000" w:fill="F2F2F2"/>
            <w:noWrap/>
            <w:vAlign w:val="center"/>
            <w:hideMark/>
          </w:tcPr>
          <w:p w14:paraId="20F0CD52"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$ 506.514.000</w:t>
            </w:r>
          </w:p>
        </w:tc>
        <w:tc>
          <w:tcPr>
            <w:tcW w:w="1280" w:type="dxa"/>
            <w:tcBorders>
              <w:top w:val="nil"/>
              <w:left w:val="nil"/>
              <w:bottom w:val="single" w:sz="4" w:space="0" w:color="auto"/>
              <w:right w:val="single" w:sz="4" w:space="0" w:color="auto"/>
            </w:tcBorders>
            <w:shd w:val="clear" w:color="000000" w:fill="F2F2F2"/>
            <w:noWrap/>
            <w:vAlign w:val="center"/>
            <w:hideMark/>
          </w:tcPr>
          <w:p w14:paraId="51018D1E"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$ 5.065.140</w:t>
            </w:r>
          </w:p>
        </w:tc>
        <w:tc>
          <w:tcPr>
            <w:tcW w:w="1200" w:type="dxa"/>
            <w:tcBorders>
              <w:top w:val="nil"/>
              <w:left w:val="nil"/>
              <w:bottom w:val="single" w:sz="4" w:space="0" w:color="auto"/>
              <w:right w:val="single" w:sz="4" w:space="0" w:color="auto"/>
            </w:tcBorders>
            <w:shd w:val="clear" w:color="000000" w:fill="F2F2F2"/>
            <w:noWrap/>
            <w:vAlign w:val="center"/>
            <w:hideMark/>
          </w:tcPr>
          <w:p w14:paraId="438F98EE"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$ 211</w:t>
            </w:r>
          </w:p>
        </w:tc>
        <w:tc>
          <w:tcPr>
            <w:tcW w:w="1280" w:type="dxa"/>
            <w:tcBorders>
              <w:top w:val="nil"/>
              <w:left w:val="nil"/>
              <w:bottom w:val="single" w:sz="4" w:space="0" w:color="auto"/>
              <w:right w:val="single" w:sz="4" w:space="0" w:color="auto"/>
            </w:tcBorders>
            <w:shd w:val="clear" w:color="000000" w:fill="F2F2F2"/>
            <w:noWrap/>
            <w:vAlign w:val="center"/>
            <w:hideMark/>
          </w:tcPr>
          <w:p w14:paraId="76EAC4EA"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$ 5.065.351</w:t>
            </w:r>
          </w:p>
        </w:tc>
      </w:tr>
      <w:tr w:rsidR="00B07312" w:rsidRPr="006B48D3" w14:paraId="6F466852" w14:textId="77777777" w:rsidTr="00D16BC5">
        <w:trPr>
          <w:trHeight w:val="279"/>
        </w:trPr>
        <w:tc>
          <w:tcPr>
            <w:tcW w:w="407" w:type="dxa"/>
            <w:tcBorders>
              <w:top w:val="nil"/>
              <w:left w:val="single" w:sz="4" w:space="0" w:color="auto"/>
              <w:bottom w:val="single" w:sz="4" w:space="0" w:color="auto"/>
              <w:right w:val="single" w:sz="4" w:space="0" w:color="auto"/>
            </w:tcBorders>
            <w:shd w:val="clear" w:color="000000" w:fill="F2F2F2"/>
            <w:noWrap/>
            <w:vAlign w:val="center"/>
            <w:hideMark/>
          </w:tcPr>
          <w:p w14:paraId="093BCFD6" w14:textId="77777777" w:rsidR="00B07312" w:rsidRPr="006B48D3" w:rsidRDefault="00B07312" w:rsidP="00D22441">
            <w:pPr>
              <w:jc w:val="center"/>
              <w:rPr>
                <w:rFonts w:ascii="Arial Narrow" w:hAnsi="Arial Narrow" w:cs="Arial"/>
                <w:spacing w:val="0"/>
                <w:sz w:val="16"/>
                <w:szCs w:val="16"/>
                <w:lang w:eastAsia="es-CO"/>
              </w:rPr>
            </w:pPr>
            <w:r w:rsidRPr="006B48D3">
              <w:rPr>
                <w:rFonts w:ascii="Arial Narrow" w:hAnsi="Arial Narrow" w:cs="Arial"/>
                <w:spacing w:val="0"/>
                <w:sz w:val="16"/>
                <w:szCs w:val="16"/>
                <w:lang w:eastAsia="es-CO"/>
              </w:rPr>
              <w:t>70</w:t>
            </w:r>
          </w:p>
        </w:tc>
        <w:tc>
          <w:tcPr>
            <w:tcW w:w="585" w:type="dxa"/>
            <w:tcBorders>
              <w:top w:val="nil"/>
              <w:left w:val="nil"/>
              <w:bottom w:val="single" w:sz="4" w:space="0" w:color="auto"/>
              <w:right w:val="single" w:sz="4" w:space="0" w:color="auto"/>
            </w:tcBorders>
            <w:shd w:val="clear" w:color="000000" w:fill="F2F2F2"/>
            <w:noWrap/>
            <w:vAlign w:val="center"/>
            <w:hideMark/>
          </w:tcPr>
          <w:p w14:paraId="56A0F84B"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20510</w:t>
            </w:r>
          </w:p>
        </w:tc>
        <w:tc>
          <w:tcPr>
            <w:tcW w:w="941" w:type="dxa"/>
            <w:tcBorders>
              <w:top w:val="nil"/>
              <w:left w:val="nil"/>
              <w:bottom w:val="single" w:sz="4" w:space="0" w:color="auto"/>
              <w:right w:val="single" w:sz="4" w:space="0" w:color="auto"/>
            </w:tcBorders>
            <w:shd w:val="clear" w:color="000000" w:fill="F2F2F2"/>
            <w:noWrap/>
            <w:vAlign w:val="center"/>
            <w:hideMark/>
          </w:tcPr>
          <w:p w14:paraId="78622DE2"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900052841</w:t>
            </w:r>
          </w:p>
        </w:tc>
        <w:tc>
          <w:tcPr>
            <w:tcW w:w="3247" w:type="dxa"/>
            <w:tcBorders>
              <w:top w:val="nil"/>
              <w:left w:val="nil"/>
              <w:bottom w:val="single" w:sz="4" w:space="0" w:color="auto"/>
              <w:right w:val="single" w:sz="4" w:space="0" w:color="auto"/>
            </w:tcBorders>
            <w:shd w:val="clear" w:color="000000" w:fill="F2F2F2"/>
            <w:vAlign w:val="center"/>
            <w:hideMark/>
          </w:tcPr>
          <w:p w14:paraId="698732BB" w14:textId="77777777" w:rsidR="00B07312" w:rsidRPr="006B48D3" w:rsidRDefault="00B07312" w:rsidP="00D22441">
            <w:pPr>
              <w:jc w:val="left"/>
              <w:rPr>
                <w:rFonts w:ascii="Arial Narrow" w:hAnsi="Arial Narrow" w:cs="Arial"/>
                <w:spacing w:val="0"/>
                <w:sz w:val="16"/>
                <w:szCs w:val="16"/>
                <w:lang w:eastAsia="es-CO"/>
              </w:rPr>
            </w:pPr>
            <w:r w:rsidRPr="006B48D3">
              <w:rPr>
                <w:rFonts w:ascii="Arial Narrow" w:hAnsi="Arial Narrow" w:cs="Arial"/>
                <w:spacing w:val="0"/>
                <w:sz w:val="16"/>
                <w:szCs w:val="16"/>
                <w:lang w:eastAsia="es-CO"/>
              </w:rPr>
              <w:t>CITYGAS COLOMBIA S.A. ESP.</w:t>
            </w:r>
          </w:p>
        </w:tc>
        <w:tc>
          <w:tcPr>
            <w:tcW w:w="1620" w:type="dxa"/>
            <w:tcBorders>
              <w:top w:val="nil"/>
              <w:left w:val="nil"/>
              <w:bottom w:val="single" w:sz="4" w:space="0" w:color="auto"/>
              <w:right w:val="single" w:sz="4" w:space="0" w:color="auto"/>
            </w:tcBorders>
            <w:shd w:val="clear" w:color="000000" w:fill="F2F2F2"/>
            <w:noWrap/>
            <w:vAlign w:val="center"/>
            <w:hideMark/>
          </w:tcPr>
          <w:p w14:paraId="02B2250D"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$ 705.444.000</w:t>
            </w:r>
          </w:p>
        </w:tc>
        <w:tc>
          <w:tcPr>
            <w:tcW w:w="1520" w:type="dxa"/>
            <w:tcBorders>
              <w:top w:val="nil"/>
              <w:left w:val="nil"/>
              <w:bottom w:val="single" w:sz="4" w:space="0" w:color="auto"/>
              <w:right w:val="single" w:sz="4" w:space="0" w:color="auto"/>
            </w:tcBorders>
            <w:shd w:val="clear" w:color="000000" w:fill="F2F2F2"/>
            <w:noWrap/>
            <w:vAlign w:val="center"/>
            <w:hideMark/>
          </w:tcPr>
          <w:p w14:paraId="07441388"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$ 64.513.686</w:t>
            </w:r>
          </w:p>
        </w:tc>
        <w:tc>
          <w:tcPr>
            <w:tcW w:w="1460" w:type="dxa"/>
            <w:tcBorders>
              <w:top w:val="nil"/>
              <w:left w:val="nil"/>
              <w:bottom w:val="single" w:sz="4" w:space="0" w:color="auto"/>
              <w:right w:val="single" w:sz="4" w:space="0" w:color="auto"/>
            </w:tcBorders>
            <w:shd w:val="clear" w:color="000000" w:fill="F2F2F2"/>
            <w:noWrap/>
            <w:vAlign w:val="center"/>
            <w:hideMark/>
          </w:tcPr>
          <w:p w14:paraId="59ADF78A"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$ 769.957.686</w:t>
            </w:r>
          </w:p>
        </w:tc>
        <w:tc>
          <w:tcPr>
            <w:tcW w:w="1280" w:type="dxa"/>
            <w:tcBorders>
              <w:top w:val="nil"/>
              <w:left w:val="nil"/>
              <w:bottom w:val="single" w:sz="4" w:space="0" w:color="auto"/>
              <w:right w:val="single" w:sz="4" w:space="0" w:color="auto"/>
            </w:tcBorders>
            <w:shd w:val="clear" w:color="000000" w:fill="F2F2F2"/>
            <w:noWrap/>
            <w:vAlign w:val="center"/>
            <w:hideMark/>
          </w:tcPr>
          <w:p w14:paraId="01FE3D46"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$ 7.699.577</w:t>
            </w:r>
          </w:p>
        </w:tc>
        <w:tc>
          <w:tcPr>
            <w:tcW w:w="1200" w:type="dxa"/>
            <w:tcBorders>
              <w:top w:val="nil"/>
              <w:left w:val="nil"/>
              <w:bottom w:val="single" w:sz="4" w:space="0" w:color="auto"/>
              <w:right w:val="single" w:sz="4" w:space="0" w:color="auto"/>
            </w:tcBorders>
            <w:shd w:val="clear" w:color="000000" w:fill="F2F2F2"/>
            <w:noWrap/>
            <w:vAlign w:val="center"/>
            <w:hideMark/>
          </w:tcPr>
          <w:p w14:paraId="118149F3"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$ 320</w:t>
            </w:r>
          </w:p>
        </w:tc>
        <w:tc>
          <w:tcPr>
            <w:tcW w:w="1280" w:type="dxa"/>
            <w:tcBorders>
              <w:top w:val="nil"/>
              <w:left w:val="nil"/>
              <w:bottom w:val="single" w:sz="4" w:space="0" w:color="auto"/>
              <w:right w:val="single" w:sz="4" w:space="0" w:color="auto"/>
            </w:tcBorders>
            <w:shd w:val="clear" w:color="000000" w:fill="F2F2F2"/>
            <w:noWrap/>
            <w:vAlign w:val="center"/>
            <w:hideMark/>
          </w:tcPr>
          <w:p w14:paraId="27FEA681"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$ 7.699.897</w:t>
            </w:r>
          </w:p>
        </w:tc>
      </w:tr>
      <w:tr w:rsidR="00B07312" w:rsidRPr="006B48D3" w14:paraId="525950B9" w14:textId="77777777" w:rsidTr="00D16BC5">
        <w:trPr>
          <w:trHeight w:val="313"/>
        </w:trPr>
        <w:tc>
          <w:tcPr>
            <w:tcW w:w="407" w:type="dxa"/>
            <w:tcBorders>
              <w:top w:val="nil"/>
              <w:left w:val="single" w:sz="4" w:space="0" w:color="auto"/>
              <w:bottom w:val="single" w:sz="4" w:space="0" w:color="auto"/>
              <w:right w:val="single" w:sz="4" w:space="0" w:color="auto"/>
            </w:tcBorders>
            <w:shd w:val="clear" w:color="000000" w:fill="F2F2F2"/>
            <w:noWrap/>
            <w:vAlign w:val="center"/>
            <w:hideMark/>
          </w:tcPr>
          <w:p w14:paraId="7B1CFA3C" w14:textId="77777777" w:rsidR="00B07312" w:rsidRPr="006B48D3" w:rsidRDefault="00B07312" w:rsidP="00D22441">
            <w:pPr>
              <w:jc w:val="center"/>
              <w:rPr>
                <w:rFonts w:ascii="Arial Narrow" w:hAnsi="Arial Narrow" w:cs="Arial"/>
                <w:spacing w:val="0"/>
                <w:sz w:val="16"/>
                <w:szCs w:val="16"/>
                <w:lang w:eastAsia="es-CO"/>
              </w:rPr>
            </w:pPr>
            <w:r w:rsidRPr="006B48D3">
              <w:rPr>
                <w:rFonts w:ascii="Arial Narrow" w:hAnsi="Arial Narrow" w:cs="Arial"/>
                <w:spacing w:val="0"/>
                <w:sz w:val="16"/>
                <w:szCs w:val="16"/>
                <w:lang w:eastAsia="es-CO"/>
              </w:rPr>
              <w:t>71</w:t>
            </w:r>
          </w:p>
        </w:tc>
        <w:tc>
          <w:tcPr>
            <w:tcW w:w="585" w:type="dxa"/>
            <w:tcBorders>
              <w:top w:val="nil"/>
              <w:left w:val="nil"/>
              <w:bottom w:val="single" w:sz="4" w:space="0" w:color="auto"/>
              <w:right w:val="single" w:sz="4" w:space="0" w:color="auto"/>
            </w:tcBorders>
            <w:shd w:val="clear" w:color="000000" w:fill="F2F2F2"/>
            <w:noWrap/>
            <w:vAlign w:val="center"/>
            <w:hideMark/>
          </w:tcPr>
          <w:p w14:paraId="21B8D818"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29191</w:t>
            </w:r>
          </w:p>
        </w:tc>
        <w:tc>
          <w:tcPr>
            <w:tcW w:w="941" w:type="dxa"/>
            <w:tcBorders>
              <w:top w:val="nil"/>
              <w:left w:val="nil"/>
              <w:bottom w:val="single" w:sz="4" w:space="0" w:color="auto"/>
              <w:right w:val="single" w:sz="4" w:space="0" w:color="auto"/>
            </w:tcBorders>
            <w:shd w:val="clear" w:color="000000" w:fill="F2F2F2"/>
            <w:noWrap/>
            <w:vAlign w:val="center"/>
            <w:hideMark/>
          </w:tcPr>
          <w:p w14:paraId="4B46D3C7"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900089276</w:t>
            </w:r>
          </w:p>
        </w:tc>
        <w:tc>
          <w:tcPr>
            <w:tcW w:w="3247" w:type="dxa"/>
            <w:tcBorders>
              <w:top w:val="nil"/>
              <w:left w:val="nil"/>
              <w:bottom w:val="single" w:sz="4" w:space="0" w:color="auto"/>
              <w:right w:val="single" w:sz="4" w:space="0" w:color="auto"/>
            </w:tcBorders>
            <w:shd w:val="clear" w:color="000000" w:fill="F2F2F2"/>
            <w:vAlign w:val="center"/>
            <w:hideMark/>
          </w:tcPr>
          <w:p w14:paraId="773768EF" w14:textId="77777777" w:rsidR="00B07312" w:rsidRPr="006B48D3" w:rsidRDefault="00B07312" w:rsidP="00D22441">
            <w:pPr>
              <w:jc w:val="left"/>
              <w:rPr>
                <w:rFonts w:ascii="Arial Narrow" w:hAnsi="Arial Narrow" w:cs="Arial"/>
                <w:spacing w:val="0"/>
                <w:sz w:val="16"/>
                <w:szCs w:val="16"/>
                <w:lang w:eastAsia="es-CO"/>
              </w:rPr>
            </w:pPr>
            <w:r w:rsidRPr="006B48D3">
              <w:rPr>
                <w:rFonts w:ascii="Arial Narrow" w:hAnsi="Arial Narrow" w:cs="Arial"/>
                <w:spacing w:val="0"/>
                <w:sz w:val="16"/>
                <w:szCs w:val="16"/>
                <w:lang w:eastAsia="es-CO"/>
              </w:rPr>
              <w:t xml:space="preserve">LEWIS ENERGY COLOMBIA INC </w:t>
            </w:r>
          </w:p>
        </w:tc>
        <w:tc>
          <w:tcPr>
            <w:tcW w:w="1620" w:type="dxa"/>
            <w:tcBorders>
              <w:top w:val="nil"/>
              <w:left w:val="nil"/>
              <w:bottom w:val="single" w:sz="4" w:space="0" w:color="auto"/>
              <w:right w:val="single" w:sz="4" w:space="0" w:color="auto"/>
            </w:tcBorders>
            <w:shd w:val="clear" w:color="000000" w:fill="F2F2F2"/>
            <w:noWrap/>
            <w:vAlign w:val="center"/>
            <w:hideMark/>
          </w:tcPr>
          <w:p w14:paraId="23C18B64"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$ 5.403.997.000</w:t>
            </w:r>
          </w:p>
        </w:tc>
        <w:tc>
          <w:tcPr>
            <w:tcW w:w="1520" w:type="dxa"/>
            <w:tcBorders>
              <w:top w:val="nil"/>
              <w:left w:val="nil"/>
              <w:bottom w:val="single" w:sz="4" w:space="0" w:color="auto"/>
              <w:right w:val="single" w:sz="4" w:space="0" w:color="auto"/>
            </w:tcBorders>
            <w:shd w:val="clear" w:color="000000" w:fill="F2F2F2"/>
            <w:noWrap/>
            <w:vAlign w:val="center"/>
            <w:hideMark/>
          </w:tcPr>
          <w:p w14:paraId="530D4AD4"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$ 0</w:t>
            </w:r>
          </w:p>
        </w:tc>
        <w:tc>
          <w:tcPr>
            <w:tcW w:w="1460" w:type="dxa"/>
            <w:tcBorders>
              <w:top w:val="nil"/>
              <w:left w:val="nil"/>
              <w:bottom w:val="single" w:sz="4" w:space="0" w:color="auto"/>
              <w:right w:val="single" w:sz="4" w:space="0" w:color="auto"/>
            </w:tcBorders>
            <w:shd w:val="clear" w:color="000000" w:fill="F2F2F2"/>
            <w:noWrap/>
            <w:vAlign w:val="center"/>
            <w:hideMark/>
          </w:tcPr>
          <w:p w14:paraId="3FFC7624"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$ 5.403.997.000</w:t>
            </w:r>
          </w:p>
        </w:tc>
        <w:tc>
          <w:tcPr>
            <w:tcW w:w="1280" w:type="dxa"/>
            <w:tcBorders>
              <w:top w:val="nil"/>
              <w:left w:val="nil"/>
              <w:bottom w:val="single" w:sz="4" w:space="0" w:color="auto"/>
              <w:right w:val="single" w:sz="4" w:space="0" w:color="auto"/>
            </w:tcBorders>
            <w:shd w:val="clear" w:color="000000" w:fill="F2F2F2"/>
            <w:noWrap/>
            <w:vAlign w:val="center"/>
            <w:hideMark/>
          </w:tcPr>
          <w:p w14:paraId="534D15B9"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$ 54.039.970</w:t>
            </w:r>
          </w:p>
        </w:tc>
        <w:tc>
          <w:tcPr>
            <w:tcW w:w="1200" w:type="dxa"/>
            <w:tcBorders>
              <w:top w:val="nil"/>
              <w:left w:val="nil"/>
              <w:bottom w:val="single" w:sz="4" w:space="0" w:color="auto"/>
              <w:right w:val="single" w:sz="4" w:space="0" w:color="auto"/>
            </w:tcBorders>
            <w:shd w:val="clear" w:color="000000" w:fill="F2F2F2"/>
            <w:noWrap/>
            <w:vAlign w:val="center"/>
            <w:hideMark/>
          </w:tcPr>
          <w:p w14:paraId="4F474175"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$ 2.249</w:t>
            </w:r>
          </w:p>
        </w:tc>
        <w:tc>
          <w:tcPr>
            <w:tcW w:w="1280" w:type="dxa"/>
            <w:tcBorders>
              <w:top w:val="nil"/>
              <w:left w:val="nil"/>
              <w:bottom w:val="single" w:sz="4" w:space="0" w:color="auto"/>
              <w:right w:val="single" w:sz="4" w:space="0" w:color="auto"/>
            </w:tcBorders>
            <w:shd w:val="clear" w:color="000000" w:fill="F2F2F2"/>
            <w:noWrap/>
            <w:vAlign w:val="center"/>
            <w:hideMark/>
          </w:tcPr>
          <w:p w14:paraId="7BA70AE1"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$ 54.042.219</w:t>
            </w:r>
          </w:p>
        </w:tc>
      </w:tr>
      <w:tr w:rsidR="00B07312" w:rsidRPr="006B48D3" w14:paraId="328EB779" w14:textId="77777777" w:rsidTr="00D16BC5">
        <w:trPr>
          <w:trHeight w:val="221"/>
        </w:trPr>
        <w:tc>
          <w:tcPr>
            <w:tcW w:w="407" w:type="dxa"/>
            <w:tcBorders>
              <w:top w:val="nil"/>
              <w:left w:val="single" w:sz="4" w:space="0" w:color="auto"/>
              <w:bottom w:val="single" w:sz="4" w:space="0" w:color="auto"/>
              <w:right w:val="single" w:sz="4" w:space="0" w:color="auto"/>
            </w:tcBorders>
            <w:shd w:val="clear" w:color="000000" w:fill="F2F2F2"/>
            <w:noWrap/>
            <w:vAlign w:val="center"/>
            <w:hideMark/>
          </w:tcPr>
          <w:p w14:paraId="477AB421" w14:textId="77777777" w:rsidR="00B07312" w:rsidRPr="006B48D3" w:rsidRDefault="00B07312" w:rsidP="00D22441">
            <w:pPr>
              <w:jc w:val="center"/>
              <w:rPr>
                <w:rFonts w:ascii="Arial Narrow" w:hAnsi="Arial Narrow" w:cs="Arial"/>
                <w:spacing w:val="0"/>
                <w:sz w:val="16"/>
                <w:szCs w:val="16"/>
                <w:lang w:eastAsia="es-CO"/>
              </w:rPr>
            </w:pPr>
            <w:r w:rsidRPr="006B48D3">
              <w:rPr>
                <w:rFonts w:ascii="Arial Narrow" w:hAnsi="Arial Narrow" w:cs="Arial"/>
                <w:spacing w:val="0"/>
                <w:sz w:val="16"/>
                <w:szCs w:val="16"/>
                <w:lang w:eastAsia="es-CO"/>
              </w:rPr>
              <w:t>72</w:t>
            </w:r>
          </w:p>
        </w:tc>
        <w:tc>
          <w:tcPr>
            <w:tcW w:w="585" w:type="dxa"/>
            <w:tcBorders>
              <w:top w:val="nil"/>
              <w:left w:val="nil"/>
              <w:bottom w:val="single" w:sz="4" w:space="0" w:color="auto"/>
              <w:right w:val="single" w:sz="4" w:space="0" w:color="auto"/>
            </w:tcBorders>
            <w:shd w:val="clear" w:color="000000" w:fill="F2F2F2"/>
            <w:noWrap/>
            <w:vAlign w:val="center"/>
            <w:hideMark/>
          </w:tcPr>
          <w:p w14:paraId="495D378B"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21002</w:t>
            </w:r>
          </w:p>
        </w:tc>
        <w:tc>
          <w:tcPr>
            <w:tcW w:w="941" w:type="dxa"/>
            <w:tcBorders>
              <w:top w:val="nil"/>
              <w:left w:val="nil"/>
              <w:bottom w:val="single" w:sz="4" w:space="0" w:color="auto"/>
              <w:right w:val="single" w:sz="4" w:space="0" w:color="auto"/>
            </w:tcBorders>
            <w:shd w:val="clear" w:color="000000" w:fill="F2F2F2"/>
            <w:noWrap/>
            <w:vAlign w:val="center"/>
            <w:hideMark/>
          </w:tcPr>
          <w:p w14:paraId="1828BC5F"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900100553</w:t>
            </w:r>
          </w:p>
        </w:tc>
        <w:tc>
          <w:tcPr>
            <w:tcW w:w="3247" w:type="dxa"/>
            <w:tcBorders>
              <w:top w:val="nil"/>
              <w:left w:val="nil"/>
              <w:bottom w:val="single" w:sz="4" w:space="0" w:color="auto"/>
              <w:right w:val="single" w:sz="4" w:space="0" w:color="auto"/>
            </w:tcBorders>
            <w:shd w:val="clear" w:color="000000" w:fill="F2F2F2"/>
            <w:vAlign w:val="center"/>
            <w:hideMark/>
          </w:tcPr>
          <w:p w14:paraId="6DCF3910" w14:textId="77777777" w:rsidR="00B07312" w:rsidRPr="006B48D3" w:rsidRDefault="00B07312" w:rsidP="00D22441">
            <w:pPr>
              <w:jc w:val="left"/>
              <w:rPr>
                <w:rFonts w:ascii="Arial Narrow" w:hAnsi="Arial Narrow" w:cs="Arial"/>
                <w:spacing w:val="0"/>
                <w:sz w:val="16"/>
                <w:szCs w:val="16"/>
                <w:lang w:eastAsia="es-CO"/>
              </w:rPr>
            </w:pPr>
            <w:r w:rsidRPr="006B48D3">
              <w:rPr>
                <w:rFonts w:ascii="Arial Narrow" w:hAnsi="Arial Narrow" w:cs="Arial"/>
                <w:spacing w:val="0"/>
                <w:sz w:val="16"/>
                <w:szCs w:val="16"/>
                <w:lang w:eastAsia="es-CO"/>
              </w:rPr>
              <w:t>COINOGAS S.A. E.</w:t>
            </w:r>
            <w:proofErr w:type="gramStart"/>
            <w:r w:rsidRPr="006B48D3">
              <w:rPr>
                <w:rFonts w:ascii="Arial Narrow" w:hAnsi="Arial Narrow" w:cs="Arial"/>
                <w:spacing w:val="0"/>
                <w:sz w:val="16"/>
                <w:szCs w:val="16"/>
                <w:lang w:eastAsia="es-CO"/>
              </w:rPr>
              <w:t>S.P</w:t>
            </w:r>
            <w:proofErr w:type="gramEnd"/>
          </w:p>
        </w:tc>
        <w:tc>
          <w:tcPr>
            <w:tcW w:w="1620" w:type="dxa"/>
            <w:tcBorders>
              <w:top w:val="nil"/>
              <w:left w:val="nil"/>
              <w:bottom w:val="single" w:sz="4" w:space="0" w:color="auto"/>
              <w:right w:val="single" w:sz="4" w:space="0" w:color="auto"/>
            </w:tcBorders>
            <w:shd w:val="clear" w:color="000000" w:fill="F2F2F2"/>
            <w:noWrap/>
            <w:vAlign w:val="center"/>
            <w:hideMark/>
          </w:tcPr>
          <w:p w14:paraId="41CD0FA0"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$ 777.490.000</w:t>
            </w:r>
          </w:p>
        </w:tc>
        <w:tc>
          <w:tcPr>
            <w:tcW w:w="1520" w:type="dxa"/>
            <w:tcBorders>
              <w:top w:val="nil"/>
              <w:left w:val="nil"/>
              <w:bottom w:val="single" w:sz="4" w:space="0" w:color="auto"/>
              <w:right w:val="single" w:sz="4" w:space="0" w:color="auto"/>
            </w:tcBorders>
            <w:shd w:val="clear" w:color="000000" w:fill="F2F2F2"/>
            <w:noWrap/>
            <w:vAlign w:val="center"/>
            <w:hideMark/>
          </w:tcPr>
          <w:p w14:paraId="72DD4DDB"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$ 4.439</w:t>
            </w:r>
          </w:p>
        </w:tc>
        <w:tc>
          <w:tcPr>
            <w:tcW w:w="1460" w:type="dxa"/>
            <w:tcBorders>
              <w:top w:val="nil"/>
              <w:left w:val="nil"/>
              <w:bottom w:val="single" w:sz="4" w:space="0" w:color="auto"/>
              <w:right w:val="single" w:sz="4" w:space="0" w:color="auto"/>
            </w:tcBorders>
            <w:shd w:val="clear" w:color="000000" w:fill="F2F2F2"/>
            <w:noWrap/>
            <w:vAlign w:val="center"/>
            <w:hideMark/>
          </w:tcPr>
          <w:p w14:paraId="2F00B781"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$ 777.494.439</w:t>
            </w:r>
          </w:p>
        </w:tc>
        <w:tc>
          <w:tcPr>
            <w:tcW w:w="1280" w:type="dxa"/>
            <w:tcBorders>
              <w:top w:val="nil"/>
              <w:left w:val="nil"/>
              <w:bottom w:val="single" w:sz="4" w:space="0" w:color="auto"/>
              <w:right w:val="single" w:sz="4" w:space="0" w:color="auto"/>
            </w:tcBorders>
            <w:shd w:val="clear" w:color="000000" w:fill="F2F2F2"/>
            <w:noWrap/>
            <w:vAlign w:val="center"/>
            <w:hideMark/>
          </w:tcPr>
          <w:p w14:paraId="498CADE6"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$ 7.774.944</w:t>
            </w:r>
          </w:p>
        </w:tc>
        <w:tc>
          <w:tcPr>
            <w:tcW w:w="1200" w:type="dxa"/>
            <w:tcBorders>
              <w:top w:val="nil"/>
              <w:left w:val="nil"/>
              <w:bottom w:val="single" w:sz="4" w:space="0" w:color="auto"/>
              <w:right w:val="single" w:sz="4" w:space="0" w:color="auto"/>
            </w:tcBorders>
            <w:shd w:val="clear" w:color="000000" w:fill="F2F2F2"/>
            <w:noWrap/>
            <w:vAlign w:val="center"/>
            <w:hideMark/>
          </w:tcPr>
          <w:p w14:paraId="34F828D2"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$ 324</w:t>
            </w:r>
          </w:p>
        </w:tc>
        <w:tc>
          <w:tcPr>
            <w:tcW w:w="1280" w:type="dxa"/>
            <w:tcBorders>
              <w:top w:val="nil"/>
              <w:left w:val="nil"/>
              <w:bottom w:val="single" w:sz="4" w:space="0" w:color="auto"/>
              <w:right w:val="single" w:sz="4" w:space="0" w:color="auto"/>
            </w:tcBorders>
            <w:shd w:val="clear" w:color="000000" w:fill="F2F2F2"/>
            <w:noWrap/>
            <w:vAlign w:val="center"/>
            <w:hideMark/>
          </w:tcPr>
          <w:p w14:paraId="2F42D915"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$ 7.775.268</w:t>
            </w:r>
          </w:p>
        </w:tc>
      </w:tr>
      <w:tr w:rsidR="00B07312" w:rsidRPr="006B48D3" w14:paraId="305BF1A7" w14:textId="77777777" w:rsidTr="006B48D3">
        <w:trPr>
          <w:trHeight w:val="450"/>
        </w:trPr>
        <w:tc>
          <w:tcPr>
            <w:tcW w:w="407" w:type="dxa"/>
            <w:tcBorders>
              <w:top w:val="nil"/>
              <w:left w:val="single" w:sz="4" w:space="0" w:color="auto"/>
              <w:bottom w:val="single" w:sz="4" w:space="0" w:color="auto"/>
              <w:right w:val="single" w:sz="4" w:space="0" w:color="auto"/>
            </w:tcBorders>
            <w:shd w:val="clear" w:color="000000" w:fill="F2F2F2"/>
            <w:noWrap/>
            <w:vAlign w:val="center"/>
            <w:hideMark/>
          </w:tcPr>
          <w:p w14:paraId="28216351" w14:textId="77777777" w:rsidR="00B07312" w:rsidRPr="006B48D3" w:rsidRDefault="00B07312" w:rsidP="00D22441">
            <w:pPr>
              <w:jc w:val="center"/>
              <w:rPr>
                <w:rFonts w:ascii="Arial Narrow" w:hAnsi="Arial Narrow" w:cs="Arial"/>
                <w:spacing w:val="0"/>
                <w:sz w:val="16"/>
                <w:szCs w:val="16"/>
                <w:lang w:eastAsia="es-CO"/>
              </w:rPr>
            </w:pPr>
            <w:r w:rsidRPr="006B48D3">
              <w:rPr>
                <w:rFonts w:ascii="Arial Narrow" w:hAnsi="Arial Narrow" w:cs="Arial"/>
                <w:spacing w:val="0"/>
                <w:sz w:val="16"/>
                <w:szCs w:val="16"/>
                <w:lang w:eastAsia="es-CO"/>
              </w:rPr>
              <w:t>73</w:t>
            </w:r>
          </w:p>
        </w:tc>
        <w:tc>
          <w:tcPr>
            <w:tcW w:w="585" w:type="dxa"/>
            <w:tcBorders>
              <w:top w:val="nil"/>
              <w:left w:val="nil"/>
              <w:bottom w:val="single" w:sz="4" w:space="0" w:color="auto"/>
              <w:right w:val="single" w:sz="4" w:space="0" w:color="auto"/>
            </w:tcBorders>
            <w:shd w:val="clear" w:color="000000" w:fill="F2F2F2"/>
            <w:noWrap/>
            <w:vAlign w:val="center"/>
            <w:hideMark/>
          </w:tcPr>
          <w:p w14:paraId="23EBE368"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22488</w:t>
            </w:r>
          </w:p>
        </w:tc>
        <w:tc>
          <w:tcPr>
            <w:tcW w:w="941" w:type="dxa"/>
            <w:tcBorders>
              <w:top w:val="nil"/>
              <w:left w:val="nil"/>
              <w:bottom w:val="single" w:sz="4" w:space="0" w:color="auto"/>
              <w:right w:val="single" w:sz="4" w:space="0" w:color="auto"/>
            </w:tcBorders>
            <w:shd w:val="clear" w:color="000000" w:fill="F2F2F2"/>
            <w:noWrap/>
            <w:vAlign w:val="center"/>
            <w:hideMark/>
          </w:tcPr>
          <w:p w14:paraId="2B7FE37A"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900103542</w:t>
            </w:r>
          </w:p>
        </w:tc>
        <w:tc>
          <w:tcPr>
            <w:tcW w:w="3247" w:type="dxa"/>
            <w:tcBorders>
              <w:top w:val="nil"/>
              <w:left w:val="nil"/>
              <w:bottom w:val="single" w:sz="4" w:space="0" w:color="auto"/>
              <w:right w:val="single" w:sz="4" w:space="0" w:color="auto"/>
            </w:tcBorders>
            <w:shd w:val="clear" w:color="000000" w:fill="F2F2F2"/>
            <w:vAlign w:val="center"/>
            <w:hideMark/>
          </w:tcPr>
          <w:p w14:paraId="644678DD" w14:textId="77777777" w:rsidR="00B07312" w:rsidRPr="006B48D3" w:rsidRDefault="00B07312" w:rsidP="00D22441">
            <w:pPr>
              <w:jc w:val="left"/>
              <w:rPr>
                <w:rFonts w:ascii="Arial Narrow" w:hAnsi="Arial Narrow" w:cs="Arial"/>
                <w:spacing w:val="0"/>
                <w:sz w:val="16"/>
                <w:szCs w:val="16"/>
                <w:lang w:eastAsia="es-CO"/>
              </w:rPr>
            </w:pPr>
            <w:r w:rsidRPr="006B48D3">
              <w:rPr>
                <w:rFonts w:ascii="Arial Narrow" w:hAnsi="Arial Narrow" w:cs="Arial"/>
                <w:spacing w:val="0"/>
                <w:sz w:val="16"/>
                <w:szCs w:val="16"/>
                <w:lang w:eastAsia="es-CO"/>
              </w:rPr>
              <w:t>GNI GAS NATURAL INDUSTRIAL DE COLOMBIA S.A.S. E.S.P.</w:t>
            </w:r>
          </w:p>
        </w:tc>
        <w:tc>
          <w:tcPr>
            <w:tcW w:w="1620" w:type="dxa"/>
            <w:tcBorders>
              <w:top w:val="nil"/>
              <w:left w:val="nil"/>
              <w:bottom w:val="single" w:sz="4" w:space="0" w:color="auto"/>
              <w:right w:val="single" w:sz="4" w:space="0" w:color="auto"/>
            </w:tcBorders>
            <w:shd w:val="clear" w:color="000000" w:fill="F2F2F2"/>
            <w:noWrap/>
            <w:vAlign w:val="center"/>
            <w:hideMark/>
          </w:tcPr>
          <w:p w14:paraId="7E97A34D"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$ 1.236.849.274</w:t>
            </w:r>
          </w:p>
        </w:tc>
        <w:tc>
          <w:tcPr>
            <w:tcW w:w="1520" w:type="dxa"/>
            <w:tcBorders>
              <w:top w:val="nil"/>
              <w:left w:val="nil"/>
              <w:bottom w:val="single" w:sz="4" w:space="0" w:color="auto"/>
              <w:right w:val="single" w:sz="4" w:space="0" w:color="auto"/>
            </w:tcBorders>
            <w:shd w:val="clear" w:color="000000" w:fill="F2F2F2"/>
            <w:noWrap/>
            <w:vAlign w:val="center"/>
            <w:hideMark/>
          </w:tcPr>
          <w:p w14:paraId="1A60CC31"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$ 99.781.352</w:t>
            </w:r>
          </w:p>
        </w:tc>
        <w:tc>
          <w:tcPr>
            <w:tcW w:w="1460" w:type="dxa"/>
            <w:tcBorders>
              <w:top w:val="nil"/>
              <w:left w:val="nil"/>
              <w:bottom w:val="single" w:sz="4" w:space="0" w:color="auto"/>
              <w:right w:val="single" w:sz="4" w:space="0" w:color="auto"/>
            </w:tcBorders>
            <w:shd w:val="clear" w:color="000000" w:fill="F2F2F2"/>
            <w:noWrap/>
            <w:vAlign w:val="center"/>
            <w:hideMark/>
          </w:tcPr>
          <w:p w14:paraId="0E863A29"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$ 1.336.630.626</w:t>
            </w:r>
          </w:p>
        </w:tc>
        <w:tc>
          <w:tcPr>
            <w:tcW w:w="1280" w:type="dxa"/>
            <w:tcBorders>
              <w:top w:val="nil"/>
              <w:left w:val="nil"/>
              <w:bottom w:val="single" w:sz="4" w:space="0" w:color="auto"/>
              <w:right w:val="single" w:sz="4" w:space="0" w:color="auto"/>
            </w:tcBorders>
            <w:shd w:val="clear" w:color="000000" w:fill="F2F2F2"/>
            <w:noWrap/>
            <w:vAlign w:val="center"/>
            <w:hideMark/>
          </w:tcPr>
          <w:p w14:paraId="4E71FFE0"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$ 13.366.306</w:t>
            </w:r>
          </w:p>
        </w:tc>
        <w:tc>
          <w:tcPr>
            <w:tcW w:w="1200" w:type="dxa"/>
            <w:tcBorders>
              <w:top w:val="nil"/>
              <w:left w:val="nil"/>
              <w:bottom w:val="single" w:sz="4" w:space="0" w:color="auto"/>
              <w:right w:val="single" w:sz="4" w:space="0" w:color="auto"/>
            </w:tcBorders>
            <w:shd w:val="clear" w:color="000000" w:fill="F2F2F2"/>
            <w:noWrap/>
            <w:vAlign w:val="center"/>
            <w:hideMark/>
          </w:tcPr>
          <w:p w14:paraId="06720B12"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$ 556</w:t>
            </w:r>
          </w:p>
        </w:tc>
        <w:tc>
          <w:tcPr>
            <w:tcW w:w="1280" w:type="dxa"/>
            <w:tcBorders>
              <w:top w:val="nil"/>
              <w:left w:val="nil"/>
              <w:bottom w:val="single" w:sz="4" w:space="0" w:color="auto"/>
              <w:right w:val="single" w:sz="4" w:space="0" w:color="auto"/>
            </w:tcBorders>
            <w:shd w:val="clear" w:color="000000" w:fill="F2F2F2"/>
            <w:noWrap/>
            <w:vAlign w:val="center"/>
            <w:hideMark/>
          </w:tcPr>
          <w:p w14:paraId="601F6B15"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$ 13.366.863</w:t>
            </w:r>
          </w:p>
        </w:tc>
      </w:tr>
      <w:tr w:rsidR="00B07312" w:rsidRPr="006B48D3" w14:paraId="7E2B39B9" w14:textId="77777777" w:rsidTr="00D16BC5">
        <w:trPr>
          <w:trHeight w:val="229"/>
        </w:trPr>
        <w:tc>
          <w:tcPr>
            <w:tcW w:w="407" w:type="dxa"/>
            <w:tcBorders>
              <w:top w:val="nil"/>
              <w:left w:val="single" w:sz="4" w:space="0" w:color="auto"/>
              <w:bottom w:val="single" w:sz="4" w:space="0" w:color="auto"/>
              <w:right w:val="single" w:sz="4" w:space="0" w:color="auto"/>
            </w:tcBorders>
            <w:shd w:val="clear" w:color="000000" w:fill="F2F2F2"/>
            <w:noWrap/>
            <w:vAlign w:val="center"/>
            <w:hideMark/>
          </w:tcPr>
          <w:p w14:paraId="52525228" w14:textId="77777777" w:rsidR="00B07312" w:rsidRPr="006B48D3" w:rsidRDefault="00B07312" w:rsidP="00D22441">
            <w:pPr>
              <w:jc w:val="center"/>
              <w:rPr>
                <w:rFonts w:ascii="Arial Narrow" w:hAnsi="Arial Narrow" w:cs="Arial"/>
                <w:spacing w:val="0"/>
                <w:sz w:val="16"/>
                <w:szCs w:val="16"/>
                <w:lang w:eastAsia="es-CO"/>
              </w:rPr>
            </w:pPr>
            <w:r w:rsidRPr="006B48D3">
              <w:rPr>
                <w:rFonts w:ascii="Arial Narrow" w:hAnsi="Arial Narrow" w:cs="Arial"/>
                <w:spacing w:val="0"/>
                <w:sz w:val="16"/>
                <w:szCs w:val="16"/>
                <w:lang w:eastAsia="es-CO"/>
              </w:rPr>
              <w:t>74</w:t>
            </w:r>
          </w:p>
        </w:tc>
        <w:tc>
          <w:tcPr>
            <w:tcW w:w="585" w:type="dxa"/>
            <w:tcBorders>
              <w:top w:val="nil"/>
              <w:left w:val="nil"/>
              <w:bottom w:val="single" w:sz="4" w:space="0" w:color="auto"/>
              <w:right w:val="single" w:sz="4" w:space="0" w:color="auto"/>
            </w:tcBorders>
            <w:shd w:val="clear" w:color="000000" w:fill="F2F2F2"/>
            <w:noWrap/>
            <w:vAlign w:val="center"/>
            <w:hideMark/>
          </w:tcPr>
          <w:p w14:paraId="3B26B51A"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21870</w:t>
            </w:r>
          </w:p>
        </w:tc>
        <w:tc>
          <w:tcPr>
            <w:tcW w:w="941" w:type="dxa"/>
            <w:tcBorders>
              <w:top w:val="nil"/>
              <w:left w:val="nil"/>
              <w:bottom w:val="single" w:sz="4" w:space="0" w:color="auto"/>
              <w:right w:val="single" w:sz="4" w:space="0" w:color="auto"/>
            </w:tcBorders>
            <w:shd w:val="clear" w:color="000000" w:fill="F2F2F2"/>
            <w:noWrap/>
            <w:vAlign w:val="center"/>
            <w:hideMark/>
          </w:tcPr>
          <w:p w14:paraId="56FE87DA"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900112515</w:t>
            </w:r>
          </w:p>
        </w:tc>
        <w:tc>
          <w:tcPr>
            <w:tcW w:w="3247" w:type="dxa"/>
            <w:tcBorders>
              <w:top w:val="nil"/>
              <w:left w:val="nil"/>
              <w:bottom w:val="single" w:sz="4" w:space="0" w:color="auto"/>
              <w:right w:val="single" w:sz="4" w:space="0" w:color="auto"/>
            </w:tcBorders>
            <w:shd w:val="clear" w:color="000000" w:fill="F2F2F2"/>
            <w:vAlign w:val="center"/>
            <w:hideMark/>
          </w:tcPr>
          <w:p w14:paraId="7DAE9520" w14:textId="77777777" w:rsidR="00B07312" w:rsidRPr="006B48D3" w:rsidRDefault="00B07312" w:rsidP="00D22441">
            <w:pPr>
              <w:jc w:val="left"/>
              <w:rPr>
                <w:rFonts w:ascii="Arial Narrow" w:hAnsi="Arial Narrow" w:cs="Arial"/>
                <w:spacing w:val="0"/>
                <w:sz w:val="16"/>
                <w:szCs w:val="16"/>
                <w:lang w:eastAsia="es-CO"/>
              </w:rPr>
            </w:pPr>
            <w:r w:rsidRPr="006B48D3">
              <w:rPr>
                <w:rFonts w:ascii="Arial Narrow" w:hAnsi="Arial Narrow" w:cs="Arial"/>
                <w:spacing w:val="0"/>
                <w:sz w:val="16"/>
                <w:szCs w:val="16"/>
                <w:lang w:eastAsia="es-CO"/>
              </w:rPr>
              <w:t>REFINERIA DE CARTAGENA S.A.</w:t>
            </w:r>
          </w:p>
        </w:tc>
        <w:tc>
          <w:tcPr>
            <w:tcW w:w="1620" w:type="dxa"/>
            <w:tcBorders>
              <w:top w:val="nil"/>
              <w:left w:val="nil"/>
              <w:bottom w:val="single" w:sz="4" w:space="0" w:color="auto"/>
              <w:right w:val="single" w:sz="4" w:space="0" w:color="auto"/>
            </w:tcBorders>
            <w:shd w:val="clear" w:color="000000" w:fill="F2F2F2"/>
            <w:noWrap/>
            <w:vAlign w:val="center"/>
            <w:hideMark/>
          </w:tcPr>
          <w:p w14:paraId="2D9BF226"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$ 5.832.970.223</w:t>
            </w:r>
          </w:p>
        </w:tc>
        <w:tc>
          <w:tcPr>
            <w:tcW w:w="1520" w:type="dxa"/>
            <w:tcBorders>
              <w:top w:val="nil"/>
              <w:left w:val="nil"/>
              <w:bottom w:val="single" w:sz="4" w:space="0" w:color="auto"/>
              <w:right w:val="single" w:sz="4" w:space="0" w:color="auto"/>
            </w:tcBorders>
            <w:shd w:val="clear" w:color="000000" w:fill="F2F2F2"/>
            <w:noWrap/>
            <w:vAlign w:val="center"/>
            <w:hideMark/>
          </w:tcPr>
          <w:p w14:paraId="52A569A8"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$ 1.419.910.596</w:t>
            </w:r>
          </w:p>
        </w:tc>
        <w:tc>
          <w:tcPr>
            <w:tcW w:w="1460" w:type="dxa"/>
            <w:tcBorders>
              <w:top w:val="nil"/>
              <w:left w:val="nil"/>
              <w:bottom w:val="single" w:sz="4" w:space="0" w:color="auto"/>
              <w:right w:val="single" w:sz="4" w:space="0" w:color="auto"/>
            </w:tcBorders>
            <w:shd w:val="clear" w:color="000000" w:fill="F2F2F2"/>
            <w:noWrap/>
            <w:vAlign w:val="center"/>
            <w:hideMark/>
          </w:tcPr>
          <w:p w14:paraId="2ED3214F"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$ 7.252.880.819</w:t>
            </w:r>
          </w:p>
        </w:tc>
        <w:tc>
          <w:tcPr>
            <w:tcW w:w="1280" w:type="dxa"/>
            <w:tcBorders>
              <w:top w:val="nil"/>
              <w:left w:val="nil"/>
              <w:bottom w:val="single" w:sz="4" w:space="0" w:color="auto"/>
              <w:right w:val="single" w:sz="4" w:space="0" w:color="auto"/>
            </w:tcBorders>
            <w:shd w:val="clear" w:color="000000" w:fill="F2F2F2"/>
            <w:noWrap/>
            <w:vAlign w:val="center"/>
            <w:hideMark/>
          </w:tcPr>
          <w:p w14:paraId="74B18DEA"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$ 72.528.808</w:t>
            </w:r>
          </w:p>
        </w:tc>
        <w:tc>
          <w:tcPr>
            <w:tcW w:w="1200" w:type="dxa"/>
            <w:tcBorders>
              <w:top w:val="nil"/>
              <w:left w:val="nil"/>
              <w:bottom w:val="single" w:sz="4" w:space="0" w:color="auto"/>
              <w:right w:val="single" w:sz="4" w:space="0" w:color="auto"/>
            </w:tcBorders>
            <w:shd w:val="clear" w:color="000000" w:fill="F2F2F2"/>
            <w:noWrap/>
            <w:vAlign w:val="center"/>
            <w:hideMark/>
          </w:tcPr>
          <w:p w14:paraId="5A9E4F61"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$ 3.018</w:t>
            </w:r>
          </w:p>
        </w:tc>
        <w:tc>
          <w:tcPr>
            <w:tcW w:w="1280" w:type="dxa"/>
            <w:tcBorders>
              <w:top w:val="nil"/>
              <w:left w:val="nil"/>
              <w:bottom w:val="single" w:sz="4" w:space="0" w:color="auto"/>
              <w:right w:val="single" w:sz="4" w:space="0" w:color="auto"/>
            </w:tcBorders>
            <w:shd w:val="clear" w:color="000000" w:fill="F2F2F2"/>
            <w:noWrap/>
            <w:vAlign w:val="center"/>
            <w:hideMark/>
          </w:tcPr>
          <w:p w14:paraId="0658225F"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$ 72.531.827</w:t>
            </w:r>
          </w:p>
        </w:tc>
      </w:tr>
      <w:tr w:rsidR="00B07312" w:rsidRPr="006B48D3" w14:paraId="6995DA49" w14:textId="77777777" w:rsidTr="006B48D3">
        <w:trPr>
          <w:trHeight w:val="450"/>
        </w:trPr>
        <w:tc>
          <w:tcPr>
            <w:tcW w:w="407" w:type="dxa"/>
            <w:tcBorders>
              <w:top w:val="nil"/>
              <w:left w:val="single" w:sz="4" w:space="0" w:color="auto"/>
              <w:bottom w:val="single" w:sz="4" w:space="0" w:color="auto"/>
              <w:right w:val="single" w:sz="4" w:space="0" w:color="auto"/>
            </w:tcBorders>
            <w:shd w:val="clear" w:color="000000" w:fill="F2F2F2"/>
            <w:noWrap/>
            <w:vAlign w:val="center"/>
            <w:hideMark/>
          </w:tcPr>
          <w:p w14:paraId="5B527CA5" w14:textId="77777777" w:rsidR="00B07312" w:rsidRPr="006B48D3" w:rsidRDefault="00B07312" w:rsidP="00D22441">
            <w:pPr>
              <w:jc w:val="center"/>
              <w:rPr>
                <w:rFonts w:ascii="Arial Narrow" w:hAnsi="Arial Narrow" w:cs="Arial"/>
                <w:spacing w:val="0"/>
                <w:sz w:val="16"/>
                <w:szCs w:val="16"/>
                <w:lang w:eastAsia="es-CO"/>
              </w:rPr>
            </w:pPr>
            <w:r w:rsidRPr="006B48D3">
              <w:rPr>
                <w:rFonts w:ascii="Arial Narrow" w:hAnsi="Arial Narrow" w:cs="Arial"/>
                <w:spacing w:val="0"/>
                <w:sz w:val="16"/>
                <w:szCs w:val="16"/>
                <w:lang w:eastAsia="es-CO"/>
              </w:rPr>
              <w:t>75</w:t>
            </w:r>
          </w:p>
        </w:tc>
        <w:tc>
          <w:tcPr>
            <w:tcW w:w="585" w:type="dxa"/>
            <w:tcBorders>
              <w:top w:val="nil"/>
              <w:left w:val="nil"/>
              <w:bottom w:val="single" w:sz="4" w:space="0" w:color="auto"/>
              <w:right w:val="single" w:sz="4" w:space="0" w:color="auto"/>
            </w:tcBorders>
            <w:shd w:val="clear" w:color="000000" w:fill="F2F2F2"/>
            <w:noWrap/>
            <w:vAlign w:val="center"/>
            <w:hideMark/>
          </w:tcPr>
          <w:p w14:paraId="0684AB53"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21643</w:t>
            </w:r>
          </w:p>
        </w:tc>
        <w:tc>
          <w:tcPr>
            <w:tcW w:w="941" w:type="dxa"/>
            <w:tcBorders>
              <w:top w:val="nil"/>
              <w:left w:val="nil"/>
              <w:bottom w:val="single" w:sz="4" w:space="0" w:color="auto"/>
              <w:right w:val="single" w:sz="4" w:space="0" w:color="auto"/>
            </w:tcBorders>
            <w:shd w:val="clear" w:color="000000" w:fill="F2F2F2"/>
            <w:noWrap/>
            <w:vAlign w:val="center"/>
            <w:hideMark/>
          </w:tcPr>
          <w:p w14:paraId="2AAD396A"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900134459</w:t>
            </w:r>
          </w:p>
        </w:tc>
        <w:tc>
          <w:tcPr>
            <w:tcW w:w="3247" w:type="dxa"/>
            <w:tcBorders>
              <w:top w:val="nil"/>
              <w:left w:val="nil"/>
              <w:bottom w:val="single" w:sz="4" w:space="0" w:color="auto"/>
              <w:right w:val="single" w:sz="4" w:space="0" w:color="auto"/>
            </w:tcBorders>
            <w:shd w:val="clear" w:color="000000" w:fill="F2F2F2"/>
            <w:vAlign w:val="center"/>
            <w:hideMark/>
          </w:tcPr>
          <w:p w14:paraId="52805C11" w14:textId="77777777" w:rsidR="00B07312" w:rsidRPr="006B48D3" w:rsidRDefault="00B07312" w:rsidP="00D22441">
            <w:pPr>
              <w:jc w:val="left"/>
              <w:rPr>
                <w:rFonts w:ascii="Arial Narrow" w:hAnsi="Arial Narrow" w:cs="Arial"/>
                <w:spacing w:val="0"/>
                <w:sz w:val="16"/>
                <w:szCs w:val="16"/>
                <w:lang w:eastAsia="es-CO"/>
              </w:rPr>
            </w:pPr>
            <w:r w:rsidRPr="006B48D3">
              <w:rPr>
                <w:rFonts w:ascii="Arial Narrow" w:hAnsi="Arial Narrow" w:cs="Arial"/>
                <w:spacing w:val="0"/>
                <w:sz w:val="16"/>
                <w:szCs w:val="16"/>
                <w:lang w:eastAsia="es-CO"/>
              </w:rPr>
              <w:t>TRANSPORTADORA DE GAS INTERNACIONAL S.A. E.S.P.</w:t>
            </w:r>
          </w:p>
        </w:tc>
        <w:tc>
          <w:tcPr>
            <w:tcW w:w="1620" w:type="dxa"/>
            <w:tcBorders>
              <w:top w:val="nil"/>
              <w:left w:val="nil"/>
              <w:bottom w:val="single" w:sz="4" w:space="0" w:color="auto"/>
              <w:right w:val="single" w:sz="4" w:space="0" w:color="auto"/>
            </w:tcBorders>
            <w:shd w:val="clear" w:color="000000" w:fill="F2F2F2"/>
            <w:noWrap/>
            <w:vAlign w:val="center"/>
            <w:hideMark/>
          </w:tcPr>
          <w:p w14:paraId="2158D9BC"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$ 98.894.736.000</w:t>
            </w:r>
          </w:p>
        </w:tc>
        <w:tc>
          <w:tcPr>
            <w:tcW w:w="1520" w:type="dxa"/>
            <w:tcBorders>
              <w:top w:val="nil"/>
              <w:left w:val="nil"/>
              <w:bottom w:val="single" w:sz="4" w:space="0" w:color="auto"/>
              <w:right w:val="single" w:sz="4" w:space="0" w:color="auto"/>
            </w:tcBorders>
            <w:shd w:val="clear" w:color="000000" w:fill="F2F2F2"/>
            <w:noWrap/>
            <w:vAlign w:val="center"/>
            <w:hideMark/>
          </w:tcPr>
          <w:p w14:paraId="68A5C7CD"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$ 318.477.525</w:t>
            </w:r>
          </w:p>
        </w:tc>
        <w:tc>
          <w:tcPr>
            <w:tcW w:w="1460" w:type="dxa"/>
            <w:tcBorders>
              <w:top w:val="nil"/>
              <w:left w:val="nil"/>
              <w:bottom w:val="single" w:sz="4" w:space="0" w:color="auto"/>
              <w:right w:val="single" w:sz="4" w:space="0" w:color="auto"/>
            </w:tcBorders>
            <w:shd w:val="clear" w:color="000000" w:fill="F2F2F2"/>
            <w:noWrap/>
            <w:vAlign w:val="center"/>
            <w:hideMark/>
          </w:tcPr>
          <w:p w14:paraId="3AEF00C1"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$ 99.213.213.525</w:t>
            </w:r>
          </w:p>
        </w:tc>
        <w:tc>
          <w:tcPr>
            <w:tcW w:w="1280" w:type="dxa"/>
            <w:tcBorders>
              <w:top w:val="nil"/>
              <w:left w:val="nil"/>
              <w:bottom w:val="single" w:sz="4" w:space="0" w:color="auto"/>
              <w:right w:val="single" w:sz="4" w:space="0" w:color="auto"/>
            </w:tcBorders>
            <w:shd w:val="clear" w:color="000000" w:fill="F2F2F2"/>
            <w:noWrap/>
            <w:vAlign w:val="center"/>
            <w:hideMark/>
          </w:tcPr>
          <w:p w14:paraId="7DFCBA8F"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$ 992.132.135</w:t>
            </w:r>
          </w:p>
        </w:tc>
        <w:tc>
          <w:tcPr>
            <w:tcW w:w="1200" w:type="dxa"/>
            <w:tcBorders>
              <w:top w:val="nil"/>
              <w:left w:val="nil"/>
              <w:bottom w:val="single" w:sz="4" w:space="0" w:color="auto"/>
              <w:right w:val="single" w:sz="4" w:space="0" w:color="auto"/>
            </w:tcBorders>
            <w:shd w:val="clear" w:color="000000" w:fill="F2F2F2"/>
            <w:noWrap/>
            <w:vAlign w:val="center"/>
            <w:hideMark/>
          </w:tcPr>
          <w:p w14:paraId="638E06F8"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$ 41.289</w:t>
            </w:r>
          </w:p>
        </w:tc>
        <w:tc>
          <w:tcPr>
            <w:tcW w:w="1280" w:type="dxa"/>
            <w:tcBorders>
              <w:top w:val="nil"/>
              <w:left w:val="nil"/>
              <w:bottom w:val="single" w:sz="4" w:space="0" w:color="auto"/>
              <w:right w:val="single" w:sz="4" w:space="0" w:color="auto"/>
            </w:tcBorders>
            <w:shd w:val="clear" w:color="000000" w:fill="F2F2F2"/>
            <w:noWrap/>
            <w:vAlign w:val="center"/>
            <w:hideMark/>
          </w:tcPr>
          <w:p w14:paraId="5AAE3E38"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$ 992.173.424</w:t>
            </w:r>
          </w:p>
        </w:tc>
      </w:tr>
      <w:tr w:rsidR="00B07312" w:rsidRPr="006B48D3" w14:paraId="296D2FBE" w14:textId="77777777" w:rsidTr="006B48D3">
        <w:trPr>
          <w:trHeight w:val="511"/>
        </w:trPr>
        <w:tc>
          <w:tcPr>
            <w:tcW w:w="407" w:type="dxa"/>
            <w:tcBorders>
              <w:top w:val="nil"/>
              <w:left w:val="single" w:sz="4" w:space="0" w:color="auto"/>
              <w:bottom w:val="single" w:sz="4" w:space="0" w:color="auto"/>
              <w:right w:val="single" w:sz="4" w:space="0" w:color="auto"/>
            </w:tcBorders>
            <w:shd w:val="clear" w:color="000000" w:fill="F2F2F2"/>
            <w:noWrap/>
            <w:vAlign w:val="center"/>
            <w:hideMark/>
          </w:tcPr>
          <w:p w14:paraId="34E40A99" w14:textId="77777777" w:rsidR="00B07312" w:rsidRPr="006B48D3" w:rsidRDefault="00B07312" w:rsidP="00D22441">
            <w:pPr>
              <w:jc w:val="center"/>
              <w:rPr>
                <w:rFonts w:ascii="Arial Narrow" w:hAnsi="Arial Narrow" w:cs="Arial"/>
                <w:spacing w:val="0"/>
                <w:sz w:val="16"/>
                <w:szCs w:val="16"/>
                <w:lang w:eastAsia="es-CO"/>
              </w:rPr>
            </w:pPr>
            <w:r w:rsidRPr="006B48D3">
              <w:rPr>
                <w:rFonts w:ascii="Arial Narrow" w:hAnsi="Arial Narrow" w:cs="Arial"/>
                <w:spacing w:val="0"/>
                <w:sz w:val="16"/>
                <w:szCs w:val="16"/>
                <w:lang w:eastAsia="es-CO"/>
              </w:rPr>
              <w:t>76</w:t>
            </w:r>
          </w:p>
        </w:tc>
        <w:tc>
          <w:tcPr>
            <w:tcW w:w="585" w:type="dxa"/>
            <w:tcBorders>
              <w:top w:val="nil"/>
              <w:left w:val="nil"/>
              <w:bottom w:val="single" w:sz="4" w:space="0" w:color="auto"/>
              <w:right w:val="single" w:sz="4" w:space="0" w:color="auto"/>
            </w:tcBorders>
            <w:shd w:val="clear" w:color="000000" w:fill="F2F2F2"/>
            <w:noWrap/>
            <w:vAlign w:val="center"/>
            <w:hideMark/>
          </w:tcPr>
          <w:p w14:paraId="2B774E86"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22818</w:t>
            </w:r>
          </w:p>
        </w:tc>
        <w:tc>
          <w:tcPr>
            <w:tcW w:w="941" w:type="dxa"/>
            <w:tcBorders>
              <w:top w:val="nil"/>
              <w:left w:val="nil"/>
              <w:bottom w:val="single" w:sz="4" w:space="0" w:color="auto"/>
              <w:right w:val="single" w:sz="4" w:space="0" w:color="auto"/>
            </w:tcBorders>
            <w:shd w:val="clear" w:color="000000" w:fill="F2F2F2"/>
            <w:noWrap/>
            <w:vAlign w:val="center"/>
            <w:hideMark/>
          </w:tcPr>
          <w:p w14:paraId="1B0C3456"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900175830</w:t>
            </w:r>
          </w:p>
        </w:tc>
        <w:tc>
          <w:tcPr>
            <w:tcW w:w="3247" w:type="dxa"/>
            <w:tcBorders>
              <w:top w:val="nil"/>
              <w:left w:val="nil"/>
              <w:bottom w:val="single" w:sz="4" w:space="0" w:color="auto"/>
              <w:right w:val="single" w:sz="4" w:space="0" w:color="auto"/>
            </w:tcBorders>
            <w:shd w:val="clear" w:color="000000" w:fill="F2F2F2"/>
            <w:vAlign w:val="center"/>
            <w:hideMark/>
          </w:tcPr>
          <w:p w14:paraId="3E408FEC" w14:textId="77777777" w:rsidR="00B07312" w:rsidRPr="006B48D3" w:rsidRDefault="00B07312" w:rsidP="00D22441">
            <w:pPr>
              <w:jc w:val="left"/>
              <w:rPr>
                <w:rFonts w:ascii="Arial Narrow" w:hAnsi="Arial Narrow" w:cs="Arial"/>
                <w:spacing w:val="0"/>
                <w:sz w:val="16"/>
                <w:szCs w:val="16"/>
                <w:lang w:eastAsia="es-CO"/>
              </w:rPr>
            </w:pPr>
            <w:r w:rsidRPr="006B48D3">
              <w:rPr>
                <w:rFonts w:ascii="Arial Narrow" w:hAnsi="Arial Narrow" w:cs="Arial"/>
                <w:spacing w:val="0"/>
                <w:sz w:val="16"/>
                <w:szCs w:val="16"/>
                <w:lang w:eastAsia="es-CO"/>
              </w:rPr>
              <w:t xml:space="preserve">COMBUSTIBLES LÍQUIDOS DE COLOMBIA S.A. E.S.P. </w:t>
            </w:r>
          </w:p>
        </w:tc>
        <w:tc>
          <w:tcPr>
            <w:tcW w:w="1620" w:type="dxa"/>
            <w:tcBorders>
              <w:top w:val="nil"/>
              <w:left w:val="nil"/>
              <w:bottom w:val="single" w:sz="4" w:space="0" w:color="auto"/>
              <w:right w:val="single" w:sz="4" w:space="0" w:color="auto"/>
            </w:tcBorders>
            <w:shd w:val="clear" w:color="000000" w:fill="F2F2F2"/>
            <w:noWrap/>
            <w:vAlign w:val="center"/>
            <w:hideMark/>
          </w:tcPr>
          <w:p w14:paraId="4DDE31EA"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$ 0</w:t>
            </w:r>
          </w:p>
        </w:tc>
        <w:tc>
          <w:tcPr>
            <w:tcW w:w="1520" w:type="dxa"/>
            <w:tcBorders>
              <w:top w:val="nil"/>
              <w:left w:val="nil"/>
              <w:bottom w:val="single" w:sz="4" w:space="0" w:color="auto"/>
              <w:right w:val="single" w:sz="4" w:space="0" w:color="auto"/>
            </w:tcBorders>
            <w:shd w:val="clear" w:color="000000" w:fill="F2F2F2"/>
            <w:noWrap/>
            <w:vAlign w:val="center"/>
            <w:hideMark/>
          </w:tcPr>
          <w:p w14:paraId="602DCE66"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$ 409.537.882</w:t>
            </w:r>
          </w:p>
        </w:tc>
        <w:tc>
          <w:tcPr>
            <w:tcW w:w="1460" w:type="dxa"/>
            <w:tcBorders>
              <w:top w:val="nil"/>
              <w:left w:val="nil"/>
              <w:bottom w:val="single" w:sz="4" w:space="0" w:color="auto"/>
              <w:right w:val="single" w:sz="4" w:space="0" w:color="auto"/>
            </w:tcBorders>
            <w:shd w:val="clear" w:color="000000" w:fill="F2F2F2"/>
            <w:noWrap/>
            <w:vAlign w:val="center"/>
            <w:hideMark/>
          </w:tcPr>
          <w:p w14:paraId="58540A93"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$ 409.537.882</w:t>
            </w:r>
          </w:p>
        </w:tc>
        <w:tc>
          <w:tcPr>
            <w:tcW w:w="1280" w:type="dxa"/>
            <w:tcBorders>
              <w:top w:val="nil"/>
              <w:left w:val="nil"/>
              <w:bottom w:val="single" w:sz="4" w:space="0" w:color="auto"/>
              <w:right w:val="single" w:sz="4" w:space="0" w:color="auto"/>
            </w:tcBorders>
            <w:shd w:val="clear" w:color="000000" w:fill="F2F2F2"/>
            <w:noWrap/>
            <w:vAlign w:val="center"/>
            <w:hideMark/>
          </w:tcPr>
          <w:p w14:paraId="2B269C58"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$ 4.095.379</w:t>
            </w:r>
          </w:p>
        </w:tc>
        <w:tc>
          <w:tcPr>
            <w:tcW w:w="1200" w:type="dxa"/>
            <w:tcBorders>
              <w:top w:val="nil"/>
              <w:left w:val="nil"/>
              <w:bottom w:val="single" w:sz="4" w:space="0" w:color="auto"/>
              <w:right w:val="single" w:sz="4" w:space="0" w:color="auto"/>
            </w:tcBorders>
            <w:shd w:val="clear" w:color="000000" w:fill="F2F2F2"/>
            <w:noWrap/>
            <w:vAlign w:val="center"/>
            <w:hideMark/>
          </w:tcPr>
          <w:p w14:paraId="0348A7E0"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$ 170</w:t>
            </w:r>
          </w:p>
        </w:tc>
        <w:tc>
          <w:tcPr>
            <w:tcW w:w="1280" w:type="dxa"/>
            <w:tcBorders>
              <w:top w:val="nil"/>
              <w:left w:val="nil"/>
              <w:bottom w:val="single" w:sz="4" w:space="0" w:color="auto"/>
              <w:right w:val="single" w:sz="4" w:space="0" w:color="auto"/>
            </w:tcBorders>
            <w:shd w:val="clear" w:color="000000" w:fill="F2F2F2"/>
            <w:noWrap/>
            <w:vAlign w:val="center"/>
            <w:hideMark/>
          </w:tcPr>
          <w:p w14:paraId="155CEFEE"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$ 4.095.549</w:t>
            </w:r>
          </w:p>
        </w:tc>
      </w:tr>
      <w:tr w:rsidR="00B07312" w:rsidRPr="006B48D3" w14:paraId="5A87A917" w14:textId="77777777" w:rsidTr="00D16BC5">
        <w:trPr>
          <w:trHeight w:val="147"/>
        </w:trPr>
        <w:tc>
          <w:tcPr>
            <w:tcW w:w="407" w:type="dxa"/>
            <w:tcBorders>
              <w:top w:val="nil"/>
              <w:left w:val="single" w:sz="4" w:space="0" w:color="auto"/>
              <w:bottom w:val="single" w:sz="4" w:space="0" w:color="auto"/>
              <w:right w:val="single" w:sz="4" w:space="0" w:color="auto"/>
            </w:tcBorders>
            <w:shd w:val="clear" w:color="000000" w:fill="F2F2F2"/>
            <w:noWrap/>
            <w:vAlign w:val="center"/>
            <w:hideMark/>
          </w:tcPr>
          <w:p w14:paraId="5CCD51EE" w14:textId="77777777" w:rsidR="00B07312" w:rsidRPr="006B48D3" w:rsidRDefault="00B07312" w:rsidP="00D22441">
            <w:pPr>
              <w:jc w:val="center"/>
              <w:rPr>
                <w:rFonts w:ascii="Arial Narrow" w:hAnsi="Arial Narrow" w:cs="Arial"/>
                <w:spacing w:val="0"/>
                <w:sz w:val="16"/>
                <w:szCs w:val="16"/>
                <w:lang w:eastAsia="es-CO"/>
              </w:rPr>
            </w:pPr>
            <w:r w:rsidRPr="006B48D3">
              <w:rPr>
                <w:rFonts w:ascii="Arial Narrow" w:hAnsi="Arial Narrow" w:cs="Arial"/>
                <w:spacing w:val="0"/>
                <w:sz w:val="16"/>
                <w:szCs w:val="16"/>
                <w:lang w:eastAsia="es-CO"/>
              </w:rPr>
              <w:t>77</w:t>
            </w:r>
          </w:p>
        </w:tc>
        <w:tc>
          <w:tcPr>
            <w:tcW w:w="585" w:type="dxa"/>
            <w:tcBorders>
              <w:top w:val="nil"/>
              <w:left w:val="nil"/>
              <w:bottom w:val="single" w:sz="4" w:space="0" w:color="auto"/>
              <w:right w:val="single" w:sz="4" w:space="0" w:color="auto"/>
            </w:tcBorders>
            <w:shd w:val="clear" w:color="000000" w:fill="F2F2F2"/>
            <w:noWrap/>
            <w:vAlign w:val="center"/>
            <w:hideMark/>
          </w:tcPr>
          <w:p w14:paraId="4BCD035B"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26035</w:t>
            </w:r>
          </w:p>
        </w:tc>
        <w:tc>
          <w:tcPr>
            <w:tcW w:w="941" w:type="dxa"/>
            <w:tcBorders>
              <w:top w:val="nil"/>
              <w:left w:val="nil"/>
              <w:bottom w:val="single" w:sz="4" w:space="0" w:color="auto"/>
              <w:right w:val="single" w:sz="4" w:space="0" w:color="auto"/>
            </w:tcBorders>
            <w:shd w:val="clear" w:color="000000" w:fill="F2F2F2"/>
            <w:noWrap/>
            <w:vAlign w:val="center"/>
            <w:hideMark/>
          </w:tcPr>
          <w:p w14:paraId="1306A97B"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900197640</w:t>
            </w:r>
          </w:p>
        </w:tc>
        <w:tc>
          <w:tcPr>
            <w:tcW w:w="3247" w:type="dxa"/>
            <w:tcBorders>
              <w:top w:val="nil"/>
              <w:left w:val="nil"/>
              <w:bottom w:val="single" w:sz="4" w:space="0" w:color="auto"/>
              <w:right w:val="single" w:sz="4" w:space="0" w:color="auto"/>
            </w:tcBorders>
            <w:shd w:val="clear" w:color="000000" w:fill="F2F2F2"/>
            <w:vAlign w:val="center"/>
            <w:hideMark/>
          </w:tcPr>
          <w:p w14:paraId="01A08AFC" w14:textId="77777777" w:rsidR="00B07312" w:rsidRPr="006B48D3" w:rsidRDefault="00B07312" w:rsidP="00D22441">
            <w:pPr>
              <w:jc w:val="left"/>
              <w:rPr>
                <w:rFonts w:ascii="Arial Narrow" w:hAnsi="Arial Narrow" w:cs="Arial"/>
                <w:spacing w:val="0"/>
                <w:sz w:val="16"/>
                <w:szCs w:val="16"/>
                <w:lang w:eastAsia="es-CO"/>
              </w:rPr>
            </w:pPr>
            <w:r w:rsidRPr="006B48D3">
              <w:rPr>
                <w:rFonts w:ascii="Arial Narrow" w:hAnsi="Arial Narrow" w:cs="Arial"/>
                <w:spacing w:val="0"/>
                <w:sz w:val="16"/>
                <w:szCs w:val="16"/>
                <w:lang w:eastAsia="es-CO"/>
              </w:rPr>
              <w:t>HEGA SA ESP</w:t>
            </w:r>
          </w:p>
        </w:tc>
        <w:tc>
          <w:tcPr>
            <w:tcW w:w="1620" w:type="dxa"/>
            <w:tcBorders>
              <w:top w:val="nil"/>
              <w:left w:val="nil"/>
              <w:bottom w:val="single" w:sz="4" w:space="0" w:color="auto"/>
              <w:right w:val="single" w:sz="4" w:space="0" w:color="auto"/>
            </w:tcBorders>
            <w:shd w:val="clear" w:color="000000" w:fill="F2F2F2"/>
            <w:noWrap/>
            <w:vAlign w:val="center"/>
            <w:hideMark/>
          </w:tcPr>
          <w:p w14:paraId="07009AF9"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$ 71.400.000</w:t>
            </w:r>
          </w:p>
        </w:tc>
        <w:tc>
          <w:tcPr>
            <w:tcW w:w="1520" w:type="dxa"/>
            <w:tcBorders>
              <w:top w:val="nil"/>
              <w:left w:val="nil"/>
              <w:bottom w:val="single" w:sz="4" w:space="0" w:color="auto"/>
              <w:right w:val="single" w:sz="4" w:space="0" w:color="auto"/>
            </w:tcBorders>
            <w:shd w:val="clear" w:color="000000" w:fill="F2F2F2"/>
            <w:noWrap/>
            <w:vAlign w:val="center"/>
            <w:hideMark/>
          </w:tcPr>
          <w:p w14:paraId="3D46097E"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$ 9.568.346</w:t>
            </w:r>
          </w:p>
        </w:tc>
        <w:tc>
          <w:tcPr>
            <w:tcW w:w="1460" w:type="dxa"/>
            <w:tcBorders>
              <w:top w:val="nil"/>
              <w:left w:val="nil"/>
              <w:bottom w:val="single" w:sz="4" w:space="0" w:color="auto"/>
              <w:right w:val="single" w:sz="4" w:space="0" w:color="auto"/>
            </w:tcBorders>
            <w:shd w:val="clear" w:color="000000" w:fill="F2F2F2"/>
            <w:noWrap/>
            <w:vAlign w:val="center"/>
            <w:hideMark/>
          </w:tcPr>
          <w:p w14:paraId="42E6ED3E"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$ 80.968.346</w:t>
            </w:r>
          </w:p>
        </w:tc>
        <w:tc>
          <w:tcPr>
            <w:tcW w:w="1280" w:type="dxa"/>
            <w:tcBorders>
              <w:top w:val="nil"/>
              <w:left w:val="nil"/>
              <w:bottom w:val="single" w:sz="4" w:space="0" w:color="auto"/>
              <w:right w:val="single" w:sz="4" w:space="0" w:color="auto"/>
            </w:tcBorders>
            <w:shd w:val="clear" w:color="000000" w:fill="F2F2F2"/>
            <w:noWrap/>
            <w:vAlign w:val="center"/>
            <w:hideMark/>
          </w:tcPr>
          <w:p w14:paraId="30284A2D"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$ 809.683</w:t>
            </w:r>
          </w:p>
        </w:tc>
        <w:tc>
          <w:tcPr>
            <w:tcW w:w="1200" w:type="dxa"/>
            <w:tcBorders>
              <w:top w:val="nil"/>
              <w:left w:val="nil"/>
              <w:bottom w:val="single" w:sz="4" w:space="0" w:color="auto"/>
              <w:right w:val="single" w:sz="4" w:space="0" w:color="auto"/>
            </w:tcBorders>
            <w:shd w:val="clear" w:color="000000" w:fill="F2F2F2"/>
            <w:noWrap/>
            <w:vAlign w:val="center"/>
            <w:hideMark/>
          </w:tcPr>
          <w:p w14:paraId="14B27458"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$ 34</w:t>
            </w:r>
          </w:p>
        </w:tc>
        <w:tc>
          <w:tcPr>
            <w:tcW w:w="1280" w:type="dxa"/>
            <w:tcBorders>
              <w:top w:val="nil"/>
              <w:left w:val="nil"/>
              <w:bottom w:val="single" w:sz="4" w:space="0" w:color="auto"/>
              <w:right w:val="single" w:sz="4" w:space="0" w:color="auto"/>
            </w:tcBorders>
            <w:shd w:val="clear" w:color="000000" w:fill="F2F2F2"/>
            <w:noWrap/>
            <w:vAlign w:val="center"/>
            <w:hideMark/>
          </w:tcPr>
          <w:p w14:paraId="1D261F33"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$ 809.717</w:t>
            </w:r>
          </w:p>
        </w:tc>
      </w:tr>
      <w:tr w:rsidR="00B07312" w:rsidRPr="006B48D3" w14:paraId="1C1A7AF5" w14:textId="77777777" w:rsidTr="00D16BC5">
        <w:trPr>
          <w:trHeight w:val="235"/>
        </w:trPr>
        <w:tc>
          <w:tcPr>
            <w:tcW w:w="407" w:type="dxa"/>
            <w:tcBorders>
              <w:top w:val="nil"/>
              <w:left w:val="single" w:sz="4" w:space="0" w:color="auto"/>
              <w:bottom w:val="single" w:sz="4" w:space="0" w:color="auto"/>
              <w:right w:val="single" w:sz="4" w:space="0" w:color="auto"/>
            </w:tcBorders>
            <w:shd w:val="clear" w:color="000000" w:fill="F2F2F2"/>
            <w:noWrap/>
            <w:vAlign w:val="center"/>
            <w:hideMark/>
          </w:tcPr>
          <w:p w14:paraId="216EAEB9" w14:textId="77777777" w:rsidR="00B07312" w:rsidRPr="006B48D3" w:rsidRDefault="00B07312" w:rsidP="00D22441">
            <w:pPr>
              <w:jc w:val="center"/>
              <w:rPr>
                <w:rFonts w:ascii="Arial Narrow" w:hAnsi="Arial Narrow" w:cs="Arial"/>
                <w:spacing w:val="0"/>
                <w:sz w:val="16"/>
                <w:szCs w:val="16"/>
                <w:lang w:eastAsia="es-CO"/>
              </w:rPr>
            </w:pPr>
            <w:r w:rsidRPr="006B48D3">
              <w:rPr>
                <w:rFonts w:ascii="Arial Narrow" w:hAnsi="Arial Narrow" w:cs="Arial"/>
                <w:spacing w:val="0"/>
                <w:sz w:val="16"/>
                <w:szCs w:val="16"/>
                <w:lang w:eastAsia="es-CO"/>
              </w:rPr>
              <w:t>78</w:t>
            </w:r>
          </w:p>
        </w:tc>
        <w:tc>
          <w:tcPr>
            <w:tcW w:w="585" w:type="dxa"/>
            <w:tcBorders>
              <w:top w:val="nil"/>
              <w:left w:val="nil"/>
              <w:bottom w:val="single" w:sz="4" w:space="0" w:color="auto"/>
              <w:right w:val="single" w:sz="4" w:space="0" w:color="auto"/>
            </w:tcBorders>
            <w:shd w:val="clear" w:color="000000" w:fill="F2F2F2"/>
            <w:noWrap/>
            <w:vAlign w:val="center"/>
            <w:hideMark/>
          </w:tcPr>
          <w:p w14:paraId="2E31C11B"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55368</w:t>
            </w:r>
          </w:p>
        </w:tc>
        <w:tc>
          <w:tcPr>
            <w:tcW w:w="941" w:type="dxa"/>
            <w:tcBorders>
              <w:top w:val="nil"/>
              <w:left w:val="nil"/>
              <w:bottom w:val="single" w:sz="4" w:space="0" w:color="auto"/>
              <w:right w:val="single" w:sz="4" w:space="0" w:color="auto"/>
            </w:tcBorders>
            <w:shd w:val="clear" w:color="000000" w:fill="F2F2F2"/>
            <w:noWrap/>
            <w:vAlign w:val="center"/>
            <w:hideMark/>
          </w:tcPr>
          <w:p w14:paraId="45C9F0BD"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900235929</w:t>
            </w:r>
          </w:p>
        </w:tc>
        <w:tc>
          <w:tcPr>
            <w:tcW w:w="3247" w:type="dxa"/>
            <w:tcBorders>
              <w:top w:val="nil"/>
              <w:left w:val="nil"/>
              <w:bottom w:val="single" w:sz="4" w:space="0" w:color="auto"/>
              <w:right w:val="single" w:sz="4" w:space="0" w:color="auto"/>
            </w:tcBorders>
            <w:shd w:val="clear" w:color="000000" w:fill="F2F2F2"/>
            <w:vAlign w:val="center"/>
            <w:hideMark/>
          </w:tcPr>
          <w:p w14:paraId="6F256AE2" w14:textId="77777777" w:rsidR="00B07312" w:rsidRPr="006B48D3" w:rsidRDefault="00B07312" w:rsidP="00D22441">
            <w:pPr>
              <w:jc w:val="left"/>
              <w:rPr>
                <w:rFonts w:ascii="Arial Narrow" w:hAnsi="Arial Narrow" w:cs="Arial"/>
                <w:spacing w:val="0"/>
                <w:sz w:val="16"/>
                <w:szCs w:val="16"/>
                <w:lang w:eastAsia="es-CO"/>
              </w:rPr>
            </w:pPr>
            <w:r w:rsidRPr="006B48D3">
              <w:rPr>
                <w:rFonts w:ascii="Arial Narrow" w:hAnsi="Arial Narrow" w:cs="Arial"/>
                <w:spacing w:val="0"/>
                <w:sz w:val="16"/>
                <w:szCs w:val="16"/>
                <w:lang w:eastAsia="es-CO"/>
              </w:rPr>
              <w:t xml:space="preserve">GASES DEL FUTURO SAS E.S.P. </w:t>
            </w:r>
          </w:p>
        </w:tc>
        <w:tc>
          <w:tcPr>
            <w:tcW w:w="1620" w:type="dxa"/>
            <w:tcBorders>
              <w:top w:val="nil"/>
              <w:left w:val="nil"/>
              <w:bottom w:val="single" w:sz="4" w:space="0" w:color="auto"/>
              <w:right w:val="single" w:sz="4" w:space="0" w:color="auto"/>
            </w:tcBorders>
            <w:shd w:val="clear" w:color="000000" w:fill="F2F2F2"/>
            <w:noWrap/>
            <w:vAlign w:val="center"/>
            <w:hideMark/>
          </w:tcPr>
          <w:p w14:paraId="09825358"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$ 428.672.000</w:t>
            </w:r>
          </w:p>
        </w:tc>
        <w:tc>
          <w:tcPr>
            <w:tcW w:w="1520" w:type="dxa"/>
            <w:tcBorders>
              <w:top w:val="nil"/>
              <w:left w:val="nil"/>
              <w:bottom w:val="single" w:sz="4" w:space="0" w:color="auto"/>
              <w:right w:val="single" w:sz="4" w:space="0" w:color="auto"/>
            </w:tcBorders>
            <w:shd w:val="clear" w:color="000000" w:fill="F2F2F2"/>
            <w:noWrap/>
            <w:vAlign w:val="center"/>
            <w:hideMark/>
          </w:tcPr>
          <w:p w14:paraId="67C41887"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$ 8.925.408</w:t>
            </w:r>
          </w:p>
        </w:tc>
        <w:tc>
          <w:tcPr>
            <w:tcW w:w="1460" w:type="dxa"/>
            <w:tcBorders>
              <w:top w:val="nil"/>
              <w:left w:val="nil"/>
              <w:bottom w:val="single" w:sz="4" w:space="0" w:color="auto"/>
              <w:right w:val="single" w:sz="4" w:space="0" w:color="auto"/>
            </w:tcBorders>
            <w:shd w:val="clear" w:color="000000" w:fill="F2F2F2"/>
            <w:noWrap/>
            <w:vAlign w:val="center"/>
            <w:hideMark/>
          </w:tcPr>
          <w:p w14:paraId="68EDF0C5"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$ 437.597.408</w:t>
            </w:r>
          </w:p>
        </w:tc>
        <w:tc>
          <w:tcPr>
            <w:tcW w:w="1280" w:type="dxa"/>
            <w:tcBorders>
              <w:top w:val="nil"/>
              <w:left w:val="nil"/>
              <w:bottom w:val="single" w:sz="4" w:space="0" w:color="auto"/>
              <w:right w:val="single" w:sz="4" w:space="0" w:color="auto"/>
            </w:tcBorders>
            <w:shd w:val="clear" w:color="000000" w:fill="F2F2F2"/>
            <w:noWrap/>
            <w:vAlign w:val="center"/>
            <w:hideMark/>
          </w:tcPr>
          <w:p w14:paraId="0B3AADD4"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$ 4.375.974</w:t>
            </w:r>
          </w:p>
        </w:tc>
        <w:tc>
          <w:tcPr>
            <w:tcW w:w="1200" w:type="dxa"/>
            <w:tcBorders>
              <w:top w:val="nil"/>
              <w:left w:val="nil"/>
              <w:bottom w:val="single" w:sz="4" w:space="0" w:color="auto"/>
              <w:right w:val="single" w:sz="4" w:space="0" w:color="auto"/>
            </w:tcBorders>
            <w:shd w:val="clear" w:color="000000" w:fill="F2F2F2"/>
            <w:noWrap/>
            <w:vAlign w:val="center"/>
            <w:hideMark/>
          </w:tcPr>
          <w:p w14:paraId="652B65F2"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$ 182</w:t>
            </w:r>
          </w:p>
        </w:tc>
        <w:tc>
          <w:tcPr>
            <w:tcW w:w="1280" w:type="dxa"/>
            <w:tcBorders>
              <w:top w:val="nil"/>
              <w:left w:val="nil"/>
              <w:bottom w:val="single" w:sz="4" w:space="0" w:color="auto"/>
              <w:right w:val="single" w:sz="4" w:space="0" w:color="auto"/>
            </w:tcBorders>
            <w:shd w:val="clear" w:color="000000" w:fill="F2F2F2"/>
            <w:noWrap/>
            <w:vAlign w:val="center"/>
            <w:hideMark/>
          </w:tcPr>
          <w:p w14:paraId="4CF2DD24"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$ 4.376.156</w:t>
            </w:r>
          </w:p>
        </w:tc>
      </w:tr>
      <w:tr w:rsidR="00B07312" w:rsidRPr="006B48D3" w14:paraId="13F9213F" w14:textId="77777777" w:rsidTr="00D16BC5">
        <w:trPr>
          <w:trHeight w:val="283"/>
        </w:trPr>
        <w:tc>
          <w:tcPr>
            <w:tcW w:w="407" w:type="dxa"/>
            <w:tcBorders>
              <w:top w:val="nil"/>
              <w:left w:val="single" w:sz="4" w:space="0" w:color="auto"/>
              <w:bottom w:val="single" w:sz="4" w:space="0" w:color="auto"/>
              <w:right w:val="single" w:sz="4" w:space="0" w:color="auto"/>
            </w:tcBorders>
            <w:shd w:val="clear" w:color="000000" w:fill="F2F2F2"/>
            <w:noWrap/>
            <w:vAlign w:val="center"/>
            <w:hideMark/>
          </w:tcPr>
          <w:p w14:paraId="3EEBCA6B" w14:textId="77777777" w:rsidR="00B07312" w:rsidRPr="006B48D3" w:rsidRDefault="00B07312" w:rsidP="00D22441">
            <w:pPr>
              <w:jc w:val="center"/>
              <w:rPr>
                <w:rFonts w:ascii="Arial Narrow" w:hAnsi="Arial Narrow" w:cs="Arial"/>
                <w:spacing w:val="0"/>
                <w:sz w:val="16"/>
                <w:szCs w:val="16"/>
                <w:lang w:eastAsia="es-CO"/>
              </w:rPr>
            </w:pPr>
            <w:r w:rsidRPr="006B48D3">
              <w:rPr>
                <w:rFonts w:ascii="Arial Narrow" w:hAnsi="Arial Narrow" w:cs="Arial"/>
                <w:spacing w:val="0"/>
                <w:sz w:val="16"/>
                <w:szCs w:val="16"/>
                <w:lang w:eastAsia="es-CO"/>
              </w:rPr>
              <w:t>79</w:t>
            </w:r>
          </w:p>
        </w:tc>
        <w:tc>
          <w:tcPr>
            <w:tcW w:w="585" w:type="dxa"/>
            <w:tcBorders>
              <w:top w:val="nil"/>
              <w:left w:val="nil"/>
              <w:bottom w:val="single" w:sz="4" w:space="0" w:color="auto"/>
              <w:right w:val="single" w:sz="4" w:space="0" w:color="auto"/>
            </w:tcBorders>
            <w:shd w:val="clear" w:color="000000" w:fill="F2F2F2"/>
            <w:noWrap/>
            <w:vAlign w:val="center"/>
            <w:hideMark/>
          </w:tcPr>
          <w:p w14:paraId="76C1344C"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26645</w:t>
            </w:r>
          </w:p>
        </w:tc>
        <w:tc>
          <w:tcPr>
            <w:tcW w:w="941" w:type="dxa"/>
            <w:tcBorders>
              <w:top w:val="nil"/>
              <w:left w:val="nil"/>
              <w:bottom w:val="single" w:sz="4" w:space="0" w:color="auto"/>
              <w:right w:val="single" w:sz="4" w:space="0" w:color="auto"/>
            </w:tcBorders>
            <w:shd w:val="clear" w:color="000000" w:fill="F2F2F2"/>
            <w:noWrap/>
            <w:vAlign w:val="center"/>
            <w:hideMark/>
          </w:tcPr>
          <w:p w14:paraId="6D00481C"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900268747</w:t>
            </w:r>
          </w:p>
        </w:tc>
        <w:tc>
          <w:tcPr>
            <w:tcW w:w="3247" w:type="dxa"/>
            <w:tcBorders>
              <w:top w:val="nil"/>
              <w:left w:val="nil"/>
              <w:bottom w:val="single" w:sz="4" w:space="0" w:color="auto"/>
              <w:right w:val="single" w:sz="4" w:space="0" w:color="auto"/>
            </w:tcBorders>
            <w:shd w:val="clear" w:color="000000" w:fill="F2F2F2"/>
            <w:vAlign w:val="center"/>
            <w:hideMark/>
          </w:tcPr>
          <w:p w14:paraId="3EDB47CB" w14:textId="77777777" w:rsidR="00B07312" w:rsidRPr="006B48D3" w:rsidRDefault="00B07312" w:rsidP="00D22441">
            <w:pPr>
              <w:jc w:val="left"/>
              <w:rPr>
                <w:rFonts w:ascii="Arial Narrow" w:hAnsi="Arial Narrow" w:cs="Arial"/>
                <w:spacing w:val="0"/>
                <w:sz w:val="16"/>
                <w:szCs w:val="16"/>
                <w:lang w:eastAsia="es-CO"/>
              </w:rPr>
            </w:pPr>
            <w:r w:rsidRPr="006B48D3">
              <w:rPr>
                <w:rFonts w:ascii="Arial Narrow" w:hAnsi="Arial Narrow" w:cs="Arial"/>
                <w:spacing w:val="0"/>
                <w:sz w:val="16"/>
                <w:szCs w:val="16"/>
                <w:lang w:eastAsia="es-CO"/>
              </w:rPr>
              <w:t>PAREX RESOURCES COLOMBIA LTD SUCURSAL</w:t>
            </w:r>
          </w:p>
        </w:tc>
        <w:tc>
          <w:tcPr>
            <w:tcW w:w="1620" w:type="dxa"/>
            <w:tcBorders>
              <w:top w:val="nil"/>
              <w:left w:val="nil"/>
              <w:bottom w:val="single" w:sz="4" w:space="0" w:color="auto"/>
              <w:right w:val="single" w:sz="4" w:space="0" w:color="auto"/>
            </w:tcBorders>
            <w:shd w:val="clear" w:color="000000" w:fill="F2F2F2"/>
            <w:noWrap/>
            <w:vAlign w:val="center"/>
            <w:hideMark/>
          </w:tcPr>
          <w:p w14:paraId="7D5E06B1"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$ 13.178.743.000</w:t>
            </w:r>
          </w:p>
        </w:tc>
        <w:tc>
          <w:tcPr>
            <w:tcW w:w="1520" w:type="dxa"/>
            <w:tcBorders>
              <w:top w:val="nil"/>
              <w:left w:val="nil"/>
              <w:bottom w:val="single" w:sz="4" w:space="0" w:color="auto"/>
              <w:right w:val="single" w:sz="4" w:space="0" w:color="auto"/>
            </w:tcBorders>
            <w:shd w:val="clear" w:color="000000" w:fill="F2F2F2"/>
            <w:noWrap/>
            <w:vAlign w:val="center"/>
            <w:hideMark/>
          </w:tcPr>
          <w:p w14:paraId="1B33AD3D"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$ 262.068</w:t>
            </w:r>
          </w:p>
        </w:tc>
        <w:tc>
          <w:tcPr>
            <w:tcW w:w="1460" w:type="dxa"/>
            <w:tcBorders>
              <w:top w:val="nil"/>
              <w:left w:val="nil"/>
              <w:bottom w:val="single" w:sz="4" w:space="0" w:color="auto"/>
              <w:right w:val="single" w:sz="4" w:space="0" w:color="auto"/>
            </w:tcBorders>
            <w:shd w:val="clear" w:color="000000" w:fill="F2F2F2"/>
            <w:noWrap/>
            <w:vAlign w:val="center"/>
            <w:hideMark/>
          </w:tcPr>
          <w:p w14:paraId="2889B73B"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$ 13.179.005.068</w:t>
            </w:r>
          </w:p>
        </w:tc>
        <w:tc>
          <w:tcPr>
            <w:tcW w:w="1280" w:type="dxa"/>
            <w:tcBorders>
              <w:top w:val="nil"/>
              <w:left w:val="nil"/>
              <w:bottom w:val="single" w:sz="4" w:space="0" w:color="auto"/>
              <w:right w:val="single" w:sz="4" w:space="0" w:color="auto"/>
            </w:tcBorders>
            <w:shd w:val="clear" w:color="000000" w:fill="F2F2F2"/>
            <w:noWrap/>
            <w:vAlign w:val="center"/>
            <w:hideMark/>
          </w:tcPr>
          <w:p w14:paraId="46472382"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$ 131.790.051</w:t>
            </w:r>
          </w:p>
        </w:tc>
        <w:tc>
          <w:tcPr>
            <w:tcW w:w="1200" w:type="dxa"/>
            <w:tcBorders>
              <w:top w:val="nil"/>
              <w:left w:val="nil"/>
              <w:bottom w:val="single" w:sz="4" w:space="0" w:color="auto"/>
              <w:right w:val="single" w:sz="4" w:space="0" w:color="auto"/>
            </w:tcBorders>
            <w:shd w:val="clear" w:color="000000" w:fill="F2F2F2"/>
            <w:noWrap/>
            <w:vAlign w:val="center"/>
            <w:hideMark/>
          </w:tcPr>
          <w:p w14:paraId="3229FA3C"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$ 5.485</w:t>
            </w:r>
          </w:p>
        </w:tc>
        <w:tc>
          <w:tcPr>
            <w:tcW w:w="1280" w:type="dxa"/>
            <w:tcBorders>
              <w:top w:val="nil"/>
              <w:left w:val="nil"/>
              <w:bottom w:val="single" w:sz="4" w:space="0" w:color="auto"/>
              <w:right w:val="single" w:sz="4" w:space="0" w:color="auto"/>
            </w:tcBorders>
            <w:shd w:val="clear" w:color="000000" w:fill="F2F2F2"/>
            <w:noWrap/>
            <w:vAlign w:val="center"/>
            <w:hideMark/>
          </w:tcPr>
          <w:p w14:paraId="0F7198A1"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$ 131.795.535</w:t>
            </w:r>
          </w:p>
        </w:tc>
      </w:tr>
      <w:tr w:rsidR="00B07312" w:rsidRPr="006B48D3" w14:paraId="0F28A928" w14:textId="77777777" w:rsidTr="00D16BC5">
        <w:trPr>
          <w:trHeight w:val="250"/>
        </w:trPr>
        <w:tc>
          <w:tcPr>
            <w:tcW w:w="407" w:type="dxa"/>
            <w:tcBorders>
              <w:top w:val="nil"/>
              <w:left w:val="single" w:sz="4" w:space="0" w:color="auto"/>
              <w:bottom w:val="single" w:sz="4" w:space="0" w:color="auto"/>
              <w:right w:val="single" w:sz="4" w:space="0" w:color="auto"/>
            </w:tcBorders>
            <w:shd w:val="clear" w:color="000000" w:fill="F2F2F2"/>
            <w:noWrap/>
            <w:vAlign w:val="center"/>
            <w:hideMark/>
          </w:tcPr>
          <w:p w14:paraId="577D2FAC" w14:textId="77777777" w:rsidR="00B07312" w:rsidRPr="006B48D3" w:rsidRDefault="00B07312" w:rsidP="00D22441">
            <w:pPr>
              <w:jc w:val="center"/>
              <w:rPr>
                <w:rFonts w:ascii="Arial Narrow" w:hAnsi="Arial Narrow" w:cs="Arial"/>
                <w:spacing w:val="0"/>
                <w:sz w:val="16"/>
                <w:szCs w:val="16"/>
                <w:lang w:eastAsia="es-CO"/>
              </w:rPr>
            </w:pPr>
            <w:r w:rsidRPr="006B48D3">
              <w:rPr>
                <w:rFonts w:ascii="Arial Narrow" w:hAnsi="Arial Narrow" w:cs="Arial"/>
                <w:spacing w:val="0"/>
                <w:sz w:val="16"/>
                <w:szCs w:val="16"/>
                <w:lang w:eastAsia="es-CO"/>
              </w:rPr>
              <w:t>80</w:t>
            </w:r>
          </w:p>
        </w:tc>
        <w:tc>
          <w:tcPr>
            <w:tcW w:w="585" w:type="dxa"/>
            <w:tcBorders>
              <w:top w:val="nil"/>
              <w:left w:val="nil"/>
              <w:bottom w:val="single" w:sz="4" w:space="0" w:color="auto"/>
              <w:right w:val="single" w:sz="4" w:space="0" w:color="auto"/>
            </w:tcBorders>
            <w:shd w:val="clear" w:color="000000" w:fill="F2F2F2"/>
            <w:noWrap/>
            <w:vAlign w:val="center"/>
            <w:hideMark/>
          </w:tcPr>
          <w:p w14:paraId="789AC5C1"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23015</w:t>
            </w:r>
          </w:p>
        </w:tc>
        <w:tc>
          <w:tcPr>
            <w:tcW w:w="941" w:type="dxa"/>
            <w:tcBorders>
              <w:top w:val="nil"/>
              <w:left w:val="nil"/>
              <w:bottom w:val="single" w:sz="4" w:space="0" w:color="auto"/>
              <w:right w:val="single" w:sz="4" w:space="0" w:color="auto"/>
            </w:tcBorders>
            <w:shd w:val="clear" w:color="000000" w:fill="F2F2F2"/>
            <w:noWrap/>
            <w:vAlign w:val="center"/>
            <w:hideMark/>
          </w:tcPr>
          <w:p w14:paraId="64A16902"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900305404</w:t>
            </w:r>
          </w:p>
        </w:tc>
        <w:tc>
          <w:tcPr>
            <w:tcW w:w="3247" w:type="dxa"/>
            <w:tcBorders>
              <w:top w:val="nil"/>
              <w:left w:val="nil"/>
              <w:bottom w:val="single" w:sz="4" w:space="0" w:color="auto"/>
              <w:right w:val="single" w:sz="4" w:space="0" w:color="auto"/>
            </w:tcBorders>
            <w:shd w:val="clear" w:color="000000" w:fill="F2F2F2"/>
            <w:vAlign w:val="center"/>
            <w:hideMark/>
          </w:tcPr>
          <w:p w14:paraId="1F466126" w14:textId="77777777" w:rsidR="00B07312" w:rsidRPr="006B48D3" w:rsidRDefault="00B07312" w:rsidP="00D22441">
            <w:pPr>
              <w:jc w:val="left"/>
              <w:rPr>
                <w:rFonts w:ascii="Arial Narrow" w:hAnsi="Arial Narrow" w:cs="Arial"/>
                <w:spacing w:val="0"/>
                <w:sz w:val="16"/>
                <w:szCs w:val="16"/>
                <w:lang w:eastAsia="es-CO"/>
              </w:rPr>
            </w:pPr>
            <w:r w:rsidRPr="006B48D3">
              <w:rPr>
                <w:rFonts w:ascii="Arial Narrow" w:hAnsi="Arial Narrow" w:cs="Arial"/>
                <w:spacing w:val="0"/>
                <w:sz w:val="16"/>
                <w:szCs w:val="16"/>
                <w:lang w:eastAsia="es-CO"/>
              </w:rPr>
              <w:t>VP INGENERGIA S.A. E.S.P.</w:t>
            </w:r>
          </w:p>
        </w:tc>
        <w:tc>
          <w:tcPr>
            <w:tcW w:w="1620" w:type="dxa"/>
            <w:tcBorders>
              <w:top w:val="nil"/>
              <w:left w:val="nil"/>
              <w:bottom w:val="single" w:sz="4" w:space="0" w:color="auto"/>
              <w:right w:val="single" w:sz="4" w:space="0" w:color="auto"/>
            </w:tcBorders>
            <w:shd w:val="clear" w:color="000000" w:fill="F2F2F2"/>
            <w:noWrap/>
            <w:vAlign w:val="center"/>
            <w:hideMark/>
          </w:tcPr>
          <w:p w14:paraId="6A09A619"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$ 3.838.614.000</w:t>
            </w:r>
          </w:p>
        </w:tc>
        <w:tc>
          <w:tcPr>
            <w:tcW w:w="1520" w:type="dxa"/>
            <w:tcBorders>
              <w:top w:val="nil"/>
              <w:left w:val="nil"/>
              <w:bottom w:val="single" w:sz="4" w:space="0" w:color="auto"/>
              <w:right w:val="single" w:sz="4" w:space="0" w:color="auto"/>
            </w:tcBorders>
            <w:shd w:val="clear" w:color="000000" w:fill="F2F2F2"/>
            <w:noWrap/>
            <w:vAlign w:val="center"/>
            <w:hideMark/>
          </w:tcPr>
          <w:p w14:paraId="0F360F3C"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$ 4.996.671.575</w:t>
            </w:r>
          </w:p>
        </w:tc>
        <w:tc>
          <w:tcPr>
            <w:tcW w:w="1460" w:type="dxa"/>
            <w:tcBorders>
              <w:top w:val="nil"/>
              <w:left w:val="nil"/>
              <w:bottom w:val="single" w:sz="4" w:space="0" w:color="auto"/>
              <w:right w:val="single" w:sz="4" w:space="0" w:color="auto"/>
            </w:tcBorders>
            <w:shd w:val="clear" w:color="000000" w:fill="F2F2F2"/>
            <w:noWrap/>
            <w:vAlign w:val="center"/>
            <w:hideMark/>
          </w:tcPr>
          <w:p w14:paraId="27F337D5"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$ 8.835.285.575</w:t>
            </w:r>
          </w:p>
        </w:tc>
        <w:tc>
          <w:tcPr>
            <w:tcW w:w="1280" w:type="dxa"/>
            <w:tcBorders>
              <w:top w:val="nil"/>
              <w:left w:val="nil"/>
              <w:bottom w:val="single" w:sz="4" w:space="0" w:color="auto"/>
              <w:right w:val="single" w:sz="4" w:space="0" w:color="auto"/>
            </w:tcBorders>
            <w:shd w:val="clear" w:color="000000" w:fill="F2F2F2"/>
            <w:noWrap/>
            <w:vAlign w:val="center"/>
            <w:hideMark/>
          </w:tcPr>
          <w:p w14:paraId="38B1A159"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$ 88.352.856</w:t>
            </w:r>
          </w:p>
        </w:tc>
        <w:tc>
          <w:tcPr>
            <w:tcW w:w="1200" w:type="dxa"/>
            <w:tcBorders>
              <w:top w:val="nil"/>
              <w:left w:val="nil"/>
              <w:bottom w:val="single" w:sz="4" w:space="0" w:color="auto"/>
              <w:right w:val="single" w:sz="4" w:space="0" w:color="auto"/>
            </w:tcBorders>
            <w:shd w:val="clear" w:color="000000" w:fill="F2F2F2"/>
            <w:noWrap/>
            <w:vAlign w:val="center"/>
            <w:hideMark/>
          </w:tcPr>
          <w:p w14:paraId="1187AB4D"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$ 3.677</w:t>
            </w:r>
          </w:p>
        </w:tc>
        <w:tc>
          <w:tcPr>
            <w:tcW w:w="1280" w:type="dxa"/>
            <w:tcBorders>
              <w:top w:val="nil"/>
              <w:left w:val="nil"/>
              <w:bottom w:val="single" w:sz="4" w:space="0" w:color="auto"/>
              <w:right w:val="single" w:sz="4" w:space="0" w:color="auto"/>
            </w:tcBorders>
            <w:shd w:val="clear" w:color="000000" w:fill="F2F2F2"/>
            <w:noWrap/>
            <w:vAlign w:val="center"/>
            <w:hideMark/>
          </w:tcPr>
          <w:p w14:paraId="1CC365E4"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$ 88.356.533</w:t>
            </w:r>
          </w:p>
        </w:tc>
      </w:tr>
      <w:tr w:rsidR="00B07312" w:rsidRPr="006B48D3" w14:paraId="161BF8D3" w14:textId="77777777" w:rsidTr="006B48D3">
        <w:trPr>
          <w:trHeight w:val="450"/>
        </w:trPr>
        <w:tc>
          <w:tcPr>
            <w:tcW w:w="407" w:type="dxa"/>
            <w:tcBorders>
              <w:top w:val="nil"/>
              <w:left w:val="single" w:sz="4" w:space="0" w:color="auto"/>
              <w:bottom w:val="single" w:sz="4" w:space="0" w:color="auto"/>
              <w:right w:val="single" w:sz="4" w:space="0" w:color="auto"/>
            </w:tcBorders>
            <w:shd w:val="clear" w:color="000000" w:fill="F2F2F2"/>
            <w:noWrap/>
            <w:vAlign w:val="center"/>
            <w:hideMark/>
          </w:tcPr>
          <w:p w14:paraId="25EE2864" w14:textId="77777777" w:rsidR="00B07312" w:rsidRPr="006B48D3" w:rsidRDefault="00B07312" w:rsidP="00D22441">
            <w:pPr>
              <w:jc w:val="center"/>
              <w:rPr>
                <w:rFonts w:ascii="Arial Narrow" w:hAnsi="Arial Narrow" w:cs="Arial"/>
                <w:spacing w:val="0"/>
                <w:sz w:val="16"/>
                <w:szCs w:val="16"/>
                <w:lang w:eastAsia="es-CO"/>
              </w:rPr>
            </w:pPr>
            <w:r w:rsidRPr="006B48D3">
              <w:rPr>
                <w:rFonts w:ascii="Arial Narrow" w:hAnsi="Arial Narrow" w:cs="Arial"/>
                <w:spacing w:val="0"/>
                <w:sz w:val="16"/>
                <w:szCs w:val="16"/>
                <w:lang w:eastAsia="es-CO"/>
              </w:rPr>
              <w:t>81</w:t>
            </w:r>
          </w:p>
        </w:tc>
        <w:tc>
          <w:tcPr>
            <w:tcW w:w="585" w:type="dxa"/>
            <w:tcBorders>
              <w:top w:val="nil"/>
              <w:left w:val="nil"/>
              <w:bottom w:val="single" w:sz="4" w:space="0" w:color="auto"/>
              <w:right w:val="single" w:sz="4" w:space="0" w:color="auto"/>
            </w:tcBorders>
            <w:shd w:val="clear" w:color="000000" w:fill="F2F2F2"/>
            <w:noWrap/>
            <w:vAlign w:val="center"/>
            <w:hideMark/>
          </w:tcPr>
          <w:p w14:paraId="3C905B65"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25164</w:t>
            </w:r>
          </w:p>
        </w:tc>
        <w:tc>
          <w:tcPr>
            <w:tcW w:w="941" w:type="dxa"/>
            <w:tcBorders>
              <w:top w:val="nil"/>
              <w:left w:val="nil"/>
              <w:bottom w:val="single" w:sz="4" w:space="0" w:color="auto"/>
              <w:right w:val="single" w:sz="4" w:space="0" w:color="auto"/>
            </w:tcBorders>
            <w:shd w:val="clear" w:color="000000" w:fill="F2F2F2"/>
            <w:noWrap/>
            <w:vAlign w:val="center"/>
            <w:hideMark/>
          </w:tcPr>
          <w:p w14:paraId="090F0E15"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900321520</w:t>
            </w:r>
          </w:p>
        </w:tc>
        <w:tc>
          <w:tcPr>
            <w:tcW w:w="3247" w:type="dxa"/>
            <w:tcBorders>
              <w:top w:val="nil"/>
              <w:left w:val="nil"/>
              <w:bottom w:val="single" w:sz="4" w:space="0" w:color="auto"/>
              <w:right w:val="single" w:sz="4" w:space="0" w:color="auto"/>
            </w:tcBorders>
            <w:shd w:val="clear" w:color="000000" w:fill="F2F2F2"/>
            <w:vAlign w:val="center"/>
            <w:hideMark/>
          </w:tcPr>
          <w:p w14:paraId="219BEDAF" w14:textId="77777777" w:rsidR="00B07312" w:rsidRPr="006B48D3" w:rsidRDefault="00B07312" w:rsidP="00D22441">
            <w:pPr>
              <w:jc w:val="left"/>
              <w:rPr>
                <w:rFonts w:ascii="Arial Narrow" w:hAnsi="Arial Narrow" w:cs="Arial"/>
                <w:spacing w:val="0"/>
                <w:sz w:val="16"/>
                <w:szCs w:val="16"/>
                <w:lang w:eastAsia="es-CO"/>
              </w:rPr>
            </w:pPr>
            <w:r w:rsidRPr="006B48D3">
              <w:rPr>
                <w:rFonts w:ascii="Arial Narrow" w:hAnsi="Arial Narrow" w:cs="Arial"/>
                <w:spacing w:val="0"/>
                <w:sz w:val="16"/>
                <w:szCs w:val="16"/>
                <w:lang w:eastAsia="es-CO"/>
              </w:rPr>
              <w:t>COMERCIALIZADORA DE GASES NATURALES SAS ESP</w:t>
            </w:r>
          </w:p>
        </w:tc>
        <w:tc>
          <w:tcPr>
            <w:tcW w:w="1620" w:type="dxa"/>
            <w:tcBorders>
              <w:top w:val="nil"/>
              <w:left w:val="nil"/>
              <w:bottom w:val="single" w:sz="4" w:space="0" w:color="auto"/>
              <w:right w:val="single" w:sz="4" w:space="0" w:color="auto"/>
            </w:tcBorders>
            <w:shd w:val="clear" w:color="000000" w:fill="F2F2F2"/>
            <w:noWrap/>
            <w:vAlign w:val="center"/>
            <w:hideMark/>
          </w:tcPr>
          <w:p w14:paraId="75FA12EF"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$ 1.534.914.000</w:t>
            </w:r>
          </w:p>
        </w:tc>
        <w:tc>
          <w:tcPr>
            <w:tcW w:w="1520" w:type="dxa"/>
            <w:tcBorders>
              <w:top w:val="nil"/>
              <w:left w:val="nil"/>
              <w:bottom w:val="single" w:sz="4" w:space="0" w:color="auto"/>
              <w:right w:val="single" w:sz="4" w:space="0" w:color="auto"/>
            </w:tcBorders>
            <w:shd w:val="clear" w:color="000000" w:fill="F2F2F2"/>
            <w:noWrap/>
            <w:vAlign w:val="center"/>
            <w:hideMark/>
          </w:tcPr>
          <w:p w14:paraId="15B55C27"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$ 94.069.284</w:t>
            </w:r>
          </w:p>
        </w:tc>
        <w:tc>
          <w:tcPr>
            <w:tcW w:w="1460" w:type="dxa"/>
            <w:tcBorders>
              <w:top w:val="nil"/>
              <w:left w:val="nil"/>
              <w:bottom w:val="single" w:sz="4" w:space="0" w:color="auto"/>
              <w:right w:val="single" w:sz="4" w:space="0" w:color="auto"/>
            </w:tcBorders>
            <w:shd w:val="clear" w:color="000000" w:fill="F2F2F2"/>
            <w:noWrap/>
            <w:vAlign w:val="center"/>
            <w:hideMark/>
          </w:tcPr>
          <w:p w14:paraId="699D0B6C"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$ 1.628.983.284</w:t>
            </w:r>
          </w:p>
        </w:tc>
        <w:tc>
          <w:tcPr>
            <w:tcW w:w="1280" w:type="dxa"/>
            <w:tcBorders>
              <w:top w:val="nil"/>
              <w:left w:val="nil"/>
              <w:bottom w:val="single" w:sz="4" w:space="0" w:color="auto"/>
              <w:right w:val="single" w:sz="4" w:space="0" w:color="auto"/>
            </w:tcBorders>
            <w:shd w:val="clear" w:color="000000" w:fill="F2F2F2"/>
            <w:noWrap/>
            <w:vAlign w:val="center"/>
            <w:hideMark/>
          </w:tcPr>
          <w:p w14:paraId="48CC2479"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$ 16.289.833</w:t>
            </w:r>
          </w:p>
        </w:tc>
        <w:tc>
          <w:tcPr>
            <w:tcW w:w="1200" w:type="dxa"/>
            <w:tcBorders>
              <w:top w:val="nil"/>
              <w:left w:val="nil"/>
              <w:bottom w:val="single" w:sz="4" w:space="0" w:color="auto"/>
              <w:right w:val="single" w:sz="4" w:space="0" w:color="auto"/>
            </w:tcBorders>
            <w:shd w:val="clear" w:color="000000" w:fill="F2F2F2"/>
            <w:noWrap/>
            <w:vAlign w:val="center"/>
            <w:hideMark/>
          </w:tcPr>
          <w:p w14:paraId="5AA0018F"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$ 678</w:t>
            </w:r>
          </w:p>
        </w:tc>
        <w:tc>
          <w:tcPr>
            <w:tcW w:w="1280" w:type="dxa"/>
            <w:tcBorders>
              <w:top w:val="nil"/>
              <w:left w:val="nil"/>
              <w:bottom w:val="single" w:sz="4" w:space="0" w:color="auto"/>
              <w:right w:val="single" w:sz="4" w:space="0" w:color="auto"/>
            </w:tcBorders>
            <w:shd w:val="clear" w:color="000000" w:fill="F2F2F2"/>
            <w:noWrap/>
            <w:vAlign w:val="center"/>
            <w:hideMark/>
          </w:tcPr>
          <w:p w14:paraId="4768AF5A"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$ 16.290.511</w:t>
            </w:r>
          </w:p>
        </w:tc>
      </w:tr>
      <w:tr w:rsidR="00B07312" w:rsidRPr="006B48D3" w14:paraId="0DDE81B1" w14:textId="77777777" w:rsidTr="006B48D3">
        <w:trPr>
          <w:trHeight w:val="219"/>
        </w:trPr>
        <w:tc>
          <w:tcPr>
            <w:tcW w:w="407" w:type="dxa"/>
            <w:tcBorders>
              <w:top w:val="nil"/>
              <w:left w:val="single" w:sz="4" w:space="0" w:color="auto"/>
              <w:bottom w:val="single" w:sz="4" w:space="0" w:color="auto"/>
              <w:right w:val="single" w:sz="4" w:space="0" w:color="auto"/>
            </w:tcBorders>
            <w:shd w:val="clear" w:color="000000" w:fill="F2F2F2"/>
            <w:noWrap/>
            <w:vAlign w:val="center"/>
            <w:hideMark/>
          </w:tcPr>
          <w:p w14:paraId="4A25640F" w14:textId="77777777" w:rsidR="00B07312" w:rsidRPr="006B48D3" w:rsidRDefault="00B07312" w:rsidP="00D22441">
            <w:pPr>
              <w:jc w:val="center"/>
              <w:rPr>
                <w:rFonts w:ascii="Arial Narrow" w:hAnsi="Arial Narrow" w:cs="Arial"/>
                <w:spacing w:val="0"/>
                <w:sz w:val="16"/>
                <w:szCs w:val="16"/>
                <w:lang w:eastAsia="es-CO"/>
              </w:rPr>
            </w:pPr>
            <w:r w:rsidRPr="006B48D3">
              <w:rPr>
                <w:rFonts w:ascii="Arial Narrow" w:hAnsi="Arial Narrow" w:cs="Arial"/>
                <w:spacing w:val="0"/>
                <w:sz w:val="16"/>
                <w:szCs w:val="16"/>
                <w:lang w:eastAsia="es-CO"/>
              </w:rPr>
              <w:t>82</w:t>
            </w:r>
          </w:p>
        </w:tc>
        <w:tc>
          <w:tcPr>
            <w:tcW w:w="585" w:type="dxa"/>
            <w:tcBorders>
              <w:top w:val="nil"/>
              <w:left w:val="nil"/>
              <w:bottom w:val="single" w:sz="4" w:space="0" w:color="auto"/>
              <w:right w:val="single" w:sz="4" w:space="0" w:color="auto"/>
            </w:tcBorders>
            <w:shd w:val="clear" w:color="000000" w:fill="F2F2F2"/>
            <w:noWrap/>
            <w:vAlign w:val="center"/>
            <w:hideMark/>
          </w:tcPr>
          <w:p w14:paraId="177C7023"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23250</w:t>
            </w:r>
          </w:p>
        </w:tc>
        <w:tc>
          <w:tcPr>
            <w:tcW w:w="941" w:type="dxa"/>
            <w:tcBorders>
              <w:top w:val="nil"/>
              <w:left w:val="nil"/>
              <w:bottom w:val="single" w:sz="4" w:space="0" w:color="auto"/>
              <w:right w:val="single" w:sz="4" w:space="0" w:color="auto"/>
            </w:tcBorders>
            <w:shd w:val="clear" w:color="000000" w:fill="F2F2F2"/>
            <w:noWrap/>
            <w:vAlign w:val="center"/>
            <w:hideMark/>
          </w:tcPr>
          <w:p w14:paraId="1BE6BCA5"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900330027</w:t>
            </w:r>
          </w:p>
        </w:tc>
        <w:tc>
          <w:tcPr>
            <w:tcW w:w="3247" w:type="dxa"/>
            <w:tcBorders>
              <w:top w:val="nil"/>
              <w:left w:val="nil"/>
              <w:bottom w:val="single" w:sz="4" w:space="0" w:color="auto"/>
              <w:right w:val="single" w:sz="4" w:space="0" w:color="auto"/>
            </w:tcBorders>
            <w:shd w:val="clear" w:color="000000" w:fill="F2F2F2"/>
            <w:vAlign w:val="center"/>
            <w:hideMark/>
          </w:tcPr>
          <w:p w14:paraId="7DDFB5D1" w14:textId="77777777" w:rsidR="00B07312" w:rsidRPr="006B48D3" w:rsidRDefault="00B07312" w:rsidP="00D22441">
            <w:pPr>
              <w:jc w:val="left"/>
              <w:rPr>
                <w:rFonts w:ascii="Arial Narrow" w:hAnsi="Arial Narrow" w:cs="Arial"/>
                <w:spacing w:val="0"/>
                <w:sz w:val="16"/>
                <w:szCs w:val="16"/>
                <w:lang w:eastAsia="es-CO"/>
              </w:rPr>
            </w:pPr>
            <w:r w:rsidRPr="006B48D3">
              <w:rPr>
                <w:rFonts w:ascii="Arial Narrow" w:hAnsi="Arial Narrow" w:cs="Arial"/>
                <w:spacing w:val="0"/>
                <w:sz w:val="16"/>
                <w:szCs w:val="16"/>
                <w:lang w:eastAsia="es-CO"/>
              </w:rPr>
              <w:t>PETROMILGAS S.A. ESP</w:t>
            </w:r>
          </w:p>
        </w:tc>
        <w:tc>
          <w:tcPr>
            <w:tcW w:w="1620" w:type="dxa"/>
            <w:tcBorders>
              <w:top w:val="nil"/>
              <w:left w:val="nil"/>
              <w:bottom w:val="single" w:sz="4" w:space="0" w:color="auto"/>
              <w:right w:val="single" w:sz="4" w:space="0" w:color="auto"/>
            </w:tcBorders>
            <w:shd w:val="clear" w:color="000000" w:fill="F2F2F2"/>
            <w:noWrap/>
            <w:vAlign w:val="center"/>
            <w:hideMark/>
          </w:tcPr>
          <w:p w14:paraId="0A4F15C1"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$ 4.459.492.000</w:t>
            </w:r>
          </w:p>
        </w:tc>
        <w:tc>
          <w:tcPr>
            <w:tcW w:w="1520" w:type="dxa"/>
            <w:tcBorders>
              <w:top w:val="nil"/>
              <w:left w:val="nil"/>
              <w:bottom w:val="single" w:sz="4" w:space="0" w:color="auto"/>
              <w:right w:val="single" w:sz="4" w:space="0" w:color="auto"/>
            </w:tcBorders>
            <w:shd w:val="clear" w:color="000000" w:fill="F2F2F2"/>
            <w:noWrap/>
            <w:vAlign w:val="center"/>
            <w:hideMark/>
          </w:tcPr>
          <w:p w14:paraId="17024649"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$ 0</w:t>
            </w:r>
          </w:p>
        </w:tc>
        <w:tc>
          <w:tcPr>
            <w:tcW w:w="1460" w:type="dxa"/>
            <w:tcBorders>
              <w:top w:val="nil"/>
              <w:left w:val="nil"/>
              <w:bottom w:val="single" w:sz="4" w:space="0" w:color="auto"/>
              <w:right w:val="single" w:sz="4" w:space="0" w:color="auto"/>
            </w:tcBorders>
            <w:shd w:val="clear" w:color="000000" w:fill="F2F2F2"/>
            <w:noWrap/>
            <w:vAlign w:val="center"/>
            <w:hideMark/>
          </w:tcPr>
          <w:p w14:paraId="4D4F28B3"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$ 4.459.492.000</w:t>
            </w:r>
          </w:p>
        </w:tc>
        <w:tc>
          <w:tcPr>
            <w:tcW w:w="1280" w:type="dxa"/>
            <w:tcBorders>
              <w:top w:val="nil"/>
              <w:left w:val="nil"/>
              <w:bottom w:val="single" w:sz="4" w:space="0" w:color="auto"/>
              <w:right w:val="single" w:sz="4" w:space="0" w:color="auto"/>
            </w:tcBorders>
            <w:shd w:val="clear" w:color="000000" w:fill="F2F2F2"/>
            <w:noWrap/>
            <w:vAlign w:val="center"/>
            <w:hideMark/>
          </w:tcPr>
          <w:p w14:paraId="70D92E1F"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$ 44.594.920</w:t>
            </w:r>
          </w:p>
        </w:tc>
        <w:tc>
          <w:tcPr>
            <w:tcW w:w="1200" w:type="dxa"/>
            <w:tcBorders>
              <w:top w:val="nil"/>
              <w:left w:val="nil"/>
              <w:bottom w:val="single" w:sz="4" w:space="0" w:color="auto"/>
              <w:right w:val="single" w:sz="4" w:space="0" w:color="auto"/>
            </w:tcBorders>
            <w:shd w:val="clear" w:color="000000" w:fill="F2F2F2"/>
            <w:noWrap/>
            <w:vAlign w:val="center"/>
            <w:hideMark/>
          </w:tcPr>
          <w:p w14:paraId="56CB45F5"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$ 1.856</w:t>
            </w:r>
          </w:p>
        </w:tc>
        <w:tc>
          <w:tcPr>
            <w:tcW w:w="1280" w:type="dxa"/>
            <w:tcBorders>
              <w:top w:val="nil"/>
              <w:left w:val="nil"/>
              <w:bottom w:val="single" w:sz="4" w:space="0" w:color="auto"/>
              <w:right w:val="single" w:sz="4" w:space="0" w:color="auto"/>
            </w:tcBorders>
            <w:shd w:val="clear" w:color="000000" w:fill="F2F2F2"/>
            <w:noWrap/>
            <w:vAlign w:val="center"/>
            <w:hideMark/>
          </w:tcPr>
          <w:p w14:paraId="4F47BB05"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$ 44.596.776</w:t>
            </w:r>
          </w:p>
        </w:tc>
      </w:tr>
      <w:tr w:rsidR="00B07312" w:rsidRPr="006B48D3" w14:paraId="57E2D112" w14:textId="77777777" w:rsidTr="006B48D3">
        <w:trPr>
          <w:trHeight w:val="324"/>
        </w:trPr>
        <w:tc>
          <w:tcPr>
            <w:tcW w:w="407" w:type="dxa"/>
            <w:tcBorders>
              <w:top w:val="nil"/>
              <w:left w:val="single" w:sz="4" w:space="0" w:color="auto"/>
              <w:bottom w:val="single" w:sz="4" w:space="0" w:color="auto"/>
              <w:right w:val="single" w:sz="4" w:space="0" w:color="auto"/>
            </w:tcBorders>
            <w:shd w:val="clear" w:color="000000" w:fill="F2F2F2"/>
            <w:noWrap/>
            <w:vAlign w:val="center"/>
            <w:hideMark/>
          </w:tcPr>
          <w:p w14:paraId="2C2212BB" w14:textId="77777777" w:rsidR="00B07312" w:rsidRPr="006B48D3" w:rsidRDefault="00B07312" w:rsidP="00D22441">
            <w:pPr>
              <w:jc w:val="center"/>
              <w:rPr>
                <w:rFonts w:ascii="Arial Narrow" w:hAnsi="Arial Narrow" w:cs="Arial"/>
                <w:spacing w:val="0"/>
                <w:sz w:val="16"/>
                <w:szCs w:val="16"/>
                <w:lang w:eastAsia="es-CO"/>
              </w:rPr>
            </w:pPr>
            <w:r w:rsidRPr="006B48D3">
              <w:rPr>
                <w:rFonts w:ascii="Arial Narrow" w:hAnsi="Arial Narrow" w:cs="Arial"/>
                <w:spacing w:val="0"/>
                <w:sz w:val="16"/>
                <w:szCs w:val="16"/>
                <w:lang w:eastAsia="es-CO"/>
              </w:rPr>
              <w:t>83</w:t>
            </w:r>
          </w:p>
        </w:tc>
        <w:tc>
          <w:tcPr>
            <w:tcW w:w="585" w:type="dxa"/>
            <w:tcBorders>
              <w:top w:val="nil"/>
              <w:left w:val="nil"/>
              <w:bottom w:val="single" w:sz="4" w:space="0" w:color="auto"/>
              <w:right w:val="single" w:sz="4" w:space="0" w:color="auto"/>
            </w:tcBorders>
            <w:shd w:val="clear" w:color="000000" w:fill="F2F2F2"/>
            <w:noWrap/>
            <w:vAlign w:val="center"/>
            <w:hideMark/>
          </w:tcPr>
          <w:p w14:paraId="323568F3"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31993</w:t>
            </w:r>
          </w:p>
        </w:tc>
        <w:tc>
          <w:tcPr>
            <w:tcW w:w="941" w:type="dxa"/>
            <w:tcBorders>
              <w:top w:val="nil"/>
              <w:left w:val="nil"/>
              <w:bottom w:val="single" w:sz="4" w:space="0" w:color="auto"/>
              <w:right w:val="single" w:sz="4" w:space="0" w:color="auto"/>
            </w:tcBorders>
            <w:shd w:val="clear" w:color="000000" w:fill="F2F2F2"/>
            <w:noWrap/>
            <w:vAlign w:val="center"/>
            <w:hideMark/>
          </w:tcPr>
          <w:p w14:paraId="46080406"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900331322</w:t>
            </w:r>
          </w:p>
        </w:tc>
        <w:tc>
          <w:tcPr>
            <w:tcW w:w="3247" w:type="dxa"/>
            <w:tcBorders>
              <w:top w:val="nil"/>
              <w:left w:val="nil"/>
              <w:bottom w:val="single" w:sz="4" w:space="0" w:color="auto"/>
              <w:right w:val="single" w:sz="4" w:space="0" w:color="auto"/>
            </w:tcBorders>
            <w:shd w:val="clear" w:color="000000" w:fill="F2F2F2"/>
            <w:vAlign w:val="center"/>
            <w:hideMark/>
          </w:tcPr>
          <w:p w14:paraId="3C8F3A8A" w14:textId="77777777" w:rsidR="00B07312" w:rsidRPr="006B48D3" w:rsidRDefault="00B07312" w:rsidP="00D22441">
            <w:pPr>
              <w:jc w:val="left"/>
              <w:rPr>
                <w:rFonts w:ascii="Arial Narrow" w:hAnsi="Arial Narrow" w:cs="Arial"/>
                <w:spacing w:val="0"/>
                <w:sz w:val="16"/>
                <w:szCs w:val="16"/>
                <w:lang w:eastAsia="es-CO"/>
              </w:rPr>
            </w:pPr>
            <w:r w:rsidRPr="006B48D3">
              <w:rPr>
                <w:rFonts w:ascii="Arial Narrow" w:hAnsi="Arial Narrow" w:cs="Arial"/>
                <w:spacing w:val="0"/>
                <w:sz w:val="16"/>
                <w:szCs w:val="16"/>
                <w:lang w:eastAsia="es-CO"/>
              </w:rPr>
              <w:t>VERANO ENERGY LIMITED SUCURSAL</w:t>
            </w:r>
          </w:p>
        </w:tc>
        <w:tc>
          <w:tcPr>
            <w:tcW w:w="1620" w:type="dxa"/>
            <w:tcBorders>
              <w:top w:val="nil"/>
              <w:left w:val="nil"/>
              <w:bottom w:val="single" w:sz="4" w:space="0" w:color="auto"/>
              <w:right w:val="single" w:sz="4" w:space="0" w:color="auto"/>
            </w:tcBorders>
            <w:shd w:val="clear" w:color="000000" w:fill="F2F2F2"/>
            <w:noWrap/>
            <w:vAlign w:val="center"/>
            <w:hideMark/>
          </w:tcPr>
          <w:p w14:paraId="5DC58A3C"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$ 6.040.606.000</w:t>
            </w:r>
          </w:p>
        </w:tc>
        <w:tc>
          <w:tcPr>
            <w:tcW w:w="1520" w:type="dxa"/>
            <w:tcBorders>
              <w:top w:val="nil"/>
              <w:left w:val="nil"/>
              <w:bottom w:val="single" w:sz="4" w:space="0" w:color="auto"/>
              <w:right w:val="single" w:sz="4" w:space="0" w:color="auto"/>
            </w:tcBorders>
            <w:shd w:val="clear" w:color="000000" w:fill="F2F2F2"/>
            <w:noWrap/>
            <w:vAlign w:val="center"/>
            <w:hideMark/>
          </w:tcPr>
          <w:p w14:paraId="7E551249"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$ 0</w:t>
            </w:r>
          </w:p>
        </w:tc>
        <w:tc>
          <w:tcPr>
            <w:tcW w:w="1460" w:type="dxa"/>
            <w:tcBorders>
              <w:top w:val="nil"/>
              <w:left w:val="nil"/>
              <w:bottom w:val="single" w:sz="4" w:space="0" w:color="auto"/>
              <w:right w:val="single" w:sz="4" w:space="0" w:color="auto"/>
            </w:tcBorders>
            <w:shd w:val="clear" w:color="000000" w:fill="F2F2F2"/>
            <w:noWrap/>
            <w:vAlign w:val="center"/>
            <w:hideMark/>
          </w:tcPr>
          <w:p w14:paraId="20AB6957"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$ 6.040.606.000</w:t>
            </w:r>
          </w:p>
        </w:tc>
        <w:tc>
          <w:tcPr>
            <w:tcW w:w="1280" w:type="dxa"/>
            <w:tcBorders>
              <w:top w:val="nil"/>
              <w:left w:val="nil"/>
              <w:bottom w:val="single" w:sz="4" w:space="0" w:color="auto"/>
              <w:right w:val="single" w:sz="4" w:space="0" w:color="auto"/>
            </w:tcBorders>
            <w:shd w:val="clear" w:color="000000" w:fill="F2F2F2"/>
            <w:noWrap/>
            <w:vAlign w:val="center"/>
            <w:hideMark/>
          </w:tcPr>
          <w:p w14:paraId="6AF4FAF5"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$ 60.406.060</w:t>
            </w:r>
          </w:p>
        </w:tc>
        <w:tc>
          <w:tcPr>
            <w:tcW w:w="1200" w:type="dxa"/>
            <w:tcBorders>
              <w:top w:val="nil"/>
              <w:left w:val="nil"/>
              <w:bottom w:val="single" w:sz="4" w:space="0" w:color="auto"/>
              <w:right w:val="single" w:sz="4" w:space="0" w:color="auto"/>
            </w:tcBorders>
            <w:shd w:val="clear" w:color="000000" w:fill="F2F2F2"/>
            <w:noWrap/>
            <w:vAlign w:val="center"/>
            <w:hideMark/>
          </w:tcPr>
          <w:p w14:paraId="534C665D"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$ 2.514</w:t>
            </w:r>
          </w:p>
        </w:tc>
        <w:tc>
          <w:tcPr>
            <w:tcW w:w="1280" w:type="dxa"/>
            <w:tcBorders>
              <w:top w:val="nil"/>
              <w:left w:val="nil"/>
              <w:bottom w:val="single" w:sz="4" w:space="0" w:color="auto"/>
              <w:right w:val="single" w:sz="4" w:space="0" w:color="auto"/>
            </w:tcBorders>
            <w:shd w:val="clear" w:color="000000" w:fill="F2F2F2"/>
            <w:noWrap/>
            <w:vAlign w:val="center"/>
            <w:hideMark/>
          </w:tcPr>
          <w:p w14:paraId="34FFE437"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$ 60.408.574</w:t>
            </w:r>
          </w:p>
        </w:tc>
      </w:tr>
      <w:tr w:rsidR="00B07312" w:rsidRPr="006B48D3" w14:paraId="160DC609" w14:textId="77777777" w:rsidTr="006B48D3">
        <w:trPr>
          <w:trHeight w:val="347"/>
        </w:trPr>
        <w:tc>
          <w:tcPr>
            <w:tcW w:w="407" w:type="dxa"/>
            <w:tcBorders>
              <w:top w:val="nil"/>
              <w:left w:val="single" w:sz="4" w:space="0" w:color="auto"/>
              <w:bottom w:val="single" w:sz="4" w:space="0" w:color="auto"/>
              <w:right w:val="single" w:sz="4" w:space="0" w:color="auto"/>
            </w:tcBorders>
            <w:shd w:val="clear" w:color="000000" w:fill="F2F2F2"/>
            <w:noWrap/>
            <w:vAlign w:val="center"/>
            <w:hideMark/>
          </w:tcPr>
          <w:p w14:paraId="337B7722" w14:textId="77777777" w:rsidR="00B07312" w:rsidRPr="006B48D3" w:rsidRDefault="00B07312" w:rsidP="00D22441">
            <w:pPr>
              <w:jc w:val="center"/>
              <w:rPr>
                <w:rFonts w:ascii="Arial Narrow" w:hAnsi="Arial Narrow" w:cs="Arial"/>
                <w:spacing w:val="0"/>
                <w:sz w:val="16"/>
                <w:szCs w:val="16"/>
                <w:lang w:eastAsia="es-CO"/>
              </w:rPr>
            </w:pPr>
            <w:r w:rsidRPr="006B48D3">
              <w:rPr>
                <w:rFonts w:ascii="Arial Narrow" w:hAnsi="Arial Narrow" w:cs="Arial"/>
                <w:spacing w:val="0"/>
                <w:sz w:val="16"/>
                <w:szCs w:val="16"/>
                <w:lang w:eastAsia="es-CO"/>
              </w:rPr>
              <w:t>84</w:t>
            </w:r>
          </w:p>
        </w:tc>
        <w:tc>
          <w:tcPr>
            <w:tcW w:w="585" w:type="dxa"/>
            <w:tcBorders>
              <w:top w:val="nil"/>
              <w:left w:val="nil"/>
              <w:bottom w:val="single" w:sz="4" w:space="0" w:color="auto"/>
              <w:right w:val="single" w:sz="4" w:space="0" w:color="auto"/>
            </w:tcBorders>
            <w:shd w:val="clear" w:color="000000" w:fill="F2F2F2"/>
            <w:noWrap/>
            <w:vAlign w:val="center"/>
            <w:hideMark/>
          </w:tcPr>
          <w:p w14:paraId="229613CB"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23312</w:t>
            </w:r>
          </w:p>
        </w:tc>
        <w:tc>
          <w:tcPr>
            <w:tcW w:w="941" w:type="dxa"/>
            <w:tcBorders>
              <w:top w:val="nil"/>
              <w:left w:val="nil"/>
              <w:bottom w:val="single" w:sz="4" w:space="0" w:color="auto"/>
              <w:right w:val="single" w:sz="4" w:space="0" w:color="auto"/>
            </w:tcBorders>
            <w:shd w:val="clear" w:color="000000" w:fill="F2F2F2"/>
            <w:noWrap/>
            <w:vAlign w:val="center"/>
            <w:hideMark/>
          </w:tcPr>
          <w:p w14:paraId="72820E50"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900335279</w:t>
            </w:r>
          </w:p>
        </w:tc>
        <w:tc>
          <w:tcPr>
            <w:tcW w:w="3247" w:type="dxa"/>
            <w:tcBorders>
              <w:top w:val="nil"/>
              <w:left w:val="nil"/>
              <w:bottom w:val="single" w:sz="4" w:space="0" w:color="auto"/>
              <w:right w:val="single" w:sz="4" w:space="0" w:color="auto"/>
            </w:tcBorders>
            <w:shd w:val="clear" w:color="000000" w:fill="F2F2F2"/>
            <w:vAlign w:val="center"/>
            <w:hideMark/>
          </w:tcPr>
          <w:p w14:paraId="026BFC6A" w14:textId="77777777" w:rsidR="00B07312" w:rsidRPr="006B48D3" w:rsidRDefault="00B07312" w:rsidP="00D22441">
            <w:pPr>
              <w:jc w:val="left"/>
              <w:rPr>
                <w:rFonts w:ascii="Arial Narrow" w:hAnsi="Arial Narrow" w:cs="Arial"/>
                <w:spacing w:val="0"/>
                <w:sz w:val="16"/>
                <w:szCs w:val="16"/>
                <w:lang w:eastAsia="es-CO"/>
              </w:rPr>
            </w:pPr>
            <w:r w:rsidRPr="006B48D3">
              <w:rPr>
                <w:rFonts w:ascii="Arial Narrow" w:hAnsi="Arial Narrow" w:cs="Arial"/>
                <w:spacing w:val="0"/>
                <w:sz w:val="16"/>
                <w:szCs w:val="16"/>
                <w:lang w:eastAsia="es-CO"/>
              </w:rPr>
              <w:t>INVERSIONES GLP SAS ESP</w:t>
            </w:r>
          </w:p>
        </w:tc>
        <w:tc>
          <w:tcPr>
            <w:tcW w:w="1620" w:type="dxa"/>
            <w:tcBorders>
              <w:top w:val="nil"/>
              <w:left w:val="nil"/>
              <w:bottom w:val="single" w:sz="4" w:space="0" w:color="auto"/>
              <w:right w:val="single" w:sz="4" w:space="0" w:color="auto"/>
            </w:tcBorders>
            <w:shd w:val="clear" w:color="000000" w:fill="F2F2F2"/>
            <w:noWrap/>
            <w:vAlign w:val="center"/>
            <w:hideMark/>
          </w:tcPr>
          <w:p w14:paraId="03BF30F9"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$ 10.498.240.753</w:t>
            </w:r>
          </w:p>
        </w:tc>
        <w:tc>
          <w:tcPr>
            <w:tcW w:w="1520" w:type="dxa"/>
            <w:tcBorders>
              <w:top w:val="nil"/>
              <w:left w:val="nil"/>
              <w:bottom w:val="single" w:sz="4" w:space="0" w:color="auto"/>
              <w:right w:val="single" w:sz="4" w:space="0" w:color="auto"/>
            </w:tcBorders>
            <w:shd w:val="clear" w:color="000000" w:fill="F2F2F2"/>
            <w:noWrap/>
            <w:vAlign w:val="center"/>
            <w:hideMark/>
          </w:tcPr>
          <w:p w14:paraId="58C6785B"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$ 2.116.478.325</w:t>
            </w:r>
          </w:p>
        </w:tc>
        <w:tc>
          <w:tcPr>
            <w:tcW w:w="1460" w:type="dxa"/>
            <w:tcBorders>
              <w:top w:val="nil"/>
              <w:left w:val="nil"/>
              <w:bottom w:val="single" w:sz="4" w:space="0" w:color="auto"/>
              <w:right w:val="single" w:sz="4" w:space="0" w:color="auto"/>
            </w:tcBorders>
            <w:shd w:val="clear" w:color="000000" w:fill="F2F2F2"/>
            <w:noWrap/>
            <w:vAlign w:val="center"/>
            <w:hideMark/>
          </w:tcPr>
          <w:p w14:paraId="510418DC"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$ 12.614.719.078</w:t>
            </w:r>
          </w:p>
        </w:tc>
        <w:tc>
          <w:tcPr>
            <w:tcW w:w="1280" w:type="dxa"/>
            <w:tcBorders>
              <w:top w:val="nil"/>
              <w:left w:val="nil"/>
              <w:bottom w:val="single" w:sz="4" w:space="0" w:color="auto"/>
              <w:right w:val="single" w:sz="4" w:space="0" w:color="auto"/>
            </w:tcBorders>
            <w:shd w:val="clear" w:color="000000" w:fill="F2F2F2"/>
            <w:noWrap/>
            <w:vAlign w:val="center"/>
            <w:hideMark/>
          </w:tcPr>
          <w:p w14:paraId="253A8A5D"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$ 126.147.191</w:t>
            </w:r>
          </w:p>
        </w:tc>
        <w:tc>
          <w:tcPr>
            <w:tcW w:w="1200" w:type="dxa"/>
            <w:tcBorders>
              <w:top w:val="nil"/>
              <w:left w:val="nil"/>
              <w:bottom w:val="single" w:sz="4" w:space="0" w:color="auto"/>
              <w:right w:val="single" w:sz="4" w:space="0" w:color="auto"/>
            </w:tcBorders>
            <w:shd w:val="clear" w:color="000000" w:fill="F2F2F2"/>
            <w:noWrap/>
            <w:vAlign w:val="center"/>
            <w:hideMark/>
          </w:tcPr>
          <w:p w14:paraId="51DACE7A"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$ 5.250</w:t>
            </w:r>
          </w:p>
        </w:tc>
        <w:tc>
          <w:tcPr>
            <w:tcW w:w="1280" w:type="dxa"/>
            <w:tcBorders>
              <w:top w:val="nil"/>
              <w:left w:val="nil"/>
              <w:bottom w:val="single" w:sz="4" w:space="0" w:color="auto"/>
              <w:right w:val="single" w:sz="4" w:space="0" w:color="auto"/>
            </w:tcBorders>
            <w:shd w:val="clear" w:color="000000" w:fill="F2F2F2"/>
            <w:noWrap/>
            <w:vAlign w:val="center"/>
            <w:hideMark/>
          </w:tcPr>
          <w:p w14:paraId="522FFD1B"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$ 126.152.441</w:t>
            </w:r>
          </w:p>
        </w:tc>
      </w:tr>
      <w:tr w:rsidR="00B07312" w:rsidRPr="006B48D3" w14:paraId="35CB8DCA" w14:textId="77777777" w:rsidTr="006B48D3">
        <w:trPr>
          <w:trHeight w:val="385"/>
        </w:trPr>
        <w:tc>
          <w:tcPr>
            <w:tcW w:w="407" w:type="dxa"/>
            <w:tcBorders>
              <w:top w:val="nil"/>
              <w:left w:val="single" w:sz="4" w:space="0" w:color="auto"/>
              <w:bottom w:val="single" w:sz="4" w:space="0" w:color="auto"/>
              <w:right w:val="single" w:sz="4" w:space="0" w:color="auto"/>
            </w:tcBorders>
            <w:shd w:val="clear" w:color="000000" w:fill="F2F2F2"/>
            <w:noWrap/>
            <w:vAlign w:val="center"/>
            <w:hideMark/>
          </w:tcPr>
          <w:p w14:paraId="2972F6DA" w14:textId="77777777" w:rsidR="00B07312" w:rsidRPr="006B48D3" w:rsidRDefault="00B07312" w:rsidP="00D22441">
            <w:pPr>
              <w:jc w:val="center"/>
              <w:rPr>
                <w:rFonts w:ascii="Arial Narrow" w:hAnsi="Arial Narrow" w:cs="Arial"/>
                <w:spacing w:val="0"/>
                <w:sz w:val="16"/>
                <w:szCs w:val="16"/>
                <w:lang w:eastAsia="es-CO"/>
              </w:rPr>
            </w:pPr>
            <w:r w:rsidRPr="006B48D3">
              <w:rPr>
                <w:rFonts w:ascii="Arial Narrow" w:hAnsi="Arial Narrow" w:cs="Arial"/>
                <w:spacing w:val="0"/>
                <w:sz w:val="16"/>
                <w:szCs w:val="16"/>
                <w:lang w:eastAsia="es-CO"/>
              </w:rPr>
              <w:t>85</w:t>
            </w:r>
          </w:p>
        </w:tc>
        <w:tc>
          <w:tcPr>
            <w:tcW w:w="585" w:type="dxa"/>
            <w:tcBorders>
              <w:top w:val="nil"/>
              <w:left w:val="nil"/>
              <w:bottom w:val="single" w:sz="4" w:space="0" w:color="auto"/>
              <w:right w:val="single" w:sz="4" w:space="0" w:color="auto"/>
            </w:tcBorders>
            <w:shd w:val="clear" w:color="000000" w:fill="F2F2F2"/>
            <w:noWrap/>
            <w:vAlign w:val="center"/>
            <w:hideMark/>
          </w:tcPr>
          <w:p w14:paraId="3A74C9C9"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24860</w:t>
            </w:r>
          </w:p>
        </w:tc>
        <w:tc>
          <w:tcPr>
            <w:tcW w:w="941" w:type="dxa"/>
            <w:tcBorders>
              <w:top w:val="nil"/>
              <w:left w:val="nil"/>
              <w:bottom w:val="single" w:sz="4" w:space="0" w:color="auto"/>
              <w:right w:val="single" w:sz="4" w:space="0" w:color="auto"/>
            </w:tcBorders>
            <w:shd w:val="clear" w:color="000000" w:fill="F2F2F2"/>
            <w:noWrap/>
            <w:vAlign w:val="center"/>
            <w:hideMark/>
          </w:tcPr>
          <w:p w14:paraId="2D6DED87"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900396040</w:t>
            </w:r>
          </w:p>
        </w:tc>
        <w:tc>
          <w:tcPr>
            <w:tcW w:w="3247" w:type="dxa"/>
            <w:tcBorders>
              <w:top w:val="nil"/>
              <w:left w:val="nil"/>
              <w:bottom w:val="single" w:sz="4" w:space="0" w:color="auto"/>
              <w:right w:val="single" w:sz="4" w:space="0" w:color="auto"/>
            </w:tcBorders>
            <w:shd w:val="clear" w:color="000000" w:fill="F2F2F2"/>
            <w:vAlign w:val="center"/>
            <w:hideMark/>
          </w:tcPr>
          <w:p w14:paraId="6D3E0EC9" w14:textId="77777777" w:rsidR="00B07312" w:rsidRPr="006B48D3" w:rsidRDefault="00B07312" w:rsidP="00D22441">
            <w:pPr>
              <w:jc w:val="left"/>
              <w:rPr>
                <w:rFonts w:ascii="Arial Narrow" w:hAnsi="Arial Narrow" w:cs="Arial"/>
                <w:spacing w:val="0"/>
                <w:sz w:val="16"/>
                <w:szCs w:val="16"/>
                <w:lang w:val="en-GB" w:eastAsia="es-CO"/>
              </w:rPr>
            </w:pPr>
            <w:r w:rsidRPr="006B48D3">
              <w:rPr>
                <w:rFonts w:ascii="Arial Narrow" w:hAnsi="Arial Narrow" w:cs="Arial"/>
                <w:spacing w:val="0"/>
                <w:sz w:val="16"/>
                <w:szCs w:val="16"/>
                <w:lang w:val="en-GB" w:eastAsia="es-CO"/>
              </w:rPr>
              <w:t>FEDEGAS S.A.S.  E.S.P.</w:t>
            </w:r>
          </w:p>
        </w:tc>
        <w:tc>
          <w:tcPr>
            <w:tcW w:w="1620" w:type="dxa"/>
            <w:tcBorders>
              <w:top w:val="nil"/>
              <w:left w:val="nil"/>
              <w:bottom w:val="single" w:sz="4" w:space="0" w:color="auto"/>
              <w:right w:val="single" w:sz="4" w:space="0" w:color="auto"/>
            </w:tcBorders>
            <w:shd w:val="clear" w:color="000000" w:fill="F2F2F2"/>
            <w:noWrap/>
            <w:vAlign w:val="center"/>
            <w:hideMark/>
          </w:tcPr>
          <w:p w14:paraId="00CA1E73"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$ 2.163.562.000</w:t>
            </w:r>
          </w:p>
        </w:tc>
        <w:tc>
          <w:tcPr>
            <w:tcW w:w="1520" w:type="dxa"/>
            <w:tcBorders>
              <w:top w:val="nil"/>
              <w:left w:val="nil"/>
              <w:bottom w:val="single" w:sz="4" w:space="0" w:color="auto"/>
              <w:right w:val="single" w:sz="4" w:space="0" w:color="auto"/>
            </w:tcBorders>
            <w:shd w:val="clear" w:color="000000" w:fill="F2F2F2"/>
            <w:noWrap/>
            <w:vAlign w:val="center"/>
            <w:hideMark/>
          </w:tcPr>
          <w:p w14:paraId="64FEC4C4"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$ 0</w:t>
            </w:r>
          </w:p>
        </w:tc>
        <w:tc>
          <w:tcPr>
            <w:tcW w:w="1460" w:type="dxa"/>
            <w:tcBorders>
              <w:top w:val="nil"/>
              <w:left w:val="nil"/>
              <w:bottom w:val="single" w:sz="4" w:space="0" w:color="auto"/>
              <w:right w:val="single" w:sz="4" w:space="0" w:color="auto"/>
            </w:tcBorders>
            <w:shd w:val="clear" w:color="000000" w:fill="F2F2F2"/>
            <w:noWrap/>
            <w:vAlign w:val="center"/>
            <w:hideMark/>
          </w:tcPr>
          <w:p w14:paraId="1CCF8CBE"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$ 2.163.562.000</w:t>
            </w:r>
          </w:p>
        </w:tc>
        <w:tc>
          <w:tcPr>
            <w:tcW w:w="1280" w:type="dxa"/>
            <w:tcBorders>
              <w:top w:val="nil"/>
              <w:left w:val="nil"/>
              <w:bottom w:val="single" w:sz="4" w:space="0" w:color="auto"/>
              <w:right w:val="single" w:sz="4" w:space="0" w:color="auto"/>
            </w:tcBorders>
            <w:shd w:val="clear" w:color="000000" w:fill="F2F2F2"/>
            <w:noWrap/>
            <w:vAlign w:val="center"/>
            <w:hideMark/>
          </w:tcPr>
          <w:p w14:paraId="6157056D"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$ 21.635.620</w:t>
            </w:r>
          </w:p>
        </w:tc>
        <w:tc>
          <w:tcPr>
            <w:tcW w:w="1200" w:type="dxa"/>
            <w:tcBorders>
              <w:top w:val="nil"/>
              <w:left w:val="nil"/>
              <w:bottom w:val="single" w:sz="4" w:space="0" w:color="auto"/>
              <w:right w:val="single" w:sz="4" w:space="0" w:color="auto"/>
            </w:tcBorders>
            <w:shd w:val="clear" w:color="000000" w:fill="F2F2F2"/>
            <w:noWrap/>
            <w:vAlign w:val="center"/>
            <w:hideMark/>
          </w:tcPr>
          <w:p w14:paraId="62780D79"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$ 900</w:t>
            </w:r>
          </w:p>
        </w:tc>
        <w:tc>
          <w:tcPr>
            <w:tcW w:w="1280" w:type="dxa"/>
            <w:tcBorders>
              <w:top w:val="nil"/>
              <w:left w:val="nil"/>
              <w:bottom w:val="single" w:sz="4" w:space="0" w:color="auto"/>
              <w:right w:val="single" w:sz="4" w:space="0" w:color="auto"/>
            </w:tcBorders>
            <w:shd w:val="clear" w:color="000000" w:fill="F2F2F2"/>
            <w:noWrap/>
            <w:vAlign w:val="center"/>
            <w:hideMark/>
          </w:tcPr>
          <w:p w14:paraId="32A9C3DC"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$ 21.636.520</w:t>
            </w:r>
          </w:p>
        </w:tc>
      </w:tr>
      <w:tr w:rsidR="00B07312" w:rsidRPr="006B48D3" w14:paraId="2BB2AC22" w14:textId="77777777" w:rsidTr="006B48D3">
        <w:trPr>
          <w:trHeight w:val="457"/>
        </w:trPr>
        <w:tc>
          <w:tcPr>
            <w:tcW w:w="407" w:type="dxa"/>
            <w:tcBorders>
              <w:top w:val="nil"/>
              <w:left w:val="single" w:sz="4" w:space="0" w:color="auto"/>
              <w:bottom w:val="single" w:sz="4" w:space="0" w:color="auto"/>
              <w:right w:val="single" w:sz="4" w:space="0" w:color="auto"/>
            </w:tcBorders>
            <w:shd w:val="clear" w:color="000000" w:fill="F2F2F2"/>
            <w:noWrap/>
            <w:vAlign w:val="center"/>
            <w:hideMark/>
          </w:tcPr>
          <w:p w14:paraId="5D0B4111" w14:textId="77777777" w:rsidR="00B07312" w:rsidRPr="006B48D3" w:rsidRDefault="00B07312" w:rsidP="00D22441">
            <w:pPr>
              <w:jc w:val="center"/>
              <w:rPr>
                <w:rFonts w:ascii="Arial Narrow" w:hAnsi="Arial Narrow" w:cs="Arial"/>
                <w:spacing w:val="0"/>
                <w:sz w:val="16"/>
                <w:szCs w:val="16"/>
                <w:lang w:eastAsia="es-CO"/>
              </w:rPr>
            </w:pPr>
            <w:r w:rsidRPr="006B48D3">
              <w:rPr>
                <w:rFonts w:ascii="Arial Narrow" w:hAnsi="Arial Narrow" w:cs="Arial"/>
                <w:spacing w:val="0"/>
                <w:sz w:val="16"/>
                <w:szCs w:val="16"/>
                <w:lang w:eastAsia="es-CO"/>
              </w:rPr>
              <w:t>86</w:t>
            </w:r>
          </w:p>
        </w:tc>
        <w:tc>
          <w:tcPr>
            <w:tcW w:w="585" w:type="dxa"/>
            <w:tcBorders>
              <w:top w:val="nil"/>
              <w:left w:val="nil"/>
              <w:bottom w:val="single" w:sz="4" w:space="0" w:color="auto"/>
              <w:right w:val="single" w:sz="4" w:space="0" w:color="auto"/>
            </w:tcBorders>
            <w:shd w:val="clear" w:color="000000" w:fill="F2F2F2"/>
            <w:noWrap/>
            <w:vAlign w:val="center"/>
            <w:hideMark/>
          </w:tcPr>
          <w:p w14:paraId="13CC1C58"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24869</w:t>
            </w:r>
          </w:p>
        </w:tc>
        <w:tc>
          <w:tcPr>
            <w:tcW w:w="941" w:type="dxa"/>
            <w:tcBorders>
              <w:top w:val="nil"/>
              <w:left w:val="nil"/>
              <w:bottom w:val="single" w:sz="4" w:space="0" w:color="auto"/>
              <w:right w:val="single" w:sz="4" w:space="0" w:color="auto"/>
            </w:tcBorders>
            <w:shd w:val="clear" w:color="000000" w:fill="F2F2F2"/>
            <w:noWrap/>
            <w:vAlign w:val="center"/>
            <w:hideMark/>
          </w:tcPr>
          <w:p w14:paraId="1868166A"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900396759</w:t>
            </w:r>
          </w:p>
        </w:tc>
        <w:tc>
          <w:tcPr>
            <w:tcW w:w="3247" w:type="dxa"/>
            <w:tcBorders>
              <w:top w:val="nil"/>
              <w:left w:val="nil"/>
              <w:bottom w:val="single" w:sz="4" w:space="0" w:color="auto"/>
              <w:right w:val="single" w:sz="4" w:space="0" w:color="auto"/>
            </w:tcBorders>
            <w:shd w:val="clear" w:color="000000" w:fill="F2F2F2"/>
            <w:vAlign w:val="center"/>
            <w:hideMark/>
          </w:tcPr>
          <w:p w14:paraId="6C30AE0E" w14:textId="77777777" w:rsidR="00B07312" w:rsidRPr="006B48D3" w:rsidRDefault="00B07312" w:rsidP="00D22441">
            <w:pPr>
              <w:jc w:val="left"/>
              <w:rPr>
                <w:rFonts w:ascii="Arial Narrow" w:hAnsi="Arial Narrow" w:cs="Arial"/>
                <w:spacing w:val="0"/>
                <w:sz w:val="16"/>
                <w:szCs w:val="16"/>
                <w:lang w:eastAsia="es-CO"/>
              </w:rPr>
            </w:pPr>
            <w:r w:rsidRPr="006B48D3">
              <w:rPr>
                <w:rFonts w:ascii="Arial Narrow" w:hAnsi="Arial Narrow" w:cs="Arial"/>
                <w:spacing w:val="0"/>
                <w:sz w:val="16"/>
                <w:szCs w:val="16"/>
                <w:lang w:eastAsia="es-CO"/>
              </w:rPr>
              <w:t>CHILCO DISTRIBUIDORA DE GAS Y ENERGIA SAS ESP</w:t>
            </w:r>
          </w:p>
        </w:tc>
        <w:tc>
          <w:tcPr>
            <w:tcW w:w="1620" w:type="dxa"/>
            <w:tcBorders>
              <w:top w:val="nil"/>
              <w:left w:val="nil"/>
              <w:bottom w:val="single" w:sz="4" w:space="0" w:color="auto"/>
              <w:right w:val="single" w:sz="4" w:space="0" w:color="auto"/>
            </w:tcBorders>
            <w:shd w:val="clear" w:color="000000" w:fill="F2F2F2"/>
            <w:noWrap/>
            <w:vAlign w:val="center"/>
            <w:hideMark/>
          </w:tcPr>
          <w:p w14:paraId="22924F37"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$ 11.742.767.000</w:t>
            </w:r>
          </w:p>
        </w:tc>
        <w:tc>
          <w:tcPr>
            <w:tcW w:w="1520" w:type="dxa"/>
            <w:tcBorders>
              <w:top w:val="nil"/>
              <w:left w:val="nil"/>
              <w:bottom w:val="single" w:sz="4" w:space="0" w:color="auto"/>
              <w:right w:val="single" w:sz="4" w:space="0" w:color="auto"/>
            </w:tcBorders>
            <w:shd w:val="clear" w:color="000000" w:fill="F2F2F2"/>
            <w:noWrap/>
            <w:vAlign w:val="center"/>
            <w:hideMark/>
          </w:tcPr>
          <w:p w14:paraId="61F5BBD5"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$ 2.260.606.228</w:t>
            </w:r>
          </w:p>
        </w:tc>
        <w:tc>
          <w:tcPr>
            <w:tcW w:w="1460" w:type="dxa"/>
            <w:tcBorders>
              <w:top w:val="nil"/>
              <w:left w:val="nil"/>
              <w:bottom w:val="single" w:sz="4" w:space="0" w:color="auto"/>
              <w:right w:val="single" w:sz="4" w:space="0" w:color="auto"/>
            </w:tcBorders>
            <w:shd w:val="clear" w:color="000000" w:fill="F2F2F2"/>
            <w:noWrap/>
            <w:vAlign w:val="center"/>
            <w:hideMark/>
          </w:tcPr>
          <w:p w14:paraId="2B33C5D4"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$ 14.003.373.228</w:t>
            </w:r>
          </w:p>
        </w:tc>
        <w:tc>
          <w:tcPr>
            <w:tcW w:w="1280" w:type="dxa"/>
            <w:tcBorders>
              <w:top w:val="nil"/>
              <w:left w:val="nil"/>
              <w:bottom w:val="single" w:sz="4" w:space="0" w:color="auto"/>
              <w:right w:val="single" w:sz="4" w:space="0" w:color="auto"/>
            </w:tcBorders>
            <w:shd w:val="clear" w:color="000000" w:fill="F2F2F2"/>
            <w:noWrap/>
            <w:vAlign w:val="center"/>
            <w:hideMark/>
          </w:tcPr>
          <w:p w14:paraId="7C391B9F"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$ 140.033.732</w:t>
            </w:r>
          </w:p>
        </w:tc>
        <w:tc>
          <w:tcPr>
            <w:tcW w:w="1200" w:type="dxa"/>
            <w:tcBorders>
              <w:top w:val="nil"/>
              <w:left w:val="nil"/>
              <w:bottom w:val="single" w:sz="4" w:space="0" w:color="auto"/>
              <w:right w:val="single" w:sz="4" w:space="0" w:color="auto"/>
            </w:tcBorders>
            <w:shd w:val="clear" w:color="000000" w:fill="F2F2F2"/>
            <w:noWrap/>
            <w:vAlign w:val="center"/>
            <w:hideMark/>
          </w:tcPr>
          <w:p w14:paraId="35E59926"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$ 5.828</w:t>
            </w:r>
          </w:p>
        </w:tc>
        <w:tc>
          <w:tcPr>
            <w:tcW w:w="1280" w:type="dxa"/>
            <w:tcBorders>
              <w:top w:val="nil"/>
              <w:left w:val="nil"/>
              <w:bottom w:val="single" w:sz="4" w:space="0" w:color="auto"/>
              <w:right w:val="single" w:sz="4" w:space="0" w:color="auto"/>
            </w:tcBorders>
            <w:shd w:val="clear" w:color="000000" w:fill="F2F2F2"/>
            <w:noWrap/>
            <w:vAlign w:val="center"/>
            <w:hideMark/>
          </w:tcPr>
          <w:p w14:paraId="44312058"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$ 140.039.560</w:t>
            </w:r>
          </w:p>
        </w:tc>
      </w:tr>
      <w:tr w:rsidR="00B07312" w:rsidRPr="006B48D3" w14:paraId="376933B9" w14:textId="77777777" w:rsidTr="006B48D3">
        <w:trPr>
          <w:trHeight w:val="525"/>
        </w:trPr>
        <w:tc>
          <w:tcPr>
            <w:tcW w:w="407" w:type="dxa"/>
            <w:tcBorders>
              <w:top w:val="nil"/>
              <w:left w:val="single" w:sz="4" w:space="0" w:color="auto"/>
              <w:bottom w:val="single" w:sz="4" w:space="0" w:color="auto"/>
              <w:right w:val="single" w:sz="4" w:space="0" w:color="auto"/>
            </w:tcBorders>
            <w:shd w:val="clear" w:color="000000" w:fill="F2F2F2"/>
            <w:noWrap/>
            <w:vAlign w:val="center"/>
            <w:hideMark/>
          </w:tcPr>
          <w:p w14:paraId="008257DE" w14:textId="77777777" w:rsidR="00B07312" w:rsidRPr="006B48D3" w:rsidRDefault="00B07312" w:rsidP="00D22441">
            <w:pPr>
              <w:jc w:val="center"/>
              <w:rPr>
                <w:rFonts w:ascii="Arial Narrow" w:hAnsi="Arial Narrow" w:cs="Arial"/>
                <w:spacing w:val="0"/>
                <w:sz w:val="16"/>
                <w:szCs w:val="16"/>
                <w:lang w:eastAsia="es-CO"/>
              </w:rPr>
            </w:pPr>
            <w:r w:rsidRPr="006B48D3">
              <w:rPr>
                <w:rFonts w:ascii="Arial Narrow" w:hAnsi="Arial Narrow" w:cs="Arial"/>
                <w:spacing w:val="0"/>
                <w:sz w:val="16"/>
                <w:szCs w:val="16"/>
                <w:lang w:eastAsia="es-CO"/>
              </w:rPr>
              <w:lastRenderedPageBreak/>
              <w:t>87</w:t>
            </w:r>
          </w:p>
        </w:tc>
        <w:tc>
          <w:tcPr>
            <w:tcW w:w="585" w:type="dxa"/>
            <w:tcBorders>
              <w:top w:val="nil"/>
              <w:left w:val="nil"/>
              <w:bottom w:val="single" w:sz="4" w:space="0" w:color="auto"/>
              <w:right w:val="single" w:sz="4" w:space="0" w:color="auto"/>
            </w:tcBorders>
            <w:shd w:val="clear" w:color="000000" w:fill="F2F2F2"/>
            <w:noWrap/>
            <w:vAlign w:val="center"/>
            <w:hideMark/>
          </w:tcPr>
          <w:p w14:paraId="23718604"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25954</w:t>
            </w:r>
          </w:p>
        </w:tc>
        <w:tc>
          <w:tcPr>
            <w:tcW w:w="941" w:type="dxa"/>
            <w:tcBorders>
              <w:top w:val="nil"/>
              <w:left w:val="nil"/>
              <w:bottom w:val="single" w:sz="4" w:space="0" w:color="auto"/>
              <w:right w:val="single" w:sz="4" w:space="0" w:color="auto"/>
            </w:tcBorders>
            <w:shd w:val="clear" w:color="000000" w:fill="F2F2F2"/>
            <w:noWrap/>
            <w:vAlign w:val="center"/>
            <w:hideMark/>
          </w:tcPr>
          <w:p w14:paraId="552EFAEE"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900428208</w:t>
            </w:r>
          </w:p>
        </w:tc>
        <w:tc>
          <w:tcPr>
            <w:tcW w:w="3247" w:type="dxa"/>
            <w:tcBorders>
              <w:top w:val="nil"/>
              <w:left w:val="nil"/>
              <w:bottom w:val="single" w:sz="4" w:space="0" w:color="auto"/>
              <w:right w:val="single" w:sz="4" w:space="0" w:color="auto"/>
            </w:tcBorders>
            <w:shd w:val="clear" w:color="000000" w:fill="F2F2F2"/>
            <w:vAlign w:val="center"/>
            <w:hideMark/>
          </w:tcPr>
          <w:p w14:paraId="065D59A3" w14:textId="77777777" w:rsidR="00B07312" w:rsidRPr="006B48D3" w:rsidRDefault="00B07312" w:rsidP="00D22441">
            <w:pPr>
              <w:jc w:val="left"/>
              <w:rPr>
                <w:rFonts w:ascii="Arial Narrow" w:hAnsi="Arial Narrow" w:cs="Arial"/>
                <w:spacing w:val="0"/>
                <w:sz w:val="16"/>
                <w:szCs w:val="16"/>
                <w:lang w:eastAsia="es-CO"/>
              </w:rPr>
            </w:pPr>
            <w:r w:rsidRPr="006B48D3">
              <w:rPr>
                <w:rFonts w:ascii="Arial Narrow" w:hAnsi="Arial Narrow" w:cs="Arial"/>
                <w:spacing w:val="0"/>
                <w:sz w:val="16"/>
                <w:szCs w:val="16"/>
                <w:lang w:eastAsia="es-CO"/>
              </w:rPr>
              <w:t>DISTRIBUIDORA DE GAS DEL PACIFICO DIGAS SAS ESP</w:t>
            </w:r>
          </w:p>
        </w:tc>
        <w:tc>
          <w:tcPr>
            <w:tcW w:w="1620" w:type="dxa"/>
            <w:tcBorders>
              <w:top w:val="nil"/>
              <w:left w:val="nil"/>
              <w:bottom w:val="single" w:sz="4" w:space="0" w:color="auto"/>
              <w:right w:val="single" w:sz="4" w:space="0" w:color="auto"/>
            </w:tcBorders>
            <w:shd w:val="clear" w:color="000000" w:fill="F2F2F2"/>
            <w:noWrap/>
            <w:vAlign w:val="center"/>
            <w:hideMark/>
          </w:tcPr>
          <w:p w14:paraId="464483DA"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$ 1.792.181.000</w:t>
            </w:r>
          </w:p>
        </w:tc>
        <w:tc>
          <w:tcPr>
            <w:tcW w:w="1520" w:type="dxa"/>
            <w:tcBorders>
              <w:top w:val="nil"/>
              <w:left w:val="nil"/>
              <w:bottom w:val="single" w:sz="4" w:space="0" w:color="auto"/>
              <w:right w:val="single" w:sz="4" w:space="0" w:color="auto"/>
            </w:tcBorders>
            <w:shd w:val="clear" w:color="000000" w:fill="F2F2F2"/>
            <w:noWrap/>
            <w:vAlign w:val="center"/>
            <w:hideMark/>
          </w:tcPr>
          <w:p w14:paraId="4D832088"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$ 59.938.417</w:t>
            </w:r>
          </w:p>
        </w:tc>
        <w:tc>
          <w:tcPr>
            <w:tcW w:w="1460" w:type="dxa"/>
            <w:tcBorders>
              <w:top w:val="nil"/>
              <w:left w:val="nil"/>
              <w:bottom w:val="single" w:sz="4" w:space="0" w:color="auto"/>
              <w:right w:val="single" w:sz="4" w:space="0" w:color="auto"/>
            </w:tcBorders>
            <w:shd w:val="clear" w:color="000000" w:fill="F2F2F2"/>
            <w:noWrap/>
            <w:vAlign w:val="center"/>
            <w:hideMark/>
          </w:tcPr>
          <w:p w14:paraId="3A83CF2F"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$ 1.852.119.417</w:t>
            </w:r>
          </w:p>
        </w:tc>
        <w:tc>
          <w:tcPr>
            <w:tcW w:w="1280" w:type="dxa"/>
            <w:tcBorders>
              <w:top w:val="nil"/>
              <w:left w:val="nil"/>
              <w:bottom w:val="single" w:sz="4" w:space="0" w:color="auto"/>
              <w:right w:val="single" w:sz="4" w:space="0" w:color="auto"/>
            </w:tcBorders>
            <w:shd w:val="clear" w:color="000000" w:fill="F2F2F2"/>
            <w:noWrap/>
            <w:vAlign w:val="center"/>
            <w:hideMark/>
          </w:tcPr>
          <w:p w14:paraId="6DB00661"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$ 18.521.194</w:t>
            </w:r>
          </w:p>
        </w:tc>
        <w:tc>
          <w:tcPr>
            <w:tcW w:w="1200" w:type="dxa"/>
            <w:tcBorders>
              <w:top w:val="nil"/>
              <w:left w:val="nil"/>
              <w:bottom w:val="single" w:sz="4" w:space="0" w:color="auto"/>
              <w:right w:val="single" w:sz="4" w:space="0" w:color="auto"/>
            </w:tcBorders>
            <w:shd w:val="clear" w:color="000000" w:fill="F2F2F2"/>
            <w:noWrap/>
            <w:vAlign w:val="center"/>
            <w:hideMark/>
          </w:tcPr>
          <w:p w14:paraId="14F19BF2"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$ 771</w:t>
            </w:r>
          </w:p>
        </w:tc>
        <w:tc>
          <w:tcPr>
            <w:tcW w:w="1280" w:type="dxa"/>
            <w:tcBorders>
              <w:top w:val="nil"/>
              <w:left w:val="nil"/>
              <w:bottom w:val="single" w:sz="4" w:space="0" w:color="auto"/>
              <w:right w:val="single" w:sz="4" w:space="0" w:color="auto"/>
            </w:tcBorders>
            <w:shd w:val="clear" w:color="000000" w:fill="F2F2F2"/>
            <w:noWrap/>
            <w:vAlign w:val="center"/>
            <w:hideMark/>
          </w:tcPr>
          <w:p w14:paraId="13F84B30"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$ 18.521.965</w:t>
            </w:r>
          </w:p>
        </w:tc>
      </w:tr>
      <w:tr w:rsidR="00B07312" w:rsidRPr="006B48D3" w14:paraId="7C6B881C" w14:textId="77777777" w:rsidTr="006B48D3">
        <w:trPr>
          <w:trHeight w:val="313"/>
        </w:trPr>
        <w:tc>
          <w:tcPr>
            <w:tcW w:w="407" w:type="dxa"/>
            <w:tcBorders>
              <w:top w:val="nil"/>
              <w:left w:val="single" w:sz="4" w:space="0" w:color="auto"/>
              <w:bottom w:val="single" w:sz="4" w:space="0" w:color="auto"/>
              <w:right w:val="single" w:sz="4" w:space="0" w:color="auto"/>
            </w:tcBorders>
            <w:shd w:val="clear" w:color="000000" w:fill="F2F2F2"/>
            <w:noWrap/>
            <w:vAlign w:val="center"/>
            <w:hideMark/>
          </w:tcPr>
          <w:p w14:paraId="59F21E64" w14:textId="77777777" w:rsidR="00B07312" w:rsidRPr="006B48D3" w:rsidRDefault="00B07312" w:rsidP="00D22441">
            <w:pPr>
              <w:jc w:val="center"/>
              <w:rPr>
                <w:rFonts w:ascii="Arial Narrow" w:hAnsi="Arial Narrow" w:cs="Arial"/>
                <w:spacing w:val="0"/>
                <w:sz w:val="16"/>
                <w:szCs w:val="16"/>
                <w:lang w:eastAsia="es-CO"/>
              </w:rPr>
            </w:pPr>
            <w:r w:rsidRPr="006B48D3">
              <w:rPr>
                <w:rFonts w:ascii="Arial Narrow" w:hAnsi="Arial Narrow" w:cs="Arial"/>
                <w:spacing w:val="0"/>
                <w:sz w:val="16"/>
                <w:szCs w:val="16"/>
                <w:lang w:eastAsia="es-CO"/>
              </w:rPr>
              <w:t>88</w:t>
            </w:r>
          </w:p>
        </w:tc>
        <w:tc>
          <w:tcPr>
            <w:tcW w:w="585" w:type="dxa"/>
            <w:tcBorders>
              <w:top w:val="nil"/>
              <w:left w:val="nil"/>
              <w:bottom w:val="single" w:sz="4" w:space="0" w:color="auto"/>
              <w:right w:val="single" w:sz="4" w:space="0" w:color="auto"/>
            </w:tcBorders>
            <w:shd w:val="clear" w:color="000000" w:fill="F2F2F2"/>
            <w:noWrap/>
            <w:vAlign w:val="center"/>
            <w:hideMark/>
          </w:tcPr>
          <w:p w14:paraId="3884C888"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37294</w:t>
            </w:r>
          </w:p>
        </w:tc>
        <w:tc>
          <w:tcPr>
            <w:tcW w:w="941" w:type="dxa"/>
            <w:tcBorders>
              <w:top w:val="nil"/>
              <w:left w:val="nil"/>
              <w:bottom w:val="single" w:sz="4" w:space="0" w:color="auto"/>
              <w:right w:val="single" w:sz="4" w:space="0" w:color="auto"/>
            </w:tcBorders>
            <w:shd w:val="clear" w:color="000000" w:fill="F2F2F2"/>
            <w:noWrap/>
            <w:vAlign w:val="center"/>
            <w:hideMark/>
          </w:tcPr>
          <w:p w14:paraId="590DD9F4"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900438187</w:t>
            </w:r>
          </w:p>
        </w:tc>
        <w:tc>
          <w:tcPr>
            <w:tcW w:w="3247" w:type="dxa"/>
            <w:tcBorders>
              <w:top w:val="nil"/>
              <w:left w:val="nil"/>
              <w:bottom w:val="single" w:sz="4" w:space="0" w:color="auto"/>
              <w:right w:val="single" w:sz="4" w:space="0" w:color="auto"/>
            </w:tcBorders>
            <w:shd w:val="clear" w:color="000000" w:fill="F2F2F2"/>
            <w:vAlign w:val="center"/>
            <w:hideMark/>
          </w:tcPr>
          <w:p w14:paraId="036F4999" w14:textId="77777777" w:rsidR="00B07312" w:rsidRPr="006B48D3" w:rsidRDefault="00B07312" w:rsidP="00D22441">
            <w:pPr>
              <w:jc w:val="left"/>
              <w:rPr>
                <w:rFonts w:ascii="Arial Narrow" w:hAnsi="Arial Narrow" w:cs="Arial"/>
                <w:spacing w:val="0"/>
                <w:sz w:val="16"/>
                <w:szCs w:val="16"/>
                <w:lang w:eastAsia="es-CO"/>
              </w:rPr>
            </w:pPr>
            <w:r w:rsidRPr="006B48D3">
              <w:rPr>
                <w:rFonts w:ascii="Arial Narrow" w:hAnsi="Arial Narrow" w:cs="Arial"/>
                <w:spacing w:val="0"/>
                <w:sz w:val="16"/>
                <w:szCs w:val="16"/>
                <w:lang w:eastAsia="es-CO"/>
              </w:rPr>
              <w:t>PROVIGAS COLOMBIA S.A. ESP</w:t>
            </w:r>
          </w:p>
        </w:tc>
        <w:tc>
          <w:tcPr>
            <w:tcW w:w="1620" w:type="dxa"/>
            <w:tcBorders>
              <w:top w:val="nil"/>
              <w:left w:val="nil"/>
              <w:bottom w:val="single" w:sz="4" w:space="0" w:color="auto"/>
              <w:right w:val="single" w:sz="4" w:space="0" w:color="auto"/>
            </w:tcBorders>
            <w:shd w:val="clear" w:color="000000" w:fill="F2F2F2"/>
            <w:noWrap/>
            <w:vAlign w:val="center"/>
            <w:hideMark/>
          </w:tcPr>
          <w:p w14:paraId="5F6731E5"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$ 372.298.000</w:t>
            </w:r>
          </w:p>
        </w:tc>
        <w:tc>
          <w:tcPr>
            <w:tcW w:w="1520" w:type="dxa"/>
            <w:tcBorders>
              <w:top w:val="nil"/>
              <w:left w:val="nil"/>
              <w:bottom w:val="single" w:sz="4" w:space="0" w:color="auto"/>
              <w:right w:val="single" w:sz="4" w:space="0" w:color="auto"/>
            </w:tcBorders>
            <w:shd w:val="clear" w:color="000000" w:fill="F2F2F2"/>
            <w:noWrap/>
            <w:vAlign w:val="center"/>
            <w:hideMark/>
          </w:tcPr>
          <w:p w14:paraId="14F20AB1"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$ 0</w:t>
            </w:r>
          </w:p>
        </w:tc>
        <w:tc>
          <w:tcPr>
            <w:tcW w:w="1460" w:type="dxa"/>
            <w:tcBorders>
              <w:top w:val="nil"/>
              <w:left w:val="nil"/>
              <w:bottom w:val="single" w:sz="4" w:space="0" w:color="auto"/>
              <w:right w:val="single" w:sz="4" w:space="0" w:color="auto"/>
            </w:tcBorders>
            <w:shd w:val="clear" w:color="000000" w:fill="F2F2F2"/>
            <w:noWrap/>
            <w:vAlign w:val="center"/>
            <w:hideMark/>
          </w:tcPr>
          <w:p w14:paraId="2490DC61"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$ 372.298.000</w:t>
            </w:r>
          </w:p>
        </w:tc>
        <w:tc>
          <w:tcPr>
            <w:tcW w:w="1280" w:type="dxa"/>
            <w:tcBorders>
              <w:top w:val="nil"/>
              <w:left w:val="nil"/>
              <w:bottom w:val="single" w:sz="4" w:space="0" w:color="auto"/>
              <w:right w:val="single" w:sz="4" w:space="0" w:color="auto"/>
            </w:tcBorders>
            <w:shd w:val="clear" w:color="000000" w:fill="F2F2F2"/>
            <w:noWrap/>
            <w:vAlign w:val="center"/>
            <w:hideMark/>
          </w:tcPr>
          <w:p w14:paraId="646331EE"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$ 3.722.980</w:t>
            </w:r>
          </w:p>
        </w:tc>
        <w:tc>
          <w:tcPr>
            <w:tcW w:w="1200" w:type="dxa"/>
            <w:tcBorders>
              <w:top w:val="nil"/>
              <w:left w:val="nil"/>
              <w:bottom w:val="single" w:sz="4" w:space="0" w:color="auto"/>
              <w:right w:val="single" w:sz="4" w:space="0" w:color="auto"/>
            </w:tcBorders>
            <w:shd w:val="clear" w:color="000000" w:fill="F2F2F2"/>
            <w:noWrap/>
            <w:vAlign w:val="center"/>
            <w:hideMark/>
          </w:tcPr>
          <w:p w14:paraId="4C7F563F"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$ 155</w:t>
            </w:r>
          </w:p>
        </w:tc>
        <w:tc>
          <w:tcPr>
            <w:tcW w:w="1280" w:type="dxa"/>
            <w:tcBorders>
              <w:top w:val="nil"/>
              <w:left w:val="nil"/>
              <w:bottom w:val="single" w:sz="4" w:space="0" w:color="auto"/>
              <w:right w:val="single" w:sz="4" w:space="0" w:color="auto"/>
            </w:tcBorders>
            <w:shd w:val="clear" w:color="000000" w:fill="F2F2F2"/>
            <w:noWrap/>
            <w:vAlign w:val="center"/>
            <w:hideMark/>
          </w:tcPr>
          <w:p w14:paraId="4C1C801C"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$ 3.723.135</w:t>
            </w:r>
          </w:p>
        </w:tc>
      </w:tr>
      <w:tr w:rsidR="00B07312" w:rsidRPr="006B48D3" w14:paraId="34762D3D" w14:textId="77777777" w:rsidTr="006B48D3">
        <w:trPr>
          <w:trHeight w:val="359"/>
        </w:trPr>
        <w:tc>
          <w:tcPr>
            <w:tcW w:w="407" w:type="dxa"/>
            <w:tcBorders>
              <w:top w:val="nil"/>
              <w:left w:val="single" w:sz="4" w:space="0" w:color="auto"/>
              <w:bottom w:val="single" w:sz="4" w:space="0" w:color="auto"/>
              <w:right w:val="single" w:sz="4" w:space="0" w:color="auto"/>
            </w:tcBorders>
            <w:shd w:val="clear" w:color="000000" w:fill="F2F2F2"/>
            <w:noWrap/>
            <w:vAlign w:val="center"/>
            <w:hideMark/>
          </w:tcPr>
          <w:p w14:paraId="4451A77D" w14:textId="77777777" w:rsidR="00B07312" w:rsidRPr="006B48D3" w:rsidRDefault="00B07312" w:rsidP="00D22441">
            <w:pPr>
              <w:jc w:val="center"/>
              <w:rPr>
                <w:rFonts w:ascii="Arial Narrow" w:hAnsi="Arial Narrow" w:cs="Arial"/>
                <w:spacing w:val="0"/>
                <w:sz w:val="16"/>
                <w:szCs w:val="16"/>
                <w:lang w:eastAsia="es-CO"/>
              </w:rPr>
            </w:pPr>
            <w:r w:rsidRPr="006B48D3">
              <w:rPr>
                <w:rFonts w:ascii="Arial Narrow" w:hAnsi="Arial Narrow" w:cs="Arial"/>
                <w:spacing w:val="0"/>
                <w:sz w:val="16"/>
                <w:szCs w:val="16"/>
                <w:lang w:eastAsia="es-CO"/>
              </w:rPr>
              <w:t>89</w:t>
            </w:r>
          </w:p>
        </w:tc>
        <w:tc>
          <w:tcPr>
            <w:tcW w:w="585" w:type="dxa"/>
            <w:tcBorders>
              <w:top w:val="nil"/>
              <w:left w:val="nil"/>
              <w:bottom w:val="single" w:sz="4" w:space="0" w:color="auto"/>
              <w:right w:val="single" w:sz="4" w:space="0" w:color="auto"/>
            </w:tcBorders>
            <w:shd w:val="clear" w:color="000000" w:fill="F2F2F2"/>
            <w:noWrap/>
            <w:vAlign w:val="center"/>
            <w:hideMark/>
          </w:tcPr>
          <w:p w14:paraId="0B933011"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38033</w:t>
            </w:r>
          </w:p>
        </w:tc>
        <w:tc>
          <w:tcPr>
            <w:tcW w:w="941" w:type="dxa"/>
            <w:tcBorders>
              <w:top w:val="nil"/>
              <w:left w:val="nil"/>
              <w:bottom w:val="single" w:sz="4" w:space="0" w:color="auto"/>
              <w:right w:val="single" w:sz="4" w:space="0" w:color="auto"/>
            </w:tcBorders>
            <w:shd w:val="clear" w:color="000000" w:fill="F2F2F2"/>
            <w:noWrap/>
            <w:vAlign w:val="center"/>
            <w:hideMark/>
          </w:tcPr>
          <w:p w14:paraId="28A7C4DC"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900440491</w:t>
            </w:r>
          </w:p>
        </w:tc>
        <w:tc>
          <w:tcPr>
            <w:tcW w:w="3247" w:type="dxa"/>
            <w:tcBorders>
              <w:top w:val="nil"/>
              <w:left w:val="nil"/>
              <w:bottom w:val="single" w:sz="4" w:space="0" w:color="auto"/>
              <w:right w:val="single" w:sz="4" w:space="0" w:color="auto"/>
            </w:tcBorders>
            <w:shd w:val="clear" w:color="000000" w:fill="F2F2F2"/>
            <w:vAlign w:val="center"/>
            <w:hideMark/>
          </w:tcPr>
          <w:p w14:paraId="4737E6BE" w14:textId="77777777" w:rsidR="00B07312" w:rsidRPr="006B48D3" w:rsidRDefault="00B07312" w:rsidP="00D22441">
            <w:pPr>
              <w:jc w:val="left"/>
              <w:rPr>
                <w:rFonts w:ascii="Arial Narrow" w:hAnsi="Arial Narrow" w:cs="Arial"/>
                <w:spacing w:val="0"/>
                <w:sz w:val="16"/>
                <w:szCs w:val="16"/>
                <w:lang w:eastAsia="es-CO"/>
              </w:rPr>
            </w:pPr>
            <w:r w:rsidRPr="006B48D3">
              <w:rPr>
                <w:rFonts w:ascii="Arial Narrow" w:hAnsi="Arial Narrow" w:cs="Arial"/>
                <w:spacing w:val="0"/>
                <w:sz w:val="16"/>
                <w:szCs w:val="16"/>
                <w:lang w:eastAsia="es-CO"/>
              </w:rPr>
              <w:t>JADAPE SAS ESP</w:t>
            </w:r>
          </w:p>
        </w:tc>
        <w:tc>
          <w:tcPr>
            <w:tcW w:w="1620" w:type="dxa"/>
            <w:tcBorders>
              <w:top w:val="nil"/>
              <w:left w:val="nil"/>
              <w:bottom w:val="single" w:sz="4" w:space="0" w:color="auto"/>
              <w:right w:val="single" w:sz="4" w:space="0" w:color="auto"/>
            </w:tcBorders>
            <w:shd w:val="clear" w:color="000000" w:fill="F2F2F2"/>
            <w:noWrap/>
            <w:vAlign w:val="center"/>
            <w:hideMark/>
          </w:tcPr>
          <w:p w14:paraId="469BD10D"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$ 316.406.000</w:t>
            </w:r>
          </w:p>
        </w:tc>
        <w:tc>
          <w:tcPr>
            <w:tcW w:w="1520" w:type="dxa"/>
            <w:tcBorders>
              <w:top w:val="nil"/>
              <w:left w:val="nil"/>
              <w:bottom w:val="single" w:sz="4" w:space="0" w:color="auto"/>
              <w:right w:val="single" w:sz="4" w:space="0" w:color="auto"/>
            </w:tcBorders>
            <w:shd w:val="clear" w:color="000000" w:fill="F2F2F2"/>
            <w:noWrap/>
            <w:vAlign w:val="center"/>
            <w:hideMark/>
          </w:tcPr>
          <w:p w14:paraId="62AFCB3E"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$ 2.178.497</w:t>
            </w:r>
          </w:p>
        </w:tc>
        <w:tc>
          <w:tcPr>
            <w:tcW w:w="1460" w:type="dxa"/>
            <w:tcBorders>
              <w:top w:val="nil"/>
              <w:left w:val="nil"/>
              <w:bottom w:val="single" w:sz="4" w:space="0" w:color="auto"/>
              <w:right w:val="single" w:sz="4" w:space="0" w:color="auto"/>
            </w:tcBorders>
            <w:shd w:val="clear" w:color="000000" w:fill="F2F2F2"/>
            <w:noWrap/>
            <w:vAlign w:val="center"/>
            <w:hideMark/>
          </w:tcPr>
          <w:p w14:paraId="0D14FC78"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$ 318.584.497</w:t>
            </w:r>
          </w:p>
        </w:tc>
        <w:tc>
          <w:tcPr>
            <w:tcW w:w="1280" w:type="dxa"/>
            <w:tcBorders>
              <w:top w:val="nil"/>
              <w:left w:val="nil"/>
              <w:bottom w:val="single" w:sz="4" w:space="0" w:color="auto"/>
              <w:right w:val="single" w:sz="4" w:space="0" w:color="auto"/>
            </w:tcBorders>
            <w:shd w:val="clear" w:color="000000" w:fill="F2F2F2"/>
            <w:noWrap/>
            <w:vAlign w:val="center"/>
            <w:hideMark/>
          </w:tcPr>
          <w:p w14:paraId="79262D21"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$ 3.185.845</w:t>
            </w:r>
          </w:p>
        </w:tc>
        <w:tc>
          <w:tcPr>
            <w:tcW w:w="1200" w:type="dxa"/>
            <w:tcBorders>
              <w:top w:val="nil"/>
              <w:left w:val="nil"/>
              <w:bottom w:val="single" w:sz="4" w:space="0" w:color="auto"/>
              <w:right w:val="single" w:sz="4" w:space="0" w:color="auto"/>
            </w:tcBorders>
            <w:shd w:val="clear" w:color="000000" w:fill="F2F2F2"/>
            <w:noWrap/>
            <w:vAlign w:val="center"/>
            <w:hideMark/>
          </w:tcPr>
          <w:p w14:paraId="489E4B44"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$ 133</w:t>
            </w:r>
          </w:p>
        </w:tc>
        <w:tc>
          <w:tcPr>
            <w:tcW w:w="1280" w:type="dxa"/>
            <w:tcBorders>
              <w:top w:val="nil"/>
              <w:left w:val="nil"/>
              <w:bottom w:val="single" w:sz="4" w:space="0" w:color="auto"/>
              <w:right w:val="single" w:sz="4" w:space="0" w:color="auto"/>
            </w:tcBorders>
            <w:shd w:val="clear" w:color="000000" w:fill="F2F2F2"/>
            <w:noWrap/>
            <w:vAlign w:val="center"/>
            <w:hideMark/>
          </w:tcPr>
          <w:p w14:paraId="7BBA4857"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$ 3.185.978</w:t>
            </w:r>
          </w:p>
        </w:tc>
      </w:tr>
      <w:tr w:rsidR="00B07312" w:rsidRPr="006B48D3" w14:paraId="0FB59F35" w14:textId="77777777" w:rsidTr="00D16BC5">
        <w:trPr>
          <w:trHeight w:val="327"/>
        </w:trPr>
        <w:tc>
          <w:tcPr>
            <w:tcW w:w="407" w:type="dxa"/>
            <w:tcBorders>
              <w:top w:val="nil"/>
              <w:left w:val="single" w:sz="4" w:space="0" w:color="auto"/>
              <w:bottom w:val="single" w:sz="4" w:space="0" w:color="auto"/>
              <w:right w:val="single" w:sz="4" w:space="0" w:color="auto"/>
            </w:tcBorders>
            <w:shd w:val="clear" w:color="000000" w:fill="F2F2F2"/>
            <w:noWrap/>
            <w:vAlign w:val="center"/>
            <w:hideMark/>
          </w:tcPr>
          <w:p w14:paraId="34B24BE9" w14:textId="77777777" w:rsidR="00B07312" w:rsidRPr="006B48D3" w:rsidRDefault="00B07312" w:rsidP="00D22441">
            <w:pPr>
              <w:jc w:val="center"/>
              <w:rPr>
                <w:rFonts w:ascii="Arial Narrow" w:hAnsi="Arial Narrow" w:cs="Arial"/>
                <w:spacing w:val="0"/>
                <w:sz w:val="16"/>
                <w:szCs w:val="16"/>
                <w:lang w:eastAsia="es-CO"/>
              </w:rPr>
            </w:pPr>
            <w:r w:rsidRPr="006B48D3">
              <w:rPr>
                <w:rFonts w:ascii="Arial Narrow" w:hAnsi="Arial Narrow" w:cs="Arial"/>
                <w:spacing w:val="0"/>
                <w:sz w:val="16"/>
                <w:szCs w:val="16"/>
                <w:lang w:eastAsia="es-CO"/>
              </w:rPr>
              <w:t>90</w:t>
            </w:r>
          </w:p>
        </w:tc>
        <w:tc>
          <w:tcPr>
            <w:tcW w:w="585" w:type="dxa"/>
            <w:tcBorders>
              <w:top w:val="nil"/>
              <w:left w:val="nil"/>
              <w:bottom w:val="single" w:sz="4" w:space="0" w:color="auto"/>
              <w:right w:val="single" w:sz="4" w:space="0" w:color="auto"/>
            </w:tcBorders>
            <w:shd w:val="clear" w:color="000000" w:fill="F2F2F2"/>
            <w:noWrap/>
            <w:vAlign w:val="center"/>
            <w:hideMark/>
          </w:tcPr>
          <w:p w14:paraId="3716FFD0"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25939</w:t>
            </w:r>
          </w:p>
        </w:tc>
        <w:tc>
          <w:tcPr>
            <w:tcW w:w="941" w:type="dxa"/>
            <w:tcBorders>
              <w:top w:val="nil"/>
              <w:left w:val="nil"/>
              <w:bottom w:val="single" w:sz="4" w:space="0" w:color="auto"/>
              <w:right w:val="single" w:sz="4" w:space="0" w:color="auto"/>
            </w:tcBorders>
            <w:shd w:val="clear" w:color="000000" w:fill="F2F2F2"/>
            <w:noWrap/>
            <w:vAlign w:val="center"/>
            <w:hideMark/>
          </w:tcPr>
          <w:p w14:paraId="0860A40F"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900453463</w:t>
            </w:r>
          </w:p>
        </w:tc>
        <w:tc>
          <w:tcPr>
            <w:tcW w:w="3247" w:type="dxa"/>
            <w:tcBorders>
              <w:top w:val="nil"/>
              <w:left w:val="nil"/>
              <w:bottom w:val="single" w:sz="4" w:space="0" w:color="auto"/>
              <w:right w:val="single" w:sz="4" w:space="0" w:color="auto"/>
            </w:tcBorders>
            <w:shd w:val="clear" w:color="000000" w:fill="F2F2F2"/>
            <w:vAlign w:val="center"/>
            <w:hideMark/>
          </w:tcPr>
          <w:p w14:paraId="7E829096" w14:textId="77777777" w:rsidR="00B07312" w:rsidRPr="006B48D3" w:rsidRDefault="00B07312" w:rsidP="00D22441">
            <w:pPr>
              <w:jc w:val="left"/>
              <w:rPr>
                <w:rFonts w:ascii="Arial Narrow" w:hAnsi="Arial Narrow" w:cs="Arial"/>
                <w:spacing w:val="0"/>
                <w:sz w:val="16"/>
                <w:szCs w:val="16"/>
                <w:lang w:eastAsia="es-CO"/>
              </w:rPr>
            </w:pPr>
            <w:r w:rsidRPr="006B48D3">
              <w:rPr>
                <w:rFonts w:ascii="Arial Narrow" w:hAnsi="Arial Narrow" w:cs="Arial"/>
                <w:spacing w:val="0"/>
                <w:sz w:val="16"/>
                <w:szCs w:val="16"/>
                <w:lang w:eastAsia="es-CO"/>
              </w:rPr>
              <w:t>CITYGAS DISTRIBUIDORA S.A.S. E.</w:t>
            </w:r>
            <w:proofErr w:type="gramStart"/>
            <w:r w:rsidRPr="006B48D3">
              <w:rPr>
                <w:rFonts w:ascii="Arial Narrow" w:hAnsi="Arial Narrow" w:cs="Arial"/>
                <w:spacing w:val="0"/>
                <w:sz w:val="16"/>
                <w:szCs w:val="16"/>
                <w:lang w:eastAsia="es-CO"/>
              </w:rPr>
              <w:t>S.P</w:t>
            </w:r>
            <w:proofErr w:type="gramEnd"/>
          </w:p>
        </w:tc>
        <w:tc>
          <w:tcPr>
            <w:tcW w:w="1620" w:type="dxa"/>
            <w:tcBorders>
              <w:top w:val="nil"/>
              <w:left w:val="nil"/>
              <w:bottom w:val="single" w:sz="4" w:space="0" w:color="auto"/>
              <w:right w:val="single" w:sz="4" w:space="0" w:color="auto"/>
            </w:tcBorders>
            <w:shd w:val="clear" w:color="000000" w:fill="F2F2F2"/>
            <w:noWrap/>
            <w:vAlign w:val="center"/>
            <w:hideMark/>
          </w:tcPr>
          <w:p w14:paraId="71F1D315"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$ 474.974.000</w:t>
            </w:r>
          </w:p>
        </w:tc>
        <w:tc>
          <w:tcPr>
            <w:tcW w:w="1520" w:type="dxa"/>
            <w:tcBorders>
              <w:top w:val="nil"/>
              <w:left w:val="nil"/>
              <w:bottom w:val="single" w:sz="4" w:space="0" w:color="auto"/>
              <w:right w:val="single" w:sz="4" w:space="0" w:color="auto"/>
            </w:tcBorders>
            <w:shd w:val="clear" w:color="000000" w:fill="F2F2F2"/>
            <w:noWrap/>
            <w:vAlign w:val="center"/>
            <w:hideMark/>
          </w:tcPr>
          <w:p w14:paraId="653BD1ED"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$ 16.744.254</w:t>
            </w:r>
          </w:p>
        </w:tc>
        <w:tc>
          <w:tcPr>
            <w:tcW w:w="1460" w:type="dxa"/>
            <w:tcBorders>
              <w:top w:val="nil"/>
              <w:left w:val="nil"/>
              <w:bottom w:val="single" w:sz="4" w:space="0" w:color="auto"/>
              <w:right w:val="single" w:sz="4" w:space="0" w:color="auto"/>
            </w:tcBorders>
            <w:shd w:val="clear" w:color="000000" w:fill="F2F2F2"/>
            <w:noWrap/>
            <w:vAlign w:val="center"/>
            <w:hideMark/>
          </w:tcPr>
          <w:p w14:paraId="42F15055"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$ 491.718.254</w:t>
            </w:r>
          </w:p>
        </w:tc>
        <w:tc>
          <w:tcPr>
            <w:tcW w:w="1280" w:type="dxa"/>
            <w:tcBorders>
              <w:top w:val="nil"/>
              <w:left w:val="nil"/>
              <w:bottom w:val="single" w:sz="4" w:space="0" w:color="auto"/>
              <w:right w:val="single" w:sz="4" w:space="0" w:color="auto"/>
            </w:tcBorders>
            <w:shd w:val="clear" w:color="000000" w:fill="F2F2F2"/>
            <w:noWrap/>
            <w:vAlign w:val="center"/>
            <w:hideMark/>
          </w:tcPr>
          <w:p w14:paraId="3EA3A18C"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$ 4.917.183</w:t>
            </w:r>
          </w:p>
        </w:tc>
        <w:tc>
          <w:tcPr>
            <w:tcW w:w="1200" w:type="dxa"/>
            <w:tcBorders>
              <w:top w:val="nil"/>
              <w:left w:val="nil"/>
              <w:bottom w:val="single" w:sz="4" w:space="0" w:color="auto"/>
              <w:right w:val="single" w:sz="4" w:space="0" w:color="auto"/>
            </w:tcBorders>
            <w:shd w:val="clear" w:color="000000" w:fill="F2F2F2"/>
            <w:noWrap/>
            <w:vAlign w:val="center"/>
            <w:hideMark/>
          </w:tcPr>
          <w:p w14:paraId="26795B71"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$ 205</w:t>
            </w:r>
          </w:p>
        </w:tc>
        <w:tc>
          <w:tcPr>
            <w:tcW w:w="1280" w:type="dxa"/>
            <w:tcBorders>
              <w:top w:val="nil"/>
              <w:left w:val="nil"/>
              <w:bottom w:val="single" w:sz="4" w:space="0" w:color="auto"/>
              <w:right w:val="single" w:sz="4" w:space="0" w:color="auto"/>
            </w:tcBorders>
            <w:shd w:val="clear" w:color="000000" w:fill="F2F2F2"/>
            <w:noWrap/>
            <w:vAlign w:val="center"/>
            <w:hideMark/>
          </w:tcPr>
          <w:p w14:paraId="18B5C0E4"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$ 4.917.387</w:t>
            </w:r>
          </w:p>
        </w:tc>
      </w:tr>
      <w:tr w:rsidR="00B07312" w:rsidRPr="006B48D3" w14:paraId="66346E6E" w14:textId="77777777" w:rsidTr="006B48D3">
        <w:trPr>
          <w:trHeight w:val="394"/>
        </w:trPr>
        <w:tc>
          <w:tcPr>
            <w:tcW w:w="407" w:type="dxa"/>
            <w:tcBorders>
              <w:top w:val="nil"/>
              <w:left w:val="single" w:sz="4" w:space="0" w:color="auto"/>
              <w:bottom w:val="single" w:sz="4" w:space="0" w:color="auto"/>
              <w:right w:val="single" w:sz="4" w:space="0" w:color="auto"/>
            </w:tcBorders>
            <w:shd w:val="clear" w:color="000000" w:fill="F2F2F2"/>
            <w:noWrap/>
            <w:vAlign w:val="center"/>
            <w:hideMark/>
          </w:tcPr>
          <w:p w14:paraId="45A96675" w14:textId="77777777" w:rsidR="00B07312" w:rsidRPr="006B48D3" w:rsidRDefault="00B07312" w:rsidP="00D22441">
            <w:pPr>
              <w:jc w:val="center"/>
              <w:rPr>
                <w:rFonts w:ascii="Arial Narrow" w:hAnsi="Arial Narrow" w:cs="Arial"/>
                <w:spacing w:val="0"/>
                <w:sz w:val="16"/>
                <w:szCs w:val="16"/>
                <w:lang w:eastAsia="es-CO"/>
              </w:rPr>
            </w:pPr>
            <w:r w:rsidRPr="006B48D3">
              <w:rPr>
                <w:rFonts w:ascii="Arial Narrow" w:hAnsi="Arial Narrow" w:cs="Arial"/>
                <w:spacing w:val="0"/>
                <w:sz w:val="16"/>
                <w:szCs w:val="16"/>
                <w:lang w:eastAsia="es-CO"/>
              </w:rPr>
              <w:t>91</w:t>
            </w:r>
          </w:p>
        </w:tc>
        <w:tc>
          <w:tcPr>
            <w:tcW w:w="585" w:type="dxa"/>
            <w:tcBorders>
              <w:top w:val="nil"/>
              <w:left w:val="nil"/>
              <w:bottom w:val="single" w:sz="4" w:space="0" w:color="auto"/>
              <w:right w:val="single" w:sz="4" w:space="0" w:color="auto"/>
            </w:tcBorders>
            <w:shd w:val="clear" w:color="000000" w:fill="F2F2F2"/>
            <w:noWrap/>
            <w:vAlign w:val="center"/>
            <w:hideMark/>
          </w:tcPr>
          <w:p w14:paraId="0ECC64CF"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39390</w:t>
            </w:r>
          </w:p>
        </w:tc>
        <w:tc>
          <w:tcPr>
            <w:tcW w:w="941" w:type="dxa"/>
            <w:tcBorders>
              <w:top w:val="nil"/>
              <w:left w:val="nil"/>
              <w:bottom w:val="single" w:sz="4" w:space="0" w:color="auto"/>
              <w:right w:val="single" w:sz="4" w:space="0" w:color="auto"/>
            </w:tcBorders>
            <w:shd w:val="clear" w:color="000000" w:fill="F2F2F2"/>
            <w:noWrap/>
            <w:vAlign w:val="center"/>
            <w:hideMark/>
          </w:tcPr>
          <w:p w14:paraId="5244058E"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900466858</w:t>
            </w:r>
          </w:p>
        </w:tc>
        <w:tc>
          <w:tcPr>
            <w:tcW w:w="3247" w:type="dxa"/>
            <w:tcBorders>
              <w:top w:val="nil"/>
              <w:left w:val="nil"/>
              <w:bottom w:val="single" w:sz="4" w:space="0" w:color="auto"/>
              <w:right w:val="single" w:sz="4" w:space="0" w:color="auto"/>
            </w:tcBorders>
            <w:shd w:val="clear" w:color="000000" w:fill="F2F2F2"/>
            <w:vAlign w:val="center"/>
            <w:hideMark/>
          </w:tcPr>
          <w:p w14:paraId="169606CF" w14:textId="77777777" w:rsidR="00B07312" w:rsidRPr="006B48D3" w:rsidRDefault="00B07312" w:rsidP="00D22441">
            <w:pPr>
              <w:jc w:val="left"/>
              <w:rPr>
                <w:rFonts w:ascii="Arial Narrow" w:hAnsi="Arial Narrow" w:cs="Arial"/>
                <w:spacing w:val="0"/>
                <w:sz w:val="16"/>
                <w:szCs w:val="16"/>
                <w:lang w:eastAsia="es-CO"/>
              </w:rPr>
            </w:pPr>
            <w:r w:rsidRPr="006B48D3">
              <w:rPr>
                <w:rFonts w:ascii="Arial Narrow" w:hAnsi="Arial Narrow" w:cs="Arial"/>
                <w:spacing w:val="0"/>
                <w:sz w:val="16"/>
                <w:szCs w:val="16"/>
                <w:lang w:eastAsia="es-CO"/>
              </w:rPr>
              <w:t>SURENERGY SAS ESP</w:t>
            </w:r>
          </w:p>
        </w:tc>
        <w:tc>
          <w:tcPr>
            <w:tcW w:w="1620" w:type="dxa"/>
            <w:tcBorders>
              <w:top w:val="nil"/>
              <w:left w:val="nil"/>
              <w:bottom w:val="single" w:sz="4" w:space="0" w:color="auto"/>
              <w:right w:val="single" w:sz="4" w:space="0" w:color="auto"/>
            </w:tcBorders>
            <w:shd w:val="clear" w:color="000000" w:fill="F2F2F2"/>
            <w:noWrap/>
            <w:vAlign w:val="center"/>
            <w:hideMark/>
          </w:tcPr>
          <w:p w14:paraId="148FEE19"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$ 1.602.994.000</w:t>
            </w:r>
          </w:p>
        </w:tc>
        <w:tc>
          <w:tcPr>
            <w:tcW w:w="1520" w:type="dxa"/>
            <w:tcBorders>
              <w:top w:val="nil"/>
              <w:left w:val="nil"/>
              <w:bottom w:val="single" w:sz="4" w:space="0" w:color="auto"/>
              <w:right w:val="single" w:sz="4" w:space="0" w:color="auto"/>
            </w:tcBorders>
            <w:shd w:val="clear" w:color="000000" w:fill="F2F2F2"/>
            <w:noWrap/>
            <w:vAlign w:val="center"/>
            <w:hideMark/>
          </w:tcPr>
          <w:p w14:paraId="70ADDFB7"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$ 132.202.819</w:t>
            </w:r>
          </w:p>
        </w:tc>
        <w:tc>
          <w:tcPr>
            <w:tcW w:w="1460" w:type="dxa"/>
            <w:tcBorders>
              <w:top w:val="nil"/>
              <w:left w:val="nil"/>
              <w:bottom w:val="single" w:sz="4" w:space="0" w:color="auto"/>
              <w:right w:val="single" w:sz="4" w:space="0" w:color="auto"/>
            </w:tcBorders>
            <w:shd w:val="clear" w:color="000000" w:fill="F2F2F2"/>
            <w:noWrap/>
            <w:vAlign w:val="center"/>
            <w:hideMark/>
          </w:tcPr>
          <w:p w14:paraId="596C56E1"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$ 1.735.196.819</w:t>
            </w:r>
          </w:p>
        </w:tc>
        <w:tc>
          <w:tcPr>
            <w:tcW w:w="1280" w:type="dxa"/>
            <w:tcBorders>
              <w:top w:val="nil"/>
              <w:left w:val="nil"/>
              <w:bottom w:val="single" w:sz="4" w:space="0" w:color="auto"/>
              <w:right w:val="single" w:sz="4" w:space="0" w:color="auto"/>
            </w:tcBorders>
            <w:shd w:val="clear" w:color="000000" w:fill="F2F2F2"/>
            <w:noWrap/>
            <w:vAlign w:val="center"/>
            <w:hideMark/>
          </w:tcPr>
          <w:p w14:paraId="2C4DE90E"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$ 17.351.968</w:t>
            </w:r>
          </w:p>
        </w:tc>
        <w:tc>
          <w:tcPr>
            <w:tcW w:w="1200" w:type="dxa"/>
            <w:tcBorders>
              <w:top w:val="nil"/>
              <w:left w:val="nil"/>
              <w:bottom w:val="single" w:sz="4" w:space="0" w:color="auto"/>
              <w:right w:val="single" w:sz="4" w:space="0" w:color="auto"/>
            </w:tcBorders>
            <w:shd w:val="clear" w:color="000000" w:fill="F2F2F2"/>
            <w:noWrap/>
            <w:vAlign w:val="center"/>
            <w:hideMark/>
          </w:tcPr>
          <w:p w14:paraId="43F28677"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$ 722</w:t>
            </w:r>
          </w:p>
        </w:tc>
        <w:tc>
          <w:tcPr>
            <w:tcW w:w="1280" w:type="dxa"/>
            <w:tcBorders>
              <w:top w:val="nil"/>
              <w:left w:val="nil"/>
              <w:bottom w:val="single" w:sz="4" w:space="0" w:color="auto"/>
              <w:right w:val="single" w:sz="4" w:space="0" w:color="auto"/>
            </w:tcBorders>
            <w:shd w:val="clear" w:color="000000" w:fill="F2F2F2"/>
            <w:noWrap/>
            <w:vAlign w:val="center"/>
            <w:hideMark/>
          </w:tcPr>
          <w:p w14:paraId="4A1D6EE7"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$ 17.352.690</w:t>
            </w:r>
          </w:p>
        </w:tc>
      </w:tr>
      <w:tr w:rsidR="00B07312" w:rsidRPr="006B48D3" w14:paraId="44C39E33" w14:textId="77777777" w:rsidTr="006B48D3">
        <w:trPr>
          <w:trHeight w:val="450"/>
        </w:trPr>
        <w:tc>
          <w:tcPr>
            <w:tcW w:w="407" w:type="dxa"/>
            <w:tcBorders>
              <w:top w:val="nil"/>
              <w:left w:val="single" w:sz="4" w:space="0" w:color="auto"/>
              <w:bottom w:val="single" w:sz="4" w:space="0" w:color="auto"/>
              <w:right w:val="single" w:sz="4" w:space="0" w:color="auto"/>
            </w:tcBorders>
            <w:shd w:val="clear" w:color="000000" w:fill="F2F2F2"/>
            <w:noWrap/>
            <w:vAlign w:val="center"/>
            <w:hideMark/>
          </w:tcPr>
          <w:p w14:paraId="047D5BFD" w14:textId="77777777" w:rsidR="00B07312" w:rsidRPr="006B48D3" w:rsidRDefault="00B07312" w:rsidP="00D22441">
            <w:pPr>
              <w:jc w:val="center"/>
              <w:rPr>
                <w:rFonts w:ascii="Arial Narrow" w:hAnsi="Arial Narrow" w:cs="Arial"/>
                <w:spacing w:val="0"/>
                <w:sz w:val="16"/>
                <w:szCs w:val="16"/>
                <w:lang w:eastAsia="es-CO"/>
              </w:rPr>
            </w:pPr>
            <w:r w:rsidRPr="006B48D3">
              <w:rPr>
                <w:rFonts w:ascii="Arial Narrow" w:hAnsi="Arial Narrow" w:cs="Arial"/>
                <w:spacing w:val="0"/>
                <w:sz w:val="16"/>
                <w:szCs w:val="16"/>
                <w:lang w:eastAsia="es-CO"/>
              </w:rPr>
              <w:t>92</w:t>
            </w:r>
          </w:p>
        </w:tc>
        <w:tc>
          <w:tcPr>
            <w:tcW w:w="585" w:type="dxa"/>
            <w:tcBorders>
              <w:top w:val="nil"/>
              <w:left w:val="nil"/>
              <w:bottom w:val="single" w:sz="4" w:space="0" w:color="auto"/>
              <w:right w:val="single" w:sz="4" w:space="0" w:color="auto"/>
            </w:tcBorders>
            <w:shd w:val="clear" w:color="000000" w:fill="F2F2F2"/>
            <w:noWrap/>
            <w:vAlign w:val="center"/>
            <w:hideMark/>
          </w:tcPr>
          <w:p w14:paraId="583EAD35"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28391</w:t>
            </w:r>
          </w:p>
        </w:tc>
        <w:tc>
          <w:tcPr>
            <w:tcW w:w="941" w:type="dxa"/>
            <w:tcBorders>
              <w:top w:val="nil"/>
              <w:left w:val="nil"/>
              <w:bottom w:val="single" w:sz="4" w:space="0" w:color="auto"/>
              <w:right w:val="single" w:sz="4" w:space="0" w:color="auto"/>
            </w:tcBorders>
            <w:shd w:val="clear" w:color="000000" w:fill="F2F2F2"/>
            <w:noWrap/>
            <w:vAlign w:val="center"/>
            <w:hideMark/>
          </w:tcPr>
          <w:p w14:paraId="7787C236"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900495129</w:t>
            </w:r>
          </w:p>
        </w:tc>
        <w:tc>
          <w:tcPr>
            <w:tcW w:w="3247" w:type="dxa"/>
            <w:tcBorders>
              <w:top w:val="nil"/>
              <w:left w:val="nil"/>
              <w:bottom w:val="single" w:sz="4" w:space="0" w:color="auto"/>
              <w:right w:val="single" w:sz="4" w:space="0" w:color="auto"/>
            </w:tcBorders>
            <w:shd w:val="clear" w:color="000000" w:fill="F2F2F2"/>
            <w:vAlign w:val="center"/>
            <w:hideMark/>
          </w:tcPr>
          <w:p w14:paraId="2E328A67" w14:textId="77777777" w:rsidR="00B07312" w:rsidRPr="006B48D3" w:rsidRDefault="00B07312" w:rsidP="00D22441">
            <w:pPr>
              <w:jc w:val="left"/>
              <w:rPr>
                <w:rFonts w:ascii="Arial Narrow" w:hAnsi="Arial Narrow" w:cs="Arial"/>
                <w:spacing w:val="0"/>
                <w:sz w:val="16"/>
                <w:szCs w:val="16"/>
                <w:lang w:eastAsia="es-CO"/>
              </w:rPr>
            </w:pPr>
            <w:r w:rsidRPr="006B48D3">
              <w:rPr>
                <w:rFonts w:ascii="Arial Narrow" w:hAnsi="Arial Narrow" w:cs="Arial"/>
                <w:spacing w:val="0"/>
                <w:sz w:val="16"/>
                <w:szCs w:val="16"/>
                <w:lang w:eastAsia="es-CO"/>
              </w:rPr>
              <w:t>PETROLEOS SUD AMERICANOS SUCURSAL COLOMBIA</w:t>
            </w:r>
          </w:p>
        </w:tc>
        <w:tc>
          <w:tcPr>
            <w:tcW w:w="1620" w:type="dxa"/>
            <w:tcBorders>
              <w:top w:val="nil"/>
              <w:left w:val="nil"/>
              <w:bottom w:val="single" w:sz="4" w:space="0" w:color="auto"/>
              <w:right w:val="single" w:sz="4" w:space="0" w:color="auto"/>
            </w:tcBorders>
            <w:shd w:val="clear" w:color="000000" w:fill="F2F2F2"/>
            <w:noWrap/>
            <w:vAlign w:val="center"/>
            <w:hideMark/>
          </w:tcPr>
          <w:p w14:paraId="63F463C3"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$ 2.545.049.000</w:t>
            </w:r>
          </w:p>
        </w:tc>
        <w:tc>
          <w:tcPr>
            <w:tcW w:w="1520" w:type="dxa"/>
            <w:tcBorders>
              <w:top w:val="nil"/>
              <w:left w:val="nil"/>
              <w:bottom w:val="single" w:sz="4" w:space="0" w:color="auto"/>
              <w:right w:val="single" w:sz="4" w:space="0" w:color="auto"/>
            </w:tcBorders>
            <w:shd w:val="clear" w:color="000000" w:fill="F2F2F2"/>
            <w:noWrap/>
            <w:vAlign w:val="center"/>
            <w:hideMark/>
          </w:tcPr>
          <w:p w14:paraId="31A42195"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$ 0</w:t>
            </w:r>
          </w:p>
        </w:tc>
        <w:tc>
          <w:tcPr>
            <w:tcW w:w="1460" w:type="dxa"/>
            <w:tcBorders>
              <w:top w:val="nil"/>
              <w:left w:val="nil"/>
              <w:bottom w:val="single" w:sz="4" w:space="0" w:color="auto"/>
              <w:right w:val="single" w:sz="4" w:space="0" w:color="auto"/>
            </w:tcBorders>
            <w:shd w:val="clear" w:color="000000" w:fill="F2F2F2"/>
            <w:noWrap/>
            <w:vAlign w:val="center"/>
            <w:hideMark/>
          </w:tcPr>
          <w:p w14:paraId="00A920A2"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$ 2.545.049.000</w:t>
            </w:r>
          </w:p>
        </w:tc>
        <w:tc>
          <w:tcPr>
            <w:tcW w:w="1280" w:type="dxa"/>
            <w:tcBorders>
              <w:top w:val="nil"/>
              <w:left w:val="nil"/>
              <w:bottom w:val="single" w:sz="4" w:space="0" w:color="auto"/>
              <w:right w:val="single" w:sz="4" w:space="0" w:color="auto"/>
            </w:tcBorders>
            <w:shd w:val="clear" w:color="000000" w:fill="F2F2F2"/>
            <w:noWrap/>
            <w:vAlign w:val="center"/>
            <w:hideMark/>
          </w:tcPr>
          <w:p w14:paraId="73558F9C"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$ 25.450.490</w:t>
            </w:r>
          </w:p>
        </w:tc>
        <w:tc>
          <w:tcPr>
            <w:tcW w:w="1200" w:type="dxa"/>
            <w:tcBorders>
              <w:top w:val="nil"/>
              <w:left w:val="nil"/>
              <w:bottom w:val="single" w:sz="4" w:space="0" w:color="auto"/>
              <w:right w:val="single" w:sz="4" w:space="0" w:color="auto"/>
            </w:tcBorders>
            <w:shd w:val="clear" w:color="000000" w:fill="F2F2F2"/>
            <w:noWrap/>
            <w:vAlign w:val="center"/>
            <w:hideMark/>
          </w:tcPr>
          <w:p w14:paraId="34734CAF"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$ 1.059</w:t>
            </w:r>
          </w:p>
        </w:tc>
        <w:tc>
          <w:tcPr>
            <w:tcW w:w="1280" w:type="dxa"/>
            <w:tcBorders>
              <w:top w:val="nil"/>
              <w:left w:val="nil"/>
              <w:bottom w:val="single" w:sz="4" w:space="0" w:color="auto"/>
              <w:right w:val="single" w:sz="4" w:space="0" w:color="auto"/>
            </w:tcBorders>
            <w:shd w:val="clear" w:color="000000" w:fill="F2F2F2"/>
            <w:noWrap/>
            <w:vAlign w:val="center"/>
            <w:hideMark/>
          </w:tcPr>
          <w:p w14:paraId="4651A213"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$ 25.451.549</w:t>
            </w:r>
          </w:p>
        </w:tc>
      </w:tr>
      <w:tr w:rsidR="00B07312" w:rsidRPr="006B48D3" w14:paraId="39F82A41" w14:textId="77777777" w:rsidTr="00D16BC5">
        <w:trPr>
          <w:trHeight w:val="259"/>
        </w:trPr>
        <w:tc>
          <w:tcPr>
            <w:tcW w:w="407" w:type="dxa"/>
            <w:tcBorders>
              <w:top w:val="nil"/>
              <w:left w:val="single" w:sz="4" w:space="0" w:color="auto"/>
              <w:bottom w:val="single" w:sz="4" w:space="0" w:color="auto"/>
              <w:right w:val="single" w:sz="4" w:space="0" w:color="auto"/>
            </w:tcBorders>
            <w:shd w:val="clear" w:color="000000" w:fill="F2F2F2"/>
            <w:noWrap/>
            <w:vAlign w:val="center"/>
            <w:hideMark/>
          </w:tcPr>
          <w:p w14:paraId="1F98E891" w14:textId="77777777" w:rsidR="00B07312" w:rsidRPr="006B48D3" w:rsidRDefault="00B07312" w:rsidP="00D22441">
            <w:pPr>
              <w:jc w:val="center"/>
              <w:rPr>
                <w:rFonts w:ascii="Arial Narrow" w:hAnsi="Arial Narrow" w:cs="Arial"/>
                <w:spacing w:val="0"/>
                <w:sz w:val="16"/>
                <w:szCs w:val="16"/>
                <w:lang w:eastAsia="es-CO"/>
              </w:rPr>
            </w:pPr>
            <w:r w:rsidRPr="006B48D3">
              <w:rPr>
                <w:rFonts w:ascii="Arial Narrow" w:hAnsi="Arial Narrow" w:cs="Arial"/>
                <w:spacing w:val="0"/>
                <w:sz w:val="16"/>
                <w:szCs w:val="16"/>
                <w:lang w:eastAsia="es-CO"/>
              </w:rPr>
              <w:t>93</w:t>
            </w:r>
          </w:p>
        </w:tc>
        <w:tc>
          <w:tcPr>
            <w:tcW w:w="585" w:type="dxa"/>
            <w:tcBorders>
              <w:top w:val="nil"/>
              <w:left w:val="nil"/>
              <w:bottom w:val="single" w:sz="4" w:space="0" w:color="auto"/>
              <w:right w:val="single" w:sz="4" w:space="0" w:color="auto"/>
            </w:tcBorders>
            <w:shd w:val="clear" w:color="000000" w:fill="F2F2F2"/>
            <w:noWrap/>
            <w:vAlign w:val="center"/>
            <w:hideMark/>
          </w:tcPr>
          <w:p w14:paraId="481EB494"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26096</w:t>
            </w:r>
          </w:p>
        </w:tc>
        <w:tc>
          <w:tcPr>
            <w:tcW w:w="941" w:type="dxa"/>
            <w:tcBorders>
              <w:top w:val="nil"/>
              <w:left w:val="nil"/>
              <w:bottom w:val="single" w:sz="4" w:space="0" w:color="auto"/>
              <w:right w:val="single" w:sz="4" w:space="0" w:color="auto"/>
            </w:tcBorders>
            <w:shd w:val="clear" w:color="000000" w:fill="F2F2F2"/>
            <w:noWrap/>
            <w:vAlign w:val="center"/>
            <w:hideMark/>
          </w:tcPr>
          <w:p w14:paraId="5D026A8E"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900522263</w:t>
            </w:r>
          </w:p>
        </w:tc>
        <w:tc>
          <w:tcPr>
            <w:tcW w:w="3247" w:type="dxa"/>
            <w:tcBorders>
              <w:top w:val="nil"/>
              <w:left w:val="nil"/>
              <w:bottom w:val="single" w:sz="4" w:space="0" w:color="auto"/>
              <w:right w:val="single" w:sz="4" w:space="0" w:color="auto"/>
            </w:tcBorders>
            <w:shd w:val="clear" w:color="000000" w:fill="F2F2F2"/>
            <w:vAlign w:val="center"/>
            <w:hideMark/>
          </w:tcPr>
          <w:p w14:paraId="40BEACCB" w14:textId="77777777" w:rsidR="00B07312" w:rsidRPr="006B48D3" w:rsidRDefault="00B07312" w:rsidP="00D22441">
            <w:pPr>
              <w:jc w:val="left"/>
              <w:rPr>
                <w:rFonts w:ascii="Arial Narrow" w:hAnsi="Arial Narrow" w:cs="Arial"/>
                <w:spacing w:val="0"/>
                <w:sz w:val="16"/>
                <w:szCs w:val="16"/>
                <w:lang w:eastAsia="es-CO"/>
              </w:rPr>
            </w:pPr>
            <w:r w:rsidRPr="006B48D3">
              <w:rPr>
                <w:rFonts w:ascii="Arial Narrow" w:hAnsi="Arial Narrow" w:cs="Arial"/>
                <w:spacing w:val="0"/>
                <w:sz w:val="16"/>
                <w:szCs w:val="16"/>
                <w:lang w:eastAsia="es-CO"/>
              </w:rPr>
              <w:t>YAVEGAS S.A. E.S.P.</w:t>
            </w:r>
          </w:p>
        </w:tc>
        <w:tc>
          <w:tcPr>
            <w:tcW w:w="1620" w:type="dxa"/>
            <w:tcBorders>
              <w:top w:val="nil"/>
              <w:left w:val="nil"/>
              <w:bottom w:val="single" w:sz="4" w:space="0" w:color="auto"/>
              <w:right w:val="single" w:sz="4" w:space="0" w:color="auto"/>
            </w:tcBorders>
            <w:shd w:val="clear" w:color="000000" w:fill="F2F2F2"/>
            <w:noWrap/>
            <w:vAlign w:val="center"/>
            <w:hideMark/>
          </w:tcPr>
          <w:p w14:paraId="6DF7AE1A"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$ 1.017.099.000</w:t>
            </w:r>
          </w:p>
        </w:tc>
        <w:tc>
          <w:tcPr>
            <w:tcW w:w="1520" w:type="dxa"/>
            <w:tcBorders>
              <w:top w:val="nil"/>
              <w:left w:val="nil"/>
              <w:bottom w:val="single" w:sz="4" w:space="0" w:color="auto"/>
              <w:right w:val="single" w:sz="4" w:space="0" w:color="auto"/>
            </w:tcBorders>
            <w:shd w:val="clear" w:color="000000" w:fill="F2F2F2"/>
            <w:noWrap/>
            <w:vAlign w:val="center"/>
            <w:hideMark/>
          </w:tcPr>
          <w:p w14:paraId="51DF0ACA"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$ 78.602.270</w:t>
            </w:r>
          </w:p>
        </w:tc>
        <w:tc>
          <w:tcPr>
            <w:tcW w:w="1460" w:type="dxa"/>
            <w:tcBorders>
              <w:top w:val="nil"/>
              <w:left w:val="nil"/>
              <w:bottom w:val="single" w:sz="4" w:space="0" w:color="auto"/>
              <w:right w:val="single" w:sz="4" w:space="0" w:color="auto"/>
            </w:tcBorders>
            <w:shd w:val="clear" w:color="000000" w:fill="F2F2F2"/>
            <w:noWrap/>
            <w:vAlign w:val="center"/>
            <w:hideMark/>
          </w:tcPr>
          <w:p w14:paraId="74ADBE39"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$ 1.095.701.270</w:t>
            </w:r>
          </w:p>
        </w:tc>
        <w:tc>
          <w:tcPr>
            <w:tcW w:w="1280" w:type="dxa"/>
            <w:tcBorders>
              <w:top w:val="nil"/>
              <w:left w:val="nil"/>
              <w:bottom w:val="single" w:sz="4" w:space="0" w:color="auto"/>
              <w:right w:val="single" w:sz="4" w:space="0" w:color="auto"/>
            </w:tcBorders>
            <w:shd w:val="clear" w:color="000000" w:fill="F2F2F2"/>
            <w:noWrap/>
            <w:vAlign w:val="center"/>
            <w:hideMark/>
          </w:tcPr>
          <w:p w14:paraId="48677E8D"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$ 10.957.013</w:t>
            </w:r>
          </w:p>
        </w:tc>
        <w:tc>
          <w:tcPr>
            <w:tcW w:w="1200" w:type="dxa"/>
            <w:tcBorders>
              <w:top w:val="nil"/>
              <w:left w:val="nil"/>
              <w:bottom w:val="single" w:sz="4" w:space="0" w:color="auto"/>
              <w:right w:val="single" w:sz="4" w:space="0" w:color="auto"/>
            </w:tcBorders>
            <w:shd w:val="clear" w:color="000000" w:fill="F2F2F2"/>
            <w:noWrap/>
            <w:vAlign w:val="center"/>
            <w:hideMark/>
          </w:tcPr>
          <w:p w14:paraId="456ECC27"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$ 456</w:t>
            </w:r>
          </w:p>
        </w:tc>
        <w:tc>
          <w:tcPr>
            <w:tcW w:w="1280" w:type="dxa"/>
            <w:tcBorders>
              <w:top w:val="nil"/>
              <w:left w:val="nil"/>
              <w:bottom w:val="single" w:sz="4" w:space="0" w:color="auto"/>
              <w:right w:val="single" w:sz="4" w:space="0" w:color="auto"/>
            </w:tcBorders>
            <w:shd w:val="clear" w:color="000000" w:fill="F2F2F2"/>
            <w:noWrap/>
            <w:vAlign w:val="center"/>
            <w:hideMark/>
          </w:tcPr>
          <w:p w14:paraId="469AC158"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$ 10.957.469</w:t>
            </w:r>
          </w:p>
        </w:tc>
      </w:tr>
      <w:tr w:rsidR="00B07312" w:rsidRPr="006B48D3" w14:paraId="4AE95219" w14:textId="77777777" w:rsidTr="006B48D3">
        <w:trPr>
          <w:trHeight w:val="416"/>
        </w:trPr>
        <w:tc>
          <w:tcPr>
            <w:tcW w:w="407" w:type="dxa"/>
            <w:tcBorders>
              <w:top w:val="nil"/>
              <w:left w:val="single" w:sz="4" w:space="0" w:color="auto"/>
              <w:bottom w:val="single" w:sz="4" w:space="0" w:color="auto"/>
              <w:right w:val="single" w:sz="4" w:space="0" w:color="auto"/>
            </w:tcBorders>
            <w:shd w:val="clear" w:color="000000" w:fill="F2F2F2"/>
            <w:noWrap/>
            <w:vAlign w:val="center"/>
            <w:hideMark/>
          </w:tcPr>
          <w:p w14:paraId="0079DEED" w14:textId="77777777" w:rsidR="00B07312" w:rsidRPr="006B48D3" w:rsidRDefault="00B07312" w:rsidP="00D22441">
            <w:pPr>
              <w:jc w:val="center"/>
              <w:rPr>
                <w:rFonts w:ascii="Arial Narrow" w:hAnsi="Arial Narrow" w:cs="Arial"/>
                <w:spacing w:val="0"/>
                <w:sz w:val="16"/>
                <w:szCs w:val="16"/>
                <w:lang w:eastAsia="es-CO"/>
              </w:rPr>
            </w:pPr>
            <w:r w:rsidRPr="006B48D3">
              <w:rPr>
                <w:rFonts w:ascii="Arial Narrow" w:hAnsi="Arial Narrow" w:cs="Arial"/>
                <w:spacing w:val="0"/>
                <w:sz w:val="16"/>
                <w:szCs w:val="16"/>
                <w:lang w:eastAsia="es-CO"/>
              </w:rPr>
              <w:t>94</w:t>
            </w:r>
          </w:p>
        </w:tc>
        <w:tc>
          <w:tcPr>
            <w:tcW w:w="585" w:type="dxa"/>
            <w:tcBorders>
              <w:top w:val="nil"/>
              <w:left w:val="nil"/>
              <w:bottom w:val="single" w:sz="4" w:space="0" w:color="auto"/>
              <w:right w:val="single" w:sz="4" w:space="0" w:color="auto"/>
            </w:tcBorders>
            <w:shd w:val="clear" w:color="000000" w:fill="F2F2F2"/>
            <w:noWrap/>
            <w:vAlign w:val="center"/>
            <w:hideMark/>
          </w:tcPr>
          <w:p w14:paraId="5E69DF5F"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26600</w:t>
            </w:r>
          </w:p>
        </w:tc>
        <w:tc>
          <w:tcPr>
            <w:tcW w:w="941" w:type="dxa"/>
            <w:tcBorders>
              <w:top w:val="nil"/>
              <w:left w:val="nil"/>
              <w:bottom w:val="single" w:sz="4" w:space="0" w:color="auto"/>
              <w:right w:val="single" w:sz="4" w:space="0" w:color="auto"/>
            </w:tcBorders>
            <w:shd w:val="clear" w:color="000000" w:fill="F2F2F2"/>
            <w:noWrap/>
            <w:vAlign w:val="center"/>
            <w:hideMark/>
          </w:tcPr>
          <w:p w14:paraId="1EAB1EF9"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900531210</w:t>
            </w:r>
          </w:p>
        </w:tc>
        <w:tc>
          <w:tcPr>
            <w:tcW w:w="3247" w:type="dxa"/>
            <w:tcBorders>
              <w:top w:val="nil"/>
              <w:left w:val="nil"/>
              <w:bottom w:val="single" w:sz="4" w:space="0" w:color="auto"/>
              <w:right w:val="single" w:sz="4" w:space="0" w:color="auto"/>
            </w:tcBorders>
            <w:shd w:val="clear" w:color="000000" w:fill="F2F2F2"/>
            <w:vAlign w:val="center"/>
            <w:hideMark/>
          </w:tcPr>
          <w:p w14:paraId="25D00522" w14:textId="77777777" w:rsidR="00B07312" w:rsidRPr="006B48D3" w:rsidRDefault="00B07312" w:rsidP="00D22441">
            <w:pPr>
              <w:jc w:val="left"/>
              <w:rPr>
                <w:rFonts w:ascii="Arial Narrow" w:hAnsi="Arial Narrow" w:cs="Arial"/>
                <w:spacing w:val="0"/>
                <w:sz w:val="16"/>
                <w:szCs w:val="16"/>
                <w:lang w:eastAsia="es-CO"/>
              </w:rPr>
            </w:pPr>
            <w:r w:rsidRPr="006B48D3">
              <w:rPr>
                <w:rFonts w:ascii="Arial Narrow" w:hAnsi="Arial Narrow" w:cs="Arial"/>
                <w:spacing w:val="0"/>
                <w:sz w:val="16"/>
                <w:szCs w:val="16"/>
                <w:lang w:eastAsia="es-CO"/>
              </w:rPr>
              <w:t>CENIT TRANSPORTE Y LOGISTICA DE HIDROCARBUROS S.A.S</w:t>
            </w:r>
          </w:p>
        </w:tc>
        <w:tc>
          <w:tcPr>
            <w:tcW w:w="1620" w:type="dxa"/>
            <w:tcBorders>
              <w:top w:val="nil"/>
              <w:left w:val="nil"/>
              <w:bottom w:val="single" w:sz="4" w:space="0" w:color="auto"/>
              <w:right w:val="single" w:sz="4" w:space="0" w:color="auto"/>
            </w:tcBorders>
            <w:shd w:val="clear" w:color="000000" w:fill="F2F2F2"/>
            <w:noWrap/>
            <w:vAlign w:val="center"/>
            <w:hideMark/>
          </w:tcPr>
          <w:p w14:paraId="3861B88D"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$ 2.557.861.000</w:t>
            </w:r>
          </w:p>
        </w:tc>
        <w:tc>
          <w:tcPr>
            <w:tcW w:w="1520" w:type="dxa"/>
            <w:tcBorders>
              <w:top w:val="nil"/>
              <w:left w:val="nil"/>
              <w:bottom w:val="single" w:sz="4" w:space="0" w:color="auto"/>
              <w:right w:val="single" w:sz="4" w:space="0" w:color="auto"/>
            </w:tcBorders>
            <w:shd w:val="clear" w:color="000000" w:fill="F2F2F2"/>
            <w:noWrap/>
            <w:vAlign w:val="center"/>
            <w:hideMark/>
          </w:tcPr>
          <w:p w14:paraId="17F1D2D7"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$ 0</w:t>
            </w:r>
          </w:p>
        </w:tc>
        <w:tc>
          <w:tcPr>
            <w:tcW w:w="1460" w:type="dxa"/>
            <w:tcBorders>
              <w:top w:val="nil"/>
              <w:left w:val="nil"/>
              <w:bottom w:val="single" w:sz="4" w:space="0" w:color="auto"/>
              <w:right w:val="single" w:sz="4" w:space="0" w:color="auto"/>
            </w:tcBorders>
            <w:shd w:val="clear" w:color="000000" w:fill="F2F2F2"/>
            <w:noWrap/>
            <w:vAlign w:val="center"/>
            <w:hideMark/>
          </w:tcPr>
          <w:p w14:paraId="33323EE0"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$ 2.557.861.000</w:t>
            </w:r>
          </w:p>
        </w:tc>
        <w:tc>
          <w:tcPr>
            <w:tcW w:w="1280" w:type="dxa"/>
            <w:tcBorders>
              <w:top w:val="nil"/>
              <w:left w:val="nil"/>
              <w:bottom w:val="single" w:sz="4" w:space="0" w:color="auto"/>
              <w:right w:val="single" w:sz="4" w:space="0" w:color="auto"/>
            </w:tcBorders>
            <w:shd w:val="clear" w:color="000000" w:fill="F2F2F2"/>
            <w:noWrap/>
            <w:vAlign w:val="center"/>
            <w:hideMark/>
          </w:tcPr>
          <w:p w14:paraId="29A2D6C4"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$ 25.578.610</w:t>
            </w:r>
          </w:p>
        </w:tc>
        <w:tc>
          <w:tcPr>
            <w:tcW w:w="1200" w:type="dxa"/>
            <w:tcBorders>
              <w:top w:val="nil"/>
              <w:left w:val="nil"/>
              <w:bottom w:val="single" w:sz="4" w:space="0" w:color="auto"/>
              <w:right w:val="single" w:sz="4" w:space="0" w:color="auto"/>
            </w:tcBorders>
            <w:shd w:val="clear" w:color="000000" w:fill="F2F2F2"/>
            <w:noWrap/>
            <w:vAlign w:val="center"/>
            <w:hideMark/>
          </w:tcPr>
          <w:p w14:paraId="6715EA4D"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$ 1.064</w:t>
            </w:r>
          </w:p>
        </w:tc>
        <w:tc>
          <w:tcPr>
            <w:tcW w:w="1280" w:type="dxa"/>
            <w:tcBorders>
              <w:top w:val="nil"/>
              <w:left w:val="nil"/>
              <w:bottom w:val="single" w:sz="4" w:space="0" w:color="auto"/>
              <w:right w:val="single" w:sz="4" w:space="0" w:color="auto"/>
            </w:tcBorders>
            <w:shd w:val="clear" w:color="000000" w:fill="F2F2F2"/>
            <w:noWrap/>
            <w:vAlign w:val="center"/>
            <w:hideMark/>
          </w:tcPr>
          <w:p w14:paraId="4ECA88A7"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$ 25.579.674</w:t>
            </w:r>
          </w:p>
        </w:tc>
      </w:tr>
      <w:tr w:rsidR="00B07312" w:rsidRPr="006B48D3" w14:paraId="1B9C7CD3" w14:textId="77777777" w:rsidTr="00D16BC5">
        <w:trPr>
          <w:trHeight w:val="255"/>
        </w:trPr>
        <w:tc>
          <w:tcPr>
            <w:tcW w:w="407" w:type="dxa"/>
            <w:tcBorders>
              <w:top w:val="nil"/>
              <w:left w:val="single" w:sz="4" w:space="0" w:color="auto"/>
              <w:bottom w:val="single" w:sz="4" w:space="0" w:color="auto"/>
              <w:right w:val="single" w:sz="4" w:space="0" w:color="auto"/>
            </w:tcBorders>
            <w:shd w:val="clear" w:color="000000" w:fill="F2F2F2"/>
            <w:noWrap/>
            <w:vAlign w:val="center"/>
            <w:hideMark/>
          </w:tcPr>
          <w:p w14:paraId="73FF6458" w14:textId="77777777" w:rsidR="00B07312" w:rsidRPr="006B48D3" w:rsidRDefault="00B07312" w:rsidP="00D22441">
            <w:pPr>
              <w:jc w:val="center"/>
              <w:rPr>
                <w:rFonts w:ascii="Arial Narrow" w:hAnsi="Arial Narrow" w:cs="Arial"/>
                <w:spacing w:val="0"/>
                <w:sz w:val="16"/>
                <w:szCs w:val="16"/>
                <w:lang w:eastAsia="es-CO"/>
              </w:rPr>
            </w:pPr>
            <w:r w:rsidRPr="006B48D3">
              <w:rPr>
                <w:rFonts w:ascii="Arial Narrow" w:hAnsi="Arial Narrow" w:cs="Arial"/>
                <w:spacing w:val="0"/>
                <w:sz w:val="16"/>
                <w:szCs w:val="16"/>
                <w:lang w:eastAsia="es-CO"/>
              </w:rPr>
              <w:t>95</w:t>
            </w:r>
          </w:p>
        </w:tc>
        <w:tc>
          <w:tcPr>
            <w:tcW w:w="585" w:type="dxa"/>
            <w:tcBorders>
              <w:top w:val="nil"/>
              <w:left w:val="nil"/>
              <w:bottom w:val="single" w:sz="4" w:space="0" w:color="auto"/>
              <w:right w:val="single" w:sz="4" w:space="0" w:color="auto"/>
            </w:tcBorders>
            <w:shd w:val="clear" w:color="000000" w:fill="F2F2F2"/>
            <w:noWrap/>
            <w:vAlign w:val="center"/>
            <w:hideMark/>
          </w:tcPr>
          <w:p w14:paraId="27B966F3"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26745</w:t>
            </w:r>
          </w:p>
        </w:tc>
        <w:tc>
          <w:tcPr>
            <w:tcW w:w="941" w:type="dxa"/>
            <w:tcBorders>
              <w:top w:val="nil"/>
              <w:left w:val="nil"/>
              <w:bottom w:val="single" w:sz="4" w:space="0" w:color="auto"/>
              <w:right w:val="single" w:sz="4" w:space="0" w:color="auto"/>
            </w:tcBorders>
            <w:shd w:val="clear" w:color="000000" w:fill="F2F2F2"/>
            <w:noWrap/>
            <w:vAlign w:val="center"/>
            <w:hideMark/>
          </w:tcPr>
          <w:p w14:paraId="0EAF502C"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900542835</w:t>
            </w:r>
          </w:p>
        </w:tc>
        <w:tc>
          <w:tcPr>
            <w:tcW w:w="3247" w:type="dxa"/>
            <w:tcBorders>
              <w:top w:val="nil"/>
              <w:left w:val="nil"/>
              <w:bottom w:val="single" w:sz="4" w:space="0" w:color="auto"/>
              <w:right w:val="single" w:sz="4" w:space="0" w:color="auto"/>
            </w:tcBorders>
            <w:shd w:val="clear" w:color="000000" w:fill="F2F2F2"/>
            <w:vAlign w:val="center"/>
            <w:hideMark/>
          </w:tcPr>
          <w:p w14:paraId="76A35DEE" w14:textId="77777777" w:rsidR="00B07312" w:rsidRPr="006B48D3" w:rsidRDefault="00B07312" w:rsidP="00D22441">
            <w:pPr>
              <w:jc w:val="left"/>
              <w:rPr>
                <w:rFonts w:ascii="Arial Narrow" w:hAnsi="Arial Narrow" w:cs="Arial"/>
                <w:spacing w:val="0"/>
                <w:sz w:val="16"/>
                <w:szCs w:val="16"/>
                <w:lang w:eastAsia="es-CO"/>
              </w:rPr>
            </w:pPr>
            <w:r w:rsidRPr="006B48D3">
              <w:rPr>
                <w:rFonts w:ascii="Arial Narrow" w:hAnsi="Arial Narrow" w:cs="Arial"/>
                <w:spacing w:val="0"/>
                <w:sz w:val="16"/>
                <w:szCs w:val="16"/>
                <w:lang w:eastAsia="es-CO"/>
              </w:rPr>
              <w:t>G8 PROYECTOS ENERGETICOS SAS ESP</w:t>
            </w:r>
          </w:p>
        </w:tc>
        <w:tc>
          <w:tcPr>
            <w:tcW w:w="1620" w:type="dxa"/>
            <w:tcBorders>
              <w:top w:val="nil"/>
              <w:left w:val="nil"/>
              <w:bottom w:val="single" w:sz="4" w:space="0" w:color="auto"/>
              <w:right w:val="single" w:sz="4" w:space="0" w:color="auto"/>
            </w:tcBorders>
            <w:shd w:val="clear" w:color="000000" w:fill="F2F2F2"/>
            <w:noWrap/>
            <w:vAlign w:val="center"/>
            <w:hideMark/>
          </w:tcPr>
          <w:p w14:paraId="74576B45"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$ 566.446.000</w:t>
            </w:r>
          </w:p>
        </w:tc>
        <w:tc>
          <w:tcPr>
            <w:tcW w:w="1520" w:type="dxa"/>
            <w:tcBorders>
              <w:top w:val="nil"/>
              <w:left w:val="nil"/>
              <w:bottom w:val="single" w:sz="4" w:space="0" w:color="auto"/>
              <w:right w:val="single" w:sz="4" w:space="0" w:color="auto"/>
            </w:tcBorders>
            <w:shd w:val="clear" w:color="000000" w:fill="F2F2F2"/>
            <w:noWrap/>
            <w:vAlign w:val="center"/>
            <w:hideMark/>
          </w:tcPr>
          <w:p w14:paraId="58BB20FD"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$ 23.786.663</w:t>
            </w:r>
          </w:p>
        </w:tc>
        <w:tc>
          <w:tcPr>
            <w:tcW w:w="1460" w:type="dxa"/>
            <w:tcBorders>
              <w:top w:val="nil"/>
              <w:left w:val="nil"/>
              <w:bottom w:val="single" w:sz="4" w:space="0" w:color="auto"/>
              <w:right w:val="single" w:sz="4" w:space="0" w:color="auto"/>
            </w:tcBorders>
            <w:shd w:val="clear" w:color="000000" w:fill="F2F2F2"/>
            <w:noWrap/>
            <w:vAlign w:val="center"/>
            <w:hideMark/>
          </w:tcPr>
          <w:p w14:paraId="1DED6B8B"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$ 590.232.663</w:t>
            </w:r>
          </w:p>
        </w:tc>
        <w:tc>
          <w:tcPr>
            <w:tcW w:w="1280" w:type="dxa"/>
            <w:tcBorders>
              <w:top w:val="nil"/>
              <w:left w:val="nil"/>
              <w:bottom w:val="single" w:sz="4" w:space="0" w:color="auto"/>
              <w:right w:val="single" w:sz="4" w:space="0" w:color="auto"/>
            </w:tcBorders>
            <w:shd w:val="clear" w:color="000000" w:fill="F2F2F2"/>
            <w:noWrap/>
            <w:vAlign w:val="center"/>
            <w:hideMark/>
          </w:tcPr>
          <w:p w14:paraId="384380F9"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$ 5.902.327</w:t>
            </w:r>
          </w:p>
        </w:tc>
        <w:tc>
          <w:tcPr>
            <w:tcW w:w="1200" w:type="dxa"/>
            <w:tcBorders>
              <w:top w:val="nil"/>
              <w:left w:val="nil"/>
              <w:bottom w:val="single" w:sz="4" w:space="0" w:color="auto"/>
              <w:right w:val="single" w:sz="4" w:space="0" w:color="auto"/>
            </w:tcBorders>
            <w:shd w:val="clear" w:color="000000" w:fill="F2F2F2"/>
            <w:noWrap/>
            <w:vAlign w:val="center"/>
            <w:hideMark/>
          </w:tcPr>
          <w:p w14:paraId="10B7A342"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$ 246</w:t>
            </w:r>
          </w:p>
        </w:tc>
        <w:tc>
          <w:tcPr>
            <w:tcW w:w="1280" w:type="dxa"/>
            <w:tcBorders>
              <w:top w:val="nil"/>
              <w:left w:val="nil"/>
              <w:bottom w:val="single" w:sz="4" w:space="0" w:color="auto"/>
              <w:right w:val="single" w:sz="4" w:space="0" w:color="auto"/>
            </w:tcBorders>
            <w:shd w:val="clear" w:color="000000" w:fill="F2F2F2"/>
            <w:noWrap/>
            <w:vAlign w:val="center"/>
            <w:hideMark/>
          </w:tcPr>
          <w:p w14:paraId="6FFEC36F"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$ 5.902.572</w:t>
            </w:r>
          </w:p>
        </w:tc>
      </w:tr>
      <w:tr w:rsidR="00B07312" w:rsidRPr="006B48D3" w14:paraId="39AB4BD4" w14:textId="77777777" w:rsidTr="006B48D3">
        <w:trPr>
          <w:trHeight w:val="397"/>
        </w:trPr>
        <w:tc>
          <w:tcPr>
            <w:tcW w:w="407" w:type="dxa"/>
            <w:tcBorders>
              <w:top w:val="nil"/>
              <w:left w:val="single" w:sz="4" w:space="0" w:color="auto"/>
              <w:bottom w:val="single" w:sz="4" w:space="0" w:color="auto"/>
              <w:right w:val="single" w:sz="4" w:space="0" w:color="auto"/>
            </w:tcBorders>
            <w:shd w:val="clear" w:color="000000" w:fill="F2F2F2"/>
            <w:noWrap/>
            <w:vAlign w:val="center"/>
            <w:hideMark/>
          </w:tcPr>
          <w:p w14:paraId="5D6D7C19" w14:textId="77777777" w:rsidR="00B07312" w:rsidRPr="006B48D3" w:rsidRDefault="00B07312" w:rsidP="00D22441">
            <w:pPr>
              <w:jc w:val="center"/>
              <w:rPr>
                <w:rFonts w:ascii="Arial Narrow" w:hAnsi="Arial Narrow" w:cs="Arial"/>
                <w:spacing w:val="0"/>
                <w:sz w:val="16"/>
                <w:szCs w:val="16"/>
                <w:lang w:eastAsia="es-CO"/>
              </w:rPr>
            </w:pPr>
            <w:r w:rsidRPr="006B48D3">
              <w:rPr>
                <w:rFonts w:ascii="Arial Narrow" w:hAnsi="Arial Narrow" w:cs="Arial"/>
                <w:spacing w:val="0"/>
                <w:sz w:val="16"/>
                <w:szCs w:val="16"/>
                <w:lang w:eastAsia="es-CO"/>
              </w:rPr>
              <w:t>96</w:t>
            </w:r>
          </w:p>
        </w:tc>
        <w:tc>
          <w:tcPr>
            <w:tcW w:w="585" w:type="dxa"/>
            <w:tcBorders>
              <w:top w:val="nil"/>
              <w:left w:val="nil"/>
              <w:bottom w:val="single" w:sz="4" w:space="0" w:color="auto"/>
              <w:right w:val="single" w:sz="4" w:space="0" w:color="auto"/>
            </w:tcBorders>
            <w:shd w:val="clear" w:color="000000" w:fill="F2F2F2"/>
            <w:noWrap/>
            <w:vAlign w:val="center"/>
            <w:hideMark/>
          </w:tcPr>
          <w:p w14:paraId="4C3EB5EE"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26178</w:t>
            </w:r>
          </w:p>
        </w:tc>
        <w:tc>
          <w:tcPr>
            <w:tcW w:w="941" w:type="dxa"/>
            <w:tcBorders>
              <w:top w:val="nil"/>
              <w:left w:val="nil"/>
              <w:bottom w:val="single" w:sz="4" w:space="0" w:color="auto"/>
              <w:right w:val="single" w:sz="4" w:space="0" w:color="auto"/>
            </w:tcBorders>
            <w:shd w:val="clear" w:color="000000" w:fill="F2F2F2"/>
            <w:noWrap/>
            <w:vAlign w:val="center"/>
            <w:hideMark/>
          </w:tcPr>
          <w:p w14:paraId="1CD6460D"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900555031</w:t>
            </w:r>
          </w:p>
        </w:tc>
        <w:tc>
          <w:tcPr>
            <w:tcW w:w="3247" w:type="dxa"/>
            <w:tcBorders>
              <w:top w:val="nil"/>
              <w:left w:val="nil"/>
              <w:bottom w:val="single" w:sz="4" w:space="0" w:color="auto"/>
              <w:right w:val="single" w:sz="4" w:space="0" w:color="auto"/>
            </w:tcBorders>
            <w:shd w:val="clear" w:color="000000" w:fill="F2F2F2"/>
            <w:vAlign w:val="center"/>
            <w:hideMark/>
          </w:tcPr>
          <w:p w14:paraId="634A2B59" w14:textId="77777777" w:rsidR="00B07312" w:rsidRPr="006B48D3" w:rsidRDefault="00B07312" w:rsidP="00D22441">
            <w:pPr>
              <w:jc w:val="left"/>
              <w:rPr>
                <w:rFonts w:ascii="Arial Narrow" w:hAnsi="Arial Narrow" w:cs="Arial"/>
                <w:spacing w:val="0"/>
                <w:sz w:val="16"/>
                <w:szCs w:val="16"/>
                <w:lang w:eastAsia="es-CO"/>
              </w:rPr>
            </w:pPr>
            <w:r w:rsidRPr="006B48D3">
              <w:rPr>
                <w:rFonts w:ascii="Arial Narrow" w:hAnsi="Arial Narrow" w:cs="Arial"/>
                <w:spacing w:val="0"/>
                <w:sz w:val="16"/>
                <w:szCs w:val="16"/>
                <w:lang w:eastAsia="es-CO"/>
              </w:rPr>
              <w:t>KRONOS ENERGY S.A. E.S.P.</w:t>
            </w:r>
          </w:p>
        </w:tc>
        <w:tc>
          <w:tcPr>
            <w:tcW w:w="1620" w:type="dxa"/>
            <w:tcBorders>
              <w:top w:val="nil"/>
              <w:left w:val="nil"/>
              <w:bottom w:val="single" w:sz="4" w:space="0" w:color="auto"/>
              <w:right w:val="single" w:sz="4" w:space="0" w:color="auto"/>
            </w:tcBorders>
            <w:shd w:val="clear" w:color="000000" w:fill="F2F2F2"/>
            <w:noWrap/>
            <w:vAlign w:val="center"/>
            <w:hideMark/>
          </w:tcPr>
          <w:p w14:paraId="2F6DF23D"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$ 3.451.722.000</w:t>
            </w:r>
          </w:p>
        </w:tc>
        <w:tc>
          <w:tcPr>
            <w:tcW w:w="1520" w:type="dxa"/>
            <w:tcBorders>
              <w:top w:val="nil"/>
              <w:left w:val="nil"/>
              <w:bottom w:val="single" w:sz="4" w:space="0" w:color="auto"/>
              <w:right w:val="single" w:sz="4" w:space="0" w:color="auto"/>
            </w:tcBorders>
            <w:shd w:val="clear" w:color="000000" w:fill="F2F2F2"/>
            <w:noWrap/>
            <w:vAlign w:val="center"/>
            <w:hideMark/>
          </w:tcPr>
          <w:p w14:paraId="27F2E022"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$ 92.230.754</w:t>
            </w:r>
          </w:p>
        </w:tc>
        <w:tc>
          <w:tcPr>
            <w:tcW w:w="1460" w:type="dxa"/>
            <w:tcBorders>
              <w:top w:val="nil"/>
              <w:left w:val="nil"/>
              <w:bottom w:val="single" w:sz="4" w:space="0" w:color="auto"/>
              <w:right w:val="single" w:sz="4" w:space="0" w:color="auto"/>
            </w:tcBorders>
            <w:shd w:val="clear" w:color="000000" w:fill="F2F2F2"/>
            <w:noWrap/>
            <w:vAlign w:val="center"/>
            <w:hideMark/>
          </w:tcPr>
          <w:p w14:paraId="2B8D4741"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$ 3.543.952.754</w:t>
            </w:r>
          </w:p>
        </w:tc>
        <w:tc>
          <w:tcPr>
            <w:tcW w:w="1280" w:type="dxa"/>
            <w:tcBorders>
              <w:top w:val="nil"/>
              <w:left w:val="nil"/>
              <w:bottom w:val="single" w:sz="4" w:space="0" w:color="auto"/>
              <w:right w:val="single" w:sz="4" w:space="0" w:color="auto"/>
            </w:tcBorders>
            <w:shd w:val="clear" w:color="000000" w:fill="F2F2F2"/>
            <w:noWrap/>
            <w:vAlign w:val="center"/>
            <w:hideMark/>
          </w:tcPr>
          <w:p w14:paraId="65F3465A"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$ 35.439.528</w:t>
            </w:r>
          </w:p>
        </w:tc>
        <w:tc>
          <w:tcPr>
            <w:tcW w:w="1200" w:type="dxa"/>
            <w:tcBorders>
              <w:top w:val="nil"/>
              <w:left w:val="nil"/>
              <w:bottom w:val="single" w:sz="4" w:space="0" w:color="auto"/>
              <w:right w:val="single" w:sz="4" w:space="0" w:color="auto"/>
            </w:tcBorders>
            <w:shd w:val="clear" w:color="000000" w:fill="F2F2F2"/>
            <w:noWrap/>
            <w:vAlign w:val="center"/>
            <w:hideMark/>
          </w:tcPr>
          <w:p w14:paraId="40DEDE4F"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$ 1.475</w:t>
            </w:r>
          </w:p>
        </w:tc>
        <w:tc>
          <w:tcPr>
            <w:tcW w:w="1280" w:type="dxa"/>
            <w:tcBorders>
              <w:top w:val="nil"/>
              <w:left w:val="nil"/>
              <w:bottom w:val="single" w:sz="4" w:space="0" w:color="auto"/>
              <w:right w:val="single" w:sz="4" w:space="0" w:color="auto"/>
            </w:tcBorders>
            <w:shd w:val="clear" w:color="000000" w:fill="F2F2F2"/>
            <w:noWrap/>
            <w:vAlign w:val="center"/>
            <w:hideMark/>
          </w:tcPr>
          <w:p w14:paraId="410360F4"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$ 35.441.002</w:t>
            </w:r>
          </w:p>
        </w:tc>
      </w:tr>
      <w:tr w:rsidR="00B07312" w:rsidRPr="006B48D3" w14:paraId="42933CB7" w14:textId="77777777" w:rsidTr="00D16BC5">
        <w:trPr>
          <w:trHeight w:val="307"/>
        </w:trPr>
        <w:tc>
          <w:tcPr>
            <w:tcW w:w="407" w:type="dxa"/>
            <w:tcBorders>
              <w:top w:val="nil"/>
              <w:left w:val="single" w:sz="4" w:space="0" w:color="auto"/>
              <w:bottom w:val="single" w:sz="4" w:space="0" w:color="auto"/>
              <w:right w:val="single" w:sz="4" w:space="0" w:color="auto"/>
            </w:tcBorders>
            <w:shd w:val="clear" w:color="000000" w:fill="F2F2F2"/>
            <w:noWrap/>
            <w:vAlign w:val="center"/>
            <w:hideMark/>
          </w:tcPr>
          <w:p w14:paraId="7B88E006" w14:textId="77777777" w:rsidR="00B07312" w:rsidRPr="006B48D3" w:rsidRDefault="00B07312" w:rsidP="00D22441">
            <w:pPr>
              <w:jc w:val="center"/>
              <w:rPr>
                <w:rFonts w:ascii="Arial Narrow" w:hAnsi="Arial Narrow" w:cs="Arial"/>
                <w:spacing w:val="0"/>
                <w:sz w:val="16"/>
                <w:szCs w:val="16"/>
                <w:lang w:eastAsia="es-CO"/>
              </w:rPr>
            </w:pPr>
            <w:r w:rsidRPr="006B48D3">
              <w:rPr>
                <w:rFonts w:ascii="Arial Narrow" w:hAnsi="Arial Narrow" w:cs="Arial"/>
                <w:spacing w:val="0"/>
                <w:sz w:val="16"/>
                <w:szCs w:val="16"/>
                <w:lang w:eastAsia="es-CO"/>
              </w:rPr>
              <w:t>97</w:t>
            </w:r>
          </w:p>
        </w:tc>
        <w:tc>
          <w:tcPr>
            <w:tcW w:w="585" w:type="dxa"/>
            <w:tcBorders>
              <w:top w:val="nil"/>
              <w:left w:val="nil"/>
              <w:bottom w:val="single" w:sz="4" w:space="0" w:color="auto"/>
              <w:right w:val="single" w:sz="4" w:space="0" w:color="auto"/>
            </w:tcBorders>
            <w:shd w:val="clear" w:color="000000" w:fill="F2F2F2"/>
            <w:noWrap/>
            <w:vAlign w:val="center"/>
            <w:hideMark/>
          </w:tcPr>
          <w:p w14:paraId="4D07487B"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26201</w:t>
            </w:r>
          </w:p>
        </w:tc>
        <w:tc>
          <w:tcPr>
            <w:tcW w:w="941" w:type="dxa"/>
            <w:tcBorders>
              <w:top w:val="nil"/>
              <w:left w:val="nil"/>
              <w:bottom w:val="single" w:sz="4" w:space="0" w:color="auto"/>
              <w:right w:val="single" w:sz="4" w:space="0" w:color="auto"/>
            </w:tcBorders>
            <w:shd w:val="clear" w:color="000000" w:fill="F2F2F2"/>
            <w:noWrap/>
            <w:vAlign w:val="center"/>
            <w:hideMark/>
          </w:tcPr>
          <w:p w14:paraId="2B746BBB"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900563448</w:t>
            </w:r>
          </w:p>
        </w:tc>
        <w:tc>
          <w:tcPr>
            <w:tcW w:w="3247" w:type="dxa"/>
            <w:tcBorders>
              <w:top w:val="nil"/>
              <w:left w:val="nil"/>
              <w:bottom w:val="single" w:sz="4" w:space="0" w:color="auto"/>
              <w:right w:val="single" w:sz="4" w:space="0" w:color="auto"/>
            </w:tcBorders>
            <w:shd w:val="clear" w:color="000000" w:fill="F2F2F2"/>
            <w:vAlign w:val="center"/>
            <w:hideMark/>
          </w:tcPr>
          <w:p w14:paraId="2C559EA1" w14:textId="77777777" w:rsidR="00B07312" w:rsidRPr="006B48D3" w:rsidRDefault="00B07312" w:rsidP="00D22441">
            <w:pPr>
              <w:jc w:val="left"/>
              <w:rPr>
                <w:rFonts w:ascii="Arial Narrow" w:hAnsi="Arial Narrow" w:cs="Arial"/>
                <w:spacing w:val="0"/>
                <w:sz w:val="16"/>
                <w:szCs w:val="16"/>
                <w:lang w:eastAsia="es-CO"/>
              </w:rPr>
            </w:pPr>
            <w:r w:rsidRPr="006B48D3">
              <w:rPr>
                <w:rFonts w:ascii="Arial Narrow" w:hAnsi="Arial Narrow" w:cs="Arial"/>
                <w:spacing w:val="0"/>
                <w:sz w:val="16"/>
                <w:szCs w:val="16"/>
                <w:lang w:eastAsia="es-CO"/>
              </w:rPr>
              <w:t>DISTICON SAS ESP</w:t>
            </w:r>
          </w:p>
        </w:tc>
        <w:tc>
          <w:tcPr>
            <w:tcW w:w="1620" w:type="dxa"/>
            <w:tcBorders>
              <w:top w:val="nil"/>
              <w:left w:val="nil"/>
              <w:bottom w:val="single" w:sz="4" w:space="0" w:color="auto"/>
              <w:right w:val="single" w:sz="4" w:space="0" w:color="auto"/>
            </w:tcBorders>
            <w:shd w:val="clear" w:color="000000" w:fill="F2F2F2"/>
            <w:noWrap/>
            <w:vAlign w:val="center"/>
            <w:hideMark/>
          </w:tcPr>
          <w:p w14:paraId="6BB35B14"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$ 357.445.000</w:t>
            </w:r>
          </w:p>
        </w:tc>
        <w:tc>
          <w:tcPr>
            <w:tcW w:w="1520" w:type="dxa"/>
            <w:tcBorders>
              <w:top w:val="nil"/>
              <w:left w:val="nil"/>
              <w:bottom w:val="single" w:sz="4" w:space="0" w:color="auto"/>
              <w:right w:val="single" w:sz="4" w:space="0" w:color="auto"/>
            </w:tcBorders>
            <w:shd w:val="clear" w:color="000000" w:fill="F2F2F2"/>
            <w:noWrap/>
            <w:vAlign w:val="center"/>
            <w:hideMark/>
          </w:tcPr>
          <w:p w14:paraId="5ABA113D"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$ 2.187.198</w:t>
            </w:r>
          </w:p>
        </w:tc>
        <w:tc>
          <w:tcPr>
            <w:tcW w:w="1460" w:type="dxa"/>
            <w:tcBorders>
              <w:top w:val="nil"/>
              <w:left w:val="nil"/>
              <w:bottom w:val="single" w:sz="4" w:space="0" w:color="auto"/>
              <w:right w:val="single" w:sz="4" w:space="0" w:color="auto"/>
            </w:tcBorders>
            <w:shd w:val="clear" w:color="000000" w:fill="F2F2F2"/>
            <w:noWrap/>
            <w:vAlign w:val="center"/>
            <w:hideMark/>
          </w:tcPr>
          <w:p w14:paraId="2F343E7B"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$ 359.632.198</w:t>
            </w:r>
          </w:p>
        </w:tc>
        <w:tc>
          <w:tcPr>
            <w:tcW w:w="1280" w:type="dxa"/>
            <w:tcBorders>
              <w:top w:val="nil"/>
              <w:left w:val="nil"/>
              <w:bottom w:val="single" w:sz="4" w:space="0" w:color="auto"/>
              <w:right w:val="single" w:sz="4" w:space="0" w:color="auto"/>
            </w:tcBorders>
            <w:shd w:val="clear" w:color="000000" w:fill="F2F2F2"/>
            <w:noWrap/>
            <w:vAlign w:val="center"/>
            <w:hideMark/>
          </w:tcPr>
          <w:p w14:paraId="024DCF0D"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$ 3.596.322</w:t>
            </w:r>
          </w:p>
        </w:tc>
        <w:tc>
          <w:tcPr>
            <w:tcW w:w="1200" w:type="dxa"/>
            <w:tcBorders>
              <w:top w:val="nil"/>
              <w:left w:val="nil"/>
              <w:bottom w:val="single" w:sz="4" w:space="0" w:color="auto"/>
              <w:right w:val="single" w:sz="4" w:space="0" w:color="auto"/>
            </w:tcBorders>
            <w:shd w:val="clear" w:color="000000" w:fill="F2F2F2"/>
            <w:noWrap/>
            <w:vAlign w:val="center"/>
            <w:hideMark/>
          </w:tcPr>
          <w:p w14:paraId="7E0CDB71"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$ 150</w:t>
            </w:r>
          </w:p>
        </w:tc>
        <w:tc>
          <w:tcPr>
            <w:tcW w:w="1280" w:type="dxa"/>
            <w:tcBorders>
              <w:top w:val="nil"/>
              <w:left w:val="nil"/>
              <w:bottom w:val="single" w:sz="4" w:space="0" w:color="auto"/>
              <w:right w:val="single" w:sz="4" w:space="0" w:color="auto"/>
            </w:tcBorders>
            <w:shd w:val="clear" w:color="000000" w:fill="F2F2F2"/>
            <w:noWrap/>
            <w:vAlign w:val="center"/>
            <w:hideMark/>
          </w:tcPr>
          <w:p w14:paraId="4E4B8752"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$ 3.596.472</w:t>
            </w:r>
          </w:p>
        </w:tc>
      </w:tr>
      <w:tr w:rsidR="00B07312" w:rsidRPr="006B48D3" w14:paraId="0B3B9529" w14:textId="77777777" w:rsidTr="006B48D3">
        <w:trPr>
          <w:trHeight w:val="489"/>
        </w:trPr>
        <w:tc>
          <w:tcPr>
            <w:tcW w:w="407" w:type="dxa"/>
            <w:tcBorders>
              <w:top w:val="nil"/>
              <w:left w:val="single" w:sz="4" w:space="0" w:color="auto"/>
              <w:bottom w:val="single" w:sz="4" w:space="0" w:color="auto"/>
              <w:right w:val="single" w:sz="4" w:space="0" w:color="auto"/>
            </w:tcBorders>
            <w:shd w:val="clear" w:color="000000" w:fill="F2F2F2"/>
            <w:noWrap/>
            <w:vAlign w:val="center"/>
            <w:hideMark/>
          </w:tcPr>
          <w:p w14:paraId="258D0FD9" w14:textId="77777777" w:rsidR="00B07312" w:rsidRPr="006B48D3" w:rsidRDefault="00B07312" w:rsidP="00D22441">
            <w:pPr>
              <w:jc w:val="center"/>
              <w:rPr>
                <w:rFonts w:ascii="Arial Narrow" w:hAnsi="Arial Narrow" w:cs="Arial"/>
                <w:spacing w:val="0"/>
                <w:sz w:val="16"/>
                <w:szCs w:val="16"/>
                <w:lang w:eastAsia="es-CO"/>
              </w:rPr>
            </w:pPr>
            <w:r w:rsidRPr="006B48D3">
              <w:rPr>
                <w:rFonts w:ascii="Arial Narrow" w:hAnsi="Arial Narrow" w:cs="Arial"/>
                <w:spacing w:val="0"/>
                <w:sz w:val="16"/>
                <w:szCs w:val="16"/>
                <w:lang w:eastAsia="es-CO"/>
              </w:rPr>
              <w:t>98</w:t>
            </w:r>
          </w:p>
        </w:tc>
        <w:tc>
          <w:tcPr>
            <w:tcW w:w="585" w:type="dxa"/>
            <w:tcBorders>
              <w:top w:val="nil"/>
              <w:left w:val="nil"/>
              <w:bottom w:val="single" w:sz="4" w:space="0" w:color="auto"/>
              <w:right w:val="single" w:sz="4" w:space="0" w:color="auto"/>
            </w:tcBorders>
            <w:shd w:val="clear" w:color="000000" w:fill="F2F2F2"/>
            <w:noWrap/>
            <w:vAlign w:val="center"/>
            <w:hideMark/>
          </w:tcPr>
          <w:p w14:paraId="2FA5C9BB"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26226</w:t>
            </w:r>
          </w:p>
        </w:tc>
        <w:tc>
          <w:tcPr>
            <w:tcW w:w="941" w:type="dxa"/>
            <w:tcBorders>
              <w:top w:val="nil"/>
              <w:left w:val="nil"/>
              <w:bottom w:val="single" w:sz="4" w:space="0" w:color="auto"/>
              <w:right w:val="single" w:sz="4" w:space="0" w:color="auto"/>
            </w:tcBorders>
            <w:shd w:val="clear" w:color="000000" w:fill="F2F2F2"/>
            <w:noWrap/>
            <w:vAlign w:val="center"/>
            <w:hideMark/>
          </w:tcPr>
          <w:p w14:paraId="0638D2DE"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900565871</w:t>
            </w:r>
          </w:p>
        </w:tc>
        <w:tc>
          <w:tcPr>
            <w:tcW w:w="3247" w:type="dxa"/>
            <w:tcBorders>
              <w:top w:val="nil"/>
              <w:left w:val="nil"/>
              <w:bottom w:val="single" w:sz="4" w:space="0" w:color="auto"/>
              <w:right w:val="single" w:sz="4" w:space="0" w:color="auto"/>
            </w:tcBorders>
            <w:shd w:val="clear" w:color="000000" w:fill="F2F2F2"/>
            <w:vAlign w:val="center"/>
            <w:hideMark/>
          </w:tcPr>
          <w:p w14:paraId="4CFE5083" w14:textId="77777777" w:rsidR="00B07312" w:rsidRPr="006B48D3" w:rsidRDefault="00B07312" w:rsidP="00D22441">
            <w:pPr>
              <w:jc w:val="left"/>
              <w:rPr>
                <w:rFonts w:ascii="Arial Narrow" w:hAnsi="Arial Narrow" w:cs="Arial"/>
                <w:spacing w:val="0"/>
                <w:sz w:val="16"/>
                <w:szCs w:val="16"/>
                <w:lang w:eastAsia="es-CO"/>
              </w:rPr>
            </w:pPr>
            <w:r w:rsidRPr="006B48D3">
              <w:rPr>
                <w:rFonts w:ascii="Arial Narrow" w:hAnsi="Arial Narrow" w:cs="Arial"/>
                <w:spacing w:val="0"/>
                <w:sz w:val="16"/>
                <w:szCs w:val="16"/>
                <w:lang w:eastAsia="es-CO"/>
              </w:rPr>
              <w:t>COMPROPANO SOCIEDAD POR ACCIONES SIMPLIFICADA E.</w:t>
            </w:r>
            <w:proofErr w:type="gramStart"/>
            <w:r w:rsidRPr="006B48D3">
              <w:rPr>
                <w:rFonts w:ascii="Arial Narrow" w:hAnsi="Arial Narrow" w:cs="Arial"/>
                <w:spacing w:val="0"/>
                <w:sz w:val="16"/>
                <w:szCs w:val="16"/>
                <w:lang w:eastAsia="es-CO"/>
              </w:rPr>
              <w:t>S.P</w:t>
            </w:r>
            <w:proofErr w:type="gramEnd"/>
          </w:p>
        </w:tc>
        <w:tc>
          <w:tcPr>
            <w:tcW w:w="1620" w:type="dxa"/>
            <w:tcBorders>
              <w:top w:val="nil"/>
              <w:left w:val="nil"/>
              <w:bottom w:val="single" w:sz="4" w:space="0" w:color="auto"/>
              <w:right w:val="single" w:sz="4" w:space="0" w:color="auto"/>
            </w:tcBorders>
            <w:shd w:val="clear" w:color="000000" w:fill="F2F2F2"/>
            <w:noWrap/>
            <w:vAlign w:val="center"/>
            <w:hideMark/>
          </w:tcPr>
          <w:p w14:paraId="53637E77"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$ 163.619.000</w:t>
            </w:r>
          </w:p>
        </w:tc>
        <w:tc>
          <w:tcPr>
            <w:tcW w:w="1520" w:type="dxa"/>
            <w:tcBorders>
              <w:top w:val="nil"/>
              <w:left w:val="nil"/>
              <w:bottom w:val="single" w:sz="4" w:space="0" w:color="auto"/>
              <w:right w:val="single" w:sz="4" w:space="0" w:color="auto"/>
            </w:tcBorders>
            <w:shd w:val="clear" w:color="000000" w:fill="F2F2F2"/>
            <w:noWrap/>
            <w:vAlign w:val="center"/>
            <w:hideMark/>
          </w:tcPr>
          <w:p w14:paraId="2AF78302"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$ 19.094.110</w:t>
            </w:r>
          </w:p>
        </w:tc>
        <w:tc>
          <w:tcPr>
            <w:tcW w:w="1460" w:type="dxa"/>
            <w:tcBorders>
              <w:top w:val="nil"/>
              <w:left w:val="nil"/>
              <w:bottom w:val="single" w:sz="4" w:space="0" w:color="auto"/>
              <w:right w:val="single" w:sz="4" w:space="0" w:color="auto"/>
            </w:tcBorders>
            <w:shd w:val="clear" w:color="000000" w:fill="F2F2F2"/>
            <w:noWrap/>
            <w:vAlign w:val="center"/>
            <w:hideMark/>
          </w:tcPr>
          <w:p w14:paraId="7469AD27"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$ 182.713.110</w:t>
            </w:r>
          </w:p>
        </w:tc>
        <w:tc>
          <w:tcPr>
            <w:tcW w:w="1280" w:type="dxa"/>
            <w:tcBorders>
              <w:top w:val="nil"/>
              <w:left w:val="nil"/>
              <w:bottom w:val="single" w:sz="4" w:space="0" w:color="auto"/>
              <w:right w:val="single" w:sz="4" w:space="0" w:color="auto"/>
            </w:tcBorders>
            <w:shd w:val="clear" w:color="000000" w:fill="F2F2F2"/>
            <w:noWrap/>
            <w:vAlign w:val="center"/>
            <w:hideMark/>
          </w:tcPr>
          <w:p w14:paraId="1524B1AC"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$ 1.827.131</w:t>
            </w:r>
          </w:p>
        </w:tc>
        <w:tc>
          <w:tcPr>
            <w:tcW w:w="1200" w:type="dxa"/>
            <w:tcBorders>
              <w:top w:val="nil"/>
              <w:left w:val="nil"/>
              <w:bottom w:val="single" w:sz="4" w:space="0" w:color="auto"/>
              <w:right w:val="single" w:sz="4" w:space="0" w:color="auto"/>
            </w:tcBorders>
            <w:shd w:val="clear" w:color="000000" w:fill="F2F2F2"/>
            <w:noWrap/>
            <w:vAlign w:val="center"/>
            <w:hideMark/>
          </w:tcPr>
          <w:p w14:paraId="3BC0DABE"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$ 76</w:t>
            </w:r>
          </w:p>
        </w:tc>
        <w:tc>
          <w:tcPr>
            <w:tcW w:w="1280" w:type="dxa"/>
            <w:tcBorders>
              <w:top w:val="nil"/>
              <w:left w:val="nil"/>
              <w:bottom w:val="single" w:sz="4" w:space="0" w:color="auto"/>
              <w:right w:val="single" w:sz="4" w:space="0" w:color="auto"/>
            </w:tcBorders>
            <w:shd w:val="clear" w:color="000000" w:fill="F2F2F2"/>
            <w:noWrap/>
            <w:vAlign w:val="center"/>
            <w:hideMark/>
          </w:tcPr>
          <w:p w14:paraId="70947AE5"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$ 1.827.207</w:t>
            </w:r>
          </w:p>
        </w:tc>
      </w:tr>
      <w:tr w:rsidR="00B07312" w:rsidRPr="006B48D3" w14:paraId="2F6B2153" w14:textId="77777777" w:rsidTr="006B48D3">
        <w:trPr>
          <w:trHeight w:val="447"/>
        </w:trPr>
        <w:tc>
          <w:tcPr>
            <w:tcW w:w="407" w:type="dxa"/>
            <w:tcBorders>
              <w:top w:val="nil"/>
              <w:left w:val="single" w:sz="4" w:space="0" w:color="auto"/>
              <w:bottom w:val="single" w:sz="4" w:space="0" w:color="auto"/>
              <w:right w:val="single" w:sz="4" w:space="0" w:color="auto"/>
            </w:tcBorders>
            <w:shd w:val="clear" w:color="000000" w:fill="F2F2F2"/>
            <w:noWrap/>
            <w:vAlign w:val="center"/>
            <w:hideMark/>
          </w:tcPr>
          <w:p w14:paraId="07D60404" w14:textId="77777777" w:rsidR="00B07312" w:rsidRPr="006B48D3" w:rsidRDefault="00B07312" w:rsidP="00D22441">
            <w:pPr>
              <w:jc w:val="center"/>
              <w:rPr>
                <w:rFonts w:ascii="Arial Narrow" w:hAnsi="Arial Narrow" w:cs="Arial"/>
                <w:spacing w:val="0"/>
                <w:sz w:val="16"/>
                <w:szCs w:val="16"/>
                <w:lang w:eastAsia="es-CO"/>
              </w:rPr>
            </w:pPr>
            <w:r w:rsidRPr="006B48D3">
              <w:rPr>
                <w:rFonts w:ascii="Arial Narrow" w:hAnsi="Arial Narrow" w:cs="Arial"/>
                <w:spacing w:val="0"/>
                <w:sz w:val="16"/>
                <w:szCs w:val="16"/>
                <w:lang w:eastAsia="es-CO"/>
              </w:rPr>
              <w:t>99</w:t>
            </w:r>
          </w:p>
        </w:tc>
        <w:tc>
          <w:tcPr>
            <w:tcW w:w="585" w:type="dxa"/>
            <w:tcBorders>
              <w:top w:val="nil"/>
              <w:left w:val="nil"/>
              <w:bottom w:val="single" w:sz="4" w:space="0" w:color="auto"/>
              <w:right w:val="single" w:sz="4" w:space="0" w:color="auto"/>
            </w:tcBorders>
            <w:shd w:val="clear" w:color="000000" w:fill="F2F2F2"/>
            <w:noWrap/>
            <w:vAlign w:val="center"/>
            <w:hideMark/>
          </w:tcPr>
          <w:p w14:paraId="3864B0D2"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26219</w:t>
            </w:r>
          </w:p>
        </w:tc>
        <w:tc>
          <w:tcPr>
            <w:tcW w:w="941" w:type="dxa"/>
            <w:tcBorders>
              <w:top w:val="nil"/>
              <w:left w:val="nil"/>
              <w:bottom w:val="single" w:sz="4" w:space="0" w:color="auto"/>
              <w:right w:val="single" w:sz="4" w:space="0" w:color="auto"/>
            </w:tcBorders>
            <w:shd w:val="clear" w:color="000000" w:fill="F2F2F2"/>
            <w:noWrap/>
            <w:vAlign w:val="center"/>
            <w:hideMark/>
          </w:tcPr>
          <w:p w14:paraId="09E037F1"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900566834</w:t>
            </w:r>
          </w:p>
        </w:tc>
        <w:tc>
          <w:tcPr>
            <w:tcW w:w="3247" w:type="dxa"/>
            <w:tcBorders>
              <w:top w:val="nil"/>
              <w:left w:val="nil"/>
              <w:bottom w:val="single" w:sz="4" w:space="0" w:color="auto"/>
              <w:right w:val="single" w:sz="4" w:space="0" w:color="auto"/>
            </w:tcBorders>
            <w:shd w:val="clear" w:color="000000" w:fill="F2F2F2"/>
            <w:vAlign w:val="center"/>
            <w:hideMark/>
          </w:tcPr>
          <w:p w14:paraId="79CECF3F" w14:textId="77777777" w:rsidR="00B07312" w:rsidRPr="006B48D3" w:rsidRDefault="00B07312" w:rsidP="00D22441">
            <w:pPr>
              <w:jc w:val="left"/>
              <w:rPr>
                <w:rFonts w:ascii="Arial Narrow" w:hAnsi="Arial Narrow" w:cs="Arial"/>
                <w:spacing w:val="0"/>
                <w:sz w:val="16"/>
                <w:szCs w:val="16"/>
                <w:lang w:eastAsia="es-CO"/>
              </w:rPr>
            </w:pPr>
            <w:r w:rsidRPr="006B48D3">
              <w:rPr>
                <w:rFonts w:ascii="Arial Narrow" w:hAnsi="Arial Narrow" w:cs="Arial"/>
                <w:spacing w:val="0"/>
                <w:sz w:val="16"/>
                <w:szCs w:val="16"/>
                <w:lang w:eastAsia="es-CO"/>
              </w:rPr>
              <w:t>GAS EXPRESS COLOMBIA SAS ESP</w:t>
            </w:r>
          </w:p>
        </w:tc>
        <w:tc>
          <w:tcPr>
            <w:tcW w:w="1620" w:type="dxa"/>
            <w:tcBorders>
              <w:top w:val="nil"/>
              <w:left w:val="nil"/>
              <w:bottom w:val="single" w:sz="4" w:space="0" w:color="auto"/>
              <w:right w:val="single" w:sz="4" w:space="0" w:color="auto"/>
            </w:tcBorders>
            <w:shd w:val="clear" w:color="000000" w:fill="F2F2F2"/>
            <w:noWrap/>
            <w:vAlign w:val="center"/>
            <w:hideMark/>
          </w:tcPr>
          <w:p w14:paraId="0DF194A8"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$ 220.307.000</w:t>
            </w:r>
          </w:p>
        </w:tc>
        <w:tc>
          <w:tcPr>
            <w:tcW w:w="1520" w:type="dxa"/>
            <w:tcBorders>
              <w:top w:val="nil"/>
              <w:left w:val="nil"/>
              <w:bottom w:val="single" w:sz="4" w:space="0" w:color="auto"/>
              <w:right w:val="single" w:sz="4" w:space="0" w:color="auto"/>
            </w:tcBorders>
            <w:shd w:val="clear" w:color="000000" w:fill="F2F2F2"/>
            <w:noWrap/>
            <w:vAlign w:val="center"/>
            <w:hideMark/>
          </w:tcPr>
          <w:p w14:paraId="07E0B2BF"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$ 18.993.320</w:t>
            </w:r>
          </w:p>
        </w:tc>
        <w:tc>
          <w:tcPr>
            <w:tcW w:w="1460" w:type="dxa"/>
            <w:tcBorders>
              <w:top w:val="nil"/>
              <w:left w:val="nil"/>
              <w:bottom w:val="single" w:sz="4" w:space="0" w:color="auto"/>
              <w:right w:val="single" w:sz="4" w:space="0" w:color="auto"/>
            </w:tcBorders>
            <w:shd w:val="clear" w:color="000000" w:fill="F2F2F2"/>
            <w:noWrap/>
            <w:vAlign w:val="center"/>
            <w:hideMark/>
          </w:tcPr>
          <w:p w14:paraId="52360853"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$ 239.300.320</w:t>
            </w:r>
          </w:p>
        </w:tc>
        <w:tc>
          <w:tcPr>
            <w:tcW w:w="1280" w:type="dxa"/>
            <w:tcBorders>
              <w:top w:val="nil"/>
              <w:left w:val="nil"/>
              <w:bottom w:val="single" w:sz="4" w:space="0" w:color="auto"/>
              <w:right w:val="single" w:sz="4" w:space="0" w:color="auto"/>
            </w:tcBorders>
            <w:shd w:val="clear" w:color="000000" w:fill="F2F2F2"/>
            <w:noWrap/>
            <w:vAlign w:val="center"/>
            <w:hideMark/>
          </w:tcPr>
          <w:p w14:paraId="7DEA482B"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$ 2.393.003</w:t>
            </w:r>
          </w:p>
        </w:tc>
        <w:tc>
          <w:tcPr>
            <w:tcW w:w="1200" w:type="dxa"/>
            <w:tcBorders>
              <w:top w:val="nil"/>
              <w:left w:val="nil"/>
              <w:bottom w:val="single" w:sz="4" w:space="0" w:color="auto"/>
              <w:right w:val="single" w:sz="4" w:space="0" w:color="auto"/>
            </w:tcBorders>
            <w:shd w:val="clear" w:color="000000" w:fill="F2F2F2"/>
            <w:noWrap/>
            <w:vAlign w:val="center"/>
            <w:hideMark/>
          </w:tcPr>
          <w:p w14:paraId="1FDF88AB"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$ 100</w:t>
            </w:r>
          </w:p>
        </w:tc>
        <w:tc>
          <w:tcPr>
            <w:tcW w:w="1280" w:type="dxa"/>
            <w:tcBorders>
              <w:top w:val="nil"/>
              <w:left w:val="nil"/>
              <w:bottom w:val="single" w:sz="4" w:space="0" w:color="auto"/>
              <w:right w:val="single" w:sz="4" w:space="0" w:color="auto"/>
            </w:tcBorders>
            <w:shd w:val="clear" w:color="000000" w:fill="F2F2F2"/>
            <w:noWrap/>
            <w:vAlign w:val="center"/>
            <w:hideMark/>
          </w:tcPr>
          <w:p w14:paraId="5D8AC317"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$ 2.393.103</w:t>
            </w:r>
          </w:p>
        </w:tc>
      </w:tr>
      <w:tr w:rsidR="00B07312" w:rsidRPr="006B48D3" w14:paraId="2544A37A" w14:textId="77777777" w:rsidTr="006B48D3">
        <w:trPr>
          <w:trHeight w:val="499"/>
        </w:trPr>
        <w:tc>
          <w:tcPr>
            <w:tcW w:w="407" w:type="dxa"/>
            <w:tcBorders>
              <w:top w:val="nil"/>
              <w:left w:val="single" w:sz="4" w:space="0" w:color="auto"/>
              <w:bottom w:val="single" w:sz="4" w:space="0" w:color="auto"/>
              <w:right w:val="single" w:sz="4" w:space="0" w:color="auto"/>
            </w:tcBorders>
            <w:shd w:val="clear" w:color="000000" w:fill="F2F2F2"/>
            <w:noWrap/>
            <w:vAlign w:val="center"/>
            <w:hideMark/>
          </w:tcPr>
          <w:p w14:paraId="3BEA2A12" w14:textId="77777777" w:rsidR="00B07312" w:rsidRPr="006B48D3" w:rsidRDefault="00B07312" w:rsidP="00D22441">
            <w:pPr>
              <w:jc w:val="center"/>
              <w:rPr>
                <w:rFonts w:ascii="Arial Narrow" w:hAnsi="Arial Narrow" w:cs="Arial"/>
                <w:spacing w:val="0"/>
                <w:sz w:val="16"/>
                <w:szCs w:val="16"/>
                <w:lang w:eastAsia="es-CO"/>
              </w:rPr>
            </w:pPr>
            <w:r w:rsidRPr="006B48D3">
              <w:rPr>
                <w:rFonts w:ascii="Arial Narrow" w:hAnsi="Arial Narrow" w:cs="Arial"/>
                <w:spacing w:val="0"/>
                <w:sz w:val="16"/>
                <w:szCs w:val="16"/>
                <w:lang w:eastAsia="es-CO"/>
              </w:rPr>
              <w:t>100</w:t>
            </w:r>
          </w:p>
        </w:tc>
        <w:tc>
          <w:tcPr>
            <w:tcW w:w="585" w:type="dxa"/>
            <w:tcBorders>
              <w:top w:val="nil"/>
              <w:left w:val="nil"/>
              <w:bottom w:val="single" w:sz="4" w:space="0" w:color="auto"/>
              <w:right w:val="single" w:sz="4" w:space="0" w:color="auto"/>
            </w:tcBorders>
            <w:shd w:val="clear" w:color="000000" w:fill="F2F2F2"/>
            <w:noWrap/>
            <w:vAlign w:val="center"/>
            <w:hideMark/>
          </w:tcPr>
          <w:p w14:paraId="215CC1DE"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26548</w:t>
            </w:r>
          </w:p>
        </w:tc>
        <w:tc>
          <w:tcPr>
            <w:tcW w:w="941" w:type="dxa"/>
            <w:tcBorders>
              <w:top w:val="nil"/>
              <w:left w:val="nil"/>
              <w:bottom w:val="single" w:sz="4" w:space="0" w:color="auto"/>
              <w:right w:val="single" w:sz="4" w:space="0" w:color="auto"/>
            </w:tcBorders>
            <w:shd w:val="clear" w:color="000000" w:fill="F2F2F2"/>
            <w:noWrap/>
            <w:vAlign w:val="center"/>
            <w:hideMark/>
          </w:tcPr>
          <w:p w14:paraId="7E862681"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900570262</w:t>
            </w:r>
          </w:p>
        </w:tc>
        <w:tc>
          <w:tcPr>
            <w:tcW w:w="3247" w:type="dxa"/>
            <w:tcBorders>
              <w:top w:val="nil"/>
              <w:left w:val="nil"/>
              <w:bottom w:val="single" w:sz="4" w:space="0" w:color="auto"/>
              <w:right w:val="single" w:sz="4" w:space="0" w:color="auto"/>
            </w:tcBorders>
            <w:shd w:val="clear" w:color="000000" w:fill="F2F2F2"/>
            <w:vAlign w:val="center"/>
            <w:hideMark/>
          </w:tcPr>
          <w:p w14:paraId="7B80204A" w14:textId="77777777" w:rsidR="00B07312" w:rsidRPr="006B48D3" w:rsidRDefault="00B07312" w:rsidP="00D22441">
            <w:pPr>
              <w:jc w:val="left"/>
              <w:rPr>
                <w:rFonts w:ascii="Arial Narrow" w:hAnsi="Arial Narrow" w:cs="Arial"/>
                <w:spacing w:val="0"/>
                <w:sz w:val="16"/>
                <w:szCs w:val="16"/>
                <w:lang w:eastAsia="es-CO"/>
              </w:rPr>
            </w:pPr>
            <w:r w:rsidRPr="006B48D3">
              <w:rPr>
                <w:rFonts w:ascii="Arial Narrow" w:hAnsi="Arial Narrow" w:cs="Arial"/>
                <w:spacing w:val="0"/>
                <w:sz w:val="16"/>
                <w:szCs w:val="16"/>
                <w:lang w:eastAsia="es-CO"/>
              </w:rPr>
              <w:t>GASES ANDINOS DE COLOMBIA S.A.S. E.S.P.</w:t>
            </w:r>
          </w:p>
        </w:tc>
        <w:tc>
          <w:tcPr>
            <w:tcW w:w="1620" w:type="dxa"/>
            <w:tcBorders>
              <w:top w:val="nil"/>
              <w:left w:val="nil"/>
              <w:bottom w:val="single" w:sz="4" w:space="0" w:color="auto"/>
              <w:right w:val="single" w:sz="4" w:space="0" w:color="auto"/>
            </w:tcBorders>
            <w:shd w:val="clear" w:color="000000" w:fill="F2F2F2"/>
            <w:noWrap/>
            <w:vAlign w:val="center"/>
            <w:hideMark/>
          </w:tcPr>
          <w:p w14:paraId="7D63B9C7"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$ 216.441.000</w:t>
            </w:r>
          </w:p>
        </w:tc>
        <w:tc>
          <w:tcPr>
            <w:tcW w:w="1520" w:type="dxa"/>
            <w:tcBorders>
              <w:top w:val="nil"/>
              <w:left w:val="nil"/>
              <w:bottom w:val="single" w:sz="4" w:space="0" w:color="auto"/>
              <w:right w:val="single" w:sz="4" w:space="0" w:color="auto"/>
            </w:tcBorders>
            <w:shd w:val="clear" w:color="000000" w:fill="F2F2F2"/>
            <w:noWrap/>
            <w:vAlign w:val="center"/>
            <w:hideMark/>
          </w:tcPr>
          <w:p w14:paraId="75DB1415"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$ 121.204.087</w:t>
            </w:r>
          </w:p>
        </w:tc>
        <w:tc>
          <w:tcPr>
            <w:tcW w:w="1460" w:type="dxa"/>
            <w:tcBorders>
              <w:top w:val="nil"/>
              <w:left w:val="nil"/>
              <w:bottom w:val="single" w:sz="4" w:space="0" w:color="auto"/>
              <w:right w:val="single" w:sz="4" w:space="0" w:color="auto"/>
            </w:tcBorders>
            <w:shd w:val="clear" w:color="000000" w:fill="F2F2F2"/>
            <w:noWrap/>
            <w:vAlign w:val="center"/>
            <w:hideMark/>
          </w:tcPr>
          <w:p w14:paraId="709E4F27"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$ 337.645.087</w:t>
            </w:r>
          </w:p>
        </w:tc>
        <w:tc>
          <w:tcPr>
            <w:tcW w:w="1280" w:type="dxa"/>
            <w:tcBorders>
              <w:top w:val="nil"/>
              <w:left w:val="nil"/>
              <w:bottom w:val="single" w:sz="4" w:space="0" w:color="auto"/>
              <w:right w:val="single" w:sz="4" w:space="0" w:color="auto"/>
            </w:tcBorders>
            <w:shd w:val="clear" w:color="000000" w:fill="F2F2F2"/>
            <w:noWrap/>
            <w:vAlign w:val="center"/>
            <w:hideMark/>
          </w:tcPr>
          <w:p w14:paraId="044F902B"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$ 3.376.451</w:t>
            </w:r>
          </w:p>
        </w:tc>
        <w:tc>
          <w:tcPr>
            <w:tcW w:w="1200" w:type="dxa"/>
            <w:tcBorders>
              <w:top w:val="nil"/>
              <w:left w:val="nil"/>
              <w:bottom w:val="single" w:sz="4" w:space="0" w:color="auto"/>
              <w:right w:val="single" w:sz="4" w:space="0" w:color="auto"/>
            </w:tcBorders>
            <w:shd w:val="clear" w:color="000000" w:fill="F2F2F2"/>
            <w:noWrap/>
            <w:vAlign w:val="center"/>
            <w:hideMark/>
          </w:tcPr>
          <w:p w14:paraId="7B5A84FA"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$ 141</w:t>
            </w:r>
          </w:p>
        </w:tc>
        <w:tc>
          <w:tcPr>
            <w:tcW w:w="1280" w:type="dxa"/>
            <w:tcBorders>
              <w:top w:val="nil"/>
              <w:left w:val="nil"/>
              <w:bottom w:val="single" w:sz="4" w:space="0" w:color="auto"/>
              <w:right w:val="single" w:sz="4" w:space="0" w:color="auto"/>
            </w:tcBorders>
            <w:shd w:val="clear" w:color="000000" w:fill="F2F2F2"/>
            <w:noWrap/>
            <w:vAlign w:val="center"/>
            <w:hideMark/>
          </w:tcPr>
          <w:p w14:paraId="5AAC7656"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$ 3.376.591</w:t>
            </w:r>
          </w:p>
        </w:tc>
      </w:tr>
      <w:tr w:rsidR="00B07312" w:rsidRPr="006B48D3" w14:paraId="148C95D0" w14:textId="77777777" w:rsidTr="006B48D3">
        <w:trPr>
          <w:trHeight w:val="712"/>
        </w:trPr>
        <w:tc>
          <w:tcPr>
            <w:tcW w:w="407" w:type="dxa"/>
            <w:tcBorders>
              <w:top w:val="nil"/>
              <w:left w:val="single" w:sz="4" w:space="0" w:color="auto"/>
              <w:bottom w:val="single" w:sz="4" w:space="0" w:color="auto"/>
              <w:right w:val="single" w:sz="4" w:space="0" w:color="auto"/>
            </w:tcBorders>
            <w:shd w:val="clear" w:color="000000" w:fill="F2F2F2"/>
            <w:noWrap/>
            <w:vAlign w:val="center"/>
            <w:hideMark/>
          </w:tcPr>
          <w:p w14:paraId="554037D1" w14:textId="77777777" w:rsidR="00B07312" w:rsidRPr="006B48D3" w:rsidRDefault="00B07312" w:rsidP="00D22441">
            <w:pPr>
              <w:jc w:val="center"/>
              <w:rPr>
                <w:rFonts w:ascii="Arial Narrow" w:hAnsi="Arial Narrow" w:cs="Arial"/>
                <w:spacing w:val="0"/>
                <w:sz w:val="16"/>
                <w:szCs w:val="16"/>
                <w:lang w:eastAsia="es-CO"/>
              </w:rPr>
            </w:pPr>
            <w:r w:rsidRPr="006B48D3">
              <w:rPr>
                <w:rFonts w:ascii="Arial Narrow" w:hAnsi="Arial Narrow" w:cs="Arial"/>
                <w:spacing w:val="0"/>
                <w:sz w:val="16"/>
                <w:szCs w:val="16"/>
                <w:lang w:eastAsia="es-CO"/>
              </w:rPr>
              <w:t>101</w:t>
            </w:r>
          </w:p>
        </w:tc>
        <w:tc>
          <w:tcPr>
            <w:tcW w:w="585" w:type="dxa"/>
            <w:tcBorders>
              <w:top w:val="nil"/>
              <w:left w:val="nil"/>
              <w:bottom w:val="single" w:sz="4" w:space="0" w:color="auto"/>
              <w:right w:val="single" w:sz="4" w:space="0" w:color="auto"/>
            </w:tcBorders>
            <w:shd w:val="clear" w:color="000000" w:fill="F2F2F2"/>
            <w:noWrap/>
            <w:vAlign w:val="center"/>
            <w:hideMark/>
          </w:tcPr>
          <w:p w14:paraId="1BAA251E"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26237</w:t>
            </w:r>
          </w:p>
        </w:tc>
        <w:tc>
          <w:tcPr>
            <w:tcW w:w="941" w:type="dxa"/>
            <w:tcBorders>
              <w:top w:val="nil"/>
              <w:left w:val="nil"/>
              <w:bottom w:val="single" w:sz="4" w:space="0" w:color="auto"/>
              <w:right w:val="single" w:sz="4" w:space="0" w:color="auto"/>
            </w:tcBorders>
            <w:shd w:val="clear" w:color="000000" w:fill="F2F2F2"/>
            <w:noWrap/>
            <w:vAlign w:val="center"/>
            <w:hideMark/>
          </w:tcPr>
          <w:p w14:paraId="695EC1B8"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900572958</w:t>
            </w:r>
          </w:p>
        </w:tc>
        <w:tc>
          <w:tcPr>
            <w:tcW w:w="3247" w:type="dxa"/>
            <w:tcBorders>
              <w:top w:val="nil"/>
              <w:left w:val="nil"/>
              <w:bottom w:val="single" w:sz="4" w:space="0" w:color="auto"/>
              <w:right w:val="single" w:sz="4" w:space="0" w:color="auto"/>
            </w:tcBorders>
            <w:shd w:val="clear" w:color="000000" w:fill="F2F2F2"/>
            <w:vAlign w:val="center"/>
            <w:hideMark/>
          </w:tcPr>
          <w:p w14:paraId="733A972B" w14:textId="77777777" w:rsidR="00B07312" w:rsidRPr="006B48D3" w:rsidRDefault="00B07312" w:rsidP="00D22441">
            <w:pPr>
              <w:jc w:val="left"/>
              <w:rPr>
                <w:rFonts w:ascii="Arial Narrow" w:hAnsi="Arial Narrow" w:cs="Arial"/>
                <w:spacing w:val="0"/>
                <w:sz w:val="16"/>
                <w:szCs w:val="16"/>
                <w:lang w:eastAsia="es-CO"/>
              </w:rPr>
            </w:pPr>
            <w:r w:rsidRPr="006B48D3">
              <w:rPr>
                <w:rFonts w:ascii="Arial Narrow" w:hAnsi="Arial Narrow" w:cs="Arial"/>
                <w:spacing w:val="0"/>
                <w:sz w:val="16"/>
                <w:szCs w:val="16"/>
                <w:lang w:eastAsia="es-CO"/>
              </w:rPr>
              <w:t>COMERCIALIZADORA DE COMBUSTIBLES, ENERGIA Y GAS S.A.S.  E.S.P.</w:t>
            </w:r>
          </w:p>
        </w:tc>
        <w:tc>
          <w:tcPr>
            <w:tcW w:w="1620" w:type="dxa"/>
            <w:tcBorders>
              <w:top w:val="nil"/>
              <w:left w:val="nil"/>
              <w:bottom w:val="single" w:sz="4" w:space="0" w:color="auto"/>
              <w:right w:val="single" w:sz="4" w:space="0" w:color="auto"/>
            </w:tcBorders>
            <w:shd w:val="clear" w:color="000000" w:fill="F2F2F2"/>
            <w:noWrap/>
            <w:vAlign w:val="center"/>
            <w:hideMark/>
          </w:tcPr>
          <w:p w14:paraId="29C638F8"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$ 657.322.000</w:t>
            </w:r>
          </w:p>
        </w:tc>
        <w:tc>
          <w:tcPr>
            <w:tcW w:w="1520" w:type="dxa"/>
            <w:tcBorders>
              <w:top w:val="nil"/>
              <w:left w:val="nil"/>
              <w:bottom w:val="single" w:sz="4" w:space="0" w:color="auto"/>
              <w:right w:val="single" w:sz="4" w:space="0" w:color="auto"/>
            </w:tcBorders>
            <w:shd w:val="clear" w:color="000000" w:fill="F2F2F2"/>
            <w:noWrap/>
            <w:vAlign w:val="center"/>
            <w:hideMark/>
          </w:tcPr>
          <w:p w14:paraId="34844EBF"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$ 18.155.842</w:t>
            </w:r>
          </w:p>
        </w:tc>
        <w:tc>
          <w:tcPr>
            <w:tcW w:w="1460" w:type="dxa"/>
            <w:tcBorders>
              <w:top w:val="nil"/>
              <w:left w:val="nil"/>
              <w:bottom w:val="single" w:sz="4" w:space="0" w:color="auto"/>
              <w:right w:val="single" w:sz="4" w:space="0" w:color="auto"/>
            </w:tcBorders>
            <w:shd w:val="clear" w:color="000000" w:fill="F2F2F2"/>
            <w:noWrap/>
            <w:vAlign w:val="center"/>
            <w:hideMark/>
          </w:tcPr>
          <w:p w14:paraId="52CDC842"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$ 675.477.842</w:t>
            </w:r>
          </w:p>
        </w:tc>
        <w:tc>
          <w:tcPr>
            <w:tcW w:w="1280" w:type="dxa"/>
            <w:tcBorders>
              <w:top w:val="nil"/>
              <w:left w:val="nil"/>
              <w:bottom w:val="single" w:sz="4" w:space="0" w:color="auto"/>
              <w:right w:val="single" w:sz="4" w:space="0" w:color="auto"/>
            </w:tcBorders>
            <w:shd w:val="clear" w:color="000000" w:fill="F2F2F2"/>
            <w:noWrap/>
            <w:vAlign w:val="center"/>
            <w:hideMark/>
          </w:tcPr>
          <w:p w14:paraId="3B8861C5"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$ 6.754.778</w:t>
            </w:r>
          </w:p>
        </w:tc>
        <w:tc>
          <w:tcPr>
            <w:tcW w:w="1200" w:type="dxa"/>
            <w:tcBorders>
              <w:top w:val="nil"/>
              <w:left w:val="nil"/>
              <w:bottom w:val="single" w:sz="4" w:space="0" w:color="auto"/>
              <w:right w:val="single" w:sz="4" w:space="0" w:color="auto"/>
            </w:tcBorders>
            <w:shd w:val="clear" w:color="000000" w:fill="F2F2F2"/>
            <w:noWrap/>
            <w:vAlign w:val="center"/>
            <w:hideMark/>
          </w:tcPr>
          <w:p w14:paraId="7A1B9B94"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$ 281</w:t>
            </w:r>
          </w:p>
        </w:tc>
        <w:tc>
          <w:tcPr>
            <w:tcW w:w="1280" w:type="dxa"/>
            <w:tcBorders>
              <w:top w:val="nil"/>
              <w:left w:val="nil"/>
              <w:bottom w:val="single" w:sz="4" w:space="0" w:color="auto"/>
              <w:right w:val="single" w:sz="4" w:space="0" w:color="auto"/>
            </w:tcBorders>
            <w:shd w:val="clear" w:color="000000" w:fill="F2F2F2"/>
            <w:noWrap/>
            <w:vAlign w:val="center"/>
            <w:hideMark/>
          </w:tcPr>
          <w:p w14:paraId="102C74E1"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$ 6.755.060</w:t>
            </w:r>
          </w:p>
        </w:tc>
      </w:tr>
      <w:tr w:rsidR="00B07312" w:rsidRPr="006B48D3" w14:paraId="238A5539" w14:textId="77777777" w:rsidTr="006B48D3">
        <w:trPr>
          <w:trHeight w:val="359"/>
        </w:trPr>
        <w:tc>
          <w:tcPr>
            <w:tcW w:w="407" w:type="dxa"/>
            <w:tcBorders>
              <w:top w:val="nil"/>
              <w:left w:val="single" w:sz="4" w:space="0" w:color="auto"/>
              <w:bottom w:val="single" w:sz="4" w:space="0" w:color="auto"/>
              <w:right w:val="single" w:sz="4" w:space="0" w:color="auto"/>
            </w:tcBorders>
            <w:shd w:val="clear" w:color="000000" w:fill="F2F2F2"/>
            <w:noWrap/>
            <w:vAlign w:val="center"/>
            <w:hideMark/>
          </w:tcPr>
          <w:p w14:paraId="705BF745" w14:textId="77777777" w:rsidR="00B07312" w:rsidRPr="006B48D3" w:rsidRDefault="00B07312" w:rsidP="00D22441">
            <w:pPr>
              <w:jc w:val="center"/>
              <w:rPr>
                <w:rFonts w:ascii="Arial Narrow" w:hAnsi="Arial Narrow" w:cs="Arial"/>
                <w:spacing w:val="0"/>
                <w:sz w:val="16"/>
                <w:szCs w:val="16"/>
                <w:lang w:eastAsia="es-CO"/>
              </w:rPr>
            </w:pPr>
            <w:r w:rsidRPr="006B48D3">
              <w:rPr>
                <w:rFonts w:ascii="Arial Narrow" w:hAnsi="Arial Narrow" w:cs="Arial"/>
                <w:spacing w:val="0"/>
                <w:sz w:val="16"/>
                <w:szCs w:val="16"/>
                <w:lang w:eastAsia="es-CO"/>
              </w:rPr>
              <w:lastRenderedPageBreak/>
              <w:t>102</w:t>
            </w:r>
          </w:p>
        </w:tc>
        <w:tc>
          <w:tcPr>
            <w:tcW w:w="585" w:type="dxa"/>
            <w:tcBorders>
              <w:top w:val="nil"/>
              <w:left w:val="nil"/>
              <w:bottom w:val="single" w:sz="4" w:space="0" w:color="auto"/>
              <w:right w:val="single" w:sz="4" w:space="0" w:color="auto"/>
            </w:tcBorders>
            <w:shd w:val="clear" w:color="000000" w:fill="F2F2F2"/>
            <w:noWrap/>
            <w:vAlign w:val="center"/>
            <w:hideMark/>
          </w:tcPr>
          <w:p w14:paraId="132A0070"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26554</w:t>
            </w:r>
          </w:p>
        </w:tc>
        <w:tc>
          <w:tcPr>
            <w:tcW w:w="941" w:type="dxa"/>
            <w:tcBorders>
              <w:top w:val="nil"/>
              <w:left w:val="nil"/>
              <w:bottom w:val="single" w:sz="4" w:space="0" w:color="auto"/>
              <w:right w:val="single" w:sz="4" w:space="0" w:color="auto"/>
            </w:tcBorders>
            <w:shd w:val="clear" w:color="000000" w:fill="F2F2F2"/>
            <w:noWrap/>
            <w:vAlign w:val="center"/>
            <w:hideMark/>
          </w:tcPr>
          <w:p w14:paraId="4D5F9198"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900586170</w:t>
            </w:r>
          </w:p>
        </w:tc>
        <w:tc>
          <w:tcPr>
            <w:tcW w:w="3247" w:type="dxa"/>
            <w:tcBorders>
              <w:top w:val="nil"/>
              <w:left w:val="nil"/>
              <w:bottom w:val="single" w:sz="4" w:space="0" w:color="auto"/>
              <w:right w:val="single" w:sz="4" w:space="0" w:color="auto"/>
            </w:tcBorders>
            <w:shd w:val="clear" w:color="000000" w:fill="F2F2F2"/>
            <w:vAlign w:val="center"/>
            <w:hideMark/>
          </w:tcPr>
          <w:p w14:paraId="666143F1" w14:textId="77777777" w:rsidR="00B07312" w:rsidRPr="006B48D3" w:rsidRDefault="00B07312" w:rsidP="00D22441">
            <w:pPr>
              <w:jc w:val="left"/>
              <w:rPr>
                <w:rFonts w:ascii="Arial Narrow" w:hAnsi="Arial Narrow" w:cs="Arial"/>
                <w:spacing w:val="0"/>
                <w:sz w:val="16"/>
                <w:szCs w:val="16"/>
                <w:lang w:eastAsia="es-CO"/>
              </w:rPr>
            </w:pPr>
            <w:r w:rsidRPr="006B48D3">
              <w:rPr>
                <w:rFonts w:ascii="Arial Narrow" w:hAnsi="Arial Narrow" w:cs="Arial"/>
                <w:spacing w:val="0"/>
                <w:sz w:val="16"/>
                <w:szCs w:val="16"/>
                <w:lang w:eastAsia="es-CO"/>
              </w:rPr>
              <w:t>GAS UNION DE COLOMBIA S.A.S. E.S.P.</w:t>
            </w:r>
          </w:p>
        </w:tc>
        <w:tc>
          <w:tcPr>
            <w:tcW w:w="1620" w:type="dxa"/>
            <w:tcBorders>
              <w:top w:val="nil"/>
              <w:left w:val="nil"/>
              <w:bottom w:val="single" w:sz="4" w:space="0" w:color="auto"/>
              <w:right w:val="single" w:sz="4" w:space="0" w:color="auto"/>
            </w:tcBorders>
            <w:shd w:val="clear" w:color="000000" w:fill="F2F2F2"/>
            <w:noWrap/>
            <w:vAlign w:val="center"/>
            <w:hideMark/>
          </w:tcPr>
          <w:p w14:paraId="3C785895"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$ 885.845.000</w:t>
            </w:r>
          </w:p>
        </w:tc>
        <w:tc>
          <w:tcPr>
            <w:tcW w:w="1520" w:type="dxa"/>
            <w:tcBorders>
              <w:top w:val="nil"/>
              <w:left w:val="nil"/>
              <w:bottom w:val="single" w:sz="4" w:space="0" w:color="auto"/>
              <w:right w:val="single" w:sz="4" w:space="0" w:color="auto"/>
            </w:tcBorders>
            <w:shd w:val="clear" w:color="000000" w:fill="F2F2F2"/>
            <w:noWrap/>
            <w:vAlign w:val="center"/>
            <w:hideMark/>
          </w:tcPr>
          <w:p w14:paraId="6FEB1269"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$ 74.783.876</w:t>
            </w:r>
          </w:p>
        </w:tc>
        <w:tc>
          <w:tcPr>
            <w:tcW w:w="1460" w:type="dxa"/>
            <w:tcBorders>
              <w:top w:val="nil"/>
              <w:left w:val="nil"/>
              <w:bottom w:val="single" w:sz="4" w:space="0" w:color="auto"/>
              <w:right w:val="single" w:sz="4" w:space="0" w:color="auto"/>
            </w:tcBorders>
            <w:shd w:val="clear" w:color="000000" w:fill="F2F2F2"/>
            <w:noWrap/>
            <w:vAlign w:val="center"/>
            <w:hideMark/>
          </w:tcPr>
          <w:p w14:paraId="282E2E85"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$ 960.628.876</w:t>
            </w:r>
          </w:p>
        </w:tc>
        <w:tc>
          <w:tcPr>
            <w:tcW w:w="1280" w:type="dxa"/>
            <w:tcBorders>
              <w:top w:val="nil"/>
              <w:left w:val="nil"/>
              <w:bottom w:val="single" w:sz="4" w:space="0" w:color="auto"/>
              <w:right w:val="single" w:sz="4" w:space="0" w:color="auto"/>
            </w:tcBorders>
            <w:shd w:val="clear" w:color="000000" w:fill="F2F2F2"/>
            <w:noWrap/>
            <w:vAlign w:val="center"/>
            <w:hideMark/>
          </w:tcPr>
          <w:p w14:paraId="0EBB7F35"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$ 9.606.289</w:t>
            </w:r>
          </w:p>
        </w:tc>
        <w:tc>
          <w:tcPr>
            <w:tcW w:w="1200" w:type="dxa"/>
            <w:tcBorders>
              <w:top w:val="nil"/>
              <w:left w:val="nil"/>
              <w:bottom w:val="single" w:sz="4" w:space="0" w:color="auto"/>
              <w:right w:val="single" w:sz="4" w:space="0" w:color="auto"/>
            </w:tcBorders>
            <w:shd w:val="clear" w:color="000000" w:fill="F2F2F2"/>
            <w:noWrap/>
            <w:vAlign w:val="center"/>
            <w:hideMark/>
          </w:tcPr>
          <w:p w14:paraId="4A0BD464"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$ 400</w:t>
            </w:r>
          </w:p>
        </w:tc>
        <w:tc>
          <w:tcPr>
            <w:tcW w:w="1280" w:type="dxa"/>
            <w:tcBorders>
              <w:top w:val="nil"/>
              <w:left w:val="nil"/>
              <w:bottom w:val="single" w:sz="4" w:space="0" w:color="auto"/>
              <w:right w:val="single" w:sz="4" w:space="0" w:color="auto"/>
            </w:tcBorders>
            <w:shd w:val="clear" w:color="000000" w:fill="F2F2F2"/>
            <w:noWrap/>
            <w:vAlign w:val="center"/>
            <w:hideMark/>
          </w:tcPr>
          <w:p w14:paraId="42DFECC0"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$ 9.606.689</w:t>
            </w:r>
          </w:p>
        </w:tc>
      </w:tr>
      <w:tr w:rsidR="00B07312" w:rsidRPr="006B48D3" w14:paraId="3E7CB2DC" w14:textId="77777777" w:rsidTr="006B48D3">
        <w:trPr>
          <w:trHeight w:val="409"/>
        </w:trPr>
        <w:tc>
          <w:tcPr>
            <w:tcW w:w="407" w:type="dxa"/>
            <w:tcBorders>
              <w:top w:val="nil"/>
              <w:left w:val="single" w:sz="4" w:space="0" w:color="auto"/>
              <w:bottom w:val="single" w:sz="4" w:space="0" w:color="auto"/>
              <w:right w:val="single" w:sz="4" w:space="0" w:color="auto"/>
            </w:tcBorders>
            <w:shd w:val="clear" w:color="000000" w:fill="F2F2F2"/>
            <w:noWrap/>
            <w:vAlign w:val="center"/>
            <w:hideMark/>
          </w:tcPr>
          <w:p w14:paraId="0CF42C86" w14:textId="77777777" w:rsidR="00B07312" w:rsidRPr="006B48D3" w:rsidRDefault="00B07312" w:rsidP="00D22441">
            <w:pPr>
              <w:jc w:val="center"/>
              <w:rPr>
                <w:rFonts w:ascii="Arial Narrow" w:hAnsi="Arial Narrow" w:cs="Arial"/>
                <w:spacing w:val="0"/>
                <w:sz w:val="16"/>
                <w:szCs w:val="16"/>
                <w:lang w:eastAsia="es-CO"/>
              </w:rPr>
            </w:pPr>
            <w:r w:rsidRPr="006B48D3">
              <w:rPr>
                <w:rFonts w:ascii="Arial Narrow" w:hAnsi="Arial Narrow" w:cs="Arial"/>
                <w:spacing w:val="0"/>
                <w:sz w:val="16"/>
                <w:szCs w:val="16"/>
                <w:lang w:eastAsia="es-CO"/>
              </w:rPr>
              <w:t>103</w:t>
            </w:r>
          </w:p>
        </w:tc>
        <w:tc>
          <w:tcPr>
            <w:tcW w:w="585" w:type="dxa"/>
            <w:tcBorders>
              <w:top w:val="nil"/>
              <w:left w:val="nil"/>
              <w:bottom w:val="single" w:sz="4" w:space="0" w:color="auto"/>
              <w:right w:val="single" w:sz="4" w:space="0" w:color="auto"/>
            </w:tcBorders>
            <w:shd w:val="clear" w:color="000000" w:fill="F2F2F2"/>
            <w:noWrap/>
            <w:vAlign w:val="center"/>
            <w:hideMark/>
          </w:tcPr>
          <w:p w14:paraId="0E5CC8BB"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26677</w:t>
            </w:r>
          </w:p>
        </w:tc>
        <w:tc>
          <w:tcPr>
            <w:tcW w:w="941" w:type="dxa"/>
            <w:tcBorders>
              <w:top w:val="nil"/>
              <w:left w:val="nil"/>
              <w:bottom w:val="single" w:sz="4" w:space="0" w:color="auto"/>
              <w:right w:val="single" w:sz="4" w:space="0" w:color="auto"/>
            </w:tcBorders>
            <w:shd w:val="clear" w:color="000000" w:fill="F2F2F2"/>
            <w:noWrap/>
            <w:vAlign w:val="center"/>
            <w:hideMark/>
          </w:tcPr>
          <w:p w14:paraId="188D5C51"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900643166</w:t>
            </w:r>
          </w:p>
        </w:tc>
        <w:tc>
          <w:tcPr>
            <w:tcW w:w="3247" w:type="dxa"/>
            <w:tcBorders>
              <w:top w:val="nil"/>
              <w:left w:val="nil"/>
              <w:bottom w:val="single" w:sz="4" w:space="0" w:color="auto"/>
              <w:right w:val="single" w:sz="4" w:space="0" w:color="auto"/>
            </w:tcBorders>
            <w:shd w:val="clear" w:color="000000" w:fill="F2F2F2"/>
            <w:vAlign w:val="center"/>
            <w:hideMark/>
          </w:tcPr>
          <w:p w14:paraId="021B539D" w14:textId="77777777" w:rsidR="00B07312" w:rsidRPr="006B48D3" w:rsidRDefault="00B07312" w:rsidP="00D22441">
            <w:pPr>
              <w:jc w:val="left"/>
              <w:rPr>
                <w:rFonts w:ascii="Arial Narrow" w:hAnsi="Arial Narrow" w:cs="Arial"/>
                <w:spacing w:val="0"/>
                <w:sz w:val="16"/>
                <w:szCs w:val="16"/>
                <w:lang w:eastAsia="es-CO"/>
              </w:rPr>
            </w:pPr>
            <w:r w:rsidRPr="006B48D3">
              <w:rPr>
                <w:rFonts w:ascii="Arial Narrow" w:hAnsi="Arial Narrow" w:cs="Arial"/>
                <w:spacing w:val="0"/>
                <w:sz w:val="16"/>
                <w:szCs w:val="16"/>
                <w:lang w:eastAsia="es-CO"/>
              </w:rPr>
              <w:t>CENTRAL DE HIDROCARBUROS GC SAS ESP</w:t>
            </w:r>
          </w:p>
        </w:tc>
        <w:tc>
          <w:tcPr>
            <w:tcW w:w="1620" w:type="dxa"/>
            <w:tcBorders>
              <w:top w:val="nil"/>
              <w:left w:val="nil"/>
              <w:bottom w:val="single" w:sz="4" w:space="0" w:color="auto"/>
              <w:right w:val="single" w:sz="4" w:space="0" w:color="auto"/>
            </w:tcBorders>
            <w:shd w:val="clear" w:color="000000" w:fill="F2F2F2"/>
            <w:noWrap/>
            <w:vAlign w:val="center"/>
            <w:hideMark/>
          </w:tcPr>
          <w:p w14:paraId="6D636CBF"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$ 106.617.000</w:t>
            </w:r>
          </w:p>
        </w:tc>
        <w:tc>
          <w:tcPr>
            <w:tcW w:w="1520" w:type="dxa"/>
            <w:tcBorders>
              <w:top w:val="nil"/>
              <w:left w:val="nil"/>
              <w:bottom w:val="single" w:sz="4" w:space="0" w:color="auto"/>
              <w:right w:val="single" w:sz="4" w:space="0" w:color="auto"/>
            </w:tcBorders>
            <w:shd w:val="clear" w:color="000000" w:fill="F2F2F2"/>
            <w:noWrap/>
            <w:vAlign w:val="center"/>
            <w:hideMark/>
          </w:tcPr>
          <w:p w14:paraId="1A4FDCDE"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$ 24.695.241</w:t>
            </w:r>
          </w:p>
        </w:tc>
        <w:tc>
          <w:tcPr>
            <w:tcW w:w="1460" w:type="dxa"/>
            <w:tcBorders>
              <w:top w:val="nil"/>
              <w:left w:val="nil"/>
              <w:bottom w:val="single" w:sz="4" w:space="0" w:color="auto"/>
              <w:right w:val="single" w:sz="4" w:space="0" w:color="auto"/>
            </w:tcBorders>
            <w:shd w:val="clear" w:color="000000" w:fill="F2F2F2"/>
            <w:noWrap/>
            <w:vAlign w:val="center"/>
            <w:hideMark/>
          </w:tcPr>
          <w:p w14:paraId="04D8F669"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$ 131.312.241</w:t>
            </w:r>
          </w:p>
        </w:tc>
        <w:tc>
          <w:tcPr>
            <w:tcW w:w="1280" w:type="dxa"/>
            <w:tcBorders>
              <w:top w:val="nil"/>
              <w:left w:val="nil"/>
              <w:bottom w:val="single" w:sz="4" w:space="0" w:color="auto"/>
              <w:right w:val="single" w:sz="4" w:space="0" w:color="auto"/>
            </w:tcBorders>
            <w:shd w:val="clear" w:color="000000" w:fill="F2F2F2"/>
            <w:noWrap/>
            <w:vAlign w:val="center"/>
            <w:hideMark/>
          </w:tcPr>
          <w:p w14:paraId="1271D1BF"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$ 1.313.122</w:t>
            </w:r>
          </w:p>
        </w:tc>
        <w:tc>
          <w:tcPr>
            <w:tcW w:w="1200" w:type="dxa"/>
            <w:tcBorders>
              <w:top w:val="nil"/>
              <w:left w:val="nil"/>
              <w:bottom w:val="single" w:sz="4" w:space="0" w:color="auto"/>
              <w:right w:val="single" w:sz="4" w:space="0" w:color="auto"/>
            </w:tcBorders>
            <w:shd w:val="clear" w:color="000000" w:fill="F2F2F2"/>
            <w:noWrap/>
            <w:vAlign w:val="center"/>
            <w:hideMark/>
          </w:tcPr>
          <w:p w14:paraId="33883752"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$ 55</w:t>
            </w:r>
          </w:p>
        </w:tc>
        <w:tc>
          <w:tcPr>
            <w:tcW w:w="1280" w:type="dxa"/>
            <w:tcBorders>
              <w:top w:val="nil"/>
              <w:left w:val="nil"/>
              <w:bottom w:val="single" w:sz="4" w:space="0" w:color="auto"/>
              <w:right w:val="single" w:sz="4" w:space="0" w:color="auto"/>
            </w:tcBorders>
            <w:shd w:val="clear" w:color="000000" w:fill="F2F2F2"/>
            <w:noWrap/>
            <w:vAlign w:val="center"/>
            <w:hideMark/>
          </w:tcPr>
          <w:p w14:paraId="0BBF21B4"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$ 1.313.177</w:t>
            </w:r>
          </w:p>
        </w:tc>
      </w:tr>
      <w:tr w:rsidR="00B07312" w:rsidRPr="006B48D3" w14:paraId="15B51883" w14:textId="77777777" w:rsidTr="006B48D3">
        <w:trPr>
          <w:trHeight w:val="482"/>
        </w:trPr>
        <w:tc>
          <w:tcPr>
            <w:tcW w:w="407" w:type="dxa"/>
            <w:tcBorders>
              <w:top w:val="nil"/>
              <w:left w:val="single" w:sz="4" w:space="0" w:color="auto"/>
              <w:bottom w:val="single" w:sz="4" w:space="0" w:color="auto"/>
              <w:right w:val="single" w:sz="4" w:space="0" w:color="auto"/>
            </w:tcBorders>
            <w:shd w:val="clear" w:color="000000" w:fill="F2F2F2"/>
            <w:noWrap/>
            <w:vAlign w:val="center"/>
            <w:hideMark/>
          </w:tcPr>
          <w:p w14:paraId="50E66BCD" w14:textId="77777777" w:rsidR="00B07312" w:rsidRPr="006B48D3" w:rsidRDefault="00B07312" w:rsidP="00D22441">
            <w:pPr>
              <w:jc w:val="center"/>
              <w:rPr>
                <w:rFonts w:ascii="Arial Narrow" w:hAnsi="Arial Narrow" w:cs="Arial"/>
                <w:spacing w:val="0"/>
                <w:sz w:val="16"/>
                <w:szCs w:val="16"/>
                <w:lang w:eastAsia="es-CO"/>
              </w:rPr>
            </w:pPr>
            <w:r w:rsidRPr="006B48D3">
              <w:rPr>
                <w:rFonts w:ascii="Arial Narrow" w:hAnsi="Arial Narrow" w:cs="Arial"/>
                <w:spacing w:val="0"/>
                <w:sz w:val="16"/>
                <w:szCs w:val="16"/>
                <w:lang w:eastAsia="es-CO"/>
              </w:rPr>
              <w:t>104</w:t>
            </w:r>
          </w:p>
        </w:tc>
        <w:tc>
          <w:tcPr>
            <w:tcW w:w="585" w:type="dxa"/>
            <w:tcBorders>
              <w:top w:val="nil"/>
              <w:left w:val="nil"/>
              <w:bottom w:val="single" w:sz="4" w:space="0" w:color="auto"/>
              <w:right w:val="single" w:sz="4" w:space="0" w:color="auto"/>
            </w:tcBorders>
            <w:shd w:val="clear" w:color="000000" w:fill="F2F2F2"/>
            <w:noWrap/>
            <w:vAlign w:val="center"/>
            <w:hideMark/>
          </w:tcPr>
          <w:p w14:paraId="32C2750F"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33573</w:t>
            </w:r>
          </w:p>
        </w:tc>
        <w:tc>
          <w:tcPr>
            <w:tcW w:w="941" w:type="dxa"/>
            <w:tcBorders>
              <w:top w:val="nil"/>
              <w:left w:val="nil"/>
              <w:bottom w:val="single" w:sz="4" w:space="0" w:color="auto"/>
              <w:right w:val="single" w:sz="4" w:space="0" w:color="auto"/>
            </w:tcBorders>
            <w:shd w:val="clear" w:color="000000" w:fill="F2F2F2"/>
            <w:noWrap/>
            <w:vAlign w:val="center"/>
            <w:hideMark/>
          </w:tcPr>
          <w:p w14:paraId="69119544"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900643723</w:t>
            </w:r>
          </w:p>
        </w:tc>
        <w:tc>
          <w:tcPr>
            <w:tcW w:w="3247" w:type="dxa"/>
            <w:tcBorders>
              <w:top w:val="nil"/>
              <w:left w:val="nil"/>
              <w:bottom w:val="single" w:sz="4" w:space="0" w:color="auto"/>
              <w:right w:val="single" w:sz="4" w:space="0" w:color="auto"/>
            </w:tcBorders>
            <w:shd w:val="clear" w:color="000000" w:fill="F2F2F2"/>
            <w:vAlign w:val="center"/>
            <w:hideMark/>
          </w:tcPr>
          <w:p w14:paraId="62984338" w14:textId="77777777" w:rsidR="00B07312" w:rsidRPr="006B48D3" w:rsidRDefault="00B07312" w:rsidP="00D22441">
            <w:pPr>
              <w:jc w:val="left"/>
              <w:rPr>
                <w:rFonts w:ascii="Arial Narrow" w:hAnsi="Arial Narrow" w:cs="Arial"/>
                <w:spacing w:val="0"/>
                <w:sz w:val="16"/>
                <w:szCs w:val="16"/>
                <w:lang w:eastAsia="es-CO"/>
              </w:rPr>
            </w:pPr>
            <w:r w:rsidRPr="006B48D3">
              <w:rPr>
                <w:rFonts w:ascii="Arial Narrow" w:hAnsi="Arial Narrow" w:cs="Arial"/>
                <w:spacing w:val="0"/>
                <w:sz w:val="16"/>
                <w:szCs w:val="16"/>
                <w:lang w:eastAsia="es-CO"/>
              </w:rPr>
              <w:t xml:space="preserve">COMERCIALIZADORA </w:t>
            </w:r>
            <w:proofErr w:type="gramStart"/>
            <w:r w:rsidRPr="006B48D3">
              <w:rPr>
                <w:rFonts w:ascii="Arial Narrow" w:hAnsi="Arial Narrow" w:cs="Arial"/>
                <w:spacing w:val="0"/>
                <w:sz w:val="16"/>
                <w:szCs w:val="16"/>
                <w:lang w:eastAsia="es-CO"/>
              </w:rPr>
              <w:t>G.L.P  DEL</w:t>
            </w:r>
            <w:proofErr w:type="gramEnd"/>
            <w:r w:rsidRPr="006B48D3">
              <w:rPr>
                <w:rFonts w:ascii="Arial Narrow" w:hAnsi="Arial Narrow" w:cs="Arial"/>
                <w:spacing w:val="0"/>
                <w:sz w:val="16"/>
                <w:szCs w:val="16"/>
                <w:lang w:eastAsia="es-CO"/>
              </w:rPr>
              <w:t xml:space="preserve"> ORIENTE SAS   ESP</w:t>
            </w:r>
          </w:p>
        </w:tc>
        <w:tc>
          <w:tcPr>
            <w:tcW w:w="1620" w:type="dxa"/>
            <w:tcBorders>
              <w:top w:val="nil"/>
              <w:left w:val="nil"/>
              <w:bottom w:val="single" w:sz="4" w:space="0" w:color="auto"/>
              <w:right w:val="single" w:sz="4" w:space="0" w:color="auto"/>
            </w:tcBorders>
            <w:shd w:val="clear" w:color="000000" w:fill="F2F2F2"/>
            <w:noWrap/>
            <w:vAlign w:val="center"/>
            <w:hideMark/>
          </w:tcPr>
          <w:p w14:paraId="06579C4E"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$ 588.024.000</w:t>
            </w:r>
          </w:p>
        </w:tc>
        <w:tc>
          <w:tcPr>
            <w:tcW w:w="1520" w:type="dxa"/>
            <w:tcBorders>
              <w:top w:val="nil"/>
              <w:left w:val="nil"/>
              <w:bottom w:val="single" w:sz="4" w:space="0" w:color="auto"/>
              <w:right w:val="single" w:sz="4" w:space="0" w:color="auto"/>
            </w:tcBorders>
            <w:shd w:val="clear" w:color="000000" w:fill="F2F2F2"/>
            <w:noWrap/>
            <w:vAlign w:val="center"/>
            <w:hideMark/>
          </w:tcPr>
          <w:p w14:paraId="6A141175"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$ 17.993.014</w:t>
            </w:r>
          </w:p>
        </w:tc>
        <w:tc>
          <w:tcPr>
            <w:tcW w:w="1460" w:type="dxa"/>
            <w:tcBorders>
              <w:top w:val="nil"/>
              <w:left w:val="nil"/>
              <w:bottom w:val="single" w:sz="4" w:space="0" w:color="auto"/>
              <w:right w:val="single" w:sz="4" w:space="0" w:color="auto"/>
            </w:tcBorders>
            <w:shd w:val="clear" w:color="000000" w:fill="F2F2F2"/>
            <w:noWrap/>
            <w:vAlign w:val="center"/>
            <w:hideMark/>
          </w:tcPr>
          <w:p w14:paraId="1EEEAD64"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$ 606.017.014</w:t>
            </w:r>
          </w:p>
        </w:tc>
        <w:tc>
          <w:tcPr>
            <w:tcW w:w="1280" w:type="dxa"/>
            <w:tcBorders>
              <w:top w:val="nil"/>
              <w:left w:val="nil"/>
              <w:bottom w:val="single" w:sz="4" w:space="0" w:color="auto"/>
              <w:right w:val="single" w:sz="4" w:space="0" w:color="auto"/>
            </w:tcBorders>
            <w:shd w:val="clear" w:color="000000" w:fill="F2F2F2"/>
            <w:noWrap/>
            <w:vAlign w:val="center"/>
            <w:hideMark/>
          </w:tcPr>
          <w:p w14:paraId="457EA0C8"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$ 6.060.170</w:t>
            </w:r>
          </w:p>
        </w:tc>
        <w:tc>
          <w:tcPr>
            <w:tcW w:w="1200" w:type="dxa"/>
            <w:tcBorders>
              <w:top w:val="nil"/>
              <w:left w:val="nil"/>
              <w:bottom w:val="single" w:sz="4" w:space="0" w:color="auto"/>
              <w:right w:val="single" w:sz="4" w:space="0" w:color="auto"/>
            </w:tcBorders>
            <w:shd w:val="clear" w:color="000000" w:fill="F2F2F2"/>
            <w:noWrap/>
            <w:vAlign w:val="center"/>
            <w:hideMark/>
          </w:tcPr>
          <w:p w14:paraId="25EAEF20"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$ 252</w:t>
            </w:r>
          </w:p>
        </w:tc>
        <w:tc>
          <w:tcPr>
            <w:tcW w:w="1280" w:type="dxa"/>
            <w:tcBorders>
              <w:top w:val="nil"/>
              <w:left w:val="nil"/>
              <w:bottom w:val="single" w:sz="4" w:space="0" w:color="auto"/>
              <w:right w:val="single" w:sz="4" w:space="0" w:color="auto"/>
            </w:tcBorders>
            <w:shd w:val="clear" w:color="000000" w:fill="F2F2F2"/>
            <w:noWrap/>
            <w:vAlign w:val="center"/>
            <w:hideMark/>
          </w:tcPr>
          <w:p w14:paraId="40E469A1"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$ 6.060.422</w:t>
            </w:r>
          </w:p>
        </w:tc>
      </w:tr>
      <w:tr w:rsidR="00B07312" w:rsidRPr="006B48D3" w14:paraId="7FABAE9E" w14:textId="77777777" w:rsidTr="006B48D3">
        <w:trPr>
          <w:trHeight w:val="264"/>
        </w:trPr>
        <w:tc>
          <w:tcPr>
            <w:tcW w:w="407" w:type="dxa"/>
            <w:tcBorders>
              <w:top w:val="nil"/>
              <w:left w:val="single" w:sz="4" w:space="0" w:color="auto"/>
              <w:bottom w:val="single" w:sz="4" w:space="0" w:color="auto"/>
              <w:right w:val="single" w:sz="4" w:space="0" w:color="auto"/>
            </w:tcBorders>
            <w:shd w:val="clear" w:color="000000" w:fill="F2F2F2"/>
            <w:noWrap/>
            <w:vAlign w:val="center"/>
            <w:hideMark/>
          </w:tcPr>
          <w:p w14:paraId="5F7A16F4" w14:textId="77777777" w:rsidR="00B07312" w:rsidRPr="006B48D3" w:rsidRDefault="00B07312" w:rsidP="00D22441">
            <w:pPr>
              <w:jc w:val="center"/>
              <w:rPr>
                <w:rFonts w:ascii="Arial Narrow" w:hAnsi="Arial Narrow" w:cs="Arial"/>
                <w:spacing w:val="0"/>
                <w:sz w:val="16"/>
                <w:szCs w:val="16"/>
                <w:lang w:eastAsia="es-CO"/>
              </w:rPr>
            </w:pPr>
            <w:r w:rsidRPr="006B48D3">
              <w:rPr>
                <w:rFonts w:ascii="Arial Narrow" w:hAnsi="Arial Narrow" w:cs="Arial"/>
                <w:spacing w:val="0"/>
                <w:sz w:val="16"/>
                <w:szCs w:val="16"/>
                <w:lang w:eastAsia="es-CO"/>
              </w:rPr>
              <w:t>105</w:t>
            </w:r>
          </w:p>
        </w:tc>
        <w:tc>
          <w:tcPr>
            <w:tcW w:w="585" w:type="dxa"/>
            <w:tcBorders>
              <w:top w:val="nil"/>
              <w:left w:val="nil"/>
              <w:bottom w:val="single" w:sz="4" w:space="0" w:color="auto"/>
              <w:right w:val="single" w:sz="4" w:space="0" w:color="auto"/>
            </w:tcBorders>
            <w:shd w:val="clear" w:color="000000" w:fill="F2F2F2"/>
            <w:noWrap/>
            <w:vAlign w:val="center"/>
            <w:hideMark/>
          </w:tcPr>
          <w:p w14:paraId="69CF85C6"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26992</w:t>
            </w:r>
          </w:p>
        </w:tc>
        <w:tc>
          <w:tcPr>
            <w:tcW w:w="941" w:type="dxa"/>
            <w:tcBorders>
              <w:top w:val="nil"/>
              <w:left w:val="nil"/>
              <w:bottom w:val="single" w:sz="4" w:space="0" w:color="auto"/>
              <w:right w:val="single" w:sz="4" w:space="0" w:color="auto"/>
            </w:tcBorders>
            <w:shd w:val="clear" w:color="000000" w:fill="F2F2F2"/>
            <w:noWrap/>
            <w:vAlign w:val="center"/>
            <w:hideMark/>
          </w:tcPr>
          <w:p w14:paraId="594BF5CA"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900652188</w:t>
            </w:r>
          </w:p>
        </w:tc>
        <w:tc>
          <w:tcPr>
            <w:tcW w:w="3247" w:type="dxa"/>
            <w:tcBorders>
              <w:top w:val="nil"/>
              <w:left w:val="nil"/>
              <w:bottom w:val="single" w:sz="4" w:space="0" w:color="auto"/>
              <w:right w:val="single" w:sz="4" w:space="0" w:color="auto"/>
            </w:tcBorders>
            <w:shd w:val="clear" w:color="000000" w:fill="F2F2F2"/>
            <w:vAlign w:val="center"/>
            <w:hideMark/>
          </w:tcPr>
          <w:p w14:paraId="52211FB2" w14:textId="77777777" w:rsidR="00B07312" w:rsidRPr="006B48D3" w:rsidRDefault="00B07312" w:rsidP="00D22441">
            <w:pPr>
              <w:jc w:val="left"/>
              <w:rPr>
                <w:rFonts w:ascii="Arial Narrow" w:hAnsi="Arial Narrow" w:cs="Arial"/>
                <w:spacing w:val="0"/>
                <w:sz w:val="16"/>
                <w:szCs w:val="16"/>
                <w:lang w:eastAsia="es-CO"/>
              </w:rPr>
            </w:pPr>
            <w:r w:rsidRPr="006B48D3">
              <w:rPr>
                <w:rFonts w:ascii="Arial Narrow" w:hAnsi="Arial Narrow" w:cs="Arial"/>
                <w:spacing w:val="0"/>
                <w:sz w:val="16"/>
                <w:szCs w:val="16"/>
                <w:lang w:eastAsia="es-CO"/>
              </w:rPr>
              <w:t>REDEGAS DOMICILIARIO S. A.  ESP</w:t>
            </w:r>
          </w:p>
        </w:tc>
        <w:tc>
          <w:tcPr>
            <w:tcW w:w="1620" w:type="dxa"/>
            <w:tcBorders>
              <w:top w:val="nil"/>
              <w:left w:val="nil"/>
              <w:bottom w:val="single" w:sz="4" w:space="0" w:color="auto"/>
              <w:right w:val="single" w:sz="4" w:space="0" w:color="auto"/>
            </w:tcBorders>
            <w:shd w:val="clear" w:color="000000" w:fill="F2F2F2"/>
            <w:noWrap/>
            <w:vAlign w:val="center"/>
            <w:hideMark/>
          </w:tcPr>
          <w:p w14:paraId="5BC9DD48"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$ 425.102.000</w:t>
            </w:r>
          </w:p>
        </w:tc>
        <w:tc>
          <w:tcPr>
            <w:tcW w:w="1520" w:type="dxa"/>
            <w:tcBorders>
              <w:top w:val="nil"/>
              <w:left w:val="nil"/>
              <w:bottom w:val="single" w:sz="4" w:space="0" w:color="auto"/>
              <w:right w:val="single" w:sz="4" w:space="0" w:color="auto"/>
            </w:tcBorders>
            <w:shd w:val="clear" w:color="000000" w:fill="F2F2F2"/>
            <w:noWrap/>
            <w:vAlign w:val="center"/>
            <w:hideMark/>
          </w:tcPr>
          <w:p w14:paraId="6A3B0964"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$ 8.187.282</w:t>
            </w:r>
          </w:p>
        </w:tc>
        <w:tc>
          <w:tcPr>
            <w:tcW w:w="1460" w:type="dxa"/>
            <w:tcBorders>
              <w:top w:val="nil"/>
              <w:left w:val="nil"/>
              <w:bottom w:val="single" w:sz="4" w:space="0" w:color="auto"/>
              <w:right w:val="single" w:sz="4" w:space="0" w:color="auto"/>
            </w:tcBorders>
            <w:shd w:val="clear" w:color="000000" w:fill="F2F2F2"/>
            <w:noWrap/>
            <w:vAlign w:val="center"/>
            <w:hideMark/>
          </w:tcPr>
          <w:p w14:paraId="75E4334B"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$ 433.289.282</w:t>
            </w:r>
          </w:p>
        </w:tc>
        <w:tc>
          <w:tcPr>
            <w:tcW w:w="1280" w:type="dxa"/>
            <w:tcBorders>
              <w:top w:val="nil"/>
              <w:left w:val="nil"/>
              <w:bottom w:val="single" w:sz="4" w:space="0" w:color="auto"/>
              <w:right w:val="single" w:sz="4" w:space="0" w:color="auto"/>
            </w:tcBorders>
            <w:shd w:val="clear" w:color="000000" w:fill="F2F2F2"/>
            <w:noWrap/>
            <w:vAlign w:val="center"/>
            <w:hideMark/>
          </w:tcPr>
          <w:p w14:paraId="4E90A8A6"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$ 4.332.893</w:t>
            </w:r>
          </w:p>
        </w:tc>
        <w:tc>
          <w:tcPr>
            <w:tcW w:w="1200" w:type="dxa"/>
            <w:tcBorders>
              <w:top w:val="nil"/>
              <w:left w:val="nil"/>
              <w:bottom w:val="single" w:sz="4" w:space="0" w:color="auto"/>
              <w:right w:val="single" w:sz="4" w:space="0" w:color="auto"/>
            </w:tcBorders>
            <w:shd w:val="clear" w:color="000000" w:fill="F2F2F2"/>
            <w:noWrap/>
            <w:vAlign w:val="center"/>
            <w:hideMark/>
          </w:tcPr>
          <w:p w14:paraId="1EA2D16E"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$ 180</w:t>
            </w:r>
          </w:p>
        </w:tc>
        <w:tc>
          <w:tcPr>
            <w:tcW w:w="1280" w:type="dxa"/>
            <w:tcBorders>
              <w:top w:val="nil"/>
              <w:left w:val="nil"/>
              <w:bottom w:val="single" w:sz="4" w:space="0" w:color="auto"/>
              <w:right w:val="single" w:sz="4" w:space="0" w:color="auto"/>
            </w:tcBorders>
            <w:shd w:val="clear" w:color="000000" w:fill="F2F2F2"/>
            <w:noWrap/>
            <w:vAlign w:val="center"/>
            <w:hideMark/>
          </w:tcPr>
          <w:p w14:paraId="67493CBB"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$ 4.333.073</w:t>
            </w:r>
          </w:p>
        </w:tc>
      </w:tr>
      <w:tr w:rsidR="00B07312" w:rsidRPr="006B48D3" w14:paraId="2E86C107" w14:textId="77777777" w:rsidTr="006B48D3">
        <w:trPr>
          <w:trHeight w:val="255"/>
        </w:trPr>
        <w:tc>
          <w:tcPr>
            <w:tcW w:w="407" w:type="dxa"/>
            <w:tcBorders>
              <w:top w:val="nil"/>
              <w:left w:val="single" w:sz="4" w:space="0" w:color="auto"/>
              <w:bottom w:val="single" w:sz="4" w:space="0" w:color="auto"/>
              <w:right w:val="single" w:sz="4" w:space="0" w:color="auto"/>
            </w:tcBorders>
            <w:shd w:val="clear" w:color="000000" w:fill="F2F2F2"/>
            <w:noWrap/>
            <w:vAlign w:val="center"/>
            <w:hideMark/>
          </w:tcPr>
          <w:p w14:paraId="7856D7AF" w14:textId="77777777" w:rsidR="00B07312" w:rsidRPr="006B48D3" w:rsidRDefault="00B07312" w:rsidP="00D22441">
            <w:pPr>
              <w:jc w:val="center"/>
              <w:rPr>
                <w:rFonts w:ascii="Arial Narrow" w:hAnsi="Arial Narrow" w:cs="Arial"/>
                <w:spacing w:val="0"/>
                <w:sz w:val="16"/>
                <w:szCs w:val="16"/>
                <w:lang w:eastAsia="es-CO"/>
              </w:rPr>
            </w:pPr>
            <w:r w:rsidRPr="006B48D3">
              <w:rPr>
                <w:rFonts w:ascii="Arial Narrow" w:hAnsi="Arial Narrow" w:cs="Arial"/>
                <w:spacing w:val="0"/>
                <w:sz w:val="16"/>
                <w:szCs w:val="16"/>
                <w:lang w:eastAsia="es-CO"/>
              </w:rPr>
              <w:t>106</w:t>
            </w:r>
          </w:p>
        </w:tc>
        <w:tc>
          <w:tcPr>
            <w:tcW w:w="585" w:type="dxa"/>
            <w:tcBorders>
              <w:top w:val="nil"/>
              <w:left w:val="nil"/>
              <w:bottom w:val="single" w:sz="4" w:space="0" w:color="auto"/>
              <w:right w:val="single" w:sz="4" w:space="0" w:color="auto"/>
            </w:tcBorders>
            <w:shd w:val="clear" w:color="000000" w:fill="F2F2F2"/>
            <w:noWrap/>
            <w:vAlign w:val="center"/>
            <w:hideMark/>
          </w:tcPr>
          <w:p w14:paraId="369D512E"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32213</w:t>
            </w:r>
          </w:p>
        </w:tc>
        <w:tc>
          <w:tcPr>
            <w:tcW w:w="941" w:type="dxa"/>
            <w:tcBorders>
              <w:top w:val="nil"/>
              <w:left w:val="nil"/>
              <w:bottom w:val="single" w:sz="4" w:space="0" w:color="auto"/>
              <w:right w:val="single" w:sz="4" w:space="0" w:color="auto"/>
            </w:tcBorders>
            <w:shd w:val="clear" w:color="000000" w:fill="F2F2F2"/>
            <w:noWrap/>
            <w:vAlign w:val="center"/>
            <w:hideMark/>
          </w:tcPr>
          <w:p w14:paraId="4C402E3F"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900653272</w:t>
            </w:r>
          </w:p>
        </w:tc>
        <w:tc>
          <w:tcPr>
            <w:tcW w:w="3247" w:type="dxa"/>
            <w:tcBorders>
              <w:top w:val="nil"/>
              <w:left w:val="nil"/>
              <w:bottom w:val="single" w:sz="4" w:space="0" w:color="auto"/>
              <w:right w:val="single" w:sz="4" w:space="0" w:color="auto"/>
            </w:tcBorders>
            <w:shd w:val="clear" w:color="000000" w:fill="F2F2F2"/>
            <w:vAlign w:val="center"/>
            <w:hideMark/>
          </w:tcPr>
          <w:p w14:paraId="553B0D3D" w14:textId="77777777" w:rsidR="00B07312" w:rsidRPr="006B48D3" w:rsidRDefault="00B07312" w:rsidP="00D22441">
            <w:pPr>
              <w:jc w:val="left"/>
              <w:rPr>
                <w:rFonts w:ascii="Arial Narrow" w:hAnsi="Arial Narrow" w:cs="Arial"/>
                <w:spacing w:val="0"/>
                <w:sz w:val="16"/>
                <w:szCs w:val="16"/>
                <w:lang w:eastAsia="es-CO"/>
              </w:rPr>
            </w:pPr>
            <w:r w:rsidRPr="006B48D3">
              <w:rPr>
                <w:rFonts w:ascii="Arial Narrow" w:hAnsi="Arial Narrow" w:cs="Arial"/>
                <w:spacing w:val="0"/>
                <w:sz w:val="16"/>
                <w:szCs w:val="16"/>
                <w:lang w:eastAsia="es-CO"/>
              </w:rPr>
              <w:t>KEOPS Y ASOCIADOS SAS ESP</w:t>
            </w:r>
          </w:p>
        </w:tc>
        <w:tc>
          <w:tcPr>
            <w:tcW w:w="1620" w:type="dxa"/>
            <w:tcBorders>
              <w:top w:val="nil"/>
              <w:left w:val="nil"/>
              <w:bottom w:val="single" w:sz="4" w:space="0" w:color="auto"/>
              <w:right w:val="single" w:sz="4" w:space="0" w:color="auto"/>
            </w:tcBorders>
            <w:shd w:val="clear" w:color="000000" w:fill="F2F2F2"/>
            <w:noWrap/>
            <w:vAlign w:val="center"/>
            <w:hideMark/>
          </w:tcPr>
          <w:p w14:paraId="5577BBA5"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$ 411.354.000</w:t>
            </w:r>
          </w:p>
        </w:tc>
        <w:tc>
          <w:tcPr>
            <w:tcW w:w="1520" w:type="dxa"/>
            <w:tcBorders>
              <w:top w:val="nil"/>
              <w:left w:val="nil"/>
              <w:bottom w:val="single" w:sz="4" w:space="0" w:color="auto"/>
              <w:right w:val="single" w:sz="4" w:space="0" w:color="auto"/>
            </w:tcBorders>
            <w:shd w:val="clear" w:color="000000" w:fill="F2F2F2"/>
            <w:noWrap/>
            <w:vAlign w:val="center"/>
            <w:hideMark/>
          </w:tcPr>
          <w:p w14:paraId="6D6684A7"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$ 19.606.584</w:t>
            </w:r>
          </w:p>
        </w:tc>
        <w:tc>
          <w:tcPr>
            <w:tcW w:w="1460" w:type="dxa"/>
            <w:tcBorders>
              <w:top w:val="nil"/>
              <w:left w:val="nil"/>
              <w:bottom w:val="single" w:sz="4" w:space="0" w:color="auto"/>
              <w:right w:val="single" w:sz="4" w:space="0" w:color="auto"/>
            </w:tcBorders>
            <w:shd w:val="clear" w:color="000000" w:fill="F2F2F2"/>
            <w:noWrap/>
            <w:vAlign w:val="center"/>
            <w:hideMark/>
          </w:tcPr>
          <w:p w14:paraId="10FBE119"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$ 430.960.584</w:t>
            </w:r>
          </w:p>
        </w:tc>
        <w:tc>
          <w:tcPr>
            <w:tcW w:w="1280" w:type="dxa"/>
            <w:tcBorders>
              <w:top w:val="nil"/>
              <w:left w:val="nil"/>
              <w:bottom w:val="single" w:sz="4" w:space="0" w:color="auto"/>
              <w:right w:val="single" w:sz="4" w:space="0" w:color="auto"/>
            </w:tcBorders>
            <w:shd w:val="clear" w:color="000000" w:fill="F2F2F2"/>
            <w:noWrap/>
            <w:vAlign w:val="center"/>
            <w:hideMark/>
          </w:tcPr>
          <w:p w14:paraId="29F73B40"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$ 4.309.606</w:t>
            </w:r>
          </w:p>
        </w:tc>
        <w:tc>
          <w:tcPr>
            <w:tcW w:w="1200" w:type="dxa"/>
            <w:tcBorders>
              <w:top w:val="nil"/>
              <w:left w:val="nil"/>
              <w:bottom w:val="single" w:sz="4" w:space="0" w:color="auto"/>
              <w:right w:val="single" w:sz="4" w:space="0" w:color="auto"/>
            </w:tcBorders>
            <w:shd w:val="clear" w:color="000000" w:fill="F2F2F2"/>
            <w:noWrap/>
            <w:vAlign w:val="center"/>
            <w:hideMark/>
          </w:tcPr>
          <w:p w14:paraId="0CA8BE73"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$ 179</w:t>
            </w:r>
          </w:p>
        </w:tc>
        <w:tc>
          <w:tcPr>
            <w:tcW w:w="1280" w:type="dxa"/>
            <w:tcBorders>
              <w:top w:val="nil"/>
              <w:left w:val="nil"/>
              <w:bottom w:val="single" w:sz="4" w:space="0" w:color="auto"/>
              <w:right w:val="single" w:sz="4" w:space="0" w:color="auto"/>
            </w:tcBorders>
            <w:shd w:val="clear" w:color="000000" w:fill="F2F2F2"/>
            <w:noWrap/>
            <w:vAlign w:val="center"/>
            <w:hideMark/>
          </w:tcPr>
          <w:p w14:paraId="409EFE18"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$ 4.309.785</w:t>
            </w:r>
          </w:p>
        </w:tc>
      </w:tr>
      <w:tr w:rsidR="00B07312" w:rsidRPr="006B48D3" w14:paraId="3063AF60" w14:textId="77777777" w:rsidTr="006B48D3">
        <w:trPr>
          <w:trHeight w:val="275"/>
        </w:trPr>
        <w:tc>
          <w:tcPr>
            <w:tcW w:w="407" w:type="dxa"/>
            <w:tcBorders>
              <w:top w:val="nil"/>
              <w:left w:val="single" w:sz="4" w:space="0" w:color="auto"/>
              <w:bottom w:val="single" w:sz="4" w:space="0" w:color="auto"/>
              <w:right w:val="single" w:sz="4" w:space="0" w:color="auto"/>
            </w:tcBorders>
            <w:shd w:val="clear" w:color="000000" w:fill="F2F2F2"/>
            <w:noWrap/>
            <w:vAlign w:val="center"/>
            <w:hideMark/>
          </w:tcPr>
          <w:p w14:paraId="02A7E903" w14:textId="77777777" w:rsidR="00B07312" w:rsidRPr="006B48D3" w:rsidRDefault="00B07312" w:rsidP="00D22441">
            <w:pPr>
              <w:jc w:val="center"/>
              <w:rPr>
                <w:rFonts w:ascii="Arial Narrow" w:hAnsi="Arial Narrow" w:cs="Arial"/>
                <w:spacing w:val="0"/>
                <w:sz w:val="16"/>
                <w:szCs w:val="16"/>
                <w:lang w:eastAsia="es-CO"/>
              </w:rPr>
            </w:pPr>
            <w:r w:rsidRPr="006B48D3">
              <w:rPr>
                <w:rFonts w:ascii="Arial Narrow" w:hAnsi="Arial Narrow" w:cs="Arial"/>
                <w:spacing w:val="0"/>
                <w:sz w:val="16"/>
                <w:szCs w:val="16"/>
                <w:lang w:eastAsia="es-CO"/>
              </w:rPr>
              <w:t>107</w:t>
            </w:r>
          </w:p>
        </w:tc>
        <w:tc>
          <w:tcPr>
            <w:tcW w:w="585" w:type="dxa"/>
            <w:tcBorders>
              <w:top w:val="nil"/>
              <w:left w:val="nil"/>
              <w:bottom w:val="single" w:sz="4" w:space="0" w:color="auto"/>
              <w:right w:val="single" w:sz="4" w:space="0" w:color="auto"/>
            </w:tcBorders>
            <w:shd w:val="clear" w:color="000000" w:fill="F2F2F2"/>
            <w:noWrap/>
            <w:vAlign w:val="center"/>
            <w:hideMark/>
          </w:tcPr>
          <w:p w14:paraId="7EA2C5CB"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26728</w:t>
            </w:r>
          </w:p>
        </w:tc>
        <w:tc>
          <w:tcPr>
            <w:tcW w:w="941" w:type="dxa"/>
            <w:tcBorders>
              <w:top w:val="nil"/>
              <w:left w:val="nil"/>
              <w:bottom w:val="single" w:sz="4" w:space="0" w:color="auto"/>
              <w:right w:val="single" w:sz="4" w:space="0" w:color="auto"/>
            </w:tcBorders>
            <w:shd w:val="clear" w:color="000000" w:fill="F2F2F2"/>
            <w:noWrap/>
            <w:vAlign w:val="center"/>
            <w:hideMark/>
          </w:tcPr>
          <w:p w14:paraId="458AF54F"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900666756</w:t>
            </w:r>
          </w:p>
        </w:tc>
        <w:tc>
          <w:tcPr>
            <w:tcW w:w="3247" w:type="dxa"/>
            <w:tcBorders>
              <w:top w:val="nil"/>
              <w:left w:val="nil"/>
              <w:bottom w:val="single" w:sz="4" w:space="0" w:color="auto"/>
              <w:right w:val="single" w:sz="4" w:space="0" w:color="auto"/>
            </w:tcBorders>
            <w:shd w:val="clear" w:color="000000" w:fill="F2F2F2"/>
            <w:vAlign w:val="center"/>
            <w:hideMark/>
          </w:tcPr>
          <w:p w14:paraId="7EF1AC24" w14:textId="77777777" w:rsidR="00B07312" w:rsidRPr="006B48D3" w:rsidRDefault="00B07312" w:rsidP="00D22441">
            <w:pPr>
              <w:jc w:val="left"/>
              <w:rPr>
                <w:rFonts w:ascii="Arial Narrow" w:hAnsi="Arial Narrow" w:cs="Arial"/>
                <w:spacing w:val="0"/>
                <w:sz w:val="16"/>
                <w:szCs w:val="16"/>
                <w:lang w:eastAsia="es-CO"/>
              </w:rPr>
            </w:pPr>
            <w:r w:rsidRPr="006B48D3">
              <w:rPr>
                <w:rFonts w:ascii="Arial Narrow" w:hAnsi="Arial Narrow" w:cs="Arial"/>
                <w:spacing w:val="0"/>
                <w:sz w:val="16"/>
                <w:szCs w:val="16"/>
                <w:lang w:eastAsia="es-CO"/>
              </w:rPr>
              <w:t>VIDA GAS POR NATURALEZA S.A. E.S.P.</w:t>
            </w:r>
          </w:p>
        </w:tc>
        <w:tc>
          <w:tcPr>
            <w:tcW w:w="1620" w:type="dxa"/>
            <w:tcBorders>
              <w:top w:val="nil"/>
              <w:left w:val="nil"/>
              <w:bottom w:val="single" w:sz="4" w:space="0" w:color="auto"/>
              <w:right w:val="single" w:sz="4" w:space="0" w:color="auto"/>
            </w:tcBorders>
            <w:shd w:val="clear" w:color="000000" w:fill="F2F2F2"/>
            <w:noWrap/>
            <w:vAlign w:val="center"/>
            <w:hideMark/>
          </w:tcPr>
          <w:p w14:paraId="1865D61E"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$ 219.133.000</w:t>
            </w:r>
          </w:p>
        </w:tc>
        <w:tc>
          <w:tcPr>
            <w:tcW w:w="1520" w:type="dxa"/>
            <w:tcBorders>
              <w:top w:val="nil"/>
              <w:left w:val="nil"/>
              <w:bottom w:val="single" w:sz="4" w:space="0" w:color="auto"/>
              <w:right w:val="single" w:sz="4" w:space="0" w:color="auto"/>
            </w:tcBorders>
            <w:shd w:val="clear" w:color="000000" w:fill="F2F2F2"/>
            <w:noWrap/>
            <w:vAlign w:val="center"/>
            <w:hideMark/>
          </w:tcPr>
          <w:p w14:paraId="15D40C40"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$ 5.945.311</w:t>
            </w:r>
          </w:p>
        </w:tc>
        <w:tc>
          <w:tcPr>
            <w:tcW w:w="1460" w:type="dxa"/>
            <w:tcBorders>
              <w:top w:val="nil"/>
              <w:left w:val="nil"/>
              <w:bottom w:val="single" w:sz="4" w:space="0" w:color="auto"/>
              <w:right w:val="single" w:sz="4" w:space="0" w:color="auto"/>
            </w:tcBorders>
            <w:shd w:val="clear" w:color="000000" w:fill="F2F2F2"/>
            <w:noWrap/>
            <w:vAlign w:val="center"/>
            <w:hideMark/>
          </w:tcPr>
          <w:p w14:paraId="02E6B471"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$ 225.078.311</w:t>
            </w:r>
          </w:p>
        </w:tc>
        <w:tc>
          <w:tcPr>
            <w:tcW w:w="1280" w:type="dxa"/>
            <w:tcBorders>
              <w:top w:val="nil"/>
              <w:left w:val="nil"/>
              <w:bottom w:val="single" w:sz="4" w:space="0" w:color="auto"/>
              <w:right w:val="single" w:sz="4" w:space="0" w:color="auto"/>
            </w:tcBorders>
            <w:shd w:val="clear" w:color="000000" w:fill="F2F2F2"/>
            <w:noWrap/>
            <w:vAlign w:val="center"/>
            <w:hideMark/>
          </w:tcPr>
          <w:p w14:paraId="67A50793"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$ 2.250.783</w:t>
            </w:r>
          </w:p>
        </w:tc>
        <w:tc>
          <w:tcPr>
            <w:tcW w:w="1200" w:type="dxa"/>
            <w:tcBorders>
              <w:top w:val="nil"/>
              <w:left w:val="nil"/>
              <w:bottom w:val="single" w:sz="4" w:space="0" w:color="auto"/>
              <w:right w:val="single" w:sz="4" w:space="0" w:color="auto"/>
            </w:tcBorders>
            <w:shd w:val="clear" w:color="000000" w:fill="F2F2F2"/>
            <w:noWrap/>
            <w:vAlign w:val="center"/>
            <w:hideMark/>
          </w:tcPr>
          <w:p w14:paraId="412078E8"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$ 94</w:t>
            </w:r>
          </w:p>
        </w:tc>
        <w:tc>
          <w:tcPr>
            <w:tcW w:w="1280" w:type="dxa"/>
            <w:tcBorders>
              <w:top w:val="nil"/>
              <w:left w:val="nil"/>
              <w:bottom w:val="single" w:sz="4" w:space="0" w:color="auto"/>
              <w:right w:val="single" w:sz="4" w:space="0" w:color="auto"/>
            </w:tcBorders>
            <w:shd w:val="clear" w:color="000000" w:fill="F2F2F2"/>
            <w:noWrap/>
            <w:vAlign w:val="center"/>
            <w:hideMark/>
          </w:tcPr>
          <w:p w14:paraId="15CB3958"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$ 2.250.877</w:t>
            </w:r>
          </w:p>
        </w:tc>
      </w:tr>
      <w:tr w:rsidR="00B07312" w:rsidRPr="006B48D3" w14:paraId="306E1AEA" w14:textId="77777777" w:rsidTr="006B48D3">
        <w:trPr>
          <w:trHeight w:val="466"/>
        </w:trPr>
        <w:tc>
          <w:tcPr>
            <w:tcW w:w="407" w:type="dxa"/>
            <w:tcBorders>
              <w:top w:val="nil"/>
              <w:left w:val="single" w:sz="4" w:space="0" w:color="auto"/>
              <w:bottom w:val="single" w:sz="4" w:space="0" w:color="auto"/>
              <w:right w:val="single" w:sz="4" w:space="0" w:color="auto"/>
            </w:tcBorders>
            <w:shd w:val="clear" w:color="000000" w:fill="F2F2F2"/>
            <w:noWrap/>
            <w:vAlign w:val="center"/>
            <w:hideMark/>
          </w:tcPr>
          <w:p w14:paraId="7B4BB782" w14:textId="77777777" w:rsidR="00B07312" w:rsidRPr="006B48D3" w:rsidRDefault="00B07312" w:rsidP="00D22441">
            <w:pPr>
              <w:jc w:val="center"/>
              <w:rPr>
                <w:rFonts w:ascii="Arial Narrow" w:hAnsi="Arial Narrow" w:cs="Arial"/>
                <w:spacing w:val="0"/>
                <w:sz w:val="16"/>
                <w:szCs w:val="16"/>
                <w:lang w:eastAsia="es-CO"/>
              </w:rPr>
            </w:pPr>
            <w:r w:rsidRPr="006B48D3">
              <w:rPr>
                <w:rFonts w:ascii="Arial Narrow" w:hAnsi="Arial Narrow" w:cs="Arial"/>
                <w:spacing w:val="0"/>
                <w:sz w:val="16"/>
                <w:szCs w:val="16"/>
                <w:lang w:eastAsia="es-CO"/>
              </w:rPr>
              <w:t>108</w:t>
            </w:r>
          </w:p>
        </w:tc>
        <w:tc>
          <w:tcPr>
            <w:tcW w:w="585" w:type="dxa"/>
            <w:tcBorders>
              <w:top w:val="nil"/>
              <w:left w:val="nil"/>
              <w:bottom w:val="single" w:sz="4" w:space="0" w:color="auto"/>
              <w:right w:val="single" w:sz="4" w:space="0" w:color="auto"/>
            </w:tcBorders>
            <w:shd w:val="clear" w:color="000000" w:fill="F2F2F2"/>
            <w:noWrap/>
            <w:vAlign w:val="center"/>
            <w:hideMark/>
          </w:tcPr>
          <w:p w14:paraId="22CBFAED"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26817</w:t>
            </w:r>
          </w:p>
        </w:tc>
        <w:tc>
          <w:tcPr>
            <w:tcW w:w="941" w:type="dxa"/>
            <w:tcBorders>
              <w:top w:val="nil"/>
              <w:left w:val="nil"/>
              <w:bottom w:val="single" w:sz="4" w:space="0" w:color="auto"/>
              <w:right w:val="single" w:sz="4" w:space="0" w:color="auto"/>
            </w:tcBorders>
            <w:shd w:val="clear" w:color="000000" w:fill="F2F2F2"/>
            <w:noWrap/>
            <w:vAlign w:val="center"/>
            <w:hideMark/>
          </w:tcPr>
          <w:p w14:paraId="066623F4"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900701845</w:t>
            </w:r>
          </w:p>
        </w:tc>
        <w:tc>
          <w:tcPr>
            <w:tcW w:w="3247" w:type="dxa"/>
            <w:tcBorders>
              <w:top w:val="nil"/>
              <w:left w:val="nil"/>
              <w:bottom w:val="single" w:sz="4" w:space="0" w:color="auto"/>
              <w:right w:val="single" w:sz="4" w:space="0" w:color="auto"/>
            </w:tcBorders>
            <w:shd w:val="clear" w:color="000000" w:fill="F2F2F2"/>
            <w:vAlign w:val="center"/>
            <w:hideMark/>
          </w:tcPr>
          <w:p w14:paraId="177DF08E" w14:textId="77777777" w:rsidR="00B07312" w:rsidRPr="006B48D3" w:rsidRDefault="00B07312" w:rsidP="00D22441">
            <w:pPr>
              <w:jc w:val="left"/>
              <w:rPr>
                <w:rFonts w:ascii="Arial Narrow" w:hAnsi="Arial Narrow" w:cs="Arial"/>
                <w:spacing w:val="0"/>
                <w:sz w:val="16"/>
                <w:szCs w:val="16"/>
                <w:lang w:eastAsia="es-CO"/>
              </w:rPr>
            </w:pPr>
            <w:r w:rsidRPr="006B48D3">
              <w:rPr>
                <w:rFonts w:ascii="Arial Narrow" w:hAnsi="Arial Narrow" w:cs="Arial"/>
                <w:spacing w:val="0"/>
                <w:sz w:val="16"/>
                <w:szCs w:val="16"/>
                <w:lang w:eastAsia="es-CO"/>
              </w:rPr>
              <w:t>GAS PROPANO DE COLOMBIA S.A.S. E.S.P.</w:t>
            </w:r>
          </w:p>
        </w:tc>
        <w:tc>
          <w:tcPr>
            <w:tcW w:w="1620" w:type="dxa"/>
            <w:tcBorders>
              <w:top w:val="nil"/>
              <w:left w:val="nil"/>
              <w:bottom w:val="single" w:sz="4" w:space="0" w:color="auto"/>
              <w:right w:val="single" w:sz="4" w:space="0" w:color="auto"/>
            </w:tcBorders>
            <w:shd w:val="clear" w:color="000000" w:fill="F2F2F2"/>
            <w:noWrap/>
            <w:vAlign w:val="center"/>
            <w:hideMark/>
          </w:tcPr>
          <w:p w14:paraId="558231CE"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$ 299.059.000</w:t>
            </w:r>
          </w:p>
        </w:tc>
        <w:tc>
          <w:tcPr>
            <w:tcW w:w="1520" w:type="dxa"/>
            <w:tcBorders>
              <w:top w:val="nil"/>
              <w:left w:val="nil"/>
              <w:bottom w:val="single" w:sz="4" w:space="0" w:color="auto"/>
              <w:right w:val="single" w:sz="4" w:space="0" w:color="auto"/>
            </w:tcBorders>
            <w:shd w:val="clear" w:color="000000" w:fill="F2F2F2"/>
            <w:noWrap/>
            <w:vAlign w:val="center"/>
            <w:hideMark/>
          </w:tcPr>
          <w:p w14:paraId="7EBD8AD7"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$ 166.383</w:t>
            </w:r>
          </w:p>
        </w:tc>
        <w:tc>
          <w:tcPr>
            <w:tcW w:w="1460" w:type="dxa"/>
            <w:tcBorders>
              <w:top w:val="nil"/>
              <w:left w:val="nil"/>
              <w:bottom w:val="single" w:sz="4" w:space="0" w:color="auto"/>
              <w:right w:val="single" w:sz="4" w:space="0" w:color="auto"/>
            </w:tcBorders>
            <w:shd w:val="clear" w:color="000000" w:fill="F2F2F2"/>
            <w:noWrap/>
            <w:vAlign w:val="center"/>
            <w:hideMark/>
          </w:tcPr>
          <w:p w14:paraId="48846699"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$ 299.225.383</w:t>
            </w:r>
          </w:p>
        </w:tc>
        <w:tc>
          <w:tcPr>
            <w:tcW w:w="1280" w:type="dxa"/>
            <w:tcBorders>
              <w:top w:val="nil"/>
              <w:left w:val="nil"/>
              <w:bottom w:val="single" w:sz="4" w:space="0" w:color="auto"/>
              <w:right w:val="single" w:sz="4" w:space="0" w:color="auto"/>
            </w:tcBorders>
            <w:shd w:val="clear" w:color="000000" w:fill="F2F2F2"/>
            <w:noWrap/>
            <w:vAlign w:val="center"/>
            <w:hideMark/>
          </w:tcPr>
          <w:p w14:paraId="1A60C53D"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$ 2.992.254</w:t>
            </w:r>
          </w:p>
        </w:tc>
        <w:tc>
          <w:tcPr>
            <w:tcW w:w="1200" w:type="dxa"/>
            <w:tcBorders>
              <w:top w:val="nil"/>
              <w:left w:val="nil"/>
              <w:bottom w:val="single" w:sz="4" w:space="0" w:color="auto"/>
              <w:right w:val="single" w:sz="4" w:space="0" w:color="auto"/>
            </w:tcBorders>
            <w:shd w:val="clear" w:color="000000" w:fill="F2F2F2"/>
            <w:noWrap/>
            <w:vAlign w:val="center"/>
            <w:hideMark/>
          </w:tcPr>
          <w:p w14:paraId="0D7B7DD8"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$ 125</w:t>
            </w:r>
          </w:p>
        </w:tc>
        <w:tc>
          <w:tcPr>
            <w:tcW w:w="1280" w:type="dxa"/>
            <w:tcBorders>
              <w:top w:val="nil"/>
              <w:left w:val="nil"/>
              <w:bottom w:val="single" w:sz="4" w:space="0" w:color="auto"/>
              <w:right w:val="single" w:sz="4" w:space="0" w:color="auto"/>
            </w:tcBorders>
            <w:shd w:val="clear" w:color="000000" w:fill="F2F2F2"/>
            <w:noWrap/>
            <w:vAlign w:val="center"/>
            <w:hideMark/>
          </w:tcPr>
          <w:p w14:paraId="55978249"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$ 2.992.378</w:t>
            </w:r>
          </w:p>
        </w:tc>
      </w:tr>
      <w:tr w:rsidR="00B07312" w:rsidRPr="006B48D3" w14:paraId="13B8E7AB" w14:textId="77777777" w:rsidTr="006B48D3">
        <w:trPr>
          <w:trHeight w:val="297"/>
        </w:trPr>
        <w:tc>
          <w:tcPr>
            <w:tcW w:w="407" w:type="dxa"/>
            <w:tcBorders>
              <w:top w:val="nil"/>
              <w:left w:val="single" w:sz="4" w:space="0" w:color="auto"/>
              <w:bottom w:val="single" w:sz="4" w:space="0" w:color="auto"/>
              <w:right w:val="single" w:sz="4" w:space="0" w:color="auto"/>
            </w:tcBorders>
            <w:shd w:val="clear" w:color="000000" w:fill="F2F2F2"/>
            <w:noWrap/>
            <w:vAlign w:val="center"/>
            <w:hideMark/>
          </w:tcPr>
          <w:p w14:paraId="0B0B482C" w14:textId="77777777" w:rsidR="00B07312" w:rsidRPr="006B48D3" w:rsidRDefault="00B07312" w:rsidP="00D22441">
            <w:pPr>
              <w:jc w:val="center"/>
              <w:rPr>
                <w:rFonts w:ascii="Arial Narrow" w:hAnsi="Arial Narrow" w:cs="Arial"/>
                <w:spacing w:val="0"/>
                <w:sz w:val="16"/>
                <w:szCs w:val="16"/>
                <w:lang w:eastAsia="es-CO"/>
              </w:rPr>
            </w:pPr>
            <w:r w:rsidRPr="006B48D3">
              <w:rPr>
                <w:rFonts w:ascii="Arial Narrow" w:hAnsi="Arial Narrow" w:cs="Arial"/>
                <w:spacing w:val="0"/>
                <w:sz w:val="16"/>
                <w:szCs w:val="16"/>
                <w:lang w:eastAsia="es-CO"/>
              </w:rPr>
              <w:t>109</w:t>
            </w:r>
          </w:p>
        </w:tc>
        <w:tc>
          <w:tcPr>
            <w:tcW w:w="585" w:type="dxa"/>
            <w:tcBorders>
              <w:top w:val="nil"/>
              <w:left w:val="nil"/>
              <w:bottom w:val="single" w:sz="4" w:space="0" w:color="auto"/>
              <w:right w:val="single" w:sz="4" w:space="0" w:color="auto"/>
            </w:tcBorders>
            <w:shd w:val="clear" w:color="000000" w:fill="F2F2F2"/>
            <w:noWrap/>
            <w:vAlign w:val="center"/>
            <w:hideMark/>
          </w:tcPr>
          <w:p w14:paraId="4ADC6633"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31493</w:t>
            </w:r>
          </w:p>
        </w:tc>
        <w:tc>
          <w:tcPr>
            <w:tcW w:w="941" w:type="dxa"/>
            <w:tcBorders>
              <w:top w:val="nil"/>
              <w:left w:val="nil"/>
              <w:bottom w:val="single" w:sz="4" w:space="0" w:color="auto"/>
              <w:right w:val="single" w:sz="4" w:space="0" w:color="auto"/>
            </w:tcBorders>
            <w:shd w:val="clear" w:color="000000" w:fill="F2F2F2"/>
            <w:noWrap/>
            <w:vAlign w:val="center"/>
            <w:hideMark/>
          </w:tcPr>
          <w:p w14:paraId="04497E6F"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900713658</w:t>
            </w:r>
          </w:p>
        </w:tc>
        <w:tc>
          <w:tcPr>
            <w:tcW w:w="3247" w:type="dxa"/>
            <w:tcBorders>
              <w:top w:val="nil"/>
              <w:left w:val="nil"/>
              <w:bottom w:val="single" w:sz="4" w:space="0" w:color="auto"/>
              <w:right w:val="single" w:sz="4" w:space="0" w:color="auto"/>
            </w:tcBorders>
            <w:shd w:val="clear" w:color="000000" w:fill="F2F2F2"/>
            <w:vAlign w:val="center"/>
            <w:hideMark/>
          </w:tcPr>
          <w:p w14:paraId="12841BE1" w14:textId="77777777" w:rsidR="00B07312" w:rsidRPr="006B48D3" w:rsidRDefault="00B07312" w:rsidP="00D22441">
            <w:pPr>
              <w:jc w:val="left"/>
              <w:rPr>
                <w:rFonts w:ascii="Arial Narrow" w:hAnsi="Arial Narrow" w:cs="Arial"/>
                <w:spacing w:val="0"/>
                <w:sz w:val="16"/>
                <w:szCs w:val="16"/>
                <w:lang w:eastAsia="es-CO"/>
              </w:rPr>
            </w:pPr>
            <w:r w:rsidRPr="006B48D3">
              <w:rPr>
                <w:rFonts w:ascii="Arial Narrow" w:hAnsi="Arial Narrow" w:cs="Arial"/>
                <w:spacing w:val="0"/>
                <w:sz w:val="16"/>
                <w:szCs w:val="16"/>
                <w:lang w:eastAsia="es-CO"/>
              </w:rPr>
              <w:t>CNE OIL &amp; GAS SAS</w:t>
            </w:r>
          </w:p>
        </w:tc>
        <w:tc>
          <w:tcPr>
            <w:tcW w:w="1620" w:type="dxa"/>
            <w:tcBorders>
              <w:top w:val="nil"/>
              <w:left w:val="nil"/>
              <w:bottom w:val="single" w:sz="4" w:space="0" w:color="auto"/>
              <w:right w:val="single" w:sz="4" w:space="0" w:color="auto"/>
            </w:tcBorders>
            <w:shd w:val="clear" w:color="000000" w:fill="F2F2F2"/>
            <w:noWrap/>
            <w:vAlign w:val="center"/>
            <w:hideMark/>
          </w:tcPr>
          <w:p w14:paraId="712E3903"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$ 50.744.086.000</w:t>
            </w:r>
          </w:p>
        </w:tc>
        <w:tc>
          <w:tcPr>
            <w:tcW w:w="1520" w:type="dxa"/>
            <w:tcBorders>
              <w:top w:val="nil"/>
              <w:left w:val="nil"/>
              <w:bottom w:val="single" w:sz="4" w:space="0" w:color="auto"/>
              <w:right w:val="single" w:sz="4" w:space="0" w:color="auto"/>
            </w:tcBorders>
            <w:shd w:val="clear" w:color="000000" w:fill="F2F2F2"/>
            <w:noWrap/>
            <w:vAlign w:val="center"/>
            <w:hideMark/>
          </w:tcPr>
          <w:p w14:paraId="154E23B9"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$ 775.371.991</w:t>
            </w:r>
          </w:p>
        </w:tc>
        <w:tc>
          <w:tcPr>
            <w:tcW w:w="1460" w:type="dxa"/>
            <w:tcBorders>
              <w:top w:val="nil"/>
              <w:left w:val="nil"/>
              <w:bottom w:val="single" w:sz="4" w:space="0" w:color="auto"/>
              <w:right w:val="single" w:sz="4" w:space="0" w:color="auto"/>
            </w:tcBorders>
            <w:shd w:val="clear" w:color="000000" w:fill="F2F2F2"/>
            <w:noWrap/>
            <w:vAlign w:val="center"/>
            <w:hideMark/>
          </w:tcPr>
          <w:p w14:paraId="71BD3EF4"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$ 51.519.457.991</w:t>
            </w:r>
          </w:p>
        </w:tc>
        <w:tc>
          <w:tcPr>
            <w:tcW w:w="1280" w:type="dxa"/>
            <w:tcBorders>
              <w:top w:val="nil"/>
              <w:left w:val="nil"/>
              <w:bottom w:val="single" w:sz="4" w:space="0" w:color="auto"/>
              <w:right w:val="single" w:sz="4" w:space="0" w:color="auto"/>
            </w:tcBorders>
            <w:shd w:val="clear" w:color="000000" w:fill="F2F2F2"/>
            <w:noWrap/>
            <w:vAlign w:val="center"/>
            <w:hideMark/>
          </w:tcPr>
          <w:p w14:paraId="0425132D"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$ 515.194.580</w:t>
            </w:r>
          </w:p>
        </w:tc>
        <w:tc>
          <w:tcPr>
            <w:tcW w:w="1200" w:type="dxa"/>
            <w:tcBorders>
              <w:top w:val="nil"/>
              <w:left w:val="nil"/>
              <w:bottom w:val="single" w:sz="4" w:space="0" w:color="auto"/>
              <w:right w:val="single" w:sz="4" w:space="0" w:color="auto"/>
            </w:tcBorders>
            <w:shd w:val="clear" w:color="000000" w:fill="F2F2F2"/>
            <w:noWrap/>
            <w:vAlign w:val="center"/>
            <w:hideMark/>
          </w:tcPr>
          <w:p w14:paraId="1D5D54A1"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$ 21.441</w:t>
            </w:r>
          </w:p>
        </w:tc>
        <w:tc>
          <w:tcPr>
            <w:tcW w:w="1280" w:type="dxa"/>
            <w:tcBorders>
              <w:top w:val="nil"/>
              <w:left w:val="nil"/>
              <w:bottom w:val="single" w:sz="4" w:space="0" w:color="auto"/>
              <w:right w:val="single" w:sz="4" w:space="0" w:color="auto"/>
            </w:tcBorders>
            <w:shd w:val="clear" w:color="000000" w:fill="F2F2F2"/>
            <w:noWrap/>
            <w:vAlign w:val="center"/>
            <w:hideMark/>
          </w:tcPr>
          <w:p w14:paraId="20846F92"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$ 515.216.021</w:t>
            </w:r>
          </w:p>
        </w:tc>
      </w:tr>
      <w:tr w:rsidR="00B07312" w:rsidRPr="006B48D3" w14:paraId="3B648359" w14:textId="77777777" w:rsidTr="006B48D3">
        <w:trPr>
          <w:trHeight w:val="450"/>
        </w:trPr>
        <w:tc>
          <w:tcPr>
            <w:tcW w:w="407" w:type="dxa"/>
            <w:tcBorders>
              <w:top w:val="nil"/>
              <w:left w:val="single" w:sz="4" w:space="0" w:color="auto"/>
              <w:bottom w:val="single" w:sz="4" w:space="0" w:color="auto"/>
              <w:right w:val="single" w:sz="4" w:space="0" w:color="auto"/>
            </w:tcBorders>
            <w:shd w:val="clear" w:color="000000" w:fill="F2F2F2"/>
            <w:noWrap/>
            <w:vAlign w:val="center"/>
            <w:hideMark/>
          </w:tcPr>
          <w:p w14:paraId="379C445E" w14:textId="77777777" w:rsidR="00B07312" w:rsidRPr="006B48D3" w:rsidRDefault="00B07312" w:rsidP="00D22441">
            <w:pPr>
              <w:jc w:val="center"/>
              <w:rPr>
                <w:rFonts w:ascii="Arial Narrow" w:hAnsi="Arial Narrow" w:cs="Arial"/>
                <w:spacing w:val="0"/>
                <w:sz w:val="16"/>
                <w:szCs w:val="16"/>
                <w:lang w:eastAsia="es-CO"/>
              </w:rPr>
            </w:pPr>
            <w:r w:rsidRPr="006B48D3">
              <w:rPr>
                <w:rFonts w:ascii="Arial Narrow" w:hAnsi="Arial Narrow" w:cs="Arial"/>
                <w:spacing w:val="0"/>
                <w:sz w:val="16"/>
                <w:szCs w:val="16"/>
                <w:lang w:eastAsia="es-CO"/>
              </w:rPr>
              <w:t>110</w:t>
            </w:r>
          </w:p>
        </w:tc>
        <w:tc>
          <w:tcPr>
            <w:tcW w:w="585" w:type="dxa"/>
            <w:tcBorders>
              <w:top w:val="nil"/>
              <w:left w:val="nil"/>
              <w:bottom w:val="single" w:sz="4" w:space="0" w:color="auto"/>
              <w:right w:val="single" w:sz="4" w:space="0" w:color="auto"/>
            </w:tcBorders>
            <w:shd w:val="clear" w:color="000000" w:fill="F2F2F2"/>
            <w:noWrap/>
            <w:vAlign w:val="center"/>
            <w:hideMark/>
          </w:tcPr>
          <w:p w14:paraId="00F79B4D"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37354</w:t>
            </w:r>
          </w:p>
        </w:tc>
        <w:tc>
          <w:tcPr>
            <w:tcW w:w="941" w:type="dxa"/>
            <w:tcBorders>
              <w:top w:val="nil"/>
              <w:left w:val="nil"/>
              <w:bottom w:val="single" w:sz="4" w:space="0" w:color="auto"/>
              <w:right w:val="single" w:sz="4" w:space="0" w:color="auto"/>
            </w:tcBorders>
            <w:shd w:val="clear" w:color="000000" w:fill="F2F2F2"/>
            <w:noWrap/>
            <w:vAlign w:val="center"/>
            <w:hideMark/>
          </w:tcPr>
          <w:p w14:paraId="360D8196"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900716459</w:t>
            </w:r>
          </w:p>
        </w:tc>
        <w:tc>
          <w:tcPr>
            <w:tcW w:w="3247" w:type="dxa"/>
            <w:tcBorders>
              <w:top w:val="nil"/>
              <w:left w:val="nil"/>
              <w:bottom w:val="single" w:sz="4" w:space="0" w:color="auto"/>
              <w:right w:val="single" w:sz="4" w:space="0" w:color="auto"/>
            </w:tcBorders>
            <w:shd w:val="clear" w:color="000000" w:fill="F2F2F2"/>
            <w:vAlign w:val="center"/>
            <w:hideMark/>
          </w:tcPr>
          <w:p w14:paraId="3F311C34" w14:textId="77777777" w:rsidR="00B07312" w:rsidRPr="006B48D3" w:rsidRDefault="00B07312" w:rsidP="00D22441">
            <w:pPr>
              <w:jc w:val="left"/>
              <w:rPr>
                <w:rFonts w:ascii="Arial Narrow" w:hAnsi="Arial Narrow" w:cs="Arial"/>
                <w:spacing w:val="0"/>
                <w:sz w:val="16"/>
                <w:szCs w:val="16"/>
                <w:lang w:eastAsia="es-CO"/>
              </w:rPr>
            </w:pPr>
            <w:r w:rsidRPr="006B48D3">
              <w:rPr>
                <w:rFonts w:ascii="Arial Narrow" w:hAnsi="Arial Narrow" w:cs="Arial"/>
                <w:spacing w:val="0"/>
                <w:sz w:val="16"/>
                <w:szCs w:val="16"/>
                <w:lang w:eastAsia="es-CO"/>
              </w:rPr>
              <w:t>COLOMBIANA DE SERVICIOS PÚBLICOS SOSTENIBLES S.A E.</w:t>
            </w:r>
            <w:proofErr w:type="gramStart"/>
            <w:r w:rsidRPr="006B48D3">
              <w:rPr>
                <w:rFonts w:ascii="Arial Narrow" w:hAnsi="Arial Narrow" w:cs="Arial"/>
                <w:spacing w:val="0"/>
                <w:sz w:val="16"/>
                <w:szCs w:val="16"/>
                <w:lang w:eastAsia="es-CO"/>
              </w:rPr>
              <w:t>S.P</w:t>
            </w:r>
            <w:proofErr w:type="gramEnd"/>
          </w:p>
        </w:tc>
        <w:tc>
          <w:tcPr>
            <w:tcW w:w="1620" w:type="dxa"/>
            <w:tcBorders>
              <w:top w:val="nil"/>
              <w:left w:val="nil"/>
              <w:bottom w:val="single" w:sz="4" w:space="0" w:color="auto"/>
              <w:right w:val="single" w:sz="4" w:space="0" w:color="auto"/>
            </w:tcBorders>
            <w:shd w:val="clear" w:color="000000" w:fill="F2F2F2"/>
            <w:noWrap/>
            <w:vAlign w:val="center"/>
            <w:hideMark/>
          </w:tcPr>
          <w:p w14:paraId="5A13CB7C"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$ 428.489.000</w:t>
            </w:r>
          </w:p>
        </w:tc>
        <w:tc>
          <w:tcPr>
            <w:tcW w:w="1520" w:type="dxa"/>
            <w:tcBorders>
              <w:top w:val="nil"/>
              <w:left w:val="nil"/>
              <w:bottom w:val="single" w:sz="4" w:space="0" w:color="auto"/>
              <w:right w:val="single" w:sz="4" w:space="0" w:color="auto"/>
            </w:tcBorders>
            <w:shd w:val="clear" w:color="000000" w:fill="F2F2F2"/>
            <w:noWrap/>
            <w:vAlign w:val="center"/>
            <w:hideMark/>
          </w:tcPr>
          <w:p w14:paraId="447230A9"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$ 7.908.350</w:t>
            </w:r>
          </w:p>
        </w:tc>
        <w:tc>
          <w:tcPr>
            <w:tcW w:w="1460" w:type="dxa"/>
            <w:tcBorders>
              <w:top w:val="nil"/>
              <w:left w:val="nil"/>
              <w:bottom w:val="single" w:sz="4" w:space="0" w:color="auto"/>
              <w:right w:val="single" w:sz="4" w:space="0" w:color="auto"/>
            </w:tcBorders>
            <w:shd w:val="clear" w:color="000000" w:fill="F2F2F2"/>
            <w:noWrap/>
            <w:vAlign w:val="center"/>
            <w:hideMark/>
          </w:tcPr>
          <w:p w14:paraId="6BC18A59"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$ 436.397.350</w:t>
            </w:r>
          </w:p>
        </w:tc>
        <w:tc>
          <w:tcPr>
            <w:tcW w:w="1280" w:type="dxa"/>
            <w:tcBorders>
              <w:top w:val="nil"/>
              <w:left w:val="nil"/>
              <w:bottom w:val="single" w:sz="4" w:space="0" w:color="auto"/>
              <w:right w:val="single" w:sz="4" w:space="0" w:color="auto"/>
            </w:tcBorders>
            <w:shd w:val="clear" w:color="000000" w:fill="F2F2F2"/>
            <w:noWrap/>
            <w:vAlign w:val="center"/>
            <w:hideMark/>
          </w:tcPr>
          <w:p w14:paraId="7AE5790E"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$ 4.363.974</w:t>
            </w:r>
          </w:p>
        </w:tc>
        <w:tc>
          <w:tcPr>
            <w:tcW w:w="1200" w:type="dxa"/>
            <w:tcBorders>
              <w:top w:val="nil"/>
              <w:left w:val="nil"/>
              <w:bottom w:val="single" w:sz="4" w:space="0" w:color="auto"/>
              <w:right w:val="single" w:sz="4" w:space="0" w:color="auto"/>
            </w:tcBorders>
            <w:shd w:val="clear" w:color="000000" w:fill="F2F2F2"/>
            <w:noWrap/>
            <w:vAlign w:val="center"/>
            <w:hideMark/>
          </w:tcPr>
          <w:p w14:paraId="506210AF"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$ 182</w:t>
            </w:r>
          </w:p>
        </w:tc>
        <w:tc>
          <w:tcPr>
            <w:tcW w:w="1280" w:type="dxa"/>
            <w:tcBorders>
              <w:top w:val="nil"/>
              <w:left w:val="nil"/>
              <w:bottom w:val="single" w:sz="4" w:space="0" w:color="auto"/>
              <w:right w:val="single" w:sz="4" w:space="0" w:color="auto"/>
            </w:tcBorders>
            <w:shd w:val="clear" w:color="000000" w:fill="F2F2F2"/>
            <w:noWrap/>
            <w:vAlign w:val="center"/>
            <w:hideMark/>
          </w:tcPr>
          <w:p w14:paraId="5D26FA7D"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$ 4.364.155</w:t>
            </w:r>
          </w:p>
        </w:tc>
      </w:tr>
      <w:tr w:rsidR="00B07312" w:rsidRPr="006B48D3" w14:paraId="188FADDB" w14:textId="77777777" w:rsidTr="006B48D3">
        <w:trPr>
          <w:trHeight w:val="277"/>
        </w:trPr>
        <w:tc>
          <w:tcPr>
            <w:tcW w:w="407" w:type="dxa"/>
            <w:tcBorders>
              <w:top w:val="nil"/>
              <w:left w:val="single" w:sz="4" w:space="0" w:color="auto"/>
              <w:bottom w:val="single" w:sz="4" w:space="0" w:color="auto"/>
              <w:right w:val="single" w:sz="4" w:space="0" w:color="auto"/>
            </w:tcBorders>
            <w:shd w:val="clear" w:color="000000" w:fill="F2F2F2"/>
            <w:noWrap/>
            <w:vAlign w:val="center"/>
            <w:hideMark/>
          </w:tcPr>
          <w:p w14:paraId="1A0FC36D" w14:textId="77777777" w:rsidR="00B07312" w:rsidRPr="006B48D3" w:rsidRDefault="00B07312" w:rsidP="00D22441">
            <w:pPr>
              <w:jc w:val="center"/>
              <w:rPr>
                <w:rFonts w:ascii="Arial Narrow" w:hAnsi="Arial Narrow" w:cs="Arial"/>
                <w:spacing w:val="0"/>
                <w:sz w:val="16"/>
                <w:szCs w:val="16"/>
                <w:lang w:eastAsia="es-CO"/>
              </w:rPr>
            </w:pPr>
            <w:r w:rsidRPr="006B48D3">
              <w:rPr>
                <w:rFonts w:ascii="Arial Narrow" w:hAnsi="Arial Narrow" w:cs="Arial"/>
                <w:spacing w:val="0"/>
                <w:sz w:val="16"/>
                <w:szCs w:val="16"/>
                <w:lang w:eastAsia="es-CO"/>
              </w:rPr>
              <w:t>111</w:t>
            </w:r>
          </w:p>
        </w:tc>
        <w:tc>
          <w:tcPr>
            <w:tcW w:w="585" w:type="dxa"/>
            <w:tcBorders>
              <w:top w:val="nil"/>
              <w:left w:val="nil"/>
              <w:bottom w:val="single" w:sz="4" w:space="0" w:color="auto"/>
              <w:right w:val="single" w:sz="4" w:space="0" w:color="auto"/>
            </w:tcBorders>
            <w:shd w:val="clear" w:color="000000" w:fill="F2F2F2"/>
            <w:noWrap/>
            <w:vAlign w:val="center"/>
            <w:hideMark/>
          </w:tcPr>
          <w:p w14:paraId="69C8FB1F"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31513</w:t>
            </w:r>
          </w:p>
        </w:tc>
        <w:tc>
          <w:tcPr>
            <w:tcW w:w="941" w:type="dxa"/>
            <w:tcBorders>
              <w:top w:val="nil"/>
              <w:left w:val="nil"/>
              <w:bottom w:val="single" w:sz="4" w:space="0" w:color="auto"/>
              <w:right w:val="single" w:sz="4" w:space="0" w:color="auto"/>
            </w:tcBorders>
            <w:shd w:val="clear" w:color="000000" w:fill="F2F2F2"/>
            <w:noWrap/>
            <w:vAlign w:val="center"/>
            <w:hideMark/>
          </w:tcPr>
          <w:p w14:paraId="5E56BBE3"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900718988</w:t>
            </w:r>
          </w:p>
        </w:tc>
        <w:tc>
          <w:tcPr>
            <w:tcW w:w="3247" w:type="dxa"/>
            <w:tcBorders>
              <w:top w:val="nil"/>
              <w:left w:val="nil"/>
              <w:bottom w:val="single" w:sz="4" w:space="0" w:color="auto"/>
              <w:right w:val="single" w:sz="4" w:space="0" w:color="auto"/>
            </w:tcBorders>
            <w:shd w:val="clear" w:color="000000" w:fill="F2F2F2"/>
            <w:vAlign w:val="center"/>
            <w:hideMark/>
          </w:tcPr>
          <w:p w14:paraId="4072D552" w14:textId="77777777" w:rsidR="00B07312" w:rsidRPr="006B48D3" w:rsidRDefault="00B07312" w:rsidP="00D22441">
            <w:pPr>
              <w:jc w:val="left"/>
              <w:rPr>
                <w:rFonts w:ascii="Arial Narrow" w:hAnsi="Arial Narrow" w:cs="Arial"/>
                <w:spacing w:val="0"/>
                <w:sz w:val="16"/>
                <w:szCs w:val="16"/>
                <w:lang w:eastAsia="es-CO"/>
              </w:rPr>
            </w:pPr>
            <w:r w:rsidRPr="006B48D3">
              <w:rPr>
                <w:rFonts w:ascii="Arial Narrow" w:hAnsi="Arial Narrow" w:cs="Arial"/>
                <w:spacing w:val="0"/>
                <w:sz w:val="16"/>
                <w:szCs w:val="16"/>
                <w:lang w:eastAsia="es-CO"/>
              </w:rPr>
              <w:t>CENTAURO GAS SA ESP</w:t>
            </w:r>
          </w:p>
        </w:tc>
        <w:tc>
          <w:tcPr>
            <w:tcW w:w="1620" w:type="dxa"/>
            <w:tcBorders>
              <w:top w:val="nil"/>
              <w:left w:val="nil"/>
              <w:bottom w:val="single" w:sz="4" w:space="0" w:color="auto"/>
              <w:right w:val="single" w:sz="4" w:space="0" w:color="auto"/>
            </w:tcBorders>
            <w:shd w:val="clear" w:color="000000" w:fill="F2F2F2"/>
            <w:noWrap/>
            <w:vAlign w:val="center"/>
            <w:hideMark/>
          </w:tcPr>
          <w:p w14:paraId="106E8D2C"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$ 51.444.000</w:t>
            </w:r>
          </w:p>
        </w:tc>
        <w:tc>
          <w:tcPr>
            <w:tcW w:w="1520" w:type="dxa"/>
            <w:tcBorders>
              <w:top w:val="nil"/>
              <w:left w:val="nil"/>
              <w:bottom w:val="single" w:sz="4" w:space="0" w:color="auto"/>
              <w:right w:val="single" w:sz="4" w:space="0" w:color="auto"/>
            </w:tcBorders>
            <w:shd w:val="clear" w:color="000000" w:fill="F2F2F2"/>
            <w:noWrap/>
            <w:vAlign w:val="center"/>
            <w:hideMark/>
          </w:tcPr>
          <w:p w14:paraId="7C2A976A"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$ 1.189.717</w:t>
            </w:r>
          </w:p>
        </w:tc>
        <w:tc>
          <w:tcPr>
            <w:tcW w:w="1460" w:type="dxa"/>
            <w:tcBorders>
              <w:top w:val="nil"/>
              <w:left w:val="nil"/>
              <w:bottom w:val="single" w:sz="4" w:space="0" w:color="auto"/>
              <w:right w:val="single" w:sz="4" w:space="0" w:color="auto"/>
            </w:tcBorders>
            <w:shd w:val="clear" w:color="000000" w:fill="F2F2F2"/>
            <w:noWrap/>
            <w:vAlign w:val="center"/>
            <w:hideMark/>
          </w:tcPr>
          <w:p w14:paraId="08FFB3D3"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$ 52.633.717</w:t>
            </w:r>
          </w:p>
        </w:tc>
        <w:tc>
          <w:tcPr>
            <w:tcW w:w="1280" w:type="dxa"/>
            <w:tcBorders>
              <w:top w:val="nil"/>
              <w:left w:val="nil"/>
              <w:bottom w:val="single" w:sz="4" w:space="0" w:color="auto"/>
              <w:right w:val="single" w:sz="4" w:space="0" w:color="auto"/>
            </w:tcBorders>
            <w:shd w:val="clear" w:color="000000" w:fill="F2F2F2"/>
            <w:noWrap/>
            <w:vAlign w:val="center"/>
            <w:hideMark/>
          </w:tcPr>
          <w:p w14:paraId="54A251EF"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$ 526.337</w:t>
            </w:r>
          </w:p>
        </w:tc>
        <w:tc>
          <w:tcPr>
            <w:tcW w:w="1200" w:type="dxa"/>
            <w:tcBorders>
              <w:top w:val="nil"/>
              <w:left w:val="nil"/>
              <w:bottom w:val="single" w:sz="4" w:space="0" w:color="auto"/>
              <w:right w:val="single" w:sz="4" w:space="0" w:color="auto"/>
            </w:tcBorders>
            <w:shd w:val="clear" w:color="000000" w:fill="F2F2F2"/>
            <w:noWrap/>
            <w:vAlign w:val="center"/>
            <w:hideMark/>
          </w:tcPr>
          <w:p w14:paraId="722E2513"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$ 22</w:t>
            </w:r>
          </w:p>
        </w:tc>
        <w:tc>
          <w:tcPr>
            <w:tcW w:w="1280" w:type="dxa"/>
            <w:tcBorders>
              <w:top w:val="nil"/>
              <w:left w:val="nil"/>
              <w:bottom w:val="single" w:sz="4" w:space="0" w:color="auto"/>
              <w:right w:val="single" w:sz="4" w:space="0" w:color="auto"/>
            </w:tcBorders>
            <w:shd w:val="clear" w:color="000000" w:fill="F2F2F2"/>
            <w:noWrap/>
            <w:vAlign w:val="center"/>
            <w:hideMark/>
          </w:tcPr>
          <w:p w14:paraId="6F512F47"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$ 526.359</w:t>
            </w:r>
          </w:p>
        </w:tc>
      </w:tr>
      <w:tr w:rsidR="00B07312" w:rsidRPr="006B48D3" w14:paraId="784F5B81" w14:textId="77777777" w:rsidTr="006B48D3">
        <w:trPr>
          <w:trHeight w:val="383"/>
        </w:trPr>
        <w:tc>
          <w:tcPr>
            <w:tcW w:w="407" w:type="dxa"/>
            <w:tcBorders>
              <w:top w:val="nil"/>
              <w:left w:val="single" w:sz="4" w:space="0" w:color="auto"/>
              <w:bottom w:val="single" w:sz="4" w:space="0" w:color="auto"/>
              <w:right w:val="single" w:sz="4" w:space="0" w:color="auto"/>
            </w:tcBorders>
            <w:shd w:val="clear" w:color="000000" w:fill="F2F2F2"/>
            <w:noWrap/>
            <w:vAlign w:val="center"/>
            <w:hideMark/>
          </w:tcPr>
          <w:p w14:paraId="5B0D7629" w14:textId="77777777" w:rsidR="00B07312" w:rsidRPr="006B48D3" w:rsidRDefault="00B07312" w:rsidP="00D22441">
            <w:pPr>
              <w:jc w:val="center"/>
              <w:rPr>
                <w:rFonts w:ascii="Arial Narrow" w:hAnsi="Arial Narrow" w:cs="Arial"/>
                <w:spacing w:val="0"/>
                <w:sz w:val="16"/>
                <w:szCs w:val="16"/>
                <w:lang w:eastAsia="es-CO"/>
              </w:rPr>
            </w:pPr>
            <w:r w:rsidRPr="006B48D3">
              <w:rPr>
                <w:rFonts w:ascii="Arial Narrow" w:hAnsi="Arial Narrow" w:cs="Arial"/>
                <w:spacing w:val="0"/>
                <w:sz w:val="16"/>
                <w:szCs w:val="16"/>
                <w:lang w:eastAsia="es-CO"/>
              </w:rPr>
              <w:t>112</w:t>
            </w:r>
          </w:p>
        </w:tc>
        <w:tc>
          <w:tcPr>
            <w:tcW w:w="585" w:type="dxa"/>
            <w:tcBorders>
              <w:top w:val="nil"/>
              <w:left w:val="nil"/>
              <w:bottom w:val="single" w:sz="4" w:space="0" w:color="auto"/>
              <w:right w:val="single" w:sz="4" w:space="0" w:color="auto"/>
            </w:tcBorders>
            <w:shd w:val="clear" w:color="000000" w:fill="F2F2F2"/>
            <w:noWrap/>
            <w:vAlign w:val="center"/>
            <w:hideMark/>
          </w:tcPr>
          <w:p w14:paraId="2E7AE74D"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27812</w:t>
            </w:r>
          </w:p>
        </w:tc>
        <w:tc>
          <w:tcPr>
            <w:tcW w:w="941" w:type="dxa"/>
            <w:tcBorders>
              <w:top w:val="nil"/>
              <w:left w:val="nil"/>
              <w:bottom w:val="single" w:sz="4" w:space="0" w:color="auto"/>
              <w:right w:val="single" w:sz="4" w:space="0" w:color="auto"/>
            </w:tcBorders>
            <w:shd w:val="clear" w:color="000000" w:fill="F2F2F2"/>
            <w:noWrap/>
            <w:vAlign w:val="center"/>
            <w:hideMark/>
          </w:tcPr>
          <w:p w14:paraId="3C0837BC"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900771588</w:t>
            </w:r>
          </w:p>
        </w:tc>
        <w:tc>
          <w:tcPr>
            <w:tcW w:w="3247" w:type="dxa"/>
            <w:tcBorders>
              <w:top w:val="nil"/>
              <w:left w:val="nil"/>
              <w:bottom w:val="single" w:sz="4" w:space="0" w:color="auto"/>
              <w:right w:val="single" w:sz="4" w:space="0" w:color="auto"/>
            </w:tcBorders>
            <w:shd w:val="clear" w:color="000000" w:fill="F2F2F2"/>
            <w:vAlign w:val="center"/>
            <w:hideMark/>
          </w:tcPr>
          <w:p w14:paraId="224EFB12" w14:textId="77777777" w:rsidR="00B07312" w:rsidRPr="006B48D3" w:rsidRDefault="00B07312" w:rsidP="00D22441">
            <w:pPr>
              <w:jc w:val="left"/>
              <w:rPr>
                <w:rFonts w:ascii="Arial Narrow" w:hAnsi="Arial Narrow" w:cs="Arial"/>
                <w:spacing w:val="0"/>
                <w:sz w:val="16"/>
                <w:szCs w:val="16"/>
                <w:lang w:eastAsia="es-CO"/>
              </w:rPr>
            </w:pPr>
            <w:r w:rsidRPr="006B48D3">
              <w:rPr>
                <w:rFonts w:ascii="Arial Narrow" w:hAnsi="Arial Narrow" w:cs="Arial"/>
                <w:spacing w:val="0"/>
                <w:sz w:val="16"/>
                <w:szCs w:val="16"/>
                <w:lang w:eastAsia="es-CO"/>
              </w:rPr>
              <w:t>GAS PAC S.A.S. ESP.</w:t>
            </w:r>
          </w:p>
        </w:tc>
        <w:tc>
          <w:tcPr>
            <w:tcW w:w="1620" w:type="dxa"/>
            <w:tcBorders>
              <w:top w:val="nil"/>
              <w:left w:val="nil"/>
              <w:bottom w:val="single" w:sz="4" w:space="0" w:color="auto"/>
              <w:right w:val="single" w:sz="4" w:space="0" w:color="auto"/>
            </w:tcBorders>
            <w:shd w:val="clear" w:color="000000" w:fill="F2F2F2"/>
            <w:noWrap/>
            <w:vAlign w:val="center"/>
            <w:hideMark/>
          </w:tcPr>
          <w:p w14:paraId="4B0297DD"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$ 250.836.000</w:t>
            </w:r>
          </w:p>
        </w:tc>
        <w:tc>
          <w:tcPr>
            <w:tcW w:w="1520" w:type="dxa"/>
            <w:tcBorders>
              <w:top w:val="nil"/>
              <w:left w:val="nil"/>
              <w:bottom w:val="single" w:sz="4" w:space="0" w:color="auto"/>
              <w:right w:val="single" w:sz="4" w:space="0" w:color="auto"/>
            </w:tcBorders>
            <w:shd w:val="clear" w:color="000000" w:fill="F2F2F2"/>
            <w:noWrap/>
            <w:vAlign w:val="center"/>
            <w:hideMark/>
          </w:tcPr>
          <w:p w14:paraId="3D88C736"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$ 32.042.083</w:t>
            </w:r>
          </w:p>
        </w:tc>
        <w:tc>
          <w:tcPr>
            <w:tcW w:w="1460" w:type="dxa"/>
            <w:tcBorders>
              <w:top w:val="nil"/>
              <w:left w:val="nil"/>
              <w:bottom w:val="single" w:sz="4" w:space="0" w:color="auto"/>
              <w:right w:val="single" w:sz="4" w:space="0" w:color="auto"/>
            </w:tcBorders>
            <w:shd w:val="clear" w:color="000000" w:fill="F2F2F2"/>
            <w:noWrap/>
            <w:vAlign w:val="center"/>
            <w:hideMark/>
          </w:tcPr>
          <w:p w14:paraId="434F38DC"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$ 282.878.083</w:t>
            </w:r>
          </w:p>
        </w:tc>
        <w:tc>
          <w:tcPr>
            <w:tcW w:w="1280" w:type="dxa"/>
            <w:tcBorders>
              <w:top w:val="nil"/>
              <w:left w:val="nil"/>
              <w:bottom w:val="single" w:sz="4" w:space="0" w:color="auto"/>
              <w:right w:val="single" w:sz="4" w:space="0" w:color="auto"/>
            </w:tcBorders>
            <w:shd w:val="clear" w:color="000000" w:fill="F2F2F2"/>
            <w:noWrap/>
            <w:vAlign w:val="center"/>
            <w:hideMark/>
          </w:tcPr>
          <w:p w14:paraId="51452C62"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$ 2.828.781</w:t>
            </w:r>
          </w:p>
        </w:tc>
        <w:tc>
          <w:tcPr>
            <w:tcW w:w="1200" w:type="dxa"/>
            <w:tcBorders>
              <w:top w:val="nil"/>
              <w:left w:val="nil"/>
              <w:bottom w:val="single" w:sz="4" w:space="0" w:color="auto"/>
              <w:right w:val="single" w:sz="4" w:space="0" w:color="auto"/>
            </w:tcBorders>
            <w:shd w:val="clear" w:color="000000" w:fill="F2F2F2"/>
            <w:noWrap/>
            <w:vAlign w:val="center"/>
            <w:hideMark/>
          </w:tcPr>
          <w:p w14:paraId="65C48AFC"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$ 118</w:t>
            </w:r>
          </w:p>
        </w:tc>
        <w:tc>
          <w:tcPr>
            <w:tcW w:w="1280" w:type="dxa"/>
            <w:tcBorders>
              <w:top w:val="nil"/>
              <w:left w:val="nil"/>
              <w:bottom w:val="single" w:sz="4" w:space="0" w:color="auto"/>
              <w:right w:val="single" w:sz="4" w:space="0" w:color="auto"/>
            </w:tcBorders>
            <w:shd w:val="clear" w:color="000000" w:fill="F2F2F2"/>
            <w:noWrap/>
            <w:vAlign w:val="center"/>
            <w:hideMark/>
          </w:tcPr>
          <w:p w14:paraId="4014C827"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$ 2.828.899</w:t>
            </w:r>
          </w:p>
        </w:tc>
      </w:tr>
      <w:tr w:rsidR="00B07312" w:rsidRPr="006B48D3" w14:paraId="29B518B3" w14:textId="77777777" w:rsidTr="006B48D3">
        <w:trPr>
          <w:trHeight w:val="275"/>
        </w:trPr>
        <w:tc>
          <w:tcPr>
            <w:tcW w:w="407" w:type="dxa"/>
            <w:tcBorders>
              <w:top w:val="nil"/>
              <w:left w:val="single" w:sz="4" w:space="0" w:color="auto"/>
              <w:bottom w:val="single" w:sz="4" w:space="0" w:color="auto"/>
              <w:right w:val="single" w:sz="4" w:space="0" w:color="auto"/>
            </w:tcBorders>
            <w:shd w:val="clear" w:color="000000" w:fill="F2F2F2"/>
            <w:noWrap/>
            <w:vAlign w:val="center"/>
            <w:hideMark/>
          </w:tcPr>
          <w:p w14:paraId="17764DD1" w14:textId="77777777" w:rsidR="00B07312" w:rsidRPr="006B48D3" w:rsidRDefault="00B07312" w:rsidP="00D22441">
            <w:pPr>
              <w:jc w:val="center"/>
              <w:rPr>
                <w:rFonts w:ascii="Arial Narrow" w:hAnsi="Arial Narrow" w:cs="Arial"/>
                <w:spacing w:val="0"/>
                <w:sz w:val="16"/>
                <w:szCs w:val="16"/>
                <w:lang w:eastAsia="es-CO"/>
              </w:rPr>
            </w:pPr>
            <w:r w:rsidRPr="006B48D3">
              <w:rPr>
                <w:rFonts w:ascii="Arial Narrow" w:hAnsi="Arial Narrow" w:cs="Arial"/>
                <w:spacing w:val="0"/>
                <w:sz w:val="16"/>
                <w:szCs w:val="16"/>
                <w:lang w:eastAsia="es-CO"/>
              </w:rPr>
              <w:t>113</w:t>
            </w:r>
          </w:p>
        </w:tc>
        <w:tc>
          <w:tcPr>
            <w:tcW w:w="585" w:type="dxa"/>
            <w:tcBorders>
              <w:top w:val="nil"/>
              <w:left w:val="nil"/>
              <w:bottom w:val="single" w:sz="4" w:space="0" w:color="auto"/>
              <w:right w:val="single" w:sz="4" w:space="0" w:color="auto"/>
            </w:tcBorders>
            <w:shd w:val="clear" w:color="000000" w:fill="F2F2F2"/>
            <w:noWrap/>
            <w:vAlign w:val="center"/>
            <w:hideMark/>
          </w:tcPr>
          <w:p w14:paraId="3093F869"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36314</w:t>
            </w:r>
          </w:p>
        </w:tc>
        <w:tc>
          <w:tcPr>
            <w:tcW w:w="941" w:type="dxa"/>
            <w:tcBorders>
              <w:top w:val="nil"/>
              <w:left w:val="nil"/>
              <w:bottom w:val="single" w:sz="4" w:space="0" w:color="auto"/>
              <w:right w:val="single" w:sz="4" w:space="0" w:color="auto"/>
            </w:tcBorders>
            <w:shd w:val="clear" w:color="000000" w:fill="F2F2F2"/>
            <w:noWrap/>
            <w:vAlign w:val="center"/>
            <w:hideMark/>
          </w:tcPr>
          <w:p w14:paraId="37AD9170"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900851785</w:t>
            </w:r>
          </w:p>
        </w:tc>
        <w:tc>
          <w:tcPr>
            <w:tcW w:w="3247" w:type="dxa"/>
            <w:tcBorders>
              <w:top w:val="nil"/>
              <w:left w:val="nil"/>
              <w:bottom w:val="single" w:sz="4" w:space="0" w:color="auto"/>
              <w:right w:val="single" w:sz="4" w:space="0" w:color="auto"/>
            </w:tcBorders>
            <w:shd w:val="clear" w:color="000000" w:fill="F2F2F2"/>
            <w:vAlign w:val="center"/>
            <w:hideMark/>
          </w:tcPr>
          <w:p w14:paraId="18B13F7F" w14:textId="77777777" w:rsidR="00B07312" w:rsidRPr="006B48D3" w:rsidRDefault="00B07312" w:rsidP="00D22441">
            <w:pPr>
              <w:jc w:val="left"/>
              <w:rPr>
                <w:rFonts w:ascii="Arial Narrow" w:hAnsi="Arial Narrow" w:cs="Arial"/>
                <w:spacing w:val="0"/>
                <w:sz w:val="16"/>
                <w:szCs w:val="16"/>
                <w:lang w:eastAsia="es-CO"/>
              </w:rPr>
            </w:pPr>
            <w:r w:rsidRPr="006B48D3">
              <w:rPr>
                <w:rFonts w:ascii="Arial Narrow" w:hAnsi="Arial Narrow" w:cs="Arial"/>
                <w:spacing w:val="0"/>
                <w:sz w:val="16"/>
                <w:szCs w:val="16"/>
                <w:lang w:eastAsia="es-CO"/>
              </w:rPr>
              <w:t>CALAMARI LNG SA ESP</w:t>
            </w:r>
          </w:p>
        </w:tc>
        <w:tc>
          <w:tcPr>
            <w:tcW w:w="1620" w:type="dxa"/>
            <w:tcBorders>
              <w:top w:val="nil"/>
              <w:left w:val="nil"/>
              <w:bottom w:val="single" w:sz="4" w:space="0" w:color="auto"/>
              <w:right w:val="single" w:sz="4" w:space="0" w:color="auto"/>
            </w:tcBorders>
            <w:shd w:val="clear" w:color="000000" w:fill="F2F2F2"/>
            <w:noWrap/>
            <w:vAlign w:val="center"/>
            <w:hideMark/>
          </w:tcPr>
          <w:p w14:paraId="62DD9B64"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$ 1.283.675.000</w:t>
            </w:r>
          </w:p>
        </w:tc>
        <w:tc>
          <w:tcPr>
            <w:tcW w:w="1520" w:type="dxa"/>
            <w:tcBorders>
              <w:top w:val="nil"/>
              <w:left w:val="nil"/>
              <w:bottom w:val="single" w:sz="4" w:space="0" w:color="auto"/>
              <w:right w:val="single" w:sz="4" w:space="0" w:color="auto"/>
            </w:tcBorders>
            <w:shd w:val="clear" w:color="000000" w:fill="F2F2F2"/>
            <w:noWrap/>
            <w:vAlign w:val="center"/>
            <w:hideMark/>
          </w:tcPr>
          <w:p w14:paraId="6A9F2444"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$ 0</w:t>
            </w:r>
          </w:p>
        </w:tc>
        <w:tc>
          <w:tcPr>
            <w:tcW w:w="1460" w:type="dxa"/>
            <w:tcBorders>
              <w:top w:val="nil"/>
              <w:left w:val="nil"/>
              <w:bottom w:val="single" w:sz="4" w:space="0" w:color="auto"/>
              <w:right w:val="single" w:sz="4" w:space="0" w:color="auto"/>
            </w:tcBorders>
            <w:shd w:val="clear" w:color="000000" w:fill="F2F2F2"/>
            <w:noWrap/>
            <w:vAlign w:val="center"/>
            <w:hideMark/>
          </w:tcPr>
          <w:p w14:paraId="763F35D8"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$ 1.283.675.000</w:t>
            </w:r>
          </w:p>
        </w:tc>
        <w:tc>
          <w:tcPr>
            <w:tcW w:w="1280" w:type="dxa"/>
            <w:tcBorders>
              <w:top w:val="nil"/>
              <w:left w:val="nil"/>
              <w:bottom w:val="single" w:sz="4" w:space="0" w:color="auto"/>
              <w:right w:val="single" w:sz="4" w:space="0" w:color="auto"/>
            </w:tcBorders>
            <w:shd w:val="clear" w:color="000000" w:fill="F2F2F2"/>
            <w:noWrap/>
            <w:vAlign w:val="center"/>
            <w:hideMark/>
          </w:tcPr>
          <w:p w14:paraId="720183F2"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$ 12.836.750</w:t>
            </w:r>
          </w:p>
        </w:tc>
        <w:tc>
          <w:tcPr>
            <w:tcW w:w="1200" w:type="dxa"/>
            <w:tcBorders>
              <w:top w:val="nil"/>
              <w:left w:val="nil"/>
              <w:bottom w:val="single" w:sz="4" w:space="0" w:color="auto"/>
              <w:right w:val="single" w:sz="4" w:space="0" w:color="auto"/>
            </w:tcBorders>
            <w:shd w:val="clear" w:color="000000" w:fill="F2F2F2"/>
            <w:noWrap/>
            <w:vAlign w:val="center"/>
            <w:hideMark/>
          </w:tcPr>
          <w:p w14:paraId="3F2FCB15"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$ 534</w:t>
            </w:r>
          </w:p>
        </w:tc>
        <w:tc>
          <w:tcPr>
            <w:tcW w:w="1280" w:type="dxa"/>
            <w:tcBorders>
              <w:top w:val="nil"/>
              <w:left w:val="nil"/>
              <w:bottom w:val="single" w:sz="4" w:space="0" w:color="auto"/>
              <w:right w:val="single" w:sz="4" w:space="0" w:color="auto"/>
            </w:tcBorders>
            <w:shd w:val="clear" w:color="000000" w:fill="F2F2F2"/>
            <w:noWrap/>
            <w:vAlign w:val="center"/>
            <w:hideMark/>
          </w:tcPr>
          <w:p w14:paraId="278EBB53"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$ 12.837.284</w:t>
            </w:r>
          </w:p>
        </w:tc>
      </w:tr>
      <w:tr w:rsidR="00B07312" w:rsidRPr="006B48D3" w14:paraId="23FC4A86" w14:textId="77777777" w:rsidTr="006B48D3">
        <w:trPr>
          <w:trHeight w:val="313"/>
        </w:trPr>
        <w:tc>
          <w:tcPr>
            <w:tcW w:w="407" w:type="dxa"/>
            <w:tcBorders>
              <w:top w:val="nil"/>
              <w:left w:val="single" w:sz="4" w:space="0" w:color="auto"/>
              <w:bottom w:val="single" w:sz="4" w:space="0" w:color="auto"/>
              <w:right w:val="single" w:sz="4" w:space="0" w:color="auto"/>
            </w:tcBorders>
            <w:shd w:val="clear" w:color="000000" w:fill="F2F2F2"/>
            <w:noWrap/>
            <w:vAlign w:val="center"/>
            <w:hideMark/>
          </w:tcPr>
          <w:p w14:paraId="238151B0" w14:textId="77777777" w:rsidR="00B07312" w:rsidRPr="006B48D3" w:rsidRDefault="00B07312" w:rsidP="00D22441">
            <w:pPr>
              <w:jc w:val="center"/>
              <w:rPr>
                <w:rFonts w:ascii="Arial Narrow" w:hAnsi="Arial Narrow" w:cs="Arial"/>
                <w:spacing w:val="0"/>
                <w:sz w:val="16"/>
                <w:szCs w:val="16"/>
                <w:lang w:eastAsia="es-CO"/>
              </w:rPr>
            </w:pPr>
            <w:r w:rsidRPr="006B48D3">
              <w:rPr>
                <w:rFonts w:ascii="Arial Narrow" w:hAnsi="Arial Narrow" w:cs="Arial"/>
                <w:spacing w:val="0"/>
                <w:sz w:val="16"/>
                <w:szCs w:val="16"/>
                <w:lang w:eastAsia="es-CO"/>
              </w:rPr>
              <w:t>114</w:t>
            </w:r>
          </w:p>
        </w:tc>
        <w:tc>
          <w:tcPr>
            <w:tcW w:w="585" w:type="dxa"/>
            <w:tcBorders>
              <w:top w:val="nil"/>
              <w:left w:val="nil"/>
              <w:bottom w:val="single" w:sz="4" w:space="0" w:color="auto"/>
              <w:right w:val="single" w:sz="4" w:space="0" w:color="auto"/>
            </w:tcBorders>
            <w:shd w:val="clear" w:color="000000" w:fill="F2F2F2"/>
            <w:noWrap/>
            <w:vAlign w:val="center"/>
            <w:hideMark/>
          </w:tcPr>
          <w:p w14:paraId="33278B6E"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32793</w:t>
            </w:r>
          </w:p>
        </w:tc>
        <w:tc>
          <w:tcPr>
            <w:tcW w:w="941" w:type="dxa"/>
            <w:tcBorders>
              <w:top w:val="nil"/>
              <w:left w:val="nil"/>
              <w:bottom w:val="single" w:sz="4" w:space="0" w:color="auto"/>
              <w:right w:val="single" w:sz="4" w:space="0" w:color="auto"/>
            </w:tcBorders>
            <w:shd w:val="clear" w:color="000000" w:fill="F2F2F2"/>
            <w:noWrap/>
            <w:vAlign w:val="center"/>
            <w:hideMark/>
          </w:tcPr>
          <w:p w14:paraId="0F1CC12C"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900863649</w:t>
            </w:r>
          </w:p>
        </w:tc>
        <w:tc>
          <w:tcPr>
            <w:tcW w:w="3247" w:type="dxa"/>
            <w:tcBorders>
              <w:top w:val="nil"/>
              <w:left w:val="nil"/>
              <w:bottom w:val="single" w:sz="4" w:space="0" w:color="auto"/>
              <w:right w:val="single" w:sz="4" w:space="0" w:color="auto"/>
            </w:tcBorders>
            <w:shd w:val="clear" w:color="000000" w:fill="F2F2F2"/>
            <w:vAlign w:val="center"/>
            <w:hideMark/>
          </w:tcPr>
          <w:p w14:paraId="5D2B7007" w14:textId="77777777" w:rsidR="00B07312" w:rsidRPr="006B48D3" w:rsidRDefault="00B07312" w:rsidP="00D22441">
            <w:pPr>
              <w:jc w:val="left"/>
              <w:rPr>
                <w:rFonts w:ascii="Arial Narrow" w:hAnsi="Arial Narrow" w:cs="Arial"/>
                <w:spacing w:val="0"/>
                <w:sz w:val="16"/>
                <w:szCs w:val="16"/>
                <w:lang w:eastAsia="es-CO"/>
              </w:rPr>
            </w:pPr>
            <w:r w:rsidRPr="006B48D3">
              <w:rPr>
                <w:rFonts w:ascii="Arial Narrow" w:hAnsi="Arial Narrow" w:cs="Arial"/>
                <w:spacing w:val="0"/>
                <w:sz w:val="16"/>
                <w:szCs w:val="16"/>
                <w:lang w:eastAsia="es-CO"/>
              </w:rPr>
              <w:t>COLOMBOGAS S.A.S. E.S.P.</w:t>
            </w:r>
          </w:p>
        </w:tc>
        <w:tc>
          <w:tcPr>
            <w:tcW w:w="1620" w:type="dxa"/>
            <w:tcBorders>
              <w:top w:val="nil"/>
              <w:left w:val="nil"/>
              <w:bottom w:val="single" w:sz="4" w:space="0" w:color="auto"/>
              <w:right w:val="single" w:sz="4" w:space="0" w:color="auto"/>
            </w:tcBorders>
            <w:shd w:val="clear" w:color="000000" w:fill="F2F2F2"/>
            <w:noWrap/>
            <w:vAlign w:val="center"/>
            <w:hideMark/>
          </w:tcPr>
          <w:p w14:paraId="66759B7A"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$ 221.352.000</w:t>
            </w:r>
          </w:p>
        </w:tc>
        <w:tc>
          <w:tcPr>
            <w:tcW w:w="1520" w:type="dxa"/>
            <w:tcBorders>
              <w:top w:val="nil"/>
              <w:left w:val="nil"/>
              <w:bottom w:val="single" w:sz="4" w:space="0" w:color="auto"/>
              <w:right w:val="single" w:sz="4" w:space="0" w:color="auto"/>
            </w:tcBorders>
            <w:shd w:val="clear" w:color="000000" w:fill="F2F2F2"/>
            <w:noWrap/>
            <w:vAlign w:val="center"/>
            <w:hideMark/>
          </w:tcPr>
          <w:p w14:paraId="48DA767B"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$ 18.451.565</w:t>
            </w:r>
          </w:p>
        </w:tc>
        <w:tc>
          <w:tcPr>
            <w:tcW w:w="1460" w:type="dxa"/>
            <w:tcBorders>
              <w:top w:val="nil"/>
              <w:left w:val="nil"/>
              <w:bottom w:val="single" w:sz="4" w:space="0" w:color="auto"/>
              <w:right w:val="single" w:sz="4" w:space="0" w:color="auto"/>
            </w:tcBorders>
            <w:shd w:val="clear" w:color="000000" w:fill="F2F2F2"/>
            <w:noWrap/>
            <w:vAlign w:val="center"/>
            <w:hideMark/>
          </w:tcPr>
          <w:p w14:paraId="00001A63"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$ 239.803.565</w:t>
            </w:r>
          </w:p>
        </w:tc>
        <w:tc>
          <w:tcPr>
            <w:tcW w:w="1280" w:type="dxa"/>
            <w:tcBorders>
              <w:top w:val="nil"/>
              <w:left w:val="nil"/>
              <w:bottom w:val="single" w:sz="4" w:space="0" w:color="auto"/>
              <w:right w:val="single" w:sz="4" w:space="0" w:color="auto"/>
            </w:tcBorders>
            <w:shd w:val="clear" w:color="000000" w:fill="F2F2F2"/>
            <w:noWrap/>
            <w:vAlign w:val="center"/>
            <w:hideMark/>
          </w:tcPr>
          <w:p w14:paraId="1F01094E"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$ 2.398.036</w:t>
            </w:r>
          </w:p>
        </w:tc>
        <w:tc>
          <w:tcPr>
            <w:tcW w:w="1200" w:type="dxa"/>
            <w:tcBorders>
              <w:top w:val="nil"/>
              <w:left w:val="nil"/>
              <w:bottom w:val="single" w:sz="4" w:space="0" w:color="auto"/>
              <w:right w:val="single" w:sz="4" w:space="0" w:color="auto"/>
            </w:tcBorders>
            <w:shd w:val="clear" w:color="000000" w:fill="F2F2F2"/>
            <w:noWrap/>
            <w:vAlign w:val="center"/>
            <w:hideMark/>
          </w:tcPr>
          <w:p w14:paraId="05CEB7CD"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$ 100</w:t>
            </w:r>
          </w:p>
        </w:tc>
        <w:tc>
          <w:tcPr>
            <w:tcW w:w="1280" w:type="dxa"/>
            <w:tcBorders>
              <w:top w:val="nil"/>
              <w:left w:val="nil"/>
              <w:bottom w:val="single" w:sz="4" w:space="0" w:color="auto"/>
              <w:right w:val="single" w:sz="4" w:space="0" w:color="auto"/>
            </w:tcBorders>
            <w:shd w:val="clear" w:color="000000" w:fill="F2F2F2"/>
            <w:noWrap/>
            <w:vAlign w:val="center"/>
            <w:hideMark/>
          </w:tcPr>
          <w:p w14:paraId="666DF927"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$ 2.398.135</w:t>
            </w:r>
          </w:p>
        </w:tc>
      </w:tr>
      <w:tr w:rsidR="00B07312" w:rsidRPr="006B48D3" w14:paraId="6832382C" w14:textId="77777777" w:rsidTr="006B48D3">
        <w:trPr>
          <w:trHeight w:val="900"/>
        </w:trPr>
        <w:tc>
          <w:tcPr>
            <w:tcW w:w="407" w:type="dxa"/>
            <w:tcBorders>
              <w:top w:val="nil"/>
              <w:left w:val="single" w:sz="4" w:space="0" w:color="auto"/>
              <w:bottom w:val="single" w:sz="4" w:space="0" w:color="auto"/>
              <w:right w:val="single" w:sz="4" w:space="0" w:color="auto"/>
            </w:tcBorders>
            <w:shd w:val="clear" w:color="000000" w:fill="F2F2F2"/>
            <w:noWrap/>
            <w:vAlign w:val="center"/>
            <w:hideMark/>
          </w:tcPr>
          <w:p w14:paraId="20C3CC1A" w14:textId="77777777" w:rsidR="00B07312" w:rsidRPr="006B48D3" w:rsidRDefault="00B07312" w:rsidP="00D22441">
            <w:pPr>
              <w:jc w:val="center"/>
              <w:rPr>
                <w:rFonts w:ascii="Arial Narrow" w:hAnsi="Arial Narrow" w:cs="Arial"/>
                <w:spacing w:val="0"/>
                <w:sz w:val="16"/>
                <w:szCs w:val="16"/>
                <w:lang w:eastAsia="es-CO"/>
              </w:rPr>
            </w:pPr>
            <w:r w:rsidRPr="006B48D3">
              <w:rPr>
                <w:rFonts w:ascii="Arial Narrow" w:hAnsi="Arial Narrow" w:cs="Arial"/>
                <w:spacing w:val="0"/>
                <w:sz w:val="16"/>
                <w:szCs w:val="16"/>
                <w:lang w:eastAsia="es-CO"/>
              </w:rPr>
              <w:t>115</w:t>
            </w:r>
          </w:p>
        </w:tc>
        <w:tc>
          <w:tcPr>
            <w:tcW w:w="585" w:type="dxa"/>
            <w:tcBorders>
              <w:top w:val="nil"/>
              <w:left w:val="nil"/>
              <w:bottom w:val="single" w:sz="4" w:space="0" w:color="auto"/>
              <w:right w:val="single" w:sz="4" w:space="0" w:color="auto"/>
            </w:tcBorders>
            <w:shd w:val="clear" w:color="000000" w:fill="F2F2F2"/>
            <w:noWrap/>
            <w:vAlign w:val="center"/>
            <w:hideMark/>
          </w:tcPr>
          <w:p w14:paraId="1279B79F"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36695</w:t>
            </w:r>
          </w:p>
        </w:tc>
        <w:tc>
          <w:tcPr>
            <w:tcW w:w="941" w:type="dxa"/>
            <w:tcBorders>
              <w:top w:val="nil"/>
              <w:left w:val="nil"/>
              <w:bottom w:val="single" w:sz="4" w:space="0" w:color="auto"/>
              <w:right w:val="single" w:sz="4" w:space="0" w:color="auto"/>
            </w:tcBorders>
            <w:shd w:val="clear" w:color="000000" w:fill="F2F2F2"/>
            <w:noWrap/>
            <w:vAlign w:val="center"/>
            <w:hideMark/>
          </w:tcPr>
          <w:p w14:paraId="62860EC0"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900883057</w:t>
            </w:r>
          </w:p>
        </w:tc>
        <w:tc>
          <w:tcPr>
            <w:tcW w:w="3247" w:type="dxa"/>
            <w:tcBorders>
              <w:top w:val="nil"/>
              <w:left w:val="nil"/>
              <w:bottom w:val="single" w:sz="4" w:space="0" w:color="auto"/>
              <w:right w:val="single" w:sz="4" w:space="0" w:color="auto"/>
            </w:tcBorders>
            <w:shd w:val="clear" w:color="000000" w:fill="F2F2F2"/>
            <w:vAlign w:val="center"/>
            <w:hideMark/>
          </w:tcPr>
          <w:p w14:paraId="4BF0BA3C" w14:textId="77777777" w:rsidR="00B07312" w:rsidRPr="006B48D3" w:rsidRDefault="00B07312" w:rsidP="00D22441">
            <w:pPr>
              <w:jc w:val="left"/>
              <w:rPr>
                <w:rFonts w:ascii="Arial Narrow" w:hAnsi="Arial Narrow" w:cs="Arial"/>
                <w:spacing w:val="0"/>
                <w:sz w:val="16"/>
                <w:szCs w:val="16"/>
                <w:lang w:eastAsia="es-CO"/>
              </w:rPr>
            </w:pPr>
            <w:r w:rsidRPr="006B48D3">
              <w:rPr>
                <w:rFonts w:ascii="Arial Narrow" w:hAnsi="Arial Narrow" w:cs="Arial"/>
                <w:spacing w:val="0"/>
                <w:sz w:val="16"/>
                <w:szCs w:val="16"/>
                <w:lang w:eastAsia="es-CO"/>
              </w:rPr>
              <w:t>DISTRIBUIDORA DE GAS DEL FONCE SOCIEDAD POR ACCIONES SIMPLIFICADA EMPRESA DE SERVICIO PUBLICOS DOMICILIARIOS S.A.S. E.S.P.</w:t>
            </w:r>
          </w:p>
        </w:tc>
        <w:tc>
          <w:tcPr>
            <w:tcW w:w="1620" w:type="dxa"/>
            <w:tcBorders>
              <w:top w:val="nil"/>
              <w:left w:val="nil"/>
              <w:bottom w:val="single" w:sz="4" w:space="0" w:color="auto"/>
              <w:right w:val="single" w:sz="4" w:space="0" w:color="auto"/>
            </w:tcBorders>
            <w:shd w:val="clear" w:color="000000" w:fill="F2F2F2"/>
            <w:noWrap/>
            <w:vAlign w:val="center"/>
            <w:hideMark/>
          </w:tcPr>
          <w:p w14:paraId="6D256B82"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$ 57.679.000</w:t>
            </w:r>
          </w:p>
        </w:tc>
        <w:tc>
          <w:tcPr>
            <w:tcW w:w="1520" w:type="dxa"/>
            <w:tcBorders>
              <w:top w:val="nil"/>
              <w:left w:val="nil"/>
              <w:bottom w:val="single" w:sz="4" w:space="0" w:color="auto"/>
              <w:right w:val="single" w:sz="4" w:space="0" w:color="auto"/>
            </w:tcBorders>
            <w:shd w:val="clear" w:color="000000" w:fill="F2F2F2"/>
            <w:noWrap/>
            <w:vAlign w:val="center"/>
            <w:hideMark/>
          </w:tcPr>
          <w:p w14:paraId="4F9A40A7"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$ 6.711.979</w:t>
            </w:r>
          </w:p>
        </w:tc>
        <w:tc>
          <w:tcPr>
            <w:tcW w:w="1460" w:type="dxa"/>
            <w:tcBorders>
              <w:top w:val="nil"/>
              <w:left w:val="nil"/>
              <w:bottom w:val="single" w:sz="4" w:space="0" w:color="auto"/>
              <w:right w:val="single" w:sz="4" w:space="0" w:color="auto"/>
            </w:tcBorders>
            <w:shd w:val="clear" w:color="000000" w:fill="F2F2F2"/>
            <w:noWrap/>
            <w:vAlign w:val="center"/>
            <w:hideMark/>
          </w:tcPr>
          <w:p w14:paraId="6BAF2C32"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$ 64.390.979</w:t>
            </w:r>
          </w:p>
        </w:tc>
        <w:tc>
          <w:tcPr>
            <w:tcW w:w="1280" w:type="dxa"/>
            <w:tcBorders>
              <w:top w:val="nil"/>
              <w:left w:val="nil"/>
              <w:bottom w:val="single" w:sz="4" w:space="0" w:color="auto"/>
              <w:right w:val="single" w:sz="4" w:space="0" w:color="auto"/>
            </w:tcBorders>
            <w:shd w:val="clear" w:color="000000" w:fill="F2F2F2"/>
            <w:noWrap/>
            <w:vAlign w:val="center"/>
            <w:hideMark/>
          </w:tcPr>
          <w:p w14:paraId="3A3F58B9"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$ 643.910</w:t>
            </w:r>
          </w:p>
        </w:tc>
        <w:tc>
          <w:tcPr>
            <w:tcW w:w="1200" w:type="dxa"/>
            <w:tcBorders>
              <w:top w:val="nil"/>
              <w:left w:val="nil"/>
              <w:bottom w:val="single" w:sz="4" w:space="0" w:color="auto"/>
              <w:right w:val="single" w:sz="4" w:space="0" w:color="auto"/>
            </w:tcBorders>
            <w:shd w:val="clear" w:color="000000" w:fill="F2F2F2"/>
            <w:noWrap/>
            <w:vAlign w:val="center"/>
            <w:hideMark/>
          </w:tcPr>
          <w:p w14:paraId="2B3B940A"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$ 27</w:t>
            </w:r>
          </w:p>
        </w:tc>
        <w:tc>
          <w:tcPr>
            <w:tcW w:w="1280" w:type="dxa"/>
            <w:tcBorders>
              <w:top w:val="nil"/>
              <w:left w:val="nil"/>
              <w:bottom w:val="single" w:sz="4" w:space="0" w:color="auto"/>
              <w:right w:val="single" w:sz="4" w:space="0" w:color="auto"/>
            </w:tcBorders>
            <w:shd w:val="clear" w:color="000000" w:fill="F2F2F2"/>
            <w:noWrap/>
            <w:vAlign w:val="center"/>
            <w:hideMark/>
          </w:tcPr>
          <w:p w14:paraId="27AB0D84"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$ 643.937</w:t>
            </w:r>
          </w:p>
        </w:tc>
      </w:tr>
      <w:tr w:rsidR="00B07312" w:rsidRPr="006B48D3" w14:paraId="111C1331" w14:textId="77777777" w:rsidTr="006B48D3">
        <w:trPr>
          <w:trHeight w:val="289"/>
        </w:trPr>
        <w:tc>
          <w:tcPr>
            <w:tcW w:w="407" w:type="dxa"/>
            <w:tcBorders>
              <w:top w:val="nil"/>
              <w:left w:val="single" w:sz="4" w:space="0" w:color="auto"/>
              <w:bottom w:val="single" w:sz="4" w:space="0" w:color="auto"/>
              <w:right w:val="single" w:sz="4" w:space="0" w:color="auto"/>
            </w:tcBorders>
            <w:shd w:val="clear" w:color="000000" w:fill="F2F2F2"/>
            <w:noWrap/>
            <w:vAlign w:val="center"/>
            <w:hideMark/>
          </w:tcPr>
          <w:p w14:paraId="69A1EB2A" w14:textId="77777777" w:rsidR="00B07312" w:rsidRPr="006B48D3" w:rsidRDefault="00B07312" w:rsidP="00D22441">
            <w:pPr>
              <w:jc w:val="center"/>
              <w:rPr>
                <w:rFonts w:ascii="Arial Narrow" w:hAnsi="Arial Narrow" w:cs="Arial"/>
                <w:spacing w:val="0"/>
                <w:sz w:val="16"/>
                <w:szCs w:val="16"/>
                <w:lang w:eastAsia="es-CO"/>
              </w:rPr>
            </w:pPr>
            <w:r w:rsidRPr="006B48D3">
              <w:rPr>
                <w:rFonts w:ascii="Arial Narrow" w:hAnsi="Arial Narrow" w:cs="Arial"/>
                <w:spacing w:val="0"/>
                <w:sz w:val="16"/>
                <w:szCs w:val="16"/>
                <w:lang w:eastAsia="es-CO"/>
              </w:rPr>
              <w:t>116</w:t>
            </w:r>
          </w:p>
        </w:tc>
        <w:tc>
          <w:tcPr>
            <w:tcW w:w="585" w:type="dxa"/>
            <w:tcBorders>
              <w:top w:val="nil"/>
              <w:left w:val="nil"/>
              <w:bottom w:val="single" w:sz="4" w:space="0" w:color="auto"/>
              <w:right w:val="single" w:sz="4" w:space="0" w:color="auto"/>
            </w:tcBorders>
            <w:shd w:val="clear" w:color="000000" w:fill="F2F2F2"/>
            <w:noWrap/>
            <w:vAlign w:val="center"/>
            <w:hideMark/>
          </w:tcPr>
          <w:p w14:paraId="03C79BC7"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32453</w:t>
            </w:r>
          </w:p>
        </w:tc>
        <w:tc>
          <w:tcPr>
            <w:tcW w:w="941" w:type="dxa"/>
            <w:tcBorders>
              <w:top w:val="nil"/>
              <w:left w:val="nil"/>
              <w:bottom w:val="single" w:sz="4" w:space="0" w:color="auto"/>
              <w:right w:val="single" w:sz="4" w:space="0" w:color="auto"/>
            </w:tcBorders>
            <w:shd w:val="clear" w:color="000000" w:fill="F2F2F2"/>
            <w:noWrap/>
            <w:vAlign w:val="center"/>
            <w:hideMark/>
          </w:tcPr>
          <w:p w14:paraId="1BAFDBE4"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900912454</w:t>
            </w:r>
          </w:p>
        </w:tc>
        <w:tc>
          <w:tcPr>
            <w:tcW w:w="3247" w:type="dxa"/>
            <w:tcBorders>
              <w:top w:val="nil"/>
              <w:left w:val="nil"/>
              <w:bottom w:val="single" w:sz="4" w:space="0" w:color="auto"/>
              <w:right w:val="single" w:sz="4" w:space="0" w:color="auto"/>
            </w:tcBorders>
            <w:shd w:val="clear" w:color="000000" w:fill="F2F2F2"/>
            <w:vAlign w:val="center"/>
            <w:hideMark/>
          </w:tcPr>
          <w:p w14:paraId="44936EF4" w14:textId="77777777" w:rsidR="00B07312" w:rsidRPr="006B48D3" w:rsidRDefault="00B07312" w:rsidP="00D22441">
            <w:pPr>
              <w:jc w:val="left"/>
              <w:rPr>
                <w:rFonts w:ascii="Arial Narrow" w:hAnsi="Arial Narrow" w:cs="Arial"/>
                <w:spacing w:val="0"/>
                <w:sz w:val="16"/>
                <w:szCs w:val="16"/>
                <w:lang w:eastAsia="es-CO"/>
              </w:rPr>
            </w:pPr>
            <w:r w:rsidRPr="006B48D3">
              <w:rPr>
                <w:rFonts w:ascii="Arial Narrow" w:hAnsi="Arial Narrow" w:cs="Arial"/>
                <w:spacing w:val="0"/>
                <w:sz w:val="16"/>
                <w:szCs w:val="16"/>
                <w:lang w:eastAsia="es-CO"/>
              </w:rPr>
              <w:t>ENERGY GAS S.A.S. E.</w:t>
            </w:r>
            <w:proofErr w:type="gramStart"/>
            <w:r w:rsidRPr="006B48D3">
              <w:rPr>
                <w:rFonts w:ascii="Arial Narrow" w:hAnsi="Arial Narrow" w:cs="Arial"/>
                <w:spacing w:val="0"/>
                <w:sz w:val="16"/>
                <w:szCs w:val="16"/>
                <w:lang w:eastAsia="es-CO"/>
              </w:rPr>
              <w:t>S.P</w:t>
            </w:r>
            <w:proofErr w:type="gramEnd"/>
          </w:p>
        </w:tc>
        <w:tc>
          <w:tcPr>
            <w:tcW w:w="1620" w:type="dxa"/>
            <w:tcBorders>
              <w:top w:val="nil"/>
              <w:left w:val="nil"/>
              <w:bottom w:val="single" w:sz="4" w:space="0" w:color="auto"/>
              <w:right w:val="single" w:sz="4" w:space="0" w:color="auto"/>
            </w:tcBorders>
            <w:shd w:val="clear" w:color="000000" w:fill="F2F2F2"/>
            <w:noWrap/>
            <w:vAlign w:val="center"/>
            <w:hideMark/>
          </w:tcPr>
          <w:p w14:paraId="67145829"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$ 1.164.961.000</w:t>
            </w:r>
          </w:p>
        </w:tc>
        <w:tc>
          <w:tcPr>
            <w:tcW w:w="1520" w:type="dxa"/>
            <w:tcBorders>
              <w:top w:val="nil"/>
              <w:left w:val="nil"/>
              <w:bottom w:val="single" w:sz="4" w:space="0" w:color="auto"/>
              <w:right w:val="single" w:sz="4" w:space="0" w:color="auto"/>
            </w:tcBorders>
            <w:shd w:val="clear" w:color="000000" w:fill="F2F2F2"/>
            <w:noWrap/>
            <w:vAlign w:val="center"/>
            <w:hideMark/>
          </w:tcPr>
          <w:p w14:paraId="12870EB7"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$ 11.716.815</w:t>
            </w:r>
          </w:p>
        </w:tc>
        <w:tc>
          <w:tcPr>
            <w:tcW w:w="1460" w:type="dxa"/>
            <w:tcBorders>
              <w:top w:val="nil"/>
              <w:left w:val="nil"/>
              <w:bottom w:val="single" w:sz="4" w:space="0" w:color="auto"/>
              <w:right w:val="single" w:sz="4" w:space="0" w:color="auto"/>
            </w:tcBorders>
            <w:shd w:val="clear" w:color="000000" w:fill="F2F2F2"/>
            <w:noWrap/>
            <w:vAlign w:val="center"/>
            <w:hideMark/>
          </w:tcPr>
          <w:p w14:paraId="624C3295"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$ 1.176.677.815</w:t>
            </w:r>
          </w:p>
        </w:tc>
        <w:tc>
          <w:tcPr>
            <w:tcW w:w="1280" w:type="dxa"/>
            <w:tcBorders>
              <w:top w:val="nil"/>
              <w:left w:val="nil"/>
              <w:bottom w:val="single" w:sz="4" w:space="0" w:color="auto"/>
              <w:right w:val="single" w:sz="4" w:space="0" w:color="auto"/>
            </w:tcBorders>
            <w:shd w:val="clear" w:color="000000" w:fill="F2F2F2"/>
            <w:noWrap/>
            <w:vAlign w:val="center"/>
            <w:hideMark/>
          </w:tcPr>
          <w:p w14:paraId="203D6F7F"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$ 11.766.778</w:t>
            </w:r>
          </w:p>
        </w:tc>
        <w:tc>
          <w:tcPr>
            <w:tcW w:w="1200" w:type="dxa"/>
            <w:tcBorders>
              <w:top w:val="nil"/>
              <w:left w:val="nil"/>
              <w:bottom w:val="single" w:sz="4" w:space="0" w:color="auto"/>
              <w:right w:val="single" w:sz="4" w:space="0" w:color="auto"/>
            </w:tcBorders>
            <w:shd w:val="clear" w:color="000000" w:fill="F2F2F2"/>
            <w:noWrap/>
            <w:vAlign w:val="center"/>
            <w:hideMark/>
          </w:tcPr>
          <w:p w14:paraId="6FEB2E28"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$ 490</w:t>
            </w:r>
          </w:p>
        </w:tc>
        <w:tc>
          <w:tcPr>
            <w:tcW w:w="1280" w:type="dxa"/>
            <w:tcBorders>
              <w:top w:val="nil"/>
              <w:left w:val="nil"/>
              <w:bottom w:val="single" w:sz="4" w:space="0" w:color="auto"/>
              <w:right w:val="single" w:sz="4" w:space="0" w:color="auto"/>
            </w:tcBorders>
            <w:shd w:val="clear" w:color="000000" w:fill="F2F2F2"/>
            <w:noWrap/>
            <w:vAlign w:val="center"/>
            <w:hideMark/>
          </w:tcPr>
          <w:p w14:paraId="2C569843"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$ 11.767.268</w:t>
            </w:r>
          </w:p>
        </w:tc>
      </w:tr>
      <w:tr w:rsidR="00B07312" w:rsidRPr="006B48D3" w14:paraId="495C37E0" w14:textId="77777777" w:rsidTr="006B48D3">
        <w:trPr>
          <w:trHeight w:val="351"/>
        </w:trPr>
        <w:tc>
          <w:tcPr>
            <w:tcW w:w="407" w:type="dxa"/>
            <w:tcBorders>
              <w:top w:val="nil"/>
              <w:left w:val="single" w:sz="4" w:space="0" w:color="auto"/>
              <w:bottom w:val="single" w:sz="4" w:space="0" w:color="auto"/>
              <w:right w:val="single" w:sz="4" w:space="0" w:color="auto"/>
            </w:tcBorders>
            <w:shd w:val="clear" w:color="000000" w:fill="F2F2F2"/>
            <w:noWrap/>
            <w:vAlign w:val="center"/>
            <w:hideMark/>
          </w:tcPr>
          <w:p w14:paraId="7D18F1E6" w14:textId="77777777" w:rsidR="00B07312" w:rsidRPr="006B48D3" w:rsidRDefault="00B07312" w:rsidP="00D22441">
            <w:pPr>
              <w:jc w:val="center"/>
              <w:rPr>
                <w:rFonts w:ascii="Arial Narrow" w:hAnsi="Arial Narrow" w:cs="Arial"/>
                <w:spacing w:val="0"/>
                <w:sz w:val="16"/>
                <w:szCs w:val="16"/>
                <w:lang w:eastAsia="es-CO"/>
              </w:rPr>
            </w:pPr>
            <w:r w:rsidRPr="006B48D3">
              <w:rPr>
                <w:rFonts w:ascii="Arial Narrow" w:hAnsi="Arial Narrow" w:cs="Arial"/>
                <w:spacing w:val="0"/>
                <w:sz w:val="16"/>
                <w:szCs w:val="16"/>
                <w:lang w:eastAsia="es-CO"/>
              </w:rPr>
              <w:t>117</w:t>
            </w:r>
          </w:p>
        </w:tc>
        <w:tc>
          <w:tcPr>
            <w:tcW w:w="585" w:type="dxa"/>
            <w:tcBorders>
              <w:top w:val="nil"/>
              <w:left w:val="nil"/>
              <w:bottom w:val="single" w:sz="4" w:space="0" w:color="auto"/>
              <w:right w:val="single" w:sz="4" w:space="0" w:color="auto"/>
            </w:tcBorders>
            <w:shd w:val="clear" w:color="000000" w:fill="F2F2F2"/>
            <w:noWrap/>
            <w:vAlign w:val="center"/>
            <w:hideMark/>
          </w:tcPr>
          <w:p w14:paraId="4105001D"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32073</w:t>
            </w:r>
          </w:p>
        </w:tc>
        <w:tc>
          <w:tcPr>
            <w:tcW w:w="941" w:type="dxa"/>
            <w:tcBorders>
              <w:top w:val="nil"/>
              <w:left w:val="nil"/>
              <w:bottom w:val="single" w:sz="4" w:space="0" w:color="auto"/>
              <w:right w:val="single" w:sz="4" w:space="0" w:color="auto"/>
            </w:tcBorders>
            <w:shd w:val="clear" w:color="000000" w:fill="F2F2F2"/>
            <w:noWrap/>
            <w:vAlign w:val="center"/>
            <w:hideMark/>
          </w:tcPr>
          <w:p w14:paraId="77E2203D"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900913507</w:t>
            </w:r>
          </w:p>
        </w:tc>
        <w:tc>
          <w:tcPr>
            <w:tcW w:w="3247" w:type="dxa"/>
            <w:tcBorders>
              <w:top w:val="nil"/>
              <w:left w:val="nil"/>
              <w:bottom w:val="single" w:sz="4" w:space="0" w:color="auto"/>
              <w:right w:val="single" w:sz="4" w:space="0" w:color="auto"/>
            </w:tcBorders>
            <w:shd w:val="clear" w:color="000000" w:fill="F2F2F2"/>
            <w:vAlign w:val="center"/>
            <w:hideMark/>
          </w:tcPr>
          <w:p w14:paraId="38FBBDD8" w14:textId="77777777" w:rsidR="00B07312" w:rsidRPr="006B48D3" w:rsidRDefault="00B07312" w:rsidP="00D22441">
            <w:pPr>
              <w:jc w:val="left"/>
              <w:rPr>
                <w:rFonts w:ascii="Arial Narrow" w:hAnsi="Arial Narrow" w:cs="Arial"/>
                <w:spacing w:val="0"/>
                <w:sz w:val="16"/>
                <w:szCs w:val="16"/>
                <w:lang w:eastAsia="es-CO"/>
              </w:rPr>
            </w:pPr>
            <w:r w:rsidRPr="006B48D3">
              <w:rPr>
                <w:rFonts w:ascii="Arial Narrow" w:hAnsi="Arial Narrow" w:cs="Arial"/>
                <w:spacing w:val="0"/>
                <w:sz w:val="16"/>
                <w:szCs w:val="16"/>
                <w:lang w:eastAsia="es-CO"/>
              </w:rPr>
              <w:t>MEGAS S.A.S. ESP</w:t>
            </w:r>
          </w:p>
        </w:tc>
        <w:tc>
          <w:tcPr>
            <w:tcW w:w="1620" w:type="dxa"/>
            <w:tcBorders>
              <w:top w:val="nil"/>
              <w:left w:val="nil"/>
              <w:bottom w:val="single" w:sz="4" w:space="0" w:color="auto"/>
              <w:right w:val="single" w:sz="4" w:space="0" w:color="auto"/>
            </w:tcBorders>
            <w:shd w:val="clear" w:color="000000" w:fill="F2F2F2"/>
            <w:noWrap/>
            <w:vAlign w:val="center"/>
            <w:hideMark/>
          </w:tcPr>
          <w:p w14:paraId="2CAEE0B6"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$ 1.705.707.000</w:t>
            </w:r>
          </w:p>
        </w:tc>
        <w:tc>
          <w:tcPr>
            <w:tcW w:w="1520" w:type="dxa"/>
            <w:tcBorders>
              <w:top w:val="nil"/>
              <w:left w:val="nil"/>
              <w:bottom w:val="single" w:sz="4" w:space="0" w:color="auto"/>
              <w:right w:val="single" w:sz="4" w:space="0" w:color="auto"/>
            </w:tcBorders>
            <w:shd w:val="clear" w:color="000000" w:fill="F2F2F2"/>
            <w:noWrap/>
            <w:vAlign w:val="center"/>
            <w:hideMark/>
          </w:tcPr>
          <w:p w14:paraId="4BEF6668"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$ 144.328.011</w:t>
            </w:r>
          </w:p>
        </w:tc>
        <w:tc>
          <w:tcPr>
            <w:tcW w:w="1460" w:type="dxa"/>
            <w:tcBorders>
              <w:top w:val="nil"/>
              <w:left w:val="nil"/>
              <w:bottom w:val="single" w:sz="4" w:space="0" w:color="auto"/>
              <w:right w:val="single" w:sz="4" w:space="0" w:color="auto"/>
            </w:tcBorders>
            <w:shd w:val="clear" w:color="000000" w:fill="F2F2F2"/>
            <w:noWrap/>
            <w:vAlign w:val="center"/>
            <w:hideMark/>
          </w:tcPr>
          <w:p w14:paraId="3A3877C7"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$ 1.850.035.011</w:t>
            </w:r>
          </w:p>
        </w:tc>
        <w:tc>
          <w:tcPr>
            <w:tcW w:w="1280" w:type="dxa"/>
            <w:tcBorders>
              <w:top w:val="nil"/>
              <w:left w:val="nil"/>
              <w:bottom w:val="single" w:sz="4" w:space="0" w:color="auto"/>
              <w:right w:val="single" w:sz="4" w:space="0" w:color="auto"/>
            </w:tcBorders>
            <w:shd w:val="clear" w:color="000000" w:fill="F2F2F2"/>
            <w:noWrap/>
            <w:vAlign w:val="center"/>
            <w:hideMark/>
          </w:tcPr>
          <w:p w14:paraId="2357D886"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$ 18.500.350</w:t>
            </w:r>
          </w:p>
        </w:tc>
        <w:tc>
          <w:tcPr>
            <w:tcW w:w="1200" w:type="dxa"/>
            <w:tcBorders>
              <w:top w:val="nil"/>
              <w:left w:val="nil"/>
              <w:bottom w:val="single" w:sz="4" w:space="0" w:color="auto"/>
              <w:right w:val="single" w:sz="4" w:space="0" w:color="auto"/>
            </w:tcBorders>
            <w:shd w:val="clear" w:color="000000" w:fill="F2F2F2"/>
            <w:noWrap/>
            <w:vAlign w:val="center"/>
            <w:hideMark/>
          </w:tcPr>
          <w:p w14:paraId="7C1A4E3D"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$ 770</w:t>
            </w:r>
          </w:p>
        </w:tc>
        <w:tc>
          <w:tcPr>
            <w:tcW w:w="1280" w:type="dxa"/>
            <w:tcBorders>
              <w:top w:val="nil"/>
              <w:left w:val="nil"/>
              <w:bottom w:val="single" w:sz="4" w:space="0" w:color="auto"/>
              <w:right w:val="single" w:sz="4" w:space="0" w:color="auto"/>
            </w:tcBorders>
            <w:shd w:val="clear" w:color="000000" w:fill="F2F2F2"/>
            <w:noWrap/>
            <w:vAlign w:val="center"/>
            <w:hideMark/>
          </w:tcPr>
          <w:p w14:paraId="183877E5"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$ 18.501.120</w:t>
            </w:r>
          </w:p>
        </w:tc>
      </w:tr>
      <w:tr w:rsidR="00B07312" w:rsidRPr="006B48D3" w14:paraId="73CEE4DD" w14:textId="77777777" w:rsidTr="006B48D3">
        <w:trPr>
          <w:trHeight w:val="229"/>
        </w:trPr>
        <w:tc>
          <w:tcPr>
            <w:tcW w:w="407" w:type="dxa"/>
            <w:tcBorders>
              <w:top w:val="nil"/>
              <w:left w:val="single" w:sz="4" w:space="0" w:color="auto"/>
              <w:bottom w:val="single" w:sz="4" w:space="0" w:color="auto"/>
              <w:right w:val="single" w:sz="4" w:space="0" w:color="auto"/>
            </w:tcBorders>
            <w:shd w:val="clear" w:color="000000" w:fill="F2F2F2"/>
            <w:noWrap/>
            <w:vAlign w:val="center"/>
            <w:hideMark/>
          </w:tcPr>
          <w:p w14:paraId="71D8623D" w14:textId="77777777" w:rsidR="00B07312" w:rsidRPr="006B48D3" w:rsidRDefault="00B07312" w:rsidP="00D22441">
            <w:pPr>
              <w:jc w:val="center"/>
              <w:rPr>
                <w:rFonts w:ascii="Arial Narrow" w:hAnsi="Arial Narrow" w:cs="Arial"/>
                <w:spacing w:val="0"/>
                <w:sz w:val="16"/>
                <w:szCs w:val="16"/>
                <w:lang w:eastAsia="es-CO"/>
              </w:rPr>
            </w:pPr>
            <w:r w:rsidRPr="006B48D3">
              <w:rPr>
                <w:rFonts w:ascii="Arial Narrow" w:hAnsi="Arial Narrow" w:cs="Arial"/>
                <w:spacing w:val="0"/>
                <w:sz w:val="16"/>
                <w:szCs w:val="16"/>
                <w:lang w:eastAsia="es-CO"/>
              </w:rPr>
              <w:t>118</w:t>
            </w:r>
          </w:p>
        </w:tc>
        <w:tc>
          <w:tcPr>
            <w:tcW w:w="585" w:type="dxa"/>
            <w:tcBorders>
              <w:top w:val="nil"/>
              <w:left w:val="nil"/>
              <w:bottom w:val="single" w:sz="4" w:space="0" w:color="auto"/>
              <w:right w:val="single" w:sz="4" w:space="0" w:color="auto"/>
            </w:tcBorders>
            <w:shd w:val="clear" w:color="000000" w:fill="F2F2F2"/>
            <w:noWrap/>
            <w:vAlign w:val="center"/>
            <w:hideMark/>
          </w:tcPr>
          <w:p w14:paraId="153DC482"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32215</w:t>
            </w:r>
          </w:p>
        </w:tc>
        <w:tc>
          <w:tcPr>
            <w:tcW w:w="941" w:type="dxa"/>
            <w:tcBorders>
              <w:top w:val="nil"/>
              <w:left w:val="nil"/>
              <w:bottom w:val="single" w:sz="4" w:space="0" w:color="auto"/>
              <w:right w:val="single" w:sz="4" w:space="0" w:color="auto"/>
            </w:tcBorders>
            <w:shd w:val="clear" w:color="000000" w:fill="F2F2F2"/>
            <w:noWrap/>
            <w:vAlign w:val="center"/>
            <w:hideMark/>
          </w:tcPr>
          <w:p w14:paraId="7DA87CEC"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900922760</w:t>
            </w:r>
          </w:p>
        </w:tc>
        <w:tc>
          <w:tcPr>
            <w:tcW w:w="3247" w:type="dxa"/>
            <w:tcBorders>
              <w:top w:val="nil"/>
              <w:left w:val="nil"/>
              <w:bottom w:val="single" w:sz="4" w:space="0" w:color="auto"/>
              <w:right w:val="single" w:sz="4" w:space="0" w:color="auto"/>
            </w:tcBorders>
            <w:shd w:val="clear" w:color="000000" w:fill="F2F2F2"/>
            <w:vAlign w:val="center"/>
            <w:hideMark/>
          </w:tcPr>
          <w:p w14:paraId="43CD77CC" w14:textId="77777777" w:rsidR="00B07312" w:rsidRPr="006B48D3" w:rsidRDefault="00B07312" w:rsidP="00D22441">
            <w:pPr>
              <w:jc w:val="left"/>
              <w:rPr>
                <w:rFonts w:ascii="Arial Narrow" w:hAnsi="Arial Narrow" w:cs="Arial"/>
                <w:spacing w:val="0"/>
                <w:sz w:val="16"/>
                <w:szCs w:val="16"/>
                <w:lang w:eastAsia="es-CO"/>
              </w:rPr>
            </w:pPr>
            <w:r w:rsidRPr="006B48D3">
              <w:rPr>
                <w:rFonts w:ascii="Arial Narrow" w:hAnsi="Arial Narrow" w:cs="Arial"/>
                <w:spacing w:val="0"/>
                <w:sz w:val="16"/>
                <w:szCs w:val="16"/>
                <w:lang w:eastAsia="es-CO"/>
              </w:rPr>
              <w:t xml:space="preserve">GLOBAL, REDES Y OBRAS S.A.S. E.S.P. </w:t>
            </w:r>
          </w:p>
        </w:tc>
        <w:tc>
          <w:tcPr>
            <w:tcW w:w="1620" w:type="dxa"/>
            <w:tcBorders>
              <w:top w:val="nil"/>
              <w:left w:val="nil"/>
              <w:bottom w:val="single" w:sz="4" w:space="0" w:color="auto"/>
              <w:right w:val="single" w:sz="4" w:space="0" w:color="auto"/>
            </w:tcBorders>
            <w:shd w:val="clear" w:color="000000" w:fill="F2F2F2"/>
            <w:noWrap/>
            <w:vAlign w:val="center"/>
            <w:hideMark/>
          </w:tcPr>
          <w:p w14:paraId="3C79B5EF"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$ 175.481.000</w:t>
            </w:r>
          </w:p>
        </w:tc>
        <w:tc>
          <w:tcPr>
            <w:tcW w:w="1520" w:type="dxa"/>
            <w:tcBorders>
              <w:top w:val="nil"/>
              <w:left w:val="nil"/>
              <w:bottom w:val="single" w:sz="4" w:space="0" w:color="auto"/>
              <w:right w:val="single" w:sz="4" w:space="0" w:color="auto"/>
            </w:tcBorders>
            <w:shd w:val="clear" w:color="000000" w:fill="F2F2F2"/>
            <w:noWrap/>
            <w:vAlign w:val="center"/>
            <w:hideMark/>
          </w:tcPr>
          <w:p w14:paraId="24457016"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$ 11.239.987</w:t>
            </w:r>
          </w:p>
        </w:tc>
        <w:tc>
          <w:tcPr>
            <w:tcW w:w="1460" w:type="dxa"/>
            <w:tcBorders>
              <w:top w:val="nil"/>
              <w:left w:val="nil"/>
              <w:bottom w:val="single" w:sz="4" w:space="0" w:color="auto"/>
              <w:right w:val="single" w:sz="4" w:space="0" w:color="auto"/>
            </w:tcBorders>
            <w:shd w:val="clear" w:color="000000" w:fill="F2F2F2"/>
            <w:noWrap/>
            <w:vAlign w:val="center"/>
            <w:hideMark/>
          </w:tcPr>
          <w:p w14:paraId="16E9C2CD"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$ 186.720.987</w:t>
            </w:r>
          </w:p>
        </w:tc>
        <w:tc>
          <w:tcPr>
            <w:tcW w:w="1280" w:type="dxa"/>
            <w:tcBorders>
              <w:top w:val="nil"/>
              <w:left w:val="nil"/>
              <w:bottom w:val="single" w:sz="4" w:space="0" w:color="auto"/>
              <w:right w:val="single" w:sz="4" w:space="0" w:color="auto"/>
            </w:tcBorders>
            <w:shd w:val="clear" w:color="000000" w:fill="F2F2F2"/>
            <w:noWrap/>
            <w:vAlign w:val="center"/>
            <w:hideMark/>
          </w:tcPr>
          <w:p w14:paraId="20E2FEE7"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$ 1.867.210</w:t>
            </w:r>
          </w:p>
        </w:tc>
        <w:tc>
          <w:tcPr>
            <w:tcW w:w="1200" w:type="dxa"/>
            <w:tcBorders>
              <w:top w:val="nil"/>
              <w:left w:val="nil"/>
              <w:bottom w:val="single" w:sz="4" w:space="0" w:color="auto"/>
              <w:right w:val="single" w:sz="4" w:space="0" w:color="auto"/>
            </w:tcBorders>
            <w:shd w:val="clear" w:color="000000" w:fill="F2F2F2"/>
            <w:noWrap/>
            <w:vAlign w:val="center"/>
            <w:hideMark/>
          </w:tcPr>
          <w:p w14:paraId="3F59A1E2"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$ 78</w:t>
            </w:r>
          </w:p>
        </w:tc>
        <w:tc>
          <w:tcPr>
            <w:tcW w:w="1280" w:type="dxa"/>
            <w:tcBorders>
              <w:top w:val="nil"/>
              <w:left w:val="nil"/>
              <w:bottom w:val="single" w:sz="4" w:space="0" w:color="auto"/>
              <w:right w:val="single" w:sz="4" w:space="0" w:color="auto"/>
            </w:tcBorders>
            <w:shd w:val="clear" w:color="000000" w:fill="F2F2F2"/>
            <w:noWrap/>
            <w:vAlign w:val="center"/>
            <w:hideMark/>
          </w:tcPr>
          <w:p w14:paraId="6CA43D41"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$ 1.867.288</w:t>
            </w:r>
          </w:p>
        </w:tc>
      </w:tr>
      <w:tr w:rsidR="00B07312" w:rsidRPr="006B48D3" w14:paraId="48F705CA" w14:textId="77777777" w:rsidTr="006B48D3">
        <w:trPr>
          <w:trHeight w:val="375"/>
        </w:trPr>
        <w:tc>
          <w:tcPr>
            <w:tcW w:w="407" w:type="dxa"/>
            <w:tcBorders>
              <w:top w:val="nil"/>
              <w:left w:val="single" w:sz="4" w:space="0" w:color="auto"/>
              <w:bottom w:val="single" w:sz="4" w:space="0" w:color="auto"/>
              <w:right w:val="single" w:sz="4" w:space="0" w:color="auto"/>
            </w:tcBorders>
            <w:shd w:val="clear" w:color="000000" w:fill="F2F2F2"/>
            <w:noWrap/>
            <w:vAlign w:val="center"/>
            <w:hideMark/>
          </w:tcPr>
          <w:p w14:paraId="632EF509" w14:textId="77777777" w:rsidR="00B07312" w:rsidRPr="006B48D3" w:rsidRDefault="00B07312" w:rsidP="00D22441">
            <w:pPr>
              <w:jc w:val="center"/>
              <w:rPr>
                <w:rFonts w:ascii="Arial Narrow" w:hAnsi="Arial Narrow" w:cs="Arial"/>
                <w:spacing w:val="0"/>
                <w:sz w:val="16"/>
                <w:szCs w:val="16"/>
                <w:lang w:eastAsia="es-CO"/>
              </w:rPr>
            </w:pPr>
            <w:r w:rsidRPr="006B48D3">
              <w:rPr>
                <w:rFonts w:ascii="Arial Narrow" w:hAnsi="Arial Narrow" w:cs="Arial"/>
                <w:spacing w:val="0"/>
                <w:sz w:val="16"/>
                <w:szCs w:val="16"/>
                <w:lang w:eastAsia="es-CO"/>
              </w:rPr>
              <w:lastRenderedPageBreak/>
              <w:t>119</w:t>
            </w:r>
          </w:p>
        </w:tc>
        <w:tc>
          <w:tcPr>
            <w:tcW w:w="585" w:type="dxa"/>
            <w:tcBorders>
              <w:top w:val="nil"/>
              <w:left w:val="nil"/>
              <w:bottom w:val="single" w:sz="4" w:space="0" w:color="auto"/>
              <w:right w:val="single" w:sz="4" w:space="0" w:color="auto"/>
            </w:tcBorders>
            <w:shd w:val="clear" w:color="000000" w:fill="F2F2F2"/>
            <w:noWrap/>
            <w:vAlign w:val="center"/>
            <w:hideMark/>
          </w:tcPr>
          <w:p w14:paraId="1B7B32C3"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32733</w:t>
            </w:r>
          </w:p>
        </w:tc>
        <w:tc>
          <w:tcPr>
            <w:tcW w:w="941" w:type="dxa"/>
            <w:tcBorders>
              <w:top w:val="nil"/>
              <w:left w:val="nil"/>
              <w:bottom w:val="single" w:sz="4" w:space="0" w:color="auto"/>
              <w:right w:val="single" w:sz="4" w:space="0" w:color="auto"/>
            </w:tcBorders>
            <w:shd w:val="clear" w:color="000000" w:fill="F2F2F2"/>
            <w:noWrap/>
            <w:vAlign w:val="center"/>
            <w:hideMark/>
          </w:tcPr>
          <w:p w14:paraId="60572A2C"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900948809</w:t>
            </w:r>
          </w:p>
        </w:tc>
        <w:tc>
          <w:tcPr>
            <w:tcW w:w="3247" w:type="dxa"/>
            <w:tcBorders>
              <w:top w:val="nil"/>
              <w:left w:val="nil"/>
              <w:bottom w:val="single" w:sz="4" w:space="0" w:color="auto"/>
              <w:right w:val="single" w:sz="4" w:space="0" w:color="auto"/>
            </w:tcBorders>
            <w:shd w:val="clear" w:color="000000" w:fill="F2F2F2"/>
            <w:vAlign w:val="center"/>
            <w:hideMark/>
          </w:tcPr>
          <w:p w14:paraId="0AF9B0D4" w14:textId="77777777" w:rsidR="00B07312" w:rsidRPr="006B48D3" w:rsidRDefault="00B07312" w:rsidP="00D22441">
            <w:pPr>
              <w:jc w:val="left"/>
              <w:rPr>
                <w:rFonts w:ascii="Arial Narrow" w:hAnsi="Arial Narrow" w:cs="Arial"/>
                <w:spacing w:val="0"/>
                <w:sz w:val="16"/>
                <w:szCs w:val="16"/>
                <w:lang w:eastAsia="es-CO"/>
              </w:rPr>
            </w:pPr>
            <w:r w:rsidRPr="006B48D3">
              <w:rPr>
                <w:rFonts w:ascii="Arial Narrow" w:hAnsi="Arial Narrow" w:cs="Arial"/>
                <w:spacing w:val="0"/>
                <w:sz w:val="16"/>
                <w:szCs w:val="16"/>
                <w:lang w:eastAsia="es-CO"/>
              </w:rPr>
              <w:t>EMPRESA MIXTA DE GAS S.A.S. E.S.P.</w:t>
            </w:r>
          </w:p>
        </w:tc>
        <w:tc>
          <w:tcPr>
            <w:tcW w:w="1620" w:type="dxa"/>
            <w:tcBorders>
              <w:top w:val="nil"/>
              <w:left w:val="nil"/>
              <w:bottom w:val="single" w:sz="4" w:space="0" w:color="auto"/>
              <w:right w:val="single" w:sz="4" w:space="0" w:color="auto"/>
            </w:tcBorders>
            <w:shd w:val="clear" w:color="000000" w:fill="F2F2F2"/>
            <w:noWrap/>
            <w:vAlign w:val="center"/>
            <w:hideMark/>
          </w:tcPr>
          <w:p w14:paraId="28017C80"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$ 190.165.000</w:t>
            </w:r>
          </w:p>
        </w:tc>
        <w:tc>
          <w:tcPr>
            <w:tcW w:w="1520" w:type="dxa"/>
            <w:tcBorders>
              <w:top w:val="nil"/>
              <w:left w:val="nil"/>
              <w:bottom w:val="single" w:sz="4" w:space="0" w:color="auto"/>
              <w:right w:val="single" w:sz="4" w:space="0" w:color="auto"/>
            </w:tcBorders>
            <w:shd w:val="clear" w:color="000000" w:fill="F2F2F2"/>
            <w:noWrap/>
            <w:vAlign w:val="center"/>
            <w:hideMark/>
          </w:tcPr>
          <w:p w14:paraId="5C11F8EA"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$ 22.410.649</w:t>
            </w:r>
          </w:p>
        </w:tc>
        <w:tc>
          <w:tcPr>
            <w:tcW w:w="1460" w:type="dxa"/>
            <w:tcBorders>
              <w:top w:val="nil"/>
              <w:left w:val="nil"/>
              <w:bottom w:val="single" w:sz="4" w:space="0" w:color="auto"/>
              <w:right w:val="single" w:sz="4" w:space="0" w:color="auto"/>
            </w:tcBorders>
            <w:shd w:val="clear" w:color="000000" w:fill="F2F2F2"/>
            <w:noWrap/>
            <w:vAlign w:val="center"/>
            <w:hideMark/>
          </w:tcPr>
          <w:p w14:paraId="38870E9D"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$ 212.575.649</w:t>
            </w:r>
          </w:p>
        </w:tc>
        <w:tc>
          <w:tcPr>
            <w:tcW w:w="1280" w:type="dxa"/>
            <w:tcBorders>
              <w:top w:val="nil"/>
              <w:left w:val="nil"/>
              <w:bottom w:val="single" w:sz="4" w:space="0" w:color="auto"/>
              <w:right w:val="single" w:sz="4" w:space="0" w:color="auto"/>
            </w:tcBorders>
            <w:shd w:val="clear" w:color="000000" w:fill="F2F2F2"/>
            <w:noWrap/>
            <w:vAlign w:val="center"/>
            <w:hideMark/>
          </w:tcPr>
          <w:p w14:paraId="30485C33"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$ 2.125.756</w:t>
            </w:r>
          </w:p>
        </w:tc>
        <w:tc>
          <w:tcPr>
            <w:tcW w:w="1200" w:type="dxa"/>
            <w:tcBorders>
              <w:top w:val="nil"/>
              <w:left w:val="nil"/>
              <w:bottom w:val="single" w:sz="4" w:space="0" w:color="auto"/>
              <w:right w:val="single" w:sz="4" w:space="0" w:color="auto"/>
            </w:tcBorders>
            <w:shd w:val="clear" w:color="000000" w:fill="F2F2F2"/>
            <w:noWrap/>
            <w:vAlign w:val="center"/>
            <w:hideMark/>
          </w:tcPr>
          <w:p w14:paraId="6305EF16"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$ 88</w:t>
            </w:r>
          </w:p>
        </w:tc>
        <w:tc>
          <w:tcPr>
            <w:tcW w:w="1280" w:type="dxa"/>
            <w:tcBorders>
              <w:top w:val="nil"/>
              <w:left w:val="nil"/>
              <w:bottom w:val="single" w:sz="4" w:space="0" w:color="auto"/>
              <w:right w:val="single" w:sz="4" w:space="0" w:color="auto"/>
            </w:tcBorders>
            <w:shd w:val="clear" w:color="000000" w:fill="F2F2F2"/>
            <w:noWrap/>
            <w:vAlign w:val="center"/>
            <w:hideMark/>
          </w:tcPr>
          <w:p w14:paraId="75B201AB"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$ 2.125.845</w:t>
            </w:r>
          </w:p>
        </w:tc>
      </w:tr>
      <w:tr w:rsidR="00B07312" w:rsidRPr="006B48D3" w14:paraId="182CBC73" w14:textId="77777777" w:rsidTr="006B48D3">
        <w:trPr>
          <w:trHeight w:val="347"/>
        </w:trPr>
        <w:tc>
          <w:tcPr>
            <w:tcW w:w="407" w:type="dxa"/>
            <w:tcBorders>
              <w:top w:val="nil"/>
              <w:left w:val="single" w:sz="4" w:space="0" w:color="auto"/>
              <w:bottom w:val="single" w:sz="4" w:space="0" w:color="auto"/>
              <w:right w:val="single" w:sz="4" w:space="0" w:color="auto"/>
            </w:tcBorders>
            <w:shd w:val="clear" w:color="000000" w:fill="F2F2F2"/>
            <w:noWrap/>
            <w:vAlign w:val="center"/>
            <w:hideMark/>
          </w:tcPr>
          <w:p w14:paraId="47A5FC36" w14:textId="77777777" w:rsidR="00B07312" w:rsidRPr="006B48D3" w:rsidRDefault="00B07312" w:rsidP="00D22441">
            <w:pPr>
              <w:jc w:val="center"/>
              <w:rPr>
                <w:rFonts w:ascii="Arial Narrow" w:hAnsi="Arial Narrow" w:cs="Arial"/>
                <w:spacing w:val="0"/>
                <w:sz w:val="16"/>
                <w:szCs w:val="16"/>
                <w:lang w:eastAsia="es-CO"/>
              </w:rPr>
            </w:pPr>
            <w:r w:rsidRPr="006B48D3">
              <w:rPr>
                <w:rFonts w:ascii="Arial Narrow" w:hAnsi="Arial Narrow" w:cs="Arial"/>
                <w:spacing w:val="0"/>
                <w:sz w:val="16"/>
                <w:szCs w:val="16"/>
                <w:lang w:eastAsia="es-CO"/>
              </w:rPr>
              <w:t>120</w:t>
            </w:r>
          </w:p>
        </w:tc>
        <w:tc>
          <w:tcPr>
            <w:tcW w:w="585" w:type="dxa"/>
            <w:tcBorders>
              <w:top w:val="nil"/>
              <w:left w:val="nil"/>
              <w:bottom w:val="single" w:sz="4" w:space="0" w:color="auto"/>
              <w:right w:val="single" w:sz="4" w:space="0" w:color="auto"/>
            </w:tcBorders>
            <w:shd w:val="clear" w:color="000000" w:fill="F2F2F2"/>
            <w:noWrap/>
            <w:vAlign w:val="center"/>
            <w:hideMark/>
          </w:tcPr>
          <w:p w14:paraId="45C977B0"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33453</w:t>
            </w:r>
          </w:p>
        </w:tc>
        <w:tc>
          <w:tcPr>
            <w:tcW w:w="941" w:type="dxa"/>
            <w:tcBorders>
              <w:top w:val="nil"/>
              <w:left w:val="nil"/>
              <w:bottom w:val="single" w:sz="4" w:space="0" w:color="auto"/>
              <w:right w:val="single" w:sz="4" w:space="0" w:color="auto"/>
            </w:tcBorders>
            <w:shd w:val="clear" w:color="000000" w:fill="F2F2F2"/>
            <w:noWrap/>
            <w:vAlign w:val="center"/>
            <w:hideMark/>
          </w:tcPr>
          <w:p w14:paraId="5D016D22"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900970665</w:t>
            </w:r>
          </w:p>
        </w:tc>
        <w:tc>
          <w:tcPr>
            <w:tcW w:w="3247" w:type="dxa"/>
            <w:tcBorders>
              <w:top w:val="nil"/>
              <w:left w:val="nil"/>
              <w:bottom w:val="single" w:sz="4" w:space="0" w:color="auto"/>
              <w:right w:val="single" w:sz="4" w:space="0" w:color="auto"/>
            </w:tcBorders>
            <w:shd w:val="clear" w:color="000000" w:fill="F2F2F2"/>
            <w:vAlign w:val="center"/>
            <w:hideMark/>
          </w:tcPr>
          <w:p w14:paraId="1AC49529" w14:textId="77777777" w:rsidR="00B07312" w:rsidRPr="006B48D3" w:rsidRDefault="00B07312" w:rsidP="00D22441">
            <w:pPr>
              <w:jc w:val="left"/>
              <w:rPr>
                <w:rFonts w:ascii="Arial Narrow" w:hAnsi="Arial Narrow" w:cs="Arial"/>
                <w:spacing w:val="0"/>
                <w:sz w:val="16"/>
                <w:szCs w:val="16"/>
                <w:lang w:eastAsia="es-CO"/>
              </w:rPr>
            </w:pPr>
            <w:r w:rsidRPr="006B48D3">
              <w:rPr>
                <w:rFonts w:ascii="Arial Narrow" w:hAnsi="Arial Narrow" w:cs="Arial"/>
                <w:spacing w:val="0"/>
                <w:sz w:val="16"/>
                <w:szCs w:val="16"/>
                <w:lang w:eastAsia="es-CO"/>
              </w:rPr>
              <w:t>GAS COLOMBIA SAS ESP</w:t>
            </w:r>
          </w:p>
        </w:tc>
        <w:tc>
          <w:tcPr>
            <w:tcW w:w="1620" w:type="dxa"/>
            <w:tcBorders>
              <w:top w:val="nil"/>
              <w:left w:val="nil"/>
              <w:bottom w:val="single" w:sz="4" w:space="0" w:color="auto"/>
              <w:right w:val="single" w:sz="4" w:space="0" w:color="auto"/>
            </w:tcBorders>
            <w:shd w:val="clear" w:color="000000" w:fill="F2F2F2"/>
            <w:noWrap/>
            <w:vAlign w:val="center"/>
            <w:hideMark/>
          </w:tcPr>
          <w:p w14:paraId="029AF747"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$ 173.070.000</w:t>
            </w:r>
          </w:p>
        </w:tc>
        <w:tc>
          <w:tcPr>
            <w:tcW w:w="1520" w:type="dxa"/>
            <w:tcBorders>
              <w:top w:val="nil"/>
              <w:left w:val="nil"/>
              <w:bottom w:val="single" w:sz="4" w:space="0" w:color="auto"/>
              <w:right w:val="single" w:sz="4" w:space="0" w:color="auto"/>
            </w:tcBorders>
            <w:shd w:val="clear" w:color="000000" w:fill="F2F2F2"/>
            <w:noWrap/>
            <w:vAlign w:val="center"/>
            <w:hideMark/>
          </w:tcPr>
          <w:p w14:paraId="0E0D06CF"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$ 31.640.200</w:t>
            </w:r>
          </w:p>
        </w:tc>
        <w:tc>
          <w:tcPr>
            <w:tcW w:w="1460" w:type="dxa"/>
            <w:tcBorders>
              <w:top w:val="nil"/>
              <w:left w:val="nil"/>
              <w:bottom w:val="single" w:sz="4" w:space="0" w:color="auto"/>
              <w:right w:val="single" w:sz="4" w:space="0" w:color="auto"/>
            </w:tcBorders>
            <w:shd w:val="clear" w:color="000000" w:fill="F2F2F2"/>
            <w:noWrap/>
            <w:vAlign w:val="center"/>
            <w:hideMark/>
          </w:tcPr>
          <w:p w14:paraId="24CAE688"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$ 204.710.200</w:t>
            </w:r>
          </w:p>
        </w:tc>
        <w:tc>
          <w:tcPr>
            <w:tcW w:w="1280" w:type="dxa"/>
            <w:tcBorders>
              <w:top w:val="nil"/>
              <w:left w:val="nil"/>
              <w:bottom w:val="single" w:sz="4" w:space="0" w:color="auto"/>
              <w:right w:val="single" w:sz="4" w:space="0" w:color="auto"/>
            </w:tcBorders>
            <w:shd w:val="clear" w:color="000000" w:fill="F2F2F2"/>
            <w:noWrap/>
            <w:vAlign w:val="center"/>
            <w:hideMark/>
          </w:tcPr>
          <w:p w14:paraId="16FAA3C9"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$ 2.047.102</w:t>
            </w:r>
          </w:p>
        </w:tc>
        <w:tc>
          <w:tcPr>
            <w:tcW w:w="1200" w:type="dxa"/>
            <w:tcBorders>
              <w:top w:val="nil"/>
              <w:left w:val="nil"/>
              <w:bottom w:val="single" w:sz="4" w:space="0" w:color="auto"/>
              <w:right w:val="single" w:sz="4" w:space="0" w:color="auto"/>
            </w:tcBorders>
            <w:shd w:val="clear" w:color="000000" w:fill="F2F2F2"/>
            <w:noWrap/>
            <w:vAlign w:val="center"/>
            <w:hideMark/>
          </w:tcPr>
          <w:p w14:paraId="286A0839"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$ 85</w:t>
            </w:r>
          </w:p>
        </w:tc>
        <w:tc>
          <w:tcPr>
            <w:tcW w:w="1280" w:type="dxa"/>
            <w:tcBorders>
              <w:top w:val="nil"/>
              <w:left w:val="nil"/>
              <w:bottom w:val="single" w:sz="4" w:space="0" w:color="auto"/>
              <w:right w:val="single" w:sz="4" w:space="0" w:color="auto"/>
            </w:tcBorders>
            <w:shd w:val="clear" w:color="000000" w:fill="F2F2F2"/>
            <w:noWrap/>
            <w:vAlign w:val="center"/>
            <w:hideMark/>
          </w:tcPr>
          <w:p w14:paraId="06CA4103"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$ 2.047.187</w:t>
            </w:r>
          </w:p>
        </w:tc>
      </w:tr>
      <w:tr w:rsidR="00B07312" w:rsidRPr="006B48D3" w14:paraId="5C188BE7" w14:textId="77777777" w:rsidTr="006B48D3">
        <w:trPr>
          <w:trHeight w:val="450"/>
        </w:trPr>
        <w:tc>
          <w:tcPr>
            <w:tcW w:w="407" w:type="dxa"/>
            <w:tcBorders>
              <w:top w:val="nil"/>
              <w:left w:val="single" w:sz="4" w:space="0" w:color="auto"/>
              <w:bottom w:val="single" w:sz="4" w:space="0" w:color="auto"/>
              <w:right w:val="single" w:sz="4" w:space="0" w:color="auto"/>
            </w:tcBorders>
            <w:shd w:val="clear" w:color="000000" w:fill="F2F2F2"/>
            <w:noWrap/>
            <w:vAlign w:val="center"/>
            <w:hideMark/>
          </w:tcPr>
          <w:p w14:paraId="07464FA3" w14:textId="77777777" w:rsidR="00B07312" w:rsidRPr="006B48D3" w:rsidRDefault="00B07312" w:rsidP="00D22441">
            <w:pPr>
              <w:jc w:val="center"/>
              <w:rPr>
                <w:rFonts w:ascii="Arial Narrow" w:hAnsi="Arial Narrow" w:cs="Arial"/>
                <w:spacing w:val="0"/>
                <w:sz w:val="16"/>
                <w:szCs w:val="16"/>
                <w:lang w:eastAsia="es-CO"/>
              </w:rPr>
            </w:pPr>
            <w:r w:rsidRPr="006B48D3">
              <w:rPr>
                <w:rFonts w:ascii="Arial Narrow" w:hAnsi="Arial Narrow" w:cs="Arial"/>
                <w:spacing w:val="0"/>
                <w:sz w:val="16"/>
                <w:szCs w:val="16"/>
                <w:lang w:eastAsia="es-CO"/>
              </w:rPr>
              <w:t>121</w:t>
            </w:r>
          </w:p>
        </w:tc>
        <w:tc>
          <w:tcPr>
            <w:tcW w:w="585" w:type="dxa"/>
            <w:tcBorders>
              <w:top w:val="nil"/>
              <w:left w:val="nil"/>
              <w:bottom w:val="single" w:sz="4" w:space="0" w:color="auto"/>
              <w:right w:val="single" w:sz="4" w:space="0" w:color="auto"/>
            </w:tcBorders>
            <w:shd w:val="clear" w:color="000000" w:fill="F2F2F2"/>
            <w:noWrap/>
            <w:vAlign w:val="center"/>
            <w:hideMark/>
          </w:tcPr>
          <w:p w14:paraId="2F69DB1C"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41797</w:t>
            </w:r>
          </w:p>
        </w:tc>
        <w:tc>
          <w:tcPr>
            <w:tcW w:w="941" w:type="dxa"/>
            <w:tcBorders>
              <w:top w:val="nil"/>
              <w:left w:val="nil"/>
              <w:bottom w:val="single" w:sz="4" w:space="0" w:color="auto"/>
              <w:right w:val="single" w:sz="4" w:space="0" w:color="auto"/>
            </w:tcBorders>
            <w:shd w:val="clear" w:color="000000" w:fill="F2F2F2"/>
            <w:noWrap/>
            <w:vAlign w:val="center"/>
            <w:hideMark/>
          </w:tcPr>
          <w:p w14:paraId="0B07922C"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901007478</w:t>
            </w:r>
          </w:p>
        </w:tc>
        <w:tc>
          <w:tcPr>
            <w:tcW w:w="3247" w:type="dxa"/>
            <w:tcBorders>
              <w:top w:val="nil"/>
              <w:left w:val="nil"/>
              <w:bottom w:val="single" w:sz="4" w:space="0" w:color="auto"/>
              <w:right w:val="single" w:sz="4" w:space="0" w:color="auto"/>
            </w:tcBorders>
            <w:shd w:val="clear" w:color="000000" w:fill="F2F2F2"/>
            <w:vAlign w:val="center"/>
            <w:hideMark/>
          </w:tcPr>
          <w:p w14:paraId="3C7F6306" w14:textId="77777777" w:rsidR="00B07312" w:rsidRPr="006B48D3" w:rsidRDefault="00B07312" w:rsidP="00D22441">
            <w:pPr>
              <w:jc w:val="left"/>
              <w:rPr>
                <w:rFonts w:ascii="Arial Narrow" w:hAnsi="Arial Narrow" w:cs="Arial"/>
                <w:spacing w:val="0"/>
                <w:sz w:val="16"/>
                <w:szCs w:val="16"/>
                <w:lang w:eastAsia="es-CO"/>
              </w:rPr>
            </w:pPr>
            <w:r w:rsidRPr="006B48D3">
              <w:rPr>
                <w:rFonts w:ascii="Arial Narrow" w:hAnsi="Arial Narrow" w:cs="Arial"/>
                <w:spacing w:val="0"/>
                <w:sz w:val="16"/>
                <w:szCs w:val="16"/>
                <w:lang w:eastAsia="es-CO"/>
              </w:rPr>
              <w:t>GRUPO ENERGÉTICO DE LAS AMERICAS SAS ESP</w:t>
            </w:r>
          </w:p>
        </w:tc>
        <w:tc>
          <w:tcPr>
            <w:tcW w:w="1620" w:type="dxa"/>
            <w:tcBorders>
              <w:top w:val="nil"/>
              <w:left w:val="nil"/>
              <w:bottom w:val="single" w:sz="4" w:space="0" w:color="auto"/>
              <w:right w:val="single" w:sz="4" w:space="0" w:color="auto"/>
            </w:tcBorders>
            <w:shd w:val="clear" w:color="000000" w:fill="F2F2F2"/>
            <w:noWrap/>
            <w:vAlign w:val="center"/>
            <w:hideMark/>
          </w:tcPr>
          <w:p w14:paraId="7E06AA21"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$ 4.640.802.000</w:t>
            </w:r>
          </w:p>
        </w:tc>
        <w:tc>
          <w:tcPr>
            <w:tcW w:w="1520" w:type="dxa"/>
            <w:tcBorders>
              <w:top w:val="nil"/>
              <w:left w:val="nil"/>
              <w:bottom w:val="single" w:sz="4" w:space="0" w:color="auto"/>
              <w:right w:val="single" w:sz="4" w:space="0" w:color="auto"/>
            </w:tcBorders>
            <w:shd w:val="clear" w:color="000000" w:fill="F2F2F2"/>
            <w:noWrap/>
            <w:vAlign w:val="center"/>
            <w:hideMark/>
          </w:tcPr>
          <w:p w14:paraId="60B9A2BB"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$ 2.127.369.793</w:t>
            </w:r>
          </w:p>
        </w:tc>
        <w:tc>
          <w:tcPr>
            <w:tcW w:w="1460" w:type="dxa"/>
            <w:tcBorders>
              <w:top w:val="nil"/>
              <w:left w:val="nil"/>
              <w:bottom w:val="single" w:sz="4" w:space="0" w:color="auto"/>
              <w:right w:val="single" w:sz="4" w:space="0" w:color="auto"/>
            </w:tcBorders>
            <w:shd w:val="clear" w:color="000000" w:fill="F2F2F2"/>
            <w:noWrap/>
            <w:vAlign w:val="center"/>
            <w:hideMark/>
          </w:tcPr>
          <w:p w14:paraId="4CA4CBC1"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$ 6.768.171.793</w:t>
            </w:r>
          </w:p>
        </w:tc>
        <w:tc>
          <w:tcPr>
            <w:tcW w:w="1280" w:type="dxa"/>
            <w:tcBorders>
              <w:top w:val="nil"/>
              <w:left w:val="nil"/>
              <w:bottom w:val="single" w:sz="4" w:space="0" w:color="auto"/>
              <w:right w:val="single" w:sz="4" w:space="0" w:color="auto"/>
            </w:tcBorders>
            <w:shd w:val="clear" w:color="000000" w:fill="F2F2F2"/>
            <w:noWrap/>
            <w:vAlign w:val="center"/>
            <w:hideMark/>
          </w:tcPr>
          <w:p w14:paraId="69299390"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$ 67.681.718</w:t>
            </w:r>
          </w:p>
        </w:tc>
        <w:tc>
          <w:tcPr>
            <w:tcW w:w="1200" w:type="dxa"/>
            <w:tcBorders>
              <w:top w:val="nil"/>
              <w:left w:val="nil"/>
              <w:bottom w:val="single" w:sz="4" w:space="0" w:color="auto"/>
              <w:right w:val="single" w:sz="4" w:space="0" w:color="auto"/>
            </w:tcBorders>
            <w:shd w:val="clear" w:color="000000" w:fill="F2F2F2"/>
            <w:noWrap/>
            <w:vAlign w:val="center"/>
            <w:hideMark/>
          </w:tcPr>
          <w:p w14:paraId="7B0EDD17"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$ 2.817</w:t>
            </w:r>
          </w:p>
        </w:tc>
        <w:tc>
          <w:tcPr>
            <w:tcW w:w="1280" w:type="dxa"/>
            <w:tcBorders>
              <w:top w:val="nil"/>
              <w:left w:val="nil"/>
              <w:bottom w:val="single" w:sz="4" w:space="0" w:color="auto"/>
              <w:right w:val="single" w:sz="4" w:space="0" w:color="auto"/>
            </w:tcBorders>
            <w:shd w:val="clear" w:color="000000" w:fill="F2F2F2"/>
            <w:noWrap/>
            <w:vAlign w:val="center"/>
            <w:hideMark/>
          </w:tcPr>
          <w:p w14:paraId="0444BD23"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$ 67.684.535</w:t>
            </w:r>
          </w:p>
        </w:tc>
      </w:tr>
      <w:tr w:rsidR="00B07312" w:rsidRPr="006B48D3" w14:paraId="0EB3769B" w14:textId="77777777" w:rsidTr="006B48D3">
        <w:trPr>
          <w:trHeight w:val="450"/>
        </w:trPr>
        <w:tc>
          <w:tcPr>
            <w:tcW w:w="407" w:type="dxa"/>
            <w:tcBorders>
              <w:top w:val="nil"/>
              <w:left w:val="single" w:sz="4" w:space="0" w:color="auto"/>
              <w:bottom w:val="single" w:sz="4" w:space="0" w:color="auto"/>
              <w:right w:val="single" w:sz="4" w:space="0" w:color="auto"/>
            </w:tcBorders>
            <w:shd w:val="clear" w:color="000000" w:fill="F2F2F2"/>
            <w:noWrap/>
            <w:vAlign w:val="center"/>
            <w:hideMark/>
          </w:tcPr>
          <w:p w14:paraId="34BC12DB" w14:textId="77777777" w:rsidR="00B07312" w:rsidRPr="006B48D3" w:rsidRDefault="00B07312" w:rsidP="00D22441">
            <w:pPr>
              <w:jc w:val="center"/>
              <w:rPr>
                <w:rFonts w:ascii="Arial Narrow" w:hAnsi="Arial Narrow" w:cs="Arial"/>
                <w:spacing w:val="0"/>
                <w:sz w:val="16"/>
                <w:szCs w:val="16"/>
                <w:lang w:eastAsia="es-CO"/>
              </w:rPr>
            </w:pPr>
            <w:r w:rsidRPr="006B48D3">
              <w:rPr>
                <w:rFonts w:ascii="Arial Narrow" w:hAnsi="Arial Narrow" w:cs="Arial"/>
                <w:spacing w:val="0"/>
                <w:sz w:val="16"/>
                <w:szCs w:val="16"/>
                <w:lang w:eastAsia="es-CO"/>
              </w:rPr>
              <w:t>122</w:t>
            </w:r>
          </w:p>
        </w:tc>
        <w:tc>
          <w:tcPr>
            <w:tcW w:w="585" w:type="dxa"/>
            <w:tcBorders>
              <w:top w:val="nil"/>
              <w:left w:val="nil"/>
              <w:bottom w:val="single" w:sz="4" w:space="0" w:color="auto"/>
              <w:right w:val="single" w:sz="4" w:space="0" w:color="auto"/>
            </w:tcBorders>
            <w:shd w:val="clear" w:color="000000" w:fill="F2F2F2"/>
            <w:noWrap/>
            <w:vAlign w:val="center"/>
            <w:hideMark/>
          </w:tcPr>
          <w:p w14:paraId="2E2C31A7"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36775</w:t>
            </w:r>
          </w:p>
        </w:tc>
        <w:tc>
          <w:tcPr>
            <w:tcW w:w="941" w:type="dxa"/>
            <w:tcBorders>
              <w:top w:val="nil"/>
              <w:left w:val="nil"/>
              <w:bottom w:val="single" w:sz="4" w:space="0" w:color="auto"/>
              <w:right w:val="single" w:sz="4" w:space="0" w:color="auto"/>
            </w:tcBorders>
            <w:shd w:val="clear" w:color="000000" w:fill="F2F2F2"/>
            <w:noWrap/>
            <w:vAlign w:val="center"/>
            <w:hideMark/>
          </w:tcPr>
          <w:p w14:paraId="7079A231"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901008978</w:t>
            </w:r>
          </w:p>
        </w:tc>
        <w:tc>
          <w:tcPr>
            <w:tcW w:w="3247" w:type="dxa"/>
            <w:tcBorders>
              <w:top w:val="nil"/>
              <w:left w:val="nil"/>
              <w:bottom w:val="single" w:sz="4" w:space="0" w:color="auto"/>
              <w:right w:val="single" w:sz="4" w:space="0" w:color="auto"/>
            </w:tcBorders>
            <w:shd w:val="clear" w:color="000000" w:fill="F2F2F2"/>
            <w:vAlign w:val="center"/>
            <w:hideMark/>
          </w:tcPr>
          <w:p w14:paraId="0550196E" w14:textId="77777777" w:rsidR="00B07312" w:rsidRPr="006B48D3" w:rsidRDefault="00B07312" w:rsidP="00D22441">
            <w:pPr>
              <w:jc w:val="left"/>
              <w:rPr>
                <w:rFonts w:ascii="Arial Narrow" w:hAnsi="Arial Narrow" w:cs="Arial"/>
                <w:spacing w:val="0"/>
                <w:sz w:val="16"/>
                <w:szCs w:val="16"/>
                <w:lang w:eastAsia="es-CO"/>
              </w:rPr>
            </w:pPr>
            <w:r w:rsidRPr="006B48D3">
              <w:rPr>
                <w:rFonts w:ascii="Arial Narrow" w:hAnsi="Arial Narrow" w:cs="Arial"/>
                <w:spacing w:val="0"/>
                <w:sz w:val="16"/>
                <w:szCs w:val="16"/>
                <w:lang w:eastAsia="es-CO"/>
              </w:rPr>
              <w:t>SIMER COLOMBIA SAS ESP</w:t>
            </w:r>
          </w:p>
        </w:tc>
        <w:tc>
          <w:tcPr>
            <w:tcW w:w="1620" w:type="dxa"/>
            <w:tcBorders>
              <w:top w:val="nil"/>
              <w:left w:val="nil"/>
              <w:bottom w:val="single" w:sz="4" w:space="0" w:color="auto"/>
              <w:right w:val="single" w:sz="4" w:space="0" w:color="auto"/>
            </w:tcBorders>
            <w:shd w:val="clear" w:color="000000" w:fill="F2F2F2"/>
            <w:noWrap/>
            <w:vAlign w:val="center"/>
            <w:hideMark/>
          </w:tcPr>
          <w:p w14:paraId="6CEC4C87"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$ 854.602.555</w:t>
            </w:r>
          </w:p>
        </w:tc>
        <w:tc>
          <w:tcPr>
            <w:tcW w:w="1520" w:type="dxa"/>
            <w:tcBorders>
              <w:top w:val="nil"/>
              <w:left w:val="nil"/>
              <w:bottom w:val="single" w:sz="4" w:space="0" w:color="auto"/>
              <w:right w:val="single" w:sz="4" w:space="0" w:color="auto"/>
            </w:tcBorders>
            <w:shd w:val="clear" w:color="000000" w:fill="F2F2F2"/>
            <w:noWrap/>
            <w:vAlign w:val="center"/>
            <w:hideMark/>
          </w:tcPr>
          <w:p w14:paraId="4040C064"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$ 40.238.043</w:t>
            </w:r>
          </w:p>
        </w:tc>
        <w:tc>
          <w:tcPr>
            <w:tcW w:w="1460" w:type="dxa"/>
            <w:tcBorders>
              <w:top w:val="nil"/>
              <w:left w:val="nil"/>
              <w:bottom w:val="single" w:sz="4" w:space="0" w:color="auto"/>
              <w:right w:val="single" w:sz="4" w:space="0" w:color="auto"/>
            </w:tcBorders>
            <w:shd w:val="clear" w:color="000000" w:fill="F2F2F2"/>
            <w:noWrap/>
            <w:vAlign w:val="center"/>
            <w:hideMark/>
          </w:tcPr>
          <w:p w14:paraId="0F21A528"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$ 894.840.598</w:t>
            </w:r>
          </w:p>
        </w:tc>
        <w:tc>
          <w:tcPr>
            <w:tcW w:w="1280" w:type="dxa"/>
            <w:tcBorders>
              <w:top w:val="nil"/>
              <w:left w:val="nil"/>
              <w:bottom w:val="single" w:sz="4" w:space="0" w:color="auto"/>
              <w:right w:val="single" w:sz="4" w:space="0" w:color="auto"/>
            </w:tcBorders>
            <w:shd w:val="clear" w:color="000000" w:fill="F2F2F2"/>
            <w:noWrap/>
            <w:vAlign w:val="center"/>
            <w:hideMark/>
          </w:tcPr>
          <w:p w14:paraId="18C9A76E"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$ 8.948.406</w:t>
            </w:r>
          </w:p>
        </w:tc>
        <w:tc>
          <w:tcPr>
            <w:tcW w:w="1200" w:type="dxa"/>
            <w:tcBorders>
              <w:top w:val="nil"/>
              <w:left w:val="nil"/>
              <w:bottom w:val="single" w:sz="4" w:space="0" w:color="auto"/>
              <w:right w:val="single" w:sz="4" w:space="0" w:color="auto"/>
            </w:tcBorders>
            <w:shd w:val="clear" w:color="000000" w:fill="F2F2F2"/>
            <w:noWrap/>
            <w:vAlign w:val="center"/>
            <w:hideMark/>
          </w:tcPr>
          <w:p w14:paraId="0B28EDC6"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$ 372</w:t>
            </w:r>
          </w:p>
        </w:tc>
        <w:tc>
          <w:tcPr>
            <w:tcW w:w="1280" w:type="dxa"/>
            <w:tcBorders>
              <w:top w:val="nil"/>
              <w:left w:val="nil"/>
              <w:bottom w:val="single" w:sz="4" w:space="0" w:color="auto"/>
              <w:right w:val="single" w:sz="4" w:space="0" w:color="auto"/>
            </w:tcBorders>
            <w:shd w:val="clear" w:color="000000" w:fill="F2F2F2"/>
            <w:noWrap/>
            <w:vAlign w:val="center"/>
            <w:hideMark/>
          </w:tcPr>
          <w:p w14:paraId="3C366AFE"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$ 8.948.778</w:t>
            </w:r>
          </w:p>
        </w:tc>
      </w:tr>
      <w:tr w:rsidR="00B07312" w:rsidRPr="006B48D3" w14:paraId="3D0902B4" w14:textId="77777777" w:rsidTr="006B48D3">
        <w:trPr>
          <w:trHeight w:val="351"/>
        </w:trPr>
        <w:tc>
          <w:tcPr>
            <w:tcW w:w="407" w:type="dxa"/>
            <w:tcBorders>
              <w:top w:val="nil"/>
              <w:left w:val="single" w:sz="4" w:space="0" w:color="auto"/>
              <w:bottom w:val="single" w:sz="4" w:space="0" w:color="auto"/>
              <w:right w:val="single" w:sz="4" w:space="0" w:color="auto"/>
            </w:tcBorders>
            <w:shd w:val="clear" w:color="000000" w:fill="F2F2F2"/>
            <w:noWrap/>
            <w:vAlign w:val="center"/>
            <w:hideMark/>
          </w:tcPr>
          <w:p w14:paraId="15D9D41B" w14:textId="77777777" w:rsidR="00B07312" w:rsidRPr="006B48D3" w:rsidRDefault="00B07312" w:rsidP="00D22441">
            <w:pPr>
              <w:jc w:val="center"/>
              <w:rPr>
                <w:rFonts w:ascii="Arial Narrow" w:hAnsi="Arial Narrow" w:cs="Arial"/>
                <w:spacing w:val="0"/>
                <w:sz w:val="16"/>
                <w:szCs w:val="16"/>
                <w:lang w:eastAsia="es-CO"/>
              </w:rPr>
            </w:pPr>
            <w:r w:rsidRPr="006B48D3">
              <w:rPr>
                <w:rFonts w:ascii="Arial Narrow" w:hAnsi="Arial Narrow" w:cs="Arial"/>
                <w:spacing w:val="0"/>
                <w:sz w:val="16"/>
                <w:szCs w:val="16"/>
                <w:lang w:eastAsia="es-CO"/>
              </w:rPr>
              <w:t>123</w:t>
            </w:r>
          </w:p>
        </w:tc>
        <w:tc>
          <w:tcPr>
            <w:tcW w:w="585" w:type="dxa"/>
            <w:tcBorders>
              <w:top w:val="nil"/>
              <w:left w:val="nil"/>
              <w:bottom w:val="single" w:sz="4" w:space="0" w:color="auto"/>
              <w:right w:val="single" w:sz="4" w:space="0" w:color="auto"/>
            </w:tcBorders>
            <w:shd w:val="clear" w:color="000000" w:fill="F2F2F2"/>
            <w:noWrap/>
            <w:vAlign w:val="center"/>
            <w:hideMark/>
          </w:tcPr>
          <w:p w14:paraId="60AAC156"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36033</w:t>
            </w:r>
          </w:p>
        </w:tc>
        <w:tc>
          <w:tcPr>
            <w:tcW w:w="941" w:type="dxa"/>
            <w:tcBorders>
              <w:top w:val="nil"/>
              <w:left w:val="nil"/>
              <w:bottom w:val="single" w:sz="4" w:space="0" w:color="auto"/>
              <w:right w:val="single" w:sz="4" w:space="0" w:color="auto"/>
            </w:tcBorders>
            <w:shd w:val="clear" w:color="000000" w:fill="F2F2F2"/>
            <w:noWrap/>
            <w:vAlign w:val="center"/>
            <w:hideMark/>
          </w:tcPr>
          <w:p w14:paraId="11C7DC8F"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901020967</w:t>
            </w:r>
          </w:p>
        </w:tc>
        <w:tc>
          <w:tcPr>
            <w:tcW w:w="3247" w:type="dxa"/>
            <w:tcBorders>
              <w:top w:val="nil"/>
              <w:left w:val="nil"/>
              <w:bottom w:val="single" w:sz="4" w:space="0" w:color="auto"/>
              <w:right w:val="single" w:sz="4" w:space="0" w:color="auto"/>
            </w:tcBorders>
            <w:shd w:val="clear" w:color="000000" w:fill="F2F2F2"/>
            <w:vAlign w:val="center"/>
            <w:hideMark/>
          </w:tcPr>
          <w:p w14:paraId="3B650509" w14:textId="77777777" w:rsidR="00B07312" w:rsidRPr="006B48D3" w:rsidRDefault="00B07312" w:rsidP="00D22441">
            <w:pPr>
              <w:jc w:val="left"/>
              <w:rPr>
                <w:rFonts w:ascii="Arial Narrow" w:hAnsi="Arial Narrow" w:cs="Arial"/>
                <w:spacing w:val="0"/>
                <w:sz w:val="16"/>
                <w:szCs w:val="16"/>
                <w:lang w:eastAsia="es-CO"/>
              </w:rPr>
            </w:pPr>
            <w:r w:rsidRPr="006B48D3">
              <w:rPr>
                <w:rFonts w:ascii="Arial Narrow" w:hAnsi="Arial Narrow" w:cs="Arial"/>
                <w:spacing w:val="0"/>
                <w:sz w:val="16"/>
                <w:szCs w:val="16"/>
                <w:lang w:eastAsia="es-CO"/>
              </w:rPr>
              <w:t>COMPRIGAS S.A.S.  E.S.P.</w:t>
            </w:r>
          </w:p>
        </w:tc>
        <w:tc>
          <w:tcPr>
            <w:tcW w:w="1620" w:type="dxa"/>
            <w:tcBorders>
              <w:top w:val="nil"/>
              <w:left w:val="nil"/>
              <w:bottom w:val="single" w:sz="4" w:space="0" w:color="auto"/>
              <w:right w:val="single" w:sz="4" w:space="0" w:color="auto"/>
            </w:tcBorders>
            <w:shd w:val="clear" w:color="000000" w:fill="F2F2F2"/>
            <w:noWrap/>
            <w:vAlign w:val="center"/>
            <w:hideMark/>
          </w:tcPr>
          <w:p w14:paraId="2D7EEEC1"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$ 109.882.000</w:t>
            </w:r>
          </w:p>
        </w:tc>
        <w:tc>
          <w:tcPr>
            <w:tcW w:w="1520" w:type="dxa"/>
            <w:tcBorders>
              <w:top w:val="nil"/>
              <w:left w:val="nil"/>
              <w:bottom w:val="single" w:sz="4" w:space="0" w:color="auto"/>
              <w:right w:val="single" w:sz="4" w:space="0" w:color="auto"/>
            </w:tcBorders>
            <w:shd w:val="clear" w:color="000000" w:fill="F2F2F2"/>
            <w:noWrap/>
            <w:vAlign w:val="center"/>
            <w:hideMark/>
          </w:tcPr>
          <w:p w14:paraId="799A3CB3"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$ 13.621.043</w:t>
            </w:r>
          </w:p>
        </w:tc>
        <w:tc>
          <w:tcPr>
            <w:tcW w:w="1460" w:type="dxa"/>
            <w:tcBorders>
              <w:top w:val="nil"/>
              <w:left w:val="nil"/>
              <w:bottom w:val="single" w:sz="4" w:space="0" w:color="auto"/>
              <w:right w:val="single" w:sz="4" w:space="0" w:color="auto"/>
            </w:tcBorders>
            <w:shd w:val="clear" w:color="000000" w:fill="F2F2F2"/>
            <w:noWrap/>
            <w:vAlign w:val="center"/>
            <w:hideMark/>
          </w:tcPr>
          <w:p w14:paraId="2D179005"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$ 123.503.043</w:t>
            </w:r>
          </w:p>
        </w:tc>
        <w:tc>
          <w:tcPr>
            <w:tcW w:w="1280" w:type="dxa"/>
            <w:tcBorders>
              <w:top w:val="nil"/>
              <w:left w:val="nil"/>
              <w:bottom w:val="single" w:sz="4" w:space="0" w:color="auto"/>
              <w:right w:val="single" w:sz="4" w:space="0" w:color="auto"/>
            </w:tcBorders>
            <w:shd w:val="clear" w:color="000000" w:fill="F2F2F2"/>
            <w:noWrap/>
            <w:vAlign w:val="center"/>
            <w:hideMark/>
          </w:tcPr>
          <w:p w14:paraId="7BFCE65B"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$ 1.235.030</w:t>
            </w:r>
          </w:p>
        </w:tc>
        <w:tc>
          <w:tcPr>
            <w:tcW w:w="1200" w:type="dxa"/>
            <w:tcBorders>
              <w:top w:val="nil"/>
              <w:left w:val="nil"/>
              <w:bottom w:val="single" w:sz="4" w:space="0" w:color="auto"/>
              <w:right w:val="single" w:sz="4" w:space="0" w:color="auto"/>
            </w:tcBorders>
            <w:shd w:val="clear" w:color="000000" w:fill="F2F2F2"/>
            <w:noWrap/>
            <w:vAlign w:val="center"/>
            <w:hideMark/>
          </w:tcPr>
          <w:p w14:paraId="301E2965"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$ 51</w:t>
            </w:r>
          </w:p>
        </w:tc>
        <w:tc>
          <w:tcPr>
            <w:tcW w:w="1280" w:type="dxa"/>
            <w:tcBorders>
              <w:top w:val="nil"/>
              <w:left w:val="nil"/>
              <w:bottom w:val="single" w:sz="4" w:space="0" w:color="auto"/>
              <w:right w:val="single" w:sz="4" w:space="0" w:color="auto"/>
            </w:tcBorders>
            <w:shd w:val="clear" w:color="000000" w:fill="F2F2F2"/>
            <w:noWrap/>
            <w:vAlign w:val="center"/>
            <w:hideMark/>
          </w:tcPr>
          <w:p w14:paraId="1026D6BE"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$ 1.235.082</w:t>
            </w:r>
          </w:p>
        </w:tc>
      </w:tr>
      <w:tr w:rsidR="00B07312" w:rsidRPr="006B48D3" w14:paraId="3DA85A04" w14:textId="77777777" w:rsidTr="006B48D3">
        <w:trPr>
          <w:trHeight w:val="333"/>
        </w:trPr>
        <w:tc>
          <w:tcPr>
            <w:tcW w:w="407" w:type="dxa"/>
            <w:tcBorders>
              <w:top w:val="nil"/>
              <w:left w:val="single" w:sz="4" w:space="0" w:color="auto"/>
              <w:bottom w:val="single" w:sz="4" w:space="0" w:color="auto"/>
              <w:right w:val="single" w:sz="4" w:space="0" w:color="auto"/>
            </w:tcBorders>
            <w:shd w:val="clear" w:color="000000" w:fill="F2F2F2"/>
            <w:noWrap/>
            <w:vAlign w:val="center"/>
            <w:hideMark/>
          </w:tcPr>
          <w:p w14:paraId="1DB97867" w14:textId="77777777" w:rsidR="00B07312" w:rsidRPr="006B48D3" w:rsidRDefault="00B07312" w:rsidP="00D22441">
            <w:pPr>
              <w:jc w:val="center"/>
              <w:rPr>
                <w:rFonts w:ascii="Arial Narrow" w:hAnsi="Arial Narrow" w:cs="Arial"/>
                <w:spacing w:val="0"/>
                <w:sz w:val="16"/>
                <w:szCs w:val="16"/>
                <w:lang w:eastAsia="es-CO"/>
              </w:rPr>
            </w:pPr>
            <w:r w:rsidRPr="006B48D3">
              <w:rPr>
                <w:rFonts w:ascii="Arial Narrow" w:hAnsi="Arial Narrow" w:cs="Arial"/>
                <w:spacing w:val="0"/>
                <w:sz w:val="16"/>
                <w:szCs w:val="16"/>
                <w:lang w:eastAsia="es-CO"/>
              </w:rPr>
              <w:t>124</w:t>
            </w:r>
          </w:p>
        </w:tc>
        <w:tc>
          <w:tcPr>
            <w:tcW w:w="585" w:type="dxa"/>
            <w:tcBorders>
              <w:top w:val="nil"/>
              <w:left w:val="nil"/>
              <w:bottom w:val="single" w:sz="4" w:space="0" w:color="auto"/>
              <w:right w:val="single" w:sz="4" w:space="0" w:color="auto"/>
            </w:tcBorders>
            <w:shd w:val="clear" w:color="000000" w:fill="F2F2F2"/>
            <w:noWrap/>
            <w:vAlign w:val="center"/>
            <w:hideMark/>
          </w:tcPr>
          <w:p w14:paraId="6F4CC60E"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40516</w:t>
            </w:r>
          </w:p>
        </w:tc>
        <w:tc>
          <w:tcPr>
            <w:tcW w:w="941" w:type="dxa"/>
            <w:tcBorders>
              <w:top w:val="nil"/>
              <w:left w:val="nil"/>
              <w:bottom w:val="single" w:sz="4" w:space="0" w:color="auto"/>
              <w:right w:val="single" w:sz="4" w:space="0" w:color="auto"/>
            </w:tcBorders>
            <w:shd w:val="clear" w:color="000000" w:fill="F2F2F2"/>
            <w:noWrap/>
            <w:vAlign w:val="center"/>
            <w:hideMark/>
          </w:tcPr>
          <w:p w14:paraId="6F570197"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901021569</w:t>
            </w:r>
          </w:p>
        </w:tc>
        <w:tc>
          <w:tcPr>
            <w:tcW w:w="3247" w:type="dxa"/>
            <w:tcBorders>
              <w:top w:val="nil"/>
              <w:left w:val="nil"/>
              <w:bottom w:val="single" w:sz="4" w:space="0" w:color="auto"/>
              <w:right w:val="single" w:sz="4" w:space="0" w:color="auto"/>
            </w:tcBorders>
            <w:shd w:val="clear" w:color="000000" w:fill="F2F2F2"/>
            <w:vAlign w:val="center"/>
            <w:hideMark/>
          </w:tcPr>
          <w:p w14:paraId="77E4FD75" w14:textId="77777777" w:rsidR="00B07312" w:rsidRPr="006B48D3" w:rsidRDefault="00B07312" w:rsidP="00D22441">
            <w:pPr>
              <w:jc w:val="left"/>
              <w:rPr>
                <w:rFonts w:ascii="Arial Narrow" w:hAnsi="Arial Narrow" w:cs="Arial"/>
                <w:spacing w:val="0"/>
                <w:sz w:val="16"/>
                <w:szCs w:val="16"/>
                <w:lang w:eastAsia="es-CO"/>
              </w:rPr>
            </w:pPr>
            <w:r w:rsidRPr="006B48D3">
              <w:rPr>
                <w:rFonts w:ascii="Arial Narrow" w:hAnsi="Arial Narrow" w:cs="Arial"/>
                <w:spacing w:val="0"/>
                <w:sz w:val="16"/>
                <w:szCs w:val="16"/>
                <w:lang w:eastAsia="es-CO"/>
              </w:rPr>
              <w:t>GASTUMACO DEL PACIFICO SAS ESP</w:t>
            </w:r>
          </w:p>
        </w:tc>
        <w:tc>
          <w:tcPr>
            <w:tcW w:w="1620" w:type="dxa"/>
            <w:tcBorders>
              <w:top w:val="nil"/>
              <w:left w:val="nil"/>
              <w:bottom w:val="single" w:sz="4" w:space="0" w:color="auto"/>
              <w:right w:val="single" w:sz="4" w:space="0" w:color="auto"/>
            </w:tcBorders>
            <w:shd w:val="clear" w:color="000000" w:fill="F2F2F2"/>
            <w:noWrap/>
            <w:vAlign w:val="center"/>
            <w:hideMark/>
          </w:tcPr>
          <w:p w14:paraId="26DC583C"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$ 172.137.000</w:t>
            </w:r>
          </w:p>
        </w:tc>
        <w:tc>
          <w:tcPr>
            <w:tcW w:w="1520" w:type="dxa"/>
            <w:tcBorders>
              <w:top w:val="nil"/>
              <w:left w:val="nil"/>
              <w:bottom w:val="single" w:sz="4" w:space="0" w:color="auto"/>
              <w:right w:val="single" w:sz="4" w:space="0" w:color="auto"/>
            </w:tcBorders>
            <w:shd w:val="clear" w:color="000000" w:fill="F2F2F2"/>
            <w:noWrap/>
            <w:vAlign w:val="center"/>
            <w:hideMark/>
          </w:tcPr>
          <w:p w14:paraId="6E31AA78"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$ 5.811.917</w:t>
            </w:r>
          </w:p>
        </w:tc>
        <w:tc>
          <w:tcPr>
            <w:tcW w:w="1460" w:type="dxa"/>
            <w:tcBorders>
              <w:top w:val="nil"/>
              <w:left w:val="nil"/>
              <w:bottom w:val="single" w:sz="4" w:space="0" w:color="auto"/>
              <w:right w:val="single" w:sz="4" w:space="0" w:color="auto"/>
            </w:tcBorders>
            <w:shd w:val="clear" w:color="000000" w:fill="F2F2F2"/>
            <w:noWrap/>
            <w:vAlign w:val="center"/>
            <w:hideMark/>
          </w:tcPr>
          <w:p w14:paraId="0265B209"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$ 177.948.917</w:t>
            </w:r>
          </w:p>
        </w:tc>
        <w:tc>
          <w:tcPr>
            <w:tcW w:w="1280" w:type="dxa"/>
            <w:tcBorders>
              <w:top w:val="nil"/>
              <w:left w:val="nil"/>
              <w:bottom w:val="single" w:sz="4" w:space="0" w:color="auto"/>
              <w:right w:val="single" w:sz="4" w:space="0" w:color="auto"/>
            </w:tcBorders>
            <w:shd w:val="clear" w:color="000000" w:fill="F2F2F2"/>
            <w:noWrap/>
            <w:vAlign w:val="center"/>
            <w:hideMark/>
          </w:tcPr>
          <w:p w14:paraId="126BC13D"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$ 1.779.489</w:t>
            </w:r>
          </w:p>
        </w:tc>
        <w:tc>
          <w:tcPr>
            <w:tcW w:w="1200" w:type="dxa"/>
            <w:tcBorders>
              <w:top w:val="nil"/>
              <w:left w:val="nil"/>
              <w:bottom w:val="single" w:sz="4" w:space="0" w:color="auto"/>
              <w:right w:val="single" w:sz="4" w:space="0" w:color="auto"/>
            </w:tcBorders>
            <w:shd w:val="clear" w:color="000000" w:fill="F2F2F2"/>
            <w:noWrap/>
            <w:vAlign w:val="center"/>
            <w:hideMark/>
          </w:tcPr>
          <w:p w14:paraId="4AE0FCF4"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$ 74</w:t>
            </w:r>
          </w:p>
        </w:tc>
        <w:tc>
          <w:tcPr>
            <w:tcW w:w="1280" w:type="dxa"/>
            <w:tcBorders>
              <w:top w:val="nil"/>
              <w:left w:val="nil"/>
              <w:bottom w:val="single" w:sz="4" w:space="0" w:color="auto"/>
              <w:right w:val="single" w:sz="4" w:space="0" w:color="auto"/>
            </w:tcBorders>
            <w:shd w:val="clear" w:color="000000" w:fill="F2F2F2"/>
            <w:noWrap/>
            <w:vAlign w:val="center"/>
            <w:hideMark/>
          </w:tcPr>
          <w:p w14:paraId="34550B89"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$ 1.779.563</w:t>
            </w:r>
          </w:p>
        </w:tc>
      </w:tr>
      <w:tr w:rsidR="00B07312" w:rsidRPr="006B48D3" w14:paraId="2B03D2AF" w14:textId="77777777" w:rsidTr="006B48D3">
        <w:trPr>
          <w:trHeight w:val="311"/>
        </w:trPr>
        <w:tc>
          <w:tcPr>
            <w:tcW w:w="407" w:type="dxa"/>
            <w:tcBorders>
              <w:top w:val="nil"/>
              <w:left w:val="single" w:sz="4" w:space="0" w:color="auto"/>
              <w:bottom w:val="single" w:sz="4" w:space="0" w:color="auto"/>
              <w:right w:val="single" w:sz="4" w:space="0" w:color="auto"/>
            </w:tcBorders>
            <w:shd w:val="clear" w:color="000000" w:fill="F2F2F2"/>
            <w:noWrap/>
            <w:vAlign w:val="center"/>
            <w:hideMark/>
          </w:tcPr>
          <w:p w14:paraId="7E921DB9" w14:textId="77777777" w:rsidR="00B07312" w:rsidRPr="006B48D3" w:rsidRDefault="00B07312" w:rsidP="00D22441">
            <w:pPr>
              <w:jc w:val="center"/>
              <w:rPr>
                <w:rFonts w:ascii="Arial Narrow" w:hAnsi="Arial Narrow" w:cs="Arial"/>
                <w:spacing w:val="0"/>
                <w:sz w:val="16"/>
                <w:szCs w:val="16"/>
                <w:lang w:eastAsia="es-CO"/>
              </w:rPr>
            </w:pPr>
            <w:r w:rsidRPr="006B48D3">
              <w:rPr>
                <w:rFonts w:ascii="Arial Narrow" w:hAnsi="Arial Narrow" w:cs="Arial"/>
                <w:spacing w:val="0"/>
                <w:sz w:val="16"/>
                <w:szCs w:val="16"/>
                <w:lang w:eastAsia="es-CO"/>
              </w:rPr>
              <w:t>125</w:t>
            </w:r>
          </w:p>
        </w:tc>
        <w:tc>
          <w:tcPr>
            <w:tcW w:w="585" w:type="dxa"/>
            <w:tcBorders>
              <w:top w:val="nil"/>
              <w:left w:val="nil"/>
              <w:bottom w:val="single" w:sz="4" w:space="0" w:color="auto"/>
              <w:right w:val="single" w:sz="4" w:space="0" w:color="auto"/>
            </w:tcBorders>
            <w:shd w:val="clear" w:color="000000" w:fill="F2F2F2"/>
            <w:noWrap/>
            <w:vAlign w:val="center"/>
            <w:hideMark/>
          </w:tcPr>
          <w:p w14:paraId="468B2CFB"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36913</w:t>
            </w:r>
          </w:p>
        </w:tc>
        <w:tc>
          <w:tcPr>
            <w:tcW w:w="941" w:type="dxa"/>
            <w:tcBorders>
              <w:top w:val="nil"/>
              <w:left w:val="nil"/>
              <w:bottom w:val="single" w:sz="4" w:space="0" w:color="auto"/>
              <w:right w:val="single" w:sz="4" w:space="0" w:color="auto"/>
            </w:tcBorders>
            <w:shd w:val="clear" w:color="000000" w:fill="F2F2F2"/>
            <w:noWrap/>
            <w:vAlign w:val="center"/>
            <w:hideMark/>
          </w:tcPr>
          <w:p w14:paraId="64496CE0"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901023319</w:t>
            </w:r>
          </w:p>
        </w:tc>
        <w:tc>
          <w:tcPr>
            <w:tcW w:w="3247" w:type="dxa"/>
            <w:tcBorders>
              <w:top w:val="nil"/>
              <w:left w:val="nil"/>
              <w:bottom w:val="single" w:sz="4" w:space="0" w:color="auto"/>
              <w:right w:val="single" w:sz="4" w:space="0" w:color="auto"/>
            </w:tcBorders>
            <w:shd w:val="clear" w:color="000000" w:fill="F2F2F2"/>
            <w:vAlign w:val="center"/>
            <w:hideMark/>
          </w:tcPr>
          <w:p w14:paraId="6FE2C974" w14:textId="77777777" w:rsidR="00B07312" w:rsidRPr="006B48D3" w:rsidRDefault="00B07312" w:rsidP="00D22441">
            <w:pPr>
              <w:jc w:val="left"/>
              <w:rPr>
                <w:rFonts w:ascii="Arial Narrow" w:hAnsi="Arial Narrow" w:cs="Arial"/>
                <w:spacing w:val="0"/>
                <w:sz w:val="16"/>
                <w:szCs w:val="16"/>
                <w:lang w:val="en-GB" w:eastAsia="es-CO"/>
              </w:rPr>
            </w:pPr>
            <w:r w:rsidRPr="006B48D3">
              <w:rPr>
                <w:rFonts w:ascii="Arial Narrow" w:hAnsi="Arial Narrow" w:cs="Arial"/>
                <w:spacing w:val="0"/>
                <w:sz w:val="16"/>
                <w:szCs w:val="16"/>
                <w:lang w:val="en-GB" w:eastAsia="es-CO"/>
              </w:rPr>
              <w:t>Energy for the Caribbean S.A.S. E.S.P.</w:t>
            </w:r>
          </w:p>
        </w:tc>
        <w:tc>
          <w:tcPr>
            <w:tcW w:w="1620" w:type="dxa"/>
            <w:tcBorders>
              <w:top w:val="nil"/>
              <w:left w:val="nil"/>
              <w:bottom w:val="single" w:sz="4" w:space="0" w:color="auto"/>
              <w:right w:val="single" w:sz="4" w:space="0" w:color="auto"/>
            </w:tcBorders>
            <w:shd w:val="clear" w:color="000000" w:fill="F2F2F2"/>
            <w:noWrap/>
            <w:vAlign w:val="center"/>
            <w:hideMark/>
          </w:tcPr>
          <w:p w14:paraId="6A575F8C"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$ 639.434.000</w:t>
            </w:r>
          </w:p>
        </w:tc>
        <w:tc>
          <w:tcPr>
            <w:tcW w:w="1520" w:type="dxa"/>
            <w:tcBorders>
              <w:top w:val="nil"/>
              <w:left w:val="nil"/>
              <w:bottom w:val="single" w:sz="4" w:space="0" w:color="auto"/>
              <w:right w:val="single" w:sz="4" w:space="0" w:color="auto"/>
            </w:tcBorders>
            <w:shd w:val="clear" w:color="000000" w:fill="F2F2F2"/>
            <w:noWrap/>
            <w:vAlign w:val="center"/>
            <w:hideMark/>
          </w:tcPr>
          <w:p w14:paraId="34F97A2B"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$ 0</w:t>
            </w:r>
          </w:p>
        </w:tc>
        <w:tc>
          <w:tcPr>
            <w:tcW w:w="1460" w:type="dxa"/>
            <w:tcBorders>
              <w:top w:val="nil"/>
              <w:left w:val="nil"/>
              <w:bottom w:val="single" w:sz="4" w:space="0" w:color="auto"/>
              <w:right w:val="single" w:sz="4" w:space="0" w:color="auto"/>
            </w:tcBorders>
            <w:shd w:val="clear" w:color="000000" w:fill="F2F2F2"/>
            <w:noWrap/>
            <w:vAlign w:val="center"/>
            <w:hideMark/>
          </w:tcPr>
          <w:p w14:paraId="61D08435"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$ 639.434.000</w:t>
            </w:r>
          </w:p>
        </w:tc>
        <w:tc>
          <w:tcPr>
            <w:tcW w:w="1280" w:type="dxa"/>
            <w:tcBorders>
              <w:top w:val="nil"/>
              <w:left w:val="nil"/>
              <w:bottom w:val="single" w:sz="4" w:space="0" w:color="auto"/>
              <w:right w:val="single" w:sz="4" w:space="0" w:color="auto"/>
            </w:tcBorders>
            <w:shd w:val="clear" w:color="000000" w:fill="F2F2F2"/>
            <w:noWrap/>
            <w:vAlign w:val="center"/>
            <w:hideMark/>
          </w:tcPr>
          <w:p w14:paraId="176CD520"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$ 6.394.340</w:t>
            </w:r>
          </w:p>
        </w:tc>
        <w:tc>
          <w:tcPr>
            <w:tcW w:w="1200" w:type="dxa"/>
            <w:tcBorders>
              <w:top w:val="nil"/>
              <w:left w:val="nil"/>
              <w:bottom w:val="single" w:sz="4" w:space="0" w:color="auto"/>
              <w:right w:val="single" w:sz="4" w:space="0" w:color="auto"/>
            </w:tcBorders>
            <w:shd w:val="clear" w:color="000000" w:fill="F2F2F2"/>
            <w:noWrap/>
            <w:vAlign w:val="center"/>
            <w:hideMark/>
          </w:tcPr>
          <w:p w14:paraId="4538E75E"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$ 266</w:t>
            </w:r>
          </w:p>
        </w:tc>
        <w:tc>
          <w:tcPr>
            <w:tcW w:w="1280" w:type="dxa"/>
            <w:tcBorders>
              <w:top w:val="nil"/>
              <w:left w:val="nil"/>
              <w:bottom w:val="single" w:sz="4" w:space="0" w:color="auto"/>
              <w:right w:val="single" w:sz="4" w:space="0" w:color="auto"/>
            </w:tcBorders>
            <w:shd w:val="clear" w:color="000000" w:fill="F2F2F2"/>
            <w:noWrap/>
            <w:vAlign w:val="center"/>
            <w:hideMark/>
          </w:tcPr>
          <w:p w14:paraId="3310EA93"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$ 6.394.606</w:t>
            </w:r>
          </w:p>
        </w:tc>
      </w:tr>
      <w:tr w:rsidR="00B07312" w:rsidRPr="006B48D3" w14:paraId="14F0351B" w14:textId="77777777" w:rsidTr="006B48D3">
        <w:trPr>
          <w:trHeight w:val="243"/>
        </w:trPr>
        <w:tc>
          <w:tcPr>
            <w:tcW w:w="407" w:type="dxa"/>
            <w:tcBorders>
              <w:top w:val="nil"/>
              <w:left w:val="single" w:sz="4" w:space="0" w:color="auto"/>
              <w:bottom w:val="single" w:sz="4" w:space="0" w:color="auto"/>
              <w:right w:val="single" w:sz="4" w:space="0" w:color="auto"/>
            </w:tcBorders>
            <w:shd w:val="clear" w:color="000000" w:fill="F2F2F2"/>
            <w:noWrap/>
            <w:vAlign w:val="center"/>
            <w:hideMark/>
          </w:tcPr>
          <w:p w14:paraId="4CB64FC7" w14:textId="77777777" w:rsidR="00B07312" w:rsidRPr="006B48D3" w:rsidRDefault="00B07312" w:rsidP="00D22441">
            <w:pPr>
              <w:jc w:val="center"/>
              <w:rPr>
                <w:rFonts w:ascii="Arial Narrow" w:hAnsi="Arial Narrow" w:cs="Arial"/>
                <w:spacing w:val="0"/>
                <w:sz w:val="16"/>
                <w:szCs w:val="16"/>
                <w:lang w:eastAsia="es-CO"/>
              </w:rPr>
            </w:pPr>
            <w:r w:rsidRPr="006B48D3">
              <w:rPr>
                <w:rFonts w:ascii="Arial Narrow" w:hAnsi="Arial Narrow" w:cs="Arial"/>
                <w:spacing w:val="0"/>
                <w:sz w:val="16"/>
                <w:szCs w:val="16"/>
                <w:lang w:eastAsia="es-CO"/>
              </w:rPr>
              <w:t>126</w:t>
            </w:r>
          </w:p>
        </w:tc>
        <w:tc>
          <w:tcPr>
            <w:tcW w:w="585" w:type="dxa"/>
            <w:tcBorders>
              <w:top w:val="nil"/>
              <w:left w:val="nil"/>
              <w:bottom w:val="single" w:sz="4" w:space="0" w:color="auto"/>
              <w:right w:val="single" w:sz="4" w:space="0" w:color="auto"/>
            </w:tcBorders>
            <w:shd w:val="clear" w:color="000000" w:fill="F2F2F2"/>
            <w:noWrap/>
            <w:vAlign w:val="center"/>
            <w:hideMark/>
          </w:tcPr>
          <w:p w14:paraId="091F54B8"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37253</w:t>
            </w:r>
          </w:p>
        </w:tc>
        <w:tc>
          <w:tcPr>
            <w:tcW w:w="941" w:type="dxa"/>
            <w:tcBorders>
              <w:top w:val="nil"/>
              <w:left w:val="nil"/>
              <w:bottom w:val="single" w:sz="4" w:space="0" w:color="auto"/>
              <w:right w:val="single" w:sz="4" w:space="0" w:color="auto"/>
            </w:tcBorders>
            <w:shd w:val="clear" w:color="000000" w:fill="F2F2F2"/>
            <w:noWrap/>
            <w:vAlign w:val="center"/>
            <w:hideMark/>
          </w:tcPr>
          <w:p w14:paraId="1201DF01"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901034973</w:t>
            </w:r>
          </w:p>
        </w:tc>
        <w:tc>
          <w:tcPr>
            <w:tcW w:w="3247" w:type="dxa"/>
            <w:tcBorders>
              <w:top w:val="nil"/>
              <w:left w:val="nil"/>
              <w:bottom w:val="single" w:sz="4" w:space="0" w:color="auto"/>
              <w:right w:val="single" w:sz="4" w:space="0" w:color="auto"/>
            </w:tcBorders>
            <w:shd w:val="clear" w:color="000000" w:fill="F2F2F2"/>
            <w:vAlign w:val="center"/>
            <w:hideMark/>
          </w:tcPr>
          <w:p w14:paraId="6CD4D9C4" w14:textId="77777777" w:rsidR="00B07312" w:rsidRPr="006B48D3" w:rsidRDefault="00B07312" w:rsidP="00D22441">
            <w:pPr>
              <w:jc w:val="left"/>
              <w:rPr>
                <w:rFonts w:ascii="Arial Narrow" w:hAnsi="Arial Narrow" w:cs="Arial"/>
                <w:spacing w:val="0"/>
                <w:sz w:val="16"/>
                <w:szCs w:val="16"/>
                <w:lang w:eastAsia="es-CO"/>
              </w:rPr>
            </w:pPr>
            <w:r w:rsidRPr="006B48D3">
              <w:rPr>
                <w:rFonts w:ascii="Arial Narrow" w:hAnsi="Arial Narrow" w:cs="Arial"/>
                <w:spacing w:val="0"/>
                <w:sz w:val="16"/>
                <w:szCs w:val="16"/>
                <w:lang w:eastAsia="es-CO"/>
              </w:rPr>
              <w:t>EOS ENERGY S.A.S. E.S.P.</w:t>
            </w:r>
          </w:p>
        </w:tc>
        <w:tc>
          <w:tcPr>
            <w:tcW w:w="1620" w:type="dxa"/>
            <w:tcBorders>
              <w:top w:val="nil"/>
              <w:left w:val="nil"/>
              <w:bottom w:val="single" w:sz="4" w:space="0" w:color="auto"/>
              <w:right w:val="single" w:sz="4" w:space="0" w:color="auto"/>
            </w:tcBorders>
            <w:shd w:val="clear" w:color="000000" w:fill="F2F2F2"/>
            <w:noWrap/>
            <w:vAlign w:val="center"/>
            <w:hideMark/>
          </w:tcPr>
          <w:p w14:paraId="3CB31B15"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$ 42.325.000</w:t>
            </w:r>
          </w:p>
        </w:tc>
        <w:tc>
          <w:tcPr>
            <w:tcW w:w="1520" w:type="dxa"/>
            <w:tcBorders>
              <w:top w:val="nil"/>
              <w:left w:val="nil"/>
              <w:bottom w:val="single" w:sz="4" w:space="0" w:color="auto"/>
              <w:right w:val="single" w:sz="4" w:space="0" w:color="auto"/>
            </w:tcBorders>
            <w:shd w:val="clear" w:color="000000" w:fill="F2F2F2"/>
            <w:noWrap/>
            <w:vAlign w:val="center"/>
            <w:hideMark/>
          </w:tcPr>
          <w:p w14:paraId="3E22B73E"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$ 10.046.514</w:t>
            </w:r>
          </w:p>
        </w:tc>
        <w:tc>
          <w:tcPr>
            <w:tcW w:w="1460" w:type="dxa"/>
            <w:tcBorders>
              <w:top w:val="nil"/>
              <w:left w:val="nil"/>
              <w:bottom w:val="single" w:sz="4" w:space="0" w:color="auto"/>
              <w:right w:val="single" w:sz="4" w:space="0" w:color="auto"/>
            </w:tcBorders>
            <w:shd w:val="clear" w:color="000000" w:fill="F2F2F2"/>
            <w:noWrap/>
            <w:vAlign w:val="center"/>
            <w:hideMark/>
          </w:tcPr>
          <w:p w14:paraId="54DC8B5B"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$ 52.371.514</w:t>
            </w:r>
          </w:p>
        </w:tc>
        <w:tc>
          <w:tcPr>
            <w:tcW w:w="1280" w:type="dxa"/>
            <w:tcBorders>
              <w:top w:val="nil"/>
              <w:left w:val="nil"/>
              <w:bottom w:val="single" w:sz="4" w:space="0" w:color="auto"/>
              <w:right w:val="single" w:sz="4" w:space="0" w:color="auto"/>
            </w:tcBorders>
            <w:shd w:val="clear" w:color="000000" w:fill="F2F2F2"/>
            <w:noWrap/>
            <w:vAlign w:val="center"/>
            <w:hideMark/>
          </w:tcPr>
          <w:p w14:paraId="2BDB06FD"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$ 523.715</w:t>
            </w:r>
          </w:p>
        </w:tc>
        <w:tc>
          <w:tcPr>
            <w:tcW w:w="1200" w:type="dxa"/>
            <w:tcBorders>
              <w:top w:val="nil"/>
              <w:left w:val="nil"/>
              <w:bottom w:val="single" w:sz="4" w:space="0" w:color="auto"/>
              <w:right w:val="single" w:sz="4" w:space="0" w:color="auto"/>
            </w:tcBorders>
            <w:shd w:val="clear" w:color="000000" w:fill="F2F2F2"/>
            <w:noWrap/>
            <w:vAlign w:val="center"/>
            <w:hideMark/>
          </w:tcPr>
          <w:p w14:paraId="0CA7E517"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$ 22</w:t>
            </w:r>
          </w:p>
        </w:tc>
        <w:tc>
          <w:tcPr>
            <w:tcW w:w="1280" w:type="dxa"/>
            <w:tcBorders>
              <w:top w:val="nil"/>
              <w:left w:val="nil"/>
              <w:bottom w:val="single" w:sz="4" w:space="0" w:color="auto"/>
              <w:right w:val="single" w:sz="4" w:space="0" w:color="auto"/>
            </w:tcBorders>
            <w:shd w:val="clear" w:color="000000" w:fill="F2F2F2"/>
            <w:noWrap/>
            <w:vAlign w:val="center"/>
            <w:hideMark/>
          </w:tcPr>
          <w:p w14:paraId="200C5A48"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$ 523.737</w:t>
            </w:r>
          </w:p>
        </w:tc>
      </w:tr>
      <w:tr w:rsidR="00B07312" w:rsidRPr="006B48D3" w14:paraId="7C930BEC" w14:textId="77777777" w:rsidTr="006B48D3">
        <w:trPr>
          <w:trHeight w:val="450"/>
        </w:trPr>
        <w:tc>
          <w:tcPr>
            <w:tcW w:w="407" w:type="dxa"/>
            <w:tcBorders>
              <w:top w:val="nil"/>
              <w:left w:val="single" w:sz="4" w:space="0" w:color="auto"/>
              <w:bottom w:val="single" w:sz="4" w:space="0" w:color="auto"/>
              <w:right w:val="single" w:sz="4" w:space="0" w:color="auto"/>
            </w:tcBorders>
            <w:shd w:val="clear" w:color="000000" w:fill="F2F2F2"/>
            <w:noWrap/>
            <w:vAlign w:val="center"/>
            <w:hideMark/>
          </w:tcPr>
          <w:p w14:paraId="5E320215" w14:textId="77777777" w:rsidR="00B07312" w:rsidRPr="006B48D3" w:rsidRDefault="00B07312" w:rsidP="00D22441">
            <w:pPr>
              <w:jc w:val="center"/>
              <w:rPr>
                <w:rFonts w:ascii="Arial Narrow" w:hAnsi="Arial Narrow" w:cs="Arial"/>
                <w:spacing w:val="0"/>
                <w:sz w:val="16"/>
                <w:szCs w:val="16"/>
                <w:lang w:eastAsia="es-CO"/>
              </w:rPr>
            </w:pPr>
            <w:r w:rsidRPr="006B48D3">
              <w:rPr>
                <w:rFonts w:ascii="Arial Narrow" w:hAnsi="Arial Narrow" w:cs="Arial"/>
                <w:spacing w:val="0"/>
                <w:sz w:val="16"/>
                <w:szCs w:val="16"/>
                <w:lang w:eastAsia="es-CO"/>
              </w:rPr>
              <w:t>127</w:t>
            </w:r>
          </w:p>
        </w:tc>
        <w:tc>
          <w:tcPr>
            <w:tcW w:w="585" w:type="dxa"/>
            <w:tcBorders>
              <w:top w:val="nil"/>
              <w:left w:val="nil"/>
              <w:bottom w:val="single" w:sz="4" w:space="0" w:color="auto"/>
              <w:right w:val="single" w:sz="4" w:space="0" w:color="auto"/>
            </w:tcBorders>
            <w:shd w:val="clear" w:color="000000" w:fill="F2F2F2"/>
            <w:noWrap/>
            <w:vAlign w:val="center"/>
            <w:hideMark/>
          </w:tcPr>
          <w:p w14:paraId="3F86BF17"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50585</w:t>
            </w:r>
          </w:p>
        </w:tc>
        <w:tc>
          <w:tcPr>
            <w:tcW w:w="941" w:type="dxa"/>
            <w:tcBorders>
              <w:top w:val="nil"/>
              <w:left w:val="nil"/>
              <w:bottom w:val="single" w:sz="4" w:space="0" w:color="auto"/>
              <w:right w:val="single" w:sz="4" w:space="0" w:color="auto"/>
            </w:tcBorders>
            <w:shd w:val="clear" w:color="000000" w:fill="F2F2F2"/>
            <w:noWrap/>
            <w:vAlign w:val="center"/>
            <w:hideMark/>
          </w:tcPr>
          <w:p w14:paraId="2F5D9891"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901037565</w:t>
            </w:r>
          </w:p>
        </w:tc>
        <w:tc>
          <w:tcPr>
            <w:tcW w:w="3247" w:type="dxa"/>
            <w:tcBorders>
              <w:top w:val="nil"/>
              <w:left w:val="nil"/>
              <w:bottom w:val="single" w:sz="4" w:space="0" w:color="auto"/>
              <w:right w:val="single" w:sz="4" w:space="0" w:color="auto"/>
            </w:tcBorders>
            <w:shd w:val="clear" w:color="000000" w:fill="F2F2F2"/>
            <w:vAlign w:val="center"/>
            <w:hideMark/>
          </w:tcPr>
          <w:p w14:paraId="34B2C9E5" w14:textId="77777777" w:rsidR="00B07312" w:rsidRPr="006B48D3" w:rsidRDefault="00B07312" w:rsidP="00D22441">
            <w:pPr>
              <w:jc w:val="left"/>
              <w:rPr>
                <w:rFonts w:ascii="Arial Narrow" w:hAnsi="Arial Narrow" w:cs="Arial"/>
                <w:spacing w:val="0"/>
                <w:sz w:val="16"/>
                <w:szCs w:val="16"/>
                <w:lang w:eastAsia="es-CO"/>
              </w:rPr>
            </w:pPr>
            <w:r w:rsidRPr="006B48D3">
              <w:rPr>
                <w:rFonts w:ascii="Arial Narrow" w:hAnsi="Arial Narrow" w:cs="Arial"/>
                <w:spacing w:val="0"/>
                <w:sz w:val="16"/>
                <w:szCs w:val="16"/>
                <w:lang w:eastAsia="es-CO"/>
              </w:rPr>
              <w:t>GASES DEL SUR DE COLOMBIA E.S.P S.A.</w:t>
            </w:r>
          </w:p>
        </w:tc>
        <w:tc>
          <w:tcPr>
            <w:tcW w:w="1620" w:type="dxa"/>
            <w:tcBorders>
              <w:top w:val="nil"/>
              <w:left w:val="nil"/>
              <w:bottom w:val="single" w:sz="4" w:space="0" w:color="auto"/>
              <w:right w:val="single" w:sz="4" w:space="0" w:color="auto"/>
            </w:tcBorders>
            <w:shd w:val="clear" w:color="000000" w:fill="F2F2F2"/>
            <w:noWrap/>
            <w:vAlign w:val="center"/>
            <w:hideMark/>
          </w:tcPr>
          <w:p w14:paraId="49F81A27"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$ 259.875.688</w:t>
            </w:r>
          </w:p>
        </w:tc>
        <w:tc>
          <w:tcPr>
            <w:tcW w:w="1520" w:type="dxa"/>
            <w:tcBorders>
              <w:top w:val="nil"/>
              <w:left w:val="nil"/>
              <w:bottom w:val="single" w:sz="4" w:space="0" w:color="auto"/>
              <w:right w:val="single" w:sz="4" w:space="0" w:color="auto"/>
            </w:tcBorders>
            <w:shd w:val="clear" w:color="000000" w:fill="F2F2F2"/>
            <w:noWrap/>
            <w:vAlign w:val="center"/>
            <w:hideMark/>
          </w:tcPr>
          <w:p w14:paraId="4E101A57"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$ 2.233.496</w:t>
            </w:r>
          </w:p>
        </w:tc>
        <w:tc>
          <w:tcPr>
            <w:tcW w:w="1460" w:type="dxa"/>
            <w:tcBorders>
              <w:top w:val="nil"/>
              <w:left w:val="nil"/>
              <w:bottom w:val="single" w:sz="4" w:space="0" w:color="auto"/>
              <w:right w:val="single" w:sz="4" w:space="0" w:color="auto"/>
            </w:tcBorders>
            <w:shd w:val="clear" w:color="000000" w:fill="F2F2F2"/>
            <w:noWrap/>
            <w:vAlign w:val="center"/>
            <w:hideMark/>
          </w:tcPr>
          <w:p w14:paraId="5ACF6315"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$ 262.109.184</w:t>
            </w:r>
          </w:p>
        </w:tc>
        <w:tc>
          <w:tcPr>
            <w:tcW w:w="1280" w:type="dxa"/>
            <w:tcBorders>
              <w:top w:val="nil"/>
              <w:left w:val="nil"/>
              <w:bottom w:val="single" w:sz="4" w:space="0" w:color="auto"/>
              <w:right w:val="single" w:sz="4" w:space="0" w:color="auto"/>
            </w:tcBorders>
            <w:shd w:val="clear" w:color="000000" w:fill="F2F2F2"/>
            <w:noWrap/>
            <w:vAlign w:val="center"/>
            <w:hideMark/>
          </w:tcPr>
          <w:p w14:paraId="6118F08C"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$ 2.621.092</w:t>
            </w:r>
          </w:p>
        </w:tc>
        <w:tc>
          <w:tcPr>
            <w:tcW w:w="1200" w:type="dxa"/>
            <w:tcBorders>
              <w:top w:val="nil"/>
              <w:left w:val="nil"/>
              <w:bottom w:val="single" w:sz="4" w:space="0" w:color="auto"/>
              <w:right w:val="single" w:sz="4" w:space="0" w:color="auto"/>
            </w:tcBorders>
            <w:shd w:val="clear" w:color="000000" w:fill="F2F2F2"/>
            <w:noWrap/>
            <w:vAlign w:val="center"/>
            <w:hideMark/>
          </w:tcPr>
          <w:p w14:paraId="14D1157C"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$ 109</w:t>
            </w:r>
          </w:p>
        </w:tc>
        <w:tc>
          <w:tcPr>
            <w:tcW w:w="1280" w:type="dxa"/>
            <w:tcBorders>
              <w:top w:val="nil"/>
              <w:left w:val="nil"/>
              <w:bottom w:val="single" w:sz="4" w:space="0" w:color="auto"/>
              <w:right w:val="single" w:sz="4" w:space="0" w:color="auto"/>
            </w:tcBorders>
            <w:shd w:val="clear" w:color="000000" w:fill="F2F2F2"/>
            <w:noWrap/>
            <w:vAlign w:val="center"/>
            <w:hideMark/>
          </w:tcPr>
          <w:p w14:paraId="3431FBBB"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$ 2.621.201</w:t>
            </w:r>
          </w:p>
        </w:tc>
      </w:tr>
      <w:tr w:rsidR="00B07312" w:rsidRPr="006B48D3" w14:paraId="5921B258" w14:textId="77777777" w:rsidTr="006B48D3">
        <w:trPr>
          <w:trHeight w:val="327"/>
        </w:trPr>
        <w:tc>
          <w:tcPr>
            <w:tcW w:w="407" w:type="dxa"/>
            <w:tcBorders>
              <w:top w:val="nil"/>
              <w:left w:val="single" w:sz="4" w:space="0" w:color="auto"/>
              <w:bottom w:val="single" w:sz="4" w:space="0" w:color="auto"/>
              <w:right w:val="single" w:sz="4" w:space="0" w:color="auto"/>
            </w:tcBorders>
            <w:shd w:val="clear" w:color="000000" w:fill="F2F2F2"/>
            <w:noWrap/>
            <w:vAlign w:val="center"/>
            <w:hideMark/>
          </w:tcPr>
          <w:p w14:paraId="303D5884" w14:textId="77777777" w:rsidR="00B07312" w:rsidRPr="006B48D3" w:rsidRDefault="00B07312" w:rsidP="00D22441">
            <w:pPr>
              <w:jc w:val="center"/>
              <w:rPr>
                <w:rFonts w:ascii="Arial Narrow" w:hAnsi="Arial Narrow" w:cs="Arial"/>
                <w:spacing w:val="0"/>
                <w:sz w:val="16"/>
                <w:szCs w:val="16"/>
                <w:lang w:eastAsia="es-CO"/>
              </w:rPr>
            </w:pPr>
            <w:r w:rsidRPr="006B48D3">
              <w:rPr>
                <w:rFonts w:ascii="Arial Narrow" w:hAnsi="Arial Narrow" w:cs="Arial"/>
                <w:spacing w:val="0"/>
                <w:sz w:val="16"/>
                <w:szCs w:val="16"/>
                <w:lang w:eastAsia="es-CO"/>
              </w:rPr>
              <w:t>128</w:t>
            </w:r>
          </w:p>
        </w:tc>
        <w:tc>
          <w:tcPr>
            <w:tcW w:w="585" w:type="dxa"/>
            <w:tcBorders>
              <w:top w:val="nil"/>
              <w:left w:val="nil"/>
              <w:bottom w:val="single" w:sz="4" w:space="0" w:color="auto"/>
              <w:right w:val="single" w:sz="4" w:space="0" w:color="auto"/>
            </w:tcBorders>
            <w:shd w:val="clear" w:color="000000" w:fill="F2F2F2"/>
            <w:noWrap/>
            <w:vAlign w:val="center"/>
            <w:hideMark/>
          </w:tcPr>
          <w:p w14:paraId="3C799C7D"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36633</w:t>
            </w:r>
          </w:p>
        </w:tc>
        <w:tc>
          <w:tcPr>
            <w:tcW w:w="941" w:type="dxa"/>
            <w:tcBorders>
              <w:top w:val="nil"/>
              <w:left w:val="nil"/>
              <w:bottom w:val="single" w:sz="4" w:space="0" w:color="auto"/>
              <w:right w:val="single" w:sz="4" w:space="0" w:color="auto"/>
            </w:tcBorders>
            <w:shd w:val="clear" w:color="000000" w:fill="F2F2F2"/>
            <w:noWrap/>
            <w:vAlign w:val="center"/>
            <w:hideMark/>
          </w:tcPr>
          <w:p w14:paraId="20754DC4"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901042814</w:t>
            </w:r>
          </w:p>
        </w:tc>
        <w:tc>
          <w:tcPr>
            <w:tcW w:w="3247" w:type="dxa"/>
            <w:tcBorders>
              <w:top w:val="nil"/>
              <w:left w:val="nil"/>
              <w:bottom w:val="single" w:sz="4" w:space="0" w:color="auto"/>
              <w:right w:val="single" w:sz="4" w:space="0" w:color="auto"/>
            </w:tcBorders>
            <w:shd w:val="clear" w:color="000000" w:fill="F2F2F2"/>
            <w:vAlign w:val="center"/>
            <w:hideMark/>
          </w:tcPr>
          <w:p w14:paraId="4F351053" w14:textId="77777777" w:rsidR="00B07312" w:rsidRPr="006B48D3" w:rsidRDefault="00B07312" w:rsidP="00D22441">
            <w:pPr>
              <w:jc w:val="left"/>
              <w:rPr>
                <w:rFonts w:ascii="Arial Narrow" w:hAnsi="Arial Narrow" w:cs="Arial"/>
                <w:spacing w:val="0"/>
                <w:sz w:val="16"/>
                <w:szCs w:val="16"/>
                <w:lang w:eastAsia="es-CO"/>
              </w:rPr>
            </w:pPr>
            <w:r w:rsidRPr="006B48D3">
              <w:rPr>
                <w:rFonts w:ascii="Arial Narrow" w:hAnsi="Arial Narrow" w:cs="Arial"/>
                <w:spacing w:val="0"/>
                <w:sz w:val="16"/>
                <w:szCs w:val="16"/>
                <w:lang w:eastAsia="es-CO"/>
              </w:rPr>
              <w:t xml:space="preserve">REDNOVA </w:t>
            </w:r>
            <w:proofErr w:type="gramStart"/>
            <w:r w:rsidRPr="006B48D3">
              <w:rPr>
                <w:rFonts w:ascii="Arial Narrow" w:hAnsi="Arial Narrow" w:cs="Arial"/>
                <w:spacing w:val="0"/>
                <w:sz w:val="16"/>
                <w:szCs w:val="16"/>
                <w:lang w:eastAsia="es-CO"/>
              </w:rPr>
              <w:t>SAS  ESP</w:t>
            </w:r>
            <w:proofErr w:type="gramEnd"/>
          </w:p>
        </w:tc>
        <w:tc>
          <w:tcPr>
            <w:tcW w:w="1620" w:type="dxa"/>
            <w:tcBorders>
              <w:top w:val="nil"/>
              <w:left w:val="nil"/>
              <w:bottom w:val="single" w:sz="4" w:space="0" w:color="auto"/>
              <w:right w:val="single" w:sz="4" w:space="0" w:color="auto"/>
            </w:tcBorders>
            <w:shd w:val="clear" w:color="000000" w:fill="F2F2F2"/>
            <w:noWrap/>
            <w:vAlign w:val="center"/>
            <w:hideMark/>
          </w:tcPr>
          <w:p w14:paraId="41C01BDD"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$ 7.356.315.000</w:t>
            </w:r>
          </w:p>
        </w:tc>
        <w:tc>
          <w:tcPr>
            <w:tcW w:w="1520" w:type="dxa"/>
            <w:tcBorders>
              <w:top w:val="nil"/>
              <w:left w:val="nil"/>
              <w:bottom w:val="single" w:sz="4" w:space="0" w:color="auto"/>
              <w:right w:val="single" w:sz="4" w:space="0" w:color="auto"/>
            </w:tcBorders>
            <w:shd w:val="clear" w:color="000000" w:fill="F2F2F2"/>
            <w:noWrap/>
            <w:vAlign w:val="center"/>
            <w:hideMark/>
          </w:tcPr>
          <w:p w14:paraId="01F9D3B7"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$ 92.731.147</w:t>
            </w:r>
          </w:p>
        </w:tc>
        <w:tc>
          <w:tcPr>
            <w:tcW w:w="1460" w:type="dxa"/>
            <w:tcBorders>
              <w:top w:val="nil"/>
              <w:left w:val="nil"/>
              <w:bottom w:val="single" w:sz="4" w:space="0" w:color="auto"/>
              <w:right w:val="single" w:sz="4" w:space="0" w:color="auto"/>
            </w:tcBorders>
            <w:shd w:val="clear" w:color="000000" w:fill="F2F2F2"/>
            <w:noWrap/>
            <w:vAlign w:val="center"/>
            <w:hideMark/>
          </w:tcPr>
          <w:p w14:paraId="683BD291"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$ 7.449.046.147</w:t>
            </w:r>
          </w:p>
        </w:tc>
        <w:tc>
          <w:tcPr>
            <w:tcW w:w="1280" w:type="dxa"/>
            <w:tcBorders>
              <w:top w:val="nil"/>
              <w:left w:val="nil"/>
              <w:bottom w:val="single" w:sz="4" w:space="0" w:color="auto"/>
              <w:right w:val="single" w:sz="4" w:space="0" w:color="auto"/>
            </w:tcBorders>
            <w:shd w:val="clear" w:color="000000" w:fill="F2F2F2"/>
            <w:noWrap/>
            <w:vAlign w:val="center"/>
            <w:hideMark/>
          </w:tcPr>
          <w:p w14:paraId="5A0A02A2"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$ 74.490.461</w:t>
            </w:r>
          </w:p>
        </w:tc>
        <w:tc>
          <w:tcPr>
            <w:tcW w:w="1200" w:type="dxa"/>
            <w:tcBorders>
              <w:top w:val="nil"/>
              <w:left w:val="nil"/>
              <w:bottom w:val="single" w:sz="4" w:space="0" w:color="auto"/>
              <w:right w:val="single" w:sz="4" w:space="0" w:color="auto"/>
            </w:tcBorders>
            <w:shd w:val="clear" w:color="000000" w:fill="F2F2F2"/>
            <w:noWrap/>
            <w:vAlign w:val="center"/>
            <w:hideMark/>
          </w:tcPr>
          <w:p w14:paraId="4D13D84B"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$ 3.100</w:t>
            </w:r>
          </w:p>
        </w:tc>
        <w:tc>
          <w:tcPr>
            <w:tcW w:w="1280" w:type="dxa"/>
            <w:tcBorders>
              <w:top w:val="nil"/>
              <w:left w:val="nil"/>
              <w:bottom w:val="single" w:sz="4" w:space="0" w:color="auto"/>
              <w:right w:val="single" w:sz="4" w:space="0" w:color="auto"/>
            </w:tcBorders>
            <w:shd w:val="clear" w:color="000000" w:fill="F2F2F2"/>
            <w:noWrap/>
            <w:vAlign w:val="center"/>
            <w:hideMark/>
          </w:tcPr>
          <w:p w14:paraId="0D5D8E1D"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$ 74.493.562</w:t>
            </w:r>
          </w:p>
        </w:tc>
      </w:tr>
      <w:tr w:rsidR="00B07312" w:rsidRPr="006B48D3" w14:paraId="04B40290" w14:textId="77777777" w:rsidTr="006B48D3">
        <w:trPr>
          <w:trHeight w:val="329"/>
        </w:trPr>
        <w:tc>
          <w:tcPr>
            <w:tcW w:w="407" w:type="dxa"/>
            <w:tcBorders>
              <w:top w:val="nil"/>
              <w:left w:val="single" w:sz="4" w:space="0" w:color="auto"/>
              <w:bottom w:val="single" w:sz="4" w:space="0" w:color="auto"/>
              <w:right w:val="single" w:sz="4" w:space="0" w:color="auto"/>
            </w:tcBorders>
            <w:shd w:val="clear" w:color="000000" w:fill="F2F2F2"/>
            <w:noWrap/>
            <w:vAlign w:val="center"/>
            <w:hideMark/>
          </w:tcPr>
          <w:p w14:paraId="7CC3C291" w14:textId="77777777" w:rsidR="00B07312" w:rsidRPr="006B48D3" w:rsidRDefault="00B07312" w:rsidP="00D22441">
            <w:pPr>
              <w:jc w:val="center"/>
              <w:rPr>
                <w:rFonts w:ascii="Arial Narrow" w:hAnsi="Arial Narrow" w:cs="Arial"/>
                <w:spacing w:val="0"/>
                <w:sz w:val="16"/>
                <w:szCs w:val="16"/>
                <w:lang w:eastAsia="es-CO"/>
              </w:rPr>
            </w:pPr>
            <w:r w:rsidRPr="006B48D3">
              <w:rPr>
                <w:rFonts w:ascii="Arial Narrow" w:hAnsi="Arial Narrow" w:cs="Arial"/>
                <w:spacing w:val="0"/>
                <w:sz w:val="16"/>
                <w:szCs w:val="16"/>
                <w:lang w:eastAsia="es-CO"/>
              </w:rPr>
              <w:t>129</w:t>
            </w:r>
          </w:p>
        </w:tc>
        <w:tc>
          <w:tcPr>
            <w:tcW w:w="585" w:type="dxa"/>
            <w:tcBorders>
              <w:top w:val="nil"/>
              <w:left w:val="nil"/>
              <w:bottom w:val="single" w:sz="4" w:space="0" w:color="auto"/>
              <w:right w:val="single" w:sz="4" w:space="0" w:color="auto"/>
            </w:tcBorders>
            <w:shd w:val="clear" w:color="000000" w:fill="F2F2F2"/>
            <w:noWrap/>
            <w:vAlign w:val="center"/>
            <w:hideMark/>
          </w:tcPr>
          <w:p w14:paraId="7D0C2464"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40255</w:t>
            </w:r>
          </w:p>
        </w:tc>
        <w:tc>
          <w:tcPr>
            <w:tcW w:w="941" w:type="dxa"/>
            <w:tcBorders>
              <w:top w:val="nil"/>
              <w:left w:val="nil"/>
              <w:bottom w:val="single" w:sz="4" w:space="0" w:color="auto"/>
              <w:right w:val="single" w:sz="4" w:space="0" w:color="auto"/>
            </w:tcBorders>
            <w:shd w:val="clear" w:color="000000" w:fill="F2F2F2"/>
            <w:noWrap/>
            <w:vAlign w:val="center"/>
            <w:hideMark/>
          </w:tcPr>
          <w:p w14:paraId="55DD09F0"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901157308</w:t>
            </w:r>
          </w:p>
        </w:tc>
        <w:tc>
          <w:tcPr>
            <w:tcW w:w="3247" w:type="dxa"/>
            <w:tcBorders>
              <w:top w:val="nil"/>
              <w:left w:val="nil"/>
              <w:bottom w:val="single" w:sz="4" w:space="0" w:color="auto"/>
              <w:right w:val="single" w:sz="4" w:space="0" w:color="auto"/>
            </w:tcBorders>
            <w:shd w:val="clear" w:color="000000" w:fill="F2F2F2"/>
            <w:vAlign w:val="center"/>
            <w:hideMark/>
          </w:tcPr>
          <w:p w14:paraId="1BD30E89" w14:textId="77777777" w:rsidR="00B07312" w:rsidRPr="006B48D3" w:rsidRDefault="00B07312" w:rsidP="00D22441">
            <w:pPr>
              <w:jc w:val="left"/>
              <w:rPr>
                <w:rFonts w:ascii="Arial Narrow" w:hAnsi="Arial Narrow" w:cs="Arial"/>
                <w:spacing w:val="0"/>
                <w:sz w:val="16"/>
                <w:szCs w:val="16"/>
                <w:lang w:eastAsia="es-CO"/>
              </w:rPr>
            </w:pPr>
            <w:r w:rsidRPr="006B48D3">
              <w:rPr>
                <w:rFonts w:ascii="Arial Narrow" w:hAnsi="Arial Narrow" w:cs="Arial"/>
                <w:spacing w:val="0"/>
                <w:sz w:val="16"/>
                <w:szCs w:val="16"/>
                <w:lang w:eastAsia="es-CO"/>
              </w:rPr>
              <w:t>BTU ENERGY S.A.S. E.S.P.</w:t>
            </w:r>
          </w:p>
        </w:tc>
        <w:tc>
          <w:tcPr>
            <w:tcW w:w="1620" w:type="dxa"/>
            <w:tcBorders>
              <w:top w:val="nil"/>
              <w:left w:val="nil"/>
              <w:bottom w:val="single" w:sz="4" w:space="0" w:color="auto"/>
              <w:right w:val="single" w:sz="4" w:space="0" w:color="auto"/>
            </w:tcBorders>
            <w:shd w:val="clear" w:color="000000" w:fill="F2F2F2"/>
            <w:noWrap/>
            <w:vAlign w:val="center"/>
            <w:hideMark/>
          </w:tcPr>
          <w:p w14:paraId="0AE16927"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$ 255.227.000</w:t>
            </w:r>
          </w:p>
        </w:tc>
        <w:tc>
          <w:tcPr>
            <w:tcW w:w="1520" w:type="dxa"/>
            <w:tcBorders>
              <w:top w:val="nil"/>
              <w:left w:val="nil"/>
              <w:bottom w:val="single" w:sz="4" w:space="0" w:color="auto"/>
              <w:right w:val="single" w:sz="4" w:space="0" w:color="auto"/>
            </w:tcBorders>
            <w:shd w:val="clear" w:color="000000" w:fill="F2F2F2"/>
            <w:noWrap/>
            <w:vAlign w:val="center"/>
            <w:hideMark/>
          </w:tcPr>
          <w:p w14:paraId="048BA64F"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$ 47.969.230</w:t>
            </w:r>
          </w:p>
        </w:tc>
        <w:tc>
          <w:tcPr>
            <w:tcW w:w="1460" w:type="dxa"/>
            <w:tcBorders>
              <w:top w:val="nil"/>
              <w:left w:val="nil"/>
              <w:bottom w:val="single" w:sz="4" w:space="0" w:color="auto"/>
              <w:right w:val="single" w:sz="4" w:space="0" w:color="auto"/>
            </w:tcBorders>
            <w:shd w:val="clear" w:color="000000" w:fill="F2F2F2"/>
            <w:noWrap/>
            <w:vAlign w:val="center"/>
            <w:hideMark/>
          </w:tcPr>
          <w:p w14:paraId="7C77CD75"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$ 303.196.230</w:t>
            </w:r>
          </w:p>
        </w:tc>
        <w:tc>
          <w:tcPr>
            <w:tcW w:w="1280" w:type="dxa"/>
            <w:tcBorders>
              <w:top w:val="nil"/>
              <w:left w:val="nil"/>
              <w:bottom w:val="single" w:sz="4" w:space="0" w:color="auto"/>
              <w:right w:val="single" w:sz="4" w:space="0" w:color="auto"/>
            </w:tcBorders>
            <w:shd w:val="clear" w:color="000000" w:fill="F2F2F2"/>
            <w:noWrap/>
            <w:vAlign w:val="center"/>
            <w:hideMark/>
          </w:tcPr>
          <w:p w14:paraId="1B11FA84"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$ 3.031.962</w:t>
            </w:r>
          </w:p>
        </w:tc>
        <w:tc>
          <w:tcPr>
            <w:tcW w:w="1200" w:type="dxa"/>
            <w:tcBorders>
              <w:top w:val="nil"/>
              <w:left w:val="nil"/>
              <w:bottom w:val="single" w:sz="4" w:space="0" w:color="auto"/>
              <w:right w:val="single" w:sz="4" w:space="0" w:color="auto"/>
            </w:tcBorders>
            <w:shd w:val="clear" w:color="000000" w:fill="F2F2F2"/>
            <w:noWrap/>
            <w:vAlign w:val="center"/>
            <w:hideMark/>
          </w:tcPr>
          <w:p w14:paraId="1BC45AEB"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$ 126</w:t>
            </w:r>
          </w:p>
        </w:tc>
        <w:tc>
          <w:tcPr>
            <w:tcW w:w="1280" w:type="dxa"/>
            <w:tcBorders>
              <w:top w:val="nil"/>
              <w:left w:val="nil"/>
              <w:bottom w:val="single" w:sz="4" w:space="0" w:color="auto"/>
              <w:right w:val="single" w:sz="4" w:space="0" w:color="auto"/>
            </w:tcBorders>
            <w:shd w:val="clear" w:color="000000" w:fill="F2F2F2"/>
            <w:noWrap/>
            <w:vAlign w:val="center"/>
            <w:hideMark/>
          </w:tcPr>
          <w:p w14:paraId="56E0AF5A"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$ 3.032.088</w:t>
            </w:r>
          </w:p>
        </w:tc>
      </w:tr>
      <w:tr w:rsidR="00B07312" w:rsidRPr="006B48D3" w14:paraId="698DC71E" w14:textId="77777777" w:rsidTr="006B48D3">
        <w:trPr>
          <w:trHeight w:val="450"/>
        </w:trPr>
        <w:tc>
          <w:tcPr>
            <w:tcW w:w="407" w:type="dxa"/>
            <w:tcBorders>
              <w:top w:val="nil"/>
              <w:left w:val="single" w:sz="4" w:space="0" w:color="auto"/>
              <w:bottom w:val="single" w:sz="4" w:space="0" w:color="auto"/>
              <w:right w:val="single" w:sz="4" w:space="0" w:color="auto"/>
            </w:tcBorders>
            <w:shd w:val="clear" w:color="000000" w:fill="F2F2F2"/>
            <w:noWrap/>
            <w:vAlign w:val="center"/>
            <w:hideMark/>
          </w:tcPr>
          <w:p w14:paraId="08D31340" w14:textId="77777777" w:rsidR="00B07312" w:rsidRPr="006B48D3" w:rsidRDefault="00B07312" w:rsidP="00D22441">
            <w:pPr>
              <w:jc w:val="center"/>
              <w:rPr>
                <w:rFonts w:ascii="Arial Narrow" w:hAnsi="Arial Narrow" w:cs="Arial"/>
                <w:spacing w:val="0"/>
                <w:sz w:val="16"/>
                <w:szCs w:val="16"/>
                <w:lang w:eastAsia="es-CO"/>
              </w:rPr>
            </w:pPr>
            <w:r w:rsidRPr="006B48D3">
              <w:rPr>
                <w:rFonts w:ascii="Arial Narrow" w:hAnsi="Arial Narrow" w:cs="Arial"/>
                <w:spacing w:val="0"/>
                <w:sz w:val="16"/>
                <w:szCs w:val="16"/>
                <w:lang w:eastAsia="es-CO"/>
              </w:rPr>
              <w:t>130</w:t>
            </w:r>
          </w:p>
        </w:tc>
        <w:tc>
          <w:tcPr>
            <w:tcW w:w="585" w:type="dxa"/>
            <w:tcBorders>
              <w:top w:val="nil"/>
              <w:left w:val="nil"/>
              <w:bottom w:val="single" w:sz="4" w:space="0" w:color="auto"/>
              <w:right w:val="single" w:sz="4" w:space="0" w:color="auto"/>
            </w:tcBorders>
            <w:shd w:val="clear" w:color="000000" w:fill="F2F2F2"/>
            <w:noWrap/>
            <w:vAlign w:val="center"/>
            <w:hideMark/>
          </w:tcPr>
          <w:p w14:paraId="249635EC"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44796</w:t>
            </w:r>
          </w:p>
        </w:tc>
        <w:tc>
          <w:tcPr>
            <w:tcW w:w="941" w:type="dxa"/>
            <w:tcBorders>
              <w:top w:val="nil"/>
              <w:left w:val="nil"/>
              <w:bottom w:val="single" w:sz="4" w:space="0" w:color="auto"/>
              <w:right w:val="single" w:sz="4" w:space="0" w:color="auto"/>
            </w:tcBorders>
            <w:shd w:val="clear" w:color="000000" w:fill="F2F2F2"/>
            <w:noWrap/>
            <w:vAlign w:val="center"/>
            <w:hideMark/>
          </w:tcPr>
          <w:p w14:paraId="319F7700"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901175206</w:t>
            </w:r>
          </w:p>
        </w:tc>
        <w:tc>
          <w:tcPr>
            <w:tcW w:w="3247" w:type="dxa"/>
            <w:tcBorders>
              <w:top w:val="nil"/>
              <w:left w:val="nil"/>
              <w:bottom w:val="single" w:sz="4" w:space="0" w:color="auto"/>
              <w:right w:val="single" w:sz="4" w:space="0" w:color="auto"/>
            </w:tcBorders>
            <w:shd w:val="clear" w:color="000000" w:fill="F2F2F2"/>
            <w:vAlign w:val="center"/>
            <w:hideMark/>
          </w:tcPr>
          <w:p w14:paraId="4DA513CA" w14:textId="77777777" w:rsidR="00B07312" w:rsidRPr="006B48D3" w:rsidRDefault="00B07312" w:rsidP="00D22441">
            <w:pPr>
              <w:jc w:val="left"/>
              <w:rPr>
                <w:rFonts w:ascii="Arial Narrow" w:hAnsi="Arial Narrow" w:cs="Arial"/>
                <w:spacing w:val="0"/>
                <w:sz w:val="16"/>
                <w:szCs w:val="16"/>
                <w:lang w:eastAsia="es-CO"/>
              </w:rPr>
            </w:pPr>
            <w:r w:rsidRPr="006B48D3">
              <w:rPr>
                <w:rFonts w:ascii="Arial Narrow" w:hAnsi="Arial Narrow" w:cs="Arial"/>
                <w:spacing w:val="0"/>
                <w:sz w:val="16"/>
                <w:szCs w:val="16"/>
                <w:lang w:eastAsia="es-CO"/>
              </w:rPr>
              <w:t>Empresa Privada de Servicios Públicos de la Amazonía ZOMAC SAS</w:t>
            </w:r>
          </w:p>
        </w:tc>
        <w:tc>
          <w:tcPr>
            <w:tcW w:w="1620" w:type="dxa"/>
            <w:tcBorders>
              <w:top w:val="nil"/>
              <w:left w:val="nil"/>
              <w:bottom w:val="single" w:sz="4" w:space="0" w:color="auto"/>
              <w:right w:val="single" w:sz="4" w:space="0" w:color="auto"/>
            </w:tcBorders>
            <w:shd w:val="clear" w:color="000000" w:fill="F2F2F2"/>
            <w:noWrap/>
            <w:vAlign w:val="center"/>
            <w:hideMark/>
          </w:tcPr>
          <w:p w14:paraId="50F50F96"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$ 564.188.000</w:t>
            </w:r>
          </w:p>
        </w:tc>
        <w:tc>
          <w:tcPr>
            <w:tcW w:w="1520" w:type="dxa"/>
            <w:tcBorders>
              <w:top w:val="nil"/>
              <w:left w:val="nil"/>
              <w:bottom w:val="single" w:sz="4" w:space="0" w:color="auto"/>
              <w:right w:val="single" w:sz="4" w:space="0" w:color="auto"/>
            </w:tcBorders>
            <w:shd w:val="clear" w:color="000000" w:fill="F2F2F2"/>
            <w:noWrap/>
            <w:vAlign w:val="center"/>
            <w:hideMark/>
          </w:tcPr>
          <w:p w14:paraId="6463DA36"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$ 37.905.580</w:t>
            </w:r>
          </w:p>
        </w:tc>
        <w:tc>
          <w:tcPr>
            <w:tcW w:w="1460" w:type="dxa"/>
            <w:tcBorders>
              <w:top w:val="nil"/>
              <w:left w:val="nil"/>
              <w:bottom w:val="single" w:sz="4" w:space="0" w:color="auto"/>
              <w:right w:val="single" w:sz="4" w:space="0" w:color="auto"/>
            </w:tcBorders>
            <w:shd w:val="clear" w:color="000000" w:fill="F2F2F2"/>
            <w:noWrap/>
            <w:vAlign w:val="center"/>
            <w:hideMark/>
          </w:tcPr>
          <w:p w14:paraId="65B738F5"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$ 602.093.580</w:t>
            </w:r>
          </w:p>
        </w:tc>
        <w:tc>
          <w:tcPr>
            <w:tcW w:w="1280" w:type="dxa"/>
            <w:tcBorders>
              <w:top w:val="nil"/>
              <w:left w:val="nil"/>
              <w:bottom w:val="single" w:sz="4" w:space="0" w:color="auto"/>
              <w:right w:val="single" w:sz="4" w:space="0" w:color="auto"/>
            </w:tcBorders>
            <w:shd w:val="clear" w:color="000000" w:fill="F2F2F2"/>
            <w:noWrap/>
            <w:vAlign w:val="center"/>
            <w:hideMark/>
          </w:tcPr>
          <w:p w14:paraId="41110C0F"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$ 6.020.936</w:t>
            </w:r>
          </w:p>
        </w:tc>
        <w:tc>
          <w:tcPr>
            <w:tcW w:w="1200" w:type="dxa"/>
            <w:tcBorders>
              <w:top w:val="nil"/>
              <w:left w:val="nil"/>
              <w:bottom w:val="single" w:sz="4" w:space="0" w:color="auto"/>
              <w:right w:val="single" w:sz="4" w:space="0" w:color="auto"/>
            </w:tcBorders>
            <w:shd w:val="clear" w:color="000000" w:fill="F2F2F2"/>
            <w:noWrap/>
            <w:vAlign w:val="center"/>
            <w:hideMark/>
          </w:tcPr>
          <w:p w14:paraId="46087B5B"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$ 251</w:t>
            </w:r>
          </w:p>
        </w:tc>
        <w:tc>
          <w:tcPr>
            <w:tcW w:w="1280" w:type="dxa"/>
            <w:tcBorders>
              <w:top w:val="nil"/>
              <w:left w:val="nil"/>
              <w:bottom w:val="single" w:sz="4" w:space="0" w:color="auto"/>
              <w:right w:val="single" w:sz="4" w:space="0" w:color="auto"/>
            </w:tcBorders>
            <w:shd w:val="clear" w:color="000000" w:fill="F2F2F2"/>
            <w:noWrap/>
            <w:vAlign w:val="center"/>
            <w:hideMark/>
          </w:tcPr>
          <w:p w14:paraId="4E713F14"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$ 6.021.186</w:t>
            </w:r>
          </w:p>
        </w:tc>
      </w:tr>
      <w:tr w:rsidR="00B07312" w:rsidRPr="006B48D3" w14:paraId="4A2BC5E4" w14:textId="77777777" w:rsidTr="006B48D3">
        <w:trPr>
          <w:trHeight w:val="241"/>
        </w:trPr>
        <w:tc>
          <w:tcPr>
            <w:tcW w:w="407" w:type="dxa"/>
            <w:tcBorders>
              <w:top w:val="nil"/>
              <w:left w:val="single" w:sz="4" w:space="0" w:color="auto"/>
              <w:bottom w:val="single" w:sz="4" w:space="0" w:color="auto"/>
              <w:right w:val="single" w:sz="4" w:space="0" w:color="auto"/>
            </w:tcBorders>
            <w:shd w:val="clear" w:color="000000" w:fill="F2F2F2"/>
            <w:noWrap/>
            <w:vAlign w:val="center"/>
            <w:hideMark/>
          </w:tcPr>
          <w:p w14:paraId="7F1CB677" w14:textId="77777777" w:rsidR="00B07312" w:rsidRPr="006B48D3" w:rsidRDefault="00B07312" w:rsidP="00D22441">
            <w:pPr>
              <w:jc w:val="center"/>
              <w:rPr>
                <w:rFonts w:ascii="Arial Narrow" w:hAnsi="Arial Narrow" w:cs="Arial"/>
                <w:spacing w:val="0"/>
                <w:sz w:val="16"/>
                <w:szCs w:val="16"/>
                <w:lang w:eastAsia="es-CO"/>
              </w:rPr>
            </w:pPr>
            <w:r w:rsidRPr="006B48D3">
              <w:rPr>
                <w:rFonts w:ascii="Arial Narrow" w:hAnsi="Arial Narrow" w:cs="Arial"/>
                <w:spacing w:val="0"/>
                <w:sz w:val="16"/>
                <w:szCs w:val="16"/>
                <w:lang w:eastAsia="es-CO"/>
              </w:rPr>
              <w:t>131</w:t>
            </w:r>
          </w:p>
        </w:tc>
        <w:tc>
          <w:tcPr>
            <w:tcW w:w="585" w:type="dxa"/>
            <w:tcBorders>
              <w:top w:val="nil"/>
              <w:left w:val="nil"/>
              <w:bottom w:val="single" w:sz="4" w:space="0" w:color="auto"/>
              <w:right w:val="single" w:sz="4" w:space="0" w:color="auto"/>
            </w:tcBorders>
            <w:shd w:val="clear" w:color="000000" w:fill="F2F2F2"/>
            <w:noWrap/>
            <w:vAlign w:val="center"/>
            <w:hideMark/>
          </w:tcPr>
          <w:p w14:paraId="0B90FB01"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49172</w:t>
            </w:r>
          </w:p>
        </w:tc>
        <w:tc>
          <w:tcPr>
            <w:tcW w:w="941" w:type="dxa"/>
            <w:tcBorders>
              <w:top w:val="nil"/>
              <w:left w:val="nil"/>
              <w:bottom w:val="single" w:sz="4" w:space="0" w:color="auto"/>
              <w:right w:val="single" w:sz="4" w:space="0" w:color="auto"/>
            </w:tcBorders>
            <w:shd w:val="clear" w:color="000000" w:fill="F2F2F2"/>
            <w:noWrap/>
            <w:vAlign w:val="center"/>
            <w:hideMark/>
          </w:tcPr>
          <w:p w14:paraId="53FA0DEF"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901217206</w:t>
            </w:r>
          </w:p>
        </w:tc>
        <w:tc>
          <w:tcPr>
            <w:tcW w:w="3247" w:type="dxa"/>
            <w:tcBorders>
              <w:top w:val="nil"/>
              <w:left w:val="nil"/>
              <w:bottom w:val="single" w:sz="4" w:space="0" w:color="auto"/>
              <w:right w:val="single" w:sz="4" w:space="0" w:color="auto"/>
            </w:tcBorders>
            <w:shd w:val="clear" w:color="000000" w:fill="F2F2F2"/>
            <w:vAlign w:val="center"/>
            <w:hideMark/>
          </w:tcPr>
          <w:p w14:paraId="3AF568FC" w14:textId="77777777" w:rsidR="00B07312" w:rsidRPr="006B48D3" w:rsidRDefault="00B07312" w:rsidP="00D22441">
            <w:pPr>
              <w:jc w:val="left"/>
              <w:rPr>
                <w:rFonts w:ascii="Arial Narrow" w:hAnsi="Arial Narrow" w:cs="Arial"/>
                <w:spacing w:val="0"/>
                <w:sz w:val="16"/>
                <w:szCs w:val="16"/>
                <w:lang w:eastAsia="es-CO"/>
              </w:rPr>
            </w:pPr>
            <w:r w:rsidRPr="006B48D3">
              <w:rPr>
                <w:rFonts w:ascii="Arial Narrow" w:hAnsi="Arial Narrow" w:cs="Arial"/>
                <w:spacing w:val="0"/>
                <w:sz w:val="16"/>
                <w:szCs w:val="16"/>
                <w:lang w:eastAsia="es-CO"/>
              </w:rPr>
              <w:t>ATINKANA S.A.S. E.S.P.</w:t>
            </w:r>
          </w:p>
        </w:tc>
        <w:tc>
          <w:tcPr>
            <w:tcW w:w="1620" w:type="dxa"/>
            <w:tcBorders>
              <w:top w:val="nil"/>
              <w:left w:val="nil"/>
              <w:bottom w:val="single" w:sz="4" w:space="0" w:color="auto"/>
              <w:right w:val="single" w:sz="4" w:space="0" w:color="auto"/>
            </w:tcBorders>
            <w:shd w:val="clear" w:color="000000" w:fill="F2F2F2"/>
            <w:noWrap/>
            <w:vAlign w:val="center"/>
            <w:hideMark/>
          </w:tcPr>
          <w:p w14:paraId="73C9593F"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$ 692.055.000</w:t>
            </w:r>
          </w:p>
        </w:tc>
        <w:tc>
          <w:tcPr>
            <w:tcW w:w="1520" w:type="dxa"/>
            <w:tcBorders>
              <w:top w:val="nil"/>
              <w:left w:val="nil"/>
              <w:bottom w:val="single" w:sz="4" w:space="0" w:color="auto"/>
              <w:right w:val="single" w:sz="4" w:space="0" w:color="auto"/>
            </w:tcBorders>
            <w:shd w:val="clear" w:color="000000" w:fill="F2F2F2"/>
            <w:noWrap/>
            <w:vAlign w:val="center"/>
            <w:hideMark/>
          </w:tcPr>
          <w:p w14:paraId="0E71AD97"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$ 32.802.571</w:t>
            </w:r>
          </w:p>
        </w:tc>
        <w:tc>
          <w:tcPr>
            <w:tcW w:w="1460" w:type="dxa"/>
            <w:tcBorders>
              <w:top w:val="nil"/>
              <w:left w:val="nil"/>
              <w:bottom w:val="single" w:sz="4" w:space="0" w:color="auto"/>
              <w:right w:val="single" w:sz="4" w:space="0" w:color="auto"/>
            </w:tcBorders>
            <w:shd w:val="clear" w:color="000000" w:fill="F2F2F2"/>
            <w:noWrap/>
            <w:vAlign w:val="center"/>
            <w:hideMark/>
          </w:tcPr>
          <w:p w14:paraId="3A1D3C51"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$ 724.857.571</w:t>
            </w:r>
          </w:p>
        </w:tc>
        <w:tc>
          <w:tcPr>
            <w:tcW w:w="1280" w:type="dxa"/>
            <w:tcBorders>
              <w:top w:val="nil"/>
              <w:left w:val="nil"/>
              <w:bottom w:val="single" w:sz="4" w:space="0" w:color="auto"/>
              <w:right w:val="single" w:sz="4" w:space="0" w:color="auto"/>
            </w:tcBorders>
            <w:shd w:val="clear" w:color="000000" w:fill="F2F2F2"/>
            <w:noWrap/>
            <w:vAlign w:val="center"/>
            <w:hideMark/>
          </w:tcPr>
          <w:p w14:paraId="0E9FCDB0"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$ 7.248.576</w:t>
            </w:r>
          </w:p>
        </w:tc>
        <w:tc>
          <w:tcPr>
            <w:tcW w:w="1200" w:type="dxa"/>
            <w:tcBorders>
              <w:top w:val="nil"/>
              <w:left w:val="nil"/>
              <w:bottom w:val="single" w:sz="4" w:space="0" w:color="auto"/>
              <w:right w:val="single" w:sz="4" w:space="0" w:color="auto"/>
            </w:tcBorders>
            <w:shd w:val="clear" w:color="000000" w:fill="F2F2F2"/>
            <w:noWrap/>
            <w:vAlign w:val="center"/>
            <w:hideMark/>
          </w:tcPr>
          <w:p w14:paraId="23A29FBF"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$ 302</w:t>
            </w:r>
          </w:p>
        </w:tc>
        <w:tc>
          <w:tcPr>
            <w:tcW w:w="1280" w:type="dxa"/>
            <w:tcBorders>
              <w:top w:val="nil"/>
              <w:left w:val="nil"/>
              <w:bottom w:val="single" w:sz="4" w:space="0" w:color="auto"/>
              <w:right w:val="single" w:sz="4" w:space="0" w:color="auto"/>
            </w:tcBorders>
            <w:shd w:val="clear" w:color="000000" w:fill="F2F2F2"/>
            <w:noWrap/>
            <w:vAlign w:val="center"/>
            <w:hideMark/>
          </w:tcPr>
          <w:p w14:paraId="30D72ED1"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$ 7.248.877</w:t>
            </w:r>
          </w:p>
        </w:tc>
      </w:tr>
      <w:tr w:rsidR="00B07312" w:rsidRPr="006B48D3" w14:paraId="5BCE5666" w14:textId="77777777" w:rsidTr="006B48D3">
        <w:trPr>
          <w:trHeight w:val="347"/>
        </w:trPr>
        <w:tc>
          <w:tcPr>
            <w:tcW w:w="407" w:type="dxa"/>
            <w:tcBorders>
              <w:top w:val="nil"/>
              <w:left w:val="single" w:sz="4" w:space="0" w:color="auto"/>
              <w:bottom w:val="single" w:sz="4" w:space="0" w:color="auto"/>
              <w:right w:val="single" w:sz="4" w:space="0" w:color="auto"/>
            </w:tcBorders>
            <w:shd w:val="clear" w:color="000000" w:fill="F2F2F2"/>
            <w:noWrap/>
            <w:vAlign w:val="center"/>
            <w:hideMark/>
          </w:tcPr>
          <w:p w14:paraId="0C539DFD" w14:textId="77777777" w:rsidR="00B07312" w:rsidRPr="006B48D3" w:rsidRDefault="00B07312" w:rsidP="00D22441">
            <w:pPr>
              <w:jc w:val="center"/>
              <w:rPr>
                <w:rFonts w:ascii="Arial Narrow" w:hAnsi="Arial Narrow" w:cs="Arial"/>
                <w:spacing w:val="0"/>
                <w:sz w:val="16"/>
                <w:szCs w:val="16"/>
                <w:lang w:eastAsia="es-CO"/>
              </w:rPr>
            </w:pPr>
            <w:r w:rsidRPr="006B48D3">
              <w:rPr>
                <w:rFonts w:ascii="Arial Narrow" w:hAnsi="Arial Narrow" w:cs="Arial"/>
                <w:spacing w:val="0"/>
                <w:sz w:val="16"/>
                <w:szCs w:val="16"/>
                <w:lang w:eastAsia="es-CO"/>
              </w:rPr>
              <w:t>132</w:t>
            </w:r>
          </w:p>
        </w:tc>
        <w:tc>
          <w:tcPr>
            <w:tcW w:w="585" w:type="dxa"/>
            <w:tcBorders>
              <w:top w:val="nil"/>
              <w:left w:val="nil"/>
              <w:bottom w:val="single" w:sz="4" w:space="0" w:color="auto"/>
              <w:right w:val="single" w:sz="4" w:space="0" w:color="auto"/>
            </w:tcBorders>
            <w:shd w:val="clear" w:color="000000" w:fill="F2F2F2"/>
            <w:noWrap/>
            <w:vAlign w:val="center"/>
            <w:hideMark/>
          </w:tcPr>
          <w:p w14:paraId="7EE0A46F"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43937</w:t>
            </w:r>
          </w:p>
        </w:tc>
        <w:tc>
          <w:tcPr>
            <w:tcW w:w="941" w:type="dxa"/>
            <w:tcBorders>
              <w:top w:val="nil"/>
              <w:left w:val="nil"/>
              <w:bottom w:val="single" w:sz="4" w:space="0" w:color="auto"/>
              <w:right w:val="single" w:sz="4" w:space="0" w:color="auto"/>
            </w:tcBorders>
            <w:shd w:val="clear" w:color="000000" w:fill="F2F2F2"/>
            <w:noWrap/>
            <w:vAlign w:val="center"/>
            <w:hideMark/>
          </w:tcPr>
          <w:p w14:paraId="0B113901"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901263317</w:t>
            </w:r>
          </w:p>
        </w:tc>
        <w:tc>
          <w:tcPr>
            <w:tcW w:w="3247" w:type="dxa"/>
            <w:tcBorders>
              <w:top w:val="nil"/>
              <w:left w:val="nil"/>
              <w:bottom w:val="single" w:sz="4" w:space="0" w:color="auto"/>
              <w:right w:val="single" w:sz="4" w:space="0" w:color="auto"/>
            </w:tcBorders>
            <w:shd w:val="clear" w:color="000000" w:fill="F2F2F2"/>
            <w:vAlign w:val="center"/>
            <w:hideMark/>
          </w:tcPr>
          <w:p w14:paraId="2EC48673" w14:textId="77777777" w:rsidR="00B07312" w:rsidRPr="006B48D3" w:rsidRDefault="00B07312" w:rsidP="00D22441">
            <w:pPr>
              <w:jc w:val="left"/>
              <w:rPr>
                <w:rFonts w:ascii="Arial Narrow" w:hAnsi="Arial Narrow" w:cs="Arial"/>
                <w:spacing w:val="0"/>
                <w:sz w:val="16"/>
                <w:szCs w:val="16"/>
                <w:lang w:val="en-GB" w:eastAsia="es-CO"/>
              </w:rPr>
            </w:pPr>
            <w:r w:rsidRPr="006B48D3">
              <w:rPr>
                <w:rFonts w:ascii="Arial Narrow" w:hAnsi="Arial Narrow" w:cs="Arial"/>
                <w:spacing w:val="0"/>
                <w:sz w:val="16"/>
                <w:szCs w:val="16"/>
                <w:lang w:val="en-GB" w:eastAsia="es-CO"/>
              </w:rPr>
              <w:t>ENERGY TRANSITIONS S.A.S. ESP</w:t>
            </w:r>
          </w:p>
        </w:tc>
        <w:tc>
          <w:tcPr>
            <w:tcW w:w="1620" w:type="dxa"/>
            <w:tcBorders>
              <w:top w:val="nil"/>
              <w:left w:val="nil"/>
              <w:bottom w:val="single" w:sz="4" w:space="0" w:color="auto"/>
              <w:right w:val="single" w:sz="4" w:space="0" w:color="auto"/>
            </w:tcBorders>
            <w:shd w:val="clear" w:color="000000" w:fill="F2F2F2"/>
            <w:noWrap/>
            <w:vAlign w:val="center"/>
            <w:hideMark/>
          </w:tcPr>
          <w:p w14:paraId="4466AE43"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$ 3.445.543.000</w:t>
            </w:r>
          </w:p>
        </w:tc>
        <w:tc>
          <w:tcPr>
            <w:tcW w:w="1520" w:type="dxa"/>
            <w:tcBorders>
              <w:top w:val="nil"/>
              <w:left w:val="nil"/>
              <w:bottom w:val="single" w:sz="4" w:space="0" w:color="auto"/>
              <w:right w:val="single" w:sz="4" w:space="0" w:color="auto"/>
            </w:tcBorders>
            <w:shd w:val="clear" w:color="000000" w:fill="F2F2F2"/>
            <w:noWrap/>
            <w:vAlign w:val="center"/>
            <w:hideMark/>
          </w:tcPr>
          <w:p w14:paraId="32381AEE"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$ 779.382.959</w:t>
            </w:r>
          </w:p>
        </w:tc>
        <w:tc>
          <w:tcPr>
            <w:tcW w:w="1460" w:type="dxa"/>
            <w:tcBorders>
              <w:top w:val="nil"/>
              <w:left w:val="nil"/>
              <w:bottom w:val="single" w:sz="4" w:space="0" w:color="auto"/>
              <w:right w:val="single" w:sz="4" w:space="0" w:color="auto"/>
            </w:tcBorders>
            <w:shd w:val="clear" w:color="000000" w:fill="F2F2F2"/>
            <w:noWrap/>
            <w:vAlign w:val="center"/>
            <w:hideMark/>
          </w:tcPr>
          <w:p w14:paraId="2D6DE717"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$ 4.224.925.959</w:t>
            </w:r>
          </w:p>
        </w:tc>
        <w:tc>
          <w:tcPr>
            <w:tcW w:w="1280" w:type="dxa"/>
            <w:tcBorders>
              <w:top w:val="nil"/>
              <w:left w:val="nil"/>
              <w:bottom w:val="single" w:sz="4" w:space="0" w:color="auto"/>
              <w:right w:val="single" w:sz="4" w:space="0" w:color="auto"/>
            </w:tcBorders>
            <w:shd w:val="clear" w:color="000000" w:fill="F2F2F2"/>
            <w:noWrap/>
            <w:vAlign w:val="center"/>
            <w:hideMark/>
          </w:tcPr>
          <w:p w14:paraId="6C4733E5"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$ 42.249.260</w:t>
            </w:r>
          </w:p>
        </w:tc>
        <w:tc>
          <w:tcPr>
            <w:tcW w:w="1200" w:type="dxa"/>
            <w:tcBorders>
              <w:top w:val="nil"/>
              <w:left w:val="nil"/>
              <w:bottom w:val="single" w:sz="4" w:space="0" w:color="auto"/>
              <w:right w:val="single" w:sz="4" w:space="0" w:color="auto"/>
            </w:tcBorders>
            <w:shd w:val="clear" w:color="000000" w:fill="F2F2F2"/>
            <w:noWrap/>
            <w:vAlign w:val="center"/>
            <w:hideMark/>
          </w:tcPr>
          <w:p w14:paraId="029ED088"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$ 1.758</w:t>
            </w:r>
          </w:p>
        </w:tc>
        <w:tc>
          <w:tcPr>
            <w:tcW w:w="1280" w:type="dxa"/>
            <w:tcBorders>
              <w:top w:val="nil"/>
              <w:left w:val="nil"/>
              <w:bottom w:val="single" w:sz="4" w:space="0" w:color="auto"/>
              <w:right w:val="single" w:sz="4" w:space="0" w:color="auto"/>
            </w:tcBorders>
            <w:shd w:val="clear" w:color="000000" w:fill="F2F2F2"/>
            <w:noWrap/>
            <w:vAlign w:val="center"/>
            <w:hideMark/>
          </w:tcPr>
          <w:p w14:paraId="21B29A18"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$ 42.251.018</w:t>
            </w:r>
          </w:p>
        </w:tc>
      </w:tr>
      <w:tr w:rsidR="00B07312" w:rsidRPr="006B48D3" w14:paraId="7CC9873C" w14:textId="77777777" w:rsidTr="006B48D3">
        <w:trPr>
          <w:trHeight w:val="561"/>
        </w:trPr>
        <w:tc>
          <w:tcPr>
            <w:tcW w:w="407" w:type="dxa"/>
            <w:tcBorders>
              <w:top w:val="nil"/>
              <w:left w:val="single" w:sz="4" w:space="0" w:color="auto"/>
              <w:bottom w:val="single" w:sz="4" w:space="0" w:color="auto"/>
              <w:right w:val="single" w:sz="4" w:space="0" w:color="auto"/>
            </w:tcBorders>
            <w:shd w:val="clear" w:color="000000" w:fill="F2F2F2"/>
            <w:noWrap/>
            <w:vAlign w:val="center"/>
            <w:hideMark/>
          </w:tcPr>
          <w:p w14:paraId="15D56312" w14:textId="77777777" w:rsidR="00B07312" w:rsidRPr="006B48D3" w:rsidRDefault="00B07312" w:rsidP="00D22441">
            <w:pPr>
              <w:jc w:val="center"/>
              <w:rPr>
                <w:rFonts w:ascii="Arial Narrow" w:hAnsi="Arial Narrow" w:cs="Arial"/>
                <w:spacing w:val="0"/>
                <w:sz w:val="16"/>
                <w:szCs w:val="16"/>
                <w:lang w:eastAsia="es-CO"/>
              </w:rPr>
            </w:pPr>
            <w:r w:rsidRPr="006B48D3">
              <w:rPr>
                <w:rFonts w:ascii="Arial Narrow" w:hAnsi="Arial Narrow" w:cs="Arial"/>
                <w:spacing w:val="0"/>
                <w:sz w:val="16"/>
                <w:szCs w:val="16"/>
                <w:lang w:eastAsia="es-CO"/>
              </w:rPr>
              <w:t>133</w:t>
            </w:r>
          </w:p>
        </w:tc>
        <w:tc>
          <w:tcPr>
            <w:tcW w:w="585" w:type="dxa"/>
            <w:tcBorders>
              <w:top w:val="nil"/>
              <w:left w:val="nil"/>
              <w:bottom w:val="single" w:sz="4" w:space="0" w:color="auto"/>
              <w:right w:val="single" w:sz="4" w:space="0" w:color="auto"/>
            </w:tcBorders>
            <w:shd w:val="clear" w:color="000000" w:fill="F2F2F2"/>
            <w:noWrap/>
            <w:vAlign w:val="center"/>
            <w:hideMark/>
          </w:tcPr>
          <w:p w14:paraId="36465F1D"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45396</w:t>
            </w:r>
          </w:p>
        </w:tc>
        <w:tc>
          <w:tcPr>
            <w:tcW w:w="941" w:type="dxa"/>
            <w:tcBorders>
              <w:top w:val="nil"/>
              <w:left w:val="nil"/>
              <w:bottom w:val="single" w:sz="4" w:space="0" w:color="auto"/>
              <w:right w:val="single" w:sz="4" w:space="0" w:color="auto"/>
            </w:tcBorders>
            <w:shd w:val="clear" w:color="000000" w:fill="F2F2F2"/>
            <w:noWrap/>
            <w:vAlign w:val="center"/>
            <w:hideMark/>
          </w:tcPr>
          <w:p w14:paraId="44BBB081"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901306019</w:t>
            </w:r>
          </w:p>
        </w:tc>
        <w:tc>
          <w:tcPr>
            <w:tcW w:w="3247" w:type="dxa"/>
            <w:tcBorders>
              <w:top w:val="nil"/>
              <w:left w:val="nil"/>
              <w:bottom w:val="single" w:sz="4" w:space="0" w:color="auto"/>
              <w:right w:val="single" w:sz="4" w:space="0" w:color="auto"/>
            </w:tcBorders>
            <w:shd w:val="clear" w:color="000000" w:fill="F2F2F2"/>
            <w:vAlign w:val="center"/>
            <w:hideMark/>
          </w:tcPr>
          <w:p w14:paraId="6F6F1DF3" w14:textId="77777777" w:rsidR="00B07312" w:rsidRPr="006B48D3" w:rsidRDefault="00B07312" w:rsidP="00D22441">
            <w:pPr>
              <w:jc w:val="left"/>
              <w:rPr>
                <w:rFonts w:ascii="Arial Narrow" w:hAnsi="Arial Narrow" w:cs="Arial"/>
                <w:spacing w:val="0"/>
                <w:sz w:val="16"/>
                <w:szCs w:val="16"/>
                <w:lang w:eastAsia="es-CO"/>
              </w:rPr>
            </w:pPr>
            <w:r w:rsidRPr="006B48D3">
              <w:rPr>
                <w:rFonts w:ascii="Arial Narrow" w:hAnsi="Arial Narrow" w:cs="Arial"/>
                <w:spacing w:val="0"/>
                <w:sz w:val="16"/>
                <w:szCs w:val="16"/>
                <w:lang w:eastAsia="es-CO"/>
              </w:rPr>
              <w:t>GIGAS ENERGY SOCIEDAD POR ACCIONES SIMPLIFICADAS EMPRESA DE SERVICIOS PUBLICOS</w:t>
            </w:r>
          </w:p>
        </w:tc>
        <w:tc>
          <w:tcPr>
            <w:tcW w:w="1620" w:type="dxa"/>
            <w:tcBorders>
              <w:top w:val="nil"/>
              <w:left w:val="nil"/>
              <w:bottom w:val="single" w:sz="4" w:space="0" w:color="auto"/>
              <w:right w:val="single" w:sz="4" w:space="0" w:color="auto"/>
            </w:tcBorders>
            <w:shd w:val="clear" w:color="000000" w:fill="F2F2F2"/>
            <w:noWrap/>
            <w:vAlign w:val="center"/>
            <w:hideMark/>
          </w:tcPr>
          <w:p w14:paraId="14DCF25C"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$ 207.182.000</w:t>
            </w:r>
          </w:p>
        </w:tc>
        <w:tc>
          <w:tcPr>
            <w:tcW w:w="1520" w:type="dxa"/>
            <w:tcBorders>
              <w:top w:val="nil"/>
              <w:left w:val="nil"/>
              <w:bottom w:val="single" w:sz="4" w:space="0" w:color="auto"/>
              <w:right w:val="single" w:sz="4" w:space="0" w:color="auto"/>
            </w:tcBorders>
            <w:shd w:val="clear" w:color="000000" w:fill="F2F2F2"/>
            <w:noWrap/>
            <w:vAlign w:val="center"/>
            <w:hideMark/>
          </w:tcPr>
          <w:p w14:paraId="7B4A694B"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$ 61.028.059</w:t>
            </w:r>
          </w:p>
        </w:tc>
        <w:tc>
          <w:tcPr>
            <w:tcW w:w="1460" w:type="dxa"/>
            <w:tcBorders>
              <w:top w:val="nil"/>
              <w:left w:val="nil"/>
              <w:bottom w:val="single" w:sz="4" w:space="0" w:color="auto"/>
              <w:right w:val="single" w:sz="4" w:space="0" w:color="auto"/>
            </w:tcBorders>
            <w:shd w:val="clear" w:color="000000" w:fill="F2F2F2"/>
            <w:noWrap/>
            <w:vAlign w:val="center"/>
            <w:hideMark/>
          </w:tcPr>
          <w:p w14:paraId="70B65316"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$ 268.210.059</w:t>
            </w:r>
          </w:p>
        </w:tc>
        <w:tc>
          <w:tcPr>
            <w:tcW w:w="1280" w:type="dxa"/>
            <w:tcBorders>
              <w:top w:val="nil"/>
              <w:left w:val="nil"/>
              <w:bottom w:val="single" w:sz="4" w:space="0" w:color="auto"/>
              <w:right w:val="single" w:sz="4" w:space="0" w:color="auto"/>
            </w:tcBorders>
            <w:shd w:val="clear" w:color="000000" w:fill="F2F2F2"/>
            <w:noWrap/>
            <w:vAlign w:val="center"/>
            <w:hideMark/>
          </w:tcPr>
          <w:p w14:paraId="1D9E621D"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$ 2.682.101</w:t>
            </w:r>
          </w:p>
        </w:tc>
        <w:tc>
          <w:tcPr>
            <w:tcW w:w="1200" w:type="dxa"/>
            <w:tcBorders>
              <w:top w:val="nil"/>
              <w:left w:val="nil"/>
              <w:bottom w:val="single" w:sz="4" w:space="0" w:color="auto"/>
              <w:right w:val="single" w:sz="4" w:space="0" w:color="auto"/>
            </w:tcBorders>
            <w:shd w:val="clear" w:color="000000" w:fill="F2F2F2"/>
            <w:noWrap/>
            <w:vAlign w:val="center"/>
            <w:hideMark/>
          </w:tcPr>
          <w:p w14:paraId="6026B465"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$ 112</w:t>
            </w:r>
          </w:p>
        </w:tc>
        <w:tc>
          <w:tcPr>
            <w:tcW w:w="1280" w:type="dxa"/>
            <w:tcBorders>
              <w:top w:val="nil"/>
              <w:left w:val="nil"/>
              <w:bottom w:val="single" w:sz="4" w:space="0" w:color="auto"/>
              <w:right w:val="single" w:sz="4" w:space="0" w:color="auto"/>
            </w:tcBorders>
            <w:shd w:val="clear" w:color="000000" w:fill="F2F2F2"/>
            <w:noWrap/>
            <w:vAlign w:val="center"/>
            <w:hideMark/>
          </w:tcPr>
          <w:p w14:paraId="47E379EE"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$ 2.682.212</w:t>
            </w:r>
          </w:p>
        </w:tc>
      </w:tr>
      <w:tr w:rsidR="00B07312" w:rsidRPr="006B48D3" w14:paraId="6A2BAEDC" w14:textId="77777777" w:rsidTr="006B48D3">
        <w:trPr>
          <w:trHeight w:val="373"/>
        </w:trPr>
        <w:tc>
          <w:tcPr>
            <w:tcW w:w="407" w:type="dxa"/>
            <w:tcBorders>
              <w:top w:val="nil"/>
              <w:left w:val="single" w:sz="4" w:space="0" w:color="auto"/>
              <w:bottom w:val="single" w:sz="4" w:space="0" w:color="auto"/>
              <w:right w:val="single" w:sz="4" w:space="0" w:color="auto"/>
            </w:tcBorders>
            <w:shd w:val="clear" w:color="000000" w:fill="F2F2F2"/>
            <w:noWrap/>
            <w:vAlign w:val="center"/>
            <w:hideMark/>
          </w:tcPr>
          <w:p w14:paraId="5A55F897" w14:textId="77777777" w:rsidR="00B07312" w:rsidRPr="006B48D3" w:rsidRDefault="00B07312" w:rsidP="00D22441">
            <w:pPr>
              <w:jc w:val="center"/>
              <w:rPr>
                <w:rFonts w:ascii="Arial Narrow" w:hAnsi="Arial Narrow" w:cs="Arial"/>
                <w:spacing w:val="0"/>
                <w:sz w:val="16"/>
                <w:szCs w:val="16"/>
                <w:lang w:eastAsia="es-CO"/>
              </w:rPr>
            </w:pPr>
            <w:r w:rsidRPr="006B48D3">
              <w:rPr>
                <w:rFonts w:ascii="Arial Narrow" w:hAnsi="Arial Narrow" w:cs="Arial"/>
                <w:spacing w:val="0"/>
                <w:sz w:val="16"/>
                <w:szCs w:val="16"/>
                <w:lang w:eastAsia="es-CO"/>
              </w:rPr>
              <w:t>134</w:t>
            </w:r>
          </w:p>
        </w:tc>
        <w:tc>
          <w:tcPr>
            <w:tcW w:w="585" w:type="dxa"/>
            <w:tcBorders>
              <w:top w:val="nil"/>
              <w:left w:val="nil"/>
              <w:bottom w:val="single" w:sz="4" w:space="0" w:color="auto"/>
              <w:right w:val="single" w:sz="4" w:space="0" w:color="auto"/>
            </w:tcBorders>
            <w:shd w:val="clear" w:color="000000" w:fill="F2F2F2"/>
            <w:noWrap/>
            <w:vAlign w:val="center"/>
            <w:hideMark/>
          </w:tcPr>
          <w:p w14:paraId="2F2E92FF"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47363</w:t>
            </w:r>
          </w:p>
        </w:tc>
        <w:tc>
          <w:tcPr>
            <w:tcW w:w="941" w:type="dxa"/>
            <w:tcBorders>
              <w:top w:val="nil"/>
              <w:left w:val="nil"/>
              <w:bottom w:val="single" w:sz="4" w:space="0" w:color="auto"/>
              <w:right w:val="single" w:sz="4" w:space="0" w:color="auto"/>
            </w:tcBorders>
            <w:shd w:val="clear" w:color="000000" w:fill="F2F2F2"/>
            <w:noWrap/>
            <w:vAlign w:val="center"/>
            <w:hideMark/>
          </w:tcPr>
          <w:p w14:paraId="28CA07D2"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901315859</w:t>
            </w:r>
          </w:p>
        </w:tc>
        <w:tc>
          <w:tcPr>
            <w:tcW w:w="3247" w:type="dxa"/>
            <w:tcBorders>
              <w:top w:val="nil"/>
              <w:left w:val="nil"/>
              <w:bottom w:val="single" w:sz="4" w:space="0" w:color="auto"/>
              <w:right w:val="single" w:sz="4" w:space="0" w:color="auto"/>
            </w:tcBorders>
            <w:shd w:val="clear" w:color="000000" w:fill="F2F2F2"/>
            <w:vAlign w:val="center"/>
            <w:hideMark/>
          </w:tcPr>
          <w:p w14:paraId="699ACC31" w14:textId="77777777" w:rsidR="00B07312" w:rsidRPr="006B48D3" w:rsidRDefault="00B07312" w:rsidP="00D22441">
            <w:pPr>
              <w:jc w:val="left"/>
              <w:rPr>
                <w:rFonts w:ascii="Arial Narrow" w:hAnsi="Arial Narrow" w:cs="Arial"/>
                <w:spacing w:val="0"/>
                <w:sz w:val="16"/>
                <w:szCs w:val="16"/>
                <w:lang w:eastAsia="es-CO"/>
              </w:rPr>
            </w:pPr>
            <w:r w:rsidRPr="006B48D3">
              <w:rPr>
                <w:rFonts w:ascii="Arial Narrow" w:hAnsi="Arial Narrow" w:cs="Arial"/>
                <w:spacing w:val="0"/>
                <w:sz w:val="16"/>
                <w:szCs w:val="16"/>
                <w:lang w:eastAsia="es-CO"/>
              </w:rPr>
              <w:t>HIDROCARBUROS TRIPLE A SAS ESP</w:t>
            </w:r>
          </w:p>
        </w:tc>
        <w:tc>
          <w:tcPr>
            <w:tcW w:w="1620" w:type="dxa"/>
            <w:tcBorders>
              <w:top w:val="nil"/>
              <w:left w:val="nil"/>
              <w:bottom w:val="single" w:sz="4" w:space="0" w:color="auto"/>
              <w:right w:val="single" w:sz="4" w:space="0" w:color="auto"/>
            </w:tcBorders>
            <w:shd w:val="clear" w:color="000000" w:fill="F2F2F2"/>
            <w:noWrap/>
            <w:vAlign w:val="center"/>
            <w:hideMark/>
          </w:tcPr>
          <w:p w14:paraId="729869E3"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$ 166.718.000</w:t>
            </w:r>
          </w:p>
        </w:tc>
        <w:tc>
          <w:tcPr>
            <w:tcW w:w="1520" w:type="dxa"/>
            <w:tcBorders>
              <w:top w:val="nil"/>
              <w:left w:val="nil"/>
              <w:bottom w:val="single" w:sz="4" w:space="0" w:color="auto"/>
              <w:right w:val="single" w:sz="4" w:space="0" w:color="auto"/>
            </w:tcBorders>
            <w:shd w:val="clear" w:color="000000" w:fill="F2F2F2"/>
            <w:noWrap/>
            <w:vAlign w:val="center"/>
            <w:hideMark/>
          </w:tcPr>
          <w:p w14:paraId="5C230D7E"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$ 15.409.359</w:t>
            </w:r>
          </w:p>
        </w:tc>
        <w:tc>
          <w:tcPr>
            <w:tcW w:w="1460" w:type="dxa"/>
            <w:tcBorders>
              <w:top w:val="nil"/>
              <w:left w:val="nil"/>
              <w:bottom w:val="single" w:sz="4" w:space="0" w:color="auto"/>
              <w:right w:val="single" w:sz="4" w:space="0" w:color="auto"/>
            </w:tcBorders>
            <w:shd w:val="clear" w:color="000000" w:fill="F2F2F2"/>
            <w:noWrap/>
            <w:vAlign w:val="center"/>
            <w:hideMark/>
          </w:tcPr>
          <w:p w14:paraId="47C9877F"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$ 182.127.359</w:t>
            </w:r>
          </w:p>
        </w:tc>
        <w:tc>
          <w:tcPr>
            <w:tcW w:w="1280" w:type="dxa"/>
            <w:tcBorders>
              <w:top w:val="nil"/>
              <w:left w:val="nil"/>
              <w:bottom w:val="single" w:sz="4" w:space="0" w:color="auto"/>
              <w:right w:val="single" w:sz="4" w:space="0" w:color="auto"/>
            </w:tcBorders>
            <w:shd w:val="clear" w:color="000000" w:fill="F2F2F2"/>
            <w:noWrap/>
            <w:vAlign w:val="center"/>
            <w:hideMark/>
          </w:tcPr>
          <w:p w14:paraId="195FDC1F"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$ 1.821.274</w:t>
            </w:r>
          </w:p>
        </w:tc>
        <w:tc>
          <w:tcPr>
            <w:tcW w:w="1200" w:type="dxa"/>
            <w:tcBorders>
              <w:top w:val="nil"/>
              <w:left w:val="nil"/>
              <w:bottom w:val="single" w:sz="4" w:space="0" w:color="auto"/>
              <w:right w:val="single" w:sz="4" w:space="0" w:color="auto"/>
            </w:tcBorders>
            <w:shd w:val="clear" w:color="000000" w:fill="F2F2F2"/>
            <w:noWrap/>
            <w:vAlign w:val="center"/>
            <w:hideMark/>
          </w:tcPr>
          <w:p w14:paraId="0D8C4198"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$ 76</w:t>
            </w:r>
          </w:p>
        </w:tc>
        <w:tc>
          <w:tcPr>
            <w:tcW w:w="1280" w:type="dxa"/>
            <w:tcBorders>
              <w:top w:val="nil"/>
              <w:left w:val="nil"/>
              <w:bottom w:val="single" w:sz="4" w:space="0" w:color="auto"/>
              <w:right w:val="single" w:sz="4" w:space="0" w:color="auto"/>
            </w:tcBorders>
            <w:shd w:val="clear" w:color="000000" w:fill="F2F2F2"/>
            <w:noWrap/>
            <w:vAlign w:val="center"/>
            <w:hideMark/>
          </w:tcPr>
          <w:p w14:paraId="58BD1DC3"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$ 1.821.349</w:t>
            </w:r>
          </w:p>
        </w:tc>
      </w:tr>
      <w:tr w:rsidR="00B07312" w:rsidRPr="006B48D3" w14:paraId="4B28AECB" w14:textId="77777777" w:rsidTr="006B48D3">
        <w:trPr>
          <w:trHeight w:val="337"/>
        </w:trPr>
        <w:tc>
          <w:tcPr>
            <w:tcW w:w="407" w:type="dxa"/>
            <w:tcBorders>
              <w:top w:val="nil"/>
              <w:left w:val="single" w:sz="4" w:space="0" w:color="auto"/>
              <w:bottom w:val="single" w:sz="4" w:space="0" w:color="auto"/>
              <w:right w:val="single" w:sz="4" w:space="0" w:color="auto"/>
            </w:tcBorders>
            <w:shd w:val="clear" w:color="000000" w:fill="F2F2F2"/>
            <w:noWrap/>
            <w:vAlign w:val="center"/>
            <w:hideMark/>
          </w:tcPr>
          <w:p w14:paraId="28E012C7" w14:textId="77777777" w:rsidR="00B07312" w:rsidRPr="006B48D3" w:rsidRDefault="00B07312" w:rsidP="00D22441">
            <w:pPr>
              <w:jc w:val="center"/>
              <w:rPr>
                <w:rFonts w:ascii="Arial Narrow" w:hAnsi="Arial Narrow" w:cs="Arial"/>
                <w:spacing w:val="0"/>
                <w:sz w:val="16"/>
                <w:szCs w:val="16"/>
                <w:lang w:eastAsia="es-CO"/>
              </w:rPr>
            </w:pPr>
            <w:r w:rsidRPr="006B48D3">
              <w:rPr>
                <w:rFonts w:ascii="Arial Narrow" w:hAnsi="Arial Narrow" w:cs="Arial"/>
                <w:spacing w:val="0"/>
                <w:sz w:val="16"/>
                <w:szCs w:val="16"/>
                <w:lang w:eastAsia="es-CO"/>
              </w:rPr>
              <w:t>135</w:t>
            </w:r>
          </w:p>
        </w:tc>
        <w:tc>
          <w:tcPr>
            <w:tcW w:w="585" w:type="dxa"/>
            <w:tcBorders>
              <w:top w:val="nil"/>
              <w:left w:val="nil"/>
              <w:bottom w:val="single" w:sz="4" w:space="0" w:color="auto"/>
              <w:right w:val="single" w:sz="4" w:space="0" w:color="auto"/>
            </w:tcBorders>
            <w:shd w:val="clear" w:color="000000" w:fill="F2F2F2"/>
            <w:noWrap/>
            <w:vAlign w:val="center"/>
            <w:hideMark/>
          </w:tcPr>
          <w:p w14:paraId="373D2280"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50426</w:t>
            </w:r>
          </w:p>
        </w:tc>
        <w:tc>
          <w:tcPr>
            <w:tcW w:w="941" w:type="dxa"/>
            <w:tcBorders>
              <w:top w:val="nil"/>
              <w:left w:val="nil"/>
              <w:bottom w:val="single" w:sz="4" w:space="0" w:color="auto"/>
              <w:right w:val="single" w:sz="4" w:space="0" w:color="auto"/>
            </w:tcBorders>
            <w:shd w:val="clear" w:color="000000" w:fill="F2F2F2"/>
            <w:noWrap/>
            <w:vAlign w:val="center"/>
            <w:hideMark/>
          </w:tcPr>
          <w:p w14:paraId="3F6169E8"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901411134</w:t>
            </w:r>
          </w:p>
        </w:tc>
        <w:tc>
          <w:tcPr>
            <w:tcW w:w="3247" w:type="dxa"/>
            <w:tcBorders>
              <w:top w:val="nil"/>
              <w:left w:val="nil"/>
              <w:bottom w:val="single" w:sz="4" w:space="0" w:color="auto"/>
              <w:right w:val="single" w:sz="4" w:space="0" w:color="auto"/>
            </w:tcBorders>
            <w:shd w:val="clear" w:color="000000" w:fill="F2F2F2"/>
            <w:vAlign w:val="center"/>
            <w:hideMark/>
          </w:tcPr>
          <w:p w14:paraId="1728C838" w14:textId="77777777" w:rsidR="00B07312" w:rsidRPr="006B48D3" w:rsidRDefault="00B07312" w:rsidP="00D22441">
            <w:pPr>
              <w:jc w:val="left"/>
              <w:rPr>
                <w:rFonts w:ascii="Arial Narrow" w:hAnsi="Arial Narrow" w:cs="Arial"/>
                <w:spacing w:val="0"/>
                <w:sz w:val="16"/>
                <w:szCs w:val="16"/>
                <w:lang w:eastAsia="es-CO"/>
              </w:rPr>
            </w:pPr>
            <w:r w:rsidRPr="006B48D3">
              <w:rPr>
                <w:rFonts w:ascii="Arial Narrow" w:hAnsi="Arial Narrow" w:cs="Arial"/>
                <w:spacing w:val="0"/>
                <w:sz w:val="16"/>
                <w:szCs w:val="16"/>
                <w:lang w:eastAsia="es-CO"/>
              </w:rPr>
              <w:t>GAS D-UNO SAS ESP</w:t>
            </w:r>
          </w:p>
        </w:tc>
        <w:tc>
          <w:tcPr>
            <w:tcW w:w="1620" w:type="dxa"/>
            <w:tcBorders>
              <w:top w:val="nil"/>
              <w:left w:val="nil"/>
              <w:bottom w:val="single" w:sz="4" w:space="0" w:color="auto"/>
              <w:right w:val="single" w:sz="4" w:space="0" w:color="auto"/>
            </w:tcBorders>
            <w:shd w:val="clear" w:color="000000" w:fill="F2F2F2"/>
            <w:noWrap/>
            <w:vAlign w:val="center"/>
            <w:hideMark/>
          </w:tcPr>
          <w:p w14:paraId="1295C524"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$ 318.313.000</w:t>
            </w:r>
          </w:p>
        </w:tc>
        <w:tc>
          <w:tcPr>
            <w:tcW w:w="1520" w:type="dxa"/>
            <w:tcBorders>
              <w:top w:val="nil"/>
              <w:left w:val="nil"/>
              <w:bottom w:val="single" w:sz="4" w:space="0" w:color="auto"/>
              <w:right w:val="single" w:sz="4" w:space="0" w:color="auto"/>
            </w:tcBorders>
            <w:shd w:val="clear" w:color="000000" w:fill="F2F2F2"/>
            <w:noWrap/>
            <w:vAlign w:val="center"/>
            <w:hideMark/>
          </w:tcPr>
          <w:p w14:paraId="16B8C3C8"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$ 18.037.305</w:t>
            </w:r>
          </w:p>
        </w:tc>
        <w:tc>
          <w:tcPr>
            <w:tcW w:w="1460" w:type="dxa"/>
            <w:tcBorders>
              <w:top w:val="nil"/>
              <w:left w:val="nil"/>
              <w:bottom w:val="single" w:sz="4" w:space="0" w:color="auto"/>
              <w:right w:val="single" w:sz="4" w:space="0" w:color="auto"/>
            </w:tcBorders>
            <w:shd w:val="clear" w:color="000000" w:fill="F2F2F2"/>
            <w:noWrap/>
            <w:vAlign w:val="center"/>
            <w:hideMark/>
          </w:tcPr>
          <w:p w14:paraId="493B90FE"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$ 336.350.305</w:t>
            </w:r>
          </w:p>
        </w:tc>
        <w:tc>
          <w:tcPr>
            <w:tcW w:w="1280" w:type="dxa"/>
            <w:tcBorders>
              <w:top w:val="nil"/>
              <w:left w:val="nil"/>
              <w:bottom w:val="single" w:sz="4" w:space="0" w:color="auto"/>
              <w:right w:val="single" w:sz="4" w:space="0" w:color="auto"/>
            </w:tcBorders>
            <w:shd w:val="clear" w:color="000000" w:fill="F2F2F2"/>
            <w:noWrap/>
            <w:vAlign w:val="center"/>
            <w:hideMark/>
          </w:tcPr>
          <w:p w14:paraId="0D36491A"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$ 3.363.503</w:t>
            </w:r>
          </w:p>
        </w:tc>
        <w:tc>
          <w:tcPr>
            <w:tcW w:w="1200" w:type="dxa"/>
            <w:tcBorders>
              <w:top w:val="nil"/>
              <w:left w:val="nil"/>
              <w:bottom w:val="single" w:sz="4" w:space="0" w:color="auto"/>
              <w:right w:val="single" w:sz="4" w:space="0" w:color="auto"/>
            </w:tcBorders>
            <w:shd w:val="clear" w:color="000000" w:fill="F2F2F2"/>
            <w:noWrap/>
            <w:vAlign w:val="center"/>
            <w:hideMark/>
          </w:tcPr>
          <w:p w14:paraId="769F2257"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$ 140</w:t>
            </w:r>
          </w:p>
        </w:tc>
        <w:tc>
          <w:tcPr>
            <w:tcW w:w="1280" w:type="dxa"/>
            <w:tcBorders>
              <w:top w:val="nil"/>
              <w:left w:val="nil"/>
              <w:bottom w:val="single" w:sz="4" w:space="0" w:color="auto"/>
              <w:right w:val="single" w:sz="4" w:space="0" w:color="auto"/>
            </w:tcBorders>
            <w:shd w:val="clear" w:color="000000" w:fill="F2F2F2"/>
            <w:noWrap/>
            <w:vAlign w:val="center"/>
            <w:hideMark/>
          </w:tcPr>
          <w:p w14:paraId="51F550C6"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$ 3.363.643</w:t>
            </w:r>
          </w:p>
        </w:tc>
      </w:tr>
      <w:tr w:rsidR="00B07312" w:rsidRPr="006B48D3" w14:paraId="3BF25482" w14:textId="77777777" w:rsidTr="006B48D3">
        <w:trPr>
          <w:trHeight w:val="411"/>
        </w:trPr>
        <w:tc>
          <w:tcPr>
            <w:tcW w:w="407" w:type="dxa"/>
            <w:tcBorders>
              <w:top w:val="nil"/>
              <w:left w:val="single" w:sz="4" w:space="0" w:color="auto"/>
              <w:bottom w:val="single" w:sz="4" w:space="0" w:color="auto"/>
              <w:right w:val="single" w:sz="4" w:space="0" w:color="auto"/>
            </w:tcBorders>
            <w:shd w:val="clear" w:color="000000" w:fill="F2F2F2"/>
            <w:noWrap/>
            <w:vAlign w:val="center"/>
            <w:hideMark/>
          </w:tcPr>
          <w:p w14:paraId="72C68D0A" w14:textId="77777777" w:rsidR="00B07312" w:rsidRPr="006B48D3" w:rsidRDefault="00B07312" w:rsidP="00D22441">
            <w:pPr>
              <w:jc w:val="center"/>
              <w:rPr>
                <w:rFonts w:ascii="Arial Narrow" w:hAnsi="Arial Narrow" w:cs="Arial"/>
                <w:spacing w:val="0"/>
                <w:sz w:val="16"/>
                <w:szCs w:val="16"/>
                <w:lang w:eastAsia="es-CO"/>
              </w:rPr>
            </w:pPr>
            <w:r w:rsidRPr="006B48D3">
              <w:rPr>
                <w:rFonts w:ascii="Arial Narrow" w:hAnsi="Arial Narrow" w:cs="Arial"/>
                <w:spacing w:val="0"/>
                <w:sz w:val="16"/>
                <w:szCs w:val="16"/>
                <w:lang w:eastAsia="es-CO"/>
              </w:rPr>
              <w:lastRenderedPageBreak/>
              <w:t>136</w:t>
            </w:r>
          </w:p>
        </w:tc>
        <w:tc>
          <w:tcPr>
            <w:tcW w:w="585" w:type="dxa"/>
            <w:tcBorders>
              <w:top w:val="nil"/>
              <w:left w:val="nil"/>
              <w:bottom w:val="single" w:sz="4" w:space="0" w:color="auto"/>
              <w:right w:val="single" w:sz="4" w:space="0" w:color="auto"/>
            </w:tcBorders>
            <w:shd w:val="clear" w:color="000000" w:fill="F2F2F2"/>
            <w:noWrap/>
            <w:vAlign w:val="center"/>
            <w:hideMark/>
          </w:tcPr>
          <w:p w14:paraId="461DBD08"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58633</w:t>
            </w:r>
          </w:p>
        </w:tc>
        <w:tc>
          <w:tcPr>
            <w:tcW w:w="941" w:type="dxa"/>
            <w:tcBorders>
              <w:top w:val="nil"/>
              <w:left w:val="nil"/>
              <w:bottom w:val="single" w:sz="4" w:space="0" w:color="auto"/>
              <w:right w:val="single" w:sz="4" w:space="0" w:color="auto"/>
            </w:tcBorders>
            <w:shd w:val="clear" w:color="000000" w:fill="F2F2F2"/>
            <w:noWrap/>
            <w:vAlign w:val="center"/>
            <w:hideMark/>
          </w:tcPr>
          <w:p w14:paraId="7DE9B43E"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901503260</w:t>
            </w:r>
          </w:p>
        </w:tc>
        <w:tc>
          <w:tcPr>
            <w:tcW w:w="3247" w:type="dxa"/>
            <w:tcBorders>
              <w:top w:val="nil"/>
              <w:left w:val="nil"/>
              <w:bottom w:val="single" w:sz="4" w:space="0" w:color="auto"/>
              <w:right w:val="single" w:sz="4" w:space="0" w:color="auto"/>
            </w:tcBorders>
            <w:shd w:val="clear" w:color="000000" w:fill="F2F2F2"/>
            <w:vAlign w:val="center"/>
            <w:hideMark/>
          </w:tcPr>
          <w:p w14:paraId="09B4B4A6" w14:textId="77777777" w:rsidR="00B07312" w:rsidRPr="006B48D3" w:rsidRDefault="00B07312" w:rsidP="00D22441">
            <w:pPr>
              <w:jc w:val="left"/>
              <w:rPr>
                <w:rFonts w:ascii="Arial Narrow" w:hAnsi="Arial Narrow" w:cs="Arial"/>
                <w:spacing w:val="0"/>
                <w:sz w:val="16"/>
                <w:szCs w:val="16"/>
                <w:lang w:eastAsia="es-CO"/>
              </w:rPr>
            </w:pPr>
            <w:r w:rsidRPr="006B48D3">
              <w:rPr>
                <w:rFonts w:ascii="Arial Narrow" w:hAnsi="Arial Narrow" w:cs="Arial"/>
                <w:spacing w:val="0"/>
                <w:sz w:val="16"/>
                <w:szCs w:val="16"/>
                <w:lang w:eastAsia="es-CO"/>
              </w:rPr>
              <w:t>EMEGAS POR COLOMBIA 24 7 SAS ESP</w:t>
            </w:r>
          </w:p>
        </w:tc>
        <w:tc>
          <w:tcPr>
            <w:tcW w:w="1620" w:type="dxa"/>
            <w:tcBorders>
              <w:top w:val="nil"/>
              <w:left w:val="nil"/>
              <w:bottom w:val="single" w:sz="4" w:space="0" w:color="auto"/>
              <w:right w:val="single" w:sz="4" w:space="0" w:color="auto"/>
            </w:tcBorders>
            <w:shd w:val="clear" w:color="000000" w:fill="F2F2F2"/>
            <w:noWrap/>
            <w:vAlign w:val="center"/>
            <w:hideMark/>
          </w:tcPr>
          <w:p w14:paraId="7482FD2C"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$ 102.500.000</w:t>
            </w:r>
          </w:p>
        </w:tc>
        <w:tc>
          <w:tcPr>
            <w:tcW w:w="1520" w:type="dxa"/>
            <w:tcBorders>
              <w:top w:val="nil"/>
              <w:left w:val="nil"/>
              <w:bottom w:val="single" w:sz="4" w:space="0" w:color="auto"/>
              <w:right w:val="single" w:sz="4" w:space="0" w:color="auto"/>
            </w:tcBorders>
            <w:shd w:val="clear" w:color="000000" w:fill="F2F2F2"/>
            <w:noWrap/>
            <w:vAlign w:val="center"/>
            <w:hideMark/>
          </w:tcPr>
          <w:p w14:paraId="60377C04"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$ 14.668.786</w:t>
            </w:r>
          </w:p>
        </w:tc>
        <w:tc>
          <w:tcPr>
            <w:tcW w:w="1460" w:type="dxa"/>
            <w:tcBorders>
              <w:top w:val="nil"/>
              <w:left w:val="nil"/>
              <w:bottom w:val="single" w:sz="4" w:space="0" w:color="auto"/>
              <w:right w:val="single" w:sz="4" w:space="0" w:color="auto"/>
            </w:tcBorders>
            <w:shd w:val="clear" w:color="000000" w:fill="F2F2F2"/>
            <w:noWrap/>
            <w:vAlign w:val="center"/>
            <w:hideMark/>
          </w:tcPr>
          <w:p w14:paraId="4B9D892F"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$ 117.168.786</w:t>
            </w:r>
          </w:p>
        </w:tc>
        <w:tc>
          <w:tcPr>
            <w:tcW w:w="1280" w:type="dxa"/>
            <w:tcBorders>
              <w:top w:val="nil"/>
              <w:left w:val="nil"/>
              <w:bottom w:val="single" w:sz="4" w:space="0" w:color="auto"/>
              <w:right w:val="single" w:sz="4" w:space="0" w:color="auto"/>
            </w:tcBorders>
            <w:shd w:val="clear" w:color="000000" w:fill="F2F2F2"/>
            <w:noWrap/>
            <w:vAlign w:val="center"/>
            <w:hideMark/>
          </w:tcPr>
          <w:p w14:paraId="75A4A0D8"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$ 1.171.688</w:t>
            </w:r>
          </w:p>
        </w:tc>
        <w:tc>
          <w:tcPr>
            <w:tcW w:w="1200" w:type="dxa"/>
            <w:tcBorders>
              <w:top w:val="nil"/>
              <w:left w:val="nil"/>
              <w:bottom w:val="single" w:sz="4" w:space="0" w:color="auto"/>
              <w:right w:val="single" w:sz="4" w:space="0" w:color="auto"/>
            </w:tcBorders>
            <w:shd w:val="clear" w:color="000000" w:fill="F2F2F2"/>
            <w:noWrap/>
            <w:vAlign w:val="center"/>
            <w:hideMark/>
          </w:tcPr>
          <w:p w14:paraId="47BB7754"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$ 49</w:t>
            </w:r>
          </w:p>
        </w:tc>
        <w:tc>
          <w:tcPr>
            <w:tcW w:w="1280" w:type="dxa"/>
            <w:tcBorders>
              <w:top w:val="nil"/>
              <w:left w:val="nil"/>
              <w:bottom w:val="single" w:sz="4" w:space="0" w:color="auto"/>
              <w:right w:val="single" w:sz="4" w:space="0" w:color="auto"/>
            </w:tcBorders>
            <w:shd w:val="clear" w:color="000000" w:fill="F2F2F2"/>
            <w:noWrap/>
            <w:vAlign w:val="center"/>
            <w:hideMark/>
          </w:tcPr>
          <w:p w14:paraId="7DDDAAE7" w14:textId="77777777" w:rsidR="00B07312" w:rsidRPr="006B48D3" w:rsidRDefault="00B07312" w:rsidP="00D22441">
            <w:pPr>
              <w:jc w:val="right"/>
              <w:rPr>
                <w:rFonts w:ascii="Arial Narrow" w:hAnsi="Arial Narrow" w:cs="Arial"/>
                <w:spacing w:val="0"/>
                <w:sz w:val="16"/>
                <w:szCs w:val="16"/>
                <w:lang w:eastAsia="es-CO"/>
              </w:rPr>
            </w:pPr>
            <w:r w:rsidRPr="006B48D3">
              <w:rPr>
                <w:rFonts w:ascii="Arial Narrow" w:hAnsi="Arial Narrow" w:cs="Arial"/>
                <w:spacing w:val="0"/>
                <w:sz w:val="16"/>
                <w:szCs w:val="16"/>
                <w:lang w:eastAsia="es-CO"/>
              </w:rPr>
              <w:t>$ 1.171.737</w:t>
            </w:r>
          </w:p>
        </w:tc>
      </w:tr>
    </w:tbl>
    <w:p w14:paraId="24BD1141" w14:textId="051A5E3F" w:rsidR="00B07312" w:rsidRDefault="00B07312" w:rsidP="00D22441">
      <w:pPr>
        <w:rPr>
          <w:rFonts w:cs="Arial"/>
          <w:sz w:val="22"/>
          <w:szCs w:val="22"/>
        </w:rPr>
      </w:pPr>
    </w:p>
    <w:p w14:paraId="51CD1E64" w14:textId="763F141B" w:rsidR="007B7C8E" w:rsidRPr="00767202" w:rsidRDefault="00174A7C" w:rsidP="00D22441">
      <w:pPr>
        <w:pStyle w:val="Subttulo"/>
        <w:numPr>
          <w:ilvl w:val="1"/>
          <w:numId w:val="37"/>
        </w:numPr>
        <w:spacing w:after="0"/>
        <w:ind w:left="357" w:hanging="357"/>
        <w:jc w:val="left"/>
        <w:rPr>
          <w:b/>
          <w:bCs/>
          <w:sz w:val="22"/>
          <w:szCs w:val="22"/>
        </w:rPr>
      </w:pPr>
      <w:bookmarkStart w:id="111" w:name="_Toc147154343"/>
      <w:r>
        <w:rPr>
          <w:b/>
          <w:bCs/>
          <w:sz w:val="22"/>
          <w:szCs w:val="22"/>
        </w:rPr>
        <w:t>CONTRIBUCIÓN ESPECIAL 2023 PRESTADORES MULTISERVICIOS.</w:t>
      </w:r>
      <w:bookmarkEnd w:id="111"/>
    </w:p>
    <w:p w14:paraId="4513B3A0" w14:textId="77777777" w:rsidR="007B7C8E" w:rsidRDefault="007B7C8E" w:rsidP="00D22441">
      <w:pPr>
        <w:rPr>
          <w:rFonts w:cs="Arial"/>
          <w:b/>
          <w:sz w:val="22"/>
          <w:szCs w:val="22"/>
        </w:rPr>
      </w:pPr>
    </w:p>
    <w:p w14:paraId="026D6D03" w14:textId="77777777" w:rsidR="00080276" w:rsidRDefault="00174A7C" w:rsidP="00D22441">
      <w:pPr>
        <w:rPr>
          <w:rFonts w:cs="Arial"/>
          <w:sz w:val="22"/>
          <w:szCs w:val="22"/>
        </w:rPr>
      </w:pPr>
      <w:r w:rsidRPr="00C44935">
        <w:rPr>
          <w:rFonts w:cs="Arial"/>
          <w:sz w:val="22"/>
          <w:szCs w:val="22"/>
        </w:rPr>
        <w:t>A continuación, se relacionan l</w:t>
      </w:r>
      <w:r w:rsidR="00EC4A1C">
        <w:rPr>
          <w:rFonts w:cs="Arial"/>
          <w:sz w:val="22"/>
          <w:szCs w:val="22"/>
        </w:rPr>
        <w:t>os 9</w:t>
      </w:r>
      <w:r w:rsidRPr="00C44935">
        <w:rPr>
          <w:rFonts w:cs="Arial"/>
          <w:sz w:val="22"/>
          <w:szCs w:val="22"/>
        </w:rPr>
        <w:t xml:space="preserve"> regulad</w:t>
      </w:r>
      <w:r w:rsidR="00EC4A1C">
        <w:rPr>
          <w:rFonts w:cs="Arial"/>
          <w:sz w:val="22"/>
          <w:szCs w:val="22"/>
        </w:rPr>
        <w:t>o</w:t>
      </w:r>
      <w:r w:rsidRPr="00C44935">
        <w:rPr>
          <w:rFonts w:cs="Arial"/>
          <w:sz w:val="22"/>
          <w:szCs w:val="22"/>
        </w:rPr>
        <w:t xml:space="preserve">s que prestan </w:t>
      </w:r>
      <w:r>
        <w:rPr>
          <w:rFonts w:cs="Arial"/>
          <w:sz w:val="22"/>
          <w:szCs w:val="22"/>
        </w:rPr>
        <w:t>dos o más servicios del ámbito de regulación tanto de la CREG como de la CRA</w:t>
      </w:r>
      <w:r w:rsidR="00EC4A1C">
        <w:rPr>
          <w:rFonts w:cs="Arial"/>
          <w:sz w:val="22"/>
          <w:szCs w:val="22"/>
        </w:rPr>
        <w:t>, que son sujetos pasivos de la contribución especial 2023, con corte al 12 de julio de 2023, ordenados por su número de NIT</w:t>
      </w:r>
      <w:r w:rsidRPr="00C44935">
        <w:rPr>
          <w:rFonts w:cs="Arial"/>
          <w:sz w:val="22"/>
          <w:szCs w:val="22"/>
        </w:rPr>
        <w:t>:</w:t>
      </w:r>
    </w:p>
    <w:p w14:paraId="2049218B" w14:textId="78FC4EF1" w:rsidR="00174A7C" w:rsidRPr="0085721C" w:rsidRDefault="00174A7C" w:rsidP="00D22441">
      <w:pPr>
        <w:rPr>
          <w:rFonts w:asciiTheme="majorHAnsi" w:hAnsiTheme="majorHAnsi" w:cstheme="majorHAnsi"/>
          <w:color w:val="FF0000"/>
          <w:sz w:val="18"/>
          <w:szCs w:val="18"/>
        </w:rPr>
      </w:pPr>
      <w:r w:rsidRPr="0085721C">
        <w:rPr>
          <w:color w:val="FF0000"/>
        </w:rPr>
        <w:fldChar w:fldCharType="begin"/>
      </w:r>
      <w:r w:rsidRPr="0085721C">
        <w:rPr>
          <w:color w:val="FF0000"/>
        </w:rPr>
        <w:instrText xml:space="preserve"> LINK Excel.Sheet.12 "C:\\Users\\jsalazarb\\AppData\\Local\\Temp\\notesE99A2E\\4 Empresas que se les aplico paragrafo.xlsx" Hoja3!F1C3:F83C8 \a \f 4 \h  \* MERGEFORMAT </w:instrText>
      </w:r>
      <w:r w:rsidRPr="0085721C">
        <w:rPr>
          <w:color w:val="FF0000"/>
        </w:rPr>
        <w:fldChar w:fldCharType="separate"/>
      </w:r>
    </w:p>
    <w:p w14:paraId="29227423" w14:textId="3D510496" w:rsidR="00080276" w:rsidRPr="00622C5C" w:rsidRDefault="00174A7C" w:rsidP="00080276">
      <w:pPr>
        <w:pStyle w:val="Descripcin"/>
        <w:rPr>
          <w:rFonts w:cs="Arial"/>
          <w:sz w:val="22"/>
          <w:szCs w:val="22"/>
        </w:rPr>
      </w:pPr>
      <w:r w:rsidRPr="0085721C">
        <w:rPr>
          <w:rFonts w:asciiTheme="majorHAnsi" w:hAnsiTheme="majorHAnsi" w:cstheme="majorHAnsi"/>
          <w:color w:val="FF0000"/>
        </w:rPr>
        <w:fldChar w:fldCharType="end"/>
      </w:r>
      <w:r w:rsidR="00080276" w:rsidRPr="00080276">
        <w:rPr>
          <w:i w:val="0"/>
          <w:iCs w:val="0"/>
          <w:color w:val="auto"/>
        </w:rPr>
        <w:t xml:space="preserve"> </w:t>
      </w:r>
      <w:bookmarkStart w:id="112" w:name="_Toc145486453"/>
      <w:r w:rsidR="00080276" w:rsidRPr="002C4392">
        <w:rPr>
          <w:i w:val="0"/>
          <w:iCs w:val="0"/>
          <w:color w:val="auto"/>
        </w:rPr>
        <w:t xml:space="preserve">Tabla </w:t>
      </w:r>
      <w:r w:rsidR="00080276" w:rsidRPr="002C4392">
        <w:rPr>
          <w:i w:val="0"/>
          <w:iCs w:val="0"/>
          <w:color w:val="auto"/>
        </w:rPr>
        <w:fldChar w:fldCharType="begin"/>
      </w:r>
      <w:r w:rsidR="00080276" w:rsidRPr="002C4392">
        <w:rPr>
          <w:i w:val="0"/>
          <w:iCs w:val="0"/>
          <w:color w:val="auto"/>
        </w:rPr>
        <w:instrText xml:space="preserve"> SEQ Tabla \* ARABIC </w:instrText>
      </w:r>
      <w:r w:rsidR="00080276" w:rsidRPr="002C4392">
        <w:rPr>
          <w:i w:val="0"/>
          <w:iCs w:val="0"/>
          <w:color w:val="auto"/>
        </w:rPr>
        <w:fldChar w:fldCharType="separate"/>
      </w:r>
      <w:r w:rsidR="00080276">
        <w:rPr>
          <w:i w:val="0"/>
          <w:iCs w:val="0"/>
          <w:noProof/>
          <w:color w:val="auto"/>
        </w:rPr>
        <w:t>27</w:t>
      </w:r>
      <w:r w:rsidR="00080276" w:rsidRPr="002C4392">
        <w:rPr>
          <w:i w:val="0"/>
          <w:iCs w:val="0"/>
          <w:color w:val="auto"/>
        </w:rPr>
        <w:fldChar w:fldCharType="end"/>
      </w:r>
      <w:r w:rsidR="00080276" w:rsidRPr="002C4392">
        <w:rPr>
          <w:i w:val="0"/>
          <w:iCs w:val="0"/>
          <w:color w:val="auto"/>
        </w:rPr>
        <w:t xml:space="preserve">. </w:t>
      </w:r>
      <w:r w:rsidR="00080276">
        <w:rPr>
          <w:i w:val="0"/>
          <w:iCs w:val="0"/>
          <w:color w:val="auto"/>
        </w:rPr>
        <w:t>Consolidado de regulados multiservicios, contribuyentes contribución especial 2023.</w:t>
      </w:r>
      <w:bookmarkEnd w:id="112"/>
    </w:p>
    <w:tbl>
      <w:tblPr>
        <w:tblW w:w="13231" w:type="dxa"/>
        <w:tblCellMar>
          <w:left w:w="70" w:type="dxa"/>
          <w:right w:w="70" w:type="dxa"/>
        </w:tblCellMar>
        <w:tblLook w:val="04A0" w:firstRow="1" w:lastRow="0" w:firstColumn="1" w:lastColumn="0" w:noHBand="0" w:noVBand="1"/>
      </w:tblPr>
      <w:tblGrid>
        <w:gridCol w:w="380"/>
        <w:gridCol w:w="585"/>
        <w:gridCol w:w="941"/>
        <w:gridCol w:w="2400"/>
        <w:gridCol w:w="1502"/>
        <w:gridCol w:w="1413"/>
        <w:gridCol w:w="1621"/>
        <w:gridCol w:w="1324"/>
        <w:gridCol w:w="1029"/>
        <w:gridCol w:w="2036"/>
      </w:tblGrid>
      <w:tr w:rsidR="00EC4A1C" w:rsidRPr="00D16BC5" w14:paraId="26E194DA" w14:textId="77777777" w:rsidTr="00D16BC5">
        <w:trPr>
          <w:trHeight w:val="687"/>
          <w:tblHeader/>
        </w:trPr>
        <w:tc>
          <w:tcPr>
            <w:tcW w:w="38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A6186E2" w14:textId="77777777" w:rsidR="00EC4A1C" w:rsidRPr="00D16BC5" w:rsidRDefault="00EC4A1C" w:rsidP="00D22441">
            <w:pPr>
              <w:jc w:val="center"/>
              <w:rPr>
                <w:rFonts w:ascii="Arial Narrow" w:hAnsi="Arial Narrow" w:cs="Arial"/>
                <w:b/>
                <w:bCs/>
                <w:color w:val="000000"/>
                <w:spacing w:val="0"/>
                <w:sz w:val="16"/>
                <w:szCs w:val="16"/>
                <w:lang w:eastAsia="es-CO"/>
              </w:rPr>
            </w:pPr>
            <w:proofErr w:type="spellStart"/>
            <w:r w:rsidRPr="00D16BC5">
              <w:rPr>
                <w:rFonts w:ascii="Arial Narrow" w:hAnsi="Arial Narrow" w:cs="Arial"/>
                <w:b/>
                <w:bCs/>
                <w:color w:val="000000"/>
                <w:spacing w:val="0"/>
                <w:sz w:val="16"/>
                <w:szCs w:val="16"/>
                <w:lang w:eastAsia="es-CO"/>
              </w:rPr>
              <w:t>N°</w:t>
            </w:r>
            <w:proofErr w:type="spellEnd"/>
          </w:p>
        </w:tc>
        <w:tc>
          <w:tcPr>
            <w:tcW w:w="585" w:type="dxa"/>
            <w:tcBorders>
              <w:top w:val="single" w:sz="4" w:space="0" w:color="auto"/>
              <w:left w:val="nil"/>
              <w:bottom w:val="single" w:sz="4" w:space="0" w:color="auto"/>
              <w:right w:val="single" w:sz="4" w:space="0" w:color="auto"/>
            </w:tcBorders>
            <w:shd w:val="clear" w:color="000000" w:fill="D9D9D9"/>
            <w:vAlign w:val="center"/>
            <w:hideMark/>
          </w:tcPr>
          <w:p w14:paraId="2A805BC1" w14:textId="77777777" w:rsidR="00EC4A1C" w:rsidRPr="00D16BC5" w:rsidRDefault="00EC4A1C" w:rsidP="00D22441">
            <w:pPr>
              <w:jc w:val="center"/>
              <w:rPr>
                <w:rFonts w:ascii="Arial Narrow" w:hAnsi="Arial Narrow" w:cs="Arial"/>
                <w:b/>
                <w:bCs/>
                <w:color w:val="000000"/>
                <w:spacing w:val="0"/>
                <w:sz w:val="16"/>
                <w:szCs w:val="16"/>
                <w:lang w:eastAsia="es-CO"/>
              </w:rPr>
            </w:pPr>
            <w:r w:rsidRPr="00D16BC5">
              <w:rPr>
                <w:rFonts w:ascii="Arial Narrow" w:hAnsi="Arial Narrow" w:cs="Arial"/>
                <w:b/>
                <w:bCs/>
                <w:color w:val="000000"/>
                <w:spacing w:val="0"/>
                <w:sz w:val="16"/>
                <w:szCs w:val="16"/>
                <w:lang w:eastAsia="es-CO"/>
              </w:rPr>
              <w:t>RUPS</w:t>
            </w:r>
          </w:p>
        </w:tc>
        <w:tc>
          <w:tcPr>
            <w:tcW w:w="941" w:type="dxa"/>
            <w:tcBorders>
              <w:top w:val="single" w:sz="4" w:space="0" w:color="auto"/>
              <w:left w:val="nil"/>
              <w:bottom w:val="single" w:sz="4" w:space="0" w:color="auto"/>
              <w:right w:val="single" w:sz="4" w:space="0" w:color="auto"/>
            </w:tcBorders>
            <w:shd w:val="clear" w:color="000000" w:fill="D9D9D9"/>
            <w:vAlign w:val="center"/>
            <w:hideMark/>
          </w:tcPr>
          <w:p w14:paraId="194CB1D0" w14:textId="77777777" w:rsidR="00EC4A1C" w:rsidRPr="00D16BC5" w:rsidRDefault="00EC4A1C" w:rsidP="00D22441">
            <w:pPr>
              <w:jc w:val="center"/>
              <w:rPr>
                <w:rFonts w:ascii="Arial Narrow" w:hAnsi="Arial Narrow" w:cs="Arial"/>
                <w:b/>
                <w:bCs/>
                <w:color w:val="000000"/>
                <w:spacing w:val="0"/>
                <w:sz w:val="16"/>
                <w:szCs w:val="16"/>
                <w:lang w:eastAsia="es-CO"/>
              </w:rPr>
            </w:pPr>
            <w:r w:rsidRPr="00D16BC5">
              <w:rPr>
                <w:rFonts w:ascii="Arial Narrow" w:hAnsi="Arial Narrow" w:cs="Arial"/>
                <w:b/>
                <w:bCs/>
                <w:color w:val="000000"/>
                <w:spacing w:val="0"/>
                <w:sz w:val="16"/>
                <w:szCs w:val="16"/>
                <w:lang w:eastAsia="es-CO"/>
              </w:rPr>
              <w:t>NIT</w:t>
            </w:r>
          </w:p>
        </w:tc>
        <w:tc>
          <w:tcPr>
            <w:tcW w:w="2400" w:type="dxa"/>
            <w:tcBorders>
              <w:top w:val="single" w:sz="4" w:space="0" w:color="auto"/>
              <w:left w:val="nil"/>
              <w:bottom w:val="single" w:sz="4" w:space="0" w:color="auto"/>
              <w:right w:val="single" w:sz="4" w:space="0" w:color="auto"/>
            </w:tcBorders>
            <w:shd w:val="clear" w:color="000000" w:fill="D9D9D9"/>
            <w:vAlign w:val="center"/>
            <w:hideMark/>
          </w:tcPr>
          <w:p w14:paraId="2E4E42F8" w14:textId="77777777" w:rsidR="00EC4A1C" w:rsidRPr="00D16BC5" w:rsidRDefault="00EC4A1C" w:rsidP="00D22441">
            <w:pPr>
              <w:jc w:val="center"/>
              <w:rPr>
                <w:rFonts w:ascii="Arial Narrow" w:hAnsi="Arial Narrow" w:cs="Arial"/>
                <w:b/>
                <w:bCs/>
                <w:color w:val="000000"/>
                <w:spacing w:val="0"/>
                <w:sz w:val="16"/>
                <w:szCs w:val="16"/>
                <w:lang w:eastAsia="es-CO"/>
              </w:rPr>
            </w:pPr>
            <w:r w:rsidRPr="00D16BC5">
              <w:rPr>
                <w:rFonts w:ascii="Arial Narrow" w:hAnsi="Arial Narrow" w:cs="Arial"/>
                <w:b/>
                <w:bCs/>
                <w:color w:val="000000"/>
                <w:spacing w:val="0"/>
                <w:sz w:val="16"/>
                <w:szCs w:val="16"/>
                <w:lang w:eastAsia="es-CO"/>
              </w:rPr>
              <w:t>Razón social empresa regulada</w:t>
            </w:r>
          </w:p>
        </w:tc>
        <w:tc>
          <w:tcPr>
            <w:tcW w:w="1502" w:type="dxa"/>
            <w:tcBorders>
              <w:top w:val="single" w:sz="4" w:space="0" w:color="auto"/>
              <w:left w:val="nil"/>
              <w:bottom w:val="single" w:sz="4" w:space="0" w:color="auto"/>
              <w:right w:val="single" w:sz="4" w:space="0" w:color="auto"/>
            </w:tcBorders>
            <w:shd w:val="clear" w:color="000000" w:fill="ACB9CA"/>
            <w:vAlign w:val="center"/>
            <w:hideMark/>
          </w:tcPr>
          <w:p w14:paraId="0B6BE5BC" w14:textId="77777777" w:rsidR="00EC4A1C" w:rsidRPr="00D16BC5" w:rsidRDefault="00EC4A1C" w:rsidP="00D22441">
            <w:pPr>
              <w:jc w:val="center"/>
              <w:rPr>
                <w:rFonts w:ascii="Arial Narrow" w:hAnsi="Arial Narrow" w:cs="Arial"/>
                <w:b/>
                <w:bCs/>
                <w:color w:val="000000"/>
                <w:spacing w:val="0"/>
                <w:sz w:val="16"/>
                <w:szCs w:val="16"/>
                <w:lang w:eastAsia="es-CO"/>
              </w:rPr>
            </w:pPr>
            <w:r w:rsidRPr="00D16BC5">
              <w:rPr>
                <w:rFonts w:ascii="Arial Narrow" w:hAnsi="Arial Narrow" w:cs="Arial"/>
                <w:b/>
                <w:bCs/>
                <w:color w:val="000000"/>
                <w:spacing w:val="0"/>
                <w:sz w:val="16"/>
                <w:szCs w:val="16"/>
                <w:lang w:eastAsia="es-CO"/>
              </w:rPr>
              <w:t>Gastos administrativos reportados SUI y depurados</w:t>
            </w:r>
          </w:p>
        </w:tc>
        <w:tc>
          <w:tcPr>
            <w:tcW w:w="1413" w:type="dxa"/>
            <w:tcBorders>
              <w:top w:val="single" w:sz="4" w:space="0" w:color="auto"/>
              <w:left w:val="nil"/>
              <w:bottom w:val="single" w:sz="4" w:space="0" w:color="auto"/>
              <w:right w:val="single" w:sz="4" w:space="0" w:color="auto"/>
            </w:tcBorders>
            <w:shd w:val="clear" w:color="000000" w:fill="ACB9CA"/>
            <w:vAlign w:val="center"/>
            <w:hideMark/>
          </w:tcPr>
          <w:p w14:paraId="45591545" w14:textId="77777777" w:rsidR="00EC4A1C" w:rsidRPr="00D16BC5" w:rsidRDefault="00EC4A1C" w:rsidP="00D22441">
            <w:pPr>
              <w:jc w:val="center"/>
              <w:rPr>
                <w:rFonts w:ascii="Arial Narrow" w:hAnsi="Arial Narrow" w:cs="Arial"/>
                <w:b/>
                <w:bCs/>
                <w:color w:val="000000"/>
                <w:spacing w:val="0"/>
                <w:sz w:val="16"/>
                <w:szCs w:val="16"/>
                <w:lang w:eastAsia="es-CO"/>
              </w:rPr>
            </w:pPr>
            <w:r w:rsidRPr="00D16BC5">
              <w:rPr>
                <w:rFonts w:ascii="Arial Narrow" w:hAnsi="Arial Narrow" w:cs="Arial"/>
                <w:b/>
                <w:bCs/>
                <w:color w:val="000000"/>
                <w:spacing w:val="0"/>
                <w:sz w:val="16"/>
                <w:szCs w:val="16"/>
                <w:lang w:eastAsia="es-CO"/>
              </w:rPr>
              <w:t>Porción de gastos operativos reportados SUI</w:t>
            </w:r>
          </w:p>
        </w:tc>
        <w:tc>
          <w:tcPr>
            <w:tcW w:w="1621" w:type="dxa"/>
            <w:tcBorders>
              <w:top w:val="single" w:sz="4" w:space="0" w:color="auto"/>
              <w:left w:val="nil"/>
              <w:bottom w:val="single" w:sz="4" w:space="0" w:color="auto"/>
              <w:right w:val="single" w:sz="4" w:space="0" w:color="auto"/>
            </w:tcBorders>
            <w:shd w:val="clear" w:color="000000" w:fill="D9D9D9"/>
            <w:vAlign w:val="center"/>
            <w:hideMark/>
          </w:tcPr>
          <w:p w14:paraId="0591C5D9" w14:textId="77777777" w:rsidR="00EC4A1C" w:rsidRPr="00D16BC5" w:rsidRDefault="00EC4A1C" w:rsidP="00D22441">
            <w:pPr>
              <w:jc w:val="center"/>
              <w:rPr>
                <w:rFonts w:ascii="Arial Narrow" w:hAnsi="Arial Narrow" w:cs="Arial"/>
                <w:b/>
                <w:bCs/>
                <w:color w:val="000000"/>
                <w:spacing w:val="0"/>
                <w:sz w:val="16"/>
                <w:szCs w:val="16"/>
                <w:lang w:eastAsia="es-CO"/>
              </w:rPr>
            </w:pPr>
            <w:proofErr w:type="gramStart"/>
            <w:r w:rsidRPr="00D16BC5">
              <w:rPr>
                <w:rFonts w:ascii="Arial Narrow" w:hAnsi="Arial Narrow" w:cs="Arial"/>
                <w:b/>
                <w:bCs/>
                <w:color w:val="000000"/>
                <w:spacing w:val="0"/>
                <w:sz w:val="16"/>
                <w:szCs w:val="16"/>
                <w:lang w:eastAsia="es-CO"/>
              </w:rPr>
              <w:t>Total</w:t>
            </w:r>
            <w:proofErr w:type="gramEnd"/>
            <w:r w:rsidRPr="00D16BC5">
              <w:rPr>
                <w:rFonts w:ascii="Arial Narrow" w:hAnsi="Arial Narrow" w:cs="Arial"/>
                <w:b/>
                <w:bCs/>
                <w:color w:val="000000"/>
                <w:spacing w:val="0"/>
                <w:sz w:val="16"/>
                <w:szCs w:val="16"/>
                <w:lang w:eastAsia="es-CO"/>
              </w:rPr>
              <w:t xml:space="preserve"> base gravable reportada</w:t>
            </w:r>
          </w:p>
        </w:tc>
        <w:tc>
          <w:tcPr>
            <w:tcW w:w="1324" w:type="dxa"/>
            <w:tcBorders>
              <w:top w:val="single" w:sz="4" w:space="0" w:color="auto"/>
              <w:left w:val="nil"/>
              <w:bottom w:val="single" w:sz="4" w:space="0" w:color="auto"/>
              <w:right w:val="single" w:sz="4" w:space="0" w:color="auto"/>
            </w:tcBorders>
            <w:shd w:val="clear" w:color="000000" w:fill="D9D9D9"/>
            <w:vAlign w:val="center"/>
            <w:hideMark/>
          </w:tcPr>
          <w:p w14:paraId="445FB7C6" w14:textId="77777777" w:rsidR="00EC4A1C" w:rsidRPr="00D16BC5" w:rsidRDefault="00EC4A1C" w:rsidP="00D22441">
            <w:pPr>
              <w:jc w:val="center"/>
              <w:rPr>
                <w:rFonts w:ascii="Arial Narrow" w:hAnsi="Arial Narrow" w:cs="Arial"/>
                <w:b/>
                <w:bCs/>
                <w:color w:val="000000"/>
                <w:spacing w:val="0"/>
                <w:sz w:val="16"/>
                <w:szCs w:val="16"/>
                <w:lang w:eastAsia="es-CO"/>
              </w:rPr>
            </w:pPr>
            <w:r w:rsidRPr="00D16BC5">
              <w:rPr>
                <w:rFonts w:ascii="Arial Narrow" w:hAnsi="Arial Narrow" w:cs="Arial"/>
                <w:b/>
                <w:bCs/>
                <w:color w:val="000000"/>
                <w:spacing w:val="0"/>
                <w:sz w:val="16"/>
                <w:szCs w:val="16"/>
                <w:lang w:eastAsia="es-CO"/>
              </w:rPr>
              <w:t xml:space="preserve">Valor bruto contribución especial 2023 </w:t>
            </w:r>
          </w:p>
        </w:tc>
        <w:tc>
          <w:tcPr>
            <w:tcW w:w="1029" w:type="dxa"/>
            <w:tcBorders>
              <w:top w:val="single" w:sz="4" w:space="0" w:color="auto"/>
              <w:left w:val="nil"/>
              <w:bottom w:val="single" w:sz="4" w:space="0" w:color="auto"/>
              <w:right w:val="single" w:sz="4" w:space="0" w:color="auto"/>
            </w:tcBorders>
            <w:shd w:val="clear" w:color="000000" w:fill="D9D9D9"/>
            <w:vAlign w:val="center"/>
            <w:hideMark/>
          </w:tcPr>
          <w:p w14:paraId="271A0BA3" w14:textId="153F19E6" w:rsidR="00EC4A1C" w:rsidRPr="00D16BC5" w:rsidRDefault="00EC4A1C" w:rsidP="00D22441">
            <w:pPr>
              <w:jc w:val="center"/>
              <w:rPr>
                <w:rFonts w:ascii="Arial Narrow" w:hAnsi="Arial Narrow" w:cs="Arial"/>
                <w:b/>
                <w:bCs/>
                <w:color w:val="000000"/>
                <w:spacing w:val="0"/>
                <w:sz w:val="16"/>
                <w:szCs w:val="16"/>
                <w:lang w:eastAsia="es-CO"/>
              </w:rPr>
            </w:pPr>
            <w:r w:rsidRPr="00D16BC5">
              <w:rPr>
                <w:rFonts w:ascii="Arial Narrow" w:hAnsi="Arial Narrow" w:cs="Arial"/>
                <w:b/>
                <w:bCs/>
                <w:color w:val="000000"/>
                <w:spacing w:val="0"/>
                <w:sz w:val="16"/>
                <w:szCs w:val="16"/>
                <w:lang w:eastAsia="es-CO"/>
              </w:rPr>
              <w:t>Cuantía mínima proporcional 2023</w:t>
            </w:r>
          </w:p>
        </w:tc>
        <w:tc>
          <w:tcPr>
            <w:tcW w:w="2036" w:type="dxa"/>
            <w:tcBorders>
              <w:top w:val="single" w:sz="4" w:space="0" w:color="auto"/>
              <w:left w:val="nil"/>
              <w:bottom w:val="single" w:sz="4" w:space="0" w:color="auto"/>
              <w:right w:val="single" w:sz="4" w:space="0" w:color="auto"/>
            </w:tcBorders>
            <w:shd w:val="clear" w:color="000000" w:fill="D9D9D9"/>
            <w:vAlign w:val="center"/>
            <w:hideMark/>
          </w:tcPr>
          <w:p w14:paraId="2D3D247D" w14:textId="77777777" w:rsidR="00EC4A1C" w:rsidRPr="00D16BC5" w:rsidRDefault="00EC4A1C" w:rsidP="00D22441">
            <w:pPr>
              <w:jc w:val="center"/>
              <w:rPr>
                <w:rFonts w:ascii="Arial Narrow" w:hAnsi="Arial Narrow" w:cs="Arial"/>
                <w:b/>
                <w:bCs/>
                <w:color w:val="000000"/>
                <w:spacing w:val="0"/>
                <w:sz w:val="16"/>
                <w:szCs w:val="16"/>
                <w:lang w:eastAsia="es-CO"/>
              </w:rPr>
            </w:pPr>
            <w:r w:rsidRPr="00D16BC5">
              <w:rPr>
                <w:rFonts w:ascii="Arial Narrow" w:hAnsi="Arial Narrow" w:cs="Arial"/>
                <w:b/>
                <w:bCs/>
                <w:color w:val="000000"/>
                <w:spacing w:val="0"/>
                <w:sz w:val="16"/>
                <w:szCs w:val="16"/>
                <w:lang w:eastAsia="es-CO"/>
              </w:rPr>
              <w:t>Valor neto de la contribución especial 2023 a pagar</w:t>
            </w:r>
          </w:p>
        </w:tc>
      </w:tr>
      <w:tr w:rsidR="00EC4A1C" w:rsidRPr="00D16BC5" w14:paraId="4A08324C" w14:textId="77777777" w:rsidTr="00EC4A1C">
        <w:trPr>
          <w:trHeight w:val="450"/>
        </w:trPr>
        <w:tc>
          <w:tcPr>
            <w:tcW w:w="380" w:type="dxa"/>
            <w:tcBorders>
              <w:top w:val="nil"/>
              <w:left w:val="single" w:sz="4" w:space="0" w:color="auto"/>
              <w:bottom w:val="single" w:sz="4" w:space="0" w:color="auto"/>
              <w:right w:val="single" w:sz="4" w:space="0" w:color="auto"/>
            </w:tcBorders>
            <w:shd w:val="clear" w:color="000000" w:fill="F2F2F2"/>
            <w:noWrap/>
            <w:vAlign w:val="center"/>
            <w:hideMark/>
          </w:tcPr>
          <w:p w14:paraId="37182F09" w14:textId="77777777" w:rsidR="00EC4A1C" w:rsidRPr="00D16BC5" w:rsidRDefault="00EC4A1C" w:rsidP="00D22441">
            <w:pPr>
              <w:jc w:val="center"/>
              <w:rPr>
                <w:rFonts w:ascii="Arial Narrow" w:hAnsi="Arial Narrow" w:cs="Arial"/>
                <w:spacing w:val="0"/>
                <w:sz w:val="16"/>
                <w:szCs w:val="16"/>
                <w:lang w:eastAsia="es-CO"/>
              </w:rPr>
            </w:pPr>
            <w:r w:rsidRPr="00D16BC5">
              <w:rPr>
                <w:rFonts w:ascii="Arial Narrow" w:hAnsi="Arial Narrow" w:cs="Arial"/>
                <w:spacing w:val="0"/>
                <w:sz w:val="16"/>
                <w:szCs w:val="16"/>
                <w:lang w:eastAsia="es-CO"/>
              </w:rPr>
              <w:t>1</w:t>
            </w:r>
          </w:p>
        </w:tc>
        <w:tc>
          <w:tcPr>
            <w:tcW w:w="585" w:type="dxa"/>
            <w:tcBorders>
              <w:top w:val="nil"/>
              <w:left w:val="nil"/>
              <w:bottom w:val="single" w:sz="4" w:space="0" w:color="auto"/>
              <w:right w:val="single" w:sz="4" w:space="0" w:color="auto"/>
            </w:tcBorders>
            <w:shd w:val="clear" w:color="000000" w:fill="F2F2F2"/>
            <w:noWrap/>
            <w:vAlign w:val="center"/>
            <w:hideMark/>
          </w:tcPr>
          <w:p w14:paraId="35D13CD2" w14:textId="77777777" w:rsidR="00EC4A1C" w:rsidRPr="00D16BC5" w:rsidRDefault="00EC4A1C" w:rsidP="00D22441">
            <w:pPr>
              <w:jc w:val="right"/>
              <w:rPr>
                <w:rFonts w:ascii="Arial Narrow" w:hAnsi="Arial Narrow" w:cs="Arial"/>
                <w:spacing w:val="0"/>
                <w:sz w:val="16"/>
                <w:szCs w:val="16"/>
                <w:lang w:eastAsia="es-CO"/>
              </w:rPr>
            </w:pPr>
            <w:r w:rsidRPr="00D16BC5">
              <w:rPr>
                <w:rFonts w:ascii="Arial Narrow" w:hAnsi="Arial Narrow" w:cs="Arial"/>
                <w:spacing w:val="0"/>
                <w:sz w:val="16"/>
                <w:szCs w:val="16"/>
                <w:lang w:eastAsia="es-CO"/>
              </w:rPr>
              <w:t>330</w:t>
            </w:r>
          </w:p>
        </w:tc>
        <w:tc>
          <w:tcPr>
            <w:tcW w:w="941" w:type="dxa"/>
            <w:tcBorders>
              <w:top w:val="nil"/>
              <w:left w:val="nil"/>
              <w:bottom w:val="single" w:sz="4" w:space="0" w:color="auto"/>
              <w:right w:val="single" w:sz="4" w:space="0" w:color="auto"/>
            </w:tcBorders>
            <w:shd w:val="clear" w:color="000000" w:fill="F2F2F2"/>
            <w:noWrap/>
            <w:vAlign w:val="center"/>
            <w:hideMark/>
          </w:tcPr>
          <w:p w14:paraId="371701E2" w14:textId="77777777" w:rsidR="00EC4A1C" w:rsidRPr="00D16BC5" w:rsidRDefault="00EC4A1C" w:rsidP="00D22441">
            <w:pPr>
              <w:jc w:val="right"/>
              <w:rPr>
                <w:rFonts w:ascii="Arial Narrow" w:hAnsi="Arial Narrow" w:cs="Arial"/>
                <w:spacing w:val="0"/>
                <w:sz w:val="16"/>
                <w:szCs w:val="16"/>
                <w:lang w:eastAsia="es-CO"/>
              </w:rPr>
            </w:pPr>
            <w:r w:rsidRPr="00D16BC5">
              <w:rPr>
                <w:rFonts w:ascii="Arial Narrow" w:hAnsi="Arial Narrow" w:cs="Arial"/>
                <w:spacing w:val="0"/>
                <w:sz w:val="16"/>
                <w:szCs w:val="16"/>
                <w:lang w:eastAsia="es-CO"/>
              </w:rPr>
              <w:t>800063823</w:t>
            </w:r>
          </w:p>
        </w:tc>
        <w:tc>
          <w:tcPr>
            <w:tcW w:w="2400" w:type="dxa"/>
            <w:tcBorders>
              <w:top w:val="nil"/>
              <w:left w:val="nil"/>
              <w:bottom w:val="single" w:sz="4" w:space="0" w:color="auto"/>
              <w:right w:val="single" w:sz="4" w:space="0" w:color="auto"/>
            </w:tcBorders>
            <w:shd w:val="clear" w:color="000000" w:fill="F2F2F2"/>
            <w:vAlign w:val="center"/>
            <w:hideMark/>
          </w:tcPr>
          <w:p w14:paraId="08AFFA6B" w14:textId="77777777" w:rsidR="00EC4A1C" w:rsidRPr="00D16BC5" w:rsidRDefault="00EC4A1C" w:rsidP="00D22441">
            <w:pPr>
              <w:jc w:val="left"/>
              <w:rPr>
                <w:rFonts w:ascii="Arial Narrow" w:hAnsi="Arial Narrow" w:cs="Arial"/>
                <w:spacing w:val="0"/>
                <w:sz w:val="16"/>
                <w:szCs w:val="16"/>
                <w:lang w:eastAsia="es-CO"/>
              </w:rPr>
            </w:pPr>
            <w:r w:rsidRPr="00D16BC5">
              <w:rPr>
                <w:rFonts w:ascii="Arial Narrow" w:hAnsi="Arial Narrow" w:cs="Arial"/>
                <w:spacing w:val="0"/>
                <w:sz w:val="16"/>
                <w:szCs w:val="16"/>
                <w:lang w:eastAsia="es-CO"/>
              </w:rPr>
              <w:t>EMPRESAS PÚBLICAS DEL QUINDIO S.A.   E.S.P.</w:t>
            </w:r>
          </w:p>
        </w:tc>
        <w:tc>
          <w:tcPr>
            <w:tcW w:w="1502" w:type="dxa"/>
            <w:tcBorders>
              <w:top w:val="nil"/>
              <w:left w:val="nil"/>
              <w:bottom w:val="single" w:sz="4" w:space="0" w:color="auto"/>
              <w:right w:val="single" w:sz="4" w:space="0" w:color="auto"/>
            </w:tcBorders>
            <w:shd w:val="clear" w:color="000000" w:fill="F2F2F2"/>
            <w:noWrap/>
            <w:vAlign w:val="center"/>
            <w:hideMark/>
          </w:tcPr>
          <w:p w14:paraId="6226A101" w14:textId="77777777" w:rsidR="00EC4A1C" w:rsidRPr="00D16BC5" w:rsidRDefault="00EC4A1C" w:rsidP="00D22441">
            <w:pPr>
              <w:jc w:val="right"/>
              <w:rPr>
                <w:rFonts w:ascii="Arial Narrow" w:hAnsi="Arial Narrow" w:cs="Arial"/>
                <w:spacing w:val="0"/>
                <w:sz w:val="16"/>
                <w:szCs w:val="16"/>
                <w:lang w:eastAsia="es-CO"/>
              </w:rPr>
            </w:pPr>
            <w:r w:rsidRPr="00D16BC5">
              <w:rPr>
                <w:rFonts w:ascii="Arial Narrow" w:hAnsi="Arial Narrow" w:cs="Arial"/>
                <w:spacing w:val="0"/>
                <w:sz w:val="16"/>
                <w:szCs w:val="16"/>
                <w:lang w:eastAsia="es-CO"/>
              </w:rPr>
              <w:t>$ 73.817.739</w:t>
            </w:r>
          </w:p>
        </w:tc>
        <w:tc>
          <w:tcPr>
            <w:tcW w:w="1413" w:type="dxa"/>
            <w:tcBorders>
              <w:top w:val="nil"/>
              <w:left w:val="nil"/>
              <w:bottom w:val="single" w:sz="4" w:space="0" w:color="auto"/>
              <w:right w:val="single" w:sz="4" w:space="0" w:color="auto"/>
            </w:tcBorders>
            <w:shd w:val="clear" w:color="000000" w:fill="F2F2F2"/>
            <w:noWrap/>
            <w:vAlign w:val="center"/>
            <w:hideMark/>
          </w:tcPr>
          <w:p w14:paraId="7EFB7DCC" w14:textId="77777777" w:rsidR="00EC4A1C" w:rsidRPr="00D16BC5" w:rsidRDefault="00EC4A1C" w:rsidP="00D22441">
            <w:pPr>
              <w:jc w:val="right"/>
              <w:rPr>
                <w:rFonts w:ascii="Arial Narrow" w:hAnsi="Arial Narrow" w:cs="Arial"/>
                <w:spacing w:val="0"/>
                <w:sz w:val="16"/>
                <w:szCs w:val="16"/>
                <w:lang w:eastAsia="es-CO"/>
              </w:rPr>
            </w:pPr>
            <w:r w:rsidRPr="00D16BC5">
              <w:rPr>
                <w:rFonts w:ascii="Arial Narrow" w:hAnsi="Arial Narrow" w:cs="Arial"/>
                <w:spacing w:val="0"/>
                <w:sz w:val="16"/>
                <w:szCs w:val="16"/>
                <w:lang w:eastAsia="es-CO"/>
              </w:rPr>
              <w:t>$ 11.822.994</w:t>
            </w:r>
          </w:p>
        </w:tc>
        <w:tc>
          <w:tcPr>
            <w:tcW w:w="1621" w:type="dxa"/>
            <w:tcBorders>
              <w:top w:val="nil"/>
              <w:left w:val="nil"/>
              <w:bottom w:val="single" w:sz="4" w:space="0" w:color="auto"/>
              <w:right w:val="single" w:sz="4" w:space="0" w:color="auto"/>
            </w:tcBorders>
            <w:shd w:val="clear" w:color="000000" w:fill="F2F2F2"/>
            <w:noWrap/>
            <w:vAlign w:val="center"/>
            <w:hideMark/>
          </w:tcPr>
          <w:p w14:paraId="11160488" w14:textId="77777777" w:rsidR="00EC4A1C" w:rsidRPr="00D16BC5" w:rsidRDefault="00EC4A1C" w:rsidP="00D22441">
            <w:pPr>
              <w:jc w:val="right"/>
              <w:rPr>
                <w:rFonts w:ascii="Arial Narrow" w:hAnsi="Arial Narrow" w:cs="Arial"/>
                <w:spacing w:val="0"/>
                <w:sz w:val="16"/>
                <w:szCs w:val="16"/>
                <w:lang w:eastAsia="es-CO"/>
              </w:rPr>
            </w:pPr>
            <w:r w:rsidRPr="00D16BC5">
              <w:rPr>
                <w:rFonts w:ascii="Arial Narrow" w:hAnsi="Arial Narrow" w:cs="Arial"/>
                <w:spacing w:val="0"/>
                <w:sz w:val="16"/>
                <w:szCs w:val="16"/>
                <w:lang w:eastAsia="es-CO"/>
              </w:rPr>
              <w:t>$ 85.640.733</w:t>
            </w:r>
          </w:p>
        </w:tc>
        <w:tc>
          <w:tcPr>
            <w:tcW w:w="1324" w:type="dxa"/>
            <w:tcBorders>
              <w:top w:val="nil"/>
              <w:left w:val="nil"/>
              <w:bottom w:val="single" w:sz="4" w:space="0" w:color="auto"/>
              <w:right w:val="single" w:sz="4" w:space="0" w:color="auto"/>
            </w:tcBorders>
            <w:shd w:val="clear" w:color="000000" w:fill="F2F2F2"/>
            <w:noWrap/>
            <w:vAlign w:val="center"/>
            <w:hideMark/>
          </w:tcPr>
          <w:p w14:paraId="14B88DFB" w14:textId="77777777" w:rsidR="00EC4A1C" w:rsidRPr="00D16BC5" w:rsidRDefault="00EC4A1C" w:rsidP="00D22441">
            <w:pPr>
              <w:jc w:val="right"/>
              <w:rPr>
                <w:rFonts w:ascii="Arial Narrow" w:hAnsi="Arial Narrow" w:cs="Arial"/>
                <w:spacing w:val="0"/>
                <w:sz w:val="16"/>
                <w:szCs w:val="16"/>
                <w:lang w:eastAsia="es-CO"/>
              </w:rPr>
            </w:pPr>
            <w:r w:rsidRPr="00D16BC5">
              <w:rPr>
                <w:rFonts w:ascii="Arial Narrow" w:hAnsi="Arial Narrow" w:cs="Arial"/>
                <w:spacing w:val="0"/>
                <w:sz w:val="16"/>
                <w:szCs w:val="16"/>
                <w:lang w:eastAsia="es-CO"/>
              </w:rPr>
              <w:t>$ 856.407</w:t>
            </w:r>
          </w:p>
        </w:tc>
        <w:tc>
          <w:tcPr>
            <w:tcW w:w="1029" w:type="dxa"/>
            <w:tcBorders>
              <w:top w:val="nil"/>
              <w:left w:val="nil"/>
              <w:bottom w:val="single" w:sz="4" w:space="0" w:color="auto"/>
              <w:right w:val="single" w:sz="4" w:space="0" w:color="auto"/>
            </w:tcBorders>
            <w:shd w:val="clear" w:color="000000" w:fill="F2F2F2"/>
            <w:noWrap/>
            <w:vAlign w:val="center"/>
            <w:hideMark/>
          </w:tcPr>
          <w:p w14:paraId="072B8EFC" w14:textId="77777777" w:rsidR="00EC4A1C" w:rsidRPr="00D16BC5" w:rsidRDefault="00EC4A1C" w:rsidP="00D22441">
            <w:pPr>
              <w:jc w:val="right"/>
              <w:rPr>
                <w:rFonts w:ascii="Arial Narrow" w:hAnsi="Arial Narrow" w:cs="Arial"/>
                <w:spacing w:val="0"/>
                <w:sz w:val="16"/>
                <w:szCs w:val="16"/>
                <w:lang w:eastAsia="es-CO"/>
              </w:rPr>
            </w:pPr>
            <w:r w:rsidRPr="00D16BC5">
              <w:rPr>
                <w:rFonts w:ascii="Arial Narrow" w:hAnsi="Arial Narrow" w:cs="Arial"/>
                <w:spacing w:val="0"/>
                <w:sz w:val="16"/>
                <w:szCs w:val="16"/>
                <w:lang w:eastAsia="es-CO"/>
              </w:rPr>
              <w:t>$ 36</w:t>
            </w:r>
          </w:p>
        </w:tc>
        <w:tc>
          <w:tcPr>
            <w:tcW w:w="2036" w:type="dxa"/>
            <w:tcBorders>
              <w:top w:val="nil"/>
              <w:left w:val="nil"/>
              <w:bottom w:val="single" w:sz="4" w:space="0" w:color="auto"/>
              <w:right w:val="single" w:sz="4" w:space="0" w:color="auto"/>
            </w:tcBorders>
            <w:shd w:val="clear" w:color="000000" w:fill="F2F2F2"/>
            <w:noWrap/>
            <w:vAlign w:val="center"/>
            <w:hideMark/>
          </w:tcPr>
          <w:p w14:paraId="2D1900E3" w14:textId="77777777" w:rsidR="00EC4A1C" w:rsidRPr="00D16BC5" w:rsidRDefault="00EC4A1C" w:rsidP="00D22441">
            <w:pPr>
              <w:jc w:val="right"/>
              <w:rPr>
                <w:rFonts w:ascii="Arial Narrow" w:hAnsi="Arial Narrow" w:cs="Arial"/>
                <w:spacing w:val="0"/>
                <w:sz w:val="16"/>
                <w:szCs w:val="16"/>
                <w:lang w:eastAsia="es-CO"/>
              </w:rPr>
            </w:pPr>
            <w:r w:rsidRPr="00D16BC5">
              <w:rPr>
                <w:rFonts w:ascii="Arial Narrow" w:hAnsi="Arial Narrow" w:cs="Arial"/>
                <w:spacing w:val="0"/>
                <w:sz w:val="16"/>
                <w:szCs w:val="16"/>
                <w:lang w:eastAsia="es-CO"/>
              </w:rPr>
              <w:t>$ 856.443</w:t>
            </w:r>
          </w:p>
        </w:tc>
      </w:tr>
      <w:tr w:rsidR="00EC4A1C" w:rsidRPr="00D16BC5" w14:paraId="26FF7D90" w14:textId="77777777" w:rsidTr="00EC4A1C">
        <w:trPr>
          <w:trHeight w:val="675"/>
        </w:trPr>
        <w:tc>
          <w:tcPr>
            <w:tcW w:w="380" w:type="dxa"/>
            <w:tcBorders>
              <w:top w:val="nil"/>
              <w:left w:val="single" w:sz="4" w:space="0" w:color="auto"/>
              <w:bottom w:val="single" w:sz="4" w:space="0" w:color="auto"/>
              <w:right w:val="single" w:sz="4" w:space="0" w:color="auto"/>
            </w:tcBorders>
            <w:shd w:val="clear" w:color="000000" w:fill="F2F2F2"/>
            <w:noWrap/>
            <w:vAlign w:val="center"/>
            <w:hideMark/>
          </w:tcPr>
          <w:p w14:paraId="377E6BDF" w14:textId="77777777" w:rsidR="00EC4A1C" w:rsidRPr="00D16BC5" w:rsidRDefault="00EC4A1C" w:rsidP="00D22441">
            <w:pPr>
              <w:jc w:val="center"/>
              <w:rPr>
                <w:rFonts w:ascii="Arial Narrow" w:hAnsi="Arial Narrow" w:cs="Arial"/>
                <w:spacing w:val="0"/>
                <w:sz w:val="16"/>
                <w:szCs w:val="16"/>
                <w:lang w:eastAsia="es-CO"/>
              </w:rPr>
            </w:pPr>
            <w:r w:rsidRPr="00D16BC5">
              <w:rPr>
                <w:rFonts w:ascii="Arial Narrow" w:hAnsi="Arial Narrow" w:cs="Arial"/>
                <w:spacing w:val="0"/>
                <w:sz w:val="16"/>
                <w:szCs w:val="16"/>
                <w:lang w:eastAsia="es-CO"/>
              </w:rPr>
              <w:t>2</w:t>
            </w:r>
          </w:p>
        </w:tc>
        <w:tc>
          <w:tcPr>
            <w:tcW w:w="585" w:type="dxa"/>
            <w:tcBorders>
              <w:top w:val="nil"/>
              <w:left w:val="nil"/>
              <w:bottom w:val="single" w:sz="4" w:space="0" w:color="auto"/>
              <w:right w:val="single" w:sz="4" w:space="0" w:color="auto"/>
            </w:tcBorders>
            <w:shd w:val="clear" w:color="000000" w:fill="F2F2F2"/>
            <w:noWrap/>
            <w:vAlign w:val="center"/>
            <w:hideMark/>
          </w:tcPr>
          <w:p w14:paraId="07FD10D3" w14:textId="77777777" w:rsidR="00EC4A1C" w:rsidRPr="00D16BC5" w:rsidRDefault="00EC4A1C" w:rsidP="00D22441">
            <w:pPr>
              <w:jc w:val="right"/>
              <w:rPr>
                <w:rFonts w:ascii="Arial Narrow" w:hAnsi="Arial Narrow" w:cs="Arial"/>
                <w:spacing w:val="0"/>
                <w:sz w:val="16"/>
                <w:szCs w:val="16"/>
                <w:lang w:eastAsia="es-CO"/>
              </w:rPr>
            </w:pPr>
            <w:r w:rsidRPr="00D16BC5">
              <w:rPr>
                <w:rFonts w:ascii="Arial Narrow" w:hAnsi="Arial Narrow" w:cs="Arial"/>
                <w:spacing w:val="0"/>
                <w:sz w:val="16"/>
                <w:szCs w:val="16"/>
                <w:lang w:eastAsia="es-CO"/>
              </w:rPr>
              <w:t>622</w:t>
            </w:r>
          </w:p>
        </w:tc>
        <w:tc>
          <w:tcPr>
            <w:tcW w:w="941" w:type="dxa"/>
            <w:tcBorders>
              <w:top w:val="nil"/>
              <w:left w:val="nil"/>
              <w:bottom w:val="single" w:sz="4" w:space="0" w:color="auto"/>
              <w:right w:val="single" w:sz="4" w:space="0" w:color="auto"/>
            </w:tcBorders>
            <w:shd w:val="clear" w:color="000000" w:fill="F2F2F2"/>
            <w:noWrap/>
            <w:vAlign w:val="center"/>
            <w:hideMark/>
          </w:tcPr>
          <w:p w14:paraId="127B14B8" w14:textId="77777777" w:rsidR="00EC4A1C" w:rsidRPr="00D16BC5" w:rsidRDefault="00EC4A1C" w:rsidP="00D22441">
            <w:pPr>
              <w:jc w:val="right"/>
              <w:rPr>
                <w:rFonts w:ascii="Arial Narrow" w:hAnsi="Arial Narrow" w:cs="Arial"/>
                <w:spacing w:val="0"/>
                <w:sz w:val="16"/>
                <w:szCs w:val="16"/>
                <w:lang w:eastAsia="es-CO"/>
              </w:rPr>
            </w:pPr>
            <w:r w:rsidRPr="00D16BC5">
              <w:rPr>
                <w:rFonts w:ascii="Arial Narrow" w:hAnsi="Arial Narrow" w:cs="Arial"/>
                <w:spacing w:val="0"/>
                <w:sz w:val="16"/>
                <w:szCs w:val="16"/>
                <w:lang w:eastAsia="es-CO"/>
              </w:rPr>
              <w:t>800163392</w:t>
            </w:r>
          </w:p>
        </w:tc>
        <w:tc>
          <w:tcPr>
            <w:tcW w:w="2400" w:type="dxa"/>
            <w:tcBorders>
              <w:top w:val="nil"/>
              <w:left w:val="nil"/>
              <w:bottom w:val="single" w:sz="4" w:space="0" w:color="auto"/>
              <w:right w:val="single" w:sz="4" w:space="0" w:color="auto"/>
            </w:tcBorders>
            <w:shd w:val="clear" w:color="000000" w:fill="F2F2F2"/>
            <w:vAlign w:val="center"/>
            <w:hideMark/>
          </w:tcPr>
          <w:p w14:paraId="16D694D0" w14:textId="77777777" w:rsidR="00EC4A1C" w:rsidRPr="00D16BC5" w:rsidRDefault="00EC4A1C" w:rsidP="00D22441">
            <w:pPr>
              <w:jc w:val="left"/>
              <w:rPr>
                <w:rFonts w:ascii="Arial Narrow" w:hAnsi="Arial Narrow" w:cs="Arial"/>
                <w:spacing w:val="0"/>
                <w:sz w:val="16"/>
                <w:szCs w:val="16"/>
                <w:lang w:eastAsia="es-CO"/>
              </w:rPr>
            </w:pPr>
            <w:r w:rsidRPr="00D16BC5">
              <w:rPr>
                <w:rFonts w:ascii="Arial Narrow" w:hAnsi="Arial Narrow" w:cs="Arial"/>
                <w:spacing w:val="0"/>
                <w:sz w:val="16"/>
                <w:szCs w:val="16"/>
                <w:lang w:eastAsia="es-CO"/>
              </w:rPr>
              <w:t>EMPRESA COMUNITARIA DE ACUEDUCTO, ALCANTARILLADO Y ASEO DE SARAVENA</w:t>
            </w:r>
          </w:p>
        </w:tc>
        <w:tc>
          <w:tcPr>
            <w:tcW w:w="1502" w:type="dxa"/>
            <w:tcBorders>
              <w:top w:val="nil"/>
              <w:left w:val="nil"/>
              <w:bottom w:val="single" w:sz="4" w:space="0" w:color="auto"/>
              <w:right w:val="single" w:sz="4" w:space="0" w:color="auto"/>
            </w:tcBorders>
            <w:shd w:val="clear" w:color="000000" w:fill="F2F2F2"/>
            <w:noWrap/>
            <w:vAlign w:val="center"/>
            <w:hideMark/>
          </w:tcPr>
          <w:p w14:paraId="4117AB5B" w14:textId="77777777" w:rsidR="00EC4A1C" w:rsidRPr="00D16BC5" w:rsidRDefault="00EC4A1C" w:rsidP="00D22441">
            <w:pPr>
              <w:jc w:val="right"/>
              <w:rPr>
                <w:rFonts w:ascii="Arial Narrow" w:hAnsi="Arial Narrow" w:cs="Arial"/>
                <w:spacing w:val="0"/>
                <w:sz w:val="16"/>
                <w:szCs w:val="16"/>
                <w:lang w:eastAsia="es-CO"/>
              </w:rPr>
            </w:pPr>
            <w:r w:rsidRPr="00D16BC5">
              <w:rPr>
                <w:rFonts w:ascii="Arial Narrow" w:hAnsi="Arial Narrow" w:cs="Arial"/>
                <w:spacing w:val="0"/>
                <w:sz w:val="16"/>
                <w:szCs w:val="16"/>
                <w:lang w:eastAsia="es-CO"/>
              </w:rPr>
              <w:t>$ 151.808.000</w:t>
            </w:r>
          </w:p>
        </w:tc>
        <w:tc>
          <w:tcPr>
            <w:tcW w:w="1413" w:type="dxa"/>
            <w:tcBorders>
              <w:top w:val="nil"/>
              <w:left w:val="nil"/>
              <w:bottom w:val="single" w:sz="4" w:space="0" w:color="auto"/>
              <w:right w:val="single" w:sz="4" w:space="0" w:color="auto"/>
            </w:tcBorders>
            <w:shd w:val="clear" w:color="000000" w:fill="F2F2F2"/>
            <w:noWrap/>
            <w:vAlign w:val="center"/>
            <w:hideMark/>
          </w:tcPr>
          <w:p w14:paraId="441599F3" w14:textId="77777777" w:rsidR="00EC4A1C" w:rsidRPr="00D16BC5" w:rsidRDefault="00EC4A1C" w:rsidP="00D22441">
            <w:pPr>
              <w:jc w:val="right"/>
              <w:rPr>
                <w:rFonts w:ascii="Arial Narrow" w:hAnsi="Arial Narrow" w:cs="Arial"/>
                <w:spacing w:val="0"/>
                <w:sz w:val="16"/>
                <w:szCs w:val="16"/>
                <w:lang w:eastAsia="es-CO"/>
              </w:rPr>
            </w:pPr>
            <w:r w:rsidRPr="00D16BC5">
              <w:rPr>
                <w:rFonts w:ascii="Arial Narrow" w:hAnsi="Arial Narrow" w:cs="Arial"/>
                <w:spacing w:val="0"/>
                <w:sz w:val="16"/>
                <w:szCs w:val="16"/>
                <w:lang w:eastAsia="es-CO"/>
              </w:rPr>
              <w:t>$ 4.552.899</w:t>
            </w:r>
          </w:p>
        </w:tc>
        <w:tc>
          <w:tcPr>
            <w:tcW w:w="1621" w:type="dxa"/>
            <w:tcBorders>
              <w:top w:val="nil"/>
              <w:left w:val="nil"/>
              <w:bottom w:val="single" w:sz="4" w:space="0" w:color="auto"/>
              <w:right w:val="single" w:sz="4" w:space="0" w:color="auto"/>
            </w:tcBorders>
            <w:shd w:val="clear" w:color="000000" w:fill="F2F2F2"/>
            <w:noWrap/>
            <w:vAlign w:val="center"/>
            <w:hideMark/>
          </w:tcPr>
          <w:p w14:paraId="0BBFDB98" w14:textId="77777777" w:rsidR="00EC4A1C" w:rsidRPr="00D16BC5" w:rsidRDefault="00EC4A1C" w:rsidP="00D22441">
            <w:pPr>
              <w:jc w:val="right"/>
              <w:rPr>
                <w:rFonts w:ascii="Arial Narrow" w:hAnsi="Arial Narrow" w:cs="Arial"/>
                <w:spacing w:val="0"/>
                <w:sz w:val="16"/>
                <w:szCs w:val="16"/>
                <w:lang w:eastAsia="es-CO"/>
              </w:rPr>
            </w:pPr>
            <w:r w:rsidRPr="00D16BC5">
              <w:rPr>
                <w:rFonts w:ascii="Arial Narrow" w:hAnsi="Arial Narrow" w:cs="Arial"/>
                <w:spacing w:val="0"/>
                <w:sz w:val="16"/>
                <w:szCs w:val="16"/>
                <w:lang w:eastAsia="es-CO"/>
              </w:rPr>
              <w:t>$ 156.360.899</w:t>
            </w:r>
          </w:p>
        </w:tc>
        <w:tc>
          <w:tcPr>
            <w:tcW w:w="1324" w:type="dxa"/>
            <w:tcBorders>
              <w:top w:val="nil"/>
              <w:left w:val="nil"/>
              <w:bottom w:val="single" w:sz="4" w:space="0" w:color="auto"/>
              <w:right w:val="single" w:sz="4" w:space="0" w:color="auto"/>
            </w:tcBorders>
            <w:shd w:val="clear" w:color="000000" w:fill="F2F2F2"/>
            <w:noWrap/>
            <w:vAlign w:val="center"/>
            <w:hideMark/>
          </w:tcPr>
          <w:p w14:paraId="5A58014D" w14:textId="77777777" w:rsidR="00EC4A1C" w:rsidRPr="00D16BC5" w:rsidRDefault="00EC4A1C" w:rsidP="00D22441">
            <w:pPr>
              <w:jc w:val="right"/>
              <w:rPr>
                <w:rFonts w:ascii="Arial Narrow" w:hAnsi="Arial Narrow" w:cs="Arial"/>
                <w:spacing w:val="0"/>
                <w:sz w:val="16"/>
                <w:szCs w:val="16"/>
                <w:lang w:eastAsia="es-CO"/>
              </w:rPr>
            </w:pPr>
            <w:r w:rsidRPr="00D16BC5">
              <w:rPr>
                <w:rFonts w:ascii="Arial Narrow" w:hAnsi="Arial Narrow" w:cs="Arial"/>
                <w:spacing w:val="0"/>
                <w:sz w:val="16"/>
                <w:szCs w:val="16"/>
                <w:lang w:eastAsia="es-CO"/>
              </w:rPr>
              <w:t>$ 1.563.609</w:t>
            </w:r>
          </w:p>
        </w:tc>
        <w:tc>
          <w:tcPr>
            <w:tcW w:w="1029" w:type="dxa"/>
            <w:tcBorders>
              <w:top w:val="nil"/>
              <w:left w:val="nil"/>
              <w:bottom w:val="single" w:sz="4" w:space="0" w:color="auto"/>
              <w:right w:val="single" w:sz="4" w:space="0" w:color="auto"/>
            </w:tcBorders>
            <w:shd w:val="clear" w:color="000000" w:fill="F2F2F2"/>
            <w:noWrap/>
            <w:vAlign w:val="center"/>
            <w:hideMark/>
          </w:tcPr>
          <w:p w14:paraId="7D36D1D1" w14:textId="77777777" w:rsidR="00EC4A1C" w:rsidRPr="00D16BC5" w:rsidRDefault="00EC4A1C" w:rsidP="00D22441">
            <w:pPr>
              <w:jc w:val="right"/>
              <w:rPr>
                <w:rFonts w:ascii="Arial Narrow" w:hAnsi="Arial Narrow" w:cs="Arial"/>
                <w:spacing w:val="0"/>
                <w:sz w:val="16"/>
                <w:szCs w:val="16"/>
                <w:lang w:eastAsia="es-CO"/>
              </w:rPr>
            </w:pPr>
            <w:r w:rsidRPr="00D16BC5">
              <w:rPr>
                <w:rFonts w:ascii="Arial Narrow" w:hAnsi="Arial Narrow" w:cs="Arial"/>
                <w:spacing w:val="0"/>
                <w:sz w:val="16"/>
                <w:szCs w:val="16"/>
                <w:lang w:eastAsia="es-CO"/>
              </w:rPr>
              <w:t>$ 65</w:t>
            </w:r>
          </w:p>
        </w:tc>
        <w:tc>
          <w:tcPr>
            <w:tcW w:w="2036" w:type="dxa"/>
            <w:tcBorders>
              <w:top w:val="nil"/>
              <w:left w:val="nil"/>
              <w:bottom w:val="single" w:sz="4" w:space="0" w:color="auto"/>
              <w:right w:val="single" w:sz="4" w:space="0" w:color="auto"/>
            </w:tcBorders>
            <w:shd w:val="clear" w:color="000000" w:fill="F2F2F2"/>
            <w:noWrap/>
            <w:vAlign w:val="center"/>
            <w:hideMark/>
          </w:tcPr>
          <w:p w14:paraId="3B1C3FE1" w14:textId="77777777" w:rsidR="00EC4A1C" w:rsidRPr="00D16BC5" w:rsidRDefault="00EC4A1C" w:rsidP="00D22441">
            <w:pPr>
              <w:jc w:val="right"/>
              <w:rPr>
                <w:rFonts w:ascii="Arial Narrow" w:hAnsi="Arial Narrow" w:cs="Arial"/>
                <w:spacing w:val="0"/>
                <w:sz w:val="16"/>
                <w:szCs w:val="16"/>
                <w:lang w:eastAsia="es-CO"/>
              </w:rPr>
            </w:pPr>
            <w:r w:rsidRPr="00D16BC5">
              <w:rPr>
                <w:rFonts w:ascii="Arial Narrow" w:hAnsi="Arial Narrow" w:cs="Arial"/>
                <w:spacing w:val="0"/>
                <w:sz w:val="16"/>
                <w:szCs w:val="16"/>
                <w:lang w:eastAsia="es-CO"/>
              </w:rPr>
              <w:t>$ 1.563.674</w:t>
            </w:r>
          </w:p>
        </w:tc>
      </w:tr>
      <w:tr w:rsidR="00EC4A1C" w:rsidRPr="00D16BC5" w14:paraId="67428E39" w14:textId="77777777" w:rsidTr="00EC4A1C">
        <w:trPr>
          <w:trHeight w:val="450"/>
        </w:trPr>
        <w:tc>
          <w:tcPr>
            <w:tcW w:w="380" w:type="dxa"/>
            <w:tcBorders>
              <w:top w:val="nil"/>
              <w:left w:val="single" w:sz="4" w:space="0" w:color="auto"/>
              <w:bottom w:val="single" w:sz="4" w:space="0" w:color="auto"/>
              <w:right w:val="single" w:sz="4" w:space="0" w:color="auto"/>
            </w:tcBorders>
            <w:shd w:val="clear" w:color="000000" w:fill="F2F2F2"/>
            <w:noWrap/>
            <w:vAlign w:val="center"/>
            <w:hideMark/>
          </w:tcPr>
          <w:p w14:paraId="3280CB2A" w14:textId="77777777" w:rsidR="00EC4A1C" w:rsidRPr="00D16BC5" w:rsidRDefault="00EC4A1C" w:rsidP="00D22441">
            <w:pPr>
              <w:jc w:val="center"/>
              <w:rPr>
                <w:rFonts w:ascii="Arial Narrow" w:hAnsi="Arial Narrow" w:cs="Arial"/>
                <w:spacing w:val="0"/>
                <w:sz w:val="16"/>
                <w:szCs w:val="16"/>
                <w:lang w:eastAsia="es-CO"/>
              </w:rPr>
            </w:pPr>
            <w:r w:rsidRPr="00D16BC5">
              <w:rPr>
                <w:rFonts w:ascii="Arial Narrow" w:hAnsi="Arial Narrow" w:cs="Arial"/>
                <w:spacing w:val="0"/>
                <w:sz w:val="16"/>
                <w:szCs w:val="16"/>
                <w:lang w:eastAsia="es-CO"/>
              </w:rPr>
              <w:t>3</w:t>
            </w:r>
          </w:p>
        </w:tc>
        <w:tc>
          <w:tcPr>
            <w:tcW w:w="585" w:type="dxa"/>
            <w:tcBorders>
              <w:top w:val="nil"/>
              <w:left w:val="nil"/>
              <w:bottom w:val="single" w:sz="4" w:space="0" w:color="auto"/>
              <w:right w:val="single" w:sz="4" w:space="0" w:color="auto"/>
            </w:tcBorders>
            <w:shd w:val="clear" w:color="000000" w:fill="F2F2F2"/>
            <w:noWrap/>
            <w:vAlign w:val="center"/>
            <w:hideMark/>
          </w:tcPr>
          <w:p w14:paraId="11FED989" w14:textId="77777777" w:rsidR="00EC4A1C" w:rsidRPr="00D16BC5" w:rsidRDefault="00EC4A1C" w:rsidP="00D22441">
            <w:pPr>
              <w:jc w:val="right"/>
              <w:rPr>
                <w:rFonts w:ascii="Arial Narrow" w:hAnsi="Arial Narrow" w:cs="Arial"/>
                <w:spacing w:val="0"/>
                <w:sz w:val="16"/>
                <w:szCs w:val="16"/>
                <w:lang w:eastAsia="es-CO"/>
              </w:rPr>
            </w:pPr>
            <w:r w:rsidRPr="00D16BC5">
              <w:rPr>
                <w:rFonts w:ascii="Arial Narrow" w:hAnsi="Arial Narrow" w:cs="Arial"/>
                <w:spacing w:val="0"/>
                <w:sz w:val="16"/>
                <w:szCs w:val="16"/>
                <w:lang w:eastAsia="es-CO"/>
              </w:rPr>
              <w:t>569</w:t>
            </w:r>
          </w:p>
        </w:tc>
        <w:tc>
          <w:tcPr>
            <w:tcW w:w="941" w:type="dxa"/>
            <w:tcBorders>
              <w:top w:val="nil"/>
              <w:left w:val="nil"/>
              <w:bottom w:val="single" w:sz="4" w:space="0" w:color="auto"/>
              <w:right w:val="single" w:sz="4" w:space="0" w:color="auto"/>
            </w:tcBorders>
            <w:shd w:val="clear" w:color="000000" w:fill="F2F2F2"/>
            <w:noWrap/>
            <w:vAlign w:val="center"/>
            <w:hideMark/>
          </w:tcPr>
          <w:p w14:paraId="78EC16FC" w14:textId="77777777" w:rsidR="00EC4A1C" w:rsidRPr="00D16BC5" w:rsidRDefault="00EC4A1C" w:rsidP="00D22441">
            <w:pPr>
              <w:jc w:val="right"/>
              <w:rPr>
                <w:rFonts w:ascii="Arial Narrow" w:hAnsi="Arial Narrow" w:cs="Arial"/>
                <w:spacing w:val="0"/>
                <w:sz w:val="16"/>
                <w:szCs w:val="16"/>
                <w:lang w:eastAsia="es-CO"/>
              </w:rPr>
            </w:pPr>
            <w:r w:rsidRPr="00D16BC5">
              <w:rPr>
                <w:rFonts w:ascii="Arial Narrow" w:hAnsi="Arial Narrow" w:cs="Arial"/>
                <w:spacing w:val="0"/>
                <w:sz w:val="16"/>
                <w:szCs w:val="16"/>
                <w:lang w:eastAsia="es-CO"/>
              </w:rPr>
              <w:t>828000191</w:t>
            </w:r>
          </w:p>
        </w:tc>
        <w:tc>
          <w:tcPr>
            <w:tcW w:w="2400" w:type="dxa"/>
            <w:tcBorders>
              <w:top w:val="nil"/>
              <w:left w:val="nil"/>
              <w:bottom w:val="single" w:sz="4" w:space="0" w:color="auto"/>
              <w:right w:val="single" w:sz="4" w:space="0" w:color="auto"/>
            </w:tcBorders>
            <w:shd w:val="clear" w:color="000000" w:fill="F2F2F2"/>
            <w:vAlign w:val="center"/>
            <w:hideMark/>
          </w:tcPr>
          <w:p w14:paraId="143AC6EC" w14:textId="77777777" w:rsidR="00EC4A1C" w:rsidRPr="00D16BC5" w:rsidRDefault="00EC4A1C" w:rsidP="00D22441">
            <w:pPr>
              <w:jc w:val="left"/>
              <w:rPr>
                <w:rFonts w:ascii="Arial Narrow" w:hAnsi="Arial Narrow" w:cs="Arial"/>
                <w:spacing w:val="0"/>
                <w:sz w:val="16"/>
                <w:szCs w:val="16"/>
                <w:lang w:eastAsia="es-CO"/>
              </w:rPr>
            </w:pPr>
            <w:r w:rsidRPr="00D16BC5">
              <w:rPr>
                <w:rFonts w:ascii="Arial Narrow" w:hAnsi="Arial Narrow" w:cs="Arial"/>
                <w:spacing w:val="0"/>
                <w:sz w:val="16"/>
                <w:szCs w:val="16"/>
                <w:lang w:eastAsia="es-CO"/>
              </w:rPr>
              <w:t>EMPRESA MUNICIPAL DE SERVICIOS PUBLICOS DE CARTAGENA DEL CHAIRA</w:t>
            </w:r>
          </w:p>
        </w:tc>
        <w:tc>
          <w:tcPr>
            <w:tcW w:w="1502" w:type="dxa"/>
            <w:tcBorders>
              <w:top w:val="nil"/>
              <w:left w:val="nil"/>
              <w:bottom w:val="single" w:sz="4" w:space="0" w:color="auto"/>
              <w:right w:val="single" w:sz="4" w:space="0" w:color="auto"/>
            </w:tcBorders>
            <w:shd w:val="clear" w:color="000000" w:fill="F2F2F2"/>
            <w:noWrap/>
            <w:vAlign w:val="center"/>
            <w:hideMark/>
          </w:tcPr>
          <w:p w14:paraId="2DEE0B80" w14:textId="77777777" w:rsidR="00EC4A1C" w:rsidRPr="00D16BC5" w:rsidRDefault="00EC4A1C" w:rsidP="00D22441">
            <w:pPr>
              <w:jc w:val="right"/>
              <w:rPr>
                <w:rFonts w:ascii="Arial Narrow" w:hAnsi="Arial Narrow" w:cs="Arial"/>
                <w:spacing w:val="0"/>
                <w:sz w:val="16"/>
                <w:szCs w:val="16"/>
                <w:lang w:eastAsia="es-CO"/>
              </w:rPr>
            </w:pPr>
            <w:r w:rsidRPr="00D16BC5">
              <w:rPr>
                <w:rFonts w:ascii="Arial Narrow" w:hAnsi="Arial Narrow" w:cs="Arial"/>
                <w:spacing w:val="0"/>
                <w:sz w:val="16"/>
                <w:szCs w:val="16"/>
                <w:lang w:eastAsia="es-CO"/>
              </w:rPr>
              <w:t>$ 397.317.000</w:t>
            </w:r>
          </w:p>
        </w:tc>
        <w:tc>
          <w:tcPr>
            <w:tcW w:w="1413" w:type="dxa"/>
            <w:tcBorders>
              <w:top w:val="nil"/>
              <w:left w:val="nil"/>
              <w:bottom w:val="single" w:sz="4" w:space="0" w:color="auto"/>
              <w:right w:val="single" w:sz="4" w:space="0" w:color="auto"/>
            </w:tcBorders>
            <w:shd w:val="clear" w:color="000000" w:fill="F2F2F2"/>
            <w:noWrap/>
            <w:vAlign w:val="center"/>
            <w:hideMark/>
          </w:tcPr>
          <w:p w14:paraId="203BF715" w14:textId="77777777" w:rsidR="00EC4A1C" w:rsidRPr="00D16BC5" w:rsidRDefault="00EC4A1C" w:rsidP="00D22441">
            <w:pPr>
              <w:jc w:val="right"/>
              <w:rPr>
                <w:rFonts w:ascii="Arial Narrow" w:hAnsi="Arial Narrow" w:cs="Arial"/>
                <w:spacing w:val="0"/>
                <w:sz w:val="16"/>
                <w:szCs w:val="16"/>
                <w:lang w:eastAsia="es-CO"/>
              </w:rPr>
            </w:pPr>
            <w:r w:rsidRPr="00D16BC5">
              <w:rPr>
                <w:rFonts w:ascii="Arial Narrow" w:hAnsi="Arial Narrow" w:cs="Arial"/>
                <w:spacing w:val="0"/>
                <w:sz w:val="16"/>
                <w:szCs w:val="16"/>
                <w:lang w:eastAsia="es-CO"/>
              </w:rPr>
              <w:t>$ 0</w:t>
            </w:r>
          </w:p>
        </w:tc>
        <w:tc>
          <w:tcPr>
            <w:tcW w:w="1621" w:type="dxa"/>
            <w:tcBorders>
              <w:top w:val="nil"/>
              <w:left w:val="nil"/>
              <w:bottom w:val="single" w:sz="4" w:space="0" w:color="auto"/>
              <w:right w:val="single" w:sz="4" w:space="0" w:color="auto"/>
            </w:tcBorders>
            <w:shd w:val="clear" w:color="000000" w:fill="F2F2F2"/>
            <w:noWrap/>
            <w:vAlign w:val="center"/>
            <w:hideMark/>
          </w:tcPr>
          <w:p w14:paraId="3782A258" w14:textId="77777777" w:rsidR="00EC4A1C" w:rsidRPr="00D16BC5" w:rsidRDefault="00EC4A1C" w:rsidP="00D22441">
            <w:pPr>
              <w:jc w:val="right"/>
              <w:rPr>
                <w:rFonts w:ascii="Arial Narrow" w:hAnsi="Arial Narrow" w:cs="Arial"/>
                <w:spacing w:val="0"/>
                <w:sz w:val="16"/>
                <w:szCs w:val="16"/>
                <w:lang w:eastAsia="es-CO"/>
              </w:rPr>
            </w:pPr>
            <w:r w:rsidRPr="00D16BC5">
              <w:rPr>
                <w:rFonts w:ascii="Arial Narrow" w:hAnsi="Arial Narrow" w:cs="Arial"/>
                <w:spacing w:val="0"/>
                <w:sz w:val="16"/>
                <w:szCs w:val="16"/>
                <w:lang w:eastAsia="es-CO"/>
              </w:rPr>
              <w:t>$ 397.317.000</w:t>
            </w:r>
          </w:p>
        </w:tc>
        <w:tc>
          <w:tcPr>
            <w:tcW w:w="1324" w:type="dxa"/>
            <w:tcBorders>
              <w:top w:val="nil"/>
              <w:left w:val="nil"/>
              <w:bottom w:val="single" w:sz="4" w:space="0" w:color="auto"/>
              <w:right w:val="single" w:sz="4" w:space="0" w:color="auto"/>
            </w:tcBorders>
            <w:shd w:val="clear" w:color="000000" w:fill="F2F2F2"/>
            <w:noWrap/>
            <w:vAlign w:val="center"/>
            <w:hideMark/>
          </w:tcPr>
          <w:p w14:paraId="299AC8E9" w14:textId="77777777" w:rsidR="00EC4A1C" w:rsidRPr="00D16BC5" w:rsidRDefault="00EC4A1C" w:rsidP="00D22441">
            <w:pPr>
              <w:jc w:val="right"/>
              <w:rPr>
                <w:rFonts w:ascii="Arial Narrow" w:hAnsi="Arial Narrow" w:cs="Arial"/>
                <w:spacing w:val="0"/>
                <w:sz w:val="16"/>
                <w:szCs w:val="16"/>
                <w:lang w:eastAsia="es-CO"/>
              </w:rPr>
            </w:pPr>
            <w:r w:rsidRPr="00D16BC5">
              <w:rPr>
                <w:rFonts w:ascii="Arial Narrow" w:hAnsi="Arial Narrow" w:cs="Arial"/>
                <w:spacing w:val="0"/>
                <w:sz w:val="16"/>
                <w:szCs w:val="16"/>
                <w:lang w:eastAsia="es-CO"/>
              </w:rPr>
              <w:t>$ 3.973.170</w:t>
            </w:r>
          </w:p>
        </w:tc>
        <w:tc>
          <w:tcPr>
            <w:tcW w:w="1029" w:type="dxa"/>
            <w:tcBorders>
              <w:top w:val="nil"/>
              <w:left w:val="nil"/>
              <w:bottom w:val="single" w:sz="4" w:space="0" w:color="auto"/>
              <w:right w:val="single" w:sz="4" w:space="0" w:color="auto"/>
            </w:tcBorders>
            <w:shd w:val="clear" w:color="000000" w:fill="F2F2F2"/>
            <w:noWrap/>
            <w:vAlign w:val="center"/>
            <w:hideMark/>
          </w:tcPr>
          <w:p w14:paraId="321A5C4D" w14:textId="77777777" w:rsidR="00EC4A1C" w:rsidRPr="00D16BC5" w:rsidRDefault="00EC4A1C" w:rsidP="00D22441">
            <w:pPr>
              <w:jc w:val="right"/>
              <w:rPr>
                <w:rFonts w:ascii="Arial Narrow" w:hAnsi="Arial Narrow" w:cs="Arial"/>
                <w:spacing w:val="0"/>
                <w:sz w:val="16"/>
                <w:szCs w:val="16"/>
                <w:lang w:eastAsia="es-CO"/>
              </w:rPr>
            </w:pPr>
            <w:r w:rsidRPr="00D16BC5">
              <w:rPr>
                <w:rFonts w:ascii="Arial Narrow" w:hAnsi="Arial Narrow" w:cs="Arial"/>
                <w:spacing w:val="0"/>
                <w:sz w:val="16"/>
                <w:szCs w:val="16"/>
                <w:lang w:eastAsia="es-CO"/>
              </w:rPr>
              <w:t>$ 165</w:t>
            </w:r>
          </w:p>
        </w:tc>
        <w:tc>
          <w:tcPr>
            <w:tcW w:w="2036" w:type="dxa"/>
            <w:tcBorders>
              <w:top w:val="nil"/>
              <w:left w:val="nil"/>
              <w:bottom w:val="single" w:sz="4" w:space="0" w:color="auto"/>
              <w:right w:val="single" w:sz="4" w:space="0" w:color="auto"/>
            </w:tcBorders>
            <w:shd w:val="clear" w:color="000000" w:fill="F2F2F2"/>
            <w:noWrap/>
            <w:vAlign w:val="center"/>
            <w:hideMark/>
          </w:tcPr>
          <w:p w14:paraId="3853BEA7" w14:textId="77777777" w:rsidR="00EC4A1C" w:rsidRPr="00D16BC5" w:rsidRDefault="00EC4A1C" w:rsidP="00D22441">
            <w:pPr>
              <w:jc w:val="right"/>
              <w:rPr>
                <w:rFonts w:ascii="Arial Narrow" w:hAnsi="Arial Narrow" w:cs="Arial"/>
                <w:spacing w:val="0"/>
                <w:sz w:val="16"/>
                <w:szCs w:val="16"/>
                <w:lang w:eastAsia="es-CO"/>
              </w:rPr>
            </w:pPr>
            <w:r w:rsidRPr="00D16BC5">
              <w:rPr>
                <w:rFonts w:ascii="Arial Narrow" w:hAnsi="Arial Narrow" w:cs="Arial"/>
                <w:spacing w:val="0"/>
                <w:sz w:val="16"/>
                <w:szCs w:val="16"/>
                <w:lang w:eastAsia="es-CO"/>
              </w:rPr>
              <w:t>$ 3.973.335</w:t>
            </w:r>
          </w:p>
        </w:tc>
      </w:tr>
      <w:tr w:rsidR="00EC4A1C" w:rsidRPr="00D16BC5" w14:paraId="4D4E3D7C" w14:textId="77777777" w:rsidTr="00D16BC5">
        <w:trPr>
          <w:trHeight w:val="367"/>
        </w:trPr>
        <w:tc>
          <w:tcPr>
            <w:tcW w:w="380" w:type="dxa"/>
            <w:tcBorders>
              <w:top w:val="nil"/>
              <w:left w:val="single" w:sz="4" w:space="0" w:color="auto"/>
              <w:bottom w:val="single" w:sz="4" w:space="0" w:color="auto"/>
              <w:right w:val="single" w:sz="4" w:space="0" w:color="auto"/>
            </w:tcBorders>
            <w:shd w:val="clear" w:color="000000" w:fill="F2F2F2"/>
            <w:noWrap/>
            <w:vAlign w:val="center"/>
            <w:hideMark/>
          </w:tcPr>
          <w:p w14:paraId="7F570C3A" w14:textId="77777777" w:rsidR="00EC4A1C" w:rsidRPr="00D16BC5" w:rsidRDefault="00EC4A1C" w:rsidP="00D22441">
            <w:pPr>
              <w:jc w:val="center"/>
              <w:rPr>
                <w:rFonts w:ascii="Arial Narrow" w:hAnsi="Arial Narrow" w:cs="Arial"/>
                <w:spacing w:val="0"/>
                <w:sz w:val="16"/>
                <w:szCs w:val="16"/>
                <w:lang w:eastAsia="es-CO"/>
              </w:rPr>
            </w:pPr>
            <w:r w:rsidRPr="00D16BC5">
              <w:rPr>
                <w:rFonts w:ascii="Arial Narrow" w:hAnsi="Arial Narrow" w:cs="Arial"/>
                <w:spacing w:val="0"/>
                <w:sz w:val="16"/>
                <w:szCs w:val="16"/>
                <w:lang w:eastAsia="es-CO"/>
              </w:rPr>
              <w:t>4</w:t>
            </w:r>
          </w:p>
        </w:tc>
        <w:tc>
          <w:tcPr>
            <w:tcW w:w="585" w:type="dxa"/>
            <w:tcBorders>
              <w:top w:val="nil"/>
              <w:left w:val="nil"/>
              <w:bottom w:val="single" w:sz="4" w:space="0" w:color="auto"/>
              <w:right w:val="single" w:sz="4" w:space="0" w:color="auto"/>
            </w:tcBorders>
            <w:shd w:val="clear" w:color="000000" w:fill="F2F2F2"/>
            <w:noWrap/>
            <w:vAlign w:val="center"/>
            <w:hideMark/>
          </w:tcPr>
          <w:p w14:paraId="497D0003" w14:textId="77777777" w:rsidR="00EC4A1C" w:rsidRPr="00D16BC5" w:rsidRDefault="00EC4A1C" w:rsidP="00D22441">
            <w:pPr>
              <w:jc w:val="right"/>
              <w:rPr>
                <w:rFonts w:ascii="Arial Narrow" w:hAnsi="Arial Narrow" w:cs="Arial"/>
                <w:spacing w:val="0"/>
                <w:sz w:val="16"/>
                <w:szCs w:val="16"/>
                <w:lang w:eastAsia="es-CO"/>
              </w:rPr>
            </w:pPr>
            <w:r w:rsidRPr="00D16BC5">
              <w:rPr>
                <w:rFonts w:ascii="Arial Narrow" w:hAnsi="Arial Narrow" w:cs="Arial"/>
                <w:spacing w:val="0"/>
                <w:sz w:val="16"/>
                <w:szCs w:val="16"/>
                <w:lang w:eastAsia="es-CO"/>
              </w:rPr>
              <w:t>2170</w:t>
            </w:r>
          </w:p>
        </w:tc>
        <w:tc>
          <w:tcPr>
            <w:tcW w:w="941" w:type="dxa"/>
            <w:tcBorders>
              <w:top w:val="nil"/>
              <w:left w:val="nil"/>
              <w:bottom w:val="single" w:sz="4" w:space="0" w:color="auto"/>
              <w:right w:val="single" w:sz="4" w:space="0" w:color="auto"/>
            </w:tcBorders>
            <w:shd w:val="clear" w:color="000000" w:fill="F2F2F2"/>
            <w:noWrap/>
            <w:vAlign w:val="center"/>
            <w:hideMark/>
          </w:tcPr>
          <w:p w14:paraId="5B763F24" w14:textId="77777777" w:rsidR="00EC4A1C" w:rsidRPr="00D16BC5" w:rsidRDefault="00EC4A1C" w:rsidP="00D22441">
            <w:pPr>
              <w:jc w:val="right"/>
              <w:rPr>
                <w:rFonts w:ascii="Arial Narrow" w:hAnsi="Arial Narrow" w:cs="Arial"/>
                <w:spacing w:val="0"/>
                <w:sz w:val="16"/>
                <w:szCs w:val="16"/>
                <w:lang w:eastAsia="es-CO"/>
              </w:rPr>
            </w:pPr>
            <w:r w:rsidRPr="00D16BC5">
              <w:rPr>
                <w:rFonts w:ascii="Arial Narrow" w:hAnsi="Arial Narrow" w:cs="Arial"/>
                <w:spacing w:val="0"/>
                <w:sz w:val="16"/>
                <w:szCs w:val="16"/>
                <w:lang w:eastAsia="es-CO"/>
              </w:rPr>
              <w:t>842000030</w:t>
            </w:r>
          </w:p>
        </w:tc>
        <w:tc>
          <w:tcPr>
            <w:tcW w:w="2400" w:type="dxa"/>
            <w:tcBorders>
              <w:top w:val="nil"/>
              <w:left w:val="nil"/>
              <w:bottom w:val="single" w:sz="4" w:space="0" w:color="auto"/>
              <w:right w:val="single" w:sz="4" w:space="0" w:color="auto"/>
            </w:tcBorders>
            <w:shd w:val="clear" w:color="000000" w:fill="F2F2F2"/>
            <w:vAlign w:val="center"/>
            <w:hideMark/>
          </w:tcPr>
          <w:p w14:paraId="62612FED" w14:textId="77777777" w:rsidR="00EC4A1C" w:rsidRPr="00D16BC5" w:rsidRDefault="00EC4A1C" w:rsidP="00D22441">
            <w:pPr>
              <w:jc w:val="left"/>
              <w:rPr>
                <w:rFonts w:ascii="Arial Narrow" w:hAnsi="Arial Narrow" w:cs="Arial"/>
                <w:spacing w:val="0"/>
                <w:sz w:val="16"/>
                <w:szCs w:val="16"/>
                <w:lang w:eastAsia="es-CO"/>
              </w:rPr>
            </w:pPr>
            <w:r w:rsidRPr="00D16BC5">
              <w:rPr>
                <w:rFonts w:ascii="Arial Narrow" w:hAnsi="Arial Narrow" w:cs="Arial"/>
                <w:spacing w:val="0"/>
                <w:sz w:val="16"/>
                <w:szCs w:val="16"/>
                <w:lang w:eastAsia="es-CO"/>
              </w:rPr>
              <w:t>EMPRESA SIGLO XXI EICE ESP</w:t>
            </w:r>
          </w:p>
        </w:tc>
        <w:tc>
          <w:tcPr>
            <w:tcW w:w="1502" w:type="dxa"/>
            <w:tcBorders>
              <w:top w:val="nil"/>
              <w:left w:val="nil"/>
              <w:bottom w:val="single" w:sz="4" w:space="0" w:color="auto"/>
              <w:right w:val="single" w:sz="4" w:space="0" w:color="auto"/>
            </w:tcBorders>
            <w:shd w:val="clear" w:color="000000" w:fill="F2F2F2"/>
            <w:noWrap/>
            <w:vAlign w:val="center"/>
            <w:hideMark/>
          </w:tcPr>
          <w:p w14:paraId="45788DDC" w14:textId="77777777" w:rsidR="00EC4A1C" w:rsidRPr="00D16BC5" w:rsidRDefault="00EC4A1C" w:rsidP="00D22441">
            <w:pPr>
              <w:jc w:val="right"/>
              <w:rPr>
                <w:rFonts w:ascii="Arial Narrow" w:hAnsi="Arial Narrow" w:cs="Arial"/>
                <w:spacing w:val="0"/>
                <w:sz w:val="16"/>
                <w:szCs w:val="16"/>
                <w:lang w:eastAsia="es-CO"/>
              </w:rPr>
            </w:pPr>
            <w:r w:rsidRPr="00D16BC5">
              <w:rPr>
                <w:rFonts w:ascii="Arial Narrow" w:hAnsi="Arial Narrow" w:cs="Arial"/>
                <w:spacing w:val="0"/>
                <w:sz w:val="16"/>
                <w:szCs w:val="16"/>
                <w:lang w:eastAsia="es-CO"/>
              </w:rPr>
              <w:t>$ 547.345.000</w:t>
            </w:r>
          </w:p>
        </w:tc>
        <w:tc>
          <w:tcPr>
            <w:tcW w:w="1413" w:type="dxa"/>
            <w:tcBorders>
              <w:top w:val="nil"/>
              <w:left w:val="nil"/>
              <w:bottom w:val="single" w:sz="4" w:space="0" w:color="auto"/>
              <w:right w:val="single" w:sz="4" w:space="0" w:color="auto"/>
            </w:tcBorders>
            <w:shd w:val="clear" w:color="000000" w:fill="F2F2F2"/>
            <w:noWrap/>
            <w:vAlign w:val="center"/>
            <w:hideMark/>
          </w:tcPr>
          <w:p w14:paraId="3CE706F1" w14:textId="77777777" w:rsidR="00EC4A1C" w:rsidRPr="00D16BC5" w:rsidRDefault="00EC4A1C" w:rsidP="00D22441">
            <w:pPr>
              <w:jc w:val="right"/>
              <w:rPr>
                <w:rFonts w:ascii="Arial Narrow" w:hAnsi="Arial Narrow" w:cs="Arial"/>
                <w:spacing w:val="0"/>
                <w:sz w:val="16"/>
                <w:szCs w:val="16"/>
                <w:lang w:eastAsia="es-CO"/>
              </w:rPr>
            </w:pPr>
            <w:r w:rsidRPr="00D16BC5">
              <w:rPr>
                <w:rFonts w:ascii="Arial Narrow" w:hAnsi="Arial Narrow" w:cs="Arial"/>
                <w:spacing w:val="0"/>
                <w:sz w:val="16"/>
                <w:szCs w:val="16"/>
                <w:lang w:eastAsia="es-CO"/>
              </w:rPr>
              <w:t>$ 15.335.298</w:t>
            </w:r>
          </w:p>
        </w:tc>
        <w:tc>
          <w:tcPr>
            <w:tcW w:w="1621" w:type="dxa"/>
            <w:tcBorders>
              <w:top w:val="nil"/>
              <w:left w:val="nil"/>
              <w:bottom w:val="single" w:sz="4" w:space="0" w:color="auto"/>
              <w:right w:val="single" w:sz="4" w:space="0" w:color="auto"/>
            </w:tcBorders>
            <w:shd w:val="clear" w:color="000000" w:fill="F2F2F2"/>
            <w:noWrap/>
            <w:vAlign w:val="center"/>
            <w:hideMark/>
          </w:tcPr>
          <w:p w14:paraId="0602131C" w14:textId="77777777" w:rsidR="00EC4A1C" w:rsidRPr="00D16BC5" w:rsidRDefault="00EC4A1C" w:rsidP="00D22441">
            <w:pPr>
              <w:jc w:val="right"/>
              <w:rPr>
                <w:rFonts w:ascii="Arial Narrow" w:hAnsi="Arial Narrow" w:cs="Arial"/>
                <w:spacing w:val="0"/>
                <w:sz w:val="16"/>
                <w:szCs w:val="16"/>
                <w:lang w:eastAsia="es-CO"/>
              </w:rPr>
            </w:pPr>
            <w:r w:rsidRPr="00D16BC5">
              <w:rPr>
                <w:rFonts w:ascii="Arial Narrow" w:hAnsi="Arial Narrow" w:cs="Arial"/>
                <w:spacing w:val="0"/>
                <w:sz w:val="16"/>
                <w:szCs w:val="16"/>
                <w:lang w:eastAsia="es-CO"/>
              </w:rPr>
              <w:t>$ 562.680.298</w:t>
            </w:r>
          </w:p>
        </w:tc>
        <w:tc>
          <w:tcPr>
            <w:tcW w:w="1324" w:type="dxa"/>
            <w:tcBorders>
              <w:top w:val="nil"/>
              <w:left w:val="nil"/>
              <w:bottom w:val="single" w:sz="4" w:space="0" w:color="auto"/>
              <w:right w:val="single" w:sz="4" w:space="0" w:color="auto"/>
            </w:tcBorders>
            <w:shd w:val="clear" w:color="000000" w:fill="F2F2F2"/>
            <w:noWrap/>
            <w:vAlign w:val="center"/>
            <w:hideMark/>
          </w:tcPr>
          <w:p w14:paraId="18A3DE8F" w14:textId="77777777" w:rsidR="00EC4A1C" w:rsidRPr="00D16BC5" w:rsidRDefault="00EC4A1C" w:rsidP="00D22441">
            <w:pPr>
              <w:jc w:val="right"/>
              <w:rPr>
                <w:rFonts w:ascii="Arial Narrow" w:hAnsi="Arial Narrow" w:cs="Arial"/>
                <w:spacing w:val="0"/>
                <w:sz w:val="16"/>
                <w:szCs w:val="16"/>
                <w:lang w:eastAsia="es-CO"/>
              </w:rPr>
            </w:pPr>
            <w:r w:rsidRPr="00D16BC5">
              <w:rPr>
                <w:rFonts w:ascii="Arial Narrow" w:hAnsi="Arial Narrow" w:cs="Arial"/>
                <w:spacing w:val="0"/>
                <w:sz w:val="16"/>
                <w:szCs w:val="16"/>
                <w:lang w:eastAsia="es-CO"/>
              </w:rPr>
              <w:t>$ 5.626.803</w:t>
            </w:r>
          </w:p>
        </w:tc>
        <w:tc>
          <w:tcPr>
            <w:tcW w:w="1029" w:type="dxa"/>
            <w:tcBorders>
              <w:top w:val="nil"/>
              <w:left w:val="nil"/>
              <w:bottom w:val="single" w:sz="4" w:space="0" w:color="auto"/>
              <w:right w:val="single" w:sz="4" w:space="0" w:color="auto"/>
            </w:tcBorders>
            <w:shd w:val="clear" w:color="000000" w:fill="F2F2F2"/>
            <w:noWrap/>
            <w:vAlign w:val="center"/>
            <w:hideMark/>
          </w:tcPr>
          <w:p w14:paraId="619DCF11" w14:textId="77777777" w:rsidR="00EC4A1C" w:rsidRPr="00D16BC5" w:rsidRDefault="00EC4A1C" w:rsidP="00D22441">
            <w:pPr>
              <w:jc w:val="right"/>
              <w:rPr>
                <w:rFonts w:ascii="Arial Narrow" w:hAnsi="Arial Narrow" w:cs="Arial"/>
                <w:spacing w:val="0"/>
                <w:sz w:val="16"/>
                <w:szCs w:val="16"/>
                <w:lang w:eastAsia="es-CO"/>
              </w:rPr>
            </w:pPr>
            <w:r w:rsidRPr="00D16BC5">
              <w:rPr>
                <w:rFonts w:ascii="Arial Narrow" w:hAnsi="Arial Narrow" w:cs="Arial"/>
                <w:spacing w:val="0"/>
                <w:sz w:val="16"/>
                <w:szCs w:val="16"/>
                <w:lang w:eastAsia="es-CO"/>
              </w:rPr>
              <w:t>$ 234</w:t>
            </w:r>
          </w:p>
        </w:tc>
        <w:tc>
          <w:tcPr>
            <w:tcW w:w="2036" w:type="dxa"/>
            <w:tcBorders>
              <w:top w:val="nil"/>
              <w:left w:val="nil"/>
              <w:bottom w:val="single" w:sz="4" w:space="0" w:color="auto"/>
              <w:right w:val="single" w:sz="4" w:space="0" w:color="auto"/>
            </w:tcBorders>
            <w:shd w:val="clear" w:color="000000" w:fill="F2F2F2"/>
            <w:noWrap/>
            <w:vAlign w:val="center"/>
            <w:hideMark/>
          </w:tcPr>
          <w:p w14:paraId="7E1DA513" w14:textId="77777777" w:rsidR="00EC4A1C" w:rsidRPr="00D16BC5" w:rsidRDefault="00EC4A1C" w:rsidP="00D22441">
            <w:pPr>
              <w:jc w:val="right"/>
              <w:rPr>
                <w:rFonts w:ascii="Arial Narrow" w:hAnsi="Arial Narrow" w:cs="Arial"/>
                <w:spacing w:val="0"/>
                <w:sz w:val="16"/>
                <w:szCs w:val="16"/>
                <w:lang w:eastAsia="es-CO"/>
              </w:rPr>
            </w:pPr>
            <w:r w:rsidRPr="00D16BC5">
              <w:rPr>
                <w:rFonts w:ascii="Arial Narrow" w:hAnsi="Arial Narrow" w:cs="Arial"/>
                <w:spacing w:val="0"/>
                <w:sz w:val="16"/>
                <w:szCs w:val="16"/>
                <w:lang w:eastAsia="es-CO"/>
              </w:rPr>
              <w:t>$ 5.627.037</w:t>
            </w:r>
          </w:p>
        </w:tc>
      </w:tr>
      <w:tr w:rsidR="00EC4A1C" w:rsidRPr="00D16BC5" w14:paraId="3915C32F" w14:textId="77777777" w:rsidTr="00EC4A1C">
        <w:trPr>
          <w:trHeight w:val="450"/>
        </w:trPr>
        <w:tc>
          <w:tcPr>
            <w:tcW w:w="380" w:type="dxa"/>
            <w:tcBorders>
              <w:top w:val="nil"/>
              <w:left w:val="single" w:sz="4" w:space="0" w:color="auto"/>
              <w:bottom w:val="single" w:sz="4" w:space="0" w:color="auto"/>
              <w:right w:val="single" w:sz="4" w:space="0" w:color="auto"/>
            </w:tcBorders>
            <w:shd w:val="clear" w:color="000000" w:fill="F2F2F2"/>
            <w:noWrap/>
            <w:vAlign w:val="center"/>
            <w:hideMark/>
          </w:tcPr>
          <w:p w14:paraId="4D99A932" w14:textId="77777777" w:rsidR="00EC4A1C" w:rsidRPr="00D16BC5" w:rsidRDefault="00EC4A1C" w:rsidP="00D22441">
            <w:pPr>
              <w:jc w:val="center"/>
              <w:rPr>
                <w:rFonts w:ascii="Arial Narrow" w:hAnsi="Arial Narrow" w:cs="Arial"/>
                <w:spacing w:val="0"/>
                <w:sz w:val="16"/>
                <w:szCs w:val="16"/>
                <w:lang w:eastAsia="es-CO"/>
              </w:rPr>
            </w:pPr>
            <w:r w:rsidRPr="00D16BC5">
              <w:rPr>
                <w:rFonts w:ascii="Arial Narrow" w:hAnsi="Arial Narrow" w:cs="Arial"/>
                <w:spacing w:val="0"/>
                <w:sz w:val="16"/>
                <w:szCs w:val="16"/>
                <w:lang w:eastAsia="es-CO"/>
              </w:rPr>
              <w:t>5</w:t>
            </w:r>
          </w:p>
        </w:tc>
        <w:tc>
          <w:tcPr>
            <w:tcW w:w="585" w:type="dxa"/>
            <w:tcBorders>
              <w:top w:val="nil"/>
              <w:left w:val="nil"/>
              <w:bottom w:val="single" w:sz="4" w:space="0" w:color="auto"/>
              <w:right w:val="single" w:sz="4" w:space="0" w:color="auto"/>
            </w:tcBorders>
            <w:shd w:val="clear" w:color="000000" w:fill="F2F2F2"/>
            <w:noWrap/>
            <w:vAlign w:val="center"/>
            <w:hideMark/>
          </w:tcPr>
          <w:p w14:paraId="1AFCB344" w14:textId="77777777" w:rsidR="00EC4A1C" w:rsidRPr="00D16BC5" w:rsidRDefault="00EC4A1C" w:rsidP="00D22441">
            <w:pPr>
              <w:jc w:val="right"/>
              <w:rPr>
                <w:rFonts w:ascii="Arial Narrow" w:hAnsi="Arial Narrow" w:cs="Arial"/>
                <w:spacing w:val="0"/>
                <w:sz w:val="16"/>
                <w:szCs w:val="16"/>
                <w:lang w:eastAsia="es-CO"/>
              </w:rPr>
            </w:pPr>
            <w:r w:rsidRPr="00D16BC5">
              <w:rPr>
                <w:rFonts w:ascii="Arial Narrow" w:hAnsi="Arial Narrow" w:cs="Arial"/>
                <w:spacing w:val="0"/>
                <w:sz w:val="16"/>
                <w:szCs w:val="16"/>
                <w:lang w:eastAsia="es-CO"/>
              </w:rPr>
              <w:t>997</w:t>
            </w:r>
          </w:p>
        </w:tc>
        <w:tc>
          <w:tcPr>
            <w:tcW w:w="941" w:type="dxa"/>
            <w:tcBorders>
              <w:top w:val="nil"/>
              <w:left w:val="nil"/>
              <w:bottom w:val="single" w:sz="4" w:space="0" w:color="auto"/>
              <w:right w:val="single" w:sz="4" w:space="0" w:color="auto"/>
            </w:tcBorders>
            <w:shd w:val="clear" w:color="000000" w:fill="F2F2F2"/>
            <w:noWrap/>
            <w:vAlign w:val="center"/>
            <w:hideMark/>
          </w:tcPr>
          <w:p w14:paraId="6B75F1D8" w14:textId="77777777" w:rsidR="00EC4A1C" w:rsidRPr="00D16BC5" w:rsidRDefault="00EC4A1C" w:rsidP="00D22441">
            <w:pPr>
              <w:jc w:val="right"/>
              <w:rPr>
                <w:rFonts w:ascii="Arial Narrow" w:hAnsi="Arial Narrow" w:cs="Arial"/>
                <w:spacing w:val="0"/>
                <w:sz w:val="16"/>
                <w:szCs w:val="16"/>
                <w:lang w:eastAsia="es-CO"/>
              </w:rPr>
            </w:pPr>
            <w:r w:rsidRPr="00D16BC5">
              <w:rPr>
                <w:rFonts w:ascii="Arial Narrow" w:hAnsi="Arial Narrow" w:cs="Arial"/>
                <w:spacing w:val="0"/>
                <w:sz w:val="16"/>
                <w:szCs w:val="16"/>
                <w:lang w:eastAsia="es-CO"/>
              </w:rPr>
              <w:t>890000377</w:t>
            </w:r>
          </w:p>
        </w:tc>
        <w:tc>
          <w:tcPr>
            <w:tcW w:w="2400" w:type="dxa"/>
            <w:tcBorders>
              <w:top w:val="nil"/>
              <w:left w:val="nil"/>
              <w:bottom w:val="single" w:sz="4" w:space="0" w:color="auto"/>
              <w:right w:val="single" w:sz="4" w:space="0" w:color="auto"/>
            </w:tcBorders>
            <w:shd w:val="clear" w:color="000000" w:fill="F2F2F2"/>
            <w:vAlign w:val="center"/>
            <w:hideMark/>
          </w:tcPr>
          <w:p w14:paraId="26CBE9E0" w14:textId="77777777" w:rsidR="00EC4A1C" w:rsidRPr="00D16BC5" w:rsidRDefault="00EC4A1C" w:rsidP="00D22441">
            <w:pPr>
              <w:jc w:val="left"/>
              <w:rPr>
                <w:rFonts w:ascii="Arial Narrow" w:hAnsi="Arial Narrow" w:cs="Arial"/>
                <w:spacing w:val="0"/>
                <w:sz w:val="16"/>
                <w:szCs w:val="16"/>
                <w:lang w:eastAsia="es-CO"/>
              </w:rPr>
            </w:pPr>
            <w:r w:rsidRPr="00D16BC5">
              <w:rPr>
                <w:rFonts w:ascii="Arial Narrow" w:hAnsi="Arial Narrow" w:cs="Arial"/>
                <w:spacing w:val="0"/>
                <w:sz w:val="16"/>
                <w:szCs w:val="16"/>
                <w:lang w:eastAsia="es-CO"/>
              </w:rPr>
              <w:t xml:space="preserve">EMPRESAS PUBLICAS DE </w:t>
            </w:r>
            <w:proofErr w:type="gramStart"/>
            <w:r w:rsidRPr="00D16BC5">
              <w:rPr>
                <w:rFonts w:ascii="Arial Narrow" w:hAnsi="Arial Narrow" w:cs="Arial"/>
                <w:spacing w:val="0"/>
                <w:sz w:val="16"/>
                <w:szCs w:val="16"/>
                <w:lang w:eastAsia="es-CO"/>
              </w:rPr>
              <w:t>CALARCA  E.S.P.</w:t>
            </w:r>
            <w:proofErr w:type="gramEnd"/>
          </w:p>
        </w:tc>
        <w:tc>
          <w:tcPr>
            <w:tcW w:w="1502" w:type="dxa"/>
            <w:tcBorders>
              <w:top w:val="nil"/>
              <w:left w:val="nil"/>
              <w:bottom w:val="single" w:sz="4" w:space="0" w:color="auto"/>
              <w:right w:val="single" w:sz="4" w:space="0" w:color="auto"/>
            </w:tcBorders>
            <w:shd w:val="clear" w:color="000000" w:fill="F2F2F2"/>
            <w:noWrap/>
            <w:vAlign w:val="center"/>
            <w:hideMark/>
          </w:tcPr>
          <w:p w14:paraId="77D7FA55" w14:textId="77777777" w:rsidR="00EC4A1C" w:rsidRPr="00D16BC5" w:rsidRDefault="00EC4A1C" w:rsidP="00D22441">
            <w:pPr>
              <w:jc w:val="right"/>
              <w:rPr>
                <w:rFonts w:ascii="Arial Narrow" w:hAnsi="Arial Narrow" w:cs="Arial"/>
                <w:spacing w:val="0"/>
                <w:sz w:val="16"/>
                <w:szCs w:val="16"/>
                <w:lang w:eastAsia="es-CO"/>
              </w:rPr>
            </w:pPr>
            <w:r w:rsidRPr="00D16BC5">
              <w:rPr>
                <w:rFonts w:ascii="Arial Narrow" w:hAnsi="Arial Narrow" w:cs="Arial"/>
                <w:spacing w:val="0"/>
                <w:sz w:val="16"/>
                <w:szCs w:val="16"/>
                <w:lang w:eastAsia="es-CO"/>
              </w:rPr>
              <w:t>$ 150.013.000</w:t>
            </w:r>
          </w:p>
        </w:tc>
        <w:tc>
          <w:tcPr>
            <w:tcW w:w="1413" w:type="dxa"/>
            <w:tcBorders>
              <w:top w:val="nil"/>
              <w:left w:val="nil"/>
              <w:bottom w:val="single" w:sz="4" w:space="0" w:color="auto"/>
              <w:right w:val="single" w:sz="4" w:space="0" w:color="auto"/>
            </w:tcBorders>
            <w:shd w:val="clear" w:color="000000" w:fill="F2F2F2"/>
            <w:noWrap/>
            <w:vAlign w:val="center"/>
            <w:hideMark/>
          </w:tcPr>
          <w:p w14:paraId="33AB856B" w14:textId="77777777" w:rsidR="00EC4A1C" w:rsidRPr="00D16BC5" w:rsidRDefault="00EC4A1C" w:rsidP="00D22441">
            <w:pPr>
              <w:jc w:val="right"/>
              <w:rPr>
                <w:rFonts w:ascii="Arial Narrow" w:hAnsi="Arial Narrow" w:cs="Arial"/>
                <w:spacing w:val="0"/>
                <w:sz w:val="16"/>
                <w:szCs w:val="16"/>
                <w:lang w:eastAsia="es-CO"/>
              </w:rPr>
            </w:pPr>
            <w:r w:rsidRPr="00D16BC5">
              <w:rPr>
                <w:rFonts w:ascii="Arial Narrow" w:hAnsi="Arial Narrow" w:cs="Arial"/>
                <w:spacing w:val="0"/>
                <w:sz w:val="16"/>
                <w:szCs w:val="16"/>
                <w:lang w:eastAsia="es-CO"/>
              </w:rPr>
              <w:t>$ 0</w:t>
            </w:r>
          </w:p>
        </w:tc>
        <w:tc>
          <w:tcPr>
            <w:tcW w:w="1621" w:type="dxa"/>
            <w:tcBorders>
              <w:top w:val="nil"/>
              <w:left w:val="nil"/>
              <w:bottom w:val="single" w:sz="4" w:space="0" w:color="auto"/>
              <w:right w:val="single" w:sz="4" w:space="0" w:color="auto"/>
            </w:tcBorders>
            <w:shd w:val="clear" w:color="000000" w:fill="F2F2F2"/>
            <w:noWrap/>
            <w:vAlign w:val="center"/>
            <w:hideMark/>
          </w:tcPr>
          <w:p w14:paraId="562A1B22" w14:textId="77777777" w:rsidR="00EC4A1C" w:rsidRPr="00D16BC5" w:rsidRDefault="00EC4A1C" w:rsidP="00D22441">
            <w:pPr>
              <w:jc w:val="right"/>
              <w:rPr>
                <w:rFonts w:ascii="Arial Narrow" w:hAnsi="Arial Narrow" w:cs="Arial"/>
                <w:spacing w:val="0"/>
                <w:sz w:val="16"/>
                <w:szCs w:val="16"/>
                <w:lang w:eastAsia="es-CO"/>
              </w:rPr>
            </w:pPr>
            <w:r w:rsidRPr="00D16BC5">
              <w:rPr>
                <w:rFonts w:ascii="Arial Narrow" w:hAnsi="Arial Narrow" w:cs="Arial"/>
                <w:spacing w:val="0"/>
                <w:sz w:val="16"/>
                <w:szCs w:val="16"/>
                <w:lang w:eastAsia="es-CO"/>
              </w:rPr>
              <w:t>$ 150.013.000</w:t>
            </w:r>
          </w:p>
        </w:tc>
        <w:tc>
          <w:tcPr>
            <w:tcW w:w="1324" w:type="dxa"/>
            <w:tcBorders>
              <w:top w:val="nil"/>
              <w:left w:val="nil"/>
              <w:bottom w:val="single" w:sz="4" w:space="0" w:color="auto"/>
              <w:right w:val="single" w:sz="4" w:space="0" w:color="auto"/>
            </w:tcBorders>
            <w:shd w:val="clear" w:color="000000" w:fill="F2F2F2"/>
            <w:noWrap/>
            <w:vAlign w:val="center"/>
            <w:hideMark/>
          </w:tcPr>
          <w:p w14:paraId="285FC936" w14:textId="77777777" w:rsidR="00EC4A1C" w:rsidRPr="00D16BC5" w:rsidRDefault="00EC4A1C" w:rsidP="00D22441">
            <w:pPr>
              <w:jc w:val="right"/>
              <w:rPr>
                <w:rFonts w:ascii="Arial Narrow" w:hAnsi="Arial Narrow" w:cs="Arial"/>
                <w:spacing w:val="0"/>
                <w:sz w:val="16"/>
                <w:szCs w:val="16"/>
                <w:lang w:eastAsia="es-CO"/>
              </w:rPr>
            </w:pPr>
            <w:r w:rsidRPr="00D16BC5">
              <w:rPr>
                <w:rFonts w:ascii="Arial Narrow" w:hAnsi="Arial Narrow" w:cs="Arial"/>
                <w:spacing w:val="0"/>
                <w:sz w:val="16"/>
                <w:szCs w:val="16"/>
                <w:lang w:eastAsia="es-CO"/>
              </w:rPr>
              <w:t>$ 1.500.130</w:t>
            </w:r>
          </w:p>
        </w:tc>
        <w:tc>
          <w:tcPr>
            <w:tcW w:w="1029" w:type="dxa"/>
            <w:tcBorders>
              <w:top w:val="nil"/>
              <w:left w:val="nil"/>
              <w:bottom w:val="single" w:sz="4" w:space="0" w:color="auto"/>
              <w:right w:val="single" w:sz="4" w:space="0" w:color="auto"/>
            </w:tcBorders>
            <w:shd w:val="clear" w:color="000000" w:fill="F2F2F2"/>
            <w:noWrap/>
            <w:vAlign w:val="center"/>
            <w:hideMark/>
          </w:tcPr>
          <w:p w14:paraId="7DB6D8A2" w14:textId="77777777" w:rsidR="00EC4A1C" w:rsidRPr="00D16BC5" w:rsidRDefault="00EC4A1C" w:rsidP="00D22441">
            <w:pPr>
              <w:jc w:val="right"/>
              <w:rPr>
                <w:rFonts w:ascii="Arial Narrow" w:hAnsi="Arial Narrow" w:cs="Arial"/>
                <w:spacing w:val="0"/>
                <w:sz w:val="16"/>
                <w:szCs w:val="16"/>
                <w:lang w:eastAsia="es-CO"/>
              </w:rPr>
            </w:pPr>
            <w:r w:rsidRPr="00D16BC5">
              <w:rPr>
                <w:rFonts w:ascii="Arial Narrow" w:hAnsi="Arial Narrow" w:cs="Arial"/>
                <w:spacing w:val="0"/>
                <w:sz w:val="16"/>
                <w:szCs w:val="16"/>
                <w:lang w:eastAsia="es-CO"/>
              </w:rPr>
              <w:t>$ 62</w:t>
            </w:r>
          </w:p>
        </w:tc>
        <w:tc>
          <w:tcPr>
            <w:tcW w:w="2036" w:type="dxa"/>
            <w:tcBorders>
              <w:top w:val="nil"/>
              <w:left w:val="nil"/>
              <w:bottom w:val="single" w:sz="4" w:space="0" w:color="auto"/>
              <w:right w:val="single" w:sz="4" w:space="0" w:color="auto"/>
            </w:tcBorders>
            <w:shd w:val="clear" w:color="000000" w:fill="F2F2F2"/>
            <w:noWrap/>
            <w:vAlign w:val="center"/>
            <w:hideMark/>
          </w:tcPr>
          <w:p w14:paraId="6AA1ABA5" w14:textId="77777777" w:rsidR="00EC4A1C" w:rsidRPr="00D16BC5" w:rsidRDefault="00EC4A1C" w:rsidP="00D22441">
            <w:pPr>
              <w:jc w:val="right"/>
              <w:rPr>
                <w:rFonts w:ascii="Arial Narrow" w:hAnsi="Arial Narrow" w:cs="Arial"/>
                <w:spacing w:val="0"/>
                <w:sz w:val="16"/>
                <w:szCs w:val="16"/>
                <w:lang w:eastAsia="es-CO"/>
              </w:rPr>
            </w:pPr>
            <w:r w:rsidRPr="00D16BC5">
              <w:rPr>
                <w:rFonts w:ascii="Arial Narrow" w:hAnsi="Arial Narrow" w:cs="Arial"/>
                <w:spacing w:val="0"/>
                <w:sz w:val="16"/>
                <w:szCs w:val="16"/>
                <w:lang w:eastAsia="es-CO"/>
              </w:rPr>
              <w:t>$ 1.500.192</w:t>
            </w:r>
          </w:p>
        </w:tc>
      </w:tr>
      <w:tr w:rsidR="00EC4A1C" w:rsidRPr="00D16BC5" w14:paraId="22CE62D4" w14:textId="77777777" w:rsidTr="00EC4A1C">
        <w:trPr>
          <w:trHeight w:val="450"/>
        </w:trPr>
        <w:tc>
          <w:tcPr>
            <w:tcW w:w="380" w:type="dxa"/>
            <w:tcBorders>
              <w:top w:val="nil"/>
              <w:left w:val="single" w:sz="4" w:space="0" w:color="auto"/>
              <w:bottom w:val="single" w:sz="4" w:space="0" w:color="auto"/>
              <w:right w:val="single" w:sz="4" w:space="0" w:color="auto"/>
            </w:tcBorders>
            <w:shd w:val="clear" w:color="000000" w:fill="F2F2F2"/>
            <w:noWrap/>
            <w:vAlign w:val="center"/>
            <w:hideMark/>
          </w:tcPr>
          <w:p w14:paraId="12EDC25C" w14:textId="77777777" w:rsidR="00EC4A1C" w:rsidRPr="00D16BC5" w:rsidRDefault="00EC4A1C" w:rsidP="00D22441">
            <w:pPr>
              <w:jc w:val="center"/>
              <w:rPr>
                <w:rFonts w:ascii="Arial Narrow" w:hAnsi="Arial Narrow" w:cs="Arial"/>
                <w:spacing w:val="0"/>
                <w:sz w:val="16"/>
                <w:szCs w:val="16"/>
                <w:lang w:eastAsia="es-CO"/>
              </w:rPr>
            </w:pPr>
            <w:r w:rsidRPr="00D16BC5">
              <w:rPr>
                <w:rFonts w:ascii="Arial Narrow" w:hAnsi="Arial Narrow" w:cs="Arial"/>
                <w:spacing w:val="0"/>
                <w:sz w:val="16"/>
                <w:szCs w:val="16"/>
                <w:lang w:eastAsia="es-CO"/>
              </w:rPr>
              <w:t>6</w:t>
            </w:r>
          </w:p>
        </w:tc>
        <w:tc>
          <w:tcPr>
            <w:tcW w:w="585" w:type="dxa"/>
            <w:tcBorders>
              <w:top w:val="nil"/>
              <w:left w:val="nil"/>
              <w:bottom w:val="single" w:sz="4" w:space="0" w:color="auto"/>
              <w:right w:val="single" w:sz="4" w:space="0" w:color="auto"/>
            </w:tcBorders>
            <w:shd w:val="clear" w:color="000000" w:fill="F2F2F2"/>
            <w:noWrap/>
            <w:vAlign w:val="center"/>
            <w:hideMark/>
          </w:tcPr>
          <w:p w14:paraId="4646068F" w14:textId="77777777" w:rsidR="00EC4A1C" w:rsidRPr="00D16BC5" w:rsidRDefault="00EC4A1C" w:rsidP="00D22441">
            <w:pPr>
              <w:jc w:val="right"/>
              <w:rPr>
                <w:rFonts w:ascii="Arial Narrow" w:hAnsi="Arial Narrow" w:cs="Arial"/>
                <w:spacing w:val="0"/>
                <w:sz w:val="16"/>
                <w:szCs w:val="16"/>
                <w:lang w:eastAsia="es-CO"/>
              </w:rPr>
            </w:pPr>
            <w:r w:rsidRPr="00D16BC5">
              <w:rPr>
                <w:rFonts w:ascii="Arial Narrow" w:hAnsi="Arial Narrow" w:cs="Arial"/>
                <w:spacing w:val="0"/>
                <w:sz w:val="16"/>
                <w:szCs w:val="16"/>
                <w:lang w:eastAsia="es-CO"/>
              </w:rPr>
              <w:t>2438</w:t>
            </w:r>
          </w:p>
        </w:tc>
        <w:tc>
          <w:tcPr>
            <w:tcW w:w="941" w:type="dxa"/>
            <w:tcBorders>
              <w:top w:val="nil"/>
              <w:left w:val="nil"/>
              <w:bottom w:val="single" w:sz="4" w:space="0" w:color="auto"/>
              <w:right w:val="single" w:sz="4" w:space="0" w:color="auto"/>
            </w:tcBorders>
            <w:shd w:val="clear" w:color="000000" w:fill="F2F2F2"/>
            <w:noWrap/>
            <w:vAlign w:val="center"/>
            <w:hideMark/>
          </w:tcPr>
          <w:p w14:paraId="07766C34" w14:textId="77777777" w:rsidR="00EC4A1C" w:rsidRPr="00D16BC5" w:rsidRDefault="00EC4A1C" w:rsidP="00D22441">
            <w:pPr>
              <w:jc w:val="right"/>
              <w:rPr>
                <w:rFonts w:ascii="Arial Narrow" w:hAnsi="Arial Narrow" w:cs="Arial"/>
                <w:spacing w:val="0"/>
                <w:sz w:val="16"/>
                <w:szCs w:val="16"/>
                <w:lang w:eastAsia="es-CO"/>
              </w:rPr>
            </w:pPr>
            <w:r w:rsidRPr="00D16BC5">
              <w:rPr>
                <w:rFonts w:ascii="Arial Narrow" w:hAnsi="Arial Narrow" w:cs="Arial"/>
                <w:spacing w:val="0"/>
                <w:sz w:val="16"/>
                <w:szCs w:val="16"/>
                <w:lang w:eastAsia="es-CO"/>
              </w:rPr>
              <w:t>890399003</w:t>
            </w:r>
          </w:p>
        </w:tc>
        <w:tc>
          <w:tcPr>
            <w:tcW w:w="2400" w:type="dxa"/>
            <w:tcBorders>
              <w:top w:val="nil"/>
              <w:left w:val="nil"/>
              <w:bottom w:val="single" w:sz="4" w:space="0" w:color="auto"/>
              <w:right w:val="single" w:sz="4" w:space="0" w:color="auto"/>
            </w:tcBorders>
            <w:shd w:val="clear" w:color="000000" w:fill="F2F2F2"/>
            <w:vAlign w:val="center"/>
            <w:hideMark/>
          </w:tcPr>
          <w:p w14:paraId="6521A89B" w14:textId="77777777" w:rsidR="00EC4A1C" w:rsidRPr="00D16BC5" w:rsidRDefault="00EC4A1C" w:rsidP="00D22441">
            <w:pPr>
              <w:jc w:val="left"/>
              <w:rPr>
                <w:rFonts w:ascii="Arial Narrow" w:hAnsi="Arial Narrow" w:cs="Arial"/>
                <w:spacing w:val="0"/>
                <w:sz w:val="16"/>
                <w:szCs w:val="16"/>
                <w:lang w:eastAsia="es-CO"/>
              </w:rPr>
            </w:pPr>
            <w:r w:rsidRPr="00D16BC5">
              <w:rPr>
                <w:rFonts w:ascii="Arial Narrow" w:hAnsi="Arial Narrow" w:cs="Arial"/>
                <w:spacing w:val="0"/>
                <w:sz w:val="16"/>
                <w:szCs w:val="16"/>
                <w:lang w:eastAsia="es-CO"/>
              </w:rPr>
              <w:t xml:space="preserve">EMPRESAS MUNICIPALES DE CALI   </w:t>
            </w:r>
            <w:proofErr w:type="gramStart"/>
            <w:r w:rsidRPr="00D16BC5">
              <w:rPr>
                <w:rFonts w:ascii="Arial Narrow" w:hAnsi="Arial Narrow" w:cs="Arial"/>
                <w:spacing w:val="0"/>
                <w:sz w:val="16"/>
                <w:szCs w:val="16"/>
                <w:lang w:eastAsia="es-CO"/>
              </w:rPr>
              <w:t>E.I.C.E  E</w:t>
            </w:r>
            <w:proofErr w:type="gramEnd"/>
            <w:r w:rsidRPr="00D16BC5">
              <w:rPr>
                <w:rFonts w:ascii="Arial Narrow" w:hAnsi="Arial Narrow" w:cs="Arial"/>
                <w:spacing w:val="0"/>
                <w:sz w:val="16"/>
                <w:szCs w:val="16"/>
                <w:lang w:eastAsia="es-CO"/>
              </w:rPr>
              <w:t>.S.P</w:t>
            </w:r>
          </w:p>
        </w:tc>
        <w:tc>
          <w:tcPr>
            <w:tcW w:w="1502" w:type="dxa"/>
            <w:tcBorders>
              <w:top w:val="nil"/>
              <w:left w:val="nil"/>
              <w:bottom w:val="single" w:sz="4" w:space="0" w:color="auto"/>
              <w:right w:val="single" w:sz="4" w:space="0" w:color="auto"/>
            </w:tcBorders>
            <w:shd w:val="clear" w:color="000000" w:fill="F2F2F2"/>
            <w:noWrap/>
            <w:vAlign w:val="center"/>
            <w:hideMark/>
          </w:tcPr>
          <w:p w14:paraId="574E3878" w14:textId="77777777" w:rsidR="00EC4A1C" w:rsidRPr="00D16BC5" w:rsidRDefault="00EC4A1C" w:rsidP="00D22441">
            <w:pPr>
              <w:jc w:val="right"/>
              <w:rPr>
                <w:rFonts w:ascii="Arial Narrow" w:hAnsi="Arial Narrow" w:cs="Arial"/>
                <w:spacing w:val="0"/>
                <w:sz w:val="16"/>
                <w:szCs w:val="16"/>
                <w:lang w:eastAsia="es-CO"/>
              </w:rPr>
            </w:pPr>
            <w:r w:rsidRPr="00D16BC5">
              <w:rPr>
                <w:rFonts w:ascii="Arial Narrow" w:hAnsi="Arial Narrow" w:cs="Arial"/>
                <w:spacing w:val="0"/>
                <w:sz w:val="16"/>
                <w:szCs w:val="16"/>
                <w:lang w:eastAsia="es-CO"/>
              </w:rPr>
              <w:t>$ 72.580.684.000</w:t>
            </w:r>
          </w:p>
        </w:tc>
        <w:tc>
          <w:tcPr>
            <w:tcW w:w="1413" w:type="dxa"/>
            <w:tcBorders>
              <w:top w:val="nil"/>
              <w:left w:val="nil"/>
              <w:bottom w:val="single" w:sz="4" w:space="0" w:color="auto"/>
              <w:right w:val="single" w:sz="4" w:space="0" w:color="auto"/>
            </w:tcBorders>
            <w:shd w:val="clear" w:color="000000" w:fill="F2F2F2"/>
            <w:noWrap/>
            <w:vAlign w:val="center"/>
            <w:hideMark/>
          </w:tcPr>
          <w:p w14:paraId="6ED93E97" w14:textId="77777777" w:rsidR="00EC4A1C" w:rsidRPr="00D16BC5" w:rsidRDefault="00EC4A1C" w:rsidP="00D22441">
            <w:pPr>
              <w:jc w:val="right"/>
              <w:rPr>
                <w:rFonts w:ascii="Arial Narrow" w:hAnsi="Arial Narrow" w:cs="Arial"/>
                <w:spacing w:val="0"/>
                <w:sz w:val="16"/>
                <w:szCs w:val="16"/>
                <w:lang w:eastAsia="es-CO"/>
              </w:rPr>
            </w:pPr>
            <w:r w:rsidRPr="00D16BC5">
              <w:rPr>
                <w:rFonts w:ascii="Arial Narrow" w:hAnsi="Arial Narrow" w:cs="Arial"/>
                <w:spacing w:val="0"/>
                <w:sz w:val="16"/>
                <w:szCs w:val="16"/>
                <w:lang w:eastAsia="es-CO"/>
              </w:rPr>
              <w:t>$ 10.497.100.003</w:t>
            </w:r>
          </w:p>
        </w:tc>
        <w:tc>
          <w:tcPr>
            <w:tcW w:w="1621" w:type="dxa"/>
            <w:tcBorders>
              <w:top w:val="nil"/>
              <w:left w:val="nil"/>
              <w:bottom w:val="single" w:sz="4" w:space="0" w:color="auto"/>
              <w:right w:val="single" w:sz="4" w:space="0" w:color="auto"/>
            </w:tcBorders>
            <w:shd w:val="clear" w:color="000000" w:fill="F2F2F2"/>
            <w:noWrap/>
            <w:vAlign w:val="center"/>
            <w:hideMark/>
          </w:tcPr>
          <w:p w14:paraId="1F430F62" w14:textId="77777777" w:rsidR="00EC4A1C" w:rsidRPr="00D16BC5" w:rsidRDefault="00EC4A1C" w:rsidP="00D22441">
            <w:pPr>
              <w:jc w:val="right"/>
              <w:rPr>
                <w:rFonts w:ascii="Arial Narrow" w:hAnsi="Arial Narrow" w:cs="Arial"/>
                <w:spacing w:val="0"/>
                <w:sz w:val="16"/>
                <w:szCs w:val="16"/>
                <w:lang w:eastAsia="es-CO"/>
              </w:rPr>
            </w:pPr>
            <w:r w:rsidRPr="00D16BC5">
              <w:rPr>
                <w:rFonts w:ascii="Arial Narrow" w:hAnsi="Arial Narrow" w:cs="Arial"/>
                <w:spacing w:val="0"/>
                <w:sz w:val="16"/>
                <w:szCs w:val="16"/>
                <w:lang w:eastAsia="es-CO"/>
              </w:rPr>
              <w:t>$ 83.077.784.003</w:t>
            </w:r>
          </w:p>
        </w:tc>
        <w:tc>
          <w:tcPr>
            <w:tcW w:w="1324" w:type="dxa"/>
            <w:tcBorders>
              <w:top w:val="nil"/>
              <w:left w:val="nil"/>
              <w:bottom w:val="single" w:sz="4" w:space="0" w:color="auto"/>
              <w:right w:val="single" w:sz="4" w:space="0" w:color="auto"/>
            </w:tcBorders>
            <w:shd w:val="clear" w:color="000000" w:fill="F2F2F2"/>
            <w:noWrap/>
            <w:vAlign w:val="center"/>
            <w:hideMark/>
          </w:tcPr>
          <w:p w14:paraId="6AB1E510" w14:textId="77777777" w:rsidR="00EC4A1C" w:rsidRPr="00D16BC5" w:rsidRDefault="00EC4A1C" w:rsidP="00D22441">
            <w:pPr>
              <w:jc w:val="right"/>
              <w:rPr>
                <w:rFonts w:ascii="Arial Narrow" w:hAnsi="Arial Narrow" w:cs="Arial"/>
                <w:spacing w:val="0"/>
                <w:sz w:val="16"/>
                <w:szCs w:val="16"/>
                <w:lang w:eastAsia="es-CO"/>
              </w:rPr>
            </w:pPr>
            <w:r w:rsidRPr="00D16BC5">
              <w:rPr>
                <w:rFonts w:ascii="Arial Narrow" w:hAnsi="Arial Narrow" w:cs="Arial"/>
                <w:spacing w:val="0"/>
                <w:sz w:val="16"/>
                <w:szCs w:val="16"/>
                <w:lang w:eastAsia="es-CO"/>
              </w:rPr>
              <w:t>$ 830.777.840</w:t>
            </w:r>
          </w:p>
        </w:tc>
        <w:tc>
          <w:tcPr>
            <w:tcW w:w="1029" w:type="dxa"/>
            <w:tcBorders>
              <w:top w:val="nil"/>
              <w:left w:val="nil"/>
              <w:bottom w:val="single" w:sz="4" w:space="0" w:color="auto"/>
              <w:right w:val="single" w:sz="4" w:space="0" w:color="auto"/>
            </w:tcBorders>
            <w:shd w:val="clear" w:color="000000" w:fill="F2F2F2"/>
            <w:noWrap/>
            <w:vAlign w:val="center"/>
            <w:hideMark/>
          </w:tcPr>
          <w:p w14:paraId="45AD7513" w14:textId="77777777" w:rsidR="00EC4A1C" w:rsidRPr="00D16BC5" w:rsidRDefault="00EC4A1C" w:rsidP="00D22441">
            <w:pPr>
              <w:jc w:val="right"/>
              <w:rPr>
                <w:rFonts w:ascii="Arial Narrow" w:hAnsi="Arial Narrow" w:cs="Arial"/>
                <w:spacing w:val="0"/>
                <w:sz w:val="16"/>
                <w:szCs w:val="16"/>
                <w:lang w:eastAsia="es-CO"/>
              </w:rPr>
            </w:pPr>
            <w:r w:rsidRPr="00D16BC5">
              <w:rPr>
                <w:rFonts w:ascii="Arial Narrow" w:hAnsi="Arial Narrow" w:cs="Arial"/>
                <w:spacing w:val="0"/>
                <w:sz w:val="16"/>
                <w:szCs w:val="16"/>
                <w:lang w:eastAsia="es-CO"/>
              </w:rPr>
              <w:t>$ 34.574</w:t>
            </w:r>
          </w:p>
        </w:tc>
        <w:tc>
          <w:tcPr>
            <w:tcW w:w="2036" w:type="dxa"/>
            <w:tcBorders>
              <w:top w:val="nil"/>
              <w:left w:val="nil"/>
              <w:bottom w:val="single" w:sz="4" w:space="0" w:color="auto"/>
              <w:right w:val="single" w:sz="4" w:space="0" w:color="auto"/>
            </w:tcBorders>
            <w:shd w:val="clear" w:color="000000" w:fill="F2F2F2"/>
            <w:noWrap/>
            <w:vAlign w:val="center"/>
            <w:hideMark/>
          </w:tcPr>
          <w:p w14:paraId="2A7120B6" w14:textId="77777777" w:rsidR="00EC4A1C" w:rsidRPr="00D16BC5" w:rsidRDefault="00EC4A1C" w:rsidP="00D22441">
            <w:pPr>
              <w:jc w:val="right"/>
              <w:rPr>
                <w:rFonts w:ascii="Arial Narrow" w:hAnsi="Arial Narrow" w:cs="Arial"/>
                <w:spacing w:val="0"/>
                <w:sz w:val="16"/>
                <w:szCs w:val="16"/>
                <w:lang w:eastAsia="es-CO"/>
              </w:rPr>
            </w:pPr>
            <w:r w:rsidRPr="00D16BC5">
              <w:rPr>
                <w:rFonts w:ascii="Arial Narrow" w:hAnsi="Arial Narrow" w:cs="Arial"/>
                <w:spacing w:val="0"/>
                <w:sz w:val="16"/>
                <w:szCs w:val="16"/>
                <w:lang w:eastAsia="es-CO"/>
              </w:rPr>
              <w:t>$ 830.812.414</w:t>
            </w:r>
          </w:p>
        </w:tc>
      </w:tr>
      <w:tr w:rsidR="00EC4A1C" w:rsidRPr="00D16BC5" w14:paraId="30882AD4" w14:textId="77777777" w:rsidTr="00EC4A1C">
        <w:trPr>
          <w:trHeight w:val="450"/>
        </w:trPr>
        <w:tc>
          <w:tcPr>
            <w:tcW w:w="380" w:type="dxa"/>
            <w:tcBorders>
              <w:top w:val="nil"/>
              <w:left w:val="single" w:sz="4" w:space="0" w:color="auto"/>
              <w:bottom w:val="single" w:sz="4" w:space="0" w:color="auto"/>
              <w:right w:val="single" w:sz="4" w:space="0" w:color="auto"/>
            </w:tcBorders>
            <w:shd w:val="clear" w:color="000000" w:fill="F2F2F2"/>
            <w:noWrap/>
            <w:vAlign w:val="center"/>
            <w:hideMark/>
          </w:tcPr>
          <w:p w14:paraId="62B21ACE" w14:textId="77777777" w:rsidR="00EC4A1C" w:rsidRPr="00D16BC5" w:rsidRDefault="00EC4A1C" w:rsidP="00D22441">
            <w:pPr>
              <w:jc w:val="center"/>
              <w:rPr>
                <w:rFonts w:ascii="Arial Narrow" w:hAnsi="Arial Narrow" w:cs="Arial"/>
                <w:spacing w:val="0"/>
                <w:sz w:val="16"/>
                <w:szCs w:val="16"/>
                <w:lang w:eastAsia="es-CO"/>
              </w:rPr>
            </w:pPr>
            <w:r w:rsidRPr="00D16BC5">
              <w:rPr>
                <w:rFonts w:ascii="Arial Narrow" w:hAnsi="Arial Narrow" w:cs="Arial"/>
                <w:spacing w:val="0"/>
                <w:sz w:val="16"/>
                <w:szCs w:val="16"/>
                <w:lang w:eastAsia="es-CO"/>
              </w:rPr>
              <w:lastRenderedPageBreak/>
              <w:t>7</w:t>
            </w:r>
          </w:p>
        </w:tc>
        <w:tc>
          <w:tcPr>
            <w:tcW w:w="585" w:type="dxa"/>
            <w:tcBorders>
              <w:top w:val="nil"/>
              <w:left w:val="nil"/>
              <w:bottom w:val="single" w:sz="4" w:space="0" w:color="auto"/>
              <w:right w:val="single" w:sz="4" w:space="0" w:color="auto"/>
            </w:tcBorders>
            <w:shd w:val="clear" w:color="000000" w:fill="F2F2F2"/>
            <w:noWrap/>
            <w:vAlign w:val="center"/>
            <w:hideMark/>
          </w:tcPr>
          <w:p w14:paraId="65BB4F17" w14:textId="77777777" w:rsidR="00EC4A1C" w:rsidRPr="00D16BC5" w:rsidRDefault="00EC4A1C" w:rsidP="00D22441">
            <w:pPr>
              <w:jc w:val="right"/>
              <w:rPr>
                <w:rFonts w:ascii="Arial Narrow" w:hAnsi="Arial Narrow" w:cs="Arial"/>
                <w:spacing w:val="0"/>
                <w:sz w:val="16"/>
                <w:szCs w:val="16"/>
                <w:lang w:eastAsia="es-CO"/>
              </w:rPr>
            </w:pPr>
            <w:r w:rsidRPr="00D16BC5">
              <w:rPr>
                <w:rFonts w:ascii="Arial Narrow" w:hAnsi="Arial Narrow" w:cs="Arial"/>
                <w:spacing w:val="0"/>
                <w:sz w:val="16"/>
                <w:szCs w:val="16"/>
                <w:lang w:eastAsia="es-CO"/>
              </w:rPr>
              <w:t>564</w:t>
            </w:r>
          </w:p>
        </w:tc>
        <w:tc>
          <w:tcPr>
            <w:tcW w:w="941" w:type="dxa"/>
            <w:tcBorders>
              <w:top w:val="nil"/>
              <w:left w:val="nil"/>
              <w:bottom w:val="single" w:sz="4" w:space="0" w:color="auto"/>
              <w:right w:val="single" w:sz="4" w:space="0" w:color="auto"/>
            </w:tcBorders>
            <w:shd w:val="clear" w:color="000000" w:fill="F2F2F2"/>
            <w:noWrap/>
            <w:vAlign w:val="center"/>
            <w:hideMark/>
          </w:tcPr>
          <w:p w14:paraId="5DD601AA" w14:textId="77777777" w:rsidR="00EC4A1C" w:rsidRPr="00D16BC5" w:rsidRDefault="00EC4A1C" w:rsidP="00D22441">
            <w:pPr>
              <w:jc w:val="right"/>
              <w:rPr>
                <w:rFonts w:ascii="Arial Narrow" w:hAnsi="Arial Narrow" w:cs="Arial"/>
                <w:spacing w:val="0"/>
                <w:sz w:val="16"/>
                <w:szCs w:val="16"/>
                <w:lang w:eastAsia="es-CO"/>
              </w:rPr>
            </w:pPr>
            <w:r w:rsidRPr="00D16BC5">
              <w:rPr>
                <w:rFonts w:ascii="Arial Narrow" w:hAnsi="Arial Narrow" w:cs="Arial"/>
                <w:spacing w:val="0"/>
                <w:sz w:val="16"/>
                <w:szCs w:val="16"/>
                <w:lang w:eastAsia="es-CO"/>
              </w:rPr>
              <w:t>890904996</w:t>
            </w:r>
          </w:p>
        </w:tc>
        <w:tc>
          <w:tcPr>
            <w:tcW w:w="2400" w:type="dxa"/>
            <w:tcBorders>
              <w:top w:val="nil"/>
              <w:left w:val="nil"/>
              <w:bottom w:val="single" w:sz="4" w:space="0" w:color="auto"/>
              <w:right w:val="single" w:sz="4" w:space="0" w:color="auto"/>
            </w:tcBorders>
            <w:shd w:val="clear" w:color="000000" w:fill="F2F2F2"/>
            <w:vAlign w:val="center"/>
            <w:hideMark/>
          </w:tcPr>
          <w:p w14:paraId="760ACE91" w14:textId="77777777" w:rsidR="00EC4A1C" w:rsidRPr="00D16BC5" w:rsidRDefault="00EC4A1C" w:rsidP="00D22441">
            <w:pPr>
              <w:jc w:val="left"/>
              <w:rPr>
                <w:rFonts w:ascii="Arial Narrow" w:hAnsi="Arial Narrow" w:cs="Arial"/>
                <w:spacing w:val="0"/>
                <w:sz w:val="16"/>
                <w:szCs w:val="16"/>
                <w:lang w:eastAsia="es-CO"/>
              </w:rPr>
            </w:pPr>
            <w:r w:rsidRPr="00D16BC5">
              <w:rPr>
                <w:rFonts w:ascii="Arial Narrow" w:hAnsi="Arial Narrow" w:cs="Arial"/>
                <w:spacing w:val="0"/>
                <w:sz w:val="16"/>
                <w:szCs w:val="16"/>
                <w:lang w:eastAsia="es-CO"/>
              </w:rPr>
              <w:t>EMPRESAS PÚBLICAS DE MEDELLIN E.S.P.</w:t>
            </w:r>
          </w:p>
        </w:tc>
        <w:tc>
          <w:tcPr>
            <w:tcW w:w="1502" w:type="dxa"/>
            <w:tcBorders>
              <w:top w:val="nil"/>
              <w:left w:val="nil"/>
              <w:bottom w:val="single" w:sz="4" w:space="0" w:color="auto"/>
              <w:right w:val="single" w:sz="4" w:space="0" w:color="auto"/>
            </w:tcBorders>
            <w:shd w:val="clear" w:color="000000" w:fill="F2F2F2"/>
            <w:noWrap/>
            <w:vAlign w:val="center"/>
            <w:hideMark/>
          </w:tcPr>
          <w:p w14:paraId="17A37B87" w14:textId="77777777" w:rsidR="00EC4A1C" w:rsidRPr="00D16BC5" w:rsidRDefault="00EC4A1C" w:rsidP="00D22441">
            <w:pPr>
              <w:jc w:val="right"/>
              <w:rPr>
                <w:rFonts w:ascii="Arial Narrow" w:hAnsi="Arial Narrow" w:cs="Arial"/>
                <w:spacing w:val="0"/>
                <w:sz w:val="16"/>
                <w:szCs w:val="16"/>
                <w:lang w:eastAsia="es-CO"/>
              </w:rPr>
            </w:pPr>
            <w:r w:rsidRPr="00D16BC5">
              <w:rPr>
                <w:rFonts w:ascii="Arial Narrow" w:hAnsi="Arial Narrow" w:cs="Arial"/>
                <w:spacing w:val="0"/>
                <w:sz w:val="16"/>
                <w:szCs w:val="16"/>
                <w:lang w:eastAsia="es-CO"/>
              </w:rPr>
              <w:t>$ 506.987.283.000</w:t>
            </w:r>
          </w:p>
        </w:tc>
        <w:tc>
          <w:tcPr>
            <w:tcW w:w="1413" w:type="dxa"/>
            <w:tcBorders>
              <w:top w:val="nil"/>
              <w:left w:val="nil"/>
              <w:bottom w:val="single" w:sz="4" w:space="0" w:color="auto"/>
              <w:right w:val="single" w:sz="4" w:space="0" w:color="auto"/>
            </w:tcBorders>
            <w:shd w:val="clear" w:color="000000" w:fill="F2F2F2"/>
            <w:noWrap/>
            <w:vAlign w:val="center"/>
            <w:hideMark/>
          </w:tcPr>
          <w:p w14:paraId="75C69E6A" w14:textId="77777777" w:rsidR="00EC4A1C" w:rsidRPr="00D16BC5" w:rsidRDefault="00EC4A1C" w:rsidP="00D22441">
            <w:pPr>
              <w:jc w:val="right"/>
              <w:rPr>
                <w:rFonts w:ascii="Arial Narrow" w:hAnsi="Arial Narrow" w:cs="Arial"/>
                <w:spacing w:val="0"/>
                <w:sz w:val="16"/>
                <w:szCs w:val="16"/>
                <w:lang w:eastAsia="es-CO"/>
              </w:rPr>
            </w:pPr>
            <w:r w:rsidRPr="00D16BC5">
              <w:rPr>
                <w:rFonts w:ascii="Arial Narrow" w:hAnsi="Arial Narrow" w:cs="Arial"/>
                <w:spacing w:val="0"/>
                <w:sz w:val="16"/>
                <w:szCs w:val="16"/>
                <w:lang w:eastAsia="es-CO"/>
              </w:rPr>
              <w:t>$ 44.783.713.929</w:t>
            </w:r>
          </w:p>
        </w:tc>
        <w:tc>
          <w:tcPr>
            <w:tcW w:w="1621" w:type="dxa"/>
            <w:tcBorders>
              <w:top w:val="nil"/>
              <w:left w:val="nil"/>
              <w:bottom w:val="single" w:sz="4" w:space="0" w:color="auto"/>
              <w:right w:val="single" w:sz="4" w:space="0" w:color="auto"/>
            </w:tcBorders>
            <w:shd w:val="clear" w:color="000000" w:fill="F2F2F2"/>
            <w:noWrap/>
            <w:vAlign w:val="center"/>
            <w:hideMark/>
          </w:tcPr>
          <w:p w14:paraId="5FB8476F" w14:textId="77777777" w:rsidR="00EC4A1C" w:rsidRPr="00D16BC5" w:rsidRDefault="00EC4A1C" w:rsidP="00D22441">
            <w:pPr>
              <w:jc w:val="right"/>
              <w:rPr>
                <w:rFonts w:ascii="Arial Narrow" w:hAnsi="Arial Narrow" w:cs="Arial"/>
                <w:spacing w:val="0"/>
                <w:sz w:val="16"/>
                <w:szCs w:val="16"/>
                <w:lang w:eastAsia="es-CO"/>
              </w:rPr>
            </w:pPr>
            <w:r w:rsidRPr="00D16BC5">
              <w:rPr>
                <w:rFonts w:ascii="Arial Narrow" w:hAnsi="Arial Narrow" w:cs="Arial"/>
                <w:spacing w:val="0"/>
                <w:sz w:val="16"/>
                <w:szCs w:val="16"/>
                <w:lang w:eastAsia="es-CO"/>
              </w:rPr>
              <w:t>$ 551.770.996.929</w:t>
            </w:r>
          </w:p>
        </w:tc>
        <w:tc>
          <w:tcPr>
            <w:tcW w:w="1324" w:type="dxa"/>
            <w:tcBorders>
              <w:top w:val="nil"/>
              <w:left w:val="nil"/>
              <w:bottom w:val="single" w:sz="4" w:space="0" w:color="auto"/>
              <w:right w:val="single" w:sz="4" w:space="0" w:color="auto"/>
            </w:tcBorders>
            <w:shd w:val="clear" w:color="000000" w:fill="F2F2F2"/>
            <w:noWrap/>
            <w:vAlign w:val="center"/>
            <w:hideMark/>
          </w:tcPr>
          <w:p w14:paraId="3B996223" w14:textId="77777777" w:rsidR="00EC4A1C" w:rsidRPr="00D16BC5" w:rsidRDefault="00EC4A1C" w:rsidP="00D22441">
            <w:pPr>
              <w:jc w:val="right"/>
              <w:rPr>
                <w:rFonts w:ascii="Arial Narrow" w:hAnsi="Arial Narrow" w:cs="Arial"/>
                <w:spacing w:val="0"/>
                <w:sz w:val="16"/>
                <w:szCs w:val="16"/>
                <w:lang w:eastAsia="es-CO"/>
              </w:rPr>
            </w:pPr>
            <w:r w:rsidRPr="00D16BC5">
              <w:rPr>
                <w:rFonts w:ascii="Arial Narrow" w:hAnsi="Arial Narrow" w:cs="Arial"/>
                <w:spacing w:val="0"/>
                <w:sz w:val="16"/>
                <w:szCs w:val="16"/>
                <w:lang w:eastAsia="es-CO"/>
              </w:rPr>
              <w:t>$ 5.517.709.969</w:t>
            </w:r>
          </w:p>
        </w:tc>
        <w:tc>
          <w:tcPr>
            <w:tcW w:w="1029" w:type="dxa"/>
            <w:tcBorders>
              <w:top w:val="nil"/>
              <w:left w:val="nil"/>
              <w:bottom w:val="single" w:sz="4" w:space="0" w:color="auto"/>
              <w:right w:val="single" w:sz="4" w:space="0" w:color="auto"/>
            </w:tcBorders>
            <w:shd w:val="clear" w:color="000000" w:fill="F2F2F2"/>
            <w:noWrap/>
            <w:vAlign w:val="center"/>
            <w:hideMark/>
          </w:tcPr>
          <w:p w14:paraId="0656B960" w14:textId="77777777" w:rsidR="00EC4A1C" w:rsidRPr="00D16BC5" w:rsidRDefault="00EC4A1C" w:rsidP="00D22441">
            <w:pPr>
              <w:jc w:val="right"/>
              <w:rPr>
                <w:rFonts w:ascii="Arial Narrow" w:hAnsi="Arial Narrow" w:cs="Arial"/>
                <w:spacing w:val="0"/>
                <w:sz w:val="16"/>
                <w:szCs w:val="16"/>
                <w:lang w:eastAsia="es-CO"/>
              </w:rPr>
            </w:pPr>
            <w:r w:rsidRPr="00D16BC5">
              <w:rPr>
                <w:rFonts w:ascii="Arial Narrow" w:hAnsi="Arial Narrow" w:cs="Arial"/>
                <w:spacing w:val="0"/>
                <w:sz w:val="16"/>
                <w:szCs w:val="16"/>
                <w:lang w:eastAsia="es-CO"/>
              </w:rPr>
              <w:t>$ 229.628</w:t>
            </w:r>
          </w:p>
        </w:tc>
        <w:tc>
          <w:tcPr>
            <w:tcW w:w="2036" w:type="dxa"/>
            <w:tcBorders>
              <w:top w:val="nil"/>
              <w:left w:val="nil"/>
              <w:bottom w:val="single" w:sz="4" w:space="0" w:color="auto"/>
              <w:right w:val="single" w:sz="4" w:space="0" w:color="auto"/>
            </w:tcBorders>
            <w:shd w:val="clear" w:color="000000" w:fill="F2F2F2"/>
            <w:noWrap/>
            <w:vAlign w:val="center"/>
            <w:hideMark/>
          </w:tcPr>
          <w:p w14:paraId="4812577D" w14:textId="77777777" w:rsidR="00EC4A1C" w:rsidRPr="00D16BC5" w:rsidRDefault="00EC4A1C" w:rsidP="00D22441">
            <w:pPr>
              <w:jc w:val="right"/>
              <w:rPr>
                <w:rFonts w:ascii="Arial Narrow" w:hAnsi="Arial Narrow" w:cs="Arial"/>
                <w:spacing w:val="0"/>
                <w:sz w:val="16"/>
                <w:szCs w:val="16"/>
                <w:lang w:eastAsia="es-CO"/>
              </w:rPr>
            </w:pPr>
            <w:r w:rsidRPr="00D16BC5">
              <w:rPr>
                <w:rFonts w:ascii="Arial Narrow" w:hAnsi="Arial Narrow" w:cs="Arial"/>
                <w:spacing w:val="0"/>
                <w:sz w:val="16"/>
                <w:szCs w:val="16"/>
                <w:lang w:eastAsia="es-CO"/>
              </w:rPr>
              <w:t>$ 5.517.939.598</w:t>
            </w:r>
          </w:p>
        </w:tc>
      </w:tr>
      <w:tr w:rsidR="00EC4A1C" w:rsidRPr="00D16BC5" w14:paraId="21E00A7A" w14:textId="77777777" w:rsidTr="00EC4A1C">
        <w:trPr>
          <w:trHeight w:val="450"/>
        </w:trPr>
        <w:tc>
          <w:tcPr>
            <w:tcW w:w="380" w:type="dxa"/>
            <w:tcBorders>
              <w:top w:val="nil"/>
              <w:left w:val="single" w:sz="4" w:space="0" w:color="auto"/>
              <w:bottom w:val="single" w:sz="4" w:space="0" w:color="auto"/>
              <w:right w:val="single" w:sz="4" w:space="0" w:color="auto"/>
            </w:tcBorders>
            <w:shd w:val="clear" w:color="000000" w:fill="F2F2F2"/>
            <w:noWrap/>
            <w:vAlign w:val="center"/>
            <w:hideMark/>
          </w:tcPr>
          <w:p w14:paraId="72DFC535" w14:textId="77777777" w:rsidR="00EC4A1C" w:rsidRPr="00D16BC5" w:rsidRDefault="00EC4A1C" w:rsidP="00D22441">
            <w:pPr>
              <w:jc w:val="center"/>
              <w:rPr>
                <w:rFonts w:ascii="Arial Narrow" w:hAnsi="Arial Narrow" w:cs="Arial"/>
                <w:spacing w:val="0"/>
                <w:sz w:val="16"/>
                <w:szCs w:val="16"/>
                <w:lang w:eastAsia="es-CO"/>
              </w:rPr>
            </w:pPr>
            <w:r w:rsidRPr="00D16BC5">
              <w:rPr>
                <w:rFonts w:ascii="Arial Narrow" w:hAnsi="Arial Narrow" w:cs="Arial"/>
                <w:spacing w:val="0"/>
                <w:sz w:val="16"/>
                <w:szCs w:val="16"/>
                <w:lang w:eastAsia="es-CO"/>
              </w:rPr>
              <w:t>8</w:t>
            </w:r>
          </w:p>
        </w:tc>
        <w:tc>
          <w:tcPr>
            <w:tcW w:w="585" w:type="dxa"/>
            <w:tcBorders>
              <w:top w:val="nil"/>
              <w:left w:val="nil"/>
              <w:bottom w:val="single" w:sz="4" w:space="0" w:color="auto"/>
              <w:right w:val="single" w:sz="4" w:space="0" w:color="auto"/>
            </w:tcBorders>
            <w:shd w:val="clear" w:color="000000" w:fill="F2F2F2"/>
            <w:noWrap/>
            <w:vAlign w:val="center"/>
            <w:hideMark/>
          </w:tcPr>
          <w:p w14:paraId="0D9D69F5" w14:textId="77777777" w:rsidR="00EC4A1C" w:rsidRPr="00D16BC5" w:rsidRDefault="00EC4A1C" w:rsidP="00D22441">
            <w:pPr>
              <w:jc w:val="right"/>
              <w:rPr>
                <w:rFonts w:ascii="Arial Narrow" w:hAnsi="Arial Narrow" w:cs="Arial"/>
                <w:spacing w:val="0"/>
                <w:sz w:val="16"/>
                <w:szCs w:val="16"/>
                <w:lang w:eastAsia="es-CO"/>
              </w:rPr>
            </w:pPr>
            <w:r w:rsidRPr="00D16BC5">
              <w:rPr>
                <w:rFonts w:ascii="Arial Narrow" w:hAnsi="Arial Narrow" w:cs="Arial"/>
                <w:spacing w:val="0"/>
                <w:sz w:val="16"/>
                <w:szCs w:val="16"/>
                <w:lang w:eastAsia="es-CO"/>
              </w:rPr>
              <w:t>22511</w:t>
            </w:r>
          </w:p>
        </w:tc>
        <w:tc>
          <w:tcPr>
            <w:tcW w:w="941" w:type="dxa"/>
            <w:tcBorders>
              <w:top w:val="nil"/>
              <w:left w:val="nil"/>
              <w:bottom w:val="single" w:sz="4" w:space="0" w:color="auto"/>
              <w:right w:val="single" w:sz="4" w:space="0" w:color="auto"/>
            </w:tcBorders>
            <w:shd w:val="clear" w:color="000000" w:fill="F2F2F2"/>
            <w:noWrap/>
            <w:vAlign w:val="center"/>
            <w:hideMark/>
          </w:tcPr>
          <w:p w14:paraId="6AF69E77" w14:textId="77777777" w:rsidR="00EC4A1C" w:rsidRPr="00D16BC5" w:rsidRDefault="00EC4A1C" w:rsidP="00D22441">
            <w:pPr>
              <w:jc w:val="right"/>
              <w:rPr>
                <w:rFonts w:ascii="Arial Narrow" w:hAnsi="Arial Narrow" w:cs="Arial"/>
                <w:spacing w:val="0"/>
                <w:sz w:val="16"/>
                <w:szCs w:val="16"/>
                <w:lang w:eastAsia="es-CO"/>
              </w:rPr>
            </w:pPr>
            <w:r w:rsidRPr="00D16BC5">
              <w:rPr>
                <w:rFonts w:ascii="Arial Narrow" w:hAnsi="Arial Narrow" w:cs="Arial"/>
                <w:spacing w:val="0"/>
                <w:sz w:val="16"/>
                <w:szCs w:val="16"/>
                <w:lang w:eastAsia="es-CO"/>
              </w:rPr>
              <w:t>900251955</w:t>
            </w:r>
          </w:p>
        </w:tc>
        <w:tc>
          <w:tcPr>
            <w:tcW w:w="2400" w:type="dxa"/>
            <w:tcBorders>
              <w:top w:val="nil"/>
              <w:left w:val="nil"/>
              <w:bottom w:val="single" w:sz="4" w:space="0" w:color="auto"/>
              <w:right w:val="single" w:sz="4" w:space="0" w:color="auto"/>
            </w:tcBorders>
            <w:shd w:val="clear" w:color="000000" w:fill="F2F2F2"/>
            <w:vAlign w:val="center"/>
            <w:hideMark/>
          </w:tcPr>
          <w:p w14:paraId="122A197E" w14:textId="77777777" w:rsidR="00EC4A1C" w:rsidRPr="00D16BC5" w:rsidRDefault="00EC4A1C" w:rsidP="00D22441">
            <w:pPr>
              <w:jc w:val="left"/>
              <w:rPr>
                <w:rFonts w:ascii="Arial Narrow" w:hAnsi="Arial Narrow" w:cs="Arial"/>
                <w:spacing w:val="0"/>
                <w:sz w:val="16"/>
                <w:szCs w:val="16"/>
                <w:lang w:eastAsia="es-CO"/>
              </w:rPr>
            </w:pPr>
            <w:r w:rsidRPr="00D16BC5">
              <w:rPr>
                <w:rFonts w:ascii="Arial Narrow" w:hAnsi="Arial Narrow" w:cs="Arial"/>
                <w:spacing w:val="0"/>
                <w:sz w:val="16"/>
                <w:szCs w:val="16"/>
                <w:lang w:eastAsia="es-CO"/>
              </w:rPr>
              <w:t>EMPRESA MUNICIPAL DE SERVICIOS PUBLICOS DE OROCUE SA ESP</w:t>
            </w:r>
          </w:p>
        </w:tc>
        <w:tc>
          <w:tcPr>
            <w:tcW w:w="1502" w:type="dxa"/>
            <w:tcBorders>
              <w:top w:val="nil"/>
              <w:left w:val="nil"/>
              <w:bottom w:val="single" w:sz="4" w:space="0" w:color="auto"/>
              <w:right w:val="single" w:sz="4" w:space="0" w:color="auto"/>
            </w:tcBorders>
            <w:shd w:val="clear" w:color="000000" w:fill="F2F2F2"/>
            <w:noWrap/>
            <w:vAlign w:val="center"/>
            <w:hideMark/>
          </w:tcPr>
          <w:p w14:paraId="7420BDBA" w14:textId="77777777" w:rsidR="00EC4A1C" w:rsidRPr="00D16BC5" w:rsidRDefault="00EC4A1C" w:rsidP="00D22441">
            <w:pPr>
              <w:jc w:val="right"/>
              <w:rPr>
                <w:rFonts w:ascii="Arial Narrow" w:hAnsi="Arial Narrow" w:cs="Arial"/>
                <w:spacing w:val="0"/>
                <w:sz w:val="16"/>
                <w:szCs w:val="16"/>
                <w:lang w:eastAsia="es-CO"/>
              </w:rPr>
            </w:pPr>
            <w:r w:rsidRPr="00D16BC5">
              <w:rPr>
                <w:rFonts w:ascii="Arial Narrow" w:hAnsi="Arial Narrow" w:cs="Arial"/>
                <w:spacing w:val="0"/>
                <w:sz w:val="16"/>
                <w:szCs w:val="16"/>
                <w:lang w:eastAsia="es-CO"/>
              </w:rPr>
              <w:t>$ 341.779.000</w:t>
            </w:r>
          </w:p>
        </w:tc>
        <w:tc>
          <w:tcPr>
            <w:tcW w:w="1413" w:type="dxa"/>
            <w:tcBorders>
              <w:top w:val="nil"/>
              <w:left w:val="nil"/>
              <w:bottom w:val="single" w:sz="4" w:space="0" w:color="auto"/>
              <w:right w:val="single" w:sz="4" w:space="0" w:color="auto"/>
            </w:tcBorders>
            <w:shd w:val="clear" w:color="000000" w:fill="F2F2F2"/>
            <w:noWrap/>
            <w:vAlign w:val="center"/>
            <w:hideMark/>
          </w:tcPr>
          <w:p w14:paraId="271B894D" w14:textId="77777777" w:rsidR="00EC4A1C" w:rsidRPr="00D16BC5" w:rsidRDefault="00EC4A1C" w:rsidP="00D22441">
            <w:pPr>
              <w:jc w:val="right"/>
              <w:rPr>
                <w:rFonts w:ascii="Arial Narrow" w:hAnsi="Arial Narrow" w:cs="Arial"/>
                <w:spacing w:val="0"/>
                <w:sz w:val="16"/>
                <w:szCs w:val="16"/>
                <w:lang w:eastAsia="es-CO"/>
              </w:rPr>
            </w:pPr>
            <w:r w:rsidRPr="00D16BC5">
              <w:rPr>
                <w:rFonts w:ascii="Arial Narrow" w:hAnsi="Arial Narrow" w:cs="Arial"/>
                <w:spacing w:val="0"/>
                <w:sz w:val="16"/>
                <w:szCs w:val="16"/>
                <w:lang w:eastAsia="es-CO"/>
              </w:rPr>
              <w:t>$ 0</w:t>
            </w:r>
          </w:p>
        </w:tc>
        <w:tc>
          <w:tcPr>
            <w:tcW w:w="1621" w:type="dxa"/>
            <w:tcBorders>
              <w:top w:val="nil"/>
              <w:left w:val="nil"/>
              <w:bottom w:val="single" w:sz="4" w:space="0" w:color="auto"/>
              <w:right w:val="single" w:sz="4" w:space="0" w:color="auto"/>
            </w:tcBorders>
            <w:shd w:val="clear" w:color="000000" w:fill="F2F2F2"/>
            <w:noWrap/>
            <w:vAlign w:val="center"/>
            <w:hideMark/>
          </w:tcPr>
          <w:p w14:paraId="666F04D8" w14:textId="77777777" w:rsidR="00EC4A1C" w:rsidRPr="00D16BC5" w:rsidRDefault="00EC4A1C" w:rsidP="00D22441">
            <w:pPr>
              <w:jc w:val="right"/>
              <w:rPr>
                <w:rFonts w:ascii="Arial Narrow" w:hAnsi="Arial Narrow" w:cs="Arial"/>
                <w:spacing w:val="0"/>
                <w:sz w:val="16"/>
                <w:szCs w:val="16"/>
                <w:lang w:eastAsia="es-CO"/>
              </w:rPr>
            </w:pPr>
            <w:r w:rsidRPr="00D16BC5">
              <w:rPr>
                <w:rFonts w:ascii="Arial Narrow" w:hAnsi="Arial Narrow" w:cs="Arial"/>
                <w:spacing w:val="0"/>
                <w:sz w:val="16"/>
                <w:szCs w:val="16"/>
                <w:lang w:eastAsia="es-CO"/>
              </w:rPr>
              <w:t>$ 341.779.000</w:t>
            </w:r>
          </w:p>
        </w:tc>
        <w:tc>
          <w:tcPr>
            <w:tcW w:w="1324" w:type="dxa"/>
            <w:tcBorders>
              <w:top w:val="nil"/>
              <w:left w:val="nil"/>
              <w:bottom w:val="single" w:sz="4" w:space="0" w:color="auto"/>
              <w:right w:val="single" w:sz="4" w:space="0" w:color="auto"/>
            </w:tcBorders>
            <w:shd w:val="clear" w:color="000000" w:fill="F2F2F2"/>
            <w:noWrap/>
            <w:vAlign w:val="center"/>
            <w:hideMark/>
          </w:tcPr>
          <w:p w14:paraId="4C19C34F" w14:textId="77777777" w:rsidR="00EC4A1C" w:rsidRPr="00D16BC5" w:rsidRDefault="00EC4A1C" w:rsidP="00D22441">
            <w:pPr>
              <w:jc w:val="right"/>
              <w:rPr>
                <w:rFonts w:ascii="Arial Narrow" w:hAnsi="Arial Narrow" w:cs="Arial"/>
                <w:spacing w:val="0"/>
                <w:sz w:val="16"/>
                <w:szCs w:val="16"/>
                <w:lang w:eastAsia="es-CO"/>
              </w:rPr>
            </w:pPr>
            <w:r w:rsidRPr="00D16BC5">
              <w:rPr>
                <w:rFonts w:ascii="Arial Narrow" w:hAnsi="Arial Narrow" w:cs="Arial"/>
                <w:spacing w:val="0"/>
                <w:sz w:val="16"/>
                <w:szCs w:val="16"/>
                <w:lang w:eastAsia="es-CO"/>
              </w:rPr>
              <w:t>$ 3.417.790</w:t>
            </w:r>
          </w:p>
        </w:tc>
        <w:tc>
          <w:tcPr>
            <w:tcW w:w="1029" w:type="dxa"/>
            <w:tcBorders>
              <w:top w:val="nil"/>
              <w:left w:val="nil"/>
              <w:bottom w:val="single" w:sz="4" w:space="0" w:color="auto"/>
              <w:right w:val="single" w:sz="4" w:space="0" w:color="auto"/>
            </w:tcBorders>
            <w:shd w:val="clear" w:color="000000" w:fill="F2F2F2"/>
            <w:noWrap/>
            <w:vAlign w:val="center"/>
            <w:hideMark/>
          </w:tcPr>
          <w:p w14:paraId="13669CAC" w14:textId="77777777" w:rsidR="00EC4A1C" w:rsidRPr="00D16BC5" w:rsidRDefault="00EC4A1C" w:rsidP="00D22441">
            <w:pPr>
              <w:jc w:val="right"/>
              <w:rPr>
                <w:rFonts w:ascii="Arial Narrow" w:hAnsi="Arial Narrow" w:cs="Arial"/>
                <w:spacing w:val="0"/>
                <w:sz w:val="16"/>
                <w:szCs w:val="16"/>
                <w:lang w:eastAsia="es-CO"/>
              </w:rPr>
            </w:pPr>
            <w:r w:rsidRPr="00D16BC5">
              <w:rPr>
                <w:rFonts w:ascii="Arial Narrow" w:hAnsi="Arial Narrow" w:cs="Arial"/>
                <w:spacing w:val="0"/>
                <w:sz w:val="16"/>
                <w:szCs w:val="16"/>
                <w:lang w:eastAsia="es-CO"/>
              </w:rPr>
              <w:t>$ 142</w:t>
            </w:r>
          </w:p>
        </w:tc>
        <w:tc>
          <w:tcPr>
            <w:tcW w:w="2036" w:type="dxa"/>
            <w:tcBorders>
              <w:top w:val="nil"/>
              <w:left w:val="nil"/>
              <w:bottom w:val="single" w:sz="4" w:space="0" w:color="auto"/>
              <w:right w:val="single" w:sz="4" w:space="0" w:color="auto"/>
            </w:tcBorders>
            <w:shd w:val="clear" w:color="000000" w:fill="F2F2F2"/>
            <w:noWrap/>
            <w:vAlign w:val="center"/>
            <w:hideMark/>
          </w:tcPr>
          <w:p w14:paraId="62952655" w14:textId="77777777" w:rsidR="00EC4A1C" w:rsidRPr="00D16BC5" w:rsidRDefault="00EC4A1C" w:rsidP="00D22441">
            <w:pPr>
              <w:jc w:val="right"/>
              <w:rPr>
                <w:rFonts w:ascii="Arial Narrow" w:hAnsi="Arial Narrow" w:cs="Arial"/>
                <w:spacing w:val="0"/>
                <w:sz w:val="16"/>
                <w:szCs w:val="16"/>
                <w:lang w:eastAsia="es-CO"/>
              </w:rPr>
            </w:pPr>
            <w:r w:rsidRPr="00D16BC5">
              <w:rPr>
                <w:rFonts w:ascii="Arial Narrow" w:hAnsi="Arial Narrow" w:cs="Arial"/>
                <w:spacing w:val="0"/>
                <w:sz w:val="16"/>
                <w:szCs w:val="16"/>
                <w:lang w:eastAsia="es-CO"/>
              </w:rPr>
              <w:t>$ 3.417.932</w:t>
            </w:r>
          </w:p>
        </w:tc>
      </w:tr>
      <w:tr w:rsidR="00EC4A1C" w:rsidRPr="00D16BC5" w14:paraId="4B307D70" w14:textId="77777777" w:rsidTr="00EC4A1C">
        <w:trPr>
          <w:trHeight w:val="450"/>
        </w:trPr>
        <w:tc>
          <w:tcPr>
            <w:tcW w:w="380" w:type="dxa"/>
            <w:tcBorders>
              <w:top w:val="nil"/>
              <w:left w:val="single" w:sz="4" w:space="0" w:color="auto"/>
              <w:bottom w:val="single" w:sz="4" w:space="0" w:color="auto"/>
              <w:right w:val="single" w:sz="4" w:space="0" w:color="auto"/>
            </w:tcBorders>
            <w:shd w:val="clear" w:color="000000" w:fill="F2F2F2"/>
            <w:noWrap/>
            <w:vAlign w:val="center"/>
            <w:hideMark/>
          </w:tcPr>
          <w:p w14:paraId="2AFEBA6C" w14:textId="77777777" w:rsidR="00EC4A1C" w:rsidRPr="00D16BC5" w:rsidRDefault="00EC4A1C" w:rsidP="00D22441">
            <w:pPr>
              <w:jc w:val="center"/>
              <w:rPr>
                <w:rFonts w:ascii="Arial Narrow" w:hAnsi="Arial Narrow" w:cs="Arial"/>
                <w:spacing w:val="0"/>
                <w:sz w:val="16"/>
                <w:szCs w:val="16"/>
                <w:lang w:eastAsia="es-CO"/>
              </w:rPr>
            </w:pPr>
            <w:r w:rsidRPr="00D16BC5">
              <w:rPr>
                <w:rFonts w:ascii="Arial Narrow" w:hAnsi="Arial Narrow" w:cs="Arial"/>
                <w:spacing w:val="0"/>
                <w:sz w:val="16"/>
                <w:szCs w:val="16"/>
                <w:lang w:eastAsia="es-CO"/>
              </w:rPr>
              <w:t>9</w:t>
            </w:r>
          </w:p>
        </w:tc>
        <w:tc>
          <w:tcPr>
            <w:tcW w:w="585" w:type="dxa"/>
            <w:tcBorders>
              <w:top w:val="nil"/>
              <w:left w:val="nil"/>
              <w:bottom w:val="single" w:sz="4" w:space="0" w:color="auto"/>
              <w:right w:val="single" w:sz="4" w:space="0" w:color="auto"/>
            </w:tcBorders>
            <w:shd w:val="clear" w:color="000000" w:fill="F2F2F2"/>
            <w:noWrap/>
            <w:vAlign w:val="center"/>
            <w:hideMark/>
          </w:tcPr>
          <w:p w14:paraId="09427B62" w14:textId="77777777" w:rsidR="00EC4A1C" w:rsidRPr="00D16BC5" w:rsidRDefault="00EC4A1C" w:rsidP="00D22441">
            <w:pPr>
              <w:jc w:val="right"/>
              <w:rPr>
                <w:rFonts w:ascii="Arial Narrow" w:hAnsi="Arial Narrow" w:cs="Arial"/>
                <w:spacing w:val="0"/>
                <w:sz w:val="16"/>
                <w:szCs w:val="16"/>
                <w:lang w:eastAsia="es-CO"/>
              </w:rPr>
            </w:pPr>
            <w:r w:rsidRPr="00D16BC5">
              <w:rPr>
                <w:rFonts w:ascii="Arial Narrow" w:hAnsi="Arial Narrow" w:cs="Arial"/>
                <w:spacing w:val="0"/>
                <w:sz w:val="16"/>
                <w:szCs w:val="16"/>
                <w:lang w:eastAsia="es-CO"/>
              </w:rPr>
              <w:t>26772</w:t>
            </w:r>
          </w:p>
        </w:tc>
        <w:tc>
          <w:tcPr>
            <w:tcW w:w="941" w:type="dxa"/>
            <w:tcBorders>
              <w:top w:val="nil"/>
              <w:left w:val="nil"/>
              <w:bottom w:val="single" w:sz="4" w:space="0" w:color="auto"/>
              <w:right w:val="single" w:sz="4" w:space="0" w:color="auto"/>
            </w:tcBorders>
            <w:shd w:val="clear" w:color="000000" w:fill="F2F2F2"/>
            <w:noWrap/>
            <w:vAlign w:val="center"/>
            <w:hideMark/>
          </w:tcPr>
          <w:p w14:paraId="56841047" w14:textId="77777777" w:rsidR="00EC4A1C" w:rsidRPr="00D16BC5" w:rsidRDefault="00EC4A1C" w:rsidP="00D22441">
            <w:pPr>
              <w:jc w:val="right"/>
              <w:rPr>
                <w:rFonts w:ascii="Arial Narrow" w:hAnsi="Arial Narrow" w:cs="Arial"/>
                <w:spacing w:val="0"/>
                <w:sz w:val="16"/>
                <w:szCs w:val="16"/>
                <w:lang w:eastAsia="es-CO"/>
              </w:rPr>
            </w:pPr>
            <w:r w:rsidRPr="00D16BC5">
              <w:rPr>
                <w:rFonts w:ascii="Arial Narrow" w:hAnsi="Arial Narrow" w:cs="Arial"/>
                <w:spacing w:val="0"/>
                <w:sz w:val="16"/>
                <w:szCs w:val="16"/>
                <w:lang w:eastAsia="es-CO"/>
              </w:rPr>
              <w:t>900648934</w:t>
            </w:r>
          </w:p>
        </w:tc>
        <w:tc>
          <w:tcPr>
            <w:tcW w:w="2400" w:type="dxa"/>
            <w:tcBorders>
              <w:top w:val="nil"/>
              <w:left w:val="nil"/>
              <w:bottom w:val="single" w:sz="4" w:space="0" w:color="auto"/>
              <w:right w:val="single" w:sz="4" w:space="0" w:color="auto"/>
            </w:tcBorders>
            <w:shd w:val="clear" w:color="000000" w:fill="F2F2F2"/>
            <w:vAlign w:val="center"/>
            <w:hideMark/>
          </w:tcPr>
          <w:p w14:paraId="23715E0B" w14:textId="77777777" w:rsidR="00EC4A1C" w:rsidRPr="00D16BC5" w:rsidRDefault="00EC4A1C" w:rsidP="00D22441">
            <w:pPr>
              <w:jc w:val="left"/>
              <w:rPr>
                <w:rFonts w:ascii="Arial Narrow" w:hAnsi="Arial Narrow" w:cs="Arial"/>
                <w:spacing w:val="0"/>
                <w:sz w:val="16"/>
                <w:szCs w:val="16"/>
                <w:lang w:eastAsia="es-CO"/>
              </w:rPr>
            </w:pPr>
            <w:r w:rsidRPr="00D16BC5">
              <w:rPr>
                <w:rFonts w:ascii="Arial Narrow" w:hAnsi="Arial Narrow" w:cs="Arial"/>
                <w:spacing w:val="0"/>
                <w:sz w:val="16"/>
                <w:szCs w:val="16"/>
                <w:lang w:eastAsia="es-CO"/>
              </w:rPr>
              <w:t>EMPRESA DE SERVICIOS PUBLICOS DE SANTANDER S.A.E.S.P.</w:t>
            </w:r>
          </w:p>
        </w:tc>
        <w:tc>
          <w:tcPr>
            <w:tcW w:w="1502" w:type="dxa"/>
            <w:tcBorders>
              <w:top w:val="nil"/>
              <w:left w:val="nil"/>
              <w:bottom w:val="single" w:sz="4" w:space="0" w:color="auto"/>
              <w:right w:val="single" w:sz="4" w:space="0" w:color="auto"/>
            </w:tcBorders>
            <w:shd w:val="clear" w:color="000000" w:fill="F2F2F2"/>
            <w:noWrap/>
            <w:vAlign w:val="center"/>
            <w:hideMark/>
          </w:tcPr>
          <w:p w14:paraId="4F319533" w14:textId="77777777" w:rsidR="00EC4A1C" w:rsidRPr="00D16BC5" w:rsidRDefault="00EC4A1C" w:rsidP="00D22441">
            <w:pPr>
              <w:jc w:val="right"/>
              <w:rPr>
                <w:rFonts w:ascii="Arial Narrow" w:hAnsi="Arial Narrow" w:cs="Arial"/>
                <w:spacing w:val="0"/>
                <w:sz w:val="16"/>
                <w:szCs w:val="16"/>
                <w:lang w:eastAsia="es-CO"/>
              </w:rPr>
            </w:pPr>
            <w:r w:rsidRPr="00D16BC5">
              <w:rPr>
                <w:rFonts w:ascii="Arial Narrow" w:hAnsi="Arial Narrow" w:cs="Arial"/>
                <w:spacing w:val="0"/>
                <w:sz w:val="16"/>
                <w:szCs w:val="16"/>
                <w:lang w:eastAsia="es-CO"/>
              </w:rPr>
              <w:t>$ 398.295.000</w:t>
            </w:r>
          </w:p>
        </w:tc>
        <w:tc>
          <w:tcPr>
            <w:tcW w:w="1413" w:type="dxa"/>
            <w:tcBorders>
              <w:top w:val="nil"/>
              <w:left w:val="nil"/>
              <w:bottom w:val="single" w:sz="4" w:space="0" w:color="auto"/>
              <w:right w:val="single" w:sz="4" w:space="0" w:color="auto"/>
            </w:tcBorders>
            <w:shd w:val="clear" w:color="000000" w:fill="F2F2F2"/>
            <w:noWrap/>
            <w:vAlign w:val="center"/>
            <w:hideMark/>
          </w:tcPr>
          <w:p w14:paraId="3C35B120" w14:textId="77777777" w:rsidR="00EC4A1C" w:rsidRPr="00D16BC5" w:rsidRDefault="00EC4A1C" w:rsidP="00D22441">
            <w:pPr>
              <w:jc w:val="right"/>
              <w:rPr>
                <w:rFonts w:ascii="Arial Narrow" w:hAnsi="Arial Narrow" w:cs="Arial"/>
                <w:spacing w:val="0"/>
                <w:sz w:val="16"/>
                <w:szCs w:val="16"/>
                <w:lang w:eastAsia="es-CO"/>
              </w:rPr>
            </w:pPr>
            <w:r w:rsidRPr="00D16BC5">
              <w:rPr>
                <w:rFonts w:ascii="Arial Narrow" w:hAnsi="Arial Narrow" w:cs="Arial"/>
                <w:spacing w:val="0"/>
                <w:sz w:val="16"/>
                <w:szCs w:val="16"/>
                <w:lang w:eastAsia="es-CO"/>
              </w:rPr>
              <w:t>$ 0</w:t>
            </w:r>
          </w:p>
        </w:tc>
        <w:tc>
          <w:tcPr>
            <w:tcW w:w="1621" w:type="dxa"/>
            <w:tcBorders>
              <w:top w:val="nil"/>
              <w:left w:val="nil"/>
              <w:bottom w:val="single" w:sz="4" w:space="0" w:color="auto"/>
              <w:right w:val="single" w:sz="4" w:space="0" w:color="auto"/>
            </w:tcBorders>
            <w:shd w:val="clear" w:color="000000" w:fill="F2F2F2"/>
            <w:noWrap/>
            <w:vAlign w:val="center"/>
            <w:hideMark/>
          </w:tcPr>
          <w:p w14:paraId="72D8EC2B" w14:textId="77777777" w:rsidR="00EC4A1C" w:rsidRPr="00D16BC5" w:rsidRDefault="00EC4A1C" w:rsidP="00D22441">
            <w:pPr>
              <w:jc w:val="right"/>
              <w:rPr>
                <w:rFonts w:ascii="Arial Narrow" w:hAnsi="Arial Narrow" w:cs="Arial"/>
                <w:spacing w:val="0"/>
                <w:sz w:val="16"/>
                <w:szCs w:val="16"/>
                <w:lang w:eastAsia="es-CO"/>
              </w:rPr>
            </w:pPr>
            <w:r w:rsidRPr="00D16BC5">
              <w:rPr>
                <w:rFonts w:ascii="Arial Narrow" w:hAnsi="Arial Narrow" w:cs="Arial"/>
                <w:spacing w:val="0"/>
                <w:sz w:val="16"/>
                <w:szCs w:val="16"/>
                <w:lang w:eastAsia="es-CO"/>
              </w:rPr>
              <w:t>$ 398.295.000</w:t>
            </w:r>
          </w:p>
        </w:tc>
        <w:tc>
          <w:tcPr>
            <w:tcW w:w="1324" w:type="dxa"/>
            <w:tcBorders>
              <w:top w:val="nil"/>
              <w:left w:val="nil"/>
              <w:bottom w:val="single" w:sz="4" w:space="0" w:color="auto"/>
              <w:right w:val="single" w:sz="4" w:space="0" w:color="auto"/>
            </w:tcBorders>
            <w:shd w:val="clear" w:color="000000" w:fill="F2F2F2"/>
            <w:noWrap/>
            <w:vAlign w:val="center"/>
            <w:hideMark/>
          </w:tcPr>
          <w:p w14:paraId="06E91BC5" w14:textId="77777777" w:rsidR="00EC4A1C" w:rsidRPr="00D16BC5" w:rsidRDefault="00EC4A1C" w:rsidP="00D22441">
            <w:pPr>
              <w:jc w:val="right"/>
              <w:rPr>
                <w:rFonts w:ascii="Arial Narrow" w:hAnsi="Arial Narrow" w:cs="Arial"/>
                <w:spacing w:val="0"/>
                <w:sz w:val="16"/>
                <w:szCs w:val="16"/>
                <w:lang w:eastAsia="es-CO"/>
              </w:rPr>
            </w:pPr>
            <w:r w:rsidRPr="00D16BC5">
              <w:rPr>
                <w:rFonts w:ascii="Arial Narrow" w:hAnsi="Arial Narrow" w:cs="Arial"/>
                <w:spacing w:val="0"/>
                <w:sz w:val="16"/>
                <w:szCs w:val="16"/>
                <w:lang w:eastAsia="es-CO"/>
              </w:rPr>
              <w:t>$ 3.982.950</w:t>
            </w:r>
          </w:p>
        </w:tc>
        <w:tc>
          <w:tcPr>
            <w:tcW w:w="1029" w:type="dxa"/>
            <w:tcBorders>
              <w:top w:val="nil"/>
              <w:left w:val="nil"/>
              <w:bottom w:val="single" w:sz="4" w:space="0" w:color="auto"/>
              <w:right w:val="single" w:sz="4" w:space="0" w:color="auto"/>
            </w:tcBorders>
            <w:shd w:val="clear" w:color="000000" w:fill="F2F2F2"/>
            <w:noWrap/>
            <w:vAlign w:val="center"/>
            <w:hideMark/>
          </w:tcPr>
          <w:p w14:paraId="37DB08A4" w14:textId="77777777" w:rsidR="00EC4A1C" w:rsidRPr="00D16BC5" w:rsidRDefault="00EC4A1C" w:rsidP="00D22441">
            <w:pPr>
              <w:jc w:val="right"/>
              <w:rPr>
                <w:rFonts w:ascii="Arial Narrow" w:hAnsi="Arial Narrow" w:cs="Arial"/>
                <w:spacing w:val="0"/>
                <w:sz w:val="16"/>
                <w:szCs w:val="16"/>
                <w:lang w:eastAsia="es-CO"/>
              </w:rPr>
            </w:pPr>
            <w:r w:rsidRPr="00D16BC5">
              <w:rPr>
                <w:rFonts w:ascii="Arial Narrow" w:hAnsi="Arial Narrow" w:cs="Arial"/>
                <w:spacing w:val="0"/>
                <w:sz w:val="16"/>
                <w:szCs w:val="16"/>
                <w:lang w:eastAsia="es-CO"/>
              </w:rPr>
              <w:t>$ 166</w:t>
            </w:r>
          </w:p>
        </w:tc>
        <w:tc>
          <w:tcPr>
            <w:tcW w:w="2036" w:type="dxa"/>
            <w:tcBorders>
              <w:top w:val="nil"/>
              <w:left w:val="nil"/>
              <w:bottom w:val="single" w:sz="4" w:space="0" w:color="auto"/>
              <w:right w:val="single" w:sz="4" w:space="0" w:color="auto"/>
            </w:tcBorders>
            <w:shd w:val="clear" w:color="000000" w:fill="F2F2F2"/>
            <w:noWrap/>
            <w:vAlign w:val="center"/>
            <w:hideMark/>
          </w:tcPr>
          <w:p w14:paraId="68E75EA2" w14:textId="77777777" w:rsidR="00EC4A1C" w:rsidRPr="00D16BC5" w:rsidRDefault="00EC4A1C" w:rsidP="00D22441">
            <w:pPr>
              <w:jc w:val="right"/>
              <w:rPr>
                <w:rFonts w:ascii="Arial Narrow" w:hAnsi="Arial Narrow" w:cs="Arial"/>
                <w:spacing w:val="0"/>
                <w:sz w:val="16"/>
                <w:szCs w:val="16"/>
                <w:lang w:eastAsia="es-CO"/>
              </w:rPr>
            </w:pPr>
            <w:r w:rsidRPr="00D16BC5">
              <w:rPr>
                <w:rFonts w:ascii="Arial Narrow" w:hAnsi="Arial Narrow" w:cs="Arial"/>
                <w:spacing w:val="0"/>
                <w:sz w:val="16"/>
                <w:szCs w:val="16"/>
                <w:lang w:eastAsia="es-CO"/>
              </w:rPr>
              <w:t>$ 3.983.116</w:t>
            </w:r>
          </w:p>
        </w:tc>
      </w:tr>
    </w:tbl>
    <w:p w14:paraId="468BE86A" w14:textId="77777777" w:rsidR="00AC602E" w:rsidRDefault="00AC602E" w:rsidP="00D22441">
      <w:pPr>
        <w:jc w:val="left"/>
        <w:rPr>
          <w:sz w:val="22"/>
          <w:szCs w:val="22"/>
        </w:rPr>
        <w:sectPr w:rsidR="00AC602E" w:rsidSect="00AC602E">
          <w:pgSz w:w="15842" w:h="12242" w:orient="landscape" w:code="1"/>
          <w:pgMar w:top="1418" w:right="1418" w:bottom="1418" w:left="1418" w:header="709" w:footer="862" w:gutter="0"/>
          <w:cols w:space="720"/>
          <w:titlePg/>
          <w:docGrid w:linePitch="272"/>
        </w:sectPr>
      </w:pPr>
    </w:p>
    <w:p w14:paraId="1D0BEC39" w14:textId="6B38154D" w:rsidR="00C248B1" w:rsidRPr="00C248B1" w:rsidRDefault="00C248B1" w:rsidP="00D22441">
      <w:pPr>
        <w:pStyle w:val="Ttulo10"/>
        <w:numPr>
          <w:ilvl w:val="0"/>
          <w:numId w:val="37"/>
        </w:numPr>
        <w:spacing w:before="0" w:after="0"/>
        <w:rPr>
          <w:sz w:val="22"/>
          <w:szCs w:val="22"/>
        </w:rPr>
      </w:pPr>
      <w:bookmarkStart w:id="113" w:name="_Toc147154344"/>
      <w:r w:rsidRPr="00C248B1">
        <w:rPr>
          <w:sz w:val="22"/>
          <w:szCs w:val="22"/>
        </w:rPr>
        <w:lastRenderedPageBreak/>
        <w:t>PRELIQUIDACIÓN CONTRIBUCIÓN ESPECIAL</w:t>
      </w:r>
      <w:bookmarkEnd w:id="113"/>
    </w:p>
    <w:p w14:paraId="3A4BC970" w14:textId="1C220A80" w:rsidR="00C248B1" w:rsidRDefault="00C248B1" w:rsidP="00D22441">
      <w:pPr>
        <w:jc w:val="center"/>
        <w:rPr>
          <w:sz w:val="22"/>
          <w:szCs w:val="22"/>
        </w:rPr>
      </w:pPr>
    </w:p>
    <w:p w14:paraId="7E5AE78C" w14:textId="41CF82FC" w:rsidR="00C248B1" w:rsidRDefault="00C248B1" w:rsidP="00D22441">
      <w:pPr>
        <w:rPr>
          <w:rFonts w:cs="Arial"/>
          <w:sz w:val="22"/>
          <w:szCs w:val="22"/>
        </w:rPr>
      </w:pPr>
      <w:r>
        <w:rPr>
          <w:rFonts w:cs="Arial"/>
          <w:sz w:val="22"/>
          <w:szCs w:val="22"/>
        </w:rPr>
        <w:t xml:space="preserve">Con el fin de recibir comentarios. realizar ajustes e incorporarlos en una resolución </w:t>
      </w:r>
      <w:r w:rsidR="001B4EA9">
        <w:rPr>
          <w:rFonts w:cs="Arial"/>
          <w:sz w:val="22"/>
          <w:szCs w:val="22"/>
        </w:rPr>
        <w:t xml:space="preserve">de contribución especial </w:t>
      </w:r>
      <w:r>
        <w:rPr>
          <w:rFonts w:cs="Arial"/>
          <w:sz w:val="22"/>
          <w:szCs w:val="22"/>
        </w:rPr>
        <w:t>definitiva</w:t>
      </w:r>
      <w:r w:rsidR="00DE4315">
        <w:rPr>
          <w:rFonts w:cs="Arial"/>
          <w:sz w:val="22"/>
          <w:szCs w:val="22"/>
        </w:rPr>
        <w:t xml:space="preserve"> de ser el caso</w:t>
      </w:r>
      <w:r>
        <w:rPr>
          <w:rFonts w:cs="Arial"/>
          <w:sz w:val="22"/>
          <w:szCs w:val="22"/>
        </w:rPr>
        <w:t>,</w:t>
      </w:r>
      <w:r w:rsidR="00C77AF0">
        <w:rPr>
          <w:rFonts w:cs="Arial"/>
          <w:sz w:val="22"/>
          <w:szCs w:val="22"/>
        </w:rPr>
        <w:t xml:space="preserve"> la </w:t>
      </w:r>
      <w:r w:rsidR="001B4EA9">
        <w:rPr>
          <w:rFonts w:cs="Arial"/>
          <w:sz w:val="22"/>
          <w:szCs w:val="22"/>
        </w:rPr>
        <w:t>CREG</w:t>
      </w:r>
      <w:r>
        <w:rPr>
          <w:rFonts w:cs="Arial"/>
          <w:sz w:val="22"/>
          <w:szCs w:val="22"/>
        </w:rPr>
        <w:t xml:space="preserve"> </w:t>
      </w:r>
      <w:r w:rsidR="00D33E95">
        <w:rPr>
          <w:rFonts w:cs="Arial"/>
          <w:sz w:val="22"/>
          <w:szCs w:val="22"/>
        </w:rPr>
        <w:t>comunicará</w:t>
      </w:r>
      <w:r>
        <w:rPr>
          <w:rFonts w:cs="Arial"/>
          <w:sz w:val="22"/>
          <w:szCs w:val="22"/>
        </w:rPr>
        <w:t xml:space="preserve"> a </w:t>
      </w:r>
      <w:r w:rsidR="00C95969">
        <w:rPr>
          <w:rFonts w:cs="Arial"/>
          <w:sz w:val="22"/>
          <w:szCs w:val="22"/>
        </w:rPr>
        <w:t>las empresas reguladas</w:t>
      </w:r>
      <w:r w:rsidR="00D33E95">
        <w:rPr>
          <w:rFonts w:cs="Arial"/>
          <w:sz w:val="22"/>
          <w:szCs w:val="22"/>
        </w:rPr>
        <w:t xml:space="preserve">, para su revisión </w:t>
      </w:r>
      <w:r w:rsidR="00282DF2">
        <w:rPr>
          <w:rFonts w:cs="Arial"/>
          <w:sz w:val="22"/>
          <w:szCs w:val="22"/>
        </w:rPr>
        <w:t>su</w:t>
      </w:r>
      <w:r w:rsidR="008861A3">
        <w:rPr>
          <w:rFonts w:cs="Arial"/>
          <w:sz w:val="22"/>
          <w:szCs w:val="22"/>
        </w:rPr>
        <w:t xml:space="preserve"> </w:t>
      </w:r>
      <w:r w:rsidR="00517851">
        <w:rPr>
          <w:rFonts w:cs="Arial"/>
          <w:sz w:val="22"/>
          <w:szCs w:val="22"/>
        </w:rPr>
        <w:t>pre</w:t>
      </w:r>
      <w:r w:rsidR="00AF78F7">
        <w:rPr>
          <w:rFonts w:cs="Arial"/>
          <w:sz w:val="22"/>
          <w:szCs w:val="22"/>
        </w:rPr>
        <w:t xml:space="preserve"> – </w:t>
      </w:r>
      <w:r>
        <w:rPr>
          <w:rFonts w:cs="Arial"/>
          <w:sz w:val="22"/>
          <w:szCs w:val="22"/>
        </w:rPr>
        <w:t xml:space="preserve">liquidación de la contribución especial, </w:t>
      </w:r>
      <w:r w:rsidR="0047717B">
        <w:rPr>
          <w:rFonts w:cs="Arial"/>
          <w:sz w:val="22"/>
          <w:szCs w:val="22"/>
        </w:rPr>
        <w:t xml:space="preserve">con la información financiera reportada en </w:t>
      </w:r>
      <w:r w:rsidR="006E04EC">
        <w:rPr>
          <w:rFonts w:cs="Arial"/>
          <w:sz w:val="22"/>
          <w:szCs w:val="22"/>
        </w:rPr>
        <w:t>la taxonomía d</w:t>
      </w:r>
      <w:r w:rsidR="0047717B">
        <w:rPr>
          <w:rFonts w:cs="Arial"/>
          <w:sz w:val="22"/>
          <w:szCs w:val="22"/>
        </w:rPr>
        <w:t>el SUI-SSPD</w:t>
      </w:r>
      <w:r w:rsidR="006E04EC">
        <w:rPr>
          <w:rFonts w:cs="Arial"/>
          <w:sz w:val="22"/>
          <w:szCs w:val="22"/>
        </w:rPr>
        <w:t>.</w:t>
      </w:r>
    </w:p>
    <w:p w14:paraId="130FCBFC" w14:textId="4E92CA27" w:rsidR="00C95969" w:rsidRDefault="00C95969" w:rsidP="00D22441">
      <w:pPr>
        <w:rPr>
          <w:rFonts w:cs="Arial"/>
          <w:sz w:val="22"/>
          <w:szCs w:val="22"/>
        </w:rPr>
      </w:pPr>
    </w:p>
    <w:p w14:paraId="20F72EE3" w14:textId="14A8C9C4" w:rsidR="004503F5" w:rsidRPr="004503F5" w:rsidRDefault="006E04EC" w:rsidP="00D22441">
      <w:pPr>
        <w:pStyle w:val="Subttulo"/>
        <w:numPr>
          <w:ilvl w:val="1"/>
          <w:numId w:val="37"/>
        </w:numPr>
        <w:spacing w:after="0"/>
        <w:ind w:left="357" w:hanging="357"/>
        <w:jc w:val="left"/>
        <w:rPr>
          <w:b/>
          <w:bCs/>
          <w:sz w:val="22"/>
          <w:szCs w:val="22"/>
        </w:rPr>
      </w:pPr>
      <w:bookmarkStart w:id="114" w:name="_Toc147154345"/>
      <w:r>
        <w:rPr>
          <w:b/>
          <w:bCs/>
          <w:sz w:val="22"/>
          <w:szCs w:val="22"/>
        </w:rPr>
        <w:t>PLANTILLA</w:t>
      </w:r>
      <w:r w:rsidR="00105473" w:rsidRPr="004503F5">
        <w:rPr>
          <w:b/>
          <w:bCs/>
          <w:sz w:val="22"/>
          <w:szCs w:val="22"/>
        </w:rPr>
        <w:t xml:space="preserve"> </w:t>
      </w:r>
      <w:r w:rsidR="00080276">
        <w:rPr>
          <w:b/>
          <w:bCs/>
          <w:sz w:val="22"/>
          <w:szCs w:val="22"/>
        </w:rPr>
        <w:t>ILUSTRATIVA</w:t>
      </w:r>
      <w:r w:rsidR="004364E6">
        <w:rPr>
          <w:b/>
          <w:bCs/>
          <w:sz w:val="22"/>
          <w:szCs w:val="22"/>
        </w:rPr>
        <w:t xml:space="preserve"> </w:t>
      </w:r>
      <w:r w:rsidR="00C95969" w:rsidRPr="004503F5">
        <w:rPr>
          <w:b/>
          <w:bCs/>
          <w:sz w:val="22"/>
          <w:szCs w:val="22"/>
        </w:rPr>
        <w:t xml:space="preserve">DEPURACIÓN </w:t>
      </w:r>
      <w:r w:rsidR="00E35979">
        <w:rPr>
          <w:b/>
          <w:bCs/>
          <w:sz w:val="22"/>
          <w:szCs w:val="22"/>
        </w:rPr>
        <w:t xml:space="preserve">Y LIQUIDACIÓN </w:t>
      </w:r>
      <w:r w:rsidR="004503F5" w:rsidRPr="004503F5">
        <w:rPr>
          <w:b/>
          <w:bCs/>
          <w:sz w:val="22"/>
          <w:szCs w:val="22"/>
        </w:rPr>
        <w:t>CONTRIBUCIÓN ESPECIAL</w:t>
      </w:r>
      <w:bookmarkEnd w:id="114"/>
      <w:r w:rsidR="004503F5" w:rsidRPr="004503F5">
        <w:rPr>
          <w:b/>
          <w:bCs/>
          <w:sz w:val="22"/>
          <w:szCs w:val="22"/>
        </w:rPr>
        <w:t xml:space="preserve"> </w:t>
      </w:r>
    </w:p>
    <w:p w14:paraId="673602AF" w14:textId="77777777" w:rsidR="006E04EC" w:rsidRDefault="006E04EC" w:rsidP="00D22441">
      <w:pPr>
        <w:rPr>
          <w:rFonts w:cs="Arial"/>
          <w:sz w:val="22"/>
          <w:szCs w:val="22"/>
        </w:rPr>
      </w:pPr>
    </w:p>
    <w:p w14:paraId="41B28D97" w14:textId="085095BF" w:rsidR="00105473" w:rsidRDefault="006E04EC" w:rsidP="00D22441">
      <w:pPr>
        <w:rPr>
          <w:rFonts w:cs="Arial"/>
          <w:sz w:val="22"/>
          <w:szCs w:val="22"/>
        </w:rPr>
      </w:pPr>
      <w:r>
        <w:rPr>
          <w:rFonts w:cs="Arial"/>
          <w:sz w:val="22"/>
          <w:szCs w:val="22"/>
        </w:rPr>
        <w:t>Se</w:t>
      </w:r>
      <w:r w:rsidR="00241587">
        <w:rPr>
          <w:rFonts w:cs="Arial"/>
          <w:sz w:val="22"/>
          <w:szCs w:val="22"/>
        </w:rPr>
        <w:t xml:space="preserve"> propone a los regulados </w:t>
      </w:r>
      <w:r>
        <w:rPr>
          <w:rFonts w:cs="Arial"/>
          <w:sz w:val="22"/>
          <w:szCs w:val="22"/>
        </w:rPr>
        <w:t xml:space="preserve">como apoyo a </w:t>
      </w:r>
      <w:r w:rsidR="004075AD">
        <w:rPr>
          <w:rFonts w:cs="Arial"/>
          <w:sz w:val="22"/>
          <w:szCs w:val="22"/>
        </w:rPr>
        <w:t>su</w:t>
      </w:r>
      <w:r>
        <w:rPr>
          <w:rFonts w:cs="Arial"/>
          <w:sz w:val="22"/>
          <w:szCs w:val="22"/>
        </w:rPr>
        <w:t xml:space="preserve"> liquidación de la contribución especial la siguiente plantilla como guía ilustrativa,</w:t>
      </w:r>
      <w:r w:rsidR="00241587">
        <w:rPr>
          <w:rFonts w:cs="Arial"/>
          <w:sz w:val="22"/>
          <w:szCs w:val="22"/>
        </w:rPr>
        <w:t xml:space="preserve"> </w:t>
      </w:r>
      <w:r>
        <w:rPr>
          <w:rFonts w:cs="Arial"/>
          <w:sz w:val="22"/>
          <w:szCs w:val="22"/>
        </w:rPr>
        <w:t>diligenciada con valores a manera de ejemplo:</w:t>
      </w:r>
    </w:p>
    <w:p w14:paraId="1FF7F080" w14:textId="77777777" w:rsidR="00080276" w:rsidRPr="0085721C" w:rsidRDefault="00080276" w:rsidP="00080276">
      <w:pPr>
        <w:rPr>
          <w:rFonts w:asciiTheme="majorHAnsi" w:hAnsiTheme="majorHAnsi" w:cstheme="majorHAnsi"/>
          <w:color w:val="FF0000"/>
          <w:sz w:val="18"/>
          <w:szCs w:val="18"/>
        </w:rPr>
      </w:pPr>
      <w:r w:rsidRPr="0085721C">
        <w:rPr>
          <w:color w:val="FF0000"/>
        </w:rPr>
        <w:fldChar w:fldCharType="begin"/>
      </w:r>
      <w:r w:rsidRPr="0085721C">
        <w:rPr>
          <w:color w:val="FF0000"/>
        </w:rPr>
        <w:instrText xml:space="preserve"> LINK Excel.Sheet.12 "C:\\Users\\jsalazarb\\AppData\\Local\\Temp\\notesE99A2E\\4 Empresas que se les aplico paragrafo.xlsx" Hoja3!F1C3:F83C8 \a \f 4 \h  \* MERGEFORMAT </w:instrText>
      </w:r>
      <w:r w:rsidRPr="0085721C">
        <w:rPr>
          <w:color w:val="FF0000"/>
        </w:rPr>
        <w:fldChar w:fldCharType="separate"/>
      </w:r>
    </w:p>
    <w:p w14:paraId="4879457D" w14:textId="5DDD9691" w:rsidR="00FF5519" w:rsidRDefault="00080276" w:rsidP="00DE1F62">
      <w:pPr>
        <w:pStyle w:val="Descripcin"/>
        <w:rPr>
          <w:i w:val="0"/>
          <w:iCs w:val="0"/>
          <w:color w:val="auto"/>
        </w:rPr>
      </w:pPr>
      <w:r w:rsidRPr="0085721C">
        <w:rPr>
          <w:rFonts w:asciiTheme="majorHAnsi" w:hAnsiTheme="majorHAnsi" w:cstheme="majorHAnsi"/>
          <w:color w:val="FF0000"/>
        </w:rPr>
        <w:fldChar w:fldCharType="end"/>
      </w:r>
      <w:r w:rsidRPr="00080276">
        <w:rPr>
          <w:i w:val="0"/>
          <w:iCs w:val="0"/>
          <w:color w:val="auto"/>
        </w:rPr>
        <w:t xml:space="preserve"> </w:t>
      </w:r>
      <w:bookmarkStart w:id="115" w:name="_Toc145486454"/>
      <w:r w:rsidRPr="002C4392">
        <w:rPr>
          <w:i w:val="0"/>
          <w:iCs w:val="0"/>
          <w:color w:val="auto"/>
        </w:rPr>
        <w:t xml:space="preserve">Tabla </w:t>
      </w:r>
      <w:r w:rsidRPr="002C4392">
        <w:rPr>
          <w:i w:val="0"/>
          <w:iCs w:val="0"/>
          <w:color w:val="auto"/>
        </w:rPr>
        <w:fldChar w:fldCharType="begin"/>
      </w:r>
      <w:r w:rsidRPr="002C4392">
        <w:rPr>
          <w:i w:val="0"/>
          <w:iCs w:val="0"/>
          <w:color w:val="auto"/>
        </w:rPr>
        <w:instrText xml:space="preserve"> SEQ Tabla \* ARABIC </w:instrText>
      </w:r>
      <w:r w:rsidRPr="002C4392">
        <w:rPr>
          <w:i w:val="0"/>
          <w:iCs w:val="0"/>
          <w:color w:val="auto"/>
        </w:rPr>
        <w:fldChar w:fldCharType="separate"/>
      </w:r>
      <w:r w:rsidR="00D66E98">
        <w:rPr>
          <w:i w:val="0"/>
          <w:iCs w:val="0"/>
          <w:noProof/>
          <w:color w:val="auto"/>
        </w:rPr>
        <w:t>28</w:t>
      </w:r>
      <w:r w:rsidRPr="002C4392">
        <w:rPr>
          <w:i w:val="0"/>
          <w:iCs w:val="0"/>
          <w:color w:val="auto"/>
        </w:rPr>
        <w:fldChar w:fldCharType="end"/>
      </w:r>
      <w:r w:rsidRPr="002C4392">
        <w:rPr>
          <w:i w:val="0"/>
          <w:iCs w:val="0"/>
          <w:color w:val="auto"/>
        </w:rPr>
        <w:t xml:space="preserve">. </w:t>
      </w:r>
      <w:r w:rsidR="00DE1F62">
        <w:rPr>
          <w:i w:val="0"/>
          <w:iCs w:val="0"/>
          <w:color w:val="auto"/>
        </w:rPr>
        <w:t xml:space="preserve">Plantilla ilustrativa para la depuración </w:t>
      </w:r>
      <w:r w:rsidR="00E35979">
        <w:rPr>
          <w:i w:val="0"/>
          <w:iCs w:val="0"/>
          <w:color w:val="auto"/>
        </w:rPr>
        <w:t>y liquidación</w:t>
      </w:r>
      <w:r w:rsidR="00DE1F62">
        <w:rPr>
          <w:i w:val="0"/>
          <w:iCs w:val="0"/>
          <w:color w:val="auto"/>
        </w:rPr>
        <w:t xml:space="preserve"> de la contribución especial</w:t>
      </w:r>
      <w:r w:rsidR="003E5675">
        <w:rPr>
          <w:i w:val="0"/>
          <w:iCs w:val="0"/>
          <w:color w:val="auto"/>
        </w:rPr>
        <w:t xml:space="preserve"> 2023</w:t>
      </w:r>
      <w:r>
        <w:rPr>
          <w:i w:val="0"/>
          <w:iCs w:val="0"/>
          <w:color w:val="auto"/>
        </w:rPr>
        <w:t>.</w:t>
      </w:r>
      <w:bookmarkEnd w:id="115"/>
    </w:p>
    <w:p w14:paraId="35F0A9BD" w14:textId="428FE1D8" w:rsidR="00D33E95" w:rsidRPr="00B5027E" w:rsidRDefault="009D1B6A" w:rsidP="00D22441">
      <w:pPr>
        <w:rPr>
          <w:rFonts w:cs="Arial"/>
          <w:sz w:val="16"/>
          <w:szCs w:val="16"/>
        </w:rPr>
      </w:pP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t>En pesos corrientes</w:t>
      </w:r>
    </w:p>
    <w:tbl>
      <w:tblPr>
        <w:tblW w:w="10260" w:type="dxa"/>
        <w:tblCellMar>
          <w:left w:w="70" w:type="dxa"/>
          <w:right w:w="70" w:type="dxa"/>
        </w:tblCellMar>
        <w:tblLook w:val="04A0" w:firstRow="1" w:lastRow="0" w:firstColumn="1" w:lastColumn="0" w:noHBand="0" w:noVBand="1"/>
      </w:tblPr>
      <w:tblGrid>
        <w:gridCol w:w="480"/>
        <w:gridCol w:w="700"/>
        <w:gridCol w:w="760"/>
        <w:gridCol w:w="2540"/>
        <w:gridCol w:w="700"/>
        <w:gridCol w:w="1600"/>
        <w:gridCol w:w="940"/>
        <w:gridCol w:w="1300"/>
        <w:gridCol w:w="1240"/>
      </w:tblGrid>
      <w:tr w:rsidR="00366EFC" w:rsidRPr="00366EFC" w14:paraId="7DC3F130" w14:textId="77777777" w:rsidTr="00BE6D69">
        <w:trPr>
          <w:trHeight w:val="255"/>
          <w:tblHeader/>
        </w:trPr>
        <w:tc>
          <w:tcPr>
            <w:tcW w:w="480" w:type="dxa"/>
            <w:tcBorders>
              <w:top w:val="single" w:sz="4" w:space="0" w:color="auto"/>
              <w:left w:val="single" w:sz="4" w:space="0" w:color="auto"/>
              <w:bottom w:val="single" w:sz="4" w:space="0" w:color="auto"/>
              <w:right w:val="nil"/>
            </w:tcBorders>
            <w:shd w:val="clear" w:color="000000" w:fill="F2F2F2"/>
            <w:noWrap/>
            <w:vAlign w:val="center"/>
            <w:hideMark/>
          </w:tcPr>
          <w:p w14:paraId="1634DF04" w14:textId="77777777" w:rsidR="00BE6D69" w:rsidRPr="00366EFC" w:rsidRDefault="00BE6D69" w:rsidP="00BE6D69">
            <w:pPr>
              <w:jc w:val="center"/>
              <w:rPr>
                <w:rFonts w:ascii="Arial Narrow" w:hAnsi="Arial Narrow" w:cs="Arial"/>
                <w:b/>
                <w:bCs/>
                <w:spacing w:val="0"/>
                <w:sz w:val="15"/>
                <w:szCs w:val="15"/>
                <w:lang w:eastAsia="es-CO"/>
              </w:rPr>
            </w:pPr>
            <w:r w:rsidRPr="00366EFC">
              <w:rPr>
                <w:rFonts w:ascii="Arial Narrow" w:hAnsi="Arial Narrow" w:cs="Arial"/>
                <w:b/>
                <w:bCs/>
                <w:spacing w:val="0"/>
                <w:sz w:val="15"/>
                <w:szCs w:val="15"/>
                <w:lang w:val="en-US" w:eastAsia="es-CO"/>
              </w:rPr>
              <w:t>Item</w:t>
            </w:r>
          </w:p>
        </w:tc>
        <w:tc>
          <w:tcPr>
            <w:tcW w:w="700" w:type="dxa"/>
            <w:tcBorders>
              <w:top w:val="single" w:sz="4" w:space="0" w:color="auto"/>
              <w:left w:val="nil"/>
              <w:bottom w:val="single" w:sz="4" w:space="0" w:color="auto"/>
              <w:right w:val="nil"/>
            </w:tcBorders>
            <w:shd w:val="clear" w:color="000000" w:fill="F2F2F2"/>
            <w:noWrap/>
            <w:vAlign w:val="center"/>
            <w:hideMark/>
          </w:tcPr>
          <w:p w14:paraId="055C4CF0" w14:textId="77777777" w:rsidR="00BE6D69" w:rsidRPr="00366EFC" w:rsidRDefault="00BE6D69" w:rsidP="00BE6D69">
            <w:pPr>
              <w:jc w:val="center"/>
              <w:rPr>
                <w:rFonts w:ascii="Arial Narrow" w:hAnsi="Arial Narrow" w:cs="Arial"/>
                <w:b/>
                <w:bCs/>
                <w:spacing w:val="0"/>
                <w:sz w:val="15"/>
                <w:szCs w:val="15"/>
                <w:lang w:eastAsia="es-CO"/>
              </w:rPr>
            </w:pPr>
            <w:r w:rsidRPr="00366EFC">
              <w:rPr>
                <w:rFonts w:ascii="Arial Narrow" w:hAnsi="Arial Narrow" w:cs="Arial"/>
                <w:b/>
                <w:bCs/>
                <w:spacing w:val="0"/>
                <w:sz w:val="15"/>
                <w:szCs w:val="15"/>
                <w:lang w:val="en-US" w:eastAsia="es-CO"/>
              </w:rPr>
              <w:t>Casilla</w:t>
            </w:r>
          </w:p>
        </w:tc>
        <w:tc>
          <w:tcPr>
            <w:tcW w:w="760" w:type="dxa"/>
            <w:tcBorders>
              <w:top w:val="single" w:sz="4" w:space="0" w:color="auto"/>
              <w:left w:val="nil"/>
              <w:bottom w:val="single" w:sz="4" w:space="0" w:color="auto"/>
              <w:right w:val="nil"/>
            </w:tcBorders>
            <w:shd w:val="clear" w:color="000000" w:fill="F2F2F2"/>
            <w:noWrap/>
            <w:vAlign w:val="center"/>
            <w:hideMark/>
          </w:tcPr>
          <w:p w14:paraId="4100344E" w14:textId="77777777" w:rsidR="00BE6D69" w:rsidRPr="00366EFC" w:rsidRDefault="00BE6D69" w:rsidP="00BE6D69">
            <w:pPr>
              <w:jc w:val="center"/>
              <w:rPr>
                <w:rFonts w:ascii="Arial Narrow" w:hAnsi="Arial Narrow" w:cs="Arial"/>
                <w:b/>
                <w:bCs/>
                <w:spacing w:val="0"/>
                <w:sz w:val="15"/>
                <w:szCs w:val="15"/>
                <w:lang w:eastAsia="es-CO"/>
              </w:rPr>
            </w:pPr>
            <w:proofErr w:type="spellStart"/>
            <w:r w:rsidRPr="00366EFC">
              <w:rPr>
                <w:rFonts w:ascii="Arial Narrow" w:hAnsi="Arial Narrow" w:cs="Arial"/>
                <w:b/>
                <w:bCs/>
                <w:spacing w:val="0"/>
                <w:sz w:val="15"/>
                <w:szCs w:val="15"/>
                <w:lang w:val="en-US" w:eastAsia="es-CO"/>
              </w:rPr>
              <w:t>Operador</w:t>
            </w:r>
            <w:proofErr w:type="spellEnd"/>
          </w:p>
        </w:tc>
        <w:tc>
          <w:tcPr>
            <w:tcW w:w="2540" w:type="dxa"/>
            <w:tcBorders>
              <w:top w:val="single" w:sz="4" w:space="0" w:color="auto"/>
              <w:left w:val="nil"/>
              <w:bottom w:val="single" w:sz="4" w:space="0" w:color="auto"/>
              <w:right w:val="nil"/>
            </w:tcBorders>
            <w:shd w:val="clear" w:color="000000" w:fill="F2F2F2"/>
            <w:vAlign w:val="center"/>
            <w:hideMark/>
          </w:tcPr>
          <w:p w14:paraId="3FE3791D" w14:textId="77777777" w:rsidR="00BE6D69" w:rsidRPr="00366EFC" w:rsidRDefault="00BE6D69" w:rsidP="00BE6D69">
            <w:pPr>
              <w:jc w:val="center"/>
              <w:rPr>
                <w:rFonts w:ascii="Arial Narrow" w:hAnsi="Arial Narrow" w:cs="Arial"/>
                <w:b/>
                <w:bCs/>
                <w:spacing w:val="0"/>
                <w:sz w:val="15"/>
                <w:szCs w:val="15"/>
                <w:lang w:eastAsia="es-CO"/>
              </w:rPr>
            </w:pPr>
            <w:proofErr w:type="spellStart"/>
            <w:r w:rsidRPr="00366EFC">
              <w:rPr>
                <w:rFonts w:ascii="Arial Narrow" w:hAnsi="Arial Narrow" w:cs="Arial"/>
                <w:b/>
                <w:bCs/>
                <w:spacing w:val="0"/>
                <w:sz w:val="15"/>
                <w:szCs w:val="15"/>
                <w:lang w:val="en-US" w:eastAsia="es-CO"/>
              </w:rPr>
              <w:t>Concepto</w:t>
            </w:r>
            <w:proofErr w:type="spellEnd"/>
          </w:p>
        </w:tc>
        <w:tc>
          <w:tcPr>
            <w:tcW w:w="700" w:type="dxa"/>
            <w:tcBorders>
              <w:top w:val="single" w:sz="4" w:space="0" w:color="auto"/>
              <w:left w:val="nil"/>
              <w:bottom w:val="single" w:sz="4" w:space="0" w:color="auto"/>
              <w:right w:val="nil"/>
            </w:tcBorders>
            <w:shd w:val="clear" w:color="000000" w:fill="F2F2F2"/>
            <w:noWrap/>
            <w:vAlign w:val="center"/>
            <w:hideMark/>
          </w:tcPr>
          <w:p w14:paraId="14AA3324" w14:textId="77777777" w:rsidR="00BE6D69" w:rsidRPr="00366EFC" w:rsidRDefault="00BE6D69" w:rsidP="00BE6D69">
            <w:pPr>
              <w:jc w:val="center"/>
              <w:rPr>
                <w:rFonts w:ascii="Arial Narrow" w:hAnsi="Arial Narrow" w:cs="Arial"/>
                <w:b/>
                <w:bCs/>
                <w:spacing w:val="0"/>
                <w:sz w:val="15"/>
                <w:szCs w:val="15"/>
                <w:lang w:eastAsia="es-CO"/>
              </w:rPr>
            </w:pPr>
            <w:proofErr w:type="spellStart"/>
            <w:r w:rsidRPr="00366EFC">
              <w:rPr>
                <w:rFonts w:ascii="Arial Narrow" w:hAnsi="Arial Narrow" w:cs="Arial"/>
                <w:b/>
                <w:bCs/>
                <w:spacing w:val="0"/>
                <w:sz w:val="15"/>
                <w:szCs w:val="15"/>
                <w:lang w:val="en-US" w:eastAsia="es-CO"/>
              </w:rPr>
              <w:t>Notación</w:t>
            </w:r>
            <w:proofErr w:type="spellEnd"/>
          </w:p>
        </w:tc>
        <w:tc>
          <w:tcPr>
            <w:tcW w:w="1600" w:type="dxa"/>
            <w:tcBorders>
              <w:top w:val="single" w:sz="4" w:space="0" w:color="auto"/>
              <w:left w:val="nil"/>
              <w:bottom w:val="single" w:sz="4" w:space="0" w:color="auto"/>
              <w:right w:val="nil"/>
            </w:tcBorders>
            <w:shd w:val="clear" w:color="000000" w:fill="F2F2F2"/>
            <w:vAlign w:val="center"/>
            <w:hideMark/>
          </w:tcPr>
          <w:p w14:paraId="6078AB3E" w14:textId="77777777" w:rsidR="00BE6D69" w:rsidRPr="00366EFC" w:rsidRDefault="00BE6D69" w:rsidP="00BE6D69">
            <w:pPr>
              <w:jc w:val="center"/>
              <w:rPr>
                <w:rFonts w:ascii="Arial Narrow" w:hAnsi="Arial Narrow" w:cs="Arial"/>
                <w:b/>
                <w:bCs/>
                <w:spacing w:val="0"/>
                <w:sz w:val="15"/>
                <w:szCs w:val="15"/>
                <w:lang w:eastAsia="es-CO"/>
              </w:rPr>
            </w:pPr>
            <w:r w:rsidRPr="00366EFC">
              <w:rPr>
                <w:rFonts w:ascii="Arial Narrow" w:hAnsi="Arial Narrow" w:cs="Arial"/>
                <w:b/>
                <w:bCs/>
                <w:spacing w:val="0"/>
                <w:sz w:val="15"/>
                <w:szCs w:val="15"/>
                <w:lang w:val="en-US" w:eastAsia="es-CO"/>
              </w:rPr>
              <w:t>Formula</w:t>
            </w:r>
          </w:p>
        </w:tc>
        <w:tc>
          <w:tcPr>
            <w:tcW w:w="940" w:type="dxa"/>
            <w:tcBorders>
              <w:top w:val="single" w:sz="4" w:space="0" w:color="auto"/>
              <w:left w:val="nil"/>
              <w:bottom w:val="single" w:sz="4" w:space="0" w:color="auto"/>
              <w:right w:val="nil"/>
            </w:tcBorders>
            <w:shd w:val="clear" w:color="000000" w:fill="F2F2F2"/>
            <w:noWrap/>
            <w:vAlign w:val="center"/>
            <w:hideMark/>
          </w:tcPr>
          <w:p w14:paraId="104E4816" w14:textId="77777777" w:rsidR="00BE6D69" w:rsidRPr="00366EFC" w:rsidRDefault="00BE6D69" w:rsidP="00BE6D69">
            <w:pPr>
              <w:jc w:val="center"/>
              <w:rPr>
                <w:rFonts w:ascii="Arial Narrow" w:hAnsi="Arial Narrow" w:cs="Arial"/>
                <w:b/>
                <w:bCs/>
                <w:spacing w:val="0"/>
                <w:sz w:val="15"/>
                <w:szCs w:val="15"/>
                <w:lang w:eastAsia="es-CO"/>
              </w:rPr>
            </w:pPr>
            <w:proofErr w:type="spellStart"/>
            <w:r w:rsidRPr="00366EFC">
              <w:rPr>
                <w:rFonts w:ascii="Arial Narrow" w:hAnsi="Arial Narrow" w:cs="Arial"/>
                <w:b/>
                <w:bCs/>
                <w:spacing w:val="0"/>
                <w:sz w:val="15"/>
                <w:szCs w:val="15"/>
                <w:lang w:val="en-US" w:eastAsia="es-CO"/>
              </w:rPr>
              <w:t>Parcial</w:t>
            </w:r>
            <w:proofErr w:type="spellEnd"/>
          </w:p>
        </w:tc>
        <w:tc>
          <w:tcPr>
            <w:tcW w:w="1300" w:type="dxa"/>
            <w:tcBorders>
              <w:top w:val="single" w:sz="4" w:space="0" w:color="auto"/>
              <w:left w:val="nil"/>
              <w:bottom w:val="single" w:sz="4" w:space="0" w:color="auto"/>
              <w:right w:val="nil"/>
            </w:tcBorders>
            <w:shd w:val="clear" w:color="000000" w:fill="F2F2F2"/>
            <w:noWrap/>
            <w:vAlign w:val="center"/>
            <w:hideMark/>
          </w:tcPr>
          <w:p w14:paraId="26303050" w14:textId="77777777" w:rsidR="00BE6D69" w:rsidRPr="00366EFC" w:rsidRDefault="00BE6D69" w:rsidP="00BE6D69">
            <w:pPr>
              <w:jc w:val="center"/>
              <w:rPr>
                <w:rFonts w:ascii="Arial Narrow" w:hAnsi="Arial Narrow" w:cs="Arial"/>
                <w:b/>
                <w:bCs/>
                <w:spacing w:val="0"/>
                <w:sz w:val="15"/>
                <w:szCs w:val="15"/>
                <w:lang w:eastAsia="es-CO"/>
              </w:rPr>
            </w:pPr>
            <w:r w:rsidRPr="00366EFC">
              <w:rPr>
                <w:rFonts w:ascii="Arial Narrow" w:hAnsi="Arial Narrow" w:cs="Arial"/>
                <w:b/>
                <w:bCs/>
                <w:spacing w:val="0"/>
                <w:sz w:val="15"/>
                <w:szCs w:val="15"/>
                <w:lang w:val="en-US" w:eastAsia="es-CO"/>
              </w:rPr>
              <w:t>Subtotal</w:t>
            </w:r>
          </w:p>
        </w:tc>
        <w:tc>
          <w:tcPr>
            <w:tcW w:w="1240" w:type="dxa"/>
            <w:tcBorders>
              <w:top w:val="single" w:sz="4" w:space="0" w:color="auto"/>
              <w:left w:val="nil"/>
              <w:bottom w:val="single" w:sz="4" w:space="0" w:color="auto"/>
              <w:right w:val="single" w:sz="4" w:space="0" w:color="auto"/>
            </w:tcBorders>
            <w:shd w:val="clear" w:color="000000" w:fill="F2F2F2"/>
            <w:noWrap/>
            <w:vAlign w:val="center"/>
            <w:hideMark/>
          </w:tcPr>
          <w:p w14:paraId="21BA2902" w14:textId="77777777" w:rsidR="00BE6D69" w:rsidRPr="00366EFC" w:rsidRDefault="00BE6D69" w:rsidP="00BE6D69">
            <w:pPr>
              <w:jc w:val="center"/>
              <w:rPr>
                <w:rFonts w:ascii="Arial Narrow" w:hAnsi="Arial Narrow" w:cs="Arial"/>
                <w:b/>
                <w:bCs/>
                <w:spacing w:val="0"/>
                <w:sz w:val="15"/>
                <w:szCs w:val="15"/>
                <w:lang w:eastAsia="es-CO"/>
              </w:rPr>
            </w:pPr>
            <w:r w:rsidRPr="00366EFC">
              <w:rPr>
                <w:rFonts w:ascii="Arial Narrow" w:hAnsi="Arial Narrow" w:cs="Arial"/>
                <w:b/>
                <w:bCs/>
                <w:spacing w:val="0"/>
                <w:sz w:val="15"/>
                <w:szCs w:val="15"/>
                <w:lang w:val="en-US" w:eastAsia="es-CO"/>
              </w:rPr>
              <w:t>Total</w:t>
            </w:r>
          </w:p>
        </w:tc>
      </w:tr>
      <w:tr w:rsidR="00366EFC" w:rsidRPr="00366EFC" w14:paraId="5B8A6605" w14:textId="77777777" w:rsidTr="00BE6D69">
        <w:trPr>
          <w:trHeight w:val="435"/>
        </w:trPr>
        <w:tc>
          <w:tcPr>
            <w:tcW w:w="480" w:type="dxa"/>
            <w:tcBorders>
              <w:top w:val="nil"/>
              <w:left w:val="nil"/>
              <w:bottom w:val="nil"/>
              <w:right w:val="nil"/>
            </w:tcBorders>
            <w:shd w:val="clear" w:color="auto" w:fill="auto"/>
            <w:noWrap/>
            <w:vAlign w:val="center"/>
            <w:hideMark/>
          </w:tcPr>
          <w:p w14:paraId="6108B8DE" w14:textId="77777777" w:rsidR="00BE6D69" w:rsidRPr="00366EFC" w:rsidRDefault="00BE6D69" w:rsidP="00BE6D69">
            <w:pPr>
              <w:jc w:val="center"/>
              <w:rPr>
                <w:rFonts w:ascii="Arial Narrow" w:hAnsi="Arial Narrow" w:cs="Arial"/>
                <w:spacing w:val="0"/>
                <w:sz w:val="15"/>
                <w:szCs w:val="15"/>
                <w:lang w:eastAsia="es-CO"/>
              </w:rPr>
            </w:pPr>
            <w:r w:rsidRPr="00366EFC">
              <w:rPr>
                <w:rFonts w:ascii="Arial Narrow" w:hAnsi="Arial Narrow" w:cs="Arial"/>
                <w:spacing w:val="0"/>
                <w:sz w:val="15"/>
                <w:szCs w:val="15"/>
                <w:lang w:val="en-US" w:eastAsia="es-CO"/>
              </w:rPr>
              <w:t>1</w:t>
            </w:r>
          </w:p>
        </w:tc>
        <w:tc>
          <w:tcPr>
            <w:tcW w:w="700" w:type="dxa"/>
            <w:tcBorders>
              <w:top w:val="nil"/>
              <w:left w:val="nil"/>
              <w:bottom w:val="nil"/>
              <w:right w:val="nil"/>
            </w:tcBorders>
            <w:shd w:val="clear" w:color="auto" w:fill="auto"/>
            <w:noWrap/>
            <w:vAlign w:val="center"/>
            <w:hideMark/>
          </w:tcPr>
          <w:p w14:paraId="26A9155C" w14:textId="77777777" w:rsidR="00BE6D69" w:rsidRPr="00366EFC" w:rsidRDefault="00BE6D69" w:rsidP="00BE6D69">
            <w:pPr>
              <w:jc w:val="center"/>
              <w:rPr>
                <w:rFonts w:ascii="Arial Narrow" w:hAnsi="Arial Narrow" w:cs="Arial"/>
                <w:b/>
                <w:bCs/>
                <w:spacing w:val="0"/>
                <w:sz w:val="15"/>
                <w:szCs w:val="15"/>
                <w:lang w:eastAsia="es-CO"/>
              </w:rPr>
            </w:pPr>
            <w:r w:rsidRPr="00366EFC">
              <w:rPr>
                <w:rFonts w:ascii="Arial Narrow" w:hAnsi="Arial Narrow" w:cs="Arial"/>
                <w:b/>
                <w:bCs/>
                <w:spacing w:val="0"/>
                <w:sz w:val="15"/>
                <w:szCs w:val="15"/>
                <w:lang w:val="en-US" w:eastAsia="es-CO"/>
              </w:rPr>
              <w:t>GFB</w:t>
            </w:r>
          </w:p>
        </w:tc>
        <w:tc>
          <w:tcPr>
            <w:tcW w:w="760" w:type="dxa"/>
            <w:tcBorders>
              <w:top w:val="nil"/>
              <w:left w:val="nil"/>
              <w:bottom w:val="nil"/>
              <w:right w:val="nil"/>
            </w:tcBorders>
            <w:shd w:val="clear" w:color="000000" w:fill="E2EFDA"/>
            <w:noWrap/>
            <w:vAlign w:val="center"/>
            <w:hideMark/>
          </w:tcPr>
          <w:p w14:paraId="3FA535CD" w14:textId="77777777" w:rsidR="00BE6D69" w:rsidRPr="00366EFC" w:rsidRDefault="00BE6D69" w:rsidP="00BE6D69">
            <w:pPr>
              <w:jc w:val="right"/>
              <w:rPr>
                <w:rFonts w:ascii="Arial Narrow" w:hAnsi="Arial Narrow" w:cs="Arial"/>
                <w:b/>
                <w:bCs/>
                <w:spacing w:val="0"/>
                <w:sz w:val="15"/>
                <w:szCs w:val="15"/>
                <w:lang w:eastAsia="es-CO"/>
              </w:rPr>
            </w:pPr>
            <w:proofErr w:type="spellStart"/>
            <w:r w:rsidRPr="00366EFC">
              <w:rPr>
                <w:rFonts w:ascii="Arial Narrow" w:hAnsi="Arial Narrow" w:cs="Arial"/>
                <w:b/>
                <w:bCs/>
                <w:spacing w:val="0"/>
                <w:sz w:val="15"/>
                <w:szCs w:val="15"/>
                <w:lang w:val="en-US" w:eastAsia="es-CO"/>
              </w:rPr>
              <w:t>Inicial</w:t>
            </w:r>
            <w:proofErr w:type="spellEnd"/>
          </w:p>
        </w:tc>
        <w:tc>
          <w:tcPr>
            <w:tcW w:w="2540" w:type="dxa"/>
            <w:tcBorders>
              <w:top w:val="nil"/>
              <w:left w:val="nil"/>
              <w:bottom w:val="nil"/>
              <w:right w:val="nil"/>
            </w:tcBorders>
            <w:shd w:val="clear" w:color="auto" w:fill="auto"/>
            <w:vAlign w:val="center"/>
            <w:hideMark/>
          </w:tcPr>
          <w:p w14:paraId="400DC8F9" w14:textId="77777777" w:rsidR="00BE6D69" w:rsidRPr="00366EFC" w:rsidRDefault="00BE6D69" w:rsidP="00BE6D69">
            <w:pPr>
              <w:rPr>
                <w:rFonts w:ascii="Arial Narrow" w:hAnsi="Arial Narrow" w:cs="Arial"/>
                <w:b/>
                <w:bCs/>
                <w:spacing w:val="0"/>
                <w:sz w:val="15"/>
                <w:szCs w:val="15"/>
                <w:lang w:eastAsia="es-CO"/>
              </w:rPr>
            </w:pPr>
            <w:r w:rsidRPr="00366EFC">
              <w:rPr>
                <w:rFonts w:ascii="Arial Narrow" w:hAnsi="Arial Narrow" w:cs="Arial"/>
                <w:b/>
                <w:bCs/>
                <w:spacing w:val="0"/>
                <w:sz w:val="15"/>
                <w:szCs w:val="15"/>
                <w:lang w:val="en-US" w:eastAsia="es-CO"/>
              </w:rPr>
              <w:t>GASTOS DE FUNCIONAMIENTO (ADMINISTRATIVOS)</w:t>
            </w:r>
          </w:p>
        </w:tc>
        <w:tc>
          <w:tcPr>
            <w:tcW w:w="700" w:type="dxa"/>
            <w:tcBorders>
              <w:top w:val="nil"/>
              <w:left w:val="nil"/>
              <w:bottom w:val="nil"/>
              <w:right w:val="nil"/>
            </w:tcBorders>
            <w:shd w:val="clear" w:color="auto" w:fill="auto"/>
            <w:noWrap/>
            <w:vAlign w:val="center"/>
            <w:hideMark/>
          </w:tcPr>
          <w:p w14:paraId="6BE3C794" w14:textId="77777777" w:rsidR="00BE6D69" w:rsidRPr="00366EFC" w:rsidRDefault="00BE6D69" w:rsidP="00BE6D69">
            <w:pPr>
              <w:rPr>
                <w:rFonts w:ascii="Arial Narrow" w:hAnsi="Arial Narrow" w:cs="Arial"/>
                <w:b/>
                <w:bCs/>
                <w:spacing w:val="0"/>
                <w:sz w:val="15"/>
                <w:szCs w:val="15"/>
                <w:lang w:eastAsia="es-CO"/>
              </w:rPr>
            </w:pPr>
          </w:p>
        </w:tc>
        <w:tc>
          <w:tcPr>
            <w:tcW w:w="1600" w:type="dxa"/>
            <w:tcBorders>
              <w:top w:val="nil"/>
              <w:left w:val="nil"/>
              <w:bottom w:val="nil"/>
              <w:right w:val="nil"/>
            </w:tcBorders>
            <w:shd w:val="clear" w:color="auto" w:fill="auto"/>
            <w:vAlign w:val="center"/>
            <w:hideMark/>
          </w:tcPr>
          <w:p w14:paraId="1C6C71C7" w14:textId="77777777" w:rsidR="00BE6D69" w:rsidRPr="00366EFC" w:rsidRDefault="00BE6D69" w:rsidP="00BE6D69">
            <w:pPr>
              <w:jc w:val="left"/>
              <w:rPr>
                <w:rFonts w:ascii="Times New Roman" w:hAnsi="Times New Roman"/>
                <w:spacing w:val="0"/>
                <w:lang w:eastAsia="es-CO"/>
              </w:rPr>
            </w:pPr>
          </w:p>
        </w:tc>
        <w:tc>
          <w:tcPr>
            <w:tcW w:w="940" w:type="dxa"/>
            <w:tcBorders>
              <w:top w:val="nil"/>
              <w:left w:val="nil"/>
              <w:bottom w:val="nil"/>
              <w:right w:val="nil"/>
            </w:tcBorders>
            <w:shd w:val="clear" w:color="auto" w:fill="auto"/>
            <w:noWrap/>
            <w:vAlign w:val="center"/>
            <w:hideMark/>
          </w:tcPr>
          <w:p w14:paraId="0755A042" w14:textId="77777777" w:rsidR="00BE6D69" w:rsidRPr="00366EFC" w:rsidRDefault="00BE6D69" w:rsidP="00BE6D69">
            <w:pPr>
              <w:jc w:val="left"/>
              <w:rPr>
                <w:rFonts w:ascii="Times New Roman" w:hAnsi="Times New Roman"/>
                <w:spacing w:val="0"/>
                <w:lang w:eastAsia="es-CO"/>
              </w:rPr>
            </w:pPr>
          </w:p>
        </w:tc>
        <w:tc>
          <w:tcPr>
            <w:tcW w:w="1300" w:type="dxa"/>
            <w:tcBorders>
              <w:top w:val="nil"/>
              <w:left w:val="nil"/>
              <w:bottom w:val="nil"/>
              <w:right w:val="nil"/>
            </w:tcBorders>
            <w:shd w:val="clear" w:color="auto" w:fill="auto"/>
            <w:noWrap/>
            <w:vAlign w:val="center"/>
            <w:hideMark/>
          </w:tcPr>
          <w:p w14:paraId="7AF1C9F5" w14:textId="77777777" w:rsidR="00BE6D69" w:rsidRPr="00366EFC" w:rsidRDefault="00BE6D69" w:rsidP="00BE6D69">
            <w:pPr>
              <w:jc w:val="right"/>
              <w:rPr>
                <w:rFonts w:ascii="Arial Narrow" w:hAnsi="Arial Narrow" w:cs="Arial"/>
                <w:b/>
                <w:bCs/>
                <w:spacing w:val="0"/>
                <w:sz w:val="15"/>
                <w:szCs w:val="15"/>
                <w:lang w:eastAsia="es-CO"/>
              </w:rPr>
            </w:pPr>
            <w:r w:rsidRPr="00366EFC">
              <w:rPr>
                <w:rFonts w:ascii="Arial Narrow" w:hAnsi="Arial Narrow" w:cs="Arial"/>
                <w:b/>
                <w:bCs/>
                <w:spacing w:val="0"/>
                <w:sz w:val="15"/>
                <w:szCs w:val="15"/>
                <w:lang w:val="en-US" w:eastAsia="es-CO"/>
              </w:rPr>
              <w:t>$ 85.000,00</w:t>
            </w:r>
          </w:p>
        </w:tc>
        <w:tc>
          <w:tcPr>
            <w:tcW w:w="1240" w:type="dxa"/>
            <w:tcBorders>
              <w:top w:val="nil"/>
              <w:left w:val="nil"/>
              <w:bottom w:val="nil"/>
              <w:right w:val="nil"/>
            </w:tcBorders>
            <w:shd w:val="clear" w:color="auto" w:fill="auto"/>
            <w:noWrap/>
            <w:vAlign w:val="center"/>
            <w:hideMark/>
          </w:tcPr>
          <w:p w14:paraId="28DDAEDF" w14:textId="77777777" w:rsidR="00BE6D69" w:rsidRPr="00366EFC" w:rsidRDefault="00BE6D69" w:rsidP="00BE6D69">
            <w:pPr>
              <w:jc w:val="right"/>
              <w:rPr>
                <w:rFonts w:ascii="Arial Narrow" w:hAnsi="Arial Narrow" w:cs="Arial"/>
                <w:b/>
                <w:bCs/>
                <w:spacing w:val="0"/>
                <w:sz w:val="15"/>
                <w:szCs w:val="15"/>
                <w:lang w:eastAsia="es-CO"/>
              </w:rPr>
            </w:pPr>
            <w:r w:rsidRPr="00366EFC">
              <w:rPr>
                <w:rFonts w:ascii="Arial Narrow" w:hAnsi="Arial Narrow" w:cs="Arial"/>
                <w:b/>
                <w:bCs/>
                <w:spacing w:val="0"/>
                <w:sz w:val="15"/>
                <w:szCs w:val="15"/>
                <w:lang w:val="en-US" w:eastAsia="es-CO"/>
              </w:rPr>
              <w:t>$ 85.000,00</w:t>
            </w:r>
          </w:p>
        </w:tc>
      </w:tr>
      <w:tr w:rsidR="00366EFC" w:rsidRPr="00366EFC" w14:paraId="142C6CEB" w14:textId="77777777" w:rsidTr="00BE6D69">
        <w:trPr>
          <w:trHeight w:val="390"/>
        </w:trPr>
        <w:tc>
          <w:tcPr>
            <w:tcW w:w="480" w:type="dxa"/>
            <w:tcBorders>
              <w:top w:val="nil"/>
              <w:left w:val="nil"/>
              <w:bottom w:val="nil"/>
              <w:right w:val="nil"/>
            </w:tcBorders>
            <w:shd w:val="clear" w:color="auto" w:fill="auto"/>
            <w:noWrap/>
            <w:vAlign w:val="center"/>
            <w:hideMark/>
          </w:tcPr>
          <w:p w14:paraId="6778B2D1" w14:textId="77777777" w:rsidR="00BE6D69" w:rsidRPr="00366EFC" w:rsidRDefault="00BE6D69" w:rsidP="00BE6D69">
            <w:pPr>
              <w:jc w:val="center"/>
              <w:rPr>
                <w:rFonts w:ascii="Arial Narrow" w:hAnsi="Arial Narrow" w:cs="Arial"/>
                <w:spacing w:val="0"/>
                <w:sz w:val="15"/>
                <w:szCs w:val="15"/>
                <w:lang w:eastAsia="es-CO"/>
              </w:rPr>
            </w:pPr>
            <w:r w:rsidRPr="00366EFC">
              <w:rPr>
                <w:rFonts w:ascii="Arial Narrow" w:hAnsi="Arial Narrow" w:cs="Arial"/>
                <w:spacing w:val="0"/>
                <w:sz w:val="15"/>
                <w:szCs w:val="15"/>
                <w:lang w:val="en-US" w:eastAsia="es-CO"/>
              </w:rPr>
              <w:t>2</w:t>
            </w:r>
          </w:p>
        </w:tc>
        <w:tc>
          <w:tcPr>
            <w:tcW w:w="700" w:type="dxa"/>
            <w:tcBorders>
              <w:top w:val="nil"/>
              <w:left w:val="nil"/>
              <w:bottom w:val="nil"/>
              <w:right w:val="nil"/>
            </w:tcBorders>
            <w:shd w:val="clear" w:color="auto" w:fill="auto"/>
            <w:noWrap/>
            <w:vAlign w:val="center"/>
            <w:hideMark/>
          </w:tcPr>
          <w:p w14:paraId="1C70F670" w14:textId="77777777" w:rsidR="00BE6D69" w:rsidRPr="00366EFC" w:rsidRDefault="00BE6D69" w:rsidP="00BE6D69">
            <w:pPr>
              <w:jc w:val="center"/>
              <w:rPr>
                <w:rFonts w:ascii="Arial Narrow" w:hAnsi="Arial Narrow" w:cs="Arial"/>
                <w:b/>
                <w:bCs/>
                <w:spacing w:val="0"/>
                <w:sz w:val="15"/>
                <w:szCs w:val="15"/>
                <w:lang w:eastAsia="es-CO"/>
              </w:rPr>
            </w:pPr>
            <w:r w:rsidRPr="00366EFC">
              <w:rPr>
                <w:rFonts w:ascii="Arial Narrow" w:hAnsi="Arial Narrow" w:cs="Arial"/>
                <w:b/>
                <w:bCs/>
                <w:spacing w:val="0"/>
                <w:sz w:val="15"/>
                <w:szCs w:val="15"/>
                <w:lang w:val="en-US" w:eastAsia="es-CO"/>
              </w:rPr>
              <w:t>A</w:t>
            </w:r>
          </w:p>
        </w:tc>
        <w:tc>
          <w:tcPr>
            <w:tcW w:w="760" w:type="dxa"/>
            <w:tcBorders>
              <w:top w:val="nil"/>
              <w:left w:val="nil"/>
              <w:bottom w:val="nil"/>
              <w:right w:val="nil"/>
            </w:tcBorders>
            <w:shd w:val="clear" w:color="000000" w:fill="E2EFDA"/>
            <w:noWrap/>
            <w:vAlign w:val="center"/>
            <w:hideMark/>
          </w:tcPr>
          <w:p w14:paraId="34AAD97D" w14:textId="77777777" w:rsidR="00BE6D69" w:rsidRPr="00366EFC" w:rsidRDefault="00BE6D69" w:rsidP="00BE6D69">
            <w:pPr>
              <w:jc w:val="right"/>
              <w:rPr>
                <w:rFonts w:ascii="Arial Narrow" w:hAnsi="Arial Narrow" w:cs="Arial"/>
                <w:spacing w:val="0"/>
                <w:sz w:val="15"/>
                <w:szCs w:val="15"/>
                <w:lang w:eastAsia="es-CO"/>
              </w:rPr>
            </w:pPr>
            <w:r w:rsidRPr="00366EFC">
              <w:rPr>
                <w:rFonts w:ascii="Arial Narrow" w:hAnsi="Arial Narrow" w:cs="Arial"/>
                <w:spacing w:val="0"/>
                <w:sz w:val="15"/>
                <w:szCs w:val="15"/>
                <w:lang w:val="en-US" w:eastAsia="es-CO"/>
              </w:rPr>
              <w:t>Menos</w:t>
            </w:r>
          </w:p>
        </w:tc>
        <w:tc>
          <w:tcPr>
            <w:tcW w:w="2540" w:type="dxa"/>
            <w:tcBorders>
              <w:top w:val="nil"/>
              <w:left w:val="nil"/>
              <w:bottom w:val="nil"/>
              <w:right w:val="nil"/>
            </w:tcBorders>
            <w:shd w:val="clear" w:color="auto" w:fill="auto"/>
            <w:vAlign w:val="center"/>
            <w:hideMark/>
          </w:tcPr>
          <w:p w14:paraId="19667019" w14:textId="77777777" w:rsidR="00BE6D69" w:rsidRPr="00366EFC" w:rsidRDefault="00BE6D69" w:rsidP="00BE6D69">
            <w:pPr>
              <w:rPr>
                <w:rFonts w:ascii="Arial Narrow" w:hAnsi="Arial Narrow" w:cs="Arial"/>
                <w:b/>
                <w:bCs/>
                <w:spacing w:val="0"/>
                <w:sz w:val="15"/>
                <w:szCs w:val="15"/>
                <w:lang w:eastAsia="es-CO"/>
              </w:rPr>
            </w:pPr>
            <w:proofErr w:type="spellStart"/>
            <w:r w:rsidRPr="00366EFC">
              <w:rPr>
                <w:rFonts w:ascii="Arial Narrow" w:hAnsi="Arial Narrow" w:cs="Arial"/>
                <w:b/>
                <w:bCs/>
                <w:spacing w:val="0"/>
                <w:sz w:val="15"/>
                <w:szCs w:val="15"/>
                <w:lang w:val="en-US" w:eastAsia="es-CO"/>
              </w:rPr>
              <w:t>Impuestos</w:t>
            </w:r>
            <w:proofErr w:type="spellEnd"/>
          </w:p>
        </w:tc>
        <w:tc>
          <w:tcPr>
            <w:tcW w:w="700" w:type="dxa"/>
            <w:tcBorders>
              <w:top w:val="nil"/>
              <w:left w:val="nil"/>
              <w:bottom w:val="nil"/>
              <w:right w:val="nil"/>
            </w:tcBorders>
            <w:shd w:val="clear" w:color="auto" w:fill="auto"/>
            <w:noWrap/>
            <w:vAlign w:val="center"/>
            <w:hideMark/>
          </w:tcPr>
          <w:p w14:paraId="09E720D7" w14:textId="77777777" w:rsidR="00BE6D69" w:rsidRPr="00366EFC" w:rsidRDefault="00BE6D69" w:rsidP="00BE6D69">
            <w:pPr>
              <w:jc w:val="center"/>
              <w:rPr>
                <w:rFonts w:ascii="Arial Narrow" w:hAnsi="Arial Narrow" w:cs="Arial"/>
                <w:b/>
                <w:bCs/>
                <w:spacing w:val="0"/>
                <w:sz w:val="15"/>
                <w:szCs w:val="15"/>
                <w:lang w:eastAsia="es-CO"/>
              </w:rPr>
            </w:pPr>
            <w:r w:rsidRPr="00366EFC">
              <w:rPr>
                <w:rFonts w:ascii="Arial Narrow" w:hAnsi="Arial Narrow" w:cs="Arial"/>
                <w:b/>
                <w:bCs/>
                <w:spacing w:val="0"/>
                <w:sz w:val="15"/>
                <w:szCs w:val="15"/>
                <w:lang w:val="en-US" w:eastAsia="es-CO"/>
              </w:rPr>
              <w:t>COL$</w:t>
            </w:r>
          </w:p>
        </w:tc>
        <w:tc>
          <w:tcPr>
            <w:tcW w:w="1600" w:type="dxa"/>
            <w:tcBorders>
              <w:top w:val="nil"/>
              <w:left w:val="nil"/>
              <w:bottom w:val="nil"/>
              <w:right w:val="nil"/>
            </w:tcBorders>
            <w:shd w:val="clear" w:color="auto" w:fill="auto"/>
            <w:vAlign w:val="center"/>
            <w:hideMark/>
          </w:tcPr>
          <w:p w14:paraId="02E37C99" w14:textId="77777777" w:rsidR="00BE6D69" w:rsidRPr="00366EFC" w:rsidRDefault="00BE6D69" w:rsidP="00BE6D69">
            <w:pPr>
              <w:jc w:val="center"/>
              <w:rPr>
                <w:rFonts w:ascii="Arial Narrow" w:hAnsi="Arial Narrow" w:cs="Arial"/>
                <w:spacing w:val="0"/>
                <w:sz w:val="15"/>
                <w:szCs w:val="15"/>
                <w:lang w:eastAsia="es-CO"/>
              </w:rPr>
            </w:pPr>
            <w:proofErr w:type="spellStart"/>
            <w:r w:rsidRPr="00366EFC">
              <w:rPr>
                <w:rFonts w:ascii="Arial Narrow" w:hAnsi="Arial Narrow" w:cs="Arial"/>
                <w:spacing w:val="0"/>
                <w:sz w:val="15"/>
                <w:szCs w:val="15"/>
                <w:lang w:val="en-US" w:eastAsia="es-CO"/>
              </w:rPr>
              <w:t>suma</w:t>
            </w:r>
            <w:proofErr w:type="spellEnd"/>
            <w:r w:rsidRPr="00366EFC">
              <w:rPr>
                <w:rFonts w:ascii="Arial Narrow" w:hAnsi="Arial Narrow" w:cs="Arial"/>
                <w:spacing w:val="0"/>
                <w:sz w:val="15"/>
                <w:szCs w:val="15"/>
                <w:lang w:val="en-US" w:eastAsia="es-CO"/>
              </w:rPr>
              <w:t xml:space="preserve"> ITEM </w:t>
            </w:r>
            <w:r w:rsidRPr="00366EFC">
              <w:rPr>
                <w:rFonts w:ascii="Arial Narrow" w:hAnsi="Arial Narrow" w:cs="Arial"/>
                <w:spacing w:val="0"/>
                <w:sz w:val="15"/>
                <w:szCs w:val="15"/>
                <w:lang w:val="en-US" w:eastAsia="es-CO"/>
              </w:rPr>
              <w:br/>
              <w:t>3 al 5</w:t>
            </w:r>
          </w:p>
        </w:tc>
        <w:tc>
          <w:tcPr>
            <w:tcW w:w="940" w:type="dxa"/>
            <w:tcBorders>
              <w:top w:val="nil"/>
              <w:left w:val="nil"/>
              <w:bottom w:val="nil"/>
              <w:right w:val="nil"/>
            </w:tcBorders>
            <w:shd w:val="clear" w:color="auto" w:fill="auto"/>
            <w:noWrap/>
            <w:vAlign w:val="center"/>
            <w:hideMark/>
          </w:tcPr>
          <w:p w14:paraId="6C2FBEAA" w14:textId="77777777" w:rsidR="00BE6D69" w:rsidRPr="00366EFC" w:rsidRDefault="00BE6D69" w:rsidP="00BE6D69">
            <w:pPr>
              <w:jc w:val="center"/>
              <w:rPr>
                <w:rFonts w:ascii="Arial Narrow" w:hAnsi="Arial Narrow" w:cs="Arial"/>
                <w:spacing w:val="0"/>
                <w:sz w:val="15"/>
                <w:szCs w:val="15"/>
                <w:lang w:eastAsia="es-CO"/>
              </w:rPr>
            </w:pPr>
          </w:p>
        </w:tc>
        <w:tc>
          <w:tcPr>
            <w:tcW w:w="1300" w:type="dxa"/>
            <w:tcBorders>
              <w:top w:val="nil"/>
              <w:left w:val="nil"/>
              <w:bottom w:val="single" w:sz="4" w:space="0" w:color="auto"/>
              <w:right w:val="nil"/>
            </w:tcBorders>
            <w:shd w:val="clear" w:color="000000" w:fill="E2EFDA"/>
            <w:noWrap/>
            <w:vAlign w:val="center"/>
            <w:hideMark/>
          </w:tcPr>
          <w:p w14:paraId="7EB26BBA" w14:textId="77777777" w:rsidR="00BE6D69" w:rsidRPr="00366EFC" w:rsidRDefault="00BE6D69" w:rsidP="00BE6D69">
            <w:pPr>
              <w:jc w:val="right"/>
              <w:rPr>
                <w:rFonts w:ascii="Arial Narrow" w:hAnsi="Arial Narrow" w:cs="Arial"/>
                <w:b/>
                <w:bCs/>
                <w:spacing w:val="0"/>
                <w:sz w:val="15"/>
                <w:szCs w:val="15"/>
                <w:lang w:eastAsia="es-CO"/>
              </w:rPr>
            </w:pPr>
            <w:r w:rsidRPr="00366EFC">
              <w:rPr>
                <w:rFonts w:ascii="Arial Narrow" w:hAnsi="Arial Narrow" w:cs="Arial"/>
                <w:b/>
                <w:bCs/>
                <w:spacing w:val="0"/>
                <w:sz w:val="15"/>
                <w:szCs w:val="15"/>
                <w:lang w:val="en-US" w:eastAsia="es-CO"/>
              </w:rPr>
              <w:t>($ 5.000,00)</w:t>
            </w:r>
          </w:p>
        </w:tc>
        <w:tc>
          <w:tcPr>
            <w:tcW w:w="1240" w:type="dxa"/>
            <w:tcBorders>
              <w:top w:val="nil"/>
              <w:left w:val="nil"/>
              <w:bottom w:val="nil"/>
              <w:right w:val="nil"/>
            </w:tcBorders>
            <w:shd w:val="clear" w:color="auto" w:fill="auto"/>
            <w:noWrap/>
            <w:vAlign w:val="center"/>
            <w:hideMark/>
          </w:tcPr>
          <w:p w14:paraId="1DDBCBF6" w14:textId="77777777" w:rsidR="00BE6D69" w:rsidRPr="00366EFC" w:rsidRDefault="00BE6D69" w:rsidP="00BE6D69">
            <w:pPr>
              <w:jc w:val="right"/>
              <w:rPr>
                <w:rFonts w:ascii="Arial Narrow" w:hAnsi="Arial Narrow" w:cs="Arial"/>
                <w:b/>
                <w:bCs/>
                <w:spacing w:val="0"/>
                <w:sz w:val="15"/>
                <w:szCs w:val="15"/>
                <w:lang w:eastAsia="es-CO"/>
              </w:rPr>
            </w:pPr>
            <w:r w:rsidRPr="00366EFC">
              <w:rPr>
                <w:rFonts w:ascii="Arial Narrow" w:hAnsi="Arial Narrow" w:cs="Arial"/>
                <w:b/>
                <w:bCs/>
                <w:spacing w:val="0"/>
                <w:sz w:val="15"/>
                <w:szCs w:val="15"/>
                <w:lang w:val="en-US" w:eastAsia="es-CO"/>
              </w:rPr>
              <w:t>($ 5.000,00)</w:t>
            </w:r>
          </w:p>
        </w:tc>
      </w:tr>
      <w:tr w:rsidR="00366EFC" w:rsidRPr="00366EFC" w14:paraId="6FF94903" w14:textId="77777777" w:rsidTr="00BE6D69">
        <w:trPr>
          <w:trHeight w:val="270"/>
        </w:trPr>
        <w:tc>
          <w:tcPr>
            <w:tcW w:w="480" w:type="dxa"/>
            <w:tcBorders>
              <w:top w:val="nil"/>
              <w:left w:val="nil"/>
              <w:bottom w:val="nil"/>
              <w:right w:val="nil"/>
            </w:tcBorders>
            <w:shd w:val="clear" w:color="auto" w:fill="auto"/>
            <w:noWrap/>
            <w:vAlign w:val="center"/>
            <w:hideMark/>
          </w:tcPr>
          <w:p w14:paraId="075B30F7" w14:textId="77777777" w:rsidR="00BE6D69" w:rsidRPr="00366EFC" w:rsidRDefault="00BE6D69" w:rsidP="00BE6D69">
            <w:pPr>
              <w:jc w:val="center"/>
              <w:rPr>
                <w:rFonts w:ascii="Arial Narrow" w:hAnsi="Arial Narrow" w:cs="Arial"/>
                <w:spacing w:val="0"/>
                <w:sz w:val="15"/>
                <w:szCs w:val="15"/>
                <w:lang w:eastAsia="es-CO"/>
              </w:rPr>
            </w:pPr>
            <w:r w:rsidRPr="00366EFC">
              <w:rPr>
                <w:rFonts w:ascii="Arial Narrow" w:hAnsi="Arial Narrow" w:cs="Arial"/>
                <w:spacing w:val="0"/>
                <w:sz w:val="15"/>
                <w:szCs w:val="15"/>
                <w:lang w:val="en-US" w:eastAsia="es-CO"/>
              </w:rPr>
              <w:t>3</w:t>
            </w:r>
          </w:p>
        </w:tc>
        <w:tc>
          <w:tcPr>
            <w:tcW w:w="700" w:type="dxa"/>
            <w:tcBorders>
              <w:top w:val="nil"/>
              <w:left w:val="nil"/>
              <w:bottom w:val="nil"/>
              <w:right w:val="nil"/>
            </w:tcBorders>
            <w:shd w:val="clear" w:color="auto" w:fill="auto"/>
            <w:noWrap/>
            <w:vAlign w:val="center"/>
            <w:hideMark/>
          </w:tcPr>
          <w:p w14:paraId="5072330B" w14:textId="77777777" w:rsidR="00BE6D69" w:rsidRPr="00366EFC" w:rsidRDefault="00BE6D69" w:rsidP="00BE6D69">
            <w:pPr>
              <w:jc w:val="center"/>
              <w:rPr>
                <w:rFonts w:ascii="Arial Narrow" w:hAnsi="Arial Narrow" w:cs="Arial"/>
                <w:spacing w:val="0"/>
                <w:sz w:val="15"/>
                <w:szCs w:val="15"/>
                <w:lang w:eastAsia="es-CO"/>
              </w:rPr>
            </w:pPr>
            <w:r w:rsidRPr="00366EFC">
              <w:rPr>
                <w:rFonts w:ascii="Arial Narrow" w:hAnsi="Arial Narrow" w:cs="Arial"/>
                <w:spacing w:val="0"/>
                <w:sz w:val="15"/>
                <w:szCs w:val="15"/>
                <w:lang w:val="en-US" w:eastAsia="es-CO"/>
              </w:rPr>
              <w:t>A1</w:t>
            </w:r>
          </w:p>
        </w:tc>
        <w:tc>
          <w:tcPr>
            <w:tcW w:w="760" w:type="dxa"/>
            <w:tcBorders>
              <w:top w:val="nil"/>
              <w:left w:val="nil"/>
              <w:bottom w:val="nil"/>
              <w:right w:val="nil"/>
            </w:tcBorders>
            <w:shd w:val="clear" w:color="000000" w:fill="E2EFDA"/>
            <w:noWrap/>
            <w:vAlign w:val="center"/>
            <w:hideMark/>
          </w:tcPr>
          <w:p w14:paraId="481D197E" w14:textId="77777777" w:rsidR="00BE6D69" w:rsidRPr="00366EFC" w:rsidRDefault="00BE6D69" w:rsidP="00BE6D69">
            <w:pPr>
              <w:jc w:val="right"/>
              <w:rPr>
                <w:rFonts w:ascii="Arial Narrow" w:hAnsi="Arial Narrow" w:cs="Arial"/>
                <w:spacing w:val="0"/>
                <w:sz w:val="15"/>
                <w:szCs w:val="15"/>
                <w:lang w:eastAsia="es-CO"/>
              </w:rPr>
            </w:pPr>
            <w:r w:rsidRPr="00366EFC">
              <w:rPr>
                <w:rFonts w:ascii="Arial Narrow" w:hAnsi="Arial Narrow" w:cs="Arial"/>
                <w:spacing w:val="0"/>
                <w:sz w:val="15"/>
                <w:szCs w:val="15"/>
                <w:lang w:val="en-US" w:eastAsia="es-CO"/>
              </w:rPr>
              <w:t> </w:t>
            </w:r>
          </w:p>
        </w:tc>
        <w:tc>
          <w:tcPr>
            <w:tcW w:w="2540" w:type="dxa"/>
            <w:tcBorders>
              <w:top w:val="nil"/>
              <w:left w:val="nil"/>
              <w:bottom w:val="nil"/>
              <w:right w:val="nil"/>
            </w:tcBorders>
            <w:shd w:val="clear" w:color="auto" w:fill="auto"/>
            <w:vAlign w:val="center"/>
            <w:hideMark/>
          </w:tcPr>
          <w:p w14:paraId="1F67D137" w14:textId="77777777" w:rsidR="00BE6D69" w:rsidRPr="00366EFC" w:rsidRDefault="00BE6D69" w:rsidP="00BE6D69">
            <w:pPr>
              <w:rPr>
                <w:rFonts w:ascii="Arial Narrow" w:hAnsi="Arial Narrow" w:cs="Arial"/>
                <w:spacing w:val="0"/>
                <w:sz w:val="15"/>
                <w:szCs w:val="15"/>
                <w:lang w:eastAsia="es-CO"/>
              </w:rPr>
            </w:pPr>
            <w:r w:rsidRPr="00366EFC">
              <w:rPr>
                <w:rFonts w:ascii="Arial Narrow" w:hAnsi="Arial Narrow" w:cs="Calibri"/>
                <w:spacing w:val="0"/>
                <w:sz w:val="15"/>
                <w:szCs w:val="15"/>
                <w:lang w:eastAsia="es-CO"/>
              </w:rPr>
              <w:t>Impuesto a las ganancias corrientes</w:t>
            </w:r>
          </w:p>
        </w:tc>
        <w:tc>
          <w:tcPr>
            <w:tcW w:w="700" w:type="dxa"/>
            <w:tcBorders>
              <w:top w:val="nil"/>
              <w:left w:val="nil"/>
              <w:bottom w:val="nil"/>
              <w:right w:val="nil"/>
            </w:tcBorders>
            <w:shd w:val="clear" w:color="auto" w:fill="auto"/>
            <w:noWrap/>
            <w:vAlign w:val="center"/>
            <w:hideMark/>
          </w:tcPr>
          <w:p w14:paraId="6CD1E7AC" w14:textId="77777777" w:rsidR="00BE6D69" w:rsidRPr="00366EFC" w:rsidRDefault="00BE6D69" w:rsidP="00BE6D69">
            <w:pPr>
              <w:jc w:val="center"/>
              <w:rPr>
                <w:rFonts w:ascii="Arial Narrow" w:hAnsi="Arial Narrow" w:cs="Arial"/>
                <w:b/>
                <w:bCs/>
                <w:spacing w:val="0"/>
                <w:sz w:val="15"/>
                <w:szCs w:val="15"/>
                <w:lang w:eastAsia="es-CO"/>
              </w:rPr>
            </w:pPr>
            <w:r w:rsidRPr="00366EFC">
              <w:rPr>
                <w:rFonts w:ascii="Arial Narrow" w:hAnsi="Arial Narrow" w:cs="Arial"/>
                <w:b/>
                <w:bCs/>
                <w:spacing w:val="0"/>
                <w:sz w:val="15"/>
                <w:szCs w:val="15"/>
                <w:lang w:val="en-US" w:eastAsia="es-CO"/>
              </w:rPr>
              <w:t>COL$</w:t>
            </w:r>
          </w:p>
        </w:tc>
        <w:tc>
          <w:tcPr>
            <w:tcW w:w="1600" w:type="dxa"/>
            <w:tcBorders>
              <w:top w:val="nil"/>
              <w:left w:val="nil"/>
              <w:bottom w:val="nil"/>
              <w:right w:val="nil"/>
            </w:tcBorders>
            <w:shd w:val="clear" w:color="auto" w:fill="auto"/>
            <w:vAlign w:val="center"/>
            <w:hideMark/>
          </w:tcPr>
          <w:p w14:paraId="4BB19045" w14:textId="77777777" w:rsidR="00BE6D69" w:rsidRPr="00366EFC" w:rsidRDefault="00BE6D69" w:rsidP="00BE6D69">
            <w:pPr>
              <w:jc w:val="center"/>
              <w:rPr>
                <w:rFonts w:ascii="Arial Narrow" w:hAnsi="Arial Narrow" w:cs="Arial"/>
                <w:b/>
                <w:bCs/>
                <w:spacing w:val="0"/>
                <w:sz w:val="15"/>
                <w:szCs w:val="15"/>
                <w:lang w:eastAsia="es-CO"/>
              </w:rPr>
            </w:pPr>
          </w:p>
        </w:tc>
        <w:tc>
          <w:tcPr>
            <w:tcW w:w="940" w:type="dxa"/>
            <w:tcBorders>
              <w:top w:val="nil"/>
              <w:left w:val="nil"/>
              <w:bottom w:val="nil"/>
              <w:right w:val="nil"/>
            </w:tcBorders>
            <w:shd w:val="clear" w:color="000000" w:fill="E2EFDA"/>
            <w:noWrap/>
            <w:vAlign w:val="center"/>
            <w:hideMark/>
          </w:tcPr>
          <w:p w14:paraId="75F8785C" w14:textId="77777777" w:rsidR="00BE6D69" w:rsidRPr="00366EFC" w:rsidRDefault="00BE6D69" w:rsidP="00BE6D69">
            <w:pPr>
              <w:jc w:val="right"/>
              <w:rPr>
                <w:rFonts w:ascii="Arial Narrow" w:hAnsi="Arial Narrow" w:cs="Arial"/>
                <w:spacing w:val="0"/>
                <w:sz w:val="15"/>
                <w:szCs w:val="15"/>
                <w:lang w:eastAsia="es-CO"/>
              </w:rPr>
            </w:pPr>
            <w:r w:rsidRPr="00366EFC">
              <w:rPr>
                <w:rFonts w:ascii="Arial Narrow" w:hAnsi="Arial Narrow" w:cs="Arial"/>
                <w:spacing w:val="0"/>
                <w:sz w:val="15"/>
                <w:szCs w:val="15"/>
                <w:lang w:val="en-US" w:eastAsia="es-CO"/>
              </w:rPr>
              <w:t>($ 1.000,00)</w:t>
            </w:r>
          </w:p>
        </w:tc>
        <w:tc>
          <w:tcPr>
            <w:tcW w:w="1300" w:type="dxa"/>
            <w:tcBorders>
              <w:top w:val="nil"/>
              <w:left w:val="nil"/>
              <w:bottom w:val="nil"/>
              <w:right w:val="nil"/>
            </w:tcBorders>
            <w:shd w:val="clear" w:color="auto" w:fill="auto"/>
            <w:noWrap/>
            <w:vAlign w:val="center"/>
            <w:hideMark/>
          </w:tcPr>
          <w:p w14:paraId="582E64B2" w14:textId="77777777" w:rsidR="00BE6D69" w:rsidRPr="00366EFC" w:rsidRDefault="00BE6D69" w:rsidP="00BE6D69">
            <w:pPr>
              <w:jc w:val="right"/>
              <w:rPr>
                <w:rFonts w:ascii="Arial Narrow" w:hAnsi="Arial Narrow" w:cs="Arial"/>
                <w:spacing w:val="0"/>
                <w:sz w:val="15"/>
                <w:szCs w:val="15"/>
                <w:lang w:eastAsia="es-CO"/>
              </w:rPr>
            </w:pPr>
          </w:p>
        </w:tc>
        <w:tc>
          <w:tcPr>
            <w:tcW w:w="1240" w:type="dxa"/>
            <w:tcBorders>
              <w:top w:val="nil"/>
              <w:left w:val="nil"/>
              <w:bottom w:val="nil"/>
              <w:right w:val="nil"/>
            </w:tcBorders>
            <w:shd w:val="clear" w:color="auto" w:fill="auto"/>
            <w:noWrap/>
            <w:vAlign w:val="center"/>
            <w:hideMark/>
          </w:tcPr>
          <w:p w14:paraId="06D9E380" w14:textId="77777777" w:rsidR="00BE6D69" w:rsidRPr="00366EFC" w:rsidRDefault="00BE6D69" w:rsidP="00BE6D69">
            <w:pPr>
              <w:jc w:val="left"/>
              <w:rPr>
                <w:rFonts w:ascii="Times New Roman" w:hAnsi="Times New Roman"/>
                <w:spacing w:val="0"/>
                <w:lang w:eastAsia="es-CO"/>
              </w:rPr>
            </w:pPr>
          </w:p>
        </w:tc>
      </w:tr>
      <w:tr w:rsidR="00366EFC" w:rsidRPr="00366EFC" w14:paraId="7E71EEDD" w14:textId="77777777" w:rsidTr="00BE6D69">
        <w:trPr>
          <w:trHeight w:val="255"/>
        </w:trPr>
        <w:tc>
          <w:tcPr>
            <w:tcW w:w="480" w:type="dxa"/>
            <w:tcBorders>
              <w:top w:val="nil"/>
              <w:left w:val="nil"/>
              <w:bottom w:val="nil"/>
              <w:right w:val="nil"/>
            </w:tcBorders>
            <w:shd w:val="clear" w:color="auto" w:fill="auto"/>
            <w:noWrap/>
            <w:vAlign w:val="center"/>
            <w:hideMark/>
          </w:tcPr>
          <w:p w14:paraId="4972FC0A" w14:textId="77777777" w:rsidR="00BE6D69" w:rsidRPr="00366EFC" w:rsidRDefault="00BE6D69" w:rsidP="00BE6D69">
            <w:pPr>
              <w:jc w:val="center"/>
              <w:rPr>
                <w:rFonts w:ascii="Arial Narrow" w:hAnsi="Arial Narrow" w:cs="Arial"/>
                <w:spacing w:val="0"/>
                <w:sz w:val="15"/>
                <w:szCs w:val="15"/>
                <w:lang w:eastAsia="es-CO"/>
              </w:rPr>
            </w:pPr>
            <w:r w:rsidRPr="00366EFC">
              <w:rPr>
                <w:rFonts w:ascii="Arial Narrow" w:hAnsi="Arial Narrow" w:cs="Arial"/>
                <w:spacing w:val="0"/>
                <w:sz w:val="15"/>
                <w:szCs w:val="15"/>
                <w:lang w:val="en-US" w:eastAsia="es-CO"/>
              </w:rPr>
              <w:t>4</w:t>
            </w:r>
          </w:p>
        </w:tc>
        <w:tc>
          <w:tcPr>
            <w:tcW w:w="700" w:type="dxa"/>
            <w:tcBorders>
              <w:top w:val="nil"/>
              <w:left w:val="nil"/>
              <w:bottom w:val="nil"/>
              <w:right w:val="nil"/>
            </w:tcBorders>
            <w:shd w:val="clear" w:color="auto" w:fill="auto"/>
            <w:noWrap/>
            <w:vAlign w:val="center"/>
            <w:hideMark/>
          </w:tcPr>
          <w:p w14:paraId="5B3BE086" w14:textId="77777777" w:rsidR="00BE6D69" w:rsidRPr="00366EFC" w:rsidRDefault="00BE6D69" w:rsidP="00BE6D69">
            <w:pPr>
              <w:jc w:val="center"/>
              <w:rPr>
                <w:rFonts w:ascii="Arial Narrow" w:hAnsi="Arial Narrow" w:cs="Arial"/>
                <w:spacing w:val="0"/>
                <w:sz w:val="15"/>
                <w:szCs w:val="15"/>
                <w:lang w:eastAsia="es-CO"/>
              </w:rPr>
            </w:pPr>
            <w:r w:rsidRPr="00366EFC">
              <w:rPr>
                <w:rFonts w:ascii="Arial Narrow" w:hAnsi="Arial Narrow" w:cs="Arial"/>
                <w:spacing w:val="0"/>
                <w:sz w:val="15"/>
                <w:szCs w:val="15"/>
                <w:lang w:val="en-US" w:eastAsia="es-CO"/>
              </w:rPr>
              <w:t>A2</w:t>
            </w:r>
          </w:p>
        </w:tc>
        <w:tc>
          <w:tcPr>
            <w:tcW w:w="760" w:type="dxa"/>
            <w:tcBorders>
              <w:top w:val="nil"/>
              <w:left w:val="nil"/>
              <w:bottom w:val="nil"/>
              <w:right w:val="nil"/>
            </w:tcBorders>
            <w:shd w:val="clear" w:color="000000" w:fill="E2EFDA"/>
            <w:noWrap/>
            <w:vAlign w:val="center"/>
            <w:hideMark/>
          </w:tcPr>
          <w:p w14:paraId="23216D2B" w14:textId="77777777" w:rsidR="00BE6D69" w:rsidRPr="00366EFC" w:rsidRDefault="00BE6D69" w:rsidP="00BE6D69">
            <w:pPr>
              <w:jc w:val="right"/>
              <w:rPr>
                <w:rFonts w:ascii="Arial Narrow" w:hAnsi="Arial Narrow" w:cs="Arial"/>
                <w:spacing w:val="0"/>
                <w:sz w:val="15"/>
                <w:szCs w:val="15"/>
                <w:lang w:eastAsia="es-CO"/>
              </w:rPr>
            </w:pPr>
            <w:r w:rsidRPr="00366EFC">
              <w:rPr>
                <w:rFonts w:ascii="Arial Narrow" w:hAnsi="Arial Narrow" w:cs="Arial"/>
                <w:spacing w:val="0"/>
                <w:sz w:val="15"/>
                <w:szCs w:val="15"/>
                <w:lang w:val="en-US" w:eastAsia="es-CO"/>
              </w:rPr>
              <w:t> </w:t>
            </w:r>
          </w:p>
        </w:tc>
        <w:tc>
          <w:tcPr>
            <w:tcW w:w="2540" w:type="dxa"/>
            <w:tcBorders>
              <w:top w:val="nil"/>
              <w:left w:val="nil"/>
              <w:bottom w:val="nil"/>
              <w:right w:val="nil"/>
            </w:tcBorders>
            <w:shd w:val="clear" w:color="auto" w:fill="auto"/>
            <w:vAlign w:val="center"/>
            <w:hideMark/>
          </w:tcPr>
          <w:p w14:paraId="5465C118" w14:textId="77777777" w:rsidR="00BE6D69" w:rsidRPr="00366EFC" w:rsidRDefault="00BE6D69" w:rsidP="00BE6D69">
            <w:pPr>
              <w:rPr>
                <w:rFonts w:ascii="Arial Narrow" w:hAnsi="Arial Narrow" w:cs="Arial"/>
                <w:spacing w:val="0"/>
                <w:sz w:val="15"/>
                <w:szCs w:val="15"/>
                <w:lang w:eastAsia="es-CO"/>
              </w:rPr>
            </w:pPr>
            <w:r w:rsidRPr="00366EFC">
              <w:rPr>
                <w:rFonts w:ascii="Arial Narrow" w:hAnsi="Arial Narrow" w:cs="Calibri"/>
                <w:spacing w:val="0"/>
                <w:sz w:val="15"/>
                <w:szCs w:val="15"/>
                <w:lang w:eastAsia="es-CO"/>
              </w:rPr>
              <w:t>Impuesto a las ganancias diferido</w:t>
            </w:r>
          </w:p>
        </w:tc>
        <w:tc>
          <w:tcPr>
            <w:tcW w:w="700" w:type="dxa"/>
            <w:tcBorders>
              <w:top w:val="nil"/>
              <w:left w:val="nil"/>
              <w:bottom w:val="nil"/>
              <w:right w:val="nil"/>
            </w:tcBorders>
            <w:shd w:val="clear" w:color="auto" w:fill="auto"/>
            <w:noWrap/>
            <w:vAlign w:val="center"/>
            <w:hideMark/>
          </w:tcPr>
          <w:p w14:paraId="5EAD9194" w14:textId="77777777" w:rsidR="00BE6D69" w:rsidRPr="00366EFC" w:rsidRDefault="00BE6D69" w:rsidP="00BE6D69">
            <w:pPr>
              <w:jc w:val="center"/>
              <w:rPr>
                <w:rFonts w:ascii="Arial Narrow" w:hAnsi="Arial Narrow" w:cs="Arial"/>
                <w:b/>
                <w:bCs/>
                <w:spacing w:val="0"/>
                <w:sz w:val="15"/>
                <w:szCs w:val="15"/>
                <w:lang w:eastAsia="es-CO"/>
              </w:rPr>
            </w:pPr>
            <w:r w:rsidRPr="00366EFC">
              <w:rPr>
                <w:rFonts w:ascii="Arial Narrow" w:hAnsi="Arial Narrow" w:cs="Arial"/>
                <w:b/>
                <w:bCs/>
                <w:spacing w:val="0"/>
                <w:sz w:val="15"/>
                <w:szCs w:val="15"/>
                <w:lang w:val="en-US" w:eastAsia="es-CO"/>
              </w:rPr>
              <w:t>COL$</w:t>
            </w:r>
          </w:p>
        </w:tc>
        <w:tc>
          <w:tcPr>
            <w:tcW w:w="1600" w:type="dxa"/>
            <w:tcBorders>
              <w:top w:val="nil"/>
              <w:left w:val="nil"/>
              <w:bottom w:val="nil"/>
              <w:right w:val="nil"/>
            </w:tcBorders>
            <w:shd w:val="clear" w:color="auto" w:fill="auto"/>
            <w:vAlign w:val="center"/>
            <w:hideMark/>
          </w:tcPr>
          <w:p w14:paraId="43B6CF21" w14:textId="77777777" w:rsidR="00BE6D69" w:rsidRPr="00366EFC" w:rsidRDefault="00BE6D69" w:rsidP="00BE6D69">
            <w:pPr>
              <w:jc w:val="center"/>
              <w:rPr>
                <w:rFonts w:ascii="Arial Narrow" w:hAnsi="Arial Narrow" w:cs="Arial"/>
                <w:b/>
                <w:bCs/>
                <w:spacing w:val="0"/>
                <w:sz w:val="15"/>
                <w:szCs w:val="15"/>
                <w:lang w:eastAsia="es-CO"/>
              </w:rPr>
            </w:pPr>
          </w:p>
        </w:tc>
        <w:tc>
          <w:tcPr>
            <w:tcW w:w="940" w:type="dxa"/>
            <w:tcBorders>
              <w:top w:val="nil"/>
              <w:left w:val="nil"/>
              <w:bottom w:val="nil"/>
              <w:right w:val="nil"/>
            </w:tcBorders>
            <w:shd w:val="clear" w:color="000000" w:fill="E2EFDA"/>
            <w:noWrap/>
            <w:vAlign w:val="center"/>
            <w:hideMark/>
          </w:tcPr>
          <w:p w14:paraId="57350233" w14:textId="77777777" w:rsidR="00BE6D69" w:rsidRPr="00366EFC" w:rsidRDefault="00BE6D69" w:rsidP="00BE6D69">
            <w:pPr>
              <w:jc w:val="right"/>
              <w:rPr>
                <w:rFonts w:ascii="Arial Narrow" w:hAnsi="Arial Narrow" w:cs="Arial"/>
                <w:spacing w:val="0"/>
                <w:sz w:val="15"/>
                <w:szCs w:val="15"/>
                <w:lang w:eastAsia="es-CO"/>
              </w:rPr>
            </w:pPr>
            <w:r w:rsidRPr="00366EFC">
              <w:rPr>
                <w:rFonts w:ascii="Arial Narrow" w:hAnsi="Arial Narrow" w:cs="Arial"/>
                <w:spacing w:val="0"/>
                <w:sz w:val="15"/>
                <w:szCs w:val="15"/>
                <w:lang w:val="en-US" w:eastAsia="es-CO"/>
              </w:rPr>
              <w:t>($ 2.000,00)</w:t>
            </w:r>
          </w:p>
        </w:tc>
        <w:tc>
          <w:tcPr>
            <w:tcW w:w="1300" w:type="dxa"/>
            <w:tcBorders>
              <w:top w:val="nil"/>
              <w:left w:val="nil"/>
              <w:bottom w:val="nil"/>
              <w:right w:val="nil"/>
            </w:tcBorders>
            <w:shd w:val="clear" w:color="auto" w:fill="auto"/>
            <w:noWrap/>
            <w:vAlign w:val="center"/>
            <w:hideMark/>
          </w:tcPr>
          <w:p w14:paraId="27A236DF" w14:textId="77777777" w:rsidR="00BE6D69" w:rsidRPr="00366EFC" w:rsidRDefault="00BE6D69" w:rsidP="00BE6D69">
            <w:pPr>
              <w:jc w:val="right"/>
              <w:rPr>
                <w:rFonts w:ascii="Arial Narrow" w:hAnsi="Arial Narrow" w:cs="Arial"/>
                <w:spacing w:val="0"/>
                <w:sz w:val="15"/>
                <w:szCs w:val="15"/>
                <w:lang w:eastAsia="es-CO"/>
              </w:rPr>
            </w:pPr>
          </w:p>
        </w:tc>
        <w:tc>
          <w:tcPr>
            <w:tcW w:w="1240" w:type="dxa"/>
            <w:tcBorders>
              <w:top w:val="nil"/>
              <w:left w:val="nil"/>
              <w:bottom w:val="nil"/>
              <w:right w:val="nil"/>
            </w:tcBorders>
            <w:shd w:val="clear" w:color="auto" w:fill="auto"/>
            <w:noWrap/>
            <w:vAlign w:val="center"/>
            <w:hideMark/>
          </w:tcPr>
          <w:p w14:paraId="151FC269" w14:textId="77777777" w:rsidR="00BE6D69" w:rsidRPr="00366EFC" w:rsidRDefault="00BE6D69" w:rsidP="00BE6D69">
            <w:pPr>
              <w:jc w:val="left"/>
              <w:rPr>
                <w:rFonts w:ascii="Times New Roman" w:hAnsi="Times New Roman"/>
                <w:spacing w:val="0"/>
                <w:lang w:eastAsia="es-CO"/>
              </w:rPr>
            </w:pPr>
          </w:p>
        </w:tc>
      </w:tr>
      <w:tr w:rsidR="00366EFC" w:rsidRPr="00366EFC" w14:paraId="468D34FA" w14:textId="77777777" w:rsidTr="00BE6D69">
        <w:trPr>
          <w:trHeight w:val="255"/>
        </w:trPr>
        <w:tc>
          <w:tcPr>
            <w:tcW w:w="480" w:type="dxa"/>
            <w:tcBorders>
              <w:top w:val="nil"/>
              <w:left w:val="nil"/>
              <w:bottom w:val="nil"/>
              <w:right w:val="nil"/>
            </w:tcBorders>
            <w:shd w:val="clear" w:color="auto" w:fill="auto"/>
            <w:noWrap/>
            <w:vAlign w:val="center"/>
            <w:hideMark/>
          </w:tcPr>
          <w:p w14:paraId="73E58161" w14:textId="77777777" w:rsidR="00BE6D69" w:rsidRPr="00366EFC" w:rsidRDefault="00BE6D69" w:rsidP="00BE6D69">
            <w:pPr>
              <w:jc w:val="center"/>
              <w:rPr>
                <w:rFonts w:ascii="Arial Narrow" w:hAnsi="Arial Narrow" w:cs="Arial"/>
                <w:spacing w:val="0"/>
                <w:sz w:val="15"/>
                <w:szCs w:val="15"/>
                <w:lang w:eastAsia="es-CO"/>
              </w:rPr>
            </w:pPr>
            <w:r w:rsidRPr="00366EFC">
              <w:rPr>
                <w:rFonts w:ascii="Arial Narrow" w:hAnsi="Arial Narrow" w:cs="Arial"/>
                <w:spacing w:val="0"/>
                <w:sz w:val="15"/>
                <w:szCs w:val="15"/>
                <w:lang w:val="en-US" w:eastAsia="es-CO"/>
              </w:rPr>
              <w:t>5</w:t>
            </w:r>
          </w:p>
        </w:tc>
        <w:tc>
          <w:tcPr>
            <w:tcW w:w="700" w:type="dxa"/>
            <w:tcBorders>
              <w:top w:val="nil"/>
              <w:left w:val="nil"/>
              <w:bottom w:val="nil"/>
              <w:right w:val="nil"/>
            </w:tcBorders>
            <w:shd w:val="clear" w:color="auto" w:fill="auto"/>
            <w:noWrap/>
            <w:vAlign w:val="center"/>
            <w:hideMark/>
          </w:tcPr>
          <w:p w14:paraId="46A1520F" w14:textId="77777777" w:rsidR="00BE6D69" w:rsidRPr="00366EFC" w:rsidRDefault="00BE6D69" w:rsidP="00BE6D69">
            <w:pPr>
              <w:jc w:val="center"/>
              <w:rPr>
                <w:rFonts w:ascii="Arial Narrow" w:hAnsi="Arial Narrow" w:cs="Arial"/>
                <w:spacing w:val="0"/>
                <w:sz w:val="15"/>
                <w:szCs w:val="15"/>
                <w:lang w:eastAsia="es-CO"/>
              </w:rPr>
            </w:pPr>
            <w:r w:rsidRPr="00366EFC">
              <w:rPr>
                <w:rFonts w:ascii="Arial Narrow" w:hAnsi="Arial Narrow" w:cs="Arial"/>
                <w:spacing w:val="0"/>
                <w:sz w:val="15"/>
                <w:szCs w:val="15"/>
                <w:lang w:val="en-US" w:eastAsia="es-CO"/>
              </w:rPr>
              <w:t>A3</w:t>
            </w:r>
          </w:p>
        </w:tc>
        <w:tc>
          <w:tcPr>
            <w:tcW w:w="760" w:type="dxa"/>
            <w:tcBorders>
              <w:top w:val="nil"/>
              <w:left w:val="nil"/>
              <w:bottom w:val="nil"/>
              <w:right w:val="nil"/>
            </w:tcBorders>
            <w:shd w:val="clear" w:color="000000" w:fill="E2EFDA"/>
            <w:noWrap/>
            <w:vAlign w:val="center"/>
            <w:hideMark/>
          </w:tcPr>
          <w:p w14:paraId="35D5F1FA" w14:textId="77777777" w:rsidR="00BE6D69" w:rsidRPr="00366EFC" w:rsidRDefault="00BE6D69" w:rsidP="00BE6D69">
            <w:pPr>
              <w:jc w:val="right"/>
              <w:rPr>
                <w:rFonts w:ascii="Arial Narrow" w:hAnsi="Arial Narrow" w:cs="Arial"/>
                <w:spacing w:val="0"/>
                <w:sz w:val="15"/>
                <w:szCs w:val="15"/>
                <w:lang w:eastAsia="es-CO"/>
              </w:rPr>
            </w:pPr>
            <w:r w:rsidRPr="00366EFC">
              <w:rPr>
                <w:rFonts w:ascii="Arial Narrow" w:hAnsi="Arial Narrow" w:cs="Arial"/>
                <w:spacing w:val="0"/>
                <w:sz w:val="15"/>
                <w:szCs w:val="15"/>
                <w:lang w:val="en-US" w:eastAsia="es-CO"/>
              </w:rPr>
              <w:t> </w:t>
            </w:r>
          </w:p>
        </w:tc>
        <w:tc>
          <w:tcPr>
            <w:tcW w:w="2540" w:type="dxa"/>
            <w:tcBorders>
              <w:top w:val="nil"/>
              <w:left w:val="nil"/>
              <w:bottom w:val="nil"/>
              <w:right w:val="nil"/>
            </w:tcBorders>
            <w:shd w:val="clear" w:color="auto" w:fill="auto"/>
            <w:vAlign w:val="center"/>
            <w:hideMark/>
          </w:tcPr>
          <w:p w14:paraId="6BB0C634" w14:textId="77777777" w:rsidR="00BE6D69" w:rsidRPr="00366EFC" w:rsidRDefault="00BE6D69" w:rsidP="00BE6D69">
            <w:pPr>
              <w:rPr>
                <w:rFonts w:ascii="Arial Narrow" w:hAnsi="Arial Narrow" w:cs="Arial"/>
                <w:spacing w:val="0"/>
                <w:sz w:val="15"/>
                <w:szCs w:val="15"/>
                <w:lang w:eastAsia="es-CO"/>
              </w:rPr>
            </w:pPr>
            <w:proofErr w:type="spellStart"/>
            <w:r w:rsidRPr="00366EFC">
              <w:rPr>
                <w:rFonts w:ascii="Arial Narrow" w:hAnsi="Arial Narrow" w:cs="Arial"/>
                <w:spacing w:val="0"/>
                <w:sz w:val="15"/>
                <w:szCs w:val="15"/>
                <w:lang w:val="en-US" w:eastAsia="es-CO"/>
              </w:rPr>
              <w:t>Impuestos</w:t>
            </w:r>
            <w:proofErr w:type="spellEnd"/>
            <w:r w:rsidRPr="00366EFC">
              <w:rPr>
                <w:rFonts w:ascii="Arial Narrow" w:hAnsi="Arial Narrow" w:cs="Arial"/>
                <w:spacing w:val="0"/>
                <w:sz w:val="15"/>
                <w:szCs w:val="15"/>
                <w:lang w:val="en-US" w:eastAsia="es-CO"/>
              </w:rPr>
              <w:t xml:space="preserve">, </w:t>
            </w:r>
            <w:proofErr w:type="spellStart"/>
            <w:r w:rsidRPr="00366EFC">
              <w:rPr>
                <w:rFonts w:ascii="Arial Narrow" w:hAnsi="Arial Narrow" w:cs="Arial"/>
                <w:spacing w:val="0"/>
                <w:sz w:val="15"/>
                <w:szCs w:val="15"/>
                <w:lang w:val="en-US" w:eastAsia="es-CO"/>
              </w:rPr>
              <w:t>tasas</w:t>
            </w:r>
            <w:proofErr w:type="spellEnd"/>
            <w:r w:rsidRPr="00366EFC">
              <w:rPr>
                <w:rFonts w:ascii="Arial Narrow" w:hAnsi="Arial Narrow" w:cs="Arial"/>
                <w:spacing w:val="0"/>
                <w:sz w:val="15"/>
                <w:szCs w:val="15"/>
                <w:lang w:val="en-US" w:eastAsia="es-CO"/>
              </w:rPr>
              <w:t xml:space="preserve"> y </w:t>
            </w:r>
            <w:proofErr w:type="spellStart"/>
            <w:r w:rsidRPr="00366EFC">
              <w:rPr>
                <w:rFonts w:ascii="Arial Narrow" w:hAnsi="Arial Narrow" w:cs="Arial"/>
                <w:spacing w:val="0"/>
                <w:sz w:val="15"/>
                <w:szCs w:val="15"/>
                <w:lang w:val="en-US" w:eastAsia="es-CO"/>
              </w:rPr>
              <w:t>contribuciones</w:t>
            </w:r>
            <w:proofErr w:type="spellEnd"/>
          </w:p>
        </w:tc>
        <w:tc>
          <w:tcPr>
            <w:tcW w:w="700" w:type="dxa"/>
            <w:tcBorders>
              <w:top w:val="nil"/>
              <w:left w:val="nil"/>
              <w:bottom w:val="nil"/>
              <w:right w:val="nil"/>
            </w:tcBorders>
            <w:shd w:val="clear" w:color="auto" w:fill="auto"/>
            <w:noWrap/>
            <w:vAlign w:val="center"/>
            <w:hideMark/>
          </w:tcPr>
          <w:p w14:paraId="77B0B68B" w14:textId="77777777" w:rsidR="00BE6D69" w:rsidRPr="00366EFC" w:rsidRDefault="00BE6D69" w:rsidP="00BE6D69">
            <w:pPr>
              <w:jc w:val="center"/>
              <w:rPr>
                <w:rFonts w:ascii="Arial Narrow" w:hAnsi="Arial Narrow" w:cs="Arial"/>
                <w:b/>
                <w:bCs/>
                <w:spacing w:val="0"/>
                <w:sz w:val="15"/>
                <w:szCs w:val="15"/>
                <w:lang w:eastAsia="es-CO"/>
              </w:rPr>
            </w:pPr>
            <w:r w:rsidRPr="00366EFC">
              <w:rPr>
                <w:rFonts w:ascii="Arial Narrow" w:hAnsi="Arial Narrow" w:cs="Arial"/>
                <w:b/>
                <w:bCs/>
                <w:spacing w:val="0"/>
                <w:sz w:val="15"/>
                <w:szCs w:val="15"/>
                <w:lang w:val="en-US" w:eastAsia="es-CO"/>
              </w:rPr>
              <w:t>COL$</w:t>
            </w:r>
          </w:p>
        </w:tc>
        <w:tc>
          <w:tcPr>
            <w:tcW w:w="1600" w:type="dxa"/>
            <w:tcBorders>
              <w:top w:val="nil"/>
              <w:left w:val="nil"/>
              <w:bottom w:val="nil"/>
              <w:right w:val="nil"/>
            </w:tcBorders>
            <w:shd w:val="clear" w:color="auto" w:fill="auto"/>
            <w:vAlign w:val="center"/>
            <w:hideMark/>
          </w:tcPr>
          <w:p w14:paraId="5157E3DD" w14:textId="77777777" w:rsidR="00BE6D69" w:rsidRPr="00366EFC" w:rsidRDefault="00BE6D69" w:rsidP="00BE6D69">
            <w:pPr>
              <w:jc w:val="center"/>
              <w:rPr>
                <w:rFonts w:ascii="Arial Narrow" w:hAnsi="Arial Narrow" w:cs="Arial"/>
                <w:b/>
                <w:bCs/>
                <w:spacing w:val="0"/>
                <w:sz w:val="15"/>
                <w:szCs w:val="15"/>
                <w:lang w:eastAsia="es-CO"/>
              </w:rPr>
            </w:pPr>
          </w:p>
        </w:tc>
        <w:tc>
          <w:tcPr>
            <w:tcW w:w="940" w:type="dxa"/>
            <w:tcBorders>
              <w:top w:val="nil"/>
              <w:left w:val="nil"/>
              <w:bottom w:val="single" w:sz="4" w:space="0" w:color="auto"/>
              <w:right w:val="nil"/>
            </w:tcBorders>
            <w:shd w:val="clear" w:color="000000" w:fill="E2EFDA"/>
            <w:noWrap/>
            <w:vAlign w:val="center"/>
            <w:hideMark/>
          </w:tcPr>
          <w:p w14:paraId="33CD6862" w14:textId="77777777" w:rsidR="00BE6D69" w:rsidRPr="00366EFC" w:rsidRDefault="00BE6D69" w:rsidP="00BE6D69">
            <w:pPr>
              <w:jc w:val="right"/>
              <w:rPr>
                <w:rFonts w:ascii="Arial Narrow" w:hAnsi="Arial Narrow" w:cs="Arial"/>
                <w:spacing w:val="0"/>
                <w:sz w:val="15"/>
                <w:szCs w:val="15"/>
                <w:lang w:eastAsia="es-CO"/>
              </w:rPr>
            </w:pPr>
            <w:r w:rsidRPr="00366EFC">
              <w:rPr>
                <w:rFonts w:ascii="Arial Narrow" w:hAnsi="Arial Narrow" w:cs="Arial"/>
                <w:spacing w:val="0"/>
                <w:sz w:val="15"/>
                <w:szCs w:val="15"/>
                <w:lang w:val="en-US" w:eastAsia="es-CO"/>
              </w:rPr>
              <w:t>($ 2.000,00)</w:t>
            </w:r>
          </w:p>
        </w:tc>
        <w:tc>
          <w:tcPr>
            <w:tcW w:w="1300" w:type="dxa"/>
            <w:tcBorders>
              <w:top w:val="nil"/>
              <w:left w:val="nil"/>
              <w:bottom w:val="nil"/>
              <w:right w:val="nil"/>
            </w:tcBorders>
            <w:shd w:val="clear" w:color="auto" w:fill="auto"/>
            <w:noWrap/>
            <w:vAlign w:val="center"/>
            <w:hideMark/>
          </w:tcPr>
          <w:p w14:paraId="6A2A3BEF" w14:textId="77777777" w:rsidR="00BE6D69" w:rsidRPr="00366EFC" w:rsidRDefault="00BE6D69" w:rsidP="00BE6D69">
            <w:pPr>
              <w:jc w:val="right"/>
              <w:rPr>
                <w:rFonts w:ascii="Arial Narrow" w:hAnsi="Arial Narrow" w:cs="Arial"/>
                <w:spacing w:val="0"/>
                <w:sz w:val="15"/>
                <w:szCs w:val="15"/>
                <w:lang w:eastAsia="es-CO"/>
              </w:rPr>
            </w:pPr>
          </w:p>
        </w:tc>
        <w:tc>
          <w:tcPr>
            <w:tcW w:w="1240" w:type="dxa"/>
            <w:tcBorders>
              <w:top w:val="nil"/>
              <w:left w:val="nil"/>
              <w:bottom w:val="nil"/>
              <w:right w:val="nil"/>
            </w:tcBorders>
            <w:shd w:val="clear" w:color="auto" w:fill="auto"/>
            <w:noWrap/>
            <w:vAlign w:val="center"/>
            <w:hideMark/>
          </w:tcPr>
          <w:p w14:paraId="714A32D6" w14:textId="77777777" w:rsidR="00BE6D69" w:rsidRPr="00366EFC" w:rsidRDefault="00BE6D69" w:rsidP="00BE6D69">
            <w:pPr>
              <w:jc w:val="left"/>
              <w:rPr>
                <w:rFonts w:ascii="Times New Roman" w:hAnsi="Times New Roman"/>
                <w:spacing w:val="0"/>
                <w:lang w:eastAsia="es-CO"/>
              </w:rPr>
            </w:pPr>
          </w:p>
        </w:tc>
      </w:tr>
      <w:tr w:rsidR="00366EFC" w:rsidRPr="00366EFC" w14:paraId="7C37DA78" w14:textId="77777777" w:rsidTr="00BE6D69">
        <w:trPr>
          <w:trHeight w:val="255"/>
        </w:trPr>
        <w:tc>
          <w:tcPr>
            <w:tcW w:w="480" w:type="dxa"/>
            <w:tcBorders>
              <w:top w:val="nil"/>
              <w:left w:val="nil"/>
              <w:bottom w:val="nil"/>
              <w:right w:val="nil"/>
            </w:tcBorders>
            <w:shd w:val="clear" w:color="auto" w:fill="auto"/>
            <w:noWrap/>
            <w:vAlign w:val="center"/>
            <w:hideMark/>
          </w:tcPr>
          <w:p w14:paraId="323630C4" w14:textId="77777777" w:rsidR="00BE6D69" w:rsidRPr="00366EFC" w:rsidRDefault="00BE6D69" w:rsidP="00BE6D69">
            <w:pPr>
              <w:jc w:val="center"/>
              <w:rPr>
                <w:rFonts w:ascii="Arial Narrow" w:hAnsi="Arial Narrow" w:cs="Arial"/>
                <w:spacing w:val="0"/>
                <w:sz w:val="15"/>
                <w:szCs w:val="15"/>
                <w:lang w:eastAsia="es-CO"/>
              </w:rPr>
            </w:pPr>
            <w:r w:rsidRPr="00366EFC">
              <w:rPr>
                <w:rFonts w:ascii="Arial Narrow" w:hAnsi="Arial Narrow" w:cs="Arial"/>
                <w:spacing w:val="0"/>
                <w:sz w:val="15"/>
                <w:szCs w:val="15"/>
                <w:lang w:val="en-US" w:eastAsia="es-CO"/>
              </w:rPr>
              <w:t>6</w:t>
            </w:r>
          </w:p>
        </w:tc>
        <w:tc>
          <w:tcPr>
            <w:tcW w:w="700" w:type="dxa"/>
            <w:tcBorders>
              <w:top w:val="nil"/>
              <w:left w:val="nil"/>
              <w:bottom w:val="nil"/>
              <w:right w:val="nil"/>
            </w:tcBorders>
            <w:shd w:val="clear" w:color="auto" w:fill="auto"/>
            <w:noWrap/>
            <w:vAlign w:val="center"/>
            <w:hideMark/>
          </w:tcPr>
          <w:p w14:paraId="63F98FCA" w14:textId="77777777" w:rsidR="00BE6D69" w:rsidRPr="00366EFC" w:rsidRDefault="00BE6D69" w:rsidP="00BE6D69">
            <w:pPr>
              <w:jc w:val="center"/>
              <w:rPr>
                <w:rFonts w:ascii="Arial Narrow" w:hAnsi="Arial Narrow" w:cs="Arial"/>
                <w:b/>
                <w:bCs/>
                <w:spacing w:val="0"/>
                <w:sz w:val="15"/>
                <w:szCs w:val="15"/>
                <w:lang w:eastAsia="es-CO"/>
              </w:rPr>
            </w:pPr>
            <w:r w:rsidRPr="00366EFC">
              <w:rPr>
                <w:rFonts w:ascii="Arial Narrow" w:hAnsi="Arial Narrow" w:cs="Arial"/>
                <w:b/>
                <w:bCs/>
                <w:spacing w:val="0"/>
                <w:sz w:val="15"/>
                <w:szCs w:val="15"/>
                <w:lang w:val="en-US" w:eastAsia="es-CO"/>
              </w:rPr>
              <w:t>B</w:t>
            </w:r>
          </w:p>
        </w:tc>
        <w:tc>
          <w:tcPr>
            <w:tcW w:w="760" w:type="dxa"/>
            <w:tcBorders>
              <w:top w:val="nil"/>
              <w:left w:val="nil"/>
              <w:bottom w:val="nil"/>
              <w:right w:val="nil"/>
            </w:tcBorders>
            <w:shd w:val="clear" w:color="000000" w:fill="E2EFDA"/>
            <w:noWrap/>
            <w:vAlign w:val="center"/>
            <w:hideMark/>
          </w:tcPr>
          <w:p w14:paraId="780E283F" w14:textId="77777777" w:rsidR="00BE6D69" w:rsidRPr="00366EFC" w:rsidRDefault="00BE6D69" w:rsidP="00BE6D69">
            <w:pPr>
              <w:jc w:val="right"/>
              <w:rPr>
                <w:rFonts w:ascii="Arial Narrow" w:hAnsi="Arial Narrow" w:cs="Arial"/>
                <w:spacing w:val="0"/>
                <w:sz w:val="15"/>
                <w:szCs w:val="15"/>
                <w:lang w:eastAsia="es-CO"/>
              </w:rPr>
            </w:pPr>
            <w:r w:rsidRPr="00366EFC">
              <w:rPr>
                <w:rFonts w:ascii="Arial Narrow" w:hAnsi="Arial Narrow" w:cs="Arial"/>
                <w:spacing w:val="0"/>
                <w:sz w:val="15"/>
                <w:szCs w:val="15"/>
                <w:lang w:val="en-US" w:eastAsia="es-CO"/>
              </w:rPr>
              <w:t>Menos</w:t>
            </w:r>
          </w:p>
        </w:tc>
        <w:tc>
          <w:tcPr>
            <w:tcW w:w="2540" w:type="dxa"/>
            <w:tcBorders>
              <w:top w:val="nil"/>
              <w:left w:val="nil"/>
              <w:bottom w:val="nil"/>
              <w:right w:val="nil"/>
            </w:tcBorders>
            <w:shd w:val="clear" w:color="auto" w:fill="auto"/>
            <w:vAlign w:val="center"/>
            <w:hideMark/>
          </w:tcPr>
          <w:p w14:paraId="522B005B" w14:textId="77777777" w:rsidR="00BE6D69" w:rsidRPr="00366EFC" w:rsidRDefault="00BE6D69" w:rsidP="00BE6D69">
            <w:pPr>
              <w:rPr>
                <w:rFonts w:ascii="Arial Narrow" w:hAnsi="Arial Narrow" w:cs="Arial"/>
                <w:b/>
                <w:bCs/>
                <w:spacing w:val="0"/>
                <w:sz w:val="15"/>
                <w:szCs w:val="15"/>
                <w:lang w:eastAsia="es-CO"/>
              </w:rPr>
            </w:pPr>
            <w:proofErr w:type="spellStart"/>
            <w:r w:rsidRPr="00366EFC">
              <w:rPr>
                <w:rFonts w:ascii="Arial Narrow" w:hAnsi="Arial Narrow" w:cs="Arial"/>
                <w:b/>
                <w:bCs/>
                <w:spacing w:val="0"/>
                <w:sz w:val="15"/>
                <w:szCs w:val="15"/>
                <w:lang w:val="en-US" w:eastAsia="es-CO"/>
              </w:rPr>
              <w:t>Deterioro</w:t>
            </w:r>
            <w:proofErr w:type="spellEnd"/>
          </w:p>
        </w:tc>
        <w:tc>
          <w:tcPr>
            <w:tcW w:w="700" w:type="dxa"/>
            <w:tcBorders>
              <w:top w:val="nil"/>
              <w:left w:val="nil"/>
              <w:bottom w:val="nil"/>
              <w:right w:val="nil"/>
            </w:tcBorders>
            <w:shd w:val="clear" w:color="auto" w:fill="auto"/>
            <w:noWrap/>
            <w:vAlign w:val="center"/>
            <w:hideMark/>
          </w:tcPr>
          <w:p w14:paraId="56B98C7B" w14:textId="77777777" w:rsidR="00BE6D69" w:rsidRPr="00366EFC" w:rsidRDefault="00BE6D69" w:rsidP="00BE6D69">
            <w:pPr>
              <w:jc w:val="center"/>
              <w:rPr>
                <w:rFonts w:ascii="Arial Narrow" w:hAnsi="Arial Narrow" w:cs="Arial"/>
                <w:b/>
                <w:bCs/>
                <w:spacing w:val="0"/>
                <w:sz w:val="15"/>
                <w:szCs w:val="15"/>
                <w:lang w:eastAsia="es-CO"/>
              </w:rPr>
            </w:pPr>
            <w:r w:rsidRPr="00366EFC">
              <w:rPr>
                <w:rFonts w:ascii="Arial Narrow" w:hAnsi="Arial Narrow" w:cs="Arial"/>
                <w:b/>
                <w:bCs/>
                <w:spacing w:val="0"/>
                <w:sz w:val="15"/>
                <w:szCs w:val="15"/>
                <w:lang w:val="en-US" w:eastAsia="es-CO"/>
              </w:rPr>
              <w:t>COL$</w:t>
            </w:r>
          </w:p>
        </w:tc>
        <w:tc>
          <w:tcPr>
            <w:tcW w:w="1600" w:type="dxa"/>
            <w:tcBorders>
              <w:top w:val="nil"/>
              <w:left w:val="nil"/>
              <w:bottom w:val="nil"/>
              <w:right w:val="nil"/>
            </w:tcBorders>
            <w:shd w:val="clear" w:color="auto" w:fill="auto"/>
            <w:vAlign w:val="center"/>
            <w:hideMark/>
          </w:tcPr>
          <w:p w14:paraId="274F3A54" w14:textId="77777777" w:rsidR="00BE6D69" w:rsidRPr="00366EFC" w:rsidRDefault="00BE6D69" w:rsidP="00BE6D69">
            <w:pPr>
              <w:jc w:val="center"/>
              <w:rPr>
                <w:rFonts w:ascii="Arial Narrow" w:hAnsi="Arial Narrow" w:cs="Arial"/>
                <w:b/>
                <w:bCs/>
                <w:spacing w:val="0"/>
                <w:sz w:val="15"/>
                <w:szCs w:val="15"/>
                <w:lang w:eastAsia="es-CO"/>
              </w:rPr>
            </w:pPr>
          </w:p>
        </w:tc>
        <w:tc>
          <w:tcPr>
            <w:tcW w:w="940" w:type="dxa"/>
            <w:tcBorders>
              <w:top w:val="nil"/>
              <w:left w:val="nil"/>
              <w:bottom w:val="nil"/>
              <w:right w:val="nil"/>
            </w:tcBorders>
            <w:shd w:val="clear" w:color="auto" w:fill="auto"/>
            <w:noWrap/>
            <w:vAlign w:val="center"/>
            <w:hideMark/>
          </w:tcPr>
          <w:p w14:paraId="257D74B8" w14:textId="77777777" w:rsidR="00BE6D69" w:rsidRPr="00366EFC" w:rsidRDefault="00BE6D69" w:rsidP="00BE6D69">
            <w:pPr>
              <w:jc w:val="center"/>
              <w:rPr>
                <w:rFonts w:ascii="Times New Roman" w:hAnsi="Times New Roman"/>
                <w:spacing w:val="0"/>
                <w:lang w:eastAsia="es-CO"/>
              </w:rPr>
            </w:pPr>
          </w:p>
        </w:tc>
        <w:tc>
          <w:tcPr>
            <w:tcW w:w="1300" w:type="dxa"/>
            <w:tcBorders>
              <w:top w:val="nil"/>
              <w:left w:val="nil"/>
              <w:bottom w:val="nil"/>
              <w:right w:val="nil"/>
            </w:tcBorders>
            <w:shd w:val="clear" w:color="000000" w:fill="E2EFDA"/>
            <w:noWrap/>
            <w:vAlign w:val="center"/>
            <w:hideMark/>
          </w:tcPr>
          <w:p w14:paraId="58F38644" w14:textId="77777777" w:rsidR="00BE6D69" w:rsidRPr="00366EFC" w:rsidRDefault="00BE6D69" w:rsidP="00BE6D69">
            <w:pPr>
              <w:jc w:val="right"/>
              <w:rPr>
                <w:rFonts w:ascii="Arial Narrow" w:hAnsi="Arial Narrow" w:cs="Arial"/>
                <w:b/>
                <w:bCs/>
                <w:spacing w:val="0"/>
                <w:sz w:val="15"/>
                <w:szCs w:val="15"/>
                <w:lang w:eastAsia="es-CO"/>
              </w:rPr>
            </w:pPr>
            <w:r w:rsidRPr="00366EFC">
              <w:rPr>
                <w:rFonts w:ascii="Arial Narrow" w:hAnsi="Arial Narrow" w:cs="Arial"/>
                <w:b/>
                <w:bCs/>
                <w:spacing w:val="0"/>
                <w:sz w:val="15"/>
                <w:szCs w:val="15"/>
                <w:lang w:val="en-US" w:eastAsia="es-CO"/>
              </w:rPr>
              <w:t>($ 1.000,00)</w:t>
            </w:r>
          </w:p>
        </w:tc>
        <w:tc>
          <w:tcPr>
            <w:tcW w:w="1240" w:type="dxa"/>
            <w:tcBorders>
              <w:top w:val="nil"/>
              <w:left w:val="nil"/>
              <w:bottom w:val="nil"/>
              <w:right w:val="nil"/>
            </w:tcBorders>
            <w:shd w:val="clear" w:color="auto" w:fill="auto"/>
            <w:noWrap/>
            <w:vAlign w:val="center"/>
            <w:hideMark/>
          </w:tcPr>
          <w:p w14:paraId="1172CD3A" w14:textId="77777777" w:rsidR="00BE6D69" w:rsidRPr="00366EFC" w:rsidRDefault="00BE6D69" w:rsidP="00BE6D69">
            <w:pPr>
              <w:jc w:val="right"/>
              <w:rPr>
                <w:rFonts w:ascii="Arial Narrow" w:hAnsi="Arial Narrow" w:cs="Arial"/>
                <w:b/>
                <w:bCs/>
                <w:spacing w:val="0"/>
                <w:sz w:val="15"/>
                <w:szCs w:val="15"/>
                <w:lang w:eastAsia="es-CO"/>
              </w:rPr>
            </w:pPr>
            <w:r w:rsidRPr="00366EFC">
              <w:rPr>
                <w:rFonts w:ascii="Arial Narrow" w:hAnsi="Arial Narrow" w:cs="Arial"/>
                <w:b/>
                <w:bCs/>
                <w:spacing w:val="0"/>
                <w:sz w:val="15"/>
                <w:szCs w:val="15"/>
                <w:lang w:val="en-US" w:eastAsia="es-CO"/>
              </w:rPr>
              <w:t>($ 1.000,00)</w:t>
            </w:r>
          </w:p>
        </w:tc>
      </w:tr>
      <w:tr w:rsidR="00366EFC" w:rsidRPr="00366EFC" w14:paraId="57AAB0BE" w14:textId="77777777" w:rsidTr="00BE6D69">
        <w:trPr>
          <w:trHeight w:val="255"/>
        </w:trPr>
        <w:tc>
          <w:tcPr>
            <w:tcW w:w="480" w:type="dxa"/>
            <w:tcBorders>
              <w:top w:val="nil"/>
              <w:left w:val="nil"/>
              <w:bottom w:val="nil"/>
              <w:right w:val="nil"/>
            </w:tcBorders>
            <w:shd w:val="clear" w:color="auto" w:fill="auto"/>
            <w:noWrap/>
            <w:vAlign w:val="center"/>
            <w:hideMark/>
          </w:tcPr>
          <w:p w14:paraId="05C53AD6" w14:textId="77777777" w:rsidR="00BE6D69" w:rsidRPr="00366EFC" w:rsidRDefault="00BE6D69" w:rsidP="00BE6D69">
            <w:pPr>
              <w:jc w:val="center"/>
              <w:rPr>
                <w:rFonts w:ascii="Arial Narrow" w:hAnsi="Arial Narrow" w:cs="Arial"/>
                <w:spacing w:val="0"/>
                <w:sz w:val="15"/>
                <w:szCs w:val="15"/>
                <w:lang w:eastAsia="es-CO"/>
              </w:rPr>
            </w:pPr>
            <w:r w:rsidRPr="00366EFC">
              <w:rPr>
                <w:rFonts w:ascii="Arial Narrow" w:hAnsi="Arial Narrow" w:cs="Arial"/>
                <w:spacing w:val="0"/>
                <w:sz w:val="15"/>
                <w:szCs w:val="15"/>
                <w:lang w:val="en-US" w:eastAsia="es-CO"/>
              </w:rPr>
              <w:t>7</w:t>
            </w:r>
          </w:p>
        </w:tc>
        <w:tc>
          <w:tcPr>
            <w:tcW w:w="700" w:type="dxa"/>
            <w:tcBorders>
              <w:top w:val="nil"/>
              <w:left w:val="nil"/>
              <w:bottom w:val="nil"/>
              <w:right w:val="nil"/>
            </w:tcBorders>
            <w:shd w:val="clear" w:color="auto" w:fill="auto"/>
            <w:noWrap/>
            <w:vAlign w:val="center"/>
            <w:hideMark/>
          </w:tcPr>
          <w:p w14:paraId="7A6EE65A" w14:textId="77777777" w:rsidR="00BE6D69" w:rsidRPr="00366EFC" w:rsidRDefault="00BE6D69" w:rsidP="00BE6D69">
            <w:pPr>
              <w:jc w:val="center"/>
              <w:rPr>
                <w:rFonts w:ascii="Arial Narrow" w:hAnsi="Arial Narrow" w:cs="Arial"/>
                <w:b/>
                <w:bCs/>
                <w:spacing w:val="0"/>
                <w:sz w:val="15"/>
                <w:szCs w:val="15"/>
                <w:lang w:eastAsia="es-CO"/>
              </w:rPr>
            </w:pPr>
            <w:r w:rsidRPr="00366EFC">
              <w:rPr>
                <w:rFonts w:ascii="Arial Narrow" w:hAnsi="Arial Narrow" w:cs="Arial"/>
                <w:b/>
                <w:bCs/>
                <w:spacing w:val="0"/>
                <w:sz w:val="15"/>
                <w:szCs w:val="15"/>
                <w:lang w:val="en-US" w:eastAsia="es-CO"/>
              </w:rPr>
              <w:t>C</w:t>
            </w:r>
          </w:p>
        </w:tc>
        <w:tc>
          <w:tcPr>
            <w:tcW w:w="760" w:type="dxa"/>
            <w:tcBorders>
              <w:top w:val="nil"/>
              <w:left w:val="nil"/>
              <w:bottom w:val="nil"/>
              <w:right w:val="nil"/>
            </w:tcBorders>
            <w:shd w:val="clear" w:color="000000" w:fill="E2EFDA"/>
            <w:noWrap/>
            <w:vAlign w:val="center"/>
            <w:hideMark/>
          </w:tcPr>
          <w:p w14:paraId="0B87F6E5" w14:textId="77777777" w:rsidR="00BE6D69" w:rsidRPr="00366EFC" w:rsidRDefault="00BE6D69" w:rsidP="00BE6D69">
            <w:pPr>
              <w:jc w:val="right"/>
              <w:rPr>
                <w:rFonts w:ascii="Arial Narrow" w:hAnsi="Arial Narrow" w:cs="Arial"/>
                <w:spacing w:val="0"/>
                <w:sz w:val="15"/>
                <w:szCs w:val="15"/>
                <w:lang w:eastAsia="es-CO"/>
              </w:rPr>
            </w:pPr>
            <w:r w:rsidRPr="00366EFC">
              <w:rPr>
                <w:rFonts w:ascii="Arial Narrow" w:hAnsi="Arial Narrow" w:cs="Arial"/>
                <w:spacing w:val="0"/>
                <w:sz w:val="15"/>
                <w:szCs w:val="15"/>
                <w:lang w:val="en-US" w:eastAsia="es-CO"/>
              </w:rPr>
              <w:t>Menos</w:t>
            </w:r>
          </w:p>
        </w:tc>
        <w:tc>
          <w:tcPr>
            <w:tcW w:w="2540" w:type="dxa"/>
            <w:tcBorders>
              <w:top w:val="nil"/>
              <w:left w:val="nil"/>
              <w:bottom w:val="nil"/>
              <w:right w:val="nil"/>
            </w:tcBorders>
            <w:shd w:val="clear" w:color="auto" w:fill="auto"/>
            <w:vAlign w:val="center"/>
            <w:hideMark/>
          </w:tcPr>
          <w:p w14:paraId="7A176DC1" w14:textId="77777777" w:rsidR="00BE6D69" w:rsidRPr="00366EFC" w:rsidRDefault="00BE6D69" w:rsidP="00BE6D69">
            <w:pPr>
              <w:rPr>
                <w:rFonts w:ascii="Arial Narrow" w:hAnsi="Arial Narrow" w:cs="Arial"/>
                <w:b/>
                <w:bCs/>
                <w:spacing w:val="0"/>
                <w:sz w:val="15"/>
                <w:szCs w:val="15"/>
                <w:lang w:eastAsia="es-CO"/>
              </w:rPr>
            </w:pPr>
            <w:proofErr w:type="spellStart"/>
            <w:r w:rsidRPr="00366EFC">
              <w:rPr>
                <w:rFonts w:ascii="Arial Narrow" w:hAnsi="Arial Narrow" w:cs="Arial"/>
                <w:b/>
                <w:bCs/>
                <w:spacing w:val="0"/>
                <w:sz w:val="15"/>
                <w:szCs w:val="15"/>
                <w:lang w:val="en-US" w:eastAsia="es-CO"/>
              </w:rPr>
              <w:t>Depreciación</w:t>
            </w:r>
            <w:proofErr w:type="spellEnd"/>
          </w:p>
        </w:tc>
        <w:tc>
          <w:tcPr>
            <w:tcW w:w="700" w:type="dxa"/>
            <w:tcBorders>
              <w:top w:val="nil"/>
              <w:left w:val="nil"/>
              <w:bottom w:val="nil"/>
              <w:right w:val="nil"/>
            </w:tcBorders>
            <w:shd w:val="clear" w:color="auto" w:fill="auto"/>
            <w:noWrap/>
            <w:vAlign w:val="center"/>
            <w:hideMark/>
          </w:tcPr>
          <w:p w14:paraId="6FDA78A6" w14:textId="77777777" w:rsidR="00BE6D69" w:rsidRPr="00366EFC" w:rsidRDefault="00BE6D69" w:rsidP="00BE6D69">
            <w:pPr>
              <w:jc w:val="center"/>
              <w:rPr>
                <w:rFonts w:ascii="Arial Narrow" w:hAnsi="Arial Narrow" w:cs="Arial"/>
                <w:b/>
                <w:bCs/>
                <w:spacing w:val="0"/>
                <w:sz w:val="15"/>
                <w:szCs w:val="15"/>
                <w:lang w:eastAsia="es-CO"/>
              </w:rPr>
            </w:pPr>
            <w:r w:rsidRPr="00366EFC">
              <w:rPr>
                <w:rFonts w:ascii="Arial Narrow" w:hAnsi="Arial Narrow" w:cs="Arial"/>
                <w:b/>
                <w:bCs/>
                <w:spacing w:val="0"/>
                <w:sz w:val="15"/>
                <w:szCs w:val="15"/>
                <w:lang w:val="en-US" w:eastAsia="es-CO"/>
              </w:rPr>
              <w:t>COL$</w:t>
            </w:r>
          </w:p>
        </w:tc>
        <w:tc>
          <w:tcPr>
            <w:tcW w:w="1600" w:type="dxa"/>
            <w:tcBorders>
              <w:top w:val="nil"/>
              <w:left w:val="nil"/>
              <w:bottom w:val="nil"/>
              <w:right w:val="nil"/>
            </w:tcBorders>
            <w:shd w:val="clear" w:color="auto" w:fill="auto"/>
            <w:vAlign w:val="center"/>
            <w:hideMark/>
          </w:tcPr>
          <w:p w14:paraId="2B537C1B" w14:textId="77777777" w:rsidR="00BE6D69" w:rsidRPr="00366EFC" w:rsidRDefault="00BE6D69" w:rsidP="00BE6D69">
            <w:pPr>
              <w:jc w:val="center"/>
              <w:rPr>
                <w:rFonts w:ascii="Arial Narrow" w:hAnsi="Arial Narrow" w:cs="Arial"/>
                <w:b/>
                <w:bCs/>
                <w:spacing w:val="0"/>
                <w:sz w:val="15"/>
                <w:szCs w:val="15"/>
                <w:lang w:eastAsia="es-CO"/>
              </w:rPr>
            </w:pPr>
          </w:p>
        </w:tc>
        <w:tc>
          <w:tcPr>
            <w:tcW w:w="940" w:type="dxa"/>
            <w:tcBorders>
              <w:top w:val="nil"/>
              <w:left w:val="nil"/>
              <w:bottom w:val="nil"/>
              <w:right w:val="nil"/>
            </w:tcBorders>
            <w:shd w:val="clear" w:color="auto" w:fill="auto"/>
            <w:noWrap/>
            <w:vAlign w:val="center"/>
            <w:hideMark/>
          </w:tcPr>
          <w:p w14:paraId="3CCCDEC4" w14:textId="77777777" w:rsidR="00BE6D69" w:rsidRPr="00366EFC" w:rsidRDefault="00BE6D69" w:rsidP="00BE6D69">
            <w:pPr>
              <w:jc w:val="center"/>
              <w:rPr>
                <w:rFonts w:ascii="Times New Roman" w:hAnsi="Times New Roman"/>
                <w:spacing w:val="0"/>
                <w:lang w:eastAsia="es-CO"/>
              </w:rPr>
            </w:pPr>
          </w:p>
        </w:tc>
        <w:tc>
          <w:tcPr>
            <w:tcW w:w="1300" w:type="dxa"/>
            <w:tcBorders>
              <w:top w:val="nil"/>
              <w:left w:val="nil"/>
              <w:bottom w:val="nil"/>
              <w:right w:val="nil"/>
            </w:tcBorders>
            <w:shd w:val="clear" w:color="000000" w:fill="E2EFDA"/>
            <w:noWrap/>
            <w:vAlign w:val="center"/>
            <w:hideMark/>
          </w:tcPr>
          <w:p w14:paraId="1A8ADF92" w14:textId="77777777" w:rsidR="00BE6D69" w:rsidRPr="00366EFC" w:rsidRDefault="00BE6D69" w:rsidP="00BE6D69">
            <w:pPr>
              <w:jc w:val="right"/>
              <w:rPr>
                <w:rFonts w:ascii="Arial Narrow" w:hAnsi="Arial Narrow" w:cs="Arial"/>
                <w:b/>
                <w:bCs/>
                <w:spacing w:val="0"/>
                <w:sz w:val="15"/>
                <w:szCs w:val="15"/>
                <w:lang w:eastAsia="es-CO"/>
              </w:rPr>
            </w:pPr>
            <w:r w:rsidRPr="00366EFC">
              <w:rPr>
                <w:rFonts w:ascii="Arial Narrow" w:hAnsi="Arial Narrow" w:cs="Arial"/>
                <w:b/>
                <w:bCs/>
                <w:spacing w:val="0"/>
                <w:sz w:val="15"/>
                <w:szCs w:val="15"/>
                <w:lang w:val="en-US" w:eastAsia="es-CO"/>
              </w:rPr>
              <w:t>($ 2.000,00)</w:t>
            </w:r>
          </w:p>
        </w:tc>
        <w:tc>
          <w:tcPr>
            <w:tcW w:w="1240" w:type="dxa"/>
            <w:tcBorders>
              <w:top w:val="nil"/>
              <w:left w:val="nil"/>
              <w:bottom w:val="nil"/>
              <w:right w:val="nil"/>
            </w:tcBorders>
            <w:shd w:val="clear" w:color="auto" w:fill="auto"/>
            <w:noWrap/>
            <w:vAlign w:val="center"/>
            <w:hideMark/>
          </w:tcPr>
          <w:p w14:paraId="5CAF99C3" w14:textId="77777777" w:rsidR="00BE6D69" w:rsidRPr="00366EFC" w:rsidRDefault="00BE6D69" w:rsidP="00BE6D69">
            <w:pPr>
              <w:jc w:val="right"/>
              <w:rPr>
                <w:rFonts w:ascii="Arial Narrow" w:hAnsi="Arial Narrow" w:cs="Arial"/>
                <w:b/>
                <w:bCs/>
                <w:spacing w:val="0"/>
                <w:sz w:val="15"/>
                <w:szCs w:val="15"/>
                <w:lang w:eastAsia="es-CO"/>
              </w:rPr>
            </w:pPr>
            <w:r w:rsidRPr="00366EFC">
              <w:rPr>
                <w:rFonts w:ascii="Arial Narrow" w:hAnsi="Arial Narrow" w:cs="Arial"/>
                <w:b/>
                <w:bCs/>
                <w:spacing w:val="0"/>
                <w:sz w:val="15"/>
                <w:szCs w:val="15"/>
                <w:lang w:val="en-US" w:eastAsia="es-CO"/>
              </w:rPr>
              <w:t>($ 2.000,00)</w:t>
            </w:r>
          </w:p>
        </w:tc>
      </w:tr>
      <w:tr w:rsidR="00366EFC" w:rsidRPr="00366EFC" w14:paraId="47614D06" w14:textId="77777777" w:rsidTr="00BE6D69">
        <w:trPr>
          <w:trHeight w:val="255"/>
        </w:trPr>
        <w:tc>
          <w:tcPr>
            <w:tcW w:w="480" w:type="dxa"/>
            <w:tcBorders>
              <w:top w:val="nil"/>
              <w:left w:val="nil"/>
              <w:bottom w:val="nil"/>
              <w:right w:val="nil"/>
            </w:tcBorders>
            <w:shd w:val="clear" w:color="auto" w:fill="auto"/>
            <w:noWrap/>
            <w:vAlign w:val="center"/>
            <w:hideMark/>
          </w:tcPr>
          <w:p w14:paraId="4A4B603C" w14:textId="77777777" w:rsidR="00BE6D69" w:rsidRPr="00366EFC" w:rsidRDefault="00BE6D69" w:rsidP="00BE6D69">
            <w:pPr>
              <w:jc w:val="center"/>
              <w:rPr>
                <w:rFonts w:ascii="Arial Narrow" w:hAnsi="Arial Narrow" w:cs="Arial"/>
                <w:spacing w:val="0"/>
                <w:sz w:val="15"/>
                <w:szCs w:val="15"/>
                <w:lang w:eastAsia="es-CO"/>
              </w:rPr>
            </w:pPr>
            <w:r w:rsidRPr="00366EFC">
              <w:rPr>
                <w:rFonts w:ascii="Arial Narrow" w:hAnsi="Arial Narrow" w:cs="Arial"/>
                <w:spacing w:val="0"/>
                <w:sz w:val="15"/>
                <w:szCs w:val="15"/>
                <w:lang w:val="en-US" w:eastAsia="es-CO"/>
              </w:rPr>
              <w:t>8</w:t>
            </w:r>
          </w:p>
        </w:tc>
        <w:tc>
          <w:tcPr>
            <w:tcW w:w="700" w:type="dxa"/>
            <w:tcBorders>
              <w:top w:val="nil"/>
              <w:left w:val="nil"/>
              <w:bottom w:val="nil"/>
              <w:right w:val="nil"/>
            </w:tcBorders>
            <w:shd w:val="clear" w:color="auto" w:fill="auto"/>
            <w:noWrap/>
            <w:vAlign w:val="center"/>
            <w:hideMark/>
          </w:tcPr>
          <w:p w14:paraId="48B7B743" w14:textId="77777777" w:rsidR="00BE6D69" w:rsidRPr="00366EFC" w:rsidRDefault="00BE6D69" w:rsidP="00BE6D69">
            <w:pPr>
              <w:jc w:val="center"/>
              <w:rPr>
                <w:rFonts w:ascii="Arial Narrow" w:hAnsi="Arial Narrow" w:cs="Arial"/>
                <w:b/>
                <w:bCs/>
                <w:spacing w:val="0"/>
                <w:sz w:val="15"/>
                <w:szCs w:val="15"/>
                <w:lang w:eastAsia="es-CO"/>
              </w:rPr>
            </w:pPr>
            <w:r w:rsidRPr="00366EFC">
              <w:rPr>
                <w:rFonts w:ascii="Arial Narrow" w:hAnsi="Arial Narrow" w:cs="Arial"/>
                <w:b/>
                <w:bCs/>
                <w:spacing w:val="0"/>
                <w:sz w:val="15"/>
                <w:szCs w:val="15"/>
                <w:lang w:val="en-US" w:eastAsia="es-CO"/>
              </w:rPr>
              <w:t>D</w:t>
            </w:r>
          </w:p>
        </w:tc>
        <w:tc>
          <w:tcPr>
            <w:tcW w:w="760" w:type="dxa"/>
            <w:tcBorders>
              <w:top w:val="nil"/>
              <w:left w:val="nil"/>
              <w:bottom w:val="nil"/>
              <w:right w:val="nil"/>
            </w:tcBorders>
            <w:shd w:val="clear" w:color="000000" w:fill="E2EFDA"/>
            <w:noWrap/>
            <w:vAlign w:val="center"/>
            <w:hideMark/>
          </w:tcPr>
          <w:p w14:paraId="4AFE5A88" w14:textId="77777777" w:rsidR="00BE6D69" w:rsidRPr="00366EFC" w:rsidRDefault="00BE6D69" w:rsidP="00BE6D69">
            <w:pPr>
              <w:jc w:val="right"/>
              <w:rPr>
                <w:rFonts w:ascii="Arial Narrow" w:hAnsi="Arial Narrow" w:cs="Arial"/>
                <w:spacing w:val="0"/>
                <w:sz w:val="15"/>
                <w:szCs w:val="15"/>
                <w:lang w:eastAsia="es-CO"/>
              </w:rPr>
            </w:pPr>
            <w:r w:rsidRPr="00366EFC">
              <w:rPr>
                <w:rFonts w:ascii="Arial Narrow" w:hAnsi="Arial Narrow" w:cs="Arial"/>
                <w:spacing w:val="0"/>
                <w:sz w:val="15"/>
                <w:szCs w:val="15"/>
                <w:lang w:val="en-US" w:eastAsia="es-CO"/>
              </w:rPr>
              <w:t>Menos</w:t>
            </w:r>
          </w:p>
        </w:tc>
        <w:tc>
          <w:tcPr>
            <w:tcW w:w="2540" w:type="dxa"/>
            <w:tcBorders>
              <w:top w:val="nil"/>
              <w:left w:val="nil"/>
              <w:bottom w:val="nil"/>
              <w:right w:val="nil"/>
            </w:tcBorders>
            <w:shd w:val="clear" w:color="auto" w:fill="auto"/>
            <w:vAlign w:val="center"/>
            <w:hideMark/>
          </w:tcPr>
          <w:p w14:paraId="1AE40167" w14:textId="77777777" w:rsidR="00BE6D69" w:rsidRPr="00366EFC" w:rsidRDefault="00BE6D69" w:rsidP="00BE6D69">
            <w:pPr>
              <w:rPr>
                <w:rFonts w:ascii="Arial Narrow" w:hAnsi="Arial Narrow" w:cs="Arial"/>
                <w:b/>
                <w:bCs/>
                <w:spacing w:val="0"/>
                <w:sz w:val="15"/>
                <w:szCs w:val="15"/>
                <w:lang w:eastAsia="es-CO"/>
              </w:rPr>
            </w:pPr>
            <w:proofErr w:type="spellStart"/>
            <w:r w:rsidRPr="00366EFC">
              <w:rPr>
                <w:rFonts w:ascii="Arial Narrow" w:hAnsi="Arial Narrow" w:cs="Arial"/>
                <w:b/>
                <w:bCs/>
                <w:spacing w:val="0"/>
                <w:sz w:val="15"/>
                <w:szCs w:val="15"/>
                <w:lang w:val="en-US" w:eastAsia="es-CO"/>
              </w:rPr>
              <w:t>Amortización</w:t>
            </w:r>
            <w:proofErr w:type="spellEnd"/>
          </w:p>
        </w:tc>
        <w:tc>
          <w:tcPr>
            <w:tcW w:w="700" w:type="dxa"/>
            <w:tcBorders>
              <w:top w:val="nil"/>
              <w:left w:val="nil"/>
              <w:bottom w:val="nil"/>
              <w:right w:val="nil"/>
            </w:tcBorders>
            <w:shd w:val="clear" w:color="auto" w:fill="auto"/>
            <w:noWrap/>
            <w:vAlign w:val="center"/>
            <w:hideMark/>
          </w:tcPr>
          <w:p w14:paraId="381698C5" w14:textId="77777777" w:rsidR="00BE6D69" w:rsidRPr="00366EFC" w:rsidRDefault="00BE6D69" w:rsidP="00BE6D69">
            <w:pPr>
              <w:jc w:val="center"/>
              <w:rPr>
                <w:rFonts w:ascii="Arial Narrow" w:hAnsi="Arial Narrow" w:cs="Arial"/>
                <w:b/>
                <w:bCs/>
                <w:spacing w:val="0"/>
                <w:sz w:val="15"/>
                <w:szCs w:val="15"/>
                <w:lang w:eastAsia="es-CO"/>
              </w:rPr>
            </w:pPr>
            <w:r w:rsidRPr="00366EFC">
              <w:rPr>
                <w:rFonts w:ascii="Arial Narrow" w:hAnsi="Arial Narrow" w:cs="Arial"/>
                <w:b/>
                <w:bCs/>
                <w:spacing w:val="0"/>
                <w:sz w:val="15"/>
                <w:szCs w:val="15"/>
                <w:lang w:val="en-US" w:eastAsia="es-CO"/>
              </w:rPr>
              <w:t>COL$</w:t>
            </w:r>
          </w:p>
        </w:tc>
        <w:tc>
          <w:tcPr>
            <w:tcW w:w="1600" w:type="dxa"/>
            <w:tcBorders>
              <w:top w:val="nil"/>
              <w:left w:val="nil"/>
              <w:bottom w:val="nil"/>
              <w:right w:val="nil"/>
            </w:tcBorders>
            <w:shd w:val="clear" w:color="auto" w:fill="auto"/>
            <w:vAlign w:val="center"/>
            <w:hideMark/>
          </w:tcPr>
          <w:p w14:paraId="55EF9AED" w14:textId="77777777" w:rsidR="00BE6D69" w:rsidRPr="00366EFC" w:rsidRDefault="00BE6D69" w:rsidP="00BE6D69">
            <w:pPr>
              <w:jc w:val="center"/>
              <w:rPr>
                <w:rFonts w:ascii="Arial Narrow" w:hAnsi="Arial Narrow" w:cs="Arial"/>
                <w:b/>
                <w:bCs/>
                <w:spacing w:val="0"/>
                <w:sz w:val="15"/>
                <w:szCs w:val="15"/>
                <w:lang w:eastAsia="es-CO"/>
              </w:rPr>
            </w:pPr>
          </w:p>
        </w:tc>
        <w:tc>
          <w:tcPr>
            <w:tcW w:w="940" w:type="dxa"/>
            <w:tcBorders>
              <w:top w:val="nil"/>
              <w:left w:val="nil"/>
              <w:bottom w:val="nil"/>
              <w:right w:val="nil"/>
            </w:tcBorders>
            <w:shd w:val="clear" w:color="auto" w:fill="auto"/>
            <w:noWrap/>
            <w:vAlign w:val="center"/>
            <w:hideMark/>
          </w:tcPr>
          <w:p w14:paraId="64175C5F" w14:textId="77777777" w:rsidR="00BE6D69" w:rsidRPr="00366EFC" w:rsidRDefault="00BE6D69" w:rsidP="00BE6D69">
            <w:pPr>
              <w:jc w:val="center"/>
              <w:rPr>
                <w:rFonts w:ascii="Times New Roman" w:hAnsi="Times New Roman"/>
                <w:spacing w:val="0"/>
                <w:lang w:eastAsia="es-CO"/>
              </w:rPr>
            </w:pPr>
          </w:p>
        </w:tc>
        <w:tc>
          <w:tcPr>
            <w:tcW w:w="1300" w:type="dxa"/>
            <w:tcBorders>
              <w:top w:val="nil"/>
              <w:left w:val="nil"/>
              <w:bottom w:val="nil"/>
              <w:right w:val="nil"/>
            </w:tcBorders>
            <w:shd w:val="clear" w:color="000000" w:fill="E2EFDA"/>
            <w:noWrap/>
            <w:vAlign w:val="center"/>
            <w:hideMark/>
          </w:tcPr>
          <w:p w14:paraId="6F3FA664" w14:textId="77777777" w:rsidR="00BE6D69" w:rsidRPr="00366EFC" w:rsidRDefault="00BE6D69" w:rsidP="00BE6D69">
            <w:pPr>
              <w:jc w:val="right"/>
              <w:rPr>
                <w:rFonts w:ascii="Arial Narrow" w:hAnsi="Arial Narrow" w:cs="Arial"/>
                <w:b/>
                <w:bCs/>
                <w:spacing w:val="0"/>
                <w:sz w:val="15"/>
                <w:szCs w:val="15"/>
                <w:lang w:eastAsia="es-CO"/>
              </w:rPr>
            </w:pPr>
            <w:r w:rsidRPr="00366EFC">
              <w:rPr>
                <w:rFonts w:ascii="Arial Narrow" w:hAnsi="Arial Narrow" w:cs="Arial"/>
                <w:b/>
                <w:bCs/>
                <w:spacing w:val="0"/>
                <w:sz w:val="15"/>
                <w:szCs w:val="15"/>
                <w:lang w:val="en-US" w:eastAsia="es-CO"/>
              </w:rPr>
              <w:t>($ 2.000,00)</w:t>
            </w:r>
          </w:p>
        </w:tc>
        <w:tc>
          <w:tcPr>
            <w:tcW w:w="1240" w:type="dxa"/>
            <w:tcBorders>
              <w:top w:val="nil"/>
              <w:left w:val="nil"/>
              <w:bottom w:val="nil"/>
              <w:right w:val="nil"/>
            </w:tcBorders>
            <w:shd w:val="clear" w:color="auto" w:fill="auto"/>
            <w:noWrap/>
            <w:vAlign w:val="center"/>
            <w:hideMark/>
          </w:tcPr>
          <w:p w14:paraId="77DF2A29" w14:textId="77777777" w:rsidR="00BE6D69" w:rsidRPr="00366EFC" w:rsidRDefault="00BE6D69" w:rsidP="00BE6D69">
            <w:pPr>
              <w:jc w:val="right"/>
              <w:rPr>
                <w:rFonts w:ascii="Arial Narrow" w:hAnsi="Arial Narrow" w:cs="Arial"/>
                <w:b/>
                <w:bCs/>
                <w:spacing w:val="0"/>
                <w:sz w:val="15"/>
                <w:szCs w:val="15"/>
                <w:lang w:eastAsia="es-CO"/>
              </w:rPr>
            </w:pPr>
            <w:r w:rsidRPr="00366EFC">
              <w:rPr>
                <w:rFonts w:ascii="Arial Narrow" w:hAnsi="Arial Narrow" w:cs="Arial"/>
                <w:b/>
                <w:bCs/>
                <w:spacing w:val="0"/>
                <w:sz w:val="15"/>
                <w:szCs w:val="15"/>
                <w:lang w:val="en-US" w:eastAsia="es-CO"/>
              </w:rPr>
              <w:t>($ 2.000,00)</w:t>
            </w:r>
          </w:p>
        </w:tc>
      </w:tr>
      <w:tr w:rsidR="00366EFC" w:rsidRPr="00366EFC" w14:paraId="2F45FD17" w14:textId="77777777" w:rsidTr="00BE6D69">
        <w:trPr>
          <w:trHeight w:val="390"/>
        </w:trPr>
        <w:tc>
          <w:tcPr>
            <w:tcW w:w="480" w:type="dxa"/>
            <w:tcBorders>
              <w:top w:val="nil"/>
              <w:left w:val="nil"/>
              <w:bottom w:val="nil"/>
              <w:right w:val="nil"/>
            </w:tcBorders>
            <w:shd w:val="clear" w:color="auto" w:fill="auto"/>
            <w:noWrap/>
            <w:vAlign w:val="center"/>
            <w:hideMark/>
          </w:tcPr>
          <w:p w14:paraId="7AD4A8D5" w14:textId="77777777" w:rsidR="00BE6D69" w:rsidRPr="00366EFC" w:rsidRDefault="00BE6D69" w:rsidP="00BE6D69">
            <w:pPr>
              <w:jc w:val="center"/>
              <w:rPr>
                <w:rFonts w:ascii="Arial Narrow" w:hAnsi="Arial Narrow" w:cs="Arial"/>
                <w:spacing w:val="0"/>
                <w:sz w:val="15"/>
                <w:szCs w:val="15"/>
                <w:lang w:eastAsia="es-CO"/>
              </w:rPr>
            </w:pPr>
            <w:r w:rsidRPr="00366EFC">
              <w:rPr>
                <w:rFonts w:ascii="Arial Narrow" w:hAnsi="Arial Narrow" w:cs="Arial"/>
                <w:spacing w:val="0"/>
                <w:sz w:val="15"/>
                <w:szCs w:val="15"/>
                <w:lang w:val="en-US" w:eastAsia="es-CO"/>
              </w:rPr>
              <w:t>9</w:t>
            </w:r>
          </w:p>
        </w:tc>
        <w:tc>
          <w:tcPr>
            <w:tcW w:w="700" w:type="dxa"/>
            <w:tcBorders>
              <w:top w:val="nil"/>
              <w:left w:val="nil"/>
              <w:bottom w:val="nil"/>
              <w:right w:val="nil"/>
            </w:tcBorders>
            <w:shd w:val="clear" w:color="auto" w:fill="auto"/>
            <w:noWrap/>
            <w:vAlign w:val="center"/>
            <w:hideMark/>
          </w:tcPr>
          <w:p w14:paraId="4B5DE26C" w14:textId="77777777" w:rsidR="00BE6D69" w:rsidRPr="00366EFC" w:rsidRDefault="00BE6D69" w:rsidP="00BE6D69">
            <w:pPr>
              <w:jc w:val="center"/>
              <w:rPr>
                <w:rFonts w:ascii="Arial Narrow" w:hAnsi="Arial Narrow" w:cs="Arial"/>
                <w:b/>
                <w:bCs/>
                <w:spacing w:val="0"/>
                <w:sz w:val="15"/>
                <w:szCs w:val="15"/>
                <w:lang w:eastAsia="es-CO"/>
              </w:rPr>
            </w:pPr>
            <w:r w:rsidRPr="00366EFC">
              <w:rPr>
                <w:rFonts w:ascii="Arial Narrow" w:hAnsi="Arial Narrow" w:cs="Arial"/>
                <w:b/>
                <w:bCs/>
                <w:spacing w:val="0"/>
                <w:sz w:val="15"/>
                <w:szCs w:val="15"/>
                <w:lang w:val="en-US" w:eastAsia="es-CO"/>
              </w:rPr>
              <w:t>E</w:t>
            </w:r>
          </w:p>
        </w:tc>
        <w:tc>
          <w:tcPr>
            <w:tcW w:w="760" w:type="dxa"/>
            <w:tcBorders>
              <w:top w:val="nil"/>
              <w:left w:val="nil"/>
              <w:bottom w:val="nil"/>
              <w:right w:val="nil"/>
            </w:tcBorders>
            <w:shd w:val="clear" w:color="000000" w:fill="E2EFDA"/>
            <w:noWrap/>
            <w:vAlign w:val="center"/>
            <w:hideMark/>
          </w:tcPr>
          <w:p w14:paraId="6BC42A90" w14:textId="77777777" w:rsidR="00BE6D69" w:rsidRPr="00366EFC" w:rsidRDefault="00BE6D69" w:rsidP="00BE6D69">
            <w:pPr>
              <w:jc w:val="right"/>
              <w:rPr>
                <w:rFonts w:ascii="Arial Narrow" w:hAnsi="Arial Narrow" w:cs="Arial"/>
                <w:spacing w:val="0"/>
                <w:sz w:val="15"/>
                <w:szCs w:val="15"/>
                <w:lang w:eastAsia="es-CO"/>
              </w:rPr>
            </w:pPr>
            <w:r w:rsidRPr="00366EFC">
              <w:rPr>
                <w:rFonts w:ascii="Arial Narrow" w:hAnsi="Arial Narrow" w:cs="Arial"/>
                <w:spacing w:val="0"/>
                <w:sz w:val="15"/>
                <w:szCs w:val="15"/>
                <w:lang w:val="en-US" w:eastAsia="es-CO"/>
              </w:rPr>
              <w:t>Menos</w:t>
            </w:r>
          </w:p>
        </w:tc>
        <w:tc>
          <w:tcPr>
            <w:tcW w:w="2540" w:type="dxa"/>
            <w:tcBorders>
              <w:top w:val="nil"/>
              <w:left w:val="nil"/>
              <w:bottom w:val="nil"/>
              <w:right w:val="nil"/>
            </w:tcBorders>
            <w:shd w:val="clear" w:color="auto" w:fill="auto"/>
            <w:vAlign w:val="center"/>
            <w:hideMark/>
          </w:tcPr>
          <w:p w14:paraId="5FA1D4A4" w14:textId="77777777" w:rsidR="00BE6D69" w:rsidRPr="00366EFC" w:rsidRDefault="00BE6D69" w:rsidP="00BE6D69">
            <w:pPr>
              <w:rPr>
                <w:rFonts w:ascii="Arial Narrow" w:hAnsi="Arial Narrow" w:cs="Arial"/>
                <w:b/>
                <w:bCs/>
                <w:spacing w:val="0"/>
                <w:sz w:val="15"/>
                <w:szCs w:val="15"/>
                <w:lang w:eastAsia="es-CO"/>
              </w:rPr>
            </w:pPr>
            <w:proofErr w:type="spellStart"/>
            <w:r w:rsidRPr="00366EFC">
              <w:rPr>
                <w:rFonts w:ascii="Arial Narrow" w:hAnsi="Arial Narrow" w:cs="Arial"/>
                <w:b/>
                <w:bCs/>
                <w:spacing w:val="0"/>
                <w:sz w:val="15"/>
                <w:szCs w:val="15"/>
                <w:lang w:val="en-US" w:eastAsia="es-CO"/>
              </w:rPr>
              <w:t>Provisiones</w:t>
            </w:r>
            <w:proofErr w:type="spellEnd"/>
          </w:p>
        </w:tc>
        <w:tc>
          <w:tcPr>
            <w:tcW w:w="700" w:type="dxa"/>
            <w:tcBorders>
              <w:top w:val="nil"/>
              <w:left w:val="nil"/>
              <w:bottom w:val="nil"/>
              <w:right w:val="nil"/>
            </w:tcBorders>
            <w:shd w:val="clear" w:color="auto" w:fill="auto"/>
            <w:noWrap/>
            <w:vAlign w:val="center"/>
            <w:hideMark/>
          </w:tcPr>
          <w:p w14:paraId="5E677B02" w14:textId="77777777" w:rsidR="00BE6D69" w:rsidRPr="00366EFC" w:rsidRDefault="00BE6D69" w:rsidP="00BE6D69">
            <w:pPr>
              <w:jc w:val="center"/>
              <w:rPr>
                <w:rFonts w:ascii="Arial Narrow" w:hAnsi="Arial Narrow" w:cs="Arial"/>
                <w:b/>
                <w:bCs/>
                <w:spacing w:val="0"/>
                <w:sz w:val="15"/>
                <w:szCs w:val="15"/>
                <w:lang w:eastAsia="es-CO"/>
              </w:rPr>
            </w:pPr>
            <w:r w:rsidRPr="00366EFC">
              <w:rPr>
                <w:rFonts w:ascii="Arial Narrow" w:hAnsi="Arial Narrow" w:cs="Arial"/>
                <w:b/>
                <w:bCs/>
                <w:spacing w:val="0"/>
                <w:sz w:val="15"/>
                <w:szCs w:val="15"/>
                <w:lang w:val="en-US" w:eastAsia="es-CO"/>
              </w:rPr>
              <w:t>COL$</w:t>
            </w:r>
          </w:p>
        </w:tc>
        <w:tc>
          <w:tcPr>
            <w:tcW w:w="1600" w:type="dxa"/>
            <w:tcBorders>
              <w:top w:val="nil"/>
              <w:left w:val="nil"/>
              <w:bottom w:val="nil"/>
              <w:right w:val="nil"/>
            </w:tcBorders>
            <w:shd w:val="clear" w:color="auto" w:fill="auto"/>
            <w:vAlign w:val="center"/>
            <w:hideMark/>
          </w:tcPr>
          <w:p w14:paraId="42E6D6FD" w14:textId="77777777" w:rsidR="00BE6D69" w:rsidRPr="00366EFC" w:rsidRDefault="00BE6D69" w:rsidP="00BE6D69">
            <w:pPr>
              <w:jc w:val="center"/>
              <w:rPr>
                <w:rFonts w:ascii="Arial Narrow" w:hAnsi="Arial Narrow" w:cs="Arial"/>
                <w:spacing w:val="0"/>
                <w:sz w:val="15"/>
                <w:szCs w:val="15"/>
                <w:lang w:eastAsia="es-CO"/>
              </w:rPr>
            </w:pPr>
            <w:proofErr w:type="spellStart"/>
            <w:r w:rsidRPr="00366EFC">
              <w:rPr>
                <w:rFonts w:ascii="Arial Narrow" w:hAnsi="Arial Narrow" w:cs="Arial"/>
                <w:spacing w:val="0"/>
                <w:sz w:val="15"/>
                <w:szCs w:val="15"/>
                <w:lang w:val="en-US" w:eastAsia="es-CO"/>
              </w:rPr>
              <w:t>suma</w:t>
            </w:r>
            <w:proofErr w:type="spellEnd"/>
            <w:r w:rsidRPr="00366EFC">
              <w:rPr>
                <w:rFonts w:ascii="Arial Narrow" w:hAnsi="Arial Narrow" w:cs="Arial"/>
                <w:spacing w:val="0"/>
                <w:sz w:val="15"/>
                <w:szCs w:val="15"/>
                <w:lang w:val="en-US" w:eastAsia="es-CO"/>
              </w:rPr>
              <w:t xml:space="preserve"> ITEM</w:t>
            </w:r>
            <w:r w:rsidRPr="00366EFC">
              <w:rPr>
                <w:rFonts w:ascii="Arial Narrow" w:hAnsi="Arial Narrow" w:cs="Arial"/>
                <w:spacing w:val="0"/>
                <w:sz w:val="15"/>
                <w:szCs w:val="15"/>
                <w:lang w:val="en-US" w:eastAsia="es-CO"/>
              </w:rPr>
              <w:br/>
              <w:t>10 al 12</w:t>
            </w:r>
          </w:p>
        </w:tc>
        <w:tc>
          <w:tcPr>
            <w:tcW w:w="940" w:type="dxa"/>
            <w:tcBorders>
              <w:top w:val="nil"/>
              <w:left w:val="nil"/>
              <w:bottom w:val="nil"/>
              <w:right w:val="nil"/>
            </w:tcBorders>
            <w:shd w:val="clear" w:color="auto" w:fill="auto"/>
            <w:noWrap/>
            <w:vAlign w:val="center"/>
            <w:hideMark/>
          </w:tcPr>
          <w:p w14:paraId="2CD28AE4" w14:textId="77777777" w:rsidR="00BE6D69" w:rsidRPr="00366EFC" w:rsidRDefault="00BE6D69" w:rsidP="00BE6D69">
            <w:pPr>
              <w:jc w:val="center"/>
              <w:rPr>
                <w:rFonts w:ascii="Arial Narrow" w:hAnsi="Arial Narrow" w:cs="Arial"/>
                <w:spacing w:val="0"/>
                <w:sz w:val="15"/>
                <w:szCs w:val="15"/>
                <w:lang w:eastAsia="es-CO"/>
              </w:rPr>
            </w:pPr>
          </w:p>
        </w:tc>
        <w:tc>
          <w:tcPr>
            <w:tcW w:w="1300" w:type="dxa"/>
            <w:tcBorders>
              <w:top w:val="nil"/>
              <w:left w:val="nil"/>
              <w:bottom w:val="nil"/>
              <w:right w:val="nil"/>
            </w:tcBorders>
            <w:shd w:val="clear" w:color="000000" w:fill="E2EFDA"/>
            <w:noWrap/>
            <w:vAlign w:val="center"/>
            <w:hideMark/>
          </w:tcPr>
          <w:p w14:paraId="242724A5" w14:textId="77777777" w:rsidR="00BE6D69" w:rsidRPr="00366EFC" w:rsidRDefault="00BE6D69" w:rsidP="00BE6D69">
            <w:pPr>
              <w:jc w:val="right"/>
              <w:rPr>
                <w:rFonts w:ascii="Arial Narrow" w:hAnsi="Arial Narrow" w:cs="Arial"/>
                <w:b/>
                <w:bCs/>
                <w:spacing w:val="0"/>
                <w:sz w:val="15"/>
                <w:szCs w:val="15"/>
                <w:lang w:eastAsia="es-CO"/>
              </w:rPr>
            </w:pPr>
            <w:r w:rsidRPr="00366EFC">
              <w:rPr>
                <w:rFonts w:ascii="Arial Narrow" w:hAnsi="Arial Narrow" w:cs="Arial"/>
                <w:b/>
                <w:bCs/>
                <w:spacing w:val="0"/>
                <w:sz w:val="15"/>
                <w:szCs w:val="15"/>
                <w:lang w:val="en-US" w:eastAsia="es-CO"/>
              </w:rPr>
              <w:t>($ 5.000,00)</w:t>
            </w:r>
          </w:p>
        </w:tc>
        <w:tc>
          <w:tcPr>
            <w:tcW w:w="1240" w:type="dxa"/>
            <w:tcBorders>
              <w:top w:val="nil"/>
              <w:left w:val="nil"/>
              <w:bottom w:val="nil"/>
              <w:right w:val="nil"/>
            </w:tcBorders>
            <w:shd w:val="clear" w:color="auto" w:fill="auto"/>
            <w:noWrap/>
            <w:vAlign w:val="center"/>
            <w:hideMark/>
          </w:tcPr>
          <w:p w14:paraId="0CB5A34A" w14:textId="77777777" w:rsidR="00BE6D69" w:rsidRPr="00366EFC" w:rsidRDefault="00BE6D69" w:rsidP="00BE6D69">
            <w:pPr>
              <w:jc w:val="right"/>
              <w:rPr>
                <w:rFonts w:ascii="Arial Narrow" w:hAnsi="Arial Narrow" w:cs="Arial"/>
                <w:b/>
                <w:bCs/>
                <w:spacing w:val="0"/>
                <w:sz w:val="15"/>
                <w:szCs w:val="15"/>
                <w:lang w:eastAsia="es-CO"/>
              </w:rPr>
            </w:pPr>
            <w:r w:rsidRPr="00366EFC">
              <w:rPr>
                <w:rFonts w:ascii="Arial Narrow" w:hAnsi="Arial Narrow" w:cs="Arial"/>
                <w:b/>
                <w:bCs/>
                <w:spacing w:val="0"/>
                <w:sz w:val="15"/>
                <w:szCs w:val="15"/>
                <w:lang w:val="en-US" w:eastAsia="es-CO"/>
              </w:rPr>
              <w:t>($ 5.000,00)</w:t>
            </w:r>
          </w:p>
        </w:tc>
      </w:tr>
      <w:tr w:rsidR="00366EFC" w:rsidRPr="00366EFC" w14:paraId="0BD55C39" w14:textId="77777777" w:rsidTr="00BE6D69">
        <w:trPr>
          <w:trHeight w:val="255"/>
        </w:trPr>
        <w:tc>
          <w:tcPr>
            <w:tcW w:w="480" w:type="dxa"/>
            <w:tcBorders>
              <w:top w:val="nil"/>
              <w:left w:val="nil"/>
              <w:bottom w:val="nil"/>
              <w:right w:val="nil"/>
            </w:tcBorders>
            <w:shd w:val="clear" w:color="auto" w:fill="auto"/>
            <w:noWrap/>
            <w:vAlign w:val="center"/>
            <w:hideMark/>
          </w:tcPr>
          <w:p w14:paraId="2B0B1F78" w14:textId="77777777" w:rsidR="00BE6D69" w:rsidRPr="00366EFC" w:rsidRDefault="00BE6D69" w:rsidP="00BE6D69">
            <w:pPr>
              <w:jc w:val="center"/>
              <w:rPr>
                <w:rFonts w:ascii="Arial Narrow" w:hAnsi="Arial Narrow" w:cs="Arial"/>
                <w:spacing w:val="0"/>
                <w:sz w:val="15"/>
                <w:szCs w:val="15"/>
                <w:lang w:eastAsia="es-CO"/>
              </w:rPr>
            </w:pPr>
            <w:r w:rsidRPr="00366EFC">
              <w:rPr>
                <w:rFonts w:ascii="Arial Narrow" w:hAnsi="Arial Narrow" w:cs="Arial"/>
                <w:spacing w:val="0"/>
                <w:sz w:val="15"/>
                <w:szCs w:val="15"/>
                <w:lang w:val="en-US" w:eastAsia="es-CO"/>
              </w:rPr>
              <w:t>10</w:t>
            </w:r>
          </w:p>
        </w:tc>
        <w:tc>
          <w:tcPr>
            <w:tcW w:w="700" w:type="dxa"/>
            <w:tcBorders>
              <w:top w:val="nil"/>
              <w:left w:val="nil"/>
              <w:bottom w:val="nil"/>
              <w:right w:val="nil"/>
            </w:tcBorders>
            <w:shd w:val="clear" w:color="auto" w:fill="auto"/>
            <w:noWrap/>
            <w:vAlign w:val="center"/>
            <w:hideMark/>
          </w:tcPr>
          <w:p w14:paraId="64C2F657" w14:textId="77777777" w:rsidR="00BE6D69" w:rsidRPr="00366EFC" w:rsidRDefault="00BE6D69" w:rsidP="00BE6D69">
            <w:pPr>
              <w:jc w:val="center"/>
              <w:rPr>
                <w:rFonts w:ascii="Arial Narrow" w:hAnsi="Arial Narrow" w:cs="Arial"/>
                <w:spacing w:val="0"/>
                <w:sz w:val="15"/>
                <w:szCs w:val="15"/>
                <w:lang w:eastAsia="es-CO"/>
              </w:rPr>
            </w:pPr>
            <w:r w:rsidRPr="00366EFC">
              <w:rPr>
                <w:rFonts w:ascii="Arial Narrow" w:hAnsi="Arial Narrow" w:cs="Arial"/>
                <w:spacing w:val="0"/>
                <w:sz w:val="15"/>
                <w:szCs w:val="15"/>
                <w:lang w:val="en-US" w:eastAsia="es-CO"/>
              </w:rPr>
              <w:t>E1</w:t>
            </w:r>
          </w:p>
        </w:tc>
        <w:tc>
          <w:tcPr>
            <w:tcW w:w="760" w:type="dxa"/>
            <w:tcBorders>
              <w:top w:val="nil"/>
              <w:left w:val="nil"/>
              <w:bottom w:val="nil"/>
              <w:right w:val="nil"/>
            </w:tcBorders>
            <w:shd w:val="clear" w:color="000000" w:fill="E2EFDA"/>
            <w:noWrap/>
            <w:vAlign w:val="center"/>
            <w:hideMark/>
          </w:tcPr>
          <w:p w14:paraId="267146D7" w14:textId="77777777" w:rsidR="00BE6D69" w:rsidRPr="00366EFC" w:rsidRDefault="00BE6D69" w:rsidP="00BE6D69">
            <w:pPr>
              <w:jc w:val="right"/>
              <w:rPr>
                <w:rFonts w:ascii="Arial Narrow" w:hAnsi="Arial Narrow" w:cs="Arial"/>
                <w:spacing w:val="0"/>
                <w:sz w:val="15"/>
                <w:szCs w:val="15"/>
                <w:lang w:eastAsia="es-CO"/>
              </w:rPr>
            </w:pPr>
            <w:r w:rsidRPr="00366EFC">
              <w:rPr>
                <w:rFonts w:ascii="Arial Narrow" w:hAnsi="Arial Narrow" w:cs="Arial"/>
                <w:spacing w:val="0"/>
                <w:sz w:val="15"/>
                <w:szCs w:val="15"/>
                <w:lang w:val="en-US" w:eastAsia="es-CO"/>
              </w:rPr>
              <w:t> </w:t>
            </w:r>
          </w:p>
        </w:tc>
        <w:tc>
          <w:tcPr>
            <w:tcW w:w="2540" w:type="dxa"/>
            <w:tcBorders>
              <w:top w:val="nil"/>
              <w:left w:val="nil"/>
              <w:bottom w:val="nil"/>
              <w:right w:val="nil"/>
            </w:tcBorders>
            <w:shd w:val="clear" w:color="auto" w:fill="auto"/>
            <w:vAlign w:val="center"/>
            <w:hideMark/>
          </w:tcPr>
          <w:p w14:paraId="62B77AC6" w14:textId="77777777" w:rsidR="00BE6D69" w:rsidRPr="00366EFC" w:rsidRDefault="00BE6D69" w:rsidP="00BE6D69">
            <w:pPr>
              <w:rPr>
                <w:rFonts w:ascii="Arial Narrow" w:hAnsi="Arial Narrow" w:cs="Arial"/>
                <w:spacing w:val="0"/>
                <w:sz w:val="15"/>
                <w:szCs w:val="15"/>
                <w:lang w:eastAsia="es-CO"/>
              </w:rPr>
            </w:pPr>
            <w:proofErr w:type="spellStart"/>
            <w:r w:rsidRPr="00366EFC">
              <w:rPr>
                <w:rFonts w:ascii="Arial Narrow" w:hAnsi="Arial Narrow" w:cs="Arial"/>
                <w:spacing w:val="0"/>
                <w:sz w:val="15"/>
                <w:szCs w:val="15"/>
                <w:lang w:val="en-US" w:eastAsia="es-CO"/>
              </w:rPr>
              <w:t>Litigios</w:t>
            </w:r>
            <w:proofErr w:type="spellEnd"/>
            <w:r w:rsidRPr="00366EFC">
              <w:rPr>
                <w:rFonts w:ascii="Arial Narrow" w:hAnsi="Arial Narrow" w:cs="Arial"/>
                <w:spacing w:val="0"/>
                <w:sz w:val="15"/>
                <w:szCs w:val="15"/>
                <w:lang w:val="en-US" w:eastAsia="es-CO"/>
              </w:rPr>
              <w:t xml:space="preserve"> y </w:t>
            </w:r>
            <w:proofErr w:type="spellStart"/>
            <w:r w:rsidRPr="00366EFC">
              <w:rPr>
                <w:rFonts w:ascii="Arial Narrow" w:hAnsi="Arial Narrow" w:cs="Arial"/>
                <w:spacing w:val="0"/>
                <w:sz w:val="15"/>
                <w:szCs w:val="15"/>
                <w:lang w:val="en-US" w:eastAsia="es-CO"/>
              </w:rPr>
              <w:t>demandas</w:t>
            </w:r>
            <w:proofErr w:type="spellEnd"/>
          </w:p>
        </w:tc>
        <w:tc>
          <w:tcPr>
            <w:tcW w:w="700" w:type="dxa"/>
            <w:tcBorders>
              <w:top w:val="nil"/>
              <w:left w:val="nil"/>
              <w:bottom w:val="nil"/>
              <w:right w:val="nil"/>
            </w:tcBorders>
            <w:shd w:val="clear" w:color="auto" w:fill="auto"/>
            <w:noWrap/>
            <w:vAlign w:val="center"/>
            <w:hideMark/>
          </w:tcPr>
          <w:p w14:paraId="33EDE183" w14:textId="77777777" w:rsidR="00BE6D69" w:rsidRPr="00366EFC" w:rsidRDefault="00BE6D69" w:rsidP="00BE6D69">
            <w:pPr>
              <w:jc w:val="center"/>
              <w:rPr>
                <w:rFonts w:ascii="Arial Narrow" w:hAnsi="Arial Narrow" w:cs="Arial"/>
                <w:b/>
                <w:bCs/>
                <w:spacing w:val="0"/>
                <w:sz w:val="15"/>
                <w:szCs w:val="15"/>
                <w:lang w:eastAsia="es-CO"/>
              </w:rPr>
            </w:pPr>
            <w:r w:rsidRPr="00366EFC">
              <w:rPr>
                <w:rFonts w:ascii="Arial Narrow" w:hAnsi="Arial Narrow" w:cs="Arial"/>
                <w:b/>
                <w:bCs/>
                <w:spacing w:val="0"/>
                <w:sz w:val="15"/>
                <w:szCs w:val="15"/>
                <w:lang w:val="en-US" w:eastAsia="es-CO"/>
              </w:rPr>
              <w:t>COL$</w:t>
            </w:r>
          </w:p>
        </w:tc>
        <w:tc>
          <w:tcPr>
            <w:tcW w:w="1600" w:type="dxa"/>
            <w:tcBorders>
              <w:top w:val="nil"/>
              <w:left w:val="nil"/>
              <w:bottom w:val="nil"/>
              <w:right w:val="nil"/>
            </w:tcBorders>
            <w:shd w:val="clear" w:color="auto" w:fill="auto"/>
            <w:vAlign w:val="center"/>
            <w:hideMark/>
          </w:tcPr>
          <w:p w14:paraId="47F1216D" w14:textId="77777777" w:rsidR="00BE6D69" w:rsidRPr="00366EFC" w:rsidRDefault="00BE6D69" w:rsidP="00BE6D69">
            <w:pPr>
              <w:jc w:val="center"/>
              <w:rPr>
                <w:rFonts w:ascii="Arial Narrow" w:hAnsi="Arial Narrow" w:cs="Arial"/>
                <w:b/>
                <w:bCs/>
                <w:spacing w:val="0"/>
                <w:sz w:val="15"/>
                <w:szCs w:val="15"/>
                <w:lang w:eastAsia="es-CO"/>
              </w:rPr>
            </w:pPr>
          </w:p>
        </w:tc>
        <w:tc>
          <w:tcPr>
            <w:tcW w:w="940" w:type="dxa"/>
            <w:tcBorders>
              <w:top w:val="nil"/>
              <w:left w:val="nil"/>
              <w:bottom w:val="nil"/>
              <w:right w:val="nil"/>
            </w:tcBorders>
            <w:shd w:val="clear" w:color="000000" w:fill="E2EFDA"/>
            <w:noWrap/>
            <w:vAlign w:val="center"/>
            <w:hideMark/>
          </w:tcPr>
          <w:p w14:paraId="089C2D57" w14:textId="77777777" w:rsidR="00BE6D69" w:rsidRPr="00366EFC" w:rsidRDefault="00BE6D69" w:rsidP="00BE6D69">
            <w:pPr>
              <w:jc w:val="right"/>
              <w:rPr>
                <w:rFonts w:ascii="Arial Narrow" w:hAnsi="Arial Narrow" w:cs="Arial"/>
                <w:spacing w:val="0"/>
                <w:sz w:val="15"/>
                <w:szCs w:val="15"/>
                <w:lang w:eastAsia="es-CO"/>
              </w:rPr>
            </w:pPr>
            <w:r w:rsidRPr="00366EFC">
              <w:rPr>
                <w:rFonts w:ascii="Arial Narrow" w:hAnsi="Arial Narrow" w:cs="Arial"/>
                <w:spacing w:val="0"/>
                <w:sz w:val="15"/>
                <w:szCs w:val="15"/>
                <w:lang w:val="en-US" w:eastAsia="es-CO"/>
              </w:rPr>
              <w:t>($ 1.000,00)</w:t>
            </w:r>
          </w:p>
        </w:tc>
        <w:tc>
          <w:tcPr>
            <w:tcW w:w="1300" w:type="dxa"/>
            <w:tcBorders>
              <w:top w:val="nil"/>
              <w:left w:val="nil"/>
              <w:bottom w:val="nil"/>
              <w:right w:val="nil"/>
            </w:tcBorders>
            <w:shd w:val="clear" w:color="auto" w:fill="auto"/>
            <w:noWrap/>
            <w:vAlign w:val="center"/>
            <w:hideMark/>
          </w:tcPr>
          <w:p w14:paraId="6A8414CE" w14:textId="77777777" w:rsidR="00BE6D69" w:rsidRPr="00366EFC" w:rsidRDefault="00BE6D69" w:rsidP="00BE6D69">
            <w:pPr>
              <w:jc w:val="right"/>
              <w:rPr>
                <w:rFonts w:ascii="Arial Narrow" w:hAnsi="Arial Narrow" w:cs="Arial"/>
                <w:spacing w:val="0"/>
                <w:sz w:val="15"/>
                <w:szCs w:val="15"/>
                <w:lang w:eastAsia="es-CO"/>
              </w:rPr>
            </w:pPr>
          </w:p>
        </w:tc>
        <w:tc>
          <w:tcPr>
            <w:tcW w:w="1240" w:type="dxa"/>
            <w:tcBorders>
              <w:top w:val="nil"/>
              <w:left w:val="nil"/>
              <w:bottom w:val="nil"/>
              <w:right w:val="nil"/>
            </w:tcBorders>
            <w:shd w:val="clear" w:color="auto" w:fill="auto"/>
            <w:noWrap/>
            <w:vAlign w:val="center"/>
            <w:hideMark/>
          </w:tcPr>
          <w:p w14:paraId="681F177F" w14:textId="77777777" w:rsidR="00BE6D69" w:rsidRPr="00366EFC" w:rsidRDefault="00BE6D69" w:rsidP="00BE6D69">
            <w:pPr>
              <w:jc w:val="left"/>
              <w:rPr>
                <w:rFonts w:ascii="Times New Roman" w:hAnsi="Times New Roman"/>
                <w:spacing w:val="0"/>
                <w:lang w:eastAsia="es-CO"/>
              </w:rPr>
            </w:pPr>
          </w:p>
        </w:tc>
      </w:tr>
      <w:tr w:rsidR="00366EFC" w:rsidRPr="00366EFC" w14:paraId="57F3BD17" w14:textId="77777777" w:rsidTr="00BE6D69">
        <w:trPr>
          <w:trHeight w:val="255"/>
        </w:trPr>
        <w:tc>
          <w:tcPr>
            <w:tcW w:w="480" w:type="dxa"/>
            <w:tcBorders>
              <w:top w:val="nil"/>
              <w:left w:val="nil"/>
              <w:bottom w:val="nil"/>
              <w:right w:val="nil"/>
            </w:tcBorders>
            <w:shd w:val="clear" w:color="auto" w:fill="auto"/>
            <w:noWrap/>
            <w:vAlign w:val="center"/>
            <w:hideMark/>
          </w:tcPr>
          <w:p w14:paraId="133FBE91" w14:textId="77777777" w:rsidR="00BE6D69" w:rsidRPr="00366EFC" w:rsidRDefault="00BE6D69" w:rsidP="00BE6D69">
            <w:pPr>
              <w:jc w:val="center"/>
              <w:rPr>
                <w:rFonts w:ascii="Arial Narrow" w:hAnsi="Arial Narrow" w:cs="Arial"/>
                <w:spacing w:val="0"/>
                <w:sz w:val="15"/>
                <w:szCs w:val="15"/>
                <w:lang w:eastAsia="es-CO"/>
              </w:rPr>
            </w:pPr>
            <w:r w:rsidRPr="00366EFC">
              <w:rPr>
                <w:rFonts w:ascii="Arial Narrow" w:hAnsi="Arial Narrow" w:cs="Arial"/>
                <w:spacing w:val="0"/>
                <w:sz w:val="15"/>
                <w:szCs w:val="15"/>
                <w:lang w:val="en-US" w:eastAsia="es-CO"/>
              </w:rPr>
              <w:t>11</w:t>
            </w:r>
          </w:p>
        </w:tc>
        <w:tc>
          <w:tcPr>
            <w:tcW w:w="700" w:type="dxa"/>
            <w:tcBorders>
              <w:top w:val="nil"/>
              <w:left w:val="nil"/>
              <w:bottom w:val="nil"/>
              <w:right w:val="nil"/>
            </w:tcBorders>
            <w:shd w:val="clear" w:color="auto" w:fill="auto"/>
            <w:noWrap/>
            <w:vAlign w:val="center"/>
            <w:hideMark/>
          </w:tcPr>
          <w:p w14:paraId="0F7E7B93" w14:textId="77777777" w:rsidR="00BE6D69" w:rsidRPr="00366EFC" w:rsidRDefault="00BE6D69" w:rsidP="00BE6D69">
            <w:pPr>
              <w:jc w:val="center"/>
              <w:rPr>
                <w:rFonts w:ascii="Arial Narrow" w:hAnsi="Arial Narrow" w:cs="Arial"/>
                <w:spacing w:val="0"/>
                <w:sz w:val="15"/>
                <w:szCs w:val="15"/>
                <w:lang w:eastAsia="es-CO"/>
              </w:rPr>
            </w:pPr>
            <w:r w:rsidRPr="00366EFC">
              <w:rPr>
                <w:rFonts w:ascii="Arial Narrow" w:hAnsi="Arial Narrow" w:cs="Arial"/>
                <w:spacing w:val="0"/>
                <w:sz w:val="15"/>
                <w:szCs w:val="15"/>
                <w:lang w:val="en-US" w:eastAsia="es-CO"/>
              </w:rPr>
              <w:t>E2</w:t>
            </w:r>
          </w:p>
        </w:tc>
        <w:tc>
          <w:tcPr>
            <w:tcW w:w="760" w:type="dxa"/>
            <w:tcBorders>
              <w:top w:val="nil"/>
              <w:left w:val="nil"/>
              <w:bottom w:val="nil"/>
              <w:right w:val="nil"/>
            </w:tcBorders>
            <w:shd w:val="clear" w:color="000000" w:fill="E2EFDA"/>
            <w:noWrap/>
            <w:vAlign w:val="center"/>
            <w:hideMark/>
          </w:tcPr>
          <w:p w14:paraId="0257610A" w14:textId="77777777" w:rsidR="00BE6D69" w:rsidRPr="00366EFC" w:rsidRDefault="00BE6D69" w:rsidP="00BE6D69">
            <w:pPr>
              <w:jc w:val="right"/>
              <w:rPr>
                <w:rFonts w:ascii="Arial Narrow" w:hAnsi="Arial Narrow" w:cs="Arial"/>
                <w:spacing w:val="0"/>
                <w:sz w:val="15"/>
                <w:szCs w:val="15"/>
                <w:lang w:eastAsia="es-CO"/>
              </w:rPr>
            </w:pPr>
            <w:r w:rsidRPr="00366EFC">
              <w:rPr>
                <w:rFonts w:ascii="Arial Narrow" w:hAnsi="Arial Narrow" w:cs="Arial"/>
                <w:spacing w:val="0"/>
                <w:sz w:val="15"/>
                <w:szCs w:val="15"/>
                <w:lang w:val="en-US" w:eastAsia="es-CO"/>
              </w:rPr>
              <w:t> </w:t>
            </w:r>
          </w:p>
        </w:tc>
        <w:tc>
          <w:tcPr>
            <w:tcW w:w="2540" w:type="dxa"/>
            <w:tcBorders>
              <w:top w:val="nil"/>
              <w:left w:val="nil"/>
              <w:bottom w:val="nil"/>
              <w:right w:val="nil"/>
            </w:tcBorders>
            <w:shd w:val="clear" w:color="auto" w:fill="auto"/>
            <w:vAlign w:val="center"/>
            <w:hideMark/>
          </w:tcPr>
          <w:p w14:paraId="6D327DAB" w14:textId="77777777" w:rsidR="00BE6D69" w:rsidRPr="00366EFC" w:rsidRDefault="00BE6D69" w:rsidP="00BE6D69">
            <w:pPr>
              <w:rPr>
                <w:rFonts w:ascii="Arial Narrow" w:hAnsi="Arial Narrow" w:cs="Arial"/>
                <w:spacing w:val="0"/>
                <w:sz w:val="15"/>
                <w:szCs w:val="15"/>
                <w:lang w:eastAsia="es-CO"/>
              </w:rPr>
            </w:pPr>
            <w:proofErr w:type="spellStart"/>
            <w:r w:rsidRPr="00366EFC">
              <w:rPr>
                <w:rFonts w:ascii="Arial Narrow" w:hAnsi="Arial Narrow" w:cs="Arial"/>
                <w:spacing w:val="0"/>
                <w:sz w:val="15"/>
                <w:szCs w:val="15"/>
                <w:lang w:val="en-US" w:eastAsia="es-CO"/>
              </w:rPr>
              <w:t>Garantías</w:t>
            </w:r>
            <w:proofErr w:type="spellEnd"/>
          </w:p>
        </w:tc>
        <w:tc>
          <w:tcPr>
            <w:tcW w:w="700" w:type="dxa"/>
            <w:tcBorders>
              <w:top w:val="nil"/>
              <w:left w:val="nil"/>
              <w:bottom w:val="nil"/>
              <w:right w:val="nil"/>
            </w:tcBorders>
            <w:shd w:val="clear" w:color="auto" w:fill="auto"/>
            <w:noWrap/>
            <w:vAlign w:val="center"/>
            <w:hideMark/>
          </w:tcPr>
          <w:p w14:paraId="450BFC70" w14:textId="77777777" w:rsidR="00BE6D69" w:rsidRPr="00366EFC" w:rsidRDefault="00BE6D69" w:rsidP="00BE6D69">
            <w:pPr>
              <w:jc w:val="center"/>
              <w:rPr>
                <w:rFonts w:ascii="Arial Narrow" w:hAnsi="Arial Narrow" w:cs="Arial"/>
                <w:b/>
                <w:bCs/>
                <w:spacing w:val="0"/>
                <w:sz w:val="15"/>
                <w:szCs w:val="15"/>
                <w:lang w:eastAsia="es-CO"/>
              </w:rPr>
            </w:pPr>
            <w:r w:rsidRPr="00366EFC">
              <w:rPr>
                <w:rFonts w:ascii="Arial Narrow" w:hAnsi="Arial Narrow" w:cs="Arial"/>
                <w:b/>
                <w:bCs/>
                <w:spacing w:val="0"/>
                <w:sz w:val="15"/>
                <w:szCs w:val="15"/>
                <w:lang w:val="en-US" w:eastAsia="es-CO"/>
              </w:rPr>
              <w:t>COL$</w:t>
            </w:r>
          </w:p>
        </w:tc>
        <w:tc>
          <w:tcPr>
            <w:tcW w:w="1600" w:type="dxa"/>
            <w:tcBorders>
              <w:top w:val="nil"/>
              <w:left w:val="nil"/>
              <w:bottom w:val="nil"/>
              <w:right w:val="nil"/>
            </w:tcBorders>
            <w:shd w:val="clear" w:color="auto" w:fill="auto"/>
            <w:vAlign w:val="center"/>
            <w:hideMark/>
          </w:tcPr>
          <w:p w14:paraId="77E03411" w14:textId="77777777" w:rsidR="00BE6D69" w:rsidRPr="00366EFC" w:rsidRDefault="00BE6D69" w:rsidP="00BE6D69">
            <w:pPr>
              <w:jc w:val="center"/>
              <w:rPr>
                <w:rFonts w:ascii="Arial Narrow" w:hAnsi="Arial Narrow" w:cs="Arial"/>
                <w:b/>
                <w:bCs/>
                <w:spacing w:val="0"/>
                <w:sz w:val="15"/>
                <w:szCs w:val="15"/>
                <w:lang w:eastAsia="es-CO"/>
              </w:rPr>
            </w:pPr>
          </w:p>
        </w:tc>
        <w:tc>
          <w:tcPr>
            <w:tcW w:w="940" w:type="dxa"/>
            <w:tcBorders>
              <w:top w:val="nil"/>
              <w:left w:val="nil"/>
              <w:bottom w:val="nil"/>
              <w:right w:val="nil"/>
            </w:tcBorders>
            <w:shd w:val="clear" w:color="000000" w:fill="E2EFDA"/>
            <w:noWrap/>
            <w:vAlign w:val="center"/>
            <w:hideMark/>
          </w:tcPr>
          <w:p w14:paraId="6F3A7924" w14:textId="77777777" w:rsidR="00BE6D69" w:rsidRPr="00366EFC" w:rsidRDefault="00BE6D69" w:rsidP="00BE6D69">
            <w:pPr>
              <w:jc w:val="right"/>
              <w:rPr>
                <w:rFonts w:ascii="Arial Narrow" w:hAnsi="Arial Narrow" w:cs="Arial"/>
                <w:spacing w:val="0"/>
                <w:sz w:val="15"/>
                <w:szCs w:val="15"/>
                <w:lang w:eastAsia="es-CO"/>
              </w:rPr>
            </w:pPr>
            <w:r w:rsidRPr="00366EFC">
              <w:rPr>
                <w:rFonts w:ascii="Arial Narrow" w:hAnsi="Arial Narrow" w:cs="Arial"/>
                <w:spacing w:val="0"/>
                <w:sz w:val="15"/>
                <w:szCs w:val="15"/>
                <w:lang w:val="en-US" w:eastAsia="es-CO"/>
              </w:rPr>
              <w:t>($ 2.000,00)</w:t>
            </w:r>
          </w:p>
        </w:tc>
        <w:tc>
          <w:tcPr>
            <w:tcW w:w="1300" w:type="dxa"/>
            <w:tcBorders>
              <w:top w:val="nil"/>
              <w:left w:val="nil"/>
              <w:bottom w:val="nil"/>
              <w:right w:val="nil"/>
            </w:tcBorders>
            <w:shd w:val="clear" w:color="auto" w:fill="auto"/>
            <w:noWrap/>
            <w:vAlign w:val="center"/>
            <w:hideMark/>
          </w:tcPr>
          <w:p w14:paraId="31465BC8" w14:textId="77777777" w:rsidR="00BE6D69" w:rsidRPr="00366EFC" w:rsidRDefault="00BE6D69" w:rsidP="00BE6D69">
            <w:pPr>
              <w:jc w:val="right"/>
              <w:rPr>
                <w:rFonts w:ascii="Arial Narrow" w:hAnsi="Arial Narrow" w:cs="Arial"/>
                <w:spacing w:val="0"/>
                <w:sz w:val="15"/>
                <w:szCs w:val="15"/>
                <w:lang w:eastAsia="es-CO"/>
              </w:rPr>
            </w:pPr>
          </w:p>
        </w:tc>
        <w:tc>
          <w:tcPr>
            <w:tcW w:w="1240" w:type="dxa"/>
            <w:tcBorders>
              <w:top w:val="nil"/>
              <w:left w:val="nil"/>
              <w:bottom w:val="nil"/>
              <w:right w:val="nil"/>
            </w:tcBorders>
            <w:shd w:val="clear" w:color="auto" w:fill="auto"/>
            <w:noWrap/>
            <w:vAlign w:val="center"/>
            <w:hideMark/>
          </w:tcPr>
          <w:p w14:paraId="733BCB50" w14:textId="77777777" w:rsidR="00BE6D69" w:rsidRPr="00366EFC" w:rsidRDefault="00BE6D69" w:rsidP="00BE6D69">
            <w:pPr>
              <w:jc w:val="left"/>
              <w:rPr>
                <w:rFonts w:ascii="Times New Roman" w:hAnsi="Times New Roman"/>
                <w:spacing w:val="0"/>
                <w:lang w:eastAsia="es-CO"/>
              </w:rPr>
            </w:pPr>
          </w:p>
        </w:tc>
      </w:tr>
      <w:tr w:rsidR="00366EFC" w:rsidRPr="00366EFC" w14:paraId="269C7ABF" w14:textId="77777777" w:rsidTr="00BE6D69">
        <w:trPr>
          <w:trHeight w:val="255"/>
        </w:trPr>
        <w:tc>
          <w:tcPr>
            <w:tcW w:w="480" w:type="dxa"/>
            <w:tcBorders>
              <w:top w:val="nil"/>
              <w:left w:val="nil"/>
              <w:bottom w:val="nil"/>
              <w:right w:val="nil"/>
            </w:tcBorders>
            <w:shd w:val="clear" w:color="auto" w:fill="auto"/>
            <w:noWrap/>
            <w:vAlign w:val="center"/>
            <w:hideMark/>
          </w:tcPr>
          <w:p w14:paraId="3CA9ED1A" w14:textId="77777777" w:rsidR="00BE6D69" w:rsidRPr="00366EFC" w:rsidRDefault="00BE6D69" w:rsidP="00BE6D69">
            <w:pPr>
              <w:jc w:val="center"/>
              <w:rPr>
                <w:rFonts w:ascii="Arial Narrow" w:hAnsi="Arial Narrow" w:cs="Arial"/>
                <w:spacing w:val="0"/>
                <w:sz w:val="15"/>
                <w:szCs w:val="15"/>
                <w:lang w:eastAsia="es-CO"/>
              </w:rPr>
            </w:pPr>
            <w:r w:rsidRPr="00366EFC">
              <w:rPr>
                <w:rFonts w:ascii="Arial Narrow" w:hAnsi="Arial Narrow" w:cs="Arial"/>
                <w:spacing w:val="0"/>
                <w:sz w:val="15"/>
                <w:szCs w:val="15"/>
                <w:lang w:val="en-US" w:eastAsia="es-CO"/>
              </w:rPr>
              <w:t>12</w:t>
            </w:r>
          </w:p>
        </w:tc>
        <w:tc>
          <w:tcPr>
            <w:tcW w:w="700" w:type="dxa"/>
            <w:tcBorders>
              <w:top w:val="nil"/>
              <w:left w:val="nil"/>
              <w:bottom w:val="nil"/>
              <w:right w:val="nil"/>
            </w:tcBorders>
            <w:shd w:val="clear" w:color="auto" w:fill="auto"/>
            <w:noWrap/>
            <w:vAlign w:val="center"/>
            <w:hideMark/>
          </w:tcPr>
          <w:p w14:paraId="5DF9DECD" w14:textId="77777777" w:rsidR="00BE6D69" w:rsidRPr="00366EFC" w:rsidRDefault="00BE6D69" w:rsidP="00BE6D69">
            <w:pPr>
              <w:jc w:val="center"/>
              <w:rPr>
                <w:rFonts w:ascii="Arial Narrow" w:hAnsi="Arial Narrow" w:cs="Arial"/>
                <w:spacing w:val="0"/>
                <w:sz w:val="15"/>
                <w:szCs w:val="15"/>
                <w:lang w:eastAsia="es-CO"/>
              </w:rPr>
            </w:pPr>
            <w:r w:rsidRPr="00366EFC">
              <w:rPr>
                <w:rFonts w:ascii="Arial Narrow" w:hAnsi="Arial Narrow" w:cs="Arial"/>
                <w:spacing w:val="0"/>
                <w:sz w:val="15"/>
                <w:szCs w:val="15"/>
                <w:lang w:val="en-US" w:eastAsia="es-CO"/>
              </w:rPr>
              <w:t>E3</w:t>
            </w:r>
          </w:p>
        </w:tc>
        <w:tc>
          <w:tcPr>
            <w:tcW w:w="760" w:type="dxa"/>
            <w:tcBorders>
              <w:top w:val="nil"/>
              <w:left w:val="nil"/>
              <w:bottom w:val="nil"/>
              <w:right w:val="nil"/>
            </w:tcBorders>
            <w:shd w:val="clear" w:color="000000" w:fill="E2EFDA"/>
            <w:noWrap/>
            <w:vAlign w:val="center"/>
            <w:hideMark/>
          </w:tcPr>
          <w:p w14:paraId="55E54EF0" w14:textId="77777777" w:rsidR="00BE6D69" w:rsidRPr="00366EFC" w:rsidRDefault="00BE6D69" w:rsidP="00BE6D69">
            <w:pPr>
              <w:jc w:val="right"/>
              <w:rPr>
                <w:rFonts w:ascii="Arial Narrow" w:hAnsi="Arial Narrow" w:cs="Arial"/>
                <w:spacing w:val="0"/>
                <w:sz w:val="15"/>
                <w:szCs w:val="15"/>
                <w:lang w:eastAsia="es-CO"/>
              </w:rPr>
            </w:pPr>
            <w:r w:rsidRPr="00366EFC">
              <w:rPr>
                <w:rFonts w:ascii="Arial Narrow" w:hAnsi="Arial Narrow" w:cs="Arial"/>
                <w:spacing w:val="0"/>
                <w:sz w:val="15"/>
                <w:szCs w:val="15"/>
                <w:lang w:val="en-US" w:eastAsia="es-CO"/>
              </w:rPr>
              <w:t> </w:t>
            </w:r>
          </w:p>
        </w:tc>
        <w:tc>
          <w:tcPr>
            <w:tcW w:w="2540" w:type="dxa"/>
            <w:tcBorders>
              <w:top w:val="nil"/>
              <w:left w:val="nil"/>
              <w:bottom w:val="nil"/>
              <w:right w:val="nil"/>
            </w:tcBorders>
            <w:shd w:val="clear" w:color="auto" w:fill="auto"/>
            <w:vAlign w:val="center"/>
            <w:hideMark/>
          </w:tcPr>
          <w:p w14:paraId="59123FAD" w14:textId="77777777" w:rsidR="00BE6D69" w:rsidRPr="00366EFC" w:rsidRDefault="00BE6D69" w:rsidP="00BE6D69">
            <w:pPr>
              <w:rPr>
                <w:rFonts w:ascii="Arial Narrow" w:hAnsi="Arial Narrow" w:cs="Arial"/>
                <w:spacing w:val="0"/>
                <w:sz w:val="15"/>
                <w:szCs w:val="15"/>
                <w:lang w:eastAsia="es-CO"/>
              </w:rPr>
            </w:pPr>
            <w:proofErr w:type="spellStart"/>
            <w:r w:rsidRPr="00366EFC">
              <w:rPr>
                <w:rFonts w:ascii="Arial Narrow" w:hAnsi="Arial Narrow" w:cs="Arial"/>
                <w:spacing w:val="0"/>
                <w:sz w:val="15"/>
                <w:szCs w:val="15"/>
                <w:lang w:val="en-US" w:eastAsia="es-CO"/>
              </w:rPr>
              <w:t>Diversas</w:t>
            </w:r>
            <w:proofErr w:type="spellEnd"/>
          </w:p>
        </w:tc>
        <w:tc>
          <w:tcPr>
            <w:tcW w:w="700" w:type="dxa"/>
            <w:tcBorders>
              <w:top w:val="nil"/>
              <w:left w:val="nil"/>
              <w:bottom w:val="nil"/>
              <w:right w:val="nil"/>
            </w:tcBorders>
            <w:shd w:val="clear" w:color="auto" w:fill="auto"/>
            <w:noWrap/>
            <w:vAlign w:val="center"/>
            <w:hideMark/>
          </w:tcPr>
          <w:p w14:paraId="2C21BEAB" w14:textId="77777777" w:rsidR="00BE6D69" w:rsidRPr="00366EFC" w:rsidRDefault="00BE6D69" w:rsidP="00BE6D69">
            <w:pPr>
              <w:jc w:val="center"/>
              <w:rPr>
                <w:rFonts w:ascii="Arial Narrow" w:hAnsi="Arial Narrow" w:cs="Arial"/>
                <w:b/>
                <w:bCs/>
                <w:spacing w:val="0"/>
                <w:sz w:val="15"/>
                <w:szCs w:val="15"/>
                <w:lang w:eastAsia="es-CO"/>
              </w:rPr>
            </w:pPr>
            <w:r w:rsidRPr="00366EFC">
              <w:rPr>
                <w:rFonts w:ascii="Arial Narrow" w:hAnsi="Arial Narrow" w:cs="Arial"/>
                <w:b/>
                <w:bCs/>
                <w:spacing w:val="0"/>
                <w:sz w:val="15"/>
                <w:szCs w:val="15"/>
                <w:lang w:val="en-US" w:eastAsia="es-CO"/>
              </w:rPr>
              <w:t>COL$</w:t>
            </w:r>
          </w:p>
        </w:tc>
        <w:tc>
          <w:tcPr>
            <w:tcW w:w="1600" w:type="dxa"/>
            <w:tcBorders>
              <w:top w:val="nil"/>
              <w:left w:val="nil"/>
              <w:bottom w:val="nil"/>
              <w:right w:val="nil"/>
            </w:tcBorders>
            <w:shd w:val="clear" w:color="auto" w:fill="auto"/>
            <w:vAlign w:val="center"/>
            <w:hideMark/>
          </w:tcPr>
          <w:p w14:paraId="259C7266" w14:textId="77777777" w:rsidR="00BE6D69" w:rsidRPr="00366EFC" w:rsidRDefault="00BE6D69" w:rsidP="00BE6D69">
            <w:pPr>
              <w:jc w:val="center"/>
              <w:rPr>
                <w:rFonts w:ascii="Arial Narrow" w:hAnsi="Arial Narrow" w:cs="Arial"/>
                <w:b/>
                <w:bCs/>
                <w:spacing w:val="0"/>
                <w:sz w:val="15"/>
                <w:szCs w:val="15"/>
                <w:lang w:eastAsia="es-CO"/>
              </w:rPr>
            </w:pPr>
          </w:p>
        </w:tc>
        <w:tc>
          <w:tcPr>
            <w:tcW w:w="940" w:type="dxa"/>
            <w:tcBorders>
              <w:top w:val="nil"/>
              <w:left w:val="nil"/>
              <w:bottom w:val="single" w:sz="4" w:space="0" w:color="auto"/>
              <w:right w:val="nil"/>
            </w:tcBorders>
            <w:shd w:val="clear" w:color="000000" w:fill="E2EFDA"/>
            <w:noWrap/>
            <w:vAlign w:val="center"/>
            <w:hideMark/>
          </w:tcPr>
          <w:p w14:paraId="7DDD8972" w14:textId="77777777" w:rsidR="00BE6D69" w:rsidRPr="00366EFC" w:rsidRDefault="00BE6D69" w:rsidP="00BE6D69">
            <w:pPr>
              <w:jc w:val="right"/>
              <w:rPr>
                <w:rFonts w:ascii="Arial Narrow" w:hAnsi="Arial Narrow" w:cs="Arial"/>
                <w:spacing w:val="0"/>
                <w:sz w:val="15"/>
                <w:szCs w:val="15"/>
                <w:lang w:eastAsia="es-CO"/>
              </w:rPr>
            </w:pPr>
            <w:r w:rsidRPr="00366EFC">
              <w:rPr>
                <w:rFonts w:ascii="Arial Narrow" w:hAnsi="Arial Narrow" w:cs="Arial"/>
                <w:spacing w:val="0"/>
                <w:sz w:val="15"/>
                <w:szCs w:val="15"/>
                <w:lang w:val="en-US" w:eastAsia="es-CO"/>
              </w:rPr>
              <w:t>($ 2.000,00)</w:t>
            </w:r>
          </w:p>
        </w:tc>
        <w:tc>
          <w:tcPr>
            <w:tcW w:w="1300" w:type="dxa"/>
            <w:tcBorders>
              <w:top w:val="nil"/>
              <w:left w:val="nil"/>
              <w:bottom w:val="nil"/>
              <w:right w:val="nil"/>
            </w:tcBorders>
            <w:shd w:val="clear" w:color="auto" w:fill="auto"/>
            <w:noWrap/>
            <w:vAlign w:val="center"/>
            <w:hideMark/>
          </w:tcPr>
          <w:p w14:paraId="36EEC4D0" w14:textId="77777777" w:rsidR="00BE6D69" w:rsidRPr="00366EFC" w:rsidRDefault="00BE6D69" w:rsidP="00BE6D69">
            <w:pPr>
              <w:jc w:val="right"/>
              <w:rPr>
                <w:rFonts w:ascii="Arial Narrow" w:hAnsi="Arial Narrow" w:cs="Arial"/>
                <w:spacing w:val="0"/>
                <w:sz w:val="15"/>
                <w:szCs w:val="15"/>
                <w:lang w:eastAsia="es-CO"/>
              </w:rPr>
            </w:pPr>
          </w:p>
        </w:tc>
        <w:tc>
          <w:tcPr>
            <w:tcW w:w="1240" w:type="dxa"/>
            <w:tcBorders>
              <w:top w:val="nil"/>
              <w:left w:val="nil"/>
              <w:bottom w:val="nil"/>
              <w:right w:val="nil"/>
            </w:tcBorders>
            <w:shd w:val="clear" w:color="auto" w:fill="auto"/>
            <w:noWrap/>
            <w:vAlign w:val="center"/>
            <w:hideMark/>
          </w:tcPr>
          <w:p w14:paraId="010136B5" w14:textId="77777777" w:rsidR="00BE6D69" w:rsidRPr="00366EFC" w:rsidRDefault="00BE6D69" w:rsidP="00BE6D69">
            <w:pPr>
              <w:jc w:val="left"/>
              <w:rPr>
                <w:rFonts w:ascii="Times New Roman" w:hAnsi="Times New Roman"/>
                <w:spacing w:val="0"/>
                <w:lang w:eastAsia="es-CO"/>
              </w:rPr>
            </w:pPr>
          </w:p>
        </w:tc>
      </w:tr>
      <w:tr w:rsidR="00366EFC" w:rsidRPr="00366EFC" w14:paraId="391F58A1" w14:textId="77777777" w:rsidTr="00BE6D69">
        <w:trPr>
          <w:trHeight w:val="390"/>
        </w:trPr>
        <w:tc>
          <w:tcPr>
            <w:tcW w:w="480" w:type="dxa"/>
            <w:tcBorders>
              <w:top w:val="nil"/>
              <w:left w:val="nil"/>
              <w:bottom w:val="nil"/>
              <w:right w:val="nil"/>
            </w:tcBorders>
            <w:shd w:val="clear" w:color="auto" w:fill="auto"/>
            <w:noWrap/>
            <w:vAlign w:val="center"/>
            <w:hideMark/>
          </w:tcPr>
          <w:p w14:paraId="5C1DC5AE" w14:textId="77777777" w:rsidR="00BE6D69" w:rsidRPr="00366EFC" w:rsidRDefault="00BE6D69" w:rsidP="00BE6D69">
            <w:pPr>
              <w:jc w:val="center"/>
              <w:rPr>
                <w:rFonts w:ascii="Arial Narrow" w:hAnsi="Arial Narrow" w:cs="Arial"/>
                <w:spacing w:val="0"/>
                <w:sz w:val="15"/>
                <w:szCs w:val="15"/>
                <w:lang w:eastAsia="es-CO"/>
              </w:rPr>
            </w:pPr>
            <w:r w:rsidRPr="00366EFC">
              <w:rPr>
                <w:rFonts w:ascii="Arial Narrow" w:hAnsi="Arial Narrow" w:cs="Arial"/>
                <w:spacing w:val="0"/>
                <w:sz w:val="15"/>
                <w:szCs w:val="15"/>
                <w:lang w:val="en-US" w:eastAsia="es-CO"/>
              </w:rPr>
              <w:t>13</w:t>
            </w:r>
          </w:p>
        </w:tc>
        <w:tc>
          <w:tcPr>
            <w:tcW w:w="700" w:type="dxa"/>
            <w:tcBorders>
              <w:top w:val="nil"/>
              <w:left w:val="nil"/>
              <w:bottom w:val="nil"/>
              <w:right w:val="nil"/>
            </w:tcBorders>
            <w:shd w:val="clear" w:color="auto" w:fill="auto"/>
            <w:noWrap/>
            <w:vAlign w:val="center"/>
            <w:hideMark/>
          </w:tcPr>
          <w:p w14:paraId="7D3596CF" w14:textId="77777777" w:rsidR="00BE6D69" w:rsidRPr="00366EFC" w:rsidRDefault="00BE6D69" w:rsidP="00BE6D69">
            <w:pPr>
              <w:jc w:val="center"/>
              <w:rPr>
                <w:rFonts w:ascii="Arial Narrow" w:hAnsi="Arial Narrow" w:cs="Arial"/>
                <w:b/>
                <w:bCs/>
                <w:spacing w:val="0"/>
                <w:sz w:val="15"/>
                <w:szCs w:val="15"/>
                <w:lang w:eastAsia="es-CO"/>
              </w:rPr>
            </w:pPr>
            <w:r w:rsidRPr="00366EFC">
              <w:rPr>
                <w:rFonts w:ascii="Arial Narrow" w:hAnsi="Arial Narrow" w:cs="Arial"/>
                <w:b/>
                <w:bCs/>
                <w:spacing w:val="0"/>
                <w:sz w:val="15"/>
                <w:szCs w:val="15"/>
                <w:lang w:val="en-US" w:eastAsia="es-CO"/>
              </w:rPr>
              <w:t>F</w:t>
            </w:r>
          </w:p>
        </w:tc>
        <w:tc>
          <w:tcPr>
            <w:tcW w:w="760" w:type="dxa"/>
            <w:tcBorders>
              <w:top w:val="nil"/>
              <w:left w:val="nil"/>
              <w:bottom w:val="nil"/>
              <w:right w:val="nil"/>
            </w:tcBorders>
            <w:shd w:val="clear" w:color="000000" w:fill="E2EFDA"/>
            <w:noWrap/>
            <w:vAlign w:val="center"/>
            <w:hideMark/>
          </w:tcPr>
          <w:p w14:paraId="0BE78F9E" w14:textId="77777777" w:rsidR="00BE6D69" w:rsidRPr="00366EFC" w:rsidRDefault="00BE6D69" w:rsidP="00BE6D69">
            <w:pPr>
              <w:jc w:val="right"/>
              <w:rPr>
                <w:rFonts w:ascii="Arial Narrow" w:hAnsi="Arial Narrow" w:cs="Arial"/>
                <w:spacing w:val="0"/>
                <w:sz w:val="15"/>
                <w:szCs w:val="15"/>
                <w:lang w:eastAsia="es-CO"/>
              </w:rPr>
            </w:pPr>
            <w:r w:rsidRPr="00366EFC">
              <w:rPr>
                <w:rFonts w:ascii="Arial Narrow" w:hAnsi="Arial Narrow" w:cs="Arial"/>
                <w:spacing w:val="0"/>
                <w:sz w:val="15"/>
                <w:szCs w:val="15"/>
                <w:lang w:val="en-US" w:eastAsia="es-CO"/>
              </w:rPr>
              <w:t>Menos</w:t>
            </w:r>
          </w:p>
        </w:tc>
        <w:tc>
          <w:tcPr>
            <w:tcW w:w="2540" w:type="dxa"/>
            <w:tcBorders>
              <w:top w:val="nil"/>
              <w:left w:val="nil"/>
              <w:bottom w:val="nil"/>
              <w:right w:val="nil"/>
            </w:tcBorders>
            <w:shd w:val="clear" w:color="auto" w:fill="auto"/>
            <w:vAlign w:val="center"/>
            <w:hideMark/>
          </w:tcPr>
          <w:p w14:paraId="4D7D6329" w14:textId="77777777" w:rsidR="00BE6D69" w:rsidRPr="00366EFC" w:rsidRDefault="00BE6D69" w:rsidP="00BE6D69">
            <w:pPr>
              <w:rPr>
                <w:rFonts w:ascii="Arial Narrow" w:hAnsi="Arial Narrow" w:cs="Arial"/>
                <w:b/>
                <w:bCs/>
                <w:spacing w:val="0"/>
                <w:sz w:val="15"/>
                <w:szCs w:val="15"/>
                <w:lang w:eastAsia="es-CO"/>
              </w:rPr>
            </w:pPr>
            <w:proofErr w:type="spellStart"/>
            <w:r w:rsidRPr="00366EFC">
              <w:rPr>
                <w:rFonts w:ascii="Arial Narrow" w:hAnsi="Arial Narrow" w:cs="Arial"/>
                <w:b/>
                <w:bCs/>
                <w:spacing w:val="0"/>
                <w:sz w:val="15"/>
                <w:szCs w:val="15"/>
                <w:lang w:val="en-US" w:eastAsia="es-CO"/>
              </w:rPr>
              <w:t>Otros</w:t>
            </w:r>
            <w:proofErr w:type="spellEnd"/>
            <w:r w:rsidRPr="00366EFC">
              <w:rPr>
                <w:rFonts w:ascii="Arial Narrow" w:hAnsi="Arial Narrow" w:cs="Arial"/>
                <w:b/>
                <w:bCs/>
                <w:spacing w:val="0"/>
                <w:sz w:val="15"/>
                <w:szCs w:val="15"/>
                <w:lang w:val="en-US" w:eastAsia="es-CO"/>
              </w:rPr>
              <w:t xml:space="preserve"> </w:t>
            </w:r>
            <w:proofErr w:type="spellStart"/>
            <w:r w:rsidRPr="00366EFC">
              <w:rPr>
                <w:rFonts w:ascii="Arial Narrow" w:hAnsi="Arial Narrow" w:cs="Arial"/>
                <w:b/>
                <w:bCs/>
                <w:spacing w:val="0"/>
                <w:sz w:val="15"/>
                <w:szCs w:val="15"/>
                <w:lang w:val="en-US" w:eastAsia="es-CO"/>
              </w:rPr>
              <w:t>gastos</w:t>
            </w:r>
            <w:proofErr w:type="spellEnd"/>
          </w:p>
        </w:tc>
        <w:tc>
          <w:tcPr>
            <w:tcW w:w="700" w:type="dxa"/>
            <w:tcBorders>
              <w:top w:val="nil"/>
              <w:left w:val="nil"/>
              <w:bottom w:val="nil"/>
              <w:right w:val="nil"/>
            </w:tcBorders>
            <w:shd w:val="clear" w:color="auto" w:fill="auto"/>
            <w:noWrap/>
            <w:vAlign w:val="center"/>
            <w:hideMark/>
          </w:tcPr>
          <w:p w14:paraId="5E51EFAA" w14:textId="77777777" w:rsidR="00BE6D69" w:rsidRPr="00366EFC" w:rsidRDefault="00BE6D69" w:rsidP="00BE6D69">
            <w:pPr>
              <w:jc w:val="center"/>
              <w:rPr>
                <w:rFonts w:ascii="Arial Narrow" w:hAnsi="Arial Narrow" w:cs="Arial"/>
                <w:b/>
                <w:bCs/>
                <w:spacing w:val="0"/>
                <w:sz w:val="15"/>
                <w:szCs w:val="15"/>
                <w:lang w:eastAsia="es-CO"/>
              </w:rPr>
            </w:pPr>
            <w:r w:rsidRPr="00366EFC">
              <w:rPr>
                <w:rFonts w:ascii="Arial Narrow" w:hAnsi="Arial Narrow" w:cs="Arial"/>
                <w:b/>
                <w:bCs/>
                <w:spacing w:val="0"/>
                <w:sz w:val="15"/>
                <w:szCs w:val="15"/>
                <w:lang w:val="en-US" w:eastAsia="es-CO"/>
              </w:rPr>
              <w:t>COL$</w:t>
            </w:r>
          </w:p>
        </w:tc>
        <w:tc>
          <w:tcPr>
            <w:tcW w:w="1600" w:type="dxa"/>
            <w:tcBorders>
              <w:top w:val="nil"/>
              <w:left w:val="nil"/>
              <w:bottom w:val="nil"/>
              <w:right w:val="nil"/>
            </w:tcBorders>
            <w:shd w:val="clear" w:color="auto" w:fill="auto"/>
            <w:vAlign w:val="center"/>
            <w:hideMark/>
          </w:tcPr>
          <w:p w14:paraId="08642973" w14:textId="77777777" w:rsidR="00BE6D69" w:rsidRPr="00366EFC" w:rsidRDefault="00BE6D69" w:rsidP="00BE6D69">
            <w:pPr>
              <w:jc w:val="center"/>
              <w:rPr>
                <w:rFonts w:ascii="Arial Narrow" w:hAnsi="Arial Narrow" w:cs="Arial"/>
                <w:spacing w:val="0"/>
                <w:sz w:val="15"/>
                <w:szCs w:val="15"/>
                <w:lang w:eastAsia="es-CO"/>
              </w:rPr>
            </w:pPr>
            <w:proofErr w:type="spellStart"/>
            <w:r w:rsidRPr="00366EFC">
              <w:rPr>
                <w:rFonts w:ascii="Arial Narrow" w:hAnsi="Arial Narrow" w:cs="Arial"/>
                <w:spacing w:val="0"/>
                <w:sz w:val="15"/>
                <w:szCs w:val="15"/>
                <w:lang w:val="en-US" w:eastAsia="es-CO"/>
              </w:rPr>
              <w:t>suma</w:t>
            </w:r>
            <w:proofErr w:type="spellEnd"/>
            <w:r w:rsidRPr="00366EFC">
              <w:rPr>
                <w:rFonts w:ascii="Arial Narrow" w:hAnsi="Arial Narrow" w:cs="Arial"/>
                <w:spacing w:val="0"/>
                <w:sz w:val="15"/>
                <w:szCs w:val="15"/>
                <w:lang w:val="en-US" w:eastAsia="es-CO"/>
              </w:rPr>
              <w:t xml:space="preserve"> ITEM</w:t>
            </w:r>
            <w:r w:rsidRPr="00366EFC">
              <w:rPr>
                <w:rFonts w:ascii="Arial Narrow" w:hAnsi="Arial Narrow" w:cs="Arial"/>
                <w:spacing w:val="0"/>
                <w:sz w:val="15"/>
                <w:szCs w:val="15"/>
                <w:lang w:val="en-US" w:eastAsia="es-CO"/>
              </w:rPr>
              <w:br/>
              <w:t>14 al 19</w:t>
            </w:r>
          </w:p>
        </w:tc>
        <w:tc>
          <w:tcPr>
            <w:tcW w:w="940" w:type="dxa"/>
            <w:tcBorders>
              <w:top w:val="nil"/>
              <w:left w:val="nil"/>
              <w:bottom w:val="nil"/>
              <w:right w:val="nil"/>
            </w:tcBorders>
            <w:shd w:val="clear" w:color="auto" w:fill="auto"/>
            <w:noWrap/>
            <w:vAlign w:val="center"/>
            <w:hideMark/>
          </w:tcPr>
          <w:p w14:paraId="0596C858" w14:textId="77777777" w:rsidR="00BE6D69" w:rsidRPr="00366EFC" w:rsidRDefault="00BE6D69" w:rsidP="00BE6D69">
            <w:pPr>
              <w:jc w:val="center"/>
              <w:rPr>
                <w:rFonts w:ascii="Arial Narrow" w:hAnsi="Arial Narrow" w:cs="Arial"/>
                <w:spacing w:val="0"/>
                <w:sz w:val="15"/>
                <w:szCs w:val="15"/>
                <w:lang w:eastAsia="es-CO"/>
              </w:rPr>
            </w:pPr>
          </w:p>
        </w:tc>
        <w:tc>
          <w:tcPr>
            <w:tcW w:w="1300" w:type="dxa"/>
            <w:tcBorders>
              <w:top w:val="nil"/>
              <w:left w:val="nil"/>
              <w:bottom w:val="single" w:sz="4" w:space="0" w:color="auto"/>
              <w:right w:val="nil"/>
            </w:tcBorders>
            <w:shd w:val="clear" w:color="000000" w:fill="E2EFDA"/>
            <w:noWrap/>
            <w:vAlign w:val="center"/>
            <w:hideMark/>
          </w:tcPr>
          <w:p w14:paraId="049087DA" w14:textId="77777777" w:rsidR="00BE6D69" w:rsidRPr="00366EFC" w:rsidRDefault="00BE6D69" w:rsidP="00BE6D69">
            <w:pPr>
              <w:jc w:val="right"/>
              <w:rPr>
                <w:rFonts w:ascii="Arial Narrow" w:hAnsi="Arial Narrow" w:cs="Arial"/>
                <w:b/>
                <w:bCs/>
                <w:spacing w:val="0"/>
                <w:sz w:val="15"/>
                <w:szCs w:val="15"/>
                <w:lang w:eastAsia="es-CO"/>
              </w:rPr>
            </w:pPr>
            <w:r w:rsidRPr="00366EFC">
              <w:rPr>
                <w:rFonts w:ascii="Arial Narrow" w:hAnsi="Arial Narrow" w:cs="Arial"/>
                <w:b/>
                <w:bCs/>
                <w:spacing w:val="0"/>
                <w:sz w:val="15"/>
                <w:szCs w:val="15"/>
                <w:lang w:val="en-US" w:eastAsia="es-CO"/>
              </w:rPr>
              <w:t>($ 15.000,00)</w:t>
            </w:r>
          </w:p>
        </w:tc>
        <w:tc>
          <w:tcPr>
            <w:tcW w:w="1240" w:type="dxa"/>
            <w:tcBorders>
              <w:top w:val="nil"/>
              <w:left w:val="nil"/>
              <w:bottom w:val="nil"/>
              <w:right w:val="nil"/>
            </w:tcBorders>
            <w:shd w:val="clear" w:color="auto" w:fill="auto"/>
            <w:noWrap/>
            <w:vAlign w:val="center"/>
            <w:hideMark/>
          </w:tcPr>
          <w:p w14:paraId="37B86C4B" w14:textId="77777777" w:rsidR="00BE6D69" w:rsidRPr="00366EFC" w:rsidRDefault="00BE6D69" w:rsidP="00BE6D69">
            <w:pPr>
              <w:jc w:val="right"/>
              <w:rPr>
                <w:rFonts w:ascii="Arial Narrow" w:hAnsi="Arial Narrow" w:cs="Arial"/>
                <w:b/>
                <w:bCs/>
                <w:spacing w:val="0"/>
                <w:sz w:val="15"/>
                <w:szCs w:val="15"/>
                <w:lang w:eastAsia="es-CO"/>
              </w:rPr>
            </w:pPr>
            <w:r w:rsidRPr="00366EFC">
              <w:rPr>
                <w:rFonts w:ascii="Arial Narrow" w:hAnsi="Arial Narrow" w:cs="Arial"/>
                <w:b/>
                <w:bCs/>
                <w:spacing w:val="0"/>
                <w:sz w:val="15"/>
                <w:szCs w:val="15"/>
                <w:lang w:val="en-US" w:eastAsia="es-CO"/>
              </w:rPr>
              <w:t>($ 15.000,00)</w:t>
            </w:r>
          </w:p>
        </w:tc>
      </w:tr>
      <w:tr w:rsidR="00366EFC" w:rsidRPr="00366EFC" w14:paraId="04246ABD" w14:textId="77777777" w:rsidTr="00BE6D69">
        <w:trPr>
          <w:trHeight w:val="255"/>
        </w:trPr>
        <w:tc>
          <w:tcPr>
            <w:tcW w:w="480" w:type="dxa"/>
            <w:tcBorders>
              <w:top w:val="nil"/>
              <w:left w:val="nil"/>
              <w:bottom w:val="nil"/>
              <w:right w:val="nil"/>
            </w:tcBorders>
            <w:shd w:val="clear" w:color="auto" w:fill="auto"/>
            <w:noWrap/>
            <w:vAlign w:val="center"/>
            <w:hideMark/>
          </w:tcPr>
          <w:p w14:paraId="0297FB19" w14:textId="77777777" w:rsidR="00BE6D69" w:rsidRPr="00366EFC" w:rsidRDefault="00BE6D69" w:rsidP="00BE6D69">
            <w:pPr>
              <w:jc w:val="center"/>
              <w:rPr>
                <w:rFonts w:ascii="Arial Narrow" w:hAnsi="Arial Narrow" w:cs="Arial"/>
                <w:spacing w:val="0"/>
                <w:sz w:val="15"/>
                <w:szCs w:val="15"/>
                <w:lang w:eastAsia="es-CO"/>
              </w:rPr>
            </w:pPr>
            <w:r w:rsidRPr="00366EFC">
              <w:rPr>
                <w:rFonts w:ascii="Arial Narrow" w:hAnsi="Arial Narrow" w:cs="Arial"/>
                <w:spacing w:val="0"/>
                <w:sz w:val="15"/>
                <w:szCs w:val="15"/>
                <w:lang w:val="en-US" w:eastAsia="es-CO"/>
              </w:rPr>
              <w:t>14</w:t>
            </w:r>
          </w:p>
        </w:tc>
        <w:tc>
          <w:tcPr>
            <w:tcW w:w="700" w:type="dxa"/>
            <w:tcBorders>
              <w:top w:val="nil"/>
              <w:left w:val="nil"/>
              <w:bottom w:val="nil"/>
              <w:right w:val="nil"/>
            </w:tcBorders>
            <w:shd w:val="clear" w:color="auto" w:fill="auto"/>
            <w:noWrap/>
            <w:vAlign w:val="center"/>
            <w:hideMark/>
          </w:tcPr>
          <w:p w14:paraId="1B88A30F" w14:textId="77777777" w:rsidR="00BE6D69" w:rsidRPr="00366EFC" w:rsidRDefault="00BE6D69" w:rsidP="00BE6D69">
            <w:pPr>
              <w:jc w:val="center"/>
              <w:rPr>
                <w:rFonts w:ascii="Arial Narrow" w:hAnsi="Arial Narrow" w:cs="Arial"/>
                <w:spacing w:val="0"/>
                <w:sz w:val="15"/>
                <w:szCs w:val="15"/>
                <w:lang w:eastAsia="es-CO"/>
              </w:rPr>
            </w:pPr>
            <w:r w:rsidRPr="00366EFC">
              <w:rPr>
                <w:rFonts w:ascii="Arial Narrow" w:hAnsi="Arial Narrow" w:cs="Arial"/>
                <w:spacing w:val="0"/>
                <w:sz w:val="15"/>
                <w:szCs w:val="15"/>
                <w:lang w:val="en-US" w:eastAsia="es-CO"/>
              </w:rPr>
              <w:t>F1</w:t>
            </w:r>
          </w:p>
        </w:tc>
        <w:tc>
          <w:tcPr>
            <w:tcW w:w="760" w:type="dxa"/>
            <w:tcBorders>
              <w:top w:val="nil"/>
              <w:left w:val="nil"/>
              <w:bottom w:val="nil"/>
              <w:right w:val="nil"/>
            </w:tcBorders>
            <w:shd w:val="clear" w:color="000000" w:fill="E2EFDA"/>
            <w:noWrap/>
            <w:vAlign w:val="center"/>
            <w:hideMark/>
          </w:tcPr>
          <w:p w14:paraId="63E43A09" w14:textId="77777777" w:rsidR="00BE6D69" w:rsidRPr="00366EFC" w:rsidRDefault="00BE6D69" w:rsidP="00BE6D69">
            <w:pPr>
              <w:jc w:val="right"/>
              <w:rPr>
                <w:rFonts w:ascii="Arial Narrow" w:hAnsi="Arial Narrow" w:cs="Arial"/>
                <w:spacing w:val="0"/>
                <w:sz w:val="15"/>
                <w:szCs w:val="15"/>
                <w:lang w:eastAsia="es-CO"/>
              </w:rPr>
            </w:pPr>
            <w:r w:rsidRPr="00366EFC">
              <w:rPr>
                <w:rFonts w:ascii="Arial Narrow" w:hAnsi="Arial Narrow" w:cs="Arial"/>
                <w:spacing w:val="0"/>
                <w:sz w:val="15"/>
                <w:szCs w:val="15"/>
                <w:lang w:val="en-US" w:eastAsia="es-CO"/>
              </w:rPr>
              <w:t> </w:t>
            </w:r>
          </w:p>
        </w:tc>
        <w:tc>
          <w:tcPr>
            <w:tcW w:w="2540" w:type="dxa"/>
            <w:tcBorders>
              <w:top w:val="nil"/>
              <w:left w:val="nil"/>
              <w:bottom w:val="nil"/>
              <w:right w:val="nil"/>
            </w:tcBorders>
            <w:shd w:val="clear" w:color="auto" w:fill="auto"/>
            <w:vAlign w:val="center"/>
            <w:hideMark/>
          </w:tcPr>
          <w:p w14:paraId="459355F8" w14:textId="77777777" w:rsidR="00BE6D69" w:rsidRPr="00366EFC" w:rsidRDefault="00BE6D69" w:rsidP="00BE6D69">
            <w:pPr>
              <w:rPr>
                <w:rFonts w:ascii="Arial Narrow" w:hAnsi="Arial Narrow" w:cs="Arial"/>
                <w:spacing w:val="0"/>
                <w:sz w:val="15"/>
                <w:szCs w:val="15"/>
                <w:lang w:eastAsia="es-CO"/>
              </w:rPr>
            </w:pPr>
            <w:proofErr w:type="spellStart"/>
            <w:r w:rsidRPr="00366EFC">
              <w:rPr>
                <w:rFonts w:ascii="Arial Narrow" w:hAnsi="Arial Narrow" w:cs="Arial"/>
                <w:spacing w:val="0"/>
                <w:sz w:val="15"/>
                <w:szCs w:val="15"/>
                <w:lang w:val="en-US" w:eastAsia="es-CO"/>
              </w:rPr>
              <w:t>Comisiones</w:t>
            </w:r>
            <w:proofErr w:type="spellEnd"/>
          </w:p>
        </w:tc>
        <w:tc>
          <w:tcPr>
            <w:tcW w:w="700" w:type="dxa"/>
            <w:tcBorders>
              <w:top w:val="nil"/>
              <w:left w:val="nil"/>
              <w:bottom w:val="nil"/>
              <w:right w:val="nil"/>
            </w:tcBorders>
            <w:shd w:val="clear" w:color="auto" w:fill="auto"/>
            <w:noWrap/>
            <w:vAlign w:val="center"/>
            <w:hideMark/>
          </w:tcPr>
          <w:p w14:paraId="4055D7BF" w14:textId="77777777" w:rsidR="00BE6D69" w:rsidRPr="00366EFC" w:rsidRDefault="00BE6D69" w:rsidP="00BE6D69">
            <w:pPr>
              <w:jc w:val="center"/>
              <w:rPr>
                <w:rFonts w:ascii="Arial Narrow" w:hAnsi="Arial Narrow" w:cs="Arial"/>
                <w:b/>
                <w:bCs/>
                <w:spacing w:val="0"/>
                <w:sz w:val="15"/>
                <w:szCs w:val="15"/>
                <w:lang w:eastAsia="es-CO"/>
              </w:rPr>
            </w:pPr>
            <w:r w:rsidRPr="00366EFC">
              <w:rPr>
                <w:rFonts w:ascii="Arial Narrow" w:hAnsi="Arial Narrow" w:cs="Arial"/>
                <w:b/>
                <w:bCs/>
                <w:spacing w:val="0"/>
                <w:sz w:val="15"/>
                <w:szCs w:val="15"/>
                <w:lang w:val="en-US" w:eastAsia="es-CO"/>
              </w:rPr>
              <w:t>COL$</w:t>
            </w:r>
          </w:p>
        </w:tc>
        <w:tc>
          <w:tcPr>
            <w:tcW w:w="1600" w:type="dxa"/>
            <w:tcBorders>
              <w:top w:val="nil"/>
              <w:left w:val="nil"/>
              <w:bottom w:val="nil"/>
              <w:right w:val="nil"/>
            </w:tcBorders>
            <w:shd w:val="clear" w:color="auto" w:fill="auto"/>
            <w:vAlign w:val="center"/>
            <w:hideMark/>
          </w:tcPr>
          <w:p w14:paraId="38428D42" w14:textId="77777777" w:rsidR="00BE6D69" w:rsidRPr="00366EFC" w:rsidRDefault="00BE6D69" w:rsidP="00BE6D69">
            <w:pPr>
              <w:jc w:val="center"/>
              <w:rPr>
                <w:rFonts w:ascii="Arial Narrow" w:hAnsi="Arial Narrow" w:cs="Arial"/>
                <w:b/>
                <w:bCs/>
                <w:spacing w:val="0"/>
                <w:sz w:val="15"/>
                <w:szCs w:val="15"/>
                <w:lang w:eastAsia="es-CO"/>
              </w:rPr>
            </w:pPr>
          </w:p>
        </w:tc>
        <w:tc>
          <w:tcPr>
            <w:tcW w:w="940" w:type="dxa"/>
            <w:tcBorders>
              <w:top w:val="nil"/>
              <w:left w:val="nil"/>
              <w:bottom w:val="nil"/>
              <w:right w:val="nil"/>
            </w:tcBorders>
            <w:shd w:val="clear" w:color="000000" w:fill="E2EFDA"/>
            <w:noWrap/>
            <w:vAlign w:val="center"/>
            <w:hideMark/>
          </w:tcPr>
          <w:p w14:paraId="6C31F2C4" w14:textId="77777777" w:rsidR="00BE6D69" w:rsidRPr="00366EFC" w:rsidRDefault="00BE6D69" w:rsidP="00BE6D69">
            <w:pPr>
              <w:jc w:val="right"/>
              <w:rPr>
                <w:rFonts w:ascii="Arial Narrow" w:hAnsi="Arial Narrow" w:cs="Arial"/>
                <w:spacing w:val="0"/>
                <w:sz w:val="15"/>
                <w:szCs w:val="15"/>
                <w:lang w:eastAsia="es-CO"/>
              </w:rPr>
            </w:pPr>
            <w:r w:rsidRPr="00366EFC">
              <w:rPr>
                <w:rFonts w:ascii="Arial Narrow" w:hAnsi="Arial Narrow" w:cs="Arial"/>
                <w:spacing w:val="0"/>
                <w:sz w:val="15"/>
                <w:szCs w:val="15"/>
                <w:lang w:val="en-US" w:eastAsia="es-CO"/>
              </w:rPr>
              <w:t>($ 1.000,00)</w:t>
            </w:r>
          </w:p>
        </w:tc>
        <w:tc>
          <w:tcPr>
            <w:tcW w:w="1300" w:type="dxa"/>
            <w:tcBorders>
              <w:top w:val="nil"/>
              <w:left w:val="nil"/>
              <w:bottom w:val="nil"/>
              <w:right w:val="nil"/>
            </w:tcBorders>
            <w:shd w:val="clear" w:color="auto" w:fill="auto"/>
            <w:noWrap/>
            <w:vAlign w:val="center"/>
            <w:hideMark/>
          </w:tcPr>
          <w:p w14:paraId="533B4895" w14:textId="77777777" w:rsidR="00BE6D69" w:rsidRPr="00366EFC" w:rsidRDefault="00BE6D69" w:rsidP="00BE6D69">
            <w:pPr>
              <w:jc w:val="right"/>
              <w:rPr>
                <w:rFonts w:ascii="Arial Narrow" w:hAnsi="Arial Narrow" w:cs="Arial"/>
                <w:spacing w:val="0"/>
                <w:sz w:val="15"/>
                <w:szCs w:val="15"/>
                <w:lang w:eastAsia="es-CO"/>
              </w:rPr>
            </w:pPr>
          </w:p>
        </w:tc>
        <w:tc>
          <w:tcPr>
            <w:tcW w:w="1240" w:type="dxa"/>
            <w:tcBorders>
              <w:top w:val="nil"/>
              <w:left w:val="nil"/>
              <w:bottom w:val="nil"/>
              <w:right w:val="nil"/>
            </w:tcBorders>
            <w:shd w:val="clear" w:color="auto" w:fill="auto"/>
            <w:noWrap/>
            <w:vAlign w:val="center"/>
            <w:hideMark/>
          </w:tcPr>
          <w:p w14:paraId="245C4DE1" w14:textId="77777777" w:rsidR="00BE6D69" w:rsidRPr="00366EFC" w:rsidRDefault="00BE6D69" w:rsidP="00BE6D69">
            <w:pPr>
              <w:jc w:val="left"/>
              <w:rPr>
                <w:rFonts w:ascii="Times New Roman" w:hAnsi="Times New Roman"/>
                <w:spacing w:val="0"/>
                <w:lang w:eastAsia="es-CO"/>
              </w:rPr>
            </w:pPr>
          </w:p>
        </w:tc>
      </w:tr>
      <w:tr w:rsidR="00366EFC" w:rsidRPr="00366EFC" w14:paraId="3ECBD9EE" w14:textId="77777777" w:rsidTr="00BE6D69">
        <w:trPr>
          <w:trHeight w:val="255"/>
        </w:trPr>
        <w:tc>
          <w:tcPr>
            <w:tcW w:w="480" w:type="dxa"/>
            <w:tcBorders>
              <w:top w:val="nil"/>
              <w:left w:val="nil"/>
              <w:bottom w:val="nil"/>
              <w:right w:val="nil"/>
            </w:tcBorders>
            <w:shd w:val="clear" w:color="auto" w:fill="auto"/>
            <w:noWrap/>
            <w:vAlign w:val="center"/>
            <w:hideMark/>
          </w:tcPr>
          <w:p w14:paraId="041F7868" w14:textId="77777777" w:rsidR="00BE6D69" w:rsidRPr="00366EFC" w:rsidRDefault="00BE6D69" w:rsidP="00BE6D69">
            <w:pPr>
              <w:jc w:val="center"/>
              <w:rPr>
                <w:rFonts w:ascii="Arial Narrow" w:hAnsi="Arial Narrow" w:cs="Arial"/>
                <w:spacing w:val="0"/>
                <w:sz w:val="15"/>
                <w:szCs w:val="15"/>
                <w:lang w:eastAsia="es-CO"/>
              </w:rPr>
            </w:pPr>
            <w:r w:rsidRPr="00366EFC">
              <w:rPr>
                <w:rFonts w:ascii="Arial Narrow" w:hAnsi="Arial Narrow" w:cs="Arial"/>
                <w:spacing w:val="0"/>
                <w:sz w:val="15"/>
                <w:szCs w:val="15"/>
                <w:lang w:val="en-US" w:eastAsia="es-CO"/>
              </w:rPr>
              <w:t>15</w:t>
            </w:r>
          </w:p>
        </w:tc>
        <w:tc>
          <w:tcPr>
            <w:tcW w:w="700" w:type="dxa"/>
            <w:tcBorders>
              <w:top w:val="nil"/>
              <w:left w:val="nil"/>
              <w:bottom w:val="nil"/>
              <w:right w:val="nil"/>
            </w:tcBorders>
            <w:shd w:val="clear" w:color="auto" w:fill="auto"/>
            <w:noWrap/>
            <w:vAlign w:val="center"/>
            <w:hideMark/>
          </w:tcPr>
          <w:p w14:paraId="465AD38C" w14:textId="77777777" w:rsidR="00BE6D69" w:rsidRPr="00366EFC" w:rsidRDefault="00BE6D69" w:rsidP="00BE6D69">
            <w:pPr>
              <w:jc w:val="center"/>
              <w:rPr>
                <w:rFonts w:ascii="Arial Narrow" w:hAnsi="Arial Narrow" w:cs="Arial"/>
                <w:spacing w:val="0"/>
                <w:sz w:val="15"/>
                <w:szCs w:val="15"/>
                <w:lang w:eastAsia="es-CO"/>
              </w:rPr>
            </w:pPr>
            <w:r w:rsidRPr="00366EFC">
              <w:rPr>
                <w:rFonts w:ascii="Arial Narrow" w:hAnsi="Arial Narrow" w:cs="Arial"/>
                <w:spacing w:val="0"/>
                <w:sz w:val="15"/>
                <w:szCs w:val="15"/>
                <w:lang w:val="en-US" w:eastAsia="es-CO"/>
              </w:rPr>
              <w:t>F2</w:t>
            </w:r>
          </w:p>
        </w:tc>
        <w:tc>
          <w:tcPr>
            <w:tcW w:w="760" w:type="dxa"/>
            <w:tcBorders>
              <w:top w:val="nil"/>
              <w:left w:val="nil"/>
              <w:bottom w:val="nil"/>
              <w:right w:val="nil"/>
            </w:tcBorders>
            <w:shd w:val="clear" w:color="000000" w:fill="E2EFDA"/>
            <w:noWrap/>
            <w:vAlign w:val="center"/>
            <w:hideMark/>
          </w:tcPr>
          <w:p w14:paraId="25726A51" w14:textId="77777777" w:rsidR="00BE6D69" w:rsidRPr="00366EFC" w:rsidRDefault="00BE6D69" w:rsidP="00BE6D69">
            <w:pPr>
              <w:jc w:val="right"/>
              <w:rPr>
                <w:rFonts w:ascii="Arial Narrow" w:hAnsi="Arial Narrow" w:cs="Arial"/>
                <w:spacing w:val="0"/>
                <w:sz w:val="15"/>
                <w:szCs w:val="15"/>
                <w:lang w:eastAsia="es-CO"/>
              </w:rPr>
            </w:pPr>
            <w:r w:rsidRPr="00366EFC">
              <w:rPr>
                <w:rFonts w:ascii="Arial Narrow" w:hAnsi="Arial Narrow" w:cs="Arial"/>
                <w:spacing w:val="0"/>
                <w:sz w:val="15"/>
                <w:szCs w:val="15"/>
                <w:lang w:val="en-US" w:eastAsia="es-CO"/>
              </w:rPr>
              <w:t> </w:t>
            </w:r>
          </w:p>
        </w:tc>
        <w:tc>
          <w:tcPr>
            <w:tcW w:w="2540" w:type="dxa"/>
            <w:tcBorders>
              <w:top w:val="nil"/>
              <w:left w:val="nil"/>
              <w:bottom w:val="nil"/>
              <w:right w:val="nil"/>
            </w:tcBorders>
            <w:shd w:val="clear" w:color="auto" w:fill="auto"/>
            <w:vAlign w:val="center"/>
            <w:hideMark/>
          </w:tcPr>
          <w:p w14:paraId="316571B4" w14:textId="77777777" w:rsidR="00BE6D69" w:rsidRPr="00366EFC" w:rsidRDefault="00BE6D69" w:rsidP="00BE6D69">
            <w:pPr>
              <w:rPr>
                <w:rFonts w:ascii="Arial Narrow" w:hAnsi="Arial Narrow" w:cs="Arial"/>
                <w:spacing w:val="0"/>
                <w:sz w:val="15"/>
                <w:szCs w:val="15"/>
                <w:lang w:eastAsia="es-CO"/>
              </w:rPr>
            </w:pPr>
            <w:proofErr w:type="spellStart"/>
            <w:r w:rsidRPr="00366EFC">
              <w:rPr>
                <w:rFonts w:ascii="Arial Narrow" w:hAnsi="Arial Narrow" w:cs="Arial"/>
                <w:spacing w:val="0"/>
                <w:sz w:val="15"/>
                <w:szCs w:val="15"/>
                <w:lang w:val="en-US" w:eastAsia="es-CO"/>
              </w:rPr>
              <w:t>Financieros</w:t>
            </w:r>
            <w:proofErr w:type="spellEnd"/>
          </w:p>
        </w:tc>
        <w:tc>
          <w:tcPr>
            <w:tcW w:w="700" w:type="dxa"/>
            <w:tcBorders>
              <w:top w:val="nil"/>
              <w:left w:val="nil"/>
              <w:bottom w:val="nil"/>
              <w:right w:val="nil"/>
            </w:tcBorders>
            <w:shd w:val="clear" w:color="auto" w:fill="auto"/>
            <w:noWrap/>
            <w:vAlign w:val="center"/>
            <w:hideMark/>
          </w:tcPr>
          <w:p w14:paraId="1BC7DCC9" w14:textId="77777777" w:rsidR="00BE6D69" w:rsidRPr="00366EFC" w:rsidRDefault="00BE6D69" w:rsidP="00BE6D69">
            <w:pPr>
              <w:jc w:val="center"/>
              <w:rPr>
                <w:rFonts w:ascii="Arial Narrow" w:hAnsi="Arial Narrow" w:cs="Arial"/>
                <w:b/>
                <w:bCs/>
                <w:spacing w:val="0"/>
                <w:sz w:val="15"/>
                <w:szCs w:val="15"/>
                <w:lang w:eastAsia="es-CO"/>
              </w:rPr>
            </w:pPr>
            <w:r w:rsidRPr="00366EFC">
              <w:rPr>
                <w:rFonts w:ascii="Arial Narrow" w:hAnsi="Arial Narrow" w:cs="Arial"/>
                <w:b/>
                <w:bCs/>
                <w:spacing w:val="0"/>
                <w:sz w:val="15"/>
                <w:szCs w:val="15"/>
                <w:lang w:val="en-US" w:eastAsia="es-CO"/>
              </w:rPr>
              <w:t>COL$</w:t>
            </w:r>
          </w:p>
        </w:tc>
        <w:tc>
          <w:tcPr>
            <w:tcW w:w="1600" w:type="dxa"/>
            <w:tcBorders>
              <w:top w:val="nil"/>
              <w:left w:val="nil"/>
              <w:bottom w:val="nil"/>
              <w:right w:val="nil"/>
            </w:tcBorders>
            <w:shd w:val="clear" w:color="auto" w:fill="auto"/>
            <w:vAlign w:val="center"/>
            <w:hideMark/>
          </w:tcPr>
          <w:p w14:paraId="5D6DCF0E" w14:textId="77777777" w:rsidR="00BE6D69" w:rsidRPr="00366EFC" w:rsidRDefault="00BE6D69" w:rsidP="00BE6D69">
            <w:pPr>
              <w:jc w:val="center"/>
              <w:rPr>
                <w:rFonts w:ascii="Arial Narrow" w:hAnsi="Arial Narrow" w:cs="Arial"/>
                <w:b/>
                <w:bCs/>
                <w:spacing w:val="0"/>
                <w:sz w:val="15"/>
                <w:szCs w:val="15"/>
                <w:lang w:eastAsia="es-CO"/>
              </w:rPr>
            </w:pPr>
          </w:p>
        </w:tc>
        <w:tc>
          <w:tcPr>
            <w:tcW w:w="940" w:type="dxa"/>
            <w:tcBorders>
              <w:top w:val="nil"/>
              <w:left w:val="nil"/>
              <w:bottom w:val="nil"/>
              <w:right w:val="nil"/>
            </w:tcBorders>
            <w:shd w:val="clear" w:color="000000" w:fill="E2EFDA"/>
            <w:noWrap/>
            <w:vAlign w:val="center"/>
            <w:hideMark/>
          </w:tcPr>
          <w:p w14:paraId="58AD233A" w14:textId="77777777" w:rsidR="00BE6D69" w:rsidRPr="00366EFC" w:rsidRDefault="00BE6D69" w:rsidP="00BE6D69">
            <w:pPr>
              <w:jc w:val="right"/>
              <w:rPr>
                <w:rFonts w:ascii="Arial Narrow" w:hAnsi="Arial Narrow" w:cs="Arial"/>
                <w:spacing w:val="0"/>
                <w:sz w:val="15"/>
                <w:szCs w:val="15"/>
                <w:lang w:eastAsia="es-CO"/>
              </w:rPr>
            </w:pPr>
            <w:r w:rsidRPr="00366EFC">
              <w:rPr>
                <w:rFonts w:ascii="Arial Narrow" w:hAnsi="Arial Narrow" w:cs="Arial"/>
                <w:spacing w:val="0"/>
                <w:sz w:val="15"/>
                <w:szCs w:val="15"/>
                <w:lang w:val="en-US" w:eastAsia="es-CO"/>
              </w:rPr>
              <w:t>($ 3.000,00)</w:t>
            </w:r>
          </w:p>
        </w:tc>
        <w:tc>
          <w:tcPr>
            <w:tcW w:w="1300" w:type="dxa"/>
            <w:tcBorders>
              <w:top w:val="nil"/>
              <w:left w:val="nil"/>
              <w:bottom w:val="nil"/>
              <w:right w:val="nil"/>
            </w:tcBorders>
            <w:shd w:val="clear" w:color="auto" w:fill="auto"/>
            <w:noWrap/>
            <w:vAlign w:val="center"/>
            <w:hideMark/>
          </w:tcPr>
          <w:p w14:paraId="052D4B6E" w14:textId="77777777" w:rsidR="00BE6D69" w:rsidRPr="00366EFC" w:rsidRDefault="00BE6D69" w:rsidP="00BE6D69">
            <w:pPr>
              <w:jc w:val="right"/>
              <w:rPr>
                <w:rFonts w:ascii="Arial Narrow" w:hAnsi="Arial Narrow" w:cs="Arial"/>
                <w:spacing w:val="0"/>
                <w:sz w:val="15"/>
                <w:szCs w:val="15"/>
                <w:lang w:eastAsia="es-CO"/>
              </w:rPr>
            </w:pPr>
          </w:p>
        </w:tc>
        <w:tc>
          <w:tcPr>
            <w:tcW w:w="1240" w:type="dxa"/>
            <w:tcBorders>
              <w:top w:val="nil"/>
              <w:left w:val="nil"/>
              <w:bottom w:val="nil"/>
              <w:right w:val="nil"/>
            </w:tcBorders>
            <w:shd w:val="clear" w:color="auto" w:fill="auto"/>
            <w:noWrap/>
            <w:vAlign w:val="center"/>
            <w:hideMark/>
          </w:tcPr>
          <w:p w14:paraId="35B368E5" w14:textId="77777777" w:rsidR="00BE6D69" w:rsidRPr="00366EFC" w:rsidRDefault="00BE6D69" w:rsidP="00BE6D69">
            <w:pPr>
              <w:jc w:val="left"/>
              <w:rPr>
                <w:rFonts w:ascii="Times New Roman" w:hAnsi="Times New Roman"/>
                <w:spacing w:val="0"/>
                <w:lang w:eastAsia="es-CO"/>
              </w:rPr>
            </w:pPr>
          </w:p>
        </w:tc>
      </w:tr>
      <w:tr w:rsidR="00366EFC" w:rsidRPr="00366EFC" w14:paraId="752A066C" w14:textId="77777777" w:rsidTr="00BE6D69">
        <w:trPr>
          <w:trHeight w:val="255"/>
        </w:trPr>
        <w:tc>
          <w:tcPr>
            <w:tcW w:w="480" w:type="dxa"/>
            <w:tcBorders>
              <w:top w:val="nil"/>
              <w:left w:val="nil"/>
              <w:bottom w:val="nil"/>
              <w:right w:val="nil"/>
            </w:tcBorders>
            <w:shd w:val="clear" w:color="auto" w:fill="auto"/>
            <w:noWrap/>
            <w:vAlign w:val="center"/>
            <w:hideMark/>
          </w:tcPr>
          <w:p w14:paraId="2D7456E7" w14:textId="77777777" w:rsidR="00BE6D69" w:rsidRPr="00366EFC" w:rsidRDefault="00BE6D69" w:rsidP="00BE6D69">
            <w:pPr>
              <w:jc w:val="center"/>
              <w:rPr>
                <w:rFonts w:ascii="Arial Narrow" w:hAnsi="Arial Narrow" w:cs="Arial"/>
                <w:spacing w:val="0"/>
                <w:sz w:val="15"/>
                <w:szCs w:val="15"/>
                <w:lang w:eastAsia="es-CO"/>
              </w:rPr>
            </w:pPr>
            <w:r w:rsidRPr="00366EFC">
              <w:rPr>
                <w:rFonts w:ascii="Arial Narrow" w:hAnsi="Arial Narrow" w:cs="Arial"/>
                <w:spacing w:val="0"/>
                <w:sz w:val="15"/>
                <w:szCs w:val="15"/>
                <w:lang w:val="en-US" w:eastAsia="es-CO"/>
              </w:rPr>
              <w:t>16</w:t>
            </w:r>
          </w:p>
        </w:tc>
        <w:tc>
          <w:tcPr>
            <w:tcW w:w="700" w:type="dxa"/>
            <w:tcBorders>
              <w:top w:val="nil"/>
              <w:left w:val="nil"/>
              <w:bottom w:val="nil"/>
              <w:right w:val="nil"/>
            </w:tcBorders>
            <w:shd w:val="clear" w:color="auto" w:fill="auto"/>
            <w:noWrap/>
            <w:vAlign w:val="center"/>
            <w:hideMark/>
          </w:tcPr>
          <w:p w14:paraId="6336B4C8" w14:textId="77777777" w:rsidR="00BE6D69" w:rsidRPr="00366EFC" w:rsidRDefault="00BE6D69" w:rsidP="00BE6D69">
            <w:pPr>
              <w:jc w:val="center"/>
              <w:rPr>
                <w:rFonts w:ascii="Arial Narrow" w:hAnsi="Arial Narrow" w:cs="Arial"/>
                <w:spacing w:val="0"/>
                <w:sz w:val="15"/>
                <w:szCs w:val="15"/>
                <w:lang w:eastAsia="es-CO"/>
              </w:rPr>
            </w:pPr>
            <w:r w:rsidRPr="00366EFC">
              <w:rPr>
                <w:rFonts w:ascii="Arial Narrow" w:hAnsi="Arial Narrow" w:cs="Arial"/>
                <w:spacing w:val="0"/>
                <w:sz w:val="15"/>
                <w:szCs w:val="15"/>
                <w:lang w:val="en-US" w:eastAsia="es-CO"/>
              </w:rPr>
              <w:t>F3</w:t>
            </w:r>
          </w:p>
        </w:tc>
        <w:tc>
          <w:tcPr>
            <w:tcW w:w="760" w:type="dxa"/>
            <w:tcBorders>
              <w:top w:val="nil"/>
              <w:left w:val="nil"/>
              <w:bottom w:val="nil"/>
              <w:right w:val="nil"/>
            </w:tcBorders>
            <w:shd w:val="clear" w:color="000000" w:fill="E2EFDA"/>
            <w:noWrap/>
            <w:vAlign w:val="center"/>
            <w:hideMark/>
          </w:tcPr>
          <w:p w14:paraId="44C246D4" w14:textId="77777777" w:rsidR="00BE6D69" w:rsidRPr="00366EFC" w:rsidRDefault="00BE6D69" w:rsidP="00BE6D69">
            <w:pPr>
              <w:jc w:val="right"/>
              <w:rPr>
                <w:rFonts w:ascii="Arial Narrow" w:hAnsi="Arial Narrow" w:cs="Arial"/>
                <w:spacing w:val="0"/>
                <w:sz w:val="15"/>
                <w:szCs w:val="15"/>
                <w:lang w:eastAsia="es-CO"/>
              </w:rPr>
            </w:pPr>
            <w:r w:rsidRPr="00366EFC">
              <w:rPr>
                <w:rFonts w:ascii="Arial Narrow" w:hAnsi="Arial Narrow" w:cs="Arial"/>
                <w:spacing w:val="0"/>
                <w:sz w:val="15"/>
                <w:szCs w:val="15"/>
                <w:lang w:val="en-US" w:eastAsia="es-CO"/>
              </w:rPr>
              <w:t> </w:t>
            </w:r>
          </w:p>
        </w:tc>
        <w:tc>
          <w:tcPr>
            <w:tcW w:w="2540" w:type="dxa"/>
            <w:tcBorders>
              <w:top w:val="nil"/>
              <w:left w:val="nil"/>
              <w:bottom w:val="nil"/>
              <w:right w:val="nil"/>
            </w:tcBorders>
            <w:shd w:val="clear" w:color="auto" w:fill="auto"/>
            <w:vAlign w:val="center"/>
            <w:hideMark/>
          </w:tcPr>
          <w:p w14:paraId="6C241B9D" w14:textId="77777777" w:rsidR="00BE6D69" w:rsidRPr="00366EFC" w:rsidRDefault="00BE6D69" w:rsidP="00BE6D69">
            <w:pPr>
              <w:rPr>
                <w:rFonts w:ascii="Arial Narrow" w:hAnsi="Arial Narrow" w:cs="Arial"/>
                <w:spacing w:val="0"/>
                <w:sz w:val="15"/>
                <w:szCs w:val="15"/>
                <w:lang w:eastAsia="es-CO"/>
              </w:rPr>
            </w:pPr>
            <w:r w:rsidRPr="00366EFC">
              <w:rPr>
                <w:rFonts w:ascii="Arial Narrow" w:hAnsi="Arial Narrow" w:cs="Calibri"/>
                <w:spacing w:val="0"/>
                <w:sz w:val="15"/>
                <w:szCs w:val="15"/>
                <w:lang w:eastAsia="es-CO"/>
              </w:rPr>
              <w:t>Ajuste por diferencia en cambio</w:t>
            </w:r>
          </w:p>
        </w:tc>
        <w:tc>
          <w:tcPr>
            <w:tcW w:w="700" w:type="dxa"/>
            <w:tcBorders>
              <w:top w:val="nil"/>
              <w:left w:val="nil"/>
              <w:bottom w:val="nil"/>
              <w:right w:val="nil"/>
            </w:tcBorders>
            <w:shd w:val="clear" w:color="auto" w:fill="auto"/>
            <w:noWrap/>
            <w:vAlign w:val="center"/>
            <w:hideMark/>
          </w:tcPr>
          <w:p w14:paraId="404445C1" w14:textId="77777777" w:rsidR="00BE6D69" w:rsidRPr="00366EFC" w:rsidRDefault="00BE6D69" w:rsidP="00BE6D69">
            <w:pPr>
              <w:jc w:val="center"/>
              <w:rPr>
                <w:rFonts w:ascii="Arial Narrow" w:hAnsi="Arial Narrow" w:cs="Arial"/>
                <w:b/>
                <w:bCs/>
                <w:spacing w:val="0"/>
                <w:sz w:val="15"/>
                <w:szCs w:val="15"/>
                <w:lang w:eastAsia="es-CO"/>
              </w:rPr>
            </w:pPr>
            <w:r w:rsidRPr="00366EFC">
              <w:rPr>
                <w:rFonts w:ascii="Arial Narrow" w:hAnsi="Arial Narrow" w:cs="Arial"/>
                <w:b/>
                <w:bCs/>
                <w:spacing w:val="0"/>
                <w:sz w:val="15"/>
                <w:szCs w:val="15"/>
                <w:lang w:val="en-US" w:eastAsia="es-CO"/>
              </w:rPr>
              <w:t>COL$</w:t>
            </w:r>
          </w:p>
        </w:tc>
        <w:tc>
          <w:tcPr>
            <w:tcW w:w="1600" w:type="dxa"/>
            <w:tcBorders>
              <w:top w:val="nil"/>
              <w:left w:val="nil"/>
              <w:bottom w:val="nil"/>
              <w:right w:val="nil"/>
            </w:tcBorders>
            <w:shd w:val="clear" w:color="auto" w:fill="auto"/>
            <w:vAlign w:val="center"/>
            <w:hideMark/>
          </w:tcPr>
          <w:p w14:paraId="1634D05D" w14:textId="77777777" w:rsidR="00BE6D69" w:rsidRPr="00366EFC" w:rsidRDefault="00BE6D69" w:rsidP="00BE6D69">
            <w:pPr>
              <w:jc w:val="center"/>
              <w:rPr>
                <w:rFonts w:ascii="Arial Narrow" w:hAnsi="Arial Narrow" w:cs="Arial"/>
                <w:b/>
                <w:bCs/>
                <w:spacing w:val="0"/>
                <w:sz w:val="15"/>
                <w:szCs w:val="15"/>
                <w:lang w:eastAsia="es-CO"/>
              </w:rPr>
            </w:pPr>
          </w:p>
        </w:tc>
        <w:tc>
          <w:tcPr>
            <w:tcW w:w="940" w:type="dxa"/>
            <w:tcBorders>
              <w:top w:val="nil"/>
              <w:left w:val="nil"/>
              <w:bottom w:val="nil"/>
              <w:right w:val="nil"/>
            </w:tcBorders>
            <w:shd w:val="clear" w:color="000000" w:fill="E2EFDA"/>
            <w:noWrap/>
            <w:vAlign w:val="center"/>
            <w:hideMark/>
          </w:tcPr>
          <w:p w14:paraId="032A2BB2" w14:textId="77777777" w:rsidR="00BE6D69" w:rsidRPr="00366EFC" w:rsidRDefault="00BE6D69" w:rsidP="00BE6D69">
            <w:pPr>
              <w:jc w:val="right"/>
              <w:rPr>
                <w:rFonts w:ascii="Arial Narrow" w:hAnsi="Arial Narrow" w:cs="Arial"/>
                <w:spacing w:val="0"/>
                <w:sz w:val="15"/>
                <w:szCs w:val="15"/>
                <w:lang w:eastAsia="es-CO"/>
              </w:rPr>
            </w:pPr>
            <w:r w:rsidRPr="00366EFC">
              <w:rPr>
                <w:rFonts w:ascii="Arial Narrow" w:hAnsi="Arial Narrow" w:cs="Arial"/>
                <w:spacing w:val="0"/>
                <w:sz w:val="15"/>
                <w:szCs w:val="15"/>
                <w:lang w:val="en-US" w:eastAsia="es-CO"/>
              </w:rPr>
              <w:t>($ 3.000,00)</w:t>
            </w:r>
          </w:p>
        </w:tc>
        <w:tc>
          <w:tcPr>
            <w:tcW w:w="1300" w:type="dxa"/>
            <w:tcBorders>
              <w:top w:val="nil"/>
              <w:left w:val="nil"/>
              <w:bottom w:val="nil"/>
              <w:right w:val="nil"/>
            </w:tcBorders>
            <w:shd w:val="clear" w:color="auto" w:fill="auto"/>
            <w:noWrap/>
            <w:vAlign w:val="center"/>
            <w:hideMark/>
          </w:tcPr>
          <w:p w14:paraId="03DB1014" w14:textId="77777777" w:rsidR="00BE6D69" w:rsidRPr="00366EFC" w:rsidRDefault="00BE6D69" w:rsidP="00BE6D69">
            <w:pPr>
              <w:jc w:val="right"/>
              <w:rPr>
                <w:rFonts w:ascii="Arial Narrow" w:hAnsi="Arial Narrow" w:cs="Arial"/>
                <w:spacing w:val="0"/>
                <w:sz w:val="15"/>
                <w:szCs w:val="15"/>
                <w:lang w:eastAsia="es-CO"/>
              </w:rPr>
            </w:pPr>
          </w:p>
        </w:tc>
        <w:tc>
          <w:tcPr>
            <w:tcW w:w="1240" w:type="dxa"/>
            <w:tcBorders>
              <w:top w:val="nil"/>
              <w:left w:val="nil"/>
              <w:bottom w:val="nil"/>
              <w:right w:val="nil"/>
            </w:tcBorders>
            <w:shd w:val="clear" w:color="auto" w:fill="auto"/>
            <w:noWrap/>
            <w:vAlign w:val="center"/>
            <w:hideMark/>
          </w:tcPr>
          <w:p w14:paraId="06047C87" w14:textId="77777777" w:rsidR="00BE6D69" w:rsidRPr="00366EFC" w:rsidRDefault="00BE6D69" w:rsidP="00BE6D69">
            <w:pPr>
              <w:jc w:val="left"/>
              <w:rPr>
                <w:rFonts w:ascii="Times New Roman" w:hAnsi="Times New Roman"/>
                <w:spacing w:val="0"/>
                <w:lang w:eastAsia="es-CO"/>
              </w:rPr>
            </w:pPr>
          </w:p>
        </w:tc>
      </w:tr>
      <w:tr w:rsidR="00366EFC" w:rsidRPr="00366EFC" w14:paraId="6544B2FC" w14:textId="77777777" w:rsidTr="00BE6D69">
        <w:trPr>
          <w:trHeight w:val="390"/>
        </w:trPr>
        <w:tc>
          <w:tcPr>
            <w:tcW w:w="480" w:type="dxa"/>
            <w:tcBorders>
              <w:top w:val="nil"/>
              <w:left w:val="nil"/>
              <w:bottom w:val="nil"/>
              <w:right w:val="nil"/>
            </w:tcBorders>
            <w:shd w:val="clear" w:color="auto" w:fill="auto"/>
            <w:noWrap/>
            <w:vAlign w:val="center"/>
            <w:hideMark/>
          </w:tcPr>
          <w:p w14:paraId="68454171" w14:textId="77777777" w:rsidR="00BE6D69" w:rsidRPr="00366EFC" w:rsidRDefault="00BE6D69" w:rsidP="00BE6D69">
            <w:pPr>
              <w:jc w:val="center"/>
              <w:rPr>
                <w:rFonts w:ascii="Arial Narrow" w:hAnsi="Arial Narrow" w:cs="Arial"/>
                <w:spacing w:val="0"/>
                <w:sz w:val="15"/>
                <w:szCs w:val="15"/>
                <w:lang w:eastAsia="es-CO"/>
              </w:rPr>
            </w:pPr>
            <w:r w:rsidRPr="00366EFC">
              <w:rPr>
                <w:rFonts w:ascii="Arial Narrow" w:hAnsi="Arial Narrow" w:cs="Arial"/>
                <w:spacing w:val="0"/>
                <w:sz w:val="15"/>
                <w:szCs w:val="15"/>
                <w:lang w:val="en-US" w:eastAsia="es-CO"/>
              </w:rPr>
              <w:t>17</w:t>
            </w:r>
          </w:p>
        </w:tc>
        <w:tc>
          <w:tcPr>
            <w:tcW w:w="700" w:type="dxa"/>
            <w:tcBorders>
              <w:top w:val="nil"/>
              <w:left w:val="nil"/>
              <w:bottom w:val="nil"/>
              <w:right w:val="nil"/>
            </w:tcBorders>
            <w:shd w:val="clear" w:color="auto" w:fill="auto"/>
            <w:noWrap/>
            <w:vAlign w:val="center"/>
            <w:hideMark/>
          </w:tcPr>
          <w:p w14:paraId="43EC67B0" w14:textId="77777777" w:rsidR="00BE6D69" w:rsidRPr="00366EFC" w:rsidRDefault="00BE6D69" w:rsidP="00BE6D69">
            <w:pPr>
              <w:jc w:val="center"/>
              <w:rPr>
                <w:rFonts w:ascii="Arial Narrow" w:hAnsi="Arial Narrow" w:cs="Arial"/>
                <w:spacing w:val="0"/>
                <w:sz w:val="15"/>
                <w:szCs w:val="15"/>
                <w:lang w:eastAsia="es-CO"/>
              </w:rPr>
            </w:pPr>
            <w:r w:rsidRPr="00366EFC">
              <w:rPr>
                <w:rFonts w:ascii="Arial Narrow" w:hAnsi="Arial Narrow" w:cs="Arial"/>
                <w:spacing w:val="0"/>
                <w:sz w:val="15"/>
                <w:szCs w:val="15"/>
                <w:lang w:val="en-US" w:eastAsia="es-CO"/>
              </w:rPr>
              <w:t>F4</w:t>
            </w:r>
          </w:p>
        </w:tc>
        <w:tc>
          <w:tcPr>
            <w:tcW w:w="760" w:type="dxa"/>
            <w:tcBorders>
              <w:top w:val="nil"/>
              <w:left w:val="nil"/>
              <w:bottom w:val="nil"/>
              <w:right w:val="nil"/>
            </w:tcBorders>
            <w:shd w:val="clear" w:color="000000" w:fill="E2EFDA"/>
            <w:noWrap/>
            <w:vAlign w:val="center"/>
            <w:hideMark/>
          </w:tcPr>
          <w:p w14:paraId="5F52AA65" w14:textId="77777777" w:rsidR="00BE6D69" w:rsidRPr="00366EFC" w:rsidRDefault="00BE6D69" w:rsidP="00BE6D69">
            <w:pPr>
              <w:jc w:val="right"/>
              <w:rPr>
                <w:rFonts w:ascii="Arial Narrow" w:hAnsi="Arial Narrow" w:cs="Arial"/>
                <w:spacing w:val="0"/>
                <w:sz w:val="15"/>
                <w:szCs w:val="15"/>
                <w:lang w:eastAsia="es-CO"/>
              </w:rPr>
            </w:pPr>
            <w:r w:rsidRPr="00366EFC">
              <w:rPr>
                <w:rFonts w:ascii="Arial Narrow" w:hAnsi="Arial Narrow" w:cs="Arial"/>
                <w:spacing w:val="0"/>
                <w:sz w:val="15"/>
                <w:szCs w:val="15"/>
                <w:lang w:val="en-US" w:eastAsia="es-CO"/>
              </w:rPr>
              <w:t> </w:t>
            </w:r>
          </w:p>
        </w:tc>
        <w:tc>
          <w:tcPr>
            <w:tcW w:w="2540" w:type="dxa"/>
            <w:tcBorders>
              <w:top w:val="nil"/>
              <w:left w:val="nil"/>
              <w:bottom w:val="nil"/>
              <w:right w:val="nil"/>
            </w:tcBorders>
            <w:shd w:val="clear" w:color="auto" w:fill="auto"/>
            <w:vAlign w:val="center"/>
            <w:hideMark/>
          </w:tcPr>
          <w:p w14:paraId="015FCE45" w14:textId="77777777" w:rsidR="00BE6D69" w:rsidRPr="00366EFC" w:rsidRDefault="00BE6D69" w:rsidP="00BE6D69">
            <w:pPr>
              <w:rPr>
                <w:rFonts w:ascii="Arial Narrow" w:hAnsi="Arial Narrow" w:cs="Arial"/>
                <w:spacing w:val="0"/>
                <w:sz w:val="15"/>
                <w:szCs w:val="15"/>
                <w:lang w:eastAsia="es-CO"/>
              </w:rPr>
            </w:pPr>
            <w:r w:rsidRPr="00366EFC">
              <w:rPr>
                <w:rFonts w:ascii="Arial Narrow" w:hAnsi="Arial Narrow" w:cs="Calibri"/>
                <w:spacing w:val="0"/>
                <w:sz w:val="15"/>
                <w:szCs w:val="15"/>
                <w:lang w:eastAsia="es-CO"/>
              </w:rPr>
              <w:t>Pérdidas por aplicación del método de participación</w:t>
            </w:r>
          </w:p>
        </w:tc>
        <w:tc>
          <w:tcPr>
            <w:tcW w:w="700" w:type="dxa"/>
            <w:tcBorders>
              <w:top w:val="nil"/>
              <w:left w:val="nil"/>
              <w:bottom w:val="nil"/>
              <w:right w:val="nil"/>
            </w:tcBorders>
            <w:shd w:val="clear" w:color="auto" w:fill="auto"/>
            <w:noWrap/>
            <w:vAlign w:val="center"/>
            <w:hideMark/>
          </w:tcPr>
          <w:p w14:paraId="5378DDEB" w14:textId="77777777" w:rsidR="00BE6D69" w:rsidRPr="00366EFC" w:rsidRDefault="00BE6D69" w:rsidP="00BE6D69">
            <w:pPr>
              <w:jc w:val="center"/>
              <w:rPr>
                <w:rFonts w:ascii="Arial Narrow" w:hAnsi="Arial Narrow" w:cs="Arial"/>
                <w:b/>
                <w:bCs/>
                <w:spacing w:val="0"/>
                <w:sz w:val="15"/>
                <w:szCs w:val="15"/>
                <w:lang w:eastAsia="es-CO"/>
              </w:rPr>
            </w:pPr>
            <w:r w:rsidRPr="00366EFC">
              <w:rPr>
                <w:rFonts w:ascii="Arial Narrow" w:hAnsi="Arial Narrow" w:cs="Arial"/>
                <w:b/>
                <w:bCs/>
                <w:spacing w:val="0"/>
                <w:sz w:val="15"/>
                <w:szCs w:val="15"/>
                <w:lang w:val="en-US" w:eastAsia="es-CO"/>
              </w:rPr>
              <w:t>COL$</w:t>
            </w:r>
          </w:p>
        </w:tc>
        <w:tc>
          <w:tcPr>
            <w:tcW w:w="1600" w:type="dxa"/>
            <w:tcBorders>
              <w:top w:val="nil"/>
              <w:left w:val="nil"/>
              <w:bottom w:val="nil"/>
              <w:right w:val="nil"/>
            </w:tcBorders>
            <w:shd w:val="clear" w:color="auto" w:fill="auto"/>
            <w:vAlign w:val="center"/>
            <w:hideMark/>
          </w:tcPr>
          <w:p w14:paraId="5EE66AB2" w14:textId="77777777" w:rsidR="00BE6D69" w:rsidRPr="00366EFC" w:rsidRDefault="00BE6D69" w:rsidP="00BE6D69">
            <w:pPr>
              <w:jc w:val="center"/>
              <w:rPr>
                <w:rFonts w:ascii="Arial Narrow" w:hAnsi="Arial Narrow" w:cs="Arial"/>
                <w:b/>
                <w:bCs/>
                <w:spacing w:val="0"/>
                <w:sz w:val="15"/>
                <w:szCs w:val="15"/>
                <w:lang w:eastAsia="es-CO"/>
              </w:rPr>
            </w:pPr>
          </w:p>
        </w:tc>
        <w:tc>
          <w:tcPr>
            <w:tcW w:w="940" w:type="dxa"/>
            <w:tcBorders>
              <w:top w:val="nil"/>
              <w:left w:val="nil"/>
              <w:bottom w:val="nil"/>
              <w:right w:val="nil"/>
            </w:tcBorders>
            <w:shd w:val="clear" w:color="000000" w:fill="E2EFDA"/>
            <w:noWrap/>
            <w:vAlign w:val="center"/>
            <w:hideMark/>
          </w:tcPr>
          <w:p w14:paraId="48980A4D" w14:textId="77777777" w:rsidR="00BE6D69" w:rsidRPr="00366EFC" w:rsidRDefault="00BE6D69" w:rsidP="00BE6D69">
            <w:pPr>
              <w:jc w:val="right"/>
              <w:rPr>
                <w:rFonts w:ascii="Arial Narrow" w:hAnsi="Arial Narrow" w:cs="Arial"/>
                <w:spacing w:val="0"/>
                <w:sz w:val="15"/>
                <w:szCs w:val="15"/>
                <w:lang w:eastAsia="es-CO"/>
              </w:rPr>
            </w:pPr>
            <w:r w:rsidRPr="00366EFC">
              <w:rPr>
                <w:rFonts w:ascii="Arial Narrow" w:hAnsi="Arial Narrow" w:cs="Arial"/>
                <w:spacing w:val="0"/>
                <w:sz w:val="15"/>
                <w:szCs w:val="15"/>
                <w:lang w:val="en-US" w:eastAsia="es-CO"/>
              </w:rPr>
              <w:t>($ 4.000,00)</w:t>
            </w:r>
          </w:p>
        </w:tc>
        <w:tc>
          <w:tcPr>
            <w:tcW w:w="1300" w:type="dxa"/>
            <w:tcBorders>
              <w:top w:val="nil"/>
              <w:left w:val="nil"/>
              <w:bottom w:val="nil"/>
              <w:right w:val="nil"/>
            </w:tcBorders>
            <w:shd w:val="clear" w:color="auto" w:fill="auto"/>
            <w:noWrap/>
            <w:vAlign w:val="center"/>
            <w:hideMark/>
          </w:tcPr>
          <w:p w14:paraId="0BD00B6F" w14:textId="77777777" w:rsidR="00BE6D69" w:rsidRPr="00366EFC" w:rsidRDefault="00BE6D69" w:rsidP="00BE6D69">
            <w:pPr>
              <w:jc w:val="right"/>
              <w:rPr>
                <w:rFonts w:ascii="Arial Narrow" w:hAnsi="Arial Narrow" w:cs="Arial"/>
                <w:spacing w:val="0"/>
                <w:sz w:val="15"/>
                <w:szCs w:val="15"/>
                <w:lang w:eastAsia="es-CO"/>
              </w:rPr>
            </w:pPr>
          </w:p>
        </w:tc>
        <w:tc>
          <w:tcPr>
            <w:tcW w:w="1240" w:type="dxa"/>
            <w:tcBorders>
              <w:top w:val="nil"/>
              <w:left w:val="nil"/>
              <w:bottom w:val="nil"/>
              <w:right w:val="nil"/>
            </w:tcBorders>
            <w:shd w:val="clear" w:color="auto" w:fill="auto"/>
            <w:noWrap/>
            <w:vAlign w:val="center"/>
            <w:hideMark/>
          </w:tcPr>
          <w:p w14:paraId="47536489" w14:textId="77777777" w:rsidR="00BE6D69" w:rsidRPr="00366EFC" w:rsidRDefault="00BE6D69" w:rsidP="00BE6D69">
            <w:pPr>
              <w:jc w:val="left"/>
              <w:rPr>
                <w:rFonts w:ascii="Times New Roman" w:hAnsi="Times New Roman"/>
                <w:spacing w:val="0"/>
                <w:lang w:eastAsia="es-CO"/>
              </w:rPr>
            </w:pPr>
          </w:p>
        </w:tc>
      </w:tr>
      <w:tr w:rsidR="00366EFC" w:rsidRPr="00366EFC" w14:paraId="1ACFB09C" w14:textId="77777777" w:rsidTr="00BE6D69">
        <w:trPr>
          <w:trHeight w:val="255"/>
        </w:trPr>
        <w:tc>
          <w:tcPr>
            <w:tcW w:w="480" w:type="dxa"/>
            <w:tcBorders>
              <w:top w:val="nil"/>
              <w:left w:val="nil"/>
              <w:bottom w:val="nil"/>
              <w:right w:val="nil"/>
            </w:tcBorders>
            <w:shd w:val="clear" w:color="auto" w:fill="auto"/>
            <w:noWrap/>
            <w:vAlign w:val="center"/>
            <w:hideMark/>
          </w:tcPr>
          <w:p w14:paraId="179357DF" w14:textId="77777777" w:rsidR="00BE6D69" w:rsidRPr="00366EFC" w:rsidRDefault="00BE6D69" w:rsidP="00BE6D69">
            <w:pPr>
              <w:jc w:val="center"/>
              <w:rPr>
                <w:rFonts w:ascii="Arial Narrow" w:hAnsi="Arial Narrow" w:cs="Arial"/>
                <w:spacing w:val="0"/>
                <w:sz w:val="15"/>
                <w:szCs w:val="15"/>
                <w:lang w:eastAsia="es-CO"/>
              </w:rPr>
            </w:pPr>
            <w:r w:rsidRPr="00366EFC">
              <w:rPr>
                <w:rFonts w:ascii="Arial Narrow" w:hAnsi="Arial Narrow" w:cs="Arial"/>
                <w:spacing w:val="0"/>
                <w:sz w:val="15"/>
                <w:szCs w:val="15"/>
                <w:lang w:val="en-US" w:eastAsia="es-CO"/>
              </w:rPr>
              <w:t>18</w:t>
            </w:r>
          </w:p>
        </w:tc>
        <w:tc>
          <w:tcPr>
            <w:tcW w:w="700" w:type="dxa"/>
            <w:tcBorders>
              <w:top w:val="nil"/>
              <w:left w:val="nil"/>
              <w:bottom w:val="nil"/>
              <w:right w:val="nil"/>
            </w:tcBorders>
            <w:shd w:val="clear" w:color="auto" w:fill="auto"/>
            <w:noWrap/>
            <w:vAlign w:val="center"/>
            <w:hideMark/>
          </w:tcPr>
          <w:p w14:paraId="0A9ED630" w14:textId="77777777" w:rsidR="00BE6D69" w:rsidRPr="00366EFC" w:rsidRDefault="00BE6D69" w:rsidP="00BE6D69">
            <w:pPr>
              <w:jc w:val="center"/>
              <w:rPr>
                <w:rFonts w:ascii="Arial Narrow" w:hAnsi="Arial Narrow" w:cs="Arial"/>
                <w:spacing w:val="0"/>
                <w:sz w:val="15"/>
                <w:szCs w:val="15"/>
                <w:lang w:eastAsia="es-CO"/>
              </w:rPr>
            </w:pPr>
            <w:r w:rsidRPr="00366EFC">
              <w:rPr>
                <w:rFonts w:ascii="Arial Narrow" w:hAnsi="Arial Narrow" w:cs="Arial"/>
                <w:spacing w:val="0"/>
                <w:sz w:val="15"/>
                <w:szCs w:val="15"/>
                <w:lang w:val="en-US" w:eastAsia="es-CO"/>
              </w:rPr>
              <w:t>F5</w:t>
            </w:r>
          </w:p>
        </w:tc>
        <w:tc>
          <w:tcPr>
            <w:tcW w:w="760" w:type="dxa"/>
            <w:tcBorders>
              <w:top w:val="nil"/>
              <w:left w:val="nil"/>
              <w:bottom w:val="nil"/>
              <w:right w:val="nil"/>
            </w:tcBorders>
            <w:shd w:val="clear" w:color="000000" w:fill="E2EFDA"/>
            <w:noWrap/>
            <w:vAlign w:val="center"/>
            <w:hideMark/>
          </w:tcPr>
          <w:p w14:paraId="0A8BB08E" w14:textId="77777777" w:rsidR="00BE6D69" w:rsidRPr="00366EFC" w:rsidRDefault="00BE6D69" w:rsidP="00BE6D69">
            <w:pPr>
              <w:jc w:val="right"/>
              <w:rPr>
                <w:rFonts w:ascii="Arial Narrow" w:hAnsi="Arial Narrow" w:cs="Arial"/>
                <w:spacing w:val="0"/>
                <w:sz w:val="15"/>
                <w:szCs w:val="15"/>
                <w:lang w:eastAsia="es-CO"/>
              </w:rPr>
            </w:pPr>
            <w:r w:rsidRPr="00366EFC">
              <w:rPr>
                <w:rFonts w:ascii="Arial Narrow" w:hAnsi="Arial Narrow" w:cs="Arial"/>
                <w:spacing w:val="0"/>
                <w:sz w:val="15"/>
                <w:szCs w:val="15"/>
                <w:lang w:val="en-US" w:eastAsia="es-CO"/>
              </w:rPr>
              <w:t> </w:t>
            </w:r>
          </w:p>
        </w:tc>
        <w:tc>
          <w:tcPr>
            <w:tcW w:w="2540" w:type="dxa"/>
            <w:tcBorders>
              <w:top w:val="nil"/>
              <w:left w:val="nil"/>
              <w:bottom w:val="nil"/>
              <w:right w:val="nil"/>
            </w:tcBorders>
            <w:shd w:val="clear" w:color="auto" w:fill="auto"/>
            <w:vAlign w:val="center"/>
            <w:hideMark/>
          </w:tcPr>
          <w:p w14:paraId="2C00E525" w14:textId="77777777" w:rsidR="00BE6D69" w:rsidRPr="00366EFC" w:rsidRDefault="00BE6D69" w:rsidP="00BE6D69">
            <w:pPr>
              <w:rPr>
                <w:rFonts w:ascii="Arial Narrow" w:hAnsi="Arial Narrow" w:cs="Arial"/>
                <w:spacing w:val="0"/>
                <w:sz w:val="15"/>
                <w:szCs w:val="15"/>
                <w:lang w:eastAsia="es-CO"/>
              </w:rPr>
            </w:pPr>
            <w:proofErr w:type="spellStart"/>
            <w:r w:rsidRPr="00366EFC">
              <w:rPr>
                <w:rFonts w:ascii="Arial Narrow" w:hAnsi="Arial Narrow" w:cs="Arial"/>
                <w:spacing w:val="0"/>
                <w:sz w:val="15"/>
                <w:szCs w:val="15"/>
                <w:lang w:val="en-US" w:eastAsia="es-CO"/>
              </w:rPr>
              <w:t>Gastos</w:t>
            </w:r>
            <w:proofErr w:type="spellEnd"/>
            <w:r w:rsidRPr="00366EFC">
              <w:rPr>
                <w:rFonts w:ascii="Arial Narrow" w:hAnsi="Arial Narrow" w:cs="Arial"/>
                <w:spacing w:val="0"/>
                <w:sz w:val="15"/>
                <w:szCs w:val="15"/>
                <w:lang w:val="en-US" w:eastAsia="es-CO"/>
              </w:rPr>
              <w:t xml:space="preserve"> </w:t>
            </w:r>
            <w:proofErr w:type="spellStart"/>
            <w:r w:rsidRPr="00366EFC">
              <w:rPr>
                <w:rFonts w:ascii="Arial Narrow" w:hAnsi="Arial Narrow" w:cs="Arial"/>
                <w:spacing w:val="0"/>
                <w:sz w:val="15"/>
                <w:szCs w:val="15"/>
                <w:lang w:val="en-US" w:eastAsia="es-CO"/>
              </w:rPr>
              <w:t>diversos</w:t>
            </w:r>
            <w:proofErr w:type="spellEnd"/>
          </w:p>
        </w:tc>
        <w:tc>
          <w:tcPr>
            <w:tcW w:w="700" w:type="dxa"/>
            <w:tcBorders>
              <w:top w:val="nil"/>
              <w:left w:val="nil"/>
              <w:bottom w:val="nil"/>
              <w:right w:val="nil"/>
            </w:tcBorders>
            <w:shd w:val="clear" w:color="auto" w:fill="auto"/>
            <w:noWrap/>
            <w:vAlign w:val="center"/>
            <w:hideMark/>
          </w:tcPr>
          <w:p w14:paraId="396380B4" w14:textId="77777777" w:rsidR="00BE6D69" w:rsidRPr="00366EFC" w:rsidRDefault="00BE6D69" w:rsidP="00BE6D69">
            <w:pPr>
              <w:jc w:val="center"/>
              <w:rPr>
                <w:rFonts w:ascii="Arial Narrow" w:hAnsi="Arial Narrow" w:cs="Arial"/>
                <w:b/>
                <w:bCs/>
                <w:spacing w:val="0"/>
                <w:sz w:val="15"/>
                <w:szCs w:val="15"/>
                <w:lang w:eastAsia="es-CO"/>
              </w:rPr>
            </w:pPr>
            <w:r w:rsidRPr="00366EFC">
              <w:rPr>
                <w:rFonts w:ascii="Arial Narrow" w:hAnsi="Arial Narrow" w:cs="Arial"/>
                <w:b/>
                <w:bCs/>
                <w:spacing w:val="0"/>
                <w:sz w:val="15"/>
                <w:szCs w:val="15"/>
                <w:lang w:val="en-US" w:eastAsia="es-CO"/>
              </w:rPr>
              <w:t>COL$</w:t>
            </w:r>
          </w:p>
        </w:tc>
        <w:tc>
          <w:tcPr>
            <w:tcW w:w="1600" w:type="dxa"/>
            <w:tcBorders>
              <w:top w:val="nil"/>
              <w:left w:val="nil"/>
              <w:bottom w:val="nil"/>
              <w:right w:val="nil"/>
            </w:tcBorders>
            <w:shd w:val="clear" w:color="auto" w:fill="auto"/>
            <w:vAlign w:val="center"/>
            <w:hideMark/>
          </w:tcPr>
          <w:p w14:paraId="394D3F13" w14:textId="77777777" w:rsidR="00BE6D69" w:rsidRPr="00366EFC" w:rsidRDefault="00BE6D69" w:rsidP="00BE6D69">
            <w:pPr>
              <w:jc w:val="center"/>
              <w:rPr>
                <w:rFonts w:ascii="Arial Narrow" w:hAnsi="Arial Narrow" w:cs="Arial"/>
                <w:b/>
                <w:bCs/>
                <w:spacing w:val="0"/>
                <w:sz w:val="15"/>
                <w:szCs w:val="15"/>
                <w:lang w:eastAsia="es-CO"/>
              </w:rPr>
            </w:pPr>
          </w:p>
        </w:tc>
        <w:tc>
          <w:tcPr>
            <w:tcW w:w="940" w:type="dxa"/>
            <w:tcBorders>
              <w:top w:val="nil"/>
              <w:left w:val="nil"/>
              <w:bottom w:val="nil"/>
              <w:right w:val="nil"/>
            </w:tcBorders>
            <w:shd w:val="clear" w:color="000000" w:fill="E2EFDA"/>
            <w:noWrap/>
            <w:vAlign w:val="center"/>
            <w:hideMark/>
          </w:tcPr>
          <w:p w14:paraId="637992E4" w14:textId="77777777" w:rsidR="00BE6D69" w:rsidRPr="00366EFC" w:rsidRDefault="00BE6D69" w:rsidP="00BE6D69">
            <w:pPr>
              <w:jc w:val="right"/>
              <w:rPr>
                <w:rFonts w:ascii="Arial Narrow" w:hAnsi="Arial Narrow" w:cs="Arial"/>
                <w:spacing w:val="0"/>
                <w:sz w:val="15"/>
                <w:szCs w:val="15"/>
                <w:lang w:eastAsia="es-CO"/>
              </w:rPr>
            </w:pPr>
            <w:r w:rsidRPr="00366EFC">
              <w:rPr>
                <w:rFonts w:ascii="Arial Narrow" w:hAnsi="Arial Narrow" w:cs="Arial"/>
                <w:spacing w:val="0"/>
                <w:sz w:val="15"/>
                <w:szCs w:val="15"/>
                <w:lang w:val="en-US" w:eastAsia="es-CO"/>
              </w:rPr>
              <w:t>($ 2.000,00)</w:t>
            </w:r>
          </w:p>
        </w:tc>
        <w:tc>
          <w:tcPr>
            <w:tcW w:w="1300" w:type="dxa"/>
            <w:tcBorders>
              <w:top w:val="nil"/>
              <w:left w:val="nil"/>
              <w:bottom w:val="nil"/>
              <w:right w:val="nil"/>
            </w:tcBorders>
            <w:shd w:val="clear" w:color="auto" w:fill="auto"/>
            <w:noWrap/>
            <w:vAlign w:val="center"/>
            <w:hideMark/>
          </w:tcPr>
          <w:p w14:paraId="4A05309C" w14:textId="77777777" w:rsidR="00BE6D69" w:rsidRPr="00366EFC" w:rsidRDefault="00BE6D69" w:rsidP="00BE6D69">
            <w:pPr>
              <w:jc w:val="right"/>
              <w:rPr>
                <w:rFonts w:ascii="Arial Narrow" w:hAnsi="Arial Narrow" w:cs="Arial"/>
                <w:spacing w:val="0"/>
                <w:sz w:val="15"/>
                <w:szCs w:val="15"/>
                <w:lang w:eastAsia="es-CO"/>
              </w:rPr>
            </w:pPr>
          </w:p>
        </w:tc>
        <w:tc>
          <w:tcPr>
            <w:tcW w:w="1240" w:type="dxa"/>
            <w:tcBorders>
              <w:top w:val="nil"/>
              <w:left w:val="nil"/>
              <w:bottom w:val="nil"/>
              <w:right w:val="nil"/>
            </w:tcBorders>
            <w:shd w:val="clear" w:color="auto" w:fill="auto"/>
            <w:noWrap/>
            <w:vAlign w:val="center"/>
            <w:hideMark/>
          </w:tcPr>
          <w:p w14:paraId="4426AD35" w14:textId="77777777" w:rsidR="00BE6D69" w:rsidRPr="00366EFC" w:rsidRDefault="00BE6D69" w:rsidP="00BE6D69">
            <w:pPr>
              <w:jc w:val="left"/>
              <w:rPr>
                <w:rFonts w:ascii="Times New Roman" w:hAnsi="Times New Roman"/>
                <w:spacing w:val="0"/>
                <w:lang w:eastAsia="es-CO"/>
              </w:rPr>
            </w:pPr>
          </w:p>
        </w:tc>
      </w:tr>
      <w:tr w:rsidR="00366EFC" w:rsidRPr="00366EFC" w14:paraId="1D553073" w14:textId="77777777" w:rsidTr="00BE6D69">
        <w:trPr>
          <w:trHeight w:val="255"/>
        </w:trPr>
        <w:tc>
          <w:tcPr>
            <w:tcW w:w="480" w:type="dxa"/>
            <w:tcBorders>
              <w:top w:val="nil"/>
              <w:left w:val="nil"/>
              <w:bottom w:val="nil"/>
              <w:right w:val="nil"/>
            </w:tcBorders>
            <w:shd w:val="clear" w:color="auto" w:fill="auto"/>
            <w:noWrap/>
            <w:vAlign w:val="center"/>
            <w:hideMark/>
          </w:tcPr>
          <w:p w14:paraId="2CB708CB" w14:textId="77777777" w:rsidR="00BE6D69" w:rsidRPr="00366EFC" w:rsidRDefault="00BE6D69" w:rsidP="00BE6D69">
            <w:pPr>
              <w:jc w:val="center"/>
              <w:rPr>
                <w:rFonts w:ascii="Arial Narrow" w:hAnsi="Arial Narrow" w:cs="Arial"/>
                <w:spacing w:val="0"/>
                <w:sz w:val="15"/>
                <w:szCs w:val="15"/>
                <w:lang w:eastAsia="es-CO"/>
              </w:rPr>
            </w:pPr>
            <w:r w:rsidRPr="00366EFC">
              <w:rPr>
                <w:rFonts w:ascii="Arial Narrow" w:hAnsi="Arial Narrow" w:cs="Arial"/>
                <w:spacing w:val="0"/>
                <w:sz w:val="15"/>
                <w:szCs w:val="15"/>
                <w:lang w:val="en-US" w:eastAsia="es-CO"/>
              </w:rPr>
              <w:t>19</w:t>
            </w:r>
          </w:p>
        </w:tc>
        <w:tc>
          <w:tcPr>
            <w:tcW w:w="700" w:type="dxa"/>
            <w:tcBorders>
              <w:top w:val="nil"/>
              <w:left w:val="nil"/>
              <w:bottom w:val="nil"/>
              <w:right w:val="nil"/>
            </w:tcBorders>
            <w:shd w:val="clear" w:color="auto" w:fill="auto"/>
            <w:noWrap/>
            <w:vAlign w:val="center"/>
            <w:hideMark/>
          </w:tcPr>
          <w:p w14:paraId="04D92F76" w14:textId="77777777" w:rsidR="00BE6D69" w:rsidRPr="00366EFC" w:rsidRDefault="00BE6D69" w:rsidP="00BE6D69">
            <w:pPr>
              <w:jc w:val="center"/>
              <w:rPr>
                <w:rFonts w:ascii="Arial Narrow" w:hAnsi="Arial Narrow" w:cs="Arial"/>
                <w:spacing w:val="0"/>
                <w:sz w:val="15"/>
                <w:szCs w:val="15"/>
                <w:lang w:eastAsia="es-CO"/>
              </w:rPr>
            </w:pPr>
            <w:r w:rsidRPr="00366EFC">
              <w:rPr>
                <w:rFonts w:ascii="Arial Narrow" w:hAnsi="Arial Narrow" w:cs="Arial"/>
                <w:spacing w:val="0"/>
                <w:sz w:val="15"/>
                <w:szCs w:val="15"/>
                <w:lang w:val="en-US" w:eastAsia="es-CO"/>
              </w:rPr>
              <w:t>F6</w:t>
            </w:r>
          </w:p>
        </w:tc>
        <w:tc>
          <w:tcPr>
            <w:tcW w:w="760" w:type="dxa"/>
            <w:tcBorders>
              <w:top w:val="nil"/>
              <w:left w:val="nil"/>
              <w:bottom w:val="nil"/>
              <w:right w:val="nil"/>
            </w:tcBorders>
            <w:shd w:val="clear" w:color="000000" w:fill="E2EFDA"/>
            <w:noWrap/>
            <w:vAlign w:val="center"/>
            <w:hideMark/>
          </w:tcPr>
          <w:p w14:paraId="1AFE81EF" w14:textId="77777777" w:rsidR="00BE6D69" w:rsidRPr="00366EFC" w:rsidRDefault="00BE6D69" w:rsidP="00BE6D69">
            <w:pPr>
              <w:jc w:val="right"/>
              <w:rPr>
                <w:rFonts w:ascii="Arial Narrow" w:hAnsi="Arial Narrow" w:cs="Arial"/>
                <w:spacing w:val="0"/>
                <w:sz w:val="15"/>
                <w:szCs w:val="15"/>
                <w:lang w:eastAsia="es-CO"/>
              </w:rPr>
            </w:pPr>
            <w:r w:rsidRPr="00366EFC">
              <w:rPr>
                <w:rFonts w:ascii="Arial Narrow" w:hAnsi="Arial Narrow" w:cs="Arial"/>
                <w:spacing w:val="0"/>
                <w:sz w:val="15"/>
                <w:szCs w:val="15"/>
                <w:lang w:val="en-US" w:eastAsia="es-CO"/>
              </w:rPr>
              <w:t> </w:t>
            </w:r>
          </w:p>
        </w:tc>
        <w:tc>
          <w:tcPr>
            <w:tcW w:w="2540" w:type="dxa"/>
            <w:tcBorders>
              <w:top w:val="nil"/>
              <w:left w:val="nil"/>
              <w:bottom w:val="nil"/>
              <w:right w:val="nil"/>
            </w:tcBorders>
            <w:shd w:val="clear" w:color="auto" w:fill="auto"/>
            <w:vAlign w:val="center"/>
            <w:hideMark/>
          </w:tcPr>
          <w:p w14:paraId="30CB6CEA" w14:textId="77777777" w:rsidR="00BE6D69" w:rsidRPr="00366EFC" w:rsidRDefault="00BE6D69" w:rsidP="00BE6D69">
            <w:pPr>
              <w:rPr>
                <w:rFonts w:ascii="Arial Narrow" w:hAnsi="Arial Narrow" w:cs="Arial"/>
                <w:spacing w:val="0"/>
                <w:sz w:val="15"/>
                <w:szCs w:val="15"/>
                <w:lang w:eastAsia="es-CO"/>
              </w:rPr>
            </w:pPr>
            <w:proofErr w:type="spellStart"/>
            <w:r w:rsidRPr="00366EFC">
              <w:rPr>
                <w:rFonts w:ascii="Arial Narrow" w:hAnsi="Arial Narrow" w:cs="Arial"/>
                <w:spacing w:val="0"/>
                <w:sz w:val="15"/>
                <w:szCs w:val="15"/>
                <w:lang w:val="en-US" w:eastAsia="es-CO"/>
              </w:rPr>
              <w:t>Donaciones</w:t>
            </w:r>
            <w:proofErr w:type="spellEnd"/>
          </w:p>
        </w:tc>
        <w:tc>
          <w:tcPr>
            <w:tcW w:w="700" w:type="dxa"/>
            <w:tcBorders>
              <w:top w:val="nil"/>
              <w:left w:val="nil"/>
              <w:bottom w:val="nil"/>
              <w:right w:val="nil"/>
            </w:tcBorders>
            <w:shd w:val="clear" w:color="auto" w:fill="auto"/>
            <w:noWrap/>
            <w:vAlign w:val="center"/>
            <w:hideMark/>
          </w:tcPr>
          <w:p w14:paraId="071E249A" w14:textId="77777777" w:rsidR="00BE6D69" w:rsidRPr="00366EFC" w:rsidRDefault="00BE6D69" w:rsidP="00BE6D69">
            <w:pPr>
              <w:jc w:val="center"/>
              <w:rPr>
                <w:rFonts w:ascii="Arial Narrow" w:hAnsi="Arial Narrow" w:cs="Arial"/>
                <w:b/>
                <w:bCs/>
                <w:spacing w:val="0"/>
                <w:sz w:val="15"/>
                <w:szCs w:val="15"/>
                <w:lang w:eastAsia="es-CO"/>
              </w:rPr>
            </w:pPr>
            <w:r w:rsidRPr="00366EFC">
              <w:rPr>
                <w:rFonts w:ascii="Arial Narrow" w:hAnsi="Arial Narrow" w:cs="Arial"/>
                <w:b/>
                <w:bCs/>
                <w:spacing w:val="0"/>
                <w:sz w:val="15"/>
                <w:szCs w:val="15"/>
                <w:lang w:val="en-US" w:eastAsia="es-CO"/>
              </w:rPr>
              <w:t>COL$</w:t>
            </w:r>
          </w:p>
        </w:tc>
        <w:tc>
          <w:tcPr>
            <w:tcW w:w="1600" w:type="dxa"/>
            <w:tcBorders>
              <w:top w:val="nil"/>
              <w:left w:val="nil"/>
              <w:bottom w:val="nil"/>
              <w:right w:val="nil"/>
            </w:tcBorders>
            <w:shd w:val="clear" w:color="auto" w:fill="auto"/>
            <w:vAlign w:val="center"/>
            <w:hideMark/>
          </w:tcPr>
          <w:p w14:paraId="2A6EE863" w14:textId="77777777" w:rsidR="00BE6D69" w:rsidRPr="00366EFC" w:rsidRDefault="00BE6D69" w:rsidP="00BE6D69">
            <w:pPr>
              <w:jc w:val="center"/>
              <w:rPr>
                <w:rFonts w:ascii="Arial Narrow" w:hAnsi="Arial Narrow" w:cs="Arial"/>
                <w:b/>
                <w:bCs/>
                <w:spacing w:val="0"/>
                <w:sz w:val="15"/>
                <w:szCs w:val="15"/>
                <w:lang w:eastAsia="es-CO"/>
              </w:rPr>
            </w:pPr>
          </w:p>
        </w:tc>
        <w:tc>
          <w:tcPr>
            <w:tcW w:w="940" w:type="dxa"/>
            <w:tcBorders>
              <w:top w:val="nil"/>
              <w:left w:val="nil"/>
              <w:bottom w:val="single" w:sz="4" w:space="0" w:color="auto"/>
              <w:right w:val="nil"/>
            </w:tcBorders>
            <w:shd w:val="clear" w:color="000000" w:fill="E2EFDA"/>
            <w:noWrap/>
            <w:vAlign w:val="center"/>
            <w:hideMark/>
          </w:tcPr>
          <w:p w14:paraId="7BD5D988" w14:textId="77777777" w:rsidR="00BE6D69" w:rsidRPr="00366EFC" w:rsidRDefault="00BE6D69" w:rsidP="00BE6D69">
            <w:pPr>
              <w:jc w:val="right"/>
              <w:rPr>
                <w:rFonts w:ascii="Arial Narrow" w:hAnsi="Arial Narrow" w:cs="Arial"/>
                <w:spacing w:val="0"/>
                <w:sz w:val="15"/>
                <w:szCs w:val="15"/>
                <w:lang w:eastAsia="es-CO"/>
              </w:rPr>
            </w:pPr>
            <w:r w:rsidRPr="00366EFC">
              <w:rPr>
                <w:rFonts w:ascii="Arial Narrow" w:hAnsi="Arial Narrow" w:cs="Arial"/>
                <w:spacing w:val="0"/>
                <w:sz w:val="15"/>
                <w:szCs w:val="15"/>
                <w:lang w:val="en-US" w:eastAsia="es-CO"/>
              </w:rPr>
              <w:t>($ 2.000,00)</w:t>
            </w:r>
          </w:p>
        </w:tc>
        <w:tc>
          <w:tcPr>
            <w:tcW w:w="1300" w:type="dxa"/>
            <w:tcBorders>
              <w:top w:val="nil"/>
              <w:left w:val="nil"/>
              <w:bottom w:val="nil"/>
              <w:right w:val="nil"/>
            </w:tcBorders>
            <w:shd w:val="clear" w:color="auto" w:fill="auto"/>
            <w:noWrap/>
            <w:vAlign w:val="center"/>
            <w:hideMark/>
          </w:tcPr>
          <w:p w14:paraId="56071FC1" w14:textId="77777777" w:rsidR="00BE6D69" w:rsidRPr="00366EFC" w:rsidRDefault="00BE6D69" w:rsidP="00BE6D69">
            <w:pPr>
              <w:jc w:val="right"/>
              <w:rPr>
                <w:rFonts w:ascii="Arial Narrow" w:hAnsi="Arial Narrow" w:cs="Arial"/>
                <w:spacing w:val="0"/>
                <w:sz w:val="15"/>
                <w:szCs w:val="15"/>
                <w:lang w:eastAsia="es-CO"/>
              </w:rPr>
            </w:pPr>
          </w:p>
        </w:tc>
        <w:tc>
          <w:tcPr>
            <w:tcW w:w="1240" w:type="dxa"/>
            <w:tcBorders>
              <w:top w:val="nil"/>
              <w:left w:val="nil"/>
              <w:bottom w:val="nil"/>
              <w:right w:val="nil"/>
            </w:tcBorders>
            <w:shd w:val="clear" w:color="auto" w:fill="auto"/>
            <w:noWrap/>
            <w:vAlign w:val="center"/>
            <w:hideMark/>
          </w:tcPr>
          <w:p w14:paraId="6A5A17F0" w14:textId="77777777" w:rsidR="00BE6D69" w:rsidRPr="00366EFC" w:rsidRDefault="00BE6D69" w:rsidP="00BE6D69">
            <w:pPr>
              <w:jc w:val="left"/>
              <w:rPr>
                <w:rFonts w:ascii="Times New Roman" w:hAnsi="Times New Roman"/>
                <w:spacing w:val="0"/>
                <w:lang w:eastAsia="es-CO"/>
              </w:rPr>
            </w:pPr>
          </w:p>
        </w:tc>
      </w:tr>
      <w:tr w:rsidR="00366EFC" w:rsidRPr="00366EFC" w14:paraId="6B6041D0" w14:textId="77777777" w:rsidTr="00BE6D69">
        <w:trPr>
          <w:trHeight w:val="390"/>
        </w:trPr>
        <w:tc>
          <w:tcPr>
            <w:tcW w:w="480" w:type="dxa"/>
            <w:tcBorders>
              <w:top w:val="nil"/>
              <w:left w:val="nil"/>
              <w:bottom w:val="nil"/>
              <w:right w:val="nil"/>
            </w:tcBorders>
            <w:shd w:val="clear" w:color="auto" w:fill="auto"/>
            <w:noWrap/>
            <w:vAlign w:val="center"/>
            <w:hideMark/>
          </w:tcPr>
          <w:p w14:paraId="68307295" w14:textId="77777777" w:rsidR="00BE6D69" w:rsidRPr="00366EFC" w:rsidRDefault="00BE6D69" w:rsidP="00BE6D69">
            <w:pPr>
              <w:jc w:val="center"/>
              <w:rPr>
                <w:rFonts w:ascii="Arial Narrow" w:hAnsi="Arial Narrow" w:cs="Arial"/>
                <w:spacing w:val="0"/>
                <w:sz w:val="15"/>
                <w:szCs w:val="15"/>
                <w:lang w:eastAsia="es-CO"/>
              </w:rPr>
            </w:pPr>
            <w:r w:rsidRPr="00366EFC">
              <w:rPr>
                <w:rFonts w:ascii="Arial Narrow" w:hAnsi="Arial Narrow" w:cs="Arial"/>
                <w:spacing w:val="0"/>
                <w:sz w:val="15"/>
                <w:szCs w:val="15"/>
                <w:lang w:val="en-US" w:eastAsia="es-CO"/>
              </w:rPr>
              <w:t>20</w:t>
            </w:r>
          </w:p>
        </w:tc>
        <w:tc>
          <w:tcPr>
            <w:tcW w:w="700" w:type="dxa"/>
            <w:tcBorders>
              <w:top w:val="nil"/>
              <w:left w:val="nil"/>
              <w:bottom w:val="nil"/>
              <w:right w:val="nil"/>
            </w:tcBorders>
            <w:shd w:val="clear" w:color="auto" w:fill="auto"/>
            <w:noWrap/>
            <w:vAlign w:val="center"/>
            <w:hideMark/>
          </w:tcPr>
          <w:p w14:paraId="25A8B0EC" w14:textId="77777777" w:rsidR="00BE6D69" w:rsidRPr="00366EFC" w:rsidRDefault="00BE6D69" w:rsidP="00BE6D69">
            <w:pPr>
              <w:jc w:val="center"/>
              <w:rPr>
                <w:rFonts w:ascii="Arial Narrow" w:hAnsi="Arial Narrow" w:cs="Arial"/>
                <w:b/>
                <w:bCs/>
                <w:spacing w:val="0"/>
                <w:sz w:val="15"/>
                <w:szCs w:val="15"/>
                <w:lang w:eastAsia="es-CO"/>
              </w:rPr>
            </w:pPr>
            <w:r w:rsidRPr="00366EFC">
              <w:rPr>
                <w:rFonts w:ascii="Arial Narrow" w:hAnsi="Arial Narrow" w:cs="Arial"/>
                <w:b/>
                <w:bCs/>
                <w:spacing w:val="0"/>
                <w:sz w:val="15"/>
                <w:szCs w:val="15"/>
                <w:lang w:val="en-US" w:eastAsia="es-CO"/>
              </w:rPr>
              <w:t>G</w:t>
            </w:r>
          </w:p>
        </w:tc>
        <w:tc>
          <w:tcPr>
            <w:tcW w:w="760" w:type="dxa"/>
            <w:tcBorders>
              <w:top w:val="nil"/>
              <w:left w:val="nil"/>
              <w:bottom w:val="nil"/>
              <w:right w:val="nil"/>
            </w:tcBorders>
            <w:shd w:val="clear" w:color="000000" w:fill="E2EFDA"/>
            <w:noWrap/>
            <w:vAlign w:val="center"/>
            <w:hideMark/>
          </w:tcPr>
          <w:p w14:paraId="53980BB3" w14:textId="77777777" w:rsidR="00BE6D69" w:rsidRPr="00366EFC" w:rsidRDefault="00BE6D69" w:rsidP="00BE6D69">
            <w:pPr>
              <w:jc w:val="right"/>
              <w:rPr>
                <w:rFonts w:ascii="Arial Narrow" w:hAnsi="Arial Narrow" w:cs="Arial"/>
                <w:spacing w:val="0"/>
                <w:sz w:val="15"/>
                <w:szCs w:val="15"/>
                <w:lang w:eastAsia="es-CO"/>
              </w:rPr>
            </w:pPr>
            <w:r w:rsidRPr="00366EFC">
              <w:rPr>
                <w:rFonts w:ascii="Arial Narrow" w:hAnsi="Arial Narrow" w:cs="Arial"/>
                <w:spacing w:val="0"/>
                <w:sz w:val="15"/>
                <w:szCs w:val="15"/>
                <w:lang w:val="en-US" w:eastAsia="es-CO"/>
              </w:rPr>
              <w:t>Menos</w:t>
            </w:r>
          </w:p>
        </w:tc>
        <w:tc>
          <w:tcPr>
            <w:tcW w:w="2540" w:type="dxa"/>
            <w:tcBorders>
              <w:top w:val="nil"/>
              <w:left w:val="nil"/>
              <w:bottom w:val="nil"/>
              <w:right w:val="nil"/>
            </w:tcBorders>
            <w:shd w:val="clear" w:color="auto" w:fill="auto"/>
            <w:vAlign w:val="center"/>
            <w:hideMark/>
          </w:tcPr>
          <w:p w14:paraId="0B05B430" w14:textId="77777777" w:rsidR="00BE6D69" w:rsidRPr="00366EFC" w:rsidRDefault="00BE6D69" w:rsidP="00BE6D69">
            <w:pPr>
              <w:rPr>
                <w:rFonts w:ascii="Arial Narrow" w:hAnsi="Arial Narrow" w:cs="Arial"/>
                <w:b/>
                <w:bCs/>
                <w:spacing w:val="0"/>
                <w:sz w:val="15"/>
                <w:szCs w:val="15"/>
                <w:lang w:eastAsia="es-CO"/>
              </w:rPr>
            </w:pPr>
            <w:proofErr w:type="spellStart"/>
            <w:r w:rsidRPr="00366EFC">
              <w:rPr>
                <w:rFonts w:ascii="Arial Narrow" w:hAnsi="Arial Narrow" w:cs="Arial"/>
                <w:b/>
                <w:bCs/>
                <w:spacing w:val="0"/>
                <w:sz w:val="15"/>
                <w:szCs w:val="15"/>
                <w:lang w:val="en-US" w:eastAsia="es-CO"/>
              </w:rPr>
              <w:t>Licencias</w:t>
            </w:r>
            <w:proofErr w:type="spellEnd"/>
            <w:r w:rsidRPr="00366EFC">
              <w:rPr>
                <w:rFonts w:ascii="Arial Narrow" w:hAnsi="Arial Narrow" w:cs="Arial"/>
                <w:b/>
                <w:bCs/>
                <w:spacing w:val="0"/>
                <w:sz w:val="15"/>
                <w:szCs w:val="15"/>
                <w:lang w:val="en-US" w:eastAsia="es-CO"/>
              </w:rPr>
              <w:t xml:space="preserve">, </w:t>
            </w:r>
            <w:proofErr w:type="spellStart"/>
            <w:r w:rsidRPr="00366EFC">
              <w:rPr>
                <w:rFonts w:ascii="Arial Narrow" w:hAnsi="Arial Narrow" w:cs="Arial"/>
                <w:b/>
                <w:bCs/>
                <w:spacing w:val="0"/>
                <w:sz w:val="15"/>
                <w:szCs w:val="15"/>
                <w:lang w:val="en-US" w:eastAsia="es-CO"/>
              </w:rPr>
              <w:t>contribuciones</w:t>
            </w:r>
            <w:proofErr w:type="spellEnd"/>
            <w:r w:rsidRPr="00366EFC">
              <w:rPr>
                <w:rFonts w:ascii="Arial Narrow" w:hAnsi="Arial Narrow" w:cs="Arial"/>
                <w:b/>
                <w:bCs/>
                <w:spacing w:val="0"/>
                <w:sz w:val="15"/>
                <w:szCs w:val="15"/>
                <w:lang w:val="en-US" w:eastAsia="es-CO"/>
              </w:rPr>
              <w:t xml:space="preserve"> y </w:t>
            </w:r>
            <w:proofErr w:type="spellStart"/>
            <w:r w:rsidRPr="00366EFC">
              <w:rPr>
                <w:rFonts w:ascii="Arial Narrow" w:hAnsi="Arial Narrow" w:cs="Arial"/>
                <w:b/>
                <w:bCs/>
                <w:spacing w:val="0"/>
                <w:sz w:val="15"/>
                <w:szCs w:val="15"/>
                <w:lang w:val="en-US" w:eastAsia="es-CO"/>
              </w:rPr>
              <w:t>regalías</w:t>
            </w:r>
            <w:proofErr w:type="spellEnd"/>
          </w:p>
        </w:tc>
        <w:tc>
          <w:tcPr>
            <w:tcW w:w="700" w:type="dxa"/>
            <w:tcBorders>
              <w:top w:val="nil"/>
              <w:left w:val="nil"/>
              <w:bottom w:val="nil"/>
              <w:right w:val="nil"/>
            </w:tcBorders>
            <w:shd w:val="clear" w:color="auto" w:fill="auto"/>
            <w:noWrap/>
            <w:vAlign w:val="center"/>
            <w:hideMark/>
          </w:tcPr>
          <w:p w14:paraId="74DE46F6" w14:textId="77777777" w:rsidR="00BE6D69" w:rsidRPr="00366EFC" w:rsidRDefault="00BE6D69" w:rsidP="00BE6D69">
            <w:pPr>
              <w:jc w:val="center"/>
              <w:rPr>
                <w:rFonts w:ascii="Arial Narrow" w:hAnsi="Arial Narrow" w:cs="Arial"/>
                <w:b/>
                <w:bCs/>
                <w:spacing w:val="0"/>
                <w:sz w:val="15"/>
                <w:szCs w:val="15"/>
                <w:lang w:eastAsia="es-CO"/>
              </w:rPr>
            </w:pPr>
            <w:r w:rsidRPr="00366EFC">
              <w:rPr>
                <w:rFonts w:ascii="Arial Narrow" w:hAnsi="Arial Narrow" w:cs="Arial"/>
                <w:b/>
                <w:bCs/>
                <w:spacing w:val="0"/>
                <w:sz w:val="15"/>
                <w:szCs w:val="15"/>
                <w:lang w:val="en-US" w:eastAsia="es-CO"/>
              </w:rPr>
              <w:t>COL$</w:t>
            </w:r>
          </w:p>
        </w:tc>
        <w:tc>
          <w:tcPr>
            <w:tcW w:w="1600" w:type="dxa"/>
            <w:tcBorders>
              <w:top w:val="nil"/>
              <w:left w:val="nil"/>
              <w:bottom w:val="nil"/>
              <w:right w:val="nil"/>
            </w:tcBorders>
            <w:shd w:val="clear" w:color="auto" w:fill="auto"/>
            <w:vAlign w:val="center"/>
            <w:hideMark/>
          </w:tcPr>
          <w:p w14:paraId="0E554E0C" w14:textId="77777777" w:rsidR="00BE6D69" w:rsidRPr="00366EFC" w:rsidRDefault="00BE6D69" w:rsidP="00BE6D69">
            <w:pPr>
              <w:jc w:val="center"/>
              <w:rPr>
                <w:rFonts w:ascii="Arial Narrow" w:hAnsi="Arial Narrow" w:cs="Arial"/>
                <w:spacing w:val="0"/>
                <w:sz w:val="15"/>
                <w:szCs w:val="15"/>
                <w:lang w:eastAsia="es-CO"/>
              </w:rPr>
            </w:pPr>
            <w:proofErr w:type="spellStart"/>
            <w:r w:rsidRPr="00366EFC">
              <w:rPr>
                <w:rFonts w:ascii="Arial Narrow" w:hAnsi="Arial Narrow" w:cs="Arial"/>
                <w:spacing w:val="0"/>
                <w:sz w:val="15"/>
                <w:szCs w:val="15"/>
                <w:lang w:val="en-US" w:eastAsia="es-CO"/>
              </w:rPr>
              <w:t>suma</w:t>
            </w:r>
            <w:proofErr w:type="spellEnd"/>
            <w:r w:rsidRPr="00366EFC">
              <w:rPr>
                <w:rFonts w:ascii="Arial Narrow" w:hAnsi="Arial Narrow" w:cs="Arial"/>
                <w:spacing w:val="0"/>
                <w:sz w:val="15"/>
                <w:szCs w:val="15"/>
                <w:lang w:val="en-US" w:eastAsia="es-CO"/>
              </w:rPr>
              <w:t xml:space="preserve"> ITEM</w:t>
            </w:r>
            <w:r w:rsidRPr="00366EFC">
              <w:rPr>
                <w:rFonts w:ascii="Arial Narrow" w:hAnsi="Arial Narrow" w:cs="Arial"/>
                <w:spacing w:val="0"/>
                <w:sz w:val="15"/>
                <w:szCs w:val="15"/>
                <w:lang w:val="en-US" w:eastAsia="es-CO"/>
              </w:rPr>
              <w:br/>
              <w:t>21 al 31</w:t>
            </w:r>
          </w:p>
        </w:tc>
        <w:tc>
          <w:tcPr>
            <w:tcW w:w="940" w:type="dxa"/>
            <w:tcBorders>
              <w:top w:val="nil"/>
              <w:left w:val="nil"/>
              <w:bottom w:val="nil"/>
              <w:right w:val="nil"/>
            </w:tcBorders>
            <w:shd w:val="clear" w:color="auto" w:fill="auto"/>
            <w:noWrap/>
            <w:vAlign w:val="center"/>
            <w:hideMark/>
          </w:tcPr>
          <w:p w14:paraId="799FCD71" w14:textId="77777777" w:rsidR="00BE6D69" w:rsidRPr="00366EFC" w:rsidRDefault="00BE6D69" w:rsidP="00BE6D69">
            <w:pPr>
              <w:jc w:val="center"/>
              <w:rPr>
                <w:rFonts w:ascii="Arial Narrow" w:hAnsi="Arial Narrow" w:cs="Arial"/>
                <w:spacing w:val="0"/>
                <w:sz w:val="15"/>
                <w:szCs w:val="15"/>
                <w:lang w:eastAsia="es-CO"/>
              </w:rPr>
            </w:pPr>
          </w:p>
        </w:tc>
        <w:tc>
          <w:tcPr>
            <w:tcW w:w="1300" w:type="dxa"/>
            <w:tcBorders>
              <w:top w:val="nil"/>
              <w:left w:val="nil"/>
              <w:bottom w:val="single" w:sz="4" w:space="0" w:color="auto"/>
              <w:right w:val="nil"/>
            </w:tcBorders>
            <w:shd w:val="clear" w:color="000000" w:fill="E2EFDA"/>
            <w:noWrap/>
            <w:vAlign w:val="center"/>
            <w:hideMark/>
          </w:tcPr>
          <w:p w14:paraId="029952E7" w14:textId="77777777" w:rsidR="00BE6D69" w:rsidRPr="00366EFC" w:rsidRDefault="00BE6D69" w:rsidP="00BE6D69">
            <w:pPr>
              <w:jc w:val="right"/>
              <w:rPr>
                <w:rFonts w:ascii="Arial Narrow" w:hAnsi="Arial Narrow" w:cs="Arial"/>
                <w:b/>
                <w:bCs/>
                <w:spacing w:val="0"/>
                <w:sz w:val="15"/>
                <w:szCs w:val="15"/>
                <w:lang w:eastAsia="es-CO"/>
              </w:rPr>
            </w:pPr>
            <w:r w:rsidRPr="00366EFC">
              <w:rPr>
                <w:rFonts w:ascii="Arial Narrow" w:hAnsi="Arial Narrow" w:cs="Arial"/>
                <w:b/>
                <w:bCs/>
                <w:spacing w:val="0"/>
                <w:sz w:val="15"/>
                <w:szCs w:val="15"/>
                <w:lang w:val="en-US" w:eastAsia="es-CO"/>
              </w:rPr>
              <w:t>($ 20.000,00)</w:t>
            </w:r>
          </w:p>
        </w:tc>
        <w:tc>
          <w:tcPr>
            <w:tcW w:w="1240" w:type="dxa"/>
            <w:tcBorders>
              <w:top w:val="nil"/>
              <w:left w:val="nil"/>
              <w:bottom w:val="nil"/>
              <w:right w:val="nil"/>
            </w:tcBorders>
            <w:shd w:val="clear" w:color="auto" w:fill="auto"/>
            <w:noWrap/>
            <w:vAlign w:val="center"/>
            <w:hideMark/>
          </w:tcPr>
          <w:p w14:paraId="4F0E1C4B" w14:textId="77777777" w:rsidR="00BE6D69" w:rsidRPr="00366EFC" w:rsidRDefault="00BE6D69" w:rsidP="00BE6D69">
            <w:pPr>
              <w:jc w:val="right"/>
              <w:rPr>
                <w:rFonts w:ascii="Arial Narrow" w:hAnsi="Arial Narrow" w:cs="Arial"/>
                <w:b/>
                <w:bCs/>
                <w:spacing w:val="0"/>
                <w:sz w:val="15"/>
                <w:szCs w:val="15"/>
                <w:lang w:eastAsia="es-CO"/>
              </w:rPr>
            </w:pPr>
            <w:r w:rsidRPr="00366EFC">
              <w:rPr>
                <w:rFonts w:ascii="Arial Narrow" w:hAnsi="Arial Narrow" w:cs="Arial"/>
                <w:b/>
                <w:bCs/>
                <w:spacing w:val="0"/>
                <w:sz w:val="15"/>
                <w:szCs w:val="15"/>
                <w:lang w:val="en-US" w:eastAsia="es-CO"/>
              </w:rPr>
              <w:t>($ 20.000,00)</w:t>
            </w:r>
          </w:p>
        </w:tc>
      </w:tr>
      <w:tr w:rsidR="00366EFC" w:rsidRPr="00366EFC" w14:paraId="0476005C" w14:textId="77777777" w:rsidTr="00BE6D69">
        <w:trPr>
          <w:trHeight w:val="300"/>
        </w:trPr>
        <w:tc>
          <w:tcPr>
            <w:tcW w:w="480" w:type="dxa"/>
            <w:tcBorders>
              <w:top w:val="nil"/>
              <w:left w:val="nil"/>
              <w:bottom w:val="nil"/>
              <w:right w:val="nil"/>
            </w:tcBorders>
            <w:shd w:val="clear" w:color="auto" w:fill="auto"/>
            <w:noWrap/>
            <w:vAlign w:val="center"/>
            <w:hideMark/>
          </w:tcPr>
          <w:p w14:paraId="66C9ADDD" w14:textId="77777777" w:rsidR="00BE6D69" w:rsidRPr="00366EFC" w:rsidRDefault="00BE6D69" w:rsidP="00BE6D69">
            <w:pPr>
              <w:jc w:val="center"/>
              <w:rPr>
                <w:rFonts w:ascii="Arial Narrow" w:hAnsi="Arial Narrow" w:cs="Arial"/>
                <w:spacing w:val="0"/>
                <w:sz w:val="15"/>
                <w:szCs w:val="15"/>
                <w:lang w:eastAsia="es-CO"/>
              </w:rPr>
            </w:pPr>
            <w:r w:rsidRPr="00366EFC">
              <w:rPr>
                <w:rFonts w:ascii="Arial Narrow" w:hAnsi="Arial Narrow" w:cs="Arial"/>
                <w:spacing w:val="0"/>
                <w:sz w:val="15"/>
                <w:szCs w:val="15"/>
                <w:lang w:val="en-US" w:eastAsia="es-CO"/>
              </w:rPr>
              <w:t>21</w:t>
            </w:r>
          </w:p>
        </w:tc>
        <w:tc>
          <w:tcPr>
            <w:tcW w:w="700" w:type="dxa"/>
            <w:tcBorders>
              <w:top w:val="nil"/>
              <w:left w:val="nil"/>
              <w:bottom w:val="nil"/>
              <w:right w:val="nil"/>
            </w:tcBorders>
            <w:shd w:val="clear" w:color="auto" w:fill="auto"/>
            <w:noWrap/>
            <w:vAlign w:val="center"/>
            <w:hideMark/>
          </w:tcPr>
          <w:p w14:paraId="621FE74D" w14:textId="77777777" w:rsidR="00BE6D69" w:rsidRPr="00366EFC" w:rsidRDefault="00BE6D69" w:rsidP="00BE6D69">
            <w:pPr>
              <w:jc w:val="center"/>
              <w:rPr>
                <w:rFonts w:ascii="Arial Narrow" w:hAnsi="Arial Narrow" w:cs="Arial"/>
                <w:spacing w:val="0"/>
                <w:sz w:val="15"/>
                <w:szCs w:val="15"/>
                <w:lang w:eastAsia="es-CO"/>
              </w:rPr>
            </w:pPr>
            <w:r w:rsidRPr="00366EFC">
              <w:rPr>
                <w:rFonts w:ascii="Arial Narrow" w:hAnsi="Arial Narrow" w:cs="Arial"/>
                <w:spacing w:val="0"/>
                <w:sz w:val="15"/>
                <w:szCs w:val="15"/>
                <w:lang w:val="en-US" w:eastAsia="es-CO"/>
              </w:rPr>
              <w:t>G1</w:t>
            </w:r>
          </w:p>
        </w:tc>
        <w:tc>
          <w:tcPr>
            <w:tcW w:w="760" w:type="dxa"/>
            <w:tcBorders>
              <w:top w:val="nil"/>
              <w:left w:val="nil"/>
              <w:bottom w:val="nil"/>
              <w:right w:val="nil"/>
            </w:tcBorders>
            <w:shd w:val="clear" w:color="000000" w:fill="E2EFDA"/>
            <w:noWrap/>
            <w:vAlign w:val="center"/>
            <w:hideMark/>
          </w:tcPr>
          <w:p w14:paraId="7CF96403" w14:textId="77777777" w:rsidR="00BE6D69" w:rsidRPr="00366EFC" w:rsidRDefault="00BE6D69" w:rsidP="00BE6D69">
            <w:pPr>
              <w:jc w:val="right"/>
              <w:rPr>
                <w:rFonts w:ascii="Arial Narrow" w:hAnsi="Arial Narrow" w:cs="Arial"/>
                <w:spacing w:val="0"/>
                <w:sz w:val="15"/>
                <w:szCs w:val="15"/>
                <w:lang w:eastAsia="es-CO"/>
              </w:rPr>
            </w:pPr>
            <w:r w:rsidRPr="00366EFC">
              <w:rPr>
                <w:rFonts w:ascii="Arial Narrow" w:hAnsi="Arial Narrow" w:cs="Arial"/>
                <w:spacing w:val="0"/>
                <w:sz w:val="15"/>
                <w:szCs w:val="15"/>
                <w:lang w:val="en-US" w:eastAsia="es-CO"/>
              </w:rPr>
              <w:t> </w:t>
            </w:r>
          </w:p>
        </w:tc>
        <w:tc>
          <w:tcPr>
            <w:tcW w:w="2540" w:type="dxa"/>
            <w:tcBorders>
              <w:top w:val="nil"/>
              <w:left w:val="nil"/>
              <w:bottom w:val="nil"/>
              <w:right w:val="nil"/>
            </w:tcBorders>
            <w:shd w:val="clear" w:color="auto" w:fill="auto"/>
            <w:vAlign w:val="center"/>
            <w:hideMark/>
          </w:tcPr>
          <w:p w14:paraId="067ECEA4" w14:textId="77777777" w:rsidR="00BE6D69" w:rsidRPr="00366EFC" w:rsidRDefault="00BE6D69" w:rsidP="00BE6D69">
            <w:pPr>
              <w:rPr>
                <w:rFonts w:ascii="Arial Narrow" w:hAnsi="Arial Narrow" w:cs="Arial"/>
                <w:spacing w:val="0"/>
                <w:sz w:val="15"/>
                <w:szCs w:val="15"/>
                <w:lang w:eastAsia="es-CO"/>
              </w:rPr>
            </w:pPr>
            <w:r w:rsidRPr="00366EFC">
              <w:rPr>
                <w:rFonts w:ascii="Arial Narrow" w:hAnsi="Arial Narrow" w:cs="Calibri"/>
                <w:spacing w:val="0"/>
                <w:sz w:val="15"/>
                <w:szCs w:val="15"/>
                <w:lang w:eastAsia="es-CO"/>
              </w:rPr>
              <w:t xml:space="preserve">Secretaría </w:t>
            </w:r>
            <w:proofErr w:type="spellStart"/>
            <w:r w:rsidRPr="00366EFC">
              <w:rPr>
                <w:rFonts w:ascii="Arial Narrow" w:hAnsi="Arial Narrow" w:cs="Calibri"/>
                <w:spacing w:val="0"/>
                <w:sz w:val="15"/>
                <w:szCs w:val="15"/>
                <w:lang w:eastAsia="es-CO"/>
              </w:rPr>
              <w:t>Distrita</w:t>
            </w:r>
            <w:proofErr w:type="spellEnd"/>
            <w:r w:rsidRPr="00366EFC">
              <w:rPr>
                <w:rFonts w:ascii="Arial Narrow" w:hAnsi="Arial Narrow" w:cs="Calibri"/>
                <w:spacing w:val="0"/>
                <w:sz w:val="15"/>
                <w:szCs w:val="15"/>
                <w:lang w:eastAsia="es-CO"/>
              </w:rPr>
              <w:t xml:space="preserve"> del Medio Ambiente</w:t>
            </w:r>
          </w:p>
        </w:tc>
        <w:tc>
          <w:tcPr>
            <w:tcW w:w="700" w:type="dxa"/>
            <w:tcBorders>
              <w:top w:val="nil"/>
              <w:left w:val="nil"/>
              <w:bottom w:val="nil"/>
              <w:right w:val="nil"/>
            </w:tcBorders>
            <w:shd w:val="clear" w:color="auto" w:fill="auto"/>
            <w:noWrap/>
            <w:vAlign w:val="center"/>
            <w:hideMark/>
          </w:tcPr>
          <w:p w14:paraId="49CA0D52" w14:textId="77777777" w:rsidR="00BE6D69" w:rsidRPr="00366EFC" w:rsidRDefault="00BE6D69" w:rsidP="00BE6D69">
            <w:pPr>
              <w:jc w:val="center"/>
              <w:rPr>
                <w:rFonts w:ascii="Arial Narrow" w:hAnsi="Arial Narrow" w:cs="Arial"/>
                <w:b/>
                <w:bCs/>
                <w:spacing w:val="0"/>
                <w:sz w:val="15"/>
                <w:szCs w:val="15"/>
                <w:lang w:eastAsia="es-CO"/>
              </w:rPr>
            </w:pPr>
            <w:r w:rsidRPr="00366EFC">
              <w:rPr>
                <w:rFonts w:ascii="Arial Narrow" w:hAnsi="Arial Narrow" w:cs="Arial"/>
                <w:b/>
                <w:bCs/>
                <w:spacing w:val="0"/>
                <w:sz w:val="15"/>
                <w:szCs w:val="15"/>
                <w:lang w:val="en-US" w:eastAsia="es-CO"/>
              </w:rPr>
              <w:t>COL$</w:t>
            </w:r>
          </w:p>
        </w:tc>
        <w:tc>
          <w:tcPr>
            <w:tcW w:w="1600" w:type="dxa"/>
            <w:tcBorders>
              <w:top w:val="nil"/>
              <w:left w:val="nil"/>
              <w:bottom w:val="nil"/>
              <w:right w:val="nil"/>
            </w:tcBorders>
            <w:shd w:val="clear" w:color="auto" w:fill="auto"/>
            <w:vAlign w:val="center"/>
            <w:hideMark/>
          </w:tcPr>
          <w:p w14:paraId="676DCEEA" w14:textId="77777777" w:rsidR="00BE6D69" w:rsidRPr="00366EFC" w:rsidRDefault="00BE6D69" w:rsidP="00BE6D69">
            <w:pPr>
              <w:jc w:val="center"/>
              <w:rPr>
                <w:rFonts w:ascii="Arial Narrow" w:hAnsi="Arial Narrow" w:cs="Arial"/>
                <w:b/>
                <w:bCs/>
                <w:spacing w:val="0"/>
                <w:sz w:val="15"/>
                <w:szCs w:val="15"/>
                <w:lang w:eastAsia="es-CO"/>
              </w:rPr>
            </w:pPr>
          </w:p>
        </w:tc>
        <w:tc>
          <w:tcPr>
            <w:tcW w:w="940" w:type="dxa"/>
            <w:tcBorders>
              <w:top w:val="nil"/>
              <w:left w:val="nil"/>
              <w:bottom w:val="nil"/>
              <w:right w:val="nil"/>
            </w:tcBorders>
            <w:shd w:val="clear" w:color="000000" w:fill="E2EFDA"/>
            <w:noWrap/>
            <w:vAlign w:val="center"/>
            <w:hideMark/>
          </w:tcPr>
          <w:p w14:paraId="7AA7D5D3" w14:textId="77777777" w:rsidR="00BE6D69" w:rsidRPr="00366EFC" w:rsidRDefault="00BE6D69" w:rsidP="00BE6D69">
            <w:pPr>
              <w:jc w:val="right"/>
              <w:rPr>
                <w:rFonts w:ascii="Arial Narrow" w:hAnsi="Arial Narrow" w:cs="Arial"/>
                <w:spacing w:val="0"/>
                <w:sz w:val="15"/>
                <w:szCs w:val="15"/>
                <w:lang w:eastAsia="es-CO"/>
              </w:rPr>
            </w:pPr>
            <w:r w:rsidRPr="00366EFC">
              <w:rPr>
                <w:rFonts w:ascii="Arial Narrow" w:hAnsi="Arial Narrow" w:cs="Arial"/>
                <w:spacing w:val="0"/>
                <w:sz w:val="15"/>
                <w:szCs w:val="15"/>
                <w:lang w:val="en-US" w:eastAsia="es-CO"/>
              </w:rPr>
              <w:t>($ 2.000,00)</w:t>
            </w:r>
          </w:p>
        </w:tc>
        <w:tc>
          <w:tcPr>
            <w:tcW w:w="1300" w:type="dxa"/>
            <w:tcBorders>
              <w:top w:val="nil"/>
              <w:left w:val="nil"/>
              <w:bottom w:val="nil"/>
              <w:right w:val="nil"/>
            </w:tcBorders>
            <w:shd w:val="clear" w:color="auto" w:fill="auto"/>
            <w:noWrap/>
            <w:vAlign w:val="center"/>
            <w:hideMark/>
          </w:tcPr>
          <w:p w14:paraId="13C2F24C" w14:textId="77777777" w:rsidR="00BE6D69" w:rsidRPr="00366EFC" w:rsidRDefault="00BE6D69" w:rsidP="00BE6D69">
            <w:pPr>
              <w:jc w:val="right"/>
              <w:rPr>
                <w:rFonts w:ascii="Arial Narrow" w:hAnsi="Arial Narrow" w:cs="Arial"/>
                <w:spacing w:val="0"/>
                <w:sz w:val="15"/>
                <w:szCs w:val="15"/>
                <w:lang w:eastAsia="es-CO"/>
              </w:rPr>
            </w:pPr>
          </w:p>
        </w:tc>
        <w:tc>
          <w:tcPr>
            <w:tcW w:w="1240" w:type="dxa"/>
            <w:tcBorders>
              <w:top w:val="nil"/>
              <w:left w:val="nil"/>
              <w:bottom w:val="nil"/>
              <w:right w:val="nil"/>
            </w:tcBorders>
            <w:shd w:val="clear" w:color="auto" w:fill="auto"/>
            <w:noWrap/>
            <w:vAlign w:val="center"/>
            <w:hideMark/>
          </w:tcPr>
          <w:p w14:paraId="38D5FDCA" w14:textId="77777777" w:rsidR="00BE6D69" w:rsidRPr="00366EFC" w:rsidRDefault="00BE6D69" w:rsidP="00BE6D69">
            <w:pPr>
              <w:jc w:val="left"/>
              <w:rPr>
                <w:rFonts w:ascii="Times New Roman" w:hAnsi="Times New Roman"/>
                <w:spacing w:val="0"/>
                <w:lang w:eastAsia="es-CO"/>
              </w:rPr>
            </w:pPr>
          </w:p>
        </w:tc>
      </w:tr>
      <w:tr w:rsidR="00366EFC" w:rsidRPr="00366EFC" w14:paraId="42B803BA" w14:textId="77777777" w:rsidTr="00BE6D69">
        <w:trPr>
          <w:trHeight w:val="255"/>
        </w:trPr>
        <w:tc>
          <w:tcPr>
            <w:tcW w:w="480" w:type="dxa"/>
            <w:tcBorders>
              <w:top w:val="nil"/>
              <w:left w:val="nil"/>
              <w:bottom w:val="nil"/>
              <w:right w:val="nil"/>
            </w:tcBorders>
            <w:shd w:val="clear" w:color="auto" w:fill="auto"/>
            <w:noWrap/>
            <w:vAlign w:val="center"/>
            <w:hideMark/>
          </w:tcPr>
          <w:p w14:paraId="3DF871F5" w14:textId="77777777" w:rsidR="00BE6D69" w:rsidRPr="00366EFC" w:rsidRDefault="00BE6D69" w:rsidP="00BE6D69">
            <w:pPr>
              <w:jc w:val="center"/>
              <w:rPr>
                <w:rFonts w:ascii="Arial Narrow" w:hAnsi="Arial Narrow" w:cs="Arial"/>
                <w:spacing w:val="0"/>
                <w:sz w:val="15"/>
                <w:szCs w:val="15"/>
                <w:lang w:eastAsia="es-CO"/>
              </w:rPr>
            </w:pPr>
            <w:r w:rsidRPr="00366EFC">
              <w:rPr>
                <w:rFonts w:ascii="Arial Narrow" w:hAnsi="Arial Narrow" w:cs="Arial"/>
                <w:spacing w:val="0"/>
                <w:sz w:val="15"/>
                <w:szCs w:val="15"/>
                <w:lang w:val="en-US" w:eastAsia="es-CO"/>
              </w:rPr>
              <w:t>22</w:t>
            </w:r>
          </w:p>
        </w:tc>
        <w:tc>
          <w:tcPr>
            <w:tcW w:w="700" w:type="dxa"/>
            <w:tcBorders>
              <w:top w:val="nil"/>
              <w:left w:val="nil"/>
              <w:bottom w:val="nil"/>
              <w:right w:val="nil"/>
            </w:tcBorders>
            <w:shd w:val="clear" w:color="auto" w:fill="auto"/>
            <w:noWrap/>
            <w:vAlign w:val="center"/>
            <w:hideMark/>
          </w:tcPr>
          <w:p w14:paraId="7F38A81B" w14:textId="77777777" w:rsidR="00BE6D69" w:rsidRPr="00366EFC" w:rsidRDefault="00BE6D69" w:rsidP="00BE6D69">
            <w:pPr>
              <w:jc w:val="center"/>
              <w:rPr>
                <w:rFonts w:ascii="Arial Narrow" w:hAnsi="Arial Narrow" w:cs="Arial"/>
                <w:spacing w:val="0"/>
                <w:sz w:val="15"/>
                <w:szCs w:val="15"/>
                <w:lang w:eastAsia="es-CO"/>
              </w:rPr>
            </w:pPr>
            <w:r w:rsidRPr="00366EFC">
              <w:rPr>
                <w:rFonts w:ascii="Arial Narrow" w:hAnsi="Arial Narrow" w:cs="Arial"/>
                <w:spacing w:val="0"/>
                <w:sz w:val="15"/>
                <w:szCs w:val="15"/>
                <w:lang w:val="en-US" w:eastAsia="es-CO"/>
              </w:rPr>
              <w:t>G2</w:t>
            </w:r>
          </w:p>
        </w:tc>
        <w:tc>
          <w:tcPr>
            <w:tcW w:w="760" w:type="dxa"/>
            <w:tcBorders>
              <w:top w:val="nil"/>
              <w:left w:val="nil"/>
              <w:bottom w:val="nil"/>
              <w:right w:val="nil"/>
            </w:tcBorders>
            <w:shd w:val="clear" w:color="000000" w:fill="E2EFDA"/>
            <w:noWrap/>
            <w:vAlign w:val="center"/>
            <w:hideMark/>
          </w:tcPr>
          <w:p w14:paraId="3B96076C" w14:textId="77777777" w:rsidR="00BE6D69" w:rsidRPr="00366EFC" w:rsidRDefault="00BE6D69" w:rsidP="00BE6D69">
            <w:pPr>
              <w:jc w:val="right"/>
              <w:rPr>
                <w:rFonts w:ascii="Arial Narrow" w:hAnsi="Arial Narrow" w:cs="Arial"/>
                <w:spacing w:val="0"/>
                <w:sz w:val="15"/>
                <w:szCs w:val="15"/>
                <w:lang w:eastAsia="es-CO"/>
              </w:rPr>
            </w:pPr>
            <w:r w:rsidRPr="00366EFC">
              <w:rPr>
                <w:rFonts w:ascii="Arial Narrow" w:hAnsi="Arial Narrow" w:cs="Arial"/>
                <w:spacing w:val="0"/>
                <w:sz w:val="15"/>
                <w:szCs w:val="15"/>
                <w:lang w:val="en-US" w:eastAsia="es-CO"/>
              </w:rPr>
              <w:t> </w:t>
            </w:r>
          </w:p>
        </w:tc>
        <w:tc>
          <w:tcPr>
            <w:tcW w:w="2540" w:type="dxa"/>
            <w:tcBorders>
              <w:top w:val="nil"/>
              <w:left w:val="nil"/>
              <w:bottom w:val="nil"/>
              <w:right w:val="nil"/>
            </w:tcBorders>
            <w:shd w:val="clear" w:color="auto" w:fill="auto"/>
            <w:vAlign w:val="center"/>
            <w:hideMark/>
          </w:tcPr>
          <w:p w14:paraId="05A79E91" w14:textId="77777777" w:rsidR="00BE6D69" w:rsidRPr="00366EFC" w:rsidRDefault="00BE6D69" w:rsidP="00BE6D69">
            <w:pPr>
              <w:rPr>
                <w:rFonts w:ascii="Arial Narrow" w:hAnsi="Arial Narrow" w:cs="Arial"/>
                <w:spacing w:val="0"/>
                <w:sz w:val="15"/>
                <w:szCs w:val="15"/>
                <w:lang w:eastAsia="es-CO"/>
              </w:rPr>
            </w:pPr>
            <w:r w:rsidRPr="00366EFC">
              <w:rPr>
                <w:rFonts w:ascii="Arial Narrow" w:hAnsi="Arial Narrow" w:cs="Arial"/>
                <w:spacing w:val="0"/>
                <w:sz w:val="15"/>
                <w:szCs w:val="15"/>
                <w:lang w:val="en-US" w:eastAsia="es-CO"/>
              </w:rPr>
              <w:t>Ley 56 de 1981</w:t>
            </w:r>
          </w:p>
        </w:tc>
        <w:tc>
          <w:tcPr>
            <w:tcW w:w="700" w:type="dxa"/>
            <w:tcBorders>
              <w:top w:val="nil"/>
              <w:left w:val="nil"/>
              <w:bottom w:val="nil"/>
              <w:right w:val="nil"/>
            </w:tcBorders>
            <w:shd w:val="clear" w:color="auto" w:fill="auto"/>
            <w:noWrap/>
            <w:vAlign w:val="center"/>
            <w:hideMark/>
          </w:tcPr>
          <w:p w14:paraId="0A7ADC79" w14:textId="77777777" w:rsidR="00BE6D69" w:rsidRPr="00366EFC" w:rsidRDefault="00BE6D69" w:rsidP="00BE6D69">
            <w:pPr>
              <w:jc w:val="center"/>
              <w:rPr>
                <w:rFonts w:ascii="Arial Narrow" w:hAnsi="Arial Narrow" w:cs="Arial"/>
                <w:b/>
                <w:bCs/>
                <w:spacing w:val="0"/>
                <w:sz w:val="15"/>
                <w:szCs w:val="15"/>
                <w:lang w:eastAsia="es-CO"/>
              </w:rPr>
            </w:pPr>
            <w:r w:rsidRPr="00366EFC">
              <w:rPr>
                <w:rFonts w:ascii="Arial Narrow" w:hAnsi="Arial Narrow" w:cs="Arial"/>
                <w:b/>
                <w:bCs/>
                <w:spacing w:val="0"/>
                <w:sz w:val="15"/>
                <w:szCs w:val="15"/>
                <w:lang w:val="en-US" w:eastAsia="es-CO"/>
              </w:rPr>
              <w:t>COL$</w:t>
            </w:r>
          </w:p>
        </w:tc>
        <w:tc>
          <w:tcPr>
            <w:tcW w:w="1600" w:type="dxa"/>
            <w:tcBorders>
              <w:top w:val="nil"/>
              <w:left w:val="nil"/>
              <w:bottom w:val="nil"/>
              <w:right w:val="nil"/>
            </w:tcBorders>
            <w:shd w:val="clear" w:color="auto" w:fill="auto"/>
            <w:vAlign w:val="center"/>
            <w:hideMark/>
          </w:tcPr>
          <w:p w14:paraId="2668BF7D" w14:textId="77777777" w:rsidR="00BE6D69" w:rsidRPr="00366EFC" w:rsidRDefault="00BE6D69" w:rsidP="00BE6D69">
            <w:pPr>
              <w:jc w:val="center"/>
              <w:rPr>
                <w:rFonts w:ascii="Arial Narrow" w:hAnsi="Arial Narrow" w:cs="Arial"/>
                <w:b/>
                <w:bCs/>
                <w:spacing w:val="0"/>
                <w:sz w:val="15"/>
                <w:szCs w:val="15"/>
                <w:lang w:eastAsia="es-CO"/>
              </w:rPr>
            </w:pPr>
          </w:p>
        </w:tc>
        <w:tc>
          <w:tcPr>
            <w:tcW w:w="940" w:type="dxa"/>
            <w:tcBorders>
              <w:top w:val="nil"/>
              <w:left w:val="nil"/>
              <w:bottom w:val="nil"/>
              <w:right w:val="nil"/>
            </w:tcBorders>
            <w:shd w:val="clear" w:color="000000" w:fill="E2EFDA"/>
            <w:noWrap/>
            <w:vAlign w:val="center"/>
            <w:hideMark/>
          </w:tcPr>
          <w:p w14:paraId="1B86D45C" w14:textId="77777777" w:rsidR="00BE6D69" w:rsidRPr="00366EFC" w:rsidRDefault="00BE6D69" w:rsidP="00BE6D69">
            <w:pPr>
              <w:jc w:val="right"/>
              <w:rPr>
                <w:rFonts w:ascii="Arial Narrow" w:hAnsi="Arial Narrow" w:cs="Arial"/>
                <w:spacing w:val="0"/>
                <w:sz w:val="15"/>
                <w:szCs w:val="15"/>
                <w:lang w:eastAsia="es-CO"/>
              </w:rPr>
            </w:pPr>
            <w:r w:rsidRPr="00366EFC">
              <w:rPr>
                <w:rFonts w:ascii="Arial Narrow" w:hAnsi="Arial Narrow" w:cs="Arial"/>
                <w:spacing w:val="0"/>
                <w:sz w:val="15"/>
                <w:szCs w:val="15"/>
                <w:lang w:val="en-US" w:eastAsia="es-CO"/>
              </w:rPr>
              <w:t>($ 3.000,00)</w:t>
            </w:r>
          </w:p>
        </w:tc>
        <w:tc>
          <w:tcPr>
            <w:tcW w:w="1300" w:type="dxa"/>
            <w:tcBorders>
              <w:top w:val="nil"/>
              <w:left w:val="nil"/>
              <w:bottom w:val="nil"/>
              <w:right w:val="nil"/>
            </w:tcBorders>
            <w:shd w:val="clear" w:color="auto" w:fill="auto"/>
            <w:noWrap/>
            <w:vAlign w:val="center"/>
            <w:hideMark/>
          </w:tcPr>
          <w:p w14:paraId="1E8D9EDF" w14:textId="77777777" w:rsidR="00BE6D69" w:rsidRPr="00366EFC" w:rsidRDefault="00BE6D69" w:rsidP="00BE6D69">
            <w:pPr>
              <w:jc w:val="right"/>
              <w:rPr>
                <w:rFonts w:ascii="Arial Narrow" w:hAnsi="Arial Narrow" w:cs="Arial"/>
                <w:spacing w:val="0"/>
                <w:sz w:val="15"/>
                <w:szCs w:val="15"/>
                <w:lang w:eastAsia="es-CO"/>
              </w:rPr>
            </w:pPr>
          </w:p>
        </w:tc>
        <w:tc>
          <w:tcPr>
            <w:tcW w:w="1240" w:type="dxa"/>
            <w:tcBorders>
              <w:top w:val="nil"/>
              <w:left w:val="nil"/>
              <w:bottom w:val="nil"/>
              <w:right w:val="nil"/>
            </w:tcBorders>
            <w:shd w:val="clear" w:color="auto" w:fill="auto"/>
            <w:noWrap/>
            <w:vAlign w:val="center"/>
            <w:hideMark/>
          </w:tcPr>
          <w:p w14:paraId="3A14957F" w14:textId="77777777" w:rsidR="00BE6D69" w:rsidRPr="00366EFC" w:rsidRDefault="00BE6D69" w:rsidP="00BE6D69">
            <w:pPr>
              <w:jc w:val="left"/>
              <w:rPr>
                <w:rFonts w:ascii="Times New Roman" w:hAnsi="Times New Roman"/>
                <w:spacing w:val="0"/>
                <w:lang w:eastAsia="es-CO"/>
              </w:rPr>
            </w:pPr>
          </w:p>
        </w:tc>
      </w:tr>
      <w:tr w:rsidR="00366EFC" w:rsidRPr="00366EFC" w14:paraId="5D8ACBE5" w14:textId="77777777" w:rsidTr="00BE6D69">
        <w:trPr>
          <w:trHeight w:val="255"/>
        </w:trPr>
        <w:tc>
          <w:tcPr>
            <w:tcW w:w="480" w:type="dxa"/>
            <w:tcBorders>
              <w:top w:val="nil"/>
              <w:left w:val="nil"/>
              <w:bottom w:val="nil"/>
              <w:right w:val="nil"/>
            </w:tcBorders>
            <w:shd w:val="clear" w:color="auto" w:fill="auto"/>
            <w:noWrap/>
            <w:vAlign w:val="center"/>
            <w:hideMark/>
          </w:tcPr>
          <w:p w14:paraId="2873C133" w14:textId="77777777" w:rsidR="00BE6D69" w:rsidRPr="00366EFC" w:rsidRDefault="00BE6D69" w:rsidP="00BE6D69">
            <w:pPr>
              <w:jc w:val="center"/>
              <w:rPr>
                <w:rFonts w:ascii="Arial Narrow" w:hAnsi="Arial Narrow" w:cs="Arial"/>
                <w:spacing w:val="0"/>
                <w:sz w:val="15"/>
                <w:szCs w:val="15"/>
                <w:lang w:eastAsia="es-CO"/>
              </w:rPr>
            </w:pPr>
            <w:r w:rsidRPr="00366EFC">
              <w:rPr>
                <w:rFonts w:ascii="Arial Narrow" w:hAnsi="Arial Narrow" w:cs="Arial"/>
                <w:spacing w:val="0"/>
                <w:sz w:val="15"/>
                <w:szCs w:val="15"/>
                <w:lang w:val="en-US" w:eastAsia="es-CO"/>
              </w:rPr>
              <w:t>23</w:t>
            </w:r>
          </w:p>
        </w:tc>
        <w:tc>
          <w:tcPr>
            <w:tcW w:w="700" w:type="dxa"/>
            <w:tcBorders>
              <w:top w:val="nil"/>
              <w:left w:val="nil"/>
              <w:bottom w:val="nil"/>
              <w:right w:val="nil"/>
            </w:tcBorders>
            <w:shd w:val="clear" w:color="auto" w:fill="auto"/>
            <w:noWrap/>
            <w:vAlign w:val="center"/>
            <w:hideMark/>
          </w:tcPr>
          <w:p w14:paraId="7BC79811" w14:textId="77777777" w:rsidR="00BE6D69" w:rsidRPr="00366EFC" w:rsidRDefault="00BE6D69" w:rsidP="00BE6D69">
            <w:pPr>
              <w:jc w:val="center"/>
              <w:rPr>
                <w:rFonts w:ascii="Arial Narrow" w:hAnsi="Arial Narrow" w:cs="Arial"/>
                <w:spacing w:val="0"/>
                <w:sz w:val="15"/>
                <w:szCs w:val="15"/>
                <w:lang w:eastAsia="es-CO"/>
              </w:rPr>
            </w:pPr>
            <w:r w:rsidRPr="00366EFC">
              <w:rPr>
                <w:rFonts w:ascii="Arial Narrow" w:hAnsi="Arial Narrow" w:cs="Arial"/>
                <w:spacing w:val="0"/>
                <w:sz w:val="15"/>
                <w:szCs w:val="15"/>
                <w:lang w:val="en-US" w:eastAsia="es-CO"/>
              </w:rPr>
              <w:t>G3</w:t>
            </w:r>
          </w:p>
        </w:tc>
        <w:tc>
          <w:tcPr>
            <w:tcW w:w="760" w:type="dxa"/>
            <w:tcBorders>
              <w:top w:val="nil"/>
              <w:left w:val="nil"/>
              <w:bottom w:val="nil"/>
              <w:right w:val="nil"/>
            </w:tcBorders>
            <w:shd w:val="clear" w:color="000000" w:fill="E2EFDA"/>
            <w:noWrap/>
            <w:vAlign w:val="center"/>
            <w:hideMark/>
          </w:tcPr>
          <w:p w14:paraId="3321BC83" w14:textId="77777777" w:rsidR="00BE6D69" w:rsidRPr="00366EFC" w:rsidRDefault="00BE6D69" w:rsidP="00BE6D69">
            <w:pPr>
              <w:jc w:val="right"/>
              <w:rPr>
                <w:rFonts w:ascii="Arial Narrow" w:hAnsi="Arial Narrow" w:cs="Arial"/>
                <w:spacing w:val="0"/>
                <w:sz w:val="15"/>
                <w:szCs w:val="15"/>
                <w:lang w:eastAsia="es-CO"/>
              </w:rPr>
            </w:pPr>
            <w:r w:rsidRPr="00366EFC">
              <w:rPr>
                <w:rFonts w:ascii="Arial Narrow" w:hAnsi="Arial Narrow" w:cs="Arial"/>
                <w:spacing w:val="0"/>
                <w:sz w:val="15"/>
                <w:szCs w:val="15"/>
                <w:lang w:val="en-US" w:eastAsia="es-CO"/>
              </w:rPr>
              <w:t> </w:t>
            </w:r>
          </w:p>
        </w:tc>
        <w:tc>
          <w:tcPr>
            <w:tcW w:w="2540" w:type="dxa"/>
            <w:tcBorders>
              <w:top w:val="nil"/>
              <w:left w:val="nil"/>
              <w:bottom w:val="nil"/>
              <w:right w:val="nil"/>
            </w:tcBorders>
            <w:shd w:val="clear" w:color="auto" w:fill="auto"/>
            <w:vAlign w:val="center"/>
            <w:hideMark/>
          </w:tcPr>
          <w:p w14:paraId="3049BCA4" w14:textId="77777777" w:rsidR="00BE6D69" w:rsidRPr="00366EFC" w:rsidRDefault="00BE6D69" w:rsidP="00BE6D69">
            <w:pPr>
              <w:rPr>
                <w:rFonts w:ascii="Arial Narrow" w:hAnsi="Arial Narrow" w:cs="Arial"/>
                <w:spacing w:val="0"/>
                <w:sz w:val="15"/>
                <w:szCs w:val="15"/>
                <w:lang w:eastAsia="es-CO"/>
              </w:rPr>
            </w:pPr>
            <w:r w:rsidRPr="00366EFC">
              <w:rPr>
                <w:rFonts w:ascii="Arial Narrow" w:hAnsi="Arial Narrow" w:cs="Arial"/>
                <w:spacing w:val="0"/>
                <w:sz w:val="15"/>
                <w:szCs w:val="15"/>
                <w:lang w:val="en-US" w:eastAsia="es-CO"/>
              </w:rPr>
              <w:t xml:space="preserve">Medio </w:t>
            </w:r>
            <w:proofErr w:type="spellStart"/>
            <w:r w:rsidRPr="00366EFC">
              <w:rPr>
                <w:rFonts w:ascii="Arial Narrow" w:hAnsi="Arial Narrow" w:cs="Arial"/>
                <w:spacing w:val="0"/>
                <w:sz w:val="15"/>
                <w:szCs w:val="15"/>
                <w:lang w:val="en-US" w:eastAsia="es-CO"/>
              </w:rPr>
              <w:t>ambiente</w:t>
            </w:r>
            <w:proofErr w:type="spellEnd"/>
            <w:r w:rsidRPr="00366EFC">
              <w:rPr>
                <w:rFonts w:ascii="Arial Narrow" w:hAnsi="Arial Narrow" w:cs="Arial"/>
                <w:spacing w:val="0"/>
                <w:sz w:val="15"/>
                <w:szCs w:val="15"/>
                <w:lang w:val="en-US" w:eastAsia="es-CO"/>
              </w:rPr>
              <w:t xml:space="preserve"> - Ley 99 de 1993</w:t>
            </w:r>
          </w:p>
        </w:tc>
        <w:tc>
          <w:tcPr>
            <w:tcW w:w="700" w:type="dxa"/>
            <w:tcBorders>
              <w:top w:val="nil"/>
              <w:left w:val="nil"/>
              <w:bottom w:val="nil"/>
              <w:right w:val="nil"/>
            </w:tcBorders>
            <w:shd w:val="clear" w:color="auto" w:fill="auto"/>
            <w:noWrap/>
            <w:vAlign w:val="center"/>
            <w:hideMark/>
          </w:tcPr>
          <w:p w14:paraId="17D6AB42" w14:textId="77777777" w:rsidR="00BE6D69" w:rsidRPr="00366EFC" w:rsidRDefault="00BE6D69" w:rsidP="00BE6D69">
            <w:pPr>
              <w:jc w:val="center"/>
              <w:rPr>
                <w:rFonts w:ascii="Arial Narrow" w:hAnsi="Arial Narrow" w:cs="Arial"/>
                <w:b/>
                <w:bCs/>
                <w:spacing w:val="0"/>
                <w:sz w:val="15"/>
                <w:szCs w:val="15"/>
                <w:lang w:eastAsia="es-CO"/>
              </w:rPr>
            </w:pPr>
            <w:r w:rsidRPr="00366EFC">
              <w:rPr>
                <w:rFonts w:ascii="Arial Narrow" w:hAnsi="Arial Narrow" w:cs="Arial"/>
                <w:b/>
                <w:bCs/>
                <w:spacing w:val="0"/>
                <w:sz w:val="15"/>
                <w:szCs w:val="15"/>
                <w:lang w:val="en-US" w:eastAsia="es-CO"/>
              </w:rPr>
              <w:t>COL$</w:t>
            </w:r>
          </w:p>
        </w:tc>
        <w:tc>
          <w:tcPr>
            <w:tcW w:w="1600" w:type="dxa"/>
            <w:tcBorders>
              <w:top w:val="nil"/>
              <w:left w:val="nil"/>
              <w:bottom w:val="nil"/>
              <w:right w:val="nil"/>
            </w:tcBorders>
            <w:shd w:val="clear" w:color="auto" w:fill="auto"/>
            <w:vAlign w:val="center"/>
            <w:hideMark/>
          </w:tcPr>
          <w:p w14:paraId="2174C7FD" w14:textId="77777777" w:rsidR="00BE6D69" w:rsidRPr="00366EFC" w:rsidRDefault="00BE6D69" w:rsidP="00BE6D69">
            <w:pPr>
              <w:jc w:val="center"/>
              <w:rPr>
                <w:rFonts w:ascii="Arial Narrow" w:hAnsi="Arial Narrow" w:cs="Arial"/>
                <w:b/>
                <w:bCs/>
                <w:spacing w:val="0"/>
                <w:sz w:val="15"/>
                <w:szCs w:val="15"/>
                <w:lang w:eastAsia="es-CO"/>
              </w:rPr>
            </w:pPr>
          </w:p>
        </w:tc>
        <w:tc>
          <w:tcPr>
            <w:tcW w:w="940" w:type="dxa"/>
            <w:tcBorders>
              <w:top w:val="nil"/>
              <w:left w:val="nil"/>
              <w:bottom w:val="nil"/>
              <w:right w:val="nil"/>
            </w:tcBorders>
            <w:shd w:val="clear" w:color="000000" w:fill="E2EFDA"/>
            <w:noWrap/>
            <w:vAlign w:val="center"/>
            <w:hideMark/>
          </w:tcPr>
          <w:p w14:paraId="1828F38E" w14:textId="77777777" w:rsidR="00BE6D69" w:rsidRPr="00366EFC" w:rsidRDefault="00BE6D69" w:rsidP="00BE6D69">
            <w:pPr>
              <w:jc w:val="right"/>
              <w:rPr>
                <w:rFonts w:ascii="Arial Narrow" w:hAnsi="Arial Narrow" w:cs="Arial"/>
                <w:spacing w:val="0"/>
                <w:sz w:val="15"/>
                <w:szCs w:val="15"/>
                <w:lang w:eastAsia="es-CO"/>
              </w:rPr>
            </w:pPr>
            <w:r w:rsidRPr="00366EFC">
              <w:rPr>
                <w:rFonts w:ascii="Arial Narrow" w:hAnsi="Arial Narrow" w:cs="Arial"/>
                <w:spacing w:val="0"/>
                <w:sz w:val="15"/>
                <w:szCs w:val="15"/>
                <w:lang w:val="en-US" w:eastAsia="es-CO"/>
              </w:rPr>
              <w:t>($ 1.000,00)</w:t>
            </w:r>
          </w:p>
        </w:tc>
        <w:tc>
          <w:tcPr>
            <w:tcW w:w="1300" w:type="dxa"/>
            <w:tcBorders>
              <w:top w:val="nil"/>
              <w:left w:val="nil"/>
              <w:bottom w:val="nil"/>
              <w:right w:val="nil"/>
            </w:tcBorders>
            <w:shd w:val="clear" w:color="auto" w:fill="auto"/>
            <w:noWrap/>
            <w:vAlign w:val="center"/>
            <w:hideMark/>
          </w:tcPr>
          <w:p w14:paraId="76143C5D" w14:textId="77777777" w:rsidR="00BE6D69" w:rsidRPr="00366EFC" w:rsidRDefault="00BE6D69" w:rsidP="00BE6D69">
            <w:pPr>
              <w:jc w:val="right"/>
              <w:rPr>
                <w:rFonts w:ascii="Arial Narrow" w:hAnsi="Arial Narrow" w:cs="Arial"/>
                <w:spacing w:val="0"/>
                <w:sz w:val="15"/>
                <w:szCs w:val="15"/>
                <w:lang w:eastAsia="es-CO"/>
              </w:rPr>
            </w:pPr>
          </w:p>
        </w:tc>
        <w:tc>
          <w:tcPr>
            <w:tcW w:w="1240" w:type="dxa"/>
            <w:tcBorders>
              <w:top w:val="nil"/>
              <w:left w:val="nil"/>
              <w:bottom w:val="nil"/>
              <w:right w:val="nil"/>
            </w:tcBorders>
            <w:shd w:val="clear" w:color="auto" w:fill="auto"/>
            <w:noWrap/>
            <w:vAlign w:val="center"/>
            <w:hideMark/>
          </w:tcPr>
          <w:p w14:paraId="015CBB51" w14:textId="77777777" w:rsidR="00BE6D69" w:rsidRPr="00366EFC" w:rsidRDefault="00BE6D69" w:rsidP="00BE6D69">
            <w:pPr>
              <w:jc w:val="left"/>
              <w:rPr>
                <w:rFonts w:ascii="Times New Roman" w:hAnsi="Times New Roman"/>
                <w:spacing w:val="0"/>
                <w:lang w:eastAsia="es-CO"/>
              </w:rPr>
            </w:pPr>
          </w:p>
        </w:tc>
      </w:tr>
      <w:tr w:rsidR="00366EFC" w:rsidRPr="00366EFC" w14:paraId="6621E324" w14:textId="77777777" w:rsidTr="00BE6D69">
        <w:trPr>
          <w:trHeight w:val="255"/>
        </w:trPr>
        <w:tc>
          <w:tcPr>
            <w:tcW w:w="480" w:type="dxa"/>
            <w:tcBorders>
              <w:top w:val="nil"/>
              <w:left w:val="nil"/>
              <w:bottom w:val="nil"/>
              <w:right w:val="nil"/>
            </w:tcBorders>
            <w:shd w:val="clear" w:color="auto" w:fill="auto"/>
            <w:noWrap/>
            <w:vAlign w:val="center"/>
            <w:hideMark/>
          </w:tcPr>
          <w:p w14:paraId="30BCF63F" w14:textId="77777777" w:rsidR="00BE6D69" w:rsidRPr="00366EFC" w:rsidRDefault="00BE6D69" w:rsidP="00BE6D69">
            <w:pPr>
              <w:jc w:val="center"/>
              <w:rPr>
                <w:rFonts w:ascii="Arial Narrow" w:hAnsi="Arial Narrow" w:cs="Arial"/>
                <w:spacing w:val="0"/>
                <w:sz w:val="15"/>
                <w:szCs w:val="15"/>
                <w:lang w:eastAsia="es-CO"/>
              </w:rPr>
            </w:pPr>
            <w:r w:rsidRPr="00366EFC">
              <w:rPr>
                <w:rFonts w:ascii="Arial Narrow" w:hAnsi="Arial Narrow" w:cs="Arial"/>
                <w:spacing w:val="0"/>
                <w:sz w:val="15"/>
                <w:szCs w:val="15"/>
                <w:lang w:val="en-US" w:eastAsia="es-CO"/>
              </w:rPr>
              <w:t>24</w:t>
            </w:r>
          </w:p>
        </w:tc>
        <w:tc>
          <w:tcPr>
            <w:tcW w:w="700" w:type="dxa"/>
            <w:tcBorders>
              <w:top w:val="nil"/>
              <w:left w:val="nil"/>
              <w:bottom w:val="nil"/>
              <w:right w:val="nil"/>
            </w:tcBorders>
            <w:shd w:val="clear" w:color="auto" w:fill="auto"/>
            <w:noWrap/>
            <w:vAlign w:val="center"/>
            <w:hideMark/>
          </w:tcPr>
          <w:p w14:paraId="5C3F9CF6" w14:textId="77777777" w:rsidR="00BE6D69" w:rsidRPr="00366EFC" w:rsidRDefault="00BE6D69" w:rsidP="00BE6D69">
            <w:pPr>
              <w:jc w:val="center"/>
              <w:rPr>
                <w:rFonts w:ascii="Arial Narrow" w:hAnsi="Arial Narrow" w:cs="Arial"/>
                <w:spacing w:val="0"/>
                <w:sz w:val="15"/>
                <w:szCs w:val="15"/>
                <w:lang w:eastAsia="es-CO"/>
              </w:rPr>
            </w:pPr>
            <w:r w:rsidRPr="00366EFC">
              <w:rPr>
                <w:rFonts w:ascii="Arial Narrow" w:hAnsi="Arial Narrow" w:cs="Arial"/>
                <w:spacing w:val="0"/>
                <w:sz w:val="15"/>
                <w:szCs w:val="15"/>
                <w:lang w:val="en-US" w:eastAsia="es-CO"/>
              </w:rPr>
              <w:t>G4</w:t>
            </w:r>
          </w:p>
        </w:tc>
        <w:tc>
          <w:tcPr>
            <w:tcW w:w="760" w:type="dxa"/>
            <w:tcBorders>
              <w:top w:val="nil"/>
              <w:left w:val="nil"/>
              <w:bottom w:val="nil"/>
              <w:right w:val="nil"/>
            </w:tcBorders>
            <w:shd w:val="clear" w:color="000000" w:fill="E2EFDA"/>
            <w:noWrap/>
            <w:vAlign w:val="center"/>
            <w:hideMark/>
          </w:tcPr>
          <w:p w14:paraId="0F756D8D" w14:textId="77777777" w:rsidR="00BE6D69" w:rsidRPr="00366EFC" w:rsidRDefault="00BE6D69" w:rsidP="00BE6D69">
            <w:pPr>
              <w:jc w:val="right"/>
              <w:rPr>
                <w:rFonts w:ascii="Arial Narrow" w:hAnsi="Arial Narrow" w:cs="Arial"/>
                <w:spacing w:val="0"/>
                <w:sz w:val="15"/>
                <w:szCs w:val="15"/>
                <w:lang w:eastAsia="es-CO"/>
              </w:rPr>
            </w:pPr>
            <w:r w:rsidRPr="00366EFC">
              <w:rPr>
                <w:rFonts w:ascii="Arial Narrow" w:hAnsi="Arial Narrow" w:cs="Arial"/>
                <w:spacing w:val="0"/>
                <w:sz w:val="15"/>
                <w:szCs w:val="15"/>
                <w:lang w:val="en-US" w:eastAsia="es-CO"/>
              </w:rPr>
              <w:t> </w:t>
            </w:r>
          </w:p>
        </w:tc>
        <w:tc>
          <w:tcPr>
            <w:tcW w:w="2540" w:type="dxa"/>
            <w:tcBorders>
              <w:top w:val="nil"/>
              <w:left w:val="nil"/>
              <w:bottom w:val="nil"/>
              <w:right w:val="nil"/>
            </w:tcBorders>
            <w:shd w:val="clear" w:color="auto" w:fill="auto"/>
            <w:vAlign w:val="center"/>
            <w:hideMark/>
          </w:tcPr>
          <w:p w14:paraId="26F86815" w14:textId="77777777" w:rsidR="00BE6D69" w:rsidRPr="00366EFC" w:rsidRDefault="00BE6D69" w:rsidP="00BE6D69">
            <w:pPr>
              <w:rPr>
                <w:rFonts w:ascii="Arial Narrow" w:hAnsi="Arial Narrow" w:cs="Arial"/>
                <w:spacing w:val="0"/>
                <w:sz w:val="15"/>
                <w:szCs w:val="15"/>
                <w:lang w:eastAsia="es-CO"/>
              </w:rPr>
            </w:pPr>
            <w:proofErr w:type="spellStart"/>
            <w:r w:rsidRPr="00366EFC">
              <w:rPr>
                <w:rFonts w:ascii="Arial Narrow" w:hAnsi="Arial Narrow" w:cs="Arial"/>
                <w:spacing w:val="0"/>
                <w:sz w:val="15"/>
                <w:szCs w:val="15"/>
                <w:lang w:val="en-US" w:eastAsia="es-CO"/>
              </w:rPr>
              <w:t>Regalías</w:t>
            </w:r>
            <w:proofErr w:type="spellEnd"/>
          </w:p>
        </w:tc>
        <w:tc>
          <w:tcPr>
            <w:tcW w:w="700" w:type="dxa"/>
            <w:tcBorders>
              <w:top w:val="nil"/>
              <w:left w:val="nil"/>
              <w:bottom w:val="nil"/>
              <w:right w:val="nil"/>
            </w:tcBorders>
            <w:shd w:val="clear" w:color="auto" w:fill="auto"/>
            <w:noWrap/>
            <w:vAlign w:val="center"/>
            <w:hideMark/>
          </w:tcPr>
          <w:p w14:paraId="22BDA767" w14:textId="77777777" w:rsidR="00BE6D69" w:rsidRPr="00366EFC" w:rsidRDefault="00BE6D69" w:rsidP="00BE6D69">
            <w:pPr>
              <w:jc w:val="center"/>
              <w:rPr>
                <w:rFonts w:ascii="Arial Narrow" w:hAnsi="Arial Narrow" w:cs="Arial"/>
                <w:b/>
                <w:bCs/>
                <w:spacing w:val="0"/>
                <w:sz w:val="15"/>
                <w:szCs w:val="15"/>
                <w:lang w:eastAsia="es-CO"/>
              </w:rPr>
            </w:pPr>
            <w:r w:rsidRPr="00366EFC">
              <w:rPr>
                <w:rFonts w:ascii="Arial Narrow" w:hAnsi="Arial Narrow" w:cs="Arial"/>
                <w:b/>
                <w:bCs/>
                <w:spacing w:val="0"/>
                <w:sz w:val="15"/>
                <w:szCs w:val="15"/>
                <w:lang w:val="en-US" w:eastAsia="es-CO"/>
              </w:rPr>
              <w:t>COL$</w:t>
            </w:r>
          </w:p>
        </w:tc>
        <w:tc>
          <w:tcPr>
            <w:tcW w:w="1600" w:type="dxa"/>
            <w:tcBorders>
              <w:top w:val="nil"/>
              <w:left w:val="nil"/>
              <w:bottom w:val="nil"/>
              <w:right w:val="nil"/>
            </w:tcBorders>
            <w:shd w:val="clear" w:color="auto" w:fill="auto"/>
            <w:vAlign w:val="center"/>
            <w:hideMark/>
          </w:tcPr>
          <w:p w14:paraId="60CBCF9E" w14:textId="77777777" w:rsidR="00BE6D69" w:rsidRPr="00366EFC" w:rsidRDefault="00BE6D69" w:rsidP="00BE6D69">
            <w:pPr>
              <w:jc w:val="center"/>
              <w:rPr>
                <w:rFonts w:ascii="Arial Narrow" w:hAnsi="Arial Narrow" w:cs="Arial"/>
                <w:b/>
                <w:bCs/>
                <w:spacing w:val="0"/>
                <w:sz w:val="15"/>
                <w:szCs w:val="15"/>
                <w:lang w:eastAsia="es-CO"/>
              </w:rPr>
            </w:pPr>
          </w:p>
        </w:tc>
        <w:tc>
          <w:tcPr>
            <w:tcW w:w="940" w:type="dxa"/>
            <w:tcBorders>
              <w:top w:val="nil"/>
              <w:left w:val="nil"/>
              <w:bottom w:val="nil"/>
              <w:right w:val="nil"/>
            </w:tcBorders>
            <w:shd w:val="clear" w:color="000000" w:fill="E2EFDA"/>
            <w:noWrap/>
            <w:vAlign w:val="center"/>
            <w:hideMark/>
          </w:tcPr>
          <w:p w14:paraId="05E8B8E5" w14:textId="77777777" w:rsidR="00BE6D69" w:rsidRPr="00366EFC" w:rsidRDefault="00BE6D69" w:rsidP="00BE6D69">
            <w:pPr>
              <w:jc w:val="right"/>
              <w:rPr>
                <w:rFonts w:ascii="Arial Narrow" w:hAnsi="Arial Narrow" w:cs="Arial"/>
                <w:spacing w:val="0"/>
                <w:sz w:val="15"/>
                <w:szCs w:val="15"/>
                <w:lang w:eastAsia="es-CO"/>
              </w:rPr>
            </w:pPr>
            <w:r w:rsidRPr="00366EFC">
              <w:rPr>
                <w:rFonts w:ascii="Arial Narrow" w:hAnsi="Arial Narrow" w:cs="Arial"/>
                <w:spacing w:val="0"/>
                <w:sz w:val="15"/>
                <w:szCs w:val="15"/>
                <w:lang w:val="en-US" w:eastAsia="es-CO"/>
              </w:rPr>
              <w:t>($ 1.000,00)</w:t>
            </w:r>
          </w:p>
        </w:tc>
        <w:tc>
          <w:tcPr>
            <w:tcW w:w="1300" w:type="dxa"/>
            <w:tcBorders>
              <w:top w:val="nil"/>
              <w:left w:val="nil"/>
              <w:bottom w:val="nil"/>
              <w:right w:val="nil"/>
            </w:tcBorders>
            <w:shd w:val="clear" w:color="auto" w:fill="auto"/>
            <w:noWrap/>
            <w:vAlign w:val="center"/>
            <w:hideMark/>
          </w:tcPr>
          <w:p w14:paraId="4C09CA29" w14:textId="77777777" w:rsidR="00BE6D69" w:rsidRPr="00366EFC" w:rsidRDefault="00BE6D69" w:rsidP="00BE6D69">
            <w:pPr>
              <w:jc w:val="right"/>
              <w:rPr>
                <w:rFonts w:ascii="Arial Narrow" w:hAnsi="Arial Narrow" w:cs="Arial"/>
                <w:spacing w:val="0"/>
                <w:sz w:val="15"/>
                <w:szCs w:val="15"/>
                <w:lang w:eastAsia="es-CO"/>
              </w:rPr>
            </w:pPr>
          </w:p>
        </w:tc>
        <w:tc>
          <w:tcPr>
            <w:tcW w:w="1240" w:type="dxa"/>
            <w:tcBorders>
              <w:top w:val="nil"/>
              <w:left w:val="nil"/>
              <w:bottom w:val="nil"/>
              <w:right w:val="nil"/>
            </w:tcBorders>
            <w:shd w:val="clear" w:color="auto" w:fill="auto"/>
            <w:noWrap/>
            <w:vAlign w:val="center"/>
            <w:hideMark/>
          </w:tcPr>
          <w:p w14:paraId="2E9D5DBD" w14:textId="77777777" w:rsidR="00BE6D69" w:rsidRPr="00366EFC" w:rsidRDefault="00BE6D69" w:rsidP="00BE6D69">
            <w:pPr>
              <w:jc w:val="left"/>
              <w:rPr>
                <w:rFonts w:ascii="Times New Roman" w:hAnsi="Times New Roman"/>
                <w:spacing w:val="0"/>
                <w:lang w:eastAsia="es-CO"/>
              </w:rPr>
            </w:pPr>
          </w:p>
        </w:tc>
      </w:tr>
      <w:tr w:rsidR="00366EFC" w:rsidRPr="00366EFC" w14:paraId="2ABBB7B9" w14:textId="77777777" w:rsidTr="00BE6D69">
        <w:trPr>
          <w:trHeight w:val="255"/>
        </w:trPr>
        <w:tc>
          <w:tcPr>
            <w:tcW w:w="480" w:type="dxa"/>
            <w:tcBorders>
              <w:top w:val="nil"/>
              <w:left w:val="nil"/>
              <w:bottom w:val="nil"/>
              <w:right w:val="nil"/>
            </w:tcBorders>
            <w:shd w:val="clear" w:color="auto" w:fill="auto"/>
            <w:noWrap/>
            <w:vAlign w:val="center"/>
            <w:hideMark/>
          </w:tcPr>
          <w:p w14:paraId="3D13C0DB" w14:textId="77777777" w:rsidR="00BE6D69" w:rsidRPr="00366EFC" w:rsidRDefault="00BE6D69" w:rsidP="00BE6D69">
            <w:pPr>
              <w:jc w:val="center"/>
              <w:rPr>
                <w:rFonts w:ascii="Arial Narrow" w:hAnsi="Arial Narrow" w:cs="Arial"/>
                <w:spacing w:val="0"/>
                <w:sz w:val="15"/>
                <w:szCs w:val="15"/>
                <w:lang w:eastAsia="es-CO"/>
              </w:rPr>
            </w:pPr>
            <w:r w:rsidRPr="00366EFC">
              <w:rPr>
                <w:rFonts w:ascii="Arial Narrow" w:hAnsi="Arial Narrow" w:cs="Arial"/>
                <w:spacing w:val="0"/>
                <w:sz w:val="15"/>
                <w:szCs w:val="15"/>
                <w:lang w:val="en-US" w:eastAsia="es-CO"/>
              </w:rPr>
              <w:t>25</w:t>
            </w:r>
          </w:p>
        </w:tc>
        <w:tc>
          <w:tcPr>
            <w:tcW w:w="700" w:type="dxa"/>
            <w:tcBorders>
              <w:top w:val="nil"/>
              <w:left w:val="nil"/>
              <w:bottom w:val="nil"/>
              <w:right w:val="nil"/>
            </w:tcBorders>
            <w:shd w:val="clear" w:color="auto" w:fill="auto"/>
            <w:noWrap/>
            <w:vAlign w:val="center"/>
            <w:hideMark/>
          </w:tcPr>
          <w:p w14:paraId="39DA7729" w14:textId="77777777" w:rsidR="00BE6D69" w:rsidRPr="00366EFC" w:rsidRDefault="00BE6D69" w:rsidP="00BE6D69">
            <w:pPr>
              <w:jc w:val="center"/>
              <w:rPr>
                <w:rFonts w:ascii="Arial Narrow" w:hAnsi="Arial Narrow" w:cs="Arial"/>
                <w:spacing w:val="0"/>
                <w:sz w:val="15"/>
                <w:szCs w:val="15"/>
                <w:lang w:eastAsia="es-CO"/>
              </w:rPr>
            </w:pPr>
            <w:r w:rsidRPr="00366EFC">
              <w:rPr>
                <w:rFonts w:ascii="Arial Narrow" w:hAnsi="Arial Narrow" w:cs="Arial"/>
                <w:spacing w:val="0"/>
                <w:sz w:val="15"/>
                <w:szCs w:val="15"/>
                <w:lang w:val="en-US" w:eastAsia="es-CO"/>
              </w:rPr>
              <w:t>G5</w:t>
            </w:r>
          </w:p>
        </w:tc>
        <w:tc>
          <w:tcPr>
            <w:tcW w:w="760" w:type="dxa"/>
            <w:tcBorders>
              <w:top w:val="nil"/>
              <w:left w:val="nil"/>
              <w:bottom w:val="nil"/>
              <w:right w:val="nil"/>
            </w:tcBorders>
            <w:shd w:val="clear" w:color="000000" w:fill="E2EFDA"/>
            <w:noWrap/>
            <w:vAlign w:val="center"/>
            <w:hideMark/>
          </w:tcPr>
          <w:p w14:paraId="0D1A456D" w14:textId="77777777" w:rsidR="00BE6D69" w:rsidRPr="00366EFC" w:rsidRDefault="00BE6D69" w:rsidP="00BE6D69">
            <w:pPr>
              <w:jc w:val="right"/>
              <w:rPr>
                <w:rFonts w:ascii="Arial Narrow" w:hAnsi="Arial Narrow" w:cs="Arial"/>
                <w:spacing w:val="0"/>
                <w:sz w:val="15"/>
                <w:szCs w:val="15"/>
                <w:lang w:eastAsia="es-CO"/>
              </w:rPr>
            </w:pPr>
            <w:r w:rsidRPr="00366EFC">
              <w:rPr>
                <w:rFonts w:ascii="Arial Narrow" w:hAnsi="Arial Narrow" w:cs="Arial"/>
                <w:spacing w:val="0"/>
                <w:sz w:val="15"/>
                <w:szCs w:val="15"/>
                <w:lang w:val="en-US" w:eastAsia="es-CO"/>
              </w:rPr>
              <w:t> </w:t>
            </w:r>
          </w:p>
        </w:tc>
        <w:tc>
          <w:tcPr>
            <w:tcW w:w="2540" w:type="dxa"/>
            <w:tcBorders>
              <w:top w:val="nil"/>
              <w:left w:val="nil"/>
              <w:bottom w:val="nil"/>
              <w:right w:val="nil"/>
            </w:tcBorders>
            <w:shd w:val="clear" w:color="auto" w:fill="auto"/>
            <w:vAlign w:val="center"/>
            <w:hideMark/>
          </w:tcPr>
          <w:p w14:paraId="43E61ECB" w14:textId="77777777" w:rsidR="00BE6D69" w:rsidRPr="00366EFC" w:rsidRDefault="00BE6D69" w:rsidP="00BE6D69">
            <w:pPr>
              <w:rPr>
                <w:rFonts w:ascii="Arial Narrow" w:hAnsi="Arial Narrow" w:cs="Arial"/>
                <w:spacing w:val="0"/>
                <w:sz w:val="15"/>
                <w:szCs w:val="15"/>
                <w:lang w:eastAsia="es-CO"/>
              </w:rPr>
            </w:pPr>
            <w:r w:rsidRPr="00366EFC">
              <w:rPr>
                <w:rFonts w:ascii="Arial Narrow" w:hAnsi="Arial Narrow" w:cs="Calibri"/>
                <w:spacing w:val="0"/>
                <w:sz w:val="15"/>
                <w:szCs w:val="15"/>
                <w:lang w:eastAsia="es-CO"/>
              </w:rPr>
              <w:t>Licencia de operación del servicio</w:t>
            </w:r>
          </w:p>
        </w:tc>
        <w:tc>
          <w:tcPr>
            <w:tcW w:w="700" w:type="dxa"/>
            <w:tcBorders>
              <w:top w:val="nil"/>
              <w:left w:val="nil"/>
              <w:bottom w:val="nil"/>
              <w:right w:val="nil"/>
            </w:tcBorders>
            <w:shd w:val="clear" w:color="auto" w:fill="auto"/>
            <w:noWrap/>
            <w:vAlign w:val="center"/>
            <w:hideMark/>
          </w:tcPr>
          <w:p w14:paraId="6E38346D" w14:textId="77777777" w:rsidR="00BE6D69" w:rsidRPr="00366EFC" w:rsidRDefault="00BE6D69" w:rsidP="00BE6D69">
            <w:pPr>
              <w:jc w:val="center"/>
              <w:rPr>
                <w:rFonts w:ascii="Arial Narrow" w:hAnsi="Arial Narrow" w:cs="Arial"/>
                <w:b/>
                <w:bCs/>
                <w:spacing w:val="0"/>
                <w:sz w:val="15"/>
                <w:szCs w:val="15"/>
                <w:lang w:eastAsia="es-CO"/>
              </w:rPr>
            </w:pPr>
            <w:r w:rsidRPr="00366EFC">
              <w:rPr>
                <w:rFonts w:ascii="Arial Narrow" w:hAnsi="Arial Narrow" w:cs="Arial"/>
                <w:b/>
                <w:bCs/>
                <w:spacing w:val="0"/>
                <w:sz w:val="15"/>
                <w:szCs w:val="15"/>
                <w:lang w:val="en-US" w:eastAsia="es-CO"/>
              </w:rPr>
              <w:t>COL$</w:t>
            </w:r>
          </w:p>
        </w:tc>
        <w:tc>
          <w:tcPr>
            <w:tcW w:w="1600" w:type="dxa"/>
            <w:tcBorders>
              <w:top w:val="nil"/>
              <w:left w:val="nil"/>
              <w:bottom w:val="nil"/>
              <w:right w:val="nil"/>
            </w:tcBorders>
            <w:shd w:val="clear" w:color="auto" w:fill="auto"/>
            <w:vAlign w:val="center"/>
            <w:hideMark/>
          </w:tcPr>
          <w:p w14:paraId="7D401BE6" w14:textId="77777777" w:rsidR="00BE6D69" w:rsidRPr="00366EFC" w:rsidRDefault="00BE6D69" w:rsidP="00BE6D69">
            <w:pPr>
              <w:jc w:val="center"/>
              <w:rPr>
                <w:rFonts w:ascii="Arial Narrow" w:hAnsi="Arial Narrow" w:cs="Arial"/>
                <w:b/>
                <w:bCs/>
                <w:spacing w:val="0"/>
                <w:sz w:val="15"/>
                <w:szCs w:val="15"/>
                <w:lang w:eastAsia="es-CO"/>
              </w:rPr>
            </w:pPr>
          </w:p>
        </w:tc>
        <w:tc>
          <w:tcPr>
            <w:tcW w:w="940" w:type="dxa"/>
            <w:tcBorders>
              <w:top w:val="nil"/>
              <w:left w:val="nil"/>
              <w:bottom w:val="nil"/>
              <w:right w:val="nil"/>
            </w:tcBorders>
            <w:shd w:val="clear" w:color="000000" w:fill="E2EFDA"/>
            <w:noWrap/>
            <w:vAlign w:val="center"/>
            <w:hideMark/>
          </w:tcPr>
          <w:p w14:paraId="1F7B52BF" w14:textId="77777777" w:rsidR="00BE6D69" w:rsidRPr="00366EFC" w:rsidRDefault="00BE6D69" w:rsidP="00BE6D69">
            <w:pPr>
              <w:jc w:val="right"/>
              <w:rPr>
                <w:rFonts w:ascii="Arial Narrow" w:hAnsi="Arial Narrow" w:cs="Arial"/>
                <w:spacing w:val="0"/>
                <w:sz w:val="15"/>
                <w:szCs w:val="15"/>
                <w:lang w:eastAsia="es-CO"/>
              </w:rPr>
            </w:pPr>
            <w:r w:rsidRPr="00366EFC">
              <w:rPr>
                <w:rFonts w:ascii="Arial Narrow" w:hAnsi="Arial Narrow" w:cs="Arial"/>
                <w:spacing w:val="0"/>
                <w:sz w:val="15"/>
                <w:szCs w:val="15"/>
                <w:lang w:val="en-US" w:eastAsia="es-CO"/>
              </w:rPr>
              <w:t>($ 2.000,00)</w:t>
            </w:r>
          </w:p>
        </w:tc>
        <w:tc>
          <w:tcPr>
            <w:tcW w:w="1300" w:type="dxa"/>
            <w:tcBorders>
              <w:top w:val="nil"/>
              <w:left w:val="nil"/>
              <w:bottom w:val="nil"/>
              <w:right w:val="nil"/>
            </w:tcBorders>
            <w:shd w:val="clear" w:color="auto" w:fill="auto"/>
            <w:noWrap/>
            <w:vAlign w:val="center"/>
            <w:hideMark/>
          </w:tcPr>
          <w:p w14:paraId="59223D88" w14:textId="77777777" w:rsidR="00BE6D69" w:rsidRPr="00366EFC" w:rsidRDefault="00BE6D69" w:rsidP="00BE6D69">
            <w:pPr>
              <w:jc w:val="right"/>
              <w:rPr>
                <w:rFonts w:ascii="Arial Narrow" w:hAnsi="Arial Narrow" w:cs="Arial"/>
                <w:spacing w:val="0"/>
                <w:sz w:val="15"/>
                <w:szCs w:val="15"/>
                <w:lang w:eastAsia="es-CO"/>
              </w:rPr>
            </w:pPr>
          </w:p>
        </w:tc>
        <w:tc>
          <w:tcPr>
            <w:tcW w:w="1240" w:type="dxa"/>
            <w:tcBorders>
              <w:top w:val="nil"/>
              <w:left w:val="nil"/>
              <w:bottom w:val="nil"/>
              <w:right w:val="nil"/>
            </w:tcBorders>
            <w:shd w:val="clear" w:color="auto" w:fill="auto"/>
            <w:noWrap/>
            <w:vAlign w:val="center"/>
            <w:hideMark/>
          </w:tcPr>
          <w:p w14:paraId="119F6393" w14:textId="77777777" w:rsidR="00BE6D69" w:rsidRPr="00366EFC" w:rsidRDefault="00BE6D69" w:rsidP="00BE6D69">
            <w:pPr>
              <w:jc w:val="left"/>
              <w:rPr>
                <w:rFonts w:ascii="Times New Roman" w:hAnsi="Times New Roman"/>
                <w:spacing w:val="0"/>
                <w:lang w:eastAsia="es-CO"/>
              </w:rPr>
            </w:pPr>
          </w:p>
        </w:tc>
      </w:tr>
      <w:tr w:rsidR="00366EFC" w:rsidRPr="00366EFC" w14:paraId="4F913B57" w14:textId="77777777" w:rsidTr="00BE6D69">
        <w:trPr>
          <w:trHeight w:val="255"/>
        </w:trPr>
        <w:tc>
          <w:tcPr>
            <w:tcW w:w="480" w:type="dxa"/>
            <w:tcBorders>
              <w:top w:val="nil"/>
              <w:left w:val="nil"/>
              <w:bottom w:val="nil"/>
              <w:right w:val="nil"/>
            </w:tcBorders>
            <w:shd w:val="clear" w:color="auto" w:fill="auto"/>
            <w:noWrap/>
            <w:vAlign w:val="center"/>
            <w:hideMark/>
          </w:tcPr>
          <w:p w14:paraId="7E840C52" w14:textId="77777777" w:rsidR="00BE6D69" w:rsidRPr="00366EFC" w:rsidRDefault="00BE6D69" w:rsidP="00BE6D69">
            <w:pPr>
              <w:jc w:val="center"/>
              <w:rPr>
                <w:rFonts w:ascii="Arial Narrow" w:hAnsi="Arial Narrow" w:cs="Arial"/>
                <w:spacing w:val="0"/>
                <w:sz w:val="15"/>
                <w:szCs w:val="15"/>
                <w:lang w:eastAsia="es-CO"/>
              </w:rPr>
            </w:pPr>
            <w:r w:rsidRPr="00366EFC">
              <w:rPr>
                <w:rFonts w:ascii="Arial Narrow" w:hAnsi="Arial Narrow" w:cs="Arial"/>
                <w:spacing w:val="0"/>
                <w:sz w:val="15"/>
                <w:szCs w:val="15"/>
                <w:lang w:val="en-US" w:eastAsia="es-CO"/>
              </w:rPr>
              <w:t>26</w:t>
            </w:r>
          </w:p>
        </w:tc>
        <w:tc>
          <w:tcPr>
            <w:tcW w:w="700" w:type="dxa"/>
            <w:tcBorders>
              <w:top w:val="nil"/>
              <w:left w:val="nil"/>
              <w:bottom w:val="nil"/>
              <w:right w:val="nil"/>
            </w:tcBorders>
            <w:shd w:val="clear" w:color="auto" w:fill="auto"/>
            <w:noWrap/>
            <w:vAlign w:val="center"/>
            <w:hideMark/>
          </w:tcPr>
          <w:p w14:paraId="2AD99702" w14:textId="77777777" w:rsidR="00BE6D69" w:rsidRPr="00366EFC" w:rsidRDefault="00BE6D69" w:rsidP="00BE6D69">
            <w:pPr>
              <w:jc w:val="center"/>
              <w:rPr>
                <w:rFonts w:ascii="Arial Narrow" w:hAnsi="Arial Narrow" w:cs="Arial"/>
                <w:spacing w:val="0"/>
                <w:sz w:val="15"/>
                <w:szCs w:val="15"/>
                <w:lang w:eastAsia="es-CO"/>
              </w:rPr>
            </w:pPr>
            <w:r w:rsidRPr="00366EFC">
              <w:rPr>
                <w:rFonts w:ascii="Arial Narrow" w:hAnsi="Arial Narrow" w:cs="Arial"/>
                <w:spacing w:val="0"/>
                <w:sz w:val="15"/>
                <w:szCs w:val="15"/>
                <w:lang w:val="en-US" w:eastAsia="es-CO"/>
              </w:rPr>
              <w:t>G6</w:t>
            </w:r>
          </w:p>
        </w:tc>
        <w:tc>
          <w:tcPr>
            <w:tcW w:w="760" w:type="dxa"/>
            <w:tcBorders>
              <w:top w:val="nil"/>
              <w:left w:val="nil"/>
              <w:bottom w:val="nil"/>
              <w:right w:val="nil"/>
            </w:tcBorders>
            <w:shd w:val="clear" w:color="000000" w:fill="E2EFDA"/>
            <w:noWrap/>
            <w:vAlign w:val="center"/>
            <w:hideMark/>
          </w:tcPr>
          <w:p w14:paraId="7882ECE2" w14:textId="77777777" w:rsidR="00BE6D69" w:rsidRPr="00366EFC" w:rsidRDefault="00BE6D69" w:rsidP="00BE6D69">
            <w:pPr>
              <w:jc w:val="right"/>
              <w:rPr>
                <w:rFonts w:ascii="Arial Narrow" w:hAnsi="Arial Narrow" w:cs="Arial"/>
                <w:spacing w:val="0"/>
                <w:sz w:val="15"/>
                <w:szCs w:val="15"/>
                <w:lang w:eastAsia="es-CO"/>
              </w:rPr>
            </w:pPr>
            <w:r w:rsidRPr="00366EFC">
              <w:rPr>
                <w:rFonts w:ascii="Arial Narrow" w:hAnsi="Arial Narrow" w:cs="Arial"/>
                <w:spacing w:val="0"/>
                <w:sz w:val="15"/>
                <w:szCs w:val="15"/>
                <w:lang w:val="en-US" w:eastAsia="es-CO"/>
              </w:rPr>
              <w:t> </w:t>
            </w:r>
          </w:p>
        </w:tc>
        <w:tc>
          <w:tcPr>
            <w:tcW w:w="2540" w:type="dxa"/>
            <w:tcBorders>
              <w:top w:val="nil"/>
              <w:left w:val="nil"/>
              <w:bottom w:val="nil"/>
              <w:right w:val="nil"/>
            </w:tcBorders>
            <w:shd w:val="clear" w:color="auto" w:fill="auto"/>
            <w:vAlign w:val="center"/>
            <w:hideMark/>
          </w:tcPr>
          <w:p w14:paraId="51C68D0A" w14:textId="77777777" w:rsidR="00BE6D69" w:rsidRPr="00366EFC" w:rsidRDefault="00BE6D69" w:rsidP="00BE6D69">
            <w:pPr>
              <w:rPr>
                <w:rFonts w:ascii="Arial Narrow" w:hAnsi="Arial Narrow" w:cs="Arial"/>
                <w:spacing w:val="0"/>
                <w:sz w:val="15"/>
                <w:szCs w:val="15"/>
                <w:lang w:eastAsia="es-CO"/>
              </w:rPr>
            </w:pPr>
            <w:r w:rsidRPr="00366EFC">
              <w:rPr>
                <w:rFonts w:ascii="Arial Narrow" w:hAnsi="Arial Narrow" w:cs="Arial"/>
                <w:spacing w:val="0"/>
                <w:sz w:val="15"/>
                <w:szCs w:val="15"/>
                <w:lang w:val="en-US" w:eastAsia="es-CO"/>
              </w:rPr>
              <w:t>FAZNI</w:t>
            </w:r>
          </w:p>
        </w:tc>
        <w:tc>
          <w:tcPr>
            <w:tcW w:w="700" w:type="dxa"/>
            <w:tcBorders>
              <w:top w:val="nil"/>
              <w:left w:val="nil"/>
              <w:bottom w:val="nil"/>
              <w:right w:val="nil"/>
            </w:tcBorders>
            <w:shd w:val="clear" w:color="auto" w:fill="auto"/>
            <w:noWrap/>
            <w:vAlign w:val="center"/>
            <w:hideMark/>
          </w:tcPr>
          <w:p w14:paraId="491DAB0C" w14:textId="77777777" w:rsidR="00BE6D69" w:rsidRPr="00366EFC" w:rsidRDefault="00BE6D69" w:rsidP="00BE6D69">
            <w:pPr>
              <w:jc w:val="center"/>
              <w:rPr>
                <w:rFonts w:ascii="Arial Narrow" w:hAnsi="Arial Narrow" w:cs="Arial"/>
                <w:b/>
                <w:bCs/>
                <w:spacing w:val="0"/>
                <w:sz w:val="15"/>
                <w:szCs w:val="15"/>
                <w:lang w:eastAsia="es-CO"/>
              </w:rPr>
            </w:pPr>
            <w:r w:rsidRPr="00366EFC">
              <w:rPr>
                <w:rFonts w:ascii="Arial Narrow" w:hAnsi="Arial Narrow" w:cs="Arial"/>
                <w:b/>
                <w:bCs/>
                <w:spacing w:val="0"/>
                <w:sz w:val="15"/>
                <w:szCs w:val="15"/>
                <w:lang w:val="en-US" w:eastAsia="es-CO"/>
              </w:rPr>
              <w:t>COL$</w:t>
            </w:r>
          </w:p>
        </w:tc>
        <w:tc>
          <w:tcPr>
            <w:tcW w:w="1600" w:type="dxa"/>
            <w:tcBorders>
              <w:top w:val="nil"/>
              <w:left w:val="nil"/>
              <w:bottom w:val="nil"/>
              <w:right w:val="nil"/>
            </w:tcBorders>
            <w:shd w:val="clear" w:color="auto" w:fill="auto"/>
            <w:vAlign w:val="center"/>
            <w:hideMark/>
          </w:tcPr>
          <w:p w14:paraId="1237D337" w14:textId="77777777" w:rsidR="00BE6D69" w:rsidRPr="00366EFC" w:rsidRDefault="00BE6D69" w:rsidP="00BE6D69">
            <w:pPr>
              <w:jc w:val="center"/>
              <w:rPr>
                <w:rFonts w:ascii="Arial Narrow" w:hAnsi="Arial Narrow" w:cs="Arial"/>
                <w:b/>
                <w:bCs/>
                <w:spacing w:val="0"/>
                <w:sz w:val="15"/>
                <w:szCs w:val="15"/>
                <w:lang w:eastAsia="es-CO"/>
              </w:rPr>
            </w:pPr>
          </w:p>
        </w:tc>
        <w:tc>
          <w:tcPr>
            <w:tcW w:w="940" w:type="dxa"/>
            <w:tcBorders>
              <w:top w:val="nil"/>
              <w:left w:val="nil"/>
              <w:bottom w:val="nil"/>
              <w:right w:val="nil"/>
            </w:tcBorders>
            <w:shd w:val="clear" w:color="000000" w:fill="E2EFDA"/>
            <w:noWrap/>
            <w:vAlign w:val="center"/>
            <w:hideMark/>
          </w:tcPr>
          <w:p w14:paraId="02AE8F05" w14:textId="77777777" w:rsidR="00BE6D69" w:rsidRPr="00366EFC" w:rsidRDefault="00BE6D69" w:rsidP="00BE6D69">
            <w:pPr>
              <w:jc w:val="right"/>
              <w:rPr>
                <w:rFonts w:ascii="Arial Narrow" w:hAnsi="Arial Narrow" w:cs="Arial"/>
                <w:spacing w:val="0"/>
                <w:sz w:val="15"/>
                <w:szCs w:val="15"/>
                <w:lang w:eastAsia="es-CO"/>
              </w:rPr>
            </w:pPr>
            <w:r w:rsidRPr="00366EFC">
              <w:rPr>
                <w:rFonts w:ascii="Arial Narrow" w:hAnsi="Arial Narrow" w:cs="Arial"/>
                <w:spacing w:val="0"/>
                <w:sz w:val="15"/>
                <w:szCs w:val="15"/>
                <w:lang w:val="en-US" w:eastAsia="es-CO"/>
              </w:rPr>
              <w:t>($ 3.000,00)</w:t>
            </w:r>
          </w:p>
        </w:tc>
        <w:tc>
          <w:tcPr>
            <w:tcW w:w="1300" w:type="dxa"/>
            <w:tcBorders>
              <w:top w:val="nil"/>
              <w:left w:val="nil"/>
              <w:bottom w:val="nil"/>
              <w:right w:val="nil"/>
            </w:tcBorders>
            <w:shd w:val="clear" w:color="auto" w:fill="auto"/>
            <w:noWrap/>
            <w:vAlign w:val="center"/>
            <w:hideMark/>
          </w:tcPr>
          <w:p w14:paraId="7DB16278" w14:textId="77777777" w:rsidR="00BE6D69" w:rsidRPr="00366EFC" w:rsidRDefault="00BE6D69" w:rsidP="00BE6D69">
            <w:pPr>
              <w:jc w:val="right"/>
              <w:rPr>
                <w:rFonts w:ascii="Arial Narrow" w:hAnsi="Arial Narrow" w:cs="Arial"/>
                <w:spacing w:val="0"/>
                <w:sz w:val="15"/>
                <w:szCs w:val="15"/>
                <w:lang w:eastAsia="es-CO"/>
              </w:rPr>
            </w:pPr>
          </w:p>
        </w:tc>
        <w:tc>
          <w:tcPr>
            <w:tcW w:w="1240" w:type="dxa"/>
            <w:tcBorders>
              <w:top w:val="nil"/>
              <w:left w:val="nil"/>
              <w:bottom w:val="nil"/>
              <w:right w:val="nil"/>
            </w:tcBorders>
            <w:shd w:val="clear" w:color="auto" w:fill="auto"/>
            <w:noWrap/>
            <w:vAlign w:val="center"/>
            <w:hideMark/>
          </w:tcPr>
          <w:p w14:paraId="191B8385" w14:textId="77777777" w:rsidR="00BE6D69" w:rsidRPr="00366EFC" w:rsidRDefault="00BE6D69" w:rsidP="00BE6D69">
            <w:pPr>
              <w:jc w:val="left"/>
              <w:rPr>
                <w:rFonts w:ascii="Times New Roman" w:hAnsi="Times New Roman"/>
                <w:spacing w:val="0"/>
                <w:lang w:eastAsia="es-CO"/>
              </w:rPr>
            </w:pPr>
          </w:p>
        </w:tc>
      </w:tr>
      <w:tr w:rsidR="00366EFC" w:rsidRPr="00366EFC" w14:paraId="5263F355" w14:textId="77777777" w:rsidTr="00BE6D69">
        <w:trPr>
          <w:trHeight w:val="255"/>
        </w:trPr>
        <w:tc>
          <w:tcPr>
            <w:tcW w:w="480" w:type="dxa"/>
            <w:tcBorders>
              <w:top w:val="nil"/>
              <w:left w:val="nil"/>
              <w:bottom w:val="nil"/>
              <w:right w:val="nil"/>
            </w:tcBorders>
            <w:shd w:val="clear" w:color="auto" w:fill="auto"/>
            <w:noWrap/>
            <w:vAlign w:val="center"/>
            <w:hideMark/>
          </w:tcPr>
          <w:p w14:paraId="119E5106" w14:textId="77777777" w:rsidR="00BE6D69" w:rsidRPr="00366EFC" w:rsidRDefault="00BE6D69" w:rsidP="00BE6D69">
            <w:pPr>
              <w:jc w:val="center"/>
              <w:rPr>
                <w:rFonts w:ascii="Arial Narrow" w:hAnsi="Arial Narrow" w:cs="Arial"/>
                <w:spacing w:val="0"/>
                <w:sz w:val="15"/>
                <w:szCs w:val="15"/>
                <w:lang w:eastAsia="es-CO"/>
              </w:rPr>
            </w:pPr>
            <w:r w:rsidRPr="00366EFC">
              <w:rPr>
                <w:rFonts w:ascii="Arial Narrow" w:hAnsi="Arial Narrow" w:cs="Arial"/>
                <w:spacing w:val="0"/>
                <w:sz w:val="15"/>
                <w:szCs w:val="15"/>
                <w:lang w:val="en-US" w:eastAsia="es-CO"/>
              </w:rPr>
              <w:lastRenderedPageBreak/>
              <w:t>27</w:t>
            </w:r>
          </w:p>
        </w:tc>
        <w:tc>
          <w:tcPr>
            <w:tcW w:w="700" w:type="dxa"/>
            <w:tcBorders>
              <w:top w:val="nil"/>
              <w:left w:val="nil"/>
              <w:bottom w:val="nil"/>
              <w:right w:val="nil"/>
            </w:tcBorders>
            <w:shd w:val="clear" w:color="auto" w:fill="auto"/>
            <w:noWrap/>
            <w:vAlign w:val="center"/>
            <w:hideMark/>
          </w:tcPr>
          <w:p w14:paraId="0197138C" w14:textId="77777777" w:rsidR="00BE6D69" w:rsidRPr="00366EFC" w:rsidRDefault="00BE6D69" w:rsidP="00BE6D69">
            <w:pPr>
              <w:jc w:val="center"/>
              <w:rPr>
                <w:rFonts w:ascii="Arial Narrow" w:hAnsi="Arial Narrow" w:cs="Arial"/>
                <w:spacing w:val="0"/>
                <w:sz w:val="15"/>
                <w:szCs w:val="15"/>
                <w:lang w:eastAsia="es-CO"/>
              </w:rPr>
            </w:pPr>
            <w:r w:rsidRPr="00366EFC">
              <w:rPr>
                <w:rFonts w:ascii="Arial Narrow" w:hAnsi="Arial Narrow" w:cs="Arial"/>
                <w:spacing w:val="0"/>
                <w:sz w:val="15"/>
                <w:szCs w:val="15"/>
                <w:lang w:val="en-US" w:eastAsia="es-CO"/>
              </w:rPr>
              <w:t>G7</w:t>
            </w:r>
          </w:p>
        </w:tc>
        <w:tc>
          <w:tcPr>
            <w:tcW w:w="760" w:type="dxa"/>
            <w:tcBorders>
              <w:top w:val="nil"/>
              <w:left w:val="nil"/>
              <w:bottom w:val="nil"/>
              <w:right w:val="nil"/>
            </w:tcBorders>
            <w:shd w:val="clear" w:color="000000" w:fill="E2EFDA"/>
            <w:noWrap/>
            <w:vAlign w:val="center"/>
            <w:hideMark/>
          </w:tcPr>
          <w:p w14:paraId="1BD59676" w14:textId="77777777" w:rsidR="00BE6D69" w:rsidRPr="00366EFC" w:rsidRDefault="00BE6D69" w:rsidP="00BE6D69">
            <w:pPr>
              <w:jc w:val="right"/>
              <w:rPr>
                <w:rFonts w:ascii="Arial Narrow" w:hAnsi="Arial Narrow" w:cs="Arial"/>
                <w:spacing w:val="0"/>
                <w:sz w:val="15"/>
                <w:szCs w:val="15"/>
                <w:lang w:eastAsia="es-CO"/>
              </w:rPr>
            </w:pPr>
            <w:r w:rsidRPr="00366EFC">
              <w:rPr>
                <w:rFonts w:ascii="Arial Narrow" w:hAnsi="Arial Narrow" w:cs="Arial"/>
                <w:spacing w:val="0"/>
                <w:sz w:val="15"/>
                <w:szCs w:val="15"/>
                <w:lang w:val="en-US" w:eastAsia="es-CO"/>
              </w:rPr>
              <w:t> </w:t>
            </w:r>
          </w:p>
        </w:tc>
        <w:tc>
          <w:tcPr>
            <w:tcW w:w="2540" w:type="dxa"/>
            <w:tcBorders>
              <w:top w:val="nil"/>
              <w:left w:val="nil"/>
              <w:bottom w:val="nil"/>
              <w:right w:val="nil"/>
            </w:tcBorders>
            <w:shd w:val="clear" w:color="auto" w:fill="auto"/>
            <w:vAlign w:val="center"/>
            <w:hideMark/>
          </w:tcPr>
          <w:p w14:paraId="6BF9F3F9" w14:textId="77777777" w:rsidR="00BE6D69" w:rsidRPr="00366EFC" w:rsidRDefault="00BE6D69" w:rsidP="00BE6D69">
            <w:pPr>
              <w:rPr>
                <w:rFonts w:ascii="Arial Narrow" w:hAnsi="Arial Narrow" w:cs="Arial"/>
                <w:spacing w:val="0"/>
                <w:sz w:val="15"/>
                <w:szCs w:val="15"/>
                <w:lang w:eastAsia="es-CO"/>
              </w:rPr>
            </w:pPr>
            <w:r w:rsidRPr="00366EFC">
              <w:rPr>
                <w:rFonts w:ascii="Arial Narrow" w:hAnsi="Arial Narrow" w:cs="Arial"/>
                <w:spacing w:val="0"/>
                <w:sz w:val="15"/>
                <w:szCs w:val="15"/>
                <w:lang w:val="en-US" w:eastAsia="es-CO"/>
              </w:rPr>
              <w:t>FAER</w:t>
            </w:r>
          </w:p>
        </w:tc>
        <w:tc>
          <w:tcPr>
            <w:tcW w:w="700" w:type="dxa"/>
            <w:tcBorders>
              <w:top w:val="nil"/>
              <w:left w:val="nil"/>
              <w:bottom w:val="nil"/>
              <w:right w:val="nil"/>
            </w:tcBorders>
            <w:shd w:val="clear" w:color="auto" w:fill="auto"/>
            <w:noWrap/>
            <w:vAlign w:val="center"/>
            <w:hideMark/>
          </w:tcPr>
          <w:p w14:paraId="6F118B42" w14:textId="77777777" w:rsidR="00BE6D69" w:rsidRPr="00366EFC" w:rsidRDefault="00BE6D69" w:rsidP="00BE6D69">
            <w:pPr>
              <w:jc w:val="center"/>
              <w:rPr>
                <w:rFonts w:ascii="Arial Narrow" w:hAnsi="Arial Narrow" w:cs="Arial"/>
                <w:b/>
                <w:bCs/>
                <w:spacing w:val="0"/>
                <w:sz w:val="15"/>
                <w:szCs w:val="15"/>
                <w:lang w:eastAsia="es-CO"/>
              </w:rPr>
            </w:pPr>
            <w:r w:rsidRPr="00366EFC">
              <w:rPr>
                <w:rFonts w:ascii="Arial Narrow" w:hAnsi="Arial Narrow" w:cs="Arial"/>
                <w:b/>
                <w:bCs/>
                <w:spacing w:val="0"/>
                <w:sz w:val="15"/>
                <w:szCs w:val="15"/>
                <w:lang w:val="en-US" w:eastAsia="es-CO"/>
              </w:rPr>
              <w:t>COL$</w:t>
            </w:r>
          </w:p>
        </w:tc>
        <w:tc>
          <w:tcPr>
            <w:tcW w:w="1600" w:type="dxa"/>
            <w:tcBorders>
              <w:top w:val="nil"/>
              <w:left w:val="nil"/>
              <w:bottom w:val="nil"/>
              <w:right w:val="nil"/>
            </w:tcBorders>
            <w:shd w:val="clear" w:color="auto" w:fill="auto"/>
            <w:vAlign w:val="center"/>
            <w:hideMark/>
          </w:tcPr>
          <w:p w14:paraId="0F184583" w14:textId="77777777" w:rsidR="00BE6D69" w:rsidRPr="00366EFC" w:rsidRDefault="00BE6D69" w:rsidP="00BE6D69">
            <w:pPr>
              <w:jc w:val="center"/>
              <w:rPr>
                <w:rFonts w:ascii="Arial Narrow" w:hAnsi="Arial Narrow" w:cs="Arial"/>
                <w:b/>
                <w:bCs/>
                <w:spacing w:val="0"/>
                <w:sz w:val="15"/>
                <w:szCs w:val="15"/>
                <w:lang w:eastAsia="es-CO"/>
              </w:rPr>
            </w:pPr>
          </w:p>
        </w:tc>
        <w:tc>
          <w:tcPr>
            <w:tcW w:w="940" w:type="dxa"/>
            <w:tcBorders>
              <w:top w:val="nil"/>
              <w:left w:val="nil"/>
              <w:bottom w:val="nil"/>
              <w:right w:val="nil"/>
            </w:tcBorders>
            <w:shd w:val="clear" w:color="000000" w:fill="E2EFDA"/>
            <w:noWrap/>
            <w:vAlign w:val="center"/>
            <w:hideMark/>
          </w:tcPr>
          <w:p w14:paraId="312F60AC" w14:textId="77777777" w:rsidR="00BE6D69" w:rsidRPr="00366EFC" w:rsidRDefault="00BE6D69" w:rsidP="00BE6D69">
            <w:pPr>
              <w:jc w:val="right"/>
              <w:rPr>
                <w:rFonts w:ascii="Arial Narrow" w:hAnsi="Arial Narrow" w:cs="Arial"/>
                <w:spacing w:val="0"/>
                <w:sz w:val="15"/>
                <w:szCs w:val="15"/>
                <w:lang w:eastAsia="es-CO"/>
              </w:rPr>
            </w:pPr>
            <w:r w:rsidRPr="00366EFC">
              <w:rPr>
                <w:rFonts w:ascii="Arial Narrow" w:hAnsi="Arial Narrow" w:cs="Arial"/>
                <w:spacing w:val="0"/>
                <w:sz w:val="15"/>
                <w:szCs w:val="15"/>
                <w:lang w:val="en-US" w:eastAsia="es-CO"/>
              </w:rPr>
              <w:t>($ 2.000,00)</w:t>
            </w:r>
          </w:p>
        </w:tc>
        <w:tc>
          <w:tcPr>
            <w:tcW w:w="1300" w:type="dxa"/>
            <w:tcBorders>
              <w:top w:val="nil"/>
              <w:left w:val="nil"/>
              <w:bottom w:val="nil"/>
              <w:right w:val="nil"/>
            </w:tcBorders>
            <w:shd w:val="clear" w:color="auto" w:fill="auto"/>
            <w:noWrap/>
            <w:vAlign w:val="center"/>
            <w:hideMark/>
          </w:tcPr>
          <w:p w14:paraId="019C752A" w14:textId="77777777" w:rsidR="00BE6D69" w:rsidRPr="00366EFC" w:rsidRDefault="00BE6D69" w:rsidP="00BE6D69">
            <w:pPr>
              <w:jc w:val="right"/>
              <w:rPr>
                <w:rFonts w:ascii="Arial Narrow" w:hAnsi="Arial Narrow" w:cs="Arial"/>
                <w:spacing w:val="0"/>
                <w:sz w:val="15"/>
                <w:szCs w:val="15"/>
                <w:lang w:eastAsia="es-CO"/>
              </w:rPr>
            </w:pPr>
          </w:p>
        </w:tc>
        <w:tc>
          <w:tcPr>
            <w:tcW w:w="1240" w:type="dxa"/>
            <w:tcBorders>
              <w:top w:val="nil"/>
              <w:left w:val="nil"/>
              <w:bottom w:val="nil"/>
              <w:right w:val="nil"/>
            </w:tcBorders>
            <w:shd w:val="clear" w:color="auto" w:fill="auto"/>
            <w:noWrap/>
            <w:vAlign w:val="center"/>
            <w:hideMark/>
          </w:tcPr>
          <w:p w14:paraId="6A477517" w14:textId="77777777" w:rsidR="00BE6D69" w:rsidRPr="00366EFC" w:rsidRDefault="00BE6D69" w:rsidP="00BE6D69">
            <w:pPr>
              <w:jc w:val="left"/>
              <w:rPr>
                <w:rFonts w:ascii="Times New Roman" w:hAnsi="Times New Roman"/>
                <w:spacing w:val="0"/>
                <w:lang w:eastAsia="es-CO"/>
              </w:rPr>
            </w:pPr>
          </w:p>
        </w:tc>
      </w:tr>
      <w:tr w:rsidR="00366EFC" w:rsidRPr="00366EFC" w14:paraId="14EF13A5" w14:textId="77777777" w:rsidTr="00BE6D69">
        <w:trPr>
          <w:trHeight w:val="255"/>
        </w:trPr>
        <w:tc>
          <w:tcPr>
            <w:tcW w:w="480" w:type="dxa"/>
            <w:tcBorders>
              <w:top w:val="nil"/>
              <w:left w:val="nil"/>
              <w:bottom w:val="nil"/>
              <w:right w:val="nil"/>
            </w:tcBorders>
            <w:shd w:val="clear" w:color="auto" w:fill="auto"/>
            <w:noWrap/>
            <w:vAlign w:val="center"/>
            <w:hideMark/>
          </w:tcPr>
          <w:p w14:paraId="5F7AF279" w14:textId="77777777" w:rsidR="00BE6D69" w:rsidRPr="00366EFC" w:rsidRDefault="00BE6D69" w:rsidP="00BE6D69">
            <w:pPr>
              <w:jc w:val="center"/>
              <w:rPr>
                <w:rFonts w:ascii="Arial Narrow" w:hAnsi="Arial Narrow" w:cs="Arial"/>
                <w:spacing w:val="0"/>
                <w:sz w:val="15"/>
                <w:szCs w:val="15"/>
                <w:lang w:eastAsia="es-CO"/>
              </w:rPr>
            </w:pPr>
            <w:r w:rsidRPr="00366EFC">
              <w:rPr>
                <w:rFonts w:ascii="Arial Narrow" w:hAnsi="Arial Narrow" w:cs="Arial"/>
                <w:spacing w:val="0"/>
                <w:sz w:val="15"/>
                <w:szCs w:val="15"/>
                <w:lang w:val="en-US" w:eastAsia="es-CO"/>
              </w:rPr>
              <w:t>28</w:t>
            </w:r>
          </w:p>
        </w:tc>
        <w:tc>
          <w:tcPr>
            <w:tcW w:w="700" w:type="dxa"/>
            <w:tcBorders>
              <w:top w:val="nil"/>
              <w:left w:val="nil"/>
              <w:bottom w:val="nil"/>
              <w:right w:val="nil"/>
            </w:tcBorders>
            <w:shd w:val="clear" w:color="auto" w:fill="auto"/>
            <w:noWrap/>
            <w:vAlign w:val="center"/>
            <w:hideMark/>
          </w:tcPr>
          <w:p w14:paraId="0AB4E9B2" w14:textId="77777777" w:rsidR="00BE6D69" w:rsidRPr="00366EFC" w:rsidRDefault="00BE6D69" w:rsidP="00BE6D69">
            <w:pPr>
              <w:jc w:val="center"/>
              <w:rPr>
                <w:rFonts w:ascii="Arial Narrow" w:hAnsi="Arial Narrow" w:cs="Arial"/>
                <w:spacing w:val="0"/>
                <w:sz w:val="15"/>
                <w:szCs w:val="15"/>
                <w:lang w:eastAsia="es-CO"/>
              </w:rPr>
            </w:pPr>
            <w:r w:rsidRPr="00366EFC">
              <w:rPr>
                <w:rFonts w:ascii="Arial Narrow" w:hAnsi="Arial Narrow" w:cs="Arial"/>
                <w:spacing w:val="0"/>
                <w:sz w:val="15"/>
                <w:szCs w:val="15"/>
                <w:lang w:val="en-US" w:eastAsia="es-CO"/>
              </w:rPr>
              <w:t>G8</w:t>
            </w:r>
          </w:p>
        </w:tc>
        <w:tc>
          <w:tcPr>
            <w:tcW w:w="760" w:type="dxa"/>
            <w:tcBorders>
              <w:top w:val="nil"/>
              <w:left w:val="nil"/>
              <w:bottom w:val="nil"/>
              <w:right w:val="nil"/>
            </w:tcBorders>
            <w:shd w:val="clear" w:color="000000" w:fill="E2EFDA"/>
            <w:noWrap/>
            <w:vAlign w:val="center"/>
            <w:hideMark/>
          </w:tcPr>
          <w:p w14:paraId="59760E0E" w14:textId="77777777" w:rsidR="00BE6D69" w:rsidRPr="00366EFC" w:rsidRDefault="00BE6D69" w:rsidP="00BE6D69">
            <w:pPr>
              <w:jc w:val="right"/>
              <w:rPr>
                <w:rFonts w:ascii="Arial Narrow" w:hAnsi="Arial Narrow" w:cs="Arial"/>
                <w:spacing w:val="0"/>
                <w:sz w:val="15"/>
                <w:szCs w:val="15"/>
                <w:lang w:eastAsia="es-CO"/>
              </w:rPr>
            </w:pPr>
            <w:r w:rsidRPr="00366EFC">
              <w:rPr>
                <w:rFonts w:ascii="Arial Narrow" w:hAnsi="Arial Narrow" w:cs="Arial"/>
                <w:spacing w:val="0"/>
                <w:sz w:val="15"/>
                <w:szCs w:val="15"/>
                <w:lang w:val="en-US" w:eastAsia="es-CO"/>
              </w:rPr>
              <w:t> </w:t>
            </w:r>
          </w:p>
        </w:tc>
        <w:tc>
          <w:tcPr>
            <w:tcW w:w="2540" w:type="dxa"/>
            <w:tcBorders>
              <w:top w:val="nil"/>
              <w:left w:val="nil"/>
              <w:bottom w:val="nil"/>
              <w:right w:val="nil"/>
            </w:tcBorders>
            <w:shd w:val="clear" w:color="auto" w:fill="auto"/>
            <w:vAlign w:val="center"/>
            <w:hideMark/>
          </w:tcPr>
          <w:p w14:paraId="2106185D" w14:textId="77777777" w:rsidR="00BE6D69" w:rsidRPr="00366EFC" w:rsidRDefault="00BE6D69" w:rsidP="00BE6D69">
            <w:pPr>
              <w:rPr>
                <w:rFonts w:ascii="Arial Narrow" w:hAnsi="Arial Narrow" w:cs="Arial"/>
                <w:spacing w:val="0"/>
                <w:sz w:val="15"/>
                <w:szCs w:val="15"/>
                <w:lang w:eastAsia="es-CO"/>
              </w:rPr>
            </w:pPr>
            <w:r w:rsidRPr="00366EFC">
              <w:rPr>
                <w:rFonts w:ascii="Arial Narrow" w:hAnsi="Arial Narrow" w:cs="Calibri"/>
                <w:spacing w:val="0"/>
                <w:sz w:val="15"/>
                <w:szCs w:val="15"/>
                <w:lang w:eastAsia="es-CO"/>
              </w:rPr>
              <w:t>Cuota de fomento de gas</w:t>
            </w:r>
          </w:p>
        </w:tc>
        <w:tc>
          <w:tcPr>
            <w:tcW w:w="700" w:type="dxa"/>
            <w:tcBorders>
              <w:top w:val="nil"/>
              <w:left w:val="nil"/>
              <w:bottom w:val="nil"/>
              <w:right w:val="nil"/>
            </w:tcBorders>
            <w:shd w:val="clear" w:color="auto" w:fill="auto"/>
            <w:noWrap/>
            <w:vAlign w:val="center"/>
            <w:hideMark/>
          </w:tcPr>
          <w:p w14:paraId="01E16322" w14:textId="77777777" w:rsidR="00BE6D69" w:rsidRPr="00366EFC" w:rsidRDefault="00BE6D69" w:rsidP="00BE6D69">
            <w:pPr>
              <w:jc w:val="center"/>
              <w:rPr>
                <w:rFonts w:ascii="Arial Narrow" w:hAnsi="Arial Narrow" w:cs="Arial"/>
                <w:b/>
                <w:bCs/>
                <w:spacing w:val="0"/>
                <w:sz w:val="15"/>
                <w:szCs w:val="15"/>
                <w:lang w:eastAsia="es-CO"/>
              </w:rPr>
            </w:pPr>
            <w:r w:rsidRPr="00366EFC">
              <w:rPr>
                <w:rFonts w:ascii="Arial Narrow" w:hAnsi="Arial Narrow" w:cs="Arial"/>
                <w:b/>
                <w:bCs/>
                <w:spacing w:val="0"/>
                <w:sz w:val="15"/>
                <w:szCs w:val="15"/>
                <w:lang w:val="en-US" w:eastAsia="es-CO"/>
              </w:rPr>
              <w:t>COL$</w:t>
            </w:r>
          </w:p>
        </w:tc>
        <w:tc>
          <w:tcPr>
            <w:tcW w:w="1600" w:type="dxa"/>
            <w:tcBorders>
              <w:top w:val="nil"/>
              <w:left w:val="nil"/>
              <w:bottom w:val="nil"/>
              <w:right w:val="nil"/>
            </w:tcBorders>
            <w:shd w:val="clear" w:color="auto" w:fill="auto"/>
            <w:vAlign w:val="center"/>
            <w:hideMark/>
          </w:tcPr>
          <w:p w14:paraId="3EA4BD6F" w14:textId="77777777" w:rsidR="00BE6D69" w:rsidRPr="00366EFC" w:rsidRDefault="00BE6D69" w:rsidP="00BE6D69">
            <w:pPr>
              <w:jc w:val="center"/>
              <w:rPr>
                <w:rFonts w:ascii="Arial Narrow" w:hAnsi="Arial Narrow" w:cs="Arial"/>
                <w:b/>
                <w:bCs/>
                <w:spacing w:val="0"/>
                <w:sz w:val="15"/>
                <w:szCs w:val="15"/>
                <w:lang w:eastAsia="es-CO"/>
              </w:rPr>
            </w:pPr>
          </w:p>
        </w:tc>
        <w:tc>
          <w:tcPr>
            <w:tcW w:w="940" w:type="dxa"/>
            <w:tcBorders>
              <w:top w:val="nil"/>
              <w:left w:val="nil"/>
              <w:bottom w:val="nil"/>
              <w:right w:val="nil"/>
            </w:tcBorders>
            <w:shd w:val="clear" w:color="000000" w:fill="E2EFDA"/>
            <w:noWrap/>
            <w:vAlign w:val="center"/>
            <w:hideMark/>
          </w:tcPr>
          <w:p w14:paraId="51041A00" w14:textId="77777777" w:rsidR="00BE6D69" w:rsidRPr="00366EFC" w:rsidRDefault="00BE6D69" w:rsidP="00BE6D69">
            <w:pPr>
              <w:jc w:val="right"/>
              <w:rPr>
                <w:rFonts w:ascii="Arial Narrow" w:hAnsi="Arial Narrow" w:cs="Arial"/>
                <w:spacing w:val="0"/>
                <w:sz w:val="15"/>
                <w:szCs w:val="15"/>
                <w:lang w:eastAsia="es-CO"/>
              </w:rPr>
            </w:pPr>
            <w:r w:rsidRPr="00366EFC">
              <w:rPr>
                <w:rFonts w:ascii="Arial Narrow" w:hAnsi="Arial Narrow" w:cs="Arial"/>
                <w:spacing w:val="0"/>
                <w:sz w:val="15"/>
                <w:szCs w:val="15"/>
                <w:lang w:val="en-US" w:eastAsia="es-CO"/>
              </w:rPr>
              <w:t>($ 2.000,00)</w:t>
            </w:r>
          </w:p>
        </w:tc>
        <w:tc>
          <w:tcPr>
            <w:tcW w:w="1300" w:type="dxa"/>
            <w:tcBorders>
              <w:top w:val="nil"/>
              <w:left w:val="nil"/>
              <w:bottom w:val="nil"/>
              <w:right w:val="nil"/>
            </w:tcBorders>
            <w:shd w:val="clear" w:color="auto" w:fill="auto"/>
            <w:noWrap/>
            <w:vAlign w:val="center"/>
            <w:hideMark/>
          </w:tcPr>
          <w:p w14:paraId="25665834" w14:textId="77777777" w:rsidR="00BE6D69" w:rsidRPr="00366EFC" w:rsidRDefault="00BE6D69" w:rsidP="00BE6D69">
            <w:pPr>
              <w:jc w:val="right"/>
              <w:rPr>
                <w:rFonts w:ascii="Arial Narrow" w:hAnsi="Arial Narrow" w:cs="Arial"/>
                <w:spacing w:val="0"/>
                <w:sz w:val="15"/>
                <w:szCs w:val="15"/>
                <w:lang w:eastAsia="es-CO"/>
              </w:rPr>
            </w:pPr>
          </w:p>
        </w:tc>
        <w:tc>
          <w:tcPr>
            <w:tcW w:w="1240" w:type="dxa"/>
            <w:tcBorders>
              <w:top w:val="nil"/>
              <w:left w:val="nil"/>
              <w:bottom w:val="nil"/>
              <w:right w:val="nil"/>
            </w:tcBorders>
            <w:shd w:val="clear" w:color="auto" w:fill="auto"/>
            <w:noWrap/>
            <w:vAlign w:val="center"/>
            <w:hideMark/>
          </w:tcPr>
          <w:p w14:paraId="62529370" w14:textId="77777777" w:rsidR="00BE6D69" w:rsidRPr="00366EFC" w:rsidRDefault="00BE6D69" w:rsidP="00BE6D69">
            <w:pPr>
              <w:jc w:val="left"/>
              <w:rPr>
                <w:rFonts w:ascii="Times New Roman" w:hAnsi="Times New Roman"/>
                <w:spacing w:val="0"/>
                <w:lang w:eastAsia="es-CO"/>
              </w:rPr>
            </w:pPr>
          </w:p>
        </w:tc>
      </w:tr>
      <w:tr w:rsidR="00366EFC" w:rsidRPr="00366EFC" w14:paraId="34961F68" w14:textId="77777777" w:rsidTr="00BE6D69">
        <w:trPr>
          <w:trHeight w:val="390"/>
        </w:trPr>
        <w:tc>
          <w:tcPr>
            <w:tcW w:w="480" w:type="dxa"/>
            <w:tcBorders>
              <w:top w:val="nil"/>
              <w:left w:val="nil"/>
              <w:bottom w:val="nil"/>
              <w:right w:val="nil"/>
            </w:tcBorders>
            <w:shd w:val="clear" w:color="auto" w:fill="auto"/>
            <w:noWrap/>
            <w:vAlign w:val="center"/>
            <w:hideMark/>
          </w:tcPr>
          <w:p w14:paraId="32D16042" w14:textId="77777777" w:rsidR="00BE6D69" w:rsidRPr="00366EFC" w:rsidRDefault="00BE6D69" w:rsidP="00BE6D69">
            <w:pPr>
              <w:jc w:val="center"/>
              <w:rPr>
                <w:rFonts w:ascii="Arial Narrow" w:hAnsi="Arial Narrow" w:cs="Arial"/>
                <w:spacing w:val="0"/>
                <w:sz w:val="15"/>
                <w:szCs w:val="15"/>
                <w:lang w:eastAsia="es-CO"/>
              </w:rPr>
            </w:pPr>
            <w:r w:rsidRPr="00366EFC">
              <w:rPr>
                <w:rFonts w:ascii="Arial Narrow" w:hAnsi="Arial Narrow" w:cs="Arial"/>
                <w:spacing w:val="0"/>
                <w:sz w:val="15"/>
                <w:szCs w:val="15"/>
                <w:lang w:val="en-US" w:eastAsia="es-CO"/>
              </w:rPr>
              <w:t>29</w:t>
            </w:r>
          </w:p>
        </w:tc>
        <w:tc>
          <w:tcPr>
            <w:tcW w:w="700" w:type="dxa"/>
            <w:tcBorders>
              <w:top w:val="nil"/>
              <w:left w:val="nil"/>
              <w:bottom w:val="nil"/>
              <w:right w:val="nil"/>
            </w:tcBorders>
            <w:shd w:val="clear" w:color="auto" w:fill="auto"/>
            <w:noWrap/>
            <w:vAlign w:val="center"/>
            <w:hideMark/>
          </w:tcPr>
          <w:p w14:paraId="25668A1D" w14:textId="77777777" w:rsidR="00BE6D69" w:rsidRPr="00366EFC" w:rsidRDefault="00BE6D69" w:rsidP="00BE6D69">
            <w:pPr>
              <w:jc w:val="center"/>
              <w:rPr>
                <w:rFonts w:ascii="Arial Narrow" w:hAnsi="Arial Narrow" w:cs="Arial"/>
                <w:spacing w:val="0"/>
                <w:sz w:val="15"/>
                <w:szCs w:val="15"/>
                <w:lang w:eastAsia="es-CO"/>
              </w:rPr>
            </w:pPr>
            <w:r w:rsidRPr="00366EFC">
              <w:rPr>
                <w:rFonts w:ascii="Arial Narrow" w:hAnsi="Arial Narrow" w:cs="Arial"/>
                <w:spacing w:val="0"/>
                <w:sz w:val="15"/>
                <w:szCs w:val="15"/>
                <w:lang w:val="en-US" w:eastAsia="es-CO"/>
              </w:rPr>
              <w:t>G9</w:t>
            </w:r>
          </w:p>
        </w:tc>
        <w:tc>
          <w:tcPr>
            <w:tcW w:w="760" w:type="dxa"/>
            <w:tcBorders>
              <w:top w:val="nil"/>
              <w:left w:val="nil"/>
              <w:bottom w:val="nil"/>
              <w:right w:val="nil"/>
            </w:tcBorders>
            <w:shd w:val="clear" w:color="000000" w:fill="E2EFDA"/>
            <w:noWrap/>
            <w:vAlign w:val="center"/>
            <w:hideMark/>
          </w:tcPr>
          <w:p w14:paraId="69CD2E9C" w14:textId="77777777" w:rsidR="00BE6D69" w:rsidRPr="00366EFC" w:rsidRDefault="00BE6D69" w:rsidP="00BE6D69">
            <w:pPr>
              <w:jc w:val="right"/>
              <w:rPr>
                <w:rFonts w:ascii="Arial Narrow" w:hAnsi="Arial Narrow" w:cs="Arial"/>
                <w:spacing w:val="0"/>
                <w:sz w:val="15"/>
                <w:szCs w:val="15"/>
                <w:lang w:eastAsia="es-CO"/>
              </w:rPr>
            </w:pPr>
            <w:r w:rsidRPr="00366EFC">
              <w:rPr>
                <w:rFonts w:ascii="Arial Narrow" w:hAnsi="Arial Narrow" w:cs="Arial"/>
                <w:spacing w:val="0"/>
                <w:sz w:val="15"/>
                <w:szCs w:val="15"/>
                <w:lang w:val="en-US" w:eastAsia="es-CO"/>
              </w:rPr>
              <w:t> </w:t>
            </w:r>
          </w:p>
        </w:tc>
        <w:tc>
          <w:tcPr>
            <w:tcW w:w="2540" w:type="dxa"/>
            <w:tcBorders>
              <w:top w:val="nil"/>
              <w:left w:val="nil"/>
              <w:bottom w:val="nil"/>
              <w:right w:val="nil"/>
            </w:tcBorders>
            <w:shd w:val="clear" w:color="auto" w:fill="auto"/>
            <w:vAlign w:val="center"/>
            <w:hideMark/>
          </w:tcPr>
          <w:p w14:paraId="7F81F9B9" w14:textId="77777777" w:rsidR="00BE6D69" w:rsidRPr="00366EFC" w:rsidRDefault="00BE6D69" w:rsidP="00BE6D69">
            <w:pPr>
              <w:rPr>
                <w:rFonts w:ascii="Arial Narrow" w:hAnsi="Arial Narrow" w:cs="Arial"/>
                <w:spacing w:val="0"/>
                <w:sz w:val="15"/>
                <w:szCs w:val="15"/>
                <w:lang w:eastAsia="es-CO"/>
              </w:rPr>
            </w:pPr>
            <w:r w:rsidRPr="00366EFC">
              <w:rPr>
                <w:rFonts w:ascii="Arial Narrow" w:hAnsi="Arial Narrow" w:cs="Calibri"/>
                <w:spacing w:val="0"/>
                <w:sz w:val="15"/>
                <w:szCs w:val="15"/>
                <w:lang w:eastAsia="es-CO"/>
              </w:rPr>
              <w:t>Comité de estratificación - Ley 505 de 1999</w:t>
            </w:r>
          </w:p>
        </w:tc>
        <w:tc>
          <w:tcPr>
            <w:tcW w:w="700" w:type="dxa"/>
            <w:tcBorders>
              <w:top w:val="nil"/>
              <w:left w:val="nil"/>
              <w:bottom w:val="nil"/>
              <w:right w:val="nil"/>
            </w:tcBorders>
            <w:shd w:val="clear" w:color="auto" w:fill="auto"/>
            <w:noWrap/>
            <w:vAlign w:val="center"/>
            <w:hideMark/>
          </w:tcPr>
          <w:p w14:paraId="3856335B" w14:textId="77777777" w:rsidR="00BE6D69" w:rsidRPr="00366EFC" w:rsidRDefault="00BE6D69" w:rsidP="00BE6D69">
            <w:pPr>
              <w:jc w:val="center"/>
              <w:rPr>
                <w:rFonts w:ascii="Arial Narrow" w:hAnsi="Arial Narrow" w:cs="Arial"/>
                <w:b/>
                <w:bCs/>
                <w:spacing w:val="0"/>
                <w:sz w:val="15"/>
                <w:szCs w:val="15"/>
                <w:lang w:eastAsia="es-CO"/>
              </w:rPr>
            </w:pPr>
            <w:r w:rsidRPr="00366EFC">
              <w:rPr>
                <w:rFonts w:ascii="Arial Narrow" w:hAnsi="Arial Narrow" w:cs="Arial"/>
                <w:b/>
                <w:bCs/>
                <w:spacing w:val="0"/>
                <w:sz w:val="15"/>
                <w:szCs w:val="15"/>
                <w:lang w:val="en-US" w:eastAsia="es-CO"/>
              </w:rPr>
              <w:t>COL$</w:t>
            </w:r>
          </w:p>
        </w:tc>
        <w:tc>
          <w:tcPr>
            <w:tcW w:w="1600" w:type="dxa"/>
            <w:tcBorders>
              <w:top w:val="nil"/>
              <w:left w:val="nil"/>
              <w:bottom w:val="nil"/>
              <w:right w:val="nil"/>
            </w:tcBorders>
            <w:shd w:val="clear" w:color="auto" w:fill="auto"/>
            <w:vAlign w:val="center"/>
            <w:hideMark/>
          </w:tcPr>
          <w:p w14:paraId="5DFCFB5B" w14:textId="77777777" w:rsidR="00BE6D69" w:rsidRPr="00366EFC" w:rsidRDefault="00BE6D69" w:rsidP="00BE6D69">
            <w:pPr>
              <w:jc w:val="center"/>
              <w:rPr>
                <w:rFonts w:ascii="Arial Narrow" w:hAnsi="Arial Narrow" w:cs="Arial"/>
                <w:b/>
                <w:bCs/>
                <w:spacing w:val="0"/>
                <w:sz w:val="15"/>
                <w:szCs w:val="15"/>
                <w:lang w:eastAsia="es-CO"/>
              </w:rPr>
            </w:pPr>
          </w:p>
        </w:tc>
        <w:tc>
          <w:tcPr>
            <w:tcW w:w="940" w:type="dxa"/>
            <w:tcBorders>
              <w:top w:val="nil"/>
              <w:left w:val="nil"/>
              <w:bottom w:val="nil"/>
              <w:right w:val="nil"/>
            </w:tcBorders>
            <w:shd w:val="clear" w:color="000000" w:fill="E2EFDA"/>
            <w:noWrap/>
            <w:vAlign w:val="center"/>
            <w:hideMark/>
          </w:tcPr>
          <w:p w14:paraId="4D43AEF8" w14:textId="77777777" w:rsidR="00BE6D69" w:rsidRPr="00366EFC" w:rsidRDefault="00BE6D69" w:rsidP="00BE6D69">
            <w:pPr>
              <w:jc w:val="right"/>
              <w:rPr>
                <w:rFonts w:ascii="Arial Narrow" w:hAnsi="Arial Narrow" w:cs="Arial"/>
                <w:spacing w:val="0"/>
                <w:sz w:val="15"/>
                <w:szCs w:val="15"/>
                <w:lang w:eastAsia="es-CO"/>
              </w:rPr>
            </w:pPr>
            <w:r w:rsidRPr="00366EFC">
              <w:rPr>
                <w:rFonts w:ascii="Arial Narrow" w:hAnsi="Arial Narrow" w:cs="Arial"/>
                <w:spacing w:val="0"/>
                <w:sz w:val="15"/>
                <w:szCs w:val="15"/>
                <w:lang w:val="en-US" w:eastAsia="es-CO"/>
              </w:rPr>
              <w:t>($ 1.000,00)</w:t>
            </w:r>
          </w:p>
        </w:tc>
        <w:tc>
          <w:tcPr>
            <w:tcW w:w="1300" w:type="dxa"/>
            <w:tcBorders>
              <w:top w:val="nil"/>
              <w:left w:val="nil"/>
              <w:bottom w:val="nil"/>
              <w:right w:val="nil"/>
            </w:tcBorders>
            <w:shd w:val="clear" w:color="auto" w:fill="auto"/>
            <w:noWrap/>
            <w:vAlign w:val="center"/>
            <w:hideMark/>
          </w:tcPr>
          <w:p w14:paraId="389C42ED" w14:textId="77777777" w:rsidR="00BE6D69" w:rsidRPr="00366EFC" w:rsidRDefault="00BE6D69" w:rsidP="00BE6D69">
            <w:pPr>
              <w:jc w:val="right"/>
              <w:rPr>
                <w:rFonts w:ascii="Arial Narrow" w:hAnsi="Arial Narrow" w:cs="Arial"/>
                <w:spacing w:val="0"/>
                <w:sz w:val="15"/>
                <w:szCs w:val="15"/>
                <w:lang w:eastAsia="es-CO"/>
              </w:rPr>
            </w:pPr>
          </w:p>
        </w:tc>
        <w:tc>
          <w:tcPr>
            <w:tcW w:w="1240" w:type="dxa"/>
            <w:tcBorders>
              <w:top w:val="nil"/>
              <w:left w:val="nil"/>
              <w:bottom w:val="nil"/>
              <w:right w:val="nil"/>
            </w:tcBorders>
            <w:shd w:val="clear" w:color="auto" w:fill="auto"/>
            <w:noWrap/>
            <w:vAlign w:val="center"/>
            <w:hideMark/>
          </w:tcPr>
          <w:p w14:paraId="5DC047FA" w14:textId="77777777" w:rsidR="00BE6D69" w:rsidRPr="00366EFC" w:rsidRDefault="00BE6D69" w:rsidP="00BE6D69">
            <w:pPr>
              <w:jc w:val="left"/>
              <w:rPr>
                <w:rFonts w:ascii="Times New Roman" w:hAnsi="Times New Roman"/>
                <w:spacing w:val="0"/>
                <w:lang w:eastAsia="es-CO"/>
              </w:rPr>
            </w:pPr>
          </w:p>
        </w:tc>
      </w:tr>
      <w:tr w:rsidR="00366EFC" w:rsidRPr="00366EFC" w14:paraId="5C602071" w14:textId="77777777" w:rsidTr="00BE6D69">
        <w:trPr>
          <w:trHeight w:val="585"/>
        </w:trPr>
        <w:tc>
          <w:tcPr>
            <w:tcW w:w="480" w:type="dxa"/>
            <w:tcBorders>
              <w:top w:val="nil"/>
              <w:left w:val="nil"/>
              <w:bottom w:val="nil"/>
              <w:right w:val="nil"/>
            </w:tcBorders>
            <w:shd w:val="clear" w:color="auto" w:fill="auto"/>
            <w:noWrap/>
            <w:vAlign w:val="center"/>
            <w:hideMark/>
          </w:tcPr>
          <w:p w14:paraId="7E3FAD99" w14:textId="77777777" w:rsidR="00BE6D69" w:rsidRPr="00366EFC" w:rsidRDefault="00BE6D69" w:rsidP="00BE6D69">
            <w:pPr>
              <w:jc w:val="center"/>
              <w:rPr>
                <w:rFonts w:ascii="Arial Narrow" w:hAnsi="Arial Narrow" w:cs="Arial"/>
                <w:spacing w:val="0"/>
                <w:sz w:val="15"/>
                <w:szCs w:val="15"/>
                <w:lang w:eastAsia="es-CO"/>
              </w:rPr>
            </w:pPr>
            <w:r w:rsidRPr="00366EFC">
              <w:rPr>
                <w:rFonts w:ascii="Arial Narrow" w:hAnsi="Arial Narrow" w:cs="Arial"/>
                <w:spacing w:val="0"/>
                <w:sz w:val="15"/>
                <w:szCs w:val="15"/>
                <w:lang w:val="en-US" w:eastAsia="es-CO"/>
              </w:rPr>
              <w:t>30</w:t>
            </w:r>
          </w:p>
        </w:tc>
        <w:tc>
          <w:tcPr>
            <w:tcW w:w="700" w:type="dxa"/>
            <w:tcBorders>
              <w:top w:val="nil"/>
              <w:left w:val="nil"/>
              <w:bottom w:val="nil"/>
              <w:right w:val="nil"/>
            </w:tcBorders>
            <w:shd w:val="clear" w:color="auto" w:fill="auto"/>
            <w:noWrap/>
            <w:vAlign w:val="center"/>
            <w:hideMark/>
          </w:tcPr>
          <w:p w14:paraId="6BF3B819" w14:textId="77777777" w:rsidR="00BE6D69" w:rsidRPr="00366EFC" w:rsidRDefault="00BE6D69" w:rsidP="00BE6D69">
            <w:pPr>
              <w:jc w:val="center"/>
              <w:rPr>
                <w:rFonts w:ascii="Arial Narrow" w:hAnsi="Arial Narrow" w:cs="Arial"/>
                <w:spacing w:val="0"/>
                <w:sz w:val="15"/>
                <w:szCs w:val="15"/>
                <w:lang w:eastAsia="es-CO"/>
              </w:rPr>
            </w:pPr>
            <w:r w:rsidRPr="00366EFC">
              <w:rPr>
                <w:rFonts w:ascii="Arial Narrow" w:hAnsi="Arial Narrow" w:cs="Arial"/>
                <w:spacing w:val="0"/>
                <w:sz w:val="15"/>
                <w:szCs w:val="15"/>
                <w:lang w:val="en-US" w:eastAsia="es-CO"/>
              </w:rPr>
              <w:t>G10</w:t>
            </w:r>
          </w:p>
        </w:tc>
        <w:tc>
          <w:tcPr>
            <w:tcW w:w="760" w:type="dxa"/>
            <w:tcBorders>
              <w:top w:val="nil"/>
              <w:left w:val="nil"/>
              <w:bottom w:val="nil"/>
              <w:right w:val="nil"/>
            </w:tcBorders>
            <w:shd w:val="clear" w:color="000000" w:fill="E2EFDA"/>
            <w:noWrap/>
            <w:vAlign w:val="center"/>
            <w:hideMark/>
          </w:tcPr>
          <w:p w14:paraId="7FEA781C" w14:textId="77777777" w:rsidR="00BE6D69" w:rsidRPr="00366EFC" w:rsidRDefault="00BE6D69" w:rsidP="00BE6D69">
            <w:pPr>
              <w:jc w:val="right"/>
              <w:rPr>
                <w:rFonts w:ascii="Arial Narrow" w:hAnsi="Arial Narrow" w:cs="Arial"/>
                <w:spacing w:val="0"/>
                <w:sz w:val="15"/>
                <w:szCs w:val="15"/>
                <w:lang w:eastAsia="es-CO"/>
              </w:rPr>
            </w:pPr>
            <w:r w:rsidRPr="00366EFC">
              <w:rPr>
                <w:rFonts w:ascii="Arial Narrow" w:hAnsi="Arial Narrow" w:cs="Arial"/>
                <w:spacing w:val="0"/>
                <w:sz w:val="15"/>
                <w:szCs w:val="15"/>
                <w:lang w:val="en-US" w:eastAsia="es-CO"/>
              </w:rPr>
              <w:t> </w:t>
            </w:r>
          </w:p>
        </w:tc>
        <w:tc>
          <w:tcPr>
            <w:tcW w:w="2540" w:type="dxa"/>
            <w:tcBorders>
              <w:top w:val="nil"/>
              <w:left w:val="nil"/>
              <w:bottom w:val="nil"/>
              <w:right w:val="nil"/>
            </w:tcBorders>
            <w:shd w:val="clear" w:color="auto" w:fill="auto"/>
            <w:vAlign w:val="center"/>
            <w:hideMark/>
          </w:tcPr>
          <w:p w14:paraId="610ED310" w14:textId="77777777" w:rsidR="00BE6D69" w:rsidRPr="00366EFC" w:rsidRDefault="00BE6D69" w:rsidP="00BE6D69">
            <w:pPr>
              <w:rPr>
                <w:rFonts w:ascii="Arial Narrow" w:hAnsi="Arial Narrow" w:cs="Arial"/>
                <w:spacing w:val="0"/>
                <w:sz w:val="15"/>
                <w:szCs w:val="15"/>
                <w:lang w:eastAsia="es-CO"/>
              </w:rPr>
            </w:pPr>
            <w:r w:rsidRPr="00366EFC">
              <w:rPr>
                <w:rFonts w:ascii="Arial Narrow" w:hAnsi="Arial Narrow" w:cs="Calibri"/>
                <w:spacing w:val="0"/>
                <w:sz w:val="15"/>
                <w:szCs w:val="15"/>
                <w:lang w:eastAsia="es-CO"/>
              </w:rPr>
              <w:t>Concesiones y permisos ambientales y sanitarios - Artículo 25 Ley 142 de 1994</w:t>
            </w:r>
          </w:p>
        </w:tc>
        <w:tc>
          <w:tcPr>
            <w:tcW w:w="700" w:type="dxa"/>
            <w:tcBorders>
              <w:top w:val="nil"/>
              <w:left w:val="nil"/>
              <w:bottom w:val="nil"/>
              <w:right w:val="nil"/>
            </w:tcBorders>
            <w:shd w:val="clear" w:color="auto" w:fill="auto"/>
            <w:noWrap/>
            <w:vAlign w:val="center"/>
            <w:hideMark/>
          </w:tcPr>
          <w:p w14:paraId="10C407A0" w14:textId="77777777" w:rsidR="00BE6D69" w:rsidRPr="00366EFC" w:rsidRDefault="00BE6D69" w:rsidP="00BE6D69">
            <w:pPr>
              <w:jc w:val="center"/>
              <w:rPr>
                <w:rFonts w:ascii="Arial Narrow" w:hAnsi="Arial Narrow" w:cs="Arial"/>
                <w:b/>
                <w:bCs/>
                <w:spacing w:val="0"/>
                <w:sz w:val="15"/>
                <w:szCs w:val="15"/>
                <w:lang w:eastAsia="es-CO"/>
              </w:rPr>
            </w:pPr>
            <w:r w:rsidRPr="00366EFC">
              <w:rPr>
                <w:rFonts w:ascii="Arial Narrow" w:hAnsi="Arial Narrow" w:cs="Arial"/>
                <w:b/>
                <w:bCs/>
                <w:spacing w:val="0"/>
                <w:sz w:val="15"/>
                <w:szCs w:val="15"/>
                <w:lang w:val="en-US" w:eastAsia="es-CO"/>
              </w:rPr>
              <w:t>COL$</w:t>
            </w:r>
          </w:p>
        </w:tc>
        <w:tc>
          <w:tcPr>
            <w:tcW w:w="1600" w:type="dxa"/>
            <w:tcBorders>
              <w:top w:val="nil"/>
              <w:left w:val="nil"/>
              <w:bottom w:val="nil"/>
              <w:right w:val="nil"/>
            </w:tcBorders>
            <w:shd w:val="clear" w:color="auto" w:fill="auto"/>
            <w:vAlign w:val="center"/>
            <w:hideMark/>
          </w:tcPr>
          <w:p w14:paraId="4B652D70" w14:textId="77777777" w:rsidR="00BE6D69" w:rsidRPr="00366EFC" w:rsidRDefault="00BE6D69" w:rsidP="00BE6D69">
            <w:pPr>
              <w:jc w:val="center"/>
              <w:rPr>
                <w:rFonts w:ascii="Arial Narrow" w:hAnsi="Arial Narrow" w:cs="Arial"/>
                <w:b/>
                <w:bCs/>
                <w:spacing w:val="0"/>
                <w:sz w:val="15"/>
                <w:szCs w:val="15"/>
                <w:lang w:eastAsia="es-CO"/>
              </w:rPr>
            </w:pPr>
          </w:p>
        </w:tc>
        <w:tc>
          <w:tcPr>
            <w:tcW w:w="940" w:type="dxa"/>
            <w:tcBorders>
              <w:top w:val="nil"/>
              <w:left w:val="nil"/>
              <w:bottom w:val="nil"/>
              <w:right w:val="nil"/>
            </w:tcBorders>
            <w:shd w:val="clear" w:color="000000" w:fill="E2EFDA"/>
            <w:noWrap/>
            <w:vAlign w:val="center"/>
            <w:hideMark/>
          </w:tcPr>
          <w:p w14:paraId="038CF0E4" w14:textId="77777777" w:rsidR="00BE6D69" w:rsidRPr="00366EFC" w:rsidRDefault="00BE6D69" w:rsidP="00BE6D69">
            <w:pPr>
              <w:jc w:val="right"/>
              <w:rPr>
                <w:rFonts w:ascii="Arial Narrow" w:hAnsi="Arial Narrow" w:cs="Arial"/>
                <w:spacing w:val="0"/>
                <w:sz w:val="15"/>
                <w:szCs w:val="15"/>
                <w:lang w:eastAsia="es-CO"/>
              </w:rPr>
            </w:pPr>
            <w:r w:rsidRPr="00366EFC">
              <w:rPr>
                <w:rFonts w:ascii="Arial Narrow" w:hAnsi="Arial Narrow" w:cs="Arial"/>
                <w:spacing w:val="0"/>
                <w:sz w:val="15"/>
                <w:szCs w:val="15"/>
                <w:lang w:val="en-US" w:eastAsia="es-CO"/>
              </w:rPr>
              <w:t>($ 2.000,00)</w:t>
            </w:r>
          </w:p>
        </w:tc>
        <w:tc>
          <w:tcPr>
            <w:tcW w:w="1300" w:type="dxa"/>
            <w:tcBorders>
              <w:top w:val="nil"/>
              <w:left w:val="nil"/>
              <w:bottom w:val="nil"/>
              <w:right w:val="nil"/>
            </w:tcBorders>
            <w:shd w:val="clear" w:color="auto" w:fill="auto"/>
            <w:noWrap/>
            <w:vAlign w:val="center"/>
            <w:hideMark/>
          </w:tcPr>
          <w:p w14:paraId="51020E14" w14:textId="77777777" w:rsidR="00BE6D69" w:rsidRPr="00366EFC" w:rsidRDefault="00BE6D69" w:rsidP="00BE6D69">
            <w:pPr>
              <w:jc w:val="right"/>
              <w:rPr>
                <w:rFonts w:ascii="Arial Narrow" w:hAnsi="Arial Narrow" w:cs="Arial"/>
                <w:spacing w:val="0"/>
                <w:sz w:val="15"/>
                <w:szCs w:val="15"/>
                <w:lang w:eastAsia="es-CO"/>
              </w:rPr>
            </w:pPr>
          </w:p>
        </w:tc>
        <w:tc>
          <w:tcPr>
            <w:tcW w:w="1240" w:type="dxa"/>
            <w:tcBorders>
              <w:top w:val="nil"/>
              <w:left w:val="nil"/>
              <w:bottom w:val="nil"/>
              <w:right w:val="nil"/>
            </w:tcBorders>
            <w:shd w:val="clear" w:color="auto" w:fill="auto"/>
            <w:noWrap/>
            <w:vAlign w:val="center"/>
            <w:hideMark/>
          </w:tcPr>
          <w:p w14:paraId="56E2F865" w14:textId="77777777" w:rsidR="00BE6D69" w:rsidRPr="00366EFC" w:rsidRDefault="00BE6D69" w:rsidP="00BE6D69">
            <w:pPr>
              <w:jc w:val="left"/>
              <w:rPr>
                <w:rFonts w:ascii="Times New Roman" w:hAnsi="Times New Roman"/>
                <w:spacing w:val="0"/>
                <w:lang w:eastAsia="es-CO"/>
              </w:rPr>
            </w:pPr>
          </w:p>
        </w:tc>
      </w:tr>
      <w:tr w:rsidR="00366EFC" w:rsidRPr="00366EFC" w14:paraId="352D1698" w14:textId="77777777" w:rsidTr="00BE6D69">
        <w:trPr>
          <w:trHeight w:val="255"/>
        </w:trPr>
        <w:tc>
          <w:tcPr>
            <w:tcW w:w="480" w:type="dxa"/>
            <w:tcBorders>
              <w:top w:val="nil"/>
              <w:left w:val="nil"/>
              <w:bottom w:val="nil"/>
              <w:right w:val="nil"/>
            </w:tcBorders>
            <w:shd w:val="clear" w:color="auto" w:fill="auto"/>
            <w:noWrap/>
            <w:vAlign w:val="center"/>
            <w:hideMark/>
          </w:tcPr>
          <w:p w14:paraId="6EC98283" w14:textId="77777777" w:rsidR="00BE6D69" w:rsidRPr="00366EFC" w:rsidRDefault="00BE6D69" w:rsidP="00BE6D69">
            <w:pPr>
              <w:jc w:val="center"/>
              <w:rPr>
                <w:rFonts w:ascii="Arial Narrow" w:hAnsi="Arial Narrow" w:cs="Arial"/>
                <w:spacing w:val="0"/>
                <w:sz w:val="15"/>
                <w:szCs w:val="15"/>
                <w:lang w:eastAsia="es-CO"/>
              </w:rPr>
            </w:pPr>
            <w:r w:rsidRPr="00366EFC">
              <w:rPr>
                <w:rFonts w:ascii="Arial Narrow" w:hAnsi="Arial Narrow" w:cs="Arial"/>
                <w:spacing w:val="0"/>
                <w:sz w:val="15"/>
                <w:szCs w:val="15"/>
                <w:lang w:val="en-US" w:eastAsia="es-CO"/>
              </w:rPr>
              <w:t>31</w:t>
            </w:r>
          </w:p>
        </w:tc>
        <w:tc>
          <w:tcPr>
            <w:tcW w:w="700" w:type="dxa"/>
            <w:tcBorders>
              <w:top w:val="nil"/>
              <w:left w:val="nil"/>
              <w:bottom w:val="nil"/>
              <w:right w:val="nil"/>
            </w:tcBorders>
            <w:shd w:val="clear" w:color="auto" w:fill="auto"/>
            <w:noWrap/>
            <w:vAlign w:val="center"/>
            <w:hideMark/>
          </w:tcPr>
          <w:p w14:paraId="43A0D845" w14:textId="77777777" w:rsidR="00BE6D69" w:rsidRPr="00366EFC" w:rsidRDefault="00BE6D69" w:rsidP="00BE6D69">
            <w:pPr>
              <w:jc w:val="center"/>
              <w:rPr>
                <w:rFonts w:ascii="Arial Narrow" w:hAnsi="Arial Narrow" w:cs="Arial"/>
                <w:spacing w:val="0"/>
                <w:sz w:val="15"/>
                <w:szCs w:val="15"/>
                <w:lang w:eastAsia="es-CO"/>
              </w:rPr>
            </w:pPr>
            <w:r w:rsidRPr="00366EFC">
              <w:rPr>
                <w:rFonts w:ascii="Arial Narrow" w:hAnsi="Arial Narrow" w:cs="Arial"/>
                <w:spacing w:val="0"/>
                <w:sz w:val="15"/>
                <w:szCs w:val="15"/>
                <w:lang w:val="en-US" w:eastAsia="es-CO"/>
              </w:rPr>
              <w:t>G11</w:t>
            </w:r>
          </w:p>
        </w:tc>
        <w:tc>
          <w:tcPr>
            <w:tcW w:w="760" w:type="dxa"/>
            <w:tcBorders>
              <w:top w:val="nil"/>
              <w:left w:val="nil"/>
              <w:bottom w:val="nil"/>
              <w:right w:val="nil"/>
            </w:tcBorders>
            <w:shd w:val="clear" w:color="000000" w:fill="E2EFDA"/>
            <w:noWrap/>
            <w:vAlign w:val="center"/>
            <w:hideMark/>
          </w:tcPr>
          <w:p w14:paraId="0C95B280" w14:textId="77777777" w:rsidR="00BE6D69" w:rsidRPr="00366EFC" w:rsidRDefault="00BE6D69" w:rsidP="00BE6D69">
            <w:pPr>
              <w:jc w:val="right"/>
              <w:rPr>
                <w:rFonts w:ascii="Arial Narrow" w:hAnsi="Arial Narrow" w:cs="Arial"/>
                <w:spacing w:val="0"/>
                <w:sz w:val="15"/>
                <w:szCs w:val="15"/>
                <w:lang w:eastAsia="es-CO"/>
              </w:rPr>
            </w:pPr>
            <w:r w:rsidRPr="00366EFC">
              <w:rPr>
                <w:rFonts w:ascii="Arial Narrow" w:hAnsi="Arial Narrow" w:cs="Arial"/>
                <w:spacing w:val="0"/>
                <w:sz w:val="15"/>
                <w:szCs w:val="15"/>
                <w:lang w:val="en-US" w:eastAsia="es-CO"/>
              </w:rPr>
              <w:t> </w:t>
            </w:r>
          </w:p>
        </w:tc>
        <w:tc>
          <w:tcPr>
            <w:tcW w:w="2540" w:type="dxa"/>
            <w:tcBorders>
              <w:top w:val="nil"/>
              <w:left w:val="nil"/>
              <w:bottom w:val="nil"/>
              <w:right w:val="nil"/>
            </w:tcBorders>
            <w:shd w:val="clear" w:color="auto" w:fill="auto"/>
            <w:vAlign w:val="center"/>
            <w:hideMark/>
          </w:tcPr>
          <w:p w14:paraId="65ED8D66" w14:textId="77777777" w:rsidR="00BE6D69" w:rsidRPr="00366EFC" w:rsidRDefault="00BE6D69" w:rsidP="00BE6D69">
            <w:pPr>
              <w:rPr>
                <w:rFonts w:ascii="Arial Narrow" w:hAnsi="Arial Narrow" w:cs="Arial"/>
                <w:spacing w:val="0"/>
                <w:sz w:val="15"/>
                <w:szCs w:val="15"/>
                <w:lang w:eastAsia="es-CO"/>
              </w:rPr>
            </w:pPr>
            <w:proofErr w:type="spellStart"/>
            <w:r w:rsidRPr="00366EFC">
              <w:rPr>
                <w:rFonts w:ascii="Arial Narrow" w:hAnsi="Arial Narrow" w:cs="Arial"/>
                <w:spacing w:val="0"/>
                <w:sz w:val="15"/>
                <w:szCs w:val="15"/>
                <w:lang w:val="en-US" w:eastAsia="es-CO"/>
              </w:rPr>
              <w:t>Otras</w:t>
            </w:r>
            <w:proofErr w:type="spellEnd"/>
            <w:r w:rsidRPr="00366EFC">
              <w:rPr>
                <w:rFonts w:ascii="Arial Narrow" w:hAnsi="Arial Narrow" w:cs="Arial"/>
                <w:spacing w:val="0"/>
                <w:sz w:val="15"/>
                <w:szCs w:val="15"/>
                <w:lang w:val="en-US" w:eastAsia="es-CO"/>
              </w:rPr>
              <w:t xml:space="preserve"> </w:t>
            </w:r>
            <w:proofErr w:type="spellStart"/>
            <w:r w:rsidRPr="00366EFC">
              <w:rPr>
                <w:rFonts w:ascii="Arial Narrow" w:hAnsi="Arial Narrow" w:cs="Arial"/>
                <w:spacing w:val="0"/>
                <w:sz w:val="15"/>
                <w:szCs w:val="15"/>
                <w:lang w:val="en-US" w:eastAsia="es-CO"/>
              </w:rPr>
              <w:t>licencias</w:t>
            </w:r>
            <w:proofErr w:type="spellEnd"/>
            <w:r w:rsidRPr="00366EFC">
              <w:rPr>
                <w:rFonts w:ascii="Arial Narrow" w:hAnsi="Arial Narrow" w:cs="Arial"/>
                <w:spacing w:val="0"/>
                <w:sz w:val="15"/>
                <w:szCs w:val="15"/>
                <w:lang w:val="en-US" w:eastAsia="es-CO"/>
              </w:rPr>
              <w:t xml:space="preserve"> - Ley 142 de 1994</w:t>
            </w:r>
          </w:p>
        </w:tc>
        <w:tc>
          <w:tcPr>
            <w:tcW w:w="700" w:type="dxa"/>
            <w:tcBorders>
              <w:top w:val="nil"/>
              <w:left w:val="nil"/>
              <w:bottom w:val="nil"/>
              <w:right w:val="nil"/>
            </w:tcBorders>
            <w:shd w:val="clear" w:color="auto" w:fill="auto"/>
            <w:noWrap/>
            <w:vAlign w:val="center"/>
            <w:hideMark/>
          </w:tcPr>
          <w:p w14:paraId="65566508" w14:textId="77777777" w:rsidR="00BE6D69" w:rsidRPr="00366EFC" w:rsidRDefault="00BE6D69" w:rsidP="00BE6D69">
            <w:pPr>
              <w:jc w:val="center"/>
              <w:rPr>
                <w:rFonts w:ascii="Arial Narrow" w:hAnsi="Arial Narrow" w:cs="Arial"/>
                <w:b/>
                <w:bCs/>
                <w:spacing w:val="0"/>
                <w:sz w:val="15"/>
                <w:szCs w:val="15"/>
                <w:lang w:eastAsia="es-CO"/>
              </w:rPr>
            </w:pPr>
            <w:r w:rsidRPr="00366EFC">
              <w:rPr>
                <w:rFonts w:ascii="Arial Narrow" w:hAnsi="Arial Narrow" w:cs="Arial"/>
                <w:b/>
                <w:bCs/>
                <w:spacing w:val="0"/>
                <w:sz w:val="15"/>
                <w:szCs w:val="15"/>
                <w:lang w:val="en-US" w:eastAsia="es-CO"/>
              </w:rPr>
              <w:t>COL$</w:t>
            </w:r>
          </w:p>
        </w:tc>
        <w:tc>
          <w:tcPr>
            <w:tcW w:w="1600" w:type="dxa"/>
            <w:tcBorders>
              <w:top w:val="nil"/>
              <w:left w:val="nil"/>
              <w:bottom w:val="nil"/>
              <w:right w:val="nil"/>
            </w:tcBorders>
            <w:shd w:val="clear" w:color="auto" w:fill="auto"/>
            <w:vAlign w:val="center"/>
            <w:hideMark/>
          </w:tcPr>
          <w:p w14:paraId="3E6EE216" w14:textId="77777777" w:rsidR="00BE6D69" w:rsidRPr="00366EFC" w:rsidRDefault="00BE6D69" w:rsidP="00BE6D69">
            <w:pPr>
              <w:jc w:val="center"/>
              <w:rPr>
                <w:rFonts w:ascii="Arial Narrow" w:hAnsi="Arial Narrow" w:cs="Arial"/>
                <w:b/>
                <w:bCs/>
                <w:spacing w:val="0"/>
                <w:sz w:val="15"/>
                <w:szCs w:val="15"/>
                <w:lang w:eastAsia="es-CO"/>
              </w:rPr>
            </w:pPr>
          </w:p>
        </w:tc>
        <w:tc>
          <w:tcPr>
            <w:tcW w:w="940" w:type="dxa"/>
            <w:tcBorders>
              <w:top w:val="nil"/>
              <w:left w:val="nil"/>
              <w:bottom w:val="single" w:sz="4" w:space="0" w:color="auto"/>
              <w:right w:val="nil"/>
            </w:tcBorders>
            <w:shd w:val="clear" w:color="000000" w:fill="E2EFDA"/>
            <w:noWrap/>
            <w:vAlign w:val="center"/>
            <w:hideMark/>
          </w:tcPr>
          <w:p w14:paraId="3EE43B56" w14:textId="77777777" w:rsidR="00BE6D69" w:rsidRPr="00366EFC" w:rsidRDefault="00BE6D69" w:rsidP="00BE6D69">
            <w:pPr>
              <w:jc w:val="right"/>
              <w:rPr>
                <w:rFonts w:ascii="Arial Narrow" w:hAnsi="Arial Narrow" w:cs="Arial"/>
                <w:spacing w:val="0"/>
                <w:sz w:val="15"/>
                <w:szCs w:val="15"/>
                <w:lang w:eastAsia="es-CO"/>
              </w:rPr>
            </w:pPr>
            <w:r w:rsidRPr="00366EFC">
              <w:rPr>
                <w:rFonts w:ascii="Arial Narrow" w:hAnsi="Arial Narrow" w:cs="Arial"/>
                <w:spacing w:val="0"/>
                <w:sz w:val="15"/>
                <w:szCs w:val="15"/>
                <w:lang w:val="en-US" w:eastAsia="es-CO"/>
              </w:rPr>
              <w:t>($ 1.000,00)</w:t>
            </w:r>
          </w:p>
        </w:tc>
        <w:tc>
          <w:tcPr>
            <w:tcW w:w="1300" w:type="dxa"/>
            <w:tcBorders>
              <w:top w:val="nil"/>
              <w:left w:val="nil"/>
              <w:bottom w:val="nil"/>
              <w:right w:val="nil"/>
            </w:tcBorders>
            <w:shd w:val="clear" w:color="auto" w:fill="auto"/>
            <w:noWrap/>
            <w:vAlign w:val="center"/>
            <w:hideMark/>
          </w:tcPr>
          <w:p w14:paraId="54C527CF" w14:textId="77777777" w:rsidR="00BE6D69" w:rsidRPr="00366EFC" w:rsidRDefault="00BE6D69" w:rsidP="00BE6D69">
            <w:pPr>
              <w:jc w:val="right"/>
              <w:rPr>
                <w:rFonts w:ascii="Arial Narrow" w:hAnsi="Arial Narrow" w:cs="Arial"/>
                <w:spacing w:val="0"/>
                <w:sz w:val="15"/>
                <w:szCs w:val="15"/>
                <w:lang w:eastAsia="es-CO"/>
              </w:rPr>
            </w:pPr>
          </w:p>
        </w:tc>
        <w:tc>
          <w:tcPr>
            <w:tcW w:w="1240" w:type="dxa"/>
            <w:tcBorders>
              <w:top w:val="nil"/>
              <w:left w:val="nil"/>
              <w:bottom w:val="single" w:sz="4" w:space="0" w:color="auto"/>
              <w:right w:val="nil"/>
            </w:tcBorders>
            <w:shd w:val="clear" w:color="auto" w:fill="auto"/>
            <w:noWrap/>
            <w:vAlign w:val="center"/>
            <w:hideMark/>
          </w:tcPr>
          <w:p w14:paraId="2A951AAD" w14:textId="77777777" w:rsidR="00BE6D69" w:rsidRPr="00366EFC" w:rsidRDefault="00BE6D69" w:rsidP="00BE6D69">
            <w:pPr>
              <w:rPr>
                <w:rFonts w:ascii="Arial Narrow" w:hAnsi="Arial Narrow" w:cs="Arial"/>
                <w:spacing w:val="0"/>
                <w:sz w:val="15"/>
                <w:szCs w:val="15"/>
                <w:lang w:eastAsia="es-CO"/>
              </w:rPr>
            </w:pPr>
            <w:r w:rsidRPr="00366EFC">
              <w:rPr>
                <w:rFonts w:ascii="Arial Narrow" w:hAnsi="Arial Narrow" w:cs="Arial"/>
                <w:spacing w:val="0"/>
                <w:sz w:val="15"/>
                <w:szCs w:val="15"/>
                <w:lang w:val="en-US" w:eastAsia="es-CO"/>
              </w:rPr>
              <w:t> </w:t>
            </w:r>
          </w:p>
        </w:tc>
      </w:tr>
      <w:tr w:rsidR="00366EFC" w:rsidRPr="00366EFC" w14:paraId="653B693A" w14:textId="77777777" w:rsidTr="00BE6D69">
        <w:trPr>
          <w:trHeight w:val="435"/>
        </w:trPr>
        <w:tc>
          <w:tcPr>
            <w:tcW w:w="480" w:type="dxa"/>
            <w:tcBorders>
              <w:top w:val="nil"/>
              <w:left w:val="nil"/>
              <w:bottom w:val="nil"/>
              <w:right w:val="nil"/>
            </w:tcBorders>
            <w:shd w:val="clear" w:color="auto" w:fill="auto"/>
            <w:noWrap/>
            <w:vAlign w:val="center"/>
            <w:hideMark/>
          </w:tcPr>
          <w:p w14:paraId="1DC8A474" w14:textId="77777777" w:rsidR="00BE6D69" w:rsidRPr="00366EFC" w:rsidRDefault="00BE6D69" w:rsidP="00BE6D69">
            <w:pPr>
              <w:jc w:val="center"/>
              <w:rPr>
                <w:rFonts w:ascii="Arial Narrow" w:hAnsi="Arial Narrow" w:cs="Arial"/>
                <w:spacing w:val="0"/>
                <w:sz w:val="15"/>
                <w:szCs w:val="15"/>
                <w:lang w:eastAsia="es-CO"/>
              </w:rPr>
            </w:pPr>
            <w:r w:rsidRPr="00366EFC">
              <w:rPr>
                <w:rFonts w:ascii="Arial Narrow" w:hAnsi="Arial Narrow" w:cs="Arial"/>
                <w:spacing w:val="0"/>
                <w:sz w:val="15"/>
                <w:szCs w:val="15"/>
                <w:lang w:val="en-US" w:eastAsia="es-CO"/>
              </w:rPr>
              <w:t>32</w:t>
            </w:r>
          </w:p>
        </w:tc>
        <w:tc>
          <w:tcPr>
            <w:tcW w:w="700" w:type="dxa"/>
            <w:tcBorders>
              <w:top w:val="nil"/>
              <w:left w:val="nil"/>
              <w:bottom w:val="nil"/>
              <w:right w:val="nil"/>
            </w:tcBorders>
            <w:shd w:val="clear" w:color="auto" w:fill="auto"/>
            <w:noWrap/>
            <w:vAlign w:val="center"/>
            <w:hideMark/>
          </w:tcPr>
          <w:p w14:paraId="3559CAD0" w14:textId="77777777" w:rsidR="00BE6D69" w:rsidRPr="00366EFC" w:rsidRDefault="00BE6D69" w:rsidP="00BE6D69">
            <w:pPr>
              <w:jc w:val="center"/>
              <w:rPr>
                <w:rFonts w:ascii="Arial Narrow" w:hAnsi="Arial Narrow" w:cs="Arial"/>
                <w:b/>
                <w:bCs/>
                <w:spacing w:val="0"/>
                <w:sz w:val="15"/>
                <w:szCs w:val="15"/>
                <w:lang w:eastAsia="es-CO"/>
              </w:rPr>
            </w:pPr>
            <w:r w:rsidRPr="00366EFC">
              <w:rPr>
                <w:rFonts w:ascii="Arial Narrow" w:hAnsi="Arial Narrow" w:cs="Arial"/>
                <w:b/>
                <w:bCs/>
                <w:spacing w:val="0"/>
                <w:sz w:val="15"/>
                <w:szCs w:val="15"/>
                <w:lang w:val="en-US" w:eastAsia="es-CO"/>
              </w:rPr>
              <w:t>GFN</w:t>
            </w:r>
          </w:p>
        </w:tc>
        <w:tc>
          <w:tcPr>
            <w:tcW w:w="760" w:type="dxa"/>
            <w:tcBorders>
              <w:top w:val="nil"/>
              <w:left w:val="nil"/>
              <w:bottom w:val="nil"/>
              <w:right w:val="nil"/>
            </w:tcBorders>
            <w:shd w:val="clear" w:color="000000" w:fill="E2EFDA"/>
            <w:noWrap/>
            <w:vAlign w:val="center"/>
            <w:hideMark/>
          </w:tcPr>
          <w:p w14:paraId="50C64AC7" w14:textId="77777777" w:rsidR="00BE6D69" w:rsidRPr="00366EFC" w:rsidRDefault="00BE6D69" w:rsidP="00BE6D69">
            <w:pPr>
              <w:jc w:val="right"/>
              <w:rPr>
                <w:rFonts w:ascii="Arial Narrow" w:hAnsi="Arial Narrow" w:cs="Arial"/>
                <w:b/>
                <w:bCs/>
                <w:spacing w:val="0"/>
                <w:sz w:val="15"/>
                <w:szCs w:val="15"/>
                <w:lang w:eastAsia="es-CO"/>
              </w:rPr>
            </w:pPr>
            <w:r w:rsidRPr="00366EFC">
              <w:rPr>
                <w:rFonts w:ascii="Arial Narrow" w:hAnsi="Arial Narrow" w:cs="Arial"/>
                <w:b/>
                <w:bCs/>
                <w:spacing w:val="0"/>
                <w:sz w:val="15"/>
                <w:szCs w:val="15"/>
                <w:lang w:val="en-US" w:eastAsia="es-CO"/>
              </w:rPr>
              <w:t>Subtotal</w:t>
            </w:r>
          </w:p>
        </w:tc>
        <w:tc>
          <w:tcPr>
            <w:tcW w:w="2540" w:type="dxa"/>
            <w:tcBorders>
              <w:top w:val="nil"/>
              <w:left w:val="nil"/>
              <w:bottom w:val="nil"/>
              <w:right w:val="nil"/>
            </w:tcBorders>
            <w:shd w:val="clear" w:color="auto" w:fill="auto"/>
            <w:vAlign w:val="center"/>
            <w:hideMark/>
          </w:tcPr>
          <w:p w14:paraId="622F9D7E" w14:textId="77777777" w:rsidR="00BE6D69" w:rsidRPr="00366EFC" w:rsidRDefault="00BE6D69" w:rsidP="00BE6D69">
            <w:pPr>
              <w:rPr>
                <w:rFonts w:ascii="Arial Narrow" w:hAnsi="Arial Narrow" w:cs="Arial"/>
                <w:b/>
                <w:bCs/>
                <w:spacing w:val="0"/>
                <w:sz w:val="15"/>
                <w:szCs w:val="15"/>
                <w:lang w:eastAsia="es-CO"/>
              </w:rPr>
            </w:pPr>
            <w:r w:rsidRPr="00366EFC">
              <w:rPr>
                <w:rFonts w:ascii="Arial Narrow" w:hAnsi="Arial Narrow" w:cs="Calibri"/>
                <w:b/>
                <w:bCs/>
                <w:spacing w:val="0"/>
                <w:sz w:val="15"/>
                <w:szCs w:val="15"/>
                <w:lang w:eastAsia="es-CO"/>
              </w:rPr>
              <w:t xml:space="preserve">Neto GASTOS DE FUNCIONAMIENTO </w:t>
            </w:r>
            <w:r w:rsidRPr="00366EFC">
              <w:rPr>
                <w:rFonts w:ascii="Arial Narrow" w:hAnsi="Arial Narrow" w:cs="Calibri"/>
                <w:b/>
                <w:bCs/>
                <w:spacing w:val="0"/>
                <w:sz w:val="15"/>
                <w:szCs w:val="15"/>
                <w:lang w:eastAsia="es-CO"/>
              </w:rPr>
              <w:br/>
              <w:t>(ADMINISTRATIVOS)</w:t>
            </w:r>
          </w:p>
        </w:tc>
        <w:tc>
          <w:tcPr>
            <w:tcW w:w="700" w:type="dxa"/>
            <w:tcBorders>
              <w:top w:val="nil"/>
              <w:left w:val="nil"/>
              <w:bottom w:val="nil"/>
              <w:right w:val="nil"/>
            </w:tcBorders>
            <w:shd w:val="clear" w:color="auto" w:fill="auto"/>
            <w:noWrap/>
            <w:vAlign w:val="center"/>
            <w:hideMark/>
          </w:tcPr>
          <w:p w14:paraId="57B9C583" w14:textId="77777777" w:rsidR="00BE6D69" w:rsidRPr="00366EFC" w:rsidRDefault="00BE6D69" w:rsidP="00BE6D69">
            <w:pPr>
              <w:jc w:val="center"/>
              <w:rPr>
                <w:rFonts w:ascii="Arial Narrow" w:hAnsi="Arial Narrow" w:cs="Arial"/>
                <w:b/>
                <w:bCs/>
                <w:spacing w:val="0"/>
                <w:sz w:val="15"/>
                <w:szCs w:val="15"/>
                <w:lang w:eastAsia="es-CO"/>
              </w:rPr>
            </w:pPr>
            <w:r w:rsidRPr="00366EFC">
              <w:rPr>
                <w:rFonts w:ascii="Arial Narrow" w:hAnsi="Arial Narrow" w:cs="Arial"/>
                <w:b/>
                <w:bCs/>
                <w:spacing w:val="0"/>
                <w:sz w:val="15"/>
                <w:szCs w:val="15"/>
                <w:lang w:val="en-US" w:eastAsia="es-CO"/>
              </w:rPr>
              <w:t>COL$</w:t>
            </w:r>
          </w:p>
        </w:tc>
        <w:tc>
          <w:tcPr>
            <w:tcW w:w="1600" w:type="dxa"/>
            <w:tcBorders>
              <w:top w:val="nil"/>
              <w:left w:val="nil"/>
              <w:bottom w:val="nil"/>
              <w:right w:val="nil"/>
            </w:tcBorders>
            <w:shd w:val="clear" w:color="auto" w:fill="auto"/>
            <w:vAlign w:val="center"/>
            <w:hideMark/>
          </w:tcPr>
          <w:p w14:paraId="0CDB0B29" w14:textId="77777777" w:rsidR="00BE6D69" w:rsidRPr="00366EFC" w:rsidRDefault="00BE6D69" w:rsidP="00BE6D69">
            <w:pPr>
              <w:jc w:val="center"/>
              <w:rPr>
                <w:rFonts w:ascii="Arial Narrow" w:hAnsi="Arial Narrow" w:cs="Arial"/>
                <w:spacing w:val="0"/>
                <w:sz w:val="15"/>
                <w:szCs w:val="15"/>
                <w:lang w:eastAsia="es-CO"/>
              </w:rPr>
            </w:pPr>
            <w:r w:rsidRPr="00366EFC">
              <w:rPr>
                <w:rFonts w:ascii="Arial Narrow" w:hAnsi="Arial Narrow" w:cs="Arial"/>
                <w:spacing w:val="0"/>
                <w:sz w:val="15"/>
                <w:szCs w:val="15"/>
                <w:lang w:eastAsia="es-CO"/>
              </w:rPr>
              <w:t>suma CASILLAS</w:t>
            </w:r>
            <w:r w:rsidRPr="00366EFC">
              <w:rPr>
                <w:rFonts w:ascii="Arial Narrow" w:hAnsi="Arial Narrow" w:cs="Arial"/>
                <w:spacing w:val="0"/>
                <w:sz w:val="15"/>
                <w:szCs w:val="15"/>
                <w:lang w:eastAsia="es-CO"/>
              </w:rPr>
              <w:br/>
              <w:t>GFB a G11</w:t>
            </w:r>
          </w:p>
        </w:tc>
        <w:tc>
          <w:tcPr>
            <w:tcW w:w="940" w:type="dxa"/>
            <w:tcBorders>
              <w:top w:val="nil"/>
              <w:left w:val="nil"/>
              <w:bottom w:val="nil"/>
              <w:right w:val="nil"/>
            </w:tcBorders>
            <w:shd w:val="clear" w:color="auto" w:fill="auto"/>
            <w:noWrap/>
            <w:vAlign w:val="center"/>
            <w:hideMark/>
          </w:tcPr>
          <w:p w14:paraId="4A47CBD5" w14:textId="77777777" w:rsidR="00BE6D69" w:rsidRPr="00366EFC" w:rsidRDefault="00BE6D69" w:rsidP="00BE6D69">
            <w:pPr>
              <w:jc w:val="center"/>
              <w:rPr>
                <w:rFonts w:ascii="Arial Narrow" w:hAnsi="Arial Narrow" w:cs="Arial"/>
                <w:spacing w:val="0"/>
                <w:sz w:val="15"/>
                <w:szCs w:val="15"/>
                <w:lang w:eastAsia="es-CO"/>
              </w:rPr>
            </w:pPr>
          </w:p>
        </w:tc>
        <w:tc>
          <w:tcPr>
            <w:tcW w:w="1300" w:type="dxa"/>
            <w:tcBorders>
              <w:top w:val="nil"/>
              <w:left w:val="nil"/>
              <w:bottom w:val="nil"/>
              <w:right w:val="nil"/>
            </w:tcBorders>
            <w:shd w:val="clear" w:color="auto" w:fill="auto"/>
            <w:noWrap/>
            <w:vAlign w:val="center"/>
            <w:hideMark/>
          </w:tcPr>
          <w:p w14:paraId="3F637D1A" w14:textId="77777777" w:rsidR="00BE6D69" w:rsidRPr="00366EFC" w:rsidRDefault="00BE6D69" w:rsidP="00BE6D69">
            <w:pPr>
              <w:jc w:val="left"/>
              <w:rPr>
                <w:rFonts w:ascii="Times New Roman" w:hAnsi="Times New Roman"/>
                <w:spacing w:val="0"/>
                <w:lang w:eastAsia="es-CO"/>
              </w:rPr>
            </w:pPr>
          </w:p>
        </w:tc>
        <w:tc>
          <w:tcPr>
            <w:tcW w:w="1240" w:type="dxa"/>
            <w:tcBorders>
              <w:top w:val="nil"/>
              <w:left w:val="nil"/>
              <w:bottom w:val="nil"/>
              <w:right w:val="nil"/>
            </w:tcBorders>
            <w:shd w:val="clear" w:color="auto" w:fill="auto"/>
            <w:noWrap/>
            <w:vAlign w:val="center"/>
            <w:hideMark/>
          </w:tcPr>
          <w:p w14:paraId="66C3164D" w14:textId="77777777" w:rsidR="00BE6D69" w:rsidRPr="00366EFC" w:rsidRDefault="00BE6D69" w:rsidP="00BE6D69">
            <w:pPr>
              <w:jc w:val="right"/>
              <w:rPr>
                <w:rFonts w:ascii="Arial Narrow" w:hAnsi="Arial Narrow" w:cs="Arial"/>
                <w:b/>
                <w:bCs/>
                <w:spacing w:val="0"/>
                <w:sz w:val="15"/>
                <w:szCs w:val="15"/>
                <w:lang w:eastAsia="es-CO"/>
              </w:rPr>
            </w:pPr>
            <w:r w:rsidRPr="00366EFC">
              <w:rPr>
                <w:rFonts w:ascii="Arial Narrow" w:hAnsi="Arial Narrow" w:cs="Arial"/>
                <w:b/>
                <w:bCs/>
                <w:spacing w:val="0"/>
                <w:sz w:val="15"/>
                <w:szCs w:val="15"/>
                <w:lang w:val="en-US" w:eastAsia="es-CO"/>
              </w:rPr>
              <w:t>$ 35.000,00</w:t>
            </w:r>
          </w:p>
        </w:tc>
      </w:tr>
      <w:tr w:rsidR="00366EFC" w:rsidRPr="00366EFC" w14:paraId="1A78AEA6" w14:textId="77777777" w:rsidTr="00BE6D69">
        <w:trPr>
          <w:trHeight w:val="390"/>
        </w:trPr>
        <w:tc>
          <w:tcPr>
            <w:tcW w:w="480" w:type="dxa"/>
            <w:tcBorders>
              <w:top w:val="nil"/>
              <w:left w:val="nil"/>
              <w:bottom w:val="nil"/>
              <w:right w:val="nil"/>
            </w:tcBorders>
            <w:shd w:val="clear" w:color="auto" w:fill="auto"/>
            <w:noWrap/>
            <w:vAlign w:val="center"/>
            <w:hideMark/>
          </w:tcPr>
          <w:p w14:paraId="3340CD6F" w14:textId="77777777" w:rsidR="00BE6D69" w:rsidRPr="00366EFC" w:rsidRDefault="00BE6D69" w:rsidP="00BE6D69">
            <w:pPr>
              <w:jc w:val="center"/>
              <w:rPr>
                <w:rFonts w:ascii="Arial Narrow" w:hAnsi="Arial Narrow" w:cs="Arial"/>
                <w:spacing w:val="0"/>
                <w:sz w:val="15"/>
                <w:szCs w:val="15"/>
                <w:lang w:eastAsia="es-CO"/>
              </w:rPr>
            </w:pPr>
            <w:r w:rsidRPr="00366EFC">
              <w:rPr>
                <w:rFonts w:ascii="Arial Narrow" w:hAnsi="Arial Narrow" w:cs="Arial"/>
                <w:spacing w:val="0"/>
                <w:sz w:val="15"/>
                <w:szCs w:val="15"/>
                <w:lang w:val="en-US" w:eastAsia="es-CO"/>
              </w:rPr>
              <w:t>33</w:t>
            </w:r>
          </w:p>
        </w:tc>
        <w:tc>
          <w:tcPr>
            <w:tcW w:w="700" w:type="dxa"/>
            <w:tcBorders>
              <w:top w:val="nil"/>
              <w:left w:val="nil"/>
              <w:bottom w:val="nil"/>
              <w:right w:val="nil"/>
            </w:tcBorders>
            <w:shd w:val="clear" w:color="auto" w:fill="auto"/>
            <w:noWrap/>
            <w:vAlign w:val="center"/>
            <w:hideMark/>
          </w:tcPr>
          <w:p w14:paraId="5815DC5C" w14:textId="77777777" w:rsidR="00BE6D69" w:rsidRPr="00366EFC" w:rsidRDefault="00BE6D69" w:rsidP="00BE6D69">
            <w:pPr>
              <w:jc w:val="center"/>
              <w:rPr>
                <w:rFonts w:ascii="Arial Narrow" w:hAnsi="Arial Narrow" w:cs="Arial"/>
                <w:b/>
                <w:bCs/>
                <w:spacing w:val="0"/>
                <w:sz w:val="15"/>
                <w:szCs w:val="15"/>
                <w:lang w:eastAsia="es-CO"/>
              </w:rPr>
            </w:pPr>
            <w:r w:rsidRPr="00366EFC">
              <w:rPr>
                <w:rFonts w:ascii="Arial Narrow" w:hAnsi="Arial Narrow" w:cs="Arial"/>
                <w:b/>
                <w:bCs/>
                <w:spacing w:val="0"/>
                <w:sz w:val="15"/>
                <w:szCs w:val="15"/>
                <w:lang w:val="en-US" w:eastAsia="es-CO"/>
              </w:rPr>
              <w:t>H</w:t>
            </w:r>
          </w:p>
        </w:tc>
        <w:tc>
          <w:tcPr>
            <w:tcW w:w="760" w:type="dxa"/>
            <w:tcBorders>
              <w:top w:val="nil"/>
              <w:left w:val="nil"/>
              <w:bottom w:val="nil"/>
              <w:right w:val="nil"/>
            </w:tcBorders>
            <w:shd w:val="clear" w:color="000000" w:fill="E2EFDA"/>
            <w:noWrap/>
            <w:vAlign w:val="center"/>
            <w:hideMark/>
          </w:tcPr>
          <w:p w14:paraId="59B3A8BC" w14:textId="77777777" w:rsidR="00BE6D69" w:rsidRPr="00366EFC" w:rsidRDefault="00BE6D69" w:rsidP="00BE6D69">
            <w:pPr>
              <w:jc w:val="right"/>
              <w:rPr>
                <w:rFonts w:ascii="Arial Narrow" w:hAnsi="Arial Narrow" w:cs="Arial"/>
                <w:b/>
                <w:bCs/>
                <w:spacing w:val="0"/>
                <w:sz w:val="15"/>
                <w:szCs w:val="15"/>
                <w:lang w:eastAsia="es-CO"/>
              </w:rPr>
            </w:pPr>
            <w:r w:rsidRPr="00366EFC">
              <w:rPr>
                <w:rFonts w:ascii="Arial Narrow" w:hAnsi="Arial Narrow" w:cs="Arial"/>
                <w:b/>
                <w:bCs/>
                <w:spacing w:val="0"/>
                <w:sz w:val="15"/>
                <w:szCs w:val="15"/>
                <w:lang w:eastAsia="es-CO"/>
              </w:rPr>
              <w:t> </w:t>
            </w:r>
          </w:p>
        </w:tc>
        <w:tc>
          <w:tcPr>
            <w:tcW w:w="2540" w:type="dxa"/>
            <w:tcBorders>
              <w:top w:val="nil"/>
              <w:left w:val="nil"/>
              <w:bottom w:val="nil"/>
              <w:right w:val="nil"/>
            </w:tcBorders>
            <w:shd w:val="clear" w:color="auto" w:fill="auto"/>
            <w:vAlign w:val="center"/>
            <w:hideMark/>
          </w:tcPr>
          <w:p w14:paraId="5C5D230A" w14:textId="77777777" w:rsidR="00BE6D69" w:rsidRPr="00366EFC" w:rsidRDefault="00BE6D69" w:rsidP="00BE6D69">
            <w:pPr>
              <w:rPr>
                <w:rFonts w:ascii="Arial Narrow" w:hAnsi="Arial Narrow" w:cs="Arial"/>
                <w:b/>
                <w:bCs/>
                <w:spacing w:val="0"/>
                <w:sz w:val="15"/>
                <w:szCs w:val="15"/>
                <w:lang w:eastAsia="es-CO"/>
              </w:rPr>
            </w:pPr>
            <w:r w:rsidRPr="00366EFC">
              <w:rPr>
                <w:rFonts w:ascii="Arial Narrow" w:hAnsi="Arial Narrow" w:cs="Arial"/>
                <w:b/>
                <w:bCs/>
                <w:spacing w:val="0"/>
                <w:sz w:val="15"/>
                <w:szCs w:val="15"/>
                <w:lang w:val="en-US" w:eastAsia="es-CO"/>
              </w:rPr>
              <w:t>GASTO OPERATIVOS</w:t>
            </w:r>
          </w:p>
        </w:tc>
        <w:tc>
          <w:tcPr>
            <w:tcW w:w="700" w:type="dxa"/>
            <w:tcBorders>
              <w:top w:val="nil"/>
              <w:left w:val="nil"/>
              <w:bottom w:val="nil"/>
              <w:right w:val="nil"/>
            </w:tcBorders>
            <w:shd w:val="clear" w:color="auto" w:fill="auto"/>
            <w:noWrap/>
            <w:vAlign w:val="center"/>
            <w:hideMark/>
          </w:tcPr>
          <w:p w14:paraId="7C16224D" w14:textId="77777777" w:rsidR="00BE6D69" w:rsidRPr="00366EFC" w:rsidRDefault="00BE6D69" w:rsidP="00BE6D69">
            <w:pPr>
              <w:jc w:val="center"/>
              <w:rPr>
                <w:rFonts w:ascii="Arial Narrow" w:hAnsi="Arial Narrow" w:cs="Arial"/>
                <w:b/>
                <w:bCs/>
                <w:spacing w:val="0"/>
                <w:sz w:val="15"/>
                <w:szCs w:val="15"/>
                <w:lang w:eastAsia="es-CO"/>
              </w:rPr>
            </w:pPr>
            <w:r w:rsidRPr="00366EFC">
              <w:rPr>
                <w:rFonts w:ascii="Arial Narrow" w:hAnsi="Arial Narrow" w:cs="Arial"/>
                <w:b/>
                <w:bCs/>
                <w:spacing w:val="0"/>
                <w:sz w:val="15"/>
                <w:szCs w:val="15"/>
                <w:lang w:val="en-US" w:eastAsia="es-CO"/>
              </w:rPr>
              <w:t>COL$</w:t>
            </w:r>
          </w:p>
        </w:tc>
        <w:tc>
          <w:tcPr>
            <w:tcW w:w="1600" w:type="dxa"/>
            <w:tcBorders>
              <w:top w:val="nil"/>
              <w:left w:val="nil"/>
              <w:bottom w:val="nil"/>
              <w:right w:val="nil"/>
            </w:tcBorders>
            <w:shd w:val="clear" w:color="auto" w:fill="auto"/>
            <w:vAlign w:val="center"/>
            <w:hideMark/>
          </w:tcPr>
          <w:p w14:paraId="782EE4D9" w14:textId="77777777" w:rsidR="00BE6D69" w:rsidRPr="00366EFC" w:rsidRDefault="00BE6D69" w:rsidP="00BE6D69">
            <w:pPr>
              <w:jc w:val="center"/>
              <w:rPr>
                <w:rFonts w:ascii="Arial Narrow" w:hAnsi="Arial Narrow" w:cs="Arial"/>
                <w:spacing w:val="0"/>
                <w:sz w:val="15"/>
                <w:szCs w:val="15"/>
                <w:lang w:eastAsia="es-CO"/>
              </w:rPr>
            </w:pPr>
            <w:proofErr w:type="spellStart"/>
            <w:r w:rsidRPr="00366EFC">
              <w:rPr>
                <w:rFonts w:ascii="Arial Narrow" w:hAnsi="Arial Narrow" w:cs="Arial"/>
                <w:spacing w:val="0"/>
                <w:sz w:val="15"/>
                <w:szCs w:val="15"/>
                <w:lang w:val="en-US" w:eastAsia="es-CO"/>
              </w:rPr>
              <w:t>suma</w:t>
            </w:r>
            <w:proofErr w:type="spellEnd"/>
            <w:r w:rsidRPr="00366EFC">
              <w:rPr>
                <w:rFonts w:ascii="Arial Narrow" w:hAnsi="Arial Narrow" w:cs="Arial"/>
                <w:spacing w:val="0"/>
                <w:sz w:val="15"/>
                <w:szCs w:val="15"/>
                <w:lang w:val="en-US" w:eastAsia="es-CO"/>
              </w:rPr>
              <w:t xml:space="preserve"> ITEM </w:t>
            </w:r>
            <w:r w:rsidRPr="00366EFC">
              <w:rPr>
                <w:rFonts w:ascii="Arial Narrow" w:hAnsi="Arial Narrow" w:cs="Arial"/>
                <w:spacing w:val="0"/>
                <w:sz w:val="15"/>
                <w:szCs w:val="15"/>
                <w:lang w:val="en-US" w:eastAsia="es-CO"/>
              </w:rPr>
              <w:br/>
              <w:t>34 al 41</w:t>
            </w:r>
          </w:p>
        </w:tc>
        <w:tc>
          <w:tcPr>
            <w:tcW w:w="940" w:type="dxa"/>
            <w:tcBorders>
              <w:top w:val="nil"/>
              <w:left w:val="nil"/>
              <w:bottom w:val="nil"/>
              <w:right w:val="nil"/>
            </w:tcBorders>
            <w:shd w:val="clear" w:color="auto" w:fill="auto"/>
            <w:noWrap/>
            <w:vAlign w:val="center"/>
            <w:hideMark/>
          </w:tcPr>
          <w:p w14:paraId="3A0E42DB" w14:textId="77777777" w:rsidR="00BE6D69" w:rsidRPr="00366EFC" w:rsidRDefault="00BE6D69" w:rsidP="00BE6D69">
            <w:pPr>
              <w:jc w:val="center"/>
              <w:rPr>
                <w:rFonts w:ascii="Arial Narrow" w:hAnsi="Arial Narrow" w:cs="Arial"/>
                <w:spacing w:val="0"/>
                <w:sz w:val="15"/>
                <w:szCs w:val="15"/>
                <w:lang w:eastAsia="es-CO"/>
              </w:rPr>
            </w:pPr>
          </w:p>
        </w:tc>
        <w:tc>
          <w:tcPr>
            <w:tcW w:w="1300" w:type="dxa"/>
            <w:tcBorders>
              <w:top w:val="nil"/>
              <w:left w:val="nil"/>
              <w:bottom w:val="single" w:sz="4" w:space="0" w:color="auto"/>
              <w:right w:val="nil"/>
            </w:tcBorders>
            <w:shd w:val="clear" w:color="000000" w:fill="E2EFDA"/>
            <w:noWrap/>
            <w:vAlign w:val="center"/>
            <w:hideMark/>
          </w:tcPr>
          <w:p w14:paraId="5027A64C" w14:textId="77777777" w:rsidR="00BE6D69" w:rsidRPr="00366EFC" w:rsidRDefault="00BE6D69" w:rsidP="00BE6D69">
            <w:pPr>
              <w:jc w:val="right"/>
              <w:rPr>
                <w:rFonts w:ascii="Arial Narrow" w:hAnsi="Arial Narrow" w:cs="Arial"/>
                <w:b/>
                <w:bCs/>
                <w:spacing w:val="0"/>
                <w:sz w:val="15"/>
                <w:szCs w:val="15"/>
                <w:lang w:eastAsia="es-CO"/>
              </w:rPr>
            </w:pPr>
            <w:r w:rsidRPr="00366EFC">
              <w:rPr>
                <w:rFonts w:ascii="Arial Narrow" w:hAnsi="Arial Narrow" w:cs="Arial"/>
                <w:b/>
                <w:bCs/>
                <w:spacing w:val="0"/>
                <w:sz w:val="15"/>
                <w:szCs w:val="15"/>
                <w:lang w:val="en-US" w:eastAsia="es-CO"/>
              </w:rPr>
              <w:t>$ 4.000,00</w:t>
            </w:r>
          </w:p>
        </w:tc>
        <w:tc>
          <w:tcPr>
            <w:tcW w:w="1240" w:type="dxa"/>
            <w:tcBorders>
              <w:top w:val="nil"/>
              <w:left w:val="nil"/>
              <w:bottom w:val="nil"/>
              <w:right w:val="nil"/>
            </w:tcBorders>
            <w:shd w:val="clear" w:color="auto" w:fill="auto"/>
            <w:noWrap/>
            <w:vAlign w:val="center"/>
            <w:hideMark/>
          </w:tcPr>
          <w:p w14:paraId="1C238A2D" w14:textId="77777777" w:rsidR="00BE6D69" w:rsidRPr="00366EFC" w:rsidRDefault="00BE6D69" w:rsidP="00BE6D69">
            <w:pPr>
              <w:jc w:val="right"/>
              <w:rPr>
                <w:rFonts w:ascii="Arial Narrow" w:hAnsi="Arial Narrow" w:cs="Arial"/>
                <w:b/>
                <w:bCs/>
                <w:spacing w:val="0"/>
                <w:sz w:val="15"/>
                <w:szCs w:val="15"/>
                <w:lang w:eastAsia="es-CO"/>
              </w:rPr>
            </w:pPr>
          </w:p>
        </w:tc>
      </w:tr>
      <w:tr w:rsidR="00366EFC" w:rsidRPr="00366EFC" w14:paraId="187FAD95" w14:textId="77777777" w:rsidTr="00BE6D69">
        <w:trPr>
          <w:trHeight w:val="270"/>
        </w:trPr>
        <w:tc>
          <w:tcPr>
            <w:tcW w:w="480" w:type="dxa"/>
            <w:tcBorders>
              <w:top w:val="nil"/>
              <w:left w:val="nil"/>
              <w:bottom w:val="nil"/>
              <w:right w:val="nil"/>
            </w:tcBorders>
            <w:shd w:val="clear" w:color="auto" w:fill="auto"/>
            <w:noWrap/>
            <w:vAlign w:val="center"/>
            <w:hideMark/>
          </w:tcPr>
          <w:p w14:paraId="22D0E907" w14:textId="77777777" w:rsidR="00BE6D69" w:rsidRPr="00366EFC" w:rsidRDefault="00BE6D69" w:rsidP="00BE6D69">
            <w:pPr>
              <w:jc w:val="center"/>
              <w:rPr>
                <w:rFonts w:ascii="Arial Narrow" w:hAnsi="Arial Narrow" w:cs="Arial"/>
                <w:spacing w:val="0"/>
                <w:sz w:val="15"/>
                <w:szCs w:val="15"/>
                <w:lang w:eastAsia="es-CO"/>
              </w:rPr>
            </w:pPr>
            <w:r w:rsidRPr="00366EFC">
              <w:rPr>
                <w:rFonts w:ascii="Arial Narrow" w:hAnsi="Arial Narrow" w:cs="Arial"/>
                <w:spacing w:val="0"/>
                <w:sz w:val="15"/>
                <w:szCs w:val="15"/>
                <w:lang w:val="en-US" w:eastAsia="es-CO"/>
              </w:rPr>
              <w:t>34</w:t>
            </w:r>
          </w:p>
        </w:tc>
        <w:tc>
          <w:tcPr>
            <w:tcW w:w="700" w:type="dxa"/>
            <w:tcBorders>
              <w:top w:val="nil"/>
              <w:left w:val="nil"/>
              <w:bottom w:val="nil"/>
              <w:right w:val="nil"/>
            </w:tcBorders>
            <w:shd w:val="clear" w:color="auto" w:fill="auto"/>
            <w:noWrap/>
            <w:vAlign w:val="center"/>
            <w:hideMark/>
          </w:tcPr>
          <w:p w14:paraId="43887966" w14:textId="77777777" w:rsidR="00BE6D69" w:rsidRPr="00366EFC" w:rsidRDefault="00BE6D69" w:rsidP="00BE6D69">
            <w:pPr>
              <w:jc w:val="center"/>
              <w:rPr>
                <w:rFonts w:ascii="Arial Narrow" w:hAnsi="Arial Narrow" w:cs="Arial"/>
                <w:spacing w:val="0"/>
                <w:sz w:val="15"/>
                <w:szCs w:val="15"/>
                <w:lang w:eastAsia="es-CO"/>
              </w:rPr>
            </w:pPr>
            <w:r w:rsidRPr="00366EFC">
              <w:rPr>
                <w:rFonts w:ascii="Arial Narrow" w:hAnsi="Arial Narrow" w:cs="Arial"/>
                <w:spacing w:val="0"/>
                <w:sz w:val="15"/>
                <w:szCs w:val="15"/>
                <w:lang w:val="en-US" w:eastAsia="es-CO"/>
              </w:rPr>
              <w:t>H1</w:t>
            </w:r>
          </w:p>
        </w:tc>
        <w:tc>
          <w:tcPr>
            <w:tcW w:w="760" w:type="dxa"/>
            <w:tcBorders>
              <w:top w:val="nil"/>
              <w:left w:val="nil"/>
              <w:bottom w:val="nil"/>
              <w:right w:val="nil"/>
            </w:tcBorders>
            <w:shd w:val="clear" w:color="000000" w:fill="E2EFDA"/>
            <w:noWrap/>
            <w:vAlign w:val="center"/>
            <w:hideMark/>
          </w:tcPr>
          <w:p w14:paraId="65A61F4F" w14:textId="77777777" w:rsidR="00BE6D69" w:rsidRPr="00366EFC" w:rsidRDefault="00BE6D69" w:rsidP="00BE6D69">
            <w:pPr>
              <w:jc w:val="right"/>
              <w:rPr>
                <w:rFonts w:ascii="Arial Narrow" w:hAnsi="Arial Narrow" w:cs="Arial"/>
                <w:spacing w:val="0"/>
                <w:sz w:val="15"/>
                <w:szCs w:val="15"/>
                <w:lang w:eastAsia="es-CO"/>
              </w:rPr>
            </w:pPr>
            <w:r w:rsidRPr="00366EFC">
              <w:rPr>
                <w:rFonts w:ascii="Arial Narrow" w:hAnsi="Arial Narrow" w:cs="Arial"/>
                <w:spacing w:val="0"/>
                <w:sz w:val="15"/>
                <w:szCs w:val="15"/>
                <w:lang w:val="en-US" w:eastAsia="es-CO"/>
              </w:rPr>
              <w:t> </w:t>
            </w:r>
          </w:p>
        </w:tc>
        <w:tc>
          <w:tcPr>
            <w:tcW w:w="2540" w:type="dxa"/>
            <w:tcBorders>
              <w:top w:val="nil"/>
              <w:left w:val="nil"/>
              <w:bottom w:val="nil"/>
              <w:right w:val="nil"/>
            </w:tcBorders>
            <w:shd w:val="clear" w:color="auto" w:fill="auto"/>
            <w:vAlign w:val="center"/>
            <w:hideMark/>
          </w:tcPr>
          <w:p w14:paraId="310C1110" w14:textId="77777777" w:rsidR="00BE6D69" w:rsidRPr="00366EFC" w:rsidRDefault="00BE6D69" w:rsidP="00BE6D69">
            <w:pPr>
              <w:rPr>
                <w:rFonts w:ascii="Arial Narrow" w:hAnsi="Arial Narrow" w:cs="Arial"/>
                <w:spacing w:val="0"/>
                <w:sz w:val="15"/>
                <w:szCs w:val="15"/>
                <w:lang w:eastAsia="es-CO"/>
              </w:rPr>
            </w:pPr>
            <w:r w:rsidRPr="00366EFC">
              <w:rPr>
                <w:rFonts w:ascii="Arial Narrow" w:hAnsi="Arial Narrow" w:cs="Calibri"/>
                <w:spacing w:val="0"/>
                <w:sz w:val="15"/>
                <w:szCs w:val="15"/>
                <w:lang w:eastAsia="es-CO"/>
              </w:rPr>
              <w:t xml:space="preserve"> Compras en bloque y/o a largo plazo </w:t>
            </w:r>
          </w:p>
        </w:tc>
        <w:tc>
          <w:tcPr>
            <w:tcW w:w="700" w:type="dxa"/>
            <w:tcBorders>
              <w:top w:val="nil"/>
              <w:left w:val="nil"/>
              <w:bottom w:val="nil"/>
              <w:right w:val="nil"/>
            </w:tcBorders>
            <w:shd w:val="clear" w:color="auto" w:fill="auto"/>
            <w:noWrap/>
            <w:vAlign w:val="center"/>
            <w:hideMark/>
          </w:tcPr>
          <w:p w14:paraId="36F753DA" w14:textId="77777777" w:rsidR="00BE6D69" w:rsidRPr="00366EFC" w:rsidRDefault="00BE6D69" w:rsidP="00BE6D69">
            <w:pPr>
              <w:jc w:val="center"/>
              <w:rPr>
                <w:rFonts w:ascii="Arial Narrow" w:hAnsi="Arial Narrow" w:cs="Arial"/>
                <w:b/>
                <w:bCs/>
                <w:spacing w:val="0"/>
                <w:sz w:val="15"/>
                <w:szCs w:val="15"/>
                <w:lang w:eastAsia="es-CO"/>
              </w:rPr>
            </w:pPr>
            <w:r w:rsidRPr="00366EFC">
              <w:rPr>
                <w:rFonts w:ascii="Arial Narrow" w:hAnsi="Arial Narrow" w:cs="Arial"/>
                <w:b/>
                <w:bCs/>
                <w:spacing w:val="0"/>
                <w:sz w:val="15"/>
                <w:szCs w:val="15"/>
                <w:lang w:val="en-US" w:eastAsia="es-CO"/>
              </w:rPr>
              <w:t>COL$</w:t>
            </w:r>
          </w:p>
        </w:tc>
        <w:tc>
          <w:tcPr>
            <w:tcW w:w="1600" w:type="dxa"/>
            <w:tcBorders>
              <w:top w:val="nil"/>
              <w:left w:val="nil"/>
              <w:bottom w:val="nil"/>
              <w:right w:val="nil"/>
            </w:tcBorders>
            <w:shd w:val="clear" w:color="auto" w:fill="auto"/>
            <w:vAlign w:val="center"/>
            <w:hideMark/>
          </w:tcPr>
          <w:p w14:paraId="49589F25" w14:textId="77777777" w:rsidR="00BE6D69" w:rsidRPr="00366EFC" w:rsidRDefault="00BE6D69" w:rsidP="00BE6D69">
            <w:pPr>
              <w:jc w:val="center"/>
              <w:rPr>
                <w:rFonts w:ascii="Arial Narrow" w:hAnsi="Arial Narrow" w:cs="Arial"/>
                <w:b/>
                <w:bCs/>
                <w:spacing w:val="0"/>
                <w:sz w:val="15"/>
                <w:szCs w:val="15"/>
                <w:lang w:eastAsia="es-CO"/>
              </w:rPr>
            </w:pPr>
          </w:p>
        </w:tc>
        <w:tc>
          <w:tcPr>
            <w:tcW w:w="940" w:type="dxa"/>
            <w:tcBorders>
              <w:top w:val="nil"/>
              <w:left w:val="nil"/>
              <w:bottom w:val="nil"/>
              <w:right w:val="nil"/>
            </w:tcBorders>
            <w:shd w:val="clear" w:color="000000" w:fill="E2EFDA"/>
            <w:noWrap/>
            <w:vAlign w:val="center"/>
            <w:hideMark/>
          </w:tcPr>
          <w:p w14:paraId="67DE3D2F" w14:textId="77777777" w:rsidR="00BE6D69" w:rsidRPr="00366EFC" w:rsidRDefault="00BE6D69" w:rsidP="00BE6D69">
            <w:pPr>
              <w:jc w:val="right"/>
              <w:rPr>
                <w:rFonts w:ascii="Arial Narrow" w:hAnsi="Arial Narrow" w:cs="Arial"/>
                <w:spacing w:val="0"/>
                <w:sz w:val="15"/>
                <w:szCs w:val="15"/>
                <w:lang w:eastAsia="es-CO"/>
              </w:rPr>
            </w:pPr>
            <w:r w:rsidRPr="00366EFC">
              <w:rPr>
                <w:rFonts w:ascii="Arial Narrow" w:hAnsi="Arial Narrow" w:cs="Arial"/>
                <w:spacing w:val="0"/>
                <w:sz w:val="15"/>
                <w:szCs w:val="15"/>
                <w:lang w:val="en-US" w:eastAsia="es-CO"/>
              </w:rPr>
              <w:t>$ 500,00</w:t>
            </w:r>
          </w:p>
        </w:tc>
        <w:tc>
          <w:tcPr>
            <w:tcW w:w="1300" w:type="dxa"/>
            <w:tcBorders>
              <w:top w:val="nil"/>
              <w:left w:val="nil"/>
              <w:bottom w:val="nil"/>
              <w:right w:val="nil"/>
            </w:tcBorders>
            <w:shd w:val="clear" w:color="auto" w:fill="auto"/>
            <w:noWrap/>
            <w:vAlign w:val="center"/>
            <w:hideMark/>
          </w:tcPr>
          <w:p w14:paraId="53DE1FBF" w14:textId="77777777" w:rsidR="00BE6D69" w:rsidRPr="00366EFC" w:rsidRDefault="00BE6D69" w:rsidP="00BE6D69">
            <w:pPr>
              <w:jc w:val="right"/>
              <w:rPr>
                <w:rFonts w:ascii="Arial Narrow" w:hAnsi="Arial Narrow" w:cs="Arial"/>
                <w:spacing w:val="0"/>
                <w:sz w:val="15"/>
                <w:szCs w:val="15"/>
                <w:lang w:eastAsia="es-CO"/>
              </w:rPr>
            </w:pPr>
          </w:p>
        </w:tc>
        <w:tc>
          <w:tcPr>
            <w:tcW w:w="1240" w:type="dxa"/>
            <w:tcBorders>
              <w:top w:val="nil"/>
              <w:left w:val="nil"/>
              <w:bottom w:val="nil"/>
              <w:right w:val="nil"/>
            </w:tcBorders>
            <w:shd w:val="clear" w:color="auto" w:fill="auto"/>
            <w:noWrap/>
            <w:vAlign w:val="center"/>
            <w:hideMark/>
          </w:tcPr>
          <w:p w14:paraId="0B74BCE7" w14:textId="77777777" w:rsidR="00BE6D69" w:rsidRPr="00366EFC" w:rsidRDefault="00BE6D69" w:rsidP="00BE6D69">
            <w:pPr>
              <w:jc w:val="left"/>
              <w:rPr>
                <w:rFonts w:ascii="Times New Roman" w:hAnsi="Times New Roman"/>
                <w:spacing w:val="0"/>
                <w:lang w:eastAsia="es-CO"/>
              </w:rPr>
            </w:pPr>
          </w:p>
        </w:tc>
      </w:tr>
      <w:tr w:rsidR="00366EFC" w:rsidRPr="00366EFC" w14:paraId="10BC7E84" w14:textId="77777777" w:rsidTr="00BE6D69">
        <w:trPr>
          <w:trHeight w:val="255"/>
        </w:trPr>
        <w:tc>
          <w:tcPr>
            <w:tcW w:w="480" w:type="dxa"/>
            <w:tcBorders>
              <w:top w:val="nil"/>
              <w:left w:val="nil"/>
              <w:bottom w:val="nil"/>
              <w:right w:val="nil"/>
            </w:tcBorders>
            <w:shd w:val="clear" w:color="auto" w:fill="auto"/>
            <w:noWrap/>
            <w:vAlign w:val="center"/>
            <w:hideMark/>
          </w:tcPr>
          <w:p w14:paraId="7532E16D" w14:textId="77777777" w:rsidR="00BE6D69" w:rsidRPr="00366EFC" w:rsidRDefault="00BE6D69" w:rsidP="00BE6D69">
            <w:pPr>
              <w:jc w:val="center"/>
              <w:rPr>
                <w:rFonts w:ascii="Arial Narrow" w:hAnsi="Arial Narrow" w:cs="Arial"/>
                <w:spacing w:val="0"/>
                <w:sz w:val="15"/>
                <w:szCs w:val="15"/>
                <w:lang w:eastAsia="es-CO"/>
              </w:rPr>
            </w:pPr>
            <w:r w:rsidRPr="00366EFC">
              <w:rPr>
                <w:rFonts w:ascii="Arial Narrow" w:hAnsi="Arial Narrow" w:cs="Arial"/>
                <w:spacing w:val="0"/>
                <w:sz w:val="15"/>
                <w:szCs w:val="15"/>
                <w:lang w:val="en-US" w:eastAsia="es-CO"/>
              </w:rPr>
              <w:t>35</w:t>
            </w:r>
          </w:p>
        </w:tc>
        <w:tc>
          <w:tcPr>
            <w:tcW w:w="700" w:type="dxa"/>
            <w:tcBorders>
              <w:top w:val="nil"/>
              <w:left w:val="nil"/>
              <w:bottom w:val="nil"/>
              <w:right w:val="nil"/>
            </w:tcBorders>
            <w:shd w:val="clear" w:color="auto" w:fill="auto"/>
            <w:noWrap/>
            <w:vAlign w:val="center"/>
            <w:hideMark/>
          </w:tcPr>
          <w:p w14:paraId="3BFF0A8F" w14:textId="77777777" w:rsidR="00BE6D69" w:rsidRPr="00366EFC" w:rsidRDefault="00BE6D69" w:rsidP="00BE6D69">
            <w:pPr>
              <w:jc w:val="center"/>
              <w:rPr>
                <w:rFonts w:ascii="Arial Narrow" w:hAnsi="Arial Narrow" w:cs="Arial"/>
                <w:spacing w:val="0"/>
                <w:sz w:val="15"/>
                <w:szCs w:val="15"/>
                <w:lang w:eastAsia="es-CO"/>
              </w:rPr>
            </w:pPr>
            <w:r w:rsidRPr="00366EFC">
              <w:rPr>
                <w:rFonts w:ascii="Arial Narrow" w:hAnsi="Arial Narrow" w:cs="Arial"/>
                <w:spacing w:val="0"/>
                <w:sz w:val="15"/>
                <w:szCs w:val="15"/>
                <w:lang w:val="en-US" w:eastAsia="es-CO"/>
              </w:rPr>
              <w:t>H2</w:t>
            </w:r>
          </w:p>
        </w:tc>
        <w:tc>
          <w:tcPr>
            <w:tcW w:w="760" w:type="dxa"/>
            <w:tcBorders>
              <w:top w:val="nil"/>
              <w:left w:val="nil"/>
              <w:bottom w:val="nil"/>
              <w:right w:val="nil"/>
            </w:tcBorders>
            <w:shd w:val="clear" w:color="000000" w:fill="E2EFDA"/>
            <w:noWrap/>
            <w:vAlign w:val="center"/>
            <w:hideMark/>
          </w:tcPr>
          <w:p w14:paraId="4244E272" w14:textId="77777777" w:rsidR="00BE6D69" w:rsidRPr="00366EFC" w:rsidRDefault="00BE6D69" w:rsidP="00BE6D69">
            <w:pPr>
              <w:jc w:val="right"/>
              <w:rPr>
                <w:rFonts w:ascii="Arial Narrow" w:hAnsi="Arial Narrow" w:cs="Arial"/>
                <w:spacing w:val="0"/>
                <w:sz w:val="15"/>
                <w:szCs w:val="15"/>
                <w:lang w:eastAsia="es-CO"/>
              </w:rPr>
            </w:pPr>
            <w:r w:rsidRPr="00366EFC">
              <w:rPr>
                <w:rFonts w:ascii="Arial Narrow" w:hAnsi="Arial Narrow" w:cs="Arial"/>
                <w:spacing w:val="0"/>
                <w:sz w:val="15"/>
                <w:szCs w:val="15"/>
                <w:lang w:val="en-US" w:eastAsia="es-CO"/>
              </w:rPr>
              <w:t> </w:t>
            </w:r>
          </w:p>
        </w:tc>
        <w:tc>
          <w:tcPr>
            <w:tcW w:w="2540" w:type="dxa"/>
            <w:tcBorders>
              <w:top w:val="nil"/>
              <w:left w:val="nil"/>
              <w:bottom w:val="nil"/>
              <w:right w:val="nil"/>
            </w:tcBorders>
            <w:shd w:val="clear" w:color="auto" w:fill="auto"/>
            <w:vAlign w:val="center"/>
            <w:hideMark/>
          </w:tcPr>
          <w:p w14:paraId="67B008BA" w14:textId="77777777" w:rsidR="00BE6D69" w:rsidRPr="00366EFC" w:rsidRDefault="00BE6D69" w:rsidP="00BE6D69">
            <w:pPr>
              <w:rPr>
                <w:rFonts w:ascii="Arial Narrow" w:hAnsi="Arial Narrow" w:cs="Arial"/>
                <w:spacing w:val="0"/>
                <w:sz w:val="15"/>
                <w:szCs w:val="15"/>
                <w:lang w:eastAsia="es-CO"/>
              </w:rPr>
            </w:pPr>
            <w:r w:rsidRPr="00366EFC">
              <w:rPr>
                <w:rFonts w:ascii="Arial Narrow" w:hAnsi="Arial Narrow" w:cs="Calibri"/>
                <w:spacing w:val="0"/>
                <w:sz w:val="15"/>
                <w:szCs w:val="15"/>
                <w:lang w:eastAsia="es-CO"/>
              </w:rPr>
              <w:t xml:space="preserve"> Compras en bolsa y/o a corto plazo </w:t>
            </w:r>
          </w:p>
        </w:tc>
        <w:tc>
          <w:tcPr>
            <w:tcW w:w="700" w:type="dxa"/>
            <w:tcBorders>
              <w:top w:val="nil"/>
              <w:left w:val="nil"/>
              <w:bottom w:val="nil"/>
              <w:right w:val="nil"/>
            </w:tcBorders>
            <w:shd w:val="clear" w:color="auto" w:fill="auto"/>
            <w:noWrap/>
            <w:vAlign w:val="center"/>
            <w:hideMark/>
          </w:tcPr>
          <w:p w14:paraId="674BB530" w14:textId="77777777" w:rsidR="00BE6D69" w:rsidRPr="00366EFC" w:rsidRDefault="00BE6D69" w:rsidP="00BE6D69">
            <w:pPr>
              <w:jc w:val="center"/>
              <w:rPr>
                <w:rFonts w:ascii="Arial Narrow" w:hAnsi="Arial Narrow" w:cs="Arial"/>
                <w:b/>
                <w:bCs/>
                <w:spacing w:val="0"/>
                <w:sz w:val="15"/>
                <w:szCs w:val="15"/>
                <w:lang w:eastAsia="es-CO"/>
              </w:rPr>
            </w:pPr>
            <w:r w:rsidRPr="00366EFC">
              <w:rPr>
                <w:rFonts w:ascii="Arial Narrow" w:hAnsi="Arial Narrow" w:cs="Arial"/>
                <w:b/>
                <w:bCs/>
                <w:spacing w:val="0"/>
                <w:sz w:val="15"/>
                <w:szCs w:val="15"/>
                <w:lang w:val="en-US" w:eastAsia="es-CO"/>
              </w:rPr>
              <w:t>COL$</w:t>
            </w:r>
          </w:p>
        </w:tc>
        <w:tc>
          <w:tcPr>
            <w:tcW w:w="1600" w:type="dxa"/>
            <w:tcBorders>
              <w:top w:val="nil"/>
              <w:left w:val="nil"/>
              <w:bottom w:val="nil"/>
              <w:right w:val="nil"/>
            </w:tcBorders>
            <w:shd w:val="clear" w:color="auto" w:fill="auto"/>
            <w:vAlign w:val="center"/>
            <w:hideMark/>
          </w:tcPr>
          <w:p w14:paraId="5E72E8AC" w14:textId="77777777" w:rsidR="00BE6D69" w:rsidRPr="00366EFC" w:rsidRDefault="00BE6D69" w:rsidP="00BE6D69">
            <w:pPr>
              <w:jc w:val="center"/>
              <w:rPr>
                <w:rFonts w:ascii="Arial Narrow" w:hAnsi="Arial Narrow" w:cs="Arial"/>
                <w:b/>
                <w:bCs/>
                <w:spacing w:val="0"/>
                <w:sz w:val="15"/>
                <w:szCs w:val="15"/>
                <w:lang w:eastAsia="es-CO"/>
              </w:rPr>
            </w:pPr>
          </w:p>
        </w:tc>
        <w:tc>
          <w:tcPr>
            <w:tcW w:w="940" w:type="dxa"/>
            <w:tcBorders>
              <w:top w:val="nil"/>
              <w:left w:val="nil"/>
              <w:bottom w:val="nil"/>
              <w:right w:val="nil"/>
            </w:tcBorders>
            <w:shd w:val="clear" w:color="000000" w:fill="E2EFDA"/>
            <w:noWrap/>
            <w:vAlign w:val="center"/>
            <w:hideMark/>
          </w:tcPr>
          <w:p w14:paraId="79550072" w14:textId="77777777" w:rsidR="00BE6D69" w:rsidRPr="00366EFC" w:rsidRDefault="00BE6D69" w:rsidP="00BE6D69">
            <w:pPr>
              <w:jc w:val="right"/>
              <w:rPr>
                <w:rFonts w:ascii="Arial Narrow" w:hAnsi="Arial Narrow" w:cs="Arial"/>
                <w:spacing w:val="0"/>
                <w:sz w:val="15"/>
                <w:szCs w:val="15"/>
                <w:lang w:eastAsia="es-CO"/>
              </w:rPr>
            </w:pPr>
            <w:r w:rsidRPr="00366EFC">
              <w:rPr>
                <w:rFonts w:ascii="Arial Narrow" w:hAnsi="Arial Narrow" w:cs="Arial"/>
                <w:spacing w:val="0"/>
                <w:sz w:val="15"/>
                <w:szCs w:val="15"/>
                <w:lang w:val="en-US" w:eastAsia="es-CO"/>
              </w:rPr>
              <w:t>$ 400,00</w:t>
            </w:r>
          </w:p>
        </w:tc>
        <w:tc>
          <w:tcPr>
            <w:tcW w:w="1300" w:type="dxa"/>
            <w:tcBorders>
              <w:top w:val="nil"/>
              <w:left w:val="nil"/>
              <w:bottom w:val="nil"/>
              <w:right w:val="nil"/>
            </w:tcBorders>
            <w:shd w:val="clear" w:color="auto" w:fill="auto"/>
            <w:noWrap/>
            <w:vAlign w:val="center"/>
            <w:hideMark/>
          </w:tcPr>
          <w:p w14:paraId="4CFF202E" w14:textId="77777777" w:rsidR="00BE6D69" w:rsidRPr="00366EFC" w:rsidRDefault="00BE6D69" w:rsidP="00BE6D69">
            <w:pPr>
              <w:jc w:val="right"/>
              <w:rPr>
                <w:rFonts w:ascii="Arial Narrow" w:hAnsi="Arial Narrow" w:cs="Arial"/>
                <w:spacing w:val="0"/>
                <w:sz w:val="15"/>
                <w:szCs w:val="15"/>
                <w:lang w:eastAsia="es-CO"/>
              </w:rPr>
            </w:pPr>
          </w:p>
        </w:tc>
        <w:tc>
          <w:tcPr>
            <w:tcW w:w="1240" w:type="dxa"/>
            <w:tcBorders>
              <w:top w:val="nil"/>
              <w:left w:val="nil"/>
              <w:bottom w:val="nil"/>
              <w:right w:val="nil"/>
            </w:tcBorders>
            <w:shd w:val="clear" w:color="auto" w:fill="auto"/>
            <w:noWrap/>
            <w:vAlign w:val="center"/>
            <w:hideMark/>
          </w:tcPr>
          <w:p w14:paraId="72826DD5" w14:textId="77777777" w:rsidR="00BE6D69" w:rsidRPr="00366EFC" w:rsidRDefault="00BE6D69" w:rsidP="00BE6D69">
            <w:pPr>
              <w:jc w:val="left"/>
              <w:rPr>
                <w:rFonts w:ascii="Times New Roman" w:hAnsi="Times New Roman"/>
                <w:spacing w:val="0"/>
                <w:lang w:eastAsia="es-CO"/>
              </w:rPr>
            </w:pPr>
          </w:p>
        </w:tc>
      </w:tr>
      <w:tr w:rsidR="00366EFC" w:rsidRPr="00366EFC" w14:paraId="47BF8A67" w14:textId="77777777" w:rsidTr="00BE6D69">
        <w:trPr>
          <w:trHeight w:val="255"/>
        </w:trPr>
        <w:tc>
          <w:tcPr>
            <w:tcW w:w="480" w:type="dxa"/>
            <w:tcBorders>
              <w:top w:val="nil"/>
              <w:left w:val="nil"/>
              <w:bottom w:val="nil"/>
              <w:right w:val="nil"/>
            </w:tcBorders>
            <w:shd w:val="clear" w:color="auto" w:fill="auto"/>
            <w:noWrap/>
            <w:vAlign w:val="center"/>
            <w:hideMark/>
          </w:tcPr>
          <w:p w14:paraId="2A4E446D" w14:textId="77777777" w:rsidR="00BE6D69" w:rsidRPr="00366EFC" w:rsidRDefault="00BE6D69" w:rsidP="00BE6D69">
            <w:pPr>
              <w:jc w:val="center"/>
              <w:rPr>
                <w:rFonts w:ascii="Arial Narrow" w:hAnsi="Arial Narrow" w:cs="Arial"/>
                <w:spacing w:val="0"/>
                <w:sz w:val="15"/>
                <w:szCs w:val="15"/>
                <w:lang w:eastAsia="es-CO"/>
              </w:rPr>
            </w:pPr>
            <w:r w:rsidRPr="00366EFC">
              <w:rPr>
                <w:rFonts w:ascii="Arial Narrow" w:hAnsi="Arial Narrow" w:cs="Arial"/>
                <w:spacing w:val="0"/>
                <w:sz w:val="15"/>
                <w:szCs w:val="15"/>
                <w:lang w:val="en-US" w:eastAsia="es-CO"/>
              </w:rPr>
              <w:t>36</w:t>
            </w:r>
          </w:p>
        </w:tc>
        <w:tc>
          <w:tcPr>
            <w:tcW w:w="700" w:type="dxa"/>
            <w:tcBorders>
              <w:top w:val="nil"/>
              <w:left w:val="nil"/>
              <w:bottom w:val="nil"/>
              <w:right w:val="nil"/>
            </w:tcBorders>
            <w:shd w:val="clear" w:color="auto" w:fill="auto"/>
            <w:noWrap/>
            <w:vAlign w:val="center"/>
            <w:hideMark/>
          </w:tcPr>
          <w:p w14:paraId="17A3E576" w14:textId="77777777" w:rsidR="00BE6D69" w:rsidRPr="00366EFC" w:rsidRDefault="00BE6D69" w:rsidP="00BE6D69">
            <w:pPr>
              <w:jc w:val="center"/>
              <w:rPr>
                <w:rFonts w:ascii="Arial Narrow" w:hAnsi="Arial Narrow" w:cs="Arial"/>
                <w:spacing w:val="0"/>
                <w:sz w:val="15"/>
                <w:szCs w:val="15"/>
                <w:lang w:eastAsia="es-CO"/>
              </w:rPr>
            </w:pPr>
            <w:r w:rsidRPr="00366EFC">
              <w:rPr>
                <w:rFonts w:ascii="Arial Narrow" w:hAnsi="Arial Narrow" w:cs="Arial"/>
                <w:spacing w:val="0"/>
                <w:sz w:val="15"/>
                <w:szCs w:val="15"/>
                <w:lang w:val="en-US" w:eastAsia="es-CO"/>
              </w:rPr>
              <w:t>H3</w:t>
            </w:r>
          </w:p>
        </w:tc>
        <w:tc>
          <w:tcPr>
            <w:tcW w:w="760" w:type="dxa"/>
            <w:tcBorders>
              <w:top w:val="nil"/>
              <w:left w:val="nil"/>
              <w:bottom w:val="nil"/>
              <w:right w:val="nil"/>
            </w:tcBorders>
            <w:shd w:val="clear" w:color="000000" w:fill="E2EFDA"/>
            <w:noWrap/>
            <w:vAlign w:val="center"/>
            <w:hideMark/>
          </w:tcPr>
          <w:p w14:paraId="05A6ADDF" w14:textId="77777777" w:rsidR="00BE6D69" w:rsidRPr="00366EFC" w:rsidRDefault="00BE6D69" w:rsidP="00BE6D69">
            <w:pPr>
              <w:jc w:val="right"/>
              <w:rPr>
                <w:rFonts w:ascii="Arial Narrow" w:hAnsi="Arial Narrow" w:cs="Arial"/>
                <w:spacing w:val="0"/>
                <w:sz w:val="15"/>
                <w:szCs w:val="15"/>
                <w:lang w:eastAsia="es-CO"/>
              </w:rPr>
            </w:pPr>
            <w:r w:rsidRPr="00366EFC">
              <w:rPr>
                <w:rFonts w:ascii="Arial Narrow" w:hAnsi="Arial Narrow" w:cs="Arial"/>
                <w:spacing w:val="0"/>
                <w:sz w:val="15"/>
                <w:szCs w:val="15"/>
                <w:lang w:val="en-US" w:eastAsia="es-CO"/>
              </w:rPr>
              <w:t> </w:t>
            </w:r>
          </w:p>
        </w:tc>
        <w:tc>
          <w:tcPr>
            <w:tcW w:w="2540" w:type="dxa"/>
            <w:tcBorders>
              <w:top w:val="nil"/>
              <w:left w:val="nil"/>
              <w:bottom w:val="nil"/>
              <w:right w:val="nil"/>
            </w:tcBorders>
            <w:shd w:val="clear" w:color="auto" w:fill="auto"/>
            <w:vAlign w:val="center"/>
            <w:hideMark/>
          </w:tcPr>
          <w:p w14:paraId="6668FADB" w14:textId="77777777" w:rsidR="00BE6D69" w:rsidRPr="00366EFC" w:rsidRDefault="00BE6D69" w:rsidP="00BE6D69">
            <w:pPr>
              <w:rPr>
                <w:rFonts w:ascii="Arial Narrow" w:hAnsi="Arial Narrow" w:cs="Arial"/>
                <w:spacing w:val="0"/>
                <w:sz w:val="15"/>
                <w:szCs w:val="15"/>
                <w:lang w:eastAsia="es-CO"/>
              </w:rPr>
            </w:pPr>
            <w:r w:rsidRPr="00366EFC">
              <w:rPr>
                <w:rFonts w:ascii="Arial Narrow" w:hAnsi="Arial Narrow" w:cs="Calibri"/>
                <w:spacing w:val="0"/>
                <w:sz w:val="15"/>
                <w:szCs w:val="15"/>
                <w:lang w:eastAsia="es-CO"/>
              </w:rPr>
              <w:t xml:space="preserve"> Uso de Líneas, redes y ductos </w:t>
            </w:r>
          </w:p>
        </w:tc>
        <w:tc>
          <w:tcPr>
            <w:tcW w:w="700" w:type="dxa"/>
            <w:tcBorders>
              <w:top w:val="nil"/>
              <w:left w:val="nil"/>
              <w:bottom w:val="nil"/>
              <w:right w:val="nil"/>
            </w:tcBorders>
            <w:shd w:val="clear" w:color="auto" w:fill="auto"/>
            <w:noWrap/>
            <w:vAlign w:val="center"/>
            <w:hideMark/>
          </w:tcPr>
          <w:p w14:paraId="646CA243" w14:textId="77777777" w:rsidR="00BE6D69" w:rsidRPr="00366EFC" w:rsidRDefault="00BE6D69" w:rsidP="00BE6D69">
            <w:pPr>
              <w:jc w:val="center"/>
              <w:rPr>
                <w:rFonts w:ascii="Arial Narrow" w:hAnsi="Arial Narrow" w:cs="Arial"/>
                <w:b/>
                <w:bCs/>
                <w:spacing w:val="0"/>
                <w:sz w:val="15"/>
                <w:szCs w:val="15"/>
                <w:lang w:eastAsia="es-CO"/>
              </w:rPr>
            </w:pPr>
            <w:r w:rsidRPr="00366EFC">
              <w:rPr>
                <w:rFonts w:ascii="Arial Narrow" w:hAnsi="Arial Narrow" w:cs="Arial"/>
                <w:b/>
                <w:bCs/>
                <w:spacing w:val="0"/>
                <w:sz w:val="15"/>
                <w:szCs w:val="15"/>
                <w:lang w:val="en-US" w:eastAsia="es-CO"/>
              </w:rPr>
              <w:t>COL$</w:t>
            </w:r>
          </w:p>
        </w:tc>
        <w:tc>
          <w:tcPr>
            <w:tcW w:w="1600" w:type="dxa"/>
            <w:tcBorders>
              <w:top w:val="nil"/>
              <w:left w:val="nil"/>
              <w:bottom w:val="nil"/>
              <w:right w:val="nil"/>
            </w:tcBorders>
            <w:shd w:val="clear" w:color="auto" w:fill="auto"/>
            <w:vAlign w:val="center"/>
            <w:hideMark/>
          </w:tcPr>
          <w:p w14:paraId="3699C419" w14:textId="77777777" w:rsidR="00BE6D69" w:rsidRPr="00366EFC" w:rsidRDefault="00BE6D69" w:rsidP="00BE6D69">
            <w:pPr>
              <w:jc w:val="center"/>
              <w:rPr>
                <w:rFonts w:ascii="Arial Narrow" w:hAnsi="Arial Narrow" w:cs="Arial"/>
                <w:b/>
                <w:bCs/>
                <w:spacing w:val="0"/>
                <w:sz w:val="15"/>
                <w:szCs w:val="15"/>
                <w:lang w:eastAsia="es-CO"/>
              </w:rPr>
            </w:pPr>
          </w:p>
        </w:tc>
        <w:tc>
          <w:tcPr>
            <w:tcW w:w="940" w:type="dxa"/>
            <w:tcBorders>
              <w:top w:val="nil"/>
              <w:left w:val="nil"/>
              <w:bottom w:val="nil"/>
              <w:right w:val="nil"/>
            </w:tcBorders>
            <w:shd w:val="clear" w:color="000000" w:fill="E2EFDA"/>
            <w:noWrap/>
            <w:vAlign w:val="center"/>
            <w:hideMark/>
          </w:tcPr>
          <w:p w14:paraId="4404D22B" w14:textId="77777777" w:rsidR="00BE6D69" w:rsidRPr="00366EFC" w:rsidRDefault="00BE6D69" w:rsidP="00BE6D69">
            <w:pPr>
              <w:jc w:val="right"/>
              <w:rPr>
                <w:rFonts w:ascii="Arial Narrow" w:hAnsi="Arial Narrow" w:cs="Arial"/>
                <w:spacing w:val="0"/>
                <w:sz w:val="15"/>
                <w:szCs w:val="15"/>
                <w:lang w:eastAsia="es-CO"/>
              </w:rPr>
            </w:pPr>
            <w:r w:rsidRPr="00366EFC">
              <w:rPr>
                <w:rFonts w:ascii="Arial Narrow" w:hAnsi="Arial Narrow" w:cs="Arial"/>
                <w:spacing w:val="0"/>
                <w:sz w:val="15"/>
                <w:szCs w:val="15"/>
                <w:lang w:val="en-US" w:eastAsia="es-CO"/>
              </w:rPr>
              <w:t>$ 300,00</w:t>
            </w:r>
          </w:p>
        </w:tc>
        <w:tc>
          <w:tcPr>
            <w:tcW w:w="1300" w:type="dxa"/>
            <w:tcBorders>
              <w:top w:val="nil"/>
              <w:left w:val="nil"/>
              <w:bottom w:val="nil"/>
              <w:right w:val="nil"/>
            </w:tcBorders>
            <w:shd w:val="clear" w:color="auto" w:fill="auto"/>
            <w:noWrap/>
            <w:vAlign w:val="center"/>
            <w:hideMark/>
          </w:tcPr>
          <w:p w14:paraId="07FF825B" w14:textId="77777777" w:rsidR="00BE6D69" w:rsidRPr="00366EFC" w:rsidRDefault="00BE6D69" w:rsidP="00BE6D69">
            <w:pPr>
              <w:jc w:val="right"/>
              <w:rPr>
                <w:rFonts w:ascii="Arial Narrow" w:hAnsi="Arial Narrow" w:cs="Arial"/>
                <w:spacing w:val="0"/>
                <w:sz w:val="15"/>
                <w:szCs w:val="15"/>
                <w:lang w:eastAsia="es-CO"/>
              </w:rPr>
            </w:pPr>
          </w:p>
        </w:tc>
        <w:tc>
          <w:tcPr>
            <w:tcW w:w="1240" w:type="dxa"/>
            <w:tcBorders>
              <w:top w:val="nil"/>
              <w:left w:val="nil"/>
              <w:bottom w:val="nil"/>
              <w:right w:val="nil"/>
            </w:tcBorders>
            <w:shd w:val="clear" w:color="auto" w:fill="auto"/>
            <w:noWrap/>
            <w:vAlign w:val="center"/>
            <w:hideMark/>
          </w:tcPr>
          <w:p w14:paraId="7038A284" w14:textId="77777777" w:rsidR="00BE6D69" w:rsidRPr="00366EFC" w:rsidRDefault="00BE6D69" w:rsidP="00BE6D69">
            <w:pPr>
              <w:jc w:val="left"/>
              <w:rPr>
                <w:rFonts w:ascii="Times New Roman" w:hAnsi="Times New Roman"/>
                <w:spacing w:val="0"/>
                <w:lang w:eastAsia="es-CO"/>
              </w:rPr>
            </w:pPr>
          </w:p>
        </w:tc>
      </w:tr>
      <w:tr w:rsidR="00366EFC" w:rsidRPr="00366EFC" w14:paraId="4E0B273F" w14:textId="77777777" w:rsidTr="00BE6D69">
        <w:trPr>
          <w:trHeight w:val="255"/>
        </w:trPr>
        <w:tc>
          <w:tcPr>
            <w:tcW w:w="480" w:type="dxa"/>
            <w:tcBorders>
              <w:top w:val="nil"/>
              <w:left w:val="nil"/>
              <w:bottom w:val="nil"/>
              <w:right w:val="nil"/>
            </w:tcBorders>
            <w:shd w:val="clear" w:color="auto" w:fill="auto"/>
            <w:noWrap/>
            <w:vAlign w:val="center"/>
            <w:hideMark/>
          </w:tcPr>
          <w:p w14:paraId="1A2D735A" w14:textId="77777777" w:rsidR="00BE6D69" w:rsidRPr="00366EFC" w:rsidRDefault="00BE6D69" w:rsidP="00BE6D69">
            <w:pPr>
              <w:jc w:val="center"/>
              <w:rPr>
                <w:rFonts w:ascii="Arial Narrow" w:hAnsi="Arial Narrow" w:cs="Arial"/>
                <w:spacing w:val="0"/>
                <w:sz w:val="15"/>
                <w:szCs w:val="15"/>
                <w:lang w:eastAsia="es-CO"/>
              </w:rPr>
            </w:pPr>
            <w:r w:rsidRPr="00366EFC">
              <w:rPr>
                <w:rFonts w:ascii="Arial Narrow" w:hAnsi="Arial Narrow" w:cs="Arial"/>
                <w:spacing w:val="0"/>
                <w:sz w:val="15"/>
                <w:szCs w:val="15"/>
                <w:lang w:val="en-US" w:eastAsia="es-CO"/>
              </w:rPr>
              <w:t>37</w:t>
            </w:r>
          </w:p>
        </w:tc>
        <w:tc>
          <w:tcPr>
            <w:tcW w:w="700" w:type="dxa"/>
            <w:tcBorders>
              <w:top w:val="nil"/>
              <w:left w:val="nil"/>
              <w:bottom w:val="nil"/>
              <w:right w:val="nil"/>
            </w:tcBorders>
            <w:shd w:val="clear" w:color="auto" w:fill="auto"/>
            <w:noWrap/>
            <w:vAlign w:val="center"/>
            <w:hideMark/>
          </w:tcPr>
          <w:p w14:paraId="5CAF06AE" w14:textId="77777777" w:rsidR="00BE6D69" w:rsidRPr="00366EFC" w:rsidRDefault="00BE6D69" w:rsidP="00BE6D69">
            <w:pPr>
              <w:jc w:val="center"/>
              <w:rPr>
                <w:rFonts w:ascii="Arial Narrow" w:hAnsi="Arial Narrow" w:cs="Arial"/>
                <w:spacing w:val="0"/>
                <w:sz w:val="15"/>
                <w:szCs w:val="15"/>
                <w:lang w:eastAsia="es-CO"/>
              </w:rPr>
            </w:pPr>
            <w:r w:rsidRPr="00366EFC">
              <w:rPr>
                <w:rFonts w:ascii="Arial Narrow" w:hAnsi="Arial Narrow" w:cs="Arial"/>
                <w:spacing w:val="0"/>
                <w:sz w:val="15"/>
                <w:szCs w:val="15"/>
                <w:lang w:val="en-US" w:eastAsia="es-CO"/>
              </w:rPr>
              <w:t>H4</w:t>
            </w:r>
          </w:p>
        </w:tc>
        <w:tc>
          <w:tcPr>
            <w:tcW w:w="760" w:type="dxa"/>
            <w:tcBorders>
              <w:top w:val="nil"/>
              <w:left w:val="nil"/>
              <w:bottom w:val="nil"/>
              <w:right w:val="nil"/>
            </w:tcBorders>
            <w:shd w:val="clear" w:color="000000" w:fill="E2EFDA"/>
            <w:noWrap/>
            <w:vAlign w:val="center"/>
            <w:hideMark/>
          </w:tcPr>
          <w:p w14:paraId="41A029E3" w14:textId="77777777" w:rsidR="00BE6D69" w:rsidRPr="00366EFC" w:rsidRDefault="00BE6D69" w:rsidP="00BE6D69">
            <w:pPr>
              <w:jc w:val="right"/>
              <w:rPr>
                <w:rFonts w:ascii="Arial Narrow" w:hAnsi="Arial Narrow" w:cs="Arial"/>
                <w:spacing w:val="0"/>
                <w:sz w:val="15"/>
                <w:szCs w:val="15"/>
                <w:lang w:eastAsia="es-CO"/>
              </w:rPr>
            </w:pPr>
            <w:r w:rsidRPr="00366EFC">
              <w:rPr>
                <w:rFonts w:ascii="Arial Narrow" w:hAnsi="Arial Narrow" w:cs="Arial"/>
                <w:spacing w:val="0"/>
                <w:sz w:val="15"/>
                <w:szCs w:val="15"/>
                <w:lang w:val="en-US" w:eastAsia="es-CO"/>
              </w:rPr>
              <w:t> </w:t>
            </w:r>
          </w:p>
        </w:tc>
        <w:tc>
          <w:tcPr>
            <w:tcW w:w="2540" w:type="dxa"/>
            <w:tcBorders>
              <w:top w:val="nil"/>
              <w:left w:val="nil"/>
              <w:bottom w:val="nil"/>
              <w:right w:val="nil"/>
            </w:tcBorders>
            <w:shd w:val="clear" w:color="auto" w:fill="auto"/>
            <w:vAlign w:val="center"/>
            <w:hideMark/>
          </w:tcPr>
          <w:p w14:paraId="3873B9CA" w14:textId="77777777" w:rsidR="00BE6D69" w:rsidRPr="00366EFC" w:rsidRDefault="00BE6D69" w:rsidP="00BE6D69">
            <w:pPr>
              <w:rPr>
                <w:rFonts w:ascii="Arial Narrow" w:hAnsi="Arial Narrow" w:cs="Arial"/>
                <w:spacing w:val="0"/>
                <w:sz w:val="15"/>
                <w:szCs w:val="15"/>
                <w:lang w:eastAsia="es-CO"/>
              </w:rPr>
            </w:pPr>
            <w:r w:rsidRPr="00366EFC">
              <w:rPr>
                <w:rFonts w:ascii="Arial Narrow" w:hAnsi="Arial Narrow" w:cs="Arial"/>
                <w:spacing w:val="0"/>
                <w:sz w:val="15"/>
                <w:szCs w:val="15"/>
                <w:lang w:val="en-US" w:eastAsia="es-CO"/>
              </w:rPr>
              <w:t xml:space="preserve"> Gas Combustible </w:t>
            </w:r>
          </w:p>
        </w:tc>
        <w:tc>
          <w:tcPr>
            <w:tcW w:w="700" w:type="dxa"/>
            <w:tcBorders>
              <w:top w:val="nil"/>
              <w:left w:val="nil"/>
              <w:bottom w:val="nil"/>
              <w:right w:val="nil"/>
            </w:tcBorders>
            <w:shd w:val="clear" w:color="auto" w:fill="auto"/>
            <w:noWrap/>
            <w:vAlign w:val="center"/>
            <w:hideMark/>
          </w:tcPr>
          <w:p w14:paraId="4AAB496F" w14:textId="77777777" w:rsidR="00BE6D69" w:rsidRPr="00366EFC" w:rsidRDefault="00BE6D69" w:rsidP="00BE6D69">
            <w:pPr>
              <w:jc w:val="center"/>
              <w:rPr>
                <w:rFonts w:ascii="Arial Narrow" w:hAnsi="Arial Narrow" w:cs="Arial"/>
                <w:b/>
                <w:bCs/>
                <w:spacing w:val="0"/>
                <w:sz w:val="15"/>
                <w:szCs w:val="15"/>
                <w:lang w:eastAsia="es-CO"/>
              </w:rPr>
            </w:pPr>
            <w:r w:rsidRPr="00366EFC">
              <w:rPr>
                <w:rFonts w:ascii="Arial Narrow" w:hAnsi="Arial Narrow" w:cs="Arial"/>
                <w:b/>
                <w:bCs/>
                <w:spacing w:val="0"/>
                <w:sz w:val="15"/>
                <w:szCs w:val="15"/>
                <w:lang w:val="en-US" w:eastAsia="es-CO"/>
              </w:rPr>
              <w:t>COL$</w:t>
            </w:r>
          </w:p>
        </w:tc>
        <w:tc>
          <w:tcPr>
            <w:tcW w:w="1600" w:type="dxa"/>
            <w:tcBorders>
              <w:top w:val="nil"/>
              <w:left w:val="nil"/>
              <w:bottom w:val="nil"/>
              <w:right w:val="nil"/>
            </w:tcBorders>
            <w:shd w:val="clear" w:color="auto" w:fill="auto"/>
            <w:vAlign w:val="center"/>
            <w:hideMark/>
          </w:tcPr>
          <w:p w14:paraId="282CF301" w14:textId="77777777" w:rsidR="00BE6D69" w:rsidRPr="00366EFC" w:rsidRDefault="00BE6D69" w:rsidP="00BE6D69">
            <w:pPr>
              <w:jc w:val="center"/>
              <w:rPr>
                <w:rFonts w:ascii="Arial Narrow" w:hAnsi="Arial Narrow" w:cs="Arial"/>
                <w:b/>
                <w:bCs/>
                <w:spacing w:val="0"/>
                <w:sz w:val="15"/>
                <w:szCs w:val="15"/>
                <w:lang w:eastAsia="es-CO"/>
              </w:rPr>
            </w:pPr>
          </w:p>
        </w:tc>
        <w:tc>
          <w:tcPr>
            <w:tcW w:w="940" w:type="dxa"/>
            <w:tcBorders>
              <w:top w:val="nil"/>
              <w:left w:val="nil"/>
              <w:bottom w:val="nil"/>
              <w:right w:val="nil"/>
            </w:tcBorders>
            <w:shd w:val="clear" w:color="000000" w:fill="E2EFDA"/>
            <w:noWrap/>
            <w:vAlign w:val="center"/>
            <w:hideMark/>
          </w:tcPr>
          <w:p w14:paraId="5F73325F" w14:textId="77777777" w:rsidR="00BE6D69" w:rsidRPr="00366EFC" w:rsidRDefault="00BE6D69" w:rsidP="00BE6D69">
            <w:pPr>
              <w:jc w:val="right"/>
              <w:rPr>
                <w:rFonts w:ascii="Arial Narrow" w:hAnsi="Arial Narrow" w:cs="Arial"/>
                <w:spacing w:val="0"/>
                <w:sz w:val="15"/>
                <w:szCs w:val="15"/>
                <w:lang w:eastAsia="es-CO"/>
              </w:rPr>
            </w:pPr>
            <w:r w:rsidRPr="00366EFC">
              <w:rPr>
                <w:rFonts w:ascii="Arial Narrow" w:hAnsi="Arial Narrow" w:cs="Arial"/>
                <w:spacing w:val="0"/>
                <w:sz w:val="15"/>
                <w:szCs w:val="15"/>
                <w:lang w:val="en-US" w:eastAsia="es-CO"/>
              </w:rPr>
              <w:t>$ 400,00</w:t>
            </w:r>
          </w:p>
        </w:tc>
        <w:tc>
          <w:tcPr>
            <w:tcW w:w="1300" w:type="dxa"/>
            <w:tcBorders>
              <w:top w:val="nil"/>
              <w:left w:val="nil"/>
              <w:bottom w:val="nil"/>
              <w:right w:val="nil"/>
            </w:tcBorders>
            <w:shd w:val="clear" w:color="auto" w:fill="auto"/>
            <w:noWrap/>
            <w:vAlign w:val="center"/>
            <w:hideMark/>
          </w:tcPr>
          <w:p w14:paraId="61604B83" w14:textId="77777777" w:rsidR="00BE6D69" w:rsidRPr="00366EFC" w:rsidRDefault="00BE6D69" w:rsidP="00BE6D69">
            <w:pPr>
              <w:jc w:val="right"/>
              <w:rPr>
                <w:rFonts w:ascii="Arial Narrow" w:hAnsi="Arial Narrow" w:cs="Arial"/>
                <w:spacing w:val="0"/>
                <w:sz w:val="15"/>
                <w:szCs w:val="15"/>
                <w:lang w:eastAsia="es-CO"/>
              </w:rPr>
            </w:pPr>
          </w:p>
        </w:tc>
        <w:tc>
          <w:tcPr>
            <w:tcW w:w="1240" w:type="dxa"/>
            <w:tcBorders>
              <w:top w:val="nil"/>
              <w:left w:val="nil"/>
              <w:bottom w:val="nil"/>
              <w:right w:val="nil"/>
            </w:tcBorders>
            <w:shd w:val="clear" w:color="auto" w:fill="auto"/>
            <w:noWrap/>
            <w:vAlign w:val="center"/>
            <w:hideMark/>
          </w:tcPr>
          <w:p w14:paraId="463DDB19" w14:textId="77777777" w:rsidR="00BE6D69" w:rsidRPr="00366EFC" w:rsidRDefault="00BE6D69" w:rsidP="00BE6D69">
            <w:pPr>
              <w:jc w:val="left"/>
              <w:rPr>
                <w:rFonts w:ascii="Times New Roman" w:hAnsi="Times New Roman"/>
                <w:spacing w:val="0"/>
                <w:lang w:eastAsia="es-CO"/>
              </w:rPr>
            </w:pPr>
          </w:p>
        </w:tc>
      </w:tr>
      <w:tr w:rsidR="00366EFC" w:rsidRPr="00366EFC" w14:paraId="0E3A1365" w14:textId="77777777" w:rsidTr="00BE6D69">
        <w:trPr>
          <w:trHeight w:val="255"/>
        </w:trPr>
        <w:tc>
          <w:tcPr>
            <w:tcW w:w="480" w:type="dxa"/>
            <w:tcBorders>
              <w:top w:val="nil"/>
              <w:left w:val="nil"/>
              <w:bottom w:val="nil"/>
              <w:right w:val="nil"/>
            </w:tcBorders>
            <w:shd w:val="clear" w:color="auto" w:fill="auto"/>
            <w:noWrap/>
            <w:vAlign w:val="center"/>
            <w:hideMark/>
          </w:tcPr>
          <w:p w14:paraId="1CED7B93" w14:textId="77777777" w:rsidR="00BE6D69" w:rsidRPr="00366EFC" w:rsidRDefault="00BE6D69" w:rsidP="00BE6D69">
            <w:pPr>
              <w:jc w:val="center"/>
              <w:rPr>
                <w:rFonts w:ascii="Arial Narrow" w:hAnsi="Arial Narrow" w:cs="Arial"/>
                <w:spacing w:val="0"/>
                <w:sz w:val="15"/>
                <w:szCs w:val="15"/>
                <w:lang w:eastAsia="es-CO"/>
              </w:rPr>
            </w:pPr>
            <w:r w:rsidRPr="00366EFC">
              <w:rPr>
                <w:rFonts w:ascii="Arial Narrow" w:hAnsi="Arial Narrow" w:cs="Arial"/>
                <w:spacing w:val="0"/>
                <w:sz w:val="15"/>
                <w:szCs w:val="15"/>
                <w:lang w:val="en-US" w:eastAsia="es-CO"/>
              </w:rPr>
              <w:t>38</w:t>
            </w:r>
          </w:p>
        </w:tc>
        <w:tc>
          <w:tcPr>
            <w:tcW w:w="700" w:type="dxa"/>
            <w:tcBorders>
              <w:top w:val="nil"/>
              <w:left w:val="nil"/>
              <w:bottom w:val="nil"/>
              <w:right w:val="nil"/>
            </w:tcBorders>
            <w:shd w:val="clear" w:color="auto" w:fill="auto"/>
            <w:noWrap/>
            <w:vAlign w:val="center"/>
            <w:hideMark/>
          </w:tcPr>
          <w:p w14:paraId="5DAA6827" w14:textId="77777777" w:rsidR="00BE6D69" w:rsidRPr="00366EFC" w:rsidRDefault="00BE6D69" w:rsidP="00BE6D69">
            <w:pPr>
              <w:jc w:val="center"/>
              <w:rPr>
                <w:rFonts w:ascii="Arial Narrow" w:hAnsi="Arial Narrow" w:cs="Arial"/>
                <w:spacing w:val="0"/>
                <w:sz w:val="15"/>
                <w:szCs w:val="15"/>
                <w:lang w:eastAsia="es-CO"/>
              </w:rPr>
            </w:pPr>
            <w:r w:rsidRPr="00366EFC">
              <w:rPr>
                <w:rFonts w:ascii="Arial Narrow" w:hAnsi="Arial Narrow" w:cs="Arial"/>
                <w:spacing w:val="0"/>
                <w:sz w:val="15"/>
                <w:szCs w:val="15"/>
                <w:lang w:val="en-US" w:eastAsia="es-CO"/>
              </w:rPr>
              <w:t>H5</w:t>
            </w:r>
          </w:p>
        </w:tc>
        <w:tc>
          <w:tcPr>
            <w:tcW w:w="760" w:type="dxa"/>
            <w:tcBorders>
              <w:top w:val="nil"/>
              <w:left w:val="nil"/>
              <w:bottom w:val="nil"/>
              <w:right w:val="nil"/>
            </w:tcBorders>
            <w:shd w:val="clear" w:color="000000" w:fill="E2EFDA"/>
            <w:noWrap/>
            <w:vAlign w:val="center"/>
            <w:hideMark/>
          </w:tcPr>
          <w:p w14:paraId="6D6A9162" w14:textId="77777777" w:rsidR="00BE6D69" w:rsidRPr="00366EFC" w:rsidRDefault="00BE6D69" w:rsidP="00BE6D69">
            <w:pPr>
              <w:jc w:val="right"/>
              <w:rPr>
                <w:rFonts w:ascii="Arial Narrow" w:hAnsi="Arial Narrow" w:cs="Arial"/>
                <w:spacing w:val="0"/>
                <w:sz w:val="15"/>
                <w:szCs w:val="15"/>
                <w:lang w:eastAsia="es-CO"/>
              </w:rPr>
            </w:pPr>
            <w:r w:rsidRPr="00366EFC">
              <w:rPr>
                <w:rFonts w:ascii="Arial Narrow" w:hAnsi="Arial Narrow" w:cs="Arial"/>
                <w:spacing w:val="0"/>
                <w:sz w:val="15"/>
                <w:szCs w:val="15"/>
                <w:lang w:val="en-US" w:eastAsia="es-CO"/>
              </w:rPr>
              <w:t> </w:t>
            </w:r>
          </w:p>
        </w:tc>
        <w:tc>
          <w:tcPr>
            <w:tcW w:w="2540" w:type="dxa"/>
            <w:tcBorders>
              <w:top w:val="nil"/>
              <w:left w:val="nil"/>
              <w:bottom w:val="nil"/>
              <w:right w:val="nil"/>
            </w:tcBorders>
            <w:shd w:val="clear" w:color="auto" w:fill="auto"/>
            <w:vAlign w:val="center"/>
            <w:hideMark/>
          </w:tcPr>
          <w:p w14:paraId="2C58480D" w14:textId="77777777" w:rsidR="00BE6D69" w:rsidRPr="00366EFC" w:rsidRDefault="00BE6D69" w:rsidP="00BE6D69">
            <w:pPr>
              <w:rPr>
                <w:rFonts w:ascii="Arial Narrow" w:hAnsi="Arial Narrow" w:cs="Arial"/>
                <w:spacing w:val="0"/>
                <w:sz w:val="15"/>
                <w:szCs w:val="15"/>
                <w:lang w:eastAsia="es-CO"/>
              </w:rPr>
            </w:pPr>
            <w:r w:rsidRPr="00366EFC">
              <w:rPr>
                <w:rFonts w:ascii="Arial Narrow" w:hAnsi="Arial Narrow" w:cs="Arial"/>
                <w:spacing w:val="0"/>
                <w:sz w:val="15"/>
                <w:szCs w:val="15"/>
                <w:lang w:val="en-US" w:eastAsia="es-CO"/>
              </w:rPr>
              <w:t xml:space="preserve"> </w:t>
            </w:r>
            <w:proofErr w:type="spellStart"/>
            <w:r w:rsidRPr="00366EFC">
              <w:rPr>
                <w:rFonts w:ascii="Arial Narrow" w:hAnsi="Arial Narrow" w:cs="Arial"/>
                <w:spacing w:val="0"/>
                <w:sz w:val="15"/>
                <w:szCs w:val="15"/>
                <w:lang w:val="en-US" w:eastAsia="es-CO"/>
              </w:rPr>
              <w:t>Carbón</w:t>
            </w:r>
            <w:proofErr w:type="spellEnd"/>
            <w:r w:rsidRPr="00366EFC">
              <w:rPr>
                <w:rFonts w:ascii="Arial Narrow" w:hAnsi="Arial Narrow" w:cs="Arial"/>
                <w:spacing w:val="0"/>
                <w:sz w:val="15"/>
                <w:szCs w:val="15"/>
                <w:lang w:val="en-US" w:eastAsia="es-CO"/>
              </w:rPr>
              <w:t xml:space="preserve"> Mineral </w:t>
            </w:r>
          </w:p>
        </w:tc>
        <w:tc>
          <w:tcPr>
            <w:tcW w:w="700" w:type="dxa"/>
            <w:tcBorders>
              <w:top w:val="nil"/>
              <w:left w:val="nil"/>
              <w:bottom w:val="nil"/>
              <w:right w:val="nil"/>
            </w:tcBorders>
            <w:shd w:val="clear" w:color="auto" w:fill="auto"/>
            <w:noWrap/>
            <w:vAlign w:val="center"/>
            <w:hideMark/>
          </w:tcPr>
          <w:p w14:paraId="51D0E07B" w14:textId="77777777" w:rsidR="00BE6D69" w:rsidRPr="00366EFC" w:rsidRDefault="00BE6D69" w:rsidP="00BE6D69">
            <w:pPr>
              <w:jc w:val="center"/>
              <w:rPr>
                <w:rFonts w:ascii="Arial Narrow" w:hAnsi="Arial Narrow" w:cs="Arial"/>
                <w:b/>
                <w:bCs/>
                <w:spacing w:val="0"/>
                <w:sz w:val="15"/>
                <w:szCs w:val="15"/>
                <w:lang w:eastAsia="es-CO"/>
              </w:rPr>
            </w:pPr>
            <w:r w:rsidRPr="00366EFC">
              <w:rPr>
                <w:rFonts w:ascii="Arial Narrow" w:hAnsi="Arial Narrow" w:cs="Arial"/>
                <w:b/>
                <w:bCs/>
                <w:spacing w:val="0"/>
                <w:sz w:val="15"/>
                <w:szCs w:val="15"/>
                <w:lang w:val="en-US" w:eastAsia="es-CO"/>
              </w:rPr>
              <w:t>COL$</w:t>
            </w:r>
          </w:p>
        </w:tc>
        <w:tc>
          <w:tcPr>
            <w:tcW w:w="1600" w:type="dxa"/>
            <w:tcBorders>
              <w:top w:val="nil"/>
              <w:left w:val="nil"/>
              <w:bottom w:val="nil"/>
              <w:right w:val="nil"/>
            </w:tcBorders>
            <w:shd w:val="clear" w:color="auto" w:fill="auto"/>
            <w:vAlign w:val="center"/>
            <w:hideMark/>
          </w:tcPr>
          <w:p w14:paraId="5540ACA5" w14:textId="77777777" w:rsidR="00BE6D69" w:rsidRPr="00366EFC" w:rsidRDefault="00BE6D69" w:rsidP="00BE6D69">
            <w:pPr>
              <w:jc w:val="center"/>
              <w:rPr>
                <w:rFonts w:ascii="Arial Narrow" w:hAnsi="Arial Narrow" w:cs="Arial"/>
                <w:b/>
                <w:bCs/>
                <w:spacing w:val="0"/>
                <w:sz w:val="15"/>
                <w:szCs w:val="15"/>
                <w:lang w:eastAsia="es-CO"/>
              </w:rPr>
            </w:pPr>
          </w:p>
        </w:tc>
        <w:tc>
          <w:tcPr>
            <w:tcW w:w="940" w:type="dxa"/>
            <w:tcBorders>
              <w:top w:val="nil"/>
              <w:left w:val="nil"/>
              <w:bottom w:val="nil"/>
              <w:right w:val="nil"/>
            </w:tcBorders>
            <w:shd w:val="clear" w:color="000000" w:fill="E2EFDA"/>
            <w:noWrap/>
            <w:vAlign w:val="center"/>
            <w:hideMark/>
          </w:tcPr>
          <w:p w14:paraId="2D2C073D" w14:textId="77777777" w:rsidR="00BE6D69" w:rsidRPr="00366EFC" w:rsidRDefault="00BE6D69" w:rsidP="00BE6D69">
            <w:pPr>
              <w:jc w:val="right"/>
              <w:rPr>
                <w:rFonts w:ascii="Arial Narrow" w:hAnsi="Arial Narrow" w:cs="Arial"/>
                <w:spacing w:val="0"/>
                <w:sz w:val="15"/>
                <w:szCs w:val="15"/>
                <w:lang w:eastAsia="es-CO"/>
              </w:rPr>
            </w:pPr>
            <w:r w:rsidRPr="00366EFC">
              <w:rPr>
                <w:rFonts w:ascii="Arial Narrow" w:hAnsi="Arial Narrow" w:cs="Arial"/>
                <w:spacing w:val="0"/>
                <w:sz w:val="15"/>
                <w:szCs w:val="15"/>
                <w:lang w:val="en-US" w:eastAsia="es-CO"/>
              </w:rPr>
              <w:t>$ 500,00</w:t>
            </w:r>
          </w:p>
        </w:tc>
        <w:tc>
          <w:tcPr>
            <w:tcW w:w="1300" w:type="dxa"/>
            <w:tcBorders>
              <w:top w:val="nil"/>
              <w:left w:val="nil"/>
              <w:bottom w:val="nil"/>
              <w:right w:val="nil"/>
            </w:tcBorders>
            <w:shd w:val="clear" w:color="auto" w:fill="auto"/>
            <w:noWrap/>
            <w:vAlign w:val="center"/>
            <w:hideMark/>
          </w:tcPr>
          <w:p w14:paraId="0D1E8C13" w14:textId="77777777" w:rsidR="00BE6D69" w:rsidRPr="00366EFC" w:rsidRDefault="00BE6D69" w:rsidP="00BE6D69">
            <w:pPr>
              <w:jc w:val="right"/>
              <w:rPr>
                <w:rFonts w:ascii="Arial Narrow" w:hAnsi="Arial Narrow" w:cs="Arial"/>
                <w:spacing w:val="0"/>
                <w:sz w:val="15"/>
                <w:szCs w:val="15"/>
                <w:lang w:eastAsia="es-CO"/>
              </w:rPr>
            </w:pPr>
          </w:p>
        </w:tc>
        <w:tc>
          <w:tcPr>
            <w:tcW w:w="1240" w:type="dxa"/>
            <w:tcBorders>
              <w:top w:val="nil"/>
              <w:left w:val="nil"/>
              <w:bottom w:val="nil"/>
              <w:right w:val="nil"/>
            </w:tcBorders>
            <w:shd w:val="clear" w:color="auto" w:fill="auto"/>
            <w:noWrap/>
            <w:vAlign w:val="center"/>
            <w:hideMark/>
          </w:tcPr>
          <w:p w14:paraId="67F0715E" w14:textId="77777777" w:rsidR="00BE6D69" w:rsidRPr="00366EFC" w:rsidRDefault="00BE6D69" w:rsidP="00BE6D69">
            <w:pPr>
              <w:jc w:val="left"/>
              <w:rPr>
                <w:rFonts w:ascii="Times New Roman" w:hAnsi="Times New Roman"/>
                <w:spacing w:val="0"/>
                <w:lang w:eastAsia="es-CO"/>
              </w:rPr>
            </w:pPr>
          </w:p>
        </w:tc>
      </w:tr>
      <w:tr w:rsidR="00366EFC" w:rsidRPr="00366EFC" w14:paraId="06079456" w14:textId="77777777" w:rsidTr="00BE6D69">
        <w:trPr>
          <w:trHeight w:val="255"/>
        </w:trPr>
        <w:tc>
          <w:tcPr>
            <w:tcW w:w="480" w:type="dxa"/>
            <w:tcBorders>
              <w:top w:val="nil"/>
              <w:left w:val="nil"/>
              <w:bottom w:val="nil"/>
              <w:right w:val="nil"/>
            </w:tcBorders>
            <w:shd w:val="clear" w:color="auto" w:fill="auto"/>
            <w:noWrap/>
            <w:vAlign w:val="center"/>
            <w:hideMark/>
          </w:tcPr>
          <w:p w14:paraId="6506C0E9" w14:textId="77777777" w:rsidR="00BE6D69" w:rsidRPr="00366EFC" w:rsidRDefault="00BE6D69" w:rsidP="00BE6D69">
            <w:pPr>
              <w:jc w:val="center"/>
              <w:rPr>
                <w:rFonts w:ascii="Arial Narrow" w:hAnsi="Arial Narrow" w:cs="Arial"/>
                <w:spacing w:val="0"/>
                <w:sz w:val="15"/>
                <w:szCs w:val="15"/>
                <w:lang w:eastAsia="es-CO"/>
              </w:rPr>
            </w:pPr>
            <w:r w:rsidRPr="00366EFC">
              <w:rPr>
                <w:rFonts w:ascii="Arial Narrow" w:hAnsi="Arial Narrow" w:cs="Arial"/>
                <w:spacing w:val="0"/>
                <w:sz w:val="15"/>
                <w:szCs w:val="15"/>
                <w:lang w:val="en-US" w:eastAsia="es-CO"/>
              </w:rPr>
              <w:t>39</w:t>
            </w:r>
          </w:p>
        </w:tc>
        <w:tc>
          <w:tcPr>
            <w:tcW w:w="700" w:type="dxa"/>
            <w:tcBorders>
              <w:top w:val="nil"/>
              <w:left w:val="nil"/>
              <w:bottom w:val="nil"/>
              <w:right w:val="nil"/>
            </w:tcBorders>
            <w:shd w:val="clear" w:color="auto" w:fill="auto"/>
            <w:noWrap/>
            <w:vAlign w:val="center"/>
            <w:hideMark/>
          </w:tcPr>
          <w:p w14:paraId="4F23A5D3" w14:textId="77777777" w:rsidR="00BE6D69" w:rsidRPr="00366EFC" w:rsidRDefault="00BE6D69" w:rsidP="00BE6D69">
            <w:pPr>
              <w:jc w:val="center"/>
              <w:rPr>
                <w:rFonts w:ascii="Arial Narrow" w:hAnsi="Arial Narrow" w:cs="Arial"/>
                <w:spacing w:val="0"/>
                <w:sz w:val="15"/>
                <w:szCs w:val="15"/>
                <w:lang w:eastAsia="es-CO"/>
              </w:rPr>
            </w:pPr>
            <w:r w:rsidRPr="00366EFC">
              <w:rPr>
                <w:rFonts w:ascii="Arial Narrow" w:hAnsi="Arial Narrow" w:cs="Arial"/>
                <w:spacing w:val="0"/>
                <w:sz w:val="15"/>
                <w:szCs w:val="15"/>
                <w:lang w:val="en-US" w:eastAsia="es-CO"/>
              </w:rPr>
              <w:t>H6</w:t>
            </w:r>
          </w:p>
        </w:tc>
        <w:tc>
          <w:tcPr>
            <w:tcW w:w="760" w:type="dxa"/>
            <w:tcBorders>
              <w:top w:val="nil"/>
              <w:left w:val="nil"/>
              <w:bottom w:val="nil"/>
              <w:right w:val="nil"/>
            </w:tcBorders>
            <w:shd w:val="clear" w:color="000000" w:fill="E2EFDA"/>
            <w:noWrap/>
            <w:vAlign w:val="center"/>
            <w:hideMark/>
          </w:tcPr>
          <w:p w14:paraId="259D812C" w14:textId="77777777" w:rsidR="00BE6D69" w:rsidRPr="00366EFC" w:rsidRDefault="00BE6D69" w:rsidP="00BE6D69">
            <w:pPr>
              <w:jc w:val="right"/>
              <w:rPr>
                <w:rFonts w:ascii="Arial Narrow" w:hAnsi="Arial Narrow" w:cs="Arial"/>
                <w:spacing w:val="0"/>
                <w:sz w:val="15"/>
                <w:szCs w:val="15"/>
                <w:lang w:eastAsia="es-CO"/>
              </w:rPr>
            </w:pPr>
            <w:r w:rsidRPr="00366EFC">
              <w:rPr>
                <w:rFonts w:ascii="Arial Narrow" w:hAnsi="Arial Narrow" w:cs="Arial"/>
                <w:spacing w:val="0"/>
                <w:sz w:val="15"/>
                <w:szCs w:val="15"/>
                <w:lang w:val="en-US" w:eastAsia="es-CO"/>
              </w:rPr>
              <w:t> </w:t>
            </w:r>
          </w:p>
        </w:tc>
        <w:tc>
          <w:tcPr>
            <w:tcW w:w="2540" w:type="dxa"/>
            <w:tcBorders>
              <w:top w:val="nil"/>
              <w:left w:val="nil"/>
              <w:bottom w:val="nil"/>
              <w:right w:val="nil"/>
            </w:tcBorders>
            <w:shd w:val="clear" w:color="auto" w:fill="auto"/>
            <w:vAlign w:val="center"/>
            <w:hideMark/>
          </w:tcPr>
          <w:p w14:paraId="26712F95" w14:textId="77777777" w:rsidR="00BE6D69" w:rsidRPr="00366EFC" w:rsidRDefault="00BE6D69" w:rsidP="00BE6D69">
            <w:pPr>
              <w:rPr>
                <w:rFonts w:ascii="Arial Narrow" w:hAnsi="Arial Narrow" w:cs="Arial"/>
                <w:spacing w:val="0"/>
                <w:sz w:val="15"/>
                <w:szCs w:val="15"/>
                <w:lang w:eastAsia="es-CO"/>
              </w:rPr>
            </w:pPr>
            <w:r w:rsidRPr="00366EFC">
              <w:rPr>
                <w:rFonts w:ascii="Arial Narrow" w:hAnsi="Arial Narrow" w:cs="Arial"/>
                <w:spacing w:val="0"/>
                <w:sz w:val="15"/>
                <w:szCs w:val="15"/>
                <w:lang w:val="en-US" w:eastAsia="es-CO"/>
              </w:rPr>
              <w:t xml:space="preserve"> ACPM, Fuel Oil </w:t>
            </w:r>
          </w:p>
        </w:tc>
        <w:tc>
          <w:tcPr>
            <w:tcW w:w="700" w:type="dxa"/>
            <w:tcBorders>
              <w:top w:val="nil"/>
              <w:left w:val="nil"/>
              <w:bottom w:val="nil"/>
              <w:right w:val="nil"/>
            </w:tcBorders>
            <w:shd w:val="clear" w:color="auto" w:fill="auto"/>
            <w:noWrap/>
            <w:vAlign w:val="center"/>
            <w:hideMark/>
          </w:tcPr>
          <w:p w14:paraId="5F3B1C40" w14:textId="77777777" w:rsidR="00BE6D69" w:rsidRPr="00366EFC" w:rsidRDefault="00BE6D69" w:rsidP="00BE6D69">
            <w:pPr>
              <w:jc w:val="center"/>
              <w:rPr>
                <w:rFonts w:ascii="Arial Narrow" w:hAnsi="Arial Narrow" w:cs="Arial"/>
                <w:b/>
                <w:bCs/>
                <w:spacing w:val="0"/>
                <w:sz w:val="15"/>
                <w:szCs w:val="15"/>
                <w:lang w:eastAsia="es-CO"/>
              </w:rPr>
            </w:pPr>
            <w:r w:rsidRPr="00366EFC">
              <w:rPr>
                <w:rFonts w:ascii="Arial Narrow" w:hAnsi="Arial Narrow" w:cs="Arial"/>
                <w:b/>
                <w:bCs/>
                <w:spacing w:val="0"/>
                <w:sz w:val="15"/>
                <w:szCs w:val="15"/>
                <w:lang w:val="en-US" w:eastAsia="es-CO"/>
              </w:rPr>
              <w:t>COL$</w:t>
            </w:r>
          </w:p>
        </w:tc>
        <w:tc>
          <w:tcPr>
            <w:tcW w:w="1600" w:type="dxa"/>
            <w:tcBorders>
              <w:top w:val="nil"/>
              <w:left w:val="nil"/>
              <w:bottom w:val="nil"/>
              <w:right w:val="nil"/>
            </w:tcBorders>
            <w:shd w:val="clear" w:color="auto" w:fill="auto"/>
            <w:vAlign w:val="center"/>
            <w:hideMark/>
          </w:tcPr>
          <w:p w14:paraId="79B7BB22" w14:textId="77777777" w:rsidR="00BE6D69" w:rsidRPr="00366EFC" w:rsidRDefault="00BE6D69" w:rsidP="00BE6D69">
            <w:pPr>
              <w:jc w:val="center"/>
              <w:rPr>
                <w:rFonts w:ascii="Arial Narrow" w:hAnsi="Arial Narrow" w:cs="Arial"/>
                <w:b/>
                <w:bCs/>
                <w:spacing w:val="0"/>
                <w:sz w:val="15"/>
                <w:szCs w:val="15"/>
                <w:lang w:eastAsia="es-CO"/>
              </w:rPr>
            </w:pPr>
          </w:p>
        </w:tc>
        <w:tc>
          <w:tcPr>
            <w:tcW w:w="940" w:type="dxa"/>
            <w:tcBorders>
              <w:top w:val="nil"/>
              <w:left w:val="nil"/>
              <w:bottom w:val="nil"/>
              <w:right w:val="nil"/>
            </w:tcBorders>
            <w:shd w:val="clear" w:color="000000" w:fill="E2EFDA"/>
            <w:noWrap/>
            <w:vAlign w:val="center"/>
            <w:hideMark/>
          </w:tcPr>
          <w:p w14:paraId="1892F92C" w14:textId="77777777" w:rsidR="00BE6D69" w:rsidRPr="00366EFC" w:rsidRDefault="00BE6D69" w:rsidP="00BE6D69">
            <w:pPr>
              <w:jc w:val="right"/>
              <w:rPr>
                <w:rFonts w:ascii="Arial Narrow" w:hAnsi="Arial Narrow" w:cs="Arial"/>
                <w:spacing w:val="0"/>
                <w:sz w:val="15"/>
                <w:szCs w:val="15"/>
                <w:lang w:eastAsia="es-CO"/>
              </w:rPr>
            </w:pPr>
            <w:r w:rsidRPr="00366EFC">
              <w:rPr>
                <w:rFonts w:ascii="Arial Narrow" w:hAnsi="Arial Narrow" w:cs="Arial"/>
                <w:spacing w:val="0"/>
                <w:sz w:val="15"/>
                <w:szCs w:val="15"/>
                <w:lang w:val="en-US" w:eastAsia="es-CO"/>
              </w:rPr>
              <w:t>$ 600,00</w:t>
            </w:r>
          </w:p>
        </w:tc>
        <w:tc>
          <w:tcPr>
            <w:tcW w:w="1300" w:type="dxa"/>
            <w:tcBorders>
              <w:top w:val="nil"/>
              <w:left w:val="nil"/>
              <w:bottom w:val="nil"/>
              <w:right w:val="nil"/>
            </w:tcBorders>
            <w:shd w:val="clear" w:color="auto" w:fill="auto"/>
            <w:noWrap/>
            <w:vAlign w:val="center"/>
            <w:hideMark/>
          </w:tcPr>
          <w:p w14:paraId="596DBD29" w14:textId="77777777" w:rsidR="00BE6D69" w:rsidRPr="00366EFC" w:rsidRDefault="00BE6D69" w:rsidP="00BE6D69">
            <w:pPr>
              <w:jc w:val="right"/>
              <w:rPr>
                <w:rFonts w:ascii="Arial Narrow" w:hAnsi="Arial Narrow" w:cs="Arial"/>
                <w:spacing w:val="0"/>
                <w:sz w:val="15"/>
                <w:szCs w:val="15"/>
                <w:lang w:eastAsia="es-CO"/>
              </w:rPr>
            </w:pPr>
          </w:p>
        </w:tc>
        <w:tc>
          <w:tcPr>
            <w:tcW w:w="1240" w:type="dxa"/>
            <w:tcBorders>
              <w:top w:val="nil"/>
              <w:left w:val="nil"/>
              <w:bottom w:val="nil"/>
              <w:right w:val="nil"/>
            </w:tcBorders>
            <w:shd w:val="clear" w:color="auto" w:fill="auto"/>
            <w:noWrap/>
            <w:vAlign w:val="center"/>
            <w:hideMark/>
          </w:tcPr>
          <w:p w14:paraId="61FEC63A" w14:textId="77777777" w:rsidR="00BE6D69" w:rsidRPr="00366EFC" w:rsidRDefault="00BE6D69" w:rsidP="00BE6D69">
            <w:pPr>
              <w:jc w:val="left"/>
              <w:rPr>
                <w:rFonts w:ascii="Times New Roman" w:hAnsi="Times New Roman"/>
                <w:spacing w:val="0"/>
                <w:lang w:eastAsia="es-CO"/>
              </w:rPr>
            </w:pPr>
          </w:p>
        </w:tc>
      </w:tr>
      <w:tr w:rsidR="00366EFC" w:rsidRPr="00366EFC" w14:paraId="108C5BC5" w14:textId="77777777" w:rsidTr="00BE6D69">
        <w:trPr>
          <w:trHeight w:val="465"/>
        </w:trPr>
        <w:tc>
          <w:tcPr>
            <w:tcW w:w="480" w:type="dxa"/>
            <w:tcBorders>
              <w:top w:val="nil"/>
              <w:left w:val="nil"/>
              <w:bottom w:val="nil"/>
              <w:right w:val="nil"/>
            </w:tcBorders>
            <w:shd w:val="clear" w:color="auto" w:fill="auto"/>
            <w:noWrap/>
            <w:vAlign w:val="center"/>
            <w:hideMark/>
          </w:tcPr>
          <w:p w14:paraId="6BD264FB" w14:textId="77777777" w:rsidR="00BE6D69" w:rsidRPr="00366EFC" w:rsidRDefault="00BE6D69" w:rsidP="00BE6D69">
            <w:pPr>
              <w:jc w:val="center"/>
              <w:rPr>
                <w:rFonts w:ascii="Arial Narrow" w:hAnsi="Arial Narrow" w:cs="Arial"/>
                <w:spacing w:val="0"/>
                <w:sz w:val="15"/>
                <w:szCs w:val="15"/>
                <w:lang w:eastAsia="es-CO"/>
              </w:rPr>
            </w:pPr>
            <w:r w:rsidRPr="00366EFC">
              <w:rPr>
                <w:rFonts w:ascii="Arial Narrow" w:hAnsi="Arial Narrow" w:cs="Arial"/>
                <w:spacing w:val="0"/>
                <w:sz w:val="15"/>
                <w:szCs w:val="15"/>
                <w:lang w:val="en-US" w:eastAsia="es-CO"/>
              </w:rPr>
              <w:t>40</w:t>
            </w:r>
          </w:p>
        </w:tc>
        <w:tc>
          <w:tcPr>
            <w:tcW w:w="700" w:type="dxa"/>
            <w:tcBorders>
              <w:top w:val="nil"/>
              <w:left w:val="nil"/>
              <w:bottom w:val="nil"/>
              <w:right w:val="nil"/>
            </w:tcBorders>
            <w:shd w:val="clear" w:color="auto" w:fill="auto"/>
            <w:noWrap/>
            <w:vAlign w:val="center"/>
            <w:hideMark/>
          </w:tcPr>
          <w:p w14:paraId="0178E4CD" w14:textId="77777777" w:rsidR="00BE6D69" w:rsidRPr="00366EFC" w:rsidRDefault="00BE6D69" w:rsidP="00BE6D69">
            <w:pPr>
              <w:jc w:val="center"/>
              <w:rPr>
                <w:rFonts w:ascii="Arial Narrow" w:hAnsi="Arial Narrow" w:cs="Arial"/>
                <w:spacing w:val="0"/>
                <w:sz w:val="15"/>
                <w:szCs w:val="15"/>
                <w:lang w:eastAsia="es-CO"/>
              </w:rPr>
            </w:pPr>
            <w:r w:rsidRPr="00366EFC">
              <w:rPr>
                <w:rFonts w:ascii="Arial Narrow" w:hAnsi="Arial Narrow" w:cs="Arial"/>
                <w:spacing w:val="0"/>
                <w:sz w:val="15"/>
                <w:szCs w:val="15"/>
                <w:lang w:val="en-US" w:eastAsia="es-CO"/>
              </w:rPr>
              <w:t>H7</w:t>
            </w:r>
          </w:p>
        </w:tc>
        <w:tc>
          <w:tcPr>
            <w:tcW w:w="760" w:type="dxa"/>
            <w:tcBorders>
              <w:top w:val="nil"/>
              <w:left w:val="nil"/>
              <w:bottom w:val="nil"/>
              <w:right w:val="nil"/>
            </w:tcBorders>
            <w:shd w:val="clear" w:color="000000" w:fill="E2EFDA"/>
            <w:noWrap/>
            <w:vAlign w:val="center"/>
            <w:hideMark/>
          </w:tcPr>
          <w:p w14:paraId="15EE4A71" w14:textId="77777777" w:rsidR="00BE6D69" w:rsidRPr="00366EFC" w:rsidRDefault="00BE6D69" w:rsidP="00BE6D69">
            <w:pPr>
              <w:jc w:val="right"/>
              <w:rPr>
                <w:rFonts w:ascii="Arial Narrow" w:hAnsi="Arial Narrow" w:cs="Arial"/>
                <w:spacing w:val="0"/>
                <w:sz w:val="15"/>
                <w:szCs w:val="15"/>
                <w:lang w:eastAsia="es-CO"/>
              </w:rPr>
            </w:pPr>
            <w:r w:rsidRPr="00366EFC">
              <w:rPr>
                <w:rFonts w:ascii="Arial Narrow" w:hAnsi="Arial Narrow" w:cs="Arial"/>
                <w:spacing w:val="0"/>
                <w:sz w:val="15"/>
                <w:szCs w:val="15"/>
                <w:lang w:val="en-US" w:eastAsia="es-CO"/>
              </w:rPr>
              <w:t> </w:t>
            </w:r>
          </w:p>
        </w:tc>
        <w:tc>
          <w:tcPr>
            <w:tcW w:w="2540" w:type="dxa"/>
            <w:tcBorders>
              <w:top w:val="nil"/>
              <w:left w:val="nil"/>
              <w:bottom w:val="nil"/>
              <w:right w:val="nil"/>
            </w:tcBorders>
            <w:shd w:val="clear" w:color="auto" w:fill="auto"/>
            <w:vAlign w:val="center"/>
            <w:hideMark/>
          </w:tcPr>
          <w:p w14:paraId="71AA8CD8" w14:textId="77777777" w:rsidR="00BE6D69" w:rsidRPr="00366EFC" w:rsidRDefault="00BE6D69" w:rsidP="00BE6D69">
            <w:pPr>
              <w:rPr>
                <w:rFonts w:ascii="Arial Narrow" w:hAnsi="Arial Narrow" w:cs="Arial"/>
                <w:spacing w:val="0"/>
                <w:sz w:val="15"/>
                <w:szCs w:val="15"/>
                <w:lang w:eastAsia="es-CO"/>
              </w:rPr>
            </w:pPr>
            <w:r w:rsidRPr="00366EFC">
              <w:rPr>
                <w:rFonts w:ascii="Arial Narrow" w:hAnsi="Arial Narrow" w:cs="Calibri"/>
                <w:spacing w:val="0"/>
                <w:sz w:val="15"/>
                <w:szCs w:val="15"/>
                <w:lang w:eastAsia="es-CO"/>
              </w:rPr>
              <w:t xml:space="preserve"> Gastos de distribución y/o comercialización de gas combustible por redes </w:t>
            </w:r>
          </w:p>
        </w:tc>
        <w:tc>
          <w:tcPr>
            <w:tcW w:w="700" w:type="dxa"/>
            <w:tcBorders>
              <w:top w:val="nil"/>
              <w:left w:val="nil"/>
              <w:bottom w:val="nil"/>
              <w:right w:val="nil"/>
            </w:tcBorders>
            <w:shd w:val="clear" w:color="auto" w:fill="auto"/>
            <w:noWrap/>
            <w:vAlign w:val="center"/>
            <w:hideMark/>
          </w:tcPr>
          <w:p w14:paraId="36EA1DDD" w14:textId="77777777" w:rsidR="00BE6D69" w:rsidRPr="00366EFC" w:rsidRDefault="00BE6D69" w:rsidP="00BE6D69">
            <w:pPr>
              <w:jc w:val="center"/>
              <w:rPr>
                <w:rFonts w:ascii="Arial Narrow" w:hAnsi="Arial Narrow" w:cs="Arial"/>
                <w:b/>
                <w:bCs/>
                <w:spacing w:val="0"/>
                <w:sz w:val="15"/>
                <w:szCs w:val="15"/>
                <w:lang w:eastAsia="es-CO"/>
              </w:rPr>
            </w:pPr>
            <w:r w:rsidRPr="00366EFC">
              <w:rPr>
                <w:rFonts w:ascii="Arial Narrow" w:hAnsi="Arial Narrow" w:cs="Arial"/>
                <w:b/>
                <w:bCs/>
                <w:spacing w:val="0"/>
                <w:sz w:val="15"/>
                <w:szCs w:val="15"/>
                <w:lang w:val="en-US" w:eastAsia="es-CO"/>
              </w:rPr>
              <w:t>COL$</w:t>
            </w:r>
          </w:p>
        </w:tc>
        <w:tc>
          <w:tcPr>
            <w:tcW w:w="1600" w:type="dxa"/>
            <w:tcBorders>
              <w:top w:val="nil"/>
              <w:left w:val="nil"/>
              <w:bottom w:val="nil"/>
              <w:right w:val="nil"/>
            </w:tcBorders>
            <w:shd w:val="clear" w:color="auto" w:fill="auto"/>
            <w:vAlign w:val="center"/>
            <w:hideMark/>
          </w:tcPr>
          <w:p w14:paraId="4E886BFE" w14:textId="77777777" w:rsidR="00BE6D69" w:rsidRPr="00366EFC" w:rsidRDefault="00BE6D69" w:rsidP="00BE6D69">
            <w:pPr>
              <w:jc w:val="center"/>
              <w:rPr>
                <w:rFonts w:ascii="Arial Narrow" w:hAnsi="Arial Narrow" w:cs="Arial"/>
                <w:b/>
                <w:bCs/>
                <w:spacing w:val="0"/>
                <w:sz w:val="15"/>
                <w:szCs w:val="15"/>
                <w:lang w:eastAsia="es-CO"/>
              </w:rPr>
            </w:pPr>
          </w:p>
        </w:tc>
        <w:tc>
          <w:tcPr>
            <w:tcW w:w="940" w:type="dxa"/>
            <w:tcBorders>
              <w:top w:val="nil"/>
              <w:left w:val="nil"/>
              <w:bottom w:val="nil"/>
              <w:right w:val="nil"/>
            </w:tcBorders>
            <w:shd w:val="clear" w:color="000000" w:fill="E2EFDA"/>
            <w:noWrap/>
            <w:vAlign w:val="center"/>
            <w:hideMark/>
          </w:tcPr>
          <w:p w14:paraId="62A3DEC4" w14:textId="77777777" w:rsidR="00BE6D69" w:rsidRPr="00366EFC" w:rsidRDefault="00BE6D69" w:rsidP="00BE6D69">
            <w:pPr>
              <w:jc w:val="right"/>
              <w:rPr>
                <w:rFonts w:ascii="Arial Narrow" w:hAnsi="Arial Narrow" w:cs="Arial"/>
                <w:spacing w:val="0"/>
                <w:sz w:val="15"/>
                <w:szCs w:val="15"/>
                <w:lang w:eastAsia="es-CO"/>
              </w:rPr>
            </w:pPr>
            <w:r w:rsidRPr="00366EFC">
              <w:rPr>
                <w:rFonts w:ascii="Arial Narrow" w:hAnsi="Arial Narrow" w:cs="Arial"/>
                <w:spacing w:val="0"/>
                <w:sz w:val="15"/>
                <w:szCs w:val="15"/>
                <w:lang w:val="en-US" w:eastAsia="es-CO"/>
              </w:rPr>
              <w:t>$ 700,00</w:t>
            </w:r>
          </w:p>
        </w:tc>
        <w:tc>
          <w:tcPr>
            <w:tcW w:w="1300" w:type="dxa"/>
            <w:tcBorders>
              <w:top w:val="nil"/>
              <w:left w:val="nil"/>
              <w:bottom w:val="nil"/>
              <w:right w:val="nil"/>
            </w:tcBorders>
            <w:shd w:val="clear" w:color="auto" w:fill="auto"/>
            <w:noWrap/>
            <w:vAlign w:val="center"/>
            <w:hideMark/>
          </w:tcPr>
          <w:p w14:paraId="43A5E9D5" w14:textId="77777777" w:rsidR="00BE6D69" w:rsidRPr="00366EFC" w:rsidRDefault="00BE6D69" w:rsidP="00BE6D69">
            <w:pPr>
              <w:jc w:val="right"/>
              <w:rPr>
                <w:rFonts w:ascii="Arial Narrow" w:hAnsi="Arial Narrow" w:cs="Arial"/>
                <w:spacing w:val="0"/>
                <w:sz w:val="15"/>
                <w:szCs w:val="15"/>
                <w:lang w:eastAsia="es-CO"/>
              </w:rPr>
            </w:pPr>
          </w:p>
        </w:tc>
        <w:tc>
          <w:tcPr>
            <w:tcW w:w="1240" w:type="dxa"/>
            <w:tcBorders>
              <w:top w:val="nil"/>
              <w:left w:val="nil"/>
              <w:bottom w:val="nil"/>
              <w:right w:val="nil"/>
            </w:tcBorders>
            <w:shd w:val="clear" w:color="auto" w:fill="auto"/>
            <w:noWrap/>
            <w:vAlign w:val="center"/>
            <w:hideMark/>
          </w:tcPr>
          <w:p w14:paraId="4F08680B" w14:textId="77777777" w:rsidR="00BE6D69" w:rsidRPr="00366EFC" w:rsidRDefault="00BE6D69" w:rsidP="00BE6D69">
            <w:pPr>
              <w:jc w:val="left"/>
              <w:rPr>
                <w:rFonts w:ascii="Times New Roman" w:hAnsi="Times New Roman"/>
                <w:spacing w:val="0"/>
                <w:lang w:eastAsia="es-CO"/>
              </w:rPr>
            </w:pPr>
          </w:p>
        </w:tc>
      </w:tr>
      <w:tr w:rsidR="00366EFC" w:rsidRPr="00366EFC" w14:paraId="0D44695A" w14:textId="77777777" w:rsidTr="00BE6D69">
        <w:trPr>
          <w:trHeight w:val="465"/>
        </w:trPr>
        <w:tc>
          <w:tcPr>
            <w:tcW w:w="480" w:type="dxa"/>
            <w:tcBorders>
              <w:top w:val="nil"/>
              <w:left w:val="nil"/>
              <w:bottom w:val="nil"/>
              <w:right w:val="nil"/>
            </w:tcBorders>
            <w:shd w:val="clear" w:color="auto" w:fill="auto"/>
            <w:noWrap/>
            <w:vAlign w:val="center"/>
            <w:hideMark/>
          </w:tcPr>
          <w:p w14:paraId="73A94C03" w14:textId="77777777" w:rsidR="00BE6D69" w:rsidRPr="00366EFC" w:rsidRDefault="00BE6D69" w:rsidP="00BE6D69">
            <w:pPr>
              <w:jc w:val="center"/>
              <w:rPr>
                <w:rFonts w:ascii="Arial Narrow" w:hAnsi="Arial Narrow" w:cs="Arial"/>
                <w:spacing w:val="0"/>
                <w:sz w:val="15"/>
                <w:szCs w:val="15"/>
                <w:lang w:eastAsia="es-CO"/>
              </w:rPr>
            </w:pPr>
            <w:r w:rsidRPr="00366EFC">
              <w:rPr>
                <w:rFonts w:ascii="Arial Narrow" w:hAnsi="Arial Narrow" w:cs="Arial"/>
                <w:spacing w:val="0"/>
                <w:sz w:val="15"/>
                <w:szCs w:val="15"/>
                <w:lang w:val="en-US" w:eastAsia="es-CO"/>
              </w:rPr>
              <w:t>41</w:t>
            </w:r>
          </w:p>
        </w:tc>
        <w:tc>
          <w:tcPr>
            <w:tcW w:w="700" w:type="dxa"/>
            <w:tcBorders>
              <w:top w:val="nil"/>
              <w:left w:val="nil"/>
              <w:bottom w:val="nil"/>
              <w:right w:val="nil"/>
            </w:tcBorders>
            <w:shd w:val="clear" w:color="auto" w:fill="auto"/>
            <w:noWrap/>
            <w:vAlign w:val="center"/>
            <w:hideMark/>
          </w:tcPr>
          <w:p w14:paraId="40D5F8D0" w14:textId="77777777" w:rsidR="00BE6D69" w:rsidRPr="00366EFC" w:rsidRDefault="00BE6D69" w:rsidP="00BE6D69">
            <w:pPr>
              <w:jc w:val="center"/>
              <w:rPr>
                <w:rFonts w:ascii="Arial Narrow" w:hAnsi="Arial Narrow" w:cs="Arial"/>
                <w:spacing w:val="0"/>
                <w:sz w:val="15"/>
                <w:szCs w:val="15"/>
                <w:lang w:eastAsia="es-CO"/>
              </w:rPr>
            </w:pPr>
            <w:r w:rsidRPr="00366EFC">
              <w:rPr>
                <w:rFonts w:ascii="Arial Narrow" w:hAnsi="Arial Narrow" w:cs="Arial"/>
                <w:spacing w:val="0"/>
                <w:sz w:val="15"/>
                <w:szCs w:val="15"/>
                <w:lang w:val="en-US" w:eastAsia="es-CO"/>
              </w:rPr>
              <w:t>H8</w:t>
            </w:r>
          </w:p>
        </w:tc>
        <w:tc>
          <w:tcPr>
            <w:tcW w:w="760" w:type="dxa"/>
            <w:tcBorders>
              <w:top w:val="nil"/>
              <w:left w:val="nil"/>
              <w:bottom w:val="nil"/>
              <w:right w:val="nil"/>
            </w:tcBorders>
            <w:shd w:val="clear" w:color="000000" w:fill="E2EFDA"/>
            <w:noWrap/>
            <w:vAlign w:val="center"/>
            <w:hideMark/>
          </w:tcPr>
          <w:p w14:paraId="6BB728CA" w14:textId="77777777" w:rsidR="00BE6D69" w:rsidRPr="00366EFC" w:rsidRDefault="00BE6D69" w:rsidP="00BE6D69">
            <w:pPr>
              <w:jc w:val="right"/>
              <w:rPr>
                <w:rFonts w:ascii="Arial Narrow" w:hAnsi="Arial Narrow" w:cs="Arial"/>
                <w:spacing w:val="0"/>
                <w:sz w:val="15"/>
                <w:szCs w:val="15"/>
                <w:lang w:eastAsia="es-CO"/>
              </w:rPr>
            </w:pPr>
            <w:r w:rsidRPr="00366EFC">
              <w:rPr>
                <w:rFonts w:ascii="Arial Narrow" w:hAnsi="Arial Narrow" w:cs="Arial"/>
                <w:spacing w:val="0"/>
                <w:sz w:val="15"/>
                <w:szCs w:val="15"/>
                <w:lang w:val="en-US" w:eastAsia="es-CO"/>
              </w:rPr>
              <w:t> </w:t>
            </w:r>
          </w:p>
        </w:tc>
        <w:tc>
          <w:tcPr>
            <w:tcW w:w="2540" w:type="dxa"/>
            <w:tcBorders>
              <w:top w:val="nil"/>
              <w:left w:val="nil"/>
              <w:bottom w:val="nil"/>
              <w:right w:val="nil"/>
            </w:tcBorders>
            <w:shd w:val="clear" w:color="auto" w:fill="auto"/>
            <w:vAlign w:val="center"/>
            <w:hideMark/>
          </w:tcPr>
          <w:p w14:paraId="6CA4B66E" w14:textId="77777777" w:rsidR="00BE6D69" w:rsidRPr="00366EFC" w:rsidRDefault="00BE6D69" w:rsidP="00BE6D69">
            <w:pPr>
              <w:rPr>
                <w:rFonts w:ascii="Arial Narrow" w:hAnsi="Arial Narrow" w:cs="Arial"/>
                <w:spacing w:val="0"/>
                <w:sz w:val="15"/>
                <w:szCs w:val="15"/>
                <w:lang w:eastAsia="es-CO"/>
              </w:rPr>
            </w:pPr>
            <w:r w:rsidRPr="00366EFC">
              <w:rPr>
                <w:rFonts w:ascii="Arial Narrow" w:hAnsi="Arial Narrow" w:cs="Calibri"/>
                <w:spacing w:val="0"/>
                <w:sz w:val="15"/>
                <w:szCs w:val="15"/>
                <w:lang w:eastAsia="es-CO"/>
              </w:rPr>
              <w:t xml:space="preserve"> Gastos de distribución y/o comercialización de gas licuado de petróleo - GLP </w:t>
            </w:r>
          </w:p>
        </w:tc>
        <w:tc>
          <w:tcPr>
            <w:tcW w:w="700" w:type="dxa"/>
            <w:tcBorders>
              <w:top w:val="nil"/>
              <w:left w:val="nil"/>
              <w:bottom w:val="nil"/>
              <w:right w:val="nil"/>
            </w:tcBorders>
            <w:shd w:val="clear" w:color="auto" w:fill="auto"/>
            <w:noWrap/>
            <w:vAlign w:val="center"/>
            <w:hideMark/>
          </w:tcPr>
          <w:p w14:paraId="05F78D48" w14:textId="77777777" w:rsidR="00BE6D69" w:rsidRPr="00366EFC" w:rsidRDefault="00BE6D69" w:rsidP="00BE6D69">
            <w:pPr>
              <w:jc w:val="center"/>
              <w:rPr>
                <w:rFonts w:ascii="Arial Narrow" w:hAnsi="Arial Narrow" w:cs="Arial"/>
                <w:b/>
                <w:bCs/>
                <w:spacing w:val="0"/>
                <w:sz w:val="15"/>
                <w:szCs w:val="15"/>
                <w:lang w:eastAsia="es-CO"/>
              </w:rPr>
            </w:pPr>
            <w:r w:rsidRPr="00366EFC">
              <w:rPr>
                <w:rFonts w:ascii="Arial Narrow" w:hAnsi="Arial Narrow" w:cs="Arial"/>
                <w:b/>
                <w:bCs/>
                <w:spacing w:val="0"/>
                <w:sz w:val="15"/>
                <w:szCs w:val="15"/>
                <w:lang w:val="en-US" w:eastAsia="es-CO"/>
              </w:rPr>
              <w:t>COL$</w:t>
            </w:r>
          </w:p>
        </w:tc>
        <w:tc>
          <w:tcPr>
            <w:tcW w:w="1600" w:type="dxa"/>
            <w:tcBorders>
              <w:top w:val="nil"/>
              <w:left w:val="nil"/>
              <w:bottom w:val="nil"/>
              <w:right w:val="nil"/>
            </w:tcBorders>
            <w:shd w:val="clear" w:color="auto" w:fill="auto"/>
            <w:vAlign w:val="center"/>
            <w:hideMark/>
          </w:tcPr>
          <w:p w14:paraId="04F3A541" w14:textId="77777777" w:rsidR="00BE6D69" w:rsidRPr="00366EFC" w:rsidRDefault="00BE6D69" w:rsidP="00BE6D69">
            <w:pPr>
              <w:jc w:val="center"/>
              <w:rPr>
                <w:rFonts w:ascii="Arial Narrow" w:hAnsi="Arial Narrow" w:cs="Arial"/>
                <w:b/>
                <w:bCs/>
                <w:spacing w:val="0"/>
                <w:sz w:val="15"/>
                <w:szCs w:val="15"/>
                <w:lang w:eastAsia="es-CO"/>
              </w:rPr>
            </w:pPr>
          </w:p>
        </w:tc>
        <w:tc>
          <w:tcPr>
            <w:tcW w:w="940" w:type="dxa"/>
            <w:tcBorders>
              <w:top w:val="nil"/>
              <w:left w:val="nil"/>
              <w:bottom w:val="single" w:sz="4" w:space="0" w:color="auto"/>
              <w:right w:val="nil"/>
            </w:tcBorders>
            <w:shd w:val="clear" w:color="000000" w:fill="E2EFDA"/>
            <w:noWrap/>
            <w:vAlign w:val="center"/>
            <w:hideMark/>
          </w:tcPr>
          <w:p w14:paraId="12175488" w14:textId="77777777" w:rsidR="00BE6D69" w:rsidRPr="00366EFC" w:rsidRDefault="00BE6D69" w:rsidP="00BE6D69">
            <w:pPr>
              <w:jc w:val="right"/>
              <w:rPr>
                <w:rFonts w:ascii="Arial Narrow" w:hAnsi="Arial Narrow" w:cs="Arial"/>
                <w:spacing w:val="0"/>
                <w:sz w:val="15"/>
                <w:szCs w:val="15"/>
                <w:lang w:eastAsia="es-CO"/>
              </w:rPr>
            </w:pPr>
            <w:r w:rsidRPr="00366EFC">
              <w:rPr>
                <w:rFonts w:ascii="Arial Narrow" w:hAnsi="Arial Narrow" w:cs="Arial"/>
                <w:spacing w:val="0"/>
                <w:sz w:val="15"/>
                <w:szCs w:val="15"/>
                <w:lang w:val="en-US" w:eastAsia="es-CO"/>
              </w:rPr>
              <w:t>$ 600,00</w:t>
            </w:r>
          </w:p>
        </w:tc>
        <w:tc>
          <w:tcPr>
            <w:tcW w:w="1300" w:type="dxa"/>
            <w:tcBorders>
              <w:top w:val="nil"/>
              <w:left w:val="nil"/>
              <w:bottom w:val="nil"/>
              <w:right w:val="nil"/>
            </w:tcBorders>
            <w:shd w:val="clear" w:color="auto" w:fill="auto"/>
            <w:noWrap/>
            <w:vAlign w:val="center"/>
            <w:hideMark/>
          </w:tcPr>
          <w:p w14:paraId="24129570" w14:textId="77777777" w:rsidR="00BE6D69" w:rsidRPr="00366EFC" w:rsidRDefault="00BE6D69" w:rsidP="00BE6D69">
            <w:pPr>
              <w:jc w:val="right"/>
              <w:rPr>
                <w:rFonts w:ascii="Arial Narrow" w:hAnsi="Arial Narrow" w:cs="Arial"/>
                <w:spacing w:val="0"/>
                <w:sz w:val="15"/>
                <w:szCs w:val="15"/>
                <w:lang w:eastAsia="es-CO"/>
              </w:rPr>
            </w:pPr>
          </w:p>
        </w:tc>
        <w:tc>
          <w:tcPr>
            <w:tcW w:w="1240" w:type="dxa"/>
            <w:tcBorders>
              <w:top w:val="nil"/>
              <w:left w:val="nil"/>
              <w:bottom w:val="nil"/>
              <w:right w:val="nil"/>
            </w:tcBorders>
            <w:shd w:val="clear" w:color="auto" w:fill="auto"/>
            <w:noWrap/>
            <w:vAlign w:val="center"/>
            <w:hideMark/>
          </w:tcPr>
          <w:p w14:paraId="77FBADB8" w14:textId="77777777" w:rsidR="00BE6D69" w:rsidRPr="00366EFC" w:rsidRDefault="00BE6D69" w:rsidP="00BE6D69">
            <w:pPr>
              <w:jc w:val="left"/>
              <w:rPr>
                <w:rFonts w:ascii="Times New Roman" w:hAnsi="Times New Roman"/>
                <w:spacing w:val="0"/>
                <w:lang w:eastAsia="es-CO"/>
              </w:rPr>
            </w:pPr>
          </w:p>
        </w:tc>
      </w:tr>
      <w:tr w:rsidR="00366EFC" w:rsidRPr="00366EFC" w14:paraId="1C064804" w14:textId="77777777" w:rsidTr="00BE6D69">
        <w:trPr>
          <w:trHeight w:val="510"/>
        </w:trPr>
        <w:tc>
          <w:tcPr>
            <w:tcW w:w="480" w:type="dxa"/>
            <w:tcBorders>
              <w:top w:val="nil"/>
              <w:left w:val="nil"/>
              <w:bottom w:val="nil"/>
              <w:right w:val="nil"/>
            </w:tcBorders>
            <w:shd w:val="clear" w:color="auto" w:fill="auto"/>
            <w:noWrap/>
            <w:vAlign w:val="center"/>
            <w:hideMark/>
          </w:tcPr>
          <w:p w14:paraId="148A5EC4" w14:textId="77777777" w:rsidR="00BE6D69" w:rsidRPr="00366EFC" w:rsidRDefault="00BE6D69" w:rsidP="00BE6D69">
            <w:pPr>
              <w:jc w:val="center"/>
              <w:rPr>
                <w:rFonts w:ascii="Arial Narrow" w:hAnsi="Arial Narrow" w:cs="Arial"/>
                <w:spacing w:val="0"/>
                <w:sz w:val="15"/>
                <w:szCs w:val="15"/>
                <w:lang w:eastAsia="es-CO"/>
              </w:rPr>
            </w:pPr>
            <w:r w:rsidRPr="00366EFC">
              <w:rPr>
                <w:rFonts w:ascii="Arial Narrow" w:hAnsi="Arial Narrow" w:cs="Arial"/>
                <w:spacing w:val="0"/>
                <w:sz w:val="15"/>
                <w:szCs w:val="15"/>
                <w:lang w:val="en-US" w:eastAsia="es-CO"/>
              </w:rPr>
              <w:t>42</w:t>
            </w:r>
          </w:p>
        </w:tc>
        <w:tc>
          <w:tcPr>
            <w:tcW w:w="700" w:type="dxa"/>
            <w:tcBorders>
              <w:top w:val="nil"/>
              <w:left w:val="nil"/>
              <w:bottom w:val="nil"/>
              <w:right w:val="nil"/>
            </w:tcBorders>
            <w:shd w:val="clear" w:color="auto" w:fill="auto"/>
            <w:noWrap/>
            <w:vAlign w:val="center"/>
            <w:hideMark/>
          </w:tcPr>
          <w:p w14:paraId="1B623A1B" w14:textId="77777777" w:rsidR="00BE6D69" w:rsidRPr="00366EFC" w:rsidRDefault="00BE6D69" w:rsidP="00BE6D69">
            <w:pPr>
              <w:jc w:val="center"/>
              <w:rPr>
                <w:rFonts w:ascii="Arial Narrow" w:hAnsi="Arial Narrow" w:cs="Arial"/>
                <w:spacing w:val="0"/>
                <w:sz w:val="15"/>
                <w:szCs w:val="15"/>
                <w:lang w:eastAsia="es-CO"/>
              </w:rPr>
            </w:pPr>
            <w:r w:rsidRPr="00366EFC">
              <w:rPr>
                <w:rFonts w:ascii="Arial Narrow" w:hAnsi="Arial Narrow" w:cs="Arial"/>
                <w:spacing w:val="0"/>
                <w:sz w:val="15"/>
                <w:szCs w:val="15"/>
                <w:lang w:val="en-US" w:eastAsia="es-CO"/>
              </w:rPr>
              <w:t>FGO</w:t>
            </w:r>
          </w:p>
        </w:tc>
        <w:tc>
          <w:tcPr>
            <w:tcW w:w="760" w:type="dxa"/>
            <w:tcBorders>
              <w:top w:val="nil"/>
              <w:left w:val="nil"/>
              <w:bottom w:val="nil"/>
              <w:right w:val="nil"/>
            </w:tcBorders>
            <w:shd w:val="clear" w:color="000000" w:fill="E2EFDA"/>
            <w:noWrap/>
            <w:vAlign w:val="center"/>
            <w:hideMark/>
          </w:tcPr>
          <w:p w14:paraId="225BDA6D" w14:textId="77777777" w:rsidR="00BE6D69" w:rsidRPr="00366EFC" w:rsidRDefault="00BE6D69" w:rsidP="00BE6D69">
            <w:pPr>
              <w:jc w:val="right"/>
              <w:rPr>
                <w:rFonts w:ascii="Arial Narrow" w:hAnsi="Arial Narrow" w:cs="Arial"/>
                <w:b/>
                <w:bCs/>
                <w:spacing w:val="0"/>
                <w:sz w:val="15"/>
                <w:szCs w:val="15"/>
                <w:lang w:eastAsia="es-CO"/>
              </w:rPr>
            </w:pPr>
            <w:r w:rsidRPr="00366EFC">
              <w:rPr>
                <w:rFonts w:ascii="Arial Narrow" w:hAnsi="Arial Narrow" w:cs="Arial"/>
                <w:b/>
                <w:bCs/>
                <w:spacing w:val="0"/>
                <w:sz w:val="15"/>
                <w:szCs w:val="15"/>
                <w:lang w:val="en-US" w:eastAsia="es-CO"/>
              </w:rPr>
              <w:t>Por</w:t>
            </w:r>
          </w:p>
        </w:tc>
        <w:tc>
          <w:tcPr>
            <w:tcW w:w="2540" w:type="dxa"/>
            <w:tcBorders>
              <w:top w:val="nil"/>
              <w:left w:val="nil"/>
              <w:bottom w:val="nil"/>
              <w:right w:val="nil"/>
            </w:tcBorders>
            <w:shd w:val="clear" w:color="auto" w:fill="auto"/>
            <w:vAlign w:val="center"/>
            <w:hideMark/>
          </w:tcPr>
          <w:p w14:paraId="38D75F6A" w14:textId="77777777" w:rsidR="00BE6D69" w:rsidRPr="00366EFC" w:rsidRDefault="00BE6D69" w:rsidP="00BE6D69">
            <w:pPr>
              <w:rPr>
                <w:rFonts w:ascii="Arial Narrow" w:hAnsi="Arial Narrow" w:cs="Arial"/>
                <w:spacing w:val="0"/>
                <w:sz w:val="15"/>
                <w:szCs w:val="15"/>
                <w:lang w:eastAsia="es-CO"/>
              </w:rPr>
            </w:pPr>
            <w:r w:rsidRPr="00366EFC">
              <w:rPr>
                <w:rFonts w:ascii="Arial Narrow" w:hAnsi="Arial Narrow" w:cs="Calibri"/>
                <w:spacing w:val="0"/>
                <w:sz w:val="15"/>
                <w:szCs w:val="15"/>
                <w:lang w:eastAsia="es-CO"/>
              </w:rPr>
              <w:t xml:space="preserve">Factor gastos operativos para cubrir faltante. </w:t>
            </w:r>
            <w:r w:rsidRPr="00366EFC">
              <w:rPr>
                <w:rFonts w:ascii="Arial Narrow" w:hAnsi="Arial Narrow" w:cs="Calibri"/>
                <w:spacing w:val="0"/>
                <w:sz w:val="15"/>
                <w:szCs w:val="15"/>
                <w:lang w:eastAsia="es-CO"/>
              </w:rPr>
              <w:br/>
              <w:t xml:space="preserve">(Uso del Par. 2 </w:t>
            </w:r>
            <w:proofErr w:type="gramStart"/>
            <w:r w:rsidRPr="00366EFC">
              <w:rPr>
                <w:rFonts w:ascii="Arial Narrow" w:hAnsi="Arial Narrow" w:cs="Calibri"/>
                <w:spacing w:val="0"/>
                <w:sz w:val="15"/>
                <w:szCs w:val="15"/>
                <w:lang w:eastAsia="es-CO"/>
              </w:rPr>
              <w:t>Art.</w:t>
            </w:r>
            <w:proofErr w:type="gramEnd"/>
            <w:r w:rsidRPr="00366EFC">
              <w:rPr>
                <w:rFonts w:ascii="Arial Narrow" w:hAnsi="Arial Narrow" w:cs="Calibri"/>
                <w:spacing w:val="0"/>
                <w:sz w:val="15"/>
                <w:szCs w:val="15"/>
                <w:lang w:eastAsia="es-CO"/>
              </w:rPr>
              <w:t xml:space="preserve"> 85 Ley 142 de 1994).</w:t>
            </w:r>
          </w:p>
        </w:tc>
        <w:tc>
          <w:tcPr>
            <w:tcW w:w="700" w:type="dxa"/>
            <w:tcBorders>
              <w:top w:val="nil"/>
              <w:left w:val="nil"/>
              <w:bottom w:val="nil"/>
              <w:right w:val="nil"/>
            </w:tcBorders>
            <w:shd w:val="clear" w:color="auto" w:fill="auto"/>
            <w:noWrap/>
            <w:vAlign w:val="center"/>
            <w:hideMark/>
          </w:tcPr>
          <w:p w14:paraId="39743ADA" w14:textId="77777777" w:rsidR="00BE6D69" w:rsidRPr="00366EFC" w:rsidRDefault="00BE6D69" w:rsidP="00BE6D69">
            <w:pPr>
              <w:jc w:val="center"/>
              <w:rPr>
                <w:rFonts w:ascii="Arial Narrow" w:hAnsi="Arial Narrow" w:cs="Arial"/>
                <w:b/>
                <w:bCs/>
                <w:spacing w:val="0"/>
                <w:sz w:val="15"/>
                <w:szCs w:val="15"/>
                <w:lang w:eastAsia="es-CO"/>
              </w:rPr>
            </w:pPr>
            <w:r w:rsidRPr="00366EFC">
              <w:rPr>
                <w:rFonts w:ascii="Arial Narrow" w:hAnsi="Arial Narrow" w:cs="Arial"/>
                <w:b/>
                <w:bCs/>
                <w:spacing w:val="0"/>
                <w:sz w:val="15"/>
                <w:szCs w:val="15"/>
                <w:lang w:val="en-US" w:eastAsia="es-CO"/>
              </w:rPr>
              <w:t>000</w:t>
            </w:r>
          </w:p>
        </w:tc>
        <w:tc>
          <w:tcPr>
            <w:tcW w:w="1600" w:type="dxa"/>
            <w:tcBorders>
              <w:top w:val="nil"/>
              <w:left w:val="nil"/>
              <w:bottom w:val="nil"/>
              <w:right w:val="nil"/>
            </w:tcBorders>
            <w:shd w:val="clear" w:color="auto" w:fill="auto"/>
            <w:vAlign w:val="center"/>
            <w:hideMark/>
          </w:tcPr>
          <w:p w14:paraId="3B0292C4" w14:textId="77777777" w:rsidR="00BE6D69" w:rsidRPr="00366EFC" w:rsidRDefault="00BE6D69" w:rsidP="00BE6D69">
            <w:pPr>
              <w:jc w:val="center"/>
              <w:rPr>
                <w:rFonts w:ascii="Arial Narrow" w:hAnsi="Arial Narrow" w:cs="Arial"/>
                <w:spacing w:val="0"/>
                <w:sz w:val="15"/>
                <w:szCs w:val="15"/>
                <w:lang w:eastAsia="es-CO"/>
              </w:rPr>
            </w:pPr>
            <w:r w:rsidRPr="00366EFC">
              <w:rPr>
                <w:rFonts w:ascii="Arial Narrow" w:hAnsi="Arial Narrow" w:cs="Arial"/>
                <w:spacing w:val="0"/>
                <w:sz w:val="15"/>
                <w:szCs w:val="15"/>
                <w:lang w:eastAsia="es-CO"/>
              </w:rPr>
              <w:t>Resolución CREG</w:t>
            </w:r>
            <w:r w:rsidRPr="00366EFC">
              <w:rPr>
                <w:rFonts w:ascii="Arial Narrow" w:hAnsi="Arial Narrow" w:cs="Arial"/>
                <w:spacing w:val="0"/>
                <w:sz w:val="15"/>
                <w:szCs w:val="15"/>
                <w:lang w:eastAsia="es-CO"/>
              </w:rPr>
              <w:br/>
              <w:t>Contribución Especial 2023</w:t>
            </w:r>
          </w:p>
        </w:tc>
        <w:tc>
          <w:tcPr>
            <w:tcW w:w="940" w:type="dxa"/>
            <w:tcBorders>
              <w:top w:val="nil"/>
              <w:left w:val="nil"/>
              <w:bottom w:val="nil"/>
              <w:right w:val="nil"/>
            </w:tcBorders>
            <w:shd w:val="clear" w:color="auto" w:fill="auto"/>
            <w:noWrap/>
            <w:vAlign w:val="center"/>
            <w:hideMark/>
          </w:tcPr>
          <w:p w14:paraId="6CC52D4F" w14:textId="77777777" w:rsidR="00BE6D69" w:rsidRPr="00366EFC" w:rsidRDefault="00BE6D69" w:rsidP="00BE6D69">
            <w:pPr>
              <w:jc w:val="center"/>
              <w:rPr>
                <w:rFonts w:ascii="Arial Narrow" w:hAnsi="Arial Narrow" w:cs="Arial"/>
                <w:spacing w:val="0"/>
                <w:sz w:val="15"/>
                <w:szCs w:val="15"/>
                <w:lang w:eastAsia="es-CO"/>
              </w:rPr>
            </w:pPr>
          </w:p>
        </w:tc>
        <w:tc>
          <w:tcPr>
            <w:tcW w:w="1300" w:type="dxa"/>
            <w:tcBorders>
              <w:top w:val="nil"/>
              <w:left w:val="nil"/>
              <w:bottom w:val="nil"/>
              <w:right w:val="nil"/>
            </w:tcBorders>
            <w:shd w:val="clear" w:color="auto" w:fill="auto"/>
            <w:noWrap/>
            <w:vAlign w:val="center"/>
            <w:hideMark/>
          </w:tcPr>
          <w:p w14:paraId="6368342C" w14:textId="77777777" w:rsidR="00BE6D69" w:rsidRPr="00366EFC" w:rsidRDefault="00BE6D69" w:rsidP="00BE6D69">
            <w:pPr>
              <w:jc w:val="left"/>
              <w:rPr>
                <w:rFonts w:ascii="Times New Roman" w:hAnsi="Times New Roman"/>
                <w:spacing w:val="0"/>
                <w:lang w:eastAsia="es-CO"/>
              </w:rPr>
            </w:pPr>
          </w:p>
        </w:tc>
        <w:tc>
          <w:tcPr>
            <w:tcW w:w="1240" w:type="dxa"/>
            <w:tcBorders>
              <w:top w:val="nil"/>
              <w:left w:val="nil"/>
              <w:bottom w:val="nil"/>
              <w:right w:val="nil"/>
            </w:tcBorders>
            <w:shd w:val="clear" w:color="auto" w:fill="auto"/>
            <w:noWrap/>
            <w:vAlign w:val="center"/>
            <w:hideMark/>
          </w:tcPr>
          <w:p w14:paraId="2FA65B38" w14:textId="77777777" w:rsidR="00BE6D69" w:rsidRPr="00366EFC" w:rsidRDefault="00BE6D69" w:rsidP="00BE6D69">
            <w:pPr>
              <w:jc w:val="right"/>
              <w:rPr>
                <w:rFonts w:ascii="Arial Narrow" w:hAnsi="Arial Narrow" w:cs="Arial"/>
                <w:spacing w:val="0"/>
                <w:sz w:val="15"/>
                <w:szCs w:val="15"/>
                <w:lang w:eastAsia="es-CO"/>
              </w:rPr>
            </w:pPr>
            <w:r w:rsidRPr="00366EFC">
              <w:rPr>
                <w:rFonts w:ascii="Arial Narrow" w:hAnsi="Arial Narrow" w:cs="Arial"/>
                <w:spacing w:val="0"/>
                <w:sz w:val="15"/>
                <w:szCs w:val="15"/>
                <w:lang w:eastAsia="es-CO"/>
              </w:rPr>
              <w:t>0,0080266%</w:t>
            </w:r>
          </w:p>
        </w:tc>
      </w:tr>
      <w:tr w:rsidR="00366EFC" w:rsidRPr="00366EFC" w14:paraId="3293526F" w14:textId="77777777" w:rsidTr="00BE6D69">
        <w:trPr>
          <w:trHeight w:val="525"/>
        </w:trPr>
        <w:tc>
          <w:tcPr>
            <w:tcW w:w="480" w:type="dxa"/>
            <w:tcBorders>
              <w:top w:val="nil"/>
              <w:left w:val="nil"/>
              <w:bottom w:val="nil"/>
              <w:right w:val="nil"/>
            </w:tcBorders>
            <w:shd w:val="clear" w:color="auto" w:fill="auto"/>
            <w:noWrap/>
            <w:vAlign w:val="center"/>
            <w:hideMark/>
          </w:tcPr>
          <w:p w14:paraId="38057EAC" w14:textId="77777777" w:rsidR="00BE6D69" w:rsidRPr="00366EFC" w:rsidRDefault="00BE6D69" w:rsidP="00BE6D69">
            <w:pPr>
              <w:jc w:val="center"/>
              <w:rPr>
                <w:rFonts w:ascii="Arial Narrow" w:hAnsi="Arial Narrow" w:cs="Arial"/>
                <w:spacing w:val="0"/>
                <w:sz w:val="15"/>
                <w:szCs w:val="15"/>
                <w:lang w:eastAsia="es-CO"/>
              </w:rPr>
            </w:pPr>
            <w:r w:rsidRPr="00366EFC">
              <w:rPr>
                <w:rFonts w:ascii="Arial Narrow" w:hAnsi="Arial Narrow" w:cs="Arial"/>
                <w:spacing w:val="0"/>
                <w:sz w:val="15"/>
                <w:szCs w:val="15"/>
                <w:lang w:val="en-US" w:eastAsia="es-CO"/>
              </w:rPr>
              <w:t>43</w:t>
            </w:r>
          </w:p>
        </w:tc>
        <w:tc>
          <w:tcPr>
            <w:tcW w:w="700" w:type="dxa"/>
            <w:tcBorders>
              <w:top w:val="nil"/>
              <w:left w:val="nil"/>
              <w:bottom w:val="nil"/>
              <w:right w:val="nil"/>
            </w:tcBorders>
            <w:shd w:val="clear" w:color="auto" w:fill="auto"/>
            <w:noWrap/>
            <w:vAlign w:val="center"/>
            <w:hideMark/>
          </w:tcPr>
          <w:p w14:paraId="45D94F52" w14:textId="77777777" w:rsidR="00BE6D69" w:rsidRPr="00366EFC" w:rsidRDefault="00BE6D69" w:rsidP="00BE6D69">
            <w:pPr>
              <w:jc w:val="center"/>
              <w:rPr>
                <w:rFonts w:ascii="Arial Narrow" w:hAnsi="Arial Narrow" w:cs="Arial"/>
                <w:b/>
                <w:bCs/>
                <w:spacing w:val="0"/>
                <w:sz w:val="15"/>
                <w:szCs w:val="15"/>
                <w:lang w:eastAsia="es-CO"/>
              </w:rPr>
            </w:pPr>
            <w:r w:rsidRPr="00366EFC">
              <w:rPr>
                <w:rFonts w:ascii="Arial Narrow" w:hAnsi="Arial Narrow" w:cs="Arial"/>
                <w:b/>
                <w:bCs/>
                <w:spacing w:val="0"/>
                <w:sz w:val="15"/>
                <w:szCs w:val="15"/>
                <w:lang w:val="en-US" w:eastAsia="es-CO"/>
              </w:rPr>
              <w:t>PGO</w:t>
            </w:r>
          </w:p>
        </w:tc>
        <w:tc>
          <w:tcPr>
            <w:tcW w:w="760" w:type="dxa"/>
            <w:tcBorders>
              <w:top w:val="nil"/>
              <w:left w:val="nil"/>
              <w:bottom w:val="nil"/>
              <w:right w:val="nil"/>
            </w:tcBorders>
            <w:shd w:val="clear" w:color="000000" w:fill="E2EFDA"/>
            <w:noWrap/>
            <w:vAlign w:val="center"/>
            <w:hideMark/>
          </w:tcPr>
          <w:p w14:paraId="3CC4D787" w14:textId="77777777" w:rsidR="00BE6D69" w:rsidRPr="00366EFC" w:rsidRDefault="00BE6D69" w:rsidP="00BE6D69">
            <w:pPr>
              <w:jc w:val="right"/>
              <w:rPr>
                <w:rFonts w:ascii="Arial Narrow" w:hAnsi="Arial Narrow" w:cs="Arial"/>
                <w:b/>
                <w:bCs/>
                <w:spacing w:val="0"/>
                <w:sz w:val="15"/>
                <w:szCs w:val="15"/>
                <w:lang w:eastAsia="es-CO"/>
              </w:rPr>
            </w:pPr>
            <w:r w:rsidRPr="00366EFC">
              <w:rPr>
                <w:rFonts w:ascii="Arial Narrow" w:hAnsi="Arial Narrow" w:cs="Arial"/>
                <w:b/>
                <w:bCs/>
                <w:spacing w:val="0"/>
                <w:sz w:val="15"/>
                <w:szCs w:val="15"/>
                <w:lang w:val="en-US" w:eastAsia="es-CO"/>
              </w:rPr>
              <w:t>Subtotal</w:t>
            </w:r>
          </w:p>
        </w:tc>
        <w:tc>
          <w:tcPr>
            <w:tcW w:w="2540" w:type="dxa"/>
            <w:tcBorders>
              <w:top w:val="nil"/>
              <w:left w:val="nil"/>
              <w:bottom w:val="nil"/>
              <w:right w:val="nil"/>
            </w:tcBorders>
            <w:shd w:val="clear" w:color="000000" w:fill="FCE4D6"/>
            <w:vAlign w:val="center"/>
            <w:hideMark/>
          </w:tcPr>
          <w:p w14:paraId="668D2E9B" w14:textId="77777777" w:rsidR="00BE6D69" w:rsidRPr="00366EFC" w:rsidRDefault="00BE6D69" w:rsidP="00BE6D69">
            <w:pPr>
              <w:rPr>
                <w:rFonts w:ascii="Arial Narrow" w:hAnsi="Arial Narrow" w:cs="Arial"/>
                <w:b/>
                <w:bCs/>
                <w:spacing w:val="0"/>
                <w:sz w:val="15"/>
                <w:szCs w:val="15"/>
                <w:lang w:eastAsia="es-CO"/>
              </w:rPr>
            </w:pPr>
            <w:r w:rsidRPr="00366EFC">
              <w:rPr>
                <w:rFonts w:ascii="Arial Narrow" w:hAnsi="Arial Narrow" w:cs="Arial"/>
                <w:b/>
                <w:bCs/>
                <w:spacing w:val="0"/>
                <w:sz w:val="15"/>
                <w:szCs w:val="15"/>
                <w:lang w:eastAsia="es-CO"/>
              </w:rPr>
              <w:t xml:space="preserve">PORCIÓN CUBRIMIENTO CON GASTOS OPERATIVOS </w:t>
            </w:r>
          </w:p>
        </w:tc>
        <w:tc>
          <w:tcPr>
            <w:tcW w:w="700" w:type="dxa"/>
            <w:tcBorders>
              <w:top w:val="nil"/>
              <w:left w:val="nil"/>
              <w:bottom w:val="nil"/>
              <w:right w:val="nil"/>
            </w:tcBorders>
            <w:shd w:val="clear" w:color="auto" w:fill="auto"/>
            <w:noWrap/>
            <w:vAlign w:val="center"/>
            <w:hideMark/>
          </w:tcPr>
          <w:p w14:paraId="5141E4F9" w14:textId="77777777" w:rsidR="00BE6D69" w:rsidRPr="00366EFC" w:rsidRDefault="00BE6D69" w:rsidP="00BE6D69">
            <w:pPr>
              <w:jc w:val="center"/>
              <w:rPr>
                <w:rFonts w:ascii="Arial Narrow" w:hAnsi="Arial Narrow" w:cs="Arial"/>
                <w:b/>
                <w:bCs/>
                <w:spacing w:val="0"/>
                <w:sz w:val="15"/>
                <w:szCs w:val="15"/>
                <w:lang w:eastAsia="es-CO"/>
              </w:rPr>
            </w:pPr>
            <w:r w:rsidRPr="00366EFC">
              <w:rPr>
                <w:rFonts w:ascii="Arial Narrow" w:hAnsi="Arial Narrow" w:cs="Arial"/>
                <w:b/>
                <w:bCs/>
                <w:spacing w:val="0"/>
                <w:sz w:val="15"/>
                <w:szCs w:val="15"/>
                <w:lang w:val="en-US" w:eastAsia="es-CO"/>
              </w:rPr>
              <w:t>COL$</w:t>
            </w:r>
          </w:p>
        </w:tc>
        <w:tc>
          <w:tcPr>
            <w:tcW w:w="1600" w:type="dxa"/>
            <w:tcBorders>
              <w:top w:val="nil"/>
              <w:left w:val="nil"/>
              <w:bottom w:val="nil"/>
              <w:right w:val="nil"/>
            </w:tcBorders>
            <w:shd w:val="clear" w:color="auto" w:fill="auto"/>
            <w:vAlign w:val="center"/>
            <w:hideMark/>
          </w:tcPr>
          <w:p w14:paraId="67F9F72D" w14:textId="77777777" w:rsidR="00BE6D69" w:rsidRPr="00366EFC" w:rsidRDefault="00BE6D69" w:rsidP="00BE6D69">
            <w:pPr>
              <w:jc w:val="center"/>
              <w:rPr>
                <w:rFonts w:ascii="Arial Narrow" w:hAnsi="Arial Narrow" w:cs="Arial"/>
                <w:spacing w:val="0"/>
                <w:sz w:val="15"/>
                <w:szCs w:val="15"/>
                <w:lang w:eastAsia="es-CO"/>
              </w:rPr>
            </w:pPr>
            <w:r w:rsidRPr="00366EFC">
              <w:rPr>
                <w:rFonts w:ascii="Arial Narrow" w:hAnsi="Arial Narrow" w:cs="Arial"/>
                <w:spacing w:val="0"/>
                <w:sz w:val="15"/>
                <w:szCs w:val="15"/>
                <w:lang w:eastAsia="es-CO"/>
              </w:rPr>
              <w:t>Multiplica CASILLAS</w:t>
            </w:r>
            <w:r w:rsidRPr="00366EFC">
              <w:rPr>
                <w:rFonts w:ascii="Arial Narrow" w:hAnsi="Arial Narrow" w:cs="Arial"/>
                <w:spacing w:val="0"/>
                <w:sz w:val="15"/>
                <w:szCs w:val="15"/>
                <w:lang w:eastAsia="es-CO"/>
              </w:rPr>
              <w:br/>
              <w:t>H por FGO</w:t>
            </w:r>
          </w:p>
        </w:tc>
        <w:tc>
          <w:tcPr>
            <w:tcW w:w="940" w:type="dxa"/>
            <w:tcBorders>
              <w:top w:val="nil"/>
              <w:left w:val="nil"/>
              <w:bottom w:val="nil"/>
              <w:right w:val="nil"/>
            </w:tcBorders>
            <w:shd w:val="clear" w:color="auto" w:fill="auto"/>
            <w:noWrap/>
            <w:vAlign w:val="center"/>
            <w:hideMark/>
          </w:tcPr>
          <w:p w14:paraId="7B8C6790" w14:textId="77777777" w:rsidR="00BE6D69" w:rsidRPr="00366EFC" w:rsidRDefault="00BE6D69" w:rsidP="00BE6D69">
            <w:pPr>
              <w:jc w:val="center"/>
              <w:rPr>
                <w:rFonts w:ascii="Arial Narrow" w:hAnsi="Arial Narrow" w:cs="Arial"/>
                <w:spacing w:val="0"/>
                <w:sz w:val="15"/>
                <w:szCs w:val="15"/>
                <w:lang w:eastAsia="es-CO"/>
              </w:rPr>
            </w:pPr>
          </w:p>
        </w:tc>
        <w:tc>
          <w:tcPr>
            <w:tcW w:w="1300" w:type="dxa"/>
            <w:tcBorders>
              <w:top w:val="single" w:sz="4" w:space="0" w:color="auto"/>
              <w:left w:val="nil"/>
              <w:bottom w:val="single" w:sz="4" w:space="0" w:color="auto"/>
              <w:right w:val="single" w:sz="4" w:space="0" w:color="auto"/>
            </w:tcBorders>
            <w:shd w:val="clear" w:color="000000" w:fill="E2EFDA"/>
            <w:noWrap/>
            <w:vAlign w:val="center"/>
            <w:hideMark/>
          </w:tcPr>
          <w:p w14:paraId="546E06EF" w14:textId="77777777" w:rsidR="00BE6D69" w:rsidRPr="00366EFC" w:rsidRDefault="00BE6D69" w:rsidP="00BE6D69">
            <w:pPr>
              <w:jc w:val="right"/>
              <w:rPr>
                <w:rFonts w:ascii="Arial Narrow" w:hAnsi="Arial Narrow" w:cs="Arial"/>
                <w:b/>
                <w:bCs/>
                <w:spacing w:val="0"/>
                <w:sz w:val="15"/>
                <w:szCs w:val="15"/>
                <w:lang w:eastAsia="es-CO"/>
              </w:rPr>
            </w:pPr>
            <w:r w:rsidRPr="00366EFC">
              <w:rPr>
                <w:rFonts w:ascii="Arial Narrow" w:hAnsi="Arial Narrow" w:cs="Arial"/>
                <w:b/>
                <w:bCs/>
                <w:spacing w:val="0"/>
                <w:sz w:val="15"/>
                <w:szCs w:val="15"/>
                <w:lang w:val="en-US" w:eastAsia="es-CO"/>
              </w:rPr>
              <w:t>$ 0,32</w:t>
            </w:r>
          </w:p>
        </w:tc>
        <w:tc>
          <w:tcPr>
            <w:tcW w:w="1240" w:type="dxa"/>
            <w:tcBorders>
              <w:top w:val="single" w:sz="4" w:space="0" w:color="auto"/>
              <w:left w:val="nil"/>
              <w:bottom w:val="single" w:sz="4" w:space="0" w:color="auto"/>
              <w:right w:val="nil"/>
            </w:tcBorders>
            <w:shd w:val="clear" w:color="000000" w:fill="FCE4D6"/>
            <w:noWrap/>
            <w:vAlign w:val="center"/>
            <w:hideMark/>
          </w:tcPr>
          <w:p w14:paraId="1C0CCFF9" w14:textId="77777777" w:rsidR="00BE6D69" w:rsidRPr="00366EFC" w:rsidRDefault="00BE6D69" w:rsidP="00BE6D69">
            <w:pPr>
              <w:jc w:val="right"/>
              <w:rPr>
                <w:rFonts w:ascii="Arial Narrow" w:hAnsi="Arial Narrow" w:cs="Arial"/>
                <w:b/>
                <w:bCs/>
                <w:spacing w:val="0"/>
                <w:sz w:val="15"/>
                <w:szCs w:val="15"/>
                <w:lang w:eastAsia="es-CO"/>
              </w:rPr>
            </w:pPr>
            <w:r w:rsidRPr="00366EFC">
              <w:rPr>
                <w:rFonts w:ascii="Arial Narrow" w:hAnsi="Arial Narrow" w:cs="Arial"/>
                <w:b/>
                <w:bCs/>
                <w:spacing w:val="0"/>
                <w:sz w:val="15"/>
                <w:szCs w:val="15"/>
                <w:lang w:val="en-US" w:eastAsia="es-CO"/>
              </w:rPr>
              <w:t>$ 0,32</w:t>
            </w:r>
          </w:p>
        </w:tc>
      </w:tr>
      <w:tr w:rsidR="00366EFC" w:rsidRPr="00366EFC" w14:paraId="7CC3096B" w14:textId="77777777" w:rsidTr="00BE6D69">
        <w:trPr>
          <w:trHeight w:val="390"/>
        </w:trPr>
        <w:tc>
          <w:tcPr>
            <w:tcW w:w="480" w:type="dxa"/>
            <w:tcBorders>
              <w:top w:val="nil"/>
              <w:left w:val="nil"/>
              <w:bottom w:val="nil"/>
              <w:right w:val="nil"/>
            </w:tcBorders>
            <w:shd w:val="clear" w:color="auto" w:fill="auto"/>
            <w:noWrap/>
            <w:vAlign w:val="center"/>
            <w:hideMark/>
          </w:tcPr>
          <w:p w14:paraId="58CE3108" w14:textId="77777777" w:rsidR="00BE6D69" w:rsidRPr="00366EFC" w:rsidRDefault="00BE6D69" w:rsidP="00BE6D69">
            <w:pPr>
              <w:jc w:val="center"/>
              <w:rPr>
                <w:rFonts w:ascii="Arial Narrow" w:hAnsi="Arial Narrow" w:cs="Arial"/>
                <w:spacing w:val="0"/>
                <w:sz w:val="15"/>
                <w:szCs w:val="15"/>
                <w:lang w:eastAsia="es-CO"/>
              </w:rPr>
            </w:pPr>
            <w:r w:rsidRPr="00366EFC">
              <w:rPr>
                <w:rFonts w:ascii="Arial Narrow" w:hAnsi="Arial Narrow" w:cs="Arial"/>
                <w:spacing w:val="0"/>
                <w:sz w:val="15"/>
                <w:szCs w:val="15"/>
                <w:lang w:val="en-US" w:eastAsia="es-CO"/>
              </w:rPr>
              <w:t>44</w:t>
            </w:r>
          </w:p>
        </w:tc>
        <w:tc>
          <w:tcPr>
            <w:tcW w:w="700" w:type="dxa"/>
            <w:tcBorders>
              <w:top w:val="nil"/>
              <w:left w:val="nil"/>
              <w:bottom w:val="nil"/>
              <w:right w:val="nil"/>
            </w:tcBorders>
            <w:shd w:val="clear" w:color="auto" w:fill="auto"/>
            <w:noWrap/>
            <w:vAlign w:val="center"/>
            <w:hideMark/>
          </w:tcPr>
          <w:p w14:paraId="793BEF65" w14:textId="77777777" w:rsidR="00BE6D69" w:rsidRPr="00366EFC" w:rsidRDefault="00BE6D69" w:rsidP="00BE6D69">
            <w:pPr>
              <w:jc w:val="center"/>
              <w:rPr>
                <w:rFonts w:ascii="Arial Narrow" w:hAnsi="Arial Narrow" w:cs="Arial"/>
                <w:b/>
                <w:bCs/>
                <w:spacing w:val="0"/>
                <w:sz w:val="15"/>
                <w:szCs w:val="15"/>
                <w:lang w:eastAsia="es-CO"/>
              </w:rPr>
            </w:pPr>
            <w:r w:rsidRPr="00366EFC">
              <w:rPr>
                <w:rFonts w:ascii="Arial Narrow" w:hAnsi="Arial Narrow" w:cs="Arial"/>
                <w:b/>
                <w:bCs/>
                <w:spacing w:val="0"/>
                <w:sz w:val="15"/>
                <w:szCs w:val="15"/>
                <w:lang w:val="en-US" w:eastAsia="es-CO"/>
              </w:rPr>
              <w:t>BG</w:t>
            </w:r>
          </w:p>
        </w:tc>
        <w:tc>
          <w:tcPr>
            <w:tcW w:w="760" w:type="dxa"/>
            <w:tcBorders>
              <w:top w:val="nil"/>
              <w:left w:val="nil"/>
              <w:bottom w:val="nil"/>
              <w:right w:val="nil"/>
            </w:tcBorders>
            <w:shd w:val="clear" w:color="000000" w:fill="E2EFDA"/>
            <w:noWrap/>
            <w:vAlign w:val="center"/>
            <w:hideMark/>
          </w:tcPr>
          <w:p w14:paraId="0B5C00B0" w14:textId="77777777" w:rsidR="00BE6D69" w:rsidRPr="00366EFC" w:rsidRDefault="00BE6D69" w:rsidP="00BE6D69">
            <w:pPr>
              <w:jc w:val="right"/>
              <w:rPr>
                <w:rFonts w:ascii="Arial Narrow" w:hAnsi="Arial Narrow" w:cs="Arial"/>
                <w:b/>
                <w:bCs/>
                <w:spacing w:val="0"/>
                <w:sz w:val="15"/>
                <w:szCs w:val="15"/>
                <w:lang w:eastAsia="es-CO"/>
              </w:rPr>
            </w:pPr>
            <w:r w:rsidRPr="00366EFC">
              <w:rPr>
                <w:rFonts w:ascii="Arial Narrow" w:hAnsi="Arial Narrow" w:cs="Arial"/>
                <w:b/>
                <w:bCs/>
                <w:spacing w:val="0"/>
                <w:sz w:val="15"/>
                <w:szCs w:val="15"/>
                <w:lang w:val="en-US" w:eastAsia="es-CO"/>
              </w:rPr>
              <w:t>Subtotal</w:t>
            </w:r>
          </w:p>
        </w:tc>
        <w:tc>
          <w:tcPr>
            <w:tcW w:w="2540" w:type="dxa"/>
            <w:tcBorders>
              <w:top w:val="nil"/>
              <w:left w:val="nil"/>
              <w:bottom w:val="nil"/>
              <w:right w:val="nil"/>
            </w:tcBorders>
            <w:shd w:val="clear" w:color="000000" w:fill="FCE4D6"/>
            <w:vAlign w:val="center"/>
            <w:hideMark/>
          </w:tcPr>
          <w:p w14:paraId="63931150" w14:textId="77777777" w:rsidR="00BE6D69" w:rsidRPr="00366EFC" w:rsidRDefault="00BE6D69" w:rsidP="00BE6D69">
            <w:pPr>
              <w:rPr>
                <w:rFonts w:ascii="Arial Narrow" w:hAnsi="Arial Narrow" w:cs="Arial"/>
                <w:b/>
                <w:bCs/>
                <w:spacing w:val="0"/>
                <w:sz w:val="15"/>
                <w:szCs w:val="15"/>
                <w:lang w:eastAsia="es-CO"/>
              </w:rPr>
            </w:pPr>
            <w:r w:rsidRPr="00366EFC">
              <w:rPr>
                <w:rFonts w:ascii="Arial Narrow" w:hAnsi="Arial Narrow" w:cs="Arial"/>
                <w:b/>
                <w:bCs/>
                <w:spacing w:val="0"/>
                <w:sz w:val="15"/>
                <w:szCs w:val="15"/>
                <w:lang w:val="en-US" w:eastAsia="es-CO"/>
              </w:rPr>
              <w:t>BASE GRAVABLE CONTRIBUCIÓN ESPECIAL</w:t>
            </w:r>
          </w:p>
        </w:tc>
        <w:tc>
          <w:tcPr>
            <w:tcW w:w="700" w:type="dxa"/>
            <w:tcBorders>
              <w:top w:val="nil"/>
              <w:left w:val="nil"/>
              <w:bottom w:val="nil"/>
              <w:right w:val="nil"/>
            </w:tcBorders>
            <w:shd w:val="clear" w:color="auto" w:fill="auto"/>
            <w:noWrap/>
            <w:vAlign w:val="center"/>
            <w:hideMark/>
          </w:tcPr>
          <w:p w14:paraId="1C0C1ECE" w14:textId="77777777" w:rsidR="00BE6D69" w:rsidRPr="00366EFC" w:rsidRDefault="00BE6D69" w:rsidP="00BE6D69">
            <w:pPr>
              <w:jc w:val="center"/>
              <w:rPr>
                <w:rFonts w:ascii="Arial Narrow" w:hAnsi="Arial Narrow" w:cs="Arial"/>
                <w:b/>
                <w:bCs/>
                <w:spacing w:val="0"/>
                <w:sz w:val="15"/>
                <w:szCs w:val="15"/>
                <w:lang w:eastAsia="es-CO"/>
              </w:rPr>
            </w:pPr>
            <w:r w:rsidRPr="00366EFC">
              <w:rPr>
                <w:rFonts w:ascii="Arial Narrow" w:hAnsi="Arial Narrow" w:cs="Arial"/>
                <w:b/>
                <w:bCs/>
                <w:spacing w:val="0"/>
                <w:sz w:val="15"/>
                <w:szCs w:val="15"/>
                <w:lang w:val="en-US" w:eastAsia="es-CO"/>
              </w:rPr>
              <w:t>COL$</w:t>
            </w:r>
          </w:p>
        </w:tc>
        <w:tc>
          <w:tcPr>
            <w:tcW w:w="1600" w:type="dxa"/>
            <w:tcBorders>
              <w:top w:val="nil"/>
              <w:left w:val="nil"/>
              <w:bottom w:val="nil"/>
              <w:right w:val="nil"/>
            </w:tcBorders>
            <w:shd w:val="clear" w:color="auto" w:fill="auto"/>
            <w:vAlign w:val="center"/>
            <w:hideMark/>
          </w:tcPr>
          <w:p w14:paraId="1806782A" w14:textId="77777777" w:rsidR="00BE6D69" w:rsidRPr="00366EFC" w:rsidRDefault="00BE6D69" w:rsidP="00BE6D69">
            <w:pPr>
              <w:jc w:val="center"/>
              <w:rPr>
                <w:rFonts w:ascii="Arial Narrow" w:hAnsi="Arial Narrow" w:cs="Arial"/>
                <w:spacing w:val="0"/>
                <w:sz w:val="15"/>
                <w:szCs w:val="15"/>
                <w:lang w:eastAsia="es-CO"/>
              </w:rPr>
            </w:pPr>
            <w:r w:rsidRPr="00366EFC">
              <w:rPr>
                <w:rFonts w:ascii="Arial Narrow" w:hAnsi="Arial Narrow" w:cs="Arial"/>
                <w:spacing w:val="0"/>
                <w:sz w:val="15"/>
                <w:szCs w:val="15"/>
                <w:lang w:eastAsia="es-CO"/>
              </w:rPr>
              <w:t>Suma ITEM</w:t>
            </w:r>
            <w:r w:rsidRPr="00366EFC">
              <w:rPr>
                <w:rFonts w:ascii="Arial Narrow" w:hAnsi="Arial Narrow" w:cs="Arial"/>
                <w:spacing w:val="0"/>
                <w:sz w:val="15"/>
                <w:szCs w:val="15"/>
                <w:lang w:eastAsia="es-CO"/>
              </w:rPr>
              <w:br/>
              <w:t>32 + 43</w:t>
            </w:r>
          </w:p>
        </w:tc>
        <w:tc>
          <w:tcPr>
            <w:tcW w:w="940" w:type="dxa"/>
            <w:tcBorders>
              <w:top w:val="nil"/>
              <w:left w:val="nil"/>
              <w:bottom w:val="nil"/>
              <w:right w:val="nil"/>
            </w:tcBorders>
            <w:shd w:val="clear" w:color="auto" w:fill="auto"/>
            <w:noWrap/>
            <w:vAlign w:val="center"/>
            <w:hideMark/>
          </w:tcPr>
          <w:p w14:paraId="4B3CA6FE" w14:textId="77777777" w:rsidR="00BE6D69" w:rsidRPr="00366EFC" w:rsidRDefault="00BE6D69" w:rsidP="00BE6D69">
            <w:pPr>
              <w:jc w:val="center"/>
              <w:rPr>
                <w:rFonts w:ascii="Arial Narrow" w:hAnsi="Arial Narrow" w:cs="Arial"/>
                <w:spacing w:val="0"/>
                <w:sz w:val="15"/>
                <w:szCs w:val="15"/>
                <w:lang w:eastAsia="es-CO"/>
              </w:rPr>
            </w:pPr>
          </w:p>
        </w:tc>
        <w:tc>
          <w:tcPr>
            <w:tcW w:w="1300" w:type="dxa"/>
            <w:tcBorders>
              <w:top w:val="nil"/>
              <w:left w:val="nil"/>
              <w:bottom w:val="nil"/>
              <w:right w:val="nil"/>
            </w:tcBorders>
            <w:shd w:val="clear" w:color="auto" w:fill="auto"/>
            <w:noWrap/>
            <w:vAlign w:val="center"/>
            <w:hideMark/>
          </w:tcPr>
          <w:p w14:paraId="70DF3FE7" w14:textId="77777777" w:rsidR="00BE6D69" w:rsidRPr="00366EFC" w:rsidRDefault="00BE6D69" w:rsidP="00BE6D69">
            <w:pPr>
              <w:jc w:val="left"/>
              <w:rPr>
                <w:rFonts w:ascii="Times New Roman" w:hAnsi="Times New Roman"/>
                <w:spacing w:val="0"/>
                <w:lang w:eastAsia="es-CO"/>
              </w:rPr>
            </w:pPr>
          </w:p>
        </w:tc>
        <w:tc>
          <w:tcPr>
            <w:tcW w:w="1240" w:type="dxa"/>
            <w:tcBorders>
              <w:top w:val="nil"/>
              <w:left w:val="nil"/>
              <w:bottom w:val="single" w:sz="4" w:space="0" w:color="auto"/>
              <w:right w:val="nil"/>
            </w:tcBorders>
            <w:shd w:val="clear" w:color="000000" w:fill="FCE4D6"/>
            <w:noWrap/>
            <w:vAlign w:val="center"/>
            <w:hideMark/>
          </w:tcPr>
          <w:p w14:paraId="3FA374C2" w14:textId="77777777" w:rsidR="00BE6D69" w:rsidRPr="00366EFC" w:rsidRDefault="00BE6D69" w:rsidP="00BE6D69">
            <w:pPr>
              <w:jc w:val="right"/>
              <w:rPr>
                <w:rFonts w:ascii="Arial Narrow" w:hAnsi="Arial Narrow" w:cs="Arial"/>
                <w:b/>
                <w:bCs/>
                <w:spacing w:val="0"/>
                <w:sz w:val="15"/>
                <w:szCs w:val="15"/>
                <w:lang w:eastAsia="es-CO"/>
              </w:rPr>
            </w:pPr>
            <w:r w:rsidRPr="00366EFC">
              <w:rPr>
                <w:rFonts w:ascii="Arial Narrow" w:hAnsi="Arial Narrow" w:cs="Arial"/>
                <w:b/>
                <w:bCs/>
                <w:spacing w:val="0"/>
                <w:sz w:val="15"/>
                <w:szCs w:val="15"/>
                <w:lang w:val="en-US" w:eastAsia="es-CO"/>
              </w:rPr>
              <w:t>$ 35.000,32</w:t>
            </w:r>
          </w:p>
        </w:tc>
      </w:tr>
      <w:tr w:rsidR="00366EFC" w:rsidRPr="00366EFC" w14:paraId="58A92E66" w14:textId="77777777" w:rsidTr="00BE6D69">
        <w:trPr>
          <w:trHeight w:val="390"/>
        </w:trPr>
        <w:tc>
          <w:tcPr>
            <w:tcW w:w="480" w:type="dxa"/>
            <w:tcBorders>
              <w:top w:val="nil"/>
              <w:left w:val="nil"/>
              <w:bottom w:val="nil"/>
              <w:right w:val="nil"/>
            </w:tcBorders>
            <w:shd w:val="clear" w:color="auto" w:fill="auto"/>
            <w:noWrap/>
            <w:vAlign w:val="center"/>
            <w:hideMark/>
          </w:tcPr>
          <w:p w14:paraId="614D50FE" w14:textId="77777777" w:rsidR="00BE6D69" w:rsidRPr="00366EFC" w:rsidRDefault="00BE6D69" w:rsidP="00BE6D69">
            <w:pPr>
              <w:jc w:val="center"/>
              <w:rPr>
                <w:rFonts w:ascii="Arial Narrow" w:hAnsi="Arial Narrow" w:cs="Arial"/>
                <w:spacing w:val="0"/>
                <w:sz w:val="15"/>
                <w:szCs w:val="15"/>
                <w:lang w:eastAsia="es-CO"/>
              </w:rPr>
            </w:pPr>
            <w:r w:rsidRPr="00366EFC">
              <w:rPr>
                <w:rFonts w:ascii="Arial Narrow" w:hAnsi="Arial Narrow" w:cs="Arial"/>
                <w:spacing w:val="0"/>
                <w:sz w:val="15"/>
                <w:szCs w:val="15"/>
                <w:lang w:val="en-US" w:eastAsia="es-CO"/>
              </w:rPr>
              <w:t>45</w:t>
            </w:r>
          </w:p>
        </w:tc>
        <w:tc>
          <w:tcPr>
            <w:tcW w:w="700" w:type="dxa"/>
            <w:tcBorders>
              <w:top w:val="nil"/>
              <w:left w:val="nil"/>
              <w:bottom w:val="nil"/>
              <w:right w:val="nil"/>
            </w:tcBorders>
            <w:shd w:val="clear" w:color="auto" w:fill="auto"/>
            <w:noWrap/>
            <w:vAlign w:val="center"/>
            <w:hideMark/>
          </w:tcPr>
          <w:p w14:paraId="6E291BAE" w14:textId="77777777" w:rsidR="00BE6D69" w:rsidRPr="00366EFC" w:rsidRDefault="00BE6D69" w:rsidP="00BE6D69">
            <w:pPr>
              <w:jc w:val="center"/>
              <w:rPr>
                <w:rFonts w:ascii="Arial Narrow" w:hAnsi="Arial Narrow" w:cs="Arial"/>
                <w:spacing w:val="0"/>
                <w:sz w:val="15"/>
                <w:szCs w:val="15"/>
                <w:lang w:eastAsia="es-CO"/>
              </w:rPr>
            </w:pPr>
            <w:r w:rsidRPr="00366EFC">
              <w:rPr>
                <w:rFonts w:ascii="Arial Narrow" w:hAnsi="Arial Narrow" w:cs="Arial"/>
                <w:spacing w:val="0"/>
                <w:sz w:val="15"/>
                <w:szCs w:val="15"/>
                <w:lang w:val="en-US" w:eastAsia="es-CO"/>
              </w:rPr>
              <w:t>TCE</w:t>
            </w:r>
          </w:p>
        </w:tc>
        <w:tc>
          <w:tcPr>
            <w:tcW w:w="760" w:type="dxa"/>
            <w:tcBorders>
              <w:top w:val="nil"/>
              <w:left w:val="nil"/>
              <w:bottom w:val="nil"/>
              <w:right w:val="nil"/>
            </w:tcBorders>
            <w:shd w:val="clear" w:color="000000" w:fill="E2EFDA"/>
            <w:noWrap/>
            <w:vAlign w:val="center"/>
            <w:hideMark/>
          </w:tcPr>
          <w:p w14:paraId="3A17C245" w14:textId="77777777" w:rsidR="00BE6D69" w:rsidRPr="00366EFC" w:rsidRDefault="00BE6D69" w:rsidP="00BE6D69">
            <w:pPr>
              <w:jc w:val="right"/>
              <w:rPr>
                <w:rFonts w:ascii="Arial Narrow" w:hAnsi="Arial Narrow" w:cs="Arial"/>
                <w:b/>
                <w:bCs/>
                <w:spacing w:val="0"/>
                <w:sz w:val="15"/>
                <w:szCs w:val="15"/>
                <w:lang w:eastAsia="es-CO"/>
              </w:rPr>
            </w:pPr>
            <w:r w:rsidRPr="00366EFC">
              <w:rPr>
                <w:rFonts w:ascii="Arial Narrow" w:hAnsi="Arial Narrow" w:cs="Arial"/>
                <w:b/>
                <w:bCs/>
                <w:spacing w:val="0"/>
                <w:sz w:val="15"/>
                <w:szCs w:val="15"/>
                <w:lang w:val="en-US" w:eastAsia="es-CO"/>
              </w:rPr>
              <w:t>Por</w:t>
            </w:r>
          </w:p>
        </w:tc>
        <w:tc>
          <w:tcPr>
            <w:tcW w:w="2540" w:type="dxa"/>
            <w:tcBorders>
              <w:top w:val="nil"/>
              <w:left w:val="nil"/>
              <w:bottom w:val="nil"/>
              <w:right w:val="nil"/>
            </w:tcBorders>
            <w:shd w:val="clear" w:color="auto" w:fill="auto"/>
            <w:vAlign w:val="center"/>
            <w:hideMark/>
          </w:tcPr>
          <w:p w14:paraId="3C84A5D0" w14:textId="77777777" w:rsidR="00BE6D69" w:rsidRPr="00366EFC" w:rsidRDefault="00BE6D69" w:rsidP="00BE6D69">
            <w:pPr>
              <w:rPr>
                <w:rFonts w:ascii="Arial Narrow" w:hAnsi="Arial Narrow" w:cs="Arial"/>
                <w:spacing w:val="0"/>
                <w:sz w:val="15"/>
                <w:szCs w:val="15"/>
                <w:lang w:eastAsia="es-CO"/>
              </w:rPr>
            </w:pPr>
            <w:r w:rsidRPr="00366EFC">
              <w:rPr>
                <w:rFonts w:ascii="Arial Narrow" w:hAnsi="Arial Narrow" w:cs="Calibri"/>
                <w:spacing w:val="0"/>
                <w:sz w:val="15"/>
                <w:szCs w:val="15"/>
                <w:lang w:eastAsia="es-CO"/>
              </w:rPr>
              <w:t>Tarifa contribución especial (Art. 85 Ley 142 de 1994)</w:t>
            </w:r>
          </w:p>
        </w:tc>
        <w:tc>
          <w:tcPr>
            <w:tcW w:w="700" w:type="dxa"/>
            <w:tcBorders>
              <w:top w:val="nil"/>
              <w:left w:val="nil"/>
              <w:bottom w:val="nil"/>
              <w:right w:val="nil"/>
            </w:tcBorders>
            <w:shd w:val="clear" w:color="auto" w:fill="auto"/>
            <w:noWrap/>
            <w:vAlign w:val="center"/>
            <w:hideMark/>
          </w:tcPr>
          <w:p w14:paraId="47D9E0BF" w14:textId="77777777" w:rsidR="00BE6D69" w:rsidRPr="00366EFC" w:rsidRDefault="00BE6D69" w:rsidP="00BE6D69">
            <w:pPr>
              <w:jc w:val="center"/>
              <w:rPr>
                <w:rFonts w:ascii="Arial Narrow" w:hAnsi="Arial Narrow" w:cs="Arial"/>
                <w:b/>
                <w:bCs/>
                <w:spacing w:val="0"/>
                <w:sz w:val="15"/>
                <w:szCs w:val="15"/>
                <w:lang w:eastAsia="es-CO"/>
              </w:rPr>
            </w:pPr>
            <w:r w:rsidRPr="00366EFC">
              <w:rPr>
                <w:rFonts w:ascii="Arial Narrow" w:hAnsi="Arial Narrow" w:cs="Arial"/>
                <w:b/>
                <w:bCs/>
                <w:spacing w:val="0"/>
                <w:sz w:val="15"/>
                <w:szCs w:val="15"/>
                <w:lang w:val="en-US" w:eastAsia="es-CO"/>
              </w:rPr>
              <w:t>%</w:t>
            </w:r>
          </w:p>
        </w:tc>
        <w:tc>
          <w:tcPr>
            <w:tcW w:w="1600" w:type="dxa"/>
            <w:tcBorders>
              <w:top w:val="nil"/>
              <w:left w:val="nil"/>
              <w:bottom w:val="nil"/>
              <w:right w:val="nil"/>
            </w:tcBorders>
            <w:shd w:val="clear" w:color="auto" w:fill="auto"/>
            <w:vAlign w:val="center"/>
            <w:hideMark/>
          </w:tcPr>
          <w:p w14:paraId="0C8FE478" w14:textId="77777777" w:rsidR="00BE6D69" w:rsidRPr="00366EFC" w:rsidRDefault="00BE6D69" w:rsidP="00BE6D69">
            <w:pPr>
              <w:jc w:val="center"/>
              <w:rPr>
                <w:rFonts w:ascii="Arial Narrow" w:hAnsi="Arial Narrow" w:cs="Arial"/>
                <w:b/>
                <w:bCs/>
                <w:spacing w:val="0"/>
                <w:sz w:val="15"/>
                <w:szCs w:val="15"/>
                <w:lang w:eastAsia="es-CO"/>
              </w:rPr>
            </w:pPr>
          </w:p>
        </w:tc>
        <w:tc>
          <w:tcPr>
            <w:tcW w:w="940" w:type="dxa"/>
            <w:tcBorders>
              <w:top w:val="nil"/>
              <w:left w:val="nil"/>
              <w:bottom w:val="nil"/>
              <w:right w:val="nil"/>
            </w:tcBorders>
            <w:shd w:val="clear" w:color="auto" w:fill="auto"/>
            <w:noWrap/>
            <w:vAlign w:val="center"/>
            <w:hideMark/>
          </w:tcPr>
          <w:p w14:paraId="073C8459" w14:textId="77777777" w:rsidR="00BE6D69" w:rsidRPr="00366EFC" w:rsidRDefault="00BE6D69" w:rsidP="00BE6D69">
            <w:pPr>
              <w:jc w:val="center"/>
              <w:rPr>
                <w:rFonts w:ascii="Times New Roman" w:hAnsi="Times New Roman"/>
                <w:spacing w:val="0"/>
                <w:lang w:eastAsia="es-CO"/>
              </w:rPr>
            </w:pPr>
          </w:p>
        </w:tc>
        <w:tc>
          <w:tcPr>
            <w:tcW w:w="1300" w:type="dxa"/>
            <w:tcBorders>
              <w:top w:val="nil"/>
              <w:left w:val="nil"/>
              <w:bottom w:val="nil"/>
              <w:right w:val="nil"/>
            </w:tcBorders>
            <w:shd w:val="clear" w:color="auto" w:fill="auto"/>
            <w:noWrap/>
            <w:vAlign w:val="center"/>
            <w:hideMark/>
          </w:tcPr>
          <w:p w14:paraId="37ADF903" w14:textId="77777777" w:rsidR="00BE6D69" w:rsidRPr="00366EFC" w:rsidRDefault="00BE6D69" w:rsidP="00BE6D69">
            <w:pPr>
              <w:jc w:val="left"/>
              <w:rPr>
                <w:rFonts w:ascii="Times New Roman" w:hAnsi="Times New Roman"/>
                <w:spacing w:val="0"/>
                <w:lang w:eastAsia="es-CO"/>
              </w:rPr>
            </w:pPr>
          </w:p>
        </w:tc>
        <w:tc>
          <w:tcPr>
            <w:tcW w:w="1240" w:type="dxa"/>
            <w:tcBorders>
              <w:top w:val="nil"/>
              <w:left w:val="nil"/>
              <w:bottom w:val="nil"/>
              <w:right w:val="nil"/>
            </w:tcBorders>
            <w:shd w:val="clear" w:color="auto" w:fill="auto"/>
            <w:noWrap/>
            <w:vAlign w:val="center"/>
            <w:hideMark/>
          </w:tcPr>
          <w:p w14:paraId="2836C826" w14:textId="77777777" w:rsidR="00BE6D69" w:rsidRPr="00366EFC" w:rsidRDefault="00BE6D69" w:rsidP="00BE6D69">
            <w:pPr>
              <w:jc w:val="right"/>
              <w:rPr>
                <w:rFonts w:ascii="Arial Narrow" w:hAnsi="Arial Narrow" w:cs="Arial"/>
                <w:spacing w:val="0"/>
                <w:sz w:val="15"/>
                <w:szCs w:val="15"/>
                <w:lang w:eastAsia="es-CO"/>
              </w:rPr>
            </w:pPr>
            <w:r w:rsidRPr="00366EFC">
              <w:rPr>
                <w:rFonts w:ascii="Arial Narrow" w:hAnsi="Arial Narrow" w:cs="Arial"/>
                <w:spacing w:val="0"/>
                <w:sz w:val="15"/>
                <w:szCs w:val="15"/>
                <w:lang w:val="en-US" w:eastAsia="es-CO"/>
              </w:rPr>
              <w:t>1,00%</w:t>
            </w:r>
          </w:p>
        </w:tc>
      </w:tr>
      <w:tr w:rsidR="00366EFC" w:rsidRPr="00366EFC" w14:paraId="01212F2A" w14:textId="77777777" w:rsidTr="00BE6D69">
        <w:trPr>
          <w:trHeight w:val="390"/>
        </w:trPr>
        <w:tc>
          <w:tcPr>
            <w:tcW w:w="480" w:type="dxa"/>
            <w:tcBorders>
              <w:top w:val="nil"/>
              <w:left w:val="nil"/>
              <w:bottom w:val="nil"/>
              <w:right w:val="nil"/>
            </w:tcBorders>
            <w:shd w:val="clear" w:color="auto" w:fill="auto"/>
            <w:noWrap/>
            <w:vAlign w:val="center"/>
            <w:hideMark/>
          </w:tcPr>
          <w:p w14:paraId="6D65DBAA" w14:textId="77777777" w:rsidR="00BE6D69" w:rsidRPr="00366EFC" w:rsidRDefault="00BE6D69" w:rsidP="00BE6D69">
            <w:pPr>
              <w:jc w:val="center"/>
              <w:rPr>
                <w:rFonts w:ascii="Arial Narrow" w:hAnsi="Arial Narrow" w:cs="Arial"/>
                <w:spacing w:val="0"/>
                <w:sz w:val="15"/>
                <w:szCs w:val="15"/>
                <w:lang w:eastAsia="es-CO"/>
              </w:rPr>
            </w:pPr>
            <w:r w:rsidRPr="00366EFC">
              <w:rPr>
                <w:rFonts w:ascii="Arial Narrow" w:hAnsi="Arial Narrow" w:cs="Arial"/>
                <w:spacing w:val="0"/>
                <w:sz w:val="15"/>
                <w:szCs w:val="15"/>
                <w:lang w:val="en-US" w:eastAsia="es-CO"/>
              </w:rPr>
              <w:t>46</w:t>
            </w:r>
          </w:p>
        </w:tc>
        <w:tc>
          <w:tcPr>
            <w:tcW w:w="700" w:type="dxa"/>
            <w:tcBorders>
              <w:top w:val="nil"/>
              <w:left w:val="nil"/>
              <w:bottom w:val="nil"/>
              <w:right w:val="nil"/>
            </w:tcBorders>
            <w:shd w:val="clear" w:color="auto" w:fill="auto"/>
            <w:noWrap/>
            <w:vAlign w:val="center"/>
            <w:hideMark/>
          </w:tcPr>
          <w:p w14:paraId="77A8F613" w14:textId="77777777" w:rsidR="00BE6D69" w:rsidRPr="00366EFC" w:rsidRDefault="00BE6D69" w:rsidP="00BE6D69">
            <w:pPr>
              <w:jc w:val="center"/>
              <w:rPr>
                <w:rFonts w:ascii="Arial Narrow" w:hAnsi="Arial Narrow" w:cs="Arial"/>
                <w:b/>
                <w:bCs/>
                <w:spacing w:val="0"/>
                <w:sz w:val="15"/>
                <w:szCs w:val="15"/>
                <w:lang w:eastAsia="es-CO"/>
              </w:rPr>
            </w:pPr>
            <w:r w:rsidRPr="00366EFC">
              <w:rPr>
                <w:rFonts w:ascii="Arial Narrow" w:hAnsi="Arial Narrow" w:cs="Arial"/>
                <w:b/>
                <w:bCs/>
                <w:spacing w:val="0"/>
                <w:sz w:val="15"/>
                <w:szCs w:val="15"/>
                <w:lang w:val="en-US" w:eastAsia="es-CO"/>
              </w:rPr>
              <w:t>CBL</w:t>
            </w:r>
          </w:p>
        </w:tc>
        <w:tc>
          <w:tcPr>
            <w:tcW w:w="760" w:type="dxa"/>
            <w:tcBorders>
              <w:top w:val="nil"/>
              <w:left w:val="nil"/>
              <w:bottom w:val="nil"/>
              <w:right w:val="nil"/>
            </w:tcBorders>
            <w:shd w:val="clear" w:color="000000" w:fill="E2EFDA"/>
            <w:noWrap/>
            <w:vAlign w:val="center"/>
            <w:hideMark/>
          </w:tcPr>
          <w:p w14:paraId="27F537B5" w14:textId="77777777" w:rsidR="00BE6D69" w:rsidRPr="00366EFC" w:rsidRDefault="00BE6D69" w:rsidP="00BE6D69">
            <w:pPr>
              <w:jc w:val="right"/>
              <w:rPr>
                <w:rFonts w:ascii="Arial Narrow" w:hAnsi="Arial Narrow" w:cs="Arial"/>
                <w:b/>
                <w:bCs/>
                <w:spacing w:val="0"/>
                <w:sz w:val="15"/>
                <w:szCs w:val="15"/>
                <w:lang w:eastAsia="es-CO"/>
              </w:rPr>
            </w:pPr>
            <w:r w:rsidRPr="00366EFC">
              <w:rPr>
                <w:rFonts w:ascii="Arial Narrow" w:hAnsi="Arial Narrow" w:cs="Arial"/>
                <w:b/>
                <w:bCs/>
                <w:spacing w:val="0"/>
                <w:sz w:val="15"/>
                <w:szCs w:val="15"/>
                <w:lang w:val="en-US" w:eastAsia="es-CO"/>
              </w:rPr>
              <w:t>Subtotal</w:t>
            </w:r>
          </w:p>
        </w:tc>
        <w:tc>
          <w:tcPr>
            <w:tcW w:w="2540" w:type="dxa"/>
            <w:tcBorders>
              <w:top w:val="nil"/>
              <w:left w:val="nil"/>
              <w:bottom w:val="nil"/>
              <w:right w:val="nil"/>
            </w:tcBorders>
            <w:shd w:val="clear" w:color="000000" w:fill="FCE4D6"/>
            <w:vAlign w:val="center"/>
            <w:hideMark/>
          </w:tcPr>
          <w:p w14:paraId="0566D786" w14:textId="77777777" w:rsidR="00BE6D69" w:rsidRPr="00366EFC" w:rsidRDefault="00BE6D69" w:rsidP="00BE6D69">
            <w:pPr>
              <w:rPr>
                <w:rFonts w:ascii="Arial Narrow" w:hAnsi="Arial Narrow" w:cs="Arial"/>
                <w:b/>
                <w:bCs/>
                <w:spacing w:val="0"/>
                <w:sz w:val="15"/>
                <w:szCs w:val="15"/>
                <w:lang w:eastAsia="es-CO"/>
              </w:rPr>
            </w:pPr>
            <w:r w:rsidRPr="00366EFC">
              <w:rPr>
                <w:rFonts w:ascii="Arial Narrow" w:hAnsi="Arial Narrow" w:cs="Arial"/>
                <w:b/>
                <w:bCs/>
                <w:spacing w:val="0"/>
                <w:sz w:val="15"/>
                <w:szCs w:val="15"/>
                <w:lang w:val="en-US" w:eastAsia="es-CO"/>
              </w:rPr>
              <w:t>CONTRIBUCIÓN ESPECIAL BRUTA LIQUIDADA</w:t>
            </w:r>
          </w:p>
        </w:tc>
        <w:tc>
          <w:tcPr>
            <w:tcW w:w="700" w:type="dxa"/>
            <w:tcBorders>
              <w:top w:val="nil"/>
              <w:left w:val="nil"/>
              <w:bottom w:val="nil"/>
              <w:right w:val="nil"/>
            </w:tcBorders>
            <w:shd w:val="clear" w:color="auto" w:fill="auto"/>
            <w:noWrap/>
            <w:vAlign w:val="center"/>
            <w:hideMark/>
          </w:tcPr>
          <w:p w14:paraId="5566EF11" w14:textId="77777777" w:rsidR="00BE6D69" w:rsidRPr="00366EFC" w:rsidRDefault="00BE6D69" w:rsidP="00BE6D69">
            <w:pPr>
              <w:jc w:val="center"/>
              <w:rPr>
                <w:rFonts w:ascii="Arial Narrow" w:hAnsi="Arial Narrow" w:cs="Arial"/>
                <w:b/>
                <w:bCs/>
                <w:spacing w:val="0"/>
                <w:sz w:val="15"/>
                <w:szCs w:val="15"/>
                <w:lang w:eastAsia="es-CO"/>
              </w:rPr>
            </w:pPr>
            <w:r w:rsidRPr="00366EFC">
              <w:rPr>
                <w:rFonts w:ascii="Arial Narrow" w:hAnsi="Arial Narrow" w:cs="Arial"/>
                <w:b/>
                <w:bCs/>
                <w:spacing w:val="0"/>
                <w:sz w:val="15"/>
                <w:szCs w:val="15"/>
                <w:lang w:val="en-US" w:eastAsia="es-CO"/>
              </w:rPr>
              <w:t>COL$</w:t>
            </w:r>
          </w:p>
        </w:tc>
        <w:tc>
          <w:tcPr>
            <w:tcW w:w="1600" w:type="dxa"/>
            <w:tcBorders>
              <w:top w:val="nil"/>
              <w:left w:val="nil"/>
              <w:bottom w:val="nil"/>
              <w:right w:val="nil"/>
            </w:tcBorders>
            <w:shd w:val="clear" w:color="auto" w:fill="auto"/>
            <w:vAlign w:val="center"/>
            <w:hideMark/>
          </w:tcPr>
          <w:p w14:paraId="68EE52A3" w14:textId="77777777" w:rsidR="00BE6D69" w:rsidRPr="00366EFC" w:rsidRDefault="00BE6D69" w:rsidP="00BE6D69">
            <w:pPr>
              <w:jc w:val="center"/>
              <w:rPr>
                <w:rFonts w:ascii="Arial Narrow" w:hAnsi="Arial Narrow" w:cs="Arial"/>
                <w:spacing w:val="0"/>
                <w:sz w:val="15"/>
                <w:szCs w:val="15"/>
                <w:lang w:eastAsia="es-CO"/>
              </w:rPr>
            </w:pPr>
            <w:r w:rsidRPr="00366EFC">
              <w:rPr>
                <w:rFonts w:ascii="Arial Narrow" w:hAnsi="Arial Narrow" w:cs="Arial"/>
                <w:spacing w:val="0"/>
                <w:sz w:val="15"/>
                <w:szCs w:val="15"/>
                <w:lang w:eastAsia="es-CO"/>
              </w:rPr>
              <w:t xml:space="preserve">Multiplica CASILLAS </w:t>
            </w:r>
            <w:r w:rsidRPr="00366EFC">
              <w:rPr>
                <w:rFonts w:ascii="Arial Narrow" w:hAnsi="Arial Narrow" w:cs="Arial"/>
                <w:spacing w:val="0"/>
                <w:sz w:val="15"/>
                <w:szCs w:val="15"/>
                <w:lang w:eastAsia="es-CO"/>
              </w:rPr>
              <w:br/>
              <w:t>BG por TCE</w:t>
            </w:r>
          </w:p>
        </w:tc>
        <w:tc>
          <w:tcPr>
            <w:tcW w:w="940" w:type="dxa"/>
            <w:tcBorders>
              <w:top w:val="nil"/>
              <w:left w:val="nil"/>
              <w:bottom w:val="nil"/>
              <w:right w:val="nil"/>
            </w:tcBorders>
            <w:shd w:val="clear" w:color="auto" w:fill="auto"/>
            <w:noWrap/>
            <w:vAlign w:val="center"/>
            <w:hideMark/>
          </w:tcPr>
          <w:p w14:paraId="19E533E6" w14:textId="77777777" w:rsidR="00BE6D69" w:rsidRPr="00366EFC" w:rsidRDefault="00BE6D69" w:rsidP="00BE6D69">
            <w:pPr>
              <w:jc w:val="center"/>
              <w:rPr>
                <w:rFonts w:ascii="Arial Narrow" w:hAnsi="Arial Narrow" w:cs="Arial"/>
                <w:spacing w:val="0"/>
                <w:sz w:val="15"/>
                <w:szCs w:val="15"/>
                <w:lang w:eastAsia="es-CO"/>
              </w:rPr>
            </w:pPr>
          </w:p>
        </w:tc>
        <w:tc>
          <w:tcPr>
            <w:tcW w:w="1300" w:type="dxa"/>
            <w:tcBorders>
              <w:top w:val="nil"/>
              <w:left w:val="nil"/>
              <w:bottom w:val="nil"/>
              <w:right w:val="nil"/>
            </w:tcBorders>
            <w:shd w:val="clear" w:color="auto" w:fill="auto"/>
            <w:noWrap/>
            <w:vAlign w:val="center"/>
            <w:hideMark/>
          </w:tcPr>
          <w:p w14:paraId="0904BBA0" w14:textId="77777777" w:rsidR="00BE6D69" w:rsidRPr="00366EFC" w:rsidRDefault="00BE6D69" w:rsidP="00BE6D69">
            <w:pPr>
              <w:jc w:val="left"/>
              <w:rPr>
                <w:rFonts w:ascii="Times New Roman" w:hAnsi="Times New Roman"/>
                <w:spacing w:val="0"/>
                <w:lang w:eastAsia="es-CO"/>
              </w:rPr>
            </w:pPr>
          </w:p>
        </w:tc>
        <w:tc>
          <w:tcPr>
            <w:tcW w:w="1240" w:type="dxa"/>
            <w:tcBorders>
              <w:top w:val="single" w:sz="4" w:space="0" w:color="auto"/>
              <w:left w:val="nil"/>
              <w:bottom w:val="single" w:sz="4" w:space="0" w:color="auto"/>
              <w:right w:val="nil"/>
            </w:tcBorders>
            <w:shd w:val="clear" w:color="000000" w:fill="FCE4D6"/>
            <w:noWrap/>
            <w:vAlign w:val="center"/>
            <w:hideMark/>
          </w:tcPr>
          <w:p w14:paraId="159E9E07" w14:textId="77777777" w:rsidR="00BE6D69" w:rsidRPr="00366EFC" w:rsidRDefault="00BE6D69" w:rsidP="00BE6D69">
            <w:pPr>
              <w:jc w:val="right"/>
              <w:rPr>
                <w:rFonts w:ascii="Arial Narrow" w:hAnsi="Arial Narrow" w:cs="Arial"/>
                <w:b/>
                <w:bCs/>
                <w:spacing w:val="0"/>
                <w:sz w:val="15"/>
                <w:szCs w:val="15"/>
                <w:lang w:eastAsia="es-CO"/>
              </w:rPr>
            </w:pPr>
            <w:r w:rsidRPr="00366EFC">
              <w:rPr>
                <w:rFonts w:ascii="Arial Narrow" w:hAnsi="Arial Narrow" w:cs="Arial"/>
                <w:b/>
                <w:bCs/>
                <w:spacing w:val="0"/>
                <w:sz w:val="15"/>
                <w:szCs w:val="15"/>
                <w:lang w:val="en-US" w:eastAsia="es-CO"/>
              </w:rPr>
              <w:t>$ 350,00</w:t>
            </w:r>
          </w:p>
        </w:tc>
      </w:tr>
      <w:tr w:rsidR="00366EFC" w:rsidRPr="00366EFC" w14:paraId="1140BFB9" w14:textId="77777777" w:rsidTr="00BE6D69">
        <w:trPr>
          <w:trHeight w:val="480"/>
        </w:trPr>
        <w:tc>
          <w:tcPr>
            <w:tcW w:w="480" w:type="dxa"/>
            <w:tcBorders>
              <w:top w:val="nil"/>
              <w:left w:val="nil"/>
              <w:bottom w:val="nil"/>
              <w:right w:val="nil"/>
            </w:tcBorders>
            <w:shd w:val="clear" w:color="auto" w:fill="auto"/>
            <w:noWrap/>
            <w:vAlign w:val="center"/>
            <w:hideMark/>
          </w:tcPr>
          <w:p w14:paraId="711B0FB5" w14:textId="77777777" w:rsidR="00BE6D69" w:rsidRPr="00366EFC" w:rsidRDefault="00BE6D69" w:rsidP="00BE6D69">
            <w:pPr>
              <w:jc w:val="center"/>
              <w:rPr>
                <w:rFonts w:ascii="Arial Narrow" w:hAnsi="Arial Narrow" w:cs="Arial"/>
                <w:spacing w:val="0"/>
                <w:sz w:val="15"/>
                <w:szCs w:val="15"/>
                <w:lang w:eastAsia="es-CO"/>
              </w:rPr>
            </w:pPr>
            <w:r w:rsidRPr="00366EFC">
              <w:rPr>
                <w:rFonts w:ascii="Arial Narrow" w:hAnsi="Arial Narrow" w:cs="Arial"/>
                <w:spacing w:val="0"/>
                <w:sz w:val="15"/>
                <w:szCs w:val="15"/>
                <w:lang w:val="en-US" w:eastAsia="es-CO"/>
              </w:rPr>
              <w:t>47</w:t>
            </w:r>
          </w:p>
        </w:tc>
        <w:tc>
          <w:tcPr>
            <w:tcW w:w="700" w:type="dxa"/>
            <w:tcBorders>
              <w:top w:val="nil"/>
              <w:left w:val="nil"/>
              <w:bottom w:val="nil"/>
              <w:right w:val="nil"/>
            </w:tcBorders>
            <w:shd w:val="clear" w:color="auto" w:fill="auto"/>
            <w:noWrap/>
            <w:vAlign w:val="center"/>
            <w:hideMark/>
          </w:tcPr>
          <w:p w14:paraId="36368E76" w14:textId="77777777" w:rsidR="00BE6D69" w:rsidRPr="00366EFC" w:rsidRDefault="00BE6D69" w:rsidP="00BE6D69">
            <w:pPr>
              <w:jc w:val="center"/>
              <w:rPr>
                <w:rFonts w:ascii="Arial Narrow" w:hAnsi="Arial Narrow" w:cs="Arial"/>
                <w:b/>
                <w:bCs/>
                <w:spacing w:val="0"/>
                <w:sz w:val="15"/>
                <w:szCs w:val="15"/>
                <w:lang w:eastAsia="es-CO"/>
              </w:rPr>
            </w:pPr>
            <w:r w:rsidRPr="00366EFC">
              <w:rPr>
                <w:rFonts w:ascii="Arial Narrow" w:hAnsi="Arial Narrow" w:cs="Arial"/>
                <w:b/>
                <w:bCs/>
                <w:spacing w:val="0"/>
                <w:sz w:val="15"/>
                <w:szCs w:val="15"/>
                <w:lang w:val="en-US" w:eastAsia="es-CO"/>
              </w:rPr>
              <w:t>CM</w:t>
            </w:r>
          </w:p>
        </w:tc>
        <w:tc>
          <w:tcPr>
            <w:tcW w:w="760" w:type="dxa"/>
            <w:tcBorders>
              <w:top w:val="nil"/>
              <w:left w:val="nil"/>
              <w:bottom w:val="nil"/>
              <w:right w:val="nil"/>
            </w:tcBorders>
            <w:shd w:val="clear" w:color="000000" w:fill="E2EFDA"/>
            <w:noWrap/>
            <w:vAlign w:val="center"/>
            <w:hideMark/>
          </w:tcPr>
          <w:p w14:paraId="6604260C" w14:textId="77777777" w:rsidR="00BE6D69" w:rsidRPr="00366EFC" w:rsidRDefault="00BE6D69" w:rsidP="00BE6D69">
            <w:pPr>
              <w:jc w:val="right"/>
              <w:rPr>
                <w:rFonts w:ascii="Arial Narrow" w:hAnsi="Arial Narrow" w:cs="Arial"/>
                <w:b/>
                <w:bCs/>
                <w:spacing w:val="0"/>
                <w:sz w:val="15"/>
                <w:szCs w:val="15"/>
                <w:lang w:eastAsia="es-CO"/>
              </w:rPr>
            </w:pPr>
            <w:r w:rsidRPr="00366EFC">
              <w:rPr>
                <w:rFonts w:ascii="Arial Narrow" w:hAnsi="Arial Narrow" w:cs="Arial"/>
                <w:b/>
                <w:bCs/>
                <w:spacing w:val="0"/>
                <w:sz w:val="15"/>
                <w:szCs w:val="15"/>
                <w:lang w:val="en-US" w:eastAsia="es-CO"/>
              </w:rPr>
              <w:t>Más</w:t>
            </w:r>
          </w:p>
        </w:tc>
        <w:tc>
          <w:tcPr>
            <w:tcW w:w="2540" w:type="dxa"/>
            <w:tcBorders>
              <w:top w:val="nil"/>
              <w:left w:val="nil"/>
              <w:bottom w:val="nil"/>
              <w:right w:val="nil"/>
            </w:tcBorders>
            <w:shd w:val="clear" w:color="000000" w:fill="FFFFFF"/>
            <w:vAlign w:val="center"/>
            <w:hideMark/>
          </w:tcPr>
          <w:p w14:paraId="48348AC0" w14:textId="77777777" w:rsidR="00BE6D69" w:rsidRPr="00366EFC" w:rsidRDefault="00BE6D69" w:rsidP="00BE6D69">
            <w:pPr>
              <w:rPr>
                <w:rFonts w:ascii="Arial Narrow" w:hAnsi="Arial Narrow" w:cs="Arial"/>
                <w:spacing w:val="0"/>
                <w:sz w:val="15"/>
                <w:szCs w:val="15"/>
                <w:lang w:eastAsia="es-CO"/>
              </w:rPr>
            </w:pPr>
            <w:r w:rsidRPr="00366EFC">
              <w:rPr>
                <w:rFonts w:ascii="Arial Narrow" w:hAnsi="Arial Narrow" w:cs="Arial"/>
                <w:spacing w:val="0"/>
                <w:sz w:val="15"/>
                <w:szCs w:val="15"/>
                <w:lang w:eastAsia="es-CO"/>
              </w:rPr>
              <w:t>Cuantía mínima proporcional (adición variable)</w:t>
            </w:r>
          </w:p>
        </w:tc>
        <w:tc>
          <w:tcPr>
            <w:tcW w:w="700" w:type="dxa"/>
            <w:tcBorders>
              <w:top w:val="nil"/>
              <w:left w:val="nil"/>
              <w:bottom w:val="nil"/>
              <w:right w:val="nil"/>
            </w:tcBorders>
            <w:shd w:val="clear" w:color="auto" w:fill="auto"/>
            <w:noWrap/>
            <w:vAlign w:val="center"/>
            <w:hideMark/>
          </w:tcPr>
          <w:p w14:paraId="22BBD346" w14:textId="77777777" w:rsidR="00BE6D69" w:rsidRPr="00366EFC" w:rsidRDefault="00BE6D69" w:rsidP="00BE6D69">
            <w:pPr>
              <w:jc w:val="center"/>
              <w:rPr>
                <w:rFonts w:ascii="Arial Narrow" w:hAnsi="Arial Narrow" w:cs="Arial"/>
                <w:b/>
                <w:bCs/>
                <w:spacing w:val="0"/>
                <w:sz w:val="15"/>
                <w:szCs w:val="15"/>
                <w:lang w:eastAsia="es-CO"/>
              </w:rPr>
            </w:pPr>
            <w:r w:rsidRPr="00366EFC">
              <w:rPr>
                <w:rFonts w:ascii="Arial Narrow" w:hAnsi="Arial Narrow" w:cs="Arial"/>
                <w:b/>
                <w:bCs/>
                <w:spacing w:val="0"/>
                <w:sz w:val="15"/>
                <w:szCs w:val="15"/>
                <w:lang w:val="en-US" w:eastAsia="es-CO"/>
              </w:rPr>
              <w:t>COL$</w:t>
            </w:r>
          </w:p>
        </w:tc>
        <w:tc>
          <w:tcPr>
            <w:tcW w:w="1600" w:type="dxa"/>
            <w:tcBorders>
              <w:top w:val="nil"/>
              <w:left w:val="nil"/>
              <w:bottom w:val="nil"/>
              <w:right w:val="nil"/>
            </w:tcBorders>
            <w:shd w:val="clear" w:color="auto" w:fill="auto"/>
            <w:vAlign w:val="center"/>
            <w:hideMark/>
          </w:tcPr>
          <w:p w14:paraId="1AA4F102" w14:textId="77777777" w:rsidR="00BE6D69" w:rsidRPr="00366EFC" w:rsidRDefault="00BE6D69" w:rsidP="00BE6D69">
            <w:pPr>
              <w:jc w:val="center"/>
              <w:rPr>
                <w:rFonts w:ascii="Arial Narrow" w:hAnsi="Arial Narrow" w:cs="Arial"/>
                <w:spacing w:val="0"/>
                <w:sz w:val="15"/>
                <w:szCs w:val="15"/>
                <w:lang w:eastAsia="es-CO"/>
              </w:rPr>
            </w:pPr>
            <w:r w:rsidRPr="00366EFC">
              <w:rPr>
                <w:rFonts w:ascii="Arial Narrow" w:hAnsi="Arial Narrow" w:cs="Arial"/>
                <w:spacing w:val="0"/>
                <w:sz w:val="15"/>
                <w:szCs w:val="15"/>
                <w:lang w:eastAsia="es-CO"/>
              </w:rPr>
              <w:t>Resolución CREG</w:t>
            </w:r>
            <w:r w:rsidRPr="00366EFC">
              <w:rPr>
                <w:rFonts w:ascii="Arial Narrow" w:hAnsi="Arial Narrow" w:cs="Arial"/>
                <w:spacing w:val="0"/>
                <w:sz w:val="15"/>
                <w:szCs w:val="15"/>
                <w:lang w:eastAsia="es-CO"/>
              </w:rPr>
              <w:br/>
              <w:t>Contribución Especial 2023</w:t>
            </w:r>
          </w:p>
        </w:tc>
        <w:tc>
          <w:tcPr>
            <w:tcW w:w="940" w:type="dxa"/>
            <w:tcBorders>
              <w:top w:val="nil"/>
              <w:left w:val="nil"/>
              <w:bottom w:val="nil"/>
              <w:right w:val="nil"/>
            </w:tcBorders>
            <w:shd w:val="clear" w:color="auto" w:fill="auto"/>
            <w:noWrap/>
            <w:vAlign w:val="center"/>
            <w:hideMark/>
          </w:tcPr>
          <w:p w14:paraId="44BEA5A1" w14:textId="77777777" w:rsidR="00BE6D69" w:rsidRPr="00366EFC" w:rsidRDefault="00BE6D69" w:rsidP="00BE6D69">
            <w:pPr>
              <w:jc w:val="center"/>
              <w:rPr>
                <w:rFonts w:ascii="Arial Narrow" w:hAnsi="Arial Narrow" w:cs="Arial"/>
                <w:spacing w:val="0"/>
                <w:sz w:val="15"/>
                <w:szCs w:val="15"/>
                <w:lang w:eastAsia="es-CO"/>
              </w:rPr>
            </w:pPr>
          </w:p>
        </w:tc>
        <w:tc>
          <w:tcPr>
            <w:tcW w:w="1300" w:type="dxa"/>
            <w:tcBorders>
              <w:top w:val="nil"/>
              <w:left w:val="nil"/>
              <w:bottom w:val="nil"/>
              <w:right w:val="nil"/>
            </w:tcBorders>
            <w:shd w:val="clear" w:color="auto" w:fill="auto"/>
            <w:noWrap/>
            <w:vAlign w:val="center"/>
            <w:hideMark/>
          </w:tcPr>
          <w:p w14:paraId="60E4EB67" w14:textId="77777777" w:rsidR="00BE6D69" w:rsidRPr="00366EFC" w:rsidRDefault="00BE6D69" w:rsidP="00BE6D69">
            <w:pPr>
              <w:jc w:val="left"/>
              <w:rPr>
                <w:rFonts w:ascii="Times New Roman" w:hAnsi="Times New Roman"/>
                <w:spacing w:val="0"/>
                <w:lang w:eastAsia="es-CO"/>
              </w:rPr>
            </w:pPr>
          </w:p>
        </w:tc>
        <w:tc>
          <w:tcPr>
            <w:tcW w:w="1240" w:type="dxa"/>
            <w:tcBorders>
              <w:top w:val="nil"/>
              <w:left w:val="nil"/>
              <w:bottom w:val="nil"/>
              <w:right w:val="nil"/>
            </w:tcBorders>
            <w:shd w:val="clear" w:color="000000" w:fill="FFFFFF"/>
            <w:noWrap/>
            <w:vAlign w:val="center"/>
            <w:hideMark/>
          </w:tcPr>
          <w:p w14:paraId="4927A70F" w14:textId="77777777" w:rsidR="00BE6D69" w:rsidRPr="00366EFC" w:rsidRDefault="00BE6D69" w:rsidP="00BE6D69">
            <w:pPr>
              <w:jc w:val="right"/>
              <w:rPr>
                <w:rFonts w:ascii="Arial Narrow" w:hAnsi="Arial Narrow" w:cs="Arial"/>
                <w:b/>
                <w:bCs/>
                <w:spacing w:val="0"/>
                <w:sz w:val="15"/>
                <w:szCs w:val="15"/>
                <w:lang w:eastAsia="es-CO"/>
              </w:rPr>
            </w:pPr>
            <w:r w:rsidRPr="00366EFC">
              <w:rPr>
                <w:rFonts w:ascii="Arial Narrow" w:hAnsi="Arial Narrow" w:cs="Arial"/>
                <w:b/>
                <w:bCs/>
                <w:spacing w:val="0"/>
                <w:sz w:val="15"/>
                <w:szCs w:val="15"/>
                <w:lang w:val="en-US" w:eastAsia="es-CO"/>
              </w:rPr>
              <w:t>$ 1,00</w:t>
            </w:r>
          </w:p>
        </w:tc>
      </w:tr>
      <w:tr w:rsidR="00366EFC" w:rsidRPr="00366EFC" w14:paraId="0539D5D1" w14:textId="77777777" w:rsidTr="00BE6D69">
        <w:trPr>
          <w:trHeight w:val="480"/>
        </w:trPr>
        <w:tc>
          <w:tcPr>
            <w:tcW w:w="480" w:type="dxa"/>
            <w:tcBorders>
              <w:top w:val="nil"/>
              <w:left w:val="nil"/>
              <w:bottom w:val="nil"/>
              <w:right w:val="nil"/>
            </w:tcBorders>
            <w:shd w:val="clear" w:color="auto" w:fill="auto"/>
            <w:noWrap/>
            <w:vAlign w:val="center"/>
            <w:hideMark/>
          </w:tcPr>
          <w:p w14:paraId="7C07C471" w14:textId="77777777" w:rsidR="00BE6D69" w:rsidRPr="00366EFC" w:rsidRDefault="00BE6D69" w:rsidP="00BE6D69">
            <w:pPr>
              <w:jc w:val="center"/>
              <w:rPr>
                <w:rFonts w:ascii="Arial Narrow" w:hAnsi="Arial Narrow" w:cs="Arial"/>
                <w:spacing w:val="0"/>
                <w:sz w:val="15"/>
                <w:szCs w:val="15"/>
                <w:lang w:eastAsia="es-CO"/>
              </w:rPr>
            </w:pPr>
            <w:r w:rsidRPr="00366EFC">
              <w:rPr>
                <w:rFonts w:ascii="Arial Narrow" w:hAnsi="Arial Narrow" w:cs="Arial"/>
                <w:spacing w:val="0"/>
                <w:sz w:val="15"/>
                <w:szCs w:val="15"/>
                <w:lang w:val="en-US" w:eastAsia="es-CO"/>
              </w:rPr>
              <w:t>48</w:t>
            </w:r>
          </w:p>
        </w:tc>
        <w:tc>
          <w:tcPr>
            <w:tcW w:w="700" w:type="dxa"/>
            <w:tcBorders>
              <w:top w:val="nil"/>
              <w:left w:val="nil"/>
              <w:bottom w:val="nil"/>
              <w:right w:val="nil"/>
            </w:tcBorders>
            <w:shd w:val="clear" w:color="auto" w:fill="auto"/>
            <w:noWrap/>
            <w:vAlign w:val="center"/>
            <w:hideMark/>
          </w:tcPr>
          <w:p w14:paraId="510811A5" w14:textId="77777777" w:rsidR="00BE6D69" w:rsidRPr="00366EFC" w:rsidRDefault="00BE6D69" w:rsidP="00BE6D69">
            <w:pPr>
              <w:jc w:val="center"/>
              <w:rPr>
                <w:rFonts w:ascii="Arial Narrow" w:hAnsi="Arial Narrow" w:cs="Arial"/>
                <w:b/>
                <w:bCs/>
                <w:spacing w:val="0"/>
                <w:sz w:val="15"/>
                <w:szCs w:val="15"/>
                <w:lang w:eastAsia="es-CO"/>
              </w:rPr>
            </w:pPr>
            <w:r w:rsidRPr="00366EFC">
              <w:rPr>
                <w:rFonts w:ascii="Arial Narrow" w:hAnsi="Arial Narrow" w:cs="Arial"/>
                <w:b/>
                <w:bCs/>
                <w:spacing w:val="0"/>
                <w:sz w:val="15"/>
                <w:szCs w:val="15"/>
                <w:lang w:val="en-US" w:eastAsia="es-CO"/>
              </w:rPr>
              <w:t>CEN</w:t>
            </w:r>
          </w:p>
        </w:tc>
        <w:tc>
          <w:tcPr>
            <w:tcW w:w="760" w:type="dxa"/>
            <w:tcBorders>
              <w:top w:val="nil"/>
              <w:left w:val="nil"/>
              <w:bottom w:val="nil"/>
              <w:right w:val="nil"/>
            </w:tcBorders>
            <w:shd w:val="clear" w:color="000000" w:fill="E2EFDA"/>
            <w:noWrap/>
            <w:vAlign w:val="center"/>
            <w:hideMark/>
          </w:tcPr>
          <w:p w14:paraId="3D99C4AD" w14:textId="77777777" w:rsidR="00BE6D69" w:rsidRPr="00366EFC" w:rsidRDefault="00BE6D69" w:rsidP="00BE6D69">
            <w:pPr>
              <w:jc w:val="right"/>
              <w:rPr>
                <w:rFonts w:ascii="Arial Narrow" w:hAnsi="Arial Narrow" w:cs="Arial"/>
                <w:b/>
                <w:bCs/>
                <w:spacing w:val="0"/>
                <w:sz w:val="15"/>
                <w:szCs w:val="15"/>
                <w:lang w:eastAsia="es-CO"/>
              </w:rPr>
            </w:pPr>
            <w:r w:rsidRPr="00366EFC">
              <w:rPr>
                <w:rFonts w:ascii="Arial Narrow" w:hAnsi="Arial Narrow" w:cs="Arial"/>
                <w:b/>
                <w:bCs/>
                <w:spacing w:val="0"/>
                <w:sz w:val="15"/>
                <w:szCs w:val="15"/>
                <w:lang w:val="en-US" w:eastAsia="es-CO"/>
              </w:rPr>
              <w:t>Total</w:t>
            </w:r>
          </w:p>
        </w:tc>
        <w:tc>
          <w:tcPr>
            <w:tcW w:w="2540" w:type="dxa"/>
            <w:tcBorders>
              <w:top w:val="nil"/>
              <w:left w:val="nil"/>
              <w:bottom w:val="nil"/>
              <w:right w:val="nil"/>
            </w:tcBorders>
            <w:shd w:val="clear" w:color="000000" w:fill="FFFFFF"/>
            <w:vAlign w:val="center"/>
            <w:hideMark/>
          </w:tcPr>
          <w:p w14:paraId="4F1B039A" w14:textId="77777777" w:rsidR="00BE6D69" w:rsidRPr="00366EFC" w:rsidRDefault="00BE6D69" w:rsidP="00BE6D69">
            <w:pPr>
              <w:rPr>
                <w:rFonts w:ascii="Arial Narrow" w:hAnsi="Arial Narrow" w:cs="Arial"/>
                <w:b/>
                <w:bCs/>
                <w:spacing w:val="0"/>
                <w:sz w:val="15"/>
                <w:szCs w:val="15"/>
                <w:lang w:eastAsia="es-CO"/>
              </w:rPr>
            </w:pPr>
            <w:r w:rsidRPr="00366EFC">
              <w:rPr>
                <w:rFonts w:ascii="Arial Narrow" w:hAnsi="Arial Narrow" w:cs="Arial"/>
                <w:b/>
                <w:bCs/>
                <w:spacing w:val="0"/>
                <w:sz w:val="15"/>
                <w:szCs w:val="15"/>
                <w:lang w:eastAsia="es-CO"/>
              </w:rPr>
              <w:t>CONTRIBUCIÓN ESPECIAL 2023 NETA A PAGAR</w:t>
            </w:r>
          </w:p>
        </w:tc>
        <w:tc>
          <w:tcPr>
            <w:tcW w:w="700" w:type="dxa"/>
            <w:tcBorders>
              <w:top w:val="nil"/>
              <w:left w:val="nil"/>
              <w:bottom w:val="nil"/>
              <w:right w:val="nil"/>
            </w:tcBorders>
            <w:shd w:val="clear" w:color="auto" w:fill="auto"/>
            <w:noWrap/>
            <w:vAlign w:val="center"/>
            <w:hideMark/>
          </w:tcPr>
          <w:p w14:paraId="5A661438" w14:textId="77777777" w:rsidR="00BE6D69" w:rsidRPr="00366EFC" w:rsidRDefault="00BE6D69" w:rsidP="00BE6D69">
            <w:pPr>
              <w:jc w:val="center"/>
              <w:rPr>
                <w:rFonts w:ascii="Arial Narrow" w:hAnsi="Arial Narrow" w:cs="Arial"/>
                <w:b/>
                <w:bCs/>
                <w:spacing w:val="0"/>
                <w:sz w:val="15"/>
                <w:szCs w:val="15"/>
                <w:lang w:eastAsia="es-CO"/>
              </w:rPr>
            </w:pPr>
            <w:r w:rsidRPr="00366EFC">
              <w:rPr>
                <w:rFonts w:ascii="Arial Narrow" w:hAnsi="Arial Narrow" w:cs="Arial"/>
                <w:b/>
                <w:bCs/>
                <w:spacing w:val="0"/>
                <w:sz w:val="15"/>
                <w:szCs w:val="15"/>
                <w:lang w:val="en-US" w:eastAsia="es-CO"/>
              </w:rPr>
              <w:t>COL$</w:t>
            </w:r>
          </w:p>
        </w:tc>
        <w:tc>
          <w:tcPr>
            <w:tcW w:w="1600" w:type="dxa"/>
            <w:tcBorders>
              <w:top w:val="nil"/>
              <w:left w:val="nil"/>
              <w:bottom w:val="nil"/>
              <w:right w:val="nil"/>
            </w:tcBorders>
            <w:shd w:val="clear" w:color="auto" w:fill="auto"/>
            <w:vAlign w:val="center"/>
            <w:hideMark/>
          </w:tcPr>
          <w:p w14:paraId="19228A0E" w14:textId="77777777" w:rsidR="00BE6D69" w:rsidRPr="00366EFC" w:rsidRDefault="00BE6D69" w:rsidP="00BE6D69">
            <w:pPr>
              <w:jc w:val="center"/>
              <w:rPr>
                <w:rFonts w:ascii="Arial Narrow" w:hAnsi="Arial Narrow" w:cs="Arial"/>
                <w:spacing w:val="0"/>
                <w:sz w:val="15"/>
                <w:szCs w:val="15"/>
                <w:lang w:eastAsia="es-CO"/>
              </w:rPr>
            </w:pPr>
            <w:r w:rsidRPr="00366EFC">
              <w:rPr>
                <w:rFonts w:ascii="Arial Narrow" w:hAnsi="Arial Narrow" w:cs="Arial"/>
                <w:spacing w:val="0"/>
                <w:sz w:val="15"/>
                <w:szCs w:val="15"/>
                <w:lang w:eastAsia="es-CO"/>
              </w:rPr>
              <w:t>Resolución CREG</w:t>
            </w:r>
            <w:r w:rsidRPr="00366EFC">
              <w:rPr>
                <w:rFonts w:ascii="Arial Narrow" w:hAnsi="Arial Narrow" w:cs="Arial"/>
                <w:spacing w:val="0"/>
                <w:sz w:val="15"/>
                <w:szCs w:val="15"/>
                <w:lang w:eastAsia="es-CO"/>
              </w:rPr>
              <w:br/>
              <w:t>Contribución Especial 2023</w:t>
            </w:r>
          </w:p>
        </w:tc>
        <w:tc>
          <w:tcPr>
            <w:tcW w:w="940" w:type="dxa"/>
            <w:tcBorders>
              <w:top w:val="nil"/>
              <w:left w:val="nil"/>
              <w:bottom w:val="nil"/>
              <w:right w:val="nil"/>
            </w:tcBorders>
            <w:shd w:val="clear" w:color="auto" w:fill="auto"/>
            <w:noWrap/>
            <w:vAlign w:val="center"/>
            <w:hideMark/>
          </w:tcPr>
          <w:p w14:paraId="5D16E92A" w14:textId="77777777" w:rsidR="00BE6D69" w:rsidRPr="00366EFC" w:rsidRDefault="00BE6D69" w:rsidP="00BE6D69">
            <w:pPr>
              <w:jc w:val="center"/>
              <w:rPr>
                <w:rFonts w:ascii="Arial Narrow" w:hAnsi="Arial Narrow" w:cs="Arial"/>
                <w:spacing w:val="0"/>
                <w:sz w:val="15"/>
                <w:szCs w:val="15"/>
                <w:lang w:eastAsia="es-CO"/>
              </w:rPr>
            </w:pPr>
          </w:p>
        </w:tc>
        <w:tc>
          <w:tcPr>
            <w:tcW w:w="1300" w:type="dxa"/>
            <w:tcBorders>
              <w:top w:val="nil"/>
              <w:left w:val="nil"/>
              <w:bottom w:val="nil"/>
              <w:right w:val="nil"/>
            </w:tcBorders>
            <w:shd w:val="clear" w:color="auto" w:fill="auto"/>
            <w:noWrap/>
            <w:vAlign w:val="center"/>
            <w:hideMark/>
          </w:tcPr>
          <w:p w14:paraId="52FBE54C" w14:textId="77777777" w:rsidR="00BE6D69" w:rsidRPr="00366EFC" w:rsidRDefault="00BE6D69" w:rsidP="00BE6D69">
            <w:pPr>
              <w:jc w:val="left"/>
              <w:rPr>
                <w:rFonts w:ascii="Times New Roman" w:hAnsi="Times New Roman"/>
                <w:spacing w:val="0"/>
                <w:lang w:eastAsia="es-CO"/>
              </w:rPr>
            </w:pPr>
          </w:p>
        </w:tc>
        <w:tc>
          <w:tcPr>
            <w:tcW w:w="1240" w:type="dxa"/>
            <w:tcBorders>
              <w:top w:val="single" w:sz="4" w:space="0" w:color="auto"/>
              <w:left w:val="nil"/>
              <w:bottom w:val="double" w:sz="6" w:space="0" w:color="auto"/>
              <w:right w:val="nil"/>
            </w:tcBorders>
            <w:shd w:val="clear" w:color="000000" w:fill="FFFFFF"/>
            <w:noWrap/>
            <w:vAlign w:val="center"/>
            <w:hideMark/>
          </w:tcPr>
          <w:p w14:paraId="249863D0" w14:textId="77777777" w:rsidR="00BE6D69" w:rsidRPr="00366EFC" w:rsidRDefault="00BE6D69" w:rsidP="00BE6D69">
            <w:pPr>
              <w:jc w:val="right"/>
              <w:rPr>
                <w:rFonts w:ascii="Arial Narrow" w:hAnsi="Arial Narrow" w:cs="Arial"/>
                <w:b/>
                <w:bCs/>
                <w:spacing w:val="0"/>
                <w:sz w:val="15"/>
                <w:szCs w:val="15"/>
                <w:lang w:eastAsia="es-CO"/>
              </w:rPr>
            </w:pPr>
            <w:r w:rsidRPr="00366EFC">
              <w:rPr>
                <w:rFonts w:ascii="Arial Narrow" w:hAnsi="Arial Narrow" w:cs="Arial"/>
                <w:b/>
                <w:bCs/>
                <w:spacing w:val="0"/>
                <w:sz w:val="15"/>
                <w:szCs w:val="15"/>
                <w:lang w:val="en-US" w:eastAsia="es-CO"/>
              </w:rPr>
              <w:t>$ 351,00</w:t>
            </w:r>
          </w:p>
        </w:tc>
      </w:tr>
    </w:tbl>
    <w:p w14:paraId="2F36F90E" w14:textId="051D05E5" w:rsidR="00446E1E" w:rsidRDefault="00446E1E" w:rsidP="00D22441">
      <w:pPr>
        <w:jc w:val="left"/>
        <w:rPr>
          <w:rFonts w:cs="Arial"/>
          <w:b/>
          <w:bCs/>
          <w:kern w:val="28"/>
          <w:sz w:val="24"/>
          <w:szCs w:val="24"/>
        </w:rPr>
      </w:pPr>
    </w:p>
    <w:p w14:paraId="4577D7FD" w14:textId="21A5EEC9" w:rsidR="00E31EF6" w:rsidRDefault="00E31EF6" w:rsidP="00D22441">
      <w:pPr>
        <w:jc w:val="left"/>
        <w:rPr>
          <w:rFonts w:cs="Arial"/>
          <w:b/>
          <w:bCs/>
          <w:kern w:val="28"/>
          <w:sz w:val="24"/>
          <w:szCs w:val="24"/>
        </w:rPr>
      </w:pPr>
      <w:r>
        <w:rPr>
          <w:rFonts w:cs="Arial"/>
          <w:b/>
          <w:bCs/>
          <w:kern w:val="28"/>
          <w:sz w:val="24"/>
          <w:szCs w:val="24"/>
        </w:rPr>
        <w:br w:type="page"/>
      </w:r>
    </w:p>
    <w:p w14:paraId="56A0B63A" w14:textId="77777777" w:rsidR="00E31EF6" w:rsidRPr="00161200" w:rsidRDefault="00E31EF6" w:rsidP="00D22441">
      <w:pPr>
        <w:pStyle w:val="Ttulo10"/>
        <w:tabs>
          <w:tab w:val="left" w:pos="2354"/>
          <w:tab w:val="center" w:pos="4503"/>
        </w:tabs>
        <w:spacing w:before="0" w:after="0"/>
        <w:ind w:left="360"/>
        <w:rPr>
          <w:sz w:val="22"/>
          <w:szCs w:val="22"/>
        </w:rPr>
      </w:pPr>
      <w:bookmarkStart w:id="116" w:name="_Toc147154346"/>
      <w:r w:rsidRPr="00161200">
        <w:rPr>
          <w:sz w:val="22"/>
          <w:szCs w:val="22"/>
        </w:rPr>
        <w:lastRenderedPageBreak/>
        <w:t>GLOSARIO DE TÉRMINOS</w:t>
      </w:r>
      <w:bookmarkEnd w:id="116"/>
    </w:p>
    <w:p w14:paraId="6E7BA0D1" w14:textId="77777777" w:rsidR="00E31EF6" w:rsidRPr="00161200" w:rsidRDefault="00E31EF6" w:rsidP="00D22441">
      <w:pPr>
        <w:rPr>
          <w:rFonts w:cs="Arial"/>
          <w:sz w:val="22"/>
          <w:szCs w:val="22"/>
          <w:lang w:val="es-MX"/>
        </w:rPr>
      </w:pPr>
    </w:p>
    <w:p w14:paraId="17D55249" w14:textId="77777777" w:rsidR="00E31EF6" w:rsidRPr="00161200" w:rsidRDefault="00E31EF6" w:rsidP="00D22441">
      <w:pPr>
        <w:pStyle w:val="Prrafodelista"/>
        <w:numPr>
          <w:ilvl w:val="0"/>
          <w:numId w:val="50"/>
        </w:numPr>
        <w:spacing w:after="0" w:line="240" w:lineRule="auto"/>
        <w:ind w:left="360"/>
        <w:rPr>
          <w:rFonts w:ascii="Arial" w:hAnsi="Arial" w:cs="Arial"/>
        </w:rPr>
      </w:pPr>
      <w:r w:rsidRPr="00161200">
        <w:rPr>
          <w:rFonts w:ascii="Arial" w:hAnsi="Arial" w:cs="Arial"/>
          <w:b/>
          <w:bCs/>
        </w:rPr>
        <w:t xml:space="preserve">Abono: </w:t>
      </w:r>
      <w:r w:rsidRPr="00161200">
        <w:rPr>
          <w:rFonts w:ascii="Arial" w:hAnsi="Arial" w:cs="Arial"/>
        </w:rPr>
        <w:t>Pago parcial destinado a la amortización de una deuda en dinero.</w:t>
      </w:r>
    </w:p>
    <w:p w14:paraId="6DC284C5" w14:textId="77777777" w:rsidR="00E31EF6" w:rsidRPr="00161200" w:rsidRDefault="00E31EF6" w:rsidP="00D22441">
      <w:pPr>
        <w:pStyle w:val="Prrafodelista"/>
        <w:numPr>
          <w:ilvl w:val="0"/>
          <w:numId w:val="50"/>
        </w:numPr>
        <w:spacing w:after="0" w:line="240" w:lineRule="auto"/>
        <w:ind w:left="360"/>
        <w:rPr>
          <w:rFonts w:ascii="Arial" w:hAnsi="Arial" w:cs="Arial"/>
        </w:rPr>
      </w:pPr>
      <w:r w:rsidRPr="00161200">
        <w:rPr>
          <w:rFonts w:ascii="Arial" w:hAnsi="Arial" w:cs="Arial"/>
          <w:b/>
          <w:bCs/>
        </w:rPr>
        <w:t>Acción ejecutiva:</w:t>
      </w:r>
      <w:r w:rsidRPr="00161200">
        <w:rPr>
          <w:rFonts w:ascii="Arial" w:hAnsi="Arial" w:cs="Arial"/>
        </w:rPr>
        <w:t xml:space="preserve"> Es la ejercitada para que la justicia ordene la satisfacción de un derecho claro y exigible. Es aquella para cuyo ejercicio se requiere la existencia de un título que lleve aparejada ejecución.</w:t>
      </w:r>
    </w:p>
    <w:p w14:paraId="5A6C79FE" w14:textId="77777777" w:rsidR="00E31EF6" w:rsidRPr="00161200" w:rsidRDefault="00E31EF6" w:rsidP="00D22441">
      <w:pPr>
        <w:pStyle w:val="Prrafodelista"/>
        <w:numPr>
          <w:ilvl w:val="0"/>
          <w:numId w:val="50"/>
        </w:numPr>
        <w:spacing w:after="0" w:line="240" w:lineRule="auto"/>
        <w:ind w:left="360"/>
        <w:rPr>
          <w:rFonts w:ascii="Arial" w:hAnsi="Arial" w:cs="Arial"/>
        </w:rPr>
      </w:pPr>
      <w:r w:rsidRPr="00161200">
        <w:rPr>
          <w:rFonts w:ascii="Arial" w:hAnsi="Arial" w:cs="Arial"/>
          <w:b/>
          <w:bCs/>
        </w:rPr>
        <w:t>Acreedor:</w:t>
      </w:r>
      <w:r w:rsidRPr="00161200">
        <w:rPr>
          <w:rFonts w:ascii="Arial" w:hAnsi="Arial" w:cs="Arial"/>
        </w:rPr>
        <w:t xml:space="preserve"> Persona que tiene derecho a exigir el cumplimiento de una obligación. </w:t>
      </w:r>
      <w:proofErr w:type="gramStart"/>
      <w:r w:rsidRPr="00161200">
        <w:rPr>
          <w:rFonts w:ascii="Arial" w:hAnsi="Arial" w:cs="Arial"/>
        </w:rPr>
        <w:t>Es</w:t>
      </w:r>
      <w:proofErr w:type="gramEnd"/>
      <w:r w:rsidRPr="00161200">
        <w:rPr>
          <w:rFonts w:ascii="Arial" w:hAnsi="Arial" w:cs="Arial"/>
        </w:rPr>
        <w:t xml:space="preserve"> por lo tanto, el sujeto activo de éste. Puede existir pluralidad de acreedores.</w:t>
      </w:r>
    </w:p>
    <w:p w14:paraId="0E90EC01" w14:textId="77777777" w:rsidR="00E31EF6" w:rsidRPr="00161200" w:rsidRDefault="00E31EF6" w:rsidP="00D22441">
      <w:pPr>
        <w:pStyle w:val="Prrafodelista"/>
        <w:numPr>
          <w:ilvl w:val="0"/>
          <w:numId w:val="50"/>
        </w:numPr>
        <w:spacing w:after="0" w:line="240" w:lineRule="auto"/>
        <w:ind w:left="360"/>
        <w:rPr>
          <w:rFonts w:ascii="Arial" w:hAnsi="Arial" w:cs="Arial"/>
        </w:rPr>
      </w:pPr>
      <w:r w:rsidRPr="00161200">
        <w:rPr>
          <w:rFonts w:ascii="Arial" w:hAnsi="Arial" w:cs="Arial"/>
          <w:b/>
          <w:bCs/>
        </w:rPr>
        <w:t>Acto administrativo</w:t>
      </w:r>
      <w:r w:rsidRPr="00161200">
        <w:rPr>
          <w:rFonts w:ascii="Arial" w:hAnsi="Arial" w:cs="Arial"/>
        </w:rPr>
        <w:t>: Es la expresión de la voluntad de la administración encaminada a crear, modificar y/o extinguir un derecho y en general tendiente a producir efectos jurídicos.</w:t>
      </w:r>
    </w:p>
    <w:p w14:paraId="68BA96F6" w14:textId="77777777" w:rsidR="00E31EF6" w:rsidRPr="00161200" w:rsidRDefault="00E31EF6" w:rsidP="00D22441">
      <w:pPr>
        <w:pStyle w:val="Prrafodelista"/>
        <w:numPr>
          <w:ilvl w:val="0"/>
          <w:numId w:val="50"/>
        </w:numPr>
        <w:spacing w:after="0" w:line="240" w:lineRule="auto"/>
        <w:ind w:left="360"/>
        <w:rPr>
          <w:rFonts w:ascii="Arial" w:hAnsi="Arial" w:cs="Arial"/>
        </w:rPr>
      </w:pPr>
      <w:r w:rsidRPr="00161200">
        <w:rPr>
          <w:rFonts w:ascii="Arial" w:hAnsi="Arial" w:cs="Arial"/>
          <w:b/>
          <w:bCs/>
        </w:rPr>
        <w:t>Actos de trámite en el cobro coactivo</w:t>
      </w:r>
      <w:r w:rsidRPr="00161200">
        <w:rPr>
          <w:rFonts w:ascii="Arial" w:hAnsi="Arial" w:cs="Arial"/>
        </w:rPr>
        <w:t xml:space="preserve">: Actuaciones de la administración tendientes a dar impulso al cobro coactivo, en procura de agotar las instancias procesales previas que permiten al funcionario ejecutor adoptar una decisión de fondo. Estos procedimientos por regla general no son susceptibles de recurso alguno. </w:t>
      </w:r>
    </w:p>
    <w:p w14:paraId="593E48D6" w14:textId="77777777" w:rsidR="00E31EF6" w:rsidRPr="00161200" w:rsidRDefault="00E31EF6" w:rsidP="00D22441">
      <w:pPr>
        <w:pStyle w:val="Prrafodelista"/>
        <w:numPr>
          <w:ilvl w:val="0"/>
          <w:numId w:val="50"/>
        </w:numPr>
        <w:spacing w:after="0" w:line="240" w:lineRule="auto"/>
        <w:ind w:left="360"/>
        <w:rPr>
          <w:rFonts w:ascii="Arial" w:hAnsi="Arial" w:cs="Arial"/>
        </w:rPr>
      </w:pPr>
      <w:r w:rsidRPr="00161200">
        <w:rPr>
          <w:rFonts w:ascii="Arial" w:hAnsi="Arial" w:cs="Arial"/>
          <w:b/>
          <w:bCs/>
        </w:rPr>
        <w:t xml:space="preserve">Actos definitivos en el cobro coactivo: </w:t>
      </w:r>
      <w:r w:rsidRPr="00161200">
        <w:rPr>
          <w:rFonts w:ascii="Arial" w:hAnsi="Arial" w:cs="Arial"/>
        </w:rPr>
        <w:t>Actuaciones de la administración por medio de los cuales se decide de fondo y de manera definitiva el procedimiento de cobro coactivo. En tal sentido, son objeto de control de legalidad ante la Jurisdicción Contencioso Administrativa, una vez agotada la vía gubernativa.</w:t>
      </w:r>
    </w:p>
    <w:p w14:paraId="457D220B" w14:textId="77777777" w:rsidR="00E31EF6" w:rsidRPr="00161200" w:rsidRDefault="00E31EF6" w:rsidP="00D22441">
      <w:pPr>
        <w:pStyle w:val="Prrafodelista"/>
        <w:numPr>
          <w:ilvl w:val="0"/>
          <w:numId w:val="50"/>
        </w:numPr>
        <w:spacing w:after="0" w:line="240" w:lineRule="auto"/>
        <w:ind w:left="360"/>
        <w:rPr>
          <w:rFonts w:ascii="Arial" w:hAnsi="Arial" w:cs="Arial"/>
        </w:rPr>
      </w:pPr>
      <w:r w:rsidRPr="00161200">
        <w:rPr>
          <w:rFonts w:ascii="Arial" w:hAnsi="Arial" w:cs="Arial"/>
          <w:b/>
          <w:bCs/>
        </w:rPr>
        <w:t>Acuerdo de pago:</w:t>
      </w:r>
      <w:r w:rsidRPr="00161200">
        <w:rPr>
          <w:rFonts w:ascii="Arial" w:hAnsi="Arial" w:cs="Arial"/>
        </w:rPr>
        <w:t xml:space="preserve"> Es el mecanismo utilizado para la cancelación de la(s) obligaciones(es) en cuotas establecidas de acuerdo con la voluntad y capacidad de pago del deudor. El acuerdo de pago no implica novación, reestructuración o terminación de un proceso vigente.</w:t>
      </w:r>
    </w:p>
    <w:p w14:paraId="6C8FD3D7" w14:textId="2F2C896B" w:rsidR="00E31EF6" w:rsidRPr="00161200" w:rsidRDefault="00E31EF6" w:rsidP="00D22441">
      <w:pPr>
        <w:pStyle w:val="Prrafodelista"/>
        <w:numPr>
          <w:ilvl w:val="0"/>
          <w:numId w:val="50"/>
        </w:numPr>
        <w:spacing w:after="0" w:line="240" w:lineRule="auto"/>
        <w:ind w:left="360"/>
        <w:rPr>
          <w:rFonts w:ascii="Arial" w:hAnsi="Arial" w:cs="Arial"/>
        </w:rPr>
      </w:pPr>
      <w:r w:rsidRPr="00161200">
        <w:rPr>
          <w:rFonts w:ascii="Arial" w:hAnsi="Arial" w:cs="Arial"/>
          <w:b/>
          <w:bCs/>
        </w:rPr>
        <w:t>Cartera</w:t>
      </w:r>
      <w:r w:rsidRPr="00161200">
        <w:rPr>
          <w:rFonts w:ascii="Arial" w:hAnsi="Arial" w:cs="Arial"/>
        </w:rPr>
        <w:t>: conjunto de acreencias a favor de una entidad pública, consignadas en títulos ejecutivos que contienen obligaciones monetarias de manera clara, expresa y exigible. No forman parte de la cartera los valores que no hayan sido previamente liquidados en un acto administrativo debidamente ejecutoriado.</w:t>
      </w:r>
    </w:p>
    <w:p w14:paraId="5AA0A53C" w14:textId="5A2BE183" w:rsidR="00EE25D7" w:rsidRPr="00161200" w:rsidRDefault="00EE25D7" w:rsidP="00D22441">
      <w:pPr>
        <w:pStyle w:val="Prrafodelista"/>
        <w:numPr>
          <w:ilvl w:val="0"/>
          <w:numId w:val="50"/>
        </w:numPr>
        <w:spacing w:after="0" w:line="240" w:lineRule="auto"/>
        <w:ind w:left="360"/>
        <w:rPr>
          <w:rFonts w:ascii="Arial" w:hAnsi="Arial" w:cs="Arial"/>
        </w:rPr>
      </w:pPr>
      <w:r w:rsidRPr="00161200">
        <w:rPr>
          <w:rFonts w:ascii="Arial" w:hAnsi="Arial" w:cs="Arial"/>
          <w:b/>
          <w:bCs/>
        </w:rPr>
        <w:t>Censo</w:t>
      </w:r>
      <w:r w:rsidRPr="00161200">
        <w:rPr>
          <w:rFonts w:ascii="Arial" w:hAnsi="Arial" w:cs="Arial"/>
        </w:rPr>
        <w:t>: Conteo de prestadores de servicios para determinar el universo que son del ámbito de vigilancia de la SSPD y de regulación de la CREG.</w:t>
      </w:r>
    </w:p>
    <w:p w14:paraId="64BEC2C2" w14:textId="77777777" w:rsidR="00E31EF6" w:rsidRPr="00161200" w:rsidRDefault="00E31EF6" w:rsidP="00D22441">
      <w:pPr>
        <w:pStyle w:val="Prrafodelista"/>
        <w:numPr>
          <w:ilvl w:val="0"/>
          <w:numId w:val="50"/>
        </w:numPr>
        <w:spacing w:after="0" w:line="240" w:lineRule="auto"/>
        <w:ind w:left="360"/>
        <w:rPr>
          <w:rFonts w:ascii="Arial" w:hAnsi="Arial" w:cs="Arial"/>
        </w:rPr>
      </w:pPr>
      <w:r w:rsidRPr="00161200">
        <w:rPr>
          <w:rFonts w:ascii="Arial" w:hAnsi="Arial" w:cs="Arial"/>
          <w:b/>
          <w:bCs/>
        </w:rPr>
        <w:t>Clasificación de la cartera</w:t>
      </w:r>
      <w:r w:rsidRPr="00161200">
        <w:rPr>
          <w:rFonts w:ascii="Arial" w:hAnsi="Arial" w:cs="Arial"/>
        </w:rPr>
        <w:t>: categorización u ordenamiento de la cartera teniendo en cuenta diferentes condiciones o aspectos relativos a la naturaleza misma de la obligación y/o a las particularidades del deudor, para identificar el tipo de cobro al cual debe ser sometida.</w:t>
      </w:r>
    </w:p>
    <w:p w14:paraId="05427CCC" w14:textId="77777777" w:rsidR="00E31EF6" w:rsidRPr="00161200" w:rsidRDefault="00E31EF6" w:rsidP="00D22441">
      <w:pPr>
        <w:pStyle w:val="Prrafodelista"/>
        <w:numPr>
          <w:ilvl w:val="0"/>
          <w:numId w:val="50"/>
        </w:numPr>
        <w:spacing w:after="0" w:line="240" w:lineRule="auto"/>
        <w:ind w:left="360"/>
        <w:rPr>
          <w:rFonts w:ascii="Arial" w:hAnsi="Arial" w:cs="Arial"/>
        </w:rPr>
      </w:pPr>
      <w:r w:rsidRPr="00161200">
        <w:rPr>
          <w:rFonts w:ascii="Arial" w:hAnsi="Arial" w:cs="Arial"/>
          <w:b/>
          <w:bCs/>
        </w:rPr>
        <w:t>Cartera de difícil cobro</w:t>
      </w:r>
      <w:r w:rsidRPr="00161200">
        <w:rPr>
          <w:rFonts w:ascii="Arial" w:hAnsi="Arial" w:cs="Arial"/>
        </w:rPr>
        <w:t>: corresponde a derechos cuya antigüedad, situación particular del deudor o del proceso de cobro, permite estimar de forma fiable o razonable que ésta no será recuperable.</w:t>
      </w:r>
    </w:p>
    <w:p w14:paraId="62BA5C4C" w14:textId="77777777" w:rsidR="00E31EF6" w:rsidRPr="00161200" w:rsidRDefault="00E31EF6" w:rsidP="00D22441">
      <w:pPr>
        <w:pStyle w:val="Prrafodelista"/>
        <w:numPr>
          <w:ilvl w:val="0"/>
          <w:numId w:val="50"/>
        </w:numPr>
        <w:spacing w:after="0" w:line="240" w:lineRule="auto"/>
        <w:ind w:left="360"/>
        <w:rPr>
          <w:rFonts w:ascii="Arial" w:hAnsi="Arial" w:cs="Arial"/>
        </w:rPr>
      </w:pPr>
      <w:r w:rsidRPr="00161200">
        <w:rPr>
          <w:rFonts w:ascii="Arial" w:hAnsi="Arial" w:cs="Arial"/>
          <w:b/>
          <w:bCs/>
        </w:rPr>
        <w:t>Citación</w:t>
      </w:r>
      <w:r w:rsidRPr="00161200">
        <w:rPr>
          <w:rFonts w:ascii="Arial" w:hAnsi="Arial" w:cs="Arial"/>
        </w:rPr>
        <w:t>: Acción de convocar a una persona o personas determinadas para que se presenten a una determinada instancia de la entidad como parte de una actuación administrativa.</w:t>
      </w:r>
    </w:p>
    <w:p w14:paraId="2273C6AC" w14:textId="77777777" w:rsidR="00E31EF6" w:rsidRPr="00161200" w:rsidRDefault="00E31EF6" w:rsidP="00D22441">
      <w:pPr>
        <w:pStyle w:val="Prrafodelista"/>
        <w:numPr>
          <w:ilvl w:val="0"/>
          <w:numId w:val="50"/>
        </w:numPr>
        <w:spacing w:after="0" w:line="240" w:lineRule="auto"/>
        <w:ind w:left="360"/>
        <w:rPr>
          <w:rFonts w:ascii="Arial" w:hAnsi="Arial" w:cs="Arial"/>
        </w:rPr>
      </w:pPr>
      <w:r w:rsidRPr="00161200">
        <w:rPr>
          <w:rFonts w:ascii="Arial" w:hAnsi="Arial" w:cs="Arial"/>
          <w:b/>
          <w:bCs/>
        </w:rPr>
        <w:t>Clausula aceleratoria</w:t>
      </w:r>
      <w:r w:rsidRPr="00161200">
        <w:rPr>
          <w:rFonts w:ascii="Arial" w:hAnsi="Arial" w:cs="Arial"/>
        </w:rPr>
        <w:t xml:space="preserve">: Pacto consistente en que, ante el incumplimiento de los términos acordados para el pago a plazos de una obligación, se hace exigible la totalidad de </w:t>
      </w:r>
      <w:proofErr w:type="gramStart"/>
      <w:r w:rsidRPr="00161200">
        <w:rPr>
          <w:rFonts w:ascii="Arial" w:hAnsi="Arial" w:cs="Arial"/>
        </w:rPr>
        <w:t>la misma</w:t>
      </w:r>
      <w:proofErr w:type="gramEnd"/>
      <w:r w:rsidRPr="00161200">
        <w:rPr>
          <w:rFonts w:ascii="Arial" w:hAnsi="Arial" w:cs="Arial"/>
        </w:rPr>
        <w:t xml:space="preserve"> en forma inmediata.</w:t>
      </w:r>
    </w:p>
    <w:p w14:paraId="4E998003" w14:textId="77777777" w:rsidR="00E31EF6" w:rsidRPr="00161200" w:rsidRDefault="00E31EF6" w:rsidP="00D22441">
      <w:pPr>
        <w:pStyle w:val="Prrafodelista"/>
        <w:numPr>
          <w:ilvl w:val="0"/>
          <w:numId w:val="50"/>
        </w:numPr>
        <w:spacing w:after="0" w:line="240" w:lineRule="auto"/>
        <w:ind w:left="360"/>
        <w:rPr>
          <w:rFonts w:ascii="Arial" w:hAnsi="Arial" w:cs="Arial"/>
        </w:rPr>
      </w:pPr>
      <w:r w:rsidRPr="00161200">
        <w:rPr>
          <w:rFonts w:ascii="Arial" w:hAnsi="Arial" w:cs="Arial"/>
          <w:b/>
          <w:bCs/>
        </w:rPr>
        <w:t xml:space="preserve">Contribución especial de regulación: </w:t>
      </w:r>
      <w:r w:rsidRPr="00161200">
        <w:rPr>
          <w:rFonts w:ascii="Arial" w:hAnsi="Arial" w:cs="Arial"/>
        </w:rPr>
        <w:t xml:space="preserve">Es una tasa parafiscal a favor de la CREG, establecida en el artículo 85 de la Ley 142 de 1994, de periodicidad anual, generada a partir del servicio de regulación dirigida al sector eléctrico y de gas combustible, con una tarifa que no podrá ser superior al 1% de la base gravable para financiar el presupuesto de la CREG, </w:t>
      </w:r>
      <w:r w:rsidRPr="00161200">
        <w:rPr>
          <w:rFonts w:ascii="Arial" w:hAnsi="Arial" w:cs="Arial"/>
        </w:rPr>
        <w:lastRenderedPageBreak/>
        <w:t>conformada esta base por los gastos de funcionamiento y porción de los gastos operativos de las empresas reguladas, con las exclusiones determinadas por la normatividad y la doctrina, basada en la información financiera del año anterior presentada al SUI de la SSPD.</w:t>
      </w:r>
    </w:p>
    <w:p w14:paraId="71D0D086" w14:textId="77777777" w:rsidR="00E31EF6" w:rsidRPr="00161200" w:rsidRDefault="00E31EF6" w:rsidP="00D22441">
      <w:pPr>
        <w:pStyle w:val="Prrafodelista"/>
        <w:numPr>
          <w:ilvl w:val="0"/>
          <w:numId w:val="50"/>
        </w:numPr>
        <w:spacing w:after="0" w:line="240" w:lineRule="auto"/>
        <w:ind w:left="360"/>
        <w:rPr>
          <w:rFonts w:ascii="Arial" w:hAnsi="Arial" w:cs="Arial"/>
        </w:rPr>
      </w:pPr>
      <w:r w:rsidRPr="00161200">
        <w:rPr>
          <w:rFonts w:ascii="Arial" w:hAnsi="Arial" w:cs="Arial"/>
          <w:b/>
          <w:bCs/>
        </w:rPr>
        <w:t>Competencia</w:t>
      </w:r>
      <w:r w:rsidRPr="00161200">
        <w:rPr>
          <w:rFonts w:ascii="Arial" w:hAnsi="Arial" w:cs="Arial"/>
        </w:rPr>
        <w:t>: es la facultad que la norma otorga a un funcionario para llevar adelante una actuación y producir un acto administrativo.</w:t>
      </w:r>
    </w:p>
    <w:p w14:paraId="72DC91EC" w14:textId="77777777" w:rsidR="00E31EF6" w:rsidRPr="00161200" w:rsidRDefault="00E31EF6" w:rsidP="00D22441">
      <w:pPr>
        <w:pStyle w:val="Prrafodelista"/>
        <w:numPr>
          <w:ilvl w:val="0"/>
          <w:numId w:val="50"/>
        </w:numPr>
        <w:spacing w:after="0" w:line="240" w:lineRule="auto"/>
        <w:ind w:left="360"/>
        <w:rPr>
          <w:rFonts w:ascii="Arial" w:hAnsi="Arial" w:cs="Arial"/>
        </w:rPr>
      </w:pPr>
      <w:r w:rsidRPr="00161200">
        <w:rPr>
          <w:rFonts w:ascii="Arial" w:hAnsi="Arial" w:cs="Arial"/>
          <w:b/>
          <w:bCs/>
        </w:rPr>
        <w:t>Cobro persuasivo</w:t>
      </w:r>
      <w:r w:rsidRPr="00161200">
        <w:rPr>
          <w:rFonts w:ascii="Arial" w:hAnsi="Arial" w:cs="Arial"/>
        </w:rPr>
        <w:t>: es el procedimiento consistente en la gestión administrativa tendiente a obtener el pago voluntario de las obligaciones vencidas; como instrumento de cobro de la entidad, que es, además, una herramienta de acercamiento al deudor. Sus objetivos son: 1. evitar o prevenir el proceso de cobro por jurisdicción coactiva, 2. la recuperación eficiente, total e inmediata de la cartera y; 3. el aseguramiento del cumplimiento de pago mediante el otorgamiento de plazos o facilidades para el pago con el lleno de los requisitos legales y de procedimiento establecido en la entidad.</w:t>
      </w:r>
    </w:p>
    <w:p w14:paraId="12D704A5" w14:textId="77777777" w:rsidR="00E31EF6" w:rsidRPr="00161200" w:rsidRDefault="00E31EF6" w:rsidP="00D22441">
      <w:pPr>
        <w:pStyle w:val="Prrafodelista"/>
        <w:numPr>
          <w:ilvl w:val="0"/>
          <w:numId w:val="50"/>
        </w:numPr>
        <w:spacing w:after="0" w:line="240" w:lineRule="auto"/>
        <w:ind w:left="360"/>
        <w:rPr>
          <w:rFonts w:ascii="Arial" w:hAnsi="Arial" w:cs="Arial"/>
        </w:rPr>
      </w:pPr>
      <w:r w:rsidRPr="00161200">
        <w:rPr>
          <w:rFonts w:ascii="Arial" w:hAnsi="Arial" w:cs="Arial"/>
          <w:b/>
          <w:bCs/>
        </w:rPr>
        <w:t>Cobro coactivo</w:t>
      </w:r>
      <w:r w:rsidRPr="00161200">
        <w:rPr>
          <w:rFonts w:ascii="Arial" w:hAnsi="Arial" w:cs="Arial"/>
        </w:rPr>
        <w:t>: Facultad de la entidad ejecutora para utilizar los medios coercitivos con el fin de satisfacer las obligaciones exigibles a su favor, una vez agotada la etapa persuasiva, siempre y cuando el título reúna los requisitos para ser exigido coactivamente. Es un procedimiento administrativo especial contenido en los artículos 823 y siguientes del Estatuto Tributario, que faculta a ciertas entidades para hacer efectivos directamente los créditos a su favor, sin necesidad de acudir a la jurisdicción ordinaria. Su objeto es obtener el pago forzado de las obligaciones a su favor, inclusive mediante la venta en pública subasta de los bienes del deudor, cuando este ha sido renuente al pago voluntario de sus obligaciones.</w:t>
      </w:r>
    </w:p>
    <w:p w14:paraId="5DD9F5CC" w14:textId="77777777" w:rsidR="00E31EF6" w:rsidRPr="00161200" w:rsidRDefault="00E31EF6" w:rsidP="00D22441">
      <w:pPr>
        <w:pStyle w:val="Prrafodelista"/>
        <w:numPr>
          <w:ilvl w:val="0"/>
          <w:numId w:val="50"/>
        </w:numPr>
        <w:spacing w:after="0" w:line="240" w:lineRule="auto"/>
        <w:ind w:left="360"/>
        <w:rPr>
          <w:rFonts w:ascii="Arial" w:hAnsi="Arial" w:cs="Arial"/>
        </w:rPr>
      </w:pPr>
      <w:r w:rsidRPr="00161200">
        <w:rPr>
          <w:rFonts w:ascii="Arial" w:hAnsi="Arial" w:cs="Arial"/>
          <w:b/>
          <w:bCs/>
        </w:rPr>
        <w:t>Cobro jurídico:</w:t>
      </w:r>
      <w:r w:rsidRPr="00161200">
        <w:rPr>
          <w:rFonts w:ascii="Arial" w:hAnsi="Arial" w:cs="Arial"/>
        </w:rPr>
        <w:t xml:space="preserve"> Es la aplicación de los procedimientos formales previstos en el Estatuto Tributario Nacional y en lo no previsto, el Código de Procedimiento Administrativo y de lo Contencioso Administrativo y el Código General del Proceso, con el objeto de lograr la satisfacción de la obligación hasta con el remate de los bienes del deudor, que se adelanta con sujeción a las normas previstas para los procesos ejecutivos reguladas en la legislación procesal civil o contenciosa administrativa atendiendo la naturaleza de la obligación y las partes.</w:t>
      </w:r>
    </w:p>
    <w:p w14:paraId="0DB7745F" w14:textId="77777777" w:rsidR="00E31EF6" w:rsidRPr="00161200" w:rsidRDefault="00E31EF6" w:rsidP="00D22441">
      <w:pPr>
        <w:pStyle w:val="Prrafodelista"/>
        <w:numPr>
          <w:ilvl w:val="0"/>
          <w:numId w:val="50"/>
        </w:numPr>
        <w:spacing w:after="0" w:line="240" w:lineRule="auto"/>
        <w:ind w:left="360"/>
        <w:rPr>
          <w:rFonts w:ascii="Arial" w:hAnsi="Arial" w:cs="Arial"/>
        </w:rPr>
      </w:pPr>
      <w:r w:rsidRPr="00161200">
        <w:rPr>
          <w:rFonts w:ascii="Arial" w:hAnsi="Arial" w:cs="Arial"/>
          <w:b/>
          <w:bCs/>
        </w:rPr>
        <w:t>Consecutivo y sello</w:t>
      </w:r>
      <w:r w:rsidRPr="00161200">
        <w:rPr>
          <w:rFonts w:ascii="Arial" w:hAnsi="Arial" w:cs="Arial"/>
        </w:rPr>
        <w:t>: Acción de estampar el sello de la dependencia y un número de identificación a los documentos de orden seguido. Agrupa los términos de sellar y numerar, poner sello y número.</w:t>
      </w:r>
    </w:p>
    <w:p w14:paraId="51F80B25" w14:textId="77777777" w:rsidR="00E31EF6" w:rsidRPr="00161200" w:rsidRDefault="00E31EF6" w:rsidP="00D22441">
      <w:pPr>
        <w:pStyle w:val="Prrafodelista"/>
        <w:numPr>
          <w:ilvl w:val="0"/>
          <w:numId w:val="50"/>
        </w:numPr>
        <w:spacing w:after="0" w:line="240" w:lineRule="auto"/>
        <w:ind w:left="360"/>
        <w:rPr>
          <w:rFonts w:ascii="Arial" w:hAnsi="Arial" w:cs="Arial"/>
        </w:rPr>
      </w:pPr>
      <w:r w:rsidRPr="00161200">
        <w:rPr>
          <w:rFonts w:ascii="Arial" w:hAnsi="Arial" w:cs="Arial"/>
          <w:b/>
          <w:bCs/>
        </w:rPr>
        <w:t>Considerandos</w:t>
      </w:r>
      <w:r w:rsidRPr="00161200">
        <w:rPr>
          <w:rFonts w:ascii="Arial" w:hAnsi="Arial" w:cs="Arial"/>
        </w:rPr>
        <w:t>: Acápite del acto administrativo, en el cual la administración expone las razones jurídicas que fundamentan la decisión.</w:t>
      </w:r>
    </w:p>
    <w:p w14:paraId="33D071D8" w14:textId="77777777" w:rsidR="00E31EF6" w:rsidRPr="00161200" w:rsidRDefault="00E31EF6" w:rsidP="00D22441">
      <w:pPr>
        <w:pStyle w:val="Prrafodelista"/>
        <w:numPr>
          <w:ilvl w:val="0"/>
          <w:numId w:val="50"/>
        </w:numPr>
        <w:spacing w:after="0" w:line="240" w:lineRule="auto"/>
        <w:ind w:left="360"/>
        <w:rPr>
          <w:rFonts w:ascii="Arial" w:hAnsi="Arial" w:cs="Arial"/>
        </w:rPr>
      </w:pPr>
      <w:r w:rsidRPr="00161200">
        <w:rPr>
          <w:rFonts w:ascii="Arial" w:hAnsi="Arial" w:cs="Arial"/>
          <w:b/>
          <w:bCs/>
        </w:rPr>
        <w:t>Costas procesales</w:t>
      </w:r>
      <w:r w:rsidRPr="00161200">
        <w:rPr>
          <w:rFonts w:ascii="Arial" w:hAnsi="Arial" w:cs="Arial"/>
        </w:rPr>
        <w:t>: Los gastos que se deben sufragar en el proceso, incluidas las expensas y las agencias de derecho.</w:t>
      </w:r>
    </w:p>
    <w:p w14:paraId="5EAC386B" w14:textId="77777777" w:rsidR="00E31EF6" w:rsidRPr="00161200" w:rsidRDefault="00E31EF6" w:rsidP="00D22441">
      <w:pPr>
        <w:pStyle w:val="Prrafodelista"/>
        <w:numPr>
          <w:ilvl w:val="0"/>
          <w:numId w:val="50"/>
        </w:numPr>
        <w:spacing w:after="0" w:line="240" w:lineRule="auto"/>
        <w:ind w:left="360"/>
        <w:rPr>
          <w:rFonts w:ascii="Arial" w:hAnsi="Arial" w:cs="Arial"/>
        </w:rPr>
      </w:pPr>
      <w:r w:rsidRPr="00161200">
        <w:rPr>
          <w:rFonts w:ascii="Arial" w:hAnsi="Arial" w:cs="Arial"/>
          <w:b/>
          <w:bCs/>
        </w:rPr>
        <w:t xml:space="preserve">Curador Ad </w:t>
      </w:r>
      <w:proofErr w:type="spellStart"/>
      <w:r w:rsidRPr="00161200">
        <w:rPr>
          <w:rFonts w:ascii="Arial" w:hAnsi="Arial" w:cs="Arial"/>
          <w:b/>
          <w:bCs/>
        </w:rPr>
        <w:t>Litem</w:t>
      </w:r>
      <w:proofErr w:type="spellEnd"/>
      <w:r w:rsidRPr="00161200">
        <w:rPr>
          <w:rFonts w:ascii="Arial" w:hAnsi="Arial" w:cs="Arial"/>
          <w:b/>
          <w:bCs/>
        </w:rPr>
        <w:t xml:space="preserve">: </w:t>
      </w:r>
      <w:r w:rsidRPr="00161200">
        <w:rPr>
          <w:rFonts w:ascii="Arial" w:hAnsi="Arial" w:cs="Arial"/>
        </w:rPr>
        <w:t>funcionario encargado de proteger los derechos del ausente. Constituye, un instrumento protector del derecho fundamental de defensa.</w:t>
      </w:r>
    </w:p>
    <w:p w14:paraId="0FFD4F9E" w14:textId="77777777" w:rsidR="00E31EF6" w:rsidRPr="00161200" w:rsidRDefault="00E31EF6" w:rsidP="00D22441">
      <w:pPr>
        <w:pStyle w:val="Prrafodelista"/>
        <w:numPr>
          <w:ilvl w:val="0"/>
          <w:numId w:val="50"/>
        </w:numPr>
        <w:spacing w:after="0" w:line="240" w:lineRule="auto"/>
        <w:ind w:left="360"/>
        <w:rPr>
          <w:rFonts w:ascii="Arial" w:hAnsi="Arial" w:cs="Arial"/>
        </w:rPr>
      </w:pPr>
      <w:r w:rsidRPr="00161200">
        <w:rPr>
          <w:rFonts w:ascii="Arial" w:hAnsi="Arial" w:cs="Arial"/>
          <w:b/>
          <w:bCs/>
        </w:rPr>
        <w:t>Debido proceso:</w:t>
      </w:r>
      <w:r w:rsidRPr="00161200">
        <w:rPr>
          <w:rFonts w:ascii="Arial" w:hAnsi="Arial" w:cs="Arial"/>
        </w:rPr>
        <w:t xml:space="preserve"> Los actos administrativos y en general las acciones ejecutadas en Procesos de Cobro Coactivo, deberán garantizar en su integridad el respeto al derecho a la defensa y debido proceso consagrados en el artículo 29 constitucional.</w:t>
      </w:r>
    </w:p>
    <w:p w14:paraId="03E425B6" w14:textId="77777777" w:rsidR="00E31EF6" w:rsidRPr="00161200" w:rsidRDefault="00E31EF6" w:rsidP="00D22441">
      <w:pPr>
        <w:pStyle w:val="Prrafodelista"/>
        <w:numPr>
          <w:ilvl w:val="0"/>
          <w:numId w:val="50"/>
        </w:numPr>
        <w:spacing w:after="0" w:line="240" w:lineRule="auto"/>
        <w:ind w:left="360"/>
        <w:rPr>
          <w:rFonts w:ascii="Arial" w:hAnsi="Arial" w:cs="Arial"/>
        </w:rPr>
      </w:pPr>
      <w:r w:rsidRPr="00161200">
        <w:rPr>
          <w:rFonts w:ascii="Arial" w:hAnsi="Arial" w:cs="Arial"/>
          <w:b/>
          <w:bCs/>
        </w:rPr>
        <w:t>Deudor</w:t>
      </w:r>
      <w:r w:rsidRPr="00161200">
        <w:rPr>
          <w:rFonts w:ascii="Arial" w:hAnsi="Arial" w:cs="Arial"/>
        </w:rPr>
        <w:t xml:space="preserve">: es el extremo pasivo de la relación obligacional. Para efectos del presente manual, corresponde a la persona natural o jurídica que tiene una o varias obligaciones a favor de la CREG de entregar una suma de dinero determinada o determinable, dentro de un plazo </w:t>
      </w:r>
      <w:r w:rsidRPr="00161200">
        <w:rPr>
          <w:rFonts w:ascii="Arial" w:hAnsi="Arial" w:cs="Arial"/>
        </w:rPr>
        <w:lastRenderedPageBreak/>
        <w:t xml:space="preserve">definido y bajo las condiciones que la ley, el reglamento, un acto administrativo, fallo disciplinario o contrato estipulen. </w:t>
      </w:r>
    </w:p>
    <w:p w14:paraId="62876B44" w14:textId="77777777" w:rsidR="00E31EF6" w:rsidRPr="00161200" w:rsidRDefault="00E31EF6" w:rsidP="00D22441">
      <w:pPr>
        <w:pStyle w:val="Prrafodelista"/>
        <w:numPr>
          <w:ilvl w:val="0"/>
          <w:numId w:val="50"/>
        </w:numPr>
        <w:spacing w:after="0" w:line="240" w:lineRule="auto"/>
        <w:ind w:left="360"/>
        <w:rPr>
          <w:rFonts w:ascii="Arial" w:hAnsi="Arial" w:cs="Arial"/>
        </w:rPr>
      </w:pPr>
      <w:r w:rsidRPr="00161200">
        <w:rPr>
          <w:rFonts w:ascii="Arial" w:hAnsi="Arial" w:cs="Arial"/>
          <w:b/>
          <w:bCs/>
        </w:rPr>
        <w:t>Deposito Judicial</w:t>
      </w:r>
      <w:r w:rsidRPr="00161200">
        <w:rPr>
          <w:rFonts w:ascii="Arial" w:hAnsi="Arial" w:cs="Arial"/>
        </w:rPr>
        <w:t>: Consignación en dinero que se realiza a favor de un despacho judicial o administrativo, deriva de una medida cautelar, caución o de un remate.</w:t>
      </w:r>
    </w:p>
    <w:p w14:paraId="002AF9BB" w14:textId="77777777" w:rsidR="00E31EF6" w:rsidRPr="00161200" w:rsidRDefault="00E31EF6" w:rsidP="00D22441">
      <w:pPr>
        <w:pStyle w:val="Prrafodelista"/>
        <w:numPr>
          <w:ilvl w:val="0"/>
          <w:numId w:val="50"/>
        </w:numPr>
        <w:spacing w:after="0" w:line="240" w:lineRule="auto"/>
        <w:ind w:left="360"/>
        <w:rPr>
          <w:rFonts w:ascii="Arial" w:hAnsi="Arial" w:cs="Arial"/>
        </w:rPr>
      </w:pPr>
      <w:r w:rsidRPr="00161200">
        <w:rPr>
          <w:rFonts w:ascii="Arial" w:hAnsi="Arial" w:cs="Arial"/>
          <w:b/>
          <w:bCs/>
        </w:rPr>
        <w:t>Deterioro de cartera</w:t>
      </w:r>
      <w:r w:rsidRPr="00161200">
        <w:rPr>
          <w:rFonts w:ascii="Arial" w:hAnsi="Arial" w:cs="Arial"/>
        </w:rPr>
        <w:t>: es la probabilidad de pérdida del valor de la cartera derivada por el incumplimiento del pago por parte del cliente.</w:t>
      </w:r>
    </w:p>
    <w:p w14:paraId="0BBB2F3D" w14:textId="77777777" w:rsidR="00E31EF6" w:rsidRPr="00161200" w:rsidRDefault="00E31EF6" w:rsidP="00D22441">
      <w:pPr>
        <w:pStyle w:val="Prrafodelista"/>
        <w:numPr>
          <w:ilvl w:val="0"/>
          <w:numId w:val="50"/>
        </w:numPr>
        <w:spacing w:after="0" w:line="240" w:lineRule="auto"/>
        <w:ind w:left="360"/>
        <w:rPr>
          <w:rFonts w:ascii="Arial" w:hAnsi="Arial" w:cs="Arial"/>
        </w:rPr>
      </w:pPr>
      <w:r w:rsidRPr="00161200">
        <w:rPr>
          <w:rFonts w:ascii="Arial" w:hAnsi="Arial" w:cs="Arial"/>
          <w:b/>
          <w:bCs/>
        </w:rPr>
        <w:t>Deudor persona natural:</w:t>
      </w:r>
      <w:r w:rsidRPr="00161200">
        <w:rPr>
          <w:rFonts w:ascii="Arial" w:hAnsi="Arial" w:cs="Arial"/>
        </w:rPr>
        <w:t xml:space="preserve"> Puede intervenir en el proceso en forma personal, o por medio de su apoderado que sea abogado.</w:t>
      </w:r>
    </w:p>
    <w:p w14:paraId="270FE266" w14:textId="77777777" w:rsidR="00E31EF6" w:rsidRPr="00161200" w:rsidRDefault="00E31EF6" w:rsidP="00D22441">
      <w:pPr>
        <w:pStyle w:val="Prrafodelista"/>
        <w:numPr>
          <w:ilvl w:val="0"/>
          <w:numId w:val="50"/>
        </w:numPr>
        <w:spacing w:after="0" w:line="240" w:lineRule="auto"/>
        <w:ind w:left="360"/>
        <w:rPr>
          <w:rFonts w:ascii="Arial" w:hAnsi="Arial" w:cs="Arial"/>
        </w:rPr>
      </w:pPr>
      <w:r w:rsidRPr="00161200">
        <w:rPr>
          <w:rFonts w:ascii="Arial" w:hAnsi="Arial" w:cs="Arial"/>
          <w:b/>
          <w:bCs/>
        </w:rPr>
        <w:t>Deudor persona jurídica:</w:t>
      </w:r>
      <w:r w:rsidRPr="00161200">
        <w:rPr>
          <w:rFonts w:ascii="Arial" w:hAnsi="Arial" w:cs="Arial"/>
        </w:rPr>
        <w:t xml:space="preserve"> Cuando se trate de personas jurídicas, éstas podrán actuar a través de sus representantes o apoderados.</w:t>
      </w:r>
    </w:p>
    <w:p w14:paraId="276D1D7E" w14:textId="77777777" w:rsidR="00E31EF6" w:rsidRPr="00161200" w:rsidRDefault="00E31EF6" w:rsidP="00D22441">
      <w:pPr>
        <w:pStyle w:val="Prrafodelista"/>
        <w:numPr>
          <w:ilvl w:val="0"/>
          <w:numId w:val="50"/>
        </w:numPr>
        <w:spacing w:after="0" w:line="240" w:lineRule="auto"/>
        <w:ind w:left="360"/>
        <w:rPr>
          <w:rFonts w:ascii="Arial" w:hAnsi="Arial" w:cs="Arial"/>
        </w:rPr>
      </w:pPr>
      <w:r w:rsidRPr="00161200">
        <w:rPr>
          <w:rFonts w:ascii="Arial" w:hAnsi="Arial" w:cs="Arial"/>
          <w:b/>
          <w:bCs/>
        </w:rPr>
        <w:t>Deudor solidario</w:t>
      </w:r>
      <w:r w:rsidRPr="00161200">
        <w:rPr>
          <w:rFonts w:ascii="Arial" w:hAnsi="Arial" w:cs="Arial"/>
        </w:rPr>
        <w:t xml:space="preserve">: Figura de origen civil en la que un tercero por disposición normativa es responsable ante el acreedor de una obligación o parte de esta. </w:t>
      </w:r>
    </w:p>
    <w:p w14:paraId="20112914" w14:textId="77777777" w:rsidR="00E31EF6" w:rsidRPr="00161200" w:rsidRDefault="00E31EF6" w:rsidP="00D22441">
      <w:pPr>
        <w:pStyle w:val="Prrafodelista"/>
        <w:numPr>
          <w:ilvl w:val="0"/>
          <w:numId w:val="50"/>
        </w:numPr>
        <w:spacing w:after="0" w:line="240" w:lineRule="auto"/>
        <w:ind w:left="360"/>
        <w:rPr>
          <w:rFonts w:ascii="Arial" w:hAnsi="Arial" w:cs="Arial"/>
        </w:rPr>
      </w:pPr>
      <w:r w:rsidRPr="00161200">
        <w:rPr>
          <w:rFonts w:ascii="Arial" w:hAnsi="Arial" w:cs="Arial"/>
          <w:b/>
          <w:bCs/>
        </w:rPr>
        <w:t>Ejecutoriado</w:t>
      </w:r>
      <w:r w:rsidRPr="00161200">
        <w:rPr>
          <w:rFonts w:ascii="Arial" w:hAnsi="Arial" w:cs="Arial"/>
        </w:rPr>
        <w:t>: Acto administrativo o sentencia que alcanzó firmeza y por lo tanto hace tránsito a cosa juzgada.</w:t>
      </w:r>
    </w:p>
    <w:p w14:paraId="4D61AC3C" w14:textId="77777777" w:rsidR="00E31EF6" w:rsidRPr="00161200" w:rsidRDefault="00E31EF6" w:rsidP="00D22441">
      <w:pPr>
        <w:pStyle w:val="Prrafodelista"/>
        <w:numPr>
          <w:ilvl w:val="0"/>
          <w:numId w:val="50"/>
        </w:numPr>
        <w:spacing w:after="0" w:line="240" w:lineRule="auto"/>
        <w:ind w:left="360"/>
        <w:rPr>
          <w:rFonts w:ascii="Arial" w:hAnsi="Arial" w:cs="Arial"/>
        </w:rPr>
      </w:pPr>
      <w:r w:rsidRPr="00161200">
        <w:rPr>
          <w:rFonts w:ascii="Arial" w:hAnsi="Arial" w:cs="Arial"/>
          <w:b/>
          <w:bCs/>
        </w:rPr>
        <w:t>Elementos del tributo</w:t>
      </w:r>
      <w:r w:rsidRPr="00161200">
        <w:rPr>
          <w:rFonts w:ascii="Arial" w:hAnsi="Arial" w:cs="Arial"/>
        </w:rPr>
        <w:t xml:space="preserve">: Son cinco los elementos que hacen una obligación tributaria: sujeto activo (CREG), sujeto pasivo (deudor, empresa regulada), hecho generador (por qué se genera una obligación), base gravable (sobre qué se calcula y liquida un tributo) y tarifa (factor, porcentaje, valor fijo que se aplica a la base gravable para liquidar el valor a pagar). </w:t>
      </w:r>
    </w:p>
    <w:p w14:paraId="37195253" w14:textId="77777777" w:rsidR="00E31EF6" w:rsidRPr="00161200" w:rsidRDefault="00E31EF6" w:rsidP="00D22441">
      <w:pPr>
        <w:pStyle w:val="Prrafodelista"/>
        <w:numPr>
          <w:ilvl w:val="0"/>
          <w:numId w:val="50"/>
        </w:numPr>
        <w:spacing w:after="0" w:line="240" w:lineRule="auto"/>
        <w:ind w:left="360"/>
        <w:rPr>
          <w:rFonts w:ascii="Arial" w:hAnsi="Arial" w:cs="Arial"/>
        </w:rPr>
      </w:pPr>
      <w:r w:rsidRPr="00161200">
        <w:rPr>
          <w:rFonts w:ascii="Arial" w:hAnsi="Arial" w:cs="Arial"/>
          <w:b/>
          <w:bCs/>
        </w:rPr>
        <w:t>Embargo</w:t>
      </w:r>
      <w:r w:rsidRPr="00161200">
        <w:rPr>
          <w:rFonts w:ascii="Arial" w:hAnsi="Arial" w:cs="Arial"/>
        </w:rPr>
        <w:t xml:space="preserve">: consiste en una medida cautelar o preventiva cuyo fin es limitar el dominio de los bienes pertenecientes al deudor, impidiendo el traspaso o gravamen de estos, para que una vez determinados e individualizados y precisado su valor mediante el avalúo, se proceda a su venta o adjudicación. </w:t>
      </w:r>
    </w:p>
    <w:p w14:paraId="6178181C" w14:textId="77777777" w:rsidR="00E31EF6" w:rsidRPr="00161200" w:rsidRDefault="00E31EF6" w:rsidP="00D22441">
      <w:pPr>
        <w:pStyle w:val="Prrafodelista"/>
        <w:numPr>
          <w:ilvl w:val="0"/>
          <w:numId w:val="50"/>
        </w:numPr>
        <w:spacing w:after="0" w:line="240" w:lineRule="auto"/>
        <w:ind w:left="360"/>
        <w:rPr>
          <w:rFonts w:ascii="Arial" w:hAnsi="Arial" w:cs="Arial"/>
        </w:rPr>
      </w:pPr>
      <w:r w:rsidRPr="00161200">
        <w:rPr>
          <w:rFonts w:ascii="Arial" w:hAnsi="Arial" w:cs="Arial"/>
          <w:b/>
          <w:bCs/>
        </w:rPr>
        <w:t>Excepciones</w:t>
      </w:r>
      <w:r w:rsidRPr="00161200">
        <w:rPr>
          <w:rFonts w:ascii="Arial" w:hAnsi="Arial" w:cs="Arial"/>
        </w:rPr>
        <w:t xml:space="preserve">: medio de defensa que tiene el ejecutado, el cual busca enervar la pretensión de la Administración, bien porque se considera que el derecho en que se basa nunca ha existido o porque, habiendo existido, se presentó una causa extintiva del derecho o porque a pesar de existir y no haberse extinguido, se pretende extinguirlo por las causas consagradas en la ley. </w:t>
      </w:r>
    </w:p>
    <w:p w14:paraId="5741E1D5" w14:textId="77777777" w:rsidR="00E31EF6" w:rsidRPr="00161200" w:rsidRDefault="00E31EF6" w:rsidP="00D22441">
      <w:pPr>
        <w:pStyle w:val="Prrafodelista"/>
        <w:numPr>
          <w:ilvl w:val="0"/>
          <w:numId w:val="50"/>
        </w:numPr>
        <w:spacing w:after="0" w:line="240" w:lineRule="auto"/>
        <w:ind w:left="360"/>
        <w:rPr>
          <w:rFonts w:ascii="Arial" w:hAnsi="Arial" w:cs="Arial"/>
          <w:b/>
          <w:bCs/>
        </w:rPr>
      </w:pPr>
      <w:r w:rsidRPr="00161200">
        <w:rPr>
          <w:rFonts w:ascii="Arial" w:hAnsi="Arial" w:cs="Arial"/>
          <w:b/>
          <w:bCs/>
        </w:rPr>
        <w:t xml:space="preserve">Exento: </w:t>
      </w:r>
      <w:r w:rsidRPr="00161200">
        <w:rPr>
          <w:rFonts w:ascii="Arial" w:hAnsi="Arial" w:cs="Arial"/>
        </w:rPr>
        <w:t xml:space="preserve">La exención se produce cuando siendo aplicable el tributo (cumpliendo los requisitos </w:t>
      </w:r>
      <w:proofErr w:type="gramStart"/>
      <w:r w:rsidRPr="00161200">
        <w:rPr>
          <w:rFonts w:ascii="Arial" w:hAnsi="Arial" w:cs="Arial"/>
        </w:rPr>
        <w:t>del mismo</w:t>
      </w:r>
      <w:proofErr w:type="gramEnd"/>
      <w:r w:rsidRPr="00161200">
        <w:rPr>
          <w:rFonts w:ascii="Arial" w:hAnsi="Arial" w:cs="Arial"/>
        </w:rPr>
        <w:t>), existe en la normatividad tributaria la expresión que ordena que determinada partida, rubro o tributo sea de forma parcial o total no hace parte del mismo, no es un hecho generador y finalmente no se genera la obligación. Sin embargo, el hecho imponible, generador del tributo se puede producir por otros motivos o circunstancias.</w:t>
      </w:r>
    </w:p>
    <w:p w14:paraId="1581854B" w14:textId="77777777" w:rsidR="00E31EF6" w:rsidRPr="00161200" w:rsidRDefault="00E31EF6" w:rsidP="00D22441">
      <w:pPr>
        <w:pStyle w:val="Prrafodelista"/>
        <w:numPr>
          <w:ilvl w:val="0"/>
          <w:numId w:val="50"/>
        </w:numPr>
        <w:spacing w:after="0" w:line="240" w:lineRule="auto"/>
        <w:ind w:left="360"/>
        <w:rPr>
          <w:rFonts w:ascii="Arial" w:hAnsi="Arial" w:cs="Arial"/>
        </w:rPr>
      </w:pPr>
      <w:r w:rsidRPr="00161200">
        <w:rPr>
          <w:rFonts w:ascii="Arial" w:hAnsi="Arial" w:cs="Arial"/>
          <w:b/>
          <w:bCs/>
        </w:rPr>
        <w:t>Facilidad de pago</w:t>
      </w:r>
      <w:r w:rsidRPr="00161200">
        <w:rPr>
          <w:rFonts w:ascii="Arial" w:hAnsi="Arial" w:cs="Arial"/>
        </w:rPr>
        <w:t>: Figura jurídica mediante la cual se permite al deudor en cualquier momento del proceso de cobro (persuasivo o coactivo), cancelar por cuotas y/o ampliar el plazo otorgado inicialmente para el pago de sus obligaciones (acuerdos de pago).</w:t>
      </w:r>
    </w:p>
    <w:p w14:paraId="24E34AB7" w14:textId="77777777" w:rsidR="00E31EF6" w:rsidRPr="00161200" w:rsidRDefault="00E31EF6" w:rsidP="00D22441">
      <w:pPr>
        <w:pStyle w:val="Prrafodelista"/>
        <w:numPr>
          <w:ilvl w:val="0"/>
          <w:numId w:val="50"/>
        </w:numPr>
        <w:spacing w:after="0" w:line="240" w:lineRule="auto"/>
        <w:ind w:left="360"/>
        <w:rPr>
          <w:rFonts w:ascii="Arial" w:hAnsi="Arial" w:cs="Arial"/>
        </w:rPr>
      </w:pPr>
      <w:r w:rsidRPr="00161200">
        <w:rPr>
          <w:rFonts w:ascii="Arial" w:hAnsi="Arial" w:cs="Arial"/>
          <w:b/>
          <w:bCs/>
        </w:rPr>
        <w:t>Funcionario ejecutor:</w:t>
      </w:r>
      <w:r w:rsidRPr="00161200">
        <w:rPr>
          <w:rFonts w:ascii="Arial" w:hAnsi="Arial" w:cs="Arial"/>
        </w:rPr>
        <w:t xml:space="preserve"> Es un abogado, quien será el funcionario competente de proferir los actos administrativos propios de la jurisdicción coactiva, dando trámite a los procesos que correspondan a cada cartera.</w:t>
      </w:r>
    </w:p>
    <w:p w14:paraId="3EB6185C" w14:textId="1CABADA0" w:rsidR="00E31EF6" w:rsidRPr="00161200" w:rsidRDefault="00E31EF6" w:rsidP="00D22441">
      <w:pPr>
        <w:pStyle w:val="Prrafodelista"/>
        <w:numPr>
          <w:ilvl w:val="0"/>
          <w:numId w:val="50"/>
        </w:numPr>
        <w:spacing w:after="0" w:line="240" w:lineRule="auto"/>
        <w:ind w:left="360"/>
        <w:rPr>
          <w:rFonts w:ascii="Arial" w:hAnsi="Arial" w:cs="Arial"/>
        </w:rPr>
      </w:pPr>
      <w:r w:rsidRPr="00161200">
        <w:rPr>
          <w:rFonts w:ascii="Arial" w:hAnsi="Arial" w:cs="Arial"/>
          <w:b/>
          <w:bCs/>
        </w:rPr>
        <w:t>Garantías</w:t>
      </w:r>
      <w:r w:rsidRPr="00161200">
        <w:rPr>
          <w:rFonts w:ascii="Arial" w:hAnsi="Arial" w:cs="Arial"/>
        </w:rPr>
        <w:t xml:space="preserve">: acto o contrato mediante el cual un </w:t>
      </w:r>
      <w:proofErr w:type="gramStart"/>
      <w:r w:rsidRPr="00161200">
        <w:rPr>
          <w:rFonts w:ascii="Arial" w:hAnsi="Arial" w:cs="Arial"/>
        </w:rPr>
        <w:t>tercero</w:t>
      </w:r>
      <w:r w:rsidR="000D5E7E">
        <w:rPr>
          <w:rFonts w:ascii="Arial" w:hAnsi="Arial" w:cs="Arial"/>
        </w:rPr>
        <w:t xml:space="preserve"> </w:t>
      </w:r>
      <w:r w:rsidRPr="00161200">
        <w:rPr>
          <w:rFonts w:ascii="Arial" w:hAnsi="Arial" w:cs="Arial"/>
        </w:rPr>
        <w:t>ampara</w:t>
      </w:r>
      <w:proofErr w:type="gramEnd"/>
      <w:r w:rsidRPr="00161200">
        <w:rPr>
          <w:rFonts w:ascii="Arial" w:hAnsi="Arial" w:cs="Arial"/>
        </w:rPr>
        <w:t xml:space="preserve"> un riesgo determinado o determinable, el cumplimiento de una obligación o pago de una deuda.</w:t>
      </w:r>
    </w:p>
    <w:p w14:paraId="6AD15F01" w14:textId="77777777" w:rsidR="00E31EF6" w:rsidRPr="00161200" w:rsidRDefault="00E31EF6" w:rsidP="00D22441">
      <w:pPr>
        <w:pStyle w:val="Prrafodelista"/>
        <w:numPr>
          <w:ilvl w:val="0"/>
          <w:numId w:val="50"/>
        </w:numPr>
        <w:spacing w:after="0" w:line="240" w:lineRule="auto"/>
        <w:ind w:left="360"/>
        <w:rPr>
          <w:rFonts w:ascii="Arial" w:hAnsi="Arial" w:cs="Arial"/>
        </w:rPr>
      </w:pPr>
      <w:r w:rsidRPr="00161200">
        <w:rPr>
          <w:rFonts w:ascii="Arial" w:hAnsi="Arial" w:cs="Arial"/>
          <w:b/>
          <w:bCs/>
        </w:rPr>
        <w:lastRenderedPageBreak/>
        <w:t>Garantía real:</w:t>
      </w:r>
      <w:r w:rsidRPr="00161200">
        <w:rPr>
          <w:rFonts w:ascii="Arial" w:hAnsi="Arial" w:cs="Arial"/>
        </w:rPr>
        <w:t xml:space="preserve"> Es un contrato o negocio jurídico accesorio que liga inmediata y directamente al acreedor con la cosa especialmente sujeta al cumplimiento de una determinada obligación principal. La garantía real habitualmente se constituye a través de prenda o hipoteca.</w:t>
      </w:r>
    </w:p>
    <w:p w14:paraId="7D36A48B" w14:textId="77777777" w:rsidR="00E31EF6" w:rsidRPr="00161200" w:rsidRDefault="00E31EF6" w:rsidP="00D22441">
      <w:pPr>
        <w:pStyle w:val="Prrafodelista"/>
        <w:numPr>
          <w:ilvl w:val="0"/>
          <w:numId w:val="50"/>
        </w:numPr>
        <w:spacing w:after="0" w:line="240" w:lineRule="auto"/>
        <w:ind w:left="360"/>
        <w:rPr>
          <w:rFonts w:ascii="Arial" w:hAnsi="Arial" w:cs="Arial"/>
        </w:rPr>
      </w:pPr>
      <w:r w:rsidRPr="00161200">
        <w:rPr>
          <w:rFonts w:ascii="Arial" w:hAnsi="Arial" w:cs="Arial"/>
          <w:b/>
          <w:bCs/>
        </w:rPr>
        <w:t>Garantía personal:</w:t>
      </w:r>
      <w:r w:rsidRPr="00161200">
        <w:rPr>
          <w:rFonts w:ascii="Arial" w:hAnsi="Arial" w:cs="Arial"/>
        </w:rPr>
        <w:t xml:space="preserve"> Es una forma de contrato accesorio, por </w:t>
      </w:r>
      <w:proofErr w:type="spellStart"/>
      <w:r w:rsidRPr="00161200">
        <w:rPr>
          <w:rFonts w:ascii="Arial" w:hAnsi="Arial" w:cs="Arial"/>
        </w:rPr>
        <w:t>el</w:t>
      </w:r>
      <w:proofErr w:type="spellEnd"/>
      <w:r w:rsidRPr="00161200">
        <w:rPr>
          <w:rFonts w:ascii="Arial" w:hAnsi="Arial" w:cs="Arial"/>
        </w:rPr>
        <w:t xml:space="preserve"> se asegura el cumplimiento de una obligación (principal). La garantía personal adopta habitualmente alguna de estas dos formas: la fianza y el aval.</w:t>
      </w:r>
    </w:p>
    <w:p w14:paraId="34535A03" w14:textId="77777777" w:rsidR="00E31EF6" w:rsidRPr="00161200" w:rsidRDefault="00E31EF6" w:rsidP="00D22441">
      <w:pPr>
        <w:pStyle w:val="Prrafodelista"/>
        <w:numPr>
          <w:ilvl w:val="0"/>
          <w:numId w:val="50"/>
        </w:numPr>
        <w:spacing w:after="0" w:line="240" w:lineRule="auto"/>
        <w:ind w:left="360"/>
        <w:rPr>
          <w:rFonts w:ascii="Arial" w:hAnsi="Arial" w:cs="Arial"/>
        </w:rPr>
      </w:pPr>
      <w:r w:rsidRPr="00161200">
        <w:rPr>
          <w:rFonts w:ascii="Arial" w:hAnsi="Arial" w:cs="Arial"/>
          <w:b/>
          <w:bCs/>
        </w:rPr>
        <w:t>Hipoteca:</w:t>
      </w:r>
      <w:r w:rsidRPr="00161200">
        <w:rPr>
          <w:rFonts w:ascii="Arial" w:hAnsi="Arial" w:cs="Arial"/>
        </w:rPr>
        <w:t xml:space="preserve"> De conformidad con el artículo 2432 del Código Civil, es un derecho de prenda constituido sobre inmuebles que no dejan por eso de permanecer en poder del deudor.</w:t>
      </w:r>
    </w:p>
    <w:p w14:paraId="7CB1061E" w14:textId="77777777" w:rsidR="00E31EF6" w:rsidRPr="00161200" w:rsidRDefault="00E31EF6" w:rsidP="00D22441">
      <w:pPr>
        <w:pStyle w:val="Prrafodelista"/>
        <w:numPr>
          <w:ilvl w:val="0"/>
          <w:numId w:val="50"/>
        </w:numPr>
        <w:spacing w:after="0" w:line="240" w:lineRule="auto"/>
        <w:ind w:left="360"/>
        <w:rPr>
          <w:rFonts w:ascii="Arial" w:hAnsi="Arial" w:cs="Arial"/>
        </w:rPr>
      </w:pPr>
      <w:r w:rsidRPr="00161200">
        <w:rPr>
          <w:rFonts w:ascii="Arial" w:hAnsi="Arial" w:cs="Arial"/>
          <w:b/>
          <w:bCs/>
        </w:rPr>
        <w:t>Indagación de bienes:</w:t>
      </w:r>
      <w:r w:rsidRPr="00161200">
        <w:rPr>
          <w:rFonts w:ascii="Arial" w:hAnsi="Arial" w:cs="Arial"/>
        </w:rPr>
        <w:t xml:space="preserve"> Comprende las gestiones adelantadas por el funcionario competente, en desarrollo de los convenios para el suministro de información por parte de otras entidades públicas o privadas, que busca determinar la existencia de bienes en cabeza del deudor, y así poder decretar medidas cautelares sobre dichos bienes como garantía del pago de la obligación.</w:t>
      </w:r>
    </w:p>
    <w:p w14:paraId="2E44B5B8" w14:textId="77777777" w:rsidR="00E31EF6" w:rsidRPr="00161200" w:rsidRDefault="00E31EF6" w:rsidP="00D22441">
      <w:pPr>
        <w:pStyle w:val="Prrafodelista"/>
        <w:numPr>
          <w:ilvl w:val="0"/>
          <w:numId w:val="50"/>
        </w:numPr>
        <w:spacing w:after="0" w:line="240" w:lineRule="auto"/>
        <w:ind w:left="360"/>
        <w:rPr>
          <w:rFonts w:ascii="Arial" w:hAnsi="Arial" w:cs="Arial"/>
        </w:rPr>
      </w:pPr>
      <w:r w:rsidRPr="00161200">
        <w:rPr>
          <w:rFonts w:ascii="Arial" w:hAnsi="Arial" w:cs="Arial"/>
          <w:b/>
          <w:bCs/>
        </w:rPr>
        <w:t>Interés de mora</w:t>
      </w:r>
      <w:r w:rsidRPr="00161200">
        <w:rPr>
          <w:rFonts w:ascii="Arial" w:hAnsi="Arial" w:cs="Arial"/>
        </w:rPr>
        <w:t>: Es el valor que se cobra sobre el capital adeudado a partir del día siguiente en que se hace exigible la obligación y hasta la fecha de pago o si es el caso, la de suscripción del acuerdo de pago. Cuando se hayan suscritos acuerdos de pago se generan intereses de mora a partir de su incumplimiento.</w:t>
      </w:r>
    </w:p>
    <w:p w14:paraId="1CFC2166" w14:textId="45DA337B" w:rsidR="00E31EF6" w:rsidRPr="00161200" w:rsidRDefault="00E31EF6" w:rsidP="00D22441">
      <w:pPr>
        <w:pStyle w:val="Prrafodelista"/>
        <w:numPr>
          <w:ilvl w:val="0"/>
          <w:numId w:val="50"/>
        </w:numPr>
        <w:spacing w:after="0" w:line="240" w:lineRule="auto"/>
        <w:ind w:left="360"/>
        <w:rPr>
          <w:rFonts w:ascii="Arial" w:hAnsi="Arial" w:cs="Arial"/>
        </w:rPr>
      </w:pPr>
      <w:r w:rsidRPr="00161200">
        <w:rPr>
          <w:rFonts w:ascii="Arial" w:hAnsi="Arial" w:cs="Arial"/>
          <w:b/>
          <w:bCs/>
        </w:rPr>
        <w:t>Jurisdicción coactiva</w:t>
      </w:r>
      <w:r w:rsidRPr="00161200">
        <w:rPr>
          <w:rFonts w:ascii="Arial" w:hAnsi="Arial" w:cs="Arial"/>
        </w:rPr>
        <w:t>: es una función asignada por la ley a un funcionario u organismo administrativo, para hacer efectivos, mediante el proceso ejecutivo, los créditos o deudas fiscales a favor de una entidad pública la cual debe actuar como ejecutora, que le permite cobrar directamente, sin que medie intervención judicial, las deudas a su favor, adquiriendo la doble calidad de juez y parte, cuya justificación se encuentra en la prevalencia del interés general, en cuanto dichos recursos se necesitan con urgencia para cumplir eficazmente los fines estatales.</w:t>
      </w:r>
    </w:p>
    <w:p w14:paraId="5EF5D969" w14:textId="30C89A3D" w:rsidR="00A21ED5" w:rsidRPr="00161200" w:rsidRDefault="00A21ED5" w:rsidP="00D22441">
      <w:pPr>
        <w:pStyle w:val="Prrafodelista"/>
        <w:numPr>
          <w:ilvl w:val="0"/>
          <w:numId w:val="50"/>
        </w:numPr>
        <w:spacing w:after="0" w:line="240" w:lineRule="auto"/>
        <w:ind w:left="360"/>
        <w:rPr>
          <w:rFonts w:ascii="Arial" w:hAnsi="Arial" w:cs="Arial"/>
        </w:rPr>
      </w:pPr>
      <w:r w:rsidRPr="00161200">
        <w:rPr>
          <w:rFonts w:ascii="Arial" w:hAnsi="Arial" w:cs="Arial"/>
          <w:b/>
          <w:bCs/>
        </w:rPr>
        <w:t>Liquidación</w:t>
      </w:r>
      <w:r w:rsidRPr="00161200">
        <w:rPr>
          <w:rFonts w:ascii="Arial" w:hAnsi="Arial" w:cs="Arial"/>
        </w:rPr>
        <w:t>: Determinar en dinero del importe de una deuda.</w:t>
      </w:r>
    </w:p>
    <w:p w14:paraId="0F99F975" w14:textId="77777777" w:rsidR="00E31EF6" w:rsidRPr="00161200" w:rsidRDefault="00E31EF6" w:rsidP="00D22441">
      <w:pPr>
        <w:pStyle w:val="Prrafodelista"/>
        <w:numPr>
          <w:ilvl w:val="0"/>
          <w:numId w:val="50"/>
        </w:numPr>
        <w:spacing w:after="0" w:line="240" w:lineRule="auto"/>
        <w:ind w:left="360"/>
        <w:rPr>
          <w:rFonts w:ascii="Arial" w:hAnsi="Arial" w:cs="Arial"/>
        </w:rPr>
      </w:pPr>
      <w:r w:rsidRPr="00161200">
        <w:rPr>
          <w:rFonts w:ascii="Arial" w:hAnsi="Arial" w:cs="Arial"/>
          <w:b/>
          <w:bCs/>
        </w:rPr>
        <w:t>Mandamiento de pago</w:t>
      </w:r>
      <w:r w:rsidRPr="00161200">
        <w:rPr>
          <w:rFonts w:ascii="Arial" w:hAnsi="Arial" w:cs="Arial"/>
        </w:rPr>
        <w:t xml:space="preserve">: es el acto administrativo procesal que consiste en la orden de pago que dicta el funcionario ejecutor para que el ejecutado pague la suma líquida de dinero adeudada contenida en el título ejecutivo, junto con los intereses desde cuando se hicieron exigibles hasta la extinción de la obligación. </w:t>
      </w:r>
    </w:p>
    <w:p w14:paraId="2103C836" w14:textId="77777777" w:rsidR="00E31EF6" w:rsidRPr="00161200" w:rsidRDefault="00E31EF6" w:rsidP="00D22441">
      <w:pPr>
        <w:pStyle w:val="Prrafodelista"/>
        <w:numPr>
          <w:ilvl w:val="0"/>
          <w:numId w:val="50"/>
        </w:numPr>
        <w:spacing w:after="0" w:line="240" w:lineRule="auto"/>
        <w:ind w:left="360"/>
        <w:rPr>
          <w:rFonts w:ascii="Arial" w:hAnsi="Arial" w:cs="Arial"/>
        </w:rPr>
      </w:pPr>
      <w:r w:rsidRPr="00161200">
        <w:rPr>
          <w:rFonts w:ascii="Arial" w:hAnsi="Arial" w:cs="Arial"/>
          <w:b/>
          <w:bCs/>
        </w:rPr>
        <w:t>Medida cautelar</w:t>
      </w:r>
      <w:r w:rsidRPr="00161200">
        <w:rPr>
          <w:rFonts w:ascii="Arial" w:hAnsi="Arial" w:cs="Arial"/>
        </w:rPr>
        <w:t>: es un instrumento con el cual el ordenamiento jurídico protege de manera provisional los bienes, de los perjuicios que puedan ocasionarse con el proceso o la efectividad del crédito perseguido.</w:t>
      </w:r>
    </w:p>
    <w:p w14:paraId="292476C4" w14:textId="77777777" w:rsidR="00E31EF6" w:rsidRPr="00161200" w:rsidRDefault="00E31EF6" w:rsidP="00D22441">
      <w:pPr>
        <w:pStyle w:val="Prrafodelista"/>
        <w:numPr>
          <w:ilvl w:val="0"/>
          <w:numId w:val="50"/>
        </w:numPr>
        <w:spacing w:after="0" w:line="240" w:lineRule="auto"/>
        <w:ind w:left="360"/>
        <w:rPr>
          <w:rFonts w:ascii="Arial" w:hAnsi="Arial" w:cs="Arial"/>
        </w:rPr>
      </w:pPr>
      <w:r w:rsidRPr="00161200">
        <w:rPr>
          <w:rFonts w:ascii="Arial" w:hAnsi="Arial" w:cs="Arial"/>
          <w:b/>
          <w:bCs/>
        </w:rPr>
        <w:t>Metodología tarifaria para la base gravable</w:t>
      </w:r>
      <w:r w:rsidRPr="00161200">
        <w:rPr>
          <w:rFonts w:ascii="Arial" w:hAnsi="Arial" w:cs="Arial"/>
        </w:rPr>
        <w:t>: Son los procedimientos normativos, doctrinales y aritméticos que se siguen para la determinación de la base gravable de la contribución especial a favor de la CREG.</w:t>
      </w:r>
    </w:p>
    <w:p w14:paraId="76ED0B0D" w14:textId="2592C6C0" w:rsidR="00E31EF6" w:rsidRDefault="00E31EF6" w:rsidP="00D22441">
      <w:pPr>
        <w:pStyle w:val="Prrafodelista"/>
        <w:numPr>
          <w:ilvl w:val="0"/>
          <w:numId w:val="50"/>
        </w:numPr>
        <w:spacing w:after="0" w:line="240" w:lineRule="auto"/>
        <w:ind w:left="360"/>
        <w:rPr>
          <w:rFonts w:ascii="Arial" w:hAnsi="Arial" w:cs="Arial"/>
        </w:rPr>
      </w:pPr>
      <w:r w:rsidRPr="00161200">
        <w:rPr>
          <w:rFonts w:ascii="Arial" w:hAnsi="Arial" w:cs="Arial"/>
          <w:b/>
          <w:bCs/>
        </w:rPr>
        <w:t>Notificación</w:t>
      </w:r>
      <w:r w:rsidRPr="00161200">
        <w:rPr>
          <w:rFonts w:ascii="Arial" w:hAnsi="Arial" w:cs="Arial"/>
        </w:rPr>
        <w:t>: es el acto mediante el cual se pone en conocimiento del deudor una decisión en el curso del proceso de cobro administrativo coactivo.</w:t>
      </w:r>
    </w:p>
    <w:p w14:paraId="4AE75EF4" w14:textId="48A49726" w:rsidR="00D27116" w:rsidRPr="00C21670" w:rsidRDefault="00C21670" w:rsidP="00D22441">
      <w:pPr>
        <w:pStyle w:val="Prrafodelista"/>
        <w:numPr>
          <w:ilvl w:val="0"/>
          <w:numId w:val="50"/>
        </w:numPr>
        <w:spacing w:after="0" w:line="240" w:lineRule="auto"/>
        <w:ind w:left="360"/>
        <w:rPr>
          <w:rFonts w:ascii="Arial" w:hAnsi="Arial" w:cs="Arial"/>
          <w:b/>
          <w:bCs/>
        </w:rPr>
      </w:pPr>
      <w:r w:rsidRPr="00C21670">
        <w:rPr>
          <w:rFonts w:ascii="Arial" w:hAnsi="Arial" w:cs="Arial"/>
          <w:b/>
          <w:bCs/>
        </w:rPr>
        <w:t>Omiso:</w:t>
      </w:r>
      <w:r>
        <w:rPr>
          <w:rFonts w:ascii="Arial" w:hAnsi="Arial" w:cs="Arial"/>
        </w:rPr>
        <w:t xml:space="preserve"> Regulado que incumple sus obligaciones formales y sustanciales frente a la administración, en el caso de la contribución especial de regulación a favor de la CREG.</w:t>
      </w:r>
    </w:p>
    <w:p w14:paraId="7ECDE75B" w14:textId="668D215F" w:rsidR="00E31EF6" w:rsidRPr="00161200" w:rsidRDefault="00E31EF6" w:rsidP="00D22441">
      <w:pPr>
        <w:pStyle w:val="Prrafodelista"/>
        <w:numPr>
          <w:ilvl w:val="0"/>
          <w:numId w:val="50"/>
        </w:numPr>
        <w:spacing w:after="0" w:line="240" w:lineRule="auto"/>
        <w:ind w:left="360"/>
        <w:rPr>
          <w:rFonts w:ascii="Arial" w:hAnsi="Arial" w:cs="Arial"/>
        </w:rPr>
      </w:pPr>
      <w:r w:rsidRPr="00161200">
        <w:rPr>
          <w:rFonts w:ascii="Arial" w:hAnsi="Arial" w:cs="Arial"/>
          <w:b/>
          <w:bCs/>
        </w:rPr>
        <w:t>Partes</w:t>
      </w:r>
      <w:r w:rsidRPr="00161200">
        <w:rPr>
          <w:rFonts w:ascii="Arial" w:hAnsi="Arial" w:cs="Arial"/>
        </w:rPr>
        <w:t xml:space="preserve">: los sujetos que intervienen en el proceso de jurisdicción </w:t>
      </w:r>
      <w:proofErr w:type="gramStart"/>
      <w:r w:rsidRPr="00161200">
        <w:rPr>
          <w:rFonts w:ascii="Arial" w:hAnsi="Arial" w:cs="Arial"/>
        </w:rPr>
        <w:t>coactiva,</w:t>
      </w:r>
      <w:proofErr w:type="gramEnd"/>
      <w:r w:rsidR="00C21670">
        <w:rPr>
          <w:rFonts w:ascii="Arial" w:hAnsi="Arial" w:cs="Arial"/>
        </w:rPr>
        <w:t xml:space="preserve"> </w:t>
      </w:r>
      <w:r w:rsidRPr="00161200">
        <w:rPr>
          <w:rFonts w:ascii="Arial" w:hAnsi="Arial" w:cs="Arial"/>
        </w:rPr>
        <w:t xml:space="preserve">se dividen en el sujeto activo que es el Estado, representado por la entidad pública ejecutante y el sujeto </w:t>
      </w:r>
      <w:r w:rsidRPr="00161200">
        <w:rPr>
          <w:rFonts w:ascii="Arial" w:hAnsi="Arial" w:cs="Arial"/>
        </w:rPr>
        <w:lastRenderedPageBreak/>
        <w:t>pasivo que es el obligado, es decir, la persona natural o jurídica de quien se predica ser deudor del sujeto activo con fundamento en un título ejecutivo.</w:t>
      </w:r>
    </w:p>
    <w:p w14:paraId="3C319528" w14:textId="2EA9AC8B" w:rsidR="00E31EF6" w:rsidRPr="00161200" w:rsidRDefault="00E31EF6" w:rsidP="00D22441">
      <w:pPr>
        <w:pStyle w:val="Prrafodelista"/>
        <w:numPr>
          <w:ilvl w:val="0"/>
          <w:numId w:val="50"/>
        </w:numPr>
        <w:spacing w:after="0" w:line="240" w:lineRule="auto"/>
        <w:ind w:left="360"/>
        <w:rPr>
          <w:rFonts w:ascii="Arial" w:hAnsi="Arial" w:cs="Arial"/>
        </w:rPr>
      </w:pPr>
      <w:r w:rsidRPr="00161200">
        <w:rPr>
          <w:rFonts w:ascii="Arial" w:hAnsi="Arial" w:cs="Arial"/>
          <w:b/>
          <w:bCs/>
        </w:rPr>
        <w:t>Póliza de seguro:</w:t>
      </w:r>
      <w:r w:rsidRPr="00161200">
        <w:rPr>
          <w:rFonts w:ascii="Arial" w:hAnsi="Arial" w:cs="Arial"/>
        </w:rPr>
        <w:t xml:space="preserve"> Es un contrato mediante el cual se suscribe entre un asegurado y una compañía de seguros, que establece los derechos y obligaciones de ambos, en relación con el seguro contratado. El objeto de la póliza es el cumplimiento de las obligaciones derivadas del Acuerdo de Pago.</w:t>
      </w:r>
    </w:p>
    <w:p w14:paraId="3E4D1ECC" w14:textId="1FF1B7EE" w:rsidR="00A21ED5" w:rsidRPr="00161200" w:rsidRDefault="00A21ED5" w:rsidP="00D22441">
      <w:pPr>
        <w:pStyle w:val="Prrafodelista"/>
        <w:numPr>
          <w:ilvl w:val="0"/>
          <w:numId w:val="50"/>
        </w:numPr>
        <w:spacing w:after="0" w:line="240" w:lineRule="auto"/>
        <w:ind w:left="360"/>
        <w:rPr>
          <w:rFonts w:ascii="Arial" w:hAnsi="Arial" w:cs="Arial"/>
        </w:rPr>
      </w:pPr>
      <w:r w:rsidRPr="00161200">
        <w:rPr>
          <w:rFonts w:ascii="Arial" w:hAnsi="Arial" w:cs="Arial"/>
          <w:b/>
          <w:bCs/>
        </w:rPr>
        <w:t>Preliquidación:</w:t>
      </w:r>
      <w:r w:rsidRPr="00161200">
        <w:rPr>
          <w:rFonts w:ascii="Arial" w:hAnsi="Arial" w:cs="Arial"/>
        </w:rPr>
        <w:t xml:space="preserve"> Borrador</w:t>
      </w:r>
      <w:r w:rsidR="002F22FC">
        <w:rPr>
          <w:rFonts w:ascii="Arial" w:hAnsi="Arial" w:cs="Arial"/>
        </w:rPr>
        <w:t xml:space="preserve"> de propuesta</w:t>
      </w:r>
      <w:r w:rsidRPr="00161200">
        <w:rPr>
          <w:rFonts w:ascii="Arial" w:hAnsi="Arial" w:cs="Arial"/>
        </w:rPr>
        <w:t xml:space="preserve"> para discusión, objeciones, ajustes u observaciones de</w:t>
      </w:r>
      <w:r w:rsidR="00E55525">
        <w:rPr>
          <w:rFonts w:ascii="Arial" w:hAnsi="Arial" w:cs="Arial"/>
        </w:rPr>
        <w:t>l documento</w:t>
      </w:r>
      <w:r w:rsidR="002F22FC">
        <w:rPr>
          <w:rFonts w:ascii="Arial" w:hAnsi="Arial" w:cs="Arial"/>
        </w:rPr>
        <w:t xml:space="preserve"> que contiene el</w:t>
      </w:r>
      <w:r w:rsidR="00E55525">
        <w:rPr>
          <w:rFonts w:ascii="Arial" w:hAnsi="Arial" w:cs="Arial"/>
        </w:rPr>
        <w:t xml:space="preserve"> procedimiento</w:t>
      </w:r>
      <w:r w:rsidR="006D29C4">
        <w:rPr>
          <w:rFonts w:ascii="Arial" w:hAnsi="Arial" w:cs="Arial"/>
        </w:rPr>
        <w:t xml:space="preserve">, </w:t>
      </w:r>
      <w:r w:rsidR="002F22FC">
        <w:rPr>
          <w:rFonts w:ascii="Arial" w:hAnsi="Arial" w:cs="Arial"/>
        </w:rPr>
        <w:t>metodología</w:t>
      </w:r>
      <w:r w:rsidR="00E55525">
        <w:rPr>
          <w:rFonts w:ascii="Arial" w:hAnsi="Arial" w:cs="Arial"/>
        </w:rPr>
        <w:t xml:space="preserve"> </w:t>
      </w:r>
      <w:r w:rsidR="006D29C4">
        <w:rPr>
          <w:rFonts w:ascii="Arial" w:hAnsi="Arial" w:cs="Arial"/>
        </w:rPr>
        <w:t xml:space="preserve">y liquidación para </w:t>
      </w:r>
      <w:r w:rsidRPr="00161200">
        <w:rPr>
          <w:rFonts w:ascii="Arial" w:hAnsi="Arial" w:cs="Arial"/>
        </w:rPr>
        <w:t>la determinación en dinero del importe de una deuda.</w:t>
      </w:r>
    </w:p>
    <w:p w14:paraId="5533E630" w14:textId="77777777" w:rsidR="00E31EF6" w:rsidRPr="00161200" w:rsidRDefault="00E31EF6" w:rsidP="00D22441">
      <w:pPr>
        <w:pStyle w:val="Prrafodelista"/>
        <w:numPr>
          <w:ilvl w:val="0"/>
          <w:numId w:val="50"/>
        </w:numPr>
        <w:spacing w:after="0" w:line="240" w:lineRule="auto"/>
        <w:ind w:left="360"/>
        <w:rPr>
          <w:rFonts w:ascii="Arial" w:hAnsi="Arial" w:cs="Arial"/>
        </w:rPr>
      </w:pPr>
      <w:r w:rsidRPr="00161200">
        <w:rPr>
          <w:rFonts w:ascii="Arial" w:hAnsi="Arial" w:cs="Arial"/>
          <w:b/>
          <w:bCs/>
        </w:rPr>
        <w:t>Prenda:</w:t>
      </w:r>
      <w:r w:rsidRPr="00161200">
        <w:rPr>
          <w:rFonts w:ascii="Arial" w:hAnsi="Arial" w:cs="Arial"/>
        </w:rPr>
        <w:t xml:space="preserve"> La prenda es un contrato accesorio por el que se garantiza con bienes muebles el cumplimiento de una obligación.</w:t>
      </w:r>
    </w:p>
    <w:p w14:paraId="4312A44B" w14:textId="77777777" w:rsidR="00E31EF6" w:rsidRPr="00161200" w:rsidRDefault="00E31EF6" w:rsidP="00D22441">
      <w:pPr>
        <w:pStyle w:val="Prrafodelista"/>
        <w:numPr>
          <w:ilvl w:val="0"/>
          <w:numId w:val="50"/>
        </w:numPr>
        <w:spacing w:after="0" w:line="240" w:lineRule="auto"/>
        <w:ind w:left="360"/>
        <w:rPr>
          <w:rFonts w:ascii="Arial" w:hAnsi="Arial" w:cs="Arial"/>
        </w:rPr>
      </w:pPr>
      <w:r w:rsidRPr="00161200">
        <w:rPr>
          <w:rFonts w:ascii="Arial" w:hAnsi="Arial" w:cs="Arial"/>
          <w:b/>
          <w:bCs/>
        </w:rPr>
        <w:t>Procedimiento administrativo</w:t>
      </w:r>
      <w:r w:rsidRPr="00161200">
        <w:rPr>
          <w:rFonts w:ascii="Arial" w:hAnsi="Arial" w:cs="Arial"/>
        </w:rPr>
        <w:t xml:space="preserve">: conjunto de formalidades, etapas, actuaciones o trámites que debe seguir la Administración para producir un acto administrativo, que también comprende los medios de impugnación de que dispone el ejecutado para controvertir tales actos administrativos. </w:t>
      </w:r>
    </w:p>
    <w:p w14:paraId="3D359774" w14:textId="77777777" w:rsidR="00E31EF6" w:rsidRPr="00161200" w:rsidRDefault="00E31EF6" w:rsidP="00D22441">
      <w:pPr>
        <w:pStyle w:val="Prrafodelista"/>
        <w:numPr>
          <w:ilvl w:val="0"/>
          <w:numId w:val="50"/>
        </w:numPr>
        <w:spacing w:after="0" w:line="240" w:lineRule="auto"/>
        <w:ind w:left="360"/>
        <w:rPr>
          <w:rFonts w:ascii="Arial" w:hAnsi="Arial" w:cs="Arial"/>
        </w:rPr>
      </w:pPr>
      <w:r w:rsidRPr="00161200">
        <w:rPr>
          <w:rFonts w:ascii="Arial" w:hAnsi="Arial" w:cs="Arial"/>
          <w:b/>
          <w:bCs/>
        </w:rPr>
        <w:t>Prueba</w:t>
      </w:r>
      <w:r w:rsidRPr="00161200">
        <w:rPr>
          <w:rFonts w:ascii="Arial" w:hAnsi="Arial" w:cs="Arial"/>
        </w:rPr>
        <w:t>: Elemento a través del cual se busca demostrar la existencia u ocurrencia de hecho.</w:t>
      </w:r>
    </w:p>
    <w:p w14:paraId="4C001E8C" w14:textId="77777777" w:rsidR="00E31EF6" w:rsidRPr="00161200" w:rsidRDefault="00E31EF6" w:rsidP="00D22441">
      <w:pPr>
        <w:pStyle w:val="Prrafodelista"/>
        <w:numPr>
          <w:ilvl w:val="0"/>
          <w:numId w:val="50"/>
        </w:numPr>
        <w:spacing w:after="0" w:line="240" w:lineRule="auto"/>
        <w:ind w:left="360"/>
        <w:rPr>
          <w:rFonts w:ascii="Arial" w:hAnsi="Arial" w:cs="Arial"/>
        </w:rPr>
      </w:pPr>
      <w:r w:rsidRPr="00161200">
        <w:rPr>
          <w:rFonts w:ascii="Arial" w:hAnsi="Arial" w:cs="Arial"/>
          <w:b/>
          <w:bCs/>
        </w:rPr>
        <w:t>Rematante:</w:t>
      </w:r>
      <w:r w:rsidRPr="00161200">
        <w:rPr>
          <w:rFonts w:ascii="Arial" w:hAnsi="Arial" w:cs="Arial"/>
        </w:rPr>
        <w:t xml:space="preserve"> Es la persona a la que se le adjudica un bien en pública subasta.</w:t>
      </w:r>
    </w:p>
    <w:p w14:paraId="3BA0BFCB" w14:textId="77777777" w:rsidR="00E31EF6" w:rsidRPr="00161200" w:rsidRDefault="00E31EF6" w:rsidP="00D22441">
      <w:pPr>
        <w:pStyle w:val="Prrafodelista"/>
        <w:numPr>
          <w:ilvl w:val="0"/>
          <w:numId w:val="50"/>
        </w:numPr>
        <w:spacing w:after="0" w:line="240" w:lineRule="auto"/>
        <w:ind w:left="360"/>
        <w:rPr>
          <w:rFonts w:ascii="Arial" w:hAnsi="Arial" w:cs="Arial"/>
        </w:rPr>
      </w:pPr>
      <w:r w:rsidRPr="00161200">
        <w:rPr>
          <w:rFonts w:ascii="Arial" w:hAnsi="Arial" w:cs="Arial"/>
          <w:b/>
          <w:bCs/>
        </w:rPr>
        <w:t>Remate de bienes:</w:t>
      </w:r>
      <w:r w:rsidRPr="00161200">
        <w:rPr>
          <w:rFonts w:ascii="Arial" w:hAnsi="Arial" w:cs="Arial"/>
        </w:rPr>
        <w:t xml:space="preserve"> Adjudicación de los bienes del deudor a quien haya hecho la mejor postura en la subasta pública.</w:t>
      </w:r>
    </w:p>
    <w:p w14:paraId="20EAADE8" w14:textId="77777777" w:rsidR="00E31EF6" w:rsidRPr="00161200" w:rsidRDefault="00E31EF6" w:rsidP="00D22441">
      <w:pPr>
        <w:pStyle w:val="Prrafodelista"/>
        <w:numPr>
          <w:ilvl w:val="0"/>
          <w:numId w:val="50"/>
        </w:numPr>
        <w:spacing w:after="0" w:line="240" w:lineRule="auto"/>
        <w:ind w:left="360"/>
        <w:rPr>
          <w:rFonts w:ascii="Arial" w:hAnsi="Arial" w:cs="Arial"/>
        </w:rPr>
      </w:pPr>
      <w:r w:rsidRPr="00161200">
        <w:rPr>
          <w:rFonts w:ascii="Arial" w:hAnsi="Arial" w:cs="Arial"/>
          <w:b/>
          <w:bCs/>
        </w:rPr>
        <w:t>Secuestro:</w:t>
      </w:r>
      <w:r w:rsidRPr="00161200">
        <w:rPr>
          <w:rFonts w:ascii="Arial" w:hAnsi="Arial" w:cs="Arial"/>
        </w:rPr>
        <w:t xml:space="preserve"> Depósito convencional, judicial o administrativo de una cosa que se disputan dos o más personas, en manos de un tercero – el secuestre, quien deberá restituirla a quien obtenga la decisión favorable. El secuestre queda obligado a retener y custodiar la cosa mientras la controversia es dirimida. Si la cosa secuestrada es un inmueble, en lo que se refiere a su administración adquiere el secuestre las facultades propias de un mandatario.</w:t>
      </w:r>
    </w:p>
    <w:p w14:paraId="661E6AFB" w14:textId="77777777" w:rsidR="00E31EF6" w:rsidRPr="00161200" w:rsidRDefault="00E31EF6" w:rsidP="00D22441">
      <w:pPr>
        <w:pStyle w:val="Prrafodelista"/>
        <w:numPr>
          <w:ilvl w:val="0"/>
          <w:numId w:val="50"/>
        </w:numPr>
        <w:spacing w:after="0" w:line="240" w:lineRule="auto"/>
        <w:ind w:left="360"/>
        <w:rPr>
          <w:rFonts w:ascii="Arial" w:hAnsi="Arial" w:cs="Arial"/>
        </w:rPr>
      </w:pPr>
      <w:r w:rsidRPr="00161200">
        <w:rPr>
          <w:rFonts w:ascii="Arial" w:hAnsi="Arial" w:cs="Arial"/>
          <w:b/>
          <w:bCs/>
        </w:rPr>
        <w:t>Término:</w:t>
      </w:r>
      <w:r w:rsidRPr="00161200">
        <w:rPr>
          <w:rFonts w:ascii="Arial" w:hAnsi="Arial" w:cs="Arial"/>
        </w:rPr>
        <w:t xml:space="preserve"> Tiempo que la ley señala para cumplir una actuación procesal de carácter judicial o administrativa.</w:t>
      </w:r>
    </w:p>
    <w:p w14:paraId="37FB06E3" w14:textId="77777777" w:rsidR="00E31EF6" w:rsidRPr="00161200" w:rsidRDefault="00E31EF6" w:rsidP="00D22441">
      <w:pPr>
        <w:pStyle w:val="Prrafodelista"/>
        <w:numPr>
          <w:ilvl w:val="0"/>
          <w:numId w:val="50"/>
        </w:numPr>
        <w:spacing w:after="0" w:line="240" w:lineRule="auto"/>
        <w:ind w:left="360"/>
        <w:rPr>
          <w:rFonts w:ascii="Arial" w:hAnsi="Arial" w:cs="Arial"/>
        </w:rPr>
      </w:pPr>
      <w:r w:rsidRPr="00161200">
        <w:rPr>
          <w:rFonts w:ascii="Arial" w:hAnsi="Arial" w:cs="Arial"/>
          <w:b/>
          <w:bCs/>
        </w:rPr>
        <w:t>Titulo ejecutivo</w:t>
      </w:r>
      <w:r w:rsidRPr="00161200">
        <w:rPr>
          <w:rFonts w:ascii="Arial" w:hAnsi="Arial" w:cs="Arial"/>
        </w:rPr>
        <w:t xml:space="preserve">: documento en el que consta una obligación clara, expresa y actualmente exigible, que sirve al acreedor para </w:t>
      </w:r>
      <w:proofErr w:type="gramStart"/>
      <w:r w:rsidRPr="00161200">
        <w:rPr>
          <w:rFonts w:ascii="Arial" w:hAnsi="Arial" w:cs="Arial"/>
        </w:rPr>
        <w:t>dar inicio a</w:t>
      </w:r>
      <w:proofErr w:type="gramEnd"/>
      <w:r w:rsidRPr="00161200">
        <w:rPr>
          <w:rFonts w:ascii="Arial" w:hAnsi="Arial" w:cs="Arial"/>
        </w:rPr>
        <w:t xml:space="preserve"> un procedimiento ante una autoridad administrativa o judicial, mediante el cual se exige al deudor el cumplimiento forzado de las obligaciones incorporadas en el documento o conjunto de ellos. </w:t>
      </w:r>
    </w:p>
    <w:p w14:paraId="3443F4ED" w14:textId="77777777" w:rsidR="00E31EF6" w:rsidRPr="00161200" w:rsidRDefault="00E31EF6" w:rsidP="00D22441">
      <w:pPr>
        <w:pStyle w:val="Prrafodelista"/>
        <w:numPr>
          <w:ilvl w:val="0"/>
          <w:numId w:val="50"/>
        </w:numPr>
        <w:spacing w:after="0" w:line="240" w:lineRule="auto"/>
        <w:ind w:left="360"/>
        <w:rPr>
          <w:rFonts w:ascii="Arial" w:hAnsi="Arial" w:cs="Arial"/>
        </w:rPr>
      </w:pPr>
      <w:r w:rsidRPr="00161200">
        <w:rPr>
          <w:rFonts w:ascii="Arial" w:hAnsi="Arial" w:cs="Arial"/>
          <w:b/>
          <w:bCs/>
        </w:rPr>
        <w:t>Título de depósito judicial</w:t>
      </w:r>
      <w:r w:rsidRPr="00161200">
        <w:rPr>
          <w:rFonts w:ascii="Arial" w:hAnsi="Arial" w:cs="Arial"/>
        </w:rPr>
        <w:t>: son documentos representativos de sumas de dinero que se constituyen a favor de la administración investida de prerrogativa coactiva, por las entidades bancarias o financieras donde reposan recursos de propiedad de los deudores, en cumplimiento de órdenes de embargo expedidas como medida preventiva dentro de los procesos de cobro coactivo.</w:t>
      </w:r>
    </w:p>
    <w:p w14:paraId="2E18065C" w14:textId="77777777" w:rsidR="00E31EF6" w:rsidRPr="00161200" w:rsidRDefault="00E31EF6" w:rsidP="00D22441">
      <w:pPr>
        <w:pStyle w:val="Prrafodelista"/>
        <w:numPr>
          <w:ilvl w:val="0"/>
          <w:numId w:val="50"/>
        </w:numPr>
        <w:spacing w:after="0" w:line="240" w:lineRule="auto"/>
        <w:ind w:left="360"/>
        <w:rPr>
          <w:rFonts w:ascii="Arial" w:hAnsi="Arial" w:cs="Arial"/>
        </w:rPr>
      </w:pPr>
      <w:r w:rsidRPr="00161200">
        <w:rPr>
          <w:rFonts w:ascii="Arial" w:hAnsi="Arial" w:cs="Arial"/>
          <w:b/>
          <w:bCs/>
        </w:rPr>
        <w:t>Tributo</w:t>
      </w:r>
      <w:r w:rsidRPr="00161200">
        <w:rPr>
          <w:rFonts w:ascii="Arial" w:hAnsi="Arial" w:cs="Arial"/>
        </w:rPr>
        <w:t>:</w:t>
      </w:r>
      <w:r w:rsidRPr="00161200">
        <w:rPr>
          <w:rFonts w:ascii="Arial" w:hAnsi="Arial" w:cs="Arial"/>
          <w:b/>
          <w:bCs/>
        </w:rPr>
        <w:t xml:space="preserve"> </w:t>
      </w:r>
      <w:r w:rsidRPr="00161200">
        <w:rPr>
          <w:rFonts w:ascii="Arial" w:hAnsi="Arial" w:cs="Arial"/>
        </w:rPr>
        <w:t>Obligación sustancial que puede ser un impuesto, una tasa o una contribución.</w:t>
      </w:r>
    </w:p>
    <w:p w14:paraId="6AB8BE3A" w14:textId="77777777" w:rsidR="00E31EF6" w:rsidRPr="00161200" w:rsidRDefault="00E31EF6" w:rsidP="00D22441">
      <w:pPr>
        <w:pStyle w:val="Prrafodelista"/>
        <w:numPr>
          <w:ilvl w:val="0"/>
          <w:numId w:val="50"/>
        </w:numPr>
        <w:spacing w:after="0" w:line="240" w:lineRule="auto"/>
        <w:ind w:left="360"/>
        <w:rPr>
          <w:rFonts w:ascii="Arial" w:hAnsi="Arial" w:cs="Arial"/>
        </w:rPr>
      </w:pPr>
      <w:r w:rsidRPr="00161200">
        <w:rPr>
          <w:rFonts w:ascii="Arial" w:hAnsi="Arial" w:cs="Arial"/>
          <w:b/>
          <w:bCs/>
        </w:rPr>
        <w:t>Recursos</w:t>
      </w:r>
      <w:r w:rsidRPr="00161200">
        <w:rPr>
          <w:rFonts w:ascii="Arial" w:hAnsi="Arial" w:cs="Arial"/>
        </w:rPr>
        <w:t xml:space="preserve">: Medio para ejercer el control de legalidad respecto de una decisión con el fin de que revoque, aclare o modifique. </w:t>
      </w:r>
    </w:p>
    <w:p w14:paraId="4C66A9DC" w14:textId="77777777" w:rsidR="00E31EF6" w:rsidRPr="00161200" w:rsidRDefault="00E31EF6" w:rsidP="00D22441">
      <w:pPr>
        <w:pStyle w:val="Prrafodelista"/>
        <w:numPr>
          <w:ilvl w:val="0"/>
          <w:numId w:val="50"/>
        </w:numPr>
        <w:spacing w:after="0" w:line="240" w:lineRule="auto"/>
        <w:ind w:left="360"/>
        <w:rPr>
          <w:rFonts w:ascii="Arial" w:hAnsi="Arial" w:cs="Arial"/>
        </w:rPr>
      </w:pPr>
      <w:r w:rsidRPr="00161200">
        <w:rPr>
          <w:rFonts w:ascii="Arial" w:hAnsi="Arial" w:cs="Arial"/>
          <w:b/>
          <w:bCs/>
        </w:rPr>
        <w:t>Relación costo beneficio</w:t>
      </w:r>
      <w:r w:rsidRPr="00161200">
        <w:rPr>
          <w:rFonts w:ascii="Arial" w:hAnsi="Arial" w:cs="Arial"/>
        </w:rPr>
        <w:t xml:space="preserve">: aplicación de la metodología de estudio costo beneficio de reconocido valor técnico, que determina que los costos relacionados con el proceso de gestión de cobro de cartera son superiores a los beneficios estimados, es decir que no se </w:t>
      </w:r>
      <w:r w:rsidRPr="00161200">
        <w:rPr>
          <w:rFonts w:ascii="Arial" w:hAnsi="Arial" w:cs="Arial"/>
        </w:rPr>
        <w:lastRenderedPageBreak/>
        <w:t>obtenga beneficio alguno, por lo que procede a ordenar su depuración contable al resultar desfavorable para las finanzas de la respectiva entidad</w:t>
      </w:r>
    </w:p>
    <w:p w14:paraId="75C661BE" w14:textId="4D6BBD18" w:rsidR="00E31EF6" w:rsidRPr="00A63DA8" w:rsidRDefault="00E31EF6" w:rsidP="00A63DA8">
      <w:pPr>
        <w:pStyle w:val="Prrafodelista"/>
        <w:numPr>
          <w:ilvl w:val="0"/>
          <w:numId w:val="50"/>
        </w:numPr>
        <w:spacing w:after="0" w:line="240" w:lineRule="auto"/>
        <w:ind w:left="360"/>
        <w:rPr>
          <w:rFonts w:ascii="Arial" w:hAnsi="Arial" w:cs="Arial"/>
        </w:rPr>
      </w:pPr>
      <w:r w:rsidRPr="00161200">
        <w:rPr>
          <w:rFonts w:ascii="Arial" w:hAnsi="Arial" w:cs="Arial"/>
          <w:b/>
          <w:bCs/>
        </w:rPr>
        <w:t>Vencimiento de la obligación</w:t>
      </w:r>
      <w:r w:rsidRPr="00161200">
        <w:rPr>
          <w:rFonts w:ascii="Arial" w:hAnsi="Arial" w:cs="Arial"/>
        </w:rPr>
        <w:t>: Momento en el cual el plazo</w:t>
      </w:r>
      <w:r w:rsidR="00E02CC6" w:rsidRPr="00161200">
        <w:rPr>
          <w:rFonts w:ascii="Arial" w:hAnsi="Arial" w:cs="Arial"/>
        </w:rPr>
        <w:t xml:space="preserve"> fijado</w:t>
      </w:r>
      <w:r w:rsidRPr="00161200">
        <w:rPr>
          <w:rFonts w:ascii="Arial" w:hAnsi="Arial" w:cs="Arial"/>
        </w:rPr>
        <w:t xml:space="preserve"> para el pago oportuno tiene lugar sin que haya satisfecho la obligación.</w:t>
      </w:r>
    </w:p>
    <w:sectPr w:rsidR="00E31EF6" w:rsidRPr="00A63DA8" w:rsidSect="00867F11">
      <w:pgSz w:w="12242" w:h="15842" w:code="1"/>
      <w:pgMar w:top="1701" w:right="1418" w:bottom="1418" w:left="1418" w:header="709" w:footer="86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D8F97" w14:textId="77777777" w:rsidR="00D02BED" w:rsidRDefault="00D02BED">
      <w:r>
        <w:separator/>
      </w:r>
    </w:p>
  </w:endnote>
  <w:endnote w:type="continuationSeparator" w:id="0">
    <w:p w14:paraId="5767C340" w14:textId="77777777" w:rsidR="00D02BED" w:rsidRDefault="00D02BED">
      <w:r>
        <w:continuationSeparator/>
      </w:r>
    </w:p>
  </w:endnote>
  <w:endnote w:type="continuationNotice" w:id="1">
    <w:p w14:paraId="7FAE890D" w14:textId="77777777" w:rsidR="00D02BED" w:rsidRDefault="00D02B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4224D" w14:textId="77777777" w:rsidR="008B05E8" w:rsidRPr="00270F2F" w:rsidRDefault="008B05E8" w:rsidP="000D5E7E">
    <w:pPr>
      <w:pStyle w:val="Encabezado"/>
      <w:jc w:val="center"/>
    </w:pPr>
    <w:r>
      <w:t>_________________________________________________________________________________</w:t>
    </w:r>
  </w:p>
  <w:p w14:paraId="68C4C71A" w14:textId="77777777" w:rsidR="008B05E8" w:rsidRDefault="008B05E8" w:rsidP="000D5E7E">
    <w:pPr>
      <w:pStyle w:val="Piedepgina"/>
      <w:contextualSpacing/>
      <w:jc w:val="center"/>
      <w:rPr>
        <w:sz w:val="16"/>
      </w:rPr>
    </w:pPr>
  </w:p>
  <w:p w14:paraId="60171632" w14:textId="77777777" w:rsidR="008B05E8" w:rsidRDefault="008B05E8" w:rsidP="008B05E8">
    <w:pPr>
      <w:pStyle w:val="Piedepgina"/>
      <w:contextualSpacing/>
      <w:rPr>
        <w:b/>
        <w:sz w:val="16"/>
      </w:rPr>
    </w:pPr>
    <w:r>
      <w:rPr>
        <w:sz w:val="16"/>
      </w:rPr>
      <w:t xml:space="preserve">D – 905 004   DE 2023 </w:t>
    </w:r>
    <w:r w:rsidRPr="008B05E8">
      <w:rPr>
        <w:sz w:val="16"/>
      </w:rPr>
      <w:t>LIQUIDACIÓN DE LA CONTRIBUCIÓN QUE DEBEN PAGAR LAS ENTIDADES REGULADAS PARA EL AÑO 2023</w:t>
    </w:r>
    <w:r>
      <w:rPr>
        <w:sz w:val="16"/>
      </w:rPr>
      <w:t>.</w:t>
    </w:r>
  </w:p>
  <w:tbl>
    <w:tblPr>
      <w:tblW w:w="53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3"/>
      <w:gridCol w:w="2791"/>
      <w:gridCol w:w="2633"/>
    </w:tblGrid>
    <w:tr w:rsidR="008B05E8" w:rsidRPr="00456730" w14:paraId="3BCCD6F7" w14:textId="77777777" w:rsidTr="005E2C2F">
      <w:trPr>
        <w:cantSplit/>
        <w:trHeight w:val="254"/>
        <w:jc w:val="center"/>
      </w:trPr>
      <w:tc>
        <w:tcPr>
          <w:tcW w:w="2314" w:type="pct"/>
          <w:vAlign w:val="center"/>
        </w:tcPr>
        <w:p w14:paraId="70BB6FA0" w14:textId="77777777" w:rsidR="008B05E8" w:rsidRPr="00456730" w:rsidRDefault="008B05E8" w:rsidP="008B05E8">
          <w:pPr>
            <w:contextualSpacing/>
            <w:rPr>
              <w:iCs/>
              <w:sz w:val="14"/>
            </w:rPr>
          </w:pPr>
          <w:r w:rsidRPr="00456730">
            <w:rPr>
              <w:rFonts w:cs="Arial"/>
              <w:iCs/>
              <w:sz w:val="14"/>
            </w:rPr>
            <w:t xml:space="preserve">Proceso        </w:t>
          </w:r>
          <w:r w:rsidRPr="00456730">
            <w:rPr>
              <w:rFonts w:cs="Arial"/>
              <w:b/>
              <w:iCs/>
              <w:sz w:val="14"/>
            </w:rPr>
            <w:t>REGULACIÓN</w:t>
          </w:r>
        </w:p>
      </w:tc>
      <w:tc>
        <w:tcPr>
          <w:tcW w:w="1382" w:type="pct"/>
          <w:vAlign w:val="center"/>
        </w:tcPr>
        <w:p w14:paraId="61B649CE" w14:textId="77777777" w:rsidR="008B05E8" w:rsidRPr="00456730" w:rsidRDefault="008B05E8" w:rsidP="008B05E8">
          <w:pPr>
            <w:contextualSpacing/>
            <w:rPr>
              <w:rFonts w:cs="Arial"/>
              <w:iCs/>
              <w:sz w:val="14"/>
            </w:rPr>
          </w:pPr>
          <w:r w:rsidRPr="00456730">
            <w:rPr>
              <w:rFonts w:cs="Arial"/>
              <w:b/>
              <w:iCs/>
              <w:sz w:val="14"/>
            </w:rPr>
            <w:t xml:space="preserve">Código: </w:t>
          </w:r>
          <w:r w:rsidRPr="00456730">
            <w:rPr>
              <w:rFonts w:cs="Arial"/>
              <w:iCs/>
              <w:sz w:val="14"/>
            </w:rPr>
            <w:t>RG-FT-005</w:t>
          </w:r>
        </w:p>
      </w:tc>
      <w:tc>
        <w:tcPr>
          <w:tcW w:w="1304" w:type="pct"/>
          <w:vAlign w:val="center"/>
        </w:tcPr>
        <w:p w14:paraId="293A4744" w14:textId="77777777" w:rsidR="008B05E8" w:rsidRPr="00456730" w:rsidRDefault="008B05E8" w:rsidP="008B05E8">
          <w:pPr>
            <w:contextualSpacing/>
            <w:rPr>
              <w:rFonts w:cs="Arial"/>
              <w:iCs/>
              <w:sz w:val="14"/>
            </w:rPr>
          </w:pPr>
          <w:r w:rsidRPr="00456730">
            <w:rPr>
              <w:rFonts w:cs="Arial"/>
              <w:b/>
              <w:iCs/>
              <w:sz w:val="14"/>
            </w:rPr>
            <w:t xml:space="preserve">Versión: </w:t>
          </w:r>
          <w:r>
            <w:rPr>
              <w:rFonts w:cs="Arial"/>
              <w:iCs/>
              <w:sz w:val="14"/>
            </w:rPr>
            <w:t>0</w:t>
          </w:r>
        </w:p>
      </w:tc>
    </w:tr>
    <w:tr w:rsidR="008B05E8" w:rsidRPr="00456730" w14:paraId="59498E30" w14:textId="77777777" w:rsidTr="005E2C2F">
      <w:trPr>
        <w:cantSplit/>
        <w:trHeight w:val="261"/>
        <w:jc w:val="center"/>
      </w:trPr>
      <w:tc>
        <w:tcPr>
          <w:tcW w:w="2314" w:type="pct"/>
          <w:vAlign w:val="center"/>
        </w:tcPr>
        <w:p w14:paraId="3C5FA4B6" w14:textId="77777777" w:rsidR="008B05E8" w:rsidRPr="00456730" w:rsidRDefault="008B05E8" w:rsidP="008B05E8">
          <w:pPr>
            <w:ind w:left="923" w:hanging="923"/>
            <w:contextualSpacing/>
            <w:rPr>
              <w:rFonts w:cs="Arial"/>
              <w:bCs/>
              <w:iCs/>
              <w:sz w:val="14"/>
            </w:rPr>
          </w:pPr>
          <w:r w:rsidRPr="00456730">
            <w:rPr>
              <w:rFonts w:cs="Arial"/>
              <w:iCs/>
              <w:sz w:val="14"/>
            </w:rPr>
            <w:t xml:space="preserve">Documento   </w:t>
          </w:r>
          <w:proofErr w:type="spellStart"/>
          <w:r w:rsidRPr="00456730">
            <w:rPr>
              <w:rFonts w:cs="Arial"/>
              <w:b/>
              <w:iCs/>
              <w:sz w:val="14"/>
            </w:rPr>
            <w:t>DOCUMENTO</w:t>
          </w:r>
          <w:proofErr w:type="spellEnd"/>
          <w:r w:rsidRPr="00456730">
            <w:rPr>
              <w:rFonts w:cs="Arial"/>
              <w:b/>
              <w:iCs/>
              <w:sz w:val="14"/>
            </w:rPr>
            <w:t xml:space="preserve"> CREG</w:t>
          </w:r>
        </w:p>
      </w:tc>
      <w:tc>
        <w:tcPr>
          <w:tcW w:w="1382" w:type="pct"/>
          <w:vAlign w:val="center"/>
        </w:tcPr>
        <w:p w14:paraId="3C3EB1EF" w14:textId="77777777" w:rsidR="008B05E8" w:rsidRPr="00456730" w:rsidRDefault="008B05E8" w:rsidP="008B05E8">
          <w:pPr>
            <w:contextualSpacing/>
            <w:rPr>
              <w:rFonts w:cs="Arial"/>
              <w:iCs/>
              <w:sz w:val="14"/>
            </w:rPr>
          </w:pPr>
          <w:r w:rsidRPr="00456730">
            <w:rPr>
              <w:rFonts w:cs="Arial"/>
              <w:b/>
              <w:iCs/>
              <w:sz w:val="14"/>
            </w:rPr>
            <w:t xml:space="preserve">Fecha última revisión: </w:t>
          </w:r>
          <w:r>
            <w:rPr>
              <w:rFonts w:cs="Arial"/>
              <w:b/>
              <w:iCs/>
              <w:sz w:val="14"/>
            </w:rPr>
            <w:t>28/10/2016</w:t>
          </w:r>
        </w:p>
      </w:tc>
      <w:tc>
        <w:tcPr>
          <w:tcW w:w="1304" w:type="pct"/>
          <w:vAlign w:val="center"/>
        </w:tcPr>
        <w:p w14:paraId="4C3CF32B" w14:textId="77777777" w:rsidR="008B05E8" w:rsidRPr="00456730" w:rsidRDefault="008B05E8" w:rsidP="008B05E8">
          <w:pPr>
            <w:contextualSpacing/>
            <w:rPr>
              <w:rFonts w:cs="Arial"/>
              <w:iCs/>
              <w:sz w:val="14"/>
            </w:rPr>
          </w:pPr>
          <w:r w:rsidRPr="00456730">
            <w:rPr>
              <w:rFonts w:cs="Arial"/>
              <w:b/>
              <w:iCs/>
              <w:sz w:val="14"/>
            </w:rPr>
            <w:t>Página:</w:t>
          </w:r>
          <w:r w:rsidRPr="00456730">
            <w:rPr>
              <w:rFonts w:cs="Arial"/>
              <w:iCs/>
              <w:sz w:val="14"/>
            </w:rPr>
            <w:t xml:space="preserve"> </w:t>
          </w:r>
          <w:r w:rsidRPr="00456730">
            <w:rPr>
              <w:rFonts w:cs="Arial"/>
              <w:iCs/>
              <w:sz w:val="14"/>
            </w:rPr>
            <w:fldChar w:fldCharType="begin"/>
          </w:r>
          <w:r w:rsidRPr="00456730">
            <w:rPr>
              <w:rFonts w:cs="Arial"/>
              <w:iCs/>
              <w:sz w:val="14"/>
            </w:rPr>
            <w:instrText xml:space="preserve"> PAGE </w:instrText>
          </w:r>
          <w:r w:rsidRPr="00456730">
            <w:rPr>
              <w:rFonts w:cs="Arial"/>
              <w:iCs/>
              <w:sz w:val="14"/>
            </w:rPr>
            <w:fldChar w:fldCharType="separate"/>
          </w:r>
          <w:r>
            <w:rPr>
              <w:rFonts w:cs="Arial"/>
              <w:iCs/>
              <w:sz w:val="14"/>
            </w:rPr>
            <w:t>2</w:t>
          </w:r>
          <w:r w:rsidRPr="00456730">
            <w:rPr>
              <w:rFonts w:cs="Arial"/>
              <w:iCs/>
              <w:sz w:val="14"/>
            </w:rPr>
            <w:fldChar w:fldCharType="end"/>
          </w:r>
          <w:r>
            <w:rPr>
              <w:rFonts w:cs="Arial"/>
              <w:iCs/>
              <w:sz w:val="14"/>
            </w:rPr>
            <w:t xml:space="preserve"> </w:t>
          </w:r>
        </w:p>
      </w:tc>
    </w:tr>
  </w:tbl>
  <w:p w14:paraId="1C3C01D2" w14:textId="53388070" w:rsidR="00B07312" w:rsidRPr="00F6697A" w:rsidRDefault="00B07312" w:rsidP="00B85DC8">
    <w:pPr>
      <w:pStyle w:val="Encabezado"/>
      <w:rPr>
        <w:color w:val="5B9BD5" w:themeColor="accent1"/>
      </w:rPr>
    </w:pPr>
  </w:p>
  <w:p w14:paraId="2956BD7C" w14:textId="124D1947" w:rsidR="00B07312" w:rsidRDefault="00B07312" w:rsidP="00B85DC8">
    <w:pPr>
      <w:pStyle w:val="Piedepgina"/>
      <w:jc w:val="center"/>
      <w:rPr>
        <w:noProof/>
        <w:lang w:val="en-US"/>
      </w:rPr>
    </w:pPr>
  </w:p>
  <w:p w14:paraId="796B80C4" w14:textId="4C9CEEC6" w:rsidR="00B07312" w:rsidRDefault="00B07312" w:rsidP="00B85DC8">
    <w:pPr>
      <w:pStyle w:val="Piedepgina"/>
      <w:jc w:val="center"/>
      <w:rPr>
        <w:noProof/>
        <w:lang w:val="en-US"/>
      </w:rPr>
    </w:pPr>
  </w:p>
  <w:p w14:paraId="451E8372" w14:textId="6F53E341" w:rsidR="00B07312" w:rsidRDefault="00B07312" w:rsidP="00B85DC8">
    <w:pPr>
      <w:pStyle w:val="Piedepgina"/>
      <w:jc w:val="center"/>
      <w:rPr>
        <w:noProof/>
        <w:lang w:val="en-US"/>
      </w:rPr>
    </w:pPr>
  </w:p>
  <w:p w14:paraId="3EA5820F" w14:textId="23A9E3CA" w:rsidR="00B07312" w:rsidRDefault="00B07312" w:rsidP="00B85DC8">
    <w:pPr>
      <w:pStyle w:val="Piedepgina"/>
      <w:jc w:val="center"/>
    </w:pPr>
  </w:p>
  <w:p w14:paraId="6E7B4486" w14:textId="3BD9E70D" w:rsidR="00B07312" w:rsidRDefault="00B07312" w:rsidP="005431B1">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B515E" w14:textId="3E72DEC8" w:rsidR="00B07312" w:rsidRPr="00270F2F" w:rsidRDefault="00B07312" w:rsidP="008B05E8">
    <w:pPr>
      <w:pStyle w:val="Encabezado"/>
    </w:pPr>
    <w:r>
      <w:t>_________________________________________________________________________________</w:t>
    </w:r>
  </w:p>
  <w:p w14:paraId="67E88CB0" w14:textId="77777777" w:rsidR="008B05E8" w:rsidRDefault="008B05E8" w:rsidP="008B05E8">
    <w:pPr>
      <w:pStyle w:val="Piedepgina"/>
      <w:contextualSpacing/>
      <w:rPr>
        <w:sz w:val="16"/>
      </w:rPr>
    </w:pPr>
  </w:p>
  <w:p w14:paraId="5F6A33AC" w14:textId="47FC7088" w:rsidR="008B05E8" w:rsidRDefault="008B05E8" w:rsidP="008B05E8">
    <w:pPr>
      <w:pStyle w:val="Piedepgina"/>
      <w:contextualSpacing/>
      <w:rPr>
        <w:b/>
        <w:sz w:val="16"/>
      </w:rPr>
    </w:pPr>
    <w:r>
      <w:rPr>
        <w:sz w:val="16"/>
      </w:rPr>
      <w:t>D – 90</w:t>
    </w:r>
    <w:r>
      <w:rPr>
        <w:sz w:val="16"/>
      </w:rPr>
      <w:t>5</w:t>
    </w:r>
    <w:r>
      <w:rPr>
        <w:sz w:val="16"/>
      </w:rPr>
      <w:t xml:space="preserve"> 0</w:t>
    </w:r>
    <w:r>
      <w:rPr>
        <w:sz w:val="16"/>
      </w:rPr>
      <w:t xml:space="preserve">04 </w:t>
    </w:r>
    <w:r>
      <w:rPr>
        <w:sz w:val="16"/>
      </w:rPr>
      <w:t xml:space="preserve"> </w:t>
    </w:r>
    <w:r>
      <w:rPr>
        <w:sz w:val="16"/>
      </w:rPr>
      <w:t xml:space="preserve"> </w:t>
    </w:r>
    <w:r>
      <w:rPr>
        <w:sz w:val="16"/>
      </w:rPr>
      <w:t xml:space="preserve">DE 2023 </w:t>
    </w:r>
    <w:r w:rsidRPr="008B05E8">
      <w:rPr>
        <w:sz w:val="16"/>
      </w:rPr>
      <w:t>LIQUIDACIÓN DE LA CONTRIBUCIÓN QUE DEBEN PAGAR LAS ENTIDADES REGULADAS PARA EL AÑO 2023</w:t>
    </w:r>
    <w:r>
      <w:rPr>
        <w:sz w:val="16"/>
      </w:rPr>
      <w:t>.</w:t>
    </w:r>
  </w:p>
  <w:tbl>
    <w:tblPr>
      <w:tblW w:w="53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3"/>
      <w:gridCol w:w="2791"/>
      <w:gridCol w:w="2633"/>
    </w:tblGrid>
    <w:tr w:rsidR="008B05E8" w:rsidRPr="00456730" w14:paraId="4DC2D364" w14:textId="77777777" w:rsidTr="005E2C2F">
      <w:trPr>
        <w:cantSplit/>
        <w:trHeight w:val="254"/>
        <w:jc w:val="center"/>
      </w:trPr>
      <w:tc>
        <w:tcPr>
          <w:tcW w:w="2314" w:type="pct"/>
          <w:vAlign w:val="center"/>
        </w:tcPr>
        <w:p w14:paraId="084D315E" w14:textId="77777777" w:rsidR="008B05E8" w:rsidRPr="00456730" w:rsidRDefault="008B05E8" w:rsidP="008B05E8">
          <w:pPr>
            <w:contextualSpacing/>
            <w:rPr>
              <w:iCs/>
              <w:sz w:val="14"/>
            </w:rPr>
          </w:pPr>
          <w:r w:rsidRPr="00456730">
            <w:rPr>
              <w:rFonts w:cs="Arial"/>
              <w:iCs/>
              <w:sz w:val="14"/>
            </w:rPr>
            <w:t xml:space="preserve">Proceso        </w:t>
          </w:r>
          <w:r w:rsidRPr="00456730">
            <w:rPr>
              <w:rFonts w:cs="Arial"/>
              <w:b/>
              <w:iCs/>
              <w:sz w:val="14"/>
            </w:rPr>
            <w:t>REGULACIÓN</w:t>
          </w:r>
        </w:p>
      </w:tc>
      <w:tc>
        <w:tcPr>
          <w:tcW w:w="1382" w:type="pct"/>
          <w:vAlign w:val="center"/>
        </w:tcPr>
        <w:p w14:paraId="146B9B7F" w14:textId="77777777" w:rsidR="008B05E8" w:rsidRPr="00456730" w:rsidRDefault="008B05E8" w:rsidP="008B05E8">
          <w:pPr>
            <w:contextualSpacing/>
            <w:rPr>
              <w:rFonts w:cs="Arial"/>
              <w:iCs/>
              <w:sz w:val="14"/>
            </w:rPr>
          </w:pPr>
          <w:r w:rsidRPr="00456730">
            <w:rPr>
              <w:rFonts w:cs="Arial"/>
              <w:b/>
              <w:iCs/>
              <w:sz w:val="14"/>
            </w:rPr>
            <w:t xml:space="preserve">Código: </w:t>
          </w:r>
          <w:r w:rsidRPr="00456730">
            <w:rPr>
              <w:rFonts w:cs="Arial"/>
              <w:iCs/>
              <w:sz w:val="14"/>
            </w:rPr>
            <w:t>RG-FT-005</w:t>
          </w:r>
        </w:p>
      </w:tc>
      <w:tc>
        <w:tcPr>
          <w:tcW w:w="1304" w:type="pct"/>
          <w:vAlign w:val="center"/>
        </w:tcPr>
        <w:p w14:paraId="7F392163" w14:textId="77777777" w:rsidR="008B05E8" w:rsidRPr="00456730" w:rsidRDefault="008B05E8" w:rsidP="008B05E8">
          <w:pPr>
            <w:contextualSpacing/>
            <w:rPr>
              <w:rFonts w:cs="Arial"/>
              <w:iCs/>
              <w:sz w:val="14"/>
            </w:rPr>
          </w:pPr>
          <w:r w:rsidRPr="00456730">
            <w:rPr>
              <w:rFonts w:cs="Arial"/>
              <w:b/>
              <w:iCs/>
              <w:sz w:val="14"/>
            </w:rPr>
            <w:t xml:space="preserve">Versión: </w:t>
          </w:r>
          <w:r>
            <w:rPr>
              <w:rFonts w:cs="Arial"/>
              <w:iCs/>
              <w:sz w:val="14"/>
            </w:rPr>
            <w:t>0</w:t>
          </w:r>
        </w:p>
      </w:tc>
    </w:tr>
    <w:tr w:rsidR="008B05E8" w:rsidRPr="00456730" w14:paraId="1CB42851" w14:textId="77777777" w:rsidTr="005E2C2F">
      <w:trPr>
        <w:cantSplit/>
        <w:trHeight w:val="261"/>
        <w:jc w:val="center"/>
      </w:trPr>
      <w:tc>
        <w:tcPr>
          <w:tcW w:w="2314" w:type="pct"/>
          <w:vAlign w:val="center"/>
        </w:tcPr>
        <w:p w14:paraId="46348A0E" w14:textId="77777777" w:rsidR="008B05E8" w:rsidRPr="00456730" w:rsidRDefault="008B05E8" w:rsidP="008B05E8">
          <w:pPr>
            <w:ind w:left="923" w:hanging="923"/>
            <w:contextualSpacing/>
            <w:rPr>
              <w:rFonts w:cs="Arial"/>
              <w:bCs/>
              <w:iCs/>
              <w:sz w:val="14"/>
            </w:rPr>
          </w:pPr>
          <w:r w:rsidRPr="00456730">
            <w:rPr>
              <w:rFonts w:cs="Arial"/>
              <w:iCs/>
              <w:sz w:val="14"/>
            </w:rPr>
            <w:t xml:space="preserve">Documento   </w:t>
          </w:r>
          <w:proofErr w:type="spellStart"/>
          <w:r w:rsidRPr="00456730">
            <w:rPr>
              <w:rFonts w:cs="Arial"/>
              <w:b/>
              <w:iCs/>
              <w:sz w:val="14"/>
            </w:rPr>
            <w:t>DOCUMENTO</w:t>
          </w:r>
          <w:proofErr w:type="spellEnd"/>
          <w:r w:rsidRPr="00456730">
            <w:rPr>
              <w:rFonts w:cs="Arial"/>
              <w:b/>
              <w:iCs/>
              <w:sz w:val="14"/>
            </w:rPr>
            <w:t xml:space="preserve"> CREG</w:t>
          </w:r>
        </w:p>
      </w:tc>
      <w:tc>
        <w:tcPr>
          <w:tcW w:w="1382" w:type="pct"/>
          <w:vAlign w:val="center"/>
        </w:tcPr>
        <w:p w14:paraId="68A1160C" w14:textId="77777777" w:rsidR="008B05E8" w:rsidRPr="00456730" w:rsidRDefault="008B05E8" w:rsidP="008B05E8">
          <w:pPr>
            <w:contextualSpacing/>
            <w:rPr>
              <w:rFonts w:cs="Arial"/>
              <w:iCs/>
              <w:sz w:val="14"/>
            </w:rPr>
          </w:pPr>
          <w:r w:rsidRPr="00456730">
            <w:rPr>
              <w:rFonts w:cs="Arial"/>
              <w:b/>
              <w:iCs/>
              <w:sz w:val="14"/>
            </w:rPr>
            <w:t xml:space="preserve">Fecha última revisión: </w:t>
          </w:r>
          <w:r>
            <w:rPr>
              <w:rFonts w:cs="Arial"/>
              <w:b/>
              <w:iCs/>
              <w:sz w:val="14"/>
            </w:rPr>
            <w:t>28/10/2016</w:t>
          </w:r>
        </w:p>
      </w:tc>
      <w:tc>
        <w:tcPr>
          <w:tcW w:w="1304" w:type="pct"/>
          <w:vAlign w:val="center"/>
        </w:tcPr>
        <w:p w14:paraId="06D7B7D5" w14:textId="77777777" w:rsidR="008B05E8" w:rsidRPr="00456730" w:rsidRDefault="008B05E8" w:rsidP="008B05E8">
          <w:pPr>
            <w:contextualSpacing/>
            <w:rPr>
              <w:rFonts w:cs="Arial"/>
              <w:iCs/>
              <w:sz w:val="14"/>
            </w:rPr>
          </w:pPr>
          <w:r w:rsidRPr="00456730">
            <w:rPr>
              <w:rFonts w:cs="Arial"/>
              <w:b/>
              <w:iCs/>
              <w:sz w:val="14"/>
            </w:rPr>
            <w:t>Página:</w:t>
          </w:r>
          <w:r w:rsidRPr="00456730">
            <w:rPr>
              <w:rFonts w:cs="Arial"/>
              <w:iCs/>
              <w:sz w:val="14"/>
            </w:rPr>
            <w:t xml:space="preserve"> </w:t>
          </w:r>
          <w:r w:rsidRPr="00456730">
            <w:rPr>
              <w:rFonts w:cs="Arial"/>
              <w:iCs/>
              <w:sz w:val="14"/>
            </w:rPr>
            <w:fldChar w:fldCharType="begin"/>
          </w:r>
          <w:r w:rsidRPr="00456730">
            <w:rPr>
              <w:rFonts w:cs="Arial"/>
              <w:iCs/>
              <w:sz w:val="14"/>
            </w:rPr>
            <w:instrText xml:space="preserve"> PAGE </w:instrText>
          </w:r>
          <w:r w:rsidRPr="00456730">
            <w:rPr>
              <w:rFonts w:cs="Arial"/>
              <w:iCs/>
              <w:sz w:val="14"/>
            </w:rPr>
            <w:fldChar w:fldCharType="separate"/>
          </w:r>
          <w:r>
            <w:rPr>
              <w:rFonts w:cs="Arial"/>
              <w:iCs/>
              <w:sz w:val="14"/>
            </w:rPr>
            <w:t>2</w:t>
          </w:r>
          <w:r w:rsidRPr="00456730">
            <w:rPr>
              <w:rFonts w:cs="Arial"/>
              <w:iCs/>
              <w:sz w:val="14"/>
            </w:rPr>
            <w:fldChar w:fldCharType="end"/>
          </w:r>
          <w:r>
            <w:rPr>
              <w:rFonts w:cs="Arial"/>
              <w:iCs/>
              <w:sz w:val="14"/>
            </w:rPr>
            <w:t xml:space="preserve"> </w:t>
          </w:r>
        </w:p>
      </w:tc>
    </w:tr>
  </w:tbl>
  <w:p w14:paraId="467B7F45" w14:textId="77777777" w:rsidR="008B05E8" w:rsidRPr="00BE2C84" w:rsidRDefault="008B05E8" w:rsidP="008B05E8">
    <w:pPr>
      <w:ind w:right="-449"/>
    </w:pPr>
  </w:p>
  <w:p w14:paraId="4446C24F" w14:textId="142A8A99" w:rsidR="00B07312" w:rsidRDefault="008B05E8" w:rsidP="008B05E8">
    <w:pPr>
      <w:pStyle w:val="Piedepgina"/>
      <w:tabs>
        <w:tab w:val="left" w:pos="340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077D6" w14:textId="77777777" w:rsidR="00D02BED" w:rsidRDefault="00D02BED">
      <w:r>
        <w:separator/>
      </w:r>
    </w:p>
  </w:footnote>
  <w:footnote w:type="continuationSeparator" w:id="0">
    <w:p w14:paraId="527DF4E4" w14:textId="77777777" w:rsidR="00D02BED" w:rsidRDefault="00D02BED">
      <w:r>
        <w:continuationSeparator/>
      </w:r>
    </w:p>
  </w:footnote>
  <w:footnote w:type="continuationNotice" w:id="1">
    <w:p w14:paraId="45AA44F9" w14:textId="77777777" w:rsidR="00D02BED" w:rsidRDefault="00D02BED"/>
  </w:footnote>
  <w:footnote w:id="2">
    <w:p w14:paraId="302B9CB6" w14:textId="77777777" w:rsidR="00B07312" w:rsidRPr="0027165D" w:rsidRDefault="00B07312" w:rsidP="006750D4">
      <w:pPr>
        <w:pStyle w:val="Textonotapie"/>
        <w:rPr>
          <w:rFonts w:cs="Arial"/>
          <w:sz w:val="18"/>
          <w:szCs w:val="18"/>
          <w:lang w:val="es-MX"/>
        </w:rPr>
      </w:pPr>
      <w:r w:rsidRPr="00F41A82">
        <w:rPr>
          <w:rStyle w:val="Refdenotaalpie"/>
          <w:rFonts w:cs="Arial"/>
          <w:sz w:val="18"/>
          <w:szCs w:val="18"/>
        </w:rPr>
        <w:footnoteRef/>
      </w:r>
      <w:r w:rsidRPr="00F41A82">
        <w:rPr>
          <w:rFonts w:cs="Arial"/>
          <w:sz w:val="18"/>
          <w:szCs w:val="18"/>
        </w:rPr>
        <w:t xml:space="preserve"> </w:t>
      </w:r>
      <w:r w:rsidRPr="0027165D">
        <w:rPr>
          <w:rFonts w:cs="Arial"/>
          <w:sz w:val="18"/>
          <w:szCs w:val="18"/>
        </w:rPr>
        <w:t>En atención a lo señalado por la Corte Constitucional mediante Comunicado 49 sobre el contenido de la Sentencia C484 de 2020, la metodología introducida por la Ley 1955 de 2019 será aplicada para el cálculo y liquidación de la contribución 2020.</w:t>
      </w:r>
    </w:p>
  </w:footnote>
  <w:footnote w:id="3">
    <w:p w14:paraId="09467C2B" w14:textId="472D3A55" w:rsidR="00B07312" w:rsidRPr="00F41A82" w:rsidRDefault="00B07312" w:rsidP="00C02C93">
      <w:pPr>
        <w:pStyle w:val="Textonotapie"/>
        <w:rPr>
          <w:sz w:val="18"/>
          <w:szCs w:val="18"/>
          <w:lang w:val="es-MX"/>
        </w:rPr>
      </w:pPr>
      <w:r w:rsidRPr="00F41A82">
        <w:rPr>
          <w:rStyle w:val="Refdenotaalpie"/>
          <w:sz w:val="18"/>
          <w:szCs w:val="18"/>
        </w:rPr>
        <w:footnoteRef/>
      </w:r>
      <w:r w:rsidRPr="00F41A82">
        <w:rPr>
          <w:sz w:val="18"/>
          <w:szCs w:val="18"/>
        </w:rPr>
        <w:t xml:space="preserve"> </w:t>
      </w:r>
      <w:r w:rsidRPr="00F41A82">
        <w:rPr>
          <w:sz w:val="18"/>
          <w:szCs w:val="18"/>
          <w:lang w:val="es-MX"/>
        </w:rPr>
        <w:t xml:space="preserve">Ley N° 2276 de 2022. </w:t>
      </w:r>
      <w:r w:rsidRPr="00F41A82">
        <w:rPr>
          <w:i/>
          <w:iCs/>
          <w:sz w:val="18"/>
          <w:szCs w:val="18"/>
          <w:lang w:val="es-MX"/>
        </w:rPr>
        <w:t xml:space="preserve">“Por la cual se decreta el presupuesto de rentas y recursos de capital y ley de apropiaciones para la vigencia fiscal del 1° de enero al 31 de diciembre de 2023”. </w:t>
      </w:r>
      <w:r w:rsidRPr="00F41A82">
        <w:rPr>
          <w:sz w:val="18"/>
          <w:szCs w:val="18"/>
          <w:lang w:val="es-MX"/>
        </w:rPr>
        <w:t>Ver en enlace web MHCP:</w:t>
      </w:r>
    </w:p>
    <w:p w14:paraId="7EAE3B8C" w14:textId="70163298" w:rsidR="00B07312" w:rsidRPr="00F41A82" w:rsidRDefault="000D5E7E" w:rsidP="00C02C93">
      <w:pPr>
        <w:pStyle w:val="Textonotapie"/>
        <w:rPr>
          <w:color w:val="FF0000"/>
          <w:sz w:val="18"/>
          <w:szCs w:val="18"/>
          <w:lang w:val="es-MX"/>
        </w:rPr>
      </w:pPr>
      <w:hyperlink r:id="rId1" w:history="1">
        <w:r w:rsidR="00B07312" w:rsidRPr="00F41A82">
          <w:rPr>
            <w:rStyle w:val="Hipervnculo"/>
            <w:sz w:val="18"/>
            <w:szCs w:val="18"/>
            <w:lang w:val="es-MX"/>
          </w:rPr>
          <w:t>https://www.minhacienda.gov.co/webcenter/ShowProperty?nodeId=%2FConexionContent%2FWCC_CLUSTER-208233%2F%2FidcPrimaryFile&amp;revision=latestreleased</w:t>
        </w:r>
      </w:hyperlink>
    </w:p>
  </w:footnote>
  <w:footnote w:id="4">
    <w:p w14:paraId="1EE4ED92" w14:textId="06EA5A48" w:rsidR="00B07312" w:rsidRPr="00F41A82" w:rsidRDefault="00B07312" w:rsidP="00F948DF">
      <w:pPr>
        <w:pStyle w:val="Textonotapie"/>
        <w:rPr>
          <w:sz w:val="18"/>
          <w:szCs w:val="18"/>
        </w:rPr>
      </w:pPr>
      <w:r w:rsidRPr="00F41A82">
        <w:rPr>
          <w:rStyle w:val="Refdenotaalpie"/>
          <w:sz w:val="18"/>
          <w:szCs w:val="18"/>
        </w:rPr>
        <w:footnoteRef/>
      </w:r>
      <w:r w:rsidRPr="00F41A82">
        <w:rPr>
          <w:sz w:val="18"/>
          <w:szCs w:val="18"/>
        </w:rPr>
        <w:t xml:space="preserve"> Decreto N° 2590 de 2022 y su anexo. </w:t>
      </w:r>
      <w:r w:rsidRPr="00F41A82">
        <w:rPr>
          <w:i/>
          <w:sz w:val="18"/>
          <w:szCs w:val="18"/>
        </w:rPr>
        <w:t>“Por el cual se liquida el Presupuesto General de la Nación para la vigencia fiscal de 2021, se detallan las apropiaciones y se clasifican y definen los gastos”</w:t>
      </w:r>
      <w:r w:rsidRPr="00F41A82">
        <w:rPr>
          <w:sz w:val="18"/>
          <w:szCs w:val="18"/>
        </w:rPr>
        <w:t xml:space="preserve">. </w:t>
      </w:r>
      <w:r w:rsidRPr="00F41A82">
        <w:rPr>
          <w:sz w:val="18"/>
          <w:szCs w:val="18"/>
          <w:lang w:val="es-MX"/>
        </w:rPr>
        <w:t xml:space="preserve">Ver en enlace web MHCP: </w:t>
      </w:r>
    </w:p>
    <w:p w14:paraId="23276CE2" w14:textId="253F91C7" w:rsidR="00B07312" w:rsidRPr="00F41A82" w:rsidRDefault="000D5E7E" w:rsidP="00F948DF">
      <w:pPr>
        <w:pStyle w:val="Textonotapie"/>
        <w:rPr>
          <w:color w:val="FF0000"/>
          <w:sz w:val="18"/>
          <w:szCs w:val="18"/>
        </w:rPr>
      </w:pPr>
      <w:hyperlink r:id="rId2" w:history="1">
        <w:r w:rsidR="00B07312" w:rsidRPr="00F41A82">
          <w:rPr>
            <w:rStyle w:val="Hipervnculo"/>
            <w:sz w:val="18"/>
            <w:szCs w:val="18"/>
            <w:lang w:val="es-CO"/>
          </w:rPr>
          <w:t>https://www.minhacienda.gov.co/webcenter/ShowProperty?nodeId=%2FConexionContent%2FWCC_CLUSTER-209651%2F%2FidcPrimaryFile&amp;revision=latestreleased</w:t>
        </w:r>
      </w:hyperlink>
    </w:p>
  </w:footnote>
  <w:footnote w:id="5">
    <w:p w14:paraId="33B82BDF" w14:textId="1EEFD346" w:rsidR="00B07312" w:rsidRPr="00F41A82" w:rsidRDefault="00B07312" w:rsidP="001E39E5">
      <w:pPr>
        <w:pStyle w:val="Textonotapie"/>
        <w:rPr>
          <w:sz w:val="18"/>
          <w:szCs w:val="18"/>
        </w:rPr>
      </w:pPr>
      <w:r w:rsidRPr="00F41A82">
        <w:rPr>
          <w:rStyle w:val="Refdenotaalpie"/>
          <w:sz w:val="18"/>
          <w:szCs w:val="18"/>
        </w:rPr>
        <w:footnoteRef/>
      </w:r>
      <w:r w:rsidRPr="00F41A82">
        <w:rPr>
          <w:sz w:val="18"/>
          <w:szCs w:val="18"/>
        </w:rPr>
        <w:t xml:space="preserve"> Ley N° 2299 de 2023 </w:t>
      </w:r>
      <w:r w:rsidRPr="00F41A82">
        <w:rPr>
          <w:i/>
          <w:iCs/>
          <w:sz w:val="18"/>
          <w:szCs w:val="18"/>
        </w:rPr>
        <w:t xml:space="preserve">“Por la cual se adiciona y efectúa unas modificaciones al presupuesto general de la Nación de la vigencia fiscal 2023”. </w:t>
      </w:r>
      <w:r w:rsidRPr="00F41A82">
        <w:rPr>
          <w:sz w:val="18"/>
          <w:szCs w:val="18"/>
          <w:lang w:val="es-MX"/>
        </w:rPr>
        <w:t xml:space="preserve">Ver en enlace web MHCP: </w:t>
      </w:r>
    </w:p>
    <w:p w14:paraId="5F23D0F3" w14:textId="50C88F3D" w:rsidR="00B07312" w:rsidRPr="00F41A82" w:rsidRDefault="000D5E7E">
      <w:pPr>
        <w:pStyle w:val="Textonotapie"/>
        <w:rPr>
          <w:i/>
          <w:iCs/>
          <w:sz w:val="18"/>
          <w:szCs w:val="18"/>
        </w:rPr>
      </w:pPr>
      <w:hyperlink r:id="rId3" w:history="1">
        <w:r w:rsidR="00B07312" w:rsidRPr="00F41A82">
          <w:rPr>
            <w:rStyle w:val="Hipervnculo"/>
            <w:i/>
            <w:iCs/>
            <w:sz w:val="18"/>
            <w:szCs w:val="18"/>
            <w:lang w:val="es-CO"/>
          </w:rPr>
          <w:t>https://www.minhacienda.gov.co/webcenter/ShowProperty?nodeId=%2FConexionContent%2FWCC_CLUSTER-226290%2F%2FidcPrimaryFile&amp;revision=latestreleased</w:t>
        </w:r>
      </w:hyperlink>
    </w:p>
  </w:footnote>
  <w:footnote w:id="6">
    <w:p w14:paraId="7808406C" w14:textId="14F31E26" w:rsidR="00B07312" w:rsidRPr="00F41A82" w:rsidRDefault="00B07312">
      <w:pPr>
        <w:pStyle w:val="Textonotapie"/>
        <w:rPr>
          <w:sz w:val="18"/>
          <w:szCs w:val="18"/>
          <w:lang w:val="es-MX"/>
        </w:rPr>
      </w:pPr>
      <w:r w:rsidRPr="00F41A82">
        <w:rPr>
          <w:rStyle w:val="Refdenotaalpie"/>
          <w:sz w:val="18"/>
          <w:szCs w:val="18"/>
        </w:rPr>
        <w:footnoteRef/>
      </w:r>
      <w:r w:rsidRPr="00F41A82">
        <w:rPr>
          <w:sz w:val="18"/>
          <w:szCs w:val="18"/>
        </w:rPr>
        <w:t xml:space="preserve"> </w:t>
      </w:r>
      <w:r w:rsidRPr="00F41A82">
        <w:rPr>
          <w:sz w:val="18"/>
          <w:szCs w:val="18"/>
          <w:lang w:val="es-MX"/>
        </w:rPr>
        <w:t xml:space="preserve">Decreto N° 1234 de 2023 y su anexo. </w:t>
      </w:r>
      <w:r w:rsidRPr="00F41A82">
        <w:rPr>
          <w:i/>
          <w:iCs/>
          <w:sz w:val="18"/>
          <w:szCs w:val="18"/>
          <w:lang w:val="es-MX"/>
        </w:rPr>
        <w:t>“Por el cual se liquida la Ley 2299 de 2023 que adiciona y efectúa unas modificaciones al Presupuesto General de la Nación de la vigencia fiscal de 2023”.</w:t>
      </w:r>
      <w:r w:rsidRPr="00F41A82">
        <w:rPr>
          <w:sz w:val="18"/>
          <w:szCs w:val="18"/>
          <w:lang w:val="es-MX"/>
        </w:rPr>
        <w:t xml:space="preserve"> Ver en enlace web MHCP:</w:t>
      </w:r>
    </w:p>
    <w:p w14:paraId="4730AADA" w14:textId="632FC5FC" w:rsidR="00B07312" w:rsidRPr="00F41A82" w:rsidRDefault="000D5E7E">
      <w:pPr>
        <w:pStyle w:val="Textonotapie"/>
        <w:rPr>
          <w:sz w:val="18"/>
          <w:szCs w:val="18"/>
          <w:lang w:val="es-MX"/>
        </w:rPr>
      </w:pPr>
      <w:hyperlink r:id="rId4" w:history="1">
        <w:r w:rsidR="00B07312" w:rsidRPr="00F41A82">
          <w:rPr>
            <w:rStyle w:val="Hipervnculo"/>
            <w:sz w:val="18"/>
            <w:szCs w:val="18"/>
            <w:lang w:val="es-MX"/>
          </w:rPr>
          <w:t>https://www.minhacienda.gov.co/webcenter/ShowProperty?nodeId=%2FConexionContent%2FWCC_CLUSTER-226967%2F%2FidcPrimaryFile&amp;revision=latestreleased</w:t>
        </w:r>
      </w:hyperlink>
    </w:p>
    <w:p w14:paraId="40350774" w14:textId="77777777" w:rsidR="00B07312" w:rsidRPr="009D0CFA" w:rsidRDefault="00B07312">
      <w:pPr>
        <w:pStyle w:val="Textonotapie"/>
        <w:rPr>
          <w:lang w:val="es-MX"/>
        </w:rPr>
      </w:pPr>
    </w:p>
  </w:footnote>
  <w:footnote w:id="7">
    <w:p w14:paraId="30208C62" w14:textId="19E404FF" w:rsidR="00B07312" w:rsidRPr="00F41A82" w:rsidRDefault="00B07312" w:rsidP="00EC680A">
      <w:pPr>
        <w:pStyle w:val="Textonotapie"/>
        <w:rPr>
          <w:sz w:val="18"/>
          <w:szCs w:val="18"/>
        </w:rPr>
      </w:pPr>
      <w:r w:rsidRPr="00F41A82">
        <w:rPr>
          <w:rStyle w:val="Refdenotaalpie"/>
          <w:sz w:val="18"/>
          <w:szCs w:val="18"/>
        </w:rPr>
        <w:footnoteRef/>
      </w:r>
      <w:r w:rsidRPr="00F41A82">
        <w:rPr>
          <w:sz w:val="18"/>
          <w:szCs w:val="18"/>
        </w:rPr>
        <w:t xml:space="preserve"> Decreto 111 de 1996: “Artículo 36. El presupuesto de gastos se compondrá de los gastos de funcionamiento, del servicio de la deuda pública y de los gastos de inversión”. Ver vínculo web secretaría del Senado:</w:t>
      </w:r>
    </w:p>
    <w:p w14:paraId="0B51D54A" w14:textId="20CEDF64" w:rsidR="00B07312" w:rsidRPr="00F41A82" w:rsidRDefault="000D5E7E" w:rsidP="00EC680A">
      <w:pPr>
        <w:pStyle w:val="Textonotapie"/>
        <w:rPr>
          <w:sz w:val="18"/>
          <w:szCs w:val="18"/>
        </w:rPr>
      </w:pPr>
      <w:hyperlink r:id="rId5" w:anchor="36" w:history="1">
        <w:r w:rsidR="00B07312" w:rsidRPr="00F41A82">
          <w:rPr>
            <w:rStyle w:val="Hipervnculo"/>
            <w:sz w:val="18"/>
            <w:szCs w:val="18"/>
            <w:lang w:val="es-CO"/>
          </w:rPr>
          <w:t>http://www.secretariasenado.gov.co/senado/basedoc/decreto_0111_1996.html#36</w:t>
        </w:r>
      </w:hyperlink>
    </w:p>
  </w:footnote>
  <w:footnote w:id="8">
    <w:p w14:paraId="6BB65A0D" w14:textId="70DF08D8" w:rsidR="00B07312" w:rsidRPr="00F41A82" w:rsidRDefault="00B07312" w:rsidP="00EC680A">
      <w:pPr>
        <w:pStyle w:val="Textonotapie"/>
        <w:rPr>
          <w:sz w:val="18"/>
          <w:szCs w:val="18"/>
        </w:rPr>
      </w:pPr>
      <w:r w:rsidRPr="00F41A82">
        <w:rPr>
          <w:rStyle w:val="Refdenotaalpie"/>
          <w:sz w:val="18"/>
          <w:szCs w:val="18"/>
        </w:rPr>
        <w:footnoteRef/>
      </w:r>
      <w:r w:rsidRPr="00F41A82">
        <w:rPr>
          <w:sz w:val="18"/>
          <w:szCs w:val="18"/>
        </w:rPr>
        <w:t xml:space="preserve"> Decreto 1068 de 2015: “Artículo 2.8.3.1.2.  Presupuesto de Gastos. El presupuesto de gastos comprende las apropiaciones para gastos de funcionamiento, gastos de operación comercial, servicio de la deuda y gastos de inversión que se causen durante la vigencia fiscal respectiva”. Ver vínculo web MHCP:</w:t>
      </w:r>
    </w:p>
    <w:p w14:paraId="7785F7BC" w14:textId="0F3C936F" w:rsidR="00B07312" w:rsidRPr="008667FC" w:rsidRDefault="000D5E7E" w:rsidP="00EC680A">
      <w:pPr>
        <w:pStyle w:val="Textonotapie"/>
      </w:pPr>
      <w:hyperlink r:id="rId6" w:history="1">
        <w:r w:rsidR="00B07312" w:rsidRPr="00F41A82">
          <w:rPr>
            <w:rStyle w:val="Hipervnculo"/>
            <w:sz w:val="18"/>
            <w:szCs w:val="18"/>
            <w:lang w:val="es-CO"/>
          </w:rPr>
          <w:t>https://www.minhacienda.gov.co/webcenter/portal/Minhacienda/pages_normativa/decretonicoreglamentariodelsectorhaciendaycrditopblico</w:t>
        </w:r>
      </w:hyperlink>
    </w:p>
  </w:footnote>
  <w:footnote w:id="9">
    <w:p w14:paraId="4D186C38" w14:textId="20BD9A10" w:rsidR="00810212" w:rsidRPr="006C5429" w:rsidRDefault="00810212">
      <w:pPr>
        <w:pStyle w:val="Textonotapie"/>
        <w:rPr>
          <w:sz w:val="18"/>
          <w:szCs w:val="18"/>
        </w:rPr>
      </w:pPr>
      <w:r w:rsidRPr="006C5429">
        <w:rPr>
          <w:rStyle w:val="Refdenotaalpie"/>
          <w:sz w:val="18"/>
          <w:szCs w:val="18"/>
        </w:rPr>
        <w:footnoteRef/>
      </w:r>
      <w:r w:rsidRPr="006C5429">
        <w:rPr>
          <w:sz w:val="18"/>
          <w:szCs w:val="18"/>
        </w:rPr>
        <w:t xml:space="preserve"> </w:t>
      </w:r>
      <w:r w:rsidR="006C5429" w:rsidRPr="006C5429">
        <w:rPr>
          <w:sz w:val="18"/>
          <w:szCs w:val="18"/>
        </w:rPr>
        <w:t xml:space="preserve">Decreto N° 111 de 1996. </w:t>
      </w:r>
      <w:r w:rsidR="002F6411" w:rsidRPr="002F6411">
        <w:rPr>
          <w:rFonts w:cs="Arial"/>
          <w:color w:val="4B4949"/>
          <w:sz w:val="18"/>
          <w:szCs w:val="18"/>
        </w:rPr>
        <w:t>"Por el cual se compilan la Ley 38 de 1989, la Ley 179 de 1994 y la Ley 225 de 1995 que conforman el estatuto orgánico del presupuesto"</w:t>
      </w:r>
      <w:r w:rsidR="002F6411">
        <w:rPr>
          <w:rFonts w:cs="Arial"/>
          <w:color w:val="4B4949"/>
          <w:sz w:val="18"/>
          <w:szCs w:val="18"/>
        </w:rPr>
        <w:t>.</w:t>
      </w:r>
    </w:p>
  </w:footnote>
  <w:footnote w:id="10">
    <w:p w14:paraId="1F5C50C8" w14:textId="2938AABD" w:rsidR="00B07312" w:rsidRPr="006C5429" w:rsidRDefault="00B07312">
      <w:pPr>
        <w:pStyle w:val="Textonotapie"/>
        <w:rPr>
          <w:rFonts w:cs="Arial"/>
          <w:sz w:val="18"/>
          <w:szCs w:val="18"/>
          <w:lang w:val="es-MX"/>
        </w:rPr>
      </w:pPr>
      <w:r w:rsidRPr="006C5429">
        <w:rPr>
          <w:rStyle w:val="Refdenotaalpie"/>
          <w:rFonts w:cs="Arial"/>
          <w:sz w:val="18"/>
          <w:szCs w:val="18"/>
        </w:rPr>
        <w:footnoteRef/>
      </w:r>
      <w:r w:rsidRPr="006C5429">
        <w:rPr>
          <w:rFonts w:cs="Arial"/>
          <w:sz w:val="18"/>
          <w:szCs w:val="18"/>
        </w:rPr>
        <w:t xml:space="preserve"> </w:t>
      </w:r>
      <w:r w:rsidRPr="006C5429">
        <w:rPr>
          <w:rFonts w:cs="Arial"/>
          <w:sz w:val="18"/>
          <w:szCs w:val="18"/>
          <w:lang w:val="es-MX"/>
        </w:rPr>
        <w:t xml:space="preserve">Decreto N° 1260 de 2013. </w:t>
      </w:r>
      <w:r w:rsidRPr="006C5429">
        <w:rPr>
          <w:rFonts w:cs="Arial"/>
          <w:i/>
          <w:iCs/>
          <w:sz w:val="18"/>
          <w:szCs w:val="18"/>
          <w:lang w:val="es-MX"/>
        </w:rPr>
        <w:t>“</w:t>
      </w:r>
      <w:r w:rsidRPr="006C5429">
        <w:rPr>
          <w:rFonts w:cs="Arial"/>
          <w:color w:val="4B4949"/>
          <w:sz w:val="18"/>
          <w:szCs w:val="18"/>
        </w:rPr>
        <w:t xml:space="preserve">Por el cual se modifica la estructura de la Comisión de Regulación de Energía y Gas (CREG)”. </w:t>
      </w:r>
      <w:r w:rsidRPr="006C5429">
        <w:rPr>
          <w:rFonts w:cs="Arial"/>
          <w:sz w:val="18"/>
          <w:szCs w:val="18"/>
          <w:lang w:val="es-MX"/>
        </w:rPr>
        <w:t xml:space="preserve"> Ver vínculo de la secretaría del Senado: </w:t>
      </w:r>
      <w:hyperlink r:id="rId7" w:history="1">
        <w:r w:rsidRPr="006C5429">
          <w:rPr>
            <w:rStyle w:val="Hipervnculo"/>
            <w:rFonts w:cs="Arial"/>
            <w:sz w:val="18"/>
            <w:szCs w:val="18"/>
            <w:lang w:val="es-MX"/>
          </w:rPr>
          <w:t>http://www.secretariasenado.gov.co/senado/basedoc/decreto_1260_2013.html</w:t>
        </w:r>
      </w:hyperlink>
    </w:p>
  </w:footnote>
  <w:footnote w:id="11">
    <w:p w14:paraId="6D356C06" w14:textId="6EF6E08E" w:rsidR="00B07312" w:rsidRPr="00F60704" w:rsidRDefault="00B07312">
      <w:pPr>
        <w:pStyle w:val="Textonotapie"/>
        <w:rPr>
          <w:rFonts w:cs="Arial"/>
          <w:sz w:val="18"/>
          <w:szCs w:val="18"/>
          <w:lang w:val="es-MX"/>
        </w:rPr>
      </w:pPr>
      <w:r w:rsidRPr="006C5429">
        <w:rPr>
          <w:rStyle w:val="Refdenotaalpie"/>
          <w:rFonts w:cs="Arial"/>
          <w:sz w:val="18"/>
          <w:szCs w:val="18"/>
        </w:rPr>
        <w:footnoteRef/>
      </w:r>
      <w:r w:rsidRPr="006C5429">
        <w:rPr>
          <w:rFonts w:cs="Arial"/>
          <w:sz w:val="18"/>
          <w:szCs w:val="18"/>
        </w:rPr>
        <w:t xml:space="preserve"> </w:t>
      </w:r>
      <w:r w:rsidRPr="006C5429">
        <w:rPr>
          <w:rFonts w:cs="Arial"/>
          <w:sz w:val="18"/>
          <w:szCs w:val="18"/>
          <w:lang w:val="es-MX"/>
        </w:rPr>
        <w:t xml:space="preserve">Ley N° 1437 de 2011. </w:t>
      </w:r>
      <w:r w:rsidRPr="006C5429">
        <w:rPr>
          <w:rFonts w:cs="Arial"/>
          <w:i/>
          <w:iCs/>
          <w:sz w:val="18"/>
          <w:szCs w:val="18"/>
          <w:lang w:val="es-MX"/>
        </w:rPr>
        <w:t>“</w:t>
      </w:r>
      <w:r w:rsidRPr="006C5429">
        <w:rPr>
          <w:rFonts w:cs="Arial"/>
          <w:i/>
          <w:iCs/>
          <w:color w:val="4B4949"/>
          <w:sz w:val="18"/>
          <w:szCs w:val="18"/>
        </w:rPr>
        <w:t xml:space="preserve">Por la cual se expide el Código de Procedimiento Administrativo y de lo Contencioso Administrativo”. </w:t>
      </w:r>
      <w:r w:rsidRPr="006C5429">
        <w:rPr>
          <w:rFonts w:cs="Arial"/>
          <w:sz w:val="18"/>
          <w:szCs w:val="18"/>
          <w:lang w:val="es-MX"/>
        </w:rPr>
        <w:t xml:space="preserve">Ver vínculo web de la secretaría del Senado: </w:t>
      </w:r>
      <w:hyperlink r:id="rId8" w:history="1">
        <w:r w:rsidRPr="006C5429">
          <w:rPr>
            <w:rStyle w:val="Hipervnculo"/>
            <w:rFonts w:cs="Arial"/>
            <w:sz w:val="18"/>
            <w:szCs w:val="18"/>
            <w:lang w:val="es-MX"/>
          </w:rPr>
          <w:t>http://www.secretariasenado.gov.co/senado/basedoc/ley_1437_2011.html</w:t>
        </w:r>
      </w:hyperlink>
    </w:p>
  </w:footnote>
  <w:footnote w:id="12">
    <w:p w14:paraId="26084654" w14:textId="5DEAF1F5" w:rsidR="00B07312" w:rsidRPr="00F60704" w:rsidRDefault="00B07312">
      <w:pPr>
        <w:pStyle w:val="Textonotapie"/>
        <w:rPr>
          <w:rFonts w:cs="Arial"/>
          <w:sz w:val="18"/>
          <w:szCs w:val="18"/>
        </w:rPr>
      </w:pPr>
      <w:r w:rsidRPr="00F60704">
        <w:rPr>
          <w:rStyle w:val="Refdenotaalpie"/>
          <w:rFonts w:cs="Arial"/>
          <w:sz w:val="18"/>
          <w:szCs w:val="18"/>
        </w:rPr>
        <w:footnoteRef/>
      </w:r>
      <w:r w:rsidRPr="00F60704">
        <w:rPr>
          <w:rFonts w:cs="Arial"/>
          <w:sz w:val="18"/>
          <w:szCs w:val="18"/>
        </w:rPr>
        <w:t xml:space="preserve"> Resolución DIAN N° 001264 (18-nov-2022). </w:t>
      </w:r>
      <w:r w:rsidRPr="00F60704">
        <w:rPr>
          <w:rFonts w:cs="Arial"/>
          <w:i/>
          <w:iCs/>
          <w:sz w:val="18"/>
          <w:szCs w:val="18"/>
        </w:rPr>
        <w:t>“Por la cual se fija el valor de la Unidad de Valor Tributario (UVT) aplicable para el año 2023”</w:t>
      </w:r>
      <w:r>
        <w:rPr>
          <w:rFonts w:cs="Arial"/>
          <w:i/>
          <w:iCs/>
          <w:sz w:val="18"/>
          <w:szCs w:val="18"/>
        </w:rPr>
        <w:t>,</w:t>
      </w:r>
      <w:r w:rsidRPr="00F60704">
        <w:rPr>
          <w:rFonts w:cs="Arial"/>
          <w:sz w:val="18"/>
          <w:szCs w:val="18"/>
        </w:rPr>
        <w:t xml:space="preserve"> </w:t>
      </w:r>
      <w:r>
        <w:rPr>
          <w:rFonts w:cs="Arial"/>
          <w:sz w:val="18"/>
          <w:szCs w:val="18"/>
        </w:rPr>
        <w:t xml:space="preserve">Valor UVT 2023: $42.412. </w:t>
      </w:r>
      <w:r w:rsidRPr="00F60704">
        <w:rPr>
          <w:rFonts w:cs="Arial"/>
          <w:sz w:val="18"/>
          <w:szCs w:val="18"/>
        </w:rPr>
        <w:t>Ver vínculo web de la DIAN:</w:t>
      </w:r>
    </w:p>
    <w:p w14:paraId="3CE74109" w14:textId="37C3C79F" w:rsidR="00B07312" w:rsidRPr="00F60704" w:rsidRDefault="000D5E7E">
      <w:pPr>
        <w:pStyle w:val="Textonotapie"/>
        <w:rPr>
          <w:rFonts w:cs="Arial"/>
          <w:sz w:val="18"/>
          <w:szCs w:val="18"/>
        </w:rPr>
      </w:pPr>
      <w:hyperlink r:id="rId9" w:history="1">
        <w:r w:rsidR="00B07312" w:rsidRPr="00F60704">
          <w:rPr>
            <w:rStyle w:val="Hipervnculo"/>
            <w:rFonts w:cs="Arial"/>
            <w:sz w:val="18"/>
            <w:szCs w:val="18"/>
            <w:lang w:val="es-CO"/>
          </w:rPr>
          <w:t>https://www.dian.gov.co/normatividad/Normatividad/Resoluci%C3%B3n%20001264%20de%2018-11-2022.pdf</w:t>
        </w:r>
      </w:hyperlink>
    </w:p>
  </w:footnote>
  <w:footnote w:id="13">
    <w:p w14:paraId="12C0A4BA" w14:textId="77777777" w:rsidR="00B07312" w:rsidRDefault="00B07312" w:rsidP="008953E4">
      <w:pPr>
        <w:pStyle w:val="Textonotapie"/>
        <w:rPr>
          <w:rFonts w:cs="Arial"/>
          <w:sz w:val="18"/>
          <w:szCs w:val="18"/>
        </w:rPr>
      </w:pPr>
      <w:r w:rsidRPr="00F60704">
        <w:rPr>
          <w:rStyle w:val="Refdenotaalpie"/>
          <w:rFonts w:cs="Arial"/>
          <w:sz w:val="18"/>
          <w:szCs w:val="18"/>
        </w:rPr>
        <w:footnoteRef/>
      </w:r>
      <w:r w:rsidRPr="00F60704">
        <w:rPr>
          <w:rFonts w:cs="Arial"/>
          <w:sz w:val="18"/>
          <w:szCs w:val="18"/>
        </w:rPr>
        <w:t xml:space="preserve"> Ley N° 1314 de 2009. </w:t>
      </w:r>
      <w:r w:rsidRPr="00F60704">
        <w:rPr>
          <w:rFonts w:cs="Arial"/>
          <w:i/>
          <w:iCs/>
          <w:sz w:val="18"/>
          <w:szCs w:val="18"/>
        </w:rPr>
        <w:t xml:space="preserve">“Por la cual se regulan los principios y normas de contabilidad e información financiera y de aseguramiento de información aceptados en Colombia, se señalan las autoridades competentes, el procedimiento para su </w:t>
      </w:r>
      <w:r w:rsidRPr="00C330A2">
        <w:rPr>
          <w:rFonts w:cs="Arial"/>
          <w:i/>
          <w:iCs/>
          <w:sz w:val="18"/>
          <w:szCs w:val="18"/>
        </w:rPr>
        <w:t>expedición y se determinan las entidades responsables de vigilar su cumplimiento”.</w:t>
      </w:r>
      <w:r w:rsidRPr="00C330A2">
        <w:rPr>
          <w:rFonts w:cs="Arial"/>
          <w:sz w:val="18"/>
          <w:szCs w:val="18"/>
        </w:rPr>
        <w:t xml:space="preserve"> </w:t>
      </w:r>
    </w:p>
    <w:p w14:paraId="262A38DB" w14:textId="087F327D" w:rsidR="00B07312" w:rsidRPr="00C330A2" w:rsidRDefault="00B07312" w:rsidP="008953E4">
      <w:pPr>
        <w:pStyle w:val="Textonotapie"/>
        <w:rPr>
          <w:rFonts w:cs="Arial"/>
          <w:sz w:val="18"/>
          <w:szCs w:val="18"/>
        </w:rPr>
      </w:pPr>
      <w:r w:rsidRPr="00C330A2">
        <w:rPr>
          <w:rFonts w:cs="Arial"/>
          <w:sz w:val="18"/>
          <w:szCs w:val="18"/>
        </w:rPr>
        <w:t>Ver vínculo web de la secretaría del Senado:</w:t>
      </w:r>
    </w:p>
    <w:p w14:paraId="08ACBC24" w14:textId="00366764" w:rsidR="00B07312" w:rsidRPr="004022EF" w:rsidRDefault="000D5E7E" w:rsidP="008953E4">
      <w:pPr>
        <w:pStyle w:val="Textonotapie"/>
        <w:rPr>
          <w:rFonts w:cs="Arial"/>
          <w:sz w:val="18"/>
          <w:szCs w:val="18"/>
        </w:rPr>
      </w:pPr>
      <w:hyperlink r:id="rId10" w:history="1">
        <w:r w:rsidR="00B07312" w:rsidRPr="00C330A2">
          <w:rPr>
            <w:rStyle w:val="Hipervnculo"/>
            <w:rFonts w:cs="Arial"/>
            <w:sz w:val="18"/>
            <w:szCs w:val="18"/>
            <w:lang w:val="es-CO"/>
          </w:rPr>
          <w:t>http://www.secretariasenado.gov.co/senado/basedoc/ley_1314_2009.html</w:t>
        </w:r>
      </w:hyperlink>
    </w:p>
  </w:footnote>
  <w:footnote w:id="14">
    <w:p w14:paraId="3CD3E7C0" w14:textId="48F347D5" w:rsidR="00B07312" w:rsidRPr="004022EF" w:rsidRDefault="00B07312" w:rsidP="008953E4">
      <w:pPr>
        <w:pStyle w:val="Textonotapie"/>
        <w:rPr>
          <w:rFonts w:cs="Arial"/>
          <w:sz w:val="18"/>
          <w:szCs w:val="18"/>
        </w:rPr>
      </w:pPr>
      <w:r w:rsidRPr="004022EF">
        <w:rPr>
          <w:rStyle w:val="Refdenotaalpie"/>
          <w:rFonts w:cs="Arial"/>
          <w:sz w:val="18"/>
          <w:szCs w:val="18"/>
        </w:rPr>
        <w:footnoteRef/>
      </w:r>
      <w:r w:rsidRPr="004022EF">
        <w:rPr>
          <w:rFonts w:cs="Arial"/>
          <w:sz w:val="18"/>
          <w:szCs w:val="18"/>
        </w:rPr>
        <w:t xml:space="preserve"> DUR N° 2420 de 2015. “</w:t>
      </w:r>
      <w:r w:rsidRPr="004022EF">
        <w:rPr>
          <w:rFonts w:cs="Arial"/>
          <w:i/>
          <w:iCs/>
          <w:sz w:val="18"/>
          <w:szCs w:val="18"/>
        </w:rPr>
        <w:t xml:space="preserve">Por medio del cual se expide el Decreto Único Reglamentario – DUR de las Normas de Contabilidad, de Información Financiera y Aseguramiento de la Información y se dictan otras disposiciones”. </w:t>
      </w:r>
      <w:r w:rsidRPr="004022EF">
        <w:rPr>
          <w:rFonts w:cs="Arial"/>
          <w:sz w:val="18"/>
          <w:szCs w:val="18"/>
        </w:rPr>
        <w:t>Ver vínculo web de Juriscol Ministerio de Justicia y del Derecho:</w:t>
      </w:r>
    </w:p>
    <w:p w14:paraId="20B70ED5" w14:textId="5B941012" w:rsidR="00B07312" w:rsidRPr="00962B67" w:rsidRDefault="000D5E7E" w:rsidP="008953E4">
      <w:pPr>
        <w:pStyle w:val="Textonotapie"/>
        <w:rPr>
          <w:rFonts w:cs="Arial"/>
          <w:sz w:val="18"/>
          <w:szCs w:val="18"/>
        </w:rPr>
      </w:pPr>
      <w:hyperlink r:id="rId11" w:history="1">
        <w:r w:rsidR="00B07312" w:rsidRPr="00F41A82">
          <w:rPr>
            <w:rStyle w:val="Hipervnculo"/>
            <w:rFonts w:cs="Arial"/>
            <w:sz w:val="18"/>
            <w:szCs w:val="18"/>
            <w:lang w:val="es-CO"/>
          </w:rPr>
          <w:t>https://www.suin-juriscol.gov.co/viewDocument.asp?ruta=Decretos/30030273</w:t>
        </w:r>
      </w:hyperlink>
    </w:p>
  </w:footnote>
  <w:footnote w:id="15">
    <w:p w14:paraId="286E8173" w14:textId="3B813B38" w:rsidR="00B07312" w:rsidRPr="00962B67" w:rsidRDefault="00B07312" w:rsidP="008953E4">
      <w:pPr>
        <w:pStyle w:val="Textonotapie"/>
        <w:rPr>
          <w:rFonts w:cs="Arial"/>
          <w:sz w:val="18"/>
          <w:szCs w:val="18"/>
        </w:rPr>
      </w:pPr>
      <w:r w:rsidRPr="00962B67">
        <w:rPr>
          <w:rStyle w:val="Refdenotaalpie"/>
          <w:rFonts w:cs="Arial"/>
          <w:sz w:val="18"/>
          <w:szCs w:val="18"/>
        </w:rPr>
        <w:footnoteRef/>
      </w:r>
      <w:r w:rsidRPr="00962B67">
        <w:rPr>
          <w:rFonts w:cs="Arial"/>
          <w:sz w:val="18"/>
          <w:szCs w:val="18"/>
        </w:rPr>
        <w:t xml:space="preserve"> Decreto N° 2483 de 2018. </w:t>
      </w:r>
      <w:r w:rsidRPr="00962B67">
        <w:rPr>
          <w:rFonts w:cs="Arial"/>
          <w:i/>
          <w:iCs/>
          <w:sz w:val="18"/>
          <w:szCs w:val="18"/>
        </w:rPr>
        <w:t>“Por medio de la cual se compilan y actualizan los marcos técnicos de las NIIF para el grupo 1 y de las NIIF para las Pymes. grupo 2, anexos al decreto 2420 de 2015, modificado por los decretos 2496 de 2015, 2131 de 2016 y 2170 de 2017, respectivamente y se dictan otras disposiciones”.</w:t>
      </w:r>
      <w:r w:rsidRPr="00962B67">
        <w:rPr>
          <w:rFonts w:cs="Arial"/>
          <w:sz w:val="18"/>
          <w:szCs w:val="18"/>
        </w:rPr>
        <w:t xml:space="preserve"> Ver vínculo web del Ministerio de justicia y del derecho:</w:t>
      </w:r>
    </w:p>
    <w:p w14:paraId="34716F8F" w14:textId="38C82547" w:rsidR="00B07312" w:rsidRPr="00962B67" w:rsidRDefault="000D5E7E" w:rsidP="008953E4">
      <w:pPr>
        <w:pStyle w:val="Textonotapie"/>
        <w:rPr>
          <w:rFonts w:cs="Arial"/>
          <w:sz w:val="18"/>
          <w:szCs w:val="18"/>
        </w:rPr>
      </w:pPr>
      <w:hyperlink r:id="rId12" w:history="1">
        <w:r w:rsidR="00B07312" w:rsidRPr="00962B67">
          <w:rPr>
            <w:rStyle w:val="Hipervnculo"/>
            <w:rFonts w:cs="Arial"/>
            <w:sz w:val="18"/>
            <w:szCs w:val="18"/>
            <w:lang w:val="es-CO"/>
          </w:rPr>
          <w:t>https://www.suin-juriscol.gov.co/viewDocument.asp?id=30036044</w:t>
        </w:r>
      </w:hyperlink>
    </w:p>
  </w:footnote>
  <w:footnote w:id="16">
    <w:p w14:paraId="3449875C" w14:textId="4EE2001E" w:rsidR="00B07312" w:rsidRPr="00962B67" w:rsidRDefault="00B07312" w:rsidP="008953E4">
      <w:pPr>
        <w:pStyle w:val="Textonotapie"/>
        <w:rPr>
          <w:rFonts w:cs="Arial"/>
          <w:sz w:val="18"/>
          <w:szCs w:val="18"/>
        </w:rPr>
      </w:pPr>
      <w:r w:rsidRPr="00962B67">
        <w:rPr>
          <w:rStyle w:val="Refdenotaalpie"/>
          <w:rFonts w:cs="Arial"/>
          <w:sz w:val="18"/>
          <w:szCs w:val="18"/>
        </w:rPr>
        <w:footnoteRef/>
      </w:r>
      <w:r w:rsidRPr="00962B67">
        <w:rPr>
          <w:rFonts w:cs="Arial"/>
          <w:sz w:val="18"/>
          <w:szCs w:val="18"/>
        </w:rPr>
        <w:t xml:space="preserve"> Resolución CGN N° 414 de 2014. Por la cual se incorpora en el Régimen de Contabilidad Pública, el marco normativo aplicable para empresas que no cotizan en el mercado de valores, no captan ni administran ahorro del público. Ver vínculo web CGN: </w:t>
      </w:r>
      <w:hyperlink r:id="rId13" w:history="1">
        <w:r w:rsidRPr="00962B67">
          <w:rPr>
            <w:rStyle w:val="Hipervnculo"/>
            <w:rFonts w:cs="Arial"/>
            <w:sz w:val="18"/>
            <w:szCs w:val="18"/>
            <w:lang w:val="es-CO"/>
          </w:rPr>
          <w:t>https://www.contaduria.gov.co/entidades-sujetas-al-ambito-de-la-resolucion-no-414-2014-y-sus-modificaciones</w:t>
        </w:r>
      </w:hyperlink>
    </w:p>
  </w:footnote>
  <w:footnote w:id="17">
    <w:p w14:paraId="0717F008" w14:textId="1E177478" w:rsidR="00B07312" w:rsidRPr="00962B67" w:rsidRDefault="00B07312" w:rsidP="008953E4">
      <w:pPr>
        <w:pStyle w:val="Textonotapie"/>
        <w:rPr>
          <w:rFonts w:cs="Arial"/>
          <w:sz w:val="18"/>
          <w:szCs w:val="18"/>
        </w:rPr>
      </w:pPr>
      <w:r w:rsidRPr="00962B67">
        <w:rPr>
          <w:rStyle w:val="Refdenotaalpie"/>
          <w:rFonts w:cs="Arial"/>
          <w:sz w:val="18"/>
          <w:szCs w:val="18"/>
        </w:rPr>
        <w:footnoteRef/>
      </w:r>
      <w:r w:rsidRPr="00962B67">
        <w:rPr>
          <w:rFonts w:cs="Arial"/>
          <w:sz w:val="18"/>
          <w:szCs w:val="18"/>
        </w:rPr>
        <w:t xml:space="preserve"> Resolución CGN N° 533 de 2015. Por la cual se incorpora en el Régimen de Contabilidad Pública, el marco normativo aplicable a entidades de gobierno y se dictan otras disposiciones. Ver vínculo web de la CGN: </w:t>
      </w:r>
      <w:hyperlink r:id="rId14" w:history="1">
        <w:r w:rsidRPr="00962B67">
          <w:rPr>
            <w:rStyle w:val="Hipervnculo"/>
            <w:rFonts w:cs="Arial"/>
            <w:sz w:val="18"/>
            <w:szCs w:val="18"/>
            <w:lang w:val="es-CO"/>
          </w:rPr>
          <w:t>https://www.contaduria.gov.co/marco-normativo-para-entidades-de-gobierno</w:t>
        </w:r>
      </w:hyperlink>
    </w:p>
  </w:footnote>
  <w:footnote w:id="18">
    <w:p w14:paraId="38B2AFD0" w14:textId="27337C14" w:rsidR="00B07312" w:rsidRPr="00962B67" w:rsidRDefault="00B07312" w:rsidP="008953E4">
      <w:pPr>
        <w:pStyle w:val="Textonotapie"/>
        <w:rPr>
          <w:rFonts w:cs="Arial"/>
          <w:sz w:val="18"/>
          <w:szCs w:val="18"/>
        </w:rPr>
      </w:pPr>
      <w:r w:rsidRPr="00962B67">
        <w:rPr>
          <w:rStyle w:val="Refdenotaalpie"/>
          <w:rFonts w:cs="Arial"/>
          <w:sz w:val="18"/>
          <w:szCs w:val="18"/>
        </w:rPr>
        <w:footnoteRef/>
      </w:r>
      <w:r w:rsidRPr="00962B67">
        <w:rPr>
          <w:rFonts w:cs="Arial"/>
          <w:sz w:val="18"/>
          <w:szCs w:val="18"/>
        </w:rPr>
        <w:t xml:space="preserve"> Resolución CGN N° 037 de 2017. Por la cual se regula el marco normativo para empresas que coticen en el Mercado de Valores o que capten o administren ahorro del público. Ver vínculo web de la CGN: </w:t>
      </w:r>
    </w:p>
    <w:p w14:paraId="24FC2ED8" w14:textId="7D1E0FA6" w:rsidR="00B07312" w:rsidRPr="00962B67" w:rsidRDefault="000D5E7E" w:rsidP="008953E4">
      <w:pPr>
        <w:pStyle w:val="Textonotapie"/>
        <w:rPr>
          <w:rFonts w:cs="Arial"/>
          <w:sz w:val="18"/>
          <w:szCs w:val="18"/>
        </w:rPr>
      </w:pPr>
      <w:hyperlink r:id="rId15" w:history="1">
        <w:r w:rsidR="00B07312" w:rsidRPr="00962B67">
          <w:rPr>
            <w:rStyle w:val="Hipervnculo"/>
            <w:rFonts w:cs="Arial"/>
            <w:sz w:val="18"/>
            <w:szCs w:val="18"/>
            <w:lang w:val="es-CO"/>
          </w:rPr>
          <w:t>https://www.contaduria.gov.co/marco-normativo-para-empresas-que-cotizan-en-el-mercado-de-valores-o-que-captan-o-administran-ahorro-del-publico</w:t>
        </w:r>
      </w:hyperlink>
    </w:p>
  </w:footnote>
  <w:footnote w:id="19">
    <w:p w14:paraId="4DEEC823" w14:textId="38764A3C" w:rsidR="00B07312" w:rsidRPr="00962B67" w:rsidRDefault="00B07312">
      <w:pPr>
        <w:pStyle w:val="Textonotapie"/>
        <w:rPr>
          <w:rFonts w:cs="Arial"/>
          <w:sz w:val="18"/>
          <w:szCs w:val="18"/>
        </w:rPr>
      </w:pPr>
      <w:r w:rsidRPr="00962B67">
        <w:rPr>
          <w:rStyle w:val="Refdenotaalpie"/>
          <w:rFonts w:cs="Arial"/>
          <w:sz w:val="18"/>
          <w:szCs w:val="18"/>
        </w:rPr>
        <w:footnoteRef/>
      </w:r>
      <w:r w:rsidRPr="00962B67">
        <w:rPr>
          <w:rFonts w:cs="Arial"/>
          <w:sz w:val="18"/>
          <w:szCs w:val="18"/>
        </w:rPr>
        <w:t xml:space="preserve"> Circular externa SSPD-CREG N° 000009 del 14 de agosto de 2003. Ver vínculo web CREG:</w:t>
      </w:r>
    </w:p>
    <w:p w14:paraId="10EAF06A" w14:textId="45FD1D00" w:rsidR="00B07312" w:rsidRPr="00962B67" w:rsidRDefault="000D5E7E">
      <w:pPr>
        <w:pStyle w:val="Textonotapie"/>
        <w:rPr>
          <w:rFonts w:cs="Arial"/>
          <w:sz w:val="18"/>
          <w:szCs w:val="18"/>
        </w:rPr>
      </w:pPr>
      <w:hyperlink r:id="rId16" w:history="1">
        <w:r w:rsidR="00B07312" w:rsidRPr="00962B67">
          <w:rPr>
            <w:rStyle w:val="Hipervnculo"/>
            <w:rFonts w:cs="Arial"/>
            <w:sz w:val="18"/>
            <w:szCs w:val="18"/>
            <w:lang w:val="es-CO"/>
          </w:rPr>
          <w:t>https://gestornormativo.creg.gov.co/gestor/entorno/docs/circular_superservicios_0009_2003.htm</w:t>
        </w:r>
      </w:hyperlink>
    </w:p>
    <w:p w14:paraId="79D270BB" w14:textId="77777777" w:rsidR="00B07312" w:rsidRPr="00962B67" w:rsidRDefault="00B07312">
      <w:pPr>
        <w:pStyle w:val="Textonotapie"/>
        <w:rPr>
          <w:rFonts w:cs="Arial"/>
        </w:rPr>
      </w:pPr>
    </w:p>
  </w:footnote>
  <w:footnote w:id="20">
    <w:p w14:paraId="2AF065E4" w14:textId="77777777" w:rsidR="00B07312" w:rsidRPr="00464AC1" w:rsidRDefault="00B07312" w:rsidP="003034FD">
      <w:pPr>
        <w:pStyle w:val="Textonotapie"/>
        <w:rPr>
          <w:rFonts w:cs="Arial"/>
          <w:sz w:val="18"/>
          <w:szCs w:val="18"/>
        </w:rPr>
      </w:pPr>
      <w:r w:rsidRPr="00464AC1">
        <w:rPr>
          <w:rStyle w:val="Refdenotaalpie"/>
          <w:rFonts w:cs="Arial"/>
          <w:sz w:val="18"/>
          <w:szCs w:val="18"/>
        </w:rPr>
        <w:footnoteRef/>
      </w:r>
      <w:r w:rsidRPr="00464AC1">
        <w:rPr>
          <w:rFonts w:cs="Arial"/>
          <w:sz w:val="18"/>
          <w:szCs w:val="18"/>
        </w:rPr>
        <w:t xml:space="preserve"> Por la cual se regulan algunos aspectos del Sistema Único de Información – SUI</w:t>
      </w:r>
    </w:p>
  </w:footnote>
  <w:footnote w:id="21">
    <w:p w14:paraId="3D37C37F" w14:textId="7A018CE4" w:rsidR="00B07312" w:rsidRPr="00464AC1" w:rsidRDefault="00B07312" w:rsidP="003034FD">
      <w:pPr>
        <w:pStyle w:val="Textonotapie"/>
        <w:rPr>
          <w:rFonts w:cs="Arial"/>
          <w:sz w:val="18"/>
          <w:szCs w:val="18"/>
        </w:rPr>
      </w:pPr>
      <w:r w:rsidRPr="00464AC1">
        <w:rPr>
          <w:rStyle w:val="Refdenotaalpie"/>
          <w:rFonts w:cs="Arial"/>
          <w:sz w:val="18"/>
          <w:szCs w:val="18"/>
        </w:rPr>
        <w:footnoteRef/>
      </w:r>
      <w:r>
        <w:rPr>
          <w:rFonts w:cs="Arial"/>
          <w:sz w:val="18"/>
          <w:szCs w:val="18"/>
        </w:rPr>
        <w:t xml:space="preserve"> Son siglas de: </w:t>
      </w:r>
      <w:r w:rsidRPr="00464AC1">
        <w:rPr>
          <w:rFonts w:cs="Arial"/>
          <w:sz w:val="18"/>
          <w:szCs w:val="18"/>
        </w:rPr>
        <w:t xml:space="preserve">Extensible Business Reporting Language, </w:t>
      </w:r>
      <w:r>
        <w:rPr>
          <w:rFonts w:cs="Arial"/>
          <w:sz w:val="18"/>
          <w:szCs w:val="18"/>
        </w:rPr>
        <w:t xml:space="preserve">el cual fue un lenguaje </w:t>
      </w:r>
      <w:r w:rsidRPr="00464AC1">
        <w:rPr>
          <w:rFonts w:cs="Arial"/>
          <w:sz w:val="18"/>
          <w:szCs w:val="18"/>
        </w:rPr>
        <w:t>desarrollado para simplificar la automatización del intercambio con la estandarización de la información financiera a reportar mediante la definición de taxonomías basadas en XML.</w:t>
      </w:r>
    </w:p>
  </w:footnote>
  <w:footnote w:id="22">
    <w:p w14:paraId="5772AD2B" w14:textId="741E215C" w:rsidR="00B07312" w:rsidRDefault="00B07312" w:rsidP="00C821C7">
      <w:pPr>
        <w:pStyle w:val="Textonotapie"/>
        <w:rPr>
          <w:rFonts w:cs="Arial"/>
          <w:sz w:val="18"/>
          <w:szCs w:val="18"/>
        </w:rPr>
      </w:pPr>
      <w:r w:rsidRPr="00304273">
        <w:rPr>
          <w:rStyle w:val="Refdenotaalpie"/>
          <w:rFonts w:cs="Arial"/>
          <w:sz w:val="18"/>
          <w:szCs w:val="18"/>
        </w:rPr>
        <w:footnoteRef/>
      </w:r>
      <w:r w:rsidRPr="00304273">
        <w:rPr>
          <w:rFonts w:cs="Arial"/>
          <w:sz w:val="18"/>
          <w:szCs w:val="18"/>
        </w:rPr>
        <w:t xml:space="preserve"> Resolución SSPD N° 20231000297335 de 2023.  “</w:t>
      </w:r>
      <w:r w:rsidRPr="00304273">
        <w:rPr>
          <w:rFonts w:cs="Arial"/>
          <w:i/>
          <w:iCs/>
          <w:sz w:val="18"/>
          <w:szCs w:val="18"/>
        </w:rPr>
        <w:t>Por la cual se establece el número de prestadores que servirá como base para liquidar la contribución especial para el año 2023</w:t>
      </w:r>
      <w:r w:rsidRPr="00304273">
        <w:rPr>
          <w:rFonts w:cs="Arial"/>
          <w:sz w:val="18"/>
          <w:szCs w:val="18"/>
        </w:rPr>
        <w:t>”. Ver vínculo web SSPD:</w:t>
      </w:r>
    </w:p>
    <w:p w14:paraId="370430BC" w14:textId="656A24FC" w:rsidR="00B07312" w:rsidRPr="00304273" w:rsidRDefault="000D5E7E" w:rsidP="00C821C7">
      <w:pPr>
        <w:pStyle w:val="Textonotapie"/>
        <w:rPr>
          <w:rFonts w:cs="Arial"/>
          <w:sz w:val="18"/>
          <w:szCs w:val="18"/>
        </w:rPr>
      </w:pPr>
      <w:hyperlink r:id="rId17" w:history="1">
        <w:r w:rsidR="00B07312" w:rsidRPr="00304273">
          <w:rPr>
            <w:rStyle w:val="Hipervnculo"/>
            <w:rFonts w:cs="Arial"/>
            <w:sz w:val="18"/>
            <w:szCs w:val="18"/>
            <w:lang w:val="es-CO"/>
          </w:rPr>
          <w:t>https://www.superservicios.gov.co/system/files/2023-06/Resolucion-SSPD-20231000297335.pdf</w:t>
        </w:r>
      </w:hyperlink>
    </w:p>
    <w:p w14:paraId="64FE652B" w14:textId="77777777" w:rsidR="00B07312" w:rsidRPr="00304273" w:rsidRDefault="00B07312" w:rsidP="00C821C7">
      <w:pPr>
        <w:pStyle w:val="Textonotapie"/>
        <w:rPr>
          <w:rFonts w:cs="Arial"/>
          <w:sz w:val="18"/>
          <w:szCs w:val="18"/>
        </w:rPr>
      </w:pPr>
    </w:p>
  </w:footnote>
  <w:footnote w:id="23">
    <w:p w14:paraId="51786D33" w14:textId="6BCCC411" w:rsidR="00B07312" w:rsidRPr="00482BD8" w:rsidRDefault="00B07312">
      <w:pPr>
        <w:pStyle w:val="Textonotapie"/>
        <w:rPr>
          <w:sz w:val="18"/>
          <w:szCs w:val="18"/>
          <w:lang w:val="es-MX"/>
        </w:rPr>
      </w:pPr>
      <w:r w:rsidRPr="00482BD8">
        <w:rPr>
          <w:rStyle w:val="Refdenotaalpie"/>
          <w:sz w:val="18"/>
          <w:szCs w:val="18"/>
        </w:rPr>
        <w:footnoteRef/>
      </w:r>
      <w:r w:rsidRPr="00482BD8">
        <w:rPr>
          <w:sz w:val="18"/>
          <w:szCs w:val="18"/>
        </w:rPr>
        <w:t xml:space="preserve"> </w:t>
      </w:r>
      <w:r w:rsidRPr="00482BD8">
        <w:rPr>
          <w:sz w:val="18"/>
          <w:szCs w:val="18"/>
          <w:lang w:val="es-MX"/>
        </w:rPr>
        <w:t>Hoja electrónica de trabajo</w:t>
      </w:r>
      <w:r>
        <w:rPr>
          <w:sz w:val="18"/>
          <w:szCs w:val="18"/>
          <w:lang w:val="es-MX"/>
        </w:rPr>
        <w:t xml:space="preserve"> de la</w:t>
      </w:r>
      <w:r w:rsidRPr="00482BD8">
        <w:rPr>
          <w:sz w:val="18"/>
          <w:szCs w:val="18"/>
          <w:lang w:val="es-MX"/>
        </w:rPr>
        <w:t xml:space="preserve"> </w:t>
      </w:r>
      <w:r w:rsidRPr="00304273">
        <w:rPr>
          <w:rFonts w:cs="Arial"/>
          <w:sz w:val="18"/>
          <w:szCs w:val="18"/>
        </w:rPr>
        <w:t>Resolución SSPD N° 20231000297335 de 2023</w:t>
      </w:r>
      <w:r>
        <w:rPr>
          <w:rFonts w:cs="Arial"/>
          <w:sz w:val="18"/>
          <w:szCs w:val="18"/>
        </w:rPr>
        <w:t xml:space="preserve">. </w:t>
      </w:r>
      <w:r w:rsidRPr="00482BD8">
        <w:rPr>
          <w:sz w:val="18"/>
          <w:szCs w:val="18"/>
          <w:lang w:val="es-MX"/>
        </w:rPr>
        <w:t>Ver vínculo web SSPD:</w:t>
      </w:r>
    </w:p>
    <w:p w14:paraId="54A150A9" w14:textId="7A335DB4" w:rsidR="00B07312" w:rsidRDefault="000D5E7E">
      <w:pPr>
        <w:pStyle w:val="Textonotapie"/>
        <w:rPr>
          <w:sz w:val="18"/>
          <w:szCs w:val="18"/>
          <w:lang w:val="es-MX"/>
        </w:rPr>
      </w:pPr>
      <w:hyperlink r:id="rId18" w:history="1">
        <w:r w:rsidR="00B07312" w:rsidRPr="00B45A3B">
          <w:rPr>
            <w:rStyle w:val="Hipervnculo"/>
            <w:sz w:val="18"/>
            <w:szCs w:val="18"/>
            <w:lang w:val="es-MX"/>
          </w:rPr>
          <w:t>http://www.superservicios.gov.co/sites/default/files/2023-06/Hoja-de-trabajo-prestadores-2023.xlsx</w:t>
        </w:r>
      </w:hyperlink>
    </w:p>
    <w:p w14:paraId="6ED8E421" w14:textId="77777777" w:rsidR="00B07312" w:rsidRPr="00482BD8" w:rsidRDefault="00B07312">
      <w:pPr>
        <w:pStyle w:val="Textonotapie"/>
        <w:rPr>
          <w:lang w:val="es-MX"/>
        </w:rPr>
      </w:pPr>
    </w:p>
  </w:footnote>
  <w:footnote w:id="24">
    <w:p w14:paraId="163DEC30" w14:textId="77777777" w:rsidR="00B07312" w:rsidRPr="00482BD8" w:rsidRDefault="00B07312">
      <w:pPr>
        <w:pStyle w:val="Textonotapie"/>
        <w:rPr>
          <w:sz w:val="18"/>
          <w:szCs w:val="18"/>
        </w:rPr>
      </w:pPr>
      <w:r w:rsidRPr="00482BD8">
        <w:rPr>
          <w:rStyle w:val="Refdenotaalpie"/>
          <w:sz w:val="18"/>
          <w:szCs w:val="18"/>
        </w:rPr>
        <w:footnoteRef/>
      </w:r>
      <w:r w:rsidRPr="00482BD8">
        <w:rPr>
          <w:sz w:val="18"/>
          <w:szCs w:val="18"/>
        </w:rPr>
        <w:t xml:space="preserve"> Sitio web SUI para consulta de publicaciones de normatividad SSPD. Ver vínculo web SSPD:</w:t>
      </w:r>
    </w:p>
    <w:p w14:paraId="08150154" w14:textId="32A4B17E" w:rsidR="00B07312" w:rsidRPr="00482BD8" w:rsidRDefault="000D5E7E">
      <w:pPr>
        <w:pStyle w:val="Textonotapie"/>
        <w:rPr>
          <w:sz w:val="18"/>
          <w:szCs w:val="18"/>
        </w:rPr>
      </w:pPr>
      <w:hyperlink r:id="rId19" w:history="1">
        <w:r w:rsidR="00B07312" w:rsidRPr="00B45A3B">
          <w:rPr>
            <w:rStyle w:val="Hipervnculo"/>
            <w:sz w:val="18"/>
            <w:szCs w:val="18"/>
            <w:lang w:val="es-CO"/>
          </w:rPr>
          <w:t>https://www.superservicios.gov.co/Normativa/Resoluciones-y-circulares-Superservicios</w:t>
        </w:r>
      </w:hyperlink>
    </w:p>
  </w:footnote>
  <w:footnote w:id="25">
    <w:p w14:paraId="2D1E898D" w14:textId="77777777" w:rsidR="00B07312" w:rsidRPr="00E42730" w:rsidRDefault="00B07312" w:rsidP="003F261F">
      <w:pPr>
        <w:pStyle w:val="Textonotapie"/>
        <w:rPr>
          <w:lang w:val="es-MX"/>
        </w:rPr>
      </w:pPr>
      <w:r w:rsidRPr="00304273">
        <w:rPr>
          <w:rStyle w:val="Refdenotaalpie"/>
          <w:rFonts w:cs="Arial"/>
          <w:sz w:val="18"/>
          <w:szCs w:val="18"/>
        </w:rPr>
        <w:footnoteRef/>
      </w:r>
      <w:r w:rsidRPr="00304273">
        <w:rPr>
          <w:rFonts w:cs="Arial"/>
          <w:sz w:val="18"/>
          <w:szCs w:val="18"/>
        </w:rPr>
        <w:t xml:space="preserve"> </w:t>
      </w:r>
      <w:r>
        <w:rPr>
          <w:rFonts w:cs="Arial"/>
          <w:sz w:val="18"/>
          <w:szCs w:val="18"/>
        </w:rPr>
        <w:t>L</w:t>
      </w:r>
      <w:r w:rsidRPr="00304273">
        <w:rPr>
          <w:rFonts w:cs="Arial"/>
          <w:sz w:val="18"/>
          <w:szCs w:val="18"/>
          <w:lang w:val="es-MX"/>
        </w:rPr>
        <w:t>a diferencia</w:t>
      </w:r>
      <w:r>
        <w:rPr>
          <w:rFonts w:cs="Arial"/>
          <w:sz w:val="18"/>
          <w:szCs w:val="18"/>
          <w:lang w:val="es-MX"/>
        </w:rPr>
        <w:t xml:space="preserve"> del número de prestadores</w:t>
      </w:r>
      <w:r w:rsidRPr="00304273">
        <w:rPr>
          <w:rFonts w:cs="Arial"/>
          <w:sz w:val="18"/>
          <w:szCs w:val="18"/>
          <w:lang w:val="es-MX"/>
        </w:rPr>
        <w:t xml:space="preserve"> </w:t>
      </w:r>
      <w:r>
        <w:rPr>
          <w:rFonts w:cs="Arial"/>
          <w:sz w:val="18"/>
          <w:szCs w:val="18"/>
          <w:lang w:val="es-MX"/>
        </w:rPr>
        <w:t>multiservicios entre la SSPD (26) y la CREG (27) corresponde a la</w:t>
      </w:r>
      <w:r w:rsidRPr="00304273">
        <w:rPr>
          <w:rFonts w:cs="Arial"/>
          <w:sz w:val="18"/>
          <w:szCs w:val="18"/>
          <w:lang w:val="es-MX"/>
        </w:rPr>
        <w:t xml:space="preserve"> regulada: JUNTA DE SERVICIOS PUBLICOS DEL MUNICIPIO DEL CALVARIO, NIT 892099001, RUP 2722</w:t>
      </w:r>
      <w:r>
        <w:rPr>
          <w:rFonts w:cs="Arial"/>
          <w:sz w:val="18"/>
          <w:szCs w:val="18"/>
          <w:lang w:val="es-MX"/>
        </w:rPr>
        <w:t xml:space="preserve">, que la SSPD no la tuvo en cuenta en la hoja de resumen de su libro Excel: </w:t>
      </w:r>
      <w:r w:rsidRPr="00222F05">
        <w:rPr>
          <w:rFonts w:cs="Arial"/>
          <w:sz w:val="18"/>
          <w:szCs w:val="18"/>
          <w:lang w:val="es-MX"/>
        </w:rPr>
        <w:t>Hoja-de-trabajo-prestadores-2023.xlsx</w:t>
      </w:r>
      <w:r>
        <w:rPr>
          <w:rFonts w:cs="Arial"/>
          <w:sz w:val="18"/>
          <w:szCs w:val="18"/>
          <w:lang w:val="es-MX"/>
        </w:rPr>
        <w:t xml:space="preserve">, la cual hace parte de la resolución censo SSPD N° </w:t>
      </w:r>
      <w:r w:rsidRPr="00304273">
        <w:rPr>
          <w:rFonts w:cs="Arial"/>
          <w:sz w:val="18"/>
          <w:szCs w:val="18"/>
        </w:rPr>
        <w:t>20231000297335 de 2023</w:t>
      </w:r>
      <w:r>
        <w:rPr>
          <w:rFonts w:cs="Arial"/>
          <w:sz w:val="18"/>
          <w:szCs w:val="18"/>
        </w:rPr>
        <w:t>. Para efectos de la presente resolución, la CREG si la tendrá en cuenta, es decir, 27 reguladas en multiservicios.</w:t>
      </w:r>
    </w:p>
  </w:footnote>
  <w:footnote w:id="26">
    <w:p w14:paraId="7F3B4CE6" w14:textId="1A56BC83" w:rsidR="00B07312" w:rsidRPr="005725AE" w:rsidRDefault="00B07312">
      <w:pPr>
        <w:pStyle w:val="Textonotapie"/>
        <w:rPr>
          <w:lang w:val="es-MX"/>
        </w:rPr>
      </w:pPr>
      <w:r>
        <w:rPr>
          <w:rStyle w:val="Refdenotaalpie"/>
        </w:rPr>
        <w:footnoteRef/>
      </w:r>
      <w:r>
        <w:t xml:space="preserve"> </w:t>
      </w:r>
      <w:r w:rsidRPr="00F15869">
        <w:rPr>
          <w:rFonts w:cs="Arial"/>
          <w:sz w:val="22"/>
          <w:szCs w:val="22"/>
        </w:rPr>
        <w:t xml:space="preserve">Resolución </w:t>
      </w:r>
      <w:r>
        <w:rPr>
          <w:rFonts w:cs="Arial"/>
          <w:sz w:val="22"/>
          <w:szCs w:val="22"/>
        </w:rPr>
        <w:t xml:space="preserve">SSPD </w:t>
      </w:r>
      <w:r w:rsidRPr="00F15869">
        <w:rPr>
          <w:rFonts w:cs="Arial"/>
          <w:sz w:val="22"/>
          <w:szCs w:val="22"/>
        </w:rPr>
        <w:t xml:space="preserve">N° </w:t>
      </w:r>
      <w:r w:rsidRPr="00D1664E">
        <w:rPr>
          <w:rFonts w:cs="Arial"/>
          <w:sz w:val="22"/>
          <w:szCs w:val="22"/>
        </w:rPr>
        <w:t>20231000215345</w:t>
      </w:r>
      <w:r w:rsidRPr="00F15869">
        <w:rPr>
          <w:rFonts w:cs="Arial"/>
          <w:sz w:val="22"/>
          <w:szCs w:val="22"/>
        </w:rPr>
        <w:t xml:space="preserve"> del </w:t>
      </w:r>
      <w:r>
        <w:rPr>
          <w:rFonts w:cs="Arial"/>
          <w:sz w:val="22"/>
          <w:szCs w:val="22"/>
        </w:rPr>
        <w:t>29</w:t>
      </w:r>
      <w:r w:rsidRPr="00F15869">
        <w:rPr>
          <w:rFonts w:cs="Arial"/>
          <w:sz w:val="22"/>
          <w:szCs w:val="22"/>
        </w:rPr>
        <w:t xml:space="preserve"> de marzo de 202</w:t>
      </w:r>
      <w:r>
        <w:rPr>
          <w:rFonts w:cs="Arial"/>
          <w:sz w:val="22"/>
          <w:szCs w:val="22"/>
        </w:rPr>
        <w:t xml:space="preserve">3. </w:t>
      </w:r>
      <w:r>
        <w:rPr>
          <w:lang w:val="es-MX"/>
        </w:rPr>
        <w:t xml:space="preserve">Ver vínculo web SSPD: </w:t>
      </w:r>
      <w:hyperlink r:id="rId20" w:history="1">
        <w:r w:rsidRPr="00A81187">
          <w:rPr>
            <w:rStyle w:val="Hipervnculo"/>
            <w:lang w:val="es-MX"/>
          </w:rPr>
          <w:t>https://www.superservicios.gov.co/system/files/2023-04/Resolucion-SSPD-20231000215345.pdf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A4628" w14:textId="77777777" w:rsidR="008B05E8" w:rsidRDefault="008B05E8" w:rsidP="008B05E8">
    <w:pPr>
      <w:pStyle w:val="Encabezado"/>
    </w:pPr>
    <w:r>
      <w:rPr>
        <w:rFonts w:cs="Arial"/>
        <w:b/>
        <w:i/>
        <w:color w:val="808080"/>
        <w:sz w:val="16"/>
      </w:rPr>
      <w:t>Sesión No. 1288</w:t>
    </w:r>
  </w:p>
  <w:p w14:paraId="286A705F" w14:textId="5008C68A" w:rsidR="00B07312" w:rsidRDefault="00B07312" w:rsidP="005431B1">
    <w:pPr>
      <w:pStyle w:val="Encabezado"/>
      <w:jc w:val="left"/>
    </w:pPr>
  </w:p>
  <w:p w14:paraId="46EB919B" w14:textId="16458441" w:rsidR="00B07312" w:rsidRPr="001F4CF7" w:rsidRDefault="00B07312" w:rsidP="005A661B">
    <w:pPr>
      <w:pStyle w:val="Encabezado"/>
    </w:pPr>
    <w:r w:rsidRPr="001F4CF7">
      <w:rPr>
        <w:rFonts w:ascii="Arial Narrow" w:hAnsi="Arial Narrow" w:cs="Arial"/>
      </w:rPr>
      <w:t>.</w:t>
    </w:r>
  </w:p>
  <w:p w14:paraId="5ED8DCB4" w14:textId="77777777" w:rsidR="00B07312" w:rsidRDefault="00B07312" w:rsidP="000D5E7E">
    <w:pPr>
      <w:pStyle w:val="Textoindependiente"/>
      <w:spacing w:after="0" w:line="240" w:lineRule="auto"/>
      <w:jc w:val="center"/>
      <w:rPr>
        <w:rFonts w:ascii="Arial Narrow" w:hAnsi="Arial Narrow" w:cs="Arial"/>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EB14" w14:textId="77777777" w:rsidR="000D5E7E" w:rsidRDefault="000D5E7E" w:rsidP="000D5E7E">
    <w:pPr>
      <w:pStyle w:val="Encabezado"/>
    </w:pPr>
    <w:r>
      <w:rPr>
        <w:rFonts w:cs="Arial"/>
        <w:b/>
        <w:i/>
        <w:color w:val="808080"/>
        <w:sz w:val="16"/>
      </w:rPr>
      <w:t>Sesión No. 1288</w:t>
    </w:r>
  </w:p>
  <w:p w14:paraId="1B89F290" w14:textId="24DC3D9C" w:rsidR="00B07312" w:rsidRDefault="00B07312" w:rsidP="005431B1">
    <w:pPr>
      <w:pStyle w:val="Encabezado"/>
      <w:jc w:val="left"/>
    </w:pPr>
  </w:p>
  <w:p w14:paraId="63CA2B26" w14:textId="77777777" w:rsidR="00B07312" w:rsidRDefault="00B0731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F3012F0"/>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57E0BB9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22100870"/>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EBA6CCF6"/>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70EECB80"/>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5AFDF8"/>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52FC7C"/>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6EE94B6"/>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28A6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56CF4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C152C1"/>
    <w:multiLevelType w:val="hybridMultilevel"/>
    <w:tmpl w:val="B91281B4"/>
    <w:lvl w:ilvl="0" w:tplc="0C0A0001">
      <w:start w:val="1"/>
      <w:numFmt w:val="bullet"/>
      <w:lvlText w:val=""/>
      <w:lvlJc w:val="left"/>
      <w:pPr>
        <w:ind w:left="2084" w:hanging="360"/>
      </w:pPr>
      <w:rPr>
        <w:rFonts w:ascii="Symbol" w:hAnsi="Symbol" w:hint="default"/>
      </w:rPr>
    </w:lvl>
    <w:lvl w:ilvl="1" w:tplc="0C0A0003" w:tentative="1">
      <w:start w:val="1"/>
      <w:numFmt w:val="bullet"/>
      <w:lvlText w:val="o"/>
      <w:lvlJc w:val="left"/>
      <w:pPr>
        <w:ind w:left="2804" w:hanging="360"/>
      </w:pPr>
      <w:rPr>
        <w:rFonts w:ascii="Courier New" w:hAnsi="Courier New" w:cs="Courier New" w:hint="default"/>
      </w:rPr>
    </w:lvl>
    <w:lvl w:ilvl="2" w:tplc="0C0A0005" w:tentative="1">
      <w:start w:val="1"/>
      <w:numFmt w:val="bullet"/>
      <w:lvlText w:val=""/>
      <w:lvlJc w:val="left"/>
      <w:pPr>
        <w:ind w:left="3524" w:hanging="360"/>
      </w:pPr>
      <w:rPr>
        <w:rFonts w:ascii="Wingdings" w:hAnsi="Wingdings" w:hint="default"/>
      </w:rPr>
    </w:lvl>
    <w:lvl w:ilvl="3" w:tplc="0C0A0001" w:tentative="1">
      <w:start w:val="1"/>
      <w:numFmt w:val="bullet"/>
      <w:lvlText w:val=""/>
      <w:lvlJc w:val="left"/>
      <w:pPr>
        <w:ind w:left="4244" w:hanging="360"/>
      </w:pPr>
      <w:rPr>
        <w:rFonts w:ascii="Symbol" w:hAnsi="Symbol" w:hint="default"/>
      </w:rPr>
    </w:lvl>
    <w:lvl w:ilvl="4" w:tplc="0C0A0003" w:tentative="1">
      <w:start w:val="1"/>
      <w:numFmt w:val="bullet"/>
      <w:lvlText w:val="o"/>
      <w:lvlJc w:val="left"/>
      <w:pPr>
        <w:ind w:left="4964" w:hanging="360"/>
      </w:pPr>
      <w:rPr>
        <w:rFonts w:ascii="Courier New" w:hAnsi="Courier New" w:cs="Courier New" w:hint="default"/>
      </w:rPr>
    </w:lvl>
    <w:lvl w:ilvl="5" w:tplc="0C0A0005" w:tentative="1">
      <w:start w:val="1"/>
      <w:numFmt w:val="bullet"/>
      <w:lvlText w:val=""/>
      <w:lvlJc w:val="left"/>
      <w:pPr>
        <w:ind w:left="5684" w:hanging="360"/>
      </w:pPr>
      <w:rPr>
        <w:rFonts w:ascii="Wingdings" w:hAnsi="Wingdings" w:hint="default"/>
      </w:rPr>
    </w:lvl>
    <w:lvl w:ilvl="6" w:tplc="0C0A0001" w:tentative="1">
      <w:start w:val="1"/>
      <w:numFmt w:val="bullet"/>
      <w:lvlText w:val=""/>
      <w:lvlJc w:val="left"/>
      <w:pPr>
        <w:ind w:left="6404" w:hanging="360"/>
      </w:pPr>
      <w:rPr>
        <w:rFonts w:ascii="Symbol" w:hAnsi="Symbol" w:hint="default"/>
      </w:rPr>
    </w:lvl>
    <w:lvl w:ilvl="7" w:tplc="0C0A0003" w:tentative="1">
      <w:start w:val="1"/>
      <w:numFmt w:val="bullet"/>
      <w:lvlText w:val="o"/>
      <w:lvlJc w:val="left"/>
      <w:pPr>
        <w:ind w:left="7124" w:hanging="360"/>
      </w:pPr>
      <w:rPr>
        <w:rFonts w:ascii="Courier New" w:hAnsi="Courier New" w:cs="Courier New" w:hint="default"/>
      </w:rPr>
    </w:lvl>
    <w:lvl w:ilvl="8" w:tplc="0C0A0005" w:tentative="1">
      <w:start w:val="1"/>
      <w:numFmt w:val="bullet"/>
      <w:lvlText w:val=""/>
      <w:lvlJc w:val="left"/>
      <w:pPr>
        <w:ind w:left="7844" w:hanging="360"/>
      </w:pPr>
      <w:rPr>
        <w:rFonts w:ascii="Wingdings" w:hAnsi="Wingdings" w:hint="default"/>
      </w:rPr>
    </w:lvl>
  </w:abstractNum>
  <w:abstractNum w:abstractNumId="11" w15:restartNumberingAfterBreak="0">
    <w:nsid w:val="09577636"/>
    <w:multiLevelType w:val="multilevel"/>
    <w:tmpl w:val="534AD7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0B71235B"/>
    <w:multiLevelType w:val="hybridMultilevel"/>
    <w:tmpl w:val="3AC2A82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14217300"/>
    <w:multiLevelType w:val="hybridMultilevel"/>
    <w:tmpl w:val="0A54803E"/>
    <w:lvl w:ilvl="0" w:tplc="435EDE02">
      <w:start w:val="2"/>
      <w:numFmt w:val="decimal"/>
      <w:lvlText w:val="%1."/>
      <w:lvlJc w:val="left"/>
      <w:pPr>
        <w:tabs>
          <w:tab w:val="num" w:pos="2487"/>
        </w:tabs>
        <w:ind w:left="2487" w:hanging="360"/>
      </w:pPr>
    </w:lvl>
    <w:lvl w:ilvl="1" w:tplc="87CC477C" w:tentative="1">
      <w:start w:val="1"/>
      <w:numFmt w:val="decimal"/>
      <w:lvlText w:val="%2."/>
      <w:lvlJc w:val="left"/>
      <w:pPr>
        <w:tabs>
          <w:tab w:val="num" w:pos="3207"/>
        </w:tabs>
        <w:ind w:left="3207" w:hanging="360"/>
      </w:pPr>
    </w:lvl>
    <w:lvl w:ilvl="2" w:tplc="C9C8A3FC" w:tentative="1">
      <w:start w:val="1"/>
      <w:numFmt w:val="decimal"/>
      <w:lvlText w:val="%3."/>
      <w:lvlJc w:val="left"/>
      <w:pPr>
        <w:tabs>
          <w:tab w:val="num" w:pos="3927"/>
        </w:tabs>
        <w:ind w:left="3927" w:hanging="360"/>
      </w:pPr>
    </w:lvl>
    <w:lvl w:ilvl="3" w:tplc="AC2A7CD2" w:tentative="1">
      <w:start w:val="1"/>
      <w:numFmt w:val="decimal"/>
      <w:lvlText w:val="%4."/>
      <w:lvlJc w:val="left"/>
      <w:pPr>
        <w:tabs>
          <w:tab w:val="num" w:pos="4647"/>
        </w:tabs>
        <w:ind w:left="4647" w:hanging="360"/>
      </w:pPr>
    </w:lvl>
    <w:lvl w:ilvl="4" w:tplc="116E0896" w:tentative="1">
      <w:start w:val="1"/>
      <w:numFmt w:val="decimal"/>
      <w:lvlText w:val="%5."/>
      <w:lvlJc w:val="left"/>
      <w:pPr>
        <w:tabs>
          <w:tab w:val="num" w:pos="5367"/>
        </w:tabs>
        <w:ind w:left="5367" w:hanging="360"/>
      </w:pPr>
    </w:lvl>
    <w:lvl w:ilvl="5" w:tplc="BE2C3BD4" w:tentative="1">
      <w:start w:val="1"/>
      <w:numFmt w:val="decimal"/>
      <w:lvlText w:val="%6."/>
      <w:lvlJc w:val="left"/>
      <w:pPr>
        <w:tabs>
          <w:tab w:val="num" w:pos="6087"/>
        </w:tabs>
        <w:ind w:left="6087" w:hanging="360"/>
      </w:pPr>
    </w:lvl>
    <w:lvl w:ilvl="6" w:tplc="BFC6A0A2" w:tentative="1">
      <w:start w:val="1"/>
      <w:numFmt w:val="decimal"/>
      <w:lvlText w:val="%7."/>
      <w:lvlJc w:val="left"/>
      <w:pPr>
        <w:tabs>
          <w:tab w:val="num" w:pos="6807"/>
        </w:tabs>
        <w:ind w:left="6807" w:hanging="360"/>
      </w:pPr>
    </w:lvl>
    <w:lvl w:ilvl="7" w:tplc="05A284A4" w:tentative="1">
      <w:start w:val="1"/>
      <w:numFmt w:val="decimal"/>
      <w:lvlText w:val="%8."/>
      <w:lvlJc w:val="left"/>
      <w:pPr>
        <w:tabs>
          <w:tab w:val="num" w:pos="7527"/>
        </w:tabs>
        <w:ind w:left="7527" w:hanging="360"/>
      </w:pPr>
    </w:lvl>
    <w:lvl w:ilvl="8" w:tplc="15A0DE0E" w:tentative="1">
      <w:start w:val="1"/>
      <w:numFmt w:val="decimal"/>
      <w:lvlText w:val="%9."/>
      <w:lvlJc w:val="left"/>
      <w:pPr>
        <w:tabs>
          <w:tab w:val="num" w:pos="8247"/>
        </w:tabs>
        <w:ind w:left="8247" w:hanging="360"/>
      </w:pPr>
    </w:lvl>
  </w:abstractNum>
  <w:abstractNum w:abstractNumId="14" w15:restartNumberingAfterBreak="0">
    <w:nsid w:val="1F042361"/>
    <w:multiLevelType w:val="hybridMultilevel"/>
    <w:tmpl w:val="D816620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5C81176"/>
    <w:multiLevelType w:val="hybridMultilevel"/>
    <w:tmpl w:val="D816620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88C3E9E"/>
    <w:multiLevelType w:val="singleLevel"/>
    <w:tmpl w:val="37E252A4"/>
    <w:lvl w:ilvl="0">
      <w:start w:val="1"/>
      <w:numFmt w:val="bullet"/>
      <w:pStyle w:val="Listaconvietas"/>
      <w:lvlText w:val=""/>
      <w:lvlJc w:val="left"/>
      <w:pPr>
        <w:tabs>
          <w:tab w:val="num" w:pos="360"/>
        </w:tabs>
        <w:ind w:left="360" w:hanging="360"/>
      </w:pPr>
      <w:rPr>
        <w:rFonts w:ascii="Wingdings" w:hAnsi="Wingdings" w:hint="default"/>
      </w:rPr>
    </w:lvl>
  </w:abstractNum>
  <w:abstractNum w:abstractNumId="17" w15:restartNumberingAfterBreak="0">
    <w:nsid w:val="2A287590"/>
    <w:multiLevelType w:val="hybridMultilevel"/>
    <w:tmpl w:val="6D6EA4AC"/>
    <w:lvl w:ilvl="0" w:tplc="49BE4CE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BD07B74"/>
    <w:multiLevelType w:val="hybridMultilevel"/>
    <w:tmpl w:val="D31454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DD45AAF"/>
    <w:multiLevelType w:val="hybridMultilevel"/>
    <w:tmpl w:val="D816620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0E75115"/>
    <w:multiLevelType w:val="multilevel"/>
    <w:tmpl w:val="534AD7C2"/>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2A35006"/>
    <w:multiLevelType w:val="hybridMultilevel"/>
    <w:tmpl w:val="18EC868C"/>
    <w:lvl w:ilvl="0" w:tplc="61489ACC">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3DF1EAD"/>
    <w:multiLevelType w:val="multilevel"/>
    <w:tmpl w:val="DF1276E2"/>
    <w:lvl w:ilvl="0">
      <w:start w:val="1"/>
      <w:numFmt w:val="decimal"/>
      <w:lvlText w:val="%1."/>
      <w:lvlJc w:val="left"/>
      <w:pPr>
        <w:ind w:left="2629"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2989" w:hanging="720"/>
      </w:pPr>
      <w:rPr>
        <w:rFonts w:hint="default"/>
      </w:rPr>
    </w:lvl>
    <w:lvl w:ilvl="3">
      <w:start w:val="1"/>
      <w:numFmt w:val="decimal"/>
      <w:isLgl/>
      <w:lvlText w:val="%1.%2.%3.%4."/>
      <w:lvlJc w:val="left"/>
      <w:pPr>
        <w:ind w:left="3349" w:hanging="1080"/>
      </w:pPr>
      <w:rPr>
        <w:rFonts w:hint="default"/>
      </w:rPr>
    </w:lvl>
    <w:lvl w:ilvl="4">
      <w:start w:val="1"/>
      <w:numFmt w:val="decimal"/>
      <w:isLgl/>
      <w:lvlText w:val="%1.%2.%3.%4.%5."/>
      <w:lvlJc w:val="left"/>
      <w:pPr>
        <w:ind w:left="3349" w:hanging="1080"/>
      </w:pPr>
      <w:rPr>
        <w:rFonts w:hint="default"/>
      </w:rPr>
    </w:lvl>
    <w:lvl w:ilvl="5">
      <w:start w:val="1"/>
      <w:numFmt w:val="decimal"/>
      <w:isLgl/>
      <w:lvlText w:val="%1.%2.%3.%4.%5.%6."/>
      <w:lvlJc w:val="left"/>
      <w:pPr>
        <w:ind w:left="3709" w:hanging="1440"/>
      </w:pPr>
      <w:rPr>
        <w:rFonts w:hint="default"/>
      </w:rPr>
    </w:lvl>
    <w:lvl w:ilvl="6">
      <w:start w:val="1"/>
      <w:numFmt w:val="decimal"/>
      <w:isLgl/>
      <w:lvlText w:val="%1.%2.%3.%4.%5.%6.%7."/>
      <w:lvlJc w:val="left"/>
      <w:pPr>
        <w:ind w:left="3709" w:hanging="1440"/>
      </w:pPr>
      <w:rPr>
        <w:rFonts w:hint="default"/>
      </w:rPr>
    </w:lvl>
    <w:lvl w:ilvl="7">
      <w:start w:val="1"/>
      <w:numFmt w:val="decimal"/>
      <w:isLgl/>
      <w:lvlText w:val="%1.%2.%3.%4.%5.%6.%7.%8."/>
      <w:lvlJc w:val="left"/>
      <w:pPr>
        <w:ind w:left="4069" w:hanging="1800"/>
      </w:pPr>
      <w:rPr>
        <w:rFonts w:hint="default"/>
      </w:rPr>
    </w:lvl>
    <w:lvl w:ilvl="8">
      <w:start w:val="1"/>
      <w:numFmt w:val="decimal"/>
      <w:isLgl/>
      <w:lvlText w:val="%1.%2.%3.%4.%5.%6.%7.%8.%9."/>
      <w:lvlJc w:val="left"/>
      <w:pPr>
        <w:ind w:left="4429" w:hanging="2160"/>
      </w:pPr>
      <w:rPr>
        <w:rFonts w:hint="default"/>
      </w:rPr>
    </w:lvl>
  </w:abstractNum>
  <w:abstractNum w:abstractNumId="23" w15:restartNumberingAfterBreak="0">
    <w:nsid w:val="33EE635C"/>
    <w:multiLevelType w:val="hybridMultilevel"/>
    <w:tmpl w:val="35A680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9564FDF"/>
    <w:multiLevelType w:val="hybridMultilevel"/>
    <w:tmpl w:val="D816620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D4E0BE6"/>
    <w:multiLevelType w:val="hybridMultilevel"/>
    <w:tmpl w:val="635E88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3DE42315"/>
    <w:multiLevelType w:val="hybridMultilevel"/>
    <w:tmpl w:val="39C49610"/>
    <w:lvl w:ilvl="0" w:tplc="240A0001">
      <w:start w:val="1"/>
      <w:numFmt w:val="bullet"/>
      <w:lvlText w:val=""/>
      <w:lvlJc w:val="left"/>
      <w:pPr>
        <w:ind w:left="1713" w:hanging="360"/>
      </w:pPr>
      <w:rPr>
        <w:rFonts w:ascii="Symbol" w:hAnsi="Symbol" w:hint="default"/>
      </w:rPr>
    </w:lvl>
    <w:lvl w:ilvl="1" w:tplc="240A0003" w:tentative="1">
      <w:start w:val="1"/>
      <w:numFmt w:val="bullet"/>
      <w:lvlText w:val="o"/>
      <w:lvlJc w:val="left"/>
      <w:pPr>
        <w:ind w:left="2433" w:hanging="360"/>
      </w:pPr>
      <w:rPr>
        <w:rFonts w:ascii="Courier New" w:hAnsi="Courier New" w:cs="Courier New" w:hint="default"/>
      </w:rPr>
    </w:lvl>
    <w:lvl w:ilvl="2" w:tplc="240A0005" w:tentative="1">
      <w:start w:val="1"/>
      <w:numFmt w:val="bullet"/>
      <w:lvlText w:val=""/>
      <w:lvlJc w:val="left"/>
      <w:pPr>
        <w:ind w:left="3153" w:hanging="360"/>
      </w:pPr>
      <w:rPr>
        <w:rFonts w:ascii="Wingdings" w:hAnsi="Wingdings" w:hint="default"/>
      </w:rPr>
    </w:lvl>
    <w:lvl w:ilvl="3" w:tplc="240A0001" w:tentative="1">
      <w:start w:val="1"/>
      <w:numFmt w:val="bullet"/>
      <w:lvlText w:val=""/>
      <w:lvlJc w:val="left"/>
      <w:pPr>
        <w:ind w:left="3873" w:hanging="360"/>
      </w:pPr>
      <w:rPr>
        <w:rFonts w:ascii="Symbol" w:hAnsi="Symbol" w:hint="default"/>
      </w:rPr>
    </w:lvl>
    <w:lvl w:ilvl="4" w:tplc="240A0003" w:tentative="1">
      <w:start w:val="1"/>
      <w:numFmt w:val="bullet"/>
      <w:lvlText w:val="o"/>
      <w:lvlJc w:val="left"/>
      <w:pPr>
        <w:ind w:left="4593" w:hanging="360"/>
      </w:pPr>
      <w:rPr>
        <w:rFonts w:ascii="Courier New" w:hAnsi="Courier New" w:cs="Courier New" w:hint="default"/>
      </w:rPr>
    </w:lvl>
    <w:lvl w:ilvl="5" w:tplc="240A0005" w:tentative="1">
      <w:start w:val="1"/>
      <w:numFmt w:val="bullet"/>
      <w:lvlText w:val=""/>
      <w:lvlJc w:val="left"/>
      <w:pPr>
        <w:ind w:left="5313" w:hanging="360"/>
      </w:pPr>
      <w:rPr>
        <w:rFonts w:ascii="Wingdings" w:hAnsi="Wingdings" w:hint="default"/>
      </w:rPr>
    </w:lvl>
    <w:lvl w:ilvl="6" w:tplc="240A0001" w:tentative="1">
      <w:start w:val="1"/>
      <w:numFmt w:val="bullet"/>
      <w:lvlText w:val=""/>
      <w:lvlJc w:val="left"/>
      <w:pPr>
        <w:ind w:left="6033" w:hanging="360"/>
      </w:pPr>
      <w:rPr>
        <w:rFonts w:ascii="Symbol" w:hAnsi="Symbol" w:hint="default"/>
      </w:rPr>
    </w:lvl>
    <w:lvl w:ilvl="7" w:tplc="240A0003" w:tentative="1">
      <w:start w:val="1"/>
      <w:numFmt w:val="bullet"/>
      <w:lvlText w:val="o"/>
      <w:lvlJc w:val="left"/>
      <w:pPr>
        <w:ind w:left="6753" w:hanging="360"/>
      </w:pPr>
      <w:rPr>
        <w:rFonts w:ascii="Courier New" w:hAnsi="Courier New" w:cs="Courier New" w:hint="default"/>
      </w:rPr>
    </w:lvl>
    <w:lvl w:ilvl="8" w:tplc="240A0005" w:tentative="1">
      <w:start w:val="1"/>
      <w:numFmt w:val="bullet"/>
      <w:lvlText w:val=""/>
      <w:lvlJc w:val="left"/>
      <w:pPr>
        <w:ind w:left="7473" w:hanging="360"/>
      </w:pPr>
      <w:rPr>
        <w:rFonts w:ascii="Wingdings" w:hAnsi="Wingdings" w:hint="default"/>
      </w:rPr>
    </w:lvl>
  </w:abstractNum>
  <w:abstractNum w:abstractNumId="27" w15:restartNumberingAfterBreak="0">
    <w:nsid w:val="3F0563DC"/>
    <w:multiLevelType w:val="hybridMultilevel"/>
    <w:tmpl w:val="D816620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7F84B46"/>
    <w:multiLevelType w:val="hybridMultilevel"/>
    <w:tmpl w:val="CF767FC8"/>
    <w:lvl w:ilvl="0" w:tplc="0C4C0A2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BF83AC3"/>
    <w:multiLevelType w:val="hybridMultilevel"/>
    <w:tmpl w:val="D816620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26818F4"/>
    <w:multiLevelType w:val="multilevel"/>
    <w:tmpl w:val="DF1276E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1" w15:restartNumberingAfterBreak="0">
    <w:nsid w:val="54934EBD"/>
    <w:multiLevelType w:val="multilevel"/>
    <w:tmpl w:val="534AD7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7AE0222"/>
    <w:multiLevelType w:val="hybridMultilevel"/>
    <w:tmpl w:val="D816620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D4E5210"/>
    <w:multiLevelType w:val="hybridMultilevel"/>
    <w:tmpl w:val="F2C051A6"/>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5D78165D"/>
    <w:multiLevelType w:val="hybridMultilevel"/>
    <w:tmpl w:val="BE287A62"/>
    <w:lvl w:ilvl="0" w:tplc="FA0AF2B6">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EE26072"/>
    <w:multiLevelType w:val="hybridMultilevel"/>
    <w:tmpl w:val="D816620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F480C15"/>
    <w:multiLevelType w:val="hybridMultilevel"/>
    <w:tmpl w:val="C3D20C28"/>
    <w:lvl w:ilvl="0" w:tplc="644E7BAA">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05D2241"/>
    <w:multiLevelType w:val="hybridMultilevel"/>
    <w:tmpl w:val="98324DE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61177BC4"/>
    <w:multiLevelType w:val="multilevel"/>
    <w:tmpl w:val="534AD7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3197397"/>
    <w:multiLevelType w:val="multilevel"/>
    <w:tmpl w:val="534AD7C2"/>
    <w:lvl w:ilvl="0">
      <w:start w:val="1"/>
      <w:numFmt w:val="decimal"/>
      <w:lvlText w:val="%1."/>
      <w:lvlJc w:val="left"/>
      <w:pPr>
        <w:ind w:left="720" w:hanging="360"/>
      </w:pPr>
      <w:rPr>
        <w:rFonts w:hint="default"/>
      </w:rPr>
    </w:lvl>
    <w:lvl w:ilvl="1">
      <w:start w:val="1"/>
      <w:numFmt w:val="decimal"/>
      <w:isLgl/>
      <w:lvlText w:val="%1.%2"/>
      <w:lvlJc w:val="left"/>
      <w:pPr>
        <w:ind w:left="319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63E04DE6"/>
    <w:multiLevelType w:val="hybridMultilevel"/>
    <w:tmpl w:val="9154B2A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48B0129"/>
    <w:multiLevelType w:val="hybridMultilevel"/>
    <w:tmpl w:val="08643094"/>
    <w:lvl w:ilvl="0" w:tplc="FD22CA9A">
      <w:numFmt w:val="bullet"/>
      <w:lvlText w:val="-"/>
      <w:lvlJc w:val="left"/>
      <w:pPr>
        <w:ind w:left="1080" w:hanging="360"/>
      </w:pPr>
      <w:rPr>
        <w:rFonts w:ascii="Arial" w:eastAsia="Calibri"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2" w15:restartNumberingAfterBreak="0">
    <w:nsid w:val="66230FF8"/>
    <w:multiLevelType w:val="singleLevel"/>
    <w:tmpl w:val="CA8A963A"/>
    <w:lvl w:ilvl="0">
      <w:start w:val="1"/>
      <w:numFmt w:val="decimal"/>
      <w:pStyle w:val="Listaconnmeros"/>
      <w:lvlText w:val="%1)"/>
      <w:lvlJc w:val="left"/>
      <w:pPr>
        <w:tabs>
          <w:tab w:val="num" w:pos="360"/>
        </w:tabs>
        <w:ind w:left="360" w:hanging="360"/>
      </w:pPr>
    </w:lvl>
  </w:abstractNum>
  <w:abstractNum w:abstractNumId="43" w15:restartNumberingAfterBreak="0">
    <w:nsid w:val="68085A45"/>
    <w:multiLevelType w:val="hybridMultilevel"/>
    <w:tmpl w:val="D816620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6B0035FE"/>
    <w:multiLevelType w:val="hybridMultilevel"/>
    <w:tmpl w:val="154ED5B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6B917A01"/>
    <w:multiLevelType w:val="hybridMultilevel"/>
    <w:tmpl w:val="7B285094"/>
    <w:lvl w:ilvl="0" w:tplc="137CC210">
      <w:start w:val="1"/>
      <w:numFmt w:val="bullet"/>
      <w:lvlText w:val=""/>
      <w:lvlJc w:val="left"/>
      <w:pPr>
        <w:ind w:left="720" w:hanging="360"/>
      </w:pPr>
      <w:rPr>
        <w:rFonts w:ascii="Symbol" w:hAnsi="Symbol" w:hint="default"/>
      </w:rPr>
    </w:lvl>
    <w:lvl w:ilvl="1" w:tplc="0C0A0019" w:tentative="1">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46" w15:restartNumberingAfterBreak="0">
    <w:nsid w:val="6E7A1288"/>
    <w:multiLevelType w:val="multilevel"/>
    <w:tmpl w:val="534AD7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6E9C2651"/>
    <w:multiLevelType w:val="hybridMultilevel"/>
    <w:tmpl w:val="3A6CABDA"/>
    <w:lvl w:ilvl="0" w:tplc="3B2E9EBA">
      <w:start w:val="1"/>
      <w:numFmt w:val="decimal"/>
      <w:lvlText w:val="%1."/>
      <w:lvlJc w:val="left"/>
      <w:pPr>
        <w:tabs>
          <w:tab w:val="num" w:pos="360"/>
        </w:tabs>
        <w:ind w:left="360" w:hanging="360"/>
      </w:pPr>
    </w:lvl>
    <w:lvl w:ilvl="1" w:tplc="F3C68C80">
      <w:start w:val="1"/>
      <w:numFmt w:val="lowerLetter"/>
      <w:lvlText w:val="%2."/>
      <w:lvlJc w:val="left"/>
      <w:pPr>
        <w:tabs>
          <w:tab w:val="num" w:pos="1080"/>
        </w:tabs>
        <w:ind w:left="1080" w:hanging="360"/>
      </w:pPr>
    </w:lvl>
    <w:lvl w:ilvl="2" w:tplc="72686F16" w:tentative="1">
      <w:start w:val="1"/>
      <w:numFmt w:val="decimal"/>
      <w:lvlText w:val="%3."/>
      <w:lvlJc w:val="left"/>
      <w:pPr>
        <w:tabs>
          <w:tab w:val="num" w:pos="1800"/>
        </w:tabs>
        <w:ind w:left="1800" w:hanging="360"/>
      </w:pPr>
    </w:lvl>
    <w:lvl w:ilvl="3" w:tplc="0392775E" w:tentative="1">
      <w:start w:val="1"/>
      <w:numFmt w:val="decimal"/>
      <w:lvlText w:val="%4."/>
      <w:lvlJc w:val="left"/>
      <w:pPr>
        <w:tabs>
          <w:tab w:val="num" w:pos="2520"/>
        </w:tabs>
        <w:ind w:left="2520" w:hanging="360"/>
      </w:pPr>
    </w:lvl>
    <w:lvl w:ilvl="4" w:tplc="E8A0EE9C" w:tentative="1">
      <w:start w:val="1"/>
      <w:numFmt w:val="decimal"/>
      <w:lvlText w:val="%5."/>
      <w:lvlJc w:val="left"/>
      <w:pPr>
        <w:tabs>
          <w:tab w:val="num" w:pos="3240"/>
        </w:tabs>
        <w:ind w:left="3240" w:hanging="360"/>
      </w:pPr>
    </w:lvl>
    <w:lvl w:ilvl="5" w:tplc="6B701588" w:tentative="1">
      <w:start w:val="1"/>
      <w:numFmt w:val="decimal"/>
      <w:lvlText w:val="%6."/>
      <w:lvlJc w:val="left"/>
      <w:pPr>
        <w:tabs>
          <w:tab w:val="num" w:pos="3960"/>
        </w:tabs>
        <w:ind w:left="3960" w:hanging="360"/>
      </w:pPr>
    </w:lvl>
    <w:lvl w:ilvl="6" w:tplc="49B04160" w:tentative="1">
      <w:start w:val="1"/>
      <w:numFmt w:val="decimal"/>
      <w:lvlText w:val="%7."/>
      <w:lvlJc w:val="left"/>
      <w:pPr>
        <w:tabs>
          <w:tab w:val="num" w:pos="4680"/>
        </w:tabs>
        <w:ind w:left="4680" w:hanging="360"/>
      </w:pPr>
    </w:lvl>
    <w:lvl w:ilvl="7" w:tplc="8F1819F8" w:tentative="1">
      <w:start w:val="1"/>
      <w:numFmt w:val="decimal"/>
      <w:lvlText w:val="%8."/>
      <w:lvlJc w:val="left"/>
      <w:pPr>
        <w:tabs>
          <w:tab w:val="num" w:pos="5400"/>
        </w:tabs>
        <w:ind w:left="5400" w:hanging="360"/>
      </w:pPr>
    </w:lvl>
    <w:lvl w:ilvl="8" w:tplc="B4943D62" w:tentative="1">
      <w:start w:val="1"/>
      <w:numFmt w:val="decimal"/>
      <w:lvlText w:val="%9."/>
      <w:lvlJc w:val="left"/>
      <w:pPr>
        <w:tabs>
          <w:tab w:val="num" w:pos="6120"/>
        </w:tabs>
        <w:ind w:left="6120" w:hanging="360"/>
      </w:pPr>
    </w:lvl>
  </w:abstractNum>
  <w:abstractNum w:abstractNumId="48" w15:restartNumberingAfterBreak="0">
    <w:nsid w:val="748F7622"/>
    <w:multiLevelType w:val="multilevel"/>
    <w:tmpl w:val="DF1276E2"/>
    <w:lvl w:ilvl="0">
      <w:start w:val="1"/>
      <w:numFmt w:val="decimal"/>
      <w:lvlText w:val="%1."/>
      <w:lvlJc w:val="left"/>
      <w:pPr>
        <w:ind w:left="2629"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2989" w:hanging="720"/>
      </w:pPr>
      <w:rPr>
        <w:rFonts w:hint="default"/>
      </w:rPr>
    </w:lvl>
    <w:lvl w:ilvl="3">
      <w:start w:val="1"/>
      <w:numFmt w:val="decimal"/>
      <w:isLgl/>
      <w:lvlText w:val="%1.%2.%3.%4."/>
      <w:lvlJc w:val="left"/>
      <w:pPr>
        <w:ind w:left="3349" w:hanging="1080"/>
      </w:pPr>
      <w:rPr>
        <w:rFonts w:hint="default"/>
      </w:rPr>
    </w:lvl>
    <w:lvl w:ilvl="4">
      <w:start w:val="1"/>
      <w:numFmt w:val="decimal"/>
      <w:isLgl/>
      <w:lvlText w:val="%1.%2.%3.%4.%5."/>
      <w:lvlJc w:val="left"/>
      <w:pPr>
        <w:ind w:left="3349" w:hanging="1080"/>
      </w:pPr>
      <w:rPr>
        <w:rFonts w:hint="default"/>
      </w:rPr>
    </w:lvl>
    <w:lvl w:ilvl="5">
      <w:start w:val="1"/>
      <w:numFmt w:val="decimal"/>
      <w:isLgl/>
      <w:lvlText w:val="%1.%2.%3.%4.%5.%6."/>
      <w:lvlJc w:val="left"/>
      <w:pPr>
        <w:ind w:left="3709" w:hanging="1440"/>
      </w:pPr>
      <w:rPr>
        <w:rFonts w:hint="default"/>
      </w:rPr>
    </w:lvl>
    <w:lvl w:ilvl="6">
      <w:start w:val="1"/>
      <w:numFmt w:val="decimal"/>
      <w:isLgl/>
      <w:lvlText w:val="%1.%2.%3.%4.%5.%6.%7."/>
      <w:lvlJc w:val="left"/>
      <w:pPr>
        <w:ind w:left="3709" w:hanging="1440"/>
      </w:pPr>
      <w:rPr>
        <w:rFonts w:hint="default"/>
      </w:rPr>
    </w:lvl>
    <w:lvl w:ilvl="7">
      <w:start w:val="1"/>
      <w:numFmt w:val="decimal"/>
      <w:isLgl/>
      <w:lvlText w:val="%1.%2.%3.%4.%5.%6.%7.%8."/>
      <w:lvlJc w:val="left"/>
      <w:pPr>
        <w:ind w:left="4069" w:hanging="1800"/>
      </w:pPr>
      <w:rPr>
        <w:rFonts w:hint="default"/>
      </w:rPr>
    </w:lvl>
    <w:lvl w:ilvl="8">
      <w:start w:val="1"/>
      <w:numFmt w:val="decimal"/>
      <w:isLgl/>
      <w:lvlText w:val="%1.%2.%3.%4.%5.%6.%7.%8.%9."/>
      <w:lvlJc w:val="left"/>
      <w:pPr>
        <w:ind w:left="4429" w:hanging="2160"/>
      </w:pPr>
      <w:rPr>
        <w:rFonts w:hint="default"/>
      </w:rPr>
    </w:lvl>
  </w:abstractNum>
  <w:abstractNum w:abstractNumId="49" w15:restartNumberingAfterBreak="0">
    <w:nsid w:val="74E1238A"/>
    <w:multiLevelType w:val="multilevel"/>
    <w:tmpl w:val="534AD7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602840342">
    <w:abstractNumId w:val="9"/>
  </w:num>
  <w:num w:numId="2" w16cid:durableId="1958102759">
    <w:abstractNumId w:val="8"/>
  </w:num>
  <w:num w:numId="3" w16cid:durableId="216287702">
    <w:abstractNumId w:val="16"/>
  </w:num>
  <w:num w:numId="4" w16cid:durableId="1236552206">
    <w:abstractNumId w:val="42"/>
  </w:num>
  <w:num w:numId="5" w16cid:durableId="1878002763">
    <w:abstractNumId w:val="3"/>
  </w:num>
  <w:num w:numId="6" w16cid:durableId="264967335">
    <w:abstractNumId w:val="2"/>
  </w:num>
  <w:num w:numId="7" w16cid:durableId="174272942">
    <w:abstractNumId w:val="1"/>
  </w:num>
  <w:num w:numId="8" w16cid:durableId="515923070">
    <w:abstractNumId w:val="0"/>
  </w:num>
  <w:num w:numId="9" w16cid:durableId="1502508026">
    <w:abstractNumId w:val="7"/>
  </w:num>
  <w:num w:numId="10" w16cid:durableId="1089541600">
    <w:abstractNumId w:val="6"/>
  </w:num>
  <w:num w:numId="11" w16cid:durableId="1348288644">
    <w:abstractNumId w:val="5"/>
  </w:num>
  <w:num w:numId="12" w16cid:durableId="1120145875">
    <w:abstractNumId w:val="4"/>
  </w:num>
  <w:num w:numId="13" w16cid:durableId="230585452">
    <w:abstractNumId w:val="41"/>
  </w:num>
  <w:num w:numId="14" w16cid:durableId="1321618670">
    <w:abstractNumId w:val="34"/>
  </w:num>
  <w:num w:numId="15" w16cid:durableId="578175037">
    <w:abstractNumId w:val="21"/>
  </w:num>
  <w:num w:numId="16" w16cid:durableId="41909626">
    <w:abstractNumId w:val="14"/>
  </w:num>
  <w:num w:numId="17" w16cid:durableId="86536709">
    <w:abstractNumId w:val="27"/>
  </w:num>
  <w:num w:numId="18" w16cid:durableId="1445616954">
    <w:abstractNumId w:val="15"/>
  </w:num>
  <w:num w:numId="19" w16cid:durableId="1711568315">
    <w:abstractNumId w:val="24"/>
  </w:num>
  <w:num w:numId="20" w16cid:durableId="1908566171">
    <w:abstractNumId w:val="19"/>
  </w:num>
  <w:num w:numId="21" w16cid:durableId="2127263237">
    <w:abstractNumId w:val="43"/>
  </w:num>
  <w:num w:numId="22" w16cid:durableId="1854109267">
    <w:abstractNumId w:val="32"/>
  </w:num>
  <w:num w:numId="23" w16cid:durableId="1469780397">
    <w:abstractNumId w:val="35"/>
  </w:num>
  <w:num w:numId="24" w16cid:durableId="1156460191">
    <w:abstractNumId w:val="29"/>
  </w:num>
  <w:num w:numId="25" w16cid:durableId="2128810128">
    <w:abstractNumId w:val="25"/>
  </w:num>
  <w:num w:numId="26" w16cid:durableId="1482306577">
    <w:abstractNumId w:val="40"/>
  </w:num>
  <w:num w:numId="27" w16cid:durableId="862783844">
    <w:abstractNumId w:val="44"/>
  </w:num>
  <w:num w:numId="28" w16cid:durableId="55251185">
    <w:abstractNumId w:val="26"/>
  </w:num>
  <w:num w:numId="29" w16cid:durableId="862793057">
    <w:abstractNumId w:val="18"/>
  </w:num>
  <w:num w:numId="30" w16cid:durableId="92629188">
    <w:abstractNumId w:val="48"/>
  </w:num>
  <w:num w:numId="31" w16cid:durableId="1715814653">
    <w:abstractNumId w:val="10"/>
  </w:num>
  <w:num w:numId="32" w16cid:durableId="713969194">
    <w:abstractNumId w:val="45"/>
  </w:num>
  <w:num w:numId="33" w16cid:durableId="1250698696">
    <w:abstractNumId w:val="22"/>
  </w:num>
  <w:num w:numId="34" w16cid:durableId="83234941">
    <w:abstractNumId w:val="23"/>
  </w:num>
  <w:num w:numId="35" w16cid:durableId="1848252420">
    <w:abstractNumId w:val="47"/>
  </w:num>
  <w:num w:numId="36" w16cid:durableId="1462066526">
    <w:abstractNumId w:val="13"/>
  </w:num>
  <w:num w:numId="37" w16cid:durableId="1844515274">
    <w:abstractNumId w:val="20"/>
  </w:num>
  <w:num w:numId="38" w16cid:durableId="994337208">
    <w:abstractNumId w:val="33"/>
  </w:num>
  <w:num w:numId="39" w16cid:durableId="1968126397">
    <w:abstractNumId w:val="30"/>
  </w:num>
  <w:num w:numId="40" w16cid:durableId="2010793129">
    <w:abstractNumId w:val="36"/>
  </w:num>
  <w:num w:numId="41" w16cid:durableId="1057119657">
    <w:abstractNumId w:val="12"/>
  </w:num>
  <w:num w:numId="42" w16cid:durableId="1444377372">
    <w:abstractNumId w:val="38"/>
  </w:num>
  <w:num w:numId="43" w16cid:durableId="1401631853">
    <w:abstractNumId w:val="46"/>
  </w:num>
  <w:num w:numId="44" w16cid:durableId="1617517498">
    <w:abstractNumId w:val="49"/>
  </w:num>
  <w:num w:numId="45" w16cid:durableId="1672639894">
    <w:abstractNumId w:val="31"/>
  </w:num>
  <w:num w:numId="46" w16cid:durableId="958990059">
    <w:abstractNumId w:val="11"/>
  </w:num>
  <w:num w:numId="47" w16cid:durableId="897590620">
    <w:abstractNumId w:val="28"/>
  </w:num>
  <w:num w:numId="48" w16cid:durableId="614989953">
    <w:abstractNumId w:val="17"/>
  </w:num>
  <w:num w:numId="49" w16cid:durableId="282226025">
    <w:abstractNumId w:val="39"/>
  </w:num>
  <w:num w:numId="50" w16cid:durableId="185487648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9" w:dllVersion="512" w:checkStyle="1"/>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3DF"/>
    <w:rsid w:val="00000D94"/>
    <w:rsid w:val="0000172C"/>
    <w:rsid w:val="000017CA"/>
    <w:rsid w:val="000022EE"/>
    <w:rsid w:val="000049BA"/>
    <w:rsid w:val="00004A0B"/>
    <w:rsid w:val="0000554D"/>
    <w:rsid w:val="000059AA"/>
    <w:rsid w:val="00006ECA"/>
    <w:rsid w:val="00007351"/>
    <w:rsid w:val="00007AEB"/>
    <w:rsid w:val="00010A72"/>
    <w:rsid w:val="00012D93"/>
    <w:rsid w:val="00015183"/>
    <w:rsid w:val="00015765"/>
    <w:rsid w:val="00016755"/>
    <w:rsid w:val="00016D5B"/>
    <w:rsid w:val="00017459"/>
    <w:rsid w:val="00017A8E"/>
    <w:rsid w:val="00017AC1"/>
    <w:rsid w:val="00017C42"/>
    <w:rsid w:val="00021116"/>
    <w:rsid w:val="00021701"/>
    <w:rsid w:val="00022F42"/>
    <w:rsid w:val="00025947"/>
    <w:rsid w:val="00025C20"/>
    <w:rsid w:val="00030DCA"/>
    <w:rsid w:val="00031392"/>
    <w:rsid w:val="000313DC"/>
    <w:rsid w:val="00032222"/>
    <w:rsid w:val="00032BBC"/>
    <w:rsid w:val="000343A2"/>
    <w:rsid w:val="000344DC"/>
    <w:rsid w:val="00034744"/>
    <w:rsid w:val="0003505C"/>
    <w:rsid w:val="00036F9F"/>
    <w:rsid w:val="00037DAF"/>
    <w:rsid w:val="000418CB"/>
    <w:rsid w:val="00041FD9"/>
    <w:rsid w:val="0004364B"/>
    <w:rsid w:val="0004463A"/>
    <w:rsid w:val="000446AB"/>
    <w:rsid w:val="000451ED"/>
    <w:rsid w:val="0004588F"/>
    <w:rsid w:val="00045FFA"/>
    <w:rsid w:val="00047F14"/>
    <w:rsid w:val="00051462"/>
    <w:rsid w:val="00053706"/>
    <w:rsid w:val="00053F5C"/>
    <w:rsid w:val="00054283"/>
    <w:rsid w:val="0005487E"/>
    <w:rsid w:val="00054988"/>
    <w:rsid w:val="00054D98"/>
    <w:rsid w:val="000558A3"/>
    <w:rsid w:val="000566F1"/>
    <w:rsid w:val="00057B81"/>
    <w:rsid w:val="00060844"/>
    <w:rsid w:val="00060CE8"/>
    <w:rsid w:val="00060DC5"/>
    <w:rsid w:val="00061C99"/>
    <w:rsid w:val="00062271"/>
    <w:rsid w:val="000625A7"/>
    <w:rsid w:val="000628E7"/>
    <w:rsid w:val="00063A03"/>
    <w:rsid w:val="00066A6F"/>
    <w:rsid w:val="00067B2E"/>
    <w:rsid w:val="00067CBC"/>
    <w:rsid w:val="00070C08"/>
    <w:rsid w:val="00070F3C"/>
    <w:rsid w:val="00072BD4"/>
    <w:rsid w:val="0007358F"/>
    <w:rsid w:val="000736A5"/>
    <w:rsid w:val="000754EB"/>
    <w:rsid w:val="000757C2"/>
    <w:rsid w:val="0007711B"/>
    <w:rsid w:val="00077228"/>
    <w:rsid w:val="00077531"/>
    <w:rsid w:val="00077D5D"/>
    <w:rsid w:val="00080276"/>
    <w:rsid w:val="000822C5"/>
    <w:rsid w:val="00082342"/>
    <w:rsid w:val="00082DDD"/>
    <w:rsid w:val="00083369"/>
    <w:rsid w:val="000841B7"/>
    <w:rsid w:val="00084382"/>
    <w:rsid w:val="0008492B"/>
    <w:rsid w:val="00085721"/>
    <w:rsid w:val="000861FA"/>
    <w:rsid w:val="00086236"/>
    <w:rsid w:val="0008628A"/>
    <w:rsid w:val="000868D5"/>
    <w:rsid w:val="0008750B"/>
    <w:rsid w:val="00090089"/>
    <w:rsid w:val="000901DD"/>
    <w:rsid w:val="00090BA0"/>
    <w:rsid w:val="00090FFB"/>
    <w:rsid w:val="000917CB"/>
    <w:rsid w:val="00091A5B"/>
    <w:rsid w:val="000920A1"/>
    <w:rsid w:val="00092C76"/>
    <w:rsid w:val="00092F91"/>
    <w:rsid w:val="000930B0"/>
    <w:rsid w:val="0009556A"/>
    <w:rsid w:val="000967BF"/>
    <w:rsid w:val="00096B1E"/>
    <w:rsid w:val="00096B50"/>
    <w:rsid w:val="00096ECF"/>
    <w:rsid w:val="000A0F4B"/>
    <w:rsid w:val="000A0FBB"/>
    <w:rsid w:val="000A4888"/>
    <w:rsid w:val="000A4F24"/>
    <w:rsid w:val="000A5C66"/>
    <w:rsid w:val="000A640B"/>
    <w:rsid w:val="000A6AB7"/>
    <w:rsid w:val="000A6C25"/>
    <w:rsid w:val="000B0FD7"/>
    <w:rsid w:val="000B2583"/>
    <w:rsid w:val="000B26E9"/>
    <w:rsid w:val="000B34F0"/>
    <w:rsid w:val="000B38DC"/>
    <w:rsid w:val="000B3D86"/>
    <w:rsid w:val="000B443A"/>
    <w:rsid w:val="000B61D6"/>
    <w:rsid w:val="000B6C66"/>
    <w:rsid w:val="000B75B7"/>
    <w:rsid w:val="000B7701"/>
    <w:rsid w:val="000B78EE"/>
    <w:rsid w:val="000B7A0F"/>
    <w:rsid w:val="000B7E5E"/>
    <w:rsid w:val="000C017C"/>
    <w:rsid w:val="000C062A"/>
    <w:rsid w:val="000C08F0"/>
    <w:rsid w:val="000C0A64"/>
    <w:rsid w:val="000C192A"/>
    <w:rsid w:val="000C383C"/>
    <w:rsid w:val="000C3858"/>
    <w:rsid w:val="000C5133"/>
    <w:rsid w:val="000C5404"/>
    <w:rsid w:val="000C6619"/>
    <w:rsid w:val="000C6E2A"/>
    <w:rsid w:val="000C7FCD"/>
    <w:rsid w:val="000D2215"/>
    <w:rsid w:val="000D26FB"/>
    <w:rsid w:val="000D348F"/>
    <w:rsid w:val="000D3A65"/>
    <w:rsid w:val="000D4FA1"/>
    <w:rsid w:val="000D5C18"/>
    <w:rsid w:val="000D5E7E"/>
    <w:rsid w:val="000D7E5A"/>
    <w:rsid w:val="000E0C75"/>
    <w:rsid w:val="000E3B37"/>
    <w:rsid w:val="000E4DE6"/>
    <w:rsid w:val="000E6FF3"/>
    <w:rsid w:val="000E7CF6"/>
    <w:rsid w:val="000F01D9"/>
    <w:rsid w:val="000F0831"/>
    <w:rsid w:val="000F27BB"/>
    <w:rsid w:val="000F2809"/>
    <w:rsid w:val="000F3A8C"/>
    <w:rsid w:val="000F4D78"/>
    <w:rsid w:val="000F58D3"/>
    <w:rsid w:val="000F69DA"/>
    <w:rsid w:val="000F7869"/>
    <w:rsid w:val="00104383"/>
    <w:rsid w:val="00104A11"/>
    <w:rsid w:val="00105473"/>
    <w:rsid w:val="001058FC"/>
    <w:rsid w:val="0010729E"/>
    <w:rsid w:val="00110356"/>
    <w:rsid w:val="00111930"/>
    <w:rsid w:val="001148DF"/>
    <w:rsid w:val="00116834"/>
    <w:rsid w:val="00116B2E"/>
    <w:rsid w:val="00116F4F"/>
    <w:rsid w:val="0011738B"/>
    <w:rsid w:val="00117702"/>
    <w:rsid w:val="00117734"/>
    <w:rsid w:val="00117A0B"/>
    <w:rsid w:val="00117FBC"/>
    <w:rsid w:val="001222EC"/>
    <w:rsid w:val="001230C1"/>
    <w:rsid w:val="00123BCE"/>
    <w:rsid w:val="00124D27"/>
    <w:rsid w:val="00125056"/>
    <w:rsid w:val="00126958"/>
    <w:rsid w:val="00126D5D"/>
    <w:rsid w:val="00130520"/>
    <w:rsid w:val="00131933"/>
    <w:rsid w:val="00131B5D"/>
    <w:rsid w:val="00132F26"/>
    <w:rsid w:val="001341BC"/>
    <w:rsid w:val="001359AF"/>
    <w:rsid w:val="00135D7A"/>
    <w:rsid w:val="0014055A"/>
    <w:rsid w:val="0014110A"/>
    <w:rsid w:val="001417E8"/>
    <w:rsid w:val="0014186E"/>
    <w:rsid w:val="00142048"/>
    <w:rsid w:val="001420A8"/>
    <w:rsid w:val="00142B47"/>
    <w:rsid w:val="00142E7D"/>
    <w:rsid w:val="001435A2"/>
    <w:rsid w:val="00144408"/>
    <w:rsid w:val="00144757"/>
    <w:rsid w:val="001451F4"/>
    <w:rsid w:val="001459B2"/>
    <w:rsid w:val="0014785D"/>
    <w:rsid w:val="0014787B"/>
    <w:rsid w:val="00147F70"/>
    <w:rsid w:val="00151137"/>
    <w:rsid w:val="00152A9B"/>
    <w:rsid w:val="00153434"/>
    <w:rsid w:val="001539D3"/>
    <w:rsid w:val="00155278"/>
    <w:rsid w:val="0015547A"/>
    <w:rsid w:val="00155D8B"/>
    <w:rsid w:val="00155DA7"/>
    <w:rsid w:val="0015668B"/>
    <w:rsid w:val="0015672E"/>
    <w:rsid w:val="00157298"/>
    <w:rsid w:val="00157465"/>
    <w:rsid w:val="00157927"/>
    <w:rsid w:val="00157D4B"/>
    <w:rsid w:val="0016017D"/>
    <w:rsid w:val="001609FB"/>
    <w:rsid w:val="00160DEE"/>
    <w:rsid w:val="00160E21"/>
    <w:rsid w:val="00161200"/>
    <w:rsid w:val="0016166A"/>
    <w:rsid w:val="00161D94"/>
    <w:rsid w:val="00163F35"/>
    <w:rsid w:val="00163FAC"/>
    <w:rsid w:val="00164A98"/>
    <w:rsid w:val="001659B8"/>
    <w:rsid w:val="001678F9"/>
    <w:rsid w:val="0017185D"/>
    <w:rsid w:val="00171EC3"/>
    <w:rsid w:val="001733EC"/>
    <w:rsid w:val="00173ACC"/>
    <w:rsid w:val="00173F86"/>
    <w:rsid w:val="00174A7C"/>
    <w:rsid w:val="00175DF1"/>
    <w:rsid w:val="00177E81"/>
    <w:rsid w:val="00180FA0"/>
    <w:rsid w:val="00181766"/>
    <w:rsid w:val="00182612"/>
    <w:rsid w:val="0018350F"/>
    <w:rsid w:val="00183616"/>
    <w:rsid w:val="00183EE8"/>
    <w:rsid w:val="001842A1"/>
    <w:rsid w:val="00184E48"/>
    <w:rsid w:val="0018631B"/>
    <w:rsid w:val="00186874"/>
    <w:rsid w:val="00191304"/>
    <w:rsid w:val="0019190D"/>
    <w:rsid w:val="001939FC"/>
    <w:rsid w:val="00193FC1"/>
    <w:rsid w:val="001943B9"/>
    <w:rsid w:val="0019454F"/>
    <w:rsid w:val="001958F5"/>
    <w:rsid w:val="001959E2"/>
    <w:rsid w:val="00195DE4"/>
    <w:rsid w:val="00197ED5"/>
    <w:rsid w:val="00197F23"/>
    <w:rsid w:val="001A17D4"/>
    <w:rsid w:val="001A2CE9"/>
    <w:rsid w:val="001A2F49"/>
    <w:rsid w:val="001A35E5"/>
    <w:rsid w:val="001A3ACA"/>
    <w:rsid w:val="001A3B04"/>
    <w:rsid w:val="001A4185"/>
    <w:rsid w:val="001A432C"/>
    <w:rsid w:val="001A45DE"/>
    <w:rsid w:val="001A4853"/>
    <w:rsid w:val="001A51B7"/>
    <w:rsid w:val="001A55C4"/>
    <w:rsid w:val="001A5824"/>
    <w:rsid w:val="001A67F6"/>
    <w:rsid w:val="001A6FEF"/>
    <w:rsid w:val="001B0931"/>
    <w:rsid w:val="001B11BC"/>
    <w:rsid w:val="001B15B7"/>
    <w:rsid w:val="001B182F"/>
    <w:rsid w:val="001B21D8"/>
    <w:rsid w:val="001B2D7C"/>
    <w:rsid w:val="001B4672"/>
    <w:rsid w:val="001B4927"/>
    <w:rsid w:val="001B4ABB"/>
    <w:rsid w:val="001B4EA9"/>
    <w:rsid w:val="001B516A"/>
    <w:rsid w:val="001B579F"/>
    <w:rsid w:val="001B5C19"/>
    <w:rsid w:val="001B635C"/>
    <w:rsid w:val="001B79E7"/>
    <w:rsid w:val="001C0F95"/>
    <w:rsid w:val="001C0FB1"/>
    <w:rsid w:val="001C1711"/>
    <w:rsid w:val="001C2E1D"/>
    <w:rsid w:val="001C4420"/>
    <w:rsid w:val="001C44CB"/>
    <w:rsid w:val="001C4ED6"/>
    <w:rsid w:val="001C5021"/>
    <w:rsid w:val="001C5276"/>
    <w:rsid w:val="001C6E05"/>
    <w:rsid w:val="001C6F5D"/>
    <w:rsid w:val="001D0973"/>
    <w:rsid w:val="001D2AFA"/>
    <w:rsid w:val="001D3173"/>
    <w:rsid w:val="001D4304"/>
    <w:rsid w:val="001D4ACF"/>
    <w:rsid w:val="001D5830"/>
    <w:rsid w:val="001D6A7B"/>
    <w:rsid w:val="001E02D6"/>
    <w:rsid w:val="001E1114"/>
    <w:rsid w:val="001E23E6"/>
    <w:rsid w:val="001E26D1"/>
    <w:rsid w:val="001E2754"/>
    <w:rsid w:val="001E2DA1"/>
    <w:rsid w:val="001E39E5"/>
    <w:rsid w:val="001E3AFA"/>
    <w:rsid w:val="001E3C2F"/>
    <w:rsid w:val="001E4297"/>
    <w:rsid w:val="001E42C7"/>
    <w:rsid w:val="001E45D6"/>
    <w:rsid w:val="001E46BA"/>
    <w:rsid w:val="001E4FFD"/>
    <w:rsid w:val="001E5654"/>
    <w:rsid w:val="001E6912"/>
    <w:rsid w:val="001E6A7C"/>
    <w:rsid w:val="001E7B5C"/>
    <w:rsid w:val="001F0E72"/>
    <w:rsid w:val="001F2C18"/>
    <w:rsid w:val="001F3557"/>
    <w:rsid w:val="001F3854"/>
    <w:rsid w:val="001F3D93"/>
    <w:rsid w:val="001F46FD"/>
    <w:rsid w:val="001F4962"/>
    <w:rsid w:val="001F4CF7"/>
    <w:rsid w:val="001F600F"/>
    <w:rsid w:val="001F690D"/>
    <w:rsid w:val="001F70B4"/>
    <w:rsid w:val="00200881"/>
    <w:rsid w:val="002008DA"/>
    <w:rsid w:val="0020217A"/>
    <w:rsid w:val="00203C6A"/>
    <w:rsid w:val="0020406B"/>
    <w:rsid w:val="0020490A"/>
    <w:rsid w:val="0020577E"/>
    <w:rsid w:val="00206266"/>
    <w:rsid w:val="00206EEC"/>
    <w:rsid w:val="00207254"/>
    <w:rsid w:val="00210262"/>
    <w:rsid w:val="00210CF7"/>
    <w:rsid w:val="002113DF"/>
    <w:rsid w:val="00211CBF"/>
    <w:rsid w:val="00212430"/>
    <w:rsid w:val="00214072"/>
    <w:rsid w:val="002142AB"/>
    <w:rsid w:val="00214B5A"/>
    <w:rsid w:val="00214D5B"/>
    <w:rsid w:val="002155D7"/>
    <w:rsid w:val="002159AC"/>
    <w:rsid w:val="00215D0D"/>
    <w:rsid w:val="00216D84"/>
    <w:rsid w:val="00216E8F"/>
    <w:rsid w:val="00217058"/>
    <w:rsid w:val="00217474"/>
    <w:rsid w:val="0022053E"/>
    <w:rsid w:val="002220EA"/>
    <w:rsid w:val="00222367"/>
    <w:rsid w:val="00222F05"/>
    <w:rsid w:val="002237E8"/>
    <w:rsid w:val="00225498"/>
    <w:rsid w:val="00226A08"/>
    <w:rsid w:val="00227746"/>
    <w:rsid w:val="00227BEE"/>
    <w:rsid w:val="00231B60"/>
    <w:rsid w:val="00232C10"/>
    <w:rsid w:val="00232CE7"/>
    <w:rsid w:val="00232D5A"/>
    <w:rsid w:val="00235109"/>
    <w:rsid w:val="0023597A"/>
    <w:rsid w:val="00235C38"/>
    <w:rsid w:val="0023613C"/>
    <w:rsid w:val="002371F3"/>
    <w:rsid w:val="00237E2A"/>
    <w:rsid w:val="00237F3C"/>
    <w:rsid w:val="00240294"/>
    <w:rsid w:val="00240376"/>
    <w:rsid w:val="00240959"/>
    <w:rsid w:val="00240EB0"/>
    <w:rsid w:val="00241356"/>
    <w:rsid w:val="00241587"/>
    <w:rsid w:val="00242233"/>
    <w:rsid w:val="00242A4C"/>
    <w:rsid w:val="0024314D"/>
    <w:rsid w:val="002437EE"/>
    <w:rsid w:val="00243A43"/>
    <w:rsid w:val="0024471E"/>
    <w:rsid w:val="0024619E"/>
    <w:rsid w:val="00246572"/>
    <w:rsid w:val="00246AB2"/>
    <w:rsid w:val="0024744F"/>
    <w:rsid w:val="002514C0"/>
    <w:rsid w:val="0025195E"/>
    <w:rsid w:val="00252A47"/>
    <w:rsid w:val="00252A69"/>
    <w:rsid w:val="002533C0"/>
    <w:rsid w:val="00254BB4"/>
    <w:rsid w:val="00254D36"/>
    <w:rsid w:val="00254EF6"/>
    <w:rsid w:val="00257C85"/>
    <w:rsid w:val="00260212"/>
    <w:rsid w:val="00260B13"/>
    <w:rsid w:val="002611C9"/>
    <w:rsid w:val="00261387"/>
    <w:rsid w:val="002614BD"/>
    <w:rsid w:val="00262018"/>
    <w:rsid w:val="00262525"/>
    <w:rsid w:val="00262AA6"/>
    <w:rsid w:val="00262B6D"/>
    <w:rsid w:val="00264254"/>
    <w:rsid w:val="002664BA"/>
    <w:rsid w:val="00266DD7"/>
    <w:rsid w:val="00267DF5"/>
    <w:rsid w:val="002702A0"/>
    <w:rsid w:val="002709DA"/>
    <w:rsid w:val="00270E5B"/>
    <w:rsid w:val="00270F2F"/>
    <w:rsid w:val="0027165D"/>
    <w:rsid w:val="00271AF8"/>
    <w:rsid w:val="00271B60"/>
    <w:rsid w:val="00272738"/>
    <w:rsid w:val="002730A0"/>
    <w:rsid w:val="0027349F"/>
    <w:rsid w:val="00273A63"/>
    <w:rsid w:val="002743D8"/>
    <w:rsid w:val="002750F4"/>
    <w:rsid w:val="002772C3"/>
    <w:rsid w:val="00277F2E"/>
    <w:rsid w:val="00280F88"/>
    <w:rsid w:val="002815B6"/>
    <w:rsid w:val="002818F0"/>
    <w:rsid w:val="002819C1"/>
    <w:rsid w:val="002821DD"/>
    <w:rsid w:val="00282DF2"/>
    <w:rsid w:val="00285ADB"/>
    <w:rsid w:val="00285DA2"/>
    <w:rsid w:val="002862EA"/>
    <w:rsid w:val="00286AAD"/>
    <w:rsid w:val="0029019C"/>
    <w:rsid w:val="002976FD"/>
    <w:rsid w:val="002A3309"/>
    <w:rsid w:val="002A3898"/>
    <w:rsid w:val="002A4097"/>
    <w:rsid w:val="002A4E7B"/>
    <w:rsid w:val="002A4FAD"/>
    <w:rsid w:val="002A50AB"/>
    <w:rsid w:val="002A51EF"/>
    <w:rsid w:val="002A592F"/>
    <w:rsid w:val="002A6764"/>
    <w:rsid w:val="002A6E63"/>
    <w:rsid w:val="002B0265"/>
    <w:rsid w:val="002B0E21"/>
    <w:rsid w:val="002B11C5"/>
    <w:rsid w:val="002B1F75"/>
    <w:rsid w:val="002B2C09"/>
    <w:rsid w:val="002B3D9C"/>
    <w:rsid w:val="002B4B17"/>
    <w:rsid w:val="002B5915"/>
    <w:rsid w:val="002B6FD2"/>
    <w:rsid w:val="002B71C6"/>
    <w:rsid w:val="002B7426"/>
    <w:rsid w:val="002B7CCE"/>
    <w:rsid w:val="002C09FE"/>
    <w:rsid w:val="002C1161"/>
    <w:rsid w:val="002C1B51"/>
    <w:rsid w:val="002C31C9"/>
    <w:rsid w:val="002C4392"/>
    <w:rsid w:val="002C439F"/>
    <w:rsid w:val="002C53C9"/>
    <w:rsid w:val="002C5AEF"/>
    <w:rsid w:val="002C6042"/>
    <w:rsid w:val="002C626D"/>
    <w:rsid w:val="002C7C22"/>
    <w:rsid w:val="002D0D89"/>
    <w:rsid w:val="002D0D94"/>
    <w:rsid w:val="002D0EDE"/>
    <w:rsid w:val="002D191D"/>
    <w:rsid w:val="002D36A6"/>
    <w:rsid w:val="002D3EB8"/>
    <w:rsid w:val="002D44CE"/>
    <w:rsid w:val="002D4D7F"/>
    <w:rsid w:val="002E0BB9"/>
    <w:rsid w:val="002E13EA"/>
    <w:rsid w:val="002E16F9"/>
    <w:rsid w:val="002E1B43"/>
    <w:rsid w:val="002E3973"/>
    <w:rsid w:val="002E43E7"/>
    <w:rsid w:val="002E4A00"/>
    <w:rsid w:val="002E52DA"/>
    <w:rsid w:val="002E5425"/>
    <w:rsid w:val="002E68C1"/>
    <w:rsid w:val="002E68D6"/>
    <w:rsid w:val="002E7430"/>
    <w:rsid w:val="002E7941"/>
    <w:rsid w:val="002E796F"/>
    <w:rsid w:val="002F0296"/>
    <w:rsid w:val="002F08CE"/>
    <w:rsid w:val="002F109C"/>
    <w:rsid w:val="002F158E"/>
    <w:rsid w:val="002F22FC"/>
    <w:rsid w:val="002F231B"/>
    <w:rsid w:val="002F27BF"/>
    <w:rsid w:val="002F2C62"/>
    <w:rsid w:val="002F4B19"/>
    <w:rsid w:val="002F5D2C"/>
    <w:rsid w:val="002F6411"/>
    <w:rsid w:val="002F6789"/>
    <w:rsid w:val="002F6BC0"/>
    <w:rsid w:val="002F7275"/>
    <w:rsid w:val="002F7869"/>
    <w:rsid w:val="002F7D5C"/>
    <w:rsid w:val="00300766"/>
    <w:rsid w:val="00302271"/>
    <w:rsid w:val="00302ABD"/>
    <w:rsid w:val="003034FD"/>
    <w:rsid w:val="00304273"/>
    <w:rsid w:val="0030480E"/>
    <w:rsid w:val="00307567"/>
    <w:rsid w:val="00307A73"/>
    <w:rsid w:val="00307DEF"/>
    <w:rsid w:val="00311A89"/>
    <w:rsid w:val="00312247"/>
    <w:rsid w:val="00313846"/>
    <w:rsid w:val="00313A48"/>
    <w:rsid w:val="00313A50"/>
    <w:rsid w:val="00315A02"/>
    <w:rsid w:val="00317085"/>
    <w:rsid w:val="00320268"/>
    <w:rsid w:val="00320938"/>
    <w:rsid w:val="00320B7B"/>
    <w:rsid w:val="00320C98"/>
    <w:rsid w:val="00321330"/>
    <w:rsid w:val="0032169F"/>
    <w:rsid w:val="00321F5A"/>
    <w:rsid w:val="00322655"/>
    <w:rsid w:val="00322B8C"/>
    <w:rsid w:val="00323215"/>
    <w:rsid w:val="00325BC4"/>
    <w:rsid w:val="003260AA"/>
    <w:rsid w:val="00327390"/>
    <w:rsid w:val="003273C4"/>
    <w:rsid w:val="003276E9"/>
    <w:rsid w:val="003279BE"/>
    <w:rsid w:val="003313D4"/>
    <w:rsid w:val="00332F75"/>
    <w:rsid w:val="00333466"/>
    <w:rsid w:val="003335C4"/>
    <w:rsid w:val="003339B8"/>
    <w:rsid w:val="00333A06"/>
    <w:rsid w:val="00333F41"/>
    <w:rsid w:val="00335967"/>
    <w:rsid w:val="00335A99"/>
    <w:rsid w:val="00335BE5"/>
    <w:rsid w:val="00336386"/>
    <w:rsid w:val="0033774D"/>
    <w:rsid w:val="00340797"/>
    <w:rsid w:val="003411A1"/>
    <w:rsid w:val="0034204F"/>
    <w:rsid w:val="00344B44"/>
    <w:rsid w:val="00345553"/>
    <w:rsid w:val="00345622"/>
    <w:rsid w:val="00345C02"/>
    <w:rsid w:val="003474F5"/>
    <w:rsid w:val="0035061F"/>
    <w:rsid w:val="00351AF1"/>
    <w:rsid w:val="00353349"/>
    <w:rsid w:val="00353F4F"/>
    <w:rsid w:val="00354792"/>
    <w:rsid w:val="003558CB"/>
    <w:rsid w:val="00355ABF"/>
    <w:rsid w:val="00355B28"/>
    <w:rsid w:val="00356C7D"/>
    <w:rsid w:val="0036083C"/>
    <w:rsid w:val="00360D1E"/>
    <w:rsid w:val="0036150F"/>
    <w:rsid w:val="00364B24"/>
    <w:rsid w:val="00365074"/>
    <w:rsid w:val="00365D2D"/>
    <w:rsid w:val="00366EFC"/>
    <w:rsid w:val="003671D3"/>
    <w:rsid w:val="00367BA3"/>
    <w:rsid w:val="003710CB"/>
    <w:rsid w:val="0037152F"/>
    <w:rsid w:val="00371AEF"/>
    <w:rsid w:val="00372405"/>
    <w:rsid w:val="00372A62"/>
    <w:rsid w:val="00373473"/>
    <w:rsid w:val="0037409A"/>
    <w:rsid w:val="00374310"/>
    <w:rsid w:val="00374360"/>
    <w:rsid w:val="00376135"/>
    <w:rsid w:val="00377357"/>
    <w:rsid w:val="003813BB"/>
    <w:rsid w:val="00381D71"/>
    <w:rsid w:val="0038223E"/>
    <w:rsid w:val="003825A8"/>
    <w:rsid w:val="00382869"/>
    <w:rsid w:val="00383DF0"/>
    <w:rsid w:val="003841FA"/>
    <w:rsid w:val="003845E2"/>
    <w:rsid w:val="003848C8"/>
    <w:rsid w:val="00384AA9"/>
    <w:rsid w:val="00384F7A"/>
    <w:rsid w:val="003852BA"/>
    <w:rsid w:val="00386629"/>
    <w:rsid w:val="00386BC9"/>
    <w:rsid w:val="00390BA8"/>
    <w:rsid w:val="00391158"/>
    <w:rsid w:val="00391CDD"/>
    <w:rsid w:val="00391E37"/>
    <w:rsid w:val="003922B5"/>
    <w:rsid w:val="00392D34"/>
    <w:rsid w:val="00393231"/>
    <w:rsid w:val="003947DF"/>
    <w:rsid w:val="0039517E"/>
    <w:rsid w:val="00395CAC"/>
    <w:rsid w:val="003967A1"/>
    <w:rsid w:val="00397BA5"/>
    <w:rsid w:val="003A012D"/>
    <w:rsid w:val="003A0C99"/>
    <w:rsid w:val="003A19B9"/>
    <w:rsid w:val="003A1BA8"/>
    <w:rsid w:val="003A2EC8"/>
    <w:rsid w:val="003A4163"/>
    <w:rsid w:val="003A4BCD"/>
    <w:rsid w:val="003A50D7"/>
    <w:rsid w:val="003A5B8B"/>
    <w:rsid w:val="003A6D74"/>
    <w:rsid w:val="003A79AD"/>
    <w:rsid w:val="003A79E1"/>
    <w:rsid w:val="003B00EA"/>
    <w:rsid w:val="003B21D5"/>
    <w:rsid w:val="003B45A2"/>
    <w:rsid w:val="003B465B"/>
    <w:rsid w:val="003B4E3E"/>
    <w:rsid w:val="003B5314"/>
    <w:rsid w:val="003B5B7B"/>
    <w:rsid w:val="003B67D0"/>
    <w:rsid w:val="003B714E"/>
    <w:rsid w:val="003B72DD"/>
    <w:rsid w:val="003C04FD"/>
    <w:rsid w:val="003C054D"/>
    <w:rsid w:val="003C0B10"/>
    <w:rsid w:val="003C0B9A"/>
    <w:rsid w:val="003C0BA6"/>
    <w:rsid w:val="003C0CF0"/>
    <w:rsid w:val="003C16BE"/>
    <w:rsid w:val="003C1D3D"/>
    <w:rsid w:val="003C2437"/>
    <w:rsid w:val="003C462E"/>
    <w:rsid w:val="003C4E45"/>
    <w:rsid w:val="003C6418"/>
    <w:rsid w:val="003C6475"/>
    <w:rsid w:val="003C6C0C"/>
    <w:rsid w:val="003C7241"/>
    <w:rsid w:val="003D109F"/>
    <w:rsid w:val="003D23D7"/>
    <w:rsid w:val="003D2C40"/>
    <w:rsid w:val="003D2F09"/>
    <w:rsid w:val="003D403F"/>
    <w:rsid w:val="003D4067"/>
    <w:rsid w:val="003D4A8A"/>
    <w:rsid w:val="003D59B0"/>
    <w:rsid w:val="003D5E29"/>
    <w:rsid w:val="003D636B"/>
    <w:rsid w:val="003E1D33"/>
    <w:rsid w:val="003E23D0"/>
    <w:rsid w:val="003E249C"/>
    <w:rsid w:val="003E3895"/>
    <w:rsid w:val="003E3EC0"/>
    <w:rsid w:val="003E4183"/>
    <w:rsid w:val="003E4666"/>
    <w:rsid w:val="003E5675"/>
    <w:rsid w:val="003E5DDF"/>
    <w:rsid w:val="003E7C83"/>
    <w:rsid w:val="003F07F8"/>
    <w:rsid w:val="003F0C0F"/>
    <w:rsid w:val="003F261F"/>
    <w:rsid w:val="003F3E28"/>
    <w:rsid w:val="003F43E2"/>
    <w:rsid w:val="003F6A0D"/>
    <w:rsid w:val="003F752D"/>
    <w:rsid w:val="004006DB"/>
    <w:rsid w:val="00400D07"/>
    <w:rsid w:val="00400E6C"/>
    <w:rsid w:val="00401A62"/>
    <w:rsid w:val="004022EF"/>
    <w:rsid w:val="0040235C"/>
    <w:rsid w:val="0040255A"/>
    <w:rsid w:val="00402F37"/>
    <w:rsid w:val="004034EF"/>
    <w:rsid w:val="00403B56"/>
    <w:rsid w:val="00403CC6"/>
    <w:rsid w:val="00405928"/>
    <w:rsid w:val="00406D70"/>
    <w:rsid w:val="004071F9"/>
    <w:rsid w:val="00407519"/>
    <w:rsid w:val="004075AD"/>
    <w:rsid w:val="00407C53"/>
    <w:rsid w:val="0041194E"/>
    <w:rsid w:val="00411C6E"/>
    <w:rsid w:val="00411CEC"/>
    <w:rsid w:val="00411E59"/>
    <w:rsid w:val="00414632"/>
    <w:rsid w:val="004150EB"/>
    <w:rsid w:val="00415B97"/>
    <w:rsid w:val="00415CF5"/>
    <w:rsid w:val="00416508"/>
    <w:rsid w:val="00417A17"/>
    <w:rsid w:val="00417D1B"/>
    <w:rsid w:val="004217E9"/>
    <w:rsid w:val="00422498"/>
    <w:rsid w:val="00422790"/>
    <w:rsid w:val="00422C3E"/>
    <w:rsid w:val="00422D5B"/>
    <w:rsid w:val="00423115"/>
    <w:rsid w:val="004244AC"/>
    <w:rsid w:val="00425648"/>
    <w:rsid w:val="00425977"/>
    <w:rsid w:val="0042622B"/>
    <w:rsid w:val="00426C21"/>
    <w:rsid w:val="00427AEE"/>
    <w:rsid w:val="0043113C"/>
    <w:rsid w:val="0043147E"/>
    <w:rsid w:val="00432602"/>
    <w:rsid w:val="00432891"/>
    <w:rsid w:val="004332A7"/>
    <w:rsid w:val="00433FEB"/>
    <w:rsid w:val="00434606"/>
    <w:rsid w:val="00434709"/>
    <w:rsid w:val="00434A86"/>
    <w:rsid w:val="00434C39"/>
    <w:rsid w:val="00435C3D"/>
    <w:rsid w:val="00435E56"/>
    <w:rsid w:val="004364E6"/>
    <w:rsid w:val="00436FE0"/>
    <w:rsid w:val="0043716A"/>
    <w:rsid w:val="004378EF"/>
    <w:rsid w:val="00441510"/>
    <w:rsid w:val="00443465"/>
    <w:rsid w:val="004456B8"/>
    <w:rsid w:val="00446E1E"/>
    <w:rsid w:val="0044702F"/>
    <w:rsid w:val="004503F5"/>
    <w:rsid w:val="00450A59"/>
    <w:rsid w:val="00453066"/>
    <w:rsid w:val="0045349B"/>
    <w:rsid w:val="004545C9"/>
    <w:rsid w:val="00454717"/>
    <w:rsid w:val="0045516C"/>
    <w:rsid w:val="004553A7"/>
    <w:rsid w:val="00456015"/>
    <w:rsid w:val="004562CA"/>
    <w:rsid w:val="004575CB"/>
    <w:rsid w:val="004613A1"/>
    <w:rsid w:val="00461AA1"/>
    <w:rsid w:val="0046294D"/>
    <w:rsid w:val="00462E86"/>
    <w:rsid w:val="00462F75"/>
    <w:rsid w:val="004635A5"/>
    <w:rsid w:val="00463A5E"/>
    <w:rsid w:val="00463DCA"/>
    <w:rsid w:val="00464429"/>
    <w:rsid w:val="00464AC1"/>
    <w:rsid w:val="00464DE9"/>
    <w:rsid w:val="00464F35"/>
    <w:rsid w:val="004653DF"/>
    <w:rsid w:val="004655F4"/>
    <w:rsid w:val="004657F5"/>
    <w:rsid w:val="00465BD3"/>
    <w:rsid w:val="00465E8F"/>
    <w:rsid w:val="00466D81"/>
    <w:rsid w:val="00467B36"/>
    <w:rsid w:val="0047017D"/>
    <w:rsid w:val="00470FFC"/>
    <w:rsid w:val="00471213"/>
    <w:rsid w:val="004717CC"/>
    <w:rsid w:val="00471A04"/>
    <w:rsid w:val="00472B5F"/>
    <w:rsid w:val="004732E8"/>
    <w:rsid w:val="004742DC"/>
    <w:rsid w:val="00474613"/>
    <w:rsid w:val="004752C0"/>
    <w:rsid w:val="004756AE"/>
    <w:rsid w:val="00475F91"/>
    <w:rsid w:val="00476EC5"/>
    <w:rsid w:val="0047717B"/>
    <w:rsid w:val="00480B98"/>
    <w:rsid w:val="00481319"/>
    <w:rsid w:val="00481EC4"/>
    <w:rsid w:val="004821A0"/>
    <w:rsid w:val="00482BD8"/>
    <w:rsid w:val="00483108"/>
    <w:rsid w:val="004845E1"/>
    <w:rsid w:val="00484D94"/>
    <w:rsid w:val="004859CF"/>
    <w:rsid w:val="0048737A"/>
    <w:rsid w:val="004875FC"/>
    <w:rsid w:val="00490395"/>
    <w:rsid w:val="00490C8A"/>
    <w:rsid w:val="004920F1"/>
    <w:rsid w:val="004922AD"/>
    <w:rsid w:val="00493238"/>
    <w:rsid w:val="0049678E"/>
    <w:rsid w:val="00496EDF"/>
    <w:rsid w:val="004A0294"/>
    <w:rsid w:val="004A14A3"/>
    <w:rsid w:val="004A20D9"/>
    <w:rsid w:val="004A2BD5"/>
    <w:rsid w:val="004A2BEA"/>
    <w:rsid w:val="004A354A"/>
    <w:rsid w:val="004A49D1"/>
    <w:rsid w:val="004A4F44"/>
    <w:rsid w:val="004A5870"/>
    <w:rsid w:val="004A5C33"/>
    <w:rsid w:val="004B0C6F"/>
    <w:rsid w:val="004B1315"/>
    <w:rsid w:val="004B3D18"/>
    <w:rsid w:val="004B3DF7"/>
    <w:rsid w:val="004B619B"/>
    <w:rsid w:val="004B6599"/>
    <w:rsid w:val="004B7EE6"/>
    <w:rsid w:val="004C0180"/>
    <w:rsid w:val="004C01A2"/>
    <w:rsid w:val="004C0223"/>
    <w:rsid w:val="004C06A3"/>
    <w:rsid w:val="004C1AB2"/>
    <w:rsid w:val="004C1DE2"/>
    <w:rsid w:val="004C4269"/>
    <w:rsid w:val="004C61DA"/>
    <w:rsid w:val="004C693E"/>
    <w:rsid w:val="004C6FC9"/>
    <w:rsid w:val="004C7CE9"/>
    <w:rsid w:val="004D1894"/>
    <w:rsid w:val="004D1C01"/>
    <w:rsid w:val="004D2704"/>
    <w:rsid w:val="004D2ADB"/>
    <w:rsid w:val="004D3202"/>
    <w:rsid w:val="004D3348"/>
    <w:rsid w:val="004D3EAE"/>
    <w:rsid w:val="004D4400"/>
    <w:rsid w:val="004D4B7A"/>
    <w:rsid w:val="004D515F"/>
    <w:rsid w:val="004D5990"/>
    <w:rsid w:val="004D6254"/>
    <w:rsid w:val="004D796F"/>
    <w:rsid w:val="004E0AFA"/>
    <w:rsid w:val="004E0F95"/>
    <w:rsid w:val="004E1068"/>
    <w:rsid w:val="004E1777"/>
    <w:rsid w:val="004E1B18"/>
    <w:rsid w:val="004E53D6"/>
    <w:rsid w:val="004E5CE7"/>
    <w:rsid w:val="004E5E9A"/>
    <w:rsid w:val="004E6359"/>
    <w:rsid w:val="004E6368"/>
    <w:rsid w:val="004E6D83"/>
    <w:rsid w:val="004E7CFE"/>
    <w:rsid w:val="004F064B"/>
    <w:rsid w:val="004F073E"/>
    <w:rsid w:val="004F0C69"/>
    <w:rsid w:val="004F308E"/>
    <w:rsid w:val="004F5524"/>
    <w:rsid w:val="004F642C"/>
    <w:rsid w:val="004F6F2A"/>
    <w:rsid w:val="00500CCF"/>
    <w:rsid w:val="0050146B"/>
    <w:rsid w:val="00503293"/>
    <w:rsid w:val="00503F37"/>
    <w:rsid w:val="00504633"/>
    <w:rsid w:val="005050C3"/>
    <w:rsid w:val="00505CCF"/>
    <w:rsid w:val="00506119"/>
    <w:rsid w:val="005069F4"/>
    <w:rsid w:val="00506F39"/>
    <w:rsid w:val="00507C6F"/>
    <w:rsid w:val="005105DF"/>
    <w:rsid w:val="00511AE4"/>
    <w:rsid w:val="0051232B"/>
    <w:rsid w:val="00517560"/>
    <w:rsid w:val="00517851"/>
    <w:rsid w:val="00517B01"/>
    <w:rsid w:val="00520614"/>
    <w:rsid w:val="00520BCA"/>
    <w:rsid w:val="00521818"/>
    <w:rsid w:val="00522C49"/>
    <w:rsid w:val="005242F1"/>
    <w:rsid w:val="00524AE0"/>
    <w:rsid w:val="00525CA9"/>
    <w:rsid w:val="005261A0"/>
    <w:rsid w:val="0053003D"/>
    <w:rsid w:val="00531062"/>
    <w:rsid w:val="00531336"/>
    <w:rsid w:val="00531ACB"/>
    <w:rsid w:val="0053244F"/>
    <w:rsid w:val="005341B7"/>
    <w:rsid w:val="005345BE"/>
    <w:rsid w:val="0053472D"/>
    <w:rsid w:val="00535E02"/>
    <w:rsid w:val="005406C3"/>
    <w:rsid w:val="00540F4B"/>
    <w:rsid w:val="00542B77"/>
    <w:rsid w:val="005431B1"/>
    <w:rsid w:val="00545BB7"/>
    <w:rsid w:val="00545CCA"/>
    <w:rsid w:val="00546D01"/>
    <w:rsid w:val="00547127"/>
    <w:rsid w:val="00551FF8"/>
    <w:rsid w:val="00552383"/>
    <w:rsid w:val="0055424D"/>
    <w:rsid w:val="0055547E"/>
    <w:rsid w:val="00555A5D"/>
    <w:rsid w:val="00556D8D"/>
    <w:rsid w:val="00560C1B"/>
    <w:rsid w:val="00561101"/>
    <w:rsid w:val="00562704"/>
    <w:rsid w:val="00562735"/>
    <w:rsid w:val="0056277E"/>
    <w:rsid w:val="00562972"/>
    <w:rsid w:val="00562BEF"/>
    <w:rsid w:val="00563780"/>
    <w:rsid w:val="00564E48"/>
    <w:rsid w:val="00564EEC"/>
    <w:rsid w:val="00566C44"/>
    <w:rsid w:val="00566EDF"/>
    <w:rsid w:val="005703B8"/>
    <w:rsid w:val="00570A42"/>
    <w:rsid w:val="00571AD1"/>
    <w:rsid w:val="00571E36"/>
    <w:rsid w:val="005725AE"/>
    <w:rsid w:val="005726CD"/>
    <w:rsid w:val="005740A8"/>
    <w:rsid w:val="0057492E"/>
    <w:rsid w:val="00575862"/>
    <w:rsid w:val="00575F30"/>
    <w:rsid w:val="005762FA"/>
    <w:rsid w:val="005770A3"/>
    <w:rsid w:val="0058143F"/>
    <w:rsid w:val="00581E38"/>
    <w:rsid w:val="00582688"/>
    <w:rsid w:val="00583731"/>
    <w:rsid w:val="0058384C"/>
    <w:rsid w:val="00583C5E"/>
    <w:rsid w:val="00583CF1"/>
    <w:rsid w:val="005842E3"/>
    <w:rsid w:val="00585A76"/>
    <w:rsid w:val="0059110C"/>
    <w:rsid w:val="005914EC"/>
    <w:rsid w:val="00592871"/>
    <w:rsid w:val="005933F6"/>
    <w:rsid w:val="00593AAE"/>
    <w:rsid w:val="00593C26"/>
    <w:rsid w:val="00593D82"/>
    <w:rsid w:val="005952BB"/>
    <w:rsid w:val="005953BC"/>
    <w:rsid w:val="005A1DC3"/>
    <w:rsid w:val="005A243D"/>
    <w:rsid w:val="005A3925"/>
    <w:rsid w:val="005A4F34"/>
    <w:rsid w:val="005A4FE6"/>
    <w:rsid w:val="005A572B"/>
    <w:rsid w:val="005A580A"/>
    <w:rsid w:val="005A661B"/>
    <w:rsid w:val="005A6AFE"/>
    <w:rsid w:val="005A7F93"/>
    <w:rsid w:val="005B0C41"/>
    <w:rsid w:val="005B167B"/>
    <w:rsid w:val="005B16A7"/>
    <w:rsid w:val="005B2492"/>
    <w:rsid w:val="005B3356"/>
    <w:rsid w:val="005B33F0"/>
    <w:rsid w:val="005B4663"/>
    <w:rsid w:val="005B56FB"/>
    <w:rsid w:val="005B5CB5"/>
    <w:rsid w:val="005B7BC3"/>
    <w:rsid w:val="005B7CF1"/>
    <w:rsid w:val="005B7F42"/>
    <w:rsid w:val="005C0CE8"/>
    <w:rsid w:val="005C2032"/>
    <w:rsid w:val="005C3F34"/>
    <w:rsid w:val="005C42C3"/>
    <w:rsid w:val="005C5BF2"/>
    <w:rsid w:val="005C5CA4"/>
    <w:rsid w:val="005C5D1D"/>
    <w:rsid w:val="005C7A0A"/>
    <w:rsid w:val="005D0452"/>
    <w:rsid w:val="005D0C43"/>
    <w:rsid w:val="005D1565"/>
    <w:rsid w:val="005D302D"/>
    <w:rsid w:val="005D30CB"/>
    <w:rsid w:val="005D39D2"/>
    <w:rsid w:val="005D478F"/>
    <w:rsid w:val="005D483A"/>
    <w:rsid w:val="005D6A86"/>
    <w:rsid w:val="005D7AAA"/>
    <w:rsid w:val="005D7BA6"/>
    <w:rsid w:val="005D7E6C"/>
    <w:rsid w:val="005E092A"/>
    <w:rsid w:val="005E0B17"/>
    <w:rsid w:val="005E1568"/>
    <w:rsid w:val="005E1CFC"/>
    <w:rsid w:val="005E2596"/>
    <w:rsid w:val="005E3CDB"/>
    <w:rsid w:val="005E434B"/>
    <w:rsid w:val="005E5411"/>
    <w:rsid w:val="005F16F5"/>
    <w:rsid w:val="005F2781"/>
    <w:rsid w:val="005F2F2C"/>
    <w:rsid w:val="005F2F51"/>
    <w:rsid w:val="005F34D8"/>
    <w:rsid w:val="005F3939"/>
    <w:rsid w:val="005F42FE"/>
    <w:rsid w:val="005F4696"/>
    <w:rsid w:val="005F642B"/>
    <w:rsid w:val="005F6CA5"/>
    <w:rsid w:val="005F72CA"/>
    <w:rsid w:val="005F76BF"/>
    <w:rsid w:val="00600310"/>
    <w:rsid w:val="006004AF"/>
    <w:rsid w:val="00600D33"/>
    <w:rsid w:val="006017DE"/>
    <w:rsid w:val="00604C27"/>
    <w:rsid w:val="00605E74"/>
    <w:rsid w:val="0061120E"/>
    <w:rsid w:val="0061132E"/>
    <w:rsid w:val="00611336"/>
    <w:rsid w:val="0061300F"/>
    <w:rsid w:val="006132FF"/>
    <w:rsid w:val="006137AC"/>
    <w:rsid w:val="0061385B"/>
    <w:rsid w:val="00613B1F"/>
    <w:rsid w:val="00614606"/>
    <w:rsid w:val="006166BC"/>
    <w:rsid w:val="00617296"/>
    <w:rsid w:val="00617A7B"/>
    <w:rsid w:val="006200A7"/>
    <w:rsid w:val="00620DDA"/>
    <w:rsid w:val="00621C15"/>
    <w:rsid w:val="00621F8B"/>
    <w:rsid w:val="00622C5C"/>
    <w:rsid w:val="00622FEA"/>
    <w:rsid w:val="00623923"/>
    <w:rsid w:val="00623966"/>
    <w:rsid w:val="00624280"/>
    <w:rsid w:val="00624AE0"/>
    <w:rsid w:val="00624B50"/>
    <w:rsid w:val="006251F5"/>
    <w:rsid w:val="00625376"/>
    <w:rsid w:val="006254F1"/>
    <w:rsid w:val="00625609"/>
    <w:rsid w:val="00625CF2"/>
    <w:rsid w:val="00625E0A"/>
    <w:rsid w:val="00626337"/>
    <w:rsid w:val="006266E9"/>
    <w:rsid w:val="00626C3F"/>
    <w:rsid w:val="00630B33"/>
    <w:rsid w:val="00630FD5"/>
    <w:rsid w:val="0063132F"/>
    <w:rsid w:val="00631717"/>
    <w:rsid w:val="00632A77"/>
    <w:rsid w:val="006334D7"/>
    <w:rsid w:val="00633787"/>
    <w:rsid w:val="00635285"/>
    <w:rsid w:val="00635E24"/>
    <w:rsid w:val="00636010"/>
    <w:rsid w:val="00640606"/>
    <w:rsid w:val="00640777"/>
    <w:rsid w:val="00640A62"/>
    <w:rsid w:val="00640AA3"/>
    <w:rsid w:val="00640EAF"/>
    <w:rsid w:val="00641917"/>
    <w:rsid w:val="00641B75"/>
    <w:rsid w:val="00641D44"/>
    <w:rsid w:val="0064218F"/>
    <w:rsid w:val="00642F46"/>
    <w:rsid w:val="0064516E"/>
    <w:rsid w:val="00645BAD"/>
    <w:rsid w:val="00646F92"/>
    <w:rsid w:val="006478F6"/>
    <w:rsid w:val="00647C38"/>
    <w:rsid w:val="00650299"/>
    <w:rsid w:val="00650683"/>
    <w:rsid w:val="00651F76"/>
    <w:rsid w:val="00652840"/>
    <w:rsid w:val="00654833"/>
    <w:rsid w:val="00654F9D"/>
    <w:rsid w:val="0065697C"/>
    <w:rsid w:val="00656F34"/>
    <w:rsid w:val="006577B2"/>
    <w:rsid w:val="006578F0"/>
    <w:rsid w:val="00660384"/>
    <w:rsid w:val="00660974"/>
    <w:rsid w:val="00664575"/>
    <w:rsid w:val="0066460A"/>
    <w:rsid w:val="00664DCE"/>
    <w:rsid w:val="0066523E"/>
    <w:rsid w:val="0066594A"/>
    <w:rsid w:val="00667A90"/>
    <w:rsid w:val="00667EDA"/>
    <w:rsid w:val="00670703"/>
    <w:rsid w:val="00670F88"/>
    <w:rsid w:val="00671298"/>
    <w:rsid w:val="006720B3"/>
    <w:rsid w:val="0067293B"/>
    <w:rsid w:val="006732F9"/>
    <w:rsid w:val="00674588"/>
    <w:rsid w:val="006750D4"/>
    <w:rsid w:val="006753AD"/>
    <w:rsid w:val="00675995"/>
    <w:rsid w:val="00675CA0"/>
    <w:rsid w:val="00675FA1"/>
    <w:rsid w:val="00676827"/>
    <w:rsid w:val="00677720"/>
    <w:rsid w:val="00677CD7"/>
    <w:rsid w:val="00677DAB"/>
    <w:rsid w:val="00680094"/>
    <w:rsid w:val="00680B77"/>
    <w:rsid w:val="00682879"/>
    <w:rsid w:val="00682A23"/>
    <w:rsid w:val="00684055"/>
    <w:rsid w:val="00684767"/>
    <w:rsid w:val="00684AED"/>
    <w:rsid w:val="00684E8D"/>
    <w:rsid w:val="006863E1"/>
    <w:rsid w:val="00686712"/>
    <w:rsid w:val="00687B13"/>
    <w:rsid w:val="00690FEC"/>
    <w:rsid w:val="0069111D"/>
    <w:rsid w:val="00691DB7"/>
    <w:rsid w:val="00691DE4"/>
    <w:rsid w:val="00691F7C"/>
    <w:rsid w:val="00692708"/>
    <w:rsid w:val="00693B7D"/>
    <w:rsid w:val="00693E14"/>
    <w:rsid w:val="0069524F"/>
    <w:rsid w:val="00695613"/>
    <w:rsid w:val="006A0BC6"/>
    <w:rsid w:val="006A0CFB"/>
    <w:rsid w:val="006A0D1A"/>
    <w:rsid w:val="006A14B1"/>
    <w:rsid w:val="006A1E9A"/>
    <w:rsid w:val="006A4F22"/>
    <w:rsid w:val="006A5A99"/>
    <w:rsid w:val="006A5DCB"/>
    <w:rsid w:val="006A6BA3"/>
    <w:rsid w:val="006A7612"/>
    <w:rsid w:val="006A7E65"/>
    <w:rsid w:val="006B0358"/>
    <w:rsid w:val="006B0990"/>
    <w:rsid w:val="006B166A"/>
    <w:rsid w:val="006B2AA9"/>
    <w:rsid w:val="006B447C"/>
    <w:rsid w:val="006B48CB"/>
    <w:rsid w:val="006B48D3"/>
    <w:rsid w:val="006B4A1F"/>
    <w:rsid w:val="006B4CCA"/>
    <w:rsid w:val="006B5326"/>
    <w:rsid w:val="006B582E"/>
    <w:rsid w:val="006B5A5E"/>
    <w:rsid w:val="006B6829"/>
    <w:rsid w:val="006B6E67"/>
    <w:rsid w:val="006B7933"/>
    <w:rsid w:val="006B7A2B"/>
    <w:rsid w:val="006B7AA6"/>
    <w:rsid w:val="006C0D1A"/>
    <w:rsid w:val="006C1235"/>
    <w:rsid w:val="006C3480"/>
    <w:rsid w:val="006C4265"/>
    <w:rsid w:val="006C5429"/>
    <w:rsid w:val="006C5F14"/>
    <w:rsid w:val="006C63E2"/>
    <w:rsid w:val="006D07D8"/>
    <w:rsid w:val="006D0986"/>
    <w:rsid w:val="006D1166"/>
    <w:rsid w:val="006D21C9"/>
    <w:rsid w:val="006D29C4"/>
    <w:rsid w:val="006D7CE1"/>
    <w:rsid w:val="006E04EC"/>
    <w:rsid w:val="006E119B"/>
    <w:rsid w:val="006E16DD"/>
    <w:rsid w:val="006E3A5C"/>
    <w:rsid w:val="006E3CAD"/>
    <w:rsid w:val="006E3EA9"/>
    <w:rsid w:val="006E5245"/>
    <w:rsid w:val="006E5D89"/>
    <w:rsid w:val="006E65CE"/>
    <w:rsid w:val="006E724D"/>
    <w:rsid w:val="006E73DD"/>
    <w:rsid w:val="006F02CC"/>
    <w:rsid w:val="006F078C"/>
    <w:rsid w:val="006F2D43"/>
    <w:rsid w:val="006F40E8"/>
    <w:rsid w:val="006F5BA6"/>
    <w:rsid w:val="006F7902"/>
    <w:rsid w:val="006F79F4"/>
    <w:rsid w:val="006F79FD"/>
    <w:rsid w:val="006F7ACE"/>
    <w:rsid w:val="0070177D"/>
    <w:rsid w:val="007032E5"/>
    <w:rsid w:val="00703533"/>
    <w:rsid w:val="00704186"/>
    <w:rsid w:val="007055D0"/>
    <w:rsid w:val="00705E7E"/>
    <w:rsid w:val="0070768C"/>
    <w:rsid w:val="007079E3"/>
    <w:rsid w:val="00707ED7"/>
    <w:rsid w:val="007109BA"/>
    <w:rsid w:val="007109EE"/>
    <w:rsid w:val="00710D52"/>
    <w:rsid w:val="007114E5"/>
    <w:rsid w:val="007117EC"/>
    <w:rsid w:val="00712E2C"/>
    <w:rsid w:val="00713479"/>
    <w:rsid w:val="0071384C"/>
    <w:rsid w:val="00713D04"/>
    <w:rsid w:val="00714472"/>
    <w:rsid w:val="007149A1"/>
    <w:rsid w:val="007154DB"/>
    <w:rsid w:val="00715DF2"/>
    <w:rsid w:val="0071736D"/>
    <w:rsid w:val="00720DD7"/>
    <w:rsid w:val="00721FD9"/>
    <w:rsid w:val="00722538"/>
    <w:rsid w:val="00722D3C"/>
    <w:rsid w:val="00725065"/>
    <w:rsid w:val="0072513D"/>
    <w:rsid w:val="00725D52"/>
    <w:rsid w:val="00730FB5"/>
    <w:rsid w:val="00731E92"/>
    <w:rsid w:val="00731EF3"/>
    <w:rsid w:val="0073251C"/>
    <w:rsid w:val="00732AA7"/>
    <w:rsid w:val="007352C6"/>
    <w:rsid w:val="00740D84"/>
    <w:rsid w:val="00741C13"/>
    <w:rsid w:val="00741E89"/>
    <w:rsid w:val="00743B23"/>
    <w:rsid w:val="0074663A"/>
    <w:rsid w:val="007468FB"/>
    <w:rsid w:val="00747935"/>
    <w:rsid w:val="00750172"/>
    <w:rsid w:val="00750679"/>
    <w:rsid w:val="0075090F"/>
    <w:rsid w:val="007509C1"/>
    <w:rsid w:val="00754297"/>
    <w:rsid w:val="00755092"/>
    <w:rsid w:val="00755594"/>
    <w:rsid w:val="007557E7"/>
    <w:rsid w:val="00756169"/>
    <w:rsid w:val="0075761F"/>
    <w:rsid w:val="007576B1"/>
    <w:rsid w:val="00762526"/>
    <w:rsid w:val="00762AF1"/>
    <w:rsid w:val="007630CD"/>
    <w:rsid w:val="00763667"/>
    <w:rsid w:val="007644D2"/>
    <w:rsid w:val="007644DB"/>
    <w:rsid w:val="0076455F"/>
    <w:rsid w:val="007648DD"/>
    <w:rsid w:val="00764EB2"/>
    <w:rsid w:val="00765294"/>
    <w:rsid w:val="007653BD"/>
    <w:rsid w:val="00765D4F"/>
    <w:rsid w:val="007661AE"/>
    <w:rsid w:val="00766DE5"/>
    <w:rsid w:val="0076717D"/>
    <w:rsid w:val="00767202"/>
    <w:rsid w:val="007713C3"/>
    <w:rsid w:val="007716EF"/>
    <w:rsid w:val="00771C1D"/>
    <w:rsid w:val="00772881"/>
    <w:rsid w:val="00773ECA"/>
    <w:rsid w:val="00776605"/>
    <w:rsid w:val="007777C3"/>
    <w:rsid w:val="00780F2B"/>
    <w:rsid w:val="0078267D"/>
    <w:rsid w:val="00782906"/>
    <w:rsid w:val="00782A52"/>
    <w:rsid w:val="0078363A"/>
    <w:rsid w:val="00784512"/>
    <w:rsid w:val="007848A2"/>
    <w:rsid w:val="00784C19"/>
    <w:rsid w:val="00785650"/>
    <w:rsid w:val="0078634D"/>
    <w:rsid w:val="00787A61"/>
    <w:rsid w:val="007925A7"/>
    <w:rsid w:val="007926B3"/>
    <w:rsid w:val="00792E8D"/>
    <w:rsid w:val="00792F9B"/>
    <w:rsid w:val="0079397C"/>
    <w:rsid w:val="007952C6"/>
    <w:rsid w:val="00795C7F"/>
    <w:rsid w:val="007965C5"/>
    <w:rsid w:val="007966DA"/>
    <w:rsid w:val="00797158"/>
    <w:rsid w:val="00797AA0"/>
    <w:rsid w:val="00797EB2"/>
    <w:rsid w:val="007A035E"/>
    <w:rsid w:val="007A0DC6"/>
    <w:rsid w:val="007A0F7B"/>
    <w:rsid w:val="007A1963"/>
    <w:rsid w:val="007A24EE"/>
    <w:rsid w:val="007A2F9B"/>
    <w:rsid w:val="007A3341"/>
    <w:rsid w:val="007A37DA"/>
    <w:rsid w:val="007A5B34"/>
    <w:rsid w:val="007A6538"/>
    <w:rsid w:val="007A6AE7"/>
    <w:rsid w:val="007A7C43"/>
    <w:rsid w:val="007B01F5"/>
    <w:rsid w:val="007B0CF8"/>
    <w:rsid w:val="007B0FFB"/>
    <w:rsid w:val="007B303C"/>
    <w:rsid w:val="007B3840"/>
    <w:rsid w:val="007B4968"/>
    <w:rsid w:val="007B5234"/>
    <w:rsid w:val="007B5715"/>
    <w:rsid w:val="007B672A"/>
    <w:rsid w:val="007B6C08"/>
    <w:rsid w:val="007B7C8E"/>
    <w:rsid w:val="007C0200"/>
    <w:rsid w:val="007C1252"/>
    <w:rsid w:val="007C1CB0"/>
    <w:rsid w:val="007C213A"/>
    <w:rsid w:val="007C35D1"/>
    <w:rsid w:val="007C43DE"/>
    <w:rsid w:val="007C4BBB"/>
    <w:rsid w:val="007C6CCA"/>
    <w:rsid w:val="007C7135"/>
    <w:rsid w:val="007C76EF"/>
    <w:rsid w:val="007C79B0"/>
    <w:rsid w:val="007C7C96"/>
    <w:rsid w:val="007D1249"/>
    <w:rsid w:val="007D28D5"/>
    <w:rsid w:val="007D2E9C"/>
    <w:rsid w:val="007D3117"/>
    <w:rsid w:val="007D3354"/>
    <w:rsid w:val="007D3E41"/>
    <w:rsid w:val="007D414A"/>
    <w:rsid w:val="007D4617"/>
    <w:rsid w:val="007D551E"/>
    <w:rsid w:val="007D56B6"/>
    <w:rsid w:val="007D62D1"/>
    <w:rsid w:val="007D645C"/>
    <w:rsid w:val="007D67FE"/>
    <w:rsid w:val="007D7F49"/>
    <w:rsid w:val="007E1591"/>
    <w:rsid w:val="007E2846"/>
    <w:rsid w:val="007E2EAB"/>
    <w:rsid w:val="007E3217"/>
    <w:rsid w:val="007E5E64"/>
    <w:rsid w:val="007E7547"/>
    <w:rsid w:val="007F0ACC"/>
    <w:rsid w:val="007F2319"/>
    <w:rsid w:val="007F3FD3"/>
    <w:rsid w:val="007F49BB"/>
    <w:rsid w:val="007F59A4"/>
    <w:rsid w:val="007F5A14"/>
    <w:rsid w:val="007F6AC2"/>
    <w:rsid w:val="007F6F28"/>
    <w:rsid w:val="007F76C6"/>
    <w:rsid w:val="007F7A3E"/>
    <w:rsid w:val="008001C8"/>
    <w:rsid w:val="0080063E"/>
    <w:rsid w:val="008007B5"/>
    <w:rsid w:val="00801382"/>
    <w:rsid w:val="0080364C"/>
    <w:rsid w:val="008043E2"/>
    <w:rsid w:val="008049B3"/>
    <w:rsid w:val="008053E9"/>
    <w:rsid w:val="00806803"/>
    <w:rsid w:val="008071F0"/>
    <w:rsid w:val="00807C84"/>
    <w:rsid w:val="00810212"/>
    <w:rsid w:val="00812F27"/>
    <w:rsid w:val="008141A0"/>
    <w:rsid w:val="008149B2"/>
    <w:rsid w:val="00814E2D"/>
    <w:rsid w:val="008155B5"/>
    <w:rsid w:val="00816FB6"/>
    <w:rsid w:val="00820154"/>
    <w:rsid w:val="00820278"/>
    <w:rsid w:val="00820334"/>
    <w:rsid w:val="00820B84"/>
    <w:rsid w:val="00820FF0"/>
    <w:rsid w:val="00821343"/>
    <w:rsid w:val="008217E7"/>
    <w:rsid w:val="00821BE1"/>
    <w:rsid w:val="008233DE"/>
    <w:rsid w:val="00823B59"/>
    <w:rsid w:val="00824545"/>
    <w:rsid w:val="008245C7"/>
    <w:rsid w:val="00826E1D"/>
    <w:rsid w:val="008273C7"/>
    <w:rsid w:val="008308AA"/>
    <w:rsid w:val="008308C9"/>
    <w:rsid w:val="00830D9E"/>
    <w:rsid w:val="00830DD8"/>
    <w:rsid w:val="00831D10"/>
    <w:rsid w:val="008330CC"/>
    <w:rsid w:val="00833793"/>
    <w:rsid w:val="00835525"/>
    <w:rsid w:val="008402EA"/>
    <w:rsid w:val="008408E0"/>
    <w:rsid w:val="0084098D"/>
    <w:rsid w:val="0084365F"/>
    <w:rsid w:val="00843901"/>
    <w:rsid w:val="00843A1B"/>
    <w:rsid w:val="008441EC"/>
    <w:rsid w:val="00844B6C"/>
    <w:rsid w:val="00845BBA"/>
    <w:rsid w:val="00847200"/>
    <w:rsid w:val="00847759"/>
    <w:rsid w:val="00847D39"/>
    <w:rsid w:val="00851D2E"/>
    <w:rsid w:val="0085215B"/>
    <w:rsid w:val="00853143"/>
    <w:rsid w:val="008534BB"/>
    <w:rsid w:val="008536B0"/>
    <w:rsid w:val="00855C26"/>
    <w:rsid w:val="00855D5A"/>
    <w:rsid w:val="008561FD"/>
    <w:rsid w:val="0085721C"/>
    <w:rsid w:val="00857571"/>
    <w:rsid w:val="00857642"/>
    <w:rsid w:val="008578B8"/>
    <w:rsid w:val="008578D3"/>
    <w:rsid w:val="00857F09"/>
    <w:rsid w:val="00860870"/>
    <w:rsid w:val="00861E99"/>
    <w:rsid w:val="0086545E"/>
    <w:rsid w:val="0086730A"/>
    <w:rsid w:val="00867F11"/>
    <w:rsid w:val="00871246"/>
    <w:rsid w:val="00871526"/>
    <w:rsid w:val="008715F6"/>
    <w:rsid w:val="00871B62"/>
    <w:rsid w:val="00871D8D"/>
    <w:rsid w:val="008722A6"/>
    <w:rsid w:val="008733D6"/>
    <w:rsid w:val="00873C78"/>
    <w:rsid w:val="00874A5B"/>
    <w:rsid w:val="00874CC4"/>
    <w:rsid w:val="0087538D"/>
    <w:rsid w:val="00875E3C"/>
    <w:rsid w:val="0087640C"/>
    <w:rsid w:val="00876573"/>
    <w:rsid w:val="00877AF0"/>
    <w:rsid w:val="0088050A"/>
    <w:rsid w:val="00880BDD"/>
    <w:rsid w:val="0088158B"/>
    <w:rsid w:val="008816E7"/>
    <w:rsid w:val="0088194B"/>
    <w:rsid w:val="00881CB0"/>
    <w:rsid w:val="008837C0"/>
    <w:rsid w:val="00885339"/>
    <w:rsid w:val="008855B6"/>
    <w:rsid w:val="00885DD7"/>
    <w:rsid w:val="008861A3"/>
    <w:rsid w:val="008868EE"/>
    <w:rsid w:val="0088760E"/>
    <w:rsid w:val="00887A76"/>
    <w:rsid w:val="00887ECC"/>
    <w:rsid w:val="008904AD"/>
    <w:rsid w:val="00892E66"/>
    <w:rsid w:val="00893223"/>
    <w:rsid w:val="00893B2B"/>
    <w:rsid w:val="0089514B"/>
    <w:rsid w:val="008953E4"/>
    <w:rsid w:val="0089602E"/>
    <w:rsid w:val="00896740"/>
    <w:rsid w:val="00897598"/>
    <w:rsid w:val="00897878"/>
    <w:rsid w:val="00897A2C"/>
    <w:rsid w:val="008A027F"/>
    <w:rsid w:val="008A1DBF"/>
    <w:rsid w:val="008A3BDC"/>
    <w:rsid w:val="008A4414"/>
    <w:rsid w:val="008A45DD"/>
    <w:rsid w:val="008A48E4"/>
    <w:rsid w:val="008A66EC"/>
    <w:rsid w:val="008A6C3A"/>
    <w:rsid w:val="008A6C61"/>
    <w:rsid w:val="008A6E33"/>
    <w:rsid w:val="008A73A8"/>
    <w:rsid w:val="008A77ED"/>
    <w:rsid w:val="008A7878"/>
    <w:rsid w:val="008B05E8"/>
    <w:rsid w:val="008B1354"/>
    <w:rsid w:val="008B3CA9"/>
    <w:rsid w:val="008B3D7E"/>
    <w:rsid w:val="008B4DF1"/>
    <w:rsid w:val="008B53E6"/>
    <w:rsid w:val="008B594E"/>
    <w:rsid w:val="008C036D"/>
    <w:rsid w:val="008C04E1"/>
    <w:rsid w:val="008C06B4"/>
    <w:rsid w:val="008C0AF0"/>
    <w:rsid w:val="008C1C13"/>
    <w:rsid w:val="008C2053"/>
    <w:rsid w:val="008C3353"/>
    <w:rsid w:val="008C365B"/>
    <w:rsid w:val="008C3989"/>
    <w:rsid w:val="008C3A62"/>
    <w:rsid w:val="008C3D79"/>
    <w:rsid w:val="008C3D8C"/>
    <w:rsid w:val="008C48AE"/>
    <w:rsid w:val="008C4FBF"/>
    <w:rsid w:val="008C5578"/>
    <w:rsid w:val="008C5615"/>
    <w:rsid w:val="008C6A1D"/>
    <w:rsid w:val="008D038C"/>
    <w:rsid w:val="008D1083"/>
    <w:rsid w:val="008D11F8"/>
    <w:rsid w:val="008D2091"/>
    <w:rsid w:val="008D231D"/>
    <w:rsid w:val="008D452E"/>
    <w:rsid w:val="008D5E57"/>
    <w:rsid w:val="008D64CA"/>
    <w:rsid w:val="008D6D4E"/>
    <w:rsid w:val="008E03CF"/>
    <w:rsid w:val="008E2C67"/>
    <w:rsid w:val="008E328C"/>
    <w:rsid w:val="008E3348"/>
    <w:rsid w:val="008E34EE"/>
    <w:rsid w:val="008E3E02"/>
    <w:rsid w:val="008E4DE1"/>
    <w:rsid w:val="008E4FF9"/>
    <w:rsid w:val="008E5885"/>
    <w:rsid w:val="008E5C40"/>
    <w:rsid w:val="008E601E"/>
    <w:rsid w:val="008E6570"/>
    <w:rsid w:val="008E6836"/>
    <w:rsid w:val="008E729D"/>
    <w:rsid w:val="008E7BE9"/>
    <w:rsid w:val="008F1397"/>
    <w:rsid w:val="008F1D59"/>
    <w:rsid w:val="008F1F6D"/>
    <w:rsid w:val="008F319B"/>
    <w:rsid w:val="008F4491"/>
    <w:rsid w:val="008F5409"/>
    <w:rsid w:val="008F5E39"/>
    <w:rsid w:val="008F5EFD"/>
    <w:rsid w:val="008F6BFB"/>
    <w:rsid w:val="008F6DAA"/>
    <w:rsid w:val="008F72D9"/>
    <w:rsid w:val="009000AF"/>
    <w:rsid w:val="00900981"/>
    <w:rsid w:val="0090132C"/>
    <w:rsid w:val="009028EA"/>
    <w:rsid w:val="00902F9E"/>
    <w:rsid w:val="009030C3"/>
    <w:rsid w:val="009031DE"/>
    <w:rsid w:val="009052A0"/>
    <w:rsid w:val="00905D07"/>
    <w:rsid w:val="00906A2C"/>
    <w:rsid w:val="00907319"/>
    <w:rsid w:val="00907E4F"/>
    <w:rsid w:val="009125E1"/>
    <w:rsid w:val="009127CA"/>
    <w:rsid w:val="009133D9"/>
    <w:rsid w:val="00915D94"/>
    <w:rsid w:val="009165AA"/>
    <w:rsid w:val="0091706D"/>
    <w:rsid w:val="00920402"/>
    <w:rsid w:val="0092100F"/>
    <w:rsid w:val="00921059"/>
    <w:rsid w:val="009213E8"/>
    <w:rsid w:val="00922569"/>
    <w:rsid w:val="00924D06"/>
    <w:rsid w:val="009263F9"/>
    <w:rsid w:val="00927AB6"/>
    <w:rsid w:val="00930D08"/>
    <w:rsid w:val="00930E24"/>
    <w:rsid w:val="009313EC"/>
    <w:rsid w:val="00931729"/>
    <w:rsid w:val="00931992"/>
    <w:rsid w:val="00933907"/>
    <w:rsid w:val="00935503"/>
    <w:rsid w:val="0093608A"/>
    <w:rsid w:val="009367C2"/>
    <w:rsid w:val="009368AA"/>
    <w:rsid w:val="00937393"/>
    <w:rsid w:val="0094108C"/>
    <w:rsid w:val="00941FC4"/>
    <w:rsid w:val="009435EE"/>
    <w:rsid w:val="0094369A"/>
    <w:rsid w:val="00943D09"/>
    <w:rsid w:val="009441FE"/>
    <w:rsid w:val="00946CD0"/>
    <w:rsid w:val="00946FF7"/>
    <w:rsid w:val="009475FB"/>
    <w:rsid w:val="00950302"/>
    <w:rsid w:val="0095040D"/>
    <w:rsid w:val="00953579"/>
    <w:rsid w:val="009545BA"/>
    <w:rsid w:val="009545CE"/>
    <w:rsid w:val="00954716"/>
    <w:rsid w:val="00956D48"/>
    <w:rsid w:val="00957922"/>
    <w:rsid w:val="009579B9"/>
    <w:rsid w:val="00957E7C"/>
    <w:rsid w:val="00960095"/>
    <w:rsid w:val="00961025"/>
    <w:rsid w:val="00961680"/>
    <w:rsid w:val="00961F59"/>
    <w:rsid w:val="009628C9"/>
    <w:rsid w:val="00962B67"/>
    <w:rsid w:val="00963924"/>
    <w:rsid w:val="00966375"/>
    <w:rsid w:val="00966E33"/>
    <w:rsid w:val="009711AE"/>
    <w:rsid w:val="009722EB"/>
    <w:rsid w:val="00972BFF"/>
    <w:rsid w:val="00974333"/>
    <w:rsid w:val="0097506E"/>
    <w:rsid w:val="00975BC9"/>
    <w:rsid w:val="00975FAE"/>
    <w:rsid w:val="0097602D"/>
    <w:rsid w:val="009771CE"/>
    <w:rsid w:val="00977C7A"/>
    <w:rsid w:val="00980235"/>
    <w:rsid w:val="00981365"/>
    <w:rsid w:val="009813C4"/>
    <w:rsid w:val="00982EBC"/>
    <w:rsid w:val="009838E7"/>
    <w:rsid w:val="00984766"/>
    <w:rsid w:val="00984D90"/>
    <w:rsid w:val="0098559D"/>
    <w:rsid w:val="00986BF0"/>
    <w:rsid w:val="00986EC8"/>
    <w:rsid w:val="00987851"/>
    <w:rsid w:val="009904AA"/>
    <w:rsid w:val="00990624"/>
    <w:rsid w:val="00990857"/>
    <w:rsid w:val="009920D5"/>
    <w:rsid w:val="009941A4"/>
    <w:rsid w:val="0099440C"/>
    <w:rsid w:val="0099652E"/>
    <w:rsid w:val="00996D3F"/>
    <w:rsid w:val="0099719A"/>
    <w:rsid w:val="00997A01"/>
    <w:rsid w:val="009A0147"/>
    <w:rsid w:val="009A01D3"/>
    <w:rsid w:val="009A083B"/>
    <w:rsid w:val="009A18E6"/>
    <w:rsid w:val="009A1D51"/>
    <w:rsid w:val="009A21D7"/>
    <w:rsid w:val="009A29B8"/>
    <w:rsid w:val="009A33CE"/>
    <w:rsid w:val="009A3B11"/>
    <w:rsid w:val="009A4B9F"/>
    <w:rsid w:val="009A53CB"/>
    <w:rsid w:val="009A53FA"/>
    <w:rsid w:val="009A5F2C"/>
    <w:rsid w:val="009A6FFA"/>
    <w:rsid w:val="009B0803"/>
    <w:rsid w:val="009B1968"/>
    <w:rsid w:val="009B19E1"/>
    <w:rsid w:val="009B3620"/>
    <w:rsid w:val="009B3B6F"/>
    <w:rsid w:val="009B45A9"/>
    <w:rsid w:val="009B473A"/>
    <w:rsid w:val="009B510C"/>
    <w:rsid w:val="009B551A"/>
    <w:rsid w:val="009B55C2"/>
    <w:rsid w:val="009B5BB9"/>
    <w:rsid w:val="009B67E3"/>
    <w:rsid w:val="009B6941"/>
    <w:rsid w:val="009B6DF2"/>
    <w:rsid w:val="009B754C"/>
    <w:rsid w:val="009C0138"/>
    <w:rsid w:val="009C209F"/>
    <w:rsid w:val="009C2687"/>
    <w:rsid w:val="009C356C"/>
    <w:rsid w:val="009C3BDE"/>
    <w:rsid w:val="009C45D0"/>
    <w:rsid w:val="009C4611"/>
    <w:rsid w:val="009C4783"/>
    <w:rsid w:val="009C5642"/>
    <w:rsid w:val="009C5B46"/>
    <w:rsid w:val="009C77BD"/>
    <w:rsid w:val="009D0CFA"/>
    <w:rsid w:val="009D1A0E"/>
    <w:rsid w:val="009D1B6A"/>
    <w:rsid w:val="009D252E"/>
    <w:rsid w:val="009D2F09"/>
    <w:rsid w:val="009D32B7"/>
    <w:rsid w:val="009D36DD"/>
    <w:rsid w:val="009D3B0B"/>
    <w:rsid w:val="009D3DB8"/>
    <w:rsid w:val="009D4609"/>
    <w:rsid w:val="009D5270"/>
    <w:rsid w:val="009D5415"/>
    <w:rsid w:val="009D7821"/>
    <w:rsid w:val="009E0A03"/>
    <w:rsid w:val="009E1655"/>
    <w:rsid w:val="009E2B96"/>
    <w:rsid w:val="009E2C3F"/>
    <w:rsid w:val="009E3C49"/>
    <w:rsid w:val="009E3EDA"/>
    <w:rsid w:val="009E4D7F"/>
    <w:rsid w:val="009E540A"/>
    <w:rsid w:val="009E5EF1"/>
    <w:rsid w:val="009E65F6"/>
    <w:rsid w:val="009E6FF4"/>
    <w:rsid w:val="009E7C18"/>
    <w:rsid w:val="009F10E2"/>
    <w:rsid w:val="009F1FA6"/>
    <w:rsid w:val="009F2450"/>
    <w:rsid w:val="009F338F"/>
    <w:rsid w:val="009F3502"/>
    <w:rsid w:val="009F363D"/>
    <w:rsid w:val="009F3802"/>
    <w:rsid w:val="009F39F1"/>
    <w:rsid w:val="009F502D"/>
    <w:rsid w:val="009F5CF4"/>
    <w:rsid w:val="00A000A8"/>
    <w:rsid w:val="00A00222"/>
    <w:rsid w:val="00A00663"/>
    <w:rsid w:val="00A015B7"/>
    <w:rsid w:val="00A0301B"/>
    <w:rsid w:val="00A0302A"/>
    <w:rsid w:val="00A03BB9"/>
    <w:rsid w:val="00A07327"/>
    <w:rsid w:val="00A078BC"/>
    <w:rsid w:val="00A10239"/>
    <w:rsid w:val="00A10415"/>
    <w:rsid w:val="00A107BB"/>
    <w:rsid w:val="00A10AC6"/>
    <w:rsid w:val="00A11D55"/>
    <w:rsid w:val="00A11E06"/>
    <w:rsid w:val="00A12114"/>
    <w:rsid w:val="00A126B9"/>
    <w:rsid w:val="00A12A0B"/>
    <w:rsid w:val="00A12FF8"/>
    <w:rsid w:val="00A1434F"/>
    <w:rsid w:val="00A155FF"/>
    <w:rsid w:val="00A15829"/>
    <w:rsid w:val="00A15D42"/>
    <w:rsid w:val="00A16DE2"/>
    <w:rsid w:val="00A20A50"/>
    <w:rsid w:val="00A21ED5"/>
    <w:rsid w:val="00A221B4"/>
    <w:rsid w:val="00A2316C"/>
    <w:rsid w:val="00A2448C"/>
    <w:rsid w:val="00A251B3"/>
    <w:rsid w:val="00A2613E"/>
    <w:rsid w:val="00A263AE"/>
    <w:rsid w:val="00A26858"/>
    <w:rsid w:val="00A26DEB"/>
    <w:rsid w:val="00A32896"/>
    <w:rsid w:val="00A32E26"/>
    <w:rsid w:val="00A344FE"/>
    <w:rsid w:val="00A357F8"/>
    <w:rsid w:val="00A35A48"/>
    <w:rsid w:val="00A35DCE"/>
    <w:rsid w:val="00A363D2"/>
    <w:rsid w:val="00A37243"/>
    <w:rsid w:val="00A37541"/>
    <w:rsid w:val="00A414ED"/>
    <w:rsid w:val="00A425B8"/>
    <w:rsid w:val="00A4267A"/>
    <w:rsid w:val="00A43221"/>
    <w:rsid w:val="00A448E7"/>
    <w:rsid w:val="00A4495A"/>
    <w:rsid w:val="00A44D51"/>
    <w:rsid w:val="00A4535E"/>
    <w:rsid w:val="00A50754"/>
    <w:rsid w:val="00A50DDE"/>
    <w:rsid w:val="00A513DD"/>
    <w:rsid w:val="00A5165E"/>
    <w:rsid w:val="00A51C93"/>
    <w:rsid w:val="00A5325E"/>
    <w:rsid w:val="00A5364C"/>
    <w:rsid w:val="00A53819"/>
    <w:rsid w:val="00A554B2"/>
    <w:rsid w:val="00A5560C"/>
    <w:rsid w:val="00A55D39"/>
    <w:rsid w:val="00A561A0"/>
    <w:rsid w:val="00A578A5"/>
    <w:rsid w:val="00A57AB9"/>
    <w:rsid w:val="00A60F52"/>
    <w:rsid w:val="00A62803"/>
    <w:rsid w:val="00A6357B"/>
    <w:rsid w:val="00A637FC"/>
    <w:rsid w:val="00A63DA8"/>
    <w:rsid w:val="00A651B8"/>
    <w:rsid w:val="00A65834"/>
    <w:rsid w:val="00A65DB1"/>
    <w:rsid w:val="00A6755C"/>
    <w:rsid w:val="00A67F8A"/>
    <w:rsid w:val="00A70193"/>
    <w:rsid w:val="00A70893"/>
    <w:rsid w:val="00A70D76"/>
    <w:rsid w:val="00A71F49"/>
    <w:rsid w:val="00A72141"/>
    <w:rsid w:val="00A723DF"/>
    <w:rsid w:val="00A72C64"/>
    <w:rsid w:val="00A72F8D"/>
    <w:rsid w:val="00A7328B"/>
    <w:rsid w:val="00A73B82"/>
    <w:rsid w:val="00A73CB0"/>
    <w:rsid w:val="00A7490F"/>
    <w:rsid w:val="00A76787"/>
    <w:rsid w:val="00A76C3C"/>
    <w:rsid w:val="00A77F3C"/>
    <w:rsid w:val="00A77F84"/>
    <w:rsid w:val="00A8015D"/>
    <w:rsid w:val="00A82A03"/>
    <w:rsid w:val="00A8445D"/>
    <w:rsid w:val="00A8469B"/>
    <w:rsid w:val="00A850CB"/>
    <w:rsid w:val="00A85D42"/>
    <w:rsid w:val="00A8631A"/>
    <w:rsid w:val="00A863D7"/>
    <w:rsid w:val="00A86F4F"/>
    <w:rsid w:val="00A87948"/>
    <w:rsid w:val="00A87F5F"/>
    <w:rsid w:val="00A902AB"/>
    <w:rsid w:val="00A9160D"/>
    <w:rsid w:val="00A92327"/>
    <w:rsid w:val="00A9330B"/>
    <w:rsid w:val="00A93B6A"/>
    <w:rsid w:val="00A940F1"/>
    <w:rsid w:val="00A95C5C"/>
    <w:rsid w:val="00A96CE3"/>
    <w:rsid w:val="00A96F79"/>
    <w:rsid w:val="00A9780B"/>
    <w:rsid w:val="00AA0AD2"/>
    <w:rsid w:val="00AA0CCF"/>
    <w:rsid w:val="00AA2A0F"/>
    <w:rsid w:val="00AA6C5C"/>
    <w:rsid w:val="00AA7034"/>
    <w:rsid w:val="00AB01B4"/>
    <w:rsid w:val="00AB0B17"/>
    <w:rsid w:val="00AB1BDE"/>
    <w:rsid w:val="00AB1D2C"/>
    <w:rsid w:val="00AB1F1D"/>
    <w:rsid w:val="00AB1FFB"/>
    <w:rsid w:val="00AB2686"/>
    <w:rsid w:val="00AB271A"/>
    <w:rsid w:val="00AB2D6B"/>
    <w:rsid w:val="00AB45C1"/>
    <w:rsid w:val="00AB573A"/>
    <w:rsid w:val="00AC0639"/>
    <w:rsid w:val="00AC0B1B"/>
    <w:rsid w:val="00AC0ECC"/>
    <w:rsid w:val="00AC246A"/>
    <w:rsid w:val="00AC29FF"/>
    <w:rsid w:val="00AC3E54"/>
    <w:rsid w:val="00AC5568"/>
    <w:rsid w:val="00AC602E"/>
    <w:rsid w:val="00AC60EA"/>
    <w:rsid w:val="00AC6DD9"/>
    <w:rsid w:val="00AC6DFD"/>
    <w:rsid w:val="00AC78A6"/>
    <w:rsid w:val="00AD16FD"/>
    <w:rsid w:val="00AD2071"/>
    <w:rsid w:val="00AD3820"/>
    <w:rsid w:val="00AD3AFC"/>
    <w:rsid w:val="00AD3C1F"/>
    <w:rsid w:val="00AD3C7C"/>
    <w:rsid w:val="00AD403B"/>
    <w:rsid w:val="00AD4210"/>
    <w:rsid w:val="00AD4E79"/>
    <w:rsid w:val="00AD4F28"/>
    <w:rsid w:val="00AD6F0E"/>
    <w:rsid w:val="00AE028A"/>
    <w:rsid w:val="00AE1BCA"/>
    <w:rsid w:val="00AE1C67"/>
    <w:rsid w:val="00AE2660"/>
    <w:rsid w:val="00AE2E66"/>
    <w:rsid w:val="00AE39CE"/>
    <w:rsid w:val="00AE3D54"/>
    <w:rsid w:val="00AE6A98"/>
    <w:rsid w:val="00AE7150"/>
    <w:rsid w:val="00AE7586"/>
    <w:rsid w:val="00AF1AA7"/>
    <w:rsid w:val="00AF1E69"/>
    <w:rsid w:val="00AF306A"/>
    <w:rsid w:val="00AF3876"/>
    <w:rsid w:val="00AF38C8"/>
    <w:rsid w:val="00AF4F08"/>
    <w:rsid w:val="00AF521B"/>
    <w:rsid w:val="00AF76DF"/>
    <w:rsid w:val="00AF78F7"/>
    <w:rsid w:val="00B002E4"/>
    <w:rsid w:val="00B00426"/>
    <w:rsid w:val="00B00DA6"/>
    <w:rsid w:val="00B00FA6"/>
    <w:rsid w:val="00B01187"/>
    <w:rsid w:val="00B02A26"/>
    <w:rsid w:val="00B02CB5"/>
    <w:rsid w:val="00B042A5"/>
    <w:rsid w:val="00B0576A"/>
    <w:rsid w:val="00B0662C"/>
    <w:rsid w:val="00B07312"/>
    <w:rsid w:val="00B073C7"/>
    <w:rsid w:val="00B1248F"/>
    <w:rsid w:val="00B127E9"/>
    <w:rsid w:val="00B13CE8"/>
    <w:rsid w:val="00B13F8A"/>
    <w:rsid w:val="00B16116"/>
    <w:rsid w:val="00B17BCC"/>
    <w:rsid w:val="00B210B7"/>
    <w:rsid w:val="00B24EC3"/>
    <w:rsid w:val="00B259BB"/>
    <w:rsid w:val="00B25AA6"/>
    <w:rsid w:val="00B318CA"/>
    <w:rsid w:val="00B31A74"/>
    <w:rsid w:val="00B328FC"/>
    <w:rsid w:val="00B33760"/>
    <w:rsid w:val="00B3431A"/>
    <w:rsid w:val="00B34372"/>
    <w:rsid w:val="00B3774A"/>
    <w:rsid w:val="00B41886"/>
    <w:rsid w:val="00B42051"/>
    <w:rsid w:val="00B434BD"/>
    <w:rsid w:val="00B4395D"/>
    <w:rsid w:val="00B43D62"/>
    <w:rsid w:val="00B43E4B"/>
    <w:rsid w:val="00B45551"/>
    <w:rsid w:val="00B474AF"/>
    <w:rsid w:val="00B47E28"/>
    <w:rsid w:val="00B5027E"/>
    <w:rsid w:val="00B507C9"/>
    <w:rsid w:val="00B50A0E"/>
    <w:rsid w:val="00B51273"/>
    <w:rsid w:val="00B512D6"/>
    <w:rsid w:val="00B5135C"/>
    <w:rsid w:val="00B519DB"/>
    <w:rsid w:val="00B5250D"/>
    <w:rsid w:val="00B538F8"/>
    <w:rsid w:val="00B53E04"/>
    <w:rsid w:val="00B53FDC"/>
    <w:rsid w:val="00B541D5"/>
    <w:rsid w:val="00B56175"/>
    <w:rsid w:val="00B56473"/>
    <w:rsid w:val="00B57104"/>
    <w:rsid w:val="00B57F5C"/>
    <w:rsid w:val="00B605C8"/>
    <w:rsid w:val="00B6255A"/>
    <w:rsid w:val="00B638EC"/>
    <w:rsid w:val="00B63AEE"/>
    <w:rsid w:val="00B63D03"/>
    <w:rsid w:val="00B6514D"/>
    <w:rsid w:val="00B65F4E"/>
    <w:rsid w:val="00B66D6A"/>
    <w:rsid w:val="00B700DE"/>
    <w:rsid w:val="00B713C9"/>
    <w:rsid w:val="00B71605"/>
    <w:rsid w:val="00B71D3D"/>
    <w:rsid w:val="00B72A47"/>
    <w:rsid w:val="00B72F9B"/>
    <w:rsid w:val="00B740D5"/>
    <w:rsid w:val="00B748AB"/>
    <w:rsid w:val="00B75024"/>
    <w:rsid w:val="00B8161D"/>
    <w:rsid w:val="00B81657"/>
    <w:rsid w:val="00B819B3"/>
    <w:rsid w:val="00B81A8E"/>
    <w:rsid w:val="00B81EE4"/>
    <w:rsid w:val="00B828B8"/>
    <w:rsid w:val="00B83405"/>
    <w:rsid w:val="00B83708"/>
    <w:rsid w:val="00B8370F"/>
    <w:rsid w:val="00B84CBC"/>
    <w:rsid w:val="00B84E2E"/>
    <w:rsid w:val="00B854D0"/>
    <w:rsid w:val="00B85D61"/>
    <w:rsid w:val="00B85DC8"/>
    <w:rsid w:val="00B871D9"/>
    <w:rsid w:val="00B906DE"/>
    <w:rsid w:val="00B90E72"/>
    <w:rsid w:val="00B92374"/>
    <w:rsid w:val="00B92D36"/>
    <w:rsid w:val="00B92ECD"/>
    <w:rsid w:val="00B933E3"/>
    <w:rsid w:val="00B95AD3"/>
    <w:rsid w:val="00B95B47"/>
    <w:rsid w:val="00B9650B"/>
    <w:rsid w:val="00B9664F"/>
    <w:rsid w:val="00B96B9D"/>
    <w:rsid w:val="00BA0A1A"/>
    <w:rsid w:val="00BA18B3"/>
    <w:rsid w:val="00BA2530"/>
    <w:rsid w:val="00BA256D"/>
    <w:rsid w:val="00BA2A4F"/>
    <w:rsid w:val="00BA3928"/>
    <w:rsid w:val="00BA3CA4"/>
    <w:rsid w:val="00BA4161"/>
    <w:rsid w:val="00BA544A"/>
    <w:rsid w:val="00BA5C24"/>
    <w:rsid w:val="00BA5CDF"/>
    <w:rsid w:val="00BA63EF"/>
    <w:rsid w:val="00BA7065"/>
    <w:rsid w:val="00BA78D0"/>
    <w:rsid w:val="00BB066C"/>
    <w:rsid w:val="00BB0E0F"/>
    <w:rsid w:val="00BB0F4C"/>
    <w:rsid w:val="00BB12A0"/>
    <w:rsid w:val="00BB14CB"/>
    <w:rsid w:val="00BB1678"/>
    <w:rsid w:val="00BB284C"/>
    <w:rsid w:val="00BB35BA"/>
    <w:rsid w:val="00BB6280"/>
    <w:rsid w:val="00BB6BE4"/>
    <w:rsid w:val="00BC0133"/>
    <w:rsid w:val="00BC1C6A"/>
    <w:rsid w:val="00BC2281"/>
    <w:rsid w:val="00BC28A7"/>
    <w:rsid w:val="00BC2C77"/>
    <w:rsid w:val="00BC3702"/>
    <w:rsid w:val="00BC3F2E"/>
    <w:rsid w:val="00BC6B50"/>
    <w:rsid w:val="00BD00E2"/>
    <w:rsid w:val="00BD0631"/>
    <w:rsid w:val="00BD17A8"/>
    <w:rsid w:val="00BD3654"/>
    <w:rsid w:val="00BD3920"/>
    <w:rsid w:val="00BD39C7"/>
    <w:rsid w:val="00BD3BC7"/>
    <w:rsid w:val="00BD455F"/>
    <w:rsid w:val="00BD4E53"/>
    <w:rsid w:val="00BD5952"/>
    <w:rsid w:val="00BD5A6D"/>
    <w:rsid w:val="00BD6D5C"/>
    <w:rsid w:val="00BD7BDE"/>
    <w:rsid w:val="00BE05A8"/>
    <w:rsid w:val="00BE178F"/>
    <w:rsid w:val="00BE1915"/>
    <w:rsid w:val="00BE1B30"/>
    <w:rsid w:val="00BE29A4"/>
    <w:rsid w:val="00BE479F"/>
    <w:rsid w:val="00BE6D69"/>
    <w:rsid w:val="00BE7DAF"/>
    <w:rsid w:val="00BF02C7"/>
    <w:rsid w:val="00BF0500"/>
    <w:rsid w:val="00BF2249"/>
    <w:rsid w:val="00BF3F0C"/>
    <w:rsid w:val="00BF52CE"/>
    <w:rsid w:val="00BF624E"/>
    <w:rsid w:val="00BF6850"/>
    <w:rsid w:val="00BF6B93"/>
    <w:rsid w:val="00BF6F52"/>
    <w:rsid w:val="00C00240"/>
    <w:rsid w:val="00C00BAD"/>
    <w:rsid w:val="00C019A2"/>
    <w:rsid w:val="00C02BC7"/>
    <w:rsid w:val="00C02C93"/>
    <w:rsid w:val="00C04A8B"/>
    <w:rsid w:val="00C057B5"/>
    <w:rsid w:val="00C0662B"/>
    <w:rsid w:val="00C070AB"/>
    <w:rsid w:val="00C07347"/>
    <w:rsid w:val="00C07CDF"/>
    <w:rsid w:val="00C104D4"/>
    <w:rsid w:val="00C105B5"/>
    <w:rsid w:val="00C10F5C"/>
    <w:rsid w:val="00C1109A"/>
    <w:rsid w:val="00C11669"/>
    <w:rsid w:val="00C1309B"/>
    <w:rsid w:val="00C132DF"/>
    <w:rsid w:val="00C13AD2"/>
    <w:rsid w:val="00C1416E"/>
    <w:rsid w:val="00C16015"/>
    <w:rsid w:val="00C170A0"/>
    <w:rsid w:val="00C21670"/>
    <w:rsid w:val="00C218E2"/>
    <w:rsid w:val="00C229CD"/>
    <w:rsid w:val="00C22D53"/>
    <w:rsid w:val="00C22E91"/>
    <w:rsid w:val="00C23C88"/>
    <w:rsid w:val="00C248B1"/>
    <w:rsid w:val="00C24CAB"/>
    <w:rsid w:val="00C25D47"/>
    <w:rsid w:val="00C25ED6"/>
    <w:rsid w:val="00C261DD"/>
    <w:rsid w:val="00C30D3E"/>
    <w:rsid w:val="00C31163"/>
    <w:rsid w:val="00C31C7E"/>
    <w:rsid w:val="00C330A2"/>
    <w:rsid w:val="00C35216"/>
    <w:rsid w:val="00C35AEA"/>
    <w:rsid w:val="00C363D3"/>
    <w:rsid w:val="00C4008C"/>
    <w:rsid w:val="00C402AB"/>
    <w:rsid w:val="00C423CB"/>
    <w:rsid w:val="00C43130"/>
    <w:rsid w:val="00C442F9"/>
    <w:rsid w:val="00C447D2"/>
    <w:rsid w:val="00C44935"/>
    <w:rsid w:val="00C44D56"/>
    <w:rsid w:val="00C4576C"/>
    <w:rsid w:val="00C464E6"/>
    <w:rsid w:val="00C46AE5"/>
    <w:rsid w:val="00C501D3"/>
    <w:rsid w:val="00C507E9"/>
    <w:rsid w:val="00C50B4B"/>
    <w:rsid w:val="00C50C31"/>
    <w:rsid w:val="00C516C1"/>
    <w:rsid w:val="00C51758"/>
    <w:rsid w:val="00C51B0C"/>
    <w:rsid w:val="00C51C7F"/>
    <w:rsid w:val="00C527AE"/>
    <w:rsid w:val="00C555A9"/>
    <w:rsid w:val="00C55616"/>
    <w:rsid w:val="00C561A7"/>
    <w:rsid w:val="00C570F6"/>
    <w:rsid w:val="00C5736C"/>
    <w:rsid w:val="00C5758C"/>
    <w:rsid w:val="00C57BCE"/>
    <w:rsid w:val="00C60073"/>
    <w:rsid w:val="00C6012F"/>
    <w:rsid w:val="00C60A09"/>
    <w:rsid w:val="00C6123D"/>
    <w:rsid w:val="00C61BC7"/>
    <w:rsid w:val="00C620EE"/>
    <w:rsid w:val="00C625CD"/>
    <w:rsid w:val="00C6331D"/>
    <w:rsid w:val="00C63994"/>
    <w:rsid w:val="00C63B00"/>
    <w:rsid w:val="00C63D46"/>
    <w:rsid w:val="00C64AA9"/>
    <w:rsid w:val="00C65264"/>
    <w:rsid w:val="00C6546D"/>
    <w:rsid w:val="00C662EC"/>
    <w:rsid w:val="00C66335"/>
    <w:rsid w:val="00C670C7"/>
    <w:rsid w:val="00C705C6"/>
    <w:rsid w:val="00C7114B"/>
    <w:rsid w:val="00C71A5F"/>
    <w:rsid w:val="00C73280"/>
    <w:rsid w:val="00C734CF"/>
    <w:rsid w:val="00C735F9"/>
    <w:rsid w:val="00C73825"/>
    <w:rsid w:val="00C751A8"/>
    <w:rsid w:val="00C75BBA"/>
    <w:rsid w:val="00C766A9"/>
    <w:rsid w:val="00C7769E"/>
    <w:rsid w:val="00C77AF0"/>
    <w:rsid w:val="00C80638"/>
    <w:rsid w:val="00C821C7"/>
    <w:rsid w:val="00C828AA"/>
    <w:rsid w:val="00C83840"/>
    <w:rsid w:val="00C84345"/>
    <w:rsid w:val="00C844FF"/>
    <w:rsid w:val="00C84552"/>
    <w:rsid w:val="00C8517F"/>
    <w:rsid w:val="00C85432"/>
    <w:rsid w:val="00C860E6"/>
    <w:rsid w:val="00C869CD"/>
    <w:rsid w:val="00C87EEE"/>
    <w:rsid w:val="00C903ED"/>
    <w:rsid w:val="00C906EF"/>
    <w:rsid w:val="00C90A0A"/>
    <w:rsid w:val="00C914E9"/>
    <w:rsid w:val="00C93FED"/>
    <w:rsid w:val="00C95969"/>
    <w:rsid w:val="00C95A0A"/>
    <w:rsid w:val="00C95C36"/>
    <w:rsid w:val="00C96024"/>
    <w:rsid w:val="00C9628E"/>
    <w:rsid w:val="00CA2256"/>
    <w:rsid w:val="00CA23B2"/>
    <w:rsid w:val="00CA2698"/>
    <w:rsid w:val="00CA392B"/>
    <w:rsid w:val="00CA5CB9"/>
    <w:rsid w:val="00CA62D4"/>
    <w:rsid w:val="00CA764F"/>
    <w:rsid w:val="00CA7C2F"/>
    <w:rsid w:val="00CA7FA1"/>
    <w:rsid w:val="00CB03C3"/>
    <w:rsid w:val="00CB1BA9"/>
    <w:rsid w:val="00CB1C4F"/>
    <w:rsid w:val="00CB2F30"/>
    <w:rsid w:val="00CB31CD"/>
    <w:rsid w:val="00CB34E2"/>
    <w:rsid w:val="00CB5154"/>
    <w:rsid w:val="00CB5351"/>
    <w:rsid w:val="00CB7876"/>
    <w:rsid w:val="00CC0B98"/>
    <w:rsid w:val="00CC0BEE"/>
    <w:rsid w:val="00CC1AAD"/>
    <w:rsid w:val="00CC1B3D"/>
    <w:rsid w:val="00CC2EF7"/>
    <w:rsid w:val="00CC3399"/>
    <w:rsid w:val="00CC34B7"/>
    <w:rsid w:val="00CC512C"/>
    <w:rsid w:val="00CC558A"/>
    <w:rsid w:val="00CC58D0"/>
    <w:rsid w:val="00CC58E8"/>
    <w:rsid w:val="00CC5937"/>
    <w:rsid w:val="00CC5A5E"/>
    <w:rsid w:val="00CC6AB1"/>
    <w:rsid w:val="00CC7275"/>
    <w:rsid w:val="00CD0823"/>
    <w:rsid w:val="00CD2489"/>
    <w:rsid w:val="00CD3F63"/>
    <w:rsid w:val="00CD428C"/>
    <w:rsid w:val="00CD4492"/>
    <w:rsid w:val="00CD5CB0"/>
    <w:rsid w:val="00CD5D99"/>
    <w:rsid w:val="00CD67EC"/>
    <w:rsid w:val="00CD6B4B"/>
    <w:rsid w:val="00CD6FA9"/>
    <w:rsid w:val="00CD70DF"/>
    <w:rsid w:val="00CD7BBD"/>
    <w:rsid w:val="00CD7D9C"/>
    <w:rsid w:val="00CE0129"/>
    <w:rsid w:val="00CE05E5"/>
    <w:rsid w:val="00CE0C81"/>
    <w:rsid w:val="00CE2119"/>
    <w:rsid w:val="00CE39F8"/>
    <w:rsid w:val="00CE5F55"/>
    <w:rsid w:val="00CE6313"/>
    <w:rsid w:val="00CF051C"/>
    <w:rsid w:val="00CF18E2"/>
    <w:rsid w:val="00CF1BAF"/>
    <w:rsid w:val="00CF1DE7"/>
    <w:rsid w:val="00CF27B7"/>
    <w:rsid w:val="00CF42D5"/>
    <w:rsid w:val="00CF5211"/>
    <w:rsid w:val="00CF5F19"/>
    <w:rsid w:val="00CF67C1"/>
    <w:rsid w:val="00D0133E"/>
    <w:rsid w:val="00D01351"/>
    <w:rsid w:val="00D024EA"/>
    <w:rsid w:val="00D02BED"/>
    <w:rsid w:val="00D0321A"/>
    <w:rsid w:val="00D03794"/>
    <w:rsid w:val="00D043E0"/>
    <w:rsid w:val="00D0534F"/>
    <w:rsid w:val="00D05C52"/>
    <w:rsid w:val="00D075EB"/>
    <w:rsid w:val="00D10612"/>
    <w:rsid w:val="00D11B0B"/>
    <w:rsid w:val="00D14F07"/>
    <w:rsid w:val="00D1664E"/>
    <w:rsid w:val="00D16BC5"/>
    <w:rsid w:val="00D208A0"/>
    <w:rsid w:val="00D22441"/>
    <w:rsid w:val="00D22B0A"/>
    <w:rsid w:val="00D240BD"/>
    <w:rsid w:val="00D245C0"/>
    <w:rsid w:val="00D24DA3"/>
    <w:rsid w:val="00D25553"/>
    <w:rsid w:val="00D26CD6"/>
    <w:rsid w:val="00D27116"/>
    <w:rsid w:val="00D27312"/>
    <w:rsid w:val="00D27663"/>
    <w:rsid w:val="00D30EC2"/>
    <w:rsid w:val="00D3219B"/>
    <w:rsid w:val="00D33374"/>
    <w:rsid w:val="00D33423"/>
    <w:rsid w:val="00D334A3"/>
    <w:rsid w:val="00D335CD"/>
    <w:rsid w:val="00D33E95"/>
    <w:rsid w:val="00D343FD"/>
    <w:rsid w:val="00D35F2C"/>
    <w:rsid w:val="00D36A90"/>
    <w:rsid w:val="00D372CE"/>
    <w:rsid w:val="00D3763D"/>
    <w:rsid w:val="00D43483"/>
    <w:rsid w:val="00D43FE6"/>
    <w:rsid w:val="00D44457"/>
    <w:rsid w:val="00D46BD0"/>
    <w:rsid w:val="00D501CD"/>
    <w:rsid w:val="00D51347"/>
    <w:rsid w:val="00D51F8E"/>
    <w:rsid w:val="00D52732"/>
    <w:rsid w:val="00D52819"/>
    <w:rsid w:val="00D52AE8"/>
    <w:rsid w:val="00D52E34"/>
    <w:rsid w:val="00D52F03"/>
    <w:rsid w:val="00D53918"/>
    <w:rsid w:val="00D54070"/>
    <w:rsid w:val="00D56668"/>
    <w:rsid w:val="00D571C1"/>
    <w:rsid w:val="00D57B1F"/>
    <w:rsid w:val="00D57D2E"/>
    <w:rsid w:val="00D615C4"/>
    <w:rsid w:val="00D63D4C"/>
    <w:rsid w:val="00D63F81"/>
    <w:rsid w:val="00D64301"/>
    <w:rsid w:val="00D6515D"/>
    <w:rsid w:val="00D65FC3"/>
    <w:rsid w:val="00D66E98"/>
    <w:rsid w:val="00D678A5"/>
    <w:rsid w:val="00D678AC"/>
    <w:rsid w:val="00D700B3"/>
    <w:rsid w:val="00D7020B"/>
    <w:rsid w:val="00D705A6"/>
    <w:rsid w:val="00D714C9"/>
    <w:rsid w:val="00D7181C"/>
    <w:rsid w:val="00D727F7"/>
    <w:rsid w:val="00D75AA1"/>
    <w:rsid w:val="00D75CAC"/>
    <w:rsid w:val="00D75F4B"/>
    <w:rsid w:val="00D75F54"/>
    <w:rsid w:val="00D76204"/>
    <w:rsid w:val="00D76362"/>
    <w:rsid w:val="00D76813"/>
    <w:rsid w:val="00D76A7A"/>
    <w:rsid w:val="00D76EC4"/>
    <w:rsid w:val="00D775D7"/>
    <w:rsid w:val="00D80A70"/>
    <w:rsid w:val="00D8105F"/>
    <w:rsid w:val="00D81BAC"/>
    <w:rsid w:val="00D8251F"/>
    <w:rsid w:val="00D86FDF"/>
    <w:rsid w:val="00D90A8C"/>
    <w:rsid w:val="00D91E9C"/>
    <w:rsid w:val="00D92493"/>
    <w:rsid w:val="00D93DFB"/>
    <w:rsid w:val="00D9419B"/>
    <w:rsid w:val="00DA1828"/>
    <w:rsid w:val="00DA1DB7"/>
    <w:rsid w:val="00DA3AA2"/>
    <w:rsid w:val="00DA4732"/>
    <w:rsid w:val="00DA4C9A"/>
    <w:rsid w:val="00DA4DD9"/>
    <w:rsid w:val="00DA6370"/>
    <w:rsid w:val="00DA783E"/>
    <w:rsid w:val="00DA7857"/>
    <w:rsid w:val="00DA7BEF"/>
    <w:rsid w:val="00DB08CB"/>
    <w:rsid w:val="00DB1640"/>
    <w:rsid w:val="00DB2932"/>
    <w:rsid w:val="00DB59B5"/>
    <w:rsid w:val="00DB6733"/>
    <w:rsid w:val="00DB6C79"/>
    <w:rsid w:val="00DC0507"/>
    <w:rsid w:val="00DC0D3F"/>
    <w:rsid w:val="00DC1EBF"/>
    <w:rsid w:val="00DC3839"/>
    <w:rsid w:val="00DC44B0"/>
    <w:rsid w:val="00DC4766"/>
    <w:rsid w:val="00DC4C76"/>
    <w:rsid w:val="00DC4CBF"/>
    <w:rsid w:val="00DC4D8B"/>
    <w:rsid w:val="00DC67FF"/>
    <w:rsid w:val="00DC6D04"/>
    <w:rsid w:val="00DC6D9C"/>
    <w:rsid w:val="00DC732F"/>
    <w:rsid w:val="00DD19D5"/>
    <w:rsid w:val="00DD3326"/>
    <w:rsid w:val="00DD3FF0"/>
    <w:rsid w:val="00DD403A"/>
    <w:rsid w:val="00DD5291"/>
    <w:rsid w:val="00DE02E4"/>
    <w:rsid w:val="00DE0554"/>
    <w:rsid w:val="00DE0AAC"/>
    <w:rsid w:val="00DE0E9B"/>
    <w:rsid w:val="00DE0F90"/>
    <w:rsid w:val="00DE1A2E"/>
    <w:rsid w:val="00DE1F62"/>
    <w:rsid w:val="00DE2222"/>
    <w:rsid w:val="00DE22BA"/>
    <w:rsid w:val="00DE23E6"/>
    <w:rsid w:val="00DE4190"/>
    <w:rsid w:val="00DE4315"/>
    <w:rsid w:val="00DE44D8"/>
    <w:rsid w:val="00DE4504"/>
    <w:rsid w:val="00DE4AF1"/>
    <w:rsid w:val="00DE5B41"/>
    <w:rsid w:val="00DE6F13"/>
    <w:rsid w:val="00DE7C1E"/>
    <w:rsid w:val="00DF0B18"/>
    <w:rsid w:val="00DF20B7"/>
    <w:rsid w:val="00DF229A"/>
    <w:rsid w:val="00DF27EE"/>
    <w:rsid w:val="00DF2A09"/>
    <w:rsid w:val="00DF2CD1"/>
    <w:rsid w:val="00DF353F"/>
    <w:rsid w:val="00DF4887"/>
    <w:rsid w:val="00DF6800"/>
    <w:rsid w:val="00DF6C52"/>
    <w:rsid w:val="00DF6DF6"/>
    <w:rsid w:val="00DF7EB8"/>
    <w:rsid w:val="00E00252"/>
    <w:rsid w:val="00E00A6C"/>
    <w:rsid w:val="00E01779"/>
    <w:rsid w:val="00E0194D"/>
    <w:rsid w:val="00E02914"/>
    <w:rsid w:val="00E02ACA"/>
    <w:rsid w:val="00E02CAF"/>
    <w:rsid w:val="00E02CC6"/>
    <w:rsid w:val="00E03114"/>
    <w:rsid w:val="00E0342C"/>
    <w:rsid w:val="00E04424"/>
    <w:rsid w:val="00E0476C"/>
    <w:rsid w:val="00E04B1C"/>
    <w:rsid w:val="00E04C8D"/>
    <w:rsid w:val="00E05DD4"/>
    <w:rsid w:val="00E0758A"/>
    <w:rsid w:val="00E07EE7"/>
    <w:rsid w:val="00E132D2"/>
    <w:rsid w:val="00E13C5A"/>
    <w:rsid w:val="00E14699"/>
    <w:rsid w:val="00E14F41"/>
    <w:rsid w:val="00E14FD5"/>
    <w:rsid w:val="00E15E5C"/>
    <w:rsid w:val="00E15F0A"/>
    <w:rsid w:val="00E16BCF"/>
    <w:rsid w:val="00E173E9"/>
    <w:rsid w:val="00E2050C"/>
    <w:rsid w:val="00E2148E"/>
    <w:rsid w:val="00E22ABB"/>
    <w:rsid w:val="00E23883"/>
    <w:rsid w:val="00E23AF2"/>
    <w:rsid w:val="00E242BF"/>
    <w:rsid w:val="00E243AB"/>
    <w:rsid w:val="00E27208"/>
    <w:rsid w:val="00E27D9F"/>
    <w:rsid w:val="00E30001"/>
    <w:rsid w:val="00E30374"/>
    <w:rsid w:val="00E309B8"/>
    <w:rsid w:val="00E31240"/>
    <w:rsid w:val="00E31272"/>
    <w:rsid w:val="00E313E7"/>
    <w:rsid w:val="00E31EF6"/>
    <w:rsid w:val="00E32C04"/>
    <w:rsid w:val="00E32E81"/>
    <w:rsid w:val="00E32F28"/>
    <w:rsid w:val="00E333D8"/>
    <w:rsid w:val="00E33B2F"/>
    <w:rsid w:val="00E34470"/>
    <w:rsid w:val="00E35603"/>
    <w:rsid w:val="00E35979"/>
    <w:rsid w:val="00E359AD"/>
    <w:rsid w:val="00E35A60"/>
    <w:rsid w:val="00E35F91"/>
    <w:rsid w:val="00E360FB"/>
    <w:rsid w:val="00E363E4"/>
    <w:rsid w:val="00E36592"/>
    <w:rsid w:val="00E3663E"/>
    <w:rsid w:val="00E36931"/>
    <w:rsid w:val="00E376BC"/>
    <w:rsid w:val="00E37904"/>
    <w:rsid w:val="00E40418"/>
    <w:rsid w:val="00E413CE"/>
    <w:rsid w:val="00E41947"/>
    <w:rsid w:val="00E4195D"/>
    <w:rsid w:val="00E42408"/>
    <w:rsid w:val="00E42730"/>
    <w:rsid w:val="00E42907"/>
    <w:rsid w:val="00E42F9D"/>
    <w:rsid w:val="00E437D7"/>
    <w:rsid w:val="00E44F3F"/>
    <w:rsid w:val="00E4508F"/>
    <w:rsid w:val="00E457D9"/>
    <w:rsid w:val="00E45D7A"/>
    <w:rsid w:val="00E4678B"/>
    <w:rsid w:val="00E47703"/>
    <w:rsid w:val="00E47F63"/>
    <w:rsid w:val="00E500A0"/>
    <w:rsid w:val="00E5011A"/>
    <w:rsid w:val="00E509BA"/>
    <w:rsid w:val="00E525D8"/>
    <w:rsid w:val="00E526EB"/>
    <w:rsid w:val="00E52EA4"/>
    <w:rsid w:val="00E534D2"/>
    <w:rsid w:val="00E53F80"/>
    <w:rsid w:val="00E54642"/>
    <w:rsid w:val="00E54E00"/>
    <w:rsid w:val="00E55525"/>
    <w:rsid w:val="00E5617C"/>
    <w:rsid w:val="00E565A3"/>
    <w:rsid w:val="00E5749D"/>
    <w:rsid w:val="00E57708"/>
    <w:rsid w:val="00E577EF"/>
    <w:rsid w:val="00E61494"/>
    <w:rsid w:val="00E62557"/>
    <w:rsid w:val="00E62BF7"/>
    <w:rsid w:val="00E62DB0"/>
    <w:rsid w:val="00E63215"/>
    <w:rsid w:val="00E6345B"/>
    <w:rsid w:val="00E65688"/>
    <w:rsid w:val="00E662F6"/>
    <w:rsid w:val="00E66DA4"/>
    <w:rsid w:val="00E702D3"/>
    <w:rsid w:val="00E70653"/>
    <w:rsid w:val="00E70EBF"/>
    <w:rsid w:val="00E7146C"/>
    <w:rsid w:val="00E71EE8"/>
    <w:rsid w:val="00E72C5C"/>
    <w:rsid w:val="00E72ECB"/>
    <w:rsid w:val="00E7317A"/>
    <w:rsid w:val="00E73292"/>
    <w:rsid w:val="00E733DB"/>
    <w:rsid w:val="00E736F4"/>
    <w:rsid w:val="00E7379A"/>
    <w:rsid w:val="00E73EE0"/>
    <w:rsid w:val="00E74CE4"/>
    <w:rsid w:val="00E75376"/>
    <w:rsid w:val="00E75800"/>
    <w:rsid w:val="00E75BBE"/>
    <w:rsid w:val="00E7641F"/>
    <w:rsid w:val="00E7732D"/>
    <w:rsid w:val="00E800CA"/>
    <w:rsid w:val="00E804DA"/>
    <w:rsid w:val="00E80872"/>
    <w:rsid w:val="00E8174B"/>
    <w:rsid w:val="00E81756"/>
    <w:rsid w:val="00E83736"/>
    <w:rsid w:val="00E83E97"/>
    <w:rsid w:val="00E8458B"/>
    <w:rsid w:val="00E85AA3"/>
    <w:rsid w:val="00E86E08"/>
    <w:rsid w:val="00E86F1A"/>
    <w:rsid w:val="00E8701C"/>
    <w:rsid w:val="00E90C58"/>
    <w:rsid w:val="00E92602"/>
    <w:rsid w:val="00E93BE3"/>
    <w:rsid w:val="00E95F89"/>
    <w:rsid w:val="00E95FB8"/>
    <w:rsid w:val="00E96967"/>
    <w:rsid w:val="00E96EB8"/>
    <w:rsid w:val="00E973C3"/>
    <w:rsid w:val="00E97B80"/>
    <w:rsid w:val="00E97F22"/>
    <w:rsid w:val="00EA0452"/>
    <w:rsid w:val="00EA0ED6"/>
    <w:rsid w:val="00EA13CF"/>
    <w:rsid w:val="00EA1ED3"/>
    <w:rsid w:val="00EA25FF"/>
    <w:rsid w:val="00EA2661"/>
    <w:rsid w:val="00EA2E1B"/>
    <w:rsid w:val="00EA2EAD"/>
    <w:rsid w:val="00EA45D6"/>
    <w:rsid w:val="00EA48F3"/>
    <w:rsid w:val="00EA4E86"/>
    <w:rsid w:val="00EA5607"/>
    <w:rsid w:val="00EA5C80"/>
    <w:rsid w:val="00EA68B8"/>
    <w:rsid w:val="00EA69D4"/>
    <w:rsid w:val="00EA6EA8"/>
    <w:rsid w:val="00EA6EE3"/>
    <w:rsid w:val="00EA732C"/>
    <w:rsid w:val="00EA7484"/>
    <w:rsid w:val="00EA79C3"/>
    <w:rsid w:val="00EB0134"/>
    <w:rsid w:val="00EB0978"/>
    <w:rsid w:val="00EB19D7"/>
    <w:rsid w:val="00EB1D8B"/>
    <w:rsid w:val="00EB3CC7"/>
    <w:rsid w:val="00EB48EA"/>
    <w:rsid w:val="00EB5511"/>
    <w:rsid w:val="00EB5C67"/>
    <w:rsid w:val="00EC059B"/>
    <w:rsid w:val="00EC2F24"/>
    <w:rsid w:val="00EC32E9"/>
    <w:rsid w:val="00EC36EF"/>
    <w:rsid w:val="00EC36F2"/>
    <w:rsid w:val="00EC3E11"/>
    <w:rsid w:val="00EC42B7"/>
    <w:rsid w:val="00EC452F"/>
    <w:rsid w:val="00EC47EB"/>
    <w:rsid w:val="00EC4A1C"/>
    <w:rsid w:val="00EC680A"/>
    <w:rsid w:val="00EC7968"/>
    <w:rsid w:val="00EC7A97"/>
    <w:rsid w:val="00EC7D6C"/>
    <w:rsid w:val="00ED0153"/>
    <w:rsid w:val="00ED1A8C"/>
    <w:rsid w:val="00ED23AE"/>
    <w:rsid w:val="00ED3AB3"/>
    <w:rsid w:val="00ED6168"/>
    <w:rsid w:val="00ED6333"/>
    <w:rsid w:val="00ED7308"/>
    <w:rsid w:val="00EE089F"/>
    <w:rsid w:val="00EE18FB"/>
    <w:rsid w:val="00EE25D7"/>
    <w:rsid w:val="00EE3A53"/>
    <w:rsid w:val="00EE3ADB"/>
    <w:rsid w:val="00EE65C5"/>
    <w:rsid w:val="00EE7157"/>
    <w:rsid w:val="00EF00C2"/>
    <w:rsid w:val="00EF0A3D"/>
    <w:rsid w:val="00EF0A8A"/>
    <w:rsid w:val="00EF35D7"/>
    <w:rsid w:val="00EF45FE"/>
    <w:rsid w:val="00EF4A6A"/>
    <w:rsid w:val="00EF50A4"/>
    <w:rsid w:val="00EF661A"/>
    <w:rsid w:val="00EF7D13"/>
    <w:rsid w:val="00EF7D4F"/>
    <w:rsid w:val="00F0101B"/>
    <w:rsid w:val="00F04173"/>
    <w:rsid w:val="00F04255"/>
    <w:rsid w:val="00F04BD8"/>
    <w:rsid w:val="00F05518"/>
    <w:rsid w:val="00F05DC8"/>
    <w:rsid w:val="00F10377"/>
    <w:rsid w:val="00F11C3F"/>
    <w:rsid w:val="00F122E4"/>
    <w:rsid w:val="00F13428"/>
    <w:rsid w:val="00F144FF"/>
    <w:rsid w:val="00F1506E"/>
    <w:rsid w:val="00F15094"/>
    <w:rsid w:val="00F15170"/>
    <w:rsid w:val="00F154A7"/>
    <w:rsid w:val="00F15869"/>
    <w:rsid w:val="00F161A7"/>
    <w:rsid w:val="00F16A67"/>
    <w:rsid w:val="00F17FBD"/>
    <w:rsid w:val="00F200E7"/>
    <w:rsid w:val="00F2027D"/>
    <w:rsid w:val="00F20A2B"/>
    <w:rsid w:val="00F20D21"/>
    <w:rsid w:val="00F20D2F"/>
    <w:rsid w:val="00F23580"/>
    <w:rsid w:val="00F24035"/>
    <w:rsid w:val="00F2415B"/>
    <w:rsid w:val="00F247B7"/>
    <w:rsid w:val="00F24EE4"/>
    <w:rsid w:val="00F2569B"/>
    <w:rsid w:val="00F25BC6"/>
    <w:rsid w:val="00F26128"/>
    <w:rsid w:val="00F26568"/>
    <w:rsid w:val="00F26C0E"/>
    <w:rsid w:val="00F26CC7"/>
    <w:rsid w:val="00F26F8C"/>
    <w:rsid w:val="00F30253"/>
    <w:rsid w:val="00F31B5C"/>
    <w:rsid w:val="00F33815"/>
    <w:rsid w:val="00F34A86"/>
    <w:rsid w:val="00F34EA4"/>
    <w:rsid w:val="00F3522C"/>
    <w:rsid w:val="00F36500"/>
    <w:rsid w:val="00F40C96"/>
    <w:rsid w:val="00F4172F"/>
    <w:rsid w:val="00F41A82"/>
    <w:rsid w:val="00F41E3E"/>
    <w:rsid w:val="00F44157"/>
    <w:rsid w:val="00F4422E"/>
    <w:rsid w:val="00F44AC5"/>
    <w:rsid w:val="00F44DE3"/>
    <w:rsid w:val="00F44E07"/>
    <w:rsid w:val="00F4542C"/>
    <w:rsid w:val="00F45AA6"/>
    <w:rsid w:val="00F464C2"/>
    <w:rsid w:val="00F4718B"/>
    <w:rsid w:val="00F47813"/>
    <w:rsid w:val="00F479F5"/>
    <w:rsid w:val="00F511F6"/>
    <w:rsid w:val="00F51A8D"/>
    <w:rsid w:val="00F52597"/>
    <w:rsid w:val="00F52E31"/>
    <w:rsid w:val="00F5304F"/>
    <w:rsid w:val="00F545AA"/>
    <w:rsid w:val="00F54ED2"/>
    <w:rsid w:val="00F560C7"/>
    <w:rsid w:val="00F57440"/>
    <w:rsid w:val="00F574E3"/>
    <w:rsid w:val="00F60704"/>
    <w:rsid w:val="00F61797"/>
    <w:rsid w:val="00F634E0"/>
    <w:rsid w:val="00F65331"/>
    <w:rsid w:val="00F6544C"/>
    <w:rsid w:val="00F6626E"/>
    <w:rsid w:val="00F66726"/>
    <w:rsid w:val="00F6697A"/>
    <w:rsid w:val="00F66991"/>
    <w:rsid w:val="00F66A2F"/>
    <w:rsid w:val="00F67F43"/>
    <w:rsid w:val="00F67F72"/>
    <w:rsid w:val="00F71753"/>
    <w:rsid w:val="00F71E3E"/>
    <w:rsid w:val="00F724D2"/>
    <w:rsid w:val="00F7256E"/>
    <w:rsid w:val="00F735BD"/>
    <w:rsid w:val="00F7451B"/>
    <w:rsid w:val="00F76920"/>
    <w:rsid w:val="00F7746A"/>
    <w:rsid w:val="00F7774F"/>
    <w:rsid w:val="00F80337"/>
    <w:rsid w:val="00F80FE3"/>
    <w:rsid w:val="00F81118"/>
    <w:rsid w:val="00F81B3C"/>
    <w:rsid w:val="00F81CBA"/>
    <w:rsid w:val="00F820B9"/>
    <w:rsid w:val="00F82935"/>
    <w:rsid w:val="00F82C61"/>
    <w:rsid w:val="00F82C8E"/>
    <w:rsid w:val="00F83463"/>
    <w:rsid w:val="00F842F0"/>
    <w:rsid w:val="00F84970"/>
    <w:rsid w:val="00F84CB9"/>
    <w:rsid w:val="00F84FF7"/>
    <w:rsid w:val="00F86651"/>
    <w:rsid w:val="00F90CAB"/>
    <w:rsid w:val="00F9154B"/>
    <w:rsid w:val="00F9194B"/>
    <w:rsid w:val="00F91BE6"/>
    <w:rsid w:val="00F91CD9"/>
    <w:rsid w:val="00F9402C"/>
    <w:rsid w:val="00F9422F"/>
    <w:rsid w:val="00F94528"/>
    <w:rsid w:val="00F948DF"/>
    <w:rsid w:val="00F95853"/>
    <w:rsid w:val="00F96739"/>
    <w:rsid w:val="00FA0BE3"/>
    <w:rsid w:val="00FA33BA"/>
    <w:rsid w:val="00FA368C"/>
    <w:rsid w:val="00FA3BEF"/>
    <w:rsid w:val="00FA3E4C"/>
    <w:rsid w:val="00FA46DF"/>
    <w:rsid w:val="00FA4A1E"/>
    <w:rsid w:val="00FA5CD8"/>
    <w:rsid w:val="00FA612F"/>
    <w:rsid w:val="00FA674E"/>
    <w:rsid w:val="00FA79BA"/>
    <w:rsid w:val="00FB0B2D"/>
    <w:rsid w:val="00FB0D2D"/>
    <w:rsid w:val="00FB20B3"/>
    <w:rsid w:val="00FB26E5"/>
    <w:rsid w:val="00FB29E6"/>
    <w:rsid w:val="00FB2BBD"/>
    <w:rsid w:val="00FB3582"/>
    <w:rsid w:val="00FB3C30"/>
    <w:rsid w:val="00FB4A5F"/>
    <w:rsid w:val="00FC25C6"/>
    <w:rsid w:val="00FC275F"/>
    <w:rsid w:val="00FC2E8E"/>
    <w:rsid w:val="00FC31E8"/>
    <w:rsid w:val="00FC3D03"/>
    <w:rsid w:val="00FC3D51"/>
    <w:rsid w:val="00FC3FA1"/>
    <w:rsid w:val="00FC40BA"/>
    <w:rsid w:val="00FC5D26"/>
    <w:rsid w:val="00FC7C1E"/>
    <w:rsid w:val="00FD0770"/>
    <w:rsid w:val="00FD0DA7"/>
    <w:rsid w:val="00FD0E27"/>
    <w:rsid w:val="00FD1690"/>
    <w:rsid w:val="00FD2A14"/>
    <w:rsid w:val="00FD3554"/>
    <w:rsid w:val="00FD48CA"/>
    <w:rsid w:val="00FD51FA"/>
    <w:rsid w:val="00FD5275"/>
    <w:rsid w:val="00FD5C34"/>
    <w:rsid w:val="00FD5F37"/>
    <w:rsid w:val="00FD64D8"/>
    <w:rsid w:val="00FD6635"/>
    <w:rsid w:val="00FD7384"/>
    <w:rsid w:val="00FD78C3"/>
    <w:rsid w:val="00FD7C1B"/>
    <w:rsid w:val="00FE25B6"/>
    <w:rsid w:val="00FE2628"/>
    <w:rsid w:val="00FE2932"/>
    <w:rsid w:val="00FE348F"/>
    <w:rsid w:val="00FE3C2C"/>
    <w:rsid w:val="00FE41FA"/>
    <w:rsid w:val="00FE517A"/>
    <w:rsid w:val="00FE62CD"/>
    <w:rsid w:val="00FE7103"/>
    <w:rsid w:val="00FE78E4"/>
    <w:rsid w:val="00FF047F"/>
    <w:rsid w:val="00FF07E7"/>
    <w:rsid w:val="00FF139B"/>
    <w:rsid w:val="00FF1B07"/>
    <w:rsid w:val="00FF3028"/>
    <w:rsid w:val="00FF36D3"/>
    <w:rsid w:val="00FF3FBA"/>
    <w:rsid w:val="00FF5519"/>
    <w:rsid w:val="00FF5663"/>
    <w:rsid w:val="00FF72AB"/>
    <w:rsid w:val="00FF74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92D44C"/>
  <w15:docId w15:val="{6014C560-59BE-45FB-AADD-622255828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F49"/>
    <w:pPr>
      <w:jc w:val="both"/>
    </w:pPr>
    <w:rPr>
      <w:rFonts w:ascii="Arial" w:eastAsia="Times New Roman" w:hAnsi="Arial"/>
      <w:spacing w:val="-5"/>
      <w:lang w:eastAsia="en-US"/>
    </w:rPr>
  </w:style>
  <w:style w:type="paragraph" w:styleId="Ttulo1">
    <w:name w:val="heading 1"/>
    <w:basedOn w:val="Ttulo-base"/>
    <w:next w:val="Textoindependiente"/>
    <w:link w:val="Ttulo1Car"/>
    <w:uiPriority w:val="9"/>
    <w:qFormat/>
    <w:pPr>
      <w:spacing w:after="220"/>
      <w:jc w:val="left"/>
      <w:outlineLvl w:val="0"/>
    </w:pPr>
  </w:style>
  <w:style w:type="paragraph" w:styleId="Ttulo2">
    <w:name w:val="heading 2"/>
    <w:basedOn w:val="Ttulo-base"/>
    <w:next w:val="Textoindependiente"/>
    <w:qFormat/>
    <w:pPr>
      <w:jc w:val="left"/>
      <w:outlineLvl w:val="1"/>
    </w:pPr>
    <w:rPr>
      <w:sz w:val="18"/>
    </w:rPr>
  </w:style>
  <w:style w:type="paragraph" w:styleId="Ttulo3">
    <w:name w:val="heading 3"/>
    <w:basedOn w:val="Ttulo-base"/>
    <w:next w:val="Textoindependiente"/>
    <w:link w:val="Ttulo3Car"/>
    <w:qFormat/>
    <w:pPr>
      <w:spacing w:after="220"/>
      <w:jc w:val="left"/>
      <w:outlineLvl w:val="2"/>
    </w:pPr>
    <w:rPr>
      <w:rFonts w:ascii="Arial" w:hAnsi="Arial"/>
      <w:sz w:val="22"/>
    </w:rPr>
  </w:style>
  <w:style w:type="paragraph" w:styleId="Ttulo4">
    <w:name w:val="heading 4"/>
    <w:basedOn w:val="Ttulo-base"/>
    <w:next w:val="Textoindependiente"/>
    <w:link w:val="Ttulo4Car"/>
    <w:qFormat/>
    <w:pPr>
      <w:ind w:left="360"/>
      <w:outlineLvl w:val="3"/>
    </w:pPr>
    <w:rPr>
      <w:spacing w:val="-5"/>
      <w:sz w:val="18"/>
    </w:rPr>
  </w:style>
  <w:style w:type="paragraph" w:styleId="Ttulo5">
    <w:name w:val="heading 5"/>
    <w:basedOn w:val="Ttulo-base"/>
    <w:next w:val="Textoindependiente"/>
    <w:link w:val="Ttulo5Car"/>
    <w:qFormat/>
    <w:pPr>
      <w:ind w:left="720"/>
      <w:outlineLvl w:val="4"/>
    </w:pPr>
    <w:rPr>
      <w:spacing w:val="-5"/>
      <w:sz w:val="18"/>
    </w:rPr>
  </w:style>
  <w:style w:type="paragraph" w:styleId="Ttulo6">
    <w:name w:val="heading 6"/>
    <w:basedOn w:val="Ttulo-base"/>
    <w:next w:val="Textoindependiente"/>
    <w:link w:val="Ttulo6Car"/>
    <w:qFormat/>
    <w:pPr>
      <w:ind w:left="1080"/>
      <w:outlineLvl w:val="5"/>
    </w:pPr>
    <w:rPr>
      <w:spacing w:val="-5"/>
      <w:sz w:val="18"/>
    </w:rPr>
  </w:style>
  <w:style w:type="paragraph" w:styleId="Ttulo7">
    <w:name w:val="heading 7"/>
    <w:basedOn w:val="Normal"/>
    <w:next w:val="Normal"/>
    <w:qFormat/>
    <w:pPr>
      <w:spacing w:before="240" w:after="60"/>
      <w:outlineLvl w:val="6"/>
    </w:pPr>
    <w:rPr>
      <w:rFonts w:ascii="Times New Roman" w:hAnsi="Times New Roman"/>
      <w:sz w:val="24"/>
      <w:szCs w:val="24"/>
    </w:rPr>
  </w:style>
  <w:style w:type="paragraph" w:styleId="Ttulo8">
    <w:name w:val="heading 8"/>
    <w:basedOn w:val="Normal"/>
    <w:next w:val="Normal"/>
    <w:qFormat/>
    <w:pPr>
      <w:spacing w:before="240" w:after="60"/>
      <w:outlineLvl w:val="7"/>
    </w:pPr>
    <w:rPr>
      <w:rFonts w:ascii="Times New Roman" w:hAnsi="Times New Roman"/>
      <w:i/>
      <w:iCs/>
      <w:sz w:val="24"/>
      <w:szCs w:val="24"/>
    </w:rPr>
  </w:style>
  <w:style w:type="paragraph" w:styleId="Ttulo9">
    <w:name w:val="heading 9"/>
    <w:basedOn w:val="Normal"/>
    <w:next w:val="Normal"/>
    <w:qFormat/>
    <w:p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base">
    <w:name w:val="Título - base"/>
    <w:basedOn w:val="Normal"/>
    <w:next w:val="Textoindependiente"/>
    <w:pPr>
      <w:keepNext/>
      <w:keepLines/>
      <w:spacing w:line="220" w:lineRule="atLeast"/>
    </w:pPr>
    <w:rPr>
      <w:rFonts w:ascii="Arial Black" w:hAnsi="Arial Black"/>
      <w:spacing w:val="-10"/>
      <w:kern w:val="20"/>
    </w:rPr>
  </w:style>
  <w:style w:type="paragraph" w:styleId="Textoindependiente">
    <w:name w:val="Body Text"/>
    <w:basedOn w:val="Normal"/>
    <w:link w:val="TextoindependienteCar"/>
    <w:semiHidden/>
    <w:pPr>
      <w:spacing w:after="220" w:line="220" w:lineRule="atLeast"/>
    </w:pPr>
  </w:style>
  <w:style w:type="character" w:customStyle="1" w:styleId="TextoindependienteCar">
    <w:name w:val="Texto independiente Car"/>
    <w:basedOn w:val="Fuentedeprrafopredeter"/>
    <w:link w:val="Textoindependiente"/>
    <w:semiHidden/>
    <w:rsid w:val="00C07CDF"/>
    <w:rPr>
      <w:rFonts w:ascii="Arial" w:eastAsia="Times New Roman" w:hAnsi="Arial"/>
      <w:spacing w:val="-5"/>
      <w:lang w:eastAsia="en-US"/>
    </w:rPr>
  </w:style>
  <w:style w:type="paragraph" w:customStyle="1" w:styleId="Lneadeatencin">
    <w:name w:val="Línea de atención"/>
    <w:basedOn w:val="Normal"/>
    <w:next w:val="Saludo"/>
    <w:pPr>
      <w:spacing w:before="220" w:after="220" w:line="220" w:lineRule="atLeast"/>
    </w:pPr>
  </w:style>
  <w:style w:type="paragraph" w:styleId="Saludo">
    <w:name w:val="Salutation"/>
    <w:basedOn w:val="Normal"/>
    <w:next w:val="Lneadeasunto"/>
    <w:semiHidden/>
    <w:pPr>
      <w:spacing w:before="220" w:after="220" w:line="220" w:lineRule="atLeast"/>
      <w:jc w:val="left"/>
    </w:pPr>
  </w:style>
  <w:style w:type="paragraph" w:customStyle="1" w:styleId="Lneadeasunto">
    <w:name w:val="Línea de asunto"/>
    <w:basedOn w:val="Normal"/>
    <w:next w:val="Textoindependiente"/>
    <w:pPr>
      <w:spacing w:after="220" w:line="220" w:lineRule="atLeast"/>
      <w:jc w:val="left"/>
    </w:pPr>
    <w:rPr>
      <w:rFonts w:ascii="Arial Black" w:hAnsi="Arial Black"/>
      <w:spacing w:val="-10"/>
    </w:rPr>
  </w:style>
  <w:style w:type="paragraph" w:customStyle="1" w:styleId="ListaCC">
    <w:name w:val="Lista CC."/>
    <w:basedOn w:val="Normal"/>
    <w:pPr>
      <w:keepLines/>
      <w:spacing w:line="220" w:lineRule="atLeast"/>
      <w:ind w:left="360" w:hanging="360"/>
    </w:pPr>
  </w:style>
  <w:style w:type="paragraph" w:styleId="Cierre">
    <w:name w:val="Closing"/>
    <w:basedOn w:val="Normal"/>
    <w:next w:val="Firma"/>
    <w:semiHidden/>
    <w:pPr>
      <w:keepNext/>
      <w:spacing w:after="60" w:line="220" w:lineRule="atLeast"/>
    </w:pPr>
  </w:style>
  <w:style w:type="paragraph" w:styleId="Firma">
    <w:name w:val="Signature"/>
    <w:basedOn w:val="Normal"/>
    <w:next w:val="Firmapuesto"/>
    <w:semiHidden/>
    <w:pPr>
      <w:keepNext/>
      <w:spacing w:before="880" w:line="220" w:lineRule="atLeast"/>
      <w:jc w:val="left"/>
    </w:pPr>
  </w:style>
  <w:style w:type="paragraph" w:customStyle="1" w:styleId="Firmapuesto">
    <w:name w:val="Firma puesto"/>
    <w:basedOn w:val="Firma"/>
    <w:next w:val="Firmaorganizacin"/>
    <w:pPr>
      <w:spacing w:before="0"/>
    </w:pPr>
  </w:style>
  <w:style w:type="paragraph" w:customStyle="1" w:styleId="Firmaorganizacin">
    <w:name w:val="Firma organización"/>
    <w:basedOn w:val="Firma"/>
    <w:next w:val="Inicialesdereferencia"/>
    <w:pPr>
      <w:spacing w:before="0"/>
    </w:pPr>
  </w:style>
  <w:style w:type="paragraph" w:customStyle="1" w:styleId="Inicialesdereferencia">
    <w:name w:val="Iniciales de referencia"/>
    <w:basedOn w:val="Normal"/>
    <w:next w:val="Documentoadjunto"/>
    <w:pPr>
      <w:keepNext/>
      <w:keepLines/>
      <w:spacing w:before="220" w:line="220" w:lineRule="atLeast"/>
    </w:pPr>
  </w:style>
  <w:style w:type="paragraph" w:customStyle="1" w:styleId="Documentoadjunto">
    <w:name w:val="Documento adjunto"/>
    <w:basedOn w:val="Normal"/>
    <w:next w:val="ListaCC"/>
    <w:pPr>
      <w:keepNext/>
      <w:keepLines/>
      <w:spacing w:after="220" w:line="220" w:lineRule="atLeast"/>
    </w:pPr>
  </w:style>
  <w:style w:type="paragraph" w:customStyle="1" w:styleId="Organizacin">
    <w:name w:val="Organización"/>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Fecha">
    <w:name w:val="Date"/>
    <w:basedOn w:val="Normal"/>
    <w:next w:val="Nombredireccininterior"/>
    <w:semiHidden/>
    <w:pPr>
      <w:spacing w:after="220" w:line="220" w:lineRule="atLeast"/>
    </w:pPr>
  </w:style>
  <w:style w:type="paragraph" w:customStyle="1" w:styleId="Nombredireccininterior">
    <w:name w:val="Nombre dirección interior"/>
    <w:basedOn w:val="Direccininterior"/>
    <w:next w:val="Direccininterior"/>
    <w:pPr>
      <w:spacing w:before="220"/>
    </w:pPr>
  </w:style>
  <w:style w:type="paragraph" w:customStyle="1" w:styleId="Direccininterior">
    <w:name w:val="Dirección interior"/>
    <w:basedOn w:val="Normal"/>
    <w:pPr>
      <w:spacing w:line="220" w:lineRule="atLeast"/>
    </w:pPr>
  </w:style>
  <w:style w:type="character" w:styleId="nfasis">
    <w:name w:val="Emphasis"/>
    <w:qFormat/>
    <w:rPr>
      <w:rFonts w:ascii="Arial Black" w:hAnsi="Arial Black"/>
      <w:sz w:val="18"/>
      <w:lang w:bidi="ar-SA"/>
    </w:rPr>
  </w:style>
  <w:style w:type="paragraph" w:customStyle="1" w:styleId="Instruccionesdecorreo">
    <w:name w:val="Instrucciones de correo"/>
    <w:basedOn w:val="Normal"/>
    <w:next w:val="Nombredireccininterior"/>
    <w:pPr>
      <w:spacing w:after="220" w:line="220" w:lineRule="atLeast"/>
    </w:pPr>
    <w:rPr>
      <w:caps/>
    </w:rPr>
  </w:style>
  <w:style w:type="paragraph" w:customStyle="1" w:styleId="Lneadereferencia">
    <w:name w:val="Línea de referencia"/>
    <w:basedOn w:val="Normal"/>
    <w:next w:val="Instruccionesdecorreo"/>
    <w:pPr>
      <w:spacing w:after="220" w:line="220" w:lineRule="atLeast"/>
      <w:jc w:val="left"/>
    </w:pPr>
  </w:style>
  <w:style w:type="paragraph" w:customStyle="1" w:styleId="Remite">
    <w:name w:val="Remite"/>
    <w:basedOn w:val="Normal"/>
    <w:pPr>
      <w:keepLines/>
      <w:framePr w:w="4320" w:h="965" w:hSpace="187" w:vSpace="187" w:wrap="notBeside" w:vAnchor="page" w:hAnchor="margin" w:xAlign="right" w:y="966" w:anchorLock="1"/>
      <w:tabs>
        <w:tab w:val="left" w:pos="2160"/>
      </w:tabs>
      <w:spacing w:line="160" w:lineRule="atLeast"/>
      <w:jc w:val="left"/>
    </w:pPr>
    <w:rPr>
      <w:spacing w:val="0"/>
      <w:sz w:val="14"/>
    </w:rPr>
  </w:style>
  <w:style w:type="character" w:customStyle="1" w:styleId="Eslogan">
    <w:name w:val="Eslogan"/>
    <w:rPr>
      <w:rFonts w:ascii="Arial Black" w:hAnsi="Arial Black"/>
      <w:sz w:val="18"/>
      <w:lang w:val="es-ES" w:bidi="ar-SA"/>
    </w:rPr>
  </w:style>
  <w:style w:type="paragraph" w:styleId="Encabezado">
    <w:name w:val="header"/>
    <w:basedOn w:val="Normal"/>
    <w:link w:val="EncabezadoCar"/>
    <w:pPr>
      <w:tabs>
        <w:tab w:val="center" w:pos="4320"/>
        <w:tab w:val="right" w:pos="8640"/>
      </w:tabs>
    </w:pPr>
  </w:style>
  <w:style w:type="character" w:customStyle="1" w:styleId="EncabezadoCar">
    <w:name w:val="Encabezado Car"/>
    <w:link w:val="Encabezado"/>
    <w:uiPriority w:val="99"/>
    <w:rsid w:val="00E534D2"/>
    <w:rPr>
      <w:rFonts w:ascii="Arial" w:eastAsia="Times New Roman" w:hAnsi="Arial"/>
      <w:spacing w:val="-5"/>
      <w:lang w:val="es-ES" w:eastAsia="en-US" w:bidi="ar-SA"/>
    </w:rPr>
  </w:style>
  <w:style w:type="paragraph" w:styleId="Piedepgina">
    <w:name w:val="footer"/>
    <w:basedOn w:val="Normal"/>
    <w:link w:val="PiedepginaCar"/>
    <w:uiPriority w:val="99"/>
    <w:pPr>
      <w:tabs>
        <w:tab w:val="center" w:pos="4320"/>
        <w:tab w:val="right" w:pos="8640"/>
      </w:tabs>
    </w:pPr>
  </w:style>
  <w:style w:type="character" w:customStyle="1" w:styleId="PiedepginaCar">
    <w:name w:val="Pie de página Car"/>
    <w:basedOn w:val="Fuentedeprrafopredeter"/>
    <w:link w:val="Piedepgina"/>
    <w:uiPriority w:val="99"/>
    <w:rsid w:val="00181766"/>
    <w:rPr>
      <w:rFonts w:ascii="Arial" w:eastAsia="Times New Roman" w:hAnsi="Arial"/>
      <w:spacing w:val="-5"/>
      <w:lang w:eastAsia="en-US"/>
    </w:rPr>
  </w:style>
  <w:style w:type="paragraph" w:styleId="Lista">
    <w:name w:val="List"/>
    <w:basedOn w:val="Textoindependiente"/>
    <w:semiHidden/>
    <w:pPr>
      <w:ind w:left="360" w:hanging="360"/>
    </w:pPr>
  </w:style>
  <w:style w:type="paragraph" w:styleId="Listaconvietas">
    <w:name w:val="List Bullet"/>
    <w:basedOn w:val="Lista"/>
    <w:autoRedefine/>
    <w:semiHidden/>
    <w:pPr>
      <w:numPr>
        <w:numId w:val="3"/>
      </w:numPr>
    </w:pPr>
  </w:style>
  <w:style w:type="paragraph" w:styleId="Listaconnmeros">
    <w:name w:val="List Number"/>
    <w:basedOn w:val="Textoindependiente"/>
    <w:semiHidden/>
    <w:pPr>
      <w:numPr>
        <w:numId w:val="4"/>
      </w:numPr>
      <w:tabs>
        <w:tab w:val="clear" w:pos="360"/>
      </w:tabs>
      <w:ind w:left="1070"/>
    </w:pPr>
  </w:style>
  <w:style w:type="character" w:styleId="AcrnimoHTML">
    <w:name w:val="HTML Acronym"/>
    <w:basedOn w:val="Fuentedeprrafopredeter"/>
    <w:semiHidden/>
    <w:rPr>
      <w:lang w:val="es-ES" w:bidi="ar-SA"/>
    </w:rPr>
  </w:style>
  <w:style w:type="character" w:styleId="CitaHTML">
    <w:name w:val="HTML Cite"/>
    <w:semiHidden/>
    <w:rPr>
      <w:i/>
      <w:iCs/>
      <w:lang w:val="es-ES" w:bidi="ar-SA"/>
    </w:rPr>
  </w:style>
  <w:style w:type="character" w:styleId="CdigoHTML">
    <w:name w:val="HTML Code"/>
    <w:semiHidden/>
    <w:rPr>
      <w:rFonts w:ascii="Courier New" w:hAnsi="Courier New"/>
      <w:sz w:val="20"/>
      <w:szCs w:val="20"/>
      <w:lang w:val="es-ES" w:bidi="ar-SA"/>
    </w:rPr>
  </w:style>
  <w:style w:type="paragraph" w:styleId="Continuarlista">
    <w:name w:val="List Continue"/>
    <w:basedOn w:val="Normal"/>
    <w:semiHidden/>
    <w:pPr>
      <w:spacing w:after="120"/>
      <w:ind w:left="283"/>
    </w:pPr>
  </w:style>
  <w:style w:type="paragraph" w:styleId="Continuarlista2">
    <w:name w:val="List Continue 2"/>
    <w:basedOn w:val="Normal"/>
    <w:semiHidden/>
    <w:pPr>
      <w:spacing w:after="120"/>
      <w:ind w:left="566"/>
    </w:pPr>
  </w:style>
  <w:style w:type="paragraph" w:styleId="Continuarlista3">
    <w:name w:val="List Continue 3"/>
    <w:basedOn w:val="Normal"/>
    <w:semiHidden/>
    <w:pPr>
      <w:spacing w:after="120"/>
      <w:ind w:left="849"/>
    </w:pPr>
  </w:style>
  <w:style w:type="paragraph" w:styleId="Continuarlista4">
    <w:name w:val="List Continue 4"/>
    <w:basedOn w:val="Normal"/>
    <w:semiHidden/>
    <w:pPr>
      <w:spacing w:after="120"/>
      <w:ind w:left="1132"/>
    </w:pPr>
  </w:style>
  <w:style w:type="paragraph" w:styleId="Continuarlista5">
    <w:name w:val="List Continue 5"/>
    <w:basedOn w:val="Normal"/>
    <w:semiHidden/>
    <w:pPr>
      <w:spacing w:after="120"/>
      <w:ind w:left="1415"/>
    </w:pPr>
  </w:style>
  <w:style w:type="character" w:styleId="DefinicinHTML">
    <w:name w:val="HTML Definition"/>
    <w:semiHidden/>
    <w:rPr>
      <w:i/>
      <w:iCs/>
      <w:lang w:val="es-ES" w:bidi="ar-SA"/>
    </w:rPr>
  </w:style>
  <w:style w:type="paragraph" w:styleId="DireccinHTML">
    <w:name w:val="HTML Address"/>
    <w:basedOn w:val="Normal"/>
    <w:semiHidden/>
    <w:rPr>
      <w:i/>
      <w:iCs/>
    </w:rPr>
  </w:style>
  <w:style w:type="paragraph" w:styleId="Direccinsobre">
    <w:name w:val="envelope address"/>
    <w:basedOn w:val="Normal"/>
    <w:semiHidden/>
    <w:pPr>
      <w:framePr w:w="7920" w:h="1980" w:hRule="exact" w:hSpace="141" w:wrap="auto" w:hAnchor="page" w:xAlign="center" w:yAlign="bottom"/>
      <w:ind w:left="2880"/>
    </w:pPr>
    <w:rPr>
      <w:rFonts w:cs="Arial"/>
      <w:sz w:val="24"/>
      <w:szCs w:val="24"/>
    </w:rPr>
  </w:style>
  <w:style w:type="character" w:styleId="EjemplodeHTML">
    <w:name w:val="HTML Sample"/>
    <w:semiHidden/>
    <w:rPr>
      <w:rFonts w:ascii="Courier New" w:hAnsi="Courier New"/>
      <w:lang w:val="es-ES" w:bidi="ar-SA"/>
    </w:rPr>
  </w:style>
  <w:style w:type="paragraph" w:styleId="Encabezadodelista">
    <w:name w:val="toa heading"/>
    <w:basedOn w:val="Normal"/>
    <w:next w:val="Normal"/>
    <w:semiHidden/>
    <w:pPr>
      <w:spacing w:before="120"/>
    </w:pPr>
    <w:rPr>
      <w:rFonts w:cs="Arial"/>
      <w:b/>
      <w:bCs/>
      <w:sz w:val="24"/>
      <w:szCs w:val="24"/>
    </w:rPr>
  </w:style>
  <w:style w:type="paragraph" w:styleId="Encabezadodemensaje">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Encabezadodenota">
    <w:name w:val="Note Heading"/>
    <w:basedOn w:val="Normal"/>
    <w:next w:val="Normal"/>
    <w:semiHidden/>
  </w:style>
  <w:style w:type="paragraph" w:customStyle="1" w:styleId="Epgrafe">
    <w:name w:val="Epígrafe"/>
    <w:basedOn w:val="Normal"/>
    <w:next w:val="Normal"/>
    <w:qFormat/>
    <w:pPr>
      <w:spacing w:before="120" w:after="120"/>
    </w:pPr>
    <w:rPr>
      <w:b/>
      <w:bCs/>
    </w:rPr>
  </w:style>
  <w:style w:type="paragraph" w:styleId="Firmadecorreoelectrnico">
    <w:name w:val="E-mail Signature"/>
    <w:basedOn w:val="Normal"/>
    <w:semiHidden/>
  </w:style>
  <w:style w:type="character" w:styleId="Hipervnculo">
    <w:name w:val="Hyperlink"/>
    <w:uiPriority w:val="99"/>
    <w:rPr>
      <w:color w:val="0000FF"/>
      <w:u w:val="single"/>
      <w:lang w:val="es-ES" w:bidi="ar-SA"/>
    </w:rPr>
  </w:style>
  <w:style w:type="character" w:styleId="Hipervnculovisitado">
    <w:name w:val="FollowedHyperlink"/>
    <w:uiPriority w:val="99"/>
    <w:semiHidden/>
    <w:rPr>
      <w:color w:val="800080"/>
      <w:u w:val="single"/>
      <w:lang w:val="es-ES" w:bidi="ar-SA"/>
    </w:rPr>
  </w:style>
  <w:style w:type="paragraph" w:styleId="HTMLconformatoprevio">
    <w:name w:val="HTML Preformatted"/>
    <w:basedOn w:val="Normal"/>
    <w:semiHidden/>
    <w:rPr>
      <w:rFonts w:ascii="Courier New" w:hAnsi="Courier New" w:cs="Courier New"/>
    </w:rPr>
  </w:style>
  <w:style w:type="paragraph" w:styleId="ndice1">
    <w:name w:val="index 1"/>
    <w:basedOn w:val="Normal"/>
    <w:next w:val="Normal"/>
    <w:autoRedefine/>
    <w:semiHidden/>
    <w:pPr>
      <w:ind w:left="200" w:hanging="200"/>
    </w:pPr>
  </w:style>
  <w:style w:type="paragraph" w:styleId="ndice2">
    <w:name w:val="index 2"/>
    <w:basedOn w:val="Normal"/>
    <w:next w:val="Normal"/>
    <w:autoRedefine/>
    <w:semiHidden/>
    <w:pPr>
      <w:ind w:left="400" w:hanging="200"/>
    </w:pPr>
  </w:style>
  <w:style w:type="paragraph" w:styleId="ndice3">
    <w:name w:val="index 3"/>
    <w:basedOn w:val="Normal"/>
    <w:next w:val="Normal"/>
    <w:autoRedefine/>
    <w:semiHidden/>
    <w:pPr>
      <w:ind w:left="600" w:hanging="200"/>
    </w:pPr>
  </w:style>
  <w:style w:type="paragraph" w:styleId="ndice4">
    <w:name w:val="index 4"/>
    <w:basedOn w:val="Normal"/>
    <w:next w:val="Normal"/>
    <w:autoRedefine/>
    <w:semiHidden/>
    <w:pPr>
      <w:ind w:left="800" w:hanging="200"/>
    </w:pPr>
  </w:style>
  <w:style w:type="paragraph" w:styleId="ndice5">
    <w:name w:val="index 5"/>
    <w:basedOn w:val="Normal"/>
    <w:next w:val="Normal"/>
    <w:autoRedefine/>
    <w:semiHidden/>
    <w:pPr>
      <w:ind w:left="1000" w:hanging="200"/>
    </w:pPr>
  </w:style>
  <w:style w:type="paragraph" w:styleId="ndice6">
    <w:name w:val="index 6"/>
    <w:basedOn w:val="Normal"/>
    <w:next w:val="Normal"/>
    <w:autoRedefine/>
    <w:semiHidden/>
    <w:pPr>
      <w:ind w:left="1200" w:hanging="200"/>
    </w:pPr>
  </w:style>
  <w:style w:type="paragraph" w:styleId="ndice7">
    <w:name w:val="index 7"/>
    <w:basedOn w:val="Normal"/>
    <w:next w:val="Normal"/>
    <w:autoRedefine/>
    <w:semiHidden/>
    <w:pPr>
      <w:ind w:left="1400" w:hanging="200"/>
    </w:pPr>
  </w:style>
  <w:style w:type="paragraph" w:styleId="ndice8">
    <w:name w:val="index 8"/>
    <w:basedOn w:val="Normal"/>
    <w:next w:val="Normal"/>
    <w:autoRedefine/>
    <w:semiHidden/>
    <w:pPr>
      <w:ind w:left="1600" w:hanging="200"/>
    </w:pPr>
  </w:style>
  <w:style w:type="paragraph" w:styleId="ndice9">
    <w:name w:val="index 9"/>
    <w:basedOn w:val="Normal"/>
    <w:next w:val="Normal"/>
    <w:autoRedefine/>
    <w:semiHidden/>
    <w:pPr>
      <w:ind w:left="1800" w:hanging="200"/>
    </w:pPr>
  </w:style>
  <w:style w:type="paragraph" w:styleId="Lista2">
    <w:name w:val="List 2"/>
    <w:basedOn w:val="Normal"/>
    <w:semiHidden/>
    <w:pPr>
      <w:ind w:left="566" w:hanging="283"/>
    </w:pPr>
  </w:style>
  <w:style w:type="paragraph" w:styleId="Lista3">
    <w:name w:val="List 3"/>
    <w:basedOn w:val="Normal"/>
    <w:semiHidden/>
    <w:pPr>
      <w:ind w:left="849" w:hanging="283"/>
    </w:pPr>
  </w:style>
  <w:style w:type="paragraph" w:styleId="Lista4">
    <w:name w:val="List 4"/>
    <w:basedOn w:val="Normal"/>
    <w:semiHidden/>
    <w:pPr>
      <w:ind w:left="1132" w:hanging="283"/>
    </w:pPr>
  </w:style>
  <w:style w:type="paragraph" w:styleId="Lista5">
    <w:name w:val="List 5"/>
    <w:basedOn w:val="Normal"/>
    <w:semiHidden/>
    <w:pPr>
      <w:ind w:left="1415" w:hanging="283"/>
    </w:pPr>
  </w:style>
  <w:style w:type="paragraph" w:styleId="Listaconnmeros2">
    <w:name w:val="List Number 2"/>
    <w:basedOn w:val="Normal"/>
    <w:semiHidden/>
    <w:pPr>
      <w:numPr>
        <w:numId w:val="5"/>
      </w:numPr>
    </w:pPr>
  </w:style>
  <w:style w:type="paragraph" w:styleId="Listaconnmeros3">
    <w:name w:val="List Number 3"/>
    <w:basedOn w:val="Normal"/>
    <w:semiHidden/>
    <w:pPr>
      <w:numPr>
        <w:numId w:val="6"/>
      </w:numPr>
    </w:pPr>
  </w:style>
  <w:style w:type="paragraph" w:styleId="Listaconnmeros4">
    <w:name w:val="List Number 4"/>
    <w:basedOn w:val="Normal"/>
    <w:semiHidden/>
    <w:pPr>
      <w:numPr>
        <w:numId w:val="7"/>
      </w:numPr>
    </w:pPr>
  </w:style>
  <w:style w:type="paragraph" w:styleId="Listaconnmeros5">
    <w:name w:val="List Number 5"/>
    <w:basedOn w:val="Normal"/>
    <w:semiHidden/>
    <w:pPr>
      <w:numPr>
        <w:numId w:val="8"/>
      </w:numPr>
    </w:pPr>
  </w:style>
  <w:style w:type="paragraph" w:styleId="Listaconvietas2">
    <w:name w:val="List Bullet 2"/>
    <w:basedOn w:val="Normal"/>
    <w:autoRedefine/>
    <w:semiHidden/>
    <w:pPr>
      <w:numPr>
        <w:numId w:val="9"/>
      </w:numPr>
    </w:pPr>
  </w:style>
  <w:style w:type="paragraph" w:styleId="Listaconvietas3">
    <w:name w:val="List Bullet 3"/>
    <w:basedOn w:val="Normal"/>
    <w:autoRedefine/>
    <w:semiHidden/>
    <w:pPr>
      <w:numPr>
        <w:numId w:val="10"/>
      </w:numPr>
    </w:pPr>
  </w:style>
  <w:style w:type="paragraph" w:styleId="Listaconvietas4">
    <w:name w:val="List Bullet 4"/>
    <w:basedOn w:val="Normal"/>
    <w:autoRedefine/>
    <w:semiHidden/>
    <w:pPr>
      <w:numPr>
        <w:numId w:val="11"/>
      </w:numPr>
    </w:pPr>
  </w:style>
  <w:style w:type="paragraph" w:styleId="Listaconvietas5">
    <w:name w:val="List Bullet 5"/>
    <w:basedOn w:val="Normal"/>
    <w:autoRedefine/>
    <w:semiHidden/>
    <w:pPr>
      <w:numPr>
        <w:numId w:val="12"/>
      </w:numPr>
    </w:pPr>
  </w:style>
  <w:style w:type="paragraph" w:styleId="Mapadeldocumento">
    <w:name w:val="Document Map"/>
    <w:basedOn w:val="Normal"/>
    <w:semiHidden/>
    <w:pPr>
      <w:shd w:val="clear" w:color="auto" w:fill="000080"/>
    </w:pPr>
    <w:rPr>
      <w:rFonts w:ascii="Tahoma" w:hAnsi="Tahoma" w:cs="Tahoma"/>
    </w:rPr>
  </w:style>
  <w:style w:type="character" w:styleId="MquinadeescribirHTML">
    <w:name w:val="HTML Typewriter"/>
    <w:semiHidden/>
    <w:rPr>
      <w:rFonts w:ascii="Courier New" w:hAnsi="Courier New"/>
      <w:sz w:val="20"/>
      <w:szCs w:val="20"/>
      <w:lang w:val="es-ES" w:bidi="ar-SA"/>
    </w:rPr>
  </w:style>
  <w:style w:type="paragraph" w:styleId="NormalWeb">
    <w:name w:val="Normal (Web)"/>
    <w:basedOn w:val="Normal"/>
    <w:uiPriority w:val="99"/>
    <w:semiHidden/>
    <w:rPr>
      <w:rFonts w:ascii="Times New Roman" w:hAnsi="Times New Roman"/>
      <w:sz w:val="24"/>
      <w:szCs w:val="24"/>
    </w:rPr>
  </w:style>
  <w:style w:type="character" w:styleId="Nmerodelnea">
    <w:name w:val="line number"/>
    <w:basedOn w:val="Fuentedeprrafopredeter"/>
    <w:semiHidden/>
    <w:rPr>
      <w:lang w:val="es-ES" w:bidi="ar-SA"/>
    </w:rPr>
  </w:style>
  <w:style w:type="character" w:styleId="Nmerodepgina">
    <w:name w:val="page number"/>
    <w:basedOn w:val="Fuentedeprrafopredeter"/>
    <w:semiHidden/>
    <w:rPr>
      <w:lang w:val="es-ES" w:bidi="ar-SA"/>
    </w:rPr>
  </w:style>
  <w:style w:type="character" w:styleId="Refdecomentario">
    <w:name w:val="annotation reference"/>
    <w:semiHidden/>
    <w:rPr>
      <w:sz w:val="16"/>
      <w:szCs w:val="16"/>
      <w:lang w:val="es-ES" w:bidi="ar-SA"/>
    </w:rPr>
  </w:style>
  <w:style w:type="character" w:styleId="Refdenotaalfinal">
    <w:name w:val="endnote reference"/>
    <w:semiHidden/>
    <w:rPr>
      <w:vertAlign w:val="superscript"/>
      <w:lang w:val="es-ES" w:bidi="ar-SA"/>
    </w:rPr>
  </w:style>
  <w:style w:type="character" w:styleId="Refdenotaalpie">
    <w:name w:val="footnote reference"/>
    <w:uiPriority w:val="99"/>
    <w:semiHidden/>
    <w:rPr>
      <w:vertAlign w:val="superscript"/>
      <w:lang w:val="es-ES" w:bidi="ar-SA"/>
    </w:rPr>
  </w:style>
  <w:style w:type="paragraph" w:styleId="Remitedesobre">
    <w:name w:val="envelope return"/>
    <w:basedOn w:val="Normal"/>
    <w:semiHidden/>
    <w:rPr>
      <w:rFonts w:cs="Arial"/>
    </w:rPr>
  </w:style>
  <w:style w:type="paragraph" w:styleId="Sangra2detindependiente">
    <w:name w:val="Body Text Indent 2"/>
    <w:basedOn w:val="Normal"/>
    <w:semiHidden/>
    <w:pPr>
      <w:spacing w:after="120" w:line="480" w:lineRule="auto"/>
      <w:ind w:left="283"/>
    </w:pPr>
  </w:style>
  <w:style w:type="paragraph" w:styleId="Sangra3detindependiente">
    <w:name w:val="Body Text Indent 3"/>
    <w:basedOn w:val="Normal"/>
    <w:semiHidden/>
    <w:pPr>
      <w:spacing w:after="120"/>
      <w:ind w:left="283"/>
    </w:pPr>
    <w:rPr>
      <w:sz w:val="16"/>
      <w:szCs w:val="16"/>
    </w:rPr>
  </w:style>
  <w:style w:type="paragraph" w:styleId="Sangradetextonormal">
    <w:name w:val="Body Text Indent"/>
    <w:basedOn w:val="Normal"/>
    <w:semiHidden/>
    <w:pPr>
      <w:spacing w:after="120"/>
      <w:ind w:left="283"/>
    </w:pPr>
  </w:style>
  <w:style w:type="paragraph" w:styleId="Sangranormal">
    <w:name w:val="Normal Indent"/>
    <w:basedOn w:val="Normal"/>
    <w:semiHidden/>
    <w:pPr>
      <w:ind w:left="708"/>
    </w:pPr>
  </w:style>
  <w:style w:type="paragraph" w:styleId="Subttulo">
    <w:name w:val="Subtitle"/>
    <w:basedOn w:val="Normal"/>
    <w:link w:val="SubttuloCar"/>
    <w:qFormat/>
    <w:pPr>
      <w:spacing w:after="60"/>
      <w:jc w:val="center"/>
      <w:outlineLvl w:val="1"/>
    </w:pPr>
    <w:rPr>
      <w:rFonts w:cs="Arial"/>
      <w:sz w:val="24"/>
      <w:szCs w:val="24"/>
    </w:rPr>
  </w:style>
  <w:style w:type="paragraph" w:styleId="Tabladeilustraciones">
    <w:name w:val="table of figures"/>
    <w:basedOn w:val="Normal"/>
    <w:next w:val="Normal"/>
    <w:uiPriority w:val="99"/>
    <w:pPr>
      <w:ind w:left="400" w:hanging="400"/>
    </w:pPr>
  </w:style>
  <w:style w:type="paragraph" w:styleId="TDC1">
    <w:name w:val="toc 1"/>
    <w:basedOn w:val="Normal"/>
    <w:next w:val="Normal"/>
    <w:autoRedefine/>
    <w:uiPriority w:val="39"/>
  </w:style>
  <w:style w:type="paragraph" w:styleId="TDC2">
    <w:name w:val="toc 2"/>
    <w:basedOn w:val="Normal"/>
    <w:next w:val="Normal"/>
    <w:autoRedefine/>
    <w:uiPriority w:val="39"/>
    <w:pPr>
      <w:ind w:left="200"/>
    </w:pPr>
  </w:style>
  <w:style w:type="paragraph" w:styleId="TDC3">
    <w:name w:val="toc 3"/>
    <w:basedOn w:val="Normal"/>
    <w:next w:val="Normal"/>
    <w:autoRedefine/>
    <w:semiHidden/>
    <w:pPr>
      <w:ind w:left="400"/>
    </w:pPr>
  </w:style>
  <w:style w:type="paragraph" w:styleId="TDC4">
    <w:name w:val="toc 4"/>
    <w:basedOn w:val="Normal"/>
    <w:next w:val="Normal"/>
    <w:autoRedefine/>
    <w:semiHidden/>
    <w:pPr>
      <w:ind w:left="600"/>
    </w:pPr>
  </w:style>
  <w:style w:type="paragraph" w:styleId="TDC5">
    <w:name w:val="toc 5"/>
    <w:basedOn w:val="Normal"/>
    <w:next w:val="Normal"/>
    <w:autoRedefine/>
    <w:semiHidden/>
    <w:pPr>
      <w:ind w:left="800"/>
    </w:pPr>
  </w:style>
  <w:style w:type="paragraph" w:styleId="TDC6">
    <w:name w:val="toc 6"/>
    <w:basedOn w:val="Normal"/>
    <w:next w:val="Normal"/>
    <w:autoRedefine/>
    <w:semiHidden/>
    <w:pPr>
      <w:ind w:left="1000"/>
    </w:pPr>
  </w:style>
  <w:style w:type="paragraph" w:styleId="TDC7">
    <w:name w:val="toc 7"/>
    <w:basedOn w:val="Normal"/>
    <w:next w:val="Normal"/>
    <w:autoRedefine/>
    <w:semiHidden/>
    <w:pPr>
      <w:ind w:left="1200"/>
    </w:pPr>
  </w:style>
  <w:style w:type="paragraph" w:styleId="TDC8">
    <w:name w:val="toc 8"/>
    <w:basedOn w:val="Normal"/>
    <w:next w:val="Normal"/>
    <w:autoRedefine/>
    <w:semiHidden/>
    <w:pPr>
      <w:ind w:left="1400"/>
    </w:pPr>
  </w:style>
  <w:style w:type="paragraph" w:styleId="TDC9">
    <w:name w:val="toc 9"/>
    <w:basedOn w:val="Normal"/>
    <w:next w:val="Normal"/>
    <w:autoRedefine/>
    <w:semiHidden/>
    <w:pPr>
      <w:ind w:left="1600"/>
    </w:pPr>
  </w:style>
  <w:style w:type="character" w:styleId="TecladoHTML">
    <w:name w:val="HTML Keyboard"/>
    <w:semiHidden/>
    <w:rPr>
      <w:rFonts w:ascii="Courier New" w:hAnsi="Courier New"/>
      <w:sz w:val="20"/>
      <w:szCs w:val="20"/>
      <w:lang w:val="es-ES" w:bidi="ar-SA"/>
    </w:rPr>
  </w:style>
  <w:style w:type="paragraph" w:styleId="Textocomentario">
    <w:name w:val="annotation text"/>
    <w:basedOn w:val="Normal"/>
    <w:link w:val="TextocomentarioCar"/>
    <w:semiHidden/>
  </w:style>
  <w:style w:type="paragraph" w:styleId="Textoconsangra">
    <w:name w:val="table of authorities"/>
    <w:basedOn w:val="Normal"/>
    <w:next w:val="Normal"/>
    <w:semiHidden/>
    <w:pPr>
      <w:ind w:left="200" w:hanging="200"/>
    </w:pPr>
  </w:style>
  <w:style w:type="paragraph" w:styleId="Textodebloque">
    <w:name w:val="Block Text"/>
    <w:basedOn w:val="Normal"/>
    <w:semiHidden/>
    <w:pPr>
      <w:spacing w:after="120"/>
      <w:ind w:left="1440" w:right="1440"/>
    </w:pPr>
  </w:style>
  <w:style w:type="character" w:styleId="Textoennegrita">
    <w:name w:val="Strong"/>
    <w:uiPriority w:val="22"/>
    <w:qFormat/>
    <w:rPr>
      <w:b/>
      <w:bCs/>
      <w:lang w:val="es-ES" w:bidi="ar-SA"/>
    </w:rPr>
  </w:style>
  <w:style w:type="paragraph" w:styleId="Textoindependiente2">
    <w:name w:val="Body Text 2"/>
    <w:basedOn w:val="Normal"/>
    <w:semiHidden/>
    <w:pPr>
      <w:spacing w:after="120" w:line="480" w:lineRule="auto"/>
    </w:pPr>
  </w:style>
  <w:style w:type="paragraph" w:styleId="Textoindependiente3">
    <w:name w:val="Body Text 3"/>
    <w:basedOn w:val="Normal"/>
    <w:semiHidden/>
    <w:pPr>
      <w:spacing w:after="120"/>
    </w:pPr>
    <w:rPr>
      <w:sz w:val="16"/>
      <w:szCs w:val="16"/>
    </w:rPr>
  </w:style>
  <w:style w:type="paragraph" w:styleId="Textoindependienteprimerasangra">
    <w:name w:val="Body Text First Indent"/>
    <w:basedOn w:val="Textoindependiente"/>
    <w:semiHidden/>
    <w:pPr>
      <w:spacing w:after="120" w:line="240" w:lineRule="auto"/>
      <w:ind w:firstLine="210"/>
    </w:pPr>
  </w:style>
  <w:style w:type="paragraph" w:styleId="Textoindependienteprimerasangra2">
    <w:name w:val="Body Text First Indent 2"/>
    <w:basedOn w:val="Sangradetextonormal"/>
    <w:semiHidden/>
    <w:pPr>
      <w:ind w:firstLine="210"/>
    </w:p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jc w:val="both"/>
    </w:pPr>
    <w:rPr>
      <w:rFonts w:ascii="Courier New" w:eastAsia="Times New Roman" w:hAnsi="Courier New" w:cs="Courier New"/>
      <w:spacing w:val="-5"/>
      <w:lang w:val="es-ES" w:eastAsia="en-US"/>
    </w:rPr>
  </w:style>
  <w:style w:type="paragraph" w:styleId="Textonotaalfinal">
    <w:name w:val="endnote text"/>
    <w:basedOn w:val="Normal"/>
    <w:semiHidden/>
  </w:style>
  <w:style w:type="paragraph" w:styleId="Textonotapie">
    <w:name w:val="footnote text"/>
    <w:aliases w:val="fn,footnote text,Footnote Text Char Char Char Char Char,Footnote Text Char Char Char Char,Footnote reference,FA Fu,Footnote Text Cha,Footnote Text Char Char Char,FA Fußnotentext,FA Fuﬂnotentext,Footnote Text Char Char,texto de nota al p"/>
    <w:basedOn w:val="Normal"/>
    <w:link w:val="TextonotapieCar"/>
    <w:uiPriority w:val="99"/>
  </w:style>
  <w:style w:type="character" w:customStyle="1" w:styleId="TextonotapieCar">
    <w:name w:val="Texto nota pie Car"/>
    <w:aliases w:val="fn Car,footnote text Car,Footnote Text Char Char Char Char Char Car,Footnote Text Char Char Char Char Car,Footnote reference Car,FA Fu Car,Footnote Text Cha Car,Footnote Text Char Char Char Car,FA Fußnotentext Car,FA Fuﬂnotentext Car"/>
    <w:basedOn w:val="Fuentedeprrafopredeter"/>
    <w:link w:val="Textonotapie"/>
    <w:uiPriority w:val="99"/>
    <w:rsid w:val="00383DF0"/>
    <w:rPr>
      <w:rFonts w:ascii="Arial" w:eastAsia="Times New Roman" w:hAnsi="Arial"/>
      <w:spacing w:val="-5"/>
      <w:lang w:eastAsia="en-US"/>
    </w:rPr>
  </w:style>
  <w:style w:type="paragraph" w:styleId="Textosinformato">
    <w:name w:val="Plain Text"/>
    <w:basedOn w:val="Normal"/>
    <w:semiHidden/>
    <w:rPr>
      <w:rFonts w:ascii="Courier New" w:hAnsi="Courier New" w:cs="Courier New"/>
    </w:rPr>
  </w:style>
  <w:style w:type="paragraph" w:customStyle="1" w:styleId="Ttulo10">
    <w:name w:val="Título1"/>
    <w:basedOn w:val="Normal"/>
    <w:qFormat/>
    <w:pPr>
      <w:spacing w:before="240" w:after="60"/>
      <w:jc w:val="center"/>
      <w:outlineLvl w:val="0"/>
    </w:pPr>
    <w:rPr>
      <w:rFonts w:cs="Arial"/>
      <w:b/>
      <w:bCs/>
      <w:kern w:val="28"/>
      <w:sz w:val="32"/>
      <w:szCs w:val="32"/>
    </w:rPr>
  </w:style>
  <w:style w:type="paragraph" w:styleId="Ttulodendice">
    <w:name w:val="index heading"/>
    <w:basedOn w:val="Normal"/>
    <w:next w:val="ndice1"/>
    <w:semiHidden/>
    <w:rPr>
      <w:rFonts w:cs="Arial"/>
      <w:b/>
      <w:bCs/>
    </w:rPr>
  </w:style>
  <w:style w:type="character" w:styleId="VariableHTML">
    <w:name w:val="HTML Variable"/>
    <w:semiHidden/>
    <w:rPr>
      <w:i/>
      <w:iCs/>
      <w:lang w:val="es-ES" w:bidi="ar-SA"/>
    </w:rPr>
  </w:style>
  <w:style w:type="paragraph" w:customStyle="1" w:styleId="creg">
    <w:name w:val="creg"/>
    <w:basedOn w:val="Normal"/>
    <w:rPr>
      <w:rFonts w:cs="Arial"/>
      <w:spacing w:val="0"/>
      <w:sz w:val="24"/>
      <w:szCs w:val="24"/>
      <w:lang w:eastAsia="es-ES"/>
    </w:rPr>
  </w:style>
  <w:style w:type="paragraph" w:customStyle="1" w:styleId="doctor">
    <w:name w:val="doctor"/>
    <w:basedOn w:val="Textoindependiente"/>
    <w:pPr>
      <w:spacing w:after="0" w:line="240" w:lineRule="auto"/>
    </w:pPr>
    <w:rPr>
      <w:rFonts w:cs="Arial"/>
      <w:sz w:val="24"/>
    </w:rPr>
  </w:style>
  <w:style w:type="paragraph" w:styleId="Prrafodelista">
    <w:name w:val="List Paragraph"/>
    <w:basedOn w:val="Normal"/>
    <w:link w:val="PrrafodelistaCar"/>
    <w:uiPriority w:val="34"/>
    <w:qFormat/>
    <w:rsid w:val="00E534D2"/>
    <w:pPr>
      <w:spacing w:after="200" w:line="276" w:lineRule="auto"/>
      <w:ind w:left="720"/>
      <w:contextualSpacing/>
    </w:pPr>
    <w:rPr>
      <w:rFonts w:ascii="Calibri" w:eastAsia="Calibri" w:hAnsi="Calibri"/>
      <w:spacing w:val="0"/>
      <w:sz w:val="22"/>
      <w:szCs w:val="22"/>
      <w:lang w:val="es-MX"/>
    </w:rPr>
  </w:style>
  <w:style w:type="character" w:customStyle="1" w:styleId="textos1">
    <w:name w:val="textos1"/>
    <w:rsid w:val="00067B2E"/>
    <w:rPr>
      <w:rFonts w:ascii="Verdana" w:hAnsi="Verdana" w:hint="default"/>
      <w:strike w:val="0"/>
      <w:dstrike w:val="0"/>
      <w:color w:val="000000"/>
      <w:sz w:val="17"/>
      <w:szCs w:val="17"/>
      <w:u w:val="none"/>
      <w:effect w:val="none"/>
      <w:lang w:val="es-ES" w:bidi="ar-SA"/>
    </w:rPr>
  </w:style>
  <w:style w:type="paragraph" w:customStyle="1" w:styleId="xl64">
    <w:name w:val="xl64"/>
    <w:basedOn w:val="Normal"/>
    <w:rsid w:val="00E13C5A"/>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jc w:val="center"/>
      <w:textAlignment w:val="center"/>
    </w:pPr>
    <w:rPr>
      <w:rFonts w:cs="Arial"/>
      <w:b/>
      <w:bCs/>
      <w:color w:val="FFFFFF"/>
      <w:spacing w:val="0"/>
      <w:sz w:val="18"/>
      <w:szCs w:val="18"/>
      <w:lang w:eastAsia="es-CO"/>
    </w:rPr>
  </w:style>
  <w:style w:type="paragraph" w:customStyle="1" w:styleId="xl65">
    <w:name w:val="xl65"/>
    <w:basedOn w:val="Normal"/>
    <w:rsid w:val="00E13C5A"/>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pacing w:val="0"/>
      <w:sz w:val="24"/>
      <w:szCs w:val="24"/>
      <w:lang w:eastAsia="es-CO"/>
    </w:rPr>
  </w:style>
  <w:style w:type="paragraph" w:customStyle="1" w:styleId="xl66">
    <w:name w:val="xl66"/>
    <w:basedOn w:val="Normal"/>
    <w:rsid w:val="00E13C5A"/>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jc w:val="center"/>
    </w:pPr>
    <w:rPr>
      <w:rFonts w:ascii="Times New Roman" w:hAnsi="Times New Roman"/>
      <w:b/>
      <w:bCs/>
      <w:color w:val="F2F2F2"/>
      <w:spacing w:val="0"/>
      <w:sz w:val="24"/>
      <w:szCs w:val="24"/>
      <w:lang w:eastAsia="es-CO"/>
    </w:rPr>
  </w:style>
  <w:style w:type="paragraph" w:customStyle="1" w:styleId="xl67">
    <w:name w:val="xl67"/>
    <w:basedOn w:val="Normal"/>
    <w:rsid w:val="00E13C5A"/>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pacing w:val="0"/>
      <w:sz w:val="24"/>
      <w:szCs w:val="24"/>
      <w:lang w:eastAsia="es-CO"/>
    </w:rPr>
  </w:style>
  <w:style w:type="paragraph" w:customStyle="1" w:styleId="xl68">
    <w:name w:val="xl68"/>
    <w:basedOn w:val="Normal"/>
    <w:rsid w:val="00E13C5A"/>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pacing w:val="0"/>
      <w:sz w:val="24"/>
      <w:szCs w:val="24"/>
      <w:lang w:eastAsia="es-CO"/>
    </w:rPr>
  </w:style>
  <w:style w:type="paragraph" w:styleId="Textodeglobo">
    <w:name w:val="Balloon Text"/>
    <w:basedOn w:val="Normal"/>
    <w:link w:val="TextodegloboCar"/>
    <w:uiPriority w:val="99"/>
    <w:semiHidden/>
    <w:unhideWhenUsed/>
    <w:rsid w:val="00242A4C"/>
    <w:rPr>
      <w:rFonts w:ascii="Tahoma" w:hAnsi="Tahoma" w:cs="Tahoma"/>
      <w:sz w:val="16"/>
      <w:szCs w:val="16"/>
    </w:rPr>
  </w:style>
  <w:style w:type="character" w:customStyle="1" w:styleId="TextodegloboCar">
    <w:name w:val="Texto de globo Car"/>
    <w:link w:val="Textodeglobo"/>
    <w:uiPriority w:val="99"/>
    <w:semiHidden/>
    <w:rsid w:val="00242A4C"/>
    <w:rPr>
      <w:rFonts w:ascii="Tahoma" w:eastAsia="Times New Roman" w:hAnsi="Tahoma" w:cs="Tahoma"/>
      <w:spacing w:val="-5"/>
      <w:sz w:val="16"/>
      <w:szCs w:val="16"/>
      <w:lang w:val="es-ES" w:eastAsia="en-US" w:bidi="ar-SA"/>
    </w:rPr>
  </w:style>
  <w:style w:type="paragraph" w:customStyle="1" w:styleId="xl69">
    <w:name w:val="xl69"/>
    <w:basedOn w:val="Normal"/>
    <w:rsid w:val="00743B23"/>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pacing w:val="0"/>
      <w:sz w:val="24"/>
      <w:szCs w:val="24"/>
      <w:lang w:eastAsia="es-CO"/>
    </w:rPr>
  </w:style>
  <w:style w:type="paragraph" w:customStyle="1" w:styleId="xl70">
    <w:name w:val="xl70"/>
    <w:basedOn w:val="Normal"/>
    <w:rsid w:val="00743B23"/>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pacing w:val="0"/>
      <w:sz w:val="24"/>
      <w:szCs w:val="24"/>
      <w:lang w:eastAsia="es-CO"/>
    </w:rPr>
  </w:style>
  <w:style w:type="table" w:styleId="Tablaconcuadrcula">
    <w:name w:val="Table Grid"/>
    <w:basedOn w:val="Tablanormal"/>
    <w:uiPriority w:val="39"/>
    <w:rsid w:val="00417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71">
    <w:name w:val="xl71"/>
    <w:basedOn w:val="Normal"/>
    <w:rsid w:val="00E32F28"/>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Times New Roman" w:hAnsi="Times New Roman"/>
      <w:spacing w:val="0"/>
      <w:sz w:val="18"/>
      <w:szCs w:val="18"/>
      <w:lang w:eastAsia="es-CO"/>
    </w:rPr>
  </w:style>
  <w:style w:type="paragraph" w:customStyle="1" w:styleId="xl72">
    <w:name w:val="xl72"/>
    <w:basedOn w:val="Normal"/>
    <w:rsid w:val="00E32F2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spacing w:val="0"/>
      <w:sz w:val="18"/>
      <w:szCs w:val="18"/>
      <w:lang w:eastAsia="es-CO"/>
    </w:rPr>
  </w:style>
  <w:style w:type="paragraph" w:customStyle="1" w:styleId="xl73">
    <w:name w:val="xl73"/>
    <w:basedOn w:val="Normal"/>
    <w:rsid w:val="00E32F2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spacing w:val="0"/>
      <w:sz w:val="18"/>
      <w:szCs w:val="18"/>
      <w:lang w:eastAsia="es-CO"/>
    </w:rPr>
  </w:style>
  <w:style w:type="paragraph" w:customStyle="1" w:styleId="xl74">
    <w:name w:val="xl74"/>
    <w:basedOn w:val="Normal"/>
    <w:rsid w:val="00E32F2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spacing w:val="0"/>
      <w:sz w:val="18"/>
      <w:szCs w:val="18"/>
      <w:lang w:eastAsia="es-CO"/>
    </w:rPr>
  </w:style>
  <w:style w:type="paragraph" w:customStyle="1" w:styleId="xl75">
    <w:name w:val="xl75"/>
    <w:basedOn w:val="Normal"/>
    <w:rsid w:val="00E32F2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cs="Arial"/>
      <w:b/>
      <w:bCs/>
      <w:spacing w:val="0"/>
      <w:sz w:val="18"/>
      <w:szCs w:val="18"/>
      <w:lang w:eastAsia="es-CO"/>
    </w:rPr>
  </w:style>
  <w:style w:type="paragraph" w:customStyle="1" w:styleId="xl76">
    <w:name w:val="xl76"/>
    <w:basedOn w:val="Normal"/>
    <w:rsid w:val="00E32F28"/>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spacing w:val="0"/>
      <w:sz w:val="18"/>
      <w:szCs w:val="18"/>
      <w:lang w:eastAsia="es-CO"/>
    </w:rPr>
  </w:style>
  <w:style w:type="paragraph" w:customStyle="1" w:styleId="xl77">
    <w:name w:val="xl77"/>
    <w:basedOn w:val="Normal"/>
    <w:rsid w:val="00E32F28"/>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spacing w:val="0"/>
      <w:sz w:val="18"/>
      <w:szCs w:val="18"/>
      <w:lang w:eastAsia="es-CO"/>
    </w:rPr>
  </w:style>
  <w:style w:type="paragraph" w:customStyle="1" w:styleId="xl78">
    <w:name w:val="xl78"/>
    <w:basedOn w:val="Normal"/>
    <w:rsid w:val="00E32F2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spacing w:val="0"/>
      <w:sz w:val="18"/>
      <w:szCs w:val="18"/>
      <w:lang w:eastAsia="es-CO"/>
    </w:rPr>
  </w:style>
  <w:style w:type="paragraph" w:customStyle="1" w:styleId="xl79">
    <w:name w:val="xl79"/>
    <w:basedOn w:val="Normal"/>
    <w:rsid w:val="00E32F28"/>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spacing w:val="0"/>
      <w:sz w:val="18"/>
      <w:szCs w:val="18"/>
      <w:lang w:eastAsia="es-CO"/>
    </w:rPr>
  </w:style>
  <w:style w:type="paragraph" w:customStyle="1" w:styleId="xl80">
    <w:name w:val="xl80"/>
    <w:basedOn w:val="Normal"/>
    <w:rsid w:val="00E32F2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spacing w:val="0"/>
      <w:sz w:val="18"/>
      <w:szCs w:val="18"/>
      <w:lang w:eastAsia="es-CO"/>
    </w:rPr>
  </w:style>
  <w:style w:type="paragraph" w:customStyle="1" w:styleId="xl81">
    <w:name w:val="xl81"/>
    <w:basedOn w:val="Normal"/>
    <w:rsid w:val="00E32F28"/>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Times New Roman" w:hAnsi="Times New Roman"/>
      <w:spacing w:val="0"/>
      <w:sz w:val="18"/>
      <w:szCs w:val="18"/>
      <w:lang w:eastAsia="es-CO"/>
    </w:rPr>
  </w:style>
  <w:style w:type="paragraph" w:customStyle="1" w:styleId="msonormal0">
    <w:name w:val="msonormal"/>
    <w:basedOn w:val="Normal"/>
    <w:rsid w:val="00AD6F0E"/>
    <w:pPr>
      <w:spacing w:before="100" w:beforeAutospacing="1" w:after="100" w:afterAutospacing="1"/>
      <w:jc w:val="left"/>
    </w:pPr>
    <w:rPr>
      <w:rFonts w:ascii="Times New Roman" w:hAnsi="Times New Roman"/>
      <w:spacing w:val="0"/>
      <w:sz w:val="24"/>
      <w:szCs w:val="24"/>
      <w:lang w:eastAsia="es-CO"/>
    </w:rPr>
  </w:style>
  <w:style w:type="paragraph" w:customStyle="1" w:styleId="xl82">
    <w:name w:val="xl82"/>
    <w:basedOn w:val="Normal"/>
    <w:rsid w:val="00AD6F0E"/>
    <w:pPr>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pacing w:val="0"/>
      <w:sz w:val="24"/>
      <w:szCs w:val="24"/>
      <w:lang w:eastAsia="es-CO"/>
    </w:rPr>
  </w:style>
  <w:style w:type="paragraph" w:customStyle="1" w:styleId="xl83">
    <w:name w:val="xl83"/>
    <w:basedOn w:val="Normal"/>
    <w:rsid w:val="00AD6F0E"/>
    <w:pPr>
      <w:pBdr>
        <w:top w:val="single" w:sz="8" w:space="0" w:color="auto"/>
        <w:left w:val="single" w:sz="4" w:space="0" w:color="auto"/>
        <w:bottom w:val="single" w:sz="4" w:space="0" w:color="auto"/>
        <w:right w:val="single" w:sz="8" w:space="0" w:color="auto"/>
      </w:pBdr>
      <w:spacing w:before="100" w:beforeAutospacing="1" w:after="100" w:afterAutospacing="1"/>
      <w:jc w:val="left"/>
    </w:pPr>
    <w:rPr>
      <w:rFonts w:ascii="Times New Roman" w:hAnsi="Times New Roman"/>
      <w:spacing w:val="0"/>
      <w:sz w:val="24"/>
      <w:szCs w:val="24"/>
      <w:lang w:eastAsia="es-CO"/>
    </w:rPr>
  </w:style>
  <w:style w:type="paragraph" w:customStyle="1" w:styleId="xl84">
    <w:name w:val="xl84"/>
    <w:basedOn w:val="Normal"/>
    <w:rsid w:val="00AD6F0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pacing w:val="0"/>
      <w:sz w:val="24"/>
      <w:szCs w:val="24"/>
      <w:lang w:eastAsia="es-CO"/>
    </w:rPr>
  </w:style>
  <w:style w:type="paragraph" w:customStyle="1" w:styleId="xl85">
    <w:name w:val="xl85"/>
    <w:basedOn w:val="Normal"/>
    <w:rsid w:val="00AD6F0E"/>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Times New Roman" w:hAnsi="Times New Roman"/>
      <w:spacing w:val="0"/>
      <w:sz w:val="24"/>
      <w:szCs w:val="24"/>
      <w:lang w:eastAsia="es-CO"/>
    </w:rPr>
  </w:style>
  <w:style w:type="paragraph" w:customStyle="1" w:styleId="xl86">
    <w:name w:val="xl86"/>
    <w:basedOn w:val="Normal"/>
    <w:rsid w:val="00AD6F0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pacing w:val="0"/>
      <w:sz w:val="24"/>
      <w:szCs w:val="24"/>
      <w:lang w:eastAsia="es-CO"/>
    </w:rPr>
  </w:style>
  <w:style w:type="paragraph" w:customStyle="1" w:styleId="xl87">
    <w:name w:val="xl87"/>
    <w:basedOn w:val="Normal"/>
    <w:rsid w:val="00AD6F0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pacing w:val="0"/>
      <w:sz w:val="24"/>
      <w:szCs w:val="24"/>
      <w:lang w:eastAsia="es-CO"/>
    </w:rPr>
  </w:style>
  <w:style w:type="paragraph" w:customStyle="1" w:styleId="xl88">
    <w:name w:val="xl88"/>
    <w:basedOn w:val="Normal"/>
    <w:rsid w:val="00AD6F0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pacing w:val="0"/>
      <w:sz w:val="24"/>
      <w:szCs w:val="24"/>
      <w:lang w:eastAsia="es-CO"/>
    </w:rPr>
  </w:style>
  <w:style w:type="paragraph" w:customStyle="1" w:styleId="xl89">
    <w:name w:val="xl89"/>
    <w:basedOn w:val="Normal"/>
    <w:rsid w:val="00AD6F0E"/>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Times New Roman" w:hAnsi="Times New Roman"/>
      <w:spacing w:val="0"/>
      <w:sz w:val="24"/>
      <w:szCs w:val="24"/>
      <w:lang w:eastAsia="es-CO"/>
    </w:rPr>
  </w:style>
  <w:style w:type="paragraph" w:customStyle="1" w:styleId="xl90">
    <w:name w:val="xl90"/>
    <w:basedOn w:val="Normal"/>
    <w:rsid w:val="00AD6F0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bCs/>
      <w:spacing w:val="0"/>
      <w:sz w:val="24"/>
      <w:szCs w:val="24"/>
      <w:lang w:eastAsia="es-CO"/>
    </w:rPr>
  </w:style>
  <w:style w:type="paragraph" w:customStyle="1" w:styleId="xl91">
    <w:name w:val="xl91"/>
    <w:basedOn w:val="Normal"/>
    <w:rsid w:val="00AD6F0E"/>
    <w:pPr>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pacing w:val="0"/>
      <w:sz w:val="24"/>
      <w:szCs w:val="24"/>
      <w:lang w:eastAsia="es-CO"/>
    </w:rPr>
  </w:style>
  <w:style w:type="paragraph" w:customStyle="1" w:styleId="xl92">
    <w:name w:val="xl92"/>
    <w:basedOn w:val="Normal"/>
    <w:rsid w:val="00AD6F0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pacing w:val="0"/>
      <w:sz w:val="24"/>
      <w:szCs w:val="24"/>
      <w:lang w:eastAsia="es-CO"/>
    </w:rPr>
  </w:style>
  <w:style w:type="paragraph" w:customStyle="1" w:styleId="xl93">
    <w:name w:val="xl93"/>
    <w:basedOn w:val="Normal"/>
    <w:rsid w:val="00AD6F0E"/>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Times New Roman" w:hAnsi="Times New Roman"/>
      <w:spacing w:val="0"/>
      <w:sz w:val="24"/>
      <w:szCs w:val="24"/>
      <w:lang w:eastAsia="es-CO"/>
    </w:rPr>
  </w:style>
  <w:style w:type="numbering" w:customStyle="1" w:styleId="Sinlista1">
    <w:name w:val="Sin lista1"/>
    <w:next w:val="Sinlista"/>
    <w:uiPriority w:val="99"/>
    <w:semiHidden/>
    <w:unhideWhenUsed/>
    <w:rsid w:val="00FF3028"/>
  </w:style>
  <w:style w:type="character" w:customStyle="1" w:styleId="Ttulo1Car">
    <w:name w:val="Título 1 Car"/>
    <w:basedOn w:val="Fuentedeprrafopredeter"/>
    <w:link w:val="Ttulo1"/>
    <w:uiPriority w:val="9"/>
    <w:rsid w:val="00FF3028"/>
    <w:rPr>
      <w:rFonts w:ascii="Arial Black" w:eastAsia="Times New Roman" w:hAnsi="Arial Black"/>
      <w:spacing w:val="-10"/>
      <w:kern w:val="20"/>
      <w:lang w:eastAsia="en-US"/>
    </w:rPr>
  </w:style>
  <w:style w:type="character" w:customStyle="1" w:styleId="Ttulo3Car">
    <w:name w:val="Título 3 Car"/>
    <w:basedOn w:val="Fuentedeprrafopredeter"/>
    <w:link w:val="Ttulo3"/>
    <w:rsid w:val="00FF3028"/>
    <w:rPr>
      <w:rFonts w:ascii="Arial" w:eastAsia="Times New Roman" w:hAnsi="Arial"/>
      <w:spacing w:val="-10"/>
      <w:kern w:val="20"/>
      <w:sz w:val="22"/>
      <w:lang w:eastAsia="en-US"/>
    </w:rPr>
  </w:style>
  <w:style w:type="character" w:customStyle="1" w:styleId="Ttulo4Car">
    <w:name w:val="Título 4 Car"/>
    <w:basedOn w:val="Fuentedeprrafopredeter"/>
    <w:link w:val="Ttulo4"/>
    <w:rsid w:val="00FF3028"/>
    <w:rPr>
      <w:rFonts w:ascii="Arial Black" w:eastAsia="Times New Roman" w:hAnsi="Arial Black"/>
      <w:spacing w:val="-5"/>
      <w:kern w:val="20"/>
      <w:sz w:val="18"/>
      <w:lang w:eastAsia="en-US"/>
    </w:rPr>
  </w:style>
  <w:style w:type="character" w:customStyle="1" w:styleId="Ttulo5Car">
    <w:name w:val="Título 5 Car"/>
    <w:basedOn w:val="Fuentedeprrafopredeter"/>
    <w:link w:val="Ttulo5"/>
    <w:rsid w:val="00FF3028"/>
    <w:rPr>
      <w:rFonts w:ascii="Arial Black" w:eastAsia="Times New Roman" w:hAnsi="Arial Black"/>
      <w:spacing w:val="-5"/>
      <w:kern w:val="20"/>
      <w:sz w:val="18"/>
      <w:lang w:eastAsia="en-US"/>
    </w:rPr>
  </w:style>
  <w:style w:type="character" w:customStyle="1" w:styleId="Ttulo6Car">
    <w:name w:val="Título 6 Car"/>
    <w:basedOn w:val="Fuentedeprrafopredeter"/>
    <w:link w:val="Ttulo6"/>
    <w:rsid w:val="00FF3028"/>
    <w:rPr>
      <w:rFonts w:ascii="Arial Black" w:eastAsia="Times New Roman" w:hAnsi="Arial Black"/>
      <w:spacing w:val="-5"/>
      <w:kern w:val="20"/>
      <w:sz w:val="18"/>
      <w:lang w:eastAsia="en-US"/>
    </w:rPr>
  </w:style>
  <w:style w:type="paragraph" w:customStyle="1" w:styleId="TableHeading">
    <w:name w:val="Table Heading"/>
    <w:basedOn w:val="Normal"/>
    <w:rsid w:val="00FF3028"/>
    <w:pPr>
      <w:suppressLineNumbers/>
      <w:suppressAutoHyphens/>
      <w:jc w:val="center"/>
    </w:pPr>
    <w:rPr>
      <w:b/>
      <w:bCs/>
      <w:spacing w:val="0"/>
      <w:sz w:val="22"/>
      <w:szCs w:val="24"/>
      <w:lang w:val="es-ES" w:eastAsia="ar-SA"/>
    </w:rPr>
  </w:style>
  <w:style w:type="table" w:customStyle="1" w:styleId="Tablaconcuadrcula1">
    <w:name w:val="Tabla con cuadrícula1"/>
    <w:basedOn w:val="Tablanormal"/>
    <w:next w:val="Tablaconcuadrcula"/>
    <w:uiPriority w:val="39"/>
    <w:rsid w:val="00FF30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1E6912"/>
    <w:pPr>
      <w:spacing w:before="240" w:after="0" w:line="259" w:lineRule="auto"/>
      <w:outlineLvl w:val="9"/>
    </w:pPr>
    <w:rPr>
      <w:rFonts w:asciiTheme="majorHAnsi" w:eastAsiaTheme="majorEastAsia" w:hAnsiTheme="majorHAnsi" w:cstheme="majorBidi"/>
      <w:color w:val="2E74B5" w:themeColor="accent1" w:themeShade="BF"/>
      <w:spacing w:val="0"/>
      <w:kern w:val="0"/>
      <w:sz w:val="32"/>
      <w:szCs w:val="32"/>
      <w:lang w:eastAsia="es-CO"/>
    </w:rPr>
  </w:style>
  <w:style w:type="character" w:customStyle="1" w:styleId="SubttuloCar">
    <w:name w:val="Subtítulo Car"/>
    <w:basedOn w:val="Fuentedeprrafopredeter"/>
    <w:link w:val="Subttulo"/>
    <w:rsid w:val="00280F88"/>
    <w:rPr>
      <w:rFonts w:ascii="Arial" w:eastAsia="Times New Roman" w:hAnsi="Arial" w:cs="Arial"/>
      <w:spacing w:val="-5"/>
      <w:sz w:val="24"/>
      <w:szCs w:val="24"/>
      <w:lang w:eastAsia="en-US"/>
    </w:rPr>
  </w:style>
  <w:style w:type="character" w:customStyle="1" w:styleId="UnresolvedMention1">
    <w:name w:val="Unresolved Mention1"/>
    <w:basedOn w:val="Fuentedeprrafopredeter"/>
    <w:uiPriority w:val="99"/>
    <w:semiHidden/>
    <w:unhideWhenUsed/>
    <w:rsid w:val="00BB14CB"/>
    <w:rPr>
      <w:color w:val="605E5C"/>
      <w:shd w:val="clear" w:color="auto" w:fill="E1DFDD"/>
    </w:rPr>
  </w:style>
  <w:style w:type="table" w:customStyle="1" w:styleId="TableGrid">
    <w:name w:val="TableGrid"/>
    <w:rsid w:val="00750172"/>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Revisin">
    <w:name w:val="Revision"/>
    <w:hidden/>
    <w:uiPriority w:val="99"/>
    <w:semiHidden/>
    <w:rsid w:val="00411CEC"/>
    <w:rPr>
      <w:rFonts w:ascii="Arial" w:eastAsia="Times New Roman" w:hAnsi="Arial"/>
      <w:spacing w:val="-5"/>
      <w:lang w:eastAsia="en-US"/>
    </w:rPr>
  </w:style>
  <w:style w:type="paragraph" w:styleId="Asuntodelcomentario">
    <w:name w:val="annotation subject"/>
    <w:basedOn w:val="Textocomentario"/>
    <w:next w:val="Textocomentario"/>
    <w:link w:val="AsuntodelcomentarioCar"/>
    <w:uiPriority w:val="99"/>
    <w:semiHidden/>
    <w:unhideWhenUsed/>
    <w:rsid w:val="00F52E31"/>
    <w:rPr>
      <w:b/>
      <w:bCs/>
    </w:rPr>
  </w:style>
  <w:style w:type="character" w:customStyle="1" w:styleId="TextocomentarioCar">
    <w:name w:val="Texto comentario Car"/>
    <w:basedOn w:val="Fuentedeprrafopredeter"/>
    <w:link w:val="Textocomentario"/>
    <w:semiHidden/>
    <w:rsid w:val="00F52E31"/>
    <w:rPr>
      <w:rFonts w:ascii="Arial" w:eastAsia="Times New Roman" w:hAnsi="Arial"/>
      <w:spacing w:val="-5"/>
      <w:lang w:eastAsia="en-US"/>
    </w:rPr>
  </w:style>
  <w:style w:type="character" w:customStyle="1" w:styleId="AsuntodelcomentarioCar">
    <w:name w:val="Asunto del comentario Car"/>
    <w:basedOn w:val="TextocomentarioCar"/>
    <w:link w:val="Asuntodelcomentario"/>
    <w:uiPriority w:val="99"/>
    <w:semiHidden/>
    <w:rsid w:val="00F52E31"/>
    <w:rPr>
      <w:rFonts w:ascii="Arial" w:eastAsia="Times New Roman" w:hAnsi="Arial"/>
      <w:b/>
      <w:bCs/>
      <w:spacing w:val="-5"/>
      <w:lang w:eastAsia="en-US"/>
    </w:rPr>
  </w:style>
  <w:style w:type="character" w:styleId="Mencinsinresolver">
    <w:name w:val="Unresolved Mention"/>
    <w:basedOn w:val="Fuentedeprrafopredeter"/>
    <w:uiPriority w:val="99"/>
    <w:semiHidden/>
    <w:unhideWhenUsed/>
    <w:rsid w:val="00625CF2"/>
    <w:rPr>
      <w:color w:val="605E5C"/>
      <w:shd w:val="clear" w:color="auto" w:fill="E1DFDD"/>
    </w:rPr>
  </w:style>
  <w:style w:type="character" w:customStyle="1" w:styleId="PrrafodelistaCar">
    <w:name w:val="Párrafo de lista Car"/>
    <w:link w:val="Prrafodelista"/>
    <w:uiPriority w:val="34"/>
    <w:rsid w:val="00EF7D13"/>
    <w:rPr>
      <w:rFonts w:ascii="Calibri" w:eastAsia="Calibri" w:hAnsi="Calibri"/>
      <w:sz w:val="22"/>
      <w:szCs w:val="22"/>
      <w:lang w:val="es-MX" w:eastAsia="en-US"/>
    </w:rPr>
  </w:style>
  <w:style w:type="paragraph" w:customStyle="1" w:styleId="xl94">
    <w:name w:val="xl94"/>
    <w:basedOn w:val="Normal"/>
    <w:rsid w:val="00D705A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textAlignment w:val="center"/>
    </w:pPr>
    <w:rPr>
      <w:rFonts w:ascii="Times New Roman" w:hAnsi="Times New Roman"/>
      <w:spacing w:val="0"/>
      <w:sz w:val="16"/>
      <w:szCs w:val="16"/>
      <w:lang w:val="es-MX" w:eastAsia="es-MX"/>
    </w:rPr>
  </w:style>
  <w:style w:type="paragraph" w:styleId="Descripcin">
    <w:name w:val="caption"/>
    <w:basedOn w:val="Normal"/>
    <w:next w:val="Normal"/>
    <w:uiPriority w:val="35"/>
    <w:qFormat/>
    <w:rsid w:val="009367C2"/>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1590">
      <w:bodyDiv w:val="1"/>
      <w:marLeft w:val="0"/>
      <w:marRight w:val="0"/>
      <w:marTop w:val="0"/>
      <w:marBottom w:val="0"/>
      <w:divBdr>
        <w:top w:val="none" w:sz="0" w:space="0" w:color="auto"/>
        <w:left w:val="none" w:sz="0" w:space="0" w:color="auto"/>
        <w:bottom w:val="none" w:sz="0" w:space="0" w:color="auto"/>
        <w:right w:val="none" w:sz="0" w:space="0" w:color="auto"/>
      </w:divBdr>
    </w:div>
    <w:div w:id="13697996">
      <w:bodyDiv w:val="1"/>
      <w:marLeft w:val="0"/>
      <w:marRight w:val="0"/>
      <w:marTop w:val="0"/>
      <w:marBottom w:val="0"/>
      <w:divBdr>
        <w:top w:val="none" w:sz="0" w:space="0" w:color="auto"/>
        <w:left w:val="none" w:sz="0" w:space="0" w:color="auto"/>
        <w:bottom w:val="none" w:sz="0" w:space="0" w:color="auto"/>
        <w:right w:val="none" w:sz="0" w:space="0" w:color="auto"/>
      </w:divBdr>
    </w:div>
    <w:div w:id="15624089">
      <w:bodyDiv w:val="1"/>
      <w:marLeft w:val="0"/>
      <w:marRight w:val="0"/>
      <w:marTop w:val="0"/>
      <w:marBottom w:val="0"/>
      <w:divBdr>
        <w:top w:val="none" w:sz="0" w:space="0" w:color="auto"/>
        <w:left w:val="none" w:sz="0" w:space="0" w:color="auto"/>
        <w:bottom w:val="none" w:sz="0" w:space="0" w:color="auto"/>
        <w:right w:val="none" w:sz="0" w:space="0" w:color="auto"/>
      </w:divBdr>
    </w:div>
    <w:div w:id="16850867">
      <w:bodyDiv w:val="1"/>
      <w:marLeft w:val="0"/>
      <w:marRight w:val="0"/>
      <w:marTop w:val="0"/>
      <w:marBottom w:val="0"/>
      <w:divBdr>
        <w:top w:val="none" w:sz="0" w:space="0" w:color="auto"/>
        <w:left w:val="none" w:sz="0" w:space="0" w:color="auto"/>
        <w:bottom w:val="none" w:sz="0" w:space="0" w:color="auto"/>
        <w:right w:val="none" w:sz="0" w:space="0" w:color="auto"/>
      </w:divBdr>
    </w:div>
    <w:div w:id="16976558">
      <w:bodyDiv w:val="1"/>
      <w:marLeft w:val="0"/>
      <w:marRight w:val="0"/>
      <w:marTop w:val="0"/>
      <w:marBottom w:val="0"/>
      <w:divBdr>
        <w:top w:val="none" w:sz="0" w:space="0" w:color="auto"/>
        <w:left w:val="none" w:sz="0" w:space="0" w:color="auto"/>
        <w:bottom w:val="none" w:sz="0" w:space="0" w:color="auto"/>
        <w:right w:val="none" w:sz="0" w:space="0" w:color="auto"/>
      </w:divBdr>
    </w:div>
    <w:div w:id="17122524">
      <w:bodyDiv w:val="1"/>
      <w:marLeft w:val="0"/>
      <w:marRight w:val="0"/>
      <w:marTop w:val="0"/>
      <w:marBottom w:val="0"/>
      <w:divBdr>
        <w:top w:val="none" w:sz="0" w:space="0" w:color="auto"/>
        <w:left w:val="none" w:sz="0" w:space="0" w:color="auto"/>
        <w:bottom w:val="none" w:sz="0" w:space="0" w:color="auto"/>
        <w:right w:val="none" w:sz="0" w:space="0" w:color="auto"/>
      </w:divBdr>
    </w:div>
    <w:div w:id="20323991">
      <w:bodyDiv w:val="1"/>
      <w:marLeft w:val="0"/>
      <w:marRight w:val="0"/>
      <w:marTop w:val="0"/>
      <w:marBottom w:val="0"/>
      <w:divBdr>
        <w:top w:val="none" w:sz="0" w:space="0" w:color="auto"/>
        <w:left w:val="none" w:sz="0" w:space="0" w:color="auto"/>
        <w:bottom w:val="none" w:sz="0" w:space="0" w:color="auto"/>
        <w:right w:val="none" w:sz="0" w:space="0" w:color="auto"/>
      </w:divBdr>
    </w:div>
    <w:div w:id="25569606">
      <w:bodyDiv w:val="1"/>
      <w:marLeft w:val="0"/>
      <w:marRight w:val="0"/>
      <w:marTop w:val="0"/>
      <w:marBottom w:val="0"/>
      <w:divBdr>
        <w:top w:val="none" w:sz="0" w:space="0" w:color="auto"/>
        <w:left w:val="none" w:sz="0" w:space="0" w:color="auto"/>
        <w:bottom w:val="none" w:sz="0" w:space="0" w:color="auto"/>
        <w:right w:val="none" w:sz="0" w:space="0" w:color="auto"/>
      </w:divBdr>
    </w:div>
    <w:div w:id="26299693">
      <w:bodyDiv w:val="1"/>
      <w:marLeft w:val="0"/>
      <w:marRight w:val="0"/>
      <w:marTop w:val="0"/>
      <w:marBottom w:val="0"/>
      <w:divBdr>
        <w:top w:val="none" w:sz="0" w:space="0" w:color="auto"/>
        <w:left w:val="none" w:sz="0" w:space="0" w:color="auto"/>
        <w:bottom w:val="none" w:sz="0" w:space="0" w:color="auto"/>
        <w:right w:val="none" w:sz="0" w:space="0" w:color="auto"/>
      </w:divBdr>
    </w:div>
    <w:div w:id="26948791">
      <w:bodyDiv w:val="1"/>
      <w:marLeft w:val="0"/>
      <w:marRight w:val="0"/>
      <w:marTop w:val="0"/>
      <w:marBottom w:val="0"/>
      <w:divBdr>
        <w:top w:val="none" w:sz="0" w:space="0" w:color="auto"/>
        <w:left w:val="none" w:sz="0" w:space="0" w:color="auto"/>
        <w:bottom w:val="none" w:sz="0" w:space="0" w:color="auto"/>
        <w:right w:val="none" w:sz="0" w:space="0" w:color="auto"/>
      </w:divBdr>
    </w:div>
    <w:div w:id="27217787">
      <w:bodyDiv w:val="1"/>
      <w:marLeft w:val="0"/>
      <w:marRight w:val="0"/>
      <w:marTop w:val="0"/>
      <w:marBottom w:val="0"/>
      <w:divBdr>
        <w:top w:val="none" w:sz="0" w:space="0" w:color="auto"/>
        <w:left w:val="none" w:sz="0" w:space="0" w:color="auto"/>
        <w:bottom w:val="none" w:sz="0" w:space="0" w:color="auto"/>
        <w:right w:val="none" w:sz="0" w:space="0" w:color="auto"/>
      </w:divBdr>
    </w:div>
    <w:div w:id="27723723">
      <w:bodyDiv w:val="1"/>
      <w:marLeft w:val="0"/>
      <w:marRight w:val="0"/>
      <w:marTop w:val="0"/>
      <w:marBottom w:val="0"/>
      <w:divBdr>
        <w:top w:val="none" w:sz="0" w:space="0" w:color="auto"/>
        <w:left w:val="none" w:sz="0" w:space="0" w:color="auto"/>
        <w:bottom w:val="none" w:sz="0" w:space="0" w:color="auto"/>
        <w:right w:val="none" w:sz="0" w:space="0" w:color="auto"/>
      </w:divBdr>
    </w:div>
    <w:div w:id="28654204">
      <w:bodyDiv w:val="1"/>
      <w:marLeft w:val="0"/>
      <w:marRight w:val="0"/>
      <w:marTop w:val="0"/>
      <w:marBottom w:val="0"/>
      <w:divBdr>
        <w:top w:val="none" w:sz="0" w:space="0" w:color="auto"/>
        <w:left w:val="none" w:sz="0" w:space="0" w:color="auto"/>
        <w:bottom w:val="none" w:sz="0" w:space="0" w:color="auto"/>
        <w:right w:val="none" w:sz="0" w:space="0" w:color="auto"/>
      </w:divBdr>
    </w:div>
    <w:div w:id="40137398">
      <w:bodyDiv w:val="1"/>
      <w:marLeft w:val="0"/>
      <w:marRight w:val="0"/>
      <w:marTop w:val="0"/>
      <w:marBottom w:val="0"/>
      <w:divBdr>
        <w:top w:val="none" w:sz="0" w:space="0" w:color="auto"/>
        <w:left w:val="none" w:sz="0" w:space="0" w:color="auto"/>
        <w:bottom w:val="none" w:sz="0" w:space="0" w:color="auto"/>
        <w:right w:val="none" w:sz="0" w:space="0" w:color="auto"/>
      </w:divBdr>
    </w:div>
    <w:div w:id="48653563">
      <w:bodyDiv w:val="1"/>
      <w:marLeft w:val="0"/>
      <w:marRight w:val="0"/>
      <w:marTop w:val="0"/>
      <w:marBottom w:val="0"/>
      <w:divBdr>
        <w:top w:val="none" w:sz="0" w:space="0" w:color="auto"/>
        <w:left w:val="none" w:sz="0" w:space="0" w:color="auto"/>
        <w:bottom w:val="none" w:sz="0" w:space="0" w:color="auto"/>
        <w:right w:val="none" w:sz="0" w:space="0" w:color="auto"/>
      </w:divBdr>
    </w:div>
    <w:div w:id="50272616">
      <w:bodyDiv w:val="1"/>
      <w:marLeft w:val="0"/>
      <w:marRight w:val="0"/>
      <w:marTop w:val="0"/>
      <w:marBottom w:val="0"/>
      <w:divBdr>
        <w:top w:val="none" w:sz="0" w:space="0" w:color="auto"/>
        <w:left w:val="none" w:sz="0" w:space="0" w:color="auto"/>
        <w:bottom w:val="none" w:sz="0" w:space="0" w:color="auto"/>
        <w:right w:val="none" w:sz="0" w:space="0" w:color="auto"/>
      </w:divBdr>
    </w:div>
    <w:div w:id="52241188">
      <w:bodyDiv w:val="1"/>
      <w:marLeft w:val="0"/>
      <w:marRight w:val="0"/>
      <w:marTop w:val="0"/>
      <w:marBottom w:val="0"/>
      <w:divBdr>
        <w:top w:val="none" w:sz="0" w:space="0" w:color="auto"/>
        <w:left w:val="none" w:sz="0" w:space="0" w:color="auto"/>
        <w:bottom w:val="none" w:sz="0" w:space="0" w:color="auto"/>
        <w:right w:val="none" w:sz="0" w:space="0" w:color="auto"/>
      </w:divBdr>
    </w:div>
    <w:div w:id="55056831">
      <w:bodyDiv w:val="1"/>
      <w:marLeft w:val="0"/>
      <w:marRight w:val="0"/>
      <w:marTop w:val="0"/>
      <w:marBottom w:val="0"/>
      <w:divBdr>
        <w:top w:val="none" w:sz="0" w:space="0" w:color="auto"/>
        <w:left w:val="none" w:sz="0" w:space="0" w:color="auto"/>
        <w:bottom w:val="none" w:sz="0" w:space="0" w:color="auto"/>
        <w:right w:val="none" w:sz="0" w:space="0" w:color="auto"/>
      </w:divBdr>
    </w:div>
    <w:div w:id="59014207">
      <w:bodyDiv w:val="1"/>
      <w:marLeft w:val="0"/>
      <w:marRight w:val="0"/>
      <w:marTop w:val="0"/>
      <w:marBottom w:val="0"/>
      <w:divBdr>
        <w:top w:val="none" w:sz="0" w:space="0" w:color="auto"/>
        <w:left w:val="none" w:sz="0" w:space="0" w:color="auto"/>
        <w:bottom w:val="none" w:sz="0" w:space="0" w:color="auto"/>
        <w:right w:val="none" w:sz="0" w:space="0" w:color="auto"/>
      </w:divBdr>
    </w:div>
    <w:div w:id="62535933">
      <w:bodyDiv w:val="1"/>
      <w:marLeft w:val="0"/>
      <w:marRight w:val="0"/>
      <w:marTop w:val="0"/>
      <w:marBottom w:val="0"/>
      <w:divBdr>
        <w:top w:val="none" w:sz="0" w:space="0" w:color="auto"/>
        <w:left w:val="none" w:sz="0" w:space="0" w:color="auto"/>
        <w:bottom w:val="none" w:sz="0" w:space="0" w:color="auto"/>
        <w:right w:val="none" w:sz="0" w:space="0" w:color="auto"/>
      </w:divBdr>
    </w:div>
    <w:div w:id="67920372">
      <w:bodyDiv w:val="1"/>
      <w:marLeft w:val="0"/>
      <w:marRight w:val="0"/>
      <w:marTop w:val="0"/>
      <w:marBottom w:val="0"/>
      <w:divBdr>
        <w:top w:val="none" w:sz="0" w:space="0" w:color="auto"/>
        <w:left w:val="none" w:sz="0" w:space="0" w:color="auto"/>
        <w:bottom w:val="none" w:sz="0" w:space="0" w:color="auto"/>
        <w:right w:val="none" w:sz="0" w:space="0" w:color="auto"/>
      </w:divBdr>
    </w:div>
    <w:div w:id="79984410">
      <w:bodyDiv w:val="1"/>
      <w:marLeft w:val="0"/>
      <w:marRight w:val="0"/>
      <w:marTop w:val="0"/>
      <w:marBottom w:val="0"/>
      <w:divBdr>
        <w:top w:val="none" w:sz="0" w:space="0" w:color="auto"/>
        <w:left w:val="none" w:sz="0" w:space="0" w:color="auto"/>
        <w:bottom w:val="none" w:sz="0" w:space="0" w:color="auto"/>
        <w:right w:val="none" w:sz="0" w:space="0" w:color="auto"/>
      </w:divBdr>
    </w:div>
    <w:div w:id="87889272">
      <w:bodyDiv w:val="1"/>
      <w:marLeft w:val="0"/>
      <w:marRight w:val="0"/>
      <w:marTop w:val="0"/>
      <w:marBottom w:val="0"/>
      <w:divBdr>
        <w:top w:val="none" w:sz="0" w:space="0" w:color="auto"/>
        <w:left w:val="none" w:sz="0" w:space="0" w:color="auto"/>
        <w:bottom w:val="none" w:sz="0" w:space="0" w:color="auto"/>
        <w:right w:val="none" w:sz="0" w:space="0" w:color="auto"/>
      </w:divBdr>
    </w:div>
    <w:div w:id="94441449">
      <w:bodyDiv w:val="1"/>
      <w:marLeft w:val="0"/>
      <w:marRight w:val="0"/>
      <w:marTop w:val="0"/>
      <w:marBottom w:val="0"/>
      <w:divBdr>
        <w:top w:val="none" w:sz="0" w:space="0" w:color="auto"/>
        <w:left w:val="none" w:sz="0" w:space="0" w:color="auto"/>
        <w:bottom w:val="none" w:sz="0" w:space="0" w:color="auto"/>
        <w:right w:val="none" w:sz="0" w:space="0" w:color="auto"/>
      </w:divBdr>
    </w:div>
    <w:div w:id="98525817">
      <w:bodyDiv w:val="1"/>
      <w:marLeft w:val="0"/>
      <w:marRight w:val="0"/>
      <w:marTop w:val="0"/>
      <w:marBottom w:val="0"/>
      <w:divBdr>
        <w:top w:val="none" w:sz="0" w:space="0" w:color="auto"/>
        <w:left w:val="none" w:sz="0" w:space="0" w:color="auto"/>
        <w:bottom w:val="none" w:sz="0" w:space="0" w:color="auto"/>
        <w:right w:val="none" w:sz="0" w:space="0" w:color="auto"/>
      </w:divBdr>
    </w:div>
    <w:div w:id="111822636">
      <w:bodyDiv w:val="1"/>
      <w:marLeft w:val="0"/>
      <w:marRight w:val="0"/>
      <w:marTop w:val="0"/>
      <w:marBottom w:val="0"/>
      <w:divBdr>
        <w:top w:val="none" w:sz="0" w:space="0" w:color="auto"/>
        <w:left w:val="none" w:sz="0" w:space="0" w:color="auto"/>
        <w:bottom w:val="none" w:sz="0" w:space="0" w:color="auto"/>
        <w:right w:val="none" w:sz="0" w:space="0" w:color="auto"/>
      </w:divBdr>
    </w:div>
    <w:div w:id="120198489">
      <w:bodyDiv w:val="1"/>
      <w:marLeft w:val="0"/>
      <w:marRight w:val="0"/>
      <w:marTop w:val="0"/>
      <w:marBottom w:val="0"/>
      <w:divBdr>
        <w:top w:val="none" w:sz="0" w:space="0" w:color="auto"/>
        <w:left w:val="none" w:sz="0" w:space="0" w:color="auto"/>
        <w:bottom w:val="none" w:sz="0" w:space="0" w:color="auto"/>
        <w:right w:val="none" w:sz="0" w:space="0" w:color="auto"/>
      </w:divBdr>
    </w:div>
    <w:div w:id="122233114">
      <w:bodyDiv w:val="1"/>
      <w:marLeft w:val="0"/>
      <w:marRight w:val="0"/>
      <w:marTop w:val="0"/>
      <w:marBottom w:val="0"/>
      <w:divBdr>
        <w:top w:val="none" w:sz="0" w:space="0" w:color="auto"/>
        <w:left w:val="none" w:sz="0" w:space="0" w:color="auto"/>
        <w:bottom w:val="none" w:sz="0" w:space="0" w:color="auto"/>
        <w:right w:val="none" w:sz="0" w:space="0" w:color="auto"/>
      </w:divBdr>
    </w:div>
    <w:div w:id="125199668">
      <w:bodyDiv w:val="1"/>
      <w:marLeft w:val="0"/>
      <w:marRight w:val="0"/>
      <w:marTop w:val="0"/>
      <w:marBottom w:val="0"/>
      <w:divBdr>
        <w:top w:val="none" w:sz="0" w:space="0" w:color="auto"/>
        <w:left w:val="none" w:sz="0" w:space="0" w:color="auto"/>
        <w:bottom w:val="none" w:sz="0" w:space="0" w:color="auto"/>
        <w:right w:val="none" w:sz="0" w:space="0" w:color="auto"/>
      </w:divBdr>
    </w:div>
    <w:div w:id="142936346">
      <w:bodyDiv w:val="1"/>
      <w:marLeft w:val="0"/>
      <w:marRight w:val="0"/>
      <w:marTop w:val="0"/>
      <w:marBottom w:val="0"/>
      <w:divBdr>
        <w:top w:val="none" w:sz="0" w:space="0" w:color="auto"/>
        <w:left w:val="none" w:sz="0" w:space="0" w:color="auto"/>
        <w:bottom w:val="none" w:sz="0" w:space="0" w:color="auto"/>
        <w:right w:val="none" w:sz="0" w:space="0" w:color="auto"/>
      </w:divBdr>
    </w:div>
    <w:div w:id="147135852">
      <w:bodyDiv w:val="1"/>
      <w:marLeft w:val="0"/>
      <w:marRight w:val="0"/>
      <w:marTop w:val="0"/>
      <w:marBottom w:val="0"/>
      <w:divBdr>
        <w:top w:val="none" w:sz="0" w:space="0" w:color="auto"/>
        <w:left w:val="none" w:sz="0" w:space="0" w:color="auto"/>
        <w:bottom w:val="none" w:sz="0" w:space="0" w:color="auto"/>
        <w:right w:val="none" w:sz="0" w:space="0" w:color="auto"/>
      </w:divBdr>
    </w:div>
    <w:div w:id="149443342">
      <w:bodyDiv w:val="1"/>
      <w:marLeft w:val="0"/>
      <w:marRight w:val="0"/>
      <w:marTop w:val="0"/>
      <w:marBottom w:val="0"/>
      <w:divBdr>
        <w:top w:val="none" w:sz="0" w:space="0" w:color="auto"/>
        <w:left w:val="none" w:sz="0" w:space="0" w:color="auto"/>
        <w:bottom w:val="none" w:sz="0" w:space="0" w:color="auto"/>
        <w:right w:val="none" w:sz="0" w:space="0" w:color="auto"/>
      </w:divBdr>
    </w:div>
    <w:div w:id="152378538">
      <w:bodyDiv w:val="1"/>
      <w:marLeft w:val="0"/>
      <w:marRight w:val="0"/>
      <w:marTop w:val="0"/>
      <w:marBottom w:val="0"/>
      <w:divBdr>
        <w:top w:val="none" w:sz="0" w:space="0" w:color="auto"/>
        <w:left w:val="none" w:sz="0" w:space="0" w:color="auto"/>
        <w:bottom w:val="none" w:sz="0" w:space="0" w:color="auto"/>
        <w:right w:val="none" w:sz="0" w:space="0" w:color="auto"/>
      </w:divBdr>
    </w:div>
    <w:div w:id="153574636">
      <w:bodyDiv w:val="1"/>
      <w:marLeft w:val="0"/>
      <w:marRight w:val="0"/>
      <w:marTop w:val="0"/>
      <w:marBottom w:val="0"/>
      <w:divBdr>
        <w:top w:val="none" w:sz="0" w:space="0" w:color="auto"/>
        <w:left w:val="none" w:sz="0" w:space="0" w:color="auto"/>
        <w:bottom w:val="none" w:sz="0" w:space="0" w:color="auto"/>
        <w:right w:val="none" w:sz="0" w:space="0" w:color="auto"/>
      </w:divBdr>
    </w:div>
    <w:div w:id="155457340">
      <w:bodyDiv w:val="1"/>
      <w:marLeft w:val="0"/>
      <w:marRight w:val="0"/>
      <w:marTop w:val="0"/>
      <w:marBottom w:val="0"/>
      <w:divBdr>
        <w:top w:val="none" w:sz="0" w:space="0" w:color="auto"/>
        <w:left w:val="none" w:sz="0" w:space="0" w:color="auto"/>
        <w:bottom w:val="none" w:sz="0" w:space="0" w:color="auto"/>
        <w:right w:val="none" w:sz="0" w:space="0" w:color="auto"/>
      </w:divBdr>
    </w:div>
    <w:div w:id="155651114">
      <w:bodyDiv w:val="1"/>
      <w:marLeft w:val="0"/>
      <w:marRight w:val="0"/>
      <w:marTop w:val="0"/>
      <w:marBottom w:val="0"/>
      <w:divBdr>
        <w:top w:val="none" w:sz="0" w:space="0" w:color="auto"/>
        <w:left w:val="none" w:sz="0" w:space="0" w:color="auto"/>
        <w:bottom w:val="none" w:sz="0" w:space="0" w:color="auto"/>
        <w:right w:val="none" w:sz="0" w:space="0" w:color="auto"/>
      </w:divBdr>
    </w:div>
    <w:div w:id="156960748">
      <w:bodyDiv w:val="1"/>
      <w:marLeft w:val="0"/>
      <w:marRight w:val="0"/>
      <w:marTop w:val="0"/>
      <w:marBottom w:val="0"/>
      <w:divBdr>
        <w:top w:val="none" w:sz="0" w:space="0" w:color="auto"/>
        <w:left w:val="none" w:sz="0" w:space="0" w:color="auto"/>
        <w:bottom w:val="none" w:sz="0" w:space="0" w:color="auto"/>
        <w:right w:val="none" w:sz="0" w:space="0" w:color="auto"/>
      </w:divBdr>
    </w:div>
    <w:div w:id="164134221">
      <w:bodyDiv w:val="1"/>
      <w:marLeft w:val="0"/>
      <w:marRight w:val="0"/>
      <w:marTop w:val="0"/>
      <w:marBottom w:val="0"/>
      <w:divBdr>
        <w:top w:val="none" w:sz="0" w:space="0" w:color="auto"/>
        <w:left w:val="none" w:sz="0" w:space="0" w:color="auto"/>
        <w:bottom w:val="none" w:sz="0" w:space="0" w:color="auto"/>
        <w:right w:val="none" w:sz="0" w:space="0" w:color="auto"/>
      </w:divBdr>
    </w:div>
    <w:div w:id="175775722">
      <w:bodyDiv w:val="1"/>
      <w:marLeft w:val="0"/>
      <w:marRight w:val="0"/>
      <w:marTop w:val="0"/>
      <w:marBottom w:val="0"/>
      <w:divBdr>
        <w:top w:val="none" w:sz="0" w:space="0" w:color="auto"/>
        <w:left w:val="none" w:sz="0" w:space="0" w:color="auto"/>
        <w:bottom w:val="none" w:sz="0" w:space="0" w:color="auto"/>
        <w:right w:val="none" w:sz="0" w:space="0" w:color="auto"/>
      </w:divBdr>
    </w:div>
    <w:div w:id="176769026">
      <w:bodyDiv w:val="1"/>
      <w:marLeft w:val="0"/>
      <w:marRight w:val="0"/>
      <w:marTop w:val="0"/>
      <w:marBottom w:val="0"/>
      <w:divBdr>
        <w:top w:val="none" w:sz="0" w:space="0" w:color="auto"/>
        <w:left w:val="none" w:sz="0" w:space="0" w:color="auto"/>
        <w:bottom w:val="none" w:sz="0" w:space="0" w:color="auto"/>
        <w:right w:val="none" w:sz="0" w:space="0" w:color="auto"/>
      </w:divBdr>
    </w:div>
    <w:div w:id="182595296">
      <w:bodyDiv w:val="1"/>
      <w:marLeft w:val="0"/>
      <w:marRight w:val="0"/>
      <w:marTop w:val="0"/>
      <w:marBottom w:val="0"/>
      <w:divBdr>
        <w:top w:val="none" w:sz="0" w:space="0" w:color="auto"/>
        <w:left w:val="none" w:sz="0" w:space="0" w:color="auto"/>
        <w:bottom w:val="none" w:sz="0" w:space="0" w:color="auto"/>
        <w:right w:val="none" w:sz="0" w:space="0" w:color="auto"/>
      </w:divBdr>
    </w:div>
    <w:div w:id="182980802">
      <w:bodyDiv w:val="1"/>
      <w:marLeft w:val="0"/>
      <w:marRight w:val="0"/>
      <w:marTop w:val="0"/>
      <w:marBottom w:val="0"/>
      <w:divBdr>
        <w:top w:val="none" w:sz="0" w:space="0" w:color="auto"/>
        <w:left w:val="none" w:sz="0" w:space="0" w:color="auto"/>
        <w:bottom w:val="none" w:sz="0" w:space="0" w:color="auto"/>
        <w:right w:val="none" w:sz="0" w:space="0" w:color="auto"/>
      </w:divBdr>
    </w:div>
    <w:div w:id="184365243">
      <w:bodyDiv w:val="1"/>
      <w:marLeft w:val="0"/>
      <w:marRight w:val="0"/>
      <w:marTop w:val="0"/>
      <w:marBottom w:val="0"/>
      <w:divBdr>
        <w:top w:val="none" w:sz="0" w:space="0" w:color="auto"/>
        <w:left w:val="none" w:sz="0" w:space="0" w:color="auto"/>
        <w:bottom w:val="none" w:sz="0" w:space="0" w:color="auto"/>
        <w:right w:val="none" w:sz="0" w:space="0" w:color="auto"/>
      </w:divBdr>
    </w:div>
    <w:div w:id="184489966">
      <w:bodyDiv w:val="1"/>
      <w:marLeft w:val="0"/>
      <w:marRight w:val="0"/>
      <w:marTop w:val="0"/>
      <w:marBottom w:val="0"/>
      <w:divBdr>
        <w:top w:val="none" w:sz="0" w:space="0" w:color="auto"/>
        <w:left w:val="none" w:sz="0" w:space="0" w:color="auto"/>
        <w:bottom w:val="none" w:sz="0" w:space="0" w:color="auto"/>
        <w:right w:val="none" w:sz="0" w:space="0" w:color="auto"/>
      </w:divBdr>
    </w:div>
    <w:div w:id="187455892">
      <w:bodyDiv w:val="1"/>
      <w:marLeft w:val="0"/>
      <w:marRight w:val="0"/>
      <w:marTop w:val="0"/>
      <w:marBottom w:val="0"/>
      <w:divBdr>
        <w:top w:val="none" w:sz="0" w:space="0" w:color="auto"/>
        <w:left w:val="none" w:sz="0" w:space="0" w:color="auto"/>
        <w:bottom w:val="none" w:sz="0" w:space="0" w:color="auto"/>
        <w:right w:val="none" w:sz="0" w:space="0" w:color="auto"/>
      </w:divBdr>
    </w:div>
    <w:div w:id="188421650">
      <w:bodyDiv w:val="1"/>
      <w:marLeft w:val="0"/>
      <w:marRight w:val="0"/>
      <w:marTop w:val="0"/>
      <w:marBottom w:val="0"/>
      <w:divBdr>
        <w:top w:val="none" w:sz="0" w:space="0" w:color="auto"/>
        <w:left w:val="none" w:sz="0" w:space="0" w:color="auto"/>
        <w:bottom w:val="none" w:sz="0" w:space="0" w:color="auto"/>
        <w:right w:val="none" w:sz="0" w:space="0" w:color="auto"/>
      </w:divBdr>
    </w:div>
    <w:div w:id="200944707">
      <w:bodyDiv w:val="1"/>
      <w:marLeft w:val="0"/>
      <w:marRight w:val="0"/>
      <w:marTop w:val="0"/>
      <w:marBottom w:val="0"/>
      <w:divBdr>
        <w:top w:val="none" w:sz="0" w:space="0" w:color="auto"/>
        <w:left w:val="none" w:sz="0" w:space="0" w:color="auto"/>
        <w:bottom w:val="none" w:sz="0" w:space="0" w:color="auto"/>
        <w:right w:val="none" w:sz="0" w:space="0" w:color="auto"/>
      </w:divBdr>
    </w:div>
    <w:div w:id="205602704">
      <w:bodyDiv w:val="1"/>
      <w:marLeft w:val="0"/>
      <w:marRight w:val="0"/>
      <w:marTop w:val="0"/>
      <w:marBottom w:val="0"/>
      <w:divBdr>
        <w:top w:val="none" w:sz="0" w:space="0" w:color="auto"/>
        <w:left w:val="none" w:sz="0" w:space="0" w:color="auto"/>
        <w:bottom w:val="none" w:sz="0" w:space="0" w:color="auto"/>
        <w:right w:val="none" w:sz="0" w:space="0" w:color="auto"/>
      </w:divBdr>
    </w:div>
    <w:div w:id="208340678">
      <w:bodyDiv w:val="1"/>
      <w:marLeft w:val="0"/>
      <w:marRight w:val="0"/>
      <w:marTop w:val="0"/>
      <w:marBottom w:val="0"/>
      <w:divBdr>
        <w:top w:val="none" w:sz="0" w:space="0" w:color="auto"/>
        <w:left w:val="none" w:sz="0" w:space="0" w:color="auto"/>
        <w:bottom w:val="none" w:sz="0" w:space="0" w:color="auto"/>
        <w:right w:val="none" w:sz="0" w:space="0" w:color="auto"/>
      </w:divBdr>
    </w:div>
    <w:div w:id="231428074">
      <w:bodyDiv w:val="1"/>
      <w:marLeft w:val="0"/>
      <w:marRight w:val="0"/>
      <w:marTop w:val="0"/>
      <w:marBottom w:val="0"/>
      <w:divBdr>
        <w:top w:val="none" w:sz="0" w:space="0" w:color="auto"/>
        <w:left w:val="none" w:sz="0" w:space="0" w:color="auto"/>
        <w:bottom w:val="none" w:sz="0" w:space="0" w:color="auto"/>
        <w:right w:val="none" w:sz="0" w:space="0" w:color="auto"/>
      </w:divBdr>
    </w:div>
    <w:div w:id="236404487">
      <w:bodyDiv w:val="1"/>
      <w:marLeft w:val="0"/>
      <w:marRight w:val="0"/>
      <w:marTop w:val="0"/>
      <w:marBottom w:val="0"/>
      <w:divBdr>
        <w:top w:val="none" w:sz="0" w:space="0" w:color="auto"/>
        <w:left w:val="none" w:sz="0" w:space="0" w:color="auto"/>
        <w:bottom w:val="none" w:sz="0" w:space="0" w:color="auto"/>
        <w:right w:val="none" w:sz="0" w:space="0" w:color="auto"/>
      </w:divBdr>
    </w:div>
    <w:div w:id="236675623">
      <w:bodyDiv w:val="1"/>
      <w:marLeft w:val="0"/>
      <w:marRight w:val="0"/>
      <w:marTop w:val="0"/>
      <w:marBottom w:val="0"/>
      <w:divBdr>
        <w:top w:val="none" w:sz="0" w:space="0" w:color="auto"/>
        <w:left w:val="none" w:sz="0" w:space="0" w:color="auto"/>
        <w:bottom w:val="none" w:sz="0" w:space="0" w:color="auto"/>
        <w:right w:val="none" w:sz="0" w:space="0" w:color="auto"/>
      </w:divBdr>
    </w:div>
    <w:div w:id="252207212">
      <w:bodyDiv w:val="1"/>
      <w:marLeft w:val="0"/>
      <w:marRight w:val="0"/>
      <w:marTop w:val="0"/>
      <w:marBottom w:val="0"/>
      <w:divBdr>
        <w:top w:val="none" w:sz="0" w:space="0" w:color="auto"/>
        <w:left w:val="none" w:sz="0" w:space="0" w:color="auto"/>
        <w:bottom w:val="none" w:sz="0" w:space="0" w:color="auto"/>
        <w:right w:val="none" w:sz="0" w:space="0" w:color="auto"/>
      </w:divBdr>
    </w:div>
    <w:div w:id="252982032">
      <w:bodyDiv w:val="1"/>
      <w:marLeft w:val="0"/>
      <w:marRight w:val="0"/>
      <w:marTop w:val="0"/>
      <w:marBottom w:val="0"/>
      <w:divBdr>
        <w:top w:val="none" w:sz="0" w:space="0" w:color="auto"/>
        <w:left w:val="none" w:sz="0" w:space="0" w:color="auto"/>
        <w:bottom w:val="none" w:sz="0" w:space="0" w:color="auto"/>
        <w:right w:val="none" w:sz="0" w:space="0" w:color="auto"/>
      </w:divBdr>
    </w:div>
    <w:div w:id="253980994">
      <w:bodyDiv w:val="1"/>
      <w:marLeft w:val="0"/>
      <w:marRight w:val="0"/>
      <w:marTop w:val="0"/>
      <w:marBottom w:val="0"/>
      <w:divBdr>
        <w:top w:val="none" w:sz="0" w:space="0" w:color="auto"/>
        <w:left w:val="none" w:sz="0" w:space="0" w:color="auto"/>
        <w:bottom w:val="none" w:sz="0" w:space="0" w:color="auto"/>
        <w:right w:val="none" w:sz="0" w:space="0" w:color="auto"/>
      </w:divBdr>
    </w:div>
    <w:div w:id="255596531">
      <w:bodyDiv w:val="1"/>
      <w:marLeft w:val="0"/>
      <w:marRight w:val="0"/>
      <w:marTop w:val="0"/>
      <w:marBottom w:val="0"/>
      <w:divBdr>
        <w:top w:val="none" w:sz="0" w:space="0" w:color="auto"/>
        <w:left w:val="none" w:sz="0" w:space="0" w:color="auto"/>
        <w:bottom w:val="none" w:sz="0" w:space="0" w:color="auto"/>
        <w:right w:val="none" w:sz="0" w:space="0" w:color="auto"/>
      </w:divBdr>
    </w:div>
    <w:div w:id="257714402">
      <w:bodyDiv w:val="1"/>
      <w:marLeft w:val="0"/>
      <w:marRight w:val="0"/>
      <w:marTop w:val="0"/>
      <w:marBottom w:val="0"/>
      <w:divBdr>
        <w:top w:val="none" w:sz="0" w:space="0" w:color="auto"/>
        <w:left w:val="none" w:sz="0" w:space="0" w:color="auto"/>
        <w:bottom w:val="none" w:sz="0" w:space="0" w:color="auto"/>
        <w:right w:val="none" w:sz="0" w:space="0" w:color="auto"/>
      </w:divBdr>
    </w:div>
    <w:div w:id="260647763">
      <w:bodyDiv w:val="1"/>
      <w:marLeft w:val="0"/>
      <w:marRight w:val="0"/>
      <w:marTop w:val="0"/>
      <w:marBottom w:val="0"/>
      <w:divBdr>
        <w:top w:val="none" w:sz="0" w:space="0" w:color="auto"/>
        <w:left w:val="none" w:sz="0" w:space="0" w:color="auto"/>
        <w:bottom w:val="none" w:sz="0" w:space="0" w:color="auto"/>
        <w:right w:val="none" w:sz="0" w:space="0" w:color="auto"/>
      </w:divBdr>
    </w:div>
    <w:div w:id="272711321">
      <w:bodyDiv w:val="1"/>
      <w:marLeft w:val="0"/>
      <w:marRight w:val="0"/>
      <w:marTop w:val="0"/>
      <w:marBottom w:val="0"/>
      <w:divBdr>
        <w:top w:val="none" w:sz="0" w:space="0" w:color="auto"/>
        <w:left w:val="none" w:sz="0" w:space="0" w:color="auto"/>
        <w:bottom w:val="none" w:sz="0" w:space="0" w:color="auto"/>
        <w:right w:val="none" w:sz="0" w:space="0" w:color="auto"/>
      </w:divBdr>
    </w:div>
    <w:div w:id="276639659">
      <w:bodyDiv w:val="1"/>
      <w:marLeft w:val="0"/>
      <w:marRight w:val="0"/>
      <w:marTop w:val="0"/>
      <w:marBottom w:val="0"/>
      <w:divBdr>
        <w:top w:val="none" w:sz="0" w:space="0" w:color="auto"/>
        <w:left w:val="none" w:sz="0" w:space="0" w:color="auto"/>
        <w:bottom w:val="none" w:sz="0" w:space="0" w:color="auto"/>
        <w:right w:val="none" w:sz="0" w:space="0" w:color="auto"/>
      </w:divBdr>
    </w:div>
    <w:div w:id="284703581">
      <w:bodyDiv w:val="1"/>
      <w:marLeft w:val="0"/>
      <w:marRight w:val="0"/>
      <w:marTop w:val="0"/>
      <w:marBottom w:val="0"/>
      <w:divBdr>
        <w:top w:val="none" w:sz="0" w:space="0" w:color="auto"/>
        <w:left w:val="none" w:sz="0" w:space="0" w:color="auto"/>
        <w:bottom w:val="none" w:sz="0" w:space="0" w:color="auto"/>
        <w:right w:val="none" w:sz="0" w:space="0" w:color="auto"/>
      </w:divBdr>
    </w:div>
    <w:div w:id="284849277">
      <w:bodyDiv w:val="1"/>
      <w:marLeft w:val="0"/>
      <w:marRight w:val="0"/>
      <w:marTop w:val="0"/>
      <w:marBottom w:val="0"/>
      <w:divBdr>
        <w:top w:val="none" w:sz="0" w:space="0" w:color="auto"/>
        <w:left w:val="none" w:sz="0" w:space="0" w:color="auto"/>
        <w:bottom w:val="none" w:sz="0" w:space="0" w:color="auto"/>
        <w:right w:val="none" w:sz="0" w:space="0" w:color="auto"/>
      </w:divBdr>
    </w:div>
    <w:div w:id="284889727">
      <w:bodyDiv w:val="1"/>
      <w:marLeft w:val="0"/>
      <w:marRight w:val="0"/>
      <w:marTop w:val="0"/>
      <w:marBottom w:val="0"/>
      <w:divBdr>
        <w:top w:val="none" w:sz="0" w:space="0" w:color="auto"/>
        <w:left w:val="none" w:sz="0" w:space="0" w:color="auto"/>
        <w:bottom w:val="none" w:sz="0" w:space="0" w:color="auto"/>
        <w:right w:val="none" w:sz="0" w:space="0" w:color="auto"/>
      </w:divBdr>
    </w:div>
    <w:div w:id="292104758">
      <w:bodyDiv w:val="1"/>
      <w:marLeft w:val="0"/>
      <w:marRight w:val="0"/>
      <w:marTop w:val="0"/>
      <w:marBottom w:val="0"/>
      <w:divBdr>
        <w:top w:val="none" w:sz="0" w:space="0" w:color="auto"/>
        <w:left w:val="none" w:sz="0" w:space="0" w:color="auto"/>
        <w:bottom w:val="none" w:sz="0" w:space="0" w:color="auto"/>
        <w:right w:val="none" w:sz="0" w:space="0" w:color="auto"/>
      </w:divBdr>
    </w:div>
    <w:div w:id="301887982">
      <w:bodyDiv w:val="1"/>
      <w:marLeft w:val="0"/>
      <w:marRight w:val="0"/>
      <w:marTop w:val="0"/>
      <w:marBottom w:val="0"/>
      <w:divBdr>
        <w:top w:val="none" w:sz="0" w:space="0" w:color="auto"/>
        <w:left w:val="none" w:sz="0" w:space="0" w:color="auto"/>
        <w:bottom w:val="none" w:sz="0" w:space="0" w:color="auto"/>
        <w:right w:val="none" w:sz="0" w:space="0" w:color="auto"/>
      </w:divBdr>
    </w:div>
    <w:div w:id="307826515">
      <w:bodyDiv w:val="1"/>
      <w:marLeft w:val="0"/>
      <w:marRight w:val="0"/>
      <w:marTop w:val="0"/>
      <w:marBottom w:val="0"/>
      <w:divBdr>
        <w:top w:val="none" w:sz="0" w:space="0" w:color="auto"/>
        <w:left w:val="none" w:sz="0" w:space="0" w:color="auto"/>
        <w:bottom w:val="none" w:sz="0" w:space="0" w:color="auto"/>
        <w:right w:val="none" w:sz="0" w:space="0" w:color="auto"/>
      </w:divBdr>
    </w:div>
    <w:div w:id="315451442">
      <w:bodyDiv w:val="1"/>
      <w:marLeft w:val="0"/>
      <w:marRight w:val="0"/>
      <w:marTop w:val="0"/>
      <w:marBottom w:val="0"/>
      <w:divBdr>
        <w:top w:val="none" w:sz="0" w:space="0" w:color="auto"/>
        <w:left w:val="none" w:sz="0" w:space="0" w:color="auto"/>
        <w:bottom w:val="none" w:sz="0" w:space="0" w:color="auto"/>
        <w:right w:val="none" w:sz="0" w:space="0" w:color="auto"/>
      </w:divBdr>
    </w:div>
    <w:div w:id="317269588">
      <w:bodyDiv w:val="1"/>
      <w:marLeft w:val="0"/>
      <w:marRight w:val="0"/>
      <w:marTop w:val="0"/>
      <w:marBottom w:val="0"/>
      <w:divBdr>
        <w:top w:val="none" w:sz="0" w:space="0" w:color="auto"/>
        <w:left w:val="none" w:sz="0" w:space="0" w:color="auto"/>
        <w:bottom w:val="none" w:sz="0" w:space="0" w:color="auto"/>
        <w:right w:val="none" w:sz="0" w:space="0" w:color="auto"/>
      </w:divBdr>
    </w:div>
    <w:div w:id="317610535">
      <w:bodyDiv w:val="1"/>
      <w:marLeft w:val="0"/>
      <w:marRight w:val="0"/>
      <w:marTop w:val="0"/>
      <w:marBottom w:val="0"/>
      <w:divBdr>
        <w:top w:val="none" w:sz="0" w:space="0" w:color="auto"/>
        <w:left w:val="none" w:sz="0" w:space="0" w:color="auto"/>
        <w:bottom w:val="none" w:sz="0" w:space="0" w:color="auto"/>
        <w:right w:val="none" w:sz="0" w:space="0" w:color="auto"/>
      </w:divBdr>
    </w:div>
    <w:div w:id="322703934">
      <w:bodyDiv w:val="1"/>
      <w:marLeft w:val="0"/>
      <w:marRight w:val="0"/>
      <w:marTop w:val="0"/>
      <w:marBottom w:val="0"/>
      <w:divBdr>
        <w:top w:val="none" w:sz="0" w:space="0" w:color="auto"/>
        <w:left w:val="none" w:sz="0" w:space="0" w:color="auto"/>
        <w:bottom w:val="none" w:sz="0" w:space="0" w:color="auto"/>
        <w:right w:val="none" w:sz="0" w:space="0" w:color="auto"/>
      </w:divBdr>
    </w:div>
    <w:div w:id="337079499">
      <w:bodyDiv w:val="1"/>
      <w:marLeft w:val="0"/>
      <w:marRight w:val="0"/>
      <w:marTop w:val="0"/>
      <w:marBottom w:val="0"/>
      <w:divBdr>
        <w:top w:val="none" w:sz="0" w:space="0" w:color="auto"/>
        <w:left w:val="none" w:sz="0" w:space="0" w:color="auto"/>
        <w:bottom w:val="none" w:sz="0" w:space="0" w:color="auto"/>
        <w:right w:val="none" w:sz="0" w:space="0" w:color="auto"/>
      </w:divBdr>
    </w:div>
    <w:div w:id="340084463">
      <w:bodyDiv w:val="1"/>
      <w:marLeft w:val="0"/>
      <w:marRight w:val="0"/>
      <w:marTop w:val="0"/>
      <w:marBottom w:val="0"/>
      <w:divBdr>
        <w:top w:val="none" w:sz="0" w:space="0" w:color="auto"/>
        <w:left w:val="none" w:sz="0" w:space="0" w:color="auto"/>
        <w:bottom w:val="none" w:sz="0" w:space="0" w:color="auto"/>
        <w:right w:val="none" w:sz="0" w:space="0" w:color="auto"/>
      </w:divBdr>
    </w:div>
    <w:div w:id="344211530">
      <w:bodyDiv w:val="1"/>
      <w:marLeft w:val="0"/>
      <w:marRight w:val="0"/>
      <w:marTop w:val="0"/>
      <w:marBottom w:val="0"/>
      <w:divBdr>
        <w:top w:val="none" w:sz="0" w:space="0" w:color="auto"/>
        <w:left w:val="none" w:sz="0" w:space="0" w:color="auto"/>
        <w:bottom w:val="none" w:sz="0" w:space="0" w:color="auto"/>
        <w:right w:val="none" w:sz="0" w:space="0" w:color="auto"/>
      </w:divBdr>
    </w:div>
    <w:div w:id="357047198">
      <w:bodyDiv w:val="1"/>
      <w:marLeft w:val="0"/>
      <w:marRight w:val="0"/>
      <w:marTop w:val="0"/>
      <w:marBottom w:val="0"/>
      <w:divBdr>
        <w:top w:val="none" w:sz="0" w:space="0" w:color="auto"/>
        <w:left w:val="none" w:sz="0" w:space="0" w:color="auto"/>
        <w:bottom w:val="none" w:sz="0" w:space="0" w:color="auto"/>
        <w:right w:val="none" w:sz="0" w:space="0" w:color="auto"/>
      </w:divBdr>
    </w:div>
    <w:div w:id="362941223">
      <w:bodyDiv w:val="1"/>
      <w:marLeft w:val="0"/>
      <w:marRight w:val="0"/>
      <w:marTop w:val="0"/>
      <w:marBottom w:val="0"/>
      <w:divBdr>
        <w:top w:val="none" w:sz="0" w:space="0" w:color="auto"/>
        <w:left w:val="none" w:sz="0" w:space="0" w:color="auto"/>
        <w:bottom w:val="none" w:sz="0" w:space="0" w:color="auto"/>
        <w:right w:val="none" w:sz="0" w:space="0" w:color="auto"/>
      </w:divBdr>
    </w:div>
    <w:div w:id="365984450">
      <w:bodyDiv w:val="1"/>
      <w:marLeft w:val="0"/>
      <w:marRight w:val="0"/>
      <w:marTop w:val="0"/>
      <w:marBottom w:val="0"/>
      <w:divBdr>
        <w:top w:val="none" w:sz="0" w:space="0" w:color="auto"/>
        <w:left w:val="none" w:sz="0" w:space="0" w:color="auto"/>
        <w:bottom w:val="none" w:sz="0" w:space="0" w:color="auto"/>
        <w:right w:val="none" w:sz="0" w:space="0" w:color="auto"/>
      </w:divBdr>
    </w:div>
    <w:div w:id="397477443">
      <w:bodyDiv w:val="1"/>
      <w:marLeft w:val="0"/>
      <w:marRight w:val="0"/>
      <w:marTop w:val="0"/>
      <w:marBottom w:val="0"/>
      <w:divBdr>
        <w:top w:val="none" w:sz="0" w:space="0" w:color="auto"/>
        <w:left w:val="none" w:sz="0" w:space="0" w:color="auto"/>
        <w:bottom w:val="none" w:sz="0" w:space="0" w:color="auto"/>
        <w:right w:val="none" w:sz="0" w:space="0" w:color="auto"/>
      </w:divBdr>
    </w:div>
    <w:div w:id="397632262">
      <w:bodyDiv w:val="1"/>
      <w:marLeft w:val="0"/>
      <w:marRight w:val="0"/>
      <w:marTop w:val="0"/>
      <w:marBottom w:val="0"/>
      <w:divBdr>
        <w:top w:val="none" w:sz="0" w:space="0" w:color="auto"/>
        <w:left w:val="none" w:sz="0" w:space="0" w:color="auto"/>
        <w:bottom w:val="none" w:sz="0" w:space="0" w:color="auto"/>
        <w:right w:val="none" w:sz="0" w:space="0" w:color="auto"/>
      </w:divBdr>
    </w:div>
    <w:div w:id="397897805">
      <w:bodyDiv w:val="1"/>
      <w:marLeft w:val="0"/>
      <w:marRight w:val="0"/>
      <w:marTop w:val="0"/>
      <w:marBottom w:val="0"/>
      <w:divBdr>
        <w:top w:val="none" w:sz="0" w:space="0" w:color="auto"/>
        <w:left w:val="none" w:sz="0" w:space="0" w:color="auto"/>
        <w:bottom w:val="none" w:sz="0" w:space="0" w:color="auto"/>
        <w:right w:val="none" w:sz="0" w:space="0" w:color="auto"/>
      </w:divBdr>
    </w:div>
    <w:div w:id="401298687">
      <w:bodyDiv w:val="1"/>
      <w:marLeft w:val="0"/>
      <w:marRight w:val="0"/>
      <w:marTop w:val="0"/>
      <w:marBottom w:val="0"/>
      <w:divBdr>
        <w:top w:val="none" w:sz="0" w:space="0" w:color="auto"/>
        <w:left w:val="none" w:sz="0" w:space="0" w:color="auto"/>
        <w:bottom w:val="none" w:sz="0" w:space="0" w:color="auto"/>
        <w:right w:val="none" w:sz="0" w:space="0" w:color="auto"/>
      </w:divBdr>
    </w:div>
    <w:div w:id="402141716">
      <w:bodyDiv w:val="1"/>
      <w:marLeft w:val="0"/>
      <w:marRight w:val="0"/>
      <w:marTop w:val="0"/>
      <w:marBottom w:val="0"/>
      <w:divBdr>
        <w:top w:val="none" w:sz="0" w:space="0" w:color="auto"/>
        <w:left w:val="none" w:sz="0" w:space="0" w:color="auto"/>
        <w:bottom w:val="none" w:sz="0" w:space="0" w:color="auto"/>
        <w:right w:val="none" w:sz="0" w:space="0" w:color="auto"/>
      </w:divBdr>
    </w:div>
    <w:div w:id="407730003">
      <w:bodyDiv w:val="1"/>
      <w:marLeft w:val="0"/>
      <w:marRight w:val="0"/>
      <w:marTop w:val="0"/>
      <w:marBottom w:val="0"/>
      <w:divBdr>
        <w:top w:val="none" w:sz="0" w:space="0" w:color="auto"/>
        <w:left w:val="none" w:sz="0" w:space="0" w:color="auto"/>
        <w:bottom w:val="none" w:sz="0" w:space="0" w:color="auto"/>
        <w:right w:val="none" w:sz="0" w:space="0" w:color="auto"/>
      </w:divBdr>
    </w:div>
    <w:div w:id="410353241">
      <w:bodyDiv w:val="1"/>
      <w:marLeft w:val="0"/>
      <w:marRight w:val="0"/>
      <w:marTop w:val="0"/>
      <w:marBottom w:val="0"/>
      <w:divBdr>
        <w:top w:val="none" w:sz="0" w:space="0" w:color="auto"/>
        <w:left w:val="none" w:sz="0" w:space="0" w:color="auto"/>
        <w:bottom w:val="none" w:sz="0" w:space="0" w:color="auto"/>
        <w:right w:val="none" w:sz="0" w:space="0" w:color="auto"/>
      </w:divBdr>
    </w:div>
    <w:div w:id="418596738">
      <w:bodyDiv w:val="1"/>
      <w:marLeft w:val="0"/>
      <w:marRight w:val="0"/>
      <w:marTop w:val="0"/>
      <w:marBottom w:val="0"/>
      <w:divBdr>
        <w:top w:val="none" w:sz="0" w:space="0" w:color="auto"/>
        <w:left w:val="none" w:sz="0" w:space="0" w:color="auto"/>
        <w:bottom w:val="none" w:sz="0" w:space="0" w:color="auto"/>
        <w:right w:val="none" w:sz="0" w:space="0" w:color="auto"/>
      </w:divBdr>
    </w:div>
    <w:div w:id="435830231">
      <w:bodyDiv w:val="1"/>
      <w:marLeft w:val="0"/>
      <w:marRight w:val="0"/>
      <w:marTop w:val="0"/>
      <w:marBottom w:val="0"/>
      <w:divBdr>
        <w:top w:val="none" w:sz="0" w:space="0" w:color="auto"/>
        <w:left w:val="none" w:sz="0" w:space="0" w:color="auto"/>
        <w:bottom w:val="none" w:sz="0" w:space="0" w:color="auto"/>
        <w:right w:val="none" w:sz="0" w:space="0" w:color="auto"/>
      </w:divBdr>
    </w:div>
    <w:div w:id="437604972">
      <w:bodyDiv w:val="1"/>
      <w:marLeft w:val="0"/>
      <w:marRight w:val="0"/>
      <w:marTop w:val="0"/>
      <w:marBottom w:val="0"/>
      <w:divBdr>
        <w:top w:val="none" w:sz="0" w:space="0" w:color="auto"/>
        <w:left w:val="none" w:sz="0" w:space="0" w:color="auto"/>
        <w:bottom w:val="none" w:sz="0" w:space="0" w:color="auto"/>
        <w:right w:val="none" w:sz="0" w:space="0" w:color="auto"/>
      </w:divBdr>
    </w:div>
    <w:div w:id="442042974">
      <w:bodyDiv w:val="1"/>
      <w:marLeft w:val="0"/>
      <w:marRight w:val="0"/>
      <w:marTop w:val="0"/>
      <w:marBottom w:val="0"/>
      <w:divBdr>
        <w:top w:val="none" w:sz="0" w:space="0" w:color="auto"/>
        <w:left w:val="none" w:sz="0" w:space="0" w:color="auto"/>
        <w:bottom w:val="none" w:sz="0" w:space="0" w:color="auto"/>
        <w:right w:val="none" w:sz="0" w:space="0" w:color="auto"/>
      </w:divBdr>
    </w:div>
    <w:div w:id="446779554">
      <w:bodyDiv w:val="1"/>
      <w:marLeft w:val="0"/>
      <w:marRight w:val="0"/>
      <w:marTop w:val="0"/>
      <w:marBottom w:val="0"/>
      <w:divBdr>
        <w:top w:val="none" w:sz="0" w:space="0" w:color="auto"/>
        <w:left w:val="none" w:sz="0" w:space="0" w:color="auto"/>
        <w:bottom w:val="none" w:sz="0" w:space="0" w:color="auto"/>
        <w:right w:val="none" w:sz="0" w:space="0" w:color="auto"/>
      </w:divBdr>
    </w:div>
    <w:div w:id="448621386">
      <w:bodyDiv w:val="1"/>
      <w:marLeft w:val="0"/>
      <w:marRight w:val="0"/>
      <w:marTop w:val="0"/>
      <w:marBottom w:val="0"/>
      <w:divBdr>
        <w:top w:val="none" w:sz="0" w:space="0" w:color="auto"/>
        <w:left w:val="none" w:sz="0" w:space="0" w:color="auto"/>
        <w:bottom w:val="none" w:sz="0" w:space="0" w:color="auto"/>
        <w:right w:val="none" w:sz="0" w:space="0" w:color="auto"/>
      </w:divBdr>
    </w:div>
    <w:div w:id="453182580">
      <w:bodyDiv w:val="1"/>
      <w:marLeft w:val="0"/>
      <w:marRight w:val="0"/>
      <w:marTop w:val="0"/>
      <w:marBottom w:val="0"/>
      <w:divBdr>
        <w:top w:val="none" w:sz="0" w:space="0" w:color="auto"/>
        <w:left w:val="none" w:sz="0" w:space="0" w:color="auto"/>
        <w:bottom w:val="none" w:sz="0" w:space="0" w:color="auto"/>
        <w:right w:val="none" w:sz="0" w:space="0" w:color="auto"/>
      </w:divBdr>
    </w:div>
    <w:div w:id="453713255">
      <w:bodyDiv w:val="1"/>
      <w:marLeft w:val="0"/>
      <w:marRight w:val="0"/>
      <w:marTop w:val="0"/>
      <w:marBottom w:val="0"/>
      <w:divBdr>
        <w:top w:val="none" w:sz="0" w:space="0" w:color="auto"/>
        <w:left w:val="none" w:sz="0" w:space="0" w:color="auto"/>
        <w:bottom w:val="none" w:sz="0" w:space="0" w:color="auto"/>
        <w:right w:val="none" w:sz="0" w:space="0" w:color="auto"/>
      </w:divBdr>
    </w:div>
    <w:div w:id="460194648">
      <w:bodyDiv w:val="1"/>
      <w:marLeft w:val="0"/>
      <w:marRight w:val="0"/>
      <w:marTop w:val="0"/>
      <w:marBottom w:val="0"/>
      <w:divBdr>
        <w:top w:val="none" w:sz="0" w:space="0" w:color="auto"/>
        <w:left w:val="none" w:sz="0" w:space="0" w:color="auto"/>
        <w:bottom w:val="none" w:sz="0" w:space="0" w:color="auto"/>
        <w:right w:val="none" w:sz="0" w:space="0" w:color="auto"/>
      </w:divBdr>
    </w:div>
    <w:div w:id="466779537">
      <w:bodyDiv w:val="1"/>
      <w:marLeft w:val="0"/>
      <w:marRight w:val="0"/>
      <w:marTop w:val="0"/>
      <w:marBottom w:val="0"/>
      <w:divBdr>
        <w:top w:val="none" w:sz="0" w:space="0" w:color="auto"/>
        <w:left w:val="none" w:sz="0" w:space="0" w:color="auto"/>
        <w:bottom w:val="none" w:sz="0" w:space="0" w:color="auto"/>
        <w:right w:val="none" w:sz="0" w:space="0" w:color="auto"/>
      </w:divBdr>
    </w:div>
    <w:div w:id="476532784">
      <w:bodyDiv w:val="1"/>
      <w:marLeft w:val="0"/>
      <w:marRight w:val="0"/>
      <w:marTop w:val="0"/>
      <w:marBottom w:val="0"/>
      <w:divBdr>
        <w:top w:val="none" w:sz="0" w:space="0" w:color="auto"/>
        <w:left w:val="none" w:sz="0" w:space="0" w:color="auto"/>
        <w:bottom w:val="none" w:sz="0" w:space="0" w:color="auto"/>
        <w:right w:val="none" w:sz="0" w:space="0" w:color="auto"/>
      </w:divBdr>
    </w:div>
    <w:div w:id="495849946">
      <w:bodyDiv w:val="1"/>
      <w:marLeft w:val="0"/>
      <w:marRight w:val="0"/>
      <w:marTop w:val="0"/>
      <w:marBottom w:val="0"/>
      <w:divBdr>
        <w:top w:val="none" w:sz="0" w:space="0" w:color="auto"/>
        <w:left w:val="none" w:sz="0" w:space="0" w:color="auto"/>
        <w:bottom w:val="none" w:sz="0" w:space="0" w:color="auto"/>
        <w:right w:val="none" w:sz="0" w:space="0" w:color="auto"/>
      </w:divBdr>
    </w:div>
    <w:div w:id="524712028">
      <w:bodyDiv w:val="1"/>
      <w:marLeft w:val="0"/>
      <w:marRight w:val="0"/>
      <w:marTop w:val="0"/>
      <w:marBottom w:val="0"/>
      <w:divBdr>
        <w:top w:val="none" w:sz="0" w:space="0" w:color="auto"/>
        <w:left w:val="none" w:sz="0" w:space="0" w:color="auto"/>
        <w:bottom w:val="none" w:sz="0" w:space="0" w:color="auto"/>
        <w:right w:val="none" w:sz="0" w:space="0" w:color="auto"/>
      </w:divBdr>
    </w:div>
    <w:div w:id="526333444">
      <w:bodyDiv w:val="1"/>
      <w:marLeft w:val="0"/>
      <w:marRight w:val="0"/>
      <w:marTop w:val="0"/>
      <w:marBottom w:val="0"/>
      <w:divBdr>
        <w:top w:val="none" w:sz="0" w:space="0" w:color="auto"/>
        <w:left w:val="none" w:sz="0" w:space="0" w:color="auto"/>
        <w:bottom w:val="none" w:sz="0" w:space="0" w:color="auto"/>
        <w:right w:val="none" w:sz="0" w:space="0" w:color="auto"/>
      </w:divBdr>
    </w:div>
    <w:div w:id="528950456">
      <w:bodyDiv w:val="1"/>
      <w:marLeft w:val="0"/>
      <w:marRight w:val="0"/>
      <w:marTop w:val="0"/>
      <w:marBottom w:val="0"/>
      <w:divBdr>
        <w:top w:val="none" w:sz="0" w:space="0" w:color="auto"/>
        <w:left w:val="none" w:sz="0" w:space="0" w:color="auto"/>
        <w:bottom w:val="none" w:sz="0" w:space="0" w:color="auto"/>
        <w:right w:val="none" w:sz="0" w:space="0" w:color="auto"/>
      </w:divBdr>
    </w:div>
    <w:div w:id="529412782">
      <w:bodyDiv w:val="1"/>
      <w:marLeft w:val="0"/>
      <w:marRight w:val="0"/>
      <w:marTop w:val="0"/>
      <w:marBottom w:val="0"/>
      <w:divBdr>
        <w:top w:val="none" w:sz="0" w:space="0" w:color="auto"/>
        <w:left w:val="none" w:sz="0" w:space="0" w:color="auto"/>
        <w:bottom w:val="none" w:sz="0" w:space="0" w:color="auto"/>
        <w:right w:val="none" w:sz="0" w:space="0" w:color="auto"/>
      </w:divBdr>
    </w:div>
    <w:div w:id="538664851">
      <w:bodyDiv w:val="1"/>
      <w:marLeft w:val="0"/>
      <w:marRight w:val="0"/>
      <w:marTop w:val="0"/>
      <w:marBottom w:val="0"/>
      <w:divBdr>
        <w:top w:val="none" w:sz="0" w:space="0" w:color="auto"/>
        <w:left w:val="none" w:sz="0" w:space="0" w:color="auto"/>
        <w:bottom w:val="none" w:sz="0" w:space="0" w:color="auto"/>
        <w:right w:val="none" w:sz="0" w:space="0" w:color="auto"/>
      </w:divBdr>
    </w:div>
    <w:div w:id="543253267">
      <w:bodyDiv w:val="1"/>
      <w:marLeft w:val="0"/>
      <w:marRight w:val="0"/>
      <w:marTop w:val="0"/>
      <w:marBottom w:val="0"/>
      <w:divBdr>
        <w:top w:val="none" w:sz="0" w:space="0" w:color="auto"/>
        <w:left w:val="none" w:sz="0" w:space="0" w:color="auto"/>
        <w:bottom w:val="none" w:sz="0" w:space="0" w:color="auto"/>
        <w:right w:val="none" w:sz="0" w:space="0" w:color="auto"/>
      </w:divBdr>
    </w:div>
    <w:div w:id="548806132">
      <w:bodyDiv w:val="1"/>
      <w:marLeft w:val="0"/>
      <w:marRight w:val="0"/>
      <w:marTop w:val="0"/>
      <w:marBottom w:val="0"/>
      <w:divBdr>
        <w:top w:val="none" w:sz="0" w:space="0" w:color="auto"/>
        <w:left w:val="none" w:sz="0" w:space="0" w:color="auto"/>
        <w:bottom w:val="none" w:sz="0" w:space="0" w:color="auto"/>
        <w:right w:val="none" w:sz="0" w:space="0" w:color="auto"/>
      </w:divBdr>
    </w:div>
    <w:div w:id="549456905">
      <w:bodyDiv w:val="1"/>
      <w:marLeft w:val="0"/>
      <w:marRight w:val="0"/>
      <w:marTop w:val="0"/>
      <w:marBottom w:val="0"/>
      <w:divBdr>
        <w:top w:val="none" w:sz="0" w:space="0" w:color="auto"/>
        <w:left w:val="none" w:sz="0" w:space="0" w:color="auto"/>
        <w:bottom w:val="none" w:sz="0" w:space="0" w:color="auto"/>
        <w:right w:val="none" w:sz="0" w:space="0" w:color="auto"/>
      </w:divBdr>
    </w:div>
    <w:div w:id="556015242">
      <w:bodyDiv w:val="1"/>
      <w:marLeft w:val="0"/>
      <w:marRight w:val="0"/>
      <w:marTop w:val="0"/>
      <w:marBottom w:val="0"/>
      <w:divBdr>
        <w:top w:val="none" w:sz="0" w:space="0" w:color="auto"/>
        <w:left w:val="none" w:sz="0" w:space="0" w:color="auto"/>
        <w:bottom w:val="none" w:sz="0" w:space="0" w:color="auto"/>
        <w:right w:val="none" w:sz="0" w:space="0" w:color="auto"/>
      </w:divBdr>
    </w:div>
    <w:div w:id="556935751">
      <w:bodyDiv w:val="1"/>
      <w:marLeft w:val="0"/>
      <w:marRight w:val="0"/>
      <w:marTop w:val="0"/>
      <w:marBottom w:val="0"/>
      <w:divBdr>
        <w:top w:val="none" w:sz="0" w:space="0" w:color="auto"/>
        <w:left w:val="none" w:sz="0" w:space="0" w:color="auto"/>
        <w:bottom w:val="none" w:sz="0" w:space="0" w:color="auto"/>
        <w:right w:val="none" w:sz="0" w:space="0" w:color="auto"/>
      </w:divBdr>
    </w:div>
    <w:div w:id="565577396">
      <w:bodyDiv w:val="1"/>
      <w:marLeft w:val="0"/>
      <w:marRight w:val="0"/>
      <w:marTop w:val="0"/>
      <w:marBottom w:val="0"/>
      <w:divBdr>
        <w:top w:val="none" w:sz="0" w:space="0" w:color="auto"/>
        <w:left w:val="none" w:sz="0" w:space="0" w:color="auto"/>
        <w:bottom w:val="none" w:sz="0" w:space="0" w:color="auto"/>
        <w:right w:val="none" w:sz="0" w:space="0" w:color="auto"/>
      </w:divBdr>
    </w:div>
    <w:div w:id="575438341">
      <w:bodyDiv w:val="1"/>
      <w:marLeft w:val="0"/>
      <w:marRight w:val="0"/>
      <w:marTop w:val="0"/>
      <w:marBottom w:val="0"/>
      <w:divBdr>
        <w:top w:val="none" w:sz="0" w:space="0" w:color="auto"/>
        <w:left w:val="none" w:sz="0" w:space="0" w:color="auto"/>
        <w:bottom w:val="none" w:sz="0" w:space="0" w:color="auto"/>
        <w:right w:val="none" w:sz="0" w:space="0" w:color="auto"/>
      </w:divBdr>
    </w:div>
    <w:div w:id="580605322">
      <w:bodyDiv w:val="1"/>
      <w:marLeft w:val="0"/>
      <w:marRight w:val="0"/>
      <w:marTop w:val="0"/>
      <w:marBottom w:val="0"/>
      <w:divBdr>
        <w:top w:val="none" w:sz="0" w:space="0" w:color="auto"/>
        <w:left w:val="none" w:sz="0" w:space="0" w:color="auto"/>
        <w:bottom w:val="none" w:sz="0" w:space="0" w:color="auto"/>
        <w:right w:val="none" w:sz="0" w:space="0" w:color="auto"/>
      </w:divBdr>
    </w:div>
    <w:div w:id="593787491">
      <w:bodyDiv w:val="1"/>
      <w:marLeft w:val="0"/>
      <w:marRight w:val="0"/>
      <w:marTop w:val="0"/>
      <w:marBottom w:val="0"/>
      <w:divBdr>
        <w:top w:val="none" w:sz="0" w:space="0" w:color="auto"/>
        <w:left w:val="none" w:sz="0" w:space="0" w:color="auto"/>
        <w:bottom w:val="none" w:sz="0" w:space="0" w:color="auto"/>
        <w:right w:val="none" w:sz="0" w:space="0" w:color="auto"/>
      </w:divBdr>
    </w:div>
    <w:div w:id="594944704">
      <w:bodyDiv w:val="1"/>
      <w:marLeft w:val="0"/>
      <w:marRight w:val="0"/>
      <w:marTop w:val="0"/>
      <w:marBottom w:val="0"/>
      <w:divBdr>
        <w:top w:val="none" w:sz="0" w:space="0" w:color="auto"/>
        <w:left w:val="none" w:sz="0" w:space="0" w:color="auto"/>
        <w:bottom w:val="none" w:sz="0" w:space="0" w:color="auto"/>
        <w:right w:val="none" w:sz="0" w:space="0" w:color="auto"/>
      </w:divBdr>
    </w:div>
    <w:div w:id="597909467">
      <w:bodyDiv w:val="1"/>
      <w:marLeft w:val="0"/>
      <w:marRight w:val="0"/>
      <w:marTop w:val="0"/>
      <w:marBottom w:val="0"/>
      <w:divBdr>
        <w:top w:val="none" w:sz="0" w:space="0" w:color="auto"/>
        <w:left w:val="none" w:sz="0" w:space="0" w:color="auto"/>
        <w:bottom w:val="none" w:sz="0" w:space="0" w:color="auto"/>
        <w:right w:val="none" w:sz="0" w:space="0" w:color="auto"/>
      </w:divBdr>
    </w:div>
    <w:div w:id="599874139">
      <w:bodyDiv w:val="1"/>
      <w:marLeft w:val="0"/>
      <w:marRight w:val="0"/>
      <w:marTop w:val="0"/>
      <w:marBottom w:val="0"/>
      <w:divBdr>
        <w:top w:val="none" w:sz="0" w:space="0" w:color="auto"/>
        <w:left w:val="none" w:sz="0" w:space="0" w:color="auto"/>
        <w:bottom w:val="none" w:sz="0" w:space="0" w:color="auto"/>
        <w:right w:val="none" w:sz="0" w:space="0" w:color="auto"/>
      </w:divBdr>
    </w:div>
    <w:div w:id="610626925">
      <w:bodyDiv w:val="1"/>
      <w:marLeft w:val="0"/>
      <w:marRight w:val="0"/>
      <w:marTop w:val="0"/>
      <w:marBottom w:val="0"/>
      <w:divBdr>
        <w:top w:val="none" w:sz="0" w:space="0" w:color="auto"/>
        <w:left w:val="none" w:sz="0" w:space="0" w:color="auto"/>
        <w:bottom w:val="none" w:sz="0" w:space="0" w:color="auto"/>
        <w:right w:val="none" w:sz="0" w:space="0" w:color="auto"/>
      </w:divBdr>
    </w:div>
    <w:div w:id="616713465">
      <w:bodyDiv w:val="1"/>
      <w:marLeft w:val="0"/>
      <w:marRight w:val="0"/>
      <w:marTop w:val="0"/>
      <w:marBottom w:val="0"/>
      <w:divBdr>
        <w:top w:val="none" w:sz="0" w:space="0" w:color="auto"/>
        <w:left w:val="none" w:sz="0" w:space="0" w:color="auto"/>
        <w:bottom w:val="none" w:sz="0" w:space="0" w:color="auto"/>
        <w:right w:val="none" w:sz="0" w:space="0" w:color="auto"/>
      </w:divBdr>
    </w:div>
    <w:div w:id="617958345">
      <w:bodyDiv w:val="1"/>
      <w:marLeft w:val="0"/>
      <w:marRight w:val="0"/>
      <w:marTop w:val="0"/>
      <w:marBottom w:val="0"/>
      <w:divBdr>
        <w:top w:val="none" w:sz="0" w:space="0" w:color="auto"/>
        <w:left w:val="none" w:sz="0" w:space="0" w:color="auto"/>
        <w:bottom w:val="none" w:sz="0" w:space="0" w:color="auto"/>
        <w:right w:val="none" w:sz="0" w:space="0" w:color="auto"/>
      </w:divBdr>
    </w:div>
    <w:div w:id="619533822">
      <w:bodyDiv w:val="1"/>
      <w:marLeft w:val="0"/>
      <w:marRight w:val="0"/>
      <w:marTop w:val="0"/>
      <w:marBottom w:val="0"/>
      <w:divBdr>
        <w:top w:val="none" w:sz="0" w:space="0" w:color="auto"/>
        <w:left w:val="none" w:sz="0" w:space="0" w:color="auto"/>
        <w:bottom w:val="none" w:sz="0" w:space="0" w:color="auto"/>
        <w:right w:val="none" w:sz="0" w:space="0" w:color="auto"/>
      </w:divBdr>
    </w:div>
    <w:div w:id="621955686">
      <w:bodyDiv w:val="1"/>
      <w:marLeft w:val="0"/>
      <w:marRight w:val="0"/>
      <w:marTop w:val="0"/>
      <w:marBottom w:val="0"/>
      <w:divBdr>
        <w:top w:val="none" w:sz="0" w:space="0" w:color="auto"/>
        <w:left w:val="none" w:sz="0" w:space="0" w:color="auto"/>
        <w:bottom w:val="none" w:sz="0" w:space="0" w:color="auto"/>
        <w:right w:val="none" w:sz="0" w:space="0" w:color="auto"/>
      </w:divBdr>
    </w:div>
    <w:div w:id="623123054">
      <w:bodyDiv w:val="1"/>
      <w:marLeft w:val="0"/>
      <w:marRight w:val="0"/>
      <w:marTop w:val="0"/>
      <w:marBottom w:val="0"/>
      <w:divBdr>
        <w:top w:val="none" w:sz="0" w:space="0" w:color="auto"/>
        <w:left w:val="none" w:sz="0" w:space="0" w:color="auto"/>
        <w:bottom w:val="none" w:sz="0" w:space="0" w:color="auto"/>
        <w:right w:val="none" w:sz="0" w:space="0" w:color="auto"/>
      </w:divBdr>
    </w:div>
    <w:div w:id="627050072">
      <w:bodyDiv w:val="1"/>
      <w:marLeft w:val="0"/>
      <w:marRight w:val="0"/>
      <w:marTop w:val="0"/>
      <w:marBottom w:val="0"/>
      <w:divBdr>
        <w:top w:val="none" w:sz="0" w:space="0" w:color="auto"/>
        <w:left w:val="none" w:sz="0" w:space="0" w:color="auto"/>
        <w:bottom w:val="none" w:sz="0" w:space="0" w:color="auto"/>
        <w:right w:val="none" w:sz="0" w:space="0" w:color="auto"/>
      </w:divBdr>
    </w:div>
    <w:div w:id="641497694">
      <w:bodyDiv w:val="1"/>
      <w:marLeft w:val="0"/>
      <w:marRight w:val="0"/>
      <w:marTop w:val="0"/>
      <w:marBottom w:val="0"/>
      <w:divBdr>
        <w:top w:val="none" w:sz="0" w:space="0" w:color="auto"/>
        <w:left w:val="none" w:sz="0" w:space="0" w:color="auto"/>
        <w:bottom w:val="none" w:sz="0" w:space="0" w:color="auto"/>
        <w:right w:val="none" w:sz="0" w:space="0" w:color="auto"/>
      </w:divBdr>
    </w:div>
    <w:div w:id="650402525">
      <w:bodyDiv w:val="1"/>
      <w:marLeft w:val="0"/>
      <w:marRight w:val="0"/>
      <w:marTop w:val="0"/>
      <w:marBottom w:val="0"/>
      <w:divBdr>
        <w:top w:val="none" w:sz="0" w:space="0" w:color="auto"/>
        <w:left w:val="none" w:sz="0" w:space="0" w:color="auto"/>
        <w:bottom w:val="none" w:sz="0" w:space="0" w:color="auto"/>
        <w:right w:val="none" w:sz="0" w:space="0" w:color="auto"/>
      </w:divBdr>
    </w:div>
    <w:div w:id="654065281">
      <w:bodyDiv w:val="1"/>
      <w:marLeft w:val="0"/>
      <w:marRight w:val="0"/>
      <w:marTop w:val="0"/>
      <w:marBottom w:val="0"/>
      <w:divBdr>
        <w:top w:val="none" w:sz="0" w:space="0" w:color="auto"/>
        <w:left w:val="none" w:sz="0" w:space="0" w:color="auto"/>
        <w:bottom w:val="none" w:sz="0" w:space="0" w:color="auto"/>
        <w:right w:val="none" w:sz="0" w:space="0" w:color="auto"/>
      </w:divBdr>
    </w:div>
    <w:div w:id="657461118">
      <w:bodyDiv w:val="1"/>
      <w:marLeft w:val="0"/>
      <w:marRight w:val="0"/>
      <w:marTop w:val="0"/>
      <w:marBottom w:val="0"/>
      <w:divBdr>
        <w:top w:val="none" w:sz="0" w:space="0" w:color="auto"/>
        <w:left w:val="none" w:sz="0" w:space="0" w:color="auto"/>
        <w:bottom w:val="none" w:sz="0" w:space="0" w:color="auto"/>
        <w:right w:val="none" w:sz="0" w:space="0" w:color="auto"/>
      </w:divBdr>
    </w:div>
    <w:div w:id="660960444">
      <w:bodyDiv w:val="1"/>
      <w:marLeft w:val="0"/>
      <w:marRight w:val="0"/>
      <w:marTop w:val="0"/>
      <w:marBottom w:val="0"/>
      <w:divBdr>
        <w:top w:val="none" w:sz="0" w:space="0" w:color="auto"/>
        <w:left w:val="none" w:sz="0" w:space="0" w:color="auto"/>
        <w:bottom w:val="none" w:sz="0" w:space="0" w:color="auto"/>
        <w:right w:val="none" w:sz="0" w:space="0" w:color="auto"/>
      </w:divBdr>
    </w:div>
    <w:div w:id="662860005">
      <w:bodyDiv w:val="1"/>
      <w:marLeft w:val="0"/>
      <w:marRight w:val="0"/>
      <w:marTop w:val="0"/>
      <w:marBottom w:val="0"/>
      <w:divBdr>
        <w:top w:val="none" w:sz="0" w:space="0" w:color="auto"/>
        <w:left w:val="none" w:sz="0" w:space="0" w:color="auto"/>
        <w:bottom w:val="none" w:sz="0" w:space="0" w:color="auto"/>
        <w:right w:val="none" w:sz="0" w:space="0" w:color="auto"/>
      </w:divBdr>
    </w:div>
    <w:div w:id="674190788">
      <w:bodyDiv w:val="1"/>
      <w:marLeft w:val="0"/>
      <w:marRight w:val="0"/>
      <w:marTop w:val="0"/>
      <w:marBottom w:val="0"/>
      <w:divBdr>
        <w:top w:val="none" w:sz="0" w:space="0" w:color="auto"/>
        <w:left w:val="none" w:sz="0" w:space="0" w:color="auto"/>
        <w:bottom w:val="none" w:sz="0" w:space="0" w:color="auto"/>
        <w:right w:val="none" w:sz="0" w:space="0" w:color="auto"/>
      </w:divBdr>
    </w:div>
    <w:div w:id="685983183">
      <w:bodyDiv w:val="1"/>
      <w:marLeft w:val="0"/>
      <w:marRight w:val="0"/>
      <w:marTop w:val="0"/>
      <w:marBottom w:val="0"/>
      <w:divBdr>
        <w:top w:val="none" w:sz="0" w:space="0" w:color="auto"/>
        <w:left w:val="none" w:sz="0" w:space="0" w:color="auto"/>
        <w:bottom w:val="none" w:sz="0" w:space="0" w:color="auto"/>
        <w:right w:val="none" w:sz="0" w:space="0" w:color="auto"/>
      </w:divBdr>
    </w:div>
    <w:div w:id="695231688">
      <w:bodyDiv w:val="1"/>
      <w:marLeft w:val="0"/>
      <w:marRight w:val="0"/>
      <w:marTop w:val="0"/>
      <w:marBottom w:val="0"/>
      <w:divBdr>
        <w:top w:val="none" w:sz="0" w:space="0" w:color="auto"/>
        <w:left w:val="none" w:sz="0" w:space="0" w:color="auto"/>
        <w:bottom w:val="none" w:sz="0" w:space="0" w:color="auto"/>
        <w:right w:val="none" w:sz="0" w:space="0" w:color="auto"/>
      </w:divBdr>
    </w:div>
    <w:div w:id="697434305">
      <w:bodyDiv w:val="1"/>
      <w:marLeft w:val="0"/>
      <w:marRight w:val="0"/>
      <w:marTop w:val="0"/>
      <w:marBottom w:val="0"/>
      <w:divBdr>
        <w:top w:val="none" w:sz="0" w:space="0" w:color="auto"/>
        <w:left w:val="none" w:sz="0" w:space="0" w:color="auto"/>
        <w:bottom w:val="none" w:sz="0" w:space="0" w:color="auto"/>
        <w:right w:val="none" w:sz="0" w:space="0" w:color="auto"/>
      </w:divBdr>
    </w:div>
    <w:div w:id="702706261">
      <w:bodyDiv w:val="1"/>
      <w:marLeft w:val="0"/>
      <w:marRight w:val="0"/>
      <w:marTop w:val="0"/>
      <w:marBottom w:val="0"/>
      <w:divBdr>
        <w:top w:val="none" w:sz="0" w:space="0" w:color="auto"/>
        <w:left w:val="none" w:sz="0" w:space="0" w:color="auto"/>
        <w:bottom w:val="none" w:sz="0" w:space="0" w:color="auto"/>
        <w:right w:val="none" w:sz="0" w:space="0" w:color="auto"/>
      </w:divBdr>
    </w:div>
    <w:div w:id="708602748">
      <w:bodyDiv w:val="1"/>
      <w:marLeft w:val="0"/>
      <w:marRight w:val="0"/>
      <w:marTop w:val="0"/>
      <w:marBottom w:val="0"/>
      <w:divBdr>
        <w:top w:val="none" w:sz="0" w:space="0" w:color="auto"/>
        <w:left w:val="none" w:sz="0" w:space="0" w:color="auto"/>
        <w:bottom w:val="none" w:sz="0" w:space="0" w:color="auto"/>
        <w:right w:val="none" w:sz="0" w:space="0" w:color="auto"/>
      </w:divBdr>
    </w:div>
    <w:div w:id="734856457">
      <w:bodyDiv w:val="1"/>
      <w:marLeft w:val="0"/>
      <w:marRight w:val="0"/>
      <w:marTop w:val="0"/>
      <w:marBottom w:val="0"/>
      <w:divBdr>
        <w:top w:val="none" w:sz="0" w:space="0" w:color="auto"/>
        <w:left w:val="none" w:sz="0" w:space="0" w:color="auto"/>
        <w:bottom w:val="none" w:sz="0" w:space="0" w:color="auto"/>
        <w:right w:val="none" w:sz="0" w:space="0" w:color="auto"/>
      </w:divBdr>
    </w:div>
    <w:div w:id="745150874">
      <w:bodyDiv w:val="1"/>
      <w:marLeft w:val="0"/>
      <w:marRight w:val="0"/>
      <w:marTop w:val="0"/>
      <w:marBottom w:val="0"/>
      <w:divBdr>
        <w:top w:val="none" w:sz="0" w:space="0" w:color="auto"/>
        <w:left w:val="none" w:sz="0" w:space="0" w:color="auto"/>
        <w:bottom w:val="none" w:sz="0" w:space="0" w:color="auto"/>
        <w:right w:val="none" w:sz="0" w:space="0" w:color="auto"/>
      </w:divBdr>
    </w:div>
    <w:div w:id="751586768">
      <w:bodyDiv w:val="1"/>
      <w:marLeft w:val="0"/>
      <w:marRight w:val="0"/>
      <w:marTop w:val="0"/>
      <w:marBottom w:val="0"/>
      <w:divBdr>
        <w:top w:val="none" w:sz="0" w:space="0" w:color="auto"/>
        <w:left w:val="none" w:sz="0" w:space="0" w:color="auto"/>
        <w:bottom w:val="none" w:sz="0" w:space="0" w:color="auto"/>
        <w:right w:val="none" w:sz="0" w:space="0" w:color="auto"/>
      </w:divBdr>
    </w:div>
    <w:div w:id="757406921">
      <w:bodyDiv w:val="1"/>
      <w:marLeft w:val="0"/>
      <w:marRight w:val="0"/>
      <w:marTop w:val="0"/>
      <w:marBottom w:val="0"/>
      <w:divBdr>
        <w:top w:val="none" w:sz="0" w:space="0" w:color="auto"/>
        <w:left w:val="none" w:sz="0" w:space="0" w:color="auto"/>
        <w:bottom w:val="none" w:sz="0" w:space="0" w:color="auto"/>
        <w:right w:val="none" w:sz="0" w:space="0" w:color="auto"/>
      </w:divBdr>
    </w:div>
    <w:div w:id="760636757">
      <w:bodyDiv w:val="1"/>
      <w:marLeft w:val="0"/>
      <w:marRight w:val="0"/>
      <w:marTop w:val="0"/>
      <w:marBottom w:val="0"/>
      <w:divBdr>
        <w:top w:val="none" w:sz="0" w:space="0" w:color="auto"/>
        <w:left w:val="none" w:sz="0" w:space="0" w:color="auto"/>
        <w:bottom w:val="none" w:sz="0" w:space="0" w:color="auto"/>
        <w:right w:val="none" w:sz="0" w:space="0" w:color="auto"/>
      </w:divBdr>
    </w:div>
    <w:div w:id="770123152">
      <w:bodyDiv w:val="1"/>
      <w:marLeft w:val="0"/>
      <w:marRight w:val="0"/>
      <w:marTop w:val="0"/>
      <w:marBottom w:val="0"/>
      <w:divBdr>
        <w:top w:val="none" w:sz="0" w:space="0" w:color="auto"/>
        <w:left w:val="none" w:sz="0" w:space="0" w:color="auto"/>
        <w:bottom w:val="none" w:sz="0" w:space="0" w:color="auto"/>
        <w:right w:val="none" w:sz="0" w:space="0" w:color="auto"/>
      </w:divBdr>
    </w:div>
    <w:div w:id="773404278">
      <w:bodyDiv w:val="1"/>
      <w:marLeft w:val="0"/>
      <w:marRight w:val="0"/>
      <w:marTop w:val="0"/>
      <w:marBottom w:val="0"/>
      <w:divBdr>
        <w:top w:val="none" w:sz="0" w:space="0" w:color="auto"/>
        <w:left w:val="none" w:sz="0" w:space="0" w:color="auto"/>
        <w:bottom w:val="none" w:sz="0" w:space="0" w:color="auto"/>
        <w:right w:val="none" w:sz="0" w:space="0" w:color="auto"/>
      </w:divBdr>
    </w:div>
    <w:div w:id="774907532">
      <w:bodyDiv w:val="1"/>
      <w:marLeft w:val="0"/>
      <w:marRight w:val="0"/>
      <w:marTop w:val="0"/>
      <w:marBottom w:val="0"/>
      <w:divBdr>
        <w:top w:val="none" w:sz="0" w:space="0" w:color="auto"/>
        <w:left w:val="none" w:sz="0" w:space="0" w:color="auto"/>
        <w:bottom w:val="none" w:sz="0" w:space="0" w:color="auto"/>
        <w:right w:val="none" w:sz="0" w:space="0" w:color="auto"/>
      </w:divBdr>
    </w:div>
    <w:div w:id="774910854">
      <w:bodyDiv w:val="1"/>
      <w:marLeft w:val="0"/>
      <w:marRight w:val="0"/>
      <w:marTop w:val="0"/>
      <w:marBottom w:val="0"/>
      <w:divBdr>
        <w:top w:val="none" w:sz="0" w:space="0" w:color="auto"/>
        <w:left w:val="none" w:sz="0" w:space="0" w:color="auto"/>
        <w:bottom w:val="none" w:sz="0" w:space="0" w:color="auto"/>
        <w:right w:val="none" w:sz="0" w:space="0" w:color="auto"/>
      </w:divBdr>
    </w:div>
    <w:div w:id="782532536">
      <w:bodyDiv w:val="1"/>
      <w:marLeft w:val="0"/>
      <w:marRight w:val="0"/>
      <w:marTop w:val="0"/>
      <w:marBottom w:val="0"/>
      <w:divBdr>
        <w:top w:val="none" w:sz="0" w:space="0" w:color="auto"/>
        <w:left w:val="none" w:sz="0" w:space="0" w:color="auto"/>
        <w:bottom w:val="none" w:sz="0" w:space="0" w:color="auto"/>
        <w:right w:val="none" w:sz="0" w:space="0" w:color="auto"/>
      </w:divBdr>
    </w:div>
    <w:div w:id="787547994">
      <w:bodyDiv w:val="1"/>
      <w:marLeft w:val="0"/>
      <w:marRight w:val="0"/>
      <w:marTop w:val="0"/>
      <w:marBottom w:val="0"/>
      <w:divBdr>
        <w:top w:val="none" w:sz="0" w:space="0" w:color="auto"/>
        <w:left w:val="none" w:sz="0" w:space="0" w:color="auto"/>
        <w:bottom w:val="none" w:sz="0" w:space="0" w:color="auto"/>
        <w:right w:val="none" w:sz="0" w:space="0" w:color="auto"/>
      </w:divBdr>
    </w:div>
    <w:div w:id="788202840">
      <w:bodyDiv w:val="1"/>
      <w:marLeft w:val="0"/>
      <w:marRight w:val="0"/>
      <w:marTop w:val="0"/>
      <w:marBottom w:val="0"/>
      <w:divBdr>
        <w:top w:val="none" w:sz="0" w:space="0" w:color="auto"/>
        <w:left w:val="none" w:sz="0" w:space="0" w:color="auto"/>
        <w:bottom w:val="none" w:sz="0" w:space="0" w:color="auto"/>
        <w:right w:val="none" w:sz="0" w:space="0" w:color="auto"/>
      </w:divBdr>
    </w:div>
    <w:div w:id="795607825">
      <w:bodyDiv w:val="1"/>
      <w:marLeft w:val="0"/>
      <w:marRight w:val="0"/>
      <w:marTop w:val="0"/>
      <w:marBottom w:val="0"/>
      <w:divBdr>
        <w:top w:val="none" w:sz="0" w:space="0" w:color="auto"/>
        <w:left w:val="none" w:sz="0" w:space="0" w:color="auto"/>
        <w:bottom w:val="none" w:sz="0" w:space="0" w:color="auto"/>
        <w:right w:val="none" w:sz="0" w:space="0" w:color="auto"/>
      </w:divBdr>
    </w:div>
    <w:div w:id="798375825">
      <w:bodyDiv w:val="1"/>
      <w:marLeft w:val="0"/>
      <w:marRight w:val="0"/>
      <w:marTop w:val="0"/>
      <w:marBottom w:val="0"/>
      <w:divBdr>
        <w:top w:val="none" w:sz="0" w:space="0" w:color="auto"/>
        <w:left w:val="none" w:sz="0" w:space="0" w:color="auto"/>
        <w:bottom w:val="none" w:sz="0" w:space="0" w:color="auto"/>
        <w:right w:val="none" w:sz="0" w:space="0" w:color="auto"/>
      </w:divBdr>
    </w:div>
    <w:div w:id="802190378">
      <w:bodyDiv w:val="1"/>
      <w:marLeft w:val="0"/>
      <w:marRight w:val="0"/>
      <w:marTop w:val="0"/>
      <w:marBottom w:val="0"/>
      <w:divBdr>
        <w:top w:val="none" w:sz="0" w:space="0" w:color="auto"/>
        <w:left w:val="none" w:sz="0" w:space="0" w:color="auto"/>
        <w:bottom w:val="none" w:sz="0" w:space="0" w:color="auto"/>
        <w:right w:val="none" w:sz="0" w:space="0" w:color="auto"/>
      </w:divBdr>
    </w:div>
    <w:div w:id="803039302">
      <w:bodyDiv w:val="1"/>
      <w:marLeft w:val="0"/>
      <w:marRight w:val="0"/>
      <w:marTop w:val="0"/>
      <w:marBottom w:val="0"/>
      <w:divBdr>
        <w:top w:val="none" w:sz="0" w:space="0" w:color="auto"/>
        <w:left w:val="none" w:sz="0" w:space="0" w:color="auto"/>
        <w:bottom w:val="none" w:sz="0" w:space="0" w:color="auto"/>
        <w:right w:val="none" w:sz="0" w:space="0" w:color="auto"/>
      </w:divBdr>
    </w:div>
    <w:div w:id="818882279">
      <w:bodyDiv w:val="1"/>
      <w:marLeft w:val="0"/>
      <w:marRight w:val="0"/>
      <w:marTop w:val="0"/>
      <w:marBottom w:val="0"/>
      <w:divBdr>
        <w:top w:val="none" w:sz="0" w:space="0" w:color="auto"/>
        <w:left w:val="none" w:sz="0" w:space="0" w:color="auto"/>
        <w:bottom w:val="none" w:sz="0" w:space="0" w:color="auto"/>
        <w:right w:val="none" w:sz="0" w:space="0" w:color="auto"/>
      </w:divBdr>
    </w:div>
    <w:div w:id="819346068">
      <w:bodyDiv w:val="1"/>
      <w:marLeft w:val="0"/>
      <w:marRight w:val="0"/>
      <w:marTop w:val="0"/>
      <w:marBottom w:val="0"/>
      <w:divBdr>
        <w:top w:val="none" w:sz="0" w:space="0" w:color="auto"/>
        <w:left w:val="none" w:sz="0" w:space="0" w:color="auto"/>
        <w:bottom w:val="none" w:sz="0" w:space="0" w:color="auto"/>
        <w:right w:val="none" w:sz="0" w:space="0" w:color="auto"/>
      </w:divBdr>
    </w:div>
    <w:div w:id="824122584">
      <w:bodyDiv w:val="1"/>
      <w:marLeft w:val="0"/>
      <w:marRight w:val="0"/>
      <w:marTop w:val="0"/>
      <w:marBottom w:val="0"/>
      <w:divBdr>
        <w:top w:val="none" w:sz="0" w:space="0" w:color="auto"/>
        <w:left w:val="none" w:sz="0" w:space="0" w:color="auto"/>
        <w:bottom w:val="none" w:sz="0" w:space="0" w:color="auto"/>
        <w:right w:val="none" w:sz="0" w:space="0" w:color="auto"/>
      </w:divBdr>
    </w:div>
    <w:div w:id="825706664">
      <w:bodyDiv w:val="1"/>
      <w:marLeft w:val="0"/>
      <w:marRight w:val="0"/>
      <w:marTop w:val="0"/>
      <w:marBottom w:val="0"/>
      <w:divBdr>
        <w:top w:val="none" w:sz="0" w:space="0" w:color="auto"/>
        <w:left w:val="none" w:sz="0" w:space="0" w:color="auto"/>
        <w:bottom w:val="none" w:sz="0" w:space="0" w:color="auto"/>
        <w:right w:val="none" w:sz="0" w:space="0" w:color="auto"/>
      </w:divBdr>
    </w:div>
    <w:div w:id="826752388">
      <w:bodyDiv w:val="1"/>
      <w:marLeft w:val="0"/>
      <w:marRight w:val="0"/>
      <w:marTop w:val="0"/>
      <w:marBottom w:val="0"/>
      <w:divBdr>
        <w:top w:val="none" w:sz="0" w:space="0" w:color="auto"/>
        <w:left w:val="none" w:sz="0" w:space="0" w:color="auto"/>
        <w:bottom w:val="none" w:sz="0" w:space="0" w:color="auto"/>
        <w:right w:val="none" w:sz="0" w:space="0" w:color="auto"/>
      </w:divBdr>
    </w:div>
    <w:div w:id="830604331">
      <w:bodyDiv w:val="1"/>
      <w:marLeft w:val="0"/>
      <w:marRight w:val="0"/>
      <w:marTop w:val="0"/>
      <w:marBottom w:val="0"/>
      <w:divBdr>
        <w:top w:val="none" w:sz="0" w:space="0" w:color="auto"/>
        <w:left w:val="none" w:sz="0" w:space="0" w:color="auto"/>
        <w:bottom w:val="none" w:sz="0" w:space="0" w:color="auto"/>
        <w:right w:val="none" w:sz="0" w:space="0" w:color="auto"/>
      </w:divBdr>
    </w:div>
    <w:div w:id="847015437">
      <w:bodyDiv w:val="1"/>
      <w:marLeft w:val="0"/>
      <w:marRight w:val="0"/>
      <w:marTop w:val="0"/>
      <w:marBottom w:val="0"/>
      <w:divBdr>
        <w:top w:val="none" w:sz="0" w:space="0" w:color="auto"/>
        <w:left w:val="none" w:sz="0" w:space="0" w:color="auto"/>
        <w:bottom w:val="none" w:sz="0" w:space="0" w:color="auto"/>
        <w:right w:val="none" w:sz="0" w:space="0" w:color="auto"/>
      </w:divBdr>
    </w:div>
    <w:div w:id="853961420">
      <w:bodyDiv w:val="1"/>
      <w:marLeft w:val="0"/>
      <w:marRight w:val="0"/>
      <w:marTop w:val="0"/>
      <w:marBottom w:val="0"/>
      <w:divBdr>
        <w:top w:val="none" w:sz="0" w:space="0" w:color="auto"/>
        <w:left w:val="none" w:sz="0" w:space="0" w:color="auto"/>
        <w:bottom w:val="none" w:sz="0" w:space="0" w:color="auto"/>
        <w:right w:val="none" w:sz="0" w:space="0" w:color="auto"/>
      </w:divBdr>
    </w:div>
    <w:div w:id="854075721">
      <w:bodyDiv w:val="1"/>
      <w:marLeft w:val="0"/>
      <w:marRight w:val="0"/>
      <w:marTop w:val="0"/>
      <w:marBottom w:val="0"/>
      <w:divBdr>
        <w:top w:val="none" w:sz="0" w:space="0" w:color="auto"/>
        <w:left w:val="none" w:sz="0" w:space="0" w:color="auto"/>
        <w:bottom w:val="none" w:sz="0" w:space="0" w:color="auto"/>
        <w:right w:val="none" w:sz="0" w:space="0" w:color="auto"/>
      </w:divBdr>
    </w:div>
    <w:div w:id="856502564">
      <w:bodyDiv w:val="1"/>
      <w:marLeft w:val="0"/>
      <w:marRight w:val="0"/>
      <w:marTop w:val="0"/>
      <w:marBottom w:val="0"/>
      <w:divBdr>
        <w:top w:val="none" w:sz="0" w:space="0" w:color="auto"/>
        <w:left w:val="none" w:sz="0" w:space="0" w:color="auto"/>
        <w:bottom w:val="none" w:sz="0" w:space="0" w:color="auto"/>
        <w:right w:val="none" w:sz="0" w:space="0" w:color="auto"/>
      </w:divBdr>
    </w:div>
    <w:div w:id="857429207">
      <w:bodyDiv w:val="1"/>
      <w:marLeft w:val="0"/>
      <w:marRight w:val="0"/>
      <w:marTop w:val="0"/>
      <w:marBottom w:val="0"/>
      <w:divBdr>
        <w:top w:val="none" w:sz="0" w:space="0" w:color="auto"/>
        <w:left w:val="none" w:sz="0" w:space="0" w:color="auto"/>
        <w:bottom w:val="none" w:sz="0" w:space="0" w:color="auto"/>
        <w:right w:val="none" w:sz="0" w:space="0" w:color="auto"/>
      </w:divBdr>
    </w:div>
    <w:div w:id="858617583">
      <w:bodyDiv w:val="1"/>
      <w:marLeft w:val="0"/>
      <w:marRight w:val="0"/>
      <w:marTop w:val="0"/>
      <w:marBottom w:val="0"/>
      <w:divBdr>
        <w:top w:val="none" w:sz="0" w:space="0" w:color="auto"/>
        <w:left w:val="none" w:sz="0" w:space="0" w:color="auto"/>
        <w:bottom w:val="none" w:sz="0" w:space="0" w:color="auto"/>
        <w:right w:val="none" w:sz="0" w:space="0" w:color="auto"/>
      </w:divBdr>
    </w:div>
    <w:div w:id="861364191">
      <w:bodyDiv w:val="1"/>
      <w:marLeft w:val="0"/>
      <w:marRight w:val="0"/>
      <w:marTop w:val="0"/>
      <w:marBottom w:val="0"/>
      <w:divBdr>
        <w:top w:val="none" w:sz="0" w:space="0" w:color="auto"/>
        <w:left w:val="none" w:sz="0" w:space="0" w:color="auto"/>
        <w:bottom w:val="none" w:sz="0" w:space="0" w:color="auto"/>
        <w:right w:val="none" w:sz="0" w:space="0" w:color="auto"/>
      </w:divBdr>
    </w:div>
    <w:div w:id="862593578">
      <w:bodyDiv w:val="1"/>
      <w:marLeft w:val="0"/>
      <w:marRight w:val="0"/>
      <w:marTop w:val="0"/>
      <w:marBottom w:val="0"/>
      <w:divBdr>
        <w:top w:val="none" w:sz="0" w:space="0" w:color="auto"/>
        <w:left w:val="none" w:sz="0" w:space="0" w:color="auto"/>
        <w:bottom w:val="none" w:sz="0" w:space="0" w:color="auto"/>
        <w:right w:val="none" w:sz="0" w:space="0" w:color="auto"/>
      </w:divBdr>
    </w:div>
    <w:div w:id="874007196">
      <w:bodyDiv w:val="1"/>
      <w:marLeft w:val="0"/>
      <w:marRight w:val="0"/>
      <w:marTop w:val="0"/>
      <w:marBottom w:val="0"/>
      <w:divBdr>
        <w:top w:val="none" w:sz="0" w:space="0" w:color="auto"/>
        <w:left w:val="none" w:sz="0" w:space="0" w:color="auto"/>
        <w:bottom w:val="none" w:sz="0" w:space="0" w:color="auto"/>
        <w:right w:val="none" w:sz="0" w:space="0" w:color="auto"/>
      </w:divBdr>
    </w:div>
    <w:div w:id="876040916">
      <w:bodyDiv w:val="1"/>
      <w:marLeft w:val="0"/>
      <w:marRight w:val="0"/>
      <w:marTop w:val="0"/>
      <w:marBottom w:val="0"/>
      <w:divBdr>
        <w:top w:val="none" w:sz="0" w:space="0" w:color="auto"/>
        <w:left w:val="none" w:sz="0" w:space="0" w:color="auto"/>
        <w:bottom w:val="none" w:sz="0" w:space="0" w:color="auto"/>
        <w:right w:val="none" w:sz="0" w:space="0" w:color="auto"/>
      </w:divBdr>
    </w:div>
    <w:div w:id="879633412">
      <w:bodyDiv w:val="1"/>
      <w:marLeft w:val="0"/>
      <w:marRight w:val="0"/>
      <w:marTop w:val="0"/>
      <w:marBottom w:val="0"/>
      <w:divBdr>
        <w:top w:val="none" w:sz="0" w:space="0" w:color="auto"/>
        <w:left w:val="none" w:sz="0" w:space="0" w:color="auto"/>
        <w:bottom w:val="none" w:sz="0" w:space="0" w:color="auto"/>
        <w:right w:val="none" w:sz="0" w:space="0" w:color="auto"/>
      </w:divBdr>
    </w:div>
    <w:div w:id="880938086">
      <w:bodyDiv w:val="1"/>
      <w:marLeft w:val="0"/>
      <w:marRight w:val="0"/>
      <w:marTop w:val="0"/>
      <w:marBottom w:val="0"/>
      <w:divBdr>
        <w:top w:val="none" w:sz="0" w:space="0" w:color="auto"/>
        <w:left w:val="none" w:sz="0" w:space="0" w:color="auto"/>
        <w:bottom w:val="none" w:sz="0" w:space="0" w:color="auto"/>
        <w:right w:val="none" w:sz="0" w:space="0" w:color="auto"/>
      </w:divBdr>
    </w:div>
    <w:div w:id="882211537">
      <w:bodyDiv w:val="1"/>
      <w:marLeft w:val="0"/>
      <w:marRight w:val="0"/>
      <w:marTop w:val="0"/>
      <w:marBottom w:val="0"/>
      <w:divBdr>
        <w:top w:val="none" w:sz="0" w:space="0" w:color="auto"/>
        <w:left w:val="none" w:sz="0" w:space="0" w:color="auto"/>
        <w:bottom w:val="none" w:sz="0" w:space="0" w:color="auto"/>
        <w:right w:val="none" w:sz="0" w:space="0" w:color="auto"/>
      </w:divBdr>
    </w:div>
    <w:div w:id="882450763">
      <w:bodyDiv w:val="1"/>
      <w:marLeft w:val="0"/>
      <w:marRight w:val="0"/>
      <w:marTop w:val="0"/>
      <w:marBottom w:val="0"/>
      <w:divBdr>
        <w:top w:val="none" w:sz="0" w:space="0" w:color="auto"/>
        <w:left w:val="none" w:sz="0" w:space="0" w:color="auto"/>
        <w:bottom w:val="none" w:sz="0" w:space="0" w:color="auto"/>
        <w:right w:val="none" w:sz="0" w:space="0" w:color="auto"/>
      </w:divBdr>
    </w:div>
    <w:div w:id="882599643">
      <w:bodyDiv w:val="1"/>
      <w:marLeft w:val="0"/>
      <w:marRight w:val="0"/>
      <w:marTop w:val="0"/>
      <w:marBottom w:val="0"/>
      <w:divBdr>
        <w:top w:val="none" w:sz="0" w:space="0" w:color="auto"/>
        <w:left w:val="none" w:sz="0" w:space="0" w:color="auto"/>
        <w:bottom w:val="none" w:sz="0" w:space="0" w:color="auto"/>
        <w:right w:val="none" w:sz="0" w:space="0" w:color="auto"/>
      </w:divBdr>
    </w:div>
    <w:div w:id="886065118">
      <w:bodyDiv w:val="1"/>
      <w:marLeft w:val="0"/>
      <w:marRight w:val="0"/>
      <w:marTop w:val="0"/>
      <w:marBottom w:val="0"/>
      <w:divBdr>
        <w:top w:val="none" w:sz="0" w:space="0" w:color="auto"/>
        <w:left w:val="none" w:sz="0" w:space="0" w:color="auto"/>
        <w:bottom w:val="none" w:sz="0" w:space="0" w:color="auto"/>
        <w:right w:val="none" w:sz="0" w:space="0" w:color="auto"/>
      </w:divBdr>
    </w:div>
    <w:div w:id="889145404">
      <w:bodyDiv w:val="1"/>
      <w:marLeft w:val="0"/>
      <w:marRight w:val="0"/>
      <w:marTop w:val="0"/>
      <w:marBottom w:val="0"/>
      <w:divBdr>
        <w:top w:val="none" w:sz="0" w:space="0" w:color="auto"/>
        <w:left w:val="none" w:sz="0" w:space="0" w:color="auto"/>
        <w:bottom w:val="none" w:sz="0" w:space="0" w:color="auto"/>
        <w:right w:val="none" w:sz="0" w:space="0" w:color="auto"/>
      </w:divBdr>
    </w:div>
    <w:div w:id="892734979">
      <w:bodyDiv w:val="1"/>
      <w:marLeft w:val="0"/>
      <w:marRight w:val="0"/>
      <w:marTop w:val="0"/>
      <w:marBottom w:val="0"/>
      <w:divBdr>
        <w:top w:val="none" w:sz="0" w:space="0" w:color="auto"/>
        <w:left w:val="none" w:sz="0" w:space="0" w:color="auto"/>
        <w:bottom w:val="none" w:sz="0" w:space="0" w:color="auto"/>
        <w:right w:val="none" w:sz="0" w:space="0" w:color="auto"/>
      </w:divBdr>
    </w:div>
    <w:div w:id="898053789">
      <w:bodyDiv w:val="1"/>
      <w:marLeft w:val="0"/>
      <w:marRight w:val="0"/>
      <w:marTop w:val="0"/>
      <w:marBottom w:val="0"/>
      <w:divBdr>
        <w:top w:val="none" w:sz="0" w:space="0" w:color="auto"/>
        <w:left w:val="none" w:sz="0" w:space="0" w:color="auto"/>
        <w:bottom w:val="none" w:sz="0" w:space="0" w:color="auto"/>
        <w:right w:val="none" w:sz="0" w:space="0" w:color="auto"/>
      </w:divBdr>
    </w:div>
    <w:div w:id="904493830">
      <w:bodyDiv w:val="1"/>
      <w:marLeft w:val="0"/>
      <w:marRight w:val="0"/>
      <w:marTop w:val="0"/>
      <w:marBottom w:val="0"/>
      <w:divBdr>
        <w:top w:val="none" w:sz="0" w:space="0" w:color="auto"/>
        <w:left w:val="none" w:sz="0" w:space="0" w:color="auto"/>
        <w:bottom w:val="none" w:sz="0" w:space="0" w:color="auto"/>
        <w:right w:val="none" w:sz="0" w:space="0" w:color="auto"/>
      </w:divBdr>
    </w:div>
    <w:div w:id="904796910">
      <w:bodyDiv w:val="1"/>
      <w:marLeft w:val="0"/>
      <w:marRight w:val="0"/>
      <w:marTop w:val="0"/>
      <w:marBottom w:val="0"/>
      <w:divBdr>
        <w:top w:val="none" w:sz="0" w:space="0" w:color="auto"/>
        <w:left w:val="none" w:sz="0" w:space="0" w:color="auto"/>
        <w:bottom w:val="none" w:sz="0" w:space="0" w:color="auto"/>
        <w:right w:val="none" w:sz="0" w:space="0" w:color="auto"/>
      </w:divBdr>
    </w:div>
    <w:div w:id="908422818">
      <w:bodyDiv w:val="1"/>
      <w:marLeft w:val="0"/>
      <w:marRight w:val="0"/>
      <w:marTop w:val="0"/>
      <w:marBottom w:val="0"/>
      <w:divBdr>
        <w:top w:val="none" w:sz="0" w:space="0" w:color="auto"/>
        <w:left w:val="none" w:sz="0" w:space="0" w:color="auto"/>
        <w:bottom w:val="none" w:sz="0" w:space="0" w:color="auto"/>
        <w:right w:val="none" w:sz="0" w:space="0" w:color="auto"/>
      </w:divBdr>
    </w:div>
    <w:div w:id="909269251">
      <w:bodyDiv w:val="1"/>
      <w:marLeft w:val="0"/>
      <w:marRight w:val="0"/>
      <w:marTop w:val="0"/>
      <w:marBottom w:val="0"/>
      <w:divBdr>
        <w:top w:val="none" w:sz="0" w:space="0" w:color="auto"/>
        <w:left w:val="none" w:sz="0" w:space="0" w:color="auto"/>
        <w:bottom w:val="none" w:sz="0" w:space="0" w:color="auto"/>
        <w:right w:val="none" w:sz="0" w:space="0" w:color="auto"/>
      </w:divBdr>
    </w:div>
    <w:div w:id="910771496">
      <w:bodyDiv w:val="1"/>
      <w:marLeft w:val="0"/>
      <w:marRight w:val="0"/>
      <w:marTop w:val="0"/>
      <w:marBottom w:val="0"/>
      <w:divBdr>
        <w:top w:val="none" w:sz="0" w:space="0" w:color="auto"/>
        <w:left w:val="none" w:sz="0" w:space="0" w:color="auto"/>
        <w:bottom w:val="none" w:sz="0" w:space="0" w:color="auto"/>
        <w:right w:val="none" w:sz="0" w:space="0" w:color="auto"/>
      </w:divBdr>
    </w:div>
    <w:div w:id="912159322">
      <w:bodyDiv w:val="1"/>
      <w:marLeft w:val="0"/>
      <w:marRight w:val="0"/>
      <w:marTop w:val="0"/>
      <w:marBottom w:val="0"/>
      <w:divBdr>
        <w:top w:val="none" w:sz="0" w:space="0" w:color="auto"/>
        <w:left w:val="none" w:sz="0" w:space="0" w:color="auto"/>
        <w:bottom w:val="none" w:sz="0" w:space="0" w:color="auto"/>
        <w:right w:val="none" w:sz="0" w:space="0" w:color="auto"/>
      </w:divBdr>
    </w:div>
    <w:div w:id="913392640">
      <w:bodyDiv w:val="1"/>
      <w:marLeft w:val="0"/>
      <w:marRight w:val="0"/>
      <w:marTop w:val="0"/>
      <w:marBottom w:val="0"/>
      <w:divBdr>
        <w:top w:val="none" w:sz="0" w:space="0" w:color="auto"/>
        <w:left w:val="none" w:sz="0" w:space="0" w:color="auto"/>
        <w:bottom w:val="none" w:sz="0" w:space="0" w:color="auto"/>
        <w:right w:val="none" w:sz="0" w:space="0" w:color="auto"/>
      </w:divBdr>
    </w:div>
    <w:div w:id="913852584">
      <w:bodyDiv w:val="1"/>
      <w:marLeft w:val="0"/>
      <w:marRight w:val="0"/>
      <w:marTop w:val="0"/>
      <w:marBottom w:val="0"/>
      <w:divBdr>
        <w:top w:val="none" w:sz="0" w:space="0" w:color="auto"/>
        <w:left w:val="none" w:sz="0" w:space="0" w:color="auto"/>
        <w:bottom w:val="none" w:sz="0" w:space="0" w:color="auto"/>
        <w:right w:val="none" w:sz="0" w:space="0" w:color="auto"/>
      </w:divBdr>
    </w:div>
    <w:div w:id="916784272">
      <w:bodyDiv w:val="1"/>
      <w:marLeft w:val="0"/>
      <w:marRight w:val="0"/>
      <w:marTop w:val="0"/>
      <w:marBottom w:val="0"/>
      <w:divBdr>
        <w:top w:val="none" w:sz="0" w:space="0" w:color="auto"/>
        <w:left w:val="none" w:sz="0" w:space="0" w:color="auto"/>
        <w:bottom w:val="none" w:sz="0" w:space="0" w:color="auto"/>
        <w:right w:val="none" w:sz="0" w:space="0" w:color="auto"/>
      </w:divBdr>
    </w:div>
    <w:div w:id="916944257">
      <w:bodyDiv w:val="1"/>
      <w:marLeft w:val="0"/>
      <w:marRight w:val="0"/>
      <w:marTop w:val="0"/>
      <w:marBottom w:val="0"/>
      <w:divBdr>
        <w:top w:val="none" w:sz="0" w:space="0" w:color="auto"/>
        <w:left w:val="none" w:sz="0" w:space="0" w:color="auto"/>
        <w:bottom w:val="none" w:sz="0" w:space="0" w:color="auto"/>
        <w:right w:val="none" w:sz="0" w:space="0" w:color="auto"/>
      </w:divBdr>
    </w:div>
    <w:div w:id="929510561">
      <w:bodyDiv w:val="1"/>
      <w:marLeft w:val="0"/>
      <w:marRight w:val="0"/>
      <w:marTop w:val="0"/>
      <w:marBottom w:val="0"/>
      <w:divBdr>
        <w:top w:val="none" w:sz="0" w:space="0" w:color="auto"/>
        <w:left w:val="none" w:sz="0" w:space="0" w:color="auto"/>
        <w:bottom w:val="none" w:sz="0" w:space="0" w:color="auto"/>
        <w:right w:val="none" w:sz="0" w:space="0" w:color="auto"/>
      </w:divBdr>
    </w:div>
    <w:div w:id="929696191">
      <w:bodyDiv w:val="1"/>
      <w:marLeft w:val="0"/>
      <w:marRight w:val="0"/>
      <w:marTop w:val="0"/>
      <w:marBottom w:val="0"/>
      <w:divBdr>
        <w:top w:val="none" w:sz="0" w:space="0" w:color="auto"/>
        <w:left w:val="none" w:sz="0" w:space="0" w:color="auto"/>
        <w:bottom w:val="none" w:sz="0" w:space="0" w:color="auto"/>
        <w:right w:val="none" w:sz="0" w:space="0" w:color="auto"/>
      </w:divBdr>
    </w:div>
    <w:div w:id="930965966">
      <w:bodyDiv w:val="1"/>
      <w:marLeft w:val="0"/>
      <w:marRight w:val="0"/>
      <w:marTop w:val="0"/>
      <w:marBottom w:val="0"/>
      <w:divBdr>
        <w:top w:val="none" w:sz="0" w:space="0" w:color="auto"/>
        <w:left w:val="none" w:sz="0" w:space="0" w:color="auto"/>
        <w:bottom w:val="none" w:sz="0" w:space="0" w:color="auto"/>
        <w:right w:val="none" w:sz="0" w:space="0" w:color="auto"/>
      </w:divBdr>
    </w:div>
    <w:div w:id="944772132">
      <w:bodyDiv w:val="1"/>
      <w:marLeft w:val="0"/>
      <w:marRight w:val="0"/>
      <w:marTop w:val="0"/>
      <w:marBottom w:val="0"/>
      <w:divBdr>
        <w:top w:val="none" w:sz="0" w:space="0" w:color="auto"/>
        <w:left w:val="none" w:sz="0" w:space="0" w:color="auto"/>
        <w:bottom w:val="none" w:sz="0" w:space="0" w:color="auto"/>
        <w:right w:val="none" w:sz="0" w:space="0" w:color="auto"/>
      </w:divBdr>
    </w:div>
    <w:div w:id="964433733">
      <w:bodyDiv w:val="1"/>
      <w:marLeft w:val="0"/>
      <w:marRight w:val="0"/>
      <w:marTop w:val="0"/>
      <w:marBottom w:val="0"/>
      <w:divBdr>
        <w:top w:val="none" w:sz="0" w:space="0" w:color="auto"/>
        <w:left w:val="none" w:sz="0" w:space="0" w:color="auto"/>
        <w:bottom w:val="none" w:sz="0" w:space="0" w:color="auto"/>
        <w:right w:val="none" w:sz="0" w:space="0" w:color="auto"/>
      </w:divBdr>
    </w:div>
    <w:div w:id="965816254">
      <w:bodyDiv w:val="1"/>
      <w:marLeft w:val="0"/>
      <w:marRight w:val="0"/>
      <w:marTop w:val="0"/>
      <w:marBottom w:val="0"/>
      <w:divBdr>
        <w:top w:val="none" w:sz="0" w:space="0" w:color="auto"/>
        <w:left w:val="none" w:sz="0" w:space="0" w:color="auto"/>
        <w:bottom w:val="none" w:sz="0" w:space="0" w:color="auto"/>
        <w:right w:val="none" w:sz="0" w:space="0" w:color="auto"/>
      </w:divBdr>
    </w:div>
    <w:div w:id="967124921">
      <w:bodyDiv w:val="1"/>
      <w:marLeft w:val="0"/>
      <w:marRight w:val="0"/>
      <w:marTop w:val="0"/>
      <w:marBottom w:val="0"/>
      <w:divBdr>
        <w:top w:val="none" w:sz="0" w:space="0" w:color="auto"/>
        <w:left w:val="none" w:sz="0" w:space="0" w:color="auto"/>
        <w:bottom w:val="none" w:sz="0" w:space="0" w:color="auto"/>
        <w:right w:val="none" w:sz="0" w:space="0" w:color="auto"/>
      </w:divBdr>
    </w:div>
    <w:div w:id="970012984">
      <w:bodyDiv w:val="1"/>
      <w:marLeft w:val="0"/>
      <w:marRight w:val="0"/>
      <w:marTop w:val="0"/>
      <w:marBottom w:val="0"/>
      <w:divBdr>
        <w:top w:val="none" w:sz="0" w:space="0" w:color="auto"/>
        <w:left w:val="none" w:sz="0" w:space="0" w:color="auto"/>
        <w:bottom w:val="none" w:sz="0" w:space="0" w:color="auto"/>
        <w:right w:val="none" w:sz="0" w:space="0" w:color="auto"/>
      </w:divBdr>
    </w:div>
    <w:div w:id="970525135">
      <w:bodyDiv w:val="1"/>
      <w:marLeft w:val="0"/>
      <w:marRight w:val="0"/>
      <w:marTop w:val="0"/>
      <w:marBottom w:val="0"/>
      <w:divBdr>
        <w:top w:val="none" w:sz="0" w:space="0" w:color="auto"/>
        <w:left w:val="none" w:sz="0" w:space="0" w:color="auto"/>
        <w:bottom w:val="none" w:sz="0" w:space="0" w:color="auto"/>
        <w:right w:val="none" w:sz="0" w:space="0" w:color="auto"/>
      </w:divBdr>
    </w:div>
    <w:div w:id="975141060">
      <w:bodyDiv w:val="1"/>
      <w:marLeft w:val="0"/>
      <w:marRight w:val="0"/>
      <w:marTop w:val="0"/>
      <w:marBottom w:val="0"/>
      <w:divBdr>
        <w:top w:val="none" w:sz="0" w:space="0" w:color="auto"/>
        <w:left w:val="none" w:sz="0" w:space="0" w:color="auto"/>
        <w:bottom w:val="none" w:sz="0" w:space="0" w:color="auto"/>
        <w:right w:val="none" w:sz="0" w:space="0" w:color="auto"/>
      </w:divBdr>
    </w:div>
    <w:div w:id="985746660">
      <w:bodyDiv w:val="1"/>
      <w:marLeft w:val="0"/>
      <w:marRight w:val="0"/>
      <w:marTop w:val="0"/>
      <w:marBottom w:val="0"/>
      <w:divBdr>
        <w:top w:val="none" w:sz="0" w:space="0" w:color="auto"/>
        <w:left w:val="none" w:sz="0" w:space="0" w:color="auto"/>
        <w:bottom w:val="none" w:sz="0" w:space="0" w:color="auto"/>
        <w:right w:val="none" w:sz="0" w:space="0" w:color="auto"/>
      </w:divBdr>
    </w:div>
    <w:div w:id="996692433">
      <w:bodyDiv w:val="1"/>
      <w:marLeft w:val="0"/>
      <w:marRight w:val="0"/>
      <w:marTop w:val="0"/>
      <w:marBottom w:val="0"/>
      <w:divBdr>
        <w:top w:val="none" w:sz="0" w:space="0" w:color="auto"/>
        <w:left w:val="none" w:sz="0" w:space="0" w:color="auto"/>
        <w:bottom w:val="none" w:sz="0" w:space="0" w:color="auto"/>
        <w:right w:val="none" w:sz="0" w:space="0" w:color="auto"/>
      </w:divBdr>
    </w:div>
    <w:div w:id="1000276109">
      <w:bodyDiv w:val="1"/>
      <w:marLeft w:val="0"/>
      <w:marRight w:val="0"/>
      <w:marTop w:val="0"/>
      <w:marBottom w:val="0"/>
      <w:divBdr>
        <w:top w:val="none" w:sz="0" w:space="0" w:color="auto"/>
        <w:left w:val="none" w:sz="0" w:space="0" w:color="auto"/>
        <w:bottom w:val="none" w:sz="0" w:space="0" w:color="auto"/>
        <w:right w:val="none" w:sz="0" w:space="0" w:color="auto"/>
      </w:divBdr>
    </w:div>
    <w:div w:id="1006591598">
      <w:bodyDiv w:val="1"/>
      <w:marLeft w:val="0"/>
      <w:marRight w:val="0"/>
      <w:marTop w:val="0"/>
      <w:marBottom w:val="0"/>
      <w:divBdr>
        <w:top w:val="none" w:sz="0" w:space="0" w:color="auto"/>
        <w:left w:val="none" w:sz="0" w:space="0" w:color="auto"/>
        <w:bottom w:val="none" w:sz="0" w:space="0" w:color="auto"/>
        <w:right w:val="none" w:sz="0" w:space="0" w:color="auto"/>
      </w:divBdr>
    </w:div>
    <w:div w:id="1008094553">
      <w:bodyDiv w:val="1"/>
      <w:marLeft w:val="0"/>
      <w:marRight w:val="0"/>
      <w:marTop w:val="0"/>
      <w:marBottom w:val="0"/>
      <w:divBdr>
        <w:top w:val="none" w:sz="0" w:space="0" w:color="auto"/>
        <w:left w:val="none" w:sz="0" w:space="0" w:color="auto"/>
        <w:bottom w:val="none" w:sz="0" w:space="0" w:color="auto"/>
        <w:right w:val="none" w:sz="0" w:space="0" w:color="auto"/>
      </w:divBdr>
    </w:div>
    <w:div w:id="1010524045">
      <w:bodyDiv w:val="1"/>
      <w:marLeft w:val="0"/>
      <w:marRight w:val="0"/>
      <w:marTop w:val="0"/>
      <w:marBottom w:val="0"/>
      <w:divBdr>
        <w:top w:val="none" w:sz="0" w:space="0" w:color="auto"/>
        <w:left w:val="none" w:sz="0" w:space="0" w:color="auto"/>
        <w:bottom w:val="none" w:sz="0" w:space="0" w:color="auto"/>
        <w:right w:val="none" w:sz="0" w:space="0" w:color="auto"/>
      </w:divBdr>
    </w:div>
    <w:div w:id="1017922092">
      <w:bodyDiv w:val="1"/>
      <w:marLeft w:val="0"/>
      <w:marRight w:val="0"/>
      <w:marTop w:val="0"/>
      <w:marBottom w:val="0"/>
      <w:divBdr>
        <w:top w:val="none" w:sz="0" w:space="0" w:color="auto"/>
        <w:left w:val="none" w:sz="0" w:space="0" w:color="auto"/>
        <w:bottom w:val="none" w:sz="0" w:space="0" w:color="auto"/>
        <w:right w:val="none" w:sz="0" w:space="0" w:color="auto"/>
      </w:divBdr>
    </w:div>
    <w:div w:id="1018312285">
      <w:bodyDiv w:val="1"/>
      <w:marLeft w:val="0"/>
      <w:marRight w:val="0"/>
      <w:marTop w:val="0"/>
      <w:marBottom w:val="0"/>
      <w:divBdr>
        <w:top w:val="none" w:sz="0" w:space="0" w:color="auto"/>
        <w:left w:val="none" w:sz="0" w:space="0" w:color="auto"/>
        <w:bottom w:val="none" w:sz="0" w:space="0" w:color="auto"/>
        <w:right w:val="none" w:sz="0" w:space="0" w:color="auto"/>
      </w:divBdr>
    </w:div>
    <w:div w:id="1028336028">
      <w:bodyDiv w:val="1"/>
      <w:marLeft w:val="0"/>
      <w:marRight w:val="0"/>
      <w:marTop w:val="0"/>
      <w:marBottom w:val="0"/>
      <w:divBdr>
        <w:top w:val="none" w:sz="0" w:space="0" w:color="auto"/>
        <w:left w:val="none" w:sz="0" w:space="0" w:color="auto"/>
        <w:bottom w:val="none" w:sz="0" w:space="0" w:color="auto"/>
        <w:right w:val="none" w:sz="0" w:space="0" w:color="auto"/>
      </w:divBdr>
    </w:div>
    <w:div w:id="1030036582">
      <w:bodyDiv w:val="1"/>
      <w:marLeft w:val="0"/>
      <w:marRight w:val="0"/>
      <w:marTop w:val="0"/>
      <w:marBottom w:val="0"/>
      <w:divBdr>
        <w:top w:val="none" w:sz="0" w:space="0" w:color="auto"/>
        <w:left w:val="none" w:sz="0" w:space="0" w:color="auto"/>
        <w:bottom w:val="none" w:sz="0" w:space="0" w:color="auto"/>
        <w:right w:val="none" w:sz="0" w:space="0" w:color="auto"/>
      </w:divBdr>
    </w:div>
    <w:div w:id="1040129451">
      <w:bodyDiv w:val="1"/>
      <w:marLeft w:val="0"/>
      <w:marRight w:val="0"/>
      <w:marTop w:val="0"/>
      <w:marBottom w:val="0"/>
      <w:divBdr>
        <w:top w:val="none" w:sz="0" w:space="0" w:color="auto"/>
        <w:left w:val="none" w:sz="0" w:space="0" w:color="auto"/>
        <w:bottom w:val="none" w:sz="0" w:space="0" w:color="auto"/>
        <w:right w:val="none" w:sz="0" w:space="0" w:color="auto"/>
      </w:divBdr>
    </w:div>
    <w:div w:id="1054741832">
      <w:bodyDiv w:val="1"/>
      <w:marLeft w:val="0"/>
      <w:marRight w:val="0"/>
      <w:marTop w:val="0"/>
      <w:marBottom w:val="0"/>
      <w:divBdr>
        <w:top w:val="none" w:sz="0" w:space="0" w:color="auto"/>
        <w:left w:val="none" w:sz="0" w:space="0" w:color="auto"/>
        <w:bottom w:val="none" w:sz="0" w:space="0" w:color="auto"/>
        <w:right w:val="none" w:sz="0" w:space="0" w:color="auto"/>
      </w:divBdr>
    </w:div>
    <w:div w:id="1055082665">
      <w:bodyDiv w:val="1"/>
      <w:marLeft w:val="0"/>
      <w:marRight w:val="0"/>
      <w:marTop w:val="0"/>
      <w:marBottom w:val="0"/>
      <w:divBdr>
        <w:top w:val="none" w:sz="0" w:space="0" w:color="auto"/>
        <w:left w:val="none" w:sz="0" w:space="0" w:color="auto"/>
        <w:bottom w:val="none" w:sz="0" w:space="0" w:color="auto"/>
        <w:right w:val="none" w:sz="0" w:space="0" w:color="auto"/>
      </w:divBdr>
    </w:div>
    <w:div w:id="1056204285">
      <w:bodyDiv w:val="1"/>
      <w:marLeft w:val="0"/>
      <w:marRight w:val="0"/>
      <w:marTop w:val="0"/>
      <w:marBottom w:val="0"/>
      <w:divBdr>
        <w:top w:val="none" w:sz="0" w:space="0" w:color="auto"/>
        <w:left w:val="none" w:sz="0" w:space="0" w:color="auto"/>
        <w:bottom w:val="none" w:sz="0" w:space="0" w:color="auto"/>
        <w:right w:val="none" w:sz="0" w:space="0" w:color="auto"/>
      </w:divBdr>
    </w:div>
    <w:div w:id="1060322948">
      <w:bodyDiv w:val="1"/>
      <w:marLeft w:val="0"/>
      <w:marRight w:val="0"/>
      <w:marTop w:val="0"/>
      <w:marBottom w:val="0"/>
      <w:divBdr>
        <w:top w:val="none" w:sz="0" w:space="0" w:color="auto"/>
        <w:left w:val="none" w:sz="0" w:space="0" w:color="auto"/>
        <w:bottom w:val="none" w:sz="0" w:space="0" w:color="auto"/>
        <w:right w:val="none" w:sz="0" w:space="0" w:color="auto"/>
      </w:divBdr>
    </w:div>
    <w:div w:id="1063214346">
      <w:bodyDiv w:val="1"/>
      <w:marLeft w:val="0"/>
      <w:marRight w:val="0"/>
      <w:marTop w:val="0"/>
      <w:marBottom w:val="0"/>
      <w:divBdr>
        <w:top w:val="none" w:sz="0" w:space="0" w:color="auto"/>
        <w:left w:val="none" w:sz="0" w:space="0" w:color="auto"/>
        <w:bottom w:val="none" w:sz="0" w:space="0" w:color="auto"/>
        <w:right w:val="none" w:sz="0" w:space="0" w:color="auto"/>
      </w:divBdr>
    </w:div>
    <w:div w:id="1065756695">
      <w:bodyDiv w:val="1"/>
      <w:marLeft w:val="0"/>
      <w:marRight w:val="0"/>
      <w:marTop w:val="0"/>
      <w:marBottom w:val="0"/>
      <w:divBdr>
        <w:top w:val="none" w:sz="0" w:space="0" w:color="auto"/>
        <w:left w:val="none" w:sz="0" w:space="0" w:color="auto"/>
        <w:bottom w:val="none" w:sz="0" w:space="0" w:color="auto"/>
        <w:right w:val="none" w:sz="0" w:space="0" w:color="auto"/>
      </w:divBdr>
    </w:div>
    <w:div w:id="1066873781">
      <w:bodyDiv w:val="1"/>
      <w:marLeft w:val="0"/>
      <w:marRight w:val="0"/>
      <w:marTop w:val="0"/>
      <w:marBottom w:val="0"/>
      <w:divBdr>
        <w:top w:val="none" w:sz="0" w:space="0" w:color="auto"/>
        <w:left w:val="none" w:sz="0" w:space="0" w:color="auto"/>
        <w:bottom w:val="none" w:sz="0" w:space="0" w:color="auto"/>
        <w:right w:val="none" w:sz="0" w:space="0" w:color="auto"/>
      </w:divBdr>
    </w:div>
    <w:div w:id="1077291890">
      <w:bodyDiv w:val="1"/>
      <w:marLeft w:val="0"/>
      <w:marRight w:val="0"/>
      <w:marTop w:val="0"/>
      <w:marBottom w:val="0"/>
      <w:divBdr>
        <w:top w:val="none" w:sz="0" w:space="0" w:color="auto"/>
        <w:left w:val="none" w:sz="0" w:space="0" w:color="auto"/>
        <w:bottom w:val="none" w:sz="0" w:space="0" w:color="auto"/>
        <w:right w:val="none" w:sz="0" w:space="0" w:color="auto"/>
      </w:divBdr>
    </w:div>
    <w:div w:id="1082798887">
      <w:bodyDiv w:val="1"/>
      <w:marLeft w:val="0"/>
      <w:marRight w:val="0"/>
      <w:marTop w:val="0"/>
      <w:marBottom w:val="0"/>
      <w:divBdr>
        <w:top w:val="none" w:sz="0" w:space="0" w:color="auto"/>
        <w:left w:val="none" w:sz="0" w:space="0" w:color="auto"/>
        <w:bottom w:val="none" w:sz="0" w:space="0" w:color="auto"/>
        <w:right w:val="none" w:sz="0" w:space="0" w:color="auto"/>
      </w:divBdr>
    </w:div>
    <w:div w:id="1083726806">
      <w:bodyDiv w:val="1"/>
      <w:marLeft w:val="0"/>
      <w:marRight w:val="0"/>
      <w:marTop w:val="0"/>
      <w:marBottom w:val="0"/>
      <w:divBdr>
        <w:top w:val="none" w:sz="0" w:space="0" w:color="auto"/>
        <w:left w:val="none" w:sz="0" w:space="0" w:color="auto"/>
        <w:bottom w:val="none" w:sz="0" w:space="0" w:color="auto"/>
        <w:right w:val="none" w:sz="0" w:space="0" w:color="auto"/>
      </w:divBdr>
    </w:div>
    <w:div w:id="1084257683">
      <w:bodyDiv w:val="1"/>
      <w:marLeft w:val="0"/>
      <w:marRight w:val="0"/>
      <w:marTop w:val="0"/>
      <w:marBottom w:val="0"/>
      <w:divBdr>
        <w:top w:val="none" w:sz="0" w:space="0" w:color="auto"/>
        <w:left w:val="none" w:sz="0" w:space="0" w:color="auto"/>
        <w:bottom w:val="none" w:sz="0" w:space="0" w:color="auto"/>
        <w:right w:val="none" w:sz="0" w:space="0" w:color="auto"/>
      </w:divBdr>
    </w:div>
    <w:div w:id="1090661107">
      <w:bodyDiv w:val="1"/>
      <w:marLeft w:val="0"/>
      <w:marRight w:val="0"/>
      <w:marTop w:val="0"/>
      <w:marBottom w:val="0"/>
      <w:divBdr>
        <w:top w:val="none" w:sz="0" w:space="0" w:color="auto"/>
        <w:left w:val="none" w:sz="0" w:space="0" w:color="auto"/>
        <w:bottom w:val="none" w:sz="0" w:space="0" w:color="auto"/>
        <w:right w:val="none" w:sz="0" w:space="0" w:color="auto"/>
      </w:divBdr>
    </w:div>
    <w:div w:id="1094401790">
      <w:bodyDiv w:val="1"/>
      <w:marLeft w:val="0"/>
      <w:marRight w:val="0"/>
      <w:marTop w:val="0"/>
      <w:marBottom w:val="0"/>
      <w:divBdr>
        <w:top w:val="none" w:sz="0" w:space="0" w:color="auto"/>
        <w:left w:val="none" w:sz="0" w:space="0" w:color="auto"/>
        <w:bottom w:val="none" w:sz="0" w:space="0" w:color="auto"/>
        <w:right w:val="none" w:sz="0" w:space="0" w:color="auto"/>
      </w:divBdr>
    </w:div>
    <w:div w:id="1096636547">
      <w:bodyDiv w:val="1"/>
      <w:marLeft w:val="0"/>
      <w:marRight w:val="0"/>
      <w:marTop w:val="0"/>
      <w:marBottom w:val="0"/>
      <w:divBdr>
        <w:top w:val="none" w:sz="0" w:space="0" w:color="auto"/>
        <w:left w:val="none" w:sz="0" w:space="0" w:color="auto"/>
        <w:bottom w:val="none" w:sz="0" w:space="0" w:color="auto"/>
        <w:right w:val="none" w:sz="0" w:space="0" w:color="auto"/>
      </w:divBdr>
    </w:div>
    <w:div w:id="1108089418">
      <w:bodyDiv w:val="1"/>
      <w:marLeft w:val="0"/>
      <w:marRight w:val="0"/>
      <w:marTop w:val="0"/>
      <w:marBottom w:val="0"/>
      <w:divBdr>
        <w:top w:val="none" w:sz="0" w:space="0" w:color="auto"/>
        <w:left w:val="none" w:sz="0" w:space="0" w:color="auto"/>
        <w:bottom w:val="none" w:sz="0" w:space="0" w:color="auto"/>
        <w:right w:val="none" w:sz="0" w:space="0" w:color="auto"/>
      </w:divBdr>
    </w:div>
    <w:div w:id="1111047449">
      <w:bodyDiv w:val="1"/>
      <w:marLeft w:val="0"/>
      <w:marRight w:val="0"/>
      <w:marTop w:val="0"/>
      <w:marBottom w:val="0"/>
      <w:divBdr>
        <w:top w:val="none" w:sz="0" w:space="0" w:color="auto"/>
        <w:left w:val="none" w:sz="0" w:space="0" w:color="auto"/>
        <w:bottom w:val="none" w:sz="0" w:space="0" w:color="auto"/>
        <w:right w:val="none" w:sz="0" w:space="0" w:color="auto"/>
      </w:divBdr>
    </w:div>
    <w:div w:id="1113400828">
      <w:bodyDiv w:val="1"/>
      <w:marLeft w:val="0"/>
      <w:marRight w:val="0"/>
      <w:marTop w:val="0"/>
      <w:marBottom w:val="0"/>
      <w:divBdr>
        <w:top w:val="none" w:sz="0" w:space="0" w:color="auto"/>
        <w:left w:val="none" w:sz="0" w:space="0" w:color="auto"/>
        <w:bottom w:val="none" w:sz="0" w:space="0" w:color="auto"/>
        <w:right w:val="none" w:sz="0" w:space="0" w:color="auto"/>
      </w:divBdr>
    </w:div>
    <w:div w:id="1114206210">
      <w:bodyDiv w:val="1"/>
      <w:marLeft w:val="0"/>
      <w:marRight w:val="0"/>
      <w:marTop w:val="0"/>
      <w:marBottom w:val="0"/>
      <w:divBdr>
        <w:top w:val="none" w:sz="0" w:space="0" w:color="auto"/>
        <w:left w:val="none" w:sz="0" w:space="0" w:color="auto"/>
        <w:bottom w:val="none" w:sz="0" w:space="0" w:color="auto"/>
        <w:right w:val="none" w:sz="0" w:space="0" w:color="auto"/>
      </w:divBdr>
    </w:div>
    <w:div w:id="1123964069">
      <w:bodyDiv w:val="1"/>
      <w:marLeft w:val="0"/>
      <w:marRight w:val="0"/>
      <w:marTop w:val="0"/>
      <w:marBottom w:val="0"/>
      <w:divBdr>
        <w:top w:val="none" w:sz="0" w:space="0" w:color="auto"/>
        <w:left w:val="none" w:sz="0" w:space="0" w:color="auto"/>
        <w:bottom w:val="none" w:sz="0" w:space="0" w:color="auto"/>
        <w:right w:val="none" w:sz="0" w:space="0" w:color="auto"/>
      </w:divBdr>
    </w:div>
    <w:div w:id="1128283591">
      <w:bodyDiv w:val="1"/>
      <w:marLeft w:val="0"/>
      <w:marRight w:val="0"/>
      <w:marTop w:val="0"/>
      <w:marBottom w:val="0"/>
      <w:divBdr>
        <w:top w:val="none" w:sz="0" w:space="0" w:color="auto"/>
        <w:left w:val="none" w:sz="0" w:space="0" w:color="auto"/>
        <w:bottom w:val="none" w:sz="0" w:space="0" w:color="auto"/>
        <w:right w:val="none" w:sz="0" w:space="0" w:color="auto"/>
      </w:divBdr>
    </w:div>
    <w:div w:id="1129475119">
      <w:bodyDiv w:val="1"/>
      <w:marLeft w:val="0"/>
      <w:marRight w:val="0"/>
      <w:marTop w:val="0"/>
      <w:marBottom w:val="0"/>
      <w:divBdr>
        <w:top w:val="none" w:sz="0" w:space="0" w:color="auto"/>
        <w:left w:val="none" w:sz="0" w:space="0" w:color="auto"/>
        <w:bottom w:val="none" w:sz="0" w:space="0" w:color="auto"/>
        <w:right w:val="none" w:sz="0" w:space="0" w:color="auto"/>
      </w:divBdr>
    </w:div>
    <w:div w:id="1129662457">
      <w:bodyDiv w:val="1"/>
      <w:marLeft w:val="0"/>
      <w:marRight w:val="0"/>
      <w:marTop w:val="0"/>
      <w:marBottom w:val="0"/>
      <w:divBdr>
        <w:top w:val="none" w:sz="0" w:space="0" w:color="auto"/>
        <w:left w:val="none" w:sz="0" w:space="0" w:color="auto"/>
        <w:bottom w:val="none" w:sz="0" w:space="0" w:color="auto"/>
        <w:right w:val="none" w:sz="0" w:space="0" w:color="auto"/>
      </w:divBdr>
    </w:div>
    <w:div w:id="1136988580">
      <w:bodyDiv w:val="1"/>
      <w:marLeft w:val="0"/>
      <w:marRight w:val="0"/>
      <w:marTop w:val="0"/>
      <w:marBottom w:val="0"/>
      <w:divBdr>
        <w:top w:val="none" w:sz="0" w:space="0" w:color="auto"/>
        <w:left w:val="none" w:sz="0" w:space="0" w:color="auto"/>
        <w:bottom w:val="none" w:sz="0" w:space="0" w:color="auto"/>
        <w:right w:val="none" w:sz="0" w:space="0" w:color="auto"/>
      </w:divBdr>
    </w:div>
    <w:div w:id="1139611461">
      <w:bodyDiv w:val="1"/>
      <w:marLeft w:val="0"/>
      <w:marRight w:val="0"/>
      <w:marTop w:val="0"/>
      <w:marBottom w:val="0"/>
      <w:divBdr>
        <w:top w:val="none" w:sz="0" w:space="0" w:color="auto"/>
        <w:left w:val="none" w:sz="0" w:space="0" w:color="auto"/>
        <w:bottom w:val="none" w:sz="0" w:space="0" w:color="auto"/>
        <w:right w:val="none" w:sz="0" w:space="0" w:color="auto"/>
      </w:divBdr>
    </w:div>
    <w:div w:id="1142692222">
      <w:bodyDiv w:val="1"/>
      <w:marLeft w:val="0"/>
      <w:marRight w:val="0"/>
      <w:marTop w:val="0"/>
      <w:marBottom w:val="0"/>
      <w:divBdr>
        <w:top w:val="none" w:sz="0" w:space="0" w:color="auto"/>
        <w:left w:val="none" w:sz="0" w:space="0" w:color="auto"/>
        <w:bottom w:val="none" w:sz="0" w:space="0" w:color="auto"/>
        <w:right w:val="none" w:sz="0" w:space="0" w:color="auto"/>
      </w:divBdr>
    </w:div>
    <w:div w:id="1146163050">
      <w:bodyDiv w:val="1"/>
      <w:marLeft w:val="0"/>
      <w:marRight w:val="0"/>
      <w:marTop w:val="0"/>
      <w:marBottom w:val="0"/>
      <w:divBdr>
        <w:top w:val="none" w:sz="0" w:space="0" w:color="auto"/>
        <w:left w:val="none" w:sz="0" w:space="0" w:color="auto"/>
        <w:bottom w:val="none" w:sz="0" w:space="0" w:color="auto"/>
        <w:right w:val="none" w:sz="0" w:space="0" w:color="auto"/>
      </w:divBdr>
    </w:div>
    <w:div w:id="1146893388">
      <w:bodyDiv w:val="1"/>
      <w:marLeft w:val="0"/>
      <w:marRight w:val="0"/>
      <w:marTop w:val="0"/>
      <w:marBottom w:val="0"/>
      <w:divBdr>
        <w:top w:val="none" w:sz="0" w:space="0" w:color="auto"/>
        <w:left w:val="none" w:sz="0" w:space="0" w:color="auto"/>
        <w:bottom w:val="none" w:sz="0" w:space="0" w:color="auto"/>
        <w:right w:val="none" w:sz="0" w:space="0" w:color="auto"/>
      </w:divBdr>
    </w:div>
    <w:div w:id="1147552415">
      <w:bodyDiv w:val="1"/>
      <w:marLeft w:val="0"/>
      <w:marRight w:val="0"/>
      <w:marTop w:val="0"/>
      <w:marBottom w:val="0"/>
      <w:divBdr>
        <w:top w:val="none" w:sz="0" w:space="0" w:color="auto"/>
        <w:left w:val="none" w:sz="0" w:space="0" w:color="auto"/>
        <w:bottom w:val="none" w:sz="0" w:space="0" w:color="auto"/>
        <w:right w:val="none" w:sz="0" w:space="0" w:color="auto"/>
      </w:divBdr>
    </w:div>
    <w:div w:id="1148133309">
      <w:bodyDiv w:val="1"/>
      <w:marLeft w:val="0"/>
      <w:marRight w:val="0"/>
      <w:marTop w:val="0"/>
      <w:marBottom w:val="0"/>
      <w:divBdr>
        <w:top w:val="none" w:sz="0" w:space="0" w:color="auto"/>
        <w:left w:val="none" w:sz="0" w:space="0" w:color="auto"/>
        <w:bottom w:val="none" w:sz="0" w:space="0" w:color="auto"/>
        <w:right w:val="none" w:sz="0" w:space="0" w:color="auto"/>
      </w:divBdr>
    </w:div>
    <w:div w:id="1149248082">
      <w:bodyDiv w:val="1"/>
      <w:marLeft w:val="0"/>
      <w:marRight w:val="0"/>
      <w:marTop w:val="0"/>
      <w:marBottom w:val="0"/>
      <w:divBdr>
        <w:top w:val="none" w:sz="0" w:space="0" w:color="auto"/>
        <w:left w:val="none" w:sz="0" w:space="0" w:color="auto"/>
        <w:bottom w:val="none" w:sz="0" w:space="0" w:color="auto"/>
        <w:right w:val="none" w:sz="0" w:space="0" w:color="auto"/>
      </w:divBdr>
    </w:div>
    <w:div w:id="1153328893">
      <w:bodyDiv w:val="1"/>
      <w:marLeft w:val="0"/>
      <w:marRight w:val="0"/>
      <w:marTop w:val="0"/>
      <w:marBottom w:val="0"/>
      <w:divBdr>
        <w:top w:val="none" w:sz="0" w:space="0" w:color="auto"/>
        <w:left w:val="none" w:sz="0" w:space="0" w:color="auto"/>
        <w:bottom w:val="none" w:sz="0" w:space="0" w:color="auto"/>
        <w:right w:val="none" w:sz="0" w:space="0" w:color="auto"/>
      </w:divBdr>
    </w:div>
    <w:div w:id="1167088411">
      <w:bodyDiv w:val="1"/>
      <w:marLeft w:val="0"/>
      <w:marRight w:val="0"/>
      <w:marTop w:val="0"/>
      <w:marBottom w:val="0"/>
      <w:divBdr>
        <w:top w:val="none" w:sz="0" w:space="0" w:color="auto"/>
        <w:left w:val="none" w:sz="0" w:space="0" w:color="auto"/>
        <w:bottom w:val="none" w:sz="0" w:space="0" w:color="auto"/>
        <w:right w:val="none" w:sz="0" w:space="0" w:color="auto"/>
      </w:divBdr>
    </w:div>
    <w:div w:id="1167600570">
      <w:bodyDiv w:val="1"/>
      <w:marLeft w:val="0"/>
      <w:marRight w:val="0"/>
      <w:marTop w:val="0"/>
      <w:marBottom w:val="0"/>
      <w:divBdr>
        <w:top w:val="none" w:sz="0" w:space="0" w:color="auto"/>
        <w:left w:val="none" w:sz="0" w:space="0" w:color="auto"/>
        <w:bottom w:val="none" w:sz="0" w:space="0" w:color="auto"/>
        <w:right w:val="none" w:sz="0" w:space="0" w:color="auto"/>
      </w:divBdr>
    </w:div>
    <w:div w:id="1168324472">
      <w:bodyDiv w:val="1"/>
      <w:marLeft w:val="0"/>
      <w:marRight w:val="0"/>
      <w:marTop w:val="0"/>
      <w:marBottom w:val="0"/>
      <w:divBdr>
        <w:top w:val="none" w:sz="0" w:space="0" w:color="auto"/>
        <w:left w:val="none" w:sz="0" w:space="0" w:color="auto"/>
        <w:bottom w:val="none" w:sz="0" w:space="0" w:color="auto"/>
        <w:right w:val="none" w:sz="0" w:space="0" w:color="auto"/>
      </w:divBdr>
    </w:div>
    <w:div w:id="1174027947">
      <w:bodyDiv w:val="1"/>
      <w:marLeft w:val="0"/>
      <w:marRight w:val="0"/>
      <w:marTop w:val="0"/>
      <w:marBottom w:val="0"/>
      <w:divBdr>
        <w:top w:val="none" w:sz="0" w:space="0" w:color="auto"/>
        <w:left w:val="none" w:sz="0" w:space="0" w:color="auto"/>
        <w:bottom w:val="none" w:sz="0" w:space="0" w:color="auto"/>
        <w:right w:val="none" w:sz="0" w:space="0" w:color="auto"/>
      </w:divBdr>
    </w:div>
    <w:div w:id="1175264597">
      <w:bodyDiv w:val="1"/>
      <w:marLeft w:val="0"/>
      <w:marRight w:val="0"/>
      <w:marTop w:val="0"/>
      <w:marBottom w:val="0"/>
      <w:divBdr>
        <w:top w:val="none" w:sz="0" w:space="0" w:color="auto"/>
        <w:left w:val="none" w:sz="0" w:space="0" w:color="auto"/>
        <w:bottom w:val="none" w:sz="0" w:space="0" w:color="auto"/>
        <w:right w:val="none" w:sz="0" w:space="0" w:color="auto"/>
      </w:divBdr>
    </w:div>
    <w:div w:id="1184855191">
      <w:bodyDiv w:val="1"/>
      <w:marLeft w:val="0"/>
      <w:marRight w:val="0"/>
      <w:marTop w:val="0"/>
      <w:marBottom w:val="0"/>
      <w:divBdr>
        <w:top w:val="none" w:sz="0" w:space="0" w:color="auto"/>
        <w:left w:val="none" w:sz="0" w:space="0" w:color="auto"/>
        <w:bottom w:val="none" w:sz="0" w:space="0" w:color="auto"/>
        <w:right w:val="none" w:sz="0" w:space="0" w:color="auto"/>
      </w:divBdr>
    </w:div>
    <w:div w:id="1188954351">
      <w:bodyDiv w:val="1"/>
      <w:marLeft w:val="0"/>
      <w:marRight w:val="0"/>
      <w:marTop w:val="0"/>
      <w:marBottom w:val="0"/>
      <w:divBdr>
        <w:top w:val="none" w:sz="0" w:space="0" w:color="auto"/>
        <w:left w:val="none" w:sz="0" w:space="0" w:color="auto"/>
        <w:bottom w:val="none" w:sz="0" w:space="0" w:color="auto"/>
        <w:right w:val="none" w:sz="0" w:space="0" w:color="auto"/>
      </w:divBdr>
    </w:div>
    <w:div w:id="1189836162">
      <w:bodyDiv w:val="1"/>
      <w:marLeft w:val="0"/>
      <w:marRight w:val="0"/>
      <w:marTop w:val="0"/>
      <w:marBottom w:val="0"/>
      <w:divBdr>
        <w:top w:val="none" w:sz="0" w:space="0" w:color="auto"/>
        <w:left w:val="none" w:sz="0" w:space="0" w:color="auto"/>
        <w:bottom w:val="none" w:sz="0" w:space="0" w:color="auto"/>
        <w:right w:val="none" w:sz="0" w:space="0" w:color="auto"/>
      </w:divBdr>
    </w:div>
    <w:div w:id="1203372104">
      <w:bodyDiv w:val="1"/>
      <w:marLeft w:val="0"/>
      <w:marRight w:val="0"/>
      <w:marTop w:val="0"/>
      <w:marBottom w:val="0"/>
      <w:divBdr>
        <w:top w:val="none" w:sz="0" w:space="0" w:color="auto"/>
        <w:left w:val="none" w:sz="0" w:space="0" w:color="auto"/>
        <w:bottom w:val="none" w:sz="0" w:space="0" w:color="auto"/>
        <w:right w:val="none" w:sz="0" w:space="0" w:color="auto"/>
      </w:divBdr>
    </w:div>
    <w:div w:id="1219976148">
      <w:bodyDiv w:val="1"/>
      <w:marLeft w:val="0"/>
      <w:marRight w:val="0"/>
      <w:marTop w:val="0"/>
      <w:marBottom w:val="0"/>
      <w:divBdr>
        <w:top w:val="none" w:sz="0" w:space="0" w:color="auto"/>
        <w:left w:val="none" w:sz="0" w:space="0" w:color="auto"/>
        <w:bottom w:val="none" w:sz="0" w:space="0" w:color="auto"/>
        <w:right w:val="none" w:sz="0" w:space="0" w:color="auto"/>
      </w:divBdr>
    </w:div>
    <w:div w:id="1221668000">
      <w:bodyDiv w:val="1"/>
      <w:marLeft w:val="0"/>
      <w:marRight w:val="0"/>
      <w:marTop w:val="0"/>
      <w:marBottom w:val="0"/>
      <w:divBdr>
        <w:top w:val="none" w:sz="0" w:space="0" w:color="auto"/>
        <w:left w:val="none" w:sz="0" w:space="0" w:color="auto"/>
        <w:bottom w:val="none" w:sz="0" w:space="0" w:color="auto"/>
        <w:right w:val="none" w:sz="0" w:space="0" w:color="auto"/>
      </w:divBdr>
    </w:div>
    <w:div w:id="1224218206">
      <w:bodyDiv w:val="1"/>
      <w:marLeft w:val="0"/>
      <w:marRight w:val="0"/>
      <w:marTop w:val="0"/>
      <w:marBottom w:val="0"/>
      <w:divBdr>
        <w:top w:val="none" w:sz="0" w:space="0" w:color="auto"/>
        <w:left w:val="none" w:sz="0" w:space="0" w:color="auto"/>
        <w:bottom w:val="none" w:sz="0" w:space="0" w:color="auto"/>
        <w:right w:val="none" w:sz="0" w:space="0" w:color="auto"/>
      </w:divBdr>
    </w:div>
    <w:div w:id="1225528037">
      <w:bodyDiv w:val="1"/>
      <w:marLeft w:val="0"/>
      <w:marRight w:val="0"/>
      <w:marTop w:val="0"/>
      <w:marBottom w:val="0"/>
      <w:divBdr>
        <w:top w:val="none" w:sz="0" w:space="0" w:color="auto"/>
        <w:left w:val="none" w:sz="0" w:space="0" w:color="auto"/>
        <w:bottom w:val="none" w:sz="0" w:space="0" w:color="auto"/>
        <w:right w:val="none" w:sz="0" w:space="0" w:color="auto"/>
      </w:divBdr>
    </w:div>
    <w:div w:id="1226648239">
      <w:bodyDiv w:val="1"/>
      <w:marLeft w:val="0"/>
      <w:marRight w:val="0"/>
      <w:marTop w:val="0"/>
      <w:marBottom w:val="0"/>
      <w:divBdr>
        <w:top w:val="none" w:sz="0" w:space="0" w:color="auto"/>
        <w:left w:val="none" w:sz="0" w:space="0" w:color="auto"/>
        <w:bottom w:val="none" w:sz="0" w:space="0" w:color="auto"/>
        <w:right w:val="none" w:sz="0" w:space="0" w:color="auto"/>
      </w:divBdr>
    </w:div>
    <w:div w:id="1228608788">
      <w:bodyDiv w:val="1"/>
      <w:marLeft w:val="0"/>
      <w:marRight w:val="0"/>
      <w:marTop w:val="0"/>
      <w:marBottom w:val="0"/>
      <w:divBdr>
        <w:top w:val="none" w:sz="0" w:space="0" w:color="auto"/>
        <w:left w:val="none" w:sz="0" w:space="0" w:color="auto"/>
        <w:bottom w:val="none" w:sz="0" w:space="0" w:color="auto"/>
        <w:right w:val="none" w:sz="0" w:space="0" w:color="auto"/>
      </w:divBdr>
    </w:div>
    <w:div w:id="1232735281">
      <w:bodyDiv w:val="1"/>
      <w:marLeft w:val="0"/>
      <w:marRight w:val="0"/>
      <w:marTop w:val="0"/>
      <w:marBottom w:val="0"/>
      <w:divBdr>
        <w:top w:val="none" w:sz="0" w:space="0" w:color="auto"/>
        <w:left w:val="none" w:sz="0" w:space="0" w:color="auto"/>
        <w:bottom w:val="none" w:sz="0" w:space="0" w:color="auto"/>
        <w:right w:val="none" w:sz="0" w:space="0" w:color="auto"/>
      </w:divBdr>
    </w:div>
    <w:div w:id="1235898038">
      <w:bodyDiv w:val="1"/>
      <w:marLeft w:val="0"/>
      <w:marRight w:val="0"/>
      <w:marTop w:val="0"/>
      <w:marBottom w:val="0"/>
      <w:divBdr>
        <w:top w:val="none" w:sz="0" w:space="0" w:color="auto"/>
        <w:left w:val="none" w:sz="0" w:space="0" w:color="auto"/>
        <w:bottom w:val="none" w:sz="0" w:space="0" w:color="auto"/>
        <w:right w:val="none" w:sz="0" w:space="0" w:color="auto"/>
      </w:divBdr>
    </w:div>
    <w:div w:id="1236428804">
      <w:bodyDiv w:val="1"/>
      <w:marLeft w:val="0"/>
      <w:marRight w:val="0"/>
      <w:marTop w:val="0"/>
      <w:marBottom w:val="0"/>
      <w:divBdr>
        <w:top w:val="none" w:sz="0" w:space="0" w:color="auto"/>
        <w:left w:val="none" w:sz="0" w:space="0" w:color="auto"/>
        <w:bottom w:val="none" w:sz="0" w:space="0" w:color="auto"/>
        <w:right w:val="none" w:sz="0" w:space="0" w:color="auto"/>
      </w:divBdr>
    </w:div>
    <w:div w:id="1239173165">
      <w:bodyDiv w:val="1"/>
      <w:marLeft w:val="0"/>
      <w:marRight w:val="0"/>
      <w:marTop w:val="0"/>
      <w:marBottom w:val="0"/>
      <w:divBdr>
        <w:top w:val="none" w:sz="0" w:space="0" w:color="auto"/>
        <w:left w:val="none" w:sz="0" w:space="0" w:color="auto"/>
        <w:bottom w:val="none" w:sz="0" w:space="0" w:color="auto"/>
        <w:right w:val="none" w:sz="0" w:space="0" w:color="auto"/>
      </w:divBdr>
    </w:div>
    <w:div w:id="1244950147">
      <w:bodyDiv w:val="1"/>
      <w:marLeft w:val="0"/>
      <w:marRight w:val="0"/>
      <w:marTop w:val="0"/>
      <w:marBottom w:val="0"/>
      <w:divBdr>
        <w:top w:val="none" w:sz="0" w:space="0" w:color="auto"/>
        <w:left w:val="none" w:sz="0" w:space="0" w:color="auto"/>
        <w:bottom w:val="none" w:sz="0" w:space="0" w:color="auto"/>
        <w:right w:val="none" w:sz="0" w:space="0" w:color="auto"/>
      </w:divBdr>
    </w:div>
    <w:div w:id="1251156771">
      <w:bodyDiv w:val="1"/>
      <w:marLeft w:val="0"/>
      <w:marRight w:val="0"/>
      <w:marTop w:val="0"/>
      <w:marBottom w:val="0"/>
      <w:divBdr>
        <w:top w:val="none" w:sz="0" w:space="0" w:color="auto"/>
        <w:left w:val="none" w:sz="0" w:space="0" w:color="auto"/>
        <w:bottom w:val="none" w:sz="0" w:space="0" w:color="auto"/>
        <w:right w:val="none" w:sz="0" w:space="0" w:color="auto"/>
      </w:divBdr>
    </w:div>
    <w:div w:id="1256011494">
      <w:bodyDiv w:val="1"/>
      <w:marLeft w:val="0"/>
      <w:marRight w:val="0"/>
      <w:marTop w:val="0"/>
      <w:marBottom w:val="0"/>
      <w:divBdr>
        <w:top w:val="none" w:sz="0" w:space="0" w:color="auto"/>
        <w:left w:val="none" w:sz="0" w:space="0" w:color="auto"/>
        <w:bottom w:val="none" w:sz="0" w:space="0" w:color="auto"/>
        <w:right w:val="none" w:sz="0" w:space="0" w:color="auto"/>
      </w:divBdr>
    </w:div>
    <w:div w:id="1256327816">
      <w:bodyDiv w:val="1"/>
      <w:marLeft w:val="0"/>
      <w:marRight w:val="0"/>
      <w:marTop w:val="0"/>
      <w:marBottom w:val="0"/>
      <w:divBdr>
        <w:top w:val="none" w:sz="0" w:space="0" w:color="auto"/>
        <w:left w:val="none" w:sz="0" w:space="0" w:color="auto"/>
        <w:bottom w:val="none" w:sz="0" w:space="0" w:color="auto"/>
        <w:right w:val="none" w:sz="0" w:space="0" w:color="auto"/>
      </w:divBdr>
    </w:div>
    <w:div w:id="1269966613">
      <w:bodyDiv w:val="1"/>
      <w:marLeft w:val="0"/>
      <w:marRight w:val="0"/>
      <w:marTop w:val="0"/>
      <w:marBottom w:val="0"/>
      <w:divBdr>
        <w:top w:val="none" w:sz="0" w:space="0" w:color="auto"/>
        <w:left w:val="none" w:sz="0" w:space="0" w:color="auto"/>
        <w:bottom w:val="none" w:sz="0" w:space="0" w:color="auto"/>
        <w:right w:val="none" w:sz="0" w:space="0" w:color="auto"/>
      </w:divBdr>
    </w:div>
    <w:div w:id="1286041619">
      <w:bodyDiv w:val="1"/>
      <w:marLeft w:val="0"/>
      <w:marRight w:val="0"/>
      <w:marTop w:val="0"/>
      <w:marBottom w:val="0"/>
      <w:divBdr>
        <w:top w:val="none" w:sz="0" w:space="0" w:color="auto"/>
        <w:left w:val="none" w:sz="0" w:space="0" w:color="auto"/>
        <w:bottom w:val="none" w:sz="0" w:space="0" w:color="auto"/>
        <w:right w:val="none" w:sz="0" w:space="0" w:color="auto"/>
      </w:divBdr>
    </w:div>
    <w:div w:id="1290933335">
      <w:bodyDiv w:val="1"/>
      <w:marLeft w:val="0"/>
      <w:marRight w:val="0"/>
      <w:marTop w:val="0"/>
      <w:marBottom w:val="0"/>
      <w:divBdr>
        <w:top w:val="none" w:sz="0" w:space="0" w:color="auto"/>
        <w:left w:val="none" w:sz="0" w:space="0" w:color="auto"/>
        <w:bottom w:val="none" w:sz="0" w:space="0" w:color="auto"/>
        <w:right w:val="none" w:sz="0" w:space="0" w:color="auto"/>
      </w:divBdr>
    </w:div>
    <w:div w:id="1295676957">
      <w:bodyDiv w:val="1"/>
      <w:marLeft w:val="0"/>
      <w:marRight w:val="0"/>
      <w:marTop w:val="0"/>
      <w:marBottom w:val="0"/>
      <w:divBdr>
        <w:top w:val="none" w:sz="0" w:space="0" w:color="auto"/>
        <w:left w:val="none" w:sz="0" w:space="0" w:color="auto"/>
        <w:bottom w:val="none" w:sz="0" w:space="0" w:color="auto"/>
        <w:right w:val="none" w:sz="0" w:space="0" w:color="auto"/>
      </w:divBdr>
    </w:div>
    <w:div w:id="1297418934">
      <w:bodyDiv w:val="1"/>
      <w:marLeft w:val="0"/>
      <w:marRight w:val="0"/>
      <w:marTop w:val="0"/>
      <w:marBottom w:val="0"/>
      <w:divBdr>
        <w:top w:val="none" w:sz="0" w:space="0" w:color="auto"/>
        <w:left w:val="none" w:sz="0" w:space="0" w:color="auto"/>
        <w:bottom w:val="none" w:sz="0" w:space="0" w:color="auto"/>
        <w:right w:val="none" w:sz="0" w:space="0" w:color="auto"/>
      </w:divBdr>
    </w:div>
    <w:div w:id="1310327150">
      <w:bodyDiv w:val="1"/>
      <w:marLeft w:val="0"/>
      <w:marRight w:val="0"/>
      <w:marTop w:val="0"/>
      <w:marBottom w:val="0"/>
      <w:divBdr>
        <w:top w:val="none" w:sz="0" w:space="0" w:color="auto"/>
        <w:left w:val="none" w:sz="0" w:space="0" w:color="auto"/>
        <w:bottom w:val="none" w:sz="0" w:space="0" w:color="auto"/>
        <w:right w:val="none" w:sz="0" w:space="0" w:color="auto"/>
      </w:divBdr>
    </w:div>
    <w:div w:id="1312833073">
      <w:bodyDiv w:val="1"/>
      <w:marLeft w:val="0"/>
      <w:marRight w:val="0"/>
      <w:marTop w:val="0"/>
      <w:marBottom w:val="0"/>
      <w:divBdr>
        <w:top w:val="none" w:sz="0" w:space="0" w:color="auto"/>
        <w:left w:val="none" w:sz="0" w:space="0" w:color="auto"/>
        <w:bottom w:val="none" w:sz="0" w:space="0" w:color="auto"/>
        <w:right w:val="none" w:sz="0" w:space="0" w:color="auto"/>
      </w:divBdr>
    </w:div>
    <w:div w:id="1318801433">
      <w:bodyDiv w:val="1"/>
      <w:marLeft w:val="0"/>
      <w:marRight w:val="0"/>
      <w:marTop w:val="0"/>
      <w:marBottom w:val="0"/>
      <w:divBdr>
        <w:top w:val="none" w:sz="0" w:space="0" w:color="auto"/>
        <w:left w:val="none" w:sz="0" w:space="0" w:color="auto"/>
        <w:bottom w:val="none" w:sz="0" w:space="0" w:color="auto"/>
        <w:right w:val="none" w:sz="0" w:space="0" w:color="auto"/>
      </w:divBdr>
    </w:div>
    <w:div w:id="1322806436">
      <w:bodyDiv w:val="1"/>
      <w:marLeft w:val="0"/>
      <w:marRight w:val="0"/>
      <w:marTop w:val="0"/>
      <w:marBottom w:val="0"/>
      <w:divBdr>
        <w:top w:val="none" w:sz="0" w:space="0" w:color="auto"/>
        <w:left w:val="none" w:sz="0" w:space="0" w:color="auto"/>
        <w:bottom w:val="none" w:sz="0" w:space="0" w:color="auto"/>
        <w:right w:val="none" w:sz="0" w:space="0" w:color="auto"/>
      </w:divBdr>
    </w:div>
    <w:div w:id="1325671181">
      <w:bodyDiv w:val="1"/>
      <w:marLeft w:val="0"/>
      <w:marRight w:val="0"/>
      <w:marTop w:val="0"/>
      <w:marBottom w:val="0"/>
      <w:divBdr>
        <w:top w:val="none" w:sz="0" w:space="0" w:color="auto"/>
        <w:left w:val="none" w:sz="0" w:space="0" w:color="auto"/>
        <w:bottom w:val="none" w:sz="0" w:space="0" w:color="auto"/>
        <w:right w:val="none" w:sz="0" w:space="0" w:color="auto"/>
      </w:divBdr>
    </w:div>
    <w:div w:id="1330250306">
      <w:bodyDiv w:val="1"/>
      <w:marLeft w:val="0"/>
      <w:marRight w:val="0"/>
      <w:marTop w:val="0"/>
      <w:marBottom w:val="0"/>
      <w:divBdr>
        <w:top w:val="none" w:sz="0" w:space="0" w:color="auto"/>
        <w:left w:val="none" w:sz="0" w:space="0" w:color="auto"/>
        <w:bottom w:val="none" w:sz="0" w:space="0" w:color="auto"/>
        <w:right w:val="none" w:sz="0" w:space="0" w:color="auto"/>
      </w:divBdr>
    </w:div>
    <w:div w:id="1330525469">
      <w:bodyDiv w:val="1"/>
      <w:marLeft w:val="0"/>
      <w:marRight w:val="0"/>
      <w:marTop w:val="0"/>
      <w:marBottom w:val="0"/>
      <w:divBdr>
        <w:top w:val="none" w:sz="0" w:space="0" w:color="auto"/>
        <w:left w:val="none" w:sz="0" w:space="0" w:color="auto"/>
        <w:bottom w:val="none" w:sz="0" w:space="0" w:color="auto"/>
        <w:right w:val="none" w:sz="0" w:space="0" w:color="auto"/>
      </w:divBdr>
    </w:div>
    <w:div w:id="1331561982">
      <w:bodyDiv w:val="1"/>
      <w:marLeft w:val="0"/>
      <w:marRight w:val="0"/>
      <w:marTop w:val="0"/>
      <w:marBottom w:val="0"/>
      <w:divBdr>
        <w:top w:val="none" w:sz="0" w:space="0" w:color="auto"/>
        <w:left w:val="none" w:sz="0" w:space="0" w:color="auto"/>
        <w:bottom w:val="none" w:sz="0" w:space="0" w:color="auto"/>
        <w:right w:val="none" w:sz="0" w:space="0" w:color="auto"/>
      </w:divBdr>
    </w:div>
    <w:div w:id="1337922922">
      <w:bodyDiv w:val="1"/>
      <w:marLeft w:val="0"/>
      <w:marRight w:val="0"/>
      <w:marTop w:val="0"/>
      <w:marBottom w:val="0"/>
      <w:divBdr>
        <w:top w:val="none" w:sz="0" w:space="0" w:color="auto"/>
        <w:left w:val="none" w:sz="0" w:space="0" w:color="auto"/>
        <w:bottom w:val="none" w:sz="0" w:space="0" w:color="auto"/>
        <w:right w:val="none" w:sz="0" w:space="0" w:color="auto"/>
      </w:divBdr>
    </w:div>
    <w:div w:id="1339769620">
      <w:bodyDiv w:val="1"/>
      <w:marLeft w:val="0"/>
      <w:marRight w:val="0"/>
      <w:marTop w:val="0"/>
      <w:marBottom w:val="0"/>
      <w:divBdr>
        <w:top w:val="none" w:sz="0" w:space="0" w:color="auto"/>
        <w:left w:val="none" w:sz="0" w:space="0" w:color="auto"/>
        <w:bottom w:val="none" w:sz="0" w:space="0" w:color="auto"/>
        <w:right w:val="none" w:sz="0" w:space="0" w:color="auto"/>
      </w:divBdr>
    </w:div>
    <w:div w:id="1340235902">
      <w:bodyDiv w:val="1"/>
      <w:marLeft w:val="0"/>
      <w:marRight w:val="0"/>
      <w:marTop w:val="0"/>
      <w:marBottom w:val="0"/>
      <w:divBdr>
        <w:top w:val="none" w:sz="0" w:space="0" w:color="auto"/>
        <w:left w:val="none" w:sz="0" w:space="0" w:color="auto"/>
        <w:bottom w:val="none" w:sz="0" w:space="0" w:color="auto"/>
        <w:right w:val="none" w:sz="0" w:space="0" w:color="auto"/>
      </w:divBdr>
    </w:div>
    <w:div w:id="1340309422">
      <w:bodyDiv w:val="1"/>
      <w:marLeft w:val="0"/>
      <w:marRight w:val="0"/>
      <w:marTop w:val="0"/>
      <w:marBottom w:val="0"/>
      <w:divBdr>
        <w:top w:val="none" w:sz="0" w:space="0" w:color="auto"/>
        <w:left w:val="none" w:sz="0" w:space="0" w:color="auto"/>
        <w:bottom w:val="none" w:sz="0" w:space="0" w:color="auto"/>
        <w:right w:val="none" w:sz="0" w:space="0" w:color="auto"/>
      </w:divBdr>
    </w:div>
    <w:div w:id="1350370392">
      <w:bodyDiv w:val="1"/>
      <w:marLeft w:val="0"/>
      <w:marRight w:val="0"/>
      <w:marTop w:val="0"/>
      <w:marBottom w:val="0"/>
      <w:divBdr>
        <w:top w:val="none" w:sz="0" w:space="0" w:color="auto"/>
        <w:left w:val="none" w:sz="0" w:space="0" w:color="auto"/>
        <w:bottom w:val="none" w:sz="0" w:space="0" w:color="auto"/>
        <w:right w:val="none" w:sz="0" w:space="0" w:color="auto"/>
      </w:divBdr>
    </w:div>
    <w:div w:id="1351831588">
      <w:bodyDiv w:val="1"/>
      <w:marLeft w:val="0"/>
      <w:marRight w:val="0"/>
      <w:marTop w:val="0"/>
      <w:marBottom w:val="0"/>
      <w:divBdr>
        <w:top w:val="none" w:sz="0" w:space="0" w:color="auto"/>
        <w:left w:val="none" w:sz="0" w:space="0" w:color="auto"/>
        <w:bottom w:val="none" w:sz="0" w:space="0" w:color="auto"/>
        <w:right w:val="none" w:sz="0" w:space="0" w:color="auto"/>
      </w:divBdr>
    </w:div>
    <w:div w:id="1355956682">
      <w:bodyDiv w:val="1"/>
      <w:marLeft w:val="0"/>
      <w:marRight w:val="0"/>
      <w:marTop w:val="0"/>
      <w:marBottom w:val="0"/>
      <w:divBdr>
        <w:top w:val="none" w:sz="0" w:space="0" w:color="auto"/>
        <w:left w:val="none" w:sz="0" w:space="0" w:color="auto"/>
        <w:bottom w:val="none" w:sz="0" w:space="0" w:color="auto"/>
        <w:right w:val="none" w:sz="0" w:space="0" w:color="auto"/>
      </w:divBdr>
    </w:div>
    <w:div w:id="1357192505">
      <w:bodyDiv w:val="1"/>
      <w:marLeft w:val="0"/>
      <w:marRight w:val="0"/>
      <w:marTop w:val="0"/>
      <w:marBottom w:val="0"/>
      <w:divBdr>
        <w:top w:val="none" w:sz="0" w:space="0" w:color="auto"/>
        <w:left w:val="none" w:sz="0" w:space="0" w:color="auto"/>
        <w:bottom w:val="none" w:sz="0" w:space="0" w:color="auto"/>
        <w:right w:val="none" w:sz="0" w:space="0" w:color="auto"/>
      </w:divBdr>
    </w:div>
    <w:div w:id="1359891122">
      <w:bodyDiv w:val="1"/>
      <w:marLeft w:val="0"/>
      <w:marRight w:val="0"/>
      <w:marTop w:val="0"/>
      <w:marBottom w:val="0"/>
      <w:divBdr>
        <w:top w:val="none" w:sz="0" w:space="0" w:color="auto"/>
        <w:left w:val="none" w:sz="0" w:space="0" w:color="auto"/>
        <w:bottom w:val="none" w:sz="0" w:space="0" w:color="auto"/>
        <w:right w:val="none" w:sz="0" w:space="0" w:color="auto"/>
      </w:divBdr>
    </w:div>
    <w:div w:id="1373336592">
      <w:bodyDiv w:val="1"/>
      <w:marLeft w:val="0"/>
      <w:marRight w:val="0"/>
      <w:marTop w:val="0"/>
      <w:marBottom w:val="0"/>
      <w:divBdr>
        <w:top w:val="none" w:sz="0" w:space="0" w:color="auto"/>
        <w:left w:val="none" w:sz="0" w:space="0" w:color="auto"/>
        <w:bottom w:val="none" w:sz="0" w:space="0" w:color="auto"/>
        <w:right w:val="none" w:sz="0" w:space="0" w:color="auto"/>
      </w:divBdr>
    </w:div>
    <w:div w:id="1377465869">
      <w:bodyDiv w:val="1"/>
      <w:marLeft w:val="0"/>
      <w:marRight w:val="0"/>
      <w:marTop w:val="0"/>
      <w:marBottom w:val="0"/>
      <w:divBdr>
        <w:top w:val="none" w:sz="0" w:space="0" w:color="auto"/>
        <w:left w:val="none" w:sz="0" w:space="0" w:color="auto"/>
        <w:bottom w:val="none" w:sz="0" w:space="0" w:color="auto"/>
        <w:right w:val="none" w:sz="0" w:space="0" w:color="auto"/>
      </w:divBdr>
    </w:div>
    <w:div w:id="1386224676">
      <w:bodyDiv w:val="1"/>
      <w:marLeft w:val="0"/>
      <w:marRight w:val="0"/>
      <w:marTop w:val="0"/>
      <w:marBottom w:val="0"/>
      <w:divBdr>
        <w:top w:val="none" w:sz="0" w:space="0" w:color="auto"/>
        <w:left w:val="none" w:sz="0" w:space="0" w:color="auto"/>
        <w:bottom w:val="none" w:sz="0" w:space="0" w:color="auto"/>
        <w:right w:val="none" w:sz="0" w:space="0" w:color="auto"/>
      </w:divBdr>
    </w:div>
    <w:div w:id="1386640766">
      <w:bodyDiv w:val="1"/>
      <w:marLeft w:val="0"/>
      <w:marRight w:val="0"/>
      <w:marTop w:val="0"/>
      <w:marBottom w:val="0"/>
      <w:divBdr>
        <w:top w:val="none" w:sz="0" w:space="0" w:color="auto"/>
        <w:left w:val="none" w:sz="0" w:space="0" w:color="auto"/>
        <w:bottom w:val="none" w:sz="0" w:space="0" w:color="auto"/>
        <w:right w:val="none" w:sz="0" w:space="0" w:color="auto"/>
      </w:divBdr>
    </w:div>
    <w:div w:id="1397435907">
      <w:bodyDiv w:val="1"/>
      <w:marLeft w:val="0"/>
      <w:marRight w:val="0"/>
      <w:marTop w:val="0"/>
      <w:marBottom w:val="0"/>
      <w:divBdr>
        <w:top w:val="none" w:sz="0" w:space="0" w:color="auto"/>
        <w:left w:val="none" w:sz="0" w:space="0" w:color="auto"/>
        <w:bottom w:val="none" w:sz="0" w:space="0" w:color="auto"/>
        <w:right w:val="none" w:sz="0" w:space="0" w:color="auto"/>
      </w:divBdr>
    </w:div>
    <w:div w:id="1397632841">
      <w:bodyDiv w:val="1"/>
      <w:marLeft w:val="0"/>
      <w:marRight w:val="0"/>
      <w:marTop w:val="0"/>
      <w:marBottom w:val="0"/>
      <w:divBdr>
        <w:top w:val="none" w:sz="0" w:space="0" w:color="auto"/>
        <w:left w:val="none" w:sz="0" w:space="0" w:color="auto"/>
        <w:bottom w:val="none" w:sz="0" w:space="0" w:color="auto"/>
        <w:right w:val="none" w:sz="0" w:space="0" w:color="auto"/>
      </w:divBdr>
    </w:div>
    <w:div w:id="1409303472">
      <w:bodyDiv w:val="1"/>
      <w:marLeft w:val="0"/>
      <w:marRight w:val="0"/>
      <w:marTop w:val="0"/>
      <w:marBottom w:val="0"/>
      <w:divBdr>
        <w:top w:val="none" w:sz="0" w:space="0" w:color="auto"/>
        <w:left w:val="none" w:sz="0" w:space="0" w:color="auto"/>
        <w:bottom w:val="none" w:sz="0" w:space="0" w:color="auto"/>
        <w:right w:val="none" w:sz="0" w:space="0" w:color="auto"/>
      </w:divBdr>
    </w:div>
    <w:div w:id="1409882417">
      <w:bodyDiv w:val="1"/>
      <w:marLeft w:val="0"/>
      <w:marRight w:val="0"/>
      <w:marTop w:val="0"/>
      <w:marBottom w:val="0"/>
      <w:divBdr>
        <w:top w:val="none" w:sz="0" w:space="0" w:color="auto"/>
        <w:left w:val="none" w:sz="0" w:space="0" w:color="auto"/>
        <w:bottom w:val="none" w:sz="0" w:space="0" w:color="auto"/>
        <w:right w:val="none" w:sz="0" w:space="0" w:color="auto"/>
      </w:divBdr>
    </w:div>
    <w:div w:id="1414162570">
      <w:bodyDiv w:val="1"/>
      <w:marLeft w:val="0"/>
      <w:marRight w:val="0"/>
      <w:marTop w:val="0"/>
      <w:marBottom w:val="0"/>
      <w:divBdr>
        <w:top w:val="none" w:sz="0" w:space="0" w:color="auto"/>
        <w:left w:val="none" w:sz="0" w:space="0" w:color="auto"/>
        <w:bottom w:val="none" w:sz="0" w:space="0" w:color="auto"/>
        <w:right w:val="none" w:sz="0" w:space="0" w:color="auto"/>
      </w:divBdr>
    </w:div>
    <w:div w:id="1424647218">
      <w:bodyDiv w:val="1"/>
      <w:marLeft w:val="0"/>
      <w:marRight w:val="0"/>
      <w:marTop w:val="0"/>
      <w:marBottom w:val="0"/>
      <w:divBdr>
        <w:top w:val="none" w:sz="0" w:space="0" w:color="auto"/>
        <w:left w:val="none" w:sz="0" w:space="0" w:color="auto"/>
        <w:bottom w:val="none" w:sz="0" w:space="0" w:color="auto"/>
        <w:right w:val="none" w:sz="0" w:space="0" w:color="auto"/>
      </w:divBdr>
    </w:div>
    <w:div w:id="1426724461">
      <w:bodyDiv w:val="1"/>
      <w:marLeft w:val="0"/>
      <w:marRight w:val="0"/>
      <w:marTop w:val="0"/>
      <w:marBottom w:val="0"/>
      <w:divBdr>
        <w:top w:val="none" w:sz="0" w:space="0" w:color="auto"/>
        <w:left w:val="none" w:sz="0" w:space="0" w:color="auto"/>
        <w:bottom w:val="none" w:sz="0" w:space="0" w:color="auto"/>
        <w:right w:val="none" w:sz="0" w:space="0" w:color="auto"/>
      </w:divBdr>
    </w:div>
    <w:div w:id="1428312919">
      <w:bodyDiv w:val="1"/>
      <w:marLeft w:val="0"/>
      <w:marRight w:val="0"/>
      <w:marTop w:val="0"/>
      <w:marBottom w:val="0"/>
      <w:divBdr>
        <w:top w:val="none" w:sz="0" w:space="0" w:color="auto"/>
        <w:left w:val="none" w:sz="0" w:space="0" w:color="auto"/>
        <w:bottom w:val="none" w:sz="0" w:space="0" w:color="auto"/>
        <w:right w:val="none" w:sz="0" w:space="0" w:color="auto"/>
      </w:divBdr>
    </w:div>
    <w:div w:id="1437868796">
      <w:bodyDiv w:val="1"/>
      <w:marLeft w:val="0"/>
      <w:marRight w:val="0"/>
      <w:marTop w:val="0"/>
      <w:marBottom w:val="0"/>
      <w:divBdr>
        <w:top w:val="none" w:sz="0" w:space="0" w:color="auto"/>
        <w:left w:val="none" w:sz="0" w:space="0" w:color="auto"/>
        <w:bottom w:val="none" w:sz="0" w:space="0" w:color="auto"/>
        <w:right w:val="none" w:sz="0" w:space="0" w:color="auto"/>
      </w:divBdr>
    </w:div>
    <w:div w:id="1442073761">
      <w:bodyDiv w:val="1"/>
      <w:marLeft w:val="0"/>
      <w:marRight w:val="0"/>
      <w:marTop w:val="0"/>
      <w:marBottom w:val="0"/>
      <w:divBdr>
        <w:top w:val="none" w:sz="0" w:space="0" w:color="auto"/>
        <w:left w:val="none" w:sz="0" w:space="0" w:color="auto"/>
        <w:bottom w:val="none" w:sz="0" w:space="0" w:color="auto"/>
        <w:right w:val="none" w:sz="0" w:space="0" w:color="auto"/>
      </w:divBdr>
    </w:div>
    <w:div w:id="1444108521">
      <w:bodyDiv w:val="1"/>
      <w:marLeft w:val="0"/>
      <w:marRight w:val="0"/>
      <w:marTop w:val="0"/>
      <w:marBottom w:val="0"/>
      <w:divBdr>
        <w:top w:val="none" w:sz="0" w:space="0" w:color="auto"/>
        <w:left w:val="none" w:sz="0" w:space="0" w:color="auto"/>
        <w:bottom w:val="none" w:sz="0" w:space="0" w:color="auto"/>
        <w:right w:val="none" w:sz="0" w:space="0" w:color="auto"/>
      </w:divBdr>
    </w:div>
    <w:div w:id="1457531254">
      <w:bodyDiv w:val="1"/>
      <w:marLeft w:val="0"/>
      <w:marRight w:val="0"/>
      <w:marTop w:val="0"/>
      <w:marBottom w:val="0"/>
      <w:divBdr>
        <w:top w:val="none" w:sz="0" w:space="0" w:color="auto"/>
        <w:left w:val="none" w:sz="0" w:space="0" w:color="auto"/>
        <w:bottom w:val="none" w:sz="0" w:space="0" w:color="auto"/>
        <w:right w:val="none" w:sz="0" w:space="0" w:color="auto"/>
      </w:divBdr>
    </w:div>
    <w:div w:id="1466697857">
      <w:bodyDiv w:val="1"/>
      <w:marLeft w:val="0"/>
      <w:marRight w:val="0"/>
      <w:marTop w:val="0"/>
      <w:marBottom w:val="0"/>
      <w:divBdr>
        <w:top w:val="none" w:sz="0" w:space="0" w:color="auto"/>
        <w:left w:val="none" w:sz="0" w:space="0" w:color="auto"/>
        <w:bottom w:val="none" w:sz="0" w:space="0" w:color="auto"/>
        <w:right w:val="none" w:sz="0" w:space="0" w:color="auto"/>
      </w:divBdr>
    </w:div>
    <w:div w:id="1468428053">
      <w:bodyDiv w:val="1"/>
      <w:marLeft w:val="0"/>
      <w:marRight w:val="0"/>
      <w:marTop w:val="0"/>
      <w:marBottom w:val="0"/>
      <w:divBdr>
        <w:top w:val="none" w:sz="0" w:space="0" w:color="auto"/>
        <w:left w:val="none" w:sz="0" w:space="0" w:color="auto"/>
        <w:bottom w:val="none" w:sz="0" w:space="0" w:color="auto"/>
        <w:right w:val="none" w:sz="0" w:space="0" w:color="auto"/>
      </w:divBdr>
    </w:div>
    <w:div w:id="1493762182">
      <w:bodyDiv w:val="1"/>
      <w:marLeft w:val="0"/>
      <w:marRight w:val="0"/>
      <w:marTop w:val="0"/>
      <w:marBottom w:val="0"/>
      <w:divBdr>
        <w:top w:val="none" w:sz="0" w:space="0" w:color="auto"/>
        <w:left w:val="none" w:sz="0" w:space="0" w:color="auto"/>
        <w:bottom w:val="none" w:sz="0" w:space="0" w:color="auto"/>
        <w:right w:val="none" w:sz="0" w:space="0" w:color="auto"/>
      </w:divBdr>
    </w:div>
    <w:div w:id="1499807386">
      <w:bodyDiv w:val="1"/>
      <w:marLeft w:val="0"/>
      <w:marRight w:val="0"/>
      <w:marTop w:val="0"/>
      <w:marBottom w:val="0"/>
      <w:divBdr>
        <w:top w:val="none" w:sz="0" w:space="0" w:color="auto"/>
        <w:left w:val="none" w:sz="0" w:space="0" w:color="auto"/>
        <w:bottom w:val="none" w:sz="0" w:space="0" w:color="auto"/>
        <w:right w:val="none" w:sz="0" w:space="0" w:color="auto"/>
      </w:divBdr>
    </w:div>
    <w:div w:id="1506091338">
      <w:bodyDiv w:val="1"/>
      <w:marLeft w:val="0"/>
      <w:marRight w:val="0"/>
      <w:marTop w:val="0"/>
      <w:marBottom w:val="0"/>
      <w:divBdr>
        <w:top w:val="none" w:sz="0" w:space="0" w:color="auto"/>
        <w:left w:val="none" w:sz="0" w:space="0" w:color="auto"/>
        <w:bottom w:val="none" w:sz="0" w:space="0" w:color="auto"/>
        <w:right w:val="none" w:sz="0" w:space="0" w:color="auto"/>
      </w:divBdr>
    </w:div>
    <w:div w:id="1512798208">
      <w:bodyDiv w:val="1"/>
      <w:marLeft w:val="0"/>
      <w:marRight w:val="0"/>
      <w:marTop w:val="0"/>
      <w:marBottom w:val="0"/>
      <w:divBdr>
        <w:top w:val="none" w:sz="0" w:space="0" w:color="auto"/>
        <w:left w:val="none" w:sz="0" w:space="0" w:color="auto"/>
        <w:bottom w:val="none" w:sz="0" w:space="0" w:color="auto"/>
        <w:right w:val="none" w:sz="0" w:space="0" w:color="auto"/>
      </w:divBdr>
    </w:div>
    <w:div w:id="1514609307">
      <w:bodyDiv w:val="1"/>
      <w:marLeft w:val="0"/>
      <w:marRight w:val="0"/>
      <w:marTop w:val="0"/>
      <w:marBottom w:val="0"/>
      <w:divBdr>
        <w:top w:val="none" w:sz="0" w:space="0" w:color="auto"/>
        <w:left w:val="none" w:sz="0" w:space="0" w:color="auto"/>
        <w:bottom w:val="none" w:sz="0" w:space="0" w:color="auto"/>
        <w:right w:val="none" w:sz="0" w:space="0" w:color="auto"/>
      </w:divBdr>
    </w:div>
    <w:div w:id="1518346236">
      <w:bodyDiv w:val="1"/>
      <w:marLeft w:val="0"/>
      <w:marRight w:val="0"/>
      <w:marTop w:val="0"/>
      <w:marBottom w:val="0"/>
      <w:divBdr>
        <w:top w:val="none" w:sz="0" w:space="0" w:color="auto"/>
        <w:left w:val="none" w:sz="0" w:space="0" w:color="auto"/>
        <w:bottom w:val="none" w:sz="0" w:space="0" w:color="auto"/>
        <w:right w:val="none" w:sz="0" w:space="0" w:color="auto"/>
      </w:divBdr>
    </w:div>
    <w:div w:id="1520855926">
      <w:bodyDiv w:val="1"/>
      <w:marLeft w:val="0"/>
      <w:marRight w:val="0"/>
      <w:marTop w:val="0"/>
      <w:marBottom w:val="0"/>
      <w:divBdr>
        <w:top w:val="none" w:sz="0" w:space="0" w:color="auto"/>
        <w:left w:val="none" w:sz="0" w:space="0" w:color="auto"/>
        <w:bottom w:val="none" w:sz="0" w:space="0" w:color="auto"/>
        <w:right w:val="none" w:sz="0" w:space="0" w:color="auto"/>
      </w:divBdr>
    </w:div>
    <w:div w:id="1524975465">
      <w:bodyDiv w:val="1"/>
      <w:marLeft w:val="0"/>
      <w:marRight w:val="0"/>
      <w:marTop w:val="0"/>
      <w:marBottom w:val="0"/>
      <w:divBdr>
        <w:top w:val="none" w:sz="0" w:space="0" w:color="auto"/>
        <w:left w:val="none" w:sz="0" w:space="0" w:color="auto"/>
        <w:bottom w:val="none" w:sz="0" w:space="0" w:color="auto"/>
        <w:right w:val="none" w:sz="0" w:space="0" w:color="auto"/>
      </w:divBdr>
    </w:div>
    <w:div w:id="1529836982">
      <w:bodyDiv w:val="1"/>
      <w:marLeft w:val="0"/>
      <w:marRight w:val="0"/>
      <w:marTop w:val="0"/>
      <w:marBottom w:val="0"/>
      <w:divBdr>
        <w:top w:val="none" w:sz="0" w:space="0" w:color="auto"/>
        <w:left w:val="none" w:sz="0" w:space="0" w:color="auto"/>
        <w:bottom w:val="none" w:sz="0" w:space="0" w:color="auto"/>
        <w:right w:val="none" w:sz="0" w:space="0" w:color="auto"/>
      </w:divBdr>
    </w:div>
    <w:div w:id="1534030838">
      <w:bodyDiv w:val="1"/>
      <w:marLeft w:val="0"/>
      <w:marRight w:val="0"/>
      <w:marTop w:val="0"/>
      <w:marBottom w:val="0"/>
      <w:divBdr>
        <w:top w:val="none" w:sz="0" w:space="0" w:color="auto"/>
        <w:left w:val="none" w:sz="0" w:space="0" w:color="auto"/>
        <w:bottom w:val="none" w:sz="0" w:space="0" w:color="auto"/>
        <w:right w:val="none" w:sz="0" w:space="0" w:color="auto"/>
      </w:divBdr>
    </w:div>
    <w:div w:id="1534032796">
      <w:bodyDiv w:val="1"/>
      <w:marLeft w:val="0"/>
      <w:marRight w:val="0"/>
      <w:marTop w:val="0"/>
      <w:marBottom w:val="0"/>
      <w:divBdr>
        <w:top w:val="none" w:sz="0" w:space="0" w:color="auto"/>
        <w:left w:val="none" w:sz="0" w:space="0" w:color="auto"/>
        <w:bottom w:val="none" w:sz="0" w:space="0" w:color="auto"/>
        <w:right w:val="none" w:sz="0" w:space="0" w:color="auto"/>
      </w:divBdr>
    </w:div>
    <w:div w:id="1557740281">
      <w:bodyDiv w:val="1"/>
      <w:marLeft w:val="0"/>
      <w:marRight w:val="0"/>
      <w:marTop w:val="0"/>
      <w:marBottom w:val="0"/>
      <w:divBdr>
        <w:top w:val="none" w:sz="0" w:space="0" w:color="auto"/>
        <w:left w:val="none" w:sz="0" w:space="0" w:color="auto"/>
        <w:bottom w:val="none" w:sz="0" w:space="0" w:color="auto"/>
        <w:right w:val="none" w:sz="0" w:space="0" w:color="auto"/>
      </w:divBdr>
    </w:div>
    <w:div w:id="1558322523">
      <w:bodyDiv w:val="1"/>
      <w:marLeft w:val="0"/>
      <w:marRight w:val="0"/>
      <w:marTop w:val="0"/>
      <w:marBottom w:val="0"/>
      <w:divBdr>
        <w:top w:val="none" w:sz="0" w:space="0" w:color="auto"/>
        <w:left w:val="none" w:sz="0" w:space="0" w:color="auto"/>
        <w:bottom w:val="none" w:sz="0" w:space="0" w:color="auto"/>
        <w:right w:val="none" w:sz="0" w:space="0" w:color="auto"/>
      </w:divBdr>
    </w:div>
    <w:div w:id="1564290428">
      <w:bodyDiv w:val="1"/>
      <w:marLeft w:val="0"/>
      <w:marRight w:val="0"/>
      <w:marTop w:val="0"/>
      <w:marBottom w:val="0"/>
      <w:divBdr>
        <w:top w:val="none" w:sz="0" w:space="0" w:color="auto"/>
        <w:left w:val="none" w:sz="0" w:space="0" w:color="auto"/>
        <w:bottom w:val="none" w:sz="0" w:space="0" w:color="auto"/>
        <w:right w:val="none" w:sz="0" w:space="0" w:color="auto"/>
      </w:divBdr>
    </w:div>
    <w:div w:id="1573737515">
      <w:bodyDiv w:val="1"/>
      <w:marLeft w:val="0"/>
      <w:marRight w:val="0"/>
      <w:marTop w:val="0"/>
      <w:marBottom w:val="0"/>
      <w:divBdr>
        <w:top w:val="none" w:sz="0" w:space="0" w:color="auto"/>
        <w:left w:val="none" w:sz="0" w:space="0" w:color="auto"/>
        <w:bottom w:val="none" w:sz="0" w:space="0" w:color="auto"/>
        <w:right w:val="none" w:sz="0" w:space="0" w:color="auto"/>
      </w:divBdr>
    </w:div>
    <w:div w:id="1580823985">
      <w:bodyDiv w:val="1"/>
      <w:marLeft w:val="0"/>
      <w:marRight w:val="0"/>
      <w:marTop w:val="0"/>
      <w:marBottom w:val="0"/>
      <w:divBdr>
        <w:top w:val="none" w:sz="0" w:space="0" w:color="auto"/>
        <w:left w:val="none" w:sz="0" w:space="0" w:color="auto"/>
        <w:bottom w:val="none" w:sz="0" w:space="0" w:color="auto"/>
        <w:right w:val="none" w:sz="0" w:space="0" w:color="auto"/>
      </w:divBdr>
    </w:div>
    <w:div w:id="1586838963">
      <w:bodyDiv w:val="1"/>
      <w:marLeft w:val="0"/>
      <w:marRight w:val="0"/>
      <w:marTop w:val="0"/>
      <w:marBottom w:val="0"/>
      <w:divBdr>
        <w:top w:val="none" w:sz="0" w:space="0" w:color="auto"/>
        <w:left w:val="none" w:sz="0" w:space="0" w:color="auto"/>
        <w:bottom w:val="none" w:sz="0" w:space="0" w:color="auto"/>
        <w:right w:val="none" w:sz="0" w:space="0" w:color="auto"/>
      </w:divBdr>
    </w:div>
    <w:div w:id="1591042897">
      <w:bodyDiv w:val="1"/>
      <w:marLeft w:val="0"/>
      <w:marRight w:val="0"/>
      <w:marTop w:val="0"/>
      <w:marBottom w:val="0"/>
      <w:divBdr>
        <w:top w:val="none" w:sz="0" w:space="0" w:color="auto"/>
        <w:left w:val="none" w:sz="0" w:space="0" w:color="auto"/>
        <w:bottom w:val="none" w:sz="0" w:space="0" w:color="auto"/>
        <w:right w:val="none" w:sz="0" w:space="0" w:color="auto"/>
      </w:divBdr>
    </w:div>
    <w:div w:id="1591817645">
      <w:bodyDiv w:val="1"/>
      <w:marLeft w:val="0"/>
      <w:marRight w:val="0"/>
      <w:marTop w:val="0"/>
      <w:marBottom w:val="0"/>
      <w:divBdr>
        <w:top w:val="none" w:sz="0" w:space="0" w:color="auto"/>
        <w:left w:val="none" w:sz="0" w:space="0" w:color="auto"/>
        <w:bottom w:val="none" w:sz="0" w:space="0" w:color="auto"/>
        <w:right w:val="none" w:sz="0" w:space="0" w:color="auto"/>
      </w:divBdr>
    </w:div>
    <w:div w:id="1593079527">
      <w:bodyDiv w:val="1"/>
      <w:marLeft w:val="0"/>
      <w:marRight w:val="0"/>
      <w:marTop w:val="0"/>
      <w:marBottom w:val="0"/>
      <w:divBdr>
        <w:top w:val="none" w:sz="0" w:space="0" w:color="auto"/>
        <w:left w:val="none" w:sz="0" w:space="0" w:color="auto"/>
        <w:bottom w:val="none" w:sz="0" w:space="0" w:color="auto"/>
        <w:right w:val="none" w:sz="0" w:space="0" w:color="auto"/>
      </w:divBdr>
    </w:div>
    <w:div w:id="1594363473">
      <w:bodyDiv w:val="1"/>
      <w:marLeft w:val="0"/>
      <w:marRight w:val="0"/>
      <w:marTop w:val="0"/>
      <w:marBottom w:val="0"/>
      <w:divBdr>
        <w:top w:val="none" w:sz="0" w:space="0" w:color="auto"/>
        <w:left w:val="none" w:sz="0" w:space="0" w:color="auto"/>
        <w:bottom w:val="none" w:sz="0" w:space="0" w:color="auto"/>
        <w:right w:val="none" w:sz="0" w:space="0" w:color="auto"/>
      </w:divBdr>
    </w:div>
    <w:div w:id="1597711847">
      <w:bodyDiv w:val="1"/>
      <w:marLeft w:val="0"/>
      <w:marRight w:val="0"/>
      <w:marTop w:val="0"/>
      <w:marBottom w:val="0"/>
      <w:divBdr>
        <w:top w:val="none" w:sz="0" w:space="0" w:color="auto"/>
        <w:left w:val="none" w:sz="0" w:space="0" w:color="auto"/>
        <w:bottom w:val="none" w:sz="0" w:space="0" w:color="auto"/>
        <w:right w:val="none" w:sz="0" w:space="0" w:color="auto"/>
      </w:divBdr>
    </w:div>
    <w:div w:id="1598756239">
      <w:bodyDiv w:val="1"/>
      <w:marLeft w:val="0"/>
      <w:marRight w:val="0"/>
      <w:marTop w:val="0"/>
      <w:marBottom w:val="0"/>
      <w:divBdr>
        <w:top w:val="none" w:sz="0" w:space="0" w:color="auto"/>
        <w:left w:val="none" w:sz="0" w:space="0" w:color="auto"/>
        <w:bottom w:val="none" w:sz="0" w:space="0" w:color="auto"/>
        <w:right w:val="none" w:sz="0" w:space="0" w:color="auto"/>
      </w:divBdr>
    </w:div>
    <w:div w:id="1600135220">
      <w:bodyDiv w:val="1"/>
      <w:marLeft w:val="0"/>
      <w:marRight w:val="0"/>
      <w:marTop w:val="0"/>
      <w:marBottom w:val="0"/>
      <w:divBdr>
        <w:top w:val="none" w:sz="0" w:space="0" w:color="auto"/>
        <w:left w:val="none" w:sz="0" w:space="0" w:color="auto"/>
        <w:bottom w:val="none" w:sz="0" w:space="0" w:color="auto"/>
        <w:right w:val="none" w:sz="0" w:space="0" w:color="auto"/>
      </w:divBdr>
    </w:div>
    <w:div w:id="1603951785">
      <w:bodyDiv w:val="1"/>
      <w:marLeft w:val="0"/>
      <w:marRight w:val="0"/>
      <w:marTop w:val="0"/>
      <w:marBottom w:val="0"/>
      <w:divBdr>
        <w:top w:val="none" w:sz="0" w:space="0" w:color="auto"/>
        <w:left w:val="none" w:sz="0" w:space="0" w:color="auto"/>
        <w:bottom w:val="none" w:sz="0" w:space="0" w:color="auto"/>
        <w:right w:val="none" w:sz="0" w:space="0" w:color="auto"/>
      </w:divBdr>
    </w:div>
    <w:div w:id="1605457109">
      <w:bodyDiv w:val="1"/>
      <w:marLeft w:val="0"/>
      <w:marRight w:val="0"/>
      <w:marTop w:val="0"/>
      <w:marBottom w:val="0"/>
      <w:divBdr>
        <w:top w:val="none" w:sz="0" w:space="0" w:color="auto"/>
        <w:left w:val="none" w:sz="0" w:space="0" w:color="auto"/>
        <w:bottom w:val="none" w:sz="0" w:space="0" w:color="auto"/>
        <w:right w:val="none" w:sz="0" w:space="0" w:color="auto"/>
      </w:divBdr>
    </w:div>
    <w:div w:id="1609433452">
      <w:bodyDiv w:val="1"/>
      <w:marLeft w:val="0"/>
      <w:marRight w:val="0"/>
      <w:marTop w:val="0"/>
      <w:marBottom w:val="0"/>
      <w:divBdr>
        <w:top w:val="none" w:sz="0" w:space="0" w:color="auto"/>
        <w:left w:val="none" w:sz="0" w:space="0" w:color="auto"/>
        <w:bottom w:val="none" w:sz="0" w:space="0" w:color="auto"/>
        <w:right w:val="none" w:sz="0" w:space="0" w:color="auto"/>
      </w:divBdr>
    </w:div>
    <w:div w:id="1628120457">
      <w:bodyDiv w:val="1"/>
      <w:marLeft w:val="0"/>
      <w:marRight w:val="0"/>
      <w:marTop w:val="0"/>
      <w:marBottom w:val="0"/>
      <w:divBdr>
        <w:top w:val="none" w:sz="0" w:space="0" w:color="auto"/>
        <w:left w:val="none" w:sz="0" w:space="0" w:color="auto"/>
        <w:bottom w:val="none" w:sz="0" w:space="0" w:color="auto"/>
        <w:right w:val="none" w:sz="0" w:space="0" w:color="auto"/>
      </w:divBdr>
    </w:div>
    <w:div w:id="1638532986">
      <w:bodyDiv w:val="1"/>
      <w:marLeft w:val="0"/>
      <w:marRight w:val="0"/>
      <w:marTop w:val="0"/>
      <w:marBottom w:val="0"/>
      <w:divBdr>
        <w:top w:val="none" w:sz="0" w:space="0" w:color="auto"/>
        <w:left w:val="none" w:sz="0" w:space="0" w:color="auto"/>
        <w:bottom w:val="none" w:sz="0" w:space="0" w:color="auto"/>
        <w:right w:val="none" w:sz="0" w:space="0" w:color="auto"/>
      </w:divBdr>
    </w:div>
    <w:div w:id="1649675180">
      <w:bodyDiv w:val="1"/>
      <w:marLeft w:val="0"/>
      <w:marRight w:val="0"/>
      <w:marTop w:val="0"/>
      <w:marBottom w:val="0"/>
      <w:divBdr>
        <w:top w:val="none" w:sz="0" w:space="0" w:color="auto"/>
        <w:left w:val="none" w:sz="0" w:space="0" w:color="auto"/>
        <w:bottom w:val="none" w:sz="0" w:space="0" w:color="auto"/>
        <w:right w:val="none" w:sz="0" w:space="0" w:color="auto"/>
      </w:divBdr>
    </w:div>
    <w:div w:id="1655329176">
      <w:bodyDiv w:val="1"/>
      <w:marLeft w:val="0"/>
      <w:marRight w:val="0"/>
      <w:marTop w:val="0"/>
      <w:marBottom w:val="0"/>
      <w:divBdr>
        <w:top w:val="none" w:sz="0" w:space="0" w:color="auto"/>
        <w:left w:val="none" w:sz="0" w:space="0" w:color="auto"/>
        <w:bottom w:val="none" w:sz="0" w:space="0" w:color="auto"/>
        <w:right w:val="none" w:sz="0" w:space="0" w:color="auto"/>
      </w:divBdr>
    </w:div>
    <w:div w:id="1658343019">
      <w:bodyDiv w:val="1"/>
      <w:marLeft w:val="0"/>
      <w:marRight w:val="0"/>
      <w:marTop w:val="0"/>
      <w:marBottom w:val="0"/>
      <w:divBdr>
        <w:top w:val="none" w:sz="0" w:space="0" w:color="auto"/>
        <w:left w:val="none" w:sz="0" w:space="0" w:color="auto"/>
        <w:bottom w:val="none" w:sz="0" w:space="0" w:color="auto"/>
        <w:right w:val="none" w:sz="0" w:space="0" w:color="auto"/>
      </w:divBdr>
    </w:div>
    <w:div w:id="1659193161">
      <w:bodyDiv w:val="1"/>
      <w:marLeft w:val="0"/>
      <w:marRight w:val="0"/>
      <w:marTop w:val="0"/>
      <w:marBottom w:val="0"/>
      <w:divBdr>
        <w:top w:val="none" w:sz="0" w:space="0" w:color="auto"/>
        <w:left w:val="none" w:sz="0" w:space="0" w:color="auto"/>
        <w:bottom w:val="none" w:sz="0" w:space="0" w:color="auto"/>
        <w:right w:val="none" w:sz="0" w:space="0" w:color="auto"/>
      </w:divBdr>
    </w:div>
    <w:div w:id="1678999434">
      <w:bodyDiv w:val="1"/>
      <w:marLeft w:val="0"/>
      <w:marRight w:val="0"/>
      <w:marTop w:val="0"/>
      <w:marBottom w:val="0"/>
      <w:divBdr>
        <w:top w:val="none" w:sz="0" w:space="0" w:color="auto"/>
        <w:left w:val="none" w:sz="0" w:space="0" w:color="auto"/>
        <w:bottom w:val="none" w:sz="0" w:space="0" w:color="auto"/>
        <w:right w:val="none" w:sz="0" w:space="0" w:color="auto"/>
      </w:divBdr>
    </w:div>
    <w:div w:id="1683508860">
      <w:bodyDiv w:val="1"/>
      <w:marLeft w:val="0"/>
      <w:marRight w:val="0"/>
      <w:marTop w:val="0"/>
      <w:marBottom w:val="0"/>
      <w:divBdr>
        <w:top w:val="none" w:sz="0" w:space="0" w:color="auto"/>
        <w:left w:val="none" w:sz="0" w:space="0" w:color="auto"/>
        <w:bottom w:val="none" w:sz="0" w:space="0" w:color="auto"/>
        <w:right w:val="none" w:sz="0" w:space="0" w:color="auto"/>
      </w:divBdr>
    </w:div>
    <w:div w:id="1684818813">
      <w:bodyDiv w:val="1"/>
      <w:marLeft w:val="0"/>
      <w:marRight w:val="0"/>
      <w:marTop w:val="0"/>
      <w:marBottom w:val="0"/>
      <w:divBdr>
        <w:top w:val="none" w:sz="0" w:space="0" w:color="auto"/>
        <w:left w:val="none" w:sz="0" w:space="0" w:color="auto"/>
        <w:bottom w:val="none" w:sz="0" w:space="0" w:color="auto"/>
        <w:right w:val="none" w:sz="0" w:space="0" w:color="auto"/>
      </w:divBdr>
    </w:div>
    <w:div w:id="1688755109">
      <w:bodyDiv w:val="1"/>
      <w:marLeft w:val="0"/>
      <w:marRight w:val="0"/>
      <w:marTop w:val="0"/>
      <w:marBottom w:val="0"/>
      <w:divBdr>
        <w:top w:val="none" w:sz="0" w:space="0" w:color="auto"/>
        <w:left w:val="none" w:sz="0" w:space="0" w:color="auto"/>
        <w:bottom w:val="none" w:sz="0" w:space="0" w:color="auto"/>
        <w:right w:val="none" w:sz="0" w:space="0" w:color="auto"/>
      </w:divBdr>
    </w:div>
    <w:div w:id="1696615268">
      <w:bodyDiv w:val="1"/>
      <w:marLeft w:val="0"/>
      <w:marRight w:val="0"/>
      <w:marTop w:val="0"/>
      <w:marBottom w:val="0"/>
      <w:divBdr>
        <w:top w:val="none" w:sz="0" w:space="0" w:color="auto"/>
        <w:left w:val="none" w:sz="0" w:space="0" w:color="auto"/>
        <w:bottom w:val="none" w:sz="0" w:space="0" w:color="auto"/>
        <w:right w:val="none" w:sz="0" w:space="0" w:color="auto"/>
      </w:divBdr>
    </w:div>
    <w:div w:id="1700468518">
      <w:bodyDiv w:val="1"/>
      <w:marLeft w:val="0"/>
      <w:marRight w:val="0"/>
      <w:marTop w:val="0"/>
      <w:marBottom w:val="0"/>
      <w:divBdr>
        <w:top w:val="none" w:sz="0" w:space="0" w:color="auto"/>
        <w:left w:val="none" w:sz="0" w:space="0" w:color="auto"/>
        <w:bottom w:val="none" w:sz="0" w:space="0" w:color="auto"/>
        <w:right w:val="none" w:sz="0" w:space="0" w:color="auto"/>
      </w:divBdr>
    </w:div>
    <w:div w:id="1704984940">
      <w:bodyDiv w:val="1"/>
      <w:marLeft w:val="0"/>
      <w:marRight w:val="0"/>
      <w:marTop w:val="0"/>
      <w:marBottom w:val="0"/>
      <w:divBdr>
        <w:top w:val="none" w:sz="0" w:space="0" w:color="auto"/>
        <w:left w:val="none" w:sz="0" w:space="0" w:color="auto"/>
        <w:bottom w:val="none" w:sz="0" w:space="0" w:color="auto"/>
        <w:right w:val="none" w:sz="0" w:space="0" w:color="auto"/>
      </w:divBdr>
    </w:div>
    <w:div w:id="1710687053">
      <w:bodyDiv w:val="1"/>
      <w:marLeft w:val="0"/>
      <w:marRight w:val="0"/>
      <w:marTop w:val="0"/>
      <w:marBottom w:val="0"/>
      <w:divBdr>
        <w:top w:val="none" w:sz="0" w:space="0" w:color="auto"/>
        <w:left w:val="none" w:sz="0" w:space="0" w:color="auto"/>
        <w:bottom w:val="none" w:sz="0" w:space="0" w:color="auto"/>
        <w:right w:val="none" w:sz="0" w:space="0" w:color="auto"/>
      </w:divBdr>
    </w:div>
    <w:div w:id="1713189858">
      <w:bodyDiv w:val="1"/>
      <w:marLeft w:val="0"/>
      <w:marRight w:val="0"/>
      <w:marTop w:val="0"/>
      <w:marBottom w:val="0"/>
      <w:divBdr>
        <w:top w:val="none" w:sz="0" w:space="0" w:color="auto"/>
        <w:left w:val="none" w:sz="0" w:space="0" w:color="auto"/>
        <w:bottom w:val="none" w:sz="0" w:space="0" w:color="auto"/>
        <w:right w:val="none" w:sz="0" w:space="0" w:color="auto"/>
      </w:divBdr>
    </w:div>
    <w:div w:id="1721590963">
      <w:bodyDiv w:val="1"/>
      <w:marLeft w:val="0"/>
      <w:marRight w:val="0"/>
      <w:marTop w:val="0"/>
      <w:marBottom w:val="0"/>
      <w:divBdr>
        <w:top w:val="none" w:sz="0" w:space="0" w:color="auto"/>
        <w:left w:val="none" w:sz="0" w:space="0" w:color="auto"/>
        <w:bottom w:val="none" w:sz="0" w:space="0" w:color="auto"/>
        <w:right w:val="none" w:sz="0" w:space="0" w:color="auto"/>
      </w:divBdr>
    </w:div>
    <w:div w:id="1731271637">
      <w:bodyDiv w:val="1"/>
      <w:marLeft w:val="0"/>
      <w:marRight w:val="0"/>
      <w:marTop w:val="0"/>
      <w:marBottom w:val="0"/>
      <w:divBdr>
        <w:top w:val="none" w:sz="0" w:space="0" w:color="auto"/>
        <w:left w:val="none" w:sz="0" w:space="0" w:color="auto"/>
        <w:bottom w:val="none" w:sz="0" w:space="0" w:color="auto"/>
        <w:right w:val="none" w:sz="0" w:space="0" w:color="auto"/>
      </w:divBdr>
    </w:div>
    <w:div w:id="1753818725">
      <w:bodyDiv w:val="1"/>
      <w:marLeft w:val="0"/>
      <w:marRight w:val="0"/>
      <w:marTop w:val="0"/>
      <w:marBottom w:val="0"/>
      <w:divBdr>
        <w:top w:val="none" w:sz="0" w:space="0" w:color="auto"/>
        <w:left w:val="none" w:sz="0" w:space="0" w:color="auto"/>
        <w:bottom w:val="none" w:sz="0" w:space="0" w:color="auto"/>
        <w:right w:val="none" w:sz="0" w:space="0" w:color="auto"/>
      </w:divBdr>
    </w:div>
    <w:div w:id="1754738767">
      <w:bodyDiv w:val="1"/>
      <w:marLeft w:val="0"/>
      <w:marRight w:val="0"/>
      <w:marTop w:val="0"/>
      <w:marBottom w:val="0"/>
      <w:divBdr>
        <w:top w:val="none" w:sz="0" w:space="0" w:color="auto"/>
        <w:left w:val="none" w:sz="0" w:space="0" w:color="auto"/>
        <w:bottom w:val="none" w:sz="0" w:space="0" w:color="auto"/>
        <w:right w:val="none" w:sz="0" w:space="0" w:color="auto"/>
      </w:divBdr>
    </w:div>
    <w:div w:id="1760449090">
      <w:bodyDiv w:val="1"/>
      <w:marLeft w:val="0"/>
      <w:marRight w:val="0"/>
      <w:marTop w:val="0"/>
      <w:marBottom w:val="0"/>
      <w:divBdr>
        <w:top w:val="none" w:sz="0" w:space="0" w:color="auto"/>
        <w:left w:val="none" w:sz="0" w:space="0" w:color="auto"/>
        <w:bottom w:val="none" w:sz="0" w:space="0" w:color="auto"/>
        <w:right w:val="none" w:sz="0" w:space="0" w:color="auto"/>
      </w:divBdr>
    </w:div>
    <w:div w:id="1769884907">
      <w:bodyDiv w:val="1"/>
      <w:marLeft w:val="0"/>
      <w:marRight w:val="0"/>
      <w:marTop w:val="0"/>
      <w:marBottom w:val="0"/>
      <w:divBdr>
        <w:top w:val="none" w:sz="0" w:space="0" w:color="auto"/>
        <w:left w:val="none" w:sz="0" w:space="0" w:color="auto"/>
        <w:bottom w:val="none" w:sz="0" w:space="0" w:color="auto"/>
        <w:right w:val="none" w:sz="0" w:space="0" w:color="auto"/>
      </w:divBdr>
    </w:div>
    <w:div w:id="1779642160">
      <w:bodyDiv w:val="1"/>
      <w:marLeft w:val="0"/>
      <w:marRight w:val="0"/>
      <w:marTop w:val="0"/>
      <w:marBottom w:val="0"/>
      <w:divBdr>
        <w:top w:val="none" w:sz="0" w:space="0" w:color="auto"/>
        <w:left w:val="none" w:sz="0" w:space="0" w:color="auto"/>
        <w:bottom w:val="none" w:sz="0" w:space="0" w:color="auto"/>
        <w:right w:val="none" w:sz="0" w:space="0" w:color="auto"/>
      </w:divBdr>
    </w:div>
    <w:div w:id="1786533425">
      <w:bodyDiv w:val="1"/>
      <w:marLeft w:val="0"/>
      <w:marRight w:val="0"/>
      <w:marTop w:val="0"/>
      <w:marBottom w:val="0"/>
      <w:divBdr>
        <w:top w:val="none" w:sz="0" w:space="0" w:color="auto"/>
        <w:left w:val="none" w:sz="0" w:space="0" w:color="auto"/>
        <w:bottom w:val="none" w:sz="0" w:space="0" w:color="auto"/>
        <w:right w:val="none" w:sz="0" w:space="0" w:color="auto"/>
      </w:divBdr>
    </w:div>
    <w:div w:id="1789814000">
      <w:bodyDiv w:val="1"/>
      <w:marLeft w:val="0"/>
      <w:marRight w:val="0"/>
      <w:marTop w:val="0"/>
      <w:marBottom w:val="0"/>
      <w:divBdr>
        <w:top w:val="none" w:sz="0" w:space="0" w:color="auto"/>
        <w:left w:val="none" w:sz="0" w:space="0" w:color="auto"/>
        <w:bottom w:val="none" w:sz="0" w:space="0" w:color="auto"/>
        <w:right w:val="none" w:sz="0" w:space="0" w:color="auto"/>
      </w:divBdr>
    </w:div>
    <w:div w:id="1798446846">
      <w:bodyDiv w:val="1"/>
      <w:marLeft w:val="0"/>
      <w:marRight w:val="0"/>
      <w:marTop w:val="0"/>
      <w:marBottom w:val="0"/>
      <w:divBdr>
        <w:top w:val="none" w:sz="0" w:space="0" w:color="auto"/>
        <w:left w:val="none" w:sz="0" w:space="0" w:color="auto"/>
        <w:bottom w:val="none" w:sz="0" w:space="0" w:color="auto"/>
        <w:right w:val="none" w:sz="0" w:space="0" w:color="auto"/>
      </w:divBdr>
    </w:div>
    <w:div w:id="1803427172">
      <w:bodyDiv w:val="1"/>
      <w:marLeft w:val="0"/>
      <w:marRight w:val="0"/>
      <w:marTop w:val="0"/>
      <w:marBottom w:val="0"/>
      <w:divBdr>
        <w:top w:val="none" w:sz="0" w:space="0" w:color="auto"/>
        <w:left w:val="none" w:sz="0" w:space="0" w:color="auto"/>
        <w:bottom w:val="none" w:sz="0" w:space="0" w:color="auto"/>
        <w:right w:val="none" w:sz="0" w:space="0" w:color="auto"/>
      </w:divBdr>
    </w:div>
    <w:div w:id="1824540351">
      <w:bodyDiv w:val="1"/>
      <w:marLeft w:val="0"/>
      <w:marRight w:val="0"/>
      <w:marTop w:val="0"/>
      <w:marBottom w:val="0"/>
      <w:divBdr>
        <w:top w:val="none" w:sz="0" w:space="0" w:color="auto"/>
        <w:left w:val="none" w:sz="0" w:space="0" w:color="auto"/>
        <w:bottom w:val="none" w:sz="0" w:space="0" w:color="auto"/>
        <w:right w:val="none" w:sz="0" w:space="0" w:color="auto"/>
      </w:divBdr>
    </w:div>
    <w:div w:id="1826584486">
      <w:bodyDiv w:val="1"/>
      <w:marLeft w:val="0"/>
      <w:marRight w:val="0"/>
      <w:marTop w:val="0"/>
      <w:marBottom w:val="0"/>
      <w:divBdr>
        <w:top w:val="none" w:sz="0" w:space="0" w:color="auto"/>
        <w:left w:val="none" w:sz="0" w:space="0" w:color="auto"/>
        <w:bottom w:val="none" w:sz="0" w:space="0" w:color="auto"/>
        <w:right w:val="none" w:sz="0" w:space="0" w:color="auto"/>
      </w:divBdr>
    </w:div>
    <w:div w:id="1833330721">
      <w:bodyDiv w:val="1"/>
      <w:marLeft w:val="0"/>
      <w:marRight w:val="0"/>
      <w:marTop w:val="0"/>
      <w:marBottom w:val="0"/>
      <w:divBdr>
        <w:top w:val="none" w:sz="0" w:space="0" w:color="auto"/>
        <w:left w:val="none" w:sz="0" w:space="0" w:color="auto"/>
        <w:bottom w:val="none" w:sz="0" w:space="0" w:color="auto"/>
        <w:right w:val="none" w:sz="0" w:space="0" w:color="auto"/>
      </w:divBdr>
    </w:div>
    <w:div w:id="1838298726">
      <w:bodyDiv w:val="1"/>
      <w:marLeft w:val="0"/>
      <w:marRight w:val="0"/>
      <w:marTop w:val="0"/>
      <w:marBottom w:val="0"/>
      <w:divBdr>
        <w:top w:val="none" w:sz="0" w:space="0" w:color="auto"/>
        <w:left w:val="none" w:sz="0" w:space="0" w:color="auto"/>
        <w:bottom w:val="none" w:sz="0" w:space="0" w:color="auto"/>
        <w:right w:val="none" w:sz="0" w:space="0" w:color="auto"/>
      </w:divBdr>
    </w:div>
    <w:div w:id="1849636983">
      <w:bodyDiv w:val="1"/>
      <w:marLeft w:val="0"/>
      <w:marRight w:val="0"/>
      <w:marTop w:val="0"/>
      <w:marBottom w:val="0"/>
      <w:divBdr>
        <w:top w:val="none" w:sz="0" w:space="0" w:color="auto"/>
        <w:left w:val="none" w:sz="0" w:space="0" w:color="auto"/>
        <w:bottom w:val="none" w:sz="0" w:space="0" w:color="auto"/>
        <w:right w:val="none" w:sz="0" w:space="0" w:color="auto"/>
      </w:divBdr>
    </w:div>
    <w:div w:id="1858303251">
      <w:bodyDiv w:val="1"/>
      <w:marLeft w:val="0"/>
      <w:marRight w:val="0"/>
      <w:marTop w:val="0"/>
      <w:marBottom w:val="0"/>
      <w:divBdr>
        <w:top w:val="none" w:sz="0" w:space="0" w:color="auto"/>
        <w:left w:val="none" w:sz="0" w:space="0" w:color="auto"/>
        <w:bottom w:val="none" w:sz="0" w:space="0" w:color="auto"/>
        <w:right w:val="none" w:sz="0" w:space="0" w:color="auto"/>
      </w:divBdr>
    </w:div>
    <w:div w:id="1885868693">
      <w:bodyDiv w:val="1"/>
      <w:marLeft w:val="0"/>
      <w:marRight w:val="0"/>
      <w:marTop w:val="0"/>
      <w:marBottom w:val="0"/>
      <w:divBdr>
        <w:top w:val="none" w:sz="0" w:space="0" w:color="auto"/>
        <w:left w:val="none" w:sz="0" w:space="0" w:color="auto"/>
        <w:bottom w:val="none" w:sz="0" w:space="0" w:color="auto"/>
        <w:right w:val="none" w:sz="0" w:space="0" w:color="auto"/>
      </w:divBdr>
    </w:div>
    <w:div w:id="1886747464">
      <w:bodyDiv w:val="1"/>
      <w:marLeft w:val="0"/>
      <w:marRight w:val="0"/>
      <w:marTop w:val="0"/>
      <w:marBottom w:val="0"/>
      <w:divBdr>
        <w:top w:val="none" w:sz="0" w:space="0" w:color="auto"/>
        <w:left w:val="none" w:sz="0" w:space="0" w:color="auto"/>
        <w:bottom w:val="none" w:sz="0" w:space="0" w:color="auto"/>
        <w:right w:val="none" w:sz="0" w:space="0" w:color="auto"/>
      </w:divBdr>
    </w:div>
    <w:div w:id="1888495330">
      <w:bodyDiv w:val="1"/>
      <w:marLeft w:val="0"/>
      <w:marRight w:val="0"/>
      <w:marTop w:val="0"/>
      <w:marBottom w:val="0"/>
      <w:divBdr>
        <w:top w:val="none" w:sz="0" w:space="0" w:color="auto"/>
        <w:left w:val="none" w:sz="0" w:space="0" w:color="auto"/>
        <w:bottom w:val="none" w:sz="0" w:space="0" w:color="auto"/>
        <w:right w:val="none" w:sz="0" w:space="0" w:color="auto"/>
      </w:divBdr>
    </w:div>
    <w:div w:id="1889217760">
      <w:bodyDiv w:val="1"/>
      <w:marLeft w:val="0"/>
      <w:marRight w:val="0"/>
      <w:marTop w:val="0"/>
      <w:marBottom w:val="0"/>
      <w:divBdr>
        <w:top w:val="none" w:sz="0" w:space="0" w:color="auto"/>
        <w:left w:val="none" w:sz="0" w:space="0" w:color="auto"/>
        <w:bottom w:val="none" w:sz="0" w:space="0" w:color="auto"/>
        <w:right w:val="none" w:sz="0" w:space="0" w:color="auto"/>
      </w:divBdr>
    </w:div>
    <w:div w:id="1897011563">
      <w:bodyDiv w:val="1"/>
      <w:marLeft w:val="0"/>
      <w:marRight w:val="0"/>
      <w:marTop w:val="0"/>
      <w:marBottom w:val="0"/>
      <w:divBdr>
        <w:top w:val="none" w:sz="0" w:space="0" w:color="auto"/>
        <w:left w:val="none" w:sz="0" w:space="0" w:color="auto"/>
        <w:bottom w:val="none" w:sz="0" w:space="0" w:color="auto"/>
        <w:right w:val="none" w:sz="0" w:space="0" w:color="auto"/>
      </w:divBdr>
    </w:div>
    <w:div w:id="1897273651">
      <w:bodyDiv w:val="1"/>
      <w:marLeft w:val="0"/>
      <w:marRight w:val="0"/>
      <w:marTop w:val="0"/>
      <w:marBottom w:val="0"/>
      <w:divBdr>
        <w:top w:val="none" w:sz="0" w:space="0" w:color="auto"/>
        <w:left w:val="none" w:sz="0" w:space="0" w:color="auto"/>
        <w:bottom w:val="none" w:sz="0" w:space="0" w:color="auto"/>
        <w:right w:val="none" w:sz="0" w:space="0" w:color="auto"/>
      </w:divBdr>
    </w:div>
    <w:div w:id="1897280101">
      <w:bodyDiv w:val="1"/>
      <w:marLeft w:val="0"/>
      <w:marRight w:val="0"/>
      <w:marTop w:val="0"/>
      <w:marBottom w:val="0"/>
      <w:divBdr>
        <w:top w:val="none" w:sz="0" w:space="0" w:color="auto"/>
        <w:left w:val="none" w:sz="0" w:space="0" w:color="auto"/>
        <w:bottom w:val="none" w:sz="0" w:space="0" w:color="auto"/>
        <w:right w:val="none" w:sz="0" w:space="0" w:color="auto"/>
      </w:divBdr>
    </w:div>
    <w:div w:id="1899894164">
      <w:bodyDiv w:val="1"/>
      <w:marLeft w:val="0"/>
      <w:marRight w:val="0"/>
      <w:marTop w:val="0"/>
      <w:marBottom w:val="0"/>
      <w:divBdr>
        <w:top w:val="none" w:sz="0" w:space="0" w:color="auto"/>
        <w:left w:val="none" w:sz="0" w:space="0" w:color="auto"/>
        <w:bottom w:val="none" w:sz="0" w:space="0" w:color="auto"/>
        <w:right w:val="none" w:sz="0" w:space="0" w:color="auto"/>
      </w:divBdr>
    </w:div>
    <w:div w:id="1919706877">
      <w:bodyDiv w:val="1"/>
      <w:marLeft w:val="0"/>
      <w:marRight w:val="0"/>
      <w:marTop w:val="0"/>
      <w:marBottom w:val="0"/>
      <w:divBdr>
        <w:top w:val="none" w:sz="0" w:space="0" w:color="auto"/>
        <w:left w:val="none" w:sz="0" w:space="0" w:color="auto"/>
        <w:bottom w:val="none" w:sz="0" w:space="0" w:color="auto"/>
        <w:right w:val="none" w:sz="0" w:space="0" w:color="auto"/>
      </w:divBdr>
    </w:div>
    <w:div w:id="1939361957">
      <w:bodyDiv w:val="1"/>
      <w:marLeft w:val="0"/>
      <w:marRight w:val="0"/>
      <w:marTop w:val="0"/>
      <w:marBottom w:val="0"/>
      <w:divBdr>
        <w:top w:val="none" w:sz="0" w:space="0" w:color="auto"/>
        <w:left w:val="none" w:sz="0" w:space="0" w:color="auto"/>
        <w:bottom w:val="none" w:sz="0" w:space="0" w:color="auto"/>
        <w:right w:val="none" w:sz="0" w:space="0" w:color="auto"/>
      </w:divBdr>
    </w:div>
    <w:div w:id="1940139787">
      <w:bodyDiv w:val="1"/>
      <w:marLeft w:val="0"/>
      <w:marRight w:val="0"/>
      <w:marTop w:val="0"/>
      <w:marBottom w:val="0"/>
      <w:divBdr>
        <w:top w:val="none" w:sz="0" w:space="0" w:color="auto"/>
        <w:left w:val="none" w:sz="0" w:space="0" w:color="auto"/>
        <w:bottom w:val="none" w:sz="0" w:space="0" w:color="auto"/>
        <w:right w:val="none" w:sz="0" w:space="0" w:color="auto"/>
      </w:divBdr>
    </w:div>
    <w:div w:id="1940404432">
      <w:bodyDiv w:val="1"/>
      <w:marLeft w:val="0"/>
      <w:marRight w:val="0"/>
      <w:marTop w:val="0"/>
      <w:marBottom w:val="0"/>
      <w:divBdr>
        <w:top w:val="none" w:sz="0" w:space="0" w:color="auto"/>
        <w:left w:val="none" w:sz="0" w:space="0" w:color="auto"/>
        <w:bottom w:val="none" w:sz="0" w:space="0" w:color="auto"/>
        <w:right w:val="none" w:sz="0" w:space="0" w:color="auto"/>
      </w:divBdr>
    </w:div>
    <w:div w:id="1944680700">
      <w:bodyDiv w:val="1"/>
      <w:marLeft w:val="0"/>
      <w:marRight w:val="0"/>
      <w:marTop w:val="0"/>
      <w:marBottom w:val="0"/>
      <w:divBdr>
        <w:top w:val="none" w:sz="0" w:space="0" w:color="auto"/>
        <w:left w:val="none" w:sz="0" w:space="0" w:color="auto"/>
        <w:bottom w:val="none" w:sz="0" w:space="0" w:color="auto"/>
        <w:right w:val="none" w:sz="0" w:space="0" w:color="auto"/>
      </w:divBdr>
    </w:div>
    <w:div w:id="1950426215">
      <w:bodyDiv w:val="1"/>
      <w:marLeft w:val="0"/>
      <w:marRight w:val="0"/>
      <w:marTop w:val="0"/>
      <w:marBottom w:val="0"/>
      <w:divBdr>
        <w:top w:val="none" w:sz="0" w:space="0" w:color="auto"/>
        <w:left w:val="none" w:sz="0" w:space="0" w:color="auto"/>
        <w:bottom w:val="none" w:sz="0" w:space="0" w:color="auto"/>
        <w:right w:val="none" w:sz="0" w:space="0" w:color="auto"/>
      </w:divBdr>
    </w:div>
    <w:div w:id="1951669161">
      <w:bodyDiv w:val="1"/>
      <w:marLeft w:val="0"/>
      <w:marRight w:val="0"/>
      <w:marTop w:val="0"/>
      <w:marBottom w:val="0"/>
      <w:divBdr>
        <w:top w:val="none" w:sz="0" w:space="0" w:color="auto"/>
        <w:left w:val="none" w:sz="0" w:space="0" w:color="auto"/>
        <w:bottom w:val="none" w:sz="0" w:space="0" w:color="auto"/>
        <w:right w:val="none" w:sz="0" w:space="0" w:color="auto"/>
      </w:divBdr>
    </w:div>
    <w:div w:id="1954825674">
      <w:bodyDiv w:val="1"/>
      <w:marLeft w:val="0"/>
      <w:marRight w:val="0"/>
      <w:marTop w:val="0"/>
      <w:marBottom w:val="0"/>
      <w:divBdr>
        <w:top w:val="none" w:sz="0" w:space="0" w:color="auto"/>
        <w:left w:val="none" w:sz="0" w:space="0" w:color="auto"/>
        <w:bottom w:val="none" w:sz="0" w:space="0" w:color="auto"/>
        <w:right w:val="none" w:sz="0" w:space="0" w:color="auto"/>
      </w:divBdr>
    </w:div>
    <w:div w:id="1955094434">
      <w:bodyDiv w:val="1"/>
      <w:marLeft w:val="0"/>
      <w:marRight w:val="0"/>
      <w:marTop w:val="0"/>
      <w:marBottom w:val="0"/>
      <w:divBdr>
        <w:top w:val="none" w:sz="0" w:space="0" w:color="auto"/>
        <w:left w:val="none" w:sz="0" w:space="0" w:color="auto"/>
        <w:bottom w:val="none" w:sz="0" w:space="0" w:color="auto"/>
        <w:right w:val="none" w:sz="0" w:space="0" w:color="auto"/>
      </w:divBdr>
    </w:div>
    <w:div w:id="1957565861">
      <w:bodyDiv w:val="1"/>
      <w:marLeft w:val="0"/>
      <w:marRight w:val="0"/>
      <w:marTop w:val="0"/>
      <w:marBottom w:val="0"/>
      <w:divBdr>
        <w:top w:val="none" w:sz="0" w:space="0" w:color="auto"/>
        <w:left w:val="none" w:sz="0" w:space="0" w:color="auto"/>
        <w:bottom w:val="none" w:sz="0" w:space="0" w:color="auto"/>
        <w:right w:val="none" w:sz="0" w:space="0" w:color="auto"/>
      </w:divBdr>
    </w:div>
    <w:div w:id="1962345683">
      <w:bodyDiv w:val="1"/>
      <w:marLeft w:val="0"/>
      <w:marRight w:val="0"/>
      <w:marTop w:val="0"/>
      <w:marBottom w:val="0"/>
      <w:divBdr>
        <w:top w:val="none" w:sz="0" w:space="0" w:color="auto"/>
        <w:left w:val="none" w:sz="0" w:space="0" w:color="auto"/>
        <w:bottom w:val="none" w:sz="0" w:space="0" w:color="auto"/>
        <w:right w:val="none" w:sz="0" w:space="0" w:color="auto"/>
      </w:divBdr>
    </w:div>
    <w:div w:id="1962684512">
      <w:bodyDiv w:val="1"/>
      <w:marLeft w:val="0"/>
      <w:marRight w:val="0"/>
      <w:marTop w:val="0"/>
      <w:marBottom w:val="0"/>
      <w:divBdr>
        <w:top w:val="none" w:sz="0" w:space="0" w:color="auto"/>
        <w:left w:val="none" w:sz="0" w:space="0" w:color="auto"/>
        <w:bottom w:val="none" w:sz="0" w:space="0" w:color="auto"/>
        <w:right w:val="none" w:sz="0" w:space="0" w:color="auto"/>
      </w:divBdr>
    </w:div>
    <w:div w:id="1965427320">
      <w:bodyDiv w:val="1"/>
      <w:marLeft w:val="0"/>
      <w:marRight w:val="0"/>
      <w:marTop w:val="0"/>
      <w:marBottom w:val="0"/>
      <w:divBdr>
        <w:top w:val="none" w:sz="0" w:space="0" w:color="auto"/>
        <w:left w:val="none" w:sz="0" w:space="0" w:color="auto"/>
        <w:bottom w:val="none" w:sz="0" w:space="0" w:color="auto"/>
        <w:right w:val="none" w:sz="0" w:space="0" w:color="auto"/>
      </w:divBdr>
    </w:div>
    <w:div w:id="1966228111">
      <w:bodyDiv w:val="1"/>
      <w:marLeft w:val="0"/>
      <w:marRight w:val="0"/>
      <w:marTop w:val="0"/>
      <w:marBottom w:val="0"/>
      <w:divBdr>
        <w:top w:val="none" w:sz="0" w:space="0" w:color="auto"/>
        <w:left w:val="none" w:sz="0" w:space="0" w:color="auto"/>
        <w:bottom w:val="none" w:sz="0" w:space="0" w:color="auto"/>
        <w:right w:val="none" w:sz="0" w:space="0" w:color="auto"/>
      </w:divBdr>
    </w:div>
    <w:div w:id="1994214627">
      <w:bodyDiv w:val="1"/>
      <w:marLeft w:val="0"/>
      <w:marRight w:val="0"/>
      <w:marTop w:val="0"/>
      <w:marBottom w:val="0"/>
      <w:divBdr>
        <w:top w:val="none" w:sz="0" w:space="0" w:color="auto"/>
        <w:left w:val="none" w:sz="0" w:space="0" w:color="auto"/>
        <w:bottom w:val="none" w:sz="0" w:space="0" w:color="auto"/>
        <w:right w:val="none" w:sz="0" w:space="0" w:color="auto"/>
      </w:divBdr>
    </w:div>
    <w:div w:id="1995864699">
      <w:bodyDiv w:val="1"/>
      <w:marLeft w:val="0"/>
      <w:marRight w:val="0"/>
      <w:marTop w:val="0"/>
      <w:marBottom w:val="0"/>
      <w:divBdr>
        <w:top w:val="none" w:sz="0" w:space="0" w:color="auto"/>
        <w:left w:val="none" w:sz="0" w:space="0" w:color="auto"/>
        <w:bottom w:val="none" w:sz="0" w:space="0" w:color="auto"/>
        <w:right w:val="none" w:sz="0" w:space="0" w:color="auto"/>
      </w:divBdr>
    </w:div>
    <w:div w:id="2008290302">
      <w:bodyDiv w:val="1"/>
      <w:marLeft w:val="0"/>
      <w:marRight w:val="0"/>
      <w:marTop w:val="0"/>
      <w:marBottom w:val="0"/>
      <w:divBdr>
        <w:top w:val="none" w:sz="0" w:space="0" w:color="auto"/>
        <w:left w:val="none" w:sz="0" w:space="0" w:color="auto"/>
        <w:bottom w:val="none" w:sz="0" w:space="0" w:color="auto"/>
        <w:right w:val="none" w:sz="0" w:space="0" w:color="auto"/>
      </w:divBdr>
    </w:div>
    <w:div w:id="2009020128">
      <w:bodyDiv w:val="1"/>
      <w:marLeft w:val="0"/>
      <w:marRight w:val="0"/>
      <w:marTop w:val="0"/>
      <w:marBottom w:val="0"/>
      <w:divBdr>
        <w:top w:val="none" w:sz="0" w:space="0" w:color="auto"/>
        <w:left w:val="none" w:sz="0" w:space="0" w:color="auto"/>
        <w:bottom w:val="none" w:sz="0" w:space="0" w:color="auto"/>
        <w:right w:val="none" w:sz="0" w:space="0" w:color="auto"/>
      </w:divBdr>
    </w:div>
    <w:div w:id="2010793880">
      <w:bodyDiv w:val="1"/>
      <w:marLeft w:val="0"/>
      <w:marRight w:val="0"/>
      <w:marTop w:val="0"/>
      <w:marBottom w:val="0"/>
      <w:divBdr>
        <w:top w:val="none" w:sz="0" w:space="0" w:color="auto"/>
        <w:left w:val="none" w:sz="0" w:space="0" w:color="auto"/>
        <w:bottom w:val="none" w:sz="0" w:space="0" w:color="auto"/>
        <w:right w:val="none" w:sz="0" w:space="0" w:color="auto"/>
      </w:divBdr>
    </w:div>
    <w:div w:id="2013333427">
      <w:bodyDiv w:val="1"/>
      <w:marLeft w:val="0"/>
      <w:marRight w:val="0"/>
      <w:marTop w:val="0"/>
      <w:marBottom w:val="0"/>
      <w:divBdr>
        <w:top w:val="none" w:sz="0" w:space="0" w:color="auto"/>
        <w:left w:val="none" w:sz="0" w:space="0" w:color="auto"/>
        <w:bottom w:val="none" w:sz="0" w:space="0" w:color="auto"/>
        <w:right w:val="none" w:sz="0" w:space="0" w:color="auto"/>
      </w:divBdr>
    </w:div>
    <w:div w:id="2015304724">
      <w:bodyDiv w:val="1"/>
      <w:marLeft w:val="0"/>
      <w:marRight w:val="0"/>
      <w:marTop w:val="0"/>
      <w:marBottom w:val="0"/>
      <w:divBdr>
        <w:top w:val="none" w:sz="0" w:space="0" w:color="auto"/>
        <w:left w:val="none" w:sz="0" w:space="0" w:color="auto"/>
        <w:bottom w:val="none" w:sz="0" w:space="0" w:color="auto"/>
        <w:right w:val="none" w:sz="0" w:space="0" w:color="auto"/>
      </w:divBdr>
    </w:div>
    <w:div w:id="2017221297">
      <w:bodyDiv w:val="1"/>
      <w:marLeft w:val="0"/>
      <w:marRight w:val="0"/>
      <w:marTop w:val="0"/>
      <w:marBottom w:val="0"/>
      <w:divBdr>
        <w:top w:val="none" w:sz="0" w:space="0" w:color="auto"/>
        <w:left w:val="none" w:sz="0" w:space="0" w:color="auto"/>
        <w:bottom w:val="none" w:sz="0" w:space="0" w:color="auto"/>
        <w:right w:val="none" w:sz="0" w:space="0" w:color="auto"/>
      </w:divBdr>
    </w:div>
    <w:div w:id="2017875599">
      <w:bodyDiv w:val="1"/>
      <w:marLeft w:val="0"/>
      <w:marRight w:val="0"/>
      <w:marTop w:val="0"/>
      <w:marBottom w:val="0"/>
      <w:divBdr>
        <w:top w:val="none" w:sz="0" w:space="0" w:color="auto"/>
        <w:left w:val="none" w:sz="0" w:space="0" w:color="auto"/>
        <w:bottom w:val="none" w:sz="0" w:space="0" w:color="auto"/>
        <w:right w:val="none" w:sz="0" w:space="0" w:color="auto"/>
      </w:divBdr>
    </w:div>
    <w:div w:id="2020504929">
      <w:bodyDiv w:val="1"/>
      <w:marLeft w:val="0"/>
      <w:marRight w:val="0"/>
      <w:marTop w:val="0"/>
      <w:marBottom w:val="0"/>
      <w:divBdr>
        <w:top w:val="none" w:sz="0" w:space="0" w:color="auto"/>
        <w:left w:val="none" w:sz="0" w:space="0" w:color="auto"/>
        <w:bottom w:val="none" w:sz="0" w:space="0" w:color="auto"/>
        <w:right w:val="none" w:sz="0" w:space="0" w:color="auto"/>
      </w:divBdr>
    </w:div>
    <w:div w:id="2020739372">
      <w:bodyDiv w:val="1"/>
      <w:marLeft w:val="0"/>
      <w:marRight w:val="0"/>
      <w:marTop w:val="0"/>
      <w:marBottom w:val="0"/>
      <w:divBdr>
        <w:top w:val="none" w:sz="0" w:space="0" w:color="auto"/>
        <w:left w:val="none" w:sz="0" w:space="0" w:color="auto"/>
        <w:bottom w:val="none" w:sz="0" w:space="0" w:color="auto"/>
        <w:right w:val="none" w:sz="0" w:space="0" w:color="auto"/>
      </w:divBdr>
    </w:div>
    <w:div w:id="2021734394">
      <w:bodyDiv w:val="1"/>
      <w:marLeft w:val="0"/>
      <w:marRight w:val="0"/>
      <w:marTop w:val="0"/>
      <w:marBottom w:val="0"/>
      <w:divBdr>
        <w:top w:val="none" w:sz="0" w:space="0" w:color="auto"/>
        <w:left w:val="none" w:sz="0" w:space="0" w:color="auto"/>
        <w:bottom w:val="none" w:sz="0" w:space="0" w:color="auto"/>
        <w:right w:val="none" w:sz="0" w:space="0" w:color="auto"/>
      </w:divBdr>
    </w:div>
    <w:div w:id="2029066924">
      <w:bodyDiv w:val="1"/>
      <w:marLeft w:val="0"/>
      <w:marRight w:val="0"/>
      <w:marTop w:val="0"/>
      <w:marBottom w:val="0"/>
      <w:divBdr>
        <w:top w:val="none" w:sz="0" w:space="0" w:color="auto"/>
        <w:left w:val="none" w:sz="0" w:space="0" w:color="auto"/>
        <w:bottom w:val="none" w:sz="0" w:space="0" w:color="auto"/>
        <w:right w:val="none" w:sz="0" w:space="0" w:color="auto"/>
      </w:divBdr>
    </w:div>
    <w:div w:id="2036809432">
      <w:bodyDiv w:val="1"/>
      <w:marLeft w:val="0"/>
      <w:marRight w:val="0"/>
      <w:marTop w:val="0"/>
      <w:marBottom w:val="0"/>
      <w:divBdr>
        <w:top w:val="none" w:sz="0" w:space="0" w:color="auto"/>
        <w:left w:val="none" w:sz="0" w:space="0" w:color="auto"/>
        <w:bottom w:val="none" w:sz="0" w:space="0" w:color="auto"/>
        <w:right w:val="none" w:sz="0" w:space="0" w:color="auto"/>
      </w:divBdr>
    </w:div>
    <w:div w:id="2036996195">
      <w:bodyDiv w:val="1"/>
      <w:marLeft w:val="0"/>
      <w:marRight w:val="0"/>
      <w:marTop w:val="0"/>
      <w:marBottom w:val="0"/>
      <w:divBdr>
        <w:top w:val="none" w:sz="0" w:space="0" w:color="auto"/>
        <w:left w:val="none" w:sz="0" w:space="0" w:color="auto"/>
        <w:bottom w:val="none" w:sz="0" w:space="0" w:color="auto"/>
        <w:right w:val="none" w:sz="0" w:space="0" w:color="auto"/>
      </w:divBdr>
    </w:div>
    <w:div w:id="2038239832">
      <w:bodyDiv w:val="1"/>
      <w:marLeft w:val="0"/>
      <w:marRight w:val="0"/>
      <w:marTop w:val="0"/>
      <w:marBottom w:val="0"/>
      <w:divBdr>
        <w:top w:val="none" w:sz="0" w:space="0" w:color="auto"/>
        <w:left w:val="none" w:sz="0" w:space="0" w:color="auto"/>
        <w:bottom w:val="none" w:sz="0" w:space="0" w:color="auto"/>
        <w:right w:val="none" w:sz="0" w:space="0" w:color="auto"/>
      </w:divBdr>
    </w:div>
    <w:div w:id="2038658409">
      <w:bodyDiv w:val="1"/>
      <w:marLeft w:val="0"/>
      <w:marRight w:val="0"/>
      <w:marTop w:val="0"/>
      <w:marBottom w:val="0"/>
      <w:divBdr>
        <w:top w:val="none" w:sz="0" w:space="0" w:color="auto"/>
        <w:left w:val="none" w:sz="0" w:space="0" w:color="auto"/>
        <w:bottom w:val="none" w:sz="0" w:space="0" w:color="auto"/>
        <w:right w:val="none" w:sz="0" w:space="0" w:color="auto"/>
      </w:divBdr>
    </w:div>
    <w:div w:id="2043045890">
      <w:bodyDiv w:val="1"/>
      <w:marLeft w:val="0"/>
      <w:marRight w:val="0"/>
      <w:marTop w:val="0"/>
      <w:marBottom w:val="0"/>
      <w:divBdr>
        <w:top w:val="none" w:sz="0" w:space="0" w:color="auto"/>
        <w:left w:val="none" w:sz="0" w:space="0" w:color="auto"/>
        <w:bottom w:val="none" w:sz="0" w:space="0" w:color="auto"/>
        <w:right w:val="none" w:sz="0" w:space="0" w:color="auto"/>
      </w:divBdr>
    </w:div>
    <w:div w:id="2047099020">
      <w:bodyDiv w:val="1"/>
      <w:marLeft w:val="0"/>
      <w:marRight w:val="0"/>
      <w:marTop w:val="0"/>
      <w:marBottom w:val="0"/>
      <w:divBdr>
        <w:top w:val="none" w:sz="0" w:space="0" w:color="auto"/>
        <w:left w:val="none" w:sz="0" w:space="0" w:color="auto"/>
        <w:bottom w:val="none" w:sz="0" w:space="0" w:color="auto"/>
        <w:right w:val="none" w:sz="0" w:space="0" w:color="auto"/>
      </w:divBdr>
    </w:div>
    <w:div w:id="2051218738">
      <w:bodyDiv w:val="1"/>
      <w:marLeft w:val="0"/>
      <w:marRight w:val="0"/>
      <w:marTop w:val="0"/>
      <w:marBottom w:val="0"/>
      <w:divBdr>
        <w:top w:val="none" w:sz="0" w:space="0" w:color="auto"/>
        <w:left w:val="none" w:sz="0" w:space="0" w:color="auto"/>
        <w:bottom w:val="none" w:sz="0" w:space="0" w:color="auto"/>
        <w:right w:val="none" w:sz="0" w:space="0" w:color="auto"/>
      </w:divBdr>
    </w:div>
    <w:div w:id="2054185818">
      <w:bodyDiv w:val="1"/>
      <w:marLeft w:val="0"/>
      <w:marRight w:val="0"/>
      <w:marTop w:val="0"/>
      <w:marBottom w:val="0"/>
      <w:divBdr>
        <w:top w:val="none" w:sz="0" w:space="0" w:color="auto"/>
        <w:left w:val="none" w:sz="0" w:space="0" w:color="auto"/>
        <w:bottom w:val="none" w:sz="0" w:space="0" w:color="auto"/>
        <w:right w:val="none" w:sz="0" w:space="0" w:color="auto"/>
      </w:divBdr>
    </w:div>
    <w:div w:id="2064062652">
      <w:bodyDiv w:val="1"/>
      <w:marLeft w:val="0"/>
      <w:marRight w:val="0"/>
      <w:marTop w:val="0"/>
      <w:marBottom w:val="0"/>
      <w:divBdr>
        <w:top w:val="none" w:sz="0" w:space="0" w:color="auto"/>
        <w:left w:val="none" w:sz="0" w:space="0" w:color="auto"/>
        <w:bottom w:val="none" w:sz="0" w:space="0" w:color="auto"/>
        <w:right w:val="none" w:sz="0" w:space="0" w:color="auto"/>
      </w:divBdr>
    </w:div>
    <w:div w:id="2068912794">
      <w:bodyDiv w:val="1"/>
      <w:marLeft w:val="0"/>
      <w:marRight w:val="0"/>
      <w:marTop w:val="0"/>
      <w:marBottom w:val="0"/>
      <w:divBdr>
        <w:top w:val="none" w:sz="0" w:space="0" w:color="auto"/>
        <w:left w:val="none" w:sz="0" w:space="0" w:color="auto"/>
        <w:bottom w:val="none" w:sz="0" w:space="0" w:color="auto"/>
        <w:right w:val="none" w:sz="0" w:space="0" w:color="auto"/>
      </w:divBdr>
    </w:div>
    <w:div w:id="2073386406">
      <w:bodyDiv w:val="1"/>
      <w:marLeft w:val="0"/>
      <w:marRight w:val="0"/>
      <w:marTop w:val="0"/>
      <w:marBottom w:val="0"/>
      <w:divBdr>
        <w:top w:val="none" w:sz="0" w:space="0" w:color="auto"/>
        <w:left w:val="none" w:sz="0" w:space="0" w:color="auto"/>
        <w:bottom w:val="none" w:sz="0" w:space="0" w:color="auto"/>
        <w:right w:val="none" w:sz="0" w:space="0" w:color="auto"/>
      </w:divBdr>
    </w:div>
    <w:div w:id="2074693021">
      <w:bodyDiv w:val="1"/>
      <w:marLeft w:val="0"/>
      <w:marRight w:val="0"/>
      <w:marTop w:val="0"/>
      <w:marBottom w:val="0"/>
      <w:divBdr>
        <w:top w:val="none" w:sz="0" w:space="0" w:color="auto"/>
        <w:left w:val="none" w:sz="0" w:space="0" w:color="auto"/>
        <w:bottom w:val="none" w:sz="0" w:space="0" w:color="auto"/>
        <w:right w:val="none" w:sz="0" w:space="0" w:color="auto"/>
      </w:divBdr>
    </w:div>
    <w:div w:id="2079135581">
      <w:bodyDiv w:val="1"/>
      <w:marLeft w:val="0"/>
      <w:marRight w:val="0"/>
      <w:marTop w:val="0"/>
      <w:marBottom w:val="0"/>
      <w:divBdr>
        <w:top w:val="none" w:sz="0" w:space="0" w:color="auto"/>
        <w:left w:val="none" w:sz="0" w:space="0" w:color="auto"/>
        <w:bottom w:val="none" w:sz="0" w:space="0" w:color="auto"/>
        <w:right w:val="none" w:sz="0" w:space="0" w:color="auto"/>
      </w:divBdr>
    </w:div>
    <w:div w:id="2079554225">
      <w:bodyDiv w:val="1"/>
      <w:marLeft w:val="0"/>
      <w:marRight w:val="0"/>
      <w:marTop w:val="0"/>
      <w:marBottom w:val="0"/>
      <w:divBdr>
        <w:top w:val="none" w:sz="0" w:space="0" w:color="auto"/>
        <w:left w:val="none" w:sz="0" w:space="0" w:color="auto"/>
        <w:bottom w:val="none" w:sz="0" w:space="0" w:color="auto"/>
        <w:right w:val="none" w:sz="0" w:space="0" w:color="auto"/>
      </w:divBdr>
    </w:div>
    <w:div w:id="2099018055">
      <w:bodyDiv w:val="1"/>
      <w:marLeft w:val="0"/>
      <w:marRight w:val="0"/>
      <w:marTop w:val="0"/>
      <w:marBottom w:val="0"/>
      <w:divBdr>
        <w:top w:val="none" w:sz="0" w:space="0" w:color="auto"/>
        <w:left w:val="none" w:sz="0" w:space="0" w:color="auto"/>
        <w:bottom w:val="none" w:sz="0" w:space="0" w:color="auto"/>
        <w:right w:val="none" w:sz="0" w:space="0" w:color="auto"/>
      </w:divBdr>
    </w:div>
    <w:div w:id="2101101260">
      <w:bodyDiv w:val="1"/>
      <w:marLeft w:val="0"/>
      <w:marRight w:val="0"/>
      <w:marTop w:val="0"/>
      <w:marBottom w:val="0"/>
      <w:divBdr>
        <w:top w:val="none" w:sz="0" w:space="0" w:color="auto"/>
        <w:left w:val="none" w:sz="0" w:space="0" w:color="auto"/>
        <w:bottom w:val="none" w:sz="0" w:space="0" w:color="auto"/>
        <w:right w:val="none" w:sz="0" w:space="0" w:color="auto"/>
      </w:divBdr>
    </w:div>
    <w:div w:id="2104640605">
      <w:bodyDiv w:val="1"/>
      <w:marLeft w:val="0"/>
      <w:marRight w:val="0"/>
      <w:marTop w:val="0"/>
      <w:marBottom w:val="0"/>
      <w:divBdr>
        <w:top w:val="none" w:sz="0" w:space="0" w:color="auto"/>
        <w:left w:val="none" w:sz="0" w:space="0" w:color="auto"/>
        <w:bottom w:val="none" w:sz="0" w:space="0" w:color="auto"/>
        <w:right w:val="none" w:sz="0" w:space="0" w:color="auto"/>
      </w:divBdr>
    </w:div>
    <w:div w:id="2104833605">
      <w:bodyDiv w:val="1"/>
      <w:marLeft w:val="0"/>
      <w:marRight w:val="0"/>
      <w:marTop w:val="0"/>
      <w:marBottom w:val="0"/>
      <w:divBdr>
        <w:top w:val="none" w:sz="0" w:space="0" w:color="auto"/>
        <w:left w:val="none" w:sz="0" w:space="0" w:color="auto"/>
        <w:bottom w:val="none" w:sz="0" w:space="0" w:color="auto"/>
        <w:right w:val="none" w:sz="0" w:space="0" w:color="auto"/>
      </w:divBdr>
    </w:div>
    <w:div w:id="2110277458">
      <w:bodyDiv w:val="1"/>
      <w:marLeft w:val="0"/>
      <w:marRight w:val="0"/>
      <w:marTop w:val="0"/>
      <w:marBottom w:val="0"/>
      <w:divBdr>
        <w:top w:val="none" w:sz="0" w:space="0" w:color="auto"/>
        <w:left w:val="none" w:sz="0" w:space="0" w:color="auto"/>
        <w:bottom w:val="none" w:sz="0" w:space="0" w:color="auto"/>
        <w:right w:val="none" w:sz="0" w:space="0" w:color="auto"/>
      </w:divBdr>
    </w:div>
    <w:div w:id="2110806615">
      <w:bodyDiv w:val="1"/>
      <w:marLeft w:val="0"/>
      <w:marRight w:val="0"/>
      <w:marTop w:val="0"/>
      <w:marBottom w:val="0"/>
      <w:divBdr>
        <w:top w:val="none" w:sz="0" w:space="0" w:color="auto"/>
        <w:left w:val="none" w:sz="0" w:space="0" w:color="auto"/>
        <w:bottom w:val="none" w:sz="0" w:space="0" w:color="auto"/>
        <w:right w:val="none" w:sz="0" w:space="0" w:color="auto"/>
      </w:divBdr>
    </w:div>
    <w:div w:id="2113627622">
      <w:bodyDiv w:val="1"/>
      <w:marLeft w:val="0"/>
      <w:marRight w:val="0"/>
      <w:marTop w:val="0"/>
      <w:marBottom w:val="0"/>
      <w:divBdr>
        <w:top w:val="none" w:sz="0" w:space="0" w:color="auto"/>
        <w:left w:val="none" w:sz="0" w:space="0" w:color="auto"/>
        <w:bottom w:val="none" w:sz="0" w:space="0" w:color="auto"/>
        <w:right w:val="none" w:sz="0" w:space="0" w:color="auto"/>
      </w:divBdr>
    </w:div>
    <w:div w:id="2113816784">
      <w:bodyDiv w:val="1"/>
      <w:marLeft w:val="0"/>
      <w:marRight w:val="0"/>
      <w:marTop w:val="0"/>
      <w:marBottom w:val="0"/>
      <w:divBdr>
        <w:top w:val="none" w:sz="0" w:space="0" w:color="auto"/>
        <w:left w:val="none" w:sz="0" w:space="0" w:color="auto"/>
        <w:bottom w:val="none" w:sz="0" w:space="0" w:color="auto"/>
        <w:right w:val="none" w:sz="0" w:space="0" w:color="auto"/>
      </w:divBdr>
    </w:div>
    <w:div w:id="2115861229">
      <w:bodyDiv w:val="1"/>
      <w:marLeft w:val="0"/>
      <w:marRight w:val="0"/>
      <w:marTop w:val="0"/>
      <w:marBottom w:val="0"/>
      <w:divBdr>
        <w:top w:val="none" w:sz="0" w:space="0" w:color="auto"/>
        <w:left w:val="none" w:sz="0" w:space="0" w:color="auto"/>
        <w:bottom w:val="none" w:sz="0" w:space="0" w:color="auto"/>
        <w:right w:val="none" w:sz="0" w:space="0" w:color="auto"/>
      </w:divBdr>
    </w:div>
    <w:div w:id="2119638263">
      <w:bodyDiv w:val="1"/>
      <w:marLeft w:val="0"/>
      <w:marRight w:val="0"/>
      <w:marTop w:val="0"/>
      <w:marBottom w:val="0"/>
      <w:divBdr>
        <w:top w:val="none" w:sz="0" w:space="0" w:color="auto"/>
        <w:left w:val="none" w:sz="0" w:space="0" w:color="auto"/>
        <w:bottom w:val="none" w:sz="0" w:space="0" w:color="auto"/>
        <w:right w:val="none" w:sz="0" w:space="0" w:color="auto"/>
      </w:divBdr>
    </w:div>
    <w:div w:id="2126147411">
      <w:bodyDiv w:val="1"/>
      <w:marLeft w:val="0"/>
      <w:marRight w:val="0"/>
      <w:marTop w:val="0"/>
      <w:marBottom w:val="0"/>
      <w:divBdr>
        <w:top w:val="none" w:sz="0" w:space="0" w:color="auto"/>
        <w:left w:val="none" w:sz="0" w:space="0" w:color="auto"/>
        <w:bottom w:val="none" w:sz="0" w:space="0" w:color="auto"/>
        <w:right w:val="none" w:sz="0" w:space="0" w:color="auto"/>
      </w:divBdr>
    </w:div>
    <w:div w:id="21283132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sui.superservicios.gov.co/Reportes-del-sector/Energia/Reportes-financieros/Informacion-financiera-bajo-NIF-de-los-prestadores-del-servicio-de-energia"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sui.superservicios.gov.co/Reportes-del-Sector/GLP"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sui.superservicios.gov.co/Reportes-del-Sector/Energia"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ui.superservicios.gov.co/Reportes-del-Sector" TargetMode="External"/><Relationship Id="rId20" Type="http://schemas.openxmlformats.org/officeDocument/2006/relationships/hyperlink" Target="https://sui.superservicios.gov.co/Reportes-del-sector/Gas-natural/Reportes-financieros/Informacion-financiera-bajo-NIF-de-los-prestadores-del-servicio-de-Ga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yperlink" Target="https://sui.superservicios.gov.co/Reportes-del-Sector/Gas-Natura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sui.superservicios.gov.co/Reportes-del-sector/GLP/Reportes-financieros/Informacion-financiera-bajo-NIF-de-los-prestadores-del-servicios-de-GLP"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secretariasenado.gov.co/senado/basedoc/ley_1437_2011.html" TargetMode="External"/><Relationship Id="rId13" Type="http://schemas.openxmlformats.org/officeDocument/2006/relationships/hyperlink" Target="https://www.contaduria.gov.co/entidades-sujetas-al-ambito-de-la-resolucion-no-414-2014-y-sus-modificaciones" TargetMode="External"/><Relationship Id="rId18" Type="http://schemas.openxmlformats.org/officeDocument/2006/relationships/hyperlink" Target="http://www.superservicios.gov.co/sites/default/files/2023-06/Hoja-de-trabajo-prestadores-2023.xlsx" TargetMode="External"/><Relationship Id="rId3" Type="http://schemas.openxmlformats.org/officeDocument/2006/relationships/hyperlink" Target="https://www.minhacienda.gov.co/webcenter/ShowProperty?nodeId=%2FConexionContent%2FWCC_CLUSTER-226290%2F%2FidcPrimaryFile&amp;revision=latestreleased" TargetMode="External"/><Relationship Id="rId7" Type="http://schemas.openxmlformats.org/officeDocument/2006/relationships/hyperlink" Target="http://www.secretariasenado.gov.co/senado/basedoc/decreto_1260_2013.html" TargetMode="External"/><Relationship Id="rId12" Type="http://schemas.openxmlformats.org/officeDocument/2006/relationships/hyperlink" Target="https://www.suin-juriscol.gov.co/viewDocument.asp?id=30036044" TargetMode="External"/><Relationship Id="rId17" Type="http://schemas.openxmlformats.org/officeDocument/2006/relationships/hyperlink" Target="https://www.superservicios.gov.co/system/files/2023-06/Resolucion-SSPD-20231000297335.pdf" TargetMode="External"/><Relationship Id="rId2" Type="http://schemas.openxmlformats.org/officeDocument/2006/relationships/hyperlink" Target="https://www.minhacienda.gov.co/webcenter/ShowProperty?nodeId=%2FConexionContent%2FWCC_CLUSTER-209651%2F%2FidcPrimaryFile&amp;revision=latestreleased" TargetMode="External"/><Relationship Id="rId16" Type="http://schemas.openxmlformats.org/officeDocument/2006/relationships/hyperlink" Target="https://gestornormativo.creg.gov.co/gestor/entorno/docs/circular_superservicios_0009_2003.htm" TargetMode="External"/><Relationship Id="rId20" Type="http://schemas.openxmlformats.org/officeDocument/2006/relationships/hyperlink" Target="https://www.superservicios.gov.co/system/files/2023-04/Resolucion-SSPD-20231000215345.pdf" TargetMode="External"/><Relationship Id="rId1" Type="http://schemas.openxmlformats.org/officeDocument/2006/relationships/hyperlink" Target="https://www.minhacienda.gov.co/webcenter/ShowProperty?nodeId=%2FConexionContent%2FWCC_CLUSTER-208233%2F%2FidcPrimaryFile&amp;revision=latestreleased" TargetMode="External"/><Relationship Id="rId6" Type="http://schemas.openxmlformats.org/officeDocument/2006/relationships/hyperlink" Target="https://www.minhacienda.gov.co/webcenter/portal/Minhacienda/pages_normativa/decretonicoreglamentariodelsectorhaciendaycrditopblico" TargetMode="External"/><Relationship Id="rId11" Type="http://schemas.openxmlformats.org/officeDocument/2006/relationships/hyperlink" Target="https://www.suin-juriscol.gov.co/viewDocument.asp?ruta=Decretos/30030273" TargetMode="External"/><Relationship Id="rId5" Type="http://schemas.openxmlformats.org/officeDocument/2006/relationships/hyperlink" Target="http://www.secretariasenado.gov.co/senado/basedoc/decreto_0111_1996.html" TargetMode="External"/><Relationship Id="rId15" Type="http://schemas.openxmlformats.org/officeDocument/2006/relationships/hyperlink" Target="https://www.contaduria.gov.co/marco-normativo-para-empresas-que-cotizan-en-el-mercado-de-valores-o-que-captan-o-administran-ahorro-del-publico" TargetMode="External"/><Relationship Id="rId10" Type="http://schemas.openxmlformats.org/officeDocument/2006/relationships/hyperlink" Target="http://www.secretariasenado.gov.co/senado/basedoc/ley_1314_2009.html" TargetMode="External"/><Relationship Id="rId19" Type="http://schemas.openxmlformats.org/officeDocument/2006/relationships/hyperlink" Target="https://www.superservicios.gov.co/Normativa/Resoluciones-y-circulares-Superservicios" TargetMode="External"/><Relationship Id="rId4" Type="http://schemas.openxmlformats.org/officeDocument/2006/relationships/hyperlink" Target="https://www.minhacienda.gov.co/webcenter/ShowProperty?nodeId=%2FConexionContent%2FWCC_CLUSTER-226967%2F%2FidcPrimaryFile&amp;revision=latestreleased" TargetMode="External"/><Relationship Id="rId9" Type="http://schemas.openxmlformats.org/officeDocument/2006/relationships/hyperlink" Target="https://www.dian.gov.co/normatividad/Normatividad/Resoluci%C3%B3n%20001264%20de%2018-11-2022.pdf" TargetMode="External"/><Relationship Id="rId14" Type="http://schemas.openxmlformats.org/officeDocument/2006/relationships/hyperlink" Target="https://www.contaduria.gov.co/marco-normativo-para-entidades-de-gobiern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M:\Laura\plantilla\creg.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8CBD1C30B9271B4A8142D16C0D4FCAAC" ma:contentTypeVersion="14" ma:contentTypeDescription="Crear nuevo documento." ma:contentTypeScope="" ma:versionID="a574fdb3583045e3361eab7c255e01b2">
  <xsd:schema xmlns:xsd="http://www.w3.org/2001/XMLSchema" xmlns:xs="http://www.w3.org/2001/XMLSchema" xmlns:p="http://schemas.microsoft.com/office/2006/metadata/properties" xmlns:ns3="0cdf49e4-302e-4a5e-bb93-492006730266" xmlns:ns4="8e268271-eda8-41d6-9fdb-3e9d111bbb00" targetNamespace="http://schemas.microsoft.com/office/2006/metadata/properties" ma:root="true" ma:fieldsID="e5de8a7533221428e38a38362e8a644b" ns3:_="" ns4:_="">
    <xsd:import namespace="0cdf49e4-302e-4a5e-bb93-492006730266"/>
    <xsd:import namespace="8e268271-eda8-41d6-9fdb-3e9d111bbb0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df49e4-302e-4a5e-bb93-4920067302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268271-eda8-41d6-9fdb-3e9d111bbb00"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3B46EE-924D-40AF-BBD1-3FFBD8BC03CA}">
  <ds:schemaRefs>
    <ds:schemaRef ds:uri="http://schemas.openxmlformats.org/officeDocument/2006/bibliography"/>
  </ds:schemaRefs>
</ds:datastoreItem>
</file>

<file path=customXml/itemProps2.xml><?xml version="1.0" encoding="utf-8"?>
<ds:datastoreItem xmlns:ds="http://schemas.openxmlformats.org/officeDocument/2006/customXml" ds:itemID="{054F399C-4653-4AEF-A102-7A9775704C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df49e4-302e-4a5e-bb93-492006730266"/>
    <ds:schemaRef ds:uri="8e268271-eda8-41d6-9fdb-3e9d111bbb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5FA045-96D3-4C00-A978-EC539C6BE1F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2362F8E-305D-49C8-A20B-686D671B52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creg</Template>
  <TotalTime>3</TotalTime>
  <Pages>115</Pages>
  <Words>43448</Words>
  <Characters>238965</Characters>
  <Application>Microsoft Office Word</Application>
  <DocSecurity>0</DocSecurity>
  <PresentationFormat/>
  <Lines>1991</Lines>
  <Paragraphs>563</Paragraphs>
  <Slides>0</Slides>
  <Notes>0</Notes>
  <HiddenSlides>0</HiddenSlides>
  <MMClips>0</MMClip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Carta</vt:lpstr>
      <vt:lpstr>Carta</vt:lpstr>
    </vt:vector>
  </TitlesOfParts>
  <Company>CREG</Company>
  <LinksUpToDate>false</LinksUpToDate>
  <CharactersWithSpaces>281850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dc:title>
  <dc:subject/>
  <dc:creator>CREG</dc:creator>
  <cp:keywords/>
  <dc:description/>
  <cp:lastModifiedBy>Eliana Rodriguez Fonseca</cp:lastModifiedBy>
  <cp:revision>2</cp:revision>
  <cp:lastPrinted>2019-11-28T20:40:00Z</cp:lastPrinted>
  <dcterms:created xsi:type="dcterms:W3CDTF">2023-10-13T19:15:00Z</dcterms:created>
  <dcterms:modified xsi:type="dcterms:W3CDTF">2023-10-13T19:15:00Z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99022200</vt:i4>
  </property>
  <property fmtid="{D5CDD505-2E9C-101B-9397-08002B2CF9AE}" pid="4" name="LCID">
    <vt:i4>3082</vt:i4>
  </property>
  <property fmtid="{D5CDD505-2E9C-101B-9397-08002B2CF9AE}" pid="5" name="ContentTypeId">
    <vt:lpwstr>0x0101008CBD1C30B9271B4A8142D16C0D4FCAAC</vt:lpwstr>
  </property>
</Properties>
</file>